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E3CAD0" w14:textId="6B5D2CBA" w:rsidR="002F64F0" w:rsidRDefault="0022334B" w:rsidP="00296BCB">
      <w:pPr>
        <w:tabs>
          <w:tab w:val="left" w:pos="709"/>
        </w:tabs>
      </w:pPr>
      <w:bookmarkStart w:id="0" w:name="_MacBuGuideStaticData_10602H"/>
      <w:bookmarkStart w:id="1" w:name="_MacBuGuideStaticData_3130H"/>
      <w:bookmarkStart w:id="2" w:name="_MacBuGuideStaticData_543H"/>
      <w:bookmarkStart w:id="3" w:name="_MacBuGuideStaticData_2275V"/>
      <w:r w:rsidRPr="00FA7684">
        <w:rPr>
          <w:noProof/>
          <w:lang w:eastAsia="en-GB"/>
        </w:rPr>
        <w:drawing>
          <wp:anchor distT="0" distB="0" distL="114300" distR="114300" simplePos="0" relativeHeight="251658277" behindDoc="0" locked="0" layoutInCell="1" allowOverlap="1" wp14:anchorId="7089D6AD" wp14:editId="5D0B0735">
            <wp:simplePos x="0" y="0"/>
            <wp:positionH relativeFrom="page">
              <wp:posOffset>6075680</wp:posOffset>
            </wp:positionH>
            <wp:positionV relativeFrom="page">
              <wp:posOffset>285750</wp:posOffset>
            </wp:positionV>
            <wp:extent cx="1011600" cy="410987"/>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11600" cy="410987"/>
                    </a:xfrm>
                    <a:prstGeom prst="rect">
                      <a:avLst/>
                    </a:prstGeom>
                    <a:noFill/>
                  </pic:spPr>
                </pic:pic>
              </a:graphicData>
            </a:graphic>
            <wp14:sizeRelH relativeFrom="margin">
              <wp14:pctWidth>0</wp14:pctWidth>
            </wp14:sizeRelH>
            <wp14:sizeRelV relativeFrom="margin">
              <wp14:pctHeight>0</wp14:pctHeight>
            </wp14:sizeRelV>
          </wp:anchor>
        </w:drawing>
      </w:r>
      <w:r w:rsidR="00AD0EAC">
        <w:rPr>
          <w:noProof/>
          <w:lang w:eastAsia="en-GB"/>
        </w:rPr>
        <w:drawing>
          <wp:anchor distT="0" distB="0" distL="114300" distR="114300" simplePos="0" relativeHeight="251658240" behindDoc="0" locked="0" layoutInCell="1" allowOverlap="1" wp14:anchorId="235A3DE7" wp14:editId="0D78EED6">
            <wp:simplePos x="0" y="0"/>
            <wp:positionH relativeFrom="page">
              <wp:posOffset>6458112</wp:posOffset>
            </wp:positionH>
            <wp:positionV relativeFrom="page">
              <wp:posOffset>412750</wp:posOffset>
            </wp:positionV>
            <wp:extent cx="810000" cy="626400"/>
            <wp:effectExtent l="0" t="0" r="0" b="0"/>
            <wp:wrapNone/>
            <wp:docPr id="3" name="Picture 3" descr="NHS England Logo" title="NHS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rotWithShape="1">
                    <a:blip r:embed="rId12" cstate="print">
                      <a:extLst>
                        <a:ext uri="{28A0092B-C50C-407E-A947-70E740481C1C}">
                          <a14:useLocalDpi xmlns:a14="http://schemas.microsoft.com/office/drawing/2010/main" val="0"/>
                        </a:ext>
                      </a:extLst>
                    </a:blip>
                    <a:srcRect l="-281176" t="27383" r="281176" b="-27383"/>
                    <a:stretch/>
                  </pic:blipFill>
                  <pic:spPr bwMode="auto">
                    <a:xfrm>
                      <a:off x="0" y="0"/>
                      <a:ext cx="810000" cy="626400"/>
                    </a:xfrm>
                    <a:prstGeom prst="rect">
                      <a:avLst/>
                    </a:prstGeom>
                    <a:noFill/>
                  </pic:spPr>
                </pic:pic>
              </a:graphicData>
            </a:graphic>
            <wp14:sizeRelH relativeFrom="margin">
              <wp14:pctWidth>0</wp14:pctWidth>
            </wp14:sizeRelH>
            <wp14:sizeRelV relativeFrom="margin">
              <wp14:pctHeight>0</wp14:pctHeight>
            </wp14:sizeRelV>
          </wp:anchor>
        </w:drawing>
      </w:r>
    </w:p>
    <w:p w14:paraId="6B4C3B25" w14:textId="77777777" w:rsidR="002F64F0" w:rsidRDefault="002F64F0" w:rsidP="00296BCB">
      <w:pPr>
        <w:tabs>
          <w:tab w:val="left" w:pos="709"/>
        </w:tabs>
      </w:pPr>
    </w:p>
    <w:p w14:paraId="4E951A32" w14:textId="041D964E" w:rsidR="00501286" w:rsidRDefault="002F64F0" w:rsidP="0017551F">
      <w:pPr>
        <w:tabs>
          <w:tab w:val="left" w:pos="709"/>
        </w:tabs>
        <w:rPr>
          <w:b/>
          <w:sz w:val="32"/>
          <w:szCs w:val="32"/>
        </w:rPr>
      </w:pPr>
      <w:r>
        <w:rPr>
          <w:noProof/>
          <w:lang w:eastAsia="en-GB"/>
        </w:rPr>
        <mc:AlternateContent>
          <mc:Choice Requires="wps">
            <w:drawing>
              <wp:anchor distT="0" distB="0" distL="114300" distR="114300" simplePos="0" relativeHeight="251658242" behindDoc="1" locked="0" layoutInCell="1" allowOverlap="1" wp14:anchorId="59E2E503" wp14:editId="2290CD64">
                <wp:simplePos x="0" y="0"/>
                <wp:positionH relativeFrom="margin">
                  <wp:posOffset>-447675</wp:posOffset>
                </wp:positionH>
                <wp:positionV relativeFrom="page">
                  <wp:posOffset>7334250</wp:posOffset>
                </wp:positionV>
                <wp:extent cx="5694680" cy="1838325"/>
                <wp:effectExtent l="0" t="0" r="127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94680"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EF73D" w14:textId="6AB1BFEA" w:rsidR="00942266" w:rsidRPr="00E72C89" w:rsidRDefault="00942266" w:rsidP="00E72C89">
                            <w:pPr>
                              <w:pStyle w:val="Title"/>
                            </w:pPr>
                            <w:r>
                              <w:t>Primary Medical Care Policy and Guidance Manual (PGM) (v4)</w:t>
                            </w:r>
                          </w:p>
                        </w:txbxContent>
                      </wps:txbx>
                      <wps:bodyPr rot="0" vert="horz" wrap="square" lIns="0" tIns="0" rIns="0" bIns="0" anchor="t" anchorCtr="0" upright="1">
                        <a:noAutofit/>
                      </wps:bodyPr>
                    </wps:wsp>
                  </a:graphicData>
                </a:graphic>
              </wp:anchor>
            </w:drawing>
          </mc:Choice>
          <mc:Fallback>
            <w:pict>
              <v:shapetype w14:anchorId="59E2E503" id="_x0000_t202" coordsize="21600,21600" o:spt="202" path="m,l,21600r21600,l21600,xe">
                <v:stroke joinstyle="miter"/>
                <v:path gradientshapeok="t" o:connecttype="rect"/>
              </v:shapetype>
              <v:shape id="Text Box 2" o:spid="_x0000_s1026" type="#_x0000_t202" style="position:absolute;margin-left:-35.25pt;margin-top:577.5pt;width:448.4pt;height:144.75pt;z-index:-25165823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" filled="f" stroked="f">
                <v:path arrowok="t"/>
                <v:textbox inset="0,0,0,0">
                  <w:txbxContent>
                    <w:p w14:paraId="642EF73D" w14:textId="6AB1BFEA" w:rsidR="00942266" w:rsidRPr="00E72C89" w:rsidRDefault="00942266" w:rsidP="00E72C89">
                      <w:pPr>
                        <w:pStyle w:val="Title"/>
                      </w:pPr>
                      <w:r>
                        <w:t>Primary Medical Care Policy and Guidance Manual (PGM) (v4)</w:t>
                      </w:r>
                    </w:p>
                  </w:txbxContent>
                </v:textbox>
                <w10:wrap anchorx="margin" anchory="page"/>
              </v:shape>
            </w:pict>
          </mc:Fallback>
        </mc:AlternateContent>
      </w:r>
      <w:r w:rsidR="00D06433">
        <w:rPr>
          <w:noProof/>
          <w:lang w:eastAsia="en-GB"/>
        </w:rPr>
        <w:drawing>
          <wp:anchor distT="0" distB="0" distL="114300" distR="114300" simplePos="0" relativeHeight="251658241" behindDoc="0" locked="0" layoutInCell="1" allowOverlap="1" wp14:anchorId="04E39F2F" wp14:editId="0F2EC7C5">
            <wp:simplePos x="0" y="0"/>
            <wp:positionH relativeFrom="margin">
              <wp:posOffset>-463550</wp:posOffset>
            </wp:positionH>
            <wp:positionV relativeFrom="page">
              <wp:posOffset>1666875</wp:posOffset>
            </wp:positionV>
            <wp:extent cx="6840220" cy="5035550"/>
            <wp:effectExtent l="0" t="0" r="0" b="0"/>
            <wp:wrapTopAndBottom/>
            <wp:docPr id="4" name="Picture 4" descr="A picture of a man (head and shoulders) with a beard.  He is wearing a shirt (with very small and fine checks) a plain dark coloured tie and a dark suit jacket." title="Picture of a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0220" cy="5035550"/>
                    </a:xfrm>
                    <a:prstGeom prst="rect">
                      <a:avLst/>
                    </a:prstGeom>
                    <a:noFill/>
                  </pic:spPr>
                </pic:pic>
              </a:graphicData>
            </a:graphic>
            <wp14:sizeRelH relativeFrom="page">
              <wp14:pctWidth>0</wp14:pctWidth>
            </wp14:sizeRelH>
            <wp14:sizeRelV relativeFrom="page">
              <wp14:pctHeight>0</wp14:pctHeight>
            </wp14:sizeRelV>
          </wp:anchor>
        </w:drawing>
      </w:r>
      <w:r w:rsidR="006B162E">
        <w:t xml:space="preserve"> </w:t>
      </w:r>
      <w:r w:rsidR="00264735">
        <w:t xml:space="preserve"> </w:t>
      </w:r>
      <w:r w:rsidR="00102A99">
        <w:br w:type="page"/>
      </w:r>
      <w:bookmarkStart w:id="4" w:name="_MacBuGuideStaticData_10810H"/>
      <w:bookmarkStart w:id="5" w:name="_MacBuGuideStaticData_3861H"/>
      <w:bookmarkEnd w:id="0"/>
      <w:bookmarkEnd w:id="1"/>
      <w:bookmarkEnd w:id="2"/>
      <w:bookmarkEnd w:id="3"/>
    </w:p>
    <w:p w14:paraId="253CE905" w14:textId="77FD6192" w:rsidR="00BF4DE0" w:rsidRDefault="005603EC" w:rsidP="00821E02">
      <w:pPr>
        <w:rPr>
          <w:b/>
          <w:sz w:val="32"/>
          <w:szCs w:val="32"/>
        </w:rPr>
      </w:pPr>
      <w:r w:rsidRPr="005603EC">
        <w:rPr>
          <w:b/>
          <w:sz w:val="32"/>
          <w:szCs w:val="32"/>
        </w:rPr>
        <w:lastRenderedPageBreak/>
        <w:t>Primary Medical Care Policy and Guidance Manual (PGM)</w:t>
      </w:r>
    </w:p>
    <w:p w14:paraId="6A884758" w14:textId="77777777" w:rsidR="005603EC" w:rsidRPr="00AD18FA" w:rsidRDefault="005603EC" w:rsidP="00821E02"/>
    <w:p w14:paraId="7D687E6F" w14:textId="77777777" w:rsidR="00BF4DE0" w:rsidRDefault="00BF4DE0" w:rsidP="00BF4DE0"/>
    <w:p w14:paraId="635319E6" w14:textId="49584BA1" w:rsidR="005603EC" w:rsidRPr="00235874" w:rsidRDefault="005603EC" w:rsidP="005603EC">
      <w:pPr>
        <w:spacing w:line="360" w:lineRule="auto"/>
        <w:rPr>
          <w:rFonts w:cs="Arial"/>
        </w:rPr>
      </w:pPr>
      <w:r w:rsidRPr="00235874">
        <w:rPr>
          <w:rFonts w:cs="Arial"/>
        </w:rPr>
        <w:t xml:space="preserve">Version number: </w:t>
      </w:r>
      <w:r w:rsidR="00C838A2">
        <w:rPr>
          <w:rFonts w:cs="Arial"/>
        </w:rPr>
        <w:t>4</w:t>
      </w:r>
      <w:r w:rsidRPr="00235874">
        <w:rPr>
          <w:rFonts w:cs="Arial"/>
        </w:rPr>
        <w:t>.0</w:t>
      </w:r>
    </w:p>
    <w:p w14:paraId="06157130" w14:textId="77777777" w:rsidR="005603EC" w:rsidRPr="00235874" w:rsidRDefault="005603EC" w:rsidP="005603EC">
      <w:pPr>
        <w:spacing w:line="360" w:lineRule="auto"/>
        <w:rPr>
          <w:rFonts w:cs="Arial"/>
        </w:rPr>
      </w:pPr>
    </w:p>
    <w:p w14:paraId="2ACE431A" w14:textId="77777777" w:rsidR="00CC7DCB" w:rsidRDefault="005603EC" w:rsidP="00CC7DCB">
      <w:pPr>
        <w:spacing w:line="360" w:lineRule="auto"/>
        <w:rPr>
          <w:rFonts w:cs="Arial"/>
        </w:rPr>
      </w:pPr>
      <w:r w:rsidRPr="00235874">
        <w:rPr>
          <w:rFonts w:cs="Arial"/>
        </w:rPr>
        <w:t>First published: 12 January 2016 (as</w:t>
      </w:r>
      <w:r w:rsidR="004E51D3">
        <w:rPr>
          <w:rFonts w:cs="Arial"/>
        </w:rPr>
        <w:t xml:space="preserve"> Policy Book for </w:t>
      </w:r>
      <w:r w:rsidRPr="00235874">
        <w:rPr>
          <w:rFonts w:cs="Arial"/>
        </w:rPr>
        <w:t xml:space="preserve">Primary Medical </w:t>
      </w:r>
      <w:r w:rsidR="004E51D3">
        <w:rPr>
          <w:rFonts w:cs="Arial"/>
        </w:rPr>
        <w:t>Services</w:t>
      </w:r>
      <w:r w:rsidR="00D06A6B">
        <w:rPr>
          <w:rFonts w:cs="Arial"/>
        </w:rPr>
        <w:t>)</w:t>
      </w:r>
    </w:p>
    <w:p w14:paraId="3E0B6A9C" w14:textId="5705C281" w:rsidR="00B562D2" w:rsidRPr="00235874" w:rsidRDefault="00CC7DCB" w:rsidP="00CC7DCB">
      <w:pPr>
        <w:spacing w:line="360" w:lineRule="auto"/>
        <w:rPr>
          <w:rFonts w:cs="Arial"/>
        </w:rPr>
      </w:pPr>
      <w:r>
        <w:rPr>
          <w:rFonts w:cs="Arial"/>
        </w:rPr>
        <w:t>First  update: 09 November 2017</w:t>
      </w:r>
    </w:p>
    <w:p w14:paraId="28C340D9" w14:textId="7662870E" w:rsidR="005603EC" w:rsidRDefault="00CC7DCB" w:rsidP="005603EC">
      <w:pPr>
        <w:spacing w:line="360" w:lineRule="auto"/>
        <w:rPr>
          <w:rFonts w:cs="Arial"/>
        </w:rPr>
      </w:pPr>
      <w:r>
        <w:rPr>
          <w:rFonts w:cs="Arial"/>
        </w:rPr>
        <w:t>Current u</w:t>
      </w:r>
      <w:r w:rsidR="005603EC" w:rsidRPr="00235874">
        <w:rPr>
          <w:rFonts w:cs="Arial"/>
        </w:rPr>
        <w:t xml:space="preserve">pdate: </w:t>
      </w:r>
      <w:r w:rsidR="00D353AD">
        <w:rPr>
          <w:rFonts w:cs="Arial"/>
        </w:rPr>
        <w:t xml:space="preserve">February </w:t>
      </w:r>
      <w:r w:rsidR="00702B50">
        <w:rPr>
          <w:rFonts w:cs="Arial"/>
        </w:rPr>
        <w:t>20</w:t>
      </w:r>
      <w:r w:rsidR="00344AF9">
        <w:rPr>
          <w:rFonts w:cs="Arial"/>
        </w:rPr>
        <w:t>2</w:t>
      </w:r>
      <w:r w:rsidR="00D353AD">
        <w:rPr>
          <w:rFonts w:cs="Arial"/>
        </w:rPr>
        <w:t>2</w:t>
      </w:r>
    </w:p>
    <w:p w14:paraId="22802C4D" w14:textId="2A304F1B" w:rsidR="0017551F" w:rsidRDefault="0017551F" w:rsidP="005603EC">
      <w:pPr>
        <w:spacing w:line="360" w:lineRule="auto"/>
        <w:rPr>
          <w:rFonts w:cs="Arial"/>
        </w:rPr>
      </w:pPr>
    </w:p>
    <w:p w14:paraId="1A577D14" w14:textId="502530DD" w:rsidR="0017551F" w:rsidRDefault="0017551F" w:rsidP="005603EC">
      <w:pPr>
        <w:spacing w:line="360" w:lineRule="auto"/>
        <w:rPr>
          <w:rFonts w:cs="Arial"/>
        </w:rPr>
      </w:pPr>
      <w:r w:rsidRPr="0017551F">
        <w:rPr>
          <w:rFonts w:cs="Arial"/>
          <w:highlight w:val="yellow"/>
        </w:rPr>
        <w:t xml:space="preserve">Changes from version </w:t>
      </w:r>
      <w:r w:rsidR="001629D6">
        <w:rPr>
          <w:rFonts w:cs="Arial"/>
          <w:highlight w:val="yellow"/>
        </w:rPr>
        <w:t>3</w:t>
      </w:r>
      <w:r w:rsidRPr="0017551F">
        <w:rPr>
          <w:rFonts w:cs="Arial"/>
          <w:highlight w:val="yellow"/>
        </w:rPr>
        <w:t xml:space="preserve"> have been highlighted in yellow</w:t>
      </w:r>
    </w:p>
    <w:p w14:paraId="1CB79FD5" w14:textId="77777777" w:rsidR="0017551F" w:rsidRPr="00235874" w:rsidRDefault="0017551F" w:rsidP="005603EC">
      <w:pPr>
        <w:spacing w:line="360" w:lineRule="auto"/>
        <w:rPr>
          <w:rFonts w:cs="Arial"/>
        </w:rPr>
      </w:pPr>
    </w:p>
    <w:p w14:paraId="1BCFF8EE" w14:textId="49B0E177" w:rsidR="005603EC" w:rsidRPr="00235874" w:rsidRDefault="005603EC" w:rsidP="005603EC">
      <w:pPr>
        <w:spacing w:line="360" w:lineRule="auto"/>
        <w:rPr>
          <w:rFonts w:cs="Arial"/>
        </w:rPr>
      </w:pPr>
      <w:r w:rsidRPr="00235874">
        <w:rPr>
          <w:rFonts w:cs="Arial"/>
        </w:rPr>
        <w:t xml:space="preserve">Prepared by: </w:t>
      </w:r>
      <w:r w:rsidR="0005285B" w:rsidRPr="0005285B">
        <w:rPr>
          <w:rFonts w:cs="Arial"/>
        </w:rPr>
        <w:t xml:space="preserve">Iyabo Akanmu-Ogunremi </w:t>
      </w:r>
      <w:hyperlink r:id="rId14" w:history="1">
        <w:r w:rsidR="004E041C" w:rsidRPr="004E041C">
          <w:rPr>
            <w:rStyle w:val="Hyperlink"/>
            <w:rFonts w:cs="Arial"/>
          </w:rPr>
          <w:t>iyabo.akanmu-ogunremi@nhs.net</w:t>
        </w:r>
      </w:hyperlink>
      <w:r w:rsidR="004E041C">
        <w:rPr>
          <w:rFonts w:cs="Arial"/>
        </w:rPr>
        <w:t xml:space="preserve"> </w:t>
      </w:r>
      <w:r w:rsidR="003B4388">
        <w:rPr>
          <w:rFonts w:cs="Arial"/>
        </w:rPr>
        <w:t xml:space="preserve"> </w:t>
      </w:r>
    </w:p>
    <w:p w14:paraId="148D7E8E" w14:textId="77777777" w:rsidR="005603EC" w:rsidRPr="00235874" w:rsidRDefault="005603EC" w:rsidP="005603EC">
      <w:pPr>
        <w:spacing w:line="360" w:lineRule="auto"/>
        <w:rPr>
          <w:rFonts w:cs="Arial"/>
        </w:rPr>
      </w:pPr>
    </w:p>
    <w:p w14:paraId="133CDAFD" w14:textId="77777777" w:rsidR="005603EC" w:rsidRPr="00235874" w:rsidRDefault="005603EC" w:rsidP="005603EC">
      <w:pPr>
        <w:spacing w:line="360" w:lineRule="auto"/>
        <w:rPr>
          <w:rFonts w:cs="Arial"/>
        </w:rPr>
      </w:pPr>
      <w:r w:rsidRPr="00235874">
        <w:rPr>
          <w:rFonts w:cs="Arial"/>
        </w:rPr>
        <w:t>Classification: OFFICIAL</w:t>
      </w:r>
    </w:p>
    <w:p w14:paraId="3046A124" w14:textId="77777777" w:rsidR="0064323B" w:rsidRPr="00485AE8" w:rsidRDefault="0064323B" w:rsidP="0064323B">
      <w:pPr>
        <w:rPr>
          <w:b/>
          <w:szCs w:val="24"/>
        </w:rPr>
      </w:pPr>
    </w:p>
    <w:p w14:paraId="4D650570" w14:textId="72B83E0D" w:rsidR="0064323B" w:rsidRPr="00485AE8" w:rsidRDefault="005603EC" w:rsidP="00912FE4">
      <w:pPr>
        <w:widowControl w:val="0"/>
        <w:autoSpaceDE w:val="0"/>
        <w:autoSpaceDN w:val="0"/>
        <w:adjustRightInd w:val="0"/>
        <w:spacing w:line="360" w:lineRule="auto"/>
        <w:rPr>
          <w:rFonts w:ascii="Calibri" w:eastAsia="HGSMinchoE" w:hAnsi="Calibri" w:cs="Calibri"/>
          <w:bCs w:val="0"/>
          <w:szCs w:val="24"/>
          <w:lang w:eastAsia="en-GB"/>
        </w:rPr>
      </w:pPr>
      <w:r w:rsidRPr="00FA7B89">
        <w:rPr>
          <w:rFonts w:eastAsia="HGSMinchoE" w:cs="Arial"/>
          <w:bCs w:val="0"/>
          <w:szCs w:val="24"/>
          <w:lang w:eastAsia="en-GB"/>
        </w:rPr>
        <w:t>This information can be made available in alternative formats, such as easy read or large print, and may be available in alternative languages, upon request. Please contact the Primary Care Commissioning Team on</w:t>
      </w:r>
      <w:r w:rsidRPr="00235874">
        <w:rPr>
          <w:rFonts w:eastAsia="HGSMinchoE" w:cs="Arial"/>
          <w:bCs w:val="0"/>
          <w:sz w:val="32"/>
          <w:szCs w:val="32"/>
          <w:lang w:eastAsia="en-GB"/>
        </w:rPr>
        <w:t xml:space="preserve"> </w:t>
      </w:r>
      <w:hyperlink r:id="rId15" w:history="1">
        <w:r w:rsidR="004E041C" w:rsidRPr="00764A0A">
          <w:rPr>
            <w:rStyle w:val="Hyperlink"/>
            <w:lang w:val="en-US"/>
          </w:rPr>
          <w:t>england.gpcommissioning@nhs.net</w:t>
        </w:r>
      </w:hyperlink>
      <w:r w:rsidR="004E041C">
        <w:rPr>
          <w:lang w:val="en-US"/>
        </w:rPr>
        <w:t xml:space="preserve"> </w:t>
      </w:r>
      <w:r w:rsidR="00153B30">
        <w:rPr>
          <w:lang w:val="en-US"/>
        </w:rPr>
        <w:t xml:space="preserve"> </w:t>
      </w:r>
    </w:p>
    <w:p w14:paraId="7C1947A1" w14:textId="246AA1F1" w:rsidR="00CA78CE" w:rsidRPr="00F962EA" w:rsidRDefault="00BF4DE0" w:rsidP="00F962EA">
      <w:pPr>
        <w:rPr>
          <w:b/>
          <w:i/>
          <w:color w:val="003087" w:themeColor="accent1"/>
        </w:rPr>
      </w:pPr>
      <w:r>
        <w:br w:type="page"/>
      </w:r>
    </w:p>
    <w:sdt>
      <w:sdtPr>
        <w:rPr>
          <w:rFonts w:cs="Times New Roman"/>
          <w:b w:val="0"/>
          <w:color w:val="auto"/>
          <w:sz w:val="24"/>
          <w:szCs w:val="26"/>
          <w:lang w:val="en-GB" w:eastAsia="en-US"/>
        </w:rPr>
        <w:id w:val="-2042882555"/>
        <w:docPartObj>
          <w:docPartGallery w:val="Table of Contents"/>
          <w:docPartUnique/>
        </w:docPartObj>
      </w:sdtPr>
      <w:sdtEndPr>
        <w:rPr>
          <w:noProof/>
        </w:rPr>
      </w:sdtEndPr>
      <w:sdtContent>
        <w:p w14:paraId="322640D1" w14:textId="554BE566" w:rsidR="00446DA6" w:rsidRPr="00B64D47" w:rsidRDefault="00446DA6" w:rsidP="004A02AA">
          <w:pPr>
            <w:pStyle w:val="TOCHeading"/>
            <w:numPr>
              <w:ilvl w:val="0"/>
              <w:numId w:val="0"/>
            </w:numPr>
            <w:spacing w:before="120" w:after="120"/>
            <w:ind w:left="432"/>
          </w:pPr>
          <w:r>
            <w:t>Contents</w:t>
          </w:r>
          <w:r w:rsidR="00552572">
            <w:t xml:space="preserve"> </w:t>
          </w:r>
        </w:p>
        <w:p w14:paraId="4A82DF7E" w14:textId="5AAA1F15" w:rsidR="004564CB" w:rsidRDefault="00846153">
          <w:pPr>
            <w:pStyle w:val="TOC1"/>
            <w:rPr>
              <w:rFonts w:asciiTheme="minorHAnsi" w:eastAsiaTheme="minorEastAsia" w:hAnsiTheme="minorHAnsi" w:cstheme="minorBidi"/>
              <w:bCs w:val="0"/>
              <w:color w:val="auto"/>
              <w:sz w:val="22"/>
              <w:szCs w:val="22"/>
              <w:lang w:eastAsia="en-GB"/>
            </w:rPr>
          </w:pPr>
          <w:r>
            <w:fldChar w:fldCharType="begin"/>
          </w:r>
          <w:r>
            <w:instrText xml:space="preserve"> TOC \o "1-2" \h \z \u </w:instrText>
          </w:r>
          <w:r>
            <w:fldChar w:fldCharType="separate"/>
          </w:r>
          <w:hyperlink w:anchor="_Toc95743347" w:history="1">
            <w:r w:rsidR="004564CB" w:rsidRPr="000E1403">
              <w:rPr>
                <w:rStyle w:val="Hyperlink"/>
              </w:rPr>
              <w:t>Part A – Excellent Commissioning and Partnership Working</w:t>
            </w:r>
            <w:r w:rsidR="004564CB">
              <w:rPr>
                <w:webHidden/>
              </w:rPr>
              <w:tab/>
            </w:r>
            <w:r w:rsidR="004564CB">
              <w:rPr>
                <w:webHidden/>
              </w:rPr>
              <w:fldChar w:fldCharType="begin"/>
            </w:r>
            <w:r w:rsidR="004564CB">
              <w:rPr>
                <w:webHidden/>
              </w:rPr>
              <w:instrText xml:space="preserve"> PAGEREF _Toc95743347 \h </w:instrText>
            </w:r>
            <w:r w:rsidR="004564CB">
              <w:rPr>
                <w:webHidden/>
              </w:rPr>
            </w:r>
            <w:r w:rsidR="004564CB">
              <w:rPr>
                <w:webHidden/>
              </w:rPr>
              <w:fldChar w:fldCharType="separate"/>
            </w:r>
            <w:r w:rsidR="00A176C0">
              <w:rPr>
                <w:webHidden/>
              </w:rPr>
              <w:t>17</w:t>
            </w:r>
            <w:r w:rsidR="004564CB">
              <w:rPr>
                <w:webHidden/>
              </w:rPr>
              <w:fldChar w:fldCharType="end"/>
            </w:r>
          </w:hyperlink>
        </w:p>
        <w:p w14:paraId="19C4CC2D" w14:textId="4ACEA556" w:rsidR="004564CB" w:rsidRDefault="000B57EE">
          <w:pPr>
            <w:pStyle w:val="TOC1"/>
            <w:rPr>
              <w:rFonts w:asciiTheme="minorHAnsi" w:eastAsiaTheme="minorEastAsia" w:hAnsiTheme="minorHAnsi" w:cstheme="minorBidi"/>
              <w:bCs w:val="0"/>
              <w:color w:val="auto"/>
              <w:sz w:val="22"/>
              <w:szCs w:val="22"/>
              <w:lang w:eastAsia="en-GB"/>
            </w:rPr>
          </w:pPr>
          <w:hyperlink w:anchor="_Toc95743348" w:history="1">
            <w:r w:rsidR="004564CB" w:rsidRPr="000E1403">
              <w:rPr>
                <w:rStyle w:val="Hyperlink"/>
              </w:rPr>
              <w:t>1</w:t>
            </w:r>
            <w:r w:rsidR="004564CB">
              <w:rPr>
                <w:rFonts w:asciiTheme="minorHAnsi" w:eastAsiaTheme="minorEastAsia" w:hAnsiTheme="minorHAnsi" w:cstheme="minorBidi"/>
                <w:bCs w:val="0"/>
                <w:color w:val="auto"/>
                <w:sz w:val="22"/>
                <w:szCs w:val="22"/>
                <w:lang w:eastAsia="en-GB"/>
              </w:rPr>
              <w:tab/>
            </w:r>
            <w:r w:rsidR="004564CB" w:rsidRPr="000E1403">
              <w:rPr>
                <w:rStyle w:val="Hyperlink"/>
              </w:rPr>
              <w:t>Introduction</w:t>
            </w:r>
            <w:r w:rsidR="004564CB">
              <w:rPr>
                <w:webHidden/>
              </w:rPr>
              <w:tab/>
            </w:r>
            <w:r w:rsidR="004564CB">
              <w:rPr>
                <w:webHidden/>
              </w:rPr>
              <w:fldChar w:fldCharType="begin"/>
            </w:r>
            <w:r w:rsidR="004564CB">
              <w:rPr>
                <w:webHidden/>
              </w:rPr>
              <w:instrText xml:space="preserve"> PAGEREF _Toc95743348 \h </w:instrText>
            </w:r>
            <w:r w:rsidR="004564CB">
              <w:rPr>
                <w:webHidden/>
              </w:rPr>
            </w:r>
            <w:r w:rsidR="004564CB">
              <w:rPr>
                <w:webHidden/>
              </w:rPr>
              <w:fldChar w:fldCharType="separate"/>
            </w:r>
            <w:r w:rsidR="00A176C0">
              <w:rPr>
                <w:webHidden/>
              </w:rPr>
              <w:t>18</w:t>
            </w:r>
            <w:r w:rsidR="004564CB">
              <w:rPr>
                <w:webHidden/>
              </w:rPr>
              <w:fldChar w:fldCharType="end"/>
            </w:r>
          </w:hyperlink>
        </w:p>
        <w:p w14:paraId="2DD9A74D" w14:textId="3CA2A0A1" w:rsidR="004564CB" w:rsidRDefault="000B57EE">
          <w:pPr>
            <w:pStyle w:val="TOC2"/>
            <w:rPr>
              <w:rFonts w:asciiTheme="minorHAnsi" w:eastAsiaTheme="minorEastAsia" w:hAnsiTheme="minorHAnsi" w:cstheme="minorBidi"/>
              <w:bCs w:val="0"/>
              <w:noProof/>
              <w:sz w:val="22"/>
              <w:szCs w:val="22"/>
              <w:lang w:eastAsia="en-GB"/>
            </w:rPr>
          </w:pPr>
          <w:hyperlink w:anchor="_Toc95743349" w:history="1">
            <w:r w:rsidR="004564CB" w:rsidRPr="000E1403">
              <w:rPr>
                <w:rStyle w:val="Hyperlink"/>
                <w:noProof/>
                <w:lang w:eastAsia="en-GB"/>
                <w14:scene3d>
                  <w14:camera w14:prst="orthographicFront"/>
                  <w14:lightRig w14:rig="threePt" w14:dir="t">
                    <w14:rot w14:lat="0" w14:lon="0" w14:rev="0"/>
                  </w14:lightRig>
                </w14:scene3d>
              </w:rPr>
              <w:t>1.1</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Introduction</w:t>
            </w:r>
            <w:r w:rsidR="004564CB">
              <w:rPr>
                <w:noProof/>
                <w:webHidden/>
              </w:rPr>
              <w:tab/>
            </w:r>
            <w:r w:rsidR="004564CB">
              <w:rPr>
                <w:noProof/>
                <w:webHidden/>
              </w:rPr>
              <w:fldChar w:fldCharType="begin"/>
            </w:r>
            <w:r w:rsidR="004564CB">
              <w:rPr>
                <w:noProof/>
                <w:webHidden/>
              </w:rPr>
              <w:instrText xml:space="preserve"> PAGEREF _Toc95743349 \h </w:instrText>
            </w:r>
            <w:r w:rsidR="004564CB">
              <w:rPr>
                <w:noProof/>
                <w:webHidden/>
              </w:rPr>
            </w:r>
            <w:r w:rsidR="004564CB">
              <w:rPr>
                <w:noProof/>
                <w:webHidden/>
              </w:rPr>
              <w:fldChar w:fldCharType="separate"/>
            </w:r>
            <w:r w:rsidR="00A176C0">
              <w:rPr>
                <w:noProof/>
                <w:webHidden/>
              </w:rPr>
              <w:t>18</w:t>
            </w:r>
            <w:r w:rsidR="004564CB">
              <w:rPr>
                <w:noProof/>
                <w:webHidden/>
              </w:rPr>
              <w:fldChar w:fldCharType="end"/>
            </w:r>
          </w:hyperlink>
        </w:p>
        <w:p w14:paraId="11F3FD5B" w14:textId="1EA81412" w:rsidR="004564CB" w:rsidRDefault="000B57EE">
          <w:pPr>
            <w:pStyle w:val="TOC2"/>
            <w:rPr>
              <w:rFonts w:asciiTheme="minorHAnsi" w:eastAsiaTheme="minorEastAsia" w:hAnsiTheme="minorHAnsi" w:cstheme="minorBidi"/>
              <w:bCs w:val="0"/>
              <w:noProof/>
              <w:sz w:val="22"/>
              <w:szCs w:val="22"/>
              <w:lang w:eastAsia="en-GB"/>
            </w:rPr>
          </w:pPr>
          <w:hyperlink w:anchor="_Toc95743350" w:history="1">
            <w:r w:rsidR="004564CB" w:rsidRPr="000E1403">
              <w:rPr>
                <w:rStyle w:val="Hyperlink"/>
                <w:noProof/>
                <w:lang w:eastAsia="en-GB"/>
                <w14:scene3d>
                  <w14:camera w14:prst="orthographicFront"/>
                  <w14:lightRig w14:rig="threePt" w14:dir="t">
                    <w14:rot w14:lat="0" w14:lon="0" w14:rev="0"/>
                  </w14:lightRig>
                </w14:scene3d>
              </w:rPr>
              <w:t>1.2</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Structure</w:t>
            </w:r>
            <w:r w:rsidR="004564CB">
              <w:rPr>
                <w:noProof/>
                <w:webHidden/>
              </w:rPr>
              <w:tab/>
            </w:r>
            <w:r w:rsidR="004564CB">
              <w:rPr>
                <w:noProof/>
                <w:webHidden/>
              </w:rPr>
              <w:fldChar w:fldCharType="begin"/>
            </w:r>
            <w:r w:rsidR="004564CB">
              <w:rPr>
                <w:noProof/>
                <w:webHidden/>
              </w:rPr>
              <w:instrText xml:space="preserve"> PAGEREF _Toc95743350 \h </w:instrText>
            </w:r>
            <w:r w:rsidR="004564CB">
              <w:rPr>
                <w:noProof/>
                <w:webHidden/>
              </w:rPr>
            </w:r>
            <w:r w:rsidR="004564CB">
              <w:rPr>
                <w:noProof/>
                <w:webHidden/>
              </w:rPr>
              <w:fldChar w:fldCharType="separate"/>
            </w:r>
            <w:r w:rsidR="00A176C0">
              <w:rPr>
                <w:noProof/>
                <w:webHidden/>
              </w:rPr>
              <w:t>19</w:t>
            </w:r>
            <w:r w:rsidR="004564CB">
              <w:rPr>
                <w:noProof/>
                <w:webHidden/>
              </w:rPr>
              <w:fldChar w:fldCharType="end"/>
            </w:r>
          </w:hyperlink>
        </w:p>
        <w:p w14:paraId="584B515E" w14:textId="7EC6C56F" w:rsidR="004564CB" w:rsidRDefault="000B57EE">
          <w:pPr>
            <w:pStyle w:val="TOC2"/>
            <w:rPr>
              <w:rFonts w:asciiTheme="minorHAnsi" w:eastAsiaTheme="minorEastAsia" w:hAnsiTheme="minorHAnsi" w:cstheme="minorBidi"/>
              <w:bCs w:val="0"/>
              <w:noProof/>
              <w:sz w:val="22"/>
              <w:szCs w:val="22"/>
              <w:lang w:eastAsia="en-GB"/>
            </w:rPr>
          </w:pPr>
          <w:hyperlink w:anchor="_Toc95743351" w:history="1">
            <w:r w:rsidR="004564CB" w:rsidRPr="000E1403">
              <w:rPr>
                <w:rStyle w:val="Hyperlink"/>
                <w:noProof/>
                <w:lang w:eastAsia="en-GB"/>
                <w14:scene3d>
                  <w14:camera w14:prst="orthographicFront"/>
                  <w14:lightRig w14:rig="threePt" w14:dir="t">
                    <w14:rot w14:lat="0" w14:lon="0" w14:rev="0"/>
                  </w14:lightRig>
                </w14:scene3d>
              </w:rPr>
              <w:t>1.3</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Transitional arrangements</w:t>
            </w:r>
            <w:r w:rsidR="004564CB">
              <w:rPr>
                <w:noProof/>
                <w:webHidden/>
              </w:rPr>
              <w:tab/>
            </w:r>
            <w:r w:rsidR="004564CB">
              <w:rPr>
                <w:noProof/>
                <w:webHidden/>
              </w:rPr>
              <w:fldChar w:fldCharType="begin"/>
            </w:r>
            <w:r w:rsidR="004564CB">
              <w:rPr>
                <w:noProof/>
                <w:webHidden/>
              </w:rPr>
              <w:instrText xml:space="preserve"> PAGEREF _Toc95743351 \h </w:instrText>
            </w:r>
            <w:r w:rsidR="004564CB">
              <w:rPr>
                <w:noProof/>
                <w:webHidden/>
              </w:rPr>
            </w:r>
            <w:r w:rsidR="004564CB">
              <w:rPr>
                <w:noProof/>
                <w:webHidden/>
              </w:rPr>
              <w:fldChar w:fldCharType="separate"/>
            </w:r>
            <w:r w:rsidR="00A176C0">
              <w:rPr>
                <w:noProof/>
                <w:webHidden/>
              </w:rPr>
              <w:t>19</w:t>
            </w:r>
            <w:r w:rsidR="004564CB">
              <w:rPr>
                <w:noProof/>
                <w:webHidden/>
              </w:rPr>
              <w:fldChar w:fldCharType="end"/>
            </w:r>
          </w:hyperlink>
        </w:p>
        <w:p w14:paraId="5C7D5DA9" w14:textId="3D01881D" w:rsidR="004564CB" w:rsidRDefault="000B57EE">
          <w:pPr>
            <w:pStyle w:val="TOC1"/>
            <w:rPr>
              <w:rFonts w:asciiTheme="minorHAnsi" w:eastAsiaTheme="minorEastAsia" w:hAnsiTheme="minorHAnsi" w:cstheme="minorBidi"/>
              <w:bCs w:val="0"/>
              <w:color w:val="auto"/>
              <w:sz w:val="22"/>
              <w:szCs w:val="22"/>
              <w:lang w:eastAsia="en-GB"/>
            </w:rPr>
          </w:pPr>
          <w:hyperlink w:anchor="_Toc95743352" w:history="1">
            <w:r w:rsidR="004564CB" w:rsidRPr="000E1403">
              <w:rPr>
                <w:rStyle w:val="Hyperlink"/>
              </w:rPr>
              <w:t>2</w:t>
            </w:r>
            <w:r w:rsidR="004564CB">
              <w:rPr>
                <w:rFonts w:asciiTheme="minorHAnsi" w:eastAsiaTheme="minorEastAsia" w:hAnsiTheme="minorHAnsi" w:cstheme="minorBidi"/>
                <w:bCs w:val="0"/>
                <w:color w:val="auto"/>
                <w:sz w:val="22"/>
                <w:szCs w:val="22"/>
                <w:lang w:eastAsia="en-GB"/>
              </w:rPr>
              <w:tab/>
            </w:r>
            <w:r w:rsidR="004564CB" w:rsidRPr="000E1403">
              <w:rPr>
                <w:rStyle w:val="Hyperlink"/>
              </w:rPr>
              <w:t>Abbreviations and Acronyms</w:t>
            </w:r>
            <w:r w:rsidR="004564CB">
              <w:rPr>
                <w:webHidden/>
              </w:rPr>
              <w:tab/>
            </w:r>
            <w:r w:rsidR="004564CB">
              <w:rPr>
                <w:webHidden/>
              </w:rPr>
              <w:fldChar w:fldCharType="begin"/>
            </w:r>
            <w:r w:rsidR="004564CB">
              <w:rPr>
                <w:webHidden/>
              </w:rPr>
              <w:instrText xml:space="preserve"> PAGEREF _Toc95743352 \h </w:instrText>
            </w:r>
            <w:r w:rsidR="004564CB">
              <w:rPr>
                <w:webHidden/>
              </w:rPr>
            </w:r>
            <w:r w:rsidR="004564CB">
              <w:rPr>
                <w:webHidden/>
              </w:rPr>
              <w:fldChar w:fldCharType="separate"/>
            </w:r>
            <w:r w:rsidR="00A176C0">
              <w:rPr>
                <w:webHidden/>
              </w:rPr>
              <w:t>21</w:t>
            </w:r>
            <w:r w:rsidR="004564CB">
              <w:rPr>
                <w:webHidden/>
              </w:rPr>
              <w:fldChar w:fldCharType="end"/>
            </w:r>
          </w:hyperlink>
        </w:p>
        <w:p w14:paraId="507F066B" w14:textId="51777615" w:rsidR="004564CB" w:rsidRDefault="000B57EE">
          <w:pPr>
            <w:pStyle w:val="TOC2"/>
            <w:rPr>
              <w:rFonts w:asciiTheme="minorHAnsi" w:eastAsiaTheme="minorEastAsia" w:hAnsiTheme="minorHAnsi" w:cstheme="minorBidi"/>
              <w:bCs w:val="0"/>
              <w:noProof/>
              <w:sz w:val="22"/>
              <w:szCs w:val="22"/>
              <w:lang w:eastAsia="en-GB"/>
            </w:rPr>
          </w:pPr>
          <w:hyperlink w:anchor="_Toc95743353" w:history="1">
            <w:r w:rsidR="004564CB" w:rsidRPr="000E1403">
              <w:rPr>
                <w:rStyle w:val="Hyperlink"/>
                <w:noProof/>
                <w14:scene3d>
                  <w14:camera w14:prst="orthographicFront"/>
                  <w14:lightRig w14:rig="threePt" w14:dir="t">
                    <w14:rot w14:lat="0" w14:lon="0" w14:rev="0"/>
                  </w14:lightRig>
                </w14:scene3d>
              </w:rPr>
              <w:t>2.1</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Abbreviations and Acronyms</w:t>
            </w:r>
            <w:r w:rsidR="004564CB">
              <w:rPr>
                <w:noProof/>
                <w:webHidden/>
              </w:rPr>
              <w:tab/>
            </w:r>
            <w:r w:rsidR="004564CB">
              <w:rPr>
                <w:noProof/>
                <w:webHidden/>
              </w:rPr>
              <w:fldChar w:fldCharType="begin"/>
            </w:r>
            <w:r w:rsidR="004564CB">
              <w:rPr>
                <w:noProof/>
                <w:webHidden/>
              </w:rPr>
              <w:instrText xml:space="preserve"> PAGEREF _Toc95743353 \h </w:instrText>
            </w:r>
            <w:r w:rsidR="004564CB">
              <w:rPr>
                <w:noProof/>
                <w:webHidden/>
              </w:rPr>
            </w:r>
            <w:r w:rsidR="004564CB">
              <w:rPr>
                <w:noProof/>
                <w:webHidden/>
              </w:rPr>
              <w:fldChar w:fldCharType="separate"/>
            </w:r>
            <w:r w:rsidR="00A176C0">
              <w:rPr>
                <w:noProof/>
                <w:webHidden/>
              </w:rPr>
              <w:t>21</w:t>
            </w:r>
            <w:r w:rsidR="004564CB">
              <w:rPr>
                <w:noProof/>
                <w:webHidden/>
              </w:rPr>
              <w:fldChar w:fldCharType="end"/>
            </w:r>
          </w:hyperlink>
        </w:p>
        <w:p w14:paraId="34261189" w14:textId="4D5DD051" w:rsidR="004564CB" w:rsidRDefault="000B57EE">
          <w:pPr>
            <w:pStyle w:val="TOC1"/>
            <w:rPr>
              <w:rFonts w:asciiTheme="minorHAnsi" w:eastAsiaTheme="minorEastAsia" w:hAnsiTheme="minorHAnsi" w:cstheme="minorBidi"/>
              <w:bCs w:val="0"/>
              <w:color w:val="auto"/>
              <w:sz w:val="22"/>
              <w:szCs w:val="22"/>
              <w:lang w:eastAsia="en-GB"/>
            </w:rPr>
          </w:pPr>
          <w:hyperlink w:anchor="_Toc95743354" w:history="1">
            <w:r w:rsidR="004564CB" w:rsidRPr="000E1403">
              <w:rPr>
                <w:rStyle w:val="Hyperlink"/>
              </w:rPr>
              <w:t>3</w:t>
            </w:r>
            <w:r w:rsidR="004564CB">
              <w:rPr>
                <w:rFonts w:asciiTheme="minorHAnsi" w:eastAsiaTheme="minorEastAsia" w:hAnsiTheme="minorHAnsi" w:cstheme="minorBidi"/>
                <w:bCs w:val="0"/>
                <w:color w:val="auto"/>
                <w:sz w:val="22"/>
                <w:szCs w:val="22"/>
                <w:lang w:eastAsia="en-GB"/>
              </w:rPr>
              <w:tab/>
            </w:r>
            <w:r w:rsidR="004564CB" w:rsidRPr="000E1403">
              <w:rPr>
                <w:rStyle w:val="Hyperlink"/>
              </w:rPr>
              <w:t>Commissioning Described</w:t>
            </w:r>
            <w:r w:rsidR="004564CB">
              <w:rPr>
                <w:webHidden/>
              </w:rPr>
              <w:tab/>
            </w:r>
            <w:r w:rsidR="004564CB">
              <w:rPr>
                <w:webHidden/>
              </w:rPr>
              <w:fldChar w:fldCharType="begin"/>
            </w:r>
            <w:r w:rsidR="004564CB">
              <w:rPr>
                <w:webHidden/>
              </w:rPr>
              <w:instrText xml:space="preserve"> PAGEREF _Toc95743354 \h </w:instrText>
            </w:r>
            <w:r w:rsidR="004564CB">
              <w:rPr>
                <w:webHidden/>
              </w:rPr>
            </w:r>
            <w:r w:rsidR="004564CB">
              <w:rPr>
                <w:webHidden/>
              </w:rPr>
              <w:fldChar w:fldCharType="separate"/>
            </w:r>
            <w:r w:rsidR="00A176C0">
              <w:rPr>
                <w:webHidden/>
              </w:rPr>
              <w:t>24</w:t>
            </w:r>
            <w:r w:rsidR="004564CB">
              <w:rPr>
                <w:webHidden/>
              </w:rPr>
              <w:fldChar w:fldCharType="end"/>
            </w:r>
          </w:hyperlink>
        </w:p>
        <w:p w14:paraId="337B865E" w14:textId="341F0E30" w:rsidR="004564CB" w:rsidRDefault="000B57EE">
          <w:pPr>
            <w:pStyle w:val="TOC2"/>
            <w:rPr>
              <w:rFonts w:asciiTheme="minorHAnsi" w:eastAsiaTheme="minorEastAsia" w:hAnsiTheme="minorHAnsi" w:cstheme="minorBidi"/>
              <w:bCs w:val="0"/>
              <w:noProof/>
              <w:sz w:val="22"/>
              <w:szCs w:val="22"/>
              <w:lang w:eastAsia="en-GB"/>
            </w:rPr>
          </w:pPr>
          <w:hyperlink w:anchor="_Toc95743355" w:history="1">
            <w:r w:rsidR="004564CB" w:rsidRPr="000E1403">
              <w:rPr>
                <w:rStyle w:val="Hyperlink"/>
                <w:noProof/>
                <w14:scene3d>
                  <w14:camera w14:prst="orthographicFront"/>
                  <w14:lightRig w14:rig="threePt" w14:dir="t">
                    <w14:rot w14:lat="0" w14:lon="0" w14:rev="0"/>
                  </w14:lightRig>
                </w14:scene3d>
              </w:rPr>
              <w:t>3.1</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Commissioning Arrangements</w:t>
            </w:r>
            <w:r w:rsidR="004564CB">
              <w:rPr>
                <w:noProof/>
                <w:webHidden/>
              </w:rPr>
              <w:tab/>
            </w:r>
            <w:r w:rsidR="004564CB">
              <w:rPr>
                <w:noProof/>
                <w:webHidden/>
              </w:rPr>
              <w:fldChar w:fldCharType="begin"/>
            </w:r>
            <w:r w:rsidR="004564CB">
              <w:rPr>
                <w:noProof/>
                <w:webHidden/>
              </w:rPr>
              <w:instrText xml:space="preserve"> PAGEREF _Toc95743355 \h </w:instrText>
            </w:r>
            <w:r w:rsidR="004564CB">
              <w:rPr>
                <w:noProof/>
                <w:webHidden/>
              </w:rPr>
            </w:r>
            <w:r w:rsidR="004564CB">
              <w:rPr>
                <w:noProof/>
                <w:webHidden/>
              </w:rPr>
              <w:fldChar w:fldCharType="separate"/>
            </w:r>
            <w:r w:rsidR="00A176C0">
              <w:rPr>
                <w:noProof/>
                <w:webHidden/>
              </w:rPr>
              <w:t>24</w:t>
            </w:r>
            <w:r w:rsidR="004564CB">
              <w:rPr>
                <w:noProof/>
                <w:webHidden/>
              </w:rPr>
              <w:fldChar w:fldCharType="end"/>
            </w:r>
          </w:hyperlink>
        </w:p>
        <w:p w14:paraId="24DE9692" w14:textId="52E3EA2B" w:rsidR="004564CB" w:rsidRDefault="000B57EE">
          <w:pPr>
            <w:pStyle w:val="TOC2"/>
            <w:rPr>
              <w:rFonts w:asciiTheme="minorHAnsi" w:eastAsiaTheme="minorEastAsia" w:hAnsiTheme="minorHAnsi" w:cstheme="minorBidi"/>
              <w:bCs w:val="0"/>
              <w:noProof/>
              <w:sz w:val="22"/>
              <w:szCs w:val="22"/>
              <w:lang w:eastAsia="en-GB"/>
            </w:rPr>
          </w:pPr>
          <w:hyperlink w:anchor="_Toc95743356" w:history="1">
            <w:r w:rsidR="004564CB" w:rsidRPr="000E1403">
              <w:rPr>
                <w:rStyle w:val="Hyperlink"/>
                <w:noProof/>
                <w:lang w:eastAsia="en-GB"/>
                <w14:scene3d>
                  <w14:camera w14:prst="orthographicFront"/>
                  <w14:lightRig w14:rig="threePt" w14:dir="t">
                    <w14:rot w14:lat="0" w14:lon="0" w14:rev="0"/>
                  </w14:lightRig>
                </w14:scene3d>
              </w:rPr>
              <w:t>3.2</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Introduction</w:t>
            </w:r>
            <w:r w:rsidR="004564CB">
              <w:rPr>
                <w:noProof/>
                <w:webHidden/>
              </w:rPr>
              <w:tab/>
            </w:r>
            <w:r w:rsidR="004564CB">
              <w:rPr>
                <w:noProof/>
                <w:webHidden/>
              </w:rPr>
              <w:fldChar w:fldCharType="begin"/>
            </w:r>
            <w:r w:rsidR="004564CB">
              <w:rPr>
                <w:noProof/>
                <w:webHidden/>
              </w:rPr>
              <w:instrText xml:space="preserve"> PAGEREF _Toc95743356 \h </w:instrText>
            </w:r>
            <w:r w:rsidR="004564CB">
              <w:rPr>
                <w:noProof/>
                <w:webHidden/>
              </w:rPr>
            </w:r>
            <w:r w:rsidR="004564CB">
              <w:rPr>
                <w:noProof/>
                <w:webHidden/>
              </w:rPr>
              <w:fldChar w:fldCharType="separate"/>
            </w:r>
            <w:r w:rsidR="00A176C0">
              <w:rPr>
                <w:noProof/>
                <w:webHidden/>
              </w:rPr>
              <w:t>24</w:t>
            </w:r>
            <w:r w:rsidR="004564CB">
              <w:rPr>
                <w:noProof/>
                <w:webHidden/>
              </w:rPr>
              <w:fldChar w:fldCharType="end"/>
            </w:r>
          </w:hyperlink>
        </w:p>
        <w:p w14:paraId="0A433164" w14:textId="79119749" w:rsidR="004564CB" w:rsidRDefault="000B57EE">
          <w:pPr>
            <w:pStyle w:val="TOC2"/>
            <w:rPr>
              <w:rFonts w:asciiTheme="minorHAnsi" w:eastAsiaTheme="minorEastAsia" w:hAnsiTheme="minorHAnsi" w:cstheme="minorBidi"/>
              <w:bCs w:val="0"/>
              <w:noProof/>
              <w:sz w:val="22"/>
              <w:szCs w:val="22"/>
              <w:lang w:eastAsia="en-GB"/>
            </w:rPr>
          </w:pPr>
          <w:hyperlink w:anchor="_Toc95743357" w:history="1">
            <w:r w:rsidR="004564CB" w:rsidRPr="000E1403">
              <w:rPr>
                <w:rStyle w:val="Hyperlink"/>
                <w:noProof/>
                <w:lang w:eastAsia="en-GB"/>
                <w14:scene3d>
                  <w14:camera w14:prst="orthographicFront"/>
                  <w14:lightRig w14:rig="threePt" w14:dir="t">
                    <w14:rot w14:lat="0" w14:lon="0" w14:rev="0"/>
                  </w14:lightRig>
                </w14:scene3d>
              </w:rPr>
              <w:t>3.3</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Background</w:t>
            </w:r>
            <w:r w:rsidR="004564CB">
              <w:rPr>
                <w:noProof/>
                <w:webHidden/>
              </w:rPr>
              <w:tab/>
            </w:r>
            <w:r w:rsidR="004564CB">
              <w:rPr>
                <w:noProof/>
                <w:webHidden/>
              </w:rPr>
              <w:fldChar w:fldCharType="begin"/>
            </w:r>
            <w:r w:rsidR="004564CB">
              <w:rPr>
                <w:noProof/>
                <w:webHidden/>
              </w:rPr>
              <w:instrText xml:space="preserve"> PAGEREF _Toc95743357 \h </w:instrText>
            </w:r>
            <w:r w:rsidR="004564CB">
              <w:rPr>
                <w:noProof/>
                <w:webHidden/>
              </w:rPr>
            </w:r>
            <w:r w:rsidR="004564CB">
              <w:rPr>
                <w:noProof/>
                <w:webHidden/>
              </w:rPr>
              <w:fldChar w:fldCharType="separate"/>
            </w:r>
            <w:r w:rsidR="00A176C0">
              <w:rPr>
                <w:noProof/>
                <w:webHidden/>
              </w:rPr>
              <w:t>24</w:t>
            </w:r>
            <w:r w:rsidR="004564CB">
              <w:rPr>
                <w:noProof/>
                <w:webHidden/>
              </w:rPr>
              <w:fldChar w:fldCharType="end"/>
            </w:r>
          </w:hyperlink>
        </w:p>
        <w:p w14:paraId="4ECA6E58" w14:textId="37705EC6" w:rsidR="004564CB" w:rsidRDefault="000B57EE">
          <w:pPr>
            <w:pStyle w:val="TOC2"/>
            <w:rPr>
              <w:rFonts w:asciiTheme="minorHAnsi" w:eastAsiaTheme="minorEastAsia" w:hAnsiTheme="minorHAnsi" w:cstheme="minorBidi"/>
              <w:bCs w:val="0"/>
              <w:noProof/>
              <w:sz w:val="22"/>
              <w:szCs w:val="22"/>
              <w:lang w:eastAsia="en-GB"/>
            </w:rPr>
          </w:pPr>
          <w:hyperlink w:anchor="_Toc95743358" w:history="1">
            <w:r w:rsidR="004564CB" w:rsidRPr="000E1403">
              <w:rPr>
                <w:rStyle w:val="Hyperlink"/>
                <w:noProof/>
                <w:lang w:eastAsia="en-GB"/>
                <w14:scene3d>
                  <w14:camera w14:prst="orthographicFront"/>
                  <w14:lightRig w14:rig="threePt" w14:dir="t">
                    <w14:rot w14:lat="0" w14:lon="0" w14:rev="0"/>
                  </w14:lightRig>
                </w14:scene3d>
              </w:rPr>
              <w:t>3.4</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Co-commissioning Models:</w:t>
            </w:r>
            <w:r w:rsidR="004564CB">
              <w:rPr>
                <w:noProof/>
                <w:webHidden/>
              </w:rPr>
              <w:tab/>
            </w:r>
            <w:r w:rsidR="004564CB">
              <w:rPr>
                <w:noProof/>
                <w:webHidden/>
              </w:rPr>
              <w:fldChar w:fldCharType="begin"/>
            </w:r>
            <w:r w:rsidR="004564CB">
              <w:rPr>
                <w:noProof/>
                <w:webHidden/>
              </w:rPr>
              <w:instrText xml:space="preserve"> PAGEREF _Toc95743358 \h </w:instrText>
            </w:r>
            <w:r w:rsidR="004564CB">
              <w:rPr>
                <w:noProof/>
                <w:webHidden/>
              </w:rPr>
            </w:r>
            <w:r w:rsidR="004564CB">
              <w:rPr>
                <w:noProof/>
                <w:webHidden/>
              </w:rPr>
              <w:fldChar w:fldCharType="separate"/>
            </w:r>
            <w:r w:rsidR="00A176C0">
              <w:rPr>
                <w:noProof/>
                <w:webHidden/>
              </w:rPr>
              <w:t>25</w:t>
            </w:r>
            <w:r w:rsidR="004564CB">
              <w:rPr>
                <w:noProof/>
                <w:webHidden/>
              </w:rPr>
              <w:fldChar w:fldCharType="end"/>
            </w:r>
          </w:hyperlink>
        </w:p>
        <w:p w14:paraId="46F7F578" w14:textId="792E9A91" w:rsidR="004564CB" w:rsidRDefault="000B57EE">
          <w:pPr>
            <w:pStyle w:val="TOC2"/>
            <w:rPr>
              <w:rFonts w:asciiTheme="minorHAnsi" w:eastAsiaTheme="minorEastAsia" w:hAnsiTheme="minorHAnsi" w:cstheme="minorBidi"/>
              <w:bCs w:val="0"/>
              <w:noProof/>
              <w:sz w:val="22"/>
              <w:szCs w:val="22"/>
              <w:lang w:eastAsia="en-GB"/>
            </w:rPr>
          </w:pPr>
          <w:hyperlink w:anchor="_Toc95743359" w:history="1">
            <w:r w:rsidR="004564CB" w:rsidRPr="000E1403">
              <w:rPr>
                <w:rStyle w:val="Hyperlink"/>
                <w:noProof/>
                <w14:scene3d>
                  <w14:camera w14:prst="orthographicFront"/>
                  <w14:lightRig w14:rig="threePt" w14:dir="t">
                    <w14:rot w14:lat="0" w14:lon="0" w14:rev="0"/>
                  </w14:lightRig>
                </w14:scene3d>
              </w:rPr>
              <w:t>3.5</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Greater involvement in primary care co-commissioning:</w:t>
            </w:r>
            <w:r w:rsidR="004564CB">
              <w:rPr>
                <w:noProof/>
                <w:webHidden/>
              </w:rPr>
              <w:tab/>
            </w:r>
            <w:r w:rsidR="004564CB">
              <w:rPr>
                <w:noProof/>
                <w:webHidden/>
              </w:rPr>
              <w:fldChar w:fldCharType="begin"/>
            </w:r>
            <w:r w:rsidR="004564CB">
              <w:rPr>
                <w:noProof/>
                <w:webHidden/>
              </w:rPr>
              <w:instrText xml:space="preserve"> PAGEREF _Toc95743359 \h </w:instrText>
            </w:r>
            <w:r w:rsidR="004564CB">
              <w:rPr>
                <w:noProof/>
                <w:webHidden/>
              </w:rPr>
            </w:r>
            <w:r w:rsidR="004564CB">
              <w:rPr>
                <w:noProof/>
                <w:webHidden/>
              </w:rPr>
              <w:fldChar w:fldCharType="separate"/>
            </w:r>
            <w:r w:rsidR="00A176C0">
              <w:rPr>
                <w:noProof/>
                <w:webHidden/>
              </w:rPr>
              <w:t>25</w:t>
            </w:r>
            <w:r w:rsidR="004564CB">
              <w:rPr>
                <w:noProof/>
                <w:webHidden/>
              </w:rPr>
              <w:fldChar w:fldCharType="end"/>
            </w:r>
          </w:hyperlink>
        </w:p>
        <w:p w14:paraId="3190CBB8" w14:textId="4B807B41" w:rsidR="004564CB" w:rsidRDefault="000B57EE">
          <w:pPr>
            <w:pStyle w:val="TOC2"/>
            <w:rPr>
              <w:rFonts w:asciiTheme="minorHAnsi" w:eastAsiaTheme="minorEastAsia" w:hAnsiTheme="minorHAnsi" w:cstheme="minorBidi"/>
              <w:bCs w:val="0"/>
              <w:noProof/>
              <w:sz w:val="22"/>
              <w:szCs w:val="22"/>
              <w:lang w:eastAsia="en-GB"/>
            </w:rPr>
          </w:pPr>
          <w:hyperlink w:anchor="_Toc95743360" w:history="1">
            <w:r w:rsidR="004564CB" w:rsidRPr="000E1403">
              <w:rPr>
                <w:rStyle w:val="Hyperlink"/>
                <w:noProof/>
                <w14:scene3d>
                  <w14:camera w14:prst="orthographicFront"/>
                  <w14:lightRig w14:rig="threePt" w14:dir="t">
                    <w14:rot w14:lat="0" w14:lon="0" w14:rev="0"/>
                  </w14:lightRig>
                </w14:scene3d>
              </w:rPr>
              <w:t>3.6</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Joint commissioning arrangements:</w:t>
            </w:r>
            <w:r w:rsidR="004564CB">
              <w:rPr>
                <w:noProof/>
                <w:webHidden/>
              </w:rPr>
              <w:tab/>
            </w:r>
            <w:r w:rsidR="004564CB">
              <w:rPr>
                <w:noProof/>
                <w:webHidden/>
              </w:rPr>
              <w:fldChar w:fldCharType="begin"/>
            </w:r>
            <w:r w:rsidR="004564CB">
              <w:rPr>
                <w:noProof/>
                <w:webHidden/>
              </w:rPr>
              <w:instrText xml:space="preserve"> PAGEREF _Toc95743360 \h </w:instrText>
            </w:r>
            <w:r w:rsidR="004564CB">
              <w:rPr>
                <w:noProof/>
                <w:webHidden/>
              </w:rPr>
            </w:r>
            <w:r w:rsidR="004564CB">
              <w:rPr>
                <w:noProof/>
                <w:webHidden/>
              </w:rPr>
              <w:fldChar w:fldCharType="separate"/>
            </w:r>
            <w:r w:rsidR="00A176C0">
              <w:rPr>
                <w:noProof/>
                <w:webHidden/>
              </w:rPr>
              <w:t>25</w:t>
            </w:r>
            <w:r w:rsidR="004564CB">
              <w:rPr>
                <w:noProof/>
                <w:webHidden/>
              </w:rPr>
              <w:fldChar w:fldCharType="end"/>
            </w:r>
          </w:hyperlink>
        </w:p>
        <w:p w14:paraId="1AE4247E" w14:textId="26E31DDD" w:rsidR="004564CB" w:rsidRDefault="000B57EE">
          <w:pPr>
            <w:pStyle w:val="TOC2"/>
            <w:rPr>
              <w:rFonts w:asciiTheme="minorHAnsi" w:eastAsiaTheme="minorEastAsia" w:hAnsiTheme="minorHAnsi" w:cstheme="minorBidi"/>
              <w:bCs w:val="0"/>
              <w:noProof/>
              <w:sz w:val="22"/>
              <w:szCs w:val="22"/>
              <w:lang w:eastAsia="en-GB"/>
            </w:rPr>
          </w:pPr>
          <w:hyperlink w:anchor="_Toc95743361" w:history="1">
            <w:r w:rsidR="004564CB" w:rsidRPr="000E1403">
              <w:rPr>
                <w:rStyle w:val="Hyperlink"/>
                <w:noProof/>
                <w14:scene3d>
                  <w14:camera w14:prst="orthographicFront"/>
                  <w14:lightRig w14:rig="threePt" w14:dir="t">
                    <w14:rot w14:lat="0" w14:lon="0" w14:rev="0"/>
                  </w14:lightRig>
                </w14:scene3d>
              </w:rPr>
              <w:t>3.7</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Delegated commissioning arrangements:</w:t>
            </w:r>
            <w:r w:rsidR="004564CB">
              <w:rPr>
                <w:noProof/>
                <w:webHidden/>
              </w:rPr>
              <w:tab/>
            </w:r>
            <w:r w:rsidR="004564CB">
              <w:rPr>
                <w:noProof/>
                <w:webHidden/>
              </w:rPr>
              <w:fldChar w:fldCharType="begin"/>
            </w:r>
            <w:r w:rsidR="004564CB">
              <w:rPr>
                <w:noProof/>
                <w:webHidden/>
              </w:rPr>
              <w:instrText xml:space="preserve"> PAGEREF _Toc95743361 \h </w:instrText>
            </w:r>
            <w:r w:rsidR="004564CB">
              <w:rPr>
                <w:noProof/>
                <w:webHidden/>
              </w:rPr>
            </w:r>
            <w:r w:rsidR="004564CB">
              <w:rPr>
                <w:noProof/>
                <w:webHidden/>
              </w:rPr>
              <w:fldChar w:fldCharType="separate"/>
            </w:r>
            <w:r w:rsidR="00A176C0">
              <w:rPr>
                <w:noProof/>
                <w:webHidden/>
              </w:rPr>
              <w:t>26</w:t>
            </w:r>
            <w:r w:rsidR="004564CB">
              <w:rPr>
                <w:noProof/>
                <w:webHidden/>
              </w:rPr>
              <w:fldChar w:fldCharType="end"/>
            </w:r>
          </w:hyperlink>
        </w:p>
        <w:p w14:paraId="3D58B6A9" w14:textId="0562B58D" w:rsidR="004564CB" w:rsidRDefault="000B57EE">
          <w:pPr>
            <w:pStyle w:val="TOC2"/>
            <w:rPr>
              <w:rFonts w:asciiTheme="minorHAnsi" w:eastAsiaTheme="minorEastAsia" w:hAnsiTheme="minorHAnsi" w:cstheme="minorBidi"/>
              <w:bCs w:val="0"/>
              <w:noProof/>
              <w:sz w:val="22"/>
              <w:szCs w:val="22"/>
              <w:lang w:eastAsia="en-GB"/>
            </w:rPr>
          </w:pPr>
          <w:hyperlink w:anchor="_Toc95743362" w:history="1">
            <w:r w:rsidR="004564CB" w:rsidRPr="000E1403">
              <w:rPr>
                <w:rStyle w:val="Hyperlink"/>
                <w:noProof/>
                <w14:scene3d>
                  <w14:camera w14:prst="orthographicFront"/>
                  <w14:lightRig w14:rig="threePt" w14:dir="t">
                    <w14:rot w14:lat="0" w14:lon="0" w14:rev="0"/>
                  </w14:lightRig>
                </w14:scene3d>
              </w:rPr>
              <w:t>3.8</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ICS Delegated Commissioning Arrangements</w:t>
            </w:r>
            <w:r w:rsidR="004564CB">
              <w:rPr>
                <w:noProof/>
                <w:webHidden/>
              </w:rPr>
              <w:tab/>
            </w:r>
            <w:r w:rsidR="004564CB">
              <w:rPr>
                <w:noProof/>
                <w:webHidden/>
              </w:rPr>
              <w:fldChar w:fldCharType="begin"/>
            </w:r>
            <w:r w:rsidR="004564CB">
              <w:rPr>
                <w:noProof/>
                <w:webHidden/>
              </w:rPr>
              <w:instrText xml:space="preserve"> PAGEREF _Toc95743362 \h </w:instrText>
            </w:r>
            <w:r w:rsidR="004564CB">
              <w:rPr>
                <w:noProof/>
                <w:webHidden/>
              </w:rPr>
            </w:r>
            <w:r w:rsidR="004564CB">
              <w:rPr>
                <w:noProof/>
                <w:webHidden/>
              </w:rPr>
              <w:fldChar w:fldCharType="separate"/>
            </w:r>
            <w:r w:rsidR="00A176C0">
              <w:rPr>
                <w:noProof/>
                <w:webHidden/>
              </w:rPr>
              <w:t>27</w:t>
            </w:r>
            <w:r w:rsidR="004564CB">
              <w:rPr>
                <w:noProof/>
                <w:webHidden/>
              </w:rPr>
              <w:fldChar w:fldCharType="end"/>
            </w:r>
          </w:hyperlink>
        </w:p>
        <w:p w14:paraId="0F6456C7" w14:textId="7848B09E" w:rsidR="004564CB" w:rsidRDefault="000B57EE">
          <w:pPr>
            <w:pStyle w:val="TOC2"/>
            <w:rPr>
              <w:rFonts w:asciiTheme="minorHAnsi" w:eastAsiaTheme="minorEastAsia" w:hAnsiTheme="minorHAnsi" w:cstheme="minorBidi"/>
              <w:bCs w:val="0"/>
              <w:noProof/>
              <w:sz w:val="22"/>
              <w:szCs w:val="22"/>
              <w:lang w:eastAsia="en-GB"/>
            </w:rPr>
          </w:pPr>
          <w:hyperlink w:anchor="_Toc95743363" w:history="1">
            <w:r w:rsidR="004564CB" w:rsidRPr="000E1403">
              <w:rPr>
                <w:rStyle w:val="Hyperlink"/>
                <w:noProof/>
                <w:lang w:eastAsia="en-GB"/>
                <w14:scene3d>
                  <w14:camera w14:prst="orthographicFront"/>
                  <w14:lightRig w14:rig="threePt" w14:dir="t">
                    <w14:rot w14:lat="0" w14:lon="0" w14:rev="0"/>
                  </w14:lightRig>
                </w14:scene3d>
              </w:rPr>
              <w:t>3.9</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Co-Commissioning and Primary Care Policies:</w:t>
            </w:r>
            <w:r w:rsidR="004564CB">
              <w:rPr>
                <w:noProof/>
                <w:webHidden/>
              </w:rPr>
              <w:tab/>
            </w:r>
            <w:r w:rsidR="004564CB">
              <w:rPr>
                <w:noProof/>
                <w:webHidden/>
              </w:rPr>
              <w:fldChar w:fldCharType="begin"/>
            </w:r>
            <w:r w:rsidR="004564CB">
              <w:rPr>
                <w:noProof/>
                <w:webHidden/>
              </w:rPr>
              <w:instrText xml:space="preserve"> PAGEREF _Toc95743363 \h </w:instrText>
            </w:r>
            <w:r w:rsidR="004564CB">
              <w:rPr>
                <w:noProof/>
                <w:webHidden/>
              </w:rPr>
            </w:r>
            <w:r w:rsidR="004564CB">
              <w:rPr>
                <w:noProof/>
                <w:webHidden/>
              </w:rPr>
              <w:fldChar w:fldCharType="separate"/>
            </w:r>
            <w:r w:rsidR="00A176C0">
              <w:rPr>
                <w:noProof/>
                <w:webHidden/>
              </w:rPr>
              <w:t>28</w:t>
            </w:r>
            <w:r w:rsidR="004564CB">
              <w:rPr>
                <w:noProof/>
                <w:webHidden/>
              </w:rPr>
              <w:fldChar w:fldCharType="end"/>
            </w:r>
          </w:hyperlink>
        </w:p>
        <w:p w14:paraId="1761BA8E" w14:textId="7EDCFF9E" w:rsidR="004564CB" w:rsidRDefault="000B57EE">
          <w:pPr>
            <w:pStyle w:val="TOC2"/>
            <w:rPr>
              <w:rFonts w:asciiTheme="minorHAnsi" w:eastAsiaTheme="minorEastAsia" w:hAnsiTheme="minorHAnsi" w:cstheme="minorBidi"/>
              <w:bCs w:val="0"/>
              <w:noProof/>
              <w:sz w:val="22"/>
              <w:szCs w:val="22"/>
              <w:lang w:eastAsia="en-GB"/>
            </w:rPr>
          </w:pPr>
          <w:hyperlink w:anchor="_Toc95743364" w:history="1">
            <w:r w:rsidR="004564CB" w:rsidRPr="000E1403">
              <w:rPr>
                <w:rStyle w:val="Hyperlink"/>
                <w:noProof/>
                <w:lang w:eastAsia="en-GB"/>
                <w14:scene3d>
                  <w14:camera w14:prst="orthographicFront"/>
                  <w14:lightRig w14:rig="threePt" w14:dir="t">
                    <w14:rot w14:lat="0" w14:lon="0" w14:rev="0"/>
                  </w14:lightRig>
                </w14:scene3d>
              </w:rPr>
              <w:t>3.10</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Primary Care Networks</w:t>
            </w:r>
            <w:r w:rsidR="004564CB">
              <w:rPr>
                <w:noProof/>
                <w:webHidden/>
              </w:rPr>
              <w:tab/>
            </w:r>
            <w:r w:rsidR="004564CB">
              <w:rPr>
                <w:noProof/>
                <w:webHidden/>
              </w:rPr>
              <w:fldChar w:fldCharType="begin"/>
            </w:r>
            <w:r w:rsidR="004564CB">
              <w:rPr>
                <w:noProof/>
                <w:webHidden/>
              </w:rPr>
              <w:instrText xml:space="preserve"> PAGEREF _Toc95743364 \h </w:instrText>
            </w:r>
            <w:r w:rsidR="004564CB">
              <w:rPr>
                <w:noProof/>
                <w:webHidden/>
              </w:rPr>
            </w:r>
            <w:r w:rsidR="004564CB">
              <w:rPr>
                <w:noProof/>
                <w:webHidden/>
              </w:rPr>
              <w:fldChar w:fldCharType="separate"/>
            </w:r>
            <w:r w:rsidR="00A176C0">
              <w:rPr>
                <w:noProof/>
                <w:webHidden/>
              </w:rPr>
              <w:t>29</w:t>
            </w:r>
            <w:r w:rsidR="004564CB">
              <w:rPr>
                <w:noProof/>
                <w:webHidden/>
              </w:rPr>
              <w:fldChar w:fldCharType="end"/>
            </w:r>
          </w:hyperlink>
        </w:p>
        <w:p w14:paraId="1B3E9E26" w14:textId="6753C989" w:rsidR="004564CB" w:rsidRDefault="000B57EE">
          <w:pPr>
            <w:pStyle w:val="TOC1"/>
            <w:rPr>
              <w:rFonts w:asciiTheme="minorHAnsi" w:eastAsiaTheme="minorEastAsia" w:hAnsiTheme="minorHAnsi" w:cstheme="minorBidi"/>
              <w:bCs w:val="0"/>
              <w:color w:val="auto"/>
              <w:sz w:val="22"/>
              <w:szCs w:val="22"/>
              <w:lang w:eastAsia="en-GB"/>
            </w:rPr>
          </w:pPr>
          <w:hyperlink w:anchor="_Toc95743365" w:history="1">
            <w:r w:rsidR="004564CB" w:rsidRPr="000E1403">
              <w:rPr>
                <w:rStyle w:val="Hyperlink"/>
              </w:rPr>
              <w:t>4</w:t>
            </w:r>
            <w:r w:rsidR="004564CB">
              <w:rPr>
                <w:rFonts w:asciiTheme="minorHAnsi" w:eastAsiaTheme="minorEastAsia" w:hAnsiTheme="minorHAnsi" w:cstheme="minorBidi"/>
                <w:bCs w:val="0"/>
                <w:color w:val="auto"/>
                <w:sz w:val="22"/>
                <w:szCs w:val="22"/>
                <w:lang w:eastAsia="en-GB"/>
              </w:rPr>
              <w:tab/>
            </w:r>
            <w:r w:rsidR="004564CB" w:rsidRPr="000E1403">
              <w:rPr>
                <w:rStyle w:val="Hyperlink"/>
              </w:rPr>
              <w:t>General Duties of NHS England (including addressing health inequalities)</w:t>
            </w:r>
            <w:r w:rsidR="004564CB">
              <w:rPr>
                <w:webHidden/>
              </w:rPr>
              <w:tab/>
            </w:r>
            <w:r w:rsidR="004564CB">
              <w:rPr>
                <w:webHidden/>
              </w:rPr>
              <w:fldChar w:fldCharType="begin"/>
            </w:r>
            <w:r w:rsidR="004564CB">
              <w:rPr>
                <w:webHidden/>
              </w:rPr>
              <w:instrText xml:space="preserve"> PAGEREF _Toc95743365 \h </w:instrText>
            </w:r>
            <w:r w:rsidR="004564CB">
              <w:rPr>
                <w:webHidden/>
              </w:rPr>
            </w:r>
            <w:r w:rsidR="004564CB">
              <w:rPr>
                <w:webHidden/>
              </w:rPr>
              <w:fldChar w:fldCharType="separate"/>
            </w:r>
            <w:r w:rsidR="00A176C0">
              <w:rPr>
                <w:webHidden/>
              </w:rPr>
              <w:t>31</w:t>
            </w:r>
            <w:r w:rsidR="004564CB">
              <w:rPr>
                <w:webHidden/>
              </w:rPr>
              <w:fldChar w:fldCharType="end"/>
            </w:r>
          </w:hyperlink>
        </w:p>
        <w:p w14:paraId="4C45D2FF" w14:textId="2E2C8F1E" w:rsidR="004564CB" w:rsidRDefault="000B57EE">
          <w:pPr>
            <w:pStyle w:val="TOC2"/>
            <w:rPr>
              <w:rFonts w:asciiTheme="minorHAnsi" w:eastAsiaTheme="minorEastAsia" w:hAnsiTheme="minorHAnsi" w:cstheme="minorBidi"/>
              <w:bCs w:val="0"/>
              <w:noProof/>
              <w:sz w:val="22"/>
              <w:szCs w:val="22"/>
              <w:lang w:eastAsia="en-GB"/>
            </w:rPr>
          </w:pPr>
          <w:hyperlink w:anchor="_Toc95743366" w:history="1">
            <w:r w:rsidR="004564CB" w:rsidRPr="000E1403">
              <w:rPr>
                <w:rStyle w:val="Hyperlink"/>
                <w:noProof/>
                <w:lang w:eastAsia="en-GB"/>
                <w14:scene3d>
                  <w14:camera w14:prst="orthographicFront"/>
                  <w14:lightRig w14:rig="threePt" w14:dir="t">
                    <w14:rot w14:lat="0" w14:lon="0" w14:rev="0"/>
                  </w14:lightRig>
                </w14:scene3d>
              </w:rPr>
              <w:t>4.1</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Introduction</w:t>
            </w:r>
            <w:r w:rsidR="004564CB">
              <w:rPr>
                <w:noProof/>
                <w:webHidden/>
              </w:rPr>
              <w:tab/>
            </w:r>
            <w:r w:rsidR="004564CB">
              <w:rPr>
                <w:noProof/>
                <w:webHidden/>
              </w:rPr>
              <w:fldChar w:fldCharType="begin"/>
            </w:r>
            <w:r w:rsidR="004564CB">
              <w:rPr>
                <w:noProof/>
                <w:webHidden/>
              </w:rPr>
              <w:instrText xml:space="preserve"> PAGEREF _Toc95743366 \h </w:instrText>
            </w:r>
            <w:r w:rsidR="004564CB">
              <w:rPr>
                <w:noProof/>
                <w:webHidden/>
              </w:rPr>
            </w:r>
            <w:r w:rsidR="004564CB">
              <w:rPr>
                <w:noProof/>
                <w:webHidden/>
              </w:rPr>
              <w:fldChar w:fldCharType="separate"/>
            </w:r>
            <w:r w:rsidR="00A176C0">
              <w:rPr>
                <w:noProof/>
                <w:webHidden/>
              </w:rPr>
              <w:t>31</w:t>
            </w:r>
            <w:r w:rsidR="004564CB">
              <w:rPr>
                <w:noProof/>
                <w:webHidden/>
              </w:rPr>
              <w:fldChar w:fldCharType="end"/>
            </w:r>
          </w:hyperlink>
        </w:p>
        <w:p w14:paraId="2DBC6D82" w14:textId="6A573D0C" w:rsidR="004564CB" w:rsidRDefault="000B57EE">
          <w:pPr>
            <w:pStyle w:val="TOC2"/>
            <w:rPr>
              <w:rFonts w:asciiTheme="minorHAnsi" w:eastAsiaTheme="minorEastAsia" w:hAnsiTheme="minorHAnsi" w:cstheme="minorBidi"/>
              <w:bCs w:val="0"/>
              <w:noProof/>
              <w:sz w:val="22"/>
              <w:szCs w:val="22"/>
              <w:lang w:eastAsia="en-GB"/>
            </w:rPr>
          </w:pPr>
          <w:hyperlink w:anchor="_Toc95743367" w:history="1">
            <w:r w:rsidR="004564CB" w:rsidRPr="000E1403">
              <w:rPr>
                <w:rStyle w:val="Hyperlink"/>
                <w:rFonts w:eastAsiaTheme="majorEastAsia"/>
                <w:noProof/>
                <w14:scene3d>
                  <w14:camera w14:prst="orthographicFront"/>
                  <w14:lightRig w14:rig="threePt" w14:dir="t">
                    <w14:rot w14:lat="0" w14:lon="0" w14:rev="0"/>
                  </w14:lightRig>
                </w14:scene3d>
              </w:rPr>
              <w:t>4.2</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Theme="majorEastAsia"/>
                <w:noProof/>
              </w:rPr>
              <w:t xml:space="preserve">Equality and Health Inequalities </w:t>
            </w:r>
            <w:r w:rsidR="004564CB" w:rsidRPr="000E1403">
              <w:rPr>
                <w:rStyle w:val="Hyperlink"/>
                <w:rFonts w:eastAsiaTheme="majorEastAsia"/>
                <w:noProof/>
                <w:spacing w:val="-2"/>
              </w:rPr>
              <w:t>Duties</w:t>
            </w:r>
            <w:r w:rsidR="004564CB">
              <w:rPr>
                <w:noProof/>
                <w:webHidden/>
              </w:rPr>
              <w:tab/>
            </w:r>
            <w:r w:rsidR="004564CB">
              <w:rPr>
                <w:noProof/>
                <w:webHidden/>
              </w:rPr>
              <w:fldChar w:fldCharType="begin"/>
            </w:r>
            <w:r w:rsidR="004564CB">
              <w:rPr>
                <w:noProof/>
                <w:webHidden/>
              </w:rPr>
              <w:instrText xml:space="preserve"> PAGEREF _Toc95743367 \h </w:instrText>
            </w:r>
            <w:r w:rsidR="004564CB">
              <w:rPr>
                <w:noProof/>
                <w:webHidden/>
              </w:rPr>
            </w:r>
            <w:r w:rsidR="004564CB">
              <w:rPr>
                <w:noProof/>
                <w:webHidden/>
              </w:rPr>
              <w:fldChar w:fldCharType="separate"/>
            </w:r>
            <w:r w:rsidR="00A176C0">
              <w:rPr>
                <w:noProof/>
                <w:webHidden/>
              </w:rPr>
              <w:t>36</w:t>
            </w:r>
            <w:r w:rsidR="004564CB">
              <w:rPr>
                <w:noProof/>
                <w:webHidden/>
              </w:rPr>
              <w:fldChar w:fldCharType="end"/>
            </w:r>
          </w:hyperlink>
        </w:p>
        <w:p w14:paraId="30C1EB25" w14:textId="6C45AC37" w:rsidR="004564CB" w:rsidRDefault="000B57EE">
          <w:pPr>
            <w:pStyle w:val="TOC2"/>
            <w:rPr>
              <w:rFonts w:asciiTheme="minorHAnsi" w:eastAsiaTheme="minorEastAsia" w:hAnsiTheme="minorHAnsi" w:cstheme="minorBidi"/>
              <w:bCs w:val="0"/>
              <w:noProof/>
              <w:sz w:val="22"/>
              <w:szCs w:val="22"/>
              <w:lang w:eastAsia="en-GB"/>
            </w:rPr>
          </w:pPr>
          <w:hyperlink w:anchor="_Toc95743368" w:history="1">
            <w:r w:rsidR="004564CB" w:rsidRPr="000E1403">
              <w:rPr>
                <w:rStyle w:val="Hyperlink"/>
                <w:rFonts w:eastAsiaTheme="majorEastAsia"/>
                <w:noProof/>
                <w14:scene3d>
                  <w14:camera w14:prst="orthographicFront"/>
                  <w14:lightRig w14:rig="threePt" w14:dir="t">
                    <w14:rot w14:lat="0" w14:lon="0" w14:rev="0"/>
                  </w14:lightRig>
                </w14:scene3d>
              </w:rPr>
              <w:t>4.3</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Theme="majorEastAsia"/>
                <w:noProof/>
              </w:rPr>
              <w:t>The Regard Duties</w:t>
            </w:r>
            <w:r w:rsidR="004564CB">
              <w:rPr>
                <w:noProof/>
                <w:webHidden/>
              </w:rPr>
              <w:tab/>
            </w:r>
            <w:r w:rsidR="004564CB">
              <w:rPr>
                <w:noProof/>
                <w:webHidden/>
              </w:rPr>
              <w:fldChar w:fldCharType="begin"/>
            </w:r>
            <w:r w:rsidR="004564CB">
              <w:rPr>
                <w:noProof/>
                <w:webHidden/>
              </w:rPr>
              <w:instrText xml:space="preserve"> PAGEREF _Toc95743368 \h </w:instrText>
            </w:r>
            <w:r w:rsidR="004564CB">
              <w:rPr>
                <w:noProof/>
                <w:webHidden/>
              </w:rPr>
            </w:r>
            <w:r w:rsidR="004564CB">
              <w:rPr>
                <w:noProof/>
                <w:webHidden/>
              </w:rPr>
              <w:fldChar w:fldCharType="separate"/>
            </w:r>
            <w:r w:rsidR="00A176C0">
              <w:rPr>
                <w:noProof/>
                <w:webHidden/>
              </w:rPr>
              <w:t>45</w:t>
            </w:r>
            <w:r w:rsidR="004564CB">
              <w:rPr>
                <w:noProof/>
                <w:webHidden/>
              </w:rPr>
              <w:fldChar w:fldCharType="end"/>
            </w:r>
          </w:hyperlink>
        </w:p>
        <w:p w14:paraId="1A66B8E5" w14:textId="33E85811" w:rsidR="004564CB" w:rsidRDefault="000B57EE">
          <w:pPr>
            <w:pStyle w:val="TOC2"/>
            <w:rPr>
              <w:rFonts w:asciiTheme="minorHAnsi" w:eastAsiaTheme="minorEastAsia" w:hAnsiTheme="minorHAnsi" w:cstheme="minorBidi"/>
              <w:bCs w:val="0"/>
              <w:noProof/>
              <w:sz w:val="22"/>
              <w:szCs w:val="22"/>
              <w:lang w:eastAsia="en-GB"/>
            </w:rPr>
          </w:pPr>
          <w:hyperlink w:anchor="_Toc95743369" w:history="1">
            <w:r w:rsidR="004564CB" w:rsidRPr="000E1403">
              <w:rPr>
                <w:rStyle w:val="Hyperlink"/>
                <w:rFonts w:eastAsiaTheme="majorEastAsia"/>
                <w:noProof/>
                <w14:scene3d>
                  <w14:camera w14:prst="orthographicFront"/>
                  <w14:lightRig w14:rig="threePt" w14:dir="t">
                    <w14:rot w14:lat="0" w14:lon="0" w14:rev="0"/>
                  </w14:lightRig>
                </w14:scene3d>
              </w:rPr>
              <w:t>4.4</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Theme="majorEastAsia"/>
                <w:noProof/>
              </w:rPr>
              <w:t>The Promote</w:t>
            </w:r>
            <w:r w:rsidR="004564CB" w:rsidRPr="000E1403">
              <w:rPr>
                <w:rStyle w:val="Hyperlink"/>
                <w:rFonts w:eastAsiaTheme="majorEastAsia"/>
                <w:noProof/>
                <w:spacing w:val="1"/>
              </w:rPr>
              <w:t xml:space="preserve"> </w:t>
            </w:r>
            <w:r w:rsidR="004564CB" w:rsidRPr="000E1403">
              <w:rPr>
                <w:rStyle w:val="Hyperlink"/>
                <w:rFonts w:eastAsiaTheme="majorEastAsia"/>
                <w:noProof/>
              </w:rPr>
              <w:t>Duties</w:t>
            </w:r>
            <w:r w:rsidR="004564CB">
              <w:rPr>
                <w:noProof/>
                <w:webHidden/>
              </w:rPr>
              <w:tab/>
            </w:r>
            <w:r w:rsidR="004564CB">
              <w:rPr>
                <w:noProof/>
                <w:webHidden/>
              </w:rPr>
              <w:fldChar w:fldCharType="begin"/>
            </w:r>
            <w:r w:rsidR="004564CB">
              <w:rPr>
                <w:noProof/>
                <w:webHidden/>
              </w:rPr>
              <w:instrText xml:space="preserve"> PAGEREF _Toc95743369 \h </w:instrText>
            </w:r>
            <w:r w:rsidR="004564CB">
              <w:rPr>
                <w:noProof/>
                <w:webHidden/>
              </w:rPr>
            </w:r>
            <w:r w:rsidR="004564CB">
              <w:rPr>
                <w:noProof/>
                <w:webHidden/>
              </w:rPr>
              <w:fldChar w:fldCharType="separate"/>
            </w:r>
            <w:r w:rsidR="00A176C0">
              <w:rPr>
                <w:noProof/>
                <w:webHidden/>
              </w:rPr>
              <w:t>47</w:t>
            </w:r>
            <w:r w:rsidR="004564CB">
              <w:rPr>
                <w:noProof/>
                <w:webHidden/>
              </w:rPr>
              <w:fldChar w:fldCharType="end"/>
            </w:r>
          </w:hyperlink>
        </w:p>
        <w:p w14:paraId="71CFE37C" w14:textId="79438C2C" w:rsidR="004564CB" w:rsidRDefault="000B57EE">
          <w:pPr>
            <w:pStyle w:val="TOC2"/>
            <w:rPr>
              <w:rFonts w:asciiTheme="minorHAnsi" w:eastAsiaTheme="minorEastAsia" w:hAnsiTheme="minorHAnsi" w:cstheme="minorBidi"/>
              <w:bCs w:val="0"/>
              <w:noProof/>
              <w:sz w:val="22"/>
              <w:szCs w:val="22"/>
              <w:lang w:eastAsia="en-GB"/>
            </w:rPr>
          </w:pPr>
          <w:hyperlink w:anchor="_Toc95743370" w:history="1">
            <w:r w:rsidR="004564CB" w:rsidRPr="000E1403">
              <w:rPr>
                <w:rStyle w:val="Hyperlink"/>
                <w:rFonts w:eastAsiaTheme="majorEastAsia"/>
                <w:noProof/>
                <w14:scene3d>
                  <w14:camera w14:prst="orthographicFront"/>
                  <w14:lightRig w14:rig="threePt" w14:dir="t">
                    <w14:rot w14:lat="0" w14:lon="0" w14:rev="0"/>
                  </w14:lightRig>
                </w14:scene3d>
              </w:rPr>
              <w:t>4.5</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Theme="majorEastAsia"/>
                <w:noProof/>
              </w:rPr>
              <w:t>The</w:t>
            </w:r>
            <w:r w:rsidR="004564CB" w:rsidRPr="000E1403">
              <w:rPr>
                <w:rStyle w:val="Hyperlink"/>
                <w:rFonts w:eastAsiaTheme="majorEastAsia"/>
                <w:noProof/>
                <w:spacing w:val="1"/>
              </w:rPr>
              <w:t xml:space="preserve"> </w:t>
            </w:r>
            <w:r w:rsidR="004564CB" w:rsidRPr="000E1403">
              <w:rPr>
                <w:rStyle w:val="Hyperlink"/>
                <w:rFonts w:eastAsiaTheme="majorEastAsia"/>
                <w:noProof/>
              </w:rPr>
              <w:t>View to</w:t>
            </w:r>
            <w:r w:rsidR="004564CB" w:rsidRPr="000E1403">
              <w:rPr>
                <w:rStyle w:val="Hyperlink"/>
                <w:rFonts w:eastAsiaTheme="majorEastAsia"/>
                <w:noProof/>
                <w:spacing w:val="-2"/>
              </w:rPr>
              <w:t xml:space="preserve"> </w:t>
            </w:r>
            <w:r w:rsidR="004564CB" w:rsidRPr="000E1403">
              <w:rPr>
                <w:rStyle w:val="Hyperlink"/>
                <w:rFonts w:eastAsiaTheme="majorEastAsia"/>
                <w:noProof/>
              </w:rPr>
              <w:t>Duties</w:t>
            </w:r>
            <w:r w:rsidR="004564CB">
              <w:rPr>
                <w:noProof/>
                <w:webHidden/>
              </w:rPr>
              <w:tab/>
            </w:r>
            <w:r w:rsidR="004564CB">
              <w:rPr>
                <w:noProof/>
                <w:webHidden/>
              </w:rPr>
              <w:fldChar w:fldCharType="begin"/>
            </w:r>
            <w:r w:rsidR="004564CB">
              <w:rPr>
                <w:noProof/>
                <w:webHidden/>
              </w:rPr>
              <w:instrText xml:space="preserve"> PAGEREF _Toc95743370 \h </w:instrText>
            </w:r>
            <w:r w:rsidR="004564CB">
              <w:rPr>
                <w:noProof/>
                <w:webHidden/>
              </w:rPr>
            </w:r>
            <w:r w:rsidR="004564CB">
              <w:rPr>
                <w:noProof/>
                <w:webHidden/>
              </w:rPr>
              <w:fldChar w:fldCharType="separate"/>
            </w:r>
            <w:r w:rsidR="00A176C0">
              <w:rPr>
                <w:noProof/>
                <w:webHidden/>
              </w:rPr>
              <w:t>48</w:t>
            </w:r>
            <w:r w:rsidR="004564CB">
              <w:rPr>
                <w:noProof/>
                <w:webHidden/>
              </w:rPr>
              <w:fldChar w:fldCharType="end"/>
            </w:r>
          </w:hyperlink>
        </w:p>
        <w:p w14:paraId="4F56F206" w14:textId="196A3408" w:rsidR="004564CB" w:rsidRDefault="000B57EE">
          <w:pPr>
            <w:pStyle w:val="TOC2"/>
            <w:rPr>
              <w:rFonts w:asciiTheme="minorHAnsi" w:eastAsiaTheme="minorEastAsia" w:hAnsiTheme="minorHAnsi" w:cstheme="minorBidi"/>
              <w:bCs w:val="0"/>
              <w:noProof/>
              <w:sz w:val="22"/>
              <w:szCs w:val="22"/>
              <w:lang w:eastAsia="en-GB"/>
            </w:rPr>
          </w:pPr>
          <w:hyperlink w:anchor="_Toc95743371" w:history="1">
            <w:r w:rsidR="004564CB" w:rsidRPr="000E1403">
              <w:rPr>
                <w:rStyle w:val="Hyperlink"/>
                <w:rFonts w:eastAsiaTheme="majorEastAsia"/>
                <w:noProof/>
                <w14:scene3d>
                  <w14:camera w14:prst="orthographicFront"/>
                  <w14:lightRig w14:rig="threePt" w14:dir="t">
                    <w14:rot w14:lat="0" w14:lon="0" w14:rev="0"/>
                  </w14:lightRig>
                </w14:scene3d>
              </w:rPr>
              <w:t>4.6</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Theme="majorEastAsia"/>
                <w:noProof/>
              </w:rPr>
              <w:t>The Involvement Duty</w:t>
            </w:r>
            <w:r w:rsidR="004564CB">
              <w:rPr>
                <w:noProof/>
                <w:webHidden/>
              </w:rPr>
              <w:tab/>
            </w:r>
            <w:r w:rsidR="004564CB">
              <w:rPr>
                <w:noProof/>
                <w:webHidden/>
              </w:rPr>
              <w:fldChar w:fldCharType="begin"/>
            </w:r>
            <w:r w:rsidR="004564CB">
              <w:rPr>
                <w:noProof/>
                <w:webHidden/>
              </w:rPr>
              <w:instrText xml:space="preserve"> PAGEREF _Toc95743371 \h </w:instrText>
            </w:r>
            <w:r w:rsidR="004564CB">
              <w:rPr>
                <w:noProof/>
                <w:webHidden/>
              </w:rPr>
            </w:r>
            <w:r w:rsidR="004564CB">
              <w:rPr>
                <w:noProof/>
                <w:webHidden/>
              </w:rPr>
              <w:fldChar w:fldCharType="separate"/>
            </w:r>
            <w:r w:rsidR="00A176C0">
              <w:rPr>
                <w:noProof/>
                <w:webHidden/>
              </w:rPr>
              <w:t>50</w:t>
            </w:r>
            <w:r w:rsidR="004564CB">
              <w:rPr>
                <w:noProof/>
                <w:webHidden/>
              </w:rPr>
              <w:fldChar w:fldCharType="end"/>
            </w:r>
          </w:hyperlink>
        </w:p>
        <w:p w14:paraId="558FB243" w14:textId="16CEBD7C" w:rsidR="004564CB" w:rsidRDefault="000B57EE">
          <w:pPr>
            <w:pStyle w:val="TOC2"/>
            <w:rPr>
              <w:rFonts w:asciiTheme="minorHAnsi" w:eastAsiaTheme="minorEastAsia" w:hAnsiTheme="minorHAnsi" w:cstheme="minorBidi"/>
              <w:bCs w:val="0"/>
              <w:noProof/>
              <w:sz w:val="22"/>
              <w:szCs w:val="22"/>
              <w:lang w:eastAsia="en-GB"/>
            </w:rPr>
          </w:pPr>
          <w:hyperlink w:anchor="_Toc95743372" w:history="1">
            <w:r w:rsidR="004564CB" w:rsidRPr="000E1403">
              <w:rPr>
                <w:rStyle w:val="Hyperlink"/>
                <w:rFonts w:eastAsiaTheme="majorEastAsia"/>
                <w:noProof/>
                <w14:scene3d>
                  <w14:camera w14:prst="orthographicFront"/>
                  <w14:lightRig w14:rig="threePt" w14:dir="t">
                    <w14:rot w14:lat="0" w14:lon="0" w14:rev="0"/>
                  </w14:lightRig>
                </w14:scene3d>
              </w:rPr>
              <w:t>4.7</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Theme="majorEastAsia"/>
                <w:noProof/>
              </w:rPr>
              <w:t>Duty</w:t>
            </w:r>
            <w:r w:rsidR="004564CB" w:rsidRPr="000E1403">
              <w:rPr>
                <w:rStyle w:val="Hyperlink"/>
                <w:rFonts w:eastAsiaTheme="majorEastAsia"/>
                <w:noProof/>
                <w:spacing w:val="-4"/>
              </w:rPr>
              <w:t xml:space="preserve"> </w:t>
            </w:r>
            <w:r w:rsidR="004564CB" w:rsidRPr="000E1403">
              <w:rPr>
                <w:rStyle w:val="Hyperlink"/>
                <w:rFonts w:eastAsiaTheme="majorEastAsia"/>
                <w:noProof/>
              </w:rPr>
              <w:t>to</w:t>
            </w:r>
            <w:r w:rsidR="004564CB" w:rsidRPr="000E1403">
              <w:rPr>
                <w:rStyle w:val="Hyperlink"/>
                <w:rFonts w:eastAsiaTheme="majorEastAsia"/>
                <w:noProof/>
                <w:spacing w:val="-2"/>
              </w:rPr>
              <w:t xml:space="preserve"> </w:t>
            </w:r>
            <w:r w:rsidR="004564CB" w:rsidRPr="000E1403">
              <w:rPr>
                <w:rStyle w:val="Hyperlink"/>
                <w:rFonts w:eastAsiaTheme="majorEastAsia"/>
                <w:noProof/>
              </w:rPr>
              <w:t>Act</w:t>
            </w:r>
            <w:r w:rsidR="004564CB" w:rsidRPr="000E1403">
              <w:rPr>
                <w:rStyle w:val="Hyperlink"/>
                <w:rFonts w:eastAsiaTheme="majorEastAsia"/>
                <w:noProof/>
                <w:spacing w:val="-2"/>
              </w:rPr>
              <w:t xml:space="preserve"> </w:t>
            </w:r>
            <w:r w:rsidR="004564CB" w:rsidRPr="000E1403">
              <w:rPr>
                <w:rStyle w:val="Hyperlink"/>
                <w:rFonts w:eastAsiaTheme="majorEastAsia"/>
                <w:noProof/>
              </w:rPr>
              <w:t>Fairly &amp; Reasonably</w:t>
            </w:r>
            <w:r w:rsidR="004564CB">
              <w:rPr>
                <w:noProof/>
                <w:webHidden/>
              </w:rPr>
              <w:tab/>
            </w:r>
            <w:r w:rsidR="004564CB">
              <w:rPr>
                <w:noProof/>
                <w:webHidden/>
              </w:rPr>
              <w:fldChar w:fldCharType="begin"/>
            </w:r>
            <w:r w:rsidR="004564CB">
              <w:rPr>
                <w:noProof/>
                <w:webHidden/>
              </w:rPr>
              <w:instrText xml:space="preserve"> PAGEREF _Toc95743372 \h </w:instrText>
            </w:r>
            <w:r w:rsidR="004564CB">
              <w:rPr>
                <w:noProof/>
                <w:webHidden/>
              </w:rPr>
            </w:r>
            <w:r w:rsidR="004564CB">
              <w:rPr>
                <w:noProof/>
                <w:webHidden/>
              </w:rPr>
              <w:fldChar w:fldCharType="separate"/>
            </w:r>
            <w:r w:rsidR="00A176C0">
              <w:rPr>
                <w:noProof/>
                <w:webHidden/>
              </w:rPr>
              <w:t>52</w:t>
            </w:r>
            <w:r w:rsidR="004564CB">
              <w:rPr>
                <w:noProof/>
                <w:webHidden/>
              </w:rPr>
              <w:fldChar w:fldCharType="end"/>
            </w:r>
          </w:hyperlink>
        </w:p>
        <w:p w14:paraId="04B68544" w14:textId="7AF1E653" w:rsidR="004564CB" w:rsidRDefault="000B57EE">
          <w:pPr>
            <w:pStyle w:val="TOC2"/>
            <w:rPr>
              <w:rFonts w:asciiTheme="minorHAnsi" w:eastAsiaTheme="minorEastAsia" w:hAnsiTheme="minorHAnsi" w:cstheme="minorBidi"/>
              <w:bCs w:val="0"/>
              <w:noProof/>
              <w:sz w:val="22"/>
              <w:szCs w:val="22"/>
              <w:lang w:eastAsia="en-GB"/>
            </w:rPr>
          </w:pPr>
          <w:hyperlink w:anchor="_Toc95743373" w:history="1">
            <w:r w:rsidR="004564CB" w:rsidRPr="000E1403">
              <w:rPr>
                <w:rStyle w:val="Hyperlink"/>
                <w:rFonts w:eastAsiaTheme="majorEastAsia"/>
                <w:noProof/>
                <w14:scene3d>
                  <w14:camera w14:prst="orthographicFront"/>
                  <w14:lightRig w14:rig="threePt" w14:dir="t">
                    <w14:rot w14:lat="0" w14:lon="0" w14:rev="0"/>
                  </w14:lightRig>
                </w14:scene3d>
              </w:rPr>
              <w:t>4.8</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Theme="majorEastAsia"/>
                <w:noProof/>
              </w:rPr>
              <w:t>The Duty</w:t>
            </w:r>
            <w:r w:rsidR="004564CB" w:rsidRPr="000E1403">
              <w:rPr>
                <w:rStyle w:val="Hyperlink"/>
                <w:rFonts w:eastAsiaTheme="majorEastAsia"/>
                <w:noProof/>
                <w:spacing w:val="-4"/>
              </w:rPr>
              <w:t xml:space="preserve"> </w:t>
            </w:r>
            <w:r w:rsidR="004564CB" w:rsidRPr="000E1403">
              <w:rPr>
                <w:rStyle w:val="Hyperlink"/>
                <w:rFonts w:eastAsiaTheme="majorEastAsia"/>
                <w:noProof/>
              </w:rPr>
              <w:t>to</w:t>
            </w:r>
            <w:r w:rsidR="004564CB" w:rsidRPr="000E1403">
              <w:rPr>
                <w:rStyle w:val="Hyperlink"/>
                <w:rFonts w:eastAsiaTheme="majorEastAsia"/>
                <w:noProof/>
                <w:spacing w:val="1"/>
              </w:rPr>
              <w:t xml:space="preserve"> </w:t>
            </w:r>
            <w:r w:rsidR="004564CB" w:rsidRPr="000E1403">
              <w:rPr>
                <w:rStyle w:val="Hyperlink"/>
                <w:rFonts w:eastAsiaTheme="majorEastAsia"/>
                <w:noProof/>
              </w:rPr>
              <w:t>Obtain Advice</w:t>
            </w:r>
            <w:r w:rsidR="004564CB">
              <w:rPr>
                <w:noProof/>
                <w:webHidden/>
              </w:rPr>
              <w:tab/>
            </w:r>
            <w:r w:rsidR="004564CB">
              <w:rPr>
                <w:noProof/>
                <w:webHidden/>
              </w:rPr>
              <w:fldChar w:fldCharType="begin"/>
            </w:r>
            <w:r w:rsidR="004564CB">
              <w:rPr>
                <w:noProof/>
                <w:webHidden/>
              </w:rPr>
              <w:instrText xml:space="preserve"> PAGEREF _Toc95743373 \h </w:instrText>
            </w:r>
            <w:r w:rsidR="004564CB">
              <w:rPr>
                <w:noProof/>
                <w:webHidden/>
              </w:rPr>
            </w:r>
            <w:r w:rsidR="004564CB">
              <w:rPr>
                <w:noProof/>
                <w:webHidden/>
              </w:rPr>
              <w:fldChar w:fldCharType="separate"/>
            </w:r>
            <w:r w:rsidR="00A176C0">
              <w:rPr>
                <w:noProof/>
                <w:webHidden/>
              </w:rPr>
              <w:t>53</w:t>
            </w:r>
            <w:r w:rsidR="004564CB">
              <w:rPr>
                <w:noProof/>
                <w:webHidden/>
              </w:rPr>
              <w:fldChar w:fldCharType="end"/>
            </w:r>
          </w:hyperlink>
        </w:p>
        <w:p w14:paraId="69233BC5" w14:textId="097A9254" w:rsidR="004564CB" w:rsidRDefault="000B57EE">
          <w:pPr>
            <w:pStyle w:val="TOC2"/>
            <w:rPr>
              <w:rFonts w:asciiTheme="minorHAnsi" w:eastAsiaTheme="minorEastAsia" w:hAnsiTheme="minorHAnsi" w:cstheme="minorBidi"/>
              <w:bCs w:val="0"/>
              <w:noProof/>
              <w:sz w:val="22"/>
              <w:szCs w:val="22"/>
              <w:lang w:eastAsia="en-GB"/>
            </w:rPr>
          </w:pPr>
          <w:hyperlink w:anchor="_Toc95743374" w:history="1">
            <w:r w:rsidR="004564CB" w:rsidRPr="000E1403">
              <w:rPr>
                <w:rStyle w:val="Hyperlink"/>
                <w:rFonts w:eastAsiaTheme="majorEastAsia"/>
                <w:noProof/>
                <w14:scene3d>
                  <w14:camera w14:prst="orthographicFront"/>
                  <w14:lightRig w14:rig="threePt" w14:dir="t">
                    <w14:rot w14:lat="0" w14:lon="0" w14:rev="0"/>
                  </w14:lightRig>
                </w14:scene3d>
              </w:rPr>
              <w:t>4.9</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Theme="majorEastAsia"/>
                <w:noProof/>
              </w:rPr>
              <w:t>The Duty</w:t>
            </w:r>
            <w:r w:rsidR="004564CB" w:rsidRPr="000E1403">
              <w:rPr>
                <w:rStyle w:val="Hyperlink"/>
                <w:rFonts w:eastAsiaTheme="majorEastAsia"/>
                <w:noProof/>
                <w:spacing w:val="-4"/>
              </w:rPr>
              <w:t xml:space="preserve"> </w:t>
            </w:r>
            <w:r w:rsidR="004564CB" w:rsidRPr="000E1403">
              <w:rPr>
                <w:rStyle w:val="Hyperlink"/>
                <w:rFonts w:eastAsiaTheme="majorEastAsia"/>
                <w:noProof/>
              </w:rPr>
              <w:t>to</w:t>
            </w:r>
            <w:r w:rsidR="004564CB" w:rsidRPr="000E1403">
              <w:rPr>
                <w:rStyle w:val="Hyperlink"/>
                <w:rFonts w:eastAsiaTheme="majorEastAsia"/>
                <w:noProof/>
                <w:spacing w:val="1"/>
              </w:rPr>
              <w:t xml:space="preserve"> </w:t>
            </w:r>
            <w:r w:rsidR="004564CB" w:rsidRPr="000E1403">
              <w:rPr>
                <w:rStyle w:val="Hyperlink"/>
                <w:rFonts w:eastAsiaTheme="majorEastAsia"/>
                <w:noProof/>
              </w:rPr>
              <w:t>Exercise</w:t>
            </w:r>
            <w:r w:rsidR="004564CB" w:rsidRPr="000E1403">
              <w:rPr>
                <w:rStyle w:val="Hyperlink"/>
                <w:rFonts w:eastAsiaTheme="majorEastAsia"/>
                <w:noProof/>
                <w:spacing w:val="-3"/>
              </w:rPr>
              <w:t xml:space="preserve"> </w:t>
            </w:r>
            <w:r w:rsidR="004564CB" w:rsidRPr="000E1403">
              <w:rPr>
                <w:rStyle w:val="Hyperlink"/>
                <w:rFonts w:eastAsiaTheme="majorEastAsia"/>
                <w:noProof/>
              </w:rPr>
              <w:t>Functions Effectively</w:t>
            </w:r>
            <w:r w:rsidR="004564CB">
              <w:rPr>
                <w:noProof/>
                <w:webHidden/>
              </w:rPr>
              <w:tab/>
            </w:r>
            <w:r w:rsidR="004564CB">
              <w:rPr>
                <w:noProof/>
                <w:webHidden/>
              </w:rPr>
              <w:fldChar w:fldCharType="begin"/>
            </w:r>
            <w:r w:rsidR="004564CB">
              <w:rPr>
                <w:noProof/>
                <w:webHidden/>
              </w:rPr>
              <w:instrText xml:space="preserve"> PAGEREF _Toc95743374 \h </w:instrText>
            </w:r>
            <w:r w:rsidR="004564CB">
              <w:rPr>
                <w:noProof/>
                <w:webHidden/>
              </w:rPr>
            </w:r>
            <w:r w:rsidR="004564CB">
              <w:rPr>
                <w:noProof/>
                <w:webHidden/>
              </w:rPr>
              <w:fldChar w:fldCharType="separate"/>
            </w:r>
            <w:r w:rsidR="00A176C0">
              <w:rPr>
                <w:noProof/>
                <w:webHidden/>
              </w:rPr>
              <w:t>54</w:t>
            </w:r>
            <w:r w:rsidR="004564CB">
              <w:rPr>
                <w:noProof/>
                <w:webHidden/>
              </w:rPr>
              <w:fldChar w:fldCharType="end"/>
            </w:r>
          </w:hyperlink>
        </w:p>
        <w:p w14:paraId="07B8EC02" w14:textId="7F4679AC" w:rsidR="004564CB" w:rsidRDefault="000B57EE">
          <w:pPr>
            <w:pStyle w:val="TOC2"/>
            <w:rPr>
              <w:rFonts w:asciiTheme="minorHAnsi" w:eastAsiaTheme="minorEastAsia" w:hAnsiTheme="minorHAnsi" w:cstheme="minorBidi"/>
              <w:bCs w:val="0"/>
              <w:noProof/>
              <w:sz w:val="22"/>
              <w:szCs w:val="22"/>
              <w:lang w:eastAsia="en-GB"/>
            </w:rPr>
          </w:pPr>
          <w:hyperlink w:anchor="_Toc95743375" w:history="1">
            <w:r w:rsidR="004564CB" w:rsidRPr="000E1403">
              <w:rPr>
                <w:rStyle w:val="Hyperlink"/>
                <w:rFonts w:eastAsiaTheme="majorEastAsia"/>
                <w:noProof/>
                <w14:scene3d>
                  <w14:camera w14:prst="orthographicFront"/>
                  <w14:lightRig w14:rig="threePt" w14:dir="t">
                    <w14:rot w14:lat="0" w14:lon="0" w14:rev="0"/>
                  </w14:lightRig>
                </w14:scene3d>
              </w:rPr>
              <w:t>4.10</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Theme="majorEastAsia"/>
                <w:noProof/>
              </w:rPr>
              <w:t>The Duty</w:t>
            </w:r>
            <w:r w:rsidR="004564CB" w:rsidRPr="000E1403">
              <w:rPr>
                <w:rStyle w:val="Hyperlink"/>
                <w:rFonts w:eastAsiaTheme="majorEastAsia"/>
                <w:noProof/>
                <w:spacing w:val="-3"/>
              </w:rPr>
              <w:t xml:space="preserve"> </w:t>
            </w:r>
            <w:r w:rsidR="004564CB" w:rsidRPr="000E1403">
              <w:rPr>
                <w:rStyle w:val="Hyperlink"/>
                <w:rFonts w:eastAsiaTheme="majorEastAsia"/>
                <w:noProof/>
              </w:rPr>
              <w:t>Not to</w:t>
            </w:r>
            <w:r w:rsidR="004564CB" w:rsidRPr="000E1403">
              <w:rPr>
                <w:rStyle w:val="Hyperlink"/>
                <w:rFonts w:eastAsiaTheme="majorEastAsia"/>
                <w:noProof/>
                <w:spacing w:val="-2"/>
              </w:rPr>
              <w:t xml:space="preserve"> </w:t>
            </w:r>
            <w:r w:rsidR="004564CB" w:rsidRPr="000E1403">
              <w:rPr>
                <w:rStyle w:val="Hyperlink"/>
                <w:rFonts w:eastAsiaTheme="majorEastAsia"/>
                <w:noProof/>
              </w:rPr>
              <w:t>Prefer</w:t>
            </w:r>
            <w:r w:rsidR="004564CB" w:rsidRPr="000E1403">
              <w:rPr>
                <w:rStyle w:val="Hyperlink"/>
                <w:rFonts w:eastAsiaTheme="majorEastAsia"/>
                <w:noProof/>
                <w:spacing w:val="-5"/>
              </w:rPr>
              <w:t xml:space="preserve"> </w:t>
            </w:r>
            <w:r w:rsidR="004564CB" w:rsidRPr="000E1403">
              <w:rPr>
                <w:rStyle w:val="Hyperlink"/>
                <w:rFonts w:eastAsiaTheme="majorEastAsia"/>
                <w:noProof/>
              </w:rPr>
              <w:t>One Type</w:t>
            </w:r>
            <w:r w:rsidR="004564CB" w:rsidRPr="000E1403">
              <w:rPr>
                <w:rStyle w:val="Hyperlink"/>
                <w:rFonts w:eastAsiaTheme="majorEastAsia"/>
                <w:noProof/>
                <w:spacing w:val="-2"/>
              </w:rPr>
              <w:t xml:space="preserve"> o</w:t>
            </w:r>
            <w:r w:rsidR="004564CB" w:rsidRPr="000E1403">
              <w:rPr>
                <w:rStyle w:val="Hyperlink"/>
                <w:rFonts w:eastAsiaTheme="majorEastAsia"/>
                <w:noProof/>
              </w:rPr>
              <w:t>f</w:t>
            </w:r>
            <w:r w:rsidR="004564CB" w:rsidRPr="000E1403">
              <w:rPr>
                <w:rStyle w:val="Hyperlink"/>
                <w:rFonts w:eastAsiaTheme="majorEastAsia"/>
                <w:noProof/>
                <w:spacing w:val="-3"/>
              </w:rPr>
              <w:t xml:space="preserve"> </w:t>
            </w:r>
            <w:r w:rsidR="004564CB" w:rsidRPr="000E1403">
              <w:rPr>
                <w:rStyle w:val="Hyperlink"/>
                <w:rFonts w:eastAsiaTheme="majorEastAsia"/>
                <w:noProof/>
              </w:rPr>
              <w:t>Provider</w:t>
            </w:r>
            <w:r w:rsidR="004564CB">
              <w:rPr>
                <w:noProof/>
                <w:webHidden/>
              </w:rPr>
              <w:tab/>
            </w:r>
            <w:r w:rsidR="004564CB">
              <w:rPr>
                <w:noProof/>
                <w:webHidden/>
              </w:rPr>
              <w:fldChar w:fldCharType="begin"/>
            </w:r>
            <w:r w:rsidR="004564CB">
              <w:rPr>
                <w:noProof/>
                <w:webHidden/>
              </w:rPr>
              <w:instrText xml:space="preserve"> PAGEREF _Toc95743375 \h </w:instrText>
            </w:r>
            <w:r w:rsidR="004564CB">
              <w:rPr>
                <w:noProof/>
                <w:webHidden/>
              </w:rPr>
            </w:r>
            <w:r w:rsidR="004564CB">
              <w:rPr>
                <w:noProof/>
                <w:webHidden/>
              </w:rPr>
              <w:fldChar w:fldCharType="separate"/>
            </w:r>
            <w:r w:rsidR="00A176C0">
              <w:rPr>
                <w:noProof/>
                <w:webHidden/>
              </w:rPr>
              <w:t>54</w:t>
            </w:r>
            <w:r w:rsidR="004564CB">
              <w:rPr>
                <w:noProof/>
                <w:webHidden/>
              </w:rPr>
              <w:fldChar w:fldCharType="end"/>
            </w:r>
          </w:hyperlink>
        </w:p>
        <w:p w14:paraId="5C42AA5E" w14:textId="5C5DCAE5" w:rsidR="004564CB" w:rsidRDefault="000B57EE">
          <w:pPr>
            <w:pStyle w:val="TOC1"/>
            <w:rPr>
              <w:rFonts w:asciiTheme="minorHAnsi" w:eastAsiaTheme="minorEastAsia" w:hAnsiTheme="minorHAnsi" w:cstheme="minorBidi"/>
              <w:bCs w:val="0"/>
              <w:color w:val="auto"/>
              <w:sz w:val="22"/>
              <w:szCs w:val="22"/>
              <w:lang w:eastAsia="en-GB"/>
            </w:rPr>
          </w:pPr>
          <w:hyperlink w:anchor="_Toc95743376" w:history="1">
            <w:r w:rsidR="004564CB" w:rsidRPr="000E1403">
              <w:rPr>
                <w:rStyle w:val="Hyperlink"/>
              </w:rPr>
              <w:t>5</w:t>
            </w:r>
            <w:r w:rsidR="004564CB">
              <w:rPr>
                <w:rFonts w:asciiTheme="minorHAnsi" w:eastAsiaTheme="minorEastAsia" w:hAnsiTheme="minorHAnsi" w:cstheme="minorBidi"/>
                <w:bCs w:val="0"/>
                <w:color w:val="auto"/>
                <w:sz w:val="22"/>
                <w:szCs w:val="22"/>
                <w:lang w:eastAsia="en-GB"/>
              </w:rPr>
              <w:tab/>
            </w:r>
            <w:r w:rsidR="004564CB" w:rsidRPr="000E1403">
              <w:rPr>
                <w:rStyle w:val="Hyperlink"/>
              </w:rPr>
              <w:t>Working Together – Commissioning and Regulating</w:t>
            </w:r>
            <w:r w:rsidR="004564CB">
              <w:rPr>
                <w:webHidden/>
              </w:rPr>
              <w:tab/>
            </w:r>
            <w:r w:rsidR="004564CB">
              <w:rPr>
                <w:webHidden/>
              </w:rPr>
              <w:fldChar w:fldCharType="begin"/>
            </w:r>
            <w:r w:rsidR="004564CB">
              <w:rPr>
                <w:webHidden/>
              </w:rPr>
              <w:instrText xml:space="preserve"> PAGEREF _Toc95743376 \h </w:instrText>
            </w:r>
            <w:r w:rsidR="004564CB">
              <w:rPr>
                <w:webHidden/>
              </w:rPr>
            </w:r>
            <w:r w:rsidR="004564CB">
              <w:rPr>
                <w:webHidden/>
              </w:rPr>
              <w:fldChar w:fldCharType="separate"/>
            </w:r>
            <w:r w:rsidR="00A176C0">
              <w:rPr>
                <w:webHidden/>
              </w:rPr>
              <w:t>62</w:t>
            </w:r>
            <w:r w:rsidR="004564CB">
              <w:rPr>
                <w:webHidden/>
              </w:rPr>
              <w:fldChar w:fldCharType="end"/>
            </w:r>
          </w:hyperlink>
        </w:p>
        <w:p w14:paraId="048EC759" w14:textId="0640D30A" w:rsidR="004564CB" w:rsidRDefault="000B57EE">
          <w:pPr>
            <w:pStyle w:val="TOC2"/>
            <w:rPr>
              <w:rFonts w:asciiTheme="minorHAnsi" w:eastAsiaTheme="minorEastAsia" w:hAnsiTheme="minorHAnsi" w:cstheme="minorBidi"/>
              <w:bCs w:val="0"/>
              <w:noProof/>
              <w:sz w:val="22"/>
              <w:szCs w:val="22"/>
              <w:lang w:eastAsia="en-GB"/>
            </w:rPr>
          </w:pPr>
          <w:hyperlink w:anchor="_Toc95743377" w:history="1">
            <w:r w:rsidR="004564CB" w:rsidRPr="000E1403">
              <w:rPr>
                <w:rStyle w:val="Hyperlink"/>
                <w:noProof/>
                <w14:scene3d>
                  <w14:camera w14:prst="orthographicFront"/>
                  <w14:lightRig w14:rig="threePt" w14:dir="t">
                    <w14:rot w14:lat="0" w14:lon="0" w14:rev="0"/>
                  </w14:lightRig>
                </w14:scene3d>
              </w:rPr>
              <w:t>5.1</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Introduction</w:t>
            </w:r>
            <w:r w:rsidR="004564CB">
              <w:rPr>
                <w:noProof/>
                <w:webHidden/>
              </w:rPr>
              <w:tab/>
            </w:r>
            <w:r w:rsidR="004564CB">
              <w:rPr>
                <w:noProof/>
                <w:webHidden/>
              </w:rPr>
              <w:fldChar w:fldCharType="begin"/>
            </w:r>
            <w:r w:rsidR="004564CB">
              <w:rPr>
                <w:noProof/>
                <w:webHidden/>
              </w:rPr>
              <w:instrText xml:space="preserve"> PAGEREF _Toc95743377 \h </w:instrText>
            </w:r>
            <w:r w:rsidR="004564CB">
              <w:rPr>
                <w:noProof/>
                <w:webHidden/>
              </w:rPr>
            </w:r>
            <w:r w:rsidR="004564CB">
              <w:rPr>
                <w:noProof/>
                <w:webHidden/>
              </w:rPr>
              <w:fldChar w:fldCharType="separate"/>
            </w:r>
            <w:r w:rsidR="00A176C0">
              <w:rPr>
                <w:noProof/>
                <w:webHidden/>
              </w:rPr>
              <w:t>62</w:t>
            </w:r>
            <w:r w:rsidR="004564CB">
              <w:rPr>
                <w:noProof/>
                <w:webHidden/>
              </w:rPr>
              <w:fldChar w:fldCharType="end"/>
            </w:r>
          </w:hyperlink>
        </w:p>
        <w:p w14:paraId="748243B9" w14:textId="7C8F2C12" w:rsidR="004564CB" w:rsidRDefault="000B57EE">
          <w:pPr>
            <w:pStyle w:val="TOC2"/>
            <w:rPr>
              <w:rFonts w:asciiTheme="minorHAnsi" w:eastAsiaTheme="minorEastAsia" w:hAnsiTheme="minorHAnsi" w:cstheme="minorBidi"/>
              <w:bCs w:val="0"/>
              <w:noProof/>
              <w:sz w:val="22"/>
              <w:szCs w:val="22"/>
              <w:lang w:eastAsia="en-GB"/>
            </w:rPr>
          </w:pPr>
          <w:hyperlink w:anchor="_Toc95743378" w:history="1">
            <w:r w:rsidR="004564CB" w:rsidRPr="000E1403">
              <w:rPr>
                <w:rStyle w:val="Hyperlink"/>
                <w:noProof/>
                <w14:scene3d>
                  <w14:camera w14:prst="orthographicFront"/>
                  <w14:lightRig w14:rig="threePt" w14:dir="t">
                    <w14:rot w14:lat="0" w14:lon="0" w14:rev="0"/>
                  </w14:lightRig>
                </w14:scene3d>
              </w:rPr>
              <w:t>5.2</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Background</w:t>
            </w:r>
            <w:r w:rsidR="004564CB">
              <w:rPr>
                <w:noProof/>
                <w:webHidden/>
              </w:rPr>
              <w:tab/>
            </w:r>
            <w:r w:rsidR="004564CB">
              <w:rPr>
                <w:noProof/>
                <w:webHidden/>
              </w:rPr>
              <w:fldChar w:fldCharType="begin"/>
            </w:r>
            <w:r w:rsidR="004564CB">
              <w:rPr>
                <w:noProof/>
                <w:webHidden/>
              </w:rPr>
              <w:instrText xml:space="preserve"> PAGEREF _Toc95743378 \h </w:instrText>
            </w:r>
            <w:r w:rsidR="004564CB">
              <w:rPr>
                <w:noProof/>
                <w:webHidden/>
              </w:rPr>
            </w:r>
            <w:r w:rsidR="004564CB">
              <w:rPr>
                <w:noProof/>
                <w:webHidden/>
              </w:rPr>
              <w:fldChar w:fldCharType="separate"/>
            </w:r>
            <w:r w:rsidR="00A176C0">
              <w:rPr>
                <w:noProof/>
                <w:webHidden/>
              </w:rPr>
              <w:t>62</w:t>
            </w:r>
            <w:r w:rsidR="004564CB">
              <w:rPr>
                <w:noProof/>
                <w:webHidden/>
              </w:rPr>
              <w:fldChar w:fldCharType="end"/>
            </w:r>
          </w:hyperlink>
        </w:p>
        <w:p w14:paraId="446CF85C" w14:textId="6C7EF0D7" w:rsidR="004564CB" w:rsidRDefault="000B57EE">
          <w:pPr>
            <w:pStyle w:val="TOC2"/>
            <w:rPr>
              <w:rFonts w:asciiTheme="minorHAnsi" w:eastAsiaTheme="minorEastAsia" w:hAnsiTheme="minorHAnsi" w:cstheme="minorBidi"/>
              <w:bCs w:val="0"/>
              <w:noProof/>
              <w:sz w:val="22"/>
              <w:szCs w:val="22"/>
              <w:lang w:eastAsia="en-GB"/>
            </w:rPr>
          </w:pPr>
          <w:hyperlink w:anchor="_Toc95743379" w:history="1">
            <w:r w:rsidR="004564CB" w:rsidRPr="000E1403">
              <w:rPr>
                <w:rStyle w:val="Hyperlink"/>
                <w:noProof/>
                <w14:scene3d>
                  <w14:camera w14:prst="orthographicFront"/>
                  <w14:lightRig w14:rig="threePt" w14:dir="t">
                    <w14:rot w14:lat="0" w14:lon="0" w14:rev="0"/>
                  </w14:lightRig>
                </w14:scene3d>
              </w:rPr>
              <w:t>5.3</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Implementation</w:t>
            </w:r>
            <w:r w:rsidR="004564CB">
              <w:rPr>
                <w:noProof/>
                <w:webHidden/>
              </w:rPr>
              <w:tab/>
            </w:r>
            <w:r w:rsidR="004564CB">
              <w:rPr>
                <w:noProof/>
                <w:webHidden/>
              </w:rPr>
              <w:fldChar w:fldCharType="begin"/>
            </w:r>
            <w:r w:rsidR="004564CB">
              <w:rPr>
                <w:noProof/>
                <w:webHidden/>
              </w:rPr>
              <w:instrText xml:space="preserve"> PAGEREF _Toc95743379 \h </w:instrText>
            </w:r>
            <w:r w:rsidR="004564CB">
              <w:rPr>
                <w:noProof/>
                <w:webHidden/>
              </w:rPr>
            </w:r>
            <w:r w:rsidR="004564CB">
              <w:rPr>
                <w:noProof/>
                <w:webHidden/>
              </w:rPr>
              <w:fldChar w:fldCharType="separate"/>
            </w:r>
            <w:r w:rsidR="00A176C0">
              <w:rPr>
                <w:noProof/>
                <w:webHidden/>
              </w:rPr>
              <w:t>63</w:t>
            </w:r>
            <w:r w:rsidR="004564CB">
              <w:rPr>
                <w:noProof/>
                <w:webHidden/>
              </w:rPr>
              <w:fldChar w:fldCharType="end"/>
            </w:r>
          </w:hyperlink>
        </w:p>
        <w:p w14:paraId="2380A77B" w14:textId="3714DFFD" w:rsidR="004564CB" w:rsidRDefault="000B57EE">
          <w:pPr>
            <w:pStyle w:val="TOC2"/>
            <w:rPr>
              <w:rFonts w:asciiTheme="minorHAnsi" w:eastAsiaTheme="minorEastAsia" w:hAnsiTheme="minorHAnsi" w:cstheme="minorBidi"/>
              <w:bCs w:val="0"/>
              <w:noProof/>
              <w:sz w:val="22"/>
              <w:szCs w:val="22"/>
              <w:lang w:eastAsia="en-GB"/>
            </w:rPr>
          </w:pPr>
          <w:hyperlink w:anchor="_Toc95743380" w:history="1">
            <w:r w:rsidR="004564CB" w:rsidRPr="000E1403">
              <w:rPr>
                <w:rStyle w:val="Hyperlink"/>
                <w:noProof/>
                <w14:scene3d>
                  <w14:camera w14:prst="orthographicFront"/>
                  <w14:lightRig w14:rig="threePt" w14:dir="t">
                    <w14:rot w14:lat="0" w14:lon="0" w14:rev="0"/>
                  </w14:lightRig>
                </w14:scene3d>
              </w:rPr>
              <w:t>5.4</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Existing Good Practice and Interim principles</w:t>
            </w:r>
            <w:r w:rsidR="004564CB">
              <w:rPr>
                <w:noProof/>
                <w:webHidden/>
              </w:rPr>
              <w:tab/>
            </w:r>
            <w:r w:rsidR="004564CB">
              <w:rPr>
                <w:noProof/>
                <w:webHidden/>
              </w:rPr>
              <w:fldChar w:fldCharType="begin"/>
            </w:r>
            <w:r w:rsidR="004564CB">
              <w:rPr>
                <w:noProof/>
                <w:webHidden/>
              </w:rPr>
              <w:instrText xml:space="preserve"> PAGEREF _Toc95743380 \h </w:instrText>
            </w:r>
            <w:r w:rsidR="004564CB">
              <w:rPr>
                <w:noProof/>
                <w:webHidden/>
              </w:rPr>
            </w:r>
            <w:r w:rsidR="004564CB">
              <w:rPr>
                <w:noProof/>
                <w:webHidden/>
              </w:rPr>
              <w:fldChar w:fldCharType="separate"/>
            </w:r>
            <w:r w:rsidR="00A176C0">
              <w:rPr>
                <w:noProof/>
                <w:webHidden/>
              </w:rPr>
              <w:t>63</w:t>
            </w:r>
            <w:r w:rsidR="004564CB">
              <w:rPr>
                <w:noProof/>
                <w:webHidden/>
              </w:rPr>
              <w:fldChar w:fldCharType="end"/>
            </w:r>
          </w:hyperlink>
        </w:p>
        <w:p w14:paraId="19A5ED28" w14:textId="3E5D67AC" w:rsidR="004564CB" w:rsidRDefault="000B57EE">
          <w:pPr>
            <w:pStyle w:val="TOC2"/>
            <w:rPr>
              <w:rFonts w:asciiTheme="minorHAnsi" w:eastAsiaTheme="minorEastAsia" w:hAnsiTheme="minorHAnsi" w:cstheme="minorBidi"/>
              <w:bCs w:val="0"/>
              <w:noProof/>
              <w:sz w:val="22"/>
              <w:szCs w:val="22"/>
              <w:lang w:eastAsia="en-GB"/>
            </w:rPr>
          </w:pPr>
          <w:hyperlink w:anchor="_Toc95743381" w:history="1">
            <w:r w:rsidR="004564CB" w:rsidRPr="000E1403">
              <w:rPr>
                <w:rStyle w:val="Hyperlink"/>
                <w:noProof/>
                <w14:scene3d>
                  <w14:camera w14:prst="orthographicFront"/>
                  <w14:lightRig w14:rig="threePt" w14:dir="t">
                    <w14:rot w14:lat="0" w14:lon="0" w14:rev="0"/>
                  </w14:lightRig>
                </w14:scene3d>
              </w:rPr>
              <w:t>5.5</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Why:</w:t>
            </w:r>
            <w:r w:rsidR="004564CB">
              <w:rPr>
                <w:noProof/>
                <w:webHidden/>
              </w:rPr>
              <w:tab/>
            </w:r>
            <w:r w:rsidR="004564CB">
              <w:rPr>
                <w:noProof/>
                <w:webHidden/>
              </w:rPr>
              <w:fldChar w:fldCharType="begin"/>
            </w:r>
            <w:r w:rsidR="004564CB">
              <w:rPr>
                <w:noProof/>
                <w:webHidden/>
              </w:rPr>
              <w:instrText xml:space="preserve"> PAGEREF _Toc95743381 \h </w:instrText>
            </w:r>
            <w:r w:rsidR="004564CB">
              <w:rPr>
                <w:noProof/>
                <w:webHidden/>
              </w:rPr>
            </w:r>
            <w:r w:rsidR="004564CB">
              <w:rPr>
                <w:noProof/>
                <w:webHidden/>
              </w:rPr>
              <w:fldChar w:fldCharType="separate"/>
            </w:r>
            <w:r w:rsidR="00A176C0">
              <w:rPr>
                <w:noProof/>
                <w:webHidden/>
              </w:rPr>
              <w:t>64</w:t>
            </w:r>
            <w:r w:rsidR="004564CB">
              <w:rPr>
                <w:noProof/>
                <w:webHidden/>
              </w:rPr>
              <w:fldChar w:fldCharType="end"/>
            </w:r>
          </w:hyperlink>
        </w:p>
        <w:p w14:paraId="0D87D859" w14:textId="65D30150" w:rsidR="004564CB" w:rsidRDefault="000B57EE">
          <w:pPr>
            <w:pStyle w:val="TOC2"/>
            <w:rPr>
              <w:rFonts w:asciiTheme="minorHAnsi" w:eastAsiaTheme="minorEastAsia" w:hAnsiTheme="minorHAnsi" w:cstheme="minorBidi"/>
              <w:bCs w:val="0"/>
              <w:noProof/>
              <w:sz w:val="22"/>
              <w:szCs w:val="22"/>
              <w:lang w:eastAsia="en-GB"/>
            </w:rPr>
          </w:pPr>
          <w:hyperlink w:anchor="_Toc95743382" w:history="1">
            <w:r w:rsidR="004564CB" w:rsidRPr="000E1403">
              <w:rPr>
                <w:rStyle w:val="Hyperlink"/>
                <w:noProof/>
                <w14:scene3d>
                  <w14:camera w14:prst="orthographicFront"/>
                  <w14:lightRig w14:rig="threePt" w14:dir="t">
                    <w14:rot w14:lat="0" w14:lon="0" w14:rev="0"/>
                  </w14:lightRig>
                </w14:scene3d>
              </w:rPr>
              <w:t>5.6</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The ambition being delivered:</w:t>
            </w:r>
            <w:r w:rsidR="004564CB">
              <w:rPr>
                <w:noProof/>
                <w:webHidden/>
              </w:rPr>
              <w:tab/>
            </w:r>
            <w:r w:rsidR="004564CB">
              <w:rPr>
                <w:noProof/>
                <w:webHidden/>
              </w:rPr>
              <w:fldChar w:fldCharType="begin"/>
            </w:r>
            <w:r w:rsidR="004564CB">
              <w:rPr>
                <w:noProof/>
                <w:webHidden/>
              </w:rPr>
              <w:instrText xml:space="preserve"> PAGEREF _Toc95743382 \h </w:instrText>
            </w:r>
            <w:r w:rsidR="004564CB">
              <w:rPr>
                <w:noProof/>
                <w:webHidden/>
              </w:rPr>
            </w:r>
            <w:r w:rsidR="004564CB">
              <w:rPr>
                <w:noProof/>
                <w:webHidden/>
              </w:rPr>
              <w:fldChar w:fldCharType="separate"/>
            </w:r>
            <w:r w:rsidR="00A176C0">
              <w:rPr>
                <w:noProof/>
                <w:webHidden/>
              </w:rPr>
              <w:t>65</w:t>
            </w:r>
            <w:r w:rsidR="004564CB">
              <w:rPr>
                <w:noProof/>
                <w:webHidden/>
              </w:rPr>
              <w:fldChar w:fldCharType="end"/>
            </w:r>
          </w:hyperlink>
        </w:p>
        <w:p w14:paraId="2F838661" w14:textId="08BF3577" w:rsidR="004564CB" w:rsidRDefault="000B57EE">
          <w:pPr>
            <w:pStyle w:val="TOC1"/>
            <w:rPr>
              <w:rFonts w:asciiTheme="minorHAnsi" w:eastAsiaTheme="minorEastAsia" w:hAnsiTheme="minorHAnsi" w:cstheme="minorBidi"/>
              <w:bCs w:val="0"/>
              <w:color w:val="auto"/>
              <w:sz w:val="22"/>
              <w:szCs w:val="22"/>
              <w:lang w:eastAsia="en-GB"/>
            </w:rPr>
          </w:pPr>
          <w:hyperlink w:anchor="_Toc95743383" w:history="1">
            <w:r w:rsidR="004564CB" w:rsidRPr="000E1403">
              <w:rPr>
                <w:rStyle w:val="Hyperlink"/>
                <w:lang w:eastAsia="en-GB"/>
              </w:rPr>
              <w:t>Part B – General Contract Management</w:t>
            </w:r>
            <w:r w:rsidR="004564CB">
              <w:rPr>
                <w:webHidden/>
              </w:rPr>
              <w:tab/>
            </w:r>
            <w:r w:rsidR="004564CB">
              <w:rPr>
                <w:webHidden/>
              </w:rPr>
              <w:fldChar w:fldCharType="begin"/>
            </w:r>
            <w:r w:rsidR="004564CB">
              <w:rPr>
                <w:webHidden/>
              </w:rPr>
              <w:instrText xml:space="preserve"> PAGEREF _Toc95743383 \h </w:instrText>
            </w:r>
            <w:r w:rsidR="004564CB">
              <w:rPr>
                <w:webHidden/>
              </w:rPr>
            </w:r>
            <w:r w:rsidR="004564CB">
              <w:rPr>
                <w:webHidden/>
              </w:rPr>
              <w:fldChar w:fldCharType="separate"/>
            </w:r>
            <w:r w:rsidR="00A176C0">
              <w:rPr>
                <w:webHidden/>
              </w:rPr>
              <w:t>66</w:t>
            </w:r>
            <w:r w:rsidR="004564CB">
              <w:rPr>
                <w:webHidden/>
              </w:rPr>
              <w:fldChar w:fldCharType="end"/>
            </w:r>
          </w:hyperlink>
        </w:p>
        <w:p w14:paraId="63C70BFB" w14:textId="1F2468E9" w:rsidR="004564CB" w:rsidRDefault="000B57EE">
          <w:pPr>
            <w:pStyle w:val="TOC1"/>
            <w:rPr>
              <w:rFonts w:asciiTheme="minorHAnsi" w:eastAsiaTheme="minorEastAsia" w:hAnsiTheme="minorHAnsi" w:cstheme="minorBidi"/>
              <w:bCs w:val="0"/>
              <w:color w:val="auto"/>
              <w:sz w:val="22"/>
              <w:szCs w:val="22"/>
              <w:lang w:eastAsia="en-GB"/>
            </w:rPr>
          </w:pPr>
          <w:hyperlink w:anchor="_Toc95743384" w:history="1">
            <w:r w:rsidR="004564CB" w:rsidRPr="000E1403">
              <w:rPr>
                <w:rStyle w:val="Hyperlink"/>
                <w:lang w:eastAsia="en-GB"/>
              </w:rPr>
              <w:t>1</w:t>
            </w:r>
            <w:r w:rsidR="004564CB">
              <w:rPr>
                <w:rFonts w:asciiTheme="minorHAnsi" w:eastAsiaTheme="minorEastAsia" w:hAnsiTheme="minorHAnsi" w:cstheme="minorBidi"/>
                <w:bCs w:val="0"/>
                <w:color w:val="auto"/>
                <w:sz w:val="22"/>
                <w:szCs w:val="22"/>
                <w:lang w:eastAsia="en-GB"/>
              </w:rPr>
              <w:tab/>
            </w:r>
            <w:r w:rsidR="004564CB" w:rsidRPr="000E1403">
              <w:rPr>
                <w:rStyle w:val="Hyperlink"/>
                <w:lang w:eastAsia="en-GB"/>
              </w:rPr>
              <w:t>Contracts Described</w:t>
            </w:r>
            <w:r w:rsidR="004564CB">
              <w:rPr>
                <w:webHidden/>
              </w:rPr>
              <w:tab/>
            </w:r>
            <w:r w:rsidR="004564CB">
              <w:rPr>
                <w:webHidden/>
              </w:rPr>
              <w:fldChar w:fldCharType="begin"/>
            </w:r>
            <w:r w:rsidR="004564CB">
              <w:rPr>
                <w:webHidden/>
              </w:rPr>
              <w:instrText xml:space="preserve"> PAGEREF _Toc95743384 \h </w:instrText>
            </w:r>
            <w:r w:rsidR="004564CB">
              <w:rPr>
                <w:webHidden/>
              </w:rPr>
            </w:r>
            <w:r w:rsidR="004564CB">
              <w:rPr>
                <w:webHidden/>
              </w:rPr>
              <w:fldChar w:fldCharType="separate"/>
            </w:r>
            <w:r w:rsidR="00A176C0">
              <w:rPr>
                <w:webHidden/>
              </w:rPr>
              <w:t>67</w:t>
            </w:r>
            <w:r w:rsidR="004564CB">
              <w:rPr>
                <w:webHidden/>
              </w:rPr>
              <w:fldChar w:fldCharType="end"/>
            </w:r>
          </w:hyperlink>
        </w:p>
        <w:p w14:paraId="662386BB" w14:textId="635E94CB" w:rsidR="004564CB" w:rsidRDefault="000B57EE">
          <w:pPr>
            <w:pStyle w:val="TOC2"/>
            <w:rPr>
              <w:rFonts w:asciiTheme="minorHAnsi" w:eastAsiaTheme="minorEastAsia" w:hAnsiTheme="minorHAnsi" w:cstheme="minorBidi"/>
              <w:bCs w:val="0"/>
              <w:noProof/>
              <w:sz w:val="22"/>
              <w:szCs w:val="22"/>
              <w:lang w:eastAsia="en-GB"/>
            </w:rPr>
          </w:pPr>
          <w:hyperlink w:anchor="_Toc95743385" w:history="1">
            <w:r w:rsidR="004564CB" w:rsidRPr="000E1403">
              <w:rPr>
                <w:rStyle w:val="Hyperlink"/>
                <w:noProof/>
                <w14:scene3d>
                  <w14:camera w14:prst="orthographicFront"/>
                  <w14:lightRig w14:rig="threePt" w14:dir="t">
                    <w14:rot w14:lat="0" w14:lon="0" w14:rev="0"/>
                  </w14:lightRig>
                </w14:scene3d>
              </w:rPr>
              <w:t>1.1</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Comparison of Contract Types (Standard Medical and as part of models i.e. MCPs / PACS)</w:t>
            </w:r>
            <w:r w:rsidR="004564CB">
              <w:rPr>
                <w:noProof/>
                <w:webHidden/>
              </w:rPr>
              <w:tab/>
            </w:r>
            <w:r w:rsidR="004564CB">
              <w:rPr>
                <w:noProof/>
                <w:webHidden/>
              </w:rPr>
              <w:fldChar w:fldCharType="begin"/>
            </w:r>
            <w:r w:rsidR="004564CB">
              <w:rPr>
                <w:noProof/>
                <w:webHidden/>
              </w:rPr>
              <w:instrText xml:space="preserve"> PAGEREF _Toc95743385 \h </w:instrText>
            </w:r>
            <w:r w:rsidR="004564CB">
              <w:rPr>
                <w:noProof/>
                <w:webHidden/>
              </w:rPr>
            </w:r>
            <w:r w:rsidR="004564CB">
              <w:rPr>
                <w:noProof/>
                <w:webHidden/>
              </w:rPr>
              <w:fldChar w:fldCharType="separate"/>
            </w:r>
            <w:r w:rsidR="00A176C0">
              <w:rPr>
                <w:noProof/>
                <w:webHidden/>
              </w:rPr>
              <w:t>67</w:t>
            </w:r>
            <w:r w:rsidR="004564CB">
              <w:rPr>
                <w:noProof/>
                <w:webHidden/>
              </w:rPr>
              <w:fldChar w:fldCharType="end"/>
            </w:r>
          </w:hyperlink>
        </w:p>
        <w:p w14:paraId="7BF49902" w14:textId="4284CF4E" w:rsidR="004564CB" w:rsidRDefault="000B57EE">
          <w:pPr>
            <w:pStyle w:val="TOC2"/>
            <w:rPr>
              <w:rFonts w:asciiTheme="minorHAnsi" w:eastAsiaTheme="minorEastAsia" w:hAnsiTheme="minorHAnsi" w:cstheme="minorBidi"/>
              <w:bCs w:val="0"/>
              <w:noProof/>
              <w:sz w:val="22"/>
              <w:szCs w:val="22"/>
              <w:lang w:eastAsia="en-GB"/>
            </w:rPr>
          </w:pPr>
          <w:hyperlink w:anchor="_Toc95743386" w:history="1">
            <w:r w:rsidR="004564CB" w:rsidRPr="000E1403">
              <w:rPr>
                <w:rStyle w:val="Hyperlink"/>
                <w:noProof/>
                <w14:scene3d>
                  <w14:camera w14:prst="orthographicFront"/>
                  <w14:lightRig w14:rig="threePt" w14:dir="t">
                    <w14:rot w14:lat="0" w14:lon="0" w14:rev="0"/>
                  </w14:lightRig>
                </w14:scene3d>
              </w:rPr>
              <w:t>1.2</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Urgent Contracts</w:t>
            </w:r>
            <w:r w:rsidR="004564CB">
              <w:rPr>
                <w:noProof/>
                <w:webHidden/>
              </w:rPr>
              <w:tab/>
            </w:r>
            <w:r w:rsidR="004564CB">
              <w:rPr>
                <w:noProof/>
                <w:webHidden/>
              </w:rPr>
              <w:fldChar w:fldCharType="begin"/>
            </w:r>
            <w:r w:rsidR="004564CB">
              <w:rPr>
                <w:noProof/>
                <w:webHidden/>
              </w:rPr>
              <w:instrText xml:space="preserve"> PAGEREF _Toc95743386 \h </w:instrText>
            </w:r>
            <w:r w:rsidR="004564CB">
              <w:rPr>
                <w:noProof/>
                <w:webHidden/>
              </w:rPr>
            </w:r>
            <w:r w:rsidR="004564CB">
              <w:rPr>
                <w:noProof/>
                <w:webHidden/>
              </w:rPr>
              <w:fldChar w:fldCharType="separate"/>
            </w:r>
            <w:r w:rsidR="00A176C0">
              <w:rPr>
                <w:noProof/>
                <w:webHidden/>
              </w:rPr>
              <w:t>72</w:t>
            </w:r>
            <w:r w:rsidR="004564CB">
              <w:rPr>
                <w:noProof/>
                <w:webHidden/>
              </w:rPr>
              <w:fldChar w:fldCharType="end"/>
            </w:r>
          </w:hyperlink>
        </w:p>
        <w:p w14:paraId="719EE333" w14:textId="05212586" w:rsidR="004564CB" w:rsidRDefault="000B57EE">
          <w:pPr>
            <w:pStyle w:val="TOC2"/>
            <w:rPr>
              <w:rFonts w:asciiTheme="minorHAnsi" w:eastAsiaTheme="minorEastAsia" w:hAnsiTheme="minorHAnsi" w:cstheme="minorBidi"/>
              <w:bCs w:val="0"/>
              <w:noProof/>
              <w:sz w:val="22"/>
              <w:szCs w:val="22"/>
              <w:lang w:eastAsia="en-GB"/>
            </w:rPr>
          </w:pPr>
          <w:hyperlink w:anchor="_Toc95743387" w:history="1">
            <w:r w:rsidR="004564CB" w:rsidRPr="000E1403">
              <w:rPr>
                <w:rStyle w:val="Hyperlink"/>
                <w:noProof/>
                <w14:scene3d>
                  <w14:camera w14:prst="orthographicFront"/>
                  <w14:lightRig w14:rig="threePt" w14:dir="t">
                    <w14:rot w14:lat="0" w14:lon="0" w14:rev="0"/>
                  </w14:lightRig>
                </w14:scene3d>
              </w:rPr>
              <w:t>1.3</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Public Involvement</w:t>
            </w:r>
            <w:r w:rsidR="004564CB">
              <w:rPr>
                <w:noProof/>
                <w:webHidden/>
              </w:rPr>
              <w:tab/>
            </w:r>
            <w:r w:rsidR="004564CB">
              <w:rPr>
                <w:noProof/>
                <w:webHidden/>
              </w:rPr>
              <w:fldChar w:fldCharType="begin"/>
            </w:r>
            <w:r w:rsidR="004564CB">
              <w:rPr>
                <w:noProof/>
                <w:webHidden/>
              </w:rPr>
              <w:instrText xml:space="preserve"> PAGEREF _Toc95743387 \h </w:instrText>
            </w:r>
            <w:r w:rsidR="004564CB">
              <w:rPr>
                <w:noProof/>
                <w:webHidden/>
              </w:rPr>
            </w:r>
            <w:r w:rsidR="004564CB">
              <w:rPr>
                <w:noProof/>
                <w:webHidden/>
              </w:rPr>
              <w:fldChar w:fldCharType="separate"/>
            </w:r>
            <w:r w:rsidR="00A176C0">
              <w:rPr>
                <w:noProof/>
                <w:webHidden/>
              </w:rPr>
              <w:t>74</w:t>
            </w:r>
            <w:r w:rsidR="004564CB">
              <w:rPr>
                <w:noProof/>
                <w:webHidden/>
              </w:rPr>
              <w:fldChar w:fldCharType="end"/>
            </w:r>
          </w:hyperlink>
        </w:p>
        <w:p w14:paraId="777F16EE" w14:textId="7384BC3C" w:rsidR="004564CB" w:rsidRDefault="000B57EE">
          <w:pPr>
            <w:pStyle w:val="TOC2"/>
            <w:rPr>
              <w:rFonts w:asciiTheme="minorHAnsi" w:eastAsiaTheme="minorEastAsia" w:hAnsiTheme="minorHAnsi" w:cstheme="minorBidi"/>
              <w:bCs w:val="0"/>
              <w:noProof/>
              <w:sz w:val="22"/>
              <w:szCs w:val="22"/>
              <w:lang w:eastAsia="en-GB"/>
            </w:rPr>
          </w:pPr>
          <w:hyperlink w:anchor="_Toc95743388" w:history="1">
            <w:r w:rsidR="004564CB" w:rsidRPr="000E1403">
              <w:rPr>
                <w:rStyle w:val="Hyperlink"/>
                <w:noProof/>
                <w14:scene3d>
                  <w14:camera w14:prst="orthographicFront"/>
                  <w14:lightRig w14:rig="threePt" w14:dir="t">
                    <w14:rot w14:lat="0" w14:lon="0" w14:rev="0"/>
                  </w14:lightRig>
                </w14:scene3d>
              </w:rPr>
              <w:t>1.4</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Annex 1 Persons Eligible to Enter into a GMS Contract</w:t>
            </w:r>
            <w:r w:rsidR="004564CB">
              <w:rPr>
                <w:noProof/>
                <w:webHidden/>
              </w:rPr>
              <w:tab/>
            </w:r>
            <w:r w:rsidR="004564CB">
              <w:rPr>
                <w:noProof/>
                <w:webHidden/>
              </w:rPr>
              <w:fldChar w:fldCharType="begin"/>
            </w:r>
            <w:r w:rsidR="004564CB">
              <w:rPr>
                <w:noProof/>
                <w:webHidden/>
              </w:rPr>
              <w:instrText xml:space="preserve"> PAGEREF _Toc95743388 \h </w:instrText>
            </w:r>
            <w:r w:rsidR="004564CB">
              <w:rPr>
                <w:noProof/>
                <w:webHidden/>
              </w:rPr>
            </w:r>
            <w:r w:rsidR="004564CB">
              <w:rPr>
                <w:noProof/>
                <w:webHidden/>
              </w:rPr>
              <w:fldChar w:fldCharType="separate"/>
            </w:r>
            <w:r w:rsidR="00A176C0">
              <w:rPr>
                <w:noProof/>
                <w:webHidden/>
              </w:rPr>
              <w:t>76</w:t>
            </w:r>
            <w:r w:rsidR="004564CB">
              <w:rPr>
                <w:noProof/>
                <w:webHidden/>
              </w:rPr>
              <w:fldChar w:fldCharType="end"/>
            </w:r>
          </w:hyperlink>
        </w:p>
        <w:p w14:paraId="619FAEF5" w14:textId="5517583D" w:rsidR="004564CB" w:rsidRDefault="000B57EE">
          <w:pPr>
            <w:pStyle w:val="TOC2"/>
            <w:rPr>
              <w:rFonts w:asciiTheme="minorHAnsi" w:eastAsiaTheme="minorEastAsia" w:hAnsiTheme="minorHAnsi" w:cstheme="minorBidi"/>
              <w:bCs w:val="0"/>
              <w:noProof/>
              <w:sz w:val="22"/>
              <w:szCs w:val="22"/>
              <w:lang w:eastAsia="en-GB"/>
            </w:rPr>
          </w:pPr>
          <w:hyperlink w:anchor="_Toc95743389" w:history="1">
            <w:r w:rsidR="004564CB" w:rsidRPr="000E1403">
              <w:rPr>
                <w:rStyle w:val="Hyperlink"/>
                <w:noProof/>
                <w14:scene3d>
                  <w14:camera w14:prst="orthographicFront"/>
                  <w14:lightRig w14:rig="threePt" w14:dir="t">
                    <w14:rot w14:lat="0" w14:lon="0" w14:rev="0"/>
                  </w14:lightRig>
                </w14:scene3d>
              </w:rPr>
              <w:t>1.5</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Annex 2 Persons eligible to enter into a PMS Agreement</w:t>
            </w:r>
            <w:r w:rsidR="004564CB">
              <w:rPr>
                <w:noProof/>
                <w:webHidden/>
              </w:rPr>
              <w:tab/>
            </w:r>
            <w:r w:rsidR="004564CB">
              <w:rPr>
                <w:noProof/>
                <w:webHidden/>
              </w:rPr>
              <w:fldChar w:fldCharType="begin"/>
            </w:r>
            <w:r w:rsidR="004564CB">
              <w:rPr>
                <w:noProof/>
                <w:webHidden/>
              </w:rPr>
              <w:instrText xml:space="preserve"> PAGEREF _Toc95743389 \h </w:instrText>
            </w:r>
            <w:r w:rsidR="004564CB">
              <w:rPr>
                <w:noProof/>
                <w:webHidden/>
              </w:rPr>
            </w:r>
            <w:r w:rsidR="004564CB">
              <w:rPr>
                <w:noProof/>
                <w:webHidden/>
              </w:rPr>
              <w:fldChar w:fldCharType="separate"/>
            </w:r>
            <w:r w:rsidR="00A176C0">
              <w:rPr>
                <w:noProof/>
                <w:webHidden/>
              </w:rPr>
              <w:t>85</w:t>
            </w:r>
            <w:r w:rsidR="004564CB">
              <w:rPr>
                <w:noProof/>
                <w:webHidden/>
              </w:rPr>
              <w:fldChar w:fldCharType="end"/>
            </w:r>
          </w:hyperlink>
        </w:p>
        <w:p w14:paraId="4607C8A4" w14:textId="4EAD7D58" w:rsidR="004564CB" w:rsidRDefault="000B57EE">
          <w:pPr>
            <w:pStyle w:val="TOC2"/>
            <w:rPr>
              <w:rFonts w:asciiTheme="minorHAnsi" w:eastAsiaTheme="minorEastAsia" w:hAnsiTheme="minorHAnsi" w:cstheme="minorBidi"/>
              <w:bCs w:val="0"/>
              <w:noProof/>
              <w:sz w:val="22"/>
              <w:szCs w:val="22"/>
              <w:lang w:eastAsia="en-GB"/>
            </w:rPr>
          </w:pPr>
          <w:hyperlink w:anchor="_Toc95743390" w:history="1">
            <w:r w:rsidR="004564CB" w:rsidRPr="000E1403">
              <w:rPr>
                <w:rStyle w:val="Hyperlink"/>
                <w:noProof/>
                <w14:scene3d>
                  <w14:camera w14:prst="orthographicFront"/>
                  <w14:lightRig w14:rig="threePt" w14:dir="t">
                    <w14:rot w14:lat="0" w14:lon="0" w14:rev="0"/>
                  </w14:lightRig>
                </w14:scene3d>
              </w:rPr>
              <w:t>1.6</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Annex 3 Persons Eligible to Enter into an APMS Contract</w:t>
            </w:r>
            <w:r w:rsidR="004564CB">
              <w:rPr>
                <w:noProof/>
                <w:webHidden/>
              </w:rPr>
              <w:tab/>
            </w:r>
            <w:r w:rsidR="004564CB">
              <w:rPr>
                <w:noProof/>
                <w:webHidden/>
              </w:rPr>
              <w:fldChar w:fldCharType="begin"/>
            </w:r>
            <w:r w:rsidR="004564CB">
              <w:rPr>
                <w:noProof/>
                <w:webHidden/>
              </w:rPr>
              <w:instrText xml:space="preserve"> PAGEREF _Toc95743390 \h </w:instrText>
            </w:r>
            <w:r w:rsidR="004564CB">
              <w:rPr>
                <w:noProof/>
                <w:webHidden/>
              </w:rPr>
            </w:r>
            <w:r w:rsidR="004564CB">
              <w:rPr>
                <w:noProof/>
                <w:webHidden/>
              </w:rPr>
              <w:fldChar w:fldCharType="separate"/>
            </w:r>
            <w:r w:rsidR="00A176C0">
              <w:rPr>
                <w:noProof/>
                <w:webHidden/>
              </w:rPr>
              <w:t>93</w:t>
            </w:r>
            <w:r w:rsidR="004564CB">
              <w:rPr>
                <w:noProof/>
                <w:webHidden/>
              </w:rPr>
              <w:fldChar w:fldCharType="end"/>
            </w:r>
          </w:hyperlink>
        </w:p>
        <w:p w14:paraId="33A91B0A" w14:textId="2F9F5BC5" w:rsidR="004564CB" w:rsidRDefault="000B57EE">
          <w:pPr>
            <w:pStyle w:val="TOC2"/>
            <w:rPr>
              <w:rFonts w:asciiTheme="minorHAnsi" w:eastAsiaTheme="minorEastAsia" w:hAnsiTheme="minorHAnsi" w:cstheme="minorBidi"/>
              <w:bCs w:val="0"/>
              <w:noProof/>
              <w:sz w:val="22"/>
              <w:szCs w:val="22"/>
              <w:lang w:eastAsia="en-GB"/>
            </w:rPr>
          </w:pPr>
          <w:hyperlink w:anchor="_Toc95743391" w:history="1">
            <w:r w:rsidR="004564CB" w:rsidRPr="000E1403">
              <w:rPr>
                <w:rStyle w:val="Hyperlink"/>
                <w:noProof/>
                <w14:scene3d>
                  <w14:camera w14:prst="orthographicFront"/>
                  <w14:lightRig w14:rig="threePt" w14:dir="t">
                    <w14:rot w14:lat="0" w14:lon="0" w14:rev="0"/>
                  </w14:lightRig>
                </w14:scene3d>
              </w:rPr>
              <w:t>1.7</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Annex 4 Primary Care Support Services Notifications</w:t>
            </w:r>
            <w:r w:rsidR="004564CB">
              <w:rPr>
                <w:noProof/>
                <w:webHidden/>
              </w:rPr>
              <w:tab/>
            </w:r>
            <w:r w:rsidR="004564CB">
              <w:rPr>
                <w:noProof/>
                <w:webHidden/>
              </w:rPr>
              <w:fldChar w:fldCharType="begin"/>
            </w:r>
            <w:r w:rsidR="004564CB">
              <w:rPr>
                <w:noProof/>
                <w:webHidden/>
              </w:rPr>
              <w:instrText xml:space="preserve"> PAGEREF _Toc95743391 \h </w:instrText>
            </w:r>
            <w:r w:rsidR="004564CB">
              <w:rPr>
                <w:noProof/>
                <w:webHidden/>
              </w:rPr>
            </w:r>
            <w:r w:rsidR="004564CB">
              <w:rPr>
                <w:noProof/>
                <w:webHidden/>
              </w:rPr>
              <w:fldChar w:fldCharType="separate"/>
            </w:r>
            <w:r w:rsidR="00A176C0">
              <w:rPr>
                <w:noProof/>
                <w:webHidden/>
              </w:rPr>
              <w:t>98</w:t>
            </w:r>
            <w:r w:rsidR="004564CB">
              <w:rPr>
                <w:noProof/>
                <w:webHidden/>
              </w:rPr>
              <w:fldChar w:fldCharType="end"/>
            </w:r>
          </w:hyperlink>
        </w:p>
        <w:p w14:paraId="797F11D7" w14:textId="4A7CC5B0" w:rsidR="004564CB" w:rsidRDefault="000B57EE">
          <w:pPr>
            <w:pStyle w:val="TOC2"/>
            <w:rPr>
              <w:rFonts w:asciiTheme="minorHAnsi" w:eastAsiaTheme="minorEastAsia" w:hAnsiTheme="minorHAnsi" w:cstheme="minorBidi"/>
              <w:bCs w:val="0"/>
              <w:noProof/>
              <w:sz w:val="22"/>
              <w:szCs w:val="22"/>
              <w:lang w:eastAsia="en-GB"/>
            </w:rPr>
          </w:pPr>
          <w:hyperlink w:anchor="_Toc95743392" w:history="1">
            <w:r w:rsidR="004564CB" w:rsidRPr="000E1403">
              <w:rPr>
                <w:rStyle w:val="Hyperlink"/>
                <w:noProof/>
                <w14:scene3d>
                  <w14:camera w14:prst="orthographicFront"/>
                  <w14:lightRig w14:rig="threePt" w14:dir="t">
                    <w14:rot w14:lat="0" w14:lon="0" w14:rev="0"/>
                  </w14:lightRig>
                </w14:scene3d>
              </w:rPr>
              <w:t>1.8</w:t>
            </w:r>
            <w:r w:rsidR="004564CB">
              <w:rPr>
                <w:rFonts w:asciiTheme="minorHAnsi" w:eastAsiaTheme="minorEastAsia" w:hAnsiTheme="minorHAnsi" w:cstheme="minorBidi"/>
                <w:bCs w:val="0"/>
                <w:noProof/>
                <w:sz w:val="22"/>
                <w:szCs w:val="22"/>
                <w:lang w:eastAsia="en-GB"/>
              </w:rPr>
              <w:tab/>
            </w:r>
            <w:r w:rsidR="004564CB" w:rsidRPr="000E1403">
              <w:rPr>
                <w:rStyle w:val="Hyperlink"/>
                <w:b/>
                <w:iCs/>
                <w:noProof/>
              </w:rPr>
              <w:t>Working with Primary Care Support England (PCSE) (delivered on behalf of NHS England by Capita)</w:t>
            </w:r>
            <w:r w:rsidR="004564CB">
              <w:rPr>
                <w:noProof/>
                <w:webHidden/>
              </w:rPr>
              <w:tab/>
            </w:r>
            <w:r w:rsidR="004564CB">
              <w:rPr>
                <w:noProof/>
                <w:webHidden/>
              </w:rPr>
              <w:fldChar w:fldCharType="begin"/>
            </w:r>
            <w:r w:rsidR="004564CB">
              <w:rPr>
                <w:noProof/>
                <w:webHidden/>
              </w:rPr>
              <w:instrText xml:space="preserve"> PAGEREF _Toc95743392 \h </w:instrText>
            </w:r>
            <w:r w:rsidR="004564CB">
              <w:rPr>
                <w:noProof/>
                <w:webHidden/>
              </w:rPr>
            </w:r>
            <w:r w:rsidR="004564CB">
              <w:rPr>
                <w:noProof/>
                <w:webHidden/>
              </w:rPr>
              <w:fldChar w:fldCharType="separate"/>
            </w:r>
            <w:r w:rsidR="00A176C0">
              <w:rPr>
                <w:noProof/>
                <w:webHidden/>
              </w:rPr>
              <w:t>98</w:t>
            </w:r>
            <w:r w:rsidR="004564CB">
              <w:rPr>
                <w:noProof/>
                <w:webHidden/>
              </w:rPr>
              <w:fldChar w:fldCharType="end"/>
            </w:r>
          </w:hyperlink>
        </w:p>
        <w:p w14:paraId="1ADC62B0" w14:textId="243956DB" w:rsidR="004564CB" w:rsidRDefault="000B57EE">
          <w:pPr>
            <w:pStyle w:val="TOC1"/>
            <w:rPr>
              <w:rFonts w:asciiTheme="minorHAnsi" w:eastAsiaTheme="minorEastAsia" w:hAnsiTheme="minorHAnsi" w:cstheme="minorBidi"/>
              <w:bCs w:val="0"/>
              <w:color w:val="auto"/>
              <w:sz w:val="22"/>
              <w:szCs w:val="22"/>
              <w:lang w:eastAsia="en-GB"/>
            </w:rPr>
          </w:pPr>
          <w:hyperlink w:anchor="_Toc95743393" w:history="1">
            <w:r w:rsidR="004564CB" w:rsidRPr="000E1403">
              <w:rPr>
                <w:rStyle w:val="Hyperlink"/>
              </w:rPr>
              <w:t>2</w:t>
            </w:r>
            <w:r w:rsidR="004564CB">
              <w:rPr>
                <w:rFonts w:asciiTheme="minorHAnsi" w:eastAsiaTheme="minorEastAsia" w:hAnsiTheme="minorHAnsi" w:cstheme="minorBidi"/>
                <w:bCs w:val="0"/>
                <w:color w:val="auto"/>
                <w:sz w:val="22"/>
                <w:szCs w:val="22"/>
                <w:lang w:eastAsia="en-GB"/>
              </w:rPr>
              <w:tab/>
            </w:r>
            <w:r w:rsidR="004564CB" w:rsidRPr="000E1403">
              <w:rPr>
                <w:rStyle w:val="Hyperlink"/>
              </w:rPr>
              <w:t>Assurance Framework for Contract Reviews</w:t>
            </w:r>
            <w:r w:rsidR="004564CB">
              <w:rPr>
                <w:webHidden/>
              </w:rPr>
              <w:tab/>
            </w:r>
            <w:r w:rsidR="004564CB">
              <w:rPr>
                <w:webHidden/>
              </w:rPr>
              <w:fldChar w:fldCharType="begin"/>
            </w:r>
            <w:r w:rsidR="004564CB">
              <w:rPr>
                <w:webHidden/>
              </w:rPr>
              <w:instrText xml:space="preserve"> PAGEREF _Toc95743393 \h </w:instrText>
            </w:r>
            <w:r w:rsidR="004564CB">
              <w:rPr>
                <w:webHidden/>
              </w:rPr>
            </w:r>
            <w:r w:rsidR="004564CB">
              <w:rPr>
                <w:webHidden/>
              </w:rPr>
              <w:fldChar w:fldCharType="separate"/>
            </w:r>
            <w:r w:rsidR="00A176C0">
              <w:rPr>
                <w:webHidden/>
              </w:rPr>
              <w:t>100</w:t>
            </w:r>
            <w:r w:rsidR="004564CB">
              <w:rPr>
                <w:webHidden/>
              </w:rPr>
              <w:fldChar w:fldCharType="end"/>
            </w:r>
          </w:hyperlink>
        </w:p>
        <w:p w14:paraId="13C2BDE7" w14:textId="089F4A94" w:rsidR="004564CB" w:rsidRDefault="000B57EE">
          <w:pPr>
            <w:pStyle w:val="TOC2"/>
            <w:rPr>
              <w:rFonts w:asciiTheme="minorHAnsi" w:eastAsiaTheme="minorEastAsia" w:hAnsiTheme="minorHAnsi" w:cstheme="minorBidi"/>
              <w:bCs w:val="0"/>
              <w:noProof/>
              <w:sz w:val="22"/>
              <w:szCs w:val="22"/>
              <w:lang w:eastAsia="en-GB"/>
            </w:rPr>
          </w:pPr>
          <w:hyperlink w:anchor="_Toc95743394" w:history="1">
            <w:r w:rsidR="004564CB" w:rsidRPr="000E1403">
              <w:rPr>
                <w:rStyle w:val="Hyperlink"/>
                <w:rFonts w:eastAsia="Calibri"/>
                <w:noProof/>
                <w14:scene3d>
                  <w14:camera w14:prst="orthographicFront"/>
                  <w14:lightRig w14:rig="threePt" w14:dir="t">
                    <w14:rot w14:lat="0" w14:lon="0" w14:rev="0"/>
                  </w14:lightRig>
                </w14:scene3d>
              </w:rPr>
              <w:t>2.1</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Calibri"/>
                <w:noProof/>
              </w:rPr>
              <w:t>Introduction</w:t>
            </w:r>
            <w:r w:rsidR="004564CB">
              <w:rPr>
                <w:noProof/>
                <w:webHidden/>
              </w:rPr>
              <w:tab/>
            </w:r>
            <w:r w:rsidR="004564CB">
              <w:rPr>
                <w:noProof/>
                <w:webHidden/>
              </w:rPr>
              <w:fldChar w:fldCharType="begin"/>
            </w:r>
            <w:r w:rsidR="004564CB">
              <w:rPr>
                <w:noProof/>
                <w:webHidden/>
              </w:rPr>
              <w:instrText xml:space="preserve"> PAGEREF _Toc95743394 \h </w:instrText>
            </w:r>
            <w:r w:rsidR="004564CB">
              <w:rPr>
                <w:noProof/>
                <w:webHidden/>
              </w:rPr>
            </w:r>
            <w:r w:rsidR="004564CB">
              <w:rPr>
                <w:noProof/>
                <w:webHidden/>
              </w:rPr>
              <w:fldChar w:fldCharType="separate"/>
            </w:r>
            <w:r w:rsidR="00A176C0">
              <w:rPr>
                <w:noProof/>
                <w:webHidden/>
              </w:rPr>
              <w:t>100</w:t>
            </w:r>
            <w:r w:rsidR="004564CB">
              <w:rPr>
                <w:noProof/>
                <w:webHidden/>
              </w:rPr>
              <w:fldChar w:fldCharType="end"/>
            </w:r>
          </w:hyperlink>
        </w:p>
        <w:p w14:paraId="30FBF0BB" w14:textId="1376C2A2" w:rsidR="004564CB" w:rsidRDefault="000B57EE">
          <w:pPr>
            <w:pStyle w:val="TOC2"/>
            <w:rPr>
              <w:rFonts w:asciiTheme="minorHAnsi" w:eastAsiaTheme="minorEastAsia" w:hAnsiTheme="minorHAnsi" w:cstheme="minorBidi"/>
              <w:bCs w:val="0"/>
              <w:noProof/>
              <w:sz w:val="22"/>
              <w:szCs w:val="22"/>
              <w:lang w:eastAsia="en-GB"/>
            </w:rPr>
          </w:pPr>
          <w:hyperlink w:anchor="_Toc95743395" w:history="1">
            <w:r w:rsidR="004564CB" w:rsidRPr="000E1403">
              <w:rPr>
                <w:rStyle w:val="Hyperlink"/>
                <w:rFonts w:eastAsia="Calibri"/>
                <w:noProof/>
                <w14:scene3d>
                  <w14:camera w14:prst="orthographicFront"/>
                  <w14:lightRig w14:rig="threePt" w14:dir="t">
                    <w14:rot w14:lat="0" w14:lon="0" w14:rev="0"/>
                  </w14:lightRig>
                </w14:scene3d>
              </w:rPr>
              <w:t>2.2</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Calibri"/>
                <w:noProof/>
              </w:rPr>
              <w:t>Background</w:t>
            </w:r>
            <w:r w:rsidR="004564CB">
              <w:rPr>
                <w:noProof/>
                <w:webHidden/>
              </w:rPr>
              <w:tab/>
            </w:r>
            <w:r w:rsidR="004564CB">
              <w:rPr>
                <w:noProof/>
                <w:webHidden/>
              </w:rPr>
              <w:fldChar w:fldCharType="begin"/>
            </w:r>
            <w:r w:rsidR="004564CB">
              <w:rPr>
                <w:noProof/>
                <w:webHidden/>
              </w:rPr>
              <w:instrText xml:space="preserve"> PAGEREF _Toc95743395 \h </w:instrText>
            </w:r>
            <w:r w:rsidR="004564CB">
              <w:rPr>
                <w:noProof/>
                <w:webHidden/>
              </w:rPr>
            </w:r>
            <w:r w:rsidR="004564CB">
              <w:rPr>
                <w:noProof/>
                <w:webHidden/>
              </w:rPr>
              <w:fldChar w:fldCharType="separate"/>
            </w:r>
            <w:r w:rsidR="00A176C0">
              <w:rPr>
                <w:noProof/>
                <w:webHidden/>
              </w:rPr>
              <w:t>101</w:t>
            </w:r>
            <w:r w:rsidR="004564CB">
              <w:rPr>
                <w:noProof/>
                <w:webHidden/>
              </w:rPr>
              <w:fldChar w:fldCharType="end"/>
            </w:r>
          </w:hyperlink>
        </w:p>
        <w:p w14:paraId="4C4EF70C" w14:textId="464B462E" w:rsidR="004564CB" w:rsidRDefault="000B57EE">
          <w:pPr>
            <w:pStyle w:val="TOC2"/>
            <w:rPr>
              <w:rFonts w:asciiTheme="minorHAnsi" w:eastAsiaTheme="minorEastAsia" w:hAnsiTheme="minorHAnsi" w:cstheme="minorBidi"/>
              <w:bCs w:val="0"/>
              <w:noProof/>
              <w:sz w:val="22"/>
              <w:szCs w:val="22"/>
              <w:lang w:eastAsia="en-GB"/>
            </w:rPr>
          </w:pPr>
          <w:hyperlink w:anchor="_Toc95743396" w:history="1">
            <w:r w:rsidR="004564CB" w:rsidRPr="000E1403">
              <w:rPr>
                <w:rStyle w:val="Hyperlink"/>
                <w:rFonts w:eastAsia="Calibri"/>
                <w:noProof/>
                <w14:scene3d>
                  <w14:camera w14:prst="orthographicFront"/>
                  <w14:lightRig w14:rig="threePt" w14:dir="t">
                    <w14:rot w14:lat="0" w14:lon="0" w14:rev="0"/>
                  </w14:lightRig>
                </w14:scene3d>
              </w:rPr>
              <w:t>2.3</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Calibri"/>
                <w:noProof/>
              </w:rPr>
              <w:t>Contract Review</w:t>
            </w:r>
            <w:r w:rsidR="004564CB">
              <w:rPr>
                <w:noProof/>
                <w:webHidden/>
              </w:rPr>
              <w:tab/>
            </w:r>
            <w:r w:rsidR="004564CB">
              <w:rPr>
                <w:noProof/>
                <w:webHidden/>
              </w:rPr>
              <w:fldChar w:fldCharType="begin"/>
            </w:r>
            <w:r w:rsidR="004564CB">
              <w:rPr>
                <w:noProof/>
                <w:webHidden/>
              </w:rPr>
              <w:instrText xml:space="preserve"> PAGEREF _Toc95743396 \h </w:instrText>
            </w:r>
            <w:r w:rsidR="004564CB">
              <w:rPr>
                <w:noProof/>
                <w:webHidden/>
              </w:rPr>
            </w:r>
            <w:r w:rsidR="004564CB">
              <w:rPr>
                <w:noProof/>
                <w:webHidden/>
              </w:rPr>
              <w:fldChar w:fldCharType="separate"/>
            </w:r>
            <w:r w:rsidR="00A176C0">
              <w:rPr>
                <w:noProof/>
                <w:webHidden/>
              </w:rPr>
              <w:t>101</w:t>
            </w:r>
            <w:r w:rsidR="004564CB">
              <w:rPr>
                <w:noProof/>
                <w:webHidden/>
              </w:rPr>
              <w:fldChar w:fldCharType="end"/>
            </w:r>
          </w:hyperlink>
        </w:p>
        <w:p w14:paraId="0C685B48" w14:textId="6666D041" w:rsidR="004564CB" w:rsidRDefault="000B57EE">
          <w:pPr>
            <w:pStyle w:val="TOC2"/>
            <w:rPr>
              <w:rFonts w:asciiTheme="minorHAnsi" w:eastAsiaTheme="minorEastAsia" w:hAnsiTheme="minorHAnsi" w:cstheme="minorBidi"/>
              <w:bCs w:val="0"/>
              <w:noProof/>
              <w:sz w:val="22"/>
              <w:szCs w:val="22"/>
              <w:lang w:eastAsia="en-GB"/>
            </w:rPr>
          </w:pPr>
          <w:hyperlink w:anchor="_Toc95743397" w:history="1">
            <w:r w:rsidR="004564CB" w:rsidRPr="000E1403">
              <w:rPr>
                <w:rStyle w:val="Hyperlink"/>
                <w:rFonts w:eastAsia="Calibri"/>
                <w:noProof/>
                <w14:scene3d>
                  <w14:camera w14:prst="orthographicFront"/>
                  <w14:lightRig w14:rig="threePt" w14:dir="t">
                    <w14:rot w14:lat="0" w14:lon="0" w14:rev="0"/>
                  </w14:lightRig>
                </w14:scene3d>
              </w:rPr>
              <w:t>2.4</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Calibri"/>
                <w:noProof/>
              </w:rPr>
              <w:t>Setting and Monitoring Key Performance Indicators</w:t>
            </w:r>
            <w:r w:rsidR="004564CB">
              <w:rPr>
                <w:noProof/>
                <w:webHidden/>
              </w:rPr>
              <w:tab/>
            </w:r>
            <w:r w:rsidR="004564CB">
              <w:rPr>
                <w:noProof/>
                <w:webHidden/>
              </w:rPr>
              <w:fldChar w:fldCharType="begin"/>
            </w:r>
            <w:r w:rsidR="004564CB">
              <w:rPr>
                <w:noProof/>
                <w:webHidden/>
              </w:rPr>
              <w:instrText xml:space="preserve"> PAGEREF _Toc95743397 \h </w:instrText>
            </w:r>
            <w:r w:rsidR="004564CB">
              <w:rPr>
                <w:noProof/>
                <w:webHidden/>
              </w:rPr>
            </w:r>
            <w:r w:rsidR="004564CB">
              <w:rPr>
                <w:noProof/>
                <w:webHidden/>
              </w:rPr>
              <w:fldChar w:fldCharType="separate"/>
            </w:r>
            <w:r w:rsidR="00A176C0">
              <w:rPr>
                <w:noProof/>
                <w:webHidden/>
              </w:rPr>
              <w:t>102</w:t>
            </w:r>
            <w:r w:rsidR="004564CB">
              <w:rPr>
                <w:noProof/>
                <w:webHidden/>
              </w:rPr>
              <w:fldChar w:fldCharType="end"/>
            </w:r>
          </w:hyperlink>
        </w:p>
        <w:p w14:paraId="1A829D6B" w14:textId="2FF6FC49" w:rsidR="004564CB" w:rsidRDefault="000B57EE">
          <w:pPr>
            <w:pStyle w:val="TOC2"/>
            <w:rPr>
              <w:rFonts w:asciiTheme="minorHAnsi" w:eastAsiaTheme="minorEastAsia" w:hAnsiTheme="minorHAnsi" w:cstheme="minorBidi"/>
              <w:bCs w:val="0"/>
              <w:noProof/>
              <w:sz w:val="22"/>
              <w:szCs w:val="22"/>
              <w:lang w:eastAsia="en-GB"/>
            </w:rPr>
          </w:pPr>
          <w:hyperlink w:anchor="_Toc95743398" w:history="1">
            <w:r w:rsidR="004564CB" w:rsidRPr="000E1403">
              <w:rPr>
                <w:rStyle w:val="Hyperlink"/>
                <w:rFonts w:eastAsia="Calibri"/>
                <w:noProof/>
                <w14:scene3d>
                  <w14:camera w14:prst="orthographicFront"/>
                  <w14:lightRig w14:rig="threePt" w14:dir="t">
                    <w14:rot w14:lat="0" w14:lon="0" w14:rev="0"/>
                  </w14:lightRig>
                </w14:scene3d>
              </w:rPr>
              <w:t>2.5</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Calibri"/>
                <w:noProof/>
              </w:rPr>
              <w:t>Using data and information effectively</w:t>
            </w:r>
            <w:r w:rsidR="004564CB">
              <w:rPr>
                <w:noProof/>
                <w:webHidden/>
              </w:rPr>
              <w:tab/>
            </w:r>
            <w:r w:rsidR="004564CB">
              <w:rPr>
                <w:noProof/>
                <w:webHidden/>
              </w:rPr>
              <w:fldChar w:fldCharType="begin"/>
            </w:r>
            <w:r w:rsidR="004564CB">
              <w:rPr>
                <w:noProof/>
                <w:webHidden/>
              </w:rPr>
              <w:instrText xml:space="preserve"> PAGEREF _Toc95743398 \h </w:instrText>
            </w:r>
            <w:r w:rsidR="004564CB">
              <w:rPr>
                <w:noProof/>
                <w:webHidden/>
              </w:rPr>
            </w:r>
            <w:r w:rsidR="004564CB">
              <w:rPr>
                <w:noProof/>
                <w:webHidden/>
              </w:rPr>
              <w:fldChar w:fldCharType="separate"/>
            </w:r>
            <w:r w:rsidR="00A176C0">
              <w:rPr>
                <w:noProof/>
                <w:webHidden/>
              </w:rPr>
              <w:t>103</w:t>
            </w:r>
            <w:r w:rsidR="004564CB">
              <w:rPr>
                <w:noProof/>
                <w:webHidden/>
              </w:rPr>
              <w:fldChar w:fldCharType="end"/>
            </w:r>
          </w:hyperlink>
        </w:p>
        <w:p w14:paraId="1FDDD78F" w14:textId="6E1C589D" w:rsidR="004564CB" w:rsidRDefault="000B57EE">
          <w:pPr>
            <w:pStyle w:val="TOC2"/>
            <w:rPr>
              <w:rFonts w:asciiTheme="minorHAnsi" w:eastAsiaTheme="minorEastAsia" w:hAnsiTheme="minorHAnsi" w:cstheme="minorBidi"/>
              <w:bCs w:val="0"/>
              <w:noProof/>
              <w:sz w:val="22"/>
              <w:szCs w:val="22"/>
              <w:lang w:eastAsia="en-GB"/>
            </w:rPr>
          </w:pPr>
          <w:hyperlink w:anchor="_Toc95743399" w:history="1">
            <w:r w:rsidR="004564CB" w:rsidRPr="000E1403">
              <w:rPr>
                <w:rStyle w:val="Hyperlink"/>
                <w:noProof/>
                <w14:scene3d>
                  <w14:camera w14:prst="orthographicFront"/>
                  <w14:lightRig w14:rig="threePt" w14:dir="t">
                    <w14:rot w14:lat="0" w14:lon="0" w14:rev="0"/>
                  </w14:lightRig>
                </w14:scene3d>
              </w:rPr>
              <w:t>2.6</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Practice Visit – Best Practice</w:t>
            </w:r>
            <w:r w:rsidR="004564CB">
              <w:rPr>
                <w:noProof/>
                <w:webHidden/>
              </w:rPr>
              <w:tab/>
            </w:r>
            <w:r w:rsidR="004564CB">
              <w:rPr>
                <w:noProof/>
                <w:webHidden/>
              </w:rPr>
              <w:fldChar w:fldCharType="begin"/>
            </w:r>
            <w:r w:rsidR="004564CB">
              <w:rPr>
                <w:noProof/>
                <w:webHidden/>
              </w:rPr>
              <w:instrText xml:space="preserve"> PAGEREF _Toc95743399 \h </w:instrText>
            </w:r>
            <w:r w:rsidR="004564CB">
              <w:rPr>
                <w:noProof/>
                <w:webHidden/>
              </w:rPr>
            </w:r>
            <w:r w:rsidR="004564CB">
              <w:rPr>
                <w:noProof/>
                <w:webHidden/>
              </w:rPr>
              <w:fldChar w:fldCharType="separate"/>
            </w:r>
            <w:r w:rsidR="00A176C0">
              <w:rPr>
                <w:noProof/>
                <w:webHidden/>
              </w:rPr>
              <w:t>109</w:t>
            </w:r>
            <w:r w:rsidR="004564CB">
              <w:rPr>
                <w:noProof/>
                <w:webHidden/>
              </w:rPr>
              <w:fldChar w:fldCharType="end"/>
            </w:r>
          </w:hyperlink>
        </w:p>
        <w:p w14:paraId="1CA33995" w14:textId="2811FAF2" w:rsidR="004564CB" w:rsidRDefault="000B57EE">
          <w:pPr>
            <w:pStyle w:val="TOC1"/>
            <w:rPr>
              <w:rFonts w:asciiTheme="minorHAnsi" w:eastAsiaTheme="minorEastAsia" w:hAnsiTheme="minorHAnsi" w:cstheme="minorBidi"/>
              <w:bCs w:val="0"/>
              <w:color w:val="auto"/>
              <w:sz w:val="22"/>
              <w:szCs w:val="22"/>
              <w:lang w:eastAsia="en-GB"/>
            </w:rPr>
          </w:pPr>
          <w:hyperlink w:anchor="_Toc95743400" w:history="1">
            <w:r w:rsidR="004564CB" w:rsidRPr="000E1403">
              <w:rPr>
                <w:rStyle w:val="Hyperlink"/>
              </w:rPr>
              <w:t>3</w:t>
            </w:r>
            <w:r w:rsidR="004564CB">
              <w:rPr>
                <w:rFonts w:asciiTheme="minorHAnsi" w:eastAsiaTheme="minorEastAsia" w:hAnsiTheme="minorHAnsi" w:cstheme="minorBidi"/>
                <w:bCs w:val="0"/>
                <w:color w:val="auto"/>
                <w:sz w:val="22"/>
                <w:szCs w:val="22"/>
                <w:lang w:eastAsia="en-GB"/>
              </w:rPr>
              <w:tab/>
            </w:r>
            <w:r w:rsidR="004564CB" w:rsidRPr="000E1403">
              <w:rPr>
                <w:rStyle w:val="Hyperlink"/>
              </w:rPr>
              <w:t>Managing Patient Lists</w:t>
            </w:r>
            <w:r w:rsidR="004564CB">
              <w:rPr>
                <w:webHidden/>
              </w:rPr>
              <w:tab/>
            </w:r>
            <w:r w:rsidR="004564CB">
              <w:rPr>
                <w:webHidden/>
              </w:rPr>
              <w:fldChar w:fldCharType="begin"/>
            </w:r>
            <w:r w:rsidR="004564CB">
              <w:rPr>
                <w:webHidden/>
              </w:rPr>
              <w:instrText xml:space="preserve"> PAGEREF _Toc95743400 \h </w:instrText>
            </w:r>
            <w:r w:rsidR="004564CB">
              <w:rPr>
                <w:webHidden/>
              </w:rPr>
            </w:r>
            <w:r w:rsidR="004564CB">
              <w:rPr>
                <w:webHidden/>
              </w:rPr>
              <w:fldChar w:fldCharType="separate"/>
            </w:r>
            <w:r w:rsidR="00A176C0">
              <w:rPr>
                <w:webHidden/>
              </w:rPr>
              <w:t>114</w:t>
            </w:r>
            <w:r w:rsidR="004564CB">
              <w:rPr>
                <w:webHidden/>
              </w:rPr>
              <w:fldChar w:fldCharType="end"/>
            </w:r>
          </w:hyperlink>
        </w:p>
        <w:p w14:paraId="3CE4B82F" w14:textId="0F5C12F0" w:rsidR="004564CB" w:rsidRDefault="000B57EE">
          <w:pPr>
            <w:pStyle w:val="TOC2"/>
            <w:rPr>
              <w:rFonts w:asciiTheme="minorHAnsi" w:eastAsiaTheme="minorEastAsia" w:hAnsiTheme="minorHAnsi" w:cstheme="minorBidi"/>
              <w:bCs w:val="0"/>
              <w:noProof/>
              <w:sz w:val="22"/>
              <w:szCs w:val="22"/>
              <w:lang w:eastAsia="en-GB"/>
            </w:rPr>
          </w:pPr>
          <w:hyperlink w:anchor="_Toc95743401" w:history="1">
            <w:r w:rsidR="004564CB" w:rsidRPr="000E1403">
              <w:rPr>
                <w:rStyle w:val="Hyperlink"/>
                <w:noProof/>
                <w:lang w:eastAsia="en-GB"/>
                <w14:scene3d>
                  <w14:camera w14:prst="orthographicFront"/>
                  <w14:lightRig w14:rig="threePt" w14:dir="t">
                    <w14:rot w14:lat="0" w14:lon="0" w14:rev="0"/>
                  </w14:lightRig>
                </w14:scene3d>
              </w:rPr>
              <w:t>3.1</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Introduction</w:t>
            </w:r>
            <w:r w:rsidR="004564CB">
              <w:rPr>
                <w:noProof/>
                <w:webHidden/>
              </w:rPr>
              <w:tab/>
            </w:r>
            <w:r w:rsidR="004564CB">
              <w:rPr>
                <w:noProof/>
                <w:webHidden/>
              </w:rPr>
              <w:fldChar w:fldCharType="begin"/>
            </w:r>
            <w:r w:rsidR="004564CB">
              <w:rPr>
                <w:noProof/>
                <w:webHidden/>
              </w:rPr>
              <w:instrText xml:space="preserve"> PAGEREF _Toc95743401 \h </w:instrText>
            </w:r>
            <w:r w:rsidR="004564CB">
              <w:rPr>
                <w:noProof/>
                <w:webHidden/>
              </w:rPr>
            </w:r>
            <w:r w:rsidR="004564CB">
              <w:rPr>
                <w:noProof/>
                <w:webHidden/>
              </w:rPr>
              <w:fldChar w:fldCharType="separate"/>
            </w:r>
            <w:r w:rsidR="00A176C0">
              <w:rPr>
                <w:noProof/>
                <w:webHidden/>
              </w:rPr>
              <w:t>114</w:t>
            </w:r>
            <w:r w:rsidR="004564CB">
              <w:rPr>
                <w:noProof/>
                <w:webHidden/>
              </w:rPr>
              <w:fldChar w:fldCharType="end"/>
            </w:r>
          </w:hyperlink>
        </w:p>
        <w:p w14:paraId="2D7ABF9D" w14:textId="7A73CFF3" w:rsidR="004564CB" w:rsidRDefault="000B57EE">
          <w:pPr>
            <w:pStyle w:val="TOC2"/>
            <w:rPr>
              <w:rFonts w:asciiTheme="minorHAnsi" w:eastAsiaTheme="minorEastAsia" w:hAnsiTheme="minorHAnsi" w:cstheme="minorBidi"/>
              <w:bCs w:val="0"/>
              <w:noProof/>
              <w:sz w:val="22"/>
              <w:szCs w:val="22"/>
              <w:lang w:eastAsia="en-GB"/>
            </w:rPr>
          </w:pPr>
          <w:hyperlink w:anchor="_Toc95743402" w:history="1">
            <w:r w:rsidR="004564CB" w:rsidRPr="000E1403">
              <w:rPr>
                <w:rStyle w:val="Hyperlink"/>
                <w:noProof/>
                <w:lang w:eastAsia="en-GB"/>
                <w14:scene3d>
                  <w14:camera w14:prst="orthographicFront"/>
                  <w14:lightRig w14:rig="threePt" w14:dir="t">
                    <w14:rot w14:lat="0" w14:lon="0" w14:rev="0"/>
                  </w14:lightRig>
                </w14:scene3d>
              </w:rPr>
              <w:t>3.2</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PART A: Managing Patient Assignments</w:t>
            </w:r>
            <w:r w:rsidR="004564CB">
              <w:rPr>
                <w:noProof/>
                <w:webHidden/>
              </w:rPr>
              <w:tab/>
            </w:r>
            <w:r w:rsidR="004564CB">
              <w:rPr>
                <w:noProof/>
                <w:webHidden/>
              </w:rPr>
              <w:fldChar w:fldCharType="begin"/>
            </w:r>
            <w:r w:rsidR="004564CB">
              <w:rPr>
                <w:noProof/>
                <w:webHidden/>
              </w:rPr>
              <w:instrText xml:space="preserve"> PAGEREF _Toc95743402 \h </w:instrText>
            </w:r>
            <w:r w:rsidR="004564CB">
              <w:rPr>
                <w:noProof/>
                <w:webHidden/>
              </w:rPr>
            </w:r>
            <w:r w:rsidR="004564CB">
              <w:rPr>
                <w:noProof/>
                <w:webHidden/>
              </w:rPr>
              <w:fldChar w:fldCharType="separate"/>
            </w:r>
            <w:r w:rsidR="00A176C0">
              <w:rPr>
                <w:noProof/>
                <w:webHidden/>
              </w:rPr>
              <w:t>115</w:t>
            </w:r>
            <w:r w:rsidR="004564CB">
              <w:rPr>
                <w:noProof/>
                <w:webHidden/>
              </w:rPr>
              <w:fldChar w:fldCharType="end"/>
            </w:r>
          </w:hyperlink>
        </w:p>
        <w:p w14:paraId="5915AA06" w14:textId="109B5A53" w:rsidR="004564CB" w:rsidRDefault="000B57EE">
          <w:pPr>
            <w:pStyle w:val="TOC2"/>
            <w:rPr>
              <w:rFonts w:asciiTheme="minorHAnsi" w:eastAsiaTheme="minorEastAsia" w:hAnsiTheme="minorHAnsi" w:cstheme="minorBidi"/>
              <w:bCs w:val="0"/>
              <w:noProof/>
              <w:sz w:val="22"/>
              <w:szCs w:val="22"/>
              <w:lang w:eastAsia="en-GB"/>
            </w:rPr>
          </w:pPr>
          <w:hyperlink w:anchor="_Toc95743403" w:history="1">
            <w:r w:rsidR="004564CB" w:rsidRPr="000E1403">
              <w:rPr>
                <w:rStyle w:val="Hyperlink"/>
                <w:noProof/>
                <w:lang w:eastAsia="en-GB"/>
                <w14:scene3d>
                  <w14:camera w14:prst="orthographicFront"/>
                  <w14:lightRig w14:rig="threePt" w14:dir="t">
                    <w14:rot w14:lat="0" w14:lon="0" w14:rev="0"/>
                  </w14:lightRig>
                </w14:scene3d>
              </w:rPr>
              <w:t>3.3</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Part B1: General List Maintenance for Primary Medical Services</w:t>
            </w:r>
            <w:r w:rsidR="004564CB">
              <w:rPr>
                <w:noProof/>
                <w:webHidden/>
              </w:rPr>
              <w:tab/>
            </w:r>
            <w:r w:rsidR="004564CB">
              <w:rPr>
                <w:noProof/>
                <w:webHidden/>
              </w:rPr>
              <w:fldChar w:fldCharType="begin"/>
            </w:r>
            <w:r w:rsidR="004564CB">
              <w:rPr>
                <w:noProof/>
                <w:webHidden/>
              </w:rPr>
              <w:instrText xml:space="preserve"> PAGEREF _Toc95743403 \h </w:instrText>
            </w:r>
            <w:r w:rsidR="004564CB">
              <w:rPr>
                <w:noProof/>
                <w:webHidden/>
              </w:rPr>
            </w:r>
            <w:r w:rsidR="004564CB">
              <w:rPr>
                <w:noProof/>
                <w:webHidden/>
              </w:rPr>
              <w:fldChar w:fldCharType="separate"/>
            </w:r>
            <w:r w:rsidR="00A176C0">
              <w:rPr>
                <w:noProof/>
                <w:webHidden/>
              </w:rPr>
              <w:t>125</w:t>
            </w:r>
            <w:r w:rsidR="004564CB">
              <w:rPr>
                <w:noProof/>
                <w:webHidden/>
              </w:rPr>
              <w:fldChar w:fldCharType="end"/>
            </w:r>
          </w:hyperlink>
        </w:p>
        <w:p w14:paraId="2F2886AA" w14:textId="2798A542" w:rsidR="004564CB" w:rsidRDefault="000B57EE">
          <w:pPr>
            <w:pStyle w:val="TOC2"/>
            <w:rPr>
              <w:rFonts w:asciiTheme="minorHAnsi" w:eastAsiaTheme="minorEastAsia" w:hAnsiTheme="minorHAnsi" w:cstheme="minorBidi"/>
              <w:bCs w:val="0"/>
              <w:noProof/>
              <w:sz w:val="22"/>
              <w:szCs w:val="22"/>
              <w:lang w:eastAsia="en-GB"/>
            </w:rPr>
          </w:pPr>
          <w:hyperlink w:anchor="_Toc95743404" w:history="1">
            <w:r w:rsidR="004564CB" w:rsidRPr="000E1403">
              <w:rPr>
                <w:rStyle w:val="Hyperlink"/>
                <w:noProof/>
                <w:lang w:eastAsia="en-GB"/>
                <w14:scene3d>
                  <w14:camera w14:prst="orthographicFront"/>
                  <w14:lightRig w14:rig="threePt" w14:dir="t">
                    <w14:rot w14:lat="0" w14:lon="0" w14:rev="0"/>
                  </w14:lightRig>
                </w14:scene3d>
              </w:rPr>
              <w:t>3.4</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Part B2: Targeted List Maintenance for Primary Medical Services</w:t>
            </w:r>
            <w:r w:rsidR="004564CB">
              <w:rPr>
                <w:noProof/>
                <w:webHidden/>
              </w:rPr>
              <w:tab/>
            </w:r>
            <w:r w:rsidR="004564CB">
              <w:rPr>
                <w:noProof/>
                <w:webHidden/>
              </w:rPr>
              <w:fldChar w:fldCharType="begin"/>
            </w:r>
            <w:r w:rsidR="004564CB">
              <w:rPr>
                <w:noProof/>
                <w:webHidden/>
              </w:rPr>
              <w:instrText xml:space="preserve"> PAGEREF _Toc95743404 \h </w:instrText>
            </w:r>
            <w:r w:rsidR="004564CB">
              <w:rPr>
                <w:noProof/>
                <w:webHidden/>
              </w:rPr>
            </w:r>
            <w:r w:rsidR="004564CB">
              <w:rPr>
                <w:noProof/>
                <w:webHidden/>
              </w:rPr>
              <w:fldChar w:fldCharType="separate"/>
            </w:r>
            <w:r w:rsidR="00A176C0">
              <w:rPr>
                <w:noProof/>
                <w:webHidden/>
              </w:rPr>
              <w:t>137</w:t>
            </w:r>
            <w:r w:rsidR="004564CB">
              <w:rPr>
                <w:noProof/>
                <w:webHidden/>
              </w:rPr>
              <w:fldChar w:fldCharType="end"/>
            </w:r>
          </w:hyperlink>
        </w:p>
        <w:p w14:paraId="40C30378" w14:textId="3876B6C4" w:rsidR="004564CB" w:rsidRDefault="000B57EE">
          <w:pPr>
            <w:pStyle w:val="TOC2"/>
            <w:rPr>
              <w:rFonts w:asciiTheme="minorHAnsi" w:eastAsiaTheme="minorEastAsia" w:hAnsiTheme="minorHAnsi" w:cstheme="minorBidi"/>
              <w:bCs w:val="0"/>
              <w:noProof/>
              <w:sz w:val="22"/>
              <w:szCs w:val="22"/>
              <w:lang w:eastAsia="en-GB"/>
            </w:rPr>
          </w:pPr>
          <w:hyperlink w:anchor="_Toc95743405" w:history="1">
            <w:r w:rsidR="004564CB" w:rsidRPr="000E1403">
              <w:rPr>
                <w:rStyle w:val="Hyperlink"/>
                <w:noProof/>
                <w:lang w:eastAsia="en-GB"/>
                <w14:scene3d>
                  <w14:camera w14:prst="orthographicFront"/>
                  <w14:lightRig w14:rig="threePt" w14:dir="t">
                    <w14:rot w14:lat="0" w14:lon="0" w14:rev="0"/>
                  </w14:lightRig>
                </w14:scene3d>
              </w:rPr>
              <w:t>3.5</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PART C: MANAGING CLOSED PATIENT LISTS</w:t>
            </w:r>
            <w:r w:rsidR="004564CB">
              <w:rPr>
                <w:noProof/>
                <w:webHidden/>
              </w:rPr>
              <w:tab/>
            </w:r>
            <w:r w:rsidR="004564CB">
              <w:rPr>
                <w:noProof/>
                <w:webHidden/>
              </w:rPr>
              <w:fldChar w:fldCharType="begin"/>
            </w:r>
            <w:r w:rsidR="004564CB">
              <w:rPr>
                <w:noProof/>
                <w:webHidden/>
              </w:rPr>
              <w:instrText xml:space="preserve"> PAGEREF _Toc95743405 \h </w:instrText>
            </w:r>
            <w:r w:rsidR="004564CB">
              <w:rPr>
                <w:noProof/>
                <w:webHidden/>
              </w:rPr>
            </w:r>
            <w:r w:rsidR="004564CB">
              <w:rPr>
                <w:noProof/>
                <w:webHidden/>
              </w:rPr>
              <w:fldChar w:fldCharType="separate"/>
            </w:r>
            <w:r w:rsidR="00A176C0">
              <w:rPr>
                <w:noProof/>
                <w:webHidden/>
              </w:rPr>
              <w:t>144</w:t>
            </w:r>
            <w:r w:rsidR="004564CB">
              <w:rPr>
                <w:noProof/>
                <w:webHidden/>
              </w:rPr>
              <w:fldChar w:fldCharType="end"/>
            </w:r>
          </w:hyperlink>
        </w:p>
        <w:p w14:paraId="1468F906" w14:textId="4018B471" w:rsidR="004564CB" w:rsidRDefault="000B57EE">
          <w:pPr>
            <w:pStyle w:val="TOC1"/>
            <w:rPr>
              <w:rFonts w:asciiTheme="minorHAnsi" w:eastAsiaTheme="minorEastAsia" w:hAnsiTheme="minorHAnsi" w:cstheme="minorBidi"/>
              <w:bCs w:val="0"/>
              <w:color w:val="auto"/>
              <w:sz w:val="22"/>
              <w:szCs w:val="22"/>
              <w:lang w:eastAsia="en-GB"/>
            </w:rPr>
          </w:pPr>
          <w:hyperlink w:anchor="_Toc95743406" w:history="1">
            <w:r w:rsidR="004564CB" w:rsidRPr="000E1403">
              <w:rPr>
                <w:rStyle w:val="Hyperlink"/>
                <w:lang w:eastAsia="en-GB"/>
              </w:rPr>
              <w:t>4</w:t>
            </w:r>
            <w:r w:rsidR="004564CB">
              <w:rPr>
                <w:rFonts w:asciiTheme="minorHAnsi" w:eastAsiaTheme="minorEastAsia" w:hAnsiTheme="minorHAnsi" w:cstheme="minorBidi"/>
                <w:bCs w:val="0"/>
                <w:color w:val="auto"/>
                <w:sz w:val="22"/>
                <w:szCs w:val="22"/>
                <w:lang w:eastAsia="en-GB"/>
              </w:rPr>
              <w:tab/>
            </w:r>
            <w:r w:rsidR="004564CB" w:rsidRPr="000E1403">
              <w:rPr>
                <w:rStyle w:val="Hyperlink"/>
                <w:lang w:eastAsia="en-GB"/>
              </w:rPr>
              <w:t>GP Patient Registration Standard Operating Principles for Primary Medical Care</w:t>
            </w:r>
            <w:r w:rsidR="004564CB">
              <w:rPr>
                <w:webHidden/>
              </w:rPr>
              <w:tab/>
            </w:r>
            <w:r w:rsidR="004564CB">
              <w:rPr>
                <w:webHidden/>
              </w:rPr>
              <w:fldChar w:fldCharType="begin"/>
            </w:r>
            <w:r w:rsidR="004564CB">
              <w:rPr>
                <w:webHidden/>
              </w:rPr>
              <w:instrText xml:space="preserve"> PAGEREF _Toc95743406 \h </w:instrText>
            </w:r>
            <w:r w:rsidR="004564CB">
              <w:rPr>
                <w:webHidden/>
              </w:rPr>
            </w:r>
            <w:r w:rsidR="004564CB">
              <w:rPr>
                <w:webHidden/>
              </w:rPr>
              <w:fldChar w:fldCharType="separate"/>
            </w:r>
            <w:r w:rsidR="00A176C0">
              <w:rPr>
                <w:webHidden/>
              </w:rPr>
              <w:t>149</w:t>
            </w:r>
            <w:r w:rsidR="004564CB">
              <w:rPr>
                <w:webHidden/>
              </w:rPr>
              <w:fldChar w:fldCharType="end"/>
            </w:r>
          </w:hyperlink>
        </w:p>
        <w:p w14:paraId="1A261A46" w14:textId="0E7B716A" w:rsidR="004564CB" w:rsidRDefault="000B57EE">
          <w:pPr>
            <w:pStyle w:val="TOC2"/>
            <w:rPr>
              <w:rFonts w:asciiTheme="minorHAnsi" w:eastAsiaTheme="minorEastAsia" w:hAnsiTheme="minorHAnsi" w:cstheme="minorBidi"/>
              <w:bCs w:val="0"/>
              <w:noProof/>
              <w:sz w:val="22"/>
              <w:szCs w:val="22"/>
              <w:lang w:eastAsia="en-GB"/>
            </w:rPr>
          </w:pPr>
          <w:hyperlink w:anchor="_Toc95743407" w:history="1">
            <w:r w:rsidR="004564CB" w:rsidRPr="000E1403">
              <w:rPr>
                <w:rStyle w:val="Hyperlink"/>
                <w:noProof/>
                <w14:scene3d>
                  <w14:camera w14:prst="orthographicFront"/>
                  <w14:lightRig w14:rig="threePt" w14:dir="t">
                    <w14:rot w14:lat="0" w14:lon="0" w14:rev="0"/>
                  </w14:lightRig>
                </w14:scene3d>
              </w:rPr>
              <w:t>4.1</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Policy statement</w:t>
            </w:r>
            <w:r w:rsidR="004564CB">
              <w:rPr>
                <w:noProof/>
                <w:webHidden/>
              </w:rPr>
              <w:tab/>
            </w:r>
            <w:r w:rsidR="004564CB">
              <w:rPr>
                <w:noProof/>
                <w:webHidden/>
              </w:rPr>
              <w:fldChar w:fldCharType="begin"/>
            </w:r>
            <w:r w:rsidR="004564CB">
              <w:rPr>
                <w:noProof/>
                <w:webHidden/>
              </w:rPr>
              <w:instrText xml:space="preserve"> PAGEREF _Toc95743407 \h </w:instrText>
            </w:r>
            <w:r w:rsidR="004564CB">
              <w:rPr>
                <w:noProof/>
                <w:webHidden/>
              </w:rPr>
            </w:r>
            <w:r w:rsidR="004564CB">
              <w:rPr>
                <w:noProof/>
                <w:webHidden/>
              </w:rPr>
              <w:fldChar w:fldCharType="separate"/>
            </w:r>
            <w:r w:rsidR="00A176C0">
              <w:rPr>
                <w:noProof/>
                <w:webHidden/>
              </w:rPr>
              <w:t>149</w:t>
            </w:r>
            <w:r w:rsidR="004564CB">
              <w:rPr>
                <w:noProof/>
                <w:webHidden/>
              </w:rPr>
              <w:fldChar w:fldCharType="end"/>
            </w:r>
          </w:hyperlink>
        </w:p>
        <w:p w14:paraId="42CAA0A8" w14:textId="433D6358" w:rsidR="004564CB" w:rsidRDefault="000B57EE">
          <w:pPr>
            <w:pStyle w:val="TOC2"/>
            <w:rPr>
              <w:rFonts w:asciiTheme="minorHAnsi" w:eastAsiaTheme="minorEastAsia" w:hAnsiTheme="minorHAnsi" w:cstheme="minorBidi"/>
              <w:bCs w:val="0"/>
              <w:noProof/>
              <w:sz w:val="22"/>
              <w:szCs w:val="22"/>
              <w:lang w:eastAsia="en-GB"/>
            </w:rPr>
          </w:pPr>
          <w:hyperlink w:anchor="_Toc95743408" w:history="1">
            <w:r w:rsidR="004564CB" w:rsidRPr="000E1403">
              <w:rPr>
                <w:rStyle w:val="Hyperlink"/>
                <w:noProof/>
                <w14:scene3d>
                  <w14:camera w14:prst="orthographicFront"/>
                  <w14:lightRig w14:rig="threePt" w14:dir="t">
                    <w14:rot w14:lat="0" w14:lon="0" w14:rev="0"/>
                  </w14:lightRig>
                </w14:scene3d>
              </w:rPr>
              <w:t>4.2</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Aims</w:t>
            </w:r>
            <w:r w:rsidR="004564CB">
              <w:rPr>
                <w:noProof/>
                <w:webHidden/>
              </w:rPr>
              <w:tab/>
            </w:r>
            <w:r w:rsidR="004564CB">
              <w:rPr>
                <w:noProof/>
                <w:webHidden/>
              </w:rPr>
              <w:fldChar w:fldCharType="begin"/>
            </w:r>
            <w:r w:rsidR="004564CB">
              <w:rPr>
                <w:noProof/>
                <w:webHidden/>
              </w:rPr>
              <w:instrText xml:space="preserve"> PAGEREF _Toc95743408 \h </w:instrText>
            </w:r>
            <w:r w:rsidR="004564CB">
              <w:rPr>
                <w:noProof/>
                <w:webHidden/>
              </w:rPr>
            </w:r>
            <w:r w:rsidR="004564CB">
              <w:rPr>
                <w:noProof/>
                <w:webHidden/>
              </w:rPr>
              <w:fldChar w:fldCharType="separate"/>
            </w:r>
            <w:r w:rsidR="00A176C0">
              <w:rPr>
                <w:noProof/>
                <w:webHidden/>
              </w:rPr>
              <w:t>149</w:t>
            </w:r>
            <w:r w:rsidR="004564CB">
              <w:rPr>
                <w:noProof/>
                <w:webHidden/>
              </w:rPr>
              <w:fldChar w:fldCharType="end"/>
            </w:r>
          </w:hyperlink>
        </w:p>
        <w:p w14:paraId="728233D5" w14:textId="11800268" w:rsidR="004564CB" w:rsidRDefault="000B57EE">
          <w:pPr>
            <w:pStyle w:val="TOC2"/>
            <w:rPr>
              <w:rFonts w:asciiTheme="minorHAnsi" w:eastAsiaTheme="minorEastAsia" w:hAnsiTheme="minorHAnsi" w:cstheme="minorBidi"/>
              <w:bCs w:val="0"/>
              <w:noProof/>
              <w:sz w:val="22"/>
              <w:szCs w:val="22"/>
              <w:lang w:eastAsia="en-GB"/>
            </w:rPr>
          </w:pPr>
          <w:hyperlink w:anchor="_Toc95743409" w:history="1">
            <w:r w:rsidR="004564CB" w:rsidRPr="000E1403">
              <w:rPr>
                <w:rStyle w:val="Hyperlink"/>
                <w:noProof/>
                <w14:scene3d>
                  <w14:camera w14:prst="orthographicFront"/>
                  <w14:lightRig w14:rig="threePt" w14:dir="t">
                    <w14:rot w14:lat="0" w14:lon="0" w14:rev="0"/>
                  </w14:lightRig>
                </w14:scene3d>
              </w:rPr>
              <w:t>4.3</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Context</w:t>
            </w:r>
            <w:r w:rsidR="004564CB">
              <w:rPr>
                <w:noProof/>
                <w:webHidden/>
              </w:rPr>
              <w:tab/>
            </w:r>
            <w:r w:rsidR="004564CB">
              <w:rPr>
                <w:noProof/>
                <w:webHidden/>
              </w:rPr>
              <w:fldChar w:fldCharType="begin"/>
            </w:r>
            <w:r w:rsidR="004564CB">
              <w:rPr>
                <w:noProof/>
                <w:webHidden/>
              </w:rPr>
              <w:instrText xml:space="preserve"> PAGEREF _Toc95743409 \h </w:instrText>
            </w:r>
            <w:r w:rsidR="004564CB">
              <w:rPr>
                <w:noProof/>
                <w:webHidden/>
              </w:rPr>
            </w:r>
            <w:r w:rsidR="004564CB">
              <w:rPr>
                <w:noProof/>
                <w:webHidden/>
              </w:rPr>
              <w:fldChar w:fldCharType="separate"/>
            </w:r>
            <w:r w:rsidR="00A176C0">
              <w:rPr>
                <w:noProof/>
                <w:webHidden/>
              </w:rPr>
              <w:t>149</w:t>
            </w:r>
            <w:r w:rsidR="004564CB">
              <w:rPr>
                <w:noProof/>
                <w:webHidden/>
              </w:rPr>
              <w:fldChar w:fldCharType="end"/>
            </w:r>
          </w:hyperlink>
        </w:p>
        <w:p w14:paraId="080B5450" w14:textId="2DCBB8B8" w:rsidR="004564CB" w:rsidRDefault="000B57EE">
          <w:pPr>
            <w:pStyle w:val="TOC2"/>
            <w:rPr>
              <w:rFonts w:asciiTheme="minorHAnsi" w:eastAsiaTheme="minorEastAsia" w:hAnsiTheme="minorHAnsi" w:cstheme="minorBidi"/>
              <w:bCs w:val="0"/>
              <w:noProof/>
              <w:sz w:val="22"/>
              <w:szCs w:val="22"/>
              <w:lang w:eastAsia="en-GB"/>
            </w:rPr>
          </w:pPr>
          <w:hyperlink w:anchor="_Toc95743410" w:history="1">
            <w:r w:rsidR="004564CB" w:rsidRPr="000E1403">
              <w:rPr>
                <w:rStyle w:val="Hyperlink"/>
                <w:noProof/>
                <w14:scene3d>
                  <w14:camera w14:prst="orthographicFront"/>
                  <w14:lightRig w14:rig="threePt" w14:dir="t">
                    <w14:rot w14:lat="0" w14:lon="0" w14:rev="0"/>
                  </w14:lightRig>
                </w14:scene3d>
              </w:rPr>
              <w:t>4.4</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Who can register for free primary care services?</w:t>
            </w:r>
            <w:r w:rsidR="004564CB">
              <w:rPr>
                <w:noProof/>
                <w:webHidden/>
              </w:rPr>
              <w:tab/>
            </w:r>
            <w:r w:rsidR="004564CB">
              <w:rPr>
                <w:noProof/>
                <w:webHidden/>
              </w:rPr>
              <w:fldChar w:fldCharType="begin"/>
            </w:r>
            <w:r w:rsidR="004564CB">
              <w:rPr>
                <w:noProof/>
                <w:webHidden/>
              </w:rPr>
              <w:instrText xml:space="preserve"> PAGEREF _Toc95743410 \h </w:instrText>
            </w:r>
            <w:r w:rsidR="004564CB">
              <w:rPr>
                <w:noProof/>
                <w:webHidden/>
              </w:rPr>
            </w:r>
            <w:r w:rsidR="004564CB">
              <w:rPr>
                <w:noProof/>
                <w:webHidden/>
              </w:rPr>
              <w:fldChar w:fldCharType="separate"/>
            </w:r>
            <w:r w:rsidR="00A176C0">
              <w:rPr>
                <w:noProof/>
                <w:webHidden/>
              </w:rPr>
              <w:t>150</w:t>
            </w:r>
            <w:r w:rsidR="004564CB">
              <w:rPr>
                <w:noProof/>
                <w:webHidden/>
              </w:rPr>
              <w:fldChar w:fldCharType="end"/>
            </w:r>
          </w:hyperlink>
        </w:p>
        <w:p w14:paraId="35AE4420" w14:textId="37B63EE3" w:rsidR="004564CB" w:rsidRDefault="000B57EE">
          <w:pPr>
            <w:pStyle w:val="TOC2"/>
            <w:rPr>
              <w:rFonts w:asciiTheme="minorHAnsi" w:eastAsiaTheme="minorEastAsia" w:hAnsiTheme="minorHAnsi" w:cstheme="minorBidi"/>
              <w:bCs w:val="0"/>
              <w:noProof/>
              <w:sz w:val="22"/>
              <w:szCs w:val="22"/>
              <w:lang w:eastAsia="en-GB"/>
            </w:rPr>
          </w:pPr>
          <w:hyperlink w:anchor="_Toc95743411" w:history="1">
            <w:r w:rsidR="004564CB" w:rsidRPr="000E1403">
              <w:rPr>
                <w:rStyle w:val="Hyperlink"/>
                <w:noProof/>
                <w14:scene3d>
                  <w14:camera w14:prst="orthographicFront"/>
                  <w14:lightRig w14:rig="threePt" w14:dir="t">
                    <w14:rot w14:lat="0" w14:lon="0" w14:rev="0"/>
                  </w14:lightRig>
                </w14:scene3d>
              </w:rPr>
              <w:t>4.5</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Immediately necessary treatment</w:t>
            </w:r>
            <w:r w:rsidR="004564CB">
              <w:rPr>
                <w:noProof/>
                <w:webHidden/>
              </w:rPr>
              <w:tab/>
            </w:r>
            <w:r w:rsidR="004564CB">
              <w:rPr>
                <w:noProof/>
                <w:webHidden/>
              </w:rPr>
              <w:fldChar w:fldCharType="begin"/>
            </w:r>
            <w:r w:rsidR="004564CB">
              <w:rPr>
                <w:noProof/>
                <w:webHidden/>
              </w:rPr>
              <w:instrText xml:space="preserve"> PAGEREF _Toc95743411 \h </w:instrText>
            </w:r>
            <w:r w:rsidR="004564CB">
              <w:rPr>
                <w:noProof/>
                <w:webHidden/>
              </w:rPr>
            </w:r>
            <w:r w:rsidR="004564CB">
              <w:rPr>
                <w:noProof/>
                <w:webHidden/>
              </w:rPr>
              <w:fldChar w:fldCharType="separate"/>
            </w:r>
            <w:r w:rsidR="00A176C0">
              <w:rPr>
                <w:noProof/>
                <w:webHidden/>
              </w:rPr>
              <w:t>152</w:t>
            </w:r>
            <w:r w:rsidR="004564CB">
              <w:rPr>
                <w:noProof/>
                <w:webHidden/>
              </w:rPr>
              <w:fldChar w:fldCharType="end"/>
            </w:r>
          </w:hyperlink>
        </w:p>
        <w:p w14:paraId="797848E7" w14:textId="2F696EA1" w:rsidR="004564CB" w:rsidRDefault="000B57EE">
          <w:pPr>
            <w:pStyle w:val="TOC2"/>
            <w:rPr>
              <w:rFonts w:asciiTheme="minorHAnsi" w:eastAsiaTheme="minorEastAsia" w:hAnsiTheme="minorHAnsi" w:cstheme="minorBidi"/>
              <w:bCs w:val="0"/>
              <w:noProof/>
              <w:sz w:val="22"/>
              <w:szCs w:val="22"/>
              <w:lang w:eastAsia="en-GB"/>
            </w:rPr>
          </w:pPr>
          <w:hyperlink w:anchor="_Toc95743412" w:history="1">
            <w:r w:rsidR="004564CB" w:rsidRPr="000E1403">
              <w:rPr>
                <w:rStyle w:val="Hyperlink"/>
                <w:noProof/>
                <w14:scene3d>
                  <w14:camera w14:prst="orthographicFront"/>
                  <w14:lightRig w14:rig="threePt" w14:dir="t">
                    <w14:rot w14:lat="0" w14:lon="0" w14:rev="0"/>
                  </w14:lightRig>
                </w14:scene3d>
              </w:rPr>
              <w:t>4.6</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Determining if the patient lives in the practice area</w:t>
            </w:r>
            <w:r w:rsidR="004564CB">
              <w:rPr>
                <w:noProof/>
                <w:webHidden/>
              </w:rPr>
              <w:tab/>
            </w:r>
            <w:r w:rsidR="004564CB">
              <w:rPr>
                <w:noProof/>
                <w:webHidden/>
              </w:rPr>
              <w:fldChar w:fldCharType="begin"/>
            </w:r>
            <w:r w:rsidR="004564CB">
              <w:rPr>
                <w:noProof/>
                <w:webHidden/>
              </w:rPr>
              <w:instrText xml:space="preserve"> PAGEREF _Toc95743412 \h </w:instrText>
            </w:r>
            <w:r w:rsidR="004564CB">
              <w:rPr>
                <w:noProof/>
                <w:webHidden/>
              </w:rPr>
            </w:r>
            <w:r w:rsidR="004564CB">
              <w:rPr>
                <w:noProof/>
                <w:webHidden/>
              </w:rPr>
              <w:fldChar w:fldCharType="separate"/>
            </w:r>
            <w:r w:rsidR="00A176C0">
              <w:rPr>
                <w:noProof/>
                <w:webHidden/>
              </w:rPr>
              <w:t>153</w:t>
            </w:r>
            <w:r w:rsidR="004564CB">
              <w:rPr>
                <w:noProof/>
                <w:webHidden/>
              </w:rPr>
              <w:fldChar w:fldCharType="end"/>
            </w:r>
          </w:hyperlink>
        </w:p>
        <w:p w14:paraId="1691B87C" w14:textId="3B6C7646" w:rsidR="004564CB" w:rsidRDefault="000B57EE">
          <w:pPr>
            <w:pStyle w:val="TOC2"/>
            <w:rPr>
              <w:rFonts w:asciiTheme="minorHAnsi" w:eastAsiaTheme="minorEastAsia" w:hAnsiTheme="minorHAnsi" w:cstheme="minorBidi"/>
              <w:bCs w:val="0"/>
              <w:noProof/>
              <w:sz w:val="22"/>
              <w:szCs w:val="22"/>
              <w:lang w:eastAsia="en-GB"/>
            </w:rPr>
          </w:pPr>
          <w:hyperlink w:anchor="_Toc95743413" w:history="1">
            <w:r w:rsidR="004564CB" w:rsidRPr="000E1403">
              <w:rPr>
                <w:rStyle w:val="Hyperlink"/>
                <w:noProof/>
                <w14:scene3d>
                  <w14:camera w14:prst="orthographicFront"/>
                  <w14:lightRig w14:rig="threePt" w14:dir="t">
                    <w14:rot w14:lat="0" w14:lon="0" w14:rev="0"/>
                  </w14:lightRig>
                </w14:scene3d>
              </w:rPr>
              <w:t>4.7</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Access to registration</w:t>
            </w:r>
            <w:r w:rsidR="004564CB">
              <w:rPr>
                <w:noProof/>
                <w:webHidden/>
              </w:rPr>
              <w:tab/>
            </w:r>
            <w:r w:rsidR="004564CB">
              <w:rPr>
                <w:noProof/>
                <w:webHidden/>
              </w:rPr>
              <w:fldChar w:fldCharType="begin"/>
            </w:r>
            <w:r w:rsidR="004564CB">
              <w:rPr>
                <w:noProof/>
                <w:webHidden/>
              </w:rPr>
              <w:instrText xml:space="preserve"> PAGEREF _Toc95743413 \h </w:instrText>
            </w:r>
            <w:r w:rsidR="004564CB">
              <w:rPr>
                <w:noProof/>
                <w:webHidden/>
              </w:rPr>
            </w:r>
            <w:r w:rsidR="004564CB">
              <w:rPr>
                <w:noProof/>
                <w:webHidden/>
              </w:rPr>
              <w:fldChar w:fldCharType="separate"/>
            </w:r>
            <w:r w:rsidR="00A176C0">
              <w:rPr>
                <w:noProof/>
                <w:webHidden/>
              </w:rPr>
              <w:t>153</w:t>
            </w:r>
            <w:r w:rsidR="004564CB">
              <w:rPr>
                <w:noProof/>
                <w:webHidden/>
              </w:rPr>
              <w:fldChar w:fldCharType="end"/>
            </w:r>
          </w:hyperlink>
        </w:p>
        <w:p w14:paraId="6F5F3C8B" w14:textId="189A443A" w:rsidR="004564CB" w:rsidRDefault="000B57EE">
          <w:pPr>
            <w:pStyle w:val="TOC2"/>
            <w:rPr>
              <w:rFonts w:asciiTheme="minorHAnsi" w:eastAsiaTheme="minorEastAsia" w:hAnsiTheme="minorHAnsi" w:cstheme="minorBidi"/>
              <w:bCs w:val="0"/>
              <w:noProof/>
              <w:sz w:val="22"/>
              <w:szCs w:val="22"/>
              <w:lang w:eastAsia="en-GB"/>
            </w:rPr>
          </w:pPr>
          <w:hyperlink w:anchor="_Toc95743414" w:history="1">
            <w:r w:rsidR="004564CB" w:rsidRPr="000E1403">
              <w:rPr>
                <w:rStyle w:val="Hyperlink"/>
                <w:noProof/>
                <w14:scene3d>
                  <w14:camera w14:prst="orthographicFront"/>
                  <w14:lightRig w14:rig="threePt" w14:dir="t">
                    <w14:rot w14:lat="0" w14:lon="0" w14:rev="0"/>
                  </w14:lightRig>
                </w14:scene3d>
              </w:rPr>
              <w:t>4.8</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New patient health checks</w:t>
            </w:r>
            <w:r w:rsidR="004564CB">
              <w:rPr>
                <w:noProof/>
                <w:webHidden/>
              </w:rPr>
              <w:tab/>
            </w:r>
            <w:r w:rsidR="004564CB">
              <w:rPr>
                <w:noProof/>
                <w:webHidden/>
              </w:rPr>
              <w:fldChar w:fldCharType="begin"/>
            </w:r>
            <w:r w:rsidR="004564CB">
              <w:rPr>
                <w:noProof/>
                <w:webHidden/>
              </w:rPr>
              <w:instrText xml:space="preserve"> PAGEREF _Toc95743414 \h </w:instrText>
            </w:r>
            <w:r w:rsidR="004564CB">
              <w:rPr>
                <w:noProof/>
                <w:webHidden/>
              </w:rPr>
            </w:r>
            <w:r w:rsidR="004564CB">
              <w:rPr>
                <w:noProof/>
                <w:webHidden/>
              </w:rPr>
              <w:fldChar w:fldCharType="separate"/>
            </w:r>
            <w:r w:rsidR="00A176C0">
              <w:rPr>
                <w:noProof/>
                <w:webHidden/>
              </w:rPr>
              <w:t>154</w:t>
            </w:r>
            <w:r w:rsidR="004564CB">
              <w:rPr>
                <w:noProof/>
                <w:webHidden/>
              </w:rPr>
              <w:fldChar w:fldCharType="end"/>
            </w:r>
          </w:hyperlink>
        </w:p>
        <w:p w14:paraId="33A295FC" w14:textId="26F7D1C6" w:rsidR="004564CB" w:rsidRDefault="000B57EE">
          <w:pPr>
            <w:pStyle w:val="TOC2"/>
            <w:rPr>
              <w:rFonts w:asciiTheme="minorHAnsi" w:eastAsiaTheme="minorEastAsia" w:hAnsiTheme="minorHAnsi" w:cstheme="minorBidi"/>
              <w:bCs w:val="0"/>
              <w:noProof/>
              <w:sz w:val="22"/>
              <w:szCs w:val="22"/>
              <w:lang w:eastAsia="en-GB"/>
            </w:rPr>
          </w:pPr>
          <w:hyperlink w:anchor="_Toc95743415" w:history="1">
            <w:r w:rsidR="004564CB" w:rsidRPr="000E1403">
              <w:rPr>
                <w:rStyle w:val="Hyperlink"/>
                <w:noProof/>
                <w14:scene3d>
                  <w14:camera w14:prst="orthographicFront"/>
                  <w14:lightRig w14:rig="threePt" w14:dir="t">
                    <w14:rot w14:lat="0" w14:lon="0" w14:rev="0"/>
                  </w14:lightRig>
                </w14:scene3d>
              </w:rPr>
              <w:t>4.9</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Requesting documentary information from patients</w:t>
            </w:r>
            <w:r w:rsidR="004564CB">
              <w:rPr>
                <w:noProof/>
                <w:webHidden/>
              </w:rPr>
              <w:tab/>
            </w:r>
            <w:r w:rsidR="004564CB">
              <w:rPr>
                <w:noProof/>
                <w:webHidden/>
              </w:rPr>
              <w:fldChar w:fldCharType="begin"/>
            </w:r>
            <w:r w:rsidR="004564CB">
              <w:rPr>
                <w:noProof/>
                <w:webHidden/>
              </w:rPr>
              <w:instrText xml:space="preserve"> PAGEREF _Toc95743415 \h </w:instrText>
            </w:r>
            <w:r w:rsidR="004564CB">
              <w:rPr>
                <w:noProof/>
                <w:webHidden/>
              </w:rPr>
            </w:r>
            <w:r w:rsidR="004564CB">
              <w:rPr>
                <w:noProof/>
                <w:webHidden/>
              </w:rPr>
              <w:fldChar w:fldCharType="separate"/>
            </w:r>
            <w:r w:rsidR="00A176C0">
              <w:rPr>
                <w:noProof/>
                <w:webHidden/>
              </w:rPr>
              <w:t>154</w:t>
            </w:r>
            <w:r w:rsidR="004564CB">
              <w:rPr>
                <w:noProof/>
                <w:webHidden/>
              </w:rPr>
              <w:fldChar w:fldCharType="end"/>
            </w:r>
          </w:hyperlink>
        </w:p>
        <w:p w14:paraId="7F60B730" w14:textId="49E2FB36" w:rsidR="004564CB" w:rsidRDefault="000B57EE">
          <w:pPr>
            <w:pStyle w:val="TOC2"/>
            <w:rPr>
              <w:rFonts w:asciiTheme="minorHAnsi" w:eastAsiaTheme="minorEastAsia" w:hAnsiTheme="minorHAnsi" w:cstheme="minorBidi"/>
              <w:bCs w:val="0"/>
              <w:noProof/>
              <w:sz w:val="22"/>
              <w:szCs w:val="22"/>
              <w:lang w:eastAsia="en-GB"/>
            </w:rPr>
          </w:pPr>
          <w:hyperlink w:anchor="_Toc95743416" w:history="1">
            <w:r w:rsidR="004564CB" w:rsidRPr="000E1403">
              <w:rPr>
                <w:rStyle w:val="Hyperlink"/>
                <w:noProof/>
                <w14:scene3d>
                  <w14:camera w14:prst="orthographicFront"/>
                  <w14:lightRig w14:rig="threePt" w14:dir="t">
                    <w14:rot w14:lat="0" w14:lon="0" w14:rev="0"/>
                  </w14:lightRig>
                </w14:scene3d>
              </w:rPr>
              <w:t>4.10</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Refusing Registration</w:t>
            </w:r>
            <w:r w:rsidR="004564CB">
              <w:rPr>
                <w:noProof/>
                <w:webHidden/>
              </w:rPr>
              <w:tab/>
            </w:r>
            <w:r w:rsidR="004564CB">
              <w:rPr>
                <w:noProof/>
                <w:webHidden/>
              </w:rPr>
              <w:fldChar w:fldCharType="begin"/>
            </w:r>
            <w:r w:rsidR="004564CB">
              <w:rPr>
                <w:noProof/>
                <w:webHidden/>
              </w:rPr>
              <w:instrText xml:space="preserve"> PAGEREF _Toc95743416 \h </w:instrText>
            </w:r>
            <w:r w:rsidR="004564CB">
              <w:rPr>
                <w:noProof/>
                <w:webHidden/>
              </w:rPr>
            </w:r>
            <w:r w:rsidR="004564CB">
              <w:rPr>
                <w:noProof/>
                <w:webHidden/>
              </w:rPr>
              <w:fldChar w:fldCharType="separate"/>
            </w:r>
            <w:r w:rsidR="00A176C0">
              <w:rPr>
                <w:noProof/>
                <w:webHidden/>
              </w:rPr>
              <w:t>156</w:t>
            </w:r>
            <w:r w:rsidR="004564CB">
              <w:rPr>
                <w:noProof/>
                <w:webHidden/>
              </w:rPr>
              <w:fldChar w:fldCharType="end"/>
            </w:r>
          </w:hyperlink>
        </w:p>
        <w:p w14:paraId="3C60BA0D" w14:textId="453F080B" w:rsidR="004564CB" w:rsidRDefault="000B57EE">
          <w:pPr>
            <w:pStyle w:val="TOC2"/>
            <w:rPr>
              <w:rFonts w:asciiTheme="minorHAnsi" w:eastAsiaTheme="minorEastAsia" w:hAnsiTheme="minorHAnsi" w:cstheme="minorBidi"/>
              <w:bCs w:val="0"/>
              <w:noProof/>
              <w:sz w:val="22"/>
              <w:szCs w:val="22"/>
              <w:lang w:eastAsia="en-GB"/>
            </w:rPr>
          </w:pPr>
          <w:hyperlink w:anchor="_Toc95743417" w:history="1">
            <w:r w:rsidR="004564CB" w:rsidRPr="000E1403">
              <w:rPr>
                <w:rStyle w:val="Hyperlink"/>
                <w:noProof/>
                <w14:scene3d>
                  <w14:camera w14:prst="orthographicFront"/>
                  <w14:lightRig w14:rig="threePt" w14:dir="t">
                    <w14:rot w14:lat="0" w14:lon="0" w14:rev="0"/>
                  </w14:lightRig>
                </w14:scene3d>
              </w:rPr>
              <w:t>4.11</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Patients who are temporarily resident in a specialist hospital away from home</w:t>
            </w:r>
            <w:r w:rsidR="004564CB">
              <w:rPr>
                <w:noProof/>
                <w:webHidden/>
              </w:rPr>
              <w:tab/>
            </w:r>
            <w:r w:rsidR="004564CB">
              <w:rPr>
                <w:noProof/>
                <w:webHidden/>
              </w:rPr>
              <w:fldChar w:fldCharType="begin"/>
            </w:r>
            <w:r w:rsidR="004564CB">
              <w:rPr>
                <w:noProof/>
                <w:webHidden/>
              </w:rPr>
              <w:instrText xml:space="preserve"> PAGEREF _Toc95743417 \h </w:instrText>
            </w:r>
            <w:r w:rsidR="004564CB">
              <w:rPr>
                <w:noProof/>
                <w:webHidden/>
              </w:rPr>
            </w:r>
            <w:r w:rsidR="004564CB">
              <w:rPr>
                <w:noProof/>
                <w:webHidden/>
              </w:rPr>
              <w:fldChar w:fldCharType="separate"/>
            </w:r>
            <w:r w:rsidR="00A176C0">
              <w:rPr>
                <w:noProof/>
                <w:webHidden/>
              </w:rPr>
              <w:t>156</w:t>
            </w:r>
            <w:r w:rsidR="004564CB">
              <w:rPr>
                <w:noProof/>
                <w:webHidden/>
              </w:rPr>
              <w:fldChar w:fldCharType="end"/>
            </w:r>
          </w:hyperlink>
        </w:p>
        <w:p w14:paraId="65CE6A40" w14:textId="7C349C67" w:rsidR="004564CB" w:rsidRDefault="000B57EE">
          <w:pPr>
            <w:pStyle w:val="TOC2"/>
            <w:rPr>
              <w:rFonts w:asciiTheme="minorHAnsi" w:eastAsiaTheme="minorEastAsia" w:hAnsiTheme="minorHAnsi" w:cstheme="minorBidi"/>
              <w:bCs w:val="0"/>
              <w:noProof/>
              <w:sz w:val="22"/>
              <w:szCs w:val="22"/>
              <w:lang w:eastAsia="en-GB"/>
            </w:rPr>
          </w:pPr>
          <w:hyperlink w:anchor="_Toc95743418" w:history="1">
            <w:r w:rsidR="004564CB" w:rsidRPr="000E1403">
              <w:rPr>
                <w:rStyle w:val="Hyperlink"/>
                <w:noProof/>
                <w14:scene3d>
                  <w14:camera w14:prst="orthographicFront"/>
                  <w14:lightRig w14:rig="threePt" w14:dir="t">
                    <w14:rot w14:lat="0" w14:lon="0" w14:rev="0"/>
                  </w14:lightRig>
                </w14:scene3d>
              </w:rPr>
              <w:t>4.12</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Registering children</w:t>
            </w:r>
            <w:r w:rsidR="004564CB">
              <w:rPr>
                <w:noProof/>
                <w:webHidden/>
              </w:rPr>
              <w:tab/>
            </w:r>
            <w:r w:rsidR="004564CB">
              <w:rPr>
                <w:noProof/>
                <w:webHidden/>
              </w:rPr>
              <w:fldChar w:fldCharType="begin"/>
            </w:r>
            <w:r w:rsidR="004564CB">
              <w:rPr>
                <w:noProof/>
                <w:webHidden/>
              </w:rPr>
              <w:instrText xml:space="preserve"> PAGEREF _Toc95743418 \h </w:instrText>
            </w:r>
            <w:r w:rsidR="004564CB">
              <w:rPr>
                <w:noProof/>
                <w:webHidden/>
              </w:rPr>
            </w:r>
            <w:r w:rsidR="004564CB">
              <w:rPr>
                <w:noProof/>
                <w:webHidden/>
              </w:rPr>
              <w:fldChar w:fldCharType="separate"/>
            </w:r>
            <w:r w:rsidR="00A176C0">
              <w:rPr>
                <w:noProof/>
                <w:webHidden/>
              </w:rPr>
              <w:t>157</w:t>
            </w:r>
            <w:r w:rsidR="004564CB">
              <w:rPr>
                <w:noProof/>
                <w:webHidden/>
              </w:rPr>
              <w:fldChar w:fldCharType="end"/>
            </w:r>
          </w:hyperlink>
        </w:p>
        <w:p w14:paraId="3ACEF7CF" w14:textId="13037AE8" w:rsidR="004564CB" w:rsidRDefault="000B57EE">
          <w:pPr>
            <w:pStyle w:val="TOC2"/>
            <w:rPr>
              <w:rFonts w:asciiTheme="minorHAnsi" w:eastAsiaTheme="minorEastAsia" w:hAnsiTheme="minorHAnsi" w:cstheme="minorBidi"/>
              <w:bCs w:val="0"/>
              <w:noProof/>
              <w:sz w:val="22"/>
              <w:szCs w:val="22"/>
              <w:lang w:eastAsia="en-GB"/>
            </w:rPr>
          </w:pPr>
          <w:hyperlink w:anchor="_Toc95743419" w:history="1">
            <w:r w:rsidR="004564CB" w:rsidRPr="000E1403">
              <w:rPr>
                <w:rStyle w:val="Hyperlink"/>
                <w:noProof/>
                <w14:scene3d>
                  <w14:camera w14:prst="orthographicFront"/>
                  <w14:lightRig w14:rig="threePt" w14:dir="t">
                    <w14:rot w14:lat="0" w14:lon="0" w14:rev="0"/>
                  </w14:lightRig>
                </w14:scene3d>
              </w:rPr>
              <w:t>4.13</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Registration of those previously registered with Defence Medical Services (DMS) and Priority NHS care for Veterans</w:t>
            </w:r>
            <w:r w:rsidR="004564CB">
              <w:rPr>
                <w:noProof/>
                <w:webHidden/>
              </w:rPr>
              <w:tab/>
            </w:r>
            <w:r w:rsidR="004564CB">
              <w:rPr>
                <w:noProof/>
                <w:webHidden/>
              </w:rPr>
              <w:fldChar w:fldCharType="begin"/>
            </w:r>
            <w:r w:rsidR="004564CB">
              <w:rPr>
                <w:noProof/>
                <w:webHidden/>
              </w:rPr>
              <w:instrText xml:space="preserve"> PAGEREF _Toc95743419 \h </w:instrText>
            </w:r>
            <w:r w:rsidR="004564CB">
              <w:rPr>
                <w:noProof/>
                <w:webHidden/>
              </w:rPr>
            </w:r>
            <w:r w:rsidR="004564CB">
              <w:rPr>
                <w:noProof/>
                <w:webHidden/>
              </w:rPr>
              <w:fldChar w:fldCharType="separate"/>
            </w:r>
            <w:r w:rsidR="00A176C0">
              <w:rPr>
                <w:noProof/>
                <w:webHidden/>
              </w:rPr>
              <w:t>160</w:t>
            </w:r>
            <w:r w:rsidR="004564CB">
              <w:rPr>
                <w:noProof/>
                <w:webHidden/>
              </w:rPr>
              <w:fldChar w:fldCharType="end"/>
            </w:r>
          </w:hyperlink>
        </w:p>
        <w:p w14:paraId="3105A2E2" w14:textId="33214781" w:rsidR="004564CB" w:rsidRDefault="000B57EE">
          <w:pPr>
            <w:pStyle w:val="TOC2"/>
            <w:rPr>
              <w:rFonts w:asciiTheme="minorHAnsi" w:eastAsiaTheme="minorEastAsia" w:hAnsiTheme="minorHAnsi" w:cstheme="minorBidi"/>
              <w:bCs w:val="0"/>
              <w:noProof/>
              <w:sz w:val="22"/>
              <w:szCs w:val="22"/>
              <w:lang w:eastAsia="en-GB"/>
            </w:rPr>
          </w:pPr>
          <w:hyperlink w:anchor="_Toc95743420" w:history="1">
            <w:r w:rsidR="004564CB" w:rsidRPr="000E1403">
              <w:rPr>
                <w:rStyle w:val="Hyperlink"/>
                <w:noProof/>
                <w14:scene3d>
                  <w14:camera w14:prst="orthographicFront"/>
                  <w14:lightRig w14:rig="threePt" w14:dir="t">
                    <w14:rot w14:lat="0" w14:lon="0" w14:rev="0"/>
                  </w14:lightRig>
                </w14:scene3d>
              </w:rPr>
              <w:t>4.14</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Persons released from prisons, immigration centres or children’s secure facilities</w:t>
            </w:r>
            <w:r w:rsidR="004564CB">
              <w:rPr>
                <w:noProof/>
                <w:webHidden/>
              </w:rPr>
              <w:tab/>
            </w:r>
            <w:r w:rsidR="004564CB">
              <w:rPr>
                <w:noProof/>
                <w:webHidden/>
              </w:rPr>
              <w:fldChar w:fldCharType="begin"/>
            </w:r>
            <w:r w:rsidR="004564CB">
              <w:rPr>
                <w:noProof/>
                <w:webHidden/>
              </w:rPr>
              <w:instrText xml:space="preserve"> PAGEREF _Toc95743420 \h </w:instrText>
            </w:r>
            <w:r w:rsidR="004564CB">
              <w:rPr>
                <w:noProof/>
                <w:webHidden/>
              </w:rPr>
            </w:r>
            <w:r w:rsidR="004564CB">
              <w:rPr>
                <w:noProof/>
                <w:webHidden/>
              </w:rPr>
              <w:fldChar w:fldCharType="separate"/>
            </w:r>
            <w:r w:rsidR="00A176C0">
              <w:rPr>
                <w:noProof/>
                <w:webHidden/>
              </w:rPr>
              <w:t>161</w:t>
            </w:r>
            <w:r w:rsidR="004564CB">
              <w:rPr>
                <w:noProof/>
                <w:webHidden/>
              </w:rPr>
              <w:fldChar w:fldCharType="end"/>
            </w:r>
          </w:hyperlink>
        </w:p>
        <w:p w14:paraId="4046740B" w14:textId="04A69EB5" w:rsidR="004564CB" w:rsidRDefault="000B57EE">
          <w:pPr>
            <w:pStyle w:val="TOC2"/>
            <w:rPr>
              <w:rFonts w:asciiTheme="minorHAnsi" w:eastAsiaTheme="minorEastAsia" w:hAnsiTheme="minorHAnsi" w:cstheme="minorBidi"/>
              <w:bCs w:val="0"/>
              <w:noProof/>
              <w:sz w:val="22"/>
              <w:szCs w:val="22"/>
              <w:lang w:eastAsia="en-GB"/>
            </w:rPr>
          </w:pPr>
          <w:hyperlink w:anchor="_Toc95743421" w:history="1">
            <w:r w:rsidR="004564CB" w:rsidRPr="000E1403">
              <w:rPr>
                <w:rStyle w:val="Hyperlink"/>
                <w:rFonts w:cs="Arial"/>
                <w:noProof/>
                <w:highlight w:val="yellow"/>
                <w14:scene3d>
                  <w14:camera w14:prst="orthographicFront"/>
                  <w14:lightRig w14:rig="threePt" w14:dir="t">
                    <w14:rot w14:lat="0" w14:lon="0" w14:rev="0"/>
                  </w14:lightRig>
                </w14:scene3d>
              </w:rPr>
              <w:t>4.15</w:t>
            </w:r>
            <w:r w:rsidR="004564CB">
              <w:rPr>
                <w:rFonts w:asciiTheme="minorHAnsi" w:eastAsiaTheme="minorEastAsia" w:hAnsiTheme="minorHAnsi" w:cstheme="minorBidi"/>
                <w:bCs w:val="0"/>
                <w:noProof/>
                <w:sz w:val="22"/>
                <w:szCs w:val="22"/>
                <w:lang w:eastAsia="en-GB"/>
              </w:rPr>
              <w:tab/>
            </w:r>
            <w:r w:rsidR="004564CB" w:rsidRPr="000E1403">
              <w:rPr>
                <w:rStyle w:val="Hyperlink"/>
                <w:rFonts w:cs="Arial"/>
                <w:noProof/>
                <w:highlight w:val="yellow"/>
              </w:rPr>
              <w:t>Registering Civil servants and their dependants, and the dependants of members of the Armed Forces, returning from overseas postings</w:t>
            </w:r>
            <w:r w:rsidR="004564CB">
              <w:rPr>
                <w:noProof/>
                <w:webHidden/>
              </w:rPr>
              <w:tab/>
            </w:r>
            <w:r w:rsidR="004564CB">
              <w:rPr>
                <w:noProof/>
                <w:webHidden/>
              </w:rPr>
              <w:fldChar w:fldCharType="begin"/>
            </w:r>
            <w:r w:rsidR="004564CB">
              <w:rPr>
                <w:noProof/>
                <w:webHidden/>
              </w:rPr>
              <w:instrText xml:space="preserve"> PAGEREF _Toc95743421 \h </w:instrText>
            </w:r>
            <w:r w:rsidR="004564CB">
              <w:rPr>
                <w:noProof/>
                <w:webHidden/>
              </w:rPr>
            </w:r>
            <w:r w:rsidR="004564CB">
              <w:rPr>
                <w:noProof/>
                <w:webHidden/>
              </w:rPr>
              <w:fldChar w:fldCharType="separate"/>
            </w:r>
            <w:r w:rsidR="00A176C0">
              <w:rPr>
                <w:noProof/>
                <w:webHidden/>
              </w:rPr>
              <w:t>161</w:t>
            </w:r>
            <w:r w:rsidR="004564CB">
              <w:rPr>
                <w:noProof/>
                <w:webHidden/>
              </w:rPr>
              <w:fldChar w:fldCharType="end"/>
            </w:r>
          </w:hyperlink>
        </w:p>
        <w:p w14:paraId="69DEAFD2" w14:textId="78B7ABBC" w:rsidR="004564CB" w:rsidRDefault="000B57EE">
          <w:pPr>
            <w:pStyle w:val="TOC2"/>
            <w:rPr>
              <w:rFonts w:asciiTheme="minorHAnsi" w:eastAsiaTheme="minorEastAsia" w:hAnsiTheme="minorHAnsi" w:cstheme="minorBidi"/>
              <w:bCs w:val="0"/>
              <w:noProof/>
              <w:sz w:val="22"/>
              <w:szCs w:val="22"/>
              <w:lang w:eastAsia="en-GB"/>
            </w:rPr>
          </w:pPr>
          <w:hyperlink w:anchor="_Toc95743422" w:history="1">
            <w:r w:rsidR="004564CB" w:rsidRPr="000E1403">
              <w:rPr>
                <w:rStyle w:val="Hyperlink"/>
                <w:noProof/>
                <w14:scene3d>
                  <w14:camera w14:prst="orthographicFront"/>
                  <w14:lightRig w14:rig="threePt" w14:dir="t">
                    <w14:rot w14:lat="0" w14:lon="0" w14:rev="0"/>
                  </w14:lightRig>
                </w14:scene3d>
              </w:rPr>
              <w:t>4.16</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Temporary Residents</w:t>
            </w:r>
            <w:r w:rsidR="004564CB">
              <w:rPr>
                <w:noProof/>
                <w:webHidden/>
              </w:rPr>
              <w:tab/>
            </w:r>
            <w:r w:rsidR="004564CB">
              <w:rPr>
                <w:noProof/>
                <w:webHidden/>
              </w:rPr>
              <w:fldChar w:fldCharType="begin"/>
            </w:r>
            <w:r w:rsidR="004564CB">
              <w:rPr>
                <w:noProof/>
                <w:webHidden/>
              </w:rPr>
              <w:instrText xml:space="preserve"> PAGEREF _Toc95743422 \h </w:instrText>
            </w:r>
            <w:r w:rsidR="004564CB">
              <w:rPr>
                <w:noProof/>
                <w:webHidden/>
              </w:rPr>
            </w:r>
            <w:r w:rsidR="004564CB">
              <w:rPr>
                <w:noProof/>
                <w:webHidden/>
              </w:rPr>
              <w:fldChar w:fldCharType="separate"/>
            </w:r>
            <w:r w:rsidR="00A176C0">
              <w:rPr>
                <w:noProof/>
                <w:webHidden/>
              </w:rPr>
              <w:t>167</w:t>
            </w:r>
            <w:r w:rsidR="004564CB">
              <w:rPr>
                <w:noProof/>
                <w:webHidden/>
              </w:rPr>
              <w:fldChar w:fldCharType="end"/>
            </w:r>
          </w:hyperlink>
        </w:p>
        <w:p w14:paraId="1F0C05B9" w14:textId="7D7D13BB" w:rsidR="004564CB" w:rsidRDefault="000B57EE">
          <w:pPr>
            <w:pStyle w:val="TOC2"/>
            <w:rPr>
              <w:rFonts w:asciiTheme="minorHAnsi" w:eastAsiaTheme="minorEastAsia" w:hAnsiTheme="minorHAnsi" w:cstheme="minorBidi"/>
              <w:bCs w:val="0"/>
              <w:noProof/>
              <w:sz w:val="22"/>
              <w:szCs w:val="22"/>
              <w:lang w:eastAsia="en-GB"/>
            </w:rPr>
          </w:pPr>
          <w:hyperlink w:anchor="_Toc95743423" w:history="1">
            <w:r w:rsidR="004564CB" w:rsidRPr="000E1403">
              <w:rPr>
                <w:rStyle w:val="Hyperlink"/>
                <w:noProof/>
                <w14:scene3d>
                  <w14:camera w14:prst="orthographicFront"/>
                  <w14:lightRig w14:rig="threePt" w14:dir="t">
                    <w14:rot w14:lat="0" w14:lon="0" w14:rev="0"/>
                  </w14:lightRig>
                </w14:scene3d>
              </w:rPr>
              <w:t>4.17</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Sensitive Patient Registrations</w:t>
            </w:r>
            <w:r w:rsidR="004564CB">
              <w:rPr>
                <w:noProof/>
                <w:webHidden/>
              </w:rPr>
              <w:tab/>
            </w:r>
            <w:r w:rsidR="004564CB">
              <w:rPr>
                <w:noProof/>
                <w:webHidden/>
              </w:rPr>
              <w:fldChar w:fldCharType="begin"/>
            </w:r>
            <w:r w:rsidR="004564CB">
              <w:rPr>
                <w:noProof/>
                <w:webHidden/>
              </w:rPr>
              <w:instrText xml:space="preserve"> PAGEREF _Toc95743423 \h </w:instrText>
            </w:r>
            <w:r w:rsidR="004564CB">
              <w:rPr>
                <w:noProof/>
                <w:webHidden/>
              </w:rPr>
            </w:r>
            <w:r w:rsidR="004564CB">
              <w:rPr>
                <w:noProof/>
                <w:webHidden/>
              </w:rPr>
              <w:fldChar w:fldCharType="separate"/>
            </w:r>
            <w:r w:rsidR="00A176C0">
              <w:rPr>
                <w:noProof/>
                <w:webHidden/>
              </w:rPr>
              <w:t>167</w:t>
            </w:r>
            <w:r w:rsidR="004564CB">
              <w:rPr>
                <w:noProof/>
                <w:webHidden/>
              </w:rPr>
              <w:fldChar w:fldCharType="end"/>
            </w:r>
          </w:hyperlink>
        </w:p>
        <w:p w14:paraId="2B445C68" w14:textId="6DA04CB0" w:rsidR="004564CB" w:rsidRDefault="000B57EE">
          <w:pPr>
            <w:pStyle w:val="TOC2"/>
            <w:rPr>
              <w:rFonts w:asciiTheme="minorHAnsi" w:eastAsiaTheme="minorEastAsia" w:hAnsiTheme="minorHAnsi" w:cstheme="minorBidi"/>
              <w:bCs w:val="0"/>
              <w:noProof/>
              <w:sz w:val="22"/>
              <w:szCs w:val="22"/>
              <w:lang w:eastAsia="en-GB"/>
            </w:rPr>
          </w:pPr>
          <w:hyperlink w:anchor="_Toc95743424" w:history="1">
            <w:r w:rsidR="004564CB" w:rsidRPr="000E1403">
              <w:rPr>
                <w:rStyle w:val="Hyperlink"/>
                <w:noProof/>
                <w14:scene3d>
                  <w14:camera w14:prst="orthographicFront"/>
                  <w14:lightRig w14:rig="threePt" w14:dir="t">
                    <w14:rot w14:lat="0" w14:lon="0" w14:rev="0"/>
                  </w14:lightRig>
                </w14:scene3d>
              </w:rPr>
              <w:t>4.18</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val="en-US"/>
              </w:rPr>
              <w:t>Appendix A;</w:t>
            </w:r>
            <w:r w:rsidR="004564CB" w:rsidRPr="000E1403">
              <w:rPr>
                <w:rStyle w:val="Hyperlink"/>
                <w:rFonts w:eastAsiaTheme="minorHAnsi"/>
                <w:noProof/>
              </w:rPr>
              <w:t xml:space="preserve"> </w:t>
            </w:r>
            <w:r w:rsidR="004564CB" w:rsidRPr="000E1403">
              <w:rPr>
                <w:rStyle w:val="Hyperlink"/>
                <w:noProof/>
              </w:rPr>
              <w:t>Draft Framework for a Memorandum of Understanding between GP Practice and Private provider (MH facility)</w:t>
            </w:r>
            <w:r w:rsidR="004564CB">
              <w:rPr>
                <w:noProof/>
                <w:webHidden/>
              </w:rPr>
              <w:tab/>
            </w:r>
            <w:r w:rsidR="004564CB">
              <w:rPr>
                <w:noProof/>
                <w:webHidden/>
              </w:rPr>
              <w:fldChar w:fldCharType="begin"/>
            </w:r>
            <w:r w:rsidR="004564CB">
              <w:rPr>
                <w:noProof/>
                <w:webHidden/>
              </w:rPr>
              <w:instrText xml:space="preserve"> PAGEREF _Toc95743424 \h </w:instrText>
            </w:r>
            <w:r w:rsidR="004564CB">
              <w:rPr>
                <w:noProof/>
                <w:webHidden/>
              </w:rPr>
            </w:r>
            <w:r w:rsidR="004564CB">
              <w:rPr>
                <w:noProof/>
                <w:webHidden/>
              </w:rPr>
              <w:fldChar w:fldCharType="separate"/>
            </w:r>
            <w:r w:rsidR="00A176C0">
              <w:rPr>
                <w:noProof/>
                <w:webHidden/>
              </w:rPr>
              <w:t>168</w:t>
            </w:r>
            <w:r w:rsidR="004564CB">
              <w:rPr>
                <w:noProof/>
                <w:webHidden/>
              </w:rPr>
              <w:fldChar w:fldCharType="end"/>
            </w:r>
          </w:hyperlink>
        </w:p>
        <w:p w14:paraId="7899BF38" w14:textId="3A631E50" w:rsidR="004564CB" w:rsidRDefault="000B57EE">
          <w:pPr>
            <w:pStyle w:val="TOC1"/>
            <w:rPr>
              <w:rFonts w:asciiTheme="minorHAnsi" w:eastAsiaTheme="minorEastAsia" w:hAnsiTheme="minorHAnsi" w:cstheme="minorBidi"/>
              <w:bCs w:val="0"/>
              <w:color w:val="auto"/>
              <w:sz w:val="22"/>
              <w:szCs w:val="22"/>
              <w:lang w:eastAsia="en-GB"/>
            </w:rPr>
          </w:pPr>
          <w:hyperlink w:anchor="_Toc95743425" w:history="1">
            <w:r w:rsidR="004564CB" w:rsidRPr="000E1403">
              <w:rPr>
                <w:rStyle w:val="Hyperlink"/>
                <w:lang w:eastAsia="en-GB"/>
              </w:rPr>
              <w:t>5</w:t>
            </w:r>
            <w:r w:rsidR="004564CB">
              <w:rPr>
                <w:rFonts w:asciiTheme="minorHAnsi" w:eastAsiaTheme="minorEastAsia" w:hAnsiTheme="minorHAnsi" w:cstheme="minorBidi"/>
                <w:bCs w:val="0"/>
                <w:color w:val="auto"/>
                <w:sz w:val="22"/>
                <w:szCs w:val="22"/>
                <w:lang w:eastAsia="en-GB"/>
              </w:rPr>
              <w:tab/>
            </w:r>
            <w:r w:rsidR="004564CB" w:rsidRPr="000E1403">
              <w:rPr>
                <w:rStyle w:val="Hyperlink"/>
                <w:lang w:eastAsia="en-GB"/>
              </w:rPr>
              <w:t>Temporary suspension to patient registration</w:t>
            </w:r>
            <w:r w:rsidR="004564CB">
              <w:rPr>
                <w:webHidden/>
              </w:rPr>
              <w:tab/>
            </w:r>
            <w:r w:rsidR="004564CB">
              <w:rPr>
                <w:webHidden/>
              </w:rPr>
              <w:fldChar w:fldCharType="begin"/>
            </w:r>
            <w:r w:rsidR="004564CB">
              <w:rPr>
                <w:webHidden/>
              </w:rPr>
              <w:instrText xml:space="preserve"> PAGEREF _Toc95743425 \h </w:instrText>
            </w:r>
            <w:r w:rsidR="004564CB">
              <w:rPr>
                <w:webHidden/>
              </w:rPr>
            </w:r>
            <w:r w:rsidR="004564CB">
              <w:rPr>
                <w:webHidden/>
              </w:rPr>
              <w:fldChar w:fldCharType="separate"/>
            </w:r>
            <w:r w:rsidR="00A176C0">
              <w:rPr>
                <w:webHidden/>
              </w:rPr>
              <w:t>171</w:t>
            </w:r>
            <w:r w:rsidR="004564CB">
              <w:rPr>
                <w:webHidden/>
              </w:rPr>
              <w:fldChar w:fldCharType="end"/>
            </w:r>
          </w:hyperlink>
        </w:p>
        <w:p w14:paraId="3D49C573" w14:textId="6E69728E" w:rsidR="004564CB" w:rsidRDefault="000B57EE">
          <w:pPr>
            <w:pStyle w:val="TOC2"/>
            <w:rPr>
              <w:rFonts w:asciiTheme="minorHAnsi" w:eastAsiaTheme="minorEastAsia" w:hAnsiTheme="minorHAnsi" w:cstheme="minorBidi"/>
              <w:bCs w:val="0"/>
              <w:noProof/>
              <w:sz w:val="22"/>
              <w:szCs w:val="22"/>
              <w:lang w:eastAsia="en-GB"/>
            </w:rPr>
          </w:pPr>
          <w:hyperlink w:anchor="_Toc95743426" w:history="1">
            <w:r w:rsidR="004564CB" w:rsidRPr="000E1403">
              <w:rPr>
                <w:rStyle w:val="Hyperlink"/>
                <w:rFonts w:cs="Arial"/>
                <w:noProof/>
                <w14:scene3d>
                  <w14:camera w14:prst="orthographicFront"/>
                  <w14:lightRig w14:rig="threePt" w14:dir="t">
                    <w14:rot w14:lat="0" w14:lon="0" w14:rev="0"/>
                  </w14:lightRig>
                </w14:scene3d>
              </w:rPr>
              <w:t>5.1</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Arial"/>
                <w:noProof/>
              </w:rPr>
              <w:t>Formal List Closure</w:t>
            </w:r>
            <w:r w:rsidR="004564CB">
              <w:rPr>
                <w:noProof/>
                <w:webHidden/>
              </w:rPr>
              <w:tab/>
            </w:r>
            <w:r w:rsidR="004564CB">
              <w:rPr>
                <w:noProof/>
                <w:webHidden/>
              </w:rPr>
              <w:fldChar w:fldCharType="begin"/>
            </w:r>
            <w:r w:rsidR="004564CB">
              <w:rPr>
                <w:noProof/>
                <w:webHidden/>
              </w:rPr>
              <w:instrText xml:space="preserve"> PAGEREF _Toc95743426 \h </w:instrText>
            </w:r>
            <w:r w:rsidR="004564CB">
              <w:rPr>
                <w:noProof/>
                <w:webHidden/>
              </w:rPr>
            </w:r>
            <w:r w:rsidR="004564CB">
              <w:rPr>
                <w:noProof/>
                <w:webHidden/>
              </w:rPr>
              <w:fldChar w:fldCharType="separate"/>
            </w:r>
            <w:r w:rsidR="00A176C0">
              <w:rPr>
                <w:noProof/>
                <w:webHidden/>
              </w:rPr>
              <w:t>171</w:t>
            </w:r>
            <w:r w:rsidR="004564CB">
              <w:rPr>
                <w:noProof/>
                <w:webHidden/>
              </w:rPr>
              <w:fldChar w:fldCharType="end"/>
            </w:r>
          </w:hyperlink>
        </w:p>
        <w:p w14:paraId="52289B3A" w14:textId="567157FB" w:rsidR="004564CB" w:rsidRDefault="000B57EE">
          <w:pPr>
            <w:pStyle w:val="TOC2"/>
            <w:rPr>
              <w:rFonts w:asciiTheme="minorHAnsi" w:eastAsiaTheme="minorEastAsia" w:hAnsiTheme="minorHAnsi" w:cstheme="minorBidi"/>
              <w:bCs w:val="0"/>
              <w:noProof/>
              <w:sz w:val="22"/>
              <w:szCs w:val="22"/>
              <w:lang w:eastAsia="en-GB"/>
            </w:rPr>
          </w:pPr>
          <w:hyperlink w:anchor="_Toc95743427" w:history="1">
            <w:r w:rsidR="004564CB" w:rsidRPr="000E1403">
              <w:rPr>
                <w:rStyle w:val="Hyperlink"/>
                <w:rFonts w:eastAsia="Arial"/>
                <w:noProof/>
                <w14:scene3d>
                  <w14:camera w14:prst="orthographicFront"/>
                  <w14:lightRig w14:rig="threePt" w14:dir="t">
                    <w14:rot w14:lat="0" w14:lon="0" w14:rev="0"/>
                  </w14:lightRig>
                </w14:scene3d>
              </w:rPr>
              <w:t>5.2</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Arial"/>
                <w:noProof/>
              </w:rPr>
              <w:t>‘Informal’ or ‘Temporary’ List closure</w:t>
            </w:r>
            <w:r w:rsidR="004564CB">
              <w:rPr>
                <w:noProof/>
                <w:webHidden/>
              </w:rPr>
              <w:tab/>
            </w:r>
            <w:r w:rsidR="004564CB">
              <w:rPr>
                <w:noProof/>
                <w:webHidden/>
              </w:rPr>
              <w:fldChar w:fldCharType="begin"/>
            </w:r>
            <w:r w:rsidR="004564CB">
              <w:rPr>
                <w:noProof/>
                <w:webHidden/>
              </w:rPr>
              <w:instrText xml:space="preserve"> PAGEREF _Toc95743427 \h </w:instrText>
            </w:r>
            <w:r w:rsidR="004564CB">
              <w:rPr>
                <w:noProof/>
                <w:webHidden/>
              </w:rPr>
            </w:r>
            <w:r w:rsidR="004564CB">
              <w:rPr>
                <w:noProof/>
                <w:webHidden/>
              </w:rPr>
              <w:fldChar w:fldCharType="separate"/>
            </w:r>
            <w:r w:rsidR="00A176C0">
              <w:rPr>
                <w:noProof/>
                <w:webHidden/>
              </w:rPr>
              <w:t>171</w:t>
            </w:r>
            <w:r w:rsidR="004564CB">
              <w:rPr>
                <w:noProof/>
                <w:webHidden/>
              </w:rPr>
              <w:fldChar w:fldCharType="end"/>
            </w:r>
          </w:hyperlink>
        </w:p>
        <w:p w14:paraId="7AD7E0B9" w14:textId="1F26B421" w:rsidR="004564CB" w:rsidRDefault="000B57EE">
          <w:pPr>
            <w:pStyle w:val="TOC2"/>
            <w:rPr>
              <w:rFonts w:asciiTheme="minorHAnsi" w:eastAsiaTheme="minorEastAsia" w:hAnsiTheme="minorHAnsi" w:cstheme="minorBidi"/>
              <w:bCs w:val="0"/>
              <w:noProof/>
              <w:sz w:val="22"/>
              <w:szCs w:val="22"/>
              <w:lang w:eastAsia="en-GB"/>
            </w:rPr>
          </w:pPr>
          <w:hyperlink w:anchor="_Toc95743428" w:history="1">
            <w:r w:rsidR="004564CB" w:rsidRPr="000E1403">
              <w:rPr>
                <w:rStyle w:val="Hyperlink"/>
                <w:rFonts w:eastAsia="Arial"/>
                <w:noProof/>
                <w14:scene3d>
                  <w14:camera w14:prst="orthographicFront"/>
                  <w14:lightRig w14:rig="threePt" w14:dir="t">
                    <w14:rot w14:lat="0" w14:lon="0" w14:rev="0"/>
                  </w14:lightRig>
                </w14:scene3d>
              </w:rPr>
              <w:t>5.3</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Arial"/>
                <w:noProof/>
              </w:rPr>
              <w:t>Overview of current activity</w:t>
            </w:r>
            <w:r w:rsidR="004564CB">
              <w:rPr>
                <w:noProof/>
                <w:webHidden/>
              </w:rPr>
              <w:tab/>
            </w:r>
            <w:r w:rsidR="004564CB">
              <w:rPr>
                <w:noProof/>
                <w:webHidden/>
              </w:rPr>
              <w:fldChar w:fldCharType="begin"/>
            </w:r>
            <w:r w:rsidR="004564CB">
              <w:rPr>
                <w:noProof/>
                <w:webHidden/>
              </w:rPr>
              <w:instrText xml:space="preserve"> PAGEREF _Toc95743428 \h </w:instrText>
            </w:r>
            <w:r w:rsidR="004564CB">
              <w:rPr>
                <w:noProof/>
                <w:webHidden/>
              </w:rPr>
            </w:r>
            <w:r w:rsidR="004564CB">
              <w:rPr>
                <w:noProof/>
                <w:webHidden/>
              </w:rPr>
              <w:fldChar w:fldCharType="separate"/>
            </w:r>
            <w:r w:rsidR="00A176C0">
              <w:rPr>
                <w:noProof/>
                <w:webHidden/>
              </w:rPr>
              <w:t>172</w:t>
            </w:r>
            <w:r w:rsidR="004564CB">
              <w:rPr>
                <w:noProof/>
                <w:webHidden/>
              </w:rPr>
              <w:fldChar w:fldCharType="end"/>
            </w:r>
          </w:hyperlink>
        </w:p>
        <w:p w14:paraId="46D5258C" w14:textId="39D46FD2" w:rsidR="004564CB" w:rsidRDefault="000B57EE">
          <w:pPr>
            <w:pStyle w:val="TOC2"/>
            <w:rPr>
              <w:rFonts w:asciiTheme="minorHAnsi" w:eastAsiaTheme="minorEastAsia" w:hAnsiTheme="minorHAnsi" w:cstheme="minorBidi"/>
              <w:bCs w:val="0"/>
              <w:noProof/>
              <w:sz w:val="22"/>
              <w:szCs w:val="22"/>
              <w:lang w:eastAsia="en-GB"/>
            </w:rPr>
          </w:pPr>
          <w:hyperlink w:anchor="_Toc95743429" w:history="1">
            <w:r w:rsidR="004564CB" w:rsidRPr="000E1403">
              <w:rPr>
                <w:rStyle w:val="Hyperlink"/>
                <w:rFonts w:eastAsia="Arial"/>
                <w:noProof/>
                <w14:scene3d>
                  <w14:camera w14:prst="orthographicFront"/>
                  <w14:lightRig w14:rig="threePt" w14:dir="t">
                    <w14:rot w14:lat="0" w14:lon="0" w14:rev="0"/>
                  </w14:lightRig>
                </w14:scene3d>
              </w:rPr>
              <w:t>5.4</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Arial"/>
                <w:noProof/>
              </w:rPr>
              <w:t>Facts/Principles</w:t>
            </w:r>
            <w:r w:rsidR="004564CB">
              <w:rPr>
                <w:noProof/>
                <w:webHidden/>
              </w:rPr>
              <w:tab/>
            </w:r>
            <w:r w:rsidR="004564CB">
              <w:rPr>
                <w:noProof/>
                <w:webHidden/>
              </w:rPr>
              <w:fldChar w:fldCharType="begin"/>
            </w:r>
            <w:r w:rsidR="004564CB">
              <w:rPr>
                <w:noProof/>
                <w:webHidden/>
              </w:rPr>
              <w:instrText xml:space="preserve"> PAGEREF _Toc95743429 \h </w:instrText>
            </w:r>
            <w:r w:rsidR="004564CB">
              <w:rPr>
                <w:noProof/>
                <w:webHidden/>
              </w:rPr>
            </w:r>
            <w:r w:rsidR="004564CB">
              <w:rPr>
                <w:noProof/>
                <w:webHidden/>
              </w:rPr>
              <w:fldChar w:fldCharType="separate"/>
            </w:r>
            <w:r w:rsidR="00A176C0">
              <w:rPr>
                <w:noProof/>
                <w:webHidden/>
              </w:rPr>
              <w:t>172</w:t>
            </w:r>
            <w:r w:rsidR="004564CB">
              <w:rPr>
                <w:noProof/>
                <w:webHidden/>
              </w:rPr>
              <w:fldChar w:fldCharType="end"/>
            </w:r>
          </w:hyperlink>
        </w:p>
        <w:p w14:paraId="7A0E4DF0" w14:textId="1DBB1B3E" w:rsidR="004564CB" w:rsidRDefault="000B57EE">
          <w:pPr>
            <w:pStyle w:val="TOC2"/>
            <w:rPr>
              <w:rFonts w:asciiTheme="minorHAnsi" w:eastAsiaTheme="minorEastAsia" w:hAnsiTheme="minorHAnsi" w:cstheme="minorBidi"/>
              <w:bCs w:val="0"/>
              <w:noProof/>
              <w:sz w:val="22"/>
              <w:szCs w:val="22"/>
              <w:lang w:eastAsia="en-GB"/>
            </w:rPr>
          </w:pPr>
          <w:hyperlink w:anchor="_Toc95743430" w:history="1">
            <w:r w:rsidR="004564CB" w:rsidRPr="000E1403">
              <w:rPr>
                <w:rStyle w:val="Hyperlink"/>
                <w:rFonts w:eastAsia="Arial"/>
                <w:noProof/>
                <w14:scene3d>
                  <w14:camera w14:prst="orthographicFront"/>
                  <w14:lightRig w14:rig="threePt" w14:dir="t">
                    <w14:rot w14:lat="0" w14:lon="0" w14:rev="0"/>
                  </w14:lightRig>
                </w14:scene3d>
              </w:rPr>
              <w:t>5.5</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Arial"/>
                <w:noProof/>
              </w:rPr>
              <w:t>Issues to be taken into consideration</w:t>
            </w:r>
            <w:r w:rsidR="004564CB">
              <w:rPr>
                <w:noProof/>
                <w:webHidden/>
              </w:rPr>
              <w:tab/>
            </w:r>
            <w:r w:rsidR="004564CB">
              <w:rPr>
                <w:noProof/>
                <w:webHidden/>
              </w:rPr>
              <w:fldChar w:fldCharType="begin"/>
            </w:r>
            <w:r w:rsidR="004564CB">
              <w:rPr>
                <w:noProof/>
                <w:webHidden/>
              </w:rPr>
              <w:instrText xml:space="preserve"> PAGEREF _Toc95743430 \h </w:instrText>
            </w:r>
            <w:r w:rsidR="004564CB">
              <w:rPr>
                <w:noProof/>
                <w:webHidden/>
              </w:rPr>
            </w:r>
            <w:r w:rsidR="004564CB">
              <w:rPr>
                <w:noProof/>
                <w:webHidden/>
              </w:rPr>
              <w:fldChar w:fldCharType="separate"/>
            </w:r>
            <w:r w:rsidR="00A176C0">
              <w:rPr>
                <w:noProof/>
                <w:webHidden/>
              </w:rPr>
              <w:t>173</w:t>
            </w:r>
            <w:r w:rsidR="004564CB">
              <w:rPr>
                <w:noProof/>
                <w:webHidden/>
              </w:rPr>
              <w:fldChar w:fldCharType="end"/>
            </w:r>
          </w:hyperlink>
        </w:p>
        <w:p w14:paraId="11D0E77A" w14:textId="33A1191A" w:rsidR="004564CB" w:rsidRDefault="000B57EE">
          <w:pPr>
            <w:pStyle w:val="TOC2"/>
            <w:rPr>
              <w:rFonts w:asciiTheme="minorHAnsi" w:eastAsiaTheme="minorEastAsia" w:hAnsiTheme="minorHAnsi" w:cstheme="minorBidi"/>
              <w:bCs w:val="0"/>
              <w:noProof/>
              <w:sz w:val="22"/>
              <w:szCs w:val="22"/>
              <w:lang w:eastAsia="en-GB"/>
            </w:rPr>
          </w:pPr>
          <w:hyperlink w:anchor="_Toc95743431" w:history="1">
            <w:r w:rsidR="004564CB" w:rsidRPr="000E1403">
              <w:rPr>
                <w:rStyle w:val="Hyperlink"/>
                <w:rFonts w:eastAsia="Arial"/>
                <w:noProof/>
                <w14:scene3d>
                  <w14:camera w14:prst="orthographicFront"/>
                  <w14:lightRig w14:rig="threePt" w14:dir="t">
                    <w14:rot w14:lat="0" w14:lon="0" w14:rev="0"/>
                  </w14:lightRig>
                </w14:scene3d>
              </w:rPr>
              <w:t>5.6</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Arial"/>
                <w:noProof/>
              </w:rPr>
              <w:t>Process to be adopted</w:t>
            </w:r>
            <w:r w:rsidR="004564CB">
              <w:rPr>
                <w:noProof/>
                <w:webHidden/>
              </w:rPr>
              <w:tab/>
            </w:r>
            <w:r w:rsidR="004564CB">
              <w:rPr>
                <w:noProof/>
                <w:webHidden/>
              </w:rPr>
              <w:fldChar w:fldCharType="begin"/>
            </w:r>
            <w:r w:rsidR="004564CB">
              <w:rPr>
                <w:noProof/>
                <w:webHidden/>
              </w:rPr>
              <w:instrText xml:space="preserve"> PAGEREF _Toc95743431 \h </w:instrText>
            </w:r>
            <w:r w:rsidR="004564CB">
              <w:rPr>
                <w:noProof/>
                <w:webHidden/>
              </w:rPr>
            </w:r>
            <w:r w:rsidR="004564CB">
              <w:rPr>
                <w:noProof/>
                <w:webHidden/>
              </w:rPr>
              <w:fldChar w:fldCharType="separate"/>
            </w:r>
            <w:r w:rsidR="00A176C0">
              <w:rPr>
                <w:noProof/>
                <w:webHidden/>
              </w:rPr>
              <w:t>175</w:t>
            </w:r>
            <w:r w:rsidR="004564CB">
              <w:rPr>
                <w:noProof/>
                <w:webHidden/>
              </w:rPr>
              <w:fldChar w:fldCharType="end"/>
            </w:r>
          </w:hyperlink>
        </w:p>
        <w:p w14:paraId="164CED65" w14:textId="6B5B663A" w:rsidR="004564CB" w:rsidRDefault="000B57EE">
          <w:pPr>
            <w:pStyle w:val="TOC2"/>
            <w:rPr>
              <w:rFonts w:asciiTheme="minorHAnsi" w:eastAsiaTheme="minorEastAsia" w:hAnsiTheme="minorHAnsi" w:cstheme="minorBidi"/>
              <w:bCs w:val="0"/>
              <w:noProof/>
              <w:sz w:val="22"/>
              <w:szCs w:val="22"/>
              <w:lang w:eastAsia="en-GB"/>
            </w:rPr>
          </w:pPr>
          <w:hyperlink w:anchor="_Toc95743432" w:history="1">
            <w:r w:rsidR="004564CB" w:rsidRPr="000E1403">
              <w:rPr>
                <w:rStyle w:val="Hyperlink"/>
                <w:rFonts w:eastAsia="Arial"/>
                <w:noProof/>
                <w14:scene3d>
                  <w14:camera w14:prst="orthographicFront"/>
                  <w14:lightRig w14:rig="threePt" w14:dir="t">
                    <w14:rot w14:lat="0" w14:lon="0" w14:rev="0"/>
                  </w14:lightRig>
                </w14:scene3d>
              </w:rPr>
              <w:t>5.7</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Arial"/>
                <w:noProof/>
              </w:rPr>
              <w:t>Appendix A; GMS paragraph 21 of Part 2 of Schedule 3</w:t>
            </w:r>
            <w:r w:rsidR="004564CB">
              <w:rPr>
                <w:noProof/>
                <w:webHidden/>
              </w:rPr>
              <w:tab/>
            </w:r>
            <w:r w:rsidR="004564CB">
              <w:rPr>
                <w:noProof/>
                <w:webHidden/>
              </w:rPr>
              <w:fldChar w:fldCharType="begin"/>
            </w:r>
            <w:r w:rsidR="004564CB">
              <w:rPr>
                <w:noProof/>
                <w:webHidden/>
              </w:rPr>
              <w:instrText xml:space="preserve"> PAGEREF _Toc95743432 \h </w:instrText>
            </w:r>
            <w:r w:rsidR="004564CB">
              <w:rPr>
                <w:noProof/>
                <w:webHidden/>
              </w:rPr>
            </w:r>
            <w:r w:rsidR="004564CB">
              <w:rPr>
                <w:noProof/>
                <w:webHidden/>
              </w:rPr>
              <w:fldChar w:fldCharType="separate"/>
            </w:r>
            <w:r w:rsidR="00A176C0">
              <w:rPr>
                <w:noProof/>
                <w:webHidden/>
              </w:rPr>
              <w:t>177</w:t>
            </w:r>
            <w:r w:rsidR="004564CB">
              <w:rPr>
                <w:noProof/>
                <w:webHidden/>
              </w:rPr>
              <w:fldChar w:fldCharType="end"/>
            </w:r>
          </w:hyperlink>
        </w:p>
        <w:p w14:paraId="203BE667" w14:textId="6D891EE1" w:rsidR="004564CB" w:rsidRDefault="000B57EE">
          <w:pPr>
            <w:pStyle w:val="TOC1"/>
            <w:rPr>
              <w:rFonts w:asciiTheme="minorHAnsi" w:eastAsiaTheme="minorEastAsia" w:hAnsiTheme="minorHAnsi" w:cstheme="minorBidi"/>
              <w:bCs w:val="0"/>
              <w:color w:val="auto"/>
              <w:sz w:val="22"/>
              <w:szCs w:val="22"/>
              <w:lang w:eastAsia="en-GB"/>
            </w:rPr>
          </w:pPr>
          <w:hyperlink w:anchor="_Toc95743433" w:history="1">
            <w:r w:rsidR="004564CB" w:rsidRPr="000E1403">
              <w:rPr>
                <w:rStyle w:val="Hyperlink"/>
              </w:rPr>
              <w:t>6</w:t>
            </w:r>
            <w:r w:rsidR="004564CB">
              <w:rPr>
                <w:rFonts w:asciiTheme="minorHAnsi" w:eastAsiaTheme="minorEastAsia" w:hAnsiTheme="minorHAnsi" w:cstheme="minorBidi"/>
                <w:bCs w:val="0"/>
                <w:color w:val="auto"/>
                <w:sz w:val="22"/>
                <w:szCs w:val="22"/>
                <w:lang w:eastAsia="en-GB"/>
              </w:rPr>
              <w:tab/>
            </w:r>
            <w:r w:rsidR="004564CB" w:rsidRPr="000E1403">
              <w:rPr>
                <w:rStyle w:val="Hyperlink"/>
                <w:highlight w:val="yellow"/>
              </w:rPr>
              <w:t>Managing [non-violent] inappropriate and unacceptable patient behaviours, including protecting against discrimination, harassment or victimisation.</w:t>
            </w:r>
            <w:r w:rsidR="004564CB">
              <w:rPr>
                <w:webHidden/>
              </w:rPr>
              <w:tab/>
            </w:r>
            <w:r w:rsidR="004564CB">
              <w:rPr>
                <w:webHidden/>
              </w:rPr>
              <w:fldChar w:fldCharType="begin"/>
            </w:r>
            <w:r w:rsidR="004564CB">
              <w:rPr>
                <w:webHidden/>
              </w:rPr>
              <w:instrText xml:space="preserve"> PAGEREF _Toc95743433 \h </w:instrText>
            </w:r>
            <w:r w:rsidR="004564CB">
              <w:rPr>
                <w:webHidden/>
              </w:rPr>
            </w:r>
            <w:r w:rsidR="004564CB">
              <w:rPr>
                <w:webHidden/>
              </w:rPr>
              <w:fldChar w:fldCharType="separate"/>
            </w:r>
            <w:r w:rsidR="00A176C0">
              <w:rPr>
                <w:webHidden/>
              </w:rPr>
              <w:t>178</w:t>
            </w:r>
            <w:r w:rsidR="004564CB">
              <w:rPr>
                <w:webHidden/>
              </w:rPr>
              <w:fldChar w:fldCharType="end"/>
            </w:r>
          </w:hyperlink>
        </w:p>
        <w:p w14:paraId="3502C56D" w14:textId="576505DF" w:rsidR="004564CB" w:rsidRDefault="000B57EE">
          <w:pPr>
            <w:pStyle w:val="TOC2"/>
            <w:rPr>
              <w:rFonts w:asciiTheme="minorHAnsi" w:eastAsiaTheme="minorEastAsia" w:hAnsiTheme="minorHAnsi" w:cstheme="minorBidi"/>
              <w:bCs w:val="0"/>
              <w:noProof/>
              <w:sz w:val="22"/>
              <w:szCs w:val="22"/>
              <w:lang w:eastAsia="en-GB"/>
            </w:rPr>
          </w:pPr>
          <w:hyperlink w:anchor="_Toc95743434" w:history="1">
            <w:r w:rsidR="004564CB" w:rsidRPr="000E1403">
              <w:rPr>
                <w:rStyle w:val="Hyperlink"/>
                <w:b/>
                <w:iCs/>
                <w:noProof/>
                <w:lang w:eastAsia="en-GB"/>
              </w:rPr>
              <w:t>6.3</w:t>
            </w:r>
            <w:r w:rsidR="004564CB">
              <w:rPr>
                <w:rFonts w:asciiTheme="minorHAnsi" w:eastAsiaTheme="minorEastAsia" w:hAnsiTheme="minorHAnsi" w:cstheme="minorBidi"/>
                <w:bCs w:val="0"/>
                <w:noProof/>
                <w:sz w:val="22"/>
                <w:szCs w:val="22"/>
                <w:lang w:eastAsia="en-GB"/>
              </w:rPr>
              <w:tab/>
            </w:r>
            <w:r w:rsidR="004564CB" w:rsidRPr="000E1403">
              <w:rPr>
                <w:rStyle w:val="Hyperlink"/>
                <w:b/>
                <w:iCs/>
                <w:noProof/>
                <w:lang w:eastAsia="en-GB"/>
              </w:rPr>
              <w:t>The scope of inappropriate and unacceptable patient behaviours.</w:t>
            </w:r>
            <w:r w:rsidR="004564CB">
              <w:rPr>
                <w:noProof/>
                <w:webHidden/>
              </w:rPr>
              <w:tab/>
            </w:r>
            <w:r w:rsidR="004564CB">
              <w:rPr>
                <w:noProof/>
                <w:webHidden/>
              </w:rPr>
              <w:fldChar w:fldCharType="begin"/>
            </w:r>
            <w:r w:rsidR="004564CB">
              <w:rPr>
                <w:noProof/>
                <w:webHidden/>
              </w:rPr>
              <w:instrText xml:space="preserve"> PAGEREF _Toc95743434 \h </w:instrText>
            </w:r>
            <w:r w:rsidR="004564CB">
              <w:rPr>
                <w:noProof/>
                <w:webHidden/>
              </w:rPr>
            </w:r>
            <w:r w:rsidR="004564CB">
              <w:rPr>
                <w:noProof/>
                <w:webHidden/>
              </w:rPr>
              <w:fldChar w:fldCharType="separate"/>
            </w:r>
            <w:r w:rsidR="00A176C0">
              <w:rPr>
                <w:noProof/>
                <w:webHidden/>
              </w:rPr>
              <w:t>178</w:t>
            </w:r>
            <w:r w:rsidR="004564CB">
              <w:rPr>
                <w:noProof/>
                <w:webHidden/>
              </w:rPr>
              <w:fldChar w:fldCharType="end"/>
            </w:r>
          </w:hyperlink>
        </w:p>
        <w:p w14:paraId="465CAF6E" w14:textId="7F51E389" w:rsidR="004564CB" w:rsidRDefault="000B57EE">
          <w:pPr>
            <w:pStyle w:val="TOC2"/>
            <w:rPr>
              <w:rFonts w:asciiTheme="minorHAnsi" w:eastAsiaTheme="minorEastAsia" w:hAnsiTheme="minorHAnsi" w:cstheme="minorBidi"/>
              <w:bCs w:val="0"/>
              <w:noProof/>
              <w:sz w:val="22"/>
              <w:szCs w:val="22"/>
              <w:lang w:eastAsia="en-GB"/>
            </w:rPr>
          </w:pPr>
          <w:hyperlink w:anchor="_Toc95743435" w:history="1">
            <w:r w:rsidR="004564CB" w:rsidRPr="000E1403">
              <w:rPr>
                <w:rStyle w:val="Hyperlink"/>
                <w:b/>
                <w:iCs/>
                <w:noProof/>
              </w:rPr>
              <w:t>6.4</w:t>
            </w:r>
            <w:r w:rsidR="004564CB">
              <w:rPr>
                <w:rFonts w:asciiTheme="minorHAnsi" w:eastAsiaTheme="minorEastAsia" w:hAnsiTheme="minorHAnsi" w:cstheme="minorBidi"/>
                <w:bCs w:val="0"/>
                <w:noProof/>
                <w:sz w:val="22"/>
                <w:szCs w:val="22"/>
                <w:lang w:eastAsia="en-GB"/>
              </w:rPr>
              <w:tab/>
            </w:r>
            <w:r w:rsidR="004564CB" w:rsidRPr="000E1403">
              <w:rPr>
                <w:rStyle w:val="Hyperlink"/>
                <w:b/>
                <w:iCs/>
                <w:noProof/>
              </w:rPr>
              <w:t>Contract regulations and managing inappropriate and unacceptable patient behaviours</w:t>
            </w:r>
            <w:r w:rsidR="004564CB">
              <w:rPr>
                <w:noProof/>
                <w:webHidden/>
              </w:rPr>
              <w:tab/>
            </w:r>
            <w:r w:rsidR="004564CB">
              <w:rPr>
                <w:noProof/>
                <w:webHidden/>
              </w:rPr>
              <w:fldChar w:fldCharType="begin"/>
            </w:r>
            <w:r w:rsidR="004564CB">
              <w:rPr>
                <w:noProof/>
                <w:webHidden/>
              </w:rPr>
              <w:instrText xml:space="preserve"> PAGEREF _Toc95743435 \h </w:instrText>
            </w:r>
            <w:r w:rsidR="004564CB">
              <w:rPr>
                <w:noProof/>
                <w:webHidden/>
              </w:rPr>
            </w:r>
            <w:r w:rsidR="004564CB">
              <w:rPr>
                <w:noProof/>
                <w:webHidden/>
              </w:rPr>
              <w:fldChar w:fldCharType="separate"/>
            </w:r>
            <w:r w:rsidR="00A176C0">
              <w:rPr>
                <w:noProof/>
                <w:webHidden/>
              </w:rPr>
              <w:t>180</w:t>
            </w:r>
            <w:r w:rsidR="004564CB">
              <w:rPr>
                <w:noProof/>
                <w:webHidden/>
              </w:rPr>
              <w:fldChar w:fldCharType="end"/>
            </w:r>
          </w:hyperlink>
        </w:p>
        <w:p w14:paraId="6CC2D7B7" w14:textId="6AA3A4D4" w:rsidR="004564CB" w:rsidRDefault="000B57EE">
          <w:pPr>
            <w:pStyle w:val="TOC2"/>
            <w:rPr>
              <w:rFonts w:asciiTheme="minorHAnsi" w:eastAsiaTheme="minorEastAsia" w:hAnsiTheme="minorHAnsi" w:cstheme="minorBidi"/>
              <w:bCs w:val="0"/>
              <w:noProof/>
              <w:sz w:val="22"/>
              <w:szCs w:val="22"/>
              <w:lang w:eastAsia="en-GB"/>
            </w:rPr>
          </w:pPr>
          <w:hyperlink w:anchor="_Toc95743436" w:history="1">
            <w:r w:rsidR="004564CB" w:rsidRPr="000E1403">
              <w:rPr>
                <w:rStyle w:val="Hyperlink"/>
                <w:b/>
                <w:iCs/>
                <w:noProof/>
              </w:rPr>
              <w:t>6.5</w:t>
            </w:r>
            <w:r w:rsidR="004564CB">
              <w:rPr>
                <w:rFonts w:asciiTheme="minorHAnsi" w:eastAsiaTheme="minorEastAsia" w:hAnsiTheme="minorHAnsi" w:cstheme="minorBidi"/>
                <w:bCs w:val="0"/>
                <w:noProof/>
                <w:sz w:val="22"/>
                <w:szCs w:val="22"/>
                <w:lang w:eastAsia="en-GB"/>
              </w:rPr>
              <w:tab/>
            </w:r>
            <w:r w:rsidR="004564CB" w:rsidRPr="000E1403">
              <w:rPr>
                <w:rStyle w:val="Hyperlink"/>
                <w:b/>
                <w:iCs/>
                <w:noProof/>
                <w:lang w:eastAsia="en-GB"/>
              </w:rPr>
              <w:t>The process for managing inappropriate and unacceptable behaviours</w:t>
            </w:r>
            <w:r w:rsidR="004564CB">
              <w:rPr>
                <w:noProof/>
                <w:webHidden/>
              </w:rPr>
              <w:tab/>
            </w:r>
            <w:r w:rsidR="004564CB">
              <w:rPr>
                <w:noProof/>
                <w:webHidden/>
              </w:rPr>
              <w:fldChar w:fldCharType="begin"/>
            </w:r>
            <w:r w:rsidR="004564CB">
              <w:rPr>
                <w:noProof/>
                <w:webHidden/>
              </w:rPr>
              <w:instrText xml:space="preserve"> PAGEREF _Toc95743436 \h </w:instrText>
            </w:r>
            <w:r w:rsidR="004564CB">
              <w:rPr>
                <w:noProof/>
                <w:webHidden/>
              </w:rPr>
            </w:r>
            <w:r w:rsidR="004564CB">
              <w:rPr>
                <w:noProof/>
                <w:webHidden/>
              </w:rPr>
              <w:fldChar w:fldCharType="separate"/>
            </w:r>
            <w:r w:rsidR="00A176C0">
              <w:rPr>
                <w:noProof/>
                <w:webHidden/>
              </w:rPr>
              <w:t>181</w:t>
            </w:r>
            <w:r w:rsidR="004564CB">
              <w:rPr>
                <w:noProof/>
                <w:webHidden/>
              </w:rPr>
              <w:fldChar w:fldCharType="end"/>
            </w:r>
          </w:hyperlink>
        </w:p>
        <w:p w14:paraId="09DA6FA2" w14:textId="0FEE2C0F" w:rsidR="004564CB" w:rsidRDefault="000B57EE">
          <w:pPr>
            <w:pStyle w:val="TOC2"/>
            <w:rPr>
              <w:rFonts w:asciiTheme="minorHAnsi" w:eastAsiaTheme="minorEastAsia" w:hAnsiTheme="minorHAnsi" w:cstheme="minorBidi"/>
              <w:bCs w:val="0"/>
              <w:noProof/>
              <w:sz w:val="22"/>
              <w:szCs w:val="22"/>
              <w:lang w:eastAsia="en-GB"/>
            </w:rPr>
          </w:pPr>
          <w:hyperlink w:anchor="_Toc95743437" w:history="1">
            <w:r w:rsidR="004564CB" w:rsidRPr="000E1403">
              <w:rPr>
                <w:rStyle w:val="Hyperlink"/>
                <w:b/>
                <w:iCs/>
                <w:noProof/>
                <w:lang w:eastAsia="en-GB"/>
              </w:rPr>
              <w:t>6.6</w:t>
            </w:r>
            <w:r w:rsidR="004564CB">
              <w:rPr>
                <w:rFonts w:asciiTheme="minorHAnsi" w:eastAsiaTheme="minorEastAsia" w:hAnsiTheme="minorHAnsi" w:cstheme="minorBidi"/>
                <w:bCs w:val="0"/>
                <w:noProof/>
                <w:sz w:val="22"/>
                <w:szCs w:val="22"/>
                <w:lang w:eastAsia="en-GB"/>
              </w:rPr>
              <w:tab/>
            </w:r>
            <w:r w:rsidR="004564CB" w:rsidRPr="000E1403">
              <w:rPr>
                <w:rStyle w:val="Hyperlink"/>
                <w:b/>
                <w:iCs/>
                <w:noProof/>
                <w:lang w:eastAsia="en-GB"/>
              </w:rPr>
              <w:t>Considerations for ensuring ongoing access for patients removed from a practice patient list due in inappropriate and unacceptable patient behaviours.</w:t>
            </w:r>
            <w:r w:rsidR="004564CB">
              <w:rPr>
                <w:noProof/>
                <w:webHidden/>
              </w:rPr>
              <w:tab/>
            </w:r>
            <w:r w:rsidR="004564CB">
              <w:rPr>
                <w:noProof/>
                <w:webHidden/>
              </w:rPr>
              <w:fldChar w:fldCharType="begin"/>
            </w:r>
            <w:r w:rsidR="004564CB">
              <w:rPr>
                <w:noProof/>
                <w:webHidden/>
              </w:rPr>
              <w:instrText xml:space="preserve"> PAGEREF _Toc95743437 \h </w:instrText>
            </w:r>
            <w:r w:rsidR="004564CB">
              <w:rPr>
                <w:noProof/>
                <w:webHidden/>
              </w:rPr>
            </w:r>
            <w:r w:rsidR="004564CB">
              <w:rPr>
                <w:noProof/>
                <w:webHidden/>
              </w:rPr>
              <w:fldChar w:fldCharType="separate"/>
            </w:r>
            <w:r w:rsidR="00A176C0">
              <w:rPr>
                <w:noProof/>
                <w:webHidden/>
              </w:rPr>
              <w:t>183</w:t>
            </w:r>
            <w:r w:rsidR="004564CB">
              <w:rPr>
                <w:noProof/>
                <w:webHidden/>
              </w:rPr>
              <w:fldChar w:fldCharType="end"/>
            </w:r>
          </w:hyperlink>
        </w:p>
        <w:p w14:paraId="1BF95FE9" w14:textId="7A00B402" w:rsidR="004564CB" w:rsidRDefault="000B57EE">
          <w:pPr>
            <w:pStyle w:val="TOC1"/>
            <w:rPr>
              <w:rFonts w:asciiTheme="minorHAnsi" w:eastAsiaTheme="minorEastAsia" w:hAnsiTheme="minorHAnsi" w:cstheme="minorBidi"/>
              <w:bCs w:val="0"/>
              <w:color w:val="auto"/>
              <w:sz w:val="22"/>
              <w:szCs w:val="22"/>
              <w:lang w:eastAsia="en-GB"/>
            </w:rPr>
          </w:pPr>
          <w:hyperlink w:anchor="_Toc95743438" w:history="1">
            <w:r w:rsidR="004564CB" w:rsidRPr="000E1403">
              <w:rPr>
                <w:rStyle w:val="Hyperlink"/>
              </w:rPr>
              <w:t>7 Managing Violent Patients - Special Allocation Scheme (SAS)</w:t>
            </w:r>
            <w:r w:rsidR="004564CB">
              <w:rPr>
                <w:webHidden/>
              </w:rPr>
              <w:tab/>
            </w:r>
            <w:r w:rsidR="004564CB">
              <w:rPr>
                <w:webHidden/>
              </w:rPr>
              <w:fldChar w:fldCharType="begin"/>
            </w:r>
            <w:r w:rsidR="004564CB">
              <w:rPr>
                <w:webHidden/>
              </w:rPr>
              <w:instrText xml:space="preserve"> PAGEREF _Toc95743438 \h </w:instrText>
            </w:r>
            <w:r w:rsidR="004564CB">
              <w:rPr>
                <w:webHidden/>
              </w:rPr>
            </w:r>
            <w:r w:rsidR="004564CB">
              <w:rPr>
                <w:webHidden/>
              </w:rPr>
              <w:fldChar w:fldCharType="separate"/>
            </w:r>
            <w:r w:rsidR="00A176C0">
              <w:rPr>
                <w:webHidden/>
              </w:rPr>
              <w:t>185</w:t>
            </w:r>
            <w:r w:rsidR="004564CB">
              <w:rPr>
                <w:webHidden/>
              </w:rPr>
              <w:fldChar w:fldCharType="end"/>
            </w:r>
          </w:hyperlink>
        </w:p>
        <w:p w14:paraId="48E1411D" w14:textId="0C2F4ECD" w:rsidR="004564CB" w:rsidRDefault="000B57EE">
          <w:pPr>
            <w:pStyle w:val="TOC2"/>
            <w:rPr>
              <w:rFonts w:asciiTheme="minorHAnsi" w:eastAsiaTheme="minorEastAsia" w:hAnsiTheme="minorHAnsi" w:cstheme="minorBidi"/>
              <w:bCs w:val="0"/>
              <w:noProof/>
              <w:sz w:val="22"/>
              <w:szCs w:val="22"/>
              <w:lang w:eastAsia="en-GB"/>
            </w:rPr>
          </w:pPr>
          <w:hyperlink w:anchor="_Toc95743439" w:history="1">
            <w:r w:rsidR="004564CB" w:rsidRPr="000E1403">
              <w:rPr>
                <w:rStyle w:val="Hyperlink"/>
                <w:noProof/>
                <w14:scene3d>
                  <w14:camera w14:prst="orthographicFront"/>
                  <w14:lightRig w14:rig="threePt" w14:dir="t">
                    <w14:rot w14:lat="0" w14:lon="0" w14:rev="0"/>
                  </w14:lightRig>
                </w14:scene3d>
              </w:rPr>
              <w:t>7.1</w:t>
            </w:r>
            <w:r w:rsidR="004564CB">
              <w:rPr>
                <w:rFonts w:asciiTheme="minorHAnsi" w:eastAsiaTheme="minorEastAsia" w:hAnsiTheme="minorHAnsi" w:cstheme="minorBidi"/>
                <w:bCs w:val="0"/>
                <w:noProof/>
                <w:sz w:val="22"/>
                <w:szCs w:val="22"/>
                <w:lang w:eastAsia="en-GB"/>
              </w:rPr>
              <w:tab/>
            </w:r>
            <w:r w:rsidR="004564CB" w:rsidRPr="000E1403">
              <w:rPr>
                <w:rStyle w:val="Hyperlink"/>
                <w:b/>
                <w:iCs/>
                <w:noProof/>
              </w:rPr>
              <w:t>Executive Summary and Key Messages</w:t>
            </w:r>
            <w:r w:rsidR="004564CB">
              <w:rPr>
                <w:noProof/>
                <w:webHidden/>
              </w:rPr>
              <w:tab/>
            </w:r>
            <w:r w:rsidR="004564CB">
              <w:rPr>
                <w:noProof/>
                <w:webHidden/>
              </w:rPr>
              <w:fldChar w:fldCharType="begin"/>
            </w:r>
            <w:r w:rsidR="004564CB">
              <w:rPr>
                <w:noProof/>
                <w:webHidden/>
              </w:rPr>
              <w:instrText xml:space="preserve"> PAGEREF _Toc95743439 \h </w:instrText>
            </w:r>
            <w:r w:rsidR="004564CB">
              <w:rPr>
                <w:noProof/>
                <w:webHidden/>
              </w:rPr>
            </w:r>
            <w:r w:rsidR="004564CB">
              <w:rPr>
                <w:noProof/>
                <w:webHidden/>
              </w:rPr>
              <w:fldChar w:fldCharType="separate"/>
            </w:r>
            <w:r w:rsidR="00A176C0">
              <w:rPr>
                <w:noProof/>
                <w:webHidden/>
              </w:rPr>
              <w:t>185</w:t>
            </w:r>
            <w:r w:rsidR="004564CB">
              <w:rPr>
                <w:noProof/>
                <w:webHidden/>
              </w:rPr>
              <w:fldChar w:fldCharType="end"/>
            </w:r>
          </w:hyperlink>
        </w:p>
        <w:p w14:paraId="048BDCB7" w14:textId="2DC588E4" w:rsidR="004564CB" w:rsidRDefault="000B57EE">
          <w:pPr>
            <w:pStyle w:val="TOC2"/>
            <w:rPr>
              <w:rFonts w:asciiTheme="minorHAnsi" w:eastAsiaTheme="minorEastAsia" w:hAnsiTheme="minorHAnsi" w:cstheme="minorBidi"/>
              <w:bCs w:val="0"/>
              <w:noProof/>
              <w:sz w:val="22"/>
              <w:szCs w:val="22"/>
              <w:lang w:eastAsia="en-GB"/>
            </w:rPr>
          </w:pPr>
          <w:hyperlink w:anchor="_Toc95743440" w:history="1">
            <w:r w:rsidR="004564CB" w:rsidRPr="000E1403">
              <w:rPr>
                <w:rStyle w:val="Hyperlink"/>
                <w:noProof/>
                <w14:scene3d>
                  <w14:camera w14:prst="orthographicFront"/>
                  <w14:lightRig w14:rig="threePt" w14:dir="t">
                    <w14:rot w14:lat="0" w14:lon="0" w14:rev="0"/>
                  </w14:lightRig>
                </w14:scene3d>
              </w:rPr>
              <w:t>7.2</w:t>
            </w:r>
            <w:r w:rsidR="004564CB">
              <w:rPr>
                <w:rFonts w:asciiTheme="minorHAnsi" w:eastAsiaTheme="minorEastAsia" w:hAnsiTheme="minorHAnsi" w:cstheme="minorBidi"/>
                <w:bCs w:val="0"/>
                <w:noProof/>
                <w:sz w:val="22"/>
                <w:szCs w:val="22"/>
                <w:lang w:eastAsia="en-GB"/>
              </w:rPr>
              <w:tab/>
            </w:r>
            <w:r w:rsidR="004564CB" w:rsidRPr="000E1403">
              <w:rPr>
                <w:rStyle w:val="Hyperlink"/>
                <w:b/>
                <w:iCs/>
                <w:noProof/>
              </w:rPr>
              <w:t>Introduction</w:t>
            </w:r>
            <w:r w:rsidR="004564CB">
              <w:rPr>
                <w:noProof/>
                <w:webHidden/>
              </w:rPr>
              <w:tab/>
            </w:r>
            <w:r w:rsidR="004564CB">
              <w:rPr>
                <w:noProof/>
                <w:webHidden/>
              </w:rPr>
              <w:fldChar w:fldCharType="begin"/>
            </w:r>
            <w:r w:rsidR="004564CB">
              <w:rPr>
                <w:noProof/>
                <w:webHidden/>
              </w:rPr>
              <w:instrText xml:space="preserve"> PAGEREF _Toc95743440 \h </w:instrText>
            </w:r>
            <w:r w:rsidR="004564CB">
              <w:rPr>
                <w:noProof/>
                <w:webHidden/>
              </w:rPr>
            </w:r>
            <w:r w:rsidR="004564CB">
              <w:rPr>
                <w:noProof/>
                <w:webHidden/>
              </w:rPr>
              <w:fldChar w:fldCharType="separate"/>
            </w:r>
            <w:r w:rsidR="00A176C0">
              <w:rPr>
                <w:noProof/>
                <w:webHidden/>
              </w:rPr>
              <w:t>188</w:t>
            </w:r>
            <w:r w:rsidR="004564CB">
              <w:rPr>
                <w:noProof/>
                <w:webHidden/>
              </w:rPr>
              <w:fldChar w:fldCharType="end"/>
            </w:r>
          </w:hyperlink>
        </w:p>
        <w:p w14:paraId="049F1088" w14:textId="2352D566" w:rsidR="004564CB" w:rsidRDefault="000B57EE">
          <w:pPr>
            <w:pStyle w:val="TOC2"/>
            <w:rPr>
              <w:rFonts w:asciiTheme="minorHAnsi" w:eastAsiaTheme="minorEastAsia" w:hAnsiTheme="minorHAnsi" w:cstheme="minorBidi"/>
              <w:bCs w:val="0"/>
              <w:noProof/>
              <w:sz w:val="22"/>
              <w:szCs w:val="22"/>
              <w:lang w:eastAsia="en-GB"/>
            </w:rPr>
          </w:pPr>
          <w:hyperlink w:anchor="_Toc95743441" w:history="1">
            <w:r w:rsidR="004564CB" w:rsidRPr="000E1403">
              <w:rPr>
                <w:rStyle w:val="Hyperlink"/>
                <w:rFonts w:cs="Arial"/>
                <w:noProof/>
                <w14:scene3d>
                  <w14:camera w14:prst="orthographicFront"/>
                  <w14:lightRig w14:rig="threePt" w14:dir="t">
                    <w14:rot w14:lat="0" w14:lon="0" w14:rev="0"/>
                  </w14:lightRig>
                </w14:scene3d>
              </w:rPr>
              <w:t>7.3</w:t>
            </w:r>
            <w:r w:rsidR="004564CB">
              <w:rPr>
                <w:rFonts w:asciiTheme="minorHAnsi" w:eastAsiaTheme="minorEastAsia" w:hAnsiTheme="minorHAnsi" w:cstheme="minorBidi"/>
                <w:bCs w:val="0"/>
                <w:noProof/>
                <w:sz w:val="22"/>
                <w:szCs w:val="22"/>
                <w:lang w:eastAsia="en-GB"/>
              </w:rPr>
              <w:tab/>
            </w:r>
            <w:r w:rsidR="004564CB" w:rsidRPr="000E1403">
              <w:rPr>
                <w:rStyle w:val="Hyperlink"/>
                <w:b/>
                <w:iCs/>
                <w:noProof/>
              </w:rPr>
              <w:t>Commissioning a robust SAS</w:t>
            </w:r>
            <w:r w:rsidR="004564CB">
              <w:rPr>
                <w:noProof/>
                <w:webHidden/>
              </w:rPr>
              <w:tab/>
            </w:r>
            <w:r w:rsidR="004564CB">
              <w:rPr>
                <w:noProof/>
                <w:webHidden/>
              </w:rPr>
              <w:fldChar w:fldCharType="begin"/>
            </w:r>
            <w:r w:rsidR="004564CB">
              <w:rPr>
                <w:noProof/>
                <w:webHidden/>
              </w:rPr>
              <w:instrText xml:space="preserve"> PAGEREF _Toc95743441 \h </w:instrText>
            </w:r>
            <w:r w:rsidR="004564CB">
              <w:rPr>
                <w:noProof/>
                <w:webHidden/>
              </w:rPr>
            </w:r>
            <w:r w:rsidR="004564CB">
              <w:rPr>
                <w:noProof/>
                <w:webHidden/>
              </w:rPr>
              <w:fldChar w:fldCharType="separate"/>
            </w:r>
            <w:r w:rsidR="00A176C0">
              <w:rPr>
                <w:noProof/>
                <w:webHidden/>
              </w:rPr>
              <w:t>191</w:t>
            </w:r>
            <w:r w:rsidR="004564CB">
              <w:rPr>
                <w:noProof/>
                <w:webHidden/>
              </w:rPr>
              <w:fldChar w:fldCharType="end"/>
            </w:r>
          </w:hyperlink>
        </w:p>
        <w:p w14:paraId="6549DFC9" w14:textId="1E4DDBDE" w:rsidR="004564CB" w:rsidRDefault="000B57EE">
          <w:pPr>
            <w:pStyle w:val="TOC2"/>
            <w:rPr>
              <w:rFonts w:asciiTheme="minorHAnsi" w:eastAsiaTheme="minorEastAsia" w:hAnsiTheme="minorHAnsi" w:cstheme="minorBidi"/>
              <w:bCs w:val="0"/>
              <w:noProof/>
              <w:sz w:val="22"/>
              <w:szCs w:val="22"/>
              <w:lang w:eastAsia="en-GB"/>
            </w:rPr>
          </w:pPr>
          <w:hyperlink w:anchor="_Toc95743442" w:history="1">
            <w:r w:rsidR="004564CB" w:rsidRPr="000E1403">
              <w:rPr>
                <w:rStyle w:val="Hyperlink"/>
                <w:noProof/>
                <w14:scene3d>
                  <w14:camera w14:prst="orthographicFront"/>
                  <w14:lightRig w14:rig="threePt" w14:dir="t">
                    <w14:rot w14:lat="0" w14:lon="0" w14:rev="0"/>
                  </w14:lightRig>
                </w14:scene3d>
              </w:rPr>
              <w:t>7.4</w:t>
            </w:r>
            <w:r w:rsidR="004564CB">
              <w:rPr>
                <w:rFonts w:asciiTheme="minorHAnsi" w:eastAsiaTheme="minorEastAsia" w:hAnsiTheme="minorHAnsi" w:cstheme="minorBidi"/>
                <w:bCs w:val="0"/>
                <w:noProof/>
                <w:sz w:val="22"/>
                <w:szCs w:val="22"/>
                <w:lang w:eastAsia="en-GB"/>
              </w:rPr>
              <w:tab/>
            </w:r>
            <w:r w:rsidR="004564CB" w:rsidRPr="000E1403">
              <w:rPr>
                <w:rStyle w:val="Hyperlink"/>
                <w:b/>
                <w:iCs/>
                <w:noProof/>
              </w:rPr>
              <w:t>When to request a removal of this type under the Regulations  (Information on eligibility for Commissioners and Providers)</w:t>
            </w:r>
            <w:r w:rsidR="004564CB">
              <w:rPr>
                <w:noProof/>
                <w:webHidden/>
              </w:rPr>
              <w:tab/>
            </w:r>
            <w:r w:rsidR="004564CB">
              <w:rPr>
                <w:noProof/>
                <w:webHidden/>
              </w:rPr>
              <w:fldChar w:fldCharType="begin"/>
            </w:r>
            <w:r w:rsidR="004564CB">
              <w:rPr>
                <w:noProof/>
                <w:webHidden/>
              </w:rPr>
              <w:instrText xml:space="preserve"> PAGEREF _Toc95743442 \h </w:instrText>
            </w:r>
            <w:r w:rsidR="004564CB">
              <w:rPr>
                <w:noProof/>
                <w:webHidden/>
              </w:rPr>
            </w:r>
            <w:r w:rsidR="004564CB">
              <w:rPr>
                <w:noProof/>
                <w:webHidden/>
              </w:rPr>
              <w:fldChar w:fldCharType="separate"/>
            </w:r>
            <w:r w:rsidR="00A176C0">
              <w:rPr>
                <w:noProof/>
                <w:webHidden/>
              </w:rPr>
              <w:t>191</w:t>
            </w:r>
            <w:r w:rsidR="004564CB">
              <w:rPr>
                <w:noProof/>
                <w:webHidden/>
              </w:rPr>
              <w:fldChar w:fldCharType="end"/>
            </w:r>
          </w:hyperlink>
        </w:p>
        <w:p w14:paraId="5E1B0C91" w14:textId="3E9A5C41" w:rsidR="004564CB" w:rsidRDefault="000B57EE">
          <w:pPr>
            <w:pStyle w:val="TOC2"/>
            <w:rPr>
              <w:rFonts w:asciiTheme="minorHAnsi" w:eastAsiaTheme="minorEastAsia" w:hAnsiTheme="minorHAnsi" w:cstheme="minorBidi"/>
              <w:bCs w:val="0"/>
              <w:noProof/>
              <w:sz w:val="22"/>
              <w:szCs w:val="22"/>
              <w:lang w:eastAsia="en-GB"/>
            </w:rPr>
          </w:pPr>
          <w:hyperlink w:anchor="_Toc95743443" w:history="1">
            <w:r w:rsidR="004564CB" w:rsidRPr="000E1403">
              <w:rPr>
                <w:rStyle w:val="Hyperlink"/>
                <w:noProof/>
                <w14:scene3d>
                  <w14:camera w14:prst="orthographicFront"/>
                  <w14:lightRig w14:rig="threePt" w14:dir="t">
                    <w14:rot w14:lat="0" w14:lon="0" w14:rev="0"/>
                  </w14:lightRig>
                </w14:scene3d>
              </w:rPr>
              <w:t>7.5</w:t>
            </w:r>
            <w:r w:rsidR="004564CB">
              <w:rPr>
                <w:rFonts w:asciiTheme="minorHAnsi" w:eastAsiaTheme="minorEastAsia" w:hAnsiTheme="minorHAnsi" w:cstheme="minorBidi"/>
                <w:bCs w:val="0"/>
                <w:noProof/>
                <w:sz w:val="22"/>
                <w:szCs w:val="22"/>
                <w:lang w:eastAsia="en-GB"/>
              </w:rPr>
              <w:tab/>
            </w:r>
            <w:r w:rsidR="004564CB" w:rsidRPr="000E1403">
              <w:rPr>
                <w:rStyle w:val="Hyperlink"/>
                <w:b/>
                <w:iCs/>
                <w:noProof/>
              </w:rPr>
              <w:t>Appendices</w:t>
            </w:r>
            <w:r w:rsidR="004564CB">
              <w:rPr>
                <w:noProof/>
                <w:webHidden/>
              </w:rPr>
              <w:tab/>
            </w:r>
            <w:r w:rsidR="004564CB">
              <w:rPr>
                <w:noProof/>
                <w:webHidden/>
              </w:rPr>
              <w:fldChar w:fldCharType="begin"/>
            </w:r>
            <w:r w:rsidR="004564CB">
              <w:rPr>
                <w:noProof/>
                <w:webHidden/>
              </w:rPr>
              <w:instrText xml:space="preserve"> PAGEREF _Toc95743443 \h </w:instrText>
            </w:r>
            <w:r w:rsidR="004564CB">
              <w:rPr>
                <w:noProof/>
                <w:webHidden/>
              </w:rPr>
            </w:r>
            <w:r w:rsidR="004564CB">
              <w:rPr>
                <w:noProof/>
                <w:webHidden/>
              </w:rPr>
              <w:fldChar w:fldCharType="separate"/>
            </w:r>
            <w:r w:rsidR="00A176C0">
              <w:rPr>
                <w:noProof/>
                <w:webHidden/>
              </w:rPr>
              <w:t>201</w:t>
            </w:r>
            <w:r w:rsidR="004564CB">
              <w:rPr>
                <w:noProof/>
                <w:webHidden/>
              </w:rPr>
              <w:fldChar w:fldCharType="end"/>
            </w:r>
          </w:hyperlink>
        </w:p>
        <w:p w14:paraId="4EBDFBC1" w14:textId="1BA7E00A" w:rsidR="004564CB" w:rsidRDefault="000B57EE">
          <w:pPr>
            <w:pStyle w:val="TOC1"/>
            <w:rPr>
              <w:rFonts w:asciiTheme="minorHAnsi" w:eastAsiaTheme="minorEastAsia" w:hAnsiTheme="minorHAnsi" w:cstheme="minorBidi"/>
              <w:bCs w:val="0"/>
              <w:color w:val="auto"/>
              <w:sz w:val="22"/>
              <w:szCs w:val="22"/>
              <w:lang w:eastAsia="en-GB"/>
            </w:rPr>
          </w:pPr>
          <w:hyperlink w:anchor="_Toc95743444" w:history="1">
            <w:r w:rsidR="004564CB" w:rsidRPr="000E1403">
              <w:rPr>
                <w:rStyle w:val="Hyperlink"/>
              </w:rPr>
              <w:t>8</w:t>
            </w:r>
            <w:r w:rsidR="004564CB">
              <w:rPr>
                <w:rFonts w:asciiTheme="minorHAnsi" w:eastAsiaTheme="minorEastAsia" w:hAnsiTheme="minorHAnsi" w:cstheme="minorBidi"/>
                <w:bCs w:val="0"/>
                <w:color w:val="auto"/>
                <w:sz w:val="22"/>
                <w:szCs w:val="22"/>
                <w:lang w:eastAsia="en-GB"/>
              </w:rPr>
              <w:tab/>
            </w:r>
            <w:r w:rsidR="004564CB" w:rsidRPr="000E1403">
              <w:rPr>
                <w:rStyle w:val="Hyperlink"/>
              </w:rPr>
              <w:t>Contract Variations (templates available)</w:t>
            </w:r>
            <w:r w:rsidR="004564CB">
              <w:rPr>
                <w:webHidden/>
              </w:rPr>
              <w:tab/>
            </w:r>
            <w:r w:rsidR="004564CB">
              <w:rPr>
                <w:webHidden/>
              </w:rPr>
              <w:fldChar w:fldCharType="begin"/>
            </w:r>
            <w:r w:rsidR="004564CB">
              <w:rPr>
                <w:webHidden/>
              </w:rPr>
              <w:instrText xml:space="preserve"> PAGEREF _Toc95743444 \h </w:instrText>
            </w:r>
            <w:r w:rsidR="004564CB">
              <w:rPr>
                <w:webHidden/>
              </w:rPr>
            </w:r>
            <w:r w:rsidR="004564CB">
              <w:rPr>
                <w:webHidden/>
              </w:rPr>
              <w:fldChar w:fldCharType="separate"/>
            </w:r>
            <w:r w:rsidR="00A176C0">
              <w:rPr>
                <w:webHidden/>
              </w:rPr>
              <w:t>206</w:t>
            </w:r>
            <w:r w:rsidR="004564CB">
              <w:rPr>
                <w:webHidden/>
              </w:rPr>
              <w:fldChar w:fldCharType="end"/>
            </w:r>
          </w:hyperlink>
        </w:p>
        <w:p w14:paraId="696FF639" w14:textId="06E8D249" w:rsidR="004564CB" w:rsidRDefault="000B57EE">
          <w:pPr>
            <w:pStyle w:val="TOC2"/>
            <w:rPr>
              <w:rFonts w:asciiTheme="minorHAnsi" w:eastAsiaTheme="minorEastAsia" w:hAnsiTheme="minorHAnsi" w:cstheme="minorBidi"/>
              <w:bCs w:val="0"/>
              <w:noProof/>
              <w:sz w:val="22"/>
              <w:szCs w:val="22"/>
              <w:lang w:eastAsia="en-GB"/>
            </w:rPr>
          </w:pPr>
          <w:hyperlink w:anchor="_Toc95743445" w:history="1">
            <w:r w:rsidR="004564CB" w:rsidRPr="000E1403">
              <w:rPr>
                <w:rStyle w:val="Hyperlink"/>
                <w:noProof/>
                <w:lang w:eastAsia="en-GB"/>
              </w:rPr>
              <w:t>8.1 Introduction</w:t>
            </w:r>
            <w:r w:rsidR="004564CB">
              <w:rPr>
                <w:noProof/>
                <w:webHidden/>
              </w:rPr>
              <w:tab/>
            </w:r>
            <w:r w:rsidR="004564CB">
              <w:rPr>
                <w:noProof/>
                <w:webHidden/>
              </w:rPr>
              <w:fldChar w:fldCharType="begin"/>
            </w:r>
            <w:r w:rsidR="004564CB">
              <w:rPr>
                <w:noProof/>
                <w:webHidden/>
              </w:rPr>
              <w:instrText xml:space="preserve"> PAGEREF _Toc95743445 \h </w:instrText>
            </w:r>
            <w:r w:rsidR="004564CB">
              <w:rPr>
                <w:noProof/>
                <w:webHidden/>
              </w:rPr>
            </w:r>
            <w:r w:rsidR="004564CB">
              <w:rPr>
                <w:noProof/>
                <w:webHidden/>
              </w:rPr>
              <w:fldChar w:fldCharType="separate"/>
            </w:r>
            <w:r w:rsidR="00A176C0">
              <w:rPr>
                <w:noProof/>
                <w:webHidden/>
              </w:rPr>
              <w:t>206</w:t>
            </w:r>
            <w:r w:rsidR="004564CB">
              <w:rPr>
                <w:noProof/>
                <w:webHidden/>
              </w:rPr>
              <w:fldChar w:fldCharType="end"/>
            </w:r>
          </w:hyperlink>
        </w:p>
        <w:p w14:paraId="0745E41E" w14:textId="15D60A28" w:rsidR="004564CB" w:rsidRDefault="000B57EE">
          <w:pPr>
            <w:pStyle w:val="TOC2"/>
            <w:rPr>
              <w:rFonts w:asciiTheme="minorHAnsi" w:eastAsiaTheme="minorEastAsia" w:hAnsiTheme="minorHAnsi" w:cstheme="minorBidi"/>
              <w:bCs w:val="0"/>
              <w:noProof/>
              <w:sz w:val="22"/>
              <w:szCs w:val="22"/>
              <w:lang w:eastAsia="en-GB"/>
            </w:rPr>
          </w:pPr>
          <w:hyperlink w:anchor="_Toc95743446" w:history="1">
            <w:r w:rsidR="004564CB" w:rsidRPr="000E1403">
              <w:rPr>
                <w:rStyle w:val="Hyperlink"/>
                <w:noProof/>
                <w:lang w:eastAsia="en-GB"/>
                <w14:scene3d>
                  <w14:camera w14:prst="orthographicFront"/>
                  <w14:lightRig w14:rig="threePt" w14:dir="t">
                    <w14:rot w14:lat="0" w14:lon="0" w14:rev="0"/>
                  </w14:lightRig>
                </w14:scene3d>
              </w:rPr>
              <w:t>8.2</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Types of Contract Variation</w:t>
            </w:r>
            <w:r w:rsidR="004564CB">
              <w:rPr>
                <w:noProof/>
                <w:webHidden/>
              </w:rPr>
              <w:tab/>
            </w:r>
            <w:r w:rsidR="004564CB">
              <w:rPr>
                <w:noProof/>
                <w:webHidden/>
              </w:rPr>
              <w:fldChar w:fldCharType="begin"/>
            </w:r>
            <w:r w:rsidR="004564CB">
              <w:rPr>
                <w:noProof/>
                <w:webHidden/>
              </w:rPr>
              <w:instrText xml:space="preserve"> PAGEREF _Toc95743446 \h </w:instrText>
            </w:r>
            <w:r w:rsidR="004564CB">
              <w:rPr>
                <w:noProof/>
                <w:webHidden/>
              </w:rPr>
            </w:r>
            <w:r w:rsidR="004564CB">
              <w:rPr>
                <w:noProof/>
                <w:webHidden/>
              </w:rPr>
              <w:fldChar w:fldCharType="separate"/>
            </w:r>
            <w:r w:rsidR="00A176C0">
              <w:rPr>
                <w:noProof/>
                <w:webHidden/>
              </w:rPr>
              <w:t>206</w:t>
            </w:r>
            <w:r w:rsidR="004564CB">
              <w:rPr>
                <w:noProof/>
                <w:webHidden/>
              </w:rPr>
              <w:fldChar w:fldCharType="end"/>
            </w:r>
          </w:hyperlink>
        </w:p>
        <w:p w14:paraId="1F4D0C98" w14:textId="2C951A9D" w:rsidR="004564CB" w:rsidRDefault="000B57EE">
          <w:pPr>
            <w:pStyle w:val="TOC2"/>
            <w:rPr>
              <w:rFonts w:asciiTheme="minorHAnsi" w:eastAsiaTheme="minorEastAsia" w:hAnsiTheme="minorHAnsi" w:cstheme="minorBidi"/>
              <w:bCs w:val="0"/>
              <w:noProof/>
              <w:sz w:val="22"/>
              <w:szCs w:val="22"/>
              <w:lang w:eastAsia="en-GB"/>
            </w:rPr>
          </w:pPr>
          <w:hyperlink w:anchor="_Toc95743447" w:history="1">
            <w:r w:rsidR="004564CB" w:rsidRPr="000E1403">
              <w:rPr>
                <w:rStyle w:val="Hyperlink"/>
                <w:noProof/>
                <w:lang w:eastAsia="en-GB"/>
                <w14:scene3d>
                  <w14:camera w14:prst="orthographicFront"/>
                  <w14:lightRig w14:rig="threePt" w14:dir="t">
                    <w14:rot w14:lat="0" w14:lon="0" w14:rev="0"/>
                  </w14:lightRig>
                </w14:scene3d>
              </w:rPr>
              <w:t>8.3</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Legislation / Regulatory Changes</w:t>
            </w:r>
            <w:r w:rsidR="004564CB">
              <w:rPr>
                <w:noProof/>
                <w:webHidden/>
              </w:rPr>
              <w:tab/>
            </w:r>
            <w:r w:rsidR="004564CB">
              <w:rPr>
                <w:noProof/>
                <w:webHidden/>
              </w:rPr>
              <w:fldChar w:fldCharType="begin"/>
            </w:r>
            <w:r w:rsidR="004564CB">
              <w:rPr>
                <w:noProof/>
                <w:webHidden/>
              </w:rPr>
              <w:instrText xml:space="preserve"> PAGEREF _Toc95743447 \h </w:instrText>
            </w:r>
            <w:r w:rsidR="004564CB">
              <w:rPr>
                <w:noProof/>
                <w:webHidden/>
              </w:rPr>
            </w:r>
            <w:r w:rsidR="004564CB">
              <w:rPr>
                <w:noProof/>
                <w:webHidden/>
              </w:rPr>
              <w:fldChar w:fldCharType="separate"/>
            </w:r>
            <w:r w:rsidR="00A176C0">
              <w:rPr>
                <w:noProof/>
                <w:webHidden/>
              </w:rPr>
              <w:t>206</w:t>
            </w:r>
            <w:r w:rsidR="004564CB">
              <w:rPr>
                <w:noProof/>
                <w:webHidden/>
              </w:rPr>
              <w:fldChar w:fldCharType="end"/>
            </w:r>
          </w:hyperlink>
        </w:p>
        <w:p w14:paraId="69E8F7D0" w14:textId="3DFDA08F" w:rsidR="004564CB" w:rsidRDefault="000B57EE">
          <w:pPr>
            <w:pStyle w:val="TOC2"/>
            <w:rPr>
              <w:rFonts w:asciiTheme="minorHAnsi" w:eastAsiaTheme="minorEastAsia" w:hAnsiTheme="minorHAnsi" w:cstheme="minorBidi"/>
              <w:bCs w:val="0"/>
              <w:noProof/>
              <w:sz w:val="22"/>
              <w:szCs w:val="22"/>
              <w:lang w:eastAsia="en-GB"/>
            </w:rPr>
          </w:pPr>
          <w:hyperlink w:anchor="_Toc95743448" w:history="1">
            <w:r w:rsidR="004564CB" w:rsidRPr="000E1403">
              <w:rPr>
                <w:rStyle w:val="Hyperlink"/>
                <w:noProof/>
                <w:lang w:eastAsia="en-GB"/>
                <w14:scene3d>
                  <w14:camera w14:prst="orthographicFront"/>
                  <w14:lightRig w14:rig="threePt" w14:dir="t">
                    <w14:rot w14:lat="0" w14:lon="0" w14:rev="0"/>
                  </w14:lightRig>
                </w14:scene3d>
              </w:rPr>
              <w:t>8.4</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Changes to the Contracting Party</w:t>
            </w:r>
            <w:r w:rsidR="004564CB">
              <w:rPr>
                <w:noProof/>
                <w:webHidden/>
              </w:rPr>
              <w:tab/>
            </w:r>
            <w:r w:rsidR="004564CB">
              <w:rPr>
                <w:noProof/>
                <w:webHidden/>
              </w:rPr>
              <w:fldChar w:fldCharType="begin"/>
            </w:r>
            <w:r w:rsidR="004564CB">
              <w:rPr>
                <w:noProof/>
                <w:webHidden/>
              </w:rPr>
              <w:instrText xml:space="preserve"> PAGEREF _Toc95743448 \h </w:instrText>
            </w:r>
            <w:r w:rsidR="004564CB">
              <w:rPr>
                <w:noProof/>
                <w:webHidden/>
              </w:rPr>
            </w:r>
            <w:r w:rsidR="004564CB">
              <w:rPr>
                <w:noProof/>
                <w:webHidden/>
              </w:rPr>
              <w:fldChar w:fldCharType="separate"/>
            </w:r>
            <w:r w:rsidR="00A176C0">
              <w:rPr>
                <w:noProof/>
                <w:webHidden/>
              </w:rPr>
              <w:t>209</w:t>
            </w:r>
            <w:r w:rsidR="004564CB">
              <w:rPr>
                <w:noProof/>
                <w:webHidden/>
              </w:rPr>
              <w:fldChar w:fldCharType="end"/>
            </w:r>
          </w:hyperlink>
        </w:p>
        <w:p w14:paraId="2977C32D" w14:textId="79FE2FEE" w:rsidR="004564CB" w:rsidRDefault="000B57EE">
          <w:pPr>
            <w:pStyle w:val="TOC2"/>
            <w:rPr>
              <w:rFonts w:asciiTheme="minorHAnsi" w:eastAsiaTheme="minorEastAsia" w:hAnsiTheme="minorHAnsi" w:cstheme="minorBidi"/>
              <w:bCs w:val="0"/>
              <w:noProof/>
              <w:sz w:val="22"/>
              <w:szCs w:val="22"/>
              <w:lang w:eastAsia="en-GB"/>
            </w:rPr>
          </w:pPr>
          <w:hyperlink w:anchor="_Toc95743449" w:history="1">
            <w:r w:rsidR="004564CB" w:rsidRPr="000E1403">
              <w:rPr>
                <w:rStyle w:val="Hyperlink"/>
                <w:noProof/>
                <w14:scene3d>
                  <w14:camera w14:prst="orthographicFront"/>
                  <w14:lightRig w14:rig="threePt" w14:dir="t">
                    <w14:rot w14:lat="0" w14:lon="0" w14:rev="0"/>
                  </w14:lightRig>
                </w14:scene3d>
              </w:rPr>
              <w:t>8.5</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Partnership Changes</w:t>
            </w:r>
            <w:r w:rsidR="004564CB">
              <w:rPr>
                <w:noProof/>
                <w:webHidden/>
              </w:rPr>
              <w:tab/>
            </w:r>
            <w:r w:rsidR="004564CB">
              <w:rPr>
                <w:noProof/>
                <w:webHidden/>
              </w:rPr>
              <w:fldChar w:fldCharType="begin"/>
            </w:r>
            <w:r w:rsidR="004564CB">
              <w:rPr>
                <w:noProof/>
                <w:webHidden/>
              </w:rPr>
              <w:instrText xml:space="preserve"> PAGEREF _Toc95743449 \h </w:instrText>
            </w:r>
            <w:r w:rsidR="004564CB">
              <w:rPr>
                <w:noProof/>
                <w:webHidden/>
              </w:rPr>
            </w:r>
            <w:r w:rsidR="004564CB">
              <w:rPr>
                <w:noProof/>
                <w:webHidden/>
              </w:rPr>
              <w:fldChar w:fldCharType="separate"/>
            </w:r>
            <w:r w:rsidR="00A176C0">
              <w:rPr>
                <w:noProof/>
                <w:webHidden/>
              </w:rPr>
              <w:t>209</w:t>
            </w:r>
            <w:r w:rsidR="004564CB">
              <w:rPr>
                <w:noProof/>
                <w:webHidden/>
              </w:rPr>
              <w:fldChar w:fldCharType="end"/>
            </w:r>
          </w:hyperlink>
        </w:p>
        <w:p w14:paraId="72875C4D" w14:textId="1B050571" w:rsidR="004564CB" w:rsidRDefault="000B57EE">
          <w:pPr>
            <w:pStyle w:val="TOC2"/>
            <w:rPr>
              <w:rFonts w:asciiTheme="minorHAnsi" w:eastAsiaTheme="minorEastAsia" w:hAnsiTheme="minorHAnsi" w:cstheme="minorBidi"/>
              <w:bCs w:val="0"/>
              <w:noProof/>
              <w:sz w:val="22"/>
              <w:szCs w:val="22"/>
              <w:lang w:eastAsia="en-GB"/>
            </w:rPr>
          </w:pPr>
          <w:hyperlink w:anchor="_Toc95743450" w:history="1">
            <w:r w:rsidR="004564CB" w:rsidRPr="000E1403">
              <w:rPr>
                <w:rStyle w:val="Hyperlink"/>
                <w:noProof/>
                <w:lang w:eastAsia="en-GB"/>
                <w14:scene3d>
                  <w14:camera w14:prst="orthographicFront"/>
                  <w14:lightRig w14:rig="threePt" w14:dir="t">
                    <w14:rot w14:lat="0" w14:lon="0" w14:rev="0"/>
                  </w14:lightRig>
                </w14:scene3d>
              </w:rPr>
              <w:t>8.6</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Retirement of a Contractor – Single Handed</w:t>
            </w:r>
            <w:r w:rsidR="004564CB">
              <w:rPr>
                <w:noProof/>
                <w:webHidden/>
              </w:rPr>
              <w:tab/>
            </w:r>
            <w:r w:rsidR="004564CB">
              <w:rPr>
                <w:noProof/>
                <w:webHidden/>
              </w:rPr>
              <w:fldChar w:fldCharType="begin"/>
            </w:r>
            <w:r w:rsidR="004564CB">
              <w:rPr>
                <w:noProof/>
                <w:webHidden/>
              </w:rPr>
              <w:instrText xml:space="preserve"> PAGEREF _Toc95743450 \h </w:instrText>
            </w:r>
            <w:r w:rsidR="004564CB">
              <w:rPr>
                <w:noProof/>
                <w:webHidden/>
              </w:rPr>
            </w:r>
            <w:r w:rsidR="004564CB">
              <w:rPr>
                <w:noProof/>
                <w:webHidden/>
              </w:rPr>
              <w:fldChar w:fldCharType="separate"/>
            </w:r>
            <w:r w:rsidR="00A176C0">
              <w:rPr>
                <w:noProof/>
                <w:webHidden/>
              </w:rPr>
              <w:t>217</w:t>
            </w:r>
            <w:r w:rsidR="004564CB">
              <w:rPr>
                <w:noProof/>
                <w:webHidden/>
              </w:rPr>
              <w:fldChar w:fldCharType="end"/>
            </w:r>
          </w:hyperlink>
        </w:p>
        <w:p w14:paraId="4DECF6B3" w14:textId="4121B4F2" w:rsidR="004564CB" w:rsidRDefault="000B57EE">
          <w:pPr>
            <w:pStyle w:val="TOC2"/>
            <w:rPr>
              <w:rFonts w:asciiTheme="minorHAnsi" w:eastAsiaTheme="minorEastAsia" w:hAnsiTheme="minorHAnsi" w:cstheme="minorBidi"/>
              <w:bCs w:val="0"/>
              <w:noProof/>
              <w:sz w:val="22"/>
              <w:szCs w:val="22"/>
              <w:lang w:eastAsia="en-GB"/>
            </w:rPr>
          </w:pPr>
          <w:hyperlink w:anchor="_Toc95743451" w:history="1">
            <w:r w:rsidR="004564CB" w:rsidRPr="000E1403">
              <w:rPr>
                <w:rStyle w:val="Hyperlink"/>
                <w:noProof/>
                <w:lang w:eastAsia="en-GB"/>
                <w14:scene3d>
                  <w14:camera w14:prst="orthographicFront"/>
                  <w14:lightRig w14:rig="threePt" w14:dir="t">
                    <w14:rot w14:lat="0" w14:lon="0" w14:rev="0"/>
                  </w14:lightRig>
                </w14:scene3d>
              </w:rPr>
              <w:t>8.7</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Retirement of a Contractor – Two or More Partners/Individuals</w:t>
            </w:r>
            <w:r w:rsidR="004564CB">
              <w:rPr>
                <w:noProof/>
                <w:webHidden/>
              </w:rPr>
              <w:tab/>
            </w:r>
            <w:r w:rsidR="004564CB">
              <w:rPr>
                <w:noProof/>
                <w:webHidden/>
              </w:rPr>
              <w:fldChar w:fldCharType="begin"/>
            </w:r>
            <w:r w:rsidR="004564CB">
              <w:rPr>
                <w:noProof/>
                <w:webHidden/>
              </w:rPr>
              <w:instrText xml:space="preserve"> PAGEREF _Toc95743451 \h </w:instrText>
            </w:r>
            <w:r w:rsidR="004564CB">
              <w:rPr>
                <w:noProof/>
                <w:webHidden/>
              </w:rPr>
            </w:r>
            <w:r w:rsidR="004564CB">
              <w:rPr>
                <w:noProof/>
                <w:webHidden/>
              </w:rPr>
              <w:fldChar w:fldCharType="separate"/>
            </w:r>
            <w:r w:rsidR="00A176C0">
              <w:rPr>
                <w:noProof/>
                <w:webHidden/>
              </w:rPr>
              <w:t>219</w:t>
            </w:r>
            <w:r w:rsidR="004564CB">
              <w:rPr>
                <w:noProof/>
                <w:webHidden/>
              </w:rPr>
              <w:fldChar w:fldCharType="end"/>
            </w:r>
          </w:hyperlink>
        </w:p>
        <w:p w14:paraId="16C10D44" w14:textId="5F1A5DAA" w:rsidR="004564CB" w:rsidRDefault="000B57EE">
          <w:pPr>
            <w:pStyle w:val="TOC2"/>
            <w:rPr>
              <w:rFonts w:asciiTheme="minorHAnsi" w:eastAsiaTheme="minorEastAsia" w:hAnsiTheme="minorHAnsi" w:cstheme="minorBidi"/>
              <w:bCs w:val="0"/>
              <w:noProof/>
              <w:sz w:val="22"/>
              <w:szCs w:val="22"/>
              <w:lang w:eastAsia="en-GB"/>
            </w:rPr>
          </w:pPr>
          <w:hyperlink w:anchor="_Toc95743452" w:history="1">
            <w:r w:rsidR="004564CB" w:rsidRPr="000E1403">
              <w:rPr>
                <w:rStyle w:val="Hyperlink"/>
                <w:noProof/>
                <w:lang w:eastAsia="en-GB"/>
                <w14:scene3d>
                  <w14:camera w14:prst="orthographicFront"/>
                  <w14:lightRig w14:rig="threePt" w14:dir="t">
                    <w14:rot w14:lat="0" w14:lon="0" w14:rev="0"/>
                  </w14:lightRig>
                </w14:scene3d>
              </w:rPr>
              <w:t>8.8</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Twenty-Four Hour Retirement</w:t>
            </w:r>
            <w:r w:rsidR="004564CB">
              <w:rPr>
                <w:noProof/>
                <w:webHidden/>
              </w:rPr>
              <w:tab/>
            </w:r>
            <w:r w:rsidR="004564CB">
              <w:rPr>
                <w:noProof/>
                <w:webHidden/>
              </w:rPr>
              <w:fldChar w:fldCharType="begin"/>
            </w:r>
            <w:r w:rsidR="004564CB">
              <w:rPr>
                <w:noProof/>
                <w:webHidden/>
              </w:rPr>
              <w:instrText xml:space="preserve"> PAGEREF _Toc95743452 \h </w:instrText>
            </w:r>
            <w:r w:rsidR="004564CB">
              <w:rPr>
                <w:noProof/>
                <w:webHidden/>
              </w:rPr>
            </w:r>
            <w:r w:rsidR="004564CB">
              <w:rPr>
                <w:noProof/>
                <w:webHidden/>
              </w:rPr>
              <w:fldChar w:fldCharType="separate"/>
            </w:r>
            <w:r w:rsidR="00A176C0">
              <w:rPr>
                <w:noProof/>
                <w:webHidden/>
              </w:rPr>
              <w:t>220</w:t>
            </w:r>
            <w:r w:rsidR="004564CB">
              <w:rPr>
                <w:noProof/>
                <w:webHidden/>
              </w:rPr>
              <w:fldChar w:fldCharType="end"/>
            </w:r>
          </w:hyperlink>
        </w:p>
        <w:p w14:paraId="0726B430" w14:textId="4420714B" w:rsidR="004564CB" w:rsidRDefault="000B57EE">
          <w:pPr>
            <w:pStyle w:val="TOC2"/>
            <w:rPr>
              <w:rFonts w:asciiTheme="minorHAnsi" w:eastAsiaTheme="minorEastAsia" w:hAnsiTheme="minorHAnsi" w:cstheme="minorBidi"/>
              <w:bCs w:val="0"/>
              <w:noProof/>
              <w:sz w:val="22"/>
              <w:szCs w:val="22"/>
              <w:lang w:eastAsia="en-GB"/>
            </w:rPr>
          </w:pPr>
          <w:hyperlink w:anchor="_Toc95743453" w:history="1">
            <w:r w:rsidR="004564CB" w:rsidRPr="000E1403">
              <w:rPr>
                <w:rStyle w:val="Hyperlink"/>
                <w:rFonts w:cs="Arial"/>
                <w:noProof/>
                <w:lang w:eastAsia="en-GB"/>
                <w14:scene3d>
                  <w14:camera w14:prst="orthographicFront"/>
                  <w14:lightRig w14:rig="threePt" w14:dir="t">
                    <w14:rot w14:lat="0" w14:lon="0" w14:rev="0"/>
                  </w14:lightRig>
                </w14:scene3d>
              </w:rPr>
              <w:t>8.9</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Variation Provisions Specific to a Contract with a Company Limited</w:t>
            </w:r>
            <w:r w:rsidR="004564CB" w:rsidRPr="000E1403">
              <w:rPr>
                <w:rStyle w:val="Hyperlink"/>
                <w:rFonts w:cs="Arial"/>
                <w:noProof/>
                <w:lang w:eastAsia="en-GB"/>
              </w:rPr>
              <w:t xml:space="preserve"> by Shares (GMS) or a Qualifying Body (PMS)</w:t>
            </w:r>
            <w:r w:rsidR="004564CB">
              <w:rPr>
                <w:noProof/>
                <w:webHidden/>
              </w:rPr>
              <w:tab/>
            </w:r>
            <w:r w:rsidR="004564CB">
              <w:rPr>
                <w:noProof/>
                <w:webHidden/>
              </w:rPr>
              <w:fldChar w:fldCharType="begin"/>
            </w:r>
            <w:r w:rsidR="004564CB">
              <w:rPr>
                <w:noProof/>
                <w:webHidden/>
              </w:rPr>
              <w:instrText xml:space="preserve"> PAGEREF _Toc95743453 \h </w:instrText>
            </w:r>
            <w:r w:rsidR="004564CB">
              <w:rPr>
                <w:noProof/>
                <w:webHidden/>
              </w:rPr>
            </w:r>
            <w:r w:rsidR="004564CB">
              <w:rPr>
                <w:noProof/>
                <w:webHidden/>
              </w:rPr>
              <w:fldChar w:fldCharType="separate"/>
            </w:r>
            <w:r w:rsidR="00A176C0">
              <w:rPr>
                <w:noProof/>
                <w:webHidden/>
              </w:rPr>
              <w:t>221</w:t>
            </w:r>
            <w:r w:rsidR="004564CB">
              <w:rPr>
                <w:noProof/>
                <w:webHidden/>
              </w:rPr>
              <w:fldChar w:fldCharType="end"/>
            </w:r>
          </w:hyperlink>
        </w:p>
        <w:p w14:paraId="72DB37AD" w14:textId="40A3DB81" w:rsidR="004564CB" w:rsidRDefault="000B57EE">
          <w:pPr>
            <w:pStyle w:val="TOC2"/>
            <w:rPr>
              <w:rFonts w:asciiTheme="minorHAnsi" w:eastAsiaTheme="minorEastAsia" w:hAnsiTheme="minorHAnsi" w:cstheme="minorBidi"/>
              <w:bCs w:val="0"/>
              <w:noProof/>
              <w:sz w:val="22"/>
              <w:szCs w:val="22"/>
              <w:lang w:eastAsia="en-GB"/>
            </w:rPr>
          </w:pPr>
          <w:hyperlink w:anchor="_Toc95743454" w:history="1">
            <w:r w:rsidR="004564CB" w:rsidRPr="000E1403">
              <w:rPr>
                <w:rStyle w:val="Hyperlink"/>
                <w:noProof/>
                <w:lang w:eastAsia="en-GB"/>
                <w14:scene3d>
                  <w14:camera w14:prst="orthographicFront"/>
                  <w14:lightRig w14:rig="threePt" w14:dir="t">
                    <w14:rot w14:lat="0" w14:lon="0" w14:rev="0"/>
                  </w14:lightRig>
                </w14:scene3d>
              </w:rPr>
              <w:t>8.10</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Contracts and Incorporation/Dis-incorporation</w:t>
            </w:r>
            <w:r w:rsidR="004564CB">
              <w:rPr>
                <w:noProof/>
                <w:webHidden/>
              </w:rPr>
              <w:tab/>
            </w:r>
            <w:r w:rsidR="004564CB">
              <w:rPr>
                <w:noProof/>
                <w:webHidden/>
              </w:rPr>
              <w:fldChar w:fldCharType="begin"/>
            </w:r>
            <w:r w:rsidR="004564CB">
              <w:rPr>
                <w:noProof/>
                <w:webHidden/>
              </w:rPr>
              <w:instrText xml:space="preserve"> PAGEREF _Toc95743454 \h </w:instrText>
            </w:r>
            <w:r w:rsidR="004564CB">
              <w:rPr>
                <w:noProof/>
                <w:webHidden/>
              </w:rPr>
            </w:r>
            <w:r w:rsidR="004564CB">
              <w:rPr>
                <w:noProof/>
                <w:webHidden/>
              </w:rPr>
              <w:fldChar w:fldCharType="separate"/>
            </w:r>
            <w:r w:rsidR="00A176C0">
              <w:rPr>
                <w:noProof/>
                <w:webHidden/>
              </w:rPr>
              <w:t>221</w:t>
            </w:r>
            <w:r w:rsidR="004564CB">
              <w:rPr>
                <w:noProof/>
                <w:webHidden/>
              </w:rPr>
              <w:fldChar w:fldCharType="end"/>
            </w:r>
          </w:hyperlink>
        </w:p>
        <w:p w14:paraId="5EF3E86C" w14:textId="46F9B6F5" w:rsidR="004564CB" w:rsidRDefault="000B57EE">
          <w:pPr>
            <w:pStyle w:val="TOC2"/>
            <w:rPr>
              <w:rFonts w:asciiTheme="minorHAnsi" w:eastAsiaTheme="minorEastAsia" w:hAnsiTheme="minorHAnsi" w:cstheme="minorBidi"/>
              <w:bCs w:val="0"/>
              <w:noProof/>
              <w:sz w:val="22"/>
              <w:szCs w:val="22"/>
              <w:lang w:eastAsia="en-GB"/>
            </w:rPr>
          </w:pPr>
          <w:hyperlink w:anchor="_Toc95743455" w:history="1">
            <w:r w:rsidR="004564CB" w:rsidRPr="000E1403">
              <w:rPr>
                <w:rStyle w:val="Hyperlink"/>
                <w:noProof/>
                <w:lang w:eastAsia="en-GB"/>
                <w14:scene3d>
                  <w14:camera w14:prst="orthographicFront"/>
                  <w14:lightRig w14:rig="threePt" w14:dir="t">
                    <w14:rot w14:lat="0" w14:lon="0" w14:rev="0"/>
                  </w14:lightRig>
                </w14:scene3d>
              </w:rPr>
              <w:t>8.11</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Practice Mergers and/or Contractual Mergers</w:t>
            </w:r>
            <w:r w:rsidR="004564CB">
              <w:rPr>
                <w:noProof/>
                <w:webHidden/>
              </w:rPr>
              <w:tab/>
            </w:r>
            <w:r w:rsidR="004564CB">
              <w:rPr>
                <w:noProof/>
                <w:webHidden/>
              </w:rPr>
              <w:fldChar w:fldCharType="begin"/>
            </w:r>
            <w:r w:rsidR="004564CB">
              <w:rPr>
                <w:noProof/>
                <w:webHidden/>
              </w:rPr>
              <w:instrText xml:space="preserve"> PAGEREF _Toc95743455 \h </w:instrText>
            </w:r>
            <w:r w:rsidR="004564CB">
              <w:rPr>
                <w:noProof/>
                <w:webHidden/>
              </w:rPr>
            </w:r>
            <w:r w:rsidR="004564CB">
              <w:rPr>
                <w:noProof/>
                <w:webHidden/>
              </w:rPr>
              <w:fldChar w:fldCharType="separate"/>
            </w:r>
            <w:r w:rsidR="00A176C0">
              <w:rPr>
                <w:noProof/>
                <w:webHidden/>
              </w:rPr>
              <w:t>234</w:t>
            </w:r>
            <w:r w:rsidR="004564CB">
              <w:rPr>
                <w:noProof/>
                <w:webHidden/>
              </w:rPr>
              <w:fldChar w:fldCharType="end"/>
            </w:r>
          </w:hyperlink>
        </w:p>
        <w:p w14:paraId="4E286BBF" w14:textId="74790A3D" w:rsidR="004564CB" w:rsidRDefault="000B57EE">
          <w:pPr>
            <w:pStyle w:val="TOC2"/>
            <w:rPr>
              <w:rFonts w:asciiTheme="minorHAnsi" w:eastAsiaTheme="minorEastAsia" w:hAnsiTheme="minorHAnsi" w:cstheme="minorBidi"/>
              <w:bCs w:val="0"/>
              <w:noProof/>
              <w:sz w:val="22"/>
              <w:szCs w:val="22"/>
              <w:lang w:eastAsia="en-GB"/>
            </w:rPr>
          </w:pPr>
          <w:hyperlink w:anchor="_Toc95743456" w:history="1">
            <w:r w:rsidR="004564CB" w:rsidRPr="000E1403">
              <w:rPr>
                <w:rStyle w:val="Hyperlink"/>
                <w:noProof/>
                <w:lang w:eastAsia="en-GB"/>
                <w14:scene3d>
                  <w14:camera w14:prst="orthographicFront"/>
                  <w14:lightRig w14:rig="threePt" w14:dir="t">
                    <w14:rot w14:lat="0" w14:lon="0" w14:rev="0"/>
                  </w14:lightRig>
                </w14:scene3d>
              </w:rPr>
              <w:t>8.12</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Changes to Services</w:t>
            </w:r>
            <w:r w:rsidR="004564CB">
              <w:rPr>
                <w:noProof/>
                <w:webHidden/>
              </w:rPr>
              <w:tab/>
            </w:r>
            <w:r w:rsidR="004564CB">
              <w:rPr>
                <w:noProof/>
                <w:webHidden/>
              </w:rPr>
              <w:fldChar w:fldCharType="begin"/>
            </w:r>
            <w:r w:rsidR="004564CB">
              <w:rPr>
                <w:noProof/>
                <w:webHidden/>
              </w:rPr>
              <w:instrText xml:space="preserve"> PAGEREF _Toc95743456 \h </w:instrText>
            </w:r>
            <w:r w:rsidR="004564CB">
              <w:rPr>
                <w:noProof/>
                <w:webHidden/>
              </w:rPr>
            </w:r>
            <w:r w:rsidR="004564CB">
              <w:rPr>
                <w:noProof/>
                <w:webHidden/>
              </w:rPr>
              <w:fldChar w:fldCharType="separate"/>
            </w:r>
            <w:r w:rsidR="00A176C0">
              <w:rPr>
                <w:noProof/>
                <w:webHidden/>
              </w:rPr>
              <w:t>258</w:t>
            </w:r>
            <w:r w:rsidR="004564CB">
              <w:rPr>
                <w:noProof/>
                <w:webHidden/>
              </w:rPr>
              <w:fldChar w:fldCharType="end"/>
            </w:r>
          </w:hyperlink>
        </w:p>
        <w:p w14:paraId="7FBA6988" w14:textId="5C448BED" w:rsidR="004564CB" w:rsidRDefault="000B57EE">
          <w:pPr>
            <w:pStyle w:val="TOC2"/>
            <w:rPr>
              <w:rFonts w:asciiTheme="minorHAnsi" w:eastAsiaTheme="minorEastAsia" w:hAnsiTheme="minorHAnsi" w:cstheme="minorBidi"/>
              <w:bCs w:val="0"/>
              <w:noProof/>
              <w:sz w:val="22"/>
              <w:szCs w:val="22"/>
              <w:lang w:eastAsia="en-GB"/>
            </w:rPr>
          </w:pPr>
          <w:hyperlink w:anchor="_Toc95743457" w:history="1">
            <w:r w:rsidR="004564CB" w:rsidRPr="000E1403">
              <w:rPr>
                <w:rStyle w:val="Hyperlink"/>
                <w:noProof/>
                <w:lang w:eastAsia="en-GB"/>
                <w14:scene3d>
                  <w14:camera w14:prst="orthographicFront"/>
                  <w14:lightRig w14:rig="threePt" w14:dir="t">
                    <w14:rot w14:lat="0" w14:lon="0" w14:rev="0"/>
                  </w14:lightRig>
                </w14:scene3d>
              </w:rPr>
              <w:t>8.13</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Open and Closed Lists</w:t>
            </w:r>
            <w:r w:rsidR="004564CB">
              <w:rPr>
                <w:noProof/>
                <w:webHidden/>
              </w:rPr>
              <w:tab/>
            </w:r>
            <w:r w:rsidR="004564CB">
              <w:rPr>
                <w:noProof/>
                <w:webHidden/>
              </w:rPr>
              <w:fldChar w:fldCharType="begin"/>
            </w:r>
            <w:r w:rsidR="004564CB">
              <w:rPr>
                <w:noProof/>
                <w:webHidden/>
              </w:rPr>
              <w:instrText xml:space="preserve"> PAGEREF _Toc95743457 \h </w:instrText>
            </w:r>
            <w:r w:rsidR="004564CB">
              <w:rPr>
                <w:noProof/>
                <w:webHidden/>
              </w:rPr>
            </w:r>
            <w:r w:rsidR="004564CB">
              <w:rPr>
                <w:noProof/>
                <w:webHidden/>
              </w:rPr>
              <w:fldChar w:fldCharType="separate"/>
            </w:r>
            <w:r w:rsidR="00A176C0">
              <w:rPr>
                <w:noProof/>
                <w:webHidden/>
              </w:rPr>
              <w:t>258</w:t>
            </w:r>
            <w:r w:rsidR="004564CB">
              <w:rPr>
                <w:noProof/>
                <w:webHidden/>
              </w:rPr>
              <w:fldChar w:fldCharType="end"/>
            </w:r>
          </w:hyperlink>
        </w:p>
        <w:p w14:paraId="2D6F7CDF" w14:textId="51923093" w:rsidR="004564CB" w:rsidRDefault="000B57EE">
          <w:pPr>
            <w:pStyle w:val="TOC2"/>
            <w:rPr>
              <w:rFonts w:asciiTheme="minorHAnsi" w:eastAsiaTheme="minorEastAsia" w:hAnsiTheme="minorHAnsi" w:cstheme="minorBidi"/>
              <w:bCs w:val="0"/>
              <w:noProof/>
              <w:sz w:val="22"/>
              <w:szCs w:val="22"/>
              <w:lang w:eastAsia="en-GB"/>
            </w:rPr>
          </w:pPr>
          <w:hyperlink w:anchor="_Toc95743458" w:history="1">
            <w:r w:rsidR="004564CB" w:rsidRPr="000E1403">
              <w:rPr>
                <w:rStyle w:val="Hyperlink"/>
                <w:noProof/>
                <w:lang w:eastAsia="en-GB"/>
                <w14:scene3d>
                  <w14:camera w14:prst="orthographicFront"/>
                  <w14:lightRig w14:rig="threePt" w14:dir="t">
                    <w14:rot w14:lat="0" w14:lon="0" w14:rev="0"/>
                  </w14:lightRig>
                </w14:scene3d>
              </w:rPr>
              <w:t>8.14</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Boundary Changes</w:t>
            </w:r>
            <w:r w:rsidR="004564CB">
              <w:rPr>
                <w:noProof/>
                <w:webHidden/>
              </w:rPr>
              <w:tab/>
            </w:r>
            <w:r w:rsidR="004564CB">
              <w:rPr>
                <w:noProof/>
                <w:webHidden/>
              </w:rPr>
              <w:fldChar w:fldCharType="begin"/>
            </w:r>
            <w:r w:rsidR="004564CB">
              <w:rPr>
                <w:noProof/>
                <w:webHidden/>
              </w:rPr>
              <w:instrText xml:space="preserve"> PAGEREF _Toc95743458 \h </w:instrText>
            </w:r>
            <w:r w:rsidR="004564CB">
              <w:rPr>
                <w:noProof/>
                <w:webHidden/>
              </w:rPr>
            </w:r>
            <w:r w:rsidR="004564CB">
              <w:rPr>
                <w:noProof/>
                <w:webHidden/>
              </w:rPr>
              <w:fldChar w:fldCharType="separate"/>
            </w:r>
            <w:r w:rsidR="00A176C0">
              <w:rPr>
                <w:noProof/>
                <w:webHidden/>
              </w:rPr>
              <w:t>258</w:t>
            </w:r>
            <w:r w:rsidR="004564CB">
              <w:rPr>
                <w:noProof/>
                <w:webHidden/>
              </w:rPr>
              <w:fldChar w:fldCharType="end"/>
            </w:r>
          </w:hyperlink>
        </w:p>
        <w:p w14:paraId="2916313C" w14:textId="365EF9A6" w:rsidR="004564CB" w:rsidRDefault="000B57EE">
          <w:pPr>
            <w:pStyle w:val="TOC2"/>
            <w:rPr>
              <w:rFonts w:asciiTheme="minorHAnsi" w:eastAsiaTheme="minorEastAsia" w:hAnsiTheme="minorHAnsi" w:cstheme="minorBidi"/>
              <w:bCs w:val="0"/>
              <w:noProof/>
              <w:sz w:val="22"/>
              <w:szCs w:val="22"/>
              <w:lang w:eastAsia="en-GB"/>
            </w:rPr>
          </w:pPr>
          <w:hyperlink w:anchor="_Toc95743459" w:history="1">
            <w:r w:rsidR="004564CB" w:rsidRPr="000E1403">
              <w:rPr>
                <w:rStyle w:val="Hyperlink"/>
                <w:noProof/>
                <w:lang w:eastAsia="en-GB"/>
                <w14:scene3d>
                  <w14:camera w14:prst="orthographicFront"/>
                  <w14:lightRig w14:rig="threePt" w14:dir="t">
                    <w14:rot w14:lat="0" w14:lon="0" w14:rev="0"/>
                  </w14:lightRig>
                </w14:scene3d>
              </w:rPr>
              <w:t>8.15</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Premises</w:t>
            </w:r>
            <w:r w:rsidR="004564CB">
              <w:rPr>
                <w:noProof/>
                <w:webHidden/>
              </w:rPr>
              <w:tab/>
            </w:r>
            <w:r w:rsidR="004564CB">
              <w:rPr>
                <w:noProof/>
                <w:webHidden/>
              </w:rPr>
              <w:fldChar w:fldCharType="begin"/>
            </w:r>
            <w:r w:rsidR="004564CB">
              <w:rPr>
                <w:noProof/>
                <w:webHidden/>
              </w:rPr>
              <w:instrText xml:space="preserve"> PAGEREF _Toc95743459 \h </w:instrText>
            </w:r>
            <w:r w:rsidR="004564CB">
              <w:rPr>
                <w:noProof/>
                <w:webHidden/>
              </w:rPr>
            </w:r>
            <w:r w:rsidR="004564CB">
              <w:rPr>
                <w:noProof/>
                <w:webHidden/>
              </w:rPr>
              <w:fldChar w:fldCharType="separate"/>
            </w:r>
            <w:r w:rsidR="00A176C0">
              <w:rPr>
                <w:noProof/>
                <w:webHidden/>
              </w:rPr>
              <w:t>260</w:t>
            </w:r>
            <w:r w:rsidR="004564CB">
              <w:rPr>
                <w:noProof/>
                <w:webHidden/>
              </w:rPr>
              <w:fldChar w:fldCharType="end"/>
            </w:r>
          </w:hyperlink>
        </w:p>
        <w:p w14:paraId="536B8371" w14:textId="38C28061" w:rsidR="004564CB" w:rsidRDefault="000B57EE">
          <w:pPr>
            <w:pStyle w:val="TOC2"/>
            <w:rPr>
              <w:rFonts w:asciiTheme="minorHAnsi" w:eastAsiaTheme="minorEastAsia" w:hAnsiTheme="minorHAnsi" w:cstheme="minorBidi"/>
              <w:bCs w:val="0"/>
              <w:noProof/>
              <w:sz w:val="22"/>
              <w:szCs w:val="22"/>
              <w:lang w:eastAsia="en-GB"/>
            </w:rPr>
          </w:pPr>
          <w:hyperlink w:anchor="_Toc95743460" w:history="1">
            <w:r w:rsidR="004564CB" w:rsidRPr="000E1403">
              <w:rPr>
                <w:rStyle w:val="Hyperlink"/>
                <w:noProof/>
                <w:lang w:eastAsia="en-GB"/>
                <w14:scene3d>
                  <w14:camera w14:prst="orthographicFront"/>
                  <w14:lightRig w14:rig="threePt" w14:dir="t">
                    <w14:rot w14:lat="0" w14:lon="0" w14:rev="0"/>
                  </w14:lightRig>
                </w14:scene3d>
              </w:rPr>
              <w:t>8.16</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Opt Outs</w:t>
            </w:r>
            <w:r w:rsidR="004564CB">
              <w:rPr>
                <w:noProof/>
                <w:webHidden/>
              </w:rPr>
              <w:tab/>
            </w:r>
            <w:r w:rsidR="004564CB">
              <w:rPr>
                <w:noProof/>
                <w:webHidden/>
              </w:rPr>
              <w:fldChar w:fldCharType="begin"/>
            </w:r>
            <w:r w:rsidR="004564CB">
              <w:rPr>
                <w:noProof/>
                <w:webHidden/>
              </w:rPr>
              <w:instrText xml:space="preserve"> PAGEREF _Toc95743460 \h </w:instrText>
            </w:r>
            <w:r w:rsidR="004564CB">
              <w:rPr>
                <w:noProof/>
                <w:webHidden/>
              </w:rPr>
            </w:r>
            <w:r w:rsidR="004564CB">
              <w:rPr>
                <w:noProof/>
                <w:webHidden/>
              </w:rPr>
              <w:fldChar w:fldCharType="separate"/>
            </w:r>
            <w:r w:rsidR="00A176C0">
              <w:rPr>
                <w:noProof/>
                <w:webHidden/>
              </w:rPr>
              <w:t>265</w:t>
            </w:r>
            <w:r w:rsidR="004564CB">
              <w:rPr>
                <w:noProof/>
                <w:webHidden/>
              </w:rPr>
              <w:fldChar w:fldCharType="end"/>
            </w:r>
          </w:hyperlink>
        </w:p>
        <w:p w14:paraId="5E9E6C2D" w14:textId="49D415C0" w:rsidR="004564CB" w:rsidRDefault="000B57EE">
          <w:pPr>
            <w:pStyle w:val="TOC2"/>
            <w:rPr>
              <w:rFonts w:asciiTheme="minorHAnsi" w:eastAsiaTheme="minorEastAsia" w:hAnsiTheme="minorHAnsi" w:cstheme="minorBidi"/>
              <w:bCs w:val="0"/>
              <w:noProof/>
              <w:sz w:val="22"/>
              <w:szCs w:val="22"/>
              <w:lang w:eastAsia="en-GB"/>
            </w:rPr>
          </w:pPr>
          <w:hyperlink w:anchor="_Toc95743461" w:history="1">
            <w:r w:rsidR="004564CB" w:rsidRPr="000E1403">
              <w:rPr>
                <w:rStyle w:val="Hyperlink"/>
                <w:noProof/>
                <w:lang w:eastAsia="en-GB"/>
                <w14:scene3d>
                  <w14:camera w14:prst="orthographicFront"/>
                  <w14:lightRig w14:rig="threePt" w14:dir="t">
                    <w14:rot w14:lat="0" w14:lon="0" w14:rev="0"/>
                  </w14:lightRig>
                </w14:scene3d>
              </w:rPr>
              <w:t>8.17</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Financial Changes – Statement of Financial Entitlements</w:t>
            </w:r>
            <w:r w:rsidR="004564CB">
              <w:rPr>
                <w:noProof/>
                <w:webHidden/>
              </w:rPr>
              <w:tab/>
            </w:r>
            <w:r w:rsidR="004564CB">
              <w:rPr>
                <w:noProof/>
                <w:webHidden/>
              </w:rPr>
              <w:fldChar w:fldCharType="begin"/>
            </w:r>
            <w:r w:rsidR="004564CB">
              <w:rPr>
                <w:noProof/>
                <w:webHidden/>
              </w:rPr>
              <w:instrText xml:space="preserve"> PAGEREF _Toc95743461 \h </w:instrText>
            </w:r>
            <w:r w:rsidR="004564CB">
              <w:rPr>
                <w:noProof/>
                <w:webHidden/>
              </w:rPr>
            </w:r>
            <w:r w:rsidR="004564CB">
              <w:rPr>
                <w:noProof/>
                <w:webHidden/>
              </w:rPr>
              <w:fldChar w:fldCharType="separate"/>
            </w:r>
            <w:r w:rsidR="00A176C0">
              <w:rPr>
                <w:noProof/>
                <w:webHidden/>
              </w:rPr>
              <w:t>270</w:t>
            </w:r>
            <w:r w:rsidR="004564CB">
              <w:rPr>
                <w:noProof/>
                <w:webHidden/>
              </w:rPr>
              <w:fldChar w:fldCharType="end"/>
            </w:r>
          </w:hyperlink>
        </w:p>
        <w:p w14:paraId="7EA8EA49" w14:textId="770B043E" w:rsidR="004564CB" w:rsidRDefault="000B57EE">
          <w:pPr>
            <w:pStyle w:val="TOC2"/>
            <w:rPr>
              <w:rFonts w:asciiTheme="minorHAnsi" w:eastAsiaTheme="minorEastAsia" w:hAnsiTheme="minorHAnsi" w:cstheme="minorBidi"/>
              <w:bCs w:val="0"/>
              <w:noProof/>
              <w:sz w:val="22"/>
              <w:szCs w:val="22"/>
              <w:lang w:eastAsia="en-GB"/>
            </w:rPr>
          </w:pPr>
          <w:hyperlink w:anchor="_Toc95743462" w:history="1">
            <w:r w:rsidR="004564CB" w:rsidRPr="000E1403">
              <w:rPr>
                <w:rStyle w:val="Hyperlink"/>
                <w:noProof/>
                <w14:scene3d>
                  <w14:camera w14:prst="orthographicFront"/>
                  <w14:lightRig w14:rig="threePt" w14:dir="t">
                    <w14:rot w14:lat="0" w14:lon="0" w14:rev="0"/>
                  </w14:lightRig>
                </w14:scene3d>
              </w:rPr>
              <w:t>8.18</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Annex 4 Primary Care Support Services Notifications</w:t>
            </w:r>
            <w:r w:rsidR="004564CB">
              <w:rPr>
                <w:noProof/>
                <w:webHidden/>
              </w:rPr>
              <w:tab/>
            </w:r>
            <w:r w:rsidR="004564CB">
              <w:rPr>
                <w:noProof/>
                <w:webHidden/>
              </w:rPr>
              <w:fldChar w:fldCharType="begin"/>
            </w:r>
            <w:r w:rsidR="004564CB">
              <w:rPr>
                <w:noProof/>
                <w:webHidden/>
              </w:rPr>
              <w:instrText xml:space="preserve"> PAGEREF _Toc95743462 \h </w:instrText>
            </w:r>
            <w:r w:rsidR="004564CB">
              <w:rPr>
                <w:noProof/>
                <w:webHidden/>
              </w:rPr>
            </w:r>
            <w:r w:rsidR="004564CB">
              <w:rPr>
                <w:noProof/>
                <w:webHidden/>
              </w:rPr>
              <w:fldChar w:fldCharType="separate"/>
            </w:r>
            <w:r w:rsidR="00A176C0">
              <w:rPr>
                <w:noProof/>
                <w:webHidden/>
              </w:rPr>
              <w:t>271</w:t>
            </w:r>
            <w:r w:rsidR="004564CB">
              <w:rPr>
                <w:noProof/>
                <w:webHidden/>
              </w:rPr>
              <w:fldChar w:fldCharType="end"/>
            </w:r>
          </w:hyperlink>
        </w:p>
        <w:p w14:paraId="313100F6" w14:textId="7B7CDEFF" w:rsidR="004564CB" w:rsidRDefault="000B57EE">
          <w:pPr>
            <w:pStyle w:val="TOC2"/>
            <w:rPr>
              <w:rFonts w:asciiTheme="minorHAnsi" w:eastAsiaTheme="minorEastAsia" w:hAnsiTheme="minorHAnsi" w:cstheme="minorBidi"/>
              <w:bCs w:val="0"/>
              <w:noProof/>
              <w:sz w:val="22"/>
              <w:szCs w:val="22"/>
              <w:lang w:eastAsia="en-GB"/>
            </w:rPr>
          </w:pPr>
          <w:hyperlink w:anchor="_Toc95743463" w:history="1">
            <w:r w:rsidR="004564CB" w:rsidRPr="000E1403">
              <w:rPr>
                <w:rStyle w:val="Hyperlink"/>
                <w:noProof/>
                <w:lang w:eastAsia="en-GB"/>
                <w14:scene3d>
                  <w14:camera w14:prst="orthographicFront"/>
                  <w14:lightRig w14:rig="threePt" w14:dir="t">
                    <w14:rot w14:lat="0" w14:lon="0" w14:rev="0"/>
                  </w14:lightRig>
                </w14:scene3d>
              </w:rPr>
              <w:t>8.19</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Annexes</w:t>
            </w:r>
            <w:r w:rsidR="004564CB">
              <w:rPr>
                <w:noProof/>
                <w:webHidden/>
              </w:rPr>
              <w:tab/>
            </w:r>
            <w:r w:rsidR="004564CB">
              <w:rPr>
                <w:noProof/>
                <w:webHidden/>
              </w:rPr>
              <w:fldChar w:fldCharType="begin"/>
            </w:r>
            <w:r w:rsidR="004564CB">
              <w:rPr>
                <w:noProof/>
                <w:webHidden/>
              </w:rPr>
              <w:instrText xml:space="preserve"> PAGEREF _Toc95743463 \h </w:instrText>
            </w:r>
            <w:r w:rsidR="004564CB">
              <w:rPr>
                <w:noProof/>
                <w:webHidden/>
              </w:rPr>
            </w:r>
            <w:r w:rsidR="004564CB">
              <w:rPr>
                <w:noProof/>
                <w:webHidden/>
              </w:rPr>
              <w:fldChar w:fldCharType="separate"/>
            </w:r>
            <w:r w:rsidR="00A176C0">
              <w:rPr>
                <w:noProof/>
                <w:webHidden/>
              </w:rPr>
              <w:t>271</w:t>
            </w:r>
            <w:r w:rsidR="004564CB">
              <w:rPr>
                <w:noProof/>
                <w:webHidden/>
              </w:rPr>
              <w:fldChar w:fldCharType="end"/>
            </w:r>
          </w:hyperlink>
        </w:p>
        <w:p w14:paraId="3FFE9C62" w14:textId="70F8CF4A" w:rsidR="004564CB" w:rsidRDefault="000B57EE">
          <w:pPr>
            <w:pStyle w:val="TOC1"/>
            <w:rPr>
              <w:rFonts w:asciiTheme="minorHAnsi" w:eastAsiaTheme="minorEastAsia" w:hAnsiTheme="minorHAnsi" w:cstheme="minorBidi"/>
              <w:bCs w:val="0"/>
              <w:color w:val="auto"/>
              <w:sz w:val="22"/>
              <w:szCs w:val="22"/>
              <w:lang w:eastAsia="en-GB"/>
            </w:rPr>
          </w:pPr>
          <w:hyperlink w:anchor="_Toc95743464" w:history="1">
            <w:r w:rsidR="004564CB" w:rsidRPr="000E1403">
              <w:rPr>
                <w:rStyle w:val="Hyperlink"/>
              </w:rPr>
              <w:t>9</w:t>
            </w:r>
            <w:r w:rsidR="004564CB">
              <w:rPr>
                <w:rFonts w:asciiTheme="minorHAnsi" w:eastAsiaTheme="minorEastAsia" w:hAnsiTheme="minorHAnsi" w:cstheme="minorBidi"/>
                <w:bCs w:val="0"/>
                <w:color w:val="auto"/>
                <w:sz w:val="22"/>
                <w:szCs w:val="22"/>
                <w:lang w:eastAsia="en-GB"/>
              </w:rPr>
              <w:tab/>
            </w:r>
            <w:r w:rsidR="004564CB" w:rsidRPr="000E1403">
              <w:rPr>
                <w:rStyle w:val="Hyperlink"/>
              </w:rPr>
              <w:t>Managing a PMS Contractor’s Right to a GMS Contract</w:t>
            </w:r>
            <w:r w:rsidR="004564CB">
              <w:rPr>
                <w:webHidden/>
              </w:rPr>
              <w:tab/>
            </w:r>
            <w:r w:rsidR="004564CB">
              <w:rPr>
                <w:webHidden/>
              </w:rPr>
              <w:fldChar w:fldCharType="begin"/>
            </w:r>
            <w:r w:rsidR="004564CB">
              <w:rPr>
                <w:webHidden/>
              </w:rPr>
              <w:instrText xml:space="preserve"> PAGEREF _Toc95743464 \h </w:instrText>
            </w:r>
            <w:r w:rsidR="004564CB">
              <w:rPr>
                <w:webHidden/>
              </w:rPr>
            </w:r>
            <w:r w:rsidR="004564CB">
              <w:rPr>
                <w:webHidden/>
              </w:rPr>
              <w:fldChar w:fldCharType="separate"/>
            </w:r>
            <w:r w:rsidR="00A176C0">
              <w:rPr>
                <w:webHidden/>
              </w:rPr>
              <w:t>275</w:t>
            </w:r>
            <w:r w:rsidR="004564CB">
              <w:rPr>
                <w:webHidden/>
              </w:rPr>
              <w:fldChar w:fldCharType="end"/>
            </w:r>
          </w:hyperlink>
        </w:p>
        <w:p w14:paraId="25C22C3A" w14:textId="5203C06D" w:rsidR="004564CB" w:rsidRDefault="000B57EE">
          <w:pPr>
            <w:pStyle w:val="TOC2"/>
            <w:rPr>
              <w:rFonts w:asciiTheme="minorHAnsi" w:eastAsiaTheme="minorEastAsia" w:hAnsiTheme="minorHAnsi" w:cstheme="minorBidi"/>
              <w:bCs w:val="0"/>
              <w:noProof/>
              <w:sz w:val="22"/>
              <w:szCs w:val="22"/>
              <w:lang w:eastAsia="en-GB"/>
            </w:rPr>
          </w:pPr>
          <w:hyperlink w:anchor="_Toc95743465" w:history="1">
            <w:r w:rsidR="004564CB" w:rsidRPr="000E1403">
              <w:rPr>
                <w:rStyle w:val="Hyperlink"/>
                <w:noProof/>
                <w:lang w:eastAsia="en-GB"/>
                <w14:scene3d>
                  <w14:camera w14:prst="orthographicFront"/>
                  <w14:lightRig w14:rig="threePt" w14:dir="t">
                    <w14:rot w14:lat="0" w14:lon="0" w14:rev="0"/>
                  </w14:lightRig>
                </w14:scene3d>
              </w:rPr>
              <w:t>9.1</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Introduction</w:t>
            </w:r>
            <w:r w:rsidR="004564CB">
              <w:rPr>
                <w:noProof/>
                <w:webHidden/>
              </w:rPr>
              <w:tab/>
            </w:r>
            <w:r w:rsidR="004564CB">
              <w:rPr>
                <w:noProof/>
                <w:webHidden/>
              </w:rPr>
              <w:fldChar w:fldCharType="begin"/>
            </w:r>
            <w:r w:rsidR="004564CB">
              <w:rPr>
                <w:noProof/>
                <w:webHidden/>
              </w:rPr>
              <w:instrText xml:space="preserve"> PAGEREF _Toc95743465 \h </w:instrText>
            </w:r>
            <w:r w:rsidR="004564CB">
              <w:rPr>
                <w:noProof/>
                <w:webHidden/>
              </w:rPr>
            </w:r>
            <w:r w:rsidR="004564CB">
              <w:rPr>
                <w:noProof/>
                <w:webHidden/>
              </w:rPr>
              <w:fldChar w:fldCharType="separate"/>
            </w:r>
            <w:r w:rsidR="00A176C0">
              <w:rPr>
                <w:noProof/>
                <w:webHidden/>
              </w:rPr>
              <w:t>275</w:t>
            </w:r>
            <w:r w:rsidR="004564CB">
              <w:rPr>
                <w:noProof/>
                <w:webHidden/>
              </w:rPr>
              <w:fldChar w:fldCharType="end"/>
            </w:r>
          </w:hyperlink>
        </w:p>
        <w:p w14:paraId="252771A2" w14:textId="630D2B87" w:rsidR="004564CB" w:rsidRDefault="000B57EE">
          <w:pPr>
            <w:pStyle w:val="TOC2"/>
            <w:rPr>
              <w:rFonts w:asciiTheme="minorHAnsi" w:eastAsiaTheme="minorEastAsia" w:hAnsiTheme="minorHAnsi" w:cstheme="minorBidi"/>
              <w:bCs w:val="0"/>
              <w:noProof/>
              <w:sz w:val="22"/>
              <w:szCs w:val="22"/>
              <w:lang w:eastAsia="en-GB"/>
            </w:rPr>
          </w:pPr>
          <w:hyperlink w:anchor="_Toc95743466" w:history="1">
            <w:r w:rsidR="004564CB" w:rsidRPr="000E1403">
              <w:rPr>
                <w:rStyle w:val="Hyperlink"/>
                <w:noProof/>
                <w14:scene3d>
                  <w14:camera w14:prst="orthographicFront"/>
                  <w14:lightRig w14:rig="threePt" w14:dir="t">
                    <w14:rot w14:lat="0" w14:lon="0" w14:rev="0"/>
                  </w14:lightRig>
                </w14:scene3d>
              </w:rPr>
              <w:t>9.2</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Roles and Responsibilities</w:t>
            </w:r>
            <w:r w:rsidR="004564CB">
              <w:rPr>
                <w:noProof/>
                <w:webHidden/>
              </w:rPr>
              <w:tab/>
            </w:r>
            <w:r w:rsidR="004564CB">
              <w:rPr>
                <w:noProof/>
                <w:webHidden/>
              </w:rPr>
              <w:fldChar w:fldCharType="begin"/>
            </w:r>
            <w:r w:rsidR="004564CB">
              <w:rPr>
                <w:noProof/>
                <w:webHidden/>
              </w:rPr>
              <w:instrText xml:space="preserve"> PAGEREF _Toc95743466 \h </w:instrText>
            </w:r>
            <w:r w:rsidR="004564CB">
              <w:rPr>
                <w:noProof/>
                <w:webHidden/>
              </w:rPr>
            </w:r>
            <w:r w:rsidR="004564CB">
              <w:rPr>
                <w:noProof/>
                <w:webHidden/>
              </w:rPr>
              <w:fldChar w:fldCharType="separate"/>
            </w:r>
            <w:r w:rsidR="00A176C0">
              <w:rPr>
                <w:noProof/>
                <w:webHidden/>
              </w:rPr>
              <w:t>275</w:t>
            </w:r>
            <w:r w:rsidR="004564CB">
              <w:rPr>
                <w:noProof/>
                <w:webHidden/>
              </w:rPr>
              <w:fldChar w:fldCharType="end"/>
            </w:r>
          </w:hyperlink>
        </w:p>
        <w:p w14:paraId="753F0F0B" w14:textId="451FFCE0" w:rsidR="004564CB" w:rsidRDefault="000B57EE">
          <w:pPr>
            <w:pStyle w:val="TOC2"/>
            <w:rPr>
              <w:rFonts w:asciiTheme="minorHAnsi" w:eastAsiaTheme="minorEastAsia" w:hAnsiTheme="minorHAnsi" w:cstheme="minorBidi"/>
              <w:bCs w:val="0"/>
              <w:noProof/>
              <w:sz w:val="22"/>
              <w:szCs w:val="22"/>
              <w:lang w:eastAsia="en-GB"/>
            </w:rPr>
          </w:pPr>
          <w:hyperlink w:anchor="_Toc95743467" w:history="1">
            <w:r w:rsidR="004564CB" w:rsidRPr="000E1403">
              <w:rPr>
                <w:rStyle w:val="Hyperlink"/>
                <w:noProof/>
                <w:lang w:eastAsia="en-GB"/>
                <w14:scene3d>
                  <w14:camera w14:prst="orthographicFront"/>
                  <w14:lightRig w14:rig="threePt" w14:dir="t">
                    <w14:rot w14:lat="0" w14:lon="0" w14:rev="0"/>
                  </w14:lightRig>
                </w14:scene3d>
              </w:rPr>
              <w:t>9.3</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Background</w:t>
            </w:r>
            <w:r w:rsidR="004564CB">
              <w:rPr>
                <w:noProof/>
                <w:webHidden/>
              </w:rPr>
              <w:tab/>
            </w:r>
            <w:r w:rsidR="004564CB">
              <w:rPr>
                <w:noProof/>
                <w:webHidden/>
              </w:rPr>
              <w:fldChar w:fldCharType="begin"/>
            </w:r>
            <w:r w:rsidR="004564CB">
              <w:rPr>
                <w:noProof/>
                <w:webHidden/>
              </w:rPr>
              <w:instrText xml:space="preserve"> PAGEREF _Toc95743467 \h </w:instrText>
            </w:r>
            <w:r w:rsidR="004564CB">
              <w:rPr>
                <w:noProof/>
                <w:webHidden/>
              </w:rPr>
            </w:r>
            <w:r w:rsidR="004564CB">
              <w:rPr>
                <w:noProof/>
                <w:webHidden/>
              </w:rPr>
              <w:fldChar w:fldCharType="separate"/>
            </w:r>
            <w:r w:rsidR="00A176C0">
              <w:rPr>
                <w:noProof/>
                <w:webHidden/>
              </w:rPr>
              <w:t>275</w:t>
            </w:r>
            <w:r w:rsidR="004564CB">
              <w:rPr>
                <w:noProof/>
                <w:webHidden/>
              </w:rPr>
              <w:fldChar w:fldCharType="end"/>
            </w:r>
          </w:hyperlink>
        </w:p>
        <w:p w14:paraId="0F3105DF" w14:textId="72DA54E2" w:rsidR="004564CB" w:rsidRDefault="000B57EE">
          <w:pPr>
            <w:pStyle w:val="TOC2"/>
            <w:rPr>
              <w:rFonts w:asciiTheme="minorHAnsi" w:eastAsiaTheme="minorEastAsia" w:hAnsiTheme="minorHAnsi" w:cstheme="minorBidi"/>
              <w:bCs w:val="0"/>
              <w:noProof/>
              <w:sz w:val="22"/>
              <w:szCs w:val="22"/>
              <w:lang w:eastAsia="en-GB"/>
            </w:rPr>
          </w:pPr>
          <w:hyperlink w:anchor="_Toc95743468" w:history="1">
            <w:r w:rsidR="004564CB" w:rsidRPr="000E1403">
              <w:rPr>
                <w:rStyle w:val="Hyperlink"/>
                <w:noProof/>
                <w:lang w:eastAsia="en-GB"/>
                <w14:scene3d>
                  <w14:camera w14:prst="orthographicFront"/>
                  <w14:lightRig w14:rig="threePt" w14:dir="t">
                    <w14:rot w14:lat="0" w14:lon="0" w14:rev="0"/>
                  </w14:lightRig>
                </w14:scene3d>
              </w:rPr>
              <w:t>9.4</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Notification from a Contractor</w:t>
            </w:r>
            <w:r w:rsidR="004564CB">
              <w:rPr>
                <w:noProof/>
                <w:webHidden/>
              </w:rPr>
              <w:tab/>
            </w:r>
            <w:r w:rsidR="004564CB">
              <w:rPr>
                <w:noProof/>
                <w:webHidden/>
              </w:rPr>
              <w:fldChar w:fldCharType="begin"/>
            </w:r>
            <w:r w:rsidR="004564CB">
              <w:rPr>
                <w:noProof/>
                <w:webHidden/>
              </w:rPr>
              <w:instrText xml:space="preserve"> PAGEREF _Toc95743468 \h </w:instrText>
            </w:r>
            <w:r w:rsidR="004564CB">
              <w:rPr>
                <w:noProof/>
                <w:webHidden/>
              </w:rPr>
            </w:r>
            <w:r w:rsidR="004564CB">
              <w:rPr>
                <w:noProof/>
                <w:webHidden/>
              </w:rPr>
              <w:fldChar w:fldCharType="separate"/>
            </w:r>
            <w:r w:rsidR="00A176C0">
              <w:rPr>
                <w:noProof/>
                <w:webHidden/>
              </w:rPr>
              <w:t>276</w:t>
            </w:r>
            <w:r w:rsidR="004564CB">
              <w:rPr>
                <w:noProof/>
                <w:webHidden/>
              </w:rPr>
              <w:fldChar w:fldCharType="end"/>
            </w:r>
          </w:hyperlink>
        </w:p>
        <w:p w14:paraId="66BAECA3" w14:textId="2279D1E6" w:rsidR="004564CB" w:rsidRDefault="000B57EE">
          <w:pPr>
            <w:pStyle w:val="TOC2"/>
            <w:rPr>
              <w:rFonts w:asciiTheme="minorHAnsi" w:eastAsiaTheme="minorEastAsia" w:hAnsiTheme="minorHAnsi" w:cstheme="minorBidi"/>
              <w:bCs w:val="0"/>
              <w:noProof/>
              <w:sz w:val="22"/>
              <w:szCs w:val="22"/>
              <w:lang w:eastAsia="en-GB"/>
            </w:rPr>
          </w:pPr>
          <w:hyperlink w:anchor="_Toc95743469" w:history="1">
            <w:r w:rsidR="004564CB" w:rsidRPr="000E1403">
              <w:rPr>
                <w:rStyle w:val="Hyperlink"/>
                <w:noProof/>
                <w:lang w:eastAsia="en-GB"/>
                <w14:scene3d>
                  <w14:camera w14:prst="orthographicFront"/>
                  <w14:lightRig w14:rig="threePt" w14:dir="t">
                    <w14:rot w14:lat="0" w14:lon="0" w14:rev="0"/>
                  </w14:lightRig>
                </w14:scene3d>
              </w:rPr>
              <w:t>9.5</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Process for PMS Agreements</w:t>
            </w:r>
            <w:r w:rsidR="004564CB">
              <w:rPr>
                <w:noProof/>
                <w:webHidden/>
              </w:rPr>
              <w:tab/>
            </w:r>
            <w:r w:rsidR="004564CB">
              <w:rPr>
                <w:noProof/>
                <w:webHidden/>
              </w:rPr>
              <w:fldChar w:fldCharType="begin"/>
            </w:r>
            <w:r w:rsidR="004564CB">
              <w:rPr>
                <w:noProof/>
                <w:webHidden/>
              </w:rPr>
              <w:instrText xml:space="preserve"> PAGEREF _Toc95743469 \h </w:instrText>
            </w:r>
            <w:r w:rsidR="004564CB">
              <w:rPr>
                <w:noProof/>
                <w:webHidden/>
              </w:rPr>
            </w:r>
            <w:r w:rsidR="004564CB">
              <w:rPr>
                <w:noProof/>
                <w:webHidden/>
              </w:rPr>
              <w:fldChar w:fldCharType="separate"/>
            </w:r>
            <w:r w:rsidR="00A176C0">
              <w:rPr>
                <w:noProof/>
                <w:webHidden/>
              </w:rPr>
              <w:t>276</w:t>
            </w:r>
            <w:r w:rsidR="004564CB">
              <w:rPr>
                <w:noProof/>
                <w:webHidden/>
              </w:rPr>
              <w:fldChar w:fldCharType="end"/>
            </w:r>
          </w:hyperlink>
        </w:p>
        <w:p w14:paraId="2C1524FF" w14:textId="597CA22C" w:rsidR="004564CB" w:rsidRDefault="000B57EE">
          <w:pPr>
            <w:pStyle w:val="TOC2"/>
            <w:rPr>
              <w:rFonts w:asciiTheme="minorHAnsi" w:eastAsiaTheme="minorEastAsia" w:hAnsiTheme="minorHAnsi" w:cstheme="minorBidi"/>
              <w:bCs w:val="0"/>
              <w:noProof/>
              <w:sz w:val="22"/>
              <w:szCs w:val="22"/>
              <w:lang w:eastAsia="en-GB"/>
            </w:rPr>
          </w:pPr>
          <w:hyperlink w:anchor="_Toc95743470" w:history="1">
            <w:r w:rsidR="004564CB" w:rsidRPr="000E1403">
              <w:rPr>
                <w:rStyle w:val="Hyperlink"/>
                <w:noProof/>
                <w:lang w:eastAsia="en-GB"/>
                <w14:scene3d>
                  <w14:camera w14:prst="orthographicFront"/>
                  <w14:lightRig w14:rig="threePt" w14:dir="t">
                    <w14:rot w14:lat="0" w14:lon="0" w14:rev="0"/>
                  </w14:lightRig>
                </w14:scene3d>
              </w:rPr>
              <w:t>9.6</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Disputes</w:t>
            </w:r>
            <w:r w:rsidR="004564CB">
              <w:rPr>
                <w:noProof/>
                <w:webHidden/>
              </w:rPr>
              <w:tab/>
            </w:r>
            <w:r w:rsidR="004564CB">
              <w:rPr>
                <w:noProof/>
                <w:webHidden/>
              </w:rPr>
              <w:fldChar w:fldCharType="begin"/>
            </w:r>
            <w:r w:rsidR="004564CB">
              <w:rPr>
                <w:noProof/>
                <w:webHidden/>
              </w:rPr>
              <w:instrText xml:space="preserve"> PAGEREF _Toc95743470 \h </w:instrText>
            </w:r>
            <w:r w:rsidR="004564CB">
              <w:rPr>
                <w:noProof/>
                <w:webHidden/>
              </w:rPr>
            </w:r>
            <w:r w:rsidR="004564CB">
              <w:rPr>
                <w:noProof/>
                <w:webHidden/>
              </w:rPr>
              <w:fldChar w:fldCharType="separate"/>
            </w:r>
            <w:r w:rsidR="00A176C0">
              <w:rPr>
                <w:noProof/>
                <w:webHidden/>
              </w:rPr>
              <w:t>278</w:t>
            </w:r>
            <w:r w:rsidR="004564CB">
              <w:rPr>
                <w:noProof/>
                <w:webHidden/>
              </w:rPr>
              <w:fldChar w:fldCharType="end"/>
            </w:r>
          </w:hyperlink>
        </w:p>
        <w:p w14:paraId="4239272C" w14:textId="01019464" w:rsidR="004564CB" w:rsidRDefault="000B57EE">
          <w:pPr>
            <w:pStyle w:val="TOC1"/>
            <w:rPr>
              <w:rFonts w:asciiTheme="minorHAnsi" w:eastAsiaTheme="minorEastAsia" w:hAnsiTheme="minorHAnsi" w:cstheme="minorBidi"/>
              <w:bCs w:val="0"/>
              <w:color w:val="auto"/>
              <w:sz w:val="22"/>
              <w:szCs w:val="22"/>
              <w:lang w:eastAsia="en-GB"/>
            </w:rPr>
          </w:pPr>
          <w:hyperlink w:anchor="_Toc95743471" w:history="1">
            <w:r w:rsidR="004564CB" w:rsidRPr="000E1403">
              <w:rPr>
                <w:rStyle w:val="Hyperlink"/>
                <w:lang w:eastAsia="en-GB"/>
              </w:rPr>
              <w:t>10</w:t>
            </w:r>
            <w:r w:rsidR="004564CB">
              <w:rPr>
                <w:rFonts w:asciiTheme="minorHAnsi" w:eastAsiaTheme="minorEastAsia" w:hAnsiTheme="minorHAnsi" w:cstheme="minorBidi"/>
                <w:bCs w:val="0"/>
                <w:color w:val="auto"/>
                <w:sz w:val="22"/>
                <w:szCs w:val="22"/>
                <w:lang w:eastAsia="en-GB"/>
              </w:rPr>
              <w:tab/>
            </w:r>
            <w:r w:rsidR="004564CB" w:rsidRPr="000E1403">
              <w:rPr>
                <w:rStyle w:val="Hyperlink"/>
              </w:rPr>
              <w:t>Practice Closedown (Planned / Scheduled)</w:t>
            </w:r>
            <w:r w:rsidR="004564CB">
              <w:rPr>
                <w:webHidden/>
              </w:rPr>
              <w:tab/>
            </w:r>
            <w:r w:rsidR="004564CB">
              <w:rPr>
                <w:webHidden/>
              </w:rPr>
              <w:fldChar w:fldCharType="begin"/>
            </w:r>
            <w:r w:rsidR="004564CB">
              <w:rPr>
                <w:webHidden/>
              </w:rPr>
              <w:instrText xml:space="preserve"> PAGEREF _Toc95743471 \h </w:instrText>
            </w:r>
            <w:r w:rsidR="004564CB">
              <w:rPr>
                <w:webHidden/>
              </w:rPr>
            </w:r>
            <w:r w:rsidR="004564CB">
              <w:rPr>
                <w:webHidden/>
              </w:rPr>
              <w:fldChar w:fldCharType="separate"/>
            </w:r>
            <w:r w:rsidR="00A176C0">
              <w:rPr>
                <w:webHidden/>
              </w:rPr>
              <w:t>280</w:t>
            </w:r>
            <w:r w:rsidR="004564CB">
              <w:rPr>
                <w:webHidden/>
              </w:rPr>
              <w:fldChar w:fldCharType="end"/>
            </w:r>
          </w:hyperlink>
        </w:p>
        <w:p w14:paraId="25A0A957" w14:textId="7E9D7F2E" w:rsidR="004564CB" w:rsidRDefault="000B57EE">
          <w:pPr>
            <w:pStyle w:val="TOC2"/>
            <w:rPr>
              <w:rFonts w:asciiTheme="minorHAnsi" w:eastAsiaTheme="minorEastAsia" w:hAnsiTheme="minorHAnsi" w:cstheme="minorBidi"/>
              <w:bCs w:val="0"/>
              <w:noProof/>
              <w:sz w:val="22"/>
              <w:szCs w:val="22"/>
              <w:lang w:eastAsia="en-GB"/>
            </w:rPr>
          </w:pPr>
          <w:hyperlink w:anchor="_Toc95743472" w:history="1">
            <w:r w:rsidR="004564CB" w:rsidRPr="000E1403">
              <w:rPr>
                <w:rStyle w:val="Hyperlink"/>
                <w:noProof/>
                <w:lang w:eastAsia="en-GB"/>
                <w14:scene3d>
                  <w14:camera w14:prst="orthographicFront"/>
                  <w14:lightRig w14:rig="threePt" w14:dir="t">
                    <w14:rot w14:lat="0" w14:lon="0" w14:rev="0"/>
                  </w14:lightRig>
                </w14:scene3d>
              </w:rPr>
              <w:t>10.1</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Introduction</w:t>
            </w:r>
            <w:r w:rsidR="004564CB">
              <w:rPr>
                <w:noProof/>
                <w:webHidden/>
              </w:rPr>
              <w:tab/>
            </w:r>
            <w:r w:rsidR="004564CB">
              <w:rPr>
                <w:noProof/>
                <w:webHidden/>
              </w:rPr>
              <w:fldChar w:fldCharType="begin"/>
            </w:r>
            <w:r w:rsidR="004564CB">
              <w:rPr>
                <w:noProof/>
                <w:webHidden/>
              </w:rPr>
              <w:instrText xml:space="preserve"> PAGEREF _Toc95743472 \h </w:instrText>
            </w:r>
            <w:r w:rsidR="004564CB">
              <w:rPr>
                <w:noProof/>
                <w:webHidden/>
              </w:rPr>
            </w:r>
            <w:r w:rsidR="004564CB">
              <w:rPr>
                <w:noProof/>
                <w:webHidden/>
              </w:rPr>
              <w:fldChar w:fldCharType="separate"/>
            </w:r>
            <w:r w:rsidR="00A176C0">
              <w:rPr>
                <w:noProof/>
                <w:webHidden/>
              </w:rPr>
              <w:t>280</w:t>
            </w:r>
            <w:r w:rsidR="004564CB">
              <w:rPr>
                <w:noProof/>
                <w:webHidden/>
              </w:rPr>
              <w:fldChar w:fldCharType="end"/>
            </w:r>
          </w:hyperlink>
        </w:p>
        <w:p w14:paraId="1F8D26BB" w14:textId="6A947140" w:rsidR="004564CB" w:rsidRDefault="000B57EE">
          <w:pPr>
            <w:pStyle w:val="TOC2"/>
            <w:rPr>
              <w:rFonts w:asciiTheme="minorHAnsi" w:eastAsiaTheme="minorEastAsia" w:hAnsiTheme="minorHAnsi" w:cstheme="minorBidi"/>
              <w:bCs w:val="0"/>
              <w:noProof/>
              <w:sz w:val="22"/>
              <w:szCs w:val="22"/>
              <w:lang w:eastAsia="en-GB"/>
            </w:rPr>
          </w:pPr>
          <w:hyperlink w:anchor="_Toc95743473" w:history="1">
            <w:r w:rsidR="004564CB" w:rsidRPr="000E1403">
              <w:rPr>
                <w:rStyle w:val="Hyperlink"/>
                <w:noProof/>
                <w:lang w:eastAsia="en-GB"/>
                <w14:scene3d>
                  <w14:camera w14:prst="orthographicFront"/>
                  <w14:lightRig w14:rig="threePt" w14:dir="t">
                    <w14:rot w14:lat="0" w14:lon="0" w14:rev="0"/>
                  </w14:lightRig>
                </w14:scene3d>
              </w:rPr>
              <w:t>10.2</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Scope</w:t>
            </w:r>
            <w:r w:rsidR="004564CB">
              <w:rPr>
                <w:noProof/>
                <w:webHidden/>
              </w:rPr>
              <w:tab/>
            </w:r>
            <w:r w:rsidR="004564CB">
              <w:rPr>
                <w:noProof/>
                <w:webHidden/>
              </w:rPr>
              <w:fldChar w:fldCharType="begin"/>
            </w:r>
            <w:r w:rsidR="004564CB">
              <w:rPr>
                <w:noProof/>
                <w:webHidden/>
              </w:rPr>
              <w:instrText xml:space="preserve"> PAGEREF _Toc95743473 \h </w:instrText>
            </w:r>
            <w:r w:rsidR="004564CB">
              <w:rPr>
                <w:noProof/>
                <w:webHidden/>
              </w:rPr>
            </w:r>
            <w:r w:rsidR="004564CB">
              <w:rPr>
                <w:noProof/>
                <w:webHidden/>
              </w:rPr>
              <w:fldChar w:fldCharType="separate"/>
            </w:r>
            <w:r w:rsidR="00A176C0">
              <w:rPr>
                <w:noProof/>
                <w:webHidden/>
              </w:rPr>
              <w:t>280</w:t>
            </w:r>
            <w:r w:rsidR="004564CB">
              <w:rPr>
                <w:noProof/>
                <w:webHidden/>
              </w:rPr>
              <w:fldChar w:fldCharType="end"/>
            </w:r>
          </w:hyperlink>
        </w:p>
        <w:p w14:paraId="05138949" w14:textId="61957D57" w:rsidR="004564CB" w:rsidRDefault="000B57EE">
          <w:pPr>
            <w:pStyle w:val="TOC2"/>
            <w:rPr>
              <w:rFonts w:asciiTheme="minorHAnsi" w:eastAsiaTheme="minorEastAsia" w:hAnsiTheme="minorHAnsi" w:cstheme="minorBidi"/>
              <w:bCs w:val="0"/>
              <w:noProof/>
              <w:sz w:val="22"/>
              <w:szCs w:val="22"/>
              <w:lang w:eastAsia="en-GB"/>
            </w:rPr>
          </w:pPr>
          <w:hyperlink w:anchor="_Toc95743474" w:history="1">
            <w:r w:rsidR="004564CB" w:rsidRPr="000E1403">
              <w:rPr>
                <w:rStyle w:val="Hyperlink"/>
                <w:noProof/>
                <w:lang w:eastAsia="en-GB"/>
                <w14:scene3d>
                  <w14:camera w14:prst="orthographicFront"/>
                  <w14:lightRig w14:rig="threePt" w14:dir="t">
                    <w14:rot w14:lat="0" w14:lon="0" w14:rev="0"/>
                  </w14:lightRig>
                </w14:scene3d>
              </w:rPr>
              <w:t>10.3</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Timetable for Managing Contracts Coming to an End</w:t>
            </w:r>
            <w:r w:rsidR="004564CB">
              <w:rPr>
                <w:noProof/>
                <w:webHidden/>
              </w:rPr>
              <w:tab/>
            </w:r>
            <w:r w:rsidR="004564CB">
              <w:rPr>
                <w:noProof/>
                <w:webHidden/>
              </w:rPr>
              <w:fldChar w:fldCharType="begin"/>
            </w:r>
            <w:r w:rsidR="004564CB">
              <w:rPr>
                <w:noProof/>
                <w:webHidden/>
              </w:rPr>
              <w:instrText xml:space="preserve"> PAGEREF _Toc95743474 \h </w:instrText>
            </w:r>
            <w:r w:rsidR="004564CB">
              <w:rPr>
                <w:noProof/>
                <w:webHidden/>
              </w:rPr>
            </w:r>
            <w:r w:rsidR="004564CB">
              <w:rPr>
                <w:noProof/>
                <w:webHidden/>
              </w:rPr>
              <w:fldChar w:fldCharType="separate"/>
            </w:r>
            <w:r w:rsidR="00A176C0">
              <w:rPr>
                <w:noProof/>
                <w:webHidden/>
              </w:rPr>
              <w:t>281</w:t>
            </w:r>
            <w:r w:rsidR="004564CB">
              <w:rPr>
                <w:noProof/>
                <w:webHidden/>
              </w:rPr>
              <w:fldChar w:fldCharType="end"/>
            </w:r>
          </w:hyperlink>
        </w:p>
        <w:p w14:paraId="59867595" w14:textId="62444A4B" w:rsidR="004564CB" w:rsidRDefault="000B57EE">
          <w:pPr>
            <w:pStyle w:val="TOC2"/>
            <w:rPr>
              <w:rFonts w:asciiTheme="minorHAnsi" w:eastAsiaTheme="minorEastAsia" w:hAnsiTheme="minorHAnsi" w:cstheme="minorBidi"/>
              <w:bCs w:val="0"/>
              <w:noProof/>
              <w:sz w:val="22"/>
              <w:szCs w:val="22"/>
              <w:lang w:eastAsia="en-GB"/>
            </w:rPr>
          </w:pPr>
          <w:hyperlink w:anchor="_Toc95743475" w:history="1">
            <w:r w:rsidR="004564CB" w:rsidRPr="000E1403">
              <w:rPr>
                <w:rStyle w:val="Hyperlink"/>
                <w:noProof/>
                <w:lang w:eastAsia="en-GB"/>
                <w14:scene3d>
                  <w14:camera w14:prst="orthographicFront"/>
                  <w14:lightRig w14:rig="threePt" w14:dir="t">
                    <w14:rot w14:lat="0" w14:lon="0" w14:rev="0"/>
                  </w14:lightRig>
                </w14:scene3d>
              </w:rPr>
              <w:t>10.4</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Summary of Key Stages</w:t>
            </w:r>
            <w:r w:rsidR="004564CB">
              <w:rPr>
                <w:noProof/>
                <w:webHidden/>
              </w:rPr>
              <w:tab/>
            </w:r>
            <w:r w:rsidR="004564CB">
              <w:rPr>
                <w:noProof/>
                <w:webHidden/>
              </w:rPr>
              <w:fldChar w:fldCharType="begin"/>
            </w:r>
            <w:r w:rsidR="004564CB">
              <w:rPr>
                <w:noProof/>
                <w:webHidden/>
              </w:rPr>
              <w:instrText xml:space="preserve"> PAGEREF _Toc95743475 \h </w:instrText>
            </w:r>
            <w:r w:rsidR="004564CB">
              <w:rPr>
                <w:noProof/>
                <w:webHidden/>
              </w:rPr>
            </w:r>
            <w:r w:rsidR="004564CB">
              <w:rPr>
                <w:noProof/>
                <w:webHidden/>
              </w:rPr>
              <w:fldChar w:fldCharType="separate"/>
            </w:r>
            <w:r w:rsidR="00A176C0">
              <w:rPr>
                <w:noProof/>
                <w:webHidden/>
              </w:rPr>
              <w:t>282</w:t>
            </w:r>
            <w:r w:rsidR="004564CB">
              <w:rPr>
                <w:noProof/>
                <w:webHidden/>
              </w:rPr>
              <w:fldChar w:fldCharType="end"/>
            </w:r>
          </w:hyperlink>
        </w:p>
        <w:p w14:paraId="1659BA96" w14:textId="0FB13DB9" w:rsidR="004564CB" w:rsidRDefault="000B57EE">
          <w:pPr>
            <w:pStyle w:val="TOC2"/>
            <w:rPr>
              <w:rFonts w:asciiTheme="minorHAnsi" w:eastAsiaTheme="minorEastAsia" w:hAnsiTheme="minorHAnsi" w:cstheme="minorBidi"/>
              <w:bCs w:val="0"/>
              <w:noProof/>
              <w:sz w:val="22"/>
              <w:szCs w:val="22"/>
              <w:lang w:eastAsia="en-GB"/>
            </w:rPr>
          </w:pPr>
          <w:hyperlink w:anchor="_Toc95743476" w:history="1">
            <w:r w:rsidR="004564CB" w:rsidRPr="000E1403">
              <w:rPr>
                <w:rStyle w:val="Hyperlink"/>
                <w:noProof/>
                <w:lang w:eastAsia="en-GB"/>
                <w14:scene3d>
                  <w14:camera w14:prst="orthographicFront"/>
                  <w14:lightRig w14:rig="threePt" w14:dir="t">
                    <w14:rot w14:lat="0" w14:lon="0" w14:rev="0"/>
                  </w14:lightRig>
                </w14:scene3d>
              </w:rPr>
              <w:t>10.5</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Stage 1 – 9 – 15 Months before Contract End</w:t>
            </w:r>
            <w:r w:rsidR="004564CB">
              <w:rPr>
                <w:noProof/>
                <w:webHidden/>
              </w:rPr>
              <w:tab/>
            </w:r>
            <w:r w:rsidR="004564CB">
              <w:rPr>
                <w:noProof/>
                <w:webHidden/>
              </w:rPr>
              <w:fldChar w:fldCharType="begin"/>
            </w:r>
            <w:r w:rsidR="004564CB">
              <w:rPr>
                <w:noProof/>
                <w:webHidden/>
              </w:rPr>
              <w:instrText xml:space="preserve"> PAGEREF _Toc95743476 \h </w:instrText>
            </w:r>
            <w:r w:rsidR="004564CB">
              <w:rPr>
                <w:noProof/>
                <w:webHidden/>
              </w:rPr>
            </w:r>
            <w:r w:rsidR="004564CB">
              <w:rPr>
                <w:noProof/>
                <w:webHidden/>
              </w:rPr>
              <w:fldChar w:fldCharType="separate"/>
            </w:r>
            <w:r w:rsidR="00A176C0">
              <w:rPr>
                <w:noProof/>
                <w:webHidden/>
              </w:rPr>
              <w:t>282</w:t>
            </w:r>
            <w:r w:rsidR="004564CB">
              <w:rPr>
                <w:noProof/>
                <w:webHidden/>
              </w:rPr>
              <w:fldChar w:fldCharType="end"/>
            </w:r>
          </w:hyperlink>
        </w:p>
        <w:p w14:paraId="0B57BDB9" w14:textId="75ACAB7B" w:rsidR="004564CB" w:rsidRDefault="000B57EE">
          <w:pPr>
            <w:pStyle w:val="TOC2"/>
            <w:rPr>
              <w:rFonts w:asciiTheme="minorHAnsi" w:eastAsiaTheme="minorEastAsia" w:hAnsiTheme="minorHAnsi" w:cstheme="minorBidi"/>
              <w:bCs w:val="0"/>
              <w:noProof/>
              <w:sz w:val="22"/>
              <w:szCs w:val="22"/>
              <w:lang w:eastAsia="en-GB"/>
            </w:rPr>
          </w:pPr>
          <w:hyperlink w:anchor="_Toc95743477" w:history="1">
            <w:r w:rsidR="004564CB" w:rsidRPr="000E1403">
              <w:rPr>
                <w:rStyle w:val="Hyperlink"/>
                <w:noProof/>
                <w:lang w:eastAsia="en-GB"/>
                <w14:scene3d>
                  <w14:camera w14:prst="orthographicFront"/>
                  <w14:lightRig w14:rig="threePt" w14:dir="t">
                    <w14:rot w14:lat="0" w14:lon="0" w14:rev="0"/>
                  </w14:lightRig>
                </w14:scene3d>
              </w:rPr>
              <w:t>10.6</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Stage 2 - 12 Months before Contract End</w:t>
            </w:r>
            <w:r w:rsidR="004564CB">
              <w:rPr>
                <w:noProof/>
                <w:webHidden/>
              </w:rPr>
              <w:tab/>
            </w:r>
            <w:r w:rsidR="004564CB">
              <w:rPr>
                <w:noProof/>
                <w:webHidden/>
              </w:rPr>
              <w:fldChar w:fldCharType="begin"/>
            </w:r>
            <w:r w:rsidR="004564CB">
              <w:rPr>
                <w:noProof/>
                <w:webHidden/>
              </w:rPr>
              <w:instrText xml:space="preserve"> PAGEREF _Toc95743477 \h </w:instrText>
            </w:r>
            <w:r w:rsidR="004564CB">
              <w:rPr>
                <w:noProof/>
                <w:webHidden/>
              </w:rPr>
            </w:r>
            <w:r w:rsidR="004564CB">
              <w:rPr>
                <w:noProof/>
                <w:webHidden/>
              </w:rPr>
              <w:fldChar w:fldCharType="separate"/>
            </w:r>
            <w:r w:rsidR="00A176C0">
              <w:rPr>
                <w:noProof/>
                <w:webHidden/>
              </w:rPr>
              <w:t>284</w:t>
            </w:r>
            <w:r w:rsidR="004564CB">
              <w:rPr>
                <w:noProof/>
                <w:webHidden/>
              </w:rPr>
              <w:fldChar w:fldCharType="end"/>
            </w:r>
          </w:hyperlink>
        </w:p>
        <w:p w14:paraId="401622A5" w14:textId="51298004" w:rsidR="004564CB" w:rsidRDefault="000B57EE">
          <w:pPr>
            <w:pStyle w:val="TOC2"/>
            <w:rPr>
              <w:rFonts w:asciiTheme="minorHAnsi" w:eastAsiaTheme="minorEastAsia" w:hAnsiTheme="minorHAnsi" w:cstheme="minorBidi"/>
              <w:bCs w:val="0"/>
              <w:noProof/>
              <w:sz w:val="22"/>
              <w:szCs w:val="22"/>
              <w:lang w:eastAsia="en-GB"/>
            </w:rPr>
          </w:pPr>
          <w:hyperlink w:anchor="_Toc95743478" w:history="1">
            <w:r w:rsidR="004564CB" w:rsidRPr="000E1403">
              <w:rPr>
                <w:rStyle w:val="Hyperlink"/>
                <w:noProof/>
                <w:lang w:eastAsia="en-GB"/>
                <w14:scene3d>
                  <w14:camera w14:prst="orthographicFront"/>
                  <w14:lightRig w14:rig="threePt" w14:dir="t">
                    <w14:rot w14:lat="0" w14:lon="0" w14:rev="0"/>
                  </w14:lightRig>
                </w14:scene3d>
              </w:rPr>
              <w:t>10.7</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Stage 3 – At Contract End</w:t>
            </w:r>
            <w:r w:rsidR="004564CB">
              <w:rPr>
                <w:noProof/>
                <w:webHidden/>
              </w:rPr>
              <w:tab/>
            </w:r>
            <w:r w:rsidR="004564CB">
              <w:rPr>
                <w:noProof/>
                <w:webHidden/>
              </w:rPr>
              <w:fldChar w:fldCharType="begin"/>
            </w:r>
            <w:r w:rsidR="004564CB">
              <w:rPr>
                <w:noProof/>
                <w:webHidden/>
              </w:rPr>
              <w:instrText xml:space="preserve"> PAGEREF _Toc95743478 \h </w:instrText>
            </w:r>
            <w:r w:rsidR="004564CB">
              <w:rPr>
                <w:noProof/>
                <w:webHidden/>
              </w:rPr>
            </w:r>
            <w:r w:rsidR="004564CB">
              <w:rPr>
                <w:noProof/>
                <w:webHidden/>
              </w:rPr>
              <w:fldChar w:fldCharType="separate"/>
            </w:r>
            <w:r w:rsidR="00A176C0">
              <w:rPr>
                <w:noProof/>
                <w:webHidden/>
              </w:rPr>
              <w:t>286</w:t>
            </w:r>
            <w:r w:rsidR="004564CB">
              <w:rPr>
                <w:noProof/>
                <w:webHidden/>
              </w:rPr>
              <w:fldChar w:fldCharType="end"/>
            </w:r>
          </w:hyperlink>
        </w:p>
        <w:p w14:paraId="2C3BF5E0" w14:textId="0926BD67" w:rsidR="004564CB" w:rsidRDefault="000B57EE">
          <w:pPr>
            <w:pStyle w:val="TOC2"/>
            <w:rPr>
              <w:rFonts w:asciiTheme="minorHAnsi" w:eastAsiaTheme="minorEastAsia" w:hAnsiTheme="minorHAnsi" w:cstheme="minorBidi"/>
              <w:bCs w:val="0"/>
              <w:noProof/>
              <w:sz w:val="22"/>
              <w:szCs w:val="22"/>
              <w:lang w:eastAsia="en-GB"/>
            </w:rPr>
          </w:pPr>
          <w:hyperlink w:anchor="_Toc95743479" w:history="1">
            <w:r w:rsidR="004564CB" w:rsidRPr="000E1403">
              <w:rPr>
                <w:rStyle w:val="Hyperlink"/>
                <w:noProof/>
                <w:lang w:eastAsia="en-GB"/>
                <w14:scene3d>
                  <w14:camera w14:prst="orthographicFront"/>
                  <w14:lightRig w14:rig="threePt" w14:dir="t">
                    <w14:rot w14:lat="0" w14:lon="0" w14:rev="0"/>
                  </w14:lightRig>
                </w14:scene3d>
              </w:rPr>
              <w:t>10.8</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Primary Care Networks</w:t>
            </w:r>
            <w:r w:rsidR="004564CB">
              <w:rPr>
                <w:noProof/>
                <w:webHidden/>
              </w:rPr>
              <w:tab/>
            </w:r>
            <w:r w:rsidR="004564CB">
              <w:rPr>
                <w:noProof/>
                <w:webHidden/>
              </w:rPr>
              <w:fldChar w:fldCharType="begin"/>
            </w:r>
            <w:r w:rsidR="004564CB">
              <w:rPr>
                <w:noProof/>
                <w:webHidden/>
              </w:rPr>
              <w:instrText xml:space="preserve"> PAGEREF _Toc95743479 \h </w:instrText>
            </w:r>
            <w:r w:rsidR="004564CB">
              <w:rPr>
                <w:noProof/>
                <w:webHidden/>
              </w:rPr>
            </w:r>
            <w:r w:rsidR="004564CB">
              <w:rPr>
                <w:noProof/>
                <w:webHidden/>
              </w:rPr>
              <w:fldChar w:fldCharType="separate"/>
            </w:r>
            <w:r w:rsidR="00A176C0">
              <w:rPr>
                <w:noProof/>
                <w:webHidden/>
              </w:rPr>
              <w:t>287</w:t>
            </w:r>
            <w:r w:rsidR="004564CB">
              <w:rPr>
                <w:noProof/>
                <w:webHidden/>
              </w:rPr>
              <w:fldChar w:fldCharType="end"/>
            </w:r>
          </w:hyperlink>
        </w:p>
        <w:p w14:paraId="1354555D" w14:textId="188459D8" w:rsidR="004564CB" w:rsidRDefault="000B57EE">
          <w:pPr>
            <w:pStyle w:val="TOC2"/>
            <w:rPr>
              <w:rFonts w:asciiTheme="minorHAnsi" w:eastAsiaTheme="minorEastAsia" w:hAnsiTheme="minorHAnsi" w:cstheme="minorBidi"/>
              <w:bCs w:val="0"/>
              <w:noProof/>
              <w:sz w:val="22"/>
              <w:szCs w:val="22"/>
              <w:lang w:eastAsia="en-GB"/>
            </w:rPr>
          </w:pPr>
          <w:hyperlink w:anchor="_Toc95743480" w:history="1">
            <w:r w:rsidR="004564CB" w:rsidRPr="000E1403">
              <w:rPr>
                <w:rStyle w:val="Hyperlink"/>
                <w:noProof/>
                <w:lang w:eastAsia="en-GB"/>
                <w14:scene3d>
                  <w14:camera w14:prst="orthographicFront"/>
                  <w14:lightRig w14:rig="threePt" w14:dir="t">
                    <w14:rot w14:lat="0" w14:lon="0" w14:rev="0"/>
                  </w14:lightRig>
                </w14:scene3d>
              </w:rPr>
              <w:t>10.9</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Links to relevant PCSS information and documentation</w:t>
            </w:r>
            <w:r w:rsidR="004564CB">
              <w:rPr>
                <w:noProof/>
                <w:webHidden/>
              </w:rPr>
              <w:tab/>
            </w:r>
            <w:r w:rsidR="004564CB">
              <w:rPr>
                <w:noProof/>
                <w:webHidden/>
              </w:rPr>
              <w:fldChar w:fldCharType="begin"/>
            </w:r>
            <w:r w:rsidR="004564CB">
              <w:rPr>
                <w:noProof/>
                <w:webHidden/>
              </w:rPr>
              <w:instrText xml:space="preserve"> PAGEREF _Toc95743480 \h </w:instrText>
            </w:r>
            <w:r w:rsidR="004564CB">
              <w:rPr>
                <w:noProof/>
                <w:webHidden/>
              </w:rPr>
            </w:r>
            <w:r w:rsidR="004564CB">
              <w:rPr>
                <w:noProof/>
                <w:webHidden/>
              </w:rPr>
              <w:fldChar w:fldCharType="separate"/>
            </w:r>
            <w:r w:rsidR="00A176C0">
              <w:rPr>
                <w:noProof/>
                <w:webHidden/>
              </w:rPr>
              <w:t>287</w:t>
            </w:r>
            <w:r w:rsidR="004564CB">
              <w:rPr>
                <w:noProof/>
                <w:webHidden/>
              </w:rPr>
              <w:fldChar w:fldCharType="end"/>
            </w:r>
          </w:hyperlink>
        </w:p>
        <w:p w14:paraId="255B9319" w14:textId="3AF30184" w:rsidR="004564CB" w:rsidRDefault="000B57EE">
          <w:pPr>
            <w:pStyle w:val="TOC1"/>
            <w:rPr>
              <w:rFonts w:asciiTheme="minorHAnsi" w:eastAsiaTheme="minorEastAsia" w:hAnsiTheme="minorHAnsi" w:cstheme="minorBidi"/>
              <w:bCs w:val="0"/>
              <w:color w:val="auto"/>
              <w:sz w:val="22"/>
              <w:szCs w:val="22"/>
              <w:lang w:eastAsia="en-GB"/>
            </w:rPr>
          </w:pPr>
          <w:hyperlink w:anchor="_Toc95743481" w:history="1">
            <w:r w:rsidR="004564CB" w:rsidRPr="000E1403">
              <w:rPr>
                <w:rStyle w:val="Hyperlink"/>
              </w:rPr>
              <w:t>11</w:t>
            </w:r>
            <w:r w:rsidR="004564CB">
              <w:rPr>
                <w:rFonts w:asciiTheme="minorHAnsi" w:eastAsiaTheme="minorEastAsia" w:hAnsiTheme="minorHAnsi" w:cstheme="minorBidi"/>
                <w:bCs w:val="0"/>
                <w:color w:val="auto"/>
                <w:sz w:val="22"/>
                <w:szCs w:val="22"/>
                <w:lang w:eastAsia="en-GB"/>
              </w:rPr>
              <w:tab/>
            </w:r>
            <w:r w:rsidR="004564CB" w:rsidRPr="000E1403">
              <w:rPr>
                <w:rStyle w:val="Hyperlink"/>
              </w:rPr>
              <w:t>Discretionary Payments (made under Section 96)</w:t>
            </w:r>
            <w:r w:rsidR="004564CB">
              <w:rPr>
                <w:webHidden/>
              </w:rPr>
              <w:tab/>
            </w:r>
            <w:r w:rsidR="004564CB">
              <w:rPr>
                <w:webHidden/>
              </w:rPr>
              <w:fldChar w:fldCharType="begin"/>
            </w:r>
            <w:r w:rsidR="004564CB">
              <w:rPr>
                <w:webHidden/>
              </w:rPr>
              <w:instrText xml:space="preserve"> PAGEREF _Toc95743481 \h </w:instrText>
            </w:r>
            <w:r w:rsidR="004564CB">
              <w:rPr>
                <w:webHidden/>
              </w:rPr>
            </w:r>
            <w:r w:rsidR="004564CB">
              <w:rPr>
                <w:webHidden/>
              </w:rPr>
              <w:fldChar w:fldCharType="separate"/>
            </w:r>
            <w:r w:rsidR="00A176C0">
              <w:rPr>
                <w:webHidden/>
              </w:rPr>
              <w:t>289</w:t>
            </w:r>
            <w:r w:rsidR="004564CB">
              <w:rPr>
                <w:webHidden/>
              </w:rPr>
              <w:fldChar w:fldCharType="end"/>
            </w:r>
          </w:hyperlink>
        </w:p>
        <w:p w14:paraId="4526F668" w14:textId="0AA89D57" w:rsidR="004564CB" w:rsidRDefault="000B57EE">
          <w:pPr>
            <w:pStyle w:val="TOC2"/>
            <w:rPr>
              <w:rFonts w:asciiTheme="minorHAnsi" w:eastAsiaTheme="minorEastAsia" w:hAnsiTheme="minorHAnsi" w:cstheme="minorBidi"/>
              <w:bCs w:val="0"/>
              <w:noProof/>
              <w:sz w:val="22"/>
              <w:szCs w:val="22"/>
              <w:lang w:eastAsia="en-GB"/>
            </w:rPr>
          </w:pPr>
          <w:hyperlink w:anchor="_Toc95743482" w:history="1">
            <w:r w:rsidR="004564CB" w:rsidRPr="000E1403">
              <w:rPr>
                <w:rStyle w:val="Hyperlink"/>
                <w:noProof/>
                <w14:scene3d>
                  <w14:camera w14:prst="orthographicFront"/>
                  <w14:lightRig w14:rig="threePt" w14:dir="t">
                    <w14:rot w14:lat="0" w14:lon="0" w14:rev="0"/>
                  </w14:lightRig>
                </w14:scene3d>
              </w:rPr>
              <w:t>11.1</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Introduction</w:t>
            </w:r>
            <w:r w:rsidR="004564CB">
              <w:rPr>
                <w:noProof/>
                <w:webHidden/>
              </w:rPr>
              <w:tab/>
            </w:r>
            <w:r w:rsidR="004564CB">
              <w:rPr>
                <w:noProof/>
                <w:webHidden/>
              </w:rPr>
              <w:fldChar w:fldCharType="begin"/>
            </w:r>
            <w:r w:rsidR="004564CB">
              <w:rPr>
                <w:noProof/>
                <w:webHidden/>
              </w:rPr>
              <w:instrText xml:space="preserve"> PAGEREF _Toc95743482 \h </w:instrText>
            </w:r>
            <w:r w:rsidR="004564CB">
              <w:rPr>
                <w:noProof/>
                <w:webHidden/>
              </w:rPr>
            </w:r>
            <w:r w:rsidR="004564CB">
              <w:rPr>
                <w:noProof/>
                <w:webHidden/>
              </w:rPr>
              <w:fldChar w:fldCharType="separate"/>
            </w:r>
            <w:r w:rsidR="00A176C0">
              <w:rPr>
                <w:noProof/>
                <w:webHidden/>
              </w:rPr>
              <w:t>289</w:t>
            </w:r>
            <w:r w:rsidR="004564CB">
              <w:rPr>
                <w:noProof/>
                <w:webHidden/>
              </w:rPr>
              <w:fldChar w:fldCharType="end"/>
            </w:r>
          </w:hyperlink>
        </w:p>
        <w:p w14:paraId="02C7C2D6" w14:textId="4C50F3B7" w:rsidR="004564CB" w:rsidRDefault="000B57EE">
          <w:pPr>
            <w:pStyle w:val="TOC2"/>
            <w:rPr>
              <w:rFonts w:asciiTheme="minorHAnsi" w:eastAsiaTheme="minorEastAsia" w:hAnsiTheme="minorHAnsi" w:cstheme="minorBidi"/>
              <w:bCs w:val="0"/>
              <w:noProof/>
              <w:sz w:val="22"/>
              <w:szCs w:val="22"/>
              <w:lang w:eastAsia="en-GB"/>
            </w:rPr>
          </w:pPr>
          <w:hyperlink w:anchor="_Toc95743483" w:history="1">
            <w:r w:rsidR="004564CB" w:rsidRPr="000E1403">
              <w:rPr>
                <w:rStyle w:val="Hyperlink"/>
                <w:noProof/>
                <w14:scene3d>
                  <w14:camera w14:prst="orthographicFront"/>
                  <w14:lightRig w14:rig="threePt" w14:dir="t">
                    <w14:rot w14:lat="0" w14:lon="0" w14:rev="0"/>
                  </w14:lightRig>
                </w14:scene3d>
              </w:rPr>
              <w:t>11.2</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Key Principles</w:t>
            </w:r>
            <w:r w:rsidR="004564CB">
              <w:rPr>
                <w:noProof/>
                <w:webHidden/>
              </w:rPr>
              <w:tab/>
            </w:r>
            <w:r w:rsidR="004564CB">
              <w:rPr>
                <w:noProof/>
                <w:webHidden/>
              </w:rPr>
              <w:fldChar w:fldCharType="begin"/>
            </w:r>
            <w:r w:rsidR="004564CB">
              <w:rPr>
                <w:noProof/>
                <w:webHidden/>
              </w:rPr>
              <w:instrText xml:space="preserve"> PAGEREF _Toc95743483 \h </w:instrText>
            </w:r>
            <w:r w:rsidR="004564CB">
              <w:rPr>
                <w:noProof/>
                <w:webHidden/>
              </w:rPr>
            </w:r>
            <w:r w:rsidR="004564CB">
              <w:rPr>
                <w:noProof/>
                <w:webHidden/>
              </w:rPr>
              <w:fldChar w:fldCharType="separate"/>
            </w:r>
            <w:r w:rsidR="00A176C0">
              <w:rPr>
                <w:noProof/>
                <w:webHidden/>
              </w:rPr>
              <w:t>290</w:t>
            </w:r>
            <w:r w:rsidR="004564CB">
              <w:rPr>
                <w:noProof/>
                <w:webHidden/>
              </w:rPr>
              <w:fldChar w:fldCharType="end"/>
            </w:r>
          </w:hyperlink>
        </w:p>
        <w:p w14:paraId="448A310E" w14:textId="50168534" w:rsidR="004564CB" w:rsidRDefault="000B57EE">
          <w:pPr>
            <w:pStyle w:val="TOC2"/>
            <w:rPr>
              <w:rFonts w:asciiTheme="minorHAnsi" w:eastAsiaTheme="minorEastAsia" w:hAnsiTheme="minorHAnsi" w:cstheme="minorBidi"/>
              <w:bCs w:val="0"/>
              <w:noProof/>
              <w:sz w:val="22"/>
              <w:szCs w:val="22"/>
              <w:lang w:eastAsia="en-GB"/>
            </w:rPr>
          </w:pPr>
          <w:hyperlink w:anchor="_Toc95743484" w:history="1">
            <w:r w:rsidR="004564CB" w:rsidRPr="000E1403">
              <w:rPr>
                <w:rStyle w:val="Hyperlink"/>
                <w:noProof/>
                <w14:scene3d>
                  <w14:camera w14:prst="orthographicFront"/>
                  <w14:lightRig w14:rig="threePt" w14:dir="t">
                    <w14:rot w14:lat="0" w14:lon="0" w14:rev="0"/>
                  </w14:lightRig>
                </w14:scene3d>
              </w:rPr>
              <w:t>11.3</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Programme and Non Programme Financial Assistance</w:t>
            </w:r>
            <w:r w:rsidR="004564CB">
              <w:rPr>
                <w:noProof/>
                <w:webHidden/>
              </w:rPr>
              <w:tab/>
            </w:r>
            <w:r w:rsidR="004564CB">
              <w:rPr>
                <w:noProof/>
                <w:webHidden/>
              </w:rPr>
              <w:fldChar w:fldCharType="begin"/>
            </w:r>
            <w:r w:rsidR="004564CB">
              <w:rPr>
                <w:noProof/>
                <w:webHidden/>
              </w:rPr>
              <w:instrText xml:space="preserve"> PAGEREF _Toc95743484 \h </w:instrText>
            </w:r>
            <w:r w:rsidR="004564CB">
              <w:rPr>
                <w:noProof/>
                <w:webHidden/>
              </w:rPr>
            </w:r>
            <w:r w:rsidR="004564CB">
              <w:rPr>
                <w:noProof/>
                <w:webHidden/>
              </w:rPr>
              <w:fldChar w:fldCharType="separate"/>
            </w:r>
            <w:r w:rsidR="00A176C0">
              <w:rPr>
                <w:noProof/>
                <w:webHidden/>
              </w:rPr>
              <w:t>290</w:t>
            </w:r>
            <w:r w:rsidR="004564CB">
              <w:rPr>
                <w:noProof/>
                <w:webHidden/>
              </w:rPr>
              <w:fldChar w:fldCharType="end"/>
            </w:r>
          </w:hyperlink>
        </w:p>
        <w:p w14:paraId="0488D177" w14:textId="6B15A53C" w:rsidR="004564CB" w:rsidRDefault="000B57EE">
          <w:pPr>
            <w:pStyle w:val="TOC2"/>
            <w:rPr>
              <w:rFonts w:asciiTheme="minorHAnsi" w:eastAsiaTheme="minorEastAsia" w:hAnsiTheme="minorHAnsi" w:cstheme="minorBidi"/>
              <w:bCs w:val="0"/>
              <w:noProof/>
              <w:sz w:val="22"/>
              <w:szCs w:val="22"/>
              <w:lang w:eastAsia="en-GB"/>
            </w:rPr>
          </w:pPr>
          <w:hyperlink w:anchor="_Toc95743485" w:history="1">
            <w:r w:rsidR="004564CB" w:rsidRPr="000E1403">
              <w:rPr>
                <w:rStyle w:val="Hyperlink"/>
                <w:noProof/>
                <w14:scene3d>
                  <w14:camera w14:prst="orthographicFront"/>
                  <w14:lightRig w14:rig="threePt" w14:dir="t">
                    <w14:rot w14:lat="0" w14:lon="0" w14:rev="0"/>
                  </w14:lightRig>
                </w14:scene3d>
              </w:rPr>
              <w:t>11.4</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Process for Financial Assistance for individual Provider</w:t>
            </w:r>
            <w:r w:rsidR="004564CB">
              <w:rPr>
                <w:noProof/>
                <w:webHidden/>
              </w:rPr>
              <w:tab/>
            </w:r>
            <w:r w:rsidR="004564CB">
              <w:rPr>
                <w:noProof/>
                <w:webHidden/>
              </w:rPr>
              <w:fldChar w:fldCharType="begin"/>
            </w:r>
            <w:r w:rsidR="004564CB">
              <w:rPr>
                <w:noProof/>
                <w:webHidden/>
              </w:rPr>
              <w:instrText xml:space="preserve"> PAGEREF _Toc95743485 \h </w:instrText>
            </w:r>
            <w:r w:rsidR="004564CB">
              <w:rPr>
                <w:noProof/>
                <w:webHidden/>
              </w:rPr>
            </w:r>
            <w:r w:rsidR="004564CB">
              <w:rPr>
                <w:noProof/>
                <w:webHidden/>
              </w:rPr>
              <w:fldChar w:fldCharType="separate"/>
            </w:r>
            <w:r w:rsidR="00A176C0">
              <w:rPr>
                <w:noProof/>
                <w:webHidden/>
              </w:rPr>
              <w:t>292</w:t>
            </w:r>
            <w:r w:rsidR="004564CB">
              <w:rPr>
                <w:noProof/>
                <w:webHidden/>
              </w:rPr>
              <w:fldChar w:fldCharType="end"/>
            </w:r>
          </w:hyperlink>
        </w:p>
        <w:p w14:paraId="0FD87183" w14:textId="327FC63A" w:rsidR="004564CB" w:rsidRDefault="000B57EE">
          <w:pPr>
            <w:pStyle w:val="TOC2"/>
            <w:rPr>
              <w:rFonts w:asciiTheme="minorHAnsi" w:eastAsiaTheme="minorEastAsia" w:hAnsiTheme="minorHAnsi" w:cstheme="minorBidi"/>
              <w:bCs w:val="0"/>
              <w:noProof/>
              <w:sz w:val="22"/>
              <w:szCs w:val="22"/>
              <w:lang w:eastAsia="en-GB"/>
            </w:rPr>
          </w:pPr>
          <w:hyperlink w:anchor="_Toc95743486" w:history="1">
            <w:r w:rsidR="004564CB" w:rsidRPr="000E1403">
              <w:rPr>
                <w:rStyle w:val="Hyperlink"/>
                <w:noProof/>
                <w14:scene3d>
                  <w14:camera w14:prst="orthographicFront"/>
                  <w14:lightRig w14:rig="threePt" w14:dir="t">
                    <w14:rot w14:lat="0" w14:lon="0" w14:rev="0"/>
                  </w14:lightRig>
                </w14:scene3d>
              </w:rPr>
              <w:t>11.5</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Process for CCG/ICB and NHS England Proposed Financial Assistance Programmes</w:t>
            </w:r>
            <w:r w:rsidR="004564CB">
              <w:rPr>
                <w:noProof/>
                <w:webHidden/>
              </w:rPr>
              <w:tab/>
            </w:r>
            <w:r w:rsidR="004564CB">
              <w:rPr>
                <w:noProof/>
                <w:webHidden/>
              </w:rPr>
              <w:fldChar w:fldCharType="begin"/>
            </w:r>
            <w:r w:rsidR="004564CB">
              <w:rPr>
                <w:noProof/>
                <w:webHidden/>
              </w:rPr>
              <w:instrText xml:space="preserve"> PAGEREF _Toc95743486 \h </w:instrText>
            </w:r>
            <w:r w:rsidR="004564CB">
              <w:rPr>
                <w:noProof/>
                <w:webHidden/>
              </w:rPr>
            </w:r>
            <w:r w:rsidR="004564CB">
              <w:rPr>
                <w:noProof/>
                <w:webHidden/>
              </w:rPr>
              <w:fldChar w:fldCharType="separate"/>
            </w:r>
            <w:r w:rsidR="00A176C0">
              <w:rPr>
                <w:noProof/>
                <w:webHidden/>
              </w:rPr>
              <w:t>296</w:t>
            </w:r>
            <w:r w:rsidR="004564CB">
              <w:rPr>
                <w:noProof/>
                <w:webHidden/>
              </w:rPr>
              <w:fldChar w:fldCharType="end"/>
            </w:r>
          </w:hyperlink>
        </w:p>
        <w:p w14:paraId="7D8779AA" w14:textId="511100D7" w:rsidR="004564CB" w:rsidRDefault="000B57EE">
          <w:pPr>
            <w:pStyle w:val="TOC2"/>
            <w:rPr>
              <w:rFonts w:asciiTheme="minorHAnsi" w:eastAsiaTheme="minorEastAsia" w:hAnsiTheme="minorHAnsi" w:cstheme="minorBidi"/>
              <w:bCs w:val="0"/>
              <w:noProof/>
              <w:sz w:val="22"/>
              <w:szCs w:val="22"/>
              <w:lang w:eastAsia="en-GB"/>
            </w:rPr>
          </w:pPr>
          <w:hyperlink w:anchor="_Toc95743487" w:history="1">
            <w:r w:rsidR="004564CB" w:rsidRPr="000E1403">
              <w:rPr>
                <w:rStyle w:val="Hyperlink"/>
                <w:noProof/>
                <w14:scene3d>
                  <w14:camera w14:prst="orthographicFront"/>
                  <w14:lightRig w14:rig="threePt" w14:dir="t">
                    <w14:rot w14:lat="0" w14:lon="0" w14:rev="0"/>
                  </w14:lightRig>
                </w14:scene3d>
              </w:rPr>
              <w:t>11.6</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Reporting</w:t>
            </w:r>
            <w:r w:rsidR="004564CB">
              <w:rPr>
                <w:noProof/>
                <w:webHidden/>
              </w:rPr>
              <w:tab/>
            </w:r>
            <w:r w:rsidR="004564CB">
              <w:rPr>
                <w:noProof/>
                <w:webHidden/>
              </w:rPr>
              <w:fldChar w:fldCharType="begin"/>
            </w:r>
            <w:r w:rsidR="004564CB">
              <w:rPr>
                <w:noProof/>
                <w:webHidden/>
              </w:rPr>
              <w:instrText xml:space="preserve"> PAGEREF _Toc95743487 \h </w:instrText>
            </w:r>
            <w:r w:rsidR="004564CB">
              <w:rPr>
                <w:noProof/>
                <w:webHidden/>
              </w:rPr>
            </w:r>
            <w:r w:rsidR="004564CB">
              <w:rPr>
                <w:noProof/>
                <w:webHidden/>
              </w:rPr>
              <w:fldChar w:fldCharType="separate"/>
            </w:r>
            <w:r w:rsidR="00A176C0">
              <w:rPr>
                <w:noProof/>
                <w:webHidden/>
              </w:rPr>
              <w:t>296</w:t>
            </w:r>
            <w:r w:rsidR="004564CB">
              <w:rPr>
                <w:noProof/>
                <w:webHidden/>
              </w:rPr>
              <w:fldChar w:fldCharType="end"/>
            </w:r>
          </w:hyperlink>
        </w:p>
        <w:p w14:paraId="51536F1C" w14:textId="57184101" w:rsidR="004564CB" w:rsidRDefault="000B57EE">
          <w:pPr>
            <w:pStyle w:val="TOC2"/>
            <w:rPr>
              <w:rFonts w:asciiTheme="minorHAnsi" w:eastAsiaTheme="minorEastAsia" w:hAnsiTheme="minorHAnsi" w:cstheme="minorBidi"/>
              <w:bCs w:val="0"/>
              <w:noProof/>
              <w:sz w:val="22"/>
              <w:szCs w:val="22"/>
              <w:lang w:eastAsia="en-GB"/>
            </w:rPr>
          </w:pPr>
          <w:hyperlink w:anchor="_Toc95743488" w:history="1">
            <w:r w:rsidR="004564CB" w:rsidRPr="000E1403">
              <w:rPr>
                <w:rStyle w:val="Hyperlink"/>
                <w:noProof/>
                <w14:scene3d>
                  <w14:camera w14:prst="orthographicFront"/>
                  <w14:lightRig w14:rig="threePt" w14:dir="t">
                    <w14:rot w14:lat="0" w14:lon="0" w14:rev="0"/>
                  </w14:lightRig>
                </w14:scene3d>
              </w:rPr>
              <w:t>11.7</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Maintaining Records</w:t>
            </w:r>
            <w:r w:rsidR="004564CB">
              <w:rPr>
                <w:noProof/>
                <w:webHidden/>
              </w:rPr>
              <w:tab/>
            </w:r>
            <w:r w:rsidR="004564CB">
              <w:rPr>
                <w:noProof/>
                <w:webHidden/>
              </w:rPr>
              <w:fldChar w:fldCharType="begin"/>
            </w:r>
            <w:r w:rsidR="004564CB">
              <w:rPr>
                <w:noProof/>
                <w:webHidden/>
              </w:rPr>
              <w:instrText xml:space="preserve"> PAGEREF _Toc95743488 \h </w:instrText>
            </w:r>
            <w:r w:rsidR="004564CB">
              <w:rPr>
                <w:noProof/>
                <w:webHidden/>
              </w:rPr>
            </w:r>
            <w:r w:rsidR="004564CB">
              <w:rPr>
                <w:noProof/>
                <w:webHidden/>
              </w:rPr>
              <w:fldChar w:fldCharType="separate"/>
            </w:r>
            <w:r w:rsidR="00A176C0">
              <w:rPr>
                <w:noProof/>
                <w:webHidden/>
              </w:rPr>
              <w:t>297</w:t>
            </w:r>
            <w:r w:rsidR="004564CB">
              <w:rPr>
                <w:noProof/>
                <w:webHidden/>
              </w:rPr>
              <w:fldChar w:fldCharType="end"/>
            </w:r>
          </w:hyperlink>
        </w:p>
        <w:p w14:paraId="08DA64DC" w14:textId="35D5A933" w:rsidR="004564CB" w:rsidRDefault="000B57EE">
          <w:pPr>
            <w:pStyle w:val="TOC2"/>
            <w:rPr>
              <w:rFonts w:asciiTheme="minorHAnsi" w:eastAsiaTheme="minorEastAsia" w:hAnsiTheme="minorHAnsi" w:cstheme="minorBidi"/>
              <w:bCs w:val="0"/>
              <w:noProof/>
              <w:sz w:val="22"/>
              <w:szCs w:val="22"/>
              <w:lang w:eastAsia="en-GB"/>
            </w:rPr>
          </w:pPr>
          <w:hyperlink w:anchor="_Toc95743489" w:history="1">
            <w:r w:rsidR="004564CB" w:rsidRPr="000E1403">
              <w:rPr>
                <w:rStyle w:val="Hyperlink"/>
                <w:noProof/>
              </w:rPr>
              <w:t>Addendums</w:t>
            </w:r>
            <w:r w:rsidR="004564CB">
              <w:rPr>
                <w:noProof/>
                <w:webHidden/>
              </w:rPr>
              <w:tab/>
            </w:r>
            <w:r w:rsidR="004564CB">
              <w:rPr>
                <w:noProof/>
                <w:webHidden/>
              </w:rPr>
              <w:fldChar w:fldCharType="begin"/>
            </w:r>
            <w:r w:rsidR="004564CB">
              <w:rPr>
                <w:noProof/>
                <w:webHidden/>
              </w:rPr>
              <w:instrText xml:space="preserve"> PAGEREF _Toc95743489 \h </w:instrText>
            </w:r>
            <w:r w:rsidR="004564CB">
              <w:rPr>
                <w:noProof/>
                <w:webHidden/>
              </w:rPr>
            </w:r>
            <w:r w:rsidR="004564CB">
              <w:rPr>
                <w:noProof/>
                <w:webHidden/>
              </w:rPr>
              <w:fldChar w:fldCharType="separate"/>
            </w:r>
            <w:r w:rsidR="00A176C0">
              <w:rPr>
                <w:noProof/>
                <w:webHidden/>
              </w:rPr>
              <w:t>297</w:t>
            </w:r>
            <w:r w:rsidR="004564CB">
              <w:rPr>
                <w:noProof/>
                <w:webHidden/>
              </w:rPr>
              <w:fldChar w:fldCharType="end"/>
            </w:r>
          </w:hyperlink>
        </w:p>
        <w:p w14:paraId="3D5BFDAD" w14:textId="20B89721" w:rsidR="004564CB" w:rsidRDefault="000B57EE">
          <w:pPr>
            <w:pStyle w:val="TOC1"/>
            <w:rPr>
              <w:rFonts w:asciiTheme="minorHAnsi" w:eastAsiaTheme="minorEastAsia" w:hAnsiTheme="minorHAnsi" w:cstheme="minorBidi"/>
              <w:bCs w:val="0"/>
              <w:color w:val="auto"/>
              <w:sz w:val="22"/>
              <w:szCs w:val="22"/>
              <w:lang w:eastAsia="en-GB"/>
            </w:rPr>
          </w:pPr>
          <w:hyperlink w:anchor="_Toc95743490" w:history="1">
            <w:r w:rsidR="004564CB" w:rsidRPr="000E1403">
              <w:rPr>
                <w:rStyle w:val="Hyperlink"/>
                <w:lang w:eastAsia="en-GB"/>
              </w:rPr>
              <w:t>12</w:t>
            </w:r>
            <w:r w:rsidR="004564CB">
              <w:rPr>
                <w:rFonts w:asciiTheme="minorHAnsi" w:eastAsiaTheme="minorEastAsia" w:hAnsiTheme="minorHAnsi" w:cstheme="minorBidi"/>
                <w:bCs w:val="0"/>
                <w:color w:val="auto"/>
                <w:sz w:val="22"/>
                <w:szCs w:val="22"/>
                <w:lang w:eastAsia="en-GB"/>
              </w:rPr>
              <w:tab/>
            </w:r>
            <w:r w:rsidR="004564CB" w:rsidRPr="000E1403">
              <w:rPr>
                <w:rStyle w:val="Hyperlink"/>
                <w:lang w:eastAsia="en-GB"/>
              </w:rPr>
              <w:t>NHS England Procurement Support Contract and National Procurement Tool</w:t>
            </w:r>
            <w:r w:rsidR="004564CB">
              <w:rPr>
                <w:webHidden/>
              </w:rPr>
              <w:tab/>
            </w:r>
            <w:r w:rsidR="004564CB">
              <w:rPr>
                <w:webHidden/>
              </w:rPr>
              <w:fldChar w:fldCharType="begin"/>
            </w:r>
            <w:r w:rsidR="004564CB">
              <w:rPr>
                <w:webHidden/>
              </w:rPr>
              <w:instrText xml:space="preserve"> PAGEREF _Toc95743490 \h </w:instrText>
            </w:r>
            <w:r w:rsidR="004564CB">
              <w:rPr>
                <w:webHidden/>
              </w:rPr>
            </w:r>
            <w:r w:rsidR="004564CB">
              <w:rPr>
                <w:webHidden/>
              </w:rPr>
              <w:fldChar w:fldCharType="separate"/>
            </w:r>
            <w:r w:rsidR="00A176C0">
              <w:rPr>
                <w:webHidden/>
              </w:rPr>
              <w:t>304</w:t>
            </w:r>
            <w:r w:rsidR="004564CB">
              <w:rPr>
                <w:webHidden/>
              </w:rPr>
              <w:fldChar w:fldCharType="end"/>
            </w:r>
          </w:hyperlink>
        </w:p>
        <w:p w14:paraId="0D1FA0B4" w14:textId="1D11558A" w:rsidR="004564CB" w:rsidRDefault="000B57EE">
          <w:pPr>
            <w:pStyle w:val="TOC2"/>
            <w:rPr>
              <w:rFonts w:asciiTheme="minorHAnsi" w:eastAsiaTheme="minorEastAsia" w:hAnsiTheme="minorHAnsi" w:cstheme="minorBidi"/>
              <w:bCs w:val="0"/>
              <w:noProof/>
              <w:sz w:val="22"/>
              <w:szCs w:val="22"/>
              <w:lang w:eastAsia="en-GB"/>
            </w:rPr>
          </w:pPr>
          <w:hyperlink w:anchor="_Toc95743491" w:history="1">
            <w:r w:rsidR="004564CB" w:rsidRPr="000E1403">
              <w:rPr>
                <w:rStyle w:val="Hyperlink"/>
                <w:noProof/>
                <w:lang w:eastAsia="en-GB"/>
                <w14:scene3d>
                  <w14:camera w14:prst="orthographicFront"/>
                  <w14:lightRig w14:rig="threePt" w14:dir="t">
                    <w14:rot w14:lat="0" w14:lon="0" w14:rev="0"/>
                  </w14:lightRig>
                </w14:scene3d>
              </w:rPr>
              <w:t>12.1</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Background</w:t>
            </w:r>
            <w:r w:rsidR="004564CB">
              <w:rPr>
                <w:noProof/>
                <w:webHidden/>
              </w:rPr>
              <w:tab/>
            </w:r>
            <w:r w:rsidR="004564CB">
              <w:rPr>
                <w:noProof/>
                <w:webHidden/>
              </w:rPr>
              <w:fldChar w:fldCharType="begin"/>
            </w:r>
            <w:r w:rsidR="004564CB">
              <w:rPr>
                <w:noProof/>
                <w:webHidden/>
              </w:rPr>
              <w:instrText xml:space="preserve"> PAGEREF _Toc95743491 \h </w:instrText>
            </w:r>
            <w:r w:rsidR="004564CB">
              <w:rPr>
                <w:noProof/>
                <w:webHidden/>
              </w:rPr>
            </w:r>
            <w:r w:rsidR="004564CB">
              <w:rPr>
                <w:noProof/>
                <w:webHidden/>
              </w:rPr>
              <w:fldChar w:fldCharType="separate"/>
            </w:r>
            <w:r w:rsidR="00A176C0">
              <w:rPr>
                <w:noProof/>
                <w:webHidden/>
              </w:rPr>
              <w:t>304</w:t>
            </w:r>
            <w:r w:rsidR="004564CB">
              <w:rPr>
                <w:noProof/>
                <w:webHidden/>
              </w:rPr>
              <w:fldChar w:fldCharType="end"/>
            </w:r>
          </w:hyperlink>
        </w:p>
        <w:p w14:paraId="1164DE7A" w14:textId="0544A96A" w:rsidR="004564CB" w:rsidRDefault="000B57EE">
          <w:pPr>
            <w:pStyle w:val="TOC2"/>
            <w:rPr>
              <w:rFonts w:asciiTheme="minorHAnsi" w:eastAsiaTheme="minorEastAsia" w:hAnsiTheme="minorHAnsi" w:cstheme="minorBidi"/>
              <w:bCs w:val="0"/>
              <w:noProof/>
              <w:sz w:val="22"/>
              <w:szCs w:val="22"/>
              <w:lang w:eastAsia="en-GB"/>
            </w:rPr>
          </w:pPr>
          <w:hyperlink w:anchor="_Toc95743492" w:history="1">
            <w:r w:rsidR="004564CB" w:rsidRPr="000E1403">
              <w:rPr>
                <w:rStyle w:val="Hyperlink"/>
                <w:noProof/>
                <w:lang w:eastAsia="en-GB"/>
                <w14:scene3d>
                  <w14:camera w14:prst="orthographicFront"/>
                  <w14:lightRig w14:rig="threePt" w14:dir="t">
                    <w14:rot w14:lat="0" w14:lon="0" w14:rev="0"/>
                  </w14:lightRig>
                </w14:scene3d>
              </w:rPr>
              <w:t>12.2</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The Offer</w:t>
            </w:r>
            <w:r w:rsidR="004564CB">
              <w:rPr>
                <w:noProof/>
                <w:webHidden/>
              </w:rPr>
              <w:tab/>
            </w:r>
            <w:r w:rsidR="004564CB">
              <w:rPr>
                <w:noProof/>
                <w:webHidden/>
              </w:rPr>
              <w:fldChar w:fldCharType="begin"/>
            </w:r>
            <w:r w:rsidR="004564CB">
              <w:rPr>
                <w:noProof/>
                <w:webHidden/>
              </w:rPr>
              <w:instrText xml:space="preserve"> PAGEREF _Toc95743492 \h </w:instrText>
            </w:r>
            <w:r w:rsidR="004564CB">
              <w:rPr>
                <w:noProof/>
                <w:webHidden/>
              </w:rPr>
            </w:r>
            <w:r w:rsidR="004564CB">
              <w:rPr>
                <w:noProof/>
                <w:webHidden/>
              </w:rPr>
              <w:fldChar w:fldCharType="separate"/>
            </w:r>
            <w:r w:rsidR="00A176C0">
              <w:rPr>
                <w:noProof/>
                <w:webHidden/>
              </w:rPr>
              <w:t>304</w:t>
            </w:r>
            <w:r w:rsidR="004564CB">
              <w:rPr>
                <w:noProof/>
                <w:webHidden/>
              </w:rPr>
              <w:fldChar w:fldCharType="end"/>
            </w:r>
          </w:hyperlink>
        </w:p>
        <w:p w14:paraId="65B7B3ED" w14:textId="4414F7EA" w:rsidR="004564CB" w:rsidRDefault="000B57EE">
          <w:pPr>
            <w:pStyle w:val="TOC2"/>
            <w:rPr>
              <w:rFonts w:asciiTheme="minorHAnsi" w:eastAsiaTheme="minorEastAsia" w:hAnsiTheme="minorHAnsi" w:cstheme="minorBidi"/>
              <w:bCs w:val="0"/>
              <w:noProof/>
              <w:sz w:val="22"/>
              <w:szCs w:val="22"/>
              <w:lang w:eastAsia="en-GB"/>
            </w:rPr>
          </w:pPr>
          <w:hyperlink w:anchor="_Toc95743493" w:history="1">
            <w:r w:rsidR="004564CB" w:rsidRPr="000E1403">
              <w:rPr>
                <w:rStyle w:val="Hyperlink"/>
                <w:noProof/>
                <w:lang w:eastAsia="en-GB"/>
                <w14:scene3d>
                  <w14:camera w14:prst="orthographicFront"/>
                  <w14:lightRig w14:rig="threePt" w14:dir="t">
                    <w14:rot w14:lat="0" w14:lon="0" w14:rev="0"/>
                  </w14:lightRig>
                </w14:scene3d>
              </w:rPr>
              <w:t>12.3</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Contacts</w:t>
            </w:r>
            <w:r w:rsidR="004564CB">
              <w:rPr>
                <w:noProof/>
                <w:webHidden/>
              </w:rPr>
              <w:tab/>
            </w:r>
            <w:r w:rsidR="004564CB">
              <w:rPr>
                <w:noProof/>
                <w:webHidden/>
              </w:rPr>
              <w:fldChar w:fldCharType="begin"/>
            </w:r>
            <w:r w:rsidR="004564CB">
              <w:rPr>
                <w:noProof/>
                <w:webHidden/>
              </w:rPr>
              <w:instrText xml:space="preserve"> PAGEREF _Toc95743493 \h </w:instrText>
            </w:r>
            <w:r w:rsidR="004564CB">
              <w:rPr>
                <w:noProof/>
                <w:webHidden/>
              </w:rPr>
            </w:r>
            <w:r w:rsidR="004564CB">
              <w:rPr>
                <w:noProof/>
                <w:webHidden/>
              </w:rPr>
              <w:fldChar w:fldCharType="separate"/>
            </w:r>
            <w:r w:rsidR="00A176C0">
              <w:rPr>
                <w:noProof/>
                <w:webHidden/>
              </w:rPr>
              <w:t>305</w:t>
            </w:r>
            <w:r w:rsidR="004564CB">
              <w:rPr>
                <w:noProof/>
                <w:webHidden/>
              </w:rPr>
              <w:fldChar w:fldCharType="end"/>
            </w:r>
          </w:hyperlink>
        </w:p>
        <w:p w14:paraId="537E817C" w14:textId="0794F837" w:rsidR="004564CB" w:rsidRDefault="000B57EE">
          <w:pPr>
            <w:pStyle w:val="TOC2"/>
            <w:rPr>
              <w:rFonts w:asciiTheme="minorHAnsi" w:eastAsiaTheme="minorEastAsia" w:hAnsiTheme="minorHAnsi" w:cstheme="minorBidi"/>
              <w:bCs w:val="0"/>
              <w:noProof/>
              <w:sz w:val="22"/>
              <w:szCs w:val="22"/>
              <w:lang w:eastAsia="en-GB"/>
            </w:rPr>
          </w:pPr>
          <w:hyperlink w:anchor="_Toc95743494" w:history="1">
            <w:r w:rsidR="004564CB" w:rsidRPr="000E1403">
              <w:rPr>
                <w:rStyle w:val="Hyperlink"/>
                <w:noProof/>
                <w:lang w:eastAsia="en-GB"/>
                <w14:scene3d>
                  <w14:camera w14:prst="orthographicFront"/>
                  <w14:lightRig w14:rig="threePt" w14:dir="t">
                    <w14:rot w14:lat="0" w14:lon="0" w14:rev="0"/>
                  </w14:lightRig>
                </w14:scene3d>
              </w:rPr>
              <w:t>12.4</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APMS Purchasing System - national procurement tool for APMS and Caretaker GP services</w:t>
            </w:r>
            <w:r w:rsidR="004564CB">
              <w:rPr>
                <w:noProof/>
                <w:webHidden/>
              </w:rPr>
              <w:tab/>
            </w:r>
            <w:r w:rsidR="004564CB">
              <w:rPr>
                <w:noProof/>
                <w:webHidden/>
              </w:rPr>
              <w:fldChar w:fldCharType="begin"/>
            </w:r>
            <w:r w:rsidR="004564CB">
              <w:rPr>
                <w:noProof/>
                <w:webHidden/>
              </w:rPr>
              <w:instrText xml:space="preserve"> PAGEREF _Toc95743494 \h </w:instrText>
            </w:r>
            <w:r w:rsidR="004564CB">
              <w:rPr>
                <w:noProof/>
                <w:webHidden/>
              </w:rPr>
            </w:r>
            <w:r w:rsidR="004564CB">
              <w:rPr>
                <w:noProof/>
                <w:webHidden/>
              </w:rPr>
              <w:fldChar w:fldCharType="separate"/>
            </w:r>
            <w:r w:rsidR="00A176C0">
              <w:rPr>
                <w:noProof/>
                <w:webHidden/>
              </w:rPr>
              <w:t>305</w:t>
            </w:r>
            <w:r w:rsidR="004564CB">
              <w:rPr>
                <w:noProof/>
                <w:webHidden/>
              </w:rPr>
              <w:fldChar w:fldCharType="end"/>
            </w:r>
          </w:hyperlink>
        </w:p>
        <w:p w14:paraId="373A4B96" w14:textId="726A400B" w:rsidR="004564CB" w:rsidRDefault="000B57EE">
          <w:pPr>
            <w:pStyle w:val="TOC1"/>
            <w:rPr>
              <w:rFonts w:asciiTheme="minorHAnsi" w:eastAsiaTheme="minorEastAsia" w:hAnsiTheme="minorHAnsi" w:cstheme="minorBidi"/>
              <w:bCs w:val="0"/>
              <w:color w:val="auto"/>
              <w:sz w:val="22"/>
              <w:szCs w:val="22"/>
              <w:lang w:eastAsia="en-GB"/>
            </w:rPr>
          </w:pPr>
          <w:hyperlink w:anchor="_Toc95743495" w:history="1">
            <w:r w:rsidR="004564CB" w:rsidRPr="000E1403">
              <w:rPr>
                <w:rStyle w:val="Hyperlink"/>
              </w:rPr>
              <w:t>13</w:t>
            </w:r>
            <w:r w:rsidR="004564CB">
              <w:rPr>
                <w:rFonts w:asciiTheme="minorHAnsi" w:eastAsiaTheme="minorEastAsia" w:hAnsiTheme="minorHAnsi" w:cstheme="minorBidi"/>
                <w:bCs w:val="0"/>
                <w:color w:val="auto"/>
                <w:sz w:val="22"/>
                <w:szCs w:val="22"/>
                <w:lang w:eastAsia="en-GB"/>
              </w:rPr>
              <w:tab/>
            </w:r>
            <w:r w:rsidR="004564CB" w:rsidRPr="000E1403">
              <w:rPr>
                <w:rStyle w:val="Hyperlink"/>
              </w:rPr>
              <w:t>Premises Running Costs and Service Charges</w:t>
            </w:r>
            <w:r w:rsidR="004564CB">
              <w:rPr>
                <w:webHidden/>
              </w:rPr>
              <w:tab/>
            </w:r>
            <w:r w:rsidR="004564CB">
              <w:rPr>
                <w:webHidden/>
              </w:rPr>
              <w:fldChar w:fldCharType="begin"/>
            </w:r>
            <w:r w:rsidR="004564CB">
              <w:rPr>
                <w:webHidden/>
              </w:rPr>
              <w:instrText xml:space="preserve"> PAGEREF _Toc95743495 \h </w:instrText>
            </w:r>
            <w:r w:rsidR="004564CB">
              <w:rPr>
                <w:webHidden/>
              </w:rPr>
            </w:r>
            <w:r w:rsidR="004564CB">
              <w:rPr>
                <w:webHidden/>
              </w:rPr>
              <w:fldChar w:fldCharType="separate"/>
            </w:r>
            <w:r w:rsidR="00A176C0">
              <w:rPr>
                <w:webHidden/>
              </w:rPr>
              <w:t>307</w:t>
            </w:r>
            <w:r w:rsidR="004564CB">
              <w:rPr>
                <w:webHidden/>
              </w:rPr>
              <w:fldChar w:fldCharType="end"/>
            </w:r>
          </w:hyperlink>
        </w:p>
        <w:p w14:paraId="527295A7" w14:textId="40BBC6F2" w:rsidR="004564CB" w:rsidRDefault="000B57EE">
          <w:pPr>
            <w:pStyle w:val="TOC2"/>
            <w:rPr>
              <w:rFonts w:asciiTheme="minorHAnsi" w:eastAsiaTheme="minorEastAsia" w:hAnsiTheme="minorHAnsi" w:cstheme="minorBidi"/>
              <w:bCs w:val="0"/>
              <w:noProof/>
              <w:sz w:val="22"/>
              <w:szCs w:val="22"/>
              <w:lang w:eastAsia="en-GB"/>
            </w:rPr>
          </w:pPr>
          <w:hyperlink w:anchor="_Toc95743496" w:history="1">
            <w:r w:rsidR="004564CB" w:rsidRPr="000E1403">
              <w:rPr>
                <w:rStyle w:val="Hyperlink"/>
                <w:noProof/>
                <w14:scene3d>
                  <w14:camera w14:prst="orthographicFront"/>
                  <w14:lightRig w14:rig="threePt" w14:dir="t">
                    <w14:rot w14:lat="0" w14:lon="0" w14:rev="0"/>
                  </w14:lightRig>
                </w14:scene3d>
              </w:rPr>
              <w:t>13.1</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Introduction</w:t>
            </w:r>
            <w:r w:rsidR="004564CB">
              <w:rPr>
                <w:noProof/>
                <w:webHidden/>
              </w:rPr>
              <w:tab/>
            </w:r>
            <w:r w:rsidR="004564CB">
              <w:rPr>
                <w:noProof/>
                <w:webHidden/>
              </w:rPr>
              <w:fldChar w:fldCharType="begin"/>
            </w:r>
            <w:r w:rsidR="004564CB">
              <w:rPr>
                <w:noProof/>
                <w:webHidden/>
              </w:rPr>
              <w:instrText xml:space="preserve"> PAGEREF _Toc95743496 \h </w:instrText>
            </w:r>
            <w:r w:rsidR="004564CB">
              <w:rPr>
                <w:noProof/>
                <w:webHidden/>
              </w:rPr>
            </w:r>
            <w:r w:rsidR="004564CB">
              <w:rPr>
                <w:noProof/>
                <w:webHidden/>
              </w:rPr>
              <w:fldChar w:fldCharType="separate"/>
            </w:r>
            <w:r w:rsidR="00A176C0">
              <w:rPr>
                <w:noProof/>
                <w:webHidden/>
              </w:rPr>
              <w:t>307</w:t>
            </w:r>
            <w:r w:rsidR="004564CB">
              <w:rPr>
                <w:noProof/>
                <w:webHidden/>
              </w:rPr>
              <w:fldChar w:fldCharType="end"/>
            </w:r>
          </w:hyperlink>
        </w:p>
        <w:p w14:paraId="10E4118B" w14:textId="3686C806" w:rsidR="004564CB" w:rsidRDefault="000B57EE">
          <w:pPr>
            <w:pStyle w:val="TOC2"/>
            <w:rPr>
              <w:rFonts w:asciiTheme="minorHAnsi" w:eastAsiaTheme="minorEastAsia" w:hAnsiTheme="minorHAnsi" w:cstheme="minorBidi"/>
              <w:bCs w:val="0"/>
              <w:noProof/>
              <w:sz w:val="22"/>
              <w:szCs w:val="22"/>
              <w:lang w:eastAsia="en-GB"/>
            </w:rPr>
          </w:pPr>
          <w:hyperlink w:anchor="_Toc95743497" w:history="1">
            <w:r w:rsidR="004564CB" w:rsidRPr="000E1403">
              <w:rPr>
                <w:rStyle w:val="Hyperlink"/>
                <w:noProof/>
                <w14:scene3d>
                  <w14:camera w14:prst="orthographicFront"/>
                  <w14:lightRig w14:rig="threePt" w14:dir="t">
                    <w14:rot w14:lat="0" w14:lon="0" w14:rev="0"/>
                  </w14:lightRig>
                </w14:scene3d>
              </w:rPr>
              <w:t>13.2</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Principles</w:t>
            </w:r>
            <w:r w:rsidR="004564CB">
              <w:rPr>
                <w:noProof/>
                <w:webHidden/>
              </w:rPr>
              <w:tab/>
            </w:r>
            <w:r w:rsidR="004564CB">
              <w:rPr>
                <w:noProof/>
                <w:webHidden/>
              </w:rPr>
              <w:fldChar w:fldCharType="begin"/>
            </w:r>
            <w:r w:rsidR="004564CB">
              <w:rPr>
                <w:noProof/>
                <w:webHidden/>
              </w:rPr>
              <w:instrText xml:space="preserve"> PAGEREF _Toc95743497 \h </w:instrText>
            </w:r>
            <w:r w:rsidR="004564CB">
              <w:rPr>
                <w:noProof/>
                <w:webHidden/>
              </w:rPr>
            </w:r>
            <w:r w:rsidR="004564CB">
              <w:rPr>
                <w:noProof/>
                <w:webHidden/>
              </w:rPr>
              <w:fldChar w:fldCharType="separate"/>
            </w:r>
            <w:r w:rsidR="00A176C0">
              <w:rPr>
                <w:noProof/>
                <w:webHidden/>
              </w:rPr>
              <w:t>308</w:t>
            </w:r>
            <w:r w:rsidR="004564CB">
              <w:rPr>
                <w:noProof/>
                <w:webHidden/>
              </w:rPr>
              <w:fldChar w:fldCharType="end"/>
            </w:r>
          </w:hyperlink>
        </w:p>
        <w:p w14:paraId="1881CE3A" w14:textId="51F3D034" w:rsidR="004564CB" w:rsidRDefault="000B57EE">
          <w:pPr>
            <w:pStyle w:val="TOC2"/>
            <w:rPr>
              <w:rFonts w:asciiTheme="minorHAnsi" w:eastAsiaTheme="minorEastAsia" w:hAnsiTheme="minorHAnsi" w:cstheme="minorBidi"/>
              <w:bCs w:val="0"/>
              <w:noProof/>
              <w:sz w:val="22"/>
              <w:szCs w:val="22"/>
              <w:lang w:eastAsia="en-GB"/>
            </w:rPr>
          </w:pPr>
          <w:hyperlink w:anchor="_Toc95743498" w:history="1">
            <w:r w:rsidR="004564CB" w:rsidRPr="000E1403">
              <w:rPr>
                <w:rStyle w:val="Hyperlink"/>
                <w:noProof/>
                <w14:scene3d>
                  <w14:camera w14:prst="orthographicFront"/>
                  <w14:lightRig w14:rig="threePt" w14:dir="t">
                    <w14:rot w14:lat="0" w14:lon="0" w14:rev="0"/>
                  </w14:lightRig>
                </w14:scene3d>
              </w:rPr>
              <w:t>13.3</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The Model</w:t>
            </w:r>
            <w:r w:rsidR="004564CB">
              <w:rPr>
                <w:noProof/>
                <w:webHidden/>
              </w:rPr>
              <w:tab/>
            </w:r>
            <w:r w:rsidR="004564CB">
              <w:rPr>
                <w:noProof/>
                <w:webHidden/>
              </w:rPr>
              <w:fldChar w:fldCharType="begin"/>
            </w:r>
            <w:r w:rsidR="004564CB">
              <w:rPr>
                <w:noProof/>
                <w:webHidden/>
              </w:rPr>
              <w:instrText xml:space="preserve"> PAGEREF _Toc95743498 \h </w:instrText>
            </w:r>
            <w:r w:rsidR="004564CB">
              <w:rPr>
                <w:noProof/>
                <w:webHidden/>
              </w:rPr>
            </w:r>
            <w:r w:rsidR="004564CB">
              <w:rPr>
                <w:noProof/>
                <w:webHidden/>
              </w:rPr>
              <w:fldChar w:fldCharType="separate"/>
            </w:r>
            <w:r w:rsidR="00A176C0">
              <w:rPr>
                <w:noProof/>
                <w:webHidden/>
              </w:rPr>
              <w:t>313</w:t>
            </w:r>
            <w:r w:rsidR="004564CB">
              <w:rPr>
                <w:noProof/>
                <w:webHidden/>
              </w:rPr>
              <w:fldChar w:fldCharType="end"/>
            </w:r>
          </w:hyperlink>
        </w:p>
        <w:p w14:paraId="46D13A8C" w14:textId="52D2A5FD" w:rsidR="004564CB" w:rsidRDefault="000B57EE">
          <w:pPr>
            <w:pStyle w:val="TOC2"/>
            <w:rPr>
              <w:rFonts w:asciiTheme="minorHAnsi" w:eastAsiaTheme="minorEastAsia" w:hAnsiTheme="minorHAnsi" w:cstheme="minorBidi"/>
              <w:bCs w:val="0"/>
              <w:noProof/>
              <w:sz w:val="22"/>
              <w:szCs w:val="22"/>
              <w:lang w:eastAsia="en-GB"/>
            </w:rPr>
          </w:pPr>
          <w:hyperlink w:anchor="_Toc95743499" w:history="1">
            <w:r w:rsidR="004564CB" w:rsidRPr="000E1403">
              <w:rPr>
                <w:rStyle w:val="Hyperlink"/>
                <w:noProof/>
                <w14:scene3d>
                  <w14:camera w14:prst="orthographicFront"/>
                  <w14:lightRig w14:rig="threePt" w14:dir="t">
                    <w14:rot w14:lat="0" w14:lon="0" w14:rev="0"/>
                  </w14:lightRig>
                </w14:scene3d>
              </w:rPr>
              <w:t>13.4</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Process flowchart</w:t>
            </w:r>
            <w:r w:rsidR="004564CB">
              <w:rPr>
                <w:noProof/>
                <w:webHidden/>
              </w:rPr>
              <w:tab/>
            </w:r>
            <w:r w:rsidR="004564CB">
              <w:rPr>
                <w:noProof/>
                <w:webHidden/>
              </w:rPr>
              <w:fldChar w:fldCharType="begin"/>
            </w:r>
            <w:r w:rsidR="004564CB">
              <w:rPr>
                <w:noProof/>
                <w:webHidden/>
              </w:rPr>
              <w:instrText xml:space="preserve"> PAGEREF _Toc95743499 \h </w:instrText>
            </w:r>
            <w:r w:rsidR="004564CB">
              <w:rPr>
                <w:noProof/>
                <w:webHidden/>
              </w:rPr>
            </w:r>
            <w:r w:rsidR="004564CB">
              <w:rPr>
                <w:noProof/>
                <w:webHidden/>
              </w:rPr>
              <w:fldChar w:fldCharType="separate"/>
            </w:r>
            <w:r w:rsidR="00A176C0">
              <w:rPr>
                <w:noProof/>
                <w:webHidden/>
              </w:rPr>
              <w:t>318</w:t>
            </w:r>
            <w:r w:rsidR="004564CB">
              <w:rPr>
                <w:noProof/>
                <w:webHidden/>
              </w:rPr>
              <w:fldChar w:fldCharType="end"/>
            </w:r>
          </w:hyperlink>
        </w:p>
        <w:p w14:paraId="63BFDE88" w14:textId="01E7EE61" w:rsidR="004564CB" w:rsidRDefault="000B57EE">
          <w:pPr>
            <w:pStyle w:val="TOC2"/>
            <w:rPr>
              <w:rFonts w:asciiTheme="minorHAnsi" w:eastAsiaTheme="minorEastAsia" w:hAnsiTheme="minorHAnsi" w:cstheme="minorBidi"/>
              <w:bCs w:val="0"/>
              <w:noProof/>
              <w:sz w:val="22"/>
              <w:szCs w:val="22"/>
              <w:lang w:eastAsia="en-GB"/>
            </w:rPr>
          </w:pPr>
          <w:hyperlink w:anchor="_Toc95743500" w:history="1">
            <w:r w:rsidR="004564CB" w:rsidRPr="000E1403">
              <w:rPr>
                <w:rStyle w:val="Hyperlink"/>
                <w:noProof/>
                <w14:scene3d>
                  <w14:camera w14:prst="orthographicFront"/>
                  <w14:lightRig w14:rig="threePt" w14:dir="t">
                    <w14:rot w14:lat="0" w14:lon="0" w14:rev="0"/>
                  </w14:lightRig>
                </w14:scene3d>
              </w:rPr>
              <w:t>13.5</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Annexes</w:t>
            </w:r>
            <w:r w:rsidR="004564CB">
              <w:rPr>
                <w:noProof/>
                <w:webHidden/>
              </w:rPr>
              <w:tab/>
            </w:r>
            <w:r w:rsidR="004564CB">
              <w:rPr>
                <w:noProof/>
                <w:webHidden/>
              </w:rPr>
              <w:fldChar w:fldCharType="begin"/>
            </w:r>
            <w:r w:rsidR="004564CB">
              <w:rPr>
                <w:noProof/>
                <w:webHidden/>
              </w:rPr>
              <w:instrText xml:space="preserve"> PAGEREF _Toc95743500 \h </w:instrText>
            </w:r>
            <w:r w:rsidR="004564CB">
              <w:rPr>
                <w:noProof/>
                <w:webHidden/>
              </w:rPr>
            </w:r>
            <w:r w:rsidR="004564CB">
              <w:rPr>
                <w:noProof/>
                <w:webHidden/>
              </w:rPr>
              <w:fldChar w:fldCharType="separate"/>
            </w:r>
            <w:r w:rsidR="00A176C0">
              <w:rPr>
                <w:noProof/>
                <w:webHidden/>
              </w:rPr>
              <w:t>320</w:t>
            </w:r>
            <w:r w:rsidR="004564CB">
              <w:rPr>
                <w:noProof/>
                <w:webHidden/>
              </w:rPr>
              <w:fldChar w:fldCharType="end"/>
            </w:r>
          </w:hyperlink>
        </w:p>
        <w:p w14:paraId="52C8E0CB" w14:textId="0B4E34B2" w:rsidR="004564CB" w:rsidRDefault="000B57EE">
          <w:pPr>
            <w:pStyle w:val="TOC2"/>
            <w:rPr>
              <w:rFonts w:asciiTheme="minorHAnsi" w:eastAsiaTheme="minorEastAsia" w:hAnsiTheme="minorHAnsi" w:cstheme="minorBidi"/>
              <w:bCs w:val="0"/>
              <w:noProof/>
              <w:sz w:val="22"/>
              <w:szCs w:val="22"/>
              <w:lang w:eastAsia="en-GB"/>
            </w:rPr>
          </w:pPr>
          <w:hyperlink w:anchor="_Toc95743501" w:history="1">
            <w:r w:rsidR="004564CB" w:rsidRPr="000E1403">
              <w:rPr>
                <w:rStyle w:val="Hyperlink"/>
                <w:noProof/>
                <w14:scene3d>
                  <w14:camera w14:prst="orthographicFront"/>
                  <w14:lightRig w14:rig="threePt" w14:dir="t">
                    <w14:rot w14:lat="0" w14:lon="0" w14:rev="0"/>
                  </w14:lightRig>
                </w14:scene3d>
              </w:rPr>
              <w:t>13.6</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NHS Resolution guidance note on Premises costs (Current Market Rent) disputes</w:t>
            </w:r>
            <w:r w:rsidR="004564CB">
              <w:rPr>
                <w:noProof/>
                <w:webHidden/>
              </w:rPr>
              <w:tab/>
            </w:r>
            <w:r w:rsidR="004564CB">
              <w:rPr>
                <w:noProof/>
                <w:webHidden/>
              </w:rPr>
              <w:fldChar w:fldCharType="begin"/>
            </w:r>
            <w:r w:rsidR="004564CB">
              <w:rPr>
                <w:noProof/>
                <w:webHidden/>
              </w:rPr>
              <w:instrText xml:space="preserve"> PAGEREF _Toc95743501 \h </w:instrText>
            </w:r>
            <w:r w:rsidR="004564CB">
              <w:rPr>
                <w:noProof/>
                <w:webHidden/>
              </w:rPr>
            </w:r>
            <w:r w:rsidR="004564CB">
              <w:rPr>
                <w:noProof/>
                <w:webHidden/>
              </w:rPr>
              <w:fldChar w:fldCharType="separate"/>
            </w:r>
            <w:r w:rsidR="00A176C0">
              <w:rPr>
                <w:noProof/>
                <w:webHidden/>
              </w:rPr>
              <w:t>322</w:t>
            </w:r>
            <w:r w:rsidR="004564CB">
              <w:rPr>
                <w:noProof/>
                <w:webHidden/>
              </w:rPr>
              <w:fldChar w:fldCharType="end"/>
            </w:r>
          </w:hyperlink>
        </w:p>
        <w:p w14:paraId="7F64C055" w14:textId="559D8408" w:rsidR="004564CB" w:rsidRDefault="000B57EE">
          <w:pPr>
            <w:pStyle w:val="TOC2"/>
            <w:rPr>
              <w:rFonts w:asciiTheme="minorHAnsi" w:eastAsiaTheme="minorEastAsia" w:hAnsiTheme="minorHAnsi" w:cstheme="minorBidi"/>
              <w:bCs w:val="0"/>
              <w:noProof/>
              <w:sz w:val="22"/>
              <w:szCs w:val="22"/>
              <w:lang w:eastAsia="en-GB"/>
            </w:rPr>
          </w:pPr>
          <w:hyperlink w:anchor="_Toc95743502" w:history="1">
            <w:r w:rsidR="004564CB" w:rsidRPr="000E1403">
              <w:rPr>
                <w:rStyle w:val="Hyperlink"/>
                <w:rFonts w:eastAsiaTheme="majorEastAsia"/>
                <w:noProof/>
                <w14:scene3d>
                  <w14:camera w14:prst="orthographicFront"/>
                  <w14:lightRig w14:rig="threePt" w14:dir="t">
                    <w14:rot w14:lat="0" w14:lon="0" w14:rev="0"/>
                  </w14:lightRig>
                </w14:scene3d>
              </w:rPr>
              <w:t>13.7</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Theme="majorEastAsia"/>
                <w:noProof/>
              </w:rPr>
              <w:t>PCN Workforce and Estates Guidance</w:t>
            </w:r>
            <w:r w:rsidR="004564CB">
              <w:rPr>
                <w:noProof/>
                <w:webHidden/>
              </w:rPr>
              <w:tab/>
            </w:r>
            <w:r w:rsidR="004564CB">
              <w:rPr>
                <w:noProof/>
                <w:webHidden/>
              </w:rPr>
              <w:fldChar w:fldCharType="begin"/>
            </w:r>
            <w:r w:rsidR="004564CB">
              <w:rPr>
                <w:noProof/>
                <w:webHidden/>
              </w:rPr>
              <w:instrText xml:space="preserve"> PAGEREF _Toc95743502 \h </w:instrText>
            </w:r>
            <w:r w:rsidR="004564CB">
              <w:rPr>
                <w:noProof/>
                <w:webHidden/>
              </w:rPr>
            </w:r>
            <w:r w:rsidR="004564CB">
              <w:rPr>
                <w:noProof/>
                <w:webHidden/>
              </w:rPr>
              <w:fldChar w:fldCharType="separate"/>
            </w:r>
            <w:r w:rsidR="00A176C0">
              <w:rPr>
                <w:noProof/>
                <w:webHidden/>
              </w:rPr>
              <w:t>322</w:t>
            </w:r>
            <w:r w:rsidR="004564CB">
              <w:rPr>
                <w:noProof/>
                <w:webHidden/>
              </w:rPr>
              <w:fldChar w:fldCharType="end"/>
            </w:r>
          </w:hyperlink>
        </w:p>
        <w:p w14:paraId="57336EFE" w14:textId="72BC7740" w:rsidR="004564CB" w:rsidRDefault="000B57EE">
          <w:pPr>
            <w:pStyle w:val="TOC1"/>
            <w:rPr>
              <w:rFonts w:asciiTheme="minorHAnsi" w:eastAsiaTheme="minorEastAsia" w:hAnsiTheme="minorHAnsi" w:cstheme="minorBidi"/>
              <w:bCs w:val="0"/>
              <w:color w:val="auto"/>
              <w:sz w:val="22"/>
              <w:szCs w:val="22"/>
              <w:lang w:eastAsia="en-GB"/>
            </w:rPr>
          </w:pPr>
          <w:hyperlink w:anchor="_Toc95743503" w:history="1">
            <w:r w:rsidR="004564CB" w:rsidRPr="000E1403">
              <w:rPr>
                <w:rStyle w:val="Hyperlink"/>
              </w:rPr>
              <w:t>14</w:t>
            </w:r>
            <w:r w:rsidR="004564CB">
              <w:rPr>
                <w:rFonts w:asciiTheme="minorHAnsi" w:eastAsiaTheme="minorEastAsia" w:hAnsiTheme="minorHAnsi" w:cstheme="minorBidi"/>
                <w:bCs w:val="0"/>
                <w:color w:val="auto"/>
                <w:sz w:val="22"/>
                <w:szCs w:val="22"/>
                <w:lang w:eastAsia="en-GB"/>
              </w:rPr>
              <w:tab/>
            </w:r>
            <w:r w:rsidR="004564CB" w:rsidRPr="000E1403">
              <w:rPr>
                <w:rStyle w:val="Hyperlink"/>
              </w:rPr>
              <w:t>Sub-contracting of Clinical Services: Assurance Framework</w:t>
            </w:r>
            <w:r w:rsidR="004564CB">
              <w:rPr>
                <w:webHidden/>
              </w:rPr>
              <w:tab/>
            </w:r>
            <w:r w:rsidR="004564CB">
              <w:rPr>
                <w:webHidden/>
              </w:rPr>
              <w:fldChar w:fldCharType="begin"/>
            </w:r>
            <w:r w:rsidR="004564CB">
              <w:rPr>
                <w:webHidden/>
              </w:rPr>
              <w:instrText xml:space="preserve"> PAGEREF _Toc95743503 \h </w:instrText>
            </w:r>
            <w:r w:rsidR="004564CB">
              <w:rPr>
                <w:webHidden/>
              </w:rPr>
            </w:r>
            <w:r w:rsidR="004564CB">
              <w:rPr>
                <w:webHidden/>
              </w:rPr>
              <w:fldChar w:fldCharType="separate"/>
            </w:r>
            <w:r w:rsidR="00A176C0">
              <w:rPr>
                <w:webHidden/>
              </w:rPr>
              <w:t>324</w:t>
            </w:r>
            <w:r w:rsidR="004564CB">
              <w:rPr>
                <w:webHidden/>
              </w:rPr>
              <w:fldChar w:fldCharType="end"/>
            </w:r>
          </w:hyperlink>
        </w:p>
        <w:p w14:paraId="6B35F8B0" w14:textId="631C17AA" w:rsidR="004564CB" w:rsidRDefault="000B57EE">
          <w:pPr>
            <w:pStyle w:val="TOC2"/>
            <w:rPr>
              <w:rFonts w:asciiTheme="minorHAnsi" w:eastAsiaTheme="minorEastAsia" w:hAnsiTheme="minorHAnsi" w:cstheme="minorBidi"/>
              <w:bCs w:val="0"/>
              <w:noProof/>
              <w:sz w:val="22"/>
              <w:szCs w:val="22"/>
              <w:lang w:eastAsia="en-GB"/>
            </w:rPr>
          </w:pPr>
          <w:hyperlink w:anchor="_Toc95743504" w:history="1">
            <w:r w:rsidR="004564CB" w:rsidRPr="000E1403">
              <w:rPr>
                <w:rStyle w:val="Hyperlink"/>
                <w:rFonts w:cs="Arial"/>
                <w:noProof/>
                <w14:scene3d>
                  <w14:camera w14:prst="orthographicFront"/>
                  <w14:lightRig w14:rig="threePt" w14:dir="t">
                    <w14:rot w14:lat="0" w14:lon="0" w14:rev="0"/>
                  </w14:lightRig>
                </w14:scene3d>
              </w:rPr>
              <w:t>14.1</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Arial" w:cs="Arial"/>
                <w:noProof/>
              </w:rPr>
              <w:t>Introduction</w:t>
            </w:r>
            <w:r w:rsidR="004564CB">
              <w:rPr>
                <w:noProof/>
                <w:webHidden/>
              </w:rPr>
              <w:tab/>
            </w:r>
            <w:r w:rsidR="004564CB">
              <w:rPr>
                <w:noProof/>
                <w:webHidden/>
              </w:rPr>
              <w:fldChar w:fldCharType="begin"/>
            </w:r>
            <w:r w:rsidR="004564CB">
              <w:rPr>
                <w:noProof/>
                <w:webHidden/>
              </w:rPr>
              <w:instrText xml:space="preserve"> PAGEREF _Toc95743504 \h </w:instrText>
            </w:r>
            <w:r w:rsidR="004564CB">
              <w:rPr>
                <w:noProof/>
                <w:webHidden/>
              </w:rPr>
            </w:r>
            <w:r w:rsidR="004564CB">
              <w:rPr>
                <w:noProof/>
                <w:webHidden/>
              </w:rPr>
              <w:fldChar w:fldCharType="separate"/>
            </w:r>
            <w:r w:rsidR="00A176C0">
              <w:rPr>
                <w:noProof/>
                <w:webHidden/>
              </w:rPr>
              <w:t>324</w:t>
            </w:r>
            <w:r w:rsidR="004564CB">
              <w:rPr>
                <w:noProof/>
                <w:webHidden/>
              </w:rPr>
              <w:fldChar w:fldCharType="end"/>
            </w:r>
          </w:hyperlink>
        </w:p>
        <w:p w14:paraId="10925FCB" w14:textId="1744ACEB" w:rsidR="004564CB" w:rsidRDefault="000B57EE">
          <w:pPr>
            <w:pStyle w:val="TOC2"/>
            <w:rPr>
              <w:rFonts w:asciiTheme="minorHAnsi" w:eastAsiaTheme="minorEastAsia" w:hAnsiTheme="minorHAnsi" w:cstheme="minorBidi"/>
              <w:bCs w:val="0"/>
              <w:noProof/>
              <w:sz w:val="22"/>
              <w:szCs w:val="22"/>
              <w:lang w:eastAsia="en-GB"/>
            </w:rPr>
          </w:pPr>
          <w:hyperlink w:anchor="_Toc95743505" w:history="1">
            <w:r w:rsidR="004564CB" w:rsidRPr="000E1403">
              <w:rPr>
                <w:rStyle w:val="Hyperlink"/>
                <w:rFonts w:cs="Arial"/>
                <w:noProof/>
                <w14:scene3d>
                  <w14:camera w14:prst="orthographicFront"/>
                  <w14:lightRig w14:rig="threePt" w14:dir="t">
                    <w14:rot w14:lat="0" w14:lon="0" w14:rev="0"/>
                  </w14:lightRig>
                </w14:scene3d>
              </w:rPr>
              <w:t>14.2</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Arial" w:cs="Arial"/>
                <w:noProof/>
              </w:rPr>
              <w:t>Guidance on assuring sub-contracting proposals</w:t>
            </w:r>
            <w:r w:rsidR="004564CB">
              <w:rPr>
                <w:noProof/>
                <w:webHidden/>
              </w:rPr>
              <w:tab/>
            </w:r>
            <w:r w:rsidR="004564CB">
              <w:rPr>
                <w:noProof/>
                <w:webHidden/>
              </w:rPr>
              <w:fldChar w:fldCharType="begin"/>
            </w:r>
            <w:r w:rsidR="004564CB">
              <w:rPr>
                <w:noProof/>
                <w:webHidden/>
              </w:rPr>
              <w:instrText xml:space="preserve"> PAGEREF _Toc95743505 \h </w:instrText>
            </w:r>
            <w:r w:rsidR="004564CB">
              <w:rPr>
                <w:noProof/>
                <w:webHidden/>
              </w:rPr>
            </w:r>
            <w:r w:rsidR="004564CB">
              <w:rPr>
                <w:noProof/>
                <w:webHidden/>
              </w:rPr>
              <w:fldChar w:fldCharType="separate"/>
            </w:r>
            <w:r w:rsidR="00A176C0">
              <w:rPr>
                <w:noProof/>
                <w:webHidden/>
              </w:rPr>
              <w:t>325</w:t>
            </w:r>
            <w:r w:rsidR="004564CB">
              <w:rPr>
                <w:noProof/>
                <w:webHidden/>
              </w:rPr>
              <w:fldChar w:fldCharType="end"/>
            </w:r>
          </w:hyperlink>
        </w:p>
        <w:p w14:paraId="5A7198EE" w14:textId="4AC805BD" w:rsidR="004564CB" w:rsidRDefault="000B57EE">
          <w:pPr>
            <w:pStyle w:val="TOC2"/>
            <w:rPr>
              <w:rFonts w:asciiTheme="minorHAnsi" w:eastAsiaTheme="minorEastAsia" w:hAnsiTheme="minorHAnsi" w:cstheme="minorBidi"/>
              <w:bCs w:val="0"/>
              <w:noProof/>
              <w:sz w:val="22"/>
              <w:szCs w:val="22"/>
              <w:lang w:eastAsia="en-GB"/>
            </w:rPr>
          </w:pPr>
          <w:hyperlink w:anchor="_Toc95743506" w:history="1">
            <w:r w:rsidR="004564CB" w:rsidRPr="000E1403">
              <w:rPr>
                <w:rStyle w:val="Hyperlink"/>
                <w:rFonts w:eastAsia="Arial" w:cs="Arial"/>
                <w:noProof/>
                <w14:scene3d>
                  <w14:camera w14:prst="orthographicFront"/>
                  <w14:lightRig w14:rig="threePt" w14:dir="t">
                    <w14:rot w14:lat="0" w14:lon="0" w14:rev="0"/>
                  </w14:lightRig>
                </w14:scene3d>
              </w:rPr>
              <w:t>14.3</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Arial" w:cs="Arial"/>
                <w:noProof/>
              </w:rPr>
              <w:t>Annex A – Assurance Checklist</w:t>
            </w:r>
            <w:r w:rsidR="004564CB">
              <w:rPr>
                <w:noProof/>
                <w:webHidden/>
              </w:rPr>
              <w:tab/>
            </w:r>
            <w:r w:rsidR="004564CB">
              <w:rPr>
                <w:noProof/>
                <w:webHidden/>
              </w:rPr>
              <w:fldChar w:fldCharType="begin"/>
            </w:r>
            <w:r w:rsidR="004564CB">
              <w:rPr>
                <w:noProof/>
                <w:webHidden/>
              </w:rPr>
              <w:instrText xml:space="preserve"> PAGEREF _Toc95743506 \h </w:instrText>
            </w:r>
            <w:r w:rsidR="004564CB">
              <w:rPr>
                <w:noProof/>
                <w:webHidden/>
              </w:rPr>
            </w:r>
            <w:r w:rsidR="004564CB">
              <w:rPr>
                <w:noProof/>
                <w:webHidden/>
              </w:rPr>
              <w:fldChar w:fldCharType="separate"/>
            </w:r>
            <w:r w:rsidR="00A176C0">
              <w:rPr>
                <w:noProof/>
                <w:webHidden/>
              </w:rPr>
              <w:t>333</w:t>
            </w:r>
            <w:r w:rsidR="004564CB">
              <w:rPr>
                <w:noProof/>
                <w:webHidden/>
              </w:rPr>
              <w:fldChar w:fldCharType="end"/>
            </w:r>
          </w:hyperlink>
        </w:p>
        <w:p w14:paraId="5304C66A" w14:textId="60528AE5" w:rsidR="004564CB" w:rsidRDefault="000B57EE">
          <w:pPr>
            <w:pStyle w:val="TOC2"/>
            <w:rPr>
              <w:rFonts w:asciiTheme="minorHAnsi" w:eastAsiaTheme="minorEastAsia" w:hAnsiTheme="minorHAnsi" w:cstheme="minorBidi"/>
              <w:bCs w:val="0"/>
              <w:noProof/>
              <w:sz w:val="22"/>
              <w:szCs w:val="22"/>
              <w:lang w:eastAsia="en-GB"/>
            </w:rPr>
          </w:pPr>
          <w:hyperlink w:anchor="_Toc95743507" w:history="1">
            <w:r w:rsidR="004564CB" w:rsidRPr="000E1403">
              <w:rPr>
                <w:rStyle w:val="Hyperlink"/>
                <w:rFonts w:eastAsia="Arial" w:cs="Arial"/>
                <w:noProof/>
                <w14:scene3d>
                  <w14:camera w14:prst="orthographicFront"/>
                  <w14:lightRig w14:rig="threePt" w14:dir="t">
                    <w14:rot w14:lat="0" w14:lon="0" w14:rev="0"/>
                  </w14:lightRig>
                </w14:scene3d>
              </w:rPr>
              <w:t>14.4</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Arial" w:cs="Arial"/>
                <w:noProof/>
              </w:rPr>
              <w:t>Annex B – Mandatory terms regarding sub-contracting</w:t>
            </w:r>
            <w:r w:rsidR="004564CB">
              <w:rPr>
                <w:noProof/>
                <w:webHidden/>
              </w:rPr>
              <w:tab/>
            </w:r>
            <w:r w:rsidR="004564CB">
              <w:rPr>
                <w:noProof/>
                <w:webHidden/>
              </w:rPr>
              <w:fldChar w:fldCharType="begin"/>
            </w:r>
            <w:r w:rsidR="004564CB">
              <w:rPr>
                <w:noProof/>
                <w:webHidden/>
              </w:rPr>
              <w:instrText xml:space="preserve"> PAGEREF _Toc95743507 \h </w:instrText>
            </w:r>
            <w:r w:rsidR="004564CB">
              <w:rPr>
                <w:noProof/>
                <w:webHidden/>
              </w:rPr>
            </w:r>
            <w:r w:rsidR="004564CB">
              <w:rPr>
                <w:noProof/>
                <w:webHidden/>
              </w:rPr>
              <w:fldChar w:fldCharType="separate"/>
            </w:r>
            <w:r w:rsidR="00A176C0">
              <w:rPr>
                <w:noProof/>
                <w:webHidden/>
              </w:rPr>
              <w:t>333</w:t>
            </w:r>
            <w:r w:rsidR="004564CB">
              <w:rPr>
                <w:noProof/>
                <w:webHidden/>
              </w:rPr>
              <w:fldChar w:fldCharType="end"/>
            </w:r>
          </w:hyperlink>
        </w:p>
        <w:p w14:paraId="793CB62F" w14:textId="1F5ED0A8" w:rsidR="004564CB" w:rsidRDefault="000B57EE">
          <w:pPr>
            <w:pStyle w:val="TOC2"/>
            <w:rPr>
              <w:rFonts w:asciiTheme="minorHAnsi" w:eastAsiaTheme="minorEastAsia" w:hAnsiTheme="minorHAnsi" w:cstheme="minorBidi"/>
              <w:bCs w:val="0"/>
              <w:noProof/>
              <w:sz w:val="22"/>
              <w:szCs w:val="22"/>
              <w:lang w:eastAsia="en-GB"/>
            </w:rPr>
          </w:pPr>
          <w:hyperlink w:anchor="_Toc95743508" w:history="1">
            <w:r w:rsidR="004564CB" w:rsidRPr="000E1403">
              <w:rPr>
                <w:rStyle w:val="Hyperlink"/>
                <w:rFonts w:eastAsia="Arial" w:cs="Arial"/>
                <w:noProof/>
                <w14:scene3d>
                  <w14:camera w14:prst="orthographicFront"/>
                  <w14:lightRig w14:rig="threePt" w14:dir="t">
                    <w14:rot w14:lat="0" w14:lon="0" w14:rev="0"/>
                  </w14:lightRig>
                </w14:scene3d>
              </w:rPr>
              <w:t>14.5</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Arial" w:cs="Arial"/>
                <w:noProof/>
              </w:rPr>
              <w:t>GP and NHS provider (</w:t>
            </w:r>
            <w:r w:rsidR="004564CB" w:rsidRPr="000E1403">
              <w:rPr>
                <w:rStyle w:val="Hyperlink"/>
                <w:rFonts w:cs="Arial"/>
                <w:noProof/>
              </w:rPr>
              <w:t xml:space="preserve">NHS trusts or FTs) </w:t>
            </w:r>
            <w:r w:rsidR="004564CB" w:rsidRPr="000E1403">
              <w:rPr>
                <w:rStyle w:val="Hyperlink"/>
                <w:rFonts w:eastAsia="Arial" w:cs="Arial"/>
                <w:noProof/>
              </w:rPr>
              <w:t>sub-contracting checklist</w:t>
            </w:r>
            <w:r w:rsidR="004564CB">
              <w:rPr>
                <w:noProof/>
                <w:webHidden/>
              </w:rPr>
              <w:tab/>
            </w:r>
            <w:r w:rsidR="004564CB">
              <w:rPr>
                <w:noProof/>
                <w:webHidden/>
              </w:rPr>
              <w:fldChar w:fldCharType="begin"/>
            </w:r>
            <w:r w:rsidR="004564CB">
              <w:rPr>
                <w:noProof/>
                <w:webHidden/>
              </w:rPr>
              <w:instrText xml:space="preserve"> PAGEREF _Toc95743508 \h </w:instrText>
            </w:r>
            <w:r w:rsidR="004564CB">
              <w:rPr>
                <w:noProof/>
                <w:webHidden/>
              </w:rPr>
            </w:r>
            <w:r w:rsidR="004564CB">
              <w:rPr>
                <w:noProof/>
                <w:webHidden/>
              </w:rPr>
              <w:fldChar w:fldCharType="separate"/>
            </w:r>
            <w:r w:rsidR="00A176C0">
              <w:rPr>
                <w:noProof/>
                <w:webHidden/>
              </w:rPr>
              <w:t>334</w:t>
            </w:r>
            <w:r w:rsidR="004564CB">
              <w:rPr>
                <w:noProof/>
                <w:webHidden/>
              </w:rPr>
              <w:fldChar w:fldCharType="end"/>
            </w:r>
          </w:hyperlink>
        </w:p>
        <w:p w14:paraId="29261592" w14:textId="1E43CA53" w:rsidR="004564CB" w:rsidRDefault="000B57EE">
          <w:pPr>
            <w:pStyle w:val="TOC1"/>
            <w:rPr>
              <w:rFonts w:asciiTheme="minorHAnsi" w:eastAsiaTheme="minorEastAsia" w:hAnsiTheme="minorHAnsi" w:cstheme="minorBidi"/>
              <w:bCs w:val="0"/>
              <w:color w:val="auto"/>
              <w:sz w:val="22"/>
              <w:szCs w:val="22"/>
              <w:lang w:eastAsia="en-GB"/>
            </w:rPr>
          </w:pPr>
          <w:hyperlink w:anchor="_Toc95743509" w:history="1">
            <w:r w:rsidR="004564CB" w:rsidRPr="000E1403">
              <w:rPr>
                <w:rStyle w:val="Hyperlink"/>
                <w:lang w:eastAsia="en-GB"/>
              </w:rPr>
              <w:t>Part C – When things go wrong</w:t>
            </w:r>
            <w:r w:rsidR="004564CB">
              <w:rPr>
                <w:webHidden/>
              </w:rPr>
              <w:tab/>
            </w:r>
            <w:r w:rsidR="004564CB">
              <w:rPr>
                <w:webHidden/>
              </w:rPr>
              <w:fldChar w:fldCharType="begin"/>
            </w:r>
            <w:r w:rsidR="004564CB">
              <w:rPr>
                <w:webHidden/>
              </w:rPr>
              <w:instrText xml:space="preserve"> PAGEREF _Toc95743509 \h </w:instrText>
            </w:r>
            <w:r w:rsidR="004564CB">
              <w:rPr>
                <w:webHidden/>
              </w:rPr>
            </w:r>
            <w:r w:rsidR="004564CB">
              <w:rPr>
                <w:webHidden/>
              </w:rPr>
              <w:fldChar w:fldCharType="separate"/>
            </w:r>
            <w:r w:rsidR="00A176C0">
              <w:rPr>
                <w:webHidden/>
              </w:rPr>
              <w:t>339</w:t>
            </w:r>
            <w:r w:rsidR="004564CB">
              <w:rPr>
                <w:webHidden/>
              </w:rPr>
              <w:fldChar w:fldCharType="end"/>
            </w:r>
          </w:hyperlink>
        </w:p>
        <w:p w14:paraId="35165C7A" w14:textId="5D80DB1C" w:rsidR="004564CB" w:rsidRDefault="000B57EE">
          <w:pPr>
            <w:pStyle w:val="TOC1"/>
            <w:rPr>
              <w:rFonts w:asciiTheme="minorHAnsi" w:eastAsiaTheme="minorEastAsia" w:hAnsiTheme="minorHAnsi" w:cstheme="minorBidi"/>
              <w:bCs w:val="0"/>
              <w:color w:val="auto"/>
              <w:sz w:val="22"/>
              <w:szCs w:val="22"/>
              <w:lang w:eastAsia="en-GB"/>
            </w:rPr>
          </w:pPr>
          <w:hyperlink w:anchor="_Toc95743510" w:history="1">
            <w:r w:rsidR="004564CB" w:rsidRPr="000E1403">
              <w:rPr>
                <w:rStyle w:val="Hyperlink"/>
                <w:lang w:eastAsia="en-GB"/>
              </w:rPr>
              <w:t>1</w:t>
            </w:r>
            <w:r w:rsidR="004564CB">
              <w:rPr>
                <w:rFonts w:asciiTheme="minorHAnsi" w:eastAsiaTheme="minorEastAsia" w:hAnsiTheme="minorHAnsi" w:cstheme="minorBidi"/>
                <w:bCs w:val="0"/>
                <w:color w:val="auto"/>
                <w:sz w:val="22"/>
                <w:szCs w:val="22"/>
                <w:lang w:eastAsia="en-GB"/>
              </w:rPr>
              <w:tab/>
            </w:r>
            <w:r w:rsidR="004564CB" w:rsidRPr="000E1403">
              <w:rPr>
                <w:rStyle w:val="Hyperlink"/>
                <w:lang w:eastAsia="en-GB"/>
              </w:rPr>
              <w:t>Contract Breaches, Sanctions and Terminations</w:t>
            </w:r>
            <w:r w:rsidR="004564CB">
              <w:rPr>
                <w:webHidden/>
              </w:rPr>
              <w:tab/>
            </w:r>
            <w:r w:rsidR="004564CB">
              <w:rPr>
                <w:webHidden/>
              </w:rPr>
              <w:fldChar w:fldCharType="begin"/>
            </w:r>
            <w:r w:rsidR="004564CB">
              <w:rPr>
                <w:webHidden/>
              </w:rPr>
              <w:instrText xml:space="preserve"> PAGEREF _Toc95743510 \h </w:instrText>
            </w:r>
            <w:r w:rsidR="004564CB">
              <w:rPr>
                <w:webHidden/>
              </w:rPr>
            </w:r>
            <w:r w:rsidR="004564CB">
              <w:rPr>
                <w:webHidden/>
              </w:rPr>
              <w:fldChar w:fldCharType="separate"/>
            </w:r>
            <w:r w:rsidR="00A176C0">
              <w:rPr>
                <w:webHidden/>
              </w:rPr>
              <w:t>340</w:t>
            </w:r>
            <w:r w:rsidR="004564CB">
              <w:rPr>
                <w:webHidden/>
              </w:rPr>
              <w:fldChar w:fldCharType="end"/>
            </w:r>
          </w:hyperlink>
        </w:p>
        <w:p w14:paraId="35E69760" w14:textId="16FDC155" w:rsidR="004564CB" w:rsidRDefault="000B57EE">
          <w:pPr>
            <w:pStyle w:val="TOC2"/>
            <w:rPr>
              <w:rFonts w:asciiTheme="minorHAnsi" w:eastAsiaTheme="minorEastAsia" w:hAnsiTheme="minorHAnsi" w:cstheme="minorBidi"/>
              <w:bCs w:val="0"/>
              <w:noProof/>
              <w:sz w:val="22"/>
              <w:szCs w:val="22"/>
              <w:lang w:eastAsia="en-GB"/>
            </w:rPr>
          </w:pPr>
          <w:hyperlink w:anchor="_Toc95743511" w:history="1">
            <w:r w:rsidR="004564CB" w:rsidRPr="000E1403">
              <w:rPr>
                <w:rStyle w:val="Hyperlink"/>
                <w:noProof/>
                <w14:scene3d>
                  <w14:camera w14:prst="orthographicFront"/>
                  <w14:lightRig w14:rig="threePt" w14:dir="t">
                    <w14:rot w14:lat="0" w14:lon="0" w14:rev="0"/>
                  </w14:lightRig>
                </w14:scene3d>
              </w:rPr>
              <w:t>1.1</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Introduction</w:t>
            </w:r>
            <w:r w:rsidR="004564CB">
              <w:rPr>
                <w:noProof/>
                <w:webHidden/>
              </w:rPr>
              <w:tab/>
            </w:r>
            <w:r w:rsidR="004564CB">
              <w:rPr>
                <w:noProof/>
                <w:webHidden/>
              </w:rPr>
              <w:fldChar w:fldCharType="begin"/>
            </w:r>
            <w:r w:rsidR="004564CB">
              <w:rPr>
                <w:noProof/>
                <w:webHidden/>
              </w:rPr>
              <w:instrText xml:space="preserve"> PAGEREF _Toc95743511 \h </w:instrText>
            </w:r>
            <w:r w:rsidR="004564CB">
              <w:rPr>
                <w:noProof/>
                <w:webHidden/>
              </w:rPr>
            </w:r>
            <w:r w:rsidR="004564CB">
              <w:rPr>
                <w:noProof/>
                <w:webHidden/>
              </w:rPr>
              <w:fldChar w:fldCharType="separate"/>
            </w:r>
            <w:r w:rsidR="00A176C0">
              <w:rPr>
                <w:noProof/>
                <w:webHidden/>
              </w:rPr>
              <w:t>340</w:t>
            </w:r>
            <w:r w:rsidR="004564CB">
              <w:rPr>
                <w:noProof/>
                <w:webHidden/>
              </w:rPr>
              <w:fldChar w:fldCharType="end"/>
            </w:r>
          </w:hyperlink>
        </w:p>
        <w:p w14:paraId="6A4A1CA8" w14:textId="5F7FA5A5" w:rsidR="004564CB" w:rsidRDefault="000B57EE">
          <w:pPr>
            <w:pStyle w:val="TOC2"/>
            <w:rPr>
              <w:rFonts w:asciiTheme="minorHAnsi" w:eastAsiaTheme="minorEastAsia" w:hAnsiTheme="minorHAnsi" w:cstheme="minorBidi"/>
              <w:bCs w:val="0"/>
              <w:noProof/>
              <w:sz w:val="22"/>
              <w:szCs w:val="22"/>
              <w:lang w:eastAsia="en-GB"/>
            </w:rPr>
          </w:pPr>
          <w:hyperlink w:anchor="_Toc95743512" w:history="1">
            <w:r w:rsidR="004564CB" w:rsidRPr="000E1403">
              <w:rPr>
                <w:rStyle w:val="Hyperlink"/>
                <w:noProof/>
                <w14:scene3d>
                  <w14:camera w14:prst="orthographicFront"/>
                  <w14:lightRig w14:rig="threePt" w14:dir="t">
                    <w14:rot w14:lat="0" w14:lon="0" w14:rev="0"/>
                  </w14:lightRig>
                </w14:scene3d>
              </w:rPr>
              <w:t>1.2</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Contract Breaches</w:t>
            </w:r>
            <w:r w:rsidR="004564CB">
              <w:rPr>
                <w:noProof/>
                <w:webHidden/>
              </w:rPr>
              <w:tab/>
            </w:r>
            <w:r w:rsidR="004564CB">
              <w:rPr>
                <w:noProof/>
                <w:webHidden/>
              </w:rPr>
              <w:fldChar w:fldCharType="begin"/>
            </w:r>
            <w:r w:rsidR="004564CB">
              <w:rPr>
                <w:noProof/>
                <w:webHidden/>
              </w:rPr>
              <w:instrText xml:space="preserve"> PAGEREF _Toc95743512 \h </w:instrText>
            </w:r>
            <w:r w:rsidR="004564CB">
              <w:rPr>
                <w:noProof/>
                <w:webHidden/>
              </w:rPr>
            </w:r>
            <w:r w:rsidR="004564CB">
              <w:rPr>
                <w:noProof/>
                <w:webHidden/>
              </w:rPr>
              <w:fldChar w:fldCharType="separate"/>
            </w:r>
            <w:r w:rsidR="00A176C0">
              <w:rPr>
                <w:noProof/>
                <w:webHidden/>
              </w:rPr>
              <w:t>340</w:t>
            </w:r>
            <w:r w:rsidR="004564CB">
              <w:rPr>
                <w:noProof/>
                <w:webHidden/>
              </w:rPr>
              <w:fldChar w:fldCharType="end"/>
            </w:r>
          </w:hyperlink>
        </w:p>
        <w:p w14:paraId="383A509E" w14:textId="4D556B6C" w:rsidR="004564CB" w:rsidRDefault="000B57EE">
          <w:pPr>
            <w:pStyle w:val="TOC2"/>
            <w:rPr>
              <w:rFonts w:asciiTheme="minorHAnsi" w:eastAsiaTheme="minorEastAsia" w:hAnsiTheme="minorHAnsi" w:cstheme="minorBidi"/>
              <w:bCs w:val="0"/>
              <w:noProof/>
              <w:sz w:val="22"/>
              <w:szCs w:val="22"/>
              <w:lang w:eastAsia="en-GB"/>
            </w:rPr>
          </w:pPr>
          <w:hyperlink w:anchor="_Toc95743513" w:history="1">
            <w:r w:rsidR="004564CB" w:rsidRPr="000E1403">
              <w:rPr>
                <w:rStyle w:val="Hyperlink"/>
                <w:noProof/>
                <w14:scene3d>
                  <w14:camera w14:prst="orthographicFront"/>
                  <w14:lightRig w14:rig="threePt" w14:dir="t">
                    <w14:rot w14:lat="0" w14:lon="0" w14:rev="0"/>
                  </w14:lightRig>
                </w14:scene3d>
              </w:rPr>
              <w:t>1.3</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Remedial Notices and Breach Notices</w:t>
            </w:r>
            <w:r w:rsidR="004564CB">
              <w:rPr>
                <w:noProof/>
                <w:webHidden/>
              </w:rPr>
              <w:tab/>
            </w:r>
            <w:r w:rsidR="004564CB">
              <w:rPr>
                <w:noProof/>
                <w:webHidden/>
              </w:rPr>
              <w:fldChar w:fldCharType="begin"/>
            </w:r>
            <w:r w:rsidR="004564CB">
              <w:rPr>
                <w:noProof/>
                <w:webHidden/>
              </w:rPr>
              <w:instrText xml:space="preserve"> PAGEREF _Toc95743513 \h </w:instrText>
            </w:r>
            <w:r w:rsidR="004564CB">
              <w:rPr>
                <w:noProof/>
                <w:webHidden/>
              </w:rPr>
            </w:r>
            <w:r w:rsidR="004564CB">
              <w:rPr>
                <w:noProof/>
                <w:webHidden/>
              </w:rPr>
              <w:fldChar w:fldCharType="separate"/>
            </w:r>
            <w:r w:rsidR="00A176C0">
              <w:rPr>
                <w:noProof/>
                <w:webHidden/>
              </w:rPr>
              <w:t>342</w:t>
            </w:r>
            <w:r w:rsidR="004564CB">
              <w:rPr>
                <w:noProof/>
                <w:webHidden/>
              </w:rPr>
              <w:fldChar w:fldCharType="end"/>
            </w:r>
          </w:hyperlink>
        </w:p>
        <w:p w14:paraId="30339358" w14:textId="2C847954" w:rsidR="004564CB" w:rsidRDefault="000B57EE">
          <w:pPr>
            <w:pStyle w:val="TOC2"/>
            <w:rPr>
              <w:rFonts w:asciiTheme="minorHAnsi" w:eastAsiaTheme="minorEastAsia" w:hAnsiTheme="minorHAnsi" w:cstheme="minorBidi"/>
              <w:bCs w:val="0"/>
              <w:noProof/>
              <w:sz w:val="22"/>
              <w:szCs w:val="22"/>
              <w:lang w:eastAsia="en-GB"/>
            </w:rPr>
          </w:pPr>
          <w:hyperlink w:anchor="_Toc95743514" w:history="1">
            <w:r w:rsidR="004564CB" w:rsidRPr="000E1403">
              <w:rPr>
                <w:rStyle w:val="Hyperlink"/>
                <w:noProof/>
                <w14:scene3d>
                  <w14:camera w14:prst="orthographicFront"/>
                  <w14:lightRig w14:rig="threePt" w14:dir="t">
                    <w14:rot w14:lat="0" w14:lon="0" w14:rev="0"/>
                  </w14:lightRig>
                </w14:scene3d>
              </w:rPr>
              <w:t>1.4</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Contract sanctions</w:t>
            </w:r>
            <w:r w:rsidR="004564CB">
              <w:rPr>
                <w:noProof/>
                <w:webHidden/>
              </w:rPr>
              <w:tab/>
            </w:r>
            <w:r w:rsidR="004564CB">
              <w:rPr>
                <w:noProof/>
                <w:webHidden/>
              </w:rPr>
              <w:fldChar w:fldCharType="begin"/>
            </w:r>
            <w:r w:rsidR="004564CB">
              <w:rPr>
                <w:noProof/>
                <w:webHidden/>
              </w:rPr>
              <w:instrText xml:space="preserve"> PAGEREF _Toc95743514 \h </w:instrText>
            </w:r>
            <w:r w:rsidR="004564CB">
              <w:rPr>
                <w:noProof/>
                <w:webHidden/>
              </w:rPr>
            </w:r>
            <w:r w:rsidR="004564CB">
              <w:rPr>
                <w:noProof/>
                <w:webHidden/>
              </w:rPr>
              <w:fldChar w:fldCharType="separate"/>
            </w:r>
            <w:r w:rsidR="00A176C0">
              <w:rPr>
                <w:noProof/>
                <w:webHidden/>
              </w:rPr>
              <w:t>348</w:t>
            </w:r>
            <w:r w:rsidR="004564CB">
              <w:rPr>
                <w:noProof/>
                <w:webHidden/>
              </w:rPr>
              <w:fldChar w:fldCharType="end"/>
            </w:r>
          </w:hyperlink>
        </w:p>
        <w:p w14:paraId="45A8578F" w14:textId="7711D3FD" w:rsidR="004564CB" w:rsidRDefault="000B57EE">
          <w:pPr>
            <w:pStyle w:val="TOC2"/>
            <w:rPr>
              <w:rFonts w:asciiTheme="minorHAnsi" w:eastAsiaTheme="minorEastAsia" w:hAnsiTheme="minorHAnsi" w:cstheme="minorBidi"/>
              <w:bCs w:val="0"/>
              <w:noProof/>
              <w:sz w:val="22"/>
              <w:szCs w:val="22"/>
              <w:lang w:eastAsia="en-GB"/>
            </w:rPr>
          </w:pPr>
          <w:hyperlink w:anchor="_Toc95743515" w:history="1">
            <w:r w:rsidR="004564CB" w:rsidRPr="000E1403">
              <w:rPr>
                <w:rStyle w:val="Hyperlink"/>
                <w:noProof/>
                <w14:scene3d>
                  <w14:camera w14:prst="orthographicFront"/>
                  <w14:lightRig w14:rig="threePt" w14:dir="t">
                    <w14:rot w14:lat="0" w14:lon="0" w14:rev="0"/>
                  </w14:lightRig>
                </w14:scene3d>
              </w:rPr>
              <w:t>1.5</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Termination</w:t>
            </w:r>
            <w:r w:rsidR="004564CB">
              <w:rPr>
                <w:noProof/>
                <w:webHidden/>
              </w:rPr>
              <w:tab/>
            </w:r>
            <w:r w:rsidR="004564CB">
              <w:rPr>
                <w:noProof/>
                <w:webHidden/>
              </w:rPr>
              <w:fldChar w:fldCharType="begin"/>
            </w:r>
            <w:r w:rsidR="004564CB">
              <w:rPr>
                <w:noProof/>
                <w:webHidden/>
              </w:rPr>
              <w:instrText xml:space="preserve"> PAGEREF _Toc95743515 \h </w:instrText>
            </w:r>
            <w:r w:rsidR="004564CB">
              <w:rPr>
                <w:noProof/>
                <w:webHidden/>
              </w:rPr>
            </w:r>
            <w:r w:rsidR="004564CB">
              <w:rPr>
                <w:noProof/>
                <w:webHidden/>
              </w:rPr>
              <w:fldChar w:fldCharType="separate"/>
            </w:r>
            <w:r w:rsidR="00A176C0">
              <w:rPr>
                <w:noProof/>
                <w:webHidden/>
              </w:rPr>
              <w:t>351</w:t>
            </w:r>
            <w:r w:rsidR="004564CB">
              <w:rPr>
                <w:noProof/>
                <w:webHidden/>
              </w:rPr>
              <w:fldChar w:fldCharType="end"/>
            </w:r>
          </w:hyperlink>
        </w:p>
        <w:p w14:paraId="6633D274" w14:textId="083EF279" w:rsidR="004564CB" w:rsidRDefault="000B57EE">
          <w:pPr>
            <w:pStyle w:val="TOC2"/>
            <w:rPr>
              <w:rFonts w:asciiTheme="minorHAnsi" w:eastAsiaTheme="minorEastAsia" w:hAnsiTheme="minorHAnsi" w:cstheme="minorBidi"/>
              <w:bCs w:val="0"/>
              <w:noProof/>
              <w:sz w:val="22"/>
              <w:szCs w:val="22"/>
              <w:lang w:eastAsia="en-GB"/>
            </w:rPr>
          </w:pPr>
          <w:hyperlink w:anchor="_Toc95743516" w:history="1">
            <w:r w:rsidR="004564CB" w:rsidRPr="000E1403">
              <w:rPr>
                <w:rStyle w:val="Hyperlink"/>
                <w:noProof/>
                <w14:scene3d>
                  <w14:camera w14:prst="orthographicFront"/>
                  <w14:lightRig w14:rig="threePt" w14:dir="t">
                    <w14:rot w14:lat="0" w14:lon="0" w14:rev="0"/>
                  </w14:lightRig>
                </w14:scene3d>
              </w:rPr>
              <w:t>1.6</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Key Considerations on Termination</w:t>
            </w:r>
            <w:r w:rsidR="004564CB">
              <w:rPr>
                <w:noProof/>
                <w:webHidden/>
              </w:rPr>
              <w:tab/>
            </w:r>
            <w:r w:rsidR="004564CB">
              <w:rPr>
                <w:noProof/>
                <w:webHidden/>
              </w:rPr>
              <w:fldChar w:fldCharType="begin"/>
            </w:r>
            <w:r w:rsidR="004564CB">
              <w:rPr>
                <w:noProof/>
                <w:webHidden/>
              </w:rPr>
              <w:instrText xml:space="preserve"> PAGEREF _Toc95743516 \h </w:instrText>
            </w:r>
            <w:r w:rsidR="004564CB">
              <w:rPr>
                <w:noProof/>
                <w:webHidden/>
              </w:rPr>
            </w:r>
            <w:r w:rsidR="004564CB">
              <w:rPr>
                <w:noProof/>
                <w:webHidden/>
              </w:rPr>
              <w:fldChar w:fldCharType="separate"/>
            </w:r>
            <w:r w:rsidR="00A176C0">
              <w:rPr>
                <w:noProof/>
                <w:webHidden/>
              </w:rPr>
              <w:t>354</w:t>
            </w:r>
            <w:r w:rsidR="004564CB">
              <w:rPr>
                <w:noProof/>
                <w:webHidden/>
              </w:rPr>
              <w:fldChar w:fldCharType="end"/>
            </w:r>
          </w:hyperlink>
        </w:p>
        <w:p w14:paraId="6D1D8D3F" w14:textId="6634B59F" w:rsidR="004564CB" w:rsidRDefault="000B57EE">
          <w:pPr>
            <w:pStyle w:val="TOC2"/>
            <w:rPr>
              <w:rFonts w:asciiTheme="minorHAnsi" w:eastAsiaTheme="minorEastAsia" w:hAnsiTheme="minorHAnsi" w:cstheme="minorBidi"/>
              <w:bCs w:val="0"/>
              <w:noProof/>
              <w:sz w:val="22"/>
              <w:szCs w:val="22"/>
              <w:lang w:eastAsia="en-GB"/>
            </w:rPr>
          </w:pPr>
          <w:hyperlink w:anchor="_Toc95743517" w:history="1">
            <w:r w:rsidR="004564CB" w:rsidRPr="000E1403">
              <w:rPr>
                <w:rStyle w:val="Hyperlink"/>
                <w:noProof/>
                <w14:scene3d>
                  <w14:camera w14:prst="orthographicFront"/>
                  <w14:lightRig w14:rig="threePt" w14:dir="t">
                    <w14:rot w14:lat="0" w14:lon="0" w14:rev="0"/>
                  </w14:lightRig>
                </w14:scene3d>
              </w:rPr>
              <w:t>1.7</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Rights of Termination</w:t>
            </w:r>
            <w:r w:rsidR="004564CB">
              <w:rPr>
                <w:noProof/>
                <w:webHidden/>
              </w:rPr>
              <w:tab/>
            </w:r>
            <w:r w:rsidR="004564CB">
              <w:rPr>
                <w:noProof/>
                <w:webHidden/>
              </w:rPr>
              <w:fldChar w:fldCharType="begin"/>
            </w:r>
            <w:r w:rsidR="004564CB">
              <w:rPr>
                <w:noProof/>
                <w:webHidden/>
              </w:rPr>
              <w:instrText xml:space="preserve"> PAGEREF _Toc95743517 \h </w:instrText>
            </w:r>
            <w:r w:rsidR="004564CB">
              <w:rPr>
                <w:noProof/>
                <w:webHidden/>
              </w:rPr>
            </w:r>
            <w:r w:rsidR="004564CB">
              <w:rPr>
                <w:noProof/>
                <w:webHidden/>
              </w:rPr>
              <w:fldChar w:fldCharType="separate"/>
            </w:r>
            <w:r w:rsidR="00A176C0">
              <w:rPr>
                <w:noProof/>
                <w:webHidden/>
              </w:rPr>
              <w:t>358</w:t>
            </w:r>
            <w:r w:rsidR="004564CB">
              <w:rPr>
                <w:noProof/>
                <w:webHidden/>
              </w:rPr>
              <w:fldChar w:fldCharType="end"/>
            </w:r>
          </w:hyperlink>
        </w:p>
        <w:p w14:paraId="21C09350" w14:textId="59AB2E28" w:rsidR="004564CB" w:rsidRDefault="000B57EE">
          <w:pPr>
            <w:pStyle w:val="TOC2"/>
            <w:rPr>
              <w:rFonts w:asciiTheme="minorHAnsi" w:eastAsiaTheme="minorEastAsia" w:hAnsiTheme="minorHAnsi" w:cstheme="minorBidi"/>
              <w:bCs w:val="0"/>
              <w:noProof/>
              <w:sz w:val="22"/>
              <w:szCs w:val="22"/>
              <w:lang w:eastAsia="en-GB"/>
            </w:rPr>
          </w:pPr>
          <w:hyperlink w:anchor="_Toc95743518" w:history="1">
            <w:r w:rsidR="004564CB" w:rsidRPr="000E1403">
              <w:rPr>
                <w:rStyle w:val="Hyperlink"/>
                <w:noProof/>
                <w14:scene3d>
                  <w14:camera w14:prst="orthographicFront"/>
                  <w14:lightRig w14:rig="threePt" w14:dir="t">
                    <w14:rot w14:lat="0" w14:lon="0" w14:rev="0"/>
                  </w14:lightRig>
                </w14:scene3d>
              </w:rPr>
              <w:t>1.8</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Consequences of Termination</w:t>
            </w:r>
            <w:r w:rsidR="004564CB">
              <w:rPr>
                <w:noProof/>
                <w:webHidden/>
              </w:rPr>
              <w:tab/>
            </w:r>
            <w:r w:rsidR="004564CB">
              <w:rPr>
                <w:noProof/>
                <w:webHidden/>
              </w:rPr>
              <w:fldChar w:fldCharType="begin"/>
            </w:r>
            <w:r w:rsidR="004564CB">
              <w:rPr>
                <w:noProof/>
                <w:webHidden/>
              </w:rPr>
              <w:instrText xml:space="preserve"> PAGEREF _Toc95743518 \h </w:instrText>
            </w:r>
            <w:r w:rsidR="004564CB">
              <w:rPr>
                <w:noProof/>
                <w:webHidden/>
              </w:rPr>
            </w:r>
            <w:r w:rsidR="004564CB">
              <w:rPr>
                <w:noProof/>
                <w:webHidden/>
              </w:rPr>
              <w:fldChar w:fldCharType="separate"/>
            </w:r>
            <w:r w:rsidR="00A176C0">
              <w:rPr>
                <w:noProof/>
                <w:webHidden/>
              </w:rPr>
              <w:t>365</w:t>
            </w:r>
            <w:r w:rsidR="004564CB">
              <w:rPr>
                <w:noProof/>
                <w:webHidden/>
              </w:rPr>
              <w:fldChar w:fldCharType="end"/>
            </w:r>
          </w:hyperlink>
        </w:p>
        <w:p w14:paraId="73E02D6A" w14:textId="01F04539" w:rsidR="004564CB" w:rsidRDefault="000B57EE">
          <w:pPr>
            <w:pStyle w:val="TOC2"/>
            <w:rPr>
              <w:rFonts w:asciiTheme="minorHAnsi" w:eastAsiaTheme="minorEastAsia" w:hAnsiTheme="minorHAnsi" w:cstheme="minorBidi"/>
              <w:bCs w:val="0"/>
              <w:noProof/>
              <w:sz w:val="22"/>
              <w:szCs w:val="22"/>
              <w:lang w:eastAsia="en-GB"/>
            </w:rPr>
          </w:pPr>
          <w:hyperlink w:anchor="_Toc95743519" w:history="1">
            <w:r w:rsidR="004564CB" w:rsidRPr="000E1403">
              <w:rPr>
                <w:rStyle w:val="Hyperlink"/>
                <w:noProof/>
                <w14:scene3d>
                  <w14:camera w14:prst="orthographicFront"/>
                  <w14:lightRig w14:rig="threePt" w14:dir="t">
                    <w14:rot w14:lat="0" w14:lon="0" w14:rev="0"/>
                  </w14:lightRig>
                </w14:scene3d>
              </w:rPr>
              <w:t>1.9</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Dealing with CQC issues</w:t>
            </w:r>
            <w:r w:rsidR="004564CB">
              <w:rPr>
                <w:noProof/>
                <w:webHidden/>
              </w:rPr>
              <w:tab/>
            </w:r>
            <w:r w:rsidR="004564CB">
              <w:rPr>
                <w:noProof/>
                <w:webHidden/>
              </w:rPr>
              <w:fldChar w:fldCharType="begin"/>
            </w:r>
            <w:r w:rsidR="004564CB">
              <w:rPr>
                <w:noProof/>
                <w:webHidden/>
              </w:rPr>
              <w:instrText xml:space="preserve"> PAGEREF _Toc95743519 \h </w:instrText>
            </w:r>
            <w:r w:rsidR="004564CB">
              <w:rPr>
                <w:noProof/>
                <w:webHidden/>
              </w:rPr>
            </w:r>
            <w:r w:rsidR="004564CB">
              <w:rPr>
                <w:noProof/>
                <w:webHidden/>
              </w:rPr>
              <w:fldChar w:fldCharType="separate"/>
            </w:r>
            <w:r w:rsidR="00A176C0">
              <w:rPr>
                <w:noProof/>
                <w:webHidden/>
              </w:rPr>
              <w:t>365</w:t>
            </w:r>
            <w:r w:rsidR="004564CB">
              <w:rPr>
                <w:noProof/>
                <w:webHidden/>
              </w:rPr>
              <w:fldChar w:fldCharType="end"/>
            </w:r>
          </w:hyperlink>
        </w:p>
        <w:p w14:paraId="7A3B350A" w14:textId="77AB9D7D" w:rsidR="004564CB" w:rsidRDefault="000B57EE">
          <w:pPr>
            <w:pStyle w:val="TOC2"/>
            <w:rPr>
              <w:rFonts w:asciiTheme="minorHAnsi" w:eastAsiaTheme="minorEastAsia" w:hAnsiTheme="minorHAnsi" w:cstheme="minorBidi"/>
              <w:bCs w:val="0"/>
              <w:noProof/>
              <w:sz w:val="22"/>
              <w:szCs w:val="22"/>
              <w:lang w:eastAsia="en-GB"/>
            </w:rPr>
          </w:pPr>
          <w:hyperlink w:anchor="_Toc95743520" w:history="1">
            <w:r w:rsidR="004564CB" w:rsidRPr="000E1403">
              <w:rPr>
                <w:rStyle w:val="Hyperlink"/>
                <w:noProof/>
                <w14:scene3d>
                  <w14:camera w14:prst="orthographicFront"/>
                  <w14:lightRig w14:rig="threePt" w14:dir="t">
                    <w14:rot w14:lat="0" w14:lon="0" w14:rev="0"/>
                  </w14:lightRig>
                </w14:scene3d>
              </w:rPr>
              <w:t>1.10</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Annex 1 Remedial Notice Flowchart</w:t>
            </w:r>
            <w:r w:rsidR="004564CB">
              <w:rPr>
                <w:noProof/>
                <w:webHidden/>
              </w:rPr>
              <w:tab/>
            </w:r>
            <w:r w:rsidR="004564CB">
              <w:rPr>
                <w:noProof/>
                <w:webHidden/>
              </w:rPr>
              <w:fldChar w:fldCharType="begin"/>
            </w:r>
            <w:r w:rsidR="004564CB">
              <w:rPr>
                <w:noProof/>
                <w:webHidden/>
              </w:rPr>
              <w:instrText xml:space="preserve"> PAGEREF _Toc95743520 \h </w:instrText>
            </w:r>
            <w:r w:rsidR="004564CB">
              <w:rPr>
                <w:noProof/>
                <w:webHidden/>
              </w:rPr>
            </w:r>
            <w:r w:rsidR="004564CB">
              <w:rPr>
                <w:noProof/>
                <w:webHidden/>
              </w:rPr>
              <w:fldChar w:fldCharType="separate"/>
            </w:r>
            <w:r w:rsidR="00A176C0">
              <w:rPr>
                <w:noProof/>
                <w:webHidden/>
              </w:rPr>
              <w:t>367</w:t>
            </w:r>
            <w:r w:rsidR="004564CB">
              <w:rPr>
                <w:noProof/>
                <w:webHidden/>
              </w:rPr>
              <w:fldChar w:fldCharType="end"/>
            </w:r>
          </w:hyperlink>
        </w:p>
        <w:p w14:paraId="4C6EB273" w14:textId="1E0CEA9A" w:rsidR="004564CB" w:rsidRDefault="000B57EE">
          <w:pPr>
            <w:pStyle w:val="TOC2"/>
            <w:rPr>
              <w:rFonts w:asciiTheme="minorHAnsi" w:eastAsiaTheme="minorEastAsia" w:hAnsiTheme="minorHAnsi" w:cstheme="minorBidi"/>
              <w:bCs w:val="0"/>
              <w:noProof/>
              <w:sz w:val="22"/>
              <w:szCs w:val="22"/>
              <w:lang w:eastAsia="en-GB"/>
            </w:rPr>
          </w:pPr>
          <w:hyperlink w:anchor="_Toc95743521" w:history="1">
            <w:r w:rsidR="004564CB" w:rsidRPr="000E1403">
              <w:rPr>
                <w:rStyle w:val="Hyperlink"/>
                <w:noProof/>
                <w14:scene3d>
                  <w14:camera w14:prst="orthographicFront"/>
                  <w14:lightRig w14:rig="threePt" w14:dir="t">
                    <w14:rot w14:lat="0" w14:lon="0" w14:rev="0"/>
                  </w14:lightRig>
                </w14:scene3d>
              </w:rPr>
              <w:t>1.11</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Annex 2 Template Remedial Notice</w:t>
            </w:r>
            <w:r w:rsidR="004564CB">
              <w:rPr>
                <w:noProof/>
                <w:webHidden/>
              </w:rPr>
              <w:tab/>
            </w:r>
            <w:r w:rsidR="004564CB">
              <w:rPr>
                <w:noProof/>
                <w:webHidden/>
              </w:rPr>
              <w:fldChar w:fldCharType="begin"/>
            </w:r>
            <w:r w:rsidR="004564CB">
              <w:rPr>
                <w:noProof/>
                <w:webHidden/>
              </w:rPr>
              <w:instrText xml:space="preserve"> PAGEREF _Toc95743521 \h </w:instrText>
            </w:r>
            <w:r w:rsidR="004564CB">
              <w:rPr>
                <w:noProof/>
                <w:webHidden/>
              </w:rPr>
            </w:r>
            <w:r w:rsidR="004564CB">
              <w:rPr>
                <w:noProof/>
                <w:webHidden/>
              </w:rPr>
              <w:fldChar w:fldCharType="separate"/>
            </w:r>
            <w:r w:rsidR="00A176C0">
              <w:rPr>
                <w:noProof/>
                <w:webHidden/>
              </w:rPr>
              <w:t>367</w:t>
            </w:r>
            <w:r w:rsidR="004564CB">
              <w:rPr>
                <w:noProof/>
                <w:webHidden/>
              </w:rPr>
              <w:fldChar w:fldCharType="end"/>
            </w:r>
          </w:hyperlink>
        </w:p>
        <w:p w14:paraId="4DC0BC52" w14:textId="32B3F5C4" w:rsidR="004564CB" w:rsidRDefault="000B57EE">
          <w:pPr>
            <w:pStyle w:val="TOC2"/>
            <w:rPr>
              <w:rFonts w:asciiTheme="minorHAnsi" w:eastAsiaTheme="minorEastAsia" w:hAnsiTheme="minorHAnsi" w:cstheme="minorBidi"/>
              <w:bCs w:val="0"/>
              <w:noProof/>
              <w:sz w:val="22"/>
              <w:szCs w:val="22"/>
              <w:lang w:eastAsia="en-GB"/>
            </w:rPr>
          </w:pPr>
          <w:hyperlink w:anchor="_Toc95743522" w:history="1">
            <w:r w:rsidR="004564CB" w:rsidRPr="000E1403">
              <w:rPr>
                <w:rStyle w:val="Hyperlink"/>
                <w:noProof/>
                <w14:scene3d>
                  <w14:camera w14:prst="orthographicFront"/>
                  <w14:lightRig w14:rig="threePt" w14:dir="t">
                    <w14:rot w14:lat="0" w14:lon="0" w14:rev="0"/>
                  </w14:lightRig>
                </w14:scene3d>
              </w:rPr>
              <w:t>1.12</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Annex 3 Template Notice Receipt</w:t>
            </w:r>
            <w:r w:rsidR="004564CB">
              <w:rPr>
                <w:noProof/>
                <w:webHidden/>
              </w:rPr>
              <w:tab/>
            </w:r>
            <w:r w:rsidR="004564CB">
              <w:rPr>
                <w:noProof/>
                <w:webHidden/>
              </w:rPr>
              <w:fldChar w:fldCharType="begin"/>
            </w:r>
            <w:r w:rsidR="004564CB">
              <w:rPr>
                <w:noProof/>
                <w:webHidden/>
              </w:rPr>
              <w:instrText xml:space="preserve"> PAGEREF _Toc95743522 \h </w:instrText>
            </w:r>
            <w:r w:rsidR="004564CB">
              <w:rPr>
                <w:noProof/>
                <w:webHidden/>
              </w:rPr>
            </w:r>
            <w:r w:rsidR="004564CB">
              <w:rPr>
                <w:noProof/>
                <w:webHidden/>
              </w:rPr>
              <w:fldChar w:fldCharType="separate"/>
            </w:r>
            <w:r w:rsidR="00A176C0">
              <w:rPr>
                <w:noProof/>
                <w:webHidden/>
              </w:rPr>
              <w:t>367</w:t>
            </w:r>
            <w:r w:rsidR="004564CB">
              <w:rPr>
                <w:noProof/>
                <w:webHidden/>
              </w:rPr>
              <w:fldChar w:fldCharType="end"/>
            </w:r>
          </w:hyperlink>
        </w:p>
        <w:p w14:paraId="760567C2" w14:textId="4DE98DB0" w:rsidR="004564CB" w:rsidRDefault="000B57EE">
          <w:pPr>
            <w:pStyle w:val="TOC2"/>
            <w:rPr>
              <w:rFonts w:asciiTheme="minorHAnsi" w:eastAsiaTheme="minorEastAsia" w:hAnsiTheme="minorHAnsi" w:cstheme="minorBidi"/>
              <w:bCs w:val="0"/>
              <w:noProof/>
              <w:sz w:val="22"/>
              <w:szCs w:val="22"/>
              <w:lang w:eastAsia="en-GB"/>
            </w:rPr>
          </w:pPr>
          <w:hyperlink w:anchor="_Toc95743523" w:history="1">
            <w:r w:rsidR="004564CB" w:rsidRPr="000E1403">
              <w:rPr>
                <w:rStyle w:val="Hyperlink"/>
                <w:noProof/>
                <w14:scene3d>
                  <w14:camera w14:prst="orthographicFront"/>
                  <w14:lightRig w14:rig="threePt" w14:dir="t">
                    <w14:rot w14:lat="0" w14:lon="0" w14:rev="0"/>
                  </w14:lightRig>
                </w14:scene3d>
              </w:rPr>
              <w:t>1.13</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Annex 4 Template Remedial Notice Satisfaction Letter</w:t>
            </w:r>
            <w:r w:rsidR="004564CB">
              <w:rPr>
                <w:noProof/>
                <w:webHidden/>
              </w:rPr>
              <w:tab/>
            </w:r>
            <w:r w:rsidR="004564CB">
              <w:rPr>
                <w:noProof/>
                <w:webHidden/>
              </w:rPr>
              <w:fldChar w:fldCharType="begin"/>
            </w:r>
            <w:r w:rsidR="004564CB">
              <w:rPr>
                <w:noProof/>
                <w:webHidden/>
              </w:rPr>
              <w:instrText xml:space="preserve"> PAGEREF _Toc95743523 \h </w:instrText>
            </w:r>
            <w:r w:rsidR="004564CB">
              <w:rPr>
                <w:noProof/>
                <w:webHidden/>
              </w:rPr>
            </w:r>
            <w:r w:rsidR="004564CB">
              <w:rPr>
                <w:noProof/>
                <w:webHidden/>
              </w:rPr>
              <w:fldChar w:fldCharType="separate"/>
            </w:r>
            <w:r w:rsidR="00A176C0">
              <w:rPr>
                <w:noProof/>
                <w:webHidden/>
              </w:rPr>
              <w:t>367</w:t>
            </w:r>
            <w:r w:rsidR="004564CB">
              <w:rPr>
                <w:noProof/>
                <w:webHidden/>
              </w:rPr>
              <w:fldChar w:fldCharType="end"/>
            </w:r>
          </w:hyperlink>
        </w:p>
        <w:p w14:paraId="486A72BD" w14:textId="14C45D07" w:rsidR="004564CB" w:rsidRDefault="000B57EE">
          <w:pPr>
            <w:pStyle w:val="TOC2"/>
            <w:rPr>
              <w:rFonts w:asciiTheme="minorHAnsi" w:eastAsiaTheme="minorEastAsia" w:hAnsiTheme="minorHAnsi" w:cstheme="minorBidi"/>
              <w:bCs w:val="0"/>
              <w:noProof/>
              <w:sz w:val="22"/>
              <w:szCs w:val="22"/>
              <w:lang w:eastAsia="en-GB"/>
            </w:rPr>
          </w:pPr>
          <w:hyperlink w:anchor="_Toc95743524" w:history="1">
            <w:r w:rsidR="004564CB" w:rsidRPr="000E1403">
              <w:rPr>
                <w:rStyle w:val="Hyperlink"/>
                <w:noProof/>
                <w14:scene3d>
                  <w14:camera w14:prst="orthographicFront"/>
                  <w14:lightRig w14:rig="threePt" w14:dir="t">
                    <w14:rot w14:lat="0" w14:lon="0" w14:rev="0"/>
                  </w14:lightRig>
                </w14:scene3d>
              </w:rPr>
              <w:t>1.14</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Annex 5 Breach Notice Flowchart</w:t>
            </w:r>
            <w:r w:rsidR="004564CB">
              <w:rPr>
                <w:noProof/>
                <w:webHidden/>
              </w:rPr>
              <w:tab/>
            </w:r>
            <w:r w:rsidR="004564CB">
              <w:rPr>
                <w:noProof/>
                <w:webHidden/>
              </w:rPr>
              <w:fldChar w:fldCharType="begin"/>
            </w:r>
            <w:r w:rsidR="004564CB">
              <w:rPr>
                <w:noProof/>
                <w:webHidden/>
              </w:rPr>
              <w:instrText xml:space="preserve"> PAGEREF _Toc95743524 \h </w:instrText>
            </w:r>
            <w:r w:rsidR="004564CB">
              <w:rPr>
                <w:noProof/>
                <w:webHidden/>
              </w:rPr>
            </w:r>
            <w:r w:rsidR="004564CB">
              <w:rPr>
                <w:noProof/>
                <w:webHidden/>
              </w:rPr>
              <w:fldChar w:fldCharType="separate"/>
            </w:r>
            <w:r w:rsidR="00A176C0">
              <w:rPr>
                <w:noProof/>
                <w:webHidden/>
              </w:rPr>
              <w:t>367</w:t>
            </w:r>
            <w:r w:rsidR="004564CB">
              <w:rPr>
                <w:noProof/>
                <w:webHidden/>
              </w:rPr>
              <w:fldChar w:fldCharType="end"/>
            </w:r>
          </w:hyperlink>
        </w:p>
        <w:p w14:paraId="36C0A0D7" w14:textId="02F54035" w:rsidR="004564CB" w:rsidRDefault="000B57EE">
          <w:pPr>
            <w:pStyle w:val="TOC2"/>
            <w:rPr>
              <w:rFonts w:asciiTheme="minorHAnsi" w:eastAsiaTheme="minorEastAsia" w:hAnsiTheme="minorHAnsi" w:cstheme="minorBidi"/>
              <w:bCs w:val="0"/>
              <w:noProof/>
              <w:sz w:val="22"/>
              <w:szCs w:val="22"/>
              <w:lang w:eastAsia="en-GB"/>
            </w:rPr>
          </w:pPr>
          <w:hyperlink w:anchor="_Toc95743525" w:history="1">
            <w:r w:rsidR="004564CB" w:rsidRPr="000E1403">
              <w:rPr>
                <w:rStyle w:val="Hyperlink"/>
                <w:noProof/>
                <w14:scene3d>
                  <w14:camera w14:prst="orthographicFront"/>
                  <w14:lightRig w14:rig="threePt" w14:dir="t">
                    <w14:rot w14:lat="0" w14:lon="0" w14:rev="0"/>
                  </w14:lightRig>
                </w14:scene3d>
              </w:rPr>
              <w:t>1.15</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Annex 6 Template Breach Notice</w:t>
            </w:r>
            <w:r w:rsidR="004564CB">
              <w:rPr>
                <w:noProof/>
                <w:webHidden/>
              </w:rPr>
              <w:tab/>
            </w:r>
            <w:r w:rsidR="004564CB">
              <w:rPr>
                <w:noProof/>
                <w:webHidden/>
              </w:rPr>
              <w:fldChar w:fldCharType="begin"/>
            </w:r>
            <w:r w:rsidR="004564CB">
              <w:rPr>
                <w:noProof/>
                <w:webHidden/>
              </w:rPr>
              <w:instrText xml:space="preserve"> PAGEREF _Toc95743525 \h </w:instrText>
            </w:r>
            <w:r w:rsidR="004564CB">
              <w:rPr>
                <w:noProof/>
                <w:webHidden/>
              </w:rPr>
            </w:r>
            <w:r w:rsidR="004564CB">
              <w:rPr>
                <w:noProof/>
                <w:webHidden/>
              </w:rPr>
              <w:fldChar w:fldCharType="separate"/>
            </w:r>
            <w:r w:rsidR="00A176C0">
              <w:rPr>
                <w:noProof/>
                <w:webHidden/>
              </w:rPr>
              <w:t>367</w:t>
            </w:r>
            <w:r w:rsidR="004564CB">
              <w:rPr>
                <w:noProof/>
                <w:webHidden/>
              </w:rPr>
              <w:fldChar w:fldCharType="end"/>
            </w:r>
          </w:hyperlink>
        </w:p>
        <w:p w14:paraId="16E72C54" w14:textId="5BE317AE" w:rsidR="004564CB" w:rsidRDefault="000B57EE">
          <w:pPr>
            <w:pStyle w:val="TOC2"/>
            <w:rPr>
              <w:rFonts w:asciiTheme="minorHAnsi" w:eastAsiaTheme="minorEastAsia" w:hAnsiTheme="minorHAnsi" w:cstheme="minorBidi"/>
              <w:bCs w:val="0"/>
              <w:noProof/>
              <w:sz w:val="22"/>
              <w:szCs w:val="22"/>
              <w:lang w:eastAsia="en-GB"/>
            </w:rPr>
          </w:pPr>
          <w:hyperlink w:anchor="_Toc95743526" w:history="1">
            <w:r w:rsidR="004564CB" w:rsidRPr="000E1403">
              <w:rPr>
                <w:rStyle w:val="Hyperlink"/>
                <w:noProof/>
                <w14:scene3d>
                  <w14:camera w14:prst="orthographicFront"/>
                  <w14:lightRig w14:rig="threePt" w14:dir="t">
                    <w14:rot w14:lat="0" w14:lon="0" w14:rev="0"/>
                  </w14:lightRig>
                </w14:scene3d>
              </w:rPr>
              <w:t>1.16</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Annex 7 Calculating a Financial Contract Sanction</w:t>
            </w:r>
            <w:r w:rsidR="004564CB">
              <w:rPr>
                <w:noProof/>
                <w:webHidden/>
              </w:rPr>
              <w:tab/>
            </w:r>
            <w:r w:rsidR="004564CB">
              <w:rPr>
                <w:noProof/>
                <w:webHidden/>
              </w:rPr>
              <w:fldChar w:fldCharType="begin"/>
            </w:r>
            <w:r w:rsidR="004564CB">
              <w:rPr>
                <w:noProof/>
                <w:webHidden/>
              </w:rPr>
              <w:instrText xml:space="preserve"> PAGEREF _Toc95743526 \h </w:instrText>
            </w:r>
            <w:r w:rsidR="004564CB">
              <w:rPr>
                <w:noProof/>
                <w:webHidden/>
              </w:rPr>
            </w:r>
            <w:r w:rsidR="004564CB">
              <w:rPr>
                <w:noProof/>
                <w:webHidden/>
              </w:rPr>
              <w:fldChar w:fldCharType="separate"/>
            </w:r>
            <w:r w:rsidR="00A176C0">
              <w:rPr>
                <w:noProof/>
                <w:webHidden/>
              </w:rPr>
              <w:t>367</w:t>
            </w:r>
            <w:r w:rsidR="004564CB">
              <w:rPr>
                <w:noProof/>
                <w:webHidden/>
              </w:rPr>
              <w:fldChar w:fldCharType="end"/>
            </w:r>
          </w:hyperlink>
        </w:p>
        <w:p w14:paraId="3D9C4C49" w14:textId="27DA2435" w:rsidR="004564CB" w:rsidRDefault="000B57EE">
          <w:pPr>
            <w:pStyle w:val="TOC2"/>
            <w:rPr>
              <w:rFonts w:asciiTheme="minorHAnsi" w:eastAsiaTheme="minorEastAsia" w:hAnsiTheme="minorHAnsi" w:cstheme="minorBidi"/>
              <w:bCs w:val="0"/>
              <w:noProof/>
              <w:sz w:val="22"/>
              <w:szCs w:val="22"/>
              <w:lang w:eastAsia="en-GB"/>
            </w:rPr>
          </w:pPr>
          <w:hyperlink w:anchor="_Toc95743527" w:history="1">
            <w:r w:rsidR="004564CB" w:rsidRPr="000E1403">
              <w:rPr>
                <w:rStyle w:val="Hyperlink"/>
                <w:noProof/>
                <w14:scene3d>
                  <w14:camera w14:prst="orthographicFront"/>
                  <w14:lightRig w14:rig="threePt" w14:dir="t">
                    <w14:rot w14:lat="0" w14:lon="0" w14:rev="0"/>
                  </w14:lightRig>
                </w14:scene3d>
              </w:rPr>
              <w:t>1.17</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Annex 8 Template Contract Sanction Notice</w:t>
            </w:r>
            <w:r w:rsidR="004564CB">
              <w:rPr>
                <w:noProof/>
                <w:webHidden/>
              </w:rPr>
              <w:tab/>
            </w:r>
            <w:r w:rsidR="004564CB">
              <w:rPr>
                <w:noProof/>
                <w:webHidden/>
              </w:rPr>
              <w:fldChar w:fldCharType="begin"/>
            </w:r>
            <w:r w:rsidR="004564CB">
              <w:rPr>
                <w:noProof/>
                <w:webHidden/>
              </w:rPr>
              <w:instrText xml:space="preserve"> PAGEREF _Toc95743527 \h </w:instrText>
            </w:r>
            <w:r w:rsidR="004564CB">
              <w:rPr>
                <w:noProof/>
                <w:webHidden/>
              </w:rPr>
            </w:r>
            <w:r w:rsidR="004564CB">
              <w:rPr>
                <w:noProof/>
                <w:webHidden/>
              </w:rPr>
              <w:fldChar w:fldCharType="separate"/>
            </w:r>
            <w:r w:rsidR="00A176C0">
              <w:rPr>
                <w:noProof/>
                <w:webHidden/>
              </w:rPr>
              <w:t>367</w:t>
            </w:r>
            <w:r w:rsidR="004564CB">
              <w:rPr>
                <w:noProof/>
                <w:webHidden/>
              </w:rPr>
              <w:fldChar w:fldCharType="end"/>
            </w:r>
          </w:hyperlink>
        </w:p>
        <w:p w14:paraId="30276815" w14:textId="422C4E5B" w:rsidR="004564CB" w:rsidRDefault="000B57EE">
          <w:pPr>
            <w:pStyle w:val="TOC2"/>
            <w:rPr>
              <w:rFonts w:asciiTheme="minorHAnsi" w:eastAsiaTheme="minorEastAsia" w:hAnsiTheme="minorHAnsi" w:cstheme="minorBidi"/>
              <w:bCs w:val="0"/>
              <w:noProof/>
              <w:sz w:val="22"/>
              <w:szCs w:val="22"/>
              <w:lang w:eastAsia="en-GB"/>
            </w:rPr>
          </w:pPr>
          <w:hyperlink w:anchor="_Toc95743528" w:history="1">
            <w:r w:rsidR="004564CB" w:rsidRPr="000E1403">
              <w:rPr>
                <w:rStyle w:val="Hyperlink"/>
                <w:noProof/>
                <w14:scene3d>
                  <w14:camera w14:prst="orthographicFront"/>
                  <w14:lightRig w14:rig="threePt" w14:dir="t">
                    <w14:rot w14:lat="0" w14:lon="0" w14:rev="0"/>
                  </w14:lightRig>
                </w14:scene3d>
              </w:rPr>
              <w:t>1.18</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Annex 9 Template Termination Notice</w:t>
            </w:r>
            <w:r w:rsidR="004564CB">
              <w:rPr>
                <w:noProof/>
                <w:webHidden/>
              </w:rPr>
              <w:tab/>
            </w:r>
            <w:r w:rsidR="004564CB">
              <w:rPr>
                <w:noProof/>
                <w:webHidden/>
              </w:rPr>
              <w:fldChar w:fldCharType="begin"/>
            </w:r>
            <w:r w:rsidR="004564CB">
              <w:rPr>
                <w:noProof/>
                <w:webHidden/>
              </w:rPr>
              <w:instrText xml:space="preserve"> PAGEREF _Toc95743528 \h </w:instrText>
            </w:r>
            <w:r w:rsidR="004564CB">
              <w:rPr>
                <w:noProof/>
                <w:webHidden/>
              </w:rPr>
            </w:r>
            <w:r w:rsidR="004564CB">
              <w:rPr>
                <w:noProof/>
                <w:webHidden/>
              </w:rPr>
              <w:fldChar w:fldCharType="separate"/>
            </w:r>
            <w:r w:rsidR="00A176C0">
              <w:rPr>
                <w:noProof/>
                <w:webHidden/>
              </w:rPr>
              <w:t>368</w:t>
            </w:r>
            <w:r w:rsidR="004564CB">
              <w:rPr>
                <w:noProof/>
                <w:webHidden/>
              </w:rPr>
              <w:fldChar w:fldCharType="end"/>
            </w:r>
          </w:hyperlink>
        </w:p>
        <w:p w14:paraId="72D0C61E" w14:textId="402C7993" w:rsidR="004564CB" w:rsidRDefault="000B57EE">
          <w:pPr>
            <w:pStyle w:val="TOC2"/>
            <w:rPr>
              <w:rFonts w:asciiTheme="minorHAnsi" w:eastAsiaTheme="minorEastAsia" w:hAnsiTheme="minorHAnsi" w:cstheme="minorBidi"/>
              <w:bCs w:val="0"/>
              <w:noProof/>
              <w:sz w:val="22"/>
              <w:szCs w:val="22"/>
              <w:lang w:eastAsia="en-GB"/>
            </w:rPr>
          </w:pPr>
          <w:hyperlink w:anchor="_Toc95743529" w:history="1">
            <w:r w:rsidR="004564CB" w:rsidRPr="000E1403">
              <w:rPr>
                <w:rStyle w:val="Hyperlink"/>
                <w:noProof/>
                <w14:scene3d>
                  <w14:camera w14:prst="orthographicFront"/>
                  <w14:lightRig w14:rig="threePt" w14:dir="t">
                    <w14:rot w14:lat="0" w14:lon="0" w14:rev="0"/>
                  </w14:lightRig>
                </w14:scene3d>
              </w:rPr>
              <w:t>1.19</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Annex 10 Termination Flowchart</w:t>
            </w:r>
            <w:r w:rsidR="004564CB">
              <w:rPr>
                <w:noProof/>
                <w:webHidden/>
              </w:rPr>
              <w:tab/>
            </w:r>
            <w:r w:rsidR="004564CB">
              <w:rPr>
                <w:noProof/>
                <w:webHidden/>
              </w:rPr>
              <w:fldChar w:fldCharType="begin"/>
            </w:r>
            <w:r w:rsidR="004564CB">
              <w:rPr>
                <w:noProof/>
                <w:webHidden/>
              </w:rPr>
              <w:instrText xml:space="preserve"> PAGEREF _Toc95743529 \h </w:instrText>
            </w:r>
            <w:r w:rsidR="004564CB">
              <w:rPr>
                <w:noProof/>
                <w:webHidden/>
              </w:rPr>
            </w:r>
            <w:r w:rsidR="004564CB">
              <w:rPr>
                <w:noProof/>
                <w:webHidden/>
              </w:rPr>
              <w:fldChar w:fldCharType="separate"/>
            </w:r>
            <w:r w:rsidR="00A176C0">
              <w:rPr>
                <w:noProof/>
                <w:webHidden/>
              </w:rPr>
              <w:t>368</w:t>
            </w:r>
            <w:r w:rsidR="004564CB">
              <w:rPr>
                <w:noProof/>
                <w:webHidden/>
              </w:rPr>
              <w:fldChar w:fldCharType="end"/>
            </w:r>
          </w:hyperlink>
        </w:p>
        <w:p w14:paraId="4E4D5A98" w14:textId="195D4D0E" w:rsidR="004564CB" w:rsidRDefault="000B57EE">
          <w:pPr>
            <w:pStyle w:val="TOC2"/>
            <w:rPr>
              <w:rFonts w:asciiTheme="minorHAnsi" w:eastAsiaTheme="minorEastAsia" w:hAnsiTheme="minorHAnsi" w:cstheme="minorBidi"/>
              <w:bCs w:val="0"/>
              <w:noProof/>
              <w:sz w:val="22"/>
              <w:szCs w:val="22"/>
              <w:lang w:eastAsia="en-GB"/>
            </w:rPr>
          </w:pPr>
          <w:hyperlink w:anchor="_Toc95743530" w:history="1">
            <w:r w:rsidR="004564CB" w:rsidRPr="000E1403">
              <w:rPr>
                <w:rStyle w:val="Hyperlink"/>
                <w:noProof/>
                <w14:scene3d>
                  <w14:camera w14:prst="orthographicFront"/>
                  <w14:lightRig w14:rig="threePt" w14:dir="t">
                    <w14:rot w14:lat="0" w14:lon="0" w14:rev="0"/>
                  </w14:lightRig>
                </w14:scene3d>
              </w:rPr>
              <w:t>1.20</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Annex 11 Fitness to Practice Matters (Part A GMS Contracts)</w:t>
            </w:r>
            <w:r w:rsidR="004564CB">
              <w:rPr>
                <w:noProof/>
                <w:webHidden/>
              </w:rPr>
              <w:tab/>
            </w:r>
            <w:r w:rsidR="004564CB">
              <w:rPr>
                <w:noProof/>
                <w:webHidden/>
              </w:rPr>
              <w:fldChar w:fldCharType="begin"/>
            </w:r>
            <w:r w:rsidR="004564CB">
              <w:rPr>
                <w:noProof/>
                <w:webHidden/>
              </w:rPr>
              <w:instrText xml:space="preserve"> PAGEREF _Toc95743530 \h </w:instrText>
            </w:r>
            <w:r w:rsidR="004564CB">
              <w:rPr>
                <w:noProof/>
                <w:webHidden/>
              </w:rPr>
            </w:r>
            <w:r w:rsidR="004564CB">
              <w:rPr>
                <w:noProof/>
                <w:webHidden/>
              </w:rPr>
              <w:fldChar w:fldCharType="separate"/>
            </w:r>
            <w:r w:rsidR="00A176C0">
              <w:rPr>
                <w:noProof/>
                <w:webHidden/>
              </w:rPr>
              <w:t>368</w:t>
            </w:r>
            <w:r w:rsidR="004564CB">
              <w:rPr>
                <w:noProof/>
                <w:webHidden/>
              </w:rPr>
              <w:fldChar w:fldCharType="end"/>
            </w:r>
          </w:hyperlink>
        </w:p>
        <w:p w14:paraId="08995010" w14:textId="27137766" w:rsidR="004564CB" w:rsidRDefault="000B57EE">
          <w:pPr>
            <w:pStyle w:val="TOC2"/>
            <w:rPr>
              <w:rFonts w:asciiTheme="minorHAnsi" w:eastAsiaTheme="minorEastAsia" w:hAnsiTheme="minorHAnsi" w:cstheme="minorBidi"/>
              <w:bCs w:val="0"/>
              <w:noProof/>
              <w:sz w:val="22"/>
              <w:szCs w:val="22"/>
              <w:lang w:eastAsia="en-GB"/>
            </w:rPr>
          </w:pPr>
          <w:hyperlink w:anchor="_Toc95743531" w:history="1">
            <w:r w:rsidR="004564CB" w:rsidRPr="000E1403">
              <w:rPr>
                <w:rStyle w:val="Hyperlink"/>
                <w:noProof/>
                <w14:scene3d>
                  <w14:camera w14:prst="orthographicFront"/>
                  <w14:lightRig w14:rig="threePt" w14:dir="t">
                    <w14:rot w14:lat="0" w14:lon="0" w14:rev="0"/>
                  </w14:lightRig>
                </w14:scene3d>
              </w:rPr>
              <w:t>1.21</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Annex 11 Fitness to Practice Matters (Part B PMS Agreement)</w:t>
            </w:r>
            <w:r w:rsidR="004564CB">
              <w:rPr>
                <w:noProof/>
                <w:webHidden/>
              </w:rPr>
              <w:tab/>
            </w:r>
            <w:r w:rsidR="004564CB">
              <w:rPr>
                <w:noProof/>
                <w:webHidden/>
              </w:rPr>
              <w:fldChar w:fldCharType="begin"/>
            </w:r>
            <w:r w:rsidR="004564CB">
              <w:rPr>
                <w:noProof/>
                <w:webHidden/>
              </w:rPr>
              <w:instrText xml:space="preserve"> PAGEREF _Toc95743531 \h </w:instrText>
            </w:r>
            <w:r w:rsidR="004564CB">
              <w:rPr>
                <w:noProof/>
                <w:webHidden/>
              </w:rPr>
            </w:r>
            <w:r w:rsidR="004564CB">
              <w:rPr>
                <w:noProof/>
                <w:webHidden/>
              </w:rPr>
              <w:fldChar w:fldCharType="separate"/>
            </w:r>
            <w:r w:rsidR="00A176C0">
              <w:rPr>
                <w:noProof/>
                <w:webHidden/>
              </w:rPr>
              <w:t>368</w:t>
            </w:r>
            <w:r w:rsidR="004564CB">
              <w:rPr>
                <w:noProof/>
                <w:webHidden/>
              </w:rPr>
              <w:fldChar w:fldCharType="end"/>
            </w:r>
          </w:hyperlink>
        </w:p>
        <w:p w14:paraId="7CA13D4A" w14:textId="628717E2" w:rsidR="004564CB" w:rsidRDefault="000B57EE">
          <w:pPr>
            <w:pStyle w:val="TOC2"/>
            <w:rPr>
              <w:rFonts w:asciiTheme="minorHAnsi" w:eastAsiaTheme="minorEastAsia" w:hAnsiTheme="minorHAnsi" w:cstheme="minorBidi"/>
              <w:bCs w:val="0"/>
              <w:noProof/>
              <w:sz w:val="22"/>
              <w:szCs w:val="22"/>
              <w:lang w:eastAsia="en-GB"/>
            </w:rPr>
          </w:pPr>
          <w:hyperlink w:anchor="_Toc95743532" w:history="1">
            <w:r w:rsidR="004564CB" w:rsidRPr="000E1403">
              <w:rPr>
                <w:rStyle w:val="Hyperlink"/>
                <w:noProof/>
                <w14:scene3d>
                  <w14:camera w14:prst="orthographicFront"/>
                  <w14:lightRig w14:rig="threePt" w14:dir="t">
                    <w14:rot w14:lat="0" w14:lon="0" w14:rev="0"/>
                  </w14:lightRig>
                </w14:scene3d>
              </w:rPr>
              <w:t>1.22</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Annex 11 Fitness to Practice Matters (Part C APMS Contracts)</w:t>
            </w:r>
            <w:r w:rsidR="004564CB">
              <w:rPr>
                <w:noProof/>
                <w:webHidden/>
              </w:rPr>
              <w:tab/>
            </w:r>
            <w:r w:rsidR="004564CB">
              <w:rPr>
                <w:noProof/>
                <w:webHidden/>
              </w:rPr>
              <w:fldChar w:fldCharType="begin"/>
            </w:r>
            <w:r w:rsidR="004564CB">
              <w:rPr>
                <w:noProof/>
                <w:webHidden/>
              </w:rPr>
              <w:instrText xml:space="preserve"> PAGEREF _Toc95743532 \h </w:instrText>
            </w:r>
            <w:r w:rsidR="004564CB">
              <w:rPr>
                <w:noProof/>
                <w:webHidden/>
              </w:rPr>
            </w:r>
            <w:r w:rsidR="004564CB">
              <w:rPr>
                <w:noProof/>
                <w:webHidden/>
              </w:rPr>
              <w:fldChar w:fldCharType="separate"/>
            </w:r>
            <w:r w:rsidR="00A176C0">
              <w:rPr>
                <w:noProof/>
                <w:webHidden/>
              </w:rPr>
              <w:t>368</w:t>
            </w:r>
            <w:r w:rsidR="004564CB">
              <w:rPr>
                <w:noProof/>
                <w:webHidden/>
              </w:rPr>
              <w:fldChar w:fldCharType="end"/>
            </w:r>
          </w:hyperlink>
        </w:p>
        <w:p w14:paraId="50B94B06" w14:textId="020CC434" w:rsidR="004564CB" w:rsidRDefault="000B57EE">
          <w:pPr>
            <w:pStyle w:val="TOC2"/>
            <w:rPr>
              <w:rFonts w:asciiTheme="minorHAnsi" w:eastAsiaTheme="minorEastAsia" w:hAnsiTheme="minorHAnsi" w:cstheme="minorBidi"/>
              <w:bCs w:val="0"/>
              <w:noProof/>
              <w:sz w:val="22"/>
              <w:szCs w:val="22"/>
              <w:lang w:eastAsia="en-GB"/>
            </w:rPr>
          </w:pPr>
          <w:hyperlink w:anchor="_Toc95743533" w:history="1">
            <w:r w:rsidR="004564CB" w:rsidRPr="000E1403">
              <w:rPr>
                <w:rStyle w:val="Hyperlink"/>
                <w:noProof/>
                <w14:scene3d>
                  <w14:camera w14:prst="orthographicFront"/>
                  <w14:lightRig w14:rig="threePt" w14:dir="t">
                    <w14:rot w14:lat="0" w14:lon="0" w14:rev="0"/>
                  </w14:lightRig>
                </w14:scene3d>
              </w:rPr>
              <w:t>1.23</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Annex 12 Termination due to breach of Regulation 4</w:t>
            </w:r>
            <w:r w:rsidR="004564CB">
              <w:rPr>
                <w:noProof/>
                <w:webHidden/>
              </w:rPr>
              <w:tab/>
            </w:r>
            <w:r w:rsidR="004564CB">
              <w:rPr>
                <w:noProof/>
                <w:webHidden/>
              </w:rPr>
              <w:fldChar w:fldCharType="begin"/>
            </w:r>
            <w:r w:rsidR="004564CB">
              <w:rPr>
                <w:noProof/>
                <w:webHidden/>
              </w:rPr>
              <w:instrText xml:space="preserve"> PAGEREF _Toc95743533 \h </w:instrText>
            </w:r>
            <w:r w:rsidR="004564CB">
              <w:rPr>
                <w:noProof/>
                <w:webHidden/>
              </w:rPr>
            </w:r>
            <w:r w:rsidR="004564CB">
              <w:rPr>
                <w:noProof/>
                <w:webHidden/>
              </w:rPr>
              <w:fldChar w:fldCharType="separate"/>
            </w:r>
            <w:r w:rsidR="00A176C0">
              <w:rPr>
                <w:noProof/>
                <w:webHidden/>
              </w:rPr>
              <w:t>368</w:t>
            </w:r>
            <w:r w:rsidR="004564CB">
              <w:rPr>
                <w:noProof/>
                <w:webHidden/>
              </w:rPr>
              <w:fldChar w:fldCharType="end"/>
            </w:r>
          </w:hyperlink>
        </w:p>
        <w:p w14:paraId="6F800ADB" w14:textId="6D8CDEFA" w:rsidR="004564CB" w:rsidRDefault="000B57EE">
          <w:pPr>
            <w:pStyle w:val="TOC2"/>
            <w:rPr>
              <w:rFonts w:asciiTheme="minorHAnsi" w:eastAsiaTheme="minorEastAsia" w:hAnsiTheme="minorHAnsi" w:cstheme="minorBidi"/>
              <w:bCs w:val="0"/>
              <w:noProof/>
              <w:sz w:val="22"/>
              <w:szCs w:val="22"/>
              <w:lang w:eastAsia="en-GB"/>
            </w:rPr>
          </w:pPr>
          <w:hyperlink w:anchor="_Toc95743534" w:history="1">
            <w:r w:rsidR="004564CB" w:rsidRPr="000E1403">
              <w:rPr>
                <w:rStyle w:val="Hyperlink"/>
                <w:noProof/>
                <w14:scene3d>
                  <w14:camera w14:prst="orthographicFront"/>
                  <w14:lightRig w14:rig="threePt" w14:dir="t">
                    <w14:rot w14:lat="0" w14:lon="0" w14:rev="0"/>
                  </w14:lightRig>
                </w14:scene3d>
              </w:rPr>
              <w:t>1.24</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Annex 13 Template Notice Return</w:t>
            </w:r>
            <w:r w:rsidR="004564CB">
              <w:rPr>
                <w:noProof/>
                <w:webHidden/>
              </w:rPr>
              <w:tab/>
            </w:r>
            <w:r w:rsidR="004564CB">
              <w:rPr>
                <w:noProof/>
                <w:webHidden/>
              </w:rPr>
              <w:fldChar w:fldCharType="begin"/>
            </w:r>
            <w:r w:rsidR="004564CB">
              <w:rPr>
                <w:noProof/>
                <w:webHidden/>
              </w:rPr>
              <w:instrText xml:space="preserve"> PAGEREF _Toc95743534 \h </w:instrText>
            </w:r>
            <w:r w:rsidR="004564CB">
              <w:rPr>
                <w:noProof/>
                <w:webHidden/>
              </w:rPr>
            </w:r>
            <w:r w:rsidR="004564CB">
              <w:rPr>
                <w:noProof/>
                <w:webHidden/>
              </w:rPr>
              <w:fldChar w:fldCharType="separate"/>
            </w:r>
            <w:r w:rsidR="00A176C0">
              <w:rPr>
                <w:noProof/>
                <w:webHidden/>
              </w:rPr>
              <w:t>368</w:t>
            </w:r>
            <w:r w:rsidR="004564CB">
              <w:rPr>
                <w:noProof/>
                <w:webHidden/>
              </w:rPr>
              <w:fldChar w:fldCharType="end"/>
            </w:r>
          </w:hyperlink>
        </w:p>
        <w:p w14:paraId="1E2D600F" w14:textId="423C48FF" w:rsidR="004564CB" w:rsidRDefault="000B57EE">
          <w:pPr>
            <w:pStyle w:val="TOC1"/>
            <w:rPr>
              <w:rFonts w:asciiTheme="minorHAnsi" w:eastAsiaTheme="minorEastAsia" w:hAnsiTheme="minorHAnsi" w:cstheme="minorBidi"/>
              <w:bCs w:val="0"/>
              <w:color w:val="auto"/>
              <w:sz w:val="22"/>
              <w:szCs w:val="22"/>
              <w:lang w:eastAsia="en-GB"/>
            </w:rPr>
          </w:pPr>
          <w:hyperlink w:anchor="_Toc95743535" w:history="1">
            <w:r w:rsidR="004564CB" w:rsidRPr="000E1403">
              <w:rPr>
                <w:rStyle w:val="Hyperlink"/>
              </w:rPr>
              <w:t>2</w:t>
            </w:r>
            <w:r w:rsidR="004564CB">
              <w:rPr>
                <w:rFonts w:asciiTheme="minorHAnsi" w:eastAsiaTheme="minorEastAsia" w:hAnsiTheme="minorHAnsi" w:cstheme="minorBidi"/>
                <w:bCs w:val="0"/>
                <w:color w:val="auto"/>
                <w:sz w:val="22"/>
                <w:szCs w:val="22"/>
                <w:lang w:eastAsia="en-GB"/>
              </w:rPr>
              <w:tab/>
            </w:r>
            <w:r w:rsidR="004564CB" w:rsidRPr="000E1403">
              <w:rPr>
                <w:rStyle w:val="Hyperlink"/>
                <w:lang w:eastAsia="en-GB"/>
              </w:rPr>
              <w:t xml:space="preserve">Unplanned / </w:t>
            </w:r>
            <w:r w:rsidR="004564CB" w:rsidRPr="000E1403">
              <w:rPr>
                <w:rStyle w:val="Hyperlink"/>
              </w:rPr>
              <w:t>Unscheduled and Unavoidable Practice Closedown</w:t>
            </w:r>
            <w:r w:rsidR="004564CB">
              <w:rPr>
                <w:webHidden/>
              </w:rPr>
              <w:tab/>
            </w:r>
            <w:r w:rsidR="004564CB">
              <w:rPr>
                <w:webHidden/>
              </w:rPr>
              <w:fldChar w:fldCharType="begin"/>
            </w:r>
            <w:r w:rsidR="004564CB">
              <w:rPr>
                <w:webHidden/>
              </w:rPr>
              <w:instrText xml:space="preserve"> PAGEREF _Toc95743535 \h </w:instrText>
            </w:r>
            <w:r w:rsidR="004564CB">
              <w:rPr>
                <w:webHidden/>
              </w:rPr>
            </w:r>
            <w:r w:rsidR="004564CB">
              <w:rPr>
                <w:webHidden/>
              </w:rPr>
              <w:fldChar w:fldCharType="separate"/>
            </w:r>
            <w:r w:rsidR="00A176C0">
              <w:rPr>
                <w:webHidden/>
              </w:rPr>
              <w:t>369</w:t>
            </w:r>
            <w:r w:rsidR="004564CB">
              <w:rPr>
                <w:webHidden/>
              </w:rPr>
              <w:fldChar w:fldCharType="end"/>
            </w:r>
          </w:hyperlink>
        </w:p>
        <w:p w14:paraId="4DCAD386" w14:textId="5095F901" w:rsidR="004564CB" w:rsidRDefault="000B57EE">
          <w:pPr>
            <w:pStyle w:val="TOC2"/>
            <w:rPr>
              <w:rFonts w:asciiTheme="minorHAnsi" w:eastAsiaTheme="minorEastAsia" w:hAnsiTheme="minorHAnsi" w:cstheme="minorBidi"/>
              <w:bCs w:val="0"/>
              <w:noProof/>
              <w:sz w:val="22"/>
              <w:szCs w:val="22"/>
              <w:lang w:eastAsia="en-GB"/>
            </w:rPr>
          </w:pPr>
          <w:hyperlink w:anchor="_Toc95743536" w:history="1">
            <w:r w:rsidR="004564CB" w:rsidRPr="000E1403">
              <w:rPr>
                <w:rStyle w:val="Hyperlink"/>
                <w:noProof/>
                <w14:scene3d>
                  <w14:camera w14:prst="orthographicFront"/>
                  <w14:lightRig w14:rig="threePt" w14:dir="t">
                    <w14:rot w14:lat="0" w14:lon="0" w14:rev="0"/>
                  </w14:lightRig>
                </w14:scene3d>
              </w:rPr>
              <w:t>2.1</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Introduction</w:t>
            </w:r>
            <w:r w:rsidR="004564CB">
              <w:rPr>
                <w:noProof/>
                <w:webHidden/>
              </w:rPr>
              <w:tab/>
            </w:r>
            <w:r w:rsidR="004564CB">
              <w:rPr>
                <w:noProof/>
                <w:webHidden/>
              </w:rPr>
              <w:fldChar w:fldCharType="begin"/>
            </w:r>
            <w:r w:rsidR="004564CB">
              <w:rPr>
                <w:noProof/>
                <w:webHidden/>
              </w:rPr>
              <w:instrText xml:space="preserve"> PAGEREF _Toc95743536 \h </w:instrText>
            </w:r>
            <w:r w:rsidR="004564CB">
              <w:rPr>
                <w:noProof/>
                <w:webHidden/>
              </w:rPr>
            </w:r>
            <w:r w:rsidR="004564CB">
              <w:rPr>
                <w:noProof/>
                <w:webHidden/>
              </w:rPr>
              <w:fldChar w:fldCharType="separate"/>
            </w:r>
            <w:r w:rsidR="00A176C0">
              <w:rPr>
                <w:noProof/>
                <w:webHidden/>
              </w:rPr>
              <w:t>369</w:t>
            </w:r>
            <w:r w:rsidR="004564CB">
              <w:rPr>
                <w:noProof/>
                <w:webHidden/>
              </w:rPr>
              <w:fldChar w:fldCharType="end"/>
            </w:r>
          </w:hyperlink>
        </w:p>
        <w:p w14:paraId="79219EBB" w14:textId="2BDFAD61" w:rsidR="004564CB" w:rsidRDefault="000B57EE">
          <w:pPr>
            <w:pStyle w:val="TOC2"/>
            <w:rPr>
              <w:rFonts w:asciiTheme="minorHAnsi" w:eastAsiaTheme="minorEastAsia" w:hAnsiTheme="minorHAnsi" w:cstheme="minorBidi"/>
              <w:bCs w:val="0"/>
              <w:noProof/>
              <w:sz w:val="22"/>
              <w:szCs w:val="22"/>
              <w:lang w:eastAsia="en-GB"/>
            </w:rPr>
          </w:pPr>
          <w:hyperlink w:anchor="_Toc95743537" w:history="1">
            <w:r w:rsidR="004564CB" w:rsidRPr="000E1403">
              <w:rPr>
                <w:rStyle w:val="Hyperlink"/>
                <w:noProof/>
                <w14:scene3d>
                  <w14:camera w14:prst="orthographicFront"/>
                  <w14:lightRig w14:rig="threePt" w14:dir="t">
                    <w14:rot w14:lat="0" w14:lon="0" w14:rev="0"/>
                  </w14:lightRig>
                </w14:scene3d>
              </w:rPr>
              <w:t>2.2</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Scope</w:t>
            </w:r>
            <w:r w:rsidR="004564CB">
              <w:rPr>
                <w:noProof/>
                <w:webHidden/>
              </w:rPr>
              <w:tab/>
            </w:r>
            <w:r w:rsidR="004564CB">
              <w:rPr>
                <w:noProof/>
                <w:webHidden/>
              </w:rPr>
              <w:fldChar w:fldCharType="begin"/>
            </w:r>
            <w:r w:rsidR="004564CB">
              <w:rPr>
                <w:noProof/>
                <w:webHidden/>
              </w:rPr>
              <w:instrText xml:space="preserve"> PAGEREF _Toc95743537 \h </w:instrText>
            </w:r>
            <w:r w:rsidR="004564CB">
              <w:rPr>
                <w:noProof/>
                <w:webHidden/>
              </w:rPr>
            </w:r>
            <w:r w:rsidR="004564CB">
              <w:rPr>
                <w:noProof/>
                <w:webHidden/>
              </w:rPr>
              <w:fldChar w:fldCharType="separate"/>
            </w:r>
            <w:r w:rsidR="00A176C0">
              <w:rPr>
                <w:noProof/>
                <w:webHidden/>
              </w:rPr>
              <w:t>369</w:t>
            </w:r>
            <w:r w:rsidR="004564CB">
              <w:rPr>
                <w:noProof/>
                <w:webHidden/>
              </w:rPr>
              <w:fldChar w:fldCharType="end"/>
            </w:r>
          </w:hyperlink>
        </w:p>
        <w:p w14:paraId="19D37115" w14:textId="549C28E0" w:rsidR="004564CB" w:rsidRDefault="000B57EE">
          <w:pPr>
            <w:pStyle w:val="TOC2"/>
            <w:rPr>
              <w:rFonts w:asciiTheme="minorHAnsi" w:eastAsiaTheme="minorEastAsia" w:hAnsiTheme="minorHAnsi" w:cstheme="minorBidi"/>
              <w:bCs w:val="0"/>
              <w:noProof/>
              <w:sz w:val="22"/>
              <w:szCs w:val="22"/>
              <w:lang w:eastAsia="en-GB"/>
            </w:rPr>
          </w:pPr>
          <w:hyperlink w:anchor="_Toc95743538" w:history="1">
            <w:r w:rsidR="004564CB" w:rsidRPr="000E1403">
              <w:rPr>
                <w:rStyle w:val="Hyperlink"/>
                <w:noProof/>
                <w14:scene3d>
                  <w14:camera w14:prst="orthographicFront"/>
                  <w14:lightRig w14:rig="threePt" w14:dir="t">
                    <w14:rot w14:lat="0" w14:lon="0" w14:rev="0"/>
                  </w14:lightRig>
                </w14:scene3d>
              </w:rPr>
              <w:t>2.3</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Roles and Responsibilities</w:t>
            </w:r>
            <w:r w:rsidR="004564CB">
              <w:rPr>
                <w:noProof/>
                <w:webHidden/>
              </w:rPr>
              <w:tab/>
            </w:r>
            <w:r w:rsidR="004564CB">
              <w:rPr>
                <w:noProof/>
                <w:webHidden/>
              </w:rPr>
              <w:fldChar w:fldCharType="begin"/>
            </w:r>
            <w:r w:rsidR="004564CB">
              <w:rPr>
                <w:noProof/>
                <w:webHidden/>
              </w:rPr>
              <w:instrText xml:space="preserve"> PAGEREF _Toc95743538 \h </w:instrText>
            </w:r>
            <w:r w:rsidR="004564CB">
              <w:rPr>
                <w:noProof/>
                <w:webHidden/>
              </w:rPr>
            </w:r>
            <w:r w:rsidR="004564CB">
              <w:rPr>
                <w:noProof/>
                <w:webHidden/>
              </w:rPr>
              <w:fldChar w:fldCharType="separate"/>
            </w:r>
            <w:r w:rsidR="00A176C0">
              <w:rPr>
                <w:noProof/>
                <w:webHidden/>
              </w:rPr>
              <w:t>370</w:t>
            </w:r>
            <w:r w:rsidR="004564CB">
              <w:rPr>
                <w:noProof/>
                <w:webHidden/>
              </w:rPr>
              <w:fldChar w:fldCharType="end"/>
            </w:r>
          </w:hyperlink>
        </w:p>
        <w:p w14:paraId="5FA603ED" w14:textId="7FDA7E94" w:rsidR="004564CB" w:rsidRDefault="000B57EE">
          <w:pPr>
            <w:pStyle w:val="TOC2"/>
            <w:rPr>
              <w:rFonts w:asciiTheme="minorHAnsi" w:eastAsiaTheme="minorEastAsia" w:hAnsiTheme="minorHAnsi" w:cstheme="minorBidi"/>
              <w:bCs w:val="0"/>
              <w:noProof/>
              <w:sz w:val="22"/>
              <w:szCs w:val="22"/>
              <w:lang w:eastAsia="en-GB"/>
            </w:rPr>
          </w:pPr>
          <w:hyperlink w:anchor="_Toc95743539" w:history="1">
            <w:r w:rsidR="004564CB" w:rsidRPr="000E1403">
              <w:rPr>
                <w:rStyle w:val="Hyperlink"/>
                <w:noProof/>
                <w14:scene3d>
                  <w14:camera w14:prst="orthographicFront"/>
                  <w14:lightRig w14:rig="threePt" w14:dir="t">
                    <w14:rot w14:lat="0" w14:lon="0" w14:rev="0"/>
                  </w14:lightRig>
                </w14:scene3d>
              </w:rPr>
              <w:t>2.4</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The Process</w:t>
            </w:r>
            <w:r w:rsidR="004564CB">
              <w:rPr>
                <w:noProof/>
                <w:webHidden/>
              </w:rPr>
              <w:tab/>
            </w:r>
            <w:r w:rsidR="004564CB">
              <w:rPr>
                <w:noProof/>
                <w:webHidden/>
              </w:rPr>
              <w:fldChar w:fldCharType="begin"/>
            </w:r>
            <w:r w:rsidR="004564CB">
              <w:rPr>
                <w:noProof/>
                <w:webHidden/>
              </w:rPr>
              <w:instrText xml:space="preserve"> PAGEREF _Toc95743539 \h </w:instrText>
            </w:r>
            <w:r w:rsidR="004564CB">
              <w:rPr>
                <w:noProof/>
                <w:webHidden/>
              </w:rPr>
            </w:r>
            <w:r w:rsidR="004564CB">
              <w:rPr>
                <w:noProof/>
                <w:webHidden/>
              </w:rPr>
              <w:fldChar w:fldCharType="separate"/>
            </w:r>
            <w:r w:rsidR="00A176C0">
              <w:rPr>
                <w:noProof/>
                <w:webHidden/>
              </w:rPr>
              <w:t>373</w:t>
            </w:r>
            <w:r w:rsidR="004564CB">
              <w:rPr>
                <w:noProof/>
                <w:webHidden/>
              </w:rPr>
              <w:fldChar w:fldCharType="end"/>
            </w:r>
          </w:hyperlink>
        </w:p>
        <w:p w14:paraId="7EF17801" w14:textId="21D61BDA" w:rsidR="004564CB" w:rsidRDefault="000B57EE">
          <w:pPr>
            <w:pStyle w:val="TOC2"/>
            <w:rPr>
              <w:rFonts w:asciiTheme="minorHAnsi" w:eastAsiaTheme="minorEastAsia" w:hAnsiTheme="minorHAnsi" w:cstheme="minorBidi"/>
              <w:bCs w:val="0"/>
              <w:noProof/>
              <w:sz w:val="22"/>
              <w:szCs w:val="22"/>
              <w:lang w:eastAsia="en-GB"/>
            </w:rPr>
          </w:pPr>
          <w:hyperlink w:anchor="_Toc95743540" w:history="1">
            <w:r w:rsidR="004564CB" w:rsidRPr="000E1403">
              <w:rPr>
                <w:rStyle w:val="Hyperlink"/>
                <w:noProof/>
                <w14:scene3d>
                  <w14:camera w14:prst="orthographicFront"/>
                  <w14:lightRig w14:rig="threePt" w14:dir="t">
                    <w14:rot w14:lat="0" w14:lon="0" w14:rev="0"/>
                  </w14:lightRig>
                </w14:scene3d>
              </w:rPr>
              <w:t>2.5</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Key Steps (in the case of a list dispersal)</w:t>
            </w:r>
            <w:r w:rsidR="004564CB">
              <w:rPr>
                <w:noProof/>
                <w:webHidden/>
              </w:rPr>
              <w:tab/>
            </w:r>
            <w:r w:rsidR="004564CB">
              <w:rPr>
                <w:noProof/>
                <w:webHidden/>
              </w:rPr>
              <w:fldChar w:fldCharType="begin"/>
            </w:r>
            <w:r w:rsidR="004564CB">
              <w:rPr>
                <w:noProof/>
                <w:webHidden/>
              </w:rPr>
              <w:instrText xml:space="preserve"> PAGEREF _Toc95743540 \h </w:instrText>
            </w:r>
            <w:r w:rsidR="004564CB">
              <w:rPr>
                <w:noProof/>
                <w:webHidden/>
              </w:rPr>
            </w:r>
            <w:r w:rsidR="004564CB">
              <w:rPr>
                <w:noProof/>
                <w:webHidden/>
              </w:rPr>
              <w:fldChar w:fldCharType="separate"/>
            </w:r>
            <w:r w:rsidR="00A176C0">
              <w:rPr>
                <w:noProof/>
                <w:webHidden/>
              </w:rPr>
              <w:t>374</w:t>
            </w:r>
            <w:r w:rsidR="004564CB">
              <w:rPr>
                <w:noProof/>
                <w:webHidden/>
              </w:rPr>
              <w:fldChar w:fldCharType="end"/>
            </w:r>
          </w:hyperlink>
        </w:p>
        <w:p w14:paraId="1095C78F" w14:textId="2717F64B" w:rsidR="004564CB" w:rsidRDefault="000B57EE">
          <w:pPr>
            <w:pStyle w:val="TOC2"/>
            <w:rPr>
              <w:rFonts w:asciiTheme="minorHAnsi" w:eastAsiaTheme="minorEastAsia" w:hAnsiTheme="minorHAnsi" w:cstheme="minorBidi"/>
              <w:bCs w:val="0"/>
              <w:noProof/>
              <w:sz w:val="22"/>
              <w:szCs w:val="22"/>
              <w:lang w:eastAsia="en-GB"/>
            </w:rPr>
          </w:pPr>
          <w:hyperlink w:anchor="_Toc95743541" w:history="1">
            <w:r w:rsidR="004564CB" w:rsidRPr="000E1403">
              <w:rPr>
                <w:rStyle w:val="Hyperlink"/>
                <w:noProof/>
                <w14:scene3d>
                  <w14:camera w14:prst="orthographicFront"/>
                  <w14:lightRig w14:rig="threePt" w14:dir="t">
                    <w14:rot w14:lat="0" w14:lon="0" w14:rev="0"/>
                  </w14:lightRig>
                </w14:scene3d>
              </w:rPr>
              <w:t>2.6</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Engagement and re-procurement</w:t>
            </w:r>
            <w:r w:rsidR="004564CB">
              <w:rPr>
                <w:noProof/>
                <w:webHidden/>
              </w:rPr>
              <w:tab/>
            </w:r>
            <w:r w:rsidR="004564CB">
              <w:rPr>
                <w:noProof/>
                <w:webHidden/>
              </w:rPr>
              <w:fldChar w:fldCharType="begin"/>
            </w:r>
            <w:r w:rsidR="004564CB">
              <w:rPr>
                <w:noProof/>
                <w:webHidden/>
              </w:rPr>
              <w:instrText xml:space="preserve"> PAGEREF _Toc95743541 \h </w:instrText>
            </w:r>
            <w:r w:rsidR="004564CB">
              <w:rPr>
                <w:noProof/>
                <w:webHidden/>
              </w:rPr>
            </w:r>
            <w:r w:rsidR="004564CB">
              <w:rPr>
                <w:noProof/>
                <w:webHidden/>
              </w:rPr>
              <w:fldChar w:fldCharType="separate"/>
            </w:r>
            <w:r w:rsidR="00A176C0">
              <w:rPr>
                <w:noProof/>
                <w:webHidden/>
              </w:rPr>
              <w:t>376</w:t>
            </w:r>
            <w:r w:rsidR="004564CB">
              <w:rPr>
                <w:noProof/>
                <w:webHidden/>
              </w:rPr>
              <w:fldChar w:fldCharType="end"/>
            </w:r>
          </w:hyperlink>
        </w:p>
        <w:p w14:paraId="5D1582E7" w14:textId="68E79331" w:rsidR="004564CB" w:rsidRDefault="000B57EE">
          <w:pPr>
            <w:pStyle w:val="TOC2"/>
            <w:rPr>
              <w:rFonts w:asciiTheme="minorHAnsi" w:eastAsiaTheme="minorEastAsia" w:hAnsiTheme="minorHAnsi" w:cstheme="minorBidi"/>
              <w:bCs w:val="0"/>
              <w:noProof/>
              <w:sz w:val="22"/>
              <w:szCs w:val="22"/>
              <w:lang w:eastAsia="en-GB"/>
            </w:rPr>
          </w:pPr>
          <w:hyperlink w:anchor="_Toc95743542" w:history="1">
            <w:r w:rsidR="004564CB" w:rsidRPr="000E1403">
              <w:rPr>
                <w:rStyle w:val="Hyperlink"/>
                <w:noProof/>
                <w14:scene3d>
                  <w14:camera w14:prst="orthographicFront"/>
                  <w14:lightRig w14:rig="threePt" w14:dir="t">
                    <w14:rot w14:lat="0" w14:lon="0" w14:rev="0"/>
                  </w14:lightRig>
                </w14:scene3d>
              </w:rPr>
              <w:t>2.7</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Links to relevant PCSE information and documentation</w:t>
            </w:r>
            <w:r w:rsidR="004564CB">
              <w:rPr>
                <w:noProof/>
                <w:webHidden/>
              </w:rPr>
              <w:tab/>
            </w:r>
            <w:r w:rsidR="004564CB">
              <w:rPr>
                <w:noProof/>
                <w:webHidden/>
              </w:rPr>
              <w:fldChar w:fldCharType="begin"/>
            </w:r>
            <w:r w:rsidR="004564CB">
              <w:rPr>
                <w:noProof/>
                <w:webHidden/>
              </w:rPr>
              <w:instrText xml:space="preserve"> PAGEREF _Toc95743542 \h </w:instrText>
            </w:r>
            <w:r w:rsidR="004564CB">
              <w:rPr>
                <w:noProof/>
                <w:webHidden/>
              </w:rPr>
            </w:r>
            <w:r w:rsidR="004564CB">
              <w:rPr>
                <w:noProof/>
                <w:webHidden/>
              </w:rPr>
              <w:fldChar w:fldCharType="separate"/>
            </w:r>
            <w:r w:rsidR="00A176C0">
              <w:rPr>
                <w:noProof/>
                <w:webHidden/>
              </w:rPr>
              <w:t>377</w:t>
            </w:r>
            <w:r w:rsidR="004564CB">
              <w:rPr>
                <w:noProof/>
                <w:webHidden/>
              </w:rPr>
              <w:fldChar w:fldCharType="end"/>
            </w:r>
          </w:hyperlink>
        </w:p>
        <w:p w14:paraId="1D4BBC79" w14:textId="6E469A26" w:rsidR="004564CB" w:rsidRDefault="000B57EE">
          <w:pPr>
            <w:pStyle w:val="TOC1"/>
            <w:rPr>
              <w:rFonts w:asciiTheme="minorHAnsi" w:eastAsiaTheme="minorEastAsia" w:hAnsiTheme="minorHAnsi" w:cstheme="minorBidi"/>
              <w:bCs w:val="0"/>
              <w:color w:val="auto"/>
              <w:sz w:val="22"/>
              <w:szCs w:val="22"/>
              <w:lang w:eastAsia="en-GB"/>
            </w:rPr>
          </w:pPr>
          <w:hyperlink w:anchor="_Toc95743543" w:history="1">
            <w:r w:rsidR="004564CB" w:rsidRPr="000E1403">
              <w:rPr>
                <w:rStyle w:val="Hyperlink"/>
                <w:lang w:eastAsia="en-GB"/>
              </w:rPr>
              <w:t>3</w:t>
            </w:r>
            <w:r w:rsidR="004564CB">
              <w:rPr>
                <w:rFonts w:asciiTheme="minorHAnsi" w:eastAsiaTheme="minorEastAsia" w:hAnsiTheme="minorHAnsi" w:cstheme="minorBidi"/>
                <w:bCs w:val="0"/>
                <w:color w:val="auto"/>
                <w:sz w:val="22"/>
                <w:szCs w:val="22"/>
                <w:lang w:eastAsia="en-GB"/>
              </w:rPr>
              <w:tab/>
            </w:r>
            <w:r w:rsidR="004564CB" w:rsidRPr="000E1403">
              <w:rPr>
                <w:rStyle w:val="Hyperlink"/>
                <w:lang w:eastAsia="en-GB"/>
              </w:rPr>
              <w:t>Death of a Contractor</w:t>
            </w:r>
            <w:r w:rsidR="004564CB">
              <w:rPr>
                <w:webHidden/>
              </w:rPr>
              <w:tab/>
            </w:r>
            <w:r w:rsidR="004564CB">
              <w:rPr>
                <w:webHidden/>
              </w:rPr>
              <w:fldChar w:fldCharType="begin"/>
            </w:r>
            <w:r w:rsidR="004564CB">
              <w:rPr>
                <w:webHidden/>
              </w:rPr>
              <w:instrText xml:space="preserve"> PAGEREF _Toc95743543 \h </w:instrText>
            </w:r>
            <w:r w:rsidR="004564CB">
              <w:rPr>
                <w:webHidden/>
              </w:rPr>
            </w:r>
            <w:r w:rsidR="004564CB">
              <w:rPr>
                <w:webHidden/>
              </w:rPr>
              <w:fldChar w:fldCharType="separate"/>
            </w:r>
            <w:r w:rsidR="00A176C0">
              <w:rPr>
                <w:webHidden/>
              </w:rPr>
              <w:t>378</w:t>
            </w:r>
            <w:r w:rsidR="004564CB">
              <w:rPr>
                <w:webHidden/>
              </w:rPr>
              <w:fldChar w:fldCharType="end"/>
            </w:r>
          </w:hyperlink>
        </w:p>
        <w:p w14:paraId="7D8A3EA7" w14:textId="4B5C43A6" w:rsidR="004564CB" w:rsidRDefault="000B57EE">
          <w:pPr>
            <w:pStyle w:val="TOC2"/>
            <w:rPr>
              <w:rFonts w:asciiTheme="minorHAnsi" w:eastAsiaTheme="minorEastAsia" w:hAnsiTheme="minorHAnsi" w:cstheme="minorBidi"/>
              <w:bCs w:val="0"/>
              <w:noProof/>
              <w:sz w:val="22"/>
              <w:szCs w:val="22"/>
              <w:lang w:eastAsia="en-GB"/>
            </w:rPr>
          </w:pPr>
          <w:hyperlink w:anchor="_Toc95743544" w:history="1">
            <w:r w:rsidR="004564CB" w:rsidRPr="000E1403">
              <w:rPr>
                <w:rStyle w:val="Hyperlink"/>
                <w:noProof/>
                <w:lang w:eastAsia="en-GB"/>
                <w14:scene3d>
                  <w14:camera w14:prst="orthographicFront"/>
                  <w14:lightRig w14:rig="threePt" w14:dir="t">
                    <w14:rot w14:lat="0" w14:lon="0" w14:rev="0"/>
                  </w14:lightRig>
                </w14:scene3d>
              </w:rPr>
              <w:t>3.1</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Introduction</w:t>
            </w:r>
            <w:r w:rsidR="004564CB">
              <w:rPr>
                <w:noProof/>
                <w:webHidden/>
              </w:rPr>
              <w:tab/>
            </w:r>
            <w:r w:rsidR="004564CB">
              <w:rPr>
                <w:noProof/>
                <w:webHidden/>
              </w:rPr>
              <w:fldChar w:fldCharType="begin"/>
            </w:r>
            <w:r w:rsidR="004564CB">
              <w:rPr>
                <w:noProof/>
                <w:webHidden/>
              </w:rPr>
              <w:instrText xml:space="preserve"> PAGEREF _Toc95743544 \h </w:instrText>
            </w:r>
            <w:r w:rsidR="004564CB">
              <w:rPr>
                <w:noProof/>
                <w:webHidden/>
              </w:rPr>
            </w:r>
            <w:r w:rsidR="004564CB">
              <w:rPr>
                <w:noProof/>
                <w:webHidden/>
              </w:rPr>
              <w:fldChar w:fldCharType="separate"/>
            </w:r>
            <w:r w:rsidR="00A176C0">
              <w:rPr>
                <w:noProof/>
                <w:webHidden/>
              </w:rPr>
              <w:t>378</w:t>
            </w:r>
            <w:r w:rsidR="004564CB">
              <w:rPr>
                <w:noProof/>
                <w:webHidden/>
              </w:rPr>
              <w:fldChar w:fldCharType="end"/>
            </w:r>
          </w:hyperlink>
        </w:p>
        <w:p w14:paraId="3B927E8F" w14:textId="1E88C39E" w:rsidR="004564CB" w:rsidRDefault="000B57EE">
          <w:pPr>
            <w:pStyle w:val="TOC2"/>
            <w:rPr>
              <w:rFonts w:asciiTheme="minorHAnsi" w:eastAsiaTheme="minorEastAsia" w:hAnsiTheme="minorHAnsi" w:cstheme="minorBidi"/>
              <w:bCs w:val="0"/>
              <w:noProof/>
              <w:sz w:val="22"/>
              <w:szCs w:val="22"/>
              <w:lang w:eastAsia="en-GB"/>
            </w:rPr>
          </w:pPr>
          <w:hyperlink w:anchor="_Toc95743545" w:history="1">
            <w:r w:rsidR="004564CB" w:rsidRPr="000E1403">
              <w:rPr>
                <w:rStyle w:val="Hyperlink"/>
                <w:noProof/>
                <w:lang w:eastAsia="en-GB"/>
                <w14:scene3d>
                  <w14:camera w14:prst="orthographicFront"/>
                  <w14:lightRig w14:rig="threePt" w14:dir="t">
                    <w14:rot w14:lat="0" w14:lon="0" w14:rev="0"/>
                  </w14:lightRig>
                </w14:scene3d>
              </w:rPr>
              <w:t>3.2</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Individual - GMS Contract</w:t>
            </w:r>
            <w:r w:rsidR="004564CB">
              <w:rPr>
                <w:noProof/>
                <w:webHidden/>
              </w:rPr>
              <w:tab/>
            </w:r>
            <w:r w:rsidR="004564CB">
              <w:rPr>
                <w:noProof/>
                <w:webHidden/>
              </w:rPr>
              <w:fldChar w:fldCharType="begin"/>
            </w:r>
            <w:r w:rsidR="004564CB">
              <w:rPr>
                <w:noProof/>
                <w:webHidden/>
              </w:rPr>
              <w:instrText xml:space="preserve"> PAGEREF _Toc95743545 \h </w:instrText>
            </w:r>
            <w:r w:rsidR="004564CB">
              <w:rPr>
                <w:noProof/>
                <w:webHidden/>
              </w:rPr>
            </w:r>
            <w:r w:rsidR="004564CB">
              <w:rPr>
                <w:noProof/>
                <w:webHidden/>
              </w:rPr>
              <w:fldChar w:fldCharType="separate"/>
            </w:r>
            <w:r w:rsidR="00A176C0">
              <w:rPr>
                <w:noProof/>
                <w:webHidden/>
              </w:rPr>
              <w:t>378</w:t>
            </w:r>
            <w:r w:rsidR="004564CB">
              <w:rPr>
                <w:noProof/>
                <w:webHidden/>
              </w:rPr>
              <w:fldChar w:fldCharType="end"/>
            </w:r>
          </w:hyperlink>
        </w:p>
        <w:p w14:paraId="7E0E1162" w14:textId="3DF0DD39" w:rsidR="004564CB" w:rsidRDefault="000B57EE">
          <w:pPr>
            <w:pStyle w:val="TOC2"/>
            <w:rPr>
              <w:rFonts w:asciiTheme="minorHAnsi" w:eastAsiaTheme="minorEastAsia" w:hAnsiTheme="minorHAnsi" w:cstheme="minorBidi"/>
              <w:bCs w:val="0"/>
              <w:noProof/>
              <w:sz w:val="22"/>
              <w:szCs w:val="22"/>
              <w:lang w:eastAsia="en-GB"/>
            </w:rPr>
          </w:pPr>
          <w:hyperlink w:anchor="_Toc95743546" w:history="1">
            <w:r w:rsidR="004564CB" w:rsidRPr="000E1403">
              <w:rPr>
                <w:rStyle w:val="Hyperlink"/>
                <w:noProof/>
                <w:lang w:eastAsia="en-GB"/>
                <w14:scene3d>
                  <w14:camera w14:prst="orthographicFront"/>
                  <w14:lightRig w14:rig="threePt" w14:dir="t">
                    <w14:rot w14:lat="0" w14:lon="0" w14:rev="0"/>
                  </w14:lightRig>
                </w14:scene3d>
              </w:rPr>
              <w:t>3.3</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Individual - PMS or APMS Contract</w:t>
            </w:r>
            <w:r w:rsidR="004564CB">
              <w:rPr>
                <w:noProof/>
                <w:webHidden/>
              </w:rPr>
              <w:tab/>
            </w:r>
            <w:r w:rsidR="004564CB">
              <w:rPr>
                <w:noProof/>
                <w:webHidden/>
              </w:rPr>
              <w:fldChar w:fldCharType="begin"/>
            </w:r>
            <w:r w:rsidR="004564CB">
              <w:rPr>
                <w:noProof/>
                <w:webHidden/>
              </w:rPr>
              <w:instrText xml:space="preserve"> PAGEREF _Toc95743546 \h </w:instrText>
            </w:r>
            <w:r w:rsidR="004564CB">
              <w:rPr>
                <w:noProof/>
                <w:webHidden/>
              </w:rPr>
            </w:r>
            <w:r w:rsidR="004564CB">
              <w:rPr>
                <w:noProof/>
                <w:webHidden/>
              </w:rPr>
              <w:fldChar w:fldCharType="separate"/>
            </w:r>
            <w:r w:rsidR="00A176C0">
              <w:rPr>
                <w:noProof/>
                <w:webHidden/>
              </w:rPr>
              <w:t>379</w:t>
            </w:r>
            <w:r w:rsidR="004564CB">
              <w:rPr>
                <w:noProof/>
                <w:webHidden/>
              </w:rPr>
              <w:fldChar w:fldCharType="end"/>
            </w:r>
          </w:hyperlink>
        </w:p>
        <w:p w14:paraId="7CBDC9D8" w14:textId="7B664D87" w:rsidR="004564CB" w:rsidRDefault="000B57EE">
          <w:pPr>
            <w:pStyle w:val="TOC2"/>
            <w:rPr>
              <w:rFonts w:asciiTheme="minorHAnsi" w:eastAsiaTheme="minorEastAsia" w:hAnsiTheme="minorHAnsi" w:cstheme="minorBidi"/>
              <w:bCs w:val="0"/>
              <w:noProof/>
              <w:sz w:val="22"/>
              <w:szCs w:val="22"/>
              <w:lang w:eastAsia="en-GB"/>
            </w:rPr>
          </w:pPr>
          <w:hyperlink w:anchor="_Toc95743547" w:history="1">
            <w:r w:rsidR="004564CB" w:rsidRPr="000E1403">
              <w:rPr>
                <w:rStyle w:val="Hyperlink"/>
                <w:noProof/>
                <w:lang w:eastAsia="en-GB"/>
                <w14:scene3d>
                  <w14:camera w14:prst="orthographicFront"/>
                  <w14:lightRig w14:rig="threePt" w14:dir="t">
                    <w14:rot w14:lat="0" w14:lon="0" w14:rev="0"/>
                  </w14:lightRig>
                </w14:scene3d>
              </w:rPr>
              <w:t>3.4</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Partnership - GMS Contract</w:t>
            </w:r>
            <w:r w:rsidR="004564CB">
              <w:rPr>
                <w:noProof/>
                <w:webHidden/>
              </w:rPr>
              <w:tab/>
            </w:r>
            <w:r w:rsidR="004564CB">
              <w:rPr>
                <w:noProof/>
                <w:webHidden/>
              </w:rPr>
              <w:fldChar w:fldCharType="begin"/>
            </w:r>
            <w:r w:rsidR="004564CB">
              <w:rPr>
                <w:noProof/>
                <w:webHidden/>
              </w:rPr>
              <w:instrText xml:space="preserve"> PAGEREF _Toc95743547 \h </w:instrText>
            </w:r>
            <w:r w:rsidR="004564CB">
              <w:rPr>
                <w:noProof/>
                <w:webHidden/>
              </w:rPr>
            </w:r>
            <w:r w:rsidR="004564CB">
              <w:rPr>
                <w:noProof/>
                <w:webHidden/>
              </w:rPr>
              <w:fldChar w:fldCharType="separate"/>
            </w:r>
            <w:r w:rsidR="00A176C0">
              <w:rPr>
                <w:noProof/>
                <w:webHidden/>
              </w:rPr>
              <w:t>379</w:t>
            </w:r>
            <w:r w:rsidR="004564CB">
              <w:rPr>
                <w:noProof/>
                <w:webHidden/>
              </w:rPr>
              <w:fldChar w:fldCharType="end"/>
            </w:r>
          </w:hyperlink>
        </w:p>
        <w:p w14:paraId="17F55D61" w14:textId="21D580D7" w:rsidR="004564CB" w:rsidRDefault="000B57EE">
          <w:pPr>
            <w:pStyle w:val="TOC2"/>
            <w:rPr>
              <w:rFonts w:asciiTheme="minorHAnsi" w:eastAsiaTheme="minorEastAsia" w:hAnsiTheme="minorHAnsi" w:cstheme="minorBidi"/>
              <w:bCs w:val="0"/>
              <w:noProof/>
              <w:sz w:val="22"/>
              <w:szCs w:val="22"/>
              <w:lang w:eastAsia="en-GB"/>
            </w:rPr>
          </w:pPr>
          <w:hyperlink w:anchor="_Toc95743548" w:history="1">
            <w:r w:rsidR="004564CB" w:rsidRPr="000E1403">
              <w:rPr>
                <w:rStyle w:val="Hyperlink"/>
                <w:noProof/>
                <w:lang w:eastAsia="en-GB"/>
                <w14:scene3d>
                  <w14:camera w14:prst="orthographicFront"/>
                  <w14:lightRig w14:rig="threePt" w14:dir="t">
                    <w14:rot w14:lat="0" w14:lon="0" w14:rev="0"/>
                  </w14:lightRig>
                </w14:scene3d>
              </w:rPr>
              <w:t>3.5</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Two or More Signatories - PMS Agreement</w:t>
            </w:r>
            <w:r w:rsidR="004564CB">
              <w:rPr>
                <w:noProof/>
                <w:webHidden/>
              </w:rPr>
              <w:tab/>
            </w:r>
            <w:r w:rsidR="004564CB">
              <w:rPr>
                <w:noProof/>
                <w:webHidden/>
              </w:rPr>
              <w:fldChar w:fldCharType="begin"/>
            </w:r>
            <w:r w:rsidR="004564CB">
              <w:rPr>
                <w:noProof/>
                <w:webHidden/>
              </w:rPr>
              <w:instrText xml:space="preserve"> PAGEREF _Toc95743548 \h </w:instrText>
            </w:r>
            <w:r w:rsidR="004564CB">
              <w:rPr>
                <w:noProof/>
                <w:webHidden/>
              </w:rPr>
            </w:r>
            <w:r w:rsidR="004564CB">
              <w:rPr>
                <w:noProof/>
                <w:webHidden/>
              </w:rPr>
              <w:fldChar w:fldCharType="separate"/>
            </w:r>
            <w:r w:rsidR="00A176C0">
              <w:rPr>
                <w:noProof/>
                <w:webHidden/>
              </w:rPr>
              <w:t>383</w:t>
            </w:r>
            <w:r w:rsidR="004564CB">
              <w:rPr>
                <w:noProof/>
                <w:webHidden/>
              </w:rPr>
              <w:fldChar w:fldCharType="end"/>
            </w:r>
          </w:hyperlink>
        </w:p>
        <w:p w14:paraId="3B0C1A18" w14:textId="299CE2F5" w:rsidR="004564CB" w:rsidRDefault="000B57EE">
          <w:pPr>
            <w:pStyle w:val="TOC2"/>
            <w:rPr>
              <w:rFonts w:asciiTheme="minorHAnsi" w:eastAsiaTheme="minorEastAsia" w:hAnsiTheme="minorHAnsi" w:cstheme="minorBidi"/>
              <w:bCs w:val="0"/>
              <w:noProof/>
              <w:sz w:val="22"/>
              <w:szCs w:val="22"/>
              <w:lang w:eastAsia="en-GB"/>
            </w:rPr>
          </w:pPr>
          <w:hyperlink w:anchor="_Toc95743549" w:history="1">
            <w:r w:rsidR="004564CB" w:rsidRPr="000E1403">
              <w:rPr>
                <w:rStyle w:val="Hyperlink"/>
                <w:noProof/>
                <w:lang w:eastAsia="en-GB"/>
                <w14:scene3d>
                  <w14:camera w14:prst="orthographicFront"/>
                  <w14:lightRig w14:rig="threePt" w14:dir="t">
                    <w14:rot w14:lat="0" w14:lon="0" w14:rev="0"/>
                  </w14:lightRig>
                </w14:scene3d>
              </w:rPr>
              <w:t>3.6</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Two or More Signatories - APMS Contract</w:t>
            </w:r>
            <w:r w:rsidR="004564CB">
              <w:rPr>
                <w:noProof/>
                <w:webHidden/>
              </w:rPr>
              <w:tab/>
            </w:r>
            <w:r w:rsidR="004564CB">
              <w:rPr>
                <w:noProof/>
                <w:webHidden/>
              </w:rPr>
              <w:fldChar w:fldCharType="begin"/>
            </w:r>
            <w:r w:rsidR="004564CB">
              <w:rPr>
                <w:noProof/>
                <w:webHidden/>
              </w:rPr>
              <w:instrText xml:space="preserve"> PAGEREF _Toc95743549 \h </w:instrText>
            </w:r>
            <w:r w:rsidR="004564CB">
              <w:rPr>
                <w:noProof/>
                <w:webHidden/>
              </w:rPr>
            </w:r>
            <w:r w:rsidR="004564CB">
              <w:rPr>
                <w:noProof/>
                <w:webHidden/>
              </w:rPr>
              <w:fldChar w:fldCharType="separate"/>
            </w:r>
            <w:r w:rsidR="00A176C0">
              <w:rPr>
                <w:noProof/>
                <w:webHidden/>
              </w:rPr>
              <w:t>383</w:t>
            </w:r>
            <w:r w:rsidR="004564CB">
              <w:rPr>
                <w:noProof/>
                <w:webHidden/>
              </w:rPr>
              <w:fldChar w:fldCharType="end"/>
            </w:r>
          </w:hyperlink>
        </w:p>
        <w:p w14:paraId="5A51EBF9" w14:textId="69145CE2" w:rsidR="004564CB" w:rsidRDefault="000B57EE">
          <w:pPr>
            <w:pStyle w:val="TOC2"/>
            <w:rPr>
              <w:rFonts w:asciiTheme="minorHAnsi" w:eastAsiaTheme="minorEastAsia" w:hAnsiTheme="minorHAnsi" w:cstheme="minorBidi"/>
              <w:bCs w:val="0"/>
              <w:noProof/>
              <w:sz w:val="22"/>
              <w:szCs w:val="22"/>
              <w:lang w:eastAsia="en-GB"/>
            </w:rPr>
          </w:pPr>
          <w:hyperlink w:anchor="_Toc95743550" w:history="1">
            <w:r w:rsidR="004564CB" w:rsidRPr="000E1403">
              <w:rPr>
                <w:rStyle w:val="Hyperlink"/>
                <w:noProof/>
                <w14:scene3d>
                  <w14:camera w14:prst="orthographicFront"/>
                  <w14:lightRig w14:rig="threePt" w14:dir="t">
                    <w14:rot w14:lat="0" w14:lon="0" w14:rev="0"/>
                  </w14:lightRig>
                </w14:scene3d>
              </w:rPr>
              <w:t>3.7</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Practical Issues Arising from Death of a Contractor</w:t>
            </w:r>
            <w:r w:rsidR="004564CB">
              <w:rPr>
                <w:noProof/>
                <w:webHidden/>
              </w:rPr>
              <w:tab/>
            </w:r>
            <w:r w:rsidR="004564CB">
              <w:rPr>
                <w:noProof/>
                <w:webHidden/>
              </w:rPr>
              <w:fldChar w:fldCharType="begin"/>
            </w:r>
            <w:r w:rsidR="004564CB">
              <w:rPr>
                <w:noProof/>
                <w:webHidden/>
              </w:rPr>
              <w:instrText xml:space="preserve"> PAGEREF _Toc95743550 \h </w:instrText>
            </w:r>
            <w:r w:rsidR="004564CB">
              <w:rPr>
                <w:noProof/>
                <w:webHidden/>
              </w:rPr>
            </w:r>
            <w:r w:rsidR="004564CB">
              <w:rPr>
                <w:noProof/>
                <w:webHidden/>
              </w:rPr>
              <w:fldChar w:fldCharType="separate"/>
            </w:r>
            <w:r w:rsidR="00A176C0">
              <w:rPr>
                <w:noProof/>
                <w:webHidden/>
              </w:rPr>
              <w:t>383</w:t>
            </w:r>
            <w:r w:rsidR="004564CB">
              <w:rPr>
                <w:noProof/>
                <w:webHidden/>
              </w:rPr>
              <w:fldChar w:fldCharType="end"/>
            </w:r>
          </w:hyperlink>
        </w:p>
        <w:p w14:paraId="13D6A6D2" w14:textId="6033917A" w:rsidR="004564CB" w:rsidRDefault="000B57EE">
          <w:pPr>
            <w:pStyle w:val="TOC2"/>
            <w:rPr>
              <w:rFonts w:asciiTheme="minorHAnsi" w:eastAsiaTheme="minorEastAsia" w:hAnsiTheme="minorHAnsi" w:cstheme="minorBidi"/>
              <w:bCs w:val="0"/>
              <w:noProof/>
              <w:sz w:val="22"/>
              <w:szCs w:val="22"/>
              <w:lang w:eastAsia="en-GB"/>
            </w:rPr>
          </w:pPr>
          <w:hyperlink w:anchor="_Toc95743551" w:history="1">
            <w:r w:rsidR="004564CB" w:rsidRPr="000E1403">
              <w:rPr>
                <w:rStyle w:val="Hyperlink"/>
                <w:noProof/>
                <w14:scene3d>
                  <w14:camera w14:prst="orthographicFront"/>
                  <w14:lightRig w14:rig="threePt" w14:dir="t">
                    <w14:rot w14:lat="0" w14:lon="0" w14:rev="0"/>
                  </w14:lightRig>
                </w14:scene3d>
              </w:rPr>
              <w:t>3.8</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Links to relevant PCSE information and documentation</w:t>
            </w:r>
            <w:r w:rsidR="004564CB">
              <w:rPr>
                <w:noProof/>
                <w:webHidden/>
              </w:rPr>
              <w:tab/>
            </w:r>
            <w:r w:rsidR="004564CB">
              <w:rPr>
                <w:noProof/>
                <w:webHidden/>
              </w:rPr>
              <w:fldChar w:fldCharType="begin"/>
            </w:r>
            <w:r w:rsidR="004564CB">
              <w:rPr>
                <w:noProof/>
                <w:webHidden/>
              </w:rPr>
              <w:instrText xml:space="preserve"> PAGEREF _Toc95743551 \h </w:instrText>
            </w:r>
            <w:r w:rsidR="004564CB">
              <w:rPr>
                <w:noProof/>
                <w:webHidden/>
              </w:rPr>
            </w:r>
            <w:r w:rsidR="004564CB">
              <w:rPr>
                <w:noProof/>
                <w:webHidden/>
              </w:rPr>
              <w:fldChar w:fldCharType="separate"/>
            </w:r>
            <w:r w:rsidR="00A176C0">
              <w:rPr>
                <w:noProof/>
                <w:webHidden/>
              </w:rPr>
              <w:t>384</w:t>
            </w:r>
            <w:r w:rsidR="004564CB">
              <w:rPr>
                <w:noProof/>
                <w:webHidden/>
              </w:rPr>
              <w:fldChar w:fldCharType="end"/>
            </w:r>
          </w:hyperlink>
        </w:p>
        <w:p w14:paraId="2CCA8754" w14:textId="23F3F0E6" w:rsidR="004564CB" w:rsidRDefault="000B57EE">
          <w:pPr>
            <w:pStyle w:val="TOC1"/>
            <w:rPr>
              <w:rFonts w:asciiTheme="minorHAnsi" w:eastAsiaTheme="minorEastAsia" w:hAnsiTheme="minorHAnsi" w:cstheme="minorBidi"/>
              <w:bCs w:val="0"/>
              <w:color w:val="auto"/>
              <w:sz w:val="22"/>
              <w:szCs w:val="22"/>
              <w:lang w:eastAsia="en-GB"/>
            </w:rPr>
          </w:pPr>
          <w:hyperlink w:anchor="_Toc95743552" w:history="1">
            <w:r w:rsidR="004564CB" w:rsidRPr="000E1403">
              <w:rPr>
                <w:rStyle w:val="Hyperlink"/>
              </w:rPr>
              <w:t>4</w:t>
            </w:r>
            <w:r w:rsidR="004564CB">
              <w:rPr>
                <w:rFonts w:asciiTheme="minorHAnsi" w:eastAsiaTheme="minorEastAsia" w:hAnsiTheme="minorHAnsi" w:cstheme="minorBidi"/>
                <w:bCs w:val="0"/>
                <w:color w:val="auto"/>
                <w:sz w:val="22"/>
                <w:szCs w:val="22"/>
                <w:lang w:eastAsia="en-GB"/>
              </w:rPr>
              <w:tab/>
            </w:r>
            <w:r w:rsidR="004564CB" w:rsidRPr="000E1403">
              <w:rPr>
                <w:rStyle w:val="Hyperlink"/>
                <w:lang w:eastAsia="en-GB"/>
              </w:rPr>
              <w:t>Managing Disputes</w:t>
            </w:r>
            <w:r w:rsidR="004564CB">
              <w:rPr>
                <w:webHidden/>
              </w:rPr>
              <w:tab/>
            </w:r>
            <w:r w:rsidR="004564CB">
              <w:rPr>
                <w:webHidden/>
              </w:rPr>
              <w:fldChar w:fldCharType="begin"/>
            </w:r>
            <w:r w:rsidR="004564CB">
              <w:rPr>
                <w:webHidden/>
              </w:rPr>
              <w:instrText xml:space="preserve"> PAGEREF _Toc95743552 \h </w:instrText>
            </w:r>
            <w:r w:rsidR="004564CB">
              <w:rPr>
                <w:webHidden/>
              </w:rPr>
            </w:r>
            <w:r w:rsidR="004564CB">
              <w:rPr>
                <w:webHidden/>
              </w:rPr>
              <w:fldChar w:fldCharType="separate"/>
            </w:r>
            <w:r w:rsidR="00A176C0">
              <w:rPr>
                <w:webHidden/>
              </w:rPr>
              <w:t>386</w:t>
            </w:r>
            <w:r w:rsidR="004564CB">
              <w:rPr>
                <w:webHidden/>
              </w:rPr>
              <w:fldChar w:fldCharType="end"/>
            </w:r>
          </w:hyperlink>
        </w:p>
        <w:p w14:paraId="70B66E77" w14:textId="64222842" w:rsidR="004564CB" w:rsidRDefault="000B57EE">
          <w:pPr>
            <w:pStyle w:val="TOC2"/>
            <w:rPr>
              <w:rFonts w:asciiTheme="minorHAnsi" w:eastAsiaTheme="minorEastAsia" w:hAnsiTheme="minorHAnsi" w:cstheme="minorBidi"/>
              <w:bCs w:val="0"/>
              <w:noProof/>
              <w:sz w:val="22"/>
              <w:szCs w:val="22"/>
              <w:lang w:eastAsia="en-GB"/>
            </w:rPr>
          </w:pPr>
          <w:hyperlink w:anchor="_Toc95743553" w:history="1">
            <w:r w:rsidR="004564CB" w:rsidRPr="000E1403">
              <w:rPr>
                <w:rStyle w:val="Hyperlink"/>
                <w:noProof/>
                <w:lang w:eastAsia="en-GB"/>
                <w14:scene3d>
                  <w14:camera w14:prst="orthographicFront"/>
                  <w14:lightRig w14:rig="threePt" w14:dir="t">
                    <w14:rot w14:lat="0" w14:lon="0" w14:rev="0"/>
                  </w14:lightRig>
                </w14:scene3d>
              </w:rPr>
              <w:t>4.1</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Introduction</w:t>
            </w:r>
            <w:r w:rsidR="004564CB">
              <w:rPr>
                <w:noProof/>
                <w:webHidden/>
              </w:rPr>
              <w:tab/>
            </w:r>
            <w:r w:rsidR="004564CB">
              <w:rPr>
                <w:noProof/>
                <w:webHidden/>
              </w:rPr>
              <w:fldChar w:fldCharType="begin"/>
            </w:r>
            <w:r w:rsidR="004564CB">
              <w:rPr>
                <w:noProof/>
                <w:webHidden/>
              </w:rPr>
              <w:instrText xml:space="preserve"> PAGEREF _Toc95743553 \h </w:instrText>
            </w:r>
            <w:r w:rsidR="004564CB">
              <w:rPr>
                <w:noProof/>
                <w:webHidden/>
              </w:rPr>
            </w:r>
            <w:r w:rsidR="004564CB">
              <w:rPr>
                <w:noProof/>
                <w:webHidden/>
              </w:rPr>
              <w:fldChar w:fldCharType="separate"/>
            </w:r>
            <w:r w:rsidR="00A176C0">
              <w:rPr>
                <w:noProof/>
                <w:webHidden/>
              </w:rPr>
              <w:t>386</w:t>
            </w:r>
            <w:r w:rsidR="004564CB">
              <w:rPr>
                <w:noProof/>
                <w:webHidden/>
              </w:rPr>
              <w:fldChar w:fldCharType="end"/>
            </w:r>
          </w:hyperlink>
        </w:p>
        <w:p w14:paraId="21B8B9FA" w14:textId="04B82069" w:rsidR="004564CB" w:rsidRDefault="000B57EE">
          <w:pPr>
            <w:pStyle w:val="TOC2"/>
            <w:rPr>
              <w:rFonts w:asciiTheme="minorHAnsi" w:eastAsiaTheme="minorEastAsia" w:hAnsiTheme="minorHAnsi" w:cstheme="minorBidi"/>
              <w:bCs w:val="0"/>
              <w:noProof/>
              <w:sz w:val="22"/>
              <w:szCs w:val="22"/>
              <w:lang w:eastAsia="en-GB"/>
            </w:rPr>
          </w:pPr>
          <w:hyperlink w:anchor="_Toc95743554" w:history="1">
            <w:r w:rsidR="004564CB" w:rsidRPr="000E1403">
              <w:rPr>
                <w:rStyle w:val="Hyperlink"/>
                <w:noProof/>
                <w:lang w:eastAsia="en-GB"/>
                <w14:scene3d>
                  <w14:camera w14:prst="orthographicFront"/>
                  <w14:lightRig w14:rig="threePt" w14:dir="t">
                    <w14:rot w14:lat="0" w14:lon="0" w14:rev="0"/>
                  </w14:lightRig>
                </w14:scene3d>
              </w:rPr>
              <w:t>4.2</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Background</w:t>
            </w:r>
            <w:r w:rsidR="004564CB">
              <w:rPr>
                <w:noProof/>
                <w:webHidden/>
              </w:rPr>
              <w:tab/>
            </w:r>
            <w:r w:rsidR="004564CB">
              <w:rPr>
                <w:noProof/>
                <w:webHidden/>
              </w:rPr>
              <w:fldChar w:fldCharType="begin"/>
            </w:r>
            <w:r w:rsidR="004564CB">
              <w:rPr>
                <w:noProof/>
                <w:webHidden/>
              </w:rPr>
              <w:instrText xml:space="preserve"> PAGEREF _Toc95743554 \h </w:instrText>
            </w:r>
            <w:r w:rsidR="004564CB">
              <w:rPr>
                <w:noProof/>
                <w:webHidden/>
              </w:rPr>
            </w:r>
            <w:r w:rsidR="004564CB">
              <w:rPr>
                <w:noProof/>
                <w:webHidden/>
              </w:rPr>
              <w:fldChar w:fldCharType="separate"/>
            </w:r>
            <w:r w:rsidR="00A176C0">
              <w:rPr>
                <w:noProof/>
                <w:webHidden/>
              </w:rPr>
              <w:t>386</w:t>
            </w:r>
            <w:r w:rsidR="004564CB">
              <w:rPr>
                <w:noProof/>
                <w:webHidden/>
              </w:rPr>
              <w:fldChar w:fldCharType="end"/>
            </w:r>
          </w:hyperlink>
        </w:p>
        <w:p w14:paraId="46C37147" w14:textId="75E609C8" w:rsidR="004564CB" w:rsidRDefault="000B57EE">
          <w:pPr>
            <w:pStyle w:val="TOC2"/>
            <w:rPr>
              <w:rFonts w:asciiTheme="minorHAnsi" w:eastAsiaTheme="minorEastAsia" w:hAnsiTheme="minorHAnsi" w:cstheme="minorBidi"/>
              <w:bCs w:val="0"/>
              <w:noProof/>
              <w:sz w:val="22"/>
              <w:szCs w:val="22"/>
              <w:lang w:eastAsia="en-GB"/>
            </w:rPr>
          </w:pPr>
          <w:hyperlink w:anchor="_Toc95743555" w:history="1">
            <w:r w:rsidR="004564CB" w:rsidRPr="000E1403">
              <w:rPr>
                <w:rStyle w:val="Hyperlink"/>
                <w:noProof/>
                <w:lang w:eastAsia="en-GB"/>
                <w14:scene3d>
                  <w14:camera w14:prst="orthographicFront"/>
                  <w14:lightRig w14:rig="threePt" w14:dir="t">
                    <w14:rot w14:lat="0" w14:lon="0" w14:rev="0"/>
                  </w14:lightRig>
                </w14:scene3d>
              </w:rPr>
              <w:t>4.3</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Managing Disputes – Informal Process</w:t>
            </w:r>
            <w:r w:rsidR="004564CB">
              <w:rPr>
                <w:noProof/>
                <w:webHidden/>
              </w:rPr>
              <w:tab/>
            </w:r>
            <w:r w:rsidR="004564CB">
              <w:rPr>
                <w:noProof/>
                <w:webHidden/>
              </w:rPr>
              <w:fldChar w:fldCharType="begin"/>
            </w:r>
            <w:r w:rsidR="004564CB">
              <w:rPr>
                <w:noProof/>
                <w:webHidden/>
              </w:rPr>
              <w:instrText xml:space="preserve"> PAGEREF _Toc95743555 \h </w:instrText>
            </w:r>
            <w:r w:rsidR="004564CB">
              <w:rPr>
                <w:noProof/>
                <w:webHidden/>
              </w:rPr>
            </w:r>
            <w:r w:rsidR="004564CB">
              <w:rPr>
                <w:noProof/>
                <w:webHidden/>
              </w:rPr>
              <w:fldChar w:fldCharType="separate"/>
            </w:r>
            <w:r w:rsidR="00A176C0">
              <w:rPr>
                <w:noProof/>
                <w:webHidden/>
              </w:rPr>
              <w:t>387</w:t>
            </w:r>
            <w:r w:rsidR="004564CB">
              <w:rPr>
                <w:noProof/>
                <w:webHidden/>
              </w:rPr>
              <w:fldChar w:fldCharType="end"/>
            </w:r>
          </w:hyperlink>
        </w:p>
        <w:p w14:paraId="52DD993E" w14:textId="27380BDD" w:rsidR="004564CB" w:rsidRDefault="000B57EE">
          <w:pPr>
            <w:pStyle w:val="TOC2"/>
            <w:rPr>
              <w:rFonts w:asciiTheme="minorHAnsi" w:eastAsiaTheme="minorEastAsia" w:hAnsiTheme="minorHAnsi" w:cstheme="minorBidi"/>
              <w:bCs w:val="0"/>
              <w:noProof/>
              <w:sz w:val="22"/>
              <w:szCs w:val="22"/>
              <w:lang w:eastAsia="en-GB"/>
            </w:rPr>
          </w:pPr>
          <w:hyperlink w:anchor="_Toc95743556" w:history="1">
            <w:r w:rsidR="004564CB" w:rsidRPr="000E1403">
              <w:rPr>
                <w:rStyle w:val="Hyperlink"/>
                <w:noProof/>
                <w:lang w:eastAsia="en-GB"/>
                <w14:scene3d>
                  <w14:camera w14:prst="orthographicFront"/>
                  <w14:lightRig w14:rig="threePt" w14:dir="t">
                    <w14:rot w14:lat="0" w14:lon="0" w14:rev="0"/>
                  </w14:lightRig>
                </w14:scene3d>
              </w:rPr>
              <w:t>4.4</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Managing Disputes – Stage 1 (Local Dispute Resolution)</w:t>
            </w:r>
            <w:r w:rsidR="004564CB">
              <w:rPr>
                <w:noProof/>
                <w:webHidden/>
              </w:rPr>
              <w:tab/>
            </w:r>
            <w:r w:rsidR="004564CB">
              <w:rPr>
                <w:noProof/>
                <w:webHidden/>
              </w:rPr>
              <w:fldChar w:fldCharType="begin"/>
            </w:r>
            <w:r w:rsidR="004564CB">
              <w:rPr>
                <w:noProof/>
                <w:webHidden/>
              </w:rPr>
              <w:instrText xml:space="preserve"> PAGEREF _Toc95743556 \h </w:instrText>
            </w:r>
            <w:r w:rsidR="004564CB">
              <w:rPr>
                <w:noProof/>
                <w:webHidden/>
              </w:rPr>
            </w:r>
            <w:r w:rsidR="004564CB">
              <w:rPr>
                <w:noProof/>
                <w:webHidden/>
              </w:rPr>
              <w:fldChar w:fldCharType="separate"/>
            </w:r>
            <w:r w:rsidR="00A176C0">
              <w:rPr>
                <w:noProof/>
                <w:webHidden/>
              </w:rPr>
              <w:t>388</w:t>
            </w:r>
            <w:r w:rsidR="004564CB">
              <w:rPr>
                <w:noProof/>
                <w:webHidden/>
              </w:rPr>
              <w:fldChar w:fldCharType="end"/>
            </w:r>
          </w:hyperlink>
        </w:p>
        <w:p w14:paraId="1A4CC14F" w14:textId="0159CA0D" w:rsidR="004564CB" w:rsidRDefault="000B57EE">
          <w:pPr>
            <w:pStyle w:val="TOC2"/>
            <w:rPr>
              <w:rFonts w:asciiTheme="minorHAnsi" w:eastAsiaTheme="minorEastAsia" w:hAnsiTheme="minorHAnsi" w:cstheme="minorBidi"/>
              <w:bCs w:val="0"/>
              <w:noProof/>
              <w:sz w:val="22"/>
              <w:szCs w:val="22"/>
              <w:lang w:eastAsia="en-GB"/>
            </w:rPr>
          </w:pPr>
          <w:hyperlink w:anchor="_Toc95743557" w:history="1">
            <w:r w:rsidR="004564CB" w:rsidRPr="000E1403">
              <w:rPr>
                <w:rStyle w:val="Hyperlink"/>
                <w:noProof/>
                <w:lang w:eastAsia="en-GB"/>
                <w14:scene3d>
                  <w14:camera w14:prst="orthographicFront"/>
                  <w14:lightRig w14:rig="threePt" w14:dir="t">
                    <w14:rot w14:lat="0" w14:lon="0" w14:rev="0"/>
                  </w14:lightRig>
                </w14:scene3d>
              </w:rPr>
              <w:t>4.5</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Managing Disputes – Stage 2 (NHS Dispute Resolution Procedure)</w:t>
            </w:r>
            <w:r w:rsidR="004564CB">
              <w:rPr>
                <w:noProof/>
                <w:webHidden/>
              </w:rPr>
              <w:tab/>
            </w:r>
            <w:r w:rsidR="004564CB">
              <w:rPr>
                <w:noProof/>
                <w:webHidden/>
              </w:rPr>
              <w:fldChar w:fldCharType="begin"/>
            </w:r>
            <w:r w:rsidR="004564CB">
              <w:rPr>
                <w:noProof/>
                <w:webHidden/>
              </w:rPr>
              <w:instrText xml:space="preserve"> PAGEREF _Toc95743557 \h </w:instrText>
            </w:r>
            <w:r w:rsidR="004564CB">
              <w:rPr>
                <w:noProof/>
                <w:webHidden/>
              </w:rPr>
            </w:r>
            <w:r w:rsidR="004564CB">
              <w:rPr>
                <w:noProof/>
                <w:webHidden/>
              </w:rPr>
              <w:fldChar w:fldCharType="separate"/>
            </w:r>
            <w:r w:rsidR="00A176C0">
              <w:rPr>
                <w:noProof/>
                <w:webHidden/>
              </w:rPr>
              <w:t>390</w:t>
            </w:r>
            <w:r w:rsidR="004564CB">
              <w:rPr>
                <w:noProof/>
                <w:webHidden/>
              </w:rPr>
              <w:fldChar w:fldCharType="end"/>
            </w:r>
          </w:hyperlink>
        </w:p>
        <w:p w14:paraId="0DA0A8C0" w14:textId="1EB79BCB" w:rsidR="004564CB" w:rsidRDefault="000B57EE">
          <w:pPr>
            <w:pStyle w:val="TOC2"/>
            <w:rPr>
              <w:rFonts w:asciiTheme="minorHAnsi" w:eastAsiaTheme="minorEastAsia" w:hAnsiTheme="minorHAnsi" w:cstheme="minorBidi"/>
              <w:bCs w:val="0"/>
              <w:noProof/>
              <w:sz w:val="22"/>
              <w:szCs w:val="22"/>
              <w:lang w:eastAsia="en-GB"/>
            </w:rPr>
          </w:pPr>
          <w:hyperlink w:anchor="_Toc95743558" w:history="1">
            <w:r w:rsidR="004564CB" w:rsidRPr="000E1403">
              <w:rPr>
                <w:rStyle w:val="Hyperlink"/>
                <w:rFonts w:cs="Arial"/>
                <w:noProof/>
                <w:lang w:eastAsia="en-GB"/>
              </w:rPr>
              <w:t>Delegated commissioning arrangements</w:t>
            </w:r>
            <w:r w:rsidR="004564CB">
              <w:rPr>
                <w:noProof/>
                <w:webHidden/>
              </w:rPr>
              <w:tab/>
            </w:r>
            <w:r w:rsidR="004564CB">
              <w:rPr>
                <w:noProof/>
                <w:webHidden/>
              </w:rPr>
              <w:fldChar w:fldCharType="begin"/>
            </w:r>
            <w:r w:rsidR="004564CB">
              <w:rPr>
                <w:noProof/>
                <w:webHidden/>
              </w:rPr>
              <w:instrText xml:space="preserve"> PAGEREF _Toc95743558 \h </w:instrText>
            </w:r>
            <w:r w:rsidR="004564CB">
              <w:rPr>
                <w:noProof/>
                <w:webHidden/>
              </w:rPr>
            </w:r>
            <w:r w:rsidR="004564CB">
              <w:rPr>
                <w:noProof/>
                <w:webHidden/>
              </w:rPr>
              <w:fldChar w:fldCharType="separate"/>
            </w:r>
            <w:r w:rsidR="00A176C0">
              <w:rPr>
                <w:noProof/>
                <w:webHidden/>
              </w:rPr>
              <w:t>391</w:t>
            </w:r>
            <w:r w:rsidR="004564CB">
              <w:rPr>
                <w:noProof/>
                <w:webHidden/>
              </w:rPr>
              <w:fldChar w:fldCharType="end"/>
            </w:r>
          </w:hyperlink>
        </w:p>
        <w:p w14:paraId="6776984D" w14:textId="6206EA45" w:rsidR="004564CB" w:rsidRDefault="000B57EE">
          <w:pPr>
            <w:pStyle w:val="TOC2"/>
            <w:rPr>
              <w:rFonts w:asciiTheme="minorHAnsi" w:eastAsiaTheme="minorEastAsia" w:hAnsiTheme="minorHAnsi" w:cstheme="minorBidi"/>
              <w:bCs w:val="0"/>
              <w:noProof/>
              <w:sz w:val="22"/>
              <w:szCs w:val="22"/>
              <w:lang w:eastAsia="en-GB"/>
            </w:rPr>
          </w:pPr>
          <w:hyperlink w:anchor="_Toc95743559" w:history="1">
            <w:r w:rsidR="004564CB" w:rsidRPr="000E1403">
              <w:rPr>
                <w:rStyle w:val="Hyperlink"/>
                <w:noProof/>
                <w:lang w:eastAsia="en-GB"/>
                <w14:scene3d>
                  <w14:camera w14:prst="orthographicFront"/>
                  <w14:lightRig w14:rig="threePt" w14:dir="t">
                    <w14:rot w14:lat="0" w14:lon="0" w14:rev="0"/>
                  </w14:lightRig>
                </w14:scene3d>
              </w:rPr>
              <w:t>4.6</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Other Dispute Resolution Procedures</w:t>
            </w:r>
            <w:r w:rsidR="004564CB">
              <w:rPr>
                <w:noProof/>
                <w:webHidden/>
              </w:rPr>
              <w:tab/>
            </w:r>
            <w:r w:rsidR="004564CB">
              <w:rPr>
                <w:noProof/>
                <w:webHidden/>
              </w:rPr>
              <w:fldChar w:fldCharType="begin"/>
            </w:r>
            <w:r w:rsidR="004564CB">
              <w:rPr>
                <w:noProof/>
                <w:webHidden/>
              </w:rPr>
              <w:instrText xml:space="preserve"> PAGEREF _Toc95743559 \h </w:instrText>
            </w:r>
            <w:r w:rsidR="004564CB">
              <w:rPr>
                <w:noProof/>
                <w:webHidden/>
              </w:rPr>
            </w:r>
            <w:r w:rsidR="004564CB">
              <w:rPr>
                <w:noProof/>
                <w:webHidden/>
              </w:rPr>
              <w:fldChar w:fldCharType="separate"/>
            </w:r>
            <w:r w:rsidR="00A176C0">
              <w:rPr>
                <w:noProof/>
                <w:webHidden/>
              </w:rPr>
              <w:t>392</w:t>
            </w:r>
            <w:r w:rsidR="004564CB">
              <w:rPr>
                <w:noProof/>
                <w:webHidden/>
              </w:rPr>
              <w:fldChar w:fldCharType="end"/>
            </w:r>
          </w:hyperlink>
        </w:p>
        <w:p w14:paraId="4BBDB7E9" w14:textId="0AF56435" w:rsidR="004564CB" w:rsidRDefault="000B57EE">
          <w:pPr>
            <w:pStyle w:val="TOC2"/>
            <w:rPr>
              <w:rFonts w:asciiTheme="minorHAnsi" w:eastAsiaTheme="minorEastAsia" w:hAnsiTheme="minorHAnsi" w:cstheme="minorBidi"/>
              <w:bCs w:val="0"/>
              <w:noProof/>
              <w:sz w:val="22"/>
              <w:szCs w:val="22"/>
              <w:lang w:eastAsia="en-GB"/>
            </w:rPr>
          </w:pPr>
          <w:hyperlink w:anchor="_Toc95743560" w:history="1">
            <w:r w:rsidR="004564CB" w:rsidRPr="000E1403">
              <w:rPr>
                <w:rStyle w:val="Hyperlink"/>
                <w:noProof/>
                <w:lang w:eastAsia="en-GB"/>
                <w14:scene3d>
                  <w14:camera w14:prst="orthographicFront"/>
                  <w14:lightRig w14:rig="threePt" w14:dir="t">
                    <w14:rot w14:lat="0" w14:lon="0" w14:rev="0"/>
                  </w14:lightRig>
                </w14:scene3d>
              </w:rPr>
              <w:t>4.7</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Assignment of Patients to Lists: Procedure Relating to Determinations of the Assessment Panel</w:t>
            </w:r>
            <w:r w:rsidR="004564CB">
              <w:rPr>
                <w:noProof/>
                <w:webHidden/>
              </w:rPr>
              <w:tab/>
            </w:r>
            <w:r w:rsidR="004564CB">
              <w:rPr>
                <w:noProof/>
                <w:webHidden/>
              </w:rPr>
              <w:fldChar w:fldCharType="begin"/>
            </w:r>
            <w:r w:rsidR="004564CB">
              <w:rPr>
                <w:noProof/>
                <w:webHidden/>
              </w:rPr>
              <w:instrText xml:space="preserve"> PAGEREF _Toc95743560 \h </w:instrText>
            </w:r>
            <w:r w:rsidR="004564CB">
              <w:rPr>
                <w:noProof/>
                <w:webHidden/>
              </w:rPr>
            </w:r>
            <w:r w:rsidR="004564CB">
              <w:rPr>
                <w:noProof/>
                <w:webHidden/>
              </w:rPr>
              <w:fldChar w:fldCharType="separate"/>
            </w:r>
            <w:r w:rsidR="00A176C0">
              <w:rPr>
                <w:noProof/>
                <w:webHidden/>
              </w:rPr>
              <w:t>392</w:t>
            </w:r>
            <w:r w:rsidR="004564CB">
              <w:rPr>
                <w:noProof/>
                <w:webHidden/>
              </w:rPr>
              <w:fldChar w:fldCharType="end"/>
            </w:r>
          </w:hyperlink>
        </w:p>
        <w:p w14:paraId="48453BBD" w14:textId="56029D6E" w:rsidR="004564CB" w:rsidRDefault="000B57EE">
          <w:pPr>
            <w:pStyle w:val="TOC2"/>
            <w:rPr>
              <w:rFonts w:asciiTheme="minorHAnsi" w:eastAsiaTheme="minorEastAsia" w:hAnsiTheme="minorHAnsi" w:cstheme="minorBidi"/>
              <w:bCs w:val="0"/>
              <w:noProof/>
              <w:sz w:val="22"/>
              <w:szCs w:val="22"/>
              <w:lang w:eastAsia="en-GB"/>
            </w:rPr>
          </w:pPr>
          <w:hyperlink w:anchor="_Toc95743561" w:history="1">
            <w:r w:rsidR="004564CB" w:rsidRPr="000E1403">
              <w:rPr>
                <w:rStyle w:val="Hyperlink"/>
                <w:noProof/>
                <w:lang w:eastAsia="en-GB"/>
                <w14:scene3d>
                  <w14:camera w14:prst="orthographicFront"/>
                  <w14:lightRig w14:rig="threePt" w14:dir="t">
                    <w14:rot w14:lat="0" w14:lon="0" w14:rev="0"/>
                  </w14:lightRig>
                </w14:scene3d>
              </w:rPr>
              <w:t>4.8</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Annexes</w:t>
            </w:r>
            <w:r w:rsidR="004564CB">
              <w:rPr>
                <w:noProof/>
                <w:webHidden/>
              </w:rPr>
              <w:tab/>
            </w:r>
            <w:r w:rsidR="004564CB">
              <w:rPr>
                <w:noProof/>
                <w:webHidden/>
              </w:rPr>
              <w:fldChar w:fldCharType="begin"/>
            </w:r>
            <w:r w:rsidR="004564CB">
              <w:rPr>
                <w:noProof/>
                <w:webHidden/>
              </w:rPr>
              <w:instrText xml:space="preserve"> PAGEREF _Toc95743561 \h </w:instrText>
            </w:r>
            <w:r w:rsidR="004564CB">
              <w:rPr>
                <w:noProof/>
                <w:webHidden/>
              </w:rPr>
            </w:r>
            <w:r w:rsidR="004564CB">
              <w:rPr>
                <w:noProof/>
                <w:webHidden/>
              </w:rPr>
              <w:fldChar w:fldCharType="separate"/>
            </w:r>
            <w:r w:rsidR="00A176C0">
              <w:rPr>
                <w:noProof/>
                <w:webHidden/>
              </w:rPr>
              <w:t>395</w:t>
            </w:r>
            <w:r w:rsidR="004564CB">
              <w:rPr>
                <w:noProof/>
                <w:webHidden/>
              </w:rPr>
              <w:fldChar w:fldCharType="end"/>
            </w:r>
          </w:hyperlink>
        </w:p>
        <w:p w14:paraId="23119030" w14:textId="6B158DDF" w:rsidR="004564CB" w:rsidRDefault="000B57EE">
          <w:pPr>
            <w:pStyle w:val="TOC1"/>
            <w:rPr>
              <w:rFonts w:asciiTheme="minorHAnsi" w:eastAsiaTheme="minorEastAsia" w:hAnsiTheme="minorHAnsi" w:cstheme="minorBidi"/>
              <w:bCs w:val="0"/>
              <w:color w:val="auto"/>
              <w:sz w:val="22"/>
              <w:szCs w:val="22"/>
              <w:lang w:eastAsia="en-GB"/>
            </w:rPr>
          </w:pPr>
          <w:hyperlink w:anchor="_Toc95743562" w:history="1">
            <w:r w:rsidR="004564CB" w:rsidRPr="000E1403">
              <w:rPr>
                <w:rStyle w:val="Hyperlink"/>
              </w:rPr>
              <w:t>5</w:t>
            </w:r>
            <w:r w:rsidR="004564CB">
              <w:rPr>
                <w:rFonts w:asciiTheme="minorHAnsi" w:eastAsiaTheme="minorEastAsia" w:hAnsiTheme="minorHAnsi" w:cstheme="minorBidi"/>
                <w:bCs w:val="0"/>
                <w:color w:val="auto"/>
                <w:sz w:val="22"/>
                <w:szCs w:val="22"/>
                <w:lang w:eastAsia="en-GB"/>
              </w:rPr>
              <w:tab/>
            </w:r>
            <w:r w:rsidR="004564CB" w:rsidRPr="000E1403">
              <w:rPr>
                <w:rStyle w:val="Hyperlink"/>
              </w:rPr>
              <w:t>Adverse Events (e.g. flood fire)</w:t>
            </w:r>
            <w:r w:rsidR="004564CB">
              <w:rPr>
                <w:webHidden/>
              </w:rPr>
              <w:tab/>
            </w:r>
            <w:r w:rsidR="004564CB">
              <w:rPr>
                <w:webHidden/>
              </w:rPr>
              <w:fldChar w:fldCharType="begin"/>
            </w:r>
            <w:r w:rsidR="004564CB">
              <w:rPr>
                <w:webHidden/>
              </w:rPr>
              <w:instrText xml:space="preserve"> PAGEREF _Toc95743562 \h </w:instrText>
            </w:r>
            <w:r w:rsidR="004564CB">
              <w:rPr>
                <w:webHidden/>
              </w:rPr>
            </w:r>
            <w:r w:rsidR="004564CB">
              <w:rPr>
                <w:webHidden/>
              </w:rPr>
              <w:fldChar w:fldCharType="separate"/>
            </w:r>
            <w:r w:rsidR="00A176C0">
              <w:rPr>
                <w:webHidden/>
              </w:rPr>
              <w:t>396</w:t>
            </w:r>
            <w:r w:rsidR="004564CB">
              <w:rPr>
                <w:webHidden/>
              </w:rPr>
              <w:fldChar w:fldCharType="end"/>
            </w:r>
          </w:hyperlink>
        </w:p>
        <w:p w14:paraId="73D542B2" w14:textId="6758BF1C" w:rsidR="004564CB" w:rsidRDefault="000B57EE">
          <w:pPr>
            <w:pStyle w:val="TOC2"/>
            <w:rPr>
              <w:rFonts w:asciiTheme="minorHAnsi" w:eastAsiaTheme="minorEastAsia" w:hAnsiTheme="minorHAnsi" w:cstheme="minorBidi"/>
              <w:bCs w:val="0"/>
              <w:noProof/>
              <w:sz w:val="22"/>
              <w:szCs w:val="22"/>
              <w:lang w:eastAsia="en-GB"/>
            </w:rPr>
          </w:pPr>
          <w:hyperlink w:anchor="_Toc95743563" w:history="1">
            <w:r w:rsidR="004564CB" w:rsidRPr="000E1403">
              <w:rPr>
                <w:rStyle w:val="Hyperlink"/>
                <w:noProof/>
                <w:lang w:eastAsia="en-GB"/>
                <w14:scene3d>
                  <w14:camera w14:prst="orthographicFront"/>
                  <w14:lightRig w14:rig="threePt" w14:dir="t">
                    <w14:rot w14:lat="0" w14:lon="0" w14:rev="0"/>
                  </w14:lightRig>
                </w14:scene3d>
              </w:rPr>
              <w:t>5.1</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Background</w:t>
            </w:r>
            <w:r w:rsidR="004564CB">
              <w:rPr>
                <w:noProof/>
                <w:webHidden/>
              </w:rPr>
              <w:tab/>
            </w:r>
            <w:r w:rsidR="004564CB">
              <w:rPr>
                <w:noProof/>
                <w:webHidden/>
              </w:rPr>
              <w:fldChar w:fldCharType="begin"/>
            </w:r>
            <w:r w:rsidR="004564CB">
              <w:rPr>
                <w:noProof/>
                <w:webHidden/>
              </w:rPr>
              <w:instrText xml:space="preserve"> PAGEREF _Toc95743563 \h </w:instrText>
            </w:r>
            <w:r w:rsidR="004564CB">
              <w:rPr>
                <w:noProof/>
                <w:webHidden/>
              </w:rPr>
            </w:r>
            <w:r w:rsidR="004564CB">
              <w:rPr>
                <w:noProof/>
                <w:webHidden/>
              </w:rPr>
              <w:fldChar w:fldCharType="separate"/>
            </w:r>
            <w:r w:rsidR="00A176C0">
              <w:rPr>
                <w:noProof/>
                <w:webHidden/>
              </w:rPr>
              <w:t>396</w:t>
            </w:r>
            <w:r w:rsidR="004564CB">
              <w:rPr>
                <w:noProof/>
                <w:webHidden/>
              </w:rPr>
              <w:fldChar w:fldCharType="end"/>
            </w:r>
          </w:hyperlink>
        </w:p>
        <w:p w14:paraId="576CAEE2" w14:textId="58A08923" w:rsidR="004564CB" w:rsidRDefault="000B57EE">
          <w:pPr>
            <w:pStyle w:val="TOC2"/>
            <w:rPr>
              <w:rFonts w:asciiTheme="minorHAnsi" w:eastAsiaTheme="minorEastAsia" w:hAnsiTheme="minorHAnsi" w:cstheme="minorBidi"/>
              <w:bCs w:val="0"/>
              <w:noProof/>
              <w:sz w:val="22"/>
              <w:szCs w:val="22"/>
              <w:lang w:eastAsia="en-GB"/>
            </w:rPr>
          </w:pPr>
          <w:hyperlink w:anchor="_Toc95743564" w:history="1">
            <w:r w:rsidR="004564CB" w:rsidRPr="000E1403">
              <w:rPr>
                <w:rStyle w:val="Hyperlink"/>
                <w:rFonts w:eastAsia="MS Mincho"/>
                <w:noProof/>
                <w14:scene3d>
                  <w14:camera w14:prst="orthographicFront"/>
                  <w14:lightRig w14:rig="threePt" w14:dir="t">
                    <w14:rot w14:lat="0" w14:lon="0" w14:rev="0"/>
                  </w14:lightRig>
                </w14:scene3d>
              </w:rPr>
              <w:t>5.2</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MS Mincho"/>
                <w:noProof/>
              </w:rPr>
              <w:t>Contract Wording</w:t>
            </w:r>
            <w:r w:rsidR="004564CB">
              <w:rPr>
                <w:noProof/>
                <w:webHidden/>
              </w:rPr>
              <w:tab/>
            </w:r>
            <w:r w:rsidR="004564CB">
              <w:rPr>
                <w:noProof/>
                <w:webHidden/>
              </w:rPr>
              <w:fldChar w:fldCharType="begin"/>
            </w:r>
            <w:r w:rsidR="004564CB">
              <w:rPr>
                <w:noProof/>
                <w:webHidden/>
              </w:rPr>
              <w:instrText xml:space="preserve"> PAGEREF _Toc95743564 \h </w:instrText>
            </w:r>
            <w:r w:rsidR="004564CB">
              <w:rPr>
                <w:noProof/>
                <w:webHidden/>
              </w:rPr>
            </w:r>
            <w:r w:rsidR="004564CB">
              <w:rPr>
                <w:noProof/>
                <w:webHidden/>
              </w:rPr>
              <w:fldChar w:fldCharType="separate"/>
            </w:r>
            <w:r w:rsidR="00A176C0">
              <w:rPr>
                <w:noProof/>
                <w:webHidden/>
              </w:rPr>
              <w:t>396</w:t>
            </w:r>
            <w:r w:rsidR="004564CB">
              <w:rPr>
                <w:noProof/>
                <w:webHidden/>
              </w:rPr>
              <w:fldChar w:fldCharType="end"/>
            </w:r>
          </w:hyperlink>
        </w:p>
        <w:p w14:paraId="7F7DF6A1" w14:textId="396A45DC" w:rsidR="004564CB" w:rsidRDefault="000B57EE">
          <w:pPr>
            <w:pStyle w:val="TOC2"/>
            <w:rPr>
              <w:rFonts w:asciiTheme="minorHAnsi" w:eastAsiaTheme="minorEastAsia" w:hAnsiTheme="minorHAnsi" w:cstheme="minorBidi"/>
              <w:bCs w:val="0"/>
              <w:noProof/>
              <w:sz w:val="22"/>
              <w:szCs w:val="22"/>
              <w:lang w:eastAsia="en-GB"/>
            </w:rPr>
          </w:pPr>
          <w:hyperlink w:anchor="_Toc95743565" w:history="1">
            <w:r w:rsidR="004564CB" w:rsidRPr="000E1403">
              <w:rPr>
                <w:rStyle w:val="Hyperlink"/>
                <w:rFonts w:eastAsia="MS Mincho"/>
                <w:noProof/>
                <w:lang w:eastAsia="en-GB"/>
                <w14:scene3d>
                  <w14:camera w14:prst="orthographicFront"/>
                  <w14:lightRig w14:rig="threePt" w14:dir="t">
                    <w14:rot w14:lat="0" w14:lon="0" w14:rev="0"/>
                  </w14:lightRig>
                </w14:scene3d>
              </w:rPr>
              <w:t>5.3</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MS Mincho"/>
                <w:noProof/>
                <w:lang w:eastAsia="en-GB"/>
              </w:rPr>
              <w:t>Contract Compliance</w:t>
            </w:r>
            <w:r w:rsidR="004564CB">
              <w:rPr>
                <w:noProof/>
                <w:webHidden/>
              </w:rPr>
              <w:tab/>
            </w:r>
            <w:r w:rsidR="004564CB">
              <w:rPr>
                <w:noProof/>
                <w:webHidden/>
              </w:rPr>
              <w:fldChar w:fldCharType="begin"/>
            </w:r>
            <w:r w:rsidR="004564CB">
              <w:rPr>
                <w:noProof/>
                <w:webHidden/>
              </w:rPr>
              <w:instrText xml:space="preserve"> PAGEREF _Toc95743565 \h </w:instrText>
            </w:r>
            <w:r w:rsidR="004564CB">
              <w:rPr>
                <w:noProof/>
                <w:webHidden/>
              </w:rPr>
            </w:r>
            <w:r w:rsidR="004564CB">
              <w:rPr>
                <w:noProof/>
                <w:webHidden/>
              </w:rPr>
              <w:fldChar w:fldCharType="separate"/>
            </w:r>
            <w:r w:rsidR="00A176C0">
              <w:rPr>
                <w:noProof/>
                <w:webHidden/>
              </w:rPr>
              <w:t>398</w:t>
            </w:r>
            <w:r w:rsidR="004564CB">
              <w:rPr>
                <w:noProof/>
                <w:webHidden/>
              </w:rPr>
              <w:fldChar w:fldCharType="end"/>
            </w:r>
          </w:hyperlink>
        </w:p>
        <w:p w14:paraId="1E6B7939" w14:textId="07888A5B" w:rsidR="004564CB" w:rsidRDefault="000B57EE">
          <w:pPr>
            <w:pStyle w:val="TOC2"/>
            <w:rPr>
              <w:rFonts w:asciiTheme="minorHAnsi" w:eastAsiaTheme="minorEastAsia" w:hAnsiTheme="minorHAnsi" w:cstheme="minorBidi"/>
              <w:bCs w:val="0"/>
              <w:noProof/>
              <w:sz w:val="22"/>
              <w:szCs w:val="22"/>
              <w:lang w:eastAsia="en-GB"/>
            </w:rPr>
          </w:pPr>
          <w:hyperlink w:anchor="_Toc95743566" w:history="1">
            <w:r w:rsidR="004564CB" w:rsidRPr="000E1403">
              <w:rPr>
                <w:rStyle w:val="Hyperlink"/>
                <w:rFonts w:eastAsia="MS Mincho"/>
                <w:noProof/>
                <w:lang w:eastAsia="en-GB"/>
                <w14:scene3d>
                  <w14:camera w14:prst="orthographicFront"/>
                  <w14:lightRig w14:rig="threePt" w14:dir="t">
                    <w14:rot w14:lat="0" w14:lon="0" w14:rev="0"/>
                  </w14:lightRig>
                </w14:scene3d>
              </w:rPr>
              <w:t>5.4</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MS Mincho"/>
                <w:noProof/>
                <w:lang w:eastAsia="en-GB"/>
              </w:rPr>
              <w:t>Clinical Governance &amp; Risk Management/Termination</w:t>
            </w:r>
            <w:r w:rsidR="004564CB">
              <w:rPr>
                <w:noProof/>
                <w:webHidden/>
              </w:rPr>
              <w:tab/>
            </w:r>
            <w:r w:rsidR="004564CB">
              <w:rPr>
                <w:noProof/>
                <w:webHidden/>
              </w:rPr>
              <w:fldChar w:fldCharType="begin"/>
            </w:r>
            <w:r w:rsidR="004564CB">
              <w:rPr>
                <w:noProof/>
                <w:webHidden/>
              </w:rPr>
              <w:instrText xml:space="preserve"> PAGEREF _Toc95743566 \h </w:instrText>
            </w:r>
            <w:r w:rsidR="004564CB">
              <w:rPr>
                <w:noProof/>
                <w:webHidden/>
              </w:rPr>
            </w:r>
            <w:r w:rsidR="004564CB">
              <w:rPr>
                <w:noProof/>
                <w:webHidden/>
              </w:rPr>
              <w:fldChar w:fldCharType="separate"/>
            </w:r>
            <w:r w:rsidR="00A176C0">
              <w:rPr>
                <w:noProof/>
                <w:webHidden/>
              </w:rPr>
              <w:t>398</w:t>
            </w:r>
            <w:r w:rsidR="004564CB">
              <w:rPr>
                <w:noProof/>
                <w:webHidden/>
              </w:rPr>
              <w:fldChar w:fldCharType="end"/>
            </w:r>
          </w:hyperlink>
        </w:p>
        <w:p w14:paraId="1C164791" w14:textId="2541E944" w:rsidR="004564CB" w:rsidRDefault="000B57EE">
          <w:pPr>
            <w:pStyle w:val="TOC2"/>
            <w:rPr>
              <w:rFonts w:asciiTheme="minorHAnsi" w:eastAsiaTheme="minorEastAsia" w:hAnsiTheme="minorHAnsi" w:cstheme="minorBidi"/>
              <w:bCs w:val="0"/>
              <w:noProof/>
              <w:sz w:val="22"/>
              <w:szCs w:val="22"/>
              <w:lang w:eastAsia="en-GB"/>
            </w:rPr>
          </w:pPr>
          <w:hyperlink w:anchor="_Toc95743567" w:history="1">
            <w:r w:rsidR="004564CB" w:rsidRPr="000E1403">
              <w:rPr>
                <w:rStyle w:val="Hyperlink"/>
                <w:noProof/>
                <w:lang w:eastAsia="en-GB"/>
                <w14:scene3d>
                  <w14:camera w14:prst="orthographicFront"/>
                  <w14:lightRig w14:rig="threePt" w14:dir="t">
                    <w14:rot w14:lat="0" w14:lon="0" w14:rev="0"/>
                  </w14:lightRig>
                </w14:scene3d>
              </w:rPr>
              <w:t>5.5</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Appeals</w:t>
            </w:r>
            <w:r w:rsidR="004564CB">
              <w:rPr>
                <w:noProof/>
                <w:webHidden/>
              </w:rPr>
              <w:tab/>
            </w:r>
            <w:r w:rsidR="004564CB">
              <w:rPr>
                <w:noProof/>
                <w:webHidden/>
              </w:rPr>
              <w:fldChar w:fldCharType="begin"/>
            </w:r>
            <w:r w:rsidR="004564CB">
              <w:rPr>
                <w:noProof/>
                <w:webHidden/>
              </w:rPr>
              <w:instrText xml:space="preserve"> PAGEREF _Toc95743567 \h </w:instrText>
            </w:r>
            <w:r w:rsidR="004564CB">
              <w:rPr>
                <w:noProof/>
                <w:webHidden/>
              </w:rPr>
            </w:r>
            <w:r w:rsidR="004564CB">
              <w:rPr>
                <w:noProof/>
                <w:webHidden/>
              </w:rPr>
              <w:fldChar w:fldCharType="separate"/>
            </w:r>
            <w:r w:rsidR="00A176C0">
              <w:rPr>
                <w:noProof/>
                <w:webHidden/>
              </w:rPr>
              <w:t>399</w:t>
            </w:r>
            <w:r w:rsidR="004564CB">
              <w:rPr>
                <w:noProof/>
                <w:webHidden/>
              </w:rPr>
              <w:fldChar w:fldCharType="end"/>
            </w:r>
          </w:hyperlink>
        </w:p>
        <w:p w14:paraId="1DC44092" w14:textId="2BC18E17" w:rsidR="004564CB" w:rsidRDefault="000B57EE">
          <w:pPr>
            <w:pStyle w:val="TOC2"/>
            <w:rPr>
              <w:rFonts w:asciiTheme="minorHAnsi" w:eastAsiaTheme="minorEastAsia" w:hAnsiTheme="minorHAnsi" w:cstheme="minorBidi"/>
              <w:bCs w:val="0"/>
              <w:noProof/>
              <w:sz w:val="22"/>
              <w:szCs w:val="22"/>
              <w:lang w:eastAsia="en-GB"/>
            </w:rPr>
          </w:pPr>
          <w:hyperlink w:anchor="_Toc95743568" w:history="1">
            <w:r w:rsidR="004564CB" w:rsidRPr="000E1403">
              <w:rPr>
                <w:rStyle w:val="Hyperlink"/>
                <w:noProof/>
                <w:lang w:eastAsia="en-GB"/>
                <w14:scene3d>
                  <w14:camera w14:prst="orthographicFront"/>
                  <w14:lightRig w14:rig="threePt" w14:dir="t">
                    <w14:rot w14:lat="0" w14:lon="0" w14:rev="0"/>
                  </w14:lightRig>
                </w14:scene3d>
              </w:rPr>
              <w:t>5.6</w:t>
            </w:r>
            <w:r w:rsidR="004564CB">
              <w:rPr>
                <w:rFonts w:asciiTheme="minorHAnsi" w:eastAsiaTheme="minorEastAsia" w:hAnsiTheme="minorHAnsi" w:cstheme="minorBidi"/>
                <w:bCs w:val="0"/>
                <w:noProof/>
                <w:sz w:val="22"/>
                <w:szCs w:val="22"/>
                <w:lang w:eastAsia="en-GB"/>
              </w:rPr>
              <w:tab/>
            </w:r>
            <w:r w:rsidR="004564CB" w:rsidRPr="000E1403">
              <w:rPr>
                <w:rStyle w:val="Hyperlink"/>
                <w:noProof/>
                <w:lang w:eastAsia="en-GB"/>
              </w:rPr>
              <w:t>Payment and Contract System</w:t>
            </w:r>
            <w:r w:rsidR="004564CB">
              <w:rPr>
                <w:noProof/>
                <w:webHidden/>
              </w:rPr>
              <w:tab/>
            </w:r>
            <w:r w:rsidR="004564CB">
              <w:rPr>
                <w:noProof/>
                <w:webHidden/>
              </w:rPr>
              <w:fldChar w:fldCharType="begin"/>
            </w:r>
            <w:r w:rsidR="004564CB">
              <w:rPr>
                <w:noProof/>
                <w:webHidden/>
              </w:rPr>
              <w:instrText xml:space="preserve"> PAGEREF _Toc95743568 \h </w:instrText>
            </w:r>
            <w:r w:rsidR="004564CB">
              <w:rPr>
                <w:noProof/>
                <w:webHidden/>
              </w:rPr>
            </w:r>
            <w:r w:rsidR="004564CB">
              <w:rPr>
                <w:noProof/>
                <w:webHidden/>
              </w:rPr>
              <w:fldChar w:fldCharType="separate"/>
            </w:r>
            <w:r w:rsidR="00A176C0">
              <w:rPr>
                <w:noProof/>
                <w:webHidden/>
              </w:rPr>
              <w:t>399</w:t>
            </w:r>
            <w:r w:rsidR="004564CB">
              <w:rPr>
                <w:noProof/>
                <w:webHidden/>
              </w:rPr>
              <w:fldChar w:fldCharType="end"/>
            </w:r>
          </w:hyperlink>
        </w:p>
        <w:p w14:paraId="0CEDF20A" w14:textId="09B4D98B" w:rsidR="004564CB" w:rsidRDefault="000B57EE">
          <w:pPr>
            <w:pStyle w:val="TOC1"/>
            <w:rPr>
              <w:rFonts w:asciiTheme="minorHAnsi" w:eastAsiaTheme="minorEastAsia" w:hAnsiTheme="minorHAnsi" w:cstheme="minorBidi"/>
              <w:bCs w:val="0"/>
              <w:color w:val="auto"/>
              <w:sz w:val="22"/>
              <w:szCs w:val="22"/>
              <w:lang w:eastAsia="en-GB"/>
            </w:rPr>
          </w:pPr>
          <w:hyperlink w:anchor="_Toc95743569" w:history="1">
            <w:r w:rsidR="004564CB" w:rsidRPr="000E1403">
              <w:rPr>
                <w:rStyle w:val="Hyperlink"/>
                <w:lang w:eastAsia="en-GB"/>
              </w:rPr>
              <w:t>Part D – General</w:t>
            </w:r>
            <w:r w:rsidR="004564CB">
              <w:rPr>
                <w:webHidden/>
              </w:rPr>
              <w:tab/>
            </w:r>
            <w:r w:rsidR="004564CB">
              <w:rPr>
                <w:webHidden/>
              </w:rPr>
              <w:fldChar w:fldCharType="begin"/>
            </w:r>
            <w:r w:rsidR="004564CB">
              <w:rPr>
                <w:webHidden/>
              </w:rPr>
              <w:instrText xml:space="preserve"> PAGEREF _Toc95743569 \h </w:instrText>
            </w:r>
            <w:r w:rsidR="004564CB">
              <w:rPr>
                <w:webHidden/>
              </w:rPr>
            </w:r>
            <w:r w:rsidR="004564CB">
              <w:rPr>
                <w:webHidden/>
              </w:rPr>
              <w:fldChar w:fldCharType="separate"/>
            </w:r>
            <w:r w:rsidR="00A176C0">
              <w:rPr>
                <w:webHidden/>
              </w:rPr>
              <w:t>400</w:t>
            </w:r>
            <w:r w:rsidR="004564CB">
              <w:rPr>
                <w:webHidden/>
              </w:rPr>
              <w:fldChar w:fldCharType="end"/>
            </w:r>
          </w:hyperlink>
        </w:p>
        <w:p w14:paraId="1F6B2AAC" w14:textId="68145396" w:rsidR="004564CB" w:rsidRDefault="000B57EE">
          <w:pPr>
            <w:pStyle w:val="TOC1"/>
            <w:rPr>
              <w:rFonts w:asciiTheme="minorHAnsi" w:eastAsiaTheme="minorEastAsia" w:hAnsiTheme="minorHAnsi" w:cstheme="minorBidi"/>
              <w:bCs w:val="0"/>
              <w:color w:val="auto"/>
              <w:sz w:val="22"/>
              <w:szCs w:val="22"/>
              <w:lang w:eastAsia="en-GB"/>
            </w:rPr>
          </w:pPr>
          <w:hyperlink w:anchor="_Toc95743570" w:history="1">
            <w:r w:rsidR="004564CB" w:rsidRPr="000E1403">
              <w:rPr>
                <w:rStyle w:val="Hyperlink"/>
              </w:rPr>
              <w:t>1</w:t>
            </w:r>
            <w:r w:rsidR="004564CB">
              <w:rPr>
                <w:rFonts w:asciiTheme="minorHAnsi" w:eastAsiaTheme="minorEastAsia" w:hAnsiTheme="minorHAnsi" w:cstheme="minorBidi"/>
                <w:bCs w:val="0"/>
                <w:color w:val="auto"/>
                <w:sz w:val="22"/>
                <w:szCs w:val="22"/>
                <w:lang w:eastAsia="en-GB"/>
              </w:rPr>
              <w:tab/>
            </w:r>
            <w:r w:rsidR="004564CB" w:rsidRPr="000E1403">
              <w:rPr>
                <w:rStyle w:val="Hyperlink"/>
              </w:rPr>
              <w:t>GP IT Operating Model:  Data and Cyber Security Arrangements</w:t>
            </w:r>
            <w:r w:rsidR="004564CB">
              <w:rPr>
                <w:webHidden/>
              </w:rPr>
              <w:tab/>
            </w:r>
            <w:r w:rsidR="004564CB">
              <w:rPr>
                <w:webHidden/>
              </w:rPr>
              <w:fldChar w:fldCharType="begin"/>
            </w:r>
            <w:r w:rsidR="004564CB">
              <w:rPr>
                <w:webHidden/>
              </w:rPr>
              <w:instrText xml:space="preserve"> PAGEREF _Toc95743570 \h </w:instrText>
            </w:r>
            <w:r w:rsidR="004564CB">
              <w:rPr>
                <w:webHidden/>
              </w:rPr>
            </w:r>
            <w:r w:rsidR="004564CB">
              <w:rPr>
                <w:webHidden/>
              </w:rPr>
              <w:fldChar w:fldCharType="separate"/>
            </w:r>
            <w:r w:rsidR="00A176C0">
              <w:rPr>
                <w:webHidden/>
              </w:rPr>
              <w:t>401</w:t>
            </w:r>
            <w:r w:rsidR="004564CB">
              <w:rPr>
                <w:webHidden/>
              </w:rPr>
              <w:fldChar w:fldCharType="end"/>
            </w:r>
          </w:hyperlink>
        </w:p>
        <w:p w14:paraId="6D50D56F" w14:textId="4F97E294" w:rsidR="004564CB" w:rsidRDefault="000B57EE">
          <w:pPr>
            <w:pStyle w:val="TOC2"/>
            <w:rPr>
              <w:rFonts w:asciiTheme="minorHAnsi" w:eastAsiaTheme="minorEastAsia" w:hAnsiTheme="minorHAnsi" w:cstheme="minorBidi"/>
              <w:bCs w:val="0"/>
              <w:noProof/>
              <w:sz w:val="22"/>
              <w:szCs w:val="22"/>
              <w:lang w:eastAsia="en-GB"/>
            </w:rPr>
          </w:pPr>
          <w:hyperlink w:anchor="_Toc95743571" w:history="1">
            <w:r w:rsidR="004564CB" w:rsidRPr="000E1403">
              <w:rPr>
                <w:rStyle w:val="Hyperlink"/>
                <w:noProof/>
                <w14:scene3d>
                  <w14:camera w14:prst="orthographicFront"/>
                  <w14:lightRig w14:rig="threePt" w14:dir="t">
                    <w14:rot w14:lat="0" w14:lon="0" w14:rev="0"/>
                  </w14:lightRig>
                </w14:scene3d>
              </w:rPr>
              <w:t>1.1</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Introduction:</w:t>
            </w:r>
            <w:r w:rsidR="004564CB">
              <w:rPr>
                <w:noProof/>
                <w:webHidden/>
              </w:rPr>
              <w:tab/>
            </w:r>
            <w:r w:rsidR="004564CB">
              <w:rPr>
                <w:noProof/>
                <w:webHidden/>
              </w:rPr>
              <w:fldChar w:fldCharType="begin"/>
            </w:r>
            <w:r w:rsidR="004564CB">
              <w:rPr>
                <w:noProof/>
                <w:webHidden/>
              </w:rPr>
              <w:instrText xml:space="preserve"> PAGEREF _Toc95743571 \h </w:instrText>
            </w:r>
            <w:r w:rsidR="004564CB">
              <w:rPr>
                <w:noProof/>
                <w:webHidden/>
              </w:rPr>
            </w:r>
            <w:r w:rsidR="004564CB">
              <w:rPr>
                <w:noProof/>
                <w:webHidden/>
              </w:rPr>
              <w:fldChar w:fldCharType="separate"/>
            </w:r>
            <w:r w:rsidR="00A176C0">
              <w:rPr>
                <w:noProof/>
                <w:webHidden/>
              </w:rPr>
              <w:t>401</w:t>
            </w:r>
            <w:r w:rsidR="004564CB">
              <w:rPr>
                <w:noProof/>
                <w:webHidden/>
              </w:rPr>
              <w:fldChar w:fldCharType="end"/>
            </w:r>
          </w:hyperlink>
        </w:p>
        <w:p w14:paraId="5118F211" w14:textId="6A58233E" w:rsidR="004564CB" w:rsidRDefault="000B57EE">
          <w:pPr>
            <w:pStyle w:val="TOC2"/>
            <w:rPr>
              <w:rFonts w:asciiTheme="minorHAnsi" w:eastAsiaTheme="minorEastAsia" w:hAnsiTheme="minorHAnsi" w:cstheme="minorBidi"/>
              <w:bCs w:val="0"/>
              <w:noProof/>
              <w:sz w:val="22"/>
              <w:szCs w:val="22"/>
              <w:lang w:eastAsia="en-GB"/>
            </w:rPr>
          </w:pPr>
          <w:hyperlink w:anchor="_Toc95743572" w:history="1">
            <w:r w:rsidR="004564CB" w:rsidRPr="000E1403">
              <w:rPr>
                <w:rStyle w:val="Hyperlink"/>
                <w:noProof/>
                <w14:scene3d>
                  <w14:camera w14:prst="orthographicFront"/>
                  <w14:lightRig w14:rig="threePt" w14:dir="t">
                    <w14:rot w14:lat="0" w14:lon="0" w14:rev="0"/>
                  </w14:lightRig>
                </w14:scene3d>
              </w:rPr>
              <w:t>1.2</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Background:</w:t>
            </w:r>
            <w:r w:rsidR="004564CB">
              <w:rPr>
                <w:noProof/>
                <w:webHidden/>
              </w:rPr>
              <w:tab/>
            </w:r>
            <w:r w:rsidR="004564CB">
              <w:rPr>
                <w:noProof/>
                <w:webHidden/>
              </w:rPr>
              <w:fldChar w:fldCharType="begin"/>
            </w:r>
            <w:r w:rsidR="004564CB">
              <w:rPr>
                <w:noProof/>
                <w:webHidden/>
              </w:rPr>
              <w:instrText xml:space="preserve"> PAGEREF _Toc95743572 \h </w:instrText>
            </w:r>
            <w:r w:rsidR="004564CB">
              <w:rPr>
                <w:noProof/>
                <w:webHidden/>
              </w:rPr>
            </w:r>
            <w:r w:rsidR="004564CB">
              <w:rPr>
                <w:noProof/>
                <w:webHidden/>
              </w:rPr>
              <w:fldChar w:fldCharType="separate"/>
            </w:r>
            <w:r w:rsidR="00A176C0">
              <w:rPr>
                <w:noProof/>
                <w:webHidden/>
              </w:rPr>
              <w:t>401</w:t>
            </w:r>
            <w:r w:rsidR="004564CB">
              <w:rPr>
                <w:noProof/>
                <w:webHidden/>
              </w:rPr>
              <w:fldChar w:fldCharType="end"/>
            </w:r>
          </w:hyperlink>
        </w:p>
        <w:p w14:paraId="450B61FF" w14:textId="13D0F436" w:rsidR="004564CB" w:rsidRDefault="000B57EE">
          <w:pPr>
            <w:pStyle w:val="TOC2"/>
            <w:rPr>
              <w:rFonts w:asciiTheme="minorHAnsi" w:eastAsiaTheme="minorEastAsia" w:hAnsiTheme="minorHAnsi" w:cstheme="minorBidi"/>
              <w:bCs w:val="0"/>
              <w:noProof/>
              <w:sz w:val="22"/>
              <w:szCs w:val="22"/>
              <w:lang w:eastAsia="en-GB"/>
            </w:rPr>
          </w:pPr>
          <w:hyperlink w:anchor="_Toc95743573" w:history="1">
            <w:r w:rsidR="004564CB" w:rsidRPr="000E1403">
              <w:rPr>
                <w:rStyle w:val="Hyperlink"/>
                <w:rFonts w:cs="Arial"/>
                <w:noProof/>
                <w14:scene3d>
                  <w14:camera w14:prst="orthographicFront"/>
                  <w14:lightRig w14:rig="threePt" w14:dir="t">
                    <w14:rot w14:lat="0" w14:lon="0" w14:rev="0"/>
                  </w14:lightRig>
                </w14:scene3d>
              </w:rPr>
              <w:t>1.3</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GP IT Operating Model:  Cyber and Data Security Updates:</w:t>
            </w:r>
            <w:r w:rsidR="004564CB">
              <w:rPr>
                <w:noProof/>
                <w:webHidden/>
              </w:rPr>
              <w:tab/>
            </w:r>
            <w:r w:rsidR="004564CB">
              <w:rPr>
                <w:noProof/>
                <w:webHidden/>
              </w:rPr>
              <w:fldChar w:fldCharType="begin"/>
            </w:r>
            <w:r w:rsidR="004564CB">
              <w:rPr>
                <w:noProof/>
                <w:webHidden/>
              </w:rPr>
              <w:instrText xml:space="preserve"> PAGEREF _Toc95743573 \h </w:instrText>
            </w:r>
            <w:r w:rsidR="004564CB">
              <w:rPr>
                <w:noProof/>
                <w:webHidden/>
              </w:rPr>
            </w:r>
            <w:r w:rsidR="004564CB">
              <w:rPr>
                <w:noProof/>
                <w:webHidden/>
              </w:rPr>
              <w:fldChar w:fldCharType="separate"/>
            </w:r>
            <w:r w:rsidR="00A176C0">
              <w:rPr>
                <w:noProof/>
                <w:webHidden/>
              </w:rPr>
              <w:t>402</w:t>
            </w:r>
            <w:r w:rsidR="004564CB">
              <w:rPr>
                <w:noProof/>
                <w:webHidden/>
              </w:rPr>
              <w:fldChar w:fldCharType="end"/>
            </w:r>
          </w:hyperlink>
        </w:p>
        <w:p w14:paraId="60BB5C16" w14:textId="6A96ED3C" w:rsidR="004564CB" w:rsidRDefault="000B57EE">
          <w:pPr>
            <w:pStyle w:val="TOC2"/>
            <w:rPr>
              <w:rFonts w:asciiTheme="minorHAnsi" w:eastAsiaTheme="minorEastAsia" w:hAnsiTheme="minorHAnsi" w:cstheme="minorBidi"/>
              <w:bCs w:val="0"/>
              <w:noProof/>
              <w:sz w:val="22"/>
              <w:szCs w:val="22"/>
              <w:lang w:eastAsia="en-GB"/>
            </w:rPr>
          </w:pPr>
          <w:hyperlink w:anchor="_Toc95743574" w:history="1">
            <w:r w:rsidR="004564CB" w:rsidRPr="000E1403">
              <w:rPr>
                <w:rStyle w:val="Hyperlink"/>
                <w:noProof/>
                <w14:scene3d>
                  <w14:camera w14:prst="orthographicFront"/>
                  <w14:lightRig w14:rig="threePt" w14:dir="t">
                    <w14:rot w14:lat="0" w14:lon="0" w14:rev="0"/>
                  </w14:lightRig>
                </w14:scene3d>
              </w:rPr>
              <w:t>1.4</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Review of Data Security, Consent and Opt-Outs (National Data Guardian, July 2016):</w:t>
            </w:r>
            <w:r w:rsidR="004564CB">
              <w:rPr>
                <w:noProof/>
                <w:webHidden/>
              </w:rPr>
              <w:tab/>
            </w:r>
            <w:r w:rsidR="004564CB">
              <w:rPr>
                <w:noProof/>
                <w:webHidden/>
              </w:rPr>
              <w:fldChar w:fldCharType="begin"/>
            </w:r>
            <w:r w:rsidR="004564CB">
              <w:rPr>
                <w:noProof/>
                <w:webHidden/>
              </w:rPr>
              <w:instrText xml:space="preserve"> PAGEREF _Toc95743574 \h </w:instrText>
            </w:r>
            <w:r w:rsidR="004564CB">
              <w:rPr>
                <w:noProof/>
                <w:webHidden/>
              </w:rPr>
            </w:r>
            <w:r w:rsidR="004564CB">
              <w:rPr>
                <w:noProof/>
                <w:webHidden/>
              </w:rPr>
              <w:fldChar w:fldCharType="separate"/>
            </w:r>
            <w:r w:rsidR="00A176C0">
              <w:rPr>
                <w:noProof/>
                <w:webHidden/>
              </w:rPr>
              <w:t>403</w:t>
            </w:r>
            <w:r w:rsidR="004564CB">
              <w:rPr>
                <w:noProof/>
                <w:webHidden/>
              </w:rPr>
              <w:fldChar w:fldCharType="end"/>
            </w:r>
          </w:hyperlink>
        </w:p>
        <w:p w14:paraId="0EC899C7" w14:textId="02AADF67" w:rsidR="004564CB" w:rsidRDefault="000B57EE">
          <w:pPr>
            <w:pStyle w:val="TOC2"/>
            <w:rPr>
              <w:rFonts w:asciiTheme="minorHAnsi" w:eastAsiaTheme="minorEastAsia" w:hAnsiTheme="minorHAnsi" w:cstheme="minorBidi"/>
              <w:bCs w:val="0"/>
              <w:noProof/>
              <w:sz w:val="22"/>
              <w:szCs w:val="22"/>
              <w:lang w:eastAsia="en-GB"/>
            </w:rPr>
          </w:pPr>
          <w:hyperlink w:anchor="_Toc95743575" w:history="1">
            <w:r w:rsidR="004564CB" w:rsidRPr="000E1403">
              <w:rPr>
                <w:rStyle w:val="Hyperlink"/>
                <w:noProof/>
                <w14:scene3d>
                  <w14:camera w14:prst="orthographicFront"/>
                  <w14:lightRig w14:rig="threePt" w14:dir="t">
                    <w14:rot w14:lat="0" w14:lon="0" w14:rev="0"/>
                  </w14:lightRig>
                </w14:scene3d>
              </w:rPr>
              <w:t>1.5</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Ten Data Security Standards:</w:t>
            </w:r>
            <w:r w:rsidR="004564CB">
              <w:rPr>
                <w:noProof/>
                <w:webHidden/>
              </w:rPr>
              <w:tab/>
            </w:r>
            <w:r w:rsidR="004564CB">
              <w:rPr>
                <w:noProof/>
                <w:webHidden/>
              </w:rPr>
              <w:fldChar w:fldCharType="begin"/>
            </w:r>
            <w:r w:rsidR="004564CB">
              <w:rPr>
                <w:noProof/>
                <w:webHidden/>
              </w:rPr>
              <w:instrText xml:space="preserve"> PAGEREF _Toc95743575 \h </w:instrText>
            </w:r>
            <w:r w:rsidR="004564CB">
              <w:rPr>
                <w:noProof/>
                <w:webHidden/>
              </w:rPr>
            </w:r>
            <w:r w:rsidR="004564CB">
              <w:rPr>
                <w:noProof/>
                <w:webHidden/>
              </w:rPr>
              <w:fldChar w:fldCharType="separate"/>
            </w:r>
            <w:r w:rsidR="00A176C0">
              <w:rPr>
                <w:noProof/>
                <w:webHidden/>
              </w:rPr>
              <w:t>404</w:t>
            </w:r>
            <w:r w:rsidR="004564CB">
              <w:rPr>
                <w:noProof/>
                <w:webHidden/>
              </w:rPr>
              <w:fldChar w:fldCharType="end"/>
            </w:r>
          </w:hyperlink>
        </w:p>
        <w:p w14:paraId="40C01C58" w14:textId="3CD43A4B" w:rsidR="004564CB" w:rsidRDefault="000B57EE">
          <w:pPr>
            <w:pStyle w:val="TOC2"/>
            <w:rPr>
              <w:rFonts w:asciiTheme="minorHAnsi" w:eastAsiaTheme="minorEastAsia" w:hAnsiTheme="minorHAnsi" w:cstheme="minorBidi"/>
              <w:bCs w:val="0"/>
              <w:noProof/>
              <w:sz w:val="22"/>
              <w:szCs w:val="22"/>
              <w:lang w:eastAsia="en-GB"/>
            </w:rPr>
          </w:pPr>
          <w:hyperlink w:anchor="_Toc95743576" w:history="1">
            <w:r w:rsidR="004564CB" w:rsidRPr="000E1403">
              <w:rPr>
                <w:rStyle w:val="Hyperlink"/>
                <w:noProof/>
                <w14:scene3d>
                  <w14:camera w14:prst="orthographicFront"/>
                  <w14:lightRig w14:rig="threePt" w14:dir="t">
                    <w14:rot w14:lat="0" w14:lon="0" w14:rev="0"/>
                  </w14:lightRig>
                </w14:scene3d>
              </w:rPr>
              <w:t>1.6</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Locally Procured 3</w:t>
            </w:r>
            <w:r w:rsidR="004564CB" w:rsidRPr="000E1403">
              <w:rPr>
                <w:rStyle w:val="Hyperlink"/>
                <w:noProof/>
                <w:vertAlign w:val="superscript"/>
              </w:rPr>
              <w:t>rd</w:t>
            </w:r>
            <w:r w:rsidR="004564CB" w:rsidRPr="000E1403">
              <w:rPr>
                <w:rStyle w:val="Hyperlink"/>
                <w:noProof/>
              </w:rPr>
              <w:t xml:space="preserve"> Party Digital Systems, Services and Architecture:</w:t>
            </w:r>
            <w:r w:rsidR="004564CB">
              <w:rPr>
                <w:noProof/>
                <w:webHidden/>
              </w:rPr>
              <w:tab/>
            </w:r>
            <w:r w:rsidR="004564CB">
              <w:rPr>
                <w:noProof/>
                <w:webHidden/>
              </w:rPr>
              <w:fldChar w:fldCharType="begin"/>
            </w:r>
            <w:r w:rsidR="004564CB">
              <w:rPr>
                <w:noProof/>
                <w:webHidden/>
              </w:rPr>
              <w:instrText xml:space="preserve"> PAGEREF _Toc95743576 \h </w:instrText>
            </w:r>
            <w:r w:rsidR="004564CB">
              <w:rPr>
                <w:noProof/>
                <w:webHidden/>
              </w:rPr>
            </w:r>
            <w:r w:rsidR="004564CB">
              <w:rPr>
                <w:noProof/>
                <w:webHidden/>
              </w:rPr>
              <w:fldChar w:fldCharType="separate"/>
            </w:r>
            <w:r w:rsidR="00A176C0">
              <w:rPr>
                <w:noProof/>
                <w:webHidden/>
              </w:rPr>
              <w:t>406</w:t>
            </w:r>
            <w:r w:rsidR="004564CB">
              <w:rPr>
                <w:noProof/>
                <w:webHidden/>
              </w:rPr>
              <w:fldChar w:fldCharType="end"/>
            </w:r>
          </w:hyperlink>
        </w:p>
        <w:p w14:paraId="250C2686" w14:textId="5B95F261" w:rsidR="004564CB" w:rsidRDefault="000B57EE">
          <w:pPr>
            <w:pStyle w:val="TOC2"/>
            <w:rPr>
              <w:rFonts w:asciiTheme="minorHAnsi" w:eastAsiaTheme="minorEastAsia" w:hAnsiTheme="minorHAnsi" w:cstheme="minorBidi"/>
              <w:bCs w:val="0"/>
              <w:noProof/>
              <w:sz w:val="22"/>
              <w:szCs w:val="22"/>
              <w:lang w:eastAsia="en-GB"/>
            </w:rPr>
          </w:pPr>
          <w:hyperlink w:anchor="_Toc95743577" w:history="1">
            <w:r w:rsidR="004564CB" w:rsidRPr="000E1403">
              <w:rPr>
                <w:rStyle w:val="Hyperlink"/>
                <w:noProof/>
                <w14:scene3d>
                  <w14:camera w14:prst="orthographicFront"/>
                  <w14:lightRig w14:rig="threePt" w14:dir="t">
                    <w14:rot w14:lat="0" w14:lon="0" w14:rev="0"/>
                  </w14:lightRig>
                </w14:scene3d>
              </w:rPr>
              <w:t>1.7</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Disaster Recovery and Business Continuity (DR/BC)</w:t>
            </w:r>
            <w:r w:rsidR="004564CB">
              <w:rPr>
                <w:noProof/>
                <w:webHidden/>
              </w:rPr>
              <w:tab/>
            </w:r>
            <w:r w:rsidR="004564CB">
              <w:rPr>
                <w:noProof/>
                <w:webHidden/>
              </w:rPr>
              <w:fldChar w:fldCharType="begin"/>
            </w:r>
            <w:r w:rsidR="004564CB">
              <w:rPr>
                <w:noProof/>
                <w:webHidden/>
              </w:rPr>
              <w:instrText xml:space="preserve"> PAGEREF _Toc95743577 \h </w:instrText>
            </w:r>
            <w:r w:rsidR="004564CB">
              <w:rPr>
                <w:noProof/>
                <w:webHidden/>
              </w:rPr>
            </w:r>
            <w:r w:rsidR="004564CB">
              <w:rPr>
                <w:noProof/>
                <w:webHidden/>
              </w:rPr>
              <w:fldChar w:fldCharType="separate"/>
            </w:r>
            <w:r w:rsidR="00A176C0">
              <w:rPr>
                <w:noProof/>
                <w:webHidden/>
              </w:rPr>
              <w:t>407</w:t>
            </w:r>
            <w:r w:rsidR="004564CB">
              <w:rPr>
                <w:noProof/>
                <w:webHidden/>
              </w:rPr>
              <w:fldChar w:fldCharType="end"/>
            </w:r>
          </w:hyperlink>
        </w:p>
        <w:p w14:paraId="5E2EB241" w14:textId="6736FAB7" w:rsidR="004564CB" w:rsidRDefault="000B57EE">
          <w:pPr>
            <w:pStyle w:val="TOC2"/>
            <w:rPr>
              <w:rFonts w:asciiTheme="minorHAnsi" w:eastAsiaTheme="minorEastAsia" w:hAnsiTheme="minorHAnsi" w:cstheme="minorBidi"/>
              <w:bCs w:val="0"/>
              <w:noProof/>
              <w:sz w:val="22"/>
              <w:szCs w:val="22"/>
              <w:lang w:eastAsia="en-GB"/>
            </w:rPr>
          </w:pPr>
          <w:hyperlink w:anchor="_Toc95743578" w:history="1">
            <w:r w:rsidR="004564CB" w:rsidRPr="000E1403">
              <w:rPr>
                <w:rStyle w:val="Hyperlink"/>
                <w:noProof/>
                <w14:scene3d>
                  <w14:camera w14:prst="orthographicFront"/>
                  <w14:lightRig w14:rig="threePt" w14:dir="t">
                    <w14:rot w14:lat="0" w14:lon="0" w14:rev="0"/>
                  </w14:lightRig>
                </w14:scene3d>
              </w:rPr>
              <w:t>1.8</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Further Information:</w:t>
            </w:r>
            <w:r w:rsidR="004564CB">
              <w:rPr>
                <w:noProof/>
                <w:webHidden/>
              </w:rPr>
              <w:tab/>
            </w:r>
            <w:r w:rsidR="004564CB">
              <w:rPr>
                <w:noProof/>
                <w:webHidden/>
              </w:rPr>
              <w:fldChar w:fldCharType="begin"/>
            </w:r>
            <w:r w:rsidR="004564CB">
              <w:rPr>
                <w:noProof/>
                <w:webHidden/>
              </w:rPr>
              <w:instrText xml:space="preserve"> PAGEREF _Toc95743578 \h </w:instrText>
            </w:r>
            <w:r w:rsidR="004564CB">
              <w:rPr>
                <w:noProof/>
                <w:webHidden/>
              </w:rPr>
            </w:r>
            <w:r w:rsidR="004564CB">
              <w:rPr>
                <w:noProof/>
                <w:webHidden/>
              </w:rPr>
              <w:fldChar w:fldCharType="separate"/>
            </w:r>
            <w:r w:rsidR="00A176C0">
              <w:rPr>
                <w:noProof/>
                <w:webHidden/>
              </w:rPr>
              <w:t>408</w:t>
            </w:r>
            <w:r w:rsidR="004564CB">
              <w:rPr>
                <w:noProof/>
                <w:webHidden/>
              </w:rPr>
              <w:fldChar w:fldCharType="end"/>
            </w:r>
          </w:hyperlink>
        </w:p>
        <w:p w14:paraId="40793DB5" w14:textId="5AEC73D8" w:rsidR="004564CB" w:rsidRDefault="000B57EE">
          <w:pPr>
            <w:pStyle w:val="TOC1"/>
            <w:rPr>
              <w:rFonts w:asciiTheme="minorHAnsi" w:eastAsiaTheme="minorEastAsia" w:hAnsiTheme="minorHAnsi" w:cstheme="minorBidi"/>
              <w:bCs w:val="0"/>
              <w:color w:val="auto"/>
              <w:sz w:val="22"/>
              <w:szCs w:val="22"/>
              <w:lang w:eastAsia="en-GB"/>
            </w:rPr>
          </w:pPr>
          <w:hyperlink w:anchor="_Toc95743579" w:history="1">
            <w:r w:rsidR="004564CB" w:rsidRPr="000E1403">
              <w:rPr>
                <w:rStyle w:val="Hyperlink"/>
              </w:rPr>
              <w:t>2</w:t>
            </w:r>
            <w:r w:rsidR="004564CB">
              <w:rPr>
                <w:rFonts w:asciiTheme="minorHAnsi" w:eastAsiaTheme="minorEastAsia" w:hAnsiTheme="minorHAnsi" w:cstheme="minorBidi"/>
                <w:bCs w:val="0"/>
                <w:color w:val="auto"/>
                <w:sz w:val="22"/>
                <w:szCs w:val="22"/>
                <w:lang w:eastAsia="en-GB"/>
              </w:rPr>
              <w:tab/>
            </w:r>
            <w:r w:rsidR="004564CB" w:rsidRPr="000E1403">
              <w:rPr>
                <w:rStyle w:val="Hyperlink"/>
              </w:rPr>
              <w:t>Protocol in respect of locum cover or GP performer payments for parental and sickness leave</w:t>
            </w:r>
            <w:r w:rsidR="004564CB">
              <w:rPr>
                <w:webHidden/>
              </w:rPr>
              <w:tab/>
            </w:r>
            <w:r w:rsidR="004564CB">
              <w:rPr>
                <w:webHidden/>
              </w:rPr>
              <w:fldChar w:fldCharType="begin"/>
            </w:r>
            <w:r w:rsidR="004564CB">
              <w:rPr>
                <w:webHidden/>
              </w:rPr>
              <w:instrText xml:space="preserve"> PAGEREF _Toc95743579 \h </w:instrText>
            </w:r>
            <w:r w:rsidR="004564CB">
              <w:rPr>
                <w:webHidden/>
              </w:rPr>
            </w:r>
            <w:r w:rsidR="004564CB">
              <w:rPr>
                <w:webHidden/>
              </w:rPr>
              <w:fldChar w:fldCharType="separate"/>
            </w:r>
            <w:r w:rsidR="00A176C0">
              <w:rPr>
                <w:webHidden/>
              </w:rPr>
              <w:t>409</w:t>
            </w:r>
            <w:r w:rsidR="004564CB">
              <w:rPr>
                <w:webHidden/>
              </w:rPr>
              <w:fldChar w:fldCharType="end"/>
            </w:r>
          </w:hyperlink>
        </w:p>
        <w:p w14:paraId="06411748" w14:textId="67F7FEC0" w:rsidR="004564CB" w:rsidRDefault="000B57EE">
          <w:pPr>
            <w:pStyle w:val="TOC2"/>
            <w:rPr>
              <w:rFonts w:asciiTheme="minorHAnsi" w:eastAsiaTheme="minorEastAsia" w:hAnsiTheme="minorHAnsi" w:cstheme="minorBidi"/>
              <w:bCs w:val="0"/>
              <w:noProof/>
              <w:sz w:val="22"/>
              <w:szCs w:val="22"/>
              <w:lang w:eastAsia="en-GB"/>
            </w:rPr>
          </w:pPr>
          <w:hyperlink w:anchor="_Toc95743580" w:history="1">
            <w:r w:rsidR="004564CB" w:rsidRPr="000E1403">
              <w:rPr>
                <w:rStyle w:val="Hyperlink"/>
                <w:noProof/>
                <w14:scene3d>
                  <w14:camera w14:prst="orthographicFront"/>
                  <w14:lightRig w14:rig="threePt" w14:dir="t">
                    <w14:rot w14:lat="0" w14:lon="0" w14:rev="0"/>
                  </w14:lightRig>
                </w14:scene3d>
              </w:rPr>
              <w:t>2.1</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Background</w:t>
            </w:r>
            <w:r w:rsidR="004564CB">
              <w:rPr>
                <w:noProof/>
                <w:webHidden/>
              </w:rPr>
              <w:tab/>
            </w:r>
            <w:r w:rsidR="004564CB">
              <w:rPr>
                <w:noProof/>
                <w:webHidden/>
              </w:rPr>
              <w:fldChar w:fldCharType="begin"/>
            </w:r>
            <w:r w:rsidR="004564CB">
              <w:rPr>
                <w:noProof/>
                <w:webHidden/>
              </w:rPr>
              <w:instrText xml:space="preserve"> PAGEREF _Toc95743580 \h </w:instrText>
            </w:r>
            <w:r w:rsidR="004564CB">
              <w:rPr>
                <w:noProof/>
                <w:webHidden/>
              </w:rPr>
            </w:r>
            <w:r w:rsidR="004564CB">
              <w:rPr>
                <w:noProof/>
                <w:webHidden/>
              </w:rPr>
              <w:fldChar w:fldCharType="separate"/>
            </w:r>
            <w:r w:rsidR="00A176C0">
              <w:rPr>
                <w:noProof/>
                <w:webHidden/>
              </w:rPr>
              <w:t>409</w:t>
            </w:r>
            <w:r w:rsidR="004564CB">
              <w:rPr>
                <w:noProof/>
                <w:webHidden/>
              </w:rPr>
              <w:fldChar w:fldCharType="end"/>
            </w:r>
          </w:hyperlink>
        </w:p>
        <w:p w14:paraId="0A26E66C" w14:textId="2E622181" w:rsidR="004564CB" w:rsidRDefault="000B57EE">
          <w:pPr>
            <w:pStyle w:val="TOC2"/>
            <w:rPr>
              <w:rFonts w:asciiTheme="minorHAnsi" w:eastAsiaTheme="minorEastAsia" w:hAnsiTheme="minorHAnsi" w:cstheme="minorBidi"/>
              <w:bCs w:val="0"/>
              <w:noProof/>
              <w:sz w:val="22"/>
              <w:szCs w:val="22"/>
              <w:lang w:eastAsia="en-GB"/>
            </w:rPr>
          </w:pPr>
          <w:hyperlink w:anchor="_Toc95743581" w:history="1">
            <w:r w:rsidR="004564CB" w:rsidRPr="000E1403">
              <w:rPr>
                <w:rStyle w:val="Hyperlink"/>
                <w:noProof/>
                <w14:scene3d>
                  <w14:camera w14:prst="orthographicFront"/>
                  <w14:lightRig w14:rig="threePt" w14:dir="t">
                    <w14:rot w14:lat="0" w14:lon="0" w14:rev="0"/>
                  </w14:lightRig>
                </w14:scene3d>
              </w:rPr>
              <w:t>2.2</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Parental and sickness leave payments</w:t>
            </w:r>
            <w:r w:rsidR="004564CB">
              <w:rPr>
                <w:noProof/>
                <w:webHidden/>
              </w:rPr>
              <w:tab/>
            </w:r>
            <w:r w:rsidR="004564CB">
              <w:rPr>
                <w:noProof/>
                <w:webHidden/>
              </w:rPr>
              <w:fldChar w:fldCharType="begin"/>
            </w:r>
            <w:r w:rsidR="004564CB">
              <w:rPr>
                <w:noProof/>
                <w:webHidden/>
              </w:rPr>
              <w:instrText xml:space="preserve"> PAGEREF _Toc95743581 \h </w:instrText>
            </w:r>
            <w:r w:rsidR="004564CB">
              <w:rPr>
                <w:noProof/>
                <w:webHidden/>
              </w:rPr>
            </w:r>
            <w:r w:rsidR="004564CB">
              <w:rPr>
                <w:noProof/>
                <w:webHidden/>
              </w:rPr>
              <w:fldChar w:fldCharType="separate"/>
            </w:r>
            <w:r w:rsidR="00A176C0">
              <w:rPr>
                <w:noProof/>
                <w:webHidden/>
              </w:rPr>
              <w:t>409</w:t>
            </w:r>
            <w:r w:rsidR="004564CB">
              <w:rPr>
                <w:noProof/>
                <w:webHidden/>
              </w:rPr>
              <w:fldChar w:fldCharType="end"/>
            </w:r>
          </w:hyperlink>
        </w:p>
        <w:p w14:paraId="116278BB" w14:textId="60D44274" w:rsidR="004564CB" w:rsidRDefault="000B57EE">
          <w:pPr>
            <w:pStyle w:val="TOC2"/>
            <w:rPr>
              <w:rFonts w:asciiTheme="minorHAnsi" w:eastAsiaTheme="minorEastAsia" w:hAnsiTheme="minorHAnsi" w:cstheme="minorBidi"/>
              <w:bCs w:val="0"/>
              <w:noProof/>
              <w:sz w:val="22"/>
              <w:szCs w:val="22"/>
              <w:lang w:eastAsia="en-GB"/>
            </w:rPr>
          </w:pPr>
          <w:hyperlink w:anchor="_Toc95743582" w:history="1">
            <w:r w:rsidR="004564CB" w:rsidRPr="000E1403">
              <w:rPr>
                <w:rStyle w:val="Hyperlink"/>
                <w:noProof/>
                <w14:scene3d>
                  <w14:camera w14:prst="orthographicFront"/>
                  <w14:lightRig w14:rig="threePt" w14:dir="t">
                    <w14:rot w14:lat="0" w14:lon="0" w14:rev="0"/>
                  </w14:lightRig>
                </w14:scene3d>
              </w:rPr>
              <w:t>2.3</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Parental leave</w:t>
            </w:r>
            <w:r w:rsidR="004564CB">
              <w:rPr>
                <w:noProof/>
                <w:webHidden/>
              </w:rPr>
              <w:tab/>
            </w:r>
            <w:r w:rsidR="004564CB">
              <w:rPr>
                <w:noProof/>
                <w:webHidden/>
              </w:rPr>
              <w:fldChar w:fldCharType="begin"/>
            </w:r>
            <w:r w:rsidR="004564CB">
              <w:rPr>
                <w:noProof/>
                <w:webHidden/>
              </w:rPr>
              <w:instrText xml:space="preserve"> PAGEREF _Toc95743582 \h </w:instrText>
            </w:r>
            <w:r w:rsidR="004564CB">
              <w:rPr>
                <w:noProof/>
                <w:webHidden/>
              </w:rPr>
            </w:r>
            <w:r w:rsidR="004564CB">
              <w:rPr>
                <w:noProof/>
                <w:webHidden/>
              </w:rPr>
              <w:fldChar w:fldCharType="separate"/>
            </w:r>
            <w:r w:rsidR="00A176C0">
              <w:rPr>
                <w:noProof/>
                <w:webHidden/>
              </w:rPr>
              <w:t>410</w:t>
            </w:r>
            <w:r w:rsidR="004564CB">
              <w:rPr>
                <w:noProof/>
                <w:webHidden/>
              </w:rPr>
              <w:fldChar w:fldCharType="end"/>
            </w:r>
          </w:hyperlink>
        </w:p>
        <w:p w14:paraId="09BE59F4" w14:textId="6EC8C73B" w:rsidR="004564CB" w:rsidRDefault="000B57EE">
          <w:pPr>
            <w:pStyle w:val="TOC2"/>
            <w:rPr>
              <w:rFonts w:asciiTheme="minorHAnsi" w:eastAsiaTheme="minorEastAsia" w:hAnsiTheme="minorHAnsi" w:cstheme="minorBidi"/>
              <w:bCs w:val="0"/>
              <w:noProof/>
              <w:sz w:val="22"/>
              <w:szCs w:val="22"/>
              <w:lang w:eastAsia="en-GB"/>
            </w:rPr>
          </w:pPr>
          <w:hyperlink w:anchor="_Toc95743583" w:history="1">
            <w:r w:rsidR="004564CB" w:rsidRPr="000E1403">
              <w:rPr>
                <w:rStyle w:val="Hyperlink"/>
                <w:noProof/>
                <w14:scene3d>
                  <w14:camera w14:prst="orthographicFront"/>
                  <w14:lightRig w14:rig="threePt" w14:dir="t">
                    <w14:rot w14:lat="0" w14:lon="0" w14:rev="0"/>
                  </w14:lightRig>
                </w14:scene3d>
              </w:rPr>
              <w:t>2.4</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Sickness leave</w:t>
            </w:r>
            <w:r w:rsidR="004564CB">
              <w:rPr>
                <w:noProof/>
                <w:webHidden/>
              </w:rPr>
              <w:tab/>
            </w:r>
            <w:r w:rsidR="004564CB">
              <w:rPr>
                <w:noProof/>
                <w:webHidden/>
              </w:rPr>
              <w:fldChar w:fldCharType="begin"/>
            </w:r>
            <w:r w:rsidR="004564CB">
              <w:rPr>
                <w:noProof/>
                <w:webHidden/>
              </w:rPr>
              <w:instrText xml:space="preserve"> PAGEREF _Toc95743583 \h </w:instrText>
            </w:r>
            <w:r w:rsidR="004564CB">
              <w:rPr>
                <w:noProof/>
                <w:webHidden/>
              </w:rPr>
            </w:r>
            <w:r w:rsidR="004564CB">
              <w:rPr>
                <w:noProof/>
                <w:webHidden/>
              </w:rPr>
              <w:fldChar w:fldCharType="separate"/>
            </w:r>
            <w:r w:rsidR="00A176C0">
              <w:rPr>
                <w:noProof/>
                <w:webHidden/>
              </w:rPr>
              <w:t>410</w:t>
            </w:r>
            <w:r w:rsidR="004564CB">
              <w:rPr>
                <w:noProof/>
                <w:webHidden/>
              </w:rPr>
              <w:fldChar w:fldCharType="end"/>
            </w:r>
          </w:hyperlink>
        </w:p>
        <w:p w14:paraId="668DAC12" w14:textId="05C928F9" w:rsidR="004564CB" w:rsidRDefault="000B57EE">
          <w:pPr>
            <w:pStyle w:val="TOC2"/>
            <w:rPr>
              <w:rFonts w:asciiTheme="minorHAnsi" w:eastAsiaTheme="minorEastAsia" w:hAnsiTheme="minorHAnsi" w:cstheme="minorBidi"/>
              <w:bCs w:val="0"/>
              <w:noProof/>
              <w:sz w:val="22"/>
              <w:szCs w:val="22"/>
              <w:lang w:eastAsia="en-GB"/>
            </w:rPr>
          </w:pPr>
          <w:hyperlink w:anchor="_Toc95743584" w:history="1">
            <w:r w:rsidR="004564CB" w:rsidRPr="000E1403">
              <w:rPr>
                <w:rStyle w:val="Hyperlink"/>
                <w:noProof/>
                <w14:scene3d>
                  <w14:camera w14:prst="orthographicFront"/>
                  <w14:lightRig w14:rig="threePt" w14:dir="t">
                    <w14:rot w14:lat="0" w14:lon="0" w14:rev="0"/>
                  </w14:lightRig>
                </w14:scene3d>
              </w:rPr>
              <w:t>2.5</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Sickness leave and phased return to work</w:t>
            </w:r>
            <w:r w:rsidR="004564CB">
              <w:rPr>
                <w:noProof/>
                <w:webHidden/>
              </w:rPr>
              <w:tab/>
            </w:r>
            <w:r w:rsidR="004564CB">
              <w:rPr>
                <w:noProof/>
                <w:webHidden/>
              </w:rPr>
              <w:fldChar w:fldCharType="begin"/>
            </w:r>
            <w:r w:rsidR="004564CB">
              <w:rPr>
                <w:noProof/>
                <w:webHidden/>
              </w:rPr>
              <w:instrText xml:space="preserve"> PAGEREF _Toc95743584 \h </w:instrText>
            </w:r>
            <w:r w:rsidR="004564CB">
              <w:rPr>
                <w:noProof/>
                <w:webHidden/>
              </w:rPr>
            </w:r>
            <w:r w:rsidR="004564CB">
              <w:rPr>
                <w:noProof/>
                <w:webHidden/>
              </w:rPr>
              <w:fldChar w:fldCharType="separate"/>
            </w:r>
            <w:r w:rsidR="00A176C0">
              <w:rPr>
                <w:noProof/>
                <w:webHidden/>
              </w:rPr>
              <w:t>411</w:t>
            </w:r>
            <w:r w:rsidR="004564CB">
              <w:rPr>
                <w:noProof/>
                <w:webHidden/>
              </w:rPr>
              <w:fldChar w:fldCharType="end"/>
            </w:r>
          </w:hyperlink>
        </w:p>
        <w:p w14:paraId="640F24D9" w14:textId="055891BF" w:rsidR="004564CB" w:rsidRDefault="000B57EE">
          <w:pPr>
            <w:pStyle w:val="TOC2"/>
            <w:rPr>
              <w:rFonts w:asciiTheme="minorHAnsi" w:eastAsiaTheme="minorEastAsia" w:hAnsiTheme="minorHAnsi" w:cstheme="minorBidi"/>
              <w:bCs w:val="0"/>
              <w:noProof/>
              <w:sz w:val="22"/>
              <w:szCs w:val="22"/>
              <w:lang w:eastAsia="en-GB"/>
            </w:rPr>
          </w:pPr>
          <w:hyperlink w:anchor="_Toc95743585" w:history="1">
            <w:r w:rsidR="004564CB" w:rsidRPr="000E1403">
              <w:rPr>
                <w:rStyle w:val="Hyperlink"/>
                <w:noProof/>
                <w14:scene3d>
                  <w14:camera w14:prst="orthographicFront"/>
                  <w14:lightRig w14:rig="threePt" w14:dir="t">
                    <w14:rot w14:lat="0" w14:lon="0" w14:rev="0"/>
                  </w14:lightRig>
                </w14:scene3d>
              </w:rPr>
              <w:t>2.6</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Further discretionary payments</w:t>
            </w:r>
            <w:r w:rsidR="004564CB">
              <w:rPr>
                <w:noProof/>
                <w:webHidden/>
              </w:rPr>
              <w:tab/>
            </w:r>
            <w:r w:rsidR="004564CB">
              <w:rPr>
                <w:noProof/>
                <w:webHidden/>
              </w:rPr>
              <w:fldChar w:fldCharType="begin"/>
            </w:r>
            <w:r w:rsidR="004564CB">
              <w:rPr>
                <w:noProof/>
                <w:webHidden/>
              </w:rPr>
              <w:instrText xml:space="preserve"> PAGEREF _Toc95743585 \h </w:instrText>
            </w:r>
            <w:r w:rsidR="004564CB">
              <w:rPr>
                <w:noProof/>
                <w:webHidden/>
              </w:rPr>
            </w:r>
            <w:r w:rsidR="004564CB">
              <w:rPr>
                <w:noProof/>
                <w:webHidden/>
              </w:rPr>
              <w:fldChar w:fldCharType="separate"/>
            </w:r>
            <w:r w:rsidR="00A176C0">
              <w:rPr>
                <w:noProof/>
                <w:webHidden/>
              </w:rPr>
              <w:t>412</w:t>
            </w:r>
            <w:r w:rsidR="004564CB">
              <w:rPr>
                <w:noProof/>
                <w:webHidden/>
              </w:rPr>
              <w:fldChar w:fldCharType="end"/>
            </w:r>
          </w:hyperlink>
        </w:p>
        <w:p w14:paraId="340591C4" w14:textId="3FC6C571" w:rsidR="004564CB" w:rsidRDefault="000B57EE">
          <w:pPr>
            <w:pStyle w:val="TOC2"/>
            <w:rPr>
              <w:rFonts w:asciiTheme="minorHAnsi" w:eastAsiaTheme="minorEastAsia" w:hAnsiTheme="minorHAnsi" w:cstheme="minorBidi"/>
              <w:bCs w:val="0"/>
              <w:noProof/>
              <w:sz w:val="22"/>
              <w:szCs w:val="22"/>
              <w:lang w:eastAsia="en-GB"/>
            </w:rPr>
          </w:pPr>
          <w:hyperlink w:anchor="_Toc95743586" w:history="1">
            <w:r w:rsidR="004564CB" w:rsidRPr="000E1403">
              <w:rPr>
                <w:rStyle w:val="Hyperlink"/>
                <w:noProof/>
                <w14:scene3d>
                  <w14:camera w14:prst="orthographicFront"/>
                  <w14:lightRig w14:rig="threePt" w14:dir="t">
                    <w14:rot w14:lat="0" w14:lon="0" w14:rev="0"/>
                  </w14:lightRig>
                </w14:scene3d>
              </w:rPr>
              <w:t>2.7</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Discretionary powers in respect of cover for parental and sickness leave</w:t>
            </w:r>
            <w:r w:rsidR="004564CB">
              <w:rPr>
                <w:noProof/>
                <w:webHidden/>
              </w:rPr>
              <w:tab/>
            </w:r>
            <w:r w:rsidR="004564CB">
              <w:rPr>
                <w:noProof/>
                <w:webHidden/>
              </w:rPr>
              <w:fldChar w:fldCharType="begin"/>
            </w:r>
            <w:r w:rsidR="004564CB">
              <w:rPr>
                <w:noProof/>
                <w:webHidden/>
              </w:rPr>
              <w:instrText xml:space="preserve"> PAGEREF _Toc95743586 \h </w:instrText>
            </w:r>
            <w:r w:rsidR="004564CB">
              <w:rPr>
                <w:noProof/>
                <w:webHidden/>
              </w:rPr>
            </w:r>
            <w:r w:rsidR="004564CB">
              <w:rPr>
                <w:noProof/>
                <w:webHidden/>
              </w:rPr>
              <w:fldChar w:fldCharType="separate"/>
            </w:r>
            <w:r w:rsidR="00A176C0">
              <w:rPr>
                <w:noProof/>
                <w:webHidden/>
              </w:rPr>
              <w:t>413</w:t>
            </w:r>
            <w:r w:rsidR="004564CB">
              <w:rPr>
                <w:noProof/>
                <w:webHidden/>
              </w:rPr>
              <w:fldChar w:fldCharType="end"/>
            </w:r>
          </w:hyperlink>
        </w:p>
        <w:p w14:paraId="54B5EC7C" w14:textId="3DED2F14" w:rsidR="004564CB" w:rsidRDefault="000B57EE">
          <w:pPr>
            <w:pStyle w:val="TOC2"/>
            <w:rPr>
              <w:rFonts w:asciiTheme="minorHAnsi" w:eastAsiaTheme="minorEastAsia" w:hAnsiTheme="minorHAnsi" w:cstheme="minorBidi"/>
              <w:bCs w:val="0"/>
              <w:noProof/>
              <w:sz w:val="22"/>
              <w:szCs w:val="22"/>
              <w:lang w:eastAsia="en-GB"/>
            </w:rPr>
          </w:pPr>
          <w:hyperlink w:anchor="_Toc95743587" w:history="1">
            <w:r w:rsidR="004564CB" w:rsidRPr="000E1403">
              <w:rPr>
                <w:rStyle w:val="Hyperlink"/>
                <w:noProof/>
                <w14:scene3d>
                  <w14:camera w14:prst="orthographicFront"/>
                  <w14:lightRig w14:rig="threePt" w14:dir="t">
                    <w14:rot w14:lat="0" w14:lon="0" w14:rev="0"/>
                  </w14:lightRig>
                </w14:scene3d>
              </w:rPr>
              <w:t>2.8</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Discretionary payments in respect of cover for employed GP performers on phased return or adjusted hours arrangement following sickness absence</w:t>
            </w:r>
            <w:r w:rsidR="004564CB">
              <w:rPr>
                <w:noProof/>
                <w:webHidden/>
              </w:rPr>
              <w:tab/>
            </w:r>
            <w:r w:rsidR="004564CB">
              <w:rPr>
                <w:noProof/>
                <w:webHidden/>
              </w:rPr>
              <w:fldChar w:fldCharType="begin"/>
            </w:r>
            <w:r w:rsidR="004564CB">
              <w:rPr>
                <w:noProof/>
                <w:webHidden/>
              </w:rPr>
              <w:instrText xml:space="preserve"> PAGEREF _Toc95743587 \h </w:instrText>
            </w:r>
            <w:r w:rsidR="004564CB">
              <w:rPr>
                <w:noProof/>
                <w:webHidden/>
              </w:rPr>
            </w:r>
            <w:r w:rsidR="004564CB">
              <w:rPr>
                <w:noProof/>
                <w:webHidden/>
              </w:rPr>
              <w:fldChar w:fldCharType="separate"/>
            </w:r>
            <w:r w:rsidR="00A176C0">
              <w:rPr>
                <w:noProof/>
                <w:webHidden/>
              </w:rPr>
              <w:t>413</w:t>
            </w:r>
            <w:r w:rsidR="004564CB">
              <w:rPr>
                <w:noProof/>
                <w:webHidden/>
              </w:rPr>
              <w:fldChar w:fldCharType="end"/>
            </w:r>
          </w:hyperlink>
        </w:p>
        <w:p w14:paraId="623E3A8B" w14:textId="31EA62F5" w:rsidR="004564CB" w:rsidRDefault="000B57EE">
          <w:pPr>
            <w:pStyle w:val="TOC2"/>
            <w:rPr>
              <w:rFonts w:asciiTheme="minorHAnsi" w:eastAsiaTheme="minorEastAsia" w:hAnsiTheme="minorHAnsi" w:cstheme="minorBidi"/>
              <w:bCs w:val="0"/>
              <w:noProof/>
              <w:sz w:val="22"/>
              <w:szCs w:val="22"/>
              <w:lang w:eastAsia="en-GB"/>
            </w:rPr>
          </w:pPr>
          <w:hyperlink w:anchor="_Toc95743588" w:history="1">
            <w:r w:rsidR="004564CB" w:rsidRPr="000E1403">
              <w:rPr>
                <w:rStyle w:val="Hyperlink"/>
                <w:noProof/>
                <w14:scene3d>
                  <w14:camera w14:prst="orthographicFront"/>
                  <w14:lightRig w14:rig="threePt" w14:dir="t">
                    <w14:rot w14:lat="0" w14:lon="0" w14:rev="0"/>
                  </w14:lightRig>
                </w14:scene3d>
              </w:rPr>
              <w:t>2.9</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Circumstances where it is likely payments will be less than the maximum amount payable</w:t>
            </w:r>
            <w:r w:rsidR="004564CB">
              <w:rPr>
                <w:noProof/>
                <w:webHidden/>
              </w:rPr>
              <w:tab/>
            </w:r>
            <w:r w:rsidR="004564CB">
              <w:rPr>
                <w:noProof/>
                <w:webHidden/>
              </w:rPr>
              <w:fldChar w:fldCharType="begin"/>
            </w:r>
            <w:r w:rsidR="004564CB">
              <w:rPr>
                <w:noProof/>
                <w:webHidden/>
              </w:rPr>
              <w:instrText xml:space="preserve"> PAGEREF _Toc95743588 \h </w:instrText>
            </w:r>
            <w:r w:rsidR="004564CB">
              <w:rPr>
                <w:noProof/>
                <w:webHidden/>
              </w:rPr>
            </w:r>
            <w:r w:rsidR="004564CB">
              <w:rPr>
                <w:noProof/>
                <w:webHidden/>
              </w:rPr>
              <w:fldChar w:fldCharType="separate"/>
            </w:r>
            <w:r w:rsidR="00A176C0">
              <w:rPr>
                <w:noProof/>
                <w:webHidden/>
              </w:rPr>
              <w:t>414</w:t>
            </w:r>
            <w:r w:rsidR="004564CB">
              <w:rPr>
                <w:noProof/>
                <w:webHidden/>
              </w:rPr>
              <w:fldChar w:fldCharType="end"/>
            </w:r>
          </w:hyperlink>
        </w:p>
        <w:p w14:paraId="0858DD1C" w14:textId="094EB8DD" w:rsidR="004564CB" w:rsidRDefault="000B57EE">
          <w:pPr>
            <w:pStyle w:val="TOC2"/>
            <w:rPr>
              <w:rFonts w:asciiTheme="minorHAnsi" w:eastAsiaTheme="minorEastAsia" w:hAnsiTheme="minorHAnsi" w:cstheme="minorBidi"/>
              <w:bCs w:val="0"/>
              <w:noProof/>
              <w:sz w:val="22"/>
              <w:szCs w:val="22"/>
              <w:lang w:eastAsia="en-GB"/>
            </w:rPr>
          </w:pPr>
          <w:hyperlink w:anchor="_Toc95743589" w:history="1">
            <w:r w:rsidR="004564CB" w:rsidRPr="000E1403">
              <w:rPr>
                <w:rStyle w:val="Hyperlink"/>
                <w:noProof/>
                <w14:scene3d>
                  <w14:camera w14:prst="orthographicFront"/>
                  <w14:lightRig w14:rig="threePt" w14:dir="t">
                    <w14:rot w14:lat="0" w14:lon="0" w14:rev="0"/>
                  </w14:lightRig>
                </w14:scene3d>
              </w:rPr>
              <w:t>2.10</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Payments for locum cover provided by nurses or other healthcare professionals</w:t>
            </w:r>
            <w:r w:rsidR="004564CB">
              <w:rPr>
                <w:noProof/>
                <w:webHidden/>
              </w:rPr>
              <w:tab/>
            </w:r>
            <w:r w:rsidR="004564CB">
              <w:rPr>
                <w:noProof/>
                <w:webHidden/>
              </w:rPr>
              <w:fldChar w:fldCharType="begin"/>
            </w:r>
            <w:r w:rsidR="004564CB">
              <w:rPr>
                <w:noProof/>
                <w:webHidden/>
              </w:rPr>
              <w:instrText xml:space="preserve"> PAGEREF _Toc95743589 \h </w:instrText>
            </w:r>
            <w:r w:rsidR="004564CB">
              <w:rPr>
                <w:noProof/>
                <w:webHidden/>
              </w:rPr>
            </w:r>
            <w:r w:rsidR="004564CB">
              <w:rPr>
                <w:noProof/>
                <w:webHidden/>
              </w:rPr>
              <w:fldChar w:fldCharType="separate"/>
            </w:r>
            <w:r w:rsidR="00A176C0">
              <w:rPr>
                <w:noProof/>
                <w:webHidden/>
              </w:rPr>
              <w:t>414</w:t>
            </w:r>
            <w:r w:rsidR="004564CB">
              <w:rPr>
                <w:noProof/>
                <w:webHidden/>
              </w:rPr>
              <w:fldChar w:fldCharType="end"/>
            </w:r>
          </w:hyperlink>
        </w:p>
        <w:p w14:paraId="54274341" w14:textId="22C322F6" w:rsidR="004564CB" w:rsidRDefault="000B57EE">
          <w:pPr>
            <w:pStyle w:val="TOC2"/>
            <w:rPr>
              <w:rFonts w:asciiTheme="minorHAnsi" w:eastAsiaTheme="minorEastAsia" w:hAnsiTheme="minorHAnsi" w:cstheme="minorBidi"/>
              <w:bCs w:val="0"/>
              <w:noProof/>
              <w:sz w:val="22"/>
              <w:szCs w:val="22"/>
              <w:lang w:eastAsia="en-GB"/>
            </w:rPr>
          </w:pPr>
          <w:hyperlink w:anchor="_Toc95743590" w:history="1">
            <w:r w:rsidR="004564CB" w:rsidRPr="000E1403">
              <w:rPr>
                <w:rStyle w:val="Hyperlink"/>
                <w:noProof/>
                <w14:scene3d>
                  <w14:camera w14:prst="orthographicFront"/>
                  <w14:lightRig w14:rig="threePt" w14:dir="t">
                    <w14:rot w14:lat="0" w14:lon="0" w14:rev="0"/>
                  </w14:lightRig>
                </w14:scene3d>
              </w:rPr>
              <w:t>2.11</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Payments to a partner or employee who is providing cover</w:t>
            </w:r>
            <w:r w:rsidR="004564CB">
              <w:rPr>
                <w:noProof/>
                <w:webHidden/>
              </w:rPr>
              <w:tab/>
            </w:r>
            <w:r w:rsidR="004564CB">
              <w:rPr>
                <w:noProof/>
                <w:webHidden/>
              </w:rPr>
              <w:fldChar w:fldCharType="begin"/>
            </w:r>
            <w:r w:rsidR="004564CB">
              <w:rPr>
                <w:noProof/>
                <w:webHidden/>
              </w:rPr>
              <w:instrText xml:space="preserve"> PAGEREF _Toc95743590 \h </w:instrText>
            </w:r>
            <w:r w:rsidR="004564CB">
              <w:rPr>
                <w:noProof/>
                <w:webHidden/>
              </w:rPr>
            </w:r>
            <w:r w:rsidR="004564CB">
              <w:rPr>
                <w:noProof/>
                <w:webHidden/>
              </w:rPr>
              <w:fldChar w:fldCharType="separate"/>
            </w:r>
            <w:r w:rsidR="00A176C0">
              <w:rPr>
                <w:noProof/>
                <w:webHidden/>
              </w:rPr>
              <w:t>414</w:t>
            </w:r>
            <w:r w:rsidR="004564CB">
              <w:rPr>
                <w:noProof/>
                <w:webHidden/>
              </w:rPr>
              <w:fldChar w:fldCharType="end"/>
            </w:r>
          </w:hyperlink>
        </w:p>
        <w:p w14:paraId="014BE46B" w14:textId="79D28459" w:rsidR="004564CB" w:rsidRDefault="000B57EE">
          <w:pPr>
            <w:pStyle w:val="TOC2"/>
            <w:rPr>
              <w:rFonts w:asciiTheme="minorHAnsi" w:eastAsiaTheme="minorEastAsia" w:hAnsiTheme="minorHAnsi" w:cstheme="minorBidi"/>
              <w:bCs w:val="0"/>
              <w:noProof/>
              <w:sz w:val="22"/>
              <w:szCs w:val="22"/>
              <w:lang w:eastAsia="en-GB"/>
            </w:rPr>
          </w:pPr>
          <w:hyperlink w:anchor="_Toc95743591" w:history="1">
            <w:r w:rsidR="004564CB" w:rsidRPr="000E1403">
              <w:rPr>
                <w:rStyle w:val="Hyperlink"/>
                <w:noProof/>
                <w14:scene3d>
                  <w14:camera w14:prst="orthographicFront"/>
                  <w14:lightRig w14:rig="threePt" w14:dir="t">
                    <w14:rot w14:lat="0" w14:lon="0" w14:rev="0"/>
                  </w14:lightRig>
                </w14:scene3d>
              </w:rPr>
              <w:t>2.12</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Discretionary payments in respect of long term sickness leave exceeding 52 weeks</w:t>
            </w:r>
            <w:r w:rsidR="004564CB">
              <w:rPr>
                <w:noProof/>
                <w:webHidden/>
              </w:rPr>
              <w:tab/>
            </w:r>
            <w:r w:rsidR="004564CB">
              <w:rPr>
                <w:noProof/>
                <w:webHidden/>
              </w:rPr>
              <w:fldChar w:fldCharType="begin"/>
            </w:r>
            <w:r w:rsidR="004564CB">
              <w:rPr>
                <w:noProof/>
                <w:webHidden/>
              </w:rPr>
              <w:instrText xml:space="preserve"> PAGEREF _Toc95743591 \h </w:instrText>
            </w:r>
            <w:r w:rsidR="004564CB">
              <w:rPr>
                <w:noProof/>
                <w:webHidden/>
              </w:rPr>
            </w:r>
            <w:r w:rsidR="004564CB">
              <w:rPr>
                <w:noProof/>
                <w:webHidden/>
              </w:rPr>
              <w:fldChar w:fldCharType="separate"/>
            </w:r>
            <w:r w:rsidR="00A176C0">
              <w:rPr>
                <w:noProof/>
                <w:webHidden/>
              </w:rPr>
              <w:t>415</w:t>
            </w:r>
            <w:r w:rsidR="004564CB">
              <w:rPr>
                <w:noProof/>
                <w:webHidden/>
              </w:rPr>
              <w:fldChar w:fldCharType="end"/>
            </w:r>
          </w:hyperlink>
        </w:p>
        <w:p w14:paraId="57867B24" w14:textId="5F9C15C2" w:rsidR="004564CB" w:rsidRDefault="000B57EE">
          <w:pPr>
            <w:pStyle w:val="TOC2"/>
            <w:rPr>
              <w:rFonts w:asciiTheme="minorHAnsi" w:eastAsiaTheme="minorEastAsia" w:hAnsiTheme="minorHAnsi" w:cstheme="minorBidi"/>
              <w:bCs w:val="0"/>
              <w:noProof/>
              <w:sz w:val="22"/>
              <w:szCs w:val="22"/>
              <w:lang w:eastAsia="en-GB"/>
            </w:rPr>
          </w:pPr>
          <w:hyperlink w:anchor="_Toc95743592" w:history="1">
            <w:r w:rsidR="004564CB" w:rsidRPr="000E1403">
              <w:rPr>
                <w:rStyle w:val="Hyperlink"/>
                <w:noProof/>
                <w14:scene3d>
                  <w14:camera w14:prst="orthographicFront"/>
                  <w14:lightRig w14:rig="threePt" w14:dir="t">
                    <w14:rot w14:lat="0" w14:lon="0" w14:rev="0"/>
                  </w14:lightRig>
                </w14:scene3d>
              </w:rPr>
              <w:t>2.13</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Discretionary payments in response of sole practitioners who are absent for the purposes of attending an accredited postgraduate educational course.</w:t>
            </w:r>
            <w:r w:rsidR="004564CB">
              <w:rPr>
                <w:noProof/>
                <w:webHidden/>
              </w:rPr>
              <w:tab/>
            </w:r>
            <w:r w:rsidR="004564CB">
              <w:rPr>
                <w:noProof/>
                <w:webHidden/>
              </w:rPr>
              <w:fldChar w:fldCharType="begin"/>
            </w:r>
            <w:r w:rsidR="004564CB">
              <w:rPr>
                <w:noProof/>
                <w:webHidden/>
              </w:rPr>
              <w:instrText xml:space="preserve"> PAGEREF _Toc95743592 \h </w:instrText>
            </w:r>
            <w:r w:rsidR="004564CB">
              <w:rPr>
                <w:noProof/>
                <w:webHidden/>
              </w:rPr>
            </w:r>
            <w:r w:rsidR="004564CB">
              <w:rPr>
                <w:noProof/>
                <w:webHidden/>
              </w:rPr>
              <w:fldChar w:fldCharType="separate"/>
            </w:r>
            <w:r w:rsidR="00A176C0">
              <w:rPr>
                <w:noProof/>
                <w:webHidden/>
              </w:rPr>
              <w:t>415</w:t>
            </w:r>
            <w:r w:rsidR="004564CB">
              <w:rPr>
                <w:noProof/>
                <w:webHidden/>
              </w:rPr>
              <w:fldChar w:fldCharType="end"/>
            </w:r>
          </w:hyperlink>
        </w:p>
        <w:p w14:paraId="5D2EFC9A" w14:textId="2BC1E113" w:rsidR="004564CB" w:rsidRDefault="000B57EE">
          <w:pPr>
            <w:pStyle w:val="TOC2"/>
            <w:rPr>
              <w:rFonts w:asciiTheme="minorHAnsi" w:eastAsiaTheme="minorEastAsia" w:hAnsiTheme="minorHAnsi" w:cstheme="minorBidi"/>
              <w:bCs w:val="0"/>
              <w:noProof/>
              <w:sz w:val="22"/>
              <w:szCs w:val="22"/>
              <w:lang w:eastAsia="en-GB"/>
            </w:rPr>
          </w:pPr>
          <w:hyperlink w:anchor="_Toc95743593" w:history="1">
            <w:r w:rsidR="004564CB" w:rsidRPr="000E1403">
              <w:rPr>
                <w:rStyle w:val="Hyperlink"/>
                <w:noProof/>
                <w14:scene3d>
                  <w14:camera w14:prst="orthographicFront"/>
                  <w14:lightRig w14:rig="threePt" w14:dir="t">
                    <w14:rot w14:lat="0" w14:lon="0" w14:rev="0"/>
                  </w14:lightRig>
                </w14:scene3d>
              </w:rPr>
              <w:t>2.14</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Claims and payments</w:t>
            </w:r>
            <w:r w:rsidR="004564CB">
              <w:rPr>
                <w:noProof/>
                <w:webHidden/>
              </w:rPr>
              <w:tab/>
            </w:r>
            <w:r w:rsidR="004564CB">
              <w:rPr>
                <w:noProof/>
                <w:webHidden/>
              </w:rPr>
              <w:fldChar w:fldCharType="begin"/>
            </w:r>
            <w:r w:rsidR="004564CB">
              <w:rPr>
                <w:noProof/>
                <w:webHidden/>
              </w:rPr>
              <w:instrText xml:space="preserve"> PAGEREF _Toc95743593 \h </w:instrText>
            </w:r>
            <w:r w:rsidR="004564CB">
              <w:rPr>
                <w:noProof/>
                <w:webHidden/>
              </w:rPr>
            </w:r>
            <w:r w:rsidR="004564CB">
              <w:rPr>
                <w:noProof/>
                <w:webHidden/>
              </w:rPr>
              <w:fldChar w:fldCharType="separate"/>
            </w:r>
            <w:r w:rsidR="00A176C0">
              <w:rPr>
                <w:noProof/>
                <w:webHidden/>
              </w:rPr>
              <w:t>415</w:t>
            </w:r>
            <w:r w:rsidR="004564CB">
              <w:rPr>
                <w:noProof/>
                <w:webHidden/>
              </w:rPr>
              <w:fldChar w:fldCharType="end"/>
            </w:r>
          </w:hyperlink>
        </w:p>
        <w:p w14:paraId="6E9D9428" w14:textId="1DDEBB62" w:rsidR="004564CB" w:rsidRDefault="000B57EE">
          <w:pPr>
            <w:pStyle w:val="TOC2"/>
            <w:rPr>
              <w:rFonts w:asciiTheme="minorHAnsi" w:eastAsiaTheme="minorEastAsia" w:hAnsiTheme="minorHAnsi" w:cstheme="minorBidi"/>
              <w:bCs w:val="0"/>
              <w:noProof/>
              <w:sz w:val="22"/>
              <w:szCs w:val="22"/>
              <w:lang w:eastAsia="en-GB"/>
            </w:rPr>
          </w:pPr>
          <w:hyperlink w:anchor="_Toc95743594" w:history="1">
            <w:r w:rsidR="004564CB" w:rsidRPr="000E1403">
              <w:rPr>
                <w:rStyle w:val="Hyperlink"/>
                <w:noProof/>
                <w14:scene3d>
                  <w14:camera w14:prst="orthographicFront"/>
                  <w14:lightRig w14:rig="threePt" w14:dir="t">
                    <w14:rot w14:lat="0" w14:lon="0" w14:rev="0"/>
                  </w14:lightRig>
                </w14:scene3d>
              </w:rPr>
              <w:t>2.15</w:t>
            </w:r>
            <w:r w:rsidR="004564CB">
              <w:rPr>
                <w:rFonts w:asciiTheme="minorHAnsi" w:eastAsiaTheme="minorEastAsia" w:hAnsiTheme="minorHAnsi" w:cstheme="minorBidi"/>
                <w:bCs w:val="0"/>
                <w:noProof/>
                <w:sz w:val="22"/>
                <w:szCs w:val="22"/>
                <w:lang w:eastAsia="en-GB"/>
              </w:rPr>
              <w:tab/>
            </w:r>
            <w:r w:rsidR="004564CB" w:rsidRPr="000E1403">
              <w:rPr>
                <w:rStyle w:val="Hyperlink"/>
                <w:noProof/>
              </w:rPr>
              <w:t>Annexes</w:t>
            </w:r>
            <w:r w:rsidR="004564CB">
              <w:rPr>
                <w:noProof/>
                <w:webHidden/>
              </w:rPr>
              <w:tab/>
            </w:r>
            <w:r w:rsidR="004564CB">
              <w:rPr>
                <w:noProof/>
                <w:webHidden/>
              </w:rPr>
              <w:fldChar w:fldCharType="begin"/>
            </w:r>
            <w:r w:rsidR="004564CB">
              <w:rPr>
                <w:noProof/>
                <w:webHidden/>
              </w:rPr>
              <w:instrText xml:space="preserve"> PAGEREF _Toc95743594 \h </w:instrText>
            </w:r>
            <w:r w:rsidR="004564CB">
              <w:rPr>
                <w:noProof/>
                <w:webHidden/>
              </w:rPr>
            </w:r>
            <w:r w:rsidR="004564CB">
              <w:rPr>
                <w:noProof/>
                <w:webHidden/>
              </w:rPr>
              <w:fldChar w:fldCharType="separate"/>
            </w:r>
            <w:r w:rsidR="00A176C0">
              <w:rPr>
                <w:noProof/>
                <w:webHidden/>
              </w:rPr>
              <w:t>417</w:t>
            </w:r>
            <w:r w:rsidR="004564CB">
              <w:rPr>
                <w:noProof/>
                <w:webHidden/>
              </w:rPr>
              <w:fldChar w:fldCharType="end"/>
            </w:r>
          </w:hyperlink>
        </w:p>
        <w:p w14:paraId="2E49B82C" w14:textId="5E7B6B41" w:rsidR="004564CB" w:rsidRDefault="000B57EE">
          <w:pPr>
            <w:pStyle w:val="TOC1"/>
            <w:rPr>
              <w:rFonts w:asciiTheme="minorHAnsi" w:eastAsiaTheme="minorEastAsia" w:hAnsiTheme="minorHAnsi" w:cstheme="minorBidi"/>
              <w:bCs w:val="0"/>
              <w:color w:val="auto"/>
              <w:sz w:val="22"/>
              <w:szCs w:val="22"/>
              <w:lang w:eastAsia="en-GB"/>
            </w:rPr>
          </w:pPr>
          <w:hyperlink w:anchor="_Toc95743595" w:history="1">
            <w:r w:rsidR="004564CB" w:rsidRPr="000E1403">
              <w:rPr>
                <w:rStyle w:val="Hyperlink"/>
                <w:lang w:eastAsia="en-GB"/>
              </w:rPr>
              <w:t>3</w:t>
            </w:r>
            <w:r w:rsidR="004564CB">
              <w:rPr>
                <w:rFonts w:asciiTheme="minorHAnsi" w:eastAsiaTheme="minorEastAsia" w:hAnsiTheme="minorHAnsi" w:cstheme="minorBidi"/>
                <w:bCs w:val="0"/>
                <w:color w:val="auto"/>
                <w:sz w:val="22"/>
                <w:szCs w:val="22"/>
                <w:lang w:eastAsia="en-GB"/>
              </w:rPr>
              <w:tab/>
            </w:r>
            <w:r w:rsidR="004564CB" w:rsidRPr="000E1403">
              <w:rPr>
                <w:rStyle w:val="Hyperlink"/>
                <w:lang w:eastAsia="en-GB"/>
              </w:rPr>
              <w:t>Guidance Note: GP Practices serving Atypical Populations</w:t>
            </w:r>
            <w:r w:rsidR="004564CB">
              <w:rPr>
                <w:webHidden/>
              </w:rPr>
              <w:tab/>
            </w:r>
            <w:r w:rsidR="004564CB">
              <w:rPr>
                <w:webHidden/>
              </w:rPr>
              <w:fldChar w:fldCharType="begin"/>
            </w:r>
            <w:r w:rsidR="004564CB">
              <w:rPr>
                <w:webHidden/>
              </w:rPr>
              <w:instrText xml:space="preserve"> PAGEREF _Toc95743595 \h </w:instrText>
            </w:r>
            <w:r w:rsidR="004564CB">
              <w:rPr>
                <w:webHidden/>
              </w:rPr>
            </w:r>
            <w:r w:rsidR="004564CB">
              <w:rPr>
                <w:webHidden/>
              </w:rPr>
              <w:fldChar w:fldCharType="separate"/>
            </w:r>
            <w:r w:rsidR="00A176C0">
              <w:rPr>
                <w:webHidden/>
              </w:rPr>
              <w:t>431</w:t>
            </w:r>
            <w:r w:rsidR="004564CB">
              <w:rPr>
                <w:webHidden/>
              </w:rPr>
              <w:fldChar w:fldCharType="end"/>
            </w:r>
          </w:hyperlink>
        </w:p>
        <w:p w14:paraId="5D2B2A5A" w14:textId="2DA69847" w:rsidR="004564CB" w:rsidRDefault="000B57EE">
          <w:pPr>
            <w:pStyle w:val="TOC2"/>
            <w:rPr>
              <w:rFonts w:asciiTheme="minorHAnsi" w:eastAsiaTheme="minorEastAsia" w:hAnsiTheme="minorHAnsi" w:cstheme="minorBidi"/>
              <w:bCs w:val="0"/>
              <w:noProof/>
              <w:sz w:val="22"/>
              <w:szCs w:val="22"/>
              <w:lang w:eastAsia="en-GB"/>
            </w:rPr>
          </w:pPr>
          <w:hyperlink w:anchor="_Toc95743596" w:history="1">
            <w:r w:rsidR="004564CB" w:rsidRPr="000E1403">
              <w:rPr>
                <w:rStyle w:val="Hyperlink"/>
                <w:rFonts w:eastAsia="Arial"/>
                <w:noProof/>
                <w14:scene3d>
                  <w14:camera w14:prst="orthographicFront"/>
                  <w14:lightRig w14:rig="threePt" w14:dir="t">
                    <w14:rot w14:lat="0" w14:lon="0" w14:rev="0"/>
                  </w14:lightRig>
                </w14:scene3d>
              </w:rPr>
              <w:t>3.1</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Arial"/>
                <w:noProof/>
              </w:rPr>
              <w:t>Introduction</w:t>
            </w:r>
            <w:r w:rsidR="004564CB">
              <w:rPr>
                <w:noProof/>
                <w:webHidden/>
              </w:rPr>
              <w:tab/>
            </w:r>
            <w:r w:rsidR="004564CB">
              <w:rPr>
                <w:noProof/>
                <w:webHidden/>
              </w:rPr>
              <w:fldChar w:fldCharType="begin"/>
            </w:r>
            <w:r w:rsidR="004564CB">
              <w:rPr>
                <w:noProof/>
                <w:webHidden/>
              </w:rPr>
              <w:instrText xml:space="preserve"> PAGEREF _Toc95743596 \h </w:instrText>
            </w:r>
            <w:r w:rsidR="004564CB">
              <w:rPr>
                <w:noProof/>
                <w:webHidden/>
              </w:rPr>
            </w:r>
            <w:r w:rsidR="004564CB">
              <w:rPr>
                <w:noProof/>
                <w:webHidden/>
              </w:rPr>
              <w:fldChar w:fldCharType="separate"/>
            </w:r>
            <w:r w:rsidR="00A176C0">
              <w:rPr>
                <w:noProof/>
                <w:webHidden/>
              </w:rPr>
              <w:t>431</w:t>
            </w:r>
            <w:r w:rsidR="004564CB">
              <w:rPr>
                <w:noProof/>
                <w:webHidden/>
              </w:rPr>
              <w:fldChar w:fldCharType="end"/>
            </w:r>
          </w:hyperlink>
        </w:p>
        <w:p w14:paraId="5C04ABA4" w14:textId="0EA3B779" w:rsidR="004564CB" w:rsidRDefault="000B57EE">
          <w:pPr>
            <w:pStyle w:val="TOC2"/>
            <w:rPr>
              <w:rFonts w:asciiTheme="minorHAnsi" w:eastAsiaTheme="minorEastAsia" w:hAnsiTheme="minorHAnsi" w:cstheme="minorBidi"/>
              <w:bCs w:val="0"/>
              <w:noProof/>
              <w:sz w:val="22"/>
              <w:szCs w:val="22"/>
              <w:lang w:eastAsia="en-GB"/>
            </w:rPr>
          </w:pPr>
          <w:hyperlink w:anchor="_Toc95743597" w:history="1">
            <w:r w:rsidR="004564CB" w:rsidRPr="000E1403">
              <w:rPr>
                <w:rStyle w:val="Hyperlink"/>
                <w:rFonts w:eastAsia="Arial"/>
                <w:noProof/>
                <w14:scene3d>
                  <w14:camera w14:prst="orthographicFront"/>
                  <w14:lightRig w14:rig="threePt" w14:dir="t">
                    <w14:rot w14:lat="0" w14:lon="0" w14:rev="0"/>
                  </w14:lightRig>
                </w14:scene3d>
              </w:rPr>
              <w:t>3.2</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Arial"/>
                <w:noProof/>
              </w:rPr>
              <w:t>Context: General Medical Services (GMS) Funding Formula Review</w:t>
            </w:r>
            <w:r w:rsidR="004564CB">
              <w:rPr>
                <w:noProof/>
                <w:webHidden/>
              </w:rPr>
              <w:tab/>
            </w:r>
            <w:r w:rsidR="004564CB">
              <w:rPr>
                <w:noProof/>
                <w:webHidden/>
              </w:rPr>
              <w:fldChar w:fldCharType="begin"/>
            </w:r>
            <w:r w:rsidR="004564CB">
              <w:rPr>
                <w:noProof/>
                <w:webHidden/>
              </w:rPr>
              <w:instrText xml:space="preserve"> PAGEREF _Toc95743597 \h </w:instrText>
            </w:r>
            <w:r w:rsidR="004564CB">
              <w:rPr>
                <w:noProof/>
                <w:webHidden/>
              </w:rPr>
            </w:r>
            <w:r w:rsidR="004564CB">
              <w:rPr>
                <w:noProof/>
                <w:webHidden/>
              </w:rPr>
              <w:fldChar w:fldCharType="separate"/>
            </w:r>
            <w:r w:rsidR="00A176C0">
              <w:rPr>
                <w:noProof/>
                <w:webHidden/>
              </w:rPr>
              <w:t>434</w:t>
            </w:r>
            <w:r w:rsidR="004564CB">
              <w:rPr>
                <w:noProof/>
                <w:webHidden/>
              </w:rPr>
              <w:fldChar w:fldCharType="end"/>
            </w:r>
          </w:hyperlink>
        </w:p>
        <w:p w14:paraId="3A399077" w14:textId="1553E005" w:rsidR="004564CB" w:rsidRDefault="000B57EE">
          <w:pPr>
            <w:pStyle w:val="TOC2"/>
            <w:rPr>
              <w:rFonts w:asciiTheme="minorHAnsi" w:eastAsiaTheme="minorEastAsia" w:hAnsiTheme="minorHAnsi" w:cstheme="minorBidi"/>
              <w:bCs w:val="0"/>
              <w:noProof/>
              <w:sz w:val="22"/>
              <w:szCs w:val="22"/>
              <w:lang w:eastAsia="en-GB"/>
            </w:rPr>
          </w:pPr>
          <w:hyperlink w:anchor="_Toc95743598" w:history="1">
            <w:r w:rsidR="004564CB" w:rsidRPr="000E1403">
              <w:rPr>
                <w:rStyle w:val="Hyperlink"/>
                <w:rFonts w:eastAsia="Arial"/>
                <w:noProof/>
                <w14:scene3d>
                  <w14:camera w14:prst="orthographicFront"/>
                  <w14:lightRig w14:rig="threePt" w14:dir="t">
                    <w14:rot w14:lat="0" w14:lon="0" w14:rev="0"/>
                  </w14:lightRig>
                </w14:scene3d>
              </w:rPr>
              <w:t>3.3</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Arial"/>
                <w:noProof/>
              </w:rPr>
              <w:t>Background to developing this document</w:t>
            </w:r>
            <w:r w:rsidR="004564CB">
              <w:rPr>
                <w:noProof/>
                <w:webHidden/>
              </w:rPr>
              <w:tab/>
            </w:r>
            <w:r w:rsidR="004564CB">
              <w:rPr>
                <w:noProof/>
                <w:webHidden/>
              </w:rPr>
              <w:fldChar w:fldCharType="begin"/>
            </w:r>
            <w:r w:rsidR="004564CB">
              <w:rPr>
                <w:noProof/>
                <w:webHidden/>
              </w:rPr>
              <w:instrText xml:space="preserve"> PAGEREF _Toc95743598 \h </w:instrText>
            </w:r>
            <w:r w:rsidR="004564CB">
              <w:rPr>
                <w:noProof/>
                <w:webHidden/>
              </w:rPr>
            </w:r>
            <w:r w:rsidR="004564CB">
              <w:rPr>
                <w:noProof/>
                <w:webHidden/>
              </w:rPr>
              <w:fldChar w:fldCharType="separate"/>
            </w:r>
            <w:r w:rsidR="00A176C0">
              <w:rPr>
                <w:noProof/>
                <w:webHidden/>
              </w:rPr>
              <w:t>435</w:t>
            </w:r>
            <w:r w:rsidR="004564CB">
              <w:rPr>
                <w:noProof/>
                <w:webHidden/>
              </w:rPr>
              <w:fldChar w:fldCharType="end"/>
            </w:r>
          </w:hyperlink>
        </w:p>
        <w:p w14:paraId="4D67EF8F" w14:textId="0B4D09A3" w:rsidR="004564CB" w:rsidRDefault="000B57EE">
          <w:pPr>
            <w:pStyle w:val="TOC2"/>
            <w:rPr>
              <w:rFonts w:asciiTheme="minorHAnsi" w:eastAsiaTheme="minorEastAsia" w:hAnsiTheme="minorHAnsi" w:cstheme="minorBidi"/>
              <w:bCs w:val="0"/>
              <w:noProof/>
              <w:sz w:val="22"/>
              <w:szCs w:val="22"/>
              <w:lang w:eastAsia="en-GB"/>
            </w:rPr>
          </w:pPr>
          <w:hyperlink w:anchor="_Toc95743599" w:history="1">
            <w:r w:rsidR="004564CB" w:rsidRPr="000E1403">
              <w:rPr>
                <w:rStyle w:val="Hyperlink"/>
                <w:rFonts w:eastAsia="Arial"/>
                <w:noProof/>
                <w14:scene3d>
                  <w14:camera w14:prst="orthographicFront"/>
                  <w14:lightRig w14:rig="threePt" w14:dir="t">
                    <w14:rot w14:lat="0" w14:lon="0" w14:rev="0"/>
                  </w14:lightRig>
                </w14:scene3d>
              </w:rPr>
              <w:t>3.4</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Arial"/>
                <w:noProof/>
              </w:rPr>
              <w:t>Identifying ‘Atypical’ populations locally</w:t>
            </w:r>
            <w:r w:rsidR="004564CB">
              <w:rPr>
                <w:noProof/>
                <w:webHidden/>
              </w:rPr>
              <w:tab/>
            </w:r>
            <w:r w:rsidR="004564CB">
              <w:rPr>
                <w:noProof/>
                <w:webHidden/>
              </w:rPr>
              <w:fldChar w:fldCharType="begin"/>
            </w:r>
            <w:r w:rsidR="004564CB">
              <w:rPr>
                <w:noProof/>
                <w:webHidden/>
              </w:rPr>
              <w:instrText xml:space="preserve"> PAGEREF _Toc95743599 \h </w:instrText>
            </w:r>
            <w:r w:rsidR="004564CB">
              <w:rPr>
                <w:noProof/>
                <w:webHidden/>
              </w:rPr>
            </w:r>
            <w:r w:rsidR="004564CB">
              <w:rPr>
                <w:noProof/>
                <w:webHidden/>
              </w:rPr>
              <w:fldChar w:fldCharType="separate"/>
            </w:r>
            <w:r w:rsidR="00A176C0">
              <w:rPr>
                <w:noProof/>
                <w:webHidden/>
              </w:rPr>
              <w:t>437</w:t>
            </w:r>
            <w:r w:rsidR="004564CB">
              <w:rPr>
                <w:noProof/>
                <w:webHidden/>
              </w:rPr>
              <w:fldChar w:fldCharType="end"/>
            </w:r>
          </w:hyperlink>
        </w:p>
        <w:p w14:paraId="275E21FC" w14:textId="6FE2D42C" w:rsidR="004564CB" w:rsidRDefault="000B57EE">
          <w:pPr>
            <w:pStyle w:val="TOC2"/>
            <w:rPr>
              <w:rFonts w:asciiTheme="minorHAnsi" w:eastAsiaTheme="minorEastAsia" w:hAnsiTheme="minorHAnsi" w:cstheme="minorBidi"/>
              <w:bCs w:val="0"/>
              <w:noProof/>
              <w:sz w:val="22"/>
              <w:szCs w:val="22"/>
              <w:lang w:eastAsia="en-GB"/>
            </w:rPr>
          </w:pPr>
          <w:hyperlink w:anchor="_Toc95743600" w:history="1">
            <w:r w:rsidR="004564CB" w:rsidRPr="000E1403">
              <w:rPr>
                <w:rStyle w:val="Hyperlink"/>
                <w:rFonts w:eastAsia="Arial"/>
                <w:noProof/>
                <w14:scene3d>
                  <w14:camera w14:prst="orthographicFront"/>
                  <w14:lightRig w14:rig="threePt" w14:dir="t">
                    <w14:rot w14:lat="0" w14:lon="0" w14:rev="0"/>
                  </w14:lightRig>
                </w14:scene3d>
              </w:rPr>
              <w:t>3.5</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Arial"/>
                <w:noProof/>
              </w:rPr>
              <w:t>Unavoidably small and isolated</w:t>
            </w:r>
            <w:r w:rsidR="004564CB">
              <w:rPr>
                <w:noProof/>
                <w:webHidden/>
              </w:rPr>
              <w:tab/>
            </w:r>
            <w:r w:rsidR="004564CB">
              <w:rPr>
                <w:noProof/>
                <w:webHidden/>
              </w:rPr>
              <w:fldChar w:fldCharType="begin"/>
            </w:r>
            <w:r w:rsidR="004564CB">
              <w:rPr>
                <w:noProof/>
                <w:webHidden/>
              </w:rPr>
              <w:instrText xml:space="preserve"> PAGEREF _Toc95743600 \h </w:instrText>
            </w:r>
            <w:r w:rsidR="004564CB">
              <w:rPr>
                <w:noProof/>
                <w:webHidden/>
              </w:rPr>
            </w:r>
            <w:r w:rsidR="004564CB">
              <w:rPr>
                <w:noProof/>
                <w:webHidden/>
              </w:rPr>
              <w:fldChar w:fldCharType="separate"/>
            </w:r>
            <w:r w:rsidR="00A176C0">
              <w:rPr>
                <w:noProof/>
                <w:webHidden/>
              </w:rPr>
              <w:t>437</w:t>
            </w:r>
            <w:r w:rsidR="004564CB">
              <w:rPr>
                <w:noProof/>
                <w:webHidden/>
              </w:rPr>
              <w:fldChar w:fldCharType="end"/>
            </w:r>
          </w:hyperlink>
        </w:p>
        <w:p w14:paraId="614A7CA3" w14:textId="4E3E00E0" w:rsidR="004564CB" w:rsidRDefault="000B57EE">
          <w:pPr>
            <w:pStyle w:val="TOC2"/>
            <w:rPr>
              <w:rFonts w:asciiTheme="minorHAnsi" w:eastAsiaTheme="minorEastAsia" w:hAnsiTheme="minorHAnsi" w:cstheme="minorBidi"/>
              <w:bCs w:val="0"/>
              <w:noProof/>
              <w:sz w:val="22"/>
              <w:szCs w:val="22"/>
              <w:lang w:eastAsia="en-GB"/>
            </w:rPr>
          </w:pPr>
          <w:hyperlink w:anchor="_Toc95743601" w:history="1">
            <w:r w:rsidR="004564CB" w:rsidRPr="000E1403">
              <w:rPr>
                <w:rStyle w:val="Hyperlink"/>
                <w:rFonts w:eastAsia="Arial"/>
                <w:noProof/>
                <w14:scene3d>
                  <w14:camera w14:prst="orthographicFront"/>
                  <w14:lightRig w14:rig="threePt" w14:dir="t">
                    <w14:rot w14:lat="0" w14:lon="0" w14:rev="0"/>
                  </w14:lightRig>
                </w14:scene3d>
              </w:rPr>
              <w:t>3.6</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Arial"/>
                <w:noProof/>
              </w:rPr>
              <w:t>University populations</w:t>
            </w:r>
            <w:r w:rsidR="004564CB">
              <w:rPr>
                <w:noProof/>
                <w:webHidden/>
              </w:rPr>
              <w:tab/>
            </w:r>
            <w:r w:rsidR="004564CB">
              <w:rPr>
                <w:noProof/>
                <w:webHidden/>
              </w:rPr>
              <w:fldChar w:fldCharType="begin"/>
            </w:r>
            <w:r w:rsidR="004564CB">
              <w:rPr>
                <w:noProof/>
                <w:webHidden/>
              </w:rPr>
              <w:instrText xml:space="preserve"> PAGEREF _Toc95743601 \h </w:instrText>
            </w:r>
            <w:r w:rsidR="004564CB">
              <w:rPr>
                <w:noProof/>
                <w:webHidden/>
              </w:rPr>
            </w:r>
            <w:r w:rsidR="004564CB">
              <w:rPr>
                <w:noProof/>
                <w:webHidden/>
              </w:rPr>
              <w:fldChar w:fldCharType="separate"/>
            </w:r>
            <w:r w:rsidR="00A176C0">
              <w:rPr>
                <w:noProof/>
                <w:webHidden/>
              </w:rPr>
              <w:t>442</w:t>
            </w:r>
            <w:r w:rsidR="004564CB">
              <w:rPr>
                <w:noProof/>
                <w:webHidden/>
              </w:rPr>
              <w:fldChar w:fldCharType="end"/>
            </w:r>
          </w:hyperlink>
        </w:p>
        <w:p w14:paraId="019C6CFC" w14:textId="571B0CBB" w:rsidR="004564CB" w:rsidRDefault="000B57EE">
          <w:pPr>
            <w:pStyle w:val="TOC2"/>
            <w:rPr>
              <w:rFonts w:asciiTheme="minorHAnsi" w:eastAsiaTheme="minorEastAsia" w:hAnsiTheme="minorHAnsi" w:cstheme="minorBidi"/>
              <w:bCs w:val="0"/>
              <w:noProof/>
              <w:sz w:val="22"/>
              <w:szCs w:val="22"/>
              <w:lang w:eastAsia="en-GB"/>
            </w:rPr>
          </w:pPr>
          <w:hyperlink w:anchor="_Toc95743602" w:history="1">
            <w:r w:rsidR="004564CB" w:rsidRPr="000E1403">
              <w:rPr>
                <w:rStyle w:val="Hyperlink"/>
                <w:rFonts w:eastAsia="Arial"/>
                <w:noProof/>
                <w14:scene3d>
                  <w14:camera w14:prst="orthographicFront"/>
                  <w14:lightRig w14:rig="threePt" w14:dir="t">
                    <w14:rot w14:lat="0" w14:lon="0" w14:rev="0"/>
                  </w14:lightRig>
                </w14:scene3d>
              </w:rPr>
              <w:t>3.7</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Arial"/>
                <w:noProof/>
              </w:rPr>
              <w:t>Practices with a high number of patients who do not speak English</w:t>
            </w:r>
            <w:r w:rsidR="004564CB">
              <w:rPr>
                <w:noProof/>
                <w:webHidden/>
              </w:rPr>
              <w:tab/>
            </w:r>
            <w:r w:rsidR="004564CB">
              <w:rPr>
                <w:noProof/>
                <w:webHidden/>
              </w:rPr>
              <w:fldChar w:fldCharType="begin"/>
            </w:r>
            <w:r w:rsidR="004564CB">
              <w:rPr>
                <w:noProof/>
                <w:webHidden/>
              </w:rPr>
              <w:instrText xml:space="preserve"> PAGEREF _Toc95743602 \h </w:instrText>
            </w:r>
            <w:r w:rsidR="004564CB">
              <w:rPr>
                <w:noProof/>
                <w:webHidden/>
              </w:rPr>
            </w:r>
            <w:r w:rsidR="004564CB">
              <w:rPr>
                <w:noProof/>
                <w:webHidden/>
              </w:rPr>
              <w:fldChar w:fldCharType="separate"/>
            </w:r>
            <w:r w:rsidR="00A176C0">
              <w:rPr>
                <w:noProof/>
                <w:webHidden/>
              </w:rPr>
              <w:t>445</w:t>
            </w:r>
            <w:r w:rsidR="004564CB">
              <w:rPr>
                <w:noProof/>
                <w:webHidden/>
              </w:rPr>
              <w:fldChar w:fldCharType="end"/>
            </w:r>
          </w:hyperlink>
        </w:p>
        <w:p w14:paraId="690DA502" w14:textId="6B451DA7" w:rsidR="004564CB" w:rsidRDefault="000B57EE">
          <w:pPr>
            <w:pStyle w:val="TOC2"/>
            <w:rPr>
              <w:rFonts w:asciiTheme="minorHAnsi" w:eastAsiaTheme="minorEastAsia" w:hAnsiTheme="minorHAnsi" w:cstheme="minorBidi"/>
              <w:bCs w:val="0"/>
              <w:noProof/>
              <w:sz w:val="22"/>
              <w:szCs w:val="22"/>
              <w:lang w:eastAsia="en-GB"/>
            </w:rPr>
          </w:pPr>
          <w:hyperlink w:anchor="_Toc95743603" w:history="1">
            <w:r w:rsidR="004564CB" w:rsidRPr="000E1403">
              <w:rPr>
                <w:rStyle w:val="Hyperlink"/>
                <w:rFonts w:eastAsia="Arial"/>
                <w:noProof/>
                <w14:scene3d>
                  <w14:camera w14:prst="orthographicFront"/>
                  <w14:lightRig w14:rig="threePt" w14:dir="t">
                    <w14:rot w14:lat="0" w14:lon="0" w14:rev="0"/>
                  </w14:lightRig>
                </w14:scene3d>
              </w:rPr>
              <w:t>3.8</w:t>
            </w:r>
            <w:r w:rsidR="004564CB">
              <w:rPr>
                <w:rFonts w:asciiTheme="minorHAnsi" w:eastAsiaTheme="minorEastAsia" w:hAnsiTheme="minorHAnsi" w:cstheme="minorBidi"/>
                <w:bCs w:val="0"/>
                <w:noProof/>
                <w:sz w:val="22"/>
                <w:szCs w:val="22"/>
                <w:lang w:eastAsia="en-GB"/>
              </w:rPr>
              <w:tab/>
            </w:r>
            <w:r w:rsidR="004564CB" w:rsidRPr="000E1403">
              <w:rPr>
                <w:rStyle w:val="Hyperlink"/>
                <w:rFonts w:eastAsia="Arial"/>
                <w:noProof/>
              </w:rPr>
              <w:t>Conclusion</w:t>
            </w:r>
            <w:r w:rsidR="004564CB">
              <w:rPr>
                <w:noProof/>
                <w:webHidden/>
              </w:rPr>
              <w:tab/>
            </w:r>
            <w:r w:rsidR="004564CB">
              <w:rPr>
                <w:noProof/>
                <w:webHidden/>
              </w:rPr>
              <w:fldChar w:fldCharType="begin"/>
            </w:r>
            <w:r w:rsidR="004564CB">
              <w:rPr>
                <w:noProof/>
                <w:webHidden/>
              </w:rPr>
              <w:instrText xml:space="preserve"> PAGEREF _Toc95743603 \h </w:instrText>
            </w:r>
            <w:r w:rsidR="004564CB">
              <w:rPr>
                <w:noProof/>
                <w:webHidden/>
              </w:rPr>
            </w:r>
            <w:r w:rsidR="004564CB">
              <w:rPr>
                <w:noProof/>
                <w:webHidden/>
              </w:rPr>
              <w:fldChar w:fldCharType="separate"/>
            </w:r>
            <w:r w:rsidR="00A176C0">
              <w:rPr>
                <w:noProof/>
                <w:webHidden/>
              </w:rPr>
              <w:t>448</w:t>
            </w:r>
            <w:r w:rsidR="004564CB">
              <w:rPr>
                <w:noProof/>
                <w:webHidden/>
              </w:rPr>
              <w:fldChar w:fldCharType="end"/>
            </w:r>
          </w:hyperlink>
        </w:p>
        <w:p w14:paraId="4B803709" w14:textId="0467BE79" w:rsidR="004564CB" w:rsidRDefault="000B57EE">
          <w:pPr>
            <w:pStyle w:val="TOC2"/>
            <w:rPr>
              <w:rFonts w:asciiTheme="minorHAnsi" w:eastAsiaTheme="minorEastAsia" w:hAnsiTheme="minorHAnsi" w:cstheme="minorBidi"/>
              <w:bCs w:val="0"/>
              <w:noProof/>
              <w:sz w:val="22"/>
              <w:szCs w:val="22"/>
              <w:lang w:eastAsia="en-GB"/>
            </w:rPr>
          </w:pPr>
          <w:hyperlink w:anchor="_Toc95743604" w:history="1">
            <w:r w:rsidR="004564CB" w:rsidRPr="000E1403">
              <w:rPr>
                <w:rStyle w:val="Hyperlink"/>
                <w:rFonts w:eastAsia="Arial"/>
                <w:noProof/>
              </w:rPr>
              <w:t>3.9 Notes for NHS England commissioners</w:t>
            </w:r>
            <w:r w:rsidR="004564CB">
              <w:rPr>
                <w:noProof/>
                <w:webHidden/>
              </w:rPr>
              <w:tab/>
            </w:r>
            <w:r w:rsidR="004564CB">
              <w:rPr>
                <w:noProof/>
                <w:webHidden/>
              </w:rPr>
              <w:fldChar w:fldCharType="begin"/>
            </w:r>
            <w:r w:rsidR="004564CB">
              <w:rPr>
                <w:noProof/>
                <w:webHidden/>
              </w:rPr>
              <w:instrText xml:space="preserve"> PAGEREF _Toc95743604 \h </w:instrText>
            </w:r>
            <w:r w:rsidR="004564CB">
              <w:rPr>
                <w:noProof/>
                <w:webHidden/>
              </w:rPr>
            </w:r>
            <w:r w:rsidR="004564CB">
              <w:rPr>
                <w:noProof/>
                <w:webHidden/>
              </w:rPr>
              <w:fldChar w:fldCharType="separate"/>
            </w:r>
            <w:r w:rsidR="00A176C0">
              <w:rPr>
                <w:noProof/>
                <w:webHidden/>
              </w:rPr>
              <w:t>448</w:t>
            </w:r>
            <w:r w:rsidR="004564CB">
              <w:rPr>
                <w:noProof/>
                <w:webHidden/>
              </w:rPr>
              <w:fldChar w:fldCharType="end"/>
            </w:r>
          </w:hyperlink>
        </w:p>
        <w:p w14:paraId="10CC3C7F" w14:textId="5E97D356" w:rsidR="004564CB" w:rsidRDefault="000B57EE">
          <w:pPr>
            <w:pStyle w:val="TOC2"/>
            <w:rPr>
              <w:rFonts w:asciiTheme="minorHAnsi" w:eastAsiaTheme="minorEastAsia" w:hAnsiTheme="minorHAnsi" w:cstheme="minorBidi"/>
              <w:bCs w:val="0"/>
              <w:noProof/>
              <w:sz w:val="22"/>
              <w:szCs w:val="22"/>
              <w:lang w:eastAsia="en-GB"/>
            </w:rPr>
          </w:pPr>
          <w:hyperlink w:anchor="_Toc95743605" w:history="1">
            <w:r w:rsidR="004564CB" w:rsidRPr="000E1403">
              <w:rPr>
                <w:rStyle w:val="Hyperlink"/>
                <w:noProof/>
                <w:highlight w:val="yellow"/>
              </w:rPr>
              <w:t>4. Provision of Occupation Health Services – Services funded by the GP practice</w:t>
            </w:r>
            <w:r w:rsidR="004564CB">
              <w:rPr>
                <w:noProof/>
                <w:webHidden/>
              </w:rPr>
              <w:tab/>
            </w:r>
            <w:r w:rsidR="004564CB">
              <w:rPr>
                <w:noProof/>
                <w:webHidden/>
              </w:rPr>
              <w:fldChar w:fldCharType="begin"/>
            </w:r>
            <w:r w:rsidR="004564CB">
              <w:rPr>
                <w:noProof/>
                <w:webHidden/>
              </w:rPr>
              <w:instrText xml:space="preserve"> PAGEREF _Toc95743605 \h </w:instrText>
            </w:r>
            <w:r w:rsidR="004564CB">
              <w:rPr>
                <w:noProof/>
                <w:webHidden/>
              </w:rPr>
            </w:r>
            <w:r w:rsidR="004564CB">
              <w:rPr>
                <w:noProof/>
                <w:webHidden/>
              </w:rPr>
              <w:fldChar w:fldCharType="separate"/>
            </w:r>
            <w:r w:rsidR="00A176C0">
              <w:rPr>
                <w:noProof/>
                <w:webHidden/>
              </w:rPr>
              <w:t>449</w:t>
            </w:r>
            <w:r w:rsidR="004564CB">
              <w:rPr>
                <w:noProof/>
                <w:webHidden/>
              </w:rPr>
              <w:fldChar w:fldCharType="end"/>
            </w:r>
          </w:hyperlink>
        </w:p>
        <w:p w14:paraId="28D9B155" w14:textId="0A33CE88" w:rsidR="00446DA6" w:rsidRDefault="00846153" w:rsidP="00CF69A3">
          <w:pPr>
            <w:spacing w:before="120" w:after="120" w:line="276" w:lineRule="auto"/>
          </w:pPr>
          <w:r>
            <w:fldChar w:fldCharType="end"/>
          </w:r>
        </w:p>
      </w:sdtContent>
    </w:sdt>
    <w:p w14:paraId="53F1EBE0" w14:textId="443AB954" w:rsidR="00BD0523" w:rsidRDefault="00BD0523" w:rsidP="00A716D1">
      <w:pPr>
        <w:rPr>
          <w:rFonts w:cs="Arial"/>
          <w:color w:val="0072C6"/>
          <w:kern w:val="32"/>
          <w:sz w:val="32"/>
          <w:szCs w:val="32"/>
        </w:rPr>
      </w:pPr>
    </w:p>
    <w:p w14:paraId="052569C0" w14:textId="34B8A0AD" w:rsidR="008109B5" w:rsidRDefault="008109B5" w:rsidP="00F466C6">
      <w:pPr>
        <w:pStyle w:val="BodyText"/>
        <w:rPr>
          <w:b/>
          <w:color w:val="005EB8" w:themeColor="text2"/>
          <w:sz w:val="24"/>
          <w:szCs w:val="24"/>
        </w:rPr>
      </w:pPr>
    </w:p>
    <w:p w14:paraId="29F8E258" w14:textId="77777777" w:rsidR="008109B5" w:rsidRDefault="008109B5">
      <w:pPr>
        <w:rPr>
          <w:b/>
          <w:bCs w:val="0"/>
          <w:color w:val="005EB8" w:themeColor="text2"/>
          <w:szCs w:val="24"/>
          <w:lang w:eastAsia="en-GB"/>
        </w:rPr>
      </w:pPr>
      <w:r>
        <w:rPr>
          <w:b/>
          <w:color w:val="005EB8" w:themeColor="text2"/>
          <w:szCs w:val="24"/>
        </w:rPr>
        <w:br w:type="page"/>
      </w:r>
    </w:p>
    <w:p w14:paraId="02F2D17C" w14:textId="073E8949" w:rsidR="00BD0523" w:rsidRPr="00F466C6" w:rsidRDefault="00BD0523" w:rsidP="00F466C6">
      <w:pPr>
        <w:pStyle w:val="BodyText"/>
        <w:rPr>
          <w:b/>
          <w:color w:val="005EB8" w:themeColor="text2"/>
          <w:sz w:val="32"/>
          <w:szCs w:val="32"/>
        </w:rPr>
      </w:pPr>
      <w:r w:rsidRPr="00F466C6">
        <w:rPr>
          <w:b/>
          <w:color w:val="005EB8" w:themeColor="text2"/>
          <w:sz w:val="32"/>
          <w:szCs w:val="32"/>
        </w:rPr>
        <w:t>Executive summary</w:t>
      </w:r>
      <w:r w:rsidR="00AD18FA" w:rsidRPr="00F466C6">
        <w:rPr>
          <w:b/>
          <w:color w:val="005EB8" w:themeColor="text2"/>
          <w:sz w:val="32"/>
          <w:szCs w:val="32"/>
        </w:rPr>
        <w:t xml:space="preserve"> </w:t>
      </w:r>
    </w:p>
    <w:p w14:paraId="6B86430B" w14:textId="3D64D2CA" w:rsidR="00BD743E" w:rsidRDefault="00ED39AE" w:rsidP="00782D1D">
      <w:pPr>
        <w:spacing w:before="240" w:after="240" w:line="276" w:lineRule="auto"/>
      </w:pPr>
      <w:r w:rsidRPr="00ED39AE">
        <w:t xml:space="preserve">This </w:t>
      </w:r>
      <w:r w:rsidR="00824326">
        <w:t>Primary Medical Care P</w:t>
      </w:r>
      <w:r w:rsidRPr="00ED39AE">
        <w:t xml:space="preserve">olicy and </w:t>
      </w:r>
      <w:r w:rsidR="00824326">
        <w:t>G</w:t>
      </w:r>
      <w:r w:rsidRPr="00ED39AE">
        <w:t xml:space="preserve">uidance </w:t>
      </w:r>
      <w:r w:rsidR="00824326">
        <w:t>M</w:t>
      </w:r>
      <w:r w:rsidRPr="00ED39AE">
        <w:t xml:space="preserve">anual </w:t>
      </w:r>
      <w:r w:rsidR="00760A87">
        <w:t xml:space="preserve">(PGM) </w:t>
      </w:r>
      <w:r>
        <w:t xml:space="preserve">has been updated to reflect </w:t>
      </w:r>
      <w:r w:rsidR="00852939">
        <w:t xml:space="preserve">ongoing </w:t>
      </w:r>
      <w:r w:rsidR="003605DB">
        <w:t xml:space="preserve">development and </w:t>
      </w:r>
      <w:r>
        <w:t>chang</w:t>
      </w:r>
      <w:r w:rsidR="003605DB">
        <w:t>es in the commissioning and contractual management</w:t>
      </w:r>
      <w:r>
        <w:t xml:space="preserve"> landscape.</w:t>
      </w:r>
      <w:r w:rsidR="0090277B">
        <w:t xml:space="preserve"> </w:t>
      </w:r>
      <w:r w:rsidR="00F3249D">
        <w:t xml:space="preserve">This suite of </w:t>
      </w:r>
      <w:r w:rsidR="0090277B" w:rsidRPr="0090277B">
        <w:t>polic</w:t>
      </w:r>
      <w:r w:rsidR="00F3249D">
        <w:t>ies</w:t>
      </w:r>
      <w:r w:rsidR="0090277B" w:rsidRPr="0090277B">
        <w:t xml:space="preserve"> should be followed by all commissioners of NHS Primary Medical Care. This approach ensures that all commissioner</w:t>
      </w:r>
      <w:r w:rsidR="0090277B">
        <w:t>s</w:t>
      </w:r>
      <w:r w:rsidR="0090277B" w:rsidRPr="0090277B">
        <w:t xml:space="preserve">, providers and most importantly patients are treated equitably and that NHS England and </w:t>
      </w:r>
      <w:r w:rsidR="0005285B">
        <w:t>its commissioners</w:t>
      </w:r>
      <w:r w:rsidR="002F4A2E">
        <w:t xml:space="preserve"> </w:t>
      </w:r>
      <w:r w:rsidR="0090277B" w:rsidRPr="0090277B">
        <w:t xml:space="preserve">meet their statutory </w:t>
      </w:r>
      <w:r w:rsidR="00D73B80">
        <w:t xml:space="preserve">and/or delegated </w:t>
      </w:r>
      <w:r w:rsidR="0090277B" w:rsidRPr="0090277B">
        <w:t xml:space="preserve">duties. </w:t>
      </w:r>
    </w:p>
    <w:p w14:paraId="7BE6F11F" w14:textId="79AA0D62" w:rsidR="00BD743E" w:rsidRPr="0091533F" w:rsidRDefault="00BD743E" w:rsidP="00AB6832">
      <w:pPr>
        <w:spacing w:line="360" w:lineRule="auto"/>
        <w:rPr>
          <w:rFonts w:cs="Arial"/>
          <w:b/>
          <w:bCs w:val="0"/>
          <w:color w:val="0E101A"/>
          <w:szCs w:val="24"/>
          <w:lang w:eastAsia="en-GB"/>
        </w:rPr>
      </w:pPr>
      <w:r w:rsidRPr="0091533F">
        <w:rPr>
          <w:rFonts w:cs="Arial"/>
          <w:b/>
          <w:bCs w:val="0"/>
          <w:szCs w:val="24"/>
        </w:rPr>
        <w:t>P</w:t>
      </w:r>
      <w:r w:rsidRPr="0091533F">
        <w:rPr>
          <w:rFonts w:cs="Arial"/>
          <w:b/>
          <w:bCs w:val="0"/>
          <w:color w:val="0E101A"/>
          <w:szCs w:val="24"/>
          <w:lang w:eastAsia="en-GB"/>
        </w:rPr>
        <w:t>rovisions during the Covid pandemic</w:t>
      </w:r>
    </w:p>
    <w:p w14:paraId="65BD29C5" w14:textId="0BD05DB8" w:rsidR="00BD743E" w:rsidRPr="0091533F" w:rsidRDefault="00BD743E" w:rsidP="00AB6832">
      <w:pPr>
        <w:spacing w:line="360" w:lineRule="auto"/>
        <w:rPr>
          <w:rFonts w:cs="Arial"/>
          <w:color w:val="0E101A"/>
          <w:szCs w:val="24"/>
          <w:lang w:eastAsia="en-GB"/>
        </w:rPr>
      </w:pPr>
    </w:p>
    <w:p w14:paraId="3FCC59F3" w14:textId="585FA0EF" w:rsidR="00802065" w:rsidRPr="0091533F" w:rsidRDefault="00293C72" w:rsidP="00AB6832">
      <w:pPr>
        <w:spacing w:line="360" w:lineRule="auto"/>
        <w:rPr>
          <w:rFonts w:cs="Arial"/>
          <w:color w:val="0E101A"/>
          <w:szCs w:val="24"/>
          <w:lang w:eastAsia="en-GB"/>
        </w:rPr>
      </w:pPr>
      <w:r w:rsidRPr="0091533F">
        <w:rPr>
          <w:rFonts w:cs="Arial"/>
          <w:color w:val="0E101A"/>
          <w:szCs w:val="24"/>
          <w:lang w:eastAsia="en-GB"/>
        </w:rPr>
        <w:t>T</w:t>
      </w:r>
      <w:r w:rsidR="003605DB" w:rsidRPr="0091533F">
        <w:rPr>
          <w:rFonts w:cs="Arial"/>
          <w:color w:val="0E101A"/>
          <w:szCs w:val="24"/>
          <w:lang w:eastAsia="en-GB"/>
        </w:rPr>
        <w:t xml:space="preserve">his </w:t>
      </w:r>
      <w:r w:rsidR="002F4A2E">
        <w:rPr>
          <w:rFonts w:cs="Arial"/>
          <w:color w:val="0E101A"/>
          <w:szCs w:val="24"/>
          <w:lang w:eastAsia="en-GB"/>
        </w:rPr>
        <w:t xml:space="preserve">is a second </w:t>
      </w:r>
      <w:r w:rsidR="004062CB">
        <w:rPr>
          <w:rFonts w:cs="Arial"/>
          <w:color w:val="0E101A"/>
          <w:szCs w:val="24"/>
          <w:lang w:eastAsia="en-GB"/>
        </w:rPr>
        <w:t>PGM</w:t>
      </w:r>
      <w:r w:rsidR="004E5151">
        <w:rPr>
          <w:rFonts w:cs="Arial"/>
          <w:color w:val="0E101A"/>
          <w:szCs w:val="24"/>
          <w:lang w:eastAsia="en-GB"/>
        </w:rPr>
        <w:t xml:space="preserve"> </w:t>
      </w:r>
      <w:r w:rsidR="003605DB" w:rsidRPr="0091533F">
        <w:rPr>
          <w:rFonts w:cs="Arial"/>
          <w:color w:val="0E101A"/>
          <w:szCs w:val="24"/>
          <w:lang w:eastAsia="en-GB"/>
        </w:rPr>
        <w:t xml:space="preserve">update </w:t>
      </w:r>
      <w:r w:rsidR="002F4A2E">
        <w:rPr>
          <w:rFonts w:cs="Arial"/>
          <w:color w:val="0E101A"/>
          <w:szCs w:val="24"/>
          <w:lang w:eastAsia="en-GB"/>
        </w:rPr>
        <w:t xml:space="preserve">to </w:t>
      </w:r>
      <w:r w:rsidR="003605DB" w:rsidRPr="0091533F">
        <w:rPr>
          <w:rFonts w:cs="Arial"/>
          <w:color w:val="0E101A"/>
          <w:szCs w:val="24"/>
          <w:lang w:eastAsia="en-GB"/>
        </w:rPr>
        <w:t>be made</w:t>
      </w:r>
      <w:r w:rsidR="00A76779">
        <w:rPr>
          <w:rFonts w:cs="Arial"/>
          <w:color w:val="0E101A"/>
          <w:szCs w:val="24"/>
          <w:lang w:eastAsia="en-GB"/>
        </w:rPr>
        <w:t xml:space="preserve"> </w:t>
      </w:r>
      <w:r w:rsidR="002F4A2E">
        <w:rPr>
          <w:rFonts w:cs="Arial"/>
          <w:color w:val="0E101A"/>
          <w:szCs w:val="24"/>
          <w:lang w:eastAsia="en-GB"/>
        </w:rPr>
        <w:t xml:space="preserve">during the </w:t>
      </w:r>
      <w:r w:rsidR="00BD743E" w:rsidRPr="0091533F">
        <w:rPr>
          <w:rFonts w:cs="Arial"/>
          <w:color w:val="0E101A"/>
          <w:szCs w:val="24"/>
          <w:lang w:eastAsia="en-GB"/>
        </w:rPr>
        <w:t>pandemic</w:t>
      </w:r>
      <w:r w:rsidR="00852939" w:rsidRPr="0091533F">
        <w:rPr>
          <w:rFonts w:cs="Arial"/>
          <w:color w:val="0E101A"/>
          <w:szCs w:val="24"/>
          <w:lang w:eastAsia="en-GB"/>
        </w:rPr>
        <w:t xml:space="preserve"> and it is</w:t>
      </w:r>
      <w:r w:rsidR="00BD743E" w:rsidRPr="0091533F">
        <w:rPr>
          <w:rFonts w:cs="Arial"/>
          <w:color w:val="0E101A"/>
          <w:szCs w:val="24"/>
          <w:lang w:eastAsia="en-GB"/>
        </w:rPr>
        <w:t xml:space="preserve"> recognise</w:t>
      </w:r>
      <w:r w:rsidR="00852939" w:rsidRPr="0091533F">
        <w:rPr>
          <w:rFonts w:cs="Arial"/>
          <w:color w:val="0E101A"/>
          <w:szCs w:val="24"/>
          <w:lang w:eastAsia="en-GB"/>
        </w:rPr>
        <w:t>d</w:t>
      </w:r>
      <w:r w:rsidR="00BD743E" w:rsidRPr="0091533F">
        <w:rPr>
          <w:rFonts w:cs="Arial"/>
          <w:color w:val="0E101A"/>
          <w:szCs w:val="24"/>
          <w:lang w:eastAsia="en-GB"/>
        </w:rPr>
        <w:t xml:space="preserve"> that </w:t>
      </w:r>
      <w:r w:rsidR="004E5151">
        <w:rPr>
          <w:rFonts w:cs="Arial"/>
          <w:color w:val="0E101A"/>
          <w:szCs w:val="24"/>
          <w:lang w:eastAsia="en-GB"/>
        </w:rPr>
        <w:t xml:space="preserve">many </w:t>
      </w:r>
      <w:r w:rsidRPr="0091533F">
        <w:rPr>
          <w:rFonts w:cs="Arial"/>
          <w:color w:val="0E101A"/>
          <w:szCs w:val="24"/>
          <w:lang w:eastAsia="en-GB"/>
        </w:rPr>
        <w:t xml:space="preserve">challenges </w:t>
      </w:r>
      <w:r w:rsidR="002F4A2E">
        <w:rPr>
          <w:rFonts w:cs="Arial"/>
          <w:color w:val="0E101A"/>
          <w:szCs w:val="24"/>
          <w:lang w:eastAsia="en-GB"/>
        </w:rPr>
        <w:t xml:space="preserve">and uncertainties remain around the continued management of COVID-19 </w:t>
      </w:r>
      <w:r w:rsidR="004E5151">
        <w:rPr>
          <w:rFonts w:cs="Arial"/>
          <w:color w:val="0E101A"/>
          <w:szCs w:val="24"/>
          <w:lang w:eastAsia="en-GB"/>
        </w:rPr>
        <w:t xml:space="preserve">alongside the </w:t>
      </w:r>
      <w:r w:rsidR="00C90E20">
        <w:rPr>
          <w:rFonts w:cs="Arial"/>
          <w:color w:val="0E101A"/>
          <w:szCs w:val="24"/>
          <w:lang w:eastAsia="en-GB"/>
        </w:rPr>
        <w:t xml:space="preserve">ongoing delivery and </w:t>
      </w:r>
      <w:r w:rsidR="004E5151" w:rsidRPr="004E5151">
        <w:rPr>
          <w:rFonts w:cs="Arial"/>
          <w:color w:val="0E101A"/>
          <w:szCs w:val="24"/>
          <w:lang w:eastAsia="en-GB"/>
        </w:rPr>
        <w:t>recovery of services</w:t>
      </w:r>
      <w:r w:rsidR="0055180D">
        <w:rPr>
          <w:rFonts w:cs="Arial"/>
          <w:color w:val="0E101A"/>
          <w:szCs w:val="24"/>
          <w:lang w:eastAsia="en-GB"/>
        </w:rPr>
        <w:t>.</w:t>
      </w:r>
      <w:r w:rsidR="009A0A20" w:rsidRPr="0091533F">
        <w:rPr>
          <w:rFonts w:cs="Arial"/>
          <w:color w:val="0E101A"/>
          <w:szCs w:val="24"/>
          <w:lang w:eastAsia="en-GB"/>
        </w:rPr>
        <w:t>.</w:t>
      </w:r>
      <w:r w:rsidR="00802065" w:rsidRPr="0091533F">
        <w:rPr>
          <w:rFonts w:cs="Arial"/>
          <w:color w:val="0E101A"/>
          <w:szCs w:val="24"/>
          <w:lang w:eastAsia="en-GB"/>
        </w:rPr>
        <w:t xml:space="preserve"> </w:t>
      </w:r>
    </w:p>
    <w:p w14:paraId="24D4AC80" w14:textId="57F1B2CB" w:rsidR="00802065" w:rsidRPr="0091533F" w:rsidRDefault="00802065" w:rsidP="00AB6832">
      <w:pPr>
        <w:spacing w:line="360" w:lineRule="auto"/>
        <w:rPr>
          <w:rFonts w:cs="Arial"/>
          <w:color w:val="0E101A"/>
          <w:szCs w:val="24"/>
          <w:lang w:eastAsia="en-GB"/>
        </w:rPr>
      </w:pPr>
    </w:p>
    <w:p w14:paraId="38F130F1" w14:textId="656B367D" w:rsidR="00E57FA5" w:rsidRPr="0091533F" w:rsidRDefault="00802065" w:rsidP="00AB6832">
      <w:pPr>
        <w:spacing w:line="360" w:lineRule="auto"/>
        <w:rPr>
          <w:rFonts w:cs="Arial"/>
          <w:color w:val="0E101A"/>
          <w:szCs w:val="24"/>
          <w:lang w:eastAsia="en-GB"/>
        </w:rPr>
      </w:pPr>
      <w:r w:rsidRPr="0091533F">
        <w:rPr>
          <w:rFonts w:cs="Arial"/>
          <w:color w:val="0E101A"/>
          <w:szCs w:val="24"/>
          <w:lang w:eastAsia="en-GB"/>
        </w:rPr>
        <w:t xml:space="preserve">Statutory duties remain and </w:t>
      </w:r>
      <w:r w:rsidR="00490EC3" w:rsidRPr="0091533F">
        <w:rPr>
          <w:rFonts w:cs="Arial"/>
          <w:color w:val="0E101A"/>
          <w:szCs w:val="24"/>
          <w:lang w:eastAsia="en-GB"/>
        </w:rPr>
        <w:t>c</w:t>
      </w:r>
      <w:r w:rsidR="00E57FA5" w:rsidRPr="0091533F">
        <w:rPr>
          <w:rFonts w:cs="Arial"/>
          <w:color w:val="0E101A"/>
          <w:szCs w:val="24"/>
          <w:lang w:eastAsia="en-GB"/>
        </w:rPr>
        <w:t xml:space="preserve">ommissioners have a critical role to play in supporting </w:t>
      </w:r>
      <w:r w:rsidR="009A0A20" w:rsidRPr="0091533F">
        <w:rPr>
          <w:rFonts w:cs="Arial"/>
          <w:color w:val="0E101A"/>
          <w:szCs w:val="24"/>
          <w:lang w:eastAsia="en-GB"/>
        </w:rPr>
        <w:t xml:space="preserve">both </w:t>
      </w:r>
      <w:r w:rsidR="00E57FA5" w:rsidRPr="0091533F">
        <w:rPr>
          <w:rFonts w:cs="Arial"/>
          <w:color w:val="0E101A"/>
          <w:szCs w:val="24"/>
          <w:lang w:eastAsia="en-GB"/>
        </w:rPr>
        <w:t xml:space="preserve">the </w:t>
      </w:r>
      <w:r w:rsidR="009A0A20" w:rsidRPr="0091533F">
        <w:rPr>
          <w:rFonts w:cs="Arial"/>
          <w:color w:val="0E101A"/>
          <w:szCs w:val="24"/>
          <w:lang w:eastAsia="en-GB"/>
        </w:rPr>
        <w:t>maintance</w:t>
      </w:r>
      <w:r w:rsidR="00C04532">
        <w:rPr>
          <w:rFonts w:cs="Arial"/>
          <w:color w:val="0E101A"/>
          <w:szCs w:val="24"/>
          <w:lang w:eastAsia="en-GB"/>
        </w:rPr>
        <w:t>,</w:t>
      </w:r>
      <w:r w:rsidR="009A0A20" w:rsidRPr="0091533F">
        <w:rPr>
          <w:rFonts w:cs="Arial"/>
          <w:color w:val="0E101A"/>
          <w:szCs w:val="24"/>
          <w:lang w:eastAsia="en-GB"/>
        </w:rPr>
        <w:t xml:space="preserve"> </w:t>
      </w:r>
      <w:r w:rsidR="00C04532" w:rsidRPr="0091533F">
        <w:rPr>
          <w:rFonts w:cs="Arial"/>
          <w:color w:val="0E101A"/>
          <w:szCs w:val="24"/>
          <w:lang w:eastAsia="en-GB"/>
        </w:rPr>
        <w:t>recovery</w:t>
      </w:r>
      <w:r w:rsidR="00C04532">
        <w:rPr>
          <w:rFonts w:cs="Arial"/>
          <w:color w:val="0E101A"/>
          <w:szCs w:val="24"/>
          <w:lang w:eastAsia="en-GB"/>
        </w:rPr>
        <w:t xml:space="preserve"> </w:t>
      </w:r>
      <w:r w:rsidR="0055180D">
        <w:rPr>
          <w:rFonts w:cs="Arial"/>
          <w:color w:val="0E101A"/>
          <w:szCs w:val="24"/>
          <w:lang w:eastAsia="en-GB"/>
        </w:rPr>
        <w:t xml:space="preserve">and improvement </w:t>
      </w:r>
      <w:r w:rsidR="00E57FA5" w:rsidRPr="0091533F">
        <w:rPr>
          <w:rFonts w:cs="Arial"/>
          <w:color w:val="0E101A"/>
          <w:szCs w:val="24"/>
          <w:lang w:eastAsia="en-GB"/>
        </w:rPr>
        <w:t>o</w:t>
      </w:r>
      <w:r w:rsidR="009A0A20" w:rsidRPr="0091533F">
        <w:rPr>
          <w:rFonts w:cs="Arial"/>
          <w:color w:val="0E101A"/>
          <w:szCs w:val="24"/>
          <w:lang w:eastAsia="en-GB"/>
        </w:rPr>
        <w:t>f</w:t>
      </w:r>
      <w:r w:rsidR="00E57FA5" w:rsidRPr="0091533F">
        <w:rPr>
          <w:rFonts w:cs="Arial"/>
          <w:color w:val="0E101A"/>
          <w:szCs w:val="24"/>
          <w:lang w:eastAsia="en-GB"/>
        </w:rPr>
        <w:t xml:space="preserve"> general practice services</w:t>
      </w:r>
      <w:r w:rsidR="009A0A20" w:rsidRPr="0091533F">
        <w:rPr>
          <w:rFonts w:cs="Arial"/>
          <w:color w:val="0E101A"/>
          <w:szCs w:val="24"/>
          <w:lang w:eastAsia="en-GB"/>
        </w:rPr>
        <w:t xml:space="preserve"> </w:t>
      </w:r>
      <w:r w:rsidR="00E57FA5" w:rsidRPr="0091533F">
        <w:rPr>
          <w:rFonts w:cs="Arial"/>
          <w:color w:val="0E101A"/>
          <w:szCs w:val="24"/>
          <w:lang w:eastAsia="en-GB"/>
        </w:rPr>
        <w:t>and</w:t>
      </w:r>
      <w:r w:rsidR="009A0A20" w:rsidRPr="0091533F">
        <w:rPr>
          <w:rFonts w:cs="Arial"/>
          <w:color w:val="0E101A"/>
          <w:szCs w:val="24"/>
          <w:lang w:eastAsia="en-GB"/>
        </w:rPr>
        <w:t xml:space="preserve"> may also be faced with further outbreaks</w:t>
      </w:r>
      <w:r w:rsidR="00490EC3" w:rsidRPr="0091533F">
        <w:rPr>
          <w:rFonts w:cs="Arial"/>
          <w:color w:val="0E101A"/>
          <w:szCs w:val="24"/>
          <w:lang w:eastAsia="en-GB"/>
        </w:rPr>
        <w:t xml:space="preserve">. </w:t>
      </w:r>
      <w:r w:rsidR="00E57FA5" w:rsidRPr="0091533F">
        <w:rPr>
          <w:rFonts w:cs="Arial"/>
          <w:color w:val="0E101A"/>
          <w:szCs w:val="24"/>
          <w:lang w:eastAsia="en-GB"/>
        </w:rPr>
        <w:t xml:space="preserve">Commissioners’ responsibilities for quality and safety </w:t>
      </w:r>
      <w:r w:rsidRPr="0091533F">
        <w:rPr>
          <w:rFonts w:cs="Arial"/>
          <w:color w:val="0E101A"/>
          <w:szCs w:val="24"/>
          <w:lang w:eastAsia="en-GB"/>
        </w:rPr>
        <w:t xml:space="preserve">also </w:t>
      </w:r>
      <w:r w:rsidR="009A0A20" w:rsidRPr="0091533F">
        <w:rPr>
          <w:rFonts w:cs="Arial"/>
          <w:color w:val="0E101A"/>
          <w:szCs w:val="24"/>
          <w:lang w:eastAsia="en-GB"/>
        </w:rPr>
        <w:t xml:space="preserve">remain. </w:t>
      </w:r>
    </w:p>
    <w:p w14:paraId="7E0EE302" w14:textId="77777777" w:rsidR="0055180D" w:rsidRDefault="0055180D" w:rsidP="00AB6832">
      <w:pPr>
        <w:spacing w:line="360" w:lineRule="auto"/>
        <w:rPr>
          <w:rFonts w:cs="Arial"/>
          <w:color w:val="0E101A"/>
          <w:szCs w:val="24"/>
          <w:lang w:eastAsia="en-GB"/>
        </w:rPr>
      </w:pPr>
    </w:p>
    <w:p w14:paraId="5B2B7424" w14:textId="7DF9CDC9" w:rsidR="0091533F" w:rsidRPr="0091533F" w:rsidRDefault="009A0A20" w:rsidP="00AB6832">
      <w:pPr>
        <w:spacing w:line="360" w:lineRule="auto"/>
        <w:rPr>
          <w:rFonts w:cs="Arial"/>
          <w:color w:val="0E101A"/>
          <w:szCs w:val="24"/>
          <w:lang w:eastAsia="en-GB"/>
        </w:rPr>
      </w:pPr>
      <w:r w:rsidRPr="0091533F">
        <w:rPr>
          <w:rFonts w:cs="Arial"/>
          <w:color w:val="0E101A"/>
          <w:szCs w:val="24"/>
          <w:lang w:eastAsia="en-GB"/>
        </w:rPr>
        <w:t xml:space="preserve">In this context </w:t>
      </w:r>
      <w:r w:rsidR="00D73B80">
        <w:rPr>
          <w:rFonts w:cs="Arial"/>
          <w:color w:val="0E101A"/>
          <w:szCs w:val="24"/>
          <w:lang w:eastAsia="en-GB"/>
        </w:rPr>
        <w:t xml:space="preserve">the </w:t>
      </w:r>
      <w:r w:rsidR="00D73B80" w:rsidRPr="0055180D">
        <w:rPr>
          <w:rFonts w:cs="Arial"/>
          <w:color w:val="0E101A"/>
          <w:szCs w:val="24"/>
          <w:lang w:eastAsia="en-GB"/>
        </w:rPr>
        <w:t xml:space="preserve">policies </w:t>
      </w:r>
      <w:r w:rsidR="00760A87">
        <w:rPr>
          <w:rFonts w:cs="Arial"/>
          <w:color w:val="0E101A"/>
          <w:szCs w:val="24"/>
          <w:lang w:eastAsia="en-GB"/>
        </w:rPr>
        <w:t xml:space="preserve">and guidance </w:t>
      </w:r>
      <w:r w:rsidR="00D1482E">
        <w:rPr>
          <w:rFonts w:cs="Arial"/>
          <w:color w:val="0E101A"/>
          <w:szCs w:val="24"/>
          <w:lang w:eastAsia="en-GB"/>
        </w:rPr>
        <w:t xml:space="preserve">contained within this PGM </w:t>
      </w:r>
      <w:r w:rsidR="00D73B80">
        <w:rPr>
          <w:rFonts w:cs="Arial"/>
          <w:color w:val="0E101A"/>
          <w:szCs w:val="24"/>
          <w:lang w:eastAsia="en-GB"/>
        </w:rPr>
        <w:t xml:space="preserve">continue to support </w:t>
      </w:r>
      <w:r w:rsidRPr="0091533F">
        <w:rPr>
          <w:rFonts w:cs="Arial"/>
          <w:color w:val="0E101A"/>
          <w:szCs w:val="24"/>
          <w:lang w:eastAsia="en-GB"/>
        </w:rPr>
        <w:t>commissioners</w:t>
      </w:r>
      <w:r w:rsidR="003C7826">
        <w:rPr>
          <w:rFonts w:cs="Arial"/>
          <w:color w:val="0E101A"/>
          <w:szCs w:val="24"/>
          <w:lang w:eastAsia="en-GB"/>
        </w:rPr>
        <w:t xml:space="preserve"> and their providers </w:t>
      </w:r>
      <w:r w:rsidR="00D1482E">
        <w:rPr>
          <w:rFonts w:cs="Arial"/>
          <w:color w:val="0E101A"/>
          <w:szCs w:val="24"/>
          <w:lang w:eastAsia="en-GB"/>
        </w:rPr>
        <w:t xml:space="preserve">to </w:t>
      </w:r>
      <w:r w:rsidR="00760A87">
        <w:rPr>
          <w:rFonts w:cs="Arial"/>
          <w:color w:val="0E101A"/>
          <w:szCs w:val="24"/>
          <w:lang w:eastAsia="en-GB"/>
        </w:rPr>
        <w:t xml:space="preserve">ultimately </w:t>
      </w:r>
      <w:r w:rsidR="003C7826">
        <w:rPr>
          <w:rFonts w:cs="Arial"/>
          <w:color w:val="0E101A"/>
          <w:szCs w:val="24"/>
          <w:lang w:eastAsia="en-GB"/>
        </w:rPr>
        <w:t>deliver high quality care for their patients</w:t>
      </w:r>
      <w:r w:rsidR="00BB5C23">
        <w:rPr>
          <w:rFonts w:cs="Arial"/>
          <w:color w:val="0E101A"/>
          <w:szCs w:val="24"/>
          <w:lang w:eastAsia="en-GB"/>
        </w:rPr>
        <w:t xml:space="preserve">. However, it is clear </w:t>
      </w:r>
      <w:r w:rsidR="00BC151D">
        <w:rPr>
          <w:rFonts w:cs="Arial"/>
          <w:color w:val="0E101A"/>
          <w:szCs w:val="24"/>
          <w:lang w:eastAsia="en-GB"/>
        </w:rPr>
        <w:t xml:space="preserve">with the continuing COVID-19 challenges </w:t>
      </w:r>
      <w:r w:rsidR="00390929" w:rsidRPr="00390929">
        <w:rPr>
          <w:rFonts w:cs="Arial"/>
          <w:color w:val="0E101A"/>
          <w:szCs w:val="24"/>
          <w:lang w:eastAsia="en-GB"/>
        </w:rPr>
        <w:t>commissioners contractual management responsibilities</w:t>
      </w:r>
      <w:r w:rsidR="00087B2A">
        <w:rPr>
          <w:rFonts w:cs="Arial"/>
          <w:color w:val="0E101A"/>
          <w:szCs w:val="24"/>
          <w:lang w:eastAsia="en-GB"/>
        </w:rPr>
        <w:t xml:space="preserve"> may need to be exercised flexibly</w:t>
      </w:r>
      <w:r w:rsidR="00BC151D">
        <w:rPr>
          <w:rFonts w:cs="Arial"/>
          <w:color w:val="0E101A"/>
          <w:szCs w:val="24"/>
          <w:lang w:eastAsia="en-GB"/>
        </w:rPr>
        <w:t xml:space="preserve"> taking  account of </w:t>
      </w:r>
      <w:r w:rsidR="00282060">
        <w:rPr>
          <w:rFonts w:cs="Arial"/>
          <w:color w:val="0E101A"/>
          <w:szCs w:val="24"/>
          <w:lang w:eastAsia="en-GB"/>
        </w:rPr>
        <w:t xml:space="preserve">the local contrext </w:t>
      </w:r>
      <w:r w:rsidR="007B6FAF">
        <w:rPr>
          <w:rFonts w:cs="Arial"/>
          <w:color w:val="0E101A"/>
          <w:szCs w:val="24"/>
          <w:lang w:eastAsia="en-GB"/>
        </w:rPr>
        <w:t>and further guidance as may be issued time to time in support.</w:t>
      </w:r>
    </w:p>
    <w:p w14:paraId="20BABCD7" w14:textId="2D13664A" w:rsidR="00E57FA5" w:rsidRDefault="00E57FA5" w:rsidP="00AB6832">
      <w:pPr>
        <w:spacing w:line="360" w:lineRule="auto"/>
        <w:ind w:left="720"/>
        <w:rPr>
          <w:rFonts w:cs="Arial"/>
          <w:color w:val="0E101A"/>
          <w:szCs w:val="24"/>
          <w:lang w:eastAsia="en-GB"/>
        </w:rPr>
      </w:pPr>
    </w:p>
    <w:p w14:paraId="33047A84" w14:textId="73589D17" w:rsidR="00521E62" w:rsidRDefault="003C7826" w:rsidP="00AB6832">
      <w:pPr>
        <w:spacing w:line="360" w:lineRule="auto"/>
        <w:rPr>
          <w:rFonts w:cs="Arial"/>
          <w:b/>
          <w:bCs w:val="0"/>
          <w:color w:val="0E101A"/>
          <w:szCs w:val="24"/>
          <w:lang w:eastAsia="en-GB"/>
        </w:rPr>
      </w:pPr>
      <w:r>
        <w:rPr>
          <w:rFonts w:cs="Arial"/>
          <w:b/>
          <w:bCs w:val="0"/>
          <w:color w:val="0E101A"/>
          <w:szCs w:val="24"/>
          <w:lang w:eastAsia="en-GB"/>
        </w:rPr>
        <w:t>The n</w:t>
      </w:r>
      <w:r w:rsidR="00AF630D">
        <w:rPr>
          <w:rFonts w:cs="Arial"/>
          <w:b/>
          <w:bCs w:val="0"/>
          <w:color w:val="0E101A"/>
          <w:szCs w:val="24"/>
          <w:lang w:eastAsia="en-GB"/>
        </w:rPr>
        <w:t xml:space="preserve">ew </w:t>
      </w:r>
      <w:r w:rsidR="00A76779">
        <w:rPr>
          <w:rFonts w:cs="Arial"/>
          <w:b/>
          <w:bCs w:val="0"/>
          <w:color w:val="0E101A"/>
          <w:szCs w:val="24"/>
          <w:lang w:eastAsia="en-GB"/>
        </w:rPr>
        <w:t>Health and Care Bill</w:t>
      </w:r>
    </w:p>
    <w:p w14:paraId="7E5808EF" w14:textId="4B1B780F" w:rsidR="002C0A21" w:rsidRDefault="002C0A21" w:rsidP="00AB6832">
      <w:pPr>
        <w:pStyle w:val="NormalWeb"/>
        <w:spacing w:line="360" w:lineRule="auto"/>
        <w:rPr>
          <w:rStyle w:val="Strong"/>
          <w:rFonts w:ascii="Arial" w:hAnsi="Arial" w:cs="Arial"/>
          <w:b w:val="0"/>
          <w:bCs w:val="0"/>
          <w:color w:val="0E101A"/>
        </w:rPr>
      </w:pPr>
      <w:r>
        <w:rPr>
          <w:rStyle w:val="Strong"/>
          <w:rFonts w:ascii="Arial" w:hAnsi="Arial" w:cs="Arial"/>
          <w:b w:val="0"/>
          <w:bCs w:val="0"/>
          <w:color w:val="0E101A"/>
        </w:rPr>
        <w:t>This update is also being made in lieu of and sub</w:t>
      </w:r>
      <w:r w:rsidRPr="003C7826">
        <w:rPr>
          <w:rStyle w:val="Strong"/>
          <w:rFonts w:ascii="Arial" w:hAnsi="Arial" w:cs="Arial"/>
          <w:b w:val="0"/>
          <w:bCs w:val="0"/>
          <w:color w:val="0E101A"/>
        </w:rPr>
        <w:t xml:space="preserve">ject to the Health and Care Bill </w:t>
      </w:r>
      <w:r>
        <w:rPr>
          <w:rStyle w:val="Strong"/>
          <w:rFonts w:ascii="Arial" w:hAnsi="Arial" w:cs="Arial"/>
          <w:b w:val="0"/>
          <w:bCs w:val="0"/>
          <w:color w:val="0E101A"/>
        </w:rPr>
        <w:t xml:space="preserve">successfully passing through parliament that </w:t>
      </w:r>
      <w:r w:rsidRPr="003C7826">
        <w:rPr>
          <w:rStyle w:val="Strong"/>
          <w:rFonts w:ascii="Arial" w:hAnsi="Arial" w:cs="Arial"/>
          <w:b w:val="0"/>
          <w:bCs w:val="0"/>
          <w:color w:val="0E101A"/>
        </w:rPr>
        <w:t>will</w:t>
      </w:r>
      <w:r>
        <w:rPr>
          <w:rStyle w:val="Strong"/>
          <w:rFonts w:ascii="Arial" w:hAnsi="Arial" w:cs="Arial"/>
          <w:b w:val="0"/>
          <w:bCs w:val="0"/>
          <w:color w:val="0E101A"/>
        </w:rPr>
        <w:t>:</w:t>
      </w:r>
    </w:p>
    <w:p w14:paraId="78C7BE27" w14:textId="5F8EB52E" w:rsidR="00AB6832" w:rsidRDefault="002C0A21" w:rsidP="00AB6832">
      <w:pPr>
        <w:pStyle w:val="NormalWeb"/>
        <w:numPr>
          <w:ilvl w:val="0"/>
          <w:numId w:val="233"/>
        </w:numPr>
        <w:spacing w:line="360" w:lineRule="auto"/>
        <w:rPr>
          <w:rStyle w:val="Strong"/>
          <w:rFonts w:ascii="Arial" w:hAnsi="Arial" w:cs="Arial"/>
          <w:b w:val="0"/>
          <w:bCs w:val="0"/>
          <w:color w:val="0E101A"/>
        </w:rPr>
      </w:pPr>
      <w:r w:rsidRPr="001E1485">
        <w:rPr>
          <w:rStyle w:val="Strong"/>
          <w:rFonts w:ascii="Arial" w:hAnsi="Arial" w:cs="Arial"/>
          <w:b w:val="0"/>
          <w:bCs w:val="0"/>
          <w:color w:val="0E101A"/>
        </w:rPr>
        <w:t>formally establish</w:t>
      </w:r>
      <w:r>
        <w:rPr>
          <w:rStyle w:val="Strong"/>
          <w:rFonts w:ascii="Arial" w:hAnsi="Arial" w:cs="Arial"/>
          <w:b w:val="0"/>
          <w:bCs w:val="0"/>
          <w:color w:val="0E101A"/>
        </w:rPr>
        <w:t xml:space="preserve"> </w:t>
      </w:r>
      <w:r w:rsidRPr="001E1485">
        <w:rPr>
          <w:rStyle w:val="Strong"/>
          <w:rFonts w:ascii="Arial" w:hAnsi="Arial" w:cs="Arial"/>
          <w:b w:val="0"/>
          <w:bCs w:val="0"/>
          <w:color w:val="0E101A"/>
        </w:rPr>
        <w:t>NHS Integrated Care Systems (ICSs) and give their governing bodies – Integrated Care Boards (ICBs) – a broader range of responsibilities</w:t>
      </w:r>
      <w:r w:rsidRPr="00586C7D">
        <w:rPr>
          <w:rStyle w:val="Strong"/>
          <w:rFonts w:ascii="Arial" w:hAnsi="Arial" w:cs="Arial"/>
          <w:b w:val="0"/>
          <w:bCs w:val="0"/>
          <w:color w:val="0E101A"/>
        </w:rPr>
        <w:t>. This will be done at the same time as abolishing Clinical Commissioning Groups (CCGs)</w:t>
      </w:r>
      <w:r w:rsidR="00D1482E">
        <w:rPr>
          <w:rStyle w:val="Strong"/>
          <w:rFonts w:ascii="Arial" w:hAnsi="Arial" w:cs="Arial"/>
          <w:b w:val="0"/>
          <w:bCs w:val="0"/>
          <w:color w:val="0E101A"/>
        </w:rPr>
        <w:t>; and,</w:t>
      </w:r>
    </w:p>
    <w:p w14:paraId="00C98F97" w14:textId="77777777" w:rsidR="00AB6832" w:rsidRPr="00AB6832" w:rsidRDefault="00AB6832" w:rsidP="00AB6832">
      <w:pPr>
        <w:pStyle w:val="NormalWeb"/>
        <w:spacing w:line="360" w:lineRule="auto"/>
        <w:ind w:left="720"/>
        <w:rPr>
          <w:rStyle w:val="Strong"/>
          <w:rFonts w:ascii="Arial" w:hAnsi="Arial" w:cs="Arial"/>
          <w:b w:val="0"/>
          <w:bCs w:val="0"/>
          <w:color w:val="0E101A"/>
        </w:rPr>
      </w:pPr>
    </w:p>
    <w:p w14:paraId="41B27191" w14:textId="1915B3ED" w:rsidR="001047F3" w:rsidRDefault="00D1482E" w:rsidP="00AB6832">
      <w:pPr>
        <w:pStyle w:val="NormalWeb"/>
        <w:numPr>
          <w:ilvl w:val="0"/>
          <w:numId w:val="233"/>
        </w:numPr>
        <w:spacing w:line="360" w:lineRule="auto"/>
        <w:rPr>
          <w:rStyle w:val="Strong"/>
          <w:rFonts w:ascii="Arial" w:hAnsi="Arial" w:cs="Arial"/>
          <w:b w:val="0"/>
          <w:bCs w:val="0"/>
          <w:color w:val="0E101A"/>
        </w:rPr>
      </w:pPr>
      <w:r w:rsidRPr="001047F3">
        <w:rPr>
          <w:rStyle w:val="Strong"/>
          <w:rFonts w:ascii="Arial" w:hAnsi="Arial" w:cs="Arial"/>
          <w:b w:val="0"/>
          <w:bCs w:val="0"/>
          <w:color w:val="0E101A"/>
        </w:rPr>
        <w:t>i</w:t>
      </w:r>
      <w:r w:rsidR="002C0A21" w:rsidRPr="001047F3">
        <w:rPr>
          <w:rStyle w:val="Strong"/>
          <w:rFonts w:ascii="Arial" w:hAnsi="Arial" w:cs="Arial"/>
          <w:b w:val="0"/>
          <w:bCs w:val="0"/>
          <w:color w:val="0E101A"/>
        </w:rPr>
        <w:t xml:space="preserve">ntroduce a new </w:t>
      </w:r>
      <w:r w:rsidRPr="00BB1F5A">
        <w:rPr>
          <w:rStyle w:val="Strong"/>
          <w:rFonts w:ascii="Arial" w:hAnsi="Arial" w:cs="Arial"/>
          <w:b w:val="0"/>
          <w:bCs w:val="0"/>
          <w:color w:val="0E101A"/>
        </w:rPr>
        <w:t xml:space="preserve">NHS </w:t>
      </w:r>
      <w:r w:rsidR="002C0A21" w:rsidRPr="00BB1F5A">
        <w:rPr>
          <w:rStyle w:val="Strong"/>
          <w:rFonts w:ascii="Arial" w:hAnsi="Arial" w:cs="Arial"/>
          <w:b w:val="0"/>
          <w:bCs w:val="0"/>
          <w:color w:val="0E101A"/>
        </w:rPr>
        <w:t>Provider Selection Regime</w:t>
      </w:r>
      <w:r w:rsidR="001047F3" w:rsidRPr="00BB1F5A">
        <w:rPr>
          <w:rStyle w:val="Strong"/>
          <w:rFonts w:ascii="Arial" w:hAnsi="Arial" w:cs="Arial"/>
          <w:b w:val="0"/>
          <w:bCs w:val="0"/>
          <w:color w:val="0E101A"/>
        </w:rPr>
        <w:t xml:space="preserve"> (PSR)</w:t>
      </w:r>
      <w:r w:rsidRPr="00BB1F5A">
        <w:rPr>
          <w:rStyle w:val="Strong"/>
          <w:rFonts w:ascii="Arial" w:hAnsi="Arial" w:cs="Arial"/>
          <w:b w:val="0"/>
          <w:bCs w:val="0"/>
          <w:color w:val="0E101A"/>
        </w:rPr>
        <w:t>, which will establish a new set of rules for arranging NHS services</w:t>
      </w:r>
      <w:r w:rsidR="001047F3">
        <w:rPr>
          <w:rStyle w:val="Strong"/>
          <w:rFonts w:ascii="Arial" w:hAnsi="Arial" w:cs="Arial"/>
          <w:b w:val="0"/>
          <w:bCs w:val="0"/>
          <w:color w:val="0E101A"/>
        </w:rPr>
        <w:t xml:space="preserve"> to give </w:t>
      </w:r>
      <w:r w:rsidRPr="001047F3">
        <w:rPr>
          <w:rStyle w:val="Strong"/>
          <w:rFonts w:ascii="Arial" w:hAnsi="Arial" w:cs="Arial"/>
          <w:b w:val="0"/>
          <w:bCs w:val="0"/>
          <w:color w:val="0E101A"/>
        </w:rPr>
        <w:t xml:space="preserve">decision makers a </w:t>
      </w:r>
      <w:r w:rsidR="001047F3">
        <w:rPr>
          <w:rStyle w:val="Strong"/>
          <w:rFonts w:ascii="Arial" w:hAnsi="Arial" w:cs="Arial"/>
          <w:b w:val="0"/>
          <w:bCs w:val="0"/>
          <w:color w:val="0E101A"/>
        </w:rPr>
        <w:t xml:space="preserve">more </w:t>
      </w:r>
      <w:r w:rsidRPr="001047F3">
        <w:rPr>
          <w:rStyle w:val="Strong"/>
          <w:rFonts w:ascii="Arial" w:hAnsi="Arial" w:cs="Arial"/>
          <w:b w:val="0"/>
          <w:bCs w:val="0"/>
          <w:color w:val="0E101A"/>
        </w:rPr>
        <w:t>flexible</w:t>
      </w:r>
      <w:r w:rsidR="001047F3">
        <w:rPr>
          <w:rStyle w:val="Strong"/>
          <w:rFonts w:ascii="Arial" w:hAnsi="Arial" w:cs="Arial"/>
          <w:b w:val="0"/>
          <w:bCs w:val="0"/>
          <w:color w:val="0E101A"/>
        </w:rPr>
        <w:t xml:space="preserve"> and</w:t>
      </w:r>
      <w:r w:rsidRPr="001047F3">
        <w:rPr>
          <w:rStyle w:val="Strong"/>
          <w:rFonts w:ascii="Arial" w:hAnsi="Arial" w:cs="Arial"/>
          <w:b w:val="0"/>
          <w:bCs w:val="0"/>
          <w:color w:val="0E101A"/>
        </w:rPr>
        <w:t xml:space="preserve"> proportionate decision-making process for selecting providers to deliver healthcare services to the public, including primary medical services</w:t>
      </w:r>
      <w:r w:rsidR="001047F3" w:rsidRPr="001047F3">
        <w:rPr>
          <w:rStyle w:val="Strong"/>
          <w:rFonts w:ascii="Arial" w:hAnsi="Arial" w:cs="Arial"/>
          <w:b w:val="0"/>
          <w:bCs w:val="0"/>
          <w:color w:val="0E101A"/>
        </w:rPr>
        <w:t>. This will replace the current rules for procuring NHS healthcare services</w:t>
      </w:r>
      <w:r w:rsidR="001047F3">
        <w:rPr>
          <w:rStyle w:val="Strong"/>
          <w:rFonts w:ascii="Arial" w:hAnsi="Arial" w:cs="Arial"/>
          <w:b w:val="0"/>
          <w:bCs w:val="0"/>
          <w:color w:val="0E101A"/>
        </w:rPr>
        <w:t>.</w:t>
      </w:r>
    </w:p>
    <w:p w14:paraId="5C47FD39" w14:textId="55C0CE7F" w:rsidR="0091533F" w:rsidRPr="000F5A23" w:rsidRDefault="003C7826" w:rsidP="00AB6832">
      <w:pPr>
        <w:spacing w:line="360" w:lineRule="auto"/>
        <w:rPr>
          <w:rFonts w:cs="Arial"/>
          <w:i/>
          <w:iCs/>
          <w:color w:val="0E101A"/>
          <w:szCs w:val="24"/>
          <w:highlight w:val="yellow"/>
          <w:u w:val="single"/>
          <w:lang w:eastAsia="en-GB"/>
        </w:rPr>
      </w:pPr>
      <w:r w:rsidRPr="000F5A23">
        <w:rPr>
          <w:rFonts w:cs="Arial"/>
          <w:i/>
          <w:iCs/>
          <w:color w:val="0E101A"/>
          <w:szCs w:val="24"/>
          <w:highlight w:val="yellow"/>
          <w:u w:val="single"/>
          <w:lang w:eastAsia="en-GB"/>
        </w:rPr>
        <w:t xml:space="preserve">Integrated </w:t>
      </w:r>
      <w:r w:rsidR="00AF630D" w:rsidRPr="000F5A23">
        <w:rPr>
          <w:rFonts w:cs="Arial"/>
          <w:i/>
          <w:iCs/>
          <w:color w:val="0E101A"/>
          <w:szCs w:val="24"/>
          <w:highlight w:val="yellow"/>
          <w:u w:val="single"/>
          <w:lang w:eastAsia="en-GB"/>
        </w:rPr>
        <w:t>C</w:t>
      </w:r>
      <w:r w:rsidR="008558A6" w:rsidRPr="000F5A23">
        <w:rPr>
          <w:rFonts w:cs="Arial"/>
          <w:i/>
          <w:iCs/>
          <w:color w:val="0E101A"/>
          <w:szCs w:val="24"/>
          <w:highlight w:val="yellow"/>
          <w:u w:val="single"/>
          <w:lang w:eastAsia="en-GB"/>
        </w:rPr>
        <w:t>are Systems</w:t>
      </w:r>
      <w:r w:rsidR="00AF630D" w:rsidRPr="000F5A23">
        <w:rPr>
          <w:rFonts w:cs="Arial"/>
          <w:i/>
          <w:iCs/>
          <w:color w:val="0E101A"/>
          <w:szCs w:val="24"/>
          <w:highlight w:val="yellow"/>
          <w:u w:val="single"/>
          <w:lang w:eastAsia="en-GB"/>
        </w:rPr>
        <w:t xml:space="preserve"> </w:t>
      </w:r>
    </w:p>
    <w:p w14:paraId="65722396" w14:textId="77777777" w:rsidR="00020A3B" w:rsidRPr="000F5A23" w:rsidRDefault="00020A3B" w:rsidP="00AB6832">
      <w:pPr>
        <w:spacing w:line="360" w:lineRule="auto"/>
        <w:ind w:left="720"/>
        <w:rPr>
          <w:rFonts w:cs="Arial"/>
          <w:b/>
          <w:bCs w:val="0"/>
          <w:color w:val="0E101A"/>
          <w:szCs w:val="24"/>
          <w:highlight w:val="yellow"/>
          <w:lang w:eastAsia="en-GB"/>
        </w:rPr>
      </w:pPr>
    </w:p>
    <w:p w14:paraId="169B28FF" w14:textId="6FD4FCDF" w:rsidR="00A76779" w:rsidRPr="00153B30" w:rsidRDefault="00A76779" w:rsidP="00AB6832">
      <w:pPr>
        <w:pStyle w:val="NormalWeb"/>
        <w:spacing w:line="360" w:lineRule="auto"/>
        <w:rPr>
          <w:rStyle w:val="Strong"/>
          <w:rFonts w:ascii="Arial" w:hAnsi="Arial" w:cs="Arial"/>
          <w:b w:val="0"/>
          <w:bCs w:val="0"/>
          <w:color w:val="0E101A"/>
        </w:rPr>
      </w:pPr>
      <w:r w:rsidRPr="000F5A23">
        <w:rPr>
          <w:rStyle w:val="Strong"/>
          <w:rFonts w:ascii="Arial" w:hAnsi="Arial" w:cs="Arial"/>
          <w:b w:val="0"/>
          <w:bCs w:val="0"/>
          <w:color w:val="0E101A"/>
          <w:highlight w:val="yellow"/>
        </w:rPr>
        <w:t>The ICB will take on the NHS commissioning functions of CCGs a</w:t>
      </w:r>
      <w:r w:rsidR="00EA11BB" w:rsidRPr="000F5A23">
        <w:rPr>
          <w:rStyle w:val="Strong"/>
          <w:rFonts w:ascii="Arial" w:hAnsi="Arial" w:cs="Arial"/>
          <w:b w:val="0"/>
          <w:bCs w:val="0"/>
          <w:color w:val="0E101A"/>
          <w:highlight w:val="yellow"/>
        </w:rPr>
        <w:t>nd</w:t>
      </w:r>
      <w:r w:rsidR="001E1485" w:rsidRPr="000F5A23">
        <w:rPr>
          <w:rStyle w:val="Strong"/>
          <w:rFonts w:ascii="Arial" w:hAnsi="Arial" w:cs="Arial"/>
          <w:b w:val="0"/>
          <w:bCs w:val="0"/>
          <w:color w:val="0E101A"/>
          <w:highlight w:val="yellow"/>
        </w:rPr>
        <w:t>, as set out in NHS Operational Planning Guidance for 2021/22 and now confirmed</w:t>
      </w:r>
      <w:r w:rsidR="008558A6" w:rsidRPr="000F5A23">
        <w:rPr>
          <w:rStyle w:val="Strong"/>
          <w:rFonts w:ascii="Arial" w:hAnsi="Arial" w:cs="Arial"/>
          <w:b w:val="0"/>
          <w:bCs w:val="0"/>
          <w:color w:val="0E101A"/>
          <w:highlight w:val="yellow"/>
        </w:rPr>
        <w:t xml:space="preserve">, </w:t>
      </w:r>
      <w:r w:rsidR="001E1485" w:rsidRPr="000F5A23">
        <w:rPr>
          <w:rStyle w:val="Strong"/>
          <w:rFonts w:ascii="Arial" w:hAnsi="Arial" w:cs="Arial"/>
          <w:b w:val="0"/>
          <w:bCs w:val="0"/>
          <w:color w:val="0E101A"/>
          <w:highlight w:val="yellow"/>
        </w:rPr>
        <w:t>NHS England and NHS Improvement</w:t>
      </w:r>
      <w:r w:rsidR="008558A6" w:rsidRPr="000F5A23">
        <w:rPr>
          <w:rStyle w:val="Strong"/>
          <w:rFonts w:ascii="Arial" w:hAnsi="Arial" w:cs="Arial"/>
          <w:b w:val="0"/>
          <w:bCs w:val="0"/>
          <w:color w:val="0E101A"/>
          <w:highlight w:val="yellow"/>
        </w:rPr>
        <w:t xml:space="preserve"> will delegate some of it</w:t>
      </w:r>
      <w:r w:rsidR="001E1485" w:rsidRPr="000F5A23">
        <w:rPr>
          <w:rStyle w:val="Strong"/>
          <w:rFonts w:ascii="Arial" w:hAnsi="Arial" w:cs="Arial"/>
          <w:b w:val="0"/>
          <w:bCs w:val="0"/>
          <w:color w:val="0E101A"/>
          <w:highlight w:val="yellow"/>
        </w:rPr>
        <w:t>s direct commissioning functions</w:t>
      </w:r>
      <w:r w:rsidR="008558A6" w:rsidRPr="000F5A23">
        <w:rPr>
          <w:rStyle w:val="Strong"/>
          <w:rFonts w:ascii="Arial" w:hAnsi="Arial" w:cs="Arial"/>
          <w:b w:val="0"/>
          <w:bCs w:val="0"/>
          <w:color w:val="0E101A"/>
          <w:highlight w:val="yellow"/>
        </w:rPr>
        <w:t xml:space="preserve"> to ICBs</w:t>
      </w:r>
      <w:r w:rsidR="00F15EDE" w:rsidRPr="000F5A23">
        <w:rPr>
          <w:rStyle w:val="Strong"/>
          <w:rFonts w:ascii="Arial" w:hAnsi="Arial" w:cs="Arial"/>
          <w:b w:val="0"/>
          <w:bCs w:val="0"/>
          <w:color w:val="0E101A"/>
          <w:highlight w:val="yellow"/>
        </w:rPr>
        <w:t xml:space="preserve">, </w:t>
      </w:r>
      <w:r w:rsidR="008558A6" w:rsidRPr="000F5A23">
        <w:rPr>
          <w:rStyle w:val="Strong"/>
          <w:rFonts w:ascii="Arial" w:hAnsi="Arial" w:cs="Arial"/>
          <w:b w:val="0"/>
          <w:bCs w:val="0"/>
          <w:color w:val="0E101A"/>
          <w:highlight w:val="yellow"/>
        </w:rPr>
        <w:t>to</w:t>
      </w:r>
      <w:r w:rsidR="00F15EDE" w:rsidRPr="000F5A23">
        <w:rPr>
          <w:rStyle w:val="Strong"/>
          <w:rFonts w:ascii="Arial" w:hAnsi="Arial" w:cs="Arial"/>
          <w:b w:val="0"/>
          <w:bCs w:val="0"/>
          <w:color w:val="0E101A"/>
          <w:highlight w:val="yellow"/>
        </w:rPr>
        <w:t xml:space="preserve"> better</w:t>
      </w:r>
      <w:r w:rsidR="008558A6" w:rsidRPr="000F5A23">
        <w:rPr>
          <w:rStyle w:val="Strong"/>
          <w:rFonts w:ascii="Arial" w:hAnsi="Arial" w:cs="Arial"/>
          <w:b w:val="0"/>
          <w:bCs w:val="0"/>
          <w:color w:val="0E101A"/>
          <w:highlight w:val="yellow"/>
        </w:rPr>
        <w:t xml:space="preserve"> empower them to join up health and care, improve population health and reduce health inequalities.This includes delegating </w:t>
      </w:r>
      <w:r w:rsidR="001E1485" w:rsidRPr="000F5A23">
        <w:rPr>
          <w:rStyle w:val="Strong"/>
          <w:rFonts w:ascii="Arial" w:hAnsi="Arial" w:cs="Arial"/>
          <w:b w:val="0"/>
          <w:bCs w:val="0"/>
          <w:color w:val="0E101A"/>
          <w:highlight w:val="yellow"/>
        </w:rPr>
        <w:t xml:space="preserve">primary care as soon as operationally feasible. </w:t>
      </w:r>
      <w:r w:rsidR="00EA11BB" w:rsidRPr="000F5A23">
        <w:rPr>
          <w:rStyle w:val="Strong"/>
          <w:rFonts w:ascii="Arial" w:hAnsi="Arial" w:cs="Arial"/>
          <w:b w:val="0"/>
          <w:bCs w:val="0"/>
          <w:color w:val="0E101A"/>
          <w:highlight w:val="yellow"/>
        </w:rPr>
        <w:t xml:space="preserve"> </w:t>
      </w:r>
      <w:r w:rsidR="00F54FF4" w:rsidRPr="000F5A23">
        <w:rPr>
          <w:rStyle w:val="Strong"/>
          <w:rFonts w:ascii="Arial" w:hAnsi="Arial" w:cs="Arial"/>
          <w:color w:val="0E101A"/>
          <w:highlight w:val="yellow"/>
        </w:rPr>
        <w:t xml:space="preserve">With </w:t>
      </w:r>
      <w:r w:rsidRPr="000F5A23">
        <w:rPr>
          <w:rStyle w:val="Strong"/>
          <w:rFonts w:ascii="Arial" w:hAnsi="Arial" w:cs="Arial"/>
          <w:color w:val="0E101A"/>
          <w:highlight w:val="yellow"/>
        </w:rPr>
        <w:t xml:space="preserve">primary medical services successfully delegated to </w:t>
      </w:r>
      <w:r w:rsidR="00F4348B">
        <w:rPr>
          <w:rStyle w:val="Strong"/>
          <w:rFonts w:ascii="Arial" w:hAnsi="Arial" w:cs="Arial"/>
          <w:color w:val="0E101A"/>
          <w:highlight w:val="yellow"/>
        </w:rPr>
        <w:t xml:space="preserve">many </w:t>
      </w:r>
      <w:r w:rsidRPr="000F5A23">
        <w:rPr>
          <w:rStyle w:val="Strong"/>
          <w:rFonts w:ascii="Arial" w:hAnsi="Arial" w:cs="Arial"/>
          <w:color w:val="0E101A"/>
          <w:highlight w:val="yellow"/>
        </w:rPr>
        <w:t>CCGs for some time</w:t>
      </w:r>
      <w:r w:rsidR="00F54FF4" w:rsidRPr="000F5A23">
        <w:rPr>
          <w:rStyle w:val="Strong"/>
          <w:rFonts w:ascii="Arial" w:hAnsi="Arial" w:cs="Arial"/>
          <w:color w:val="0E101A"/>
          <w:highlight w:val="yellow"/>
        </w:rPr>
        <w:t xml:space="preserve">, </w:t>
      </w:r>
      <w:r w:rsidR="001E1485" w:rsidRPr="000F5A23">
        <w:rPr>
          <w:rStyle w:val="Strong"/>
          <w:rFonts w:ascii="Arial" w:hAnsi="Arial" w:cs="Arial"/>
          <w:color w:val="0E101A"/>
          <w:highlight w:val="yellow"/>
        </w:rPr>
        <w:t>th</w:t>
      </w:r>
      <w:r w:rsidR="008558A6" w:rsidRPr="000F5A23">
        <w:rPr>
          <w:rStyle w:val="Strong"/>
          <w:rFonts w:ascii="Arial" w:hAnsi="Arial" w:cs="Arial"/>
          <w:color w:val="0E101A"/>
          <w:highlight w:val="yellow"/>
        </w:rPr>
        <w:t>is</w:t>
      </w:r>
      <w:r w:rsidR="001E1485" w:rsidRPr="000F5A23">
        <w:rPr>
          <w:rStyle w:val="Strong"/>
          <w:rFonts w:ascii="Arial" w:hAnsi="Arial" w:cs="Arial"/>
          <w:color w:val="0E101A"/>
          <w:highlight w:val="yellow"/>
        </w:rPr>
        <w:t xml:space="preserve"> means ICBs will assume delegated responsibility for Primary Medical Services</w:t>
      </w:r>
      <w:r w:rsidR="00B83042" w:rsidRPr="000F5A23">
        <w:rPr>
          <w:rStyle w:val="Strong"/>
          <w:rFonts w:ascii="Arial" w:hAnsi="Arial" w:cs="Arial"/>
          <w:color w:val="0E101A"/>
          <w:highlight w:val="yellow"/>
        </w:rPr>
        <w:t xml:space="preserve"> on establishment</w:t>
      </w:r>
      <w:r w:rsidR="008558A6" w:rsidRPr="000F5A23">
        <w:rPr>
          <w:rStyle w:val="Strong"/>
          <w:rFonts w:ascii="Arial" w:hAnsi="Arial" w:cs="Arial"/>
          <w:color w:val="0E101A"/>
          <w:highlight w:val="yellow"/>
        </w:rPr>
        <w:t xml:space="preserve">. </w:t>
      </w:r>
      <w:r w:rsidR="008558A6" w:rsidRPr="000F5A23">
        <w:rPr>
          <w:rStyle w:val="Strong"/>
          <w:rFonts w:ascii="Arial" w:hAnsi="Arial" w:cs="Arial"/>
          <w:b w:val="0"/>
          <w:bCs w:val="0"/>
          <w:color w:val="0E101A"/>
          <w:highlight w:val="yellow"/>
        </w:rPr>
        <w:t xml:space="preserve">This will be </w:t>
      </w:r>
      <w:r w:rsidR="00F54FF4" w:rsidRPr="000F5A23">
        <w:rPr>
          <w:rStyle w:val="Strong"/>
          <w:rFonts w:ascii="Arial" w:hAnsi="Arial" w:cs="Arial"/>
          <w:b w:val="0"/>
          <w:bCs w:val="0"/>
          <w:color w:val="0E101A"/>
          <w:highlight w:val="yellow"/>
        </w:rPr>
        <w:t>under a new delegation agreement</w:t>
      </w:r>
      <w:r w:rsidR="008558A6" w:rsidRPr="000F5A23">
        <w:rPr>
          <w:rStyle w:val="Strong"/>
          <w:rFonts w:ascii="Arial" w:hAnsi="Arial" w:cs="Arial"/>
          <w:b w:val="0"/>
          <w:bCs w:val="0"/>
          <w:color w:val="0E101A"/>
          <w:highlight w:val="yellow"/>
        </w:rPr>
        <w:t xml:space="preserve"> </w:t>
      </w:r>
      <w:r w:rsidR="00F15EDE" w:rsidRPr="000F5A23">
        <w:rPr>
          <w:rStyle w:val="Strong"/>
          <w:rFonts w:ascii="Arial" w:hAnsi="Arial" w:cs="Arial"/>
          <w:b w:val="0"/>
          <w:bCs w:val="0"/>
          <w:color w:val="0E101A"/>
          <w:highlight w:val="yellow"/>
        </w:rPr>
        <w:t xml:space="preserve">incorporating </w:t>
      </w:r>
      <w:r w:rsidR="00B83042" w:rsidRPr="000F5A23">
        <w:rPr>
          <w:rStyle w:val="Strong"/>
          <w:rFonts w:ascii="Arial" w:hAnsi="Arial" w:cs="Arial"/>
          <w:b w:val="0"/>
          <w:bCs w:val="0"/>
          <w:color w:val="0E101A"/>
          <w:highlight w:val="yellow"/>
        </w:rPr>
        <w:t xml:space="preserve">all </w:t>
      </w:r>
      <w:r w:rsidR="00F15EDE" w:rsidRPr="000F5A23">
        <w:rPr>
          <w:rStyle w:val="Strong"/>
          <w:rFonts w:ascii="Arial" w:hAnsi="Arial" w:cs="Arial"/>
          <w:b w:val="0"/>
          <w:bCs w:val="0"/>
          <w:color w:val="0E101A"/>
          <w:highlight w:val="yellow"/>
        </w:rPr>
        <w:t xml:space="preserve">direct commissioning functions </w:t>
      </w:r>
      <w:r w:rsidR="00B83042" w:rsidRPr="000F5A23">
        <w:rPr>
          <w:rStyle w:val="Strong"/>
          <w:rFonts w:ascii="Arial" w:hAnsi="Arial" w:cs="Arial"/>
          <w:b w:val="0"/>
          <w:bCs w:val="0"/>
          <w:color w:val="0E101A"/>
          <w:highlight w:val="yellow"/>
        </w:rPr>
        <w:t xml:space="preserve">to be </w:t>
      </w:r>
      <w:r w:rsidR="00F15EDE" w:rsidRPr="000F5A23">
        <w:rPr>
          <w:rStyle w:val="Strong"/>
          <w:rFonts w:ascii="Arial" w:hAnsi="Arial" w:cs="Arial"/>
          <w:b w:val="0"/>
          <w:bCs w:val="0"/>
          <w:color w:val="0E101A"/>
          <w:highlight w:val="yellow"/>
        </w:rPr>
        <w:t xml:space="preserve">delegated, which will </w:t>
      </w:r>
      <w:r w:rsidR="008558A6" w:rsidRPr="000F5A23">
        <w:rPr>
          <w:rStyle w:val="Strong"/>
          <w:rFonts w:ascii="Arial" w:hAnsi="Arial" w:cs="Arial"/>
          <w:b w:val="0"/>
          <w:bCs w:val="0"/>
          <w:color w:val="0E101A"/>
          <w:highlight w:val="yellow"/>
        </w:rPr>
        <w:t xml:space="preserve">include </w:t>
      </w:r>
      <w:r w:rsidR="00B83042" w:rsidRPr="000F5A23">
        <w:rPr>
          <w:rStyle w:val="Strong"/>
          <w:rFonts w:ascii="Arial" w:hAnsi="Arial" w:cs="Arial"/>
          <w:b w:val="0"/>
          <w:bCs w:val="0"/>
          <w:color w:val="0E101A"/>
          <w:highlight w:val="yellow"/>
        </w:rPr>
        <w:t>over</w:t>
      </w:r>
      <w:r w:rsidR="00847AFE">
        <w:rPr>
          <w:rStyle w:val="Strong"/>
          <w:rFonts w:ascii="Arial" w:hAnsi="Arial" w:cs="Arial"/>
          <w:b w:val="0"/>
          <w:bCs w:val="0"/>
          <w:color w:val="0E101A"/>
          <w:highlight w:val="yellow"/>
        </w:rPr>
        <w:t xml:space="preserve"> </w:t>
      </w:r>
      <w:r w:rsidR="00B83042" w:rsidRPr="000F5A23">
        <w:rPr>
          <w:rStyle w:val="Strong"/>
          <w:rFonts w:ascii="Arial" w:hAnsi="Arial" w:cs="Arial"/>
          <w:b w:val="0"/>
          <w:bCs w:val="0"/>
          <w:color w:val="0E101A"/>
          <w:highlight w:val="yellow"/>
        </w:rPr>
        <w:t xml:space="preserve">time </w:t>
      </w:r>
      <w:r w:rsidR="008558A6" w:rsidRPr="000F5A23">
        <w:rPr>
          <w:rStyle w:val="Strong"/>
          <w:rFonts w:ascii="Arial" w:hAnsi="Arial" w:cs="Arial"/>
          <w:b w:val="0"/>
          <w:bCs w:val="0"/>
          <w:color w:val="0E101A"/>
          <w:highlight w:val="yellow"/>
        </w:rPr>
        <w:t xml:space="preserve">all </w:t>
      </w:r>
      <w:r w:rsidR="00847AFE">
        <w:rPr>
          <w:rStyle w:val="Strong"/>
          <w:rFonts w:ascii="Arial" w:hAnsi="Arial" w:cs="Arial"/>
          <w:b w:val="0"/>
          <w:bCs w:val="0"/>
          <w:color w:val="0E101A"/>
          <w:highlight w:val="yellow"/>
        </w:rPr>
        <w:t>d</w:t>
      </w:r>
      <w:r w:rsidR="008558A6" w:rsidRPr="000F5A23">
        <w:rPr>
          <w:rStyle w:val="Strong"/>
          <w:rFonts w:ascii="Arial" w:hAnsi="Arial" w:cs="Arial"/>
          <w:b w:val="0"/>
          <w:bCs w:val="0"/>
          <w:color w:val="0E101A"/>
          <w:highlight w:val="yellow"/>
        </w:rPr>
        <w:t>ental (</w:t>
      </w:r>
      <w:r w:rsidR="00847AFE">
        <w:rPr>
          <w:rStyle w:val="Strong"/>
          <w:rFonts w:ascii="Arial" w:hAnsi="Arial" w:cs="Arial"/>
          <w:b w:val="0"/>
          <w:bCs w:val="0"/>
          <w:color w:val="0E101A"/>
          <w:highlight w:val="yellow"/>
        </w:rPr>
        <w:t>p</w:t>
      </w:r>
      <w:r w:rsidR="008558A6" w:rsidRPr="000F5A23">
        <w:rPr>
          <w:rStyle w:val="Strong"/>
          <w:rFonts w:ascii="Arial" w:hAnsi="Arial" w:cs="Arial"/>
          <w:b w:val="0"/>
          <w:bCs w:val="0"/>
          <w:color w:val="0E101A"/>
          <w:highlight w:val="yellow"/>
        </w:rPr>
        <w:t xml:space="preserve">rimary, </w:t>
      </w:r>
      <w:r w:rsidR="00847AFE">
        <w:rPr>
          <w:rStyle w:val="Strong"/>
          <w:rFonts w:ascii="Arial" w:hAnsi="Arial" w:cs="Arial"/>
          <w:b w:val="0"/>
          <w:bCs w:val="0"/>
          <w:color w:val="0E101A"/>
          <w:highlight w:val="yellow"/>
        </w:rPr>
        <w:t>s</w:t>
      </w:r>
      <w:r w:rsidR="008558A6" w:rsidRPr="000F5A23">
        <w:rPr>
          <w:rStyle w:val="Strong"/>
          <w:rFonts w:ascii="Arial" w:hAnsi="Arial" w:cs="Arial"/>
          <w:b w:val="0"/>
          <w:bCs w:val="0"/>
          <w:color w:val="0E101A"/>
          <w:highlight w:val="yellow"/>
        </w:rPr>
        <w:t xml:space="preserve">econdary and </w:t>
      </w:r>
      <w:r w:rsidR="00847AFE">
        <w:rPr>
          <w:rStyle w:val="Strong"/>
          <w:rFonts w:ascii="Arial" w:hAnsi="Arial" w:cs="Arial"/>
          <w:b w:val="0"/>
          <w:bCs w:val="0"/>
          <w:color w:val="0E101A"/>
          <w:highlight w:val="yellow"/>
        </w:rPr>
        <w:t>c</w:t>
      </w:r>
      <w:r w:rsidR="008558A6" w:rsidRPr="000F5A23">
        <w:rPr>
          <w:rStyle w:val="Strong"/>
          <w:rFonts w:ascii="Arial" w:hAnsi="Arial" w:cs="Arial"/>
          <w:b w:val="0"/>
          <w:bCs w:val="0"/>
          <w:color w:val="0E101A"/>
          <w:highlight w:val="yellow"/>
        </w:rPr>
        <w:t xml:space="preserve">ommunity), </w:t>
      </w:r>
      <w:r w:rsidR="00847AFE">
        <w:rPr>
          <w:rStyle w:val="Strong"/>
          <w:rFonts w:ascii="Arial" w:hAnsi="Arial" w:cs="Arial"/>
          <w:b w:val="0"/>
          <w:bCs w:val="0"/>
          <w:color w:val="0E101A"/>
          <w:highlight w:val="yellow"/>
        </w:rPr>
        <w:t>g</w:t>
      </w:r>
      <w:r w:rsidR="008558A6" w:rsidRPr="000F5A23">
        <w:rPr>
          <w:rStyle w:val="Strong"/>
          <w:rFonts w:ascii="Arial" w:hAnsi="Arial" w:cs="Arial"/>
          <w:b w:val="0"/>
          <w:bCs w:val="0"/>
          <w:color w:val="0E101A"/>
          <w:highlight w:val="yellow"/>
        </w:rPr>
        <w:t xml:space="preserve">eneral </w:t>
      </w:r>
      <w:r w:rsidR="00847AFE">
        <w:rPr>
          <w:rStyle w:val="Strong"/>
          <w:rFonts w:ascii="Arial" w:hAnsi="Arial" w:cs="Arial"/>
          <w:b w:val="0"/>
          <w:bCs w:val="0"/>
          <w:color w:val="0E101A"/>
          <w:highlight w:val="yellow"/>
        </w:rPr>
        <w:t>o</w:t>
      </w:r>
      <w:r w:rsidR="008558A6" w:rsidRPr="000F5A23">
        <w:rPr>
          <w:rStyle w:val="Strong"/>
          <w:rFonts w:ascii="Arial" w:hAnsi="Arial" w:cs="Arial"/>
          <w:b w:val="0"/>
          <w:bCs w:val="0"/>
          <w:color w:val="0E101A"/>
          <w:highlight w:val="yellow"/>
        </w:rPr>
        <w:t xml:space="preserve">ptometry, and </w:t>
      </w:r>
      <w:r w:rsidR="00847AFE">
        <w:rPr>
          <w:rStyle w:val="Strong"/>
          <w:rFonts w:ascii="Arial" w:hAnsi="Arial" w:cs="Arial"/>
          <w:b w:val="0"/>
          <w:bCs w:val="0"/>
          <w:color w:val="0E101A"/>
          <w:highlight w:val="yellow"/>
        </w:rPr>
        <w:t>p</w:t>
      </w:r>
      <w:r w:rsidR="008558A6" w:rsidRPr="000F5A23">
        <w:rPr>
          <w:rStyle w:val="Strong"/>
          <w:rFonts w:ascii="Arial" w:hAnsi="Arial" w:cs="Arial"/>
          <w:b w:val="0"/>
          <w:bCs w:val="0"/>
          <w:color w:val="0E101A"/>
          <w:highlight w:val="yellow"/>
        </w:rPr>
        <w:t xml:space="preserve">harmaceutical </w:t>
      </w:r>
      <w:r w:rsidR="00847AFE">
        <w:rPr>
          <w:rStyle w:val="Strong"/>
          <w:rFonts w:ascii="Arial" w:hAnsi="Arial" w:cs="Arial"/>
          <w:b w:val="0"/>
          <w:bCs w:val="0"/>
          <w:color w:val="0E101A"/>
          <w:highlight w:val="yellow"/>
        </w:rPr>
        <w:t>s</w:t>
      </w:r>
      <w:r w:rsidR="008558A6" w:rsidRPr="000F5A23">
        <w:rPr>
          <w:rStyle w:val="Strong"/>
          <w:rFonts w:ascii="Arial" w:hAnsi="Arial" w:cs="Arial"/>
          <w:b w:val="0"/>
          <w:bCs w:val="0"/>
          <w:color w:val="0E101A"/>
          <w:highlight w:val="yellow"/>
        </w:rPr>
        <w:t>ervices</w:t>
      </w:r>
      <w:r w:rsidRPr="000F5A23">
        <w:rPr>
          <w:rStyle w:val="Strong"/>
          <w:rFonts w:ascii="Arial" w:hAnsi="Arial" w:cs="Arial"/>
          <w:b w:val="0"/>
          <w:bCs w:val="0"/>
          <w:color w:val="0E101A"/>
          <w:highlight w:val="yellow"/>
        </w:rPr>
        <w:t>.</w:t>
      </w:r>
    </w:p>
    <w:p w14:paraId="7B617626" w14:textId="06DE2502" w:rsidR="00BD743E" w:rsidRPr="00AB6832" w:rsidRDefault="00AD486D" w:rsidP="00AB6832">
      <w:pPr>
        <w:pStyle w:val="NormalWeb"/>
        <w:spacing w:before="0" w:beforeAutospacing="0" w:after="0" w:afterAutospacing="0" w:line="360" w:lineRule="auto"/>
        <w:rPr>
          <w:rFonts w:ascii="Arial" w:hAnsi="Arial" w:cs="Arial"/>
          <w:b/>
          <w:bCs/>
          <w:color w:val="0E101A"/>
          <w:highlight w:val="yellow"/>
        </w:rPr>
      </w:pPr>
      <w:bookmarkStart w:id="6" w:name="_Hlk95130345"/>
      <w:r w:rsidRPr="00D90005">
        <w:rPr>
          <w:rFonts w:ascii="Arial" w:hAnsi="Arial" w:cs="Arial"/>
          <w:color w:val="0E101A"/>
          <w:highlight w:val="yellow"/>
        </w:rPr>
        <w:t xml:space="preserve">As a result of </w:t>
      </w:r>
      <w:r w:rsidR="003F3DBF">
        <w:rPr>
          <w:rFonts w:ascii="Arial" w:hAnsi="Arial" w:cs="Arial"/>
          <w:color w:val="0E101A"/>
          <w:highlight w:val="yellow"/>
        </w:rPr>
        <w:t xml:space="preserve">what is in effect </w:t>
      </w:r>
      <w:r w:rsidR="00F15EDE">
        <w:rPr>
          <w:rFonts w:ascii="Arial" w:hAnsi="Arial" w:cs="Arial"/>
          <w:color w:val="0E101A"/>
          <w:highlight w:val="yellow"/>
        </w:rPr>
        <w:t xml:space="preserve">the planned </w:t>
      </w:r>
      <w:r w:rsidRPr="00D90005">
        <w:rPr>
          <w:rFonts w:ascii="Arial" w:hAnsi="Arial" w:cs="Arial"/>
          <w:color w:val="0E101A"/>
          <w:highlight w:val="yellow"/>
        </w:rPr>
        <w:t>transfer of delegated</w:t>
      </w:r>
      <w:r w:rsidR="00916F89">
        <w:rPr>
          <w:rFonts w:ascii="Arial" w:hAnsi="Arial" w:cs="Arial"/>
          <w:color w:val="0E101A"/>
          <w:highlight w:val="yellow"/>
        </w:rPr>
        <w:t xml:space="preserve"> </w:t>
      </w:r>
      <w:r w:rsidRPr="00760A87">
        <w:rPr>
          <w:rFonts w:ascii="Arial" w:hAnsi="Arial" w:cs="Arial"/>
          <w:color w:val="0E101A"/>
          <w:highlight w:val="yellow"/>
        </w:rPr>
        <w:t>responsibilities from</w:t>
      </w:r>
      <w:r w:rsidRPr="00153B30">
        <w:rPr>
          <w:rStyle w:val="Strong"/>
          <w:rFonts w:ascii="Arial" w:hAnsi="Arial" w:cs="Arial"/>
          <w:b w:val="0"/>
          <w:bCs w:val="0"/>
          <w:color w:val="0E101A"/>
          <w:highlight w:val="yellow"/>
        </w:rPr>
        <w:t xml:space="preserve"> </w:t>
      </w:r>
      <w:r w:rsidR="008B199F" w:rsidRPr="00153B30">
        <w:rPr>
          <w:rStyle w:val="Strong"/>
          <w:rFonts w:ascii="Arial" w:hAnsi="Arial" w:cs="Arial"/>
          <w:b w:val="0"/>
          <w:bCs w:val="0"/>
          <w:color w:val="0E101A"/>
          <w:highlight w:val="yellow"/>
        </w:rPr>
        <w:t>CCG</w:t>
      </w:r>
      <w:r w:rsidR="008B42A5" w:rsidRPr="00153B30">
        <w:rPr>
          <w:rStyle w:val="Strong"/>
          <w:rFonts w:ascii="Arial" w:hAnsi="Arial" w:cs="Arial"/>
          <w:b w:val="0"/>
          <w:bCs w:val="0"/>
          <w:color w:val="0E101A"/>
          <w:highlight w:val="yellow"/>
        </w:rPr>
        <w:t>s</w:t>
      </w:r>
      <w:r w:rsidR="00F15EDE" w:rsidRPr="00153B30">
        <w:rPr>
          <w:rStyle w:val="Strong"/>
          <w:rFonts w:ascii="Arial" w:hAnsi="Arial" w:cs="Arial"/>
          <w:b w:val="0"/>
          <w:bCs w:val="0"/>
          <w:color w:val="0E101A"/>
          <w:highlight w:val="yellow"/>
        </w:rPr>
        <w:t xml:space="preserve"> to </w:t>
      </w:r>
      <w:r w:rsidR="008B199F" w:rsidRPr="00153B30">
        <w:rPr>
          <w:rStyle w:val="Strong"/>
          <w:rFonts w:ascii="Arial" w:hAnsi="Arial" w:cs="Arial"/>
          <w:b w:val="0"/>
          <w:bCs w:val="0"/>
          <w:color w:val="0E101A"/>
          <w:highlight w:val="yellow"/>
        </w:rPr>
        <w:t>IC</w:t>
      </w:r>
      <w:r w:rsidR="00B83042">
        <w:rPr>
          <w:rStyle w:val="Strong"/>
          <w:rFonts w:ascii="Arial" w:hAnsi="Arial" w:cs="Arial"/>
          <w:b w:val="0"/>
          <w:bCs w:val="0"/>
          <w:color w:val="0E101A"/>
          <w:highlight w:val="yellow"/>
        </w:rPr>
        <w:t>B</w:t>
      </w:r>
      <w:r w:rsidR="008B199F" w:rsidRPr="00153B30">
        <w:rPr>
          <w:rStyle w:val="Strong"/>
          <w:rFonts w:ascii="Arial" w:hAnsi="Arial" w:cs="Arial"/>
          <w:b w:val="0"/>
          <w:bCs w:val="0"/>
          <w:color w:val="0E101A"/>
          <w:highlight w:val="yellow"/>
        </w:rPr>
        <w:t>s</w:t>
      </w:r>
      <w:r w:rsidR="00F15EDE" w:rsidRPr="00153B30">
        <w:rPr>
          <w:rStyle w:val="Strong"/>
          <w:rFonts w:ascii="Arial" w:hAnsi="Arial" w:cs="Arial"/>
          <w:b w:val="0"/>
          <w:bCs w:val="0"/>
          <w:color w:val="0E101A"/>
          <w:highlight w:val="yellow"/>
        </w:rPr>
        <w:t xml:space="preserve"> (</w:t>
      </w:r>
      <w:r w:rsidR="00F15EDE" w:rsidRPr="00760A87">
        <w:rPr>
          <w:rFonts w:ascii="Arial" w:hAnsi="Arial" w:cs="Arial"/>
          <w:color w:val="0E101A"/>
          <w:highlight w:val="yellow"/>
        </w:rPr>
        <w:t>whilst</w:t>
      </w:r>
      <w:r w:rsidR="00F15EDE" w:rsidRPr="00D1482E">
        <w:rPr>
          <w:rFonts w:ascii="Arial" w:hAnsi="Arial" w:cs="Arial"/>
          <w:bCs/>
          <w:color w:val="0E101A"/>
          <w:highlight w:val="yellow"/>
        </w:rPr>
        <w:t xml:space="preserve"> not prempting</w:t>
      </w:r>
      <w:r w:rsidR="00F15EDE">
        <w:rPr>
          <w:rFonts w:ascii="Arial" w:hAnsi="Arial" w:cs="Arial"/>
          <w:color w:val="0E101A"/>
          <w:highlight w:val="yellow"/>
        </w:rPr>
        <w:t xml:space="preserve"> the will of parliament)</w:t>
      </w:r>
      <w:r w:rsidRPr="001629D6">
        <w:rPr>
          <w:rFonts w:ascii="Arial" w:hAnsi="Arial" w:cs="Arial"/>
          <w:color w:val="0E101A"/>
          <w:highlight w:val="yellow"/>
        </w:rPr>
        <w:t xml:space="preserve">, </w:t>
      </w:r>
      <w:r w:rsidRPr="00153B30">
        <w:rPr>
          <w:rFonts w:ascii="Arial" w:hAnsi="Arial" w:cs="Arial"/>
          <w:b/>
          <w:bCs/>
          <w:color w:val="0E101A"/>
          <w:highlight w:val="yellow"/>
        </w:rPr>
        <w:t>a</w:t>
      </w:r>
      <w:r w:rsidRPr="00760A87">
        <w:rPr>
          <w:rStyle w:val="Strong"/>
          <w:rFonts w:ascii="Arial" w:hAnsi="Arial" w:cs="Arial"/>
          <w:color w:val="0E101A"/>
          <w:highlight w:val="yellow"/>
        </w:rPr>
        <w:t>ll</w:t>
      </w:r>
      <w:r w:rsidRPr="001629D6">
        <w:rPr>
          <w:rStyle w:val="Strong"/>
          <w:rFonts w:ascii="Arial" w:hAnsi="Arial" w:cs="Arial"/>
          <w:color w:val="0E101A"/>
          <w:highlight w:val="yellow"/>
        </w:rPr>
        <w:t xml:space="preserve"> references to CCGs </w:t>
      </w:r>
      <w:r w:rsidR="008E3315">
        <w:rPr>
          <w:rStyle w:val="Strong"/>
          <w:rFonts w:ascii="Arial" w:hAnsi="Arial" w:cs="Arial"/>
          <w:color w:val="0E101A"/>
          <w:highlight w:val="yellow"/>
        </w:rPr>
        <w:t xml:space="preserve">in this document </w:t>
      </w:r>
      <w:r w:rsidR="00F15EDE">
        <w:rPr>
          <w:rStyle w:val="Strong"/>
          <w:rFonts w:ascii="Arial" w:hAnsi="Arial" w:cs="Arial"/>
          <w:color w:val="0E101A"/>
          <w:highlight w:val="yellow"/>
        </w:rPr>
        <w:t xml:space="preserve">have been updated to </w:t>
      </w:r>
      <w:r w:rsidR="008B199F" w:rsidRPr="00760A87">
        <w:rPr>
          <w:rStyle w:val="Strong"/>
          <w:rFonts w:ascii="Arial" w:hAnsi="Arial" w:cs="Arial"/>
          <w:color w:val="0E101A"/>
          <w:highlight w:val="yellow"/>
        </w:rPr>
        <w:t>CCGs/IC</w:t>
      </w:r>
      <w:r w:rsidR="00B83042">
        <w:rPr>
          <w:rStyle w:val="Strong"/>
          <w:rFonts w:ascii="Arial" w:hAnsi="Arial" w:cs="Arial"/>
          <w:color w:val="0E101A"/>
          <w:highlight w:val="yellow"/>
        </w:rPr>
        <w:t>B</w:t>
      </w:r>
      <w:r w:rsidR="008B199F" w:rsidRPr="00760A87">
        <w:rPr>
          <w:rStyle w:val="Strong"/>
          <w:rFonts w:ascii="Arial" w:hAnsi="Arial" w:cs="Arial"/>
          <w:color w:val="0E101A"/>
          <w:highlight w:val="yellow"/>
        </w:rPr>
        <w:t>s</w:t>
      </w:r>
      <w:r w:rsidR="008E3315" w:rsidRPr="00153B30">
        <w:rPr>
          <w:rStyle w:val="Strong"/>
          <w:rFonts w:ascii="Arial" w:hAnsi="Arial" w:cs="Arial"/>
          <w:b w:val="0"/>
          <w:bCs w:val="0"/>
          <w:color w:val="0E101A"/>
          <w:highlight w:val="yellow"/>
        </w:rPr>
        <w:t xml:space="preserve"> where appropriate</w:t>
      </w:r>
      <w:r w:rsidR="000D3AEE">
        <w:rPr>
          <w:rStyle w:val="Strong"/>
          <w:rFonts w:ascii="Arial" w:hAnsi="Arial" w:cs="Arial"/>
          <w:color w:val="0E101A"/>
          <w:highlight w:val="yellow"/>
        </w:rPr>
        <w:t>.’</w:t>
      </w:r>
      <w:r w:rsidR="00D871FF" w:rsidRPr="000D3AEE">
        <w:rPr>
          <w:rStyle w:val="Strong"/>
          <w:rFonts w:ascii="Arial" w:hAnsi="Arial" w:cs="Arial"/>
          <w:color w:val="0E101A"/>
          <w:highlight w:val="yellow"/>
        </w:rPr>
        <w:t xml:space="preserve"> </w:t>
      </w:r>
      <w:bookmarkEnd w:id="6"/>
    </w:p>
    <w:p w14:paraId="25E7ECD9" w14:textId="4E2801AC" w:rsidR="003D7D1A" w:rsidRDefault="00F15EDE" w:rsidP="00AB6832">
      <w:pPr>
        <w:spacing w:before="240" w:after="240" w:line="360" w:lineRule="auto"/>
      </w:pPr>
      <w:bookmarkStart w:id="7" w:name="_Hlk536444783"/>
      <w:r>
        <w:t xml:space="preserve">Under delegation </w:t>
      </w:r>
      <w:r w:rsidR="003D7D1A" w:rsidRPr="00ED39AE">
        <w:t>CCG</w:t>
      </w:r>
      <w:r w:rsidR="00760A87">
        <w:t>s/IC</w:t>
      </w:r>
      <w:r w:rsidR="00B83042">
        <w:t>B</w:t>
      </w:r>
      <w:r w:rsidR="00760A87">
        <w:t>s</w:t>
      </w:r>
      <w:r w:rsidR="003D7D1A" w:rsidRPr="00ED39AE">
        <w:t xml:space="preserve"> have responsibility for commissioning and contract monitoring GP services in their locality</w:t>
      </w:r>
      <w:r w:rsidR="007F164E">
        <w:t>/systems</w:t>
      </w:r>
      <w:r w:rsidR="003D7D1A" w:rsidRPr="00ED39AE">
        <w:t>, with NHS England maintaining overall accountability.</w:t>
      </w:r>
    </w:p>
    <w:p w14:paraId="3183DFF7" w14:textId="1A7C6034" w:rsidR="002C0A21" w:rsidRPr="00AB6832" w:rsidRDefault="004B736B" w:rsidP="00AB6832">
      <w:pPr>
        <w:spacing w:before="240" w:after="240" w:line="360" w:lineRule="auto"/>
        <w:rPr>
          <w:i/>
          <w:iCs/>
          <w:highlight w:val="yellow"/>
        </w:rPr>
      </w:pPr>
      <w:r w:rsidRPr="00AB6832">
        <w:rPr>
          <w:i/>
          <w:iCs/>
          <w:highlight w:val="yellow"/>
        </w:rPr>
        <w:t xml:space="preserve">NHS </w:t>
      </w:r>
      <w:r w:rsidR="002C0A21" w:rsidRPr="00AB6832">
        <w:rPr>
          <w:i/>
          <w:iCs/>
          <w:highlight w:val="yellow"/>
        </w:rPr>
        <w:t>Provider Selection Regime</w:t>
      </w:r>
      <w:r w:rsidR="00B228E8">
        <w:rPr>
          <w:i/>
          <w:iCs/>
          <w:highlight w:val="yellow"/>
        </w:rPr>
        <w:t xml:space="preserve"> (NHS PSR)</w:t>
      </w:r>
    </w:p>
    <w:p w14:paraId="7ECA4147" w14:textId="6FAFB9EE" w:rsidR="00BB1F5A" w:rsidRPr="00AB6832" w:rsidRDefault="00D1482E" w:rsidP="00AB6832">
      <w:pPr>
        <w:spacing w:before="240" w:after="240" w:line="360" w:lineRule="auto"/>
        <w:rPr>
          <w:highlight w:val="yellow"/>
        </w:rPr>
      </w:pPr>
      <w:r w:rsidRPr="00AB6832">
        <w:rPr>
          <w:highlight w:val="yellow"/>
        </w:rPr>
        <w:t xml:space="preserve">NHS England will </w:t>
      </w:r>
      <w:r w:rsidR="00E7263D" w:rsidRPr="00AB6832">
        <w:rPr>
          <w:highlight w:val="yellow"/>
        </w:rPr>
        <w:t xml:space="preserve">also </w:t>
      </w:r>
      <w:r w:rsidRPr="00AB6832">
        <w:rPr>
          <w:highlight w:val="yellow"/>
        </w:rPr>
        <w:t>be required to publish guidance about compliance with the requirements</w:t>
      </w:r>
      <w:r w:rsidR="001047F3" w:rsidRPr="00AB6832">
        <w:rPr>
          <w:highlight w:val="yellow"/>
        </w:rPr>
        <w:t xml:space="preserve"> to be </w:t>
      </w:r>
      <w:r w:rsidRPr="00AB6832">
        <w:rPr>
          <w:highlight w:val="yellow"/>
        </w:rPr>
        <w:t xml:space="preserve">imposed by the </w:t>
      </w:r>
      <w:r w:rsidR="001047F3" w:rsidRPr="00AB6832">
        <w:rPr>
          <w:highlight w:val="yellow"/>
        </w:rPr>
        <w:t>new NHS PSR</w:t>
      </w:r>
      <w:r w:rsidR="00BB1F5A" w:rsidRPr="00AB6832">
        <w:rPr>
          <w:highlight w:val="yellow"/>
        </w:rPr>
        <w:t xml:space="preserve"> which, when taken together, are expected to seek to ensure that decisions about who provides healthcare services are:</w:t>
      </w:r>
    </w:p>
    <w:p w14:paraId="5C0C38AC" w14:textId="77777777" w:rsidR="00BB1F5A" w:rsidRPr="00AB6832" w:rsidRDefault="00BB1F5A" w:rsidP="00AB6832">
      <w:pPr>
        <w:pStyle w:val="ListParagraph"/>
        <w:numPr>
          <w:ilvl w:val="0"/>
          <w:numId w:val="234"/>
        </w:numPr>
        <w:spacing w:before="240" w:after="240" w:line="360" w:lineRule="auto"/>
        <w:rPr>
          <w:highlight w:val="yellow"/>
        </w:rPr>
      </w:pPr>
      <w:r w:rsidRPr="00AB6832">
        <w:rPr>
          <w:highlight w:val="yellow"/>
        </w:rPr>
        <w:t>Made in the best interest of patients, taxpayers and the population</w:t>
      </w:r>
    </w:p>
    <w:p w14:paraId="3E8A1A77" w14:textId="77777777" w:rsidR="00BB1F5A" w:rsidRPr="00AB6832" w:rsidRDefault="00BB1F5A" w:rsidP="00AB6832">
      <w:pPr>
        <w:pStyle w:val="ListParagraph"/>
        <w:numPr>
          <w:ilvl w:val="0"/>
          <w:numId w:val="234"/>
        </w:numPr>
        <w:spacing w:before="240" w:after="240" w:line="360" w:lineRule="auto"/>
        <w:rPr>
          <w:highlight w:val="yellow"/>
        </w:rPr>
      </w:pPr>
      <w:r w:rsidRPr="00AB6832">
        <w:rPr>
          <w:highlight w:val="yellow"/>
        </w:rPr>
        <w:t>Robust and defensible, with conflicts of interests appropriately managed</w:t>
      </w:r>
    </w:p>
    <w:p w14:paraId="280A121F" w14:textId="77777777" w:rsidR="00BB1F5A" w:rsidRPr="00AB6832" w:rsidRDefault="00BB1F5A" w:rsidP="00AB6832">
      <w:pPr>
        <w:pStyle w:val="ListParagraph"/>
        <w:numPr>
          <w:ilvl w:val="0"/>
          <w:numId w:val="234"/>
        </w:numPr>
        <w:spacing w:before="240" w:after="240" w:line="360" w:lineRule="auto"/>
        <w:rPr>
          <w:highlight w:val="yellow"/>
        </w:rPr>
      </w:pPr>
      <w:r w:rsidRPr="00AB6832">
        <w:rPr>
          <w:highlight w:val="yellow"/>
        </w:rPr>
        <w:t>Made transparently</w:t>
      </w:r>
    </w:p>
    <w:p w14:paraId="3FD3CF1B" w14:textId="77777777" w:rsidR="00BB1F5A" w:rsidRPr="00AB6832" w:rsidRDefault="00BB1F5A" w:rsidP="00AB6832">
      <w:pPr>
        <w:pStyle w:val="ListParagraph"/>
        <w:numPr>
          <w:ilvl w:val="0"/>
          <w:numId w:val="234"/>
        </w:numPr>
        <w:spacing w:before="240" w:after="240" w:line="360" w:lineRule="auto"/>
        <w:rPr>
          <w:highlight w:val="yellow"/>
        </w:rPr>
      </w:pPr>
      <w:r w:rsidRPr="00AB6832">
        <w:rPr>
          <w:highlight w:val="yellow"/>
        </w:rPr>
        <w:t xml:space="preserve">Compliant with the rules of the regime as set out in NHS England guidance. </w:t>
      </w:r>
    </w:p>
    <w:p w14:paraId="62C1FAA7" w14:textId="74C83417" w:rsidR="002C0A21" w:rsidRDefault="00BB1F5A" w:rsidP="00AB6832">
      <w:pPr>
        <w:spacing w:before="240" w:after="240" w:line="360" w:lineRule="auto"/>
      </w:pPr>
      <w:r w:rsidRPr="00AB6832">
        <w:rPr>
          <w:highlight w:val="yellow"/>
        </w:rPr>
        <w:t xml:space="preserve">NHS England guidance </w:t>
      </w:r>
      <w:r w:rsidR="001047F3" w:rsidRPr="00AB6832">
        <w:rPr>
          <w:highlight w:val="yellow"/>
        </w:rPr>
        <w:t xml:space="preserve">will </w:t>
      </w:r>
      <w:r w:rsidRPr="00AB6832">
        <w:rPr>
          <w:highlight w:val="yellow"/>
        </w:rPr>
        <w:t>in the first instance supercede the current arrangements described in this PGM as and when the new NHS PSR comes into force. The PGM will be updated in the next annual refresh to align with this guidance.</w:t>
      </w:r>
    </w:p>
    <w:p w14:paraId="61AAE13A" w14:textId="7B04025F" w:rsidR="002C0A21" w:rsidRPr="00153B30" w:rsidRDefault="00D871FF" w:rsidP="00AB6832">
      <w:pPr>
        <w:spacing w:before="240" w:after="240" w:line="360" w:lineRule="auto"/>
        <w:rPr>
          <w:i/>
          <w:iCs/>
          <w:u w:val="single"/>
        </w:rPr>
      </w:pPr>
      <w:r w:rsidRPr="00153B30">
        <w:rPr>
          <w:i/>
          <w:iCs/>
          <w:u w:val="single"/>
        </w:rPr>
        <w:t>General</w:t>
      </w:r>
    </w:p>
    <w:p w14:paraId="38420811" w14:textId="3ED1C149" w:rsidR="00ED39AE" w:rsidRDefault="00ED39AE" w:rsidP="00AB6832">
      <w:pPr>
        <w:spacing w:before="240" w:after="240" w:line="360" w:lineRule="auto"/>
      </w:pPr>
      <w:r w:rsidRPr="00ED39AE">
        <w:t xml:space="preserve">In 2016, the </w:t>
      </w:r>
      <w:r w:rsidR="0090277B">
        <w:t xml:space="preserve">first </w:t>
      </w:r>
      <w:r w:rsidR="004A02AA">
        <w:t>‘</w:t>
      </w:r>
      <w:r w:rsidRPr="00ED39AE">
        <w:t>Policy Book</w:t>
      </w:r>
      <w:r w:rsidR="004A02AA">
        <w:t>’</w:t>
      </w:r>
      <w:r w:rsidRPr="00ED39AE">
        <w:t xml:space="preserve"> for Primary Medical Services </w:t>
      </w:r>
      <w:r>
        <w:t>was published</w:t>
      </w:r>
      <w:r w:rsidR="00836ECF">
        <w:t xml:space="preserve"> (Gateway Ref </w:t>
      </w:r>
      <w:r w:rsidR="00836ECF" w:rsidRPr="00836ECF">
        <w:t>04171</w:t>
      </w:r>
      <w:r w:rsidR="00836ECF">
        <w:t>)</w:t>
      </w:r>
      <w:r>
        <w:t>, which provided</w:t>
      </w:r>
      <w:r w:rsidRPr="00ED39AE">
        <w:t xml:space="preserve"> commissioners of GP services with the context, information and tools to commission and manage GP contracts.</w:t>
      </w:r>
      <w:r>
        <w:t xml:space="preserve">  </w:t>
      </w:r>
      <w:r w:rsidR="0090277B">
        <w:t xml:space="preserve">The ‘policy book’ was </w:t>
      </w:r>
      <w:r w:rsidR="005314EE">
        <w:t>superseded</w:t>
      </w:r>
      <w:r w:rsidR="0090277B">
        <w:t xml:space="preserve"> in </w:t>
      </w:r>
      <w:r w:rsidR="005314EE">
        <w:t>November</w:t>
      </w:r>
      <w:r w:rsidR="0090277B">
        <w:t xml:space="preserve"> 2017 by th</w:t>
      </w:r>
      <w:r w:rsidR="00E7263D">
        <w:t xml:space="preserve">is </w:t>
      </w:r>
      <w:r w:rsidR="0090277B">
        <w:t>PGM</w:t>
      </w:r>
      <w:r w:rsidR="00023AAB">
        <w:t xml:space="preserve"> which was last refreshed in</w:t>
      </w:r>
      <w:r w:rsidR="001629D6">
        <w:t xml:space="preserve"> February </w:t>
      </w:r>
      <w:r w:rsidR="00023AAB">
        <w:t xml:space="preserve"> 20</w:t>
      </w:r>
      <w:r w:rsidR="001629D6">
        <w:t>21</w:t>
      </w:r>
      <w:r w:rsidR="00AB629D">
        <w:t xml:space="preserve"> prior to this update</w:t>
      </w:r>
      <w:r w:rsidR="00023AAB">
        <w:t>.</w:t>
      </w:r>
    </w:p>
    <w:bookmarkEnd w:id="7"/>
    <w:p w14:paraId="4D5E8F6F" w14:textId="0FF0D8FA" w:rsidR="008E3315" w:rsidRDefault="00EF19DE" w:rsidP="00AB6832">
      <w:pPr>
        <w:spacing w:before="240" w:after="240" w:line="360" w:lineRule="auto"/>
      </w:pPr>
      <w:r w:rsidRPr="00EF19DE">
        <w:t xml:space="preserve">NHS England recognises the scale and pace of change in Primary Medical Care commissioning, service delivery and redesign.  As such </w:t>
      </w:r>
      <w:r>
        <w:t>it</w:t>
      </w:r>
      <w:r w:rsidR="0090277B">
        <w:t xml:space="preserve"> </w:t>
      </w:r>
      <w:r w:rsidR="0098164B">
        <w:t xml:space="preserve">is </w:t>
      </w:r>
      <w:r w:rsidR="0090277B">
        <w:t xml:space="preserve">committed to </w:t>
      </w:r>
      <w:r w:rsidR="004A02AA">
        <w:t>review</w:t>
      </w:r>
      <w:r w:rsidR="005A4BA1">
        <w:t>ing</w:t>
      </w:r>
      <w:r w:rsidR="004A02AA">
        <w:t xml:space="preserve"> </w:t>
      </w:r>
      <w:r w:rsidR="0090277B">
        <w:t xml:space="preserve">the PGM, it’s use and application </w:t>
      </w:r>
      <w:r w:rsidR="004A02AA">
        <w:t xml:space="preserve">and the </w:t>
      </w:r>
      <w:r w:rsidR="00A37E23">
        <w:t xml:space="preserve">feedback received </w:t>
      </w:r>
      <w:r w:rsidR="0090277B">
        <w:t>each year</w:t>
      </w:r>
      <w:r>
        <w:t xml:space="preserve"> </w:t>
      </w:r>
      <w:r w:rsidR="008E3315">
        <w:t xml:space="preserve">and </w:t>
      </w:r>
      <w:r>
        <w:t xml:space="preserve">in light of </w:t>
      </w:r>
      <w:r w:rsidR="008E3315">
        <w:t xml:space="preserve"> NHS </w:t>
      </w:r>
      <w:r w:rsidRPr="00EF19DE">
        <w:t>commitments and changes in legislation and regulation</w:t>
      </w:r>
      <w:r w:rsidR="0090277B">
        <w:t xml:space="preserve">. </w:t>
      </w:r>
    </w:p>
    <w:p w14:paraId="0653027A" w14:textId="26AE8C76" w:rsidR="00ED39AE" w:rsidRDefault="0090277B" w:rsidP="00AB6832">
      <w:pPr>
        <w:spacing w:before="240" w:after="240" w:line="360" w:lineRule="auto"/>
      </w:pPr>
      <w:r>
        <w:t xml:space="preserve">The amendments and </w:t>
      </w:r>
      <w:r w:rsidR="0069723E">
        <w:t>additions</w:t>
      </w:r>
      <w:r>
        <w:t xml:space="preserve"> </w:t>
      </w:r>
      <w:r w:rsidR="00A35F9D">
        <w:t xml:space="preserve">of this refresh </w:t>
      </w:r>
      <w:r>
        <w:t xml:space="preserve">are </w:t>
      </w:r>
      <w:r w:rsidR="0023135D">
        <w:t xml:space="preserve">intended as a ‘business as usual’ update </w:t>
      </w:r>
      <w:r>
        <w:t>summarised below</w:t>
      </w:r>
      <w:r w:rsidR="0023135D">
        <w:t xml:space="preserve"> and ahead </w:t>
      </w:r>
      <w:r w:rsidR="00EF19DE">
        <w:t xml:space="preserve">of changes in legislation and regulation </w:t>
      </w:r>
      <w:r w:rsidR="00D871FF">
        <w:t xml:space="preserve">identified </w:t>
      </w:r>
      <w:r w:rsidR="008E3315">
        <w:t>earlier</w:t>
      </w:r>
      <w:r>
        <w:t>.</w:t>
      </w:r>
    </w:p>
    <w:p w14:paraId="39F913DD" w14:textId="699DB519" w:rsidR="00254261" w:rsidRDefault="00254261" w:rsidP="00782D1D">
      <w:pPr>
        <w:spacing w:before="240" w:after="240" w:line="276" w:lineRule="auto"/>
      </w:pPr>
    </w:p>
    <w:p w14:paraId="47030F04" w14:textId="6C457C7E" w:rsidR="00A37E23" w:rsidRDefault="00A37E23" w:rsidP="00782D1D">
      <w:pPr>
        <w:spacing w:before="240" w:after="240" w:line="276" w:lineRule="auto"/>
      </w:pPr>
      <w:r>
        <w:t xml:space="preserve">The PGM </w:t>
      </w:r>
      <w:r w:rsidR="0090277B">
        <w:t xml:space="preserve">is </w:t>
      </w:r>
      <w:r>
        <w:t xml:space="preserve">divided into 4 parts (A-D).  </w:t>
      </w:r>
      <w:r w:rsidR="0090277B">
        <w:t>T</w:t>
      </w:r>
      <w:r w:rsidR="00AA3B04">
        <w:t xml:space="preserve">emplates </w:t>
      </w:r>
      <w:r w:rsidR="00150154">
        <w:t>have</w:t>
      </w:r>
      <w:r w:rsidR="0090277B">
        <w:t xml:space="preserve"> </w:t>
      </w:r>
      <w:r w:rsidR="00AA3B04">
        <w:t xml:space="preserve">been embedded as </w:t>
      </w:r>
      <w:r w:rsidR="00836ECF">
        <w:t>extractable</w:t>
      </w:r>
      <w:r w:rsidR="00AA3B04">
        <w:t xml:space="preserve"> documents for easier onward use</w:t>
      </w:r>
      <w:r w:rsidR="00836ECF">
        <w:t>.</w:t>
      </w:r>
    </w:p>
    <w:p w14:paraId="295E67DF" w14:textId="77777777" w:rsidR="0090277B" w:rsidRDefault="0090277B" w:rsidP="00782D1D">
      <w:pPr>
        <w:spacing w:before="240" w:after="240" w:line="276" w:lineRule="auto"/>
      </w:pPr>
    </w:p>
    <w:p w14:paraId="148F3803" w14:textId="77777777" w:rsidR="00A37E23" w:rsidRPr="006F3F44" w:rsidRDefault="00A37E23" w:rsidP="00782D1D">
      <w:pPr>
        <w:spacing w:before="240" w:after="240" w:line="276" w:lineRule="auto"/>
        <w:rPr>
          <w:highlight w:val="yellow"/>
        </w:rPr>
      </w:pPr>
      <w:bookmarkStart w:id="8" w:name="_Hlk51141606"/>
      <w:r w:rsidRPr="006F3F44">
        <w:rPr>
          <w:highlight w:val="yellow"/>
        </w:rPr>
        <w:t>Part A – Excellent Commissioning and Partnership Working</w:t>
      </w:r>
    </w:p>
    <w:p w14:paraId="556478DF" w14:textId="75FD5162" w:rsidR="00A37E23" w:rsidRPr="006F3F44" w:rsidRDefault="00A37E23" w:rsidP="006C3DF5">
      <w:pPr>
        <w:pStyle w:val="ListParagraph"/>
        <w:numPr>
          <w:ilvl w:val="0"/>
          <w:numId w:val="113"/>
        </w:numPr>
        <w:spacing w:before="240" w:after="240" w:line="276" w:lineRule="auto"/>
        <w:rPr>
          <w:highlight w:val="yellow"/>
        </w:rPr>
      </w:pPr>
      <w:r w:rsidRPr="006F3F44">
        <w:rPr>
          <w:highlight w:val="yellow"/>
        </w:rPr>
        <w:t>Introduction –</w:t>
      </w:r>
      <w:r w:rsidR="00460770" w:rsidRPr="006F3F44">
        <w:rPr>
          <w:b/>
          <w:highlight w:val="yellow"/>
        </w:rPr>
        <w:t xml:space="preserve"> </w:t>
      </w:r>
      <w:r w:rsidR="008E18CA">
        <w:rPr>
          <w:b/>
          <w:highlight w:val="yellow"/>
        </w:rPr>
        <w:t>Minor Amendments to reflect the need</w:t>
      </w:r>
      <w:r w:rsidR="005022D2">
        <w:rPr>
          <w:b/>
          <w:highlight w:val="yellow"/>
        </w:rPr>
        <w:t xml:space="preserve"> </w:t>
      </w:r>
      <w:r w:rsidR="008E18CA">
        <w:rPr>
          <w:b/>
          <w:highlight w:val="yellow"/>
        </w:rPr>
        <w:t>to review the e lear</w:t>
      </w:r>
      <w:r w:rsidR="00575A2B">
        <w:rPr>
          <w:b/>
          <w:highlight w:val="yellow"/>
        </w:rPr>
        <w:t>n</w:t>
      </w:r>
      <w:r w:rsidR="008E18CA">
        <w:rPr>
          <w:b/>
          <w:highlight w:val="yellow"/>
        </w:rPr>
        <w:t>ing modules for Commissioners to align with the new Health and Social Care Bill</w:t>
      </w:r>
      <w:r w:rsidRPr="006F3F44">
        <w:rPr>
          <w:highlight w:val="yellow"/>
        </w:rPr>
        <w:t xml:space="preserve"> </w:t>
      </w:r>
    </w:p>
    <w:p w14:paraId="0A7DDC2E" w14:textId="57385CB3" w:rsidR="00A37E23" w:rsidRPr="008E18CA" w:rsidRDefault="00A37E23" w:rsidP="008E18CA">
      <w:pPr>
        <w:pStyle w:val="ListParagraph"/>
        <w:numPr>
          <w:ilvl w:val="0"/>
          <w:numId w:val="113"/>
        </w:numPr>
        <w:spacing w:before="240" w:after="240" w:line="276" w:lineRule="auto"/>
        <w:rPr>
          <w:b/>
          <w:highlight w:val="yellow"/>
        </w:rPr>
      </w:pPr>
      <w:r w:rsidRPr="006F3F44">
        <w:rPr>
          <w:highlight w:val="yellow"/>
        </w:rPr>
        <w:t xml:space="preserve">Abbreviations and Acronyms – </w:t>
      </w:r>
      <w:r w:rsidR="008E18CA" w:rsidRPr="006F3F44">
        <w:rPr>
          <w:b/>
          <w:highlight w:val="yellow"/>
        </w:rPr>
        <w:t>Minor factual accuracy amendments</w:t>
      </w:r>
    </w:p>
    <w:p w14:paraId="26E02D06" w14:textId="67111AC9" w:rsidR="00A37E23" w:rsidRPr="006F3F44" w:rsidRDefault="00A37E23" w:rsidP="006C3DF5">
      <w:pPr>
        <w:pStyle w:val="ListParagraph"/>
        <w:numPr>
          <w:ilvl w:val="0"/>
          <w:numId w:val="113"/>
        </w:numPr>
        <w:spacing w:before="240" w:after="240" w:line="276" w:lineRule="auto"/>
        <w:rPr>
          <w:b/>
          <w:highlight w:val="yellow"/>
        </w:rPr>
      </w:pPr>
      <w:r w:rsidRPr="006F3F44">
        <w:rPr>
          <w:highlight w:val="yellow"/>
        </w:rPr>
        <w:t xml:space="preserve">Commissioning Described – </w:t>
      </w:r>
      <w:r w:rsidR="008E18CA">
        <w:rPr>
          <w:b/>
          <w:highlight w:val="yellow"/>
        </w:rPr>
        <w:t xml:space="preserve">No change </w:t>
      </w:r>
      <w:r w:rsidR="007070C7" w:rsidRPr="006F3F44">
        <w:rPr>
          <w:b/>
          <w:highlight w:val="yellow"/>
        </w:rPr>
        <w:t xml:space="preserve"> </w:t>
      </w:r>
    </w:p>
    <w:p w14:paraId="6E3FB9F8" w14:textId="163D7CFE" w:rsidR="00E1059B" w:rsidRPr="006F3F44" w:rsidRDefault="00E1059B" w:rsidP="006C3DF5">
      <w:pPr>
        <w:pStyle w:val="ListParagraph"/>
        <w:numPr>
          <w:ilvl w:val="0"/>
          <w:numId w:val="113"/>
        </w:numPr>
        <w:spacing w:before="240" w:after="240" w:line="276" w:lineRule="auto"/>
        <w:rPr>
          <w:b/>
          <w:highlight w:val="yellow"/>
        </w:rPr>
      </w:pPr>
      <w:r w:rsidRPr="006F3F44">
        <w:rPr>
          <w:highlight w:val="yellow"/>
        </w:rPr>
        <w:t>General Duties of NHS England (including addressing health inequalities</w:t>
      </w:r>
      <w:r w:rsidR="00D01EC6" w:rsidRPr="006F3F44">
        <w:rPr>
          <w:highlight w:val="yellow"/>
        </w:rPr>
        <w:t xml:space="preserve"> –</w:t>
      </w:r>
      <w:r w:rsidR="008E18CA">
        <w:rPr>
          <w:highlight w:val="yellow"/>
        </w:rPr>
        <w:t xml:space="preserve"> </w:t>
      </w:r>
      <w:r w:rsidR="00974758" w:rsidRPr="008E18CA">
        <w:rPr>
          <w:b/>
          <w:bCs w:val="0"/>
          <w:highlight w:val="yellow"/>
        </w:rPr>
        <w:t xml:space="preserve">No </w:t>
      </w:r>
      <w:r w:rsidR="00F34E64" w:rsidRPr="008E18CA">
        <w:rPr>
          <w:b/>
          <w:bCs w:val="0"/>
          <w:highlight w:val="yellow"/>
        </w:rPr>
        <w:t>Change</w:t>
      </w:r>
    </w:p>
    <w:p w14:paraId="6913BF0B" w14:textId="457108B1" w:rsidR="008E18CA" w:rsidRDefault="00A37E23" w:rsidP="008E18CA">
      <w:pPr>
        <w:pStyle w:val="ListParagraph"/>
        <w:numPr>
          <w:ilvl w:val="0"/>
          <w:numId w:val="113"/>
        </w:numPr>
        <w:spacing w:before="240" w:after="240" w:line="276" w:lineRule="auto"/>
        <w:rPr>
          <w:highlight w:val="yellow"/>
        </w:rPr>
      </w:pPr>
      <w:r w:rsidRPr="006F3F44">
        <w:rPr>
          <w:highlight w:val="yellow"/>
        </w:rPr>
        <w:t>Working Together – Commissioning and Regulating –</w:t>
      </w:r>
      <w:r w:rsidR="008E18CA">
        <w:rPr>
          <w:highlight w:val="yellow"/>
        </w:rPr>
        <w:t xml:space="preserve"> </w:t>
      </w:r>
      <w:r w:rsidR="008E18CA" w:rsidRPr="008E18CA">
        <w:rPr>
          <w:b/>
          <w:bCs w:val="0"/>
          <w:highlight w:val="yellow"/>
        </w:rPr>
        <w:t>No change</w:t>
      </w:r>
      <w:r w:rsidR="008E18CA">
        <w:rPr>
          <w:highlight w:val="yellow"/>
        </w:rPr>
        <w:t xml:space="preserve"> </w:t>
      </w:r>
    </w:p>
    <w:p w14:paraId="1C6755EE" w14:textId="77777777" w:rsidR="008E18CA" w:rsidRDefault="008E18CA" w:rsidP="008E18CA">
      <w:pPr>
        <w:pStyle w:val="ListParagraph"/>
        <w:spacing w:before="240" w:after="240" w:line="276" w:lineRule="auto"/>
        <w:ind w:left="1080"/>
        <w:rPr>
          <w:highlight w:val="yellow"/>
        </w:rPr>
      </w:pPr>
    </w:p>
    <w:p w14:paraId="1189C05B" w14:textId="0EFBB321" w:rsidR="00A37E23" w:rsidRPr="008E18CA" w:rsidRDefault="00A37E23" w:rsidP="008E18CA">
      <w:pPr>
        <w:spacing w:before="240" w:after="240" w:line="276" w:lineRule="auto"/>
        <w:rPr>
          <w:highlight w:val="yellow"/>
        </w:rPr>
      </w:pPr>
      <w:r w:rsidRPr="008E18CA">
        <w:rPr>
          <w:highlight w:val="yellow"/>
        </w:rPr>
        <w:t>Part B – General Contract Management</w:t>
      </w:r>
    </w:p>
    <w:p w14:paraId="6CA528AA" w14:textId="40656834" w:rsidR="00A37E23" w:rsidRPr="006F3F44" w:rsidRDefault="00A37E23" w:rsidP="006C3DF5">
      <w:pPr>
        <w:pStyle w:val="ListParagraph"/>
        <w:numPr>
          <w:ilvl w:val="0"/>
          <w:numId w:val="112"/>
        </w:numPr>
        <w:spacing w:before="240" w:after="240" w:line="276" w:lineRule="auto"/>
        <w:rPr>
          <w:highlight w:val="yellow"/>
        </w:rPr>
      </w:pPr>
      <w:r w:rsidRPr="006F3F44">
        <w:rPr>
          <w:highlight w:val="yellow"/>
        </w:rPr>
        <w:t xml:space="preserve">Contracts Described – </w:t>
      </w:r>
      <w:r w:rsidR="00FE1596" w:rsidRPr="006F3F44">
        <w:rPr>
          <w:b/>
          <w:highlight w:val="yellow"/>
        </w:rPr>
        <w:t xml:space="preserve">Minor amendments </w:t>
      </w:r>
    </w:p>
    <w:p w14:paraId="47549C4E" w14:textId="5C3A1250" w:rsidR="008E18CA" w:rsidRPr="008E18CA" w:rsidRDefault="00A37E23" w:rsidP="00571BA9">
      <w:pPr>
        <w:pStyle w:val="ListParagraph"/>
        <w:numPr>
          <w:ilvl w:val="0"/>
          <w:numId w:val="112"/>
        </w:numPr>
        <w:spacing w:before="240" w:after="240" w:line="276" w:lineRule="auto"/>
        <w:rPr>
          <w:highlight w:val="yellow"/>
        </w:rPr>
      </w:pPr>
      <w:r w:rsidRPr="008E18CA">
        <w:rPr>
          <w:highlight w:val="yellow"/>
        </w:rPr>
        <w:t xml:space="preserve">Assurance Framework Contract Review – </w:t>
      </w:r>
      <w:r w:rsidR="00CC28E5" w:rsidRPr="008E18CA">
        <w:rPr>
          <w:b/>
          <w:highlight w:val="yellow"/>
        </w:rPr>
        <w:t xml:space="preserve">Minor amendments </w:t>
      </w:r>
      <w:r w:rsidR="00030088" w:rsidRPr="008E18CA">
        <w:rPr>
          <w:b/>
          <w:highlight w:val="yellow"/>
        </w:rPr>
        <w:t xml:space="preserve">to </w:t>
      </w:r>
      <w:r w:rsidR="008E18CA" w:rsidRPr="008E18CA">
        <w:rPr>
          <w:b/>
          <w:highlight w:val="yellow"/>
        </w:rPr>
        <w:t xml:space="preserve">reiterate the importance of </w:t>
      </w:r>
      <w:r w:rsidR="008E18CA">
        <w:rPr>
          <w:b/>
          <w:highlight w:val="yellow"/>
        </w:rPr>
        <w:t>CCGs/ICBs’ adherence to polic</w:t>
      </w:r>
      <w:r w:rsidR="005022D2">
        <w:rPr>
          <w:b/>
          <w:highlight w:val="yellow"/>
        </w:rPr>
        <w:t>i</w:t>
      </w:r>
      <w:r w:rsidR="008E18CA">
        <w:rPr>
          <w:b/>
          <w:highlight w:val="yellow"/>
        </w:rPr>
        <w:t xml:space="preserve">es and guidance issued by NHS England, including the PGM </w:t>
      </w:r>
    </w:p>
    <w:p w14:paraId="3DCF0BB9" w14:textId="4DAE7BEE" w:rsidR="00843072" w:rsidRPr="008E18CA" w:rsidRDefault="00A37E23" w:rsidP="00571BA9">
      <w:pPr>
        <w:pStyle w:val="ListParagraph"/>
        <w:numPr>
          <w:ilvl w:val="0"/>
          <w:numId w:val="112"/>
        </w:numPr>
        <w:spacing w:before="240" w:after="240" w:line="276" w:lineRule="auto"/>
        <w:rPr>
          <w:highlight w:val="yellow"/>
        </w:rPr>
      </w:pPr>
      <w:r w:rsidRPr="008E18CA">
        <w:rPr>
          <w:highlight w:val="yellow"/>
        </w:rPr>
        <w:t>Managing Patient Lists –</w:t>
      </w:r>
      <w:r w:rsidR="00961D05" w:rsidRPr="008E18CA">
        <w:rPr>
          <w:b/>
          <w:highlight w:val="yellow"/>
        </w:rPr>
        <w:t xml:space="preserve">Minor amendment </w:t>
      </w:r>
      <w:r w:rsidR="001A1F66" w:rsidRPr="008E18CA">
        <w:rPr>
          <w:b/>
          <w:highlight w:val="yellow"/>
        </w:rPr>
        <w:t>relating to</w:t>
      </w:r>
      <w:r w:rsidR="00961D05" w:rsidRPr="008E18CA">
        <w:rPr>
          <w:b/>
          <w:highlight w:val="yellow"/>
        </w:rPr>
        <w:t xml:space="preserve"> </w:t>
      </w:r>
      <w:r w:rsidR="00420328">
        <w:rPr>
          <w:b/>
          <w:highlight w:val="yellow"/>
        </w:rPr>
        <w:t>the maintenance of  accurate patient list</w:t>
      </w:r>
      <w:r w:rsidR="0040416A">
        <w:rPr>
          <w:b/>
          <w:highlight w:val="yellow"/>
        </w:rPr>
        <w:t>s</w:t>
      </w:r>
      <w:r w:rsidR="00420328">
        <w:rPr>
          <w:b/>
          <w:highlight w:val="yellow"/>
        </w:rPr>
        <w:t xml:space="preserve"> </w:t>
      </w:r>
    </w:p>
    <w:p w14:paraId="2B4A7380" w14:textId="12281E9B" w:rsidR="00A37E23" w:rsidRPr="004D2236" w:rsidRDefault="00A37E23" w:rsidP="006C3DF5">
      <w:pPr>
        <w:pStyle w:val="ListParagraph"/>
        <w:numPr>
          <w:ilvl w:val="0"/>
          <w:numId w:val="112"/>
        </w:numPr>
        <w:spacing w:before="240" w:after="240" w:line="276" w:lineRule="auto"/>
        <w:rPr>
          <w:b/>
          <w:bCs w:val="0"/>
          <w:highlight w:val="yellow"/>
        </w:rPr>
      </w:pPr>
      <w:r w:rsidRPr="006F3F44">
        <w:rPr>
          <w:highlight w:val="yellow"/>
        </w:rPr>
        <w:t>GP Patient Registration Standard Operating Principles for Primary Medical Care</w:t>
      </w:r>
      <w:r w:rsidR="00A818C8" w:rsidRPr="006F3F44">
        <w:rPr>
          <w:highlight w:val="yellow"/>
        </w:rPr>
        <w:t xml:space="preserve"> – </w:t>
      </w:r>
      <w:r w:rsidR="004D2236" w:rsidRPr="004D2236">
        <w:rPr>
          <w:b/>
          <w:bCs w:val="0"/>
          <w:highlight w:val="yellow"/>
        </w:rPr>
        <w:t>Minor amendment, new sub chapter on the registration of Civil Servant and members of the Armed forces returning from overseas postings</w:t>
      </w:r>
    </w:p>
    <w:p w14:paraId="623DB6E9" w14:textId="65E9B4D7" w:rsidR="00A37E23" w:rsidRDefault="00A37E23" w:rsidP="006C3DF5">
      <w:pPr>
        <w:pStyle w:val="ListParagraph"/>
        <w:numPr>
          <w:ilvl w:val="0"/>
          <w:numId w:val="112"/>
        </w:numPr>
        <w:spacing w:before="240" w:after="240" w:line="276" w:lineRule="auto"/>
        <w:rPr>
          <w:b/>
          <w:highlight w:val="yellow"/>
        </w:rPr>
      </w:pPr>
      <w:r w:rsidRPr="006F3F44">
        <w:rPr>
          <w:highlight w:val="yellow"/>
        </w:rPr>
        <w:t xml:space="preserve">Temporary </w:t>
      </w:r>
      <w:r w:rsidR="006E2AD9" w:rsidRPr="006F3F44">
        <w:rPr>
          <w:highlight w:val="yellow"/>
        </w:rPr>
        <w:t>S</w:t>
      </w:r>
      <w:r w:rsidRPr="006F3F44">
        <w:rPr>
          <w:highlight w:val="yellow"/>
        </w:rPr>
        <w:t xml:space="preserve">uspension to </w:t>
      </w:r>
      <w:r w:rsidR="006E2AD9" w:rsidRPr="006F3F44">
        <w:rPr>
          <w:highlight w:val="yellow"/>
        </w:rPr>
        <w:t>P</w:t>
      </w:r>
      <w:r w:rsidRPr="006F3F44">
        <w:rPr>
          <w:highlight w:val="yellow"/>
        </w:rPr>
        <w:t xml:space="preserve">atient </w:t>
      </w:r>
      <w:r w:rsidR="006E2AD9" w:rsidRPr="006F3F44">
        <w:rPr>
          <w:highlight w:val="yellow"/>
        </w:rPr>
        <w:t>R</w:t>
      </w:r>
      <w:r w:rsidRPr="006F3F44">
        <w:rPr>
          <w:highlight w:val="yellow"/>
        </w:rPr>
        <w:t>egistration</w:t>
      </w:r>
      <w:bookmarkStart w:id="9" w:name="_Hlk536623278"/>
      <w:r w:rsidR="00A818C8" w:rsidRPr="006F3F44">
        <w:rPr>
          <w:highlight w:val="yellow"/>
        </w:rPr>
        <w:t xml:space="preserve"> – </w:t>
      </w:r>
      <w:bookmarkEnd w:id="9"/>
      <w:r w:rsidR="005E0628" w:rsidRPr="006F3F44">
        <w:rPr>
          <w:b/>
          <w:highlight w:val="yellow"/>
        </w:rPr>
        <w:t>Minor amendments</w:t>
      </w:r>
      <w:r w:rsidR="00892419" w:rsidRPr="006F3F44">
        <w:rPr>
          <w:b/>
          <w:highlight w:val="yellow"/>
        </w:rPr>
        <w:t xml:space="preserve"> to strengthen list closure</w:t>
      </w:r>
    </w:p>
    <w:p w14:paraId="51CB7ABD" w14:textId="7F963E64" w:rsidR="004D2236" w:rsidRPr="004D2236" w:rsidRDefault="004D2236" w:rsidP="006C3DF5">
      <w:pPr>
        <w:pStyle w:val="ListParagraph"/>
        <w:numPr>
          <w:ilvl w:val="0"/>
          <w:numId w:val="112"/>
        </w:numPr>
        <w:spacing w:before="240" w:after="240" w:line="276" w:lineRule="auto"/>
        <w:rPr>
          <w:b/>
          <w:bCs w:val="0"/>
          <w:color w:val="FF0000"/>
          <w:highlight w:val="yellow"/>
        </w:rPr>
      </w:pPr>
      <w:r w:rsidRPr="004D2236">
        <w:rPr>
          <w:b/>
          <w:color w:val="FF0000"/>
          <w:highlight w:val="yellow"/>
        </w:rPr>
        <w:t xml:space="preserve">New chapter </w:t>
      </w:r>
      <w:r w:rsidRPr="004D2236">
        <w:rPr>
          <w:rFonts w:cs="Arial"/>
          <w:b/>
          <w:bCs w:val="0"/>
          <w:i/>
          <w:iCs/>
          <w:color w:val="FF0000"/>
          <w:szCs w:val="24"/>
          <w:highlight w:val="yellow"/>
        </w:rPr>
        <w:t>Managing [non-violent] inappropriate and unacceptable patient behaviours, including protecting against discrimination, harassment or victimisation</w:t>
      </w:r>
    </w:p>
    <w:p w14:paraId="749EF86F" w14:textId="5841EEE6" w:rsidR="00A37E23" w:rsidRPr="006F3F44" w:rsidRDefault="00A37E23" w:rsidP="006C3DF5">
      <w:pPr>
        <w:pStyle w:val="ListParagraph"/>
        <w:numPr>
          <w:ilvl w:val="0"/>
          <w:numId w:val="112"/>
        </w:numPr>
        <w:spacing w:before="240" w:after="240" w:line="276" w:lineRule="auto"/>
        <w:rPr>
          <w:highlight w:val="yellow"/>
        </w:rPr>
      </w:pPr>
      <w:r w:rsidRPr="006F3F44">
        <w:rPr>
          <w:highlight w:val="yellow"/>
        </w:rPr>
        <w:t>Special Allocation Scheme (SAS)</w:t>
      </w:r>
      <w:r w:rsidR="00A818C8" w:rsidRPr="006F3F44">
        <w:rPr>
          <w:highlight w:val="yellow"/>
        </w:rPr>
        <w:t xml:space="preserve"> –</w:t>
      </w:r>
      <w:r w:rsidR="00961D05" w:rsidRPr="006F3F44">
        <w:rPr>
          <w:b/>
          <w:highlight w:val="yellow"/>
        </w:rPr>
        <w:t xml:space="preserve"> Minor Amendment</w:t>
      </w:r>
      <w:r w:rsidR="005E0628" w:rsidRPr="006F3F44">
        <w:rPr>
          <w:highlight w:val="yellow"/>
        </w:rPr>
        <w:t xml:space="preserve"> </w:t>
      </w:r>
      <w:r w:rsidR="00892419" w:rsidRPr="006F3F44">
        <w:rPr>
          <w:b/>
          <w:highlight w:val="yellow"/>
        </w:rPr>
        <w:t xml:space="preserve"> </w:t>
      </w:r>
    </w:p>
    <w:p w14:paraId="11ADBAD4" w14:textId="6261300F" w:rsidR="00A37E23" w:rsidRPr="006F3F44" w:rsidRDefault="00A37E23" w:rsidP="006C3DF5">
      <w:pPr>
        <w:pStyle w:val="ListParagraph"/>
        <w:numPr>
          <w:ilvl w:val="0"/>
          <w:numId w:val="112"/>
        </w:numPr>
        <w:spacing w:before="240" w:after="240" w:line="276" w:lineRule="auto"/>
        <w:rPr>
          <w:highlight w:val="yellow"/>
        </w:rPr>
      </w:pPr>
      <w:r w:rsidRPr="006F3F44">
        <w:rPr>
          <w:highlight w:val="yellow"/>
        </w:rPr>
        <w:t>Contract Variations (templates available)</w:t>
      </w:r>
      <w:r w:rsidR="001F1653" w:rsidRPr="006F3F44">
        <w:rPr>
          <w:highlight w:val="yellow"/>
        </w:rPr>
        <w:t xml:space="preserve"> – </w:t>
      </w:r>
      <w:r w:rsidR="004D2236">
        <w:rPr>
          <w:b/>
          <w:bCs w:val="0"/>
          <w:highlight w:val="yellow"/>
        </w:rPr>
        <w:t>Minor Amendment</w:t>
      </w:r>
      <w:r w:rsidR="00575A2B">
        <w:rPr>
          <w:b/>
          <w:bCs w:val="0"/>
          <w:highlight w:val="yellow"/>
        </w:rPr>
        <w:t>s</w:t>
      </w:r>
      <w:r w:rsidR="00892419" w:rsidRPr="006F3F44">
        <w:rPr>
          <w:b/>
          <w:highlight w:val="yellow"/>
        </w:rPr>
        <w:t xml:space="preserve"> </w:t>
      </w:r>
    </w:p>
    <w:p w14:paraId="63268696" w14:textId="457D8D2F" w:rsidR="00AA3B04" w:rsidRPr="006F3F44" w:rsidRDefault="00A37E23" w:rsidP="006C3DF5">
      <w:pPr>
        <w:pStyle w:val="ListParagraph"/>
        <w:numPr>
          <w:ilvl w:val="0"/>
          <w:numId w:val="112"/>
        </w:numPr>
        <w:spacing w:before="240" w:after="240" w:line="276" w:lineRule="auto"/>
        <w:rPr>
          <w:b/>
          <w:highlight w:val="yellow"/>
        </w:rPr>
      </w:pPr>
      <w:r w:rsidRPr="006F3F44">
        <w:rPr>
          <w:highlight w:val="yellow"/>
        </w:rPr>
        <w:t>Managing a PMS Contractor’s Right to a GMS Contract</w:t>
      </w:r>
      <w:r w:rsidR="00AA3B04" w:rsidRPr="006F3F44">
        <w:rPr>
          <w:highlight w:val="yellow"/>
        </w:rPr>
        <w:t xml:space="preserve"> – </w:t>
      </w:r>
      <w:r w:rsidR="006F1CA4" w:rsidRPr="006F3F44">
        <w:rPr>
          <w:b/>
          <w:highlight w:val="yellow"/>
        </w:rPr>
        <w:t>No</w:t>
      </w:r>
      <w:r w:rsidR="00575A2B">
        <w:rPr>
          <w:b/>
          <w:highlight w:val="yellow"/>
        </w:rPr>
        <w:t xml:space="preserve"> </w:t>
      </w:r>
      <w:r w:rsidR="00961D05" w:rsidRPr="006F3F44">
        <w:rPr>
          <w:b/>
          <w:highlight w:val="yellow"/>
        </w:rPr>
        <w:t>change</w:t>
      </w:r>
    </w:p>
    <w:p w14:paraId="6C2716A6" w14:textId="45B711DE" w:rsidR="00AA3B04" w:rsidRPr="006F3F44" w:rsidRDefault="00A37E23" w:rsidP="006C3DF5">
      <w:pPr>
        <w:pStyle w:val="ListParagraph"/>
        <w:numPr>
          <w:ilvl w:val="0"/>
          <w:numId w:val="112"/>
        </w:numPr>
        <w:spacing w:before="240" w:after="240" w:line="276" w:lineRule="auto"/>
        <w:rPr>
          <w:b/>
          <w:highlight w:val="yellow"/>
        </w:rPr>
      </w:pPr>
      <w:r w:rsidRPr="006F3F44">
        <w:rPr>
          <w:highlight w:val="yellow"/>
        </w:rPr>
        <w:t>Practice Closedown (Planned / Scheduled)</w:t>
      </w:r>
      <w:r w:rsidR="001F1653" w:rsidRPr="006F3F44">
        <w:rPr>
          <w:highlight w:val="yellow"/>
        </w:rPr>
        <w:t xml:space="preserve"> – </w:t>
      </w:r>
      <w:r w:rsidR="005E0628" w:rsidRPr="006F3F44">
        <w:rPr>
          <w:b/>
          <w:highlight w:val="yellow"/>
        </w:rPr>
        <w:t>Minor Amendments</w:t>
      </w:r>
      <w:r w:rsidR="00E856C7" w:rsidRPr="006F3F44">
        <w:rPr>
          <w:b/>
          <w:highlight w:val="yellow"/>
        </w:rPr>
        <w:t xml:space="preserve"> </w:t>
      </w:r>
    </w:p>
    <w:p w14:paraId="750802F0" w14:textId="42CE8E0C" w:rsidR="00A37E23" w:rsidRPr="006F3F44" w:rsidRDefault="00A37E23" w:rsidP="006C3DF5">
      <w:pPr>
        <w:pStyle w:val="ListParagraph"/>
        <w:numPr>
          <w:ilvl w:val="0"/>
          <w:numId w:val="112"/>
        </w:numPr>
        <w:spacing w:before="240" w:after="240" w:line="276" w:lineRule="auto"/>
        <w:rPr>
          <w:highlight w:val="yellow"/>
        </w:rPr>
      </w:pPr>
      <w:r w:rsidRPr="006F3F44">
        <w:rPr>
          <w:highlight w:val="yellow"/>
        </w:rPr>
        <w:t>Discretionary Payments (made under Sectio</w:t>
      </w:r>
      <w:r w:rsidR="00AA3B04" w:rsidRPr="006F3F44">
        <w:rPr>
          <w:highlight w:val="yellow"/>
        </w:rPr>
        <w:t>n 96</w:t>
      </w:r>
      <w:r w:rsidRPr="006F3F44">
        <w:rPr>
          <w:highlight w:val="yellow"/>
        </w:rPr>
        <w:t>)</w:t>
      </w:r>
      <w:r w:rsidR="00AA3B04" w:rsidRPr="006F3F44">
        <w:rPr>
          <w:highlight w:val="yellow"/>
        </w:rPr>
        <w:t xml:space="preserve"> </w:t>
      </w:r>
      <w:r w:rsidR="001F1653" w:rsidRPr="006F3F44">
        <w:rPr>
          <w:highlight w:val="yellow"/>
        </w:rPr>
        <w:t xml:space="preserve">– </w:t>
      </w:r>
      <w:r w:rsidR="004D2236">
        <w:rPr>
          <w:b/>
          <w:highlight w:val="yellow"/>
        </w:rPr>
        <w:t>Minor Amendement, factual accuracy checks</w:t>
      </w:r>
    </w:p>
    <w:p w14:paraId="12891977" w14:textId="7E154FB2" w:rsidR="00547717" w:rsidRPr="006F3F44" w:rsidRDefault="00547717" w:rsidP="006C3DF5">
      <w:pPr>
        <w:pStyle w:val="ListParagraph"/>
        <w:numPr>
          <w:ilvl w:val="0"/>
          <w:numId w:val="112"/>
        </w:numPr>
        <w:spacing w:before="240" w:after="240" w:line="276" w:lineRule="auto"/>
        <w:rPr>
          <w:highlight w:val="yellow"/>
        </w:rPr>
      </w:pPr>
      <w:r w:rsidRPr="006F3F44">
        <w:rPr>
          <w:highlight w:val="yellow"/>
        </w:rPr>
        <w:t>National Procurement Support Contra</w:t>
      </w:r>
      <w:r w:rsidR="005314EE" w:rsidRPr="006F3F44">
        <w:rPr>
          <w:highlight w:val="yellow"/>
        </w:rPr>
        <w:t>ct</w:t>
      </w:r>
      <w:r w:rsidR="001F1653" w:rsidRPr="006F3F44">
        <w:rPr>
          <w:highlight w:val="yellow"/>
        </w:rPr>
        <w:t xml:space="preserve"> – </w:t>
      </w:r>
      <w:r w:rsidR="00E856C7" w:rsidRPr="006F3F44">
        <w:rPr>
          <w:b/>
          <w:highlight w:val="yellow"/>
        </w:rPr>
        <w:t>Minor amendment</w:t>
      </w:r>
    </w:p>
    <w:p w14:paraId="34AA6960" w14:textId="794D3FB8" w:rsidR="00B578F2" w:rsidRPr="006F3F44" w:rsidRDefault="00B578F2" w:rsidP="006C3DF5">
      <w:pPr>
        <w:pStyle w:val="ListParagraph"/>
        <w:numPr>
          <w:ilvl w:val="0"/>
          <w:numId w:val="112"/>
        </w:numPr>
        <w:spacing w:before="240" w:after="240" w:line="276" w:lineRule="auto"/>
        <w:rPr>
          <w:highlight w:val="yellow"/>
        </w:rPr>
      </w:pPr>
      <w:r w:rsidRPr="006F3F44">
        <w:rPr>
          <w:highlight w:val="yellow"/>
        </w:rPr>
        <w:t>Premises Running Costs and Service Charges</w:t>
      </w:r>
      <w:r w:rsidR="001F1653" w:rsidRPr="006F3F44">
        <w:rPr>
          <w:highlight w:val="yellow"/>
        </w:rPr>
        <w:t xml:space="preserve"> – </w:t>
      </w:r>
      <w:r w:rsidR="004D2236" w:rsidRPr="004D2236">
        <w:rPr>
          <w:b/>
          <w:bCs w:val="0"/>
          <w:highlight w:val="yellow"/>
        </w:rPr>
        <w:t>No change</w:t>
      </w:r>
      <w:r w:rsidR="004D2236">
        <w:rPr>
          <w:highlight w:val="yellow"/>
        </w:rPr>
        <w:t xml:space="preserve"> </w:t>
      </w:r>
    </w:p>
    <w:p w14:paraId="2009C07F" w14:textId="63B3ACA5" w:rsidR="001A30B9" w:rsidRPr="006F3F44" w:rsidRDefault="001A30B9" w:rsidP="006C3DF5">
      <w:pPr>
        <w:pStyle w:val="ListParagraph"/>
        <w:numPr>
          <w:ilvl w:val="0"/>
          <w:numId w:val="112"/>
        </w:numPr>
        <w:spacing w:before="240" w:after="240" w:line="276" w:lineRule="auto"/>
        <w:rPr>
          <w:highlight w:val="yellow"/>
        </w:rPr>
      </w:pPr>
      <w:r w:rsidRPr="006F3F44">
        <w:rPr>
          <w:highlight w:val="yellow"/>
        </w:rPr>
        <w:t xml:space="preserve">Sub-contracting of Clinical Services – </w:t>
      </w:r>
      <w:r w:rsidR="00D46947" w:rsidRPr="006F3F44">
        <w:rPr>
          <w:b/>
          <w:bCs w:val="0"/>
          <w:highlight w:val="yellow"/>
        </w:rPr>
        <w:t>Minor amendments</w:t>
      </w:r>
    </w:p>
    <w:p w14:paraId="4F659598" w14:textId="77777777" w:rsidR="00A37E23" w:rsidRPr="006F3F44" w:rsidRDefault="00A37E23" w:rsidP="00782D1D">
      <w:pPr>
        <w:spacing w:before="240" w:after="240" w:line="276" w:lineRule="auto"/>
        <w:rPr>
          <w:highlight w:val="yellow"/>
        </w:rPr>
      </w:pPr>
      <w:r w:rsidRPr="006F3F44">
        <w:rPr>
          <w:highlight w:val="yellow"/>
        </w:rPr>
        <w:t>Part C – When things go wrong</w:t>
      </w:r>
    </w:p>
    <w:p w14:paraId="2412A8C2" w14:textId="7EF331B8" w:rsidR="00AA3B04" w:rsidRPr="006F3F44" w:rsidRDefault="00A37E23" w:rsidP="006C3DF5">
      <w:pPr>
        <w:pStyle w:val="ListParagraph"/>
        <w:numPr>
          <w:ilvl w:val="0"/>
          <w:numId w:val="111"/>
        </w:numPr>
        <w:spacing w:before="240" w:after="240" w:line="276" w:lineRule="auto"/>
        <w:rPr>
          <w:b/>
          <w:highlight w:val="yellow"/>
        </w:rPr>
      </w:pPr>
      <w:r w:rsidRPr="006F3F44">
        <w:rPr>
          <w:highlight w:val="yellow"/>
        </w:rPr>
        <w:t>Contract Breaches, Sanctions and Terminations</w:t>
      </w:r>
      <w:r w:rsidR="001F1653" w:rsidRPr="006F3F44">
        <w:rPr>
          <w:highlight w:val="yellow"/>
        </w:rPr>
        <w:t xml:space="preserve"> – </w:t>
      </w:r>
      <w:r w:rsidR="00D46947" w:rsidRPr="006F3F44">
        <w:rPr>
          <w:b/>
          <w:highlight w:val="yellow"/>
        </w:rPr>
        <w:t xml:space="preserve">No </w:t>
      </w:r>
      <w:r w:rsidR="00961D05" w:rsidRPr="006F3F44">
        <w:rPr>
          <w:b/>
          <w:highlight w:val="yellow"/>
        </w:rPr>
        <w:t>change</w:t>
      </w:r>
    </w:p>
    <w:p w14:paraId="3FEEDF0A" w14:textId="276ADAB1" w:rsidR="00A37E23" w:rsidRPr="006F3F44" w:rsidRDefault="00A37E23" w:rsidP="006C3DF5">
      <w:pPr>
        <w:pStyle w:val="ListParagraph"/>
        <w:numPr>
          <w:ilvl w:val="0"/>
          <w:numId w:val="111"/>
        </w:numPr>
        <w:spacing w:before="240" w:after="240" w:line="276" w:lineRule="auto"/>
        <w:rPr>
          <w:highlight w:val="yellow"/>
        </w:rPr>
      </w:pPr>
      <w:r w:rsidRPr="006F3F44">
        <w:rPr>
          <w:highlight w:val="yellow"/>
        </w:rPr>
        <w:t>Unplanned / Unscheduled and Unavoidable Practice Closedown</w:t>
      </w:r>
      <w:r w:rsidR="00AA3B04" w:rsidRPr="006F3F44">
        <w:rPr>
          <w:highlight w:val="yellow"/>
        </w:rPr>
        <w:t xml:space="preserve"> </w:t>
      </w:r>
      <w:r w:rsidR="001F1653" w:rsidRPr="006F3F44">
        <w:rPr>
          <w:highlight w:val="yellow"/>
        </w:rPr>
        <w:t xml:space="preserve">– </w:t>
      </w:r>
      <w:r w:rsidR="004D2236">
        <w:rPr>
          <w:b/>
          <w:highlight w:val="yellow"/>
        </w:rPr>
        <w:t>No change</w:t>
      </w:r>
    </w:p>
    <w:p w14:paraId="49EF4A7D" w14:textId="3E606972" w:rsidR="00A37E23" w:rsidRPr="006F3F44" w:rsidRDefault="00A37E23" w:rsidP="006C3DF5">
      <w:pPr>
        <w:pStyle w:val="ListParagraph"/>
        <w:numPr>
          <w:ilvl w:val="0"/>
          <w:numId w:val="111"/>
        </w:numPr>
        <w:spacing w:before="240" w:after="240" w:line="276" w:lineRule="auto"/>
        <w:rPr>
          <w:b/>
          <w:highlight w:val="yellow"/>
        </w:rPr>
      </w:pPr>
      <w:r w:rsidRPr="006F3F44">
        <w:rPr>
          <w:highlight w:val="yellow"/>
        </w:rPr>
        <w:t xml:space="preserve">Death of a Contractor </w:t>
      </w:r>
      <w:r w:rsidR="00AA3B04" w:rsidRPr="006F3F44">
        <w:rPr>
          <w:highlight w:val="yellow"/>
        </w:rPr>
        <w:t xml:space="preserve"> – </w:t>
      </w:r>
      <w:r w:rsidR="004D2236" w:rsidRPr="004D2236">
        <w:rPr>
          <w:b/>
          <w:bCs w:val="0"/>
          <w:highlight w:val="yellow"/>
        </w:rPr>
        <w:t>No change</w:t>
      </w:r>
      <w:r w:rsidR="004D2236">
        <w:rPr>
          <w:highlight w:val="yellow"/>
        </w:rPr>
        <w:t xml:space="preserve"> </w:t>
      </w:r>
    </w:p>
    <w:p w14:paraId="06E89B29" w14:textId="4FA890B1" w:rsidR="00AA3B04" w:rsidRPr="006F3F44" w:rsidRDefault="00A37E23" w:rsidP="006C3DF5">
      <w:pPr>
        <w:pStyle w:val="ListParagraph"/>
        <w:numPr>
          <w:ilvl w:val="0"/>
          <w:numId w:val="111"/>
        </w:numPr>
        <w:spacing w:before="240" w:after="240" w:line="276" w:lineRule="auto"/>
        <w:rPr>
          <w:b/>
          <w:highlight w:val="yellow"/>
        </w:rPr>
      </w:pPr>
      <w:r w:rsidRPr="006F3F44">
        <w:rPr>
          <w:highlight w:val="yellow"/>
        </w:rPr>
        <w:t>Managing Disputes</w:t>
      </w:r>
      <w:r w:rsidR="00AA3B04" w:rsidRPr="006F3F44">
        <w:rPr>
          <w:highlight w:val="yellow"/>
        </w:rPr>
        <w:t xml:space="preserve"> – </w:t>
      </w:r>
      <w:r w:rsidR="00D46947" w:rsidRPr="006F3F44">
        <w:rPr>
          <w:b/>
          <w:highlight w:val="yellow"/>
        </w:rPr>
        <w:t xml:space="preserve">No </w:t>
      </w:r>
      <w:r w:rsidR="004D2236">
        <w:rPr>
          <w:b/>
          <w:highlight w:val="yellow"/>
        </w:rPr>
        <w:t xml:space="preserve">change </w:t>
      </w:r>
    </w:p>
    <w:p w14:paraId="249522BA" w14:textId="7030C7F2" w:rsidR="00AA3B04" w:rsidRPr="006F3F44" w:rsidRDefault="00A37E23" w:rsidP="006C3DF5">
      <w:pPr>
        <w:pStyle w:val="ListParagraph"/>
        <w:numPr>
          <w:ilvl w:val="0"/>
          <w:numId w:val="111"/>
        </w:numPr>
        <w:spacing w:before="240" w:after="240" w:line="276" w:lineRule="auto"/>
        <w:rPr>
          <w:b/>
          <w:highlight w:val="yellow"/>
        </w:rPr>
      </w:pPr>
      <w:r w:rsidRPr="006F3F44">
        <w:rPr>
          <w:highlight w:val="yellow"/>
        </w:rPr>
        <w:t>Adverse Events (e.g. flood fire)</w:t>
      </w:r>
      <w:r w:rsidR="00AA3B04" w:rsidRPr="006F3F44">
        <w:rPr>
          <w:highlight w:val="yellow"/>
        </w:rPr>
        <w:t xml:space="preserve"> – </w:t>
      </w:r>
      <w:r w:rsidR="004D2236">
        <w:rPr>
          <w:b/>
          <w:highlight w:val="yellow"/>
        </w:rPr>
        <w:t xml:space="preserve">No change </w:t>
      </w:r>
    </w:p>
    <w:p w14:paraId="14486161" w14:textId="77777777" w:rsidR="00A37E23" w:rsidRPr="006F3F44" w:rsidRDefault="00A37E23" w:rsidP="00782D1D">
      <w:pPr>
        <w:spacing w:before="240" w:after="240" w:line="276" w:lineRule="auto"/>
        <w:rPr>
          <w:highlight w:val="yellow"/>
        </w:rPr>
      </w:pPr>
      <w:r w:rsidRPr="006F3F44">
        <w:rPr>
          <w:highlight w:val="yellow"/>
        </w:rPr>
        <w:t>Part D – General</w:t>
      </w:r>
    </w:p>
    <w:p w14:paraId="37CC73CC" w14:textId="7B5FAF49" w:rsidR="00A37E23" w:rsidRPr="006F3F44" w:rsidRDefault="00A37E23" w:rsidP="006C3DF5">
      <w:pPr>
        <w:pStyle w:val="ListParagraph"/>
        <w:numPr>
          <w:ilvl w:val="0"/>
          <w:numId w:val="110"/>
        </w:numPr>
        <w:spacing w:before="240" w:after="240" w:line="276" w:lineRule="auto"/>
        <w:rPr>
          <w:b/>
          <w:highlight w:val="yellow"/>
        </w:rPr>
      </w:pPr>
      <w:r w:rsidRPr="006F3F44">
        <w:rPr>
          <w:highlight w:val="yellow"/>
        </w:rPr>
        <w:t>GP IT Operating Model:  Data and Cyber Security Arrangements</w:t>
      </w:r>
      <w:r w:rsidR="001F1653" w:rsidRPr="006F3F44">
        <w:rPr>
          <w:highlight w:val="yellow"/>
        </w:rPr>
        <w:t xml:space="preserve"> – </w:t>
      </w:r>
      <w:r w:rsidR="00D46947" w:rsidRPr="006F3F44">
        <w:rPr>
          <w:b/>
          <w:highlight w:val="yellow"/>
        </w:rPr>
        <w:t xml:space="preserve">Minor amendments </w:t>
      </w:r>
    </w:p>
    <w:p w14:paraId="39831D5F" w14:textId="20D473B0" w:rsidR="00A37E23" w:rsidRPr="006F3F44" w:rsidRDefault="00A37E23" w:rsidP="006C3DF5">
      <w:pPr>
        <w:pStyle w:val="ListParagraph"/>
        <w:numPr>
          <w:ilvl w:val="0"/>
          <w:numId w:val="110"/>
        </w:numPr>
        <w:spacing w:before="240" w:after="240" w:line="276" w:lineRule="auto"/>
        <w:rPr>
          <w:highlight w:val="yellow"/>
        </w:rPr>
      </w:pPr>
      <w:r w:rsidRPr="006F3F44">
        <w:rPr>
          <w:highlight w:val="yellow"/>
        </w:rPr>
        <w:t>Protocol in respect of locum cover or GP performer payments for parental and sickness leave</w:t>
      </w:r>
      <w:r w:rsidR="006B3D27" w:rsidRPr="006F3F44">
        <w:rPr>
          <w:highlight w:val="yellow"/>
        </w:rPr>
        <w:t xml:space="preserve"> – </w:t>
      </w:r>
      <w:r w:rsidR="00D46947" w:rsidRPr="006F3F44">
        <w:rPr>
          <w:b/>
          <w:highlight w:val="yellow"/>
        </w:rPr>
        <w:t>No amendment</w:t>
      </w:r>
    </w:p>
    <w:p w14:paraId="1E5C420B" w14:textId="77777777" w:rsidR="005022D2" w:rsidRPr="005022D2" w:rsidRDefault="00A37E23" w:rsidP="005022D2">
      <w:pPr>
        <w:pStyle w:val="ListParagraph"/>
        <w:numPr>
          <w:ilvl w:val="0"/>
          <w:numId w:val="110"/>
        </w:numPr>
        <w:spacing w:before="240" w:after="240" w:line="276" w:lineRule="auto"/>
        <w:rPr>
          <w:highlight w:val="yellow"/>
        </w:rPr>
      </w:pPr>
      <w:r w:rsidRPr="006F3F44">
        <w:rPr>
          <w:highlight w:val="yellow"/>
        </w:rPr>
        <w:t>Guidance Note: GP Practices serving Atypical Populations</w:t>
      </w:r>
      <w:r w:rsidR="006B3D27" w:rsidRPr="006F3F44">
        <w:rPr>
          <w:highlight w:val="yellow"/>
        </w:rPr>
        <w:t xml:space="preserve"> – </w:t>
      </w:r>
      <w:r w:rsidR="006F1CA4" w:rsidRPr="006F3F44">
        <w:rPr>
          <w:b/>
          <w:highlight w:val="yellow"/>
        </w:rPr>
        <w:t>No Amendment</w:t>
      </w:r>
    </w:p>
    <w:p w14:paraId="3D939751" w14:textId="6ABE374C" w:rsidR="005022D2" w:rsidRPr="005022D2" w:rsidRDefault="005022D2" w:rsidP="005022D2">
      <w:pPr>
        <w:pStyle w:val="ListParagraph"/>
        <w:numPr>
          <w:ilvl w:val="0"/>
          <w:numId w:val="110"/>
        </w:numPr>
        <w:spacing w:before="240" w:after="240" w:line="276" w:lineRule="auto"/>
        <w:rPr>
          <w:b/>
          <w:bCs w:val="0"/>
          <w:color w:val="FF0000"/>
          <w:highlight w:val="yellow"/>
        </w:rPr>
      </w:pPr>
      <w:r w:rsidRPr="005022D2">
        <w:rPr>
          <w:rFonts w:cs="Arial"/>
          <w:b/>
          <w:bCs w:val="0"/>
          <w:color w:val="FF0000"/>
          <w:szCs w:val="24"/>
          <w:highlight w:val="yellow"/>
          <w:lang w:eastAsia="en-GB"/>
        </w:rPr>
        <w:t xml:space="preserve">A new chapter </w:t>
      </w:r>
      <w:r w:rsidRPr="005022D2">
        <w:rPr>
          <w:rFonts w:cs="Arial"/>
          <w:b/>
          <w:bCs w:val="0"/>
          <w:i/>
          <w:iCs/>
          <w:color w:val="FF0000"/>
          <w:szCs w:val="24"/>
          <w:highlight w:val="yellow"/>
          <w:lang w:eastAsia="en-GB"/>
        </w:rPr>
        <w:t xml:space="preserve">Provision of Occupational Health Services – services funded by the practice </w:t>
      </w:r>
    </w:p>
    <w:p w14:paraId="6AC59CA3" w14:textId="77777777" w:rsidR="005022D2" w:rsidRPr="006F3F44" w:rsidRDefault="005022D2" w:rsidP="005022D2">
      <w:pPr>
        <w:pStyle w:val="ListParagraph"/>
        <w:spacing w:before="240" w:after="240" w:line="276" w:lineRule="auto"/>
        <w:ind w:left="1080"/>
        <w:rPr>
          <w:highlight w:val="yellow"/>
        </w:rPr>
      </w:pPr>
    </w:p>
    <w:p w14:paraId="56839289" w14:textId="77777777" w:rsidR="00912FE4" w:rsidRDefault="00912FE4">
      <w:bookmarkStart w:id="10" w:name="_Toc388457430"/>
      <w:bookmarkEnd w:id="4"/>
      <w:bookmarkEnd w:id="5"/>
      <w:r>
        <w:br w:type="page"/>
      </w:r>
    </w:p>
    <w:bookmarkEnd w:id="8"/>
    <w:p w14:paraId="23956E2A" w14:textId="406AA688" w:rsidR="001F1653" w:rsidRPr="00A553BA" w:rsidRDefault="00912FE4" w:rsidP="00912FE4">
      <w:pPr>
        <w:spacing w:before="240" w:after="240" w:line="276" w:lineRule="auto"/>
      </w:pPr>
      <w:r w:rsidRPr="00A553BA">
        <w:t xml:space="preserve"> </w:t>
      </w:r>
    </w:p>
    <w:p w14:paraId="144F1FCF" w14:textId="42612356" w:rsidR="00F466C6" w:rsidRPr="0025709E" w:rsidRDefault="00F466C6" w:rsidP="0025709E">
      <w:pPr>
        <w:pStyle w:val="Heading1"/>
        <w:numPr>
          <w:ilvl w:val="0"/>
          <w:numId w:val="0"/>
        </w:numPr>
        <w:rPr>
          <w:sz w:val="96"/>
          <w:szCs w:val="96"/>
        </w:rPr>
      </w:pPr>
      <w:bookmarkStart w:id="11" w:name="_Toc95743347"/>
      <w:r w:rsidRPr="0025709E">
        <w:rPr>
          <w:sz w:val="96"/>
          <w:szCs w:val="96"/>
        </w:rPr>
        <w:t>Part A – Excellent Commissioning and Partnership Working</w:t>
      </w:r>
      <w:bookmarkEnd w:id="11"/>
    </w:p>
    <w:p w14:paraId="7DC0C7A0" w14:textId="6EED3F93" w:rsidR="00D06433" w:rsidRDefault="00F466C6" w:rsidP="006C3DF5">
      <w:pPr>
        <w:pStyle w:val="Heading1"/>
        <w:numPr>
          <w:ilvl w:val="0"/>
          <w:numId w:val="105"/>
        </w:numPr>
      </w:pPr>
      <w:r w:rsidRPr="00F466C6">
        <w:rPr>
          <w:sz w:val="40"/>
          <w:szCs w:val="40"/>
          <w:lang w:eastAsia="en-GB"/>
        </w:rPr>
        <w:br w:type="page"/>
      </w:r>
      <w:bookmarkStart w:id="12" w:name="_Toc95743348"/>
      <w:r w:rsidR="00D06433" w:rsidRPr="00D06433">
        <w:t>Introduction</w:t>
      </w:r>
      <w:bookmarkEnd w:id="12"/>
    </w:p>
    <w:p w14:paraId="05E5A447" w14:textId="77777777" w:rsidR="00D06433" w:rsidRPr="00D06433" w:rsidRDefault="00D06433" w:rsidP="00D06433"/>
    <w:p w14:paraId="67B73DFB" w14:textId="77777777" w:rsidR="00D06433" w:rsidRPr="00D06433" w:rsidRDefault="00D06433" w:rsidP="00D06433">
      <w:pPr>
        <w:pStyle w:val="Heading2"/>
        <w:rPr>
          <w:lang w:eastAsia="en-GB"/>
        </w:rPr>
      </w:pPr>
      <w:bookmarkStart w:id="13" w:name="_Toc95743349"/>
      <w:r w:rsidRPr="00D06433">
        <w:rPr>
          <w:lang w:eastAsia="en-GB"/>
        </w:rPr>
        <w:t>Introduction</w:t>
      </w:r>
      <w:bookmarkEnd w:id="13"/>
    </w:p>
    <w:p w14:paraId="7BD1C5EF" w14:textId="3F9E2386" w:rsidR="00D06433" w:rsidRPr="001F7167" w:rsidRDefault="00D06433" w:rsidP="001F7167">
      <w:pPr>
        <w:pStyle w:val="Heading3"/>
      </w:pPr>
      <w:bookmarkStart w:id="14" w:name="_Toc440981386"/>
      <w:r w:rsidRPr="001F7167">
        <w:t xml:space="preserve">NHS England became responsible for direct commissioning of primary care services on 1 April 2013 and since then, the emergence of co-commissioning has seen </w:t>
      </w:r>
      <w:r w:rsidR="00521E62">
        <w:t xml:space="preserve">all </w:t>
      </w:r>
      <w:r w:rsidR="00B83042">
        <w:t>CCGs/ICBs</w:t>
      </w:r>
      <w:r w:rsidR="008B199F">
        <w:t xml:space="preserve"> </w:t>
      </w:r>
      <w:r w:rsidRPr="001F7167">
        <w:t xml:space="preserve">taking on delegated authority.  This revised </w:t>
      </w:r>
      <w:r w:rsidR="00521E62">
        <w:t>P</w:t>
      </w:r>
      <w:r w:rsidR="008E3315">
        <w:t>olicy and Guidance Manual (P</w:t>
      </w:r>
      <w:r w:rsidR="00521E62">
        <w:t>GM</w:t>
      </w:r>
      <w:r w:rsidR="008E3315">
        <w:t>)</w:t>
      </w:r>
      <w:r w:rsidRPr="001F7167">
        <w:t xml:space="preserve"> will </w:t>
      </w:r>
      <w:r w:rsidR="0069723E" w:rsidRPr="001F7167">
        <w:t>refer</w:t>
      </w:r>
      <w:r w:rsidRPr="001F7167">
        <w:t xml:space="preserve"> to ‘The Commissioner’ which </w:t>
      </w:r>
      <w:r w:rsidR="00521E62">
        <w:t xml:space="preserve">means </w:t>
      </w:r>
      <w:r w:rsidR="00B83042">
        <w:t>CCGs/ICBs</w:t>
      </w:r>
      <w:r w:rsidR="008B199F">
        <w:t xml:space="preserve"> </w:t>
      </w:r>
      <w:r w:rsidRPr="001F7167">
        <w:t>with delegated authority.</w:t>
      </w:r>
      <w:bookmarkEnd w:id="14"/>
    </w:p>
    <w:p w14:paraId="39A3566A" w14:textId="77777777" w:rsidR="00D06433" w:rsidRPr="00D06433" w:rsidRDefault="00D06433" w:rsidP="003331F2">
      <w:pPr>
        <w:pStyle w:val="BodyText"/>
      </w:pPr>
    </w:p>
    <w:p w14:paraId="4A36EC43" w14:textId="77777777" w:rsidR="00D06433" w:rsidRPr="00DB7F92" w:rsidRDefault="00D06433" w:rsidP="00DB7F92">
      <w:pPr>
        <w:widowControl w:val="0"/>
        <w:spacing w:line="360" w:lineRule="auto"/>
        <w:ind w:left="720"/>
        <w:contextualSpacing/>
        <w:jc w:val="both"/>
        <w:outlineLvl w:val="2"/>
        <w:rPr>
          <w:rFonts w:cs="Arial"/>
          <w:bCs w:val="0"/>
          <w:szCs w:val="24"/>
          <w:lang w:eastAsia="en-GB"/>
        </w:rPr>
      </w:pPr>
      <w:bookmarkStart w:id="15" w:name="_Toc440981387"/>
      <w:r w:rsidRPr="00DB7F92">
        <w:rPr>
          <w:rFonts w:cs="Arial"/>
          <w:bCs w:val="0"/>
          <w:szCs w:val="24"/>
          <w:lang w:eastAsia="en-GB"/>
        </w:rPr>
        <w:t>This policy has been reviewed and refined in light of:</w:t>
      </w:r>
      <w:bookmarkEnd w:id="15"/>
    </w:p>
    <w:p w14:paraId="38129251" w14:textId="77777777" w:rsidR="00D06433" w:rsidRPr="00D06433" w:rsidRDefault="00D06433" w:rsidP="003331F2">
      <w:pPr>
        <w:pStyle w:val="BodyText"/>
      </w:pPr>
    </w:p>
    <w:p w14:paraId="5425C138" w14:textId="10D35DCB" w:rsidR="00D06433" w:rsidRPr="00D06433" w:rsidRDefault="00B83042" w:rsidP="00825050">
      <w:pPr>
        <w:widowControl w:val="0"/>
        <w:numPr>
          <w:ilvl w:val="0"/>
          <w:numId w:val="33"/>
        </w:numPr>
        <w:tabs>
          <w:tab w:val="num" w:pos="2393"/>
        </w:tabs>
        <w:spacing w:line="360" w:lineRule="auto"/>
        <w:contextualSpacing/>
        <w:jc w:val="both"/>
        <w:outlineLvl w:val="2"/>
        <w:rPr>
          <w:rFonts w:cs="Arial"/>
          <w:bCs w:val="0"/>
          <w:szCs w:val="24"/>
          <w:lang w:eastAsia="en-GB"/>
        </w:rPr>
      </w:pPr>
      <w:bookmarkStart w:id="16" w:name="_Toc440981388"/>
      <w:r>
        <w:rPr>
          <w:rFonts w:cs="Arial"/>
          <w:bCs w:val="0"/>
          <w:szCs w:val="24"/>
          <w:lang w:eastAsia="en-GB"/>
        </w:rPr>
        <w:t>CCG/ICB</w:t>
      </w:r>
      <w:r w:rsidR="00D06433" w:rsidRPr="00D06433">
        <w:rPr>
          <w:rFonts w:cs="Arial"/>
          <w:bCs w:val="0"/>
          <w:szCs w:val="24"/>
          <w:lang w:eastAsia="en-GB"/>
        </w:rPr>
        <w:t>feedback from users;</w:t>
      </w:r>
      <w:bookmarkEnd w:id="16"/>
      <w:r w:rsidR="00D06433" w:rsidRPr="00D06433">
        <w:rPr>
          <w:rFonts w:cs="Arial"/>
          <w:bCs w:val="0"/>
          <w:szCs w:val="24"/>
          <w:lang w:eastAsia="en-GB"/>
        </w:rPr>
        <w:t xml:space="preserve"> </w:t>
      </w:r>
    </w:p>
    <w:p w14:paraId="477256FD" w14:textId="77777777" w:rsidR="00D06433" w:rsidRPr="00D06433" w:rsidRDefault="00D06433" w:rsidP="00825050">
      <w:pPr>
        <w:widowControl w:val="0"/>
        <w:numPr>
          <w:ilvl w:val="0"/>
          <w:numId w:val="33"/>
        </w:numPr>
        <w:tabs>
          <w:tab w:val="num" w:pos="2393"/>
        </w:tabs>
        <w:spacing w:line="360" w:lineRule="auto"/>
        <w:contextualSpacing/>
        <w:jc w:val="both"/>
        <w:outlineLvl w:val="2"/>
        <w:rPr>
          <w:rFonts w:cs="Arial"/>
          <w:bCs w:val="0"/>
          <w:szCs w:val="24"/>
          <w:lang w:eastAsia="en-GB"/>
        </w:rPr>
      </w:pPr>
      <w:bookmarkStart w:id="17" w:name="_Toc440981389"/>
      <w:r w:rsidRPr="00D06433">
        <w:rPr>
          <w:rFonts w:cs="Arial"/>
          <w:bCs w:val="0"/>
          <w:szCs w:val="24"/>
          <w:lang w:eastAsia="en-GB"/>
        </w:rPr>
        <w:t>engagement with stakeholders;</w:t>
      </w:r>
      <w:bookmarkEnd w:id="17"/>
    </w:p>
    <w:p w14:paraId="087FF2FE" w14:textId="1B3CCFFF" w:rsidR="00D06433" w:rsidRPr="00D06433" w:rsidRDefault="00D06433" w:rsidP="00825050">
      <w:pPr>
        <w:widowControl w:val="0"/>
        <w:numPr>
          <w:ilvl w:val="0"/>
          <w:numId w:val="33"/>
        </w:numPr>
        <w:tabs>
          <w:tab w:val="num" w:pos="2393"/>
        </w:tabs>
        <w:spacing w:line="360" w:lineRule="auto"/>
        <w:contextualSpacing/>
        <w:jc w:val="both"/>
        <w:outlineLvl w:val="2"/>
        <w:rPr>
          <w:rFonts w:cs="Arial"/>
          <w:bCs w:val="0"/>
          <w:szCs w:val="24"/>
          <w:lang w:eastAsia="en-GB"/>
        </w:rPr>
      </w:pPr>
    </w:p>
    <w:p w14:paraId="5D75687F" w14:textId="77777777" w:rsidR="00521E62" w:rsidRDefault="00D06433" w:rsidP="00825050">
      <w:pPr>
        <w:widowControl w:val="0"/>
        <w:numPr>
          <w:ilvl w:val="0"/>
          <w:numId w:val="33"/>
        </w:numPr>
        <w:tabs>
          <w:tab w:val="num" w:pos="2393"/>
        </w:tabs>
        <w:spacing w:line="360" w:lineRule="auto"/>
        <w:contextualSpacing/>
        <w:jc w:val="both"/>
        <w:outlineLvl w:val="2"/>
        <w:rPr>
          <w:rFonts w:cs="Arial"/>
          <w:bCs w:val="0"/>
          <w:szCs w:val="24"/>
          <w:lang w:eastAsia="en-GB"/>
        </w:rPr>
      </w:pPr>
      <w:bookmarkStart w:id="18" w:name="_Toc440981392"/>
      <w:r w:rsidRPr="00D06433">
        <w:rPr>
          <w:rFonts w:cs="Arial"/>
          <w:bCs w:val="0"/>
          <w:szCs w:val="24"/>
          <w:lang w:eastAsia="en-GB"/>
        </w:rPr>
        <w:t>contractual and regulatory changes</w:t>
      </w:r>
    </w:p>
    <w:p w14:paraId="2F99ADE6" w14:textId="04865A77" w:rsidR="00D06433" w:rsidRPr="00D06433" w:rsidRDefault="00521E62" w:rsidP="00825050">
      <w:pPr>
        <w:widowControl w:val="0"/>
        <w:numPr>
          <w:ilvl w:val="0"/>
          <w:numId w:val="33"/>
        </w:numPr>
        <w:tabs>
          <w:tab w:val="num" w:pos="2393"/>
        </w:tabs>
        <w:spacing w:line="360" w:lineRule="auto"/>
        <w:contextualSpacing/>
        <w:jc w:val="both"/>
        <w:outlineLvl w:val="2"/>
        <w:rPr>
          <w:rFonts w:cs="Arial"/>
          <w:bCs w:val="0"/>
          <w:szCs w:val="24"/>
          <w:lang w:eastAsia="en-GB"/>
        </w:rPr>
      </w:pPr>
      <w:r>
        <w:rPr>
          <w:rFonts w:cs="Arial"/>
          <w:bCs w:val="0"/>
          <w:szCs w:val="24"/>
          <w:lang w:eastAsia="en-GB"/>
        </w:rPr>
        <w:t xml:space="preserve">the likely </w:t>
      </w:r>
      <w:r w:rsidR="000D3AEE">
        <w:rPr>
          <w:rFonts w:cs="Arial"/>
          <w:bCs w:val="0"/>
          <w:szCs w:val="24"/>
          <w:lang w:eastAsia="en-GB"/>
        </w:rPr>
        <w:t>introduction of the new Health and Social Care Bill</w:t>
      </w:r>
      <w:r w:rsidR="00D06433" w:rsidRPr="00D06433">
        <w:rPr>
          <w:rFonts w:cs="Arial"/>
          <w:bCs w:val="0"/>
          <w:szCs w:val="24"/>
          <w:lang w:eastAsia="en-GB"/>
        </w:rPr>
        <w:t>.</w:t>
      </w:r>
      <w:bookmarkEnd w:id="18"/>
    </w:p>
    <w:p w14:paraId="35B1302A" w14:textId="77777777" w:rsidR="00D06433" w:rsidRPr="00D06433" w:rsidRDefault="00D06433" w:rsidP="003331F2">
      <w:pPr>
        <w:pStyle w:val="BodyText"/>
      </w:pPr>
    </w:p>
    <w:p w14:paraId="69918C67" w14:textId="3A24C7D5" w:rsidR="00D06433" w:rsidRPr="00D06433" w:rsidRDefault="00D06433" w:rsidP="001C7059">
      <w:pPr>
        <w:pStyle w:val="Heading3"/>
      </w:pPr>
      <w:bookmarkStart w:id="19" w:name="_Toc440981393"/>
      <w:r w:rsidRPr="00D06433">
        <w:t xml:space="preserve">This </w:t>
      </w:r>
      <w:r w:rsidR="00521E62">
        <w:t>PGM</w:t>
      </w:r>
      <w:r w:rsidRPr="00D06433">
        <w:t xml:space="preserve"> provides </w:t>
      </w:r>
      <w:r w:rsidR="000D3AEE">
        <w:t xml:space="preserve">the </w:t>
      </w:r>
      <w:r w:rsidRPr="00D06433">
        <w:t xml:space="preserve">policies to support a consistent and compliant approach to primary </w:t>
      </w:r>
      <w:r w:rsidR="00521E62">
        <w:t xml:space="preserve">medical </w:t>
      </w:r>
      <w:r w:rsidRPr="00D06433">
        <w:t>care commissioning across England.</w:t>
      </w:r>
      <w:bookmarkEnd w:id="19"/>
    </w:p>
    <w:p w14:paraId="517FF2EA" w14:textId="04DA9789" w:rsidR="007964BA" w:rsidRDefault="00D06433" w:rsidP="007964BA">
      <w:pPr>
        <w:pStyle w:val="Heading3"/>
      </w:pPr>
      <w:r w:rsidRPr="00D06433">
        <w:t xml:space="preserve">The </w:t>
      </w:r>
      <w:r w:rsidR="00521E62">
        <w:t xml:space="preserve">PGM </w:t>
      </w:r>
      <w:r w:rsidRPr="00D06433">
        <w:t>identif</w:t>
      </w:r>
      <w:r w:rsidR="00521E62">
        <w:t>ies</w:t>
      </w:r>
      <w:r w:rsidRPr="00D06433">
        <w:t xml:space="preserve"> sections which describe mandatory functions (i.e. those absolutely defined in legislation and law) versus those which are provided as guidance or best practice</w:t>
      </w:r>
      <w:r w:rsidR="007964BA">
        <w:t>.</w:t>
      </w:r>
    </w:p>
    <w:p w14:paraId="7F35B3BC" w14:textId="3DF52CD8" w:rsidR="007964BA" w:rsidRPr="005E27BD" w:rsidRDefault="007964BA" w:rsidP="009A4EC5">
      <w:pPr>
        <w:pStyle w:val="Heading3"/>
        <w:rPr>
          <w:szCs w:val="22"/>
        </w:rPr>
      </w:pPr>
      <w:r w:rsidRPr="005E27BD">
        <w:rPr>
          <w:rStyle w:val="Heading3Char"/>
        </w:rPr>
        <w:t>Th</w:t>
      </w:r>
      <w:r w:rsidR="00521E62">
        <w:rPr>
          <w:rStyle w:val="Heading3Char"/>
        </w:rPr>
        <w:t>e PGM</w:t>
      </w:r>
      <w:r w:rsidRPr="005E27BD">
        <w:rPr>
          <w:rStyle w:val="Heading3Char"/>
        </w:rPr>
        <w:t xml:space="preserve"> is supported by a </w:t>
      </w:r>
      <w:r w:rsidRPr="00C23D53">
        <w:rPr>
          <w:rStyle w:val="Heading3Char"/>
          <w:b/>
          <w:bCs/>
        </w:rPr>
        <w:t>suite of e-learning modules</w:t>
      </w:r>
      <w:r w:rsidRPr="005E27BD">
        <w:rPr>
          <w:rStyle w:val="Heading3Char"/>
        </w:rPr>
        <w:t xml:space="preserve"> to provide </w:t>
      </w:r>
      <w:r w:rsidRPr="005E27BD">
        <w:t xml:space="preserve">commissioners a deeper appreciation of some of the more complicated commissioning or contract management scenarios they may face and complement the content within the </w:t>
      </w:r>
      <w:r w:rsidR="00521E62">
        <w:t>PGM</w:t>
      </w:r>
      <w:r w:rsidRPr="005E27BD">
        <w:t>. A link to each can be found in the following sections and you will need to create a user account with Health Education England’s e-Learning for Healthcare to access them;</w:t>
      </w:r>
    </w:p>
    <w:p w14:paraId="4A3D305A" w14:textId="03F53849" w:rsidR="007964BA" w:rsidRPr="005E27BD" w:rsidRDefault="007964BA" w:rsidP="006C3DF5">
      <w:pPr>
        <w:pStyle w:val="ListParagraph"/>
        <w:numPr>
          <w:ilvl w:val="0"/>
          <w:numId w:val="230"/>
        </w:numPr>
        <w:spacing w:line="360" w:lineRule="auto"/>
        <w:rPr>
          <w:sz w:val="22"/>
          <w:szCs w:val="22"/>
        </w:rPr>
      </w:pPr>
      <w:r w:rsidRPr="005E27BD">
        <w:rPr>
          <w:i/>
          <w:iCs/>
        </w:rPr>
        <w:t xml:space="preserve">Part B – Chapter 7 Contract Variation (7.14): </w:t>
      </w:r>
      <w:r w:rsidRPr="00C23D53">
        <w:rPr>
          <w:b/>
          <w:bCs w:val="0"/>
          <w:i/>
          <w:iCs/>
        </w:rPr>
        <w:t>Approving GP Practice Boundary Changes</w:t>
      </w:r>
      <w:r w:rsidRPr="005E27BD">
        <w:rPr>
          <w:i/>
          <w:iCs/>
        </w:rPr>
        <w:t xml:space="preserve">   </w:t>
      </w:r>
      <w:hyperlink r:id="rId16" w:history="1">
        <w:r w:rsidRPr="005E27BD">
          <w:rPr>
            <w:color w:val="0563C1"/>
            <w:sz w:val="22"/>
            <w:szCs w:val="22"/>
            <w:u w:val="single"/>
          </w:rPr>
          <w:t>https://portal.e-lfh.org.uk/Component/Details/646429</w:t>
        </w:r>
      </w:hyperlink>
    </w:p>
    <w:p w14:paraId="2874CCAE" w14:textId="0873A4A8" w:rsidR="007964BA" w:rsidRPr="005E27BD" w:rsidRDefault="007964BA" w:rsidP="006C3DF5">
      <w:pPr>
        <w:pStyle w:val="ListParagraph"/>
        <w:numPr>
          <w:ilvl w:val="0"/>
          <w:numId w:val="230"/>
        </w:numPr>
        <w:spacing w:line="360" w:lineRule="auto"/>
      </w:pPr>
      <w:r w:rsidRPr="005E27BD">
        <w:rPr>
          <w:i/>
          <w:iCs/>
        </w:rPr>
        <w:t xml:space="preserve">Part B – Chapter </w:t>
      </w:r>
      <w:r w:rsidR="00F7437D">
        <w:rPr>
          <w:i/>
          <w:iCs/>
        </w:rPr>
        <w:t>7</w:t>
      </w:r>
      <w:r w:rsidRPr="005E27BD">
        <w:rPr>
          <w:i/>
          <w:iCs/>
        </w:rPr>
        <w:t xml:space="preserve">: </w:t>
      </w:r>
      <w:r w:rsidRPr="00C23D53">
        <w:rPr>
          <w:b/>
          <w:bCs w:val="0"/>
          <w:i/>
          <w:iCs/>
        </w:rPr>
        <w:t>Special Allocation Schemes</w:t>
      </w:r>
      <w:r w:rsidRPr="005E27BD">
        <w:rPr>
          <w:i/>
          <w:iCs/>
          <w:color w:val="002060"/>
        </w:rPr>
        <w:t xml:space="preserve"> </w:t>
      </w:r>
      <w:r w:rsidRPr="005E27BD">
        <w:rPr>
          <w:i/>
          <w:iCs/>
        </w:rPr>
        <w:t xml:space="preserve">(SAS) </w:t>
      </w:r>
      <w:hyperlink r:id="rId17" w:history="1">
        <w:r w:rsidRPr="005E27BD">
          <w:rPr>
            <w:color w:val="0563C1"/>
            <w:u w:val="single"/>
          </w:rPr>
          <w:t>https://portal.e-lfh.org.uk/Component/Details/647035</w:t>
        </w:r>
      </w:hyperlink>
    </w:p>
    <w:p w14:paraId="7AE52729" w14:textId="77777777" w:rsidR="007964BA" w:rsidRPr="005E27BD" w:rsidRDefault="007964BA" w:rsidP="006C3DF5">
      <w:pPr>
        <w:pStyle w:val="ListParagraph"/>
        <w:numPr>
          <w:ilvl w:val="0"/>
          <w:numId w:val="230"/>
        </w:numPr>
        <w:spacing w:line="360" w:lineRule="auto"/>
      </w:pPr>
      <w:r w:rsidRPr="005E27BD">
        <w:rPr>
          <w:i/>
          <w:iCs/>
        </w:rPr>
        <w:t xml:space="preserve">Part B – Chapter 7 Contract Variation (7.10): </w:t>
      </w:r>
      <w:r w:rsidRPr="00C23D53">
        <w:rPr>
          <w:b/>
          <w:bCs w:val="0"/>
          <w:i/>
          <w:iCs/>
        </w:rPr>
        <w:t>GP Contractor Changes: Incorporation And Novation</w:t>
      </w:r>
      <w:r w:rsidRPr="005E27BD">
        <w:rPr>
          <w:i/>
          <w:iCs/>
        </w:rPr>
        <w:t xml:space="preserve"> </w:t>
      </w:r>
    </w:p>
    <w:p w14:paraId="23DCFCD7" w14:textId="4336F504" w:rsidR="007964BA" w:rsidRPr="005E27BD" w:rsidRDefault="000B57EE" w:rsidP="009A4EC5">
      <w:pPr>
        <w:pStyle w:val="ListParagraph"/>
        <w:spacing w:line="360" w:lineRule="auto"/>
        <w:ind w:left="2160"/>
      </w:pPr>
      <w:hyperlink r:id="rId18" w:history="1">
        <w:r w:rsidR="001011FD" w:rsidRPr="005E27BD">
          <w:rPr>
            <w:rStyle w:val="Hyperlink"/>
          </w:rPr>
          <w:t>https://portal.elfh.org.uk/Component/Details/647038</w:t>
        </w:r>
      </w:hyperlink>
    </w:p>
    <w:p w14:paraId="6FDC7E79" w14:textId="441C5890" w:rsidR="007964BA" w:rsidRPr="00C23D53" w:rsidRDefault="007964BA" w:rsidP="006C3DF5">
      <w:pPr>
        <w:pStyle w:val="ListParagraph"/>
        <w:numPr>
          <w:ilvl w:val="0"/>
          <w:numId w:val="230"/>
        </w:numPr>
        <w:spacing w:line="360" w:lineRule="auto"/>
        <w:rPr>
          <w:b/>
          <w:bCs w:val="0"/>
        </w:rPr>
      </w:pPr>
      <w:r w:rsidRPr="005E27BD">
        <w:rPr>
          <w:i/>
          <w:iCs/>
        </w:rPr>
        <w:t xml:space="preserve">Part C – Chapter 2 </w:t>
      </w:r>
      <w:r w:rsidRPr="00C23D53">
        <w:rPr>
          <w:b/>
          <w:bCs w:val="0"/>
          <w:i/>
          <w:iCs/>
        </w:rPr>
        <w:t xml:space="preserve">Unplanned / Unscheduled and Unavoidable Practice Closedown: Handling threats to the continuity of GP services </w:t>
      </w:r>
    </w:p>
    <w:p w14:paraId="0E7E7225" w14:textId="4D76CC99" w:rsidR="007964BA" w:rsidRPr="005E27BD" w:rsidRDefault="000B57EE" w:rsidP="009A4EC5">
      <w:pPr>
        <w:pStyle w:val="ListParagraph"/>
        <w:spacing w:line="360" w:lineRule="auto"/>
        <w:ind w:left="1440" w:firstLine="720"/>
      </w:pPr>
      <w:hyperlink r:id="rId19" w:history="1">
        <w:r w:rsidR="00FF3AC9" w:rsidRPr="005E27BD">
          <w:rPr>
            <w:rStyle w:val="Hyperlink"/>
          </w:rPr>
          <w:t>https://portal.e-lfh.org.uk/Component/Details/647041</w:t>
        </w:r>
      </w:hyperlink>
    </w:p>
    <w:p w14:paraId="78ECD4E6" w14:textId="7946954D" w:rsidR="007964BA" w:rsidRPr="005E27BD" w:rsidRDefault="007964BA" w:rsidP="006C3DF5">
      <w:pPr>
        <w:pStyle w:val="ListParagraph"/>
        <w:numPr>
          <w:ilvl w:val="0"/>
          <w:numId w:val="230"/>
        </w:numPr>
        <w:spacing w:line="360" w:lineRule="auto"/>
      </w:pPr>
      <w:r w:rsidRPr="005E27BD">
        <w:rPr>
          <w:i/>
          <w:iCs/>
        </w:rPr>
        <w:t xml:space="preserve">Part B – Chapter 11 </w:t>
      </w:r>
      <w:r w:rsidRPr="00C23D53">
        <w:rPr>
          <w:b/>
          <w:bCs w:val="0"/>
          <w:i/>
          <w:iCs/>
        </w:rPr>
        <w:t>NHS England Procurement Support Contract and National Procurement Tool: Developing a Primary Medical Care Service Procurement Strategy</w:t>
      </w:r>
      <w:r w:rsidRPr="005E27BD">
        <w:rPr>
          <w:i/>
          <w:iCs/>
        </w:rPr>
        <w:t xml:space="preserve">  </w:t>
      </w:r>
      <w:hyperlink r:id="rId20" w:history="1">
        <w:r w:rsidRPr="005E27BD">
          <w:rPr>
            <w:rStyle w:val="Hyperlink"/>
          </w:rPr>
          <w:t>https://portal.elfh.org.uk/Component/Details/647056</w:t>
        </w:r>
      </w:hyperlink>
    </w:p>
    <w:p w14:paraId="30B07FF4" w14:textId="77777777" w:rsidR="007964BA" w:rsidRPr="005E27BD" w:rsidRDefault="007964BA" w:rsidP="007964BA">
      <w:r w:rsidRPr="005E27BD">
        <w:rPr>
          <w:i/>
          <w:iCs/>
          <w:color w:val="002060"/>
          <w:szCs w:val="24"/>
        </w:rPr>
        <w:t> </w:t>
      </w:r>
    </w:p>
    <w:p w14:paraId="78AC6758" w14:textId="76E5C43D" w:rsidR="007964BA" w:rsidRPr="007964BA" w:rsidRDefault="007964BA" w:rsidP="009A4EC5">
      <w:pPr>
        <w:spacing w:after="300"/>
        <w:ind w:left="720"/>
      </w:pPr>
      <w:r w:rsidRPr="005E27BD">
        <w:t>Each module should take between 30-40 minutes to complete and there is a short self-assessment at the end of each module with results provided immediately</w:t>
      </w:r>
      <w:r w:rsidR="000D3AEE">
        <w:t xml:space="preserve">. </w:t>
      </w:r>
      <w:r w:rsidR="00EF19DE">
        <w:rPr>
          <w:highlight w:val="yellow"/>
        </w:rPr>
        <w:t xml:space="preserve">NOTE: each </w:t>
      </w:r>
      <w:r w:rsidR="000D3AEE" w:rsidRPr="00FA7B89">
        <w:rPr>
          <w:highlight w:val="yellow"/>
        </w:rPr>
        <w:t>module</w:t>
      </w:r>
      <w:r w:rsidR="00EF19DE">
        <w:rPr>
          <w:highlight w:val="yellow"/>
        </w:rPr>
        <w:t xml:space="preserve"> will need to be reviewed and refreshed where appropriate to align with the requirements of the new Health and Social Care Bill</w:t>
      </w:r>
      <w:r w:rsidRPr="000D3AEE">
        <w:rPr>
          <w:i/>
          <w:iCs/>
          <w:highlight w:val="yellow"/>
        </w:rPr>
        <w:t>.</w:t>
      </w:r>
    </w:p>
    <w:p w14:paraId="76F5172F" w14:textId="77777777" w:rsidR="00D06433" w:rsidRPr="00D06433" w:rsidRDefault="00D06433" w:rsidP="00D06433">
      <w:pPr>
        <w:pStyle w:val="Heading2"/>
        <w:rPr>
          <w:lang w:eastAsia="en-GB"/>
        </w:rPr>
      </w:pPr>
      <w:bookmarkStart w:id="20" w:name="_Toc440981394"/>
      <w:bookmarkStart w:id="21" w:name="_Toc95743350"/>
      <w:r w:rsidRPr="00D06433">
        <w:rPr>
          <w:lang w:eastAsia="en-GB"/>
        </w:rPr>
        <w:t>Structure</w:t>
      </w:r>
      <w:bookmarkEnd w:id="20"/>
      <w:bookmarkEnd w:id="21"/>
      <w:r w:rsidRPr="00D06433">
        <w:rPr>
          <w:lang w:eastAsia="en-GB"/>
        </w:rPr>
        <w:t xml:space="preserve"> </w:t>
      </w:r>
    </w:p>
    <w:p w14:paraId="33875592" w14:textId="19D829AA" w:rsidR="00D06433" w:rsidRPr="001C7059" w:rsidRDefault="00D06433" w:rsidP="001C7059">
      <w:pPr>
        <w:pStyle w:val="Heading3"/>
      </w:pPr>
      <w:bookmarkStart w:id="22" w:name="_Toc440981395"/>
      <w:r w:rsidRPr="001C7059">
        <w:t xml:space="preserve">A number of new policies have emerged since </w:t>
      </w:r>
      <w:r w:rsidR="001610E6">
        <w:t>the</w:t>
      </w:r>
      <w:r w:rsidRPr="001C7059">
        <w:t xml:space="preserve"> policy book was first published and these have been incorporated in to this </w:t>
      </w:r>
      <w:r w:rsidR="001610E6">
        <w:t>manual</w:t>
      </w:r>
      <w:r w:rsidRPr="001C7059">
        <w:t xml:space="preserve">. </w:t>
      </w:r>
      <w:bookmarkEnd w:id="22"/>
      <w:r w:rsidRPr="001C7059">
        <w:t xml:space="preserve">The </w:t>
      </w:r>
      <w:r w:rsidR="001610E6">
        <w:t>PGM</w:t>
      </w:r>
      <w:r w:rsidRPr="001C7059">
        <w:t xml:space="preserve"> </w:t>
      </w:r>
      <w:r w:rsidR="00EB1C49">
        <w:t>i</w:t>
      </w:r>
      <w:r w:rsidRPr="001C7059">
        <w:t xml:space="preserve">s structured into </w:t>
      </w:r>
      <w:r w:rsidR="002711D1">
        <w:t>four</w:t>
      </w:r>
      <w:r w:rsidR="002711D1" w:rsidRPr="001C7059">
        <w:t xml:space="preserve"> </w:t>
      </w:r>
      <w:r w:rsidRPr="001C7059">
        <w:t xml:space="preserve">main sections </w:t>
      </w:r>
      <w:r w:rsidR="008109B5">
        <w:t>for ease of navigation</w:t>
      </w:r>
      <w:r w:rsidRPr="001C7059">
        <w:t>.  These are:</w:t>
      </w:r>
    </w:p>
    <w:p w14:paraId="69EA804D" w14:textId="77777777" w:rsidR="00D06433" w:rsidRPr="00846153" w:rsidRDefault="00D06433" w:rsidP="006C3DF5">
      <w:pPr>
        <w:pStyle w:val="BodyText"/>
        <w:numPr>
          <w:ilvl w:val="0"/>
          <w:numId w:val="98"/>
        </w:numPr>
        <w:rPr>
          <w:b/>
          <w:sz w:val="24"/>
          <w:szCs w:val="24"/>
        </w:rPr>
      </w:pPr>
      <w:bookmarkStart w:id="23" w:name="_Toc494103047"/>
      <w:r w:rsidRPr="00846153">
        <w:rPr>
          <w:b/>
          <w:sz w:val="24"/>
          <w:szCs w:val="24"/>
        </w:rPr>
        <w:t>Part A – Excellent Commissioning and Partnership Working</w:t>
      </w:r>
      <w:bookmarkEnd w:id="23"/>
    </w:p>
    <w:p w14:paraId="64490800" w14:textId="77777777" w:rsidR="00D06433" w:rsidRPr="00846153" w:rsidRDefault="00D06433" w:rsidP="006C3DF5">
      <w:pPr>
        <w:pStyle w:val="BodyText"/>
        <w:numPr>
          <w:ilvl w:val="0"/>
          <w:numId w:val="98"/>
        </w:numPr>
        <w:rPr>
          <w:b/>
          <w:sz w:val="24"/>
          <w:szCs w:val="24"/>
        </w:rPr>
      </w:pPr>
      <w:bookmarkStart w:id="24" w:name="_Toc494103048"/>
      <w:r w:rsidRPr="00846153">
        <w:rPr>
          <w:b/>
          <w:sz w:val="24"/>
          <w:szCs w:val="24"/>
        </w:rPr>
        <w:t>Part B – General Contract Management</w:t>
      </w:r>
      <w:bookmarkEnd w:id="24"/>
    </w:p>
    <w:p w14:paraId="60C4D5C5" w14:textId="77777777" w:rsidR="00D06433" w:rsidRPr="00846153" w:rsidRDefault="00D06433" w:rsidP="006C3DF5">
      <w:pPr>
        <w:pStyle w:val="BodyText"/>
        <w:numPr>
          <w:ilvl w:val="0"/>
          <w:numId w:val="98"/>
        </w:numPr>
        <w:rPr>
          <w:b/>
          <w:sz w:val="24"/>
          <w:szCs w:val="24"/>
        </w:rPr>
      </w:pPr>
      <w:bookmarkStart w:id="25" w:name="_Toc494103049"/>
      <w:r w:rsidRPr="00846153">
        <w:rPr>
          <w:b/>
          <w:sz w:val="24"/>
          <w:szCs w:val="24"/>
        </w:rPr>
        <w:t>Part C – When things go wrong</w:t>
      </w:r>
      <w:bookmarkEnd w:id="25"/>
    </w:p>
    <w:p w14:paraId="7A49C460" w14:textId="2E628261" w:rsidR="00D06433" w:rsidRDefault="00D06433" w:rsidP="006C3DF5">
      <w:pPr>
        <w:pStyle w:val="BodyText"/>
        <w:numPr>
          <w:ilvl w:val="0"/>
          <w:numId w:val="98"/>
        </w:numPr>
        <w:rPr>
          <w:b/>
          <w:sz w:val="24"/>
          <w:szCs w:val="24"/>
        </w:rPr>
      </w:pPr>
      <w:bookmarkStart w:id="26" w:name="_Toc494103050"/>
      <w:r w:rsidRPr="00846153">
        <w:rPr>
          <w:b/>
          <w:sz w:val="24"/>
          <w:szCs w:val="24"/>
        </w:rPr>
        <w:t>Part D – General</w:t>
      </w:r>
      <w:bookmarkEnd w:id="26"/>
      <w:r w:rsidRPr="00846153">
        <w:rPr>
          <w:b/>
          <w:sz w:val="24"/>
          <w:szCs w:val="24"/>
        </w:rPr>
        <w:t xml:space="preserve"> </w:t>
      </w:r>
    </w:p>
    <w:p w14:paraId="14309A9C" w14:textId="77777777" w:rsidR="001011FD" w:rsidRPr="00846153" w:rsidRDefault="001011FD" w:rsidP="009A4EC5">
      <w:pPr>
        <w:pStyle w:val="BodyText"/>
        <w:ind w:left="1080"/>
        <w:rPr>
          <w:b/>
          <w:sz w:val="24"/>
          <w:szCs w:val="24"/>
        </w:rPr>
      </w:pPr>
    </w:p>
    <w:p w14:paraId="36F552D0" w14:textId="72CFFF2F" w:rsidR="00D06433" w:rsidRDefault="00D06433" w:rsidP="00264AFD">
      <w:pPr>
        <w:pStyle w:val="Heading3"/>
        <w:rPr>
          <w:color w:val="0000FF"/>
          <w:u w:val="single"/>
        </w:rPr>
      </w:pPr>
      <w:bookmarkStart w:id="27" w:name="_Toc440981396"/>
      <w:r w:rsidRPr="001C7059">
        <w:t xml:space="preserve">NHS England will update and refine policies periodically and following changes in legislation, contracts or </w:t>
      </w:r>
      <w:r w:rsidR="001610E6">
        <w:t>ce</w:t>
      </w:r>
      <w:r w:rsidRPr="001C7059">
        <w:t xml:space="preserve">ntral </w:t>
      </w:r>
      <w:r w:rsidR="001610E6">
        <w:t>p</w:t>
      </w:r>
      <w:r w:rsidRPr="001C7059">
        <w:t xml:space="preserve">olicy and guidance. Users of this </w:t>
      </w:r>
      <w:r w:rsidR="001610E6">
        <w:t>manual</w:t>
      </w:r>
      <w:r w:rsidRPr="001C7059">
        <w:t xml:space="preserve"> are advised this is a controlled document and the most up to date version should always be used. That is, the version which is published on NHS England’s website </w:t>
      </w:r>
      <w:hyperlink r:id="rId21" w:history="1">
        <w:r w:rsidRPr="00912FE4">
          <w:rPr>
            <w:color w:val="0000FF"/>
            <w:u w:val="single"/>
          </w:rPr>
          <w:t>www.england.nhs.uk</w:t>
        </w:r>
      </w:hyperlink>
      <w:bookmarkEnd w:id="27"/>
    </w:p>
    <w:p w14:paraId="307D964D" w14:textId="77777777" w:rsidR="001011FD" w:rsidRPr="009A4EC5" w:rsidRDefault="001011FD" w:rsidP="009A4EC5"/>
    <w:p w14:paraId="7C76B852" w14:textId="77777777" w:rsidR="00D06433" w:rsidRPr="00D06433" w:rsidRDefault="00D06433" w:rsidP="00D06433">
      <w:pPr>
        <w:pStyle w:val="Heading2"/>
        <w:rPr>
          <w:lang w:eastAsia="en-GB"/>
        </w:rPr>
      </w:pPr>
      <w:bookmarkStart w:id="28" w:name="_Toc440981397"/>
      <w:bookmarkStart w:id="29" w:name="_Toc95743351"/>
      <w:r w:rsidRPr="00D06433">
        <w:rPr>
          <w:lang w:eastAsia="en-GB"/>
        </w:rPr>
        <w:t>Transitional arrangements</w:t>
      </w:r>
      <w:bookmarkEnd w:id="28"/>
      <w:bookmarkEnd w:id="29"/>
    </w:p>
    <w:p w14:paraId="718A1BEB" w14:textId="1E391333" w:rsidR="00D06433" w:rsidRPr="001C7059" w:rsidRDefault="00D06433" w:rsidP="001C7059">
      <w:pPr>
        <w:pStyle w:val="Heading3"/>
      </w:pPr>
      <w:bookmarkStart w:id="30" w:name="_Toc440981398"/>
      <w:r w:rsidRPr="001C7059">
        <w:t xml:space="preserve">This </w:t>
      </w:r>
      <w:r w:rsidR="002711D1">
        <w:t>PGM</w:t>
      </w:r>
      <w:r w:rsidRPr="001C7059">
        <w:t xml:space="preserve"> replaces all previous versions</w:t>
      </w:r>
      <w:r w:rsidR="005E1134">
        <w:t xml:space="preserve">.  In addition, we have embedded as chapters some other </w:t>
      </w:r>
      <w:r w:rsidRPr="001C7059">
        <w:t>r</w:t>
      </w:r>
      <w:r w:rsidR="005E1134">
        <w:t xml:space="preserve">elated policy / guidance </w:t>
      </w:r>
      <w:r w:rsidRPr="001C7059">
        <w:t xml:space="preserve">that have been published </w:t>
      </w:r>
      <w:r w:rsidR="005E1134">
        <w:t xml:space="preserve">by </w:t>
      </w:r>
      <w:r w:rsidR="00B00DFD">
        <w:t xml:space="preserve">NHS England </w:t>
      </w:r>
      <w:r w:rsidR="005E1134">
        <w:t>as standalone documents</w:t>
      </w:r>
      <w:r w:rsidRPr="001C7059">
        <w:t xml:space="preserve"> since </w:t>
      </w:r>
      <w:r w:rsidR="005E1134">
        <w:t xml:space="preserve">the original ‘Policy Book’ was published in </w:t>
      </w:r>
      <w:r w:rsidRPr="001C7059">
        <w:t xml:space="preserve">July 2016. The processes and procedures set out in this </w:t>
      </w:r>
      <w:r w:rsidR="00B00DFD">
        <w:t>PGM</w:t>
      </w:r>
      <w:r w:rsidRPr="001C7059">
        <w:t xml:space="preserve"> must be followed where a matter arises after the date of publication of this </w:t>
      </w:r>
      <w:r w:rsidR="00B00DFD">
        <w:t>PGM</w:t>
      </w:r>
      <w:r w:rsidRPr="001C7059">
        <w:t>.</w:t>
      </w:r>
      <w:bookmarkEnd w:id="30"/>
    </w:p>
    <w:p w14:paraId="5A5E0992" w14:textId="59D4DF47" w:rsidR="00D06433" w:rsidRPr="001C7059" w:rsidRDefault="00D06433" w:rsidP="001C7059">
      <w:pPr>
        <w:pStyle w:val="Heading3"/>
      </w:pPr>
      <w:bookmarkStart w:id="31" w:name="_Toc440981399"/>
      <w:r w:rsidRPr="001C7059">
        <w:t xml:space="preserve">Where a matter arose prior to the publication of this </w:t>
      </w:r>
      <w:r w:rsidR="008E3315">
        <w:t>PGM</w:t>
      </w:r>
      <w:r w:rsidRPr="001C7059">
        <w:t xml:space="preserve"> (and the parties are therefore following a previous policy) the parties should continue to follow that previous policy as this would have been the expectation of the parties</w:t>
      </w:r>
      <w:r w:rsidR="008E3315">
        <w:t xml:space="preserve"> at the time</w:t>
      </w:r>
      <w:r w:rsidRPr="001C7059">
        <w:t>.</w:t>
      </w:r>
      <w:bookmarkEnd w:id="31"/>
      <w:r w:rsidRPr="001C7059">
        <w:t xml:space="preserve"> </w:t>
      </w:r>
    </w:p>
    <w:p w14:paraId="64A201F9" w14:textId="67429E27" w:rsidR="00D06433" w:rsidRPr="001C7059" w:rsidRDefault="00D06433" w:rsidP="001C7059">
      <w:pPr>
        <w:pStyle w:val="Heading3"/>
      </w:pPr>
      <w:bookmarkStart w:id="32" w:name="_Toc440981400"/>
      <w:r w:rsidRPr="001C7059">
        <w:t xml:space="preserve">Parties following a previous policy should consider switching to the relevant policy set out in this </w:t>
      </w:r>
      <w:r w:rsidR="008E3315">
        <w:t>PGM</w:t>
      </w:r>
      <w:r w:rsidRPr="001C7059">
        <w:t xml:space="preserve"> if there is a natural transitional point in the matter and provided all parties agree.</w:t>
      </w:r>
      <w:bookmarkEnd w:id="32"/>
    </w:p>
    <w:p w14:paraId="0277FD49" w14:textId="4D6272DB" w:rsidR="0015247B" w:rsidRDefault="00D06433" w:rsidP="00D06433">
      <w:pPr>
        <w:pStyle w:val="Heading1"/>
      </w:pPr>
      <w:r w:rsidRPr="00D06433">
        <w:rPr>
          <w:b w:val="0"/>
          <w:color w:val="auto"/>
          <w:kern w:val="0"/>
          <w:sz w:val="24"/>
          <w:szCs w:val="26"/>
        </w:rPr>
        <w:br w:type="page"/>
      </w:r>
      <w:bookmarkStart w:id="33" w:name="_Toc95743352"/>
      <w:r w:rsidR="0015247B" w:rsidRPr="0015247B">
        <w:t>Abbreviations and Acronyms</w:t>
      </w:r>
      <w:bookmarkEnd w:id="33"/>
    </w:p>
    <w:p w14:paraId="4D9BD756" w14:textId="77777777" w:rsidR="0015247B" w:rsidRDefault="0015247B" w:rsidP="0015247B"/>
    <w:p w14:paraId="584C7056" w14:textId="393D88F7" w:rsidR="001C7059" w:rsidRPr="001C7059" w:rsidRDefault="001C7059" w:rsidP="001C7059">
      <w:pPr>
        <w:pStyle w:val="Heading2"/>
      </w:pPr>
      <w:bookmarkStart w:id="34" w:name="_Toc95743353"/>
      <w:r w:rsidRPr="001C7059">
        <w:t>Abbreviations and Acronyms</w:t>
      </w:r>
      <w:bookmarkEnd w:id="34"/>
    </w:p>
    <w:p w14:paraId="1A98745E" w14:textId="228728E1" w:rsidR="001C7059" w:rsidRPr="00CE0885" w:rsidRDefault="001C7059" w:rsidP="001C7059">
      <w:pPr>
        <w:pStyle w:val="Heading3"/>
        <w:rPr>
          <w:b/>
          <w:lang w:eastAsia="en-GB"/>
        </w:rPr>
      </w:pPr>
      <w:bookmarkStart w:id="35" w:name="_Toc440981402"/>
      <w:r w:rsidRPr="00CE0885">
        <w:rPr>
          <w:lang w:eastAsia="en-GB"/>
        </w:rPr>
        <w:t>The following abbreviations and acronyms are used in the medical policies:</w:t>
      </w:r>
      <w:bookmarkEnd w:id="35"/>
    </w:p>
    <w:tbl>
      <w:tblPr>
        <w:tblStyle w:val="TableGrid"/>
        <w:tblW w:w="7882" w:type="dxa"/>
        <w:tblInd w:w="1440" w:type="dxa"/>
        <w:tblBorders>
          <w:top w:val="single" w:sz="4" w:space="0" w:color="1C6CB4"/>
          <w:left w:val="none" w:sz="0" w:space="0" w:color="auto"/>
          <w:bottom w:val="single" w:sz="4" w:space="0" w:color="1C6CB4"/>
          <w:right w:val="none" w:sz="0" w:space="0" w:color="auto"/>
          <w:insideH w:val="single" w:sz="4" w:space="0" w:color="1C6CB4"/>
          <w:insideV w:val="none" w:sz="0" w:space="0" w:color="auto"/>
        </w:tblBorders>
        <w:tblCellMar>
          <w:top w:w="113" w:type="dxa"/>
          <w:left w:w="142" w:type="dxa"/>
          <w:bottom w:w="113" w:type="dxa"/>
          <w:right w:w="142" w:type="dxa"/>
        </w:tblCellMar>
        <w:tblLook w:val="04A0" w:firstRow="1" w:lastRow="0" w:firstColumn="1" w:lastColumn="0" w:noHBand="0" w:noVBand="1"/>
        <w:tblCaption w:val="List of accronyms"/>
        <w:tblDescription w:val="List of accronyms"/>
      </w:tblPr>
      <w:tblGrid>
        <w:gridCol w:w="2212"/>
        <w:gridCol w:w="5670"/>
      </w:tblGrid>
      <w:tr w:rsidR="001610E6" w:rsidRPr="00CE0885" w14:paraId="5923B54D" w14:textId="77777777" w:rsidTr="00E509C8">
        <w:trPr>
          <w:tblHeader/>
        </w:trPr>
        <w:tc>
          <w:tcPr>
            <w:tcW w:w="2212" w:type="dxa"/>
          </w:tcPr>
          <w:p w14:paraId="0ECD2BEE" w14:textId="49EF42C8" w:rsidR="001610E6" w:rsidRDefault="001610E6" w:rsidP="00DB7F92">
            <w:pPr>
              <w:pStyle w:val="Body2"/>
              <w:spacing w:before="0" w:after="0" w:line="360" w:lineRule="auto"/>
              <w:ind w:left="0"/>
              <w:jc w:val="left"/>
              <w:rPr>
                <w:rFonts w:cs="Arial"/>
                <w:sz w:val="24"/>
                <w:szCs w:val="24"/>
              </w:rPr>
            </w:pPr>
            <w:r>
              <w:rPr>
                <w:rFonts w:cs="Arial"/>
                <w:sz w:val="24"/>
                <w:szCs w:val="24"/>
              </w:rPr>
              <w:t>5YFV</w:t>
            </w:r>
          </w:p>
        </w:tc>
        <w:tc>
          <w:tcPr>
            <w:tcW w:w="5670" w:type="dxa"/>
          </w:tcPr>
          <w:p w14:paraId="701B0F37" w14:textId="7AE1DD80" w:rsidR="001610E6" w:rsidRDefault="001610E6" w:rsidP="00DB7F92">
            <w:pPr>
              <w:pStyle w:val="Body2"/>
              <w:spacing w:before="0" w:after="0" w:line="360" w:lineRule="auto"/>
              <w:ind w:left="0"/>
              <w:jc w:val="left"/>
              <w:rPr>
                <w:rFonts w:cs="Arial"/>
                <w:sz w:val="24"/>
                <w:szCs w:val="24"/>
              </w:rPr>
            </w:pPr>
            <w:r>
              <w:rPr>
                <w:rFonts w:cs="Arial"/>
                <w:sz w:val="24"/>
                <w:szCs w:val="24"/>
              </w:rPr>
              <w:t>5 Year Forward View</w:t>
            </w:r>
          </w:p>
        </w:tc>
      </w:tr>
      <w:tr w:rsidR="001610E6" w:rsidRPr="00CE0885" w14:paraId="0C6A6757" w14:textId="77777777" w:rsidTr="00E509C8">
        <w:trPr>
          <w:tblHeader/>
        </w:trPr>
        <w:tc>
          <w:tcPr>
            <w:tcW w:w="2212" w:type="dxa"/>
          </w:tcPr>
          <w:p w14:paraId="21261B29" w14:textId="690B2E5F" w:rsidR="001610E6" w:rsidRPr="009055A7" w:rsidRDefault="001610E6" w:rsidP="00DB7F92">
            <w:pPr>
              <w:pStyle w:val="Body2"/>
              <w:spacing w:before="0" w:after="0" w:line="360" w:lineRule="auto"/>
              <w:ind w:left="0"/>
              <w:jc w:val="left"/>
              <w:rPr>
                <w:rFonts w:cs="Arial"/>
                <w:sz w:val="24"/>
                <w:szCs w:val="24"/>
              </w:rPr>
            </w:pPr>
            <w:r>
              <w:rPr>
                <w:rFonts w:cs="Arial"/>
                <w:sz w:val="24"/>
                <w:szCs w:val="24"/>
              </w:rPr>
              <w:t>ACO</w:t>
            </w:r>
          </w:p>
        </w:tc>
        <w:tc>
          <w:tcPr>
            <w:tcW w:w="5670" w:type="dxa"/>
          </w:tcPr>
          <w:p w14:paraId="4DECB1B6" w14:textId="6CFEF46F" w:rsidR="001610E6" w:rsidRPr="009055A7" w:rsidRDefault="001610E6" w:rsidP="00DB7F92">
            <w:pPr>
              <w:pStyle w:val="Body2"/>
              <w:spacing w:before="0" w:after="0" w:line="360" w:lineRule="auto"/>
              <w:ind w:left="0"/>
              <w:jc w:val="left"/>
              <w:rPr>
                <w:rFonts w:cs="Arial"/>
                <w:sz w:val="24"/>
                <w:szCs w:val="24"/>
              </w:rPr>
            </w:pPr>
            <w:r>
              <w:rPr>
                <w:rFonts w:cs="Arial"/>
                <w:sz w:val="24"/>
                <w:szCs w:val="24"/>
              </w:rPr>
              <w:t>Accountable Care Organisation</w:t>
            </w:r>
          </w:p>
        </w:tc>
      </w:tr>
      <w:tr w:rsidR="001C7059" w:rsidRPr="00CE0885" w14:paraId="5944878B" w14:textId="77777777" w:rsidTr="00E509C8">
        <w:trPr>
          <w:tblHeader/>
        </w:trPr>
        <w:tc>
          <w:tcPr>
            <w:tcW w:w="2212" w:type="dxa"/>
          </w:tcPr>
          <w:p w14:paraId="65B50BBE" w14:textId="77777777" w:rsidR="001C7059" w:rsidRPr="009055A7" w:rsidRDefault="001C7059" w:rsidP="00DB7F92">
            <w:pPr>
              <w:pStyle w:val="Body2"/>
              <w:spacing w:before="0" w:after="0" w:line="360" w:lineRule="auto"/>
              <w:ind w:left="0"/>
              <w:jc w:val="left"/>
              <w:rPr>
                <w:rFonts w:cs="Arial"/>
                <w:sz w:val="24"/>
                <w:szCs w:val="24"/>
              </w:rPr>
            </w:pPr>
            <w:r w:rsidRPr="009055A7">
              <w:rPr>
                <w:rFonts w:cs="Arial"/>
                <w:sz w:val="24"/>
                <w:szCs w:val="24"/>
              </w:rPr>
              <w:t>APMS</w:t>
            </w:r>
          </w:p>
        </w:tc>
        <w:tc>
          <w:tcPr>
            <w:tcW w:w="5670" w:type="dxa"/>
          </w:tcPr>
          <w:p w14:paraId="6D9070CE" w14:textId="77777777" w:rsidR="001C7059" w:rsidRPr="009055A7" w:rsidRDefault="001C7059" w:rsidP="00DB7F92">
            <w:pPr>
              <w:pStyle w:val="Body2"/>
              <w:spacing w:before="0" w:after="0" w:line="360" w:lineRule="auto"/>
              <w:ind w:left="0"/>
              <w:jc w:val="left"/>
              <w:rPr>
                <w:rFonts w:cs="Arial"/>
                <w:sz w:val="24"/>
                <w:szCs w:val="24"/>
              </w:rPr>
            </w:pPr>
            <w:r w:rsidRPr="009055A7">
              <w:rPr>
                <w:rFonts w:cs="Arial"/>
                <w:sz w:val="24"/>
                <w:szCs w:val="24"/>
              </w:rPr>
              <w:t>Alternative Provider Medical Services</w:t>
            </w:r>
          </w:p>
        </w:tc>
      </w:tr>
      <w:tr w:rsidR="001C7059" w:rsidRPr="00CE0885" w14:paraId="25F8EC69" w14:textId="77777777" w:rsidTr="00E509C8">
        <w:trPr>
          <w:tblHeader/>
        </w:trPr>
        <w:tc>
          <w:tcPr>
            <w:tcW w:w="2212" w:type="dxa"/>
          </w:tcPr>
          <w:p w14:paraId="3510D150"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APMS Directions</w:t>
            </w:r>
          </w:p>
        </w:tc>
        <w:tc>
          <w:tcPr>
            <w:tcW w:w="5670" w:type="dxa"/>
          </w:tcPr>
          <w:p w14:paraId="613AC087" w14:textId="0A5DBD47" w:rsidR="001C7059" w:rsidRPr="00CE0885" w:rsidRDefault="001C7059" w:rsidP="00FA5B48">
            <w:pPr>
              <w:pStyle w:val="Body2"/>
              <w:spacing w:before="0" w:after="0" w:line="360" w:lineRule="auto"/>
              <w:ind w:left="0"/>
              <w:jc w:val="left"/>
              <w:rPr>
                <w:rFonts w:cs="Arial"/>
                <w:sz w:val="24"/>
                <w:szCs w:val="24"/>
              </w:rPr>
            </w:pPr>
            <w:r w:rsidRPr="00CE0885">
              <w:rPr>
                <w:rFonts w:cs="Arial"/>
                <w:sz w:val="24"/>
                <w:szCs w:val="24"/>
              </w:rPr>
              <w:t>Alternative Provider Medical Services Directions</w:t>
            </w:r>
          </w:p>
        </w:tc>
      </w:tr>
      <w:tr w:rsidR="001C7059" w:rsidRPr="00CE0885" w14:paraId="143A53B0" w14:textId="77777777" w:rsidTr="00E509C8">
        <w:trPr>
          <w:tblHeader/>
        </w:trPr>
        <w:tc>
          <w:tcPr>
            <w:tcW w:w="2212" w:type="dxa"/>
          </w:tcPr>
          <w:p w14:paraId="59924B2A" w14:textId="04D199A3"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CCG</w:t>
            </w:r>
          </w:p>
        </w:tc>
        <w:tc>
          <w:tcPr>
            <w:tcW w:w="5670" w:type="dxa"/>
          </w:tcPr>
          <w:p w14:paraId="5C5A6DFC"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Clinical Commissioning Group</w:t>
            </w:r>
          </w:p>
        </w:tc>
      </w:tr>
      <w:tr w:rsidR="00823437" w:rsidRPr="00CE0885" w14:paraId="171F2942" w14:textId="77777777" w:rsidTr="00942266">
        <w:trPr>
          <w:tblHeader/>
        </w:trPr>
        <w:tc>
          <w:tcPr>
            <w:tcW w:w="2212" w:type="dxa"/>
          </w:tcPr>
          <w:p w14:paraId="3E7F7B50" w14:textId="77777777" w:rsidR="00823437" w:rsidRPr="00CE0885" w:rsidRDefault="00823437" w:rsidP="00942266">
            <w:pPr>
              <w:pStyle w:val="Body2"/>
              <w:spacing w:before="0" w:after="0" w:line="360" w:lineRule="auto"/>
              <w:ind w:left="0"/>
              <w:jc w:val="left"/>
              <w:rPr>
                <w:rFonts w:cs="Arial"/>
                <w:sz w:val="24"/>
                <w:szCs w:val="24"/>
              </w:rPr>
            </w:pPr>
            <w:r>
              <w:rPr>
                <w:rFonts w:cs="Arial"/>
                <w:sz w:val="24"/>
                <w:szCs w:val="24"/>
              </w:rPr>
              <w:t>COSHH</w:t>
            </w:r>
          </w:p>
        </w:tc>
        <w:tc>
          <w:tcPr>
            <w:tcW w:w="5670" w:type="dxa"/>
          </w:tcPr>
          <w:p w14:paraId="3BAA80E2" w14:textId="77777777" w:rsidR="00823437" w:rsidRPr="00CE0885" w:rsidRDefault="00823437" w:rsidP="00942266">
            <w:pPr>
              <w:pStyle w:val="Body2"/>
              <w:spacing w:before="0" w:after="0" w:line="360" w:lineRule="auto"/>
              <w:ind w:left="0"/>
              <w:jc w:val="left"/>
              <w:rPr>
                <w:rFonts w:cs="Arial"/>
                <w:sz w:val="24"/>
                <w:szCs w:val="24"/>
              </w:rPr>
            </w:pPr>
            <w:r>
              <w:rPr>
                <w:rFonts w:cs="Arial"/>
                <w:sz w:val="24"/>
                <w:szCs w:val="24"/>
              </w:rPr>
              <w:t>Control of Sustances Harzadous to Health</w:t>
            </w:r>
          </w:p>
        </w:tc>
      </w:tr>
      <w:tr w:rsidR="001C7059" w:rsidRPr="00CE0885" w14:paraId="36F522D1" w14:textId="77777777" w:rsidTr="00E509C8">
        <w:trPr>
          <w:tblHeader/>
        </w:trPr>
        <w:tc>
          <w:tcPr>
            <w:tcW w:w="2212" w:type="dxa"/>
          </w:tcPr>
          <w:p w14:paraId="1CA93313"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 xml:space="preserve">CQC </w:t>
            </w:r>
          </w:p>
        </w:tc>
        <w:tc>
          <w:tcPr>
            <w:tcW w:w="5670" w:type="dxa"/>
          </w:tcPr>
          <w:p w14:paraId="221912DB"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Care Quality Commission</w:t>
            </w:r>
          </w:p>
        </w:tc>
      </w:tr>
      <w:tr w:rsidR="001C7059" w:rsidRPr="00CE0885" w14:paraId="13D34462" w14:textId="77777777" w:rsidTr="00E509C8">
        <w:trPr>
          <w:tblHeader/>
        </w:trPr>
        <w:tc>
          <w:tcPr>
            <w:tcW w:w="2212" w:type="dxa"/>
          </w:tcPr>
          <w:p w14:paraId="75457BCC"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FHSAU</w:t>
            </w:r>
          </w:p>
        </w:tc>
        <w:tc>
          <w:tcPr>
            <w:tcW w:w="5670" w:type="dxa"/>
          </w:tcPr>
          <w:p w14:paraId="05AB3314"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Family Health Services Appeal Unit</w:t>
            </w:r>
          </w:p>
        </w:tc>
      </w:tr>
      <w:tr w:rsidR="001C7059" w:rsidRPr="00CE0885" w14:paraId="1258491B" w14:textId="77777777" w:rsidTr="00E509C8">
        <w:trPr>
          <w:tblHeader/>
        </w:trPr>
        <w:tc>
          <w:tcPr>
            <w:tcW w:w="2212" w:type="dxa"/>
          </w:tcPr>
          <w:p w14:paraId="2AF32D55"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GMS</w:t>
            </w:r>
          </w:p>
        </w:tc>
        <w:tc>
          <w:tcPr>
            <w:tcW w:w="5670" w:type="dxa"/>
          </w:tcPr>
          <w:p w14:paraId="4E1EE587"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General Medical Services</w:t>
            </w:r>
          </w:p>
        </w:tc>
      </w:tr>
      <w:tr w:rsidR="001C7059" w:rsidRPr="00CE0885" w14:paraId="6796A1BB" w14:textId="77777777" w:rsidTr="00E509C8">
        <w:trPr>
          <w:tblHeader/>
        </w:trPr>
        <w:tc>
          <w:tcPr>
            <w:tcW w:w="2212" w:type="dxa"/>
          </w:tcPr>
          <w:p w14:paraId="5FF95B36"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GMS Regulations</w:t>
            </w:r>
          </w:p>
        </w:tc>
        <w:tc>
          <w:tcPr>
            <w:tcW w:w="5670" w:type="dxa"/>
          </w:tcPr>
          <w:p w14:paraId="7C2D0E9D"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The National Health Service (General Medical Services Contracts) Regulations 2015</w:t>
            </w:r>
          </w:p>
        </w:tc>
      </w:tr>
      <w:tr w:rsidR="001C7059" w:rsidRPr="00CE0885" w14:paraId="30662BD9" w14:textId="77777777" w:rsidTr="00E509C8">
        <w:trPr>
          <w:tblHeader/>
        </w:trPr>
        <w:tc>
          <w:tcPr>
            <w:tcW w:w="2212" w:type="dxa"/>
          </w:tcPr>
          <w:p w14:paraId="18C77726"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GMS SFE</w:t>
            </w:r>
          </w:p>
        </w:tc>
        <w:tc>
          <w:tcPr>
            <w:tcW w:w="5670" w:type="dxa"/>
          </w:tcPr>
          <w:p w14:paraId="3732BC14"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General Medical Services Statement of Financial Entitlements Directions 2013</w:t>
            </w:r>
          </w:p>
        </w:tc>
      </w:tr>
      <w:tr w:rsidR="001C7059" w:rsidRPr="00CE0885" w14:paraId="173E3F61" w14:textId="77777777" w:rsidTr="00E509C8">
        <w:trPr>
          <w:tblHeader/>
        </w:trPr>
        <w:tc>
          <w:tcPr>
            <w:tcW w:w="2212" w:type="dxa"/>
          </w:tcPr>
          <w:p w14:paraId="5AAD02D7"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GP</w:t>
            </w:r>
          </w:p>
        </w:tc>
        <w:tc>
          <w:tcPr>
            <w:tcW w:w="5670" w:type="dxa"/>
          </w:tcPr>
          <w:p w14:paraId="3A52D83C"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General Practitioner</w:t>
            </w:r>
          </w:p>
        </w:tc>
      </w:tr>
      <w:tr w:rsidR="001610E6" w:rsidRPr="00CE0885" w14:paraId="737F5F78" w14:textId="77777777" w:rsidTr="00E509C8">
        <w:trPr>
          <w:tblHeader/>
        </w:trPr>
        <w:tc>
          <w:tcPr>
            <w:tcW w:w="2212" w:type="dxa"/>
          </w:tcPr>
          <w:p w14:paraId="117A05B6" w14:textId="787E8709" w:rsidR="001610E6" w:rsidRPr="00CE0885" w:rsidRDefault="001610E6" w:rsidP="00DB7F92">
            <w:pPr>
              <w:pStyle w:val="Body2"/>
              <w:spacing w:before="0" w:after="0" w:line="360" w:lineRule="auto"/>
              <w:ind w:left="0"/>
              <w:jc w:val="left"/>
              <w:rPr>
                <w:rFonts w:cs="Arial"/>
                <w:sz w:val="24"/>
                <w:szCs w:val="24"/>
              </w:rPr>
            </w:pPr>
            <w:r>
              <w:rPr>
                <w:rFonts w:cs="Arial"/>
                <w:sz w:val="24"/>
                <w:szCs w:val="24"/>
              </w:rPr>
              <w:t>GPVF</w:t>
            </w:r>
          </w:p>
        </w:tc>
        <w:tc>
          <w:tcPr>
            <w:tcW w:w="5670" w:type="dxa"/>
          </w:tcPr>
          <w:p w14:paraId="1139DA7B" w14:textId="290F5BA2" w:rsidR="001610E6" w:rsidRPr="00CE0885" w:rsidRDefault="001610E6" w:rsidP="00DB7F92">
            <w:pPr>
              <w:pStyle w:val="Body2"/>
              <w:spacing w:before="0" w:after="0" w:line="360" w:lineRule="auto"/>
              <w:ind w:left="0"/>
              <w:jc w:val="left"/>
              <w:rPr>
                <w:rFonts w:cs="Arial"/>
                <w:sz w:val="24"/>
                <w:szCs w:val="24"/>
              </w:rPr>
            </w:pPr>
            <w:r>
              <w:rPr>
                <w:rFonts w:cs="Arial"/>
                <w:sz w:val="24"/>
                <w:szCs w:val="24"/>
              </w:rPr>
              <w:t>General Practice Forward View</w:t>
            </w:r>
          </w:p>
        </w:tc>
      </w:tr>
      <w:tr w:rsidR="001C7059" w:rsidRPr="00CE0885" w14:paraId="744525C8" w14:textId="77777777" w:rsidTr="00E509C8">
        <w:trPr>
          <w:tblHeader/>
        </w:trPr>
        <w:tc>
          <w:tcPr>
            <w:tcW w:w="2212" w:type="dxa"/>
          </w:tcPr>
          <w:p w14:paraId="4A122DF3"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HWB</w:t>
            </w:r>
          </w:p>
        </w:tc>
        <w:tc>
          <w:tcPr>
            <w:tcW w:w="5670" w:type="dxa"/>
          </w:tcPr>
          <w:p w14:paraId="3679A895"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Health and Wellbeing Board</w:t>
            </w:r>
          </w:p>
        </w:tc>
      </w:tr>
      <w:tr w:rsidR="008E3315" w:rsidRPr="00CE0885" w14:paraId="1E69F7D2" w14:textId="77777777" w:rsidTr="00E509C8">
        <w:trPr>
          <w:tblHeader/>
        </w:trPr>
        <w:tc>
          <w:tcPr>
            <w:tcW w:w="2212" w:type="dxa"/>
          </w:tcPr>
          <w:p w14:paraId="081FD9C9" w14:textId="18D77B24" w:rsidR="008E3315" w:rsidRDefault="008E3315" w:rsidP="00DB7F92">
            <w:pPr>
              <w:pStyle w:val="Body2"/>
              <w:spacing w:before="0" w:after="0" w:line="360" w:lineRule="auto"/>
              <w:ind w:left="0"/>
              <w:jc w:val="left"/>
              <w:rPr>
                <w:rFonts w:cs="Arial"/>
                <w:sz w:val="24"/>
                <w:szCs w:val="24"/>
              </w:rPr>
            </w:pPr>
            <w:r>
              <w:rPr>
                <w:rFonts w:cs="Arial"/>
                <w:sz w:val="24"/>
                <w:szCs w:val="24"/>
              </w:rPr>
              <w:t>ICB</w:t>
            </w:r>
          </w:p>
        </w:tc>
        <w:tc>
          <w:tcPr>
            <w:tcW w:w="5670" w:type="dxa"/>
          </w:tcPr>
          <w:p w14:paraId="48F29C7B" w14:textId="14489F5E" w:rsidR="008E3315" w:rsidRDefault="008E3315" w:rsidP="00DB7F92">
            <w:pPr>
              <w:pStyle w:val="Body2"/>
              <w:spacing w:before="0" w:after="0" w:line="360" w:lineRule="auto"/>
              <w:ind w:left="0"/>
              <w:jc w:val="left"/>
              <w:rPr>
                <w:rFonts w:cs="Arial"/>
                <w:sz w:val="24"/>
                <w:szCs w:val="24"/>
              </w:rPr>
            </w:pPr>
            <w:r>
              <w:rPr>
                <w:rFonts w:cs="Arial"/>
                <w:sz w:val="24"/>
                <w:szCs w:val="24"/>
              </w:rPr>
              <w:t>Integrated Care Board</w:t>
            </w:r>
          </w:p>
        </w:tc>
      </w:tr>
      <w:tr w:rsidR="00654D7C" w:rsidRPr="00CE0885" w14:paraId="12505D9F" w14:textId="77777777" w:rsidTr="00E509C8">
        <w:trPr>
          <w:tblHeader/>
        </w:trPr>
        <w:tc>
          <w:tcPr>
            <w:tcW w:w="2212" w:type="dxa"/>
          </w:tcPr>
          <w:p w14:paraId="4CA3BB07" w14:textId="35253AFE" w:rsidR="00654D7C" w:rsidRPr="00CE0885" w:rsidRDefault="00654D7C" w:rsidP="00DB7F92">
            <w:pPr>
              <w:pStyle w:val="Body2"/>
              <w:spacing w:before="0" w:after="0" w:line="360" w:lineRule="auto"/>
              <w:ind w:left="0"/>
              <w:jc w:val="left"/>
              <w:rPr>
                <w:rFonts w:cs="Arial"/>
                <w:sz w:val="24"/>
                <w:szCs w:val="24"/>
              </w:rPr>
            </w:pPr>
            <w:r>
              <w:rPr>
                <w:rFonts w:cs="Arial"/>
                <w:sz w:val="24"/>
                <w:szCs w:val="24"/>
              </w:rPr>
              <w:t>ICS</w:t>
            </w:r>
          </w:p>
        </w:tc>
        <w:tc>
          <w:tcPr>
            <w:tcW w:w="5670" w:type="dxa"/>
          </w:tcPr>
          <w:p w14:paraId="404AD814" w14:textId="0E1ED93B" w:rsidR="00654D7C" w:rsidRPr="00CE0885" w:rsidRDefault="00654D7C" w:rsidP="00DB7F92">
            <w:pPr>
              <w:pStyle w:val="Body2"/>
              <w:spacing w:before="0" w:after="0" w:line="360" w:lineRule="auto"/>
              <w:ind w:left="0"/>
              <w:jc w:val="left"/>
              <w:rPr>
                <w:rFonts w:cs="Arial"/>
                <w:sz w:val="24"/>
                <w:szCs w:val="24"/>
              </w:rPr>
            </w:pPr>
            <w:r>
              <w:rPr>
                <w:rFonts w:cs="Arial"/>
                <w:sz w:val="24"/>
                <w:szCs w:val="24"/>
              </w:rPr>
              <w:t>Integrated Care Systems</w:t>
            </w:r>
          </w:p>
        </w:tc>
      </w:tr>
      <w:tr w:rsidR="001C7059" w:rsidRPr="00CE0885" w14:paraId="00BB1D64" w14:textId="77777777" w:rsidTr="00E509C8">
        <w:trPr>
          <w:tblHeader/>
        </w:trPr>
        <w:tc>
          <w:tcPr>
            <w:tcW w:w="2212" w:type="dxa"/>
          </w:tcPr>
          <w:p w14:paraId="1BC758B4"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LMC</w:t>
            </w:r>
          </w:p>
        </w:tc>
        <w:tc>
          <w:tcPr>
            <w:tcW w:w="5670" w:type="dxa"/>
          </w:tcPr>
          <w:p w14:paraId="49A2AC5C"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Local Medical Committee</w:t>
            </w:r>
          </w:p>
        </w:tc>
      </w:tr>
      <w:tr w:rsidR="001C7059" w:rsidRPr="00CE0885" w14:paraId="43F377E3" w14:textId="77777777" w:rsidTr="00E509C8">
        <w:trPr>
          <w:tblHeader/>
        </w:trPr>
        <w:tc>
          <w:tcPr>
            <w:tcW w:w="2212" w:type="dxa"/>
          </w:tcPr>
          <w:p w14:paraId="3090FD6F"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NBM</w:t>
            </w:r>
          </w:p>
        </w:tc>
        <w:tc>
          <w:tcPr>
            <w:tcW w:w="5670" w:type="dxa"/>
          </w:tcPr>
          <w:p w14:paraId="45575F65"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New Business Models</w:t>
            </w:r>
          </w:p>
        </w:tc>
      </w:tr>
      <w:tr w:rsidR="001C7059" w:rsidRPr="00CE0885" w14:paraId="124104A7" w14:textId="77777777" w:rsidTr="00E509C8">
        <w:trPr>
          <w:tblHeader/>
        </w:trPr>
        <w:tc>
          <w:tcPr>
            <w:tcW w:w="2212" w:type="dxa"/>
          </w:tcPr>
          <w:p w14:paraId="6E4B2344"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NCM</w:t>
            </w:r>
          </w:p>
        </w:tc>
        <w:tc>
          <w:tcPr>
            <w:tcW w:w="5670" w:type="dxa"/>
          </w:tcPr>
          <w:p w14:paraId="5394E5CE"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New Care Models</w:t>
            </w:r>
          </w:p>
        </w:tc>
      </w:tr>
      <w:tr w:rsidR="001C7059" w:rsidRPr="00CE0885" w14:paraId="40E8BCFA" w14:textId="77777777" w:rsidTr="00E509C8">
        <w:trPr>
          <w:tblHeader/>
        </w:trPr>
        <w:tc>
          <w:tcPr>
            <w:tcW w:w="2212" w:type="dxa"/>
          </w:tcPr>
          <w:p w14:paraId="635C34F6"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 xml:space="preserve">NHS Act </w:t>
            </w:r>
          </w:p>
        </w:tc>
        <w:tc>
          <w:tcPr>
            <w:tcW w:w="5670" w:type="dxa"/>
          </w:tcPr>
          <w:p w14:paraId="6368A758"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National Health Service Act 2006</w:t>
            </w:r>
          </w:p>
        </w:tc>
      </w:tr>
      <w:tr w:rsidR="001C7059" w:rsidRPr="00CE0885" w14:paraId="0A15A1C0" w14:textId="77777777" w:rsidTr="00E509C8">
        <w:trPr>
          <w:tblHeader/>
        </w:trPr>
        <w:tc>
          <w:tcPr>
            <w:tcW w:w="2212" w:type="dxa"/>
          </w:tcPr>
          <w:p w14:paraId="3BA68CC6"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NHS BSA</w:t>
            </w:r>
          </w:p>
        </w:tc>
        <w:tc>
          <w:tcPr>
            <w:tcW w:w="5670" w:type="dxa"/>
          </w:tcPr>
          <w:p w14:paraId="7F736C7B"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NHS Business Services Authority</w:t>
            </w:r>
          </w:p>
        </w:tc>
      </w:tr>
      <w:tr w:rsidR="00823437" w:rsidRPr="00CE0885" w14:paraId="2C59250A" w14:textId="77777777" w:rsidTr="00E509C8">
        <w:trPr>
          <w:tblHeader/>
        </w:trPr>
        <w:tc>
          <w:tcPr>
            <w:tcW w:w="2212" w:type="dxa"/>
          </w:tcPr>
          <w:p w14:paraId="09A630A8" w14:textId="7CD834B0" w:rsidR="00823437" w:rsidRDefault="00E71011" w:rsidP="00DB7F92">
            <w:pPr>
              <w:pStyle w:val="Body2"/>
              <w:spacing w:before="0" w:after="0" w:line="360" w:lineRule="auto"/>
              <w:ind w:left="0"/>
              <w:jc w:val="left"/>
              <w:rPr>
                <w:rFonts w:cs="Arial"/>
                <w:sz w:val="24"/>
                <w:szCs w:val="24"/>
              </w:rPr>
            </w:pPr>
            <w:r>
              <w:rPr>
                <w:rFonts w:cs="Arial"/>
                <w:sz w:val="24"/>
                <w:szCs w:val="24"/>
              </w:rPr>
              <w:t>PSR</w:t>
            </w:r>
          </w:p>
        </w:tc>
        <w:tc>
          <w:tcPr>
            <w:tcW w:w="5670" w:type="dxa"/>
          </w:tcPr>
          <w:p w14:paraId="47A55275" w14:textId="74913D2E" w:rsidR="00823437" w:rsidRDefault="00E71011" w:rsidP="00DB7F92">
            <w:pPr>
              <w:pStyle w:val="Body2"/>
              <w:spacing w:before="0" w:after="0" w:line="360" w:lineRule="auto"/>
              <w:ind w:left="0"/>
              <w:jc w:val="left"/>
              <w:rPr>
                <w:rFonts w:cs="Arial"/>
                <w:sz w:val="24"/>
                <w:szCs w:val="24"/>
              </w:rPr>
            </w:pPr>
            <w:r>
              <w:rPr>
                <w:rFonts w:cs="Arial"/>
                <w:sz w:val="24"/>
                <w:szCs w:val="24"/>
              </w:rPr>
              <w:t>Provider Service Regime</w:t>
            </w:r>
          </w:p>
        </w:tc>
      </w:tr>
      <w:tr w:rsidR="009414F6" w:rsidRPr="00CE0885" w14:paraId="51F4282E" w14:textId="77777777" w:rsidTr="00E509C8">
        <w:trPr>
          <w:tblHeader/>
        </w:trPr>
        <w:tc>
          <w:tcPr>
            <w:tcW w:w="2212" w:type="dxa"/>
          </w:tcPr>
          <w:p w14:paraId="056BCFA5" w14:textId="00D4C425" w:rsidR="009414F6" w:rsidRPr="00CE0885" w:rsidRDefault="009414F6" w:rsidP="00DB7F92">
            <w:pPr>
              <w:pStyle w:val="Body2"/>
              <w:spacing w:before="0" w:after="0" w:line="360" w:lineRule="auto"/>
              <w:ind w:left="0"/>
              <w:jc w:val="left"/>
              <w:rPr>
                <w:rFonts w:cs="Arial"/>
                <w:sz w:val="24"/>
                <w:szCs w:val="24"/>
              </w:rPr>
            </w:pPr>
            <w:r>
              <w:rPr>
                <w:rFonts w:cs="Arial"/>
                <w:sz w:val="24"/>
                <w:szCs w:val="24"/>
              </w:rPr>
              <w:t>NHSR</w:t>
            </w:r>
          </w:p>
        </w:tc>
        <w:tc>
          <w:tcPr>
            <w:tcW w:w="5670" w:type="dxa"/>
          </w:tcPr>
          <w:p w14:paraId="1409AB0F" w14:textId="70C27ABD" w:rsidR="009414F6" w:rsidRPr="00CE0885" w:rsidRDefault="009414F6" w:rsidP="00DB7F92">
            <w:pPr>
              <w:pStyle w:val="Body2"/>
              <w:spacing w:before="0" w:after="0" w:line="360" w:lineRule="auto"/>
              <w:ind w:left="0"/>
              <w:jc w:val="left"/>
              <w:rPr>
                <w:rFonts w:cs="Arial"/>
                <w:sz w:val="24"/>
                <w:szCs w:val="24"/>
              </w:rPr>
            </w:pPr>
            <w:r>
              <w:rPr>
                <w:rFonts w:cs="Arial"/>
                <w:sz w:val="24"/>
                <w:szCs w:val="24"/>
              </w:rPr>
              <w:t>NHS Resolution</w:t>
            </w:r>
          </w:p>
        </w:tc>
      </w:tr>
      <w:tr w:rsidR="00E1059B" w:rsidRPr="00CE0885" w14:paraId="26CBF7D6" w14:textId="77777777" w:rsidTr="00E509C8">
        <w:trPr>
          <w:tblHeader/>
        </w:trPr>
        <w:tc>
          <w:tcPr>
            <w:tcW w:w="2212" w:type="dxa"/>
          </w:tcPr>
          <w:p w14:paraId="055D7725" w14:textId="54247CAF" w:rsidR="00E1059B" w:rsidRPr="00CE0885" w:rsidRDefault="00E1059B" w:rsidP="00DB7F92">
            <w:pPr>
              <w:pStyle w:val="Body2"/>
              <w:spacing w:before="0" w:after="0" w:line="360" w:lineRule="auto"/>
              <w:ind w:left="0"/>
              <w:jc w:val="left"/>
              <w:rPr>
                <w:rFonts w:cs="Arial"/>
                <w:sz w:val="24"/>
                <w:szCs w:val="24"/>
              </w:rPr>
            </w:pPr>
            <w:r>
              <w:rPr>
                <w:rFonts w:cs="Arial"/>
                <w:sz w:val="24"/>
                <w:szCs w:val="24"/>
              </w:rPr>
              <w:t>PCA</w:t>
            </w:r>
          </w:p>
        </w:tc>
        <w:tc>
          <w:tcPr>
            <w:tcW w:w="5670" w:type="dxa"/>
          </w:tcPr>
          <w:p w14:paraId="6DB07D83" w14:textId="2821F386" w:rsidR="00E1059B" w:rsidRPr="00CE0885" w:rsidRDefault="00E1059B" w:rsidP="00DB7F92">
            <w:pPr>
              <w:pStyle w:val="Body2"/>
              <w:spacing w:before="0" w:after="0" w:line="360" w:lineRule="auto"/>
              <w:ind w:left="0"/>
              <w:jc w:val="left"/>
              <w:rPr>
                <w:rFonts w:cs="Arial"/>
                <w:sz w:val="24"/>
                <w:szCs w:val="24"/>
              </w:rPr>
            </w:pPr>
            <w:r>
              <w:rPr>
                <w:rFonts w:cs="Arial"/>
                <w:sz w:val="24"/>
                <w:szCs w:val="24"/>
              </w:rPr>
              <w:t>Primary Care Appeals</w:t>
            </w:r>
            <w:r w:rsidR="00180FD4">
              <w:rPr>
                <w:rFonts w:cs="Arial"/>
                <w:sz w:val="24"/>
                <w:szCs w:val="24"/>
              </w:rPr>
              <w:t xml:space="preserve"> (Part of NHSR)</w:t>
            </w:r>
          </w:p>
        </w:tc>
      </w:tr>
      <w:tr w:rsidR="001C7059" w:rsidRPr="00CE0885" w14:paraId="0F3AD87B" w14:textId="77777777" w:rsidTr="00E509C8">
        <w:trPr>
          <w:tblHeader/>
        </w:trPr>
        <w:tc>
          <w:tcPr>
            <w:tcW w:w="2212" w:type="dxa"/>
          </w:tcPr>
          <w:p w14:paraId="044BD436"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PCSE</w:t>
            </w:r>
          </w:p>
        </w:tc>
        <w:tc>
          <w:tcPr>
            <w:tcW w:w="5670" w:type="dxa"/>
          </w:tcPr>
          <w:p w14:paraId="6C18D1F0"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Primary Care Support England (delivered by Capita on behalf of NHS England)</w:t>
            </w:r>
          </w:p>
        </w:tc>
      </w:tr>
      <w:tr w:rsidR="00180FD4" w:rsidRPr="00CE0885" w14:paraId="065346C3" w14:textId="77777777" w:rsidTr="00E509C8">
        <w:trPr>
          <w:tblHeader/>
        </w:trPr>
        <w:tc>
          <w:tcPr>
            <w:tcW w:w="2212" w:type="dxa"/>
          </w:tcPr>
          <w:p w14:paraId="11A7D4EA" w14:textId="2FD5C77F" w:rsidR="00180FD4" w:rsidRPr="00CE0885" w:rsidRDefault="00180FD4" w:rsidP="00DB7F92">
            <w:pPr>
              <w:pStyle w:val="Body2"/>
              <w:spacing w:before="0" w:after="0" w:line="360" w:lineRule="auto"/>
              <w:ind w:left="0"/>
              <w:jc w:val="left"/>
              <w:rPr>
                <w:rFonts w:cs="Arial"/>
                <w:sz w:val="24"/>
                <w:szCs w:val="24"/>
              </w:rPr>
            </w:pPr>
            <w:r>
              <w:rPr>
                <w:rFonts w:cs="Arial"/>
                <w:sz w:val="24"/>
                <w:szCs w:val="24"/>
              </w:rPr>
              <w:t>PCN</w:t>
            </w:r>
          </w:p>
        </w:tc>
        <w:tc>
          <w:tcPr>
            <w:tcW w:w="5670" w:type="dxa"/>
          </w:tcPr>
          <w:p w14:paraId="6E9FDFA2" w14:textId="047565C8" w:rsidR="00180FD4" w:rsidRPr="00CE0885" w:rsidRDefault="00180FD4" w:rsidP="00DB7F92">
            <w:pPr>
              <w:pStyle w:val="Body2"/>
              <w:spacing w:before="0" w:after="0" w:line="360" w:lineRule="auto"/>
              <w:ind w:left="0"/>
              <w:jc w:val="left"/>
              <w:rPr>
                <w:rFonts w:cs="Arial"/>
                <w:sz w:val="24"/>
                <w:szCs w:val="24"/>
              </w:rPr>
            </w:pPr>
            <w:r>
              <w:rPr>
                <w:rFonts w:cs="Arial"/>
                <w:sz w:val="24"/>
                <w:szCs w:val="24"/>
              </w:rPr>
              <w:t>Primary Care Network</w:t>
            </w:r>
          </w:p>
        </w:tc>
      </w:tr>
      <w:tr w:rsidR="00A917CB" w:rsidRPr="00CE0885" w14:paraId="3E6B7530" w14:textId="77777777" w:rsidTr="00E509C8">
        <w:trPr>
          <w:tblHeader/>
        </w:trPr>
        <w:tc>
          <w:tcPr>
            <w:tcW w:w="2212" w:type="dxa"/>
          </w:tcPr>
          <w:p w14:paraId="2CE3EFF8" w14:textId="7566E0AE" w:rsidR="00A917CB" w:rsidRPr="00CE0885" w:rsidRDefault="00A917CB" w:rsidP="00DB7F92">
            <w:pPr>
              <w:pStyle w:val="Body2"/>
              <w:spacing w:before="0" w:after="0" w:line="360" w:lineRule="auto"/>
              <w:ind w:left="0"/>
              <w:jc w:val="left"/>
              <w:rPr>
                <w:rFonts w:cs="Arial"/>
                <w:sz w:val="24"/>
                <w:szCs w:val="24"/>
              </w:rPr>
            </w:pPr>
            <w:r>
              <w:rPr>
                <w:rFonts w:cs="Arial"/>
                <w:sz w:val="24"/>
                <w:szCs w:val="24"/>
              </w:rPr>
              <w:t>PHSO</w:t>
            </w:r>
          </w:p>
        </w:tc>
        <w:tc>
          <w:tcPr>
            <w:tcW w:w="5670" w:type="dxa"/>
          </w:tcPr>
          <w:p w14:paraId="3F79CAF2" w14:textId="571363FB" w:rsidR="00A917CB" w:rsidRPr="00CE0885" w:rsidRDefault="00A917CB" w:rsidP="00DB7F92">
            <w:pPr>
              <w:pStyle w:val="Body2"/>
              <w:spacing w:before="0" w:after="0" w:line="360" w:lineRule="auto"/>
              <w:ind w:left="0"/>
              <w:jc w:val="left"/>
              <w:rPr>
                <w:rFonts w:cs="Arial"/>
                <w:sz w:val="24"/>
                <w:szCs w:val="24"/>
              </w:rPr>
            </w:pPr>
            <w:r w:rsidRPr="00A917CB">
              <w:rPr>
                <w:rFonts w:cs="Arial"/>
                <w:sz w:val="24"/>
                <w:szCs w:val="24"/>
              </w:rPr>
              <w:t>Parliamentary and Health Service Ombudsman</w:t>
            </w:r>
          </w:p>
        </w:tc>
      </w:tr>
      <w:tr w:rsidR="001C7059" w:rsidRPr="00CE0885" w14:paraId="06C80151" w14:textId="77777777" w:rsidTr="00E509C8">
        <w:trPr>
          <w:tblHeader/>
        </w:trPr>
        <w:tc>
          <w:tcPr>
            <w:tcW w:w="2212" w:type="dxa"/>
          </w:tcPr>
          <w:p w14:paraId="5F8F9690"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PMS</w:t>
            </w:r>
          </w:p>
        </w:tc>
        <w:tc>
          <w:tcPr>
            <w:tcW w:w="5670" w:type="dxa"/>
          </w:tcPr>
          <w:p w14:paraId="228FEEC7"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Personal Medical Services</w:t>
            </w:r>
          </w:p>
        </w:tc>
      </w:tr>
      <w:tr w:rsidR="001C7059" w:rsidRPr="00CE0885" w14:paraId="68353D73" w14:textId="77777777" w:rsidTr="00E509C8">
        <w:trPr>
          <w:tblHeader/>
        </w:trPr>
        <w:tc>
          <w:tcPr>
            <w:tcW w:w="2212" w:type="dxa"/>
          </w:tcPr>
          <w:p w14:paraId="41E73CAB"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PMS Regulations</w:t>
            </w:r>
          </w:p>
        </w:tc>
        <w:tc>
          <w:tcPr>
            <w:tcW w:w="5670" w:type="dxa"/>
          </w:tcPr>
          <w:p w14:paraId="5F0F4775"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The National Health Service (Personal Medical Services Agreements) Regulations 2015</w:t>
            </w:r>
          </w:p>
        </w:tc>
      </w:tr>
      <w:tr w:rsidR="001C7059" w:rsidRPr="00CE0885" w14:paraId="2F4339EA" w14:textId="77777777" w:rsidTr="00E509C8">
        <w:trPr>
          <w:tblHeader/>
        </w:trPr>
        <w:tc>
          <w:tcPr>
            <w:tcW w:w="2212" w:type="dxa"/>
          </w:tcPr>
          <w:p w14:paraId="5D835ED6"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TUPE</w:t>
            </w:r>
          </w:p>
        </w:tc>
        <w:tc>
          <w:tcPr>
            <w:tcW w:w="5670" w:type="dxa"/>
          </w:tcPr>
          <w:p w14:paraId="13DA0D77"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Transfer of Undertakings (Protection of Employment) Regulations 2006</w:t>
            </w:r>
          </w:p>
        </w:tc>
      </w:tr>
    </w:tbl>
    <w:p w14:paraId="4B351B87" w14:textId="77777777" w:rsidR="0050277D" w:rsidRDefault="0050277D" w:rsidP="0015247B">
      <w:pPr>
        <w:rPr>
          <w:rFonts w:cs="Arial"/>
        </w:rPr>
      </w:pPr>
    </w:p>
    <w:p w14:paraId="42DB2884" w14:textId="77777777" w:rsidR="00A917CB" w:rsidRPr="00CA58A7" w:rsidRDefault="00A917CB" w:rsidP="00A553BA"/>
    <w:p w14:paraId="19A489F0" w14:textId="1E4AECCF" w:rsidR="001C7059" w:rsidRPr="00A917CB" w:rsidRDefault="00A917CB" w:rsidP="0015247B">
      <w:pPr>
        <w:rPr>
          <w:rFonts w:cs="Arial"/>
          <w:szCs w:val="24"/>
        </w:rPr>
      </w:pPr>
      <w:r w:rsidRPr="00A553BA">
        <w:rPr>
          <w:color w:val="202A30"/>
          <w:shd w:val="clear" w:color="auto" w:fill="FFFFFF"/>
        </w:rPr>
        <w:t xml:space="preserve">Staff </w:t>
      </w:r>
      <w:r w:rsidRPr="008D6827">
        <w:rPr>
          <w:rFonts w:cs="Arial"/>
          <w:color w:val="202A30"/>
          <w:szCs w:val="24"/>
          <w:shd w:val="clear" w:color="auto" w:fill="FFFFFF"/>
        </w:rPr>
        <w:t xml:space="preserve">working with the NHS </w:t>
      </w:r>
      <w:r>
        <w:rPr>
          <w:rFonts w:cs="Arial"/>
          <w:color w:val="202A30"/>
          <w:szCs w:val="24"/>
          <w:shd w:val="clear" w:color="auto" w:fill="FFFFFF"/>
        </w:rPr>
        <w:t>may also find t</w:t>
      </w:r>
      <w:r w:rsidRPr="008D6827">
        <w:rPr>
          <w:rFonts w:cs="Arial"/>
          <w:color w:val="202A30"/>
          <w:szCs w:val="24"/>
          <w:shd w:val="clear" w:color="auto" w:fill="FFFFFF"/>
        </w:rPr>
        <w:t>his </w:t>
      </w:r>
      <w:hyperlink r:id="rId22" w:tgtFrame="_blank" w:history="1">
        <w:r w:rsidRPr="008D6827">
          <w:rPr>
            <w:rStyle w:val="Hyperlink"/>
            <w:rFonts w:cs="Arial"/>
            <w:color w:val="005EB8"/>
            <w:szCs w:val="24"/>
            <w:bdr w:val="none" w:sz="0" w:space="0" w:color="auto" w:frame="1"/>
            <w:shd w:val="clear" w:color="auto" w:fill="FFFFFF"/>
          </w:rPr>
          <w:t>acronym buster</w:t>
        </w:r>
      </w:hyperlink>
      <w:r w:rsidRPr="008D6827">
        <w:rPr>
          <w:rFonts w:cs="Arial"/>
          <w:color w:val="202A30"/>
          <w:szCs w:val="24"/>
          <w:shd w:val="clear" w:color="auto" w:fill="FFFFFF"/>
        </w:rPr>
        <w:t> helpful</w:t>
      </w:r>
      <w:r>
        <w:rPr>
          <w:rFonts w:cs="Arial"/>
          <w:color w:val="202A30"/>
          <w:szCs w:val="24"/>
          <w:shd w:val="clear" w:color="auto" w:fill="FFFFFF"/>
        </w:rPr>
        <w:t xml:space="preserve"> (which provides a broader list of NHS </w:t>
      </w:r>
      <w:r w:rsidR="00F36B04">
        <w:rPr>
          <w:rFonts w:cs="Arial"/>
          <w:color w:val="202A30"/>
          <w:szCs w:val="24"/>
          <w:shd w:val="clear" w:color="auto" w:fill="FFFFFF"/>
        </w:rPr>
        <w:t>acronyms</w:t>
      </w:r>
      <w:r>
        <w:rPr>
          <w:rFonts w:cs="Arial"/>
          <w:color w:val="202A30"/>
          <w:szCs w:val="24"/>
          <w:shd w:val="clear" w:color="auto" w:fill="FFFFFF"/>
        </w:rPr>
        <w:t xml:space="preserve"> in use beyond this document),</w:t>
      </w:r>
      <w:r w:rsidRPr="008D6827">
        <w:rPr>
          <w:rFonts w:cs="Arial"/>
          <w:color w:val="202A30"/>
          <w:szCs w:val="24"/>
          <w:shd w:val="clear" w:color="auto" w:fill="FFFFFF"/>
        </w:rPr>
        <w:t xml:space="preserve"> alongside our </w:t>
      </w:r>
      <w:hyperlink r:id="rId23" w:history="1">
        <w:r w:rsidRPr="008D6827">
          <w:rPr>
            <w:rStyle w:val="Hyperlink"/>
            <w:rFonts w:cs="Arial"/>
            <w:color w:val="005EB8"/>
            <w:szCs w:val="24"/>
            <w:bdr w:val="none" w:sz="0" w:space="0" w:color="auto" w:frame="1"/>
            <w:shd w:val="clear" w:color="auto" w:fill="FFFFFF"/>
          </w:rPr>
          <w:t>understanding the NHS</w:t>
        </w:r>
      </w:hyperlink>
      <w:r w:rsidRPr="008D6827">
        <w:rPr>
          <w:rFonts w:cs="Arial"/>
          <w:color w:val="202A30"/>
          <w:szCs w:val="24"/>
          <w:shd w:val="clear" w:color="auto" w:fill="FFFFFF"/>
        </w:rPr>
        <w:t> section.</w:t>
      </w:r>
      <w:r w:rsidR="001C7059" w:rsidRPr="00A917CB">
        <w:rPr>
          <w:rFonts w:cs="Arial"/>
          <w:szCs w:val="24"/>
        </w:rPr>
        <w:br w:type="page"/>
      </w:r>
    </w:p>
    <w:p w14:paraId="503C8F8B" w14:textId="54DD2C40" w:rsidR="0015247B" w:rsidRDefault="0015247B" w:rsidP="0015247B">
      <w:pPr>
        <w:pStyle w:val="Heading1"/>
      </w:pPr>
      <w:bookmarkStart w:id="36" w:name="_Commissioning_Described"/>
      <w:bookmarkStart w:id="37" w:name="_Toc95743354"/>
      <w:bookmarkEnd w:id="36"/>
      <w:r w:rsidRPr="0015247B">
        <w:t>Commissioning Described</w:t>
      </w:r>
      <w:bookmarkEnd w:id="37"/>
      <w:r w:rsidRPr="0015247B">
        <w:t xml:space="preserve"> </w:t>
      </w:r>
    </w:p>
    <w:p w14:paraId="0525057D" w14:textId="77777777" w:rsidR="0015247B" w:rsidRDefault="0015247B" w:rsidP="0015247B"/>
    <w:p w14:paraId="7B16FE13" w14:textId="77777777" w:rsidR="001C7059" w:rsidRPr="001C7059" w:rsidRDefault="001C7059" w:rsidP="001C7059">
      <w:pPr>
        <w:pStyle w:val="Heading2"/>
      </w:pPr>
      <w:bookmarkStart w:id="38" w:name="_Toc5979947"/>
      <w:bookmarkStart w:id="39" w:name="_Toc95743355"/>
      <w:bookmarkEnd w:id="38"/>
      <w:r w:rsidRPr="001C7059">
        <w:t>Commissioning Arrangements</w:t>
      </w:r>
      <w:bookmarkEnd w:id="39"/>
    </w:p>
    <w:p w14:paraId="3C1E0F72" w14:textId="77777777" w:rsidR="001C7059" w:rsidRPr="009055A7" w:rsidRDefault="001C7059" w:rsidP="001C7059">
      <w:pPr>
        <w:spacing w:line="360" w:lineRule="auto"/>
        <w:rPr>
          <w:rFonts w:cs="Arial"/>
        </w:rPr>
      </w:pPr>
    </w:p>
    <w:p w14:paraId="68435BA8" w14:textId="77777777" w:rsidR="001C7059" w:rsidRPr="00CE0885" w:rsidRDefault="001C7059" w:rsidP="001C7059">
      <w:pPr>
        <w:pStyle w:val="Heading2"/>
        <w:rPr>
          <w:lang w:eastAsia="en-GB"/>
        </w:rPr>
      </w:pPr>
      <w:bookmarkStart w:id="40" w:name="_Toc440981403"/>
      <w:bookmarkStart w:id="41" w:name="_Toc95743356"/>
      <w:r w:rsidRPr="00CE0885">
        <w:rPr>
          <w:lang w:eastAsia="en-GB"/>
        </w:rPr>
        <w:t>Introduction</w:t>
      </w:r>
      <w:bookmarkEnd w:id="40"/>
      <w:bookmarkEnd w:id="41"/>
    </w:p>
    <w:p w14:paraId="7B2034AA" w14:textId="77777777" w:rsidR="001C7059" w:rsidRPr="009055A7" w:rsidRDefault="001C7059" w:rsidP="001C7059">
      <w:pPr>
        <w:spacing w:line="360" w:lineRule="auto"/>
        <w:ind w:left="720"/>
        <w:rPr>
          <w:rFonts w:cs="Arial"/>
        </w:rPr>
      </w:pPr>
    </w:p>
    <w:p w14:paraId="1D914888" w14:textId="6C9B9B2A" w:rsidR="001C7059" w:rsidRPr="00CE0885" w:rsidRDefault="00094456" w:rsidP="00094456">
      <w:pPr>
        <w:pStyle w:val="Heading3"/>
      </w:pPr>
      <w:bookmarkStart w:id="42" w:name="_Toc440981404"/>
      <w:r w:rsidRPr="00094456">
        <w:t>As of 1 April 2021, all CCGs have delegated commissioning arrangements for primary medical services</w:t>
      </w:r>
      <w:r>
        <w:t xml:space="preserve"> and </w:t>
      </w:r>
      <w:r w:rsidR="00876BDC" w:rsidRPr="0026630E">
        <w:t xml:space="preserve">as a result of the </w:t>
      </w:r>
      <w:r w:rsidR="00B83042">
        <w:t>CCGs/ICBs</w:t>
      </w:r>
      <w:r w:rsidR="00876BDC" w:rsidRPr="0026630E">
        <w:t xml:space="preserve"> mergers programme</w:t>
      </w:r>
      <w:r w:rsidR="00F71B9C" w:rsidRPr="0026630E">
        <w:t>,</w:t>
      </w:r>
      <w:r w:rsidR="00876BDC" w:rsidRPr="0026630E">
        <w:t xml:space="preserve"> the number of </w:t>
      </w:r>
      <w:r w:rsidR="00B83042">
        <w:t>CCGs/ICBs</w:t>
      </w:r>
      <w:r w:rsidR="001B1711">
        <w:t xml:space="preserve"> with delegated authority</w:t>
      </w:r>
      <w:r w:rsidR="00876BDC" w:rsidRPr="0026630E">
        <w:t xml:space="preserve"> </w:t>
      </w:r>
      <w:r w:rsidR="00EC3785" w:rsidRPr="0026630E">
        <w:t xml:space="preserve">has </w:t>
      </w:r>
      <w:r w:rsidR="00876BDC" w:rsidRPr="0026630E">
        <w:t xml:space="preserve"> reduce</w:t>
      </w:r>
      <w:r w:rsidR="00EC3785" w:rsidRPr="0026630E">
        <w:t>d</w:t>
      </w:r>
      <w:r w:rsidR="00876BDC" w:rsidRPr="0026630E">
        <w:t xml:space="preserve"> to 1</w:t>
      </w:r>
      <w:r w:rsidR="007A6C1F">
        <w:t>06</w:t>
      </w:r>
      <w:r w:rsidR="006352E5" w:rsidRPr="0026630E">
        <w:t>.</w:t>
      </w:r>
      <w:r w:rsidR="006352E5">
        <w:t xml:space="preserve">  </w:t>
      </w:r>
      <w:r w:rsidR="001C7059" w:rsidRPr="00CE0885">
        <w:t>This chapter provides an overview of the models of co-commissioning and how the policies reflect</w:t>
      </w:r>
      <w:r w:rsidR="00505514">
        <w:t>ed</w:t>
      </w:r>
      <w:r w:rsidR="001C7059" w:rsidRPr="00CE0885">
        <w:t xml:space="preserve"> the involvement of </w:t>
      </w:r>
      <w:r w:rsidR="00B83042">
        <w:t>CCGs/ICBs</w:t>
      </w:r>
      <w:r w:rsidR="008B199F">
        <w:t xml:space="preserve"> </w:t>
      </w:r>
      <w:r w:rsidR="001C7059" w:rsidRPr="00CE0885">
        <w:t xml:space="preserve">under different co-commissioning models. This </w:t>
      </w:r>
      <w:r w:rsidR="0098029F">
        <w:t xml:space="preserve">is acknownledged now as largely redundant </w:t>
      </w:r>
      <w:r w:rsidR="001B1711">
        <w:t>given all CCGs have taken on delegat</w:t>
      </w:r>
      <w:r w:rsidR="0098029F">
        <w:t>ed authority</w:t>
      </w:r>
      <w:r w:rsidR="00E07092">
        <w:t xml:space="preserve"> and this chapter </w:t>
      </w:r>
      <w:r w:rsidR="0098029F">
        <w:t xml:space="preserve">will need to be updated </w:t>
      </w:r>
      <w:r w:rsidR="00E07092">
        <w:t xml:space="preserve">to reflect the model of delegated commissioning under the Health and Social Care Bill. </w:t>
      </w:r>
      <w:bookmarkEnd w:id="42"/>
      <w:r w:rsidR="00BC5F9C" w:rsidRPr="00CE0885">
        <w:t xml:space="preserve"> </w:t>
      </w:r>
    </w:p>
    <w:p w14:paraId="69985D19" w14:textId="77777777" w:rsidR="001C7059" w:rsidRPr="00CE0885" w:rsidRDefault="001C7059" w:rsidP="001C7059">
      <w:pPr>
        <w:spacing w:line="360" w:lineRule="auto"/>
        <w:rPr>
          <w:rFonts w:cs="Arial"/>
        </w:rPr>
      </w:pPr>
    </w:p>
    <w:p w14:paraId="1538842B" w14:textId="77777777" w:rsidR="001C7059" w:rsidRPr="00CE0885" w:rsidRDefault="001C7059" w:rsidP="001C7059">
      <w:pPr>
        <w:pStyle w:val="Heading2"/>
        <w:rPr>
          <w:lang w:eastAsia="en-GB"/>
        </w:rPr>
      </w:pPr>
      <w:bookmarkStart w:id="43" w:name="_Toc440981405"/>
      <w:bookmarkStart w:id="44" w:name="_Toc95743357"/>
      <w:r w:rsidRPr="00CE0885">
        <w:rPr>
          <w:lang w:eastAsia="en-GB"/>
        </w:rPr>
        <w:t>Background</w:t>
      </w:r>
      <w:bookmarkEnd w:id="43"/>
      <w:bookmarkEnd w:id="44"/>
    </w:p>
    <w:p w14:paraId="3433114E" w14:textId="77777777" w:rsidR="001C7059" w:rsidRPr="009055A7" w:rsidRDefault="001C7059" w:rsidP="001C7059">
      <w:pPr>
        <w:spacing w:line="360" w:lineRule="auto"/>
        <w:ind w:left="720"/>
        <w:rPr>
          <w:rFonts w:cs="Arial"/>
        </w:rPr>
      </w:pPr>
    </w:p>
    <w:p w14:paraId="262BB335" w14:textId="1BC04974" w:rsidR="001C7059" w:rsidRPr="00CE0885" w:rsidRDefault="001C7059" w:rsidP="001C7059">
      <w:pPr>
        <w:pStyle w:val="Heading3"/>
      </w:pPr>
      <w:bookmarkStart w:id="45" w:name="_Toc440981406"/>
      <w:r w:rsidRPr="009055A7">
        <w:t xml:space="preserve">In May 2014, NHS England invited </w:t>
      </w:r>
      <w:r w:rsidR="008B199F">
        <w:t xml:space="preserve">CCGs </w:t>
      </w:r>
      <w:r w:rsidRPr="009055A7">
        <w:t xml:space="preserve">to come forward with expressions of interest to take on an increased role in the commissioning of primary care services. The intention was to empower and enable </w:t>
      </w:r>
      <w:r w:rsidR="00B83042">
        <w:t>CCGs/ICBs</w:t>
      </w:r>
      <w:r w:rsidR="008B199F">
        <w:t xml:space="preserve"> </w:t>
      </w:r>
      <w:r w:rsidRPr="009055A7">
        <w:t>to improve primary care services local</w:t>
      </w:r>
      <w:r w:rsidRPr="00CE0885">
        <w:t>ly for the benefit of patients and local communities.</w:t>
      </w:r>
      <w:bookmarkEnd w:id="45"/>
    </w:p>
    <w:p w14:paraId="4B62AC00" w14:textId="79C6CAC4" w:rsidR="001C7059" w:rsidRPr="00CE0885" w:rsidRDefault="001C7059" w:rsidP="001C7059">
      <w:pPr>
        <w:pStyle w:val="Heading3"/>
      </w:pPr>
      <w:bookmarkStart w:id="46" w:name="_Toc440981407"/>
      <w:r w:rsidRPr="00CE0885">
        <w:t>The scope of primary care co-commissioning for 2015/16 was primary medical services only.</w:t>
      </w:r>
      <w:bookmarkEnd w:id="46"/>
    </w:p>
    <w:p w14:paraId="236D5CBC" w14:textId="1B7C9665" w:rsidR="001C7059" w:rsidRPr="00CE0885" w:rsidRDefault="00B83042" w:rsidP="001C7059">
      <w:pPr>
        <w:pStyle w:val="Heading3"/>
      </w:pPr>
      <w:bookmarkStart w:id="47" w:name="_Toc440981408"/>
      <w:r>
        <w:t>CCGs/ICBs</w:t>
      </w:r>
      <w:r w:rsidR="008B199F">
        <w:t xml:space="preserve"> </w:t>
      </w:r>
      <w:r w:rsidR="001C7059" w:rsidRPr="00CE0885">
        <w:t>could choose which form of co-commissioning they would like to adopt:</w:t>
      </w:r>
      <w:bookmarkEnd w:id="47"/>
    </w:p>
    <w:p w14:paraId="358B5EE1" w14:textId="77777777" w:rsidR="001C7059" w:rsidRPr="00CE0885" w:rsidRDefault="001C7059" w:rsidP="001C7059">
      <w:pPr>
        <w:spacing w:line="360" w:lineRule="auto"/>
        <w:ind w:left="720"/>
        <w:rPr>
          <w:rFonts w:cs="Arial"/>
        </w:rPr>
      </w:pPr>
    </w:p>
    <w:p w14:paraId="3EC3BBA0" w14:textId="77777777" w:rsidR="001C7059" w:rsidRPr="0088364D" w:rsidRDefault="001C7059" w:rsidP="006C3DF5">
      <w:pPr>
        <w:pStyle w:val="ListParagraph"/>
        <w:numPr>
          <w:ilvl w:val="0"/>
          <w:numId w:val="78"/>
        </w:numPr>
        <w:spacing w:line="360" w:lineRule="auto"/>
        <w:rPr>
          <w:rFonts w:cs="Arial"/>
        </w:rPr>
      </w:pPr>
      <w:bookmarkStart w:id="48" w:name="_Toc440981409"/>
      <w:r w:rsidRPr="0088364D">
        <w:rPr>
          <w:rFonts w:cs="Arial"/>
        </w:rPr>
        <w:t>greater involvement in primary care decision-making;</w:t>
      </w:r>
      <w:bookmarkEnd w:id="48"/>
    </w:p>
    <w:p w14:paraId="7601B373" w14:textId="77777777" w:rsidR="001C7059" w:rsidRPr="0088364D" w:rsidRDefault="001C7059" w:rsidP="006C3DF5">
      <w:pPr>
        <w:pStyle w:val="ListParagraph"/>
        <w:numPr>
          <w:ilvl w:val="0"/>
          <w:numId w:val="78"/>
        </w:numPr>
        <w:spacing w:line="360" w:lineRule="auto"/>
        <w:rPr>
          <w:rFonts w:cs="Arial"/>
        </w:rPr>
      </w:pPr>
      <w:bookmarkStart w:id="49" w:name="_Toc440981410"/>
      <w:r w:rsidRPr="0088364D">
        <w:rPr>
          <w:rFonts w:cs="Arial"/>
        </w:rPr>
        <w:t>joint commissioning arrangements; or</w:t>
      </w:r>
      <w:bookmarkEnd w:id="49"/>
    </w:p>
    <w:p w14:paraId="3A4E4A2C" w14:textId="77777777" w:rsidR="001C7059" w:rsidRPr="0088364D" w:rsidRDefault="001C7059" w:rsidP="006C3DF5">
      <w:pPr>
        <w:pStyle w:val="ListParagraph"/>
        <w:numPr>
          <w:ilvl w:val="0"/>
          <w:numId w:val="78"/>
        </w:numPr>
        <w:spacing w:line="360" w:lineRule="auto"/>
        <w:rPr>
          <w:rFonts w:cs="Arial"/>
        </w:rPr>
      </w:pPr>
      <w:bookmarkStart w:id="50" w:name="_Toc440981411"/>
      <w:r w:rsidRPr="0088364D">
        <w:rPr>
          <w:rFonts w:cs="Arial"/>
        </w:rPr>
        <w:t>delegated commissioning arrangements.</w:t>
      </w:r>
      <w:bookmarkEnd w:id="50"/>
    </w:p>
    <w:p w14:paraId="41CE1FDC" w14:textId="2728339B" w:rsidR="001C7059" w:rsidRDefault="001C7059" w:rsidP="001C7059">
      <w:pPr>
        <w:spacing w:line="360" w:lineRule="auto"/>
        <w:ind w:left="720"/>
        <w:rPr>
          <w:rFonts w:cs="Arial"/>
        </w:rPr>
      </w:pPr>
    </w:p>
    <w:p w14:paraId="4C50942E" w14:textId="4A517E81" w:rsidR="008B62D9" w:rsidRDefault="008B62D9" w:rsidP="001C7059">
      <w:pPr>
        <w:spacing w:line="360" w:lineRule="auto"/>
        <w:ind w:left="720"/>
        <w:rPr>
          <w:rFonts w:cs="Arial"/>
        </w:rPr>
      </w:pPr>
    </w:p>
    <w:p w14:paraId="336EF3E1" w14:textId="35BAF12B" w:rsidR="008B62D9" w:rsidRDefault="008B62D9" w:rsidP="001C7059">
      <w:pPr>
        <w:spacing w:line="360" w:lineRule="auto"/>
        <w:ind w:left="720"/>
        <w:rPr>
          <w:rFonts w:cs="Arial"/>
        </w:rPr>
      </w:pPr>
    </w:p>
    <w:p w14:paraId="5FC2C37B" w14:textId="4DD21CC0" w:rsidR="00D110CD" w:rsidRDefault="00D110CD" w:rsidP="001C7059">
      <w:pPr>
        <w:spacing w:line="360" w:lineRule="auto"/>
        <w:ind w:left="720"/>
        <w:rPr>
          <w:rFonts w:cs="Arial"/>
        </w:rPr>
      </w:pPr>
    </w:p>
    <w:p w14:paraId="10A5CE24" w14:textId="77777777" w:rsidR="00D110CD" w:rsidRDefault="00D110CD" w:rsidP="001C7059">
      <w:pPr>
        <w:spacing w:line="360" w:lineRule="auto"/>
        <w:ind w:left="720"/>
        <w:rPr>
          <w:rFonts w:cs="Arial"/>
        </w:rPr>
      </w:pPr>
    </w:p>
    <w:p w14:paraId="7BE10567" w14:textId="77777777" w:rsidR="008B62D9" w:rsidRDefault="008B62D9" w:rsidP="001C7059">
      <w:pPr>
        <w:spacing w:line="360" w:lineRule="auto"/>
        <w:ind w:left="720"/>
        <w:rPr>
          <w:rFonts w:cs="Arial"/>
        </w:rPr>
      </w:pPr>
    </w:p>
    <w:p w14:paraId="1BA90E3F" w14:textId="77777777" w:rsidR="001C7059" w:rsidRPr="00CE0885" w:rsidRDefault="001C7059" w:rsidP="001C7059">
      <w:pPr>
        <w:pStyle w:val="Heading2"/>
        <w:rPr>
          <w:lang w:eastAsia="en-GB"/>
        </w:rPr>
      </w:pPr>
      <w:bookmarkStart w:id="51" w:name="_Toc95128963"/>
      <w:bookmarkStart w:id="52" w:name="_Toc95129234"/>
      <w:bookmarkStart w:id="53" w:name="_Toc95128964"/>
      <w:bookmarkStart w:id="54" w:name="_Toc95129235"/>
      <w:bookmarkStart w:id="55" w:name="_Toc95128965"/>
      <w:bookmarkStart w:id="56" w:name="_Toc95129236"/>
      <w:bookmarkStart w:id="57" w:name="_Toc440981412"/>
      <w:bookmarkStart w:id="58" w:name="_Toc95743358"/>
      <w:bookmarkEnd w:id="51"/>
      <w:bookmarkEnd w:id="52"/>
      <w:bookmarkEnd w:id="53"/>
      <w:bookmarkEnd w:id="54"/>
      <w:bookmarkEnd w:id="55"/>
      <w:bookmarkEnd w:id="56"/>
      <w:r w:rsidRPr="00CE0885">
        <w:rPr>
          <w:lang w:eastAsia="en-GB"/>
        </w:rPr>
        <w:t>Co-commissioning Models</w:t>
      </w:r>
      <w:bookmarkEnd w:id="57"/>
      <w:r w:rsidRPr="00CE0885">
        <w:rPr>
          <w:lang w:eastAsia="en-GB"/>
        </w:rPr>
        <w:t>:</w:t>
      </w:r>
      <w:bookmarkEnd w:id="58"/>
    </w:p>
    <w:p w14:paraId="3F9439C3" w14:textId="77777777" w:rsidR="001C7059" w:rsidRPr="009055A7" w:rsidRDefault="001C7059" w:rsidP="001C7059">
      <w:pPr>
        <w:spacing w:line="360" w:lineRule="auto"/>
        <w:ind w:left="720"/>
        <w:rPr>
          <w:rFonts w:cs="Arial"/>
        </w:rPr>
      </w:pPr>
    </w:p>
    <w:p w14:paraId="3478D47E" w14:textId="77777777" w:rsidR="001C7059" w:rsidRPr="00CE0885" w:rsidRDefault="001C7059" w:rsidP="001C7059">
      <w:pPr>
        <w:pStyle w:val="Heading2"/>
      </w:pPr>
      <w:bookmarkStart w:id="59" w:name="_Toc440981413"/>
      <w:bookmarkStart w:id="60" w:name="_Toc95743359"/>
      <w:r w:rsidRPr="009055A7">
        <w:t>Greater involvement in primary care co-commissioning</w:t>
      </w:r>
      <w:bookmarkEnd w:id="59"/>
      <w:r w:rsidRPr="00CE0885">
        <w:t>:</w:t>
      </w:r>
      <w:bookmarkEnd w:id="60"/>
    </w:p>
    <w:p w14:paraId="1A7CB9C5" w14:textId="77777777" w:rsidR="001C7059" w:rsidRPr="00CE0885" w:rsidRDefault="001C7059" w:rsidP="001C7059">
      <w:pPr>
        <w:spacing w:line="360" w:lineRule="auto"/>
        <w:rPr>
          <w:rFonts w:cs="Arial"/>
        </w:rPr>
      </w:pPr>
    </w:p>
    <w:p w14:paraId="66634A17" w14:textId="4B5B475A" w:rsidR="001C7059" w:rsidRPr="001011FD" w:rsidRDefault="001C7059" w:rsidP="009A4EC5">
      <w:pPr>
        <w:pStyle w:val="Heading3"/>
        <w:numPr>
          <w:ilvl w:val="0"/>
          <w:numId w:val="0"/>
        </w:numPr>
        <w:rPr>
          <w:rFonts w:cs="Arial"/>
        </w:rPr>
      </w:pPr>
      <w:bookmarkStart w:id="61" w:name="_Toc440981414"/>
      <w:r w:rsidRPr="00CE0885">
        <w:t xml:space="preserve">Greater involvement in primary care co-commissioning </w:t>
      </w:r>
      <w:r w:rsidR="00D35E38">
        <w:t>wa</w:t>
      </w:r>
      <w:r w:rsidRPr="00CE0885">
        <w:t xml:space="preserve">s an invitation to </w:t>
      </w:r>
      <w:r w:rsidR="00B83042">
        <w:t>CCGs/ICBs</w:t>
      </w:r>
      <w:r w:rsidR="008B199F">
        <w:t xml:space="preserve"> </w:t>
      </w:r>
      <w:r w:rsidRPr="00CE0885">
        <w:t>to collaborate more closely with NHS England to ensure that decisions taken about healthcare services are strategically aligned across the local health economy.</w:t>
      </w:r>
      <w:bookmarkStart w:id="62" w:name="_Toc440981415"/>
      <w:bookmarkEnd w:id="61"/>
      <w:r w:rsidR="006E028B">
        <w:t xml:space="preserve"> </w:t>
      </w:r>
      <w:r w:rsidR="00B83042">
        <w:t>CCGs/ICBs</w:t>
      </w:r>
      <w:r w:rsidR="008B199F">
        <w:t xml:space="preserve"> </w:t>
      </w:r>
      <w:r w:rsidRPr="00CE0885">
        <w:t>who wish</w:t>
      </w:r>
      <w:r w:rsidR="00D35E38">
        <w:t>ed</w:t>
      </w:r>
      <w:r w:rsidRPr="00CE0885">
        <w:t xml:space="preserve"> to have greater involvement in primary care decision making could participate in discussions about all areas of primary care including primary medical care, eye health, dental and community pharmacy services, provided that NHS England retains its statutory decision-making responsibilities and there is appropriate involvement of local professional networks.</w:t>
      </w:r>
      <w:bookmarkEnd w:id="62"/>
      <w:r w:rsidRPr="001011FD">
        <w:rPr>
          <w:rFonts w:cs="Arial"/>
        </w:rPr>
        <w:br/>
      </w:r>
    </w:p>
    <w:p w14:paraId="0A1E42A7" w14:textId="77777777" w:rsidR="001C7059" w:rsidRPr="00CE0885" w:rsidRDefault="001C7059" w:rsidP="001C7059">
      <w:pPr>
        <w:pStyle w:val="Heading2"/>
      </w:pPr>
      <w:bookmarkStart w:id="63" w:name="_Toc440981416"/>
      <w:bookmarkStart w:id="64" w:name="_Toc95743360"/>
      <w:r w:rsidRPr="00CE0885">
        <w:t>Joint commissioning arrangements</w:t>
      </w:r>
      <w:bookmarkEnd w:id="63"/>
      <w:r w:rsidRPr="00CE0885">
        <w:t>:</w:t>
      </w:r>
      <w:bookmarkEnd w:id="64"/>
    </w:p>
    <w:p w14:paraId="45EFC288" w14:textId="77777777" w:rsidR="001C7059" w:rsidRPr="00CE0885" w:rsidRDefault="001C7059" w:rsidP="001C7059">
      <w:pPr>
        <w:spacing w:line="360" w:lineRule="auto"/>
        <w:ind w:firstLine="720"/>
        <w:rPr>
          <w:rFonts w:cs="Arial"/>
        </w:rPr>
      </w:pPr>
    </w:p>
    <w:p w14:paraId="1A06A849" w14:textId="62D0C2EF" w:rsidR="001C7059" w:rsidRPr="00CE0885" w:rsidRDefault="001C7059" w:rsidP="001C7059">
      <w:pPr>
        <w:pStyle w:val="Heading3"/>
      </w:pPr>
      <w:bookmarkStart w:id="65" w:name="_Toc440981417"/>
      <w:r>
        <w:t>A joint commissioning model enable</w:t>
      </w:r>
      <w:r w:rsidR="00D35E38">
        <w:t>d</w:t>
      </w:r>
      <w:r>
        <w:t xml:space="preserve"> one or more </w:t>
      </w:r>
      <w:r w:rsidR="00B83042">
        <w:t>CCGs/ICBs</w:t>
      </w:r>
      <w:r w:rsidR="008B199F">
        <w:t xml:space="preserve"> </w:t>
      </w:r>
      <w:r>
        <w:t xml:space="preserve">to assume responsibility for jointly commissioning primary medical services with NHS England, either through a joint committee or “committees in common”. Joint commissioning arrangements </w:t>
      </w:r>
      <w:r w:rsidR="005305B8">
        <w:t>allow</w:t>
      </w:r>
      <w:r w:rsidR="00D35E38">
        <w:t>ed</w:t>
      </w:r>
      <w:r w:rsidR="005305B8">
        <w:t xml:space="preserve"> </w:t>
      </w:r>
      <w:r w:rsidR="00B83042">
        <w:t>CCGs/ICBs</w:t>
      </w:r>
      <w:r w:rsidR="008B199F">
        <w:t xml:space="preserve"> </w:t>
      </w:r>
      <w:r>
        <w:t xml:space="preserve">and NHS England  to more effectively plan and improve the provision of </w:t>
      </w:r>
      <w:r w:rsidR="00BC5F9C">
        <w:t>out of</w:t>
      </w:r>
      <w:r>
        <w:t xml:space="preserve"> hospital services for the benefit of patients and local populations.</w:t>
      </w:r>
      <w:bookmarkEnd w:id="65"/>
    </w:p>
    <w:p w14:paraId="0C72B9EF" w14:textId="77777777" w:rsidR="001C7059" w:rsidRPr="00CE0885" w:rsidRDefault="001C7059" w:rsidP="003331F2">
      <w:pPr>
        <w:pStyle w:val="BodyText"/>
      </w:pPr>
    </w:p>
    <w:p w14:paraId="2853CF41" w14:textId="67521464" w:rsidR="001C7059" w:rsidRPr="00CE0885" w:rsidRDefault="001C7059" w:rsidP="001C7059">
      <w:pPr>
        <w:pStyle w:val="Heading3"/>
      </w:pPr>
      <w:bookmarkStart w:id="66" w:name="_Toc440981418"/>
      <w:r w:rsidRPr="00CE0885">
        <w:t xml:space="preserve">The functions that joint committees </w:t>
      </w:r>
      <w:r w:rsidR="00D35E38">
        <w:t xml:space="preserve">could </w:t>
      </w:r>
      <w:r w:rsidRPr="00CE0885">
        <w:t>cover include</w:t>
      </w:r>
      <w:r w:rsidR="00D35E38">
        <w:t>d</w:t>
      </w:r>
      <w:r w:rsidRPr="00CE0885">
        <w:t>:</w:t>
      </w:r>
      <w:bookmarkEnd w:id="66"/>
    </w:p>
    <w:p w14:paraId="3242CAC1" w14:textId="77777777" w:rsidR="001C7059" w:rsidRPr="00CE0885" w:rsidRDefault="001C7059" w:rsidP="001C7059">
      <w:pPr>
        <w:spacing w:line="360" w:lineRule="auto"/>
        <w:ind w:left="720"/>
        <w:rPr>
          <w:rFonts w:cs="Arial"/>
        </w:rPr>
      </w:pPr>
    </w:p>
    <w:p w14:paraId="4769154C" w14:textId="15C4BB37" w:rsidR="001C7059" w:rsidRPr="0088364D" w:rsidRDefault="001C7059" w:rsidP="006C3DF5">
      <w:pPr>
        <w:pStyle w:val="ListParagraph"/>
        <w:numPr>
          <w:ilvl w:val="0"/>
          <w:numId w:val="79"/>
        </w:numPr>
        <w:spacing w:line="360" w:lineRule="auto"/>
        <w:rPr>
          <w:rFonts w:cs="Arial"/>
        </w:rPr>
      </w:pPr>
      <w:bookmarkStart w:id="67" w:name="_Toc440981419"/>
      <w:r w:rsidRPr="0088364D">
        <w:rPr>
          <w:rFonts w:cs="Arial"/>
        </w:rPr>
        <w:t xml:space="preserve">GMS, PMS, </w:t>
      </w:r>
      <w:r w:rsidR="00050291" w:rsidRPr="0088364D">
        <w:rPr>
          <w:rFonts w:cs="Arial"/>
        </w:rPr>
        <w:t>APMS contracts</w:t>
      </w:r>
      <w:r w:rsidRPr="0088364D">
        <w:rPr>
          <w:rFonts w:cs="Arial"/>
        </w:rPr>
        <w:t xml:space="preserve">, (including the design of PMS and APMS contracts, monitoring of contracts, taking </w:t>
      </w:r>
      <w:r w:rsidR="0069723E" w:rsidRPr="0088364D">
        <w:rPr>
          <w:rFonts w:cs="Arial"/>
        </w:rPr>
        <w:t>contractual action,</w:t>
      </w:r>
      <w:r w:rsidRPr="0088364D">
        <w:rPr>
          <w:rFonts w:cs="Arial"/>
        </w:rPr>
        <w:t xml:space="preserve"> such as issuing </w:t>
      </w:r>
      <w:r w:rsidR="003C2372" w:rsidRPr="0088364D">
        <w:rPr>
          <w:rFonts w:cs="Arial"/>
        </w:rPr>
        <w:t>br</w:t>
      </w:r>
      <w:r w:rsidR="003C2372">
        <w:rPr>
          <w:rFonts w:cs="Arial"/>
        </w:rPr>
        <w:t>ea</w:t>
      </w:r>
      <w:r w:rsidR="003C2372" w:rsidRPr="0088364D">
        <w:rPr>
          <w:rFonts w:cs="Arial"/>
        </w:rPr>
        <w:t>ch</w:t>
      </w:r>
      <w:r w:rsidRPr="0088364D">
        <w:rPr>
          <w:rFonts w:cs="Arial"/>
        </w:rPr>
        <w:t>/remedial notices, and terminating a contract;</w:t>
      </w:r>
      <w:bookmarkEnd w:id="67"/>
    </w:p>
    <w:p w14:paraId="2562CD84" w14:textId="77777777" w:rsidR="001C7059" w:rsidRPr="0088364D" w:rsidRDefault="001C7059" w:rsidP="006C3DF5">
      <w:pPr>
        <w:pStyle w:val="ListParagraph"/>
        <w:numPr>
          <w:ilvl w:val="0"/>
          <w:numId w:val="79"/>
        </w:numPr>
        <w:spacing w:line="360" w:lineRule="auto"/>
        <w:rPr>
          <w:rFonts w:cs="Arial"/>
        </w:rPr>
      </w:pPr>
      <w:bookmarkStart w:id="68" w:name="_Toc440981420"/>
      <w:r w:rsidRPr="0088364D">
        <w:rPr>
          <w:rFonts w:cs="Arial"/>
        </w:rPr>
        <w:t>newly designed enhanced services (“Local Enhanced Services (LES)” and “Directed Enhanced Services (DES)”);</w:t>
      </w:r>
      <w:bookmarkEnd w:id="68"/>
    </w:p>
    <w:p w14:paraId="5A7310AD" w14:textId="374EEED8" w:rsidR="001C7059" w:rsidRPr="0088364D" w:rsidRDefault="001C7059" w:rsidP="006C3DF5">
      <w:pPr>
        <w:pStyle w:val="ListParagraph"/>
        <w:numPr>
          <w:ilvl w:val="0"/>
          <w:numId w:val="79"/>
        </w:numPr>
        <w:spacing w:line="360" w:lineRule="auto"/>
        <w:rPr>
          <w:rFonts w:cs="Arial"/>
        </w:rPr>
      </w:pPr>
      <w:bookmarkStart w:id="69" w:name="_Toc440981421"/>
      <w:r w:rsidRPr="0088364D">
        <w:rPr>
          <w:rFonts w:cs="Arial"/>
        </w:rPr>
        <w:t xml:space="preserve">design of local incentive </w:t>
      </w:r>
      <w:bookmarkEnd w:id="69"/>
      <w:r w:rsidR="0069723E" w:rsidRPr="0088364D">
        <w:rPr>
          <w:rFonts w:cs="Arial"/>
        </w:rPr>
        <w:t>schemes;</w:t>
      </w:r>
    </w:p>
    <w:p w14:paraId="0B53A0E1" w14:textId="77777777" w:rsidR="001C7059" w:rsidRPr="0088364D" w:rsidRDefault="001C7059" w:rsidP="006C3DF5">
      <w:pPr>
        <w:pStyle w:val="ListParagraph"/>
        <w:numPr>
          <w:ilvl w:val="0"/>
          <w:numId w:val="79"/>
        </w:numPr>
        <w:spacing w:line="360" w:lineRule="auto"/>
        <w:rPr>
          <w:rFonts w:cs="Arial"/>
        </w:rPr>
      </w:pPr>
      <w:bookmarkStart w:id="70" w:name="_Toc440981422"/>
      <w:r w:rsidRPr="0088364D">
        <w:rPr>
          <w:rFonts w:cs="Arial"/>
        </w:rPr>
        <w:t>the ability to establish new GP practices in an area;</w:t>
      </w:r>
      <w:bookmarkEnd w:id="70"/>
    </w:p>
    <w:p w14:paraId="224F9E06" w14:textId="77777777" w:rsidR="001C7059" w:rsidRPr="0088364D" w:rsidRDefault="001C7059" w:rsidP="006C3DF5">
      <w:pPr>
        <w:pStyle w:val="ListParagraph"/>
        <w:numPr>
          <w:ilvl w:val="0"/>
          <w:numId w:val="79"/>
        </w:numPr>
        <w:spacing w:line="360" w:lineRule="auto"/>
        <w:rPr>
          <w:rFonts w:cs="Arial"/>
        </w:rPr>
      </w:pPr>
      <w:bookmarkStart w:id="71" w:name="_Toc440981423"/>
      <w:r w:rsidRPr="0088364D">
        <w:rPr>
          <w:rFonts w:cs="Arial"/>
        </w:rPr>
        <w:t>approving practice mergers; and</w:t>
      </w:r>
      <w:bookmarkEnd w:id="71"/>
    </w:p>
    <w:p w14:paraId="636E0E31" w14:textId="77777777" w:rsidR="001C7059" w:rsidRPr="0088364D" w:rsidRDefault="001C7059" w:rsidP="006C3DF5">
      <w:pPr>
        <w:pStyle w:val="ListParagraph"/>
        <w:numPr>
          <w:ilvl w:val="0"/>
          <w:numId w:val="79"/>
        </w:numPr>
        <w:spacing w:line="360" w:lineRule="auto"/>
        <w:rPr>
          <w:rFonts w:cs="Arial"/>
        </w:rPr>
      </w:pPr>
      <w:bookmarkStart w:id="72" w:name="_Toc440981424"/>
      <w:r w:rsidRPr="0088364D">
        <w:rPr>
          <w:rFonts w:cs="Arial"/>
        </w:rPr>
        <w:t xml:space="preserve">making decisions on ‘discretionary’ payments (e.g., returner/retainer schemes); and </w:t>
      </w:r>
    </w:p>
    <w:p w14:paraId="1023489E" w14:textId="77777777" w:rsidR="001C7059" w:rsidRPr="0088364D" w:rsidRDefault="001C7059" w:rsidP="006C3DF5">
      <w:pPr>
        <w:pStyle w:val="ListParagraph"/>
        <w:numPr>
          <w:ilvl w:val="0"/>
          <w:numId w:val="79"/>
        </w:numPr>
        <w:spacing w:line="360" w:lineRule="auto"/>
        <w:rPr>
          <w:rFonts w:cs="Arial"/>
        </w:rPr>
      </w:pPr>
      <w:r w:rsidRPr="0088364D">
        <w:rPr>
          <w:rFonts w:cs="Arial"/>
        </w:rPr>
        <w:t>where appropriate considerations in relation to primary care and the development of MCP/PACS arrangements.</w:t>
      </w:r>
      <w:bookmarkEnd w:id="72"/>
    </w:p>
    <w:p w14:paraId="34A58E92" w14:textId="77777777" w:rsidR="001C7059" w:rsidRPr="00CE0885" w:rsidRDefault="001C7059" w:rsidP="001C7059">
      <w:pPr>
        <w:pStyle w:val="ListParagraph"/>
        <w:spacing w:line="360" w:lineRule="auto"/>
        <w:ind w:left="1800"/>
        <w:rPr>
          <w:rFonts w:cs="Arial"/>
        </w:rPr>
      </w:pPr>
    </w:p>
    <w:p w14:paraId="1DE1D471" w14:textId="0F8DC30A" w:rsidR="001C7059" w:rsidRPr="00CE0885" w:rsidRDefault="001C7059" w:rsidP="001C7059">
      <w:pPr>
        <w:pStyle w:val="Heading3"/>
      </w:pPr>
      <w:bookmarkStart w:id="73" w:name="_Toc440981425"/>
      <w:r w:rsidRPr="00CE0885">
        <w:t>Joint commissioning arrangements exclude individual GP performance management (medical performers’ list for GPs, appraisal and revalidation). NHS England is also responsible for the administration of payments and list management.</w:t>
      </w:r>
      <w:bookmarkEnd w:id="73"/>
    </w:p>
    <w:p w14:paraId="1380DC96" w14:textId="76259468" w:rsidR="00272DF9" w:rsidRPr="00272DF9" w:rsidRDefault="00B83042" w:rsidP="00272DF9">
      <w:pPr>
        <w:pStyle w:val="Heading3"/>
      </w:pPr>
      <w:bookmarkStart w:id="74" w:name="_Toc440981426"/>
      <w:r>
        <w:t>CCGs/ICBs</w:t>
      </w:r>
      <w:r w:rsidR="008B199F">
        <w:t xml:space="preserve"> </w:t>
      </w:r>
      <w:r w:rsidR="001C7059" w:rsidRPr="00CE0885">
        <w:t>ha</w:t>
      </w:r>
      <w:r w:rsidR="00D35E38">
        <w:t>d</w:t>
      </w:r>
      <w:r w:rsidR="001C7059" w:rsidRPr="00CE0885">
        <w:t xml:space="preserve"> the opportunity to discuss dental, </w:t>
      </w:r>
      <w:r w:rsidR="00A119FB">
        <w:t xml:space="preserve">community </w:t>
      </w:r>
      <w:r w:rsidR="00050291">
        <w:t xml:space="preserve">optometry </w:t>
      </w:r>
      <w:r w:rsidR="00050291" w:rsidRPr="00CE0885">
        <w:t>and</w:t>
      </w:r>
      <w:r w:rsidR="001C7059" w:rsidRPr="00CE0885">
        <w:t xml:space="preserve"> community pharmacy commissioning with NHS England and local professional networks but have no decision making </w:t>
      </w:r>
      <w:r w:rsidR="00272DF9">
        <w:t>powers over g</w:t>
      </w:r>
      <w:r w:rsidR="00272DF9" w:rsidRPr="00272DF9">
        <w:t xml:space="preserve">eneral </w:t>
      </w:r>
      <w:r w:rsidR="00272DF9">
        <w:t>o</w:t>
      </w:r>
      <w:r w:rsidR="00272DF9" w:rsidRPr="00272DF9">
        <w:t>ptometry or community pharmacy services commissioned under the regulations</w:t>
      </w:r>
      <w:r w:rsidR="00272DF9">
        <w:t xml:space="preserve">. </w:t>
      </w:r>
      <w:bookmarkEnd w:id="74"/>
      <w:r w:rsidR="00272DF9">
        <w:t xml:space="preserve">  However, </w:t>
      </w:r>
      <w:r>
        <w:t>CCGs/ICBs</w:t>
      </w:r>
      <w:r w:rsidR="008B199F">
        <w:t xml:space="preserve"> </w:t>
      </w:r>
      <w:r w:rsidR="00272DF9">
        <w:t xml:space="preserve">do </w:t>
      </w:r>
      <w:r w:rsidR="00AD5243">
        <w:t xml:space="preserve">currently </w:t>
      </w:r>
      <w:r w:rsidR="00272DF9">
        <w:t xml:space="preserve">have the opportunity to commission local enhanced services </w:t>
      </w:r>
      <w:r w:rsidR="00272DF9" w:rsidRPr="00272DF9">
        <w:t>from community pharmacy and optometry</w:t>
      </w:r>
      <w:r w:rsidR="00272DF9">
        <w:t xml:space="preserve"> providers.</w:t>
      </w:r>
    </w:p>
    <w:p w14:paraId="394B1D9E" w14:textId="77777777" w:rsidR="001C7059" w:rsidRPr="00CE0885" w:rsidRDefault="001C7059" w:rsidP="001C7059">
      <w:pPr>
        <w:spacing w:line="360" w:lineRule="auto"/>
        <w:ind w:left="1440"/>
        <w:rPr>
          <w:rFonts w:cs="Arial"/>
        </w:rPr>
      </w:pPr>
    </w:p>
    <w:p w14:paraId="11BC0959" w14:textId="06AE25E2" w:rsidR="001C7059" w:rsidRPr="00CE0885" w:rsidRDefault="001C7059" w:rsidP="001C7059">
      <w:pPr>
        <w:pStyle w:val="Heading2"/>
      </w:pPr>
      <w:bookmarkStart w:id="75" w:name="_Toc440981427"/>
      <w:bookmarkStart w:id="76" w:name="_Toc95743361"/>
      <w:r w:rsidRPr="00CE0885">
        <w:t>Delegated commissioning arrangements</w:t>
      </w:r>
      <w:bookmarkEnd w:id="75"/>
      <w:r w:rsidRPr="00CE0885">
        <w:t>:</w:t>
      </w:r>
      <w:bookmarkEnd w:id="76"/>
    </w:p>
    <w:p w14:paraId="75BF51BA" w14:textId="77777777" w:rsidR="001C7059" w:rsidRPr="00CE0885" w:rsidRDefault="001C7059" w:rsidP="001C7059">
      <w:pPr>
        <w:spacing w:line="360" w:lineRule="auto"/>
        <w:rPr>
          <w:rFonts w:cs="Arial"/>
        </w:rPr>
      </w:pPr>
    </w:p>
    <w:p w14:paraId="47AF47D4" w14:textId="2899E7D3" w:rsidR="001C7059" w:rsidRPr="00CE0885" w:rsidRDefault="001C7059" w:rsidP="0088364D">
      <w:pPr>
        <w:pStyle w:val="Heading3"/>
      </w:pPr>
      <w:bookmarkStart w:id="77" w:name="_Toc440981428"/>
      <w:r w:rsidRPr="00CE0885">
        <w:t xml:space="preserve">Delegated commissioning is an opportunity for </w:t>
      </w:r>
      <w:r w:rsidR="00B83042">
        <w:t>CCGs/ICBs</w:t>
      </w:r>
      <w:r w:rsidR="008B199F">
        <w:t xml:space="preserve"> </w:t>
      </w:r>
      <w:r w:rsidRPr="00CE0885">
        <w:t xml:space="preserve">to assume full responsibility for commissioning general practice services. Legally, NHS England retains the residual liability for the performance of primary medical care commissioning. Therefore, NHS England will require robust assurance that its statutory functions are being discharged effectively. continue to remain responsible for discharging their statutory duties, for instance, in relation to </w:t>
      </w:r>
      <w:r w:rsidR="007E3B14">
        <w:t xml:space="preserve">the </w:t>
      </w:r>
      <w:r w:rsidRPr="00CE0885">
        <w:t>quality, financial resources and public participation.</w:t>
      </w:r>
      <w:bookmarkEnd w:id="77"/>
    </w:p>
    <w:p w14:paraId="2A636237" w14:textId="77777777" w:rsidR="001C7059" w:rsidRPr="00CE0885" w:rsidRDefault="001C7059" w:rsidP="001C7059">
      <w:pPr>
        <w:spacing w:line="360" w:lineRule="auto"/>
        <w:ind w:left="720"/>
        <w:rPr>
          <w:rFonts w:cs="Arial"/>
        </w:rPr>
      </w:pPr>
    </w:p>
    <w:p w14:paraId="72986424" w14:textId="77777777" w:rsidR="004F1D9A" w:rsidRPr="00CE0885" w:rsidRDefault="004F1D9A" w:rsidP="004F1D9A">
      <w:pPr>
        <w:pStyle w:val="Heading3"/>
      </w:pPr>
      <w:r w:rsidRPr="00CE0885">
        <w:t xml:space="preserve">The following primary care functions are included in </w:t>
      </w:r>
      <w:r>
        <w:t xml:space="preserve">the CCG </w:t>
      </w:r>
      <w:r w:rsidRPr="00CE0885">
        <w:t>delegated arrangements:</w:t>
      </w:r>
    </w:p>
    <w:p w14:paraId="5B46B8FB" w14:textId="77777777" w:rsidR="004F1D9A" w:rsidRPr="00CE0885" w:rsidRDefault="004F1D9A" w:rsidP="004F1D9A">
      <w:pPr>
        <w:spacing w:line="360" w:lineRule="auto"/>
        <w:ind w:left="720"/>
        <w:rPr>
          <w:rFonts w:cs="Arial"/>
        </w:rPr>
      </w:pPr>
    </w:p>
    <w:p w14:paraId="4333516C" w14:textId="77777777" w:rsidR="004F1D9A" w:rsidRPr="0088364D" w:rsidRDefault="004F1D9A" w:rsidP="006C3DF5">
      <w:pPr>
        <w:pStyle w:val="ListParagraph"/>
        <w:numPr>
          <w:ilvl w:val="0"/>
          <w:numId w:val="80"/>
        </w:numPr>
        <w:spacing w:before="120" w:after="120" w:line="360" w:lineRule="auto"/>
        <w:ind w:left="714" w:hanging="357"/>
        <w:rPr>
          <w:rFonts w:cs="Arial"/>
        </w:rPr>
      </w:pPr>
      <w:r w:rsidRPr="0088364D">
        <w:rPr>
          <w:rFonts w:cs="Arial"/>
        </w:rPr>
        <w:t>GMS, PMS, APMS (including the design of PMS and APMS contracts, monitoring of contracts, taking contractual action, such as issuing br</w:t>
      </w:r>
      <w:r>
        <w:rPr>
          <w:rFonts w:cs="Arial"/>
        </w:rPr>
        <w:t>ea</w:t>
      </w:r>
      <w:r w:rsidRPr="0088364D">
        <w:rPr>
          <w:rFonts w:cs="Arial"/>
        </w:rPr>
        <w:t>ch/remedial notices, and removing a contract);</w:t>
      </w:r>
    </w:p>
    <w:p w14:paraId="22C766B7" w14:textId="77777777" w:rsidR="004F1D9A" w:rsidRPr="0088364D" w:rsidRDefault="004F1D9A" w:rsidP="006C3DF5">
      <w:pPr>
        <w:pStyle w:val="ListParagraph"/>
        <w:numPr>
          <w:ilvl w:val="0"/>
          <w:numId w:val="80"/>
        </w:numPr>
        <w:spacing w:before="120" w:after="120" w:line="360" w:lineRule="auto"/>
        <w:ind w:left="714" w:hanging="357"/>
        <w:rPr>
          <w:rFonts w:cs="Arial"/>
        </w:rPr>
      </w:pPr>
      <w:r w:rsidRPr="0088364D">
        <w:rPr>
          <w:rFonts w:cs="Arial"/>
        </w:rPr>
        <w:t>newly designed enhanced services (“Local Enhanced Services (LES)” and “Directed Enhanced Services (DES)”);</w:t>
      </w:r>
    </w:p>
    <w:p w14:paraId="56BC4316" w14:textId="77777777" w:rsidR="004F1D9A" w:rsidRPr="0088364D" w:rsidRDefault="004F1D9A" w:rsidP="006C3DF5">
      <w:pPr>
        <w:pStyle w:val="ListParagraph"/>
        <w:numPr>
          <w:ilvl w:val="0"/>
          <w:numId w:val="80"/>
        </w:numPr>
        <w:spacing w:before="120" w:after="120" w:line="360" w:lineRule="auto"/>
        <w:ind w:left="714" w:hanging="357"/>
        <w:rPr>
          <w:rFonts w:cs="Arial"/>
        </w:rPr>
      </w:pPr>
      <w:r w:rsidRPr="0088364D">
        <w:rPr>
          <w:rFonts w:cs="Arial"/>
        </w:rPr>
        <w:t>design of local incentive schemes as an alternative to the Quality and Outcomes Framework (QOF);</w:t>
      </w:r>
    </w:p>
    <w:p w14:paraId="0F667D36" w14:textId="77777777" w:rsidR="004F1D9A" w:rsidRPr="0088364D" w:rsidRDefault="004F1D9A" w:rsidP="006C3DF5">
      <w:pPr>
        <w:pStyle w:val="ListParagraph"/>
        <w:numPr>
          <w:ilvl w:val="0"/>
          <w:numId w:val="80"/>
        </w:numPr>
        <w:spacing w:before="120" w:after="120" w:line="360" w:lineRule="auto"/>
        <w:ind w:left="714" w:hanging="357"/>
        <w:rPr>
          <w:rFonts w:cs="Arial"/>
        </w:rPr>
      </w:pPr>
      <w:r w:rsidRPr="0088364D">
        <w:rPr>
          <w:rFonts w:cs="Arial"/>
        </w:rPr>
        <w:t>the ability to establish new GP practices in an area;</w:t>
      </w:r>
    </w:p>
    <w:p w14:paraId="69DE2867" w14:textId="77777777" w:rsidR="004F1D9A" w:rsidRPr="0088364D" w:rsidRDefault="004F1D9A" w:rsidP="006C3DF5">
      <w:pPr>
        <w:pStyle w:val="ListParagraph"/>
        <w:numPr>
          <w:ilvl w:val="0"/>
          <w:numId w:val="80"/>
        </w:numPr>
        <w:spacing w:before="120" w:after="120" w:line="360" w:lineRule="auto"/>
        <w:ind w:left="714" w:hanging="357"/>
        <w:rPr>
          <w:rFonts w:cs="Arial"/>
        </w:rPr>
      </w:pPr>
      <w:r w:rsidRPr="0088364D">
        <w:rPr>
          <w:rFonts w:cs="Arial"/>
        </w:rPr>
        <w:t>approving practice mergers; and</w:t>
      </w:r>
    </w:p>
    <w:p w14:paraId="0AC0E292" w14:textId="77777777" w:rsidR="004F1D9A" w:rsidRPr="0088364D" w:rsidRDefault="004F1D9A" w:rsidP="006C3DF5">
      <w:pPr>
        <w:pStyle w:val="ListParagraph"/>
        <w:numPr>
          <w:ilvl w:val="0"/>
          <w:numId w:val="80"/>
        </w:numPr>
        <w:spacing w:before="120" w:after="120" w:line="360" w:lineRule="auto"/>
        <w:ind w:left="714" w:hanging="357"/>
        <w:rPr>
          <w:rFonts w:cs="Arial"/>
        </w:rPr>
      </w:pPr>
      <w:r w:rsidRPr="0088364D">
        <w:rPr>
          <w:rFonts w:cs="Arial"/>
        </w:rPr>
        <w:t>making decisions on ‘discretionary’ payments (e.g., returner/retainer schemes).</w:t>
      </w:r>
    </w:p>
    <w:p w14:paraId="5198941E" w14:textId="43F8FDE6" w:rsidR="001C7059" w:rsidRPr="00CE0885" w:rsidRDefault="001C7059" w:rsidP="00505514">
      <w:pPr>
        <w:pStyle w:val="Heading3"/>
      </w:pPr>
      <w:r w:rsidRPr="00CE0885">
        <w:t xml:space="preserve">Where a </w:t>
      </w:r>
      <w:r w:rsidR="00B83042">
        <w:t>CCG/ICB</w:t>
      </w:r>
      <w:r w:rsidRPr="00CE0885">
        <w:t xml:space="preserve"> is considering developing an </w:t>
      </w:r>
      <w:r w:rsidR="00505514">
        <w:t xml:space="preserve">a potentially novel, contentious or repercussive </w:t>
      </w:r>
      <w:r w:rsidRPr="00CE0885">
        <w:t xml:space="preserve">arrangement, it should discuss this with NHS England to consider the implications in relation to delegated co-commissioning and the involvement of NHS England. </w:t>
      </w:r>
    </w:p>
    <w:p w14:paraId="65772008" w14:textId="77777777" w:rsidR="001C7059" w:rsidRPr="00CE0885" w:rsidRDefault="001C7059" w:rsidP="0088364D">
      <w:pPr>
        <w:pStyle w:val="Heading3"/>
      </w:pPr>
      <w:bookmarkStart w:id="78" w:name="_Toc440981436"/>
      <w:r w:rsidRPr="00CE0885">
        <w:t>Delegated commissioning arrangements exclude individual GP performance management (medical performers’ list for GPs, appraisal and revalidation). NHS England is also responsible for the administration of payments and list management.</w:t>
      </w:r>
      <w:bookmarkEnd w:id="78"/>
    </w:p>
    <w:p w14:paraId="2614CAA5" w14:textId="77777777" w:rsidR="001C7059" w:rsidRPr="00CE0885" w:rsidRDefault="001C7059" w:rsidP="001C7059">
      <w:pPr>
        <w:spacing w:line="360" w:lineRule="auto"/>
        <w:ind w:left="1440"/>
        <w:rPr>
          <w:rFonts w:cs="Arial"/>
        </w:rPr>
      </w:pPr>
    </w:p>
    <w:p w14:paraId="6881F28C" w14:textId="44372024" w:rsidR="0098029F" w:rsidRPr="0098029F" w:rsidRDefault="00272DF9" w:rsidP="0098029F">
      <w:pPr>
        <w:pStyle w:val="Heading3"/>
      </w:pPr>
      <w:r>
        <w:t xml:space="preserve">Paragraph 3.6.4 also applies to delegated </w:t>
      </w:r>
      <w:r w:rsidR="00505514">
        <w:t xml:space="preserve">CCG </w:t>
      </w:r>
      <w:r>
        <w:t>commissioning arrangements</w:t>
      </w:r>
      <w:r w:rsidR="00505514" w:rsidRPr="00505514">
        <w:t>.</w:t>
      </w:r>
    </w:p>
    <w:p w14:paraId="7CD93C36" w14:textId="11D8E43D" w:rsidR="001C7059" w:rsidRDefault="001C7059" w:rsidP="001C7059">
      <w:pPr>
        <w:spacing w:line="360" w:lineRule="auto"/>
        <w:rPr>
          <w:rFonts w:cs="Arial"/>
        </w:rPr>
      </w:pPr>
    </w:p>
    <w:p w14:paraId="172974AA" w14:textId="77777777" w:rsidR="00690ED2" w:rsidRDefault="00690ED2" w:rsidP="00690ED2">
      <w:pPr>
        <w:pStyle w:val="Heading2"/>
      </w:pPr>
      <w:r>
        <w:t xml:space="preserve"> </w:t>
      </w:r>
      <w:bookmarkStart w:id="79" w:name="_Toc95743362"/>
      <w:r>
        <w:t>ICS Delegated Commissioning Arrangements</w:t>
      </w:r>
      <w:bookmarkEnd w:id="79"/>
    </w:p>
    <w:p w14:paraId="3D2EE475" w14:textId="77777777" w:rsidR="00690ED2" w:rsidRDefault="00690ED2" w:rsidP="00AC77D2">
      <w:pPr>
        <w:pStyle w:val="Heading3"/>
        <w:numPr>
          <w:ilvl w:val="0"/>
          <w:numId w:val="0"/>
        </w:numPr>
        <w:ind w:left="720"/>
      </w:pPr>
    </w:p>
    <w:p w14:paraId="6AAC6B8D" w14:textId="77777777" w:rsidR="00690ED2" w:rsidRPr="00485C5D" w:rsidRDefault="00690ED2" w:rsidP="0098029F">
      <w:pPr>
        <w:pStyle w:val="Heading3"/>
      </w:pPr>
      <w:r w:rsidRPr="00690ED2">
        <w:t xml:space="preserve">The </w:t>
      </w:r>
      <w:r w:rsidR="0098029F" w:rsidRPr="00690ED2">
        <w:t>expectation is that from April 2022 IC</w:t>
      </w:r>
      <w:r w:rsidR="00E07092" w:rsidRPr="00690ED2">
        <w:t xml:space="preserve">Bs will </w:t>
      </w:r>
      <w:r w:rsidR="0098029F" w:rsidRPr="00690ED2">
        <w:t>assume delegated responsibility for primary medical services currently</w:t>
      </w:r>
      <w:r w:rsidRPr="00690ED2">
        <w:t xml:space="preserve"> </w:t>
      </w:r>
      <w:r w:rsidR="0098029F" w:rsidRPr="00690ED2">
        <w:t xml:space="preserve">delegated to all </w:t>
      </w:r>
      <w:r w:rsidRPr="00690ED2">
        <w:t>CCGs (</w:t>
      </w:r>
      <w:r w:rsidR="0098029F" w:rsidRPr="00690ED2">
        <w:t xml:space="preserve">and continuing to exclude </w:t>
      </w:r>
      <w:r w:rsidR="0098029F" w:rsidRPr="00690ED2">
        <w:rPr>
          <w:rFonts w:cs="Arial"/>
        </w:rPr>
        <w:t>Section 7A Public Health functions)</w:t>
      </w:r>
      <w:r w:rsidRPr="00690ED2">
        <w:rPr>
          <w:rFonts w:cs="Arial"/>
        </w:rPr>
        <w:t xml:space="preserve"> and by April 2023 will take</w:t>
      </w:r>
      <w:r w:rsidRPr="00485C5D">
        <w:rPr>
          <w:rFonts w:cs="Arial"/>
        </w:rPr>
        <w:t xml:space="preserve"> on delegated responsibility for dental (primary, secondary and community), general ophthalmic services and pharmaceutical services.</w:t>
      </w:r>
    </w:p>
    <w:p w14:paraId="65FC6778" w14:textId="77777777" w:rsidR="00690ED2" w:rsidRPr="00485C5D" w:rsidRDefault="00690ED2" w:rsidP="00AC77D2">
      <w:pPr>
        <w:pStyle w:val="Heading3"/>
        <w:numPr>
          <w:ilvl w:val="0"/>
          <w:numId w:val="0"/>
        </w:numPr>
        <w:ind w:left="720"/>
      </w:pPr>
    </w:p>
    <w:p w14:paraId="19AF3AF8" w14:textId="73A6EDC4" w:rsidR="0098029F" w:rsidRPr="00690ED2" w:rsidRDefault="0098029F" w:rsidP="00AC77D2">
      <w:pPr>
        <w:pStyle w:val="Heading3"/>
      </w:pPr>
      <w:r w:rsidRPr="00F718DB">
        <w:rPr>
          <w:rFonts w:cs="Arial"/>
        </w:rPr>
        <w:t xml:space="preserve">Functions retained </w:t>
      </w:r>
      <w:r w:rsidR="00690ED2" w:rsidRPr="00192ACF">
        <w:rPr>
          <w:rFonts w:cs="Arial"/>
        </w:rPr>
        <w:t>na</w:t>
      </w:r>
      <w:r w:rsidRPr="00280213">
        <w:rPr>
          <w:rFonts w:cs="Arial"/>
        </w:rPr>
        <w:t xml:space="preserve">tionally will include: </w:t>
      </w:r>
    </w:p>
    <w:p w14:paraId="32E30852" w14:textId="77777777" w:rsidR="00690ED2" w:rsidRDefault="0098029F" w:rsidP="006C3DF5">
      <w:pPr>
        <w:pStyle w:val="ListParagraph"/>
        <w:numPr>
          <w:ilvl w:val="0"/>
          <w:numId w:val="235"/>
        </w:numPr>
        <w:spacing w:line="360" w:lineRule="auto"/>
        <w:rPr>
          <w:rFonts w:cs="Arial"/>
        </w:rPr>
      </w:pPr>
      <w:r w:rsidRPr="00690ED2">
        <w:rPr>
          <w:rFonts w:cs="Arial"/>
        </w:rPr>
        <w:t>identifying national priorities, setting outcomes, and developing national contracts or contractual frameworks</w:t>
      </w:r>
    </w:p>
    <w:p w14:paraId="0AFDA764" w14:textId="0500E03F" w:rsidR="00690ED2" w:rsidRDefault="0098029F" w:rsidP="006C3DF5">
      <w:pPr>
        <w:pStyle w:val="ListParagraph"/>
        <w:numPr>
          <w:ilvl w:val="0"/>
          <w:numId w:val="235"/>
        </w:numPr>
        <w:spacing w:line="360" w:lineRule="auto"/>
        <w:rPr>
          <w:rFonts w:cs="Arial"/>
        </w:rPr>
      </w:pPr>
      <w:r w:rsidRPr="00690ED2">
        <w:rPr>
          <w:rFonts w:cs="Arial"/>
        </w:rPr>
        <w:t>maintaining national policies and guidance that will support ICBs to be effective</w:t>
      </w:r>
      <w:r w:rsidR="00690ED2">
        <w:rPr>
          <w:rFonts w:cs="Arial"/>
        </w:rPr>
        <w:t xml:space="preserve"> </w:t>
      </w:r>
      <w:r w:rsidRPr="00690ED2">
        <w:rPr>
          <w:rFonts w:cs="Arial"/>
        </w:rPr>
        <w:t>in their delegated functions</w:t>
      </w:r>
      <w:r w:rsidR="00485C5D">
        <w:rPr>
          <w:rFonts w:cs="Arial"/>
        </w:rPr>
        <w:t xml:space="preserve"> </w:t>
      </w:r>
    </w:p>
    <w:p w14:paraId="1B5E342A" w14:textId="1FDA0BA6" w:rsidR="0098029F" w:rsidRPr="00690ED2" w:rsidRDefault="0098029F" w:rsidP="006C3DF5">
      <w:pPr>
        <w:pStyle w:val="ListParagraph"/>
        <w:numPr>
          <w:ilvl w:val="0"/>
          <w:numId w:val="235"/>
        </w:numPr>
        <w:spacing w:line="360" w:lineRule="auto"/>
        <w:rPr>
          <w:rFonts w:cs="Arial"/>
        </w:rPr>
      </w:pPr>
      <w:r w:rsidRPr="00690ED2">
        <w:rPr>
          <w:rFonts w:cs="Arial"/>
        </w:rPr>
        <w:t>delivering support services.</w:t>
      </w:r>
    </w:p>
    <w:p w14:paraId="210FF145" w14:textId="77777777" w:rsidR="00690ED2" w:rsidRDefault="00690ED2" w:rsidP="0098029F">
      <w:pPr>
        <w:spacing w:line="360" w:lineRule="auto"/>
        <w:rPr>
          <w:rFonts w:cs="Arial"/>
        </w:rPr>
      </w:pPr>
    </w:p>
    <w:p w14:paraId="2B52EF25" w14:textId="77777777" w:rsidR="00485C5D" w:rsidRDefault="0098029F" w:rsidP="00E07092">
      <w:pPr>
        <w:pStyle w:val="Heading3"/>
        <w:rPr>
          <w:rFonts w:cs="Arial"/>
        </w:rPr>
      </w:pPr>
      <w:r w:rsidRPr="0098029F">
        <w:t xml:space="preserve">In addition, NHS England will maintain reserved functions such </w:t>
      </w:r>
      <w:r w:rsidRPr="00485C5D">
        <w:rPr>
          <w:rFonts w:cs="Arial"/>
        </w:rPr>
        <w:t>as performers list management, and wider aspects of professional regulation.</w:t>
      </w:r>
    </w:p>
    <w:p w14:paraId="37BFFD15" w14:textId="77777777" w:rsidR="00485C5D" w:rsidRDefault="00485C5D" w:rsidP="00AC77D2">
      <w:pPr>
        <w:pStyle w:val="Heading3"/>
        <w:numPr>
          <w:ilvl w:val="0"/>
          <w:numId w:val="0"/>
        </w:numPr>
        <w:ind w:left="720"/>
        <w:rPr>
          <w:rFonts w:cs="Arial"/>
        </w:rPr>
      </w:pPr>
    </w:p>
    <w:p w14:paraId="4B9BFFC9" w14:textId="17A8990A" w:rsidR="0098029F" w:rsidRPr="00485C5D" w:rsidRDefault="00690ED2" w:rsidP="00AC77D2">
      <w:pPr>
        <w:pStyle w:val="Heading3"/>
        <w:rPr>
          <w:rFonts w:cs="Arial"/>
        </w:rPr>
      </w:pPr>
      <w:r w:rsidRPr="00485C5D">
        <w:rPr>
          <w:rFonts w:cs="Arial"/>
        </w:rPr>
        <w:t>W</w:t>
      </w:r>
      <w:r w:rsidR="0098029F" w:rsidRPr="00485C5D">
        <w:rPr>
          <w:rFonts w:cs="Arial"/>
        </w:rPr>
        <w:t xml:space="preserve">ork to establish </w:t>
      </w:r>
      <w:r w:rsidRPr="00485C5D">
        <w:rPr>
          <w:rFonts w:cs="Arial"/>
        </w:rPr>
        <w:t xml:space="preserve">and </w:t>
      </w:r>
      <w:r w:rsidR="0098029F" w:rsidRPr="00485C5D">
        <w:rPr>
          <w:rFonts w:cs="Arial"/>
        </w:rPr>
        <w:t>communicate the</w:t>
      </w:r>
      <w:r w:rsidRPr="00485C5D">
        <w:rPr>
          <w:rFonts w:cs="Arial"/>
        </w:rPr>
        <w:t xml:space="preserve"> </w:t>
      </w:r>
      <w:r w:rsidR="0098029F" w:rsidRPr="00485C5D">
        <w:rPr>
          <w:rFonts w:cs="Arial"/>
        </w:rPr>
        <w:t>full, detailed scope of what will be delegated and what will be retained</w:t>
      </w:r>
      <w:r w:rsidRPr="00485C5D">
        <w:rPr>
          <w:rFonts w:cs="Arial"/>
        </w:rPr>
        <w:t xml:space="preserve"> </w:t>
      </w:r>
      <w:r w:rsidR="0098029F" w:rsidRPr="00912CCC">
        <w:rPr>
          <w:rFonts w:cs="Arial"/>
        </w:rPr>
        <w:t xml:space="preserve">nationally and regionally, and the conditions that will apply to the exercise of </w:t>
      </w:r>
      <w:r w:rsidR="0098029F" w:rsidRPr="007C3322">
        <w:rPr>
          <w:rFonts w:cs="Arial"/>
        </w:rPr>
        <w:t>de</w:t>
      </w:r>
      <w:r w:rsidR="0098029F" w:rsidRPr="00F718DB">
        <w:rPr>
          <w:rFonts w:cs="Arial"/>
        </w:rPr>
        <w:t>legated functions</w:t>
      </w:r>
      <w:r w:rsidR="00E07092" w:rsidRPr="00192ACF">
        <w:rPr>
          <w:rFonts w:cs="Arial"/>
        </w:rPr>
        <w:t xml:space="preserve"> </w:t>
      </w:r>
      <w:r w:rsidRPr="00280213">
        <w:rPr>
          <w:rFonts w:cs="Arial"/>
        </w:rPr>
        <w:t xml:space="preserve">is </w:t>
      </w:r>
      <w:r w:rsidR="00485C5D">
        <w:rPr>
          <w:rFonts w:cs="Arial"/>
        </w:rPr>
        <w:t xml:space="preserve">current </w:t>
      </w:r>
      <w:r w:rsidRPr="00485C5D">
        <w:rPr>
          <w:rFonts w:cs="Arial"/>
        </w:rPr>
        <w:t>underway.</w:t>
      </w:r>
      <w:r w:rsidR="00E07092" w:rsidRPr="00485C5D">
        <w:rPr>
          <w:rFonts w:cs="Arial"/>
        </w:rPr>
        <w:t xml:space="preserve"> </w:t>
      </w:r>
    </w:p>
    <w:p w14:paraId="476C6C96" w14:textId="443E720D" w:rsidR="0098029F" w:rsidRDefault="0098029F" w:rsidP="001C7059">
      <w:pPr>
        <w:spacing w:line="360" w:lineRule="auto"/>
        <w:rPr>
          <w:rFonts w:cs="Arial"/>
        </w:rPr>
      </w:pPr>
    </w:p>
    <w:p w14:paraId="2AAA416E" w14:textId="3D0A39D0" w:rsidR="0098029F" w:rsidRDefault="0098029F" w:rsidP="001C7059">
      <w:pPr>
        <w:spacing w:line="360" w:lineRule="auto"/>
        <w:rPr>
          <w:rFonts w:cs="Arial"/>
        </w:rPr>
      </w:pPr>
    </w:p>
    <w:p w14:paraId="4C58C6D7" w14:textId="77777777" w:rsidR="0098029F" w:rsidRPr="00CE0885" w:rsidRDefault="0098029F" w:rsidP="001C7059">
      <w:pPr>
        <w:spacing w:line="360" w:lineRule="auto"/>
        <w:rPr>
          <w:rFonts w:cs="Arial"/>
        </w:rPr>
      </w:pPr>
    </w:p>
    <w:p w14:paraId="34E7D43C" w14:textId="77777777" w:rsidR="001C7059" w:rsidRPr="00CE0885" w:rsidRDefault="001C7059" w:rsidP="001C7059">
      <w:pPr>
        <w:pStyle w:val="Heading2"/>
        <w:rPr>
          <w:lang w:eastAsia="en-GB"/>
        </w:rPr>
      </w:pPr>
      <w:bookmarkStart w:id="80" w:name="_Toc440981438"/>
      <w:bookmarkStart w:id="81" w:name="_Toc95743363"/>
      <w:r w:rsidRPr="00CE0885">
        <w:rPr>
          <w:lang w:eastAsia="en-GB"/>
        </w:rPr>
        <w:t>Co-Commissioning and Primary Care Policies</w:t>
      </w:r>
      <w:bookmarkEnd w:id="80"/>
      <w:r w:rsidRPr="00CE0885">
        <w:rPr>
          <w:lang w:eastAsia="en-GB"/>
        </w:rPr>
        <w:t>:</w:t>
      </w:r>
      <w:bookmarkEnd w:id="81"/>
    </w:p>
    <w:p w14:paraId="3CC5DBF0" w14:textId="77777777" w:rsidR="001C7059" w:rsidRPr="009055A7" w:rsidRDefault="001C7059" w:rsidP="001C7059">
      <w:pPr>
        <w:spacing w:line="360" w:lineRule="auto"/>
        <w:ind w:left="720"/>
        <w:rPr>
          <w:rFonts w:cs="Arial"/>
        </w:rPr>
      </w:pPr>
    </w:p>
    <w:p w14:paraId="0D934D5F" w14:textId="37857310" w:rsidR="001C7059" w:rsidRPr="00CE0885" w:rsidRDefault="001C7059" w:rsidP="001C7059">
      <w:pPr>
        <w:pStyle w:val="Heading3"/>
      </w:pPr>
      <w:bookmarkStart w:id="82" w:name="_Toc440981439"/>
      <w:r w:rsidRPr="009055A7">
        <w:t>For the purposes of the primary care policies, the Commissioner of the primary care service is not referred to by name but simply as the "Commissioner". This i</w:t>
      </w:r>
      <w:r w:rsidRPr="00CE0885">
        <w:t xml:space="preserve">s to reflect the fact that for primary medical services, the identity of the Commissioner in an area </w:t>
      </w:r>
      <w:r w:rsidR="00485C5D">
        <w:t xml:space="preserve">used to </w:t>
      </w:r>
      <w:r w:rsidRPr="00CE0885">
        <w:t xml:space="preserve"> depend on the model of co-commissioning that </w:t>
      </w:r>
      <w:r w:rsidR="00485C5D">
        <w:t xml:space="preserve">was </w:t>
      </w:r>
      <w:r w:rsidR="00B83042">
        <w:t>CCG/ICB</w:t>
      </w:r>
      <w:r w:rsidRPr="00CE0885">
        <w:t>adopted</w:t>
      </w:r>
      <w:r w:rsidR="00485C5D">
        <w:t xml:space="preserve"> and now is subject to Health and Social Care Bill (ie. abolishing CCGs and creating ICSs/ICBs)</w:t>
      </w:r>
      <w:r w:rsidRPr="00CE0885">
        <w:t>:</w:t>
      </w:r>
      <w:bookmarkEnd w:id="82"/>
    </w:p>
    <w:p w14:paraId="670BFE6A" w14:textId="77777777" w:rsidR="001C7059" w:rsidRPr="00CE0885" w:rsidRDefault="001C7059" w:rsidP="001C7059">
      <w:pPr>
        <w:spacing w:line="360" w:lineRule="auto"/>
        <w:ind w:left="720"/>
        <w:rPr>
          <w:rFonts w:cs="Arial"/>
        </w:rPr>
      </w:pPr>
    </w:p>
    <w:p w14:paraId="499BEBC8" w14:textId="50338AE6" w:rsidR="001C7059" w:rsidRPr="00CE0885" w:rsidRDefault="00B83042" w:rsidP="001C7059">
      <w:pPr>
        <w:spacing w:line="360" w:lineRule="auto"/>
        <w:ind w:left="1684"/>
        <w:rPr>
          <w:rFonts w:cs="Arial"/>
        </w:rPr>
      </w:pPr>
      <w:bookmarkStart w:id="83" w:name="_Toc440981440"/>
      <w:r>
        <w:t>CCG/ICB</w:t>
      </w:r>
      <w:bookmarkStart w:id="84" w:name="_Toc440981441"/>
      <w:bookmarkEnd w:id="83"/>
      <w:r>
        <w:t>CCG/ICBCCG/ICB</w:t>
      </w:r>
      <w:bookmarkStart w:id="85" w:name="_Toc440981442"/>
      <w:bookmarkEnd w:id="84"/>
      <w:r>
        <w:t>CCG/ICBCCG/ICB</w:t>
      </w:r>
      <w:bookmarkEnd w:id="85"/>
    </w:p>
    <w:p w14:paraId="7DB13DEE" w14:textId="12EF502D" w:rsidR="001C7059" w:rsidRPr="00CE0885" w:rsidRDefault="001C7059" w:rsidP="001C7059">
      <w:pPr>
        <w:pStyle w:val="Heading3"/>
      </w:pPr>
      <w:bookmarkStart w:id="86" w:name="_Toc440981443"/>
      <w:r w:rsidRPr="00CE0885">
        <w:t xml:space="preserve">Although </w:t>
      </w:r>
      <w:r w:rsidR="00B83042">
        <w:t>CCGs/ICBs</w:t>
      </w:r>
      <w:r w:rsidR="008B199F">
        <w:t xml:space="preserve"> </w:t>
      </w:r>
      <w:r w:rsidRPr="00CE0885">
        <w:t xml:space="preserve">may assume the role of the Commissioner for the purposes of the policies, </w:t>
      </w:r>
      <w:r w:rsidR="00912CCC">
        <w:t xml:space="preserve">for CCG delegation, </w:t>
      </w:r>
      <w:r w:rsidRPr="00CE0885">
        <w:t xml:space="preserve">legally NHS England retains the residual liability for the performance of primary medical care commissioning. </w:t>
      </w:r>
      <w:r w:rsidR="00912CCC">
        <w:t>The position for ICS delegation is subject to the Health and Social Care Bill. However, t</w:t>
      </w:r>
      <w:r w:rsidRPr="00CE0885">
        <w:t xml:space="preserve">here will be matters which have not been delegated to </w:t>
      </w:r>
      <w:r w:rsidR="00B83042">
        <w:t>CCGs/ICBs</w:t>
      </w:r>
      <w:r w:rsidR="008B199F">
        <w:t xml:space="preserve"> </w:t>
      </w:r>
      <w:r w:rsidRPr="00CE0885">
        <w:t xml:space="preserve">or are not able to be carried out by a </w:t>
      </w:r>
      <w:r w:rsidR="00B83042">
        <w:t>CCG/ICB</w:t>
      </w:r>
      <w:r w:rsidRPr="00CE0885">
        <w:t xml:space="preserve"> in which case the Commissioner will be NHS England.</w:t>
      </w:r>
      <w:bookmarkEnd w:id="86"/>
      <w:r w:rsidRPr="00CE0885">
        <w:t xml:space="preserve"> </w:t>
      </w:r>
    </w:p>
    <w:p w14:paraId="2C9377A3" w14:textId="6A4B0400" w:rsidR="001C7059" w:rsidRPr="00CE0885" w:rsidRDefault="00B83042" w:rsidP="001C7059">
      <w:pPr>
        <w:pStyle w:val="Heading3"/>
      </w:pPr>
      <w:bookmarkStart w:id="87" w:name="_Toc440981445"/>
      <w:r>
        <w:t>CCG/ICBCCG/ICB</w:t>
      </w:r>
      <w:bookmarkStart w:id="88" w:name="_Toc440981446"/>
      <w:bookmarkEnd w:id="87"/>
      <w:r w:rsidR="001C7059" w:rsidRPr="00CE0885">
        <w:t xml:space="preserve">Under delegated commissioning arrangements, a </w:t>
      </w:r>
      <w:r>
        <w:t>CCG/ICB</w:t>
      </w:r>
      <w:r w:rsidR="001C7059" w:rsidRPr="00CE0885">
        <w:t xml:space="preserve"> will have agreed</w:t>
      </w:r>
      <w:r w:rsidR="00757096">
        <w:t xml:space="preserve"> on</w:t>
      </w:r>
      <w:r w:rsidR="001C7059" w:rsidRPr="00CE0885">
        <w:t xml:space="preserve"> a delegation agreement with NHS England. This document will set out for what matters the </w:t>
      </w:r>
      <w:r>
        <w:t>CCG/ICB</w:t>
      </w:r>
      <w:r w:rsidR="001C7059" w:rsidRPr="00CE0885">
        <w:t xml:space="preserve"> has decision-making responsibilities. Where the delegation agreement sets out obligations on the </w:t>
      </w:r>
      <w:r>
        <w:t>CCG/ICB</w:t>
      </w:r>
      <w:r w:rsidR="001C7059" w:rsidRPr="00CE0885">
        <w:t>, e.g. liaising with NHS England in relation to managing disputes, the relevant primary medical policy refers to the delegation agreement and highlights relevant points.</w:t>
      </w:r>
      <w:bookmarkEnd w:id="88"/>
      <w:r w:rsidR="001C7059" w:rsidRPr="00CE0885">
        <w:t xml:space="preserve"> </w:t>
      </w:r>
    </w:p>
    <w:p w14:paraId="30616E0D" w14:textId="77777777" w:rsidR="001C7059" w:rsidRPr="00CE0885" w:rsidRDefault="001C7059" w:rsidP="001C7059">
      <w:pPr>
        <w:spacing w:line="360" w:lineRule="auto"/>
        <w:rPr>
          <w:rFonts w:cs="Arial"/>
        </w:rPr>
      </w:pPr>
    </w:p>
    <w:p w14:paraId="24C7A74A" w14:textId="77777777" w:rsidR="001C7059" w:rsidRPr="00CE0885" w:rsidRDefault="001C7059" w:rsidP="001C7059">
      <w:pPr>
        <w:pStyle w:val="Heading3"/>
        <w:rPr>
          <w:b/>
          <w:lang w:eastAsia="en-GB"/>
        </w:rPr>
      </w:pPr>
      <w:bookmarkStart w:id="89" w:name="_Toc440981447"/>
      <w:r w:rsidRPr="00CE0885">
        <w:rPr>
          <w:lang w:eastAsia="en-GB"/>
        </w:rPr>
        <w:t>Equality and Health Inequalities</w:t>
      </w:r>
      <w:bookmarkEnd w:id="89"/>
      <w:r w:rsidRPr="00CE0885">
        <w:rPr>
          <w:lang w:eastAsia="en-GB"/>
        </w:rPr>
        <w:t>:</w:t>
      </w:r>
    </w:p>
    <w:p w14:paraId="1A698F10" w14:textId="77777777" w:rsidR="001C7059" w:rsidRPr="009055A7" w:rsidRDefault="001C7059" w:rsidP="001C7059">
      <w:pPr>
        <w:spacing w:line="360" w:lineRule="auto"/>
        <w:ind w:left="720"/>
        <w:rPr>
          <w:rFonts w:cs="Arial"/>
        </w:rPr>
      </w:pPr>
    </w:p>
    <w:p w14:paraId="5EA20FBC" w14:textId="12C4D9F3" w:rsidR="001C7059" w:rsidRPr="00CE0885" w:rsidRDefault="00B83042" w:rsidP="001C7059">
      <w:pPr>
        <w:pStyle w:val="Heading3"/>
      </w:pPr>
      <w:bookmarkStart w:id="90" w:name="_Toc440981448"/>
      <w:r>
        <w:t>CCGs/ICBs</w:t>
      </w:r>
      <w:r w:rsidR="008B199F">
        <w:t xml:space="preserve"> </w:t>
      </w:r>
      <w:r w:rsidR="001C7059" w:rsidRPr="009055A7">
        <w:t xml:space="preserve">and NHS England have legal duties in respect of equality and health inequalities.  Supporting guidance has been issued within the </w:t>
      </w:r>
      <w:hyperlink r:id="rId24" w:history="1">
        <w:r w:rsidR="00392313" w:rsidRPr="00392313">
          <w:rPr>
            <w:rStyle w:val="Hyperlink"/>
          </w:rPr>
          <w:t>2020-2021 Planning and Contracting Guidance,</w:t>
        </w:r>
      </w:hyperlink>
      <w:r w:rsidR="001C7059" w:rsidRPr="009055A7">
        <w:t xml:space="preserve"> </w:t>
      </w:r>
      <w:hyperlink r:id="rId25" w:history="1">
        <w:r w:rsidR="001C7059" w:rsidRPr="00CE0885">
          <w:rPr>
            <w:rStyle w:val="Hyperlink"/>
            <w:rFonts w:cs="Arial"/>
            <w:color w:val="auto"/>
          </w:rPr>
          <w:t>Guidance for NHS Commissioners on equality and health inequalities legal duties</w:t>
        </w:r>
      </w:hyperlink>
      <w:r w:rsidR="001C7059" w:rsidRPr="009055A7">
        <w:t xml:space="preserve">.  A number of data and analysis tools are published by </w:t>
      </w:r>
      <w:hyperlink r:id="rId26" w:anchor="health-inequalities" w:history="1">
        <w:r w:rsidR="001C7059" w:rsidRPr="00CE0885">
          <w:rPr>
            <w:rStyle w:val="Hyperlink"/>
            <w:rFonts w:cs="Arial"/>
            <w:color w:val="auto"/>
            <w:szCs w:val="24"/>
          </w:rPr>
          <w:t>Public Health England</w:t>
        </w:r>
      </w:hyperlink>
      <w:r w:rsidR="001C7059" w:rsidRPr="009055A7">
        <w:t xml:space="preserve"> (e.g. the Inequalities Calculation Tool). In the commissioning and operational implementation of primary medical services due regard should be given to these duties.  Further detail is also provided in the nex</w:t>
      </w:r>
      <w:r w:rsidR="001C7059" w:rsidRPr="00CE0885">
        <w:t>t section.</w:t>
      </w:r>
      <w:bookmarkEnd w:id="90"/>
    </w:p>
    <w:p w14:paraId="3AA08794" w14:textId="77777777" w:rsidR="00DF2ADF" w:rsidRDefault="00DF2ADF" w:rsidP="0015247B"/>
    <w:p w14:paraId="5E4E0277" w14:textId="4C0898FE" w:rsidR="00DF2ADF" w:rsidRDefault="00DF2ADF" w:rsidP="00DF2ADF">
      <w:pPr>
        <w:pStyle w:val="Heading2"/>
        <w:rPr>
          <w:lang w:eastAsia="en-GB"/>
        </w:rPr>
      </w:pPr>
      <w:bookmarkStart w:id="91" w:name="_Toc95743364"/>
      <w:bookmarkStart w:id="92" w:name="_Hlk170598"/>
      <w:r>
        <w:rPr>
          <w:lang w:eastAsia="en-GB"/>
        </w:rPr>
        <w:t>Primary Care Networks</w:t>
      </w:r>
      <w:bookmarkEnd w:id="91"/>
    </w:p>
    <w:p w14:paraId="10725711" w14:textId="77777777" w:rsidR="00DF2ADF" w:rsidRPr="008D6827" w:rsidRDefault="00DF2ADF" w:rsidP="008D6827"/>
    <w:p w14:paraId="7EE5EA89" w14:textId="084E0914" w:rsidR="00DF2ADF" w:rsidRDefault="00DF2ADF" w:rsidP="008D6827">
      <w:pPr>
        <w:pStyle w:val="Heading3"/>
        <w:rPr>
          <w:highlight w:val="yellow"/>
          <w:lang w:eastAsia="en-GB"/>
        </w:rPr>
      </w:pPr>
      <w:bookmarkStart w:id="93" w:name="_Hlk79649765"/>
      <w:r w:rsidRPr="00EB01A3">
        <w:rPr>
          <w:highlight w:val="yellow"/>
          <w:lang w:eastAsia="en-GB"/>
        </w:rPr>
        <w:t>P</w:t>
      </w:r>
      <w:r w:rsidR="00EA68DD" w:rsidRPr="00EB01A3">
        <w:rPr>
          <w:highlight w:val="yellow"/>
          <w:lang w:eastAsia="en-GB"/>
        </w:rPr>
        <w:t xml:space="preserve">rimary </w:t>
      </w:r>
      <w:r w:rsidRPr="00EB01A3">
        <w:rPr>
          <w:highlight w:val="yellow"/>
          <w:lang w:eastAsia="en-GB"/>
        </w:rPr>
        <w:t>C</w:t>
      </w:r>
      <w:r w:rsidR="00EA68DD" w:rsidRPr="00EB01A3">
        <w:rPr>
          <w:highlight w:val="yellow"/>
          <w:lang w:eastAsia="en-GB"/>
        </w:rPr>
        <w:t xml:space="preserve">are </w:t>
      </w:r>
      <w:r w:rsidRPr="00EB01A3">
        <w:rPr>
          <w:highlight w:val="yellow"/>
          <w:lang w:eastAsia="en-GB"/>
        </w:rPr>
        <w:t>N</w:t>
      </w:r>
      <w:r w:rsidR="00EA68DD" w:rsidRPr="00EB01A3">
        <w:rPr>
          <w:highlight w:val="yellow"/>
          <w:lang w:eastAsia="en-GB"/>
        </w:rPr>
        <w:t>etwork</w:t>
      </w:r>
      <w:r w:rsidRPr="00EB01A3">
        <w:rPr>
          <w:highlight w:val="yellow"/>
          <w:lang w:eastAsia="en-GB"/>
        </w:rPr>
        <w:t>s</w:t>
      </w:r>
      <w:r w:rsidR="00EA68DD" w:rsidRPr="00EB01A3">
        <w:rPr>
          <w:highlight w:val="yellow"/>
          <w:lang w:eastAsia="en-GB"/>
        </w:rPr>
        <w:t xml:space="preserve"> (PCNs) </w:t>
      </w:r>
      <w:r w:rsidRPr="00EB01A3">
        <w:rPr>
          <w:highlight w:val="yellow"/>
          <w:lang w:eastAsia="en-GB"/>
        </w:rPr>
        <w:t xml:space="preserve"> build on the core of current primary care services and enable greater provision of proactive, personalised, coordinated and more integrated health and social care</w:t>
      </w:r>
      <w:r w:rsidR="00C43C89" w:rsidRPr="00EB01A3">
        <w:rPr>
          <w:highlight w:val="yellow"/>
          <w:lang w:eastAsia="en-GB"/>
        </w:rPr>
        <w:t xml:space="preserve">, with greater collaboration between general practice and other local system partners including community pharmacy, local authorities, social care, community providers, </w:t>
      </w:r>
      <w:r w:rsidR="003F7403">
        <w:rPr>
          <w:highlight w:val="yellow"/>
          <w:lang w:eastAsia="en-GB"/>
        </w:rPr>
        <w:t xml:space="preserve">mental health providers </w:t>
      </w:r>
      <w:r w:rsidR="00C43C89" w:rsidRPr="00EB01A3">
        <w:rPr>
          <w:highlight w:val="yellow"/>
          <w:lang w:eastAsia="en-GB"/>
        </w:rPr>
        <w:t>and voluntary services</w:t>
      </w:r>
      <w:r w:rsidRPr="00EB01A3">
        <w:rPr>
          <w:highlight w:val="yellow"/>
          <w:lang w:eastAsia="en-GB"/>
        </w:rPr>
        <w:t>. Clinicians describe this as a change from reactively providing appointments to proactively car</w:t>
      </w:r>
      <w:r w:rsidR="00757096" w:rsidRPr="00EB01A3">
        <w:rPr>
          <w:highlight w:val="yellow"/>
          <w:lang w:eastAsia="en-GB"/>
        </w:rPr>
        <w:t>ing</w:t>
      </w:r>
      <w:r w:rsidRPr="00EB01A3">
        <w:rPr>
          <w:highlight w:val="yellow"/>
          <w:lang w:eastAsia="en-GB"/>
        </w:rPr>
        <w:t xml:space="preserve"> for the people and communities they serve. </w:t>
      </w:r>
      <w:r w:rsidR="00C43C89" w:rsidRPr="00EB01A3">
        <w:rPr>
          <w:highlight w:val="yellow"/>
          <w:lang w:eastAsia="en-GB"/>
        </w:rPr>
        <w:t>PCNs</w:t>
      </w:r>
      <w:r w:rsidR="00EA6A9B" w:rsidRPr="00EB01A3">
        <w:rPr>
          <w:highlight w:val="yellow"/>
          <w:lang w:eastAsia="en-GB"/>
        </w:rPr>
        <w:t xml:space="preserve"> </w:t>
      </w:r>
      <w:r w:rsidR="00916F89">
        <w:rPr>
          <w:highlight w:val="yellow"/>
          <w:lang w:eastAsia="en-GB"/>
        </w:rPr>
        <w:t xml:space="preserve">can </w:t>
      </w:r>
      <w:r w:rsidR="00EA6A9B" w:rsidRPr="00EB01A3">
        <w:rPr>
          <w:highlight w:val="yellow"/>
          <w:lang w:eastAsia="en-GB"/>
        </w:rPr>
        <w:t>also</w:t>
      </w:r>
      <w:r w:rsidR="00C43C89" w:rsidRPr="00EB01A3">
        <w:rPr>
          <w:highlight w:val="yellow"/>
          <w:lang w:eastAsia="en-GB"/>
        </w:rPr>
        <w:t xml:space="preserve"> help to </w:t>
      </w:r>
      <w:r w:rsidR="00EA6A9B" w:rsidRPr="00EB01A3">
        <w:rPr>
          <w:highlight w:val="yellow"/>
          <w:lang w:eastAsia="en-GB"/>
        </w:rPr>
        <w:t xml:space="preserve">provide stability </w:t>
      </w:r>
      <w:r w:rsidR="00C43C89" w:rsidRPr="00EB01A3">
        <w:rPr>
          <w:highlight w:val="yellow"/>
          <w:lang w:eastAsia="en-GB"/>
        </w:rPr>
        <w:t xml:space="preserve">and resilience for practices. </w:t>
      </w:r>
    </w:p>
    <w:p w14:paraId="3BF1B696" w14:textId="77777777" w:rsidR="00916F89" w:rsidRPr="00DD1B94" w:rsidRDefault="00916F89" w:rsidP="00DD1B94">
      <w:pPr>
        <w:rPr>
          <w:highlight w:val="yellow"/>
          <w:lang w:eastAsia="en-GB"/>
        </w:rPr>
      </w:pPr>
    </w:p>
    <w:bookmarkStart w:id="94" w:name="_Hlk170726"/>
    <w:bookmarkStart w:id="95" w:name="_Hlk31107259"/>
    <w:p w14:paraId="6FBDD9A3" w14:textId="6CA3490E" w:rsidR="00916F89" w:rsidRDefault="00DF2ADF" w:rsidP="008D6827">
      <w:pPr>
        <w:pStyle w:val="Heading3"/>
      </w:pPr>
      <w:r w:rsidRPr="00D90005">
        <w:rPr>
          <w:color w:val="0000FF"/>
          <w:highlight w:val="yellow"/>
          <w:u w:val="single"/>
          <w:lang w:eastAsia="en-GB"/>
        </w:rPr>
        <w:fldChar w:fldCharType="begin"/>
      </w:r>
      <w:r w:rsidRPr="002E7009">
        <w:rPr>
          <w:color w:val="0000FF"/>
          <w:highlight w:val="yellow"/>
          <w:u w:val="single"/>
          <w:lang w:eastAsia="en-GB"/>
        </w:rPr>
        <w:instrText xml:space="preserve"> HYPERLINK "https://www.england.nhs.uk/deliver-forward-view/" </w:instrText>
      </w:r>
      <w:r w:rsidRPr="00D90005">
        <w:rPr>
          <w:color w:val="0000FF"/>
          <w:highlight w:val="yellow"/>
          <w:u w:val="single"/>
          <w:lang w:eastAsia="en-GB"/>
        </w:rPr>
        <w:fldChar w:fldCharType="separate"/>
      </w:r>
      <w:r w:rsidRPr="00D90005">
        <w:rPr>
          <w:color w:val="0000FF"/>
          <w:highlight w:val="yellow"/>
          <w:u w:val="single"/>
        </w:rPr>
        <w:t>Refreshing NHS Plans for 2018-19</w:t>
      </w:r>
      <w:r w:rsidRPr="00D90005">
        <w:rPr>
          <w:color w:val="0000FF"/>
          <w:highlight w:val="yellow"/>
          <w:u w:val="single"/>
          <w:lang w:eastAsia="en-GB"/>
        </w:rPr>
        <w:fldChar w:fldCharType="end"/>
      </w:r>
      <w:bookmarkEnd w:id="94"/>
      <w:r w:rsidRPr="00D90005">
        <w:rPr>
          <w:highlight w:val="yellow"/>
          <w:lang w:eastAsia="en-GB"/>
        </w:rPr>
        <w:t> </w:t>
      </w:r>
      <w:r w:rsidR="00015C1B" w:rsidRPr="00D90005">
        <w:rPr>
          <w:highlight w:val="yellow"/>
          <w:lang w:eastAsia="en-GB"/>
        </w:rPr>
        <w:t xml:space="preserve">and the </w:t>
      </w:r>
      <w:hyperlink r:id="rId27" w:history="1">
        <w:r w:rsidR="00015C1B" w:rsidRPr="00D90005">
          <w:rPr>
            <w:rStyle w:val="Hyperlink"/>
            <w:highlight w:val="yellow"/>
            <w:lang w:eastAsia="en-GB"/>
          </w:rPr>
          <w:t>NHS Long Term Plan</w:t>
        </w:r>
      </w:hyperlink>
      <w:r w:rsidR="00015C1B" w:rsidRPr="00D90005">
        <w:rPr>
          <w:highlight w:val="yellow"/>
          <w:lang w:eastAsia="en-GB"/>
        </w:rPr>
        <w:t xml:space="preserve"> prefigured the formal intention that every practice should be part of a PCN, covering the whole country. This was delivered as part of </w:t>
      </w:r>
      <w:hyperlink r:id="rId28" w:history="1">
        <w:r w:rsidR="00015C1B" w:rsidRPr="00D90005">
          <w:rPr>
            <w:rStyle w:val="Hyperlink"/>
            <w:i/>
            <w:iCs/>
            <w:highlight w:val="yellow"/>
            <w:lang w:eastAsia="en-GB"/>
          </w:rPr>
          <w:t>Investment and volution: the five-year framework for GP contract reform</w:t>
        </w:r>
      </w:hyperlink>
      <w:r w:rsidR="00015C1B" w:rsidRPr="00D90005">
        <w:rPr>
          <w:highlight w:val="yellow"/>
          <w:lang w:eastAsia="en-GB"/>
        </w:rPr>
        <w:t xml:space="preserve"> which introduced from 1 July 2019 a new Directed Enhanced Service – “the Network Contract DES”. Its goal is to ensure general practice plays a leading role in every PCN and </w:t>
      </w:r>
      <w:r w:rsidR="00916F89">
        <w:rPr>
          <w:highlight w:val="yellow"/>
          <w:lang w:eastAsia="en-GB"/>
        </w:rPr>
        <w:t>enables</w:t>
      </w:r>
      <w:r w:rsidR="00916F89" w:rsidRPr="00D90005">
        <w:rPr>
          <w:highlight w:val="yellow"/>
          <w:lang w:eastAsia="en-GB"/>
        </w:rPr>
        <w:t xml:space="preserve"> </w:t>
      </w:r>
      <w:r w:rsidR="00015C1B" w:rsidRPr="00D90005">
        <w:rPr>
          <w:highlight w:val="yellow"/>
          <w:lang w:eastAsia="en-GB"/>
        </w:rPr>
        <w:t xml:space="preserve">much closer working between </w:t>
      </w:r>
      <w:r w:rsidR="00916F89">
        <w:rPr>
          <w:highlight w:val="yellow"/>
          <w:lang w:eastAsia="en-GB"/>
        </w:rPr>
        <w:t>PCNs</w:t>
      </w:r>
      <w:r w:rsidR="00916F89" w:rsidRPr="00D90005">
        <w:rPr>
          <w:highlight w:val="yellow"/>
          <w:lang w:eastAsia="en-GB"/>
        </w:rPr>
        <w:t xml:space="preserve"> </w:t>
      </w:r>
      <w:r w:rsidR="00015C1B" w:rsidRPr="00D90005">
        <w:rPr>
          <w:highlight w:val="yellow"/>
          <w:lang w:eastAsia="en-GB"/>
        </w:rPr>
        <w:t xml:space="preserve">and their Integrated Care </w:t>
      </w:r>
      <w:r w:rsidR="00E6076D">
        <w:rPr>
          <w:highlight w:val="yellow"/>
          <w:lang w:eastAsia="en-GB"/>
        </w:rPr>
        <w:t>Board</w:t>
      </w:r>
      <w:r w:rsidR="00015C1B" w:rsidRPr="00D90005">
        <w:rPr>
          <w:highlight w:val="yellow"/>
          <w:lang w:eastAsia="en-GB"/>
        </w:rPr>
        <w:t>.</w:t>
      </w:r>
    </w:p>
    <w:p w14:paraId="3B7A2238" w14:textId="6FEE2EA6" w:rsidR="00BA0628" w:rsidRDefault="00015C1B" w:rsidP="004A7BEE">
      <w:pPr>
        <w:pStyle w:val="Heading3"/>
        <w:numPr>
          <w:ilvl w:val="0"/>
          <w:numId w:val="0"/>
        </w:numPr>
      </w:pPr>
      <w:r>
        <w:rPr>
          <w:lang w:eastAsia="en-GB"/>
        </w:rPr>
        <w:t xml:space="preserve"> </w:t>
      </w:r>
    </w:p>
    <w:p w14:paraId="55638EB1" w14:textId="7D15B20B" w:rsidR="00DF2ADF" w:rsidRDefault="00DF2ADF" w:rsidP="008D6827">
      <w:pPr>
        <w:pStyle w:val="Heading3"/>
      </w:pPr>
      <w:r w:rsidRPr="008D6827">
        <w:rPr>
          <w:lang w:eastAsia="en-GB"/>
        </w:rPr>
        <w:t xml:space="preserve">Primary </w:t>
      </w:r>
      <w:r w:rsidR="00916F89">
        <w:rPr>
          <w:lang w:eastAsia="en-GB"/>
        </w:rPr>
        <w:t>C</w:t>
      </w:r>
      <w:r w:rsidRPr="008D6827">
        <w:rPr>
          <w:lang w:eastAsia="en-GB"/>
        </w:rPr>
        <w:t xml:space="preserve">are </w:t>
      </w:r>
      <w:r w:rsidR="00916F89">
        <w:rPr>
          <w:lang w:eastAsia="en-GB"/>
        </w:rPr>
        <w:t>N</w:t>
      </w:r>
      <w:r w:rsidRPr="008D6827">
        <w:rPr>
          <w:lang w:eastAsia="en-GB"/>
        </w:rPr>
        <w:t xml:space="preserve">etworks </w:t>
      </w:r>
      <w:r w:rsidR="00AE54D8">
        <w:rPr>
          <w:lang w:eastAsia="en-GB"/>
        </w:rPr>
        <w:t>are</w:t>
      </w:r>
      <w:r w:rsidRPr="008D6827">
        <w:rPr>
          <w:lang w:eastAsia="en-GB"/>
        </w:rPr>
        <w:t xml:space="preserve"> based on GP registered lists, </w:t>
      </w:r>
      <w:r w:rsidR="00F16A64">
        <w:rPr>
          <w:lang w:eastAsia="en-GB"/>
        </w:rPr>
        <w:t xml:space="preserve">and are made up of a practice or practices (and possibly other providers) </w:t>
      </w:r>
      <w:r w:rsidRPr="008D6827">
        <w:rPr>
          <w:lang w:eastAsia="en-GB"/>
        </w:rPr>
        <w:t>typically serving natural communities of around 30,000 to 50,000</w:t>
      </w:r>
      <w:r w:rsidR="004037B9">
        <w:rPr>
          <w:lang w:eastAsia="en-GB"/>
        </w:rPr>
        <w:t xml:space="preserve"> people</w:t>
      </w:r>
      <w:r w:rsidRPr="008D6827">
        <w:rPr>
          <w:lang w:eastAsia="en-GB"/>
        </w:rPr>
        <w:t>. The</w:t>
      </w:r>
      <w:r w:rsidR="00E559FF">
        <w:rPr>
          <w:lang w:eastAsia="en-GB"/>
        </w:rPr>
        <w:t>se</w:t>
      </w:r>
      <w:r w:rsidRPr="008D6827">
        <w:rPr>
          <w:lang w:eastAsia="en-GB"/>
        </w:rPr>
        <w:t xml:space="preserve"> </w:t>
      </w:r>
      <w:r w:rsidR="00E559FF">
        <w:rPr>
          <w:lang w:eastAsia="en-GB"/>
        </w:rPr>
        <w:t>parameters mean that PCNs are</w:t>
      </w:r>
      <w:r w:rsidRPr="008D6827">
        <w:rPr>
          <w:lang w:eastAsia="en-GB"/>
        </w:rPr>
        <w:t>small enough to provide the personal care valued by both patients and GPs, but large enough to have impact and economies of scale through better collaboration between practices and others in the local health and social care system.</w:t>
      </w:r>
    </w:p>
    <w:bookmarkEnd w:id="95"/>
    <w:p w14:paraId="24B495CB" w14:textId="1BBB81F8" w:rsidR="00DF2ADF" w:rsidRDefault="00DF2ADF" w:rsidP="008D6827"/>
    <w:p w14:paraId="2BCAE870" w14:textId="77777777" w:rsidR="00DF2ADF" w:rsidRDefault="00DF2ADF" w:rsidP="008D6827"/>
    <w:p w14:paraId="13C28B7F" w14:textId="0831D4F3" w:rsidR="00DF2ADF" w:rsidRDefault="00DF2ADF" w:rsidP="008D6827">
      <w:pPr>
        <w:pStyle w:val="Heading3"/>
      </w:pPr>
      <w:r>
        <w:rPr>
          <w:lang w:eastAsia="en-GB"/>
        </w:rPr>
        <w:t xml:space="preserve">By 2023/24, the </w:t>
      </w:r>
      <w:r w:rsidR="00C43C89">
        <w:rPr>
          <w:lang w:eastAsia="en-GB"/>
        </w:rPr>
        <w:t>Network Contract DES</w:t>
      </w:r>
      <w:r>
        <w:rPr>
          <w:lang w:eastAsia="en-GB"/>
        </w:rPr>
        <w:t xml:space="preserve"> is expected to invest £</w:t>
      </w:r>
      <w:r w:rsidR="00F656B8">
        <w:rPr>
          <w:lang w:eastAsia="en-GB"/>
        </w:rPr>
        <w:t>2</w:t>
      </w:r>
      <w:r>
        <w:rPr>
          <w:lang w:eastAsia="en-GB"/>
        </w:rPr>
        <w:t>.</w:t>
      </w:r>
      <w:r w:rsidR="00F656B8">
        <w:rPr>
          <w:lang w:eastAsia="en-GB"/>
        </w:rPr>
        <w:t>376</w:t>
      </w:r>
      <w:r>
        <w:rPr>
          <w:lang w:eastAsia="en-GB"/>
        </w:rPr>
        <w:t xml:space="preserve"> billion</w:t>
      </w:r>
      <w:r w:rsidR="00C43C89">
        <w:rPr>
          <w:lang w:eastAsia="en-GB"/>
        </w:rPr>
        <w:t xml:space="preserve"> in PCNs</w:t>
      </w:r>
      <w:r>
        <w:rPr>
          <w:lang w:eastAsia="en-GB"/>
        </w:rPr>
        <w:t>, or £1.</w:t>
      </w:r>
      <w:r w:rsidR="00F656B8">
        <w:rPr>
          <w:lang w:eastAsia="en-GB"/>
        </w:rPr>
        <w:t>90</w:t>
      </w:r>
      <w:r>
        <w:rPr>
          <w:lang w:eastAsia="en-GB"/>
        </w:rPr>
        <w:t xml:space="preserve"> million per typical network covering 50,000 people.  This will include funding for around 2</w:t>
      </w:r>
      <w:r w:rsidR="00F656B8">
        <w:rPr>
          <w:lang w:eastAsia="en-GB"/>
        </w:rPr>
        <w:t>6</w:t>
      </w:r>
      <w:r>
        <w:rPr>
          <w:lang w:eastAsia="en-GB"/>
        </w:rPr>
        <w:t>,000 more health professionals including clinical pharmacists, physician associates, first contact physiotherapists, community paramedics</w:t>
      </w:r>
      <w:r w:rsidR="00470697">
        <w:rPr>
          <w:lang w:eastAsia="en-GB"/>
        </w:rPr>
        <w:t>, mental health practitioners</w:t>
      </w:r>
      <w:r w:rsidR="00447821">
        <w:rPr>
          <w:lang w:eastAsia="en-GB"/>
        </w:rPr>
        <w:t>,</w:t>
      </w:r>
      <w:r>
        <w:rPr>
          <w:lang w:eastAsia="en-GB"/>
        </w:rPr>
        <w:t xml:space="preserve"> social prescribing link workers</w:t>
      </w:r>
      <w:r w:rsidR="00447821">
        <w:rPr>
          <w:lang w:eastAsia="en-GB"/>
        </w:rPr>
        <w:t xml:space="preserve"> and others</w:t>
      </w:r>
      <w:r>
        <w:rPr>
          <w:lang w:eastAsia="en-GB"/>
        </w:rPr>
        <w:t>. Bigger teams of health professionals will work across PCNs, as part of community teams, providing tailored care for patients and will allow GPs to focus more on patients with complex needs.</w:t>
      </w:r>
    </w:p>
    <w:p w14:paraId="119FD03B" w14:textId="77777777" w:rsidR="00DF2ADF" w:rsidRPr="008D6827" w:rsidRDefault="00DF2ADF" w:rsidP="008D6827"/>
    <w:p w14:paraId="6765FF21" w14:textId="07329417" w:rsidR="00DF2ADF" w:rsidRDefault="00DF2ADF" w:rsidP="008D6827">
      <w:pPr>
        <w:pStyle w:val="Heading3"/>
      </w:pPr>
      <w:r w:rsidRPr="008D6827">
        <w:rPr>
          <w:lang w:eastAsia="en-GB"/>
        </w:rPr>
        <w:t>Find out more through</w:t>
      </w:r>
      <w:bookmarkStart w:id="96" w:name="_Hlk170764"/>
      <w:r w:rsidRPr="008D6827">
        <w:rPr>
          <w:lang w:eastAsia="en-GB"/>
        </w:rPr>
        <w:t> </w:t>
      </w:r>
      <w:hyperlink r:id="rId29" w:history="1">
        <w:r w:rsidRPr="00BD33E4">
          <w:rPr>
            <w:color w:val="0000FF"/>
            <w:u w:val="single"/>
          </w:rPr>
          <w:t>case studies</w:t>
        </w:r>
      </w:hyperlink>
      <w:bookmarkEnd w:id="96"/>
      <w:r w:rsidRPr="008D6827">
        <w:rPr>
          <w:lang w:eastAsia="en-GB"/>
        </w:rPr>
        <w:t> from across the country where primary care networks are already making a difference to staff and patients.</w:t>
      </w:r>
    </w:p>
    <w:p w14:paraId="3A67F61F" w14:textId="6E177A11" w:rsidR="00DF2ADF" w:rsidRDefault="00DF2ADF" w:rsidP="008D6827"/>
    <w:p w14:paraId="2B1DFF64" w14:textId="0D85D173" w:rsidR="005B5D6F" w:rsidRPr="008D6827" w:rsidRDefault="00DF2ADF" w:rsidP="005B5D6F">
      <w:pPr>
        <w:pStyle w:val="Heading3"/>
      </w:pPr>
      <w:r>
        <w:rPr>
          <w:lang w:eastAsia="en-GB"/>
        </w:rPr>
        <w:t xml:space="preserve">In </w:t>
      </w:r>
      <w:r w:rsidR="00A62B9B">
        <w:rPr>
          <w:lang w:eastAsia="en-GB"/>
        </w:rPr>
        <w:t xml:space="preserve">March 2020 </w:t>
      </w:r>
      <w:r>
        <w:rPr>
          <w:lang w:eastAsia="en-GB"/>
        </w:rPr>
        <w:t>, NHS England  publish</w:t>
      </w:r>
      <w:r w:rsidR="00A62B9B">
        <w:rPr>
          <w:lang w:eastAsia="en-GB"/>
        </w:rPr>
        <w:t>ed</w:t>
      </w:r>
      <w:r>
        <w:rPr>
          <w:lang w:eastAsia="en-GB"/>
        </w:rPr>
        <w:t xml:space="preserve"> </w:t>
      </w:r>
      <w:r w:rsidR="00AA0B94">
        <w:rPr>
          <w:lang w:eastAsia="en-GB"/>
        </w:rPr>
        <w:t xml:space="preserve">the </w:t>
      </w:r>
      <w:hyperlink r:id="rId30" w:history="1">
        <w:r w:rsidR="00AA0B94" w:rsidRPr="00C61E95">
          <w:rPr>
            <w:rStyle w:val="Hyperlink"/>
            <w:lang w:eastAsia="en-GB"/>
          </w:rPr>
          <w:t xml:space="preserve">Network Contract DES contract specification 2021/22 – PCN </w:t>
        </w:r>
        <w:r w:rsidR="00AA0B94">
          <w:rPr>
            <w:rStyle w:val="Hyperlink"/>
            <w:lang w:eastAsia="en-GB"/>
          </w:rPr>
          <w:t>R</w:t>
        </w:r>
        <w:r w:rsidR="00AA0B94" w:rsidRPr="00C61E95">
          <w:rPr>
            <w:rStyle w:val="Hyperlink"/>
            <w:lang w:eastAsia="en-GB"/>
          </w:rPr>
          <w:t xml:space="preserve">equirements and </w:t>
        </w:r>
        <w:r w:rsidR="00AA0B94">
          <w:rPr>
            <w:rStyle w:val="Hyperlink"/>
            <w:lang w:eastAsia="en-GB"/>
          </w:rPr>
          <w:t>E</w:t>
        </w:r>
        <w:r w:rsidR="00AA0B94" w:rsidRPr="00C61E95">
          <w:rPr>
            <w:rStyle w:val="Hyperlink"/>
            <w:lang w:eastAsia="en-GB"/>
          </w:rPr>
          <w:t>ntitlements</w:t>
        </w:r>
      </w:hyperlink>
      <w:r w:rsidR="00AA0B94">
        <w:rPr>
          <w:lang w:eastAsia="en-GB"/>
        </w:rPr>
        <w:t xml:space="preserve">, setting out eligibility requirements and the rights and obligations of practices, PCNs and commissioners under the DES. A range of </w:t>
      </w:r>
      <w:r>
        <w:rPr>
          <w:lang w:eastAsia="en-GB"/>
        </w:rPr>
        <w:t xml:space="preserve">additional information to assist commissioners and providers </w:t>
      </w:r>
      <w:r w:rsidR="00023E40">
        <w:rPr>
          <w:lang w:eastAsia="en-GB"/>
        </w:rPr>
        <w:t>in further developing</w:t>
      </w:r>
      <w:r>
        <w:rPr>
          <w:lang w:eastAsia="en-GB"/>
        </w:rPr>
        <w:t xml:space="preserve"> PCNs</w:t>
      </w:r>
      <w:r w:rsidR="005B5D6F" w:rsidRPr="005B5D6F">
        <w:rPr>
          <w:lang w:eastAsia="en-GB"/>
        </w:rPr>
        <w:t xml:space="preserve"> </w:t>
      </w:r>
      <w:r w:rsidR="005B5D6F">
        <w:rPr>
          <w:lang w:eastAsia="en-GB"/>
        </w:rPr>
        <w:t xml:space="preserve">is also available on the NHS England </w:t>
      </w:r>
      <w:hyperlink r:id="rId31" w:history="1">
        <w:r w:rsidR="005B5D6F" w:rsidRPr="00C61E95">
          <w:rPr>
            <w:rStyle w:val="Hyperlink"/>
            <w:lang w:eastAsia="en-GB"/>
          </w:rPr>
          <w:t>GP contract page</w:t>
        </w:r>
      </w:hyperlink>
      <w:r w:rsidR="005B5D6F">
        <w:rPr>
          <w:lang w:eastAsia="en-GB"/>
        </w:rPr>
        <w:t>.</w:t>
      </w:r>
    </w:p>
    <w:p w14:paraId="15B2E054" w14:textId="13BE82D5" w:rsidR="00DF2ADF" w:rsidRPr="008D6827" w:rsidRDefault="00DF2ADF" w:rsidP="005B5D6F">
      <w:pPr>
        <w:pStyle w:val="Heading3"/>
        <w:numPr>
          <w:ilvl w:val="0"/>
          <w:numId w:val="0"/>
        </w:numPr>
        <w:ind w:left="720"/>
      </w:pPr>
    </w:p>
    <w:bookmarkEnd w:id="92"/>
    <w:bookmarkEnd w:id="93"/>
    <w:p w14:paraId="0F383A08" w14:textId="1AA6A96A" w:rsidR="001C7059" w:rsidRPr="0015247B" w:rsidRDefault="001C7059" w:rsidP="0015247B">
      <w:r>
        <w:br w:type="page"/>
      </w:r>
    </w:p>
    <w:p w14:paraId="3E5B9FEA" w14:textId="7FE1A9B3" w:rsidR="0015247B" w:rsidRDefault="0015247B" w:rsidP="0015247B">
      <w:pPr>
        <w:pStyle w:val="Heading1"/>
      </w:pPr>
      <w:bookmarkStart w:id="97" w:name="_Toc95743365"/>
      <w:r w:rsidRPr="0015247B">
        <w:t>General Duties of NHS England (including addressing health inequalities)</w:t>
      </w:r>
      <w:bookmarkEnd w:id="97"/>
    </w:p>
    <w:p w14:paraId="0A537F26" w14:textId="77777777" w:rsidR="0015247B" w:rsidRDefault="0015247B" w:rsidP="0015247B"/>
    <w:p w14:paraId="7FACDDDF" w14:textId="77777777" w:rsidR="00DB7F92" w:rsidRPr="00DB7F92" w:rsidRDefault="00DB7F92" w:rsidP="00DB7F92">
      <w:pPr>
        <w:pStyle w:val="Heading2"/>
        <w:rPr>
          <w:lang w:eastAsia="en-GB"/>
        </w:rPr>
      </w:pPr>
      <w:bookmarkStart w:id="98" w:name="_Toc440981449"/>
      <w:bookmarkStart w:id="99" w:name="_Toc95743366"/>
      <w:r w:rsidRPr="00DB7F92">
        <w:rPr>
          <w:lang w:eastAsia="en-GB"/>
        </w:rPr>
        <w:t>Introduction</w:t>
      </w:r>
      <w:bookmarkEnd w:id="98"/>
      <w:bookmarkEnd w:id="99"/>
    </w:p>
    <w:p w14:paraId="1FE471A9" w14:textId="77777777" w:rsidR="00DB7F92" w:rsidRPr="00DB7F92" w:rsidRDefault="00DB7F92" w:rsidP="00C07707">
      <w:pPr>
        <w:pStyle w:val="Heading3"/>
        <w:rPr>
          <w:lang w:eastAsia="en-GB"/>
        </w:rPr>
      </w:pPr>
      <w:bookmarkStart w:id="100" w:name="_Toc440981450"/>
      <w:r w:rsidRPr="00DB7F92">
        <w:rPr>
          <w:lang w:eastAsia="en-GB"/>
        </w:rPr>
        <w:t>This</w:t>
      </w:r>
      <w:r w:rsidRPr="00DB7F92">
        <w:rPr>
          <w:spacing w:val="27"/>
          <w:lang w:eastAsia="en-GB"/>
        </w:rPr>
        <w:t xml:space="preserve"> </w:t>
      </w:r>
      <w:r w:rsidRPr="00DB7F92">
        <w:rPr>
          <w:lang w:eastAsia="en-GB"/>
        </w:rPr>
        <w:t>chapter</w:t>
      </w:r>
      <w:r w:rsidRPr="00DB7F92">
        <w:rPr>
          <w:spacing w:val="26"/>
          <w:lang w:eastAsia="en-GB"/>
        </w:rPr>
        <w:t xml:space="preserve"> </w:t>
      </w:r>
      <w:r w:rsidRPr="00DB7F92">
        <w:rPr>
          <w:lang w:eastAsia="en-GB"/>
        </w:rPr>
        <w:t>outlines</w:t>
      </w:r>
      <w:r w:rsidRPr="00DB7F92">
        <w:rPr>
          <w:spacing w:val="27"/>
          <w:lang w:eastAsia="en-GB"/>
        </w:rPr>
        <w:t xml:space="preserve"> </w:t>
      </w:r>
      <w:r w:rsidRPr="00DB7F92">
        <w:rPr>
          <w:lang w:eastAsia="en-GB"/>
        </w:rPr>
        <w:t>the general</w:t>
      </w:r>
      <w:r w:rsidRPr="00DB7F92">
        <w:rPr>
          <w:spacing w:val="26"/>
          <w:lang w:eastAsia="en-GB"/>
        </w:rPr>
        <w:t xml:space="preserve"> </w:t>
      </w:r>
      <w:r w:rsidRPr="00DB7F92">
        <w:rPr>
          <w:lang w:eastAsia="en-GB"/>
        </w:rPr>
        <w:t>duties</w:t>
      </w:r>
      <w:r w:rsidRPr="00DB7F92">
        <w:rPr>
          <w:spacing w:val="27"/>
          <w:lang w:eastAsia="en-GB"/>
        </w:rPr>
        <w:t xml:space="preserve"> </w:t>
      </w:r>
      <w:r w:rsidRPr="00DB7F92">
        <w:rPr>
          <w:lang w:eastAsia="en-GB"/>
        </w:rPr>
        <w:t>that</w:t>
      </w:r>
      <w:r w:rsidRPr="00DB7F92">
        <w:rPr>
          <w:spacing w:val="27"/>
          <w:lang w:eastAsia="en-GB"/>
        </w:rPr>
        <w:t xml:space="preserve"> NHS England </w:t>
      </w:r>
      <w:r w:rsidRPr="00DB7F92">
        <w:rPr>
          <w:lang w:eastAsia="en-GB"/>
        </w:rPr>
        <w:t>must</w:t>
      </w:r>
      <w:r w:rsidRPr="00DB7F92">
        <w:rPr>
          <w:spacing w:val="27"/>
          <w:lang w:eastAsia="en-GB"/>
        </w:rPr>
        <w:t xml:space="preserve"> </w:t>
      </w:r>
      <w:r w:rsidRPr="00DB7F92">
        <w:rPr>
          <w:lang w:eastAsia="en-GB"/>
        </w:rPr>
        <w:t>comply</w:t>
      </w:r>
      <w:r w:rsidRPr="00DB7F92">
        <w:rPr>
          <w:spacing w:val="52"/>
          <w:w w:val="99"/>
          <w:lang w:eastAsia="en-GB"/>
        </w:rPr>
        <w:t xml:space="preserve"> </w:t>
      </w:r>
      <w:r w:rsidRPr="00DB7F92">
        <w:rPr>
          <w:lang w:eastAsia="en-GB"/>
        </w:rPr>
        <w:t>with</w:t>
      </w:r>
      <w:r w:rsidRPr="00DB7F92">
        <w:rPr>
          <w:spacing w:val="9"/>
          <w:lang w:eastAsia="en-GB"/>
        </w:rPr>
        <w:t xml:space="preserve"> </w:t>
      </w:r>
      <w:r w:rsidRPr="00DB7F92">
        <w:rPr>
          <w:lang w:eastAsia="en-GB"/>
        </w:rPr>
        <w:t>that</w:t>
      </w:r>
      <w:r w:rsidRPr="00DB7F92">
        <w:rPr>
          <w:spacing w:val="10"/>
          <w:lang w:eastAsia="en-GB"/>
        </w:rPr>
        <w:t xml:space="preserve"> </w:t>
      </w:r>
      <w:r w:rsidRPr="00DB7F92">
        <w:rPr>
          <w:lang w:eastAsia="en-GB"/>
        </w:rPr>
        <w:t>are</w:t>
      </w:r>
      <w:r w:rsidRPr="00DB7F92">
        <w:rPr>
          <w:spacing w:val="10"/>
          <w:lang w:eastAsia="en-GB"/>
        </w:rPr>
        <w:t xml:space="preserve"> </w:t>
      </w:r>
      <w:r w:rsidRPr="00DB7F92">
        <w:rPr>
          <w:lang w:eastAsia="en-GB"/>
        </w:rPr>
        <w:t>likely</w:t>
      </w:r>
      <w:r w:rsidRPr="00DB7F92">
        <w:rPr>
          <w:spacing w:val="10"/>
          <w:lang w:eastAsia="en-GB"/>
        </w:rPr>
        <w:t xml:space="preserve"> </w:t>
      </w:r>
      <w:r w:rsidRPr="00DB7F92">
        <w:rPr>
          <w:spacing w:val="1"/>
          <w:lang w:eastAsia="en-GB"/>
        </w:rPr>
        <w:t>to</w:t>
      </w:r>
      <w:r w:rsidRPr="00DB7F92">
        <w:rPr>
          <w:spacing w:val="9"/>
          <w:lang w:eastAsia="en-GB"/>
        </w:rPr>
        <w:t xml:space="preserve"> </w:t>
      </w:r>
      <w:r w:rsidRPr="00DB7F92">
        <w:rPr>
          <w:lang w:eastAsia="en-GB"/>
        </w:rPr>
        <w:t>affect</w:t>
      </w:r>
      <w:r w:rsidRPr="00DB7F92">
        <w:rPr>
          <w:spacing w:val="9"/>
          <w:lang w:eastAsia="en-GB"/>
        </w:rPr>
        <w:t xml:space="preserve"> </w:t>
      </w:r>
      <w:r w:rsidRPr="00DB7F92">
        <w:rPr>
          <w:lang w:eastAsia="en-GB"/>
        </w:rPr>
        <w:t>the</w:t>
      </w:r>
      <w:r w:rsidRPr="00DB7F92">
        <w:rPr>
          <w:spacing w:val="11"/>
          <w:lang w:eastAsia="en-GB"/>
        </w:rPr>
        <w:t xml:space="preserve"> </w:t>
      </w:r>
      <w:r w:rsidRPr="00DB7F92">
        <w:rPr>
          <w:lang w:eastAsia="en-GB"/>
        </w:rPr>
        <w:t>decisions</w:t>
      </w:r>
      <w:r w:rsidRPr="00DB7F92">
        <w:rPr>
          <w:spacing w:val="12"/>
          <w:lang w:eastAsia="en-GB"/>
        </w:rPr>
        <w:t xml:space="preserve"> it </w:t>
      </w:r>
      <w:r w:rsidRPr="00DB7F92">
        <w:rPr>
          <w:lang w:eastAsia="en-GB"/>
        </w:rPr>
        <w:t>takes</w:t>
      </w:r>
      <w:r w:rsidRPr="00DB7F92">
        <w:rPr>
          <w:spacing w:val="11"/>
          <w:lang w:eastAsia="en-GB"/>
        </w:rPr>
        <w:t xml:space="preserve"> </w:t>
      </w:r>
      <w:r w:rsidRPr="00DB7F92">
        <w:rPr>
          <w:lang w:eastAsia="en-GB"/>
        </w:rPr>
        <w:t>regarding</w:t>
      </w:r>
      <w:r w:rsidRPr="00DB7F92">
        <w:rPr>
          <w:spacing w:val="10"/>
          <w:lang w:eastAsia="en-GB"/>
        </w:rPr>
        <w:t xml:space="preserve"> </w:t>
      </w:r>
      <w:r w:rsidRPr="00DB7F92">
        <w:rPr>
          <w:lang w:eastAsia="en-GB"/>
        </w:rPr>
        <w:t>the</w:t>
      </w:r>
      <w:r w:rsidRPr="00DB7F92">
        <w:rPr>
          <w:spacing w:val="11"/>
          <w:lang w:eastAsia="en-GB"/>
        </w:rPr>
        <w:t xml:space="preserve"> </w:t>
      </w:r>
      <w:r w:rsidRPr="00DB7F92">
        <w:rPr>
          <w:lang w:eastAsia="en-GB"/>
        </w:rPr>
        <w:t>provision</w:t>
      </w:r>
      <w:r w:rsidRPr="00DB7F92">
        <w:rPr>
          <w:spacing w:val="75"/>
          <w:lang w:eastAsia="en-GB"/>
        </w:rPr>
        <w:t xml:space="preserve"> </w:t>
      </w:r>
      <w:r w:rsidRPr="00DB7F92">
        <w:rPr>
          <w:lang w:eastAsia="en-GB"/>
        </w:rPr>
        <w:t>of</w:t>
      </w:r>
      <w:r w:rsidRPr="00DB7F92">
        <w:rPr>
          <w:spacing w:val="-6"/>
          <w:lang w:eastAsia="en-GB"/>
        </w:rPr>
        <w:t xml:space="preserve"> </w:t>
      </w:r>
      <w:r w:rsidRPr="00DB7F92">
        <w:rPr>
          <w:lang w:eastAsia="en-GB"/>
        </w:rPr>
        <w:t>primary</w:t>
      </w:r>
      <w:r w:rsidRPr="00DB7F92">
        <w:rPr>
          <w:spacing w:val="-7"/>
          <w:lang w:eastAsia="en-GB"/>
        </w:rPr>
        <w:t xml:space="preserve"> </w:t>
      </w:r>
      <w:r w:rsidRPr="00DB7F92">
        <w:rPr>
          <w:lang w:eastAsia="en-GB"/>
        </w:rPr>
        <w:t>care.</w:t>
      </w:r>
    </w:p>
    <w:p w14:paraId="19E9252E" w14:textId="77F37D29" w:rsidR="00DB7F92" w:rsidRPr="00DB7F92" w:rsidRDefault="00B83042" w:rsidP="00C07707">
      <w:pPr>
        <w:pStyle w:val="Heading3"/>
        <w:rPr>
          <w:lang w:eastAsia="en-GB"/>
        </w:rPr>
      </w:pPr>
      <w:r>
        <w:rPr>
          <w:lang w:eastAsia="en-GB"/>
        </w:rPr>
        <w:t>CCGs/ICBs</w:t>
      </w:r>
      <w:r w:rsidR="008B199F">
        <w:rPr>
          <w:lang w:eastAsia="en-GB"/>
        </w:rPr>
        <w:t xml:space="preserve"> </w:t>
      </w:r>
      <w:r w:rsidR="00DB7F92" w:rsidRPr="00DB7F92">
        <w:rPr>
          <w:lang w:eastAsia="en-GB"/>
        </w:rPr>
        <w:t xml:space="preserve">carrying out commissioning under delegated authority do so on behalf of NHS England.  </w:t>
      </w:r>
      <w:r>
        <w:rPr>
          <w:lang w:eastAsia="en-GB"/>
        </w:rPr>
        <w:t>CCGs/ICBs</w:t>
      </w:r>
      <w:r w:rsidR="008B199F">
        <w:rPr>
          <w:lang w:eastAsia="en-GB"/>
        </w:rPr>
        <w:t xml:space="preserve"> </w:t>
      </w:r>
      <w:r w:rsidR="00DB7F92" w:rsidRPr="00DB7F92">
        <w:rPr>
          <w:lang w:eastAsia="en-GB"/>
        </w:rPr>
        <w:t xml:space="preserve">need to comply with NHS England's legal duties when doing this – this is set out in the Delegation Agreement.  </w:t>
      </w:r>
      <w:r w:rsidR="00BC5F9C" w:rsidRPr="00DB7F92">
        <w:rPr>
          <w:lang w:eastAsia="en-GB"/>
        </w:rPr>
        <w:t>Therefore,</w:t>
      </w:r>
      <w:r w:rsidR="00DB7F92" w:rsidRPr="00DB7F92">
        <w:rPr>
          <w:lang w:eastAsia="en-GB"/>
        </w:rPr>
        <w:t xml:space="preserve"> this chapter is also relevant to </w:t>
      </w:r>
      <w:r>
        <w:rPr>
          <w:lang w:eastAsia="en-GB"/>
        </w:rPr>
        <w:t>CCGs/ICBs</w:t>
      </w:r>
      <w:r w:rsidR="00DB7F92" w:rsidRPr="00DB7F92">
        <w:rPr>
          <w:lang w:eastAsia="en-GB"/>
        </w:rPr>
        <w:t>.</w:t>
      </w:r>
    </w:p>
    <w:p w14:paraId="204425D0" w14:textId="39BA5E76" w:rsidR="00DB7F92" w:rsidRPr="00DB7F92" w:rsidRDefault="00DB7F92" w:rsidP="00C07707">
      <w:pPr>
        <w:pStyle w:val="Heading3"/>
        <w:rPr>
          <w:lang w:eastAsia="en-GB"/>
        </w:rPr>
      </w:pPr>
      <w:r w:rsidRPr="00DB7F92">
        <w:rPr>
          <w:lang w:eastAsia="en-GB"/>
        </w:rPr>
        <w:t xml:space="preserve">In many instances the duties placed on NHS England are mirrored by similar duties placed on </w:t>
      </w:r>
      <w:r w:rsidR="00B83042">
        <w:rPr>
          <w:lang w:eastAsia="en-GB"/>
        </w:rPr>
        <w:t>CCGs/ICBs</w:t>
      </w:r>
      <w:r w:rsidRPr="00DB7F92">
        <w:rPr>
          <w:lang w:eastAsia="en-GB"/>
        </w:rPr>
        <w:t>.  W</w:t>
      </w:r>
      <w:r w:rsidR="00912CCC">
        <w:rPr>
          <w:lang w:eastAsia="en-GB"/>
        </w:rPr>
        <w:t>e</w:t>
      </w:r>
      <w:r w:rsidRPr="00DB7F92">
        <w:rPr>
          <w:lang w:eastAsia="en-GB"/>
        </w:rPr>
        <w:t xml:space="preserve"> have highlighted the equivalent </w:t>
      </w:r>
      <w:r w:rsidR="00B83042">
        <w:rPr>
          <w:lang w:eastAsia="en-GB"/>
        </w:rPr>
        <w:t>CCG/ICB</w:t>
      </w:r>
      <w:r w:rsidRPr="00DB7F92">
        <w:rPr>
          <w:lang w:eastAsia="en-GB"/>
        </w:rPr>
        <w:t xml:space="preserve"> duty</w:t>
      </w:r>
      <w:r w:rsidR="007C3322">
        <w:rPr>
          <w:lang w:eastAsia="en-GB"/>
        </w:rPr>
        <w:t xml:space="preserve"> and will do so for ICSs in the next update</w:t>
      </w:r>
      <w:r w:rsidR="00192ACF">
        <w:rPr>
          <w:lang w:eastAsia="en-GB"/>
        </w:rPr>
        <w:t xml:space="preserve"> following and subject to the Health and Social Care Bill passing</w:t>
      </w:r>
      <w:r w:rsidRPr="00DB7F92">
        <w:rPr>
          <w:lang w:eastAsia="en-GB"/>
        </w:rPr>
        <w:t xml:space="preserve">.  However, this note does not cover any further </w:t>
      </w:r>
      <w:r w:rsidR="00B83042">
        <w:rPr>
          <w:lang w:eastAsia="en-GB"/>
        </w:rPr>
        <w:t>CCG/ICB</w:t>
      </w:r>
      <w:r w:rsidRPr="00DB7F92">
        <w:rPr>
          <w:lang w:eastAsia="en-GB"/>
        </w:rPr>
        <w:t xml:space="preserve"> duties that apply only to </w:t>
      </w:r>
      <w:r w:rsidR="00B83042">
        <w:rPr>
          <w:lang w:eastAsia="en-GB"/>
        </w:rPr>
        <w:t>CCGs/ICBs</w:t>
      </w:r>
      <w:r w:rsidR="008B199F">
        <w:rPr>
          <w:lang w:eastAsia="en-GB"/>
        </w:rPr>
        <w:t xml:space="preserve"> </w:t>
      </w:r>
      <w:r w:rsidRPr="00DB7F92">
        <w:rPr>
          <w:lang w:eastAsia="en-GB"/>
        </w:rPr>
        <w:t xml:space="preserve">and not to NHS England.  In this chapter "commissioners" refers to NHS England and </w:t>
      </w:r>
      <w:r w:rsidR="00B83042">
        <w:rPr>
          <w:lang w:eastAsia="en-GB"/>
        </w:rPr>
        <w:t>CCGs/ICBs</w:t>
      </w:r>
      <w:r w:rsidR="007C3322">
        <w:rPr>
          <w:lang w:eastAsia="en-GB"/>
        </w:rPr>
        <w:t xml:space="preserve"> under delegated authority</w:t>
      </w:r>
      <w:r w:rsidRPr="00DB7F92">
        <w:rPr>
          <w:lang w:eastAsia="en-GB"/>
        </w:rPr>
        <w:t>.</w:t>
      </w:r>
    </w:p>
    <w:p w14:paraId="716B56B4" w14:textId="49E0C477" w:rsidR="00DB7F92" w:rsidRPr="00DB7F92" w:rsidRDefault="00DB7F92" w:rsidP="00C07707">
      <w:pPr>
        <w:pStyle w:val="Heading3"/>
        <w:rPr>
          <w:lang w:eastAsia="en-GB"/>
        </w:rPr>
      </w:pPr>
      <w:r w:rsidRPr="00DB7F92">
        <w:rPr>
          <w:lang w:eastAsia="en-GB"/>
        </w:rPr>
        <w:t>There</w:t>
      </w:r>
      <w:r w:rsidRPr="00DB7F92">
        <w:rPr>
          <w:spacing w:val="59"/>
          <w:lang w:eastAsia="en-GB"/>
        </w:rPr>
        <w:t xml:space="preserve"> </w:t>
      </w:r>
      <w:r w:rsidRPr="00DB7F92">
        <w:rPr>
          <w:lang w:eastAsia="en-GB"/>
        </w:rPr>
        <w:t>are</w:t>
      </w:r>
      <w:r w:rsidRPr="00DB7F92">
        <w:rPr>
          <w:spacing w:val="60"/>
          <w:lang w:eastAsia="en-GB"/>
        </w:rPr>
        <w:t xml:space="preserve"> </w:t>
      </w:r>
      <w:r w:rsidRPr="00DB7F92">
        <w:rPr>
          <w:lang w:eastAsia="en-GB"/>
        </w:rPr>
        <w:t>many general</w:t>
      </w:r>
      <w:r w:rsidRPr="00DB7F92">
        <w:rPr>
          <w:spacing w:val="61"/>
          <w:lang w:eastAsia="en-GB"/>
        </w:rPr>
        <w:t xml:space="preserve"> </w:t>
      </w:r>
      <w:r w:rsidRPr="00DB7F92">
        <w:rPr>
          <w:lang w:eastAsia="en-GB"/>
        </w:rPr>
        <w:t>duties</w:t>
      </w:r>
      <w:r w:rsidRPr="00DB7F92">
        <w:rPr>
          <w:spacing w:val="60"/>
          <w:lang w:eastAsia="en-GB"/>
        </w:rPr>
        <w:t xml:space="preserve"> </w:t>
      </w:r>
      <w:r w:rsidRPr="00DB7F92">
        <w:rPr>
          <w:lang w:eastAsia="en-GB"/>
        </w:rPr>
        <w:t>on</w:t>
      </w:r>
      <w:r w:rsidRPr="00DB7F92">
        <w:rPr>
          <w:spacing w:val="61"/>
          <w:lang w:eastAsia="en-GB"/>
        </w:rPr>
        <w:t xml:space="preserve"> </w:t>
      </w:r>
      <w:r w:rsidRPr="00DB7F92">
        <w:rPr>
          <w:lang w:eastAsia="en-GB"/>
        </w:rPr>
        <w:t>commissioners. It</w:t>
      </w:r>
      <w:r w:rsidRPr="00DB7F92">
        <w:rPr>
          <w:spacing w:val="60"/>
          <w:lang w:eastAsia="en-GB"/>
        </w:rPr>
        <w:t xml:space="preserve"> </w:t>
      </w:r>
      <w:r w:rsidRPr="00DB7F92">
        <w:rPr>
          <w:lang w:eastAsia="en-GB"/>
        </w:rPr>
        <w:t>is</w:t>
      </w:r>
      <w:r w:rsidRPr="00DB7F92">
        <w:rPr>
          <w:spacing w:val="61"/>
          <w:lang w:eastAsia="en-GB"/>
        </w:rPr>
        <w:t xml:space="preserve"> </w:t>
      </w:r>
      <w:r w:rsidRPr="00DB7F92">
        <w:rPr>
          <w:lang w:eastAsia="en-GB"/>
        </w:rPr>
        <w:t>important</w:t>
      </w:r>
      <w:r w:rsidRPr="00DB7F92">
        <w:rPr>
          <w:spacing w:val="61"/>
          <w:lang w:eastAsia="en-GB"/>
        </w:rPr>
        <w:t xml:space="preserve"> </w:t>
      </w:r>
      <w:r w:rsidRPr="00DB7F92">
        <w:rPr>
          <w:lang w:eastAsia="en-GB"/>
        </w:rPr>
        <w:t>that</w:t>
      </w:r>
      <w:r w:rsidRPr="00DB7F92">
        <w:rPr>
          <w:spacing w:val="47"/>
          <w:w w:val="99"/>
          <w:lang w:eastAsia="en-GB"/>
        </w:rPr>
        <w:t xml:space="preserve"> </w:t>
      </w:r>
      <w:r w:rsidRPr="00DB7F92">
        <w:rPr>
          <w:lang w:eastAsia="en-GB"/>
        </w:rPr>
        <w:t>decision</w:t>
      </w:r>
      <w:r w:rsidR="00A46800">
        <w:rPr>
          <w:lang w:eastAsia="en-GB"/>
        </w:rPr>
        <w:t>-</w:t>
      </w:r>
      <w:r w:rsidRPr="00DB7F92">
        <w:rPr>
          <w:lang w:eastAsia="en-GB"/>
        </w:rPr>
        <w:t>makers</w:t>
      </w:r>
      <w:r w:rsidRPr="00DB7F92">
        <w:rPr>
          <w:spacing w:val="32"/>
          <w:lang w:eastAsia="en-GB"/>
        </w:rPr>
        <w:t xml:space="preserve"> </w:t>
      </w:r>
      <w:r w:rsidRPr="00DB7F92">
        <w:rPr>
          <w:lang w:eastAsia="en-GB"/>
        </w:rPr>
        <w:t>are</w:t>
      </w:r>
      <w:r w:rsidRPr="00DB7F92">
        <w:rPr>
          <w:spacing w:val="33"/>
          <w:lang w:eastAsia="en-GB"/>
        </w:rPr>
        <w:t xml:space="preserve"> </w:t>
      </w:r>
      <w:r w:rsidRPr="00DB7F92">
        <w:rPr>
          <w:lang w:eastAsia="en-GB"/>
        </w:rPr>
        <w:t>familiar</w:t>
      </w:r>
      <w:r w:rsidRPr="00DB7F92">
        <w:rPr>
          <w:spacing w:val="32"/>
          <w:lang w:eastAsia="en-GB"/>
        </w:rPr>
        <w:t xml:space="preserve"> </w:t>
      </w:r>
      <w:r w:rsidRPr="00DB7F92">
        <w:rPr>
          <w:lang w:eastAsia="en-GB"/>
        </w:rPr>
        <w:t>with</w:t>
      </w:r>
      <w:r w:rsidRPr="00DB7F92">
        <w:rPr>
          <w:spacing w:val="32"/>
          <w:lang w:eastAsia="en-GB"/>
        </w:rPr>
        <w:t xml:space="preserve"> </w:t>
      </w:r>
      <w:r w:rsidRPr="00DB7F92">
        <w:rPr>
          <w:spacing w:val="32"/>
          <w:u w:val="single"/>
          <w:lang w:eastAsia="en-GB"/>
        </w:rPr>
        <w:t>all</w:t>
      </w:r>
      <w:r w:rsidRPr="00DB7F92">
        <w:rPr>
          <w:spacing w:val="32"/>
          <w:lang w:eastAsia="en-GB"/>
        </w:rPr>
        <w:t xml:space="preserve"> </w:t>
      </w:r>
      <w:r w:rsidRPr="00DB7F92">
        <w:rPr>
          <w:lang w:eastAsia="en-GB"/>
        </w:rPr>
        <w:t>these duties</w:t>
      </w:r>
      <w:r w:rsidRPr="00DB7F92">
        <w:rPr>
          <w:spacing w:val="32"/>
          <w:lang w:eastAsia="en-GB"/>
        </w:rPr>
        <w:t xml:space="preserve"> </w:t>
      </w:r>
      <w:r w:rsidRPr="00DB7F92">
        <w:rPr>
          <w:lang w:eastAsia="en-GB"/>
        </w:rPr>
        <w:t>because</w:t>
      </w:r>
      <w:r w:rsidRPr="00DB7F92">
        <w:rPr>
          <w:spacing w:val="33"/>
          <w:lang w:eastAsia="en-GB"/>
        </w:rPr>
        <w:t xml:space="preserve"> </w:t>
      </w:r>
      <w:r w:rsidRPr="00DB7F92">
        <w:rPr>
          <w:lang w:eastAsia="en-GB"/>
        </w:rPr>
        <w:t>if</w:t>
      </w:r>
      <w:r w:rsidRPr="00DB7F92">
        <w:rPr>
          <w:spacing w:val="31"/>
          <w:lang w:eastAsia="en-GB"/>
        </w:rPr>
        <w:t xml:space="preserve"> </w:t>
      </w:r>
      <w:r w:rsidRPr="00DB7F92">
        <w:rPr>
          <w:lang w:eastAsia="en-GB"/>
        </w:rPr>
        <w:t>a</w:t>
      </w:r>
      <w:r w:rsidRPr="00DB7F92">
        <w:rPr>
          <w:spacing w:val="34"/>
          <w:lang w:eastAsia="en-GB"/>
        </w:rPr>
        <w:t xml:space="preserve"> </w:t>
      </w:r>
      <w:r w:rsidRPr="00DB7F92">
        <w:rPr>
          <w:lang w:eastAsia="en-GB"/>
        </w:rPr>
        <w:t>duty</w:t>
      </w:r>
      <w:r w:rsidRPr="00DB7F92">
        <w:rPr>
          <w:spacing w:val="32"/>
          <w:lang w:eastAsia="en-GB"/>
        </w:rPr>
        <w:t xml:space="preserve"> </w:t>
      </w:r>
      <w:r w:rsidRPr="00DB7F92">
        <w:rPr>
          <w:lang w:eastAsia="en-GB"/>
        </w:rPr>
        <w:t>has</w:t>
      </w:r>
      <w:r w:rsidRPr="00DB7F92">
        <w:rPr>
          <w:spacing w:val="34"/>
          <w:lang w:eastAsia="en-GB"/>
        </w:rPr>
        <w:t xml:space="preserve"> </w:t>
      </w:r>
      <w:r w:rsidRPr="00DB7F92">
        <w:rPr>
          <w:lang w:eastAsia="en-GB"/>
        </w:rPr>
        <w:t>not</w:t>
      </w:r>
      <w:r w:rsidRPr="00DB7F92">
        <w:rPr>
          <w:spacing w:val="45"/>
          <w:w w:val="99"/>
          <w:lang w:eastAsia="en-GB"/>
        </w:rPr>
        <w:t xml:space="preserve"> </w:t>
      </w:r>
      <w:r w:rsidRPr="00DB7F92">
        <w:rPr>
          <w:lang w:eastAsia="en-GB"/>
        </w:rPr>
        <w:t>been</w:t>
      </w:r>
      <w:r w:rsidRPr="00DB7F92">
        <w:rPr>
          <w:spacing w:val="8"/>
          <w:lang w:eastAsia="en-GB"/>
        </w:rPr>
        <w:t xml:space="preserve"> </w:t>
      </w:r>
      <w:r w:rsidRPr="00DB7F92">
        <w:rPr>
          <w:lang w:eastAsia="en-GB"/>
        </w:rPr>
        <w:t>complied</w:t>
      </w:r>
      <w:r w:rsidRPr="00DB7F92">
        <w:rPr>
          <w:spacing w:val="7"/>
          <w:lang w:eastAsia="en-GB"/>
        </w:rPr>
        <w:t xml:space="preserve"> </w:t>
      </w:r>
      <w:r w:rsidRPr="00DB7F92">
        <w:rPr>
          <w:lang w:eastAsia="en-GB"/>
        </w:rPr>
        <w:t>with</w:t>
      </w:r>
      <w:r w:rsidRPr="00DB7F92">
        <w:rPr>
          <w:spacing w:val="8"/>
          <w:lang w:eastAsia="en-GB"/>
        </w:rPr>
        <w:t xml:space="preserve"> </w:t>
      </w:r>
      <w:r w:rsidRPr="00DB7F92">
        <w:rPr>
          <w:lang w:eastAsia="en-GB"/>
        </w:rPr>
        <w:t>when</w:t>
      </w:r>
      <w:r w:rsidRPr="00DB7F92">
        <w:rPr>
          <w:spacing w:val="6"/>
          <w:lang w:eastAsia="en-GB"/>
        </w:rPr>
        <w:t xml:space="preserve"> </w:t>
      </w:r>
      <w:r w:rsidRPr="00DB7F92">
        <w:rPr>
          <w:lang w:eastAsia="en-GB"/>
        </w:rPr>
        <w:t>a</w:t>
      </w:r>
      <w:r w:rsidRPr="00DB7F92">
        <w:rPr>
          <w:spacing w:val="8"/>
          <w:lang w:eastAsia="en-GB"/>
        </w:rPr>
        <w:t xml:space="preserve"> </w:t>
      </w:r>
      <w:r w:rsidRPr="00DB7F92">
        <w:rPr>
          <w:lang w:eastAsia="en-GB"/>
        </w:rPr>
        <w:t>decision</w:t>
      </w:r>
      <w:r w:rsidRPr="00DB7F92">
        <w:rPr>
          <w:spacing w:val="8"/>
          <w:lang w:eastAsia="en-GB"/>
        </w:rPr>
        <w:t xml:space="preserve"> </w:t>
      </w:r>
      <w:r w:rsidRPr="00DB7F92">
        <w:rPr>
          <w:lang w:eastAsia="en-GB"/>
        </w:rPr>
        <w:t>is</w:t>
      </w:r>
      <w:r w:rsidRPr="00DB7F92">
        <w:rPr>
          <w:spacing w:val="7"/>
          <w:lang w:eastAsia="en-GB"/>
        </w:rPr>
        <w:t xml:space="preserve"> </w:t>
      </w:r>
      <w:r w:rsidRPr="00DB7F92">
        <w:rPr>
          <w:lang w:eastAsia="en-GB"/>
        </w:rPr>
        <w:t>taken,</w:t>
      </w:r>
      <w:r w:rsidRPr="00DB7F92">
        <w:rPr>
          <w:spacing w:val="6"/>
          <w:lang w:eastAsia="en-GB"/>
        </w:rPr>
        <w:t xml:space="preserve"> </w:t>
      </w:r>
      <w:r w:rsidRPr="00DB7F92">
        <w:rPr>
          <w:lang w:eastAsia="en-GB"/>
        </w:rPr>
        <w:t>that</w:t>
      </w:r>
      <w:r w:rsidRPr="00DB7F92">
        <w:rPr>
          <w:spacing w:val="6"/>
          <w:lang w:eastAsia="en-GB"/>
        </w:rPr>
        <w:t xml:space="preserve"> </w:t>
      </w:r>
      <w:r w:rsidRPr="00DB7F92">
        <w:rPr>
          <w:lang w:eastAsia="en-GB"/>
        </w:rPr>
        <w:t>decision</w:t>
      </w:r>
      <w:r w:rsidRPr="00DB7F92">
        <w:rPr>
          <w:spacing w:val="8"/>
          <w:lang w:eastAsia="en-GB"/>
        </w:rPr>
        <w:t xml:space="preserve"> </w:t>
      </w:r>
      <w:r w:rsidRPr="00DB7F92">
        <w:rPr>
          <w:lang w:eastAsia="en-GB"/>
        </w:rPr>
        <w:t>can</w:t>
      </w:r>
      <w:r w:rsidRPr="00DB7F92">
        <w:rPr>
          <w:spacing w:val="6"/>
          <w:lang w:eastAsia="en-GB"/>
        </w:rPr>
        <w:t xml:space="preserve"> </w:t>
      </w:r>
      <w:r w:rsidRPr="00DB7F92">
        <w:rPr>
          <w:lang w:eastAsia="en-GB"/>
        </w:rPr>
        <w:t>be</w:t>
      </w:r>
      <w:r w:rsidRPr="00DB7F92">
        <w:rPr>
          <w:spacing w:val="62"/>
          <w:w w:val="99"/>
          <w:lang w:eastAsia="en-GB"/>
        </w:rPr>
        <w:t xml:space="preserve"> </w:t>
      </w:r>
      <w:r w:rsidRPr="00DB7F92">
        <w:rPr>
          <w:lang w:eastAsia="en-GB"/>
        </w:rPr>
        <w:t>challenged</w:t>
      </w:r>
      <w:r w:rsidRPr="00DB7F92">
        <w:rPr>
          <w:spacing w:val="-4"/>
          <w:lang w:eastAsia="en-GB"/>
        </w:rPr>
        <w:t xml:space="preserve"> </w:t>
      </w:r>
      <w:r w:rsidRPr="00DB7F92">
        <w:rPr>
          <w:lang w:eastAsia="en-GB"/>
        </w:rPr>
        <w:t>in</w:t>
      </w:r>
      <w:r w:rsidRPr="00DB7F92">
        <w:rPr>
          <w:spacing w:val="-5"/>
          <w:lang w:eastAsia="en-GB"/>
        </w:rPr>
        <w:t xml:space="preserve"> </w:t>
      </w:r>
      <w:r w:rsidRPr="00DB7F92">
        <w:rPr>
          <w:lang w:eastAsia="en-GB"/>
        </w:rPr>
        <w:t>the</w:t>
      </w:r>
      <w:r w:rsidRPr="00DB7F92">
        <w:rPr>
          <w:spacing w:val="-3"/>
          <w:lang w:eastAsia="en-GB"/>
        </w:rPr>
        <w:t xml:space="preserve"> </w:t>
      </w:r>
      <w:r w:rsidRPr="00DB7F92">
        <w:rPr>
          <w:lang w:eastAsia="en-GB"/>
        </w:rPr>
        <w:t>courts</w:t>
      </w:r>
      <w:r w:rsidRPr="00DB7F92">
        <w:rPr>
          <w:spacing w:val="-4"/>
          <w:lang w:eastAsia="en-GB"/>
        </w:rPr>
        <w:t xml:space="preserve"> </w:t>
      </w:r>
      <w:r w:rsidRPr="00DB7F92">
        <w:rPr>
          <w:lang w:eastAsia="en-GB"/>
        </w:rPr>
        <w:t>on</w:t>
      </w:r>
      <w:r w:rsidRPr="00DB7F92">
        <w:rPr>
          <w:spacing w:val="-5"/>
          <w:lang w:eastAsia="en-GB"/>
        </w:rPr>
        <w:t xml:space="preserve"> </w:t>
      </w:r>
      <w:r w:rsidRPr="00DB7F92">
        <w:rPr>
          <w:lang w:eastAsia="en-GB"/>
        </w:rPr>
        <w:t>the</w:t>
      </w:r>
      <w:r w:rsidRPr="00DB7F92">
        <w:rPr>
          <w:spacing w:val="-3"/>
          <w:lang w:eastAsia="en-GB"/>
        </w:rPr>
        <w:t xml:space="preserve"> </w:t>
      </w:r>
      <w:r w:rsidRPr="00DB7F92">
        <w:rPr>
          <w:lang w:eastAsia="en-GB"/>
        </w:rPr>
        <w:t>grounds</w:t>
      </w:r>
      <w:r w:rsidRPr="00DB7F92">
        <w:rPr>
          <w:spacing w:val="-4"/>
          <w:lang w:eastAsia="en-GB"/>
        </w:rPr>
        <w:t xml:space="preserve"> </w:t>
      </w:r>
      <w:r w:rsidRPr="00DB7F92">
        <w:rPr>
          <w:lang w:eastAsia="en-GB"/>
        </w:rPr>
        <w:t>that</w:t>
      </w:r>
      <w:r w:rsidRPr="00DB7F92">
        <w:rPr>
          <w:spacing w:val="-4"/>
          <w:lang w:eastAsia="en-GB"/>
        </w:rPr>
        <w:t xml:space="preserve"> </w:t>
      </w:r>
      <w:r w:rsidRPr="00DB7F92">
        <w:rPr>
          <w:lang w:eastAsia="en-GB"/>
        </w:rPr>
        <w:t>it</w:t>
      </w:r>
      <w:r w:rsidRPr="00DB7F92">
        <w:rPr>
          <w:spacing w:val="-2"/>
          <w:lang w:eastAsia="en-GB"/>
        </w:rPr>
        <w:t xml:space="preserve"> </w:t>
      </w:r>
      <w:r w:rsidRPr="00DB7F92">
        <w:rPr>
          <w:lang w:eastAsia="en-GB"/>
        </w:rPr>
        <w:t>is</w:t>
      </w:r>
      <w:r w:rsidRPr="00DB7F92">
        <w:rPr>
          <w:spacing w:val="-5"/>
          <w:lang w:eastAsia="en-GB"/>
        </w:rPr>
        <w:t xml:space="preserve"> </w:t>
      </w:r>
      <w:r w:rsidRPr="00DB7F92">
        <w:rPr>
          <w:lang w:eastAsia="en-GB"/>
        </w:rPr>
        <w:t>unlawful.</w:t>
      </w:r>
    </w:p>
    <w:p w14:paraId="3DEA35CC" w14:textId="77777777" w:rsidR="00DB7F92" w:rsidRPr="00DB7F92" w:rsidRDefault="00DB7F92" w:rsidP="00C07707">
      <w:pPr>
        <w:pStyle w:val="Heading3"/>
        <w:rPr>
          <w:lang w:eastAsia="en-GB"/>
        </w:rPr>
      </w:pPr>
      <w:r w:rsidRPr="00DB7F92">
        <w:rPr>
          <w:lang w:eastAsia="en-GB"/>
        </w:rPr>
        <w:t>This</w:t>
      </w:r>
      <w:r w:rsidRPr="00DB7F92">
        <w:rPr>
          <w:spacing w:val="4"/>
          <w:lang w:eastAsia="en-GB"/>
        </w:rPr>
        <w:t xml:space="preserve"> </w:t>
      </w:r>
      <w:r w:rsidRPr="00DB7F92">
        <w:rPr>
          <w:lang w:eastAsia="en-GB"/>
        </w:rPr>
        <w:t>guidance</w:t>
      </w:r>
      <w:r w:rsidRPr="00DB7F92">
        <w:rPr>
          <w:spacing w:val="4"/>
          <w:lang w:eastAsia="en-GB"/>
        </w:rPr>
        <w:t xml:space="preserve"> </w:t>
      </w:r>
      <w:r w:rsidRPr="00DB7F92">
        <w:rPr>
          <w:lang w:eastAsia="en-GB"/>
        </w:rPr>
        <w:t>looks</w:t>
      </w:r>
      <w:r w:rsidRPr="00DB7F92">
        <w:rPr>
          <w:spacing w:val="4"/>
          <w:lang w:eastAsia="en-GB"/>
        </w:rPr>
        <w:t xml:space="preserve"> </w:t>
      </w:r>
      <w:r w:rsidRPr="00DB7F92">
        <w:rPr>
          <w:lang w:eastAsia="en-GB"/>
        </w:rPr>
        <w:t>at</w:t>
      </w:r>
      <w:r w:rsidRPr="00DB7F92">
        <w:rPr>
          <w:spacing w:val="6"/>
          <w:lang w:eastAsia="en-GB"/>
        </w:rPr>
        <w:t xml:space="preserve"> </w:t>
      </w:r>
      <w:r w:rsidRPr="00DB7F92">
        <w:rPr>
          <w:lang w:eastAsia="en-GB"/>
        </w:rPr>
        <w:t>the</w:t>
      </w:r>
      <w:r w:rsidRPr="00DB7F92">
        <w:rPr>
          <w:spacing w:val="2"/>
          <w:lang w:eastAsia="en-GB"/>
        </w:rPr>
        <w:t xml:space="preserve"> general </w:t>
      </w:r>
      <w:r w:rsidRPr="00DB7F92">
        <w:rPr>
          <w:lang w:eastAsia="en-GB"/>
        </w:rPr>
        <w:t>duties</w:t>
      </w:r>
      <w:r w:rsidRPr="00DB7F92">
        <w:rPr>
          <w:spacing w:val="4"/>
          <w:lang w:eastAsia="en-GB"/>
        </w:rPr>
        <w:t xml:space="preserve"> </w:t>
      </w:r>
      <w:r w:rsidRPr="00DB7F92">
        <w:rPr>
          <w:lang w:eastAsia="en-GB"/>
        </w:rPr>
        <w:t>that</w:t>
      </w:r>
      <w:r w:rsidRPr="00DB7F92">
        <w:rPr>
          <w:spacing w:val="6"/>
          <w:lang w:eastAsia="en-GB"/>
        </w:rPr>
        <w:t xml:space="preserve"> </w:t>
      </w:r>
      <w:r w:rsidRPr="00DB7F92">
        <w:rPr>
          <w:lang w:eastAsia="en-GB"/>
        </w:rPr>
        <w:t>commissioners</w:t>
      </w:r>
      <w:r w:rsidRPr="00DB7F92">
        <w:rPr>
          <w:spacing w:val="4"/>
          <w:lang w:eastAsia="en-GB"/>
        </w:rPr>
        <w:t xml:space="preserve"> </w:t>
      </w:r>
      <w:r w:rsidRPr="00DB7F92">
        <w:rPr>
          <w:lang w:eastAsia="en-GB"/>
        </w:rPr>
        <w:t>are</w:t>
      </w:r>
      <w:r w:rsidRPr="00DB7F92">
        <w:rPr>
          <w:spacing w:val="4"/>
          <w:lang w:eastAsia="en-GB"/>
        </w:rPr>
        <w:t xml:space="preserve"> </w:t>
      </w:r>
      <w:r w:rsidRPr="00DB7F92">
        <w:rPr>
          <w:lang w:eastAsia="en-GB"/>
        </w:rPr>
        <w:t>required</w:t>
      </w:r>
      <w:r w:rsidRPr="00DB7F92">
        <w:rPr>
          <w:spacing w:val="3"/>
          <w:lang w:eastAsia="en-GB"/>
        </w:rPr>
        <w:t xml:space="preserve"> </w:t>
      </w:r>
      <w:r w:rsidRPr="00DB7F92">
        <w:rPr>
          <w:lang w:eastAsia="en-GB"/>
        </w:rPr>
        <w:t>to</w:t>
      </w:r>
      <w:r w:rsidRPr="00DB7F92">
        <w:rPr>
          <w:spacing w:val="51"/>
          <w:lang w:eastAsia="en-GB"/>
        </w:rPr>
        <w:t xml:space="preserve"> </w:t>
      </w:r>
      <w:r w:rsidRPr="00DB7F92">
        <w:rPr>
          <w:lang w:eastAsia="en-GB"/>
        </w:rPr>
        <w:t>comply with that are most applicable to primary care,</w:t>
      </w:r>
      <w:r w:rsidRPr="00DB7F92">
        <w:rPr>
          <w:spacing w:val="2"/>
          <w:lang w:eastAsia="en-GB"/>
        </w:rPr>
        <w:t xml:space="preserve"> </w:t>
      </w:r>
      <w:r w:rsidRPr="00DB7F92">
        <w:rPr>
          <w:lang w:eastAsia="en-GB"/>
        </w:rPr>
        <w:t>providing</w:t>
      </w:r>
      <w:r w:rsidRPr="00DB7F92">
        <w:rPr>
          <w:spacing w:val="3"/>
          <w:lang w:eastAsia="en-GB"/>
        </w:rPr>
        <w:t xml:space="preserve"> </w:t>
      </w:r>
      <w:r w:rsidRPr="00DB7F92">
        <w:rPr>
          <w:lang w:eastAsia="en-GB"/>
        </w:rPr>
        <w:t>examples</w:t>
      </w:r>
      <w:r w:rsidRPr="00DB7F92">
        <w:rPr>
          <w:spacing w:val="60"/>
          <w:w w:val="99"/>
          <w:lang w:eastAsia="en-GB"/>
        </w:rPr>
        <w:t xml:space="preserve"> </w:t>
      </w:r>
      <w:r w:rsidRPr="00DB7F92">
        <w:rPr>
          <w:lang w:eastAsia="en-GB"/>
        </w:rPr>
        <w:t>to</w:t>
      </w:r>
      <w:r w:rsidRPr="00DB7F92">
        <w:rPr>
          <w:spacing w:val="-6"/>
          <w:lang w:eastAsia="en-GB"/>
        </w:rPr>
        <w:t xml:space="preserve"> </w:t>
      </w:r>
      <w:r w:rsidRPr="00DB7F92">
        <w:rPr>
          <w:lang w:eastAsia="en-GB"/>
        </w:rPr>
        <w:t>illustrate</w:t>
      </w:r>
      <w:r w:rsidRPr="00DB7F92">
        <w:rPr>
          <w:spacing w:val="-5"/>
          <w:lang w:eastAsia="en-GB"/>
        </w:rPr>
        <w:t xml:space="preserve"> </w:t>
      </w:r>
      <w:r w:rsidRPr="00DB7F92">
        <w:rPr>
          <w:lang w:eastAsia="en-GB"/>
        </w:rPr>
        <w:t>how</w:t>
      </w:r>
      <w:r w:rsidRPr="00DB7F92">
        <w:rPr>
          <w:spacing w:val="-5"/>
          <w:lang w:eastAsia="en-GB"/>
        </w:rPr>
        <w:t xml:space="preserve"> </w:t>
      </w:r>
      <w:r w:rsidRPr="00DB7F92">
        <w:rPr>
          <w:lang w:eastAsia="en-GB"/>
        </w:rPr>
        <w:t>they</w:t>
      </w:r>
      <w:r w:rsidRPr="00DB7F92">
        <w:rPr>
          <w:spacing w:val="-4"/>
          <w:lang w:eastAsia="en-GB"/>
        </w:rPr>
        <w:t xml:space="preserve"> </w:t>
      </w:r>
      <w:r w:rsidRPr="00DB7F92">
        <w:rPr>
          <w:lang w:eastAsia="en-GB"/>
        </w:rPr>
        <w:t>might</w:t>
      </w:r>
      <w:r w:rsidRPr="00DB7F92">
        <w:rPr>
          <w:spacing w:val="-5"/>
          <w:lang w:eastAsia="en-GB"/>
        </w:rPr>
        <w:t xml:space="preserve"> </w:t>
      </w:r>
      <w:r w:rsidRPr="00DB7F92">
        <w:rPr>
          <w:lang w:eastAsia="en-GB"/>
        </w:rPr>
        <w:t>affect</w:t>
      </w:r>
      <w:r w:rsidRPr="00DB7F92">
        <w:rPr>
          <w:spacing w:val="-5"/>
          <w:lang w:eastAsia="en-GB"/>
        </w:rPr>
        <w:t xml:space="preserve"> </w:t>
      </w:r>
      <w:r w:rsidRPr="00DB7F92">
        <w:rPr>
          <w:lang w:eastAsia="en-GB"/>
        </w:rPr>
        <w:t>decision</w:t>
      </w:r>
      <w:r w:rsidRPr="00DB7F92">
        <w:rPr>
          <w:spacing w:val="-5"/>
          <w:lang w:eastAsia="en-GB"/>
        </w:rPr>
        <w:t xml:space="preserve"> </w:t>
      </w:r>
      <w:r w:rsidRPr="00DB7F92">
        <w:rPr>
          <w:lang w:eastAsia="en-GB"/>
        </w:rPr>
        <w:t xml:space="preserve">making. </w:t>
      </w:r>
    </w:p>
    <w:p w14:paraId="5D1E9711" w14:textId="08743B16" w:rsidR="00DB7F92" w:rsidRPr="00DB7F92" w:rsidRDefault="00DB7F92" w:rsidP="00C07707">
      <w:pPr>
        <w:pStyle w:val="Heading3"/>
        <w:rPr>
          <w:lang w:eastAsia="en-GB"/>
        </w:rPr>
      </w:pPr>
      <w:r w:rsidRPr="00DB7F92">
        <w:rPr>
          <w:lang w:eastAsia="en-GB"/>
        </w:rPr>
        <w:t xml:space="preserve">Reference should be made to the previous chapter on delegated commissioning arrangements for primary care. As has been noted, under such arrangements NHS England retains the legal responsibility for compliance with the duties in respect of primary medical care commissioning. Accordingly, NHS England will require assurance that its statutory functions are being discharged effectively by a </w:t>
      </w:r>
      <w:r w:rsidR="00B83042">
        <w:rPr>
          <w:lang w:eastAsia="en-GB"/>
        </w:rPr>
        <w:t>CCG/ICB</w:t>
      </w:r>
      <w:r w:rsidRPr="00DB7F92">
        <w:rPr>
          <w:lang w:eastAsia="en-GB"/>
        </w:rPr>
        <w:t xml:space="preserve">. This underlines the importance of compliance with the duties outlined in this chapter. </w:t>
      </w:r>
    </w:p>
    <w:p w14:paraId="79965DB6" w14:textId="77777777" w:rsidR="00DB7F92" w:rsidRPr="00DB7F92" w:rsidRDefault="00DB7F92" w:rsidP="00C07707">
      <w:pPr>
        <w:pStyle w:val="Heading3"/>
        <w:rPr>
          <w:lang w:eastAsia="en-GB"/>
        </w:rPr>
      </w:pPr>
      <w:r w:rsidRPr="00DB7F92">
        <w:rPr>
          <w:spacing w:val="10"/>
          <w:lang w:eastAsia="en-GB"/>
        </w:rPr>
        <w:t xml:space="preserve">In the text box below </w:t>
      </w:r>
      <w:r w:rsidRPr="00DB7F92">
        <w:rPr>
          <w:lang w:eastAsia="en-GB"/>
        </w:rPr>
        <w:t>is</w:t>
      </w:r>
      <w:r w:rsidRPr="00DB7F92">
        <w:rPr>
          <w:spacing w:val="11"/>
          <w:lang w:eastAsia="en-GB"/>
        </w:rPr>
        <w:t xml:space="preserve"> </w:t>
      </w:r>
      <w:r w:rsidRPr="00DB7F92">
        <w:rPr>
          <w:lang w:eastAsia="en-GB"/>
        </w:rPr>
        <w:t>a</w:t>
      </w:r>
      <w:r w:rsidRPr="00DB7F92">
        <w:rPr>
          <w:spacing w:val="10"/>
          <w:lang w:eastAsia="en-GB"/>
        </w:rPr>
        <w:t xml:space="preserve"> </w:t>
      </w:r>
      <w:r w:rsidRPr="00DB7F92">
        <w:rPr>
          <w:lang w:eastAsia="en-GB"/>
        </w:rPr>
        <w:t>summary</w:t>
      </w:r>
      <w:r w:rsidRPr="00DB7F92">
        <w:rPr>
          <w:spacing w:val="10"/>
          <w:lang w:eastAsia="en-GB"/>
        </w:rPr>
        <w:t xml:space="preserve"> </w:t>
      </w:r>
      <w:r w:rsidRPr="00DB7F92">
        <w:rPr>
          <w:lang w:eastAsia="en-GB"/>
        </w:rPr>
        <w:t>of</w:t>
      </w:r>
      <w:r w:rsidRPr="00DB7F92">
        <w:rPr>
          <w:spacing w:val="6"/>
          <w:lang w:eastAsia="en-GB"/>
        </w:rPr>
        <w:t xml:space="preserve"> </w:t>
      </w:r>
      <w:r w:rsidRPr="00DB7F92">
        <w:rPr>
          <w:lang w:eastAsia="en-GB"/>
        </w:rPr>
        <w:t>the</w:t>
      </w:r>
      <w:r w:rsidRPr="00DB7F92">
        <w:rPr>
          <w:spacing w:val="9"/>
          <w:lang w:eastAsia="en-GB"/>
        </w:rPr>
        <w:t xml:space="preserve"> </w:t>
      </w:r>
      <w:r w:rsidRPr="00DB7F92">
        <w:rPr>
          <w:lang w:eastAsia="en-GB"/>
        </w:rPr>
        <w:t>duties</w:t>
      </w:r>
      <w:r w:rsidRPr="00DB7F92">
        <w:rPr>
          <w:spacing w:val="11"/>
          <w:lang w:eastAsia="en-GB"/>
        </w:rPr>
        <w:t xml:space="preserve"> </w:t>
      </w:r>
      <w:r w:rsidRPr="00DB7F92">
        <w:rPr>
          <w:lang w:eastAsia="en-GB"/>
        </w:rPr>
        <w:t>that</w:t>
      </w:r>
      <w:r w:rsidRPr="00DB7F92">
        <w:rPr>
          <w:spacing w:val="11"/>
          <w:lang w:eastAsia="en-GB"/>
        </w:rPr>
        <w:t xml:space="preserve"> </w:t>
      </w:r>
      <w:r w:rsidRPr="00DB7F92">
        <w:rPr>
          <w:lang w:eastAsia="en-GB"/>
        </w:rPr>
        <w:t>are</w:t>
      </w:r>
      <w:r w:rsidRPr="00DB7F92">
        <w:rPr>
          <w:spacing w:val="9"/>
          <w:lang w:eastAsia="en-GB"/>
        </w:rPr>
        <w:t xml:space="preserve"> </w:t>
      </w:r>
      <w:r w:rsidRPr="00DB7F92">
        <w:rPr>
          <w:lang w:eastAsia="en-GB"/>
        </w:rPr>
        <w:t>covered</w:t>
      </w:r>
      <w:r w:rsidRPr="00DB7F92">
        <w:rPr>
          <w:spacing w:val="9"/>
          <w:lang w:eastAsia="en-GB"/>
        </w:rPr>
        <w:t xml:space="preserve"> </w:t>
      </w:r>
      <w:r w:rsidRPr="00DB7F92">
        <w:rPr>
          <w:lang w:eastAsia="en-GB"/>
        </w:rPr>
        <w:t>by</w:t>
      </w:r>
      <w:r w:rsidRPr="00DB7F92">
        <w:rPr>
          <w:spacing w:val="10"/>
          <w:lang w:eastAsia="en-GB"/>
        </w:rPr>
        <w:t xml:space="preserve"> </w:t>
      </w:r>
      <w:r w:rsidRPr="00DB7F92">
        <w:rPr>
          <w:lang w:eastAsia="en-GB"/>
        </w:rPr>
        <w:t>this</w:t>
      </w:r>
      <w:r w:rsidRPr="00DB7F92">
        <w:rPr>
          <w:spacing w:val="11"/>
          <w:lang w:eastAsia="en-GB"/>
        </w:rPr>
        <w:t xml:space="preserve"> </w:t>
      </w:r>
      <w:r w:rsidRPr="00DB7F92">
        <w:rPr>
          <w:lang w:eastAsia="en-GB"/>
        </w:rPr>
        <w:t>chapter.</w:t>
      </w:r>
      <w:r w:rsidRPr="00DB7F92">
        <w:rPr>
          <w:spacing w:val="21"/>
          <w:lang w:eastAsia="en-GB"/>
        </w:rPr>
        <w:t xml:space="preserve"> </w:t>
      </w:r>
      <w:r w:rsidRPr="00DB7F92">
        <w:rPr>
          <w:lang w:eastAsia="en-GB"/>
        </w:rPr>
        <w:t>The</w:t>
      </w:r>
      <w:r w:rsidRPr="00DB7F92">
        <w:rPr>
          <w:spacing w:val="33"/>
          <w:lang w:eastAsia="en-GB"/>
        </w:rPr>
        <w:t xml:space="preserve"> </w:t>
      </w:r>
      <w:r w:rsidRPr="00DB7F92">
        <w:rPr>
          <w:lang w:eastAsia="en-GB"/>
        </w:rPr>
        <w:t>chapter (from 2 onwards)</w:t>
      </w:r>
      <w:r w:rsidRPr="00DB7F92">
        <w:rPr>
          <w:spacing w:val="59"/>
          <w:w w:val="99"/>
          <w:lang w:eastAsia="en-GB"/>
        </w:rPr>
        <w:t xml:space="preserve"> </w:t>
      </w:r>
      <w:r w:rsidRPr="00DB7F92">
        <w:rPr>
          <w:lang w:eastAsia="en-GB"/>
        </w:rPr>
        <w:t>goes</w:t>
      </w:r>
      <w:r w:rsidRPr="00DB7F92">
        <w:rPr>
          <w:spacing w:val="-4"/>
          <w:lang w:eastAsia="en-GB"/>
        </w:rPr>
        <w:t xml:space="preserve"> </w:t>
      </w:r>
      <w:r w:rsidRPr="00DB7F92">
        <w:rPr>
          <w:lang w:eastAsia="en-GB"/>
        </w:rPr>
        <w:t>on</w:t>
      </w:r>
      <w:r w:rsidRPr="00DB7F92">
        <w:rPr>
          <w:spacing w:val="-4"/>
          <w:lang w:eastAsia="en-GB"/>
        </w:rPr>
        <w:t xml:space="preserve"> </w:t>
      </w:r>
      <w:r w:rsidRPr="00DB7F92">
        <w:rPr>
          <w:lang w:eastAsia="en-GB"/>
        </w:rPr>
        <w:t>to</w:t>
      </w:r>
      <w:r w:rsidRPr="00DB7F92">
        <w:rPr>
          <w:spacing w:val="-2"/>
          <w:lang w:eastAsia="en-GB"/>
        </w:rPr>
        <w:t xml:space="preserve"> </w:t>
      </w:r>
      <w:r w:rsidRPr="00DB7F92">
        <w:rPr>
          <w:lang w:eastAsia="en-GB"/>
        </w:rPr>
        <w:t>look at each</w:t>
      </w:r>
      <w:r w:rsidRPr="00DB7F92">
        <w:rPr>
          <w:spacing w:val="-2"/>
          <w:lang w:eastAsia="en-GB"/>
        </w:rPr>
        <w:t xml:space="preserve"> </w:t>
      </w:r>
      <w:r w:rsidRPr="00DB7F92">
        <w:rPr>
          <w:lang w:eastAsia="en-GB"/>
        </w:rPr>
        <w:t>of</w:t>
      </w:r>
      <w:r w:rsidRPr="00DB7F92">
        <w:rPr>
          <w:spacing w:val="-2"/>
          <w:lang w:eastAsia="en-GB"/>
        </w:rPr>
        <w:t xml:space="preserve"> </w:t>
      </w:r>
      <w:r w:rsidRPr="00DB7F92">
        <w:rPr>
          <w:lang w:eastAsia="en-GB"/>
        </w:rPr>
        <w:t>the</w:t>
      </w:r>
      <w:r w:rsidRPr="00DB7F92">
        <w:rPr>
          <w:spacing w:val="-2"/>
          <w:lang w:eastAsia="en-GB"/>
        </w:rPr>
        <w:t xml:space="preserve"> </w:t>
      </w:r>
      <w:r w:rsidRPr="00DB7F92">
        <w:rPr>
          <w:lang w:eastAsia="en-GB"/>
        </w:rPr>
        <w:t>duties in</w:t>
      </w:r>
      <w:r w:rsidRPr="00DB7F92">
        <w:rPr>
          <w:spacing w:val="-4"/>
          <w:lang w:eastAsia="en-GB"/>
        </w:rPr>
        <w:t xml:space="preserve"> </w:t>
      </w:r>
      <w:r w:rsidRPr="00DB7F92">
        <w:rPr>
          <w:lang w:eastAsia="en-GB"/>
        </w:rPr>
        <w:t>more</w:t>
      </w:r>
      <w:r w:rsidRPr="00DB7F92">
        <w:rPr>
          <w:spacing w:val="-3"/>
          <w:lang w:eastAsia="en-GB"/>
        </w:rPr>
        <w:t xml:space="preserve"> </w:t>
      </w:r>
      <w:r w:rsidRPr="00DB7F92">
        <w:rPr>
          <w:lang w:eastAsia="en-GB"/>
        </w:rPr>
        <w:t xml:space="preserve">detail. A table of contents is also provided for clarity. </w:t>
      </w:r>
    </w:p>
    <w:p w14:paraId="1895F699" w14:textId="77777777" w:rsidR="00DB7F92" w:rsidRPr="00DB7F92" w:rsidRDefault="00DB7F92" w:rsidP="00DB7F92">
      <w:pPr>
        <w:widowControl w:val="0"/>
        <w:tabs>
          <w:tab w:val="left" w:pos="1559"/>
        </w:tabs>
        <w:spacing w:before="198" w:after="120"/>
        <w:ind w:left="838" w:right="115"/>
        <w:jc w:val="both"/>
        <w:rPr>
          <w:rFonts w:cs="Arial"/>
          <w:bCs w:val="0"/>
          <w:spacing w:val="-1"/>
          <w:sz w:val="20"/>
          <w:szCs w:val="20"/>
          <w:lang w:eastAsia="en-GB"/>
        </w:rPr>
      </w:pPr>
    </w:p>
    <w:tbl>
      <w:tblPr>
        <w:tblStyle w:val="TableGrid1"/>
        <w:tblW w:w="0" w:type="auto"/>
        <w:tblInd w:w="838" w:type="dxa"/>
        <w:tblLook w:val="04A0" w:firstRow="1" w:lastRow="0" w:firstColumn="1" w:lastColumn="0" w:noHBand="0" w:noVBand="1"/>
        <w:tblCaption w:val="Contents"/>
        <w:tblDescription w:val="Contents"/>
      </w:tblPr>
      <w:tblGrid>
        <w:gridCol w:w="2053"/>
        <w:gridCol w:w="6409"/>
      </w:tblGrid>
      <w:tr w:rsidR="00DB7F92" w:rsidRPr="00DB7F92" w14:paraId="4E627E35" w14:textId="77777777" w:rsidTr="00E509C8">
        <w:trPr>
          <w:tblHeader/>
        </w:trPr>
        <w:tc>
          <w:tcPr>
            <w:tcW w:w="8688" w:type="dxa"/>
            <w:gridSpan w:val="2"/>
          </w:tcPr>
          <w:p w14:paraId="4C21F937" w14:textId="77777777" w:rsidR="00DB7F92" w:rsidRPr="00DB7F92" w:rsidRDefault="00DB7F92" w:rsidP="00DB7F92">
            <w:pPr>
              <w:widowControl w:val="0"/>
              <w:tabs>
                <w:tab w:val="left" w:pos="1559"/>
              </w:tabs>
              <w:spacing w:before="198" w:after="120"/>
              <w:ind w:right="115"/>
              <w:jc w:val="both"/>
              <w:rPr>
                <w:rFonts w:cs="Arial"/>
                <w:b/>
                <w:bCs w:val="0"/>
                <w:spacing w:val="-1"/>
                <w:sz w:val="20"/>
                <w:szCs w:val="20"/>
                <w:lang w:eastAsia="en-GB"/>
              </w:rPr>
            </w:pPr>
            <w:r w:rsidRPr="00DB7F92">
              <w:rPr>
                <w:rFonts w:cs="Arial"/>
                <w:b/>
                <w:bCs w:val="0"/>
                <w:spacing w:val="-1"/>
                <w:sz w:val="20"/>
                <w:szCs w:val="20"/>
                <w:lang w:eastAsia="en-GB"/>
              </w:rPr>
              <w:t xml:space="preserve">Table of contents </w:t>
            </w:r>
          </w:p>
        </w:tc>
      </w:tr>
      <w:tr w:rsidR="00DB7F92" w:rsidRPr="00DB7F92" w14:paraId="6C2DB730" w14:textId="77777777" w:rsidTr="00E509C8">
        <w:tc>
          <w:tcPr>
            <w:tcW w:w="2105" w:type="dxa"/>
          </w:tcPr>
          <w:p w14:paraId="33909F2E" w14:textId="49830AAD" w:rsidR="00DB7F92" w:rsidRPr="00272DF9" w:rsidRDefault="00DB7F92" w:rsidP="00782D1D">
            <w:pPr>
              <w:widowControl w:val="0"/>
              <w:tabs>
                <w:tab w:val="left" w:pos="1559"/>
              </w:tabs>
              <w:spacing w:before="198" w:after="120"/>
              <w:ind w:right="115"/>
              <w:jc w:val="both"/>
              <w:rPr>
                <w:rFonts w:cs="Arial"/>
                <w:bCs w:val="0"/>
                <w:spacing w:val="-1"/>
                <w:sz w:val="20"/>
                <w:szCs w:val="20"/>
                <w:lang w:eastAsia="en-GB"/>
              </w:rPr>
            </w:pPr>
            <w:r w:rsidRPr="0000534D">
              <w:rPr>
                <w:rFonts w:cs="Arial"/>
                <w:bCs w:val="0"/>
                <w:spacing w:val="-1"/>
                <w:sz w:val="20"/>
                <w:szCs w:val="20"/>
                <w:lang w:eastAsia="en-GB"/>
              </w:rPr>
              <w:t>Page [</w:t>
            </w:r>
            <w:r w:rsidR="0088364D" w:rsidRPr="0000534D">
              <w:rPr>
                <w:rFonts w:cs="Arial"/>
                <w:bCs w:val="0"/>
                <w:spacing w:val="-1"/>
                <w:sz w:val="20"/>
                <w:szCs w:val="20"/>
                <w:lang w:eastAsia="en-GB"/>
              </w:rPr>
              <w:t>2</w:t>
            </w:r>
            <w:r w:rsidR="00782D1D" w:rsidRPr="0000534D">
              <w:rPr>
                <w:rFonts w:cs="Arial"/>
                <w:bCs w:val="0"/>
                <w:spacing w:val="-1"/>
                <w:sz w:val="20"/>
                <w:szCs w:val="20"/>
                <w:lang w:eastAsia="en-GB"/>
              </w:rPr>
              <w:t>6</w:t>
            </w:r>
            <w:r w:rsidRPr="0000534D">
              <w:rPr>
                <w:rFonts w:cs="Arial"/>
                <w:bCs w:val="0"/>
                <w:spacing w:val="-1"/>
                <w:sz w:val="20"/>
                <w:szCs w:val="20"/>
                <w:lang w:eastAsia="en-GB"/>
              </w:rPr>
              <w:t>] – [</w:t>
            </w:r>
            <w:r w:rsidR="0088364D" w:rsidRPr="0000534D">
              <w:rPr>
                <w:rFonts w:cs="Arial"/>
                <w:bCs w:val="0"/>
                <w:spacing w:val="-1"/>
                <w:sz w:val="20"/>
                <w:szCs w:val="20"/>
                <w:lang w:eastAsia="en-GB"/>
              </w:rPr>
              <w:t>2</w:t>
            </w:r>
            <w:r w:rsidR="00782D1D" w:rsidRPr="0000534D">
              <w:rPr>
                <w:rFonts w:cs="Arial"/>
                <w:bCs w:val="0"/>
                <w:spacing w:val="-1"/>
                <w:sz w:val="20"/>
                <w:szCs w:val="20"/>
                <w:lang w:eastAsia="en-GB"/>
              </w:rPr>
              <w:t>9</w:t>
            </w:r>
            <w:r w:rsidRPr="0000534D">
              <w:rPr>
                <w:rFonts w:cs="Arial"/>
                <w:bCs w:val="0"/>
                <w:spacing w:val="-1"/>
                <w:sz w:val="20"/>
                <w:szCs w:val="20"/>
                <w:lang w:eastAsia="en-GB"/>
              </w:rPr>
              <w:t>]</w:t>
            </w:r>
            <w:r w:rsidRPr="00272DF9">
              <w:rPr>
                <w:rFonts w:cs="Arial"/>
                <w:bCs w:val="0"/>
                <w:spacing w:val="-1"/>
                <w:sz w:val="20"/>
                <w:szCs w:val="20"/>
                <w:lang w:eastAsia="en-GB"/>
              </w:rPr>
              <w:t xml:space="preserve"> </w:t>
            </w:r>
          </w:p>
        </w:tc>
        <w:tc>
          <w:tcPr>
            <w:tcW w:w="6583" w:type="dxa"/>
          </w:tcPr>
          <w:p w14:paraId="4E377F14" w14:textId="77777777" w:rsidR="00DB7F92" w:rsidRPr="00DB7F92" w:rsidRDefault="00DB7F92" w:rsidP="00DB7F92">
            <w:pPr>
              <w:widowControl w:val="0"/>
              <w:tabs>
                <w:tab w:val="left" w:pos="1559"/>
              </w:tabs>
              <w:spacing w:before="198" w:after="120"/>
              <w:ind w:right="115"/>
              <w:jc w:val="both"/>
              <w:rPr>
                <w:rFonts w:cs="Arial"/>
                <w:b/>
                <w:bCs w:val="0"/>
                <w:spacing w:val="-1"/>
                <w:sz w:val="20"/>
                <w:szCs w:val="20"/>
                <w:lang w:eastAsia="en-GB"/>
              </w:rPr>
            </w:pPr>
            <w:r w:rsidRPr="00DB7F92">
              <w:rPr>
                <w:rFonts w:cs="Arial"/>
                <w:b/>
                <w:bCs w:val="0"/>
                <w:spacing w:val="-1"/>
                <w:sz w:val="20"/>
                <w:szCs w:val="20"/>
                <w:lang w:eastAsia="en-GB"/>
              </w:rPr>
              <w:t xml:space="preserve">Summary of duties covered by this chapter </w:t>
            </w:r>
          </w:p>
          <w:p w14:paraId="4212F42A" w14:textId="77777777" w:rsidR="00DB7F92" w:rsidRPr="00DB7F92" w:rsidRDefault="00DB7F92" w:rsidP="00DB7F92">
            <w:pPr>
              <w:widowControl w:val="0"/>
              <w:tabs>
                <w:tab w:val="left" w:pos="1559"/>
              </w:tabs>
              <w:spacing w:before="198" w:after="120"/>
              <w:ind w:right="115"/>
              <w:jc w:val="both"/>
              <w:rPr>
                <w:rFonts w:cs="Arial"/>
                <w:b/>
                <w:bCs w:val="0"/>
                <w:spacing w:val="-1"/>
                <w:sz w:val="20"/>
                <w:szCs w:val="20"/>
                <w:lang w:eastAsia="en-GB"/>
              </w:rPr>
            </w:pPr>
          </w:p>
        </w:tc>
      </w:tr>
      <w:tr w:rsidR="00DB7F92" w:rsidRPr="00DB7F92" w14:paraId="1D0435BE" w14:textId="77777777" w:rsidTr="00E509C8">
        <w:tc>
          <w:tcPr>
            <w:tcW w:w="2105" w:type="dxa"/>
          </w:tcPr>
          <w:p w14:paraId="30D994AA" w14:textId="77777777" w:rsidR="00DB7F92" w:rsidRPr="00272DF9" w:rsidRDefault="00DB7F92" w:rsidP="00DB7F92">
            <w:pPr>
              <w:widowControl w:val="0"/>
              <w:tabs>
                <w:tab w:val="left" w:pos="1559"/>
              </w:tabs>
              <w:spacing w:before="198" w:after="120"/>
              <w:ind w:right="115"/>
              <w:jc w:val="both"/>
              <w:rPr>
                <w:rFonts w:cs="Arial"/>
                <w:bCs w:val="0"/>
                <w:spacing w:val="-1"/>
                <w:sz w:val="20"/>
                <w:szCs w:val="20"/>
                <w:lang w:eastAsia="en-GB"/>
              </w:rPr>
            </w:pPr>
          </w:p>
          <w:p w14:paraId="26290AB6" w14:textId="6B2E26B4" w:rsidR="00DB7F92" w:rsidRPr="0000534D" w:rsidRDefault="00DB7F92" w:rsidP="00DB7F92">
            <w:pPr>
              <w:widowControl w:val="0"/>
              <w:tabs>
                <w:tab w:val="left" w:pos="1559"/>
              </w:tabs>
              <w:spacing w:before="198" w:after="120"/>
              <w:ind w:right="115"/>
              <w:jc w:val="both"/>
              <w:rPr>
                <w:rFonts w:cs="Arial"/>
                <w:bCs w:val="0"/>
                <w:spacing w:val="-1"/>
                <w:sz w:val="20"/>
                <w:szCs w:val="20"/>
                <w:lang w:eastAsia="en-GB"/>
              </w:rPr>
            </w:pPr>
            <w:r w:rsidRPr="0000534D">
              <w:rPr>
                <w:rFonts w:cs="Arial"/>
                <w:bCs w:val="0"/>
                <w:spacing w:val="-1"/>
                <w:sz w:val="20"/>
                <w:szCs w:val="20"/>
                <w:lang w:eastAsia="en-GB"/>
              </w:rPr>
              <w:t>Page [</w:t>
            </w:r>
            <w:r w:rsidR="00272DF9" w:rsidRPr="0000534D">
              <w:rPr>
                <w:rFonts w:cs="Arial"/>
                <w:bCs w:val="0"/>
                <w:spacing w:val="-1"/>
                <w:sz w:val="20"/>
                <w:szCs w:val="20"/>
                <w:lang w:eastAsia="en-GB"/>
              </w:rPr>
              <w:t>30</w:t>
            </w:r>
            <w:r w:rsidRPr="0000534D">
              <w:rPr>
                <w:rFonts w:cs="Arial"/>
                <w:bCs w:val="0"/>
                <w:spacing w:val="-1"/>
                <w:sz w:val="20"/>
                <w:szCs w:val="20"/>
                <w:lang w:eastAsia="en-GB"/>
              </w:rPr>
              <w:t>] – [</w:t>
            </w:r>
            <w:r w:rsidR="00272DF9" w:rsidRPr="0000534D">
              <w:rPr>
                <w:rFonts w:cs="Arial"/>
                <w:bCs w:val="0"/>
                <w:spacing w:val="-1"/>
                <w:sz w:val="20"/>
                <w:szCs w:val="20"/>
                <w:lang w:eastAsia="en-GB"/>
              </w:rPr>
              <w:t>37</w:t>
            </w:r>
            <w:r w:rsidRPr="0000534D">
              <w:rPr>
                <w:rFonts w:cs="Arial"/>
                <w:bCs w:val="0"/>
                <w:spacing w:val="-1"/>
                <w:sz w:val="20"/>
                <w:szCs w:val="20"/>
                <w:lang w:eastAsia="en-GB"/>
              </w:rPr>
              <w:t>]</w:t>
            </w:r>
          </w:p>
          <w:p w14:paraId="0F8CB080" w14:textId="648FB310" w:rsidR="00DB7F92" w:rsidRPr="00272DF9" w:rsidRDefault="00DB7F92" w:rsidP="00272DF9">
            <w:pPr>
              <w:widowControl w:val="0"/>
              <w:tabs>
                <w:tab w:val="left" w:pos="1559"/>
              </w:tabs>
              <w:spacing w:before="198" w:after="120"/>
              <w:ind w:right="115"/>
              <w:jc w:val="both"/>
              <w:rPr>
                <w:rFonts w:cs="Arial"/>
                <w:bCs w:val="0"/>
                <w:spacing w:val="-1"/>
                <w:sz w:val="20"/>
                <w:szCs w:val="20"/>
                <w:lang w:eastAsia="en-GB"/>
              </w:rPr>
            </w:pPr>
            <w:r w:rsidRPr="0000534D">
              <w:rPr>
                <w:rFonts w:cs="Arial"/>
                <w:bCs w:val="0"/>
                <w:spacing w:val="-1"/>
                <w:sz w:val="20"/>
                <w:szCs w:val="20"/>
                <w:lang w:eastAsia="en-GB"/>
              </w:rPr>
              <w:t>Page [</w:t>
            </w:r>
            <w:r w:rsidR="00272DF9" w:rsidRPr="0000534D">
              <w:rPr>
                <w:rFonts w:cs="Arial"/>
                <w:bCs w:val="0"/>
                <w:spacing w:val="-1"/>
                <w:sz w:val="20"/>
                <w:szCs w:val="20"/>
                <w:lang w:eastAsia="en-GB"/>
              </w:rPr>
              <w:t>38</w:t>
            </w:r>
            <w:r w:rsidRPr="0000534D">
              <w:rPr>
                <w:rFonts w:cs="Arial"/>
                <w:bCs w:val="0"/>
                <w:spacing w:val="-1"/>
                <w:sz w:val="20"/>
                <w:szCs w:val="20"/>
                <w:lang w:eastAsia="en-GB"/>
              </w:rPr>
              <w:t>]</w:t>
            </w:r>
          </w:p>
        </w:tc>
        <w:tc>
          <w:tcPr>
            <w:tcW w:w="6583" w:type="dxa"/>
          </w:tcPr>
          <w:p w14:paraId="235BE3D0" w14:textId="77777777" w:rsidR="00DB7F92" w:rsidRPr="00DB7F92" w:rsidRDefault="00DB7F92" w:rsidP="00DB7F92">
            <w:pPr>
              <w:widowControl w:val="0"/>
              <w:tabs>
                <w:tab w:val="left" w:pos="1559"/>
              </w:tabs>
              <w:spacing w:before="198" w:after="120"/>
              <w:ind w:right="115"/>
              <w:jc w:val="both"/>
              <w:rPr>
                <w:rFonts w:cs="Arial"/>
                <w:b/>
                <w:bCs w:val="0"/>
                <w:spacing w:val="-1"/>
                <w:sz w:val="20"/>
                <w:szCs w:val="20"/>
                <w:lang w:eastAsia="en-GB"/>
              </w:rPr>
            </w:pPr>
            <w:r w:rsidRPr="00DB7F92">
              <w:rPr>
                <w:rFonts w:cs="Arial"/>
                <w:b/>
                <w:bCs w:val="0"/>
                <w:spacing w:val="-1"/>
                <w:sz w:val="20"/>
                <w:szCs w:val="20"/>
                <w:lang w:eastAsia="en-GB"/>
              </w:rPr>
              <w:t xml:space="preserve">Equality and Health Inequalities duties  </w:t>
            </w:r>
          </w:p>
          <w:p w14:paraId="173F56B7" w14:textId="77777777" w:rsidR="00DB7F92" w:rsidRPr="00DB7F92" w:rsidRDefault="00DB7F92" w:rsidP="00DB7F92">
            <w:pPr>
              <w:widowControl w:val="0"/>
              <w:tabs>
                <w:tab w:val="left" w:pos="1559"/>
              </w:tabs>
              <w:spacing w:before="198" w:after="120"/>
              <w:ind w:right="115"/>
              <w:jc w:val="both"/>
              <w:rPr>
                <w:rFonts w:cs="Arial"/>
                <w:bCs w:val="0"/>
                <w:spacing w:val="-1"/>
                <w:sz w:val="20"/>
                <w:szCs w:val="20"/>
                <w:lang w:eastAsia="en-GB"/>
              </w:rPr>
            </w:pPr>
            <w:r w:rsidRPr="00DB7F92">
              <w:rPr>
                <w:rFonts w:cs="Arial"/>
                <w:bCs w:val="0"/>
                <w:spacing w:val="-1"/>
                <w:sz w:val="20"/>
                <w:szCs w:val="20"/>
                <w:lang w:eastAsia="en-GB"/>
              </w:rPr>
              <w:t xml:space="preserve">a) Equality Act 2010 </w:t>
            </w:r>
          </w:p>
          <w:p w14:paraId="73EE6E23" w14:textId="77777777" w:rsidR="00DB7F92" w:rsidRPr="00DB7F92" w:rsidRDefault="00DB7F92" w:rsidP="00DB7F92">
            <w:pPr>
              <w:widowControl w:val="0"/>
              <w:tabs>
                <w:tab w:val="left" w:pos="1559"/>
              </w:tabs>
              <w:spacing w:before="198" w:after="120"/>
              <w:ind w:right="115"/>
              <w:jc w:val="both"/>
              <w:rPr>
                <w:rFonts w:cs="Arial"/>
                <w:bCs w:val="0"/>
                <w:spacing w:val="-1"/>
                <w:sz w:val="20"/>
                <w:szCs w:val="20"/>
                <w:lang w:eastAsia="en-GB"/>
              </w:rPr>
            </w:pPr>
            <w:r w:rsidRPr="00DB7F92">
              <w:rPr>
                <w:rFonts w:cs="Arial"/>
                <w:bCs w:val="0"/>
                <w:spacing w:val="-1"/>
                <w:sz w:val="20"/>
                <w:szCs w:val="20"/>
                <w:lang w:eastAsia="en-GB"/>
              </w:rPr>
              <w:t xml:space="preserve">b) NHS Act 2006 </w:t>
            </w:r>
          </w:p>
        </w:tc>
      </w:tr>
      <w:tr w:rsidR="00DB7F92" w:rsidRPr="00DB7F92" w14:paraId="6A463FE8" w14:textId="77777777" w:rsidTr="00E509C8">
        <w:tc>
          <w:tcPr>
            <w:tcW w:w="2105" w:type="dxa"/>
          </w:tcPr>
          <w:p w14:paraId="458E8BC5" w14:textId="4C21050C" w:rsidR="00DB7F92" w:rsidRPr="0000534D" w:rsidRDefault="00DB7F92" w:rsidP="00272DF9">
            <w:pPr>
              <w:widowControl w:val="0"/>
              <w:tabs>
                <w:tab w:val="left" w:pos="1559"/>
              </w:tabs>
              <w:spacing w:before="198" w:after="120"/>
              <w:ind w:right="115"/>
              <w:jc w:val="both"/>
              <w:rPr>
                <w:rFonts w:cs="Arial"/>
                <w:bCs w:val="0"/>
                <w:spacing w:val="-1"/>
                <w:sz w:val="20"/>
                <w:szCs w:val="20"/>
                <w:lang w:eastAsia="en-GB"/>
              </w:rPr>
            </w:pPr>
            <w:r w:rsidRPr="0000534D">
              <w:rPr>
                <w:rFonts w:cs="Arial"/>
                <w:bCs w:val="0"/>
                <w:spacing w:val="-1"/>
                <w:sz w:val="20"/>
                <w:szCs w:val="20"/>
                <w:lang w:eastAsia="en-GB"/>
              </w:rPr>
              <w:t>Page [</w:t>
            </w:r>
            <w:r w:rsidR="00272DF9" w:rsidRPr="0000534D">
              <w:rPr>
                <w:rFonts w:cs="Arial"/>
                <w:bCs w:val="0"/>
                <w:spacing w:val="-1"/>
                <w:sz w:val="20"/>
                <w:szCs w:val="20"/>
                <w:lang w:eastAsia="en-GB"/>
              </w:rPr>
              <w:t>39</w:t>
            </w:r>
            <w:r w:rsidRPr="0000534D">
              <w:rPr>
                <w:rFonts w:cs="Arial"/>
                <w:bCs w:val="0"/>
                <w:spacing w:val="-1"/>
                <w:sz w:val="20"/>
                <w:szCs w:val="20"/>
                <w:lang w:eastAsia="en-GB"/>
              </w:rPr>
              <w:t>] – [</w:t>
            </w:r>
            <w:r w:rsidR="00272DF9" w:rsidRPr="0000534D">
              <w:rPr>
                <w:rFonts w:cs="Arial"/>
                <w:bCs w:val="0"/>
                <w:spacing w:val="-1"/>
                <w:sz w:val="20"/>
                <w:szCs w:val="20"/>
                <w:lang w:eastAsia="en-GB"/>
              </w:rPr>
              <w:t>57</w:t>
            </w:r>
            <w:r w:rsidRPr="0000534D">
              <w:rPr>
                <w:rFonts w:cs="Arial"/>
                <w:bCs w:val="0"/>
                <w:spacing w:val="-1"/>
                <w:sz w:val="20"/>
                <w:szCs w:val="20"/>
                <w:lang w:eastAsia="en-GB"/>
              </w:rPr>
              <w:t>]</w:t>
            </w:r>
          </w:p>
        </w:tc>
        <w:tc>
          <w:tcPr>
            <w:tcW w:w="6583" w:type="dxa"/>
          </w:tcPr>
          <w:p w14:paraId="0894E4EE" w14:textId="77777777" w:rsidR="00DB7F92" w:rsidRPr="00DB7F92" w:rsidRDefault="00DB7F92" w:rsidP="00DB7F92">
            <w:pPr>
              <w:widowControl w:val="0"/>
              <w:tabs>
                <w:tab w:val="left" w:pos="1559"/>
              </w:tabs>
              <w:spacing w:before="198" w:after="120"/>
              <w:ind w:right="115"/>
              <w:jc w:val="both"/>
              <w:rPr>
                <w:rFonts w:cs="Arial"/>
                <w:b/>
                <w:bCs w:val="0"/>
                <w:spacing w:val="-1"/>
                <w:sz w:val="20"/>
                <w:szCs w:val="20"/>
                <w:lang w:eastAsia="en-GB"/>
              </w:rPr>
            </w:pPr>
            <w:r w:rsidRPr="00DB7F92">
              <w:rPr>
                <w:rFonts w:cs="Arial"/>
                <w:b/>
                <w:bCs w:val="0"/>
                <w:spacing w:val="-1"/>
                <w:sz w:val="20"/>
                <w:szCs w:val="20"/>
                <w:lang w:eastAsia="en-GB"/>
              </w:rPr>
              <w:t>Other non-equality and health inequalities related duties</w:t>
            </w:r>
          </w:p>
          <w:p w14:paraId="531F2233" w14:textId="77777777" w:rsidR="00DB7F92" w:rsidRPr="00DB7F92" w:rsidRDefault="00DB7F92" w:rsidP="00DB7F92">
            <w:pPr>
              <w:widowControl w:val="0"/>
              <w:tabs>
                <w:tab w:val="left" w:pos="1559"/>
              </w:tabs>
              <w:spacing w:before="198" w:after="120"/>
              <w:ind w:right="115"/>
              <w:jc w:val="both"/>
              <w:rPr>
                <w:rFonts w:cs="Arial"/>
                <w:bCs w:val="0"/>
                <w:spacing w:val="-1"/>
                <w:sz w:val="20"/>
                <w:szCs w:val="20"/>
                <w:lang w:eastAsia="en-GB"/>
              </w:rPr>
            </w:pPr>
          </w:p>
          <w:p w14:paraId="6C6FF104" w14:textId="77777777" w:rsidR="00DB7F92" w:rsidRPr="00DB7F92" w:rsidRDefault="00DB7F92" w:rsidP="00DB7F92">
            <w:pPr>
              <w:rPr>
                <w:rFonts w:cs="Arial"/>
                <w:sz w:val="20"/>
                <w:szCs w:val="20"/>
              </w:rPr>
            </w:pPr>
            <w:r w:rsidRPr="00DB7F92">
              <w:rPr>
                <w:rFonts w:cs="Arial"/>
                <w:sz w:val="20"/>
                <w:szCs w:val="20"/>
              </w:rPr>
              <w:t>The "Regard Duties"</w:t>
            </w:r>
          </w:p>
          <w:p w14:paraId="1D7E1546" w14:textId="77777777" w:rsidR="00DB7F92" w:rsidRPr="00DB7F92" w:rsidRDefault="00DB7F92" w:rsidP="00DB7F92">
            <w:pPr>
              <w:widowControl w:val="0"/>
              <w:tabs>
                <w:tab w:val="left" w:pos="1559"/>
              </w:tabs>
              <w:spacing w:before="198" w:after="120"/>
              <w:ind w:left="720" w:right="115"/>
              <w:jc w:val="both"/>
              <w:rPr>
                <w:rFonts w:cs="Arial"/>
                <w:bCs w:val="0"/>
                <w:spacing w:val="-1"/>
                <w:sz w:val="20"/>
                <w:szCs w:val="20"/>
                <w:lang w:eastAsia="en-GB"/>
              </w:rPr>
            </w:pPr>
            <w:r w:rsidRPr="00DB7F92">
              <w:rPr>
                <w:rFonts w:cs="Arial"/>
                <w:bCs w:val="0"/>
                <w:spacing w:val="-1"/>
                <w:sz w:val="20"/>
                <w:szCs w:val="20"/>
                <w:lang w:eastAsia="en-GB"/>
              </w:rPr>
              <w:t>The "View To Duties"</w:t>
            </w:r>
          </w:p>
          <w:p w14:paraId="0902EAC9" w14:textId="77777777" w:rsidR="00DB7F92" w:rsidRPr="00DB7F92" w:rsidRDefault="00DB7F92" w:rsidP="00DB7F92">
            <w:pPr>
              <w:widowControl w:val="0"/>
              <w:tabs>
                <w:tab w:val="left" w:pos="1559"/>
              </w:tabs>
              <w:spacing w:before="198" w:after="120"/>
              <w:ind w:left="720" w:right="115"/>
              <w:jc w:val="both"/>
              <w:rPr>
                <w:rFonts w:cs="Arial"/>
                <w:bCs w:val="0"/>
                <w:spacing w:val="-1"/>
                <w:sz w:val="20"/>
                <w:szCs w:val="20"/>
                <w:lang w:eastAsia="en-GB"/>
              </w:rPr>
            </w:pPr>
            <w:r w:rsidRPr="00DB7F92">
              <w:rPr>
                <w:rFonts w:cs="Arial"/>
                <w:bCs w:val="0"/>
                <w:spacing w:val="-1"/>
                <w:sz w:val="20"/>
                <w:szCs w:val="20"/>
                <w:lang w:eastAsia="en-GB"/>
              </w:rPr>
              <w:t>The "Promote Duties"</w:t>
            </w:r>
          </w:p>
          <w:p w14:paraId="4FF5D804" w14:textId="77777777" w:rsidR="00DB7F92" w:rsidRPr="00DB7F92" w:rsidRDefault="00DB7F92" w:rsidP="00DB7F92">
            <w:pPr>
              <w:widowControl w:val="0"/>
              <w:tabs>
                <w:tab w:val="left" w:pos="1559"/>
              </w:tabs>
              <w:spacing w:before="198" w:after="120"/>
              <w:ind w:left="720" w:right="115"/>
              <w:jc w:val="both"/>
              <w:rPr>
                <w:rFonts w:cs="Arial"/>
                <w:bCs w:val="0"/>
                <w:spacing w:val="-1"/>
                <w:sz w:val="20"/>
                <w:szCs w:val="20"/>
                <w:lang w:eastAsia="en-GB"/>
              </w:rPr>
            </w:pPr>
            <w:r w:rsidRPr="00DB7F92">
              <w:rPr>
                <w:rFonts w:cs="Arial"/>
                <w:bCs w:val="0"/>
                <w:spacing w:val="-1"/>
                <w:sz w:val="20"/>
                <w:szCs w:val="20"/>
                <w:lang w:eastAsia="en-GB"/>
              </w:rPr>
              <w:t xml:space="preserve">The "Involvement Duty" </w:t>
            </w:r>
          </w:p>
          <w:p w14:paraId="256CF7BB" w14:textId="77777777" w:rsidR="00DB7F92" w:rsidRPr="00DB7F92" w:rsidRDefault="00DB7F92" w:rsidP="00DB7F92">
            <w:pPr>
              <w:widowControl w:val="0"/>
              <w:tabs>
                <w:tab w:val="left" w:pos="1559"/>
              </w:tabs>
              <w:spacing w:before="198" w:after="120"/>
              <w:ind w:left="720" w:right="115"/>
              <w:jc w:val="both"/>
              <w:rPr>
                <w:rFonts w:cs="Arial"/>
                <w:bCs w:val="0"/>
                <w:spacing w:val="-1"/>
                <w:sz w:val="20"/>
                <w:szCs w:val="20"/>
                <w:lang w:eastAsia="en-GB"/>
              </w:rPr>
            </w:pPr>
            <w:r w:rsidRPr="00DB7F92">
              <w:rPr>
                <w:rFonts w:cs="Arial"/>
                <w:bCs w:val="0"/>
                <w:spacing w:val="-1"/>
                <w:sz w:val="20"/>
                <w:szCs w:val="20"/>
                <w:lang w:eastAsia="en-GB"/>
              </w:rPr>
              <w:t>Duty to act fairly &amp; reasonably</w:t>
            </w:r>
          </w:p>
          <w:p w14:paraId="60689873" w14:textId="77777777" w:rsidR="00DB7F92" w:rsidRPr="00DB7F92" w:rsidRDefault="00DB7F92" w:rsidP="00DB7F92">
            <w:pPr>
              <w:widowControl w:val="0"/>
              <w:tabs>
                <w:tab w:val="left" w:pos="1559"/>
              </w:tabs>
              <w:spacing w:before="198" w:after="120"/>
              <w:ind w:left="720" w:right="115"/>
              <w:jc w:val="both"/>
              <w:rPr>
                <w:rFonts w:cs="Arial"/>
                <w:bCs w:val="0"/>
                <w:spacing w:val="-1"/>
                <w:sz w:val="20"/>
                <w:szCs w:val="20"/>
                <w:lang w:eastAsia="en-GB"/>
              </w:rPr>
            </w:pPr>
            <w:r w:rsidRPr="00DB7F92">
              <w:rPr>
                <w:rFonts w:cs="Arial"/>
                <w:bCs w:val="0"/>
                <w:spacing w:val="-1"/>
                <w:sz w:val="20"/>
                <w:szCs w:val="20"/>
                <w:lang w:eastAsia="en-GB"/>
              </w:rPr>
              <w:t>Duty to "obtain appropriate advice"</w:t>
            </w:r>
          </w:p>
          <w:p w14:paraId="27AD539D" w14:textId="77777777" w:rsidR="00DB7F92" w:rsidRPr="00DB7F92" w:rsidRDefault="00DB7F92" w:rsidP="00DB7F92">
            <w:pPr>
              <w:widowControl w:val="0"/>
              <w:tabs>
                <w:tab w:val="left" w:pos="1559"/>
              </w:tabs>
              <w:spacing w:before="198" w:after="120"/>
              <w:ind w:left="720" w:right="115"/>
              <w:jc w:val="both"/>
              <w:rPr>
                <w:rFonts w:cs="Arial"/>
                <w:bCs w:val="0"/>
                <w:spacing w:val="-1"/>
                <w:sz w:val="20"/>
                <w:szCs w:val="20"/>
                <w:lang w:eastAsia="en-GB"/>
              </w:rPr>
            </w:pPr>
            <w:r w:rsidRPr="00DB7F92">
              <w:rPr>
                <w:rFonts w:cs="Arial"/>
                <w:bCs w:val="0"/>
                <w:spacing w:val="-1"/>
                <w:sz w:val="20"/>
                <w:szCs w:val="20"/>
                <w:lang w:eastAsia="en-GB"/>
              </w:rPr>
              <w:t>Duty to exercise functions effectively</w:t>
            </w:r>
          </w:p>
          <w:p w14:paraId="3F6D6DB9" w14:textId="77777777" w:rsidR="00DB7F92" w:rsidRPr="00DB7F92" w:rsidRDefault="00DB7F92" w:rsidP="00DB7F92">
            <w:pPr>
              <w:widowControl w:val="0"/>
              <w:tabs>
                <w:tab w:val="left" w:pos="1559"/>
              </w:tabs>
              <w:spacing w:before="198" w:after="120"/>
              <w:ind w:right="115"/>
              <w:jc w:val="both"/>
              <w:rPr>
                <w:rFonts w:cs="Arial"/>
                <w:bCs w:val="0"/>
                <w:spacing w:val="-1"/>
                <w:sz w:val="20"/>
                <w:szCs w:val="20"/>
                <w:lang w:eastAsia="en-GB"/>
              </w:rPr>
            </w:pPr>
            <w:r w:rsidRPr="00DB7F92">
              <w:rPr>
                <w:rFonts w:cs="Arial"/>
                <w:bCs w:val="0"/>
                <w:spacing w:val="-1"/>
                <w:sz w:val="20"/>
                <w:szCs w:val="20"/>
                <w:lang w:eastAsia="en-GB"/>
              </w:rPr>
              <w:t>Duty not to prefer one type of provider</w:t>
            </w:r>
          </w:p>
          <w:p w14:paraId="64173B2E" w14:textId="77777777" w:rsidR="00DB7F92" w:rsidRPr="00DB7F92" w:rsidRDefault="00DB7F92" w:rsidP="00DB7F92">
            <w:pPr>
              <w:widowControl w:val="0"/>
              <w:tabs>
                <w:tab w:val="left" w:pos="1559"/>
              </w:tabs>
              <w:spacing w:before="198" w:after="120"/>
              <w:ind w:right="115"/>
              <w:jc w:val="both"/>
              <w:rPr>
                <w:rFonts w:cs="Arial"/>
                <w:bCs w:val="0"/>
                <w:spacing w:val="-1"/>
                <w:sz w:val="20"/>
                <w:szCs w:val="20"/>
                <w:lang w:eastAsia="en-GB"/>
              </w:rPr>
            </w:pPr>
          </w:p>
        </w:tc>
      </w:tr>
    </w:tbl>
    <w:p w14:paraId="240E8C36" w14:textId="77777777" w:rsidR="00DB7F92" w:rsidRPr="00DB7F92" w:rsidRDefault="00DB7F92" w:rsidP="00DB7F92">
      <w:pPr>
        <w:widowControl w:val="0"/>
        <w:tabs>
          <w:tab w:val="left" w:pos="1559"/>
        </w:tabs>
        <w:spacing w:before="198" w:after="120"/>
        <w:ind w:left="838" w:right="115"/>
        <w:jc w:val="both"/>
        <w:rPr>
          <w:rFonts w:cs="Arial"/>
          <w:bCs w:val="0"/>
          <w:spacing w:val="-1"/>
          <w:sz w:val="20"/>
          <w:szCs w:val="20"/>
          <w:lang w:eastAsia="en-GB"/>
        </w:rPr>
      </w:pPr>
    </w:p>
    <w:p w14:paraId="5D25C0CB" w14:textId="3113C643" w:rsidR="00DB7F92" w:rsidRPr="00DB7F92" w:rsidRDefault="0088364D" w:rsidP="00DB7F92">
      <w:pPr>
        <w:keepNext/>
        <w:keepLines/>
        <w:spacing w:before="186"/>
        <w:jc w:val="both"/>
        <w:outlineLvl w:val="6"/>
        <w:rPr>
          <w:rFonts w:eastAsiaTheme="majorEastAsia" w:cs="Arial"/>
          <w:i/>
          <w:iCs/>
          <w:color w:val="404040" w:themeColor="text1" w:themeTint="BF"/>
          <w:spacing w:val="-1"/>
          <w:sz w:val="20"/>
          <w:szCs w:val="20"/>
        </w:rPr>
      </w:pPr>
      <w:r>
        <w:rPr>
          <w:rFonts w:eastAsiaTheme="majorEastAsia" w:cs="Arial"/>
          <w:i/>
          <w:iCs/>
          <w:color w:val="404040" w:themeColor="text1" w:themeTint="BF"/>
          <w:spacing w:val="-1"/>
          <w:sz w:val="20"/>
          <w:szCs w:val="20"/>
        </w:rPr>
        <w:br w:type="page"/>
      </w:r>
    </w:p>
    <w:tbl>
      <w:tblPr>
        <w:tblStyle w:val="TableGrid1"/>
        <w:tblW w:w="0" w:type="auto"/>
        <w:tblInd w:w="838" w:type="dxa"/>
        <w:tblLook w:val="04A0" w:firstRow="1" w:lastRow="0" w:firstColumn="1" w:lastColumn="0" w:noHBand="0" w:noVBand="1"/>
        <w:tblCaption w:val="Summary"/>
        <w:tblDescription w:val="Summary"/>
      </w:tblPr>
      <w:tblGrid>
        <w:gridCol w:w="8462"/>
      </w:tblGrid>
      <w:tr w:rsidR="00DB7F92" w:rsidRPr="0088364D" w14:paraId="58F53EF1" w14:textId="77777777" w:rsidTr="00E509C8">
        <w:trPr>
          <w:tblHeader/>
        </w:trPr>
        <w:tc>
          <w:tcPr>
            <w:tcW w:w="9526" w:type="dxa"/>
          </w:tcPr>
          <w:p w14:paraId="1BFB5F14" w14:textId="77777777" w:rsidR="00970B92" w:rsidRPr="0088364D" w:rsidRDefault="00970B92" w:rsidP="00490AED">
            <w:pPr>
              <w:pStyle w:val="BodyText"/>
              <w:ind w:left="720"/>
              <w:rPr>
                <w:rFonts w:eastAsiaTheme="majorEastAsia" w:cs="Arial"/>
                <w:b/>
                <w:i/>
              </w:rPr>
            </w:pPr>
          </w:p>
          <w:p w14:paraId="0C620909" w14:textId="77777777" w:rsidR="00DB7F92" w:rsidRPr="0088364D" w:rsidRDefault="00DB7F92" w:rsidP="00490AED">
            <w:pPr>
              <w:pStyle w:val="BodyText"/>
              <w:ind w:left="720"/>
              <w:rPr>
                <w:rFonts w:eastAsiaTheme="majorEastAsia" w:cs="Arial"/>
                <w:b/>
                <w:i/>
              </w:rPr>
            </w:pPr>
            <w:r w:rsidRPr="0088364D">
              <w:rPr>
                <w:rFonts w:eastAsiaTheme="majorEastAsia" w:cs="Arial"/>
                <w:b/>
                <w:i/>
              </w:rPr>
              <w:t xml:space="preserve">Summary of duties covered by this chapter: </w:t>
            </w:r>
          </w:p>
          <w:p w14:paraId="60B2EE44" w14:textId="77777777" w:rsidR="00DD5D2D" w:rsidRPr="0088364D" w:rsidRDefault="00DD5D2D" w:rsidP="00490AED">
            <w:pPr>
              <w:pStyle w:val="BodyText"/>
              <w:ind w:left="720"/>
              <w:rPr>
                <w:rFonts w:eastAsiaTheme="majorEastAsia" w:cs="Arial"/>
                <w:b/>
                <w:i/>
              </w:rPr>
            </w:pPr>
          </w:p>
          <w:p w14:paraId="28015738" w14:textId="77777777" w:rsidR="00DB7F92" w:rsidRPr="0088364D" w:rsidRDefault="00DB7F92" w:rsidP="00490AED">
            <w:pPr>
              <w:pStyle w:val="BodyText"/>
              <w:ind w:left="720"/>
              <w:rPr>
                <w:rFonts w:eastAsiaTheme="majorEastAsia" w:cs="Arial"/>
                <w:b/>
                <w:i/>
              </w:rPr>
            </w:pPr>
            <w:r w:rsidRPr="0088364D">
              <w:rPr>
                <w:rFonts w:eastAsiaTheme="majorEastAsia" w:cs="Arial"/>
                <w:b/>
                <w:i/>
              </w:rPr>
              <w:t xml:space="preserve">Equality and Health Inequalities duties </w:t>
            </w:r>
          </w:p>
          <w:p w14:paraId="567BB49E" w14:textId="77777777" w:rsidR="00DB7F92" w:rsidRPr="0088364D" w:rsidRDefault="00DB7F92" w:rsidP="00DB7F92">
            <w:pPr>
              <w:keepNext/>
              <w:keepLines/>
              <w:spacing w:before="186"/>
              <w:ind w:left="720"/>
              <w:jc w:val="both"/>
              <w:outlineLvl w:val="6"/>
              <w:rPr>
                <w:rFonts w:eastAsiaTheme="majorEastAsia" w:cs="Arial"/>
                <w:b/>
                <w:bCs w:val="0"/>
                <w:i/>
                <w:iCs/>
                <w:color w:val="404040" w:themeColor="text1" w:themeTint="BF"/>
                <w:sz w:val="20"/>
                <w:szCs w:val="20"/>
              </w:rPr>
            </w:pPr>
            <w:r w:rsidRPr="0088364D">
              <w:rPr>
                <w:rFonts w:eastAsiaTheme="majorEastAsia" w:cs="Arial"/>
                <w:b/>
                <w:bCs w:val="0"/>
                <w:i/>
                <w:iCs/>
                <w:color w:val="404040" w:themeColor="text1" w:themeTint="BF"/>
                <w:sz w:val="20"/>
                <w:szCs w:val="20"/>
              </w:rPr>
              <w:t xml:space="preserve">a) Equality Act 2010 </w:t>
            </w:r>
          </w:p>
          <w:p w14:paraId="62CCF0DB" w14:textId="77777777" w:rsidR="00DB7F92" w:rsidRPr="0088364D" w:rsidRDefault="00DB7F92" w:rsidP="00DB7F92">
            <w:pPr>
              <w:spacing w:before="9"/>
              <w:jc w:val="both"/>
              <w:rPr>
                <w:rFonts w:eastAsia="Tw Cen MT Condensed Extra Bold" w:cs="Arial"/>
                <w:b/>
                <w:bCs w:val="0"/>
                <w:sz w:val="20"/>
                <w:szCs w:val="20"/>
              </w:rPr>
            </w:pPr>
          </w:p>
          <w:p w14:paraId="6B40EB21" w14:textId="336EFC42" w:rsidR="00DB7F92" w:rsidRPr="0088364D" w:rsidRDefault="00DB7F92" w:rsidP="00970B92">
            <w:pPr>
              <w:pStyle w:val="Heading3"/>
              <w:rPr>
                <w:rFonts w:cs="Arial"/>
                <w:sz w:val="20"/>
                <w:szCs w:val="20"/>
                <w:lang w:eastAsia="en-GB"/>
              </w:rPr>
            </w:pPr>
            <w:r w:rsidRPr="0088364D">
              <w:rPr>
                <w:rFonts w:cs="Arial"/>
                <w:sz w:val="20"/>
                <w:szCs w:val="20"/>
                <w:lang w:eastAsia="en-GB"/>
              </w:rPr>
              <w:t>The</w:t>
            </w:r>
            <w:r w:rsidRPr="0088364D">
              <w:rPr>
                <w:rFonts w:cs="Arial"/>
                <w:spacing w:val="3"/>
                <w:sz w:val="20"/>
                <w:szCs w:val="20"/>
                <w:lang w:eastAsia="en-GB"/>
              </w:rPr>
              <w:t xml:space="preserve"> </w:t>
            </w:r>
            <w:r w:rsidRPr="0088364D">
              <w:rPr>
                <w:rFonts w:cs="Arial"/>
                <w:sz w:val="20"/>
                <w:szCs w:val="20"/>
                <w:lang w:eastAsia="en-GB"/>
              </w:rPr>
              <w:t>Equality</w:t>
            </w:r>
            <w:r w:rsidRPr="0088364D">
              <w:rPr>
                <w:rFonts w:cs="Arial"/>
                <w:spacing w:val="5"/>
                <w:sz w:val="20"/>
                <w:szCs w:val="20"/>
                <w:lang w:eastAsia="en-GB"/>
              </w:rPr>
              <w:t xml:space="preserve"> </w:t>
            </w:r>
            <w:r w:rsidRPr="0088364D">
              <w:rPr>
                <w:rFonts w:cs="Arial"/>
                <w:sz w:val="20"/>
                <w:szCs w:val="20"/>
                <w:lang w:eastAsia="en-GB"/>
              </w:rPr>
              <w:t>Act</w:t>
            </w:r>
            <w:r w:rsidRPr="0088364D">
              <w:rPr>
                <w:rFonts w:cs="Arial"/>
                <w:spacing w:val="5"/>
                <w:sz w:val="20"/>
                <w:szCs w:val="20"/>
                <w:lang w:eastAsia="en-GB"/>
              </w:rPr>
              <w:t xml:space="preserve"> </w:t>
            </w:r>
            <w:r w:rsidRPr="0088364D">
              <w:rPr>
                <w:rFonts w:cs="Arial"/>
                <w:sz w:val="20"/>
                <w:szCs w:val="20"/>
                <w:lang w:eastAsia="en-GB"/>
              </w:rPr>
              <w:t>2010</w:t>
            </w:r>
            <w:r w:rsidRPr="0088364D">
              <w:rPr>
                <w:rFonts w:cs="Arial"/>
                <w:spacing w:val="6"/>
                <w:sz w:val="20"/>
                <w:szCs w:val="20"/>
                <w:lang w:eastAsia="en-GB"/>
              </w:rPr>
              <w:t xml:space="preserve"> </w:t>
            </w:r>
            <w:r w:rsidRPr="0088364D">
              <w:rPr>
                <w:rFonts w:cs="Arial"/>
                <w:sz w:val="20"/>
                <w:szCs w:val="20"/>
                <w:lang w:eastAsia="en-GB"/>
              </w:rPr>
              <w:t>prohibits</w:t>
            </w:r>
            <w:r w:rsidRPr="0088364D">
              <w:rPr>
                <w:rFonts w:cs="Arial"/>
                <w:spacing w:val="5"/>
                <w:sz w:val="20"/>
                <w:szCs w:val="20"/>
                <w:lang w:eastAsia="en-GB"/>
              </w:rPr>
              <w:t xml:space="preserve"> </w:t>
            </w:r>
            <w:r w:rsidRPr="0088364D">
              <w:rPr>
                <w:rFonts w:cs="Arial"/>
                <w:sz w:val="20"/>
                <w:szCs w:val="20"/>
                <w:lang w:eastAsia="en-GB"/>
              </w:rPr>
              <w:t>unlawful</w:t>
            </w:r>
            <w:r w:rsidRPr="0088364D">
              <w:rPr>
                <w:rFonts w:cs="Arial"/>
                <w:spacing w:val="6"/>
                <w:sz w:val="20"/>
                <w:szCs w:val="20"/>
                <w:lang w:eastAsia="en-GB"/>
              </w:rPr>
              <w:t xml:space="preserve"> </w:t>
            </w:r>
            <w:r w:rsidRPr="0088364D">
              <w:rPr>
                <w:rFonts w:cs="Arial"/>
                <w:sz w:val="20"/>
                <w:szCs w:val="20"/>
                <w:lang w:eastAsia="en-GB"/>
              </w:rPr>
              <w:t>discrimination</w:t>
            </w:r>
            <w:r w:rsidRPr="0088364D">
              <w:rPr>
                <w:rFonts w:cs="Arial"/>
                <w:spacing w:val="6"/>
                <w:sz w:val="20"/>
                <w:szCs w:val="20"/>
                <w:lang w:eastAsia="en-GB"/>
              </w:rPr>
              <w:t xml:space="preserve"> </w:t>
            </w:r>
            <w:r w:rsidRPr="0088364D">
              <w:rPr>
                <w:rFonts w:cs="Arial"/>
                <w:sz w:val="20"/>
                <w:szCs w:val="20"/>
                <w:lang w:eastAsia="en-GB"/>
              </w:rPr>
              <w:t>in</w:t>
            </w:r>
            <w:r w:rsidRPr="0088364D">
              <w:rPr>
                <w:rFonts w:cs="Arial"/>
                <w:spacing w:val="5"/>
                <w:sz w:val="20"/>
                <w:szCs w:val="20"/>
                <w:lang w:eastAsia="en-GB"/>
              </w:rPr>
              <w:t xml:space="preserve"> </w:t>
            </w:r>
            <w:r w:rsidRPr="0088364D">
              <w:rPr>
                <w:rFonts w:cs="Arial"/>
                <w:sz w:val="20"/>
                <w:szCs w:val="20"/>
                <w:lang w:eastAsia="en-GB"/>
              </w:rPr>
              <w:t>the</w:t>
            </w:r>
            <w:r w:rsidRPr="0088364D">
              <w:rPr>
                <w:rFonts w:cs="Arial"/>
                <w:spacing w:val="3"/>
                <w:sz w:val="20"/>
                <w:szCs w:val="20"/>
                <w:lang w:eastAsia="en-GB"/>
              </w:rPr>
              <w:t xml:space="preserve"> </w:t>
            </w:r>
            <w:r w:rsidRPr="0088364D">
              <w:rPr>
                <w:rFonts w:cs="Arial"/>
                <w:sz w:val="20"/>
                <w:szCs w:val="20"/>
                <w:lang w:eastAsia="en-GB"/>
              </w:rPr>
              <w:t>provision</w:t>
            </w:r>
            <w:r w:rsidRPr="0088364D">
              <w:rPr>
                <w:rFonts w:cs="Arial"/>
                <w:spacing w:val="4"/>
                <w:sz w:val="20"/>
                <w:szCs w:val="20"/>
                <w:lang w:eastAsia="en-GB"/>
              </w:rPr>
              <w:t xml:space="preserve"> </w:t>
            </w:r>
            <w:r w:rsidRPr="0088364D">
              <w:rPr>
                <w:rFonts w:cs="Arial"/>
                <w:sz w:val="20"/>
                <w:szCs w:val="20"/>
                <w:lang w:eastAsia="en-GB"/>
              </w:rPr>
              <w:t>of</w:t>
            </w:r>
            <w:r w:rsidRPr="0088364D">
              <w:rPr>
                <w:rFonts w:cs="Arial"/>
                <w:spacing w:val="79"/>
                <w:sz w:val="20"/>
                <w:szCs w:val="20"/>
                <w:lang w:eastAsia="en-GB"/>
              </w:rPr>
              <w:t xml:space="preserve"> </w:t>
            </w:r>
            <w:r w:rsidRPr="0088364D">
              <w:rPr>
                <w:rFonts w:cs="Arial"/>
                <w:sz w:val="20"/>
                <w:szCs w:val="20"/>
                <w:lang w:eastAsia="en-GB"/>
              </w:rPr>
              <w:t>services</w:t>
            </w:r>
            <w:r w:rsidRPr="0088364D">
              <w:rPr>
                <w:rFonts w:cs="Arial"/>
                <w:spacing w:val="39"/>
                <w:sz w:val="20"/>
                <w:szCs w:val="20"/>
                <w:lang w:eastAsia="en-GB"/>
              </w:rPr>
              <w:t xml:space="preserve"> </w:t>
            </w:r>
            <w:r w:rsidRPr="0088364D">
              <w:rPr>
                <w:rFonts w:cs="Arial"/>
                <w:sz w:val="20"/>
                <w:szCs w:val="20"/>
                <w:lang w:eastAsia="en-GB"/>
              </w:rPr>
              <w:t>on</w:t>
            </w:r>
            <w:r w:rsidRPr="0088364D">
              <w:rPr>
                <w:rFonts w:cs="Arial"/>
                <w:spacing w:val="38"/>
                <w:sz w:val="20"/>
                <w:szCs w:val="20"/>
                <w:lang w:eastAsia="en-GB"/>
              </w:rPr>
              <w:t xml:space="preserve"> </w:t>
            </w:r>
            <w:r w:rsidRPr="0088364D">
              <w:rPr>
                <w:rFonts w:cs="Arial"/>
                <w:sz w:val="20"/>
                <w:szCs w:val="20"/>
                <w:lang w:eastAsia="en-GB"/>
              </w:rPr>
              <w:t>the</w:t>
            </w:r>
            <w:r w:rsidRPr="0088364D">
              <w:rPr>
                <w:rFonts w:cs="Arial"/>
                <w:spacing w:val="38"/>
                <w:sz w:val="20"/>
                <w:szCs w:val="20"/>
                <w:lang w:eastAsia="en-GB"/>
              </w:rPr>
              <w:t xml:space="preserve"> </w:t>
            </w:r>
            <w:r w:rsidRPr="0088364D">
              <w:rPr>
                <w:rFonts w:cs="Arial"/>
                <w:sz w:val="20"/>
                <w:szCs w:val="20"/>
                <w:lang w:eastAsia="en-GB"/>
              </w:rPr>
              <w:t>grounds</w:t>
            </w:r>
            <w:r w:rsidRPr="0088364D">
              <w:rPr>
                <w:rFonts w:cs="Arial"/>
                <w:spacing w:val="39"/>
                <w:sz w:val="20"/>
                <w:szCs w:val="20"/>
                <w:lang w:eastAsia="en-GB"/>
              </w:rPr>
              <w:t xml:space="preserve"> </w:t>
            </w:r>
            <w:r w:rsidRPr="0088364D">
              <w:rPr>
                <w:rFonts w:cs="Arial"/>
                <w:sz w:val="20"/>
                <w:szCs w:val="20"/>
                <w:lang w:eastAsia="en-GB"/>
              </w:rPr>
              <w:t>of</w:t>
            </w:r>
            <w:r w:rsidRPr="0088364D">
              <w:rPr>
                <w:rFonts w:cs="Arial"/>
                <w:spacing w:val="38"/>
                <w:sz w:val="20"/>
                <w:szCs w:val="20"/>
                <w:lang w:eastAsia="en-GB"/>
              </w:rPr>
              <w:t xml:space="preserve"> </w:t>
            </w:r>
            <w:r w:rsidRPr="0088364D">
              <w:rPr>
                <w:rFonts w:cs="Arial"/>
                <w:sz w:val="20"/>
                <w:szCs w:val="20"/>
                <w:lang w:eastAsia="en-GB"/>
              </w:rPr>
              <w:t>age,</w:t>
            </w:r>
            <w:r w:rsidRPr="0088364D">
              <w:rPr>
                <w:rFonts w:cs="Arial"/>
                <w:spacing w:val="20"/>
                <w:sz w:val="20"/>
                <w:szCs w:val="20"/>
                <w:lang w:eastAsia="en-GB"/>
              </w:rPr>
              <w:t xml:space="preserve"> </w:t>
            </w:r>
            <w:r w:rsidRPr="0088364D">
              <w:rPr>
                <w:rFonts w:cs="Arial"/>
                <w:sz w:val="20"/>
                <w:szCs w:val="20"/>
                <w:lang w:eastAsia="en-GB"/>
              </w:rPr>
              <w:t>disability,</w:t>
            </w:r>
            <w:r w:rsidRPr="0088364D">
              <w:rPr>
                <w:rFonts w:cs="Arial"/>
                <w:spacing w:val="21"/>
                <w:sz w:val="20"/>
                <w:szCs w:val="20"/>
                <w:lang w:eastAsia="en-GB"/>
              </w:rPr>
              <w:t xml:space="preserve"> </w:t>
            </w:r>
            <w:r w:rsidRPr="0088364D">
              <w:rPr>
                <w:rFonts w:cs="Arial"/>
                <w:sz w:val="20"/>
                <w:szCs w:val="20"/>
                <w:lang w:eastAsia="en-GB"/>
              </w:rPr>
              <w:t>gender</w:t>
            </w:r>
            <w:r w:rsidRPr="0088364D">
              <w:rPr>
                <w:rFonts w:cs="Arial"/>
                <w:spacing w:val="19"/>
                <w:sz w:val="20"/>
                <w:szCs w:val="20"/>
                <w:lang w:eastAsia="en-GB"/>
              </w:rPr>
              <w:t xml:space="preserve"> </w:t>
            </w:r>
            <w:r w:rsidRPr="0088364D">
              <w:rPr>
                <w:rFonts w:cs="Arial"/>
                <w:sz w:val="20"/>
                <w:szCs w:val="20"/>
                <w:lang w:eastAsia="en-GB"/>
              </w:rPr>
              <w:t>reassignment,</w:t>
            </w:r>
            <w:r w:rsidRPr="0088364D">
              <w:rPr>
                <w:rFonts w:cs="Arial"/>
                <w:spacing w:val="51"/>
                <w:w w:val="99"/>
                <w:sz w:val="20"/>
                <w:szCs w:val="20"/>
                <w:lang w:eastAsia="en-GB"/>
              </w:rPr>
              <w:t xml:space="preserve"> </w:t>
            </w:r>
            <w:r w:rsidR="00BC5F9C" w:rsidRPr="0088364D">
              <w:rPr>
                <w:rFonts w:cs="Arial"/>
                <w:sz w:val="20"/>
                <w:szCs w:val="20"/>
                <w:lang w:eastAsia="en-GB"/>
              </w:rPr>
              <w:t xml:space="preserve">marriage </w:t>
            </w:r>
            <w:r w:rsidR="00BC5F9C" w:rsidRPr="0088364D">
              <w:rPr>
                <w:rFonts w:cs="Arial"/>
                <w:spacing w:val="31"/>
                <w:sz w:val="20"/>
                <w:szCs w:val="20"/>
                <w:lang w:eastAsia="en-GB"/>
              </w:rPr>
              <w:t>and</w:t>
            </w:r>
            <w:r w:rsidR="00BC5F9C" w:rsidRPr="0088364D">
              <w:rPr>
                <w:rFonts w:cs="Arial"/>
                <w:sz w:val="20"/>
                <w:szCs w:val="20"/>
                <w:lang w:eastAsia="en-GB"/>
              </w:rPr>
              <w:t xml:space="preserve"> </w:t>
            </w:r>
            <w:r w:rsidR="00BC5F9C" w:rsidRPr="0088364D">
              <w:rPr>
                <w:rFonts w:cs="Arial"/>
                <w:spacing w:val="30"/>
                <w:sz w:val="20"/>
                <w:szCs w:val="20"/>
                <w:lang w:eastAsia="en-GB"/>
              </w:rPr>
              <w:t>civil</w:t>
            </w:r>
            <w:r w:rsidR="00BC5F9C" w:rsidRPr="0088364D">
              <w:rPr>
                <w:rFonts w:cs="Arial"/>
                <w:sz w:val="20"/>
                <w:szCs w:val="20"/>
                <w:lang w:eastAsia="en-GB"/>
              </w:rPr>
              <w:t xml:space="preserve"> </w:t>
            </w:r>
            <w:r w:rsidR="00BC5F9C" w:rsidRPr="0088364D">
              <w:rPr>
                <w:rFonts w:cs="Arial"/>
                <w:spacing w:val="31"/>
                <w:sz w:val="20"/>
                <w:szCs w:val="20"/>
                <w:lang w:eastAsia="en-GB"/>
              </w:rPr>
              <w:t>partnership</w:t>
            </w:r>
            <w:r w:rsidR="00BC5F9C" w:rsidRPr="0088364D">
              <w:rPr>
                <w:rFonts w:cs="Arial"/>
                <w:sz w:val="20"/>
                <w:szCs w:val="20"/>
                <w:lang w:eastAsia="en-GB"/>
              </w:rPr>
              <w:t xml:space="preserve">, </w:t>
            </w:r>
            <w:r w:rsidR="00BC5F9C" w:rsidRPr="0088364D">
              <w:rPr>
                <w:rFonts w:cs="Arial"/>
                <w:spacing w:val="31"/>
                <w:sz w:val="20"/>
                <w:szCs w:val="20"/>
                <w:lang w:eastAsia="en-GB"/>
              </w:rPr>
              <w:t>pregnancy</w:t>
            </w:r>
            <w:r w:rsidR="00BC5F9C" w:rsidRPr="0088364D">
              <w:rPr>
                <w:rFonts w:cs="Arial"/>
                <w:sz w:val="20"/>
                <w:szCs w:val="20"/>
                <w:lang w:eastAsia="en-GB"/>
              </w:rPr>
              <w:t xml:space="preserve"> </w:t>
            </w:r>
            <w:r w:rsidR="00BC5F9C" w:rsidRPr="0088364D">
              <w:rPr>
                <w:rFonts w:cs="Arial"/>
                <w:spacing w:val="30"/>
                <w:sz w:val="20"/>
                <w:szCs w:val="20"/>
                <w:lang w:eastAsia="en-GB"/>
              </w:rPr>
              <w:t>and</w:t>
            </w:r>
            <w:r w:rsidR="00BC5F9C" w:rsidRPr="0088364D">
              <w:rPr>
                <w:rFonts w:cs="Arial"/>
                <w:sz w:val="20"/>
                <w:szCs w:val="20"/>
                <w:lang w:eastAsia="en-GB"/>
              </w:rPr>
              <w:t xml:space="preserve"> </w:t>
            </w:r>
            <w:r w:rsidR="00BC5F9C" w:rsidRPr="0088364D">
              <w:rPr>
                <w:rFonts w:cs="Arial"/>
                <w:spacing w:val="30"/>
                <w:sz w:val="20"/>
                <w:szCs w:val="20"/>
                <w:lang w:eastAsia="en-GB"/>
              </w:rPr>
              <w:t>maternity</w:t>
            </w:r>
            <w:r w:rsidR="00BC5F9C" w:rsidRPr="0088364D">
              <w:rPr>
                <w:rFonts w:cs="Arial"/>
                <w:sz w:val="20"/>
                <w:szCs w:val="20"/>
                <w:lang w:eastAsia="en-GB"/>
              </w:rPr>
              <w:t xml:space="preserve">, </w:t>
            </w:r>
            <w:r w:rsidR="00BC5F9C" w:rsidRPr="0088364D">
              <w:rPr>
                <w:rFonts w:cs="Arial"/>
                <w:spacing w:val="31"/>
                <w:sz w:val="20"/>
                <w:szCs w:val="20"/>
                <w:lang w:eastAsia="en-GB"/>
              </w:rPr>
              <w:t>race</w:t>
            </w:r>
            <w:r w:rsidRPr="0088364D">
              <w:rPr>
                <w:rFonts w:cs="Arial"/>
                <w:sz w:val="20"/>
                <w:szCs w:val="20"/>
                <w:lang w:eastAsia="en-GB"/>
              </w:rPr>
              <w:t>, religion</w:t>
            </w:r>
            <w:r w:rsidRPr="0088364D">
              <w:rPr>
                <w:rFonts w:cs="Arial"/>
                <w:spacing w:val="4"/>
                <w:sz w:val="20"/>
                <w:szCs w:val="20"/>
                <w:lang w:eastAsia="en-GB"/>
              </w:rPr>
              <w:t xml:space="preserve"> </w:t>
            </w:r>
            <w:r w:rsidRPr="0088364D">
              <w:rPr>
                <w:rFonts w:cs="Arial"/>
                <w:sz w:val="20"/>
                <w:szCs w:val="20"/>
                <w:lang w:eastAsia="en-GB"/>
              </w:rPr>
              <w:t>or</w:t>
            </w:r>
            <w:r w:rsidRPr="0088364D">
              <w:rPr>
                <w:rFonts w:cs="Arial"/>
                <w:spacing w:val="5"/>
                <w:sz w:val="20"/>
                <w:szCs w:val="20"/>
                <w:lang w:eastAsia="en-GB"/>
              </w:rPr>
              <w:t xml:space="preserve"> </w:t>
            </w:r>
            <w:r w:rsidRPr="0088364D">
              <w:rPr>
                <w:rFonts w:cs="Arial"/>
                <w:sz w:val="20"/>
                <w:szCs w:val="20"/>
                <w:lang w:eastAsia="en-GB"/>
              </w:rPr>
              <w:t>belief,</w:t>
            </w:r>
            <w:r w:rsidRPr="0088364D">
              <w:rPr>
                <w:rFonts w:cs="Arial"/>
                <w:spacing w:val="6"/>
                <w:sz w:val="20"/>
                <w:szCs w:val="20"/>
                <w:lang w:eastAsia="en-GB"/>
              </w:rPr>
              <w:t xml:space="preserve"> </w:t>
            </w:r>
            <w:r w:rsidRPr="0088364D">
              <w:rPr>
                <w:rFonts w:cs="Arial"/>
                <w:sz w:val="20"/>
                <w:szCs w:val="20"/>
                <w:lang w:eastAsia="en-GB"/>
              </w:rPr>
              <w:t>sex</w:t>
            </w:r>
            <w:r w:rsidRPr="0088364D">
              <w:rPr>
                <w:rFonts w:cs="Arial"/>
                <w:spacing w:val="3"/>
                <w:sz w:val="20"/>
                <w:szCs w:val="20"/>
                <w:lang w:eastAsia="en-GB"/>
              </w:rPr>
              <w:t xml:space="preserve"> </w:t>
            </w:r>
            <w:r w:rsidRPr="0088364D">
              <w:rPr>
                <w:rFonts w:cs="Arial"/>
                <w:sz w:val="20"/>
                <w:szCs w:val="20"/>
                <w:lang w:eastAsia="en-GB"/>
              </w:rPr>
              <w:t>and</w:t>
            </w:r>
            <w:r w:rsidRPr="0088364D">
              <w:rPr>
                <w:rFonts w:cs="Arial"/>
                <w:spacing w:val="5"/>
                <w:sz w:val="20"/>
                <w:szCs w:val="20"/>
                <w:lang w:eastAsia="en-GB"/>
              </w:rPr>
              <w:t xml:space="preserve"> </w:t>
            </w:r>
            <w:r w:rsidRPr="0088364D">
              <w:rPr>
                <w:rFonts w:cs="Arial"/>
                <w:sz w:val="20"/>
                <w:szCs w:val="20"/>
                <w:lang w:eastAsia="en-GB"/>
              </w:rPr>
              <w:t>sexual</w:t>
            </w:r>
            <w:r w:rsidRPr="0088364D">
              <w:rPr>
                <w:rFonts w:cs="Arial"/>
                <w:spacing w:val="7"/>
                <w:sz w:val="20"/>
                <w:szCs w:val="20"/>
                <w:lang w:eastAsia="en-GB"/>
              </w:rPr>
              <w:t xml:space="preserve"> </w:t>
            </w:r>
            <w:r w:rsidRPr="0088364D">
              <w:rPr>
                <w:rFonts w:cs="Arial"/>
                <w:sz w:val="20"/>
                <w:szCs w:val="20"/>
                <w:lang w:eastAsia="en-GB"/>
              </w:rPr>
              <w:t>orientation.</w:t>
            </w:r>
            <w:r w:rsidRPr="0088364D">
              <w:rPr>
                <w:rFonts w:cs="Arial"/>
                <w:spacing w:val="60"/>
                <w:sz w:val="20"/>
                <w:szCs w:val="20"/>
                <w:lang w:eastAsia="en-GB"/>
              </w:rPr>
              <w:t xml:space="preserve"> </w:t>
            </w:r>
            <w:r w:rsidRPr="0088364D">
              <w:rPr>
                <w:rFonts w:cs="Arial"/>
                <w:sz w:val="20"/>
                <w:szCs w:val="20"/>
                <w:lang w:eastAsia="en-GB"/>
              </w:rPr>
              <w:t>These</w:t>
            </w:r>
            <w:r w:rsidRPr="0088364D">
              <w:rPr>
                <w:rFonts w:cs="Arial"/>
                <w:spacing w:val="5"/>
                <w:sz w:val="20"/>
                <w:szCs w:val="20"/>
                <w:lang w:eastAsia="en-GB"/>
              </w:rPr>
              <w:t xml:space="preserve"> </w:t>
            </w:r>
            <w:r w:rsidRPr="0088364D">
              <w:rPr>
                <w:rFonts w:cs="Arial"/>
                <w:sz w:val="20"/>
                <w:szCs w:val="20"/>
                <w:lang w:eastAsia="en-GB"/>
              </w:rPr>
              <w:t>are</w:t>
            </w:r>
            <w:r w:rsidRPr="0088364D">
              <w:rPr>
                <w:rFonts w:cs="Arial"/>
                <w:spacing w:val="5"/>
                <w:sz w:val="20"/>
                <w:szCs w:val="20"/>
                <w:lang w:eastAsia="en-GB"/>
              </w:rPr>
              <w:t xml:space="preserve"> </w:t>
            </w:r>
            <w:r w:rsidRPr="0088364D">
              <w:rPr>
                <w:rFonts w:cs="Arial"/>
                <w:sz w:val="20"/>
                <w:szCs w:val="20"/>
                <w:lang w:eastAsia="en-GB"/>
              </w:rPr>
              <w:t>the</w:t>
            </w:r>
            <w:r w:rsidRPr="0088364D">
              <w:rPr>
                <w:rFonts w:cs="Arial"/>
                <w:spacing w:val="4"/>
                <w:sz w:val="20"/>
                <w:szCs w:val="20"/>
                <w:lang w:eastAsia="en-GB"/>
              </w:rPr>
              <w:t xml:space="preserve"> </w:t>
            </w:r>
            <w:r w:rsidRPr="0088364D">
              <w:rPr>
                <w:rFonts w:cs="Arial"/>
                <w:sz w:val="20"/>
                <w:szCs w:val="20"/>
                <w:lang w:eastAsia="en-GB"/>
              </w:rPr>
              <w:t>"protected</w:t>
            </w:r>
            <w:r w:rsidRPr="0088364D">
              <w:rPr>
                <w:rFonts w:cs="Arial"/>
                <w:spacing w:val="70"/>
                <w:w w:val="99"/>
                <w:sz w:val="20"/>
                <w:szCs w:val="20"/>
                <w:lang w:eastAsia="en-GB"/>
              </w:rPr>
              <w:t xml:space="preserve"> </w:t>
            </w:r>
            <w:r w:rsidRPr="0088364D">
              <w:rPr>
                <w:rFonts w:cs="Arial"/>
                <w:sz w:val="20"/>
                <w:szCs w:val="20"/>
                <w:lang w:eastAsia="en-GB"/>
              </w:rPr>
              <w:t>characteristics".</w:t>
            </w:r>
          </w:p>
          <w:p w14:paraId="34894E92" w14:textId="77777777" w:rsidR="00DB7F92" w:rsidRPr="0088364D" w:rsidRDefault="00DB7F92" w:rsidP="00970B92">
            <w:pPr>
              <w:pStyle w:val="Heading3"/>
              <w:rPr>
                <w:rFonts w:cs="Arial"/>
                <w:sz w:val="20"/>
                <w:szCs w:val="20"/>
                <w:lang w:eastAsia="en-GB"/>
              </w:rPr>
            </w:pPr>
            <w:r w:rsidRPr="0088364D">
              <w:rPr>
                <w:rFonts w:cs="Arial"/>
                <w:sz w:val="20"/>
                <w:szCs w:val="20"/>
                <w:lang w:eastAsia="en-GB"/>
              </w:rPr>
              <w:t>As</w:t>
            </w:r>
            <w:r w:rsidRPr="0088364D">
              <w:rPr>
                <w:rFonts w:cs="Arial"/>
                <w:spacing w:val="18"/>
                <w:sz w:val="20"/>
                <w:szCs w:val="20"/>
                <w:lang w:eastAsia="en-GB"/>
              </w:rPr>
              <w:t xml:space="preserve"> </w:t>
            </w:r>
            <w:r w:rsidRPr="0088364D">
              <w:rPr>
                <w:rFonts w:cs="Arial"/>
                <w:sz w:val="20"/>
                <w:szCs w:val="20"/>
                <w:lang w:eastAsia="en-GB"/>
              </w:rPr>
              <w:t>well</w:t>
            </w:r>
            <w:r w:rsidRPr="0088364D">
              <w:rPr>
                <w:rFonts w:cs="Arial"/>
                <w:spacing w:val="18"/>
                <w:sz w:val="20"/>
                <w:szCs w:val="20"/>
                <w:lang w:eastAsia="en-GB"/>
              </w:rPr>
              <w:t xml:space="preserve"> </w:t>
            </w:r>
            <w:r w:rsidRPr="0088364D">
              <w:rPr>
                <w:rFonts w:cs="Arial"/>
                <w:sz w:val="20"/>
                <w:szCs w:val="20"/>
                <w:lang w:eastAsia="en-GB"/>
              </w:rPr>
              <w:t>as</w:t>
            </w:r>
            <w:r w:rsidRPr="0088364D">
              <w:rPr>
                <w:rFonts w:cs="Arial"/>
                <w:spacing w:val="19"/>
                <w:sz w:val="20"/>
                <w:szCs w:val="20"/>
                <w:lang w:eastAsia="en-GB"/>
              </w:rPr>
              <w:t xml:space="preserve"> </w:t>
            </w:r>
            <w:r w:rsidRPr="0088364D">
              <w:rPr>
                <w:rFonts w:cs="Arial"/>
                <w:sz w:val="20"/>
                <w:szCs w:val="20"/>
                <w:lang w:eastAsia="en-GB"/>
              </w:rPr>
              <w:t>these</w:t>
            </w:r>
            <w:r w:rsidRPr="0088364D">
              <w:rPr>
                <w:rFonts w:cs="Arial"/>
                <w:spacing w:val="18"/>
                <w:sz w:val="20"/>
                <w:szCs w:val="20"/>
                <w:lang w:eastAsia="en-GB"/>
              </w:rPr>
              <w:t xml:space="preserve"> </w:t>
            </w:r>
            <w:r w:rsidRPr="0088364D">
              <w:rPr>
                <w:rFonts w:cs="Arial"/>
                <w:sz w:val="20"/>
                <w:szCs w:val="20"/>
                <w:lang w:eastAsia="en-GB"/>
              </w:rPr>
              <w:t>prohibitions</w:t>
            </w:r>
            <w:r w:rsidRPr="0088364D">
              <w:rPr>
                <w:rFonts w:cs="Arial"/>
                <w:spacing w:val="19"/>
                <w:sz w:val="20"/>
                <w:szCs w:val="20"/>
                <w:lang w:eastAsia="en-GB"/>
              </w:rPr>
              <w:t xml:space="preserve"> </w:t>
            </w:r>
            <w:r w:rsidRPr="0088364D">
              <w:rPr>
                <w:rFonts w:cs="Arial"/>
                <w:sz w:val="20"/>
                <w:szCs w:val="20"/>
                <w:lang w:eastAsia="en-GB"/>
              </w:rPr>
              <w:t>against</w:t>
            </w:r>
            <w:r w:rsidRPr="0088364D">
              <w:rPr>
                <w:rFonts w:cs="Arial"/>
                <w:spacing w:val="19"/>
                <w:sz w:val="20"/>
                <w:szCs w:val="20"/>
                <w:lang w:eastAsia="en-GB"/>
              </w:rPr>
              <w:t xml:space="preserve"> </w:t>
            </w:r>
            <w:r w:rsidRPr="0088364D">
              <w:rPr>
                <w:rFonts w:cs="Arial"/>
                <w:sz w:val="20"/>
                <w:szCs w:val="20"/>
                <w:lang w:eastAsia="en-GB"/>
              </w:rPr>
              <w:t>unlawful</w:t>
            </w:r>
            <w:r w:rsidRPr="0088364D">
              <w:rPr>
                <w:rFonts w:cs="Arial"/>
                <w:spacing w:val="20"/>
                <w:sz w:val="20"/>
                <w:szCs w:val="20"/>
                <w:lang w:eastAsia="en-GB"/>
              </w:rPr>
              <w:t xml:space="preserve"> </w:t>
            </w:r>
            <w:r w:rsidRPr="0088364D">
              <w:rPr>
                <w:rFonts w:cs="Arial"/>
                <w:sz w:val="20"/>
                <w:szCs w:val="20"/>
                <w:lang w:eastAsia="en-GB"/>
              </w:rPr>
              <w:t>discrimination,</w:t>
            </w:r>
            <w:r w:rsidRPr="0088364D">
              <w:rPr>
                <w:rFonts w:cs="Arial"/>
                <w:spacing w:val="17"/>
                <w:sz w:val="20"/>
                <w:szCs w:val="20"/>
                <w:lang w:eastAsia="en-GB"/>
              </w:rPr>
              <w:t xml:space="preserve"> </w:t>
            </w:r>
            <w:r w:rsidRPr="0088364D">
              <w:rPr>
                <w:rFonts w:cs="Arial"/>
                <w:sz w:val="20"/>
                <w:szCs w:val="20"/>
                <w:lang w:eastAsia="en-GB"/>
              </w:rPr>
              <w:t>the</w:t>
            </w:r>
            <w:r w:rsidRPr="0088364D">
              <w:rPr>
                <w:rFonts w:cs="Arial"/>
                <w:spacing w:val="20"/>
                <w:sz w:val="20"/>
                <w:szCs w:val="20"/>
                <w:lang w:eastAsia="en-GB"/>
              </w:rPr>
              <w:t xml:space="preserve"> </w:t>
            </w:r>
            <w:r w:rsidRPr="0088364D">
              <w:rPr>
                <w:rFonts w:cs="Arial"/>
                <w:sz w:val="20"/>
                <w:szCs w:val="20"/>
                <w:lang w:eastAsia="en-GB"/>
              </w:rPr>
              <w:t>Equality</w:t>
            </w:r>
            <w:r w:rsidRPr="0088364D">
              <w:rPr>
                <w:rFonts w:cs="Arial"/>
                <w:spacing w:val="77"/>
                <w:sz w:val="20"/>
                <w:szCs w:val="20"/>
                <w:lang w:eastAsia="en-GB"/>
              </w:rPr>
              <w:t xml:space="preserve"> </w:t>
            </w:r>
            <w:r w:rsidRPr="0088364D">
              <w:rPr>
                <w:rFonts w:cs="Arial"/>
                <w:sz w:val="20"/>
                <w:szCs w:val="20"/>
                <w:lang w:eastAsia="en-GB"/>
              </w:rPr>
              <w:t>Act</w:t>
            </w:r>
            <w:r w:rsidRPr="0088364D">
              <w:rPr>
                <w:rFonts w:cs="Arial"/>
                <w:spacing w:val="-5"/>
                <w:sz w:val="20"/>
                <w:szCs w:val="20"/>
                <w:lang w:eastAsia="en-GB"/>
              </w:rPr>
              <w:t xml:space="preserve"> </w:t>
            </w:r>
            <w:r w:rsidRPr="0088364D">
              <w:rPr>
                <w:rFonts w:cs="Arial"/>
                <w:sz w:val="20"/>
                <w:szCs w:val="20"/>
                <w:lang w:eastAsia="en-GB"/>
              </w:rPr>
              <w:t>2010</w:t>
            </w:r>
            <w:r w:rsidRPr="0088364D">
              <w:rPr>
                <w:rFonts w:cs="Arial"/>
                <w:spacing w:val="-4"/>
                <w:sz w:val="20"/>
                <w:szCs w:val="20"/>
                <w:lang w:eastAsia="en-GB"/>
              </w:rPr>
              <w:t xml:space="preserve"> </w:t>
            </w:r>
            <w:r w:rsidRPr="0088364D">
              <w:rPr>
                <w:rFonts w:cs="Arial"/>
                <w:sz w:val="20"/>
                <w:szCs w:val="20"/>
                <w:lang w:eastAsia="en-GB"/>
              </w:rPr>
              <w:t>requires</w:t>
            </w:r>
            <w:r w:rsidRPr="0088364D">
              <w:rPr>
                <w:rFonts w:cs="Arial"/>
                <w:spacing w:val="-4"/>
                <w:sz w:val="20"/>
                <w:szCs w:val="20"/>
                <w:lang w:eastAsia="en-GB"/>
              </w:rPr>
              <w:t xml:space="preserve"> </w:t>
            </w:r>
            <w:r w:rsidRPr="0088364D">
              <w:rPr>
                <w:rFonts w:cs="Arial"/>
                <w:sz w:val="20"/>
                <w:szCs w:val="20"/>
                <w:lang w:eastAsia="en-GB"/>
              </w:rPr>
              <w:t>commissioners</w:t>
            </w:r>
            <w:r w:rsidRPr="0088364D">
              <w:rPr>
                <w:rFonts w:cs="Arial"/>
                <w:spacing w:val="-5"/>
                <w:sz w:val="20"/>
                <w:szCs w:val="20"/>
                <w:lang w:eastAsia="en-GB"/>
              </w:rPr>
              <w:t xml:space="preserve"> </w:t>
            </w:r>
            <w:r w:rsidRPr="0088364D">
              <w:rPr>
                <w:rFonts w:cs="Arial"/>
                <w:sz w:val="20"/>
                <w:szCs w:val="20"/>
                <w:lang w:eastAsia="en-GB"/>
              </w:rPr>
              <w:t>to</w:t>
            </w:r>
            <w:r w:rsidRPr="0088364D">
              <w:rPr>
                <w:rFonts w:cs="Arial"/>
                <w:spacing w:val="-4"/>
                <w:sz w:val="20"/>
                <w:szCs w:val="20"/>
                <w:lang w:eastAsia="en-GB"/>
              </w:rPr>
              <w:t xml:space="preserve"> </w:t>
            </w:r>
            <w:r w:rsidRPr="0088364D">
              <w:rPr>
                <w:rFonts w:cs="Arial"/>
                <w:sz w:val="20"/>
                <w:szCs w:val="20"/>
                <w:lang w:eastAsia="en-GB"/>
              </w:rPr>
              <w:t>have</w:t>
            </w:r>
            <w:r w:rsidRPr="0088364D">
              <w:rPr>
                <w:rFonts w:cs="Arial"/>
                <w:spacing w:val="-5"/>
                <w:sz w:val="20"/>
                <w:szCs w:val="20"/>
                <w:lang w:eastAsia="en-GB"/>
              </w:rPr>
              <w:t xml:space="preserve"> </w:t>
            </w:r>
            <w:r w:rsidRPr="0088364D">
              <w:rPr>
                <w:rFonts w:cs="Arial"/>
                <w:sz w:val="20"/>
                <w:szCs w:val="20"/>
                <w:lang w:eastAsia="en-GB"/>
              </w:rPr>
              <w:t>"due</w:t>
            </w:r>
            <w:r w:rsidRPr="0088364D">
              <w:rPr>
                <w:rFonts w:cs="Arial"/>
                <w:spacing w:val="-3"/>
                <w:sz w:val="20"/>
                <w:szCs w:val="20"/>
                <w:lang w:eastAsia="en-GB"/>
              </w:rPr>
              <w:t xml:space="preserve"> </w:t>
            </w:r>
            <w:r w:rsidRPr="0088364D">
              <w:rPr>
                <w:rFonts w:cs="Arial"/>
                <w:sz w:val="20"/>
                <w:szCs w:val="20"/>
                <w:lang w:eastAsia="en-GB"/>
              </w:rPr>
              <w:t>regard"</w:t>
            </w:r>
            <w:r w:rsidRPr="0088364D">
              <w:rPr>
                <w:rFonts w:cs="Arial"/>
                <w:spacing w:val="-5"/>
                <w:sz w:val="20"/>
                <w:szCs w:val="20"/>
                <w:lang w:eastAsia="en-GB"/>
              </w:rPr>
              <w:t xml:space="preserve"> </w:t>
            </w:r>
            <w:r w:rsidRPr="0088364D">
              <w:rPr>
                <w:rFonts w:cs="Arial"/>
                <w:sz w:val="20"/>
                <w:szCs w:val="20"/>
                <w:lang w:eastAsia="en-GB"/>
              </w:rPr>
              <w:t>to</w:t>
            </w:r>
            <w:r w:rsidRPr="0088364D">
              <w:rPr>
                <w:rFonts w:cs="Arial"/>
                <w:spacing w:val="-5"/>
                <w:sz w:val="20"/>
                <w:szCs w:val="20"/>
                <w:lang w:eastAsia="en-GB"/>
              </w:rPr>
              <w:t xml:space="preserve"> </w:t>
            </w:r>
            <w:r w:rsidRPr="0088364D">
              <w:rPr>
                <w:rFonts w:cs="Arial"/>
                <w:sz w:val="20"/>
                <w:szCs w:val="20"/>
                <w:lang w:eastAsia="en-GB"/>
              </w:rPr>
              <w:t>the</w:t>
            </w:r>
            <w:r w:rsidRPr="0088364D">
              <w:rPr>
                <w:rFonts w:cs="Arial"/>
                <w:spacing w:val="-6"/>
                <w:sz w:val="20"/>
                <w:szCs w:val="20"/>
                <w:lang w:eastAsia="en-GB"/>
              </w:rPr>
              <w:t xml:space="preserve"> </w:t>
            </w:r>
            <w:r w:rsidRPr="0088364D">
              <w:rPr>
                <w:rFonts w:cs="Arial"/>
                <w:sz w:val="20"/>
                <w:szCs w:val="20"/>
                <w:lang w:eastAsia="en-GB"/>
              </w:rPr>
              <w:t>need</w:t>
            </w:r>
            <w:r w:rsidRPr="0088364D">
              <w:rPr>
                <w:rFonts w:cs="Arial"/>
                <w:spacing w:val="-3"/>
                <w:sz w:val="20"/>
                <w:szCs w:val="20"/>
                <w:lang w:eastAsia="en-GB"/>
              </w:rPr>
              <w:t xml:space="preserve"> </w:t>
            </w:r>
            <w:r w:rsidRPr="0088364D">
              <w:rPr>
                <w:rFonts w:cs="Arial"/>
                <w:sz w:val="20"/>
                <w:szCs w:val="20"/>
                <w:lang w:eastAsia="en-GB"/>
              </w:rPr>
              <w:t>to:</w:t>
            </w:r>
          </w:p>
          <w:p w14:paraId="1297FB01" w14:textId="77777777" w:rsidR="00DB7F92" w:rsidRPr="0088364D" w:rsidRDefault="00DB7F92" w:rsidP="00970B92">
            <w:pPr>
              <w:pStyle w:val="Heading4"/>
              <w:rPr>
                <w:sz w:val="20"/>
                <w:szCs w:val="20"/>
              </w:rPr>
            </w:pPr>
            <w:r w:rsidRPr="0088364D">
              <w:rPr>
                <w:sz w:val="20"/>
                <w:szCs w:val="20"/>
              </w:rPr>
              <w:t>eliminate</w:t>
            </w:r>
            <w:r w:rsidRPr="0088364D">
              <w:rPr>
                <w:spacing w:val="-6"/>
                <w:sz w:val="20"/>
                <w:szCs w:val="20"/>
              </w:rPr>
              <w:t xml:space="preserve"> </w:t>
            </w:r>
            <w:r w:rsidRPr="0088364D">
              <w:rPr>
                <w:sz w:val="20"/>
                <w:szCs w:val="20"/>
              </w:rPr>
              <w:t>discrimination</w:t>
            </w:r>
            <w:r w:rsidRPr="0088364D">
              <w:rPr>
                <w:spacing w:val="-4"/>
                <w:sz w:val="20"/>
                <w:szCs w:val="20"/>
              </w:rPr>
              <w:t xml:space="preserve"> </w:t>
            </w:r>
            <w:r w:rsidRPr="0088364D">
              <w:rPr>
                <w:sz w:val="20"/>
                <w:szCs w:val="20"/>
              </w:rPr>
              <w:t>that</w:t>
            </w:r>
            <w:r w:rsidRPr="0088364D">
              <w:rPr>
                <w:spacing w:val="-6"/>
                <w:sz w:val="20"/>
                <w:szCs w:val="20"/>
              </w:rPr>
              <w:t xml:space="preserve"> </w:t>
            </w:r>
            <w:r w:rsidRPr="0088364D">
              <w:rPr>
                <w:sz w:val="20"/>
                <w:szCs w:val="20"/>
              </w:rPr>
              <w:t>is</w:t>
            </w:r>
            <w:r w:rsidRPr="0088364D">
              <w:rPr>
                <w:spacing w:val="-6"/>
                <w:sz w:val="20"/>
                <w:szCs w:val="20"/>
              </w:rPr>
              <w:t xml:space="preserve"> </w:t>
            </w:r>
            <w:r w:rsidRPr="0088364D">
              <w:rPr>
                <w:sz w:val="20"/>
                <w:szCs w:val="20"/>
              </w:rPr>
              <w:t>unlawful</w:t>
            </w:r>
            <w:r w:rsidRPr="0088364D">
              <w:rPr>
                <w:spacing w:val="-5"/>
                <w:sz w:val="20"/>
                <w:szCs w:val="20"/>
              </w:rPr>
              <w:t xml:space="preserve"> </w:t>
            </w:r>
            <w:r w:rsidRPr="0088364D">
              <w:rPr>
                <w:sz w:val="20"/>
                <w:szCs w:val="20"/>
              </w:rPr>
              <w:t>under</w:t>
            </w:r>
            <w:r w:rsidRPr="0088364D">
              <w:rPr>
                <w:spacing w:val="-6"/>
                <w:sz w:val="20"/>
                <w:szCs w:val="20"/>
              </w:rPr>
              <w:t xml:space="preserve"> </w:t>
            </w:r>
            <w:r w:rsidRPr="0088364D">
              <w:rPr>
                <w:sz w:val="20"/>
                <w:szCs w:val="20"/>
              </w:rPr>
              <w:t>the</w:t>
            </w:r>
            <w:r w:rsidRPr="0088364D">
              <w:rPr>
                <w:spacing w:val="-7"/>
                <w:sz w:val="20"/>
                <w:szCs w:val="20"/>
              </w:rPr>
              <w:t xml:space="preserve"> </w:t>
            </w:r>
            <w:r w:rsidRPr="0088364D">
              <w:rPr>
                <w:sz w:val="20"/>
                <w:szCs w:val="20"/>
              </w:rPr>
              <w:t>Equality</w:t>
            </w:r>
            <w:r w:rsidRPr="0088364D">
              <w:rPr>
                <w:spacing w:val="-6"/>
                <w:sz w:val="20"/>
                <w:szCs w:val="20"/>
              </w:rPr>
              <w:t xml:space="preserve"> </w:t>
            </w:r>
            <w:r w:rsidRPr="0088364D">
              <w:rPr>
                <w:sz w:val="20"/>
                <w:szCs w:val="20"/>
              </w:rPr>
              <w:t>Act;</w:t>
            </w:r>
          </w:p>
          <w:p w14:paraId="6B84FF2C" w14:textId="77777777" w:rsidR="00DB7F92" w:rsidRPr="0088364D" w:rsidRDefault="00DB7F92" w:rsidP="00970B92">
            <w:pPr>
              <w:pStyle w:val="Heading4"/>
              <w:rPr>
                <w:sz w:val="20"/>
                <w:szCs w:val="20"/>
              </w:rPr>
            </w:pPr>
            <w:r w:rsidRPr="0088364D">
              <w:rPr>
                <w:sz w:val="20"/>
                <w:szCs w:val="20"/>
              </w:rPr>
              <w:t>advance</w:t>
            </w:r>
            <w:r w:rsidRPr="0088364D">
              <w:rPr>
                <w:spacing w:val="36"/>
                <w:sz w:val="20"/>
                <w:szCs w:val="20"/>
              </w:rPr>
              <w:t xml:space="preserve"> </w:t>
            </w:r>
            <w:r w:rsidRPr="0088364D">
              <w:rPr>
                <w:sz w:val="20"/>
                <w:szCs w:val="20"/>
              </w:rPr>
              <w:t>equality</w:t>
            </w:r>
            <w:r w:rsidRPr="0088364D">
              <w:rPr>
                <w:spacing w:val="37"/>
                <w:sz w:val="20"/>
                <w:szCs w:val="20"/>
              </w:rPr>
              <w:t xml:space="preserve"> </w:t>
            </w:r>
            <w:r w:rsidRPr="0088364D">
              <w:rPr>
                <w:sz w:val="20"/>
                <w:szCs w:val="20"/>
              </w:rPr>
              <w:t>of</w:t>
            </w:r>
            <w:r w:rsidRPr="0088364D">
              <w:rPr>
                <w:spacing w:val="37"/>
                <w:sz w:val="20"/>
                <w:szCs w:val="20"/>
              </w:rPr>
              <w:t xml:space="preserve"> </w:t>
            </w:r>
            <w:r w:rsidRPr="0088364D">
              <w:rPr>
                <w:sz w:val="20"/>
                <w:szCs w:val="20"/>
              </w:rPr>
              <w:t>opportunity</w:t>
            </w:r>
            <w:r w:rsidRPr="0088364D">
              <w:rPr>
                <w:spacing w:val="37"/>
                <w:sz w:val="20"/>
                <w:szCs w:val="20"/>
              </w:rPr>
              <w:t xml:space="preserve"> </w:t>
            </w:r>
            <w:r w:rsidRPr="0088364D">
              <w:rPr>
                <w:sz w:val="20"/>
                <w:szCs w:val="20"/>
              </w:rPr>
              <w:t>between</w:t>
            </w:r>
            <w:r w:rsidRPr="0088364D">
              <w:rPr>
                <w:spacing w:val="40"/>
                <w:sz w:val="20"/>
                <w:szCs w:val="20"/>
              </w:rPr>
              <w:t xml:space="preserve"> </w:t>
            </w:r>
            <w:r w:rsidRPr="0088364D">
              <w:rPr>
                <w:sz w:val="20"/>
                <w:szCs w:val="20"/>
              </w:rPr>
              <w:t>people</w:t>
            </w:r>
            <w:r w:rsidRPr="0088364D">
              <w:rPr>
                <w:spacing w:val="36"/>
                <w:sz w:val="20"/>
                <w:szCs w:val="20"/>
              </w:rPr>
              <w:t xml:space="preserve"> </w:t>
            </w:r>
            <w:r w:rsidRPr="0088364D">
              <w:rPr>
                <w:sz w:val="20"/>
                <w:szCs w:val="20"/>
              </w:rPr>
              <w:t>who</w:t>
            </w:r>
            <w:r w:rsidRPr="0088364D">
              <w:rPr>
                <w:spacing w:val="37"/>
                <w:sz w:val="20"/>
                <w:szCs w:val="20"/>
              </w:rPr>
              <w:t xml:space="preserve"> </w:t>
            </w:r>
            <w:r w:rsidRPr="0088364D">
              <w:rPr>
                <w:sz w:val="20"/>
                <w:szCs w:val="20"/>
              </w:rPr>
              <w:t>share</w:t>
            </w:r>
            <w:r w:rsidRPr="0088364D">
              <w:rPr>
                <w:spacing w:val="36"/>
                <w:sz w:val="20"/>
                <w:szCs w:val="20"/>
              </w:rPr>
              <w:t xml:space="preserve"> </w:t>
            </w:r>
            <w:r w:rsidRPr="0088364D">
              <w:rPr>
                <w:sz w:val="20"/>
                <w:szCs w:val="20"/>
              </w:rPr>
              <w:t>a</w:t>
            </w:r>
            <w:r w:rsidRPr="0088364D">
              <w:rPr>
                <w:spacing w:val="59"/>
                <w:w w:val="99"/>
                <w:sz w:val="20"/>
                <w:szCs w:val="20"/>
              </w:rPr>
              <w:t xml:space="preserve"> </w:t>
            </w:r>
            <w:r w:rsidRPr="0088364D">
              <w:rPr>
                <w:sz w:val="20"/>
                <w:szCs w:val="20"/>
              </w:rPr>
              <w:t>relevant</w:t>
            </w:r>
            <w:r w:rsidRPr="0088364D">
              <w:rPr>
                <w:spacing w:val="-3"/>
                <w:sz w:val="20"/>
                <w:szCs w:val="20"/>
              </w:rPr>
              <w:t xml:space="preserve"> </w:t>
            </w:r>
            <w:r w:rsidRPr="0088364D">
              <w:rPr>
                <w:sz w:val="20"/>
                <w:szCs w:val="20"/>
              </w:rPr>
              <w:t>protected</w:t>
            </w:r>
            <w:r w:rsidRPr="0088364D">
              <w:rPr>
                <w:spacing w:val="-4"/>
                <w:sz w:val="20"/>
                <w:szCs w:val="20"/>
              </w:rPr>
              <w:t xml:space="preserve"> </w:t>
            </w:r>
            <w:r w:rsidRPr="0088364D">
              <w:rPr>
                <w:sz w:val="20"/>
                <w:szCs w:val="20"/>
              </w:rPr>
              <w:t>characteristic</w:t>
            </w:r>
            <w:r w:rsidRPr="0088364D">
              <w:rPr>
                <w:spacing w:val="-4"/>
                <w:sz w:val="20"/>
                <w:szCs w:val="20"/>
              </w:rPr>
              <w:t xml:space="preserve"> </w:t>
            </w:r>
            <w:r w:rsidRPr="0088364D">
              <w:rPr>
                <w:sz w:val="20"/>
                <w:szCs w:val="20"/>
              </w:rPr>
              <w:t>and</w:t>
            </w:r>
            <w:r w:rsidRPr="0088364D">
              <w:rPr>
                <w:spacing w:val="-4"/>
                <w:sz w:val="20"/>
                <w:szCs w:val="20"/>
              </w:rPr>
              <w:t xml:space="preserve"> </w:t>
            </w:r>
            <w:r w:rsidRPr="0088364D">
              <w:rPr>
                <w:sz w:val="20"/>
                <w:szCs w:val="20"/>
              </w:rPr>
              <w:t>people</w:t>
            </w:r>
            <w:r w:rsidRPr="0088364D">
              <w:rPr>
                <w:spacing w:val="-4"/>
                <w:sz w:val="20"/>
                <w:szCs w:val="20"/>
              </w:rPr>
              <w:t xml:space="preserve"> </w:t>
            </w:r>
            <w:r w:rsidRPr="0088364D">
              <w:rPr>
                <w:sz w:val="20"/>
                <w:szCs w:val="20"/>
              </w:rPr>
              <w:t>who</w:t>
            </w:r>
            <w:r w:rsidRPr="0088364D">
              <w:rPr>
                <w:spacing w:val="-4"/>
                <w:sz w:val="20"/>
                <w:szCs w:val="20"/>
              </w:rPr>
              <w:t xml:space="preserve"> </w:t>
            </w:r>
            <w:r w:rsidRPr="0088364D">
              <w:rPr>
                <w:sz w:val="20"/>
                <w:szCs w:val="20"/>
              </w:rPr>
              <w:t>do</w:t>
            </w:r>
            <w:r w:rsidRPr="0088364D">
              <w:rPr>
                <w:spacing w:val="-3"/>
                <w:sz w:val="20"/>
                <w:szCs w:val="20"/>
              </w:rPr>
              <w:t xml:space="preserve"> </w:t>
            </w:r>
            <w:r w:rsidRPr="0088364D">
              <w:rPr>
                <w:sz w:val="20"/>
                <w:szCs w:val="20"/>
              </w:rPr>
              <w:t>not</w:t>
            </w:r>
            <w:r w:rsidRPr="0088364D">
              <w:rPr>
                <w:spacing w:val="-3"/>
                <w:sz w:val="20"/>
                <w:szCs w:val="20"/>
              </w:rPr>
              <w:t xml:space="preserve"> </w:t>
            </w:r>
            <w:r w:rsidRPr="0088364D">
              <w:rPr>
                <w:sz w:val="20"/>
                <w:szCs w:val="20"/>
              </w:rPr>
              <w:t>share</w:t>
            </w:r>
            <w:r w:rsidRPr="0088364D">
              <w:rPr>
                <w:spacing w:val="-4"/>
                <w:sz w:val="20"/>
                <w:szCs w:val="20"/>
              </w:rPr>
              <w:t xml:space="preserve"> </w:t>
            </w:r>
            <w:r w:rsidRPr="0088364D">
              <w:rPr>
                <w:sz w:val="20"/>
                <w:szCs w:val="20"/>
              </w:rPr>
              <w:t>it;</w:t>
            </w:r>
            <w:r w:rsidRPr="0088364D">
              <w:rPr>
                <w:spacing w:val="63"/>
                <w:sz w:val="20"/>
                <w:szCs w:val="20"/>
              </w:rPr>
              <w:t xml:space="preserve"> </w:t>
            </w:r>
            <w:r w:rsidRPr="0088364D">
              <w:rPr>
                <w:sz w:val="20"/>
                <w:szCs w:val="20"/>
              </w:rPr>
              <w:t>and</w:t>
            </w:r>
          </w:p>
          <w:p w14:paraId="683E2275" w14:textId="77777777" w:rsidR="00DB7F92" w:rsidRPr="0088364D" w:rsidRDefault="00DB7F92" w:rsidP="00970B92">
            <w:pPr>
              <w:pStyle w:val="Heading4"/>
              <w:rPr>
                <w:sz w:val="20"/>
                <w:szCs w:val="20"/>
              </w:rPr>
            </w:pPr>
            <w:r w:rsidRPr="0088364D">
              <w:rPr>
                <w:sz w:val="20"/>
                <w:szCs w:val="20"/>
              </w:rPr>
              <w:t>foster</w:t>
            </w:r>
            <w:r w:rsidRPr="0088364D">
              <w:rPr>
                <w:spacing w:val="56"/>
                <w:sz w:val="20"/>
                <w:szCs w:val="20"/>
              </w:rPr>
              <w:t xml:space="preserve"> </w:t>
            </w:r>
            <w:r w:rsidRPr="0088364D">
              <w:rPr>
                <w:sz w:val="20"/>
                <w:szCs w:val="20"/>
              </w:rPr>
              <w:t>good</w:t>
            </w:r>
            <w:r w:rsidRPr="0088364D">
              <w:rPr>
                <w:spacing w:val="56"/>
                <w:sz w:val="20"/>
                <w:szCs w:val="20"/>
              </w:rPr>
              <w:t xml:space="preserve"> </w:t>
            </w:r>
            <w:r w:rsidRPr="0088364D">
              <w:rPr>
                <w:sz w:val="20"/>
                <w:szCs w:val="20"/>
              </w:rPr>
              <w:t>relations</w:t>
            </w:r>
            <w:r w:rsidRPr="0088364D">
              <w:rPr>
                <w:spacing w:val="60"/>
                <w:sz w:val="20"/>
                <w:szCs w:val="20"/>
              </w:rPr>
              <w:t xml:space="preserve"> </w:t>
            </w:r>
            <w:r w:rsidRPr="0088364D">
              <w:rPr>
                <w:sz w:val="20"/>
                <w:szCs w:val="20"/>
              </w:rPr>
              <w:t>between</w:t>
            </w:r>
            <w:r w:rsidRPr="0088364D">
              <w:rPr>
                <w:spacing w:val="60"/>
                <w:sz w:val="20"/>
                <w:szCs w:val="20"/>
              </w:rPr>
              <w:t xml:space="preserve"> </w:t>
            </w:r>
            <w:r w:rsidRPr="0088364D">
              <w:rPr>
                <w:sz w:val="20"/>
                <w:szCs w:val="20"/>
              </w:rPr>
              <w:t>persons</w:t>
            </w:r>
            <w:r w:rsidRPr="0088364D">
              <w:rPr>
                <w:spacing w:val="58"/>
                <w:sz w:val="20"/>
                <w:szCs w:val="20"/>
              </w:rPr>
              <w:t xml:space="preserve"> </w:t>
            </w:r>
            <w:r w:rsidRPr="0088364D">
              <w:rPr>
                <w:sz w:val="20"/>
                <w:szCs w:val="20"/>
              </w:rPr>
              <w:t>who</w:t>
            </w:r>
            <w:r w:rsidRPr="0088364D">
              <w:rPr>
                <w:spacing w:val="59"/>
                <w:sz w:val="20"/>
                <w:szCs w:val="20"/>
              </w:rPr>
              <w:t xml:space="preserve"> </w:t>
            </w:r>
            <w:r w:rsidRPr="0088364D">
              <w:rPr>
                <w:sz w:val="20"/>
                <w:szCs w:val="20"/>
              </w:rPr>
              <w:t>share</w:t>
            </w:r>
            <w:r w:rsidRPr="0088364D">
              <w:rPr>
                <w:spacing w:val="56"/>
                <w:sz w:val="20"/>
                <w:szCs w:val="20"/>
              </w:rPr>
              <w:t xml:space="preserve"> </w:t>
            </w:r>
            <w:r w:rsidRPr="0088364D">
              <w:rPr>
                <w:sz w:val="20"/>
                <w:szCs w:val="20"/>
              </w:rPr>
              <w:t>a</w:t>
            </w:r>
            <w:r w:rsidRPr="0088364D">
              <w:rPr>
                <w:spacing w:val="57"/>
                <w:sz w:val="20"/>
                <w:szCs w:val="20"/>
              </w:rPr>
              <w:t xml:space="preserve"> </w:t>
            </w:r>
            <w:r w:rsidRPr="0088364D">
              <w:rPr>
                <w:sz w:val="20"/>
                <w:szCs w:val="20"/>
              </w:rPr>
              <w:t>relevant</w:t>
            </w:r>
            <w:r w:rsidRPr="0088364D">
              <w:rPr>
                <w:spacing w:val="59"/>
                <w:w w:val="99"/>
                <w:sz w:val="20"/>
                <w:szCs w:val="20"/>
              </w:rPr>
              <w:t xml:space="preserve"> </w:t>
            </w:r>
            <w:r w:rsidRPr="0088364D">
              <w:rPr>
                <w:sz w:val="20"/>
                <w:szCs w:val="20"/>
              </w:rPr>
              <w:t>protected</w:t>
            </w:r>
            <w:r w:rsidRPr="0088364D">
              <w:rPr>
                <w:spacing w:val="-6"/>
                <w:sz w:val="20"/>
                <w:szCs w:val="20"/>
              </w:rPr>
              <w:t xml:space="preserve"> </w:t>
            </w:r>
            <w:r w:rsidRPr="0088364D">
              <w:rPr>
                <w:sz w:val="20"/>
                <w:szCs w:val="20"/>
              </w:rPr>
              <w:t>characteristic</w:t>
            </w:r>
            <w:r w:rsidRPr="0088364D">
              <w:rPr>
                <w:spacing w:val="-4"/>
                <w:sz w:val="20"/>
                <w:szCs w:val="20"/>
              </w:rPr>
              <w:t xml:space="preserve"> </w:t>
            </w:r>
            <w:r w:rsidRPr="0088364D">
              <w:rPr>
                <w:sz w:val="20"/>
                <w:szCs w:val="20"/>
              </w:rPr>
              <w:t>and</w:t>
            </w:r>
            <w:r w:rsidRPr="0088364D">
              <w:rPr>
                <w:spacing w:val="-4"/>
                <w:sz w:val="20"/>
                <w:szCs w:val="20"/>
              </w:rPr>
              <w:t xml:space="preserve"> </w:t>
            </w:r>
            <w:r w:rsidRPr="0088364D">
              <w:rPr>
                <w:sz w:val="20"/>
                <w:szCs w:val="20"/>
              </w:rPr>
              <w:t>persons</w:t>
            </w:r>
            <w:r w:rsidRPr="0088364D">
              <w:rPr>
                <w:spacing w:val="-5"/>
                <w:sz w:val="20"/>
                <w:szCs w:val="20"/>
              </w:rPr>
              <w:t xml:space="preserve"> </w:t>
            </w:r>
            <w:r w:rsidRPr="0088364D">
              <w:rPr>
                <w:sz w:val="20"/>
                <w:szCs w:val="20"/>
              </w:rPr>
              <w:t>who</w:t>
            </w:r>
            <w:r w:rsidRPr="0088364D">
              <w:rPr>
                <w:spacing w:val="-4"/>
                <w:sz w:val="20"/>
                <w:szCs w:val="20"/>
              </w:rPr>
              <w:t xml:space="preserve"> </w:t>
            </w:r>
            <w:r w:rsidRPr="0088364D">
              <w:rPr>
                <w:sz w:val="20"/>
                <w:szCs w:val="20"/>
              </w:rPr>
              <w:t>do</w:t>
            </w:r>
            <w:r w:rsidRPr="0088364D">
              <w:rPr>
                <w:spacing w:val="-4"/>
                <w:sz w:val="20"/>
                <w:szCs w:val="20"/>
              </w:rPr>
              <w:t xml:space="preserve"> </w:t>
            </w:r>
            <w:r w:rsidRPr="0088364D">
              <w:rPr>
                <w:sz w:val="20"/>
                <w:szCs w:val="20"/>
              </w:rPr>
              <w:t>not</w:t>
            </w:r>
            <w:r w:rsidRPr="0088364D">
              <w:rPr>
                <w:spacing w:val="-5"/>
                <w:sz w:val="20"/>
                <w:szCs w:val="20"/>
              </w:rPr>
              <w:t xml:space="preserve"> </w:t>
            </w:r>
            <w:r w:rsidRPr="0088364D">
              <w:rPr>
                <w:sz w:val="20"/>
                <w:szCs w:val="20"/>
              </w:rPr>
              <w:t>share</w:t>
            </w:r>
            <w:r w:rsidRPr="0088364D">
              <w:rPr>
                <w:spacing w:val="-5"/>
                <w:sz w:val="20"/>
                <w:szCs w:val="20"/>
              </w:rPr>
              <w:t xml:space="preserve"> </w:t>
            </w:r>
            <w:r w:rsidRPr="0088364D">
              <w:rPr>
                <w:sz w:val="20"/>
                <w:szCs w:val="20"/>
              </w:rPr>
              <w:t>it.</w:t>
            </w:r>
          </w:p>
          <w:p w14:paraId="32BCDCDD" w14:textId="77777777" w:rsidR="00DB7F92" w:rsidRPr="0088364D" w:rsidRDefault="00DB7F92" w:rsidP="00970B92">
            <w:pPr>
              <w:pStyle w:val="Heading3"/>
              <w:numPr>
                <w:ilvl w:val="0"/>
                <w:numId w:val="0"/>
              </w:numPr>
              <w:ind w:left="720"/>
              <w:rPr>
                <w:sz w:val="20"/>
                <w:szCs w:val="20"/>
                <w:lang w:eastAsia="en-GB"/>
              </w:rPr>
            </w:pPr>
            <w:r w:rsidRPr="0088364D">
              <w:rPr>
                <w:sz w:val="20"/>
                <w:szCs w:val="20"/>
                <w:lang w:eastAsia="en-GB"/>
              </w:rPr>
              <w:t>This can require NHS England to take positive steps to reduce inequalities</w:t>
            </w:r>
          </w:p>
          <w:p w14:paraId="1271D584" w14:textId="77777777" w:rsidR="00DB7F92" w:rsidRPr="0088364D" w:rsidRDefault="00DB7F92" w:rsidP="00970B92">
            <w:pPr>
              <w:pStyle w:val="Heading3"/>
              <w:rPr>
                <w:rFonts w:cs="Arial"/>
                <w:sz w:val="20"/>
                <w:szCs w:val="20"/>
                <w:lang w:eastAsia="en-GB"/>
              </w:rPr>
            </w:pPr>
            <w:r w:rsidRPr="0088364D">
              <w:rPr>
                <w:rFonts w:cs="Arial"/>
                <w:sz w:val="20"/>
                <w:szCs w:val="20"/>
                <w:lang w:eastAsia="en-GB"/>
              </w:rPr>
              <w:t>The duty is known as the public sector equality duty or PSED (see section 149 of the Equality Act 2010).  The Equality Act 2010 also imposes (through Regulations made under the Act) particular inequality related duties on commissioners. Failure to comply with these specific duties will be unlawful.</w:t>
            </w:r>
          </w:p>
          <w:p w14:paraId="3418EA84" w14:textId="77777777" w:rsidR="00DB7F92" w:rsidRPr="0088364D" w:rsidRDefault="00DB7F92" w:rsidP="00DB7F92">
            <w:pPr>
              <w:widowControl w:val="0"/>
              <w:spacing w:before="162" w:after="120"/>
              <w:ind w:left="838" w:right="116"/>
              <w:jc w:val="both"/>
              <w:rPr>
                <w:rFonts w:cs="Arial"/>
                <w:bCs w:val="0"/>
                <w:sz w:val="20"/>
                <w:szCs w:val="20"/>
                <w:lang w:eastAsia="en-GB"/>
              </w:rPr>
            </w:pPr>
            <w:r w:rsidRPr="0088364D">
              <w:rPr>
                <w:rFonts w:cs="Arial"/>
                <w:b/>
                <w:bCs w:val="0"/>
                <w:sz w:val="20"/>
                <w:szCs w:val="20"/>
                <w:lang w:eastAsia="en-GB"/>
              </w:rPr>
              <w:t>b) NHS Act 2006 (as amended by the Health and Social Care Act 2012</w:t>
            </w:r>
            <w:r w:rsidRPr="0088364D">
              <w:rPr>
                <w:rFonts w:cs="Arial"/>
                <w:bCs w:val="0"/>
                <w:sz w:val="20"/>
                <w:szCs w:val="20"/>
                <w:lang w:eastAsia="en-GB"/>
              </w:rPr>
              <w:t xml:space="preserve">) </w:t>
            </w:r>
          </w:p>
          <w:p w14:paraId="6B3B6587" w14:textId="77777777" w:rsidR="00DD5D2D" w:rsidRPr="0088364D" w:rsidRDefault="00DD5D2D" w:rsidP="00DD5D2D">
            <w:pPr>
              <w:pStyle w:val="Heading3"/>
              <w:numPr>
                <w:ilvl w:val="0"/>
                <w:numId w:val="0"/>
              </w:numPr>
              <w:ind w:left="720"/>
              <w:rPr>
                <w:sz w:val="20"/>
                <w:szCs w:val="20"/>
                <w:lang w:eastAsia="en-GB"/>
              </w:rPr>
            </w:pPr>
          </w:p>
          <w:p w14:paraId="3AE9A152" w14:textId="77777777" w:rsidR="00DB7F92" w:rsidRPr="0088364D" w:rsidRDefault="00DB7F92" w:rsidP="00970B92">
            <w:pPr>
              <w:pStyle w:val="Heading3"/>
              <w:rPr>
                <w:sz w:val="20"/>
                <w:szCs w:val="20"/>
                <w:lang w:eastAsia="en-GB"/>
              </w:rPr>
            </w:pPr>
            <w:r w:rsidRPr="0088364D">
              <w:rPr>
                <w:sz w:val="20"/>
                <w:szCs w:val="20"/>
                <w:lang w:eastAsia="en-GB"/>
              </w:rPr>
              <w:t>Under the NHS Act 2006 (as amended by the Health and Social Care Act 2012) commissioners also have a duty to have regard to</w:t>
            </w:r>
            <w:r w:rsidRPr="0088364D">
              <w:rPr>
                <w:spacing w:val="16"/>
                <w:sz w:val="20"/>
                <w:szCs w:val="20"/>
                <w:lang w:eastAsia="en-GB"/>
              </w:rPr>
              <w:t xml:space="preserve"> </w:t>
            </w:r>
            <w:r w:rsidRPr="0088364D">
              <w:rPr>
                <w:spacing w:val="-1"/>
                <w:sz w:val="20"/>
                <w:szCs w:val="20"/>
                <w:lang w:eastAsia="en-GB"/>
              </w:rPr>
              <w:t>the</w:t>
            </w:r>
            <w:r w:rsidRPr="0088364D">
              <w:rPr>
                <w:spacing w:val="15"/>
                <w:sz w:val="20"/>
                <w:szCs w:val="20"/>
                <w:lang w:eastAsia="en-GB"/>
              </w:rPr>
              <w:t xml:space="preserve"> </w:t>
            </w:r>
            <w:r w:rsidRPr="0088364D">
              <w:rPr>
                <w:spacing w:val="-1"/>
                <w:sz w:val="20"/>
                <w:szCs w:val="20"/>
                <w:lang w:eastAsia="en-GB"/>
              </w:rPr>
              <w:t>need</w:t>
            </w:r>
            <w:r w:rsidRPr="0088364D">
              <w:rPr>
                <w:spacing w:val="80"/>
                <w:w w:val="99"/>
                <w:sz w:val="20"/>
                <w:szCs w:val="20"/>
                <w:lang w:eastAsia="en-GB"/>
              </w:rPr>
              <w:t xml:space="preserve"> </w:t>
            </w:r>
            <w:r w:rsidRPr="0088364D">
              <w:rPr>
                <w:spacing w:val="-1"/>
                <w:sz w:val="20"/>
                <w:szCs w:val="20"/>
                <w:lang w:eastAsia="en-GB"/>
              </w:rPr>
              <w:t>to:-</w:t>
            </w:r>
          </w:p>
          <w:p w14:paraId="2FDE98B0" w14:textId="77777777" w:rsidR="00DB7F92" w:rsidRPr="0088364D" w:rsidRDefault="00DB7F92" w:rsidP="00970B92">
            <w:pPr>
              <w:pStyle w:val="Heading4"/>
              <w:rPr>
                <w:sz w:val="20"/>
                <w:szCs w:val="20"/>
              </w:rPr>
            </w:pPr>
            <w:r w:rsidRPr="0088364D">
              <w:rPr>
                <w:sz w:val="20"/>
                <w:szCs w:val="20"/>
              </w:rPr>
              <w:t>reduce</w:t>
            </w:r>
            <w:r w:rsidRPr="0088364D">
              <w:rPr>
                <w:spacing w:val="24"/>
                <w:sz w:val="20"/>
                <w:szCs w:val="20"/>
              </w:rPr>
              <w:t xml:space="preserve"> </w:t>
            </w:r>
            <w:r w:rsidRPr="0088364D">
              <w:rPr>
                <w:sz w:val="20"/>
                <w:szCs w:val="20"/>
              </w:rPr>
              <w:t>inequalities</w:t>
            </w:r>
            <w:r w:rsidRPr="0088364D">
              <w:rPr>
                <w:spacing w:val="25"/>
                <w:sz w:val="20"/>
                <w:szCs w:val="20"/>
              </w:rPr>
              <w:t xml:space="preserve"> </w:t>
            </w:r>
            <w:r w:rsidRPr="0088364D">
              <w:rPr>
                <w:sz w:val="20"/>
                <w:szCs w:val="20"/>
              </w:rPr>
              <w:t>between</w:t>
            </w:r>
            <w:r w:rsidRPr="0088364D">
              <w:rPr>
                <w:spacing w:val="23"/>
                <w:sz w:val="20"/>
                <w:szCs w:val="20"/>
              </w:rPr>
              <w:t xml:space="preserve"> </w:t>
            </w:r>
            <w:r w:rsidRPr="0088364D">
              <w:rPr>
                <w:sz w:val="20"/>
                <w:szCs w:val="20"/>
              </w:rPr>
              <w:t>patients</w:t>
            </w:r>
            <w:r w:rsidRPr="0088364D">
              <w:rPr>
                <w:spacing w:val="25"/>
                <w:sz w:val="20"/>
                <w:szCs w:val="20"/>
              </w:rPr>
              <w:t xml:space="preserve"> </w:t>
            </w:r>
            <w:r w:rsidRPr="0088364D">
              <w:rPr>
                <w:sz w:val="20"/>
                <w:szCs w:val="20"/>
              </w:rPr>
              <w:t>with</w:t>
            </w:r>
            <w:r w:rsidRPr="0088364D">
              <w:rPr>
                <w:spacing w:val="23"/>
                <w:sz w:val="20"/>
                <w:szCs w:val="20"/>
              </w:rPr>
              <w:t xml:space="preserve"> </w:t>
            </w:r>
            <w:r w:rsidRPr="0088364D">
              <w:rPr>
                <w:sz w:val="20"/>
                <w:szCs w:val="20"/>
              </w:rPr>
              <w:t>respect</w:t>
            </w:r>
            <w:r w:rsidRPr="0088364D">
              <w:rPr>
                <w:spacing w:val="24"/>
                <w:sz w:val="20"/>
                <w:szCs w:val="20"/>
              </w:rPr>
              <w:t xml:space="preserve"> </w:t>
            </w:r>
            <w:r w:rsidRPr="0088364D">
              <w:rPr>
                <w:sz w:val="20"/>
                <w:szCs w:val="20"/>
              </w:rPr>
              <w:t>to</w:t>
            </w:r>
            <w:r w:rsidRPr="0088364D">
              <w:rPr>
                <w:spacing w:val="22"/>
                <w:sz w:val="20"/>
                <w:szCs w:val="20"/>
              </w:rPr>
              <w:t xml:space="preserve"> </w:t>
            </w:r>
            <w:r w:rsidRPr="0088364D">
              <w:rPr>
                <w:sz w:val="20"/>
                <w:szCs w:val="20"/>
              </w:rPr>
              <w:t>their</w:t>
            </w:r>
            <w:r w:rsidRPr="0088364D">
              <w:rPr>
                <w:spacing w:val="24"/>
                <w:sz w:val="20"/>
                <w:szCs w:val="20"/>
              </w:rPr>
              <w:t xml:space="preserve"> </w:t>
            </w:r>
            <w:r w:rsidRPr="0088364D">
              <w:rPr>
                <w:sz w:val="20"/>
                <w:szCs w:val="20"/>
              </w:rPr>
              <w:t>ability</w:t>
            </w:r>
            <w:r w:rsidRPr="0088364D">
              <w:rPr>
                <w:spacing w:val="61"/>
                <w:sz w:val="20"/>
                <w:szCs w:val="20"/>
              </w:rPr>
              <w:t xml:space="preserve"> </w:t>
            </w:r>
            <w:r w:rsidRPr="0088364D">
              <w:rPr>
                <w:sz w:val="20"/>
                <w:szCs w:val="20"/>
              </w:rPr>
              <w:t>to</w:t>
            </w:r>
            <w:r w:rsidRPr="0088364D">
              <w:rPr>
                <w:spacing w:val="-7"/>
                <w:sz w:val="20"/>
                <w:szCs w:val="20"/>
              </w:rPr>
              <w:t xml:space="preserve"> </w:t>
            </w:r>
            <w:r w:rsidRPr="0088364D">
              <w:rPr>
                <w:sz w:val="20"/>
                <w:szCs w:val="20"/>
              </w:rPr>
              <w:t>access</w:t>
            </w:r>
            <w:r w:rsidRPr="0088364D">
              <w:rPr>
                <w:spacing w:val="-5"/>
                <w:sz w:val="20"/>
                <w:szCs w:val="20"/>
              </w:rPr>
              <w:t xml:space="preserve"> </w:t>
            </w:r>
            <w:r w:rsidRPr="0088364D">
              <w:rPr>
                <w:sz w:val="20"/>
                <w:szCs w:val="20"/>
              </w:rPr>
              <w:t>health</w:t>
            </w:r>
            <w:r w:rsidRPr="0088364D">
              <w:rPr>
                <w:spacing w:val="-6"/>
                <w:sz w:val="20"/>
                <w:szCs w:val="20"/>
              </w:rPr>
              <w:t xml:space="preserve"> </w:t>
            </w:r>
            <w:r w:rsidRPr="0088364D">
              <w:rPr>
                <w:sz w:val="20"/>
                <w:szCs w:val="20"/>
              </w:rPr>
              <w:t>services;</w:t>
            </w:r>
            <w:r w:rsidRPr="0088364D">
              <w:rPr>
                <w:spacing w:val="-6"/>
                <w:sz w:val="20"/>
                <w:szCs w:val="20"/>
              </w:rPr>
              <w:t xml:space="preserve"> </w:t>
            </w:r>
            <w:r w:rsidRPr="0088364D">
              <w:rPr>
                <w:sz w:val="20"/>
                <w:szCs w:val="20"/>
              </w:rPr>
              <w:t>and</w:t>
            </w:r>
          </w:p>
          <w:p w14:paraId="09945FDF" w14:textId="77777777" w:rsidR="00DB7F92" w:rsidRPr="0088364D" w:rsidRDefault="00DB7F92" w:rsidP="00DD5D2D">
            <w:pPr>
              <w:pStyle w:val="Heading4"/>
              <w:rPr>
                <w:sz w:val="20"/>
                <w:szCs w:val="20"/>
              </w:rPr>
            </w:pPr>
            <w:r w:rsidRPr="0088364D">
              <w:rPr>
                <w:sz w:val="20"/>
                <w:szCs w:val="20"/>
              </w:rPr>
              <w:t>reduce</w:t>
            </w:r>
            <w:r w:rsidRPr="0088364D">
              <w:rPr>
                <w:sz w:val="20"/>
                <w:szCs w:val="20"/>
              </w:rPr>
              <w:tab/>
              <w:t>inequalities</w:t>
            </w:r>
            <w:r w:rsidRPr="0088364D">
              <w:rPr>
                <w:sz w:val="20"/>
                <w:szCs w:val="20"/>
              </w:rPr>
              <w:tab/>
              <w:t>between</w:t>
            </w:r>
            <w:r w:rsidRPr="0088364D">
              <w:rPr>
                <w:sz w:val="20"/>
                <w:szCs w:val="20"/>
              </w:rPr>
              <w:tab/>
              <w:t>patients</w:t>
            </w:r>
            <w:r w:rsidRPr="0088364D">
              <w:rPr>
                <w:sz w:val="20"/>
                <w:szCs w:val="20"/>
              </w:rPr>
              <w:tab/>
              <w:t>with</w:t>
            </w:r>
            <w:r w:rsidRPr="0088364D">
              <w:rPr>
                <w:sz w:val="20"/>
                <w:szCs w:val="20"/>
              </w:rPr>
              <w:tab/>
              <w:t>respect</w:t>
            </w:r>
            <w:r w:rsidRPr="0088364D">
              <w:rPr>
                <w:sz w:val="20"/>
                <w:szCs w:val="20"/>
              </w:rPr>
              <w:tab/>
              <w:t>to</w:t>
            </w:r>
            <w:r w:rsidRPr="0088364D">
              <w:rPr>
                <w:sz w:val="20"/>
                <w:szCs w:val="20"/>
              </w:rPr>
              <w:tab/>
              <w:t>the outcomes achieved for them by the provision of health services</w:t>
            </w:r>
          </w:p>
          <w:p w14:paraId="1C2EAFE0" w14:textId="2DE6E4CB" w:rsidR="00DB7F92" w:rsidRPr="0088364D" w:rsidRDefault="00DB7F92" w:rsidP="00970B92">
            <w:pPr>
              <w:pStyle w:val="Heading4"/>
              <w:rPr>
                <w:sz w:val="20"/>
                <w:szCs w:val="20"/>
              </w:rPr>
            </w:pPr>
            <w:r w:rsidRPr="0088364D">
              <w:rPr>
                <w:sz w:val="20"/>
                <w:szCs w:val="20"/>
              </w:rPr>
              <w:t xml:space="preserve">(in respect of NHS England, see section 13G of the NHS Act 2006; and, in respect of </w:t>
            </w:r>
            <w:r w:rsidR="00B83042">
              <w:rPr>
                <w:sz w:val="20"/>
                <w:szCs w:val="20"/>
              </w:rPr>
              <w:t>CCG/ICB</w:t>
            </w:r>
            <w:r w:rsidRPr="0088364D">
              <w:rPr>
                <w:sz w:val="20"/>
                <w:szCs w:val="20"/>
              </w:rPr>
              <w:t xml:space="preserve">, see section 14T of the NHS Act 2006) </w:t>
            </w:r>
          </w:p>
          <w:p w14:paraId="461DF140" w14:textId="77777777" w:rsidR="00DB7F92" w:rsidRPr="0088364D" w:rsidRDefault="00DB7F92" w:rsidP="00DB7F92">
            <w:pPr>
              <w:widowControl w:val="0"/>
              <w:tabs>
                <w:tab w:val="left" w:pos="2387"/>
                <w:tab w:val="left" w:pos="3307"/>
                <w:tab w:val="left" w:pos="4680"/>
                <w:tab w:val="left" w:pos="5779"/>
                <w:tab w:val="left" w:pos="6814"/>
                <w:tab w:val="left" w:pos="7462"/>
                <w:tab w:val="left" w:pos="8424"/>
                <w:tab w:val="left" w:pos="8854"/>
              </w:tabs>
              <w:spacing w:after="120"/>
              <w:ind w:left="1536" w:right="117"/>
              <w:jc w:val="both"/>
              <w:rPr>
                <w:rFonts w:cs="Arial"/>
                <w:bCs w:val="0"/>
                <w:sz w:val="20"/>
                <w:szCs w:val="20"/>
                <w:lang w:eastAsia="en-GB"/>
              </w:rPr>
            </w:pPr>
          </w:p>
          <w:p w14:paraId="05BD0C08" w14:textId="77777777" w:rsidR="00DB7F92" w:rsidRPr="0088364D" w:rsidRDefault="00DB7F92" w:rsidP="00DD5D2D">
            <w:pPr>
              <w:pStyle w:val="BodyText"/>
              <w:ind w:left="720"/>
              <w:rPr>
                <w:rFonts w:eastAsiaTheme="majorEastAsia" w:cs="Arial"/>
                <w:b/>
                <w:i/>
              </w:rPr>
            </w:pPr>
            <w:r w:rsidRPr="0088364D">
              <w:rPr>
                <w:rFonts w:eastAsiaTheme="majorEastAsia" w:cs="Arial"/>
                <w:b/>
                <w:i/>
              </w:rPr>
              <w:t>Other non-equality and health inequalities related duties</w:t>
            </w:r>
          </w:p>
          <w:p w14:paraId="6B500021" w14:textId="77777777" w:rsidR="00DD5D2D" w:rsidRPr="0088364D" w:rsidRDefault="00DD5D2D" w:rsidP="00825050">
            <w:pPr>
              <w:keepNext/>
              <w:keepLines/>
              <w:numPr>
                <w:ilvl w:val="6"/>
                <w:numId w:val="31"/>
              </w:numPr>
              <w:tabs>
                <w:tab w:val="num" w:pos="5761"/>
              </w:tabs>
              <w:spacing w:before="173"/>
              <w:ind w:left="439" w:hanging="720"/>
              <w:jc w:val="both"/>
              <w:outlineLvl w:val="6"/>
              <w:rPr>
                <w:rFonts w:eastAsiaTheme="majorEastAsia" w:cs="Arial"/>
                <w:b/>
                <w:i/>
                <w:iCs/>
                <w:color w:val="404040" w:themeColor="text1" w:themeTint="BF"/>
                <w:sz w:val="20"/>
                <w:szCs w:val="20"/>
              </w:rPr>
            </w:pPr>
          </w:p>
          <w:p w14:paraId="408331F9" w14:textId="77777777" w:rsidR="00DB7F92" w:rsidRPr="0088364D" w:rsidRDefault="00DB7F92" w:rsidP="00884224">
            <w:pPr>
              <w:keepNext/>
              <w:keepLines/>
              <w:spacing w:before="173"/>
              <w:ind w:left="13"/>
              <w:jc w:val="both"/>
              <w:outlineLvl w:val="6"/>
              <w:rPr>
                <w:rFonts w:eastAsiaTheme="majorEastAsia" w:cs="Arial"/>
                <w:b/>
                <w:i/>
                <w:iCs/>
                <w:color w:val="404040" w:themeColor="text1" w:themeTint="BF"/>
                <w:sz w:val="20"/>
                <w:szCs w:val="20"/>
              </w:rPr>
            </w:pPr>
            <w:r w:rsidRPr="0088364D">
              <w:rPr>
                <w:rFonts w:eastAsiaTheme="majorEastAsia" w:cs="Arial"/>
                <w:b/>
                <w:i/>
                <w:iCs/>
                <w:color w:val="404040" w:themeColor="text1" w:themeTint="BF"/>
                <w:spacing w:val="-1"/>
                <w:sz w:val="20"/>
                <w:szCs w:val="20"/>
              </w:rPr>
              <w:t>The "Regard</w:t>
            </w:r>
            <w:r w:rsidRPr="0088364D">
              <w:rPr>
                <w:rFonts w:eastAsiaTheme="majorEastAsia" w:cs="Arial"/>
                <w:b/>
                <w:i/>
                <w:iCs/>
                <w:color w:val="404040" w:themeColor="text1" w:themeTint="BF"/>
                <w:spacing w:val="-9"/>
                <w:sz w:val="20"/>
                <w:szCs w:val="20"/>
              </w:rPr>
              <w:t xml:space="preserve"> </w:t>
            </w:r>
            <w:r w:rsidRPr="0088364D">
              <w:rPr>
                <w:rFonts w:eastAsiaTheme="majorEastAsia" w:cs="Arial"/>
                <w:b/>
                <w:i/>
                <w:iCs/>
                <w:color w:val="404040" w:themeColor="text1" w:themeTint="BF"/>
                <w:sz w:val="20"/>
                <w:szCs w:val="20"/>
              </w:rPr>
              <w:t>Duties"</w:t>
            </w:r>
          </w:p>
          <w:p w14:paraId="1663013D" w14:textId="77777777" w:rsidR="00DD5D2D" w:rsidRPr="0088364D" w:rsidRDefault="00DD5D2D" w:rsidP="00825050">
            <w:pPr>
              <w:keepNext/>
              <w:keepLines/>
              <w:numPr>
                <w:ilvl w:val="6"/>
                <w:numId w:val="31"/>
              </w:numPr>
              <w:tabs>
                <w:tab w:val="num" w:pos="5761"/>
              </w:tabs>
              <w:spacing w:before="173"/>
              <w:ind w:left="439" w:hanging="720"/>
              <w:jc w:val="both"/>
              <w:outlineLvl w:val="6"/>
              <w:rPr>
                <w:rFonts w:eastAsiaTheme="majorEastAsia" w:cs="Arial"/>
                <w:b/>
                <w:i/>
                <w:iCs/>
                <w:color w:val="404040" w:themeColor="text1" w:themeTint="BF"/>
                <w:sz w:val="20"/>
                <w:szCs w:val="20"/>
              </w:rPr>
            </w:pPr>
          </w:p>
          <w:p w14:paraId="0420F79A" w14:textId="77777777" w:rsidR="00DB7F92" w:rsidRPr="0088364D" w:rsidRDefault="00DB7F92" w:rsidP="00970B92">
            <w:pPr>
              <w:pStyle w:val="Heading3"/>
              <w:rPr>
                <w:sz w:val="20"/>
                <w:szCs w:val="20"/>
                <w:lang w:eastAsia="en-GB"/>
              </w:rPr>
            </w:pPr>
            <w:r w:rsidRPr="0088364D">
              <w:rPr>
                <w:sz w:val="20"/>
                <w:szCs w:val="20"/>
                <w:lang w:eastAsia="en-GB"/>
              </w:rPr>
              <w:t>In addition to the above, there are other obligations on commissioners to "have regard" to particular factors.  These are set out in the NHS Act 2006 (as amended by the Health and Social Care Act 2012).  The other "Regard Duties" are:</w:t>
            </w:r>
          </w:p>
          <w:p w14:paraId="7FC76FC3" w14:textId="026D6DEA" w:rsidR="00DB7F92" w:rsidRPr="0088364D" w:rsidRDefault="00DB7F92" w:rsidP="00970B92">
            <w:pPr>
              <w:pStyle w:val="Heading4"/>
              <w:rPr>
                <w:sz w:val="20"/>
                <w:szCs w:val="20"/>
              </w:rPr>
            </w:pPr>
            <w:r w:rsidRPr="0088364D">
              <w:rPr>
                <w:sz w:val="20"/>
                <w:szCs w:val="20"/>
              </w:rPr>
              <w:t>the duty</w:t>
            </w:r>
            <w:r w:rsidRPr="0088364D">
              <w:rPr>
                <w:spacing w:val="18"/>
                <w:sz w:val="20"/>
                <w:szCs w:val="20"/>
              </w:rPr>
              <w:t xml:space="preserve"> </w:t>
            </w:r>
            <w:r w:rsidRPr="0088364D">
              <w:rPr>
                <w:sz w:val="20"/>
                <w:szCs w:val="20"/>
              </w:rPr>
              <w:t>to</w:t>
            </w:r>
            <w:r w:rsidRPr="0088364D">
              <w:rPr>
                <w:spacing w:val="16"/>
                <w:sz w:val="20"/>
                <w:szCs w:val="20"/>
              </w:rPr>
              <w:t xml:space="preserve"> </w:t>
            </w:r>
            <w:r w:rsidRPr="0088364D">
              <w:rPr>
                <w:sz w:val="20"/>
                <w:szCs w:val="20"/>
              </w:rPr>
              <w:t>have</w:t>
            </w:r>
            <w:r w:rsidRPr="0088364D">
              <w:rPr>
                <w:spacing w:val="16"/>
                <w:sz w:val="20"/>
                <w:szCs w:val="20"/>
              </w:rPr>
              <w:t xml:space="preserve"> </w:t>
            </w:r>
            <w:r w:rsidRPr="0088364D">
              <w:rPr>
                <w:sz w:val="20"/>
                <w:szCs w:val="20"/>
              </w:rPr>
              <w:t>regard</w:t>
            </w:r>
            <w:r w:rsidRPr="0088364D">
              <w:rPr>
                <w:spacing w:val="17"/>
                <w:sz w:val="20"/>
                <w:szCs w:val="20"/>
              </w:rPr>
              <w:t xml:space="preserve"> </w:t>
            </w:r>
            <w:r w:rsidRPr="0088364D">
              <w:rPr>
                <w:sz w:val="20"/>
                <w:szCs w:val="20"/>
              </w:rPr>
              <w:t>to</w:t>
            </w:r>
            <w:r w:rsidRPr="0088364D">
              <w:rPr>
                <w:spacing w:val="16"/>
                <w:sz w:val="20"/>
                <w:szCs w:val="20"/>
              </w:rPr>
              <w:t xml:space="preserve"> </w:t>
            </w:r>
            <w:r w:rsidRPr="0088364D">
              <w:rPr>
                <w:sz w:val="20"/>
                <w:szCs w:val="20"/>
              </w:rPr>
              <w:t>the</w:t>
            </w:r>
            <w:r w:rsidRPr="0088364D">
              <w:rPr>
                <w:spacing w:val="16"/>
                <w:sz w:val="20"/>
                <w:szCs w:val="20"/>
              </w:rPr>
              <w:t xml:space="preserve"> </w:t>
            </w:r>
            <w:r w:rsidRPr="0088364D">
              <w:rPr>
                <w:sz w:val="20"/>
                <w:szCs w:val="20"/>
              </w:rPr>
              <w:t>desirability</w:t>
            </w:r>
            <w:r w:rsidRPr="0088364D">
              <w:rPr>
                <w:spacing w:val="18"/>
                <w:sz w:val="20"/>
                <w:szCs w:val="20"/>
              </w:rPr>
              <w:t xml:space="preserve"> </w:t>
            </w:r>
            <w:r w:rsidRPr="0088364D">
              <w:rPr>
                <w:sz w:val="20"/>
                <w:szCs w:val="20"/>
              </w:rPr>
              <w:t>of</w:t>
            </w:r>
            <w:r w:rsidRPr="0088364D">
              <w:rPr>
                <w:spacing w:val="18"/>
                <w:sz w:val="20"/>
                <w:szCs w:val="20"/>
              </w:rPr>
              <w:t xml:space="preserve"> </w:t>
            </w:r>
            <w:r w:rsidRPr="0088364D">
              <w:rPr>
                <w:sz w:val="20"/>
                <w:szCs w:val="20"/>
              </w:rPr>
              <w:t>allowing</w:t>
            </w:r>
            <w:r w:rsidRPr="0088364D">
              <w:rPr>
                <w:spacing w:val="17"/>
                <w:sz w:val="20"/>
                <w:szCs w:val="20"/>
              </w:rPr>
              <w:t xml:space="preserve"> </w:t>
            </w:r>
            <w:r w:rsidRPr="0088364D">
              <w:rPr>
                <w:sz w:val="20"/>
                <w:szCs w:val="20"/>
              </w:rPr>
              <w:t>others</w:t>
            </w:r>
            <w:r w:rsidRPr="0088364D">
              <w:rPr>
                <w:spacing w:val="18"/>
                <w:sz w:val="20"/>
                <w:szCs w:val="20"/>
              </w:rPr>
              <w:t xml:space="preserve"> </w:t>
            </w:r>
            <w:r w:rsidRPr="0088364D">
              <w:rPr>
                <w:sz w:val="20"/>
                <w:szCs w:val="20"/>
              </w:rPr>
              <w:t>in</w:t>
            </w:r>
            <w:r w:rsidRPr="0088364D">
              <w:rPr>
                <w:spacing w:val="54"/>
                <w:w w:val="99"/>
                <w:sz w:val="20"/>
                <w:szCs w:val="20"/>
              </w:rPr>
              <w:t xml:space="preserve"> </w:t>
            </w:r>
            <w:r w:rsidR="00050291" w:rsidRPr="0088364D">
              <w:rPr>
                <w:sz w:val="20"/>
                <w:szCs w:val="20"/>
              </w:rPr>
              <w:t xml:space="preserve">the </w:t>
            </w:r>
            <w:r w:rsidR="00050291" w:rsidRPr="00A553BA">
              <w:rPr>
                <w:spacing w:val="36"/>
                <w:sz w:val="20"/>
              </w:rPr>
              <w:t>healthcare</w:t>
            </w:r>
            <w:r w:rsidR="00050291" w:rsidRPr="0088364D">
              <w:rPr>
                <w:sz w:val="20"/>
                <w:szCs w:val="20"/>
              </w:rPr>
              <w:t xml:space="preserve"> </w:t>
            </w:r>
            <w:r w:rsidR="00050291" w:rsidRPr="00A553BA">
              <w:rPr>
                <w:spacing w:val="37"/>
                <w:sz w:val="20"/>
              </w:rPr>
              <w:t>system</w:t>
            </w:r>
            <w:r w:rsidR="00050291" w:rsidRPr="0088364D">
              <w:rPr>
                <w:sz w:val="20"/>
                <w:szCs w:val="20"/>
              </w:rPr>
              <w:t xml:space="preserve"> </w:t>
            </w:r>
            <w:r w:rsidR="00050291" w:rsidRPr="00A553BA">
              <w:rPr>
                <w:spacing w:val="38"/>
                <w:sz w:val="20"/>
              </w:rPr>
              <w:t>to</w:t>
            </w:r>
            <w:r w:rsidR="00050291" w:rsidRPr="0088364D">
              <w:rPr>
                <w:sz w:val="20"/>
                <w:szCs w:val="20"/>
              </w:rPr>
              <w:t xml:space="preserve"> </w:t>
            </w:r>
            <w:r w:rsidR="00050291" w:rsidRPr="00A553BA">
              <w:rPr>
                <w:spacing w:val="37"/>
                <w:sz w:val="20"/>
              </w:rPr>
              <w:t>act</w:t>
            </w:r>
            <w:r w:rsidR="00050291" w:rsidRPr="0088364D">
              <w:rPr>
                <w:sz w:val="20"/>
                <w:szCs w:val="20"/>
              </w:rPr>
              <w:t xml:space="preserve"> </w:t>
            </w:r>
            <w:r w:rsidR="00050291" w:rsidRPr="00A553BA">
              <w:rPr>
                <w:spacing w:val="18"/>
                <w:sz w:val="20"/>
              </w:rPr>
              <w:t>with</w:t>
            </w:r>
            <w:r w:rsidR="00050291" w:rsidRPr="0088364D">
              <w:rPr>
                <w:sz w:val="20"/>
                <w:szCs w:val="20"/>
              </w:rPr>
              <w:t xml:space="preserve"> </w:t>
            </w:r>
            <w:r w:rsidR="00050291" w:rsidRPr="00A553BA">
              <w:rPr>
                <w:spacing w:val="20"/>
                <w:sz w:val="20"/>
              </w:rPr>
              <w:t>autonomy</w:t>
            </w:r>
            <w:r w:rsidR="00050291" w:rsidRPr="0088364D">
              <w:rPr>
                <w:sz w:val="20"/>
                <w:szCs w:val="20"/>
              </w:rPr>
              <w:t xml:space="preserve"> </w:t>
            </w:r>
            <w:r w:rsidR="00050291" w:rsidRPr="00A553BA">
              <w:rPr>
                <w:spacing w:val="18"/>
                <w:sz w:val="20"/>
              </w:rPr>
              <w:t>and</w:t>
            </w:r>
            <w:r w:rsidR="00050291" w:rsidRPr="00A553BA">
              <w:rPr>
                <w:sz w:val="20"/>
              </w:rPr>
              <w:t xml:space="preserve"> </w:t>
            </w:r>
            <w:r w:rsidR="00050291" w:rsidRPr="00A553BA">
              <w:rPr>
                <w:spacing w:val="19"/>
                <w:sz w:val="20"/>
              </w:rPr>
              <w:t>avoid</w:t>
            </w:r>
            <w:r w:rsidRPr="0088364D">
              <w:rPr>
                <w:sz w:val="20"/>
                <w:szCs w:val="20"/>
              </w:rPr>
              <w:t xml:space="preserve"> imposing</w:t>
            </w:r>
            <w:r w:rsidRPr="0088364D">
              <w:rPr>
                <w:spacing w:val="45"/>
                <w:sz w:val="20"/>
                <w:szCs w:val="20"/>
              </w:rPr>
              <w:t xml:space="preserve"> </w:t>
            </w:r>
            <w:r w:rsidRPr="0088364D">
              <w:rPr>
                <w:sz w:val="20"/>
                <w:szCs w:val="20"/>
              </w:rPr>
              <w:t>unnecessary</w:t>
            </w:r>
            <w:r w:rsidRPr="0088364D">
              <w:rPr>
                <w:spacing w:val="46"/>
                <w:sz w:val="20"/>
                <w:szCs w:val="20"/>
              </w:rPr>
              <w:t xml:space="preserve"> </w:t>
            </w:r>
            <w:r w:rsidRPr="0088364D">
              <w:rPr>
                <w:sz w:val="20"/>
                <w:szCs w:val="20"/>
              </w:rPr>
              <w:t>burdens</w:t>
            </w:r>
            <w:r w:rsidRPr="0088364D">
              <w:rPr>
                <w:spacing w:val="29"/>
                <w:sz w:val="20"/>
                <w:szCs w:val="20"/>
              </w:rPr>
              <w:t xml:space="preserve"> </w:t>
            </w:r>
            <w:r w:rsidRPr="0088364D">
              <w:rPr>
                <w:sz w:val="20"/>
                <w:szCs w:val="20"/>
              </w:rPr>
              <w:t>upon</w:t>
            </w:r>
            <w:r w:rsidRPr="0088364D">
              <w:rPr>
                <w:spacing w:val="49"/>
                <w:sz w:val="20"/>
                <w:szCs w:val="20"/>
              </w:rPr>
              <w:t xml:space="preserve"> </w:t>
            </w:r>
            <w:r w:rsidRPr="0088364D">
              <w:rPr>
                <w:sz w:val="20"/>
                <w:szCs w:val="20"/>
              </w:rPr>
              <w:t>them,</w:t>
            </w:r>
            <w:r w:rsidRPr="0088364D">
              <w:rPr>
                <w:spacing w:val="49"/>
                <w:sz w:val="20"/>
                <w:szCs w:val="20"/>
              </w:rPr>
              <w:t xml:space="preserve"> </w:t>
            </w:r>
            <w:r w:rsidRPr="0088364D">
              <w:rPr>
                <w:sz w:val="20"/>
                <w:szCs w:val="20"/>
              </w:rPr>
              <w:t>so</w:t>
            </w:r>
            <w:r w:rsidRPr="0088364D">
              <w:rPr>
                <w:spacing w:val="48"/>
                <w:sz w:val="20"/>
                <w:szCs w:val="20"/>
              </w:rPr>
              <w:t xml:space="preserve"> </w:t>
            </w:r>
            <w:r w:rsidRPr="0088364D">
              <w:rPr>
                <w:sz w:val="20"/>
                <w:szCs w:val="20"/>
              </w:rPr>
              <w:t>far</w:t>
            </w:r>
            <w:r w:rsidRPr="0088364D">
              <w:rPr>
                <w:spacing w:val="50"/>
                <w:sz w:val="20"/>
                <w:szCs w:val="20"/>
              </w:rPr>
              <w:t xml:space="preserve"> </w:t>
            </w:r>
            <w:r w:rsidRPr="0088364D">
              <w:rPr>
                <w:sz w:val="20"/>
                <w:szCs w:val="20"/>
              </w:rPr>
              <w:t>as</w:t>
            </w:r>
            <w:r w:rsidRPr="0088364D">
              <w:rPr>
                <w:spacing w:val="49"/>
                <w:sz w:val="20"/>
                <w:szCs w:val="20"/>
              </w:rPr>
              <w:t xml:space="preserve"> </w:t>
            </w:r>
            <w:r w:rsidRPr="0088364D">
              <w:rPr>
                <w:sz w:val="20"/>
                <w:szCs w:val="20"/>
              </w:rPr>
              <w:t>this</w:t>
            </w:r>
            <w:r w:rsidRPr="0088364D">
              <w:rPr>
                <w:spacing w:val="47"/>
                <w:sz w:val="20"/>
                <w:szCs w:val="20"/>
              </w:rPr>
              <w:t xml:space="preserve"> </w:t>
            </w:r>
            <w:r w:rsidRPr="0088364D">
              <w:rPr>
                <w:sz w:val="20"/>
                <w:szCs w:val="20"/>
              </w:rPr>
              <w:t>is consistent</w:t>
            </w:r>
            <w:r w:rsidRPr="0088364D">
              <w:rPr>
                <w:spacing w:val="38"/>
                <w:sz w:val="20"/>
                <w:szCs w:val="20"/>
              </w:rPr>
              <w:t xml:space="preserve"> </w:t>
            </w:r>
            <w:r w:rsidRPr="0088364D">
              <w:rPr>
                <w:sz w:val="20"/>
                <w:szCs w:val="20"/>
              </w:rPr>
              <w:t>with</w:t>
            </w:r>
            <w:r w:rsidRPr="0088364D">
              <w:rPr>
                <w:spacing w:val="38"/>
                <w:sz w:val="20"/>
                <w:szCs w:val="20"/>
              </w:rPr>
              <w:t xml:space="preserve"> </w:t>
            </w:r>
            <w:r w:rsidRPr="0088364D">
              <w:rPr>
                <w:sz w:val="20"/>
                <w:szCs w:val="20"/>
              </w:rPr>
              <w:t>the</w:t>
            </w:r>
            <w:r w:rsidRPr="0088364D">
              <w:rPr>
                <w:spacing w:val="36"/>
                <w:sz w:val="20"/>
                <w:szCs w:val="20"/>
              </w:rPr>
              <w:t xml:space="preserve"> </w:t>
            </w:r>
            <w:r w:rsidRPr="0088364D">
              <w:rPr>
                <w:sz w:val="20"/>
                <w:szCs w:val="20"/>
              </w:rPr>
              <w:t>interests</w:t>
            </w:r>
            <w:r w:rsidRPr="0088364D">
              <w:rPr>
                <w:spacing w:val="39"/>
                <w:sz w:val="20"/>
                <w:szCs w:val="20"/>
              </w:rPr>
              <w:t xml:space="preserve"> </w:t>
            </w:r>
            <w:r w:rsidRPr="0088364D">
              <w:rPr>
                <w:sz w:val="20"/>
                <w:szCs w:val="20"/>
              </w:rPr>
              <w:t>of</w:t>
            </w:r>
            <w:r w:rsidRPr="0088364D">
              <w:rPr>
                <w:spacing w:val="36"/>
                <w:sz w:val="20"/>
                <w:szCs w:val="20"/>
              </w:rPr>
              <w:t xml:space="preserve"> </w:t>
            </w:r>
            <w:r w:rsidRPr="0088364D">
              <w:rPr>
                <w:sz w:val="20"/>
                <w:szCs w:val="20"/>
              </w:rPr>
              <w:t>the</w:t>
            </w:r>
            <w:r w:rsidRPr="0088364D">
              <w:rPr>
                <w:spacing w:val="37"/>
                <w:sz w:val="20"/>
                <w:szCs w:val="20"/>
              </w:rPr>
              <w:t xml:space="preserve"> </w:t>
            </w:r>
            <w:r w:rsidRPr="0088364D">
              <w:rPr>
                <w:sz w:val="20"/>
                <w:szCs w:val="20"/>
              </w:rPr>
              <w:t>health</w:t>
            </w:r>
            <w:r w:rsidRPr="0088364D">
              <w:rPr>
                <w:spacing w:val="37"/>
                <w:sz w:val="20"/>
                <w:szCs w:val="20"/>
              </w:rPr>
              <w:t xml:space="preserve"> </w:t>
            </w:r>
            <w:r w:rsidRPr="0088364D">
              <w:rPr>
                <w:sz w:val="20"/>
                <w:szCs w:val="20"/>
              </w:rPr>
              <w:t>service</w:t>
            </w:r>
            <w:r w:rsidRPr="0088364D">
              <w:rPr>
                <w:spacing w:val="37"/>
                <w:sz w:val="20"/>
                <w:szCs w:val="20"/>
              </w:rPr>
              <w:t xml:space="preserve"> </w:t>
            </w:r>
            <w:r w:rsidRPr="0088364D">
              <w:rPr>
                <w:sz w:val="20"/>
                <w:szCs w:val="20"/>
              </w:rPr>
              <w:t>(in respect of NHS England, see</w:t>
            </w:r>
            <w:r w:rsidRPr="0088364D">
              <w:rPr>
                <w:spacing w:val="37"/>
                <w:sz w:val="20"/>
                <w:szCs w:val="20"/>
              </w:rPr>
              <w:t xml:space="preserve"> </w:t>
            </w:r>
            <w:r w:rsidRPr="0088364D">
              <w:rPr>
                <w:sz w:val="20"/>
                <w:szCs w:val="20"/>
              </w:rPr>
              <w:t>section</w:t>
            </w:r>
            <w:r w:rsidRPr="0088364D">
              <w:rPr>
                <w:spacing w:val="57"/>
                <w:sz w:val="20"/>
                <w:szCs w:val="20"/>
              </w:rPr>
              <w:t xml:space="preserve"> </w:t>
            </w:r>
            <w:r w:rsidRPr="0088364D">
              <w:rPr>
                <w:sz w:val="20"/>
                <w:szCs w:val="20"/>
              </w:rPr>
              <w:t>13F</w:t>
            </w:r>
            <w:r w:rsidRPr="0088364D">
              <w:rPr>
                <w:spacing w:val="-4"/>
                <w:sz w:val="20"/>
                <w:szCs w:val="20"/>
              </w:rPr>
              <w:t xml:space="preserve"> </w:t>
            </w:r>
            <w:r w:rsidRPr="0088364D">
              <w:rPr>
                <w:sz w:val="20"/>
                <w:szCs w:val="20"/>
              </w:rPr>
              <w:t>of</w:t>
            </w:r>
            <w:r w:rsidRPr="0088364D">
              <w:rPr>
                <w:spacing w:val="-6"/>
                <w:sz w:val="20"/>
                <w:szCs w:val="20"/>
              </w:rPr>
              <w:t xml:space="preserve"> </w:t>
            </w:r>
            <w:r w:rsidRPr="0088364D">
              <w:rPr>
                <w:sz w:val="20"/>
                <w:szCs w:val="20"/>
              </w:rPr>
              <w:t>the</w:t>
            </w:r>
            <w:r w:rsidRPr="0088364D">
              <w:rPr>
                <w:spacing w:val="-5"/>
                <w:sz w:val="20"/>
                <w:szCs w:val="20"/>
              </w:rPr>
              <w:t xml:space="preserve"> </w:t>
            </w:r>
            <w:r w:rsidRPr="0088364D">
              <w:rPr>
                <w:sz w:val="20"/>
                <w:szCs w:val="20"/>
              </w:rPr>
              <w:t>NHS</w:t>
            </w:r>
            <w:r w:rsidRPr="0088364D">
              <w:rPr>
                <w:spacing w:val="-4"/>
                <w:sz w:val="20"/>
                <w:szCs w:val="20"/>
              </w:rPr>
              <w:t xml:space="preserve"> </w:t>
            </w:r>
            <w:r w:rsidRPr="0088364D">
              <w:rPr>
                <w:sz w:val="20"/>
                <w:szCs w:val="20"/>
              </w:rPr>
              <w:t>Act</w:t>
            </w:r>
            <w:r w:rsidRPr="0088364D">
              <w:rPr>
                <w:spacing w:val="-4"/>
                <w:sz w:val="20"/>
                <w:szCs w:val="20"/>
              </w:rPr>
              <w:t xml:space="preserve"> </w:t>
            </w:r>
            <w:r w:rsidRPr="0088364D">
              <w:rPr>
                <w:sz w:val="20"/>
                <w:szCs w:val="20"/>
              </w:rPr>
              <w:t>2006)</w:t>
            </w:r>
          </w:p>
          <w:p w14:paraId="21177B1C" w14:textId="1C2BEAFD" w:rsidR="00DB7F92" w:rsidRPr="0088364D" w:rsidRDefault="00DB7F92" w:rsidP="00970B92">
            <w:pPr>
              <w:pStyle w:val="Heading4"/>
              <w:rPr>
                <w:sz w:val="20"/>
                <w:szCs w:val="20"/>
              </w:rPr>
            </w:pPr>
            <w:r w:rsidRPr="0088364D">
              <w:rPr>
                <w:sz w:val="20"/>
                <w:szCs w:val="20"/>
              </w:rPr>
              <w:t>the duty</w:t>
            </w:r>
            <w:r w:rsidRPr="0088364D">
              <w:rPr>
                <w:spacing w:val="14"/>
                <w:sz w:val="20"/>
                <w:szCs w:val="20"/>
              </w:rPr>
              <w:t xml:space="preserve"> </w:t>
            </w:r>
            <w:r w:rsidRPr="0088364D">
              <w:rPr>
                <w:sz w:val="20"/>
                <w:szCs w:val="20"/>
              </w:rPr>
              <w:t>to</w:t>
            </w:r>
            <w:r w:rsidRPr="0088364D">
              <w:rPr>
                <w:spacing w:val="13"/>
                <w:sz w:val="20"/>
                <w:szCs w:val="20"/>
              </w:rPr>
              <w:t xml:space="preserve"> </w:t>
            </w:r>
            <w:r w:rsidRPr="0088364D">
              <w:rPr>
                <w:sz w:val="20"/>
                <w:szCs w:val="20"/>
              </w:rPr>
              <w:t>have</w:t>
            </w:r>
            <w:r w:rsidRPr="0088364D">
              <w:rPr>
                <w:spacing w:val="11"/>
                <w:sz w:val="20"/>
                <w:szCs w:val="20"/>
              </w:rPr>
              <w:t xml:space="preserve"> </w:t>
            </w:r>
            <w:r w:rsidRPr="0088364D">
              <w:rPr>
                <w:sz w:val="20"/>
                <w:szCs w:val="20"/>
              </w:rPr>
              <w:t>regard</w:t>
            </w:r>
            <w:r w:rsidRPr="0088364D">
              <w:rPr>
                <w:spacing w:val="12"/>
                <w:sz w:val="20"/>
                <w:szCs w:val="20"/>
              </w:rPr>
              <w:t xml:space="preserve"> </w:t>
            </w:r>
            <w:r w:rsidRPr="0088364D">
              <w:rPr>
                <w:sz w:val="20"/>
                <w:szCs w:val="20"/>
              </w:rPr>
              <w:t>to</w:t>
            </w:r>
            <w:r w:rsidRPr="0088364D">
              <w:rPr>
                <w:spacing w:val="13"/>
                <w:sz w:val="20"/>
                <w:szCs w:val="20"/>
              </w:rPr>
              <w:t xml:space="preserve"> </w:t>
            </w:r>
            <w:r w:rsidRPr="0088364D">
              <w:rPr>
                <w:sz w:val="20"/>
                <w:szCs w:val="20"/>
              </w:rPr>
              <w:t>the</w:t>
            </w:r>
            <w:r w:rsidRPr="0088364D">
              <w:rPr>
                <w:spacing w:val="11"/>
                <w:sz w:val="20"/>
                <w:szCs w:val="20"/>
              </w:rPr>
              <w:t xml:space="preserve"> </w:t>
            </w:r>
            <w:r w:rsidRPr="0088364D">
              <w:rPr>
                <w:sz w:val="20"/>
                <w:szCs w:val="20"/>
              </w:rPr>
              <w:t>need</w:t>
            </w:r>
            <w:r w:rsidRPr="0088364D">
              <w:rPr>
                <w:spacing w:val="12"/>
                <w:sz w:val="20"/>
                <w:szCs w:val="20"/>
              </w:rPr>
              <w:t xml:space="preserve"> </w:t>
            </w:r>
            <w:r w:rsidRPr="0088364D">
              <w:rPr>
                <w:spacing w:val="1"/>
                <w:sz w:val="20"/>
                <w:szCs w:val="20"/>
              </w:rPr>
              <w:t>to</w:t>
            </w:r>
            <w:r w:rsidRPr="0088364D">
              <w:rPr>
                <w:spacing w:val="13"/>
                <w:sz w:val="20"/>
                <w:szCs w:val="20"/>
              </w:rPr>
              <w:t xml:space="preserve"> </w:t>
            </w:r>
            <w:r w:rsidRPr="0088364D">
              <w:rPr>
                <w:sz w:val="20"/>
                <w:szCs w:val="20"/>
              </w:rPr>
              <w:t>promote</w:t>
            </w:r>
            <w:r w:rsidRPr="0088364D">
              <w:rPr>
                <w:spacing w:val="11"/>
                <w:sz w:val="20"/>
                <w:szCs w:val="20"/>
              </w:rPr>
              <w:t xml:space="preserve"> </w:t>
            </w:r>
            <w:r w:rsidRPr="0088364D">
              <w:rPr>
                <w:sz w:val="20"/>
                <w:szCs w:val="20"/>
              </w:rPr>
              <w:t>education</w:t>
            </w:r>
            <w:r w:rsidRPr="0088364D">
              <w:rPr>
                <w:spacing w:val="13"/>
                <w:sz w:val="20"/>
                <w:szCs w:val="20"/>
              </w:rPr>
              <w:t xml:space="preserve"> </w:t>
            </w:r>
            <w:r w:rsidRPr="0088364D">
              <w:rPr>
                <w:sz w:val="20"/>
                <w:szCs w:val="20"/>
              </w:rPr>
              <w:t>and</w:t>
            </w:r>
            <w:r w:rsidRPr="0088364D">
              <w:rPr>
                <w:spacing w:val="39"/>
                <w:sz w:val="20"/>
                <w:szCs w:val="20"/>
              </w:rPr>
              <w:t xml:space="preserve"> </w:t>
            </w:r>
            <w:r w:rsidRPr="0088364D">
              <w:rPr>
                <w:sz w:val="20"/>
                <w:szCs w:val="20"/>
              </w:rPr>
              <w:t>training</w:t>
            </w:r>
            <w:r w:rsidRPr="0088364D">
              <w:rPr>
                <w:spacing w:val="-4"/>
                <w:sz w:val="20"/>
                <w:szCs w:val="20"/>
              </w:rPr>
              <w:t xml:space="preserve"> </w:t>
            </w:r>
            <w:r w:rsidRPr="0088364D">
              <w:rPr>
                <w:sz w:val="20"/>
                <w:szCs w:val="20"/>
              </w:rPr>
              <w:t>of</w:t>
            </w:r>
            <w:r w:rsidRPr="0088364D">
              <w:rPr>
                <w:spacing w:val="-6"/>
                <w:sz w:val="20"/>
                <w:szCs w:val="20"/>
              </w:rPr>
              <w:t xml:space="preserve"> </w:t>
            </w:r>
            <w:r w:rsidRPr="0088364D">
              <w:rPr>
                <w:sz w:val="20"/>
                <w:szCs w:val="20"/>
              </w:rPr>
              <w:t>those</w:t>
            </w:r>
            <w:r w:rsidRPr="0088364D">
              <w:rPr>
                <w:spacing w:val="-3"/>
                <w:sz w:val="20"/>
                <w:szCs w:val="20"/>
              </w:rPr>
              <w:t xml:space="preserve"> </w:t>
            </w:r>
            <w:r w:rsidRPr="0088364D">
              <w:rPr>
                <w:sz w:val="20"/>
                <w:szCs w:val="20"/>
              </w:rPr>
              <w:t>working</w:t>
            </w:r>
            <w:r w:rsidRPr="0088364D">
              <w:rPr>
                <w:spacing w:val="-5"/>
                <w:sz w:val="20"/>
                <w:szCs w:val="20"/>
              </w:rPr>
              <w:t xml:space="preserve"> </w:t>
            </w:r>
            <w:r w:rsidRPr="0088364D">
              <w:rPr>
                <w:sz w:val="20"/>
                <w:szCs w:val="20"/>
              </w:rPr>
              <w:t>within</w:t>
            </w:r>
            <w:r w:rsidRPr="0088364D">
              <w:rPr>
                <w:spacing w:val="-2"/>
                <w:sz w:val="20"/>
                <w:szCs w:val="20"/>
              </w:rPr>
              <w:t xml:space="preserve"> </w:t>
            </w:r>
            <w:r w:rsidRPr="0088364D">
              <w:rPr>
                <w:sz w:val="20"/>
                <w:szCs w:val="20"/>
              </w:rPr>
              <w:t>(or</w:t>
            </w:r>
            <w:r w:rsidRPr="0088364D">
              <w:rPr>
                <w:spacing w:val="-2"/>
                <w:sz w:val="20"/>
                <w:szCs w:val="20"/>
              </w:rPr>
              <w:t xml:space="preserve"> </w:t>
            </w:r>
            <w:r w:rsidRPr="0088364D">
              <w:rPr>
                <w:sz w:val="20"/>
                <w:szCs w:val="20"/>
              </w:rPr>
              <w:t>intending</w:t>
            </w:r>
            <w:r w:rsidRPr="0088364D">
              <w:rPr>
                <w:spacing w:val="-5"/>
                <w:sz w:val="20"/>
                <w:szCs w:val="20"/>
              </w:rPr>
              <w:t xml:space="preserve"> </w:t>
            </w:r>
            <w:r w:rsidRPr="0088364D">
              <w:rPr>
                <w:spacing w:val="1"/>
                <w:sz w:val="20"/>
                <w:szCs w:val="20"/>
              </w:rPr>
              <w:t>to</w:t>
            </w:r>
            <w:r w:rsidRPr="0088364D">
              <w:rPr>
                <w:spacing w:val="-5"/>
                <w:sz w:val="20"/>
                <w:szCs w:val="20"/>
              </w:rPr>
              <w:t xml:space="preserve"> </w:t>
            </w:r>
            <w:r w:rsidRPr="0088364D">
              <w:rPr>
                <w:sz w:val="20"/>
                <w:szCs w:val="20"/>
              </w:rPr>
              <w:t>work</w:t>
            </w:r>
            <w:r w:rsidRPr="0088364D">
              <w:rPr>
                <w:spacing w:val="-4"/>
                <w:sz w:val="20"/>
                <w:szCs w:val="20"/>
              </w:rPr>
              <w:t xml:space="preserve"> </w:t>
            </w:r>
            <w:r w:rsidRPr="0088364D">
              <w:rPr>
                <w:sz w:val="20"/>
                <w:szCs w:val="20"/>
              </w:rPr>
              <w:t>within)</w:t>
            </w:r>
            <w:r w:rsidRPr="0088364D">
              <w:rPr>
                <w:spacing w:val="-3"/>
                <w:sz w:val="20"/>
                <w:szCs w:val="20"/>
              </w:rPr>
              <w:t xml:space="preserve"> </w:t>
            </w:r>
            <w:r w:rsidRPr="0088364D">
              <w:rPr>
                <w:sz w:val="20"/>
                <w:szCs w:val="20"/>
              </w:rPr>
              <w:t>the</w:t>
            </w:r>
            <w:r w:rsidRPr="0088364D">
              <w:rPr>
                <w:spacing w:val="77"/>
                <w:w w:val="99"/>
                <w:sz w:val="20"/>
                <w:szCs w:val="20"/>
              </w:rPr>
              <w:t xml:space="preserve"> </w:t>
            </w:r>
            <w:r w:rsidRPr="0088364D">
              <w:rPr>
                <w:sz w:val="20"/>
                <w:szCs w:val="20"/>
              </w:rPr>
              <w:t>health</w:t>
            </w:r>
            <w:r w:rsidRPr="0088364D">
              <w:rPr>
                <w:spacing w:val="-6"/>
                <w:sz w:val="20"/>
                <w:szCs w:val="20"/>
              </w:rPr>
              <w:t xml:space="preserve"> </w:t>
            </w:r>
            <w:r w:rsidRPr="0088364D">
              <w:rPr>
                <w:sz w:val="20"/>
                <w:szCs w:val="20"/>
              </w:rPr>
              <w:t>service</w:t>
            </w:r>
            <w:r w:rsidRPr="0088364D">
              <w:rPr>
                <w:spacing w:val="-5"/>
                <w:sz w:val="20"/>
                <w:szCs w:val="20"/>
              </w:rPr>
              <w:t xml:space="preserve"> </w:t>
            </w:r>
            <w:r w:rsidRPr="0088364D">
              <w:rPr>
                <w:sz w:val="20"/>
                <w:szCs w:val="20"/>
              </w:rPr>
              <w:t>(in respect of NHS England, see</w:t>
            </w:r>
            <w:r w:rsidRPr="0088364D">
              <w:rPr>
                <w:spacing w:val="-5"/>
                <w:sz w:val="20"/>
                <w:szCs w:val="20"/>
              </w:rPr>
              <w:t xml:space="preserve"> </w:t>
            </w:r>
            <w:r w:rsidRPr="0088364D">
              <w:rPr>
                <w:sz w:val="20"/>
                <w:szCs w:val="20"/>
              </w:rPr>
              <w:t>section</w:t>
            </w:r>
            <w:r w:rsidRPr="0088364D">
              <w:rPr>
                <w:spacing w:val="-5"/>
                <w:sz w:val="20"/>
                <w:szCs w:val="20"/>
              </w:rPr>
              <w:t xml:space="preserve"> </w:t>
            </w:r>
            <w:r w:rsidRPr="0088364D">
              <w:rPr>
                <w:sz w:val="20"/>
                <w:szCs w:val="20"/>
              </w:rPr>
              <w:t>13M</w:t>
            </w:r>
            <w:r w:rsidRPr="0088364D">
              <w:rPr>
                <w:spacing w:val="-4"/>
                <w:sz w:val="20"/>
                <w:szCs w:val="20"/>
              </w:rPr>
              <w:t xml:space="preserve"> </w:t>
            </w:r>
            <w:r w:rsidRPr="0088364D">
              <w:rPr>
                <w:sz w:val="20"/>
                <w:szCs w:val="20"/>
              </w:rPr>
              <w:t>of</w:t>
            </w:r>
            <w:r w:rsidRPr="0088364D">
              <w:rPr>
                <w:spacing w:val="-6"/>
                <w:sz w:val="20"/>
                <w:szCs w:val="20"/>
              </w:rPr>
              <w:t xml:space="preserve"> </w:t>
            </w:r>
            <w:r w:rsidRPr="0088364D">
              <w:rPr>
                <w:sz w:val="20"/>
                <w:szCs w:val="20"/>
              </w:rPr>
              <w:t>the</w:t>
            </w:r>
            <w:r w:rsidRPr="0088364D">
              <w:rPr>
                <w:spacing w:val="-3"/>
                <w:sz w:val="20"/>
                <w:szCs w:val="20"/>
              </w:rPr>
              <w:t xml:space="preserve"> </w:t>
            </w:r>
            <w:r w:rsidRPr="0088364D">
              <w:rPr>
                <w:sz w:val="20"/>
                <w:szCs w:val="20"/>
              </w:rPr>
              <w:t>NHS</w:t>
            </w:r>
            <w:r w:rsidRPr="0088364D">
              <w:rPr>
                <w:spacing w:val="-3"/>
                <w:sz w:val="20"/>
                <w:szCs w:val="20"/>
              </w:rPr>
              <w:t xml:space="preserve"> </w:t>
            </w:r>
            <w:r w:rsidRPr="0088364D">
              <w:rPr>
                <w:sz w:val="20"/>
                <w:szCs w:val="20"/>
              </w:rPr>
              <w:t>Act</w:t>
            </w:r>
            <w:r w:rsidRPr="0088364D">
              <w:rPr>
                <w:spacing w:val="-3"/>
                <w:sz w:val="20"/>
                <w:szCs w:val="20"/>
              </w:rPr>
              <w:t xml:space="preserve"> </w:t>
            </w:r>
            <w:r w:rsidRPr="0088364D">
              <w:rPr>
                <w:sz w:val="20"/>
                <w:szCs w:val="20"/>
              </w:rPr>
              <w:t xml:space="preserve">2006; and, in respect of </w:t>
            </w:r>
            <w:r w:rsidR="00B83042">
              <w:rPr>
                <w:sz w:val="20"/>
                <w:szCs w:val="20"/>
              </w:rPr>
              <w:t>CCG/ICB</w:t>
            </w:r>
            <w:r w:rsidRPr="0088364D">
              <w:rPr>
                <w:sz w:val="20"/>
                <w:szCs w:val="20"/>
              </w:rPr>
              <w:t>s, see section 14Z of the NHS Act 2006)</w:t>
            </w:r>
          </w:p>
          <w:p w14:paraId="1CDAB0F9" w14:textId="77777777" w:rsidR="00DB7F92" w:rsidRPr="0088364D" w:rsidRDefault="00DB7F92" w:rsidP="00970B92">
            <w:pPr>
              <w:pStyle w:val="Heading4"/>
              <w:rPr>
                <w:sz w:val="20"/>
                <w:szCs w:val="20"/>
              </w:rPr>
            </w:pPr>
            <w:r w:rsidRPr="0088364D">
              <w:rPr>
                <w:sz w:val="20"/>
                <w:szCs w:val="20"/>
              </w:rPr>
              <w:t>the duty</w:t>
            </w:r>
            <w:r w:rsidRPr="0088364D">
              <w:rPr>
                <w:spacing w:val="13"/>
                <w:sz w:val="20"/>
                <w:szCs w:val="20"/>
              </w:rPr>
              <w:t xml:space="preserve"> </w:t>
            </w:r>
            <w:r w:rsidRPr="0088364D">
              <w:rPr>
                <w:sz w:val="20"/>
                <w:szCs w:val="20"/>
              </w:rPr>
              <w:t>to</w:t>
            </w:r>
            <w:r w:rsidRPr="0088364D">
              <w:rPr>
                <w:spacing w:val="12"/>
                <w:sz w:val="20"/>
                <w:szCs w:val="20"/>
              </w:rPr>
              <w:t xml:space="preserve"> </w:t>
            </w:r>
            <w:r w:rsidRPr="0088364D">
              <w:rPr>
                <w:sz w:val="20"/>
                <w:szCs w:val="20"/>
              </w:rPr>
              <w:t>have</w:t>
            </w:r>
            <w:r w:rsidRPr="0088364D">
              <w:rPr>
                <w:spacing w:val="11"/>
                <w:sz w:val="20"/>
                <w:szCs w:val="20"/>
              </w:rPr>
              <w:t xml:space="preserve"> </w:t>
            </w:r>
            <w:r w:rsidRPr="0088364D">
              <w:rPr>
                <w:sz w:val="20"/>
                <w:szCs w:val="20"/>
              </w:rPr>
              <w:t>regard</w:t>
            </w:r>
            <w:r w:rsidRPr="0088364D">
              <w:rPr>
                <w:spacing w:val="12"/>
                <w:sz w:val="20"/>
                <w:szCs w:val="20"/>
              </w:rPr>
              <w:t xml:space="preserve"> </w:t>
            </w:r>
            <w:r w:rsidRPr="0088364D">
              <w:rPr>
                <w:sz w:val="20"/>
                <w:szCs w:val="20"/>
              </w:rPr>
              <w:t>to</w:t>
            </w:r>
            <w:r w:rsidRPr="0088364D">
              <w:rPr>
                <w:spacing w:val="12"/>
                <w:sz w:val="20"/>
                <w:szCs w:val="20"/>
              </w:rPr>
              <w:t xml:space="preserve"> </w:t>
            </w:r>
            <w:r w:rsidRPr="0088364D">
              <w:rPr>
                <w:sz w:val="20"/>
                <w:szCs w:val="20"/>
              </w:rPr>
              <w:t>the</w:t>
            </w:r>
            <w:r w:rsidRPr="0088364D">
              <w:rPr>
                <w:spacing w:val="11"/>
                <w:sz w:val="20"/>
                <w:szCs w:val="20"/>
              </w:rPr>
              <w:t xml:space="preserve"> </w:t>
            </w:r>
            <w:r w:rsidRPr="0088364D">
              <w:rPr>
                <w:sz w:val="20"/>
                <w:szCs w:val="20"/>
              </w:rPr>
              <w:t>likely</w:t>
            </w:r>
            <w:r w:rsidRPr="0088364D">
              <w:rPr>
                <w:spacing w:val="13"/>
                <w:sz w:val="20"/>
                <w:szCs w:val="20"/>
              </w:rPr>
              <w:t xml:space="preserve"> </w:t>
            </w:r>
            <w:r w:rsidRPr="0088364D">
              <w:rPr>
                <w:sz w:val="20"/>
                <w:szCs w:val="20"/>
              </w:rPr>
              <w:t>impact</w:t>
            </w:r>
            <w:r w:rsidRPr="0088364D">
              <w:rPr>
                <w:spacing w:val="14"/>
                <w:sz w:val="20"/>
                <w:szCs w:val="20"/>
              </w:rPr>
              <w:t xml:space="preserve"> </w:t>
            </w:r>
            <w:r w:rsidRPr="0088364D">
              <w:rPr>
                <w:sz w:val="20"/>
                <w:szCs w:val="20"/>
              </w:rPr>
              <w:t>of</w:t>
            </w:r>
            <w:r w:rsidRPr="0088364D">
              <w:rPr>
                <w:spacing w:val="10"/>
                <w:sz w:val="20"/>
                <w:szCs w:val="20"/>
              </w:rPr>
              <w:t xml:space="preserve"> </w:t>
            </w:r>
            <w:r w:rsidRPr="0088364D">
              <w:rPr>
                <w:sz w:val="20"/>
                <w:szCs w:val="20"/>
              </w:rPr>
              <w:t>commissioning</w:t>
            </w:r>
            <w:r w:rsidRPr="0088364D">
              <w:rPr>
                <w:spacing w:val="55"/>
                <w:sz w:val="20"/>
                <w:szCs w:val="20"/>
              </w:rPr>
              <w:t xml:space="preserve"> </w:t>
            </w:r>
            <w:r w:rsidRPr="0088364D">
              <w:rPr>
                <w:sz w:val="20"/>
                <w:szCs w:val="20"/>
              </w:rPr>
              <w:t>decisions</w:t>
            </w:r>
            <w:r w:rsidRPr="0088364D">
              <w:rPr>
                <w:spacing w:val="3"/>
                <w:sz w:val="20"/>
                <w:szCs w:val="20"/>
              </w:rPr>
              <w:t xml:space="preserve"> </w:t>
            </w:r>
            <w:r w:rsidRPr="0088364D">
              <w:rPr>
                <w:sz w:val="20"/>
                <w:szCs w:val="20"/>
              </w:rPr>
              <w:t>on</w:t>
            </w:r>
            <w:r w:rsidRPr="0088364D">
              <w:rPr>
                <w:spacing w:val="5"/>
                <w:sz w:val="20"/>
                <w:szCs w:val="20"/>
              </w:rPr>
              <w:t xml:space="preserve"> </w:t>
            </w:r>
            <w:r w:rsidRPr="0088364D">
              <w:rPr>
                <w:sz w:val="20"/>
                <w:szCs w:val="20"/>
              </w:rPr>
              <w:t>healthcare</w:t>
            </w:r>
            <w:r w:rsidRPr="0088364D">
              <w:rPr>
                <w:spacing w:val="5"/>
                <w:sz w:val="20"/>
                <w:szCs w:val="20"/>
              </w:rPr>
              <w:t xml:space="preserve"> </w:t>
            </w:r>
            <w:r w:rsidRPr="0088364D">
              <w:rPr>
                <w:sz w:val="20"/>
                <w:szCs w:val="20"/>
              </w:rPr>
              <w:t>delivered</w:t>
            </w:r>
            <w:r w:rsidRPr="0088364D">
              <w:rPr>
                <w:spacing w:val="4"/>
                <w:sz w:val="20"/>
                <w:szCs w:val="20"/>
              </w:rPr>
              <w:t xml:space="preserve"> </w:t>
            </w:r>
            <w:r w:rsidRPr="0088364D">
              <w:rPr>
                <w:sz w:val="20"/>
                <w:szCs w:val="20"/>
              </w:rPr>
              <w:t>in</w:t>
            </w:r>
            <w:r w:rsidRPr="0088364D">
              <w:rPr>
                <w:spacing w:val="4"/>
                <w:sz w:val="20"/>
                <w:szCs w:val="20"/>
              </w:rPr>
              <w:t xml:space="preserve"> </w:t>
            </w:r>
            <w:r w:rsidRPr="0088364D">
              <w:rPr>
                <w:sz w:val="20"/>
                <w:szCs w:val="20"/>
              </w:rPr>
              <w:t>areas</w:t>
            </w:r>
            <w:r w:rsidRPr="0088364D">
              <w:rPr>
                <w:spacing w:val="4"/>
                <w:sz w:val="20"/>
                <w:szCs w:val="20"/>
              </w:rPr>
              <w:t xml:space="preserve"> </w:t>
            </w:r>
            <w:r w:rsidRPr="0088364D">
              <w:rPr>
                <w:sz w:val="20"/>
                <w:szCs w:val="20"/>
              </w:rPr>
              <w:t>of</w:t>
            </w:r>
            <w:r w:rsidRPr="0088364D">
              <w:rPr>
                <w:spacing w:val="5"/>
                <w:sz w:val="20"/>
                <w:szCs w:val="20"/>
              </w:rPr>
              <w:t xml:space="preserve"> </w:t>
            </w:r>
            <w:r w:rsidRPr="0088364D">
              <w:rPr>
                <w:sz w:val="20"/>
                <w:szCs w:val="20"/>
              </w:rPr>
              <w:t>Wales</w:t>
            </w:r>
            <w:r w:rsidRPr="0088364D">
              <w:rPr>
                <w:spacing w:val="4"/>
                <w:sz w:val="20"/>
                <w:szCs w:val="20"/>
              </w:rPr>
              <w:t xml:space="preserve"> </w:t>
            </w:r>
            <w:r w:rsidRPr="0088364D">
              <w:rPr>
                <w:sz w:val="20"/>
                <w:szCs w:val="20"/>
              </w:rPr>
              <w:t>or</w:t>
            </w:r>
            <w:r w:rsidRPr="0088364D">
              <w:rPr>
                <w:spacing w:val="43"/>
                <w:w w:val="99"/>
                <w:sz w:val="20"/>
                <w:szCs w:val="20"/>
              </w:rPr>
              <w:t xml:space="preserve"> </w:t>
            </w:r>
            <w:r w:rsidRPr="0088364D">
              <w:rPr>
                <w:sz w:val="20"/>
                <w:szCs w:val="20"/>
              </w:rPr>
              <w:t>Scotland</w:t>
            </w:r>
            <w:r w:rsidRPr="0088364D">
              <w:rPr>
                <w:spacing w:val="-2"/>
                <w:sz w:val="20"/>
                <w:szCs w:val="20"/>
              </w:rPr>
              <w:t xml:space="preserve"> </w:t>
            </w:r>
            <w:r w:rsidRPr="0088364D">
              <w:rPr>
                <w:sz w:val="20"/>
                <w:szCs w:val="20"/>
              </w:rPr>
              <w:t>close</w:t>
            </w:r>
            <w:r w:rsidRPr="0088364D">
              <w:rPr>
                <w:spacing w:val="1"/>
                <w:sz w:val="20"/>
                <w:szCs w:val="20"/>
              </w:rPr>
              <w:t xml:space="preserve"> </w:t>
            </w:r>
            <w:r w:rsidRPr="0088364D">
              <w:rPr>
                <w:sz w:val="20"/>
                <w:szCs w:val="20"/>
              </w:rPr>
              <w:t>to the</w:t>
            </w:r>
            <w:r w:rsidRPr="0088364D">
              <w:rPr>
                <w:spacing w:val="1"/>
                <w:sz w:val="20"/>
                <w:szCs w:val="20"/>
              </w:rPr>
              <w:t xml:space="preserve"> </w:t>
            </w:r>
            <w:r w:rsidRPr="0088364D">
              <w:rPr>
                <w:sz w:val="20"/>
                <w:szCs w:val="20"/>
              </w:rPr>
              <w:t>border</w:t>
            </w:r>
            <w:r w:rsidRPr="0088364D">
              <w:rPr>
                <w:spacing w:val="-2"/>
                <w:sz w:val="20"/>
                <w:szCs w:val="20"/>
              </w:rPr>
              <w:t xml:space="preserve"> </w:t>
            </w:r>
            <w:r w:rsidRPr="0088364D">
              <w:rPr>
                <w:sz w:val="20"/>
                <w:szCs w:val="20"/>
              </w:rPr>
              <w:t>with England</w:t>
            </w:r>
            <w:r w:rsidRPr="0088364D">
              <w:rPr>
                <w:spacing w:val="-20"/>
                <w:sz w:val="20"/>
                <w:szCs w:val="20"/>
              </w:rPr>
              <w:t xml:space="preserve"> </w:t>
            </w:r>
            <w:r w:rsidRPr="0088364D">
              <w:rPr>
                <w:sz w:val="20"/>
                <w:szCs w:val="20"/>
              </w:rPr>
              <w:t>(in respect of NHS England, see</w:t>
            </w:r>
            <w:r w:rsidRPr="0088364D">
              <w:rPr>
                <w:spacing w:val="-2"/>
                <w:sz w:val="20"/>
                <w:szCs w:val="20"/>
              </w:rPr>
              <w:t xml:space="preserve"> </w:t>
            </w:r>
            <w:r w:rsidRPr="0088364D">
              <w:rPr>
                <w:sz w:val="20"/>
                <w:szCs w:val="20"/>
              </w:rPr>
              <w:t>section 13O of</w:t>
            </w:r>
            <w:r w:rsidRPr="0088364D">
              <w:rPr>
                <w:spacing w:val="51"/>
                <w:sz w:val="20"/>
                <w:szCs w:val="20"/>
              </w:rPr>
              <w:t xml:space="preserve"> </w:t>
            </w:r>
            <w:r w:rsidRPr="0088364D">
              <w:rPr>
                <w:sz w:val="20"/>
                <w:szCs w:val="20"/>
              </w:rPr>
              <w:t>the</w:t>
            </w:r>
            <w:r w:rsidRPr="0088364D">
              <w:rPr>
                <w:spacing w:val="-6"/>
                <w:sz w:val="20"/>
                <w:szCs w:val="20"/>
              </w:rPr>
              <w:t xml:space="preserve"> </w:t>
            </w:r>
            <w:r w:rsidRPr="0088364D">
              <w:rPr>
                <w:sz w:val="20"/>
                <w:szCs w:val="20"/>
              </w:rPr>
              <w:t>NHS</w:t>
            </w:r>
            <w:r w:rsidRPr="0088364D">
              <w:rPr>
                <w:spacing w:val="-4"/>
                <w:sz w:val="20"/>
                <w:szCs w:val="20"/>
              </w:rPr>
              <w:t xml:space="preserve"> </w:t>
            </w:r>
            <w:r w:rsidRPr="0088364D">
              <w:rPr>
                <w:sz w:val="20"/>
                <w:szCs w:val="20"/>
              </w:rPr>
              <w:t>Act</w:t>
            </w:r>
            <w:r w:rsidRPr="0088364D">
              <w:rPr>
                <w:spacing w:val="-5"/>
                <w:sz w:val="20"/>
                <w:szCs w:val="20"/>
              </w:rPr>
              <w:t xml:space="preserve"> </w:t>
            </w:r>
            <w:r w:rsidRPr="0088364D">
              <w:rPr>
                <w:sz w:val="20"/>
                <w:szCs w:val="20"/>
              </w:rPr>
              <w:t>2006)</w:t>
            </w:r>
          </w:p>
          <w:p w14:paraId="0CC40518" w14:textId="77777777" w:rsidR="00DB7F92" w:rsidRPr="0088364D" w:rsidRDefault="00DB7F92" w:rsidP="00DB7F92">
            <w:pPr>
              <w:widowControl w:val="0"/>
              <w:tabs>
                <w:tab w:val="left" w:pos="2148"/>
              </w:tabs>
              <w:spacing w:after="120"/>
              <w:ind w:right="115"/>
              <w:jc w:val="both"/>
              <w:rPr>
                <w:rFonts w:cs="Arial"/>
                <w:bCs w:val="0"/>
                <w:sz w:val="20"/>
                <w:szCs w:val="20"/>
                <w:lang w:eastAsia="en-GB"/>
              </w:rPr>
            </w:pPr>
          </w:p>
          <w:p w14:paraId="57042BE1" w14:textId="77777777" w:rsidR="00DB7F92" w:rsidRPr="0088364D" w:rsidRDefault="00DB7F92" w:rsidP="00884224">
            <w:pPr>
              <w:keepNext/>
              <w:keepLines/>
              <w:spacing w:before="173"/>
              <w:ind w:left="13"/>
              <w:jc w:val="both"/>
              <w:outlineLvl w:val="6"/>
              <w:rPr>
                <w:rFonts w:eastAsiaTheme="majorEastAsia" w:cs="Arial"/>
                <w:b/>
                <w:i/>
                <w:iCs/>
                <w:color w:val="404040" w:themeColor="text1" w:themeTint="BF"/>
                <w:spacing w:val="-1"/>
                <w:sz w:val="20"/>
                <w:szCs w:val="20"/>
              </w:rPr>
            </w:pPr>
            <w:r w:rsidRPr="0088364D">
              <w:rPr>
                <w:rFonts w:eastAsiaTheme="majorEastAsia" w:cs="Arial"/>
                <w:b/>
                <w:i/>
                <w:iCs/>
                <w:color w:val="404040" w:themeColor="text1" w:themeTint="BF"/>
                <w:spacing w:val="-1"/>
                <w:sz w:val="20"/>
                <w:szCs w:val="20"/>
              </w:rPr>
              <w:t>The "View To Duties"</w:t>
            </w:r>
          </w:p>
          <w:p w14:paraId="4B6B9B37" w14:textId="77777777" w:rsidR="00DD5D2D" w:rsidRPr="0088364D" w:rsidRDefault="00DD5D2D" w:rsidP="00825050">
            <w:pPr>
              <w:keepNext/>
              <w:keepLines/>
              <w:numPr>
                <w:ilvl w:val="6"/>
                <w:numId w:val="31"/>
              </w:numPr>
              <w:tabs>
                <w:tab w:val="num" w:pos="5761"/>
              </w:tabs>
              <w:spacing w:before="176"/>
              <w:ind w:left="458" w:hanging="720"/>
              <w:jc w:val="both"/>
              <w:outlineLvl w:val="6"/>
              <w:rPr>
                <w:rFonts w:eastAsiaTheme="majorEastAsia" w:cs="Arial"/>
                <w:b/>
                <w:bCs w:val="0"/>
                <w:i/>
                <w:iCs/>
                <w:color w:val="404040" w:themeColor="text1" w:themeTint="BF"/>
                <w:sz w:val="20"/>
                <w:szCs w:val="20"/>
              </w:rPr>
            </w:pPr>
          </w:p>
          <w:p w14:paraId="56143F7D" w14:textId="77777777" w:rsidR="00DB7F92" w:rsidRPr="0088364D" w:rsidRDefault="00DB7F92" w:rsidP="00970B92">
            <w:pPr>
              <w:pStyle w:val="Heading3"/>
              <w:rPr>
                <w:sz w:val="20"/>
                <w:szCs w:val="20"/>
                <w:lang w:eastAsia="en-GB"/>
              </w:rPr>
            </w:pPr>
            <w:r w:rsidRPr="0088364D">
              <w:rPr>
                <w:sz w:val="20"/>
                <w:szCs w:val="20"/>
                <w:lang w:eastAsia="en-GB"/>
              </w:rPr>
              <w:t>The</w:t>
            </w:r>
            <w:r w:rsidRPr="0088364D">
              <w:rPr>
                <w:spacing w:val="-4"/>
                <w:sz w:val="20"/>
                <w:szCs w:val="20"/>
                <w:lang w:eastAsia="en-GB"/>
              </w:rPr>
              <w:t xml:space="preserve"> </w:t>
            </w:r>
            <w:r w:rsidRPr="0088364D">
              <w:rPr>
                <w:sz w:val="20"/>
                <w:szCs w:val="20"/>
                <w:lang w:eastAsia="en-GB"/>
              </w:rPr>
              <w:t>"View</w:t>
            </w:r>
            <w:r w:rsidRPr="0088364D">
              <w:rPr>
                <w:spacing w:val="-3"/>
                <w:sz w:val="20"/>
                <w:szCs w:val="20"/>
                <w:lang w:eastAsia="en-GB"/>
              </w:rPr>
              <w:t xml:space="preserve"> </w:t>
            </w:r>
            <w:r w:rsidRPr="0088364D">
              <w:rPr>
                <w:sz w:val="20"/>
                <w:szCs w:val="20"/>
                <w:lang w:eastAsia="en-GB"/>
              </w:rPr>
              <w:t>To</w:t>
            </w:r>
            <w:r w:rsidRPr="0088364D">
              <w:rPr>
                <w:spacing w:val="-3"/>
                <w:sz w:val="20"/>
                <w:szCs w:val="20"/>
                <w:lang w:eastAsia="en-GB"/>
              </w:rPr>
              <w:t xml:space="preserve"> </w:t>
            </w:r>
            <w:r w:rsidRPr="0088364D">
              <w:rPr>
                <w:sz w:val="20"/>
                <w:szCs w:val="20"/>
                <w:lang w:eastAsia="en-GB"/>
              </w:rPr>
              <w:t>Duties"</w:t>
            </w:r>
            <w:r w:rsidRPr="0088364D">
              <w:rPr>
                <w:spacing w:val="-23"/>
                <w:sz w:val="20"/>
                <w:szCs w:val="20"/>
                <w:lang w:eastAsia="en-GB"/>
              </w:rPr>
              <w:t xml:space="preserve"> </w:t>
            </w:r>
            <w:r w:rsidRPr="0088364D">
              <w:rPr>
                <w:sz w:val="20"/>
                <w:szCs w:val="20"/>
                <w:lang w:eastAsia="en-GB"/>
              </w:rPr>
              <w:t>are:</w:t>
            </w:r>
          </w:p>
          <w:p w14:paraId="61D475B3" w14:textId="2627C334" w:rsidR="00DB7F92" w:rsidRPr="0088364D" w:rsidRDefault="00DB7F92" w:rsidP="00970B92">
            <w:pPr>
              <w:pStyle w:val="Heading4"/>
              <w:rPr>
                <w:sz w:val="20"/>
                <w:szCs w:val="20"/>
              </w:rPr>
            </w:pPr>
            <w:r w:rsidRPr="0088364D">
              <w:rPr>
                <w:sz w:val="20"/>
                <w:szCs w:val="20"/>
              </w:rPr>
              <w:t>the</w:t>
            </w:r>
            <w:r w:rsidRPr="0088364D">
              <w:rPr>
                <w:spacing w:val="23"/>
                <w:sz w:val="20"/>
                <w:szCs w:val="20"/>
              </w:rPr>
              <w:t xml:space="preserve"> </w:t>
            </w:r>
            <w:r w:rsidRPr="0088364D">
              <w:rPr>
                <w:sz w:val="20"/>
                <w:szCs w:val="20"/>
              </w:rPr>
              <w:t>duty</w:t>
            </w:r>
            <w:r w:rsidRPr="0088364D">
              <w:rPr>
                <w:spacing w:val="25"/>
                <w:sz w:val="20"/>
                <w:szCs w:val="20"/>
              </w:rPr>
              <w:t xml:space="preserve"> </w:t>
            </w:r>
            <w:r w:rsidRPr="0088364D">
              <w:rPr>
                <w:sz w:val="20"/>
                <w:szCs w:val="20"/>
              </w:rPr>
              <w:t>to</w:t>
            </w:r>
            <w:r w:rsidRPr="0088364D">
              <w:rPr>
                <w:spacing w:val="24"/>
                <w:sz w:val="20"/>
                <w:szCs w:val="20"/>
              </w:rPr>
              <w:t xml:space="preserve"> </w:t>
            </w:r>
            <w:r w:rsidRPr="0088364D">
              <w:rPr>
                <w:sz w:val="20"/>
                <w:szCs w:val="20"/>
              </w:rPr>
              <w:t>act</w:t>
            </w:r>
            <w:r w:rsidRPr="0088364D">
              <w:rPr>
                <w:spacing w:val="25"/>
                <w:sz w:val="20"/>
                <w:szCs w:val="20"/>
              </w:rPr>
              <w:t xml:space="preserve"> </w:t>
            </w:r>
            <w:r w:rsidRPr="0088364D">
              <w:rPr>
                <w:sz w:val="20"/>
                <w:szCs w:val="20"/>
              </w:rPr>
              <w:t>with</w:t>
            </w:r>
            <w:r w:rsidRPr="0088364D">
              <w:rPr>
                <w:spacing w:val="24"/>
                <w:sz w:val="20"/>
                <w:szCs w:val="20"/>
              </w:rPr>
              <w:t xml:space="preserve"> </w:t>
            </w:r>
            <w:r w:rsidRPr="0088364D">
              <w:rPr>
                <w:sz w:val="20"/>
                <w:szCs w:val="20"/>
              </w:rPr>
              <w:t>a</w:t>
            </w:r>
            <w:r w:rsidRPr="0088364D">
              <w:rPr>
                <w:spacing w:val="24"/>
                <w:sz w:val="20"/>
                <w:szCs w:val="20"/>
              </w:rPr>
              <w:t xml:space="preserve"> </w:t>
            </w:r>
            <w:r w:rsidRPr="0088364D">
              <w:rPr>
                <w:sz w:val="20"/>
                <w:szCs w:val="20"/>
              </w:rPr>
              <w:t>view</w:t>
            </w:r>
            <w:r w:rsidRPr="0088364D">
              <w:rPr>
                <w:spacing w:val="24"/>
                <w:sz w:val="20"/>
                <w:szCs w:val="20"/>
              </w:rPr>
              <w:t xml:space="preserve"> </w:t>
            </w:r>
            <w:r w:rsidRPr="0088364D">
              <w:rPr>
                <w:sz w:val="20"/>
                <w:szCs w:val="20"/>
              </w:rPr>
              <w:t>to</w:t>
            </w:r>
            <w:r w:rsidRPr="0088364D">
              <w:rPr>
                <w:spacing w:val="24"/>
                <w:sz w:val="20"/>
                <w:szCs w:val="20"/>
              </w:rPr>
              <w:t xml:space="preserve"> </w:t>
            </w:r>
            <w:r w:rsidRPr="0088364D">
              <w:rPr>
                <w:sz w:val="20"/>
                <w:szCs w:val="20"/>
              </w:rPr>
              <w:t>delivering</w:t>
            </w:r>
            <w:r w:rsidRPr="0088364D">
              <w:rPr>
                <w:spacing w:val="23"/>
                <w:sz w:val="20"/>
                <w:szCs w:val="20"/>
              </w:rPr>
              <w:t xml:space="preserve"> </w:t>
            </w:r>
            <w:r w:rsidRPr="0088364D">
              <w:rPr>
                <w:sz w:val="20"/>
                <w:szCs w:val="20"/>
              </w:rPr>
              <w:t>services</w:t>
            </w:r>
            <w:r w:rsidRPr="0088364D">
              <w:rPr>
                <w:spacing w:val="26"/>
                <w:sz w:val="20"/>
                <w:szCs w:val="20"/>
              </w:rPr>
              <w:t xml:space="preserve"> </w:t>
            </w:r>
            <w:r w:rsidRPr="0088364D">
              <w:rPr>
                <w:sz w:val="20"/>
                <w:szCs w:val="20"/>
              </w:rPr>
              <w:t>in</w:t>
            </w:r>
            <w:r w:rsidRPr="0088364D">
              <w:rPr>
                <w:spacing w:val="24"/>
                <w:sz w:val="20"/>
                <w:szCs w:val="20"/>
              </w:rPr>
              <w:t xml:space="preserve"> </w:t>
            </w:r>
            <w:r w:rsidRPr="0088364D">
              <w:rPr>
                <w:sz w:val="20"/>
                <w:szCs w:val="20"/>
              </w:rPr>
              <w:t>a</w:t>
            </w:r>
            <w:r w:rsidRPr="0088364D">
              <w:rPr>
                <w:spacing w:val="24"/>
                <w:sz w:val="20"/>
                <w:szCs w:val="20"/>
              </w:rPr>
              <w:t xml:space="preserve"> </w:t>
            </w:r>
            <w:r w:rsidRPr="0088364D">
              <w:rPr>
                <w:sz w:val="20"/>
                <w:szCs w:val="20"/>
              </w:rPr>
              <w:t>way</w:t>
            </w:r>
            <w:r w:rsidRPr="0088364D">
              <w:rPr>
                <w:spacing w:val="25"/>
                <w:sz w:val="20"/>
                <w:szCs w:val="20"/>
              </w:rPr>
              <w:t xml:space="preserve"> </w:t>
            </w:r>
            <w:r w:rsidRPr="0088364D">
              <w:rPr>
                <w:sz w:val="20"/>
                <w:szCs w:val="20"/>
              </w:rPr>
              <w:t>that</w:t>
            </w:r>
            <w:r w:rsidRPr="0088364D">
              <w:rPr>
                <w:spacing w:val="59"/>
                <w:w w:val="99"/>
                <w:sz w:val="20"/>
                <w:szCs w:val="20"/>
              </w:rPr>
              <w:t xml:space="preserve"> </w:t>
            </w:r>
            <w:r w:rsidRPr="0088364D">
              <w:rPr>
                <w:sz w:val="20"/>
                <w:szCs w:val="20"/>
              </w:rPr>
              <w:t>promotes</w:t>
            </w:r>
            <w:r w:rsidRPr="0088364D">
              <w:rPr>
                <w:spacing w:val="56"/>
                <w:sz w:val="20"/>
                <w:szCs w:val="20"/>
              </w:rPr>
              <w:t xml:space="preserve"> </w:t>
            </w:r>
            <w:r w:rsidRPr="0088364D">
              <w:rPr>
                <w:sz w:val="20"/>
                <w:szCs w:val="20"/>
              </w:rPr>
              <w:t>the</w:t>
            </w:r>
            <w:r w:rsidRPr="0088364D">
              <w:rPr>
                <w:spacing w:val="54"/>
                <w:sz w:val="20"/>
                <w:szCs w:val="20"/>
              </w:rPr>
              <w:t xml:space="preserve"> </w:t>
            </w:r>
            <w:r w:rsidRPr="0088364D">
              <w:rPr>
                <w:sz w:val="20"/>
                <w:szCs w:val="20"/>
              </w:rPr>
              <w:t>NHS</w:t>
            </w:r>
            <w:r w:rsidRPr="0088364D">
              <w:rPr>
                <w:spacing w:val="55"/>
                <w:sz w:val="20"/>
                <w:szCs w:val="20"/>
              </w:rPr>
              <w:t xml:space="preserve"> </w:t>
            </w:r>
            <w:r w:rsidRPr="0088364D">
              <w:rPr>
                <w:sz w:val="20"/>
                <w:szCs w:val="20"/>
              </w:rPr>
              <w:t>constitution</w:t>
            </w:r>
            <w:r w:rsidRPr="0088364D">
              <w:rPr>
                <w:spacing w:val="36"/>
                <w:sz w:val="20"/>
                <w:szCs w:val="20"/>
              </w:rPr>
              <w:t xml:space="preserve"> </w:t>
            </w:r>
            <w:r w:rsidRPr="0088364D">
              <w:rPr>
                <w:sz w:val="20"/>
                <w:szCs w:val="20"/>
              </w:rPr>
              <w:t>(in respect of NHS England, see</w:t>
            </w:r>
            <w:r w:rsidRPr="0088364D">
              <w:rPr>
                <w:spacing w:val="54"/>
                <w:sz w:val="20"/>
                <w:szCs w:val="20"/>
              </w:rPr>
              <w:t xml:space="preserve"> </w:t>
            </w:r>
            <w:r w:rsidRPr="0088364D">
              <w:rPr>
                <w:sz w:val="20"/>
                <w:szCs w:val="20"/>
              </w:rPr>
              <w:t>section</w:t>
            </w:r>
            <w:r w:rsidRPr="0088364D">
              <w:rPr>
                <w:spacing w:val="56"/>
                <w:sz w:val="20"/>
                <w:szCs w:val="20"/>
              </w:rPr>
              <w:t xml:space="preserve"> </w:t>
            </w:r>
            <w:r w:rsidRPr="0088364D">
              <w:rPr>
                <w:sz w:val="20"/>
                <w:szCs w:val="20"/>
              </w:rPr>
              <w:t>13C(1)(a)</w:t>
            </w:r>
            <w:r w:rsidRPr="0088364D">
              <w:rPr>
                <w:spacing w:val="54"/>
                <w:sz w:val="20"/>
                <w:szCs w:val="20"/>
              </w:rPr>
              <w:t xml:space="preserve"> </w:t>
            </w:r>
            <w:r w:rsidRPr="0088364D">
              <w:rPr>
                <w:sz w:val="20"/>
                <w:szCs w:val="20"/>
              </w:rPr>
              <w:t>of</w:t>
            </w:r>
            <w:r w:rsidRPr="0088364D">
              <w:rPr>
                <w:spacing w:val="54"/>
                <w:sz w:val="20"/>
                <w:szCs w:val="20"/>
              </w:rPr>
              <w:t xml:space="preserve"> </w:t>
            </w:r>
            <w:r w:rsidRPr="0088364D">
              <w:rPr>
                <w:sz w:val="20"/>
                <w:szCs w:val="20"/>
              </w:rPr>
              <w:t>the</w:t>
            </w:r>
            <w:r w:rsidRPr="0088364D">
              <w:rPr>
                <w:spacing w:val="49"/>
                <w:w w:val="99"/>
                <w:sz w:val="20"/>
                <w:szCs w:val="20"/>
              </w:rPr>
              <w:t xml:space="preserve"> </w:t>
            </w:r>
            <w:r w:rsidRPr="0088364D">
              <w:rPr>
                <w:sz w:val="20"/>
                <w:szCs w:val="20"/>
              </w:rPr>
              <w:t>NHS</w:t>
            </w:r>
            <w:r w:rsidRPr="0088364D">
              <w:rPr>
                <w:spacing w:val="-7"/>
                <w:sz w:val="20"/>
                <w:szCs w:val="20"/>
              </w:rPr>
              <w:t xml:space="preserve"> </w:t>
            </w:r>
            <w:r w:rsidRPr="0088364D">
              <w:rPr>
                <w:sz w:val="20"/>
                <w:szCs w:val="20"/>
              </w:rPr>
              <w:t>Act</w:t>
            </w:r>
            <w:r w:rsidRPr="0088364D">
              <w:rPr>
                <w:spacing w:val="-6"/>
                <w:sz w:val="20"/>
                <w:szCs w:val="20"/>
              </w:rPr>
              <w:t xml:space="preserve"> </w:t>
            </w:r>
            <w:r w:rsidRPr="0088364D">
              <w:rPr>
                <w:sz w:val="20"/>
                <w:szCs w:val="20"/>
              </w:rPr>
              <w:t xml:space="preserve">2006; and, in respect of </w:t>
            </w:r>
            <w:r w:rsidR="00B83042">
              <w:rPr>
                <w:sz w:val="20"/>
                <w:szCs w:val="20"/>
              </w:rPr>
              <w:t>CCG/ICB</w:t>
            </w:r>
            <w:r w:rsidRPr="0088364D">
              <w:rPr>
                <w:sz w:val="20"/>
                <w:szCs w:val="20"/>
              </w:rPr>
              <w:t>s, see section 14P of the NHS Act 2006)</w:t>
            </w:r>
          </w:p>
          <w:p w14:paraId="2EB44552" w14:textId="6B83FABD" w:rsidR="00DB7F92" w:rsidRPr="0088364D" w:rsidRDefault="00DB7F92" w:rsidP="00970B92">
            <w:pPr>
              <w:pStyle w:val="Heading4"/>
              <w:rPr>
                <w:sz w:val="20"/>
                <w:szCs w:val="20"/>
              </w:rPr>
            </w:pPr>
            <w:r w:rsidRPr="0088364D">
              <w:rPr>
                <w:sz w:val="20"/>
                <w:szCs w:val="20"/>
              </w:rPr>
              <w:t>the</w:t>
            </w:r>
            <w:r w:rsidRPr="0088364D">
              <w:rPr>
                <w:spacing w:val="4"/>
                <w:sz w:val="20"/>
                <w:szCs w:val="20"/>
              </w:rPr>
              <w:t xml:space="preserve"> </w:t>
            </w:r>
            <w:r w:rsidRPr="0088364D">
              <w:rPr>
                <w:sz w:val="20"/>
                <w:szCs w:val="20"/>
              </w:rPr>
              <w:t>duty</w:t>
            </w:r>
            <w:r w:rsidRPr="0088364D">
              <w:rPr>
                <w:spacing w:val="6"/>
                <w:sz w:val="20"/>
                <w:szCs w:val="20"/>
              </w:rPr>
              <w:t xml:space="preserve"> </w:t>
            </w:r>
            <w:r w:rsidRPr="0088364D">
              <w:rPr>
                <w:sz w:val="20"/>
                <w:szCs w:val="20"/>
              </w:rPr>
              <w:t>to</w:t>
            </w:r>
            <w:r w:rsidRPr="0088364D">
              <w:rPr>
                <w:spacing w:val="4"/>
                <w:sz w:val="20"/>
                <w:szCs w:val="20"/>
              </w:rPr>
              <w:t xml:space="preserve"> </w:t>
            </w:r>
            <w:r w:rsidRPr="0088364D">
              <w:rPr>
                <w:sz w:val="20"/>
                <w:szCs w:val="20"/>
              </w:rPr>
              <w:t>act</w:t>
            </w:r>
            <w:r w:rsidRPr="0088364D">
              <w:rPr>
                <w:spacing w:val="6"/>
                <w:sz w:val="20"/>
                <w:szCs w:val="20"/>
              </w:rPr>
              <w:t xml:space="preserve"> </w:t>
            </w:r>
            <w:r w:rsidRPr="0088364D">
              <w:rPr>
                <w:sz w:val="20"/>
                <w:szCs w:val="20"/>
              </w:rPr>
              <w:t>with</w:t>
            </w:r>
            <w:r w:rsidRPr="0088364D">
              <w:rPr>
                <w:spacing w:val="5"/>
                <w:sz w:val="20"/>
                <w:szCs w:val="20"/>
              </w:rPr>
              <w:t xml:space="preserve"> </w:t>
            </w:r>
            <w:r w:rsidRPr="0088364D">
              <w:rPr>
                <w:sz w:val="20"/>
                <w:szCs w:val="20"/>
              </w:rPr>
              <w:t>a</w:t>
            </w:r>
            <w:r w:rsidRPr="0088364D">
              <w:rPr>
                <w:spacing w:val="5"/>
                <w:sz w:val="20"/>
                <w:szCs w:val="20"/>
              </w:rPr>
              <w:t xml:space="preserve"> </w:t>
            </w:r>
            <w:r w:rsidRPr="0088364D">
              <w:rPr>
                <w:sz w:val="20"/>
                <w:szCs w:val="20"/>
              </w:rPr>
              <w:t>view</w:t>
            </w:r>
            <w:r w:rsidRPr="0088364D">
              <w:rPr>
                <w:spacing w:val="5"/>
                <w:sz w:val="20"/>
                <w:szCs w:val="20"/>
              </w:rPr>
              <w:t xml:space="preserve"> </w:t>
            </w:r>
            <w:r w:rsidRPr="0088364D">
              <w:rPr>
                <w:sz w:val="20"/>
                <w:szCs w:val="20"/>
              </w:rPr>
              <w:t>to</w:t>
            </w:r>
            <w:r w:rsidRPr="0088364D">
              <w:rPr>
                <w:spacing w:val="4"/>
                <w:sz w:val="20"/>
                <w:szCs w:val="20"/>
              </w:rPr>
              <w:t xml:space="preserve"> </w:t>
            </w:r>
            <w:r w:rsidRPr="0088364D">
              <w:rPr>
                <w:sz w:val="20"/>
                <w:szCs w:val="20"/>
              </w:rPr>
              <w:t>securing</w:t>
            </w:r>
            <w:r w:rsidRPr="0088364D">
              <w:rPr>
                <w:spacing w:val="4"/>
                <w:sz w:val="20"/>
                <w:szCs w:val="20"/>
              </w:rPr>
              <w:t xml:space="preserve"> </w:t>
            </w:r>
            <w:r w:rsidRPr="0088364D">
              <w:rPr>
                <w:sz w:val="20"/>
                <w:szCs w:val="20"/>
              </w:rPr>
              <w:t>continuous</w:t>
            </w:r>
            <w:r w:rsidRPr="0088364D">
              <w:rPr>
                <w:spacing w:val="4"/>
                <w:sz w:val="20"/>
                <w:szCs w:val="20"/>
              </w:rPr>
              <w:t xml:space="preserve"> </w:t>
            </w:r>
            <w:r w:rsidRPr="0088364D">
              <w:rPr>
                <w:sz w:val="20"/>
                <w:szCs w:val="20"/>
              </w:rPr>
              <w:t>improvement</w:t>
            </w:r>
            <w:r w:rsidRPr="0088364D">
              <w:rPr>
                <w:spacing w:val="63"/>
                <w:w w:val="99"/>
                <w:sz w:val="20"/>
                <w:szCs w:val="20"/>
              </w:rPr>
              <w:t xml:space="preserve"> </w:t>
            </w:r>
            <w:r w:rsidRPr="0088364D">
              <w:rPr>
                <w:sz w:val="20"/>
                <w:szCs w:val="20"/>
              </w:rPr>
              <w:t>in the quality</w:t>
            </w:r>
            <w:r w:rsidRPr="0088364D">
              <w:rPr>
                <w:spacing w:val="1"/>
                <w:sz w:val="20"/>
                <w:szCs w:val="20"/>
              </w:rPr>
              <w:t xml:space="preserve"> </w:t>
            </w:r>
            <w:r w:rsidRPr="0088364D">
              <w:rPr>
                <w:sz w:val="20"/>
                <w:szCs w:val="20"/>
              </w:rPr>
              <w:t>of services in health and</w:t>
            </w:r>
            <w:r w:rsidRPr="0088364D">
              <w:rPr>
                <w:spacing w:val="2"/>
                <w:sz w:val="20"/>
                <w:szCs w:val="20"/>
              </w:rPr>
              <w:t xml:space="preserve"> </w:t>
            </w:r>
            <w:r w:rsidRPr="0088364D">
              <w:rPr>
                <w:sz w:val="20"/>
                <w:szCs w:val="20"/>
              </w:rPr>
              <w:t>public health services</w:t>
            </w:r>
            <w:r w:rsidRPr="0088364D">
              <w:rPr>
                <w:spacing w:val="1"/>
                <w:sz w:val="20"/>
                <w:szCs w:val="20"/>
              </w:rPr>
              <w:t xml:space="preserve"> </w:t>
            </w:r>
            <w:r w:rsidRPr="0088364D">
              <w:rPr>
                <w:sz w:val="20"/>
                <w:szCs w:val="20"/>
              </w:rPr>
              <w:t>(in respect of NHS England, see</w:t>
            </w:r>
            <w:r w:rsidRPr="0088364D">
              <w:rPr>
                <w:spacing w:val="56"/>
                <w:w w:val="99"/>
                <w:sz w:val="20"/>
                <w:szCs w:val="20"/>
              </w:rPr>
              <w:t xml:space="preserve"> </w:t>
            </w:r>
            <w:r w:rsidRPr="0088364D">
              <w:rPr>
                <w:sz w:val="20"/>
                <w:szCs w:val="20"/>
              </w:rPr>
              <w:t>section</w:t>
            </w:r>
            <w:r w:rsidRPr="0088364D">
              <w:rPr>
                <w:spacing w:val="-5"/>
                <w:sz w:val="20"/>
                <w:szCs w:val="20"/>
              </w:rPr>
              <w:t xml:space="preserve"> </w:t>
            </w:r>
            <w:r w:rsidRPr="0088364D">
              <w:rPr>
                <w:sz w:val="20"/>
                <w:szCs w:val="20"/>
              </w:rPr>
              <w:t>13E</w:t>
            </w:r>
            <w:r w:rsidRPr="0088364D">
              <w:rPr>
                <w:spacing w:val="-5"/>
                <w:sz w:val="20"/>
                <w:szCs w:val="20"/>
              </w:rPr>
              <w:t xml:space="preserve"> </w:t>
            </w:r>
            <w:r w:rsidRPr="0088364D">
              <w:rPr>
                <w:sz w:val="20"/>
                <w:szCs w:val="20"/>
              </w:rPr>
              <w:t>of</w:t>
            </w:r>
            <w:r w:rsidRPr="0088364D">
              <w:rPr>
                <w:spacing w:val="-6"/>
                <w:sz w:val="20"/>
                <w:szCs w:val="20"/>
              </w:rPr>
              <w:t xml:space="preserve"> </w:t>
            </w:r>
            <w:r w:rsidRPr="0088364D">
              <w:rPr>
                <w:sz w:val="20"/>
                <w:szCs w:val="20"/>
              </w:rPr>
              <w:t>the</w:t>
            </w:r>
            <w:r w:rsidRPr="0088364D">
              <w:rPr>
                <w:spacing w:val="-3"/>
                <w:sz w:val="20"/>
                <w:szCs w:val="20"/>
              </w:rPr>
              <w:t xml:space="preserve"> </w:t>
            </w:r>
            <w:r w:rsidRPr="0088364D">
              <w:rPr>
                <w:sz w:val="20"/>
                <w:szCs w:val="20"/>
              </w:rPr>
              <w:t>NHS Act</w:t>
            </w:r>
            <w:r w:rsidRPr="0088364D">
              <w:rPr>
                <w:spacing w:val="-4"/>
                <w:sz w:val="20"/>
                <w:szCs w:val="20"/>
              </w:rPr>
              <w:t xml:space="preserve"> </w:t>
            </w:r>
            <w:r w:rsidRPr="0088364D">
              <w:rPr>
                <w:sz w:val="20"/>
                <w:szCs w:val="20"/>
              </w:rPr>
              <w:t xml:space="preserve">2006; and, in respect of </w:t>
            </w:r>
            <w:r w:rsidR="008B199F">
              <w:rPr>
                <w:sz w:val="20"/>
                <w:szCs w:val="20"/>
              </w:rPr>
              <w:t>CCG</w:t>
            </w:r>
            <w:r w:rsidR="007C3322">
              <w:rPr>
                <w:sz w:val="20"/>
                <w:szCs w:val="20"/>
              </w:rPr>
              <w:t>s</w:t>
            </w:r>
            <w:r w:rsidRPr="0088364D">
              <w:rPr>
                <w:sz w:val="20"/>
                <w:szCs w:val="20"/>
              </w:rPr>
              <w:t>, see section 14R of the NHS Act 2006)</w:t>
            </w:r>
          </w:p>
          <w:p w14:paraId="54D426D7" w14:textId="755CA7F2" w:rsidR="00DB7F92" w:rsidRPr="0088364D" w:rsidRDefault="00DB7F92" w:rsidP="00970B92">
            <w:pPr>
              <w:pStyle w:val="Heading4"/>
              <w:rPr>
                <w:sz w:val="20"/>
                <w:szCs w:val="20"/>
              </w:rPr>
            </w:pPr>
            <w:r w:rsidRPr="0088364D">
              <w:rPr>
                <w:sz w:val="20"/>
                <w:szCs w:val="20"/>
              </w:rPr>
              <w:t>the</w:t>
            </w:r>
            <w:r w:rsidRPr="0088364D">
              <w:rPr>
                <w:spacing w:val="62"/>
                <w:sz w:val="20"/>
                <w:szCs w:val="20"/>
              </w:rPr>
              <w:t xml:space="preserve"> </w:t>
            </w:r>
            <w:r w:rsidRPr="0088364D">
              <w:rPr>
                <w:sz w:val="20"/>
                <w:szCs w:val="20"/>
              </w:rPr>
              <w:t>duty</w:t>
            </w:r>
            <w:r w:rsidRPr="0088364D">
              <w:rPr>
                <w:spacing w:val="64"/>
                <w:sz w:val="20"/>
                <w:szCs w:val="20"/>
              </w:rPr>
              <w:t xml:space="preserve"> </w:t>
            </w:r>
            <w:r w:rsidRPr="0088364D">
              <w:rPr>
                <w:sz w:val="20"/>
                <w:szCs w:val="20"/>
              </w:rPr>
              <w:t>to</w:t>
            </w:r>
            <w:r w:rsidRPr="0088364D">
              <w:rPr>
                <w:spacing w:val="62"/>
                <w:sz w:val="20"/>
                <w:szCs w:val="20"/>
              </w:rPr>
              <w:t xml:space="preserve"> </w:t>
            </w:r>
            <w:r w:rsidRPr="0088364D">
              <w:rPr>
                <w:sz w:val="20"/>
                <w:szCs w:val="20"/>
              </w:rPr>
              <w:t>act</w:t>
            </w:r>
            <w:r w:rsidRPr="0088364D">
              <w:rPr>
                <w:spacing w:val="65"/>
                <w:sz w:val="20"/>
                <w:szCs w:val="20"/>
              </w:rPr>
              <w:t xml:space="preserve"> </w:t>
            </w:r>
            <w:r w:rsidRPr="0088364D">
              <w:rPr>
                <w:sz w:val="20"/>
                <w:szCs w:val="20"/>
              </w:rPr>
              <w:t>with</w:t>
            </w:r>
            <w:r w:rsidRPr="0088364D">
              <w:rPr>
                <w:spacing w:val="65"/>
                <w:sz w:val="20"/>
                <w:szCs w:val="20"/>
              </w:rPr>
              <w:t xml:space="preserve"> </w:t>
            </w:r>
            <w:r w:rsidRPr="0088364D">
              <w:rPr>
                <w:sz w:val="20"/>
                <w:szCs w:val="20"/>
              </w:rPr>
              <w:t>a</w:t>
            </w:r>
            <w:r w:rsidRPr="0088364D">
              <w:rPr>
                <w:spacing w:val="64"/>
                <w:sz w:val="20"/>
                <w:szCs w:val="20"/>
              </w:rPr>
              <w:t xml:space="preserve"> </w:t>
            </w:r>
            <w:r w:rsidRPr="0088364D">
              <w:rPr>
                <w:sz w:val="20"/>
                <w:szCs w:val="20"/>
              </w:rPr>
              <w:t>view</w:t>
            </w:r>
            <w:r w:rsidRPr="0088364D">
              <w:rPr>
                <w:spacing w:val="63"/>
                <w:sz w:val="20"/>
                <w:szCs w:val="20"/>
              </w:rPr>
              <w:t xml:space="preserve"> </w:t>
            </w:r>
            <w:r w:rsidRPr="0088364D">
              <w:rPr>
                <w:sz w:val="20"/>
                <w:szCs w:val="20"/>
              </w:rPr>
              <w:t>to</w:t>
            </w:r>
            <w:r w:rsidRPr="0088364D">
              <w:rPr>
                <w:spacing w:val="63"/>
                <w:sz w:val="20"/>
                <w:szCs w:val="20"/>
              </w:rPr>
              <w:t xml:space="preserve"> </w:t>
            </w:r>
            <w:r w:rsidRPr="0088364D">
              <w:rPr>
                <w:sz w:val="20"/>
                <w:szCs w:val="20"/>
              </w:rPr>
              <w:t>enabling</w:t>
            </w:r>
            <w:r w:rsidRPr="0088364D">
              <w:rPr>
                <w:spacing w:val="63"/>
                <w:sz w:val="20"/>
                <w:szCs w:val="20"/>
              </w:rPr>
              <w:t xml:space="preserve"> </w:t>
            </w:r>
            <w:r w:rsidRPr="0088364D">
              <w:rPr>
                <w:sz w:val="20"/>
                <w:szCs w:val="20"/>
              </w:rPr>
              <w:t>patients</w:t>
            </w:r>
            <w:r w:rsidRPr="0088364D">
              <w:rPr>
                <w:spacing w:val="62"/>
                <w:sz w:val="20"/>
                <w:szCs w:val="20"/>
              </w:rPr>
              <w:t xml:space="preserve"> </w:t>
            </w:r>
            <w:r w:rsidRPr="0088364D">
              <w:rPr>
                <w:sz w:val="20"/>
                <w:szCs w:val="20"/>
              </w:rPr>
              <w:t>to</w:t>
            </w:r>
            <w:r w:rsidRPr="0088364D">
              <w:rPr>
                <w:spacing w:val="64"/>
                <w:sz w:val="20"/>
                <w:szCs w:val="20"/>
              </w:rPr>
              <w:t xml:space="preserve"> </w:t>
            </w:r>
            <w:r w:rsidRPr="0088364D">
              <w:rPr>
                <w:sz w:val="20"/>
                <w:szCs w:val="20"/>
              </w:rPr>
              <w:t>make</w:t>
            </w:r>
            <w:r w:rsidRPr="0088364D">
              <w:rPr>
                <w:spacing w:val="31"/>
                <w:sz w:val="20"/>
                <w:szCs w:val="20"/>
              </w:rPr>
              <w:t xml:space="preserve"> </w:t>
            </w:r>
            <w:r w:rsidRPr="0088364D">
              <w:rPr>
                <w:sz w:val="20"/>
                <w:szCs w:val="20"/>
              </w:rPr>
              <w:t>choices</w:t>
            </w:r>
            <w:r w:rsidRPr="0088364D">
              <w:rPr>
                <w:spacing w:val="-6"/>
                <w:sz w:val="20"/>
                <w:szCs w:val="20"/>
              </w:rPr>
              <w:t xml:space="preserve"> </w:t>
            </w:r>
            <w:r w:rsidRPr="0088364D">
              <w:rPr>
                <w:sz w:val="20"/>
                <w:szCs w:val="20"/>
              </w:rPr>
              <w:t>about</w:t>
            </w:r>
            <w:r w:rsidRPr="0088364D">
              <w:rPr>
                <w:spacing w:val="-6"/>
                <w:sz w:val="20"/>
                <w:szCs w:val="20"/>
              </w:rPr>
              <w:t xml:space="preserve"> </w:t>
            </w:r>
            <w:r w:rsidRPr="0088364D">
              <w:rPr>
                <w:sz w:val="20"/>
                <w:szCs w:val="20"/>
              </w:rPr>
              <w:t>their</w:t>
            </w:r>
            <w:r w:rsidRPr="0088364D">
              <w:rPr>
                <w:spacing w:val="-5"/>
                <w:sz w:val="20"/>
                <w:szCs w:val="20"/>
              </w:rPr>
              <w:t xml:space="preserve"> </w:t>
            </w:r>
            <w:r w:rsidRPr="0088364D">
              <w:rPr>
                <w:sz w:val="20"/>
                <w:szCs w:val="20"/>
              </w:rPr>
              <w:t>care</w:t>
            </w:r>
            <w:r w:rsidRPr="0088364D">
              <w:rPr>
                <w:spacing w:val="-22"/>
                <w:sz w:val="20"/>
                <w:szCs w:val="20"/>
              </w:rPr>
              <w:t xml:space="preserve"> </w:t>
            </w:r>
            <w:r w:rsidRPr="0088364D">
              <w:rPr>
                <w:sz w:val="20"/>
                <w:szCs w:val="20"/>
              </w:rPr>
              <w:t>(in respect of NHS England, see</w:t>
            </w:r>
            <w:r w:rsidRPr="0088364D">
              <w:rPr>
                <w:spacing w:val="-5"/>
                <w:sz w:val="20"/>
                <w:szCs w:val="20"/>
              </w:rPr>
              <w:t xml:space="preserve"> </w:t>
            </w:r>
            <w:r w:rsidRPr="0088364D">
              <w:rPr>
                <w:sz w:val="20"/>
                <w:szCs w:val="20"/>
              </w:rPr>
              <w:t>section</w:t>
            </w:r>
            <w:r w:rsidRPr="0088364D">
              <w:rPr>
                <w:spacing w:val="-5"/>
                <w:sz w:val="20"/>
                <w:szCs w:val="20"/>
              </w:rPr>
              <w:t xml:space="preserve"> </w:t>
            </w:r>
            <w:r w:rsidRPr="0088364D">
              <w:rPr>
                <w:sz w:val="20"/>
                <w:szCs w:val="20"/>
              </w:rPr>
              <w:t>13I</w:t>
            </w:r>
            <w:r w:rsidRPr="0088364D">
              <w:rPr>
                <w:spacing w:val="-4"/>
                <w:sz w:val="20"/>
                <w:szCs w:val="20"/>
              </w:rPr>
              <w:t xml:space="preserve"> </w:t>
            </w:r>
            <w:r w:rsidRPr="0088364D">
              <w:rPr>
                <w:sz w:val="20"/>
                <w:szCs w:val="20"/>
              </w:rPr>
              <w:t>of</w:t>
            </w:r>
            <w:r w:rsidRPr="0088364D">
              <w:rPr>
                <w:spacing w:val="-2"/>
                <w:sz w:val="20"/>
                <w:szCs w:val="20"/>
              </w:rPr>
              <w:t xml:space="preserve"> </w:t>
            </w:r>
            <w:r w:rsidRPr="0088364D">
              <w:rPr>
                <w:sz w:val="20"/>
                <w:szCs w:val="20"/>
              </w:rPr>
              <w:t>the</w:t>
            </w:r>
            <w:r w:rsidRPr="0088364D">
              <w:rPr>
                <w:spacing w:val="-5"/>
                <w:sz w:val="20"/>
                <w:szCs w:val="20"/>
              </w:rPr>
              <w:t xml:space="preserve"> </w:t>
            </w:r>
            <w:r w:rsidRPr="0088364D">
              <w:rPr>
                <w:sz w:val="20"/>
                <w:szCs w:val="20"/>
              </w:rPr>
              <w:t>NHS</w:t>
            </w:r>
            <w:r w:rsidRPr="0088364D">
              <w:rPr>
                <w:spacing w:val="-3"/>
                <w:sz w:val="20"/>
                <w:szCs w:val="20"/>
              </w:rPr>
              <w:t xml:space="preserve"> </w:t>
            </w:r>
            <w:r w:rsidRPr="0088364D">
              <w:rPr>
                <w:sz w:val="20"/>
                <w:szCs w:val="20"/>
              </w:rPr>
              <w:t>Act</w:t>
            </w:r>
            <w:r w:rsidRPr="0088364D">
              <w:rPr>
                <w:spacing w:val="-4"/>
                <w:sz w:val="20"/>
                <w:szCs w:val="20"/>
              </w:rPr>
              <w:t xml:space="preserve"> </w:t>
            </w:r>
            <w:r w:rsidRPr="0088364D">
              <w:rPr>
                <w:sz w:val="20"/>
                <w:szCs w:val="20"/>
              </w:rPr>
              <w:t xml:space="preserve">2006; and, in respect of </w:t>
            </w:r>
            <w:r w:rsidR="00B83042">
              <w:rPr>
                <w:sz w:val="20"/>
                <w:szCs w:val="20"/>
              </w:rPr>
              <w:t>CCG/ICBCCGs/ICBs</w:t>
            </w:r>
            <w:r w:rsidRPr="0088364D">
              <w:rPr>
                <w:sz w:val="20"/>
                <w:szCs w:val="20"/>
              </w:rPr>
              <w:t>, see section 14R of the NHS Act 2006)</w:t>
            </w:r>
          </w:p>
          <w:p w14:paraId="69E2EDF4" w14:textId="0B2C908A" w:rsidR="00DB7F92" w:rsidRPr="0088364D" w:rsidRDefault="00DB7F92" w:rsidP="00970B92">
            <w:pPr>
              <w:pStyle w:val="Heading4"/>
              <w:rPr>
                <w:sz w:val="20"/>
                <w:szCs w:val="20"/>
              </w:rPr>
            </w:pPr>
            <w:r w:rsidRPr="0088364D">
              <w:rPr>
                <w:sz w:val="20"/>
                <w:szCs w:val="20"/>
              </w:rPr>
              <w:t>the</w:t>
            </w:r>
            <w:r w:rsidRPr="0088364D">
              <w:rPr>
                <w:spacing w:val="37"/>
                <w:sz w:val="20"/>
                <w:szCs w:val="20"/>
              </w:rPr>
              <w:t xml:space="preserve"> </w:t>
            </w:r>
            <w:r w:rsidRPr="0088364D">
              <w:rPr>
                <w:sz w:val="20"/>
                <w:szCs w:val="20"/>
              </w:rPr>
              <w:t>duty</w:t>
            </w:r>
            <w:r w:rsidRPr="0088364D">
              <w:rPr>
                <w:spacing w:val="39"/>
                <w:sz w:val="20"/>
                <w:szCs w:val="20"/>
              </w:rPr>
              <w:t xml:space="preserve"> </w:t>
            </w:r>
            <w:r w:rsidRPr="0088364D">
              <w:rPr>
                <w:sz w:val="20"/>
                <w:szCs w:val="20"/>
              </w:rPr>
              <w:t>to</w:t>
            </w:r>
            <w:r w:rsidRPr="0088364D">
              <w:rPr>
                <w:spacing w:val="38"/>
                <w:sz w:val="20"/>
                <w:szCs w:val="20"/>
              </w:rPr>
              <w:t xml:space="preserve"> </w:t>
            </w:r>
            <w:r w:rsidRPr="0088364D">
              <w:rPr>
                <w:sz w:val="20"/>
                <w:szCs w:val="20"/>
              </w:rPr>
              <w:t>act</w:t>
            </w:r>
            <w:r w:rsidRPr="0088364D">
              <w:rPr>
                <w:spacing w:val="40"/>
                <w:sz w:val="20"/>
                <w:szCs w:val="20"/>
              </w:rPr>
              <w:t xml:space="preserve"> </w:t>
            </w:r>
            <w:r w:rsidRPr="0088364D">
              <w:rPr>
                <w:sz w:val="20"/>
                <w:szCs w:val="20"/>
              </w:rPr>
              <w:t>with</w:t>
            </w:r>
            <w:r w:rsidRPr="0088364D">
              <w:rPr>
                <w:spacing w:val="38"/>
                <w:sz w:val="20"/>
                <w:szCs w:val="20"/>
              </w:rPr>
              <w:t xml:space="preserve"> </w:t>
            </w:r>
            <w:r w:rsidRPr="0088364D">
              <w:rPr>
                <w:sz w:val="20"/>
                <w:szCs w:val="20"/>
              </w:rPr>
              <w:t>a</w:t>
            </w:r>
            <w:r w:rsidRPr="0088364D">
              <w:rPr>
                <w:spacing w:val="41"/>
                <w:sz w:val="20"/>
                <w:szCs w:val="20"/>
              </w:rPr>
              <w:t xml:space="preserve"> </w:t>
            </w:r>
            <w:r w:rsidRPr="0088364D">
              <w:rPr>
                <w:sz w:val="20"/>
                <w:szCs w:val="20"/>
              </w:rPr>
              <w:t>view</w:t>
            </w:r>
            <w:r w:rsidRPr="0088364D">
              <w:rPr>
                <w:spacing w:val="39"/>
                <w:sz w:val="20"/>
                <w:szCs w:val="20"/>
              </w:rPr>
              <w:t xml:space="preserve"> </w:t>
            </w:r>
            <w:r w:rsidRPr="0088364D">
              <w:rPr>
                <w:sz w:val="20"/>
                <w:szCs w:val="20"/>
              </w:rPr>
              <w:t>to</w:t>
            </w:r>
            <w:r w:rsidRPr="0088364D">
              <w:rPr>
                <w:spacing w:val="38"/>
                <w:sz w:val="20"/>
                <w:szCs w:val="20"/>
              </w:rPr>
              <w:t xml:space="preserve"> </w:t>
            </w:r>
            <w:r w:rsidRPr="0088364D">
              <w:rPr>
                <w:sz w:val="20"/>
                <w:szCs w:val="20"/>
              </w:rPr>
              <w:t>securing</w:t>
            </w:r>
            <w:r w:rsidRPr="0088364D">
              <w:rPr>
                <w:spacing w:val="38"/>
                <w:sz w:val="20"/>
                <w:szCs w:val="20"/>
              </w:rPr>
              <w:t xml:space="preserve"> </w:t>
            </w:r>
            <w:r w:rsidRPr="0088364D">
              <w:rPr>
                <w:sz w:val="20"/>
                <w:szCs w:val="20"/>
              </w:rPr>
              <w:t>integration,</w:t>
            </w:r>
            <w:r w:rsidRPr="0088364D">
              <w:rPr>
                <w:spacing w:val="20"/>
                <w:sz w:val="20"/>
                <w:szCs w:val="20"/>
              </w:rPr>
              <w:t xml:space="preserve"> </w:t>
            </w:r>
            <w:r w:rsidRPr="0088364D">
              <w:rPr>
                <w:sz w:val="20"/>
                <w:szCs w:val="20"/>
              </w:rPr>
              <w:t>including</w:t>
            </w:r>
            <w:r w:rsidRPr="0088364D">
              <w:rPr>
                <w:spacing w:val="63"/>
                <w:sz w:val="20"/>
                <w:szCs w:val="20"/>
              </w:rPr>
              <w:t xml:space="preserve"> </w:t>
            </w:r>
            <w:r w:rsidRPr="0088364D">
              <w:rPr>
                <w:sz w:val="20"/>
                <w:szCs w:val="20"/>
              </w:rPr>
              <w:t>between</w:t>
            </w:r>
            <w:r w:rsidRPr="0088364D">
              <w:rPr>
                <w:spacing w:val="8"/>
                <w:sz w:val="20"/>
                <w:szCs w:val="20"/>
              </w:rPr>
              <w:t xml:space="preserve"> </w:t>
            </w:r>
            <w:r w:rsidRPr="0088364D">
              <w:rPr>
                <w:sz w:val="20"/>
                <w:szCs w:val="20"/>
              </w:rPr>
              <w:t>health</w:t>
            </w:r>
            <w:r w:rsidRPr="0088364D">
              <w:rPr>
                <w:spacing w:val="8"/>
                <w:sz w:val="20"/>
                <w:szCs w:val="20"/>
              </w:rPr>
              <w:t xml:space="preserve"> </w:t>
            </w:r>
            <w:r w:rsidRPr="0088364D">
              <w:rPr>
                <w:sz w:val="20"/>
                <w:szCs w:val="20"/>
              </w:rPr>
              <w:t>and</w:t>
            </w:r>
            <w:r w:rsidRPr="0088364D">
              <w:rPr>
                <w:spacing w:val="7"/>
                <w:sz w:val="20"/>
                <w:szCs w:val="20"/>
              </w:rPr>
              <w:t xml:space="preserve"> </w:t>
            </w:r>
            <w:r w:rsidRPr="0088364D">
              <w:rPr>
                <w:sz w:val="20"/>
                <w:szCs w:val="20"/>
              </w:rPr>
              <w:t>other</w:t>
            </w:r>
            <w:r w:rsidRPr="0088364D">
              <w:rPr>
                <w:spacing w:val="8"/>
                <w:sz w:val="20"/>
                <w:szCs w:val="20"/>
              </w:rPr>
              <w:t xml:space="preserve"> </w:t>
            </w:r>
            <w:r w:rsidRPr="0088364D">
              <w:rPr>
                <w:sz w:val="20"/>
                <w:szCs w:val="20"/>
              </w:rPr>
              <w:t>public</w:t>
            </w:r>
            <w:r w:rsidRPr="0088364D">
              <w:rPr>
                <w:spacing w:val="8"/>
                <w:sz w:val="20"/>
                <w:szCs w:val="20"/>
              </w:rPr>
              <w:t xml:space="preserve"> </w:t>
            </w:r>
            <w:r w:rsidRPr="0088364D">
              <w:rPr>
                <w:sz w:val="20"/>
                <w:szCs w:val="20"/>
              </w:rPr>
              <w:t>services</w:t>
            </w:r>
            <w:r w:rsidRPr="0088364D">
              <w:rPr>
                <w:spacing w:val="9"/>
                <w:sz w:val="20"/>
                <w:szCs w:val="20"/>
              </w:rPr>
              <w:t xml:space="preserve"> </w:t>
            </w:r>
            <w:r w:rsidRPr="0088364D">
              <w:rPr>
                <w:sz w:val="20"/>
                <w:szCs w:val="20"/>
              </w:rPr>
              <w:t>that</w:t>
            </w:r>
            <w:r w:rsidRPr="0088364D">
              <w:rPr>
                <w:spacing w:val="8"/>
                <w:sz w:val="20"/>
                <w:szCs w:val="20"/>
              </w:rPr>
              <w:t xml:space="preserve"> </w:t>
            </w:r>
            <w:r w:rsidRPr="0088364D">
              <w:rPr>
                <w:sz w:val="20"/>
                <w:szCs w:val="20"/>
              </w:rPr>
              <w:t>impact</w:t>
            </w:r>
            <w:r w:rsidRPr="0088364D">
              <w:rPr>
                <w:spacing w:val="8"/>
                <w:sz w:val="20"/>
                <w:szCs w:val="20"/>
              </w:rPr>
              <w:t xml:space="preserve"> </w:t>
            </w:r>
            <w:r w:rsidRPr="0088364D">
              <w:rPr>
                <w:sz w:val="20"/>
                <w:szCs w:val="20"/>
              </w:rPr>
              <w:t>on</w:t>
            </w:r>
            <w:r w:rsidRPr="0088364D">
              <w:rPr>
                <w:spacing w:val="8"/>
                <w:sz w:val="20"/>
                <w:szCs w:val="20"/>
              </w:rPr>
              <w:t xml:space="preserve"> </w:t>
            </w:r>
            <w:r w:rsidRPr="0088364D">
              <w:rPr>
                <w:sz w:val="20"/>
                <w:szCs w:val="20"/>
              </w:rPr>
              <w:t xml:space="preserve">health, where this would improve health services (in respect of NHS England, see section 13N of the NHS Act 2006; and, in respect of </w:t>
            </w:r>
            <w:r w:rsidR="00B83042">
              <w:rPr>
                <w:sz w:val="20"/>
                <w:szCs w:val="20"/>
              </w:rPr>
              <w:t>CCG/ICBCCGs/ICBs</w:t>
            </w:r>
            <w:r w:rsidRPr="0088364D">
              <w:rPr>
                <w:sz w:val="20"/>
                <w:szCs w:val="20"/>
              </w:rPr>
              <w:t>, see section 14Z1 of the NHS Act 2006)</w:t>
            </w:r>
          </w:p>
          <w:p w14:paraId="5549656F" w14:textId="77777777" w:rsidR="00DB7F92" w:rsidRPr="0088364D" w:rsidRDefault="00DB7F92" w:rsidP="00884224">
            <w:pPr>
              <w:keepNext/>
              <w:keepLines/>
              <w:tabs>
                <w:tab w:val="num" w:pos="5761"/>
              </w:tabs>
              <w:spacing w:before="173"/>
              <w:ind w:left="13"/>
              <w:jc w:val="both"/>
              <w:outlineLvl w:val="6"/>
              <w:rPr>
                <w:rFonts w:eastAsiaTheme="majorEastAsia" w:cs="Arial"/>
                <w:b/>
                <w:i/>
                <w:iCs/>
                <w:color w:val="404040" w:themeColor="text1" w:themeTint="BF"/>
                <w:spacing w:val="-1"/>
                <w:sz w:val="20"/>
                <w:szCs w:val="20"/>
              </w:rPr>
            </w:pPr>
            <w:r w:rsidRPr="0088364D">
              <w:rPr>
                <w:rFonts w:eastAsiaTheme="majorEastAsia" w:cs="Arial"/>
                <w:b/>
                <w:i/>
                <w:iCs/>
                <w:color w:val="404040" w:themeColor="text1" w:themeTint="BF"/>
                <w:spacing w:val="-1"/>
                <w:sz w:val="20"/>
                <w:szCs w:val="20"/>
              </w:rPr>
              <w:t>The "Promote Duties"</w:t>
            </w:r>
          </w:p>
          <w:p w14:paraId="055BCA1B" w14:textId="77777777" w:rsidR="00970B92" w:rsidRPr="0088364D" w:rsidRDefault="00970B92" w:rsidP="00970B92">
            <w:pPr>
              <w:keepNext/>
              <w:keepLines/>
              <w:spacing w:before="186"/>
              <w:jc w:val="both"/>
              <w:outlineLvl w:val="6"/>
              <w:rPr>
                <w:rFonts w:eastAsiaTheme="majorEastAsia" w:cs="Arial"/>
                <w:b/>
                <w:bCs w:val="0"/>
                <w:i/>
                <w:iCs/>
                <w:color w:val="404040" w:themeColor="text1" w:themeTint="BF"/>
                <w:sz w:val="20"/>
                <w:szCs w:val="20"/>
              </w:rPr>
            </w:pPr>
          </w:p>
          <w:p w14:paraId="7BC5413E" w14:textId="77777777" w:rsidR="00DB7F92" w:rsidRPr="0088364D" w:rsidRDefault="00DB7F92" w:rsidP="00970B92">
            <w:pPr>
              <w:pStyle w:val="Heading3"/>
              <w:rPr>
                <w:sz w:val="20"/>
                <w:szCs w:val="20"/>
                <w:lang w:eastAsia="en-GB"/>
              </w:rPr>
            </w:pPr>
            <w:r w:rsidRPr="0088364D">
              <w:rPr>
                <w:sz w:val="20"/>
                <w:szCs w:val="20"/>
                <w:lang w:eastAsia="en-GB"/>
              </w:rPr>
              <w:t>The</w:t>
            </w:r>
            <w:r w:rsidRPr="0088364D">
              <w:rPr>
                <w:spacing w:val="-6"/>
                <w:sz w:val="20"/>
                <w:szCs w:val="20"/>
                <w:lang w:eastAsia="en-GB"/>
              </w:rPr>
              <w:t xml:space="preserve"> </w:t>
            </w:r>
            <w:r w:rsidRPr="0088364D">
              <w:rPr>
                <w:sz w:val="20"/>
                <w:szCs w:val="20"/>
                <w:lang w:eastAsia="en-GB"/>
              </w:rPr>
              <w:t>"Promote</w:t>
            </w:r>
            <w:r w:rsidRPr="0088364D">
              <w:rPr>
                <w:spacing w:val="-6"/>
                <w:sz w:val="20"/>
                <w:szCs w:val="20"/>
                <w:lang w:eastAsia="en-GB"/>
              </w:rPr>
              <w:t xml:space="preserve"> </w:t>
            </w:r>
            <w:r w:rsidRPr="0088364D">
              <w:rPr>
                <w:sz w:val="20"/>
                <w:szCs w:val="20"/>
                <w:lang w:eastAsia="en-GB"/>
              </w:rPr>
              <w:t>Duties"</w:t>
            </w:r>
            <w:r w:rsidRPr="0088364D">
              <w:rPr>
                <w:spacing w:val="-23"/>
                <w:sz w:val="20"/>
                <w:szCs w:val="20"/>
                <w:lang w:eastAsia="en-GB"/>
              </w:rPr>
              <w:t xml:space="preserve"> </w:t>
            </w:r>
            <w:r w:rsidRPr="0088364D">
              <w:rPr>
                <w:sz w:val="20"/>
                <w:szCs w:val="20"/>
                <w:lang w:eastAsia="en-GB"/>
              </w:rPr>
              <w:t>are:</w:t>
            </w:r>
          </w:p>
          <w:p w14:paraId="5964D345" w14:textId="2E917A86" w:rsidR="00DB7F92" w:rsidRPr="0088364D" w:rsidRDefault="00DB7F92" w:rsidP="00970B92">
            <w:pPr>
              <w:pStyle w:val="Heading4"/>
              <w:rPr>
                <w:sz w:val="20"/>
                <w:szCs w:val="20"/>
              </w:rPr>
            </w:pPr>
            <w:r w:rsidRPr="0088364D">
              <w:rPr>
                <w:sz w:val="20"/>
                <w:szCs w:val="20"/>
              </w:rPr>
              <w:t>the</w:t>
            </w:r>
            <w:r w:rsidRPr="0088364D">
              <w:rPr>
                <w:spacing w:val="13"/>
                <w:sz w:val="20"/>
                <w:szCs w:val="20"/>
              </w:rPr>
              <w:t xml:space="preserve"> </w:t>
            </w:r>
            <w:r w:rsidRPr="0088364D">
              <w:rPr>
                <w:sz w:val="20"/>
                <w:szCs w:val="20"/>
              </w:rPr>
              <w:t>duty</w:t>
            </w:r>
            <w:r w:rsidRPr="0088364D">
              <w:rPr>
                <w:spacing w:val="15"/>
                <w:sz w:val="20"/>
                <w:szCs w:val="20"/>
              </w:rPr>
              <w:t xml:space="preserve"> </w:t>
            </w:r>
            <w:r w:rsidRPr="0088364D">
              <w:rPr>
                <w:sz w:val="20"/>
                <w:szCs w:val="20"/>
              </w:rPr>
              <w:t>to</w:t>
            </w:r>
            <w:r w:rsidRPr="0088364D">
              <w:rPr>
                <w:spacing w:val="13"/>
                <w:sz w:val="20"/>
                <w:szCs w:val="20"/>
              </w:rPr>
              <w:t xml:space="preserve"> </w:t>
            </w:r>
            <w:r w:rsidRPr="0088364D">
              <w:rPr>
                <w:sz w:val="20"/>
                <w:szCs w:val="20"/>
              </w:rPr>
              <w:t>promote</w:t>
            </w:r>
            <w:r w:rsidRPr="0088364D">
              <w:rPr>
                <w:spacing w:val="16"/>
                <w:sz w:val="20"/>
                <w:szCs w:val="20"/>
              </w:rPr>
              <w:t xml:space="preserve"> </w:t>
            </w:r>
            <w:r w:rsidRPr="0088364D">
              <w:rPr>
                <w:sz w:val="20"/>
                <w:szCs w:val="20"/>
              </w:rPr>
              <w:t>awareness</w:t>
            </w:r>
            <w:r w:rsidRPr="0088364D">
              <w:rPr>
                <w:spacing w:val="80"/>
                <w:sz w:val="20"/>
                <w:szCs w:val="20"/>
              </w:rPr>
              <w:t xml:space="preserve"> </w:t>
            </w:r>
            <w:r w:rsidRPr="0088364D">
              <w:rPr>
                <w:spacing w:val="-2"/>
                <w:sz w:val="20"/>
                <w:szCs w:val="20"/>
              </w:rPr>
              <w:t>of</w:t>
            </w:r>
            <w:r w:rsidRPr="0088364D">
              <w:rPr>
                <w:spacing w:val="81"/>
                <w:sz w:val="20"/>
                <w:szCs w:val="20"/>
              </w:rPr>
              <w:t xml:space="preserve"> </w:t>
            </w:r>
            <w:r w:rsidRPr="0088364D">
              <w:rPr>
                <w:sz w:val="20"/>
                <w:szCs w:val="20"/>
              </w:rPr>
              <w:t>the</w:t>
            </w:r>
            <w:r w:rsidRPr="0088364D">
              <w:rPr>
                <w:spacing w:val="79"/>
                <w:sz w:val="20"/>
                <w:szCs w:val="20"/>
              </w:rPr>
              <w:t xml:space="preserve"> </w:t>
            </w:r>
            <w:r w:rsidRPr="0088364D">
              <w:rPr>
                <w:sz w:val="20"/>
                <w:szCs w:val="20"/>
              </w:rPr>
              <w:t>NHS</w:t>
            </w:r>
            <w:r w:rsidRPr="0088364D">
              <w:rPr>
                <w:spacing w:val="79"/>
                <w:sz w:val="20"/>
                <w:szCs w:val="20"/>
              </w:rPr>
              <w:t xml:space="preserve"> </w:t>
            </w:r>
            <w:r w:rsidRPr="0088364D">
              <w:rPr>
                <w:sz w:val="20"/>
                <w:szCs w:val="20"/>
              </w:rPr>
              <w:t>Constitution</w:t>
            </w:r>
            <w:r w:rsidRPr="0088364D">
              <w:rPr>
                <w:spacing w:val="29"/>
                <w:sz w:val="20"/>
                <w:szCs w:val="20"/>
              </w:rPr>
              <w:t xml:space="preserve"> </w:t>
            </w:r>
            <w:r w:rsidRPr="0088364D">
              <w:rPr>
                <w:sz w:val="20"/>
                <w:szCs w:val="20"/>
              </w:rPr>
              <w:t>among</w:t>
            </w:r>
            <w:r w:rsidRPr="0088364D">
              <w:rPr>
                <w:spacing w:val="37"/>
                <w:sz w:val="20"/>
                <w:szCs w:val="20"/>
              </w:rPr>
              <w:t xml:space="preserve"> </w:t>
            </w:r>
            <w:r w:rsidRPr="0088364D">
              <w:rPr>
                <w:sz w:val="20"/>
                <w:szCs w:val="20"/>
              </w:rPr>
              <w:t>patients,</w:t>
            </w:r>
            <w:r w:rsidRPr="0088364D">
              <w:rPr>
                <w:spacing w:val="38"/>
                <w:sz w:val="20"/>
                <w:szCs w:val="20"/>
              </w:rPr>
              <w:t xml:space="preserve"> </w:t>
            </w:r>
            <w:r w:rsidRPr="0088364D">
              <w:rPr>
                <w:sz w:val="20"/>
                <w:szCs w:val="20"/>
              </w:rPr>
              <w:t>staff</w:t>
            </w:r>
            <w:r w:rsidRPr="0088364D">
              <w:rPr>
                <w:spacing w:val="35"/>
                <w:sz w:val="20"/>
                <w:szCs w:val="20"/>
              </w:rPr>
              <w:t xml:space="preserve"> </w:t>
            </w:r>
            <w:r w:rsidRPr="0088364D">
              <w:rPr>
                <w:sz w:val="20"/>
                <w:szCs w:val="20"/>
              </w:rPr>
              <w:t>and</w:t>
            </w:r>
            <w:r w:rsidRPr="0088364D">
              <w:rPr>
                <w:spacing w:val="37"/>
                <w:sz w:val="20"/>
                <w:szCs w:val="20"/>
              </w:rPr>
              <w:t xml:space="preserve"> </w:t>
            </w:r>
            <w:r w:rsidRPr="0088364D">
              <w:rPr>
                <w:sz w:val="20"/>
                <w:szCs w:val="20"/>
              </w:rPr>
              <w:t>members</w:t>
            </w:r>
            <w:r w:rsidRPr="0088364D">
              <w:rPr>
                <w:spacing w:val="40"/>
                <w:sz w:val="20"/>
                <w:szCs w:val="20"/>
              </w:rPr>
              <w:t xml:space="preserve"> </w:t>
            </w:r>
            <w:r w:rsidRPr="0088364D">
              <w:rPr>
                <w:sz w:val="20"/>
                <w:szCs w:val="20"/>
              </w:rPr>
              <w:t>of</w:t>
            </w:r>
            <w:r w:rsidRPr="0088364D">
              <w:rPr>
                <w:spacing w:val="37"/>
                <w:sz w:val="20"/>
                <w:szCs w:val="20"/>
              </w:rPr>
              <w:t xml:space="preserve"> </w:t>
            </w:r>
            <w:r w:rsidRPr="0088364D">
              <w:rPr>
                <w:sz w:val="20"/>
                <w:szCs w:val="20"/>
              </w:rPr>
              <w:t>the</w:t>
            </w:r>
            <w:r w:rsidRPr="0088364D">
              <w:rPr>
                <w:spacing w:val="40"/>
                <w:sz w:val="20"/>
                <w:szCs w:val="20"/>
              </w:rPr>
              <w:t xml:space="preserve"> </w:t>
            </w:r>
            <w:r w:rsidRPr="0088364D">
              <w:rPr>
                <w:sz w:val="20"/>
                <w:szCs w:val="20"/>
              </w:rPr>
              <w:t>public</w:t>
            </w:r>
            <w:r w:rsidRPr="0088364D">
              <w:rPr>
                <w:spacing w:val="37"/>
                <w:sz w:val="20"/>
                <w:szCs w:val="20"/>
              </w:rPr>
              <w:t xml:space="preserve"> </w:t>
            </w:r>
            <w:r w:rsidRPr="0088364D">
              <w:rPr>
                <w:sz w:val="20"/>
                <w:szCs w:val="20"/>
              </w:rPr>
              <w:t>(in respect of NHS England, see</w:t>
            </w:r>
            <w:r w:rsidRPr="0088364D">
              <w:rPr>
                <w:spacing w:val="38"/>
                <w:sz w:val="20"/>
                <w:szCs w:val="20"/>
              </w:rPr>
              <w:t xml:space="preserve"> </w:t>
            </w:r>
            <w:r w:rsidRPr="0088364D">
              <w:rPr>
                <w:sz w:val="20"/>
                <w:szCs w:val="20"/>
              </w:rPr>
              <w:t>section</w:t>
            </w:r>
            <w:r w:rsidRPr="0088364D">
              <w:rPr>
                <w:spacing w:val="47"/>
                <w:sz w:val="20"/>
                <w:szCs w:val="20"/>
              </w:rPr>
              <w:t xml:space="preserve"> </w:t>
            </w:r>
            <w:r w:rsidRPr="0088364D">
              <w:rPr>
                <w:sz w:val="20"/>
                <w:szCs w:val="20"/>
              </w:rPr>
              <w:t>13C(1)(b)</w:t>
            </w:r>
            <w:r w:rsidRPr="0088364D">
              <w:rPr>
                <w:spacing w:val="-6"/>
                <w:sz w:val="20"/>
                <w:szCs w:val="20"/>
              </w:rPr>
              <w:t xml:space="preserve"> </w:t>
            </w:r>
            <w:r w:rsidRPr="0088364D">
              <w:rPr>
                <w:sz w:val="20"/>
                <w:szCs w:val="20"/>
              </w:rPr>
              <w:t>of</w:t>
            </w:r>
            <w:r w:rsidRPr="0088364D">
              <w:rPr>
                <w:spacing w:val="-7"/>
                <w:sz w:val="20"/>
                <w:szCs w:val="20"/>
              </w:rPr>
              <w:t xml:space="preserve"> </w:t>
            </w:r>
            <w:r w:rsidRPr="0088364D">
              <w:rPr>
                <w:sz w:val="20"/>
                <w:szCs w:val="20"/>
              </w:rPr>
              <w:t>the</w:t>
            </w:r>
            <w:r w:rsidRPr="0088364D">
              <w:rPr>
                <w:spacing w:val="-5"/>
                <w:sz w:val="20"/>
                <w:szCs w:val="20"/>
              </w:rPr>
              <w:t xml:space="preserve"> </w:t>
            </w:r>
            <w:r w:rsidRPr="0088364D">
              <w:rPr>
                <w:sz w:val="20"/>
                <w:szCs w:val="20"/>
              </w:rPr>
              <w:t>NHS</w:t>
            </w:r>
            <w:r w:rsidRPr="0088364D">
              <w:rPr>
                <w:spacing w:val="-6"/>
                <w:sz w:val="20"/>
                <w:szCs w:val="20"/>
              </w:rPr>
              <w:t xml:space="preserve"> </w:t>
            </w:r>
            <w:r w:rsidRPr="0088364D">
              <w:rPr>
                <w:sz w:val="20"/>
                <w:szCs w:val="20"/>
              </w:rPr>
              <w:t>Act</w:t>
            </w:r>
            <w:r w:rsidRPr="0088364D">
              <w:rPr>
                <w:spacing w:val="-5"/>
                <w:sz w:val="20"/>
                <w:szCs w:val="20"/>
              </w:rPr>
              <w:t xml:space="preserve"> </w:t>
            </w:r>
            <w:r w:rsidRPr="0088364D">
              <w:rPr>
                <w:sz w:val="20"/>
                <w:szCs w:val="20"/>
              </w:rPr>
              <w:t xml:space="preserve">2006; and, in respect of </w:t>
            </w:r>
            <w:r w:rsidR="00B83042">
              <w:rPr>
                <w:sz w:val="20"/>
                <w:szCs w:val="20"/>
              </w:rPr>
              <w:t>CCG/ICBCCGs/ICBs</w:t>
            </w:r>
            <w:r w:rsidRPr="0088364D">
              <w:rPr>
                <w:sz w:val="20"/>
                <w:szCs w:val="20"/>
              </w:rPr>
              <w:t>, see section 14P(1)(b) of the NHS Act 2006)</w:t>
            </w:r>
          </w:p>
          <w:p w14:paraId="0C09DFB4" w14:textId="2CDDCDDE" w:rsidR="00DB7F92" w:rsidRPr="0088364D" w:rsidRDefault="00DB7F92" w:rsidP="00970B92">
            <w:pPr>
              <w:pStyle w:val="Heading4"/>
              <w:rPr>
                <w:sz w:val="20"/>
                <w:szCs w:val="20"/>
              </w:rPr>
            </w:pPr>
            <w:r w:rsidRPr="0088364D">
              <w:rPr>
                <w:sz w:val="20"/>
                <w:szCs w:val="20"/>
              </w:rPr>
              <w:t>the</w:t>
            </w:r>
            <w:r w:rsidRPr="0088364D">
              <w:rPr>
                <w:spacing w:val="-2"/>
                <w:sz w:val="20"/>
                <w:szCs w:val="20"/>
              </w:rPr>
              <w:t xml:space="preserve"> </w:t>
            </w:r>
            <w:r w:rsidRPr="0088364D">
              <w:rPr>
                <w:sz w:val="20"/>
                <w:szCs w:val="20"/>
              </w:rPr>
              <w:t>duty to</w:t>
            </w:r>
            <w:r w:rsidRPr="0088364D">
              <w:rPr>
                <w:spacing w:val="2"/>
                <w:sz w:val="20"/>
                <w:szCs w:val="20"/>
              </w:rPr>
              <w:t xml:space="preserve"> </w:t>
            </w:r>
            <w:r w:rsidRPr="0088364D">
              <w:rPr>
                <w:sz w:val="20"/>
                <w:szCs w:val="20"/>
              </w:rPr>
              <w:t>promote</w:t>
            </w:r>
            <w:r w:rsidRPr="0088364D">
              <w:rPr>
                <w:spacing w:val="-2"/>
                <w:sz w:val="20"/>
                <w:szCs w:val="20"/>
              </w:rPr>
              <w:t xml:space="preserve"> </w:t>
            </w:r>
            <w:r w:rsidRPr="0088364D">
              <w:rPr>
                <w:sz w:val="20"/>
                <w:szCs w:val="20"/>
              </w:rPr>
              <w:t>the involvement</w:t>
            </w:r>
            <w:r w:rsidRPr="0088364D">
              <w:rPr>
                <w:spacing w:val="-2"/>
                <w:sz w:val="20"/>
                <w:szCs w:val="20"/>
              </w:rPr>
              <w:t xml:space="preserve"> </w:t>
            </w:r>
            <w:r w:rsidRPr="0088364D">
              <w:rPr>
                <w:sz w:val="20"/>
                <w:szCs w:val="20"/>
              </w:rPr>
              <w:t>of patients and carers in</w:t>
            </w:r>
            <w:r w:rsidRPr="0088364D">
              <w:rPr>
                <w:spacing w:val="47"/>
                <w:sz w:val="20"/>
                <w:szCs w:val="20"/>
              </w:rPr>
              <w:t xml:space="preserve"> </w:t>
            </w:r>
            <w:r w:rsidRPr="0088364D">
              <w:rPr>
                <w:sz w:val="20"/>
                <w:szCs w:val="20"/>
              </w:rPr>
              <w:t>decisions</w:t>
            </w:r>
            <w:r w:rsidRPr="0088364D">
              <w:rPr>
                <w:spacing w:val="31"/>
                <w:sz w:val="20"/>
                <w:szCs w:val="20"/>
              </w:rPr>
              <w:t xml:space="preserve"> </w:t>
            </w:r>
            <w:r w:rsidRPr="0088364D">
              <w:rPr>
                <w:sz w:val="20"/>
                <w:szCs w:val="20"/>
              </w:rPr>
              <w:t>about</w:t>
            </w:r>
            <w:r w:rsidRPr="0088364D">
              <w:rPr>
                <w:spacing w:val="32"/>
                <w:sz w:val="20"/>
                <w:szCs w:val="20"/>
              </w:rPr>
              <w:t xml:space="preserve"> </w:t>
            </w:r>
            <w:r w:rsidRPr="0088364D">
              <w:rPr>
                <w:sz w:val="20"/>
                <w:szCs w:val="20"/>
              </w:rPr>
              <w:t>their</w:t>
            </w:r>
            <w:r w:rsidRPr="0088364D">
              <w:rPr>
                <w:spacing w:val="31"/>
                <w:sz w:val="20"/>
                <w:szCs w:val="20"/>
              </w:rPr>
              <w:t xml:space="preserve"> </w:t>
            </w:r>
            <w:r w:rsidRPr="0088364D">
              <w:rPr>
                <w:sz w:val="20"/>
                <w:szCs w:val="20"/>
              </w:rPr>
              <w:t>own</w:t>
            </w:r>
            <w:r w:rsidRPr="0088364D">
              <w:rPr>
                <w:spacing w:val="33"/>
                <w:sz w:val="20"/>
                <w:szCs w:val="20"/>
              </w:rPr>
              <w:t xml:space="preserve"> </w:t>
            </w:r>
            <w:r w:rsidRPr="0088364D">
              <w:rPr>
                <w:sz w:val="20"/>
                <w:szCs w:val="20"/>
              </w:rPr>
              <w:t>care</w:t>
            </w:r>
            <w:r w:rsidRPr="0088364D">
              <w:rPr>
                <w:spacing w:val="17"/>
                <w:sz w:val="20"/>
                <w:szCs w:val="20"/>
              </w:rPr>
              <w:t xml:space="preserve"> </w:t>
            </w:r>
            <w:r w:rsidRPr="0088364D">
              <w:rPr>
                <w:sz w:val="20"/>
                <w:szCs w:val="20"/>
              </w:rPr>
              <w:t>(in respect of NHS England, see</w:t>
            </w:r>
            <w:r w:rsidRPr="0088364D">
              <w:rPr>
                <w:spacing w:val="34"/>
                <w:sz w:val="20"/>
                <w:szCs w:val="20"/>
              </w:rPr>
              <w:t xml:space="preserve"> </w:t>
            </w:r>
            <w:r w:rsidRPr="0088364D">
              <w:rPr>
                <w:sz w:val="20"/>
                <w:szCs w:val="20"/>
              </w:rPr>
              <w:t>section</w:t>
            </w:r>
            <w:r w:rsidRPr="0088364D">
              <w:rPr>
                <w:spacing w:val="34"/>
                <w:sz w:val="20"/>
                <w:szCs w:val="20"/>
              </w:rPr>
              <w:t xml:space="preserve"> </w:t>
            </w:r>
            <w:r w:rsidRPr="0088364D">
              <w:rPr>
                <w:sz w:val="20"/>
                <w:szCs w:val="20"/>
              </w:rPr>
              <w:t>13H</w:t>
            </w:r>
            <w:r w:rsidRPr="0088364D">
              <w:rPr>
                <w:spacing w:val="34"/>
                <w:sz w:val="20"/>
                <w:szCs w:val="20"/>
              </w:rPr>
              <w:t xml:space="preserve"> </w:t>
            </w:r>
            <w:r w:rsidRPr="0088364D">
              <w:rPr>
                <w:sz w:val="20"/>
                <w:szCs w:val="20"/>
              </w:rPr>
              <w:t>of</w:t>
            </w:r>
            <w:r w:rsidRPr="0088364D">
              <w:rPr>
                <w:spacing w:val="34"/>
                <w:sz w:val="20"/>
                <w:szCs w:val="20"/>
              </w:rPr>
              <w:t xml:space="preserve"> </w:t>
            </w:r>
            <w:r w:rsidRPr="0088364D">
              <w:rPr>
                <w:sz w:val="20"/>
                <w:szCs w:val="20"/>
              </w:rPr>
              <w:t>the</w:t>
            </w:r>
            <w:r w:rsidRPr="0088364D">
              <w:rPr>
                <w:spacing w:val="33"/>
                <w:sz w:val="20"/>
                <w:szCs w:val="20"/>
              </w:rPr>
              <w:t xml:space="preserve"> </w:t>
            </w:r>
            <w:r w:rsidRPr="0088364D">
              <w:rPr>
                <w:sz w:val="20"/>
                <w:szCs w:val="20"/>
              </w:rPr>
              <w:t>NHS</w:t>
            </w:r>
            <w:r w:rsidRPr="0088364D">
              <w:rPr>
                <w:spacing w:val="61"/>
                <w:sz w:val="20"/>
                <w:szCs w:val="20"/>
              </w:rPr>
              <w:t xml:space="preserve"> </w:t>
            </w:r>
            <w:r w:rsidRPr="0088364D">
              <w:rPr>
                <w:sz w:val="20"/>
                <w:szCs w:val="20"/>
              </w:rPr>
              <w:t>Act</w:t>
            </w:r>
            <w:r w:rsidRPr="0088364D">
              <w:rPr>
                <w:spacing w:val="-9"/>
                <w:sz w:val="20"/>
                <w:szCs w:val="20"/>
              </w:rPr>
              <w:t xml:space="preserve"> </w:t>
            </w:r>
            <w:r w:rsidRPr="0088364D">
              <w:rPr>
                <w:sz w:val="20"/>
                <w:szCs w:val="20"/>
              </w:rPr>
              <w:t xml:space="preserve">2006; and, in respect of </w:t>
            </w:r>
            <w:r w:rsidR="00B83042">
              <w:rPr>
                <w:sz w:val="20"/>
                <w:szCs w:val="20"/>
              </w:rPr>
              <w:t>CCG/ICB</w:t>
            </w:r>
            <w:r w:rsidRPr="0088364D">
              <w:rPr>
                <w:sz w:val="20"/>
                <w:szCs w:val="20"/>
              </w:rPr>
              <w:t>, see section 14U of the NHS Act 2006)</w:t>
            </w:r>
          </w:p>
          <w:p w14:paraId="71D7A380" w14:textId="0FD3748C" w:rsidR="00DB7F92" w:rsidRPr="0088364D" w:rsidRDefault="00DB7F92" w:rsidP="00970B92">
            <w:pPr>
              <w:pStyle w:val="Heading4"/>
              <w:rPr>
                <w:sz w:val="20"/>
                <w:szCs w:val="20"/>
              </w:rPr>
            </w:pPr>
            <w:r w:rsidRPr="0088364D">
              <w:rPr>
                <w:sz w:val="20"/>
                <w:szCs w:val="20"/>
              </w:rPr>
              <w:t>the</w:t>
            </w:r>
            <w:r w:rsidRPr="0088364D">
              <w:rPr>
                <w:spacing w:val="13"/>
                <w:sz w:val="20"/>
                <w:szCs w:val="20"/>
              </w:rPr>
              <w:t xml:space="preserve"> </w:t>
            </w:r>
            <w:r w:rsidRPr="0088364D">
              <w:rPr>
                <w:sz w:val="20"/>
                <w:szCs w:val="20"/>
              </w:rPr>
              <w:t>duty</w:t>
            </w:r>
            <w:r w:rsidRPr="0088364D">
              <w:rPr>
                <w:spacing w:val="14"/>
                <w:sz w:val="20"/>
                <w:szCs w:val="20"/>
              </w:rPr>
              <w:t xml:space="preserve"> </w:t>
            </w:r>
            <w:r w:rsidRPr="0088364D">
              <w:rPr>
                <w:sz w:val="20"/>
                <w:szCs w:val="20"/>
              </w:rPr>
              <w:t>to</w:t>
            </w:r>
            <w:r w:rsidRPr="0088364D">
              <w:rPr>
                <w:spacing w:val="16"/>
                <w:sz w:val="20"/>
                <w:szCs w:val="20"/>
              </w:rPr>
              <w:t xml:space="preserve"> </w:t>
            </w:r>
            <w:r w:rsidRPr="0088364D">
              <w:rPr>
                <w:sz w:val="20"/>
                <w:szCs w:val="20"/>
              </w:rPr>
              <w:t>promote</w:t>
            </w:r>
            <w:r w:rsidRPr="0088364D">
              <w:rPr>
                <w:spacing w:val="15"/>
                <w:sz w:val="20"/>
                <w:szCs w:val="20"/>
              </w:rPr>
              <w:t xml:space="preserve"> </w:t>
            </w:r>
            <w:r w:rsidRPr="0088364D">
              <w:rPr>
                <w:sz w:val="20"/>
                <w:szCs w:val="20"/>
              </w:rPr>
              <w:t>innovation</w:t>
            </w:r>
            <w:r w:rsidRPr="0088364D">
              <w:rPr>
                <w:spacing w:val="62"/>
                <w:sz w:val="20"/>
                <w:szCs w:val="20"/>
              </w:rPr>
              <w:t xml:space="preserve"> </w:t>
            </w:r>
            <w:r w:rsidRPr="0088364D">
              <w:rPr>
                <w:sz w:val="20"/>
                <w:szCs w:val="20"/>
              </w:rPr>
              <w:t>in</w:t>
            </w:r>
            <w:r w:rsidRPr="0088364D">
              <w:rPr>
                <w:spacing w:val="15"/>
                <w:sz w:val="20"/>
                <w:szCs w:val="20"/>
              </w:rPr>
              <w:t xml:space="preserve"> </w:t>
            </w:r>
            <w:r w:rsidRPr="0088364D">
              <w:rPr>
                <w:sz w:val="20"/>
                <w:szCs w:val="20"/>
              </w:rPr>
              <w:t>the</w:t>
            </w:r>
            <w:r w:rsidRPr="0088364D">
              <w:rPr>
                <w:spacing w:val="13"/>
                <w:sz w:val="20"/>
                <w:szCs w:val="20"/>
              </w:rPr>
              <w:t xml:space="preserve"> </w:t>
            </w:r>
            <w:r w:rsidRPr="0088364D">
              <w:rPr>
                <w:sz w:val="20"/>
                <w:szCs w:val="20"/>
              </w:rPr>
              <w:t>health</w:t>
            </w:r>
            <w:r w:rsidRPr="0088364D">
              <w:rPr>
                <w:spacing w:val="15"/>
                <w:sz w:val="20"/>
                <w:szCs w:val="20"/>
              </w:rPr>
              <w:t xml:space="preserve"> </w:t>
            </w:r>
            <w:r w:rsidRPr="0088364D">
              <w:rPr>
                <w:sz w:val="20"/>
                <w:szCs w:val="20"/>
              </w:rPr>
              <w:t>service</w:t>
            </w:r>
            <w:r w:rsidRPr="0088364D">
              <w:rPr>
                <w:spacing w:val="15"/>
                <w:sz w:val="20"/>
                <w:szCs w:val="20"/>
              </w:rPr>
              <w:t xml:space="preserve"> </w:t>
            </w:r>
            <w:r w:rsidRPr="0088364D">
              <w:rPr>
                <w:sz w:val="20"/>
                <w:szCs w:val="20"/>
              </w:rPr>
              <w:t>(in respect of NHS England, see</w:t>
            </w:r>
            <w:r w:rsidRPr="0088364D">
              <w:rPr>
                <w:spacing w:val="58"/>
                <w:w w:val="99"/>
                <w:sz w:val="20"/>
                <w:szCs w:val="20"/>
              </w:rPr>
              <w:t xml:space="preserve"> </w:t>
            </w:r>
            <w:r w:rsidRPr="0088364D">
              <w:rPr>
                <w:sz w:val="20"/>
                <w:szCs w:val="20"/>
              </w:rPr>
              <w:t>section</w:t>
            </w:r>
            <w:r w:rsidRPr="0088364D">
              <w:rPr>
                <w:spacing w:val="-5"/>
                <w:sz w:val="20"/>
                <w:szCs w:val="20"/>
              </w:rPr>
              <w:t xml:space="preserve"> </w:t>
            </w:r>
            <w:r w:rsidRPr="0088364D">
              <w:rPr>
                <w:sz w:val="20"/>
                <w:szCs w:val="20"/>
              </w:rPr>
              <w:t>13K</w:t>
            </w:r>
            <w:r w:rsidRPr="0088364D">
              <w:rPr>
                <w:spacing w:val="-5"/>
                <w:sz w:val="20"/>
                <w:szCs w:val="20"/>
              </w:rPr>
              <w:t xml:space="preserve"> </w:t>
            </w:r>
            <w:r w:rsidRPr="0088364D">
              <w:rPr>
                <w:sz w:val="20"/>
                <w:szCs w:val="20"/>
              </w:rPr>
              <w:t>of</w:t>
            </w:r>
            <w:r w:rsidRPr="0088364D">
              <w:rPr>
                <w:spacing w:val="-5"/>
                <w:sz w:val="20"/>
                <w:szCs w:val="20"/>
              </w:rPr>
              <w:t xml:space="preserve"> </w:t>
            </w:r>
            <w:r w:rsidRPr="0088364D">
              <w:rPr>
                <w:sz w:val="20"/>
                <w:szCs w:val="20"/>
              </w:rPr>
              <w:t>the</w:t>
            </w:r>
            <w:r w:rsidRPr="0088364D">
              <w:rPr>
                <w:spacing w:val="-3"/>
                <w:sz w:val="20"/>
                <w:szCs w:val="20"/>
              </w:rPr>
              <w:t xml:space="preserve"> </w:t>
            </w:r>
            <w:r w:rsidRPr="0088364D">
              <w:rPr>
                <w:sz w:val="20"/>
                <w:szCs w:val="20"/>
              </w:rPr>
              <w:t>NHS Act</w:t>
            </w:r>
            <w:r w:rsidRPr="0088364D">
              <w:rPr>
                <w:spacing w:val="-4"/>
                <w:sz w:val="20"/>
                <w:szCs w:val="20"/>
              </w:rPr>
              <w:t xml:space="preserve"> </w:t>
            </w:r>
            <w:r w:rsidRPr="0088364D">
              <w:rPr>
                <w:sz w:val="20"/>
                <w:szCs w:val="20"/>
              </w:rPr>
              <w:t xml:space="preserve">2006; and, in respect of </w:t>
            </w:r>
            <w:r w:rsidR="00B83042">
              <w:rPr>
                <w:sz w:val="20"/>
                <w:szCs w:val="20"/>
              </w:rPr>
              <w:t>CCG/ICBCCGs/ICBs</w:t>
            </w:r>
            <w:r w:rsidRPr="0088364D">
              <w:rPr>
                <w:sz w:val="20"/>
                <w:szCs w:val="20"/>
              </w:rPr>
              <w:t>, see section 14X of the NHS Act 2006)</w:t>
            </w:r>
          </w:p>
          <w:p w14:paraId="78A85EA8" w14:textId="6E119780" w:rsidR="00DB7F92" w:rsidRPr="0088364D" w:rsidRDefault="00DB7F92" w:rsidP="00970B92">
            <w:pPr>
              <w:pStyle w:val="Heading4"/>
              <w:rPr>
                <w:sz w:val="20"/>
                <w:szCs w:val="20"/>
              </w:rPr>
            </w:pPr>
            <w:r w:rsidRPr="0088364D">
              <w:rPr>
                <w:sz w:val="20"/>
                <w:szCs w:val="20"/>
              </w:rPr>
              <w:t>the</w:t>
            </w:r>
            <w:r w:rsidRPr="0088364D">
              <w:rPr>
                <w:spacing w:val="54"/>
                <w:sz w:val="20"/>
                <w:szCs w:val="20"/>
              </w:rPr>
              <w:t xml:space="preserve"> </w:t>
            </w:r>
            <w:r w:rsidRPr="0088364D">
              <w:rPr>
                <w:sz w:val="20"/>
                <w:szCs w:val="20"/>
              </w:rPr>
              <w:t>duty</w:t>
            </w:r>
            <w:r w:rsidRPr="0088364D">
              <w:rPr>
                <w:spacing w:val="55"/>
                <w:sz w:val="20"/>
                <w:szCs w:val="20"/>
              </w:rPr>
              <w:t xml:space="preserve"> </w:t>
            </w:r>
            <w:r w:rsidRPr="0088364D">
              <w:rPr>
                <w:sz w:val="20"/>
                <w:szCs w:val="20"/>
              </w:rPr>
              <w:t>to</w:t>
            </w:r>
            <w:r w:rsidRPr="0088364D">
              <w:rPr>
                <w:spacing w:val="56"/>
                <w:sz w:val="20"/>
                <w:szCs w:val="20"/>
              </w:rPr>
              <w:t xml:space="preserve"> </w:t>
            </w:r>
            <w:r w:rsidRPr="0088364D">
              <w:rPr>
                <w:sz w:val="20"/>
                <w:szCs w:val="20"/>
              </w:rPr>
              <w:t>promote</w:t>
            </w:r>
            <w:r w:rsidRPr="0088364D">
              <w:rPr>
                <w:spacing w:val="56"/>
                <w:sz w:val="20"/>
                <w:szCs w:val="20"/>
              </w:rPr>
              <w:t xml:space="preserve"> </w:t>
            </w:r>
            <w:r w:rsidRPr="0088364D">
              <w:rPr>
                <w:sz w:val="20"/>
                <w:szCs w:val="20"/>
              </w:rPr>
              <w:t>research</w:t>
            </w:r>
            <w:r w:rsidRPr="0088364D">
              <w:rPr>
                <w:spacing w:val="55"/>
                <w:sz w:val="20"/>
                <w:szCs w:val="20"/>
              </w:rPr>
              <w:t xml:space="preserve"> </w:t>
            </w:r>
            <w:r w:rsidRPr="0088364D">
              <w:rPr>
                <w:sz w:val="20"/>
                <w:szCs w:val="20"/>
              </w:rPr>
              <w:t>and</w:t>
            </w:r>
            <w:r w:rsidRPr="0088364D">
              <w:rPr>
                <w:spacing w:val="55"/>
                <w:sz w:val="20"/>
                <w:szCs w:val="20"/>
              </w:rPr>
              <w:t xml:space="preserve"> </w:t>
            </w:r>
            <w:r w:rsidRPr="0088364D">
              <w:rPr>
                <w:sz w:val="20"/>
                <w:szCs w:val="20"/>
              </w:rPr>
              <w:t>the</w:t>
            </w:r>
            <w:r w:rsidRPr="0088364D">
              <w:rPr>
                <w:spacing w:val="55"/>
                <w:sz w:val="20"/>
                <w:szCs w:val="20"/>
              </w:rPr>
              <w:t xml:space="preserve"> </w:t>
            </w:r>
            <w:r w:rsidRPr="0088364D">
              <w:rPr>
                <w:sz w:val="20"/>
                <w:szCs w:val="20"/>
              </w:rPr>
              <w:t>use</w:t>
            </w:r>
            <w:r w:rsidRPr="0088364D">
              <w:rPr>
                <w:spacing w:val="56"/>
                <w:sz w:val="20"/>
                <w:szCs w:val="20"/>
              </w:rPr>
              <w:t xml:space="preserve"> </w:t>
            </w:r>
            <w:r w:rsidRPr="0088364D">
              <w:rPr>
                <w:sz w:val="20"/>
                <w:szCs w:val="20"/>
              </w:rPr>
              <w:t>of</w:t>
            </w:r>
            <w:r w:rsidRPr="0088364D">
              <w:rPr>
                <w:spacing w:val="56"/>
                <w:sz w:val="20"/>
                <w:szCs w:val="20"/>
              </w:rPr>
              <w:t xml:space="preserve"> </w:t>
            </w:r>
            <w:r w:rsidRPr="0088364D">
              <w:rPr>
                <w:sz w:val="20"/>
                <w:szCs w:val="20"/>
              </w:rPr>
              <w:t>research</w:t>
            </w:r>
            <w:r w:rsidRPr="0088364D">
              <w:rPr>
                <w:spacing w:val="36"/>
                <w:sz w:val="20"/>
                <w:szCs w:val="20"/>
              </w:rPr>
              <w:t xml:space="preserve"> </w:t>
            </w:r>
            <w:r w:rsidRPr="0088364D">
              <w:rPr>
                <w:sz w:val="20"/>
                <w:szCs w:val="20"/>
              </w:rPr>
              <w:t>on</w:t>
            </w:r>
            <w:r w:rsidRPr="0088364D">
              <w:rPr>
                <w:spacing w:val="48"/>
                <w:sz w:val="20"/>
                <w:szCs w:val="20"/>
              </w:rPr>
              <w:t xml:space="preserve"> </w:t>
            </w:r>
            <w:r w:rsidRPr="0088364D">
              <w:rPr>
                <w:sz w:val="20"/>
                <w:szCs w:val="20"/>
              </w:rPr>
              <w:t>matters</w:t>
            </w:r>
            <w:r w:rsidRPr="0088364D">
              <w:rPr>
                <w:spacing w:val="48"/>
                <w:sz w:val="20"/>
                <w:szCs w:val="20"/>
              </w:rPr>
              <w:t xml:space="preserve"> </w:t>
            </w:r>
            <w:r w:rsidRPr="0088364D">
              <w:rPr>
                <w:sz w:val="20"/>
                <w:szCs w:val="20"/>
              </w:rPr>
              <w:t>relevant</w:t>
            </w:r>
            <w:r w:rsidRPr="0088364D">
              <w:rPr>
                <w:spacing w:val="48"/>
                <w:sz w:val="20"/>
                <w:szCs w:val="20"/>
              </w:rPr>
              <w:t xml:space="preserve"> </w:t>
            </w:r>
            <w:r w:rsidRPr="0088364D">
              <w:rPr>
                <w:sz w:val="20"/>
                <w:szCs w:val="20"/>
              </w:rPr>
              <w:t>to</w:t>
            </w:r>
            <w:r w:rsidRPr="0088364D">
              <w:rPr>
                <w:spacing w:val="48"/>
                <w:sz w:val="20"/>
                <w:szCs w:val="20"/>
              </w:rPr>
              <w:t xml:space="preserve"> </w:t>
            </w:r>
            <w:r w:rsidRPr="0088364D">
              <w:rPr>
                <w:sz w:val="20"/>
                <w:szCs w:val="20"/>
              </w:rPr>
              <w:t>the</w:t>
            </w:r>
            <w:r w:rsidRPr="0088364D">
              <w:rPr>
                <w:spacing w:val="47"/>
                <w:sz w:val="20"/>
                <w:szCs w:val="20"/>
              </w:rPr>
              <w:t xml:space="preserve"> </w:t>
            </w:r>
            <w:r w:rsidRPr="0088364D">
              <w:rPr>
                <w:sz w:val="20"/>
                <w:szCs w:val="20"/>
              </w:rPr>
              <w:t>health</w:t>
            </w:r>
            <w:r w:rsidRPr="0088364D">
              <w:rPr>
                <w:spacing w:val="49"/>
                <w:sz w:val="20"/>
                <w:szCs w:val="20"/>
              </w:rPr>
              <w:t xml:space="preserve"> </w:t>
            </w:r>
            <w:r w:rsidRPr="0088364D">
              <w:rPr>
                <w:sz w:val="20"/>
                <w:szCs w:val="20"/>
              </w:rPr>
              <w:t>service</w:t>
            </w:r>
            <w:r w:rsidRPr="0088364D">
              <w:rPr>
                <w:spacing w:val="47"/>
                <w:sz w:val="20"/>
                <w:szCs w:val="20"/>
              </w:rPr>
              <w:t xml:space="preserve"> </w:t>
            </w:r>
            <w:r w:rsidRPr="0088364D">
              <w:rPr>
                <w:sz w:val="20"/>
                <w:szCs w:val="20"/>
              </w:rPr>
              <w:t>(in respect of NHS England, see</w:t>
            </w:r>
            <w:r w:rsidRPr="0088364D">
              <w:rPr>
                <w:spacing w:val="47"/>
                <w:sz w:val="20"/>
                <w:szCs w:val="20"/>
              </w:rPr>
              <w:t xml:space="preserve"> </w:t>
            </w:r>
            <w:r w:rsidRPr="0088364D">
              <w:rPr>
                <w:sz w:val="20"/>
                <w:szCs w:val="20"/>
              </w:rPr>
              <w:t>section</w:t>
            </w:r>
            <w:r w:rsidRPr="0088364D">
              <w:rPr>
                <w:spacing w:val="49"/>
                <w:sz w:val="20"/>
                <w:szCs w:val="20"/>
              </w:rPr>
              <w:t xml:space="preserve"> </w:t>
            </w:r>
            <w:r w:rsidRPr="0088364D">
              <w:rPr>
                <w:sz w:val="20"/>
                <w:szCs w:val="20"/>
              </w:rPr>
              <w:t>13L</w:t>
            </w:r>
            <w:r w:rsidRPr="0088364D">
              <w:rPr>
                <w:spacing w:val="47"/>
                <w:sz w:val="20"/>
                <w:szCs w:val="20"/>
              </w:rPr>
              <w:t xml:space="preserve"> </w:t>
            </w:r>
            <w:r w:rsidRPr="0088364D">
              <w:rPr>
                <w:sz w:val="20"/>
                <w:szCs w:val="20"/>
              </w:rPr>
              <w:t>of</w:t>
            </w:r>
            <w:r w:rsidRPr="0088364D">
              <w:rPr>
                <w:spacing w:val="48"/>
                <w:sz w:val="20"/>
                <w:szCs w:val="20"/>
              </w:rPr>
              <w:t xml:space="preserve"> </w:t>
            </w:r>
            <w:r w:rsidRPr="0088364D">
              <w:rPr>
                <w:sz w:val="20"/>
                <w:szCs w:val="20"/>
              </w:rPr>
              <w:t>the</w:t>
            </w:r>
            <w:r w:rsidRPr="0088364D">
              <w:rPr>
                <w:spacing w:val="49"/>
                <w:w w:val="99"/>
                <w:sz w:val="20"/>
                <w:szCs w:val="20"/>
              </w:rPr>
              <w:t xml:space="preserve"> </w:t>
            </w:r>
            <w:r w:rsidRPr="0088364D">
              <w:rPr>
                <w:sz w:val="20"/>
                <w:szCs w:val="20"/>
              </w:rPr>
              <w:t>NHS</w:t>
            </w:r>
            <w:r w:rsidRPr="0088364D">
              <w:rPr>
                <w:spacing w:val="-7"/>
                <w:sz w:val="20"/>
                <w:szCs w:val="20"/>
              </w:rPr>
              <w:t xml:space="preserve"> </w:t>
            </w:r>
            <w:r w:rsidRPr="0088364D">
              <w:rPr>
                <w:sz w:val="20"/>
                <w:szCs w:val="20"/>
              </w:rPr>
              <w:t>Act</w:t>
            </w:r>
            <w:r w:rsidRPr="0088364D">
              <w:rPr>
                <w:spacing w:val="-6"/>
                <w:sz w:val="20"/>
                <w:szCs w:val="20"/>
              </w:rPr>
              <w:t xml:space="preserve"> </w:t>
            </w:r>
            <w:r w:rsidRPr="0088364D">
              <w:rPr>
                <w:sz w:val="20"/>
                <w:szCs w:val="20"/>
              </w:rPr>
              <w:t xml:space="preserve">2006; and, in respect of </w:t>
            </w:r>
            <w:r w:rsidR="00B83042">
              <w:rPr>
                <w:sz w:val="20"/>
                <w:szCs w:val="20"/>
              </w:rPr>
              <w:t>CCG/ICBCCGs/ICBs</w:t>
            </w:r>
            <w:r w:rsidRPr="0088364D">
              <w:rPr>
                <w:sz w:val="20"/>
                <w:szCs w:val="20"/>
              </w:rPr>
              <w:t>, see section 14Y of the NHS Act 2006)</w:t>
            </w:r>
          </w:p>
          <w:p w14:paraId="6E44484B" w14:textId="77777777" w:rsidR="00DB7F92" w:rsidRPr="0088364D" w:rsidRDefault="00DB7F92" w:rsidP="00884224">
            <w:pPr>
              <w:keepNext/>
              <w:keepLines/>
              <w:tabs>
                <w:tab w:val="num" w:pos="5761"/>
              </w:tabs>
              <w:spacing w:before="173"/>
              <w:ind w:left="13"/>
              <w:jc w:val="both"/>
              <w:outlineLvl w:val="6"/>
              <w:rPr>
                <w:rFonts w:eastAsiaTheme="majorEastAsia" w:cs="Arial"/>
                <w:b/>
                <w:i/>
                <w:iCs/>
                <w:color w:val="404040" w:themeColor="text1" w:themeTint="BF"/>
                <w:spacing w:val="-1"/>
                <w:sz w:val="20"/>
                <w:szCs w:val="20"/>
              </w:rPr>
            </w:pPr>
            <w:r w:rsidRPr="0088364D">
              <w:rPr>
                <w:rFonts w:eastAsiaTheme="majorEastAsia" w:cs="Arial"/>
                <w:b/>
                <w:i/>
                <w:iCs/>
                <w:color w:val="404040" w:themeColor="text1" w:themeTint="BF"/>
                <w:spacing w:val="-1"/>
                <w:sz w:val="20"/>
                <w:szCs w:val="20"/>
              </w:rPr>
              <w:t>The "Involvement Duty"</w:t>
            </w:r>
          </w:p>
          <w:p w14:paraId="064E8C95" w14:textId="77777777" w:rsidR="00970B92" w:rsidRPr="0088364D" w:rsidRDefault="00970B92" w:rsidP="00825050">
            <w:pPr>
              <w:keepNext/>
              <w:keepLines/>
              <w:numPr>
                <w:ilvl w:val="6"/>
                <w:numId w:val="31"/>
              </w:numPr>
              <w:tabs>
                <w:tab w:val="num" w:pos="5761"/>
              </w:tabs>
              <w:spacing w:before="169"/>
              <w:ind w:left="458" w:hanging="720"/>
              <w:jc w:val="both"/>
              <w:outlineLvl w:val="6"/>
              <w:rPr>
                <w:rFonts w:eastAsiaTheme="majorEastAsia" w:cs="Arial"/>
                <w:b/>
                <w:bCs w:val="0"/>
                <w:i/>
                <w:iCs/>
                <w:color w:val="404040" w:themeColor="text1" w:themeTint="BF"/>
                <w:sz w:val="20"/>
                <w:szCs w:val="20"/>
              </w:rPr>
            </w:pPr>
          </w:p>
          <w:p w14:paraId="3C8BAEE4" w14:textId="3A925CB5" w:rsidR="00DB7F92" w:rsidRPr="0088364D" w:rsidRDefault="00DB7F92" w:rsidP="00DB7F92">
            <w:pPr>
              <w:pStyle w:val="Heading3"/>
              <w:spacing w:before="16"/>
              <w:jc w:val="both"/>
              <w:rPr>
                <w:rFonts w:eastAsia="Malgun Gothic" w:cs="Arial"/>
                <w:sz w:val="20"/>
                <w:szCs w:val="20"/>
              </w:rPr>
            </w:pPr>
            <w:r w:rsidRPr="0088364D">
              <w:rPr>
                <w:sz w:val="20"/>
                <w:szCs w:val="20"/>
                <w:lang w:eastAsia="en-GB"/>
              </w:rPr>
              <w:t>Commissioners</w:t>
            </w:r>
            <w:r w:rsidRPr="0088364D">
              <w:rPr>
                <w:spacing w:val="38"/>
                <w:sz w:val="20"/>
                <w:szCs w:val="20"/>
                <w:lang w:eastAsia="en-GB"/>
              </w:rPr>
              <w:t xml:space="preserve"> </w:t>
            </w:r>
            <w:r w:rsidRPr="0088364D">
              <w:rPr>
                <w:sz w:val="20"/>
                <w:szCs w:val="20"/>
                <w:lang w:eastAsia="en-GB"/>
              </w:rPr>
              <w:t>have</w:t>
            </w:r>
            <w:r w:rsidRPr="0088364D">
              <w:rPr>
                <w:spacing w:val="40"/>
                <w:sz w:val="20"/>
                <w:szCs w:val="20"/>
                <w:lang w:eastAsia="en-GB"/>
              </w:rPr>
              <w:t xml:space="preserve"> </w:t>
            </w:r>
            <w:r w:rsidRPr="0088364D">
              <w:rPr>
                <w:sz w:val="20"/>
                <w:szCs w:val="20"/>
                <w:lang w:eastAsia="en-GB"/>
              </w:rPr>
              <w:t>a</w:t>
            </w:r>
            <w:r w:rsidRPr="0088364D">
              <w:rPr>
                <w:spacing w:val="40"/>
                <w:sz w:val="20"/>
                <w:szCs w:val="20"/>
                <w:lang w:eastAsia="en-GB"/>
              </w:rPr>
              <w:t xml:space="preserve"> </w:t>
            </w:r>
            <w:r w:rsidRPr="0088364D">
              <w:rPr>
                <w:sz w:val="20"/>
                <w:szCs w:val="20"/>
                <w:lang w:eastAsia="en-GB"/>
              </w:rPr>
              <w:t>duty</w:t>
            </w:r>
            <w:r w:rsidRPr="0088364D">
              <w:rPr>
                <w:spacing w:val="39"/>
                <w:sz w:val="20"/>
                <w:szCs w:val="20"/>
                <w:lang w:eastAsia="en-GB"/>
              </w:rPr>
              <w:t xml:space="preserve"> </w:t>
            </w:r>
            <w:r w:rsidRPr="0088364D">
              <w:rPr>
                <w:sz w:val="20"/>
                <w:szCs w:val="20"/>
                <w:lang w:eastAsia="en-GB"/>
              </w:rPr>
              <w:t>to</w:t>
            </w:r>
            <w:r w:rsidRPr="0088364D">
              <w:rPr>
                <w:spacing w:val="38"/>
                <w:sz w:val="20"/>
                <w:szCs w:val="20"/>
                <w:lang w:eastAsia="en-GB"/>
              </w:rPr>
              <w:t xml:space="preserve"> </w:t>
            </w:r>
            <w:r w:rsidRPr="0088364D">
              <w:rPr>
                <w:sz w:val="20"/>
                <w:szCs w:val="20"/>
                <w:lang w:eastAsia="en-GB"/>
              </w:rPr>
              <w:t>make</w:t>
            </w:r>
            <w:r w:rsidRPr="0088364D">
              <w:rPr>
                <w:spacing w:val="38"/>
                <w:sz w:val="20"/>
                <w:szCs w:val="20"/>
                <w:lang w:eastAsia="en-GB"/>
              </w:rPr>
              <w:t xml:space="preserve"> </w:t>
            </w:r>
            <w:r w:rsidRPr="0088364D">
              <w:rPr>
                <w:sz w:val="20"/>
                <w:szCs w:val="20"/>
                <w:lang w:eastAsia="en-GB"/>
              </w:rPr>
              <w:t>arrangements</w:t>
            </w:r>
            <w:r w:rsidRPr="0088364D">
              <w:rPr>
                <w:spacing w:val="41"/>
                <w:sz w:val="20"/>
                <w:szCs w:val="20"/>
                <w:lang w:eastAsia="en-GB"/>
              </w:rPr>
              <w:t xml:space="preserve"> </w:t>
            </w:r>
            <w:r w:rsidRPr="0088364D">
              <w:rPr>
                <w:sz w:val="20"/>
                <w:szCs w:val="20"/>
                <w:lang w:eastAsia="en-GB"/>
              </w:rPr>
              <w:t>to</w:t>
            </w:r>
            <w:r w:rsidRPr="0088364D">
              <w:rPr>
                <w:spacing w:val="38"/>
                <w:sz w:val="20"/>
                <w:szCs w:val="20"/>
                <w:lang w:eastAsia="en-GB"/>
              </w:rPr>
              <w:t xml:space="preserve"> </w:t>
            </w:r>
            <w:r w:rsidRPr="0088364D">
              <w:rPr>
                <w:sz w:val="20"/>
                <w:szCs w:val="20"/>
                <w:lang w:eastAsia="en-GB"/>
              </w:rPr>
              <w:t>secure</w:t>
            </w:r>
            <w:r w:rsidRPr="0088364D">
              <w:rPr>
                <w:spacing w:val="38"/>
                <w:sz w:val="20"/>
                <w:szCs w:val="20"/>
                <w:lang w:eastAsia="en-GB"/>
              </w:rPr>
              <w:t xml:space="preserve"> </w:t>
            </w:r>
            <w:r w:rsidRPr="0088364D">
              <w:rPr>
                <w:sz w:val="20"/>
                <w:szCs w:val="20"/>
                <w:lang w:eastAsia="en-GB"/>
              </w:rPr>
              <w:t>that</w:t>
            </w:r>
            <w:r w:rsidRPr="0088364D">
              <w:rPr>
                <w:spacing w:val="41"/>
                <w:sz w:val="20"/>
                <w:szCs w:val="20"/>
                <w:lang w:eastAsia="en-GB"/>
              </w:rPr>
              <w:t xml:space="preserve"> </w:t>
            </w:r>
            <w:r w:rsidRPr="0088364D">
              <w:rPr>
                <w:sz w:val="20"/>
                <w:szCs w:val="20"/>
                <w:lang w:eastAsia="en-GB"/>
              </w:rPr>
              <w:t>service</w:t>
            </w:r>
            <w:r w:rsidRPr="0088364D">
              <w:rPr>
                <w:spacing w:val="42"/>
                <w:w w:val="99"/>
                <w:sz w:val="20"/>
                <w:szCs w:val="20"/>
                <w:lang w:eastAsia="en-GB"/>
              </w:rPr>
              <w:t xml:space="preserve"> </w:t>
            </w:r>
            <w:r w:rsidRPr="0088364D">
              <w:rPr>
                <w:sz w:val="20"/>
                <w:szCs w:val="20"/>
                <w:lang w:eastAsia="en-GB"/>
              </w:rPr>
              <w:t>users</w:t>
            </w:r>
            <w:r w:rsidRPr="0088364D">
              <w:rPr>
                <w:spacing w:val="-4"/>
                <w:sz w:val="20"/>
                <w:szCs w:val="20"/>
                <w:lang w:eastAsia="en-GB"/>
              </w:rPr>
              <w:t xml:space="preserve"> </w:t>
            </w:r>
            <w:r w:rsidRPr="0088364D">
              <w:rPr>
                <w:sz w:val="20"/>
                <w:szCs w:val="20"/>
                <w:lang w:eastAsia="en-GB"/>
              </w:rPr>
              <w:t>and</w:t>
            </w:r>
            <w:r w:rsidRPr="0088364D">
              <w:rPr>
                <w:spacing w:val="-2"/>
                <w:sz w:val="20"/>
                <w:szCs w:val="20"/>
                <w:lang w:eastAsia="en-GB"/>
              </w:rPr>
              <w:t xml:space="preserve"> </w:t>
            </w:r>
            <w:r w:rsidRPr="0088364D">
              <w:rPr>
                <w:sz w:val="20"/>
                <w:szCs w:val="20"/>
                <w:lang w:eastAsia="en-GB"/>
              </w:rPr>
              <w:t>potential</w:t>
            </w:r>
            <w:r w:rsidRPr="0088364D">
              <w:rPr>
                <w:spacing w:val="-2"/>
                <w:sz w:val="20"/>
                <w:szCs w:val="20"/>
                <w:lang w:eastAsia="en-GB"/>
              </w:rPr>
              <w:t xml:space="preserve"> </w:t>
            </w:r>
            <w:r w:rsidRPr="0088364D">
              <w:rPr>
                <w:sz w:val="20"/>
                <w:szCs w:val="20"/>
                <w:lang w:eastAsia="en-GB"/>
              </w:rPr>
              <w:t>service users</w:t>
            </w:r>
            <w:r w:rsidRPr="0088364D">
              <w:rPr>
                <w:spacing w:val="-3"/>
                <w:sz w:val="20"/>
                <w:szCs w:val="20"/>
                <w:lang w:eastAsia="en-GB"/>
              </w:rPr>
              <w:t xml:space="preserve"> </w:t>
            </w:r>
            <w:r w:rsidRPr="0088364D">
              <w:rPr>
                <w:sz w:val="20"/>
                <w:szCs w:val="20"/>
                <w:lang w:eastAsia="en-GB"/>
              </w:rPr>
              <w:t>are</w:t>
            </w:r>
            <w:r w:rsidRPr="0088364D">
              <w:rPr>
                <w:spacing w:val="-2"/>
                <w:sz w:val="20"/>
                <w:szCs w:val="20"/>
                <w:lang w:eastAsia="en-GB"/>
              </w:rPr>
              <w:t xml:space="preserve"> </w:t>
            </w:r>
            <w:r w:rsidRPr="0088364D">
              <w:rPr>
                <w:sz w:val="20"/>
                <w:szCs w:val="20"/>
                <w:lang w:eastAsia="en-GB"/>
              </w:rPr>
              <w:t>involved</w:t>
            </w:r>
            <w:r w:rsidRPr="0088364D">
              <w:rPr>
                <w:spacing w:val="-2"/>
                <w:sz w:val="20"/>
                <w:szCs w:val="20"/>
                <w:lang w:eastAsia="en-GB"/>
              </w:rPr>
              <w:t xml:space="preserve"> </w:t>
            </w:r>
            <w:r w:rsidRPr="0088364D">
              <w:rPr>
                <w:sz w:val="20"/>
                <w:szCs w:val="20"/>
                <w:lang w:eastAsia="en-GB"/>
              </w:rPr>
              <w:t>in:</w:t>
            </w:r>
          </w:p>
          <w:p w14:paraId="55C147EE" w14:textId="77777777" w:rsidR="00DB7F92" w:rsidRPr="0088364D" w:rsidRDefault="00DB7F92" w:rsidP="00970B92">
            <w:pPr>
              <w:pStyle w:val="Heading4"/>
              <w:rPr>
                <w:sz w:val="20"/>
                <w:szCs w:val="20"/>
              </w:rPr>
            </w:pPr>
            <w:r w:rsidRPr="0088364D">
              <w:rPr>
                <w:sz w:val="20"/>
                <w:szCs w:val="20"/>
              </w:rPr>
              <w:t>the</w:t>
            </w:r>
            <w:r w:rsidRPr="0088364D">
              <w:rPr>
                <w:spacing w:val="-7"/>
                <w:sz w:val="20"/>
                <w:szCs w:val="20"/>
              </w:rPr>
              <w:t xml:space="preserve"> </w:t>
            </w:r>
            <w:r w:rsidRPr="0088364D">
              <w:rPr>
                <w:sz w:val="20"/>
                <w:szCs w:val="20"/>
              </w:rPr>
              <w:t>planning</w:t>
            </w:r>
            <w:r w:rsidRPr="0088364D">
              <w:rPr>
                <w:spacing w:val="-4"/>
                <w:sz w:val="20"/>
                <w:szCs w:val="20"/>
              </w:rPr>
              <w:t xml:space="preserve"> </w:t>
            </w:r>
            <w:r w:rsidRPr="0088364D">
              <w:rPr>
                <w:sz w:val="20"/>
                <w:szCs w:val="20"/>
              </w:rPr>
              <w:t>of</w:t>
            </w:r>
            <w:r w:rsidRPr="0088364D">
              <w:rPr>
                <w:spacing w:val="-5"/>
                <w:sz w:val="20"/>
                <w:szCs w:val="20"/>
              </w:rPr>
              <w:t xml:space="preserve"> </w:t>
            </w:r>
            <w:r w:rsidRPr="0088364D">
              <w:rPr>
                <w:sz w:val="20"/>
                <w:szCs w:val="20"/>
              </w:rPr>
              <w:t>commissioning</w:t>
            </w:r>
            <w:r w:rsidRPr="0088364D">
              <w:rPr>
                <w:spacing w:val="-4"/>
                <w:sz w:val="20"/>
                <w:szCs w:val="20"/>
              </w:rPr>
              <w:t xml:space="preserve"> </w:t>
            </w:r>
            <w:r w:rsidRPr="0088364D">
              <w:rPr>
                <w:sz w:val="20"/>
                <w:szCs w:val="20"/>
              </w:rPr>
              <w:t>arrangements</w:t>
            </w:r>
            <w:r w:rsidRPr="0088364D">
              <w:rPr>
                <w:spacing w:val="-5"/>
                <w:sz w:val="20"/>
                <w:szCs w:val="20"/>
              </w:rPr>
              <w:t xml:space="preserve"> </w:t>
            </w:r>
            <w:r w:rsidRPr="0088364D">
              <w:rPr>
                <w:sz w:val="20"/>
                <w:szCs w:val="20"/>
              </w:rPr>
              <w:t>by</w:t>
            </w:r>
            <w:r w:rsidRPr="0088364D">
              <w:rPr>
                <w:spacing w:val="-6"/>
                <w:sz w:val="20"/>
                <w:szCs w:val="20"/>
              </w:rPr>
              <w:t xml:space="preserve"> </w:t>
            </w:r>
            <w:r w:rsidRPr="0088364D">
              <w:rPr>
                <w:sz w:val="20"/>
                <w:szCs w:val="20"/>
              </w:rPr>
              <w:t>commissioners;</w:t>
            </w:r>
          </w:p>
          <w:p w14:paraId="72F14CE6" w14:textId="77777777" w:rsidR="00DB7F92" w:rsidRPr="0088364D" w:rsidRDefault="00DB7F92" w:rsidP="00970B92">
            <w:pPr>
              <w:pStyle w:val="Heading4"/>
              <w:rPr>
                <w:sz w:val="20"/>
                <w:szCs w:val="20"/>
              </w:rPr>
            </w:pPr>
            <w:r w:rsidRPr="0088364D">
              <w:rPr>
                <w:sz w:val="20"/>
                <w:szCs w:val="20"/>
              </w:rPr>
              <w:t>the commissioners'</w:t>
            </w:r>
            <w:r w:rsidRPr="0088364D">
              <w:rPr>
                <w:spacing w:val="15"/>
                <w:sz w:val="20"/>
                <w:szCs w:val="20"/>
              </w:rPr>
              <w:t xml:space="preserve"> </w:t>
            </w:r>
            <w:r w:rsidRPr="0088364D">
              <w:rPr>
                <w:sz w:val="20"/>
                <w:szCs w:val="20"/>
              </w:rPr>
              <w:t>development</w:t>
            </w:r>
            <w:r w:rsidRPr="0088364D">
              <w:rPr>
                <w:spacing w:val="12"/>
                <w:sz w:val="20"/>
                <w:szCs w:val="20"/>
              </w:rPr>
              <w:t xml:space="preserve"> </w:t>
            </w:r>
            <w:r w:rsidRPr="0088364D">
              <w:rPr>
                <w:sz w:val="20"/>
                <w:szCs w:val="20"/>
              </w:rPr>
              <w:t>and</w:t>
            </w:r>
            <w:r w:rsidRPr="0088364D">
              <w:rPr>
                <w:spacing w:val="10"/>
                <w:sz w:val="20"/>
                <w:szCs w:val="20"/>
              </w:rPr>
              <w:t xml:space="preserve"> </w:t>
            </w:r>
            <w:r w:rsidRPr="0088364D">
              <w:rPr>
                <w:sz w:val="20"/>
                <w:szCs w:val="20"/>
              </w:rPr>
              <w:t>consideration</w:t>
            </w:r>
            <w:r w:rsidRPr="0088364D">
              <w:rPr>
                <w:spacing w:val="10"/>
                <w:sz w:val="20"/>
                <w:szCs w:val="20"/>
              </w:rPr>
              <w:t xml:space="preserve"> </w:t>
            </w:r>
            <w:r w:rsidRPr="0088364D">
              <w:rPr>
                <w:sz w:val="20"/>
                <w:szCs w:val="20"/>
              </w:rPr>
              <w:t>of</w:t>
            </w:r>
            <w:r w:rsidRPr="0088364D">
              <w:rPr>
                <w:spacing w:val="10"/>
                <w:sz w:val="20"/>
                <w:szCs w:val="20"/>
              </w:rPr>
              <w:t xml:space="preserve"> </w:t>
            </w:r>
            <w:r w:rsidRPr="0088364D">
              <w:rPr>
                <w:sz w:val="20"/>
                <w:szCs w:val="20"/>
              </w:rPr>
              <w:t>proposals</w:t>
            </w:r>
            <w:r w:rsidRPr="0088364D">
              <w:rPr>
                <w:spacing w:val="12"/>
                <w:sz w:val="20"/>
                <w:szCs w:val="20"/>
              </w:rPr>
              <w:t xml:space="preserve"> </w:t>
            </w:r>
            <w:r w:rsidRPr="0088364D">
              <w:rPr>
                <w:sz w:val="20"/>
                <w:szCs w:val="20"/>
              </w:rPr>
              <w:t>for</w:t>
            </w:r>
            <w:r w:rsidRPr="0088364D">
              <w:rPr>
                <w:spacing w:val="59"/>
                <w:w w:val="99"/>
                <w:sz w:val="20"/>
                <w:szCs w:val="20"/>
              </w:rPr>
              <w:t xml:space="preserve"> </w:t>
            </w:r>
            <w:r w:rsidRPr="0088364D">
              <w:rPr>
                <w:sz w:val="20"/>
                <w:szCs w:val="20"/>
              </w:rPr>
              <w:t>changes</w:t>
            </w:r>
            <w:r w:rsidRPr="0088364D">
              <w:rPr>
                <w:spacing w:val="10"/>
                <w:sz w:val="20"/>
                <w:szCs w:val="20"/>
              </w:rPr>
              <w:t xml:space="preserve"> </w:t>
            </w:r>
            <w:r w:rsidRPr="0088364D">
              <w:rPr>
                <w:sz w:val="20"/>
                <w:szCs w:val="20"/>
              </w:rPr>
              <w:t>to</w:t>
            </w:r>
            <w:r w:rsidRPr="0088364D">
              <w:rPr>
                <w:spacing w:val="10"/>
                <w:sz w:val="20"/>
                <w:szCs w:val="20"/>
              </w:rPr>
              <w:t xml:space="preserve"> </w:t>
            </w:r>
            <w:r w:rsidRPr="0088364D">
              <w:rPr>
                <w:sz w:val="20"/>
                <w:szCs w:val="20"/>
              </w:rPr>
              <w:t>commissioning</w:t>
            </w:r>
            <w:r w:rsidRPr="0088364D">
              <w:rPr>
                <w:spacing w:val="10"/>
                <w:sz w:val="20"/>
                <w:szCs w:val="20"/>
              </w:rPr>
              <w:t xml:space="preserve"> </w:t>
            </w:r>
            <w:r w:rsidRPr="0088364D">
              <w:rPr>
                <w:sz w:val="20"/>
                <w:szCs w:val="20"/>
              </w:rPr>
              <w:t>arrangements,</w:t>
            </w:r>
            <w:r w:rsidRPr="0088364D">
              <w:rPr>
                <w:spacing w:val="10"/>
                <w:sz w:val="20"/>
                <w:szCs w:val="20"/>
              </w:rPr>
              <w:t xml:space="preserve"> </w:t>
            </w:r>
            <w:r w:rsidRPr="0088364D">
              <w:rPr>
                <w:sz w:val="20"/>
                <w:szCs w:val="20"/>
              </w:rPr>
              <w:t>if</w:t>
            </w:r>
            <w:r w:rsidRPr="0088364D">
              <w:rPr>
                <w:spacing w:val="10"/>
                <w:sz w:val="20"/>
                <w:szCs w:val="20"/>
              </w:rPr>
              <w:t xml:space="preserve"> </w:t>
            </w:r>
            <w:r w:rsidRPr="0088364D">
              <w:rPr>
                <w:sz w:val="20"/>
                <w:szCs w:val="20"/>
              </w:rPr>
              <w:t>the</w:t>
            </w:r>
            <w:r w:rsidRPr="0088364D">
              <w:rPr>
                <w:spacing w:val="9"/>
                <w:sz w:val="20"/>
                <w:szCs w:val="20"/>
              </w:rPr>
              <w:t xml:space="preserve"> </w:t>
            </w:r>
            <w:r w:rsidRPr="0088364D">
              <w:rPr>
                <w:sz w:val="20"/>
                <w:szCs w:val="20"/>
              </w:rPr>
              <w:t>implementation</w:t>
            </w:r>
            <w:r w:rsidRPr="0088364D">
              <w:rPr>
                <w:spacing w:val="53"/>
                <w:sz w:val="20"/>
                <w:szCs w:val="20"/>
              </w:rPr>
              <w:t xml:space="preserve"> </w:t>
            </w:r>
            <w:r w:rsidRPr="0088364D">
              <w:rPr>
                <w:sz w:val="20"/>
                <w:szCs w:val="20"/>
              </w:rPr>
              <w:t>of</w:t>
            </w:r>
            <w:r w:rsidRPr="0088364D">
              <w:rPr>
                <w:spacing w:val="25"/>
                <w:sz w:val="20"/>
                <w:szCs w:val="20"/>
              </w:rPr>
              <w:t xml:space="preserve"> </w:t>
            </w:r>
            <w:r w:rsidRPr="0088364D">
              <w:rPr>
                <w:sz w:val="20"/>
                <w:szCs w:val="20"/>
              </w:rPr>
              <w:t>the</w:t>
            </w:r>
            <w:r w:rsidRPr="0088364D">
              <w:rPr>
                <w:spacing w:val="26"/>
                <w:sz w:val="20"/>
                <w:szCs w:val="20"/>
              </w:rPr>
              <w:t xml:space="preserve"> </w:t>
            </w:r>
            <w:r w:rsidRPr="0088364D">
              <w:rPr>
                <w:sz w:val="20"/>
                <w:szCs w:val="20"/>
              </w:rPr>
              <w:t>proposals</w:t>
            </w:r>
            <w:r w:rsidRPr="0088364D">
              <w:rPr>
                <w:spacing w:val="27"/>
                <w:sz w:val="20"/>
                <w:szCs w:val="20"/>
              </w:rPr>
              <w:t xml:space="preserve"> </w:t>
            </w:r>
            <w:r w:rsidRPr="0088364D">
              <w:rPr>
                <w:sz w:val="20"/>
                <w:szCs w:val="20"/>
              </w:rPr>
              <w:t>would</w:t>
            </w:r>
            <w:r w:rsidRPr="0088364D">
              <w:rPr>
                <w:spacing w:val="28"/>
                <w:sz w:val="20"/>
                <w:szCs w:val="20"/>
              </w:rPr>
              <w:t xml:space="preserve"> </w:t>
            </w:r>
            <w:r w:rsidRPr="0088364D">
              <w:rPr>
                <w:sz w:val="20"/>
                <w:szCs w:val="20"/>
              </w:rPr>
              <w:t>impact</w:t>
            </w:r>
            <w:r w:rsidRPr="0088364D">
              <w:rPr>
                <w:spacing w:val="26"/>
                <w:sz w:val="20"/>
                <w:szCs w:val="20"/>
              </w:rPr>
              <w:t xml:space="preserve"> </w:t>
            </w:r>
            <w:r w:rsidRPr="0088364D">
              <w:rPr>
                <w:sz w:val="20"/>
                <w:szCs w:val="20"/>
              </w:rPr>
              <w:t>on</w:t>
            </w:r>
            <w:r w:rsidRPr="0088364D">
              <w:rPr>
                <w:spacing w:val="27"/>
                <w:sz w:val="20"/>
                <w:szCs w:val="20"/>
              </w:rPr>
              <w:t xml:space="preserve"> </w:t>
            </w:r>
            <w:r w:rsidRPr="0088364D">
              <w:rPr>
                <w:sz w:val="20"/>
                <w:szCs w:val="20"/>
              </w:rPr>
              <w:t>the</w:t>
            </w:r>
            <w:r w:rsidRPr="0088364D">
              <w:rPr>
                <w:spacing w:val="25"/>
                <w:sz w:val="20"/>
                <w:szCs w:val="20"/>
              </w:rPr>
              <w:t xml:space="preserve"> </w:t>
            </w:r>
            <w:r w:rsidRPr="0088364D">
              <w:rPr>
                <w:sz w:val="20"/>
                <w:szCs w:val="20"/>
              </w:rPr>
              <w:t>range</w:t>
            </w:r>
            <w:r w:rsidRPr="0088364D">
              <w:rPr>
                <w:spacing w:val="28"/>
                <w:sz w:val="20"/>
                <w:szCs w:val="20"/>
              </w:rPr>
              <w:t xml:space="preserve"> </w:t>
            </w:r>
            <w:r w:rsidRPr="0088364D">
              <w:rPr>
                <w:sz w:val="20"/>
                <w:szCs w:val="20"/>
              </w:rPr>
              <w:t>of</w:t>
            </w:r>
            <w:r w:rsidRPr="0088364D">
              <w:rPr>
                <w:spacing w:val="26"/>
                <w:sz w:val="20"/>
                <w:szCs w:val="20"/>
              </w:rPr>
              <w:t xml:space="preserve"> </w:t>
            </w:r>
            <w:r w:rsidRPr="0088364D">
              <w:rPr>
                <w:sz w:val="20"/>
                <w:szCs w:val="20"/>
              </w:rPr>
              <w:t>health</w:t>
            </w:r>
            <w:r w:rsidRPr="0088364D">
              <w:rPr>
                <w:spacing w:val="26"/>
                <w:sz w:val="20"/>
                <w:szCs w:val="20"/>
              </w:rPr>
              <w:t xml:space="preserve"> </w:t>
            </w:r>
            <w:r w:rsidRPr="0088364D">
              <w:rPr>
                <w:sz w:val="20"/>
                <w:szCs w:val="20"/>
              </w:rPr>
              <w:t>services</w:t>
            </w:r>
            <w:r w:rsidRPr="0088364D">
              <w:rPr>
                <w:spacing w:val="44"/>
                <w:w w:val="99"/>
                <w:sz w:val="20"/>
                <w:szCs w:val="20"/>
              </w:rPr>
              <w:t xml:space="preserve"> </w:t>
            </w:r>
            <w:r w:rsidRPr="0088364D">
              <w:rPr>
                <w:sz w:val="20"/>
                <w:szCs w:val="20"/>
              </w:rPr>
              <w:t>available</w:t>
            </w:r>
            <w:r w:rsidRPr="0088364D">
              <w:rPr>
                <w:spacing w:val="7"/>
                <w:sz w:val="20"/>
                <w:szCs w:val="20"/>
              </w:rPr>
              <w:t xml:space="preserve"> </w:t>
            </w:r>
            <w:r w:rsidRPr="0088364D">
              <w:rPr>
                <w:sz w:val="20"/>
                <w:szCs w:val="20"/>
              </w:rPr>
              <w:t>to</w:t>
            </w:r>
            <w:r w:rsidRPr="0088364D">
              <w:rPr>
                <w:spacing w:val="8"/>
                <w:sz w:val="20"/>
                <w:szCs w:val="20"/>
              </w:rPr>
              <w:t xml:space="preserve"> </w:t>
            </w:r>
            <w:r w:rsidRPr="0088364D">
              <w:rPr>
                <w:sz w:val="20"/>
                <w:szCs w:val="20"/>
              </w:rPr>
              <w:t>service</w:t>
            </w:r>
            <w:r w:rsidRPr="0088364D">
              <w:rPr>
                <w:spacing w:val="7"/>
                <w:sz w:val="20"/>
                <w:szCs w:val="20"/>
              </w:rPr>
              <w:t xml:space="preserve"> </w:t>
            </w:r>
            <w:r w:rsidRPr="0088364D">
              <w:rPr>
                <w:sz w:val="20"/>
                <w:szCs w:val="20"/>
              </w:rPr>
              <w:t>users</w:t>
            </w:r>
            <w:r w:rsidRPr="0088364D">
              <w:rPr>
                <w:spacing w:val="10"/>
                <w:sz w:val="20"/>
                <w:szCs w:val="20"/>
              </w:rPr>
              <w:t xml:space="preserve"> </w:t>
            </w:r>
            <w:r w:rsidRPr="0088364D">
              <w:rPr>
                <w:sz w:val="20"/>
                <w:szCs w:val="20"/>
              </w:rPr>
              <w:t>or</w:t>
            </w:r>
            <w:r w:rsidRPr="0088364D">
              <w:rPr>
                <w:spacing w:val="9"/>
                <w:sz w:val="20"/>
                <w:szCs w:val="20"/>
              </w:rPr>
              <w:t xml:space="preserve"> </w:t>
            </w:r>
            <w:r w:rsidRPr="0088364D">
              <w:rPr>
                <w:sz w:val="20"/>
                <w:szCs w:val="20"/>
              </w:rPr>
              <w:t>the</w:t>
            </w:r>
            <w:r w:rsidRPr="0088364D">
              <w:rPr>
                <w:spacing w:val="7"/>
                <w:sz w:val="20"/>
                <w:szCs w:val="20"/>
              </w:rPr>
              <w:t xml:space="preserve"> </w:t>
            </w:r>
            <w:r w:rsidRPr="0088364D">
              <w:rPr>
                <w:sz w:val="20"/>
                <w:szCs w:val="20"/>
              </w:rPr>
              <w:t>manner</w:t>
            </w:r>
            <w:r w:rsidRPr="0088364D">
              <w:rPr>
                <w:spacing w:val="9"/>
                <w:sz w:val="20"/>
                <w:szCs w:val="20"/>
              </w:rPr>
              <w:t xml:space="preserve"> </w:t>
            </w:r>
            <w:r w:rsidRPr="0088364D">
              <w:rPr>
                <w:spacing w:val="-2"/>
                <w:sz w:val="20"/>
                <w:szCs w:val="20"/>
              </w:rPr>
              <w:t>in</w:t>
            </w:r>
            <w:r w:rsidRPr="0088364D">
              <w:rPr>
                <w:spacing w:val="9"/>
                <w:sz w:val="20"/>
                <w:szCs w:val="20"/>
              </w:rPr>
              <w:t xml:space="preserve"> </w:t>
            </w:r>
            <w:r w:rsidRPr="0088364D">
              <w:rPr>
                <w:sz w:val="20"/>
                <w:szCs w:val="20"/>
              </w:rPr>
              <w:t>which</w:t>
            </w:r>
            <w:r w:rsidRPr="0088364D">
              <w:rPr>
                <w:spacing w:val="8"/>
                <w:sz w:val="20"/>
                <w:szCs w:val="20"/>
              </w:rPr>
              <w:t xml:space="preserve"> </w:t>
            </w:r>
            <w:r w:rsidRPr="0088364D">
              <w:rPr>
                <w:sz w:val="20"/>
                <w:szCs w:val="20"/>
              </w:rPr>
              <w:t>they</w:t>
            </w:r>
            <w:r w:rsidRPr="0088364D">
              <w:rPr>
                <w:spacing w:val="9"/>
                <w:sz w:val="20"/>
                <w:szCs w:val="20"/>
              </w:rPr>
              <w:t xml:space="preserve"> </w:t>
            </w:r>
            <w:r w:rsidRPr="0088364D">
              <w:rPr>
                <w:sz w:val="20"/>
                <w:szCs w:val="20"/>
              </w:rPr>
              <w:t>are</w:t>
            </w:r>
            <w:r w:rsidRPr="0088364D">
              <w:rPr>
                <w:spacing w:val="49"/>
                <w:w w:val="99"/>
                <w:sz w:val="20"/>
                <w:szCs w:val="20"/>
              </w:rPr>
              <w:t xml:space="preserve"> </w:t>
            </w:r>
            <w:r w:rsidRPr="0088364D">
              <w:rPr>
                <w:sz w:val="20"/>
                <w:szCs w:val="20"/>
              </w:rPr>
              <w:t>delivered;</w:t>
            </w:r>
            <w:r w:rsidRPr="0088364D">
              <w:rPr>
                <w:spacing w:val="-8"/>
                <w:sz w:val="20"/>
                <w:szCs w:val="20"/>
              </w:rPr>
              <w:t xml:space="preserve"> </w:t>
            </w:r>
            <w:r w:rsidRPr="0088364D">
              <w:rPr>
                <w:sz w:val="20"/>
                <w:szCs w:val="20"/>
              </w:rPr>
              <w:t>and</w:t>
            </w:r>
          </w:p>
          <w:p w14:paraId="2E2012C9" w14:textId="3B1E607B" w:rsidR="00DB7F92" w:rsidRPr="0088364D" w:rsidRDefault="00DB7F92" w:rsidP="00970B92">
            <w:pPr>
              <w:pStyle w:val="Heading4"/>
              <w:rPr>
                <w:sz w:val="20"/>
                <w:szCs w:val="20"/>
              </w:rPr>
            </w:pPr>
            <w:r w:rsidRPr="0088364D">
              <w:rPr>
                <w:sz w:val="20"/>
                <w:szCs w:val="20"/>
              </w:rPr>
              <w:t>the commissioners'</w:t>
            </w:r>
            <w:r w:rsidRPr="0088364D">
              <w:rPr>
                <w:spacing w:val="44"/>
                <w:sz w:val="20"/>
                <w:szCs w:val="20"/>
              </w:rPr>
              <w:t xml:space="preserve"> </w:t>
            </w:r>
            <w:r w:rsidRPr="0088364D">
              <w:rPr>
                <w:sz w:val="20"/>
                <w:szCs w:val="20"/>
              </w:rPr>
              <w:t>decisions</w:t>
            </w:r>
            <w:r w:rsidRPr="0088364D">
              <w:rPr>
                <w:spacing w:val="46"/>
                <w:sz w:val="20"/>
                <w:szCs w:val="20"/>
              </w:rPr>
              <w:t xml:space="preserve"> </w:t>
            </w:r>
            <w:r w:rsidRPr="0088364D">
              <w:rPr>
                <w:sz w:val="20"/>
                <w:szCs w:val="20"/>
              </w:rPr>
              <w:t>affecting</w:t>
            </w:r>
            <w:r w:rsidRPr="0088364D">
              <w:rPr>
                <w:spacing w:val="44"/>
                <w:sz w:val="20"/>
                <w:szCs w:val="20"/>
              </w:rPr>
              <w:t xml:space="preserve"> </w:t>
            </w:r>
            <w:r w:rsidRPr="0088364D">
              <w:rPr>
                <w:sz w:val="20"/>
                <w:szCs w:val="20"/>
              </w:rPr>
              <w:t>the</w:t>
            </w:r>
            <w:r w:rsidRPr="0088364D">
              <w:rPr>
                <w:spacing w:val="45"/>
                <w:sz w:val="20"/>
                <w:szCs w:val="20"/>
              </w:rPr>
              <w:t xml:space="preserve"> </w:t>
            </w:r>
            <w:r w:rsidRPr="0088364D">
              <w:rPr>
                <w:sz w:val="20"/>
                <w:szCs w:val="20"/>
              </w:rPr>
              <w:t>operation</w:t>
            </w:r>
            <w:r w:rsidRPr="0088364D">
              <w:rPr>
                <w:spacing w:val="45"/>
                <w:sz w:val="20"/>
                <w:szCs w:val="20"/>
              </w:rPr>
              <w:t xml:space="preserve"> </w:t>
            </w:r>
            <w:r w:rsidRPr="0088364D">
              <w:rPr>
                <w:sz w:val="20"/>
                <w:szCs w:val="20"/>
              </w:rPr>
              <w:t>of</w:t>
            </w:r>
            <w:r w:rsidRPr="0088364D">
              <w:rPr>
                <w:spacing w:val="39"/>
                <w:sz w:val="20"/>
                <w:szCs w:val="20"/>
              </w:rPr>
              <w:t xml:space="preserve"> </w:t>
            </w:r>
            <w:r w:rsidRPr="0088364D">
              <w:rPr>
                <w:sz w:val="20"/>
                <w:szCs w:val="20"/>
              </w:rPr>
              <w:t>commissioning</w:t>
            </w:r>
            <w:r w:rsidRPr="0088364D">
              <w:rPr>
                <w:spacing w:val="11"/>
                <w:sz w:val="20"/>
                <w:szCs w:val="20"/>
              </w:rPr>
              <w:t xml:space="preserve"> </w:t>
            </w:r>
            <w:r w:rsidRPr="0088364D">
              <w:rPr>
                <w:sz w:val="20"/>
                <w:szCs w:val="20"/>
              </w:rPr>
              <w:t>arrangements,</w:t>
            </w:r>
            <w:r w:rsidRPr="0088364D">
              <w:rPr>
                <w:spacing w:val="10"/>
                <w:sz w:val="20"/>
                <w:szCs w:val="20"/>
              </w:rPr>
              <w:t xml:space="preserve"> </w:t>
            </w:r>
            <w:r w:rsidRPr="0088364D">
              <w:rPr>
                <w:sz w:val="20"/>
                <w:szCs w:val="20"/>
              </w:rPr>
              <w:t>if</w:t>
            </w:r>
            <w:r w:rsidRPr="0088364D">
              <w:rPr>
                <w:spacing w:val="8"/>
                <w:sz w:val="20"/>
                <w:szCs w:val="20"/>
              </w:rPr>
              <w:t xml:space="preserve"> </w:t>
            </w:r>
            <w:r w:rsidRPr="0088364D">
              <w:rPr>
                <w:sz w:val="20"/>
                <w:szCs w:val="20"/>
              </w:rPr>
              <w:t>those</w:t>
            </w:r>
            <w:r w:rsidRPr="0088364D">
              <w:rPr>
                <w:spacing w:val="11"/>
                <w:sz w:val="20"/>
                <w:szCs w:val="20"/>
              </w:rPr>
              <w:t xml:space="preserve"> </w:t>
            </w:r>
            <w:r w:rsidRPr="0088364D">
              <w:rPr>
                <w:sz w:val="20"/>
                <w:szCs w:val="20"/>
              </w:rPr>
              <w:t>decisions</w:t>
            </w:r>
            <w:r w:rsidRPr="0088364D">
              <w:rPr>
                <w:spacing w:val="10"/>
                <w:sz w:val="20"/>
                <w:szCs w:val="20"/>
              </w:rPr>
              <w:t xml:space="preserve"> </w:t>
            </w:r>
            <w:r w:rsidR="00050291" w:rsidRPr="0088364D">
              <w:rPr>
                <w:sz w:val="20"/>
                <w:szCs w:val="20"/>
              </w:rPr>
              <w:t xml:space="preserve">would </w:t>
            </w:r>
            <w:r w:rsidR="00050291" w:rsidRPr="00A553BA">
              <w:rPr>
                <w:spacing w:val="8"/>
                <w:sz w:val="20"/>
              </w:rPr>
              <w:t>have</w:t>
            </w:r>
            <w:r w:rsidRPr="0088364D">
              <w:rPr>
                <w:spacing w:val="61"/>
                <w:w w:val="99"/>
                <w:sz w:val="20"/>
                <w:szCs w:val="20"/>
              </w:rPr>
              <w:t xml:space="preserve"> </w:t>
            </w:r>
            <w:r w:rsidRPr="0088364D">
              <w:rPr>
                <w:sz w:val="20"/>
                <w:szCs w:val="20"/>
              </w:rPr>
              <w:t>such</w:t>
            </w:r>
            <w:r w:rsidRPr="0088364D">
              <w:rPr>
                <w:spacing w:val="-6"/>
                <w:sz w:val="20"/>
                <w:szCs w:val="20"/>
              </w:rPr>
              <w:t xml:space="preserve"> </w:t>
            </w:r>
            <w:r w:rsidRPr="0088364D">
              <w:rPr>
                <w:sz w:val="20"/>
                <w:szCs w:val="20"/>
              </w:rPr>
              <w:t>an</w:t>
            </w:r>
            <w:r w:rsidRPr="0088364D">
              <w:rPr>
                <w:spacing w:val="-6"/>
                <w:sz w:val="20"/>
                <w:szCs w:val="20"/>
              </w:rPr>
              <w:t xml:space="preserve"> </w:t>
            </w:r>
            <w:r w:rsidRPr="0088364D">
              <w:rPr>
                <w:sz w:val="20"/>
                <w:szCs w:val="20"/>
              </w:rPr>
              <w:t>impact.</w:t>
            </w:r>
          </w:p>
          <w:p w14:paraId="608CFA6A" w14:textId="77777777" w:rsidR="00970B92" w:rsidRPr="0088364D" w:rsidRDefault="00970B92" w:rsidP="00970B92">
            <w:pPr>
              <w:widowControl w:val="0"/>
              <w:tabs>
                <w:tab w:val="left" w:pos="2148"/>
              </w:tabs>
              <w:spacing w:after="120"/>
              <w:ind w:right="117"/>
              <w:jc w:val="both"/>
              <w:rPr>
                <w:rFonts w:cs="Arial"/>
                <w:bCs w:val="0"/>
                <w:spacing w:val="-1"/>
                <w:sz w:val="20"/>
                <w:szCs w:val="20"/>
                <w:lang w:eastAsia="en-GB"/>
              </w:rPr>
            </w:pPr>
          </w:p>
          <w:p w14:paraId="1F7D6CFB" w14:textId="7E886C32" w:rsidR="00DB7F92" w:rsidRPr="0088364D" w:rsidRDefault="00DB7F92" w:rsidP="00970B92">
            <w:pPr>
              <w:widowControl w:val="0"/>
              <w:tabs>
                <w:tab w:val="left" w:pos="2148"/>
              </w:tabs>
              <w:spacing w:after="120"/>
              <w:ind w:left="720" w:right="117"/>
              <w:jc w:val="both"/>
              <w:rPr>
                <w:rFonts w:cs="Arial"/>
                <w:bCs w:val="0"/>
                <w:spacing w:val="-1"/>
                <w:sz w:val="20"/>
                <w:szCs w:val="20"/>
                <w:lang w:eastAsia="en-GB"/>
              </w:rPr>
            </w:pPr>
            <w:r w:rsidRPr="0088364D">
              <w:rPr>
                <w:rFonts w:cs="Arial"/>
                <w:bCs w:val="0"/>
                <w:spacing w:val="-1"/>
                <w:sz w:val="20"/>
                <w:szCs w:val="20"/>
                <w:lang w:eastAsia="en-GB"/>
              </w:rPr>
              <w:t xml:space="preserve">(in respect of NHS England, see section 13Q of the NHS Act 2006; in respect of </w:t>
            </w:r>
            <w:r w:rsidR="00B83042">
              <w:rPr>
                <w:rFonts w:cs="Arial"/>
                <w:bCs w:val="0"/>
                <w:spacing w:val="-1"/>
                <w:sz w:val="20"/>
                <w:szCs w:val="20"/>
                <w:lang w:eastAsia="en-GB"/>
              </w:rPr>
              <w:t>CCG/ICBCCGs/ICBs</w:t>
            </w:r>
            <w:r w:rsidRPr="0088364D">
              <w:rPr>
                <w:rFonts w:cs="Arial"/>
                <w:bCs w:val="0"/>
                <w:spacing w:val="-1"/>
                <w:sz w:val="20"/>
                <w:szCs w:val="20"/>
                <w:lang w:eastAsia="en-GB"/>
              </w:rPr>
              <w:t xml:space="preserve">, see section 14Z2 of the NHS Act 2006) </w:t>
            </w:r>
          </w:p>
          <w:p w14:paraId="30E3A609" w14:textId="77777777" w:rsidR="002D119A" w:rsidRPr="0088364D" w:rsidRDefault="002D119A" w:rsidP="00970B92">
            <w:pPr>
              <w:widowControl w:val="0"/>
              <w:tabs>
                <w:tab w:val="left" w:pos="2148"/>
              </w:tabs>
              <w:spacing w:after="120"/>
              <w:ind w:left="720" w:right="117"/>
              <w:jc w:val="both"/>
              <w:rPr>
                <w:rFonts w:cs="Arial"/>
                <w:bCs w:val="0"/>
                <w:sz w:val="20"/>
                <w:szCs w:val="20"/>
                <w:lang w:eastAsia="en-GB"/>
              </w:rPr>
            </w:pPr>
          </w:p>
          <w:p w14:paraId="29CAA95C" w14:textId="77777777" w:rsidR="00DB7F92" w:rsidRPr="0088364D" w:rsidRDefault="00DB7F92" w:rsidP="00884224">
            <w:pPr>
              <w:keepNext/>
              <w:keepLines/>
              <w:tabs>
                <w:tab w:val="num" w:pos="5761"/>
              </w:tabs>
              <w:spacing w:before="173"/>
              <w:ind w:left="13"/>
              <w:jc w:val="both"/>
              <w:outlineLvl w:val="6"/>
              <w:rPr>
                <w:rFonts w:eastAsiaTheme="majorEastAsia" w:cs="Arial"/>
                <w:b/>
                <w:i/>
                <w:iCs/>
                <w:color w:val="404040" w:themeColor="text1" w:themeTint="BF"/>
                <w:spacing w:val="-1"/>
                <w:sz w:val="20"/>
                <w:szCs w:val="20"/>
              </w:rPr>
            </w:pPr>
            <w:r w:rsidRPr="0088364D">
              <w:rPr>
                <w:rFonts w:eastAsiaTheme="majorEastAsia" w:cs="Arial"/>
                <w:b/>
                <w:i/>
                <w:iCs/>
                <w:color w:val="404040" w:themeColor="text1" w:themeTint="BF"/>
                <w:spacing w:val="-1"/>
                <w:sz w:val="20"/>
                <w:szCs w:val="20"/>
              </w:rPr>
              <w:t>Duty to act fairly &amp; reasonably</w:t>
            </w:r>
          </w:p>
          <w:p w14:paraId="7241C770" w14:textId="77777777" w:rsidR="00970B92" w:rsidRPr="0088364D" w:rsidRDefault="00970B92" w:rsidP="00970B92">
            <w:pPr>
              <w:pStyle w:val="Heading3"/>
              <w:numPr>
                <w:ilvl w:val="0"/>
                <w:numId w:val="0"/>
              </w:numPr>
              <w:ind w:left="720"/>
              <w:rPr>
                <w:sz w:val="20"/>
                <w:szCs w:val="20"/>
                <w:lang w:eastAsia="en-GB"/>
              </w:rPr>
            </w:pPr>
          </w:p>
          <w:p w14:paraId="5ECFEF88" w14:textId="77777777" w:rsidR="00DB7F92" w:rsidRPr="0088364D" w:rsidRDefault="00DB7F92" w:rsidP="00970B92">
            <w:pPr>
              <w:pStyle w:val="Heading3"/>
              <w:rPr>
                <w:sz w:val="20"/>
                <w:szCs w:val="20"/>
                <w:lang w:eastAsia="en-GB"/>
              </w:rPr>
            </w:pPr>
            <w:r w:rsidRPr="0088364D">
              <w:rPr>
                <w:sz w:val="20"/>
                <w:szCs w:val="20"/>
                <w:lang w:eastAsia="en-GB"/>
              </w:rPr>
              <w:t>Commissioners</w:t>
            </w:r>
            <w:r w:rsidRPr="0088364D">
              <w:rPr>
                <w:spacing w:val="43"/>
                <w:sz w:val="20"/>
                <w:szCs w:val="20"/>
                <w:lang w:eastAsia="en-GB"/>
              </w:rPr>
              <w:t xml:space="preserve"> </w:t>
            </w:r>
            <w:r w:rsidRPr="0088364D">
              <w:rPr>
                <w:sz w:val="20"/>
                <w:szCs w:val="20"/>
                <w:lang w:eastAsia="en-GB"/>
              </w:rPr>
              <w:t>have</w:t>
            </w:r>
            <w:r w:rsidRPr="0088364D">
              <w:rPr>
                <w:spacing w:val="45"/>
                <w:sz w:val="20"/>
                <w:szCs w:val="20"/>
                <w:lang w:eastAsia="en-GB"/>
              </w:rPr>
              <w:t xml:space="preserve"> </w:t>
            </w:r>
            <w:r w:rsidRPr="0088364D">
              <w:rPr>
                <w:sz w:val="20"/>
                <w:szCs w:val="20"/>
                <w:lang w:eastAsia="en-GB"/>
              </w:rPr>
              <w:t>a duty</w:t>
            </w:r>
            <w:r w:rsidRPr="0088364D">
              <w:rPr>
                <w:spacing w:val="45"/>
                <w:sz w:val="20"/>
                <w:szCs w:val="20"/>
                <w:lang w:eastAsia="en-GB"/>
              </w:rPr>
              <w:t xml:space="preserve"> </w:t>
            </w:r>
            <w:r w:rsidRPr="0088364D">
              <w:rPr>
                <w:sz w:val="20"/>
                <w:szCs w:val="20"/>
                <w:lang w:eastAsia="en-GB"/>
              </w:rPr>
              <w:t>to</w:t>
            </w:r>
            <w:r w:rsidRPr="0088364D">
              <w:rPr>
                <w:spacing w:val="43"/>
                <w:sz w:val="20"/>
                <w:szCs w:val="20"/>
                <w:lang w:eastAsia="en-GB"/>
              </w:rPr>
              <w:t xml:space="preserve"> </w:t>
            </w:r>
            <w:r w:rsidRPr="0088364D">
              <w:rPr>
                <w:sz w:val="20"/>
                <w:szCs w:val="20"/>
                <w:lang w:eastAsia="en-GB"/>
              </w:rPr>
              <w:t>act</w:t>
            </w:r>
            <w:r w:rsidRPr="0088364D">
              <w:rPr>
                <w:spacing w:val="44"/>
                <w:sz w:val="20"/>
                <w:szCs w:val="20"/>
                <w:lang w:eastAsia="en-GB"/>
              </w:rPr>
              <w:t xml:space="preserve"> </w:t>
            </w:r>
            <w:r w:rsidRPr="0088364D">
              <w:rPr>
                <w:sz w:val="20"/>
                <w:szCs w:val="20"/>
                <w:lang w:eastAsia="en-GB"/>
              </w:rPr>
              <w:t>fairly</w:t>
            </w:r>
            <w:r w:rsidRPr="0088364D">
              <w:rPr>
                <w:spacing w:val="44"/>
                <w:sz w:val="20"/>
                <w:szCs w:val="20"/>
                <w:lang w:eastAsia="en-GB"/>
              </w:rPr>
              <w:t xml:space="preserve"> </w:t>
            </w:r>
            <w:r w:rsidRPr="0088364D">
              <w:rPr>
                <w:sz w:val="20"/>
                <w:szCs w:val="20"/>
                <w:lang w:eastAsia="en-GB"/>
              </w:rPr>
              <w:t>and</w:t>
            </w:r>
            <w:r w:rsidRPr="0088364D">
              <w:rPr>
                <w:spacing w:val="44"/>
                <w:sz w:val="20"/>
                <w:szCs w:val="20"/>
                <w:lang w:eastAsia="en-GB"/>
              </w:rPr>
              <w:t xml:space="preserve"> </w:t>
            </w:r>
            <w:r w:rsidRPr="0088364D">
              <w:rPr>
                <w:sz w:val="20"/>
                <w:szCs w:val="20"/>
                <w:lang w:eastAsia="en-GB"/>
              </w:rPr>
              <w:t>reasonably</w:t>
            </w:r>
            <w:r w:rsidRPr="0088364D">
              <w:rPr>
                <w:spacing w:val="44"/>
                <w:sz w:val="20"/>
                <w:szCs w:val="20"/>
                <w:lang w:eastAsia="en-GB"/>
              </w:rPr>
              <w:t xml:space="preserve"> </w:t>
            </w:r>
            <w:r w:rsidRPr="0088364D">
              <w:rPr>
                <w:sz w:val="20"/>
                <w:szCs w:val="20"/>
                <w:lang w:eastAsia="en-GB"/>
              </w:rPr>
              <w:t>when</w:t>
            </w:r>
            <w:r w:rsidRPr="0088364D">
              <w:rPr>
                <w:spacing w:val="44"/>
                <w:sz w:val="20"/>
                <w:szCs w:val="20"/>
                <w:lang w:eastAsia="en-GB"/>
              </w:rPr>
              <w:t xml:space="preserve"> </w:t>
            </w:r>
            <w:r w:rsidRPr="0088364D">
              <w:rPr>
                <w:sz w:val="20"/>
                <w:szCs w:val="20"/>
                <w:lang w:eastAsia="en-GB"/>
              </w:rPr>
              <w:t>making</w:t>
            </w:r>
            <w:r w:rsidRPr="0088364D">
              <w:rPr>
                <w:spacing w:val="43"/>
                <w:sz w:val="20"/>
                <w:szCs w:val="20"/>
                <w:lang w:eastAsia="en-GB"/>
              </w:rPr>
              <w:t xml:space="preserve"> </w:t>
            </w:r>
            <w:r w:rsidRPr="0088364D">
              <w:rPr>
                <w:sz w:val="20"/>
                <w:szCs w:val="20"/>
                <w:lang w:eastAsia="en-GB"/>
              </w:rPr>
              <w:t>its</w:t>
            </w:r>
            <w:r w:rsidRPr="0088364D">
              <w:rPr>
                <w:spacing w:val="39"/>
                <w:sz w:val="20"/>
                <w:szCs w:val="20"/>
                <w:lang w:eastAsia="en-GB"/>
              </w:rPr>
              <w:t xml:space="preserve"> </w:t>
            </w:r>
            <w:r w:rsidRPr="0088364D">
              <w:rPr>
                <w:sz w:val="20"/>
                <w:szCs w:val="20"/>
                <w:lang w:eastAsia="en-GB"/>
              </w:rPr>
              <w:t>decisions.</w:t>
            </w:r>
            <w:r w:rsidRPr="0088364D">
              <w:rPr>
                <w:spacing w:val="21"/>
                <w:sz w:val="20"/>
                <w:szCs w:val="20"/>
                <w:lang w:eastAsia="en-GB"/>
              </w:rPr>
              <w:t xml:space="preserve"> </w:t>
            </w:r>
            <w:r w:rsidRPr="0088364D">
              <w:rPr>
                <w:sz w:val="20"/>
                <w:szCs w:val="20"/>
                <w:lang w:eastAsia="en-GB"/>
              </w:rPr>
              <w:t>These</w:t>
            </w:r>
            <w:r w:rsidRPr="0088364D">
              <w:rPr>
                <w:spacing w:val="44"/>
                <w:sz w:val="20"/>
                <w:szCs w:val="20"/>
                <w:lang w:eastAsia="en-GB"/>
              </w:rPr>
              <w:t xml:space="preserve"> </w:t>
            </w:r>
            <w:r w:rsidRPr="0088364D">
              <w:rPr>
                <w:sz w:val="20"/>
                <w:szCs w:val="20"/>
                <w:lang w:eastAsia="en-GB"/>
              </w:rPr>
              <w:t>duties</w:t>
            </w:r>
            <w:r w:rsidRPr="0088364D">
              <w:rPr>
                <w:spacing w:val="45"/>
                <w:sz w:val="20"/>
                <w:szCs w:val="20"/>
                <w:lang w:eastAsia="en-GB"/>
              </w:rPr>
              <w:t xml:space="preserve"> </w:t>
            </w:r>
            <w:r w:rsidRPr="0088364D">
              <w:rPr>
                <w:sz w:val="20"/>
                <w:szCs w:val="20"/>
                <w:lang w:eastAsia="en-GB"/>
              </w:rPr>
              <w:t>come</w:t>
            </w:r>
            <w:r w:rsidRPr="0088364D">
              <w:rPr>
                <w:spacing w:val="42"/>
                <w:sz w:val="20"/>
                <w:szCs w:val="20"/>
                <w:lang w:eastAsia="en-GB"/>
              </w:rPr>
              <w:t xml:space="preserve"> </w:t>
            </w:r>
            <w:r w:rsidRPr="0088364D">
              <w:rPr>
                <w:sz w:val="20"/>
                <w:szCs w:val="20"/>
                <w:lang w:eastAsia="en-GB"/>
              </w:rPr>
              <w:t>from</w:t>
            </w:r>
            <w:r w:rsidRPr="0088364D">
              <w:rPr>
                <w:spacing w:val="46"/>
                <w:sz w:val="20"/>
                <w:szCs w:val="20"/>
                <w:lang w:eastAsia="en-GB"/>
              </w:rPr>
              <w:t xml:space="preserve"> </w:t>
            </w:r>
            <w:r w:rsidRPr="0088364D">
              <w:rPr>
                <w:sz w:val="20"/>
                <w:szCs w:val="20"/>
                <w:lang w:eastAsia="en-GB"/>
              </w:rPr>
              <w:t>case</w:t>
            </w:r>
            <w:r w:rsidRPr="0088364D">
              <w:rPr>
                <w:spacing w:val="42"/>
                <w:sz w:val="20"/>
                <w:szCs w:val="20"/>
                <w:lang w:eastAsia="en-GB"/>
              </w:rPr>
              <w:t xml:space="preserve"> </w:t>
            </w:r>
            <w:r w:rsidRPr="0088364D">
              <w:rPr>
                <w:spacing w:val="1"/>
                <w:sz w:val="20"/>
                <w:szCs w:val="20"/>
                <w:lang w:eastAsia="en-GB"/>
              </w:rPr>
              <w:t>law</w:t>
            </w:r>
            <w:r w:rsidRPr="0088364D">
              <w:rPr>
                <w:spacing w:val="44"/>
                <w:sz w:val="20"/>
                <w:szCs w:val="20"/>
                <w:lang w:eastAsia="en-GB"/>
              </w:rPr>
              <w:t xml:space="preserve"> </w:t>
            </w:r>
            <w:r w:rsidRPr="0088364D">
              <w:rPr>
                <w:sz w:val="20"/>
                <w:szCs w:val="20"/>
                <w:lang w:eastAsia="en-GB"/>
              </w:rPr>
              <w:t>that</w:t>
            </w:r>
            <w:r w:rsidRPr="0088364D">
              <w:rPr>
                <w:spacing w:val="43"/>
                <w:sz w:val="20"/>
                <w:szCs w:val="20"/>
                <w:lang w:eastAsia="en-GB"/>
              </w:rPr>
              <w:t xml:space="preserve"> </w:t>
            </w:r>
            <w:r w:rsidRPr="0088364D">
              <w:rPr>
                <w:sz w:val="20"/>
                <w:szCs w:val="20"/>
                <w:lang w:eastAsia="en-GB"/>
              </w:rPr>
              <w:t>applies</w:t>
            </w:r>
            <w:r w:rsidRPr="0088364D">
              <w:rPr>
                <w:spacing w:val="44"/>
                <w:sz w:val="20"/>
                <w:szCs w:val="20"/>
                <w:lang w:eastAsia="en-GB"/>
              </w:rPr>
              <w:t xml:space="preserve"> </w:t>
            </w:r>
            <w:r w:rsidRPr="0088364D">
              <w:rPr>
                <w:sz w:val="20"/>
                <w:szCs w:val="20"/>
                <w:lang w:eastAsia="en-GB"/>
              </w:rPr>
              <w:t>to</w:t>
            </w:r>
            <w:r w:rsidRPr="0088364D">
              <w:rPr>
                <w:spacing w:val="43"/>
                <w:sz w:val="20"/>
                <w:szCs w:val="20"/>
                <w:lang w:eastAsia="en-GB"/>
              </w:rPr>
              <w:t xml:space="preserve"> </w:t>
            </w:r>
            <w:r w:rsidRPr="0088364D">
              <w:rPr>
                <w:sz w:val="20"/>
                <w:szCs w:val="20"/>
                <w:lang w:eastAsia="en-GB"/>
              </w:rPr>
              <w:t>all</w:t>
            </w:r>
            <w:r w:rsidRPr="0088364D">
              <w:rPr>
                <w:spacing w:val="44"/>
                <w:sz w:val="20"/>
                <w:szCs w:val="20"/>
                <w:lang w:eastAsia="en-GB"/>
              </w:rPr>
              <w:t xml:space="preserve"> </w:t>
            </w:r>
            <w:r w:rsidRPr="0088364D">
              <w:rPr>
                <w:sz w:val="20"/>
                <w:szCs w:val="20"/>
                <w:lang w:eastAsia="en-GB"/>
              </w:rPr>
              <w:t>public</w:t>
            </w:r>
            <w:r w:rsidRPr="0088364D">
              <w:rPr>
                <w:spacing w:val="46"/>
                <w:w w:val="99"/>
                <w:sz w:val="20"/>
                <w:szCs w:val="20"/>
                <w:lang w:eastAsia="en-GB"/>
              </w:rPr>
              <w:t xml:space="preserve"> </w:t>
            </w:r>
            <w:r w:rsidRPr="0088364D">
              <w:rPr>
                <w:sz w:val="20"/>
                <w:szCs w:val="20"/>
                <w:lang w:eastAsia="en-GB"/>
              </w:rPr>
              <w:t>bodies.</w:t>
            </w:r>
          </w:p>
          <w:p w14:paraId="6A252EB0" w14:textId="77777777" w:rsidR="00DB7F92" w:rsidRPr="0088364D" w:rsidRDefault="00DB7F92" w:rsidP="00884224">
            <w:pPr>
              <w:keepNext/>
              <w:keepLines/>
              <w:tabs>
                <w:tab w:val="num" w:pos="5761"/>
              </w:tabs>
              <w:spacing w:before="173"/>
              <w:ind w:left="13"/>
              <w:jc w:val="both"/>
              <w:outlineLvl w:val="6"/>
              <w:rPr>
                <w:rFonts w:eastAsiaTheme="majorEastAsia" w:cs="Arial"/>
                <w:b/>
                <w:i/>
                <w:iCs/>
                <w:color w:val="404040" w:themeColor="text1" w:themeTint="BF"/>
                <w:spacing w:val="-1"/>
                <w:sz w:val="20"/>
                <w:szCs w:val="20"/>
              </w:rPr>
            </w:pPr>
            <w:r w:rsidRPr="0088364D">
              <w:rPr>
                <w:rFonts w:eastAsiaTheme="majorEastAsia" w:cs="Arial"/>
                <w:b/>
                <w:i/>
                <w:iCs/>
                <w:color w:val="404040" w:themeColor="text1" w:themeTint="BF"/>
                <w:spacing w:val="-1"/>
                <w:sz w:val="20"/>
                <w:szCs w:val="20"/>
              </w:rPr>
              <w:t>Duty to obtain advice</w:t>
            </w:r>
          </w:p>
          <w:p w14:paraId="2F7D0090" w14:textId="77777777" w:rsidR="00DB7F92" w:rsidRPr="0088364D" w:rsidRDefault="00DB7F92" w:rsidP="00DB7F92">
            <w:pPr>
              <w:spacing w:before="2"/>
              <w:jc w:val="both"/>
              <w:rPr>
                <w:rFonts w:eastAsia="Tw Cen MT Condensed Extra Bold" w:cs="Arial"/>
                <w:b/>
                <w:bCs w:val="0"/>
                <w:sz w:val="20"/>
                <w:szCs w:val="20"/>
              </w:rPr>
            </w:pPr>
          </w:p>
          <w:p w14:paraId="698B59FE" w14:textId="00406552" w:rsidR="00DB7F92" w:rsidRPr="0088364D" w:rsidRDefault="00DB7F92" w:rsidP="00970B92">
            <w:pPr>
              <w:pStyle w:val="Heading3"/>
              <w:rPr>
                <w:sz w:val="20"/>
                <w:szCs w:val="20"/>
                <w:lang w:eastAsia="en-GB"/>
              </w:rPr>
            </w:pPr>
            <w:r w:rsidRPr="0088364D">
              <w:rPr>
                <w:sz w:val="20"/>
                <w:szCs w:val="20"/>
                <w:lang w:eastAsia="en-GB"/>
              </w:rPr>
              <w:t>Commissioners have</w:t>
            </w:r>
            <w:r w:rsidRPr="0088364D">
              <w:rPr>
                <w:spacing w:val="32"/>
                <w:sz w:val="20"/>
                <w:szCs w:val="20"/>
                <w:lang w:eastAsia="en-GB"/>
              </w:rPr>
              <w:t xml:space="preserve"> </w:t>
            </w:r>
            <w:r w:rsidRPr="0088364D">
              <w:rPr>
                <w:sz w:val="20"/>
                <w:szCs w:val="20"/>
                <w:lang w:eastAsia="en-GB"/>
              </w:rPr>
              <w:t>a</w:t>
            </w:r>
            <w:r w:rsidRPr="0088364D">
              <w:rPr>
                <w:spacing w:val="34"/>
                <w:sz w:val="20"/>
                <w:szCs w:val="20"/>
                <w:lang w:eastAsia="en-GB"/>
              </w:rPr>
              <w:t xml:space="preserve"> </w:t>
            </w:r>
            <w:r w:rsidRPr="0088364D">
              <w:rPr>
                <w:sz w:val="20"/>
                <w:szCs w:val="20"/>
                <w:lang w:eastAsia="en-GB"/>
              </w:rPr>
              <w:t>duty</w:t>
            </w:r>
            <w:r w:rsidRPr="0088364D">
              <w:rPr>
                <w:spacing w:val="33"/>
                <w:sz w:val="20"/>
                <w:szCs w:val="20"/>
                <w:lang w:eastAsia="en-GB"/>
              </w:rPr>
              <w:t xml:space="preserve"> </w:t>
            </w:r>
            <w:r w:rsidRPr="0088364D">
              <w:rPr>
                <w:sz w:val="20"/>
                <w:szCs w:val="20"/>
                <w:lang w:eastAsia="en-GB"/>
              </w:rPr>
              <w:t>to</w:t>
            </w:r>
            <w:r w:rsidRPr="0088364D">
              <w:rPr>
                <w:spacing w:val="31"/>
                <w:sz w:val="20"/>
                <w:szCs w:val="20"/>
                <w:lang w:eastAsia="en-GB"/>
              </w:rPr>
              <w:t xml:space="preserve"> </w:t>
            </w:r>
            <w:r w:rsidRPr="0088364D">
              <w:rPr>
                <w:sz w:val="20"/>
                <w:szCs w:val="20"/>
                <w:lang w:eastAsia="en-GB"/>
              </w:rPr>
              <w:t>"obtain</w:t>
            </w:r>
            <w:r w:rsidRPr="0088364D">
              <w:rPr>
                <w:spacing w:val="33"/>
                <w:sz w:val="20"/>
                <w:szCs w:val="20"/>
                <w:lang w:eastAsia="en-GB"/>
              </w:rPr>
              <w:t xml:space="preserve"> </w:t>
            </w:r>
            <w:r w:rsidRPr="0088364D">
              <w:rPr>
                <w:sz w:val="20"/>
                <w:szCs w:val="20"/>
                <w:lang w:eastAsia="en-GB"/>
              </w:rPr>
              <w:t>appropriate</w:t>
            </w:r>
            <w:r w:rsidRPr="0088364D">
              <w:rPr>
                <w:spacing w:val="33"/>
                <w:sz w:val="20"/>
                <w:szCs w:val="20"/>
                <w:lang w:eastAsia="en-GB"/>
              </w:rPr>
              <w:t xml:space="preserve"> </w:t>
            </w:r>
            <w:r w:rsidRPr="0088364D">
              <w:rPr>
                <w:sz w:val="20"/>
                <w:szCs w:val="20"/>
                <w:lang w:eastAsia="en-GB"/>
              </w:rPr>
              <w:t>advice"</w:t>
            </w:r>
            <w:r w:rsidRPr="0088364D">
              <w:rPr>
                <w:spacing w:val="15"/>
                <w:sz w:val="20"/>
                <w:szCs w:val="20"/>
                <w:lang w:eastAsia="en-GB"/>
              </w:rPr>
              <w:t xml:space="preserve"> </w:t>
            </w:r>
            <w:r w:rsidRPr="0088364D">
              <w:rPr>
                <w:sz w:val="20"/>
                <w:szCs w:val="20"/>
                <w:lang w:eastAsia="en-GB"/>
              </w:rPr>
              <w:t>from</w:t>
            </w:r>
            <w:r w:rsidRPr="0088364D">
              <w:rPr>
                <w:spacing w:val="31"/>
                <w:sz w:val="20"/>
                <w:szCs w:val="20"/>
                <w:lang w:eastAsia="en-GB"/>
              </w:rPr>
              <w:t xml:space="preserve"> </w:t>
            </w:r>
            <w:r w:rsidRPr="0088364D">
              <w:rPr>
                <w:sz w:val="20"/>
                <w:szCs w:val="20"/>
                <w:lang w:eastAsia="en-GB"/>
              </w:rPr>
              <w:t xml:space="preserve">persons with a broad range of professional expertise (in respect of NHS England, see section 13J of the NHS Act 2006; and, in respect of </w:t>
            </w:r>
            <w:r w:rsidR="00B83042">
              <w:rPr>
                <w:sz w:val="20"/>
                <w:szCs w:val="20"/>
                <w:lang w:eastAsia="en-GB"/>
              </w:rPr>
              <w:t>CCG/ICBCCGs/ICBs</w:t>
            </w:r>
            <w:r w:rsidRPr="0088364D">
              <w:rPr>
                <w:sz w:val="20"/>
                <w:szCs w:val="20"/>
                <w:lang w:eastAsia="en-GB"/>
              </w:rPr>
              <w:t>, see section 14W of the NHS Act 2006)</w:t>
            </w:r>
          </w:p>
          <w:p w14:paraId="220862A1" w14:textId="77777777" w:rsidR="00DB7F92" w:rsidRPr="0088364D" w:rsidRDefault="00DB7F92" w:rsidP="00DB7F92">
            <w:pPr>
              <w:widowControl w:val="0"/>
              <w:tabs>
                <w:tab w:val="left" w:pos="1559"/>
              </w:tabs>
              <w:spacing w:after="120"/>
              <w:jc w:val="both"/>
              <w:rPr>
                <w:rFonts w:cs="Arial"/>
                <w:bCs w:val="0"/>
                <w:sz w:val="20"/>
                <w:szCs w:val="20"/>
                <w:lang w:eastAsia="en-GB"/>
              </w:rPr>
            </w:pPr>
          </w:p>
          <w:p w14:paraId="36BC8FE8" w14:textId="77777777" w:rsidR="00DB7F92" w:rsidRPr="0088364D" w:rsidRDefault="00DB7F92" w:rsidP="00884224">
            <w:pPr>
              <w:keepNext/>
              <w:keepLines/>
              <w:tabs>
                <w:tab w:val="num" w:pos="5761"/>
              </w:tabs>
              <w:spacing w:before="173"/>
              <w:ind w:left="13"/>
              <w:jc w:val="both"/>
              <w:outlineLvl w:val="6"/>
              <w:rPr>
                <w:rFonts w:eastAsiaTheme="majorEastAsia" w:cs="Arial"/>
                <w:b/>
                <w:i/>
                <w:iCs/>
                <w:color w:val="404040" w:themeColor="text1" w:themeTint="BF"/>
                <w:spacing w:val="-1"/>
                <w:sz w:val="20"/>
                <w:szCs w:val="20"/>
              </w:rPr>
            </w:pPr>
            <w:r w:rsidRPr="0088364D">
              <w:rPr>
                <w:rFonts w:eastAsiaTheme="majorEastAsia" w:cs="Arial"/>
                <w:b/>
                <w:i/>
                <w:iCs/>
                <w:color w:val="404040" w:themeColor="text1" w:themeTint="BF"/>
                <w:spacing w:val="-1"/>
                <w:sz w:val="20"/>
                <w:szCs w:val="20"/>
              </w:rPr>
              <w:t>Duty to exercise functions effectively</w:t>
            </w:r>
          </w:p>
          <w:p w14:paraId="337C2A5B" w14:textId="77777777" w:rsidR="00970B92" w:rsidRPr="0088364D" w:rsidRDefault="00970B92" w:rsidP="00970B92">
            <w:pPr>
              <w:keepNext/>
              <w:keepLines/>
              <w:spacing w:before="186"/>
              <w:ind w:left="118"/>
              <w:jc w:val="both"/>
              <w:outlineLvl w:val="6"/>
              <w:rPr>
                <w:rFonts w:eastAsiaTheme="majorEastAsia" w:cs="Arial"/>
                <w:b/>
                <w:bCs w:val="0"/>
                <w:i/>
                <w:iCs/>
                <w:color w:val="404040" w:themeColor="text1" w:themeTint="BF"/>
                <w:sz w:val="20"/>
                <w:szCs w:val="20"/>
              </w:rPr>
            </w:pPr>
          </w:p>
          <w:p w14:paraId="7AE993D0" w14:textId="6077F70E" w:rsidR="00DB7F92" w:rsidRPr="0088364D" w:rsidRDefault="00DB7F92" w:rsidP="00970B92">
            <w:pPr>
              <w:pStyle w:val="Heading3"/>
              <w:rPr>
                <w:sz w:val="20"/>
                <w:szCs w:val="20"/>
                <w:lang w:eastAsia="en-GB"/>
              </w:rPr>
            </w:pPr>
            <w:r w:rsidRPr="0088364D">
              <w:rPr>
                <w:sz w:val="20"/>
                <w:szCs w:val="20"/>
                <w:lang w:eastAsia="en-GB"/>
              </w:rPr>
              <w:t>Commissioners have</w:t>
            </w:r>
            <w:r w:rsidRPr="0088364D">
              <w:rPr>
                <w:spacing w:val="32"/>
                <w:sz w:val="20"/>
                <w:szCs w:val="20"/>
                <w:lang w:eastAsia="en-GB"/>
              </w:rPr>
              <w:t xml:space="preserve"> </w:t>
            </w:r>
            <w:r w:rsidRPr="0088364D">
              <w:rPr>
                <w:sz w:val="20"/>
                <w:szCs w:val="20"/>
                <w:lang w:eastAsia="en-GB"/>
              </w:rPr>
              <w:t>a</w:t>
            </w:r>
            <w:r w:rsidRPr="0088364D">
              <w:rPr>
                <w:spacing w:val="32"/>
                <w:sz w:val="20"/>
                <w:szCs w:val="20"/>
                <w:lang w:eastAsia="en-GB"/>
              </w:rPr>
              <w:t xml:space="preserve"> </w:t>
            </w:r>
            <w:r w:rsidRPr="0088364D">
              <w:rPr>
                <w:sz w:val="20"/>
                <w:szCs w:val="20"/>
                <w:lang w:eastAsia="en-GB"/>
              </w:rPr>
              <w:t>duty</w:t>
            </w:r>
            <w:r w:rsidRPr="0088364D">
              <w:rPr>
                <w:spacing w:val="33"/>
                <w:sz w:val="20"/>
                <w:szCs w:val="20"/>
                <w:lang w:eastAsia="en-GB"/>
              </w:rPr>
              <w:t xml:space="preserve"> </w:t>
            </w:r>
            <w:r w:rsidRPr="0088364D">
              <w:rPr>
                <w:sz w:val="20"/>
                <w:szCs w:val="20"/>
                <w:lang w:eastAsia="en-GB"/>
              </w:rPr>
              <w:t>to</w:t>
            </w:r>
            <w:r w:rsidRPr="0088364D">
              <w:rPr>
                <w:spacing w:val="31"/>
                <w:sz w:val="20"/>
                <w:szCs w:val="20"/>
                <w:lang w:eastAsia="en-GB"/>
              </w:rPr>
              <w:t xml:space="preserve"> </w:t>
            </w:r>
            <w:r w:rsidRPr="0088364D">
              <w:rPr>
                <w:sz w:val="20"/>
                <w:szCs w:val="20"/>
                <w:lang w:eastAsia="en-GB"/>
              </w:rPr>
              <w:t>exercise</w:t>
            </w:r>
            <w:r w:rsidRPr="0088364D">
              <w:rPr>
                <w:spacing w:val="32"/>
                <w:sz w:val="20"/>
                <w:szCs w:val="20"/>
                <w:lang w:eastAsia="en-GB"/>
              </w:rPr>
              <w:t xml:space="preserve"> </w:t>
            </w:r>
            <w:r w:rsidRPr="0088364D">
              <w:rPr>
                <w:sz w:val="20"/>
                <w:szCs w:val="20"/>
                <w:lang w:eastAsia="en-GB"/>
              </w:rPr>
              <w:t>their</w:t>
            </w:r>
            <w:r w:rsidRPr="0088364D">
              <w:rPr>
                <w:spacing w:val="33"/>
                <w:sz w:val="20"/>
                <w:szCs w:val="20"/>
                <w:lang w:eastAsia="en-GB"/>
              </w:rPr>
              <w:t xml:space="preserve"> </w:t>
            </w:r>
            <w:r w:rsidRPr="0088364D">
              <w:rPr>
                <w:sz w:val="20"/>
                <w:szCs w:val="20"/>
                <w:lang w:eastAsia="en-GB"/>
              </w:rPr>
              <w:t>functions</w:t>
            </w:r>
            <w:r w:rsidRPr="0088364D">
              <w:rPr>
                <w:spacing w:val="34"/>
                <w:sz w:val="20"/>
                <w:szCs w:val="20"/>
                <w:lang w:eastAsia="en-GB"/>
              </w:rPr>
              <w:t xml:space="preserve"> </w:t>
            </w:r>
            <w:r w:rsidRPr="0088364D">
              <w:rPr>
                <w:sz w:val="20"/>
                <w:szCs w:val="20"/>
                <w:lang w:eastAsia="en-GB"/>
              </w:rPr>
              <w:t>effectively,</w:t>
            </w:r>
            <w:r w:rsidRPr="0088364D">
              <w:rPr>
                <w:spacing w:val="32"/>
                <w:sz w:val="20"/>
                <w:szCs w:val="20"/>
                <w:lang w:eastAsia="en-GB"/>
              </w:rPr>
              <w:t xml:space="preserve"> </w:t>
            </w:r>
            <w:r w:rsidRPr="0088364D">
              <w:rPr>
                <w:sz w:val="20"/>
                <w:szCs w:val="20"/>
                <w:lang w:eastAsia="en-GB"/>
              </w:rPr>
              <w:t>efficiently</w:t>
            </w:r>
            <w:r w:rsidRPr="0088364D">
              <w:rPr>
                <w:spacing w:val="53"/>
                <w:w w:val="99"/>
                <w:sz w:val="20"/>
                <w:szCs w:val="20"/>
                <w:lang w:eastAsia="en-GB"/>
              </w:rPr>
              <w:t xml:space="preserve"> </w:t>
            </w:r>
            <w:r w:rsidRPr="0088364D">
              <w:rPr>
                <w:sz w:val="20"/>
                <w:szCs w:val="20"/>
                <w:lang w:eastAsia="en-GB"/>
              </w:rPr>
              <w:t>and</w:t>
            </w:r>
            <w:r w:rsidRPr="0088364D">
              <w:rPr>
                <w:spacing w:val="-6"/>
                <w:sz w:val="20"/>
                <w:szCs w:val="20"/>
                <w:lang w:eastAsia="en-GB"/>
              </w:rPr>
              <w:t xml:space="preserve"> </w:t>
            </w:r>
            <w:r w:rsidRPr="0088364D">
              <w:rPr>
                <w:sz w:val="20"/>
                <w:szCs w:val="20"/>
                <w:lang w:eastAsia="en-GB"/>
              </w:rPr>
              <w:t>economically</w:t>
            </w:r>
            <w:r w:rsidRPr="0088364D">
              <w:rPr>
                <w:spacing w:val="-6"/>
                <w:sz w:val="20"/>
                <w:szCs w:val="20"/>
                <w:lang w:eastAsia="en-GB"/>
              </w:rPr>
              <w:t xml:space="preserve"> </w:t>
            </w:r>
            <w:r w:rsidRPr="0088364D">
              <w:rPr>
                <w:sz w:val="20"/>
                <w:szCs w:val="20"/>
                <w:lang w:eastAsia="en-GB"/>
              </w:rPr>
              <w:t>(in respect of NHS England, see</w:t>
            </w:r>
            <w:r w:rsidRPr="0088364D">
              <w:rPr>
                <w:spacing w:val="-5"/>
                <w:sz w:val="20"/>
                <w:szCs w:val="20"/>
                <w:lang w:eastAsia="en-GB"/>
              </w:rPr>
              <w:t xml:space="preserve"> </w:t>
            </w:r>
            <w:r w:rsidRPr="0088364D">
              <w:rPr>
                <w:sz w:val="20"/>
                <w:szCs w:val="20"/>
                <w:lang w:eastAsia="en-GB"/>
              </w:rPr>
              <w:t>section</w:t>
            </w:r>
            <w:r w:rsidRPr="0088364D">
              <w:rPr>
                <w:spacing w:val="-2"/>
                <w:sz w:val="20"/>
                <w:szCs w:val="20"/>
                <w:lang w:eastAsia="en-GB"/>
              </w:rPr>
              <w:t xml:space="preserve"> </w:t>
            </w:r>
            <w:r w:rsidRPr="0088364D">
              <w:rPr>
                <w:sz w:val="20"/>
                <w:szCs w:val="20"/>
                <w:lang w:eastAsia="en-GB"/>
              </w:rPr>
              <w:t>13D</w:t>
            </w:r>
            <w:r w:rsidRPr="0088364D">
              <w:rPr>
                <w:spacing w:val="-4"/>
                <w:sz w:val="20"/>
                <w:szCs w:val="20"/>
                <w:lang w:eastAsia="en-GB"/>
              </w:rPr>
              <w:t xml:space="preserve"> </w:t>
            </w:r>
            <w:r w:rsidRPr="0088364D">
              <w:rPr>
                <w:sz w:val="20"/>
                <w:szCs w:val="20"/>
                <w:lang w:eastAsia="en-GB"/>
              </w:rPr>
              <w:t>of</w:t>
            </w:r>
            <w:r w:rsidRPr="0088364D">
              <w:rPr>
                <w:spacing w:val="-6"/>
                <w:sz w:val="20"/>
                <w:szCs w:val="20"/>
                <w:lang w:eastAsia="en-GB"/>
              </w:rPr>
              <w:t xml:space="preserve"> </w:t>
            </w:r>
            <w:r w:rsidRPr="0088364D">
              <w:rPr>
                <w:sz w:val="20"/>
                <w:szCs w:val="20"/>
                <w:lang w:eastAsia="en-GB"/>
              </w:rPr>
              <w:t>the</w:t>
            </w:r>
            <w:r w:rsidRPr="0088364D">
              <w:rPr>
                <w:spacing w:val="-4"/>
                <w:sz w:val="20"/>
                <w:szCs w:val="20"/>
                <w:lang w:eastAsia="en-GB"/>
              </w:rPr>
              <w:t xml:space="preserve"> </w:t>
            </w:r>
            <w:r w:rsidRPr="0088364D">
              <w:rPr>
                <w:sz w:val="20"/>
                <w:szCs w:val="20"/>
                <w:lang w:eastAsia="en-GB"/>
              </w:rPr>
              <w:t>NHS</w:t>
            </w:r>
            <w:r w:rsidRPr="0088364D">
              <w:rPr>
                <w:spacing w:val="-3"/>
                <w:sz w:val="20"/>
                <w:szCs w:val="20"/>
                <w:lang w:eastAsia="en-GB"/>
              </w:rPr>
              <w:t xml:space="preserve"> </w:t>
            </w:r>
            <w:r w:rsidRPr="0088364D">
              <w:rPr>
                <w:sz w:val="20"/>
                <w:szCs w:val="20"/>
                <w:lang w:eastAsia="en-GB"/>
              </w:rPr>
              <w:t>Act</w:t>
            </w:r>
            <w:r w:rsidRPr="0088364D">
              <w:rPr>
                <w:spacing w:val="-4"/>
                <w:sz w:val="20"/>
                <w:szCs w:val="20"/>
                <w:lang w:eastAsia="en-GB"/>
              </w:rPr>
              <w:t xml:space="preserve"> </w:t>
            </w:r>
            <w:r w:rsidRPr="0088364D">
              <w:rPr>
                <w:sz w:val="20"/>
                <w:szCs w:val="20"/>
                <w:lang w:eastAsia="en-GB"/>
              </w:rPr>
              <w:t xml:space="preserve">2006; and, in respect of </w:t>
            </w:r>
            <w:r w:rsidR="00B83042">
              <w:rPr>
                <w:sz w:val="20"/>
                <w:szCs w:val="20"/>
                <w:lang w:eastAsia="en-GB"/>
              </w:rPr>
              <w:t>CCG/ICBCCGs/ICBs</w:t>
            </w:r>
            <w:r w:rsidRPr="0088364D">
              <w:rPr>
                <w:sz w:val="20"/>
                <w:szCs w:val="20"/>
                <w:lang w:eastAsia="en-GB"/>
              </w:rPr>
              <w:t xml:space="preserve">, see section 14Q of the NHS Act 2006) </w:t>
            </w:r>
          </w:p>
          <w:p w14:paraId="6DD89F46" w14:textId="77777777" w:rsidR="00DB7F92" w:rsidRDefault="00DB7F92" w:rsidP="00884224">
            <w:pPr>
              <w:keepNext/>
              <w:keepLines/>
              <w:tabs>
                <w:tab w:val="num" w:pos="5761"/>
              </w:tabs>
              <w:spacing w:before="173"/>
              <w:ind w:left="13"/>
              <w:jc w:val="both"/>
              <w:outlineLvl w:val="6"/>
              <w:rPr>
                <w:rFonts w:eastAsiaTheme="majorEastAsia" w:cs="Arial"/>
                <w:b/>
                <w:i/>
                <w:iCs/>
                <w:color w:val="404040" w:themeColor="text1" w:themeTint="BF"/>
                <w:spacing w:val="-1"/>
                <w:sz w:val="20"/>
                <w:szCs w:val="20"/>
              </w:rPr>
            </w:pPr>
            <w:r w:rsidRPr="0088364D">
              <w:rPr>
                <w:rFonts w:eastAsiaTheme="majorEastAsia" w:cs="Arial"/>
                <w:b/>
                <w:i/>
                <w:iCs/>
                <w:color w:val="404040" w:themeColor="text1" w:themeTint="BF"/>
                <w:spacing w:val="-1"/>
                <w:sz w:val="20"/>
                <w:szCs w:val="20"/>
              </w:rPr>
              <w:t>Duty not to prefer one type of provider</w:t>
            </w:r>
          </w:p>
          <w:p w14:paraId="49AA600C" w14:textId="77777777" w:rsidR="00023576" w:rsidRPr="0088364D" w:rsidRDefault="00023576" w:rsidP="00884224">
            <w:pPr>
              <w:keepNext/>
              <w:keepLines/>
              <w:tabs>
                <w:tab w:val="num" w:pos="5761"/>
              </w:tabs>
              <w:spacing w:before="173"/>
              <w:ind w:left="13"/>
              <w:jc w:val="both"/>
              <w:outlineLvl w:val="6"/>
              <w:rPr>
                <w:rFonts w:eastAsiaTheme="majorEastAsia" w:cs="Arial"/>
                <w:b/>
                <w:i/>
                <w:iCs/>
                <w:color w:val="404040" w:themeColor="text1" w:themeTint="BF"/>
                <w:spacing w:val="-1"/>
                <w:sz w:val="20"/>
                <w:szCs w:val="20"/>
              </w:rPr>
            </w:pPr>
          </w:p>
          <w:p w14:paraId="2A63456E" w14:textId="77777777" w:rsidR="00DB7F92" w:rsidRPr="00023576" w:rsidRDefault="00DB7F92" w:rsidP="00023576">
            <w:pPr>
              <w:pStyle w:val="Heading3"/>
              <w:rPr>
                <w:sz w:val="20"/>
                <w:szCs w:val="20"/>
                <w:lang w:eastAsia="en-GB"/>
              </w:rPr>
            </w:pPr>
            <w:r w:rsidRPr="002E7009">
              <w:rPr>
                <w:sz w:val="20"/>
                <w:szCs w:val="20"/>
                <w:lang w:eastAsia="en-GB"/>
              </w:rPr>
              <w:t>Commissioners must not try to vary the proportion of services delivered by providers according to whether the provider is in the public or private sector, or some other aspect of their status</w:t>
            </w:r>
            <w:r w:rsidRPr="00023576">
              <w:rPr>
                <w:sz w:val="20"/>
                <w:szCs w:val="20"/>
                <w:lang w:eastAsia="en-GB"/>
              </w:rPr>
              <w:t>.</w:t>
            </w:r>
          </w:p>
          <w:p w14:paraId="3D6B5052" w14:textId="77777777" w:rsidR="00DB7F92" w:rsidRPr="0088364D" w:rsidRDefault="00DB7F92" w:rsidP="00825050">
            <w:pPr>
              <w:keepNext/>
              <w:keepLines/>
              <w:numPr>
                <w:ilvl w:val="6"/>
                <w:numId w:val="31"/>
              </w:numPr>
              <w:tabs>
                <w:tab w:val="num" w:pos="5761"/>
              </w:tabs>
              <w:spacing w:before="186"/>
              <w:ind w:left="0" w:hanging="720"/>
              <w:jc w:val="both"/>
              <w:outlineLvl w:val="6"/>
              <w:rPr>
                <w:rFonts w:eastAsiaTheme="majorEastAsia" w:cs="Arial"/>
                <w:i/>
                <w:iCs/>
                <w:color w:val="404040" w:themeColor="text1" w:themeTint="BF"/>
                <w:spacing w:val="-1"/>
                <w:sz w:val="20"/>
                <w:szCs w:val="20"/>
              </w:rPr>
            </w:pPr>
          </w:p>
        </w:tc>
      </w:tr>
    </w:tbl>
    <w:p w14:paraId="537C85A2" w14:textId="77777777" w:rsidR="00DB7F92" w:rsidRPr="00A553BA" w:rsidRDefault="00DB7F92" w:rsidP="00A553BA">
      <w:pPr>
        <w:rPr>
          <w:rFonts w:eastAsiaTheme="majorEastAsia"/>
        </w:rPr>
      </w:pPr>
    </w:p>
    <w:p w14:paraId="2F03545D" w14:textId="17682A8D" w:rsidR="00DB7F92" w:rsidRPr="00DB7F92" w:rsidRDefault="00D32C7A" w:rsidP="00DB7F92">
      <w:pPr>
        <w:pStyle w:val="Heading2"/>
        <w:rPr>
          <w:rFonts w:eastAsiaTheme="majorEastAsia"/>
        </w:rPr>
      </w:pPr>
      <w:bookmarkStart w:id="101" w:name="_Toc95743367"/>
      <w:r w:rsidRPr="00DB7F92">
        <w:rPr>
          <w:rFonts w:eastAsiaTheme="majorEastAsia"/>
        </w:rPr>
        <w:t xml:space="preserve">Equality </w:t>
      </w:r>
      <w:r>
        <w:rPr>
          <w:rFonts w:eastAsiaTheme="majorEastAsia"/>
        </w:rPr>
        <w:t>a</w:t>
      </w:r>
      <w:r w:rsidRPr="00DB7F92">
        <w:rPr>
          <w:rFonts w:eastAsiaTheme="majorEastAsia"/>
        </w:rPr>
        <w:t xml:space="preserve">nd Health </w:t>
      </w:r>
      <w:r w:rsidR="00050291" w:rsidRPr="00DB7F92">
        <w:rPr>
          <w:rFonts w:eastAsiaTheme="majorEastAsia"/>
        </w:rPr>
        <w:t xml:space="preserve">Inequalities </w:t>
      </w:r>
      <w:r w:rsidR="00050291" w:rsidRPr="00A553BA">
        <w:rPr>
          <w:rFonts w:eastAsiaTheme="majorEastAsia"/>
          <w:spacing w:val="-2"/>
        </w:rPr>
        <w:t>Duties</w:t>
      </w:r>
      <w:bookmarkEnd w:id="101"/>
    </w:p>
    <w:p w14:paraId="2DC844EF" w14:textId="77777777" w:rsidR="00DB7F92" w:rsidRPr="00DB7F92" w:rsidRDefault="00DB7F92" w:rsidP="003331F2">
      <w:pPr>
        <w:pStyle w:val="BodyText"/>
        <w:rPr>
          <w:rFonts w:eastAsiaTheme="majorEastAsia"/>
        </w:rPr>
      </w:pPr>
    </w:p>
    <w:p w14:paraId="770953CC" w14:textId="77777777" w:rsidR="00DB7F92" w:rsidRPr="00DB7F92" w:rsidRDefault="00DB7F92" w:rsidP="00DD5D2D">
      <w:pPr>
        <w:pStyle w:val="Heading3"/>
        <w:jc w:val="both"/>
        <w:rPr>
          <w:lang w:eastAsia="en-GB"/>
        </w:rPr>
      </w:pPr>
      <w:r w:rsidRPr="00DB7F92">
        <w:rPr>
          <w:lang w:eastAsia="en-GB"/>
        </w:rPr>
        <w:t xml:space="preserve">This section considers equality and health inequality duties. First, the duties under the Equality Act 2010 are considered followed by the other health inequality-related duties. </w:t>
      </w:r>
    </w:p>
    <w:p w14:paraId="3BE0A42F" w14:textId="77777777" w:rsidR="00DB7F92" w:rsidRPr="00DB7F92" w:rsidRDefault="00DB7F92" w:rsidP="00DB7F92">
      <w:pPr>
        <w:widowControl w:val="0"/>
        <w:tabs>
          <w:tab w:val="left" w:pos="1559"/>
        </w:tabs>
        <w:spacing w:after="120"/>
        <w:ind w:left="1558" w:right="115"/>
        <w:jc w:val="both"/>
        <w:rPr>
          <w:rFonts w:cs="Arial"/>
          <w:bCs w:val="0"/>
          <w:sz w:val="20"/>
          <w:szCs w:val="20"/>
          <w:lang w:eastAsia="en-GB"/>
        </w:rPr>
      </w:pPr>
    </w:p>
    <w:p w14:paraId="34076848" w14:textId="77777777" w:rsidR="00DB7F92" w:rsidRPr="00023576" w:rsidRDefault="00DB7F92" w:rsidP="00825050">
      <w:pPr>
        <w:widowControl w:val="0"/>
        <w:numPr>
          <w:ilvl w:val="0"/>
          <w:numId w:val="54"/>
        </w:numPr>
        <w:tabs>
          <w:tab w:val="left" w:pos="839"/>
        </w:tabs>
        <w:jc w:val="both"/>
        <w:outlineLvl w:val="3"/>
        <w:rPr>
          <w:rFonts w:eastAsiaTheme="majorEastAsia" w:cs="Arial"/>
          <w:b/>
          <w:bCs w:val="0"/>
          <w:i/>
          <w:iCs/>
          <w:color w:val="003087" w:themeColor="accent1"/>
          <w:spacing w:val="-1"/>
          <w:sz w:val="28"/>
          <w:szCs w:val="28"/>
        </w:rPr>
      </w:pPr>
      <w:r w:rsidRPr="00023576">
        <w:rPr>
          <w:rFonts w:eastAsiaTheme="majorEastAsia" w:cs="Arial"/>
          <w:b/>
          <w:bCs w:val="0"/>
          <w:i/>
          <w:iCs/>
          <w:color w:val="003087" w:themeColor="accent1"/>
          <w:spacing w:val="-1"/>
          <w:sz w:val="28"/>
          <w:szCs w:val="28"/>
        </w:rPr>
        <w:t>EQUALITY ACT 2010</w:t>
      </w:r>
    </w:p>
    <w:p w14:paraId="1B385764" w14:textId="77777777" w:rsidR="00DB7F92" w:rsidRPr="00DB7F92" w:rsidRDefault="00DB7F92" w:rsidP="00DB7F92">
      <w:pPr>
        <w:widowControl w:val="0"/>
        <w:tabs>
          <w:tab w:val="left" w:pos="1559"/>
        </w:tabs>
        <w:spacing w:after="120"/>
        <w:ind w:right="115"/>
        <w:jc w:val="both"/>
        <w:rPr>
          <w:rFonts w:cs="Arial"/>
          <w:bCs w:val="0"/>
          <w:sz w:val="20"/>
          <w:szCs w:val="20"/>
          <w:lang w:eastAsia="en-GB"/>
        </w:rPr>
      </w:pPr>
    </w:p>
    <w:p w14:paraId="7579DB27" w14:textId="541AD861" w:rsidR="00DB7F92" w:rsidRPr="00DB7F92" w:rsidRDefault="00DB7F92" w:rsidP="00912FE4">
      <w:pPr>
        <w:pStyle w:val="Heading3"/>
        <w:jc w:val="both"/>
        <w:rPr>
          <w:rFonts w:cs="Arial"/>
          <w:bCs w:val="0"/>
          <w:sz w:val="20"/>
          <w:szCs w:val="20"/>
          <w:lang w:eastAsia="en-GB"/>
        </w:rPr>
      </w:pPr>
      <w:r w:rsidRPr="00DB7F92">
        <w:rPr>
          <w:lang w:eastAsia="en-GB"/>
        </w:rPr>
        <w:t>Commissioners have both general and specific equality related duties under the Equality Act 2010. The general duty can be found in section 149 of the Equality Act.  It is known as the public sector equality duty or the PSED.  The specific duties are imposed on commissioners by secondary legislation, namely the Equality Act 2010 (Specific Duties and Public Authorities) Regulations 2017</w:t>
      </w:r>
      <w:r w:rsidRPr="00DB7F92">
        <w:rPr>
          <w:iCs/>
          <w:lang w:eastAsia="en-GB"/>
        </w:rPr>
        <w:t>.  Further details on both the PSED and the 2017 Regulations are provided in the sections below.</w:t>
      </w:r>
      <w:r w:rsidR="00912FE4" w:rsidRPr="00DB7F92">
        <w:rPr>
          <w:rFonts w:cs="Arial"/>
          <w:bCs w:val="0"/>
          <w:sz w:val="20"/>
          <w:szCs w:val="20"/>
          <w:lang w:eastAsia="en-GB"/>
        </w:rPr>
        <w:t xml:space="preserve"> </w:t>
      </w:r>
    </w:p>
    <w:p w14:paraId="5ED967D1" w14:textId="3026892E" w:rsidR="00DB7F92" w:rsidRPr="00DB7F92" w:rsidRDefault="00DB7F92" w:rsidP="00DD5D2D">
      <w:pPr>
        <w:pStyle w:val="Heading3"/>
        <w:jc w:val="both"/>
        <w:rPr>
          <w:lang w:eastAsia="en-GB"/>
        </w:rPr>
      </w:pPr>
      <w:r w:rsidRPr="00DB7F92">
        <w:rPr>
          <w:lang w:eastAsia="en-GB"/>
        </w:rPr>
        <w:t xml:space="preserve">The duty to have regard to the PSED will arise when commissioners are exercising their functions. A commissioner will be open to legal challenge if they are unable to demonstrate </w:t>
      </w:r>
      <w:r w:rsidR="00CE4AD4">
        <w:rPr>
          <w:lang w:eastAsia="en-GB"/>
        </w:rPr>
        <w:t>their</w:t>
      </w:r>
      <w:r w:rsidRPr="00DB7F92">
        <w:rPr>
          <w:lang w:eastAsia="en-GB"/>
        </w:rPr>
        <w:t xml:space="preserve"> regard to the PSED when publishing guidance or policies, or making decisions. A failure to comply with the prescribed duties outlined in the 2017 Regulations will also be unlawful. </w:t>
      </w:r>
    </w:p>
    <w:p w14:paraId="5570B87B" w14:textId="77777777" w:rsidR="00DB7F92" w:rsidRPr="00DB7F92" w:rsidRDefault="00DB7F92" w:rsidP="00DB7F92">
      <w:pPr>
        <w:widowControl w:val="0"/>
        <w:tabs>
          <w:tab w:val="left" w:pos="1559"/>
        </w:tabs>
        <w:spacing w:after="120"/>
        <w:ind w:left="838" w:right="115"/>
        <w:jc w:val="both"/>
        <w:rPr>
          <w:bCs w:val="0"/>
          <w:sz w:val="20"/>
          <w:szCs w:val="20"/>
          <w:lang w:eastAsia="en-GB"/>
        </w:rPr>
      </w:pPr>
    </w:p>
    <w:p w14:paraId="606234AD" w14:textId="77777777" w:rsidR="00DB7F92" w:rsidRPr="00645D74" w:rsidRDefault="00DB7F92" w:rsidP="00645D74">
      <w:pPr>
        <w:rPr>
          <w:rFonts w:eastAsiaTheme="majorEastAsia"/>
          <w:i/>
          <w:sz w:val="28"/>
        </w:rPr>
      </w:pPr>
      <w:r w:rsidRPr="00645D74">
        <w:rPr>
          <w:rFonts w:eastAsiaTheme="majorEastAsia"/>
          <w:i/>
          <w:sz w:val="28"/>
        </w:rPr>
        <w:t>The protected characteristics</w:t>
      </w:r>
    </w:p>
    <w:p w14:paraId="328BC390" w14:textId="77777777" w:rsidR="00DB7F92" w:rsidRPr="00DB7F92" w:rsidRDefault="00DB7F92" w:rsidP="00DB7F92">
      <w:pPr>
        <w:spacing w:before="9"/>
        <w:jc w:val="both"/>
        <w:rPr>
          <w:rFonts w:eastAsia="Tw Cen MT Condensed Extra Bold" w:cs="Arial"/>
          <w:b/>
          <w:bCs w:val="0"/>
          <w:sz w:val="20"/>
          <w:szCs w:val="20"/>
        </w:rPr>
      </w:pPr>
    </w:p>
    <w:p w14:paraId="36DA48AD" w14:textId="77777777" w:rsidR="00DB7F92" w:rsidRPr="00DB7F92" w:rsidRDefault="00DB7F92" w:rsidP="00DD5D2D">
      <w:pPr>
        <w:pStyle w:val="Heading3"/>
        <w:jc w:val="both"/>
        <w:rPr>
          <w:lang w:eastAsia="en-GB"/>
        </w:rPr>
      </w:pPr>
      <w:r w:rsidRPr="00DB7F92">
        <w:rPr>
          <w:lang w:eastAsia="en-GB"/>
        </w:rPr>
        <w:t>The</w:t>
      </w:r>
      <w:r w:rsidRPr="00DB7F92">
        <w:rPr>
          <w:spacing w:val="6"/>
          <w:lang w:eastAsia="en-GB"/>
        </w:rPr>
        <w:t xml:space="preserve"> </w:t>
      </w:r>
      <w:r w:rsidRPr="00DB7F92">
        <w:rPr>
          <w:lang w:eastAsia="en-GB"/>
        </w:rPr>
        <w:t>Equality</w:t>
      </w:r>
      <w:r w:rsidRPr="00DB7F92">
        <w:rPr>
          <w:spacing w:val="7"/>
          <w:lang w:eastAsia="en-GB"/>
        </w:rPr>
        <w:t xml:space="preserve"> </w:t>
      </w:r>
      <w:r w:rsidRPr="00DB7F92">
        <w:rPr>
          <w:lang w:eastAsia="en-GB"/>
        </w:rPr>
        <w:t>Act</w:t>
      </w:r>
      <w:r w:rsidRPr="00DB7F92">
        <w:rPr>
          <w:spacing w:val="8"/>
          <w:lang w:eastAsia="en-GB"/>
        </w:rPr>
        <w:t xml:space="preserve"> </w:t>
      </w:r>
      <w:r w:rsidRPr="00DB7F92">
        <w:rPr>
          <w:lang w:eastAsia="en-GB"/>
        </w:rPr>
        <w:t>2010</w:t>
      </w:r>
      <w:r w:rsidRPr="00DB7F92">
        <w:rPr>
          <w:spacing w:val="7"/>
          <w:lang w:eastAsia="en-GB"/>
        </w:rPr>
        <w:t xml:space="preserve"> </w:t>
      </w:r>
      <w:r w:rsidRPr="00DB7F92">
        <w:rPr>
          <w:lang w:eastAsia="en-GB"/>
        </w:rPr>
        <w:t>prohibits</w:t>
      </w:r>
      <w:r w:rsidRPr="00DB7F92">
        <w:rPr>
          <w:spacing w:val="8"/>
          <w:lang w:eastAsia="en-GB"/>
        </w:rPr>
        <w:t xml:space="preserve"> </w:t>
      </w:r>
      <w:r w:rsidRPr="00DB7F92">
        <w:rPr>
          <w:lang w:eastAsia="en-GB"/>
        </w:rPr>
        <w:t>unlawful</w:t>
      </w:r>
      <w:r w:rsidRPr="00DB7F92">
        <w:rPr>
          <w:spacing w:val="6"/>
          <w:lang w:eastAsia="en-GB"/>
        </w:rPr>
        <w:t xml:space="preserve"> </w:t>
      </w:r>
      <w:r w:rsidRPr="00DB7F92">
        <w:rPr>
          <w:lang w:eastAsia="en-GB"/>
        </w:rPr>
        <w:t>discrimination</w:t>
      </w:r>
      <w:r w:rsidRPr="00DB7F92">
        <w:rPr>
          <w:spacing w:val="6"/>
          <w:lang w:eastAsia="en-GB"/>
        </w:rPr>
        <w:t xml:space="preserve"> </w:t>
      </w:r>
      <w:r w:rsidRPr="00DB7F92">
        <w:rPr>
          <w:lang w:eastAsia="en-GB"/>
        </w:rPr>
        <w:t>in</w:t>
      </w:r>
      <w:r w:rsidRPr="00DB7F92">
        <w:rPr>
          <w:spacing w:val="7"/>
          <w:lang w:eastAsia="en-GB"/>
        </w:rPr>
        <w:t xml:space="preserve"> </w:t>
      </w:r>
      <w:r w:rsidRPr="00DB7F92">
        <w:rPr>
          <w:lang w:eastAsia="en-GB"/>
        </w:rPr>
        <w:t>the</w:t>
      </w:r>
      <w:r w:rsidRPr="00DB7F92">
        <w:rPr>
          <w:spacing w:val="6"/>
          <w:lang w:eastAsia="en-GB"/>
        </w:rPr>
        <w:t xml:space="preserve"> </w:t>
      </w:r>
      <w:r w:rsidRPr="00DB7F92">
        <w:rPr>
          <w:lang w:eastAsia="en-GB"/>
        </w:rPr>
        <w:t>provision</w:t>
      </w:r>
      <w:r w:rsidRPr="00DB7F92">
        <w:rPr>
          <w:spacing w:val="7"/>
          <w:lang w:eastAsia="en-GB"/>
        </w:rPr>
        <w:t xml:space="preserve"> </w:t>
      </w:r>
      <w:r w:rsidRPr="00DB7F92">
        <w:rPr>
          <w:lang w:eastAsia="en-GB"/>
        </w:rPr>
        <w:t>of</w:t>
      </w:r>
      <w:r w:rsidRPr="00DB7F92">
        <w:rPr>
          <w:spacing w:val="61"/>
          <w:lang w:eastAsia="en-GB"/>
        </w:rPr>
        <w:t xml:space="preserve"> </w:t>
      </w:r>
      <w:r w:rsidRPr="00DB7F92">
        <w:rPr>
          <w:lang w:eastAsia="en-GB"/>
        </w:rPr>
        <w:t>services</w:t>
      </w:r>
      <w:r w:rsidRPr="00DB7F92">
        <w:rPr>
          <w:spacing w:val="41"/>
          <w:lang w:eastAsia="en-GB"/>
        </w:rPr>
        <w:t xml:space="preserve"> </w:t>
      </w:r>
      <w:r w:rsidRPr="00DB7F92">
        <w:rPr>
          <w:lang w:eastAsia="en-GB"/>
        </w:rPr>
        <w:t>(including</w:t>
      </w:r>
      <w:r w:rsidRPr="00DB7F92">
        <w:rPr>
          <w:spacing w:val="40"/>
          <w:lang w:eastAsia="en-GB"/>
        </w:rPr>
        <w:t xml:space="preserve"> </w:t>
      </w:r>
      <w:r w:rsidRPr="00DB7F92">
        <w:rPr>
          <w:lang w:eastAsia="en-GB"/>
        </w:rPr>
        <w:t>healthcare</w:t>
      </w:r>
      <w:r w:rsidRPr="00DB7F92">
        <w:rPr>
          <w:spacing w:val="40"/>
          <w:lang w:eastAsia="en-GB"/>
        </w:rPr>
        <w:t xml:space="preserve"> </w:t>
      </w:r>
      <w:r w:rsidRPr="00DB7F92">
        <w:rPr>
          <w:lang w:eastAsia="en-GB"/>
        </w:rPr>
        <w:t>services)</w:t>
      </w:r>
      <w:r w:rsidRPr="00DB7F92">
        <w:rPr>
          <w:spacing w:val="40"/>
          <w:lang w:eastAsia="en-GB"/>
        </w:rPr>
        <w:t xml:space="preserve"> </w:t>
      </w:r>
      <w:r w:rsidRPr="00DB7F92">
        <w:rPr>
          <w:lang w:eastAsia="en-GB"/>
        </w:rPr>
        <w:t>on</w:t>
      </w:r>
      <w:r w:rsidRPr="00DB7F92">
        <w:rPr>
          <w:spacing w:val="43"/>
          <w:lang w:eastAsia="en-GB"/>
        </w:rPr>
        <w:t xml:space="preserve"> </w:t>
      </w:r>
      <w:r w:rsidRPr="00DB7F92">
        <w:rPr>
          <w:lang w:eastAsia="en-GB"/>
        </w:rPr>
        <w:t>the</w:t>
      </w:r>
      <w:r w:rsidRPr="00DB7F92">
        <w:rPr>
          <w:spacing w:val="40"/>
          <w:lang w:eastAsia="en-GB"/>
        </w:rPr>
        <w:t xml:space="preserve"> </w:t>
      </w:r>
      <w:r w:rsidRPr="00DB7F92">
        <w:rPr>
          <w:lang w:eastAsia="en-GB"/>
        </w:rPr>
        <w:t>basis</w:t>
      </w:r>
      <w:r w:rsidRPr="00DB7F92">
        <w:rPr>
          <w:spacing w:val="42"/>
          <w:lang w:eastAsia="en-GB"/>
        </w:rPr>
        <w:t xml:space="preserve"> </w:t>
      </w:r>
      <w:r w:rsidRPr="00DB7F92">
        <w:rPr>
          <w:lang w:eastAsia="en-GB"/>
        </w:rPr>
        <w:t>of</w:t>
      </w:r>
      <w:r w:rsidRPr="00DB7F92">
        <w:rPr>
          <w:spacing w:val="39"/>
          <w:lang w:eastAsia="en-GB"/>
        </w:rPr>
        <w:t xml:space="preserve"> </w:t>
      </w:r>
      <w:r w:rsidRPr="00DB7F92">
        <w:rPr>
          <w:lang w:eastAsia="en-GB"/>
        </w:rPr>
        <w:t>"protected</w:t>
      </w:r>
      <w:r w:rsidRPr="00DB7F92">
        <w:rPr>
          <w:spacing w:val="75"/>
          <w:lang w:eastAsia="en-GB"/>
        </w:rPr>
        <w:t xml:space="preserve"> </w:t>
      </w:r>
      <w:r w:rsidRPr="00DB7F92">
        <w:rPr>
          <w:lang w:eastAsia="en-GB"/>
        </w:rPr>
        <w:t>characteristics".</w:t>
      </w:r>
      <w:r w:rsidRPr="00DB7F92">
        <w:rPr>
          <w:spacing w:val="29"/>
          <w:lang w:eastAsia="en-GB"/>
        </w:rPr>
        <w:t xml:space="preserve"> </w:t>
      </w:r>
      <w:r w:rsidRPr="00DB7F92">
        <w:rPr>
          <w:lang w:eastAsia="en-GB"/>
        </w:rPr>
        <w:t>The</w:t>
      </w:r>
      <w:r w:rsidRPr="00DB7F92">
        <w:rPr>
          <w:spacing w:val="-7"/>
          <w:lang w:eastAsia="en-GB"/>
        </w:rPr>
        <w:t xml:space="preserve"> </w:t>
      </w:r>
      <w:r w:rsidRPr="00DB7F92">
        <w:rPr>
          <w:lang w:eastAsia="en-GB"/>
        </w:rPr>
        <w:t>protected</w:t>
      </w:r>
      <w:r w:rsidRPr="00DB7F92">
        <w:rPr>
          <w:spacing w:val="-7"/>
          <w:lang w:eastAsia="en-GB"/>
        </w:rPr>
        <w:t xml:space="preserve"> </w:t>
      </w:r>
      <w:r w:rsidRPr="00DB7F92">
        <w:rPr>
          <w:lang w:eastAsia="en-GB"/>
        </w:rPr>
        <w:t>characteristics</w:t>
      </w:r>
      <w:r w:rsidRPr="00DB7F92">
        <w:rPr>
          <w:spacing w:val="-6"/>
          <w:lang w:eastAsia="en-GB"/>
        </w:rPr>
        <w:t xml:space="preserve"> </w:t>
      </w:r>
      <w:r w:rsidRPr="00DB7F92">
        <w:rPr>
          <w:lang w:eastAsia="en-GB"/>
        </w:rPr>
        <w:t>are:</w:t>
      </w:r>
    </w:p>
    <w:p w14:paraId="6F22D4C2" w14:textId="77777777" w:rsidR="00DB7F92" w:rsidRPr="00DB7F92" w:rsidRDefault="00DB7F92" w:rsidP="00DB7F92">
      <w:pPr>
        <w:spacing w:before="13"/>
        <w:jc w:val="both"/>
        <w:rPr>
          <w:rFonts w:eastAsia="Segoe UI Semilight" w:cs="Arial"/>
          <w:sz w:val="20"/>
          <w:szCs w:val="20"/>
        </w:rPr>
      </w:pPr>
    </w:p>
    <w:p w14:paraId="2649145C" w14:textId="77777777" w:rsidR="00DB7F92" w:rsidRPr="00884224" w:rsidRDefault="00DB7F92" w:rsidP="006C3DF5">
      <w:pPr>
        <w:pStyle w:val="ListParagraph"/>
        <w:widowControl w:val="0"/>
        <w:numPr>
          <w:ilvl w:val="0"/>
          <w:numId w:val="72"/>
        </w:numPr>
        <w:tabs>
          <w:tab w:val="left" w:pos="2528"/>
        </w:tabs>
        <w:spacing w:before="120" w:after="120" w:line="360" w:lineRule="auto"/>
        <w:ind w:left="714" w:hanging="357"/>
        <w:jc w:val="both"/>
        <w:rPr>
          <w:rFonts w:cs="Arial"/>
          <w:bCs w:val="0"/>
          <w:szCs w:val="24"/>
          <w:lang w:eastAsia="en-GB"/>
        </w:rPr>
      </w:pPr>
      <w:r w:rsidRPr="00884224">
        <w:rPr>
          <w:rFonts w:cs="Arial"/>
          <w:bCs w:val="0"/>
          <w:spacing w:val="-1"/>
          <w:szCs w:val="24"/>
          <w:lang w:eastAsia="en-GB"/>
        </w:rPr>
        <w:t>age</w:t>
      </w:r>
    </w:p>
    <w:p w14:paraId="5C9EC6E4" w14:textId="77777777" w:rsidR="00DB7F92" w:rsidRPr="00884224" w:rsidRDefault="00DB7F92" w:rsidP="006C3DF5">
      <w:pPr>
        <w:pStyle w:val="ListParagraph"/>
        <w:widowControl w:val="0"/>
        <w:numPr>
          <w:ilvl w:val="0"/>
          <w:numId w:val="72"/>
        </w:numPr>
        <w:tabs>
          <w:tab w:val="left" w:pos="2528"/>
        </w:tabs>
        <w:spacing w:before="120" w:after="120" w:line="360" w:lineRule="auto"/>
        <w:ind w:left="714" w:hanging="357"/>
        <w:jc w:val="both"/>
        <w:rPr>
          <w:rFonts w:cs="Arial"/>
          <w:bCs w:val="0"/>
          <w:szCs w:val="24"/>
          <w:lang w:eastAsia="en-GB"/>
        </w:rPr>
      </w:pPr>
      <w:r w:rsidRPr="00884224">
        <w:rPr>
          <w:rFonts w:cs="Arial"/>
          <w:bCs w:val="0"/>
          <w:spacing w:val="-1"/>
          <w:szCs w:val="24"/>
          <w:lang w:eastAsia="en-GB"/>
        </w:rPr>
        <w:t>disability</w:t>
      </w:r>
    </w:p>
    <w:p w14:paraId="5240FEE1" w14:textId="77777777" w:rsidR="00DB7F92" w:rsidRPr="00884224" w:rsidRDefault="00DB7F92" w:rsidP="006C3DF5">
      <w:pPr>
        <w:pStyle w:val="ListParagraph"/>
        <w:widowControl w:val="0"/>
        <w:numPr>
          <w:ilvl w:val="0"/>
          <w:numId w:val="72"/>
        </w:numPr>
        <w:tabs>
          <w:tab w:val="left" w:pos="2528"/>
        </w:tabs>
        <w:spacing w:before="120" w:after="120" w:line="360" w:lineRule="auto"/>
        <w:ind w:left="714" w:hanging="357"/>
        <w:jc w:val="both"/>
        <w:rPr>
          <w:rFonts w:cs="Arial"/>
          <w:bCs w:val="0"/>
          <w:szCs w:val="24"/>
          <w:lang w:eastAsia="en-GB"/>
        </w:rPr>
      </w:pPr>
      <w:r w:rsidRPr="00884224">
        <w:rPr>
          <w:rFonts w:cs="Arial"/>
          <w:bCs w:val="0"/>
          <w:spacing w:val="-1"/>
          <w:szCs w:val="24"/>
          <w:lang w:eastAsia="en-GB"/>
        </w:rPr>
        <w:t>gender</w:t>
      </w:r>
      <w:r w:rsidRPr="00884224">
        <w:rPr>
          <w:rFonts w:cs="Arial"/>
          <w:bCs w:val="0"/>
          <w:spacing w:val="-10"/>
          <w:szCs w:val="24"/>
          <w:lang w:eastAsia="en-GB"/>
        </w:rPr>
        <w:t xml:space="preserve"> </w:t>
      </w:r>
      <w:r w:rsidRPr="00884224">
        <w:rPr>
          <w:rFonts w:cs="Arial"/>
          <w:bCs w:val="0"/>
          <w:spacing w:val="-1"/>
          <w:szCs w:val="24"/>
          <w:lang w:eastAsia="en-GB"/>
        </w:rPr>
        <w:t>reassignment</w:t>
      </w:r>
    </w:p>
    <w:p w14:paraId="227EE6B7" w14:textId="77777777" w:rsidR="00DB7F92" w:rsidRPr="00884224" w:rsidRDefault="00DB7F92" w:rsidP="006C3DF5">
      <w:pPr>
        <w:pStyle w:val="ListParagraph"/>
        <w:widowControl w:val="0"/>
        <w:numPr>
          <w:ilvl w:val="0"/>
          <w:numId w:val="72"/>
        </w:numPr>
        <w:tabs>
          <w:tab w:val="left" w:pos="2528"/>
        </w:tabs>
        <w:spacing w:before="120" w:after="120" w:line="360" w:lineRule="auto"/>
        <w:ind w:left="714" w:hanging="357"/>
        <w:jc w:val="both"/>
        <w:rPr>
          <w:rFonts w:cs="Arial"/>
          <w:bCs w:val="0"/>
          <w:szCs w:val="24"/>
          <w:lang w:eastAsia="en-GB"/>
        </w:rPr>
      </w:pPr>
      <w:r w:rsidRPr="00884224">
        <w:rPr>
          <w:rFonts w:cs="Arial"/>
          <w:bCs w:val="0"/>
          <w:spacing w:val="-1"/>
          <w:szCs w:val="24"/>
          <w:lang w:eastAsia="en-GB"/>
        </w:rPr>
        <w:t>marriage</w:t>
      </w:r>
      <w:r w:rsidRPr="00884224">
        <w:rPr>
          <w:rFonts w:cs="Arial"/>
          <w:bCs w:val="0"/>
          <w:spacing w:val="-7"/>
          <w:szCs w:val="24"/>
          <w:lang w:eastAsia="en-GB"/>
        </w:rPr>
        <w:t xml:space="preserve"> </w:t>
      </w:r>
      <w:r w:rsidRPr="00884224">
        <w:rPr>
          <w:rFonts w:cs="Arial"/>
          <w:bCs w:val="0"/>
          <w:spacing w:val="-1"/>
          <w:szCs w:val="24"/>
          <w:lang w:eastAsia="en-GB"/>
        </w:rPr>
        <w:t>and</w:t>
      </w:r>
      <w:r w:rsidRPr="00884224">
        <w:rPr>
          <w:rFonts w:cs="Arial"/>
          <w:bCs w:val="0"/>
          <w:spacing w:val="-7"/>
          <w:szCs w:val="24"/>
          <w:lang w:eastAsia="en-GB"/>
        </w:rPr>
        <w:t xml:space="preserve"> </w:t>
      </w:r>
      <w:r w:rsidRPr="00884224">
        <w:rPr>
          <w:rFonts w:cs="Arial"/>
          <w:bCs w:val="0"/>
          <w:szCs w:val="24"/>
          <w:lang w:eastAsia="en-GB"/>
        </w:rPr>
        <w:t>civil</w:t>
      </w:r>
      <w:r w:rsidRPr="00884224">
        <w:rPr>
          <w:rFonts w:cs="Arial"/>
          <w:bCs w:val="0"/>
          <w:spacing w:val="-9"/>
          <w:szCs w:val="24"/>
          <w:lang w:eastAsia="en-GB"/>
        </w:rPr>
        <w:t xml:space="preserve"> </w:t>
      </w:r>
      <w:r w:rsidRPr="00884224">
        <w:rPr>
          <w:rFonts w:cs="Arial"/>
          <w:bCs w:val="0"/>
          <w:spacing w:val="-1"/>
          <w:szCs w:val="24"/>
          <w:lang w:eastAsia="en-GB"/>
        </w:rPr>
        <w:t>partnership</w:t>
      </w:r>
    </w:p>
    <w:p w14:paraId="7965C04F" w14:textId="77777777" w:rsidR="00DB7F92" w:rsidRPr="00884224" w:rsidRDefault="00DB7F92" w:rsidP="006C3DF5">
      <w:pPr>
        <w:pStyle w:val="ListParagraph"/>
        <w:widowControl w:val="0"/>
        <w:numPr>
          <w:ilvl w:val="0"/>
          <w:numId w:val="72"/>
        </w:numPr>
        <w:tabs>
          <w:tab w:val="left" w:pos="2528"/>
        </w:tabs>
        <w:spacing w:before="120" w:after="120" w:line="360" w:lineRule="auto"/>
        <w:ind w:left="714" w:hanging="357"/>
        <w:jc w:val="both"/>
        <w:rPr>
          <w:rFonts w:cs="Arial"/>
          <w:bCs w:val="0"/>
          <w:szCs w:val="24"/>
          <w:lang w:eastAsia="en-GB"/>
        </w:rPr>
      </w:pPr>
      <w:r w:rsidRPr="00884224">
        <w:rPr>
          <w:rFonts w:cs="Arial"/>
          <w:bCs w:val="0"/>
          <w:spacing w:val="-1"/>
          <w:szCs w:val="24"/>
          <w:lang w:eastAsia="en-GB"/>
        </w:rPr>
        <w:t>pregnancy</w:t>
      </w:r>
      <w:r w:rsidRPr="00884224">
        <w:rPr>
          <w:rFonts w:cs="Arial"/>
          <w:bCs w:val="0"/>
          <w:spacing w:val="-7"/>
          <w:szCs w:val="24"/>
          <w:lang w:eastAsia="en-GB"/>
        </w:rPr>
        <w:t xml:space="preserve"> </w:t>
      </w:r>
      <w:r w:rsidRPr="00884224">
        <w:rPr>
          <w:rFonts w:cs="Arial"/>
          <w:bCs w:val="0"/>
          <w:spacing w:val="-1"/>
          <w:szCs w:val="24"/>
          <w:lang w:eastAsia="en-GB"/>
        </w:rPr>
        <w:t>and</w:t>
      </w:r>
      <w:r w:rsidRPr="00884224">
        <w:rPr>
          <w:rFonts w:cs="Arial"/>
          <w:bCs w:val="0"/>
          <w:spacing w:val="-5"/>
          <w:szCs w:val="24"/>
          <w:lang w:eastAsia="en-GB"/>
        </w:rPr>
        <w:t xml:space="preserve"> </w:t>
      </w:r>
      <w:r w:rsidRPr="00884224">
        <w:rPr>
          <w:rFonts w:cs="Arial"/>
          <w:bCs w:val="0"/>
          <w:spacing w:val="-1"/>
          <w:szCs w:val="24"/>
          <w:lang w:eastAsia="en-GB"/>
        </w:rPr>
        <w:t>maternity</w:t>
      </w:r>
    </w:p>
    <w:p w14:paraId="4F8FA1FE" w14:textId="77777777" w:rsidR="00DB7F92" w:rsidRPr="00884224" w:rsidRDefault="00DB7F92" w:rsidP="006C3DF5">
      <w:pPr>
        <w:pStyle w:val="ListParagraph"/>
        <w:widowControl w:val="0"/>
        <w:numPr>
          <w:ilvl w:val="0"/>
          <w:numId w:val="72"/>
        </w:numPr>
        <w:tabs>
          <w:tab w:val="left" w:pos="2528"/>
        </w:tabs>
        <w:spacing w:before="120" w:after="120" w:line="360" w:lineRule="auto"/>
        <w:ind w:left="714" w:hanging="357"/>
        <w:jc w:val="both"/>
        <w:rPr>
          <w:rFonts w:cs="Arial"/>
          <w:bCs w:val="0"/>
          <w:szCs w:val="24"/>
          <w:lang w:eastAsia="en-GB"/>
        </w:rPr>
      </w:pPr>
      <w:r w:rsidRPr="00884224">
        <w:rPr>
          <w:rFonts w:cs="Arial"/>
          <w:bCs w:val="0"/>
          <w:spacing w:val="-1"/>
          <w:szCs w:val="24"/>
          <w:lang w:eastAsia="en-GB"/>
        </w:rPr>
        <w:t>race</w:t>
      </w:r>
    </w:p>
    <w:p w14:paraId="54465A86" w14:textId="77777777" w:rsidR="00DB7F92" w:rsidRPr="00884224" w:rsidRDefault="00DB7F92" w:rsidP="006C3DF5">
      <w:pPr>
        <w:pStyle w:val="ListParagraph"/>
        <w:widowControl w:val="0"/>
        <w:numPr>
          <w:ilvl w:val="0"/>
          <w:numId w:val="72"/>
        </w:numPr>
        <w:tabs>
          <w:tab w:val="left" w:pos="2528"/>
        </w:tabs>
        <w:spacing w:before="120" w:after="120" w:line="360" w:lineRule="auto"/>
        <w:ind w:left="714" w:hanging="357"/>
        <w:jc w:val="both"/>
        <w:rPr>
          <w:rFonts w:cs="Arial"/>
          <w:bCs w:val="0"/>
          <w:szCs w:val="24"/>
          <w:lang w:eastAsia="en-GB"/>
        </w:rPr>
      </w:pPr>
      <w:r w:rsidRPr="00884224">
        <w:rPr>
          <w:rFonts w:cs="Arial"/>
          <w:bCs w:val="0"/>
          <w:spacing w:val="-1"/>
          <w:szCs w:val="24"/>
          <w:lang w:eastAsia="en-GB"/>
        </w:rPr>
        <w:t>religion</w:t>
      </w:r>
      <w:r w:rsidRPr="00884224">
        <w:rPr>
          <w:rFonts w:cs="Arial"/>
          <w:bCs w:val="0"/>
          <w:spacing w:val="-4"/>
          <w:szCs w:val="24"/>
          <w:lang w:eastAsia="en-GB"/>
        </w:rPr>
        <w:t xml:space="preserve"> </w:t>
      </w:r>
      <w:r w:rsidRPr="00884224">
        <w:rPr>
          <w:rFonts w:cs="Arial"/>
          <w:bCs w:val="0"/>
          <w:spacing w:val="-1"/>
          <w:szCs w:val="24"/>
          <w:lang w:eastAsia="en-GB"/>
        </w:rPr>
        <w:t>or</w:t>
      </w:r>
      <w:r w:rsidRPr="00884224">
        <w:rPr>
          <w:rFonts w:cs="Arial"/>
          <w:bCs w:val="0"/>
          <w:spacing w:val="-4"/>
          <w:szCs w:val="24"/>
          <w:lang w:eastAsia="en-GB"/>
        </w:rPr>
        <w:t xml:space="preserve"> </w:t>
      </w:r>
      <w:r w:rsidRPr="00884224">
        <w:rPr>
          <w:rFonts w:cs="Arial"/>
          <w:bCs w:val="0"/>
          <w:spacing w:val="-1"/>
          <w:szCs w:val="24"/>
          <w:lang w:eastAsia="en-GB"/>
        </w:rPr>
        <w:t>belief</w:t>
      </w:r>
      <w:r w:rsidRPr="00884224">
        <w:rPr>
          <w:rFonts w:cs="Arial"/>
          <w:bCs w:val="0"/>
          <w:spacing w:val="-4"/>
          <w:szCs w:val="24"/>
          <w:lang w:eastAsia="en-GB"/>
        </w:rPr>
        <w:t xml:space="preserve"> </w:t>
      </w:r>
      <w:r w:rsidRPr="00884224">
        <w:rPr>
          <w:rFonts w:cs="Arial"/>
          <w:bCs w:val="0"/>
          <w:spacing w:val="-1"/>
          <w:szCs w:val="24"/>
          <w:lang w:eastAsia="en-GB"/>
        </w:rPr>
        <w:t>(which</w:t>
      </w:r>
      <w:r w:rsidRPr="00884224">
        <w:rPr>
          <w:rFonts w:cs="Arial"/>
          <w:bCs w:val="0"/>
          <w:spacing w:val="-3"/>
          <w:szCs w:val="24"/>
          <w:lang w:eastAsia="en-GB"/>
        </w:rPr>
        <w:t xml:space="preserve"> </w:t>
      </w:r>
      <w:r w:rsidRPr="00884224">
        <w:rPr>
          <w:rFonts w:cs="Arial"/>
          <w:bCs w:val="0"/>
          <w:spacing w:val="-1"/>
          <w:szCs w:val="24"/>
          <w:lang w:eastAsia="en-GB"/>
        </w:rPr>
        <w:t>can</w:t>
      </w:r>
      <w:r w:rsidRPr="00884224">
        <w:rPr>
          <w:rFonts w:cs="Arial"/>
          <w:bCs w:val="0"/>
          <w:spacing w:val="-4"/>
          <w:szCs w:val="24"/>
          <w:lang w:eastAsia="en-GB"/>
        </w:rPr>
        <w:t xml:space="preserve"> </w:t>
      </w:r>
      <w:r w:rsidRPr="00884224">
        <w:rPr>
          <w:rFonts w:cs="Arial"/>
          <w:bCs w:val="0"/>
          <w:spacing w:val="-1"/>
          <w:szCs w:val="24"/>
          <w:lang w:eastAsia="en-GB"/>
        </w:rPr>
        <w:t>include</w:t>
      </w:r>
      <w:r w:rsidRPr="00884224">
        <w:rPr>
          <w:rFonts w:cs="Arial"/>
          <w:bCs w:val="0"/>
          <w:spacing w:val="-4"/>
          <w:szCs w:val="24"/>
          <w:lang w:eastAsia="en-GB"/>
        </w:rPr>
        <w:t xml:space="preserve"> </w:t>
      </w:r>
      <w:r w:rsidRPr="00884224">
        <w:rPr>
          <w:rFonts w:cs="Arial"/>
          <w:bCs w:val="0"/>
          <w:spacing w:val="-1"/>
          <w:szCs w:val="24"/>
          <w:lang w:eastAsia="en-GB"/>
        </w:rPr>
        <w:t>an</w:t>
      </w:r>
      <w:r w:rsidRPr="00884224">
        <w:rPr>
          <w:rFonts w:cs="Arial"/>
          <w:bCs w:val="0"/>
          <w:spacing w:val="-7"/>
          <w:szCs w:val="24"/>
          <w:lang w:eastAsia="en-GB"/>
        </w:rPr>
        <w:t xml:space="preserve"> </w:t>
      </w:r>
      <w:r w:rsidRPr="00884224">
        <w:rPr>
          <w:rFonts w:cs="Arial"/>
          <w:bCs w:val="0"/>
          <w:szCs w:val="24"/>
          <w:lang w:eastAsia="en-GB"/>
        </w:rPr>
        <w:t>absence</w:t>
      </w:r>
      <w:r w:rsidRPr="00884224">
        <w:rPr>
          <w:rFonts w:cs="Arial"/>
          <w:bCs w:val="0"/>
          <w:spacing w:val="-6"/>
          <w:szCs w:val="24"/>
          <w:lang w:eastAsia="en-GB"/>
        </w:rPr>
        <w:t xml:space="preserve"> </w:t>
      </w:r>
      <w:r w:rsidRPr="00884224">
        <w:rPr>
          <w:rFonts w:cs="Arial"/>
          <w:bCs w:val="0"/>
          <w:szCs w:val="24"/>
          <w:lang w:eastAsia="en-GB"/>
        </w:rPr>
        <w:t>of</w:t>
      </w:r>
      <w:r w:rsidRPr="00884224">
        <w:rPr>
          <w:rFonts w:cs="Arial"/>
          <w:bCs w:val="0"/>
          <w:spacing w:val="-7"/>
          <w:szCs w:val="24"/>
          <w:lang w:eastAsia="en-GB"/>
        </w:rPr>
        <w:t xml:space="preserve"> </w:t>
      </w:r>
      <w:r w:rsidRPr="00884224">
        <w:rPr>
          <w:rFonts w:cs="Arial"/>
          <w:bCs w:val="0"/>
          <w:spacing w:val="-1"/>
          <w:szCs w:val="24"/>
          <w:lang w:eastAsia="en-GB"/>
        </w:rPr>
        <w:t>belief)</w:t>
      </w:r>
    </w:p>
    <w:p w14:paraId="2A0BAAEF" w14:textId="77777777" w:rsidR="00DB7F92" w:rsidRPr="00884224" w:rsidRDefault="00DB7F92" w:rsidP="006C3DF5">
      <w:pPr>
        <w:pStyle w:val="ListParagraph"/>
        <w:widowControl w:val="0"/>
        <w:numPr>
          <w:ilvl w:val="0"/>
          <w:numId w:val="72"/>
        </w:numPr>
        <w:tabs>
          <w:tab w:val="left" w:pos="2528"/>
        </w:tabs>
        <w:spacing w:before="120" w:after="120" w:line="360" w:lineRule="auto"/>
        <w:ind w:left="714" w:hanging="357"/>
        <w:jc w:val="both"/>
        <w:rPr>
          <w:rFonts w:cs="Arial"/>
          <w:bCs w:val="0"/>
          <w:szCs w:val="24"/>
          <w:lang w:eastAsia="en-GB"/>
        </w:rPr>
      </w:pPr>
      <w:r w:rsidRPr="00884224">
        <w:rPr>
          <w:rFonts w:cs="Arial"/>
          <w:bCs w:val="0"/>
          <w:szCs w:val="24"/>
          <w:lang w:eastAsia="en-GB"/>
        </w:rPr>
        <w:t>sex</w:t>
      </w:r>
    </w:p>
    <w:p w14:paraId="1CA96E04" w14:textId="77777777" w:rsidR="00DB7F92" w:rsidRPr="00884224" w:rsidRDefault="00DB7F92" w:rsidP="006C3DF5">
      <w:pPr>
        <w:pStyle w:val="ListParagraph"/>
        <w:widowControl w:val="0"/>
        <w:numPr>
          <w:ilvl w:val="0"/>
          <w:numId w:val="72"/>
        </w:numPr>
        <w:tabs>
          <w:tab w:val="left" w:pos="2528"/>
        </w:tabs>
        <w:spacing w:before="120" w:after="120" w:line="360" w:lineRule="auto"/>
        <w:ind w:left="714" w:hanging="357"/>
        <w:jc w:val="both"/>
        <w:rPr>
          <w:rFonts w:cs="Arial"/>
          <w:bCs w:val="0"/>
          <w:szCs w:val="24"/>
          <w:lang w:eastAsia="en-GB"/>
        </w:rPr>
      </w:pPr>
      <w:r w:rsidRPr="00884224">
        <w:rPr>
          <w:rFonts w:cs="Arial"/>
          <w:bCs w:val="0"/>
          <w:szCs w:val="24"/>
          <w:lang w:eastAsia="en-GB"/>
        </w:rPr>
        <w:t xml:space="preserve">sexual orientation </w:t>
      </w:r>
    </w:p>
    <w:p w14:paraId="701F823D" w14:textId="77777777" w:rsidR="00DB7F92" w:rsidRPr="00DB7F92" w:rsidRDefault="00DB7F92" w:rsidP="00DB7F92">
      <w:pPr>
        <w:widowControl w:val="0"/>
        <w:tabs>
          <w:tab w:val="left" w:pos="2528"/>
        </w:tabs>
        <w:spacing w:before="199"/>
        <w:ind w:left="2528"/>
        <w:jc w:val="both"/>
        <w:rPr>
          <w:rFonts w:cs="Arial"/>
          <w:bCs w:val="0"/>
          <w:sz w:val="20"/>
          <w:szCs w:val="20"/>
          <w:lang w:eastAsia="en-GB"/>
        </w:rPr>
      </w:pPr>
    </w:p>
    <w:p w14:paraId="2AEE451A" w14:textId="516973D0" w:rsidR="00DB7F92" w:rsidRPr="00DB7F92" w:rsidRDefault="00DB7F92" w:rsidP="00DD5D2D">
      <w:pPr>
        <w:pStyle w:val="Heading3"/>
        <w:jc w:val="both"/>
        <w:rPr>
          <w:lang w:eastAsia="en-GB"/>
        </w:rPr>
      </w:pPr>
      <w:r w:rsidRPr="00DB7F92">
        <w:rPr>
          <w:lang w:eastAsia="en-GB"/>
        </w:rPr>
        <w:t>Unlawful</w:t>
      </w:r>
      <w:r w:rsidRPr="00DB7F92">
        <w:rPr>
          <w:spacing w:val="1"/>
          <w:lang w:eastAsia="en-GB"/>
        </w:rPr>
        <w:t xml:space="preserve"> </w:t>
      </w:r>
      <w:r w:rsidRPr="00DB7F92">
        <w:rPr>
          <w:lang w:eastAsia="en-GB"/>
        </w:rPr>
        <w:t>discrimination</w:t>
      </w:r>
      <w:r w:rsidRPr="00DB7F92">
        <w:rPr>
          <w:spacing w:val="4"/>
          <w:lang w:eastAsia="en-GB"/>
        </w:rPr>
        <w:t xml:space="preserve"> </w:t>
      </w:r>
      <w:r w:rsidRPr="00DB7F92">
        <w:rPr>
          <w:lang w:eastAsia="en-GB"/>
        </w:rPr>
        <w:t>can</w:t>
      </w:r>
      <w:r w:rsidRPr="00DB7F92">
        <w:rPr>
          <w:spacing w:val="3"/>
          <w:lang w:eastAsia="en-GB"/>
        </w:rPr>
        <w:t xml:space="preserve"> </w:t>
      </w:r>
      <w:r w:rsidRPr="00DB7F92">
        <w:rPr>
          <w:lang w:eastAsia="en-GB"/>
        </w:rPr>
        <w:t>also</w:t>
      </w:r>
      <w:r w:rsidRPr="00DB7F92">
        <w:rPr>
          <w:spacing w:val="2"/>
          <w:lang w:eastAsia="en-GB"/>
        </w:rPr>
        <w:t xml:space="preserve"> </w:t>
      </w:r>
      <w:r w:rsidRPr="00DB7F92">
        <w:rPr>
          <w:lang w:eastAsia="en-GB"/>
        </w:rPr>
        <w:t>occur</w:t>
      </w:r>
      <w:r w:rsidRPr="00DB7F92">
        <w:rPr>
          <w:spacing w:val="2"/>
          <w:lang w:eastAsia="en-GB"/>
        </w:rPr>
        <w:t xml:space="preserve"> </w:t>
      </w:r>
      <w:r w:rsidRPr="00DB7F92">
        <w:rPr>
          <w:lang w:eastAsia="en-GB"/>
        </w:rPr>
        <w:t>if</w:t>
      </w:r>
      <w:r w:rsidRPr="00DB7F92">
        <w:rPr>
          <w:spacing w:val="2"/>
          <w:lang w:eastAsia="en-GB"/>
        </w:rPr>
        <w:t xml:space="preserve"> </w:t>
      </w:r>
      <w:r w:rsidRPr="00DB7F92">
        <w:rPr>
          <w:lang w:eastAsia="en-GB"/>
        </w:rPr>
        <w:t>a</w:t>
      </w:r>
      <w:r w:rsidRPr="00DB7F92">
        <w:rPr>
          <w:spacing w:val="2"/>
          <w:lang w:eastAsia="en-GB"/>
        </w:rPr>
        <w:t xml:space="preserve"> </w:t>
      </w:r>
      <w:r w:rsidRPr="00DB7F92">
        <w:rPr>
          <w:lang w:eastAsia="en-GB"/>
        </w:rPr>
        <w:t>person</w:t>
      </w:r>
      <w:r w:rsidRPr="00DB7F92">
        <w:rPr>
          <w:spacing w:val="3"/>
          <w:lang w:eastAsia="en-GB"/>
        </w:rPr>
        <w:t xml:space="preserve"> </w:t>
      </w:r>
      <w:r w:rsidRPr="00DB7F92">
        <w:rPr>
          <w:lang w:eastAsia="en-GB"/>
        </w:rPr>
        <w:t>is</w:t>
      </w:r>
      <w:r w:rsidRPr="00DB7F92">
        <w:rPr>
          <w:spacing w:val="3"/>
          <w:lang w:eastAsia="en-GB"/>
        </w:rPr>
        <w:t xml:space="preserve">  </w:t>
      </w:r>
      <w:r w:rsidRPr="00DB7F92">
        <w:rPr>
          <w:lang w:eastAsia="en-GB"/>
        </w:rPr>
        <w:t>at</w:t>
      </w:r>
      <w:r w:rsidRPr="00DB7F92">
        <w:rPr>
          <w:spacing w:val="2"/>
          <w:lang w:eastAsia="en-GB"/>
        </w:rPr>
        <w:t xml:space="preserve"> </w:t>
      </w:r>
      <w:r w:rsidRPr="00DB7F92">
        <w:rPr>
          <w:lang w:eastAsia="en-GB"/>
        </w:rPr>
        <w:t>a disadvantage</w:t>
      </w:r>
      <w:r w:rsidRPr="00DB7F92">
        <w:rPr>
          <w:spacing w:val="49"/>
          <w:w w:val="99"/>
          <w:lang w:eastAsia="en-GB"/>
        </w:rPr>
        <w:t xml:space="preserve"> </w:t>
      </w:r>
      <w:r w:rsidRPr="00DB7F92">
        <w:rPr>
          <w:lang w:eastAsia="en-GB"/>
        </w:rPr>
        <w:t>because</w:t>
      </w:r>
      <w:r w:rsidRPr="00DB7F92">
        <w:rPr>
          <w:spacing w:val="-4"/>
          <w:lang w:eastAsia="en-GB"/>
        </w:rPr>
        <w:t xml:space="preserve"> </w:t>
      </w:r>
      <w:r w:rsidRPr="00DB7F92">
        <w:rPr>
          <w:lang w:eastAsia="en-GB"/>
        </w:rPr>
        <w:t>of</w:t>
      </w:r>
      <w:r w:rsidRPr="00DB7F92">
        <w:rPr>
          <w:spacing w:val="-3"/>
          <w:lang w:eastAsia="en-GB"/>
        </w:rPr>
        <w:t xml:space="preserve"> </w:t>
      </w:r>
      <w:r w:rsidRPr="00DB7F92">
        <w:rPr>
          <w:lang w:eastAsia="en-GB"/>
        </w:rPr>
        <w:t>a</w:t>
      </w:r>
      <w:r w:rsidRPr="00DB7F92">
        <w:rPr>
          <w:spacing w:val="-2"/>
          <w:lang w:eastAsia="en-GB"/>
        </w:rPr>
        <w:t xml:space="preserve"> </w:t>
      </w:r>
      <w:r w:rsidRPr="00DB7F92">
        <w:rPr>
          <w:lang w:eastAsia="en-GB"/>
        </w:rPr>
        <w:t>combination</w:t>
      </w:r>
      <w:r w:rsidRPr="00DB7F92">
        <w:rPr>
          <w:spacing w:val="-5"/>
          <w:lang w:eastAsia="en-GB"/>
        </w:rPr>
        <w:t xml:space="preserve"> </w:t>
      </w:r>
      <w:r w:rsidRPr="00DB7F92">
        <w:rPr>
          <w:lang w:eastAsia="en-GB"/>
        </w:rPr>
        <w:t>of</w:t>
      </w:r>
      <w:r w:rsidRPr="00DB7F92">
        <w:rPr>
          <w:spacing w:val="-7"/>
          <w:lang w:eastAsia="en-GB"/>
        </w:rPr>
        <w:t xml:space="preserve"> </w:t>
      </w:r>
      <w:r w:rsidRPr="00DB7F92">
        <w:rPr>
          <w:lang w:eastAsia="en-GB"/>
        </w:rPr>
        <w:t>these</w:t>
      </w:r>
      <w:r w:rsidRPr="00DB7F92">
        <w:rPr>
          <w:spacing w:val="-3"/>
          <w:lang w:eastAsia="en-GB"/>
        </w:rPr>
        <w:t xml:space="preserve"> </w:t>
      </w:r>
      <w:r w:rsidRPr="00DB7F92">
        <w:rPr>
          <w:lang w:eastAsia="en-GB"/>
        </w:rPr>
        <w:t>factors.</w:t>
      </w:r>
    </w:p>
    <w:p w14:paraId="11DDD263" w14:textId="77777777" w:rsidR="00DB7F92" w:rsidRPr="00645D74" w:rsidRDefault="00DB7F92" w:rsidP="00645D74">
      <w:pPr>
        <w:rPr>
          <w:rFonts w:eastAsiaTheme="majorEastAsia"/>
          <w:i/>
          <w:sz w:val="28"/>
        </w:rPr>
      </w:pPr>
      <w:r w:rsidRPr="00645D74">
        <w:rPr>
          <w:rFonts w:eastAsiaTheme="majorEastAsia"/>
          <w:i/>
          <w:sz w:val="28"/>
        </w:rPr>
        <w:t>Unlawful discrimination</w:t>
      </w:r>
    </w:p>
    <w:p w14:paraId="56034447" w14:textId="77777777" w:rsidR="002D119A" w:rsidRDefault="002D119A" w:rsidP="003331F2">
      <w:pPr>
        <w:pStyle w:val="BodyText"/>
      </w:pPr>
    </w:p>
    <w:p w14:paraId="05DCCE93" w14:textId="162AC0A8" w:rsidR="00DB7F92" w:rsidRPr="00DB7F92" w:rsidRDefault="00DB7F92" w:rsidP="00DD5D2D">
      <w:pPr>
        <w:pStyle w:val="Heading3"/>
        <w:jc w:val="both"/>
        <w:rPr>
          <w:lang w:eastAsia="en-GB"/>
        </w:rPr>
      </w:pPr>
      <w:r w:rsidRPr="00DB7F92">
        <w:rPr>
          <w:lang w:eastAsia="en-GB"/>
        </w:rPr>
        <w:t>There</w:t>
      </w:r>
      <w:r w:rsidRPr="00DB7F92">
        <w:rPr>
          <w:spacing w:val="5"/>
          <w:lang w:eastAsia="en-GB"/>
        </w:rPr>
        <w:t xml:space="preserve"> </w:t>
      </w:r>
      <w:r w:rsidRPr="00DB7F92">
        <w:rPr>
          <w:lang w:eastAsia="en-GB"/>
        </w:rPr>
        <w:t>are</w:t>
      </w:r>
      <w:r w:rsidRPr="00DB7F92">
        <w:rPr>
          <w:spacing w:val="8"/>
          <w:lang w:eastAsia="en-GB"/>
        </w:rPr>
        <w:t xml:space="preserve"> </w:t>
      </w:r>
      <w:r w:rsidRPr="00DB7F92">
        <w:rPr>
          <w:lang w:eastAsia="en-GB"/>
        </w:rPr>
        <w:t>broadly</w:t>
      </w:r>
      <w:r w:rsidRPr="00DB7F92">
        <w:rPr>
          <w:spacing w:val="10"/>
          <w:lang w:eastAsia="en-GB"/>
        </w:rPr>
        <w:t xml:space="preserve"> </w:t>
      </w:r>
      <w:r w:rsidRPr="00DB7F92">
        <w:rPr>
          <w:lang w:eastAsia="en-GB"/>
        </w:rPr>
        <w:t>four</w:t>
      </w:r>
      <w:r w:rsidRPr="00DB7F92">
        <w:rPr>
          <w:spacing w:val="12"/>
          <w:lang w:eastAsia="en-GB"/>
        </w:rPr>
        <w:t xml:space="preserve"> </w:t>
      </w:r>
      <w:r w:rsidRPr="00DB7F92">
        <w:rPr>
          <w:lang w:eastAsia="en-GB"/>
        </w:rPr>
        <w:t>types</w:t>
      </w:r>
      <w:r w:rsidRPr="00DB7F92">
        <w:rPr>
          <w:spacing w:val="7"/>
          <w:lang w:eastAsia="en-GB"/>
        </w:rPr>
        <w:t xml:space="preserve"> </w:t>
      </w:r>
      <w:r w:rsidRPr="00DB7F92">
        <w:rPr>
          <w:lang w:eastAsia="en-GB"/>
        </w:rPr>
        <w:t>of</w:t>
      </w:r>
      <w:r w:rsidRPr="00DB7F92">
        <w:rPr>
          <w:spacing w:val="8"/>
          <w:lang w:eastAsia="en-GB"/>
        </w:rPr>
        <w:t xml:space="preserve"> </w:t>
      </w:r>
      <w:r w:rsidRPr="00DB7F92">
        <w:rPr>
          <w:lang w:eastAsia="en-GB"/>
        </w:rPr>
        <w:t>discrimination</w:t>
      </w:r>
      <w:r w:rsidRPr="00DB7F92">
        <w:rPr>
          <w:spacing w:val="8"/>
          <w:lang w:eastAsia="en-GB"/>
        </w:rPr>
        <w:t xml:space="preserve"> </w:t>
      </w:r>
      <w:r w:rsidRPr="00DB7F92">
        <w:rPr>
          <w:lang w:eastAsia="en-GB"/>
        </w:rPr>
        <w:t>in</w:t>
      </w:r>
      <w:r w:rsidRPr="00DB7F92">
        <w:rPr>
          <w:spacing w:val="6"/>
          <w:lang w:eastAsia="en-GB"/>
        </w:rPr>
        <w:t xml:space="preserve"> </w:t>
      </w:r>
      <w:r w:rsidRPr="00DB7F92">
        <w:rPr>
          <w:lang w:eastAsia="en-GB"/>
        </w:rPr>
        <w:t>the</w:t>
      </w:r>
      <w:r w:rsidRPr="00DB7F92">
        <w:rPr>
          <w:spacing w:val="8"/>
          <w:lang w:eastAsia="en-GB"/>
        </w:rPr>
        <w:t xml:space="preserve"> </w:t>
      </w:r>
      <w:r w:rsidRPr="00DB7F92">
        <w:rPr>
          <w:lang w:eastAsia="en-GB"/>
        </w:rPr>
        <w:t>provision</w:t>
      </w:r>
      <w:r w:rsidRPr="00DB7F92">
        <w:rPr>
          <w:spacing w:val="9"/>
          <w:lang w:eastAsia="en-GB"/>
        </w:rPr>
        <w:t xml:space="preserve"> </w:t>
      </w:r>
      <w:r w:rsidRPr="00DB7F92">
        <w:rPr>
          <w:lang w:eastAsia="en-GB"/>
        </w:rPr>
        <w:t>of</w:t>
      </w:r>
      <w:r w:rsidRPr="00DB7F92">
        <w:rPr>
          <w:spacing w:val="5"/>
          <w:lang w:eastAsia="en-GB"/>
        </w:rPr>
        <w:t xml:space="preserve"> </w:t>
      </w:r>
      <w:r w:rsidRPr="00DB7F92">
        <w:rPr>
          <w:lang w:eastAsia="en-GB"/>
        </w:rPr>
        <w:t>services</w:t>
      </w:r>
      <w:r w:rsidRPr="00DB7F92">
        <w:rPr>
          <w:spacing w:val="74"/>
          <w:w w:val="99"/>
          <w:lang w:eastAsia="en-GB"/>
        </w:rPr>
        <w:t xml:space="preserve"> </w:t>
      </w:r>
      <w:r w:rsidRPr="00DB7F92">
        <w:rPr>
          <w:lang w:eastAsia="en-GB"/>
        </w:rPr>
        <w:t>that</w:t>
      </w:r>
      <w:r w:rsidRPr="00DB7F92">
        <w:rPr>
          <w:spacing w:val="-5"/>
          <w:lang w:eastAsia="en-GB"/>
        </w:rPr>
        <w:t xml:space="preserve"> </w:t>
      </w:r>
      <w:r w:rsidRPr="00DB7F92">
        <w:rPr>
          <w:lang w:eastAsia="en-GB"/>
        </w:rPr>
        <w:t>are</w:t>
      </w:r>
      <w:r w:rsidRPr="00DB7F92">
        <w:rPr>
          <w:spacing w:val="-6"/>
          <w:lang w:eastAsia="en-GB"/>
        </w:rPr>
        <w:t xml:space="preserve"> </w:t>
      </w:r>
      <w:r w:rsidRPr="00DB7F92">
        <w:rPr>
          <w:lang w:eastAsia="en-GB"/>
        </w:rPr>
        <w:t>unlawful</w:t>
      </w:r>
      <w:r w:rsidRPr="00DB7F92">
        <w:rPr>
          <w:spacing w:val="-4"/>
          <w:lang w:eastAsia="en-GB"/>
        </w:rPr>
        <w:t xml:space="preserve"> </w:t>
      </w:r>
      <w:r w:rsidRPr="00DB7F92">
        <w:rPr>
          <w:lang w:eastAsia="en-GB"/>
        </w:rPr>
        <w:t>under</w:t>
      </w:r>
      <w:r w:rsidRPr="00DB7F92">
        <w:rPr>
          <w:spacing w:val="-3"/>
          <w:lang w:eastAsia="en-GB"/>
        </w:rPr>
        <w:t xml:space="preserve"> </w:t>
      </w:r>
      <w:r w:rsidRPr="00DB7F92">
        <w:rPr>
          <w:lang w:eastAsia="en-GB"/>
        </w:rPr>
        <w:t>the</w:t>
      </w:r>
      <w:r w:rsidRPr="00DB7F92">
        <w:rPr>
          <w:spacing w:val="-5"/>
          <w:lang w:eastAsia="en-GB"/>
        </w:rPr>
        <w:t xml:space="preserve"> </w:t>
      </w:r>
      <w:r w:rsidRPr="00DB7F92">
        <w:rPr>
          <w:lang w:eastAsia="en-GB"/>
        </w:rPr>
        <w:t>Equality</w:t>
      </w:r>
      <w:r w:rsidRPr="00DB7F92">
        <w:rPr>
          <w:spacing w:val="-5"/>
          <w:lang w:eastAsia="en-GB"/>
        </w:rPr>
        <w:t xml:space="preserve"> </w:t>
      </w:r>
      <w:r w:rsidRPr="00DB7F92">
        <w:rPr>
          <w:lang w:eastAsia="en-GB"/>
        </w:rPr>
        <w:t>Act</w:t>
      </w:r>
      <w:r w:rsidR="000B690C">
        <w:rPr>
          <w:lang w:eastAsia="en-GB"/>
        </w:rPr>
        <w:t xml:space="preserve"> 2010</w:t>
      </w:r>
      <w:r w:rsidRPr="00DB7F92">
        <w:rPr>
          <w:lang w:eastAsia="en-GB"/>
        </w:rPr>
        <w:t>:</w:t>
      </w:r>
    </w:p>
    <w:p w14:paraId="02ED9022" w14:textId="123521DE" w:rsidR="00DB7F92" w:rsidRPr="002D119A" w:rsidRDefault="00DB7F92" w:rsidP="006C3DF5">
      <w:pPr>
        <w:pStyle w:val="Heading4"/>
        <w:numPr>
          <w:ilvl w:val="0"/>
          <w:numId w:val="73"/>
        </w:numPr>
        <w:spacing w:before="0"/>
      </w:pPr>
      <w:r w:rsidRPr="002D119A">
        <w:t>Direct</w:t>
      </w:r>
      <w:r w:rsidRPr="002D119A">
        <w:rPr>
          <w:spacing w:val="62"/>
        </w:rPr>
        <w:t xml:space="preserve"> </w:t>
      </w:r>
      <w:r w:rsidRPr="002D119A">
        <w:t>discrimination</w:t>
      </w:r>
      <w:r w:rsidRPr="002D119A">
        <w:rPr>
          <w:spacing w:val="45"/>
        </w:rPr>
        <w:t xml:space="preserve"> </w:t>
      </w:r>
      <w:r w:rsidRPr="002D119A">
        <w:t>services</w:t>
      </w:r>
      <w:r w:rsidRPr="002D119A">
        <w:rPr>
          <w:spacing w:val="65"/>
        </w:rPr>
        <w:t xml:space="preserve"> </w:t>
      </w:r>
      <w:r w:rsidRPr="002D119A">
        <w:t>are</w:t>
      </w:r>
      <w:r w:rsidRPr="002D119A">
        <w:rPr>
          <w:spacing w:val="63"/>
        </w:rPr>
        <w:t xml:space="preserve"> </w:t>
      </w:r>
      <w:r w:rsidRPr="002D119A">
        <w:t>not</w:t>
      </w:r>
      <w:r w:rsidRPr="002D119A">
        <w:rPr>
          <w:spacing w:val="64"/>
        </w:rPr>
        <w:t xml:space="preserve"> </w:t>
      </w:r>
      <w:r w:rsidR="00050291" w:rsidRPr="002D119A">
        <w:t>available to</w:t>
      </w:r>
      <w:r w:rsidRPr="002D119A">
        <w:rPr>
          <w:spacing w:val="64"/>
        </w:rPr>
        <w:t xml:space="preserve"> </w:t>
      </w:r>
      <w:r w:rsidRPr="002D119A">
        <w:t>someone</w:t>
      </w:r>
      <w:r w:rsidRPr="002D119A">
        <w:rPr>
          <w:spacing w:val="69"/>
          <w:w w:val="99"/>
        </w:rPr>
        <w:t xml:space="preserve"> </w:t>
      </w:r>
      <w:r w:rsidRPr="002D119A">
        <w:t>because</w:t>
      </w:r>
      <w:r w:rsidRPr="002D119A">
        <w:rPr>
          <w:spacing w:val="42"/>
        </w:rPr>
        <w:t xml:space="preserve"> </w:t>
      </w:r>
      <w:r w:rsidRPr="002D119A">
        <w:t>they</w:t>
      </w:r>
      <w:r w:rsidRPr="002D119A">
        <w:rPr>
          <w:spacing w:val="42"/>
        </w:rPr>
        <w:t xml:space="preserve"> </w:t>
      </w:r>
      <w:r w:rsidRPr="002D119A">
        <w:t>are</w:t>
      </w:r>
      <w:r w:rsidRPr="002D119A">
        <w:rPr>
          <w:spacing w:val="43"/>
        </w:rPr>
        <w:t xml:space="preserve"> </w:t>
      </w:r>
      <w:r w:rsidRPr="002D119A">
        <w:t>e.g.</w:t>
      </w:r>
      <w:r w:rsidRPr="002D119A">
        <w:rPr>
          <w:spacing w:val="46"/>
        </w:rPr>
        <w:t xml:space="preserve"> </w:t>
      </w:r>
      <w:r w:rsidRPr="002D119A">
        <w:t>not</w:t>
      </w:r>
      <w:r w:rsidRPr="002D119A">
        <w:rPr>
          <w:spacing w:val="41"/>
        </w:rPr>
        <w:t xml:space="preserve"> </w:t>
      </w:r>
      <w:r w:rsidRPr="002D119A">
        <w:t>married,</w:t>
      </w:r>
      <w:r w:rsidRPr="002D119A">
        <w:rPr>
          <w:spacing w:val="42"/>
        </w:rPr>
        <w:t xml:space="preserve"> </w:t>
      </w:r>
      <w:r w:rsidRPr="002D119A">
        <w:t>over</w:t>
      </w:r>
      <w:r w:rsidRPr="002D119A">
        <w:rPr>
          <w:spacing w:val="42"/>
        </w:rPr>
        <w:t xml:space="preserve"> </w:t>
      </w:r>
      <w:r w:rsidRPr="002D119A">
        <w:t>35,</w:t>
      </w:r>
      <w:r w:rsidRPr="002D119A">
        <w:rPr>
          <w:spacing w:val="44"/>
        </w:rPr>
        <w:t xml:space="preserve"> </w:t>
      </w:r>
      <w:r w:rsidRPr="002D119A">
        <w:t>a</w:t>
      </w:r>
      <w:r w:rsidRPr="002D119A">
        <w:rPr>
          <w:spacing w:val="41"/>
        </w:rPr>
        <w:t xml:space="preserve"> </w:t>
      </w:r>
      <w:r w:rsidRPr="002D119A">
        <w:t>woman.</w:t>
      </w:r>
      <w:r w:rsidRPr="002D119A">
        <w:rPr>
          <w:spacing w:val="20"/>
        </w:rPr>
        <w:t xml:space="preserve"> </w:t>
      </w:r>
      <w:r w:rsidRPr="002D119A">
        <w:t>Apart</w:t>
      </w:r>
      <w:r w:rsidRPr="002D119A">
        <w:rPr>
          <w:spacing w:val="45"/>
          <w:w w:val="99"/>
        </w:rPr>
        <w:t xml:space="preserve"> </w:t>
      </w:r>
      <w:r w:rsidRPr="002D119A">
        <w:t>from</w:t>
      </w:r>
      <w:r w:rsidRPr="002D119A">
        <w:rPr>
          <w:spacing w:val="29"/>
        </w:rPr>
        <w:t xml:space="preserve"> </w:t>
      </w:r>
      <w:r w:rsidRPr="002D119A">
        <w:t>a</w:t>
      </w:r>
      <w:r w:rsidRPr="002D119A">
        <w:rPr>
          <w:spacing w:val="32"/>
        </w:rPr>
        <w:t xml:space="preserve"> </w:t>
      </w:r>
      <w:r w:rsidRPr="002D119A">
        <w:t>few</w:t>
      </w:r>
      <w:r w:rsidRPr="002D119A">
        <w:rPr>
          <w:spacing w:val="32"/>
        </w:rPr>
        <w:t xml:space="preserve"> </w:t>
      </w:r>
      <w:r w:rsidRPr="002D119A">
        <w:t>limited</w:t>
      </w:r>
      <w:r w:rsidRPr="002D119A">
        <w:rPr>
          <w:spacing w:val="31"/>
        </w:rPr>
        <w:t xml:space="preserve"> </w:t>
      </w:r>
      <w:r w:rsidRPr="002D119A">
        <w:t>exceptions,</w:t>
      </w:r>
      <w:r w:rsidRPr="002D119A">
        <w:rPr>
          <w:spacing w:val="32"/>
        </w:rPr>
        <w:t xml:space="preserve"> </w:t>
      </w:r>
      <w:r w:rsidRPr="002D119A">
        <w:t>direct</w:t>
      </w:r>
      <w:r w:rsidRPr="002D119A">
        <w:rPr>
          <w:spacing w:val="30"/>
        </w:rPr>
        <w:t xml:space="preserve"> </w:t>
      </w:r>
      <w:r w:rsidRPr="002D119A">
        <w:t>discrimination</w:t>
      </w:r>
      <w:r w:rsidRPr="002D119A">
        <w:rPr>
          <w:spacing w:val="30"/>
        </w:rPr>
        <w:t xml:space="preserve"> </w:t>
      </w:r>
      <w:r w:rsidRPr="002D119A">
        <w:t>will</w:t>
      </w:r>
      <w:r w:rsidRPr="002D119A">
        <w:rPr>
          <w:spacing w:val="31"/>
        </w:rPr>
        <w:t xml:space="preserve"> </w:t>
      </w:r>
      <w:r w:rsidRPr="002D119A">
        <w:t>always</w:t>
      </w:r>
      <w:r w:rsidRPr="002D119A">
        <w:rPr>
          <w:spacing w:val="51"/>
        </w:rPr>
        <w:t xml:space="preserve"> </w:t>
      </w:r>
      <w:r w:rsidRPr="002D119A">
        <w:t>be</w:t>
      </w:r>
      <w:r w:rsidRPr="002D119A">
        <w:rPr>
          <w:spacing w:val="27"/>
        </w:rPr>
        <w:t xml:space="preserve"> </w:t>
      </w:r>
      <w:r w:rsidRPr="002D119A">
        <w:t>unlawful,</w:t>
      </w:r>
      <w:r w:rsidRPr="002D119A">
        <w:rPr>
          <w:spacing w:val="29"/>
        </w:rPr>
        <w:t xml:space="preserve"> </w:t>
      </w:r>
      <w:r w:rsidRPr="002D119A">
        <w:t>unless</w:t>
      </w:r>
      <w:r w:rsidRPr="002D119A">
        <w:rPr>
          <w:spacing w:val="30"/>
        </w:rPr>
        <w:t xml:space="preserve"> </w:t>
      </w:r>
      <w:r w:rsidRPr="002D119A">
        <w:t>it</w:t>
      </w:r>
      <w:r w:rsidRPr="002D119A">
        <w:rPr>
          <w:spacing w:val="32"/>
        </w:rPr>
        <w:t xml:space="preserve"> </w:t>
      </w:r>
      <w:r w:rsidRPr="002D119A">
        <w:t>is</w:t>
      </w:r>
      <w:r w:rsidRPr="002D119A">
        <w:rPr>
          <w:spacing w:val="30"/>
        </w:rPr>
        <w:t xml:space="preserve"> </w:t>
      </w:r>
      <w:r w:rsidRPr="002D119A">
        <w:t>on</w:t>
      </w:r>
      <w:r w:rsidRPr="002D119A">
        <w:rPr>
          <w:spacing w:val="29"/>
        </w:rPr>
        <w:t xml:space="preserve"> </w:t>
      </w:r>
      <w:r w:rsidRPr="002D119A">
        <w:t>the</w:t>
      </w:r>
      <w:r w:rsidRPr="002D119A">
        <w:rPr>
          <w:spacing w:val="27"/>
        </w:rPr>
        <w:t xml:space="preserve"> </w:t>
      </w:r>
      <w:r w:rsidRPr="002D119A">
        <w:t>grounds</w:t>
      </w:r>
      <w:r w:rsidRPr="002D119A">
        <w:rPr>
          <w:spacing w:val="33"/>
        </w:rPr>
        <w:t xml:space="preserve"> </w:t>
      </w:r>
      <w:r w:rsidRPr="002D119A">
        <w:t>of</w:t>
      </w:r>
      <w:r w:rsidRPr="002D119A">
        <w:rPr>
          <w:spacing w:val="28"/>
        </w:rPr>
        <w:t xml:space="preserve"> </w:t>
      </w:r>
      <w:r w:rsidRPr="002D119A">
        <w:t>age</w:t>
      </w:r>
      <w:r w:rsidRPr="002D119A">
        <w:rPr>
          <w:spacing w:val="28"/>
        </w:rPr>
        <w:t xml:space="preserve"> </w:t>
      </w:r>
      <w:r w:rsidRPr="002D119A">
        <w:t>and</w:t>
      </w:r>
      <w:r w:rsidRPr="002D119A">
        <w:rPr>
          <w:spacing w:val="30"/>
        </w:rPr>
        <w:t xml:space="preserve"> </w:t>
      </w:r>
      <w:r w:rsidRPr="002D119A">
        <w:t>the</w:t>
      </w:r>
      <w:r w:rsidRPr="002D119A">
        <w:rPr>
          <w:spacing w:val="45"/>
          <w:w w:val="99"/>
        </w:rPr>
        <w:t xml:space="preserve"> </w:t>
      </w:r>
      <w:r w:rsidRPr="002D119A">
        <w:t>discrimination</w:t>
      </w:r>
      <w:r w:rsidRPr="002D119A">
        <w:rPr>
          <w:spacing w:val="18"/>
        </w:rPr>
        <w:t xml:space="preserve"> </w:t>
      </w:r>
      <w:r w:rsidRPr="002D119A">
        <w:t>is</w:t>
      </w:r>
      <w:r w:rsidRPr="002D119A">
        <w:rPr>
          <w:spacing w:val="19"/>
        </w:rPr>
        <w:t xml:space="preserve"> </w:t>
      </w:r>
      <w:r w:rsidRPr="002D119A">
        <w:t>a</w:t>
      </w:r>
      <w:r w:rsidRPr="002D119A">
        <w:rPr>
          <w:spacing w:val="19"/>
        </w:rPr>
        <w:t xml:space="preserve"> </w:t>
      </w:r>
      <w:r w:rsidRPr="002D119A">
        <w:t>proportionate</w:t>
      </w:r>
      <w:r w:rsidRPr="002D119A">
        <w:rPr>
          <w:spacing w:val="17"/>
        </w:rPr>
        <w:t xml:space="preserve"> </w:t>
      </w:r>
      <w:r w:rsidRPr="002D119A">
        <w:t>means</w:t>
      </w:r>
      <w:r w:rsidRPr="002D119A">
        <w:rPr>
          <w:spacing w:val="21"/>
        </w:rPr>
        <w:t xml:space="preserve"> </w:t>
      </w:r>
      <w:r w:rsidRPr="002D119A">
        <w:t>of</w:t>
      </w:r>
      <w:r w:rsidRPr="002D119A">
        <w:rPr>
          <w:spacing w:val="18"/>
        </w:rPr>
        <w:t xml:space="preserve"> </w:t>
      </w:r>
      <w:r w:rsidRPr="002D119A">
        <w:t>achieving</w:t>
      </w:r>
      <w:r w:rsidRPr="002D119A">
        <w:rPr>
          <w:spacing w:val="17"/>
        </w:rPr>
        <w:t xml:space="preserve"> </w:t>
      </w:r>
      <w:r w:rsidRPr="002D119A">
        <w:t>a</w:t>
      </w:r>
      <w:r w:rsidRPr="002D119A">
        <w:rPr>
          <w:spacing w:val="49"/>
          <w:w w:val="99"/>
        </w:rPr>
        <w:t xml:space="preserve"> </w:t>
      </w:r>
      <w:r w:rsidRPr="002D119A">
        <w:t>legitimate</w:t>
      </w:r>
      <w:r w:rsidRPr="002D119A">
        <w:rPr>
          <w:spacing w:val="-14"/>
        </w:rPr>
        <w:t xml:space="preserve"> </w:t>
      </w:r>
      <w:r w:rsidRPr="002D119A">
        <w:t>aim.</w:t>
      </w:r>
    </w:p>
    <w:p w14:paraId="347047A1" w14:textId="48188FCA" w:rsidR="00DB7F92" w:rsidRPr="002D119A" w:rsidRDefault="00DB7F92" w:rsidP="006C3DF5">
      <w:pPr>
        <w:pStyle w:val="Heading4"/>
        <w:numPr>
          <w:ilvl w:val="0"/>
          <w:numId w:val="73"/>
        </w:numPr>
        <w:spacing w:before="0"/>
      </w:pPr>
      <w:r w:rsidRPr="002D119A">
        <w:t>Indirect discrimination</w:t>
      </w:r>
      <w:r w:rsidRPr="00F45B47">
        <w:rPr>
          <w:spacing w:val="68"/>
        </w:rPr>
        <w:t xml:space="preserve"> </w:t>
      </w:r>
      <w:r w:rsidRPr="002D119A">
        <w:t>occurs</w:t>
      </w:r>
      <w:r w:rsidRPr="00F45B47">
        <w:rPr>
          <w:spacing w:val="21"/>
        </w:rPr>
        <w:t xml:space="preserve"> </w:t>
      </w:r>
      <w:r w:rsidRPr="002D119A">
        <w:t>when</w:t>
      </w:r>
      <w:r w:rsidRPr="00F45B47">
        <w:rPr>
          <w:spacing w:val="20"/>
        </w:rPr>
        <w:t xml:space="preserve"> </w:t>
      </w:r>
      <w:r w:rsidRPr="002D119A">
        <w:t>commissioners</w:t>
      </w:r>
      <w:r w:rsidRPr="00F45B47">
        <w:rPr>
          <w:spacing w:val="19"/>
        </w:rPr>
        <w:t xml:space="preserve"> </w:t>
      </w:r>
      <w:r w:rsidRPr="002D119A">
        <w:t>apply</w:t>
      </w:r>
      <w:r w:rsidRPr="00F45B47">
        <w:rPr>
          <w:spacing w:val="23"/>
        </w:rPr>
        <w:t xml:space="preserve"> </w:t>
      </w:r>
      <w:r w:rsidRPr="002D119A">
        <w:t>a</w:t>
      </w:r>
      <w:r w:rsidRPr="00F45B47">
        <w:rPr>
          <w:spacing w:val="53"/>
          <w:w w:val="99"/>
        </w:rPr>
        <w:t xml:space="preserve"> </w:t>
      </w:r>
      <w:r w:rsidRPr="002D119A">
        <w:t>policy, criterion or</w:t>
      </w:r>
      <w:r w:rsidRPr="00F45B47">
        <w:rPr>
          <w:spacing w:val="1"/>
        </w:rPr>
        <w:t xml:space="preserve"> </w:t>
      </w:r>
      <w:r w:rsidRPr="002D119A">
        <w:t>practice</w:t>
      </w:r>
      <w:r w:rsidRPr="00F45B47">
        <w:rPr>
          <w:spacing w:val="-2"/>
        </w:rPr>
        <w:t xml:space="preserve"> </w:t>
      </w:r>
      <w:r w:rsidRPr="002D119A">
        <w:t>equally to everybody but which has a</w:t>
      </w:r>
      <w:r w:rsidRPr="00F45B47">
        <w:rPr>
          <w:spacing w:val="65"/>
          <w:w w:val="99"/>
        </w:rPr>
        <w:t xml:space="preserve"> </w:t>
      </w:r>
      <w:r w:rsidRPr="002D119A">
        <w:t>disproportionate</w:t>
      </w:r>
      <w:r w:rsidRPr="00F45B47">
        <w:rPr>
          <w:spacing w:val="17"/>
        </w:rPr>
        <w:t xml:space="preserve"> </w:t>
      </w:r>
      <w:r w:rsidRPr="002D119A">
        <w:t>negative</w:t>
      </w:r>
      <w:r w:rsidRPr="00F45B47">
        <w:rPr>
          <w:spacing w:val="17"/>
        </w:rPr>
        <w:t xml:space="preserve"> </w:t>
      </w:r>
      <w:r w:rsidRPr="002D119A">
        <w:t>impact</w:t>
      </w:r>
      <w:r w:rsidRPr="00F45B47">
        <w:rPr>
          <w:spacing w:val="18"/>
        </w:rPr>
        <w:t xml:space="preserve"> </w:t>
      </w:r>
      <w:r w:rsidRPr="002D119A">
        <w:t>on</w:t>
      </w:r>
      <w:r w:rsidRPr="00F45B47">
        <w:rPr>
          <w:spacing w:val="21"/>
        </w:rPr>
        <w:t xml:space="preserve"> </w:t>
      </w:r>
      <w:r w:rsidRPr="002D119A">
        <w:t>one</w:t>
      </w:r>
      <w:r w:rsidRPr="00F45B47">
        <w:rPr>
          <w:spacing w:val="19"/>
        </w:rPr>
        <w:t xml:space="preserve"> </w:t>
      </w:r>
      <w:r w:rsidRPr="002D119A">
        <w:t>of</w:t>
      </w:r>
      <w:r w:rsidRPr="00F45B47">
        <w:rPr>
          <w:spacing w:val="17"/>
        </w:rPr>
        <w:t xml:space="preserve"> </w:t>
      </w:r>
      <w:r w:rsidRPr="002D119A">
        <w:t>the</w:t>
      </w:r>
      <w:r w:rsidRPr="00F45B47">
        <w:rPr>
          <w:spacing w:val="17"/>
        </w:rPr>
        <w:t xml:space="preserve"> </w:t>
      </w:r>
      <w:r w:rsidRPr="002D119A">
        <w:t>groups</w:t>
      </w:r>
      <w:r w:rsidRPr="00F45B47">
        <w:rPr>
          <w:spacing w:val="19"/>
        </w:rPr>
        <w:t xml:space="preserve"> </w:t>
      </w:r>
      <w:r w:rsidRPr="002D119A">
        <w:t>of</w:t>
      </w:r>
      <w:r w:rsidRPr="00F45B47">
        <w:rPr>
          <w:spacing w:val="47"/>
        </w:rPr>
        <w:t xml:space="preserve"> </w:t>
      </w:r>
      <w:r w:rsidRPr="002D119A">
        <w:t>people</w:t>
      </w:r>
      <w:r w:rsidRPr="00F45B47">
        <w:rPr>
          <w:spacing w:val="50"/>
        </w:rPr>
        <w:t xml:space="preserve"> </w:t>
      </w:r>
      <w:r w:rsidRPr="002D119A">
        <w:t>sharing</w:t>
      </w:r>
      <w:r w:rsidRPr="00F45B47">
        <w:rPr>
          <w:spacing w:val="51"/>
        </w:rPr>
        <w:t xml:space="preserve"> </w:t>
      </w:r>
      <w:r w:rsidRPr="002D119A">
        <w:t>a</w:t>
      </w:r>
      <w:r w:rsidRPr="00F45B47">
        <w:rPr>
          <w:spacing w:val="52"/>
        </w:rPr>
        <w:t xml:space="preserve"> </w:t>
      </w:r>
      <w:r w:rsidRPr="002D119A">
        <w:t>protected</w:t>
      </w:r>
      <w:r w:rsidRPr="00F45B47">
        <w:rPr>
          <w:spacing w:val="53"/>
        </w:rPr>
        <w:t xml:space="preserve"> </w:t>
      </w:r>
      <w:r w:rsidRPr="002D119A">
        <w:t>characteristic,</w:t>
      </w:r>
      <w:r w:rsidRPr="00F45B47">
        <w:rPr>
          <w:spacing w:val="54"/>
        </w:rPr>
        <w:t xml:space="preserve"> </w:t>
      </w:r>
      <w:r w:rsidRPr="002D119A">
        <w:t>and</w:t>
      </w:r>
      <w:r w:rsidRPr="00F45B47">
        <w:rPr>
          <w:spacing w:val="51"/>
        </w:rPr>
        <w:t xml:space="preserve"> </w:t>
      </w:r>
      <w:r w:rsidRPr="002D119A">
        <w:t>where</w:t>
      </w:r>
      <w:r w:rsidRPr="00F45B47">
        <w:rPr>
          <w:spacing w:val="51"/>
        </w:rPr>
        <w:t xml:space="preserve"> </w:t>
      </w:r>
      <w:r w:rsidRPr="002D119A">
        <w:t>the</w:t>
      </w:r>
      <w:r w:rsidRPr="00F45B47">
        <w:rPr>
          <w:spacing w:val="52"/>
          <w:w w:val="99"/>
        </w:rPr>
        <w:t xml:space="preserve"> </w:t>
      </w:r>
      <w:r w:rsidRPr="002D119A">
        <w:t>complainant</w:t>
      </w:r>
      <w:r w:rsidRPr="00F45B47">
        <w:rPr>
          <w:spacing w:val="18"/>
        </w:rPr>
        <w:t xml:space="preserve"> </w:t>
      </w:r>
      <w:r w:rsidRPr="002D119A">
        <w:t>cannot</w:t>
      </w:r>
      <w:r w:rsidRPr="00F45B47">
        <w:rPr>
          <w:spacing w:val="17"/>
        </w:rPr>
        <w:t xml:space="preserve"> </w:t>
      </w:r>
      <w:r w:rsidRPr="002D119A">
        <w:t>themselves</w:t>
      </w:r>
      <w:r w:rsidRPr="00F45B47">
        <w:rPr>
          <w:spacing w:val="17"/>
        </w:rPr>
        <w:t xml:space="preserve"> </w:t>
      </w:r>
      <w:r w:rsidRPr="002D119A">
        <w:t xml:space="preserve">comply. </w:t>
      </w:r>
      <w:r w:rsidRPr="00F45B47">
        <w:rPr>
          <w:spacing w:val="36"/>
        </w:rPr>
        <w:t xml:space="preserve"> </w:t>
      </w:r>
      <w:r w:rsidRPr="002D119A">
        <w:t>The</w:t>
      </w:r>
      <w:r w:rsidRPr="00F45B47">
        <w:rPr>
          <w:spacing w:val="18"/>
        </w:rPr>
        <w:t xml:space="preserve"> </w:t>
      </w:r>
      <w:r w:rsidRPr="002D119A">
        <w:t>classic</w:t>
      </w:r>
      <w:r w:rsidRPr="00F45B47">
        <w:rPr>
          <w:spacing w:val="17"/>
        </w:rPr>
        <w:t xml:space="preserve"> </w:t>
      </w:r>
      <w:r w:rsidRPr="002D119A">
        <w:t>example</w:t>
      </w:r>
      <w:r w:rsidRPr="00F45B47">
        <w:rPr>
          <w:spacing w:val="18"/>
        </w:rPr>
        <w:t xml:space="preserve"> </w:t>
      </w:r>
      <w:r w:rsidRPr="002D119A">
        <w:t>is</w:t>
      </w:r>
      <w:r w:rsidRPr="00F45B47">
        <w:rPr>
          <w:spacing w:val="48"/>
          <w:w w:val="99"/>
        </w:rPr>
        <w:t xml:space="preserve"> </w:t>
      </w:r>
      <w:r w:rsidRPr="002D119A">
        <w:t>a</w:t>
      </w:r>
      <w:r w:rsidRPr="00F45B47">
        <w:rPr>
          <w:spacing w:val="16"/>
        </w:rPr>
        <w:t xml:space="preserve"> </w:t>
      </w:r>
      <w:r w:rsidRPr="002D119A">
        <w:t>height</w:t>
      </w:r>
      <w:r w:rsidRPr="00F45B47">
        <w:rPr>
          <w:spacing w:val="18"/>
        </w:rPr>
        <w:t xml:space="preserve"> </w:t>
      </w:r>
      <w:r w:rsidRPr="002D119A">
        <w:t>requirement,</w:t>
      </w:r>
      <w:r w:rsidRPr="00F45B47">
        <w:rPr>
          <w:spacing w:val="19"/>
        </w:rPr>
        <w:t xml:space="preserve"> </w:t>
      </w:r>
      <w:r w:rsidRPr="002D119A">
        <w:t>which</w:t>
      </w:r>
      <w:r w:rsidRPr="00F45B47">
        <w:rPr>
          <w:spacing w:val="17"/>
        </w:rPr>
        <w:t xml:space="preserve"> </w:t>
      </w:r>
      <w:r w:rsidRPr="002D119A">
        <w:t>is</w:t>
      </w:r>
      <w:r w:rsidRPr="00F45B47">
        <w:rPr>
          <w:spacing w:val="19"/>
        </w:rPr>
        <w:t xml:space="preserve"> </w:t>
      </w:r>
      <w:r w:rsidRPr="002D119A">
        <w:t>likely</w:t>
      </w:r>
      <w:r w:rsidRPr="00F45B47">
        <w:rPr>
          <w:spacing w:val="17"/>
        </w:rPr>
        <w:t xml:space="preserve"> </w:t>
      </w:r>
      <w:r w:rsidRPr="002D119A">
        <w:t>to</w:t>
      </w:r>
      <w:r w:rsidRPr="00F45B47">
        <w:rPr>
          <w:spacing w:val="19"/>
        </w:rPr>
        <w:t xml:space="preserve"> </w:t>
      </w:r>
      <w:r w:rsidRPr="002D119A">
        <w:t>exclude</w:t>
      </w:r>
      <w:r w:rsidRPr="00F45B47">
        <w:rPr>
          <w:spacing w:val="15"/>
        </w:rPr>
        <w:t xml:space="preserve"> </w:t>
      </w:r>
      <w:r w:rsidRPr="002D119A">
        <w:t>a</w:t>
      </w:r>
      <w:r w:rsidRPr="00F45B47">
        <w:rPr>
          <w:spacing w:val="19"/>
        </w:rPr>
        <w:t xml:space="preserve"> </w:t>
      </w:r>
      <w:r w:rsidRPr="002D119A">
        <w:t>much</w:t>
      </w:r>
      <w:r w:rsidRPr="00F45B47">
        <w:rPr>
          <w:spacing w:val="18"/>
        </w:rPr>
        <w:t xml:space="preserve"> </w:t>
      </w:r>
      <w:r w:rsidRPr="002D119A">
        <w:t>greater</w:t>
      </w:r>
      <w:r w:rsidRPr="00F45B47">
        <w:rPr>
          <w:spacing w:val="58"/>
          <w:w w:val="99"/>
        </w:rPr>
        <w:t xml:space="preserve"> </w:t>
      </w:r>
      <w:r w:rsidRPr="002D119A">
        <w:t>proportion</w:t>
      </w:r>
      <w:r w:rsidRPr="00F45B47">
        <w:rPr>
          <w:spacing w:val="2"/>
        </w:rPr>
        <w:t xml:space="preserve"> </w:t>
      </w:r>
      <w:r w:rsidRPr="002D119A">
        <w:t>of</w:t>
      </w:r>
      <w:r w:rsidRPr="00F45B47">
        <w:rPr>
          <w:spacing w:val="1"/>
        </w:rPr>
        <w:t xml:space="preserve"> </w:t>
      </w:r>
      <w:r w:rsidRPr="002D119A">
        <w:t>women</w:t>
      </w:r>
      <w:r w:rsidRPr="00F45B47">
        <w:rPr>
          <w:spacing w:val="2"/>
        </w:rPr>
        <w:t xml:space="preserve"> </w:t>
      </w:r>
      <w:r w:rsidRPr="002D119A">
        <w:t>than</w:t>
      </w:r>
      <w:r w:rsidRPr="00F45B47">
        <w:rPr>
          <w:spacing w:val="2"/>
        </w:rPr>
        <w:t xml:space="preserve"> </w:t>
      </w:r>
      <w:r w:rsidRPr="002D119A">
        <w:t>men</w:t>
      </w:r>
      <w:r w:rsidRPr="00F45B47">
        <w:rPr>
          <w:spacing w:val="2"/>
        </w:rPr>
        <w:t xml:space="preserve"> </w:t>
      </w:r>
      <w:r w:rsidRPr="002D119A">
        <w:t>because</w:t>
      </w:r>
      <w:r w:rsidRPr="00F45B47">
        <w:rPr>
          <w:spacing w:val="1"/>
        </w:rPr>
        <w:t xml:space="preserve"> </w:t>
      </w:r>
      <w:r w:rsidRPr="002D119A">
        <w:t>women</w:t>
      </w:r>
      <w:r w:rsidRPr="00F45B47">
        <w:rPr>
          <w:spacing w:val="2"/>
        </w:rPr>
        <w:t xml:space="preserve"> </w:t>
      </w:r>
      <w:r w:rsidRPr="002D119A">
        <w:t>are</w:t>
      </w:r>
      <w:r w:rsidRPr="00F45B47">
        <w:rPr>
          <w:spacing w:val="2"/>
        </w:rPr>
        <w:t xml:space="preserve"> </w:t>
      </w:r>
      <w:r w:rsidRPr="002D119A">
        <w:t>on</w:t>
      </w:r>
      <w:r w:rsidRPr="00F45B47">
        <w:rPr>
          <w:spacing w:val="2"/>
        </w:rPr>
        <w:t xml:space="preserve"> </w:t>
      </w:r>
      <w:r w:rsidRPr="002D119A">
        <w:t>average</w:t>
      </w:r>
      <w:r w:rsidRPr="00F45B47">
        <w:rPr>
          <w:spacing w:val="36"/>
          <w:w w:val="99"/>
        </w:rPr>
        <w:t xml:space="preserve"> </w:t>
      </w:r>
      <w:r w:rsidRPr="002D119A">
        <w:t>significantly</w:t>
      </w:r>
      <w:r w:rsidRPr="00F45B47">
        <w:rPr>
          <w:spacing w:val="33"/>
        </w:rPr>
        <w:t xml:space="preserve"> </w:t>
      </w:r>
      <w:r w:rsidRPr="002D119A">
        <w:t>shorter.</w:t>
      </w:r>
      <w:r w:rsidRPr="00F45B47">
        <w:rPr>
          <w:spacing w:val="3"/>
        </w:rPr>
        <w:t xml:space="preserve"> </w:t>
      </w:r>
      <w:r w:rsidRPr="002D119A">
        <w:t>Requirements</w:t>
      </w:r>
      <w:r w:rsidRPr="00F45B47">
        <w:rPr>
          <w:spacing w:val="35"/>
        </w:rPr>
        <w:t xml:space="preserve"> </w:t>
      </w:r>
      <w:r w:rsidRPr="002D119A">
        <w:t>that</w:t>
      </w:r>
      <w:r w:rsidRPr="00F45B47">
        <w:rPr>
          <w:spacing w:val="33"/>
        </w:rPr>
        <w:t xml:space="preserve"> </w:t>
      </w:r>
      <w:r w:rsidRPr="002D119A">
        <w:t>require</w:t>
      </w:r>
      <w:r w:rsidRPr="00F45B47">
        <w:rPr>
          <w:spacing w:val="33"/>
        </w:rPr>
        <w:t xml:space="preserve"> </w:t>
      </w:r>
      <w:r w:rsidRPr="002D119A">
        <w:t>people</w:t>
      </w:r>
      <w:r w:rsidRPr="00F45B47">
        <w:rPr>
          <w:spacing w:val="32"/>
        </w:rPr>
        <w:t xml:space="preserve"> </w:t>
      </w:r>
      <w:r w:rsidRPr="002D119A">
        <w:t>to</w:t>
      </w:r>
      <w:r w:rsidRPr="00F45B47">
        <w:rPr>
          <w:spacing w:val="53"/>
        </w:rPr>
        <w:t xml:space="preserve"> </w:t>
      </w:r>
      <w:r w:rsidRPr="002D119A">
        <w:t>behave</w:t>
      </w:r>
      <w:r w:rsidRPr="00F45B47">
        <w:rPr>
          <w:spacing w:val="12"/>
        </w:rPr>
        <w:t xml:space="preserve"> </w:t>
      </w:r>
      <w:r w:rsidRPr="002D119A">
        <w:t>in</w:t>
      </w:r>
      <w:r w:rsidRPr="00F45B47">
        <w:rPr>
          <w:spacing w:val="14"/>
        </w:rPr>
        <w:t xml:space="preserve"> </w:t>
      </w:r>
      <w:r w:rsidRPr="002D119A">
        <w:t>a</w:t>
      </w:r>
      <w:r w:rsidRPr="00F45B47">
        <w:rPr>
          <w:spacing w:val="14"/>
        </w:rPr>
        <w:t xml:space="preserve"> </w:t>
      </w:r>
      <w:r w:rsidRPr="002D119A">
        <w:t>certain</w:t>
      </w:r>
      <w:r w:rsidRPr="00F45B47">
        <w:rPr>
          <w:spacing w:val="14"/>
        </w:rPr>
        <w:t xml:space="preserve"> </w:t>
      </w:r>
      <w:r w:rsidRPr="002D119A">
        <w:t>way</w:t>
      </w:r>
      <w:r w:rsidRPr="00F45B47">
        <w:rPr>
          <w:spacing w:val="14"/>
        </w:rPr>
        <w:t xml:space="preserve"> </w:t>
      </w:r>
      <w:r w:rsidRPr="002D119A">
        <w:t>will</w:t>
      </w:r>
      <w:r w:rsidRPr="00F45B47">
        <w:rPr>
          <w:spacing w:val="13"/>
        </w:rPr>
        <w:t xml:space="preserve"> </w:t>
      </w:r>
      <w:r w:rsidRPr="002D119A">
        <w:t>amount</w:t>
      </w:r>
      <w:r w:rsidRPr="00F45B47">
        <w:rPr>
          <w:spacing w:val="14"/>
        </w:rPr>
        <w:t xml:space="preserve"> </w:t>
      </w:r>
      <w:r w:rsidRPr="002D119A">
        <w:t>to</w:t>
      </w:r>
      <w:r w:rsidRPr="00F45B47">
        <w:rPr>
          <w:spacing w:val="13"/>
        </w:rPr>
        <w:t xml:space="preserve"> </w:t>
      </w:r>
      <w:r w:rsidRPr="002D119A">
        <w:t>indirect</w:t>
      </w:r>
      <w:r w:rsidRPr="00F45B47">
        <w:rPr>
          <w:spacing w:val="13"/>
        </w:rPr>
        <w:t xml:space="preserve"> </w:t>
      </w:r>
      <w:r w:rsidRPr="002D119A">
        <w:t>discrimination</w:t>
      </w:r>
      <w:r w:rsidRPr="00F45B47">
        <w:rPr>
          <w:spacing w:val="14"/>
        </w:rPr>
        <w:t xml:space="preserve"> </w:t>
      </w:r>
      <w:r w:rsidRPr="002D119A">
        <w:t>if</w:t>
      </w:r>
      <w:r w:rsidRPr="00F45B47">
        <w:rPr>
          <w:spacing w:val="61"/>
        </w:rPr>
        <w:t xml:space="preserve"> </w:t>
      </w:r>
      <w:r w:rsidRPr="002D119A">
        <w:t>compliance</w:t>
      </w:r>
      <w:r w:rsidRPr="00F45B47">
        <w:rPr>
          <w:spacing w:val="55"/>
        </w:rPr>
        <w:t xml:space="preserve"> </w:t>
      </w:r>
      <w:r w:rsidRPr="002D119A">
        <w:t>is</w:t>
      </w:r>
      <w:r w:rsidRPr="00F45B47">
        <w:rPr>
          <w:spacing w:val="57"/>
        </w:rPr>
        <w:t xml:space="preserve"> </w:t>
      </w:r>
      <w:r w:rsidRPr="002D119A">
        <w:t>not</w:t>
      </w:r>
      <w:r w:rsidRPr="00F45B47">
        <w:rPr>
          <w:spacing w:val="59"/>
        </w:rPr>
        <w:t xml:space="preserve"> </w:t>
      </w:r>
      <w:r w:rsidRPr="002D119A">
        <w:t>consistent</w:t>
      </w:r>
      <w:r w:rsidRPr="00F45B47">
        <w:rPr>
          <w:spacing w:val="57"/>
        </w:rPr>
        <w:t xml:space="preserve"> </w:t>
      </w:r>
      <w:r w:rsidRPr="002D119A">
        <w:t>with</w:t>
      </w:r>
      <w:r w:rsidRPr="00F45B47">
        <w:rPr>
          <w:spacing w:val="57"/>
        </w:rPr>
        <w:t xml:space="preserve"> </w:t>
      </w:r>
      <w:r w:rsidRPr="002D119A">
        <w:t>reasonable</w:t>
      </w:r>
      <w:r w:rsidRPr="00F45B47">
        <w:rPr>
          <w:spacing w:val="55"/>
        </w:rPr>
        <w:t xml:space="preserve"> </w:t>
      </w:r>
      <w:r w:rsidRPr="002D119A">
        <w:t>expectations</w:t>
      </w:r>
      <w:r w:rsidRPr="00F45B47">
        <w:rPr>
          <w:spacing w:val="59"/>
        </w:rPr>
        <w:t xml:space="preserve"> </w:t>
      </w:r>
      <w:r w:rsidRPr="002D119A">
        <w:t>of</w:t>
      </w:r>
      <w:r w:rsidRPr="00F45B47">
        <w:rPr>
          <w:spacing w:val="57"/>
        </w:rPr>
        <w:t xml:space="preserve"> </w:t>
      </w:r>
      <w:r w:rsidRPr="002D119A">
        <w:t>behaviour.</w:t>
      </w:r>
      <w:r w:rsidRPr="00F45B47">
        <w:rPr>
          <w:spacing w:val="44"/>
        </w:rPr>
        <w:t xml:space="preserve"> </w:t>
      </w:r>
      <w:r w:rsidRPr="002D119A">
        <w:t>For</w:t>
      </w:r>
      <w:r w:rsidRPr="00F45B47">
        <w:rPr>
          <w:spacing w:val="57"/>
        </w:rPr>
        <w:t xml:space="preserve"> </w:t>
      </w:r>
      <w:r w:rsidRPr="002D119A">
        <w:t>example,</w:t>
      </w:r>
      <w:r w:rsidRPr="00F45B47">
        <w:rPr>
          <w:spacing w:val="55"/>
        </w:rPr>
        <w:t xml:space="preserve"> </w:t>
      </w:r>
      <w:r w:rsidRPr="002D119A">
        <w:t>a</w:t>
      </w:r>
      <w:r w:rsidRPr="00F45B47">
        <w:rPr>
          <w:spacing w:val="57"/>
        </w:rPr>
        <w:t xml:space="preserve"> </w:t>
      </w:r>
      <w:r w:rsidRPr="002D119A">
        <w:t>requirement</w:t>
      </w:r>
      <w:r w:rsidRPr="00F45B47">
        <w:rPr>
          <w:spacing w:val="55"/>
        </w:rPr>
        <w:t xml:space="preserve"> </w:t>
      </w:r>
      <w:r w:rsidRPr="002D119A">
        <w:t>not</w:t>
      </w:r>
      <w:r w:rsidRPr="00F45B47">
        <w:rPr>
          <w:spacing w:val="55"/>
        </w:rPr>
        <w:t xml:space="preserve"> </w:t>
      </w:r>
      <w:r w:rsidRPr="002D119A">
        <w:t>to</w:t>
      </w:r>
      <w:r w:rsidRPr="00F45B47">
        <w:rPr>
          <w:spacing w:val="54"/>
        </w:rPr>
        <w:t xml:space="preserve"> </w:t>
      </w:r>
      <w:r w:rsidRPr="002D119A">
        <w:t>wear</w:t>
      </w:r>
      <w:r w:rsidRPr="00F45B47">
        <w:rPr>
          <w:spacing w:val="55"/>
        </w:rPr>
        <w:t xml:space="preserve"> </w:t>
      </w:r>
      <w:r w:rsidRPr="002D119A">
        <w:t>a</w:t>
      </w:r>
      <w:r w:rsidRPr="00F45B47">
        <w:rPr>
          <w:spacing w:val="55"/>
        </w:rPr>
        <w:t xml:space="preserve"> </w:t>
      </w:r>
      <w:r w:rsidRPr="002D119A">
        <w:t>head</w:t>
      </w:r>
      <w:r w:rsidRPr="00F45B47">
        <w:rPr>
          <w:spacing w:val="41"/>
        </w:rPr>
        <w:t xml:space="preserve"> </w:t>
      </w:r>
      <w:r w:rsidRPr="002D119A">
        <w:t>covering</w:t>
      </w:r>
      <w:r w:rsidRPr="00F45B47">
        <w:rPr>
          <w:spacing w:val="34"/>
        </w:rPr>
        <w:t xml:space="preserve"> </w:t>
      </w:r>
      <w:r w:rsidRPr="002D119A">
        <w:t>would</w:t>
      </w:r>
      <w:r w:rsidRPr="00F45B47">
        <w:rPr>
          <w:spacing w:val="34"/>
        </w:rPr>
        <w:t xml:space="preserve"> </w:t>
      </w:r>
      <w:r w:rsidRPr="002D119A">
        <w:t>be</w:t>
      </w:r>
      <w:r w:rsidRPr="00F45B47">
        <w:rPr>
          <w:spacing w:val="35"/>
        </w:rPr>
        <w:t xml:space="preserve"> </w:t>
      </w:r>
      <w:r w:rsidRPr="002D119A">
        <w:t>indirectly</w:t>
      </w:r>
      <w:r w:rsidRPr="00F45B47">
        <w:rPr>
          <w:spacing w:val="36"/>
        </w:rPr>
        <w:t xml:space="preserve"> </w:t>
      </w:r>
      <w:r w:rsidRPr="002D119A">
        <w:t>discriminatory</w:t>
      </w:r>
      <w:r w:rsidRPr="00F45B47">
        <w:rPr>
          <w:spacing w:val="35"/>
        </w:rPr>
        <w:t xml:space="preserve"> </w:t>
      </w:r>
      <w:r w:rsidRPr="002D119A">
        <w:t>on</w:t>
      </w:r>
      <w:r w:rsidRPr="00F45B47">
        <w:rPr>
          <w:spacing w:val="36"/>
        </w:rPr>
        <w:t xml:space="preserve"> </w:t>
      </w:r>
      <w:r w:rsidRPr="002D119A">
        <w:t>the</w:t>
      </w:r>
      <w:r w:rsidRPr="00F45B47">
        <w:rPr>
          <w:spacing w:val="35"/>
        </w:rPr>
        <w:t xml:space="preserve"> </w:t>
      </w:r>
      <w:r w:rsidRPr="002D119A">
        <w:t>grounds</w:t>
      </w:r>
      <w:r w:rsidRPr="00F45B47">
        <w:rPr>
          <w:spacing w:val="36"/>
        </w:rPr>
        <w:t xml:space="preserve"> </w:t>
      </w:r>
      <w:r w:rsidRPr="002D119A">
        <w:t>of</w:t>
      </w:r>
      <w:r w:rsidR="00F45B47">
        <w:t xml:space="preserve"> </w:t>
      </w:r>
      <w:r w:rsidRPr="002D119A">
        <w:t>religion,</w:t>
      </w:r>
      <w:r w:rsidRPr="00F45B47">
        <w:rPr>
          <w:spacing w:val="2"/>
        </w:rPr>
        <w:t xml:space="preserve"> </w:t>
      </w:r>
      <w:r w:rsidRPr="002D119A">
        <w:t>even though followers of</w:t>
      </w:r>
      <w:r w:rsidRPr="00F45B47">
        <w:rPr>
          <w:spacing w:val="2"/>
        </w:rPr>
        <w:t xml:space="preserve"> </w:t>
      </w:r>
      <w:r w:rsidRPr="002D119A">
        <w:t>religions which require</w:t>
      </w:r>
      <w:r w:rsidRPr="00F45B47">
        <w:rPr>
          <w:spacing w:val="1"/>
        </w:rPr>
        <w:t xml:space="preserve"> </w:t>
      </w:r>
      <w:r w:rsidRPr="002D119A">
        <w:t>a head</w:t>
      </w:r>
      <w:r w:rsidRPr="00F45B47">
        <w:rPr>
          <w:spacing w:val="69"/>
        </w:rPr>
        <w:t xml:space="preserve"> </w:t>
      </w:r>
      <w:r w:rsidRPr="002D119A">
        <w:t>covering are</w:t>
      </w:r>
      <w:r w:rsidRPr="00F45B47">
        <w:rPr>
          <w:spacing w:val="1"/>
        </w:rPr>
        <w:t xml:space="preserve"> </w:t>
      </w:r>
      <w:r w:rsidRPr="002D119A">
        <w:t>physically</w:t>
      </w:r>
      <w:r w:rsidRPr="00F45B47">
        <w:rPr>
          <w:spacing w:val="1"/>
        </w:rPr>
        <w:t xml:space="preserve"> </w:t>
      </w:r>
      <w:r w:rsidRPr="002D119A">
        <w:t>able</w:t>
      </w:r>
      <w:r w:rsidRPr="00F45B47">
        <w:rPr>
          <w:spacing w:val="1"/>
        </w:rPr>
        <w:t xml:space="preserve"> </w:t>
      </w:r>
      <w:r w:rsidRPr="002D119A">
        <w:t>to remove</w:t>
      </w:r>
      <w:r w:rsidRPr="00F45B47">
        <w:rPr>
          <w:spacing w:val="1"/>
        </w:rPr>
        <w:t xml:space="preserve"> </w:t>
      </w:r>
      <w:r w:rsidRPr="002D119A">
        <w:t>it.  Indirect</w:t>
      </w:r>
      <w:r w:rsidRPr="00F45B47">
        <w:rPr>
          <w:spacing w:val="2"/>
        </w:rPr>
        <w:t xml:space="preserve"> </w:t>
      </w:r>
      <w:r w:rsidRPr="002D119A">
        <w:t>discrimination</w:t>
      </w:r>
      <w:r w:rsidRPr="00F45B47">
        <w:rPr>
          <w:spacing w:val="55"/>
        </w:rPr>
        <w:t xml:space="preserve"> </w:t>
      </w:r>
      <w:r w:rsidRPr="002D119A">
        <w:t>is</w:t>
      </w:r>
      <w:r w:rsidRPr="00F45B47">
        <w:rPr>
          <w:spacing w:val="56"/>
        </w:rPr>
        <w:t xml:space="preserve"> </w:t>
      </w:r>
      <w:r w:rsidRPr="002D119A">
        <w:t>not</w:t>
      </w:r>
      <w:r w:rsidRPr="00F45B47">
        <w:rPr>
          <w:spacing w:val="56"/>
        </w:rPr>
        <w:t xml:space="preserve"> </w:t>
      </w:r>
      <w:r w:rsidRPr="002D119A">
        <w:t>unlawful</w:t>
      </w:r>
      <w:r w:rsidRPr="00F45B47">
        <w:rPr>
          <w:spacing w:val="55"/>
        </w:rPr>
        <w:t xml:space="preserve"> </w:t>
      </w:r>
      <w:r w:rsidRPr="002D119A">
        <w:t>if</w:t>
      </w:r>
      <w:r w:rsidRPr="00F45B47">
        <w:rPr>
          <w:spacing w:val="55"/>
        </w:rPr>
        <w:t xml:space="preserve"> </w:t>
      </w:r>
      <w:r w:rsidRPr="002D119A">
        <w:t>it</w:t>
      </w:r>
      <w:r w:rsidRPr="00F45B47">
        <w:rPr>
          <w:spacing w:val="56"/>
        </w:rPr>
        <w:t xml:space="preserve"> </w:t>
      </w:r>
      <w:r w:rsidRPr="002D119A">
        <w:t>is</w:t>
      </w:r>
      <w:r w:rsidRPr="00F45B47">
        <w:rPr>
          <w:spacing w:val="56"/>
        </w:rPr>
        <w:t xml:space="preserve"> </w:t>
      </w:r>
      <w:r w:rsidRPr="002D119A">
        <w:t>a</w:t>
      </w:r>
      <w:r w:rsidRPr="00F45B47">
        <w:rPr>
          <w:spacing w:val="56"/>
        </w:rPr>
        <w:t xml:space="preserve"> </w:t>
      </w:r>
      <w:r w:rsidRPr="002D119A">
        <w:t>proportionate</w:t>
      </w:r>
      <w:r w:rsidRPr="00F45B47">
        <w:rPr>
          <w:spacing w:val="55"/>
        </w:rPr>
        <w:t xml:space="preserve"> </w:t>
      </w:r>
      <w:r w:rsidRPr="002D119A">
        <w:t>means</w:t>
      </w:r>
      <w:r w:rsidRPr="00F45B47">
        <w:rPr>
          <w:spacing w:val="57"/>
        </w:rPr>
        <w:t xml:space="preserve"> </w:t>
      </w:r>
      <w:r w:rsidRPr="002D119A">
        <w:t>of</w:t>
      </w:r>
      <w:r w:rsidRPr="00F45B47">
        <w:rPr>
          <w:spacing w:val="54"/>
        </w:rPr>
        <w:t xml:space="preserve"> </w:t>
      </w:r>
      <w:r w:rsidRPr="002D119A">
        <w:t>achieving</w:t>
      </w:r>
      <w:r w:rsidRPr="00F45B47">
        <w:rPr>
          <w:spacing w:val="55"/>
        </w:rPr>
        <w:t xml:space="preserve"> </w:t>
      </w:r>
      <w:r w:rsidRPr="002D119A">
        <w:t>a</w:t>
      </w:r>
      <w:r w:rsidRPr="00F45B47">
        <w:rPr>
          <w:spacing w:val="43"/>
          <w:w w:val="99"/>
        </w:rPr>
        <w:t xml:space="preserve"> </w:t>
      </w:r>
      <w:r w:rsidRPr="002D119A">
        <w:t>legitimate</w:t>
      </w:r>
      <w:r w:rsidRPr="00F45B47">
        <w:rPr>
          <w:spacing w:val="-14"/>
        </w:rPr>
        <w:t xml:space="preserve"> </w:t>
      </w:r>
      <w:r w:rsidRPr="002D119A">
        <w:t>aim.</w:t>
      </w:r>
    </w:p>
    <w:p w14:paraId="5278CCF8" w14:textId="72383CD5" w:rsidR="00DB7F92" w:rsidRPr="002D119A" w:rsidRDefault="00DB7F92" w:rsidP="006C3DF5">
      <w:pPr>
        <w:pStyle w:val="Heading4"/>
        <w:numPr>
          <w:ilvl w:val="0"/>
          <w:numId w:val="73"/>
        </w:numPr>
        <w:spacing w:before="0"/>
      </w:pPr>
      <w:r w:rsidRPr="002D119A">
        <w:t>Disability</w:t>
      </w:r>
      <w:r w:rsidRPr="002D119A">
        <w:rPr>
          <w:spacing w:val="77"/>
        </w:rPr>
        <w:t xml:space="preserve"> </w:t>
      </w:r>
      <w:r w:rsidRPr="002D119A">
        <w:t>discrimination</w:t>
      </w:r>
      <w:r w:rsidRPr="002D119A">
        <w:rPr>
          <w:spacing w:val="60"/>
        </w:rPr>
        <w:t xml:space="preserve"> </w:t>
      </w:r>
      <w:r w:rsidRPr="002D119A">
        <w:t>occurs</w:t>
      </w:r>
      <w:r w:rsidRPr="002D119A">
        <w:rPr>
          <w:spacing w:val="32"/>
        </w:rPr>
        <w:t xml:space="preserve"> </w:t>
      </w:r>
      <w:r w:rsidRPr="002D119A">
        <w:t>if</w:t>
      </w:r>
      <w:r w:rsidRPr="002D119A">
        <w:rPr>
          <w:spacing w:val="31"/>
        </w:rPr>
        <w:t xml:space="preserve"> </w:t>
      </w:r>
      <w:r w:rsidRPr="002D119A">
        <w:t>a</w:t>
      </w:r>
      <w:r w:rsidRPr="002D119A">
        <w:rPr>
          <w:spacing w:val="31"/>
        </w:rPr>
        <w:t xml:space="preserve"> </w:t>
      </w:r>
      <w:r w:rsidRPr="002D119A">
        <w:t>person</w:t>
      </w:r>
      <w:r w:rsidRPr="002D119A">
        <w:rPr>
          <w:spacing w:val="31"/>
        </w:rPr>
        <w:t xml:space="preserve"> </w:t>
      </w:r>
      <w:r w:rsidRPr="002D119A">
        <w:t>is</w:t>
      </w:r>
      <w:r w:rsidRPr="002D119A">
        <w:rPr>
          <w:spacing w:val="32"/>
        </w:rPr>
        <w:t xml:space="preserve"> </w:t>
      </w:r>
      <w:r w:rsidRPr="002D119A">
        <w:t>treated</w:t>
      </w:r>
      <w:r w:rsidRPr="002D119A">
        <w:rPr>
          <w:spacing w:val="48"/>
          <w:w w:val="99"/>
        </w:rPr>
        <w:t xml:space="preserve"> </w:t>
      </w:r>
      <w:r w:rsidRPr="002D119A">
        <w:t>unfavourably</w:t>
      </w:r>
      <w:r w:rsidRPr="002D119A">
        <w:rPr>
          <w:spacing w:val="25"/>
        </w:rPr>
        <w:t xml:space="preserve"> </w:t>
      </w:r>
      <w:r w:rsidRPr="002D119A">
        <w:t>because</w:t>
      </w:r>
      <w:r w:rsidRPr="002D119A">
        <w:rPr>
          <w:spacing w:val="24"/>
        </w:rPr>
        <w:t xml:space="preserve"> </w:t>
      </w:r>
      <w:r w:rsidRPr="002D119A">
        <w:t>of</w:t>
      </w:r>
      <w:r w:rsidRPr="002D119A">
        <w:rPr>
          <w:spacing w:val="22"/>
        </w:rPr>
        <w:t xml:space="preserve"> </w:t>
      </w:r>
      <w:r w:rsidRPr="002D119A">
        <w:t>something</w:t>
      </w:r>
      <w:r w:rsidRPr="002D119A">
        <w:rPr>
          <w:spacing w:val="24"/>
        </w:rPr>
        <w:t xml:space="preserve"> </w:t>
      </w:r>
      <w:r w:rsidRPr="002D119A">
        <w:t>"arising</w:t>
      </w:r>
      <w:r w:rsidRPr="002D119A">
        <w:rPr>
          <w:spacing w:val="22"/>
        </w:rPr>
        <w:t xml:space="preserve"> </w:t>
      </w:r>
      <w:r w:rsidRPr="002D119A">
        <w:t>in</w:t>
      </w:r>
      <w:r w:rsidRPr="002D119A">
        <w:rPr>
          <w:spacing w:val="22"/>
        </w:rPr>
        <w:t xml:space="preserve"> </w:t>
      </w:r>
      <w:r w:rsidRPr="002D119A">
        <w:t>consequence</w:t>
      </w:r>
      <w:r w:rsidRPr="002D119A">
        <w:rPr>
          <w:spacing w:val="22"/>
        </w:rPr>
        <w:t xml:space="preserve"> </w:t>
      </w:r>
      <w:r w:rsidRPr="002D119A">
        <w:t>of</w:t>
      </w:r>
      <w:r w:rsidRPr="002D119A">
        <w:rPr>
          <w:spacing w:val="57"/>
        </w:rPr>
        <w:t xml:space="preserve"> </w:t>
      </w:r>
      <w:r w:rsidRPr="002D119A">
        <w:t>their</w:t>
      </w:r>
      <w:r w:rsidRPr="002D119A">
        <w:rPr>
          <w:spacing w:val="56"/>
        </w:rPr>
        <w:t xml:space="preserve"> </w:t>
      </w:r>
      <w:r w:rsidRPr="002D119A">
        <w:t>disability".</w:t>
      </w:r>
      <w:r w:rsidRPr="002D119A">
        <w:rPr>
          <w:spacing w:val="48"/>
        </w:rPr>
        <w:t xml:space="preserve"> </w:t>
      </w:r>
      <w:r w:rsidRPr="002D119A">
        <w:t>This</w:t>
      </w:r>
      <w:r w:rsidRPr="002D119A">
        <w:rPr>
          <w:spacing w:val="59"/>
        </w:rPr>
        <w:t xml:space="preserve"> </w:t>
      </w:r>
      <w:r w:rsidRPr="002D119A">
        <w:t>captures</w:t>
      </w:r>
      <w:r w:rsidRPr="002D119A">
        <w:rPr>
          <w:spacing w:val="58"/>
        </w:rPr>
        <w:t xml:space="preserve"> </w:t>
      </w:r>
      <w:r w:rsidRPr="002D119A">
        <w:t>discrimination</w:t>
      </w:r>
      <w:r w:rsidRPr="002D119A">
        <w:rPr>
          <w:spacing w:val="59"/>
        </w:rPr>
        <w:t xml:space="preserve"> </w:t>
      </w:r>
      <w:r w:rsidRPr="002D119A">
        <w:t>that</w:t>
      </w:r>
      <w:r w:rsidRPr="002D119A">
        <w:rPr>
          <w:spacing w:val="58"/>
        </w:rPr>
        <w:t xml:space="preserve"> </w:t>
      </w:r>
      <w:r w:rsidRPr="002D119A">
        <w:t>occurs</w:t>
      </w:r>
      <w:r w:rsidRPr="002D119A">
        <w:rPr>
          <w:spacing w:val="57"/>
        </w:rPr>
        <w:t xml:space="preserve"> </w:t>
      </w:r>
      <w:r w:rsidRPr="002D119A">
        <w:t>not</w:t>
      </w:r>
      <w:r w:rsidRPr="002D119A">
        <w:rPr>
          <w:spacing w:val="55"/>
          <w:w w:val="99"/>
        </w:rPr>
        <w:t xml:space="preserve"> </w:t>
      </w:r>
      <w:r w:rsidRPr="002D119A">
        <w:t>because</w:t>
      </w:r>
      <w:r w:rsidRPr="002D119A">
        <w:rPr>
          <w:spacing w:val="20"/>
        </w:rPr>
        <w:t xml:space="preserve"> </w:t>
      </w:r>
      <w:r w:rsidRPr="002D119A">
        <w:t>of</w:t>
      </w:r>
      <w:r w:rsidRPr="002D119A">
        <w:rPr>
          <w:spacing w:val="20"/>
        </w:rPr>
        <w:t xml:space="preserve"> </w:t>
      </w:r>
      <w:r w:rsidRPr="002D119A">
        <w:t>a</w:t>
      </w:r>
      <w:r w:rsidRPr="002D119A">
        <w:rPr>
          <w:spacing w:val="21"/>
        </w:rPr>
        <w:t xml:space="preserve"> </w:t>
      </w:r>
      <w:r w:rsidRPr="002D119A">
        <w:t>person's</w:t>
      </w:r>
      <w:r w:rsidRPr="002D119A">
        <w:rPr>
          <w:spacing w:val="22"/>
        </w:rPr>
        <w:t xml:space="preserve"> </w:t>
      </w:r>
      <w:r w:rsidRPr="002D119A">
        <w:t>disability</w:t>
      </w:r>
      <w:r w:rsidRPr="002D119A">
        <w:rPr>
          <w:spacing w:val="21"/>
        </w:rPr>
        <w:t xml:space="preserve"> </w:t>
      </w:r>
      <w:r w:rsidRPr="002D119A">
        <w:t>per</w:t>
      </w:r>
      <w:r w:rsidRPr="002D119A">
        <w:rPr>
          <w:spacing w:val="21"/>
        </w:rPr>
        <w:t xml:space="preserve"> </w:t>
      </w:r>
      <w:r w:rsidRPr="002D119A">
        <w:t>se</w:t>
      </w:r>
      <w:r w:rsidRPr="002D119A">
        <w:rPr>
          <w:spacing w:val="20"/>
        </w:rPr>
        <w:t xml:space="preserve"> </w:t>
      </w:r>
      <w:r w:rsidRPr="002D119A">
        <w:t>(e.g.</w:t>
      </w:r>
      <w:r w:rsidRPr="002D119A">
        <w:rPr>
          <w:spacing w:val="21"/>
        </w:rPr>
        <w:t xml:space="preserve"> </w:t>
      </w:r>
      <w:r w:rsidRPr="002D119A">
        <w:t>a</w:t>
      </w:r>
      <w:r w:rsidRPr="002D119A">
        <w:rPr>
          <w:spacing w:val="21"/>
        </w:rPr>
        <w:t xml:space="preserve"> </w:t>
      </w:r>
      <w:r w:rsidRPr="002D119A">
        <w:t>person</w:t>
      </w:r>
      <w:r w:rsidRPr="002D119A">
        <w:rPr>
          <w:spacing w:val="21"/>
        </w:rPr>
        <w:t xml:space="preserve"> </w:t>
      </w:r>
      <w:r w:rsidRPr="002D119A">
        <w:t>has</w:t>
      </w:r>
      <w:r w:rsidRPr="002D119A">
        <w:rPr>
          <w:spacing w:val="45"/>
        </w:rPr>
        <w:t xml:space="preserve"> </w:t>
      </w:r>
      <w:r w:rsidRPr="002D119A">
        <w:t>multiple</w:t>
      </w:r>
      <w:r w:rsidRPr="002D119A">
        <w:rPr>
          <w:spacing w:val="21"/>
        </w:rPr>
        <w:t xml:space="preserve"> </w:t>
      </w:r>
      <w:r w:rsidRPr="002D119A">
        <w:t>sclerosis)</w:t>
      </w:r>
      <w:r w:rsidRPr="002D119A">
        <w:rPr>
          <w:spacing w:val="23"/>
        </w:rPr>
        <w:t xml:space="preserve"> </w:t>
      </w:r>
      <w:r w:rsidRPr="002D119A">
        <w:t>but</w:t>
      </w:r>
      <w:r w:rsidRPr="002D119A">
        <w:rPr>
          <w:spacing w:val="25"/>
        </w:rPr>
        <w:t xml:space="preserve"> </w:t>
      </w:r>
      <w:r w:rsidRPr="002D119A">
        <w:t>because</w:t>
      </w:r>
      <w:r w:rsidRPr="002D119A">
        <w:rPr>
          <w:spacing w:val="25"/>
        </w:rPr>
        <w:t xml:space="preserve"> </w:t>
      </w:r>
      <w:r w:rsidRPr="002D119A">
        <w:t>of</w:t>
      </w:r>
      <w:r w:rsidRPr="002D119A">
        <w:rPr>
          <w:spacing w:val="21"/>
        </w:rPr>
        <w:t xml:space="preserve"> </w:t>
      </w:r>
      <w:r w:rsidRPr="002D119A">
        <w:t>the</w:t>
      </w:r>
      <w:r w:rsidRPr="002D119A">
        <w:rPr>
          <w:spacing w:val="22"/>
        </w:rPr>
        <w:t xml:space="preserve"> </w:t>
      </w:r>
      <w:r w:rsidRPr="002D119A">
        <w:t>behaviour</w:t>
      </w:r>
      <w:r w:rsidRPr="002D119A">
        <w:rPr>
          <w:spacing w:val="24"/>
        </w:rPr>
        <w:t xml:space="preserve"> </w:t>
      </w:r>
      <w:r w:rsidRPr="002D119A">
        <w:t>caused</w:t>
      </w:r>
      <w:r w:rsidRPr="002D119A">
        <w:rPr>
          <w:spacing w:val="24"/>
        </w:rPr>
        <w:t xml:space="preserve"> </w:t>
      </w:r>
      <w:r w:rsidRPr="002D119A">
        <w:t>by</w:t>
      </w:r>
      <w:r w:rsidRPr="002D119A">
        <w:rPr>
          <w:spacing w:val="24"/>
        </w:rPr>
        <w:t xml:space="preserve"> </w:t>
      </w:r>
      <w:r w:rsidRPr="002D119A">
        <w:t>the</w:t>
      </w:r>
      <w:r w:rsidRPr="002D119A">
        <w:rPr>
          <w:spacing w:val="59"/>
          <w:w w:val="99"/>
        </w:rPr>
        <w:t xml:space="preserve"> </w:t>
      </w:r>
      <w:r w:rsidRPr="002D119A">
        <w:t>disability</w:t>
      </w:r>
      <w:r w:rsidRPr="002D119A">
        <w:rPr>
          <w:spacing w:val="18"/>
        </w:rPr>
        <w:t xml:space="preserve"> </w:t>
      </w:r>
      <w:r w:rsidRPr="002D119A">
        <w:t>(e.g.</w:t>
      </w:r>
      <w:r w:rsidRPr="002D119A">
        <w:rPr>
          <w:spacing w:val="17"/>
        </w:rPr>
        <w:t xml:space="preserve"> </w:t>
      </w:r>
      <w:r w:rsidRPr="002D119A">
        <w:t>use</w:t>
      </w:r>
      <w:r w:rsidRPr="002D119A">
        <w:rPr>
          <w:spacing w:val="19"/>
        </w:rPr>
        <w:t xml:space="preserve"> </w:t>
      </w:r>
      <w:r w:rsidRPr="002D119A">
        <w:t>of</w:t>
      </w:r>
      <w:r w:rsidRPr="002D119A">
        <w:rPr>
          <w:spacing w:val="18"/>
        </w:rPr>
        <w:t xml:space="preserve"> </w:t>
      </w:r>
      <w:r w:rsidRPr="002D119A">
        <w:t>a</w:t>
      </w:r>
      <w:r w:rsidRPr="002D119A">
        <w:rPr>
          <w:spacing w:val="19"/>
        </w:rPr>
        <w:t xml:space="preserve"> </w:t>
      </w:r>
      <w:r w:rsidRPr="002D119A">
        <w:t>wheelchair).</w:t>
      </w:r>
      <w:r w:rsidRPr="002D119A">
        <w:rPr>
          <w:spacing w:val="39"/>
        </w:rPr>
        <w:t xml:space="preserve"> </w:t>
      </w:r>
      <w:r w:rsidRPr="002D119A">
        <w:t>So</w:t>
      </w:r>
      <w:r w:rsidRPr="002D119A">
        <w:rPr>
          <w:spacing w:val="19"/>
        </w:rPr>
        <w:t xml:space="preserve"> </w:t>
      </w:r>
      <w:r w:rsidRPr="002D119A">
        <w:t>an</w:t>
      </w:r>
      <w:r w:rsidRPr="002D119A">
        <w:rPr>
          <w:spacing w:val="17"/>
        </w:rPr>
        <w:t xml:space="preserve"> </w:t>
      </w:r>
      <w:r w:rsidRPr="002D119A">
        <w:t>inability</w:t>
      </w:r>
      <w:r w:rsidRPr="002D119A">
        <w:rPr>
          <w:spacing w:val="20"/>
        </w:rPr>
        <w:t xml:space="preserve"> </w:t>
      </w:r>
      <w:r w:rsidRPr="002D119A">
        <w:t>of</w:t>
      </w:r>
      <w:r w:rsidRPr="002D119A">
        <w:rPr>
          <w:spacing w:val="16"/>
        </w:rPr>
        <w:t xml:space="preserve"> </w:t>
      </w:r>
      <w:r w:rsidRPr="002D119A">
        <w:t>someone</w:t>
      </w:r>
      <w:r w:rsidRPr="002D119A">
        <w:rPr>
          <w:spacing w:val="59"/>
          <w:w w:val="99"/>
        </w:rPr>
        <w:t xml:space="preserve"> </w:t>
      </w:r>
      <w:r w:rsidRPr="002D119A">
        <w:t>with</w:t>
      </w:r>
      <w:r w:rsidRPr="002D119A">
        <w:rPr>
          <w:spacing w:val="26"/>
        </w:rPr>
        <w:t xml:space="preserve"> </w:t>
      </w:r>
      <w:r w:rsidRPr="002D119A">
        <w:t>multiple</w:t>
      </w:r>
      <w:r w:rsidRPr="002D119A">
        <w:rPr>
          <w:spacing w:val="26"/>
        </w:rPr>
        <w:t xml:space="preserve"> </w:t>
      </w:r>
      <w:r w:rsidRPr="002D119A">
        <w:t>sclerosis</w:t>
      </w:r>
      <w:r w:rsidRPr="002D119A">
        <w:rPr>
          <w:spacing w:val="27"/>
        </w:rPr>
        <w:t xml:space="preserve"> </w:t>
      </w:r>
      <w:r w:rsidRPr="002D119A">
        <w:t>to</w:t>
      </w:r>
      <w:r w:rsidRPr="002D119A">
        <w:rPr>
          <w:spacing w:val="26"/>
        </w:rPr>
        <w:t xml:space="preserve"> </w:t>
      </w:r>
      <w:r w:rsidRPr="002D119A">
        <w:t>access</w:t>
      </w:r>
      <w:r w:rsidRPr="002D119A">
        <w:rPr>
          <w:spacing w:val="27"/>
        </w:rPr>
        <w:t xml:space="preserve"> </w:t>
      </w:r>
      <w:r w:rsidRPr="002D119A">
        <w:t>services</w:t>
      </w:r>
      <w:r w:rsidRPr="002D119A">
        <w:rPr>
          <w:spacing w:val="27"/>
        </w:rPr>
        <w:t xml:space="preserve"> </w:t>
      </w:r>
      <w:r w:rsidRPr="002D119A">
        <w:t>when</w:t>
      </w:r>
      <w:r w:rsidRPr="002D119A">
        <w:rPr>
          <w:spacing w:val="27"/>
        </w:rPr>
        <w:t xml:space="preserve"> </w:t>
      </w:r>
      <w:r w:rsidRPr="002D119A">
        <w:t>using</w:t>
      </w:r>
      <w:r w:rsidRPr="002D119A">
        <w:rPr>
          <w:spacing w:val="25"/>
        </w:rPr>
        <w:t xml:space="preserve"> </w:t>
      </w:r>
      <w:r w:rsidRPr="002D119A">
        <w:t>their</w:t>
      </w:r>
      <w:r w:rsidRPr="002D119A">
        <w:rPr>
          <w:spacing w:val="50"/>
          <w:w w:val="99"/>
        </w:rPr>
        <w:t xml:space="preserve"> </w:t>
      </w:r>
      <w:r w:rsidR="00050291" w:rsidRPr="002D119A">
        <w:t xml:space="preserve">wheelchair </w:t>
      </w:r>
      <w:r w:rsidR="00050291" w:rsidRPr="00A553BA">
        <w:rPr>
          <w:spacing w:val="11"/>
        </w:rPr>
        <w:t>could</w:t>
      </w:r>
      <w:r w:rsidR="00050291" w:rsidRPr="002D119A">
        <w:t xml:space="preserve"> </w:t>
      </w:r>
      <w:r w:rsidR="00050291" w:rsidRPr="00A553BA">
        <w:rPr>
          <w:spacing w:val="11"/>
        </w:rPr>
        <w:t>be</w:t>
      </w:r>
      <w:r w:rsidR="00050291" w:rsidRPr="002D119A">
        <w:t xml:space="preserve"> </w:t>
      </w:r>
      <w:r w:rsidR="00050291" w:rsidRPr="00A553BA">
        <w:rPr>
          <w:spacing w:val="12"/>
        </w:rPr>
        <w:t>an</w:t>
      </w:r>
      <w:r w:rsidR="00050291" w:rsidRPr="002D119A">
        <w:t xml:space="preserve"> </w:t>
      </w:r>
      <w:r w:rsidR="00050291" w:rsidRPr="00A553BA">
        <w:rPr>
          <w:spacing w:val="12"/>
        </w:rPr>
        <w:t>instance</w:t>
      </w:r>
      <w:r w:rsidR="00050291" w:rsidRPr="002D119A">
        <w:t xml:space="preserve"> </w:t>
      </w:r>
      <w:r w:rsidR="00050291" w:rsidRPr="00A553BA">
        <w:rPr>
          <w:spacing w:val="11"/>
        </w:rPr>
        <w:t>of</w:t>
      </w:r>
      <w:r w:rsidR="00050291" w:rsidRPr="002D119A">
        <w:t xml:space="preserve"> </w:t>
      </w:r>
      <w:r w:rsidR="00050291" w:rsidRPr="00A553BA">
        <w:rPr>
          <w:spacing w:val="12"/>
        </w:rPr>
        <w:t>disability</w:t>
      </w:r>
      <w:r w:rsidR="00050291" w:rsidRPr="00A553BA">
        <w:t xml:space="preserve"> </w:t>
      </w:r>
      <w:r w:rsidR="00050291" w:rsidRPr="00A553BA">
        <w:rPr>
          <w:spacing w:val="12"/>
        </w:rPr>
        <w:t>discrimination</w:t>
      </w:r>
      <w:r w:rsidRPr="002D119A">
        <w:t>.</w:t>
      </w:r>
    </w:p>
    <w:p w14:paraId="7F5C2BFE" w14:textId="77777777" w:rsidR="00DB7F92" w:rsidRPr="002D119A" w:rsidRDefault="00DB7F92" w:rsidP="006C3DF5">
      <w:pPr>
        <w:pStyle w:val="Heading4"/>
        <w:numPr>
          <w:ilvl w:val="0"/>
          <w:numId w:val="73"/>
        </w:numPr>
        <w:spacing w:before="0"/>
      </w:pPr>
      <w:r w:rsidRPr="002D119A">
        <w:t>Disability</w:t>
      </w:r>
      <w:r w:rsidRPr="002D119A">
        <w:rPr>
          <w:spacing w:val="40"/>
        </w:rPr>
        <w:t xml:space="preserve"> </w:t>
      </w:r>
      <w:r w:rsidRPr="002D119A">
        <w:t>discrimination</w:t>
      </w:r>
      <w:r w:rsidRPr="002D119A">
        <w:rPr>
          <w:spacing w:val="38"/>
        </w:rPr>
        <w:t xml:space="preserve"> </w:t>
      </w:r>
      <w:r w:rsidRPr="002D119A">
        <w:t>is</w:t>
      </w:r>
      <w:r w:rsidRPr="002D119A">
        <w:rPr>
          <w:spacing w:val="39"/>
        </w:rPr>
        <w:t xml:space="preserve"> </w:t>
      </w:r>
      <w:r w:rsidRPr="002D119A">
        <w:t>not</w:t>
      </w:r>
      <w:r w:rsidRPr="002D119A">
        <w:rPr>
          <w:spacing w:val="38"/>
        </w:rPr>
        <w:t xml:space="preserve"> </w:t>
      </w:r>
      <w:r w:rsidRPr="002D119A">
        <w:t>unlawful</w:t>
      </w:r>
      <w:r w:rsidRPr="002D119A">
        <w:rPr>
          <w:spacing w:val="40"/>
        </w:rPr>
        <w:t xml:space="preserve"> </w:t>
      </w:r>
      <w:r w:rsidRPr="002D119A">
        <w:t>if</w:t>
      </w:r>
      <w:r w:rsidRPr="002D119A">
        <w:rPr>
          <w:spacing w:val="37"/>
        </w:rPr>
        <w:t xml:space="preserve"> </w:t>
      </w:r>
      <w:r w:rsidRPr="002D119A">
        <w:t>it</w:t>
      </w:r>
      <w:r w:rsidRPr="002D119A">
        <w:rPr>
          <w:spacing w:val="41"/>
        </w:rPr>
        <w:t xml:space="preserve"> </w:t>
      </w:r>
      <w:r w:rsidRPr="002D119A">
        <w:t>is</w:t>
      </w:r>
      <w:r w:rsidRPr="002D119A">
        <w:rPr>
          <w:spacing w:val="38"/>
        </w:rPr>
        <w:t xml:space="preserve"> </w:t>
      </w:r>
      <w:r w:rsidRPr="002D119A">
        <w:t>a</w:t>
      </w:r>
      <w:r w:rsidRPr="002D119A">
        <w:rPr>
          <w:spacing w:val="38"/>
        </w:rPr>
        <w:t xml:space="preserve"> </w:t>
      </w:r>
      <w:r w:rsidRPr="002D119A">
        <w:t>proportionate</w:t>
      </w:r>
      <w:r w:rsidRPr="002D119A">
        <w:rPr>
          <w:spacing w:val="61"/>
          <w:w w:val="99"/>
        </w:rPr>
        <w:t xml:space="preserve"> </w:t>
      </w:r>
      <w:r w:rsidRPr="002D119A">
        <w:t>means</w:t>
      </w:r>
      <w:r w:rsidRPr="002D119A">
        <w:rPr>
          <w:spacing w:val="-6"/>
        </w:rPr>
        <w:t xml:space="preserve"> </w:t>
      </w:r>
      <w:r w:rsidRPr="002D119A">
        <w:t>of</w:t>
      </w:r>
      <w:r w:rsidRPr="002D119A">
        <w:rPr>
          <w:spacing w:val="-5"/>
        </w:rPr>
        <w:t xml:space="preserve"> </w:t>
      </w:r>
      <w:r w:rsidRPr="002D119A">
        <w:t>achieving</w:t>
      </w:r>
      <w:r w:rsidRPr="002D119A">
        <w:rPr>
          <w:spacing w:val="-4"/>
        </w:rPr>
        <w:t xml:space="preserve"> </w:t>
      </w:r>
      <w:r w:rsidRPr="002D119A">
        <w:t>a</w:t>
      </w:r>
      <w:r w:rsidRPr="002D119A">
        <w:rPr>
          <w:spacing w:val="-4"/>
        </w:rPr>
        <w:t xml:space="preserve"> </w:t>
      </w:r>
      <w:r w:rsidRPr="002D119A">
        <w:t>legitimate</w:t>
      </w:r>
      <w:r w:rsidRPr="002D119A">
        <w:rPr>
          <w:spacing w:val="-5"/>
        </w:rPr>
        <w:t xml:space="preserve"> </w:t>
      </w:r>
      <w:r w:rsidRPr="002D119A">
        <w:t>aim.</w:t>
      </w:r>
    </w:p>
    <w:p w14:paraId="0E10B0AE" w14:textId="7882FB4E" w:rsidR="00DB7F92" w:rsidRPr="002D119A" w:rsidRDefault="00DB7F92" w:rsidP="006C3DF5">
      <w:pPr>
        <w:pStyle w:val="Heading4"/>
        <w:numPr>
          <w:ilvl w:val="0"/>
          <w:numId w:val="73"/>
        </w:numPr>
        <w:spacing w:before="0"/>
      </w:pPr>
      <w:r w:rsidRPr="002D119A">
        <w:t>A</w:t>
      </w:r>
      <w:r w:rsidRPr="002D119A">
        <w:rPr>
          <w:spacing w:val="51"/>
        </w:rPr>
        <w:t xml:space="preserve"> </w:t>
      </w:r>
      <w:r w:rsidRPr="002D119A">
        <w:t>failure</w:t>
      </w:r>
      <w:r w:rsidRPr="002D119A">
        <w:rPr>
          <w:spacing w:val="50"/>
        </w:rPr>
        <w:t xml:space="preserve"> </w:t>
      </w:r>
      <w:r w:rsidRPr="002D119A">
        <w:t>to</w:t>
      </w:r>
      <w:r w:rsidRPr="002D119A">
        <w:rPr>
          <w:spacing w:val="50"/>
        </w:rPr>
        <w:t xml:space="preserve"> </w:t>
      </w:r>
      <w:r w:rsidRPr="002D119A">
        <w:t>make</w:t>
      </w:r>
      <w:r w:rsidRPr="002D119A">
        <w:rPr>
          <w:spacing w:val="50"/>
        </w:rPr>
        <w:t xml:space="preserve"> </w:t>
      </w:r>
      <w:r w:rsidRPr="002D119A">
        <w:t>"reasonable</w:t>
      </w:r>
      <w:r w:rsidRPr="002D119A">
        <w:rPr>
          <w:spacing w:val="52"/>
        </w:rPr>
        <w:t xml:space="preserve"> </w:t>
      </w:r>
      <w:r w:rsidRPr="002D119A">
        <w:t>adjustments"</w:t>
      </w:r>
      <w:r w:rsidRPr="002D119A">
        <w:rPr>
          <w:spacing w:val="33"/>
        </w:rPr>
        <w:t xml:space="preserve"> </w:t>
      </w:r>
      <w:r w:rsidRPr="002D119A">
        <w:t>for</w:t>
      </w:r>
      <w:r w:rsidRPr="002D119A">
        <w:rPr>
          <w:spacing w:val="51"/>
        </w:rPr>
        <w:t xml:space="preserve"> </w:t>
      </w:r>
      <w:r w:rsidRPr="002D119A">
        <w:t>people</w:t>
      </w:r>
      <w:r w:rsidRPr="002D119A">
        <w:rPr>
          <w:spacing w:val="50"/>
        </w:rPr>
        <w:t xml:space="preserve"> </w:t>
      </w:r>
      <w:r w:rsidRPr="002D119A">
        <w:t>with</w:t>
      </w:r>
      <w:r w:rsidRPr="002D119A">
        <w:rPr>
          <w:spacing w:val="43"/>
        </w:rPr>
        <w:t xml:space="preserve"> </w:t>
      </w:r>
      <w:r w:rsidRPr="002D119A">
        <w:t>disabilities</w:t>
      </w:r>
      <w:r w:rsidRPr="002D119A">
        <w:rPr>
          <w:spacing w:val="13"/>
        </w:rPr>
        <w:t xml:space="preserve"> </w:t>
      </w:r>
      <w:r w:rsidRPr="002D119A">
        <w:t>who</w:t>
      </w:r>
      <w:r w:rsidRPr="002D119A">
        <w:rPr>
          <w:spacing w:val="12"/>
        </w:rPr>
        <w:t xml:space="preserve"> </w:t>
      </w:r>
      <w:r w:rsidRPr="002D119A">
        <w:t>are</w:t>
      </w:r>
      <w:r w:rsidRPr="002D119A">
        <w:rPr>
          <w:spacing w:val="12"/>
        </w:rPr>
        <w:t xml:space="preserve"> </w:t>
      </w:r>
      <w:r w:rsidRPr="002D119A">
        <w:t>put</w:t>
      </w:r>
      <w:r w:rsidRPr="002D119A">
        <w:rPr>
          <w:spacing w:val="13"/>
        </w:rPr>
        <w:t xml:space="preserve"> </w:t>
      </w:r>
      <w:r w:rsidRPr="002D119A">
        <w:t>at</w:t>
      </w:r>
      <w:r w:rsidRPr="002D119A">
        <w:rPr>
          <w:spacing w:val="12"/>
        </w:rPr>
        <w:t xml:space="preserve"> </w:t>
      </w:r>
      <w:r w:rsidRPr="002D119A">
        <w:t>a</w:t>
      </w:r>
      <w:r w:rsidRPr="002D119A">
        <w:rPr>
          <w:spacing w:val="13"/>
        </w:rPr>
        <w:t xml:space="preserve"> </w:t>
      </w:r>
      <w:r w:rsidRPr="002D119A">
        <w:t>substantial</w:t>
      </w:r>
      <w:r w:rsidRPr="002D119A">
        <w:rPr>
          <w:spacing w:val="12"/>
        </w:rPr>
        <w:t xml:space="preserve"> </w:t>
      </w:r>
      <w:r w:rsidRPr="002D119A">
        <w:t>disadvantage</w:t>
      </w:r>
      <w:r w:rsidRPr="002D119A">
        <w:rPr>
          <w:spacing w:val="12"/>
        </w:rPr>
        <w:t xml:space="preserve"> </w:t>
      </w:r>
      <w:r w:rsidRPr="002D119A">
        <w:t>by</w:t>
      </w:r>
      <w:r w:rsidRPr="002D119A">
        <w:rPr>
          <w:spacing w:val="13"/>
        </w:rPr>
        <w:t xml:space="preserve"> </w:t>
      </w:r>
      <w:r w:rsidRPr="002D119A">
        <w:t>a</w:t>
      </w:r>
      <w:r w:rsidRPr="002D119A">
        <w:rPr>
          <w:spacing w:val="51"/>
          <w:w w:val="99"/>
        </w:rPr>
        <w:t xml:space="preserve"> </w:t>
      </w:r>
      <w:r w:rsidRPr="002D119A">
        <w:t>practice</w:t>
      </w:r>
      <w:r w:rsidRPr="002D119A">
        <w:rPr>
          <w:spacing w:val="37"/>
        </w:rPr>
        <w:t xml:space="preserve"> </w:t>
      </w:r>
      <w:r w:rsidRPr="002D119A">
        <w:t>or</w:t>
      </w:r>
      <w:r w:rsidRPr="002D119A">
        <w:rPr>
          <w:spacing w:val="36"/>
        </w:rPr>
        <w:t xml:space="preserve"> </w:t>
      </w:r>
      <w:r w:rsidRPr="002D119A">
        <w:t>physical</w:t>
      </w:r>
      <w:r w:rsidRPr="002D119A">
        <w:rPr>
          <w:spacing w:val="35"/>
        </w:rPr>
        <w:t xml:space="preserve"> </w:t>
      </w:r>
      <w:r w:rsidRPr="002D119A">
        <w:t>feature.</w:t>
      </w:r>
      <w:r w:rsidRPr="002D119A">
        <w:rPr>
          <w:spacing w:val="6"/>
        </w:rPr>
        <w:t xml:space="preserve"> </w:t>
      </w:r>
      <w:r w:rsidRPr="002D119A">
        <w:t>The</w:t>
      </w:r>
      <w:r w:rsidRPr="002D119A">
        <w:rPr>
          <w:spacing w:val="36"/>
        </w:rPr>
        <w:t xml:space="preserve"> </w:t>
      </w:r>
      <w:r w:rsidRPr="002D119A">
        <w:t>duty</w:t>
      </w:r>
      <w:r w:rsidRPr="002D119A">
        <w:rPr>
          <w:spacing w:val="36"/>
        </w:rPr>
        <w:t xml:space="preserve"> </w:t>
      </w:r>
      <w:r w:rsidRPr="002D119A">
        <w:t>also</w:t>
      </w:r>
      <w:r w:rsidRPr="002D119A">
        <w:rPr>
          <w:spacing w:val="35"/>
        </w:rPr>
        <w:t xml:space="preserve"> </w:t>
      </w:r>
      <w:r w:rsidRPr="002D119A">
        <w:t>requires</w:t>
      </w:r>
      <w:r w:rsidRPr="002D119A">
        <w:rPr>
          <w:spacing w:val="36"/>
        </w:rPr>
        <w:t xml:space="preserve"> </w:t>
      </w:r>
      <w:r w:rsidRPr="002D119A">
        <w:t>bodies</w:t>
      </w:r>
      <w:r w:rsidRPr="002D119A">
        <w:rPr>
          <w:spacing w:val="36"/>
        </w:rPr>
        <w:t xml:space="preserve"> </w:t>
      </w:r>
      <w:r w:rsidRPr="002D119A">
        <w:t>to</w:t>
      </w:r>
      <w:r w:rsidRPr="002D119A">
        <w:rPr>
          <w:spacing w:val="67"/>
        </w:rPr>
        <w:t xml:space="preserve"> </w:t>
      </w:r>
      <w:r w:rsidRPr="002D119A">
        <w:t>put</w:t>
      </w:r>
      <w:r w:rsidRPr="002D119A">
        <w:rPr>
          <w:spacing w:val="13"/>
        </w:rPr>
        <w:t xml:space="preserve"> </w:t>
      </w:r>
      <w:r w:rsidRPr="002D119A">
        <w:t>an</w:t>
      </w:r>
      <w:r w:rsidRPr="002D119A">
        <w:rPr>
          <w:spacing w:val="13"/>
        </w:rPr>
        <w:t xml:space="preserve"> </w:t>
      </w:r>
      <w:r w:rsidRPr="002D119A">
        <w:t>"auxiliary</w:t>
      </w:r>
      <w:r w:rsidRPr="002D119A">
        <w:rPr>
          <w:spacing w:val="14"/>
        </w:rPr>
        <w:t xml:space="preserve"> </w:t>
      </w:r>
      <w:r w:rsidRPr="002D119A">
        <w:t>aid"</w:t>
      </w:r>
      <w:r w:rsidRPr="002D119A">
        <w:rPr>
          <w:spacing w:val="14"/>
        </w:rPr>
        <w:t xml:space="preserve"> </w:t>
      </w:r>
      <w:r w:rsidRPr="002D119A">
        <w:t>in</w:t>
      </w:r>
      <w:r w:rsidRPr="002D119A">
        <w:rPr>
          <w:spacing w:val="15"/>
        </w:rPr>
        <w:t xml:space="preserve"> </w:t>
      </w:r>
      <w:r w:rsidRPr="002D119A">
        <w:t>place</w:t>
      </w:r>
      <w:r w:rsidRPr="002D119A">
        <w:rPr>
          <w:spacing w:val="13"/>
        </w:rPr>
        <w:t xml:space="preserve"> </w:t>
      </w:r>
      <w:r w:rsidRPr="002D119A">
        <w:t>where</w:t>
      </w:r>
      <w:r w:rsidRPr="002D119A">
        <w:rPr>
          <w:spacing w:val="12"/>
        </w:rPr>
        <w:t xml:space="preserve"> </w:t>
      </w:r>
      <w:r w:rsidRPr="002D119A">
        <w:t>this</w:t>
      </w:r>
      <w:r w:rsidRPr="002D119A">
        <w:rPr>
          <w:spacing w:val="16"/>
        </w:rPr>
        <w:t xml:space="preserve"> </w:t>
      </w:r>
      <w:r w:rsidRPr="002D119A">
        <w:t>would</w:t>
      </w:r>
      <w:r w:rsidRPr="002D119A">
        <w:rPr>
          <w:spacing w:val="13"/>
        </w:rPr>
        <w:t xml:space="preserve"> </w:t>
      </w:r>
      <w:r w:rsidRPr="002D119A">
        <w:t>remove</w:t>
      </w:r>
      <w:r w:rsidRPr="002D119A">
        <w:rPr>
          <w:spacing w:val="12"/>
        </w:rPr>
        <w:t xml:space="preserve"> </w:t>
      </w:r>
      <w:r w:rsidRPr="002D119A">
        <w:t>a</w:t>
      </w:r>
      <w:r w:rsidRPr="002D119A">
        <w:rPr>
          <w:spacing w:val="45"/>
          <w:w w:val="99"/>
        </w:rPr>
        <w:t xml:space="preserve"> </w:t>
      </w:r>
      <w:r w:rsidRPr="002D119A">
        <w:t>substantial</w:t>
      </w:r>
      <w:r w:rsidRPr="002D119A">
        <w:rPr>
          <w:spacing w:val="29"/>
        </w:rPr>
        <w:t xml:space="preserve"> </w:t>
      </w:r>
      <w:r w:rsidRPr="002D119A">
        <w:t>disadvantage</w:t>
      </w:r>
      <w:r w:rsidRPr="002D119A">
        <w:rPr>
          <w:spacing w:val="30"/>
        </w:rPr>
        <w:t xml:space="preserve"> </w:t>
      </w:r>
      <w:r w:rsidRPr="002D119A">
        <w:t>e.g.</w:t>
      </w:r>
      <w:r w:rsidRPr="002D119A">
        <w:rPr>
          <w:spacing w:val="30"/>
        </w:rPr>
        <w:t xml:space="preserve"> </w:t>
      </w:r>
      <w:r w:rsidRPr="002D119A">
        <w:t>a</w:t>
      </w:r>
      <w:r w:rsidRPr="002D119A">
        <w:rPr>
          <w:spacing w:val="31"/>
        </w:rPr>
        <w:t xml:space="preserve"> </w:t>
      </w:r>
      <w:r w:rsidRPr="002D119A">
        <w:t>hearing</w:t>
      </w:r>
      <w:r w:rsidRPr="002D119A">
        <w:rPr>
          <w:spacing w:val="30"/>
        </w:rPr>
        <w:t xml:space="preserve"> </w:t>
      </w:r>
      <w:r w:rsidRPr="002D119A">
        <w:t>aid</w:t>
      </w:r>
      <w:r w:rsidRPr="002D119A">
        <w:rPr>
          <w:spacing w:val="29"/>
        </w:rPr>
        <w:t xml:space="preserve"> </w:t>
      </w:r>
      <w:r w:rsidRPr="002D119A">
        <w:t>induction</w:t>
      </w:r>
      <w:r w:rsidRPr="002D119A">
        <w:rPr>
          <w:spacing w:val="33"/>
        </w:rPr>
        <w:t xml:space="preserve"> </w:t>
      </w:r>
      <w:r w:rsidRPr="002D119A">
        <w:t>loop</w:t>
      </w:r>
      <w:r w:rsidR="00050291">
        <w:t>.</w:t>
      </w:r>
      <w:r w:rsidRPr="002D119A">
        <w:rPr>
          <w:spacing w:val="30"/>
        </w:rPr>
        <w:t xml:space="preserve"> </w:t>
      </w:r>
      <w:r w:rsidRPr="002D119A">
        <w:t>The</w:t>
      </w:r>
      <w:r w:rsidRPr="002D119A">
        <w:rPr>
          <w:spacing w:val="61"/>
          <w:w w:val="99"/>
        </w:rPr>
        <w:t xml:space="preserve"> </w:t>
      </w:r>
      <w:r w:rsidRPr="002D119A">
        <w:t>duty</w:t>
      </w:r>
      <w:r w:rsidRPr="002D119A">
        <w:rPr>
          <w:spacing w:val="41"/>
        </w:rPr>
        <w:t xml:space="preserve"> </w:t>
      </w:r>
      <w:r w:rsidRPr="002D119A">
        <w:t>to</w:t>
      </w:r>
      <w:r w:rsidRPr="002D119A">
        <w:rPr>
          <w:spacing w:val="40"/>
        </w:rPr>
        <w:t xml:space="preserve"> </w:t>
      </w:r>
      <w:r w:rsidRPr="002D119A">
        <w:t>make</w:t>
      </w:r>
      <w:r w:rsidRPr="002D119A">
        <w:rPr>
          <w:spacing w:val="43"/>
        </w:rPr>
        <w:t xml:space="preserve"> </w:t>
      </w:r>
      <w:r w:rsidRPr="002D119A">
        <w:t>reasonable</w:t>
      </w:r>
      <w:r w:rsidRPr="002D119A">
        <w:rPr>
          <w:spacing w:val="39"/>
        </w:rPr>
        <w:t xml:space="preserve"> </w:t>
      </w:r>
      <w:r w:rsidRPr="002D119A">
        <w:t>adjustments</w:t>
      </w:r>
      <w:r w:rsidRPr="002D119A">
        <w:rPr>
          <w:spacing w:val="41"/>
        </w:rPr>
        <w:t xml:space="preserve"> </w:t>
      </w:r>
      <w:r w:rsidRPr="002D119A">
        <w:t>might</w:t>
      </w:r>
      <w:r w:rsidRPr="002D119A">
        <w:rPr>
          <w:spacing w:val="44"/>
        </w:rPr>
        <w:t xml:space="preserve"> </w:t>
      </w:r>
      <w:r w:rsidRPr="002D119A">
        <w:t>e.g.</w:t>
      </w:r>
      <w:r w:rsidRPr="002D119A">
        <w:rPr>
          <w:spacing w:val="41"/>
        </w:rPr>
        <w:t xml:space="preserve"> </w:t>
      </w:r>
      <w:r w:rsidRPr="002D119A">
        <w:t>require</w:t>
      </w:r>
      <w:r w:rsidRPr="002D119A">
        <w:rPr>
          <w:spacing w:val="40"/>
        </w:rPr>
        <w:t xml:space="preserve"> </w:t>
      </w:r>
      <w:r w:rsidRPr="002D119A">
        <w:t>NHS</w:t>
      </w:r>
      <w:r w:rsidRPr="002D119A">
        <w:rPr>
          <w:spacing w:val="47"/>
        </w:rPr>
        <w:t xml:space="preserve"> </w:t>
      </w:r>
      <w:r w:rsidRPr="002D119A">
        <w:t>England</w:t>
      </w:r>
      <w:r w:rsidRPr="002D119A">
        <w:rPr>
          <w:spacing w:val="19"/>
        </w:rPr>
        <w:t xml:space="preserve"> or a </w:t>
      </w:r>
      <w:r w:rsidR="00B83042">
        <w:rPr>
          <w:spacing w:val="19"/>
        </w:rPr>
        <w:t>CCG/ICB</w:t>
      </w:r>
      <w:r w:rsidRPr="002D119A">
        <w:rPr>
          <w:spacing w:val="19"/>
        </w:rPr>
        <w:t xml:space="preserve"> </w:t>
      </w:r>
      <w:r w:rsidRPr="002D119A">
        <w:t>to</w:t>
      </w:r>
      <w:r w:rsidRPr="002D119A">
        <w:rPr>
          <w:spacing w:val="21"/>
        </w:rPr>
        <w:t xml:space="preserve"> </w:t>
      </w:r>
      <w:r w:rsidRPr="002D119A">
        <w:t>make</w:t>
      </w:r>
      <w:r w:rsidRPr="002D119A">
        <w:rPr>
          <w:spacing w:val="21"/>
        </w:rPr>
        <w:t xml:space="preserve"> </w:t>
      </w:r>
      <w:r w:rsidRPr="002D119A">
        <w:t>consultation</w:t>
      </w:r>
      <w:r w:rsidRPr="002D119A">
        <w:rPr>
          <w:spacing w:val="21"/>
        </w:rPr>
        <w:t xml:space="preserve"> </w:t>
      </w:r>
      <w:r w:rsidRPr="002D119A">
        <w:t>materials</w:t>
      </w:r>
      <w:r w:rsidRPr="002D119A">
        <w:rPr>
          <w:spacing w:val="21"/>
        </w:rPr>
        <w:t xml:space="preserve"> </w:t>
      </w:r>
      <w:r w:rsidRPr="002D119A">
        <w:t>available</w:t>
      </w:r>
      <w:r w:rsidRPr="002D119A">
        <w:rPr>
          <w:spacing w:val="21"/>
        </w:rPr>
        <w:t xml:space="preserve"> </w:t>
      </w:r>
      <w:r w:rsidRPr="002D119A">
        <w:t>in</w:t>
      </w:r>
      <w:r w:rsidRPr="002D119A">
        <w:rPr>
          <w:spacing w:val="24"/>
        </w:rPr>
        <w:t xml:space="preserve"> </w:t>
      </w:r>
      <w:r w:rsidRPr="002D119A">
        <w:t>braille.</w:t>
      </w:r>
      <w:r w:rsidRPr="002D119A">
        <w:rPr>
          <w:spacing w:val="56"/>
          <w:w w:val="99"/>
        </w:rPr>
        <w:t xml:space="preserve"> </w:t>
      </w:r>
      <w:r w:rsidR="00050291" w:rsidRPr="002D119A">
        <w:t>However,</w:t>
      </w:r>
      <w:r w:rsidRPr="002D119A">
        <w:rPr>
          <w:spacing w:val="54"/>
        </w:rPr>
        <w:t xml:space="preserve"> </w:t>
      </w:r>
      <w:r w:rsidRPr="002D119A">
        <w:t>some</w:t>
      </w:r>
      <w:r w:rsidRPr="002D119A">
        <w:rPr>
          <w:spacing w:val="54"/>
        </w:rPr>
        <w:t xml:space="preserve"> </w:t>
      </w:r>
      <w:r w:rsidRPr="002D119A">
        <w:t>care</w:t>
      </w:r>
      <w:r w:rsidRPr="002D119A">
        <w:rPr>
          <w:spacing w:val="54"/>
        </w:rPr>
        <w:t xml:space="preserve"> </w:t>
      </w:r>
      <w:r w:rsidRPr="002D119A">
        <w:t>is</w:t>
      </w:r>
      <w:r w:rsidRPr="002D119A">
        <w:rPr>
          <w:spacing w:val="57"/>
        </w:rPr>
        <w:t xml:space="preserve"> </w:t>
      </w:r>
      <w:r w:rsidRPr="002D119A">
        <w:t>needed</w:t>
      </w:r>
      <w:r w:rsidRPr="002D119A">
        <w:rPr>
          <w:spacing w:val="54"/>
        </w:rPr>
        <w:t xml:space="preserve"> </w:t>
      </w:r>
      <w:r w:rsidRPr="002D119A">
        <w:t>here.</w:t>
      </w:r>
      <w:r w:rsidRPr="002D119A">
        <w:rPr>
          <w:spacing w:val="43"/>
        </w:rPr>
        <w:t xml:space="preserve"> </w:t>
      </w:r>
      <w:r w:rsidRPr="002D119A">
        <w:t>People</w:t>
      </w:r>
      <w:r w:rsidRPr="002D119A">
        <w:rPr>
          <w:spacing w:val="54"/>
        </w:rPr>
        <w:t xml:space="preserve"> </w:t>
      </w:r>
      <w:r w:rsidRPr="002D119A">
        <w:t>with</w:t>
      </w:r>
      <w:r w:rsidRPr="002D119A">
        <w:rPr>
          <w:spacing w:val="55"/>
        </w:rPr>
        <w:t xml:space="preserve"> </w:t>
      </w:r>
      <w:r w:rsidRPr="002D119A">
        <w:t>disabilities</w:t>
      </w:r>
      <w:r w:rsidRPr="002D119A">
        <w:rPr>
          <w:spacing w:val="54"/>
          <w:w w:val="99"/>
        </w:rPr>
        <w:t xml:space="preserve"> </w:t>
      </w:r>
      <w:r w:rsidRPr="002D119A">
        <w:t>have</w:t>
      </w:r>
      <w:r w:rsidRPr="002D119A">
        <w:rPr>
          <w:spacing w:val="61"/>
        </w:rPr>
        <w:t xml:space="preserve"> </w:t>
      </w:r>
      <w:r w:rsidRPr="002D119A">
        <w:t>a</w:t>
      </w:r>
      <w:r w:rsidRPr="002D119A">
        <w:rPr>
          <w:spacing w:val="63"/>
        </w:rPr>
        <w:t xml:space="preserve"> </w:t>
      </w:r>
      <w:r w:rsidRPr="002D119A">
        <w:t>right</w:t>
      </w:r>
      <w:r w:rsidRPr="002D119A">
        <w:rPr>
          <w:spacing w:val="64"/>
        </w:rPr>
        <w:t xml:space="preserve"> </w:t>
      </w:r>
      <w:r w:rsidRPr="002D119A">
        <w:t>to</w:t>
      </w:r>
      <w:r w:rsidRPr="002D119A">
        <w:rPr>
          <w:spacing w:val="62"/>
        </w:rPr>
        <w:t xml:space="preserve"> </w:t>
      </w:r>
      <w:r w:rsidRPr="002D119A">
        <w:t>access</w:t>
      </w:r>
      <w:r w:rsidRPr="002D119A">
        <w:rPr>
          <w:spacing w:val="64"/>
        </w:rPr>
        <w:t xml:space="preserve"> </w:t>
      </w:r>
      <w:r w:rsidRPr="002D119A">
        <w:t>services</w:t>
      </w:r>
      <w:r w:rsidRPr="002D119A">
        <w:rPr>
          <w:spacing w:val="64"/>
        </w:rPr>
        <w:t xml:space="preserve"> </w:t>
      </w:r>
      <w:r w:rsidRPr="002D119A">
        <w:t>in</w:t>
      </w:r>
      <w:r w:rsidRPr="002D119A">
        <w:rPr>
          <w:spacing w:val="63"/>
        </w:rPr>
        <w:t xml:space="preserve"> </w:t>
      </w:r>
      <w:r w:rsidRPr="002D119A">
        <w:t>broadly</w:t>
      </w:r>
      <w:r w:rsidRPr="002D119A">
        <w:rPr>
          <w:spacing w:val="63"/>
        </w:rPr>
        <w:t xml:space="preserve"> </w:t>
      </w:r>
      <w:r w:rsidRPr="002D119A">
        <w:t>the</w:t>
      </w:r>
      <w:r w:rsidRPr="002D119A">
        <w:rPr>
          <w:spacing w:val="62"/>
        </w:rPr>
        <w:t xml:space="preserve"> </w:t>
      </w:r>
      <w:r w:rsidRPr="002D119A">
        <w:t>same</w:t>
      </w:r>
      <w:r w:rsidRPr="002D119A">
        <w:rPr>
          <w:spacing w:val="62"/>
        </w:rPr>
        <w:t xml:space="preserve"> </w:t>
      </w:r>
      <w:r w:rsidRPr="002D119A">
        <w:t>way</w:t>
      </w:r>
      <w:r w:rsidRPr="002D119A">
        <w:rPr>
          <w:spacing w:val="63"/>
        </w:rPr>
        <w:t xml:space="preserve"> </w:t>
      </w:r>
      <w:r w:rsidRPr="002D119A">
        <w:t>as</w:t>
      </w:r>
      <w:r w:rsidRPr="002D119A">
        <w:rPr>
          <w:spacing w:val="45"/>
        </w:rPr>
        <w:t xml:space="preserve"> </w:t>
      </w:r>
      <w:r w:rsidRPr="002D119A">
        <w:t>people</w:t>
      </w:r>
      <w:r w:rsidRPr="002D119A">
        <w:rPr>
          <w:spacing w:val="32"/>
        </w:rPr>
        <w:t xml:space="preserve"> </w:t>
      </w:r>
      <w:r w:rsidRPr="002D119A">
        <w:t>without</w:t>
      </w:r>
      <w:r w:rsidRPr="002D119A">
        <w:rPr>
          <w:spacing w:val="34"/>
        </w:rPr>
        <w:t xml:space="preserve"> </w:t>
      </w:r>
      <w:r w:rsidRPr="002D119A">
        <w:t>disabilities,</w:t>
      </w:r>
      <w:r w:rsidRPr="002D119A">
        <w:rPr>
          <w:spacing w:val="34"/>
        </w:rPr>
        <w:t xml:space="preserve"> </w:t>
      </w:r>
      <w:r w:rsidRPr="002D119A">
        <w:t>so</w:t>
      </w:r>
      <w:r w:rsidRPr="002D119A">
        <w:rPr>
          <w:spacing w:val="32"/>
        </w:rPr>
        <w:t xml:space="preserve"> </w:t>
      </w:r>
      <w:r w:rsidRPr="002D119A">
        <w:t>far</w:t>
      </w:r>
      <w:r w:rsidRPr="002D119A">
        <w:rPr>
          <w:spacing w:val="33"/>
        </w:rPr>
        <w:t xml:space="preserve"> </w:t>
      </w:r>
      <w:r w:rsidRPr="002D119A">
        <w:t>as</w:t>
      </w:r>
      <w:r w:rsidRPr="002D119A">
        <w:rPr>
          <w:spacing w:val="35"/>
        </w:rPr>
        <w:t xml:space="preserve"> </w:t>
      </w:r>
      <w:r w:rsidRPr="002D119A">
        <w:t>is</w:t>
      </w:r>
      <w:r w:rsidRPr="002D119A">
        <w:rPr>
          <w:spacing w:val="34"/>
        </w:rPr>
        <w:t xml:space="preserve"> </w:t>
      </w:r>
      <w:r w:rsidRPr="002D119A">
        <w:t>reasonable.</w:t>
      </w:r>
      <w:r w:rsidRPr="002D119A">
        <w:rPr>
          <w:spacing w:val="2"/>
        </w:rPr>
        <w:t xml:space="preserve"> </w:t>
      </w:r>
      <w:r w:rsidRPr="002D119A">
        <w:t>Offering</w:t>
      </w:r>
      <w:r w:rsidRPr="002D119A">
        <w:rPr>
          <w:spacing w:val="32"/>
        </w:rPr>
        <w:t xml:space="preserve"> </w:t>
      </w:r>
      <w:r w:rsidRPr="002D119A">
        <w:t>a</w:t>
      </w:r>
      <w:r w:rsidRPr="002D119A">
        <w:rPr>
          <w:spacing w:val="65"/>
          <w:w w:val="99"/>
        </w:rPr>
        <w:t xml:space="preserve"> </w:t>
      </w:r>
      <w:r w:rsidRPr="002D119A">
        <w:t>telephone</w:t>
      </w:r>
      <w:r w:rsidRPr="002D119A">
        <w:rPr>
          <w:spacing w:val="63"/>
        </w:rPr>
        <w:t xml:space="preserve"> </w:t>
      </w:r>
      <w:r w:rsidRPr="002D119A">
        <w:t>consultation to</w:t>
      </w:r>
      <w:r w:rsidRPr="002D119A">
        <w:rPr>
          <w:spacing w:val="63"/>
        </w:rPr>
        <w:t xml:space="preserve"> </w:t>
      </w:r>
      <w:r w:rsidRPr="002D119A">
        <w:t>a</w:t>
      </w:r>
      <w:r w:rsidRPr="002D119A">
        <w:rPr>
          <w:spacing w:val="64"/>
        </w:rPr>
        <w:t xml:space="preserve"> </w:t>
      </w:r>
      <w:r w:rsidRPr="002D119A">
        <w:t>wheelchair</w:t>
      </w:r>
      <w:r w:rsidRPr="002D119A">
        <w:rPr>
          <w:spacing w:val="64"/>
        </w:rPr>
        <w:t xml:space="preserve"> </w:t>
      </w:r>
      <w:r w:rsidRPr="002D119A">
        <w:t>using</w:t>
      </w:r>
      <w:r w:rsidRPr="002D119A">
        <w:rPr>
          <w:spacing w:val="62"/>
        </w:rPr>
        <w:t xml:space="preserve"> </w:t>
      </w:r>
      <w:r w:rsidRPr="002D119A">
        <w:t>patient</w:t>
      </w:r>
      <w:r w:rsidRPr="002D119A">
        <w:rPr>
          <w:spacing w:val="64"/>
        </w:rPr>
        <w:t xml:space="preserve"> </w:t>
      </w:r>
      <w:r w:rsidRPr="002D119A">
        <w:t>who</w:t>
      </w:r>
      <w:r w:rsidRPr="002D119A">
        <w:rPr>
          <w:spacing w:val="63"/>
        </w:rPr>
        <w:t xml:space="preserve"> </w:t>
      </w:r>
      <w:r w:rsidRPr="002D119A">
        <w:t>is</w:t>
      </w:r>
      <w:r w:rsidRPr="002D119A">
        <w:rPr>
          <w:spacing w:val="36"/>
          <w:w w:val="99"/>
        </w:rPr>
        <w:t xml:space="preserve"> </w:t>
      </w:r>
      <w:r w:rsidR="00050291" w:rsidRPr="002D119A">
        <w:t xml:space="preserve">prevented </w:t>
      </w:r>
      <w:r w:rsidR="00050291" w:rsidRPr="00A553BA">
        <w:rPr>
          <w:spacing w:val="12"/>
        </w:rPr>
        <w:t>from</w:t>
      </w:r>
      <w:r w:rsidR="00050291" w:rsidRPr="002D119A">
        <w:t xml:space="preserve"> </w:t>
      </w:r>
      <w:r w:rsidR="00050291" w:rsidRPr="00A553BA">
        <w:rPr>
          <w:spacing w:val="12"/>
        </w:rPr>
        <w:t>accessing</w:t>
      </w:r>
      <w:r w:rsidR="00050291" w:rsidRPr="002D119A">
        <w:t xml:space="preserve"> </w:t>
      </w:r>
      <w:r w:rsidR="00050291" w:rsidRPr="00A553BA">
        <w:rPr>
          <w:spacing w:val="9"/>
        </w:rPr>
        <w:t>a</w:t>
      </w:r>
      <w:r w:rsidR="00050291" w:rsidRPr="002D119A">
        <w:t xml:space="preserve"> </w:t>
      </w:r>
      <w:r w:rsidR="00050291" w:rsidRPr="00A553BA">
        <w:rPr>
          <w:spacing w:val="13"/>
        </w:rPr>
        <w:t>clinic</w:t>
      </w:r>
      <w:r w:rsidR="00050291" w:rsidRPr="002D119A">
        <w:t xml:space="preserve"> </w:t>
      </w:r>
      <w:r w:rsidR="00050291" w:rsidRPr="00A553BA">
        <w:rPr>
          <w:spacing w:val="12"/>
        </w:rPr>
        <w:t>by</w:t>
      </w:r>
      <w:r w:rsidR="00050291" w:rsidRPr="002D119A">
        <w:t xml:space="preserve"> </w:t>
      </w:r>
      <w:r w:rsidR="00050291" w:rsidRPr="00A553BA">
        <w:rPr>
          <w:spacing w:val="11"/>
        </w:rPr>
        <w:t>steps</w:t>
      </w:r>
      <w:r w:rsidR="00050291" w:rsidRPr="002D119A">
        <w:t xml:space="preserve"> </w:t>
      </w:r>
      <w:r w:rsidR="00050291" w:rsidRPr="00A553BA">
        <w:rPr>
          <w:spacing w:val="15"/>
        </w:rPr>
        <w:t>may</w:t>
      </w:r>
      <w:r w:rsidR="00050291" w:rsidRPr="002D119A">
        <w:t xml:space="preserve"> </w:t>
      </w:r>
      <w:r w:rsidR="00050291" w:rsidRPr="00A553BA">
        <w:rPr>
          <w:spacing w:val="11"/>
        </w:rPr>
        <w:t>in</w:t>
      </w:r>
      <w:r w:rsidR="00050291" w:rsidRPr="002D119A">
        <w:t xml:space="preserve"> </w:t>
      </w:r>
      <w:r w:rsidR="00050291" w:rsidRPr="00A553BA">
        <w:rPr>
          <w:spacing w:val="13"/>
        </w:rPr>
        <w:t>fact</w:t>
      </w:r>
      <w:r w:rsidR="00050291" w:rsidRPr="002D119A">
        <w:t xml:space="preserve"> </w:t>
      </w:r>
      <w:r w:rsidR="00050291" w:rsidRPr="00A553BA">
        <w:rPr>
          <w:spacing w:val="13"/>
        </w:rPr>
        <w:t>be</w:t>
      </w:r>
      <w:r w:rsidRPr="002D119A">
        <w:t xml:space="preserve"> unlawful</w:t>
      </w:r>
      <w:r w:rsidRPr="002D119A">
        <w:rPr>
          <w:spacing w:val="3"/>
        </w:rPr>
        <w:t xml:space="preserve"> </w:t>
      </w:r>
      <w:r w:rsidRPr="002D119A">
        <w:t>discrimination</w:t>
      </w:r>
      <w:r w:rsidRPr="002D119A">
        <w:rPr>
          <w:spacing w:val="4"/>
        </w:rPr>
        <w:t xml:space="preserve"> </w:t>
      </w:r>
      <w:r w:rsidRPr="002D119A">
        <w:t>rather</w:t>
      </w:r>
      <w:r w:rsidRPr="002D119A">
        <w:rPr>
          <w:spacing w:val="1"/>
        </w:rPr>
        <w:t xml:space="preserve"> </w:t>
      </w:r>
      <w:r w:rsidRPr="002D119A">
        <w:t>than</w:t>
      </w:r>
      <w:r w:rsidRPr="002D119A">
        <w:rPr>
          <w:spacing w:val="1"/>
        </w:rPr>
        <w:t xml:space="preserve"> </w:t>
      </w:r>
      <w:r w:rsidR="00050291" w:rsidRPr="002D119A">
        <w:t xml:space="preserve">a </w:t>
      </w:r>
      <w:r w:rsidR="00050291" w:rsidRPr="00A553BA">
        <w:rPr>
          <w:spacing w:val="2"/>
        </w:rPr>
        <w:t>reasonable</w:t>
      </w:r>
      <w:r w:rsidR="00050291" w:rsidRPr="002D119A">
        <w:t xml:space="preserve"> adjustment</w:t>
      </w:r>
      <w:r w:rsidRPr="002D119A">
        <w:t>.</w:t>
      </w:r>
      <w:r w:rsidRPr="002D119A">
        <w:rPr>
          <w:spacing w:val="43"/>
        </w:rPr>
        <w:t xml:space="preserve"> </w:t>
      </w:r>
      <w:r w:rsidRPr="002D119A">
        <w:t>The</w:t>
      </w:r>
      <w:r w:rsidRPr="002D119A">
        <w:rPr>
          <w:spacing w:val="1"/>
        </w:rPr>
        <w:t xml:space="preserve"> </w:t>
      </w:r>
      <w:r w:rsidRPr="002D119A">
        <w:t>wheelchair</w:t>
      </w:r>
      <w:r w:rsidRPr="002D119A">
        <w:rPr>
          <w:spacing w:val="4"/>
        </w:rPr>
        <w:t xml:space="preserve"> </w:t>
      </w:r>
      <w:r w:rsidRPr="002D119A">
        <w:t>user</w:t>
      </w:r>
      <w:r w:rsidRPr="002D119A">
        <w:rPr>
          <w:spacing w:val="2"/>
        </w:rPr>
        <w:t xml:space="preserve"> </w:t>
      </w:r>
      <w:r w:rsidRPr="002D119A">
        <w:t>should</w:t>
      </w:r>
      <w:r w:rsidRPr="002D119A">
        <w:rPr>
          <w:spacing w:val="3"/>
        </w:rPr>
        <w:t xml:space="preserve"> </w:t>
      </w:r>
      <w:r w:rsidRPr="002D119A">
        <w:t>be</w:t>
      </w:r>
      <w:r w:rsidRPr="002D119A">
        <w:rPr>
          <w:spacing w:val="3"/>
        </w:rPr>
        <w:t xml:space="preserve"> </w:t>
      </w:r>
      <w:r w:rsidRPr="002D119A">
        <w:t>able</w:t>
      </w:r>
      <w:r w:rsidRPr="002D119A">
        <w:rPr>
          <w:spacing w:val="1"/>
        </w:rPr>
        <w:t xml:space="preserve"> to </w:t>
      </w:r>
      <w:r w:rsidRPr="002D119A">
        <w:t>access</w:t>
      </w:r>
      <w:r w:rsidRPr="002D119A">
        <w:rPr>
          <w:spacing w:val="5"/>
        </w:rPr>
        <w:t xml:space="preserve"> </w:t>
      </w:r>
      <w:r w:rsidRPr="002D119A">
        <w:t>services</w:t>
      </w:r>
      <w:r w:rsidRPr="002D119A">
        <w:rPr>
          <w:spacing w:val="3"/>
        </w:rPr>
        <w:t xml:space="preserve"> </w:t>
      </w:r>
      <w:r w:rsidRPr="002D119A">
        <w:t>in</w:t>
      </w:r>
      <w:r w:rsidRPr="002D119A">
        <w:rPr>
          <w:spacing w:val="4"/>
        </w:rPr>
        <w:t xml:space="preserve"> </w:t>
      </w:r>
      <w:r w:rsidRPr="002D119A">
        <w:t>broadly</w:t>
      </w:r>
      <w:r w:rsidRPr="002D119A">
        <w:rPr>
          <w:spacing w:val="60"/>
          <w:w w:val="99"/>
        </w:rPr>
        <w:t xml:space="preserve"> </w:t>
      </w:r>
      <w:r w:rsidRPr="002D119A">
        <w:t>the</w:t>
      </w:r>
      <w:r w:rsidRPr="002D119A">
        <w:rPr>
          <w:spacing w:val="8"/>
        </w:rPr>
        <w:t xml:space="preserve"> </w:t>
      </w:r>
      <w:r w:rsidRPr="002D119A">
        <w:t>same</w:t>
      </w:r>
      <w:r w:rsidRPr="002D119A">
        <w:rPr>
          <w:spacing w:val="9"/>
        </w:rPr>
        <w:t xml:space="preserve"> </w:t>
      </w:r>
      <w:r w:rsidRPr="002D119A">
        <w:t>way</w:t>
      </w:r>
      <w:r w:rsidRPr="002D119A">
        <w:rPr>
          <w:spacing w:val="9"/>
        </w:rPr>
        <w:t xml:space="preserve"> </w:t>
      </w:r>
      <w:r w:rsidRPr="002D119A">
        <w:t>as</w:t>
      </w:r>
      <w:r w:rsidRPr="002D119A">
        <w:rPr>
          <w:spacing w:val="11"/>
        </w:rPr>
        <w:t xml:space="preserve"> </w:t>
      </w:r>
      <w:r w:rsidRPr="002D119A">
        <w:t>others</w:t>
      </w:r>
      <w:r w:rsidRPr="002D119A">
        <w:rPr>
          <w:spacing w:val="8"/>
        </w:rPr>
        <w:t xml:space="preserve"> </w:t>
      </w:r>
      <w:r w:rsidRPr="002D119A">
        <w:t>i.e.</w:t>
      </w:r>
      <w:r w:rsidRPr="002D119A">
        <w:rPr>
          <w:spacing w:val="9"/>
        </w:rPr>
        <w:t xml:space="preserve"> </w:t>
      </w:r>
      <w:r w:rsidRPr="002D119A">
        <w:t>by</w:t>
      </w:r>
      <w:r w:rsidRPr="002D119A">
        <w:rPr>
          <w:spacing w:val="10"/>
        </w:rPr>
        <w:t xml:space="preserve"> </w:t>
      </w:r>
      <w:r w:rsidRPr="002D119A">
        <w:t>attending</w:t>
      </w:r>
      <w:r w:rsidRPr="002D119A">
        <w:rPr>
          <w:spacing w:val="8"/>
        </w:rPr>
        <w:t xml:space="preserve"> </w:t>
      </w:r>
      <w:r w:rsidRPr="002D119A">
        <w:t>practice</w:t>
      </w:r>
      <w:r w:rsidRPr="002D119A">
        <w:rPr>
          <w:spacing w:val="9"/>
        </w:rPr>
        <w:t xml:space="preserve"> </w:t>
      </w:r>
      <w:r w:rsidRPr="002D119A">
        <w:t>premises</w:t>
      </w:r>
      <w:r w:rsidRPr="002D119A">
        <w:rPr>
          <w:spacing w:val="11"/>
        </w:rPr>
        <w:t xml:space="preserve"> </w:t>
      </w:r>
      <w:r w:rsidRPr="002D119A">
        <w:t>for</w:t>
      </w:r>
      <w:r w:rsidRPr="002D119A">
        <w:rPr>
          <w:spacing w:val="9"/>
        </w:rPr>
        <w:t xml:space="preserve"> </w:t>
      </w:r>
      <w:r w:rsidRPr="002D119A">
        <w:t>a</w:t>
      </w:r>
      <w:r w:rsidRPr="002D119A">
        <w:rPr>
          <w:spacing w:val="51"/>
          <w:w w:val="99"/>
        </w:rPr>
        <w:t xml:space="preserve"> </w:t>
      </w:r>
      <w:r w:rsidRPr="002D119A">
        <w:t>consultation.</w:t>
      </w:r>
    </w:p>
    <w:p w14:paraId="3156AB00" w14:textId="77777777" w:rsidR="00DB7F92" w:rsidRPr="00DB7F92" w:rsidRDefault="00DB7F92" w:rsidP="00A553BA">
      <w:pPr>
        <w:widowControl w:val="0"/>
        <w:ind w:left="2147" w:right="117"/>
        <w:jc w:val="both"/>
        <w:rPr>
          <w:rFonts w:cs="Arial"/>
          <w:bCs w:val="0"/>
          <w:sz w:val="20"/>
          <w:szCs w:val="20"/>
          <w:lang w:eastAsia="en-GB"/>
        </w:rPr>
      </w:pPr>
    </w:p>
    <w:p w14:paraId="64EAE3C8" w14:textId="77777777" w:rsidR="00DB7F92" w:rsidRPr="002D119A" w:rsidRDefault="00DB7F92" w:rsidP="002D119A">
      <w:pPr>
        <w:widowControl w:val="0"/>
        <w:spacing w:before="195" w:after="120"/>
        <w:ind w:left="720" w:right="156"/>
        <w:jc w:val="both"/>
        <w:rPr>
          <w:rFonts w:cs="Arial"/>
          <w:bCs w:val="0"/>
          <w:spacing w:val="-1"/>
          <w:szCs w:val="24"/>
          <w:lang w:eastAsia="en-GB"/>
        </w:rPr>
      </w:pPr>
      <w:r w:rsidRPr="002D119A">
        <w:rPr>
          <w:rFonts w:cs="Arial"/>
          <w:bCs w:val="0"/>
          <w:spacing w:val="-1"/>
          <w:szCs w:val="24"/>
          <w:lang w:eastAsia="en-GB"/>
        </w:rPr>
        <w:t>(Unlawful</w:t>
      </w:r>
      <w:r w:rsidRPr="002D119A">
        <w:rPr>
          <w:rFonts w:cs="Arial"/>
          <w:bCs w:val="0"/>
          <w:spacing w:val="-5"/>
          <w:szCs w:val="24"/>
          <w:lang w:eastAsia="en-GB"/>
        </w:rPr>
        <w:t xml:space="preserve"> </w:t>
      </w:r>
      <w:r w:rsidRPr="002D119A">
        <w:rPr>
          <w:rFonts w:cs="Arial"/>
          <w:bCs w:val="0"/>
          <w:spacing w:val="-1"/>
          <w:szCs w:val="24"/>
          <w:lang w:eastAsia="en-GB"/>
        </w:rPr>
        <w:t>discrimination</w:t>
      </w:r>
      <w:r w:rsidRPr="002D119A">
        <w:rPr>
          <w:rFonts w:cs="Arial"/>
          <w:bCs w:val="0"/>
          <w:spacing w:val="-6"/>
          <w:szCs w:val="24"/>
          <w:lang w:eastAsia="en-GB"/>
        </w:rPr>
        <w:t xml:space="preserve"> </w:t>
      </w:r>
      <w:r w:rsidRPr="002D119A">
        <w:rPr>
          <w:rFonts w:cs="Arial"/>
          <w:bCs w:val="0"/>
          <w:spacing w:val="-1"/>
          <w:szCs w:val="24"/>
          <w:lang w:eastAsia="en-GB"/>
        </w:rPr>
        <w:t>is</w:t>
      </w:r>
      <w:r w:rsidRPr="002D119A">
        <w:rPr>
          <w:rFonts w:cs="Arial"/>
          <w:bCs w:val="0"/>
          <w:spacing w:val="-5"/>
          <w:szCs w:val="24"/>
          <w:lang w:eastAsia="en-GB"/>
        </w:rPr>
        <w:t xml:space="preserve"> </w:t>
      </w:r>
      <w:r w:rsidRPr="002D119A">
        <w:rPr>
          <w:rFonts w:cs="Arial"/>
          <w:bCs w:val="0"/>
          <w:spacing w:val="-1"/>
          <w:szCs w:val="24"/>
          <w:lang w:eastAsia="en-GB"/>
        </w:rPr>
        <w:t>also</w:t>
      </w:r>
      <w:r w:rsidRPr="002D119A">
        <w:rPr>
          <w:rFonts w:cs="Arial"/>
          <w:bCs w:val="0"/>
          <w:spacing w:val="-5"/>
          <w:szCs w:val="24"/>
          <w:lang w:eastAsia="en-GB"/>
        </w:rPr>
        <w:t xml:space="preserve"> </w:t>
      </w:r>
      <w:r w:rsidRPr="002D119A">
        <w:rPr>
          <w:rFonts w:cs="Arial"/>
          <w:bCs w:val="0"/>
          <w:spacing w:val="-1"/>
          <w:szCs w:val="24"/>
          <w:lang w:eastAsia="en-GB"/>
        </w:rPr>
        <w:t>prohibited</w:t>
      </w:r>
      <w:r w:rsidRPr="002D119A">
        <w:rPr>
          <w:rFonts w:cs="Arial"/>
          <w:bCs w:val="0"/>
          <w:spacing w:val="-4"/>
          <w:szCs w:val="24"/>
          <w:lang w:eastAsia="en-GB"/>
        </w:rPr>
        <w:t xml:space="preserve"> </w:t>
      </w:r>
      <w:r w:rsidRPr="002D119A">
        <w:rPr>
          <w:rFonts w:cs="Arial"/>
          <w:bCs w:val="0"/>
          <w:spacing w:val="-1"/>
          <w:szCs w:val="24"/>
          <w:lang w:eastAsia="en-GB"/>
        </w:rPr>
        <w:t>in</w:t>
      </w:r>
      <w:r w:rsidRPr="002D119A">
        <w:rPr>
          <w:rFonts w:cs="Arial"/>
          <w:bCs w:val="0"/>
          <w:spacing w:val="-6"/>
          <w:szCs w:val="24"/>
          <w:lang w:eastAsia="en-GB"/>
        </w:rPr>
        <w:t xml:space="preserve"> </w:t>
      </w:r>
      <w:r w:rsidRPr="002D119A">
        <w:rPr>
          <w:rFonts w:cs="Arial"/>
          <w:bCs w:val="0"/>
          <w:szCs w:val="24"/>
          <w:lang w:eastAsia="en-GB"/>
        </w:rPr>
        <w:t>the</w:t>
      </w:r>
      <w:r w:rsidRPr="002D119A">
        <w:rPr>
          <w:rFonts w:cs="Arial"/>
          <w:bCs w:val="0"/>
          <w:spacing w:val="-6"/>
          <w:szCs w:val="24"/>
          <w:lang w:eastAsia="en-GB"/>
        </w:rPr>
        <w:t xml:space="preserve"> </w:t>
      </w:r>
      <w:r w:rsidRPr="002D119A">
        <w:rPr>
          <w:rFonts w:cs="Arial"/>
          <w:bCs w:val="0"/>
          <w:szCs w:val="24"/>
          <w:lang w:eastAsia="en-GB"/>
        </w:rPr>
        <w:t>field</w:t>
      </w:r>
      <w:r w:rsidRPr="002D119A">
        <w:rPr>
          <w:rFonts w:cs="Arial"/>
          <w:bCs w:val="0"/>
          <w:spacing w:val="-7"/>
          <w:szCs w:val="24"/>
          <w:lang w:eastAsia="en-GB"/>
        </w:rPr>
        <w:t xml:space="preserve"> </w:t>
      </w:r>
      <w:r w:rsidRPr="002D119A">
        <w:rPr>
          <w:rFonts w:cs="Arial"/>
          <w:bCs w:val="0"/>
          <w:szCs w:val="24"/>
          <w:lang w:eastAsia="en-GB"/>
        </w:rPr>
        <w:t>of</w:t>
      </w:r>
      <w:r w:rsidRPr="002D119A">
        <w:rPr>
          <w:rFonts w:cs="Arial"/>
          <w:bCs w:val="0"/>
          <w:spacing w:val="-4"/>
          <w:szCs w:val="24"/>
          <w:lang w:eastAsia="en-GB"/>
        </w:rPr>
        <w:t xml:space="preserve"> </w:t>
      </w:r>
      <w:r w:rsidRPr="002D119A">
        <w:rPr>
          <w:rFonts w:cs="Arial"/>
          <w:bCs w:val="0"/>
          <w:spacing w:val="-1"/>
          <w:szCs w:val="24"/>
          <w:lang w:eastAsia="en-GB"/>
        </w:rPr>
        <w:t>employment</w:t>
      </w:r>
      <w:r w:rsidRPr="002D119A">
        <w:rPr>
          <w:rFonts w:cs="Arial"/>
          <w:bCs w:val="0"/>
          <w:spacing w:val="-3"/>
          <w:szCs w:val="24"/>
          <w:lang w:eastAsia="en-GB"/>
        </w:rPr>
        <w:t xml:space="preserve"> </w:t>
      </w:r>
      <w:r w:rsidRPr="002D119A">
        <w:rPr>
          <w:rFonts w:cs="Arial"/>
          <w:bCs w:val="0"/>
          <w:spacing w:val="-1"/>
          <w:szCs w:val="24"/>
          <w:lang w:eastAsia="en-GB"/>
        </w:rPr>
        <w:t>and</w:t>
      </w:r>
      <w:r w:rsidRPr="002D119A">
        <w:rPr>
          <w:rFonts w:cs="Arial"/>
          <w:bCs w:val="0"/>
          <w:spacing w:val="-5"/>
          <w:szCs w:val="24"/>
          <w:lang w:eastAsia="en-GB"/>
        </w:rPr>
        <w:t xml:space="preserve"> </w:t>
      </w:r>
      <w:r w:rsidRPr="002D119A">
        <w:rPr>
          <w:rFonts w:cs="Arial"/>
          <w:bCs w:val="0"/>
          <w:spacing w:val="-1"/>
          <w:szCs w:val="24"/>
          <w:lang w:eastAsia="en-GB"/>
        </w:rPr>
        <w:t>other</w:t>
      </w:r>
      <w:r w:rsidRPr="002D119A">
        <w:rPr>
          <w:rFonts w:cs="Arial"/>
          <w:bCs w:val="0"/>
          <w:spacing w:val="64"/>
          <w:w w:val="99"/>
          <w:szCs w:val="24"/>
          <w:lang w:eastAsia="en-GB"/>
        </w:rPr>
        <w:t xml:space="preserve"> </w:t>
      </w:r>
      <w:r w:rsidRPr="002D119A">
        <w:rPr>
          <w:rFonts w:cs="Arial"/>
          <w:bCs w:val="0"/>
          <w:spacing w:val="-1"/>
          <w:szCs w:val="24"/>
          <w:lang w:eastAsia="en-GB"/>
        </w:rPr>
        <w:t>areas</w:t>
      </w:r>
      <w:r w:rsidRPr="002D119A">
        <w:rPr>
          <w:rFonts w:cs="Arial"/>
          <w:bCs w:val="0"/>
          <w:spacing w:val="-6"/>
          <w:szCs w:val="24"/>
          <w:lang w:eastAsia="en-GB"/>
        </w:rPr>
        <w:t xml:space="preserve"> </w:t>
      </w:r>
      <w:r w:rsidRPr="002D119A">
        <w:rPr>
          <w:rFonts w:cs="Arial"/>
          <w:bCs w:val="0"/>
          <w:spacing w:val="-1"/>
          <w:szCs w:val="24"/>
          <w:lang w:eastAsia="en-GB"/>
        </w:rPr>
        <w:t>but</w:t>
      </w:r>
      <w:r w:rsidRPr="002D119A">
        <w:rPr>
          <w:rFonts w:cs="Arial"/>
          <w:bCs w:val="0"/>
          <w:spacing w:val="-5"/>
          <w:szCs w:val="24"/>
          <w:lang w:eastAsia="en-GB"/>
        </w:rPr>
        <w:t xml:space="preserve"> </w:t>
      </w:r>
      <w:r w:rsidRPr="002D119A">
        <w:rPr>
          <w:rFonts w:cs="Arial"/>
          <w:bCs w:val="0"/>
          <w:spacing w:val="-1"/>
          <w:szCs w:val="24"/>
          <w:lang w:eastAsia="en-GB"/>
        </w:rPr>
        <w:t>these</w:t>
      </w:r>
      <w:r w:rsidRPr="002D119A">
        <w:rPr>
          <w:rFonts w:cs="Arial"/>
          <w:bCs w:val="0"/>
          <w:spacing w:val="-4"/>
          <w:szCs w:val="24"/>
          <w:lang w:eastAsia="en-GB"/>
        </w:rPr>
        <w:t xml:space="preserve"> </w:t>
      </w:r>
      <w:r w:rsidRPr="002D119A">
        <w:rPr>
          <w:rFonts w:cs="Arial"/>
          <w:bCs w:val="0"/>
          <w:spacing w:val="-1"/>
          <w:szCs w:val="24"/>
          <w:lang w:eastAsia="en-GB"/>
        </w:rPr>
        <w:t>are</w:t>
      </w:r>
      <w:r w:rsidRPr="002D119A">
        <w:rPr>
          <w:rFonts w:cs="Arial"/>
          <w:bCs w:val="0"/>
          <w:spacing w:val="-4"/>
          <w:szCs w:val="24"/>
          <w:lang w:eastAsia="en-GB"/>
        </w:rPr>
        <w:t xml:space="preserve"> </w:t>
      </w:r>
      <w:r w:rsidRPr="002D119A">
        <w:rPr>
          <w:rFonts w:cs="Arial"/>
          <w:bCs w:val="0"/>
          <w:spacing w:val="-1"/>
          <w:szCs w:val="24"/>
          <w:lang w:eastAsia="en-GB"/>
        </w:rPr>
        <w:t>not</w:t>
      </w:r>
      <w:r w:rsidRPr="002D119A">
        <w:rPr>
          <w:rFonts w:cs="Arial"/>
          <w:bCs w:val="0"/>
          <w:spacing w:val="-4"/>
          <w:szCs w:val="24"/>
          <w:lang w:eastAsia="en-GB"/>
        </w:rPr>
        <w:t xml:space="preserve"> </w:t>
      </w:r>
      <w:r w:rsidRPr="002D119A">
        <w:rPr>
          <w:rFonts w:cs="Arial"/>
          <w:bCs w:val="0"/>
          <w:spacing w:val="-1"/>
          <w:szCs w:val="24"/>
          <w:lang w:eastAsia="en-GB"/>
        </w:rPr>
        <w:t>covered</w:t>
      </w:r>
      <w:r w:rsidRPr="002D119A">
        <w:rPr>
          <w:rFonts w:cs="Arial"/>
          <w:bCs w:val="0"/>
          <w:spacing w:val="-4"/>
          <w:szCs w:val="24"/>
          <w:lang w:eastAsia="en-GB"/>
        </w:rPr>
        <w:t xml:space="preserve"> </w:t>
      </w:r>
      <w:r w:rsidRPr="002D119A">
        <w:rPr>
          <w:rFonts w:cs="Arial"/>
          <w:bCs w:val="0"/>
          <w:spacing w:val="-1"/>
          <w:szCs w:val="24"/>
          <w:lang w:eastAsia="en-GB"/>
        </w:rPr>
        <w:t>in</w:t>
      </w:r>
      <w:r w:rsidRPr="002D119A">
        <w:rPr>
          <w:rFonts w:cs="Arial"/>
          <w:bCs w:val="0"/>
          <w:spacing w:val="-6"/>
          <w:szCs w:val="24"/>
          <w:lang w:eastAsia="en-GB"/>
        </w:rPr>
        <w:t xml:space="preserve"> </w:t>
      </w:r>
      <w:r w:rsidRPr="002D119A">
        <w:rPr>
          <w:rFonts w:cs="Arial"/>
          <w:bCs w:val="0"/>
          <w:szCs w:val="24"/>
          <w:lang w:eastAsia="en-GB"/>
        </w:rPr>
        <w:t>this</w:t>
      </w:r>
      <w:r w:rsidRPr="002D119A">
        <w:rPr>
          <w:rFonts w:cs="Arial"/>
          <w:bCs w:val="0"/>
          <w:spacing w:val="-5"/>
          <w:szCs w:val="24"/>
          <w:lang w:eastAsia="en-GB"/>
        </w:rPr>
        <w:t xml:space="preserve"> </w:t>
      </w:r>
      <w:r w:rsidRPr="002D119A">
        <w:rPr>
          <w:rFonts w:cs="Arial"/>
          <w:bCs w:val="0"/>
          <w:spacing w:val="-1"/>
          <w:szCs w:val="24"/>
          <w:lang w:eastAsia="en-GB"/>
        </w:rPr>
        <w:t>guidance.)</w:t>
      </w:r>
    </w:p>
    <w:p w14:paraId="2231661F" w14:textId="77777777" w:rsidR="00DB7F92" w:rsidRPr="006B14E9" w:rsidRDefault="00DB7F92" w:rsidP="006B14E9">
      <w:pPr>
        <w:rPr>
          <w:rFonts w:eastAsiaTheme="majorEastAsia"/>
          <w:i/>
          <w:sz w:val="28"/>
        </w:rPr>
      </w:pPr>
      <w:r w:rsidRPr="006B14E9">
        <w:rPr>
          <w:rFonts w:eastAsiaTheme="majorEastAsia"/>
          <w:i/>
          <w:sz w:val="28"/>
        </w:rPr>
        <w:t>Public sector equality duty</w:t>
      </w:r>
    </w:p>
    <w:p w14:paraId="439983FE" w14:textId="77777777" w:rsidR="002D119A" w:rsidRDefault="002D119A" w:rsidP="003331F2">
      <w:pPr>
        <w:pStyle w:val="BodyText"/>
      </w:pPr>
    </w:p>
    <w:p w14:paraId="5C276D68" w14:textId="77777777" w:rsidR="00DB7F92" w:rsidRPr="00DB7F92" w:rsidRDefault="00DB7F92" w:rsidP="00DD5D2D">
      <w:pPr>
        <w:pStyle w:val="Heading3"/>
        <w:jc w:val="both"/>
        <w:rPr>
          <w:lang w:eastAsia="en-GB"/>
        </w:rPr>
      </w:pPr>
      <w:r w:rsidRPr="00DB7F92">
        <w:rPr>
          <w:lang w:eastAsia="en-GB"/>
        </w:rPr>
        <w:t>The</w:t>
      </w:r>
      <w:r w:rsidRPr="00DB7F92">
        <w:rPr>
          <w:spacing w:val="19"/>
          <w:lang w:eastAsia="en-GB"/>
        </w:rPr>
        <w:t xml:space="preserve"> </w:t>
      </w:r>
      <w:r w:rsidRPr="00DB7F92">
        <w:rPr>
          <w:lang w:eastAsia="en-GB"/>
        </w:rPr>
        <w:t>Equality</w:t>
      </w:r>
      <w:r w:rsidRPr="00DB7F92">
        <w:rPr>
          <w:spacing w:val="77"/>
          <w:lang w:eastAsia="en-GB"/>
        </w:rPr>
        <w:t xml:space="preserve"> </w:t>
      </w:r>
      <w:r w:rsidRPr="00DB7F92">
        <w:rPr>
          <w:lang w:eastAsia="en-GB"/>
        </w:rPr>
        <w:t>Act</w:t>
      </w:r>
      <w:r w:rsidRPr="00DB7F92">
        <w:rPr>
          <w:spacing w:val="-5"/>
          <w:lang w:eastAsia="en-GB"/>
        </w:rPr>
        <w:t xml:space="preserve"> </w:t>
      </w:r>
      <w:r w:rsidRPr="00DB7F92">
        <w:rPr>
          <w:lang w:eastAsia="en-GB"/>
        </w:rPr>
        <w:t>2010</w:t>
      </w:r>
      <w:r w:rsidRPr="00DB7F92">
        <w:rPr>
          <w:spacing w:val="-4"/>
          <w:lang w:eastAsia="en-GB"/>
        </w:rPr>
        <w:t xml:space="preserve"> </w:t>
      </w:r>
      <w:r w:rsidRPr="00DB7F92">
        <w:rPr>
          <w:lang w:eastAsia="en-GB"/>
        </w:rPr>
        <w:t>requires commissioners</w:t>
      </w:r>
      <w:r w:rsidRPr="00DB7F92">
        <w:rPr>
          <w:spacing w:val="-5"/>
          <w:lang w:eastAsia="en-GB"/>
        </w:rPr>
        <w:t xml:space="preserve"> </w:t>
      </w:r>
      <w:r w:rsidRPr="00DB7F92">
        <w:rPr>
          <w:lang w:eastAsia="en-GB"/>
        </w:rPr>
        <w:t>to</w:t>
      </w:r>
      <w:r w:rsidRPr="00DB7F92">
        <w:rPr>
          <w:spacing w:val="-4"/>
          <w:lang w:eastAsia="en-GB"/>
        </w:rPr>
        <w:t xml:space="preserve"> </w:t>
      </w:r>
      <w:r w:rsidRPr="00DB7F92">
        <w:rPr>
          <w:lang w:eastAsia="en-GB"/>
        </w:rPr>
        <w:t>have</w:t>
      </w:r>
      <w:r w:rsidRPr="00DB7F92">
        <w:rPr>
          <w:spacing w:val="-5"/>
          <w:lang w:eastAsia="en-GB"/>
        </w:rPr>
        <w:t xml:space="preserve"> </w:t>
      </w:r>
      <w:r w:rsidRPr="00DB7F92">
        <w:rPr>
          <w:lang w:eastAsia="en-GB"/>
        </w:rPr>
        <w:t>"due</w:t>
      </w:r>
      <w:r w:rsidRPr="00DB7F92">
        <w:rPr>
          <w:spacing w:val="-3"/>
          <w:lang w:eastAsia="en-GB"/>
        </w:rPr>
        <w:t xml:space="preserve"> </w:t>
      </w:r>
      <w:r w:rsidRPr="00DB7F92">
        <w:rPr>
          <w:lang w:eastAsia="en-GB"/>
        </w:rPr>
        <w:t>regard"</w:t>
      </w:r>
      <w:r w:rsidRPr="00DB7F92">
        <w:rPr>
          <w:spacing w:val="-5"/>
          <w:lang w:eastAsia="en-GB"/>
        </w:rPr>
        <w:t xml:space="preserve"> </w:t>
      </w:r>
      <w:r w:rsidRPr="00DB7F92">
        <w:rPr>
          <w:lang w:eastAsia="en-GB"/>
        </w:rPr>
        <w:t>to</w:t>
      </w:r>
      <w:r w:rsidRPr="00DB7F92">
        <w:rPr>
          <w:spacing w:val="-5"/>
          <w:lang w:eastAsia="en-GB"/>
        </w:rPr>
        <w:t xml:space="preserve"> </w:t>
      </w:r>
      <w:r w:rsidRPr="00DB7F92">
        <w:rPr>
          <w:lang w:eastAsia="en-GB"/>
        </w:rPr>
        <w:t>the</w:t>
      </w:r>
      <w:r w:rsidRPr="00DB7F92">
        <w:rPr>
          <w:spacing w:val="-6"/>
          <w:lang w:eastAsia="en-GB"/>
        </w:rPr>
        <w:t xml:space="preserve"> </w:t>
      </w:r>
      <w:r w:rsidRPr="00DB7F92">
        <w:rPr>
          <w:lang w:eastAsia="en-GB"/>
        </w:rPr>
        <w:t>need</w:t>
      </w:r>
      <w:r w:rsidRPr="00DB7F92">
        <w:rPr>
          <w:spacing w:val="-3"/>
          <w:lang w:eastAsia="en-GB"/>
        </w:rPr>
        <w:t xml:space="preserve"> </w:t>
      </w:r>
      <w:r w:rsidRPr="00DB7F92">
        <w:rPr>
          <w:lang w:eastAsia="en-GB"/>
        </w:rPr>
        <w:t>to:</w:t>
      </w:r>
    </w:p>
    <w:p w14:paraId="6F9D06D2" w14:textId="77777777" w:rsidR="00DB7F92" w:rsidRPr="00DB7F92" w:rsidRDefault="00DB7F92" w:rsidP="006C3DF5">
      <w:pPr>
        <w:pStyle w:val="Heading4"/>
        <w:numPr>
          <w:ilvl w:val="0"/>
          <w:numId w:val="74"/>
        </w:numPr>
      </w:pPr>
      <w:r w:rsidRPr="00DB7F92">
        <w:t>eliminate</w:t>
      </w:r>
      <w:r w:rsidRPr="00DB7F92">
        <w:rPr>
          <w:spacing w:val="-6"/>
        </w:rPr>
        <w:t xml:space="preserve"> </w:t>
      </w:r>
      <w:r w:rsidRPr="00DB7F92">
        <w:t>discrimination</w:t>
      </w:r>
      <w:r w:rsidRPr="00DB7F92">
        <w:rPr>
          <w:spacing w:val="-4"/>
        </w:rPr>
        <w:t xml:space="preserve"> </w:t>
      </w:r>
      <w:r w:rsidRPr="00DB7F92">
        <w:t>that</w:t>
      </w:r>
      <w:r w:rsidRPr="00DB7F92">
        <w:rPr>
          <w:spacing w:val="-6"/>
        </w:rPr>
        <w:t xml:space="preserve"> </w:t>
      </w:r>
      <w:r w:rsidRPr="00DB7F92">
        <w:t>is</w:t>
      </w:r>
      <w:r w:rsidRPr="00DB7F92">
        <w:rPr>
          <w:spacing w:val="-6"/>
        </w:rPr>
        <w:t xml:space="preserve"> </w:t>
      </w:r>
      <w:r w:rsidRPr="00DB7F92">
        <w:t>unlawful</w:t>
      </w:r>
      <w:r w:rsidRPr="00DB7F92">
        <w:rPr>
          <w:spacing w:val="-5"/>
        </w:rPr>
        <w:t xml:space="preserve"> </w:t>
      </w:r>
      <w:r w:rsidRPr="00DB7F92">
        <w:t>under</w:t>
      </w:r>
      <w:r w:rsidRPr="00DB7F92">
        <w:rPr>
          <w:spacing w:val="-6"/>
        </w:rPr>
        <w:t xml:space="preserve"> </w:t>
      </w:r>
      <w:r w:rsidRPr="00DB7F92">
        <w:t>the</w:t>
      </w:r>
      <w:r w:rsidRPr="00DB7F92">
        <w:rPr>
          <w:spacing w:val="-6"/>
        </w:rPr>
        <w:t xml:space="preserve"> </w:t>
      </w:r>
      <w:r w:rsidRPr="00DB7F92">
        <w:t>Act;</w:t>
      </w:r>
    </w:p>
    <w:p w14:paraId="761B9089" w14:textId="77777777" w:rsidR="00DB7F92" w:rsidRPr="00DB7F92" w:rsidRDefault="00DB7F92" w:rsidP="006C3DF5">
      <w:pPr>
        <w:pStyle w:val="Heading4"/>
        <w:numPr>
          <w:ilvl w:val="0"/>
          <w:numId w:val="74"/>
        </w:numPr>
      </w:pPr>
      <w:r w:rsidRPr="00DB7F92">
        <w:t>advance</w:t>
      </w:r>
      <w:r w:rsidRPr="00DB7F92">
        <w:rPr>
          <w:spacing w:val="36"/>
        </w:rPr>
        <w:t xml:space="preserve"> </w:t>
      </w:r>
      <w:r w:rsidRPr="00DB7F92">
        <w:t>equality</w:t>
      </w:r>
      <w:r w:rsidRPr="00DB7F92">
        <w:rPr>
          <w:spacing w:val="37"/>
        </w:rPr>
        <w:t xml:space="preserve"> </w:t>
      </w:r>
      <w:r w:rsidRPr="00DB7F92">
        <w:t>of</w:t>
      </w:r>
      <w:r w:rsidRPr="00DB7F92">
        <w:rPr>
          <w:spacing w:val="37"/>
        </w:rPr>
        <w:t xml:space="preserve"> </w:t>
      </w:r>
      <w:r w:rsidRPr="00DB7F92">
        <w:t>opportunity</w:t>
      </w:r>
      <w:r w:rsidRPr="00DB7F92">
        <w:rPr>
          <w:spacing w:val="37"/>
        </w:rPr>
        <w:t xml:space="preserve"> </w:t>
      </w:r>
      <w:r w:rsidRPr="00DB7F92">
        <w:t>between</w:t>
      </w:r>
      <w:r w:rsidRPr="00DB7F92">
        <w:rPr>
          <w:spacing w:val="40"/>
        </w:rPr>
        <w:t xml:space="preserve"> </w:t>
      </w:r>
      <w:r w:rsidRPr="00DB7F92">
        <w:t>people</w:t>
      </w:r>
      <w:r w:rsidRPr="00DB7F92">
        <w:rPr>
          <w:spacing w:val="36"/>
        </w:rPr>
        <w:t xml:space="preserve"> </w:t>
      </w:r>
      <w:r w:rsidRPr="00DB7F92">
        <w:t>who</w:t>
      </w:r>
      <w:r w:rsidRPr="00DB7F92">
        <w:rPr>
          <w:spacing w:val="37"/>
        </w:rPr>
        <w:t xml:space="preserve"> </w:t>
      </w:r>
      <w:r w:rsidRPr="00DB7F92">
        <w:t>share</w:t>
      </w:r>
      <w:r w:rsidRPr="00DB7F92">
        <w:rPr>
          <w:spacing w:val="36"/>
        </w:rPr>
        <w:t xml:space="preserve"> </w:t>
      </w:r>
      <w:r w:rsidRPr="00DB7F92">
        <w:t>a</w:t>
      </w:r>
      <w:r w:rsidRPr="00DB7F92">
        <w:rPr>
          <w:spacing w:val="59"/>
          <w:w w:val="99"/>
        </w:rPr>
        <w:t xml:space="preserve"> </w:t>
      </w:r>
      <w:r w:rsidRPr="00DB7F92">
        <w:t>protected</w:t>
      </w:r>
      <w:r w:rsidRPr="00DB7F92">
        <w:rPr>
          <w:spacing w:val="-4"/>
        </w:rPr>
        <w:t xml:space="preserve"> </w:t>
      </w:r>
      <w:r w:rsidRPr="00DB7F92">
        <w:t>characteristic</w:t>
      </w:r>
      <w:r w:rsidRPr="00DB7F92">
        <w:rPr>
          <w:spacing w:val="-4"/>
        </w:rPr>
        <w:t xml:space="preserve"> </w:t>
      </w:r>
      <w:r w:rsidRPr="00DB7F92">
        <w:t>and</w:t>
      </w:r>
      <w:r w:rsidRPr="00DB7F92">
        <w:rPr>
          <w:spacing w:val="-4"/>
        </w:rPr>
        <w:t xml:space="preserve"> </w:t>
      </w:r>
      <w:r w:rsidRPr="00DB7F92">
        <w:t>people</w:t>
      </w:r>
      <w:r w:rsidRPr="00DB7F92">
        <w:rPr>
          <w:spacing w:val="-4"/>
        </w:rPr>
        <w:t xml:space="preserve"> </w:t>
      </w:r>
      <w:r w:rsidRPr="00DB7F92">
        <w:t>who</w:t>
      </w:r>
      <w:r w:rsidRPr="00DB7F92">
        <w:rPr>
          <w:spacing w:val="-4"/>
        </w:rPr>
        <w:t xml:space="preserve"> </w:t>
      </w:r>
      <w:r w:rsidRPr="00DB7F92">
        <w:t>do</w:t>
      </w:r>
      <w:r w:rsidRPr="00DB7F92">
        <w:rPr>
          <w:spacing w:val="-3"/>
        </w:rPr>
        <w:t xml:space="preserve"> </w:t>
      </w:r>
      <w:r w:rsidRPr="00DB7F92">
        <w:t>not</w:t>
      </w:r>
      <w:r w:rsidRPr="00DB7F92">
        <w:rPr>
          <w:spacing w:val="-3"/>
        </w:rPr>
        <w:t xml:space="preserve"> </w:t>
      </w:r>
      <w:r w:rsidRPr="00DB7F92">
        <w:t>share</w:t>
      </w:r>
      <w:r w:rsidRPr="00DB7F92">
        <w:rPr>
          <w:spacing w:val="-4"/>
        </w:rPr>
        <w:t xml:space="preserve"> </w:t>
      </w:r>
      <w:r w:rsidRPr="00DB7F92">
        <w:t>it;</w:t>
      </w:r>
      <w:r w:rsidRPr="00DB7F92">
        <w:rPr>
          <w:spacing w:val="63"/>
        </w:rPr>
        <w:t xml:space="preserve"> </w:t>
      </w:r>
      <w:r w:rsidRPr="00DB7F92">
        <w:t>and</w:t>
      </w:r>
    </w:p>
    <w:p w14:paraId="1A84C77D" w14:textId="77777777" w:rsidR="00DB7F92" w:rsidRDefault="00DB7F92" w:rsidP="002D119A">
      <w:pPr>
        <w:widowControl w:val="0"/>
        <w:spacing w:before="195" w:after="120"/>
        <w:ind w:left="720" w:right="156"/>
        <w:jc w:val="both"/>
        <w:rPr>
          <w:rFonts w:cs="Arial"/>
          <w:bCs w:val="0"/>
          <w:spacing w:val="-1"/>
          <w:szCs w:val="24"/>
          <w:lang w:eastAsia="en-GB"/>
        </w:rPr>
      </w:pPr>
      <w:r w:rsidRPr="002D119A">
        <w:rPr>
          <w:rFonts w:cs="Arial"/>
          <w:bCs w:val="0"/>
          <w:spacing w:val="-1"/>
          <w:szCs w:val="24"/>
          <w:lang w:eastAsia="en-GB"/>
        </w:rPr>
        <w:t>foster good relations between persons who share a protected characteristic and persons who do not share it.</w:t>
      </w:r>
    </w:p>
    <w:p w14:paraId="1FA9480F" w14:textId="77777777" w:rsidR="002D119A" w:rsidRPr="002D119A" w:rsidRDefault="002D119A" w:rsidP="002D119A">
      <w:pPr>
        <w:widowControl w:val="0"/>
        <w:spacing w:before="195" w:after="120"/>
        <w:ind w:left="720" w:right="156"/>
        <w:jc w:val="both"/>
        <w:rPr>
          <w:rFonts w:cs="Arial"/>
          <w:bCs w:val="0"/>
          <w:spacing w:val="-1"/>
          <w:szCs w:val="24"/>
          <w:lang w:eastAsia="en-GB"/>
        </w:rPr>
      </w:pPr>
    </w:p>
    <w:p w14:paraId="6A6C78E5" w14:textId="7F025C26" w:rsidR="00DB7F92" w:rsidRPr="002D119A" w:rsidRDefault="00DB7F92" w:rsidP="002D119A">
      <w:pPr>
        <w:pStyle w:val="Heading3"/>
        <w:rPr>
          <w:rFonts w:eastAsia="Segoe UI Semilight"/>
        </w:rPr>
      </w:pPr>
      <w:r w:rsidRPr="002D119A">
        <w:t>These objectives are often referred to as the "three aims" of the PSED. The aims are amended for the protected characteristic of marriage and civil partnership.  Commissioners do have to have due regard to eliminate unlawful discrimination based on marriage and civil partnership (the first aim).  However, they are not required to have due regard to the need to advance equality of opportunity or foster good relations in relation to marriage and civil partnership (the second and third aims).</w:t>
      </w:r>
    </w:p>
    <w:p w14:paraId="287FCE21" w14:textId="59A296A6" w:rsidR="00DB7F92" w:rsidRPr="00DD5D2D" w:rsidRDefault="00DB7F92" w:rsidP="00DD5D2D">
      <w:pPr>
        <w:pStyle w:val="Heading3"/>
        <w:jc w:val="both"/>
        <w:rPr>
          <w:rFonts w:eastAsia="Segoe UI Semilight"/>
        </w:rPr>
      </w:pPr>
      <w:r w:rsidRPr="00DD5D2D">
        <w:rPr>
          <w:rFonts w:eastAsia="Segoe UI Semilight"/>
        </w:rPr>
        <w:t xml:space="preserve"> Compliance with the three aims of the PSED can require a commissioner to take positive steps to reduce inequalities. In this regard the Act permits treating some people more favourably than others but not if this amounts to unlawful discrimination (what is meant by unlawful discrimination is considered below).  The PSED has been used successfully on many occasions to challenge changes to services.</w:t>
      </w:r>
    </w:p>
    <w:p w14:paraId="6D25DFD7" w14:textId="49E7AF57" w:rsidR="00DB7F92" w:rsidRDefault="00DB7F92" w:rsidP="00DD5D2D">
      <w:pPr>
        <w:pStyle w:val="Heading3"/>
        <w:jc w:val="both"/>
        <w:rPr>
          <w:rFonts w:eastAsia="Segoe UI Semilight"/>
        </w:rPr>
      </w:pPr>
      <w:r w:rsidRPr="00DD5D2D">
        <w:rPr>
          <w:rFonts w:eastAsia="Segoe UI Semilight"/>
        </w:rPr>
        <w:t>This means that a commissioner has a duty to help eliminate any unlawful discrimination practised by the providers of primary care e.g. through requiring premises to be accessible. Failing to use its negotiating power to secure such changes could be seen as a breach by a commissioner of the PSED, as well as a breach of the non-discrimination rules by the service provider.</w:t>
      </w:r>
    </w:p>
    <w:p w14:paraId="583E69DB" w14:textId="77777777" w:rsidR="00DD5D2D" w:rsidRPr="00DD5D2D" w:rsidRDefault="00DD5D2D" w:rsidP="00DD5D2D">
      <w:pPr>
        <w:rPr>
          <w:rFonts w:eastAsia="Segoe UI Semilight"/>
        </w:rPr>
      </w:pPr>
    </w:p>
    <w:p w14:paraId="61093E9A" w14:textId="77777777" w:rsidR="00DB7F92" w:rsidRPr="00DB7F92" w:rsidRDefault="00DB7F92" w:rsidP="00DB7F92">
      <w:pPr>
        <w:ind w:left="1156"/>
        <w:jc w:val="both"/>
        <w:rPr>
          <w:rFonts w:eastAsia="Segoe UI Semilight" w:cs="Arial"/>
          <w:sz w:val="20"/>
          <w:szCs w:val="20"/>
        </w:rPr>
      </w:pPr>
      <w:r w:rsidRPr="00DB7F92">
        <w:rPr>
          <w:rFonts w:eastAsia="Segoe UI Semilight" w:cs="Arial"/>
          <w:noProof/>
          <w:sz w:val="20"/>
          <w:szCs w:val="20"/>
          <w:lang w:eastAsia="en-GB"/>
        </w:rPr>
        <mc:AlternateContent>
          <mc:Choice Requires="wps">
            <w:drawing>
              <wp:inline distT="0" distB="0" distL="0" distR="0" wp14:anchorId="2D54E284" wp14:editId="2C829E1F">
                <wp:extent cx="4860290" cy="2095500"/>
                <wp:effectExtent l="0" t="0" r="0" b="0"/>
                <wp:docPr id="2068" name="Text Box 1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2095500"/>
                        </a:xfrm>
                        <a:prstGeom prst="rect">
                          <a:avLst/>
                        </a:prstGeom>
                        <a:solidFill>
                          <a:srgbClr val="1C6C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099AC" w14:textId="77777777" w:rsidR="00942266" w:rsidRPr="004E0302" w:rsidRDefault="00942266" w:rsidP="00DB7F92">
                            <w:pPr>
                              <w:spacing w:before="213"/>
                              <w:ind w:left="225"/>
                              <w:jc w:val="both"/>
                              <w:rPr>
                                <w:rFonts w:eastAsia="Tw Cen MT Condensed Extra Bold" w:cs="Arial"/>
                                <w:sz w:val="20"/>
                                <w:szCs w:val="24"/>
                              </w:rPr>
                            </w:pPr>
                            <w:r w:rsidRPr="004E0302">
                              <w:rPr>
                                <w:rFonts w:cs="Arial"/>
                                <w:b/>
                                <w:color w:val="FFFFFF"/>
                                <w:sz w:val="20"/>
                              </w:rPr>
                              <w:t>Example:</w:t>
                            </w:r>
                          </w:p>
                          <w:p w14:paraId="12A42478" w14:textId="77777777" w:rsidR="00942266" w:rsidRPr="004E0302" w:rsidRDefault="00942266" w:rsidP="00DB7F92">
                            <w:pPr>
                              <w:spacing w:before="12"/>
                              <w:rPr>
                                <w:rFonts w:eastAsia="Segoe UI Semilight" w:cs="Arial"/>
                                <w:sz w:val="20"/>
                                <w:szCs w:val="24"/>
                              </w:rPr>
                            </w:pPr>
                          </w:p>
                          <w:p w14:paraId="3E17BFEC" w14:textId="57B13492" w:rsidR="00942266" w:rsidRPr="004E0302" w:rsidRDefault="00942266" w:rsidP="00DB7F92">
                            <w:pPr>
                              <w:ind w:left="225" w:right="224"/>
                              <w:jc w:val="both"/>
                              <w:rPr>
                                <w:rFonts w:eastAsia="Segoe UI Semilight" w:cs="Arial"/>
                                <w:sz w:val="20"/>
                                <w:szCs w:val="24"/>
                              </w:rPr>
                            </w:pPr>
                            <w:r w:rsidRPr="004E0302">
                              <w:rPr>
                                <w:rFonts w:cs="Arial"/>
                                <w:color w:val="FFFFFF"/>
                                <w:spacing w:val="-1"/>
                                <w:sz w:val="20"/>
                              </w:rPr>
                              <w:t>After</w:t>
                            </w:r>
                            <w:r w:rsidRPr="004E0302">
                              <w:rPr>
                                <w:rFonts w:cs="Arial"/>
                                <w:color w:val="FFFFFF"/>
                                <w:spacing w:val="16"/>
                                <w:sz w:val="20"/>
                              </w:rPr>
                              <w:t xml:space="preserve"> </w:t>
                            </w:r>
                            <w:r w:rsidRPr="004E0302">
                              <w:rPr>
                                <w:rFonts w:cs="Arial"/>
                                <w:color w:val="FFFFFF"/>
                                <w:sz w:val="20"/>
                              </w:rPr>
                              <w:t>a</w:t>
                            </w:r>
                            <w:r w:rsidRPr="004E0302">
                              <w:rPr>
                                <w:rFonts w:cs="Arial"/>
                                <w:color w:val="FFFFFF"/>
                                <w:spacing w:val="17"/>
                                <w:sz w:val="20"/>
                              </w:rPr>
                              <w:t xml:space="preserve"> </w:t>
                            </w:r>
                            <w:r w:rsidRPr="004E0302">
                              <w:rPr>
                                <w:rFonts w:cs="Arial"/>
                                <w:color w:val="FFFFFF"/>
                                <w:spacing w:val="-1"/>
                                <w:sz w:val="20"/>
                              </w:rPr>
                              <w:t>site</w:t>
                            </w:r>
                            <w:r w:rsidRPr="004E0302">
                              <w:rPr>
                                <w:rFonts w:cs="Arial"/>
                                <w:color w:val="FFFFFF"/>
                                <w:spacing w:val="16"/>
                                <w:sz w:val="20"/>
                              </w:rPr>
                              <w:t xml:space="preserve"> </w:t>
                            </w:r>
                            <w:r w:rsidRPr="004E0302">
                              <w:rPr>
                                <w:rFonts w:cs="Arial"/>
                                <w:color w:val="FFFFFF"/>
                                <w:spacing w:val="-1"/>
                                <w:sz w:val="20"/>
                              </w:rPr>
                              <w:t>visit</w:t>
                            </w:r>
                            <w:r w:rsidRPr="004E0302">
                              <w:rPr>
                                <w:rFonts w:cs="Arial"/>
                                <w:color w:val="FFFFFF"/>
                                <w:spacing w:val="17"/>
                                <w:sz w:val="20"/>
                              </w:rPr>
                              <w:t xml:space="preserve"> </w:t>
                            </w:r>
                            <w:r w:rsidRPr="004E0302">
                              <w:rPr>
                                <w:rFonts w:cs="Arial"/>
                                <w:color w:val="FFFFFF"/>
                                <w:spacing w:val="-1"/>
                                <w:sz w:val="20"/>
                              </w:rPr>
                              <w:t xml:space="preserve">the </w:t>
                            </w:r>
                            <w:r w:rsidRPr="00D05DD7">
                              <w:rPr>
                                <w:rFonts w:cs="Arial"/>
                                <w:color w:val="FFFFFF"/>
                                <w:spacing w:val="-1"/>
                                <w:sz w:val="20"/>
                              </w:rPr>
                              <w:t>commissioner</w:t>
                            </w:r>
                            <w:r w:rsidRPr="004E0302">
                              <w:rPr>
                                <w:rFonts w:cs="Arial"/>
                                <w:color w:val="FFFFFF"/>
                                <w:spacing w:val="18"/>
                                <w:sz w:val="20"/>
                              </w:rPr>
                              <w:t xml:space="preserve"> </w:t>
                            </w:r>
                            <w:r w:rsidRPr="004E0302">
                              <w:rPr>
                                <w:rFonts w:cs="Arial"/>
                                <w:color w:val="FFFFFF"/>
                                <w:spacing w:val="-1"/>
                                <w:sz w:val="20"/>
                              </w:rPr>
                              <w:t>becomes</w:t>
                            </w:r>
                            <w:r w:rsidRPr="004E0302">
                              <w:rPr>
                                <w:rFonts w:cs="Arial"/>
                                <w:color w:val="FFFFFF"/>
                                <w:spacing w:val="18"/>
                                <w:sz w:val="20"/>
                              </w:rPr>
                              <w:t xml:space="preserve"> </w:t>
                            </w:r>
                            <w:r w:rsidRPr="004E0302">
                              <w:rPr>
                                <w:rFonts w:cs="Arial"/>
                                <w:color w:val="FFFFFF"/>
                                <w:sz w:val="20"/>
                              </w:rPr>
                              <w:t>aware</w:t>
                            </w:r>
                            <w:r w:rsidRPr="004E0302">
                              <w:rPr>
                                <w:rFonts w:cs="Arial"/>
                                <w:color w:val="FFFFFF"/>
                                <w:spacing w:val="19"/>
                                <w:sz w:val="20"/>
                              </w:rPr>
                              <w:t xml:space="preserve"> </w:t>
                            </w:r>
                            <w:r w:rsidRPr="004E0302">
                              <w:rPr>
                                <w:rFonts w:cs="Arial"/>
                                <w:color w:val="FFFFFF"/>
                                <w:spacing w:val="-1"/>
                                <w:sz w:val="20"/>
                              </w:rPr>
                              <w:t>that</w:t>
                            </w:r>
                            <w:r w:rsidRPr="004E0302">
                              <w:rPr>
                                <w:rFonts w:cs="Arial"/>
                                <w:color w:val="FFFFFF"/>
                                <w:spacing w:val="17"/>
                                <w:sz w:val="20"/>
                              </w:rPr>
                              <w:t xml:space="preserve"> </w:t>
                            </w:r>
                            <w:r w:rsidRPr="004E0302">
                              <w:rPr>
                                <w:rFonts w:cs="Arial"/>
                                <w:color w:val="FFFFFF"/>
                                <w:spacing w:val="-1"/>
                                <w:sz w:val="20"/>
                              </w:rPr>
                              <w:t>consulting</w:t>
                            </w:r>
                            <w:r w:rsidRPr="004E0302">
                              <w:rPr>
                                <w:rFonts w:cs="Arial"/>
                                <w:color w:val="FFFFFF"/>
                                <w:spacing w:val="16"/>
                                <w:sz w:val="20"/>
                              </w:rPr>
                              <w:t xml:space="preserve"> </w:t>
                            </w:r>
                            <w:r w:rsidRPr="004E0302">
                              <w:rPr>
                                <w:rFonts w:cs="Arial"/>
                                <w:color w:val="FFFFFF"/>
                                <w:spacing w:val="-1"/>
                                <w:sz w:val="20"/>
                              </w:rPr>
                              <w:t>rooms</w:t>
                            </w:r>
                            <w:r w:rsidRPr="004E0302">
                              <w:rPr>
                                <w:rFonts w:cs="Arial"/>
                                <w:color w:val="FFFFFF"/>
                                <w:spacing w:val="53"/>
                                <w:sz w:val="20"/>
                              </w:rPr>
                              <w:t xml:space="preserve"> </w:t>
                            </w:r>
                            <w:r w:rsidRPr="004E0302">
                              <w:rPr>
                                <w:rFonts w:cs="Arial"/>
                                <w:color w:val="FFFFFF"/>
                                <w:spacing w:val="-1"/>
                                <w:sz w:val="20"/>
                              </w:rPr>
                              <w:t>in</w:t>
                            </w:r>
                            <w:r w:rsidRPr="004E0302">
                              <w:rPr>
                                <w:rFonts w:cs="Arial"/>
                                <w:color w:val="FFFFFF"/>
                                <w:spacing w:val="-3"/>
                                <w:sz w:val="20"/>
                              </w:rPr>
                              <w:t xml:space="preserve"> </w:t>
                            </w:r>
                            <w:r w:rsidRPr="004E0302">
                              <w:rPr>
                                <w:rFonts w:cs="Arial"/>
                                <w:color w:val="FFFFFF"/>
                                <w:sz w:val="20"/>
                              </w:rPr>
                              <w:t>a</w:t>
                            </w:r>
                            <w:r w:rsidRPr="004E0302">
                              <w:rPr>
                                <w:rFonts w:cs="Arial"/>
                                <w:color w:val="FFFFFF"/>
                                <w:spacing w:val="-2"/>
                                <w:sz w:val="20"/>
                              </w:rPr>
                              <w:t xml:space="preserve"> </w:t>
                            </w:r>
                            <w:r w:rsidRPr="004E0302">
                              <w:rPr>
                                <w:rFonts w:cs="Arial"/>
                                <w:color w:val="FFFFFF"/>
                                <w:sz w:val="20"/>
                              </w:rPr>
                              <w:t>GP</w:t>
                            </w:r>
                            <w:r w:rsidRPr="004E0302">
                              <w:rPr>
                                <w:rFonts w:cs="Arial"/>
                                <w:color w:val="FFFFFF"/>
                                <w:spacing w:val="-2"/>
                                <w:sz w:val="20"/>
                              </w:rPr>
                              <w:t xml:space="preserve"> </w:t>
                            </w:r>
                            <w:r w:rsidRPr="004E0302">
                              <w:rPr>
                                <w:rFonts w:cs="Arial"/>
                                <w:color w:val="FFFFFF"/>
                                <w:spacing w:val="-1"/>
                                <w:sz w:val="20"/>
                              </w:rPr>
                              <w:t>surgery</w:t>
                            </w:r>
                            <w:r w:rsidRPr="004E0302">
                              <w:rPr>
                                <w:rFonts w:cs="Arial"/>
                                <w:color w:val="FFFFFF"/>
                                <w:spacing w:val="-3"/>
                                <w:sz w:val="20"/>
                              </w:rPr>
                              <w:t xml:space="preserve"> </w:t>
                            </w:r>
                            <w:r w:rsidRPr="004E0302">
                              <w:rPr>
                                <w:rFonts w:cs="Arial"/>
                                <w:color w:val="FFFFFF"/>
                                <w:sz w:val="20"/>
                              </w:rPr>
                              <w:t>are</w:t>
                            </w:r>
                            <w:r w:rsidRPr="004E0302">
                              <w:rPr>
                                <w:rFonts w:cs="Arial"/>
                                <w:color w:val="FFFFFF"/>
                                <w:spacing w:val="-3"/>
                                <w:sz w:val="20"/>
                              </w:rPr>
                              <w:t xml:space="preserve"> </w:t>
                            </w:r>
                            <w:r w:rsidRPr="004E0302">
                              <w:rPr>
                                <w:rFonts w:cs="Arial"/>
                                <w:color w:val="FFFFFF"/>
                                <w:spacing w:val="-1"/>
                                <w:sz w:val="20"/>
                              </w:rPr>
                              <w:t>no</w:t>
                            </w:r>
                            <w:r w:rsidRPr="004E0302">
                              <w:rPr>
                                <w:rFonts w:cs="Arial"/>
                                <w:color w:val="FFFFFF"/>
                                <w:sz w:val="20"/>
                              </w:rPr>
                              <w:t xml:space="preserve"> </w:t>
                            </w:r>
                            <w:r w:rsidRPr="004E0302">
                              <w:rPr>
                                <w:rFonts w:cs="Arial"/>
                                <w:color w:val="FFFFFF"/>
                                <w:spacing w:val="-1"/>
                                <w:sz w:val="20"/>
                              </w:rPr>
                              <w:t>longer</w:t>
                            </w:r>
                            <w:r w:rsidRPr="004E0302">
                              <w:rPr>
                                <w:rFonts w:cs="Arial"/>
                                <w:color w:val="FFFFFF"/>
                                <w:spacing w:val="-3"/>
                                <w:sz w:val="20"/>
                              </w:rPr>
                              <w:t xml:space="preserve"> </w:t>
                            </w:r>
                            <w:r w:rsidRPr="004E0302">
                              <w:rPr>
                                <w:rFonts w:cs="Arial"/>
                                <w:color w:val="FFFFFF"/>
                                <w:spacing w:val="-1"/>
                                <w:sz w:val="20"/>
                              </w:rPr>
                              <w:t>accessible</w:t>
                            </w:r>
                            <w:r w:rsidRPr="004E0302">
                              <w:rPr>
                                <w:rFonts w:cs="Arial"/>
                                <w:color w:val="FFFFFF"/>
                                <w:spacing w:val="-3"/>
                                <w:sz w:val="20"/>
                              </w:rPr>
                              <w:t xml:space="preserve"> </w:t>
                            </w:r>
                            <w:r w:rsidRPr="004E0302">
                              <w:rPr>
                                <w:rFonts w:cs="Arial"/>
                                <w:color w:val="FFFFFF"/>
                                <w:sz w:val="20"/>
                              </w:rPr>
                              <w:t>to</w:t>
                            </w:r>
                            <w:r w:rsidRPr="004E0302">
                              <w:rPr>
                                <w:rFonts w:cs="Arial"/>
                                <w:color w:val="FFFFFF"/>
                                <w:spacing w:val="-3"/>
                                <w:sz w:val="20"/>
                              </w:rPr>
                              <w:t xml:space="preserve"> </w:t>
                            </w:r>
                            <w:r w:rsidRPr="004E0302">
                              <w:rPr>
                                <w:rFonts w:cs="Arial"/>
                                <w:color w:val="FFFFFF"/>
                                <w:sz w:val="20"/>
                              </w:rPr>
                              <w:t>those</w:t>
                            </w:r>
                            <w:r w:rsidRPr="004E0302">
                              <w:rPr>
                                <w:rFonts w:cs="Arial"/>
                                <w:color w:val="FFFFFF"/>
                                <w:spacing w:val="-3"/>
                                <w:sz w:val="20"/>
                              </w:rPr>
                              <w:t xml:space="preserve"> </w:t>
                            </w:r>
                            <w:r w:rsidRPr="004E0302">
                              <w:rPr>
                                <w:rFonts w:cs="Arial"/>
                                <w:color w:val="FFFFFF"/>
                                <w:spacing w:val="-1"/>
                                <w:sz w:val="20"/>
                              </w:rPr>
                              <w:t>with</w:t>
                            </w:r>
                            <w:r w:rsidRPr="004E0302">
                              <w:rPr>
                                <w:rFonts w:cs="Arial"/>
                                <w:color w:val="FFFFFF"/>
                                <w:spacing w:val="-3"/>
                                <w:sz w:val="20"/>
                              </w:rPr>
                              <w:t xml:space="preserve"> </w:t>
                            </w:r>
                            <w:r w:rsidRPr="004E0302">
                              <w:rPr>
                                <w:rFonts w:cs="Arial"/>
                                <w:color w:val="FFFFFF"/>
                                <w:spacing w:val="-1"/>
                                <w:sz w:val="20"/>
                              </w:rPr>
                              <w:t>limited mobility</w:t>
                            </w:r>
                            <w:r w:rsidRPr="004E0302">
                              <w:rPr>
                                <w:rFonts w:cs="Arial"/>
                                <w:color w:val="FFFFFF"/>
                                <w:spacing w:val="67"/>
                                <w:sz w:val="20"/>
                              </w:rPr>
                              <w:t xml:space="preserve"> </w:t>
                            </w:r>
                            <w:r w:rsidRPr="004E0302">
                              <w:rPr>
                                <w:rFonts w:cs="Arial"/>
                                <w:color w:val="FFFFFF"/>
                                <w:spacing w:val="-1"/>
                                <w:sz w:val="20"/>
                              </w:rPr>
                              <w:t>as</w:t>
                            </w:r>
                            <w:r w:rsidRPr="004E0302">
                              <w:rPr>
                                <w:rFonts w:cs="Arial"/>
                                <w:color w:val="FFFFFF"/>
                                <w:spacing w:val="46"/>
                                <w:sz w:val="20"/>
                              </w:rPr>
                              <w:t xml:space="preserve"> </w:t>
                            </w:r>
                            <w:r w:rsidRPr="004E0302">
                              <w:rPr>
                                <w:rFonts w:cs="Arial"/>
                                <w:color w:val="FFFFFF"/>
                                <w:spacing w:val="-1"/>
                                <w:sz w:val="20"/>
                              </w:rPr>
                              <w:t>they</w:t>
                            </w:r>
                            <w:r w:rsidRPr="004E0302">
                              <w:rPr>
                                <w:rFonts w:cs="Arial"/>
                                <w:color w:val="FFFFFF"/>
                                <w:spacing w:val="46"/>
                                <w:sz w:val="20"/>
                              </w:rPr>
                              <w:t xml:space="preserve"> </w:t>
                            </w:r>
                            <w:r w:rsidRPr="004E0302">
                              <w:rPr>
                                <w:rFonts w:cs="Arial"/>
                                <w:color w:val="FFFFFF"/>
                                <w:spacing w:val="-1"/>
                                <w:sz w:val="20"/>
                              </w:rPr>
                              <w:t>have</w:t>
                            </w:r>
                            <w:r w:rsidRPr="004E0302">
                              <w:rPr>
                                <w:rFonts w:cs="Arial"/>
                                <w:color w:val="FFFFFF"/>
                                <w:spacing w:val="44"/>
                                <w:sz w:val="20"/>
                              </w:rPr>
                              <w:t xml:space="preserve"> </w:t>
                            </w:r>
                            <w:r w:rsidRPr="004E0302">
                              <w:rPr>
                                <w:rFonts w:cs="Arial"/>
                                <w:color w:val="FFFFFF"/>
                                <w:spacing w:val="-1"/>
                                <w:sz w:val="20"/>
                              </w:rPr>
                              <w:t>been</w:t>
                            </w:r>
                            <w:r w:rsidRPr="004E0302">
                              <w:rPr>
                                <w:rFonts w:cs="Arial"/>
                                <w:color w:val="FFFFFF"/>
                                <w:spacing w:val="48"/>
                                <w:sz w:val="20"/>
                              </w:rPr>
                              <w:t xml:space="preserve"> </w:t>
                            </w:r>
                            <w:r w:rsidRPr="004E0302">
                              <w:rPr>
                                <w:rFonts w:cs="Arial"/>
                                <w:color w:val="FFFFFF"/>
                                <w:sz w:val="20"/>
                              </w:rPr>
                              <w:t>moved</w:t>
                            </w:r>
                            <w:r w:rsidRPr="004E0302">
                              <w:rPr>
                                <w:rFonts w:cs="Arial"/>
                                <w:color w:val="FFFFFF"/>
                                <w:spacing w:val="45"/>
                                <w:sz w:val="20"/>
                              </w:rPr>
                              <w:t xml:space="preserve"> </w:t>
                            </w:r>
                            <w:r w:rsidRPr="004E0302">
                              <w:rPr>
                                <w:rFonts w:cs="Arial"/>
                                <w:color w:val="FFFFFF"/>
                                <w:spacing w:val="-1"/>
                                <w:sz w:val="20"/>
                              </w:rPr>
                              <w:t>upstairs.</w:t>
                            </w:r>
                            <w:r w:rsidRPr="004E0302">
                              <w:rPr>
                                <w:rFonts w:cs="Arial"/>
                                <w:color w:val="FFFFFF"/>
                                <w:spacing w:val="25"/>
                                <w:sz w:val="20"/>
                              </w:rPr>
                              <w:t xml:space="preserve"> </w:t>
                            </w:r>
                            <w:r>
                              <w:rPr>
                                <w:rFonts w:cs="Arial"/>
                                <w:color w:val="FFFFFF"/>
                                <w:spacing w:val="-1"/>
                                <w:sz w:val="20"/>
                              </w:rPr>
                              <w:t>The commissioner</w:t>
                            </w:r>
                            <w:r w:rsidRPr="004E0302">
                              <w:rPr>
                                <w:rFonts w:cs="Arial"/>
                                <w:color w:val="FFFFFF"/>
                                <w:spacing w:val="47"/>
                                <w:sz w:val="20"/>
                              </w:rPr>
                              <w:t xml:space="preserve"> </w:t>
                            </w:r>
                            <w:r w:rsidRPr="004E0302">
                              <w:rPr>
                                <w:rFonts w:cs="Arial"/>
                                <w:color w:val="FFFFFF"/>
                                <w:spacing w:val="-1"/>
                                <w:sz w:val="20"/>
                              </w:rPr>
                              <w:t>decides</w:t>
                            </w:r>
                            <w:r w:rsidRPr="004E0302">
                              <w:rPr>
                                <w:rFonts w:cs="Arial"/>
                                <w:color w:val="FFFFFF"/>
                                <w:spacing w:val="46"/>
                                <w:sz w:val="20"/>
                              </w:rPr>
                              <w:t xml:space="preserve"> </w:t>
                            </w:r>
                            <w:r w:rsidRPr="004E0302">
                              <w:rPr>
                                <w:rFonts w:cs="Arial"/>
                                <w:color w:val="FFFFFF"/>
                                <w:spacing w:val="-1"/>
                                <w:sz w:val="20"/>
                              </w:rPr>
                              <w:t>that</w:t>
                            </w:r>
                            <w:r w:rsidRPr="004E0302">
                              <w:rPr>
                                <w:rFonts w:cs="Arial"/>
                                <w:color w:val="FFFFFF"/>
                                <w:spacing w:val="46"/>
                                <w:sz w:val="20"/>
                              </w:rPr>
                              <w:t xml:space="preserve"> </w:t>
                            </w:r>
                            <w:r w:rsidRPr="004E0302">
                              <w:rPr>
                                <w:rFonts w:cs="Arial"/>
                                <w:color w:val="FFFFFF"/>
                                <w:spacing w:val="-1"/>
                                <w:sz w:val="20"/>
                              </w:rPr>
                              <w:t>as</w:t>
                            </w:r>
                            <w:r w:rsidRPr="004E0302">
                              <w:rPr>
                                <w:rFonts w:cs="Arial"/>
                                <w:color w:val="FFFFFF"/>
                                <w:spacing w:val="53"/>
                                <w:sz w:val="20"/>
                              </w:rPr>
                              <w:t xml:space="preserve"> </w:t>
                            </w:r>
                            <w:r w:rsidRPr="004E0302">
                              <w:rPr>
                                <w:rFonts w:cs="Arial"/>
                                <w:color w:val="FFFFFF"/>
                                <w:spacing w:val="-1"/>
                                <w:sz w:val="20"/>
                              </w:rPr>
                              <w:t>there</w:t>
                            </w:r>
                            <w:r w:rsidRPr="004E0302">
                              <w:rPr>
                                <w:rFonts w:cs="Arial"/>
                                <w:color w:val="FFFFFF"/>
                                <w:spacing w:val="60"/>
                                <w:sz w:val="20"/>
                              </w:rPr>
                              <w:t xml:space="preserve"> </w:t>
                            </w:r>
                            <w:r w:rsidRPr="004E0302">
                              <w:rPr>
                                <w:rFonts w:cs="Arial"/>
                                <w:color w:val="FFFFFF"/>
                                <w:spacing w:val="-1"/>
                                <w:sz w:val="20"/>
                              </w:rPr>
                              <w:t>are</w:t>
                            </w:r>
                            <w:r w:rsidRPr="004E0302">
                              <w:rPr>
                                <w:rFonts w:cs="Arial"/>
                                <w:color w:val="FFFFFF"/>
                                <w:spacing w:val="60"/>
                                <w:sz w:val="20"/>
                              </w:rPr>
                              <w:t xml:space="preserve"> </w:t>
                            </w:r>
                            <w:r w:rsidRPr="004E0302">
                              <w:rPr>
                                <w:rFonts w:cs="Arial"/>
                                <w:color w:val="FFFFFF"/>
                                <w:spacing w:val="-1"/>
                                <w:sz w:val="20"/>
                              </w:rPr>
                              <w:t>no</w:t>
                            </w:r>
                            <w:r w:rsidRPr="004E0302">
                              <w:rPr>
                                <w:rFonts w:cs="Arial"/>
                                <w:color w:val="FFFFFF"/>
                                <w:spacing w:val="62"/>
                                <w:sz w:val="20"/>
                              </w:rPr>
                              <w:t xml:space="preserve"> </w:t>
                            </w:r>
                            <w:r w:rsidRPr="004E0302">
                              <w:rPr>
                                <w:rFonts w:cs="Arial"/>
                                <w:color w:val="FFFFFF"/>
                                <w:spacing w:val="-1"/>
                                <w:sz w:val="20"/>
                              </w:rPr>
                              <w:t>downstairs</w:t>
                            </w:r>
                            <w:r w:rsidRPr="004E0302">
                              <w:rPr>
                                <w:rFonts w:cs="Arial"/>
                                <w:color w:val="FFFFFF"/>
                                <w:spacing w:val="62"/>
                                <w:sz w:val="20"/>
                              </w:rPr>
                              <w:t xml:space="preserve"> </w:t>
                            </w:r>
                            <w:r w:rsidRPr="004E0302">
                              <w:rPr>
                                <w:rFonts w:cs="Arial"/>
                                <w:color w:val="FFFFFF"/>
                                <w:spacing w:val="-1"/>
                                <w:sz w:val="20"/>
                              </w:rPr>
                              <w:t>consulting</w:t>
                            </w:r>
                            <w:r w:rsidRPr="004E0302">
                              <w:rPr>
                                <w:rFonts w:cs="Arial"/>
                                <w:color w:val="FFFFFF"/>
                                <w:spacing w:val="60"/>
                                <w:sz w:val="20"/>
                              </w:rPr>
                              <w:t xml:space="preserve"> </w:t>
                            </w:r>
                            <w:r w:rsidRPr="004E0302">
                              <w:rPr>
                                <w:rFonts w:cs="Arial"/>
                                <w:color w:val="FFFFFF"/>
                                <w:spacing w:val="-1"/>
                                <w:sz w:val="20"/>
                              </w:rPr>
                              <w:t>rooms</w:t>
                            </w:r>
                            <w:r w:rsidRPr="004E0302">
                              <w:rPr>
                                <w:rFonts w:cs="Arial"/>
                                <w:color w:val="FFFFFF"/>
                                <w:spacing w:val="61"/>
                                <w:sz w:val="20"/>
                              </w:rPr>
                              <w:t xml:space="preserve"> </w:t>
                            </w:r>
                            <w:r w:rsidRPr="004E0302">
                              <w:rPr>
                                <w:rFonts w:cs="Arial"/>
                                <w:color w:val="FFFFFF"/>
                                <w:sz w:val="20"/>
                              </w:rPr>
                              <w:t>and</w:t>
                            </w:r>
                            <w:r w:rsidRPr="004E0302">
                              <w:rPr>
                                <w:rFonts w:cs="Arial"/>
                                <w:color w:val="FFFFFF"/>
                                <w:spacing w:val="61"/>
                                <w:sz w:val="20"/>
                              </w:rPr>
                              <w:t xml:space="preserve"> </w:t>
                            </w:r>
                            <w:r w:rsidRPr="004E0302">
                              <w:rPr>
                                <w:rFonts w:cs="Arial"/>
                                <w:color w:val="FFFFFF"/>
                                <w:spacing w:val="-1"/>
                                <w:sz w:val="20"/>
                              </w:rPr>
                              <w:t>there</w:t>
                            </w:r>
                            <w:r w:rsidRPr="004E0302">
                              <w:rPr>
                                <w:rFonts w:cs="Arial"/>
                                <w:color w:val="FFFFFF"/>
                                <w:spacing w:val="62"/>
                                <w:sz w:val="20"/>
                              </w:rPr>
                              <w:t xml:space="preserve"> </w:t>
                            </w:r>
                            <w:r w:rsidRPr="004E0302">
                              <w:rPr>
                                <w:rFonts w:cs="Arial"/>
                                <w:color w:val="FFFFFF"/>
                                <w:spacing w:val="-1"/>
                                <w:sz w:val="20"/>
                              </w:rPr>
                              <w:t>is</w:t>
                            </w:r>
                            <w:r w:rsidRPr="004E0302">
                              <w:rPr>
                                <w:rFonts w:cs="Arial"/>
                                <w:color w:val="FFFFFF"/>
                                <w:spacing w:val="61"/>
                                <w:sz w:val="20"/>
                              </w:rPr>
                              <w:t xml:space="preserve"> </w:t>
                            </w:r>
                            <w:r w:rsidRPr="004E0302">
                              <w:rPr>
                                <w:rFonts w:cs="Arial"/>
                                <w:color w:val="FFFFFF"/>
                                <w:spacing w:val="-1"/>
                                <w:sz w:val="20"/>
                              </w:rPr>
                              <w:t>no</w:t>
                            </w:r>
                            <w:r w:rsidRPr="004E0302">
                              <w:rPr>
                                <w:rFonts w:cs="Arial"/>
                                <w:color w:val="FFFFFF"/>
                                <w:spacing w:val="60"/>
                                <w:sz w:val="20"/>
                              </w:rPr>
                              <w:t xml:space="preserve"> </w:t>
                            </w:r>
                            <w:r w:rsidRPr="004E0302">
                              <w:rPr>
                                <w:rFonts w:cs="Arial"/>
                                <w:color w:val="FFFFFF"/>
                                <w:spacing w:val="-1"/>
                                <w:sz w:val="20"/>
                              </w:rPr>
                              <w:t>lift</w:t>
                            </w:r>
                            <w:r w:rsidRPr="004E0302">
                              <w:rPr>
                                <w:rFonts w:cs="Arial"/>
                                <w:color w:val="FFFFFF"/>
                                <w:spacing w:val="62"/>
                                <w:sz w:val="20"/>
                              </w:rPr>
                              <w:t xml:space="preserve"> </w:t>
                            </w:r>
                            <w:r w:rsidRPr="004E0302">
                              <w:rPr>
                                <w:rFonts w:cs="Arial"/>
                                <w:color w:val="FFFFFF"/>
                                <w:spacing w:val="-1"/>
                                <w:sz w:val="20"/>
                              </w:rPr>
                              <w:t>or</w:t>
                            </w:r>
                            <w:r w:rsidRPr="004E0302">
                              <w:rPr>
                                <w:rFonts w:cs="Arial"/>
                                <w:color w:val="FFFFFF"/>
                                <w:spacing w:val="61"/>
                                <w:w w:val="99"/>
                                <w:sz w:val="20"/>
                              </w:rPr>
                              <w:t xml:space="preserve"> </w:t>
                            </w:r>
                            <w:r w:rsidRPr="004E0302">
                              <w:rPr>
                                <w:rFonts w:cs="Arial"/>
                                <w:color w:val="FFFFFF"/>
                                <w:spacing w:val="-1"/>
                                <w:sz w:val="20"/>
                              </w:rPr>
                              <w:t>stair</w:t>
                            </w:r>
                            <w:r>
                              <w:rPr>
                                <w:rFonts w:cs="Arial"/>
                                <w:color w:val="FFFFFF"/>
                                <w:spacing w:val="-1"/>
                                <w:sz w:val="20"/>
                              </w:rPr>
                              <w:t xml:space="preserve"> </w:t>
                            </w:r>
                            <w:r w:rsidRPr="004E0302">
                              <w:rPr>
                                <w:rFonts w:cs="Arial"/>
                                <w:color w:val="FFFFFF"/>
                                <w:spacing w:val="-1"/>
                                <w:sz w:val="20"/>
                              </w:rPr>
                              <w:t>lift,</w:t>
                            </w:r>
                            <w:r w:rsidRPr="004E0302">
                              <w:rPr>
                                <w:rFonts w:cs="Arial"/>
                                <w:color w:val="FFFFFF"/>
                                <w:spacing w:val="45"/>
                                <w:sz w:val="20"/>
                              </w:rPr>
                              <w:t xml:space="preserve"> </w:t>
                            </w:r>
                            <w:r w:rsidRPr="004E0302">
                              <w:rPr>
                                <w:rFonts w:cs="Arial"/>
                                <w:color w:val="FFFFFF"/>
                                <w:spacing w:val="-1"/>
                                <w:sz w:val="20"/>
                              </w:rPr>
                              <w:t>this</w:t>
                            </w:r>
                            <w:r w:rsidRPr="004E0302">
                              <w:rPr>
                                <w:rFonts w:cs="Arial"/>
                                <w:color w:val="FFFFFF"/>
                                <w:spacing w:val="46"/>
                                <w:sz w:val="20"/>
                              </w:rPr>
                              <w:t xml:space="preserve"> </w:t>
                            </w:r>
                            <w:r w:rsidRPr="004E0302">
                              <w:rPr>
                                <w:rFonts w:cs="Arial"/>
                                <w:color w:val="FFFFFF"/>
                                <w:spacing w:val="-1"/>
                                <w:sz w:val="20"/>
                              </w:rPr>
                              <w:t>is</w:t>
                            </w:r>
                            <w:r w:rsidRPr="004E0302">
                              <w:rPr>
                                <w:rFonts w:cs="Arial"/>
                                <w:color w:val="FFFFFF"/>
                                <w:spacing w:val="47"/>
                                <w:sz w:val="20"/>
                              </w:rPr>
                              <w:t xml:space="preserve"> </w:t>
                            </w:r>
                            <w:r w:rsidRPr="004E0302">
                              <w:rPr>
                                <w:rFonts w:cs="Arial"/>
                                <w:color w:val="FFFFFF"/>
                                <w:sz w:val="20"/>
                              </w:rPr>
                              <w:t>a</w:t>
                            </w:r>
                            <w:r w:rsidRPr="004E0302">
                              <w:rPr>
                                <w:rFonts w:cs="Arial"/>
                                <w:color w:val="FFFFFF"/>
                                <w:spacing w:val="47"/>
                                <w:sz w:val="20"/>
                              </w:rPr>
                              <w:t xml:space="preserve"> </w:t>
                            </w:r>
                            <w:r w:rsidRPr="004E0302">
                              <w:rPr>
                                <w:rFonts w:cs="Arial"/>
                                <w:color w:val="FFFFFF"/>
                                <w:spacing w:val="-1"/>
                                <w:sz w:val="20"/>
                              </w:rPr>
                              <w:t>breach</w:t>
                            </w:r>
                            <w:r w:rsidRPr="004E0302">
                              <w:rPr>
                                <w:rFonts w:cs="Arial"/>
                                <w:color w:val="FFFFFF"/>
                                <w:spacing w:val="46"/>
                                <w:sz w:val="20"/>
                              </w:rPr>
                              <w:t xml:space="preserve"> </w:t>
                            </w:r>
                            <w:r w:rsidRPr="004E0302">
                              <w:rPr>
                                <w:rFonts w:cs="Arial"/>
                                <w:color w:val="FFFFFF"/>
                                <w:spacing w:val="-1"/>
                                <w:sz w:val="20"/>
                              </w:rPr>
                              <w:t>of</w:t>
                            </w:r>
                            <w:r w:rsidRPr="004E0302">
                              <w:rPr>
                                <w:rFonts w:cs="Arial"/>
                                <w:color w:val="FFFFFF"/>
                                <w:spacing w:val="44"/>
                                <w:sz w:val="20"/>
                              </w:rPr>
                              <w:t xml:space="preserve"> </w:t>
                            </w:r>
                            <w:r w:rsidRPr="004E0302">
                              <w:rPr>
                                <w:rFonts w:cs="Arial"/>
                                <w:color w:val="FFFFFF"/>
                                <w:spacing w:val="-1"/>
                                <w:sz w:val="20"/>
                              </w:rPr>
                              <w:t>the</w:t>
                            </w:r>
                            <w:r w:rsidRPr="004E0302">
                              <w:rPr>
                                <w:rFonts w:cs="Arial"/>
                                <w:color w:val="FFFFFF"/>
                                <w:spacing w:val="48"/>
                                <w:sz w:val="20"/>
                              </w:rPr>
                              <w:t xml:space="preserve"> </w:t>
                            </w:r>
                            <w:r w:rsidRPr="004E0302">
                              <w:rPr>
                                <w:rFonts w:cs="Arial"/>
                                <w:color w:val="FFFFFF"/>
                                <w:spacing w:val="-1"/>
                                <w:sz w:val="20"/>
                              </w:rPr>
                              <w:t>practice's</w:t>
                            </w:r>
                            <w:r w:rsidRPr="004E0302">
                              <w:rPr>
                                <w:rFonts w:cs="Arial"/>
                                <w:color w:val="FFFFFF"/>
                                <w:spacing w:val="46"/>
                                <w:sz w:val="20"/>
                              </w:rPr>
                              <w:t xml:space="preserve"> </w:t>
                            </w:r>
                            <w:r w:rsidRPr="004E0302">
                              <w:rPr>
                                <w:rFonts w:cs="Arial"/>
                                <w:color w:val="FFFFFF"/>
                                <w:sz w:val="20"/>
                              </w:rPr>
                              <w:t>duty</w:t>
                            </w:r>
                            <w:r w:rsidRPr="004E0302">
                              <w:rPr>
                                <w:rFonts w:cs="Arial"/>
                                <w:color w:val="FFFFFF"/>
                                <w:spacing w:val="47"/>
                                <w:sz w:val="20"/>
                              </w:rPr>
                              <w:t xml:space="preserve"> </w:t>
                            </w:r>
                            <w:r w:rsidRPr="004E0302">
                              <w:rPr>
                                <w:rFonts w:cs="Arial"/>
                                <w:color w:val="FFFFFF"/>
                                <w:sz w:val="20"/>
                              </w:rPr>
                              <w:t>to</w:t>
                            </w:r>
                            <w:r w:rsidRPr="004E0302">
                              <w:rPr>
                                <w:rFonts w:cs="Arial"/>
                                <w:color w:val="FFFFFF"/>
                                <w:spacing w:val="44"/>
                                <w:sz w:val="20"/>
                              </w:rPr>
                              <w:t xml:space="preserve"> </w:t>
                            </w:r>
                            <w:r w:rsidRPr="004E0302">
                              <w:rPr>
                                <w:rFonts w:cs="Arial"/>
                                <w:color w:val="FFFFFF"/>
                                <w:spacing w:val="-1"/>
                                <w:sz w:val="20"/>
                              </w:rPr>
                              <w:t>make</w:t>
                            </w:r>
                            <w:r w:rsidRPr="004E0302">
                              <w:rPr>
                                <w:rFonts w:cs="Arial"/>
                                <w:color w:val="FFFFFF"/>
                                <w:spacing w:val="45"/>
                                <w:sz w:val="20"/>
                              </w:rPr>
                              <w:t xml:space="preserve"> </w:t>
                            </w:r>
                            <w:r w:rsidRPr="004E0302">
                              <w:rPr>
                                <w:rFonts w:cs="Arial"/>
                                <w:color w:val="FFFFFF"/>
                                <w:spacing w:val="-1"/>
                                <w:sz w:val="20"/>
                              </w:rPr>
                              <w:t>reasonable</w:t>
                            </w:r>
                            <w:r w:rsidRPr="004E0302">
                              <w:rPr>
                                <w:rFonts w:cs="Arial"/>
                                <w:color w:val="FFFFFF"/>
                                <w:spacing w:val="59"/>
                                <w:w w:val="99"/>
                                <w:sz w:val="20"/>
                              </w:rPr>
                              <w:t xml:space="preserve"> </w:t>
                            </w:r>
                            <w:r w:rsidRPr="004E0302">
                              <w:rPr>
                                <w:rFonts w:cs="Arial"/>
                                <w:color w:val="FFFFFF"/>
                                <w:spacing w:val="-1"/>
                                <w:sz w:val="20"/>
                              </w:rPr>
                              <w:t>adjustments</w:t>
                            </w:r>
                            <w:r w:rsidRPr="004E0302">
                              <w:rPr>
                                <w:rFonts w:cs="Arial"/>
                                <w:color w:val="FFFFFF"/>
                                <w:spacing w:val="29"/>
                                <w:sz w:val="20"/>
                              </w:rPr>
                              <w:t xml:space="preserve"> </w:t>
                            </w:r>
                            <w:r w:rsidRPr="004E0302">
                              <w:rPr>
                                <w:rFonts w:cs="Arial"/>
                                <w:color w:val="FFFFFF"/>
                                <w:spacing w:val="-1"/>
                                <w:sz w:val="20"/>
                              </w:rPr>
                              <w:t>under</w:t>
                            </w:r>
                            <w:r w:rsidRPr="004E0302">
                              <w:rPr>
                                <w:rFonts w:cs="Arial"/>
                                <w:color w:val="FFFFFF"/>
                                <w:spacing w:val="32"/>
                                <w:sz w:val="20"/>
                              </w:rPr>
                              <w:t xml:space="preserve"> </w:t>
                            </w:r>
                            <w:r w:rsidRPr="004E0302">
                              <w:rPr>
                                <w:rFonts w:cs="Arial"/>
                                <w:color w:val="FFFFFF"/>
                                <w:spacing w:val="-1"/>
                                <w:sz w:val="20"/>
                              </w:rPr>
                              <w:t>the</w:t>
                            </w:r>
                            <w:r w:rsidRPr="004E0302">
                              <w:rPr>
                                <w:rFonts w:cs="Arial"/>
                                <w:color w:val="FFFFFF"/>
                                <w:spacing w:val="31"/>
                                <w:sz w:val="20"/>
                              </w:rPr>
                              <w:t xml:space="preserve"> </w:t>
                            </w:r>
                            <w:r w:rsidRPr="004E0302">
                              <w:rPr>
                                <w:rFonts w:cs="Arial"/>
                                <w:color w:val="FFFFFF"/>
                                <w:spacing w:val="-1"/>
                                <w:sz w:val="20"/>
                              </w:rPr>
                              <w:t>Equality</w:t>
                            </w:r>
                            <w:r w:rsidRPr="004E0302">
                              <w:rPr>
                                <w:rFonts w:cs="Arial"/>
                                <w:color w:val="FFFFFF"/>
                                <w:spacing w:val="30"/>
                                <w:sz w:val="20"/>
                              </w:rPr>
                              <w:t xml:space="preserve"> </w:t>
                            </w:r>
                            <w:r w:rsidRPr="004E0302">
                              <w:rPr>
                                <w:rFonts w:cs="Arial"/>
                                <w:color w:val="FFFFFF"/>
                                <w:spacing w:val="-1"/>
                                <w:sz w:val="20"/>
                              </w:rPr>
                              <w:t>Act.</w:t>
                            </w:r>
                            <w:r w:rsidRPr="004E0302">
                              <w:rPr>
                                <w:rFonts w:cs="Arial"/>
                                <w:color w:val="FFFFFF"/>
                                <w:spacing w:val="59"/>
                                <w:sz w:val="20"/>
                              </w:rPr>
                              <w:t xml:space="preserve"> </w:t>
                            </w:r>
                            <w:r w:rsidRPr="004E0302">
                              <w:rPr>
                                <w:rFonts w:cs="Arial"/>
                                <w:color w:val="FFFFFF"/>
                                <w:spacing w:val="-1"/>
                                <w:sz w:val="20"/>
                              </w:rPr>
                              <w:t>This</w:t>
                            </w:r>
                            <w:r w:rsidRPr="004E0302">
                              <w:rPr>
                                <w:rFonts w:cs="Arial"/>
                                <w:color w:val="FFFFFF"/>
                                <w:spacing w:val="30"/>
                                <w:sz w:val="20"/>
                              </w:rPr>
                              <w:t xml:space="preserve"> </w:t>
                            </w:r>
                            <w:r w:rsidRPr="004E0302">
                              <w:rPr>
                                <w:rFonts w:cs="Arial"/>
                                <w:color w:val="FFFFFF"/>
                                <w:spacing w:val="-1"/>
                                <w:sz w:val="20"/>
                              </w:rPr>
                              <w:t>in</w:t>
                            </w:r>
                            <w:r w:rsidRPr="004E0302">
                              <w:rPr>
                                <w:rFonts w:cs="Arial"/>
                                <w:color w:val="FFFFFF"/>
                                <w:spacing w:val="32"/>
                                <w:sz w:val="20"/>
                              </w:rPr>
                              <w:t xml:space="preserve"> </w:t>
                            </w:r>
                            <w:r w:rsidRPr="004E0302">
                              <w:rPr>
                                <w:rFonts w:cs="Arial"/>
                                <w:color w:val="FFFFFF"/>
                                <w:spacing w:val="-1"/>
                                <w:sz w:val="20"/>
                              </w:rPr>
                              <w:t>turn</w:t>
                            </w:r>
                            <w:r w:rsidRPr="004E0302">
                              <w:rPr>
                                <w:rFonts w:cs="Arial"/>
                                <w:color w:val="FFFFFF"/>
                                <w:spacing w:val="29"/>
                                <w:sz w:val="20"/>
                              </w:rPr>
                              <w:t xml:space="preserve"> </w:t>
                            </w:r>
                            <w:r w:rsidRPr="004E0302">
                              <w:rPr>
                                <w:rFonts w:cs="Arial"/>
                                <w:color w:val="FFFFFF"/>
                                <w:spacing w:val="-1"/>
                                <w:sz w:val="20"/>
                              </w:rPr>
                              <w:t>is</w:t>
                            </w:r>
                            <w:r w:rsidRPr="004E0302">
                              <w:rPr>
                                <w:rFonts w:cs="Arial"/>
                                <w:color w:val="FFFFFF"/>
                                <w:spacing w:val="30"/>
                                <w:sz w:val="20"/>
                              </w:rPr>
                              <w:t xml:space="preserve"> </w:t>
                            </w:r>
                            <w:r w:rsidRPr="004E0302">
                              <w:rPr>
                                <w:rFonts w:cs="Arial"/>
                                <w:color w:val="FFFFFF"/>
                                <w:sz w:val="20"/>
                              </w:rPr>
                              <w:t>a</w:t>
                            </w:r>
                            <w:r w:rsidRPr="004E0302">
                              <w:rPr>
                                <w:rFonts w:cs="Arial"/>
                                <w:color w:val="FFFFFF"/>
                                <w:spacing w:val="30"/>
                                <w:sz w:val="20"/>
                              </w:rPr>
                              <w:t xml:space="preserve"> </w:t>
                            </w:r>
                            <w:r w:rsidRPr="004E0302">
                              <w:rPr>
                                <w:rFonts w:cs="Arial"/>
                                <w:color w:val="FFFFFF"/>
                                <w:spacing w:val="-1"/>
                                <w:sz w:val="20"/>
                              </w:rPr>
                              <w:t>breach</w:t>
                            </w:r>
                            <w:r w:rsidRPr="004E0302">
                              <w:rPr>
                                <w:rFonts w:cs="Arial"/>
                                <w:color w:val="FFFFFF"/>
                                <w:spacing w:val="29"/>
                                <w:sz w:val="20"/>
                              </w:rPr>
                              <w:t xml:space="preserve"> </w:t>
                            </w:r>
                            <w:r w:rsidRPr="004E0302">
                              <w:rPr>
                                <w:rFonts w:cs="Arial"/>
                                <w:color w:val="FFFFFF"/>
                                <w:sz w:val="20"/>
                              </w:rPr>
                              <w:t>of</w:t>
                            </w:r>
                            <w:r w:rsidRPr="004E0302">
                              <w:rPr>
                                <w:rFonts w:cs="Arial"/>
                                <w:color w:val="FFFFFF"/>
                                <w:spacing w:val="28"/>
                                <w:sz w:val="20"/>
                              </w:rPr>
                              <w:t xml:space="preserve"> </w:t>
                            </w:r>
                            <w:r w:rsidRPr="004E0302">
                              <w:rPr>
                                <w:rFonts w:cs="Arial"/>
                                <w:color w:val="FFFFFF"/>
                                <w:spacing w:val="-1"/>
                                <w:sz w:val="20"/>
                              </w:rPr>
                              <w:t>the</w:t>
                            </w:r>
                            <w:r w:rsidRPr="004E0302">
                              <w:rPr>
                                <w:rFonts w:cs="Arial"/>
                                <w:color w:val="FFFFFF"/>
                                <w:spacing w:val="59"/>
                                <w:w w:val="99"/>
                                <w:sz w:val="20"/>
                              </w:rPr>
                              <w:t xml:space="preserve"> </w:t>
                            </w:r>
                            <w:r w:rsidRPr="004E0302">
                              <w:rPr>
                                <w:rFonts w:cs="Arial"/>
                                <w:color w:val="FFFFFF"/>
                                <w:spacing w:val="-1"/>
                                <w:sz w:val="20"/>
                              </w:rPr>
                              <w:t>practice's</w:t>
                            </w:r>
                            <w:r w:rsidRPr="004E0302">
                              <w:rPr>
                                <w:rFonts w:cs="Arial"/>
                                <w:color w:val="FFFFFF"/>
                                <w:spacing w:val="29"/>
                                <w:sz w:val="20"/>
                              </w:rPr>
                              <w:t xml:space="preserve"> </w:t>
                            </w:r>
                            <w:r w:rsidRPr="004E0302">
                              <w:rPr>
                                <w:rFonts w:cs="Arial"/>
                                <w:color w:val="FFFFFF"/>
                                <w:spacing w:val="-1"/>
                                <w:sz w:val="20"/>
                              </w:rPr>
                              <w:t>duty</w:t>
                            </w:r>
                            <w:r w:rsidRPr="004E0302">
                              <w:rPr>
                                <w:rFonts w:cs="Arial"/>
                                <w:color w:val="FFFFFF"/>
                                <w:spacing w:val="29"/>
                                <w:sz w:val="20"/>
                              </w:rPr>
                              <w:t xml:space="preserve"> </w:t>
                            </w:r>
                            <w:r w:rsidRPr="004E0302">
                              <w:rPr>
                                <w:rFonts w:cs="Arial"/>
                                <w:color w:val="FFFFFF"/>
                                <w:spacing w:val="-1"/>
                                <w:sz w:val="20"/>
                              </w:rPr>
                              <w:t>under</w:t>
                            </w:r>
                            <w:r w:rsidRPr="004E0302">
                              <w:rPr>
                                <w:rFonts w:cs="Arial"/>
                                <w:color w:val="FFFFFF"/>
                                <w:spacing w:val="29"/>
                                <w:sz w:val="20"/>
                              </w:rPr>
                              <w:t xml:space="preserve"> </w:t>
                            </w:r>
                            <w:r w:rsidRPr="004E0302">
                              <w:rPr>
                                <w:rFonts w:cs="Arial"/>
                                <w:color w:val="FFFFFF"/>
                                <w:sz w:val="20"/>
                              </w:rPr>
                              <w:t>its</w:t>
                            </w:r>
                            <w:r w:rsidRPr="004E0302">
                              <w:rPr>
                                <w:rFonts w:cs="Arial"/>
                                <w:color w:val="FFFFFF"/>
                                <w:spacing w:val="30"/>
                                <w:sz w:val="20"/>
                              </w:rPr>
                              <w:t xml:space="preserve"> </w:t>
                            </w:r>
                            <w:r w:rsidRPr="004E0302">
                              <w:rPr>
                                <w:rFonts w:cs="Arial"/>
                                <w:color w:val="FFFFFF"/>
                                <w:spacing w:val="-1"/>
                                <w:sz w:val="20"/>
                              </w:rPr>
                              <w:t>contract</w:t>
                            </w:r>
                            <w:r w:rsidRPr="004E0302">
                              <w:rPr>
                                <w:rFonts w:cs="Arial"/>
                                <w:color w:val="FFFFFF"/>
                                <w:spacing w:val="29"/>
                                <w:sz w:val="20"/>
                              </w:rPr>
                              <w:t xml:space="preserve"> </w:t>
                            </w:r>
                            <w:r w:rsidRPr="004E0302">
                              <w:rPr>
                                <w:rFonts w:cs="Arial"/>
                                <w:color w:val="FFFFFF"/>
                                <w:spacing w:val="-1"/>
                                <w:sz w:val="20"/>
                              </w:rPr>
                              <w:t>with</w:t>
                            </w:r>
                            <w:r w:rsidRPr="004E0302">
                              <w:rPr>
                                <w:rFonts w:cs="Arial"/>
                                <w:color w:val="FFFFFF"/>
                                <w:spacing w:val="28"/>
                                <w:sz w:val="20"/>
                              </w:rPr>
                              <w:t xml:space="preserve"> </w:t>
                            </w:r>
                            <w:r>
                              <w:rPr>
                                <w:rFonts w:cs="Arial"/>
                                <w:color w:val="FFFFFF"/>
                                <w:spacing w:val="28"/>
                                <w:sz w:val="20"/>
                              </w:rPr>
                              <w:t xml:space="preserve">the commissioner </w:t>
                            </w:r>
                            <w:r w:rsidRPr="004E0302">
                              <w:rPr>
                                <w:rFonts w:cs="Arial"/>
                                <w:color w:val="FFFFFF"/>
                                <w:sz w:val="20"/>
                              </w:rPr>
                              <w:t>to</w:t>
                            </w:r>
                            <w:r w:rsidRPr="004E0302">
                              <w:rPr>
                                <w:rFonts w:cs="Arial"/>
                                <w:color w:val="FFFFFF"/>
                                <w:spacing w:val="31"/>
                                <w:sz w:val="20"/>
                              </w:rPr>
                              <w:t xml:space="preserve"> </w:t>
                            </w:r>
                            <w:r w:rsidRPr="004E0302">
                              <w:rPr>
                                <w:rFonts w:cs="Arial"/>
                                <w:color w:val="FFFFFF"/>
                                <w:spacing w:val="-1"/>
                                <w:sz w:val="20"/>
                              </w:rPr>
                              <w:t>comply</w:t>
                            </w:r>
                            <w:r w:rsidRPr="004E0302">
                              <w:rPr>
                                <w:rFonts w:cs="Arial"/>
                                <w:color w:val="FFFFFF"/>
                                <w:spacing w:val="29"/>
                                <w:sz w:val="20"/>
                              </w:rPr>
                              <w:t xml:space="preserve"> </w:t>
                            </w:r>
                            <w:r w:rsidRPr="004E0302">
                              <w:rPr>
                                <w:rFonts w:cs="Arial"/>
                                <w:color w:val="FFFFFF"/>
                                <w:spacing w:val="-1"/>
                                <w:sz w:val="20"/>
                              </w:rPr>
                              <w:t>with</w:t>
                            </w:r>
                            <w:r w:rsidRPr="004E0302">
                              <w:rPr>
                                <w:rFonts w:cs="Arial"/>
                                <w:color w:val="FFFFFF"/>
                                <w:spacing w:val="53"/>
                                <w:sz w:val="20"/>
                              </w:rPr>
                              <w:t xml:space="preserve"> </w:t>
                            </w:r>
                            <w:r w:rsidRPr="004E0302">
                              <w:rPr>
                                <w:rFonts w:cs="Arial"/>
                                <w:color w:val="FFFFFF"/>
                                <w:spacing w:val="-1"/>
                                <w:sz w:val="20"/>
                              </w:rPr>
                              <w:t>legislation.</w:t>
                            </w:r>
                            <w:r w:rsidRPr="004E0302">
                              <w:rPr>
                                <w:rFonts w:cs="Arial"/>
                                <w:color w:val="FFFFFF"/>
                                <w:spacing w:val="26"/>
                                <w:sz w:val="20"/>
                              </w:rPr>
                              <w:t xml:space="preserve"> </w:t>
                            </w:r>
                            <w:r w:rsidRPr="004E0302">
                              <w:rPr>
                                <w:rFonts w:cs="Arial"/>
                                <w:color w:val="FFFFFF"/>
                                <w:sz w:val="20"/>
                              </w:rPr>
                              <w:t>In</w:t>
                            </w:r>
                            <w:r w:rsidRPr="004E0302">
                              <w:rPr>
                                <w:rFonts w:cs="Arial"/>
                                <w:color w:val="FFFFFF"/>
                                <w:spacing w:val="46"/>
                                <w:sz w:val="20"/>
                              </w:rPr>
                              <w:t xml:space="preserve"> </w:t>
                            </w:r>
                            <w:r w:rsidRPr="004E0302">
                              <w:rPr>
                                <w:rFonts w:cs="Arial"/>
                                <w:color w:val="FFFFFF"/>
                                <w:spacing w:val="-1"/>
                                <w:sz w:val="20"/>
                              </w:rPr>
                              <w:t>order</w:t>
                            </w:r>
                            <w:r w:rsidRPr="004E0302">
                              <w:rPr>
                                <w:rFonts w:cs="Arial"/>
                                <w:color w:val="FFFFFF"/>
                                <w:spacing w:val="46"/>
                                <w:sz w:val="20"/>
                              </w:rPr>
                              <w:t xml:space="preserve"> </w:t>
                            </w:r>
                            <w:r w:rsidRPr="004E0302">
                              <w:rPr>
                                <w:rFonts w:cs="Arial"/>
                                <w:color w:val="FFFFFF"/>
                                <w:sz w:val="20"/>
                              </w:rPr>
                              <w:t>to</w:t>
                            </w:r>
                            <w:r w:rsidRPr="004E0302">
                              <w:rPr>
                                <w:rFonts w:cs="Arial"/>
                                <w:color w:val="FFFFFF"/>
                                <w:spacing w:val="45"/>
                                <w:sz w:val="20"/>
                              </w:rPr>
                              <w:t xml:space="preserve"> </w:t>
                            </w:r>
                            <w:r w:rsidRPr="004E0302">
                              <w:rPr>
                                <w:rFonts w:cs="Arial"/>
                                <w:color w:val="FFFFFF"/>
                                <w:spacing w:val="-1"/>
                                <w:sz w:val="20"/>
                              </w:rPr>
                              <w:t>comply</w:t>
                            </w:r>
                            <w:r w:rsidRPr="004E0302">
                              <w:rPr>
                                <w:rFonts w:cs="Arial"/>
                                <w:color w:val="FFFFFF"/>
                                <w:spacing w:val="47"/>
                                <w:sz w:val="20"/>
                              </w:rPr>
                              <w:t xml:space="preserve"> </w:t>
                            </w:r>
                            <w:r w:rsidRPr="004E0302">
                              <w:rPr>
                                <w:rFonts w:cs="Arial"/>
                                <w:color w:val="FFFFFF"/>
                                <w:spacing w:val="-1"/>
                                <w:sz w:val="20"/>
                              </w:rPr>
                              <w:t>with</w:t>
                            </w:r>
                            <w:r w:rsidRPr="004E0302">
                              <w:rPr>
                                <w:rFonts w:cs="Arial"/>
                                <w:color w:val="FFFFFF"/>
                                <w:spacing w:val="45"/>
                                <w:sz w:val="20"/>
                              </w:rPr>
                              <w:t xml:space="preserve"> </w:t>
                            </w:r>
                            <w:r w:rsidRPr="004E0302">
                              <w:rPr>
                                <w:rFonts w:cs="Arial"/>
                                <w:color w:val="FFFFFF"/>
                                <w:spacing w:val="-1"/>
                                <w:sz w:val="20"/>
                              </w:rPr>
                              <w:t>the</w:t>
                            </w:r>
                            <w:r w:rsidRPr="004E0302">
                              <w:rPr>
                                <w:rFonts w:cs="Arial"/>
                                <w:color w:val="FFFFFF"/>
                                <w:spacing w:val="45"/>
                                <w:sz w:val="20"/>
                              </w:rPr>
                              <w:t xml:space="preserve"> </w:t>
                            </w:r>
                            <w:r w:rsidRPr="004E0302">
                              <w:rPr>
                                <w:rFonts w:cs="Arial"/>
                                <w:color w:val="FFFFFF"/>
                                <w:spacing w:val="-1"/>
                                <w:sz w:val="20"/>
                              </w:rPr>
                              <w:t>PSED</w:t>
                            </w:r>
                            <w:r w:rsidRPr="004E0302">
                              <w:rPr>
                                <w:rFonts w:cs="Arial"/>
                                <w:color w:val="FFFFFF"/>
                                <w:spacing w:val="46"/>
                                <w:sz w:val="20"/>
                              </w:rPr>
                              <w:t xml:space="preserve"> </w:t>
                            </w:r>
                            <w:r>
                              <w:rPr>
                                <w:rFonts w:cs="Arial"/>
                                <w:color w:val="FFFFFF"/>
                                <w:spacing w:val="46"/>
                                <w:sz w:val="20"/>
                              </w:rPr>
                              <w:t xml:space="preserve">the commissioner </w:t>
                            </w:r>
                            <w:r w:rsidRPr="004E0302">
                              <w:rPr>
                                <w:rFonts w:cs="Arial"/>
                                <w:color w:val="FFFFFF"/>
                                <w:spacing w:val="-1"/>
                                <w:sz w:val="20"/>
                              </w:rPr>
                              <w:t>takes</w:t>
                            </w:r>
                            <w:r w:rsidRPr="004E0302">
                              <w:rPr>
                                <w:rFonts w:cs="Arial"/>
                                <w:color w:val="FFFFFF"/>
                                <w:spacing w:val="53"/>
                                <w:sz w:val="20"/>
                              </w:rPr>
                              <w:t xml:space="preserve"> </w:t>
                            </w:r>
                            <w:r w:rsidRPr="004E0302">
                              <w:rPr>
                                <w:rFonts w:cs="Arial"/>
                                <w:color w:val="FFFFFF"/>
                                <w:spacing w:val="-1"/>
                                <w:sz w:val="20"/>
                              </w:rPr>
                              <w:t>steps</w:t>
                            </w:r>
                            <w:r w:rsidRPr="004E0302">
                              <w:rPr>
                                <w:rFonts w:cs="Arial"/>
                                <w:color w:val="FFFFFF"/>
                                <w:spacing w:val="10"/>
                                <w:sz w:val="20"/>
                              </w:rPr>
                              <w:t xml:space="preserve"> </w:t>
                            </w:r>
                            <w:r w:rsidRPr="004E0302">
                              <w:rPr>
                                <w:rFonts w:cs="Arial"/>
                                <w:color w:val="FFFFFF"/>
                                <w:sz w:val="20"/>
                              </w:rPr>
                              <w:t>to</w:t>
                            </w:r>
                            <w:r w:rsidRPr="004E0302">
                              <w:rPr>
                                <w:rFonts w:cs="Arial"/>
                                <w:color w:val="FFFFFF"/>
                                <w:spacing w:val="9"/>
                                <w:sz w:val="20"/>
                              </w:rPr>
                              <w:t xml:space="preserve"> </w:t>
                            </w:r>
                            <w:r w:rsidRPr="004E0302">
                              <w:rPr>
                                <w:rFonts w:cs="Arial"/>
                                <w:color w:val="FFFFFF"/>
                                <w:spacing w:val="-1"/>
                                <w:sz w:val="20"/>
                              </w:rPr>
                              <w:t>ensure</w:t>
                            </w:r>
                            <w:r w:rsidRPr="004E0302">
                              <w:rPr>
                                <w:rFonts w:cs="Arial"/>
                                <w:color w:val="FFFFFF"/>
                                <w:spacing w:val="8"/>
                                <w:sz w:val="20"/>
                              </w:rPr>
                              <w:t xml:space="preserve"> </w:t>
                            </w:r>
                            <w:r w:rsidRPr="004E0302">
                              <w:rPr>
                                <w:rFonts w:cs="Arial"/>
                                <w:color w:val="FFFFFF"/>
                                <w:spacing w:val="-1"/>
                                <w:sz w:val="20"/>
                              </w:rPr>
                              <w:t>that</w:t>
                            </w:r>
                            <w:r w:rsidRPr="004E0302">
                              <w:rPr>
                                <w:rFonts w:cs="Arial"/>
                                <w:color w:val="FFFFFF"/>
                                <w:spacing w:val="12"/>
                                <w:sz w:val="20"/>
                              </w:rPr>
                              <w:t xml:space="preserve"> </w:t>
                            </w:r>
                            <w:r w:rsidRPr="004E0302">
                              <w:rPr>
                                <w:rFonts w:cs="Arial"/>
                                <w:color w:val="FFFFFF"/>
                                <w:spacing w:val="-1"/>
                                <w:sz w:val="20"/>
                              </w:rPr>
                              <w:t>the</w:t>
                            </w:r>
                            <w:r w:rsidRPr="004E0302">
                              <w:rPr>
                                <w:rFonts w:cs="Arial"/>
                                <w:color w:val="FFFFFF"/>
                                <w:spacing w:val="9"/>
                                <w:sz w:val="20"/>
                              </w:rPr>
                              <w:t xml:space="preserve"> </w:t>
                            </w:r>
                            <w:r w:rsidRPr="004E0302">
                              <w:rPr>
                                <w:rFonts w:cs="Arial"/>
                                <w:color w:val="FFFFFF"/>
                                <w:spacing w:val="-1"/>
                                <w:sz w:val="20"/>
                              </w:rPr>
                              <w:t>practice</w:t>
                            </w:r>
                            <w:r w:rsidRPr="004E0302">
                              <w:rPr>
                                <w:rFonts w:cs="Arial"/>
                                <w:color w:val="FFFFFF"/>
                                <w:spacing w:val="10"/>
                                <w:sz w:val="20"/>
                              </w:rPr>
                              <w:t xml:space="preserve"> </w:t>
                            </w:r>
                            <w:r w:rsidRPr="004E0302">
                              <w:rPr>
                                <w:rFonts w:cs="Arial"/>
                                <w:color w:val="FFFFFF"/>
                                <w:spacing w:val="-1"/>
                                <w:sz w:val="20"/>
                              </w:rPr>
                              <w:t>complies</w:t>
                            </w:r>
                            <w:r w:rsidRPr="004E0302">
                              <w:rPr>
                                <w:rFonts w:cs="Arial"/>
                                <w:color w:val="FFFFFF"/>
                                <w:spacing w:val="11"/>
                                <w:sz w:val="20"/>
                              </w:rPr>
                              <w:t xml:space="preserve"> </w:t>
                            </w:r>
                            <w:r w:rsidRPr="004E0302">
                              <w:rPr>
                                <w:rFonts w:cs="Arial"/>
                                <w:color w:val="FFFFFF"/>
                                <w:sz w:val="20"/>
                              </w:rPr>
                              <w:t>with</w:t>
                            </w:r>
                            <w:r w:rsidRPr="004E0302">
                              <w:rPr>
                                <w:rFonts w:cs="Arial"/>
                                <w:color w:val="FFFFFF"/>
                                <w:spacing w:val="9"/>
                                <w:sz w:val="20"/>
                              </w:rPr>
                              <w:t xml:space="preserve"> </w:t>
                            </w:r>
                            <w:r w:rsidRPr="004E0302">
                              <w:rPr>
                                <w:rFonts w:cs="Arial"/>
                                <w:color w:val="FFFFFF"/>
                                <w:spacing w:val="-1"/>
                                <w:sz w:val="20"/>
                              </w:rPr>
                              <w:t>its</w:t>
                            </w:r>
                            <w:r w:rsidRPr="004E0302">
                              <w:rPr>
                                <w:rFonts w:cs="Arial"/>
                                <w:color w:val="FFFFFF"/>
                                <w:spacing w:val="11"/>
                                <w:sz w:val="20"/>
                              </w:rPr>
                              <w:t xml:space="preserve"> </w:t>
                            </w:r>
                            <w:r w:rsidRPr="004E0302">
                              <w:rPr>
                                <w:rFonts w:cs="Arial"/>
                                <w:color w:val="FFFFFF"/>
                                <w:spacing w:val="-1"/>
                                <w:sz w:val="20"/>
                              </w:rPr>
                              <w:t>Equality</w:t>
                            </w:r>
                            <w:r w:rsidRPr="004E0302">
                              <w:rPr>
                                <w:rFonts w:cs="Arial"/>
                                <w:color w:val="FFFFFF"/>
                                <w:spacing w:val="9"/>
                                <w:sz w:val="20"/>
                              </w:rPr>
                              <w:t xml:space="preserve"> </w:t>
                            </w:r>
                            <w:r w:rsidRPr="004E0302">
                              <w:rPr>
                                <w:rFonts w:cs="Arial"/>
                                <w:color w:val="FFFFFF"/>
                                <w:spacing w:val="-1"/>
                                <w:sz w:val="20"/>
                              </w:rPr>
                              <w:t>Act</w:t>
                            </w:r>
                            <w:r w:rsidRPr="004E0302">
                              <w:rPr>
                                <w:rFonts w:cs="Arial"/>
                                <w:color w:val="FFFFFF"/>
                                <w:spacing w:val="13"/>
                                <w:sz w:val="20"/>
                              </w:rPr>
                              <w:t xml:space="preserve"> </w:t>
                            </w:r>
                            <w:r w:rsidRPr="004E0302">
                              <w:rPr>
                                <w:rFonts w:cs="Arial"/>
                                <w:color w:val="FFFFFF"/>
                                <w:spacing w:val="-1"/>
                                <w:sz w:val="20"/>
                              </w:rPr>
                              <w:t>duties</w:t>
                            </w:r>
                            <w:r w:rsidRPr="004E0302">
                              <w:rPr>
                                <w:rFonts w:cs="Arial"/>
                                <w:color w:val="FFFFFF"/>
                                <w:spacing w:val="64"/>
                                <w:w w:val="99"/>
                                <w:sz w:val="20"/>
                              </w:rPr>
                              <w:t xml:space="preserve"> </w:t>
                            </w:r>
                            <w:r w:rsidRPr="004E0302">
                              <w:rPr>
                                <w:rFonts w:cs="Arial"/>
                                <w:color w:val="FFFFFF"/>
                                <w:spacing w:val="-1"/>
                                <w:sz w:val="20"/>
                              </w:rPr>
                              <w:t>by</w:t>
                            </w:r>
                            <w:r w:rsidRPr="004E0302">
                              <w:rPr>
                                <w:rFonts w:cs="Arial"/>
                                <w:color w:val="FFFFFF"/>
                                <w:spacing w:val="60"/>
                                <w:sz w:val="20"/>
                              </w:rPr>
                              <w:t xml:space="preserve"> </w:t>
                            </w:r>
                            <w:r w:rsidRPr="004E0302">
                              <w:rPr>
                                <w:rFonts w:cs="Arial"/>
                                <w:color w:val="FFFFFF"/>
                                <w:spacing w:val="-1"/>
                                <w:sz w:val="20"/>
                              </w:rPr>
                              <w:t>raising</w:t>
                            </w:r>
                            <w:r w:rsidRPr="004E0302">
                              <w:rPr>
                                <w:rFonts w:cs="Arial"/>
                                <w:color w:val="FFFFFF"/>
                                <w:spacing w:val="59"/>
                                <w:sz w:val="20"/>
                              </w:rPr>
                              <w:t xml:space="preserve"> </w:t>
                            </w:r>
                            <w:r w:rsidRPr="004E0302">
                              <w:rPr>
                                <w:rFonts w:cs="Arial"/>
                                <w:color w:val="FFFFFF"/>
                                <w:spacing w:val="-1"/>
                                <w:sz w:val="20"/>
                              </w:rPr>
                              <w:t>the</w:t>
                            </w:r>
                            <w:r w:rsidRPr="004E0302">
                              <w:rPr>
                                <w:rFonts w:cs="Arial"/>
                                <w:color w:val="FFFFFF"/>
                                <w:spacing w:val="60"/>
                                <w:sz w:val="20"/>
                              </w:rPr>
                              <w:t xml:space="preserve"> </w:t>
                            </w:r>
                            <w:r w:rsidRPr="004E0302">
                              <w:rPr>
                                <w:rFonts w:cs="Arial"/>
                                <w:color w:val="FFFFFF"/>
                                <w:spacing w:val="-1"/>
                                <w:sz w:val="20"/>
                              </w:rPr>
                              <w:t>issue</w:t>
                            </w:r>
                            <w:r w:rsidRPr="004E0302">
                              <w:rPr>
                                <w:rFonts w:cs="Arial"/>
                                <w:color w:val="FFFFFF"/>
                                <w:spacing w:val="59"/>
                                <w:sz w:val="20"/>
                              </w:rPr>
                              <w:t xml:space="preserve"> </w:t>
                            </w:r>
                            <w:r w:rsidRPr="004E0302">
                              <w:rPr>
                                <w:rFonts w:cs="Arial"/>
                                <w:color w:val="FFFFFF"/>
                                <w:spacing w:val="-1"/>
                                <w:sz w:val="20"/>
                              </w:rPr>
                              <w:t>informally</w:t>
                            </w:r>
                            <w:r w:rsidRPr="004E0302">
                              <w:rPr>
                                <w:rFonts w:cs="Arial"/>
                                <w:color w:val="FFFFFF"/>
                                <w:spacing w:val="61"/>
                                <w:sz w:val="20"/>
                              </w:rPr>
                              <w:t xml:space="preserve"> </w:t>
                            </w:r>
                            <w:r w:rsidRPr="004E0302">
                              <w:rPr>
                                <w:rFonts w:cs="Arial"/>
                                <w:color w:val="FFFFFF"/>
                                <w:spacing w:val="-1"/>
                                <w:sz w:val="20"/>
                              </w:rPr>
                              <w:t>and</w:t>
                            </w:r>
                            <w:r w:rsidRPr="004E0302">
                              <w:rPr>
                                <w:rFonts w:cs="Arial"/>
                                <w:color w:val="FFFFFF"/>
                                <w:spacing w:val="59"/>
                                <w:sz w:val="20"/>
                              </w:rPr>
                              <w:t xml:space="preserve"> </w:t>
                            </w:r>
                            <w:r w:rsidRPr="004E0302">
                              <w:rPr>
                                <w:rFonts w:cs="Arial"/>
                                <w:color w:val="FFFFFF"/>
                                <w:spacing w:val="-1"/>
                                <w:sz w:val="20"/>
                              </w:rPr>
                              <w:t>issuing</w:t>
                            </w:r>
                            <w:r w:rsidRPr="004E0302">
                              <w:rPr>
                                <w:rFonts w:cs="Arial"/>
                                <w:color w:val="FFFFFF"/>
                                <w:spacing w:val="60"/>
                                <w:sz w:val="20"/>
                              </w:rPr>
                              <w:t xml:space="preserve"> </w:t>
                            </w:r>
                            <w:r w:rsidRPr="004E0302">
                              <w:rPr>
                                <w:rFonts w:cs="Arial"/>
                                <w:color w:val="FFFFFF"/>
                                <w:sz w:val="20"/>
                              </w:rPr>
                              <w:t>a</w:t>
                            </w:r>
                            <w:r w:rsidRPr="004E0302">
                              <w:rPr>
                                <w:rFonts w:cs="Arial"/>
                                <w:color w:val="FFFFFF"/>
                                <w:spacing w:val="59"/>
                                <w:sz w:val="20"/>
                              </w:rPr>
                              <w:t xml:space="preserve"> </w:t>
                            </w:r>
                            <w:r w:rsidRPr="004E0302">
                              <w:rPr>
                                <w:rFonts w:cs="Arial"/>
                                <w:color w:val="FFFFFF"/>
                                <w:spacing w:val="-1"/>
                                <w:sz w:val="20"/>
                              </w:rPr>
                              <w:t>breach</w:t>
                            </w:r>
                            <w:r w:rsidRPr="004E0302">
                              <w:rPr>
                                <w:rFonts w:cs="Arial"/>
                                <w:color w:val="FFFFFF"/>
                                <w:spacing w:val="61"/>
                                <w:sz w:val="20"/>
                              </w:rPr>
                              <w:t xml:space="preserve"> </w:t>
                            </w:r>
                            <w:r w:rsidRPr="004E0302">
                              <w:rPr>
                                <w:rFonts w:cs="Arial"/>
                                <w:color w:val="FFFFFF"/>
                                <w:spacing w:val="-1"/>
                                <w:sz w:val="20"/>
                              </w:rPr>
                              <w:t>notice</w:t>
                            </w:r>
                            <w:r w:rsidRPr="004E0302">
                              <w:rPr>
                                <w:rFonts w:cs="Arial"/>
                                <w:color w:val="FFFFFF"/>
                                <w:spacing w:val="59"/>
                                <w:sz w:val="20"/>
                              </w:rPr>
                              <w:t xml:space="preserve"> </w:t>
                            </w:r>
                            <w:r w:rsidRPr="004E0302">
                              <w:rPr>
                                <w:rFonts w:cs="Arial"/>
                                <w:color w:val="FFFFFF"/>
                                <w:spacing w:val="-1"/>
                                <w:sz w:val="20"/>
                              </w:rPr>
                              <w:t>if</w:t>
                            </w:r>
                            <w:r w:rsidRPr="004E0302">
                              <w:rPr>
                                <w:rFonts w:cs="Arial"/>
                                <w:color w:val="FFFFFF"/>
                                <w:spacing w:val="59"/>
                                <w:sz w:val="20"/>
                              </w:rPr>
                              <w:t xml:space="preserve"> </w:t>
                            </w:r>
                            <w:r w:rsidRPr="004E0302">
                              <w:rPr>
                                <w:rFonts w:cs="Arial"/>
                                <w:color w:val="FFFFFF"/>
                                <w:spacing w:val="-1"/>
                                <w:sz w:val="20"/>
                              </w:rPr>
                              <w:t>the</w:t>
                            </w:r>
                            <w:r w:rsidRPr="004E0302">
                              <w:rPr>
                                <w:rFonts w:cs="Arial"/>
                                <w:color w:val="FFFFFF"/>
                                <w:spacing w:val="51"/>
                                <w:w w:val="99"/>
                                <w:sz w:val="20"/>
                              </w:rPr>
                              <w:t xml:space="preserve"> </w:t>
                            </w:r>
                            <w:r w:rsidRPr="004E0302">
                              <w:rPr>
                                <w:rFonts w:cs="Arial"/>
                                <w:color w:val="FFFFFF"/>
                                <w:spacing w:val="-1"/>
                                <w:sz w:val="20"/>
                              </w:rPr>
                              <w:t>problem</w:t>
                            </w:r>
                            <w:r w:rsidRPr="004E0302">
                              <w:rPr>
                                <w:rFonts w:cs="Arial"/>
                                <w:color w:val="FFFFFF"/>
                                <w:spacing w:val="-5"/>
                                <w:sz w:val="20"/>
                              </w:rPr>
                              <w:t xml:space="preserve"> </w:t>
                            </w:r>
                            <w:r w:rsidRPr="004E0302">
                              <w:rPr>
                                <w:rFonts w:cs="Arial"/>
                                <w:color w:val="FFFFFF"/>
                                <w:spacing w:val="-1"/>
                                <w:sz w:val="20"/>
                              </w:rPr>
                              <w:t>is</w:t>
                            </w:r>
                            <w:r w:rsidRPr="004E0302">
                              <w:rPr>
                                <w:rFonts w:cs="Arial"/>
                                <w:color w:val="FFFFFF"/>
                                <w:spacing w:val="-6"/>
                                <w:sz w:val="20"/>
                              </w:rPr>
                              <w:t xml:space="preserve"> </w:t>
                            </w:r>
                            <w:r w:rsidRPr="004E0302">
                              <w:rPr>
                                <w:rFonts w:cs="Arial"/>
                                <w:color w:val="FFFFFF"/>
                                <w:spacing w:val="-1"/>
                                <w:sz w:val="20"/>
                              </w:rPr>
                              <w:t>not</w:t>
                            </w:r>
                            <w:r w:rsidRPr="004E0302">
                              <w:rPr>
                                <w:rFonts w:cs="Arial"/>
                                <w:color w:val="FFFFFF"/>
                                <w:spacing w:val="-7"/>
                                <w:sz w:val="20"/>
                              </w:rPr>
                              <w:t xml:space="preserve"> </w:t>
                            </w:r>
                            <w:r w:rsidRPr="004E0302">
                              <w:rPr>
                                <w:rFonts w:cs="Arial"/>
                                <w:color w:val="FFFFFF"/>
                                <w:sz w:val="20"/>
                              </w:rPr>
                              <w:t>remedied</w:t>
                            </w:r>
                          </w:p>
                        </w:txbxContent>
                      </wps:txbx>
                      <wps:bodyPr rot="0" vert="horz" wrap="square" lIns="0" tIns="0" rIns="0" bIns="0" anchor="t" anchorCtr="0" upright="1">
                        <a:noAutofit/>
                      </wps:bodyPr>
                    </wps:wsp>
                  </a:graphicData>
                </a:graphic>
              </wp:inline>
            </w:drawing>
          </mc:Choice>
          <mc:Fallback>
            <w:pict>
              <v:shape w14:anchorId="2D54E284" id="Text Box 1909" o:spid="_x0000_s1027" type="#_x0000_t202" style="width:382.7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" fillcolor="#1c6cb4" stroked="f">
                <v:textbox inset="0,0,0,0">
                  <w:txbxContent>
                    <w:p w14:paraId="39D099AC" w14:textId="77777777" w:rsidR="00942266" w:rsidRPr="004E0302" w:rsidRDefault="00942266" w:rsidP="00DB7F92">
                      <w:pPr>
                        <w:spacing w:before="213"/>
                        <w:ind w:left="225"/>
                        <w:jc w:val="both"/>
                        <w:rPr>
                          <w:rFonts w:eastAsia="Tw Cen MT Condensed Extra Bold" w:cs="Arial"/>
                          <w:sz w:val="20"/>
                          <w:szCs w:val="24"/>
                        </w:rPr>
                      </w:pPr>
                      <w:r w:rsidRPr="004E0302">
                        <w:rPr>
                          <w:rFonts w:cs="Arial"/>
                          <w:b/>
                          <w:color w:val="FFFFFF"/>
                          <w:sz w:val="20"/>
                        </w:rPr>
                        <w:t>Example:</w:t>
                      </w:r>
                    </w:p>
                    <w:p w14:paraId="12A42478" w14:textId="77777777" w:rsidR="00942266" w:rsidRPr="004E0302" w:rsidRDefault="00942266" w:rsidP="00DB7F92">
                      <w:pPr>
                        <w:spacing w:before="12"/>
                        <w:rPr>
                          <w:rFonts w:eastAsia="Segoe UI Semilight" w:cs="Arial"/>
                          <w:sz w:val="20"/>
                          <w:szCs w:val="24"/>
                        </w:rPr>
                      </w:pPr>
                    </w:p>
                    <w:p w14:paraId="3E17BFEC" w14:textId="57B13492" w:rsidR="00942266" w:rsidRPr="004E0302" w:rsidRDefault="00942266" w:rsidP="00DB7F92">
                      <w:pPr>
                        <w:ind w:left="225" w:right="224"/>
                        <w:jc w:val="both"/>
                        <w:rPr>
                          <w:rFonts w:eastAsia="Segoe UI Semilight" w:cs="Arial"/>
                          <w:sz w:val="20"/>
                          <w:szCs w:val="24"/>
                        </w:rPr>
                      </w:pPr>
                      <w:r w:rsidRPr="004E0302">
                        <w:rPr>
                          <w:rFonts w:cs="Arial"/>
                          <w:color w:val="FFFFFF"/>
                          <w:spacing w:val="-1"/>
                          <w:sz w:val="20"/>
                        </w:rPr>
                        <w:t>After</w:t>
                      </w:r>
                      <w:r w:rsidRPr="004E0302">
                        <w:rPr>
                          <w:rFonts w:cs="Arial"/>
                          <w:color w:val="FFFFFF"/>
                          <w:spacing w:val="16"/>
                          <w:sz w:val="20"/>
                        </w:rPr>
                        <w:t xml:space="preserve"> </w:t>
                      </w:r>
                      <w:r w:rsidRPr="004E0302">
                        <w:rPr>
                          <w:rFonts w:cs="Arial"/>
                          <w:color w:val="FFFFFF"/>
                          <w:sz w:val="20"/>
                        </w:rPr>
                        <w:t>a</w:t>
                      </w:r>
                      <w:r w:rsidRPr="004E0302">
                        <w:rPr>
                          <w:rFonts w:cs="Arial"/>
                          <w:color w:val="FFFFFF"/>
                          <w:spacing w:val="17"/>
                          <w:sz w:val="20"/>
                        </w:rPr>
                        <w:t xml:space="preserve"> </w:t>
                      </w:r>
                      <w:r w:rsidRPr="004E0302">
                        <w:rPr>
                          <w:rFonts w:cs="Arial"/>
                          <w:color w:val="FFFFFF"/>
                          <w:spacing w:val="-1"/>
                          <w:sz w:val="20"/>
                        </w:rPr>
                        <w:t>site</w:t>
                      </w:r>
                      <w:r w:rsidRPr="004E0302">
                        <w:rPr>
                          <w:rFonts w:cs="Arial"/>
                          <w:color w:val="FFFFFF"/>
                          <w:spacing w:val="16"/>
                          <w:sz w:val="20"/>
                        </w:rPr>
                        <w:t xml:space="preserve"> </w:t>
                      </w:r>
                      <w:r w:rsidRPr="004E0302">
                        <w:rPr>
                          <w:rFonts w:cs="Arial"/>
                          <w:color w:val="FFFFFF"/>
                          <w:spacing w:val="-1"/>
                          <w:sz w:val="20"/>
                        </w:rPr>
                        <w:t>visit</w:t>
                      </w:r>
                      <w:r w:rsidRPr="004E0302">
                        <w:rPr>
                          <w:rFonts w:cs="Arial"/>
                          <w:color w:val="FFFFFF"/>
                          <w:spacing w:val="17"/>
                          <w:sz w:val="20"/>
                        </w:rPr>
                        <w:t xml:space="preserve"> </w:t>
                      </w:r>
                      <w:r w:rsidRPr="004E0302">
                        <w:rPr>
                          <w:rFonts w:cs="Arial"/>
                          <w:color w:val="FFFFFF"/>
                          <w:spacing w:val="-1"/>
                          <w:sz w:val="20"/>
                        </w:rPr>
                        <w:t xml:space="preserve">the </w:t>
                      </w:r>
                      <w:r w:rsidRPr="00D05DD7">
                        <w:rPr>
                          <w:rFonts w:cs="Arial"/>
                          <w:color w:val="FFFFFF"/>
                          <w:spacing w:val="-1"/>
                          <w:sz w:val="20"/>
                        </w:rPr>
                        <w:t>commissioner</w:t>
                      </w:r>
                      <w:r w:rsidRPr="004E0302">
                        <w:rPr>
                          <w:rFonts w:cs="Arial"/>
                          <w:color w:val="FFFFFF"/>
                          <w:spacing w:val="18"/>
                          <w:sz w:val="20"/>
                        </w:rPr>
                        <w:t xml:space="preserve"> </w:t>
                      </w:r>
                      <w:r w:rsidRPr="004E0302">
                        <w:rPr>
                          <w:rFonts w:cs="Arial"/>
                          <w:color w:val="FFFFFF"/>
                          <w:spacing w:val="-1"/>
                          <w:sz w:val="20"/>
                        </w:rPr>
                        <w:t>becomes</w:t>
                      </w:r>
                      <w:r w:rsidRPr="004E0302">
                        <w:rPr>
                          <w:rFonts w:cs="Arial"/>
                          <w:color w:val="FFFFFF"/>
                          <w:spacing w:val="18"/>
                          <w:sz w:val="20"/>
                        </w:rPr>
                        <w:t xml:space="preserve"> </w:t>
                      </w:r>
                      <w:r w:rsidRPr="004E0302">
                        <w:rPr>
                          <w:rFonts w:cs="Arial"/>
                          <w:color w:val="FFFFFF"/>
                          <w:sz w:val="20"/>
                        </w:rPr>
                        <w:t>aware</w:t>
                      </w:r>
                      <w:r w:rsidRPr="004E0302">
                        <w:rPr>
                          <w:rFonts w:cs="Arial"/>
                          <w:color w:val="FFFFFF"/>
                          <w:spacing w:val="19"/>
                          <w:sz w:val="20"/>
                        </w:rPr>
                        <w:t xml:space="preserve"> </w:t>
                      </w:r>
                      <w:r w:rsidRPr="004E0302">
                        <w:rPr>
                          <w:rFonts w:cs="Arial"/>
                          <w:color w:val="FFFFFF"/>
                          <w:spacing w:val="-1"/>
                          <w:sz w:val="20"/>
                        </w:rPr>
                        <w:t>that</w:t>
                      </w:r>
                      <w:r w:rsidRPr="004E0302">
                        <w:rPr>
                          <w:rFonts w:cs="Arial"/>
                          <w:color w:val="FFFFFF"/>
                          <w:spacing w:val="17"/>
                          <w:sz w:val="20"/>
                        </w:rPr>
                        <w:t xml:space="preserve"> </w:t>
                      </w:r>
                      <w:r w:rsidRPr="004E0302">
                        <w:rPr>
                          <w:rFonts w:cs="Arial"/>
                          <w:color w:val="FFFFFF"/>
                          <w:spacing w:val="-1"/>
                          <w:sz w:val="20"/>
                        </w:rPr>
                        <w:t>consulting</w:t>
                      </w:r>
                      <w:r w:rsidRPr="004E0302">
                        <w:rPr>
                          <w:rFonts w:cs="Arial"/>
                          <w:color w:val="FFFFFF"/>
                          <w:spacing w:val="16"/>
                          <w:sz w:val="20"/>
                        </w:rPr>
                        <w:t xml:space="preserve"> </w:t>
                      </w:r>
                      <w:r w:rsidRPr="004E0302">
                        <w:rPr>
                          <w:rFonts w:cs="Arial"/>
                          <w:color w:val="FFFFFF"/>
                          <w:spacing w:val="-1"/>
                          <w:sz w:val="20"/>
                        </w:rPr>
                        <w:t>rooms</w:t>
                      </w:r>
                      <w:r w:rsidRPr="004E0302">
                        <w:rPr>
                          <w:rFonts w:cs="Arial"/>
                          <w:color w:val="FFFFFF"/>
                          <w:spacing w:val="53"/>
                          <w:sz w:val="20"/>
                        </w:rPr>
                        <w:t xml:space="preserve"> </w:t>
                      </w:r>
                      <w:r w:rsidRPr="004E0302">
                        <w:rPr>
                          <w:rFonts w:cs="Arial"/>
                          <w:color w:val="FFFFFF"/>
                          <w:spacing w:val="-1"/>
                          <w:sz w:val="20"/>
                        </w:rPr>
                        <w:t>in</w:t>
                      </w:r>
                      <w:r w:rsidRPr="004E0302">
                        <w:rPr>
                          <w:rFonts w:cs="Arial"/>
                          <w:color w:val="FFFFFF"/>
                          <w:spacing w:val="-3"/>
                          <w:sz w:val="20"/>
                        </w:rPr>
                        <w:t xml:space="preserve"> </w:t>
                      </w:r>
                      <w:r w:rsidRPr="004E0302">
                        <w:rPr>
                          <w:rFonts w:cs="Arial"/>
                          <w:color w:val="FFFFFF"/>
                          <w:sz w:val="20"/>
                        </w:rPr>
                        <w:t>a</w:t>
                      </w:r>
                      <w:r w:rsidRPr="004E0302">
                        <w:rPr>
                          <w:rFonts w:cs="Arial"/>
                          <w:color w:val="FFFFFF"/>
                          <w:spacing w:val="-2"/>
                          <w:sz w:val="20"/>
                        </w:rPr>
                        <w:t xml:space="preserve"> </w:t>
                      </w:r>
                      <w:r w:rsidRPr="004E0302">
                        <w:rPr>
                          <w:rFonts w:cs="Arial"/>
                          <w:color w:val="FFFFFF"/>
                          <w:sz w:val="20"/>
                        </w:rPr>
                        <w:t>GP</w:t>
                      </w:r>
                      <w:r w:rsidRPr="004E0302">
                        <w:rPr>
                          <w:rFonts w:cs="Arial"/>
                          <w:color w:val="FFFFFF"/>
                          <w:spacing w:val="-2"/>
                          <w:sz w:val="20"/>
                        </w:rPr>
                        <w:t xml:space="preserve"> </w:t>
                      </w:r>
                      <w:r w:rsidRPr="004E0302">
                        <w:rPr>
                          <w:rFonts w:cs="Arial"/>
                          <w:color w:val="FFFFFF"/>
                          <w:spacing w:val="-1"/>
                          <w:sz w:val="20"/>
                        </w:rPr>
                        <w:t>surgery</w:t>
                      </w:r>
                      <w:r w:rsidRPr="004E0302">
                        <w:rPr>
                          <w:rFonts w:cs="Arial"/>
                          <w:color w:val="FFFFFF"/>
                          <w:spacing w:val="-3"/>
                          <w:sz w:val="20"/>
                        </w:rPr>
                        <w:t xml:space="preserve"> </w:t>
                      </w:r>
                      <w:r w:rsidRPr="004E0302">
                        <w:rPr>
                          <w:rFonts w:cs="Arial"/>
                          <w:color w:val="FFFFFF"/>
                          <w:sz w:val="20"/>
                        </w:rPr>
                        <w:t>are</w:t>
                      </w:r>
                      <w:r w:rsidRPr="004E0302">
                        <w:rPr>
                          <w:rFonts w:cs="Arial"/>
                          <w:color w:val="FFFFFF"/>
                          <w:spacing w:val="-3"/>
                          <w:sz w:val="20"/>
                        </w:rPr>
                        <w:t xml:space="preserve"> </w:t>
                      </w:r>
                      <w:r w:rsidRPr="004E0302">
                        <w:rPr>
                          <w:rFonts w:cs="Arial"/>
                          <w:color w:val="FFFFFF"/>
                          <w:spacing w:val="-1"/>
                          <w:sz w:val="20"/>
                        </w:rPr>
                        <w:t>no</w:t>
                      </w:r>
                      <w:r w:rsidRPr="004E0302">
                        <w:rPr>
                          <w:rFonts w:cs="Arial"/>
                          <w:color w:val="FFFFFF"/>
                          <w:sz w:val="20"/>
                        </w:rPr>
                        <w:t xml:space="preserve"> </w:t>
                      </w:r>
                      <w:r w:rsidRPr="004E0302">
                        <w:rPr>
                          <w:rFonts w:cs="Arial"/>
                          <w:color w:val="FFFFFF"/>
                          <w:spacing w:val="-1"/>
                          <w:sz w:val="20"/>
                        </w:rPr>
                        <w:t>longer</w:t>
                      </w:r>
                      <w:r w:rsidRPr="004E0302">
                        <w:rPr>
                          <w:rFonts w:cs="Arial"/>
                          <w:color w:val="FFFFFF"/>
                          <w:spacing w:val="-3"/>
                          <w:sz w:val="20"/>
                        </w:rPr>
                        <w:t xml:space="preserve"> </w:t>
                      </w:r>
                      <w:r w:rsidRPr="004E0302">
                        <w:rPr>
                          <w:rFonts w:cs="Arial"/>
                          <w:color w:val="FFFFFF"/>
                          <w:spacing w:val="-1"/>
                          <w:sz w:val="20"/>
                        </w:rPr>
                        <w:t>accessible</w:t>
                      </w:r>
                      <w:r w:rsidRPr="004E0302">
                        <w:rPr>
                          <w:rFonts w:cs="Arial"/>
                          <w:color w:val="FFFFFF"/>
                          <w:spacing w:val="-3"/>
                          <w:sz w:val="20"/>
                        </w:rPr>
                        <w:t xml:space="preserve"> </w:t>
                      </w:r>
                      <w:r w:rsidRPr="004E0302">
                        <w:rPr>
                          <w:rFonts w:cs="Arial"/>
                          <w:color w:val="FFFFFF"/>
                          <w:sz w:val="20"/>
                        </w:rPr>
                        <w:t>to</w:t>
                      </w:r>
                      <w:r w:rsidRPr="004E0302">
                        <w:rPr>
                          <w:rFonts w:cs="Arial"/>
                          <w:color w:val="FFFFFF"/>
                          <w:spacing w:val="-3"/>
                          <w:sz w:val="20"/>
                        </w:rPr>
                        <w:t xml:space="preserve"> </w:t>
                      </w:r>
                      <w:r w:rsidRPr="004E0302">
                        <w:rPr>
                          <w:rFonts w:cs="Arial"/>
                          <w:color w:val="FFFFFF"/>
                          <w:sz w:val="20"/>
                        </w:rPr>
                        <w:t>those</w:t>
                      </w:r>
                      <w:r w:rsidRPr="004E0302">
                        <w:rPr>
                          <w:rFonts w:cs="Arial"/>
                          <w:color w:val="FFFFFF"/>
                          <w:spacing w:val="-3"/>
                          <w:sz w:val="20"/>
                        </w:rPr>
                        <w:t xml:space="preserve"> </w:t>
                      </w:r>
                      <w:r w:rsidRPr="004E0302">
                        <w:rPr>
                          <w:rFonts w:cs="Arial"/>
                          <w:color w:val="FFFFFF"/>
                          <w:spacing w:val="-1"/>
                          <w:sz w:val="20"/>
                        </w:rPr>
                        <w:t>with</w:t>
                      </w:r>
                      <w:r w:rsidRPr="004E0302">
                        <w:rPr>
                          <w:rFonts w:cs="Arial"/>
                          <w:color w:val="FFFFFF"/>
                          <w:spacing w:val="-3"/>
                          <w:sz w:val="20"/>
                        </w:rPr>
                        <w:t xml:space="preserve"> </w:t>
                      </w:r>
                      <w:r w:rsidRPr="004E0302">
                        <w:rPr>
                          <w:rFonts w:cs="Arial"/>
                          <w:color w:val="FFFFFF"/>
                          <w:spacing w:val="-1"/>
                          <w:sz w:val="20"/>
                        </w:rPr>
                        <w:t>limited mobility</w:t>
                      </w:r>
                      <w:r w:rsidRPr="004E0302">
                        <w:rPr>
                          <w:rFonts w:cs="Arial"/>
                          <w:color w:val="FFFFFF"/>
                          <w:spacing w:val="67"/>
                          <w:sz w:val="20"/>
                        </w:rPr>
                        <w:t xml:space="preserve"> </w:t>
                      </w:r>
                      <w:r w:rsidRPr="004E0302">
                        <w:rPr>
                          <w:rFonts w:cs="Arial"/>
                          <w:color w:val="FFFFFF"/>
                          <w:spacing w:val="-1"/>
                          <w:sz w:val="20"/>
                        </w:rPr>
                        <w:t>as</w:t>
                      </w:r>
                      <w:r w:rsidRPr="004E0302">
                        <w:rPr>
                          <w:rFonts w:cs="Arial"/>
                          <w:color w:val="FFFFFF"/>
                          <w:spacing w:val="46"/>
                          <w:sz w:val="20"/>
                        </w:rPr>
                        <w:t xml:space="preserve"> </w:t>
                      </w:r>
                      <w:r w:rsidRPr="004E0302">
                        <w:rPr>
                          <w:rFonts w:cs="Arial"/>
                          <w:color w:val="FFFFFF"/>
                          <w:spacing w:val="-1"/>
                          <w:sz w:val="20"/>
                        </w:rPr>
                        <w:t>they</w:t>
                      </w:r>
                      <w:r w:rsidRPr="004E0302">
                        <w:rPr>
                          <w:rFonts w:cs="Arial"/>
                          <w:color w:val="FFFFFF"/>
                          <w:spacing w:val="46"/>
                          <w:sz w:val="20"/>
                        </w:rPr>
                        <w:t xml:space="preserve"> </w:t>
                      </w:r>
                      <w:r w:rsidRPr="004E0302">
                        <w:rPr>
                          <w:rFonts w:cs="Arial"/>
                          <w:color w:val="FFFFFF"/>
                          <w:spacing w:val="-1"/>
                          <w:sz w:val="20"/>
                        </w:rPr>
                        <w:t>have</w:t>
                      </w:r>
                      <w:r w:rsidRPr="004E0302">
                        <w:rPr>
                          <w:rFonts w:cs="Arial"/>
                          <w:color w:val="FFFFFF"/>
                          <w:spacing w:val="44"/>
                          <w:sz w:val="20"/>
                        </w:rPr>
                        <w:t xml:space="preserve"> </w:t>
                      </w:r>
                      <w:r w:rsidRPr="004E0302">
                        <w:rPr>
                          <w:rFonts w:cs="Arial"/>
                          <w:color w:val="FFFFFF"/>
                          <w:spacing w:val="-1"/>
                          <w:sz w:val="20"/>
                        </w:rPr>
                        <w:t>been</w:t>
                      </w:r>
                      <w:r w:rsidRPr="004E0302">
                        <w:rPr>
                          <w:rFonts w:cs="Arial"/>
                          <w:color w:val="FFFFFF"/>
                          <w:spacing w:val="48"/>
                          <w:sz w:val="20"/>
                        </w:rPr>
                        <w:t xml:space="preserve"> </w:t>
                      </w:r>
                      <w:r w:rsidRPr="004E0302">
                        <w:rPr>
                          <w:rFonts w:cs="Arial"/>
                          <w:color w:val="FFFFFF"/>
                          <w:sz w:val="20"/>
                        </w:rPr>
                        <w:t>moved</w:t>
                      </w:r>
                      <w:r w:rsidRPr="004E0302">
                        <w:rPr>
                          <w:rFonts w:cs="Arial"/>
                          <w:color w:val="FFFFFF"/>
                          <w:spacing w:val="45"/>
                          <w:sz w:val="20"/>
                        </w:rPr>
                        <w:t xml:space="preserve"> </w:t>
                      </w:r>
                      <w:r w:rsidRPr="004E0302">
                        <w:rPr>
                          <w:rFonts w:cs="Arial"/>
                          <w:color w:val="FFFFFF"/>
                          <w:spacing w:val="-1"/>
                          <w:sz w:val="20"/>
                        </w:rPr>
                        <w:t>upstairs.</w:t>
                      </w:r>
                      <w:r w:rsidRPr="004E0302">
                        <w:rPr>
                          <w:rFonts w:cs="Arial"/>
                          <w:color w:val="FFFFFF"/>
                          <w:spacing w:val="25"/>
                          <w:sz w:val="20"/>
                        </w:rPr>
                        <w:t xml:space="preserve"> </w:t>
                      </w:r>
                      <w:r>
                        <w:rPr>
                          <w:rFonts w:cs="Arial"/>
                          <w:color w:val="FFFFFF"/>
                          <w:spacing w:val="-1"/>
                          <w:sz w:val="20"/>
                        </w:rPr>
                        <w:t>The commissioner</w:t>
                      </w:r>
                      <w:r w:rsidRPr="004E0302">
                        <w:rPr>
                          <w:rFonts w:cs="Arial"/>
                          <w:color w:val="FFFFFF"/>
                          <w:spacing w:val="47"/>
                          <w:sz w:val="20"/>
                        </w:rPr>
                        <w:t xml:space="preserve"> </w:t>
                      </w:r>
                      <w:r w:rsidRPr="004E0302">
                        <w:rPr>
                          <w:rFonts w:cs="Arial"/>
                          <w:color w:val="FFFFFF"/>
                          <w:spacing w:val="-1"/>
                          <w:sz w:val="20"/>
                        </w:rPr>
                        <w:t>decides</w:t>
                      </w:r>
                      <w:r w:rsidRPr="004E0302">
                        <w:rPr>
                          <w:rFonts w:cs="Arial"/>
                          <w:color w:val="FFFFFF"/>
                          <w:spacing w:val="46"/>
                          <w:sz w:val="20"/>
                        </w:rPr>
                        <w:t xml:space="preserve"> </w:t>
                      </w:r>
                      <w:r w:rsidRPr="004E0302">
                        <w:rPr>
                          <w:rFonts w:cs="Arial"/>
                          <w:color w:val="FFFFFF"/>
                          <w:spacing w:val="-1"/>
                          <w:sz w:val="20"/>
                        </w:rPr>
                        <w:t>that</w:t>
                      </w:r>
                      <w:r w:rsidRPr="004E0302">
                        <w:rPr>
                          <w:rFonts w:cs="Arial"/>
                          <w:color w:val="FFFFFF"/>
                          <w:spacing w:val="46"/>
                          <w:sz w:val="20"/>
                        </w:rPr>
                        <w:t xml:space="preserve"> </w:t>
                      </w:r>
                      <w:r w:rsidRPr="004E0302">
                        <w:rPr>
                          <w:rFonts w:cs="Arial"/>
                          <w:color w:val="FFFFFF"/>
                          <w:spacing w:val="-1"/>
                          <w:sz w:val="20"/>
                        </w:rPr>
                        <w:t>as</w:t>
                      </w:r>
                      <w:r w:rsidRPr="004E0302">
                        <w:rPr>
                          <w:rFonts w:cs="Arial"/>
                          <w:color w:val="FFFFFF"/>
                          <w:spacing w:val="53"/>
                          <w:sz w:val="20"/>
                        </w:rPr>
                        <w:t xml:space="preserve"> </w:t>
                      </w:r>
                      <w:r w:rsidRPr="004E0302">
                        <w:rPr>
                          <w:rFonts w:cs="Arial"/>
                          <w:color w:val="FFFFFF"/>
                          <w:spacing w:val="-1"/>
                          <w:sz w:val="20"/>
                        </w:rPr>
                        <w:t>there</w:t>
                      </w:r>
                      <w:r w:rsidRPr="004E0302">
                        <w:rPr>
                          <w:rFonts w:cs="Arial"/>
                          <w:color w:val="FFFFFF"/>
                          <w:spacing w:val="60"/>
                          <w:sz w:val="20"/>
                        </w:rPr>
                        <w:t xml:space="preserve"> </w:t>
                      </w:r>
                      <w:r w:rsidRPr="004E0302">
                        <w:rPr>
                          <w:rFonts w:cs="Arial"/>
                          <w:color w:val="FFFFFF"/>
                          <w:spacing w:val="-1"/>
                          <w:sz w:val="20"/>
                        </w:rPr>
                        <w:t>are</w:t>
                      </w:r>
                      <w:r w:rsidRPr="004E0302">
                        <w:rPr>
                          <w:rFonts w:cs="Arial"/>
                          <w:color w:val="FFFFFF"/>
                          <w:spacing w:val="60"/>
                          <w:sz w:val="20"/>
                        </w:rPr>
                        <w:t xml:space="preserve"> </w:t>
                      </w:r>
                      <w:r w:rsidRPr="004E0302">
                        <w:rPr>
                          <w:rFonts w:cs="Arial"/>
                          <w:color w:val="FFFFFF"/>
                          <w:spacing w:val="-1"/>
                          <w:sz w:val="20"/>
                        </w:rPr>
                        <w:t>no</w:t>
                      </w:r>
                      <w:r w:rsidRPr="004E0302">
                        <w:rPr>
                          <w:rFonts w:cs="Arial"/>
                          <w:color w:val="FFFFFF"/>
                          <w:spacing w:val="62"/>
                          <w:sz w:val="20"/>
                        </w:rPr>
                        <w:t xml:space="preserve"> </w:t>
                      </w:r>
                      <w:r w:rsidRPr="004E0302">
                        <w:rPr>
                          <w:rFonts w:cs="Arial"/>
                          <w:color w:val="FFFFFF"/>
                          <w:spacing w:val="-1"/>
                          <w:sz w:val="20"/>
                        </w:rPr>
                        <w:t>downstairs</w:t>
                      </w:r>
                      <w:r w:rsidRPr="004E0302">
                        <w:rPr>
                          <w:rFonts w:cs="Arial"/>
                          <w:color w:val="FFFFFF"/>
                          <w:spacing w:val="62"/>
                          <w:sz w:val="20"/>
                        </w:rPr>
                        <w:t xml:space="preserve"> </w:t>
                      </w:r>
                      <w:r w:rsidRPr="004E0302">
                        <w:rPr>
                          <w:rFonts w:cs="Arial"/>
                          <w:color w:val="FFFFFF"/>
                          <w:spacing w:val="-1"/>
                          <w:sz w:val="20"/>
                        </w:rPr>
                        <w:t>consulting</w:t>
                      </w:r>
                      <w:r w:rsidRPr="004E0302">
                        <w:rPr>
                          <w:rFonts w:cs="Arial"/>
                          <w:color w:val="FFFFFF"/>
                          <w:spacing w:val="60"/>
                          <w:sz w:val="20"/>
                        </w:rPr>
                        <w:t xml:space="preserve"> </w:t>
                      </w:r>
                      <w:r w:rsidRPr="004E0302">
                        <w:rPr>
                          <w:rFonts w:cs="Arial"/>
                          <w:color w:val="FFFFFF"/>
                          <w:spacing w:val="-1"/>
                          <w:sz w:val="20"/>
                        </w:rPr>
                        <w:t>rooms</w:t>
                      </w:r>
                      <w:r w:rsidRPr="004E0302">
                        <w:rPr>
                          <w:rFonts w:cs="Arial"/>
                          <w:color w:val="FFFFFF"/>
                          <w:spacing w:val="61"/>
                          <w:sz w:val="20"/>
                        </w:rPr>
                        <w:t xml:space="preserve"> </w:t>
                      </w:r>
                      <w:r w:rsidRPr="004E0302">
                        <w:rPr>
                          <w:rFonts w:cs="Arial"/>
                          <w:color w:val="FFFFFF"/>
                          <w:sz w:val="20"/>
                        </w:rPr>
                        <w:t>and</w:t>
                      </w:r>
                      <w:r w:rsidRPr="004E0302">
                        <w:rPr>
                          <w:rFonts w:cs="Arial"/>
                          <w:color w:val="FFFFFF"/>
                          <w:spacing w:val="61"/>
                          <w:sz w:val="20"/>
                        </w:rPr>
                        <w:t xml:space="preserve"> </w:t>
                      </w:r>
                      <w:r w:rsidRPr="004E0302">
                        <w:rPr>
                          <w:rFonts w:cs="Arial"/>
                          <w:color w:val="FFFFFF"/>
                          <w:spacing w:val="-1"/>
                          <w:sz w:val="20"/>
                        </w:rPr>
                        <w:t>there</w:t>
                      </w:r>
                      <w:r w:rsidRPr="004E0302">
                        <w:rPr>
                          <w:rFonts w:cs="Arial"/>
                          <w:color w:val="FFFFFF"/>
                          <w:spacing w:val="62"/>
                          <w:sz w:val="20"/>
                        </w:rPr>
                        <w:t xml:space="preserve"> </w:t>
                      </w:r>
                      <w:r w:rsidRPr="004E0302">
                        <w:rPr>
                          <w:rFonts w:cs="Arial"/>
                          <w:color w:val="FFFFFF"/>
                          <w:spacing w:val="-1"/>
                          <w:sz w:val="20"/>
                        </w:rPr>
                        <w:t>is</w:t>
                      </w:r>
                      <w:r w:rsidRPr="004E0302">
                        <w:rPr>
                          <w:rFonts w:cs="Arial"/>
                          <w:color w:val="FFFFFF"/>
                          <w:spacing w:val="61"/>
                          <w:sz w:val="20"/>
                        </w:rPr>
                        <w:t xml:space="preserve"> </w:t>
                      </w:r>
                      <w:r w:rsidRPr="004E0302">
                        <w:rPr>
                          <w:rFonts w:cs="Arial"/>
                          <w:color w:val="FFFFFF"/>
                          <w:spacing w:val="-1"/>
                          <w:sz w:val="20"/>
                        </w:rPr>
                        <w:t>no</w:t>
                      </w:r>
                      <w:r w:rsidRPr="004E0302">
                        <w:rPr>
                          <w:rFonts w:cs="Arial"/>
                          <w:color w:val="FFFFFF"/>
                          <w:spacing w:val="60"/>
                          <w:sz w:val="20"/>
                        </w:rPr>
                        <w:t xml:space="preserve"> </w:t>
                      </w:r>
                      <w:r w:rsidRPr="004E0302">
                        <w:rPr>
                          <w:rFonts w:cs="Arial"/>
                          <w:color w:val="FFFFFF"/>
                          <w:spacing w:val="-1"/>
                          <w:sz w:val="20"/>
                        </w:rPr>
                        <w:t>lift</w:t>
                      </w:r>
                      <w:r w:rsidRPr="004E0302">
                        <w:rPr>
                          <w:rFonts w:cs="Arial"/>
                          <w:color w:val="FFFFFF"/>
                          <w:spacing w:val="62"/>
                          <w:sz w:val="20"/>
                        </w:rPr>
                        <w:t xml:space="preserve"> </w:t>
                      </w:r>
                      <w:r w:rsidRPr="004E0302">
                        <w:rPr>
                          <w:rFonts w:cs="Arial"/>
                          <w:color w:val="FFFFFF"/>
                          <w:spacing w:val="-1"/>
                          <w:sz w:val="20"/>
                        </w:rPr>
                        <w:t>or</w:t>
                      </w:r>
                      <w:r w:rsidRPr="004E0302">
                        <w:rPr>
                          <w:rFonts w:cs="Arial"/>
                          <w:color w:val="FFFFFF"/>
                          <w:spacing w:val="61"/>
                          <w:w w:val="99"/>
                          <w:sz w:val="20"/>
                        </w:rPr>
                        <w:t xml:space="preserve"> </w:t>
                      </w:r>
                      <w:r w:rsidRPr="004E0302">
                        <w:rPr>
                          <w:rFonts w:cs="Arial"/>
                          <w:color w:val="FFFFFF"/>
                          <w:spacing w:val="-1"/>
                          <w:sz w:val="20"/>
                        </w:rPr>
                        <w:t>stair</w:t>
                      </w:r>
                      <w:r>
                        <w:rPr>
                          <w:rFonts w:cs="Arial"/>
                          <w:color w:val="FFFFFF"/>
                          <w:spacing w:val="-1"/>
                          <w:sz w:val="20"/>
                        </w:rPr>
                        <w:t xml:space="preserve"> </w:t>
                      </w:r>
                      <w:r w:rsidRPr="004E0302">
                        <w:rPr>
                          <w:rFonts w:cs="Arial"/>
                          <w:color w:val="FFFFFF"/>
                          <w:spacing w:val="-1"/>
                          <w:sz w:val="20"/>
                        </w:rPr>
                        <w:t>lift,</w:t>
                      </w:r>
                      <w:r w:rsidRPr="004E0302">
                        <w:rPr>
                          <w:rFonts w:cs="Arial"/>
                          <w:color w:val="FFFFFF"/>
                          <w:spacing w:val="45"/>
                          <w:sz w:val="20"/>
                        </w:rPr>
                        <w:t xml:space="preserve"> </w:t>
                      </w:r>
                      <w:r w:rsidRPr="004E0302">
                        <w:rPr>
                          <w:rFonts w:cs="Arial"/>
                          <w:color w:val="FFFFFF"/>
                          <w:spacing w:val="-1"/>
                          <w:sz w:val="20"/>
                        </w:rPr>
                        <w:t>this</w:t>
                      </w:r>
                      <w:r w:rsidRPr="004E0302">
                        <w:rPr>
                          <w:rFonts w:cs="Arial"/>
                          <w:color w:val="FFFFFF"/>
                          <w:spacing w:val="46"/>
                          <w:sz w:val="20"/>
                        </w:rPr>
                        <w:t xml:space="preserve"> </w:t>
                      </w:r>
                      <w:r w:rsidRPr="004E0302">
                        <w:rPr>
                          <w:rFonts w:cs="Arial"/>
                          <w:color w:val="FFFFFF"/>
                          <w:spacing w:val="-1"/>
                          <w:sz w:val="20"/>
                        </w:rPr>
                        <w:t>is</w:t>
                      </w:r>
                      <w:r w:rsidRPr="004E0302">
                        <w:rPr>
                          <w:rFonts w:cs="Arial"/>
                          <w:color w:val="FFFFFF"/>
                          <w:spacing w:val="47"/>
                          <w:sz w:val="20"/>
                        </w:rPr>
                        <w:t xml:space="preserve"> </w:t>
                      </w:r>
                      <w:r w:rsidRPr="004E0302">
                        <w:rPr>
                          <w:rFonts w:cs="Arial"/>
                          <w:color w:val="FFFFFF"/>
                          <w:sz w:val="20"/>
                        </w:rPr>
                        <w:t>a</w:t>
                      </w:r>
                      <w:r w:rsidRPr="004E0302">
                        <w:rPr>
                          <w:rFonts w:cs="Arial"/>
                          <w:color w:val="FFFFFF"/>
                          <w:spacing w:val="47"/>
                          <w:sz w:val="20"/>
                        </w:rPr>
                        <w:t xml:space="preserve"> </w:t>
                      </w:r>
                      <w:r w:rsidRPr="004E0302">
                        <w:rPr>
                          <w:rFonts w:cs="Arial"/>
                          <w:color w:val="FFFFFF"/>
                          <w:spacing w:val="-1"/>
                          <w:sz w:val="20"/>
                        </w:rPr>
                        <w:t>breach</w:t>
                      </w:r>
                      <w:r w:rsidRPr="004E0302">
                        <w:rPr>
                          <w:rFonts w:cs="Arial"/>
                          <w:color w:val="FFFFFF"/>
                          <w:spacing w:val="46"/>
                          <w:sz w:val="20"/>
                        </w:rPr>
                        <w:t xml:space="preserve"> </w:t>
                      </w:r>
                      <w:r w:rsidRPr="004E0302">
                        <w:rPr>
                          <w:rFonts w:cs="Arial"/>
                          <w:color w:val="FFFFFF"/>
                          <w:spacing w:val="-1"/>
                          <w:sz w:val="20"/>
                        </w:rPr>
                        <w:t>of</w:t>
                      </w:r>
                      <w:r w:rsidRPr="004E0302">
                        <w:rPr>
                          <w:rFonts w:cs="Arial"/>
                          <w:color w:val="FFFFFF"/>
                          <w:spacing w:val="44"/>
                          <w:sz w:val="20"/>
                        </w:rPr>
                        <w:t xml:space="preserve"> </w:t>
                      </w:r>
                      <w:r w:rsidRPr="004E0302">
                        <w:rPr>
                          <w:rFonts w:cs="Arial"/>
                          <w:color w:val="FFFFFF"/>
                          <w:spacing w:val="-1"/>
                          <w:sz w:val="20"/>
                        </w:rPr>
                        <w:t>the</w:t>
                      </w:r>
                      <w:r w:rsidRPr="004E0302">
                        <w:rPr>
                          <w:rFonts w:cs="Arial"/>
                          <w:color w:val="FFFFFF"/>
                          <w:spacing w:val="48"/>
                          <w:sz w:val="20"/>
                        </w:rPr>
                        <w:t xml:space="preserve"> </w:t>
                      </w:r>
                      <w:r w:rsidRPr="004E0302">
                        <w:rPr>
                          <w:rFonts w:cs="Arial"/>
                          <w:color w:val="FFFFFF"/>
                          <w:spacing w:val="-1"/>
                          <w:sz w:val="20"/>
                        </w:rPr>
                        <w:t>practice's</w:t>
                      </w:r>
                      <w:r w:rsidRPr="004E0302">
                        <w:rPr>
                          <w:rFonts w:cs="Arial"/>
                          <w:color w:val="FFFFFF"/>
                          <w:spacing w:val="46"/>
                          <w:sz w:val="20"/>
                        </w:rPr>
                        <w:t xml:space="preserve"> </w:t>
                      </w:r>
                      <w:r w:rsidRPr="004E0302">
                        <w:rPr>
                          <w:rFonts w:cs="Arial"/>
                          <w:color w:val="FFFFFF"/>
                          <w:sz w:val="20"/>
                        </w:rPr>
                        <w:t>duty</w:t>
                      </w:r>
                      <w:r w:rsidRPr="004E0302">
                        <w:rPr>
                          <w:rFonts w:cs="Arial"/>
                          <w:color w:val="FFFFFF"/>
                          <w:spacing w:val="47"/>
                          <w:sz w:val="20"/>
                        </w:rPr>
                        <w:t xml:space="preserve"> </w:t>
                      </w:r>
                      <w:r w:rsidRPr="004E0302">
                        <w:rPr>
                          <w:rFonts w:cs="Arial"/>
                          <w:color w:val="FFFFFF"/>
                          <w:sz w:val="20"/>
                        </w:rPr>
                        <w:t>to</w:t>
                      </w:r>
                      <w:r w:rsidRPr="004E0302">
                        <w:rPr>
                          <w:rFonts w:cs="Arial"/>
                          <w:color w:val="FFFFFF"/>
                          <w:spacing w:val="44"/>
                          <w:sz w:val="20"/>
                        </w:rPr>
                        <w:t xml:space="preserve"> </w:t>
                      </w:r>
                      <w:r w:rsidRPr="004E0302">
                        <w:rPr>
                          <w:rFonts w:cs="Arial"/>
                          <w:color w:val="FFFFFF"/>
                          <w:spacing w:val="-1"/>
                          <w:sz w:val="20"/>
                        </w:rPr>
                        <w:t>make</w:t>
                      </w:r>
                      <w:r w:rsidRPr="004E0302">
                        <w:rPr>
                          <w:rFonts w:cs="Arial"/>
                          <w:color w:val="FFFFFF"/>
                          <w:spacing w:val="45"/>
                          <w:sz w:val="20"/>
                        </w:rPr>
                        <w:t xml:space="preserve"> </w:t>
                      </w:r>
                      <w:r w:rsidRPr="004E0302">
                        <w:rPr>
                          <w:rFonts w:cs="Arial"/>
                          <w:color w:val="FFFFFF"/>
                          <w:spacing w:val="-1"/>
                          <w:sz w:val="20"/>
                        </w:rPr>
                        <w:t>reasonable</w:t>
                      </w:r>
                      <w:r w:rsidRPr="004E0302">
                        <w:rPr>
                          <w:rFonts w:cs="Arial"/>
                          <w:color w:val="FFFFFF"/>
                          <w:spacing w:val="59"/>
                          <w:w w:val="99"/>
                          <w:sz w:val="20"/>
                        </w:rPr>
                        <w:t xml:space="preserve"> </w:t>
                      </w:r>
                      <w:r w:rsidRPr="004E0302">
                        <w:rPr>
                          <w:rFonts w:cs="Arial"/>
                          <w:color w:val="FFFFFF"/>
                          <w:spacing w:val="-1"/>
                          <w:sz w:val="20"/>
                        </w:rPr>
                        <w:t>adjustments</w:t>
                      </w:r>
                      <w:r w:rsidRPr="004E0302">
                        <w:rPr>
                          <w:rFonts w:cs="Arial"/>
                          <w:color w:val="FFFFFF"/>
                          <w:spacing w:val="29"/>
                          <w:sz w:val="20"/>
                        </w:rPr>
                        <w:t xml:space="preserve"> </w:t>
                      </w:r>
                      <w:r w:rsidRPr="004E0302">
                        <w:rPr>
                          <w:rFonts w:cs="Arial"/>
                          <w:color w:val="FFFFFF"/>
                          <w:spacing w:val="-1"/>
                          <w:sz w:val="20"/>
                        </w:rPr>
                        <w:t>under</w:t>
                      </w:r>
                      <w:r w:rsidRPr="004E0302">
                        <w:rPr>
                          <w:rFonts w:cs="Arial"/>
                          <w:color w:val="FFFFFF"/>
                          <w:spacing w:val="32"/>
                          <w:sz w:val="20"/>
                        </w:rPr>
                        <w:t xml:space="preserve"> </w:t>
                      </w:r>
                      <w:r w:rsidRPr="004E0302">
                        <w:rPr>
                          <w:rFonts w:cs="Arial"/>
                          <w:color w:val="FFFFFF"/>
                          <w:spacing w:val="-1"/>
                          <w:sz w:val="20"/>
                        </w:rPr>
                        <w:t>the</w:t>
                      </w:r>
                      <w:r w:rsidRPr="004E0302">
                        <w:rPr>
                          <w:rFonts w:cs="Arial"/>
                          <w:color w:val="FFFFFF"/>
                          <w:spacing w:val="31"/>
                          <w:sz w:val="20"/>
                        </w:rPr>
                        <w:t xml:space="preserve"> </w:t>
                      </w:r>
                      <w:r w:rsidRPr="004E0302">
                        <w:rPr>
                          <w:rFonts w:cs="Arial"/>
                          <w:color w:val="FFFFFF"/>
                          <w:spacing w:val="-1"/>
                          <w:sz w:val="20"/>
                        </w:rPr>
                        <w:t>Equality</w:t>
                      </w:r>
                      <w:r w:rsidRPr="004E0302">
                        <w:rPr>
                          <w:rFonts w:cs="Arial"/>
                          <w:color w:val="FFFFFF"/>
                          <w:spacing w:val="30"/>
                          <w:sz w:val="20"/>
                        </w:rPr>
                        <w:t xml:space="preserve"> </w:t>
                      </w:r>
                      <w:r w:rsidRPr="004E0302">
                        <w:rPr>
                          <w:rFonts w:cs="Arial"/>
                          <w:color w:val="FFFFFF"/>
                          <w:spacing w:val="-1"/>
                          <w:sz w:val="20"/>
                        </w:rPr>
                        <w:t>Act.</w:t>
                      </w:r>
                      <w:r w:rsidRPr="004E0302">
                        <w:rPr>
                          <w:rFonts w:cs="Arial"/>
                          <w:color w:val="FFFFFF"/>
                          <w:spacing w:val="59"/>
                          <w:sz w:val="20"/>
                        </w:rPr>
                        <w:t xml:space="preserve"> </w:t>
                      </w:r>
                      <w:r w:rsidRPr="004E0302">
                        <w:rPr>
                          <w:rFonts w:cs="Arial"/>
                          <w:color w:val="FFFFFF"/>
                          <w:spacing w:val="-1"/>
                          <w:sz w:val="20"/>
                        </w:rPr>
                        <w:t>This</w:t>
                      </w:r>
                      <w:r w:rsidRPr="004E0302">
                        <w:rPr>
                          <w:rFonts w:cs="Arial"/>
                          <w:color w:val="FFFFFF"/>
                          <w:spacing w:val="30"/>
                          <w:sz w:val="20"/>
                        </w:rPr>
                        <w:t xml:space="preserve"> </w:t>
                      </w:r>
                      <w:r w:rsidRPr="004E0302">
                        <w:rPr>
                          <w:rFonts w:cs="Arial"/>
                          <w:color w:val="FFFFFF"/>
                          <w:spacing w:val="-1"/>
                          <w:sz w:val="20"/>
                        </w:rPr>
                        <w:t>in</w:t>
                      </w:r>
                      <w:r w:rsidRPr="004E0302">
                        <w:rPr>
                          <w:rFonts w:cs="Arial"/>
                          <w:color w:val="FFFFFF"/>
                          <w:spacing w:val="32"/>
                          <w:sz w:val="20"/>
                        </w:rPr>
                        <w:t xml:space="preserve"> </w:t>
                      </w:r>
                      <w:r w:rsidRPr="004E0302">
                        <w:rPr>
                          <w:rFonts w:cs="Arial"/>
                          <w:color w:val="FFFFFF"/>
                          <w:spacing w:val="-1"/>
                          <w:sz w:val="20"/>
                        </w:rPr>
                        <w:t>turn</w:t>
                      </w:r>
                      <w:r w:rsidRPr="004E0302">
                        <w:rPr>
                          <w:rFonts w:cs="Arial"/>
                          <w:color w:val="FFFFFF"/>
                          <w:spacing w:val="29"/>
                          <w:sz w:val="20"/>
                        </w:rPr>
                        <w:t xml:space="preserve"> </w:t>
                      </w:r>
                      <w:r w:rsidRPr="004E0302">
                        <w:rPr>
                          <w:rFonts w:cs="Arial"/>
                          <w:color w:val="FFFFFF"/>
                          <w:spacing w:val="-1"/>
                          <w:sz w:val="20"/>
                        </w:rPr>
                        <w:t>is</w:t>
                      </w:r>
                      <w:r w:rsidRPr="004E0302">
                        <w:rPr>
                          <w:rFonts w:cs="Arial"/>
                          <w:color w:val="FFFFFF"/>
                          <w:spacing w:val="30"/>
                          <w:sz w:val="20"/>
                        </w:rPr>
                        <w:t xml:space="preserve"> </w:t>
                      </w:r>
                      <w:r w:rsidRPr="004E0302">
                        <w:rPr>
                          <w:rFonts w:cs="Arial"/>
                          <w:color w:val="FFFFFF"/>
                          <w:sz w:val="20"/>
                        </w:rPr>
                        <w:t>a</w:t>
                      </w:r>
                      <w:r w:rsidRPr="004E0302">
                        <w:rPr>
                          <w:rFonts w:cs="Arial"/>
                          <w:color w:val="FFFFFF"/>
                          <w:spacing w:val="30"/>
                          <w:sz w:val="20"/>
                        </w:rPr>
                        <w:t xml:space="preserve"> </w:t>
                      </w:r>
                      <w:r w:rsidRPr="004E0302">
                        <w:rPr>
                          <w:rFonts w:cs="Arial"/>
                          <w:color w:val="FFFFFF"/>
                          <w:spacing w:val="-1"/>
                          <w:sz w:val="20"/>
                        </w:rPr>
                        <w:t>breach</w:t>
                      </w:r>
                      <w:r w:rsidRPr="004E0302">
                        <w:rPr>
                          <w:rFonts w:cs="Arial"/>
                          <w:color w:val="FFFFFF"/>
                          <w:spacing w:val="29"/>
                          <w:sz w:val="20"/>
                        </w:rPr>
                        <w:t xml:space="preserve"> </w:t>
                      </w:r>
                      <w:r w:rsidRPr="004E0302">
                        <w:rPr>
                          <w:rFonts w:cs="Arial"/>
                          <w:color w:val="FFFFFF"/>
                          <w:sz w:val="20"/>
                        </w:rPr>
                        <w:t>of</w:t>
                      </w:r>
                      <w:r w:rsidRPr="004E0302">
                        <w:rPr>
                          <w:rFonts w:cs="Arial"/>
                          <w:color w:val="FFFFFF"/>
                          <w:spacing w:val="28"/>
                          <w:sz w:val="20"/>
                        </w:rPr>
                        <w:t xml:space="preserve"> </w:t>
                      </w:r>
                      <w:r w:rsidRPr="004E0302">
                        <w:rPr>
                          <w:rFonts w:cs="Arial"/>
                          <w:color w:val="FFFFFF"/>
                          <w:spacing w:val="-1"/>
                          <w:sz w:val="20"/>
                        </w:rPr>
                        <w:t>the</w:t>
                      </w:r>
                      <w:r w:rsidRPr="004E0302">
                        <w:rPr>
                          <w:rFonts w:cs="Arial"/>
                          <w:color w:val="FFFFFF"/>
                          <w:spacing w:val="59"/>
                          <w:w w:val="99"/>
                          <w:sz w:val="20"/>
                        </w:rPr>
                        <w:t xml:space="preserve"> </w:t>
                      </w:r>
                      <w:r w:rsidRPr="004E0302">
                        <w:rPr>
                          <w:rFonts w:cs="Arial"/>
                          <w:color w:val="FFFFFF"/>
                          <w:spacing w:val="-1"/>
                          <w:sz w:val="20"/>
                        </w:rPr>
                        <w:t>practice's</w:t>
                      </w:r>
                      <w:r w:rsidRPr="004E0302">
                        <w:rPr>
                          <w:rFonts w:cs="Arial"/>
                          <w:color w:val="FFFFFF"/>
                          <w:spacing w:val="29"/>
                          <w:sz w:val="20"/>
                        </w:rPr>
                        <w:t xml:space="preserve"> </w:t>
                      </w:r>
                      <w:r w:rsidRPr="004E0302">
                        <w:rPr>
                          <w:rFonts w:cs="Arial"/>
                          <w:color w:val="FFFFFF"/>
                          <w:spacing w:val="-1"/>
                          <w:sz w:val="20"/>
                        </w:rPr>
                        <w:t>duty</w:t>
                      </w:r>
                      <w:r w:rsidRPr="004E0302">
                        <w:rPr>
                          <w:rFonts w:cs="Arial"/>
                          <w:color w:val="FFFFFF"/>
                          <w:spacing w:val="29"/>
                          <w:sz w:val="20"/>
                        </w:rPr>
                        <w:t xml:space="preserve"> </w:t>
                      </w:r>
                      <w:r w:rsidRPr="004E0302">
                        <w:rPr>
                          <w:rFonts w:cs="Arial"/>
                          <w:color w:val="FFFFFF"/>
                          <w:spacing w:val="-1"/>
                          <w:sz w:val="20"/>
                        </w:rPr>
                        <w:t>under</w:t>
                      </w:r>
                      <w:r w:rsidRPr="004E0302">
                        <w:rPr>
                          <w:rFonts w:cs="Arial"/>
                          <w:color w:val="FFFFFF"/>
                          <w:spacing w:val="29"/>
                          <w:sz w:val="20"/>
                        </w:rPr>
                        <w:t xml:space="preserve"> </w:t>
                      </w:r>
                      <w:r w:rsidRPr="004E0302">
                        <w:rPr>
                          <w:rFonts w:cs="Arial"/>
                          <w:color w:val="FFFFFF"/>
                          <w:sz w:val="20"/>
                        </w:rPr>
                        <w:t>its</w:t>
                      </w:r>
                      <w:r w:rsidRPr="004E0302">
                        <w:rPr>
                          <w:rFonts w:cs="Arial"/>
                          <w:color w:val="FFFFFF"/>
                          <w:spacing w:val="30"/>
                          <w:sz w:val="20"/>
                        </w:rPr>
                        <w:t xml:space="preserve"> </w:t>
                      </w:r>
                      <w:r w:rsidRPr="004E0302">
                        <w:rPr>
                          <w:rFonts w:cs="Arial"/>
                          <w:color w:val="FFFFFF"/>
                          <w:spacing w:val="-1"/>
                          <w:sz w:val="20"/>
                        </w:rPr>
                        <w:t>contract</w:t>
                      </w:r>
                      <w:r w:rsidRPr="004E0302">
                        <w:rPr>
                          <w:rFonts w:cs="Arial"/>
                          <w:color w:val="FFFFFF"/>
                          <w:spacing w:val="29"/>
                          <w:sz w:val="20"/>
                        </w:rPr>
                        <w:t xml:space="preserve"> </w:t>
                      </w:r>
                      <w:r w:rsidRPr="004E0302">
                        <w:rPr>
                          <w:rFonts w:cs="Arial"/>
                          <w:color w:val="FFFFFF"/>
                          <w:spacing w:val="-1"/>
                          <w:sz w:val="20"/>
                        </w:rPr>
                        <w:t>with</w:t>
                      </w:r>
                      <w:r w:rsidRPr="004E0302">
                        <w:rPr>
                          <w:rFonts w:cs="Arial"/>
                          <w:color w:val="FFFFFF"/>
                          <w:spacing w:val="28"/>
                          <w:sz w:val="20"/>
                        </w:rPr>
                        <w:t xml:space="preserve"> </w:t>
                      </w:r>
                      <w:r>
                        <w:rPr>
                          <w:rFonts w:cs="Arial"/>
                          <w:color w:val="FFFFFF"/>
                          <w:spacing w:val="28"/>
                          <w:sz w:val="20"/>
                        </w:rPr>
                        <w:t xml:space="preserve">the commissioner </w:t>
                      </w:r>
                      <w:r w:rsidRPr="004E0302">
                        <w:rPr>
                          <w:rFonts w:cs="Arial"/>
                          <w:color w:val="FFFFFF"/>
                          <w:sz w:val="20"/>
                        </w:rPr>
                        <w:t>to</w:t>
                      </w:r>
                      <w:r w:rsidRPr="004E0302">
                        <w:rPr>
                          <w:rFonts w:cs="Arial"/>
                          <w:color w:val="FFFFFF"/>
                          <w:spacing w:val="31"/>
                          <w:sz w:val="20"/>
                        </w:rPr>
                        <w:t xml:space="preserve"> </w:t>
                      </w:r>
                      <w:r w:rsidRPr="004E0302">
                        <w:rPr>
                          <w:rFonts w:cs="Arial"/>
                          <w:color w:val="FFFFFF"/>
                          <w:spacing w:val="-1"/>
                          <w:sz w:val="20"/>
                        </w:rPr>
                        <w:t>comply</w:t>
                      </w:r>
                      <w:r w:rsidRPr="004E0302">
                        <w:rPr>
                          <w:rFonts w:cs="Arial"/>
                          <w:color w:val="FFFFFF"/>
                          <w:spacing w:val="29"/>
                          <w:sz w:val="20"/>
                        </w:rPr>
                        <w:t xml:space="preserve"> </w:t>
                      </w:r>
                      <w:r w:rsidRPr="004E0302">
                        <w:rPr>
                          <w:rFonts w:cs="Arial"/>
                          <w:color w:val="FFFFFF"/>
                          <w:spacing w:val="-1"/>
                          <w:sz w:val="20"/>
                        </w:rPr>
                        <w:t>with</w:t>
                      </w:r>
                      <w:r w:rsidRPr="004E0302">
                        <w:rPr>
                          <w:rFonts w:cs="Arial"/>
                          <w:color w:val="FFFFFF"/>
                          <w:spacing w:val="53"/>
                          <w:sz w:val="20"/>
                        </w:rPr>
                        <w:t xml:space="preserve"> </w:t>
                      </w:r>
                      <w:r w:rsidRPr="004E0302">
                        <w:rPr>
                          <w:rFonts w:cs="Arial"/>
                          <w:color w:val="FFFFFF"/>
                          <w:spacing w:val="-1"/>
                          <w:sz w:val="20"/>
                        </w:rPr>
                        <w:t>legislation.</w:t>
                      </w:r>
                      <w:r w:rsidRPr="004E0302">
                        <w:rPr>
                          <w:rFonts w:cs="Arial"/>
                          <w:color w:val="FFFFFF"/>
                          <w:spacing w:val="26"/>
                          <w:sz w:val="20"/>
                        </w:rPr>
                        <w:t xml:space="preserve"> </w:t>
                      </w:r>
                      <w:r w:rsidRPr="004E0302">
                        <w:rPr>
                          <w:rFonts w:cs="Arial"/>
                          <w:color w:val="FFFFFF"/>
                          <w:sz w:val="20"/>
                        </w:rPr>
                        <w:t>In</w:t>
                      </w:r>
                      <w:r w:rsidRPr="004E0302">
                        <w:rPr>
                          <w:rFonts w:cs="Arial"/>
                          <w:color w:val="FFFFFF"/>
                          <w:spacing w:val="46"/>
                          <w:sz w:val="20"/>
                        </w:rPr>
                        <w:t xml:space="preserve"> </w:t>
                      </w:r>
                      <w:r w:rsidRPr="004E0302">
                        <w:rPr>
                          <w:rFonts w:cs="Arial"/>
                          <w:color w:val="FFFFFF"/>
                          <w:spacing w:val="-1"/>
                          <w:sz w:val="20"/>
                        </w:rPr>
                        <w:t>order</w:t>
                      </w:r>
                      <w:r w:rsidRPr="004E0302">
                        <w:rPr>
                          <w:rFonts w:cs="Arial"/>
                          <w:color w:val="FFFFFF"/>
                          <w:spacing w:val="46"/>
                          <w:sz w:val="20"/>
                        </w:rPr>
                        <w:t xml:space="preserve"> </w:t>
                      </w:r>
                      <w:r w:rsidRPr="004E0302">
                        <w:rPr>
                          <w:rFonts w:cs="Arial"/>
                          <w:color w:val="FFFFFF"/>
                          <w:sz w:val="20"/>
                        </w:rPr>
                        <w:t>to</w:t>
                      </w:r>
                      <w:r w:rsidRPr="004E0302">
                        <w:rPr>
                          <w:rFonts w:cs="Arial"/>
                          <w:color w:val="FFFFFF"/>
                          <w:spacing w:val="45"/>
                          <w:sz w:val="20"/>
                        </w:rPr>
                        <w:t xml:space="preserve"> </w:t>
                      </w:r>
                      <w:r w:rsidRPr="004E0302">
                        <w:rPr>
                          <w:rFonts w:cs="Arial"/>
                          <w:color w:val="FFFFFF"/>
                          <w:spacing w:val="-1"/>
                          <w:sz w:val="20"/>
                        </w:rPr>
                        <w:t>comply</w:t>
                      </w:r>
                      <w:r w:rsidRPr="004E0302">
                        <w:rPr>
                          <w:rFonts w:cs="Arial"/>
                          <w:color w:val="FFFFFF"/>
                          <w:spacing w:val="47"/>
                          <w:sz w:val="20"/>
                        </w:rPr>
                        <w:t xml:space="preserve"> </w:t>
                      </w:r>
                      <w:r w:rsidRPr="004E0302">
                        <w:rPr>
                          <w:rFonts w:cs="Arial"/>
                          <w:color w:val="FFFFFF"/>
                          <w:spacing w:val="-1"/>
                          <w:sz w:val="20"/>
                        </w:rPr>
                        <w:t>with</w:t>
                      </w:r>
                      <w:r w:rsidRPr="004E0302">
                        <w:rPr>
                          <w:rFonts w:cs="Arial"/>
                          <w:color w:val="FFFFFF"/>
                          <w:spacing w:val="45"/>
                          <w:sz w:val="20"/>
                        </w:rPr>
                        <w:t xml:space="preserve"> </w:t>
                      </w:r>
                      <w:r w:rsidRPr="004E0302">
                        <w:rPr>
                          <w:rFonts w:cs="Arial"/>
                          <w:color w:val="FFFFFF"/>
                          <w:spacing w:val="-1"/>
                          <w:sz w:val="20"/>
                        </w:rPr>
                        <w:t>the</w:t>
                      </w:r>
                      <w:r w:rsidRPr="004E0302">
                        <w:rPr>
                          <w:rFonts w:cs="Arial"/>
                          <w:color w:val="FFFFFF"/>
                          <w:spacing w:val="45"/>
                          <w:sz w:val="20"/>
                        </w:rPr>
                        <w:t xml:space="preserve"> </w:t>
                      </w:r>
                      <w:r w:rsidRPr="004E0302">
                        <w:rPr>
                          <w:rFonts w:cs="Arial"/>
                          <w:color w:val="FFFFFF"/>
                          <w:spacing w:val="-1"/>
                          <w:sz w:val="20"/>
                        </w:rPr>
                        <w:t>PSED</w:t>
                      </w:r>
                      <w:r w:rsidRPr="004E0302">
                        <w:rPr>
                          <w:rFonts w:cs="Arial"/>
                          <w:color w:val="FFFFFF"/>
                          <w:spacing w:val="46"/>
                          <w:sz w:val="20"/>
                        </w:rPr>
                        <w:t xml:space="preserve"> </w:t>
                      </w:r>
                      <w:r>
                        <w:rPr>
                          <w:rFonts w:cs="Arial"/>
                          <w:color w:val="FFFFFF"/>
                          <w:spacing w:val="46"/>
                          <w:sz w:val="20"/>
                        </w:rPr>
                        <w:t xml:space="preserve">the commissioner </w:t>
                      </w:r>
                      <w:r w:rsidRPr="004E0302">
                        <w:rPr>
                          <w:rFonts w:cs="Arial"/>
                          <w:color w:val="FFFFFF"/>
                          <w:spacing w:val="-1"/>
                          <w:sz w:val="20"/>
                        </w:rPr>
                        <w:t>takes</w:t>
                      </w:r>
                      <w:r w:rsidRPr="004E0302">
                        <w:rPr>
                          <w:rFonts w:cs="Arial"/>
                          <w:color w:val="FFFFFF"/>
                          <w:spacing w:val="53"/>
                          <w:sz w:val="20"/>
                        </w:rPr>
                        <w:t xml:space="preserve"> </w:t>
                      </w:r>
                      <w:r w:rsidRPr="004E0302">
                        <w:rPr>
                          <w:rFonts w:cs="Arial"/>
                          <w:color w:val="FFFFFF"/>
                          <w:spacing w:val="-1"/>
                          <w:sz w:val="20"/>
                        </w:rPr>
                        <w:t>steps</w:t>
                      </w:r>
                      <w:r w:rsidRPr="004E0302">
                        <w:rPr>
                          <w:rFonts w:cs="Arial"/>
                          <w:color w:val="FFFFFF"/>
                          <w:spacing w:val="10"/>
                          <w:sz w:val="20"/>
                        </w:rPr>
                        <w:t xml:space="preserve"> </w:t>
                      </w:r>
                      <w:r w:rsidRPr="004E0302">
                        <w:rPr>
                          <w:rFonts w:cs="Arial"/>
                          <w:color w:val="FFFFFF"/>
                          <w:sz w:val="20"/>
                        </w:rPr>
                        <w:t>to</w:t>
                      </w:r>
                      <w:r w:rsidRPr="004E0302">
                        <w:rPr>
                          <w:rFonts w:cs="Arial"/>
                          <w:color w:val="FFFFFF"/>
                          <w:spacing w:val="9"/>
                          <w:sz w:val="20"/>
                        </w:rPr>
                        <w:t xml:space="preserve"> </w:t>
                      </w:r>
                      <w:r w:rsidRPr="004E0302">
                        <w:rPr>
                          <w:rFonts w:cs="Arial"/>
                          <w:color w:val="FFFFFF"/>
                          <w:spacing w:val="-1"/>
                          <w:sz w:val="20"/>
                        </w:rPr>
                        <w:t>ensure</w:t>
                      </w:r>
                      <w:r w:rsidRPr="004E0302">
                        <w:rPr>
                          <w:rFonts w:cs="Arial"/>
                          <w:color w:val="FFFFFF"/>
                          <w:spacing w:val="8"/>
                          <w:sz w:val="20"/>
                        </w:rPr>
                        <w:t xml:space="preserve"> </w:t>
                      </w:r>
                      <w:r w:rsidRPr="004E0302">
                        <w:rPr>
                          <w:rFonts w:cs="Arial"/>
                          <w:color w:val="FFFFFF"/>
                          <w:spacing w:val="-1"/>
                          <w:sz w:val="20"/>
                        </w:rPr>
                        <w:t>that</w:t>
                      </w:r>
                      <w:r w:rsidRPr="004E0302">
                        <w:rPr>
                          <w:rFonts w:cs="Arial"/>
                          <w:color w:val="FFFFFF"/>
                          <w:spacing w:val="12"/>
                          <w:sz w:val="20"/>
                        </w:rPr>
                        <w:t xml:space="preserve"> </w:t>
                      </w:r>
                      <w:r w:rsidRPr="004E0302">
                        <w:rPr>
                          <w:rFonts w:cs="Arial"/>
                          <w:color w:val="FFFFFF"/>
                          <w:spacing w:val="-1"/>
                          <w:sz w:val="20"/>
                        </w:rPr>
                        <w:t>the</w:t>
                      </w:r>
                      <w:r w:rsidRPr="004E0302">
                        <w:rPr>
                          <w:rFonts w:cs="Arial"/>
                          <w:color w:val="FFFFFF"/>
                          <w:spacing w:val="9"/>
                          <w:sz w:val="20"/>
                        </w:rPr>
                        <w:t xml:space="preserve"> </w:t>
                      </w:r>
                      <w:r w:rsidRPr="004E0302">
                        <w:rPr>
                          <w:rFonts w:cs="Arial"/>
                          <w:color w:val="FFFFFF"/>
                          <w:spacing w:val="-1"/>
                          <w:sz w:val="20"/>
                        </w:rPr>
                        <w:t>practice</w:t>
                      </w:r>
                      <w:r w:rsidRPr="004E0302">
                        <w:rPr>
                          <w:rFonts w:cs="Arial"/>
                          <w:color w:val="FFFFFF"/>
                          <w:spacing w:val="10"/>
                          <w:sz w:val="20"/>
                        </w:rPr>
                        <w:t xml:space="preserve"> </w:t>
                      </w:r>
                      <w:r w:rsidRPr="004E0302">
                        <w:rPr>
                          <w:rFonts w:cs="Arial"/>
                          <w:color w:val="FFFFFF"/>
                          <w:spacing w:val="-1"/>
                          <w:sz w:val="20"/>
                        </w:rPr>
                        <w:t>complies</w:t>
                      </w:r>
                      <w:r w:rsidRPr="004E0302">
                        <w:rPr>
                          <w:rFonts w:cs="Arial"/>
                          <w:color w:val="FFFFFF"/>
                          <w:spacing w:val="11"/>
                          <w:sz w:val="20"/>
                        </w:rPr>
                        <w:t xml:space="preserve"> </w:t>
                      </w:r>
                      <w:r w:rsidRPr="004E0302">
                        <w:rPr>
                          <w:rFonts w:cs="Arial"/>
                          <w:color w:val="FFFFFF"/>
                          <w:sz w:val="20"/>
                        </w:rPr>
                        <w:t>with</w:t>
                      </w:r>
                      <w:r w:rsidRPr="004E0302">
                        <w:rPr>
                          <w:rFonts w:cs="Arial"/>
                          <w:color w:val="FFFFFF"/>
                          <w:spacing w:val="9"/>
                          <w:sz w:val="20"/>
                        </w:rPr>
                        <w:t xml:space="preserve"> </w:t>
                      </w:r>
                      <w:r w:rsidRPr="004E0302">
                        <w:rPr>
                          <w:rFonts w:cs="Arial"/>
                          <w:color w:val="FFFFFF"/>
                          <w:spacing w:val="-1"/>
                          <w:sz w:val="20"/>
                        </w:rPr>
                        <w:t>its</w:t>
                      </w:r>
                      <w:r w:rsidRPr="004E0302">
                        <w:rPr>
                          <w:rFonts w:cs="Arial"/>
                          <w:color w:val="FFFFFF"/>
                          <w:spacing w:val="11"/>
                          <w:sz w:val="20"/>
                        </w:rPr>
                        <w:t xml:space="preserve"> </w:t>
                      </w:r>
                      <w:r w:rsidRPr="004E0302">
                        <w:rPr>
                          <w:rFonts w:cs="Arial"/>
                          <w:color w:val="FFFFFF"/>
                          <w:spacing w:val="-1"/>
                          <w:sz w:val="20"/>
                        </w:rPr>
                        <w:t>Equality</w:t>
                      </w:r>
                      <w:r w:rsidRPr="004E0302">
                        <w:rPr>
                          <w:rFonts w:cs="Arial"/>
                          <w:color w:val="FFFFFF"/>
                          <w:spacing w:val="9"/>
                          <w:sz w:val="20"/>
                        </w:rPr>
                        <w:t xml:space="preserve"> </w:t>
                      </w:r>
                      <w:r w:rsidRPr="004E0302">
                        <w:rPr>
                          <w:rFonts w:cs="Arial"/>
                          <w:color w:val="FFFFFF"/>
                          <w:spacing w:val="-1"/>
                          <w:sz w:val="20"/>
                        </w:rPr>
                        <w:t>Act</w:t>
                      </w:r>
                      <w:r w:rsidRPr="004E0302">
                        <w:rPr>
                          <w:rFonts w:cs="Arial"/>
                          <w:color w:val="FFFFFF"/>
                          <w:spacing w:val="13"/>
                          <w:sz w:val="20"/>
                        </w:rPr>
                        <w:t xml:space="preserve"> </w:t>
                      </w:r>
                      <w:r w:rsidRPr="004E0302">
                        <w:rPr>
                          <w:rFonts w:cs="Arial"/>
                          <w:color w:val="FFFFFF"/>
                          <w:spacing w:val="-1"/>
                          <w:sz w:val="20"/>
                        </w:rPr>
                        <w:t>duties</w:t>
                      </w:r>
                      <w:r w:rsidRPr="004E0302">
                        <w:rPr>
                          <w:rFonts w:cs="Arial"/>
                          <w:color w:val="FFFFFF"/>
                          <w:spacing w:val="64"/>
                          <w:w w:val="99"/>
                          <w:sz w:val="20"/>
                        </w:rPr>
                        <w:t xml:space="preserve"> </w:t>
                      </w:r>
                      <w:r w:rsidRPr="004E0302">
                        <w:rPr>
                          <w:rFonts w:cs="Arial"/>
                          <w:color w:val="FFFFFF"/>
                          <w:spacing w:val="-1"/>
                          <w:sz w:val="20"/>
                        </w:rPr>
                        <w:t>by</w:t>
                      </w:r>
                      <w:r w:rsidRPr="004E0302">
                        <w:rPr>
                          <w:rFonts w:cs="Arial"/>
                          <w:color w:val="FFFFFF"/>
                          <w:spacing w:val="60"/>
                          <w:sz w:val="20"/>
                        </w:rPr>
                        <w:t xml:space="preserve"> </w:t>
                      </w:r>
                      <w:r w:rsidRPr="004E0302">
                        <w:rPr>
                          <w:rFonts w:cs="Arial"/>
                          <w:color w:val="FFFFFF"/>
                          <w:spacing w:val="-1"/>
                          <w:sz w:val="20"/>
                        </w:rPr>
                        <w:t>raising</w:t>
                      </w:r>
                      <w:r w:rsidRPr="004E0302">
                        <w:rPr>
                          <w:rFonts w:cs="Arial"/>
                          <w:color w:val="FFFFFF"/>
                          <w:spacing w:val="59"/>
                          <w:sz w:val="20"/>
                        </w:rPr>
                        <w:t xml:space="preserve"> </w:t>
                      </w:r>
                      <w:r w:rsidRPr="004E0302">
                        <w:rPr>
                          <w:rFonts w:cs="Arial"/>
                          <w:color w:val="FFFFFF"/>
                          <w:spacing w:val="-1"/>
                          <w:sz w:val="20"/>
                        </w:rPr>
                        <w:t>the</w:t>
                      </w:r>
                      <w:r w:rsidRPr="004E0302">
                        <w:rPr>
                          <w:rFonts w:cs="Arial"/>
                          <w:color w:val="FFFFFF"/>
                          <w:spacing w:val="60"/>
                          <w:sz w:val="20"/>
                        </w:rPr>
                        <w:t xml:space="preserve"> </w:t>
                      </w:r>
                      <w:r w:rsidRPr="004E0302">
                        <w:rPr>
                          <w:rFonts w:cs="Arial"/>
                          <w:color w:val="FFFFFF"/>
                          <w:spacing w:val="-1"/>
                          <w:sz w:val="20"/>
                        </w:rPr>
                        <w:t>issue</w:t>
                      </w:r>
                      <w:r w:rsidRPr="004E0302">
                        <w:rPr>
                          <w:rFonts w:cs="Arial"/>
                          <w:color w:val="FFFFFF"/>
                          <w:spacing w:val="59"/>
                          <w:sz w:val="20"/>
                        </w:rPr>
                        <w:t xml:space="preserve"> </w:t>
                      </w:r>
                      <w:r w:rsidRPr="004E0302">
                        <w:rPr>
                          <w:rFonts w:cs="Arial"/>
                          <w:color w:val="FFFFFF"/>
                          <w:spacing w:val="-1"/>
                          <w:sz w:val="20"/>
                        </w:rPr>
                        <w:t>informally</w:t>
                      </w:r>
                      <w:r w:rsidRPr="004E0302">
                        <w:rPr>
                          <w:rFonts w:cs="Arial"/>
                          <w:color w:val="FFFFFF"/>
                          <w:spacing w:val="61"/>
                          <w:sz w:val="20"/>
                        </w:rPr>
                        <w:t xml:space="preserve"> </w:t>
                      </w:r>
                      <w:r w:rsidRPr="004E0302">
                        <w:rPr>
                          <w:rFonts w:cs="Arial"/>
                          <w:color w:val="FFFFFF"/>
                          <w:spacing w:val="-1"/>
                          <w:sz w:val="20"/>
                        </w:rPr>
                        <w:t>and</w:t>
                      </w:r>
                      <w:r w:rsidRPr="004E0302">
                        <w:rPr>
                          <w:rFonts w:cs="Arial"/>
                          <w:color w:val="FFFFFF"/>
                          <w:spacing w:val="59"/>
                          <w:sz w:val="20"/>
                        </w:rPr>
                        <w:t xml:space="preserve"> </w:t>
                      </w:r>
                      <w:r w:rsidRPr="004E0302">
                        <w:rPr>
                          <w:rFonts w:cs="Arial"/>
                          <w:color w:val="FFFFFF"/>
                          <w:spacing w:val="-1"/>
                          <w:sz w:val="20"/>
                        </w:rPr>
                        <w:t>issuing</w:t>
                      </w:r>
                      <w:r w:rsidRPr="004E0302">
                        <w:rPr>
                          <w:rFonts w:cs="Arial"/>
                          <w:color w:val="FFFFFF"/>
                          <w:spacing w:val="60"/>
                          <w:sz w:val="20"/>
                        </w:rPr>
                        <w:t xml:space="preserve"> </w:t>
                      </w:r>
                      <w:r w:rsidRPr="004E0302">
                        <w:rPr>
                          <w:rFonts w:cs="Arial"/>
                          <w:color w:val="FFFFFF"/>
                          <w:sz w:val="20"/>
                        </w:rPr>
                        <w:t>a</w:t>
                      </w:r>
                      <w:r w:rsidRPr="004E0302">
                        <w:rPr>
                          <w:rFonts w:cs="Arial"/>
                          <w:color w:val="FFFFFF"/>
                          <w:spacing w:val="59"/>
                          <w:sz w:val="20"/>
                        </w:rPr>
                        <w:t xml:space="preserve"> </w:t>
                      </w:r>
                      <w:r w:rsidRPr="004E0302">
                        <w:rPr>
                          <w:rFonts w:cs="Arial"/>
                          <w:color w:val="FFFFFF"/>
                          <w:spacing w:val="-1"/>
                          <w:sz w:val="20"/>
                        </w:rPr>
                        <w:t>breach</w:t>
                      </w:r>
                      <w:r w:rsidRPr="004E0302">
                        <w:rPr>
                          <w:rFonts w:cs="Arial"/>
                          <w:color w:val="FFFFFF"/>
                          <w:spacing w:val="61"/>
                          <w:sz w:val="20"/>
                        </w:rPr>
                        <w:t xml:space="preserve"> </w:t>
                      </w:r>
                      <w:r w:rsidRPr="004E0302">
                        <w:rPr>
                          <w:rFonts w:cs="Arial"/>
                          <w:color w:val="FFFFFF"/>
                          <w:spacing w:val="-1"/>
                          <w:sz w:val="20"/>
                        </w:rPr>
                        <w:t>notice</w:t>
                      </w:r>
                      <w:r w:rsidRPr="004E0302">
                        <w:rPr>
                          <w:rFonts w:cs="Arial"/>
                          <w:color w:val="FFFFFF"/>
                          <w:spacing w:val="59"/>
                          <w:sz w:val="20"/>
                        </w:rPr>
                        <w:t xml:space="preserve"> </w:t>
                      </w:r>
                      <w:r w:rsidRPr="004E0302">
                        <w:rPr>
                          <w:rFonts w:cs="Arial"/>
                          <w:color w:val="FFFFFF"/>
                          <w:spacing w:val="-1"/>
                          <w:sz w:val="20"/>
                        </w:rPr>
                        <w:t>if</w:t>
                      </w:r>
                      <w:r w:rsidRPr="004E0302">
                        <w:rPr>
                          <w:rFonts w:cs="Arial"/>
                          <w:color w:val="FFFFFF"/>
                          <w:spacing w:val="59"/>
                          <w:sz w:val="20"/>
                        </w:rPr>
                        <w:t xml:space="preserve"> </w:t>
                      </w:r>
                      <w:r w:rsidRPr="004E0302">
                        <w:rPr>
                          <w:rFonts w:cs="Arial"/>
                          <w:color w:val="FFFFFF"/>
                          <w:spacing w:val="-1"/>
                          <w:sz w:val="20"/>
                        </w:rPr>
                        <w:t>the</w:t>
                      </w:r>
                      <w:r w:rsidRPr="004E0302">
                        <w:rPr>
                          <w:rFonts w:cs="Arial"/>
                          <w:color w:val="FFFFFF"/>
                          <w:spacing w:val="51"/>
                          <w:w w:val="99"/>
                          <w:sz w:val="20"/>
                        </w:rPr>
                        <w:t xml:space="preserve"> </w:t>
                      </w:r>
                      <w:r w:rsidRPr="004E0302">
                        <w:rPr>
                          <w:rFonts w:cs="Arial"/>
                          <w:color w:val="FFFFFF"/>
                          <w:spacing w:val="-1"/>
                          <w:sz w:val="20"/>
                        </w:rPr>
                        <w:t>problem</w:t>
                      </w:r>
                      <w:r w:rsidRPr="004E0302">
                        <w:rPr>
                          <w:rFonts w:cs="Arial"/>
                          <w:color w:val="FFFFFF"/>
                          <w:spacing w:val="-5"/>
                          <w:sz w:val="20"/>
                        </w:rPr>
                        <w:t xml:space="preserve"> </w:t>
                      </w:r>
                      <w:r w:rsidRPr="004E0302">
                        <w:rPr>
                          <w:rFonts w:cs="Arial"/>
                          <w:color w:val="FFFFFF"/>
                          <w:spacing w:val="-1"/>
                          <w:sz w:val="20"/>
                        </w:rPr>
                        <w:t>is</w:t>
                      </w:r>
                      <w:r w:rsidRPr="004E0302">
                        <w:rPr>
                          <w:rFonts w:cs="Arial"/>
                          <w:color w:val="FFFFFF"/>
                          <w:spacing w:val="-6"/>
                          <w:sz w:val="20"/>
                        </w:rPr>
                        <w:t xml:space="preserve"> </w:t>
                      </w:r>
                      <w:r w:rsidRPr="004E0302">
                        <w:rPr>
                          <w:rFonts w:cs="Arial"/>
                          <w:color w:val="FFFFFF"/>
                          <w:spacing w:val="-1"/>
                          <w:sz w:val="20"/>
                        </w:rPr>
                        <w:t>not</w:t>
                      </w:r>
                      <w:r w:rsidRPr="004E0302">
                        <w:rPr>
                          <w:rFonts w:cs="Arial"/>
                          <w:color w:val="FFFFFF"/>
                          <w:spacing w:val="-7"/>
                          <w:sz w:val="20"/>
                        </w:rPr>
                        <w:t xml:space="preserve"> </w:t>
                      </w:r>
                      <w:r w:rsidRPr="004E0302">
                        <w:rPr>
                          <w:rFonts w:cs="Arial"/>
                          <w:color w:val="FFFFFF"/>
                          <w:sz w:val="20"/>
                        </w:rPr>
                        <w:t>remedied</w:t>
                      </w:r>
                    </w:p>
                  </w:txbxContent>
                </v:textbox>
                <w10:anchorlock/>
              </v:shape>
            </w:pict>
          </mc:Fallback>
        </mc:AlternateContent>
      </w:r>
    </w:p>
    <w:p w14:paraId="3AB391C2" w14:textId="77777777" w:rsidR="00DB7F92" w:rsidRPr="00DB7F92" w:rsidRDefault="00DB7F92" w:rsidP="00DB7F92">
      <w:pPr>
        <w:jc w:val="both"/>
        <w:rPr>
          <w:rFonts w:eastAsia="Segoe UI Semilight" w:cs="Arial"/>
          <w:sz w:val="20"/>
          <w:szCs w:val="20"/>
        </w:rPr>
      </w:pPr>
    </w:p>
    <w:p w14:paraId="15EB83F7" w14:textId="77777777" w:rsidR="00DB7F92" w:rsidRPr="00DB7F92" w:rsidRDefault="00DB7F92" w:rsidP="00DB7F92">
      <w:pPr>
        <w:spacing w:before="6"/>
        <w:jc w:val="both"/>
        <w:rPr>
          <w:rFonts w:eastAsia="Segoe UI Semilight" w:cs="Arial"/>
          <w:sz w:val="20"/>
          <w:szCs w:val="20"/>
        </w:rPr>
      </w:pPr>
    </w:p>
    <w:p w14:paraId="07324EF6" w14:textId="77777777" w:rsidR="00DB7F92" w:rsidRPr="00DB7F92" w:rsidRDefault="00DB7F92" w:rsidP="00DB7F92">
      <w:pPr>
        <w:ind w:left="1156"/>
        <w:jc w:val="both"/>
        <w:rPr>
          <w:rFonts w:eastAsia="Segoe UI Semilight" w:cs="Arial"/>
          <w:sz w:val="20"/>
          <w:szCs w:val="20"/>
        </w:rPr>
      </w:pPr>
      <w:r w:rsidRPr="00DB7F92">
        <w:rPr>
          <w:rFonts w:eastAsia="Segoe UI Semilight" w:cs="Arial"/>
          <w:noProof/>
          <w:sz w:val="20"/>
          <w:szCs w:val="20"/>
          <w:lang w:eastAsia="en-GB"/>
        </w:rPr>
        <mc:AlternateContent>
          <mc:Choice Requires="wps">
            <w:drawing>
              <wp:inline distT="0" distB="0" distL="0" distR="0" wp14:anchorId="29F8DFA2" wp14:editId="4BA8118F">
                <wp:extent cx="4860290" cy="1836420"/>
                <wp:effectExtent l="0" t="0" r="0" b="0"/>
                <wp:docPr id="2069" name="Text Box 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1836420"/>
                        </a:xfrm>
                        <a:prstGeom prst="rect">
                          <a:avLst/>
                        </a:prstGeom>
                        <a:solidFill>
                          <a:srgbClr val="1C6C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AA0A5" w14:textId="77777777" w:rsidR="00942266" w:rsidRPr="004E0302" w:rsidRDefault="00942266" w:rsidP="00DB7F92">
                            <w:pPr>
                              <w:spacing w:before="213"/>
                              <w:ind w:left="225"/>
                              <w:jc w:val="both"/>
                              <w:rPr>
                                <w:rFonts w:eastAsia="Tw Cen MT Condensed Extra Bold" w:cs="Arial"/>
                                <w:sz w:val="20"/>
                                <w:szCs w:val="24"/>
                              </w:rPr>
                            </w:pPr>
                            <w:r w:rsidRPr="004E0302">
                              <w:rPr>
                                <w:rFonts w:cs="Arial"/>
                                <w:b/>
                                <w:color w:val="FFFFFF"/>
                                <w:sz w:val="20"/>
                              </w:rPr>
                              <w:t>Example:</w:t>
                            </w:r>
                          </w:p>
                          <w:p w14:paraId="6E61A099" w14:textId="77777777" w:rsidR="00942266" w:rsidRPr="004E0302" w:rsidRDefault="00942266" w:rsidP="00DB7F92">
                            <w:pPr>
                              <w:spacing w:before="12"/>
                              <w:rPr>
                                <w:rFonts w:eastAsia="Segoe UI Semilight" w:cs="Arial"/>
                                <w:sz w:val="20"/>
                                <w:szCs w:val="24"/>
                              </w:rPr>
                            </w:pPr>
                          </w:p>
                          <w:p w14:paraId="325AF270" w14:textId="77777777" w:rsidR="00942266" w:rsidRPr="004E0302" w:rsidRDefault="00942266" w:rsidP="00DB7F92">
                            <w:pPr>
                              <w:ind w:left="225" w:right="225"/>
                              <w:jc w:val="both"/>
                              <w:rPr>
                                <w:rFonts w:eastAsia="Segoe UI Semilight" w:cs="Arial"/>
                                <w:sz w:val="20"/>
                                <w:szCs w:val="24"/>
                              </w:rPr>
                            </w:pPr>
                            <w:r w:rsidRPr="004E0302">
                              <w:rPr>
                                <w:rFonts w:cs="Arial"/>
                                <w:color w:val="FFFFFF"/>
                                <w:sz w:val="20"/>
                              </w:rPr>
                              <w:t>A</w:t>
                            </w:r>
                            <w:r w:rsidRPr="004E0302">
                              <w:rPr>
                                <w:rFonts w:cs="Arial"/>
                                <w:color w:val="FFFFFF"/>
                                <w:spacing w:val="43"/>
                                <w:sz w:val="20"/>
                              </w:rPr>
                              <w:t xml:space="preserve"> </w:t>
                            </w:r>
                            <w:r w:rsidRPr="004E0302">
                              <w:rPr>
                                <w:rFonts w:cs="Arial"/>
                                <w:color w:val="FFFFFF"/>
                                <w:spacing w:val="-1"/>
                                <w:sz w:val="20"/>
                              </w:rPr>
                              <w:t>hearing</w:t>
                            </w:r>
                            <w:r w:rsidRPr="004E0302">
                              <w:rPr>
                                <w:rFonts w:cs="Arial"/>
                                <w:color w:val="FFFFFF"/>
                                <w:spacing w:val="42"/>
                                <w:sz w:val="20"/>
                              </w:rPr>
                              <w:t xml:space="preserve"> </w:t>
                            </w:r>
                            <w:r w:rsidRPr="004E0302">
                              <w:rPr>
                                <w:rFonts w:cs="Arial"/>
                                <w:color w:val="FFFFFF"/>
                                <w:spacing w:val="-1"/>
                                <w:sz w:val="20"/>
                              </w:rPr>
                              <w:t>impaired</w:t>
                            </w:r>
                            <w:r w:rsidRPr="004E0302">
                              <w:rPr>
                                <w:rFonts w:cs="Arial"/>
                                <w:color w:val="FFFFFF"/>
                                <w:spacing w:val="41"/>
                                <w:sz w:val="20"/>
                              </w:rPr>
                              <w:t xml:space="preserve"> </w:t>
                            </w:r>
                            <w:r w:rsidRPr="004E0302">
                              <w:rPr>
                                <w:rFonts w:cs="Arial"/>
                                <w:color w:val="FFFFFF"/>
                                <w:spacing w:val="-1"/>
                                <w:sz w:val="20"/>
                              </w:rPr>
                              <w:t>patient</w:t>
                            </w:r>
                            <w:r w:rsidRPr="004E0302">
                              <w:rPr>
                                <w:rFonts w:cs="Arial"/>
                                <w:color w:val="FFFFFF"/>
                                <w:spacing w:val="43"/>
                                <w:sz w:val="20"/>
                              </w:rPr>
                              <w:t xml:space="preserve"> </w:t>
                            </w:r>
                            <w:r w:rsidRPr="004E0302">
                              <w:rPr>
                                <w:rFonts w:cs="Arial"/>
                                <w:color w:val="FFFFFF"/>
                                <w:spacing w:val="-1"/>
                                <w:sz w:val="20"/>
                              </w:rPr>
                              <w:t>complains</w:t>
                            </w:r>
                            <w:r w:rsidRPr="004E0302">
                              <w:rPr>
                                <w:rFonts w:cs="Arial"/>
                                <w:color w:val="FFFFFF"/>
                                <w:spacing w:val="43"/>
                                <w:sz w:val="20"/>
                              </w:rPr>
                              <w:t xml:space="preserve"> </w:t>
                            </w:r>
                            <w:r w:rsidRPr="004E0302">
                              <w:rPr>
                                <w:rFonts w:cs="Arial"/>
                                <w:color w:val="FFFFFF"/>
                                <w:sz w:val="20"/>
                              </w:rPr>
                              <w:t>to</w:t>
                            </w:r>
                            <w:r w:rsidRPr="004E0302">
                              <w:rPr>
                                <w:rFonts w:cs="Arial"/>
                                <w:color w:val="FFFFFF"/>
                                <w:spacing w:val="42"/>
                                <w:sz w:val="20"/>
                              </w:rPr>
                              <w:t xml:space="preserve"> </w:t>
                            </w:r>
                            <w:r>
                              <w:rPr>
                                <w:rFonts w:cs="Arial"/>
                                <w:color w:val="FFFFFF"/>
                                <w:sz w:val="20"/>
                              </w:rPr>
                              <w:t>the commissioner</w:t>
                            </w:r>
                            <w:r w:rsidRPr="004E0302">
                              <w:rPr>
                                <w:rFonts w:cs="Arial"/>
                                <w:color w:val="FFFFFF"/>
                                <w:spacing w:val="41"/>
                                <w:sz w:val="20"/>
                              </w:rPr>
                              <w:t xml:space="preserve"> </w:t>
                            </w:r>
                            <w:r w:rsidRPr="004E0302">
                              <w:rPr>
                                <w:rFonts w:cs="Arial"/>
                                <w:color w:val="FFFFFF"/>
                                <w:spacing w:val="-1"/>
                                <w:sz w:val="20"/>
                              </w:rPr>
                              <w:t>about</w:t>
                            </w:r>
                            <w:r w:rsidRPr="004E0302">
                              <w:rPr>
                                <w:rFonts w:cs="Arial"/>
                                <w:color w:val="FFFFFF"/>
                                <w:spacing w:val="43"/>
                                <w:sz w:val="20"/>
                              </w:rPr>
                              <w:t xml:space="preserve"> </w:t>
                            </w:r>
                            <w:r w:rsidRPr="004E0302">
                              <w:rPr>
                                <w:rFonts w:cs="Arial"/>
                                <w:color w:val="FFFFFF"/>
                                <w:spacing w:val="-1"/>
                                <w:sz w:val="20"/>
                              </w:rPr>
                              <w:t>their</w:t>
                            </w:r>
                            <w:r w:rsidRPr="004E0302">
                              <w:rPr>
                                <w:rFonts w:cs="Arial"/>
                                <w:color w:val="FFFFFF"/>
                                <w:spacing w:val="52"/>
                                <w:w w:val="99"/>
                                <w:sz w:val="20"/>
                              </w:rPr>
                              <w:t xml:space="preserve"> </w:t>
                            </w:r>
                            <w:r w:rsidRPr="004E0302">
                              <w:rPr>
                                <w:rFonts w:cs="Arial"/>
                                <w:color w:val="FFFFFF"/>
                                <w:spacing w:val="-1"/>
                                <w:sz w:val="20"/>
                              </w:rPr>
                              <w:t>experience</w:t>
                            </w:r>
                            <w:r w:rsidRPr="004E0302">
                              <w:rPr>
                                <w:rFonts w:cs="Arial"/>
                                <w:color w:val="FFFFFF"/>
                                <w:spacing w:val="25"/>
                                <w:sz w:val="20"/>
                              </w:rPr>
                              <w:t xml:space="preserve"> </w:t>
                            </w:r>
                            <w:r w:rsidRPr="004E0302">
                              <w:rPr>
                                <w:rFonts w:cs="Arial"/>
                                <w:color w:val="FFFFFF"/>
                                <w:sz w:val="20"/>
                              </w:rPr>
                              <w:t>with</w:t>
                            </w:r>
                            <w:r w:rsidRPr="004E0302">
                              <w:rPr>
                                <w:rFonts w:cs="Arial"/>
                                <w:color w:val="FFFFFF"/>
                                <w:spacing w:val="26"/>
                                <w:sz w:val="20"/>
                              </w:rPr>
                              <w:t xml:space="preserve"> </w:t>
                            </w:r>
                            <w:r w:rsidRPr="004E0302">
                              <w:rPr>
                                <w:rFonts w:cs="Arial"/>
                                <w:color w:val="FFFFFF"/>
                                <w:sz w:val="20"/>
                              </w:rPr>
                              <w:t>a</w:t>
                            </w:r>
                            <w:r w:rsidRPr="004E0302">
                              <w:rPr>
                                <w:rFonts w:cs="Arial"/>
                                <w:color w:val="FFFFFF"/>
                                <w:spacing w:val="26"/>
                                <w:sz w:val="20"/>
                              </w:rPr>
                              <w:t xml:space="preserve"> </w:t>
                            </w:r>
                            <w:r w:rsidRPr="004E0302">
                              <w:rPr>
                                <w:rFonts w:cs="Arial"/>
                                <w:color w:val="FFFFFF"/>
                                <w:spacing w:val="-1"/>
                                <w:sz w:val="20"/>
                              </w:rPr>
                              <w:t>local</w:t>
                            </w:r>
                            <w:r w:rsidRPr="004E0302">
                              <w:rPr>
                                <w:rFonts w:cs="Arial"/>
                                <w:color w:val="FFFFFF"/>
                                <w:spacing w:val="54"/>
                                <w:sz w:val="20"/>
                              </w:rPr>
                              <w:t xml:space="preserve"> </w:t>
                            </w:r>
                            <w:r w:rsidRPr="004E0302">
                              <w:rPr>
                                <w:rFonts w:cs="Arial"/>
                                <w:color w:val="FFFFFF"/>
                                <w:spacing w:val="-1"/>
                                <w:sz w:val="20"/>
                              </w:rPr>
                              <w:t>(NHS</w:t>
                            </w:r>
                            <w:r w:rsidRPr="004E0302">
                              <w:rPr>
                                <w:rFonts w:cs="Arial"/>
                                <w:color w:val="FFFFFF"/>
                                <w:spacing w:val="25"/>
                                <w:sz w:val="20"/>
                              </w:rPr>
                              <w:t xml:space="preserve"> </w:t>
                            </w:r>
                            <w:r w:rsidRPr="004E0302">
                              <w:rPr>
                                <w:rFonts w:cs="Arial"/>
                                <w:color w:val="FFFFFF"/>
                                <w:spacing w:val="-1"/>
                                <w:sz w:val="20"/>
                              </w:rPr>
                              <w:t>commissioned)</w:t>
                            </w:r>
                            <w:r w:rsidRPr="004E0302">
                              <w:rPr>
                                <w:rFonts w:cs="Arial"/>
                                <w:color w:val="FFFFFF"/>
                                <w:spacing w:val="28"/>
                                <w:sz w:val="20"/>
                              </w:rPr>
                              <w:t xml:space="preserve"> </w:t>
                            </w:r>
                            <w:r w:rsidRPr="004E0302">
                              <w:rPr>
                                <w:rFonts w:cs="Arial"/>
                                <w:color w:val="FFFFFF"/>
                                <w:spacing w:val="-1"/>
                                <w:sz w:val="20"/>
                              </w:rPr>
                              <w:t>provider.</w:t>
                            </w:r>
                            <w:r w:rsidRPr="004E0302">
                              <w:rPr>
                                <w:rFonts w:cs="Arial"/>
                                <w:color w:val="FFFFFF"/>
                                <w:spacing w:val="52"/>
                                <w:sz w:val="20"/>
                              </w:rPr>
                              <w:t xml:space="preserve"> </w:t>
                            </w:r>
                            <w:r w:rsidRPr="004E0302">
                              <w:rPr>
                                <w:rFonts w:cs="Arial"/>
                                <w:color w:val="FFFFFF"/>
                                <w:spacing w:val="-1"/>
                                <w:sz w:val="20"/>
                              </w:rPr>
                              <w:t>The</w:t>
                            </w:r>
                            <w:r w:rsidRPr="004E0302">
                              <w:rPr>
                                <w:rFonts w:cs="Arial"/>
                                <w:color w:val="FFFFFF"/>
                                <w:spacing w:val="27"/>
                                <w:sz w:val="20"/>
                              </w:rPr>
                              <w:t xml:space="preserve"> </w:t>
                            </w:r>
                            <w:r w:rsidRPr="004E0302">
                              <w:rPr>
                                <w:rFonts w:cs="Arial"/>
                                <w:color w:val="FFFFFF"/>
                                <w:spacing w:val="-1"/>
                                <w:sz w:val="20"/>
                              </w:rPr>
                              <w:t>patient</w:t>
                            </w:r>
                            <w:r w:rsidRPr="004E0302">
                              <w:rPr>
                                <w:rFonts w:cs="Arial"/>
                                <w:color w:val="FFFFFF"/>
                                <w:spacing w:val="53"/>
                                <w:w w:val="99"/>
                                <w:sz w:val="20"/>
                              </w:rPr>
                              <w:t xml:space="preserve"> </w:t>
                            </w:r>
                            <w:r w:rsidRPr="004E0302">
                              <w:rPr>
                                <w:rFonts w:cs="Arial"/>
                                <w:color w:val="FFFFFF"/>
                                <w:spacing w:val="-1"/>
                                <w:sz w:val="20"/>
                              </w:rPr>
                              <w:t>was</w:t>
                            </w:r>
                            <w:r w:rsidRPr="004E0302">
                              <w:rPr>
                                <w:rFonts w:cs="Arial"/>
                                <w:color w:val="FFFFFF"/>
                                <w:spacing w:val="18"/>
                                <w:sz w:val="20"/>
                              </w:rPr>
                              <w:t xml:space="preserve"> </w:t>
                            </w:r>
                            <w:r w:rsidRPr="004E0302">
                              <w:rPr>
                                <w:rFonts w:cs="Arial"/>
                                <w:color w:val="FFFFFF"/>
                                <w:spacing w:val="-1"/>
                                <w:sz w:val="20"/>
                              </w:rPr>
                              <w:t>unable</w:t>
                            </w:r>
                            <w:r w:rsidRPr="004E0302">
                              <w:rPr>
                                <w:rFonts w:cs="Arial"/>
                                <w:color w:val="FFFFFF"/>
                                <w:spacing w:val="18"/>
                                <w:sz w:val="20"/>
                              </w:rPr>
                              <w:t xml:space="preserve"> </w:t>
                            </w:r>
                            <w:r w:rsidRPr="004E0302">
                              <w:rPr>
                                <w:rFonts w:cs="Arial"/>
                                <w:color w:val="FFFFFF"/>
                                <w:sz w:val="20"/>
                              </w:rPr>
                              <w:t>to</w:t>
                            </w:r>
                            <w:r w:rsidRPr="004E0302">
                              <w:rPr>
                                <w:rFonts w:cs="Arial"/>
                                <w:color w:val="FFFFFF"/>
                                <w:spacing w:val="19"/>
                                <w:sz w:val="20"/>
                              </w:rPr>
                              <w:t xml:space="preserve"> </w:t>
                            </w:r>
                            <w:r w:rsidRPr="004E0302">
                              <w:rPr>
                                <w:rFonts w:cs="Arial"/>
                                <w:color w:val="FFFFFF"/>
                                <w:spacing w:val="-1"/>
                                <w:sz w:val="20"/>
                              </w:rPr>
                              <w:t>communicate</w:t>
                            </w:r>
                            <w:r w:rsidRPr="004E0302">
                              <w:rPr>
                                <w:rFonts w:cs="Arial"/>
                                <w:color w:val="FFFFFF"/>
                                <w:spacing w:val="18"/>
                                <w:sz w:val="20"/>
                              </w:rPr>
                              <w:t xml:space="preserve"> </w:t>
                            </w:r>
                            <w:r w:rsidRPr="004E0302">
                              <w:rPr>
                                <w:rFonts w:cs="Arial"/>
                                <w:color w:val="FFFFFF"/>
                                <w:spacing w:val="-1"/>
                                <w:sz w:val="20"/>
                              </w:rPr>
                              <w:t>effectively</w:t>
                            </w:r>
                            <w:r w:rsidRPr="004E0302">
                              <w:rPr>
                                <w:rFonts w:cs="Arial"/>
                                <w:color w:val="FFFFFF"/>
                                <w:spacing w:val="18"/>
                                <w:sz w:val="20"/>
                              </w:rPr>
                              <w:t xml:space="preserve"> </w:t>
                            </w:r>
                            <w:r w:rsidRPr="004E0302">
                              <w:rPr>
                                <w:rFonts w:cs="Arial"/>
                                <w:color w:val="FFFFFF"/>
                                <w:sz w:val="20"/>
                              </w:rPr>
                              <w:t>with</w:t>
                            </w:r>
                            <w:r w:rsidRPr="004E0302">
                              <w:rPr>
                                <w:rFonts w:cs="Arial"/>
                                <w:color w:val="FFFFFF"/>
                                <w:spacing w:val="18"/>
                                <w:sz w:val="20"/>
                              </w:rPr>
                              <w:t xml:space="preserve"> </w:t>
                            </w:r>
                            <w:r w:rsidRPr="004E0302">
                              <w:rPr>
                                <w:rFonts w:cs="Arial"/>
                                <w:color w:val="FFFFFF"/>
                                <w:spacing w:val="-1"/>
                                <w:sz w:val="20"/>
                              </w:rPr>
                              <w:t>the</w:t>
                            </w:r>
                            <w:r w:rsidRPr="004E0302">
                              <w:rPr>
                                <w:rFonts w:cs="Arial"/>
                                <w:color w:val="FFFFFF"/>
                                <w:spacing w:val="17"/>
                                <w:sz w:val="20"/>
                              </w:rPr>
                              <w:t xml:space="preserve"> </w:t>
                            </w:r>
                            <w:r w:rsidRPr="004E0302">
                              <w:rPr>
                                <w:rFonts w:cs="Arial"/>
                                <w:color w:val="FFFFFF"/>
                                <w:spacing w:val="-1"/>
                                <w:sz w:val="20"/>
                              </w:rPr>
                              <w:t>provider</w:t>
                            </w:r>
                            <w:r w:rsidRPr="004E0302">
                              <w:rPr>
                                <w:rFonts w:cs="Arial"/>
                                <w:color w:val="FFFFFF"/>
                                <w:spacing w:val="19"/>
                                <w:sz w:val="20"/>
                              </w:rPr>
                              <w:t xml:space="preserve"> </w:t>
                            </w:r>
                            <w:r w:rsidRPr="004E0302">
                              <w:rPr>
                                <w:rFonts w:cs="Arial"/>
                                <w:color w:val="FFFFFF"/>
                                <w:spacing w:val="-1"/>
                                <w:sz w:val="20"/>
                              </w:rPr>
                              <w:t>because</w:t>
                            </w:r>
                            <w:r w:rsidRPr="004E0302">
                              <w:rPr>
                                <w:rFonts w:cs="Arial"/>
                                <w:color w:val="FFFFFF"/>
                                <w:spacing w:val="17"/>
                                <w:sz w:val="20"/>
                              </w:rPr>
                              <w:t xml:space="preserve"> </w:t>
                            </w:r>
                            <w:r w:rsidRPr="004E0302">
                              <w:rPr>
                                <w:rFonts w:cs="Arial"/>
                                <w:color w:val="FFFFFF"/>
                                <w:sz w:val="20"/>
                              </w:rPr>
                              <w:t>of</w:t>
                            </w:r>
                            <w:r w:rsidRPr="004E0302">
                              <w:rPr>
                                <w:rFonts w:cs="Arial"/>
                                <w:color w:val="FFFFFF"/>
                                <w:spacing w:val="59"/>
                                <w:sz w:val="20"/>
                              </w:rPr>
                              <w:t xml:space="preserve"> </w:t>
                            </w:r>
                            <w:r w:rsidRPr="004E0302">
                              <w:rPr>
                                <w:rFonts w:cs="Arial"/>
                                <w:color w:val="FFFFFF"/>
                                <w:spacing w:val="-1"/>
                                <w:sz w:val="20"/>
                              </w:rPr>
                              <w:t>their</w:t>
                            </w:r>
                            <w:r w:rsidRPr="004E0302">
                              <w:rPr>
                                <w:rFonts w:cs="Arial"/>
                                <w:color w:val="FFFFFF"/>
                                <w:spacing w:val="2"/>
                                <w:sz w:val="20"/>
                              </w:rPr>
                              <w:t xml:space="preserve"> </w:t>
                            </w:r>
                            <w:r w:rsidRPr="004E0302">
                              <w:rPr>
                                <w:rFonts w:cs="Arial"/>
                                <w:color w:val="FFFFFF"/>
                                <w:spacing w:val="-1"/>
                                <w:sz w:val="20"/>
                              </w:rPr>
                              <w:t>hearing</w:t>
                            </w:r>
                            <w:r w:rsidRPr="004E0302">
                              <w:rPr>
                                <w:rFonts w:cs="Arial"/>
                                <w:color w:val="FFFFFF"/>
                                <w:spacing w:val="5"/>
                                <w:sz w:val="20"/>
                              </w:rPr>
                              <w:t xml:space="preserve"> </w:t>
                            </w:r>
                            <w:r w:rsidRPr="004E0302">
                              <w:rPr>
                                <w:rFonts w:cs="Arial"/>
                                <w:color w:val="FFFFFF"/>
                                <w:spacing w:val="-1"/>
                                <w:sz w:val="20"/>
                              </w:rPr>
                              <w:t>impairment.</w:t>
                            </w:r>
                            <w:r w:rsidRPr="004E0302">
                              <w:rPr>
                                <w:rFonts w:cs="Arial"/>
                                <w:color w:val="FFFFFF"/>
                                <w:spacing w:val="7"/>
                                <w:sz w:val="20"/>
                              </w:rPr>
                              <w:t xml:space="preserve"> </w:t>
                            </w:r>
                            <w:r w:rsidRPr="004E0302">
                              <w:rPr>
                                <w:rFonts w:cs="Arial"/>
                                <w:color w:val="FFFFFF"/>
                                <w:spacing w:val="-1"/>
                                <w:sz w:val="20"/>
                              </w:rPr>
                              <w:t>When</w:t>
                            </w:r>
                            <w:r w:rsidRPr="004E0302">
                              <w:rPr>
                                <w:rFonts w:cs="Arial"/>
                                <w:color w:val="FFFFFF"/>
                                <w:spacing w:val="3"/>
                                <w:sz w:val="20"/>
                              </w:rPr>
                              <w:t xml:space="preserve"> </w:t>
                            </w:r>
                            <w:r w:rsidRPr="004E0302">
                              <w:rPr>
                                <w:rFonts w:cs="Arial"/>
                                <w:color w:val="FFFFFF"/>
                                <w:spacing w:val="-1"/>
                                <w:sz w:val="20"/>
                              </w:rPr>
                              <w:t>the</w:t>
                            </w:r>
                            <w:r w:rsidRPr="004E0302">
                              <w:rPr>
                                <w:rFonts w:cs="Arial"/>
                                <w:color w:val="FFFFFF"/>
                                <w:spacing w:val="5"/>
                                <w:sz w:val="20"/>
                              </w:rPr>
                              <w:t xml:space="preserve"> </w:t>
                            </w:r>
                            <w:r w:rsidRPr="004E0302">
                              <w:rPr>
                                <w:rFonts w:cs="Arial"/>
                                <w:color w:val="FFFFFF"/>
                                <w:spacing w:val="-1"/>
                                <w:sz w:val="20"/>
                              </w:rPr>
                              <w:t>patient</w:t>
                            </w:r>
                            <w:r w:rsidRPr="004E0302">
                              <w:rPr>
                                <w:rFonts w:cs="Arial"/>
                                <w:color w:val="FFFFFF"/>
                                <w:spacing w:val="3"/>
                                <w:sz w:val="20"/>
                              </w:rPr>
                              <w:t xml:space="preserve"> </w:t>
                            </w:r>
                            <w:r w:rsidRPr="004E0302">
                              <w:rPr>
                                <w:rFonts w:cs="Arial"/>
                                <w:color w:val="FFFFFF"/>
                                <w:spacing w:val="-1"/>
                                <w:sz w:val="20"/>
                              </w:rPr>
                              <w:t>suggested</w:t>
                            </w:r>
                            <w:r w:rsidRPr="004E0302">
                              <w:rPr>
                                <w:rFonts w:cs="Arial"/>
                                <w:color w:val="FFFFFF"/>
                                <w:spacing w:val="5"/>
                                <w:sz w:val="20"/>
                              </w:rPr>
                              <w:t xml:space="preserve"> </w:t>
                            </w:r>
                            <w:r w:rsidRPr="004E0302">
                              <w:rPr>
                                <w:rFonts w:cs="Arial"/>
                                <w:color w:val="FFFFFF"/>
                                <w:spacing w:val="-1"/>
                                <w:sz w:val="20"/>
                              </w:rPr>
                              <w:t>that</w:t>
                            </w:r>
                            <w:r w:rsidRPr="004E0302">
                              <w:rPr>
                                <w:rFonts w:cs="Arial"/>
                                <w:color w:val="FFFFFF"/>
                                <w:spacing w:val="4"/>
                                <w:sz w:val="20"/>
                              </w:rPr>
                              <w:t xml:space="preserve"> </w:t>
                            </w:r>
                            <w:r w:rsidRPr="004E0302">
                              <w:rPr>
                                <w:rFonts w:cs="Arial"/>
                                <w:color w:val="FFFFFF"/>
                                <w:spacing w:val="-1"/>
                                <w:sz w:val="20"/>
                              </w:rPr>
                              <w:t>the</w:t>
                            </w:r>
                            <w:r w:rsidRPr="004E0302">
                              <w:rPr>
                                <w:rFonts w:cs="Arial"/>
                                <w:color w:val="FFFFFF"/>
                                <w:spacing w:val="71"/>
                                <w:w w:val="99"/>
                                <w:sz w:val="20"/>
                              </w:rPr>
                              <w:t xml:space="preserve"> </w:t>
                            </w:r>
                            <w:r w:rsidRPr="004E0302">
                              <w:rPr>
                                <w:rFonts w:cs="Arial"/>
                                <w:color w:val="FFFFFF"/>
                                <w:spacing w:val="-1"/>
                                <w:sz w:val="20"/>
                              </w:rPr>
                              <w:t>provider</w:t>
                            </w:r>
                            <w:r w:rsidRPr="004E0302">
                              <w:rPr>
                                <w:rFonts w:cs="Arial"/>
                                <w:color w:val="FFFFFF"/>
                                <w:spacing w:val="11"/>
                                <w:sz w:val="20"/>
                              </w:rPr>
                              <w:t xml:space="preserve"> </w:t>
                            </w:r>
                            <w:r w:rsidRPr="004E0302">
                              <w:rPr>
                                <w:rFonts w:cs="Arial"/>
                                <w:color w:val="FFFFFF"/>
                                <w:spacing w:val="-1"/>
                                <w:sz w:val="20"/>
                              </w:rPr>
                              <w:t>obtain</w:t>
                            </w:r>
                            <w:r w:rsidRPr="004E0302">
                              <w:rPr>
                                <w:rFonts w:cs="Arial"/>
                                <w:color w:val="FFFFFF"/>
                                <w:spacing w:val="11"/>
                                <w:sz w:val="20"/>
                              </w:rPr>
                              <w:t xml:space="preserve"> </w:t>
                            </w:r>
                            <w:r w:rsidRPr="004E0302">
                              <w:rPr>
                                <w:rFonts w:cs="Arial"/>
                                <w:color w:val="FFFFFF"/>
                                <w:sz w:val="20"/>
                              </w:rPr>
                              <w:t>a</w:t>
                            </w:r>
                            <w:r w:rsidRPr="004E0302">
                              <w:rPr>
                                <w:rFonts w:cs="Arial"/>
                                <w:color w:val="FFFFFF"/>
                                <w:spacing w:val="11"/>
                                <w:sz w:val="20"/>
                              </w:rPr>
                              <w:t xml:space="preserve"> </w:t>
                            </w:r>
                            <w:r w:rsidRPr="004E0302">
                              <w:rPr>
                                <w:rFonts w:cs="Arial"/>
                                <w:color w:val="FFFFFF"/>
                                <w:spacing w:val="-1"/>
                                <w:sz w:val="20"/>
                              </w:rPr>
                              <w:t>sign</w:t>
                            </w:r>
                            <w:r w:rsidRPr="004E0302">
                              <w:rPr>
                                <w:rFonts w:cs="Arial"/>
                                <w:color w:val="FFFFFF"/>
                                <w:spacing w:val="14"/>
                                <w:sz w:val="20"/>
                              </w:rPr>
                              <w:t xml:space="preserve"> </w:t>
                            </w:r>
                            <w:r w:rsidRPr="004E0302">
                              <w:rPr>
                                <w:rFonts w:cs="Arial"/>
                                <w:color w:val="FFFFFF"/>
                                <w:spacing w:val="-1"/>
                                <w:sz w:val="20"/>
                              </w:rPr>
                              <w:t>language</w:t>
                            </w:r>
                            <w:r w:rsidRPr="004E0302">
                              <w:rPr>
                                <w:rFonts w:cs="Arial"/>
                                <w:color w:val="FFFFFF"/>
                                <w:spacing w:val="10"/>
                                <w:sz w:val="20"/>
                              </w:rPr>
                              <w:t xml:space="preserve"> </w:t>
                            </w:r>
                            <w:r w:rsidRPr="004E0302">
                              <w:rPr>
                                <w:rFonts w:cs="Arial"/>
                                <w:color w:val="FFFFFF"/>
                                <w:spacing w:val="-1"/>
                                <w:sz w:val="20"/>
                              </w:rPr>
                              <w:t>interpreter</w:t>
                            </w:r>
                            <w:r w:rsidRPr="004E0302">
                              <w:rPr>
                                <w:rFonts w:cs="Arial"/>
                                <w:color w:val="FFFFFF"/>
                                <w:spacing w:val="12"/>
                                <w:sz w:val="20"/>
                              </w:rPr>
                              <w:t xml:space="preserve"> </w:t>
                            </w:r>
                            <w:r w:rsidRPr="004E0302">
                              <w:rPr>
                                <w:rFonts w:cs="Arial"/>
                                <w:color w:val="FFFFFF"/>
                                <w:sz w:val="20"/>
                              </w:rPr>
                              <w:t>to</w:t>
                            </w:r>
                            <w:r w:rsidRPr="004E0302">
                              <w:rPr>
                                <w:rFonts w:cs="Arial"/>
                                <w:color w:val="FFFFFF"/>
                                <w:spacing w:val="12"/>
                                <w:sz w:val="20"/>
                              </w:rPr>
                              <w:t xml:space="preserve"> </w:t>
                            </w:r>
                            <w:r w:rsidRPr="004E0302">
                              <w:rPr>
                                <w:rFonts w:cs="Arial"/>
                                <w:color w:val="FFFFFF"/>
                                <w:spacing w:val="-1"/>
                                <w:sz w:val="20"/>
                              </w:rPr>
                              <w:t>translate</w:t>
                            </w:r>
                            <w:r w:rsidRPr="004E0302">
                              <w:rPr>
                                <w:rFonts w:cs="Arial"/>
                                <w:color w:val="FFFFFF"/>
                                <w:spacing w:val="10"/>
                                <w:sz w:val="20"/>
                              </w:rPr>
                              <w:t xml:space="preserve"> </w:t>
                            </w:r>
                            <w:r w:rsidRPr="004E0302">
                              <w:rPr>
                                <w:rFonts w:cs="Arial"/>
                                <w:color w:val="FFFFFF"/>
                                <w:spacing w:val="-1"/>
                                <w:sz w:val="20"/>
                              </w:rPr>
                              <w:t>for</w:t>
                            </w:r>
                            <w:r w:rsidRPr="004E0302">
                              <w:rPr>
                                <w:rFonts w:cs="Arial"/>
                                <w:color w:val="FFFFFF"/>
                                <w:spacing w:val="12"/>
                                <w:sz w:val="20"/>
                              </w:rPr>
                              <w:t xml:space="preserve"> </w:t>
                            </w:r>
                            <w:r w:rsidRPr="004E0302">
                              <w:rPr>
                                <w:rFonts w:cs="Arial"/>
                                <w:color w:val="FFFFFF"/>
                                <w:spacing w:val="-1"/>
                                <w:sz w:val="20"/>
                              </w:rPr>
                              <w:t>them</w:t>
                            </w:r>
                            <w:r w:rsidRPr="004E0302">
                              <w:rPr>
                                <w:rFonts w:cs="Arial"/>
                                <w:color w:val="FFFFFF"/>
                                <w:spacing w:val="11"/>
                                <w:sz w:val="20"/>
                              </w:rPr>
                              <w:t xml:space="preserve"> </w:t>
                            </w:r>
                            <w:r w:rsidRPr="004E0302">
                              <w:rPr>
                                <w:rFonts w:cs="Arial"/>
                                <w:color w:val="FFFFFF"/>
                                <w:spacing w:val="-1"/>
                                <w:sz w:val="20"/>
                              </w:rPr>
                              <w:t>this</w:t>
                            </w:r>
                            <w:r w:rsidRPr="004E0302">
                              <w:rPr>
                                <w:rFonts w:cs="Arial"/>
                                <w:color w:val="FFFFFF"/>
                                <w:spacing w:val="60"/>
                                <w:w w:val="99"/>
                                <w:sz w:val="20"/>
                              </w:rPr>
                              <w:t xml:space="preserve"> </w:t>
                            </w:r>
                            <w:r w:rsidRPr="004E0302">
                              <w:rPr>
                                <w:rFonts w:cs="Arial"/>
                                <w:color w:val="FFFFFF"/>
                                <w:spacing w:val="-1"/>
                                <w:sz w:val="20"/>
                              </w:rPr>
                              <w:t>was</w:t>
                            </w:r>
                            <w:r w:rsidRPr="004E0302">
                              <w:rPr>
                                <w:rFonts w:cs="Arial"/>
                                <w:color w:val="FFFFFF"/>
                                <w:spacing w:val="-8"/>
                                <w:sz w:val="20"/>
                              </w:rPr>
                              <w:t xml:space="preserve"> </w:t>
                            </w:r>
                            <w:r w:rsidRPr="004E0302">
                              <w:rPr>
                                <w:rFonts w:cs="Arial"/>
                                <w:color w:val="FFFFFF"/>
                                <w:spacing w:val="-1"/>
                                <w:sz w:val="20"/>
                              </w:rPr>
                              <w:t>refused.</w:t>
                            </w:r>
                          </w:p>
                          <w:p w14:paraId="6613790B" w14:textId="77777777" w:rsidR="00942266" w:rsidRPr="004E0302" w:rsidRDefault="00942266" w:rsidP="00DB7F92">
                            <w:pPr>
                              <w:spacing w:before="13"/>
                              <w:rPr>
                                <w:rFonts w:eastAsia="Segoe UI Semilight" w:cs="Arial"/>
                                <w:sz w:val="20"/>
                                <w:szCs w:val="23"/>
                              </w:rPr>
                            </w:pPr>
                          </w:p>
                          <w:p w14:paraId="14178A58" w14:textId="77777777" w:rsidR="00942266" w:rsidRPr="004E0302" w:rsidRDefault="00942266" w:rsidP="00DB7F92">
                            <w:pPr>
                              <w:ind w:left="225" w:right="226"/>
                              <w:jc w:val="both"/>
                              <w:rPr>
                                <w:rFonts w:eastAsia="Segoe UI Semilight" w:cs="Arial"/>
                                <w:sz w:val="20"/>
                                <w:szCs w:val="24"/>
                              </w:rPr>
                            </w:pPr>
                            <w:r w:rsidRPr="004E0302">
                              <w:rPr>
                                <w:rFonts w:cs="Arial"/>
                                <w:color w:val="FFFFFF"/>
                                <w:sz w:val="20"/>
                              </w:rPr>
                              <w:t xml:space="preserve">It </w:t>
                            </w:r>
                            <w:r w:rsidRPr="004E0302">
                              <w:rPr>
                                <w:rFonts w:cs="Arial"/>
                                <w:color w:val="FFFFFF"/>
                                <w:spacing w:val="-1"/>
                                <w:sz w:val="20"/>
                              </w:rPr>
                              <w:t>is</w:t>
                            </w:r>
                            <w:r w:rsidRPr="004E0302">
                              <w:rPr>
                                <w:rFonts w:cs="Arial"/>
                                <w:color w:val="FFFFFF"/>
                                <w:spacing w:val="1"/>
                                <w:sz w:val="20"/>
                              </w:rPr>
                              <w:t xml:space="preserve"> </w:t>
                            </w:r>
                            <w:r w:rsidRPr="004E0302">
                              <w:rPr>
                                <w:rFonts w:cs="Arial"/>
                                <w:color w:val="FFFFFF"/>
                                <w:spacing w:val="-1"/>
                                <w:sz w:val="20"/>
                              </w:rPr>
                              <w:t>likely</w:t>
                            </w:r>
                            <w:r w:rsidRPr="004E0302">
                              <w:rPr>
                                <w:rFonts w:cs="Arial"/>
                                <w:color w:val="FFFFFF"/>
                                <w:sz w:val="20"/>
                              </w:rPr>
                              <w:t xml:space="preserve"> </w:t>
                            </w:r>
                            <w:r w:rsidRPr="004E0302">
                              <w:rPr>
                                <w:rFonts w:cs="Arial"/>
                                <w:color w:val="FFFFFF"/>
                                <w:spacing w:val="-1"/>
                                <w:sz w:val="20"/>
                              </w:rPr>
                              <w:t>that</w:t>
                            </w:r>
                            <w:r w:rsidRPr="004E0302">
                              <w:rPr>
                                <w:rFonts w:cs="Arial"/>
                                <w:color w:val="FFFFFF"/>
                                <w:spacing w:val="1"/>
                                <w:sz w:val="20"/>
                              </w:rPr>
                              <w:t xml:space="preserve"> </w:t>
                            </w:r>
                            <w:r w:rsidRPr="004E0302">
                              <w:rPr>
                                <w:rFonts w:cs="Arial"/>
                                <w:color w:val="FFFFFF"/>
                                <w:spacing w:val="-1"/>
                                <w:sz w:val="20"/>
                              </w:rPr>
                              <w:t>the provider</w:t>
                            </w:r>
                            <w:r w:rsidRPr="004E0302">
                              <w:rPr>
                                <w:rFonts w:cs="Arial"/>
                                <w:color w:val="FFFFFF"/>
                                <w:sz w:val="20"/>
                              </w:rPr>
                              <w:t xml:space="preserve"> will</w:t>
                            </w:r>
                            <w:r w:rsidRPr="004E0302">
                              <w:rPr>
                                <w:rFonts w:cs="Arial"/>
                                <w:color w:val="FFFFFF"/>
                                <w:spacing w:val="-1"/>
                                <w:sz w:val="20"/>
                              </w:rPr>
                              <w:t xml:space="preserve"> be</w:t>
                            </w:r>
                            <w:r w:rsidRPr="004E0302">
                              <w:rPr>
                                <w:rFonts w:cs="Arial"/>
                                <w:color w:val="FFFFFF"/>
                                <w:spacing w:val="2"/>
                                <w:sz w:val="20"/>
                              </w:rPr>
                              <w:t xml:space="preserve"> </w:t>
                            </w:r>
                            <w:r w:rsidRPr="004E0302">
                              <w:rPr>
                                <w:rFonts w:cs="Arial"/>
                                <w:color w:val="FFFFFF"/>
                                <w:spacing w:val="-1"/>
                                <w:sz w:val="20"/>
                              </w:rPr>
                              <w:t>in breach</w:t>
                            </w:r>
                            <w:r w:rsidRPr="004E0302">
                              <w:rPr>
                                <w:rFonts w:cs="Arial"/>
                                <w:color w:val="FFFFFF"/>
                                <w:sz w:val="20"/>
                              </w:rPr>
                              <w:t xml:space="preserve"> of</w:t>
                            </w:r>
                            <w:r w:rsidRPr="004E0302">
                              <w:rPr>
                                <w:rFonts w:cs="Arial"/>
                                <w:color w:val="FFFFFF"/>
                                <w:spacing w:val="2"/>
                                <w:sz w:val="20"/>
                              </w:rPr>
                              <w:t xml:space="preserve"> </w:t>
                            </w:r>
                            <w:r w:rsidRPr="004E0302">
                              <w:rPr>
                                <w:rFonts w:cs="Arial"/>
                                <w:color w:val="FFFFFF"/>
                                <w:spacing w:val="-1"/>
                                <w:sz w:val="20"/>
                              </w:rPr>
                              <w:t>their</w:t>
                            </w:r>
                            <w:r w:rsidRPr="004E0302">
                              <w:rPr>
                                <w:rFonts w:cs="Arial"/>
                                <w:color w:val="FFFFFF"/>
                                <w:sz w:val="20"/>
                              </w:rPr>
                              <w:t xml:space="preserve"> </w:t>
                            </w:r>
                            <w:r w:rsidRPr="004E0302">
                              <w:rPr>
                                <w:rFonts w:cs="Arial"/>
                                <w:color w:val="FFFFFF"/>
                                <w:spacing w:val="-1"/>
                                <w:sz w:val="20"/>
                              </w:rPr>
                              <w:t>obligations</w:t>
                            </w:r>
                            <w:r w:rsidRPr="004E0302">
                              <w:rPr>
                                <w:rFonts w:cs="Arial"/>
                                <w:color w:val="FFFFFF"/>
                                <w:spacing w:val="1"/>
                                <w:sz w:val="20"/>
                              </w:rPr>
                              <w:t xml:space="preserve"> </w:t>
                            </w:r>
                            <w:r w:rsidRPr="004E0302">
                              <w:rPr>
                                <w:rFonts w:cs="Arial"/>
                                <w:color w:val="FFFFFF"/>
                                <w:spacing w:val="-1"/>
                                <w:sz w:val="20"/>
                              </w:rPr>
                              <w:t>under</w:t>
                            </w:r>
                            <w:r w:rsidRPr="004E0302">
                              <w:rPr>
                                <w:rFonts w:cs="Arial"/>
                                <w:color w:val="FFFFFF"/>
                                <w:spacing w:val="54"/>
                                <w:w w:val="99"/>
                                <w:sz w:val="20"/>
                              </w:rPr>
                              <w:t xml:space="preserve"> </w:t>
                            </w:r>
                            <w:r w:rsidRPr="004E0302">
                              <w:rPr>
                                <w:rFonts w:cs="Arial"/>
                                <w:color w:val="FFFFFF"/>
                                <w:spacing w:val="-1"/>
                                <w:sz w:val="20"/>
                              </w:rPr>
                              <w:t>the</w:t>
                            </w:r>
                            <w:r w:rsidRPr="004E0302">
                              <w:rPr>
                                <w:rFonts w:cs="Arial"/>
                                <w:color w:val="FFFFFF"/>
                                <w:spacing w:val="28"/>
                                <w:sz w:val="20"/>
                              </w:rPr>
                              <w:t xml:space="preserve"> </w:t>
                            </w:r>
                            <w:r w:rsidRPr="004E0302">
                              <w:rPr>
                                <w:rFonts w:cs="Arial"/>
                                <w:color w:val="FFFFFF"/>
                                <w:spacing w:val="-1"/>
                                <w:sz w:val="20"/>
                              </w:rPr>
                              <w:t>Equality</w:t>
                            </w:r>
                            <w:r w:rsidRPr="004E0302">
                              <w:rPr>
                                <w:rFonts w:cs="Arial"/>
                                <w:color w:val="FFFFFF"/>
                                <w:spacing w:val="29"/>
                                <w:sz w:val="20"/>
                              </w:rPr>
                              <w:t xml:space="preserve"> </w:t>
                            </w:r>
                            <w:r w:rsidRPr="004E0302">
                              <w:rPr>
                                <w:rFonts w:cs="Arial"/>
                                <w:color w:val="FFFFFF"/>
                                <w:spacing w:val="-1"/>
                                <w:sz w:val="20"/>
                              </w:rPr>
                              <w:t>Act</w:t>
                            </w:r>
                            <w:r w:rsidRPr="004E0302">
                              <w:rPr>
                                <w:rFonts w:cs="Arial"/>
                                <w:color w:val="FFFFFF"/>
                                <w:spacing w:val="30"/>
                                <w:sz w:val="20"/>
                              </w:rPr>
                              <w:t xml:space="preserve"> </w:t>
                            </w:r>
                            <w:r w:rsidRPr="004E0302">
                              <w:rPr>
                                <w:rFonts w:cs="Arial"/>
                                <w:color w:val="FFFFFF"/>
                                <w:sz w:val="20"/>
                              </w:rPr>
                              <w:t>2010</w:t>
                            </w:r>
                            <w:r w:rsidRPr="004E0302">
                              <w:rPr>
                                <w:rFonts w:cs="Arial"/>
                                <w:color w:val="FFFFFF"/>
                                <w:spacing w:val="30"/>
                                <w:sz w:val="20"/>
                              </w:rPr>
                              <w:t xml:space="preserve"> </w:t>
                            </w:r>
                            <w:r w:rsidRPr="004E0302">
                              <w:rPr>
                                <w:rFonts w:cs="Arial"/>
                                <w:color w:val="FFFFFF"/>
                                <w:spacing w:val="-1"/>
                                <w:sz w:val="20"/>
                              </w:rPr>
                              <w:t>to</w:t>
                            </w:r>
                            <w:r w:rsidRPr="004E0302">
                              <w:rPr>
                                <w:rFonts w:cs="Arial"/>
                                <w:color w:val="FFFFFF"/>
                                <w:spacing w:val="28"/>
                                <w:sz w:val="20"/>
                              </w:rPr>
                              <w:t xml:space="preserve"> </w:t>
                            </w:r>
                            <w:r w:rsidRPr="004E0302">
                              <w:rPr>
                                <w:rFonts w:cs="Arial"/>
                                <w:color w:val="FFFFFF"/>
                                <w:spacing w:val="-1"/>
                                <w:sz w:val="20"/>
                              </w:rPr>
                              <w:t>make</w:t>
                            </w:r>
                            <w:r w:rsidRPr="004E0302">
                              <w:rPr>
                                <w:rFonts w:cs="Arial"/>
                                <w:color w:val="FFFFFF"/>
                                <w:spacing w:val="28"/>
                                <w:sz w:val="20"/>
                              </w:rPr>
                              <w:t xml:space="preserve"> </w:t>
                            </w:r>
                            <w:r w:rsidRPr="004E0302">
                              <w:rPr>
                                <w:rFonts w:cs="Arial"/>
                                <w:color w:val="FFFFFF"/>
                                <w:spacing w:val="-1"/>
                                <w:sz w:val="20"/>
                              </w:rPr>
                              <w:t>reasonable</w:t>
                            </w:r>
                            <w:r w:rsidRPr="004E0302">
                              <w:rPr>
                                <w:rFonts w:cs="Arial"/>
                                <w:color w:val="FFFFFF"/>
                                <w:spacing w:val="28"/>
                                <w:sz w:val="20"/>
                              </w:rPr>
                              <w:t xml:space="preserve"> </w:t>
                            </w:r>
                            <w:r w:rsidRPr="004E0302">
                              <w:rPr>
                                <w:rFonts w:cs="Arial"/>
                                <w:color w:val="FFFFFF"/>
                                <w:spacing w:val="-1"/>
                                <w:sz w:val="20"/>
                              </w:rPr>
                              <w:t>adjustments.</w:t>
                            </w:r>
                            <w:r w:rsidRPr="004E0302">
                              <w:rPr>
                                <w:rFonts w:cs="Arial"/>
                                <w:color w:val="FFFFFF"/>
                                <w:spacing w:val="58"/>
                                <w:sz w:val="20"/>
                              </w:rPr>
                              <w:t xml:space="preserve"> </w:t>
                            </w:r>
                            <w:r w:rsidRPr="004E0302">
                              <w:rPr>
                                <w:rFonts w:cs="Arial"/>
                                <w:color w:val="FFFFFF"/>
                                <w:sz w:val="20"/>
                              </w:rPr>
                              <w:t>In</w:t>
                            </w:r>
                            <w:r w:rsidRPr="004E0302">
                              <w:rPr>
                                <w:rFonts w:cs="Arial"/>
                                <w:color w:val="FFFFFF"/>
                                <w:spacing w:val="29"/>
                                <w:sz w:val="20"/>
                              </w:rPr>
                              <w:t xml:space="preserve"> </w:t>
                            </w:r>
                            <w:r w:rsidRPr="004E0302">
                              <w:rPr>
                                <w:rFonts w:cs="Arial"/>
                                <w:color w:val="FFFFFF"/>
                                <w:spacing w:val="-1"/>
                                <w:sz w:val="20"/>
                              </w:rPr>
                              <w:t>order</w:t>
                            </w:r>
                            <w:r w:rsidRPr="004E0302">
                              <w:rPr>
                                <w:rFonts w:cs="Arial"/>
                                <w:color w:val="FFFFFF"/>
                                <w:spacing w:val="30"/>
                                <w:sz w:val="20"/>
                              </w:rPr>
                              <w:t xml:space="preserve"> </w:t>
                            </w:r>
                            <w:r w:rsidRPr="004E0302">
                              <w:rPr>
                                <w:rFonts w:cs="Arial"/>
                                <w:color w:val="FFFFFF"/>
                                <w:sz w:val="20"/>
                              </w:rPr>
                              <w:t>to</w:t>
                            </w:r>
                            <w:r w:rsidRPr="004E0302">
                              <w:rPr>
                                <w:rFonts w:cs="Arial"/>
                                <w:color w:val="FFFFFF"/>
                                <w:spacing w:val="61"/>
                                <w:sz w:val="20"/>
                              </w:rPr>
                              <w:t xml:space="preserve"> </w:t>
                            </w:r>
                            <w:r w:rsidRPr="004E0302">
                              <w:rPr>
                                <w:rFonts w:cs="Arial"/>
                                <w:color w:val="FFFFFF"/>
                                <w:spacing w:val="-1"/>
                                <w:sz w:val="20"/>
                              </w:rPr>
                              <w:t>comply</w:t>
                            </w:r>
                            <w:r w:rsidRPr="004E0302">
                              <w:rPr>
                                <w:rFonts w:cs="Arial"/>
                                <w:color w:val="FFFFFF"/>
                                <w:spacing w:val="38"/>
                                <w:sz w:val="20"/>
                              </w:rPr>
                              <w:t xml:space="preserve"> </w:t>
                            </w:r>
                            <w:r w:rsidRPr="004E0302">
                              <w:rPr>
                                <w:rFonts w:cs="Arial"/>
                                <w:color w:val="FFFFFF"/>
                                <w:spacing w:val="-1"/>
                                <w:sz w:val="20"/>
                              </w:rPr>
                              <w:t>with</w:t>
                            </w:r>
                            <w:r w:rsidRPr="004E0302">
                              <w:rPr>
                                <w:rFonts w:cs="Arial"/>
                                <w:color w:val="FFFFFF"/>
                                <w:spacing w:val="38"/>
                                <w:sz w:val="20"/>
                              </w:rPr>
                              <w:t xml:space="preserve"> </w:t>
                            </w:r>
                            <w:r w:rsidRPr="004E0302">
                              <w:rPr>
                                <w:rFonts w:cs="Arial"/>
                                <w:color w:val="FFFFFF"/>
                                <w:spacing w:val="-1"/>
                                <w:sz w:val="20"/>
                              </w:rPr>
                              <w:t>the</w:t>
                            </w:r>
                            <w:r w:rsidRPr="004E0302">
                              <w:rPr>
                                <w:rFonts w:cs="Arial"/>
                                <w:color w:val="FFFFFF"/>
                                <w:spacing w:val="37"/>
                                <w:sz w:val="20"/>
                              </w:rPr>
                              <w:t xml:space="preserve"> </w:t>
                            </w:r>
                            <w:r w:rsidRPr="004E0302">
                              <w:rPr>
                                <w:rFonts w:cs="Arial"/>
                                <w:color w:val="FFFFFF"/>
                                <w:spacing w:val="-1"/>
                                <w:sz w:val="20"/>
                              </w:rPr>
                              <w:t>PSED</w:t>
                            </w:r>
                            <w:r w:rsidRPr="004E0302">
                              <w:rPr>
                                <w:rFonts w:cs="Arial"/>
                                <w:color w:val="FFFFFF"/>
                                <w:spacing w:val="40"/>
                                <w:sz w:val="20"/>
                              </w:rPr>
                              <w:t xml:space="preserve"> </w:t>
                            </w:r>
                            <w:r w:rsidRPr="004E0302">
                              <w:rPr>
                                <w:rFonts w:cs="Arial"/>
                                <w:color w:val="FFFFFF"/>
                                <w:spacing w:val="-1"/>
                                <w:sz w:val="20"/>
                              </w:rPr>
                              <w:t>NHS</w:t>
                            </w:r>
                            <w:r w:rsidRPr="004E0302">
                              <w:rPr>
                                <w:rFonts w:cs="Arial"/>
                                <w:color w:val="FFFFFF"/>
                                <w:spacing w:val="37"/>
                                <w:sz w:val="20"/>
                              </w:rPr>
                              <w:t xml:space="preserve"> </w:t>
                            </w:r>
                            <w:r w:rsidRPr="004E0302">
                              <w:rPr>
                                <w:rFonts w:cs="Arial"/>
                                <w:color w:val="FFFFFF"/>
                                <w:spacing w:val="-1"/>
                                <w:sz w:val="20"/>
                              </w:rPr>
                              <w:t>England</w:t>
                            </w:r>
                            <w:r w:rsidRPr="004E0302">
                              <w:rPr>
                                <w:rFonts w:cs="Arial"/>
                                <w:color w:val="FFFFFF"/>
                                <w:spacing w:val="37"/>
                                <w:sz w:val="20"/>
                              </w:rPr>
                              <w:t xml:space="preserve"> </w:t>
                            </w:r>
                            <w:r w:rsidRPr="004E0302">
                              <w:rPr>
                                <w:rFonts w:cs="Arial"/>
                                <w:color w:val="FFFFFF"/>
                                <w:spacing w:val="-1"/>
                                <w:sz w:val="20"/>
                              </w:rPr>
                              <w:t>takes</w:t>
                            </w:r>
                            <w:r w:rsidRPr="004E0302">
                              <w:rPr>
                                <w:rFonts w:cs="Arial"/>
                                <w:color w:val="FFFFFF"/>
                                <w:spacing w:val="39"/>
                                <w:sz w:val="20"/>
                              </w:rPr>
                              <w:t xml:space="preserve"> </w:t>
                            </w:r>
                            <w:r w:rsidRPr="004E0302">
                              <w:rPr>
                                <w:rFonts w:cs="Arial"/>
                                <w:color w:val="FFFFFF"/>
                                <w:spacing w:val="-1"/>
                                <w:sz w:val="20"/>
                              </w:rPr>
                              <w:t>steps</w:t>
                            </w:r>
                            <w:r w:rsidRPr="004E0302">
                              <w:rPr>
                                <w:rFonts w:cs="Arial"/>
                                <w:color w:val="FFFFFF"/>
                                <w:spacing w:val="39"/>
                                <w:sz w:val="20"/>
                              </w:rPr>
                              <w:t xml:space="preserve"> </w:t>
                            </w:r>
                            <w:r w:rsidRPr="004E0302">
                              <w:rPr>
                                <w:rFonts w:cs="Arial"/>
                                <w:color w:val="FFFFFF"/>
                                <w:sz w:val="20"/>
                              </w:rPr>
                              <w:t>to</w:t>
                            </w:r>
                            <w:r w:rsidRPr="004E0302">
                              <w:rPr>
                                <w:rFonts w:cs="Arial"/>
                                <w:color w:val="FFFFFF"/>
                                <w:spacing w:val="37"/>
                                <w:sz w:val="20"/>
                              </w:rPr>
                              <w:t xml:space="preserve"> </w:t>
                            </w:r>
                            <w:r w:rsidRPr="004E0302">
                              <w:rPr>
                                <w:rFonts w:cs="Arial"/>
                                <w:color w:val="FFFFFF"/>
                                <w:spacing w:val="-1"/>
                                <w:sz w:val="20"/>
                              </w:rPr>
                              <w:t>investigate</w:t>
                            </w:r>
                            <w:r w:rsidRPr="004E0302">
                              <w:rPr>
                                <w:rFonts w:cs="Arial"/>
                                <w:color w:val="FFFFFF"/>
                                <w:spacing w:val="37"/>
                                <w:sz w:val="20"/>
                              </w:rPr>
                              <w:t xml:space="preserve"> </w:t>
                            </w:r>
                            <w:r w:rsidRPr="004E0302">
                              <w:rPr>
                                <w:rFonts w:cs="Arial"/>
                                <w:color w:val="FFFFFF"/>
                                <w:spacing w:val="-1"/>
                                <w:sz w:val="20"/>
                              </w:rPr>
                              <w:t>and</w:t>
                            </w:r>
                            <w:r w:rsidRPr="004E0302">
                              <w:rPr>
                                <w:rFonts w:cs="Arial"/>
                                <w:color w:val="FFFFFF"/>
                                <w:spacing w:val="55"/>
                                <w:sz w:val="20"/>
                              </w:rPr>
                              <w:t xml:space="preserve"> </w:t>
                            </w:r>
                            <w:r w:rsidRPr="004E0302">
                              <w:rPr>
                                <w:rFonts w:cs="Arial"/>
                                <w:color w:val="FFFFFF"/>
                                <w:spacing w:val="-1"/>
                                <w:sz w:val="20"/>
                              </w:rPr>
                              <w:t>enforcement</w:t>
                            </w:r>
                            <w:r w:rsidRPr="004E0302">
                              <w:rPr>
                                <w:rFonts w:cs="Arial"/>
                                <w:color w:val="FFFFFF"/>
                                <w:spacing w:val="-6"/>
                                <w:sz w:val="20"/>
                              </w:rPr>
                              <w:t xml:space="preserve"> </w:t>
                            </w:r>
                            <w:r w:rsidRPr="004E0302">
                              <w:rPr>
                                <w:rFonts w:cs="Arial"/>
                                <w:color w:val="FFFFFF"/>
                                <w:spacing w:val="-1"/>
                                <w:sz w:val="20"/>
                              </w:rPr>
                              <w:t>action</w:t>
                            </w:r>
                            <w:r w:rsidRPr="004E0302">
                              <w:rPr>
                                <w:rFonts w:cs="Arial"/>
                                <w:color w:val="FFFFFF"/>
                                <w:spacing w:val="-6"/>
                                <w:sz w:val="20"/>
                              </w:rPr>
                              <w:t xml:space="preserve"> </w:t>
                            </w:r>
                            <w:r w:rsidRPr="004E0302">
                              <w:rPr>
                                <w:rFonts w:cs="Arial"/>
                                <w:color w:val="FFFFFF"/>
                                <w:sz w:val="20"/>
                              </w:rPr>
                              <w:t>if</w:t>
                            </w:r>
                            <w:r w:rsidRPr="004E0302">
                              <w:rPr>
                                <w:rFonts w:cs="Arial"/>
                                <w:color w:val="FFFFFF"/>
                                <w:spacing w:val="-10"/>
                                <w:sz w:val="20"/>
                              </w:rPr>
                              <w:t xml:space="preserve"> </w:t>
                            </w:r>
                            <w:r w:rsidRPr="004E0302">
                              <w:rPr>
                                <w:rFonts w:cs="Arial"/>
                                <w:color w:val="FFFFFF"/>
                                <w:spacing w:val="-1"/>
                                <w:sz w:val="20"/>
                              </w:rPr>
                              <w:t>needed.</w:t>
                            </w:r>
                          </w:p>
                        </w:txbxContent>
                      </wps:txbx>
                      <wps:bodyPr rot="0" vert="horz" wrap="square" lIns="0" tIns="0" rIns="0" bIns="0" anchor="t" anchorCtr="0" upright="1">
                        <a:noAutofit/>
                      </wps:bodyPr>
                    </wps:wsp>
                  </a:graphicData>
                </a:graphic>
              </wp:inline>
            </w:drawing>
          </mc:Choice>
          <mc:Fallback>
            <w:pict>
              <v:shape w14:anchorId="29F8DFA2" id="Text Box 1908" o:spid="_x0000_s1028" type="#_x0000_t202" style="width:382.7pt;height:1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" fillcolor="#1c6cb4" stroked="f">
                <v:textbox inset="0,0,0,0">
                  <w:txbxContent>
                    <w:p w14:paraId="302AA0A5" w14:textId="77777777" w:rsidR="00942266" w:rsidRPr="004E0302" w:rsidRDefault="00942266" w:rsidP="00DB7F92">
                      <w:pPr>
                        <w:spacing w:before="213"/>
                        <w:ind w:left="225"/>
                        <w:jc w:val="both"/>
                        <w:rPr>
                          <w:rFonts w:eastAsia="Tw Cen MT Condensed Extra Bold" w:cs="Arial"/>
                          <w:sz w:val="20"/>
                          <w:szCs w:val="24"/>
                        </w:rPr>
                      </w:pPr>
                      <w:r w:rsidRPr="004E0302">
                        <w:rPr>
                          <w:rFonts w:cs="Arial"/>
                          <w:b/>
                          <w:color w:val="FFFFFF"/>
                          <w:sz w:val="20"/>
                        </w:rPr>
                        <w:t>Example:</w:t>
                      </w:r>
                    </w:p>
                    <w:p w14:paraId="6E61A099" w14:textId="77777777" w:rsidR="00942266" w:rsidRPr="004E0302" w:rsidRDefault="00942266" w:rsidP="00DB7F92">
                      <w:pPr>
                        <w:spacing w:before="12"/>
                        <w:rPr>
                          <w:rFonts w:eastAsia="Segoe UI Semilight" w:cs="Arial"/>
                          <w:sz w:val="20"/>
                          <w:szCs w:val="24"/>
                        </w:rPr>
                      </w:pPr>
                    </w:p>
                    <w:p w14:paraId="325AF270" w14:textId="77777777" w:rsidR="00942266" w:rsidRPr="004E0302" w:rsidRDefault="00942266" w:rsidP="00DB7F92">
                      <w:pPr>
                        <w:ind w:left="225" w:right="225"/>
                        <w:jc w:val="both"/>
                        <w:rPr>
                          <w:rFonts w:eastAsia="Segoe UI Semilight" w:cs="Arial"/>
                          <w:sz w:val="20"/>
                          <w:szCs w:val="24"/>
                        </w:rPr>
                      </w:pPr>
                      <w:r w:rsidRPr="004E0302">
                        <w:rPr>
                          <w:rFonts w:cs="Arial"/>
                          <w:color w:val="FFFFFF"/>
                          <w:sz w:val="20"/>
                        </w:rPr>
                        <w:t>A</w:t>
                      </w:r>
                      <w:r w:rsidRPr="004E0302">
                        <w:rPr>
                          <w:rFonts w:cs="Arial"/>
                          <w:color w:val="FFFFFF"/>
                          <w:spacing w:val="43"/>
                          <w:sz w:val="20"/>
                        </w:rPr>
                        <w:t xml:space="preserve"> </w:t>
                      </w:r>
                      <w:proofErr w:type="gramStart"/>
                      <w:r w:rsidRPr="004E0302">
                        <w:rPr>
                          <w:rFonts w:cs="Arial"/>
                          <w:color w:val="FFFFFF"/>
                          <w:spacing w:val="-1"/>
                          <w:sz w:val="20"/>
                        </w:rPr>
                        <w:t>hearing</w:t>
                      </w:r>
                      <w:r w:rsidRPr="004E0302">
                        <w:rPr>
                          <w:rFonts w:cs="Arial"/>
                          <w:color w:val="FFFFFF"/>
                          <w:spacing w:val="42"/>
                          <w:sz w:val="20"/>
                        </w:rPr>
                        <w:t xml:space="preserve"> </w:t>
                      </w:r>
                      <w:r w:rsidRPr="004E0302">
                        <w:rPr>
                          <w:rFonts w:cs="Arial"/>
                          <w:color w:val="FFFFFF"/>
                          <w:spacing w:val="-1"/>
                          <w:sz w:val="20"/>
                        </w:rPr>
                        <w:t>impaired</w:t>
                      </w:r>
                      <w:proofErr w:type="gramEnd"/>
                      <w:r w:rsidRPr="004E0302">
                        <w:rPr>
                          <w:rFonts w:cs="Arial"/>
                          <w:color w:val="FFFFFF"/>
                          <w:spacing w:val="41"/>
                          <w:sz w:val="20"/>
                        </w:rPr>
                        <w:t xml:space="preserve"> </w:t>
                      </w:r>
                      <w:r w:rsidRPr="004E0302">
                        <w:rPr>
                          <w:rFonts w:cs="Arial"/>
                          <w:color w:val="FFFFFF"/>
                          <w:spacing w:val="-1"/>
                          <w:sz w:val="20"/>
                        </w:rPr>
                        <w:t>patient</w:t>
                      </w:r>
                      <w:r w:rsidRPr="004E0302">
                        <w:rPr>
                          <w:rFonts w:cs="Arial"/>
                          <w:color w:val="FFFFFF"/>
                          <w:spacing w:val="43"/>
                          <w:sz w:val="20"/>
                        </w:rPr>
                        <w:t xml:space="preserve"> </w:t>
                      </w:r>
                      <w:r w:rsidRPr="004E0302">
                        <w:rPr>
                          <w:rFonts w:cs="Arial"/>
                          <w:color w:val="FFFFFF"/>
                          <w:spacing w:val="-1"/>
                          <w:sz w:val="20"/>
                        </w:rPr>
                        <w:t>complains</w:t>
                      </w:r>
                      <w:r w:rsidRPr="004E0302">
                        <w:rPr>
                          <w:rFonts w:cs="Arial"/>
                          <w:color w:val="FFFFFF"/>
                          <w:spacing w:val="43"/>
                          <w:sz w:val="20"/>
                        </w:rPr>
                        <w:t xml:space="preserve"> </w:t>
                      </w:r>
                      <w:r w:rsidRPr="004E0302">
                        <w:rPr>
                          <w:rFonts w:cs="Arial"/>
                          <w:color w:val="FFFFFF"/>
                          <w:sz w:val="20"/>
                        </w:rPr>
                        <w:t>to</w:t>
                      </w:r>
                      <w:r w:rsidRPr="004E0302">
                        <w:rPr>
                          <w:rFonts w:cs="Arial"/>
                          <w:color w:val="FFFFFF"/>
                          <w:spacing w:val="42"/>
                          <w:sz w:val="20"/>
                        </w:rPr>
                        <w:t xml:space="preserve"> </w:t>
                      </w:r>
                      <w:r>
                        <w:rPr>
                          <w:rFonts w:cs="Arial"/>
                          <w:color w:val="FFFFFF"/>
                          <w:sz w:val="20"/>
                        </w:rPr>
                        <w:t>the commissioner</w:t>
                      </w:r>
                      <w:r w:rsidRPr="004E0302">
                        <w:rPr>
                          <w:rFonts w:cs="Arial"/>
                          <w:color w:val="FFFFFF"/>
                          <w:spacing w:val="41"/>
                          <w:sz w:val="20"/>
                        </w:rPr>
                        <w:t xml:space="preserve"> </w:t>
                      </w:r>
                      <w:r w:rsidRPr="004E0302">
                        <w:rPr>
                          <w:rFonts w:cs="Arial"/>
                          <w:color w:val="FFFFFF"/>
                          <w:spacing w:val="-1"/>
                          <w:sz w:val="20"/>
                        </w:rPr>
                        <w:t>about</w:t>
                      </w:r>
                      <w:r w:rsidRPr="004E0302">
                        <w:rPr>
                          <w:rFonts w:cs="Arial"/>
                          <w:color w:val="FFFFFF"/>
                          <w:spacing w:val="43"/>
                          <w:sz w:val="20"/>
                        </w:rPr>
                        <w:t xml:space="preserve"> </w:t>
                      </w:r>
                      <w:r w:rsidRPr="004E0302">
                        <w:rPr>
                          <w:rFonts w:cs="Arial"/>
                          <w:color w:val="FFFFFF"/>
                          <w:spacing w:val="-1"/>
                          <w:sz w:val="20"/>
                        </w:rPr>
                        <w:t>their</w:t>
                      </w:r>
                      <w:r w:rsidRPr="004E0302">
                        <w:rPr>
                          <w:rFonts w:cs="Arial"/>
                          <w:color w:val="FFFFFF"/>
                          <w:spacing w:val="52"/>
                          <w:w w:val="99"/>
                          <w:sz w:val="20"/>
                        </w:rPr>
                        <w:t xml:space="preserve"> </w:t>
                      </w:r>
                      <w:r w:rsidRPr="004E0302">
                        <w:rPr>
                          <w:rFonts w:cs="Arial"/>
                          <w:color w:val="FFFFFF"/>
                          <w:spacing w:val="-1"/>
                          <w:sz w:val="20"/>
                        </w:rPr>
                        <w:t>experience</w:t>
                      </w:r>
                      <w:r w:rsidRPr="004E0302">
                        <w:rPr>
                          <w:rFonts w:cs="Arial"/>
                          <w:color w:val="FFFFFF"/>
                          <w:spacing w:val="25"/>
                          <w:sz w:val="20"/>
                        </w:rPr>
                        <w:t xml:space="preserve"> </w:t>
                      </w:r>
                      <w:r w:rsidRPr="004E0302">
                        <w:rPr>
                          <w:rFonts w:cs="Arial"/>
                          <w:color w:val="FFFFFF"/>
                          <w:sz w:val="20"/>
                        </w:rPr>
                        <w:t>with</w:t>
                      </w:r>
                      <w:r w:rsidRPr="004E0302">
                        <w:rPr>
                          <w:rFonts w:cs="Arial"/>
                          <w:color w:val="FFFFFF"/>
                          <w:spacing w:val="26"/>
                          <w:sz w:val="20"/>
                        </w:rPr>
                        <w:t xml:space="preserve"> </w:t>
                      </w:r>
                      <w:r w:rsidRPr="004E0302">
                        <w:rPr>
                          <w:rFonts w:cs="Arial"/>
                          <w:color w:val="FFFFFF"/>
                          <w:sz w:val="20"/>
                        </w:rPr>
                        <w:t>a</w:t>
                      </w:r>
                      <w:r w:rsidRPr="004E0302">
                        <w:rPr>
                          <w:rFonts w:cs="Arial"/>
                          <w:color w:val="FFFFFF"/>
                          <w:spacing w:val="26"/>
                          <w:sz w:val="20"/>
                        </w:rPr>
                        <w:t xml:space="preserve"> </w:t>
                      </w:r>
                      <w:r w:rsidRPr="004E0302">
                        <w:rPr>
                          <w:rFonts w:cs="Arial"/>
                          <w:color w:val="FFFFFF"/>
                          <w:spacing w:val="-1"/>
                          <w:sz w:val="20"/>
                        </w:rPr>
                        <w:t>local</w:t>
                      </w:r>
                      <w:r w:rsidRPr="004E0302">
                        <w:rPr>
                          <w:rFonts w:cs="Arial"/>
                          <w:color w:val="FFFFFF"/>
                          <w:spacing w:val="54"/>
                          <w:sz w:val="20"/>
                        </w:rPr>
                        <w:t xml:space="preserve"> </w:t>
                      </w:r>
                      <w:r w:rsidRPr="004E0302">
                        <w:rPr>
                          <w:rFonts w:cs="Arial"/>
                          <w:color w:val="FFFFFF"/>
                          <w:spacing w:val="-1"/>
                          <w:sz w:val="20"/>
                        </w:rPr>
                        <w:t>(NHS</w:t>
                      </w:r>
                      <w:r w:rsidRPr="004E0302">
                        <w:rPr>
                          <w:rFonts w:cs="Arial"/>
                          <w:color w:val="FFFFFF"/>
                          <w:spacing w:val="25"/>
                          <w:sz w:val="20"/>
                        </w:rPr>
                        <w:t xml:space="preserve"> </w:t>
                      </w:r>
                      <w:r w:rsidRPr="004E0302">
                        <w:rPr>
                          <w:rFonts w:cs="Arial"/>
                          <w:color w:val="FFFFFF"/>
                          <w:spacing w:val="-1"/>
                          <w:sz w:val="20"/>
                        </w:rPr>
                        <w:t>commissioned)</w:t>
                      </w:r>
                      <w:r w:rsidRPr="004E0302">
                        <w:rPr>
                          <w:rFonts w:cs="Arial"/>
                          <w:color w:val="FFFFFF"/>
                          <w:spacing w:val="28"/>
                          <w:sz w:val="20"/>
                        </w:rPr>
                        <w:t xml:space="preserve"> </w:t>
                      </w:r>
                      <w:r w:rsidRPr="004E0302">
                        <w:rPr>
                          <w:rFonts w:cs="Arial"/>
                          <w:color w:val="FFFFFF"/>
                          <w:spacing w:val="-1"/>
                          <w:sz w:val="20"/>
                        </w:rPr>
                        <w:t>provider.</w:t>
                      </w:r>
                      <w:r w:rsidRPr="004E0302">
                        <w:rPr>
                          <w:rFonts w:cs="Arial"/>
                          <w:color w:val="FFFFFF"/>
                          <w:spacing w:val="52"/>
                          <w:sz w:val="20"/>
                        </w:rPr>
                        <w:t xml:space="preserve"> </w:t>
                      </w:r>
                      <w:r w:rsidRPr="004E0302">
                        <w:rPr>
                          <w:rFonts w:cs="Arial"/>
                          <w:color w:val="FFFFFF"/>
                          <w:spacing w:val="-1"/>
                          <w:sz w:val="20"/>
                        </w:rPr>
                        <w:t>The</w:t>
                      </w:r>
                      <w:r w:rsidRPr="004E0302">
                        <w:rPr>
                          <w:rFonts w:cs="Arial"/>
                          <w:color w:val="FFFFFF"/>
                          <w:spacing w:val="27"/>
                          <w:sz w:val="20"/>
                        </w:rPr>
                        <w:t xml:space="preserve"> </w:t>
                      </w:r>
                      <w:r w:rsidRPr="004E0302">
                        <w:rPr>
                          <w:rFonts w:cs="Arial"/>
                          <w:color w:val="FFFFFF"/>
                          <w:spacing w:val="-1"/>
                          <w:sz w:val="20"/>
                        </w:rPr>
                        <w:t>patient</w:t>
                      </w:r>
                      <w:r w:rsidRPr="004E0302">
                        <w:rPr>
                          <w:rFonts w:cs="Arial"/>
                          <w:color w:val="FFFFFF"/>
                          <w:spacing w:val="53"/>
                          <w:w w:val="99"/>
                          <w:sz w:val="20"/>
                        </w:rPr>
                        <w:t xml:space="preserve"> </w:t>
                      </w:r>
                      <w:r w:rsidRPr="004E0302">
                        <w:rPr>
                          <w:rFonts w:cs="Arial"/>
                          <w:color w:val="FFFFFF"/>
                          <w:spacing w:val="-1"/>
                          <w:sz w:val="20"/>
                        </w:rPr>
                        <w:t>was</w:t>
                      </w:r>
                      <w:r w:rsidRPr="004E0302">
                        <w:rPr>
                          <w:rFonts w:cs="Arial"/>
                          <w:color w:val="FFFFFF"/>
                          <w:spacing w:val="18"/>
                          <w:sz w:val="20"/>
                        </w:rPr>
                        <w:t xml:space="preserve"> </w:t>
                      </w:r>
                      <w:r w:rsidRPr="004E0302">
                        <w:rPr>
                          <w:rFonts w:cs="Arial"/>
                          <w:color w:val="FFFFFF"/>
                          <w:spacing w:val="-1"/>
                          <w:sz w:val="20"/>
                        </w:rPr>
                        <w:t>unable</w:t>
                      </w:r>
                      <w:r w:rsidRPr="004E0302">
                        <w:rPr>
                          <w:rFonts w:cs="Arial"/>
                          <w:color w:val="FFFFFF"/>
                          <w:spacing w:val="18"/>
                          <w:sz w:val="20"/>
                        </w:rPr>
                        <w:t xml:space="preserve"> </w:t>
                      </w:r>
                      <w:r w:rsidRPr="004E0302">
                        <w:rPr>
                          <w:rFonts w:cs="Arial"/>
                          <w:color w:val="FFFFFF"/>
                          <w:sz w:val="20"/>
                        </w:rPr>
                        <w:t>to</w:t>
                      </w:r>
                      <w:r w:rsidRPr="004E0302">
                        <w:rPr>
                          <w:rFonts w:cs="Arial"/>
                          <w:color w:val="FFFFFF"/>
                          <w:spacing w:val="19"/>
                          <w:sz w:val="20"/>
                        </w:rPr>
                        <w:t xml:space="preserve"> </w:t>
                      </w:r>
                      <w:r w:rsidRPr="004E0302">
                        <w:rPr>
                          <w:rFonts w:cs="Arial"/>
                          <w:color w:val="FFFFFF"/>
                          <w:spacing w:val="-1"/>
                          <w:sz w:val="20"/>
                        </w:rPr>
                        <w:t>communicate</w:t>
                      </w:r>
                      <w:r w:rsidRPr="004E0302">
                        <w:rPr>
                          <w:rFonts w:cs="Arial"/>
                          <w:color w:val="FFFFFF"/>
                          <w:spacing w:val="18"/>
                          <w:sz w:val="20"/>
                        </w:rPr>
                        <w:t xml:space="preserve"> </w:t>
                      </w:r>
                      <w:r w:rsidRPr="004E0302">
                        <w:rPr>
                          <w:rFonts w:cs="Arial"/>
                          <w:color w:val="FFFFFF"/>
                          <w:spacing w:val="-1"/>
                          <w:sz w:val="20"/>
                        </w:rPr>
                        <w:t>effectively</w:t>
                      </w:r>
                      <w:r w:rsidRPr="004E0302">
                        <w:rPr>
                          <w:rFonts w:cs="Arial"/>
                          <w:color w:val="FFFFFF"/>
                          <w:spacing w:val="18"/>
                          <w:sz w:val="20"/>
                        </w:rPr>
                        <w:t xml:space="preserve"> </w:t>
                      </w:r>
                      <w:r w:rsidRPr="004E0302">
                        <w:rPr>
                          <w:rFonts w:cs="Arial"/>
                          <w:color w:val="FFFFFF"/>
                          <w:sz w:val="20"/>
                        </w:rPr>
                        <w:t>with</w:t>
                      </w:r>
                      <w:r w:rsidRPr="004E0302">
                        <w:rPr>
                          <w:rFonts w:cs="Arial"/>
                          <w:color w:val="FFFFFF"/>
                          <w:spacing w:val="18"/>
                          <w:sz w:val="20"/>
                        </w:rPr>
                        <w:t xml:space="preserve"> </w:t>
                      </w:r>
                      <w:r w:rsidRPr="004E0302">
                        <w:rPr>
                          <w:rFonts w:cs="Arial"/>
                          <w:color w:val="FFFFFF"/>
                          <w:spacing w:val="-1"/>
                          <w:sz w:val="20"/>
                        </w:rPr>
                        <w:t>the</w:t>
                      </w:r>
                      <w:r w:rsidRPr="004E0302">
                        <w:rPr>
                          <w:rFonts w:cs="Arial"/>
                          <w:color w:val="FFFFFF"/>
                          <w:spacing w:val="17"/>
                          <w:sz w:val="20"/>
                        </w:rPr>
                        <w:t xml:space="preserve"> </w:t>
                      </w:r>
                      <w:r w:rsidRPr="004E0302">
                        <w:rPr>
                          <w:rFonts w:cs="Arial"/>
                          <w:color w:val="FFFFFF"/>
                          <w:spacing w:val="-1"/>
                          <w:sz w:val="20"/>
                        </w:rPr>
                        <w:t>provider</w:t>
                      </w:r>
                      <w:r w:rsidRPr="004E0302">
                        <w:rPr>
                          <w:rFonts w:cs="Arial"/>
                          <w:color w:val="FFFFFF"/>
                          <w:spacing w:val="19"/>
                          <w:sz w:val="20"/>
                        </w:rPr>
                        <w:t xml:space="preserve"> </w:t>
                      </w:r>
                      <w:r w:rsidRPr="004E0302">
                        <w:rPr>
                          <w:rFonts w:cs="Arial"/>
                          <w:color w:val="FFFFFF"/>
                          <w:spacing w:val="-1"/>
                          <w:sz w:val="20"/>
                        </w:rPr>
                        <w:t>because</w:t>
                      </w:r>
                      <w:r w:rsidRPr="004E0302">
                        <w:rPr>
                          <w:rFonts w:cs="Arial"/>
                          <w:color w:val="FFFFFF"/>
                          <w:spacing w:val="17"/>
                          <w:sz w:val="20"/>
                        </w:rPr>
                        <w:t xml:space="preserve"> </w:t>
                      </w:r>
                      <w:r w:rsidRPr="004E0302">
                        <w:rPr>
                          <w:rFonts w:cs="Arial"/>
                          <w:color w:val="FFFFFF"/>
                          <w:sz w:val="20"/>
                        </w:rPr>
                        <w:t>of</w:t>
                      </w:r>
                      <w:r w:rsidRPr="004E0302">
                        <w:rPr>
                          <w:rFonts w:cs="Arial"/>
                          <w:color w:val="FFFFFF"/>
                          <w:spacing w:val="59"/>
                          <w:sz w:val="20"/>
                        </w:rPr>
                        <w:t xml:space="preserve"> </w:t>
                      </w:r>
                      <w:r w:rsidRPr="004E0302">
                        <w:rPr>
                          <w:rFonts w:cs="Arial"/>
                          <w:color w:val="FFFFFF"/>
                          <w:spacing w:val="-1"/>
                          <w:sz w:val="20"/>
                        </w:rPr>
                        <w:t>their</w:t>
                      </w:r>
                      <w:r w:rsidRPr="004E0302">
                        <w:rPr>
                          <w:rFonts w:cs="Arial"/>
                          <w:color w:val="FFFFFF"/>
                          <w:spacing w:val="2"/>
                          <w:sz w:val="20"/>
                        </w:rPr>
                        <w:t xml:space="preserve"> </w:t>
                      </w:r>
                      <w:r w:rsidRPr="004E0302">
                        <w:rPr>
                          <w:rFonts w:cs="Arial"/>
                          <w:color w:val="FFFFFF"/>
                          <w:spacing w:val="-1"/>
                          <w:sz w:val="20"/>
                        </w:rPr>
                        <w:t>hearing</w:t>
                      </w:r>
                      <w:r w:rsidRPr="004E0302">
                        <w:rPr>
                          <w:rFonts w:cs="Arial"/>
                          <w:color w:val="FFFFFF"/>
                          <w:spacing w:val="5"/>
                          <w:sz w:val="20"/>
                        </w:rPr>
                        <w:t xml:space="preserve"> </w:t>
                      </w:r>
                      <w:r w:rsidRPr="004E0302">
                        <w:rPr>
                          <w:rFonts w:cs="Arial"/>
                          <w:color w:val="FFFFFF"/>
                          <w:spacing w:val="-1"/>
                          <w:sz w:val="20"/>
                        </w:rPr>
                        <w:t>impairment.</w:t>
                      </w:r>
                      <w:r w:rsidRPr="004E0302">
                        <w:rPr>
                          <w:rFonts w:cs="Arial"/>
                          <w:color w:val="FFFFFF"/>
                          <w:spacing w:val="7"/>
                          <w:sz w:val="20"/>
                        </w:rPr>
                        <w:t xml:space="preserve"> </w:t>
                      </w:r>
                      <w:r w:rsidRPr="004E0302">
                        <w:rPr>
                          <w:rFonts w:cs="Arial"/>
                          <w:color w:val="FFFFFF"/>
                          <w:spacing w:val="-1"/>
                          <w:sz w:val="20"/>
                        </w:rPr>
                        <w:t>When</w:t>
                      </w:r>
                      <w:r w:rsidRPr="004E0302">
                        <w:rPr>
                          <w:rFonts w:cs="Arial"/>
                          <w:color w:val="FFFFFF"/>
                          <w:spacing w:val="3"/>
                          <w:sz w:val="20"/>
                        </w:rPr>
                        <w:t xml:space="preserve"> </w:t>
                      </w:r>
                      <w:r w:rsidRPr="004E0302">
                        <w:rPr>
                          <w:rFonts w:cs="Arial"/>
                          <w:color w:val="FFFFFF"/>
                          <w:spacing w:val="-1"/>
                          <w:sz w:val="20"/>
                        </w:rPr>
                        <w:t>the</w:t>
                      </w:r>
                      <w:r w:rsidRPr="004E0302">
                        <w:rPr>
                          <w:rFonts w:cs="Arial"/>
                          <w:color w:val="FFFFFF"/>
                          <w:spacing w:val="5"/>
                          <w:sz w:val="20"/>
                        </w:rPr>
                        <w:t xml:space="preserve"> </w:t>
                      </w:r>
                      <w:r w:rsidRPr="004E0302">
                        <w:rPr>
                          <w:rFonts w:cs="Arial"/>
                          <w:color w:val="FFFFFF"/>
                          <w:spacing w:val="-1"/>
                          <w:sz w:val="20"/>
                        </w:rPr>
                        <w:t>patient</w:t>
                      </w:r>
                      <w:r w:rsidRPr="004E0302">
                        <w:rPr>
                          <w:rFonts w:cs="Arial"/>
                          <w:color w:val="FFFFFF"/>
                          <w:spacing w:val="3"/>
                          <w:sz w:val="20"/>
                        </w:rPr>
                        <w:t xml:space="preserve"> </w:t>
                      </w:r>
                      <w:r w:rsidRPr="004E0302">
                        <w:rPr>
                          <w:rFonts w:cs="Arial"/>
                          <w:color w:val="FFFFFF"/>
                          <w:spacing w:val="-1"/>
                          <w:sz w:val="20"/>
                        </w:rPr>
                        <w:t>suggested</w:t>
                      </w:r>
                      <w:r w:rsidRPr="004E0302">
                        <w:rPr>
                          <w:rFonts w:cs="Arial"/>
                          <w:color w:val="FFFFFF"/>
                          <w:spacing w:val="5"/>
                          <w:sz w:val="20"/>
                        </w:rPr>
                        <w:t xml:space="preserve"> </w:t>
                      </w:r>
                      <w:r w:rsidRPr="004E0302">
                        <w:rPr>
                          <w:rFonts w:cs="Arial"/>
                          <w:color w:val="FFFFFF"/>
                          <w:spacing w:val="-1"/>
                          <w:sz w:val="20"/>
                        </w:rPr>
                        <w:t>that</w:t>
                      </w:r>
                      <w:r w:rsidRPr="004E0302">
                        <w:rPr>
                          <w:rFonts w:cs="Arial"/>
                          <w:color w:val="FFFFFF"/>
                          <w:spacing w:val="4"/>
                          <w:sz w:val="20"/>
                        </w:rPr>
                        <w:t xml:space="preserve"> </w:t>
                      </w:r>
                      <w:r w:rsidRPr="004E0302">
                        <w:rPr>
                          <w:rFonts w:cs="Arial"/>
                          <w:color w:val="FFFFFF"/>
                          <w:spacing w:val="-1"/>
                          <w:sz w:val="20"/>
                        </w:rPr>
                        <w:t>the</w:t>
                      </w:r>
                      <w:r w:rsidRPr="004E0302">
                        <w:rPr>
                          <w:rFonts w:cs="Arial"/>
                          <w:color w:val="FFFFFF"/>
                          <w:spacing w:val="71"/>
                          <w:w w:val="99"/>
                          <w:sz w:val="20"/>
                        </w:rPr>
                        <w:t xml:space="preserve"> </w:t>
                      </w:r>
                      <w:r w:rsidRPr="004E0302">
                        <w:rPr>
                          <w:rFonts w:cs="Arial"/>
                          <w:color w:val="FFFFFF"/>
                          <w:spacing w:val="-1"/>
                          <w:sz w:val="20"/>
                        </w:rPr>
                        <w:t>provider</w:t>
                      </w:r>
                      <w:r w:rsidRPr="004E0302">
                        <w:rPr>
                          <w:rFonts w:cs="Arial"/>
                          <w:color w:val="FFFFFF"/>
                          <w:spacing w:val="11"/>
                          <w:sz w:val="20"/>
                        </w:rPr>
                        <w:t xml:space="preserve"> </w:t>
                      </w:r>
                      <w:r w:rsidRPr="004E0302">
                        <w:rPr>
                          <w:rFonts w:cs="Arial"/>
                          <w:color w:val="FFFFFF"/>
                          <w:spacing w:val="-1"/>
                          <w:sz w:val="20"/>
                        </w:rPr>
                        <w:t>obtain</w:t>
                      </w:r>
                      <w:r w:rsidRPr="004E0302">
                        <w:rPr>
                          <w:rFonts w:cs="Arial"/>
                          <w:color w:val="FFFFFF"/>
                          <w:spacing w:val="11"/>
                          <w:sz w:val="20"/>
                        </w:rPr>
                        <w:t xml:space="preserve"> </w:t>
                      </w:r>
                      <w:r w:rsidRPr="004E0302">
                        <w:rPr>
                          <w:rFonts w:cs="Arial"/>
                          <w:color w:val="FFFFFF"/>
                          <w:sz w:val="20"/>
                        </w:rPr>
                        <w:t>a</w:t>
                      </w:r>
                      <w:r w:rsidRPr="004E0302">
                        <w:rPr>
                          <w:rFonts w:cs="Arial"/>
                          <w:color w:val="FFFFFF"/>
                          <w:spacing w:val="11"/>
                          <w:sz w:val="20"/>
                        </w:rPr>
                        <w:t xml:space="preserve"> </w:t>
                      </w:r>
                      <w:r w:rsidRPr="004E0302">
                        <w:rPr>
                          <w:rFonts w:cs="Arial"/>
                          <w:color w:val="FFFFFF"/>
                          <w:spacing w:val="-1"/>
                          <w:sz w:val="20"/>
                        </w:rPr>
                        <w:t>sign</w:t>
                      </w:r>
                      <w:r w:rsidRPr="004E0302">
                        <w:rPr>
                          <w:rFonts w:cs="Arial"/>
                          <w:color w:val="FFFFFF"/>
                          <w:spacing w:val="14"/>
                          <w:sz w:val="20"/>
                        </w:rPr>
                        <w:t xml:space="preserve"> </w:t>
                      </w:r>
                      <w:r w:rsidRPr="004E0302">
                        <w:rPr>
                          <w:rFonts w:cs="Arial"/>
                          <w:color w:val="FFFFFF"/>
                          <w:spacing w:val="-1"/>
                          <w:sz w:val="20"/>
                        </w:rPr>
                        <w:t>language</w:t>
                      </w:r>
                      <w:r w:rsidRPr="004E0302">
                        <w:rPr>
                          <w:rFonts w:cs="Arial"/>
                          <w:color w:val="FFFFFF"/>
                          <w:spacing w:val="10"/>
                          <w:sz w:val="20"/>
                        </w:rPr>
                        <w:t xml:space="preserve"> </w:t>
                      </w:r>
                      <w:r w:rsidRPr="004E0302">
                        <w:rPr>
                          <w:rFonts w:cs="Arial"/>
                          <w:color w:val="FFFFFF"/>
                          <w:spacing w:val="-1"/>
                          <w:sz w:val="20"/>
                        </w:rPr>
                        <w:t>interpreter</w:t>
                      </w:r>
                      <w:r w:rsidRPr="004E0302">
                        <w:rPr>
                          <w:rFonts w:cs="Arial"/>
                          <w:color w:val="FFFFFF"/>
                          <w:spacing w:val="12"/>
                          <w:sz w:val="20"/>
                        </w:rPr>
                        <w:t xml:space="preserve"> </w:t>
                      </w:r>
                      <w:r w:rsidRPr="004E0302">
                        <w:rPr>
                          <w:rFonts w:cs="Arial"/>
                          <w:color w:val="FFFFFF"/>
                          <w:sz w:val="20"/>
                        </w:rPr>
                        <w:t>to</w:t>
                      </w:r>
                      <w:r w:rsidRPr="004E0302">
                        <w:rPr>
                          <w:rFonts w:cs="Arial"/>
                          <w:color w:val="FFFFFF"/>
                          <w:spacing w:val="12"/>
                          <w:sz w:val="20"/>
                        </w:rPr>
                        <w:t xml:space="preserve"> </w:t>
                      </w:r>
                      <w:r w:rsidRPr="004E0302">
                        <w:rPr>
                          <w:rFonts w:cs="Arial"/>
                          <w:color w:val="FFFFFF"/>
                          <w:spacing w:val="-1"/>
                          <w:sz w:val="20"/>
                        </w:rPr>
                        <w:t>translate</w:t>
                      </w:r>
                      <w:r w:rsidRPr="004E0302">
                        <w:rPr>
                          <w:rFonts w:cs="Arial"/>
                          <w:color w:val="FFFFFF"/>
                          <w:spacing w:val="10"/>
                          <w:sz w:val="20"/>
                        </w:rPr>
                        <w:t xml:space="preserve"> </w:t>
                      </w:r>
                      <w:r w:rsidRPr="004E0302">
                        <w:rPr>
                          <w:rFonts w:cs="Arial"/>
                          <w:color w:val="FFFFFF"/>
                          <w:spacing w:val="-1"/>
                          <w:sz w:val="20"/>
                        </w:rPr>
                        <w:t>for</w:t>
                      </w:r>
                      <w:r w:rsidRPr="004E0302">
                        <w:rPr>
                          <w:rFonts w:cs="Arial"/>
                          <w:color w:val="FFFFFF"/>
                          <w:spacing w:val="12"/>
                          <w:sz w:val="20"/>
                        </w:rPr>
                        <w:t xml:space="preserve"> </w:t>
                      </w:r>
                      <w:r w:rsidRPr="004E0302">
                        <w:rPr>
                          <w:rFonts w:cs="Arial"/>
                          <w:color w:val="FFFFFF"/>
                          <w:spacing w:val="-1"/>
                          <w:sz w:val="20"/>
                        </w:rPr>
                        <w:t>them</w:t>
                      </w:r>
                      <w:r w:rsidRPr="004E0302">
                        <w:rPr>
                          <w:rFonts w:cs="Arial"/>
                          <w:color w:val="FFFFFF"/>
                          <w:spacing w:val="11"/>
                          <w:sz w:val="20"/>
                        </w:rPr>
                        <w:t xml:space="preserve"> </w:t>
                      </w:r>
                      <w:r w:rsidRPr="004E0302">
                        <w:rPr>
                          <w:rFonts w:cs="Arial"/>
                          <w:color w:val="FFFFFF"/>
                          <w:spacing w:val="-1"/>
                          <w:sz w:val="20"/>
                        </w:rPr>
                        <w:t>this</w:t>
                      </w:r>
                      <w:r w:rsidRPr="004E0302">
                        <w:rPr>
                          <w:rFonts w:cs="Arial"/>
                          <w:color w:val="FFFFFF"/>
                          <w:spacing w:val="60"/>
                          <w:w w:val="99"/>
                          <w:sz w:val="20"/>
                        </w:rPr>
                        <w:t xml:space="preserve"> </w:t>
                      </w:r>
                      <w:r w:rsidRPr="004E0302">
                        <w:rPr>
                          <w:rFonts w:cs="Arial"/>
                          <w:color w:val="FFFFFF"/>
                          <w:spacing w:val="-1"/>
                          <w:sz w:val="20"/>
                        </w:rPr>
                        <w:t>was</w:t>
                      </w:r>
                      <w:r w:rsidRPr="004E0302">
                        <w:rPr>
                          <w:rFonts w:cs="Arial"/>
                          <w:color w:val="FFFFFF"/>
                          <w:spacing w:val="-8"/>
                          <w:sz w:val="20"/>
                        </w:rPr>
                        <w:t xml:space="preserve"> </w:t>
                      </w:r>
                      <w:r w:rsidRPr="004E0302">
                        <w:rPr>
                          <w:rFonts w:cs="Arial"/>
                          <w:color w:val="FFFFFF"/>
                          <w:spacing w:val="-1"/>
                          <w:sz w:val="20"/>
                        </w:rPr>
                        <w:t>refused.</w:t>
                      </w:r>
                    </w:p>
                    <w:p w14:paraId="6613790B" w14:textId="77777777" w:rsidR="00942266" w:rsidRPr="004E0302" w:rsidRDefault="00942266" w:rsidP="00DB7F92">
                      <w:pPr>
                        <w:spacing w:before="13"/>
                        <w:rPr>
                          <w:rFonts w:eastAsia="Segoe UI Semilight" w:cs="Arial"/>
                          <w:sz w:val="20"/>
                          <w:szCs w:val="23"/>
                        </w:rPr>
                      </w:pPr>
                    </w:p>
                    <w:p w14:paraId="14178A58" w14:textId="77777777" w:rsidR="00942266" w:rsidRPr="004E0302" w:rsidRDefault="00942266" w:rsidP="00DB7F92">
                      <w:pPr>
                        <w:ind w:left="225" w:right="226"/>
                        <w:jc w:val="both"/>
                        <w:rPr>
                          <w:rFonts w:eastAsia="Segoe UI Semilight" w:cs="Arial"/>
                          <w:sz w:val="20"/>
                          <w:szCs w:val="24"/>
                        </w:rPr>
                      </w:pPr>
                      <w:r w:rsidRPr="004E0302">
                        <w:rPr>
                          <w:rFonts w:cs="Arial"/>
                          <w:color w:val="FFFFFF"/>
                          <w:sz w:val="20"/>
                        </w:rPr>
                        <w:t xml:space="preserve">It </w:t>
                      </w:r>
                      <w:r w:rsidRPr="004E0302">
                        <w:rPr>
                          <w:rFonts w:cs="Arial"/>
                          <w:color w:val="FFFFFF"/>
                          <w:spacing w:val="-1"/>
                          <w:sz w:val="20"/>
                        </w:rPr>
                        <w:t>is</w:t>
                      </w:r>
                      <w:r w:rsidRPr="004E0302">
                        <w:rPr>
                          <w:rFonts w:cs="Arial"/>
                          <w:color w:val="FFFFFF"/>
                          <w:spacing w:val="1"/>
                          <w:sz w:val="20"/>
                        </w:rPr>
                        <w:t xml:space="preserve"> </w:t>
                      </w:r>
                      <w:r w:rsidRPr="004E0302">
                        <w:rPr>
                          <w:rFonts w:cs="Arial"/>
                          <w:color w:val="FFFFFF"/>
                          <w:spacing w:val="-1"/>
                          <w:sz w:val="20"/>
                        </w:rPr>
                        <w:t>likely</w:t>
                      </w:r>
                      <w:r w:rsidRPr="004E0302">
                        <w:rPr>
                          <w:rFonts w:cs="Arial"/>
                          <w:color w:val="FFFFFF"/>
                          <w:sz w:val="20"/>
                        </w:rPr>
                        <w:t xml:space="preserve"> </w:t>
                      </w:r>
                      <w:r w:rsidRPr="004E0302">
                        <w:rPr>
                          <w:rFonts w:cs="Arial"/>
                          <w:color w:val="FFFFFF"/>
                          <w:spacing w:val="-1"/>
                          <w:sz w:val="20"/>
                        </w:rPr>
                        <w:t>that</w:t>
                      </w:r>
                      <w:r w:rsidRPr="004E0302">
                        <w:rPr>
                          <w:rFonts w:cs="Arial"/>
                          <w:color w:val="FFFFFF"/>
                          <w:spacing w:val="1"/>
                          <w:sz w:val="20"/>
                        </w:rPr>
                        <w:t xml:space="preserve"> </w:t>
                      </w:r>
                      <w:r w:rsidRPr="004E0302">
                        <w:rPr>
                          <w:rFonts w:cs="Arial"/>
                          <w:color w:val="FFFFFF"/>
                          <w:spacing w:val="-1"/>
                          <w:sz w:val="20"/>
                        </w:rPr>
                        <w:t>the provider</w:t>
                      </w:r>
                      <w:r w:rsidRPr="004E0302">
                        <w:rPr>
                          <w:rFonts w:cs="Arial"/>
                          <w:color w:val="FFFFFF"/>
                          <w:sz w:val="20"/>
                        </w:rPr>
                        <w:t xml:space="preserve"> will</w:t>
                      </w:r>
                      <w:r w:rsidRPr="004E0302">
                        <w:rPr>
                          <w:rFonts w:cs="Arial"/>
                          <w:color w:val="FFFFFF"/>
                          <w:spacing w:val="-1"/>
                          <w:sz w:val="20"/>
                        </w:rPr>
                        <w:t xml:space="preserve"> be</w:t>
                      </w:r>
                      <w:r w:rsidRPr="004E0302">
                        <w:rPr>
                          <w:rFonts w:cs="Arial"/>
                          <w:color w:val="FFFFFF"/>
                          <w:spacing w:val="2"/>
                          <w:sz w:val="20"/>
                        </w:rPr>
                        <w:t xml:space="preserve"> </w:t>
                      </w:r>
                      <w:r w:rsidRPr="004E0302">
                        <w:rPr>
                          <w:rFonts w:cs="Arial"/>
                          <w:color w:val="FFFFFF"/>
                          <w:spacing w:val="-1"/>
                          <w:sz w:val="20"/>
                        </w:rPr>
                        <w:t>in breach</w:t>
                      </w:r>
                      <w:r w:rsidRPr="004E0302">
                        <w:rPr>
                          <w:rFonts w:cs="Arial"/>
                          <w:color w:val="FFFFFF"/>
                          <w:sz w:val="20"/>
                        </w:rPr>
                        <w:t xml:space="preserve"> of</w:t>
                      </w:r>
                      <w:r w:rsidRPr="004E0302">
                        <w:rPr>
                          <w:rFonts w:cs="Arial"/>
                          <w:color w:val="FFFFFF"/>
                          <w:spacing w:val="2"/>
                          <w:sz w:val="20"/>
                        </w:rPr>
                        <w:t xml:space="preserve"> </w:t>
                      </w:r>
                      <w:r w:rsidRPr="004E0302">
                        <w:rPr>
                          <w:rFonts w:cs="Arial"/>
                          <w:color w:val="FFFFFF"/>
                          <w:spacing w:val="-1"/>
                          <w:sz w:val="20"/>
                        </w:rPr>
                        <w:t>their</w:t>
                      </w:r>
                      <w:r w:rsidRPr="004E0302">
                        <w:rPr>
                          <w:rFonts w:cs="Arial"/>
                          <w:color w:val="FFFFFF"/>
                          <w:sz w:val="20"/>
                        </w:rPr>
                        <w:t xml:space="preserve"> </w:t>
                      </w:r>
                      <w:r w:rsidRPr="004E0302">
                        <w:rPr>
                          <w:rFonts w:cs="Arial"/>
                          <w:color w:val="FFFFFF"/>
                          <w:spacing w:val="-1"/>
                          <w:sz w:val="20"/>
                        </w:rPr>
                        <w:t>obligations</w:t>
                      </w:r>
                      <w:r w:rsidRPr="004E0302">
                        <w:rPr>
                          <w:rFonts w:cs="Arial"/>
                          <w:color w:val="FFFFFF"/>
                          <w:spacing w:val="1"/>
                          <w:sz w:val="20"/>
                        </w:rPr>
                        <w:t xml:space="preserve"> </w:t>
                      </w:r>
                      <w:r w:rsidRPr="004E0302">
                        <w:rPr>
                          <w:rFonts w:cs="Arial"/>
                          <w:color w:val="FFFFFF"/>
                          <w:spacing w:val="-1"/>
                          <w:sz w:val="20"/>
                        </w:rPr>
                        <w:t>under</w:t>
                      </w:r>
                      <w:r w:rsidRPr="004E0302">
                        <w:rPr>
                          <w:rFonts w:cs="Arial"/>
                          <w:color w:val="FFFFFF"/>
                          <w:spacing w:val="54"/>
                          <w:w w:val="99"/>
                          <w:sz w:val="20"/>
                        </w:rPr>
                        <w:t xml:space="preserve"> </w:t>
                      </w:r>
                      <w:r w:rsidRPr="004E0302">
                        <w:rPr>
                          <w:rFonts w:cs="Arial"/>
                          <w:color w:val="FFFFFF"/>
                          <w:spacing w:val="-1"/>
                          <w:sz w:val="20"/>
                        </w:rPr>
                        <w:t>the</w:t>
                      </w:r>
                      <w:r w:rsidRPr="004E0302">
                        <w:rPr>
                          <w:rFonts w:cs="Arial"/>
                          <w:color w:val="FFFFFF"/>
                          <w:spacing w:val="28"/>
                          <w:sz w:val="20"/>
                        </w:rPr>
                        <w:t xml:space="preserve"> </w:t>
                      </w:r>
                      <w:r w:rsidRPr="004E0302">
                        <w:rPr>
                          <w:rFonts w:cs="Arial"/>
                          <w:color w:val="FFFFFF"/>
                          <w:spacing w:val="-1"/>
                          <w:sz w:val="20"/>
                        </w:rPr>
                        <w:t>Equality</w:t>
                      </w:r>
                      <w:r w:rsidRPr="004E0302">
                        <w:rPr>
                          <w:rFonts w:cs="Arial"/>
                          <w:color w:val="FFFFFF"/>
                          <w:spacing w:val="29"/>
                          <w:sz w:val="20"/>
                        </w:rPr>
                        <w:t xml:space="preserve"> </w:t>
                      </w:r>
                      <w:r w:rsidRPr="004E0302">
                        <w:rPr>
                          <w:rFonts w:cs="Arial"/>
                          <w:color w:val="FFFFFF"/>
                          <w:spacing w:val="-1"/>
                          <w:sz w:val="20"/>
                        </w:rPr>
                        <w:t>Act</w:t>
                      </w:r>
                      <w:r w:rsidRPr="004E0302">
                        <w:rPr>
                          <w:rFonts w:cs="Arial"/>
                          <w:color w:val="FFFFFF"/>
                          <w:spacing w:val="30"/>
                          <w:sz w:val="20"/>
                        </w:rPr>
                        <w:t xml:space="preserve"> </w:t>
                      </w:r>
                      <w:r w:rsidRPr="004E0302">
                        <w:rPr>
                          <w:rFonts w:cs="Arial"/>
                          <w:color w:val="FFFFFF"/>
                          <w:sz w:val="20"/>
                        </w:rPr>
                        <w:t>2010</w:t>
                      </w:r>
                      <w:r w:rsidRPr="004E0302">
                        <w:rPr>
                          <w:rFonts w:cs="Arial"/>
                          <w:color w:val="FFFFFF"/>
                          <w:spacing w:val="30"/>
                          <w:sz w:val="20"/>
                        </w:rPr>
                        <w:t xml:space="preserve"> </w:t>
                      </w:r>
                      <w:r w:rsidRPr="004E0302">
                        <w:rPr>
                          <w:rFonts w:cs="Arial"/>
                          <w:color w:val="FFFFFF"/>
                          <w:spacing w:val="-1"/>
                          <w:sz w:val="20"/>
                        </w:rPr>
                        <w:t>to</w:t>
                      </w:r>
                      <w:r w:rsidRPr="004E0302">
                        <w:rPr>
                          <w:rFonts w:cs="Arial"/>
                          <w:color w:val="FFFFFF"/>
                          <w:spacing w:val="28"/>
                          <w:sz w:val="20"/>
                        </w:rPr>
                        <w:t xml:space="preserve"> </w:t>
                      </w:r>
                      <w:r w:rsidRPr="004E0302">
                        <w:rPr>
                          <w:rFonts w:cs="Arial"/>
                          <w:color w:val="FFFFFF"/>
                          <w:spacing w:val="-1"/>
                          <w:sz w:val="20"/>
                        </w:rPr>
                        <w:t>make</w:t>
                      </w:r>
                      <w:r w:rsidRPr="004E0302">
                        <w:rPr>
                          <w:rFonts w:cs="Arial"/>
                          <w:color w:val="FFFFFF"/>
                          <w:spacing w:val="28"/>
                          <w:sz w:val="20"/>
                        </w:rPr>
                        <w:t xml:space="preserve"> </w:t>
                      </w:r>
                      <w:r w:rsidRPr="004E0302">
                        <w:rPr>
                          <w:rFonts w:cs="Arial"/>
                          <w:color w:val="FFFFFF"/>
                          <w:spacing w:val="-1"/>
                          <w:sz w:val="20"/>
                        </w:rPr>
                        <w:t>reasonable</w:t>
                      </w:r>
                      <w:r w:rsidRPr="004E0302">
                        <w:rPr>
                          <w:rFonts w:cs="Arial"/>
                          <w:color w:val="FFFFFF"/>
                          <w:spacing w:val="28"/>
                          <w:sz w:val="20"/>
                        </w:rPr>
                        <w:t xml:space="preserve"> </w:t>
                      </w:r>
                      <w:r w:rsidRPr="004E0302">
                        <w:rPr>
                          <w:rFonts w:cs="Arial"/>
                          <w:color w:val="FFFFFF"/>
                          <w:spacing w:val="-1"/>
                          <w:sz w:val="20"/>
                        </w:rPr>
                        <w:t>adjustments.</w:t>
                      </w:r>
                      <w:r w:rsidRPr="004E0302">
                        <w:rPr>
                          <w:rFonts w:cs="Arial"/>
                          <w:color w:val="FFFFFF"/>
                          <w:spacing w:val="58"/>
                          <w:sz w:val="20"/>
                        </w:rPr>
                        <w:t xml:space="preserve"> </w:t>
                      </w:r>
                      <w:r w:rsidRPr="004E0302">
                        <w:rPr>
                          <w:rFonts w:cs="Arial"/>
                          <w:color w:val="FFFFFF"/>
                          <w:sz w:val="20"/>
                        </w:rPr>
                        <w:t>In</w:t>
                      </w:r>
                      <w:r w:rsidRPr="004E0302">
                        <w:rPr>
                          <w:rFonts w:cs="Arial"/>
                          <w:color w:val="FFFFFF"/>
                          <w:spacing w:val="29"/>
                          <w:sz w:val="20"/>
                        </w:rPr>
                        <w:t xml:space="preserve"> </w:t>
                      </w:r>
                      <w:r w:rsidRPr="004E0302">
                        <w:rPr>
                          <w:rFonts w:cs="Arial"/>
                          <w:color w:val="FFFFFF"/>
                          <w:spacing w:val="-1"/>
                          <w:sz w:val="20"/>
                        </w:rPr>
                        <w:t>order</w:t>
                      </w:r>
                      <w:r w:rsidRPr="004E0302">
                        <w:rPr>
                          <w:rFonts w:cs="Arial"/>
                          <w:color w:val="FFFFFF"/>
                          <w:spacing w:val="30"/>
                          <w:sz w:val="20"/>
                        </w:rPr>
                        <w:t xml:space="preserve"> </w:t>
                      </w:r>
                      <w:r w:rsidRPr="004E0302">
                        <w:rPr>
                          <w:rFonts w:cs="Arial"/>
                          <w:color w:val="FFFFFF"/>
                          <w:sz w:val="20"/>
                        </w:rPr>
                        <w:t>to</w:t>
                      </w:r>
                      <w:r w:rsidRPr="004E0302">
                        <w:rPr>
                          <w:rFonts w:cs="Arial"/>
                          <w:color w:val="FFFFFF"/>
                          <w:spacing w:val="61"/>
                          <w:sz w:val="20"/>
                        </w:rPr>
                        <w:t xml:space="preserve"> </w:t>
                      </w:r>
                      <w:r w:rsidRPr="004E0302">
                        <w:rPr>
                          <w:rFonts w:cs="Arial"/>
                          <w:color w:val="FFFFFF"/>
                          <w:spacing w:val="-1"/>
                          <w:sz w:val="20"/>
                        </w:rPr>
                        <w:t>comply</w:t>
                      </w:r>
                      <w:r w:rsidRPr="004E0302">
                        <w:rPr>
                          <w:rFonts w:cs="Arial"/>
                          <w:color w:val="FFFFFF"/>
                          <w:spacing w:val="38"/>
                          <w:sz w:val="20"/>
                        </w:rPr>
                        <w:t xml:space="preserve"> </w:t>
                      </w:r>
                      <w:r w:rsidRPr="004E0302">
                        <w:rPr>
                          <w:rFonts w:cs="Arial"/>
                          <w:color w:val="FFFFFF"/>
                          <w:spacing w:val="-1"/>
                          <w:sz w:val="20"/>
                        </w:rPr>
                        <w:t>with</w:t>
                      </w:r>
                      <w:r w:rsidRPr="004E0302">
                        <w:rPr>
                          <w:rFonts w:cs="Arial"/>
                          <w:color w:val="FFFFFF"/>
                          <w:spacing w:val="38"/>
                          <w:sz w:val="20"/>
                        </w:rPr>
                        <w:t xml:space="preserve"> </w:t>
                      </w:r>
                      <w:r w:rsidRPr="004E0302">
                        <w:rPr>
                          <w:rFonts w:cs="Arial"/>
                          <w:color w:val="FFFFFF"/>
                          <w:spacing w:val="-1"/>
                          <w:sz w:val="20"/>
                        </w:rPr>
                        <w:t>the</w:t>
                      </w:r>
                      <w:r w:rsidRPr="004E0302">
                        <w:rPr>
                          <w:rFonts w:cs="Arial"/>
                          <w:color w:val="FFFFFF"/>
                          <w:spacing w:val="37"/>
                          <w:sz w:val="20"/>
                        </w:rPr>
                        <w:t xml:space="preserve"> </w:t>
                      </w:r>
                      <w:r w:rsidRPr="004E0302">
                        <w:rPr>
                          <w:rFonts w:cs="Arial"/>
                          <w:color w:val="FFFFFF"/>
                          <w:spacing w:val="-1"/>
                          <w:sz w:val="20"/>
                        </w:rPr>
                        <w:t>PSED</w:t>
                      </w:r>
                      <w:r w:rsidRPr="004E0302">
                        <w:rPr>
                          <w:rFonts w:cs="Arial"/>
                          <w:color w:val="FFFFFF"/>
                          <w:spacing w:val="40"/>
                          <w:sz w:val="20"/>
                        </w:rPr>
                        <w:t xml:space="preserve"> </w:t>
                      </w:r>
                      <w:r w:rsidRPr="004E0302">
                        <w:rPr>
                          <w:rFonts w:cs="Arial"/>
                          <w:color w:val="FFFFFF"/>
                          <w:spacing w:val="-1"/>
                          <w:sz w:val="20"/>
                        </w:rPr>
                        <w:t>NHS</w:t>
                      </w:r>
                      <w:r w:rsidRPr="004E0302">
                        <w:rPr>
                          <w:rFonts w:cs="Arial"/>
                          <w:color w:val="FFFFFF"/>
                          <w:spacing w:val="37"/>
                          <w:sz w:val="20"/>
                        </w:rPr>
                        <w:t xml:space="preserve"> </w:t>
                      </w:r>
                      <w:r w:rsidRPr="004E0302">
                        <w:rPr>
                          <w:rFonts w:cs="Arial"/>
                          <w:color w:val="FFFFFF"/>
                          <w:spacing w:val="-1"/>
                          <w:sz w:val="20"/>
                        </w:rPr>
                        <w:t>England</w:t>
                      </w:r>
                      <w:r w:rsidRPr="004E0302">
                        <w:rPr>
                          <w:rFonts w:cs="Arial"/>
                          <w:color w:val="FFFFFF"/>
                          <w:spacing w:val="37"/>
                          <w:sz w:val="20"/>
                        </w:rPr>
                        <w:t xml:space="preserve"> </w:t>
                      </w:r>
                      <w:r w:rsidRPr="004E0302">
                        <w:rPr>
                          <w:rFonts w:cs="Arial"/>
                          <w:color w:val="FFFFFF"/>
                          <w:spacing w:val="-1"/>
                          <w:sz w:val="20"/>
                        </w:rPr>
                        <w:t>takes</w:t>
                      </w:r>
                      <w:r w:rsidRPr="004E0302">
                        <w:rPr>
                          <w:rFonts w:cs="Arial"/>
                          <w:color w:val="FFFFFF"/>
                          <w:spacing w:val="39"/>
                          <w:sz w:val="20"/>
                        </w:rPr>
                        <w:t xml:space="preserve"> </w:t>
                      </w:r>
                      <w:r w:rsidRPr="004E0302">
                        <w:rPr>
                          <w:rFonts w:cs="Arial"/>
                          <w:color w:val="FFFFFF"/>
                          <w:spacing w:val="-1"/>
                          <w:sz w:val="20"/>
                        </w:rPr>
                        <w:t>steps</w:t>
                      </w:r>
                      <w:r w:rsidRPr="004E0302">
                        <w:rPr>
                          <w:rFonts w:cs="Arial"/>
                          <w:color w:val="FFFFFF"/>
                          <w:spacing w:val="39"/>
                          <w:sz w:val="20"/>
                        </w:rPr>
                        <w:t xml:space="preserve"> </w:t>
                      </w:r>
                      <w:r w:rsidRPr="004E0302">
                        <w:rPr>
                          <w:rFonts w:cs="Arial"/>
                          <w:color w:val="FFFFFF"/>
                          <w:sz w:val="20"/>
                        </w:rPr>
                        <w:t>to</w:t>
                      </w:r>
                      <w:r w:rsidRPr="004E0302">
                        <w:rPr>
                          <w:rFonts w:cs="Arial"/>
                          <w:color w:val="FFFFFF"/>
                          <w:spacing w:val="37"/>
                          <w:sz w:val="20"/>
                        </w:rPr>
                        <w:t xml:space="preserve"> </w:t>
                      </w:r>
                      <w:r w:rsidRPr="004E0302">
                        <w:rPr>
                          <w:rFonts w:cs="Arial"/>
                          <w:color w:val="FFFFFF"/>
                          <w:spacing w:val="-1"/>
                          <w:sz w:val="20"/>
                        </w:rPr>
                        <w:t>investigate</w:t>
                      </w:r>
                      <w:r w:rsidRPr="004E0302">
                        <w:rPr>
                          <w:rFonts w:cs="Arial"/>
                          <w:color w:val="FFFFFF"/>
                          <w:spacing w:val="37"/>
                          <w:sz w:val="20"/>
                        </w:rPr>
                        <w:t xml:space="preserve"> </w:t>
                      </w:r>
                      <w:r w:rsidRPr="004E0302">
                        <w:rPr>
                          <w:rFonts w:cs="Arial"/>
                          <w:color w:val="FFFFFF"/>
                          <w:spacing w:val="-1"/>
                          <w:sz w:val="20"/>
                        </w:rPr>
                        <w:t>and</w:t>
                      </w:r>
                      <w:r w:rsidRPr="004E0302">
                        <w:rPr>
                          <w:rFonts w:cs="Arial"/>
                          <w:color w:val="FFFFFF"/>
                          <w:spacing w:val="55"/>
                          <w:sz w:val="20"/>
                        </w:rPr>
                        <w:t xml:space="preserve"> </w:t>
                      </w:r>
                      <w:r w:rsidRPr="004E0302">
                        <w:rPr>
                          <w:rFonts w:cs="Arial"/>
                          <w:color w:val="FFFFFF"/>
                          <w:spacing w:val="-1"/>
                          <w:sz w:val="20"/>
                        </w:rPr>
                        <w:t>enforcement</w:t>
                      </w:r>
                      <w:r w:rsidRPr="004E0302">
                        <w:rPr>
                          <w:rFonts w:cs="Arial"/>
                          <w:color w:val="FFFFFF"/>
                          <w:spacing w:val="-6"/>
                          <w:sz w:val="20"/>
                        </w:rPr>
                        <w:t xml:space="preserve"> </w:t>
                      </w:r>
                      <w:r w:rsidRPr="004E0302">
                        <w:rPr>
                          <w:rFonts w:cs="Arial"/>
                          <w:color w:val="FFFFFF"/>
                          <w:spacing w:val="-1"/>
                          <w:sz w:val="20"/>
                        </w:rPr>
                        <w:t>action</w:t>
                      </w:r>
                      <w:r w:rsidRPr="004E0302">
                        <w:rPr>
                          <w:rFonts w:cs="Arial"/>
                          <w:color w:val="FFFFFF"/>
                          <w:spacing w:val="-6"/>
                          <w:sz w:val="20"/>
                        </w:rPr>
                        <w:t xml:space="preserve"> </w:t>
                      </w:r>
                      <w:r w:rsidRPr="004E0302">
                        <w:rPr>
                          <w:rFonts w:cs="Arial"/>
                          <w:color w:val="FFFFFF"/>
                          <w:sz w:val="20"/>
                        </w:rPr>
                        <w:t>if</w:t>
                      </w:r>
                      <w:r w:rsidRPr="004E0302">
                        <w:rPr>
                          <w:rFonts w:cs="Arial"/>
                          <w:color w:val="FFFFFF"/>
                          <w:spacing w:val="-10"/>
                          <w:sz w:val="20"/>
                        </w:rPr>
                        <w:t xml:space="preserve"> </w:t>
                      </w:r>
                      <w:r w:rsidRPr="004E0302">
                        <w:rPr>
                          <w:rFonts w:cs="Arial"/>
                          <w:color w:val="FFFFFF"/>
                          <w:spacing w:val="-1"/>
                          <w:sz w:val="20"/>
                        </w:rPr>
                        <w:t>needed.</w:t>
                      </w:r>
                    </w:p>
                  </w:txbxContent>
                </v:textbox>
                <w10:anchorlock/>
              </v:shape>
            </w:pict>
          </mc:Fallback>
        </mc:AlternateContent>
      </w:r>
    </w:p>
    <w:p w14:paraId="300BD7A2" w14:textId="77777777" w:rsidR="00DB7F92" w:rsidRPr="00DB7F92" w:rsidRDefault="00DB7F92" w:rsidP="00DB7F92">
      <w:pPr>
        <w:jc w:val="both"/>
        <w:rPr>
          <w:rFonts w:eastAsia="Segoe UI Semilight" w:cs="Arial"/>
          <w:sz w:val="20"/>
          <w:szCs w:val="20"/>
        </w:rPr>
      </w:pPr>
    </w:p>
    <w:p w14:paraId="515C3865" w14:textId="77777777" w:rsidR="00DB7F92" w:rsidRPr="00DB7F92" w:rsidRDefault="00DB7F92" w:rsidP="00DB7F92">
      <w:pPr>
        <w:spacing w:before="4"/>
        <w:jc w:val="both"/>
        <w:rPr>
          <w:rFonts w:eastAsia="Segoe UI Semilight" w:cs="Arial"/>
          <w:sz w:val="20"/>
          <w:szCs w:val="20"/>
        </w:rPr>
      </w:pPr>
    </w:p>
    <w:p w14:paraId="5945E4A8" w14:textId="36D219A4" w:rsidR="00DB7F92" w:rsidRPr="00DB7F92" w:rsidRDefault="00DB7F92" w:rsidP="00DD5D2D">
      <w:pPr>
        <w:pStyle w:val="Heading3"/>
        <w:jc w:val="both"/>
        <w:rPr>
          <w:lang w:eastAsia="en-GB"/>
        </w:rPr>
      </w:pPr>
      <w:r w:rsidRPr="00DB7F92">
        <w:rPr>
          <w:lang w:eastAsia="en-GB"/>
        </w:rPr>
        <w:t>Carrying</w:t>
      </w:r>
      <w:r w:rsidRPr="00DD5D2D">
        <w:rPr>
          <w:spacing w:val="7"/>
          <w:lang w:eastAsia="en-GB"/>
        </w:rPr>
        <w:t xml:space="preserve"> </w:t>
      </w:r>
      <w:r w:rsidRPr="00DB7F92">
        <w:rPr>
          <w:lang w:eastAsia="en-GB"/>
        </w:rPr>
        <w:t>out</w:t>
      </w:r>
      <w:r w:rsidRPr="00DD5D2D">
        <w:rPr>
          <w:spacing w:val="8"/>
          <w:lang w:eastAsia="en-GB"/>
        </w:rPr>
        <w:t xml:space="preserve"> </w:t>
      </w:r>
      <w:r w:rsidRPr="00DB7F92">
        <w:rPr>
          <w:lang w:eastAsia="en-GB"/>
        </w:rPr>
        <w:t>appropriate</w:t>
      </w:r>
      <w:r w:rsidRPr="00DD5D2D">
        <w:rPr>
          <w:spacing w:val="7"/>
          <w:lang w:eastAsia="en-GB"/>
        </w:rPr>
        <w:t xml:space="preserve"> </w:t>
      </w:r>
      <w:r w:rsidRPr="00DB7F92">
        <w:rPr>
          <w:lang w:eastAsia="en-GB"/>
        </w:rPr>
        <w:t>equality</w:t>
      </w:r>
      <w:r w:rsidRPr="00DD5D2D">
        <w:rPr>
          <w:spacing w:val="8"/>
          <w:lang w:eastAsia="en-GB"/>
        </w:rPr>
        <w:t xml:space="preserve"> and health inequalities </w:t>
      </w:r>
      <w:r w:rsidRPr="00DB7F92">
        <w:rPr>
          <w:lang w:eastAsia="en-GB"/>
        </w:rPr>
        <w:t>impact</w:t>
      </w:r>
      <w:r w:rsidRPr="00DD5D2D">
        <w:rPr>
          <w:spacing w:val="8"/>
          <w:lang w:eastAsia="en-GB"/>
        </w:rPr>
        <w:t xml:space="preserve"> </w:t>
      </w:r>
      <w:r w:rsidRPr="00DB7F92">
        <w:rPr>
          <w:lang w:eastAsia="en-GB"/>
        </w:rPr>
        <w:t>assessments</w:t>
      </w:r>
      <w:r w:rsidRPr="00DD5D2D">
        <w:rPr>
          <w:spacing w:val="8"/>
          <w:lang w:eastAsia="en-GB"/>
        </w:rPr>
        <w:t xml:space="preserve"> (EHIAs) </w:t>
      </w:r>
      <w:r w:rsidRPr="00DB7F92">
        <w:rPr>
          <w:lang w:eastAsia="en-GB"/>
        </w:rPr>
        <w:t>is</w:t>
      </w:r>
      <w:r w:rsidRPr="00DD5D2D">
        <w:rPr>
          <w:spacing w:val="9"/>
          <w:lang w:eastAsia="en-GB"/>
        </w:rPr>
        <w:t xml:space="preserve"> </w:t>
      </w:r>
      <w:r w:rsidRPr="00DB7F92">
        <w:rPr>
          <w:lang w:eastAsia="en-GB"/>
        </w:rPr>
        <w:t>usually</w:t>
      </w:r>
      <w:r w:rsidRPr="00DD5D2D">
        <w:rPr>
          <w:spacing w:val="8"/>
          <w:lang w:eastAsia="en-GB"/>
        </w:rPr>
        <w:t xml:space="preserve"> </w:t>
      </w:r>
      <w:r w:rsidRPr="00DB7F92">
        <w:rPr>
          <w:lang w:eastAsia="en-GB"/>
        </w:rPr>
        <w:t>critical</w:t>
      </w:r>
      <w:r w:rsidRPr="00DD5D2D">
        <w:rPr>
          <w:spacing w:val="7"/>
          <w:lang w:eastAsia="en-GB"/>
        </w:rPr>
        <w:t xml:space="preserve"> </w:t>
      </w:r>
      <w:r w:rsidRPr="00DB7F92">
        <w:rPr>
          <w:lang w:eastAsia="en-GB"/>
        </w:rPr>
        <w:t>to</w:t>
      </w:r>
      <w:r w:rsidRPr="00DD5D2D">
        <w:rPr>
          <w:spacing w:val="75"/>
          <w:lang w:eastAsia="en-GB"/>
        </w:rPr>
        <w:t xml:space="preserve"> </w:t>
      </w:r>
      <w:r w:rsidRPr="00DB7F92">
        <w:rPr>
          <w:lang w:eastAsia="en-GB"/>
        </w:rPr>
        <w:t>proving</w:t>
      </w:r>
      <w:r w:rsidRPr="00DD5D2D">
        <w:rPr>
          <w:spacing w:val="44"/>
          <w:lang w:eastAsia="en-GB"/>
        </w:rPr>
        <w:t xml:space="preserve"> </w:t>
      </w:r>
      <w:r w:rsidRPr="00DB7F92">
        <w:rPr>
          <w:lang w:eastAsia="en-GB"/>
        </w:rPr>
        <w:t>discharge</w:t>
      </w:r>
      <w:r w:rsidRPr="00DD5D2D">
        <w:rPr>
          <w:spacing w:val="48"/>
          <w:lang w:eastAsia="en-GB"/>
        </w:rPr>
        <w:t xml:space="preserve"> </w:t>
      </w:r>
      <w:r w:rsidRPr="00DB7F92">
        <w:rPr>
          <w:lang w:eastAsia="en-GB"/>
        </w:rPr>
        <w:t>of</w:t>
      </w:r>
      <w:r w:rsidRPr="00DD5D2D">
        <w:rPr>
          <w:spacing w:val="45"/>
          <w:lang w:eastAsia="en-GB"/>
        </w:rPr>
        <w:t xml:space="preserve"> </w:t>
      </w:r>
      <w:r w:rsidRPr="00DB7F92">
        <w:rPr>
          <w:lang w:eastAsia="en-GB"/>
        </w:rPr>
        <w:t>the</w:t>
      </w:r>
      <w:r w:rsidRPr="00DD5D2D">
        <w:rPr>
          <w:spacing w:val="45"/>
          <w:lang w:eastAsia="en-GB"/>
        </w:rPr>
        <w:t xml:space="preserve"> </w:t>
      </w:r>
      <w:r w:rsidRPr="00DB7F92">
        <w:rPr>
          <w:lang w:eastAsia="en-GB"/>
        </w:rPr>
        <w:t>PSED,</w:t>
      </w:r>
      <w:r w:rsidRPr="00DD5D2D">
        <w:rPr>
          <w:spacing w:val="46"/>
          <w:lang w:eastAsia="en-GB"/>
        </w:rPr>
        <w:t xml:space="preserve"> </w:t>
      </w:r>
      <w:r w:rsidRPr="00DB7F92">
        <w:rPr>
          <w:lang w:eastAsia="en-GB"/>
        </w:rPr>
        <w:t>although</w:t>
      </w:r>
      <w:r w:rsidRPr="00DD5D2D">
        <w:rPr>
          <w:spacing w:val="46"/>
          <w:lang w:eastAsia="en-GB"/>
        </w:rPr>
        <w:t xml:space="preserve"> </w:t>
      </w:r>
      <w:r w:rsidRPr="00DB7F92">
        <w:rPr>
          <w:lang w:eastAsia="en-GB"/>
        </w:rPr>
        <w:t>they</w:t>
      </w:r>
      <w:r w:rsidRPr="00DD5D2D">
        <w:rPr>
          <w:spacing w:val="47"/>
          <w:lang w:eastAsia="en-GB"/>
        </w:rPr>
        <w:t xml:space="preserve"> </w:t>
      </w:r>
      <w:r w:rsidRPr="00DB7F92">
        <w:rPr>
          <w:lang w:eastAsia="en-GB"/>
        </w:rPr>
        <w:t>are</w:t>
      </w:r>
      <w:r w:rsidRPr="00DD5D2D">
        <w:rPr>
          <w:spacing w:val="45"/>
          <w:lang w:eastAsia="en-GB"/>
        </w:rPr>
        <w:t xml:space="preserve"> </w:t>
      </w:r>
      <w:r w:rsidRPr="00DB7F92">
        <w:rPr>
          <w:lang w:eastAsia="en-GB"/>
        </w:rPr>
        <w:t>not</w:t>
      </w:r>
      <w:r w:rsidRPr="00DD5D2D">
        <w:rPr>
          <w:spacing w:val="46"/>
          <w:lang w:eastAsia="en-GB"/>
        </w:rPr>
        <w:t xml:space="preserve"> </w:t>
      </w:r>
      <w:r w:rsidRPr="00DB7F92">
        <w:rPr>
          <w:lang w:eastAsia="en-GB"/>
        </w:rPr>
        <w:t>as</w:t>
      </w:r>
      <w:r w:rsidRPr="00DD5D2D">
        <w:rPr>
          <w:spacing w:val="47"/>
          <w:lang w:eastAsia="en-GB"/>
        </w:rPr>
        <w:t xml:space="preserve"> </w:t>
      </w:r>
      <w:r w:rsidRPr="00DB7F92">
        <w:rPr>
          <w:lang w:eastAsia="en-GB"/>
        </w:rPr>
        <w:t>such</w:t>
      </w:r>
      <w:r w:rsidRPr="00DD5D2D">
        <w:rPr>
          <w:spacing w:val="46"/>
          <w:lang w:eastAsia="en-GB"/>
        </w:rPr>
        <w:t xml:space="preserve"> </w:t>
      </w:r>
      <w:r w:rsidRPr="00DB7F92">
        <w:rPr>
          <w:lang w:eastAsia="en-GB"/>
        </w:rPr>
        <w:t>a</w:t>
      </w:r>
      <w:r w:rsidRPr="00DD5D2D">
        <w:rPr>
          <w:spacing w:val="46"/>
          <w:lang w:eastAsia="en-GB"/>
        </w:rPr>
        <w:t xml:space="preserve"> </w:t>
      </w:r>
      <w:r w:rsidRPr="00DB7F92">
        <w:rPr>
          <w:lang w:eastAsia="en-GB"/>
        </w:rPr>
        <w:t>legal</w:t>
      </w:r>
      <w:r w:rsidRPr="00DD5D2D">
        <w:rPr>
          <w:spacing w:val="49"/>
          <w:w w:val="99"/>
          <w:lang w:eastAsia="en-GB"/>
        </w:rPr>
        <w:t xml:space="preserve"> </w:t>
      </w:r>
      <w:r w:rsidRPr="00DB7F92">
        <w:rPr>
          <w:lang w:eastAsia="en-GB"/>
        </w:rPr>
        <w:t>requirement.</w:t>
      </w:r>
      <w:r w:rsidRPr="00DD5D2D">
        <w:rPr>
          <w:spacing w:val="21"/>
          <w:lang w:eastAsia="en-GB"/>
        </w:rPr>
        <w:t xml:space="preserve"> </w:t>
      </w:r>
      <w:r w:rsidRPr="00DB7F92">
        <w:rPr>
          <w:lang w:eastAsia="en-GB"/>
        </w:rPr>
        <w:t>This</w:t>
      </w:r>
      <w:r w:rsidRPr="00DD5D2D">
        <w:rPr>
          <w:spacing w:val="11"/>
          <w:lang w:eastAsia="en-GB"/>
        </w:rPr>
        <w:t xml:space="preserve"> </w:t>
      </w:r>
      <w:r w:rsidRPr="00DB7F92">
        <w:rPr>
          <w:lang w:eastAsia="en-GB"/>
        </w:rPr>
        <w:t>is</w:t>
      </w:r>
      <w:r w:rsidRPr="00DD5D2D">
        <w:rPr>
          <w:spacing w:val="11"/>
          <w:lang w:eastAsia="en-GB"/>
        </w:rPr>
        <w:t xml:space="preserve"> </w:t>
      </w:r>
      <w:r w:rsidRPr="00DD5D2D">
        <w:rPr>
          <w:spacing w:val="-2"/>
          <w:lang w:eastAsia="en-GB"/>
        </w:rPr>
        <w:t>because</w:t>
      </w:r>
      <w:r w:rsidRPr="00DD5D2D">
        <w:rPr>
          <w:spacing w:val="9"/>
          <w:lang w:eastAsia="en-GB"/>
        </w:rPr>
        <w:t xml:space="preserve"> </w:t>
      </w:r>
      <w:r w:rsidRPr="00DB7F92">
        <w:rPr>
          <w:lang w:eastAsia="en-GB"/>
        </w:rPr>
        <w:t>if</w:t>
      </w:r>
      <w:r w:rsidRPr="00DD5D2D">
        <w:rPr>
          <w:spacing w:val="9"/>
          <w:lang w:eastAsia="en-GB"/>
        </w:rPr>
        <w:t xml:space="preserve"> </w:t>
      </w:r>
      <w:r w:rsidRPr="00DB7F92">
        <w:rPr>
          <w:lang w:eastAsia="en-GB"/>
        </w:rPr>
        <w:t>there</w:t>
      </w:r>
      <w:r w:rsidRPr="00DD5D2D">
        <w:rPr>
          <w:spacing w:val="9"/>
          <w:lang w:eastAsia="en-GB"/>
        </w:rPr>
        <w:t xml:space="preserve"> </w:t>
      </w:r>
      <w:r w:rsidRPr="00DB7F92">
        <w:rPr>
          <w:lang w:eastAsia="en-GB"/>
        </w:rPr>
        <w:t>is</w:t>
      </w:r>
      <w:r w:rsidRPr="00DD5D2D">
        <w:rPr>
          <w:spacing w:val="11"/>
          <w:lang w:eastAsia="en-GB"/>
        </w:rPr>
        <w:t xml:space="preserve"> </w:t>
      </w:r>
      <w:r w:rsidRPr="00DB7F92">
        <w:rPr>
          <w:lang w:eastAsia="en-GB"/>
        </w:rPr>
        <w:t>no</w:t>
      </w:r>
      <w:r w:rsidRPr="00DD5D2D">
        <w:rPr>
          <w:spacing w:val="9"/>
          <w:lang w:eastAsia="en-GB"/>
        </w:rPr>
        <w:t xml:space="preserve"> </w:t>
      </w:r>
      <w:r w:rsidRPr="00DB7F92">
        <w:rPr>
          <w:lang w:eastAsia="en-GB"/>
        </w:rPr>
        <w:t>assessment</w:t>
      </w:r>
      <w:r w:rsidRPr="00DD5D2D">
        <w:rPr>
          <w:spacing w:val="10"/>
          <w:lang w:eastAsia="en-GB"/>
        </w:rPr>
        <w:t xml:space="preserve"> </w:t>
      </w:r>
      <w:r w:rsidRPr="00DB7F92">
        <w:rPr>
          <w:lang w:eastAsia="en-GB"/>
        </w:rPr>
        <w:t>of</w:t>
      </w:r>
      <w:r w:rsidRPr="00DD5D2D">
        <w:rPr>
          <w:spacing w:val="9"/>
          <w:lang w:eastAsia="en-GB"/>
        </w:rPr>
        <w:t xml:space="preserve"> </w:t>
      </w:r>
      <w:r w:rsidRPr="00DB7F92">
        <w:rPr>
          <w:lang w:eastAsia="en-GB"/>
        </w:rPr>
        <w:t>the</w:t>
      </w:r>
      <w:r w:rsidRPr="00DD5D2D">
        <w:rPr>
          <w:spacing w:val="9"/>
          <w:lang w:eastAsia="en-GB"/>
        </w:rPr>
        <w:t xml:space="preserve"> </w:t>
      </w:r>
      <w:r w:rsidRPr="00DB7F92">
        <w:rPr>
          <w:lang w:eastAsia="en-GB"/>
        </w:rPr>
        <w:t>impact</w:t>
      </w:r>
      <w:r w:rsidRPr="00DD5D2D">
        <w:rPr>
          <w:spacing w:val="11"/>
          <w:lang w:eastAsia="en-GB"/>
        </w:rPr>
        <w:t xml:space="preserve"> </w:t>
      </w:r>
      <w:r w:rsidRPr="00DB7F92">
        <w:rPr>
          <w:lang w:eastAsia="en-GB"/>
        </w:rPr>
        <w:t>of</w:t>
      </w:r>
      <w:r w:rsidRPr="00DD5D2D">
        <w:rPr>
          <w:spacing w:val="9"/>
          <w:lang w:eastAsia="en-GB"/>
        </w:rPr>
        <w:t xml:space="preserve"> </w:t>
      </w:r>
      <w:r w:rsidRPr="00DB7F92">
        <w:rPr>
          <w:lang w:eastAsia="en-GB"/>
        </w:rPr>
        <w:t>a</w:t>
      </w:r>
      <w:r w:rsidRPr="00DD5D2D">
        <w:rPr>
          <w:spacing w:val="59"/>
          <w:w w:val="99"/>
          <w:lang w:eastAsia="en-GB"/>
        </w:rPr>
        <w:t xml:space="preserve"> </w:t>
      </w:r>
      <w:r w:rsidRPr="00DB7F92">
        <w:rPr>
          <w:lang w:eastAsia="en-GB"/>
        </w:rPr>
        <w:t>possible</w:t>
      </w:r>
      <w:r w:rsidRPr="00DD5D2D">
        <w:rPr>
          <w:spacing w:val="20"/>
          <w:lang w:eastAsia="en-GB"/>
        </w:rPr>
        <w:t xml:space="preserve"> </w:t>
      </w:r>
      <w:r w:rsidRPr="00DB7F92">
        <w:rPr>
          <w:lang w:eastAsia="en-GB"/>
        </w:rPr>
        <w:t>change</w:t>
      </w:r>
      <w:r w:rsidRPr="00DD5D2D">
        <w:rPr>
          <w:spacing w:val="21"/>
          <w:lang w:eastAsia="en-GB"/>
        </w:rPr>
        <w:t xml:space="preserve"> </w:t>
      </w:r>
      <w:r w:rsidRPr="00DB7F92">
        <w:rPr>
          <w:lang w:eastAsia="en-GB"/>
        </w:rPr>
        <w:t>on</w:t>
      </w:r>
      <w:r w:rsidRPr="00DD5D2D">
        <w:rPr>
          <w:spacing w:val="22"/>
          <w:lang w:eastAsia="en-GB"/>
        </w:rPr>
        <w:t xml:space="preserve"> </w:t>
      </w:r>
      <w:r w:rsidRPr="00DB7F92">
        <w:rPr>
          <w:lang w:eastAsia="en-GB"/>
        </w:rPr>
        <w:t>groups</w:t>
      </w:r>
      <w:r w:rsidRPr="00DD5D2D">
        <w:rPr>
          <w:spacing w:val="20"/>
          <w:lang w:eastAsia="en-GB"/>
        </w:rPr>
        <w:t xml:space="preserve"> </w:t>
      </w:r>
      <w:r w:rsidRPr="00DB7F92">
        <w:rPr>
          <w:lang w:eastAsia="en-GB"/>
        </w:rPr>
        <w:t>with</w:t>
      </w:r>
      <w:r w:rsidRPr="00DD5D2D">
        <w:rPr>
          <w:spacing w:val="22"/>
          <w:lang w:eastAsia="en-GB"/>
        </w:rPr>
        <w:t xml:space="preserve"> </w:t>
      </w:r>
      <w:r w:rsidRPr="00DB7F92">
        <w:rPr>
          <w:lang w:eastAsia="en-GB"/>
        </w:rPr>
        <w:t>protected</w:t>
      </w:r>
      <w:r w:rsidRPr="00DD5D2D">
        <w:rPr>
          <w:spacing w:val="19"/>
          <w:lang w:eastAsia="en-GB"/>
        </w:rPr>
        <w:t xml:space="preserve"> </w:t>
      </w:r>
      <w:r w:rsidRPr="00DB7F92">
        <w:rPr>
          <w:lang w:eastAsia="en-GB"/>
        </w:rPr>
        <w:t>characteristics,</w:t>
      </w:r>
      <w:r w:rsidRPr="00DD5D2D">
        <w:rPr>
          <w:spacing w:val="19"/>
          <w:lang w:eastAsia="en-GB"/>
        </w:rPr>
        <w:t xml:space="preserve"> </w:t>
      </w:r>
      <w:r w:rsidRPr="00DB7F92">
        <w:rPr>
          <w:lang w:eastAsia="en-GB"/>
        </w:rPr>
        <w:t>it</w:t>
      </w:r>
      <w:r w:rsidRPr="00DD5D2D">
        <w:rPr>
          <w:spacing w:val="21"/>
          <w:lang w:eastAsia="en-GB"/>
        </w:rPr>
        <w:t xml:space="preserve"> </w:t>
      </w:r>
      <w:r w:rsidRPr="00DB7F92">
        <w:rPr>
          <w:lang w:eastAsia="en-GB"/>
        </w:rPr>
        <w:t>is</w:t>
      </w:r>
      <w:r w:rsidRPr="00DD5D2D">
        <w:rPr>
          <w:spacing w:val="22"/>
          <w:lang w:eastAsia="en-GB"/>
        </w:rPr>
        <w:t xml:space="preserve"> </w:t>
      </w:r>
      <w:r w:rsidRPr="00DB7F92">
        <w:rPr>
          <w:lang w:eastAsia="en-GB"/>
        </w:rPr>
        <w:t>very</w:t>
      </w:r>
      <w:r w:rsidRPr="00DD5D2D">
        <w:rPr>
          <w:spacing w:val="63"/>
          <w:lang w:eastAsia="en-GB"/>
        </w:rPr>
        <w:t xml:space="preserve"> </w:t>
      </w:r>
      <w:r w:rsidRPr="00DB7F92">
        <w:rPr>
          <w:lang w:eastAsia="en-GB"/>
        </w:rPr>
        <w:t>difficult</w:t>
      </w:r>
      <w:r w:rsidRPr="00DD5D2D">
        <w:rPr>
          <w:spacing w:val="-3"/>
          <w:lang w:eastAsia="en-GB"/>
        </w:rPr>
        <w:t xml:space="preserve"> </w:t>
      </w:r>
      <w:r w:rsidRPr="00DB7F92">
        <w:rPr>
          <w:lang w:eastAsia="en-GB"/>
        </w:rPr>
        <w:t>to</w:t>
      </w:r>
      <w:r w:rsidRPr="00DD5D2D">
        <w:rPr>
          <w:spacing w:val="-3"/>
          <w:lang w:eastAsia="en-GB"/>
        </w:rPr>
        <w:t xml:space="preserve"> </w:t>
      </w:r>
      <w:r w:rsidRPr="00DB7F92">
        <w:rPr>
          <w:lang w:eastAsia="en-GB"/>
        </w:rPr>
        <w:t>argue</w:t>
      </w:r>
      <w:r w:rsidRPr="00DD5D2D">
        <w:rPr>
          <w:spacing w:val="-4"/>
          <w:lang w:eastAsia="en-GB"/>
        </w:rPr>
        <w:t xml:space="preserve"> </w:t>
      </w:r>
      <w:r w:rsidRPr="00DB7F92">
        <w:rPr>
          <w:lang w:eastAsia="en-GB"/>
        </w:rPr>
        <w:t>that</w:t>
      </w:r>
      <w:r w:rsidRPr="00DD5D2D">
        <w:rPr>
          <w:spacing w:val="-2"/>
          <w:lang w:eastAsia="en-GB"/>
        </w:rPr>
        <w:t xml:space="preserve"> </w:t>
      </w:r>
      <w:r w:rsidRPr="00DB7F92">
        <w:rPr>
          <w:lang w:eastAsia="en-GB"/>
        </w:rPr>
        <w:t>the commissioner</w:t>
      </w:r>
      <w:r w:rsidRPr="00DD5D2D">
        <w:rPr>
          <w:spacing w:val="-3"/>
          <w:lang w:eastAsia="en-GB"/>
        </w:rPr>
        <w:t xml:space="preserve"> </w:t>
      </w:r>
      <w:r w:rsidRPr="00DB7F92">
        <w:rPr>
          <w:lang w:eastAsia="en-GB"/>
        </w:rPr>
        <w:t>had</w:t>
      </w:r>
      <w:r w:rsidRPr="00DD5D2D">
        <w:rPr>
          <w:spacing w:val="-4"/>
          <w:lang w:eastAsia="en-GB"/>
        </w:rPr>
        <w:t xml:space="preserve"> </w:t>
      </w:r>
      <w:r w:rsidRPr="00DB7F92">
        <w:rPr>
          <w:lang w:eastAsia="en-GB"/>
        </w:rPr>
        <w:t>the impact</w:t>
      </w:r>
      <w:r w:rsidRPr="00DD5D2D">
        <w:rPr>
          <w:spacing w:val="-3"/>
          <w:lang w:eastAsia="en-GB"/>
        </w:rPr>
        <w:t xml:space="preserve"> </w:t>
      </w:r>
      <w:r w:rsidRPr="00DB7F92">
        <w:rPr>
          <w:lang w:eastAsia="en-GB"/>
        </w:rPr>
        <w:t>properly</w:t>
      </w:r>
      <w:r w:rsidRPr="00DD5D2D">
        <w:rPr>
          <w:spacing w:val="-2"/>
          <w:lang w:eastAsia="en-GB"/>
        </w:rPr>
        <w:t xml:space="preserve"> </w:t>
      </w:r>
      <w:r w:rsidRPr="00DB7F92">
        <w:rPr>
          <w:lang w:eastAsia="en-GB"/>
        </w:rPr>
        <w:t>in</w:t>
      </w:r>
      <w:r w:rsidRPr="00DD5D2D">
        <w:rPr>
          <w:spacing w:val="-3"/>
          <w:lang w:eastAsia="en-GB"/>
        </w:rPr>
        <w:t xml:space="preserve"> </w:t>
      </w:r>
      <w:r w:rsidRPr="00DB7F92">
        <w:rPr>
          <w:lang w:eastAsia="en-GB"/>
        </w:rPr>
        <w:t>mind when it made its decision.</w:t>
      </w:r>
      <w:r w:rsidRPr="00DB7F92">
        <w:rPr>
          <w:lang w:eastAsia="en-GB"/>
        </w:rPr>
        <w:tab/>
        <w:t>This is the case even if the impact on protected groups is minimal.</w:t>
      </w:r>
    </w:p>
    <w:p w14:paraId="6961E522" w14:textId="450051AD" w:rsidR="00DB7F92" w:rsidRPr="00DB7F92" w:rsidRDefault="00DB7F92" w:rsidP="00DD5D2D">
      <w:pPr>
        <w:pStyle w:val="Heading3"/>
        <w:jc w:val="both"/>
        <w:rPr>
          <w:rFonts w:eastAsia="Segoe UI Semilight"/>
        </w:rPr>
      </w:pPr>
      <w:r w:rsidRPr="00DB7F92">
        <w:rPr>
          <w:rFonts w:eastAsia="Segoe UI Semilight"/>
        </w:rPr>
        <w:t xml:space="preserve">It is not always easy to assess </w:t>
      </w:r>
      <w:r w:rsidR="007B3708">
        <w:rPr>
          <w:rFonts w:eastAsia="Segoe UI Semilight"/>
        </w:rPr>
        <w:t xml:space="preserve">the </w:t>
      </w:r>
      <w:r w:rsidRPr="00DB7F92">
        <w:rPr>
          <w:rFonts w:eastAsia="Segoe UI Semilight"/>
        </w:rPr>
        <w:t xml:space="preserve">equality impact.  A robust service user involvement exercise will help the commissioner </w:t>
      </w:r>
      <w:r w:rsidR="007B3708">
        <w:rPr>
          <w:rFonts w:eastAsia="Segoe UI Semilight"/>
        </w:rPr>
        <w:t xml:space="preserve">to </w:t>
      </w:r>
      <w:r w:rsidRPr="00DB7F92">
        <w:rPr>
          <w:rFonts w:eastAsia="Segoe UI Semilight"/>
        </w:rPr>
        <w:t>identify any issues.  It is advisable to ask question(s) directly aimed at equalities issues.  In many cases</w:t>
      </w:r>
      <w:r w:rsidR="007B3708">
        <w:rPr>
          <w:rFonts w:eastAsia="Segoe UI Semilight"/>
        </w:rPr>
        <w:t>,</w:t>
      </w:r>
      <w:r w:rsidRPr="00DB7F92">
        <w:rPr>
          <w:rFonts w:eastAsia="Segoe UI Semilight"/>
        </w:rPr>
        <w:t xml:space="preserve"> it is advisable to take special steps to reach seldom heard groups affected by the decisions (e.g. by working with local voluntary, community and faith sector groups and holding meetings in community venues).  The more likely a decision is to disproportionately affect a protected group, the more important it is to get feedback from that group about the decision.  Undertaking a literature search can also be helpful to see what evidence is available. NHS England’s Equality and Health Inequalities Unit has a Resource Hub with information which can be found here: </w:t>
      </w:r>
      <w:hyperlink r:id="rId32" w:history="1">
        <w:r w:rsidRPr="00DB7F92">
          <w:rPr>
            <w:rFonts w:eastAsia="Segoe UI Semilight"/>
            <w:color w:val="0000FF"/>
            <w:u w:val="single"/>
          </w:rPr>
          <w:t>https://www.england.nhs.uk/about/equality/equality-hub/</w:t>
        </w:r>
      </w:hyperlink>
      <w:r w:rsidRPr="00DB7F92">
        <w:rPr>
          <w:rFonts w:eastAsia="Segoe UI Semilight"/>
        </w:rPr>
        <w:t xml:space="preserve"> </w:t>
      </w:r>
    </w:p>
    <w:p w14:paraId="6BA03CF7" w14:textId="66BC394C" w:rsidR="00DB7F92" w:rsidRPr="00DB7F92" w:rsidRDefault="00DB7F92" w:rsidP="00DD5D2D">
      <w:pPr>
        <w:pStyle w:val="Heading3"/>
        <w:jc w:val="both"/>
        <w:rPr>
          <w:lang w:eastAsia="en-GB"/>
        </w:rPr>
      </w:pPr>
      <w:r w:rsidRPr="00DB7F92">
        <w:rPr>
          <w:lang w:eastAsia="en-GB"/>
        </w:rPr>
        <w:t>The</w:t>
      </w:r>
      <w:r w:rsidRPr="00DB7F92">
        <w:rPr>
          <w:spacing w:val="10"/>
          <w:lang w:eastAsia="en-GB"/>
        </w:rPr>
        <w:t xml:space="preserve"> </w:t>
      </w:r>
      <w:r w:rsidRPr="00DB7F92">
        <w:rPr>
          <w:lang w:eastAsia="en-GB"/>
        </w:rPr>
        <w:t>PSED</w:t>
      </w:r>
      <w:r w:rsidRPr="00DB7F92">
        <w:rPr>
          <w:spacing w:val="12"/>
          <w:lang w:eastAsia="en-GB"/>
        </w:rPr>
        <w:t xml:space="preserve"> </w:t>
      </w:r>
      <w:r w:rsidRPr="00DB7F92">
        <w:rPr>
          <w:lang w:eastAsia="en-GB"/>
        </w:rPr>
        <w:t>means</w:t>
      </w:r>
      <w:r w:rsidRPr="00DB7F92">
        <w:rPr>
          <w:spacing w:val="13"/>
          <w:lang w:eastAsia="en-GB"/>
        </w:rPr>
        <w:t xml:space="preserve"> </w:t>
      </w:r>
      <w:r w:rsidRPr="00DB7F92">
        <w:rPr>
          <w:lang w:eastAsia="en-GB"/>
        </w:rPr>
        <w:t>that</w:t>
      </w:r>
      <w:r w:rsidRPr="00DB7F92">
        <w:rPr>
          <w:spacing w:val="14"/>
          <w:lang w:eastAsia="en-GB"/>
        </w:rPr>
        <w:t xml:space="preserve"> </w:t>
      </w:r>
      <w:r w:rsidRPr="00DB7F92">
        <w:rPr>
          <w:lang w:eastAsia="en-GB"/>
        </w:rPr>
        <w:t>the commissioner</w:t>
      </w:r>
      <w:r w:rsidRPr="00DB7F92">
        <w:rPr>
          <w:spacing w:val="10"/>
          <w:lang w:eastAsia="en-GB"/>
        </w:rPr>
        <w:t xml:space="preserve"> </w:t>
      </w:r>
      <w:r w:rsidRPr="00DB7F92">
        <w:rPr>
          <w:lang w:eastAsia="en-GB"/>
        </w:rPr>
        <w:t>must</w:t>
      </w:r>
      <w:r w:rsidRPr="00DB7F92">
        <w:rPr>
          <w:spacing w:val="13"/>
          <w:lang w:eastAsia="en-GB"/>
        </w:rPr>
        <w:t xml:space="preserve"> </w:t>
      </w:r>
      <w:r w:rsidRPr="00DB7F92">
        <w:rPr>
          <w:lang w:eastAsia="en-GB"/>
        </w:rPr>
        <w:t>consider</w:t>
      </w:r>
      <w:r w:rsidRPr="00DB7F92">
        <w:rPr>
          <w:spacing w:val="11"/>
          <w:lang w:eastAsia="en-GB"/>
        </w:rPr>
        <w:t xml:space="preserve"> </w:t>
      </w:r>
      <w:r w:rsidRPr="00DB7F92">
        <w:rPr>
          <w:lang w:eastAsia="en-GB"/>
        </w:rPr>
        <w:t>equalities</w:t>
      </w:r>
      <w:r w:rsidRPr="00DB7F92">
        <w:rPr>
          <w:spacing w:val="12"/>
          <w:lang w:eastAsia="en-GB"/>
        </w:rPr>
        <w:t xml:space="preserve"> </w:t>
      </w:r>
      <w:r w:rsidRPr="00DB7F92">
        <w:rPr>
          <w:lang w:eastAsia="en-GB"/>
        </w:rPr>
        <w:t>issues</w:t>
      </w:r>
      <w:r w:rsidRPr="00DB7F92">
        <w:rPr>
          <w:spacing w:val="16"/>
          <w:lang w:eastAsia="en-GB"/>
        </w:rPr>
        <w:t xml:space="preserve"> </w:t>
      </w:r>
      <w:r w:rsidRPr="00DB7F92">
        <w:rPr>
          <w:lang w:eastAsia="en-GB"/>
        </w:rPr>
        <w:t>when</w:t>
      </w:r>
      <w:r w:rsidRPr="00DB7F92">
        <w:rPr>
          <w:spacing w:val="56"/>
          <w:w w:val="99"/>
          <w:lang w:eastAsia="en-GB"/>
        </w:rPr>
        <w:t xml:space="preserve"> </w:t>
      </w:r>
      <w:r w:rsidRPr="00DB7F92">
        <w:rPr>
          <w:lang w:eastAsia="en-GB"/>
        </w:rPr>
        <w:t>making</w:t>
      </w:r>
      <w:r w:rsidRPr="00DB7F92">
        <w:rPr>
          <w:spacing w:val="4"/>
          <w:lang w:eastAsia="en-GB"/>
        </w:rPr>
        <w:t xml:space="preserve"> </w:t>
      </w:r>
      <w:r w:rsidRPr="00DB7F92">
        <w:rPr>
          <w:lang w:eastAsia="en-GB"/>
        </w:rPr>
        <w:t>decisions.</w:t>
      </w:r>
      <w:r w:rsidRPr="00DB7F92">
        <w:rPr>
          <w:spacing w:val="9"/>
          <w:lang w:eastAsia="en-GB"/>
        </w:rPr>
        <w:t xml:space="preserve"> </w:t>
      </w:r>
      <w:r w:rsidRPr="00DB7F92">
        <w:rPr>
          <w:lang w:eastAsia="en-GB"/>
        </w:rPr>
        <w:t>In</w:t>
      </w:r>
      <w:r w:rsidRPr="00DB7F92">
        <w:rPr>
          <w:spacing w:val="3"/>
          <w:lang w:eastAsia="en-GB"/>
        </w:rPr>
        <w:t xml:space="preserve"> </w:t>
      </w:r>
      <w:r w:rsidRPr="00DB7F92">
        <w:rPr>
          <w:lang w:eastAsia="en-GB"/>
        </w:rPr>
        <w:t>some</w:t>
      </w:r>
      <w:r w:rsidRPr="00DB7F92">
        <w:rPr>
          <w:spacing w:val="4"/>
          <w:lang w:eastAsia="en-GB"/>
        </w:rPr>
        <w:t xml:space="preserve"> </w:t>
      </w:r>
      <w:r w:rsidR="00050291" w:rsidRPr="00DB7F92">
        <w:rPr>
          <w:lang w:eastAsia="en-GB"/>
        </w:rPr>
        <w:t>cases,</w:t>
      </w:r>
      <w:r w:rsidRPr="00DB7F92">
        <w:rPr>
          <w:spacing w:val="4"/>
          <w:lang w:eastAsia="en-GB"/>
        </w:rPr>
        <w:t xml:space="preserve"> </w:t>
      </w:r>
      <w:r w:rsidRPr="00DB7F92">
        <w:rPr>
          <w:lang w:eastAsia="en-GB"/>
        </w:rPr>
        <w:t>there</w:t>
      </w:r>
      <w:r w:rsidRPr="00DB7F92">
        <w:rPr>
          <w:spacing w:val="5"/>
          <w:lang w:eastAsia="en-GB"/>
        </w:rPr>
        <w:t xml:space="preserve"> </w:t>
      </w:r>
      <w:r w:rsidRPr="00DB7F92">
        <w:rPr>
          <w:lang w:eastAsia="en-GB"/>
        </w:rPr>
        <w:t>may</w:t>
      </w:r>
      <w:r w:rsidRPr="00DB7F92">
        <w:rPr>
          <w:spacing w:val="3"/>
          <w:lang w:eastAsia="en-GB"/>
        </w:rPr>
        <w:t xml:space="preserve"> </w:t>
      </w:r>
      <w:r w:rsidRPr="00DB7F92">
        <w:rPr>
          <w:lang w:eastAsia="en-GB"/>
        </w:rPr>
        <w:t>be</w:t>
      </w:r>
      <w:r w:rsidRPr="00DB7F92">
        <w:rPr>
          <w:spacing w:val="2"/>
          <w:lang w:eastAsia="en-GB"/>
        </w:rPr>
        <w:t xml:space="preserve"> </w:t>
      </w:r>
      <w:r w:rsidRPr="00DB7F92">
        <w:rPr>
          <w:lang w:eastAsia="en-GB"/>
        </w:rPr>
        <w:t>a</w:t>
      </w:r>
      <w:r w:rsidRPr="00DB7F92">
        <w:rPr>
          <w:spacing w:val="3"/>
          <w:lang w:eastAsia="en-GB"/>
        </w:rPr>
        <w:t xml:space="preserve"> </w:t>
      </w:r>
      <w:r w:rsidRPr="00DB7F92">
        <w:rPr>
          <w:lang w:eastAsia="en-GB"/>
        </w:rPr>
        <w:t>solution</w:t>
      </w:r>
      <w:r w:rsidRPr="00DB7F92">
        <w:rPr>
          <w:spacing w:val="5"/>
          <w:lang w:eastAsia="en-GB"/>
        </w:rPr>
        <w:t xml:space="preserve"> </w:t>
      </w:r>
      <w:r w:rsidRPr="00DB7F92">
        <w:rPr>
          <w:lang w:eastAsia="en-GB"/>
        </w:rPr>
        <w:t>that</w:t>
      </w:r>
      <w:r w:rsidRPr="00DB7F92">
        <w:rPr>
          <w:spacing w:val="3"/>
          <w:lang w:eastAsia="en-GB"/>
        </w:rPr>
        <w:t xml:space="preserve"> </w:t>
      </w:r>
      <w:r w:rsidRPr="00DB7F92">
        <w:rPr>
          <w:lang w:eastAsia="en-GB"/>
        </w:rPr>
        <w:t>causes</w:t>
      </w:r>
      <w:r w:rsidRPr="00DB7F92">
        <w:rPr>
          <w:spacing w:val="7"/>
          <w:lang w:eastAsia="en-GB"/>
        </w:rPr>
        <w:t xml:space="preserve"> </w:t>
      </w:r>
      <w:r w:rsidRPr="00DB7F92">
        <w:rPr>
          <w:lang w:eastAsia="en-GB"/>
        </w:rPr>
        <w:t>less</w:t>
      </w:r>
      <w:r w:rsidRPr="00DB7F92">
        <w:rPr>
          <w:spacing w:val="51"/>
          <w:lang w:eastAsia="en-GB"/>
        </w:rPr>
        <w:t xml:space="preserve"> </w:t>
      </w:r>
      <w:r w:rsidRPr="00DB7F92">
        <w:rPr>
          <w:lang w:eastAsia="en-GB"/>
        </w:rPr>
        <w:t>disadvantage</w:t>
      </w:r>
      <w:r w:rsidRPr="00DB7F92">
        <w:rPr>
          <w:spacing w:val="23"/>
          <w:lang w:eastAsia="en-GB"/>
        </w:rPr>
        <w:t xml:space="preserve"> </w:t>
      </w:r>
      <w:r w:rsidRPr="00DB7F92">
        <w:rPr>
          <w:lang w:eastAsia="en-GB"/>
        </w:rPr>
        <w:t>to</w:t>
      </w:r>
      <w:r w:rsidRPr="00DB7F92">
        <w:rPr>
          <w:spacing w:val="23"/>
          <w:lang w:eastAsia="en-GB"/>
        </w:rPr>
        <w:t xml:space="preserve"> </w:t>
      </w:r>
      <w:r w:rsidRPr="00DB7F92">
        <w:rPr>
          <w:lang w:eastAsia="en-GB"/>
        </w:rPr>
        <w:t>a</w:t>
      </w:r>
      <w:r w:rsidRPr="00DB7F92">
        <w:rPr>
          <w:spacing w:val="24"/>
          <w:lang w:eastAsia="en-GB"/>
        </w:rPr>
        <w:t xml:space="preserve"> </w:t>
      </w:r>
      <w:r w:rsidRPr="00DB7F92">
        <w:rPr>
          <w:lang w:eastAsia="en-GB"/>
        </w:rPr>
        <w:t>protected</w:t>
      </w:r>
      <w:r w:rsidRPr="00DB7F92">
        <w:rPr>
          <w:spacing w:val="22"/>
          <w:lang w:eastAsia="en-GB"/>
        </w:rPr>
        <w:t xml:space="preserve"> </w:t>
      </w:r>
      <w:r w:rsidRPr="00DB7F92">
        <w:rPr>
          <w:lang w:eastAsia="en-GB"/>
        </w:rPr>
        <w:t>group</w:t>
      </w:r>
      <w:r w:rsidRPr="00DB7F92">
        <w:rPr>
          <w:spacing w:val="23"/>
          <w:lang w:eastAsia="en-GB"/>
        </w:rPr>
        <w:t xml:space="preserve"> </w:t>
      </w:r>
      <w:r w:rsidRPr="00DB7F92">
        <w:rPr>
          <w:lang w:eastAsia="en-GB"/>
        </w:rPr>
        <w:t>but</w:t>
      </w:r>
      <w:r w:rsidRPr="00DB7F92">
        <w:rPr>
          <w:spacing w:val="24"/>
          <w:lang w:eastAsia="en-GB"/>
        </w:rPr>
        <w:t xml:space="preserve"> </w:t>
      </w:r>
      <w:r w:rsidRPr="00DB7F92">
        <w:rPr>
          <w:lang w:eastAsia="en-GB"/>
        </w:rPr>
        <w:t>for</w:t>
      </w:r>
      <w:r w:rsidRPr="00DB7F92">
        <w:rPr>
          <w:spacing w:val="24"/>
          <w:lang w:eastAsia="en-GB"/>
        </w:rPr>
        <w:t xml:space="preserve"> </w:t>
      </w:r>
      <w:r w:rsidRPr="00DB7F92">
        <w:rPr>
          <w:lang w:eastAsia="en-GB"/>
        </w:rPr>
        <w:t>other</w:t>
      </w:r>
      <w:r w:rsidRPr="00DB7F92">
        <w:rPr>
          <w:spacing w:val="25"/>
          <w:lang w:eastAsia="en-GB"/>
        </w:rPr>
        <w:t xml:space="preserve"> </w:t>
      </w:r>
      <w:r w:rsidRPr="00DB7F92">
        <w:rPr>
          <w:lang w:eastAsia="en-GB"/>
        </w:rPr>
        <w:t>reasons</w:t>
      </w:r>
      <w:r w:rsidRPr="00DB7F92">
        <w:rPr>
          <w:spacing w:val="24"/>
          <w:lang w:eastAsia="en-GB"/>
        </w:rPr>
        <w:t xml:space="preserve"> </w:t>
      </w:r>
      <w:r w:rsidRPr="00DB7F92">
        <w:rPr>
          <w:lang w:eastAsia="en-GB"/>
        </w:rPr>
        <w:t>is</w:t>
      </w:r>
      <w:r w:rsidRPr="00DB7F92">
        <w:rPr>
          <w:spacing w:val="24"/>
          <w:lang w:eastAsia="en-GB"/>
        </w:rPr>
        <w:t xml:space="preserve"> </w:t>
      </w:r>
      <w:r w:rsidRPr="00DB7F92">
        <w:rPr>
          <w:lang w:eastAsia="en-GB"/>
        </w:rPr>
        <w:t>undesirable.</w:t>
      </w:r>
      <w:r w:rsidRPr="00DB7F92">
        <w:rPr>
          <w:spacing w:val="54"/>
          <w:w w:val="99"/>
          <w:lang w:eastAsia="en-GB"/>
        </w:rPr>
        <w:t xml:space="preserve"> </w:t>
      </w:r>
      <w:r w:rsidRPr="00DB7F92">
        <w:rPr>
          <w:lang w:eastAsia="en-GB"/>
        </w:rPr>
        <w:t>In</w:t>
      </w:r>
      <w:r w:rsidRPr="00DB7F92">
        <w:rPr>
          <w:spacing w:val="12"/>
          <w:lang w:eastAsia="en-GB"/>
        </w:rPr>
        <w:t xml:space="preserve"> </w:t>
      </w:r>
      <w:r w:rsidRPr="00DB7F92">
        <w:rPr>
          <w:lang w:eastAsia="en-GB"/>
        </w:rPr>
        <w:t>these</w:t>
      </w:r>
      <w:r w:rsidRPr="00DB7F92">
        <w:rPr>
          <w:spacing w:val="12"/>
          <w:lang w:eastAsia="en-GB"/>
        </w:rPr>
        <w:t xml:space="preserve"> </w:t>
      </w:r>
      <w:r w:rsidR="00050291" w:rsidRPr="00DB7F92">
        <w:rPr>
          <w:lang w:eastAsia="en-GB"/>
        </w:rPr>
        <w:t>situations,</w:t>
      </w:r>
      <w:r w:rsidRPr="00DB7F92">
        <w:rPr>
          <w:spacing w:val="14"/>
          <w:lang w:eastAsia="en-GB"/>
        </w:rPr>
        <w:t xml:space="preserve"> </w:t>
      </w:r>
      <w:r w:rsidRPr="00DB7F92">
        <w:rPr>
          <w:lang w:eastAsia="en-GB"/>
        </w:rPr>
        <w:t>it</w:t>
      </w:r>
      <w:r w:rsidRPr="00DB7F92">
        <w:rPr>
          <w:spacing w:val="15"/>
          <w:lang w:eastAsia="en-GB"/>
        </w:rPr>
        <w:t xml:space="preserve"> </w:t>
      </w:r>
      <w:r w:rsidRPr="00DB7F92">
        <w:rPr>
          <w:lang w:eastAsia="en-GB"/>
        </w:rPr>
        <w:t>is</w:t>
      </w:r>
      <w:r w:rsidRPr="00DB7F92">
        <w:rPr>
          <w:spacing w:val="14"/>
          <w:lang w:eastAsia="en-GB"/>
        </w:rPr>
        <w:t xml:space="preserve"> </w:t>
      </w:r>
      <w:r w:rsidRPr="00DB7F92">
        <w:rPr>
          <w:lang w:eastAsia="en-GB"/>
        </w:rPr>
        <w:t>important</w:t>
      </w:r>
      <w:r w:rsidRPr="00DB7F92">
        <w:rPr>
          <w:spacing w:val="12"/>
          <w:lang w:eastAsia="en-GB"/>
        </w:rPr>
        <w:t xml:space="preserve"> </w:t>
      </w:r>
      <w:r w:rsidRPr="00DB7F92">
        <w:rPr>
          <w:lang w:eastAsia="en-GB"/>
        </w:rPr>
        <w:t>to</w:t>
      </w:r>
      <w:r w:rsidRPr="00DB7F92">
        <w:rPr>
          <w:spacing w:val="12"/>
          <w:lang w:eastAsia="en-GB"/>
        </w:rPr>
        <w:t xml:space="preserve"> </w:t>
      </w:r>
      <w:r w:rsidRPr="00DB7F92">
        <w:rPr>
          <w:lang w:eastAsia="en-GB"/>
        </w:rPr>
        <w:t>acknowledge</w:t>
      </w:r>
      <w:r w:rsidRPr="00DB7F92">
        <w:rPr>
          <w:spacing w:val="12"/>
          <w:lang w:eastAsia="en-GB"/>
        </w:rPr>
        <w:t xml:space="preserve"> </w:t>
      </w:r>
      <w:r w:rsidRPr="00DB7F92">
        <w:rPr>
          <w:lang w:eastAsia="en-GB"/>
        </w:rPr>
        <w:t>the</w:t>
      </w:r>
      <w:r w:rsidRPr="00DB7F92">
        <w:rPr>
          <w:spacing w:val="14"/>
          <w:lang w:eastAsia="en-GB"/>
        </w:rPr>
        <w:t xml:space="preserve"> </w:t>
      </w:r>
      <w:r w:rsidRPr="00DB7F92">
        <w:rPr>
          <w:lang w:eastAsia="en-GB"/>
        </w:rPr>
        <w:t>disadvantage, work towards reducing the negative impact</w:t>
      </w:r>
      <w:r w:rsidRPr="00DB7F92">
        <w:rPr>
          <w:spacing w:val="5"/>
          <w:lang w:eastAsia="en-GB"/>
        </w:rPr>
        <w:t xml:space="preserve"> caused </w:t>
      </w:r>
      <w:r w:rsidRPr="00DB7F92">
        <w:rPr>
          <w:lang w:eastAsia="en-GB"/>
        </w:rPr>
        <w:t>and</w:t>
      </w:r>
      <w:r w:rsidRPr="00DB7F92">
        <w:rPr>
          <w:spacing w:val="9"/>
          <w:lang w:eastAsia="en-GB"/>
        </w:rPr>
        <w:t xml:space="preserve"> </w:t>
      </w:r>
      <w:r w:rsidRPr="00DB7F92">
        <w:rPr>
          <w:lang w:eastAsia="en-GB"/>
        </w:rPr>
        <w:t>be</w:t>
      </w:r>
      <w:r w:rsidRPr="00DB7F92">
        <w:rPr>
          <w:spacing w:val="7"/>
          <w:lang w:eastAsia="en-GB"/>
        </w:rPr>
        <w:t xml:space="preserve"> </w:t>
      </w:r>
      <w:r w:rsidRPr="00DB7F92">
        <w:rPr>
          <w:lang w:eastAsia="en-GB"/>
        </w:rPr>
        <w:t>clear</w:t>
      </w:r>
      <w:r w:rsidRPr="00DB7F92">
        <w:rPr>
          <w:spacing w:val="7"/>
          <w:lang w:eastAsia="en-GB"/>
        </w:rPr>
        <w:t xml:space="preserve"> </w:t>
      </w:r>
      <w:r w:rsidRPr="00DB7F92">
        <w:rPr>
          <w:lang w:eastAsia="en-GB"/>
        </w:rPr>
        <w:t>about</w:t>
      </w:r>
      <w:r w:rsidRPr="00DB7F92">
        <w:rPr>
          <w:spacing w:val="8"/>
          <w:lang w:eastAsia="en-GB"/>
        </w:rPr>
        <w:t xml:space="preserve"> </w:t>
      </w:r>
      <w:r w:rsidRPr="00DB7F92">
        <w:rPr>
          <w:lang w:eastAsia="en-GB"/>
        </w:rPr>
        <w:t>why</w:t>
      </w:r>
      <w:r w:rsidRPr="00DB7F92">
        <w:rPr>
          <w:spacing w:val="8"/>
          <w:lang w:eastAsia="en-GB"/>
        </w:rPr>
        <w:t xml:space="preserve"> </w:t>
      </w:r>
      <w:r w:rsidRPr="00DB7F92">
        <w:rPr>
          <w:lang w:eastAsia="en-GB"/>
        </w:rPr>
        <w:t>the</w:t>
      </w:r>
      <w:r w:rsidRPr="00DB7F92">
        <w:rPr>
          <w:spacing w:val="6"/>
          <w:lang w:eastAsia="en-GB"/>
        </w:rPr>
        <w:t xml:space="preserve"> </w:t>
      </w:r>
      <w:r w:rsidRPr="00DB7F92">
        <w:rPr>
          <w:lang w:eastAsia="en-GB"/>
        </w:rPr>
        <w:t>decision</w:t>
      </w:r>
      <w:r w:rsidRPr="00DB7F92">
        <w:rPr>
          <w:spacing w:val="7"/>
          <w:lang w:eastAsia="en-GB"/>
        </w:rPr>
        <w:t xml:space="preserve"> </w:t>
      </w:r>
      <w:r w:rsidRPr="00DB7F92">
        <w:rPr>
          <w:lang w:eastAsia="en-GB"/>
        </w:rPr>
        <w:t>was</w:t>
      </w:r>
      <w:r w:rsidRPr="00DB7F92">
        <w:rPr>
          <w:spacing w:val="8"/>
          <w:lang w:eastAsia="en-GB"/>
        </w:rPr>
        <w:t xml:space="preserve"> </w:t>
      </w:r>
      <w:r w:rsidRPr="00DB7F92">
        <w:rPr>
          <w:lang w:eastAsia="en-GB"/>
        </w:rPr>
        <w:t>taken.</w:t>
      </w:r>
      <w:r w:rsidRPr="00DB7F92">
        <w:rPr>
          <w:spacing w:val="15"/>
          <w:lang w:eastAsia="en-GB"/>
        </w:rPr>
        <w:t xml:space="preserve"> </w:t>
      </w:r>
      <w:r w:rsidRPr="00DB7F92">
        <w:rPr>
          <w:lang w:eastAsia="en-GB"/>
        </w:rPr>
        <w:t>This</w:t>
      </w:r>
      <w:r w:rsidRPr="00DB7F92">
        <w:rPr>
          <w:spacing w:val="8"/>
          <w:lang w:eastAsia="en-GB"/>
        </w:rPr>
        <w:t xml:space="preserve"> </w:t>
      </w:r>
      <w:r w:rsidRPr="00DB7F92">
        <w:rPr>
          <w:lang w:eastAsia="en-GB"/>
        </w:rPr>
        <w:t>may</w:t>
      </w:r>
      <w:r w:rsidRPr="00DB7F92">
        <w:rPr>
          <w:spacing w:val="7"/>
          <w:lang w:eastAsia="en-GB"/>
        </w:rPr>
        <w:t xml:space="preserve"> </w:t>
      </w:r>
      <w:r w:rsidRPr="00DB7F92">
        <w:rPr>
          <w:lang w:eastAsia="en-GB"/>
        </w:rPr>
        <w:t>include</w:t>
      </w:r>
      <w:r w:rsidRPr="00DB7F92">
        <w:rPr>
          <w:spacing w:val="50"/>
          <w:w w:val="99"/>
          <w:lang w:eastAsia="en-GB"/>
        </w:rPr>
        <w:t xml:space="preserve"> </w:t>
      </w:r>
      <w:r w:rsidRPr="00DB7F92">
        <w:rPr>
          <w:lang w:eastAsia="en-GB"/>
        </w:rPr>
        <w:t>outlining costs</w:t>
      </w:r>
      <w:r w:rsidRPr="00DB7F92">
        <w:rPr>
          <w:spacing w:val="1"/>
          <w:lang w:eastAsia="en-GB"/>
        </w:rPr>
        <w:t xml:space="preserve"> </w:t>
      </w:r>
      <w:r w:rsidRPr="00DB7F92">
        <w:rPr>
          <w:lang w:eastAsia="en-GB"/>
        </w:rPr>
        <w:t>concerns.</w:t>
      </w:r>
      <w:r w:rsidRPr="00DB7F92">
        <w:rPr>
          <w:spacing w:val="2"/>
          <w:lang w:eastAsia="en-GB"/>
        </w:rPr>
        <w:t xml:space="preserve"> </w:t>
      </w:r>
      <w:r w:rsidRPr="00DB7F92">
        <w:rPr>
          <w:lang w:eastAsia="en-GB"/>
        </w:rPr>
        <w:t>It</w:t>
      </w:r>
      <w:r w:rsidRPr="00DB7F92">
        <w:rPr>
          <w:spacing w:val="2"/>
          <w:lang w:eastAsia="en-GB"/>
        </w:rPr>
        <w:t xml:space="preserve"> </w:t>
      </w:r>
      <w:r w:rsidRPr="00DB7F92">
        <w:rPr>
          <w:lang w:eastAsia="en-GB"/>
        </w:rPr>
        <w:t>also makes</w:t>
      </w:r>
      <w:r w:rsidRPr="00DB7F92">
        <w:rPr>
          <w:spacing w:val="1"/>
          <w:lang w:eastAsia="en-GB"/>
        </w:rPr>
        <w:t xml:space="preserve"> </w:t>
      </w:r>
      <w:r w:rsidRPr="00DB7F92">
        <w:rPr>
          <w:lang w:eastAsia="en-GB"/>
        </w:rPr>
        <w:t>sense</w:t>
      </w:r>
      <w:r w:rsidRPr="00DB7F92">
        <w:rPr>
          <w:spacing w:val="3"/>
          <w:lang w:eastAsia="en-GB"/>
        </w:rPr>
        <w:t xml:space="preserve"> </w:t>
      </w:r>
      <w:r w:rsidRPr="00DB7F92">
        <w:rPr>
          <w:lang w:eastAsia="en-GB"/>
        </w:rPr>
        <w:t>to monitor</w:t>
      </w:r>
      <w:r w:rsidRPr="00DB7F92">
        <w:rPr>
          <w:spacing w:val="2"/>
          <w:lang w:eastAsia="en-GB"/>
        </w:rPr>
        <w:t xml:space="preserve"> </w:t>
      </w:r>
      <w:r w:rsidRPr="00DB7F92">
        <w:rPr>
          <w:lang w:eastAsia="en-GB"/>
        </w:rPr>
        <w:t>the situation</w:t>
      </w:r>
      <w:r w:rsidRPr="00DB7F92">
        <w:rPr>
          <w:spacing w:val="3"/>
          <w:lang w:eastAsia="en-GB"/>
        </w:rPr>
        <w:t xml:space="preserve"> </w:t>
      </w:r>
      <w:r w:rsidRPr="00DB7F92">
        <w:rPr>
          <w:lang w:eastAsia="en-GB"/>
        </w:rPr>
        <w:t>e.g.</w:t>
      </w:r>
      <w:r w:rsidRPr="00DB7F92">
        <w:rPr>
          <w:spacing w:val="62"/>
          <w:lang w:eastAsia="en-GB"/>
        </w:rPr>
        <w:t xml:space="preserve"> </w:t>
      </w:r>
      <w:r w:rsidRPr="00DB7F92">
        <w:rPr>
          <w:lang w:eastAsia="en-GB"/>
        </w:rPr>
        <w:t>does</w:t>
      </w:r>
      <w:r w:rsidRPr="00DB7F92">
        <w:rPr>
          <w:spacing w:val="10"/>
          <w:lang w:eastAsia="en-GB"/>
        </w:rPr>
        <w:t xml:space="preserve"> </w:t>
      </w:r>
      <w:r w:rsidRPr="00DB7F92">
        <w:rPr>
          <w:lang w:eastAsia="en-GB"/>
        </w:rPr>
        <w:t>the</w:t>
      </w:r>
      <w:r w:rsidRPr="00DB7F92">
        <w:rPr>
          <w:spacing w:val="9"/>
          <w:lang w:eastAsia="en-GB"/>
        </w:rPr>
        <w:t xml:space="preserve"> </w:t>
      </w:r>
      <w:r w:rsidRPr="00DB7F92">
        <w:rPr>
          <w:lang w:eastAsia="en-GB"/>
        </w:rPr>
        <w:t>demographic</w:t>
      </w:r>
      <w:r w:rsidRPr="00DB7F92">
        <w:rPr>
          <w:spacing w:val="12"/>
          <w:lang w:eastAsia="en-GB"/>
        </w:rPr>
        <w:t xml:space="preserve"> </w:t>
      </w:r>
      <w:r w:rsidRPr="00DB7F92">
        <w:rPr>
          <w:lang w:eastAsia="en-GB"/>
        </w:rPr>
        <w:t>of</w:t>
      </w:r>
      <w:r w:rsidRPr="00DB7F92">
        <w:rPr>
          <w:spacing w:val="9"/>
          <w:lang w:eastAsia="en-GB"/>
        </w:rPr>
        <w:t xml:space="preserve"> </w:t>
      </w:r>
      <w:r w:rsidRPr="00DB7F92">
        <w:rPr>
          <w:lang w:eastAsia="en-GB"/>
        </w:rPr>
        <w:t>service</w:t>
      </w:r>
      <w:r w:rsidRPr="00DB7F92">
        <w:rPr>
          <w:spacing w:val="9"/>
          <w:lang w:eastAsia="en-GB"/>
        </w:rPr>
        <w:t xml:space="preserve"> </w:t>
      </w:r>
      <w:r w:rsidRPr="00DB7F92">
        <w:rPr>
          <w:lang w:eastAsia="en-GB"/>
        </w:rPr>
        <w:t>users</w:t>
      </w:r>
      <w:r w:rsidRPr="00DB7F92">
        <w:rPr>
          <w:spacing w:val="11"/>
          <w:lang w:eastAsia="en-GB"/>
        </w:rPr>
        <w:t xml:space="preserve"> </w:t>
      </w:r>
      <w:r w:rsidRPr="00DB7F92">
        <w:rPr>
          <w:lang w:eastAsia="en-GB"/>
        </w:rPr>
        <w:t>change</w:t>
      </w:r>
      <w:r w:rsidRPr="00DB7F92">
        <w:rPr>
          <w:spacing w:val="11"/>
          <w:lang w:eastAsia="en-GB"/>
        </w:rPr>
        <w:t xml:space="preserve"> </w:t>
      </w:r>
      <w:r w:rsidRPr="00DB7F92">
        <w:rPr>
          <w:lang w:eastAsia="en-GB"/>
        </w:rPr>
        <w:t>as</w:t>
      </w:r>
      <w:r w:rsidRPr="00DB7F92">
        <w:rPr>
          <w:spacing w:val="11"/>
          <w:lang w:eastAsia="en-GB"/>
        </w:rPr>
        <w:t xml:space="preserve"> </w:t>
      </w:r>
      <w:r w:rsidRPr="00DB7F92">
        <w:rPr>
          <w:lang w:eastAsia="en-GB"/>
        </w:rPr>
        <w:t>a</w:t>
      </w:r>
      <w:r w:rsidRPr="00DB7F92">
        <w:rPr>
          <w:spacing w:val="10"/>
          <w:lang w:eastAsia="en-GB"/>
        </w:rPr>
        <w:t xml:space="preserve"> </w:t>
      </w:r>
      <w:r w:rsidRPr="00DB7F92">
        <w:rPr>
          <w:lang w:eastAsia="en-GB"/>
        </w:rPr>
        <w:t>result</w:t>
      </w:r>
      <w:r w:rsidRPr="00DB7F92">
        <w:rPr>
          <w:spacing w:val="10"/>
          <w:lang w:eastAsia="en-GB"/>
        </w:rPr>
        <w:t xml:space="preserve"> </w:t>
      </w:r>
      <w:r w:rsidRPr="00DB7F92">
        <w:rPr>
          <w:lang w:eastAsia="en-GB"/>
        </w:rPr>
        <w:t>of</w:t>
      </w:r>
      <w:r w:rsidRPr="00DB7F92">
        <w:rPr>
          <w:spacing w:val="9"/>
          <w:lang w:eastAsia="en-GB"/>
        </w:rPr>
        <w:t xml:space="preserve"> </w:t>
      </w:r>
      <w:r w:rsidRPr="00DB7F92">
        <w:rPr>
          <w:lang w:eastAsia="en-GB"/>
        </w:rPr>
        <w:t>the</w:t>
      </w:r>
      <w:r w:rsidRPr="00DB7F92">
        <w:rPr>
          <w:spacing w:val="9"/>
          <w:lang w:eastAsia="en-GB"/>
        </w:rPr>
        <w:t xml:space="preserve"> </w:t>
      </w:r>
      <w:r w:rsidRPr="00DB7F92">
        <w:rPr>
          <w:lang w:eastAsia="en-GB"/>
        </w:rPr>
        <w:t>decision</w:t>
      </w:r>
      <w:r w:rsidRPr="00DB7F92">
        <w:rPr>
          <w:spacing w:val="77"/>
          <w:lang w:eastAsia="en-GB"/>
        </w:rPr>
        <w:t xml:space="preserve"> </w:t>
      </w:r>
      <w:r w:rsidRPr="00DB7F92">
        <w:rPr>
          <w:lang w:eastAsia="en-GB"/>
        </w:rPr>
        <w:t>and</w:t>
      </w:r>
      <w:r w:rsidRPr="00DB7F92">
        <w:rPr>
          <w:spacing w:val="-6"/>
          <w:lang w:eastAsia="en-GB"/>
        </w:rPr>
        <w:t xml:space="preserve"> </w:t>
      </w:r>
      <w:r w:rsidRPr="00DB7F92">
        <w:rPr>
          <w:lang w:eastAsia="en-GB"/>
        </w:rPr>
        <w:t>timetable</w:t>
      </w:r>
      <w:r w:rsidRPr="00DB7F92">
        <w:rPr>
          <w:spacing w:val="-6"/>
          <w:lang w:eastAsia="en-GB"/>
        </w:rPr>
        <w:t xml:space="preserve"> </w:t>
      </w:r>
      <w:r w:rsidRPr="00DB7F92">
        <w:rPr>
          <w:lang w:eastAsia="en-GB"/>
        </w:rPr>
        <w:t>a</w:t>
      </w:r>
      <w:r w:rsidRPr="00DB7F92">
        <w:rPr>
          <w:spacing w:val="-2"/>
          <w:lang w:eastAsia="en-GB"/>
        </w:rPr>
        <w:t xml:space="preserve"> </w:t>
      </w:r>
      <w:r w:rsidRPr="00DB7F92">
        <w:rPr>
          <w:lang w:eastAsia="en-GB"/>
        </w:rPr>
        <w:t>formal</w:t>
      </w:r>
      <w:r w:rsidRPr="00DB7F92">
        <w:rPr>
          <w:spacing w:val="-4"/>
          <w:lang w:eastAsia="en-GB"/>
        </w:rPr>
        <w:t xml:space="preserve"> </w:t>
      </w:r>
      <w:r w:rsidRPr="00DB7F92">
        <w:rPr>
          <w:lang w:eastAsia="en-GB"/>
        </w:rPr>
        <w:t>review</w:t>
      </w:r>
      <w:r w:rsidRPr="00DB7F92">
        <w:rPr>
          <w:spacing w:val="-5"/>
          <w:lang w:eastAsia="en-GB"/>
        </w:rPr>
        <w:t xml:space="preserve"> </w:t>
      </w:r>
      <w:r w:rsidRPr="00DB7F92">
        <w:rPr>
          <w:lang w:eastAsia="en-GB"/>
        </w:rPr>
        <w:t>in</w:t>
      </w:r>
      <w:r w:rsidRPr="00DB7F92">
        <w:rPr>
          <w:spacing w:val="-2"/>
          <w:lang w:eastAsia="en-GB"/>
        </w:rPr>
        <w:t xml:space="preserve"> </w:t>
      </w:r>
      <w:r w:rsidRPr="00DB7F92">
        <w:rPr>
          <w:lang w:eastAsia="en-GB"/>
        </w:rPr>
        <w:t>e.g.</w:t>
      </w:r>
      <w:r w:rsidRPr="00DB7F92">
        <w:rPr>
          <w:spacing w:val="-3"/>
          <w:lang w:eastAsia="en-GB"/>
        </w:rPr>
        <w:t xml:space="preserve"> </w:t>
      </w:r>
      <w:r w:rsidRPr="00DB7F92">
        <w:rPr>
          <w:lang w:eastAsia="en-GB"/>
        </w:rPr>
        <w:t>a</w:t>
      </w:r>
      <w:r w:rsidRPr="00DB7F92">
        <w:rPr>
          <w:spacing w:val="-6"/>
          <w:lang w:eastAsia="en-GB"/>
        </w:rPr>
        <w:t xml:space="preserve"> </w:t>
      </w:r>
      <w:r w:rsidRPr="00DB7F92">
        <w:rPr>
          <w:lang w:eastAsia="en-GB"/>
        </w:rPr>
        <w:t>year's</w:t>
      </w:r>
      <w:r w:rsidRPr="00DB7F92">
        <w:rPr>
          <w:spacing w:val="-4"/>
          <w:lang w:eastAsia="en-GB"/>
        </w:rPr>
        <w:t xml:space="preserve"> </w:t>
      </w:r>
      <w:r w:rsidRPr="00DB7F92">
        <w:rPr>
          <w:lang w:eastAsia="en-GB"/>
        </w:rPr>
        <w:t>time.</w:t>
      </w:r>
    </w:p>
    <w:p w14:paraId="7D4FB3FB" w14:textId="77777777" w:rsidR="00DB7F92" w:rsidRPr="00DB7F92" w:rsidRDefault="00DB7F92" w:rsidP="006D10D1">
      <w:pPr>
        <w:pStyle w:val="Heading3"/>
        <w:jc w:val="both"/>
        <w:rPr>
          <w:lang w:eastAsia="en-GB"/>
        </w:rPr>
      </w:pPr>
      <w:r w:rsidRPr="00DB7F92">
        <w:rPr>
          <w:lang w:eastAsia="en-GB"/>
        </w:rPr>
        <w:t>There</w:t>
      </w:r>
      <w:r w:rsidRPr="00DB7F92">
        <w:rPr>
          <w:spacing w:val="2"/>
          <w:lang w:eastAsia="en-GB"/>
        </w:rPr>
        <w:t xml:space="preserve"> </w:t>
      </w:r>
      <w:r w:rsidRPr="00DB7F92">
        <w:rPr>
          <w:lang w:eastAsia="en-GB"/>
        </w:rPr>
        <w:t>are</w:t>
      </w:r>
      <w:r w:rsidRPr="00DB7F92">
        <w:rPr>
          <w:spacing w:val="2"/>
          <w:lang w:eastAsia="en-GB"/>
        </w:rPr>
        <w:t xml:space="preserve"> </w:t>
      </w:r>
      <w:r w:rsidRPr="00DB7F92">
        <w:rPr>
          <w:lang w:eastAsia="en-GB"/>
        </w:rPr>
        <w:t>a</w:t>
      </w:r>
      <w:r w:rsidRPr="00DB7F92">
        <w:rPr>
          <w:spacing w:val="4"/>
          <w:lang w:eastAsia="en-GB"/>
        </w:rPr>
        <w:t xml:space="preserve"> </w:t>
      </w:r>
      <w:r w:rsidRPr="00DB7F92">
        <w:rPr>
          <w:spacing w:val="-2"/>
          <w:lang w:eastAsia="en-GB"/>
        </w:rPr>
        <w:t>few</w:t>
      </w:r>
      <w:r w:rsidRPr="00DB7F92">
        <w:rPr>
          <w:spacing w:val="3"/>
          <w:lang w:eastAsia="en-GB"/>
        </w:rPr>
        <w:t xml:space="preserve"> </w:t>
      </w:r>
      <w:r w:rsidRPr="00DB7F92">
        <w:rPr>
          <w:lang w:eastAsia="en-GB"/>
        </w:rPr>
        <w:t>themes</w:t>
      </w:r>
      <w:r w:rsidRPr="00DB7F92">
        <w:rPr>
          <w:spacing w:val="4"/>
          <w:lang w:eastAsia="en-GB"/>
        </w:rPr>
        <w:t xml:space="preserve"> </w:t>
      </w:r>
      <w:r w:rsidRPr="00DB7F92">
        <w:rPr>
          <w:lang w:eastAsia="en-GB"/>
        </w:rPr>
        <w:t>arising</w:t>
      </w:r>
      <w:r w:rsidRPr="00DB7F92">
        <w:rPr>
          <w:spacing w:val="3"/>
          <w:lang w:eastAsia="en-GB"/>
        </w:rPr>
        <w:t xml:space="preserve"> </w:t>
      </w:r>
      <w:r w:rsidRPr="00DB7F92">
        <w:rPr>
          <w:lang w:eastAsia="en-GB"/>
        </w:rPr>
        <w:t>from</w:t>
      </w:r>
      <w:r w:rsidRPr="00DB7F92">
        <w:rPr>
          <w:spacing w:val="2"/>
          <w:lang w:eastAsia="en-GB"/>
        </w:rPr>
        <w:t xml:space="preserve"> </w:t>
      </w:r>
      <w:r w:rsidRPr="00DB7F92">
        <w:rPr>
          <w:lang w:eastAsia="en-GB"/>
        </w:rPr>
        <w:t>the</w:t>
      </w:r>
      <w:r w:rsidRPr="00DB7F92">
        <w:rPr>
          <w:spacing w:val="2"/>
          <w:lang w:eastAsia="en-GB"/>
        </w:rPr>
        <w:t xml:space="preserve"> </w:t>
      </w:r>
      <w:r w:rsidRPr="00DB7F92">
        <w:rPr>
          <w:lang w:eastAsia="en-GB"/>
        </w:rPr>
        <w:t>cases</w:t>
      </w:r>
      <w:r w:rsidRPr="00DB7F92">
        <w:rPr>
          <w:spacing w:val="5"/>
          <w:lang w:eastAsia="en-GB"/>
        </w:rPr>
        <w:t xml:space="preserve"> </w:t>
      </w:r>
      <w:r w:rsidRPr="00DB7F92">
        <w:rPr>
          <w:lang w:eastAsia="en-GB"/>
        </w:rPr>
        <w:t>we</w:t>
      </w:r>
      <w:r w:rsidRPr="00DB7F92">
        <w:rPr>
          <w:spacing w:val="2"/>
          <w:lang w:eastAsia="en-GB"/>
        </w:rPr>
        <w:t xml:space="preserve"> </w:t>
      </w:r>
      <w:r w:rsidRPr="00DB7F92">
        <w:rPr>
          <w:lang w:eastAsia="en-GB"/>
        </w:rPr>
        <w:t>have</w:t>
      </w:r>
      <w:r w:rsidRPr="00DB7F92">
        <w:rPr>
          <w:spacing w:val="2"/>
          <w:lang w:eastAsia="en-GB"/>
        </w:rPr>
        <w:t xml:space="preserve"> </w:t>
      </w:r>
      <w:r w:rsidRPr="00DB7F92">
        <w:rPr>
          <w:lang w:eastAsia="en-GB"/>
        </w:rPr>
        <w:t>seen</w:t>
      </w:r>
      <w:r w:rsidRPr="00DB7F92">
        <w:rPr>
          <w:spacing w:val="4"/>
          <w:lang w:eastAsia="en-GB"/>
        </w:rPr>
        <w:t xml:space="preserve"> </w:t>
      </w:r>
      <w:r w:rsidRPr="00DB7F92">
        <w:rPr>
          <w:lang w:eastAsia="en-GB"/>
        </w:rPr>
        <w:t>on</w:t>
      </w:r>
      <w:r w:rsidRPr="00DB7F92">
        <w:rPr>
          <w:spacing w:val="6"/>
          <w:lang w:eastAsia="en-GB"/>
        </w:rPr>
        <w:t xml:space="preserve"> </w:t>
      </w:r>
      <w:r w:rsidRPr="00DB7F92">
        <w:rPr>
          <w:lang w:eastAsia="en-GB"/>
        </w:rPr>
        <w:t>the</w:t>
      </w:r>
      <w:r w:rsidRPr="00DB7F92">
        <w:rPr>
          <w:spacing w:val="61"/>
          <w:w w:val="99"/>
          <w:lang w:eastAsia="en-GB"/>
        </w:rPr>
        <w:t xml:space="preserve"> </w:t>
      </w:r>
      <w:r w:rsidRPr="00DB7F92">
        <w:rPr>
          <w:lang w:eastAsia="en-GB"/>
        </w:rPr>
        <w:t>application</w:t>
      </w:r>
      <w:r w:rsidRPr="00DB7F92">
        <w:rPr>
          <w:spacing w:val="-4"/>
          <w:lang w:eastAsia="en-GB"/>
        </w:rPr>
        <w:t xml:space="preserve"> </w:t>
      </w:r>
      <w:r w:rsidRPr="00DB7F92">
        <w:rPr>
          <w:lang w:eastAsia="en-GB"/>
        </w:rPr>
        <w:t>of</w:t>
      </w:r>
      <w:r w:rsidRPr="00DB7F92">
        <w:rPr>
          <w:spacing w:val="-8"/>
          <w:lang w:eastAsia="en-GB"/>
        </w:rPr>
        <w:t xml:space="preserve"> </w:t>
      </w:r>
      <w:r w:rsidRPr="00DB7F92">
        <w:rPr>
          <w:lang w:eastAsia="en-GB"/>
        </w:rPr>
        <w:t>the</w:t>
      </w:r>
      <w:r w:rsidRPr="00DB7F92">
        <w:rPr>
          <w:spacing w:val="-5"/>
          <w:lang w:eastAsia="en-GB"/>
        </w:rPr>
        <w:t xml:space="preserve"> </w:t>
      </w:r>
      <w:r w:rsidRPr="00DB7F92">
        <w:rPr>
          <w:lang w:eastAsia="en-GB"/>
        </w:rPr>
        <w:t>PSED</w:t>
      </w:r>
      <w:r w:rsidRPr="00DB7F92">
        <w:rPr>
          <w:spacing w:val="-5"/>
          <w:lang w:eastAsia="en-GB"/>
        </w:rPr>
        <w:t xml:space="preserve"> </w:t>
      </w:r>
      <w:r w:rsidRPr="00DB7F92">
        <w:rPr>
          <w:lang w:eastAsia="en-GB"/>
        </w:rPr>
        <w:t>(and</w:t>
      </w:r>
      <w:r w:rsidRPr="00DB7F92">
        <w:rPr>
          <w:spacing w:val="-5"/>
          <w:lang w:eastAsia="en-GB"/>
        </w:rPr>
        <w:t xml:space="preserve"> </w:t>
      </w:r>
      <w:r w:rsidRPr="00DB7F92">
        <w:rPr>
          <w:lang w:eastAsia="en-GB"/>
        </w:rPr>
        <w:t>similar</w:t>
      </w:r>
      <w:r w:rsidRPr="00DB7F92">
        <w:rPr>
          <w:spacing w:val="-6"/>
          <w:lang w:eastAsia="en-GB"/>
        </w:rPr>
        <w:t xml:space="preserve"> </w:t>
      </w:r>
      <w:r w:rsidRPr="00DB7F92">
        <w:rPr>
          <w:lang w:eastAsia="en-GB"/>
        </w:rPr>
        <w:t>duties</w:t>
      </w:r>
      <w:r w:rsidRPr="00DB7F92">
        <w:rPr>
          <w:spacing w:val="-5"/>
          <w:lang w:eastAsia="en-GB"/>
        </w:rPr>
        <w:t xml:space="preserve"> </w:t>
      </w:r>
      <w:r w:rsidRPr="00DB7F92">
        <w:rPr>
          <w:lang w:eastAsia="en-GB"/>
        </w:rPr>
        <w:t>in</w:t>
      </w:r>
      <w:r w:rsidRPr="00DB7F92">
        <w:rPr>
          <w:spacing w:val="-4"/>
          <w:lang w:eastAsia="en-GB"/>
        </w:rPr>
        <w:t xml:space="preserve"> </w:t>
      </w:r>
      <w:r w:rsidRPr="00DB7F92">
        <w:rPr>
          <w:lang w:eastAsia="en-GB"/>
        </w:rPr>
        <w:t>previous</w:t>
      </w:r>
      <w:r w:rsidRPr="00DB7F92">
        <w:rPr>
          <w:spacing w:val="-6"/>
          <w:lang w:eastAsia="en-GB"/>
        </w:rPr>
        <w:t xml:space="preserve"> </w:t>
      </w:r>
      <w:r w:rsidRPr="00DB7F92">
        <w:rPr>
          <w:lang w:eastAsia="en-GB"/>
        </w:rPr>
        <w:t>legislation).</w:t>
      </w:r>
    </w:p>
    <w:p w14:paraId="75B8A5E2" w14:textId="77777777" w:rsidR="00DB7F92" w:rsidRPr="00DB7F92" w:rsidRDefault="00DB7F92" w:rsidP="00A553BA">
      <w:pPr>
        <w:pStyle w:val="Heading4"/>
        <w:spacing w:before="0"/>
      </w:pPr>
      <w:r w:rsidRPr="00DB7F92">
        <w:t>A</w:t>
      </w:r>
      <w:r w:rsidRPr="00DB7F92">
        <w:rPr>
          <w:spacing w:val="33"/>
        </w:rPr>
        <w:t xml:space="preserve"> </w:t>
      </w:r>
      <w:r w:rsidRPr="00DB7F92">
        <w:t>need</w:t>
      </w:r>
      <w:r w:rsidRPr="00DB7F92">
        <w:rPr>
          <w:spacing w:val="31"/>
        </w:rPr>
        <w:t xml:space="preserve"> </w:t>
      </w:r>
      <w:r w:rsidRPr="00DB7F92">
        <w:t>to</w:t>
      </w:r>
      <w:r w:rsidRPr="00DB7F92">
        <w:rPr>
          <w:spacing w:val="31"/>
        </w:rPr>
        <w:t xml:space="preserve"> </w:t>
      </w:r>
      <w:r w:rsidRPr="00DB7F92">
        <w:t>explicitly</w:t>
      </w:r>
      <w:r w:rsidRPr="00DB7F92">
        <w:rPr>
          <w:spacing w:val="36"/>
        </w:rPr>
        <w:t xml:space="preserve"> </w:t>
      </w:r>
      <w:r w:rsidRPr="00DB7F92">
        <w:t>recognise</w:t>
      </w:r>
      <w:r w:rsidRPr="00DB7F92">
        <w:rPr>
          <w:spacing w:val="31"/>
        </w:rPr>
        <w:t xml:space="preserve"> </w:t>
      </w:r>
      <w:r w:rsidRPr="00DB7F92">
        <w:t>that</w:t>
      </w:r>
      <w:r w:rsidRPr="00DB7F92">
        <w:rPr>
          <w:spacing w:val="33"/>
        </w:rPr>
        <w:t xml:space="preserve"> </w:t>
      </w:r>
      <w:r w:rsidRPr="00DB7F92">
        <w:t>the</w:t>
      </w:r>
      <w:r w:rsidRPr="00DB7F92">
        <w:rPr>
          <w:spacing w:val="31"/>
        </w:rPr>
        <w:t xml:space="preserve"> </w:t>
      </w:r>
      <w:r w:rsidRPr="00DB7F92">
        <w:t>PSED</w:t>
      </w:r>
      <w:r w:rsidRPr="00DB7F92">
        <w:rPr>
          <w:spacing w:val="34"/>
        </w:rPr>
        <w:t xml:space="preserve"> </w:t>
      </w:r>
      <w:r w:rsidRPr="00DB7F92">
        <w:t>applies</w:t>
      </w:r>
      <w:r w:rsidRPr="00DB7F92">
        <w:rPr>
          <w:spacing w:val="33"/>
        </w:rPr>
        <w:t xml:space="preserve"> </w:t>
      </w:r>
      <w:r w:rsidRPr="00DB7F92">
        <w:t>and</w:t>
      </w:r>
      <w:r w:rsidRPr="00DB7F92">
        <w:rPr>
          <w:spacing w:val="51"/>
        </w:rPr>
        <w:t xml:space="preserve"> </w:t>
      </w:r>
      <w:r w:rsidRPr="00DB7F92">
        <w:t>equalities</w:t>
      </w:r>
      <w:r w:rsidRPr="00DB7F92">
        <w:rPr>
          <w:spacing w:val="-4"/>
        </w:rPr>
        <w:t xml:space="preserve"> </w:t>
      </w:r>
      <w:r w:rsidRPr="00DB7F92">
        <w:t>issues</w:t>
      </w:r>
      <w:r w:rsidRPr="00DB7F92">
        <w:rPr>
          <w:spacing w:val="-7"/>
        </w:rPr>
        <w:t xml:space="preserve"> </w:t>
      </w:r>
      <w:r w:rsidRPr="00DB7F92">
        <w:t>need</w:t>
      </w:r>
      <w:r w:rsidRPr="00DB7F92">
        <w:rPr>
          <w:spacing w:val="-8"/>
        </w:rPr>
        <w:t xml:space="preserve"> </w:t>
      </w:r>
      <w:r w:rsidRPr="00DB7F92">
        <w:rPr>
          <w:spacing w:val="1"/>
        </w:rPr>
        <w:t>to</w:t>
      </w:r>
      <w:r w:rsidRPr="00DB7F92">
        <w:rPr>
          <w:spacing w:val="-7"/>
        </w:rPr>
        <w:t xml:space="preserve"> </w:t>
      </w:r>
      <w:r w:rsidRPr="00DB7F92">
        <w:t>be</w:t>
      </w:r>
      <w:r w:rsidRPr="00DB7F92">
        <w:rPr>
          <w:spacing w:val="-6"/>
        </w:rPr>
        <w:t xml:space="preserve"> </w:t>
      </w:r>
      <w:r w:rsidRPr="00DB7F92">
        <w:t>considered.</w:t>
      </w:r>
    </w:p>
    <w:p w14:paraId="47C0B920" w14:textId="77777777" w:rsidR="00DB7F92" w:rsidRPr="00DB7F92" w:rsidRDefault="00DB7F92" w:rsidP="00A553BA">
      <w:pPr>
        <w:pStyle w:val="Heading4"/>
        <w:spacing w:before="0"/>
      </w:pPr>
      <w:r w:rsidRPr="00DB7F92">
        <w:t>The</w:t>
      </w:r>
      <w:r w:rsidRPr="00DB7F92">
        <w:rPr>
          <w:spacing w:val="20"/>
        </w:rPr>
        <w:t xml:space="preserve"> </w:t>
      </w:r>
      <w:r w:rsidRPr="00DB7F92">
        <w:t>duty</w:t>
      </w:r>
      <w:r w:rsidRPr="00DB7F92">
        <w:rPr>
          <w:spacing w:val="21"/>
        </w:rPr>
        <w:t xml:space="preserve"> </w:t>
      </w:r>
      <w:r w:rsidRPr="00DB7F92">
        <w:t>is</w:t>
      </w:r>
      <w:r w:rsidRPr="00DB7F92">
        <w:rPr>
          <w:spacing w:val="21"/>
        </w:rPr>
        <w:t xml:space="preserve"> </w:t>
      </w:r>
      <w:r w:rsidRPr="00DB7F92">
        <w:t>an</w:t>
      </w:r>
      <w:r w:rsidRPr="00DB7F92">
        <w:rPr>
          <w:spacing w:val="20"/>
        </w:rPr>
        <w:t xml:space="preserve"> </w:t>
      </w:r>
      <w:r w:rsidRPr="00DB7F92">
        <w:t>ongoing</w:t>
      </w:r>
      <w:r w:rsidRPr="00DB7F92">
        <w:rPr>
          <w:spacing w:val="20"/>
        </w:rPr>
        <w:t xml:space="preserve"> </w:t>
      </w:r>
      <w:r w:rsidRPr="00DB7F92">
        <w:t>one</w:t>
      </w:r>
      <w:r w:rsidRPr="00DB7F92">
        <w:rPr>
          <w:spacing w:val="20"/>
        </w:rPr>
        <w:t xml:space="preserve"> </w:t>
      </w:r>
      <w:r w:rsidRPr="00DB7F92">
        <w:t>–</w:t>
      </w:r>
      <w:r w:rsidRPr="00DB7F92">
        <w:rPr>
          <w:spacing w:val="21"/>
        </w:rPr>
        <w:t xml:space="preserve"> </w:t>
      </w:r>
      <w:r w:rsidRPr="00DB7F92">
        <w:t>to</w:t>
      </w:r>
      <w:r w:rsidRPr="00DB7F92">
        <w:rPr>
          <w:spacing w:val="20"/>
        </w:rPr>
        <w:t xml:space="preserve"> </w:t>
      </w:r>
      <w:r w:rsidRPr="00DB7F92">
        <w:t>be</w:t>
      </w:r>
      <w:r w:rsidRPr="00DB7F92">
        <w:rPr>
          <w:spacing w:val="20"/>
        </w:rPr>
        <w:t xml:space="preserve"> </w:t>
      </w:r>
      <w:r w:rsidRPr="00DB7F92">
        <w:t>considered</w:t>
      </w:r>
      <w:r w:rsidRPr="00DB7F92">
        <w:rPr>
          <w:spacing w:val="20"/>
        </w:rPr>
        <w:t xml:space="preserve"> </w:t>
      </w:r>
      <w:r w:rsidRPr="00DB7F92">
        <w:t>at</w:t>
      </w:r>
      <w:r w:rsidRPr="00DB7F92">
        <w:rPr>
          <w:spacing w:val="21"/>
        </w:rPr>
        <w:t xml:space="preserve"> </w:t>
      </w:r>
      <w:r w:rsidRPr="00DB7F92">
        <w:t>all</w:t>
      </w:r>
      <w:r w:rsidRPr="00DB7F92">
        <w:rPr>
          <w:spacing w:val="20"/>
        </w:rPr>
        <w:t xml:space="preserve"> </w:t>
      </w:r>
      <w:r w:rsidRPr="00DB7F92">
        <w:t>stages</w:t>
      </w:r>
      <w:r w:rsidRPr="00DB7F92">
        <w:rPr>
          <w:spacing w:val="22"/>
        </w:rPr>
        <w:t xml:space="preserve"> </w:t>
      </w:r>
      <w:r w:rsidRPr="00DB7F92">
        <w:t>of</w:t>
      </w:r>
      <w:r w:rsidRPr="00DB7F92">
        <w:rPr>
          <w:spacing w:val="51"/>
        </w:rPr>
        <w:t xml:space="preserve"> </w:t>
      </w:r>
      <w:r w:rsidRPr="00DB7F92">
        <w:t>decision-making</w:t>
      </w:r>
      <w:r w:rsidRPr="00DB7F92">
        <w:rPr>
          <w:spacing w:val="-6"/>
        </w:rPr>
        <w:t xml:space="preserve"> </w:t>
      </w:r>
      <w:r w:rsidRPr="00DB7F92">
        <w:t>not</w:t>
      </w:r>
      <w:r w:rsidRPr="00DB7F92">
        <w:rPr>
          <w:spacing w:val="-5"/>
        </w:rPr>
        <w:t xml:space="preserve"> </w:t>
      </w:r>
      <w:r w:rsidRPr="00DB7F92">
        <w:t>just</w:t>
      </w:r>
      <w:r w:rsidRPr="00DB7F92">
        <w:rPr>
          <w:spacing w:val="-5"/>
        </w:rPr>
        <w:t xml:space="preserve"> </w:t>
      </w:r>
      <w:r w:rsidRPr="00DB7F92">
        <w:t>at</w:t>
      </w:r>
      <w:r w:rsidRPr="00DB7F92">
        <w:rPr>
          <w:spacing w:val="-5"/>
        </w:rPr>
        <w:t xml:space="preserve"> </w:t>
      </w:r>
      <w:r w:rsidRPr="00DB7F92">
        <w:t>the</w:t>
      </w:r>
      <w:r w:rsidRPr="00DB7F92">
        <w:rPr>
          <w:spacing w:val="-6"/>
        </w:rPr>
        <w:t xml:space="preserve"> </w:t>
      </w:r>
      <w:r w:rsidRPr="00DB7F92">
        <w:t>end.</w:t>
      </w:r>
    </w:p>
    <w:p w14:paraId="478ADB5D" w14:textId="77777777" w:rsidR="00DB7F92" w:rsidRPr="00DB7F92" w:rsidRDefault="00DB7F92" w:rsidP="00A553BA">
      <w:pPr>
        <w:pStyle w:val="Heading4"/>
        <w:spacing w:before="0"/>
      </w:pPr>
      <w:r w:rsidRPr="00DB7F92">
        <w:t>A</w:t>
      </w:r>
      <w:r w:rsidRPr="00DB7F92">
        <w:rPr>
          <w:spacing w:val="20"/>
        </w:rPr>
        <w:t xml:space="preserve"> </w:t>
      </w:r>
      <w:r w:rsidRPr="00DB7F92">
        <w:t>need</w:t>
      </w:r>
      <w:r w:rsidRPr="00DB7F92">
        <w:rPr>
          <w:spacing w:val="18"/>
        </w:rPr>
        <w:t xml:space="preserve"> </w:t>
      </w:r>
      <w:r w:rsidRPr="00DB7F92">
        <w:t>to</w:t>
      </w:r>
      <w:r w:rsidRPr="00DB7F92">
        <w:rPr>
          <w:spacing w:val="19"/>
        </w:rPr>
        <w:t xml:space="preserve"> </w:t>
      </w:r>
      <w:r w:rsidRPr="00DB7F92">
        <w:t>be</w:t>
      </w:r>
      <w:r w:rsidRPr="00DB7F92">
        <w:rPr>
          <w:spacing w:val="19"/>
        </w:rPr>
        <w:t xml:space="preserve"> </w:t>
      </w:r>
      <w:r w:rsidRPr="00DB7F92">
        <w:t>clear</w:t>
      </w:r>
      <w:r w:rsidRPr="00DB7F92">
        <w:rPr>
          <w:spacing w:val="20"/>
        </w:rPr>
        <w:t xml:space="preserve"> </w:t>
      </w:r>
      <w:r w:rsidRPr="00DB7F92">
        <w:t>about</w:t>
      </w:r>
      <w:r w:rsidRPr="00DB7F92">
        <w:rPr>
          <w:spacing w:val="20"/>
        </w:rPr>
        <w:t xml:space="preserve"> </w:t>
      </w:r>
      <w:r w:rsidRPr="00DB7F92">
        <w:t>the</w:t>
      </w:r>
      <w:r w:rsidRPr="00DB7F92">
        <w:rPr>
          <w:spacing w:val="19"/>
        </w:rPr>
        <w:t xml:space="preserve"> </w:t>
      </w:r>
      <w:r w:rsidRPr="00DB7F92">
        <w:t>factors</w:t>
      </w:r>
      <w:r w:rsidRPr="00DB7F92">
        <w:rPr>
          <w:spacing w:val="20"/>
        </w:rPr>
        <w:t xml:space="preserve"> </w:t>
      </w:r>
      <w:r w:rsidRPr="00DB7F92">
        <w:t>driving</w:t>
      </w:r>
      <w:r w:rsidRPr="00DB7F92">
        <w:rPr>
          <w:spacing w:val="22"/>
        </w:rPr>
        <w:t xml:space="preserve"> </w:t>
      </w:r>
      <w:r w:rsidRPr="00DB7F92">
        <w:t>a</w:t>
      </w:r>
      <w:r w:rsidRPr="00DB7F92">
        <w:rPr>
          <w:spacing w:val="19"/>
        </w:rPr>
        <w:t xml:space="preserve"> </w:t>
      </w:r>
      <w:r w:rsidRPr="00DB7F92">
        <w:t>decision,</w:t>
      </w:r>
      <w:r w:rsidRPr="00DB7F92">
        <w:rPr>
          <w:spacing w:val="20"/>
        </w:rPr>
        <w:t xml:space="preserve"> </w:t>
      </w:r>
      <w:r w:rsidRPr="00DB7F92">
        <w:t>even</w:t>
      </w:r>
      <w:r w:rsidRPr="00DB7F92">
        <w:rPr>
          <w:spacing w:val="19"/>
        </w:rPr>
        <w:t xml:space="preserve"> </w:t>
      </w:r>
      <w:r w:rsidRPr="00DB7F92">
        <w:t>if</w:t>
      </w:r>
      <w:r w:rsidRPr="00DB7F92">
        <w:rPr>
          <w:spacing w:val="49"/>
        </w:rPr>
        <w:t xml:space="preserve"> </w:t>
      </w:r>
      <w:r w:rsidRPr="00DB7F92">
        <w:t>these</w:t>
      </w:r>
      <w:r w:rsidRPr="00DB7F92">
        <w:rPr>
          <w:spacing w:val="-10"/>
        </w:rPr>
        <w:t xml:space="preserve"> </w:t>
      </w:r>
      <w:r w:rsidRPr="00DB7F92">
        <w:t>are</w:t>
      </w:r>
      <w:r w:rsidRPr="00DB7F92">
        <w:rPr>
          <w:spacing w:val="-9"/>
        </w:rPr>
        <w:t xml:space="preserve"> </w:t>
      </w:r>
      <w:r w:rsidRPr="00DB7F92">
        <w:t>unpalatable</w:t>
      </w:r>
      <w:r w:rsidRPr="00DB7F92">
        <w:rPr>
          <w:spacing w:val="-8"/>
        </w:rPr>
        <w:t xml:space="preserve"> </w:t>
      </w:r>
      <w:r w:rsidRPr="00DB7F92">
        <w:t>e.g.</w:t>
      </w:r>
      <w:r w:rsidRPr="00DB7F92">
        <w:rPr>
          <w:spacing w:val="-8"/>
        </w:rPr>
        <w:t xml:space="preserve"> </w:t>
      </w:r>
      <w:r w:rsidRPr="00DB7F92">
        <w:t>budgetary</w:t>
      </w:r>
      <w:r w:rsidRPr="00DB7F92">
        <w:rPr>
          <w:spacing w:val="-7"/>
        </w:rPr>
        <w:t xml:space="preserve"> </w:t>
      </w:r>
      <w:r w:rsidRPr="00DB7F92">
        <w:t>pressures.</w:t>
      </w:r>
    </w:p>
    <w:p w14:paraId="350E575A" w14:textId="77777777" w:rsidR="00DB7F92" w:rsidRPr="00DB7F92" w:rsidRDefault="00DB7F92" w:rsidP="00A553BA">
      <w:pPr>
        <w:pStyle w:val="Heading4"/>
        <w:spacing w:before="0"/>
      </w:pPr>
      <w:r w:rsidRPr="00DB7F92">
        <w:t>A</w:t>
      </w:r>
      <w:r w:rsidRPr="00DB7F92">
        <w:rPr>
          <w:spacing w:val="53"/>
        </w:rPr>
        <w:t xml:space="preserve"> </w:t>
      </w:r>
      <w:r w:rsidRPr="00DB7F92">
        <w:t>need</w:t>
      </w:r>
      <w:r w:rsidRPr="00DB7F92">
        <w:rPr>
          <w:spacing w:val="55"/>
        </w:rPr>
        <w:t xml:space="preserve"> </w:t>
      </w:r>
      <w:r w:rsidRPr="00DB7F92">
        <w:t>to</w:t>
      </w:r>
      <w:r w:rsidRPr="00DB7F92">
        <w:rPr>
          <w:spacing w:val="53"/>
        </w:rPr>
        <w:t xml:space="preserve"> </w:t>
      </w:r>
      <w:r w:rsidRPr="00DB7F92">
        <w:t>analyse</w:t>
      </w:r>
      <w:r w:rsidRPr="00DB7F92">
        <w:rPr>
          <w:spacing w:val="53"/>
        </w:rPr>
        <w:t xml:space="preserve"> </w:t>
      </w:r>
      <w:r w:rsidRPr="00DB7F92">
        <w:t>in</w:t>
      </w:r>
      <w:r w:rsidRPr="00DB7F92">
        <w:rPr>
          <w:spacing w:val="58"/>
        </w:rPr>
        <w:t xml:space="preserve"> </w:t>
      </w:r>
      <w:r w:rsidRPr="00DB7F92">
        <w:t>some</w:t>
      </w:r>
      <w:r w:rsidRPr="00DB7F92">
        <w:rPr>
          <w:spacing w:val="53"/>
        </w:rPr>
        <w:t xml:space="preserve"> </w:t>
      </w:r>
      <w:r w:rsidRPr="00DB7F92">
        <w:t>detail</w:t>
      </w:r>
      <w:r w:rsidRPr="00DB7F92">
        <w:rPr>
          <w:spacing w:val="55"/>
        </w:rPr>
        <w:t xml:space="preserve"> </w:t>
      </w:r>
      <w:r w:rsidRPr="00DB7F92">
        <w:t>the</w:t>
      </w:r>
      <w:r w:rsidRPr="00DB7F92">
        <w:rPr>
          <w:spacing w:val="54"/>
        </w:rPr>
        <w:t xml:space="preserve"> </w:t>
      </w:r>
      <w:r w:rsidRPr="00DB7F92">
        <w:t>impact</w:t>
      </w:r>
      <w:r w:rsidRPr="00DB7F92">
        <w:rPr>
          <w:spacing w:val="54"/>
        </w:rPr>
        <w:t xml:space="preserve"> </w:t>
      </w:r>
      <w:r w:rsidRPr="00DB7F92">
        <w:t>of</w:t>
      </w:r>
      <w:r w:rsidRPr="00DB7F92">
        <w:rPr>
          <w:spacing w:val="55"/>
        </w:rPr>
        <w:t xml:space="preserve"> </w:t>
      </w:r>
      <w:r w:rsidRPr="00DB7F92">
        <w:t>a</w:t>
      </w:r>
      <w:r w:rsidRPr="00DB7F92">
        <w:rPr>
          <w:spacing w:val="53"/>
        </w:rPr>
        <w:t xml:space="preserve"> </w:t>
      </w:r>
      <w:r w:rsidRPr="00DB7F92">
        <w:t>proposed</w:t>
      </w:r>
      <w:r w:rsidRPr="00DB7F92">
        <w:rPr>
          <w:spacing w:val="49"/>
        </w:rPr>
        <w:t xml:space="preserve"> </w:t>
      </w:r>
      <w:r w:rsidRPr="00DB7F92">
        <w:t>policy</w:t>
      </w:r>
      <w:r w:rsidRPr="00DB7F92">
        <w:rPr>
          <w:spacing w:val="2"/>
        </w:rPr>
        <w:t xml:space="preserve"> </w:t>
      </w:r>
      <w:r w:rsidRPr="00DB7F92">
        <w:t>or</w:t>
      </w:r>
      <w:r w:rsidRPr="00DB7F92">
        <w:rPr>
          <w:spacing w:val="5"/>
        </w:rPr>
        <w:t xml:space="preserve"> </w:t>
      </w:r>
      <w:r w:rsidRPr="00DB7F92">
        <w:t>decision</w:t>
      </w:r>
      <w:r w:rsidRPr="00DB7F92">
        <w:rPr>
          <w:spacing w:val="5"/>
        </w:rPr>
        <w:t xml:space="preserve"> </w:t>
      </w:r>
      <w:r w:rsidRPr="00DB7F92">
        <w:t>so</w:t>
      </w:r>
      <w:r w:rsidRPr="00DB7F92">
        <w:rPr>
          <w:spacing w:val="2"/>
        </w:rPr>
        <w:t xml:space="preserve"> </w:t>
      </w:r>
      <w:r w:rsidRPr="00DB7F92">
        <w:t>that</w:t>
      </w:r>
      <w:r w:rsidRPr="00DB7F92">
        <w:rPr>
          <w:spacing w:val="3"/>
        </w:rPr>
        <w:t xml:space="preserve"> </w:t>
      </w:r>
      <w:r w:rsidRPr="00DB7F92">
        <w:t>the</w:t>
      </w:r>
      <w:r w:rsidRPr="00DB7F92">
        <w:rPr>
          <w:spacing w:val="2"/>
        </w:rPr>
        <w:t xml:space="preserve"> </w:t>
      </w:r>
      <w:r w:rsidRPr="00DB7F92">
        <w:t>public</w:t>
      </w:r>
      <w:r w:rsidRPr="00DB7F92">
        <w:rPr>
          <w:spacing w:val="2"/>
        </w:rPr>
        <w:t xml:space="preserve"> </w:t>
      </w:r>
      <w:r w:rsidRPr="00DB7F92">
        <w:t>authority</w:t>
      </w:r>
      <w:r w:rsidRPr="00DB7F92">
        <w:rPr>
          <w:spacing w:val="6"/>
        </w:rPr>
        <w:t xml:space="preserve"> </w:t>
      </w:r>
      <w:r w:rsidRPr="00DB7F92">
        <w:t>has</w:t>
      </w:r>
      <w:r w:rsidRPr="00DB7F92">
        <w:rPr>
          <w:spacing w:val="4"/>
        </w:rPr>
        <w:t xml:space="preserve"> </w:t>
      </w:r>
      <w:r w:rsidRPr="00DB7F92">
        <w:t>a</w:t>
      </w:r>
      <w:r w:rsidRPr="00DB7F92">
        <w:rPr>
          <w:spacing w:val="3"/>
        </w:rPr>
        <w:t xml:space="preserve"> </w:t>
      </w:r>
      <w:r w:rsidRPr="00DB7F92">
        <w:t>clear</w:t>
      </w:r>
      <w:r w:rsidRPr="00DB7F92">
        <w:rPr>
          <w:spacing w:val="3"/>
        </w:rPr>
        <w:t xml:space="preserve"> </w:t>
      </w:r>
      <w:r w:rsidRPr="00DB7F92">
        <w:t>idea</w:t>
      </w:r>
      <w:r w:rsidRPr="00DB7F92">
        <w:rPr>
          <w:spacing w:val="4"/>
        </w:rPr>
        <w:t xml:space="preserve"> </w:t>
      </w:r>
      <w:r w:rsidRPr="00DB7F92">
        <w:t>of</w:t>
      </w:r>
      <w:r w:rsidRPr="00DB7F92">
        <w:rPr>
          <w:spacing w:val="51"/>
        </w:rPr>
        <w:t xml:space="preserve"> </w:t>
      </w:r>
      <w:r w:rsidRPr="00DB7F92">
        <w:t>who</w:t>
      </w:r>
      <w:r w:rsidRPr="00DB7F92">
        <w:rPr>
          <w:spacing w:val="50"/>
        </w:rPr>
        <w:t xml:space="preserve"> </w:t>
      </w:r>
      <w:r w:rsidRPr="00DB7F92">
        <w:t>is</w:t>
      </w:r>
      <w:r w:rsidRPr="00DB7F92">
        <w:rPr>
          <w:spacing w:val="52"/>
        </w:rPr>
        <w:t xml:space="preserve"> </w:t>
      </w:r>
      <w:r w:rsidRPr="00DB7F92">
        <w:t>affected</w:t>
      </w:r>
      <w:r w:rsidRPr="00DB7F92">
        <w:rPr>
          <w:spacing w:val="50"/>
        </w:rPr>
        <w:t xml:space="preserve"> </w:t>
      </w:r>
      <w:r w:rsidRPr="00DB7F92">
        <w:t>and</w:t>
      </w:r>
      <w:r w:rsidRPr="00DB7F92">
        <w:rPr>
          <w:spacing w:val="50"/>
        </w:rPr>
        <w:t xml:space="preserve"> </w:t>
      </w:r>
      <w:r w:rsidRPr="00DB7F92">
        <w:t>how.</w:t>
      </w:r>
      <w:r w:rsidRPr="00DB7F92">
        <w:rPr>
          <w:spacing w:val="37"/>
        </w:rPr>
        <w:t xml:space="preserve"> </w:t>
      </w:r>
      <w:r w:rsidRPr="00DB7F92">
        <w:t>Statements</w:t>
      </w:r>
      <w:r w:rsidRPr="00DB7F92">
        <w:rPr>
          <w:spacing w:val="52"/>
        </w:rPr>
        <w:t xml:space="preserve"> </w:t>
      </w:r>
      <w:r w:rsidRPr="00DB7F92">
        <w:t>of</w:t>
      </w:r>
      <w:r w:rsidRPr="00DB7F92">
        <w:rPr>
          <w:spacing w:val="50"/>
        </w:rPr>
        <w:t xml:space="preserve"> </w:t>
      </w:r>
      <w:r w:rsidRPr="00DB7F92">
        <w:t>impact</w:t>
      </w:r>
      <w:r w:rsidRPr="00DB7F92">
        <w:rPr>
          <w:spacing w:val="52"/>
        </w:rPr>
        <w:t xml:space="preserve"> </w:t>
      </w:r>
      <w:r w:rsidRPr="00DB7F92">
        <w:t>need</w:t>
      </w:r>
      <w:r w:rsidRPr="00DB7F92">
        <w:rPr>
          <w:spacing w:val="50"/>
        </w:rPr>
        <w:t xml:space="preserve"> </w:t>
      </w:r>
      <w:r w:rsidRPr="00DB7F92">
        <w:t>to</w:t>
      </w:r>
      <w:r w:rsidRPr="00DB7F92">
        <w:rPr>
          <w:spacing w:val="50"/>
        </w:rPr>
        <w:t xml:space="preserve"> </w:t>
      </w:r>
      <w:r w:rsidRPr="00DB7F92">
        <w:t>be</w:t>
      </w:r>
      <w:r w:rsidRPr="00DB7F92">
        <w:rPr>
          <w:spacing w:val="35"/>
          <w:w w:val="99"/>
        </w:rPr>
        <w:t xml:space="preserve"> </w:t>
      </w:r>
      <w:r w:rsidRPr="00DB7F92">
        <w:t>supported</w:t>
      </w:r>
      <w:r w:rsidRPr="00DB7F92">
        <w:rPr>
          <w:spacing w:val="-8"/>
        </w:rPr>
        <w:t xml:space="preserve"> </w:t>
      </w:r>
      <w:r w:rsidRPr="00DB7F92">
        <w:t>by</w:t>
      </w:r>
      <w:r w:rsidRPr="00DB7F92">
        <w:rPr>
          <w:spacing w:val="-8"/>
        </w:rPr>
        <w:t xml:space="preserve"> </w:t>
      </w:r>
      <w:r w:rsidRPr="00DB7F92">
        <w:t>evidence</w:t>
      </w:r>
      <w:r w:rsidRPr="00DB7F92">
        <w:rPr>
          <w:spacing w:val="-8"/>
        </w:rPr>
        <w:t xml:space="preserve"> </w:t>
      </w:r>
      <w:r w:rsidRPr="00DB7F92">
        <w:t>where</w:t>
      </w:r>
      <w:r w:rsidRPr="00DB7F92">
        <w:rPr>
          <w:spacing w:val="-9"/>
        </w:rPr>
        <w:t xml:space="preserve"> </w:t>
      </w:r>
      <w:r w:rsidRPr="00DB7F92">
        <w:t>possible.</w:t>
      </w:r>
    </w:p>
    <w:p w14:paraId="0239E600" w14:textId="77777777" w:rsidR="00DB7F92" w:rsidRPr="00DB7F92" w:rsidRDefault="00DB7F92" w:rsidP="00A553BA">
      <w:pPr>
        <w:pStyle w:val="Heading4"/>
        <w:spacing w:before="0"/>
      </w:pPr>
      <w:r w:rsidRPr="00DB7F92">
        <w:t>If</w:t>
      </w:r>
      <w:r w:rsidRPr="00DB7F92">
        <w:rPr>
          <w:spacing w:val="15"/>
        </w:rPr>
        <w:t xml:space="preserve"> </w:t>
      </w:r>
      <w:r w:rsidRPr="00DB7F92">
        <w:t>a</w:t>
      </w:r>
      <w:r w:rsidRPr="00DB7F92">
        <w:rPr>
          <w:spacing w:val="18"/>
        </w:rPr>
        <w:t xml:space="preserve"> </w:t>
      </w:r>
      <w:r w:rsidRPr="00DB7F92">
        <w:t>decision</w:t>
      </w:r>
      <w:r w:rsidRPr="00DB7F92">
        <w:rPr>
          <w:spacing w:val="18"/>
        </w:rPr>
        <w:t xml:space="preserve"> </w:t>
      </w:r>
      <w:r w:rsidRPr="00DB7F92">
        <w:t>is</w:t>
      </w:r>
      <w:r w:rsidRPr="00DB7F92">
        <w:rPr>
          <w:spacing w:val="17"/>
        </w:rPr>
        <w:t xml:space="preserve"> </w:t>
      </w:r>
      <w:r w:rsidRPr="00DB7F92">
        <w:t>made</w:t>
      </w:r>
      <w:r w:rsidRPr="00DB7F92">
        <w:rPr>
          <w:spacing w:val="16"/>
        </w:rPr>
        <w:t xml:space="preserve"> </w:t>
      </w:r>
      <w:r w:rsidRPr="00DB7F92">
        <w:t>that</w:t>
      </w:r>
      <w:r w:rsidRPr="00DB7F92">
        <w:rPr>
          <w:spacing w:val="17"/>
        </w:rPr>
        <w:t xml:space="preserve"> </w:t>
      </w:r>
      <w:r w:rsidRPr="00DB7F92">
        <w:t>will</w:t>
      </w:r>
      <w:r w:rsidRPr="00DB7F92">
        <w:rPr>
          <w:spacing w:val="18"/>
        </w:rPr>
        <w:t xml:space="preserve"> </w:t>
      </w:r>
      <w:r w:rsidRPr="00DB7F92">
        <w:t>impact</w:t>
      </w:r>
      <w:r w:rsidRPr="00DB7F92">
        <w:rPr>
          <w:spacing w:val="17"/>
        </w:rPr>
        <w:t xml:space="preserve"> </w:t>
      </w:r>
      <w:r w:rsidRPr="00DB7F92">
        <w:t>negatively</w:t>
      </w:r>
      <w:r w:rsidRPr="00DB7F92">
        <w:rPr>
          <w:spacing w:val="18"/>
        </w:rPr>
        <w:t xml:space="preserve"> </w:t>
      </w:r>
      <w:r w:rsidRPr="00DB7F92">
        <w:t>on</w:t>
      </w:r>
      <w:r w:rsidRPr="00DB7F92">
        <w:rPr>
          <w:spacing w:val="18"/>
        </w:rPr>
        <w:t xml:space="preserve"> </w:t>
      </w:r>
      <w:r w:rsidRPr="00DB7F92">
        <w:t>a</w:t>
      </w:r>
      <w:r w:rsidRPr="00DB7F92">
        <w:rPr>
          <w:spacing w:val="18"/>
        </w:rPr>
        <w:t xml:space="preserve"> </w:t>
      </w:r>
      <w:r w:rsidRPr="00DB7F92">
        <w:t>protected</w:t>
      </w:r>
      <w:r w:rsidRPr="00DB7F92">
        <w:rPr>
          <w:spacing w:val="58"/>
          <w:w w:val="99"/>
        </w:rPr>
        <w:t xml:space="preserve"> </w:t>
      </w:r>
      <w:r w:rsidRPr="00DB7F92">
        <w:t>group,</w:t>
      </w:r>
      <w:r w:rsidRPr="00DB7F92">
        <w:rPr>
          <w:spacing w:val="14"/>
        </w:rPr>
        <w:t xml:space="preserve"> </w:t>
      </w:r>
      <w:r w:rsidRPr="00DB7F92">
        <w:t>that</w:t>
      </w:r>
      <w:r w:rsidRPr="00DB7F92">
        <w:rPr>
          <w:spacing w:val="15"/>
        </w:rPr>
        <w:t xml:space="preserve"> </w:t>
      </w:r>
      <w:r w:rsidRPr="00DB7F92">
        <w:t>should</w:t>
      </w:r>
      <w:r w:rsidRPr="00DB7F92">
        <w:rPr>
          <w:spacing w:val="13"/>
        </w:rPr>
        <w:t xml:space="preserve"> </w:t>
      </w:r>
      <w:r w:rsidRPr="00DB7F92">
        <w:t>be</w:t>
      </w:r>
      <w:r w:rsidRPr="00DB7F92">
        <w:rPr>
          <w:spacing w:val="14"/>
        </w:rPr>
        <w:t xml:space="preserve"> </w:t>
      </w:r>
      <w:r w:rsidRPr="00DB7F92">
        <w:t>acknowledged</w:t>
      </w:r>
      <w:r w:rsidRPr="00DB7F92">
        <w:rPr>
          <w:spacing w:val="13"/>
        </w:rPr>
        <w:t xml:space="preserve"> </w:t>
      </w:r>
      <w:r w:rsidRPr="00DB7F92">
        <w:t>and</w:t>
      </w:r>
      <w:r w:rsidRPr="00DB7F92">
        <w:rPr>
          <w:spacing w:val="13"/>
        </w:rPr>
        <w:t xml:space="preserve"> </w:t>
      </w:r>
      <w:r w:rsidRPr="00DB7F92">
        <w:t>the</w:t>
      </w:r>
      <w:r w:rsidRPr="00DB7F92">
        <w:rPr>
          <w:spacing w:val="14"/>
        </w:rPr>
        <w:t xml:space="preserve"> </w:t>
      </w:r>
      <w:r w:rsidRPr="00DB7F92">
        <w:t>rationale</w:t>
      </w:r>
      <w:r w:rsidRPr="00DB7F92">
        <w:rPr>
          <w:spacing w:val="51"/>
          <w:w w:val="99"/>
        </w:rPr>
        <w:t xml:space="preserve"> </w:t>
      </w:r>
      <w:r w:rsidRPr="00DB7F92">
        <w:t>explained.</w:t>
      </w:r>
    </w:p>
    <w:p w14:paraId="02393A5D" w14:textId="77777777" w:rsidR="00DB7F92" w:rsidRPr="00DB7F92" w:rsidRDefault="00DB7F92" w:rsidP="00A553BA">
      <w:pPr>
        <w:pStyle w:val="Heading4"/>
        <w:spacing w:before="0"/>
      </w:pPr>
      <w:r w:rsidRPr="00DB7F92">
        <w:t>There</w:t>
      </w:r>
      <w:r w:rsidRPr="00DB7F92">
        <w:rPr>
          <w:spacing w:val="-4"/>
        </w:rPr>
        <w:t xml:space="preserve"> </w:t>
      </w:r>
      <w:r w:rsidRPr="00DB7F92">
        <w:t>should</w:t>
      </w:r>
      <w:r w:rsidRPr="00DB7F92">
        <w:rPr>
          <w:spacing w:val="-2"/>
        </w:rPr>
        <w:t xml:space="preserve"> </w:t>
      </w:r>
      <w:r w:rsidRPr="00DB7F92">
        <w:t>be</w:t>
      </w:r>
      <w:r w:rsidRPr="00DB7F92">
        <w:rPr>
          <w:spacing w:val="-3"/>
        </w:rPr>
        <w:t xml:space="preserve"> </w:t>
      </w:r>
      <w:r w:rsidRPr="00DB7F92">
        <w:t>a detailed</w:t>
      </w:r>
      <w:r w:rsidRPr="00DB7F92">
        <w:rPr>
          <w:spacing w:val="-2"/>
        </w:rPr>
        <w:t xml:space="preserve"> </w:t>
      </w:r>
      <w:r w:rsidRPr="00DB7F92">
        <w:t>consideration</w:t>
      </w:r>
      <w:r w:rsidRPr="00DB7F92">
        <w:rPr>
          <w:spacing w:val="-2"/>
        </w:rPr>
        <w:t xml:space="preserve"> </w:t>
      </w:r>
      <w:r w:rsidRPr="00DB7F92">
        <w:t>as</w:t>
      </w:r>
      <w:r w:rsidRPr="00DB7F92">
        <w:rPr>
          <w:spacing w:val="-2"/>
        </w:rPr>
        <w:t xml:space="preserve"> </w:t>
      </w:r>
      <w:r w:rsidRPr="00DB7F92">
        <w:t>to how</w:t>
      </w:r>
      <w:r w:rsidRPr="00DB7F92">
        <w:rPr>
          <w:spacing w:val="-3"/>
        </w:rPr>
        <w:t xml:space="preserve"> </w:t>
      </w:r>
      <w:r w:rsidRPr="00DB7F92">
        <w:t>any</w:t>
      </w:r>
      <w:r w:rsidRPr="00DB7F92">
        <w:rPr>
          <w:spacing w:val="-3"/>
        </w:rPr>
        <w:t xml:space="preserve"> </w:t>
      </w:r>
      <w:r w:rsidRPr="00DB7F92">
        <w:t>negative</w:t>
      </w:r>
      <w:r w:rsidRPr="00DB7F92">
        <w:rPr>
          <w:spacing w:val="51"/>
          <w:w w:val="99"/>
        </w:rPr>
        <w:t xml:space="preserve"> </w:t>
      </w:r>
      <w:r w:rsidRPr="00DB7F92">
        <w:t>impact</w:t>
      </w:r>
      <w:r w:rsidRPr="00DB7F92">
        <w:rPr>
          <w:spacing w:val="1"/>
        </w:rPr>
        <w:t xml:space="preserve"> </w:t>
      </w:r>
      <w:r w:rsidRPr="00DB7F92">
        <w:t>of the decision could</w:t>
      </w:r>
      <w:r w:rsidRPr="00DB7F92">
        <w:rPr>
          <w:spacing w:val="2"/>
        </w:rPr>
        <w:t xml:space="preserve"> </w:t>
      </w:r>
      <w:r w:rsidRPr="00DB7F92">
        <w:t>be mitigated.</w:t>
      </w:r>
      <w:r w:rsidRPr="00DB7F92">
        <w:rPr>
          <w:spacing w:val="1"/>
        </w:rPr>
        <w:t xml:space="preserve"> </w:t>
      </w:r>
      <w:r w:rsidRPr="00DB7F92">
        <w:t>If the steps</w:t>
      </w:r>
      <w:r w:rsidRPr="00DB7F92">
        <w:rPr>
          <w:spacing w:val="1"/>
        </w:rPr>
        <w:t xml:space="preserve"> </w:t>
      </w:r>
      <w:r w:rsidRPr="00DB7F92">
        <w:t>identified</w:t>
      </w:r>
      <w:r w:rsidRPr="00DB7F92">
        <w:rPr>
          <w:spacing w:val="57"/>
        </w:rPr>
        <w:t xml:space="preserve"> </w:t>
      </w:r>
      <w:r w:rsidRPr="00DB7F92">
        <w:t>are</w:t>
      </w:r>
      <w:r w:rsidRPr="00DB7F92">
        <w:rPr>
          <w:spacing w:val="-7"/>
        </w:rPr>
        <w:t xml:space="preserve"> </w:t>
      </w:r>
      <w:r w:rsidRPr="00DB7F92">
        <w:t>not</w:t>
      </w:r>
      <w:r w:rsidRPr="00DB7F92">
        <w:rPr>
          <w:spacing w:val="-4"/>
        </w:rPr>
        <w:t xml:space="preserve"> </w:t>
      </w:r>
      <w:r w:rsidRPr="00DB7F92">
        <w:t>practicable,</w:t>
      </w:r>
      <w:r w:rsidRPr="00DB7F92">
        <w:rPr>
          <w:spacing w:val="-6"/>
        </w:rPr>
        <w:t xml:space="preserve"> </w:t>
      </w:r>
      <w:r w:rsidRPr="00DB7F92">
        <w:t>this</w:t>
      </w:r>
      <w:r w:rsidRPr="00DB7F92">
        <w:rPr>
          <w:spacing w:val="-3"/>
        </w:rPr>
        <w:t xml:space="preserve"> </w:t>
      </w:r>
      <w:r w:rsidRPr="00DB7F92">
        <w:t>should</w:t>
      </w:r>
      <w:r w:rsidRPr="00DB7F92">
        <w:rPr>
          <w:spacing w:val="-5"/>
        </w:rPr>
        <w:t xml:space="preserve"> </w:t>
      </w:r>
      <w:r w:rsidRPr="00DB7F92">
        <w:t>be</w:t>
      </w:r>
      <w:r w:rsidRPr="00DB7F92">
        <w:rPr>
          <w:spacing w:val="-4"/>
        </w:rPr>
        <w:t xml:space="preserve"> </w:t>
      </w:r>
      <w:r w:rsidRPr="00DB7F92">
        <w:t>explained.</w:t>
      </w:r>
    </w:p>
    <w:p w14:paraId="6880A347" w14:textId="77777777" w:rsidR="00DB7F92" w:rsidRPr="00DB7F92" w:rsidRDefault="00DB7F92" w:rsidP="00A553BA">
      <w:pPr>
        <w:pStyle w:val="Heading4"/>
        <w:spacing w:before="0"/>
      </w:pPr>
      <w:r w:rsidRPr="00DB7F92">
        <w:t>The duty must be complied with at the time of the decision. After the event reasoning is rarely allowed so a record should be made at the time about how equalities issues were considered.</w:t>
      </w:r>
    </w:p>
    <w:p w14:paraId="2A04D30D" w14:textId="135AA0F4" w:rsidR="00DB7F92" w:rsidRPr="00517130" w:rsidRDefault="00DB7F92" w:rsidP="006D10D1">
      <w:pPr>
        <w:pStyle w:val="Heading3"/>
      </w:pPr>
      <w:r w:rsidRPr="00517130">
        <w:t xml:space="preserve">Further guidance on the PSED can be found on NHS England’s Equality and Health Inequalities Unit has a Resource Hub with information which can be found here: </w:t>
      </w:r>
      <w:hyperlink r:id="rId33" w:history="1">
        <w:r w:rsidRPr="00517130">
          <w:rPr>
            <w:color w:val="0000FF"/>
            <w:u w:val="single"/>
          </w:rPr>
          <w:t>https://www.england.nhs.uk/about/equality/equality-hub/</w:t>
        </w:r>
      </w:hyperlink>
      <w:r w:rsidRPr="00517130">
        <w:rPr>
          <w:u w:val="single"/>
        </w:rPr>
        <w:t>.</w:t>
      </w:r>
      <w:r w:rsidRPr="00517130">
        <w:t xml:space="preserve">  </w:t>
      </w:r>
      <w:r w:rsidR="00517130" w:rsidRPr="00517130">
        <w:t>Additionally</w:t>
      </w:r>
      <w:r w:rsidR="00517130">
        <w:t xml:space="preserve">, the Equality and Human Rights Commission publish a wealth of information here: </w:t>
      </w:r>
      <w:hyperlink r:id="rId34" w:history="1">
        <w:r w:rsidR="00517130" w:rsidRPr="00E25D27">
          <w:rPr>
            <w:rStyle w:val="Hyperlink"/>
          </w:rPr>
          <w:t>https://www.equalityhumanrights.com/en</w:t>
        </w:r>
      </w:hyperlink>
      <w:r w:rsidR="00517130">
        <w:t xml:space="preserve"> </w:t>
      </w:r>
    </w:p>
    <w:p w14:paraId="4F9756E9" w14:textId="3BBC3974" w:rsidR="00096561" w:rsidRPr="00096561" w:rsidRDefault="00DB7F92" w:rsidP="00096561">
      <w:pPr>
        <w:pStyle w:val="Heading4"/>
        <w:spacing w:before="0"/>
        <w:rPr>
          <w:color w:val="0000FF"/>
          <w:sz w:val="20"/>
          <w:szCs w:val="20"/>
          <w:u w:val="single"/>
        </w:rPr>
      </w:pPr>
      <w:r w:rsidRPr="002D119A">
        <w:t xml:space="preserve">Guidance on the PSED can also be found on the EHRC's website: </w:t>
      </w:r>
      <w:hyperlink r:id="rId35" w:history="1">
        <w:r w:rsidRPr="00137449">
          <w:rPr>
            <w:color w:val="0000FF"/>
            <w:u w:val="single"/>
          </w:rPr>
          <w:t>https://www.equalityhumanrights.com/en/advice-and-guidance/public-sector-equality-duty</w:t>
        </w:r>
      </w:hyperlink>
      <w:r w:rsidRPr="00137449">
        <w:rPr>
          <w:color w:val="0000FF"/>
          <w:sz w:val="20"/>
          <w:szCs w:val="20"/>
          <w:u w:val="single"/>
        </w:rPr>
        <w:t xml:space="preserve">. </w:t>
      </w:r>
    </w:p>
    <w:p w14:paraId="1886F916" w14:textId="77777777" w:rsidR="00DB7F92" w:rsidRPr="00DB7F92" w:rsidRDefault="00DB7F92" w:rsidP="00DB7F92">
      <w:pPr>
        <w:ind w:left="1276"/>
        <w:contextualSpacing/>
        <w:jc w:val="both"/>
      </w:pPr>
    </w:p>
    <w:p w14:paraId="0D0E8C39" w14:textId="77777777" w:rsidR="00DB7F92" w:rsidRPr="006B14E9" w:rsidRDefault="00DB7F92" w:rsidP="006B14E9">
      <w:pPr>
        <w:rPr>
          <w:rFonts w:eastAsiaTheme="majorEastAsia"/>
          <w:i/>
          <w:sz w:val="28"/>
        </w:rPr>
      </w:pPr>
      <w:r w:rsidRPr="006B14E9">
        <w:rPr>
          <w:rFonts w:eastAsiaTheme="majorEastAsia"/>
          <w:i/>
          <w:sz w:val="28"/>
        </w:rPr>
        <w:t xml:space="preserve">THE EQUALITY ACT 2010 SPECIFIC DUTIES </w:t>
      </w:r>
    </w:p>
    <w:p w14:paraId="7FB3FA5F" w14:textId="77777777" w:rsidR="002D119A" w:rsidRPr="00A553BA" w:rsidRDefault="002D119A" w:rsidP="00A553BA">
      <w:pPr>
        <w:rPr>
          <w:rFonts w:eastAsiaTheme="majorEastAsia"/>
        </w:rPr>
      </w:pPr>
    </w:p>
    <w:p w14:paraId="02262846" w14:textId="3E437E6C" w:rsidR="00DB7F92" w:rsidRPr="00DB7F92" w:rsidRDefault="00DB7F92" w:rsidP="00DD5D2D">
      <w:pPr>
        <w:pStyle w:val="Heading3"/>
        <w:jc w:val="both"/>
        <w:rPr>
          <w:lang w:eastAsia="en-GB"/>
        </w:rPr>
      </w:pPr>
      <w:r w:rsidRPr="00DB7F92">
        <w:rPr>
          <w:lang w:eastAsia="en-GB"/>
        </w:rPr>
        <w:t xml:space="preserve">In addition to the PSED NHS England and </w:t>
      </w:r>
      <w:r w:rsidR="00B83042">
        <w:rPr>
          <w:lang w:eastAsia="en-GB"/>
        </w:rPr>
        <w:t>CCGs/ICBs</w:t>
      </w:r>
      <w:r w:rsidR="008B199F">
        <w:rPr>
          <w:lang w:eastAsia="en-GB"/>
        </w:rPr>
        <w:t xml:space="preserve"> </w:t>
      </w:r>
      <w:r w:rsidRPr="00DB7F92">
        <w:rPr>
          <w:lang w:eastAsia="en-GB"/>
        </w:rPr>
        <w:t>are also required to comply with the specific duties contained in the Equality Act 2010 (Specific Duties and Public Authorities) Regulations 2017</w:t>
      </w:r>
      <w:r w:rsidRPr="00DB7F92">
        <w:rPr>
          <w:iCs/>
          <w:lang w:eastAsia="en-GB"/>
        </w:rPr>
        <w:t xml:space="preserve">. </w:t>
      </w:r>
    </w:p>
    <w:p w14:paraId="0CE3B670" w14:textId="77777777" w:rsidR="00DB7F92" w:rsidRPr="00DB7F92" w:rsidRDefault="00DB7F92" w:rsidP="00DD5D2D">
      <w:pPr>
        <w:pStyle w:val="Heading3"/>
        <w:jc w:val="both"/>
        <w:rPr>
          <w:lang w:eastAsia="en-GB"/>
        </w:rPr>
      </w:pPr>
      <w:r w:rsidRPr="00DB7F92">
        <w:rPr>
          <w:iCs/>
          <w:lang w:eastAsia="en-GB"/>
        </w:rPr>
        <w:t>The 2017 Regulations came into force on 31 March 2017. The 2017 Regulations replace the first set of specific duty regulations made in 2011.</w:t>
      </w:r>
    </w:p>
    <w:p w14:paraId="16DA923A" w14:textId="77777777" w:rsidR="00DB7F92" w:rsidRPr="00DB7F92" w:rsidRDefault="00DB7F92" w:rsidP="00DD5D2D">
      <w:pPr>
        <w:pStyle w:val="Heading3"/>
        <w:jc w:val="both"/>
        <w:rPr>
          <w:iCs/>
          <w:lang w:eastAsia="en-GB"/>
        </w:rPr>
      </w:pPr>
      <w:r w:rsidRPr="00DB7F92">
        <w:rPr>
          <w:iCs/>
          <w:lang w:eastAsia="en-GB"/>
        </w:rPr>
        <w:t xml:space="preserve">The 2017 Regulations among other things require commissioners to publish: </w:t>
      </w:r>
    </w:p>
    <w:p w14:paraId="5A2873A1" w14:textId="384D36D2" w:rsidR="00DB7F92" w:rsidRDefault="00DB7F92" w:rsidP="002D119A">
      <w:pPr>
        <w:pStyle w:val="Heading4"/>
        <w:numPr>
          <w:ilvl w:val="0"/>
          <w:numId w:val="0"/>
        </w:numPr>
        <w:ind w:left="720"/>
        <w:rPr>
          <w:i/>
        </w:rPr>
      </w:pPr>
      <w:r w:rsidRPr="002D119A">
        <w:rPr>
          <w:i/>
        </w:rPr>
        <w:t xml:space="preserve">equality objectives that should be achieved to comply with the PSED (Regulation 5).  This has to be done by 30 March 2018 and the objectives need to be updated once every four years.  Details of NHS England's equality objectives have been published on the Resource Hub: </w:t>
      </w:r>
      <w:hyperlink r:id="rId36" w:history="1">
        <w:r w:rsidRPr="00137449">
          <w:rPr>
            <w:i/>
            <w:color w:val="0000FF"/>
            <w:u w:val="single"/>
          </w:rPr>
          <w:t>https://www.england.nhs.uk/about/equality/equality-hub/</w:t>
        </w:r>
      </w:hyperlink>
      <w:r w:rsidRPr="002D119A">
        <w:rPr>
          <w:i/>
        </w:rPr>
        <w:t>.  Co-commissioners should ensure that they are familiar with NHS England's equality objectives.</w:t>
      </w:r>
    </w:p>
    <w:p w14:paraId="203E0478" w14:textId="77777777" w:rsidR="002D119A" w:rsidRPr="002D119A" w:rsidRDefault="002D119A" w:rsidP="002D119A">
      <w:pPr>
        <w:rPr>
          <w:lang w:eastAsia="en-GB"/>
        </w:rPr>
      </w:pPr>
    </w:p>
    <w:p w14:paraId="7A5EC544" w14:textId="77777777" w:rsidR="00DB7F92" w:rsidRPr="00DB7F92" w:rsidRDefault="00DB7F92" w:rsidP="00DD5D2D">
      <w:pPr>
        <w:pStyle w:val="Heading3"/>
        <w:jc w:val="both"/>
        <w:rPr>
          <w:lang w:eastAsia="en-GB"/>
        </w:rPr>
      </w:pPr>
      <w:r w:rsidRPr="00DB7F92">
        <w:rPr>
          <w:lang w:eastAsia="en-GB"/>
        </w:rPr>
        <w:t xml:space="preserve">The Equality and Human Rights Commission can, under sections 31 and 32 of the Equality Act 2006, investigate and enforce a failure to comply with the PSED or the specific duties. Alternatively, a failure to comply with the general and specific duties could be challenged by way of judicial review. Such a claim could be brought by a person or group directly affected by a failure to comply with these duties. </w:t>
      </w:r>
    </w:p>
    <w:p w14:paraId="20C2BC37" w14:textId="19036472" w:rsidR="00DB7F92" w:rsidRPr="00023576" w:rsidRDefault="00DB7F92" w:rsidP="00825050">
      <w:pPr>
        <w:widowControl w:val="0"/>
        <w:numPr>
          <w:ilvl w:val="0"/>
          <w:numId w:val="54"/>
        </w:numPr>
        <w:tabs>
          <w:tab w:val="left" w:pos="1179"/>
        </w:tabs>
        <w:spacing w:before="211"/>
        <w:ind w:right="156"/>
        <w:jc w:val="both"/>
        <w:rPr>
          <w:rFonts w:eastAsiaTheme="majorEastAsia" w:cs="Arial"/>
          <w:b/>
          <w:bCs w:val="0"/>
          <w:i/>
          <w:iCs/>
          <w:color w:val="003087" w:themeColor="accent1"/>
          <w:spacing w:val="-1"/>
          <w:sz w:val="28"/>
          <w:szCs w:val="28"/>
        </w:rPr>
      </w:pPr>
      <w:r w:rsidRPr="00023576">
        <w:rPr>
          <w:rFonts w:eastAsiaTheme="majorEastAsia" w:cs="Arial"/>
          <w:b/>
          <w:bCs w:val="0"/>
          <w:i/>
          <w:iCs/>
          <w:color w:val="003087" w:themeColor="accent1"/>
          <w:spacing w:val="-1"/>
          <w:sz w:val="28"/>
          <w:szCs w:val="28"/>
        </w:rPr>
        <w:t>Health Inequalities duties</w:t>
      </w:r>
      <w:r w:rsidR="00023576" w:rsidRPr="00023576">
        <w:rPr>
          <w:rFonts w:eastAsiaTheme="majorEastAsia" w:cs="Arial"/>
          <w:b/>
          <w:bCs w:val="0"/>
          <w:i/>
          <w:iCs/>
          <w:color w:val="003087" w:themeColor="accent1"/>
          <w:spacing w:val="-1"/>
          <w:sz w:val="28"/>
          <w:szCs w:val="28"/>
        </w:rPr>
        <w:t xml:space="preserve"> and </w:t>
      </w:r>
      <w:r w:rsidR="00023576">
        <w:rPr>
          <w:rFonts w:eastAsiaTheme="majorEastAsia" w:cs="Arial"/>
          <w:b/>
          <w:bCs w:val="0"/>
          <w:i/>
          <w:iCs/>
          <w:color w:val="003087" w:themeColor="accent1"/>
          <w:spacing w:val="-1"/>
          <w:sz w:val="28"/>
          <w:szCs w:val="28"/>
        </w:rPr>
        <w:t xml:space="preserve">the </w:t>
      </w:r>
      <w:r w:rsidR="00023576" w:rsidRPr="00023576">
        <w:rPr>
          <w:rFonts w:eastAsiaTheme="majorEastAsia" w:cs="Arial"/>
          <w:b/>
          <w:bCs w:val="0"/>
          <w:i/>
          <w:iCs/>
          <w:color w:val="003087" w:themeColor="accent1"/>
          <w:spacing w:val="-1"/>
          <w:sz w:val="28"/>
          <w:szCs w:val="28"/>
        </w:rPr>
        <w:t>NHS Act 2006 (as amended by the Health and Social Care Act 2012)</w:t>
      </w:r>
    </w:p>
    <w:p w14:paraId="063E2120" w14:textId="77777777" w:rsidR="002D119A" w:rsidRPr="00DB7F92" w:rsidRDefault="002D119A" w:rsidP="002D119A">
      <w:pPr>
        <w:widowControl w:val="0"/>
        <w:tabs>
          <w:tab w:val="left" w:pos="1179"/>
        </w:tabs>
        <w:spacing w:before="211"/>
        <w:ind w:left="1198" w:right="156"/>
        <w:jc w:val="both"/>
        <w:rPr>
          <w:rFonts w:cs="Arial"/>
          <w:b/>
          <w:bCs w:val="0"/>
          <w:sz w:val="20"/>
          <w:szCs w:val="20"/>
          <w:lang w:eastAsia="en-GB"/>
        </w:rPr>
      </w:pPr>
    </w:p>
    <w:p w14:paraId="69BB3CDB" w14:textId="6CB4419E" w:rsidR="00DB7F92" w:rsidRPr="00DB7F92" w:rsidRDefault="00DB7F92" w:rsidP="00DD5D2D">
      <w:pPr>
        <w:pStyle w:val="Heading3"/>
        <w:jc w:val="both"/>
        <w:rPr>
          <w:lang w:eastAsia="en-GB"/>
        </w:rPr>
      </w:pPr>
      <w:r w:rsidRPr="00DB7F92">
        <w:rPr>
          <w:lang w:eastAsia="en-GB"/>
        </w:rPr>
        <w:t>Under the Health and Social Care Act 2012, commissioners are required to have</w:t>
      </w:r>
      <w:r w:rsidRPr="00DB7F92">
        <w:rPr>
          <w:spacing w:val="-4"/>
          <w:lang w:eastAsia="en-GB"/>
        </w:rPr>
        <w:t xml:space="preserve"> </w:t>
      </w:r>
      <w:r w:rsidRPr="00DB7F92">
        <w:rPr>
          <w:spacing w:val="-1"/>
          <w:lang w:eastAsia="en-GB"/>
        </w:rPr>
        <w:t>regard</w:t>
      </w:r>
      <w:r w:rsidRPr="00DB7F92">
        <w:rPr>
          <w:spacing w:val="-4"/>
          <w:lang w:eastAsia="en-GB"/>
        </w:rPr>
        <w:t xml:space="preserve"> </w:t>
      </w:r>
      <w:r w:rsidRPr="00DB7F92">
        <w:rPr>
          <w:lang w:eastAsia="en-GB"/>
        </w:rPr>
        <w:t>to</w:t>
      </w:r>
      <w:r w:rsidRPr="00DB7F92">
        <w:rPr>
          <w:spacing w:val="-6"/>
          <w:lang w:eastAsia="en-GB"/>
        </w:rPr>
        <w:t xml:space="preserve"> </w:t>
      </w:r>
      <w:r w:rsidRPr="00DB7F92">
        <w:rPr>
          <w:lang w:eastAsia="en-GB"/>
        </w:rPr>
        <w:t>the</w:t>
      </w:r>
      <w:r w:rsidRPr="00DB7F92">
        <w:rPr>
          <w:spacing w:val="-5"/>
          <w:lang w:eastAsia="en-GB"/>
        </w:rPr>
        <w:t xml:space="preserve"> </w:t>
      </w:r>
      <w:r w:rsidRPr="00DB7F92">
        <w:rPr>
          <w:spacing w:val="-1"/>
          <w:lang w:eastAsia="en-GB"/>
        </w:rPr>
        <w:t>need</w:t>
      </w:r>
      <w:r w:rsidRPr="00DB7F92">
        <w:rPr>
          <w:spacing w:val="-4"/>
          <w:lang w:eastAsia="en-GB"/>
        </w:rPr>
        <w:t xml:space="preserve"> </w:t>
      </w:r>
      <w:r w:rsidRPr="00DB7F92">
        <w:rPr>
          <w:spacing w:val="-1"/>
          <w:lang w:eastAsia="en-GB"/>
        </w:rPr>
        <w:t>to:</w:t>
      </w:r>
    </w:p>
    <w:p w14:paraId="4F1A8436" w14:textId="77777777" w:rsidR="00DB7F92" w:rsidRPr="002D119A" w:rsidRDefault="00DB7F92" w:rsidP="006C3DF5">
      <w:pPr>
        <w:pStyle w:val="ListParagraph"/>
        <w:widowControl w:val="0"/>
        <w:numPr>
          <w:ilvl w:val="0"/>
          <w:numId w:val="75"/>
        </w:numPr>
        <w:tabs>
          <w:tab w:val="left" w:pos="2144"/>
        </w:tabs>
        <w:spacing w:before="120" w:after="120" w:line="360" w:lineRule="auto"/>
        <w:ind w:left="714" w:right="116" w:hanging="357"/>
        <w:jc w:val="both"/>
        <w:rPr>
          <w:rFonts w:cs="Arial"/>
          <w:bCs w:val="0"/>
          <w:szCs w:val="24"/>
          <w:lang w:eastAsia="en-GB"/>
        </w:rPr>
      </w:pPr>
      <w:r w:rsidRPr="002D119A">
        <w:rPr>
          <w:rFonts w:cs="Arial"/>
          <w:bCs w:val="0"/>
          <w:spacing w:val="-1"/>
          <w:szCs w:val="24"/>
          <w:lang w:eastAsia="en-GB"/>
        </w:rPr>
        <w:t>reduce</w:t>
      </w:r>
      <w:r w:rsidRPr="002D119A">
        <w:rPr>
          <w:rFonts w:cs="Arial"/>
          <w:bCs w:val="0"/>
          <w:spacing w:val="8"/>
          <w:szCs w:val="24"/>
          <w:lang w:eastAsia="en-GB"/>
        </w:rPr>
        <w:t xml:space="preserve"> </w:t>
      </w:r>
      <w:r w:rsidRPr="002D119A">
        <w:rPr>
          <w:rFonts w:cs="Arial"/>
          <w:bCs w:val="0"/>
          <w:spacing w:val="-1"/>
          <w:szCs w:val="24"/>
          <w:lang w:eastAsia="en-GB"/>
        </w:rPr>
        <w:t>inequalities</w:t>
      </w:r>
      <w:r w:rsidRPr="002D119A">
        <w:rPr>
          <w:rFonts w:cs="Arial"/>
          <w:bCs w:val="0"/>
          <w:spacing w:val="8"/>
          <w:szCs w:val="24"/>
          <w:lang w:eastAsia="en-GB"/>
        </w:rPr>
        <w:t xml:space="preserve"> </w:t>
      </w:r>
      <w:r w:rsidRPr="002D119A">
        <w:rPr>
          <w:rFonts w:cs="Arial"/>
          <w:bCs w:val="0"/>
          <w:spacing w:val="-1"/>
          <w:szCs w:val="24"/>
          <w:lang w:eastAsia="en-GB"/>
        </w:rPr>
        <w:t>between</w:t>
      </w:r>
      <w:r w:rsidRPr="002D119A">
        <w:rPr>
          <w:rFonts w:cs="Arial"/>
          <w:bCs w:val="0"/>
          <w:spacing w:val="8"/>
          <w:szCs w:val="24"/>
          <w:lang w:eastAsia="en-GB"/>
        </w:rPr>
        <w:t xml:space="preserve"> </w:t>
      </w:r>
      <w:r w:rsidRPr="002D119A">
        <w:rPr>
          <w:rFonts w:cs="Arial"/>
          <w:bCs w:val="0"/>
          <w:spacing w:val="-1"/>
          <w:szCs w:val="24"/>
          <w:lang w:eastAsia="en-GB"/>
        </w:rPr>
        <w:t>patients</w:t>
      </w:r>
      <w:r w:rsidRPr="002D119A">
        <w:rPr>
          <w:rFonts w:cs="Arial"/>
          <w:bCs w:val="0"/>
          <w:spacing w:val="8"/>
          <w:szCs w:val="24"/>
          <w:lang w:eastAsia="en-GB"/>
        </w:rPr>
        <w:t xml:space="preserve"> </w:t>
      </w:r>
      <w:r w:rsidRPr="002D119A">
        <w:rPr>
          <w:rFonts w:cs="Arial"/>
          <w:bCs w:val="0"/>
          <w:spacing w:val="-1"/>
          <w:szCs w:val="24"/>
          <w:lang w:eastAsia="en-GB"/>
        </w:rPr>
        <w:t>with</w:t>
      </w:r>
      <w:r w:rsidRPr="002D119A">
        <w:rPr>
          <w:rFonts w:cs="Arial"/>
          <w:bCs w:val="0"/>
          <w:spacing w:val="8"/>
          <w:szCs w:val="24"/>
          <w:lang w:eastAsia="en-GB"/>
        </w:rPr>
        <w:t xml:space="preserve"> </w:t>
      </w:r>
      <w:r w:rsidRPr="002D119A">
        <w:rPr>
          <w:rFonts w:cs="Arial"/>
          <w:bCs w:val="0"/>
          <w:spacing w:val="-1"/>
          <w:szCs w:val="24"/>
          <w:lang w:eastAsia="en-GB"/>
        </w:rPr>
        <w:t>respect</w:t>
      </w:r>
      <w:r w:rsidRPr="002D119A">
        <w:rPr>
          <w:rFonts w:cs="Arial"/>
          <w:bCs w:val="0"/>
          <w:spacing w:val="7"/>
          <w:szCs w:val="24"/>
          <w:lang w:eastAsia="en-GB"/>
        </w:rPr>
        <w:t xml:space="preserve"> </w:t>
      </w:r>
      <w:r w:rsidRPr="002D119A">
        <w:rPr>
          <w:rFonts w:cs="Arial"/>
          <w:bCs w:val="0"/>
          <w:szCs w:val="24"/>
          <w:lang w:eastAsia="en-GB"/>
        </w:rPr>
        <w:t>to</w:t>
      </w:r>
      <w:r w:rsidRPr="002D119A">
        <w:rPr>
          <w:rFonts w:cs="Arial"/>
          <w:bCs w:val="0"/>
          <w:spacing w:val="7"/>
          <w:szCs w:val="24"/>
          <w:lang w:eastAsia="en-GB"/>
        </w:rPr>
        <w:t xml:space="preserve"> </w:t>
      </w:r>
      <w:r w:rsidRPr="002D119A">
        <w:rPr>
          <w:rFonts w:cs="Arial"/>
          <w:bCs w:val="0"/>
          <w:spacing w:val="-1"/>
          <w:szCs w:val="24"/>
          <w:lang w:eastAsia="en-GB"/>
        </w:rPr>
        <w:t>their</w:t>
      </w:r>
      <w:r w:rsidRPr="002D119A">
        <w:rPr>
          <w:rFonts w:cs="Arial"/>
          <w:bCs w:val="0"/>
          <w:spacing w:val="7"/>
          <w:szCs w:val="24"/>
          <w:lang w:eastAsia="en-GB"/>
        </w:rPr>
        <w:t xml:space="preserve"> </w:t>
      </w:r>
      <w:r w:rsidRPr="002D119A">
        <w:rPr>
          <w:rFonts w:cs="Arial"/>
          <w:bCs w:val="0"/>
          <w:spacing w:val="-1"/>
          <w:szCs w:val="24"/>
          <w:lang w:eastAsia="en-GB"/>
        </w:rPr>
        <w:t>ability</w:t>
      </w:r>
      <w:r w:rsidRPr="002D119A">
        <w:rPr>
          <w:rFonts w:cs="Arial"/>
          <w:bCs w:val="0"/>
          <w:spacing w:val="71"/>
          <w:szCs w:val="24"/>
          <w:lang w:eastAsia="en-GB"/>
        </w:rPr>
        <w:t xml:space="preserve"> </w:t>
      </w:r>
      <w:r w:rsidRPr="002D119A">
        <w:rPr>
          <w:rFonts w:cs="Arial"/>
          <w:bCs w:val="0"/>
          <w:szCs w:val="24"/>
          <w:lang w:eastAsia="en-GB"/>
        </w:rPr>
        <w:t>to</w:t>
      </w:r>
      <w:r w:rsidRPr="002D119A">
        <w:rPr>
          <w:rFonts w:cs="Arial"/>
          <w:bCs w:val="0"/>
          <w:spacing w:val="-7"/>
          <w:szCs w:val="24"/>
          <w:lang w:eastAsia="en-GB"/>
        </w:rPr>
        <w:t xml:space="preserve"> </w:t>
      </w:r>
      <w:r w:rsidRPr="002D119A">
        <w:rPr>
          <w:rFonts w:cs="Arial"/>
          <w:bCs w:val="0"/>
          <w:spacing w:val="-1"/>
          <w:szCs w:val="24"/>
          <w:lang w:eastAsia="en-GB"/>
        </w:rPr>
        <w:t>access</w:t>
      </w:r>
      <w:r w:rsidRPr="002D119A">
        <w:rPr>
          <w:rFonts w:cs="Arial"/>
          <w:bCs w:val="0"/>
          <w:spacing w:val="-5"/>
          <w:szCs w:val="24"/>
          <w:lang w:eastAsia="en-GB"/>
        </w:rPr>
        <w:t xml:space="preserve"> </w:t>
      </w:r>
      <w:r w:rsidRPr="002D119A">
        <w:rPr>
          <w:rFonts w:cs="Arial"/>
          <w:bCs w:val="0"/>
          <w:spacing w:val="-1"/>
          <w:szCs w:val="24"/>
          <w:lang w:eastAsia="en-GB"/>
        </w:rPr>
        <w:t>health</w:t>
      </w:r>
      <w:r w:rsidRPr="002D119A">
        <w:rPr>
          <w:rFonts w:cs="Arial"/>
          <w:bCs w:val="0"/>
          <w:spacing w:val="-6"/>
          <w:szCs w:val="24"/>
          <w:lang w:eastAsia="en-GB"/>
        </w:rPr>
        <w:t xml:space="preserve"> </w:t>
      </w:r>
      <w:r w:rsidRPr="002D119A">
        <w:rPr>
          <w:rFonts w:cs="Arial"/>
          <w:bCs w:val="0"/>
          <w:szCs w:val="24"/>
          <w:lang w:eastAsia="en-GB"/>
        </w:rPr>
        <w:t>services,</w:t>
      </w:r>
      <w:r w:rsidRPr="002D119A">
        <w:rPr>
          <w:rFonts w:cs="Arial"/>
          <w:bCs w:val="0"/>
          <w:spacing w:val="-6"/>
          <w:szCs w:val="24"/>
          <w:lang w:eastAsia="en-GB"/>
        </w:rPr>
        <w:t xml:space="preserve"> </w:t>
      </w:r>
      <w:r w:rsidRPr="002D119A">
        <w:rPr>
          <w:rFonts w:cs="Arial"/>
          <w:bCs w:val="0"/>
          <w:spacing w:val="-1"/>
          <w:szCs w:val="24"/>
          <w:lang w:eastAsia="en-GB"/>
        </w:rPr>
        <w:t>and</w:t>
      </w:r>
    </w:p>
    <w:p w14:paraId="474EDF9D" w14:textId="77777777" w:rsidR="00DB7F92" w:rsidRPr="002D119A" w:rsidRDefault="00DB7F92" w:rsidP="006C3DF5">
      <w:pPr>
        <w:pStyle w:val="ListParagraph"/>
        <w:widowControl w:val="0"/>
        <w:numPr>
          <w:ilvl w:val="0"/>
          <w:numId w:val="75"/>
        </w:numPr>
        <w:tabs>
          <w:tab w:val="left" w:pos="2144"/>
        </w:tabs>
        <w:spacing w:before="120" w:after="120" w:line="360" w:lineRule="auto"/>
        <w:ind w:left="714" w:right="113" w:hanging="357"/>
        <w:jc w:val="both"/>
        <w:rPr>
          <w:rFonts w:cs="Arial"/>
          <w:bCs w:val="0"/>
          <w:szCs w:val="24"/>
          <w:lang w:eastAsia="en-GB"/>
        </w:rPr>
      </w:pPr>
      <w:r w:rsidRPr="002D119A">
        <w:rPr>
          <w:rFonts w:cs="Arial"/>
          <w:bCs w:val="0"/>
          <w:spacing w:val="-1"/>
          <w:szCs w:val="24"/>
          <w:lang w:eastAsia="en-GB"/>
        </w:rPr>
        <w:t>reduce</w:t>
      </w:r>
      <w:r w:rsidRPr="002D119A">
        <w:rPr>
          <w:rFonts w:cs="Arial"/>
          <w:bCs w:val="0"/>
          <w:spacing w:val="20"/>
          <w:szCs w:val="24"/>
          <w:lang w:eastAsia="en-GB"/>
        </w:rPr>
        <w:t xml:space="preserve"> </w:t>
      </w:r>
      <w:r w:rsidRPr="002D119A">
        <w:rPr>
          <w:rFonts w:cs="Arial"/>
          <w:bCs w:val="0"/>
          <w:spacing w:val="-1"/>
          <w:szCs w:val="24"/>
          <w:lang w:eastAsia="en-GB"/>
        </w:rPr>
        <w:t>health</w:t>
      </w:r>
      <w:r w:rsidRPr="002D119A">
        <w:rPr>
          <w:rFonts w:cs="Arial"/>
          <w:bCs w:val="0"/>
          <w:spacing w:val="21"/>
          <w:szCs w:val="24"/>
          <w:lang w:eastAsia="en-GB"/>
        </w:rPr>
        <w:t xml:space="preserve"> </w:t>
      </w:r>
      <w:r w:rsidRPr="002D119A">
        <w:rPr>
          <w:rFonts w:cs="Arial"/>
          <w:bCs w:val="0"/>
          <w:spacing w:val="-1"/>
          <w:szCs w:val="24"/>
          <w:lang w:eastAsia="en-GB"/>
        </w:rPr>
        <w:t>inequalities</w:t>
      </w:r>
      <w:r w:rsidRPr="002D119A">
        <w:rPr>
          <w:rFonts w:cs="Arial"/>
          <w:bCs w:val="0"/>
          <w:spacing w:val="23"/>
          <w:szCs w:val="24"/>
          <w:lang w:eastAsia="en-GB"/>
        </w:rPr>
        <w:t xml:space="preserve"> </w:t>
      </w:r>
      <w:r w:rsidRPr="002D119A">
        <w:rPr>
          <w:rFonts w:cs="Arial"/>
          <w:bCs w:val="0"/>
          <w:spacing w:val="-1"/>
          <w:szCs w:val="24"/>
          <w:lang w:eastAsia="en-GB"/>
        </w:rPr>
        <w:t>between</w:t>
      </w:r>
      <w:r w:rsidRPr="002D119A">
        <w:rPr>
          <w:rFonts w:cs="Arial"/>
          <w:bCs w:val="0"/>
          <w:spacing w:val="21"/>
          <w:szCs w:val="24"/>
          <w:lang w:eastAsia="en-GB"/>
        </w:rPr>
        <w:t xml:space="preserve"> </w:t>
      </w:r>
      <w:r w:rsidRPr="002D119A">
        <w:rPr>
          <w:rFonts w:cs="Arial"/>
          <w:bCs w:val="0"/>
          <w:spacing w:val="-1"/>
          <w:szCs w:val="24"/>
          <w:lang w:eastAsia="en-GB"/>
        </w:rPr>
        <w:t>patients</w:t>
      </w:r>
      <w:r w:rsidRPr="002D119A">
        <w:rPr>
          <w:rFonts w:cs="Arial"/>
          <w:bCs w:val="0"/>
          <w:spacing w:val="22"/>
          <w:szCs w:val="24"/>
          <w:lang w:eastAsia="en-GB"/>
        </w:rPr>
        <w:t xml:space="preserve"> </w:t>
      </w:r>
      <w:r w:rsidRPr="002D119A">
        <w:rPr>
          <w:rFonts w:cs="Arial"/>
          <w:bCs w:val="0"/>
          <w:spacing w:val="-1"/>
          <w:szCs w:val="24"/>
          <w:lang w:eastAsia="en-GB"/>
        </w:rPr>
        <w:t>with</w:t>
      </w:r>
      <w:r w:rsidRPr="002D119A">
        <w:rPr>
          <w:rFonts w:cs="Arial"/>
          <w:bCs w:val="0"/>
          <w:spacing w:val="21"/>
          <w:szCs w:val="24"/>
          <w:lang w:eastAsia="en-GB"/>
        </w:rPr>
        <w:t xml:space="preserve"> </w:t>
      </w:r>
      <w:r w:rsidRPr="002D119A">
        <w:rPr>
          <w:rFonts w:cs="Arial"/>
          <w:bCs w:val="0"/>
          <w:spacing w:val="-1"/>
          <w:szCs w:val="24"/>
          <w:lang w:eastAsia="en-GB"/>
        </w:rPr>
        <w:t>respect</w:t>
      </w:r>
      <w:r w:rsidRPr="002D119A">
        <w:rPr>
          <w:rFonts w:cs="Arial"/>
          <w:bCs w:val="0"/>
          <w:spacing w:val="23"/>
          <w:szCs w:val="24"/>
          <w:lang w:eastAsia="en-GB"/>
        </w:rPr>
        <w:t xml:space="preserve"> </w:t>
      </w:r>
      <w:r w:rsidRPr="002D119A">
        <w:rPr>
          <w:rFonts w:cs="Arial"/>
          <w:bCs w:val="0"/>
          <w:szCs w:val="24"/>
          <w:lang w:eastAsia="en-GB"/>
        </w:rPr>
        <w:t>to</w:t>
      </w:r>
      <w:r w:rsidRPr="002D119A">
        <w:rPr>
          <w:rFonts w:cs="Arial"/>
          <w:bCs w:val="0"/>
          <w:spacing w:val="21"/>
          <w:szCs w:val="24"/>
          <w:lang w:eastAsia="en-GB"/>
        </w:rPr>
        <w:t xml:space="preserve"> </w:t>
      </w:r>
      <w:r w:rsidRPr="002D119A">
        <w:rPr>
          <w:rFonts w:cs="Arial"/>
          <w:bCs w:val="0"/>
          <w:spacing w:val="-1"/>
          <w:szCs w:val="24"/>
          <w:lang w:eastAsia="en-GB"/>
        </w:rPr>
        <w:t>the</w:t>
      </w:r>
      <w:r w:rsidRPr="002D119A">
        <w:rPr>
          <w:rFonts w:cs="Arial"/>
          <w:bCs w:val="0"/>
          <w:spacing w:val="61"/>
          <w:w w:val="99"/>
          <w:szCs w:val="24"/>
          <w:lang w:eastAsia="en-GB"/>
        </w:rPr>
        <w:t xml:space="preserve"> </w:t>
      </w:r>
      <w:r w:rsidRPr="002D119A">
        <w:rPr>
          <w:rFonts w:cs="Arial"/>
          <w:bCs w:val="0"/>
          <w:spacing w:val="-1"/>
          <w:szCs w:val="24"/>
          <w:lang w:eastAsia="en-GB"/>
        </w:rPr>
        <w:t>outcomes</w:t>
      </w:r>
      <w:r w:rsidRPr="002D119A">
        <w:rPr>
          <w:rFonts w:cs="Arial"/>
          <w:bCs w:val="0"/>
          <w:spacing w:val="-6"/>
          <w:szCs w:val="24"/>
          <w:lang w:eastAsia="en-GB"/>
        </w:rPr>
        <w:t xml:space="preserve"> </w:t>
      </w:r>
      <w:r w:rsidRPr="002D119A">
        <w:rPr>
          <w:rFonts w:cs="Arial"/>
          <w:bCs w:val="0"/>
          <w:szCs w:val="24"/>
          <w:lang w:eastAsia="en-GB"/>
        </w:rPr>
        <w:t>achieved</w:t>
      </w:r>
      <w:r w:rsidRPr="002D119A">
        <w:rPr>
          <w:rFonts w:cs="Arial"/>
          <w:bCs w:val="0"/>
          <w:spacing w:val="-4"/>
          <w:szCs w:val="24"/>
          <w:lang w:eastAsia="en-GB"/>
        </w:rPr>
        <w:t xml:space="preserve"> </w:t>
      </w:r>
      <w:r w:rsidRPr="002D119A">
        <w:rPr>
          <w:rFonts w:cs="Arial"/>
          <w:bCs w:val="0"/>
          <w:spacing w:val="-1"/>
          <w:szCs w:val="24"/>
          <w:lang w:eastAsia="en-GB"/>
        </w:rPr>
        <w:t>for</w:t>
      </w:r>
      <w:r w:rsidRPr="002D119A">
        <w:rPr>
          <w:rFonts w:cs="Arial"/>
          <w:bCs w:val="0"/>
          <w:spacing w:val="-3"/>
          <w:szCs w:val="24"/>
          <w:lang w:eastAsia="en-GB"/>
        </w:rPr>
        <w:t xml:space="preserve"> </w:t>
      </w:r>
      <w:r w:rsidRPr="002D119A">
        <w:rPr>
          <w:rFonts w:cs="Arial"/>
          <w:bCs w:val="0"/>
          <w:spacing w:val="-1"/>
          <w:szCs w:val="24"/>
          <w:lang w:eastAsia="en-GB"/>
        </w:rPr>
        <w:t>them</w:t>
      </w:r>
      <w:r w:rsidRPr="002D119A">
        <w:rPr>
          <w:rFonts w:cs="Arial"/>
          <w:bCs w:val="0"/>
          <w:spacing w:val="-6"/>
          <w:szCs w:val="24"/>
          <w:lang w:eastAsia="en-GB"/>
        </w:rPr>
        <w:t xml:space="preserve"> </w:t>
      </w:r>
      <w:r w:rsidRPr="002D119A">
        <w:rPr>
          <w:rFonts w:cs="Arial"/>
          <w:bCs w:val="0"/>
          <w:spacing w:val="-1"/>
          <w:szCs w:val="24"/>
          <w:lang w:eastAsia="en-GB"/>
        </w:rPr>
        <w:t>by</w:t>
      </w:r>
      <w:r w:rsidRPr="002D119A">
        <w:rPr>
          <w:rFonts w:cs="Arial"/>
          <w:bCs w:val="0"/>
          <w:spacing w:val="-6"/>
          <w:szCs w:val="24"/>
          <w:lang w:eastAsia="en-GB"/>
        </w:rPr>
        <w:t xml:space="preserve"> </w:t>
      </w:r>
      <w:r w:rsidRPr="002D119A">
        <w:rPr>
          <w:rFonts w:cs="Arial"/>
          <w:bCs w:val="0"/>
          <w:szCs w:val="24"/>
          <w:lang w:eastAsia="en-GB"/>
        </w:rPr>
        <w:t>the</w:t>
      </w:r>
      <w:r w:rsidRPr="002D119A">
        <w:rPr>
          <w:rFonts w:cs="Arial"/>
          <w:bCs w:val="0"/>
          <w:spacing w:val="-6"/>
          <w:szCs w:val="24"/>
          <w:lang w:eastAsia="en-GB"/>
        </w:rPr>
        <w:t xml:space="preserve"> </w:t>
      </w:r>
      <w:r w:rsidRPr="002D119A">
        <w:rPr>
          <w:rFonts w:cs="Arial"/>
          <w:bCs w:val="0"/>
          <w:spacing w:val="-1"/>
          <w:szCs w:val="24"/>
          <w:lang w:eastAsia="en-GB"/>
        </w:rPr>
        <w:t>provision</w:t>
      </w:r>
      <w:r w:rsidRPr="002D119A">
        <w:rPr>
          <w:rFonts w:cs="Arial"/>
          <w:bCs w:val="0"/>
          <w:spacing w:val="-3"/>
          <w:szCs w:val="24"/>
          <w:lang w:eastAsia="en-GB"/>
        </w:rPr>
        <w:t xml:space="preserve"> </w:t>
      </w:r>
      <w:r w:rsidRPr="002D119A">
        <w:rPr>
          <w:rFonts w:cs="Arial"/>
          <w:bCs w:val="0"/>
          <w:spacing w:val="-1"/>
          <w:szCs w:val="24"/>
          <w:lang w:eastAsia="en-GB"/>
        </w:rPr>
        <w:t>of</w:t>
      </w:r>
      <w:r w:rsidRPr="002D119A">
        <w:rPr>
          <w:rFonts w:cs="Arial"/>
          <w:bCs w:val="0"/>
          <w:spacing w:val="-7"/>
          <w:szCs w:val="24"/>
          <w:lang w:eastAsia="en-GB"/>
        </w:rPr>
        <w:t xml:space="preserve"> </w:t>
      </w:r>
      <w:r w:rsidRPr="002D119A">
        <w:rPr>
          <w:rFonts w:cs="Arial"/>
          <w:bCs w:val="0"/>
          <w:spacing w:val="-1"/>
          <w:szCs w:val="24"/>
          <w:lang w:eastAsia="en-GB"/>
        </w:rPr>
        <w:t>health</w:t>
      </w:r>
      <w:r w:rsidRPr="002D119A">
        <w:rPr>
          <w:rFonts w:cs="Arial"/>
          <w:bCs w:val="0"/>
          <w:spacing w:val="-6"/>
          <w:szCs w:val="24"/>
          <w:lang w:eastAsia="en-GB"/>
        </w:rPr>
        <w:t xml:space="preserve"> </w:t>
      </w:r>
      <w:r w:rsidRPr="002D119A">
        <w:rPr>
          <w:rFonts w:cs="Arial"/>
          <w:bCs w:val="0"/>
          <w:szCs w:val="24"/>
          <w:lang w:eastAsia="en-GB"/>
        </w:rPr>
        <w:t>service</w:t>
      </w:r>
    </w:p>
    <w:p w14:paraId="7404D343" w14:textId="4BA3B4A2" w:rsidR="00DB7F92" w:rsidRPr="00DB7F92" w:rsidRDefault="00DB7F92" w:rsidP="00912FE4">
      <w:pPr>
        <w:pStyle w:val="Heading3"/>
        <w:jc w:val="both"/>
        <w:rPr>
          <w:rFonts w:eastAsia="Segoe UI Semilight" w:cs="Arial"/>
          <w:sz w:val="20"/>
          <w:szCs w:val="20"/>
        </w:rPr>
      </w:pPr>
      <w:r w:rsidRPr="00DB7F92">
        <w:rPr>
          <w:lang w:eastAsia="en-GB"/>
        </w:rPr>
        <w:t>When</w:t>
      </w:r>
      <w:r w:rsidRPr="00DB7F92">
        <w:rPr>
          <w:spacing w:val="34"/>
          <w:lang w:eastAsia="en-GB"/>
        </w:rPr>
        <w:t xml:space="preserve"> </w:t>
      </w:r>
      <w:r w:rsidRPr="00DB7F92">
        <w:rPr>
          <w:lang w:eastAsia="en-GB"/>
        </w:rPr>
        <w:t>making</w:t>
      </w:r>
      <w:r w:rsidRPr="00DB7F92">
        <w:rPr>
          <w:spacing w:val="33"/>
          <w:lang w:eastAsia="en-GB"/>
        </w:rPr>
        <w:t xml:space="preserve"> </w:t>
      </w:r>
      <w:r w:rsidRPr="00DB7F92">
        <w:rPr>
          <w:lang w:eastAsia="en-GB"/>
        </w:rPr>
        <w:t>decisions</w:t>
      </w:r>
      <w:r w:rsidRPr="00DB7F92">
        <w:rPr>
          <w:spacing w:val="34"/>
          <w:lang w:eastAsia="en-GB"/>
        </w:rPr>
        <w:t xml:space="preserve"> </w:t>
      </w:r>
      <w:r w:rsidRPr="00DB7F92">
        <w:rPr>
          <w:lang w:eastAsia="en-GB"/>
        </w:rPr>
        <w:t>about</w:t>
      </w:r>
      <w:r w:rsidRPr="00DB7F92">
        <w:rPr>
          <w:spacing w:val="35"/>
          <w:lang w:eastAsia="en-GB"/>
        </w:rPr>
        <w:t xml:space="preserve"> </w:t>
      </w:r>
      <w:r w:rsidRPr="00DB7F92">
        <w:rPr>
          <w:lang w:eastAsia="en-GB"/>
        </w:rPr>
        <w:t>primary</w:t>
      </w:r>
      <w:r w:rsidRPr="00DB7F92">
        <w:rPr>
          <w:spacing w:val="34"/>
          <w:lang w:eastAsia="en-GB"/>
        </w:rPr>
        <w:t xml:space="preserve"> </w:t>
      </w:r>
      <w:r w:rsidRPr="00DB7F92">
        <w:rPr>
          <w:lang w:eastAsia="en-GB"/>
        </w:rPr>
        <w:t>care</w:t>
      </w:r>
      <w:r w:rsidRPr="00DB7F92">
        <w:rPr>
          <w:spacing w:val="33"/>
          <w:lang w:eastAsia="en-GB"/>
        </w:rPr>
        <w:t xml:space="preserve"> </w:t>
      </w:r>
      <w:r w:rsidRPr="00DB7F92">
        <w:rPr>
          <w:lang w:eastAsia="en-GB"/>
        </w:rPr>
        <w:t>–</w:t>
      </w:r>
      <w:r w:rsidRPr="00DB7F92">
        <w:rPr>
          <w:spacing w:val="34"/>
          <w:lang w:eastAsia="en-GB"/>
        </w:rPr>
        <w:t xml:space="preserve"> </w:t>
      </w:r>
      <w:r w:rsidRPr="00DB7F92">
        <w:rPr>
          <w:lang w:eastAsia="en-GB"/>
        </w:rPr>
        <w:t>particularly</w:t>
      </w:r>
      <w:r w:rsidRPr="00DB7F92">
        <w:rPr>
          <w:spacing w:val="35"/>
          <w:lang w:eastAsia="en-GB"/>
        </w:rPr>
        <w:t xml:space="preserve"> </w:t>
      </w:r>
      <w:r w:rsidRPr="00DB7F92">
        <w:rPr>
          <w:lang w:eastAsia="en-GB"/>
        </w:rPr>
        <w:t>about</w:t>
      </w:r>
      <w:r w:rsidRPr="00DB7F92">
        <w:rPr>
          <w:spacing w:val="34"/>
          <w:lang w:eastAsia="en-GB"/>
        </w:rPr>
        <w:t xml:space="preserve"> </w:t>
      </w:r>
      <w:r w:rsidRPr="00DB7F92">
        <w:rPr>
          <w:lang w:eastAsia="en-GB"/>
        </w:rPr>
        <w:t>service</w:t>
      </w:r>
      <w:r w:rsidRPr="00DB7F92">
        <w:rPr>
          <w:spacing w:val="59"/>
          <w:w w:val="99"/>
          <w:lang w:eastAsia="en-GB"/>
        </w:rPr>
        <w:t xml:space="preserve"> </w:t>
      </w:r>
      <w:r w:rsidRPr="00DB7F92">
        <w:rPr>
          <w:lang w:eastAsia="en-GB"/>
        </w:rPr>
        <w:t>changes – decision-makers will</w:t>
      </w:r>
      <w:r w:rsidRPr="00DB7F92">
        <w:rPr>
          <w:spacing w:val="-2"/>
          <w:lang w:eastAsia="en-GB"/>
        </w:rPr>
        <w:t xml:space="preserve"> </w:t>
      </w:r>
      <w:r w:rsidRPr="00DB7F92">
        <w:rPr>
          <w:lang w:eastAsia="en-GB"/>
        </w:rPr>
        <w:t>need</w:t>
      </w:r>
      <w:r w:rsidRPr="00DB7F92">
        <w:rPr>
          <w:spacing w:val="-3"/>
          <w:lang w:eastAsia="en-GB"/>
        </w:rPr>
        <w:t xml:space="preserve"> </w:t>
      </w:r>
      <w:r w:rsidRPr="00DB7F92">
        <w:rPr>
          <w:lang w:eastAsia="en-GB"/>
        </w:rPr>
        <w:t>to</w:t>
      </w:r>
      <w:r w:rsidRPr="00DB7F92">
        <w:rPr>
          <w:spacing w:val="-3"/>
          <w:lang w:eastAsia="en-GB"/>
        </w:rPr>
        <w:t xml:space="preserve"> </w:t>
      </w:r>
      <w:r w:rsidRPr="00DB7F92">
        <w:rPr>
          <w:lang w:eastAsia="en-GB"/>
        </w:rPr>
        <w:t>bear</w:t>
      </w:r>
      <w:r w:rsidRPr="00DB7F92">
        <w:rPr>
          <w:spacing w:val="-2"/>
          <w:lang w:eastAsia="en-GB"/>
        </w:rPr>
        <w:t xml:space="preserve"> </w:t>
      </w:r>
      <w:r w:rsidRPr="00DB7F92">
        <w:rPr>
          <w:lang w:eastAsia="en-GB"/>
        </w:rPr>
        <w:t>in</w:t>
      </w:r>
      <w:r w:rsidRPr="00DB7F92">
        <w:rPr>
          <w:spacing w:val="-2"/>
          <w:lang w:eastAsia="en-GB"/>
        </w:rPr>
        <w:t xml:space="preserve"> </w:t>
      </w:r>
      <w:r w:rsidRPr="00DB7F92">
        <w:rPr>
          <w:lang w:eastAsia="en-GB"/>
        </w:rPr>
        <w:t>mind</w:t>
      </w:r>
      <w:r w:rsidRPr="00DB7F92">
        <w:rPr>
          <w:spacing w:val="-3"/>
          <w:lang w:eastAsia="en-GB"/>
        </w:rPr>
        <w:t xml:space="preserve"> </w:t>
      </w:r>
      <w:r w:rsidRPr="00DB7F92">
        <w:rPr>
          <w:lang w:eastAsia="en-GB"/>
        </w:rPr>
        <w:t>the</w:t>
      </w:r>
      <w:r w:rsidRPr="00DB7F92">
        <w:rPr>
          <w:spacing w:val="-3"/>
          <w:lang w:eastAsia="en-GB"/>
        </w:rPr>
        <w:t xml:space="preserve"> </w:t>
      </w:r>
      <w:r w:rsidRPr="00DB7F92">
        <w:rPr>
          <w:lang w:eastAsia="en-GB"/>
        </w:rPr>
        <w:t>impact</w:t>
      </w:r>
      <w:r w:rsidRPr="00DB7F92">
        <w:rPr>
          <w:spacing w:val="-2"/>
          <w:lang w:eastAsia="en-GB"/>
        </w:rPr>
        <w:t xml:space="preserve"> </w:t>
      </w:r>
      <w:r w:rsidRPr="00DB7F92">
        <w:rPr>
          <w:lang w:eastAsia="en-GB"/>
        </w:rPr>
        <w:t>on</w:t>
      </w:r>
      <w:r w:rsidRPr="00DB7F92">
        <w:rPr>
          <w:spacing w:val="-2"/>
          <w:lang w:eastAsia="en-GB"/>
        </w:rPr>
        <w:t xml:space="preserve"> </w:t>
      </w:r>
      <w:r w:rsidRPr="00DB7F92">
        <w:rPr>
          <w:lang w:eastAsia="en-GB"/>
        </w:rPr>
        <w:t>health</w:t>
      </w:r>
      <w:r w:rsidRPr="00DB7F92">
        <w:rPr>
          <w:spacing w:val="63"/>
          <w:lang w:eastAsia="en-GB"/>
        </w:rPr>
        <w:t xml:space="preserve"> </w:t>
      </w:r>
      <w:r w:rsidRPr="00DB7F92">
        <w:rPr>
          <w:lang w:eastAsia="en-GB"/>
        </w:rPr>
        <w:t>inequalities.</w:t>
      </w:r>
      <w:r w:rsidRPr="00DB7F92">
        <w:rPr>
          <w:spacing w:val="1"/>
          <w:lang w:eastAsia="en-GB"/>
        </w:rPr>
        <w:t xml:space="preserve"> </w:t>
      </w:r>
      <w:r w:rsidRPr="00DB7F92">
        <w:rPr>
          <w:lang w:eastAsia="en-GB"/>
        </w:rPr>
        <w:t>To</w:t>
      </w:r>
      <w:r w:rsidRPr="00DB7F92">
        <w:rPr>
          <w:spacing w:val="2"/>
          <w:lang w:eastAsia="en-GB"/>
        </w:rPr>
        <w:t xml:space="preserve"> </w:t>
      </w:r>
      <w:r w:rsidRPr="00DB7F92">
        <w:rPr>
          <w:lang w:eastAsia="en-GB"/>
        </w:rPr>
        <w:t>do this</w:t>
      </w:r>
      <w:r w:rsidRPr="00DB7F92">
        <w:rPr>
          <w:spacing w:val="4"/>
          <w:lang w:eastAsia="en-GB"/>
        </w:rPr>
        <w:t xml:space="preserve"> </w:t>
      </w:r>
      <w:r w:rsidRPr="00DB7F92">
        <w:rPr>
          <w:lang w:eastAsia="en-GB"/>
        </w:rPr>
        <w:t>the commissioner will need</w:t>
      </w:r>
      <w:r w:rsidRPr="00DB7F92">
        <w:rPr>
          <w:spacing w:val="2"/>
          <w:lang w:eastAsia="en-GB"/>
        </w:rPr>
        <w:t xml:space="preserve"> </w:t>
      </w:r>
      <w:r w:rsidRPr="00DB7F92">
        <w:rPr>
          <w:lang w:eastAsia="en-GB"/>
        </w:rPr>
        <w:t>some data</w:t>
      </w:r>
      <w:r w:rsidRPr="00DB7F92">
        <w:rPr>
          <w:spacing w:val="1"/>
          <w:lang w:eastAsia="en-GB"/>
        </w:rPr>
        <w:t xml:space="preserve"> </w:t>
      </w:r>
      <w:r w:rsidR="00050291" w:rsidRPr="00DB7F92">
        <w:rPr>
          <w:lang w:eastAsia="en-GB"/>
        </w:rPr>
        <w:t>on existing</w:t>
      </w:r>
      <w:r w:rsidRPr="00DB7F92">
        <w:rPr>
          <w:spacing w:val="57"/>
          <w:lang w:eastAsia="en-GB"/>
        </w:rPr>
        <w:t xml:space="preserve"> </w:t>
      </w:r>
      <w:r w:rsidRPr="00DB7F92">
        <w:rPr>
          <w:lang w:eastAsia="en-GB"/>
        </w:rPr>
        <w:t>health</w:t>
      </w:r>
      <w:r w:rsidRPr="00DB7F92">
        <w:rPr>
          <w:spacing w:val="28"/>
          <w:lang w:eastAsia="en-GB"/>
        </w:rPr>
        <w:t xml:space="preserve"> </w:t>
      </w:r>
      <w:r w:rsidRPr="00DB7F92">
        <w:rPr>
          <w:lang w:eastAsia="en-GB"/>
        </w:rPr>
        <w:t>inequalities,</w:t>
      </w:r>
      <w:r w:rsidRPr="00DB7F92">
        <w:rPr>
          <w:spacing w:val="29"/>
          <w:lang w:eastAsia="en-GB"/>
        </w:rPr>
        <w:t xml:space="preserve"> </w:t>
      </w:r>
      <w:r w:rsidRPr="00DB7F92">
        <w:rPr>
          <w:lang w:eastAsia="en-GB"/>
        </w:rPr>
        <w:t>and</w:t>
      </w:r>
      <w:r w:rsidRPr="00DB7F92">
        <w:rPr>
          <w:spacing w:val="30"/>
          <w:lang w:eastAsia="en-GB"/>
        </w:rPr>
        <w:t xml:space="preserve"> </w:t>
      </w:r>
      <w:r w:rsidRPr="00DB7F92">
        <w:rPr>
          <w:lang w:eastAsia="en-GB"/>
        </w:rPr>
        <w:t>to</w:t>
      </w:r>
      <w:r w:rsidRPr="00DB7F92">
        <w:rPr>
          <w:spacing w:val="27"/>
          <w:lang w:eastAsia="en-GB"/>
        </w:rPr>
        <w:t xml:space="preserve"> </w:t>
      </w:r>
      <w:r w:rsidRPr="00DB7F92">
        <w:rPr>
          <w:lang w:eastAsia="en-GB"/>
        </w:rPr>
        <w:t>consider</w:t>
      </w:r>
      <w:r w:rsidRPr="00DB7F92">
        <w:rPr>
          <w:spacing w:val="29"/>
          <w:lang w:eastAsia="en-GB"/>
        </w:rPr>
        <w:t xml:space="preserve"> </w:t>
      </w:r>
      <w:r w:rsidRPr="00DB7F92">
        <w:rPr>
          <w:lang w:eastAsia="en-GB"/>
        </w:rPr>
        <w:t>whether</w:t>
      </w:r>
      <w:r w:rsidRPr="00DB7F92">
        <w:rPr>
          <w:spacing w:val="29"/>
          <w:lang w:eastAsia="en-GB"/>
        </w:rPr>
        <w:t xml:space="preserve"> </w:t>
      </w:r>
      <w:r w:rsidRPr="00DB7F92">
        <w:rPr>
          <w:lang w:eastAsia="en-GB"/>
        </w:rPr>
        <w:t>its</w:t>
      </w:r>
      <w:r w:rsidRPr="00DB7F92">
        <w:rPr>
          <w:spacing w:val="29"/>
          <w:lang w:eastAsia="en-GB"/>
        </w:rPr>
        <w:t xml:space="preserve"> </w:t>
      </w:r>
      <w:r w:rsidRPr="00DB7F92">
        <w:rPr>
          <w:lang w:eastAsia="en-GB"/>
        </w:rPr>
        <w:t>decision</w:t>
      </w:r>
      <w:r w:rsidRPr="00DB7F92">
        <w:rPr>
          <w:spacing w:val="29"/>
          <w:lang w:eastAsia="en-GB"/>
        </w:rPr>
        <w:t xml:space="preserve"> </w:t>
      </w:r>
      <w:r w:rsidRPr="00DB7F92">
        <w:rPr>
          <w:lang w:eastAsia="en-GB"/>
        </w:rPr>
        <w:t>can</w:t>
      </w:r>
      <w:r w:rsidRPr="00DB7F92">
        <w:rPr>
          <w:spacing w:val="28"/>
          <w:lang w:eastAsia="en-GB"/>
        </w:rPr>
        <w:t xml:space="preserve"> </w:t>
      </w:r>
      <w:r w:rsidRPr="00DB7F92">
        <w:rPr>
          <w:lang w:eastAsia="en-GB"/>
        </w:rPr>
        <w:t>be</w:t>
      </w:r>
      <w:r w:rsidRPr="00DB7F92">
        <w:rPr>
          <w:spacing w:val="28"/>
          <w:lang w:eastAsia="en-GB"/>
        </w:rPr>
        <w:t xml:space="preserve"> </w:t>
      </w:r>
      <w:r w:rsidRPr="00DB7F92">
        <w:rPr>
          <w:lang w:eastAsia="en-GB"/>
        </w:rPr>
        <w:t>used</w:t>
      </w:r>
      <w:r w:rsidRPr="00DB7F92">
        <w:rPr>
          <w:spacing w:val="30"/>
          <w:lang w:eastAsia="en-GB"/>
        </w:rPr>
        <w:t xml:space="preserve"> </w:t>
      </w:r>
      <w:r w:rsidRPr="00DB7F92">
        <w:rPr>
          <w:lang w:eastAsia="en-GB"/>
        </w:rPr>
        <w:t>to</w:t>
      </w:r>
      <w:r w:rsidRPr="00DB7F92">
        <w:rPr>
          <w:spacing w:val="43"/>
          <w:lang w:eastAsia="en-GB"/>
        </w:rPr>
        <w:t xml:space="preserve"> </w:t>
      </w:r>
      <w:r w:rsidRPr="00DB7F92">
        <w:rPr>
          <w:lang w:eastAsia="en-GB"/>
        </w:rPr>
        <w:t>diminish</w:t>
      </w:r>
      <w:r w:rsidRPr="00DB7F92">
        <w:rPr>
          <w:spacing w:val="-11"/>
          <w:lang w:eastAsia="en-GB"/>
        </w:rPr>
        <w:t xml:space="preserve"> </w:t>
      </w:r>
      <w:r w:rsidRPr="00DB7F92">
        <w:rPr>
          <w:lang w:eastAsia="en-GB"/>
        </w:rPr>
        <w:t>these. A vast amount of data is available e.g. JNSA’s; Right Care packs to help commissioners identify health inequalities in their area.</w:t>
      </w:r>
      <w:r w:rsidR="00912FE4" w:rsidRPr="00DB7F92">
        <w:rPr>
          <w:rFonts w:eastAsia="Segoe UI Semilight" w:cs="Arial"/>
          <w:sz w:val="20"/>
          <w:szCs w:val="20"/>
        </w:rPr>
        <w:t xml:space="preserve"> </w:t>
      </w:r>
    </w:p>
    <w:p w14:paraId="7829AF11" w14:textId="77777777" w:rsidR="00DB7F92" w:rsidRPr="00DB7F92" w:rsidRDefault="00DB7F92" w:rsidP="00DD5D2D">
      <w:pPr>
        <w:pStyle w:val="Heading3"/>
        <w:jc w:val="both"/>
        <w:rPr>
          <w:lang w:eastAsia="en-GB"/>
        </w:rPr>
      </w:pPr>
      <w:r w:rsidRPr="00DB7F92">
        <w:rPr>
          <w:lang w:eastAsia="en-GB"/>
        </w:rPr>
        <w:t>The</w:t>
      </w:r>
      <w:r w:rsidRPr="00DB7F92">
        <w:rPr>
          <w:spacing w:val="38"/>
          <w:lang w:eastAsia="en-GB"/>
        </w:rPr>
        <w:t xml:space="preserve"> </w:t>
      </w:r>
      <w:r w:rsidRPr="00DB7F92">
        <w:rPr>
          <w:lang w:eastAsia="en-GB"/>
        </w:rPr>
        <w:t>key</w:t>
      </w:r>
      <w:r w:rsidRPr="00DB7F92">
        <w:rPr>
          <w:spacing w:val="39"/>
          <w:lang w:eastAsia="en-GB"/>
        </w:rPr>
        <w:t xml:space="preserve"> </w:t>
      </w:r>
      <w:r w:rsidRPr="00DB7F92">
        <w:rPr>
          <w:lang w:eastAsia="en-GB"/>
        </w:rPr>
        <w:t>point</w:t>
      </w:r>
      <w:r w:rsidRPr="00DB7F92">
        <w:rPr>
          <w:spacing w:val="40"/>
          <w:lang w:eastAsia="en-GB"/>
        </w:rPr>
        <w:t xml:space="preserve"> </w:t>
      </w:r>
      <w:r w:rsidRPr="00DB7F92">
        <w:rPr>
          <w:lang w:eastAsia="en-GB"/>
        </w:rPr>
        <w:t>is</w:t>
      </w:r>
      <w:r w:rsidRPr="00DB7F92">
        <w:rPr>
          <w:spacing w:val="40"/>
          <w:lang w:eastAsia="en-GB"/>
        </w:rPr>
        <w:t xml:space="preserve"> </w:t>
      </w:r>
      <w:r w:rsidRPr="00DB7F92">
        <w:rPr>
          <w:lang w:eastAsia="en-GB"/>
        </w:rPr>
        <w:t>that</w:t>
      </w:r>
      <w:r w:rsidRPr="00DB7F92">
        <w:rPr>
          <w:spacing w:val="40"/>
          <w:lang w:eastAsia="en-GB"/>
        </w:rPr>
        <w:t xml:space="preserve"> </w:t>
      </w:r>
      <w:r w:rsidRPr="00DB7F92">
        <w:rPr>
          <w:lang w:eastAsia="en-GB"/>
        </w:rPr>
        <w:t>the commissioner</w:t>
      </w:r>
      <w:r w:rsidRPr="00DB7F92">
        <w:rPr>
          <w:spacing w:val="38"/>
          <w:lang w:eastAsia="en-GB"/>
        </w:rPr>
        <w:t xml:space="preserve"> </w:t>
      </w:r>
      <w:r w:rsidRPr="00DB7F92">
        <w:rPr>
          <w:lang w:eastAsia="en-GB"/>
        </w:rPr>
        <w:t>can</w:t>
      </w:r>
      <w:r w:rsidRPr="00DB7F92">
        <w:rPr>
          <w:spacing w:val="39"/>
          <w:lang w:eastAsia="en-GB"/>
        </w:rPr>
        <w:t xml:space="preserve"> </w:t>
      </w:r>
      <w:r w:rsidRPr="00DB7F92">
        <w:rPr>
          <w:lang w:eastAsia="en-GB"/>
        </w:rPr>
        <w:t>show</w:t>
      </w:r>
      <w:r w:rsidRPr="00DB7F92">
        <w:rPr>
          <w:spacing w:val="39"/>
          <w:lang w:eastAsia="en-GB"/>
        </w:rPr>
        <w:t xml:space="preserve"> </w:t>
      </w:r>
      <w:r w:rsidRPr="00DB7F92">
        <w:rPr>
          <w:lang w:eastAsia="en-GB"/>
        </w:rPr>
        <w:t>(through</w:t>
      </w:r>
      <w:r w:rsidRPr="00DB7F92">
        <w:rPr>
          <w:spacing w:val="39"/>
          <w:lang w:eastAsia="en-GB"/>
        </w:rPr>
        <w:t xml:space="preserve"> </w:t>
      </w:r>
      <w:r w:rsidRPr="00DB7F92">
        <w:rPr>
          <w:lang w:eastAsia="en-GB"/>
        </w:rPr>
        <w:t>documentation, principally an EHIA)</w:t>
      </w:r>
      <w:r w:rsidRPr="00DB7F92">
        <w:rPr>
          <w:spacing w:val="48"/>
          <w:lang w:eastAsia="en-GB"/>
        </w:rPr>
        <w:t xml:space="preserve"> </w:t>
      </w:r>
      <w:r w:rsidRPr="00DB7F92">
        <w:rPr>
          <w:lang w:eastAsia="en-GB"/>
        </w:rPr>
        <w:t>that</w:t>
      </w:r>
      <w:r w:rsidRPr="00DB7F92">
        <w:rPr>
          <w:spacing w:val="7"/>
          <w:lang w:eastAsia="en-GB"/>
        </w:rPr>
        <w:t xml:space="preserve"> </w:t>
      </w:r>
      <w:r w:rsidRPr="00DB7F92">
        <w:rPr>
          <w:lang w:eastAsia="en-GB"/>
        </w:rPr>
        <w:t>the</w:t>
      </w:r>
      <w:r w:rsidRPr="00DB7F92">
        <w:rPr>
          <w:spacing w:val="6"/>
          <w:lang w:eastAsia="en-GB"/>
        </w:rPr>
        <w:t xml:space="preserve"> </w:t>
      </w:r>
      <w:r w:rsidRPr="00DB7F92">
        <w:rPr>
          <w:lang w:eastAsia="en-GB"/>
        </w:rPr>
        <w:t>impact</w:t>
      </w:r>
      <w:r w:rsidRPr="00DB7F92">
        <w:rPr>
          <w:spacing w:val="8"/>
          <w:lang w:eastAsia="en-GB"/>
        </w:rPr>
        <w:t xml:space="preserve"> </w:t>
      </w:r>
      <w:r w:rsidRPr="00DB7F92">
        <w:rPr>
          <w:lang w:eastAsia="en-GB"/>
        </w:rPr>
        <w:t>a</w:t>
      </w:r>
      <w:r w:rsidRPr="00DB7F92">
        <w:rPr>
          <w:spacing w:val="6"/>
          <w:lang w:eastAsia="en-GB"/>
        </w:rPr>
        <w:t xml:space="preserve"> </w:t>
      </w:r>
      <w:r w:rsidRPr="00DB7F92">
        <w:rPr>
          <w:lang w:eastAsia="en-GB"/>
        </w:rPr>
        <w:t>decision</w:t>
      </w:r>
      <w:r w:rsidRPr="00DB7F92">
        <w:rPr>
          <w:spacing w:val="6"/>
          <w:lang w:eastAsia="en-GB"/>
        </w:rPr>
        <w:t xml:space="preserve"> </w:t>
      </w:r>
      <w:r w:rsidRPr="00DB7F92">
        <w:rPr>
          <w:lang w:eastAsia="en-GB"/>
        </w:rPr>
        <w:t>will</w:t>
      </w:r>
      <w:r w:rsidRPr="00DB7F92">
        <w:rPr>
          <w:spacing w:val="7"/>
          <w:lang w:eastAsia="en-GB"/>
        </w:rPr>
        <w:t xml:space="preserve"> </w:t>
      </w:r>
      <w:r w:rsidRPr="00DB7F92">
        <w:rPr>
          <w:lang w:eastAsia="en-GB"/>
        </w:rPr>
        <w:t>have</w:t>
      </w:r>
      <w:r w:rsidRPr="00DB7F92">
        <w:rPr>
          <w:spacing w:val="8"/>
          <w:lang w:eastAsia="en-GB"/>
        </w:rPr>
        <w:t xml:space="preserve"> </w:t>
      </w:r>
      <w:r w:rsidRPr="00DB7F92">
        <w:rPr>
          <w:lang w:eastAsia="en-GB"/>
        </w:rPr>
        <w:t>on</w:t>
      </w:r>
      <w:r w:rsidRPr="00DB7F92">
        <w:rPr>
          <w:spacing w:val="6"/>
          <w:lang w:eastAsia="en-GB"/>
        </w:rPr>
        <w:t xml:space="preserve"> </w:t>
      </w:r>
      <w:r w:rsidRPr="00DB7F92">
        <w:rPr>
          <w:lang w:eastAsia="en-GB"/>
        </w:rPr>
        <w:t>health</w:t>
      </w:r>
      <w:r w:rsidRPr="00DB7F92">
        <w:rPr>
          <w:spacing w:val="7"/>
          <w:lang w:eastAsia="en-GB"/>
        </w:rPr>
        <w:t xml:space="preserve"> </w:t>
      </w:r>
      <w:r w:rsidRPr="00DB7F92">
        <w:rPr>
          <w:lang w:eastAsia="en-GB"/>
        </w:rPr>
        <w:t>inequalities</w:t>
      </w:r>
      <w:r w:rsidRPr="00DB7F92">
        <w:rPr>
          <w:spacing w:val="7"/>
          <w:lang w:eastAsia="en-GB"/>
        </w:rPr>
        <w:t xml:space="preserve"> </w:t>
      </w:r>
      <w:r w:rsidRPr="00DB7F92">
        <w:rPr>
          <w:lang w:eastAsia="en-GB"/>
        </w:rPr>
        <w:t>has</w:t>
      </w:r>
      <w:r w:rsidRPr="00DB7F92">
        <w:rPr>
          <w:spacing w:val="7"/>
          <w:lang w:eastAsia="en-GB"/>
        </w:rPr>
        <w:t xml:space="preserve"> </w:t>
      </w:r>
      <w:r w:rsidRPr="00DB7F92">
        <w:rPr>
          <w:lang w:eastAsia="en-GB"/>
        </w:rPr>
        <w:t>been</w:t>
      </w:r>
      <w:r w:rsidRPr="00DB7F92">
        <w:rPr>
          <w:spacing w:val="7"/>
          <w:lang w:eastAsia="en-GB"/>
        </w:rPr>
        <w:t xml:space="preserve"> </w:t>
      </w:r>
      <w:r w:rsidRPr="00DB7F92">
        <w:rPr>
          <w:lang w:eastAsia="en-GB"/>
        </w:rPr>
        <w:t>taken</w:t>
      </w:r>
      <w:r w:rsidRPr="00DB7F92">
        <w:rPr>
          <w:spacing w:val="60"/>
          <w:w w:val="99"/>
          <w:lang w:eastAsia="en-GB"/>
        </w:rPr>
        <w:t xml:space="preserve"> </w:t>
      </w:r>
      <w:r w:rsidRPr="00DB7F92">
        <w:rPr>
          <w:lang w:eastAsia="en-GB"/>
        </w:rPr>
        <w:t>into</w:t>
      </w:r>
      <w:r w:rsidRPr="00DB7F92">
        <w:rPr>
          <w:spacing w:val="-6"/>
          <w:lang w:eastAsia="en-GB"/>
        </w:rPr>
        <w:t xml:space="preserve"> </w:t>
      </w:r>
      <w:r w:rsidRPr="00DB7F92">
        <w:rPr>
          <w:lang w:eastAsia="en-GB"/>
        </w:rPr>
        <w:t>account,</w:t>
      </w:r>
      <w:r w:rsidRPr="00DB7F92">
        <w:rPr>
          <w:spacing w:val="-4"/>
          <w:lang w:eastAsia="en-GB"/>
        </w:rPr>
        <w:t xml:space="preserve"> </w:t>
      </w:r>
      <w:r w:rsidRPr="00DB7F92">
        <w:rPr>
          <w:lang w:eastAsia="en-GB"/>
        </w:rPr>
        <w:t>and</w:t>
      </w:r>
      <w:r w:rsidRPr="00DB7F92">
        <w:rPr>
          <w:spacing w:val="-5"/>
          <w:lang w:eastAsia="en-GB"/>
        </w:rPr>
        <w:t xml:space="preserve"> </w:t>
      </w:r>
      <w:r w:rsidRPr="00DB7F92">
        <w:rPr>
          <w:lang w:eastAsia="en-GB"/>
        </w:rPr>
        <w:t>that</w:t>
      </w:r>
      <w:r w:rsidRPr="00DB7F92">
        <w:rPr>
          <w:spacing w:val="-2"/>
          <w:lang w:eastAsia="en-GB"/>
        </w:rPr>
        <w:t xml:space="preserve"> </w:t>
      </w:r>
      <w:r w:rsidRPr="00DB7F92">
        <w:rPr>
          <w:lang w:eastAsia="en-GB"/>
        </w:rPr>
        <w:t>its</w:t>
      </w:r>
      <w:r w:rsidRPr="00DB7F92">
        <w:rPr>
          <w:spacing w:val="-5"/>
          <w:lang w:eastAsia="en-GB"/>
        </w:rPr>
        <w:t xml:space="preserve"> </w:t>
      </w:r>
      <w:r w:rsidRPr="00DB7F92">
        <w:rPr>
          <w:lang w:eastAsia="en-GB"/>
        </w:rPr>
        <w:t>decision</w:t>
      </w:r>
      <w:r w:rsidRPr="00DB7F92">
        <w:rPr>
          <w:spacing w:val="-2"/>
          <w:lang w:eastAsia="en-GB"/>
        </w:rPr>
        <w:t xml:space="preserve"> </w:t>
      </w:r>
      <w:r w:rsidRPr="00DB7F92">
        <w:rPr>
          <w:lang w:eastAsia="en-GB"/>
        </w:rPr>
        <w:t>is</w:t>
      </w:r>
      <w:r w:rsidRPr="00DB7F92">
        <w:rPr>
          <w:spacing w:val="-4"/>
          <w:lang w:eastAsia="en-GB"/>
        </w:rPr>
        <w:t xml:space="preserve"> </w:t>
      </w:r>
      <w:r w:rsidRPr="00DB7F92">
        <w:rPr>
          <w:lang w:eastAsia="en-GB"/>
        </w:rPr>
        <w:t>based</w:t>
      </w:r>
      <w:r w:rsidRPr="00DB7F92">
        <w:rPr>
          <w:spacing w:val="-3"/>
          <w:lang w:eastAsia="en-GB"/>
        </w:rPr>
        <w:t xml:space="preserve"> </w:t>
      </w:r>
      <w:r w:rsidRPr="00DB7F92">
        <w:rPr>
          <w:lang w:eastAsia="en-GB"/>
        </w:rPr>
        <w:t>on</w:t>
      </w:r>
      <w:r w:rsidRPr="00DB7F92">
        <w:rPr>
          <w:spacing w:val="-3"/>
          <w:lang w:eastAsia="en-GB"/>
        </w:rPr>
        <w:t xml:space="preserve"> </w:t>
      </w:r>
      <w:r w:rsidRPr="00DB7F92">
        <w:rPr>
          <w:lang w:eastAsia="en-GB"/>
        </w:rPr>
        <w:t>some</w:t>
      </w:r>
      <w:r w:rsidRPr="00DB7F92">
        <w:rPr>
          <w:spacing w:val="-5"/>
          <w:lang w:eastAsia="en-GB"/>
        </w:rPr>
        <w:t xml:space="preserve"> </w:t>
      </w:r>
      <w:r w:rsidRPr="00DB7F92">
        <w:rPr>
          <w:lang w:eastAsia="en-GB"/>
        </w:rPr>
        <w:t>relevant</w:t>
      </w:r>
      <w:r w:rsidRPr="00DB7F92">
        <w:rPr>
          <w:spacing w:val="-2"/>
          <w:lang w:eastAsia="en-GB"/>
        </w:rPr>
        <w:t xml:space="preserve"> </w:t>
      </w:r>
      <w:r w:rsidRPr="00DB7F92">
        <w:rPr>
          <w:lang w:eastAsia="en-GB"/>
        </w:rPr>
        <w:t>data and evidence.</w:t>
      </w:r>
    </w:p>
    <w:p w14:paraId="722E1795" w14:textId="047406C2" w:rsidR="00DB7F92" w:rsidRPr="00DB7F92" w:rsidRDefault="00DB7F92" w:rsidP="00DD5D2D">
      <w:pPr>
        <w:pStyle w:val="Heading3"/>
        <w:jc w:val="both"/>
        <w:rPr>
          <w:lang w:eastAsia="en-GB"/>
        </w:rPr>
      </w:pPr>
      <w:r w:rsidRPr="00DB7F92">
        <w:rPr>
          <w:lang w:eastAsia="en-GB"/>
        </w:rPr>
        <w:t xml:space="preserve">NHS England and Public Health England have made available several resources to assist organisations to find out about information, resources and action being taken to reduce health inequalities in England. See here: </w:t>
      </w:r>
      <w:hyperlink r:id="rId37" w:history="1">
        <w:r w:rsidRPr="00DB7F92">
          <w:rPr>
            <w:color w:val="0000FF"/>
            <w:u w:val="single"/>
            <w:lang w:eastAsia="en-GB"/>
          </w:rPr>
          <w:t>https://www.england.nhs.uk/about/equality/equality-hub/resources/</w:t>
        </w:r>
      </w:hyperlink>
      <w:r w:rsidRPr="00DB7F92">
        <w:rPr>
          <w:lang w:eastAsia="en-GB"/>
        </w:rPr>
        <w:t xml:space="preserve">. Local Joint Strategic Needs Assessments (JSNA) prepared by local Health and Wellbeing Boards, </w:t>
      </w:r>
      <w:r w:rsidR="00B83042">
        <w:rPr>
          <w:lang w:eastAsia="en-GB"/>
        </w:rPr>
        <w:t>CCG/ICB</w:t>
      </w:r>
      <w:r w:rsidR="00F718DB">
        <w:rPr>
          <w:lang w:eastAsia="en-GB"/>
        </w:rPr>
        <w:t xml:space="preserve">System </w:t>
      </w:r>
      <w:r w:rsidR="007C3322">
        <w:rPr>
          <w:lang w:eastAsia="en-GB"/>
        </w:rPr>
        <w:t xml:space="preserve">Oversight </w:t>
      </w:r>
      <w:r w:rsidRPr="00DB7F92">
        <w:rPr>
          <w:lang w:eastAsia="en-GB"/>
        </w:rPr>
        <w:t>Framework indicators and NHS RightCare can be valuable sources of information about local health inequalities.</w:t>
      </w:r>
    </w:p>
    <w:p w14:paraId="6D4BAB6F" w14:textId="77777777" w:rsidR="00DB7F92" w:rsidRPr="00DB7F92" w:rsidRDefault="00DB7F92" w:rsidP="00DB7F92">
      <w:pPr>
        <w:widowControl w:val="0"/>
        <w:tabs>
          <w:tab w:val="left" w:pos="1179"/>
        </w:tabs>
        <w:spacing w:before="211" w:after="120"/>
        <w:ind w:left="1178" w:right="156"/>
        <w:jc w:val="both"/>
        <w:rPr>
          <w:rFonts w:cs="Arial"/>
          <w:b/>
          <w:bCs w:val="0"/>
          <w:sz w:val="20"/>
          <w:szCs w:val="20"/>
          <w:lang w:eastAsia="en-GB"/>
        </w:rPr>
      </w:pPr>
    </w:p>
    <w:p w14:paraId="0AFCA85B" w14:textId="77777777" w:rsidR="00DB7F92" w:rsidRPr="00DB7F92" w:rsidRDefault="00DB7F92" w:rsidP="00DB7F92">
      <w:pPr>
        <w:spacing w:before="9"/>
        <w:jc w:val="both"/>
        <w:rPr>
          <w:rFonts w:eastAsia="Segoe UI Semilight" w:cs="Arial"/>
          <w:sz w:val="20"/>
          <w:szCs w:val="20"/>
        </w:rPr>
      </w:pPr>
    </w:p>
    <w:p w14:paraId="19D3553F" w14:textId="433D6564" w:rsidR="00DB7F92" w:rsidRPr="006B14E9" w:rsidRDefault="00782D1D" w:rsidP="006B14E9">
      <w:pPr>
        <w:rPr>
          <w:rFonts w:eastAsiaTheme="majorEastAsia"/>
          <w:i/>
          <w:sz w:val="28"/>
        </w:rPr>
      </w:pPr>
      <w:r>
        <w:rPr>
          <w:rFonts w:eastAsiaTheme="majorEastAsia" w:cs="Arial"/>
          <w:i/>
          <w:iCs/>
          <w:color w:val="404040" w:themeColor="text1" w:themeTint="BF"/>
          <w:spacing w:val="-1"/>
          <w:sz w:val="28"/>
          <w:szCs w:val="28"/>
        </w:rPr>
        <w:br w:type="page"/>
      </w:r>
      <w:r w:rsidR="00DB7F92" w:rsidRPr="006B14E9">
        <w:rPr>
          <w:rFonts w:eastAsiaTheme="majorEastAsia"/>
          <w:i/>
          <w:sz w:val="28"/>
        </w:rPr>
        <w:t>THE OTHER NON-EQUALITY AND HEALTH INEQUALITIES RELATED DUTIES</w:t>
      </w:r>
    </w:p>
    <w:p w14:paraId="5B7A0F7A" w14:textId="77777777" w:rsidR="00DB7F92" w:rsidRPr="00A553BA" w:rsidRDefault="00DB7F92" w:rsidP="00A553BA">
      <w:pPr>
        <w:rPr>
          <w:rFonts w:eastAsiaTheme="majorEastAsia"/>
        </w:rPr>
      </w:pPr>
    </w:p>
    <w:p w14:paraId="74B0A0FF" w14:textId="11FF4956" w:rsidR="00DB7F92" w:rsidRPr="00DB7F92" w:rsidRDefault="00D32C7A" w:rsidP="00DB7F92">
      <w:pPr>
        <w:pStyle w:val="Heading2"/>
        <w:rPr>
          <w:rFonts w:eastAsiaTheme="majorEastAsia"/>
        </w:rPr>
      </w:pPr>
      <w:bookmarkStart w:id="102" w:name="_Toc95743368"/>
      <w:r w:rsidRPr="00DB7F92">
        <w:rPr>
          <w:rFonts w:eastAsiaTheme="majorEastAsia"/>
        </w:rPr>
        <w:t>The Regard Duties</w:t>
      </w:r>
      <w:bookmarkEnd w:id="102"/>
      <w:r w:rsidRPr="00DB7F92">
        <w:rPr>
          <w:rFonts w:eastAsiaTheme="majorEastAsia"/>
        </w:rPr>
        <w:t xml:space="preserve"> </w:t>
      </w:r>
    </w:p>
    <w:p w14:paraId="371D4322" w14:textId="77777777" w:rsidR="00DB7F92" w:rsidRPr="00A553BA" w:rsidRDefault="00DB7F92" w:rsidP="00A553BA">
      <w:pPr>
        <w:rPr>
          <w:rFonts w:eastAsiaTheme="majorEastAsia"/>
          <w:b/>
        </w:rPr>
      </w:pPr>
      <w:r w:rsidRPr="00A553BA">
        <w:rPr>
          <w:rFonts w:eastAsiaTheme="majorEastAsia"/>
          <w:b/>
        </w:rPr>
        <w:t>Introduction</w:t>
      </w:r>
    </w:p>
    <w:p w14:paraId="5449C44F" w14:textId="663BB5C2" w:rsidR="002D119A" w:rsidRDefault="00C84421" w:rsidP="003331F2">
      <w:pPr>
        <w:pStyle w:val="BodyText"/>
      </w:pPr>
      <w:r>
        <w:t xml:space="preserve"> </w:t>
      </w:r>
    </w:p>
    <w:p w14:paraId="78A549C9" w14:textId="77777777" w:rsidR="00DB7F92" w:rsidRPr="00DB7F92" w:rsidRDefault="00DB7F92" w:rsidP="00DD5D2D">
      <w:pPr>
        <w:pStyle w:val="Heading3"/>
        <w:jc w:val="both"/>
        <w:rPr>
          <w:lang w:eastAsia="en-GB"/>
        </w:rPr>
      </w:pPr>
      <w:r w:rsidRPr="00DB7F92">
        <w:rPr>
          <w:lang w:eastAsia="en-GB"/>
        </w:rPr>
        <w:t>The</w:t>
      </w:r>
      <w:r w:rsidRPr="00DB7F92">
        <w:rPr>
          <w:spacing w:val="4"/>
          <w:lang w:eastAsia="en-GB"/>
        </w:rPr>
        <w:t xml:space="preserve"> </w:t>
      </w:r>
      <w:r w:rsidRPr="00DB7F92">
        <w:rPr>
          <w:lang w:eastAsia="en-GB"/>
        </w:rPr>
        <w:t>"Have</w:t>
      </w:r>
      <w:r w:rsidRPr="00DB7F92">
        <w:rPr>
          <w:spacing w:val="7"/>
          <w:lang w:eastAsia="en-GB"/>
        </w:rPr>
        <w:t xml:space="preserve"> </w:t>
      </w:r>
      <w:r w:rsidRPr="00DB7F92">
        <w:rPr>
          <w:lang w:eastAsia="en-GB"/>
        </w:rPr>
        <w:t>regard",</w:t>
      </w:r>
      <w:r w:rsidRPr="00DB7F92">
        <w:rPr>
          <w:spacing w:val="-12"/>
          <w:lang w:eastAsia="en-GB"/>
        </w:rPr>
        <w:t xml:space="preserve"> </w:t>
      </w:r>
      <w:r w:rsidRPr="00DB7F92">
        <w:rPr>
          <w:lang w:eastAsia="en-GB"/>
        </w:rPr>
        <w:t>"act</w:t>
      </w:r>
      <w:r w:rsidRPr="00DB7F92">
        <w:rPr>
          <w:spacing w:val="6"/>
          <w:lang w:eastAsia="en-GB"/>
        </w:rPr>
        <w:t xml:space="preserve"> </w:t>
      </w:r>
      <w:r w:rsidRPr="00DB7F92">
        <w:rPr>
          <w:lang w:eastAsia="en-GB"/>
        </w:rPr>
        <w:t>with</w:t>
      </w:r>
      <w:r w:rsidRPr="00DB7F92">
        <w:rPr>
          <w:spacing w:val="6"/>
          <w:lang w:eastAsia="en-GB"/>
        </w:rPr>
        <w:t xml:space="preserve"> </w:t>
      </w:r>
      <w:r w:rsidRPr="00DB7F92">
        <w:rPr>
          <w:lang w:eastAsia="en-GB"/>
        </w:rPr>
        <w:t>a</w:t>
      </w:r>
      <w:r w:rsidRPr="00DB7F92">
        <w:rPr>
          <w:spacing w:val="5"/>
          <w:lang w:eastAsia="en-GB"/>
        </w:rPr>
        <w:t xml:space="preserve"> </w:t>
      </w:r>
      <w:r w:rsidRPr="00DB7F92">
        <w:rPr>
          <w:lang w:eastAsia="en-GB"/>
        </w:rPr>
        <w:t>view</w:t>
      </w:r>
      <w:r w:rsidRPr="00DB7F92">
        <w:rPr>
          <w:spacing w:val="6"/>
          <w:lang w:eastAsia="en-GB"/>
        </w:rPr>
        <w:t xml:space="preserve"> </w:t>
      </w:r>
      <w:r w:rsidRPr="00DB7F92">
        <w:rPr>
          <w:lang w:eastAsia="en-GB"/>
        </w:rPr>
        <w:t>to"</w:t>
      </w:r>
      <w:r w:rsidRPr="00DB7F92">
        <w:rPr>
          <w:spacing w:val="7"/>
          <w:lang w:eastAsia="en-GB"/>
        </w:rPr>
        <w:t xml:space="preserve"> </w:t>
      </w:r>
      <w:r w:rsidRPr="00DB7F92">
        <w:rPr>
          <w:lang w:eastAsia="en-GB"/>
        </w:rPr>
        <w:t>or</w:t>
      </w:r>
      <w:r w:rsidRPr="00DB7F92">
        <w:rPr>
          <w:spacing w:val="9"/>
          <w:lang w:eastAsia="en-GB"/>
        </w:rPr>
        <w:t xml:space="preserve"> </w:t>
      </w:r>
      <w:r w:rsidRPr="00DB7F92">
        <w:rPr>
          <w:lang w:eastAsia="en-GB"/>
        </w:rPr>
        <w:t>"promote"</w:t>
      </w:r>
      <w:r w:rsidRPr="00DB7F92">
        <w:rPr>
          <w:spacing w:val="7"/>
          <w:lang w:eastAsia="en-GB"/>
        </w:rPr>
        <w:t xml:space="preserve"> </w:t>
      </w:r>
      <w:r w:rsidRPr="00DB7F92">
        <w:rPr>
          <w:lang w:eastAsia="en-GB"/>
        </w:rPr>
        <w:t>duties under the NHS Act 2006</w:t>
      </w:r>
      <w:r w:rsidRPr="00DB7F92">
        <w:rPr>
          <w:spacing w:val="8"/>
          <w:lang w:eastAsia="en-GB"/>
        </w:rPr>
        <w:t xml:space="preserve"> </w:t>
      </w:r>
      <w:r w:rsidRPr="00DB7F92">
        <w:rPr>
          <w:lang w:eastAsia="en-GB"/>
        </w:rPr>
        <w:t>form</w:t>
      </w:r>
      <w:r w:rsidRPr="00DB7F92">
        <w:rPr>
          <w:spacing w:val="71"/>
          <w:lang w:eastAsia="en-GB"/>
        </w:rPr>
        <w:t xml:space="preserve"> </w:t>
      </w:r>
      <w:r w:rsidRPr="00DB7F92">
        <w:rPr>
          <w:lang w:eastAsia="en-GB"/>
        </w:rPr>
        <w:t>a</w:t>
      </w:r>
      <w:r w:rsidRPr="00DB7F92">
        <w:rPr>
          <w:spacing w:val="-6"/>
          <w:lang w:eastAsia="en-GB"/>
        </w:rPr>
        <w:t xml:space="preserve"> </w:t>
      </w:r>
      <w:r w:rsidRPr="00DB7F92">
        <w:rPr>
          <w:lang w:eastAsia="en-GB"/>
        </w:rPr>
        <w:t>loose</w:t>
      </w:r>
      <w:r w:rsidRPr="00DB7F92">
        <w:rPr>
          <w:spacing w:val="-5"/>
          <w:lang w:eastAsia="en-GB"/>
        </w:rPr>
        <w:t xml:space="preserve"> </w:t>
      </w:r>
      <w:r w:rsidRPr="00DB7F92">
        <w:rPr>
          <w:lang w:eastAsia="en-GB"/>
        </w:rPr>
        <w:t>hierarchy</w:t>
      </w:r>
      <w:r w:rsidRPr="00DB7F92">
        <w:rPr>
          <w:spacing w:val="-5"/>
          <w:lang w:eastAsia="en-GB"/>
        </w:rPr>
        <w:t xml:space="preserve"> </w:t>
      </w:r>
      <w:r w:rsidRPr="00DB7F92">
        <w:rPr>
          <w:lang w:eastAsia="en-GB"/>
        </w:rPr>
        <w:t>of</w:t>
      </w:r>
      <w:r w:rsidRPr="00DB7F92">
        <w:rPr>
          <w:spacing w:val="-3"/>
          <w:lang w:eastAsia="en-GB"/>
        </w:rPr>
        <w:t xml:space="preserve"> legal </w:t>
      </w:r>
      <w:r w:rsidRPr="00DB7F92">
        <w:rPr>
          <w:lang w:eastAsia="en-GB"/>
        </w:rPr>
        <w:t>duties:</w:t>
      </w:r>
    </w:p>
    <w:p w14:paraId="780CAD6F" w14:textId="77777777" w:rsidR="00DB7F92" w:rsidRPr="00C84421" w:rsidRDefault="00DB7F92" w:rsidP="006C3DF5">
      <w:pPr>
        <w:pStyle w:val="ListParagraph"/>
        <w:widowControl w:val="0"/>
        <w:numPr>
          <w:ilvl w:val="0"/>
          <w:numId w:val="76"/>
        </w:numPr>
        <w:tabs>
          <w:tab w:val="left" w:pos="2528"/>
        </w:tabs>
        <w:spacing w:before="120" w:after="120" w:line="360" w:lineRule="auto"/>
        <w:ind w:left="714" w:right="116" w:hanging="357"/>
        <w:jc w:val="both"/>
        <w:rPr>
          <w:rFonts w:cs="Arial"/>
          <w:bCs w:val="0"/>
          <w:szCs w:val="24"/>
          <w:lang w:eastAsia="en-GB"/>
        </w:rPr>
      </w:pPr>
      <w:r w:rsidRPr="00C84421">
        <w:rPr>
          <w:rFonts w:cs="Arial"/>
          <w:bCs w:val="0"/>
          <w:spacing w:val="-1"/>
          <w:szCs w:val="24"/>
          <w:lang w:eastAsia="en-GB"/>
        </w:rPr>
        <w:t>The</w:t>
      </w:r>
      <w:r w:rsidRPr="00C84421">
        <w:rPr>
          <w:rFonts w:cs="Arial"/>
          <w:bCs w:val="0"/>
          <w:spacing w:val="55"/>
          <w:szCs w:val="24"/>
          <w:lang w:eastAsia="en-GB"/>
        </w:rPr>
        <w:t xml:space="preserve"> </w:t>
      </w:r>
      <w:r w:rsidRPr="00C84421">
        <w:rPr>
          <w:rFonts w:cs="Arial"/>
          <w:bCs w:val="0"/>
          <w:spacing w:val="-1"/>
          <w:szCs w:val="24"/>
          <w:lang w:eastAsia="en-GB"/>
        </w:rPr>
        <w:t>duty</w:t>
      </w:r>
      <w:r w:rsidRPr="00C84421">
        <w:rPr>
          <w:rFonts w:cs="Arial"/>
          <w:bCs w:val="0"/>
          <w:spacing w:val="56"/>
          <w:szCs w:val="24"/>
          <w:lang w:eastAsia="en-GB"/>
        </w:rPr>
        <w:t xml:space="preserve"> </w:t>
      </w:r>
      <w:r w:rsidRPr="00C84421">
        <w:rPr>
          <w:rFonts w:cs="Arial"/>
          <w:bCs w:val="0"/>
          <w:szCs w:val="24"/>
          <w:lang w:eastAsia="en-GB"/>
        </w:rPr>
        <w:t>to</w:t>
      </w:r>
      <w:r w:rsidRPr="00C84421">
        <w:rPr>
          <w:rFonts w:cs="Arial"/>
          <w:bCs w:val="0"/>
          <w:spacing w:val="55"/>
          <w:szCs w:val="24"/>
          <w:lang w:eastAsia="en-GB"/>
        </w:rPr>
        <w:t xml:space="preserve"> </w:t>
      </w:r>
      <w:r w:rsidRPr="00C84421">
        <w:rPr>
          <w:rFonts w:cs="Arial"/>
          <w:bCs w:val="0"/>
          <w:spacing w:val="-1"/>
          <w:szCs w:val="24"/>
          <w:lang w:eastAsia="en-GB"/>
        </w:rPr>
        <w:t>have</w:t>
      </w:r>
      <w:r w:rsidRPr="00C84421">
        <w:rPr>
          <w:rFonts w:cs="Arial"/>
          <w:bCs w:val="0"/>
          <w:spacing w:val="57"/>
          <w:szCs w:val="24"/>
          <w:lang w:eastAsia="en-GB"/>
        </w:rPr>
        <w:t xml:space="preserve"> </w:t>
      </w:r>
      <w:r w:rsidRPr="00C84421">
        <w:rPr>
          <w:rFonts w:cs="Arial"/>
          <w:bCs w:val="0"/>
          <w:spacing w:val="-1"/>
          <w:szCs w:val="24"/>
          <w:lang w:eastAsia="en-GB"/>
        </w:rPr>
        <w:t>regard</w:t>
      </w:r>
      <w:r w:rsidRPr="00C84421">
        <w:rPr>
          <w:rFonts w:cs="Arial"/>
          <w:bCs w:val="0"/>
          <w:spacing w:val="37"/>
          <w:szCs w:val="24"/>
          <w:lang w:eastAsia="en-GB"/>
        </w:rPr>
        <w:t xml:space="preserve"> </w:t>
      </w:r>
      <w:r w:rsidRPr="00C84421">
        <w:rPr>
          <w:rFonts w:cs="Arial"/>
          <w:bCs w:val="0"/>
          <w:spacing w:val="-1"/>
          <w:szCs w:val="24"/>
          <w:lang w:eastAsia="en-GB"/>
        </w:rPr>
        <w:t>means</w:t>
      </w:r>
      <w:r w:rsidRPr="00C84421">
        <w:rPr>
          <w:rFonts w:cs="Arial"/>
          <w:bCs w:val="0"/>
          <w:spacing w:val="57"/>
          <w:szCs w:val="24"/>
          <w:lang w:eastAsia="en-GB"/>
        </w:rPr>
        <w:t xml:space="preserve"> </w:t>
      </w:r>
      <w:r w:rsidRPr="00C84421">
        <w:rPr>
          <w:rFonts w:cs="Arial"/>
          <w:bCs w:val="0"/>
          <w:spacing w:val="-1"/>
          <w:szCs w:val="24"/>
          <w:lang w:eastAsia="en-GB"/>
        </w:rPr>
        <w:t>that</w:t>
      </w:r>
      <w:r w:rsidRPr="00C84421">
        <w:rPr>
          <w:rFonts w:cs="Arial"/>
          <w:bCs w:val="0"/>
          <w:spacing w:val="56"/>
          <w:szCs w:val="24"/>
          <w:lang w:eastAsia="en-GB"/>
        </w:rPr>
        <w:t xml:space="preserve"> </w:t>
      </w:r>
      <w:r w:rsidRPr="00C84421">
        <w:rPr>
          <w:rFonts w:cs="Arial"/>
          <w:bCs w:val="0"/>
          <w:spacing w:val="-1"/>
          <w:szCs w:val="24"/>
          <w:lang w:eastAsia="en-GB"/>
        </w:rPr>
        <w:t>when</w:t>
      </w:r>
      <w:r w:rsidRPr="00C84421">
        <w:rPr>
          <w:rFonts w:cs="Arial"/>
          <w:bCs w:val="0"/>
          <w:spacing w:val="56"/>
          <w:szCs w:val="24"/>
          <w:lang w:eastAsia="en-GB"/>
        </w:rPr>
        <w:t xml:space="preserve"> </w:t>
      </w:r>
      <w:r w:rsidRPr="00C84421">
        <w:rPr>
          <w:rFonts w:cs="Arial"/>
          <w:bCs w:val="0"/>
          <w:spacing w:val="-1"/>
          <w:szCs w:val="24"/>
          <w:lang w:eastAsia="en-GB"/>
        </w:rPr>
        <w:t>taking</w:t>
      </w:r>
      <w:r w:rsidRPr="00C84421">
        <w:rPr>
          <w:rFonts w:cs="Arial"/>
          <w:bCs w:val="0"/>
          <w:spacing w:val="56"/>
          <w:szCs w:val="24"/>
          <w:lang w:eastAsia="en-GB"/>
        </w:rPr>
        <w:t xml:space="preserve"> </w:t>
      </w:r>
      <w:r w:rsidRPr="00C84421">
        <w:rPr>
          <w:rFonts w:cs="Arial"/>
          <w:bCs w:val="0"/>
          <w:spacing w:val="-1"/>
          <w:szCs w:val="24"/>
          <w:lang w:eastAsia="en-GB"/>
        </w:rPr>
        <w:t>actions,</w:t>
      </w:r>
      <w:r w:rsidRPr="00C84421">
        <w:rPr>
          <w:rFonts w:cs="Arial"/>
          <w:bCs w:val="0"/>
          <w:spacing w:val="56"/>
          <w:szCs w:val="24"/>
          <w:lang w:eastAsia="en-GB"/>
        </w:rPr>
        <w:t xml:space="preserve"> </w:t>
      </w:r>
      <w:r w:rsidRPr="00C84421">
        <w:rPr>
          <w:rFonts w:cs="Arial"/>
          <w:bCs w:val="0"/>
          <w:szCs w:val="24"/>
          <w:lang w:eastAsia="en-GB"/>
        </w:rPr>
        <w:t>a</w:t>
      </w:r>
      <w:r w:rsidRPr="00C84421">
        <w:rPr>
          <w:rFonts w:cs="Arial"/>
          <w:bCs w:val="0"/>
          <w:spacing w:val="37"/>
          <w:w w:val="99"/>
          <w:szCs w:val="24"/>
          <w:lang w:eastAsia="en-GB"/>
        </w:rPr>
        <w:t xml:space="preserve"> </w:t>
      </w:r>
      <w:r w:rsidRPr="00C84421">
        <w:rPr>
          <w:rFonts w:cs="Arial"/>
          <w:bCs w:val="0"/>
          <w:spacing w:val="-1"/>
          <w:szCs w:val="24"/>
          <w:lang w:eastAsia="en-GB"/>
        </w:rPr>
        <w:t>certain</w:t>
      </w:r>
      <w:r w:rsidRPr="00C84421">
        <w:rPr>
          <w:rFonts w:cs="Arial"/>
          <w:bCs w:val="0"/>
          <w:spacing w:val="-8"/>
          <w:szCs w:val="24"/>
          <w:lang w:eastAsia="en-GB"/>
        </w:rPr>
        <w:t xml:space="preserve"> </w:t>
      </w:r>
      <w:r w:rsidRPr="00C84421">
        <w:rPr>
          <w:rFonts w:cs="Arial"/>
          <w:bCs w:val="0"/>
          <w:szCs w:val="24"/>
          <w:lang w:eastAsia="en-GB"/>
        </w:rPr>
        <w:t>thing</w:t>
      </w:r>
      <w:r w:rsidRPr="00C84421">
        <w:rPr>
          <w:rFonts w:cs="Arial"/>
          <w:bCs w:val="0"/>
          <w:spacing w:val="-7"/>
          <w:szCs w:val="24"/>
          <w:lang w:eastAsia="en-GB"/>
        </w:rPr>
        <w:t xml:space="preserve"> </w:t>
      </w:r>
      <w:r w:rsidRPr="00C84421">
        <w:rPr>
          <w:rFonts w:cs="Arial"/>
          <w:bCs w:val="0"/>
          <w:spacing w:val="-1"/>
          <w:szCs w:val="24"/>
          <w:lang w:eastAsia="en-GB"/>
        </w:rPr>
        <w:t>must</w:t>
      </w:r>
      <w:r w:rsidRPr="00C84421">
        <w:rPr>
          <w:rFonts w:cs="Arial"/>
          <w:bCs w:val="0"/>
          <w:spacing w:val="-4"/>
          <w:szCs w:val="24"/>
          <w:lang w:eastAsia="en-GB"/>
        </w:rPr>
        <w:t xml:space="preserve"> </w:t>
      </w:r>
      <w:r w:rsidRPr="00C84421">
        <w:rPr>
          <w:rFonts w:cs="Arial"/>
          <w:bCs w:val="0"/>
          <w:spacing w:val="-1"/>
          <w:szCs w:val="24"/>
          <w:lang w:eastAsia="en-GB"/>
        </w:rPr>
        <w:t>be</w:t>
      </w:r>
      <w:r w:rsidRPr="00C84421">
        <w:rPr>
          <w:rFonts w:cs="Arial"/>
          <w:bCs w:val="0"/>
          <w:spacing w:val="-5"/>
          <w:szCs w:val="24"/>
          <w:lang w:eastAsia="en-GB"/>
        </w:rPr>
        <w:t xml:space="preserve"> </w:t>
      </w:r>
      <w:r w:rsidRPr="00C84421">
        <w:rPr>
          <w:rFonts w:cs="Arial"/>
          <w:bCs w:val="0"/>
          <w:spacing w:val="-1"/>
          <w:szCs w:val="24"/>
          <w:lang w:eastAsia="en-GB"/>
        </w:rPr>
        <w:t>considered</w:t>
      </w:r>
    </w:p>
    <w:p w14:paraId="196680A0" w14:textId="77777777" w:rsidR="00DB7F92" w:rsidRPr="00C84421" w:rsidRDefault="00DB7F92" w:rsidP="006C3DF5">
      <w:pPr>
        <w:pStyle w:val="ListParagraph"/>
        <w:widowControl w:val="0"/>
        <w:numPr>
          <w:ilvl w:val="0"/>
          <w:numId w:val="76"/>
        </w:numPr>
        <w:tabs>
          <w:tab w:val="left" w:pos="2528"/>
        </w:tabs>
        <w:spacing w:before="120" w:after="120" w:line="360" w:lineRule="auto"/>
        <w:ind w:left="714" w:right="116" w:hanging="357"/>
        <w:jc w:val="both"/>
        <w:rPr>
          <w:rFonts w:cs="Arial"/>
          <w:bCs w:val="0"/>
          <w:szCs w:val="24"/>
          <w:lang w:eastAsia="en-GB"/>
        </w:rPr>
      </w:pPr>
      <w:r w:rsidRPr="00C84421">
        <w:rPr>
          <w:rFonts w:cs="Arial"/>
          <w:bCs w:val="0"/>
          <w:spacing w:val="-1"/>
          <w:szCs w:val="24"/>
          <w:lang w:eastAsia="en-GB"/>
        </w:rPr>
        <w:t>The</w:t>
      </w:r>
      <w:r w:rsidRPr="00C84421">
        <w:rPr>
          <w:rFonts w:cs="Arial"/>
          <w:bCs w:val="0"/>
          <w:spacing w:val="7"/>
          <w:szCs w:val="24"/>
          <w:lang w:eastAsia="en-GB"/>
        </w:rPr>
        <w:t xml:space="preserve"> </w:t>
      </w:r>
      <w:r w:rsidRPr="00C84421">
        <w:rPr>
          <w:rFonts w:cs="Arial"/>
          <w:bCs w:val="0"/>
          <w:spacing w:val="-1"/>
          <w:szCs w:val="24"/>
          <w:lang w:eastAsia="en-GB"/>
        </w:rPr>
        <w:t>duty</w:t>
      </w:r>
      <w:r w:rsidRPr="00C84421">
        <w:rPr>
          <w:rFonts w:cs="Arial"/>
          <w:bCs w:val="0"/>
          <w:spacing w:val="9"/>
          <w:szCs w:val="24"/>
          <w:lang w:eastAsia="en-GB"/>
        </w:rPr>
        <w:t xml:space="preserve"> </w:t>
      </w:r>
      <w:r w:rsidRPr="00C84421">
        <w:rPr>
          <w:rFonts w:cs="Arial"/>
          <w:bCs w:val="0"/>
          <w:spacing w:val="-1"/>
          <w:szCs w:val="24"/>
          <w:lang w:eastAsia="en-GB"/>
        </w:rPr>
        <w:t>to</w:t>
      </w:r>
      <w:r w:rsidRPr="00C84421">
        <w:rPr>
          <w:rFonts w:cs="Arial"/>
          <w:bCs w:val="0"/>
          <w:spacing w:val="7"/>
          <w:szCs w:val="24"/>
          <w:lang w:eastAsia="en-GB"/>
        </w:rPr>
        <w:t xml:space="preserve"> </w:t>
      </w:r>
      <w:r w:rsidRPr="00C84421">
        <w:rPr>
          <w:rFonts w:cs="Arial"/>
          <w:bCs w:val="0"/>
          <w:spacing w:val="-1"/>
          <w:szCs w:val="24"/>
          <w:lang w:eastAsia="en-GB"/>
        </w:rPr>
        <w:t>promote</w:t>
      </w:r>
      <w:r w:rsidRPr="00C84421">
        <w:rPr>
          <w:rFonts w:cs="Arial"/>
          <w:bCs w:val="0"/>
          <w:spacing w:val="-8"/>
          <w:szCs w:val="24"/>
          <w:lang w:eastAsia="en-GB"/>
        </w:rPr>
        <w:t xml:space="preserve"> </w:t>
      </w:r>
      <w:r w:rsidRPr="00C84421">
        <w:rPr>
          <w:rFonts w:cs="Arial"/>
          <w:bCs w:val="0"/>
          <w:spacing w:val="-1"/>
          <w:szCs w:val="24"/>
          <w:lang w:eastAsia="en-GB"/>
        </w:rPr>
        <w:t>means</w:t>
      </w:r>
      <w:r w:rsidRPr="00C84421">
        <w:rPr>
          <w:rFonts w:cs="Arial"/>
          <w:bCs w:val="0"/>
          <w:spacing w:val="8"/>
          <w:szCs w:val="24"/>
          <w:lang w:eastAsia="en-GB"/>
        </w:rPr>
        <w:t xml:space="preserve"> </w:t>
      </w:r>
      <w:r w:rsidRPr="00C84421">
        <w:rPr>
          <w:rFonts w:cs="Arial"/>
          <w:bCs w:val="0"/>
          <w:spacing w:val="-1"/>
          <w:szCs w:val="24"/>
          <w:lang w:eastAsia="en-GB"/>
        </w:rPr>
        <w:t>action</w:t>
      </w:r>
      <w:r w:rsidRPr="00C84421">
        <w:rPr>
          <w:rFonts w:cs="Arial"/>
          <w:bCs w:val="0"/>
          <w:spacing w:val="10"/>
          <w:szCs w:val="24"/>
          <w:lang w:eastAsia="en-GB"/>
        </w:rPr>
        <w:t xml:space="preserve"> </w:t>
      </w:r>
      <w:r w:rsidRPr="00C84421">
        <w:rPr>
          <w:rFonts w:cs="Arial"/>
          <w:bCs w:val="0"/>
          <w:spacing w:val="-1"/>
          <w:szCs w:val="24"/>
          <w:lang w:eastAsia="en-GB"/>
        </w:rPr>
        <w:t>must</w:t>
      </w:r>
      <w:r w:rsidRPr="00C84421">
        <w:rPr>
          <w:rFonts w:cs="Arial"/>
          <w:bCs w:val="0"/>
          <w:spacing w:val="8"/>
          <w:szCs w:val="24"/>
          <w:lang w:eastAsia="en-GB"/>
        </w:rPr>
        <w:t xml:space="preserve"> </w:t>
      </w:r>
      <w:r w:rsidRPr="00C84421">
        <w:rPr>
          <w:rFonts w:cs="Arial"/>
          <w:bCs w:val="0"/>
          <w:spacing w:val="-1"/>
          <w:szCs w:val="24"/>
          <w:lang w:eastAsia="en-GB"/>
        </w:rPr>
        <w:t>be</w:t>
      </w:r>
      <w:r w:rsidRPr="00C84421">
        <w:rPr>
          <w:rFonts w:cs="Arial"/>
          <w:bCs w:val="0"/>
          <w:spacing w:val="11"/>
          <w:szCs w:val="24"/>
          <w:lang w:eastAsia="en-GB"/>
        </w:rPr>
        <w:t xml:space="preserve"> </w:t>
      </w:r>
      <w:r w:rsidRPr="00C84421">
        <w:rPr>
          <w:rFonts w:cs="Arial"/>
          <w:bCs w:val="0"/>
          <w:spacing w:val="-1"/>
          <w:szCs w:val="24"/>
          <w:lang w:eastAsia="en-GB"/>
        </w:rPr>
        <w:t>taken</w:t>
      </w:r>
      <w:r w:rsidRPr="00C84421">
        <w:rPr>
          <w:rFonts w:cs="Arial"/>
          <w:bCs w:val="0"/>
          <w:spacing w:val="7"/>
          <w:szCs w:val="24"/>
          <w:lang w:eastAsia="en-GB"/>
        </w:rPr>
        <w:t xml:space="preserve"> </w:t>
      </w:r>
      <w:r w:rsidRPr="00C84421">
        <w:rPr>
          <w:rFonts w:cs="Arial"/>
          <w:bCs w:val="0"/>
          <w:spacing w:val="-1"/>
          <w:szCs w:val="24"/>
          <w:lang w:eastAsia="en-GB"/>
        </w:rPr>
        <w:t>that</w:t>
      </w:r>
      <w:r w:rsidRPr="00C84421">
        <w:rPr>
          <w:rFonts w:cs="Arial"/>
          <w:bCs w:val="0"/>
          <w:spacing w:val="8"/>
          <w:szCs w:val="24"/>
          <w:lang w:eastAsia="en-GB"/>
        </w:rPr>
        <w:t xml:space="preserve"> </w:t>
      </w:r>
      <w:r w:rsidRPr="00C84421">
        <w:rPr>
          <w:rFonts w:cs="Arial"/>
          <w:bCs w:val="0"/>
          <w:spacing w:val="-1"/>
          <w:szCs w:val="24"/>
          <w:lang w:eastAsia="en-GB"/>
        </w:rPr>
        <w:t>actually</w:t>
      </w:r>
      <w:r w:rsidRPr="00C84421">
        <w:rPr>
          <w:rFonts w:cs="Arial"/>
          <w:bCs w:val="0"/>
          <w:spacing w:val="43"/>
          <w:szCs w:val="24"/>
          <w:lang w:eastAsia="en-GB"/>
        </w:rPr>
        <w:t xml:space="preserve"> </w:t>
      </w:r>
      <w:r w:rsidRPr="00C84421">
        <w:rPr>
          <w:rFonts w:cs="Arial"/>
          <w:bCs w:val="0"/>
          <w:spacing w:val="-1"/>
          <w:szCs w:val="24"/>
          <w:lang w:eastAsia="en-GB"/>
        </w:rPr>
        <w:t>achieves</w:t>
      </w:r>
      <w:r w:rsidRPr="00C84421">
        <w:rPr>
          <w:rFonts w:cs="Arial"/>
          <w:bCs w:val="0"/>
          <w:spacing w:val="48"/>
          <w:szCs w:val="24"/>
          <w:lang w:eastAsia="en-GB"/>
        </w:rPr>
        <w:t xml:space="preserve"> </w:t>
      </w:r>
      <w:r w:rsidRPr="00C84421">
        <w:rPr>
          <w:rFonts w:cs="Arial"/>
          <w:bCs w:val="0"/>
          <w:spacing w:val="-1"/>
          <w:szCs w:val="24"/>
          <w:lang w:eastAsia="en-GB"/>
        </w:rPr>
        <w:t>an</w:t>
      </w:r>
      <w:r w:rsidRPr="00C84421">
        <w:rPr>
          <w:rFonts w:cs="Arial"/>
          <w:bCs w:val="0"/>
          <w:spacing w:val="50"/>
          <w:szCs w:val="24"/>
          <w:lang w:eastAsia="en-GB"/>
        </w:rPr>
        <w:t xml:space="preserve"> </w:t>
      </w:r>
      <w:r w:rsidRPr="00C84421">
        <w:rPr>
          <w:rFonts w:cs="Arial"/>
          <w:bCs w:val="0"/>
          <w:spacing w:val="-1"/>
          <w:szCs w:val="24"/>
          <w:lang w:eastAsia="en-GB"/>
        </w:rPr>
        <w:t>outcome.</w:t>
      </w:r>
      <w:r w:rsidRPr="00C84421">
        <w:rPr>
          <w:rFonts w:cs="Arial"/>
          <w:bCs w:val="0"/>
          <w:spacing w:val="33"/>
          <w:szCs w:val="24"/>
          <w:lang w:eastAsia="en-GB"/>
        </w:rPr>
        <w:t xml:space="preserve"> </w:t>
      </w:r>
      <w:r w:rsidRPr="00C84421">
        <w:rPr>
          <w:rFonts w:cs="Arial"/>
          <w:bCs w:val="0"/>
          <w:spacing w:val="-1"/>
          <w:szCs w:val="24"/>
          <w:lang w:eastAsia="en-GB"/>
        </w:rPr>
        <w:t>Additionally,</w:t>
      </w:r>
      <w:r w:rsidRPr="00C84421">
        <w:rPr>
          <w:rFonts w:cs="Arial"/>
          <w:bCs w:val="0"/>
          <w:spacing w:val="50"/>
          <w:szCs w:val="24"/>
          <w:lang w:eastAsia="en-GB"/>
        </w:rPr>
        <w:t xml:space="preserve"> </w:t>
      </w:r>
      <w:r w:rsidRPr="00C84421">
        <w:rPr>
          <w:rFonts w:cs="Arial"/>
          <w:bCs w:val="0"/>
          <w:spacing w:val="-1"/>
          <w:szCs w:val="24"/>
          <w:lang w:eastAsia="en-GB"/>
        </w:rPr>
        <w:t>it</w:t>
      </w:r>
      <w:r w:rsidRPr="00C84421">
        <w:rPr>
          <w:rFonts w:cs="Arial"/>
          <w:bCs w:val="0"/>
          <w:spacing w:val="48"/>
          <w:szCs w:val="24"/>
          <w:lang w:eastAsia="en-GB"/>
        </w:rPr>
        <w:t xml:space="preserve"> </w:t>
      </w:r>
      <w:r w:rsidRPr="00C84421">
        <w:rPr>
          <w:rFonts w:cs="Arial"/>
          <w:bCs w:val="0"/>
          <w:spacing w:val="-1"/>
          <w:szCs w:val="24"/>
          <w:lang w:eastAsia="en-GB"/>
        </w:rPr>
        <w:t>is</w:t>
      </w:r>
      <w:r w:rsidRPr="00C84421">
        <w:rPr>
          <w:rFonts w:cs="Arial"/>
          <w:bCs w:val="0"/>
          <w:spacing w:val="48"/>
          <w:szCs w:val="24"/>
          <w:lang w:eastAsia="en-GB"/>
        </w:rPr>
        <w:t xml:space="preserve"> </w:t>
      </w:r>
      <w:r w:rsidRPr="00C84421">
        <w:rPr>
          <w:rFonts w:cs="Arial"/>
          <w:bCs w:val="0"/>
          <w:spacing w:val="-1"/>
          <w:szCs w:val="24"/>
          <w:lang w:eastAsia="en-GB"/>
        </w:rPr>
        <w:t>possible</w:t>
      </w:r>
      <w:r w:rsidRPr="00C84421">
        <w:rPr>
          <w:rFonts w:cs="Arial"/>
          <w:bCs w:val="0"/>
          <w:spacing w:val="47"/>
          <w:szCs w:val="24"/>
          <w:lang w:eastAsia="en-GB"/>
        </w:rPr>
        <w:t xml:space="preserve"> </w:t>
      </w:r>
      <w:r w:rsidRPr="00C84421">
        <w:rPr>
          <w:rFonts w:cs="Arial"/>
          <w:bCs w:val="0"/>
          <w:szCs w:val="24"/>
          <w:lang w:eastAsia="en-GB"/>
        </w:rPr>
        <w:t>to</w:t>
      </w:r>
      <w:r w:rsidRPr="00C84421">
        <w:rPr>
          <w:rFonts w:cs="Arial"/>
          <w:bCs w:val="0"/>
          <w:spacing w:val="49"/>
          <w:szCs w:val="24"/>
          <w:lang w:eastAsia="en-GB"/>
        </w:rPr>
        <w:t xml:space="preserve"> </w:t>
      </w:r>
      <w:r w:rsidRPr="00C84421">
        <w:rPr>
          <w:rFonts w:cs="Arial"/>
          <w:bCs w:val="0"/>
          <w:spacing w:val="-1"/>
          <w:szCs w:val="24"/>
          <w:lang w:eastAsia="en-GB"/>
        </w:rPr>
        <w:t>promote</w:t>
      </w:r>
      <w:r w:rsidRPr="00C84421">
        <w:rPr>
          <w:rFonts w:cs="Arial"/>
          <w:bCs w:val="0"/>
          <w:spacing w:val="57"/>
          <w:w w:val="99"/>
          <w:szCs w:val="24"/>
          <w:lang w:eastAsia="en-GB"/>
        </w:rPr>
        <w:t xml:space="preserve"> </w:t>
      </w:r>
      <w:r w:rsidRPr="00C84421">
        <w:rPr>
          <w:rFonts w:cs="Arial"/>
          <w:bCs w:val="0"/>
          <w:spacing w:val="-1"/>
          <w:szCs w:val="24"/>
          <w:lang w:eastAsia="en-GB"/>
        </w:rPr>
        <w:t>something</w:t>
      </w:r>
      <w:r w:rsidRPr="00C84421">
        <w:rPr>
          <w:rFonts w:cs="Arial"/>
          <w:bCs w:val="0"/>
          <w:spacing w:val="-4"/>
          <w:szCs w:val="24"/>
          <w:lang w:eastAsia="en-GB"/>
        </w:rPr>
        <w:t xml:space="preserve"> </w:t>
      </w:r>
      <w:r w:rsidRPr="00C84421">
        <w:rPr>
          <w:rFonts w:cs="Arial"/>
          <w:bCs w:val="0"/>
          <w:spacing w:val="-1"/>
          <w:szCs w:val="24"/>
          <w:lang w:eastAsia="en-GB"/>
        </w:rPr>
        <w:t>by</w:t>
      </w:r>
      <w:r w:rsidRPr="00C84421">
        <w:rPr>
          <w:rFonts w:cs="Arial"/>
          <w:bCs w:val="0"/>
          <w:spacing w:val="-4"/>
          <w:szCs w:val="24"/>
          <w:lang w:eastAsia="en-GB"/>
        </w:rPr>
        <w:t xml:space="preserve"> </w:t>
      </w:r>
      <w:r w:rsidRPr="00C84421">
        <w:rPr>
          <w:rFonts w:cs="Arial"/>
          <w:bCs w:val="0"/>
          <w:spacing w:val="-1"/>
          <w:szCs w:val="24"/>
          <w:lang w:eastAsia="en-GB"/>
        </w:rPr>
        <w:t>encouraging</w:t>
      </w:r>
      <w:r w:rsidRPr="00C84421">
        <w:rPr>
          <w:rFonts w:cs="Arial"/>
          <w:bCs w:val="0"/>
          <w:spacing w:val="-3"/>
          <w:szCs w:val="24"/>
          <w:lang w:eastAsia="en-GB"/>
        </w:rPr>
        <w:t xml:space="preserve"> </w:t>
      </w:r>
      <w:r w:rsidRPr="00C84421">
        <w:rPr>
          <w:rFonts w:cs="Arial"/>
          <w:bCs w:val="0"/>
          <w:spacing w:val="-1"/>
          <w:szCs w:val="24"/>
          <w:lang w:eastAsia="en-GB"/>
        </w:rPr>
        <w:t>others</w:t>
      </w:r>
      <w:r w:rsidRPr="00C84421">
        <w:rPr>
          <w:rFonts w:cs="Arial"/>
          <w:bCs w:val="0"/>
          <w:spacing w:val="-4"/>
          <w:szCs w:val="24"/>
          <w:lang w:eastAsia="en-GB"/>
        </w:rPr>
        <w:t xml:space="preserve"> </w:t>
      </w:r>
      <w:r w:rsidRPr="00C84421">
        <w:rPr>
          <w:rFonts w:cs="Arial"/>
          <w:bCs w:val="0"/>
          <w:szCs w:val="24"/>
          <w:lang w:eastAsia="en-GB"/>
        </w:rPr>
        <w:t>to</w:t>
      </w:r>
      <w:r w:rsidRPr="00C84421">
        <w:rPr>
          <w:rFonts w:cs="Arial"/>
          <w:bCs w:val="0"/>
          <w:spacing w:val="-3"/>
          <w:szCs w:val="24"/>
          <w:lang w:eastAsia="en-GB"/>
        </w:rPr>
        <w:t xml:space="preserve"> </w:t>
      </w:r>
      <w:r w:rsidRPr="00C84421">
        <w:rPr>
          <w:rFonts w:cs="Arial"/>
          <w:bCs w:val="0"/>
          <w:spacing w:val="-1"/>
          <w:szCs w:val="24"/>
          <w:lang w:eastAsia="en-GB"/>
        </w:rPr>
        <w:t>do</w:t>
      </w:r>
      <w:r w:rsidRPr="00C84421">
        <w:rPr>
          <w:rFonts w:cs="Arial"/>
          <w:bCs w:val="0"/>
          <w:spacing w:val="-3"/>
          <w:szCs w:val="24"/>
          <w:lang w:eastAsia="en-GB"/>
        </w:rPr>
        <w:t xml:space="preserve"> </w:t>
      </w:r>
      <w:r w:rsidRPr="00C84421">
        <w:rPr>
          <w:rFonts w:cs="Arial"/>
          <w:bCs w:val="0"/>
          <w:spacing w:val="-1"/>
          <w:szCs w:val="24"/>
          <w:lang w:eastAsia="en-GB"/>
        </w:rPr>
        <w:t>it.</w:t>
      </w:r>
    </w:p>
    <w:p w14:paraId="0C613300" w14:textId="77777777" w:rsidR="00DB7F92" w:rsidRPr="00C84421" w:rsidRDefault="00DB7F92" w:rsidP="006C3DF5">
      <w:pPr>
        <w:pStyle w:val="ListParagraph"/>
        <w:widowControl w:val="0"/>
        <w:numPr>
          <w:ilvl w:val="0"/>
          <w:numId w:val="76"/>
        </w:numPr>
        <w:tabs>
          <w:tab w:val="left" w:pos="2528"/>
        </w:tabs>
        <w:spacing w:before="120" w:after="120" w:line="360" w:lineRule="auto"/>
        <w:ind w:left="714" w:right="118" w:hanging="357"/>
        <w:jc w:val="both"/>
        <w:rPr>
          <w:rFonts w:cs="Arial"/>
          <w:bCs w:val="0"/>
          <w:szCs w:val="24"/>
          <w:lang w:eastAsia="en-GB"/>
        </w:rPr>
      </w:pPr>
      <w:r w:rsidRPr="00C84421">
        <w:rPr>
          <w:rFonts w:cs="Arial"/>
          <w:bCs w:val="0"/>
          <w:spacing w:val="-1"/>
          <w:szCs w:val="24"/>
          <w:lang w:eastAsia="en-GB"/>
        </w:rPr>
        <w:t>The</w:t>
      </w:r>
      <w:r w:rsidRPr="00C84421">
        <w:rPr>
          <w:rFonts w:cs="Arial"/>
          <w:bCs w:val="0"/>
          <w:spacing w:val="-2"/>
          <w:szCs w:val="24"/>
          <w:lang w:eastAsia="en-GB"/>
        </w:rPr>
        <w:t xml:space="preserve"> </w:t>
      </w:r>
      <w:r w:rsidRPr="00C84421">
        <w:rPr>
          <w:rFonts w:cs="Arial"/>
          <w:bCs w:val="0"/>
          <w:spacing w:val="-1"/>
          <w:szCs w:val="24"/>
          <w:lang w:eastAsia="en-GB"/>
        </w:rPr>
        <w:t xml:space="preserve">duty </w:t>
      </w:r>
      <w:r w:rsidRPr="00C84421">
        <w:rPr>
          <w:rFonts w:cs="Arial"/>
          <w:bCs w:val="0"/>
          <w:szCs w:val="24"/>
          <w:lang w:eastAsia="en-GB"/>
        </w:rPr>
        <w:t>to</w:t>
      </w:r>
      <w:r w:rsidRPr="00C84421">
        <w:rPr>
          <w:rFonts w:cs="Arial"/>
          <w:bCs w:val="0"/>
          <w:spacing w:val="-2"/>
          <w:szCs w:val="24"/>
          <w:lang w:eastAsia="en-GB"/>
        </w:rPr>
        <w:t xml:space="preserve"> </w:t>
      </w:r>
      <w:r w:rsidRPr="00C84421">
        <w:rPr>
          <w:rFonts w:cs="Arial"/>
          <w:bCs w:val="0"/>
          <w:szCs w:val="24"/>
          <w:lang w:eastAsia="en-GB"/>
        </w:rPr>
        <w:t>act</w:t>
      </w:r>
      <w:r w:rsidRPr="00C84421">
        <w:rPr>
          <w:rFonts w:cs="Arial"/>
          <w:bCs w:val="0"/>
          <w:spacing w:val="-2"/>
          <w:szCs w:val="24"/>
          <w:lang w:eastAsia="en-GB"/>
        </w:rPr>
        <w:t xml:space="preserve"> </w:t>
      </w:r>
      <w:r w:rsidRPr="00C84421">
        <w:rPr>
          <w:rFonts w:cs="Arial"/>
          <w:bCs w:val="0"/>
          <w:spacing w:val="-1"/>
          <w:szCs w:val="24"/>
          <w:lang w:eastAsia="en-GB"/>
        </w:rPr>
        <w:t>with</w:t>
      </w:r>
      <w:r w:rsidRPr="00C84421">
        <w:rPr>
          <w:rFonts w:cs="Arial"/>
          <w:bCs w:val="0"/>
          <w:szCs w:val="24"/>
          <w:lang w:eastAsia="en-GB"/>
        </w:rPr>
        <w:t xml:space="preserve"> a</w:t>
      </w:r>
      <w:r w:rsidRPr="00C84421">
        <w:rPr>
          <w:rFonts w:cs="Arial"/>
          <w:bCs w:val="0"/>
          <w:spacing w:val="-1"/>
          <w:szCs w:val="24"/>
          <w:lang w:eastAsia="en-GB"/>
        </w:rPr>
        <w:t xml:space="preserve"> </w:t>
      </w:r>
      <w:r w:rsidRPr="00C84421">
        <w:rPr>
          <w:rFonts w:cs="Arial"/>
          <w:bCs w:val="0"/>
          <w:szCs w:val="24"/>
          <w:lang w:eastAsia="en-GB"/>
        </w:rPr>
        <w:t>view</w:t>
      </w:r>
      <w:r w:rsidRPr="00C84421">
        <w:rPr>
          <w:rFonts w:cs="Arial"/>
          <w:bCs w:val="0"/>
          <w:spacing w:val="-3"/>
          <w:szCs w:val="24"/>
          <w:lang w:eastAsia="en-GB"/>
        </w:rPr>
        <w:t xml:space="preserve"> </w:t>
      </w:r>
      <w:r w:rsidRPr="00C84421">
        <w:rPr>
          <w:rFonts w:cs="Arial"/>
          <w:bCs w:val="0"/>
          <w:spacing w:val="-1"/>
          <w:szCs w:val="24"/>
          <w:lang w:eastAsia="en-GB"/>
        </w:rPr>
        <w:t>to</w:t>
      </w:r>
      <w:r w:rsidRPr="00C84421">
        <w:rPr>
          <w:rFonts w:cs="Arial"/>
          <w:bCs w:val="0"/>
          <w:spacing w:val="-19"/>
          <w:szCs w:val="24"/>
          <w:lang w:eastAsia="en-GB"/>
        </w:rPr>
        <w:t xml:space="preserve"> </w:t>
      </w:r>
      <w:r w:rsidRPr="00C84421">
        <w:rPr>
          <w:rFonts w:cs="Arial"/>
          <w:bCs w:val="0"/>
          <w:spacing w:val="-1"/>
          <w:szCs w:val="24"/>
          <w:lang w:eastAsia="en-GB"/>
        </w:rPr>
        <w:t>means</w:t>
      </w:r>
      <w:r w:rsidRPr="00C84421">
        <w:rPr>
          <w:rFonts w:cs="Arial"/>
          <w:bCs w:val="0"/>
          <w:szCs w:val="24"/>
          <w:lang w:eastAsia="en-GB"/>
        </w:rPr>
        <w:t xml:space="preserve"> </w:t>
      </w:r>
      <w:r w:rsidRPr="00C84421">
        <w:rPr>
          <w:rFonts w:cs="Arial"/>
          <w:bCs w:val="0"/>
          <w:spacing w:val="-1"/>
          <w:szCs w:val="24"/>
          <w:lang w:eastAsia="en-GB"/>
        </w:rPr>
        <w:t>that action must</w:t>
      </w:r>
      <w:r w:rsidRPr="00C84421">
        <w:rPr>
          <w:rFonts w:cs="Arial"/>
          <w:bCs w:val="0"/>
          <w:szCs w:val="24"/>
          <w:lang w:eastAsia="en-GB"/>
        </w:rPr>
        <w:t xml:space="preserve"> </w:t>
      </w:r>
      <w:r w:rsidRPr="00C84421">
        <w:rPr>
          <w:rFonts w:cs="Arial"/>
          <w:bCs w:val="0"/>
          <w:spacing w:val="-1"/>
          <w:szCs w:val="24"/>
          <w:lang w:eastAsia="en-GB"/>
        </w:rPr>
        <w:t>be</w:t>
      </w:r>
      <w:r w:rsidRPr="00C84421">
        <w:rPr>
          <w:rFonts w:cs="Arial"/>
          <w:bCs w:val="0"/>
          <w:spacing w:val="-2"/>
          <w:szCs w:val="24"/>
          <w:lang w:eastAsia="en-GB"/>
        </w:rPr>
        <w:t xml:space="preserve"> </w:t>
      </w:r>
      <w:r w:rsidRPr="00C84421">
        <w:rPr>
          <w:rFonts w:cs="Arial"/>
          <w:bCs w:val="0"/>
          <w:szCs w:val="24"/>
          <w:lang w:eastAsia="en-GB"/>
        </w:rPr>
        <w:t>taken</w:t>
      </w:r>
      <w:r w:rsidRPr="00C84421">
        <w:rPr>
          <w:rFonts w:cs="Arial"/>
          <w:bCs w:val="0"/>
          <w:spacing w:val="39"/>
          <w:szCs w:val="24"/>
          <w:lang w:eastAsia="en-GB"/>
        </w:rPr>
        <w:t xml:space="preserve"> </w:t>
      </w:r>
      <w:r w:rsidRPr="00C84421">
        <w:rPr>
          <w:rFonts w:cs="Arial"/>
          <w:bCs w:val="0"/>
          <w:spacing w:val="-1"/>
          <w:szCs w:val="24"/>
          <w:lang w:eastAsia="en-GB"/>
        </w:rPr>
        <w:t>with</w:t>
      </w:r>
      <w:r w:rsidRPr="00C84421">
        <w:rPr>
          <w:rFonts w:cs="Arial"/>
          <w:bCs w:val="0"/>
          <w:spacing w:val="-6"/>
          <w:szCs w:val="24"/>
          <w:lang w:eastAsia="en-GB"/>
        </w:rPr>
        <w:t xml:space="preserve"> </w:t>
      </w:r>
      <w:r w:rsidRPr="00C84421">
        <w:rPr>
          <w:rFonts w:cs="Arial"/>
          <w:bCs w:val="0"/>
          <w:szCs w:val="24"/>
          <w:lang w:eastAsia="en-GB"/>
        </w:rPr>
        <w:t>a</w:t>
      </w:r>
      <w:r w:rsidRPr="00C84421">
        <w:rPr>
          <w:rFonts w:cs="Arial"/>
          <w:bCs w:val="0"/>
          <w:spacing w:val="-6"/>
          <w:szCs w:val="24"/>
          <w:lang w:eastAsia="en-GB"/>
        </w:rPr>
        <w:t xml:space="preserve"> </w:t>
      </w:r>
      <w:r w:rsidRPr="00C84421">
        <w:rPr>
          <w:rFonts w:cs="Arial"/>
          <w:bCs w:val="0"/>
          <w:spacing w:val="-1"/>
          <w:szCs w:val="24"/>
          <w:lang w:eastAsia="en-GB"/>
        </w:rPr>
        <w:t>purpose</w:t>
      </w:r>
      <w:r w:rsidRPr="00C84421">
        <w:rPr>
          <w:rFonts w:cs="Arial"/>
          <w:bCs w:val="0"/>
          <w:spacing w:val="-4"/>
          <w:szCs w:val="24"/>
          <w:lang w:eastAsia="en-GB"/>
        </w:rPr>
        <w:t xml:space="preserve"> </w:t>
      </w:r>
      <w:r w:rsidRPr="00C84421">
        <w:rPr>
          <w:rFonts w:cs="Arial"/>
          <w:bCs w:val="0"/>
          <w:spacing w:val="-1"/>
          <w:szCs w:val="24"/>
          <w:lang w:eastAsia="en-GB"/>
        </w:rPr>
        <w:t>in</w:t>
      </w:r>
      <w:r w:rsidRPr="00C84421">
        <w:rPr>
          <w:rFonts w:cs="Arial"/>
          <w:bCs w:val="0"/>
          <w:spacing w:val="-6"/>
          <w:szCs w:val="24"/>
          <w:lang w:eastAsia="en-GB"/>
        </w:rPr>
        <w:t xml:space="preserve"> </w:t>
      </w:r>
      <w:r w:rsidRPr="00C84421">
        <w:rPr>
          <w:rFonts w:cs="Arial"/>
          <w:bCs w:val="0"/>
          <w:spacing w:val="-1"/>
          <w:szCs w:val="24"/>
          <w:lang w:eastAsia="en-GB"/>
        </w:rPr>
        <w:t>mind.</w:t>
      </w:r>
    </w:p>
    <w:p w14:paraId="07EE354F" w14:textId="384A32A3" w:rsidR="00DB7F92" w:rsidRPr="00DB7F92" w:rsidRDefault="00DB7F92" w:rsidP="00DD5D2D">
      <w:pPr>
        <w:pStyle w:val="Heading3"/>
        <w:jc w:val="both"/>
        <w:rPr>
          <w:lang w:eastAsia="en-GB"/>
        </w:rPr>
      </w:pPr>
      <w:r w:rsidRPr="00DB7F92">
        <w:rPr>
          <w:lang w:eastAsia="en-GB"/>
        </w:rPr>
        <w:t>In</w:t>
      </w:r>
      <w:r w:rsidRPr="00DB7F92">
        <w:rPr>
          <w:spacing w:val="19"/>
          <w:lang w:eastAsia="en-GB"/>
        </w:rPr>
        <w:t xml:space="preserve"> </w:t>
      </w:r>
      <w:r w:rsidRPr="00DB7F92">
        <w:rPr>
          <w:lang w:eastAsia="en-GB"/>
        </w:rPr>
        <w:t>contrast</w:t>
      </w:r>
      <w:r w:rsidRPr="00DB7F92">
        <w:rPr>
          <w:spacing w:val="20"/>
          <w:lang w:eastAsia="en-GB"/>
        </w:rPr>
        <w:t xml:space="preserve"> </w:t>
      </w:r>
      <w:r w:rsidRPr="00DB7F92">
        <w:rPr>
          <w:lang w:eastAsia="en-GB"/>
        </w:rPr>
        <w:t>to</w:t>
      </w:r>
      <w:r w:rsidRPr="00DB7F92">
        <w:rPr>
          <w:spacing w:val="19"/>
          <w:lang w:eastAsia="en-GB"/>
        </w:rPr>
        <w:t xml:space="preserve"> </w:t>
      </w:r>
      <w:r w:rsidRPr="00DB7F92">
        <w:rPr>
          <w:lang w:eastAsia="en-GB"/>
        </w:rPr>
        <w:t>the</w:t>
      </w:r>
      <w:r w:rsidRPr="00DB7F92">
        <w:rPr>
          <w:spacing w:val="21"/>
          <w:lang w:eastAsia="en-GB"/>
        </w:rPr>
        <w:t xml:space="preserve"> </w:t>
      </w:r>
      <w:r w:rsidRPr="00DB7F92">
        <w:rPr>
          <w:lang w:eastAsia="en-GB"/>
        </w:rPr>
        <w:t>Promotion</w:t>
      </w:r>
      <w:r w:rsidRPr="00DB7F92">
        <w:rPr>
          <w:spacing w:val="19"/>
          <w:lang w:eastAsia="en-GB"/>
        </w:rPr>
        <w:t xml:space="preserve"> </w:t>
      </w:r>
      <w:r w:rsidRPr="00DB7F92">
        <w:rPr>
          <w:lang w:eastAsia="en-GB"/>
        </w:rPr>
        <w:t>Duties</w:t>
      </w:r>
      <w:r w:rsidRPr="00DB7F92">
        <w:rPr>
          <w:spacing w:val="20"/>
          <w:lang w:eastAsia="en-GB"/>
        </w:rPr>
        <w:t xml:space="preserve"> </w:t>
      </w:r>
      <w:r w:rsidRPr="00DB7F92">
        <w:rPr>
          <w:lang w:eastAsia="en-GB"/>
        </w:rPr>
        <w:t>and</w:t>
      </w:r>
      <w:r w:rsidRPr="00DB7F92">
        <w:rPr>
          <w:spacing w:val="20"/>
          <w:lang w:eastAsia="en-GB"/>
        </w:rPr>
        <w:t xml:space="preserve"> </w:t>
      </w:r>
      <w:r w:rsidRPr="00DB7F92">
        <w:rPr>
          <w:lang w:eastAsia="en-GB"/>
        </w:rPr>
        <w:t>the</w:t>
      </w:r>
      <w:r w:rsidRPr="00DB7F92">
        <w:rPr>
          <w:spacing w:val="21"/>
          <w:lang w:eastAsia="en-GB"/>
        </w:rPr>
        <w:t xml:space="preserve"> </w:t>
      </w:r>
      <w:r w:rsidRPr="00DB7F92">
        <w:rPr>
          <w:lang w:eastAsia="en-GB"/>
        </w:rPr>
        <w:t>View</w:t>
      </w:r>
      <w:r w:rsidRPr="00DB7F92">
        <w:rPr>
          <w:spacing w:val="22"/>
          <w:lang w:eastAsia="en-GB"/>
        </w:rPr>
        <w:t xml:space="preserve"> </w:t>
      </w:r>
      <w:r w:rsidRPr="00DB7F92">
        <w:rPr>
          <w:lang w:eastAsia="en-GB"/>
        </w:rPr>
        <w:t>To</w:t>
      </w:r>
      <w:r w:rsidRPr="00DB7F92">
        <w:rPr>
          <w:spacing w:val="19"/>
          <w:lang w:eastAsia="en-GB"/>
        </w:rPr>
        <w:t xml:space="preserve"> </w:t>
      </w:r>
      <w:r w:rsidRPr="00DB7F92">
        <w:rPr>
          <w:lang w:eastAsia="en-GB"/>
        </w:rPr>
        <w:t>Duties,</w:t>
      </w:r>
      <w:r w:rsidRPr="00DB7F92">
        <w:rPr>
          <w:spacing w:val="20"/>
          <w:lang w:eastAsia="en-GB"/>
        </w:rPr>
        <w:t xml:space="preserve"> </w:t>
      </w:r>
      <w:r w:rsidRPr="00DB7F92">
        <w:rPr>
          <w:lang w:eastAsia="en-GB"/>
        </w:rPr>
        <w:t>the</w:t>
      </w:r>
      <w:r w:rsidRPr="00DB7F92">
        <w:rPr>
          <w:spacing w:val="19"/>
          <w:lang w:eastAsia="en-GB"/>
        </w:rPr>
        <w:t xml:space="preserve"> </w:t>
      </w:r>
      <w:r w:rsidRPr="00DB7F92">
        <w:rPr>
          <w:lang w:eastAsia="en-GB"/>
        </w:rPr>
        <w:t>Regard</w:t>
      </w:r>
      <w:r w:rsidRPr="00DB7F92">
        <w:rPr>
          <w:spacing w:val="57"/>
          <w:lang w:eastAsia="en-GB"/>
        </w:rPr>
        <w:t xml:space="preserve"> </w:t>
      </w:r>
      <w:r w:rsidRPr="00DB7F92">
        <w:rPr>
          <w:lang w:eastAsia="en-GB"/>
        </w:rPr>
        <w:t>Duties</w:t>
      </w:r>
      <w:r w:rsidRPr="00DB7F92">
        <w:rPr>
          <w:spacing w:val="24"/>
          <w:lang w:eastAsia="en-GB"/>
        </w:rPr>
        <w:t xml:space="preserve"> </w:t>
      </w:r>
      <w:r w:rsidRPr="00DB7F92">
        <w:rPr>
          <w:lang w:eastAsia="en-GB"/>
        </w:rPr>
        <w:t>apply</w:t>
      </w:r>
      <w:r w:rsidRPr="00DB7F92">
        <w:rPr>
          <w:spacing w:val="25"/>
          <w:lang w:eastAsia="en-GB"/>
        </w:rPr>
        <w:t xml:space="preserve"> </w:t>
      </w:r>
      <w:r w:rsidRPr="00DB7F92">
        <w:rPr>
          <w:lang w:eastAsia="en-GB"/>
        </w:rPr>
        <w:t>to</w:t>
      </w:r>
      <w:r w:rsidRPr="00DB7F92">
        <w:rPr>
          <w:spacing w:val="24"/>
          <w:lang w:eastAsia="en-GB"/>
        </w:rPr>
        <w:t xml:space="preserve"> </w:t>
      </w:r>
      <w:r w:rsidRPr="00DB7F92">
        <w:rPr>
          <w:lang w:eastAsia="en-GB"/>
        </w:rPr>
        <w:t>every</w:t>
      </w:r>
      <w:r w:rsidRPr="00DB7F92">
        <w:rPr>
          <w:spacing w:val="25"/>
          <w:lang w:eastAsia="en-GB"/>
        </w:rPr>
        <w:t xml:space="preserve"> </w:t>
      </w:r>
      <w:r w:rsidRPr="00DB7F92">
        <w:rPr>
          <w:lang w:eastAsia="en-GB"/>
        </w:rPr>
        <w:t>action</w:t>
      </w:r>
      <w:r w:rsidRPr="00DB7F92">
        <w:rPr>
          <w:spacing w:val="24"/>
          <w:lang w:eastAsia="en-GB"/>
        </w:rPr>
        <w:t xml:space="preserve"> </w:t>
      </w:r>
      <w:r w:rsidRPr="00DB7F92">
        <w:rPr>
          <w:lang w:eastAsia="en-GB"/>
        </w:rPr>
        <w:t>of</w:t>
      </w:r>
      <w:r w:rsidRPr="00DB7F92">
        <w:rPr>
          <w:spacing w:val="23"/>
          <w:lang w:eastAsia="en-GB"/>
        </w:rPr>
        <w:t xml:space="preserve"> a commissioner </w:t>
      </w:r>
      <w:r w:rsidRPr="00DB7F92">
        <w:rPr>
          <w:lang w:eastAsia="en-GB"/>
        </w:rPr>
        <w:t>where</w:t>
      </w:r>
      <w:r w:rsidRPr="00DB7F92">
        <w:rPr>
          <w:spacing w:val="23"/>
          <w:lang w:eastAsia="en-GB"/>
        </w:rPr>
        <w:t xml:space="preserve"> </w:t>
      </w:r>
      <w:r w:rsidRPr="00DB7F92">
        <w:rPr>
          <w:lang w:eastAsia="en-GB"/>
        </w:rPr>
        <w:t>it</w:t>
      </w:r>
      <w:r w:rsidRPr="00DB7F92">
        <w:rPr>
          <w:spacing w:val="25"/>
          <w:lang w:eastAsia="en-GB"/>
        </w:rPr>
        <w:t xml:space="preserve"> </w:t>
      </w:r>
      <w:r w:rsidRPr="00DB7F92">
        <w:rPr>
          <w:lang w:eastAsia="en-GB"/>
        </w:rPr>
        <w:t>is</w:t>
      </w:r>
      <w:r w:rsidRPr="00DB7F92">
        <w:rPr>
          <w:spacing w:val="25"/>
          <w:lang w:eastAsia="en-GB"/>
        </w:rPr>
        <w:t xml:space="preserve"> </w:t>
      </w:r>
      <w:r w:rsidRPr="00DB7F92">
        <w:rPr>
          <w:lang w:eastAsia="en-GB"/>
        </w:rPr>
        <w:t>carrying</w:t>
      </w:r>
      <w:r w:rsidRPr="00DB7F92">
        <w:rPr>
          <w:spacing w:val="23"/>
          <w:lang w:eastAsia="en-GB"/>
        </w:rPr>
        <w:t xml:space="preserve"> </w:t>
      </w:r>
      <w:r w:rsidRPr="00DB7F92">
        <w:rPr>
          <w:lang w:eastAsia="en-GB"/>
        </w:rPr>
        <w:t>out</w:t>
      </w:r>
      <w:r w:rsidRPr="00DB7F92">
        <w:rPr>
          <w:spacing w:val="25"/>
          <w:lang w:eastAsia="en-GB"/>
        </w:rPr>
        <w:t xml:space="preserve"> </w:t>
      </w:r>
      <w:r w:rsidRPr="00DB7F92">
        <w:rPr>
          <w:lang w:eastAsia="en-GB"/>
        </w:rPr>
        <w:t>its</w:t>
      </w:r>
      <w:r w:rsidRPr="00DB7F92">
        <w:rPr>
          <w:spacing w:val="53"/>
          <w:lang w:eastAsia="en-GB"/>
        </w:rPr>
        <w:t xml:space="preserve"> </w:t>
      </w:r>
      <w:r w:rsidRPr="00DB7F92">
        <w:rPr>
          <w:lang w:eastAsia="en-GB"/>
        </w:rPr>
        <w:t>primary</w:t>
      </w:r>
      <w:r w:rsidRPr="00DB7F92">
        <w:rPr>
          <w:spacing w:val="-3"/>
          <w:lang w:eastAsia="en-GB"/>
        </w:rPr>
        <w:t xml:space="preserve"> </w:t>
      </w:r>
      <w:r w:rsidRPr="00DB7F92">
        <w:rPr>
          <w:lang w:eastAsia="en-GB"/>
        </w:rPr>
        <w:t>care</w:t>
      </w:r>
      <w:r w:rsidRPr="00DB7F92">
        <w:rPr>
          <w:spacing w:val="-3"/>
          <w:lang w:eastAsia="en-GB"/>
        </w:rPr>
        <w:t xml:space="preserve"> </w:t>
      </w:r>
      <w:r w:rsidRPr="00DB7F92">
        <w:rPr>
          <w:lang w:eastAsia="en-GB"/>
        </w:rPr>
        <w:t>functions.</w:t>
      </w:r>
      <w:r w:rsidRPr="00DB7F92">
        <w:rPr>
          <w:spacing w:val="65"/>
          <w:lang w:eastAsia="en-GB"/>
        </w:rPr>
        <w:t xml:space="preserve"> </w:t>
      </w:r>
      <w:r w:rsidRPr="00DB7F92">
        <w:rPr>
          <w:lang w:eastAsia="en-GB"/>
        </w:rPr>
        <w:t>(Pausing there,</w:t>
      </w:r>
      <w:r w:rsidRPr="00DB7F92">
        <w:rPr>
          <w:spacing w:val="-2"/>
          <w:lang w:eastAsia="en-GB"/>
        </w:rPr>
        <w:t xml:space="preserve"> </w:t>
      </w:r>
      <w:r w:rsidRPr="00DB7F92">
        <w:rPr>
          <w:lang w:eastAsia="en-GB"/>
        </w:rPr>
        <w:t>the</w:t>
      </w:r>
      <w:r w:rsidRPr="00DB7F92">
        <w:rPr>
          <w:spacing w:val="-4"/>
          <w:lang w:eastAsia="en-GB"/>
        </w:rPr>
        <w:t xml:space="preserve"> </w:t>
      </w:r>
      <w:r w:rsidRPr="00DB7F92">
        <w:rPr>
          <w:lang w:eastAsia="en-GB"/>
        </w:rPr>
        <w:t>duty</w:t>
      </w:r>
      <w:r w:rsidRPr="00DB7F92">
        <w:rPr>
          <w:spacing w:val="-2"/>
          <w:lang w:eastAsia="en-GB"/>
        </w:rPr>
        <w:t xml:space="preserve"> </w:t>
      </w:r>
      <w:r w:rsidRPr="00DB7F92">
        <w:rPr>
          <w:lang w:eastAsia="en-GB"/>
        </w:rPr>
        <w:t>will not</w:t>
      </w:r>
      <w:r w:rsidRPr="00DB7F92">
        <w:rPr>
          <w:spacing w:val="-2"/>
          <w:lang w:eastAsia="en-GB"/>
        </w:rPr>
        <w:t xml:space="preserve"> </w:t>
      </w:r>
      <w:r w:rsidRPr="00DB7F92">
        <w:rPr>
          <w:lang w:eastAsia="en-GB"/>
        </w:rPr>
        <w:t>normally</w:t>
      </w:r>
      <w:r w:rsidRPr="00DB7F92">
        <w:rPr>
          <w:spacing w:val="1"/>
          <w:lang w:eastAsia="en-GB"/>
        </w:rPr>
        <w:t xml:space="preserve"> </w:t>
      </w:r>
      <w:r w:rsidRPr="00DB7F92">
        <w:rPr>
          <w:lang w:eastAsia="en-GB"/>
        </w:rPr>
        <w:t>apply</w:t>
      </w:r>
      <w:r w:rsidRPr="00DB7F92">
        <w:rPr>
          <w:spacing w:val="-2"/>
          <w:lang w:eastAsia="en-GB"/>
        </w:rPr>
        <w:t xml:space="preserve"> </w:t>
      </w:r>
      <w:r w:rsidRPr="00DB7F92">
        <w:rPr>
          <w:lang w:eastAsia="en-GB"/>
        </w:rPr>
        <w:t>to</w:t>
      </w:r>
      <w:r w:rsidRPr="00DB7F92">
        <w:rPr>
          <w:spacing w:val="47"/>
          <w:lang w:eastAsia="en-GB"/>
        </w:rPr>
        <w:t xml:space="preserve"> </w:t>
      </w:r>
      <w:r w:rsidRPr="00DB7F92">
        <w:rPr>
          <w:lang w:eastAsia="en-GB"/>
        </w:rPr>
        <w:t>"private</w:t>
      </w:r>
      <w:r w:rsidRPr="00DB7F92">
        <w:rPr>
          <w:spacing w:val="30"/>
          <w:lang w:eastAsia="en-GB"/>
        </w:rPr>
        <w:t xml:space="preserve"> </w:t>
      </w:r>
      <w:r w:rsidRPr="00DB7F92">
        <w:rPr>
          <w:lang w:eastAsia="en-GB"/>
        </w:rPr>
        <w:t>law"</w:t>
      </w:r>
      <w:r w:rsidRPr="00DB7F92">
        <w:rPr>
          <w:spacing w:val="30"/>
          <w:lang w:eastAsia="en-GB"/>
        </w:rPr>
        <w:t xml:space="preserve"> </w:t>
      </w:r>
      <w:r w:rsidRPr="00DB7F92">
        <w:rPr>
          <w:lang w:eastAsia="en-GB"/>
        </w:rPr>
        <w:t>decisions</w:t>
      </w:r>
      <w:r w:rsidRPr="00DB7F92">
        <w:rPr>
          <w:spacing w:val="30"/>
          <w:lang w:eastAsia="en-GB"/>
        </w:rPr>
        <w:t xml:space="preserve"> </w:t>
      </w:r>
      <w:r w:rsidRPr="00DB7F92">
        <w:rPr>
          <w:lang w:eastAsia="en-GB"/>
        </w:rPr>
        <w:t>that</w:t>
      </w:r>
      <w:r w:rsidRPr="00DB7F92">
        <w:rPr>
          <w:spacing w:val="30"/>
          <w:lang w:eastAsia="en-GB"/>
        </w:rPr>
        <w:t xml:space="preserve"> </w:t>
      </w:r>
      <w:r w:rsidRPr="00DB7F92">
        <w:rPr>
          <w:lang w:eastAsia="en-GB"/>
        </w:rPr>
        <w:t>would</w:t>
      </w:r>
      <w:r w:rsidRPr="00DB7F92">
        <w:rPr>
          <w:spacing w:val="30"/>
          <w:lang w:eastAsia="en-GB"/>
        </w:rPr>
        <w:t xml:space="preserve"> </w:t>
      </w:r>
      <w:r w:rsidRPr="00DB7F92">
        <w:rPr>
          <w:lang w:eastAsia="en-GB"/>
        </w:rPr>
        <w:t>be</w:t>
      </w:r>
      <w:r w:rsidRPr="00DB7F92">
        <w:rPr>
          <w:spacing w:val="30"/>
          <w:lang w:eastAsia="en-GB"/>
        </w:rPr>
        <w:t xml:space="preserve"> </w:t>
      </w:r>
      <w:r w:rsidRPr="00DB7F92">
        <w:rPr>
          <w:lang w:eastAsia="en-GB"/>
        </w:rPr>
        <w:t>taken</w:t>
      </w:r>
      <w:r w:rsidRPr="00DB7F92">
        <w:rPr>
          <w:spacing w:val="30"/>
          <w:lang w:eastAsia="en-GB"/>
        </w:rPr>
        <w:t xml:space="preserve"> </w:t>
      </w:r>
      <w:r w:rsidRPr="00DB7F92">
        <w:rPr>
          <w:lang w:eastAsia="en-GB"/>
        </w:rPr>
        <w:t>by</w:t>
      </w:r>
      <w:r w:rsidRPr="00DB7F92">
        <w:rPr>
          <w:spacing w:val="29"/>
          <w:lang w:eastAsia="en-GB"/>
        </w:rPr>
        <w:t xml:space="preserve"> </w:t>
      </w:r>
      <w:r w:rsidRPr="00DB7F92">
        <w:rPr>
          <w:lang w:eastAsia="en-GB"/>
        </w:rPr>
        <w:t>any</w:t>
      </w:r>
      <w:r w:rsidRPr="00DB7F92">
        <w:rPr>
          <w:spacing w:val="32"/>
          <w:lang w:eastAsia="en-GB"/>
        </w:rPr>
        <w:t xml:space="preserve"> </w:t>
      </w:r>
      <w:r w:rsidRPr="00DB7F92">
        <w:rPr>
          <w:lang w:eastAsia="en-GB"/>
        </w:rPr>
        <w:t>private</w:t>
      </w:r>
      <w:r w:rsidRPr="00DB7F92">
        <w:rPr>
          <w:spacing w:val="29"/>
          <w:lang w:eastAsia="en-GB"/>
        </w:rPr>
        <w:t xml:space="preserve"> </w:t>
      </w:r>
      <w:r w:rsidRPr="00DB7F92">
        <w:rPr>
          <w:lang w:eastAsia="en-GB"/>
        </w:rPr>
        <w:t>sector</w:t>
      </w:r>
      <w:r w:rsidRPr="00DB7F92">
        <w:rPr>
          <w:spacing w:val="53"/>
          <w:w w:val="99"/>
          <w:lang w:eastAsia="en-GB"/>
        </w:rPr>
        <w:t xml:space="preserve"> </w:t>
      </w:r>
      <w:r w:rsidRPr="00DB7F92">
        <w:rPr>
          <w:lang w:eastAsia="en-GB"/>
        </w:rPr>
        <w:t>organisation</w:t>
      </w:r>
      <w:r w:rsidRPr="00DB7F92">
        <w:rPr>
          <w:spacing w:val="-4"/>
          <w:lang w:eastAsia="en-GB"/>
        </w:rPr>
        <w:t xml:space="preserve"> </w:t>
      </w:r>
      <w:r w:rsidRPr="00DB7F92">
        <w:rPr>
          <w:lang w:eastAsia="en-GB"/>
        </w:rPr>
        <w:t>–</w:t>
      </w:r>
      <w:r w:rsidR="007B3708">
        <w:rPr>
          <w:lang w:eastAsia="en-GB"/>
        </w:rPr>
        <w:t xml:space="preserve"> </w:t>
      </w:r>
      <w:r w:rsidRPr="00DB7F92">
        <w:rPr>
          <w:lang w:eastAsia="en-GB"/>
        </w:rPr>
        <w:t>leasing</w:t>
      </w:r>
      <w:r w:rsidRPr="00DB7F92">
        <w:rPr>
          <w:spacing w:val="-5"/>
          <w:lang w:eastAsia="en-GB"/>
        </w:rPr>
        <w:t xml:space="preserve"> </w:t>
      </w:r>
      <w:r w:rsidRPr="00DB7F92">
        <w:rPr>
          <w:lang w:eastAsia="en-GB"/>
        </w:rPr>
        <w:t>estate</w:t>
      </w:r>
      <w:r w:rsidRPr="00DB7F92">
        <w:rPr>
          <w:spacing w:val="-6"/>
          <w:lang w:eastAsia="en-GB"/>
        </w:rPr>
        <w:t xml:space="preserve"> </w:t>
      </w:r>
      <w:r w:rsidRPr="00DB7F92">
        <w:rPr>
          <w:lang w:eastAsia="en-GB"/>
        </w:rPr>
        <w:t>etc.)</w:t>
      </w:r>
    </w:p>
    <w:p w14:paraId="587FD4EA" w14:textId="77777777" w:rsidR="00DB7F92" w:rsidRPr="00DB7F92" w:rsidRDefault="00DB7F92" w:rsidP="00DD5D2D">
      <w:pPr>
        <w:pStyle w:val="Heading3"/>
        <w:jc w:val="both"/>
        <w:rPr>
          <w:lang w:eastAsia="en-GB"/>
        </w:rPr>
      </w:pPr>
      <w:r w:rsidRPr="00DB7F92">
        <w:rPr>
          <w:lang w:eastAsia="en-GB"/>
        </w:rPr>
        <w:t>The</w:t>
      </w:r>
      <w:r w:rsidRPr="00DB7F92">
        <w:rPr>
          <w:spacing w:val="28"/>
          <w:lang w:eastAsia="en-GB"/>
        </w:rPr>
        <w:t xml:space="preserve"> </w:t>
      </w:r>
      <w:r w:rsidRPr="00DB7F92">
        <w:rPr>
          <w:lang w:eastAsia="en-GB"/>
        </w:rPr>
        <w:t>PSED</w:t>
      </w:r>
      <w:r w:rsidRPr="00DB7F92">
        <w:rPr>
          <w:spacing w:val="29"/>
          <w:lang w:eastAsia="en-GB"/>
        </w:rPr>
        <w:t xml:space="preserve"> </w:t>
      </w:r>
      <w:r w:rsidRPr="00DB7F92">
        <w:rPr>
          <w:lang w:eastAsia="en-GB"/>
        </w:rPr>
        <w:t>cases</w:t>
      </w:r>
      <w:r w:rsidRPr="00DB7F92">
        <w:rPr>
          <w:spacing w:val="30"/>
          <w:lang w:eastAsia="en-GB"/>
        </w:rPr>
        <w:t xml:space="preserve"> </w:t>
      </w:r>
      <w:r w:rsidRPr="00DB7F92">
        <w:rPr>
          <w:lang w:eastAsia="en-GB"/>
        </w:rPr>
        <w:t>are</w:t>
      </w:r>
      <w:r w:rsidRPr="00DB7F92">
        <w:rPr>
          <w:spacing w:val="28"/>
          <w:lang w:eastAsia="en-GB"/>
        </w:rPr>
        <w:t xml:space="preserve"> </w:t>
      </w:r>
      <w:r w:rsidRPr="00DB7F92">
        <w:rPr>
          <w:lang w:eastAsia="en-GB"/>
        </w:rPr>
        <w:t>the</w:t>
      </w:r>
      <w:r w:rsidRPr="00DB7F92">
        <w:rPr>
          <w:spacing w:val="28"/>
          <w:lang w:eastAsia="en-GB"/>
        </w:rPr>
        <w:t xml:space="preserve"> </w:t>
      </w:r>
      <w:r w:rsidRPr="00DB7F92">
        <w:rPr>
          <w:lang w:eastAsia="en-GB"/>
        </w:rPr>
        <w:t>best</w:t>
      </w:r>
      <w:r w:rsidRPr="00DB7F92">
        <w:rPr>
          <w:spacing w:val="30"/>
          <w:lang w:eastAsia="en-GB"/>
        </w:rPr>
        <w:t xml:space="preserve"> </w:t>
      </w:r>
      <w:r w:rsidRPr="00DB7F92">
        <w:rPr>
          <w:lang w:eastAsia="en-GB"/>
        </w:rPr>
        <w:t>guide</w:t>
      </w:r>
      <w:r w:rsidRPr="00DB7F92">
        <w:rPr>
          <w:spacing w:val="28"/>
          <w:lang w:eastAsia="en-GB"/>
        </w:rPr>
        <w:t xml:space="preserve"> </w:t>
      </w:r>
      <w:r w:rsidRPr="00DB7F92">
        <w:rPr>
          <w:lang w:eastAsia="en-GB"/>
        </w:rPr>
        <w:t>that</w:t>
      </w:r>
      <w:r w:rsidRPr="00DB7F92">
        <w:rPr>
          <w:spacing w:val="30"/>
          <w:lang w:eastAsia="en-GB"/>
        </w:rPr>
        <w:t xml:space="preserve"> </w:t>
      </w:r>
      <w:r w:rsidRPr="00DB7F92">
        <w:rPr>
          <w:lang w:eastAsia="en-GB"/>
        </w:rPr>
        <w:t>we</w:t>
      </w:r>
      <w:r w:rsidRPr="00DB7F92">
        <w:rPr>
          <w:spacing w:val="28"/>
          <w:lang w:eastAsia="en-GB"/>
        </w:rPr>
        <w:t xml:space="preserve"> </w:t>
      </w:r>
      <w:r w:rsidRPr="00DB7F92">
        <w:rPr>
          <w:lang w:eastAsia="en-GB"/>
        </w:rPr>
        <w:t>have</w:t>
      </w:r>
      <w:r w:rsidRPr="00DB7F92">
        <w:rPr>
          <w:spacing w:val="28"/>
          <w:lang w:eastAsia="en-GB"/>
        </w:rPr>
        <w:t xml:space="preserve"> </w:t>
      </w:r>
      <w:r w:rsidRPr="00DB7F92">
        <w:rPr>
          <w:lang w:eastAsia="en-GB"/>
        </w:rPr>
        <w:t>to</w:t>
      </w:r>
      <w:r w:rsidRPr="00DB7F92">
        <w:rPr>
          <w:spacing w:val="28"/>
          <w:lang w:eastAsia="en-GB"/>
        </w:rPr>
        <w:t xml:space="preserve"> </w:t>
      </w:r>
      <w:r w:rsidRPr="00DB7F92">
        <w:rPr>
          <w:lang w:eastAsia="en-GB"/>
        </w:rPr>
        <w:t>how</w:t>
      </w:r>
      <w:r w:rsidRPr="00DB7F92">
        <w:rPr>
          <w:spacing w:val="29"/>
          <w:lang w:eastAsia="en-GB"/>
        </w:rPr>
        <w:t xml:space="preserve"> </w:t>
      </w:r>
      <w:r w:rsidRPr="00DB7F92">
        <w:rPr>
          <w:lang w:eastAsia="en-GB"/>
        </w:rPr>
        <w:t>a</w:t>
      </w:r>
      <w:r w:rsidRPr="00DB7F92">
        <w:rPr>
          <w:spacing w:val="29"/>
          <w:lang w:eastAsia="en-GB"/>
        </w:rPr>
        <w:t xml:space="preserve"> </w:t>
      </w:r>
      <w:r w:rsidRPr="00DB7F92">
        <w:rPr>
          <w:lang w:eastAsia="en-GB"/>
        </w:rPr>
        <w:t>court</w:t>
      </w:r>
      <w:r w:rsidRPr="00DB7F92">
        <w:rPr>
          <w:spacing w:val="30"/>
          <w:lang w:eastAsia="en-GB"/>
        </w:rPr>
        <w:t xml:space="preserve"> </w:t>
      </w:r>
      <w:r w:rsidRPr="00DB7F92">
        <w:rPr>
          <w:spacing w:val="-2"/>
          <w:lang w:eastAsia="en-GB"/>
        </w:rPr>
        <w:t>would</w:t>
      </w:r>
      <w:r w:rsidRPr="00DB7F92">
        <w:rPr>
          <w:spacing w:val="46"/>
          <w:w w:val="99"/>
          <w:lang w:eastAsia="en-GB"/>
        </w:rPr>
        <w:t xml:space="preserve"> </w:t>
      </w:r>
      <w:r w:rsidRPr="00DB7F92">
        <w:rPr>
          <w:lang w:eastAsia="en-GB"/>
        </w:rPr>
        <w:t>interpret</w:t>
      </w:r>
      <w:r w:rsidRPr="00DB7F92">
        <w:rPr>
          <w:spacing w:val="-6"/>
          <w:lang w:eastAsia="en-GB"/>
        </w:rPr>
        <w:t xml:space="preserve"> </w:t>
      </w:r>
      <w:r w:rsidRPr="00DB7F92">
        <w:rPr>
          <w:lang w:eastAsia="en-GB"/>
        </w:rPr>
        <w:t>a commissioner's</w:t>
      </w:r>
      <w:r w:rsidRPr="00DB7F92">
        <w:rPr>
          <w:spacing w:val="-5"/>
          <w:lang w:eastAsia="en-GB"/>
        </w:rPr>
        <w:t xml:space="preserve"> </w:t>
      </w:r>
      <w:r w:rsidRPr="00DB7F92">
        <w:rPr>
          <w:lang w:eastAsia="en-GB"/>
        </w:rPr>
        <w:t>Regard</w:t>
      </w:r>
      <w:r w:rsidRPr="00DB7F92">
        <w:rPr>
          <w:spacing w:val="-6"/>
          <w:lang w:eastAsia="en-GB"/>
        </w:rPr>
        <w:t xml:space="preserve"> </w:t>
      </w:r>
      <w:r w:rsidRPr="00DB7F92">
        <w:rPr>
          <w:lang w:eastAsia="en-GB"/>
        </w:rPr>
        <w:t>Duties under the NHS Act 2006.</w:t>
      </w:r>
      <w:r w:rsidRPr="00DB7F92">
        <w:rPr>
          <w:spacing w:val="55"/>
          <w:lang w:eastAsia="en-GB"/>
        </w:rPr>
        <w:t xml:space="preserve"> </w:t>
      </w:r>
      <w:r w:rsidRPr="00DB7F92">
        <w:rPr>
          <w:lang w:eastAsia="en-GB"/>
        </w:rPr>
        <w:t>We</w:t>
      </w:r>
      <w:r w:rsidRPr="00DB7F92">
        <w:rPr>
          <w:spacing w:val="-4"/>
          <w:lang w:eastAsia="en-GB"/>
        </w:rPr>
        <w:t xml:space="preserve"> </w:t>
      </w:r>
      <w:r w:rsidRPr="00DB7F92">
        <w:rPr>
          <w:lang w:eastAsia="en-GB"/>
        </w:rPr>
        <w:t>can</w:t>
      </w:r>
      <w:r w:rsidRPr="00DB7F92">
        <w:rPr>
          <w:spacing w:val="-6"/>
          <w:lang w:eastAsia="en-GB"/>
        </w:rPr>
        <w:t xml:space="preserve"> </w:t>
      </w:r>
      <w:r w:rsidRPr="00DB7F92">
        <w:rPr>
          <w:lang w:eastAsia="en-GB"/>
        </w:rPr>
        <w:t>learn</w:t>
      </w:r>
      <w:r w:rsidRPr="00DB7F92">
        <w:rPr>
          <w:spacing w:val="-3"/>
          <w:lang w:eastAsia="en-GB"/>
        </w:rPr>
        <w:t xml:space="preserve"> </w:t>
      </w:r>
      <w:r w:rsidRPr="00DB7F92">
        <w:rPr>
          <w:lang w:eastAsia="en-GB"/>
        </w:rPr>
        <w:t>from</w:t>
      </w:r>
      <w:r w:rsidRPr="00DB7F92">
        <w:rPr>
          <w:spacing w:val="-3"/>
          <w:lang w:eastAsia="en-GB"/>
        </w:rPr>
        <w:t xml:space="preserve"> </w:t>
      </w:r>
      <w:r w:rsidRPr="00DB7F92">
        <w:rPr>
          <w:lang w:eastAsia="en-GB"/>
        </w:rPr>
        <w:t>these</w:t>
      </w:r>
      <w:r w:rsidRPr="00DB7F92">
        <w:rPr>
          <w:spacing w:val="-6"/>
          <w:lang w:eastAsia="en-GB"/>
        </w:rPr>
        <w:t xml:space="preserve"> </w:t>
      </w:r>
      <w:r w:rsidRPr="00DB7F92">
        <w:rPr>
          <w:lang w:eastAsia="en-GB"/>
        </w:rPr>
        <w:t>that:</w:t>
      </w:r>
    </w:p>
    <w:p w14:paraId="3B17FE35" w14:textId="77777777" w:rsidR="00DB7F92" w:rsidRPr="00C84421" w:rsidRDefault="00DB7F92" w:rsidP="006C3DF5">
      <w:pPr>
        <w:pStyle w:val="ListParagraph"/>
        <w:widowControl w:val="0"/>
        <w:numPr>
          <w:ilvl w:val="0"/>
          <w:numId w:val="76"/>
        </w:numPr>
        <w:tabs>
          <w:tab w:val="left" w:pos="2528"/>
        </w:tabs>
        <w:spacing w:before="120" w:after="120" w:line="360" w:lineRule="auto"/>
        <w:ind w:left="714" w:right="116" w:hanging="357"/>
        <w:jc w:val="both"/>
        <w:rPr>
          <w:rFonts w:cs="Arial"/>
          <w:bCs w:val="0"/>
          <w:spacing w:val="-1"/>
          <w:szCs w:val="24"/>
          <w:lang w:eastAsia="en-GB"/>
        </w:rPr>
      </w:pPr>
      <w:r w:rsidRPr="00C84421">
        <w:rPr>
          <w:rFonts w:cs="Arial"/>
          <w:bCs w:val="0"/>
          <w:spacing w:val="-1"/>
          <w:szCs w:val="24"/>
          <w:lang w:eastAsia="en-GB"/>
        </w:rPr>
        <w:t>Commissioners who have to take decisions must be made aware of their duty to have regard to the various issues outlined in the duties. Failure to do so will render the decision unlawful.</w:t>
      </w:r>
    </w:p>
    <w:p w14:paraId="228011FF" w14:textId="77777777" w:rsidR="00DB7F92" w:rsidRPr="00C84421" w:rsidRDefault="00DB7F92" w:rsidP="006C3DF5">
      <w:pPr>
        <w:pStyle w:val="ListParagraph"/>
        <w:widowControl w:val="0"/>
        <w:numPr>
          <w:ilvl w:val="0"/>
          <w:numId w:val="76"/>
        </w:numPr>
        <w:tabs>
          <w:tab w:val="left" w:pos="2528"/>
        </w:tabs>
        <w:spacing w:before="120" w:after="120" w:line="360" w:lineRule="auto"/>
        <w:ind w:left="714" w:right="116" w:hanging="357"/>
        <w:jc w:val="both"/>
        <w:rPr>
          <w:rFonts w:cs="Arial"/>
          <w:bCs w:val="0"/>
          <w:spacing w:val="-1"/>
          <w:szCs w:val="24"/>
          <w:lang w:eastAsia="en-GB"/>
        </w:rPr>
      </w:pPr>
      <w:r w:rsidRPr="00C84421">
        <w:rPr>
          <w:rFonts w:cs="Arial"/>
          <w:bCs w:val="0"/>
          <w:spacing w:val="-1"/>
          <w:szCs w:val="24"/>
          <w:lang w:eastAsia="en-GB"/>
        </w:rPr>
        <w:t>The Regard Duties must be fulfilled before and at the time that a particular decision is being considered. If they are not, any attempts to retrospectively justify a decision as consistent with the Regard Duties will not be enough to discharge them.</w:t>
      </w:r>
    </w:p>
    <w:p w14:paraId="263F15D7" w14:textId="77777777" w:rsidR="00DB7F92" w:rsidRPr="00C84421" w:rsidRDefault="00DB7F92" w:rsidP="006C3DF5">
      <w:pPr>
        <w:pStyle w:val="ListParagraph"/>
        <w:widowControl w:val="0"/>
        <w:numPr>
          <w:ilvl w:val="0"/>
          <w:numId w:val="76"/>
        </w:numPr>
        <w:tabs>
          <w:tab w:val="left" w:pos="2528"/>
        </w:tabs>
        <w:spacing w:before="120" w:after="120" w:line="360" w:lineRule="auto"/>
        <w:ind w:left="714" w:right="116" w:hanging="357"/>
        <w:jc w:val="both"/>
        <w:rPr>
          <w:rFonts w:cs="Arial"/>
          <w:bCs w:val="0"/>
          <w:spacing w:val="-1"/>
          <w:szCs w:val="24"/>
          <w:lang w:eastAsia="en-GB"/>
        </w:rPr>
      </w:pPr>
      <w:r w:rsidRPr="00C84421">
        <w:rPr>
          <w:rFonts w:cs="Arial"/>
          <w:bCs w:val="0"/>
          <w:spacing w:val="-1"/>
          <w:szCs w:val="24"/>
          <w:lang w:eastAsia="en-GB"/>
        </w:rPr>
        <w:t>Commissioners need to engage with the Regard Duties with rigour and with an open mind.</w:t>
      </w:r>
    </w:p>
    <w:p w14:paraId="5D35A767" w14:textId="558CE50D" w:rsidR="00DB7F92" w:rsidRPr="00C84421" w:rsidRDefault="00DB7F92" w:rsidP="006C3DF5">
      <w:pPr>
        <w:pStyle w:val="ListParagraph"/>
        <w:widowControl w:val="0"/>
        <w:numPr>
          <w:ilvl w:val="0"/>
          <w:numId w:val="76"/>
        </w:numPr>
        <w:tabs>
          <w:tab w:val="left" w:pos="2528"/>
        </w:tabs>
        <w:spacing w:before="120" w:after="120" w:line="360" w:lineRule="auto"/>
        <w:ind w:left="714" w:right="116" w:hanging="357"/>
        <w:jc w:val="both"/>
        <w:rPr>
          <w:rFonts w:cs="Arial"/>
          <w:bCs w:val="0"/>
          <w:spacing w:val="-1"/>
          <w:szCs w:val="24"/>
          <w:lang w:eastAsia="en-GB"/>
        </w:rPr>
      </w:pPr>
      <w:r w:rsidRPr="00C84421">
        <w:rPr>
          <w:rFonts w:cs="Arial"/>
          <w:bCs w:val="0"/>
          <w:spacing w:val="-1"/>
          <w:szCs w:val="24"/>
          <w:lang w:eastAsia="en-GB"/>
        </w:rPr>
        <w:t>It is good practice for the decision</w:t>
      </w:r>
      <w:r w:rsidR="000A0410">
        <w:rPr>
          <w:rFonts w:cs="Arial"/>
          <w:bCs w:val="0"/>
          <w:spacing w:val="-1"/>
          <w:szCs w:val="24"/>
          <w:lang w:eastAsia="en-GB"/>
        </w:rPr>
        <w:t>-</w:t>
      </w:r>
      <w:r w:rsidRPr="00C84421">
        <w:rPr>
          <w:rFonts w:cs="Arial"/>
          <w:bCs w:val="0"/>
          <w:spacing w:val="-1"/>
          <w:szCs w:val="24"/>
          <w:lang w:eastAsia="en-GB"/>
        </w:rPr>
        <w:t>maker to make reference to the Regard Duties.</w:t>
      </w:r>
    </w:p>
    <w:p w14:paraId="104D03B9" w14:textId="3895B299" w:rsidR="00DB7F92" w:rsidRPr="00C84421" w:rsidRDefault="00DB7F92" w:rsidP="006C3DF5">
      <w:pPr>
        <w:pStyle w:val="ListParagraph"/>
        <w:widowControl w:val="0"/>
        <w:numPr>
          <w:ilvl w:val="0"/>
          <w:numId w:val="76"/>
        </w:numPr>
        <w:tabs>
          <w:tab w:val="left" w:pos="2528"/>
        </w:tabs>
        <w:spacing w:before="120" w:after="120" w:line="360" w:lineRule="auto"/>
        <w:ind w:left="714" w:right="116" w:hanging="357"/>
        <w:jc w:val="both"/>
        <w:rPr>
          <w:rFonts w:cs="Arial"/>
          <w:bCs w:val="0"/>
          <w:spacing w:val="-1"/>
          <w:szCs w:val="24"/>
          <w:lang w:eastAsia="en-GB"/>
        </w:rPr>
      </w:pPr>
      <w:r w:rsidRPr="00C84421">
        <w:rPr>
          <w:rFonts w:cs="Arial"/>
          <w:bCs w:val="0"/>
          <w:spacing w:val="-1"/>
          <w:szCs w:val="24"/>
          <w:lang w:eastAsia="en-GB"/>
        </w:rPr>
        <w:t xml:space="preserve">It is not possible for the commissioner to delegate the duties down to another organisation to comply with. This applies in respect of NHS England delegated co-commissioning arrangements for primary care services (see above). NHS England will always have to comply with its duties under the NHS Act 2006, even if a </w:t>
      </w:r>
      <w:r w:rsidR="00B83042">
        <w:rPr>
          <w:rFonts w:cs="Arial"/>
          <w:bCs w:val="0"/>
          <w:spacing w:val="-1"/>
          <w:szCs w:val="24"/>
          <w:lang w:eastAsia="en-GB"/>
        </w:rPr>
        <w:t>CCG/ICB</w:t>
      </w:r>
      <w:r w:rsidRPr="00C84421">
        <w:rPr>
          <w:rFonts w:cs="Arial"/>
          <w:bCs w:val="0"/>
          <w:spacing w:val="-1"/>
          <w:szCs w:val="24"/>
          <w:lang w:eastAsia="en-GB"/>
        </w:rPr>
        <w:t xml:space="preserve"> is carrying out commissioning on its behalf.  However, it is a requirement of the delegation agreement that </w:t>
      </w:r>
      <w:r w:rsidR="00B83042">
        <w:rPr>
          <w:rFonts w:cs="Arial"/>
          <w:bCs w:val="0"/>
          <w:spacing w:val="-1"/>
          <w:szCs w:val="24"/>
          <w:lang w:eastAsia="en-GB"/>
        </w:rPr>
        <w:t>CCGs/ICBs</w:t>
      </w:r>
      <w:r w:rsidR="008B199F">
        <w:rPr>
          <w:rFonts w:cs="Arial"/>
          <w:bCs w:val="0"/>
          <w:spacing w:val="-1"/>
          <w:szCs w:val="24"/>
          <w:lang w:eastAsia="en-GB"/>
        </w:rPr>
        <w:t xml:space="preserve"> </w:t>
      </w:r>
      <w:r w:rsidRPr="00C84421">
        <w:rPr>
          <w:rFonts w:cs="Arial"/>
          <w:bCs w:val="0"/>
          <w:spacing w:val="-1"/>
          <w:szCs w:val="24"/>
          <w:lang w:eastAsia="en-GB"/>
        </w:rPr>
        <w:t>act in such a way that enables NHS England to comply with its duties. If a commissioner acts through contractors it must ensure as necessary that they act consistently with the duties.</w:t>
      </w:r>
    </w:p>
    <w:p w14:paraId="75948B2C" w14:textId="77777777" w:rsidR="00DB7F92" w:rsidRPr="00C84421" w:rsidRDefault="00DB7F92" w:rsidP="006C3DF5">
      <w:pPr>
        <w:pStyle w:val="ListParagraph"/>
        <w:widowControl w:val="0"/>
        <w:numPr>
          <w:ilvl w:val="0"/>
          <w:numId w:val="76"/>
        </w:numPr>
        <w:tabs>
          <w:tab w:val="left" w:pos="2528"/>
        </w:tabs>
        <w:spacing w:before="120" w:after="120" w:line="360" w:lineRule="auto"/>
        <w:ind w:left="714" w:right="116" w:hanging="357"/>
        <w:jc w:val="both"/>
        <w:rPr>
          <w:rFonts w:cs="Arial"/>
          <w:bCs w:val="0"/>
          <w:spacing w:val="-1"/>
          <w:szCs w:val="24"/>
          <w:lang w:eastAsia="en-GB"/>
        </w:rPr>
      </w:pPr>
      <w:r w:rsidRPr="00C84421">
        <w:rPr>
          <w:rFonts w:cs="Arial"/>
          <w:bCs w:val="0"/>
          <w:spacing w:val="-1"/>
          <w:szCs w:val="24"/>
          <w:lang w:eastAsia="en-GB"/>
        </w:rPr>
        <w:t>The Regard Duties are continuing ones that apply throughout decision-making. It is not enough to only "rubber stamp" a decision by reference to the Regard Duties at the end of a decision-making process. The Regard Duties need to be borne in mind throughout.</w:t>
      </w:r>
    </w:p>
    <w:p w14:paraId="5EAC1550" w14:textId="77777777" w:rsidR="00DB7F92" w:rsidRPr="00C84421" w:rsidRDefault="00DB7F92" w:rsidP="006C3DF5">
      <w:pPr>
        <w:pStyle w:val="ListParagraph"/>
        <w:widowControl w:val="0"/>
        <w:numPr>
          <w:ilvl w:val="0"/>
          <w:numId w:val="76"/>
        </w:numPr>
        <w:tabs>
          <w:tab w:val="left" w:pos="2528"/>
        </w:tabs>
        <w:spacing w:before="120" w:after="120" w:line="360" w:lineRule="auto"/>
        <w:ind w:left="714" w:right="116" w:hanging="357"/>
        <w:jc w:val="both"/>
        <w:rPr>
          <w:rFonts w:cs="Arial"/>
          <w:bCs w:val="0"/>
          <w:spacing w:val="-1"/>
          <w:szCs w:val="24"/>
          <w:lang w:eastAsia="en-GB"/>
        </w:rPr>
      </w:pPr>
      <w:r w:rsidRPr="00C84421">
        <w:rPr>
          <w:rFonts w:cs="Arial"/>
          <w:bCs w:val="0"/>
          <w:spacing w:val="-1"/>
          <w:szCs w:val="24"/>
          <w:lang w:eastAsia="en-GB"/>
        </w:rPr>
        <w:t>It is crucial to keep an adequate record of how the Regard Duties are considered. If records are not kept it will make it more difficult, evidentially, for the commissioner to persuade a court that the duties imposed have been fulfilled.</w:t>
      </w:r>
    </w:p>
    <w:p w14:paraId="0ABA817F" w14:textId="77777777" w:rsidR="00DB7F92" w:rsidRPr="00DB7F92" w:rsidRDefault="00DB7F92" w:rsidP="00DD5D2D">
      <w:pPr>
        <w:pStyle w:val="Heading3"/>
        <w:jc w:val="both"/>
        <w:rPr>
          <w:lang w:eastAsia="en-GB"/>
        </w:rPr>
      </w:pPr>
      <w:r w:rsidRPr="00DB7F92">
        <w:rPr>
          <w:lang w:eastAsia="en-GB"/>
        </w:rPr>
        <w:t>One</w:t>
      </w:r>
      <w:r w:rsidRPr="00DB7F92">
        <w:rPr>
          <w:spacing w:val="11"/>
          <w:lang w:eastAsia="en-GB"/>
        </w:rPr>
        <w:t xml:space="preserve"> </w:t>
      </w:r>
      <w:r w:rsidRPr="00DB7F92">
        <w:rPr>
          <w:lang w:eastAsia="en-GB"/>
        </w:rPr>
        <w:t>key</w:t>
      </w:r>
      <w:r w:rsidRPr="00DB7F92">
        <w:rPr>
          <w:spacing w:val="13"/>
          <w:lang w:eastAsia="en-GB"/>
        </w:rPr>
        <w:t xml:space="preserve"> </w:t>
      </w:r>
      <w:r w:rsidRPr="00DB7F92">
        <w:rPr>
          <w:lang w:eastAsia="en-GB"/>
        </w:rPr>
        <w:t>point</w:t>
      </w:r>
      <w:r w:rsidRPr="00DB7F92">
        <w:rPr>
          <w:spacing w:val="13"/>
          <w:lang w:eastAsia="en-GB"/>
        </w:rPr>
        <w:t xml:space="preserve"> </w:t>
      </w:r>
      <w:r w:rsidRPr="00DB7F92">
        <w:rPr>
          <w:lang w:eastAsia="en-GB"/>
        </w:rPr>
        <w:t>to</w:t>
      </w:r>
      <w:r w:rsidRPr="00DB7F92">
        <w:rPr>
          <w:spacing w:val="12"/>
          <w:lang w:eastAsia="en-GB"/>
        </w:rPr>
        <w:t xml:space="preserve"> </w:t>
      </w:r>
      <w:r w:rsidRPr="00DB7F92">
        <w:rPr>
          <w:lang w:eastAsia="en-GB"/>
        </w:rPr>
        <w:t>understand</w:t>
      </w:r>
      <w:r w:rsidRPr="00DB7F92">
        <w:rPr>
          <w:spacing w:val="11"/>
          <w:lang w:eastAsia="en-GB"/>
        </w:rPr>
        <w:t xml:space="preserve"> </w:t>
      </w:r>
      <w:r w:rsidRPr="00DB7F92">
        <w:rPr>
          <w:lang w:eastAsia="en-GB"/>
        </w:rPr>
        <w:t>is</w:t>
      </w:r>
      <w:r w:rsidRPr="00DB7F92">
        <w:rPr>
          <w:spacing w:val="13"/>
          <w:lang w:eastAsia="en-GB"/>
        </w:rPr>
        <w:t xml:space="preserve"> </w:t>
      </w:r>
      <w:r w:rsidRPr="00DB7F92">
        <w:rPr>
          <w:lang w:eastAsia="en-GB"/>
        </w:rPr>
        <w:t>that</w:t>
      </w:r>
      <w:r w:rsidRPr="00DB7F92">
        <w:rPr>
          <w:spacing w:val="11"/>
          <w:lang w:eastAsia="en-GB"/>
        </w:rPr>
        <w:t xml:space="preserve"> </w:t>
      </w:r>
      <w:r w:rsidRPr="00DB7F92">
        <w:rPr>
          <w:lang w:eastAsia="en-GB"/>
        </w:rPr>
        <w:t>there</w:t>
      </w:r>
      <w:r w:rsidRPr="00DB7F92">
        <w:rPr>
          <w:spacing w:val="11"/>
          <w:lang w:eastAsia="en-GB"/>
        </w:rPr>
        <w:t xml:space="preserve"> </w:t>
      </w:r>
      <w:r w:rsidRPr="00DB7F92">
        <w:rPr>
          <w:lang w:eastAsia="en-GB"/>
        </w:rPr>
        <w:t>is</w:t>
      </w:r>
      <w:r w:rsidRPr="00DB7F92">
        <w:rPr>
          <w:spacing w:val="13"/>
          <w:lang w:eastAsia="en-GB"/>
        </w:rPr>
        <w:t xml:space="preserve"> </w:t>
      </w:r>
      <w:r w:rsidRPr="00DB7F92">
        <w:rPr>
          <w:spacing w:val="-2"/>
          <w:lang w:eastAsia="en-GB"/>
        </w:rPr>
        <w:t>no</w:t>
      </w:r>
      <w:r w:rsidRPr="00DB7F92">
        <w:rPr>
          <w:spacing w:val="12"/>
          <w:lang w:eastAsia="en-GB"/>
        </w:rPr>
        <w:t xml:space="preserve"> </w:t>
      </w:r>
      <w:r w:rsidRPr="00DB7F92">
        <w:rPr>
          <w:lang w:eastAsia="en-GB"/>
        </w:rPr>
        <w:t>obligation</w:t>
      </w:r>
      <w:r w:rsidRPr="00DB7F92">
        <w:rPr>
          <w:spacing w:val="12"/>
          <w:lang w:eastAsia="en-GB"/>
        </w:rPr>
        <w:t xml:space="preserve"> </w:t>
      </w:r>
      <w:r w:rsidRPr="00DB7F92">
        <w:rPr>
          <w:lang w:eastAsia="en-GB"/>
        </w:rPr>
        <w:t>to</w:t>
      </w:r>
      <w:r w:rsidRPr="00DB7F92">
        <w:rPr>
          <w:spacing w:val="12"/>
          <w:lang w:eastAsia="en-GB"/>
        </w:rPr>
        <w:t xml:space="preserve"> </w:t>
      </w:r>
      <w:r w:rsidRPr="00DB7F92">
        <w:rPr>
          <w:lang w:eastAsia="en-GB"/>
        </w:rPr>
        <w:t>achieve</w:t>
      </w:r>
      <w:r w:rsidRPr="00DB7F92">
        <w:rPr>
          <w:spacing w:val="14"/>
          <w:lang w:eastAsia="en-GB"/>
        </w:rPr>
        <w:t xml:space="preserve"> </w:t>
      </w:r>
      <w:r w:rsidRPr="00DB7F92">
        <w:rPr>
          <w:lang w:eastAsia="en-GB"/>
        </w:rPr>
        <w:t>the</w:t>
      </w:r>
      <w:r w:rsidRPr="00DB7F92">
        <w:rPr>
          <w:spacing w:val="61"/>
          <w:w w:val="99"/>
          <w:lang w:eastAsia="en-GB"/>
        </w:rPr>
        <w:t xml:space="preserve"> </w:t>
      </w:r>
      <w:r w:rsidRPr="00DB7F92">
        <w:rPr>
          <w:lang w:eastAsia="en-GB"/>
        </w:rPr>
        <w:t>object</w:t>
      </w:r>
      <w:r w:rsidRPr="00DB7F92">
        <w:rPr>
          <w:spacing w:val="12"/>
          <w:lang w:eastAsia="en-GB"/>
        </w:rPr>
        <w:t xml:space="preserve"> </w:t>
      </w:r>
      <w:r w:rsidRPr="00DB7F92">
        <w:rPr>
          <w:lang w:eastAsia="en-GB"/>
        </w:rPr>
        <w:t>of</w:t>
      </w:r>
      <w:r w:rsidRPr="00DB7F92">
        <w:rPr>
          <w:spacing w:val="11"/>
          <w:lang w:eastAsia="en-GB"/>
        </w:rPr>
        <w:t xml:space="preserve"> </w:t>
      </w:r>
      <w:r w:rsidRPr="00DB7F92">
        <w:rPr>
          <w:lang w:eastAsia="en-GB"/>
        </w:rPr>
        <w:t>the</w:t>
      </w:r>
      <w:r w:rsidRPr="00DB7F92">
        <w:rPr>
          <w:spacing w:val="14"/>
          <w:lang w:eastAsia="en-GB"/>
        </w:rPr>
        <w:t xml:space="preserve"> </w:t>
      </w:r>
      <w:r w:rsidRPr="00DB7F92">
        <w:rPr>
          <w:lang w:eastAsia="en-GB"/>
        </w:rPr>
        <w:t>Regard</w:t>
      </w:r>
      <w:r w:rsidRPr="00DB7F92">
        <w:rPr>
          <w:spacing w:val="11"/>
          <w:lang w:eastAsia="en-GB"/>
        </w:rPr>
        <w:t xml:space="preserve"> </w:t>
      </w:r>
      <w:r w:rsidRPr="00DB7F92">
        <w:rPr>
          <w:lang w:eastAsia="en-GB"/>
        </w:rPr>
        <w:t>Duties</w:t>
      </w:r>
      <w:r w:rsidRPr="00DB7F92">
        <w:rPr>
          <w:spacing w:val="13"/>
          <w:lang w:eastAsia="en-GB"/>
        </w:rPr>
        <w:t xml:space="preserve"> </w:t>
      </w:r>
      <w:r w:rsidRPr="00DB7F92">
        <w:rPr>
          <w:lang w:eastAsia="en-GB"/>
        </w:rPr>
        <w:t>e.g.</w:t>
      </w:r>
      <w:r w:rsidRPr="00DB7F92">
        <w:rPr>
          <w:spacing w:val="15"/>
          <w:lang w:eastAsia="en-GB"/>
        </w:rPr>
        <w:t xml:space="preserve"> </w:t>
      </w:r>
      <w:r w:rsidRPr="00DB7F92">
        <w:rPr>
          <w:lang w:eastAsia="en-GB"/>
        </w:rPr>
        <w:t>it</w:t>
      </w:r>
      <w:r w:rsidRPr="00DB7F92">
        <w:rPr>
          <w:spacing w:val="15"/>
          <w:lang w:eastAsia="en-GB"/>
        </w:rPr>
        <w:t xml:space="preserve"> </w:t>
      </w:r>
      <w:r w:rsidRPr="00DB7F92">
        <w:rPr>
          <w:lang w:eastAsia="en-GB"/>
        </w:rPr>
        <w:t>is</w:t>
      </w:r>
      <w:r w:rsidRPr="00DB7F92">
        <w:rPr>
          <w:spacing w:val="12"/>
          <w:lang w:eastAsia="en-GB"/>
        </w:rPr>
        <w:t xml:space="preserve"> </w:t>
      </w:r>
      <w:r w:rsidRPr="00DB7F92">
        <w:rPr>
          <w:lang w:eastAsia="en-GB"/>
        </w:rPr>
        <w:t>not</w:t>
      </w:r>
      <w:r w:rsidRPr="00DB7F92">
        <w:rPr>
          <w:spacing w:val="15"/>
          <w:lang w:eastAsia="en-GB"/>
        </w:rPr>
        <w:t xml:space="preserve"> </w:t>
      </w:r>
      <w:r w:rsidRPr="00DB7F92">
        <w:rPr>
          <w:lang w:eastAsia="en-GB"/>
        </w:rPr>
        <w:t>unlawful</w:t>
      </w:r>
      <w:r w:rsidRPr="00DB7F92">
        <w:rPr>
          <w:spacing w:val="11"/>
          <w:lang w:eastAsia="en-GB"/>
        </w:rPr>
        <w:t xml:space="preserve"> </w:t>
      </w:r>
      <w:r w:rsidRPr="00DB7F92">
        <w:rPr>
          <w:lang w:eastAsia="en-GB"/>
        </w:rPr>
        <w:t>not</w:t>
      </w:r>
      <w:r w:rsidRPr="00DB7F92">
        <w:rPr>
          <w:spacing w:val="13"/>
          <w:lang w:eastAsia="en-GB"/>
        </w:rPr>
        <w:t xml:space="preserve"> </w:t>
      </w:r>
      <w:r w:rsidRPr="00DB7F92">
        <w:rPr>
          <w:lang w:eastAsia="en-GB"/>
        </w:rPr>
        <w:t>to</w:t>
      </w:r>
      <w:r w:rsidRPr="00DB7F92">
        <w:rPr>
          <w:spacing w:val="14"/>
          <w:lang w:eastAsia="en-GB"/>
        </w:rPr>
        <w:t xml:space="preserve"> </w:t>
      </w:r>
      <w:r w:rsidRPr="00DB7F92">
        <w:rPr>
          <w:lang w:eastAsia="en-GB"/>
        </w:rPr>
        <w:t>eliminate</w:t>
      </w:r>
      <w:r w:rsidRPr="00DB7F92">
        <w:rPr>
          <w:spacing w:val="14"/>
          <w:lang w:eastAsia="en-GB"/>
        </w:rPr>
        <w:t xml:space="preserve"> </w:t>
      </w:r>
      <w:r w:rsidRPr="00DB7F92">
        <w:rPr>
          <w:lang w:eastAsia="en-GB"/>
        </w:rPr>
        <w:t>health</w:t>
      </w:r>
      <w:r w:rsidRPr="00DB7F92">
        <w:rPr>
          <w:spacing w:val="61"/>
          <w:lang w:eastAsia="en-GB"/>
        </w:rPr>
        <w:t xml:space="preserve"> </w:t>
      </w:r>
      <w:r w:rsidRPr="00DB7F92">
        <w:rPr>
          <w:lang w:eastAsia="en-GB"/>
        </w:rPr>
        <w:t>inequalities</w:t>
      </w:r>
      <w:r w:rsidRPr="00DB7F92">
        <w:rPr>
          <w:spacing w:val="2"/>
          <w:lang w:eastAsia="en-GB"/>
        </w:rPr>
        <w:t xml:space="preserve"> </w:t>
      </w:r>
      <w:r w:rsidRPr="00DB7F92">
        <w:rPr>
          <w:lang w:eastAsia="en-GB"/>
        </w:rPr>
        <w:t>(although</w:t>
      </w:r>
      <w:r w:rsidRPr="00DB7F92">
        <w:rPr>
          <w:spacing w:val="1"/>
          <w:lang w:eastAsia="en-GB"/>
        </w:rPr>
        <w:t xml:space="preserve"> </w:t>
      </w:r>
      <w:r w:rsidRPr="00DB7F92">
        <w:rPr>
          <w:lang w:eastAsia="en-GB"/>
        </w:rPr>
        <w:t>equally,</w:t>
      </w:r>
      <w:r w:rsidRPr="00DB7F92">
        <w:rPr>
          <w:spacing w:val="2"/>
          <w:lang w:eastAsia="en-GB"/>
        </w:rPr>
        <w:t xml:space="preserve"> </w:t>
      </w:r>
      <w:r w:rsidRPr="00DB7F92">
        <w:rPr>
          <w:lang w:eastAsia="en-GB"/>
        </w:rPr>
        <w:t>if health</w:t>
      </w:r>
      <w:r w:rsidRPr="00DB7F92">
        <w:rPr>
          <w:spacing w:val="1"/>
          <w:lang w:eastAsia="en-GB"/>
        </w:rPr>
        <w:t xml:space="preserve"> </w:t>
      </w:r>
      <w:r w:rsidRPr="00DB7F92">
        <w:rPr>
          <w:lang w:eastAsia="en-GB"/>
        </w:rPr>
        <w:t>inequalities</w:t>
      </w:r>
      <w:r w:rsidRPr="00DB7F92">
        <w:rPr>
          <w:spacing w:val="3"/>
          <w:lang w:eastAsia="en-GB"/>
        </w:rPr>
        <w:t xml:space="preserve"> </w:t>
      </w:r>
      <w:r w:rsidRPr="00DB7F92">
        <w:rPr>
          <w:lang w:eastAsia="en-GB"/>
        </w:rPr>
        <w:t>persist</w:t>
      </w:r>
      <w:r w:rsidRPr="00DB7F92">
        <w:rPr>
          <w:spacing w:val="1"/>
          <w:lang w:eastAsia="en-GB"/>
        </w:rPr>
        <w:t xml:space="preserve"> </w:t>
      </w:r>
      <w:r w:rsidRPr="00DB7F92">
        <w:rPr>
          <w:lang w:eastAsia="en-GB"/>
        </w:rPr>
        <w:t>and</w:t>
      </w:r>
      <w:r w:rsidRPr="00DB7F92">
        <w:rPr>
          <w:spacing w:val="1"/>
          <w:lang w:eastAsia="en-GB"/>
        </w:rPr>
        <w:t xml:space="preserve"> </w:t>
      </w:r>
      <w:r w:rsidRPr="00DB7F92">
        <w:rPr>
          <w:lang w:eastAsia="en-GB"/>
        </w:rPr>
        <w:t>widen,</w:t>
      </w:r>
      <w:r w:rsidRPr="00DB7F92">
        <w:rPr>
          <w:spacing w:val="1"/>
          <w:lang w:eastAsia="en-GB"/>
        </w:rPr>
        <w:t xml:space="preserve"> </w:t>
      </w:r>
      <w:r w:rsidRPr="00DB7F92">
        <w:rPr>
          <w:lang w:eastAsia="en-GB"/>
        </w:rPr>
        <w:t>that</w:t>
      </w:r>
      <w:r w:rsidRPr="00DB7F92">
        <w:rPr>
          <w:spacing w:val="77"/>
          <w:w w:val="99"/>
          <w:lang w:eastAsia="en-GB"/>
        </w:rPr>
        <w:t xml:space="preserve"> </w:t>
      </w:r>
      <w:r w:rsidRPr="00DB7F92">
        <w:rPr>
          <w:lang w:eastAsia="en-GB"/>
        </w:rPr>
        <w:t>fact</w:t>
      </w:r>
      <w:r w:rsidRPr="00DB7F92">
        <w:rPr>
          <w:spacing w:val="22"/>
          <w:lang w:eastAsia="en-GB"/>
        </w:rPr>
        <w:t xml:space="preserve"> </w:t>
      </w:r>
      <w:r w:rsidRPr="00DB7F92">
        <w:rPr>
          <w:lang w:eastAsia="en-GB"/>
        </w:rPr>
        <w:t>would</w:t>
      </w:r>
      <w:r w:rsidRPr="00DB7F92">
        <w:rPr>
          <w:spacing w:val="21"/>
          <w:lang w:eastAsia="en-GB"/>
        </w:rPr>
        <w:t xml:space="preserve"> </w:t>
      </w:r>
      <w:r w:rsidRPr="00DB7F92">
        <w:rPr>
          <w:lang w:eastAsia="en-GB"/>
        </w:rPr>
        <w:t>need</w:t>
      </w:r>
      <w:r w:rsidRPr="00DB7F92">
        <w:rPr>
          <w:spacing w:val="21"/>
          <w:lang w:eastAsia="en-GB"/>
        </w:rPr>
        <w:t xml:space="preserve"> </w:t>
      </w:r>
      <w:r w:rsidRPr="00DB7F92">
        <w:rPr>
          <w:lang w:eastAsia="en-GB"/>
        </w:rPr>
        <w:t>to</w:t>
      </w:r>
      <w:r w:rsidRPr="00DB7F92">
        <w:rPr>
          <w:spacing w:val="22"/>
          <w:lang w:eastAsia="en-GB"/>
        </w:rPr>
        <w:t xml:space="preserve"> </w:t>
      </w:r>
      <w:r w:rsidRPr="00DB7F92">
        <w:rPr>
          <w:lang w:eastAsia="en-GB"/>
        </w:rPr>
        <w:t>inform</w:t>
      </w:r>
      <w:r w:rsidRPr="00DB7F92">
        <w:rPr>
          <w:spacing w:val="22"/>
          <w:lang w:eastAsia="en-GB"/>
        </w:rPr>
        <w:t xml:space="preserve"> </w:t>
      </w:r>
      <w:r w:rsidRPr="00DB7F92">
        <w:rPr>
          <w:lang w:eastAsia="en-GB"/>
        </w:rPr>
        <w:t>consideration</w:t>
      </w:r>
      <w:r w:rsidRPr="00DB7F92">
        <w:rPr>
          <w:spacing w:val="22"/>
          <w:lang w:eastAsia="en-GB"/>
        </w:rPr>
        <w:t xml:space="preserve"> </w:t>
      </w:r>
      <w:r w:rsidRPr="00DB7F92">
        <w:rPr>
          <w:lang w:eastAsia="en-GB"/>
        </w:rPr>
        <w:t>of</w:t>
      </w:r>
      <w:r w:rsidRPr="00DB7F92">
        <w:rPr>
          <w:spacing w:val="22"/>
          <w:lang w:eastAsia="en-GB"/>
        </w:rPr>
        <w:t xml:space="preserve"> </w:t>
      </w:r>
      <w:r w:rsidRPr="00DB7F92">
        <w:rPr>
          <w:lang w:eastAsia="en-GB"/>
        </w:rPr>
        <w:t>the</w:t>
      </w:r>
      <w:r w:rsidRPr="00DB7F92">
        <w:rPr>
          <w:spacing w:val="21"/>
          <w:lang w:eastAsia="en-GB"/>
        </w:rPr>
        <w:t xml:space="preserve"> </w:t>
      </w:r>
      <w:r w:rsidRPr="00DB7F92">
        <w:rPr>
          <w:lang w:eastAsia="en-GB"/>
        </w:rPr>
        <w:t>regard</w:t>
      </w:r>
      <w:r w:rsidRPr="00DB7F92">
        <w:rPr>
          <w:spacing w:val="21"/>
          <w:lang w:eastAsia="en-GB"/>
        </w:rPr>
        <w:t xml:space="preserve"> </w:t>
      </w:r>
      <w:r w:rsidRPr="00DB7F92">
        <w:rPr>
          <w:lang w:eastAsia="en-GB"/>
        </w:rPr>
        <w:t>duty).</w:t>
      </w:r>
      <w:r w:rsidRPr="00DB7F92">
        <w:rPr>
          <w:spacing w:val="45"/>
          <w:lang w:eastAsia="en-GB"/>
        </w:rPr>
        <w:t xml:space="preserve"> </w:t>
      </w:r>
      <w:r w:rsidRPr="00DB7F92">
        <w:rPr>
          <w:lang w:eastAsia="en-GB"/>
        </w:rPr>
        <w:t>Nor</w:t>
      </w:r>
      <w:r w:rsidRPr="00DB7F92">
        <w:rPr>
          <w:spacing w:val="21"/>
          <w:lang w:eastAsia="en-GB"/>
        </w:rPr>
        <w:t xml:space="preserve"> </w:t>
      </w:r>
      <w:r w:rsidRPr="00DB7F92">
        <w:rPr>
          <w:lang w:eastAsia="en-GB"/>
        </w:rPr>
        <w:t>does</w:t>
      </w:r>
      <w:r w:rsidRPr="00DB7F92">
        <w:rPr>
          <w:spacing w:val="54"/>
          <w:w w:val="99"/>
          <w:lang w:eastAsia="en-GB"/>
        </w:rPr>
        <w:t xml:space="preserve"> </w:t>
      </w:r>
      <w:r w:rsidRPr="00DB7F92">
        <w:rPr>
          <w:lang w:eastAsia="en-GB"/>
        </w:rPr>
        <w:t>the commissioner</w:t>
      </w:r>
      <w:r w:rsidRPr="00DB7F92">
        <w:rPr>
          <w:spacing w:val="55"/>
          <w:lang w:eastAsia="en-GB"/>
        </w:rPr>
        <w:t xml:space="preserve"> </w:t>
      </w:r>
      <w:r w:rsidRPr="00DB7F92">
        <w:rPr>
          <w:lang w:eastAsia="en-GB"/>
        </w:rPr>
        <w:t>have</w:t>
      </w:r>
      <w:r w:rsidRPr="00DB7F92">
        <w:rPr>
          <w:spacing w:val="54"/>
          <w:lang w:eastAsia="en-GB"/>
        </w:rPr>
        <w:t xml:space="preserve"> </w:t>
      </w:r>
      <w:r w:rsidRPr="00DB7F92">
        <w:rPr>
          <w:lang w:eastAsia="en-GB"/>
        </w:rPr>
        <w:t>the</w:t>
      </w:r>
      <w:r w:rsidRPr="00DB7F92">
        <w:rPr>
          <w:spacing w:val="55"/>
          <w:lang w:eastAsia="en-GB"/>
        </w:rPr>
        <w:t xml:space="preserve"> </w:t>
      </w:r>
      <w:r w:rsidRPr="00DB7F92">
        <w:rPr>
          <w:lang w:eastAsia="en-GB"/>
        </w:rPr>
        <w:t>luxury</w:t>
      </w:r>
      <w:r w:rsidRPr="00DB7F92">
        <w:rPr>
          <w:spacing w:val="56"/>
          <w:lang w:eastAsia="en-GB"/>
        </w:rPr>
        <w:t xml:space="preserve"> </w:t>
      </w:r>
      <w:r w:rsidRPr="00DB7F92">
        <w:rPr>
          <w:lang w:eastAsia="en-GB"/>
        </w:rPr>
        <w:t>of</w:t>
      </w:r>
      <w:r w:rsidRPr="00DB7F92">
        <w:rPr>
          <w:spacing w:val="56"/>
          <w:lang w:eastAsia="en-GB"/>
        </w:rPr>
        <w:t xml:space="preserve"> </w:t>
      </w:r>
      <w:r w:rsidRPr="00DB7F92">
        <w:rPr>
          <w:lang w:eastAsia="en-GB"/>
        </w:rPr>
        <w:t>"pausing"</w:t>
      </w:r>
      <w:r w:rsidRPr="00DB7F92">
        <w:rPr>
          <w:spacing w:val="57"/>
          <w:lang w:eastAsia="en-GB"/>
        </w:rPr>
        <w:t xml:space="preserve"> </w:t>
      </w:r>
      <w:r w:rsidRPr="00DB7F92">
        <w:rPr>
          <w:lang w:eastAsia="en-GB"/>
        </w:rPr>
        <w:t>the</w:t>
      </w:r>
      <w:r w:rsidRPr="00DB7F92">
        <w:rPr>
          <w:spacing w:val="54"/>
          <w:lang w:eastAsia="en-GB"/>
        </w:rPr>
        <w:t xml:space="preserve"> </w:t>
      </w:r>
      <w:r w:rsidRPr="00DB7F92">
        <w:rPr>
          <w:lang w:eastAsia="en-GB"/>
        </w:rPr>
        <w:t>health</w:t>
      </w:r>
      <w:r w:rsidRPr="00DB7F92">
        <w:rPr>
          <w:spacing w:val="56"/>
          <w:lang w:eastAsia="en-GB"/>
        </w:rPr>
        <w:t xml:space="preserve"> </w:t>
      </w:r>
      <w:r w:rsidRPr="00DB7F92">
        <w:rPr>
          <w:lang w:eastAsia="en-GB"/>
        </w:rPr>
        <w:t>service</w:t>
      </w:r>
      <w:r w:rsidRPr="00DB7F92">
        <w:rPr>
          <w:spacing w:val="55"/>
          <w:lang w:eastAsia="en-GB"/>
        </w:rPr>
        <w:t xml:space="preserve"> </w:t>
      </w:r>
      <w:r w:rsidRPr="00DB7F92">
        <w:rPr>
          <w:lang w:eastAsia="en-GB"/>
        </w:rPr>
        <w:t>while</w:t>
      </w:r>
      <w:r w:rsidRPr="00DB7F92">
        <w:rPr>
          <w:spacing w:val="54"/>
          <w:lang w:eastAsia="en-GB"/>
        </w:rPr>
        <w:t xml:space="preserve"> </w:t>
      </w:r>
      <w:r w:rsidRPr="00DB7F92">
        <w:rPr>
          <w:lang w:eastAsia="en-GB"/>
        </w:rPr>
        <w:t>it</w:t>
      </w:r>
      <w:r w:rsidRPr="00DB7F92">
        <w:rPr>
          <w:spacing w:val="58"/>
          <w:w w:val="99"/>
          <w:lang w:eastAsia="en-GB"/>
        </w:rPr>
        <w:t xml:space="preserve"> </w:t>
      </w:r>
      <w:r w:rsidRPr="00DB7F92">
        <w:rPr>
          <w:lang w:eastAsia="en-GB"/>
        </w:rPr>
        <w:t>investigates</w:t>
      </w:r>
      <w:r w:rsidRPr="00DB7F92">
        <w:rPr>
          <w:spacing w:val="5"/>
          <w:lang w:eastAsia="en-GB"/>
        </w:rPr>
        <w:t xml:space="preserve"> </w:t>
      </w:r>
      <w:r w:rsidRPr="00DB7F92">
        <w:rPr>
          <w:lang w:eastAsia="en-GB"/>
        </w:rPr>
        <w:t>health</w:t>
      </w:r>
      <w:r w:rsidRPr="00DB7F92">
        <w:rPr>
          <w:spacing w:val="4"/>
          <w:lang w:eastAsia="en-GB"/>
        </w:rPr>
        <w:t xml:space="preserve"> </w:t>
      </w:r>
      <w:r w:rsidRPr="00DB7F92">
        <w:rPr>
          <w:lang w:eastAsia="en-GB"/>
        </w:rPr>
        <w:t>inequality</w:t>
      </w:r>
      <w:r w:rsidRPr="00DB7F92">
        <w:rPr>
          <w:spacing w:val="6"/>
          <w:lang w:eastAsia="en-GB"/>
        </w:rPr>
        <w:t xml:space="preserve"> </w:t>
      </w:r>
      <w:r w:rsidRPr="00DB7F92">
        <w:rPr>
          <w:lang w:eastAsia="en-GB"/>
        </w:rPr>
        <w:t>or</w:t>
      </w:r>
      <w:r w:rsidRPr="00DB7F92">
        <w:rPr>
          <w:spacing w:val="4"/>
          <w:lang w:eastAsia="en-GB"/>
        </w:rPr>
        <w:t xml:space="preserve"> </w:t>
      </w:r>
      <w:r w:rsidRPr="00DB7F92">
        <w:rPr>
          <w:lang w:eastAsia="en-GB"/>
        </w:rPr>
        <w:t>any</w:t>
      </w:r>
      <w:r w:rsidRPr="00DB7F92">
        <w:rPr>
          <w:spacing w:val="7"/>
          <w:lang w:eastAsia="en-GB"/>
        </w:rPr>
        <w:t xml:space="preserve"> </w:t>
      </w:r>
      <w:r w:rsidRPr="00DB7F92">
        <w:rPr>
          <w:lang w:eastAsia="en-GB"/>
        </w:rPr>
        <w:t>other</w:t>
      </w:r>
      <w:r w:rsidRPr="00DB7F92">
        <w:rPr>
          <w:spacing w:val="5"/>
          <w:lang w:eastAsia="en-GB"/>
        </w:rPr>
        <w:t xml:space="preserve"> </w:t>
      </w:r>
      <w:r w:rsidRPr="00DB7F92">
        <w:rPr>
          <w:lang w:eastAsia="en-GB"/>
        </w:rPr>
        <w:t>matter.</w:t>
      </w:r>
      <w:r w:rsidRPr="00DB7F92">
        <w:rPr>
          <w:spacing w:val="9"/>
          <w:lang w:eastAsia="en-GB"/>
        </w:rPr>
        <w:t xml:space="preserve"> </w:t>
      </w:r>
      <w:r w:rsidRPr="00DB7F92">
        <w:rPr>
          <w:lang w:eastAsia="en-GB"/>
        </w:rPr>
        <w:t>The</w:t>
      </w:r>
      <w:r w:rsidRPr="00DB7F92">
        <w:rPr>
          <w:spacing w:val="4"/>
          <w:lang w:eastAsia="en-GB"/>
        </w:rPr>
        <w:t xml:space="preserve"> </w:t>
      </w:r>
      <w:r w:rsidRPr="00DB7F92">
        <w:rPr>
          <w:lang w:eastAsia="en-GB"/>
        </w:rPr>
        <w:t>duties</w:t>
      </w:r>
      <w:r w:rsidRPr="00DB7F92">
        <w:rPr>
          <w:spacing w:val="5"/>
          <w:lang w:eastAsia="en-GB"/>
        </w:rPr>
        <w:t xml:space="preserve"> </w:t>
      </w:r>
      <w:r w:rsidRPr="00DB7F92">
        <w:rPr>
          <w:lang w:eastAsia="en-GB"/>
        </w:rPr>
        <w:t>are</w:t>
      </w:r>
      <w:r w:rsidRPr="00DB7F92">
        <w:rPr>
          <w:spacing w:val="6"/>
          <w:lang w:eastAsia="en-GB"/>
        </w:rPr>
        <w:t xml:space="preserve"> </w:t>
      </w:r>
      <w:r w:rsidRPr="00DB7F92">
        <w:rPr>
          <w:lang w:eastAsia="en-GB"/>
        </w:rPr>
        <w:t>to</w:t>
      </w:r>
      <w:r w:rsidRPr="00DB7F92">
        <w:rPr>
          <w:spacing w:val="4"/>
          <w:lang w:eastAsia="en-GB"/>
        </w:rPr>
        <w:t xml:space="preserve"> </w:t>
      </w:r>
      <w:r w:rsidRPr="00DB7F92">
        <w:rPr>
          <w:lang w:eastAsia="en-GB"/>
        </w:rPr>
        <w:t>have</w:t>
      </w:r>
      <w:r w:rsidRPr="00DB7F92">
        <w:rPr>
          <w:spacing w:val="65"/>
          <w:w w:val="99"/>
          <w:lang w:eastAsia="en-GB"/>
        </w:rPr>
        <w:t xml:space="preserve"> </w:t>
      </w:r>
      <w:r w:rsidRPr="00DB7F92">
        <w:rPr>
          <w:lang w:eastAsia="en-GB"/>
        </w:rPr>
        <w:t>regard,</w:t>
      </w:r>
      <w:r w:rsidRPr="00DB7F92">
        <w:rPr>
          <w:spacing w:val="36"/>
          <w:lang w:eastAsia="en-GB"/>
        </w:rPr>
        <w:t xml:space="preserve"> </w:t>
      </w:r>
      <w:r w:rsidRPr="00DB7F92">
        <w:rPr>
          <w:lang w:eastAsia="en-GB"/>
        </w:rPr>
        <w:t>not</w:t>
      </w:r>
      <w:r w:rsidRPr="00DB7F92">
        <w:rPr>
          <w:spacing w:val="36"/>
          <w:lang w:eastAsia="en-GB"/>
        </w:rPr>
        <w:t xml:space="preserve"> </w:t>
      </w:r>
      <w:r w:rsidRPr="00DB7F92">
        <w:rPr>
          <w:lang w:eastAsia="en-GB"/>
        </w:rPr>
        <w:t>to</w:t>
      </w:r>
      <w:r w:rsidRPr="00DB7F92">
        <w:rPr>
          <w:spacing w:val="35"/>
          <w:lang w:eastAsia="en-GB"/>
        </w:rPr>
        <w:t xml:space="preserve"> </w:t>
      </w:r>
      <w:r w:rsidRPr="00DB7F92">
        <w:rPr>
          <w:lang w:eastAsia="en-GB"/>
        </w:rPr>
        <w:t>achieve</w:t>
      </w:r>
      <w:r w:rsidRPr="00DB7F92">
        <w:rPr>
          <w:spacing w:val="38"/>
          <w:lang w:eastAsia="en-GB"/>
        </w:rPr>
        <w:t xml:space="preserve"> </w:t>
      </w:r>
      <w:r w:rsidRPr="00DB7F92">
        <w:rPr>
          <w:lang w:eastAsia="en-GB"/>
        </w:rPr>
        <w:t>perfection,</w:t>
      </w:r>
      <w:r w:rsidRPr="00DB7F92">
        <w:rPr>
          <w:spacing w:val="36"/>
          <w:lang w:eastAsia="en-GB"/>
        </w:rPr>
        <w:t xml:space="preserve"> </w:t>
      </w:r>
      <w:r w:rsidRPr="00DB7F92">
        <w:rPr>
          <w:lang w:eastAsia="en-GB"/>
        </w:rPr>
        <w:t>and</w:t>
      </w:r>
      <w:r w:rsidRPr="00DB7F92">
        <w:rPr>
          <w:spacing w:val="35"/>
          <w:lang w:eastAsia="en-GB"/>
        </w:rPr>
        <w:t xml:space="preserve"> </w:t>
      </w:r>
      <w:r w:rsidRPr="00DB7F92">
        <w:rPr>
          <w:lang w:eastAsia="en-GB"/>
        </w:rPr>
        <w:t>this</w:t>
      </w:r>
      <w:r w:rsidRPr="00DB7F92">
        <w:rPr>
          <w:spacing w:val="36"/>
          <w:lang w:eastAsia="en-GB"/>
        </w:rPr>
        <w:t xml:space="preserve"> </w:t>
      </w:r>
      <w:r w:rsidRPr="00DB7F92">
        <w:rPr>
          <w:lang w:eastAsia="en-GB"/>
        </w:rPr>
        <w:t>is</w:t>
      </w:r>
      <w:r w:rsidRPr="00DB7F92">
        <w:rPr>
          <w:spacing w:val="37"/>
          <w:lang w:eastAsia="en-GB"/>
        </w:rPr>
        <w:t xml:space="preserve"> </w:t>
      </w:r>
      <w:r w:rsidRPr="00DB7F92">
        <w:rPr>
          <w:lang w:eastAsia="en-GB"/>
        </w:rPr>
        <w:t>a</w:t>
      </w:r>
      <w:r w:rsidRPr="00DB7F92">
        <w:rPr>
          <w:spacing w:val="35"/>
          <w:lang w:eastAsia="en-GB"/>
        </w:rPr>
        <w:t xml:space="preserve"> </w:t>
      </w:r>
      <w:r w:rsidRPr="00DB7F92">
        <w:rPr>
          <w:lang w:eastAsia="en-GB"/>
        </w:rPr>
        <w:t>practical</w:t>
      </w:r>
      <w:r w:rsidRPr="00DB7F92">
        <w:rPr>
          <w:spacing w:val="35"/>
          <w:lang w:eastAsia="en-GB"/>
        </w:rPr>
        <w:t xml:space="preserve"> </w:t>
      </w:r>
      <w:r w:rsidRPr="00DB7F92">
        <w:rPr>
          <w:lang w:eastAsia="en-GB"/>
        </w:rPr>
        <w:t>rather</w:t>
      </w:r>
      <w:r w:rsidRPr="00DB7F92">
        <w:rPr>
          <w:spacing w:val="36"/>
          <w:lang w:eastAsia="en-GB"/>
        </w:rPr>
        <w:t xml:space="preserve"> </w:t>
      </w:r>
      <w:r w:rsidRPr="00DB7F92">
        <w:rPr>
          <w:lang w:eastAsia="en-GB"/>
        </w:rPr>
        <w:t>than</w:t>
      </w:r>
      <w:r w:rsidRPr="00DB7F92">
        <w:rPr>
          <w:spacing w:val="37"/>
          <w:lang w:eastAsia="en-GB"/>
        </w:rPr>
        <w:t xml:space="preserve"> </w:t>
      </w:r>
      <w:r w:rsidRPr="00DB7F92">
        <w:rPr>
          <w:lang w:eastAsia="en-GB"/>
        </w:rPr>
        <w:t>an</w:t>
      </w:r>
      <w:r w:rsidRPr="00DB7F92">
        <w:rPr>
          <w:spacing w:val="47"/>
          <w:lang w:eastAsia="en-GB"/>
        </w:rPr>
        <w:t xml:space="preserve"> </w:t>
      </w:r>
      <w:r w:rsidRPr="00DB7F92">
        <w:rPr>
          <w:lang w:eastAsia="en-GB"/>
        </w:rPr>
        <w:t>academic</w:t>
      </w:r>
      <w:r w:rsidRPr="00DB7F92">
        <w:rPr>
          <w:spacing w:val="-12"/>
          <w:lang w:eastAsia="en-GB"/>
        </w:rPr>
        <w:t xml:space="preserve"> </w:t>
      </w:r>
      <w:r w:rsidRPr="00DB7F92">
        <w:rPr>
          <w:lang w:eastAsia="en-GB"/>
        </w:rPr>
        <w:t>exercise.</w:t>
      </w:r>
    </w:p>
    <w:p w14:paraId="30069A0A" w14:textId="77777777" w:rsidR="00DB7F92" w:rsidRPr="00DB7F92" w:rsidRDefault="00DB7F92" w:rsidP="00DB7F92">
      <w:pPr>
        <w:widowControl w:val="0"/>
        <w:tabs>
          <w:tab w:val="left" w:pos="1179"/>
        </w:tabs>
        <w:spacing w:before="198" w:after="120"/>
        <w:ind w:left="1178" w:right="115"/>
        <w:jc w:val="both"/>
        <w:rPr>
          <w:rFonts w:cs="Arial"/>
          <w:bCs w:val="0"/>
          <w:sz w:val="20"/>
          <w:szCs w:val="20"/>
          <w:lang w:eastAsia="en-GB"/>
        </w:rPr>
      </w:pPr>
    </w:p>
    <w:p w14:paraId="08502E41" w14:textId="77777777" w:rsidR="00DB7F92" w:rsidRPr="006B14E9" w:rsidRDefault="00DB7F92" w:rsidP="006B14E9">
      <w:pPr>
        <w:rPr>
          <w:rFonts w:eastAsiaTheme="majorEastAsia"/>
          <w:i/>
          <w:sz w:val="28"/>
        </w:rPr>
      </w:pPr>
      <w:r w:rsidRPr="006B14E9">
        <w:rPr>
          <w:rFonts w:eastAsiaTheme="majorEastAsia"/>
          <w:i/>
          <w:sz w:val="28"/>
        </w:rPr>
        <w:t>REDUCE HEALTH INEQUALITIES</w:t>
      </w:r>
    </w:p>
    <w:p w14:paraId="5186A176" w14:textId="77777777" w:rsidR="00C84421" w:rsidRPr="00A553BA" w:rsidRDefault="00C84421" w:rsidP="00A553BA">
      <w:pPr>
        <w:rPr>
          <w:rFonts w:eastAsiaTheme="majorEastAsia"/>
        </w:rPr>
      </w:pPr>
    </w:p>
    <w:p w14:paraId="070B2512" w14:textId="77777777" w:rsidR="00DB7F92" w:rsidRPr="00DB7F92" w:rsidRDefault="00DB7F92" w:rsidP="00DD5D2D">
      <w:pPr>
        <w:pStyle w:val="Heading3"/>
        <w:jc w:val="both"/>
        <w:rPr>
          <w:b/>
          <w:lang w:eastAsia="en-GB"/>
        </w:rPr>
      </w:pPr>
      <w:r w:rsidRPr="00DB7F92">
        <w:rPr>
          <w:lang w:eastAsia="en-GB"/>
        </w:rPr>
        <w:t>This duty has been discussed above.  It is listed here for completeness, as it is one of the Regard Duties under the NHS Act 2006.</w:t>
      </w:r>
    </w:p>
    <w:p w14:paraId="5199D285" w14:textId="77777777" w:rsidR="00DB7F92" w:rsidRPr="00DB7F92" w:rsidRDefault="00DB7F92" w:rsidP="00DB7F92">
      <w:pPr>
        <w:widowControl w:val="0"/>
        <w:tabs>
          <w:tab w:val="left" w:pos="1179"/>
        </w:tabs>
        <w:spacing w:after="120"/>
        <w:ind w:left="1178" w:right="337"/>
        <w:jc w:val="both"/>
        <w:rPr>
          <w:rFonts w:cs="Arial"/>
          <w:bCs w:val="0"/>
          <w:sz w:val="20"/>
          <w:szCs w:val="20"/>
          <w:lang w:eastAsia="en-GB"/>
        </w:rPr>
      </w:pPr>
    </w:p>
    <w:p w14:paraId="152E0DE3" w14:textId="77777777" w:rsidR="00DB7F92" w:rsidRPr="006B14E9" w:rsidRDefault="00DB7F92" w:rsidP="006B14E9">
      <w:pPr>
        <w:rPr>
          <w:rFonts w:eastAsiaTheme="majorEastAsia"/>
          <w:i/>
          <w:sz w:val="28"/>
        </w:rPr>
      </w:pPr>
      <w:r w:rsidRPr="006B14E9">
        <w:rPr>
          <w:rFonts w:eastAsiaTheme="majorEastAsia"/>
          <w:i/>
          <w:sz w:val="28"/>
        </w:rPr>
        <w:t>ACT WITH AUTONOMY</w:t>
      </w:r>
    </w:p>
    <w:p w14:paraId="5248803C" w14:textId="77777777" w:rsidR="00C84421" w:rsidRPr="00A553BA" w:rsidRDefault="00C84421" w:rsidP="00A553BA">
      <w:pPr>
        <w:rPr>
          <w:rFonts w:eastAsiaTheme="majorEastAsia"/>
        </w:rPr>
      </w:pPr>
    </w:p>
    <w:p w14:paraId="22D78194" w14:textId="3E75FEF3" w:rsidR="00DB7F92" w:rsidRPr="00DB7F92" w:rsidRDefault="00DB7F92" w:rsidP="00DD5D2D">
      <w:pPr>
        <w:pStyle w:val="Heading3"/>
        <w:jc w:val="both"/>
        <w:rPr>
          <w:lang w:eastAsia="en-GB"/>
        </w:rPr>
      </w:pPr>
      <w:r w:rsidRPr="00DB7F92">
        <w:rPr>
          <w:lang w:eastAsia="en-GB"/>
        </w:rPr>
        <w:t>NHS</w:t>
      </w:r>
      <w:r w:rsidRPr="00DB7F92">
        <w:rPr>
          <w:spacing w:val="38"/>
          <w:lang w:eastAsia="en-GB"/>
        </w:rPr>
        <w:t xml:space="preserve"> </w:t>
      </w:r>
      <w:r w:rsidRPr="00DB7F92">
        <w:rPr>
          <w:lang w:eastAsia="en-GB"/>
        </w:rPr>
        <w:t>England</w:t>
      </w:r>
      <w:r w:rsidRPr="00DB7F92">
        <w:rPr>
          <w:spacing w:val="38"/>
          <w:lang w:eastAsia="en-GB"/>
        </w:rPr>
        <w:t xml:space="preserve"> </w:t>
      </w:r>
      <w:r w:rsidRPr="00DB7F92">
        <w:rPr>
          <w:lang w:eastAsia="en-GB"/>
        </w:rPr>
        <w:t>has</w:t>
      </w:r>
      <w:r w:rsidRPr="00DB7F92">
        <w:rPr>
          <w:spacing w:val="40"/>
          <w:lang w:eastAsia="en-GB"/>
        </w:rPr>
        <w:t xml:space="preserve"> </w:t>
      </w:r>
      <w:r w:rsidRPr="00DB7F92">
        <w:rPr>
          <w:lang w:eastAsia="en-GB"/>
        </w:rPr>
        <w:t>a</w:t>
      </w:r>
      <w:r w:rsidRPr="00DB7F92">
        <w:rPr>
          <w:spacing w:val="41"/>
          <w:lang w:eastAsia="en-GB"/>
        </w:rPr>
        <w:t xml:space="preserve"> statutory </w:t>
      </w:r>
      <w:r w:rsidRPr="00DB7F92">
        <w:rPr>
          <w:lang w:eastAsia="en-GB"/>
        </w:rPr>
        <w:t>duty to</w:t>
      </w:r>
      <w:r w:rsidRPr="00DB7F92">
        <w:rPr>
          <w:spacing w:val="38"/>
          <w:lang w:eastAsia="en-GB"/>
        </w:rPr>
        <w:t xml:space="preserve"> </w:t>
      </w:r>
      <w:r w:rsidRPr="00DB7F92">
        <w:rPr>
          <w:lang w:eastAsia="en-GB"/>
        </w:rPr>
        <w:t>have</w:t>
      </w:r>
      <w:r w:rsidRPr="00DB7F92">
        <w:rPr>
          <w:spacing w:val="38"/>
          <w:lang w:eastAsia="en-GB"/>
        </w:rPr>
        <w:t xml:space="preserve"> </w:t>
      </w:r>
      <w:r w:rsidRPr="00DB7F92">
        <w:rPr>
          <w:lang w:eastAsia="en-GB"/>
        </w:rPr>
        <w:t>regard</w:t>
      </w:r>
      <w:r w:rsidRPr="00DB7F92">
        <w:rPr>
          <w:spacing w:val="40"/>
          <w:lang w:eastAsia="en-GB"/>
        </w:rPr>
        <w:t xml:space="preserve"> </w:t>
      </w:r>
      <w:r w:rsidRPr="00DB7F92">
        <w:rPr>
          <w:lang w:eastAsia="en-GB"/>
        </w:rPr>
        <w:t>to</w:t>
      </w:r>
      <w:r w:rsidRPr="00DB7F92">
        <w:rPr>
          <w:spacing w:val="41"/>
          <w:lang w:eastAsia="en-GB"/>
        </w:rPr>
        <w:t xml:space="preserve"> </w:t>
      </w:r>
      <w:r w:rsidRPr="00DB7F92">
        <w:rPr>
          <w:lang w:eastAsia="en-GB"/>
        </w:rPr>
        <w:t>the</w:t>
      </w:r>
      <w:r w:rsidRPr="00DB7F92">
        <w:rPr>
          <w:spacing w:val="38"/>
          <w:lang w:eastAsia="en-GB"/>
        </w:rPr>
        <w:t xml:space="preserve"> </w:t>
      </w:r>
      <w:r w:rsidRPr="00DB7F92">
        <w:rPr>
          <w:lang w:eastAsia="en-GB"/>
        </w:rPr>
        <w:t>desirability</w:t>
      </w:r>
      <w:r w:rsidRPr="00DB7F92">
        <w:rPr>
          <w:spacing w:val="42"/>
          <w:lang w:eastAsia="en-GB"/>
        </w:rPr>
        <w:t xml:space="preserve"> </w:t>
      </w:r>
      <w:r w:rsidRPr="00DB7F92">
        <w:rPr>
          <w:lang w:eastAsia="en-GB"/>
        </w:rPr>
        <w:t>of</w:t>
      </w:r>
      <w:r w:rsidRPr="00DB7F92">
        <w:rPr>
          <w:spacing w:val="40"/>
          <w:lang w:eastAsia="en-GB"/>
        </w:rPr>
        <w:t xml:space="preserve"> </w:t>
      </w:r>
      <w:r w:rsidRPr="00DB7F92">
        <w:rPr>
          <w:lang w:eastAsia="en-GB"/>
        </w:rPr>
        <w:t>allowing</w:t>
      </w:r>
      <w:r w:rsidRPr="00DB7F92">
        <w:rPr>
          <w:spacing w:val="57"/>
          <w:lang w:eastAsia="en-GB"/>
        </w:rPr>
        <w:t xml:space="preserve"> </w:t>
      </w:r>
      <w:r w:rsidR="00050291" w:rsidRPr="00DB7F92">
        <w:rPr>
          <w:lang w:eastAsia="en-GB"/>
        </w:rPr>
        <w:t xml:space="preserve">others </w:t>
      </w:r>
      <w:r w:rsidR="00050291" w:rsidRPr="00A553BA">
        <w:rPr>
          <w:spacing w:val="26"/>
        </w:rPr>
        <w:t>in</w:t>
      </w:r>
      <w:r w:rsidR="00050291" w:rsidRPr="00DB7F92">
        <w:rPr>
          <w:lang w:eastAsia="en-GB"/>
        </w:rPr>
        <w:t xml:space="preserve"> </w:t>
      </w:r>
      <w:r w:rsidR="00050291" w:rsidRPr="00A553BA">
        <w:rPr>
          <w:spacing w:val="26"/>
        </w:rPr>
        <w:t>the</w:t>
      </w:r>
      <w:r w:rsidR="00050291" w:rsidRPr="00DB7F92">
        <w:rPr>
          <w:lang w:eastAsia="en-GB"/>
        </w:rPr>
        <w:t xml:space="preserve"> </w:t>
      </w:r>
      <w:r w:rsidR="00050291" w:rsidRPr="00A553BA">
        <w:rPr>
          <w:spacing w:val="24"/>
        </w:rPr>
        <w:t>healthcare</w:t>
      </w:r>
      <w:r w:rsidR="00050291" w:rsidRPr="00DB7F92">
        <w:rPr>
          <w:lang w:eastAsia="en-GB"/>
        </w:rPr>
        <w:t xml:space="preserve"> </w:t>
      </w:r>
      <w:r w:rsidR="00050291" w:rsidRPr="00A553BA">
        <w:rPr>
          <w:spacing w:val="25"/>
        </w:rPr>
        <w:t>system</w:t>
      </w:r>
      <w:r w:rsidR="00050291" w:rsidRPr="00DB7F92">
        <w:rPr>
          <w:lang w:eastAsia="en-GB"/>
        </w:rPr>
        <w:t xml:space="preserve"> </w:t>
      </w:r>
      <w:r w:rsidR="00050291" w:rsidRPr="00A553BA">
        <w:rPr>
          <w:spacing w:val="25"/>
        </w:rPr>
        <w:t>to</w:t>
      </w:r>
      <w:r w:rsidR="00050291" w:rsidRPr="00DB7F92">
        <w:rPr>
          <w:lang w:eastAsia="en-GB"/>
        </w:rPr>
        <w:t xml:space="preserve"> </w:t>
      </w:r>
      <w:r w:rsidR="00050291" w:rsidRPr="00A553BA">
        <w:rPr>
          <w:spacing w:val="24"/>
        </w:rPr>
        <w:t>act</w:t>
      </w:r>
      <w:r w:rsidR="00050291" w:rsidRPr="00DB7F92">
        <w:rPr>
          <w:lang w:eastAsia="en-GB"/>
        </w:rPr>
        <w:t xml:space="preserve"> </w:t>
      </w:r>
      <w:r w:rsidR="00D26A9F" w:rsidRPr="00A553BA">
        <w:rPr>
          <w:spacing w:val="5"/>
        </w:rPr>
        <w:t>with</w:t>
      </w:r>
      <w:r w:rsidR="00D26A9F" w:rsidRPr="00DB7F92">
        <w:rPr>
          <w:lang w:eastAsia="en-GB"/>
        </w:rPr>
        <w:t xml:space="preserve"> </w:t>
      </w:r>
      <w:r w:rsidR="00D26A9F" w:rsidRPr="00A553BA">
        <w:rPr>
          <w:spacing w:val="8"/>
        </w:rPr>
        <w:t>autonomy</w:t>
      </w:r>
      <w:r w:rsidRPr="00DB7F92">
        <w:rPr>
          <w:spacing w:val="72"/>
          <w:lang w:eastAsia="en-GB"/>
        </w:rPr>
        <w:t xml:space="preserve"> </w:t>
      </w:r>
      <w:r w:rsidR="00D26A9F" w:rsidRPr="00DB7F92">
        <w:rPr>
          <w:lang w:eastAsia="en-GB"/>
        </w:rPr>
        <w:t>and</w:t>
      </w:r>
      <w:r w:rsidR="00D26A9F" w:rsidRPr="00A553BA">
        <w:t xml:space="preserve"> </w:t>
      </w:r>
      <w:r w:rsidR="00D26A9F" w:rsidRPr="00A553BA">
        <w:rPr>
          <w:spacing w:val="24"/>
        </w:rPr>
        <w:t>avoid</w:t>
      </w:r>
      <w:r w:rsidRPr="00DB7F92">
        <w:rPr>
          <w:lang w:eastAsia="en-GB"/>
        </w:rPr>
        <w:t xml:space="preserve"> imposing unnecessary burdens upon them, so far as this is consistent with the interests of the health service.</w:t>
      </w:r>
    </w:p>
    <w:p w14:paraId="4092C283" w14:textId="77777777" w:rsidR="00DB7F92" w:rsidRPr="00DB7F92" w:rsidRDefault="00DB7F92" w:rsidP="00DB7F92">
      <w:pPr>
        <w:jc w:val="both"/>
        <w:rPr>
          <w:rFonts w:eastAsia="Segoe UI Semilight" w:cs="Arial"/>
          <w:sz w:val="20"/>
          <w:szCs w:val="20"/>
        </w:rPr>
      </w:pPr>
    </w:p>
    <w:p w14:paraId="593CFAD3" w14:textId="77777777" w:rsidR="00DB7F92" w:rsidRPr="00DB7F92" w:rsidRDefault="00DB7F92" w:rsidP="00DB7F92">
      <w:pPr>
        <w:spacing w:before="9"/>
        <w:jc w:val="both"/>
        <w:rPr>
          <w:rFonts w:eastAsia="Segoe UI Semilight" w:cs="Arial"/>
          <w:sz w:val="20"/>
          <w:szCs w:val="20"/>
        </w:rPr>
      </w:pPr>
    </w:p>
    <w:p w14:paraId="136F4553" w14:textId="77777777" w:rsidR="00DB7F92" w:rsidRPr="00DB7F92" w:rsidRDefault="00DB7F92" w:rsidP="00DB7F92">
      <w:pPr>
        <w:ind w:left="1156"/>
        <w:jc w:val="both"/>
        <w:rPr>
          <w:rFonts w:eastAsia="Segoe UI Semilight" w:cs="Arial"/>
          <w:sz w:val="20"/>
          <w:szCs w:val="20"/>
        </w:rPr>
      </w:pPr>
      <w:r w:rsidRPr="00DB7F92">
        <w:rPr>
          <w:rFonts w:eastAsia="Segoe UI Semilight" w:cs="Arial"/>
          <w:noProof/>
          <w:sz w:val="20"/>
          <w:szCs w:val="20"/>
          <w:lang w:eastAsia="en-GB"/>
        </w:rPr>
        <mc:AlternateContent>
          <mc:Choice Requires="wps">
            <w:drawing>
              <wp:inline distT="0" distB="0" distL="0" distR="0" wp14:anchorId="09B66E46" wp14:editId="36B1264F">
                <wp:extent cx="4860290" cy="1181100"/>
                <wp:effectExtent l="0" t="0" r="0" b="0"/>
                <wp:docPr id="1989" name="Text Box 1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1181100"/>
                        </a:xfrm>
                        <a:prstGeom prst="rect">
                          <a:avLst/>
                        </a:prstGeom>
                        <a:solidFill>
                          <a:srgbClr val="1C6C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BFD84" w14:textId="77777777" w:rsidR="00942266" w:rsidRPr="004E0302" w:rsidRDefault="00942266" w:rsidP="00DB7F92">
                            <w:pPr>
                              <w:spacing w:before="213"/>
                              <w:ind w:left="225"/>
                              <w:jc w:val="both"/>
                              <w:rPr>
                                <w:rFonts w:eastAsia="Tw Cen MT Condensed Extra Bold" w:cs="Arial"/>
                                <w:sz w:val="20"/>
                                <w:szCs w:val="20"/>
                              </w:rPr>
                            </w:pPr>
                            <w:r w:rsidRPr="004E0302">
                              <w:rPr>
                                <w:rFonts w:cs="Arial"/>
                                <w:b/>
                                <w:color w:val="FFFFFF"/>
                                <w:sz w:val="20"/>
                                <w:szCs w:val="20"/>
                              </w:rPr>
                              <w:t>Example:</w:t>
                            </w:r>
                          </w:p>
                          <w:p w14:paraId="14D99DFA" w14:textId="77777777" w:rsidR="00942266" w:rsidRPr="004E0302" w:rsidRDefault="00942266" w:rsidP="00DB7F92">
                            <w:pPr>
                              <w:spacing w:before="12"/>
                              <w:rPr>
                                <w:rFonts w:eastAsia="Segoe UI Semilight" w:cs="Arial"/>
                                <w:sz w:val="20"/>
                                <w:szCs w:val="20"/>
                              </w:rPr>
                            </w:pPr>
                          </w:p>
                          <w:p w14:paraId="7B8E3E4F" w14:textId="77777777" w:rsidR="00942266" w:rsidRPr="004E0302" w:rsidRDefault="00942266" w:rsidP="00DB7F92">
                            <w:pPr>
                              <w:ind w:left="225" w:right="225"/>
                              <w:jc w:val="both"/>
                              <w:rPr>
                                <w:rFonts w:eastAsia="Segoe UI Semilight" w:cs="Arial"/>
                                <w:sz w:val="20"/>
                                <w:szCs w:val="20"/>
                              </w:rPr>
                            </w:pPr>
                            <w:r w:rsidRPr="004E0302">
                              <w:rPr>
                                <w:rFonts w:cs="Arial"/>
                                <w:color w:val="FFFFFF"/>
                                <w:spacing w:val="-1"/>
                                <w:sz w:val="20"/>
                                <w:szCs w:val="20"/>
                              </w:rPr>
                              <w:t>NHS</w:t>
                            </w:r>
                            <w:r w:rsidRPr="004E0302">
                              <w:rPr>
                                <w:rFonts w:cs="Arial"/>
                                <w:color w:val="FFFFFF"/>
                                <w:sz w:val="20"/>
                                <w:szCs w:val="20"/>
                              </w:rPr>
                              <w:t xml:space="preserve"> </w:t>
                            </w:r>
                            <w:r w:rsidRPr="004E0302">
                              <w:rPr>
                                <w:rFonts w:cs="Arial"/>
                                <w:color w:val="FFFFFF"/>
                                <w:spacing w:val="-1"/>
                                <w:sz w:val="20"/>
                                <w:szCs w:val="20"/>
                              </w:rPr>
                              <w:t>England</w:t>
                            </w:r>
                            <w:r w:rsidRPr="004E0302">
                              <w:rPr>
                                <w:rFonts w:cs="Arial"/>
                                <w:color w:val="FFFFFF"/>
                                <w:spacing w:val="1"/>
                                <w:sz w:val="20"/>
                                <w:szCs w:val="20"/>
                              </w:rPr>
                              <w:t xml:space="preserve"> </w:t>
                            </w:r>
                            <w:r w:rsidRPr="004E0302">
                              <w:rPr>
                                <w:rFonts w:cs="Arial"/>
                                <w:color w:val="FFFFFF"/>
                                <w:spacing w:val="-1"/>
                                <w:sz w:val="20"/>
                                <w:szCs w:val="20"/>
                              </w:rPr>
                              <w:t>is</w:t>
                            </w:r>
                            <w:r w:rsidRPr="004E0302">
                              <w:rPr>
                                <w:rFonts w:cs="Arial"/>
                                <w:color w:val="FFFFFF"/>
                                <w:spacing w:val="2"/>
                                <w:sz w:val="20"/>
                                <w:szCs w:val="20"/>
                              </w:rPr>
                              <w:t xml:space="preserve"> </w:t>
                            </w:r>
                            <w:r w:rsidRPr="004E0302">
                              <w:rPr>
                                <w:rFonts w:cs="Arial"/>
                                <w:color w:val="FFFFFF"/>
                                <w:spacing w:val="-1"/>
                                <w:sz w:val="20"/>
                                <w:szCs w:val="20"/>
                              </w:rPr>
                              <w:t>considering</w:t>
                            </w:r>
                            <w:r w:rsidRPr="004E0302">
                              <w:rPr>
                                <w:rFonts w:cs="Arial"/>
                                <w:color w:val="FFFFFF"/>
                                <w:spacing w:val="1"/>
                                <w:sz w:val="20"/>
                                <w:szCs w:val="20"/>
                              </w:rPr>
                              <w:t xml:space="preserve"> </w:t>
                            </w:r>
                            <w:r w:rsidRPr="004E0302">
                              <w:rPr>
                                <w:rFonts w:cs="Arial"/>
                                <w:color w:val="FFFFFF"/>
                                <w:spacing w:val="-1"/>
                                <w:sz w:val="20"/>
                                <w:szCs w:val="20"/>
                              </w:rPr>
                              <w:t>commissioning</w:t>
                            </w:r>
                            <w:r w:rsidRPr="004E0302">
                              <w:rPr>
                                <w:rFonts w:cs="Arial"/>
                                <w:color w:val="FFFFFF"/>
                                <w:sz w:val="20"/>
                                <w:szCs w:val="20"/>
                              </w:rPr>
                              <w:t xml:space="preserve"> new</w:t>
                            </w:r>
                            <w:r w:rsidRPr="004E0302">
                              <w:rPr>
                                <w:rFonts w:cs="Arial"/>
                                <w:color w:val="FFFFFF"/>
                                <w:spacing w:val="2"/>
                                <w:sz w:val="20"/>
                                <w:szCs w:val="20"/>
                              </w:rPr>
                              <w:t xml:space="preserve"> </w:t>
                            </w:r>
                            <w:r w:rsidRPr="004E0302">
                              <w:rPr>
                                <w:rFonts w:cs="Arial"/>
                                <w:color w:val="FFFFFF"/>
                                <w:spacing w:val="-1"/>
                                <w:sz w:val="20"/>
                                <w:szCs w:val="20"/>
                              </w:rPr>
                              <w:t>primary</w:t>
                            </w:r>
                            <w:r w:rsidRPr="004E0302">
                              <w:rPr>
                                <w:rFonts w:cs="Arial"/>
                                <w:color w:val="FFFFFF"/>
                                <w:spacing w:val="1"/>
                                <w:sz w:val="20"/>
                                <w:szCs w:val="20"/>
                              </w:rPr>
                              <w:t xml:space="preserve"> </w:t>
                            </w:r>
                            <w:r w:rsidRPr="004E0302">
                              <w:rPr>
                                <w:rFonts w:cs="Arial"/>
                                <w:color w:val="FFFFFF"/>
                                <w:spacing w:val="-1"/>
                                <w:sz w:val="20"/>
                                <w:szCs w:val="20"/>
                              </w:rPr>
                              <w:t>care</w:t>
                            </w:r>
                            <w:r w:rsidRPr="004E0302">
                              <w:rPr>
                                <w:rFonts w:cs="Arial"/>
                                <w:color w:val="FFFFFF"/>
                                <w:spacing w:val="1"/>
                                <w:sz w:val="20"/>
                                <w:szCs w:val="20"/>
                              </w:rPr>
                              <w:t xml:space="preserve"> </w:t>
                            </w:r>
                            <w:r w:rsidRPr="004E0302">
                              <w:rPr>
                                <w:rFonts w:cs="Arial"/>
                                <w:color w:val="FFFFFF"/>
                                <w:spacing w:val="-1"/>
                                <w:sz w:val="20"/>
                                <w:szCs w:val="20"/>
                              </w:rPr>
                              <w:t>services</w:t>
                            </w:r>
                            <w:r w:rsidRPr="004E0302">
                              <w:rPr>
                                <w:rFonts w:cs="Arial"/>
                                <w:color w:val="FFFFFF"/>
                                <w:spacing w:val="54"/>
                                <w:w w:val="99"/>
                                <w:sz w:val="20"/>
                                <w:szCs w:val="20"/>
                              </w:rPr>
                              <w:t xml:space="preserve"> </w:t>
                            </w:r>
                            <w:r w:rsidRPr="004E0302">
                              <w:rPr>
                                <w:rFonts w:cs="Arial"/>
                                <w:color w:val="FFFFFF"/>
                                <w:spacing w:val="-1"/>
                                <w:sz w:val="20"/>
                                <w:szCs w:val="20"/>
                              </w:rPr>
                              <w:t>in</w:t>
                            </w:r>
                            <w:r w:rsidRPr="004E0302">
                              <w:rPr>
                                <w:rFonts w:cs="Arial"/>
                                <w:color w:val="FFFFFF"/>
                                <w:spacing w:val="6"/>
                                <w:sz w:val="20"/>
                                <w:szCs w:val="20"/>
                              </w:rPr>
                              <w:t xml:space="preserve"> </w:t>
                            </w:r>
                            <w:r w:rsidRPr="004E0302">
                              <w:rPr>
                                <w:rFonts w:cs="Arial"/>
                                <w:color w:val="FFFFFF"/>
                                <w:sz w:val="20"/>
                                <w:szCs w:val="20"/>
                              </w:rPr>
                              <w:t>a</w:t>
                            </w:r>
                            <w:r w:rsidRPr="004E0302">
                              <w:rPr>
                                <w:rFonts w:cs="Arial"/>
                                <w:color w:val="FFFFFF"/>
                                <w:spacing w:val="7"/>
                                <w:sz w:val="20"/>
                                <w:szCs w:val="20"/>
                              </w:rPr>
                              <w:t xml:space="preserve"> </w:t>
                            </w:r>
                            <w:r w:rsidRPr="004E0302">
                              <w:rPr>
                                <w:rFonts w:cs="Arial"/>
                                <w:color w:val="FFFFFF"/>
                                <w:spacing w:val="-1"/>
                                <w:sz w:val="20"/>
                                <w:szCs w:val="20"/>
                              </w:rPr>
                              <w:t>particular</w:t>
                            </w:r>
                            <w:r w:rsidRPr="004E0302">
                              <w:rPr>
                                <w:rFonts w:cs="Arial"/>
                                <w:color w:val="FFFFFF"/>
                                <w:spacing w:val="10"/>
                                <w:sz w:val="20"/>
                                <w:szCs w:val="20"/>
                              </w:rPr>
                              <w:t xml:space="preserve"> </w:t>
                            </w:r>
                            <w:r w:rsidRPr="004E0302">
                              <w:rPr>
                                <w:rFonts w:cs="Arial"/>
                                <w:color w:val="FFFFFF"/>
                                <w:spacing w:val="-1"/>
                                <w:sz w:val="20"/>
                                <w:szCs w:val="20"/>
                              </w:rPr>
                              <w:t>area.</w:t>
                            </w:r>
                            <w:r w:rsidRPr="004E0302">
                              <w:rPr>
                                <w:rFonts w:cs="Arial"/>
                                <w:color w:val="FFFFFF"/>
                                <w:spacing w:val="18"/>
                                <w:sz w:val="20"/>
                                <w:szCs w:val="20"/>
                              </w:rPr>
                              <w:t xml:space="preserve"> </w:t>
                            </w:r>
                            <w:r w:rsidRPr="004E0302">
                              <w:rPr>
                                <w:rFonts w:cs="Arial"/>
                                <w:color w:val="FFFFFF"/>
                                <w:spacing w:val="-1"/>
                                <w:sz w:val="20"/>
                                <w:szCs w:val="20"/>
                              </w:rPr>
                              <w:t>When</w:t>
                            </w:r>
                            <w:r w:rsidRPr="004E0302">
                              <w:rPr>
                                <w:rFonts w:cs="Arial"/>
                                <w:color w:val="FFFFFF"/>
                                <w:spacing w:val="7"/>
                                <w:sz w:val="20"/>
                                <w:szCs w:val="20"/>
                              </w:rPr>
                              <w:t xml:space="preserve"> </w:t>
                            </w:r>
                            <w:r w:rsidRPr="004E0302">
                              <w:rPr>
                                <w:rFonts w:cs="Arial"/>
                                <w:color w:val="FFFFFF"/>
                                <w:spacing w:val="-1"/>
                                <w:sz w:val="20"/>
                                <w:szCs w:val="20"/>
                              </w:rPr>
                              <w:t>deciding</w:t>
                            </w:r>
                            <w:r w:rsidRPr="004E0302">
                              <w:rPr>
                                <w:rFonts w:cs="Arial"/>
                                <w:color w:val="FFFFFF"/>
                                <w:spacing w:val="9"/>
                                <w:sz w:val="20"/>
                                <w:szCs w:val="20"/>
                              </w:rPr>
                              <w:t xml:space="preserve"> </w:t>
                            </w:r>
                            <w:r w:rsidRPr="004E0302">
                              <w:rPr>
                                <w:rFonts w:cs="Arial"/>
                                <w:color w:val="FFFFFF"/>
                                <w:spacing w:val="-1"/>
                                <w:sz w:val="20"/>
                                <w:szCs w:val="20"/>
                              </w:rPr>
                              <w:t>what</w:t>
                            </w:r>
                            <w:r w:rsidRPr="004E0302">
                              <w:rPr>
                                <w:rFonts w:cs="Arial"/>
                                <w:color w:val="FFFFFF"/>
                                <w:spacing w:val="8"/>
                                <w:sz w:val="20"/>
                                <w:szCs w:val="20"/>
                              </w:rPr>
                              <w:t xml:space="preserve"> </w:t>
                            </w:r>
                            <w:r w:rsidRPr="004E0302">
                              <w:rPr>
                                <w:rFonts w:cs="Arial"/>
                                <w:color w:val="FFFFFF"/>
                                <w:spacing w:val="-1"/>
                                <w:sz w:val="20"/>
                                <w:szCs w:val="20"/>
                              </w:rPr>
                              <w:t>type</w:t>
                            </w:r>
                            <w:r w:rsidRPr="004E0302">
                              <w:rPr>
                                <w:rFonts w:cs="Arial"/>
                                <w:color w:val="FFFFFF"/>
                                <w:spacing w:val="9"/>
                                <w:sz w:val="20"/>
                                <w:szCs w:val="20"/>
                              </w:rPr>
                              <w:t xml:space="preserve"> </w:t>
                            </w:r>
                            <w:r w:rsidRPr="004E0302">
                              <w:rPr>
                                <w:rFonts w:cs="Arial"/>
                                <w:color w:val="FFFFFF"/>
                                <w:spacing w:val="-1"/>
                                <w:sz w:val="20"/>
                                <w:szCs w:val="20"/>
                              </w:rPr>
                              <w:t>of</w:t>
                            </w:r>
                            <w:r w:rsidRPr="004E0302">
                              <w:rPr>
                                <w:rFonts w:cs="Arial"/>
                                <w:color w:val="FFFFFF"/>
                                <w:spacing w:val="8"/>
                                <w:sz w:val="20"/>
                                <w:szCs w:val="20"/>
                              </w:rPr>
                              <w:t xml:space="preserve"> </w:t>
                            </w:r>
                            <w:r w:rsidRPr="004E0302">
                              <w:rPr>
                                <w:rFonts w:cs="Arial"/>
                                <w:color w:val="FFFFFF"/>
                                <w:spacing w:val="-1"/>
                                <w:sz w:val="20"/>
                                <w:szCs w:val="20"/>
                              </w:rPr>
                              <w:t>contract</w:t>
                            </w:r>
                            <w:r w:rsidRPr="004E0302">
                              <w:rPr>
                                <w:rFonts w:cs="Arial"/>
                                <w:color w:val="FFFFFF"/>
                                <w:spacing w:val="8"/>
                                <w:sz w:val="20"/>
                                <w:szCs w:val="20"/>
                              </w:rPr>
                              <w:t xml:space="preserve"> </w:t>
                            </w:r>
                            <w:r w:rsidRPr="004E0302">
                              <w:rPr>
                                <w:rFonts w:cs="Arial"/>
                                <w:color w:val="FFFFFF"/>
                                <w:spacing w:val="-1"/>
                                <w:sz w:val="20"/>
                                <w:szCs w:val="20"/>
                              </w:rPr>
                              <w:t>it</w:t>
                            </w:r>
                            <w:r w:rsidRPr="004E0302">
                              <w:rPr>
                                <w:rFonts w:cs="Arial"/>
                                <w:color w:val="FFFFFF"/>
                                <w:spacing w:val="8"/>
                                <w:sz w:val="20"/>
                                <w:szCs w:val="20"/>
                              </w:rPr>
                              <w:t xml:space="preserve"> </w:t>
                            </w:r>
                            <w:r w:rsidRPr="004E0302">
                              <w:rPr>
                                <w:rFonts w:cs="Arial"/>
                                <w:color w:val="FFFFFF"/>
                                <w:spacing w:val="-1"/>
                                <w:sz w:val="20"/>
                                <w:szCs w:val="20"/>
                              </w:rPr>
                              <w:t>wants</w:t>
                            </w:r>
                            <w:r w:rsidRPr="004E0302">
                              <w:rPr>
                                <w:rFonts w:cs="Arial"/>
                                <w:color w:val="FFFFFF"/>
                                <w:spacing w:val="8"/>
                                <w:sz w:val="20"/>
                                <w:szCs w:val="20"/>
                              </w:rPr>
                              <w:t xml:space="preserve"> </w:t>
                            </w:r>
                            <w:r w:rsidRPr="004E0302">
                              <w:rPr>
                                <w:rFonts w:cs="Arial"/>
                                <w:color w:val="FFFFFF"/>
                                <w:sz w:val="20"/>
                                <w:szCs w:val="20"/>
                              </w:rPr>
                              <w:t>to</w:t>
                            </w:r>
                            <w:r w:rsidRPr="004E0302">
                              <w:rPr>
                                <w:rFonts w:cs="Arial"/>
                                <w:color w:val="FFFFFF"/>
                                <w:spacing w:val="61"/>
                                <w:sz w:val="20"/>
                                <w:szCs w:val="20"/>
                              </w:rPr>
                              <w:t xml:space="preserve"> </w:t>
                            </w:r>
                            <w:r w:rsidRPr="004E0302">
                              <w:rPr>
                                <w:rFonts w:cs="Arial"/>
                                <w:color w:val="FFFFFF"/>
                                <w:spacing w:val="-1"/>
                                <w:sz w:val="20"/>
                                <w:szCs w:val="20"/>
                              </w:rPr>
                              <w:t>award</w:t>
                            </w:r>
                            <w:r w:rsidRPr="004E0302">
                              <w:rPr>
                                <w:rFonts w:cs="Arial"/>
                                <w:color w:val="FFFFFF"/>
                                <w:spacing w:val="1"/>
                                <w:sz w:val="20"/>
                                <w:szCs w:val="20"/>
                              </w:rPr>
                              <w:t xml:space="preserve"> </w:t>
                            </w:r>
                            <w:r w:rsidRPr="004E0302">
                              <w:rPr>
                                <w:rFonts w:cs="Arial"/>
                                <w:color w:val="FFFFFF"/>
                                <w:spacing w:val="-1"/>
                                <w:sz w:val="20"/>
                                <w:szCs w:val="20"/>
                              </w:rPr>
                              <w:t>(GMS,</w:t>
                            </w:r>
                            <w:r w:rsidRPr="004E0302">
                              <w:rPr>
                                <w:rFonts w:cs="Arial"/>
                                <w:color w:val="FFFFFF"/>
                                <w:spacing w:val="2"/>
                                <w:sz w:val="20"/>
                                <w:szCs w:val="20"/>
                              </w:rPr>
                              <w:t xml:space="preserve"> </w:t>
                            </w:r>
                            <w:r w:rsidRPr="004E0302">
                              <w:rPr>
                                <w:rFonts w:cs="Arial"/>
                                <w:color w:val="FFFFFF"/>
                                <w:sz w:val="20"/>
                                <w:szCs w:val="20"/>
                              </w:rPr>
                              <w:t>PMS</w:t>
                            </w:r>
                            <w:r w:rsidRPr="004E0302">
                              <w:rPr>
                                <w:rFonts w:cs="Arial"/>
                                <w:color w:val="FFFFFF"/>
                                <w:spacing w:val="1"/>
                                <w:sz w:val="20"/>
                                <w:szCs w:val="20"/>
                              </w:rPr>
                              <w:t xml:space="preserve"> </w:t>
                            </w:r>
                            <w:r w:rsidRPr="004E0302">
                              <w:rPr>
                                <w:rFonts w:cs="Arial"/>
                                <w:color w:val="FFFFFF"/>
                                <w:spacing w:val="-1"/>
                                <w:sz w:val="20"/>
                                <w:szCs w:val="20"/>
                              </w:rPr>
                              <w:t>or</w:t>
                            </w:r>
                            <w:r w:rsidRPr="004E0302">
                              <w:rPr>
                                <w:rFonts w:cs="Arial"/>
                                <w:color w:val="FFFFFF"/>
                                <w:spacing w:val="5"/>
                                <w:sz w:val="20"/>
                                <w:szCs w:val="20"/>
                              </w:rPr>
                              <w:t xml:space="preserve"> </w:t>
                            </w:r>
                            <w:r w:rsidRPr="004E0302">
                              <w:rPr>
                                <w:rFonts w:cs="Arial"/>
                                <w:color w:val="FFFFFF"/>
                                <w:spacing w:val="-1"/>
                                <w:sz w:val="20"/>
                                <w:szCs w:val="20"/>
                              </w:rPr>
                              <w:t>APMS)</w:t>
                            </w:r>
                            <w:r w:rsidRPr="004E0302">
                              <w:rPr>
                                <w:rFonts w:cs="Arial"/>
                                <w:color w:val="FFFFFF"/>
                                <w:spacing w:val="1"/>
                                <w:sz w:val="20"/>
                                <w:szCs w:val="20"/>
                              </w:rPr>
                              <w:t xml:space="preserve"> </w:t>
                            </w:r>
                            <w:r w:rsidRPr="004E0302">
                              <w:rPr>
                                <w:rFonts w:cs="Arial"/>
                                <w:color w:val="FFFFFF"/>
                                <w:spacing w:val="-1"/>
                                <w:sz w:val="20"/>
                                <w:szCs w:val="20"/>
                              </w:rPr>
                              <w:t>it</w:t>
                            </w:r>
                            <w:r w:rsidRPr="004E0302">
                              <w:rPr>
                                <w:rFonts w:cs="Arial"/>
                                <w:color w:val="FFFFFF"/>
                                <w:spacing w:val="2"/>
                                <w:sz w:val="20"/>
                                <w:szCs w:val="20"/>
                              </w:rPr>
                              <w:t xml:space="preserve"> </w:t>
                            </w:r>
                            <w:r w:rsidRPr="004E0302">
                              <w:rPr>
                                <w:rFonts w:cs="Arial"/>
                                <w:color w:val="FFFFFF"/>
                                <w:spacing w:val="-1"/>
                                <w:sz w:val="20"/>
                                <w:szCs w:val="20"/>
                              </w:rPr>
                              <w:t>should</w:t>
                            </w:r>
                            <w:r w:rsidRPr="004E0302">
                              <w:rPr>
                                <w:rFonts w:cs="Arial"/>
                                <w:color w:val="FFFFFF"/>
                                <w:spacing w:val="2"/>
                                <w:sz w:val="20"/>
                                <w:szCs w:val="20"/>
                              </w:rPr>
                              <w:t xml:space="preserve"> </w:t>
                            </w:r>
                            <w:r w:rsidRPr="004E0302">
                              <w:rPr>
                                <w:rFonts w:cs="Arial"/>
                                <w:color w:val="FFFFFF"/>
                                <w:sz w:val="20"/>
                                <w:szCs w:val="20"/>
                              </w:rPr>
                              <w:t>weigh</w:t>
                            </w:r>
                            <w:r w:rsidRPr="004E0302">
                              <w:rPr>
                                <w:rFonts w:cs="Arial"/>
                                <w:color w:val="FFFFFF"/>
                                <w:spacing w:val="2"/>
                                <w:sz w:val="20"/>
                                <w:szCs w:val="20"/>
                              </w:rPr>
                              <w:t xml:space="preserve"> </w:t>
                            </w:r>
                            <w:r w:rsidRPr="004E0302">
                              <w:rPr>
                                <w:rFonts w:cs="Arial"/>
                                <w:color w:val="FFFFFF"/>
                                <w:spacing w:val="-1"/>
                                <w:sz w:val="20"/>
                                <w:szCs w:val="20"/>
                              </w:rPr>
                              <w:t>in</w:t>
                            </w:r>
                            <w:r w:rsidRPr="004E0302">
                              <w:rPr>
                                <w:rFonts w:cs="Arial"/>
                                <w:color w:val="FFFFFF"/>
                                <w:spacing w:val="2"/>
                                <w:sz w:val="20"/>
                                <w:szCs w:val="20"/>
                              </w:rPr>
                              <w:t xml:space="preserve"> </w:t>
                            </w:r>
                            <w:r w:rsidRPr="004E0302">
                              <w:rPr>
                                <w:rFonts w:cs="Arial"/>
                                <w:color w:val="FFFFFF"/>
                                <w:spacing w:val="-1"/>
                                <w:sz w:val="20"/>
                                <w:szCs w:val="20"/>
                              </w:rPr>
                              <w:t>the</w:t>
                            </w:r>
                            <w:r w:rsidRPr="004E0302">
                              <w:rPr>
                                <w:rFonts w:cs="Arial"/>
                                <w:color w:val="FFFFFF"/>
                                <w:spacing w:val="4"/>
                                <w:sz w:val="20"/>
                                <w:szCs w:val="20"/>
                              </w:rPr>
                              <w:t xml:space="preserve"> </w:t>
                            </w:r>
                            <w:r w:rsidRPr="004E0302">
                              <w:rPr>
                                <w:rFonts w:cs="Arial"/>
                                <w:color w:val="FFFFFF"/>
                                <w:spacing w:val="-1"/>
                                <w:sz w:val="20"/>
                                <w:szCs w:val="20"/>
                              </w:rPr>
                              <w:t>balance</w:t>
                            </w:r>
                            <w:r w:rsidRPr="004E0302">
                              <w:rPr>
                                <w:rFonts w:cs="Arial"/>
                                <w:color w:val="FFFFFF"/>
                                <w:spacing w:val="1"/>
                                <w:sz w:val="20"/>
                                <w:szCs w:val="20"/>
                              </w:rPr>
                              <w:t xml:space="preserve"> </w:t>
                            </w:r>
                            <w:r w:rsidRPr="004E0302">
                              <w:rPr>
                                <w:rFonts w:cs="Arial"/>
                                <w:color w:val="FFFFFF"/>
                                <w:sz w:val="20"/>
                                <w:szCs w:val="20"/>
                              </w:rPr>
                              <w:t>the</w:t>
                            </w:r>
                            <w:r w:rsidRPr="004E0302">
                              <w:rPr>
                                <w:rFonts w:cs="Arial"/>
                                <w:color w:val="FFFFFF"/>
                                <w:spacing w:val="51"/>
                                <w:w w:val="99"/>
                                <w:sz w:val="20"/>
                                <w:szCs w:val="20"/>
                              </w:rPr>
                              <w:t xml:space="preserve"> </w:t>
                            </w:r>
                            <w:r w:rsidRPr="004E0302">
                              <w:rPr>
                                <w:rFonts w:cs="Arial"/>
                                <w:color w:val="FFFFFF"/>
                                <w:spacing w:val="-1"/>
                                <w:sz w:val="20"/>
                                <w:szCs w:val="20"/>
                              </w:rPr>
                              <w:t>desirability</w:t>
                            </w:r>
                            <w:r w:rsidRPr="004E0302">
                              <w:rPr>
                                <w:rFonts w:cs="Arial"/>
                                <w:color w:val="FFFFFF"/>
                                <w:spacing w:val="-2"/>
                                <w:sz w:val="20"/>
                                <w:szCs w:val="20"/>
                              </w:rPr>
                              <w:t xml:space="preserve"> </w:t>
                            </w:r>
                            <w:r w:rsidRPr="004E0302">
                              <w:rPr>
                                <w:rFonts w:cs="Arial"/>
                                <w:color w:val="FFFFFF"/>
                                <w:spacing w:val="-1"/>
                                <w:sz w:val="20"/>
                                <w:szCs w:val="20"/>
                              </w:rPr>
                              <w:t>of</w:t>
                            </w:r>
                            <w:r w:rsidRPr="004E0302">
                              <w:rPr>
                                <w:rFonts w:cs="Arial"/>
                                <w:color w:val="FFFFFF"/>
                                <w:spacing w:val="-6"/>
                                <w:sz w:val="20"/>
                                <w:szCs w:val="20"/>
                              </w:rPr>
                              <w:t xml:space="preserve"> </w:t>
                            </w:r>
                            <w:r w:rsidRPr="004E0302">
                              <w:rPr>
                                <w:rFonts w:cs="Arial"/>
                                <w:color w:val="FFFFFF"/>
                                <w:sz w:val="20"/>
                                <w:szCs w:val="20"/>
                              </w:rPr>
                              <w:t>the</w:t>
                            </w:r>
                            <w:r w:rsidRPr="004E0302">
                              <w:rPr>
                                <w:rFonts w:cs="Arial"/>
                                <w:color w:val="FFFFFF"/>
                                <w:spacing w:val="-4"/>
                                <w:sz w:val="20"/>
                                <w:szCs w:val="20"/>
                              </w:rPr>
                              <w:t xml:space="preserve"> </w:t>
                            </w:r>
                            <w:r w:rsidRPr="004E0302">
                              <w:rPr>
                                <w:rFonts w:cs="Arial"/>
                                <w:color w:val="FFFFFF"/>
                                <w:spacing w:val="-1"/>
                                <w:sz w:val="20"/>
                                <w:szCs w:val="20"/>
                              </w:rPr>
                              <w:t>extra</w:t>
                            </w:r>
                            <w:r w:rsidRPr="004E0302">
                              <w:rPr>
                                <w:rFonts w:cs="Arial"/>
                                <w:color w:val="FFFFFF"/>
                                <w:sz w:val="20"/>
                                <w:szCs w:val="20"/>
                              </w:rPr>
                              <w:t xml:space="preserve"> </w:t>
                            </w:r>
                            <w:r w:rsidRPr="004E0302">
                              <w:rPr>
                                <w:rFonts w:cs="Arial"/>
                                <w:color w:val="FFFFFF"/>
                                <w:spacing w:val="-1"/>
                                <w:sz w:val="20"/>
                                <w:szCs w:val="20"/>
                              </w:rPr>
                              <w:t>autonomy</w:t>
                            </w:r>
                            <w:r w:rsidRPr="004E0302">
                              <w:rPr>
                                <w:rFonts w:cs="Arial"/>
                                <w:color w:val="FFFFFF"/>
                                <w:spacing w:val="-4"/>
                                <w:sz w:val="20"/>
                                <w:szCs w:val="20"/>
                              </w:rPr>
                              <w:t xml:space="preserve"> </w:t>
                            </w:r>
                            <w:r w:rsidRPr="004E0302">
                              <w:rPr>
                                <w:rFonts w:cs="Arial"/>
                                <w:color w:val="FFFFFF"/>
                                <w:sz w:val="20"/>
                                <w:szCs w:val="20"/>
                              </w:rPr>
                              <w:t>a</w:t>
                            </w:r>
                            <w:r w:rsidRPr="004E0302">
                              <w:rPr>
                                <w:rFonts w:cs="Arial"/>
                                <w:color w:val="FFFFFF"/>
                                <w:spacing w:val="-2"/>
                                <w:sz w:val="20"/>
                                <w:szCs w:val="20"/>
                              </w:rPr>
                              <w:t xml:space="preserve"> </w:t>
                            </w:r>
                            <w:r w:rsidRPr="004E0302">
                              <w:rPr>
                                <w:rFonts w:cs="Arial"/>
                                <w:color w:val="FFFFFF"/>
                                <w:sz w:val="20"/>
                                <w:szCs w:val="20"/>
                              </w:rPr>
                              <w:t>PMS</w:t>
                            </w:r>
                            <w:r w:rsidRPr="004E0302">
                              <w:rPr>
                                <w:rFonts w:cs="Arial"/>
                                <w:color w:val="FFFFFF"/>
                                <w:spacing w:val="-4"/>
                                <w:sz w:val="20"/>
                                <w:szCs w:val="20"/>
                              </w:rPr>
                              <w:t xml:space="preserve"> </w:t>
                            </w:r>
                            <w:r w:rsidRPr="004E0302">
                              <w:rPr>
                                <w:rFonts w:cs="Arial"/>
                                <w:color w:val="FFFFFF"/>
                                <w:spacing w:val="-1"/>
                                <w:sz w:val="20"/>
                                <w:szCs w:val="20"/>
                              </w:rPr>
                              <w:t>or</w:t>
                            </w:r>
                            <w:r w:rsidRPr="004E0302">
                              <w:rPr>
                                <w:rFonts w:cs="Arial"/>
                                <w:color w:val="FFFFFF"/>
                                <w:spacing w:val="-2"/>
                                <w:sz w:val="20"/>
                                <w:szCs w:val="20"/>
                              </w:rPr>
                              <w:t xml:space="preserve"> </w:t>
                            </w:r>
                            <w:r w:rsidRPr="004E0302">
                              <w:rPr>
                                <w:rFonts w:cs="Arial"/>
                                <w:color w:val="FFFFFF"/>
                                <w:sz w:val="20"/>
                                <w:szCs w:val="20"/>
                              </w:rPr>
                              <w:t>APMS</w:t>
                            </w:r>
                            <w:r w:rsidRPr="004E0302">
                              <w:rPr>
                                <w:rFonts w:cs="Arial"/>
                                <w:color w:val="FFFFFF"/>
                                <w:spacing w:val="-5"/>
                                <w:sz w:val="20"/>
                                <w:szCs w:val="20"/>
                              </w:rPr>
                              <w:t xml:space="preserve"> </w:t>
                            </w:r>
                            <w:r w:rsidRPr="004E0302">
                              <w:rPr>
                                <w:rFonts w:cs="Arial"/>
                                <w:color w:val="FFFFFF"/>
                                <w:spacing w:val="-1"/>
                                <w:sz w:val="20"/>
                                <w:szCs w:val="20"/>
                              </w:rPr>
                              <w:t>contract offers.</w:t>
                            </w:r>
                          </w:p>
                        </w:txbxContent>
                      </wps:txbx>
                      <wps:bodyPr rot="0" vert="horz" wrap="square" lIns="0" tIns="0" rIns="0" bIns="0" anchor="t" anchorCtr="0" upright="1">
                        <a:noAutofit/>
                      </wps:bodyPr>
                    </wps:wsp>
                  </a:graphicData>
                </a:graphic>
              </wp:inline>
            </w:drawing>
          </mc:Choice>
          <mc:Fallback>
            <w:pict>
              <v:shape w14:anchorId="09B66E46" id="Text Box 1907" o:spid="_x0000_s1029" type="#_x0000_t202" style="width:382.7pt;height: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" fillcolor="#1c6cb4" stroked="f">
                <v:textbox inset="0,0,0,0">
                  <w:txbxContent>
                    <w:p w14:paraId="681BFD84" w14:textId="77777777" w:rsidR="00942266" w:rsidRPr="004E0302" w:rsidRDefault="00942266" w:rsidP="00DB7F92">
                      <w:pPr>
                        <w:spacing w:before="213"/>
                        <w:ind w:left="225"/>
                        <w:jc w:val="both"/>
                        <w:rPr>
                          <w:rFonts w:eastAsia="Tw Cen MT Condensed Extra Bold" w:cs="Arial"/>
                          <w:sz w:val="20"/>
                          <w:szCs w:val="20"/>
                        </w:rPr>
                      </w:pPr>
                      <w:r w:rsidRPr="004E0302">
                        <w:rPr>
                          <w:rFonts w:cs="Arial"/>
                          <w:b/>
                          <w:color w:val="FFFFFF"/>
                          <w:sz w:val="20"/>
                          <w:szCs w:val="20"/>
                        </w:rPr>
                        <w:t>Example:</w:t>
                      </w:r>
                    </w:p>
                    <w:p w14:paraId="14D99DFA" w14:textId="77777777" w:rsidR="00942266" w:rsidRPr="004E0302" w:rsidRDefault="00942266" w:rsidP="00DB7F92">
                      <w:pPr>
                        <w:spacing w:before="12"/>
                        <w:rPr>
                          <w:rFonts w:eastAsia="Segoe UI Semilight" w:cs="Arial"/>
                          <w:sz w:val="20"/>
                          <w:szCs w:val="20"/>
                        </w:rPr>
                      </w:pPr>
                    </w:p>
                    <w:p w14:paraId="7B8E3E4F" w14:textId="77777777" w:rsidR="00942266" w:rsidRPr="004E0302" w:rsidRDefault="00942266" w:rsidP="00DB7F92">
                      <w:pPr>
                        <w:ind w:left="225" w:right="225"/>
                        <w:jc w:val="both"/>
                        <w:rPr>
                          <w:rFonts w:eastAsia="Segoe UI Semilight" w:cs="Arial"/>
                          <w:sz w:val="20"/>
                          <w:szCs w:val="20"/>
                        </w:rPr>
                      </w:pPr>
                      <w:r w:rsidRPr="004E0302">
                        <w:rPr>
                          <w:rFonts w:cs="Arial"/>
                          <w:color w:val="FFFFFF"/>
                          <w:spacing w:val="-1"/>
                          <w:sz w:val="20"/>
                          <w:szCs w:val="20"/>
                        </w:rPr>
                        <w:t>NHS</w:t>
                      </w:r>
                      <w:r w:rsidRPr="004E0302">
                        <w:rPr>
                          <w:rFonts w:cs="Arial"/>
                          <w:color w:val="FFFFFF"/>
                          <w:sz w:val="20"/>
                          <w:szCs w:val="20"/>
                        </w:rPr>
                        <w:t xml:space="preserve"> </w:t>
                      </w:r>
                      <w:r w:rsidRPr="004E0302">
                        <w:rPr>
                          <w:rFonts w:cs="Arial"/>
                          <w:color w:val="FFFFFF"/>
                          <w:spacing w:val="-1"/>
                          <w:sz w:val="20"/>
                          <w:szCs w:val="20"/>
                        </w:rPr>
                        <w:t>England</w:t>
                      </w:r>
                      <w:r w:rsidRPr="004E0302">
                        <w:rPr>
                          <w:rFonts w:cs="Arial"/>
                          <w:color w:val="FFFFFF"/>
                          <w:spacing w:val="1"/>
                          <w:sz w:val="20"/>
                          <w:szCs w:val="20"/>
                        </w:rPr>
                        <w:t xml:space="preserve"> </w:t>
                      </w:r>
                      <w:r w:rsidRPr="004E0302">
                        <w:rPr>
                          <w:rFonts w:cs="Arial"/>
                          <w:color w:val="FFFFFF"/>
                          <w:spacing w:val="-1"/>
                          <w:sz w:val="20"/>
                          <w:szCs w:val="20"/>
                        </w:rPr>
                        <w:t>is</w:t>
                      </w:r>
                      <w:r w:rsidRPr="004E0302">
                        <w:rPr>
                          <w:rFonts w:cs="Arial"/>
                          <w:color w:val="FFFFFF"/>
                          <w:spacing w:val="2"/>
                          <w:sz w:val="20"/>
                          <w:szCs w:val="20"/>
                        </w:rPr>
                        <w:t xml:space="preserve"> </w:t>
                      </w:r>
                      <w:r w:rsidRPr="004E0302">
                        <w:rPr>
                          <w:rFonts w:cs="Arial"/>
                          <w:color w:val="FFFFFF"/>
                          <w:spacing w:val="-1"/>
                          <w:sz w:val="20"/>
                          <w:szCs w:val="20"/>
                        </w:rPr>
                        <w:t>considering</w:t>
                      </w:r>
                      <w:r w:rsidRPr="004E0302">
                        <w:rPr>
                          <w:rFonts w:cs="Arial"/>
                          <w:color w:val="FFFFFF"/>
                          <w:spacing w:val="1"/>
                          <w:sz w:val="20"/>
                          <w:szCs w:val="20"/>
                        </w:rPr>
                        <w:t xml:space="preserve"> </w:t>
                      </w:r>
                      <w:r w:rsidRPr="004E0302">
                        <w:rPr>
                          <w:rFonts w:cs="Arial"/>
                          <w:color w:val="FFFFFF"/>
                          <w:spacing w:val="-1"/>
                          <w:sz w:val="20"/>
                          <w:szCs w:val="20"/>
                        </w:rPr>
                        <w:t>commissioning</w:t>
                      </w:r>
                      <w:r w:rsidRPr="004E0302">
                        <w:rPr>
                          <w:rFonts w:cs="Arial"/>
                          <w:color w:val="FFFFFF"/>
                          <w:sz w:val="20"/>
                          <w:szCs w:val="20"/>
                        </w:rPr>
                        <w:t xml:space="preserve"> new</w:t>
                      </w:r>
                      <w:r w:rsidRPr="004E0302">
                        <w:rPr>
                          <w:rFonts w:cs="Arial"/>
                          <w:color w:val="FFFFFF"/>
                          <w:spacing w:val="2"/>
                          <w:sz w:val="20"/>
                          <w:szCs w:val="20"/>
                        </w:rPr>
                        <w:t xml:space="preserve"> </w:t>
                      </w:r>
                      <w:r w:rsidRPr="004E0302">
                        <w:rPr>
                          <w:rFonts w:cs="Arial"/>
                          <w:color w:val="FFFFFF"/>
                          <w:spacing w:val="-1"/>
                          <w:sz w:val="20"/>
                          <w:szCs w:val="20"/>
                        </w:rPr>
                        <w:t>primary</w:t>
                      </w:r>
                      <w:r w:rsidRPr="004E0302">
                        <w:rPr>
                          <w:rFonts w:cs="Arial"/>
                          <w:color w:val="FFFFFF"/>
                          <w:spacing w:val="1"/>
                          <w:sz w:val="20"/>
                          <w:szCs w:val="20"/>
                        </w:rPr>
                        <w:t xml:space="preserve"> </w:t>
                      </w:r>
                      <w:r w:rsidRPr="004E0302">
                        <w:rPr>
                          <w:rFonts w:cs="Arial"/>
                          <w:color w:val="FFFFFF"/>
                          <w:spacing w:val="-1"/>
                          <w:sz w:val="20"/>
                          <w:szCs w:val="20"/>
                        </w:rPr>
                        <w:t>care</w:t>
                      </w:r>
                      <w:r w:rsidRPr="004E0302">
                        <w:rPr>
                          <w:rFonts w:cs="Arial"/>
                          <w:color w:val="FFFFFF"/>
                          <w:spacing w:val="1"/>
                          <w:sz w:val="20"/>
                          <w:szCs w:val="20"/>
                        </w:rPr>
                        <w:t xml:space="preserve"> </w:t>
                      </w:r>
                      <w:r w:rsidRPr="004E0302">
                        <w:rPr>
                          <w:rFonts w:cs="Arial"/>
                          <w:color w:val="FFFFFF"/>
                          <w:spacing w:val="-1"/>
                          <w:sz w:val="20"/>
                          <w:szCs w:val="20"/>
                        </w:rPr>
                        <w:t>services</w:t>
                      </w:r>
                      <w:r w:rsidRPr="004E0302">
                        <w:rPr>
                          <w:rFonts w:cs="Arial"/>
                          <w:color w:val="FFFFFF"/>
                          <w:spacing w:val="54"/>
                          <w:w w:val="99"/>
                          <w:sz w:val="20"/>
                          <w:szCs w:val="20"/>
                        </w:rPr>
                        <w:t xml:space="preserve"> </w:t>
                      </w:r>
                      <w:r w:rsidRPr="004E0302">
                        <w:rPr>
                          <w:rFonts w:cs="Arial"/>
                          <w:color w:val="FFFFFF"/>
                          <w:spacing w:val="-1"/>
                          <w:sz w:val="20"/>
                          <w:szCs w:val="20"/>
                        </w:rPr>
                        <w:t>in</w:t>
                      </w:r>
                      <w:r w:rsidRPr="004E0302">
                        <w:rPr>
                          <w:rFonts w:cs="Arial"/>
                          <w:color w:val="FFFFFF"/>
                          <w:spacing w:val="6"/>
                          <w:sz w:val="20"/>
                          <w:szCs w:val="20"/>
                        </w:rPr>
                        <w:t xml:space="preserve"> </w:t>
                      </w:r>
                      <w:r w:rsidRPr="004E0302">
                        <w:rPr>
                          <w:rFonts w:cs="Arial"/>
                          <w:color w:val="FFFFFF"/>
                          <w:sz w:val="20"/>
                          <w:szCs w:val="20"/>
                        </w:rPr>
                        <w:t>a</w:t>
                      </w:r>
                      <w:r w:rsidRPr="004E0302">
                        <w:rPr>
                          <w:rFonts w:cs="Arial"/>
                          <w:color w:val="FFFFFF"/>
                          <w:spacing w:val="7"/>
                          <w:sz w:val="20"/>
                          <w:szCs w:val="20"/>
                        </w:rPr>
                        <w:t xml:space="preserve"> </w:t>
                      </w:r>
                      <w:r w:rsidRPr="004E0302">
                        <w:rPr>
                          <w:rFonts w:cs="Arial"/>
                          <w:color w:val="FFFFFF"/>
                          <w:spacing w:val="-1"/>
                          <w:sz w:val="20"/>
                          <w:szCs w:val="20"/>
                        </w:rPr>
                        <w:t>particular</w:t>
                      </w:r>
                      <w:r w:rsidRPr="004E0302">
                        <w:rPr>
                          <w:rFonts w:cs="Arial"/>
                          <w:color w:val="FFFFFF"/>
                          <w:spacing w:val="10"/>
                          <w:sz w:val="20"/>
                          <w:szCs w:val="20"/>
                        </w:rPr>
                        <w:t xml:space="preserve"> </w:t>
                      </w:r>
                      <w:r w:rsidRPr="004E0302">
                        <w:rPr>
                          <w:rFonts w:cs="Arial"/>
                          <w:color w:val="FFFFFF"/>
                          <w:spacing w:val="-1"/>
                          <w:sz w:val="20"/>
                          <w:szCs w:val="20"/>
                        </w:rPr>
                        <w:t>area.</w:t>
                      </w:r>
                      <w:r w:rsidRPr="004E0302">
                        <w:rPr>
                          <w:rFonts w:cs="Arial"/>
                          <w:color w:val="FFFFFF"/>
                          <w:spacing w:val="18"/>
                          <w:sz w:val="20"/>
                          <w:szCs w:val="20"/>
                        </w:rPr>
                        <w:t xml:space="preserve"> </w:t>
                      </w:r>
                      <w:r w:rsidRPr="004E0302">
                        <w:rPr>
                          <w:rFonts w:cs="Arial"/>
                          <w:color w:val="FFFFFF"/>
                          <w:spacing w:val="-1"/>
                          <w:sz w:val="20"/>
                          <w:szCs w:val="20"/>
                        </w:rPr>
                        <w:t>When</w:t>
                      </w:r>
                      <w:r w:rsidRPr="004E0302">
                        <w:rPr>
                          <w:rFonts w:cs="Arial"/>
                          <w:color w:val="FFFFFF"/>
                          <w:spacing w:val="7"/>
                          <w:sz w:val="20"/>
                          <w:szCs w:val="20"/>
                        </w:rPr>
                        <w:t xml:space="preserve"> </w:t>
                      </w:r>
                      <w:r w:rsidRPr="004E0302">
                        <w:rPr>
                          <w:rFonts w:cs="Arial"/>
                          <w:color w:val="FFFFFF"/>
                          <w:spacing w:val="-1"/>
                          <w:sz w:val="20"/>
                          <w:szCs w:val="20"/>
                        </w:rPr>
                        <w:t>deciding</w:t>
                      </w:r>
                      <w:r w:rsidRPr="004E0302">
                        <w:rPr>
                          <w:rFonts w:cs="Arial"/>
                          <w:color w:val="FFFFFF"/>
                          <w:spacing w:val="9"/>
                          <w:sz w:val="20"/>
                          <w:szCs w:val="20"/>
                        </w:rPr>
                        <w:t xml:space="preserve"> </w:t>
                      </w:r>
                      <w:r w:rsidRPr="004E0302">
                        <w:rPr>
                          <w:rFonts w:cs="Arial"/>
                          <w:color w:val="FFFFFF"/>
                          <w:spacing w:val="-1"/>
                          <w:sz w:val="20"/>
                          <w:szCs w:val="20"/>
                        </w:rPr>
                        <w:t>what</w:t>
                      </w:r>
                      <w:r w:rsidRPr="004E0302">
                        <w:rPr>
                          <w:rFonts w:cs="Arial"/>
                          <w:color w:val="FFFFFF"/>
                          <w:spacing w:val="8"/>
                          <w:sz w:val="20"/>
                          <w:szCs w:val="20"/>
                        </w:rPr>
                        <w:t xml:space="preserve"> </w:t>
                      </w:r>
                      <w:r w:rsidRPr="004E0302">
                        <w:rPr>
                          <w:rFonts w:cs="Arial"/>
                          <w:color w:val="FFFFFF"/>
                          <w:spacing w:val="-1"/>
                          <w:sz w:val="20"/>
                          <w:szCs w:val="20"/>
                        </w:rPr>
                        <w:t>type</w:t>
                      </w:r>
                      <w:r w:rsidRPr="004E0302">
                        <w:rPr>
                          <w:rFonts w:cs="Arial"/>
                          <w:color w:val="FFFFFF"/>
                          <w:spacing w:val="9"/>
                          <w:sz w:val="20"/>
                          <w:szCs w:val="20"/>
                        </w:rPr>
                        <w:t xml:space="preserve"> </w:t>
                      </w:r>
                      <w:r w:rsidRPr="004E0302">
                        <w:rPr>
                          <w:rFonts w:cs="Arial"/>
                          <w:color w:val="FFFFFF"/>
                          <w:spacing w:val="-1"/>
                          <w:sz w:val="20"/>
                          <w:szCs w:val="20"/>
                        </w:rPr>
                        <w:t>of</w:t>
                      </w:r>
                      <w:r w:rsidRPr="004E0302">
                        <w:rPr>
                          <w:rFonts w:cs="Arial"/>
                          <w:color w:val="FFFFFF"/>
                          <w:spacing w:val="8"/>
                          <w:sz w:val="20"/>
                          <w:szCs w:val="20"/>
                        </w:rPr>
                        <w:t xml:space="preserve"> </w:t>
                      </w:r>
                      <w:proofErr w:type="gramStart"/>
                      <w:r w:rsidRPr="004E0302">
                        <w:rPr>
                          <w:rFonts w:cs="Arial"/>
                          <w:color w:val="FFFFFF"/>
                          <w:spacing w:val="-1"/>
                          <w:sz w:val="20"/>
                          <w:szCs w:val="20"/>
                        </w:rPr>
                        <w:t>contract</w:t>
                      </w:r>
                      <w:proofErr w:type="gramEnd"/>
                      <w:r w:rsidRPr="004E0302">
                        <w:rPr>
                          <w:rFonts w:cs="Arial"/>
                          <w:color w:val="FFFFFF"/>
                          <w:spacing w:val="8"/>
                          <w:sz w:val="20"/>
                          <w:szCs w:val="20"/>
                        </w:rPr>
                        <w:t xml:space="preserve"> </w:t>
                      </w:r>
                      <w:r w:rsidRPr="004E0302">
                        <w:rPr>
                          <w:rFonts w:cs="Arial"/>
                          <w:color w:val="FFFFFF"/>
                          <w:spacing w:val="-1"/>
                          <w:sz w:val="20"/>
                          <w:szCs w:val="20"/>
                        </w:rPr>
                        <w:t>it</w:t>
                      </w:r>
                      <w:r w:rsidRPr="004E0302">
                        <w:rPr>
                          <w:rFonts w:cs="Arial"/>
                          <w:color w:val="FFFFFF"/>
                          <w:spacing w:val="8"/>
                          <w:sz w:val="20"/>
                          <w:szCs w:val="20"/>
                        </w:rPr>
                        <w:t xml:space="preserve"> </w:t>
                      </w:r>
                      <w:r w:rsidRPr="004E0302">
                        <w:rPr>
                          <w:rFonts w:cs="Arial"/>
                          <w:color w:val="FFFFFF"/>
                          <w:spacing w:val="-1"/>
                          <w:sz w:val="20"/>
                          <w:szCs w:val="20"/>
                        </w:rPr>
                        <w:t>wants</w:t>
                      </w:r>
                      <w:r w:rsidRPr="004E0302">
                        <w:rPr>
                          <w:rFonts w:cs="Arial"/>
                          <w:color w:val="FFFFFF"/>
                          <w:spacing w:val="8"/>
                          <w:sz w:val="20"/>
                          <w:szCs w:val="20"/>
                        </w:rPr>
                        <w:t xml:space="preserve"> </w:t>
                      </w:r>
                      <w:r w:rsidRPr="004E0302">
                        <w:rPr>
                          <w:rFonts w:cs="Arial"/>
                          <w:color w:val="FFFFFF"/>
                          <w:sz w:val="20"/>
                          <w:szCs w:val="20"/>
                        </w:rPr>
                        <w:t>to</w:t>
                      </w:r>
                      <w:r w:rsidRPr="004E0302">
                        <w:rPr>
                          <w:rFonts w:cs="Arial"/>
                          <w:color w:val="FFFFFF"/>
                          <w:spacing w:val="61"/>
                          <w:sz w:val="20"/>
                          <w:szCs w:val="20"/>
                        </w:rPr>
                        <w:t xml:space="preserve"> </w:t>
                      </w:r>
                      <w:r w:rsidRPr="004E0302">
                        <w:rPr>
                          <w:rFonts w:cs="Arial"/>
                          <w:color w:val="FFFFFF"/>
                          <w:spacing w:val="-1"/>
                          <w:sz w:val="20"/>
                          <w:szCs w:val="20"/>
                        </w:rPr>
                        <w:t>award</w:t>
                      </w:r>
                      <w:r w:rsidRPr="004E0302">
                        <w:rPr>
                          <w:rFonts w:cs="Arial"/>
                          <w:color w:val="FFFFFF"/>
                          <w:spacing w:val="1"/>
                          <w:sz w:val="20"/>
                          <w:szCs w:val="20"/>
                        </w:rPr>
                        <w:t xml:space="preserve"> </w:t>
                      </w:r>
                      <w:r w:rsidRPr="004E0302">
                        <w:rPr>
                          <w:rFonts w:cs="Arial"/>
                          <w:color w:val="FFFFFF"/>
                          <w:spacing w:val="-1"/>
                          <w:sz w:val="20"/>
                          <w:szCs w:val="20"/>
                        </w:rPr>
                        <w:t>(GMS,</w:t>
                      </w:r>
                      <w:r w:rsidRPr="004E0302">
                        <w:rPr>
                          <w:rFonts w:cs="Arial"/>
                          <w:color w:val="FFFFFF"/>
                          <w:spacing w:val="2"/>
                          <w:sz w:val="20"/>
                          <w:szCs w:val="20"/>
                        </w:rPr>
                        <w:t xml:space="preserve"> </w:t>
                      </w:r>
                      <w:r w:rsidRPr="004E0302">
                        <w:rPr>
                          <w:rFonts w:cs="Arial"/>
                          <w:color w:val="FFFFFF"/>
                          <w:sz w:val="20"/>
                          <w:szCs w:val="20"/>
                        </w:rPr>
                        <w:t>PMS</w:t>
                      </w:r>
                      <w:r w:rsidRPr="004E0302">
                        <w:rPr>
                          <w:rFonts w:cs="Arial"/>
                          <w:color w:val="FFFFFF"/>
                          <w:spacing w:val="1"/>
                          <w:sz w:val="20"/>
                          <w:szCs w:val="20"/>
                        </w:rPr>
                        <w:t xml:space="preserve"> </w:t>
                      </w:r>
                      <w:r w:rsidRPr="004E0302">
                        <w:rPr>
                          <w:rFonts w:cs="Arial"/>
                          <w:color w:val="FFFFFF"/>
                          <w:spacing w:val="-1"/>
                          <w:sz w:val="20"/>
                          <w:szCs w:val="20"/>
                        </w:rPr>
                        <w:t>or</w:t>
                      </w:r>
                      <w:r w:rsidRPr="004E0302">
                        <w:rPr>
                          <w:rFonts w:cs="Arial"/>
                          <w:color w:val="FFFFFF"/>
                          <w:spacing w:val="5"/>
                          <w:sz w:val="20"/>
                          <w:szCs w:val="20"/>
                        </w:rPr>
                        <w:t xml:space="preserve"> </w:t>
                      </w:r>
                      <w:r w:rsidRPr="004E0302">
                        <w:rPr>
                          <w:rFonts w:cs="Arial"/>
                          <w:color w:val="FFFFFF"/>
                          <w:spacing w:val="-1"/>
                          <w:sz w:val="20"/>
                          <w:szCs w:val="20"/>
                        </w:rPr>
                        <w:t>APMS)</w:t>
                      </w:r>
                      <w:r w:rsidRPr="004E0302">
                        <w:rPr>
                          <w:rFonts w:cs="Arial"/>
                          <w:color w:val="FFFFFF"/>
                          <w:spacing w:val="1"/>
                          <w:sz w:val="20"/>
                          <w:szCs w:val="20"/>
                        </w:rPr>
                        <w:t xml:space="preserve"> </w:t>
                      </w:r>
                      <w:r w:rsidRPr="004E0302">
                        <w:rPr>
                          <w:rFonts w:cs="Arial"/>
                          <w:color w:val="FFFFFF"/>
                          <w:spacing w:val="-1"/>
                          <w:sz w:val="20"/>
                          <w:szCs w:val="20"/>
                        </w:rPr>
                        <w:t>it</w:t>
                      </w:r>
                      <w:r w:rsidRPr="004E0302">
                        <w:rPr>
                          <w:rFonts w:cs="Arial"/>
                          <w:color w:val="FFFFFF"/>
                          <w:spacing w:val="2"/>
                          <w:sz w:val="20"/>
                          <w:szCs w:val="20"/>
                        </w:rPr>
                        <w:t xml:space="preserve"> </w:t>
                      </w:r>
                      <w:r w:rsidRPr="004E0302">
                        <w:rPr>
                          <w:rFonts w:cs="Arial"/>
                          <w:color w:val="FFFFFF"/>
                          <w:spacing w:val="-1"/>
                          <w:sz w:val="20"/>
                          <w:szCs w:val="20"/>
                        </w:rPr>
                        <w:t>should</w:t>
                      </w:r>
                      <w:r w:rsidRPr="004E0302">
                        <w:rPr>
                          <w:rFonts w:cs="Arial"/>
                          <w:color w:val="FFFFFF"/>
                          <w:spacing w:val="2"/>
                          <w:sz w:val="20"/>
                          <w:szCs w:val="20"/>
                        </w:rPr>
                        <w:t xml:space="preserve"> </w:t>
                      </w:r>
                      <w:r w:rsidRPr="004E0302">
                        <w:rPr>
                          <w:rFonts w:cs="Arial"/>
                          <w:color w:val="FFFFFF"/>
                          <w:sz w:val="20"/>
                          <w:szCs w:val="20"/>
                        </w:rPr>
                        <w:t>weigh</w:t>
                      </w:r>
                      <w:r w:rsidRPr="004E0302">
                        <w:rPr>
                          <w:rFonts w:cs="Arial"/>
                          <w:color w:val="FFFFFF"/>
                          <w:spacing w:val="2"/>
                          <w:sz w:val="20"/>
                          <w:szCs w:val="20"/>
                        </w:rPr>
                        <w:t xml:space="preserve"> </w:t>
                      </w:r>
                      <w:r w:rsidRPr="004E0302">
                        <w:rPr>
                          <w:rFonts w:cs="Arial"/>
                          <w:color w:val="FFFFFF"/>
                          <w:spacing w:val="-1"/>
                          <w:sz w:val="20"/>
                          <w:szCs w:val="20"/>
                        </w:rPr>
                        <w:t>in</w:t>
                      </w:r>
                      <w:r w:rsidRPr="004E0302">
                        <w:rPr>
                          <w:rFonts w:cs="Arial"/>
                          <w:color w:val="FFFFFF"/>
                          <w:spacing w:val="2"/>
                          <w:sz w:val="20"/>
                          <w:szCs w:val="20"/>
                        </w:rPr>
                        <w:t xml:space="preserve"> </w:t>
                      </w:r>
                      <w:r w:rsidRPr="004E0302">
                        <w:rPr>
                          <w:rFonts w:cs="Arial"/>
                          <w:color w:val="FFFFFF"/>
                          <w:spacing w:val="-1"/>
                          <w:sz w:val="20"/>
                          <w:szCs w:val="20"/>
                        </w:rPr>
                        <w:t>the</w:t>
                      </w:r>
                      <w:r w:rsidRPr="004E0302">
                        <w:rPr>
                          <w:rFonts w:cs="Arial"/>
                          <w:color w:val="FFFFFF"/>
                          <w:spacing w:val="4"/>
                          <w:sz w:val="20"/>
                          <w:szCs w:val="20"/>
                        </w:rPr>
                        <w:t xml:space="preserve"> </w:t>
                      </w:r>
                      <w:r w:rsidRPr="004E0302">
                        <w:rPr>
                          <w:rFonts w:cs="Arial"/>
                          <w:color w:val="FFFFFF"/>
                          <w:spacing w:val="-1"/>
                          <w:sz w:val="20"/>
                          <w:szCs w:val="20"/>
                        </w:rPr>
                        <w:t>balance</w:t>
                      </w:r>
                      <w:r w:rsidRPr="004E0302">
                        <w:rPr>
                          <w:rFonts w:cs="Arial"/>
                          <w:color w:val="FFFFFF"/>
                          <w:spacing w:val="1"/>
                          <w:sz w:val="20"/>
                          <w:szCs w:val="20"/>
                        </w:rPr>
                        <w:t xml:space="preserve"> </w:t>
                      </w:r>
                      <w:r w:rsidRPr="004E0302">
                        <w:rPr>
                          <w:rFonts w:cs="Arial"/>
                          <w:color w:val="FFFFFF"/>
                          <w:sz w:val="20"/>
                          <w:szCs w:val="20"/>
                        </w:rPr>
                        <w:t>the</w:t>
                      </w:r>
                      <w:r w:rsidRPr="004E0302">
                        <w:rPr>
                          <w:rFonts w:cs="Arial"/>
                          <w:color w:val="FFFFFF"/>
                          <w:spacing w:val="51"/>
                          <w:w w:val="99"/>
                          <w:sz w:val="20"/>
                          <w:szCs w:val="20"/>
                        </w:rPr>
                        <w:t xml:space="preserve"> </w:t>
                      </w:r>
                      <w:r w:rsidRPr="004E0302">
                        <w:rPr>
                          <w:rFonts w:cs="Arial"/>
                          <w:color w:val="FFFFFF"/>
                          <w:spacing w:val="-1"/>
                          <w:sz w:val="20"/>
                          <w:szCs w:val="20"/>
                        </w:rPr>
                        <w:t>desirability</w:t>
                      </w:r>
                      <w:r w:rsidRPr="004E0302">
                        <w:rPr>
                          <w:rFonts w:cs="Arial"/>
                          <w:color w:val="FFFFFF"/>
                          <w:spacing w:val="-2"/>
                          <w:sz w:val="20"/>
                          <w:szCs w:val="20"/>
                        </w:rPr>
                        <w:t xml:space="preserve"> </w:t>
                      </w:r>
                      <w:r w:rsidRPr="004E0302">
                        <w:rPr>
                          <w:rFonts w:cs="Arial"/>
                          <w:color w:val="FFFFFF"/>
                          <w:spacing w:val="-1"/>
                          <w:sz w:val="20"/>
                          <w:szCs w:val="20"/>
                        </w:rPr>
                        <w:t>of</w:t>
                      </w:r>
                      <w:r w:rsidRPr="004E0302">
                        <w:rPr>
                          <w:rFonts w:cs="Arial"/>
                          <w:color w:val="FFFFFF"/>
                          <w:spacing w:val="-6"/>
                          <w:sz w:val="20"/>
                          <w:szCs w:val="20"/>
                        </w:rPr>
                        <w:t xml:space="preserve"> </w:t>
                      </w:r>
                      <w:r w:rsidRPr="004E0302">
                        <w:rPr>
                          <w:rFonts w:cs="Arial"/>
                          <w:color w:val="FFFFFF"/>
                          <w:sz w:val="20"/>
                          <w:szCs w:val="20"/>
                        </w:rPr>
                        <w:t>the</w:t>
                      </w:r>
                      <w:r w:rsidRPr="004E0302">
                        <w:rPr>
                          <w:rFonts w:cs="Arial"/>
                          <w:color w:val="FFFFFF"/>
                          <w:spacing w:val="-4"/>
                          <w:sz w:val="20"/>
                          <w:szCs w:val="20"/>
                        </w:rPr>
                        <w:t xml:space="preserve"> </w:t>
                      </w:r>
                      <w:r w:rsidRPr="004E0302">
                        <w:rPr>
                          <w:rFonts w:cs="Arial"/>
                          <w:color w:val="FFFFFF"/>
                          <w:spacing w:val="-1"/>
                          <w:sz w:val="20"/>
                          <w:szCs w:val="20"/>
                        </w:rPr>
                        <w:t>extra</w:t>
                      </w:r>
                      <w:r w:rsidRPr="004E0302">
                        <w:rPr>
                          <w:rFonts w:cs="Arial"/>
                          <w:color w:val="FFFFFF"/>
                          <w:sz w:val="20"/>
                          <w:szCs w:val="20"/>
                        </w:rPr>
                        <w:t xml:space="preserve"> </w:t>
                      </w:r>
                      <w:r w:rsidRPr="004E0302">
                        <w:rPr>
                          <w:rFonts w:cs="Arial"/>
                          <w:color w:val="FFFFFF"/>
                          <w:spacing w:val="-1"/>
                          <w:sz w:val="20"/>
                          <w:szCs w:val="20"/>
                        </w:rPr>
                        <w:t>autonomy</w:t>
                      </w:r>
                      <w:r w:rsidRPr="004E0302">
                        <w:rPr>
                          <w:rFonts w:cs="Arial"/>
                          <w:color w:val="FFFFFF"/>
                          <w:spacing w:val="-4"/>
                          <w:sz w:val="20"/>
                          <w:szCs w:val="20"/>
                        </w:rPr>
                        <w:t xml:space="preserve"> </w:t>
                      </w:r>
                      <w:r w:rsidRPr="004E0302">
                        <w:rPr>
                          <w:rFonts w:cs="Arial"/>
                          <w:color w:val="FFFFFF"/>
                          <w:sz w:val="20"/>
                          <w:szCs w:val="20"/>
                        </w:rPr>
                        <w:t>a</w:t>
                      </w:r>
                      <w:r w:rsidRPr="004E0302">
                        <w:rPr>
                          <w:rFonts w:cs="Arial"/>
                          <w:color w:val="FFFFFF"/>
                          <w:spacing w:val="-2"/>
                          <w:sz w:val="20"/>
                          <w:szCs w:val="20"/>
                        </w:rPr>
                        <w:t xml:space="preserve"> </w:t>
                      </w:r>
                      <w:r w:rsidRPr="004E0302">
                        <w:rPr>
                          <w:rFonts w:cs="Arial"/>
                          <w:color w:val="FFFFFF"/>
                          <w:sz w:val="20"/>
                          <w:szCs w:val="20"/>
                        </w:rPr>
                        <w:t>PMS</w:t>
                      </w:r>
                      <w:r w:rsidRPr="004E0302">
                        <w:rPr>
                          <w:rFonts w:cs="Arial"/>
                          <w:color w:val="FFFFFF"/>
                          <w:spacing w:val="-4"/>
                          <w:sz w:val="20"/>
                          <w:szCs w:val="20"/>
                        </w:rPr>
                        <w:t xml:space="preserve"> </w:t>
                      </w:r>
                      <w:r w:rsidRPr="004E0302">
                        <w:rPr>
                          <w:rFonts w:cs="Arial"/>
                          <w:color w:val="FFFFFF"/>
                          <w:spacing w:val="-1"/>
                          <w:sz w:val="20"/>
                          <w:szCs w:val="20"/>
                        </w:rPr>
                        <w:t>or</w:t>
                      </w:r>
                      <w:r w:rsidRPr="004E0302">
                        <w:rPr>
                          <w:rFonts w:cs="Arial"/>
                          <w:color w:val="FFFFFF"/>
                          <w:spacing w:val="-2"/>
                          <w:sz w:val="20"/>
                          <w:szCs w:val="20"/>
                        </w:rPr>
                        <w:t xml:space="preserve"> </w:t>
                      </w:r>
                      <w:r w:rsidRPr="004E0302">
                        <w:rPr>
                          <w:rFonts w:cs="Arial"/>
                          <w:color w:val="FFFFFF"/>
                          <w:sz w:val="20"/>
                          <w:szCs w:val="20"/>
                        </w:rPr>
                        <w:t>APMS</w:t>
                      </w:r>
                      <w:r w:rsidRPr="004E0302">
                        <w:rPr>
                          <w:rFonts w:cs="Arial"/>
                          <w:color w:val="FFFFFF"/>
                          <w:spacing w:val="-5"/>
                          <w:sz w:val="20"/>
                          <w:szCs w:val="20"/>
                        </w:rPr>
                        <w:t xml:space="preserve"> </w:t>
                      </w:r>
                      <w:r w:rsidRPr="004E0302">
                        <w:rPr>
                          <w:rFonts w:cs="Arial"/>
                          <w:color w:val="FFFFFF"/>
                          <w:spacing w:val="-1"/>
                          <w:sz w:val="20"/>
                          <w:szCs w:val="20"/>
                        </w:rPr>
                        <w:t>contract offers.</w:t>
                      </w:r>
                    </w:p>
                  </w:txbxContent>
                </v:textbox>
                <w10:anchorlock/>
              </v:shape>
            </w:pict>
          </mc:Fallback>
        </mc:AlternateContent>
      </w:r>
    </w:p>
    <w:p w14:paraId="2EC33E5F" w14:textId="77777777" w:rsidR="00DB7F92" w:rsidRPr="00DB7F92" w:rsidRDefault="00DB7F92" w:rsidP="00DB7F92">
      <w:pPr>
        <w:spacing w:before="3"/>
        <w:jc w:val="both"/>
        <w:rPr>
          <w:rFonts w:eastAsia="Segoe UI Semilight" w:cs="Arial"/>
          <w:sz w:val="20"/>
          <w:szCs w:val="20"/>
        </w:rPr>
      </w:pPr>
    </w:p>
    <w:p w14:paraId="133C855A" w14:textId="77777777" w:rsidR="00DB7F92" w:rsidRPr="006B14E9" w:rsidRDefault="00DB7F92" w:rsidP="006B14E9">
      <w:pPr>
        <w:rPr>
          <w:rFonts w:eastAsiaTheme="majorEastAsia"/>
          <w:i/>
          <w:sz w:val="28"/>
        </w:rPr>
      </w:pPr>
      <w:r w:rsidRPr="006B14E9">
        <w:rPr>
          <w:rFonts w:eastAsiaTheme="majorEastAsia"/>
          <w:i/>
          <w:sz w:val="28"/>
        </w:rPr>
        <w:t>PROMOTE EDUCATION AND TRAINING</w:t>
      </w:r>
    </w:p>
    <w:p w14:paraId="426C4CFF" w14:textId="77777777" w:rsidR="00C84421" w:rsidRPr="00A553BA" w:rsidRDefault="00C84421" w:rsidP="00A553BA">
      <w:pPr>
        <w:rPr>
          <w:rFonts w:eastAsiaTheme="majorEastAsia"/>
        </w:rPr>
      </w:pPr>
    </w:p>
    <w:p w14:paraId="322C6B1C" w14:textId="2542F9E4" w:rsidR="00DB7F92" w:rsidRPr="00C84421" w:rsidRDefault="00DB7F92" w:rsidP="00DB7F92">
      <w:pPr>
        <w:pStyle w:val="Heading3"/>
        <w:spacing w:before="13"/>
        <w:jc w:val="both"/>
        <w:rPr>
          <w:rFonts w:eastAsia="Segoe UI Semilight" w:cs="Arial"/>
          <w:sz w:val="20"/>
          <w:szCs w:val="20"/>
        </w:rPr>
      </w:pPr>
      <w:r w:rsidRPr="00DB7F92">
        <w:rPr>
          <w:lang w:eastAsia="en-GB"/>
        </w:rPr>
        <w:t>Commissioners have</w:t>
      </w:r>
      <w:r w:rsidRPr="00C84421">
        <w:rPr>
          <w:spacing w:val="15"/>
          <w:lang w:eastAsia="en-GB"/>
        </w:rPr>
        <w:t xml:space="preserve"> </w:t>
      </w:r>
      <w:r w:rsidRPr="00DB7F92">
        <w:rPr>
          <w:lang w:eastAsia="en-GB"/>
        </w:rPr>
        <w:t>a</w:t>
      </w:r>
      <w:r w:rsidRPr="00C84421">
        <w:rPr>
          <w:spacing w:val="16"/>
          <w:lang w:eastAsia="en-GB"/>
        </w:rPr>
        <w:t xml:space="preserve"> </w:t>
      </w:r>
      <w:r w:rsidRPr="00DB7F92">
        <w:rPr>
          <w:lang w:eastAsia="en-GB"/>
        </w:rPr>
        <w:t>duty</w:t>
      </w:r>
      <w:r w:rsidRPr="00C84421">
        <w:rPr>
          <w:spacing w:val="17"/>
          <w:lang w:eastAsia="en-GB"/>
        </w:rPr>
        <w:t xml:space="preserve"> </w:t>
      </w:r>
      <w:r w:rsidRPr="00DB7F92">
        <w:rPr>
          <w:lang w:eastAsia="en-GB"/>
        </w:rPr>
        <w:t>to</w:t>
      </w:r>
      <w:r w:rsidRPr="00C84421">
        <w:rPr>
          <w:spacing w:val="16"/>
          <w:lang w:eastAsia="en-GB"/>
        </w:rPr>
        <w:t xml:space="preserve"> </w:t>
      </w:r>
      <w:r w:rsidRPr="00DB7F92">
        <w:rPr>
          <w:lang w:eastAsia="en-GB"/>
        </w:rPr>
        <w:t>have</w:t>
      </w:r>
      <w:r w:rsidRPr="00C84421">
        <w:rPr>
          <w:spacing w:val="15"/>
          <w:lang w:eastAsia="en-GB"/>
        </w:rPr>
        <w:t xml:space="preserve"> </w:t>
      </w:r>
      <w:r w:rsidRPr="00DB7F92">
        <w:rPr>
          <w:lang w:eastAsia="en-GB"/>
        </w:rPr>
        <w:t>regard</w:t>
      </w:r>
      <w:r w:rsidRPr="00C84421">
        <w:rPr>
          <w:spacing w:val="16"/>
          <w:lang w:eastAsia="en-GB"/>
        </w:rPr>
        <w:t xml:space="preserve"> </w:t>
      </w:r>
      <w:r w:rsidRPr="00DB7F92">
        <w:rPr>
          <w:lang w:eastAsia="en-GB"/>
        </w:rPr>
        <w:t>to</w:t>
      </w:r>
      <w:r w:rsidRPr="00C84421">
        <w:rPr>
          <w:spacing w:val="15"/>
          <w:lang w:eastAsia="en-GB"/>
        </w:rPr>
        <w:t xml:space="preserve"> </w:t>
      </w:r>
      <w:r w:rsidRPr="00DB7F92">
        <w:rPr>
          <w:lang w:eastAsia="en-GB"/>
        </w:rPr>
        <w:t>the</w:t>
      </w:r>
      <w:r w:rsidRPr="00C84421">
        <w:rPr>
          <w:spacing w:val="15"/>
          <w:lang w:eastAsia="en-GB"/>
        </w:rPr>
        <w:t xml:space="preserve"> </w:t>
      </w:r>
      <w:r w:rsidRPr="00DB7F92">
        <w:rPr>
          <w:lang w:eastAsia="en-GB"/>
        </w:rPr>
        <w:t>need</w:t>
      </w:r>
      <w:r w:rsidRPr="00C84421">
        <w:rPr>
          <w:spacing w:val="16"/>
          <w:lang w:eastAsia="en-GB"/>
        </w:rPr>
        <w:t xml:space="preserve"> </w:t>
      </w:r>
      <w:r w:rsidRPr="00DB7F92">
        <w:rPr>
          <w:lang w:eastAsia="en-GB"/>
        </w:rPr>
        <w:t>to</w:t>
      </w:r>
      <w:r w:rsidRPr="00C84421">
        <w:rPr>
          <w:spacing w:val="15"/>
          <w:lang w:eastAsia="en-GB"/>
        </w:rPr>
        <w:t xml:space="preserve"> </w:t>
      </w:r>
      <w:r w:rsidRPr="00DB7F92">
        <w:rPr>
          <w:lang w:eastAsia="en-GB"/>
        </w:rPr>
        <w:t>promote</w:t>
      </w:r>
      <w:r w:rsidRPr="00C84421">
        <w:rPr>
          <w:spacing w:val="39"/>
          <w:w w:val="99"/>
          <w:lang w:eastAsia="en-GB"/>
        </w:rPr>
        <w:t xml:space="preserve"> </w:t>
      </w:r>
      <w:r w:rsidRPr="00DB7F92">
        <w:rPr>
          <w:lang w:eastAsia="en-GB"/>
        </w:rPr>
        <w:t>education</w:t>
      </w:r>
      <w:r w:rsidRPr="00C84421">
        <w:rPr>
          <w:spacing w:val="37"/>
          <w:lang w:eastAsia="en-GB"/>
        </w:rPr>
        <w:t xml:space="preserve"> </w:t>
      </w:r>
      <w:r w:rsidRPr="00DB7F92">
        <w:rPr>
          <w:lang w:eastAsia="en-GB"/>
        </w:rPr>
        <w:t>and</w:t>
      </w:r>
      <w:r w:rsidRPr="00C84421">
        <w:rPr>
          <w:spacing w:val="36"/>
          <w:lang w:eastAsia="en-GB"/>
        </w:rPr>
        <w:t xml:space="preserve"> </w:t>
      </w:r>
      <w:r w:rsidRPr="00DB7F92">
        <w:rPr>
          <w:lang w:eastAsia="en-GB"/>
        </w:rPr>
        <w:t>training</w:t>
      </w:r>
      <w:r w:rsidRPr="00C84421">
        <w:rPr>
          <w:spacing w:val="37"/>
          <w:lang w:eastAsia="en-GB"/>
        </w:rPr>
        <w:t xml:space="preserve"> </w:t>
      </w:r>
      <w:r w:rsidRPr="00DB7F92">
        <w:rPr>
          <w:lang w:eastAsia="en-GB"/>
        </w:rPr>
        <w:t>of</w:t>
      </w:r>
      <w:r w:rsidRPr="00C84421">
        <w:rPr>
          <w:spacing w:val="36"/>
          <w:lang w:eastAsia="en-GB"/>
        </w:rPr>
        <w:t xml:space="preserve"> </w:t>
      </w:r>
      <w:r w:rsidRPr="00DB7F92">
        <w:rPr>
          <w:lang w:eastAsia="en-GB"/>
        </w:rPr>
        <w:t>those</w:t>
      </w:r>
      <w:r w:rsidRPr="00C84421">
        <w:rPr>
          <w:spacing w:val="37"/>
          <w:lang w:eastAsia="en-GB"/>
        </w:rPr>
        <w:t xml:space="preserve"> </w:t>
      </w:r>
      <w:r w:rsidRPr="00DB7F92">
        <w:rPr>
          <w:lang w:eastAsia="en-GB"/>
        </w:rPr>
        <w:t>working</w:t>
      </w:r>
      <w:r w:rsidRPr="00C84421">
        <w:rPr>
          <w:spacing w:val="37"/>
          <w:lang w:eastAsia="en-GB"/>
        </w:rPr>
        <w:t xml:space="preserve"> </w:t>
      </w:r>
      <w:r w:rsidRPr="00DB7F92">
        <w:rPr>
          <w:lang w:eastAsia="en-GB"/>
        </w:rPr>
        <w:t>within</w:t>
      </w:r>
      <w:r w:rsidRPr="00C84421">
        <w:rPr>
          <w:spacing w:val="37"/>
          <w:lang w:eastAsia="en-GB"/>
        </w:rPr>
        <w:t xml:space="preserve"> </w:t>
      </w:r>
      <w:r w:rsidRPr="00DB7F92">
        <w:rPr>
          <w:lang w:eastAsia="en-GB"/>
        </w:rPr>
        <w:t>(or</w:t>
      </w:r>
      <w:r w:rsidRPr="00C84421">
        <w:rPr>
          <w:spacing w:val="40"/>
          <w:lang w:eastAsia="en-GB"/>
        </w:rPr>
        <w:t xml:space="preserve"> </w:t>
      </w:r>
      <w:r w:rsidRPr="00DB7F92">
        <w:rPr>
          <w:lang w:eastAsia="en-GB"/>
        </w:rPr>
        <w:t>intending</w:t>
      </w:r>
      <w:r w:rsidRPr="00C84421">
        <w:rPr>
          <w:spacing w:val="38"/>
          <w:lang w:eastAsia="en-GB"/>
        </w:rPr>
        <w:t xml:space="preserve"> </w:t>
      </w:r>
      <w:r w:rsidRPr="00DB7F92">
        <w:rPr>
          <w:lang w:eastAsia="en-GB"/>
        </w:rPr>
        <w:t>to</w:t>
      </w:r>
      <w:r w:rsidRPr="00C84421">
        <w:rPr>
          <w:spacing w:val="39"/>
          <w:lang w:eastAsia="en-GB"/>
        </w:rPr>
        <w:t xml:space="preserve"> </w:t>
      </w:r>
      <w:r w:rsidRPr="00DB7F92">
        <w:rPr>
          <w:lang w:eastAsia="en-GB"/>
        </w:rPr>
        <w:t>work</w:t>
      </w:r>
      <w:r w:rsidRPr="00C84421">
        <w:rPr>
          <w:spacing w:val="57"/>
          <w:lang w:eastAsia="en-GB"/>
        </w:rPr>
        <w:t xml:space="preserve"> </w:t>
      </w:r>
      <w:r w:rsidRPr="00DB7F92">
        <w:rPr>
          <w:lang w:eastAsia="en-GB"/>
        </w:rPr>
        <w:t>within)</w:t>
      </w:r>
      <w:r w:rsidRPr="00C84421">
        <w:rPr>
          <w:spacing w:val="-8"/>
          <w:lang w:eastAsia="en-GB"/>
        </w:rPr>
        <w:t xml:space="preserve"> </w:t>
      </w:r>
      <w:r w:rsidRPr="00DB7F92">
        <w:rPr>
          <w:lang w:eastAsia="en-GB"/>
        </w:rPr>
        <w:t>the</w:t>
      </w:r>
      <w:r w:rsidRPr="00C84421">
        <w:rPr>
          <w:spacing w:val="-6"/>
          <w:lang w:eastAsia="en-GB"/>
        </w:rPr>
        <w:t xml:space="preserve"> </w:t>
      </w:r>
      <w:r w:rsidRPr="00DB7F92">
        <w:rPr>
          <w:lang w:eastAsia="en-GB"/>
        </w:rPr>
        <w:t>health</w:t>
      </w:r>
      <w:r w:rsidRPr="00C84421">
        <w:rPr>
          <w:spacing w:val="-8"/>
          <w:lang w:eastAsia="en-GB"/>
        </w:rPr>
        <w:t xml:space="preserve"> </w:t>
      </w:r>
      <w:r w:rsidRPr="00DB7F92">
        <w:rPr>
          <w:lang w:eastAsia="en-GB"/>
        </w:rPr>
        <w:t>service.</w:t>
      </w:r>
    </w:p>
    <w:p w14:paraId="6D15E3E4" w14:textId="77777777" w:rsidR="00DB7F92" w:rsidRPr="006B14E9" w:rsidRDefault="00DB7F92" w:rsidP="006B14E9">
      <w:pPr>
        <w:rPr>
          <w:rFonts w:eastAsiaTheme="majorEastAsia"/>
          <w:i/>
          <w:sz w:val="28"/>
        </w:rPr>
      </w:pPr>
      <w:r w:rsidRPr="006B14E9">
        <w:rPr>
          <w:rFonts w:eastAsiaTheme="majorEastAsia"/>
          <w:i/>
          <w:sz w:val="28"/>
        </w:rPr>
        <w:t>IMPACT IN AREAS OF WALES OR SCOTLAND</w:t>
      </w:r>
    </w:p>
    <w:p w14:paraId="157962AB" w14:textId="77777777" w:rsidR="00C84421" w:rsidRPr="00A553BA" w:rsidRDefault="00C84421" w:rsidP="00A553BA">
      <w:pPr>
        <w:rPr>
          <w:rFonts w:eastAsiaTheme="majorEastAsia"/>
        </w:rPr>
      </w:pPr>
    </w:p>
    <w:p w14:paraId="7BD4900B" w14:textId="4FC278CF" w:rsidR="00DB7F92" w:rsidRPr="00DB7F92" w:rsidRDefault="00DB7F92" w:rsidP="00DD5D2D">
      <w:pPr>
        <w:pStyle w:val="Heading3"/>
        <w:jc w:val="both"/>
        <w:rPr>
          <w:lang w:eastAsia="en-GB"/>
        </w:rPr>
      </w:pPr>
      <w:r w:rsidRPr="00DB7F92">
        <w:rPr>
          <w:lang w:eastAsia="en-GB"/>
        </w:rPr>
        <w:t>NHS England has a</w:t>
      </w:r>
      <w:r w:rsidRPr="00DB7F92">
        <w:rPr>
          <w:spacing w:val="64"/>
          <w:lang w:eastAsia="en-GB"/>
        </w:rPr>
        <w:t xml:space="preserve"> </w:t>
      </w:r>
      <w:r w:rsidRPr="00DB7F92">
        <w:rPr>
          <w:lang w:eastAsia="en-GB"/>
        </w:rPr>
        <w:t>duty</w:t>
      </w:r>
      <w:r w:rsidRPr="00DB7F92">
        <w:rPr>
          <w:spacing w:val="63"/>
          <w:lang w:eastAsia="en-GB"/>
        </w:rPr>
        <w:t xml:space="preserve"> </w:t>
      </w:r>
      <w:r w:rsidR="00D26A9F" w:rsidRPr="00DB7F92">
        <w:rPr>
          <w:lang w:eastAsia="en-GB"/>
        </w:rPr>
        <w:t>to have</w:t>
      </w:r>
      <w:r w:rsidRPr="00DB7F92">
        <w:rPr>
          <w:spacing w:val="62"/>
          <w:lang w:eastAsia="en-GB"/>
        </w:rPr>
        <w:t xml:space="preserve"> </w:t>
      </w:r>
      <w:r w:rsidRPr="00DB7F92">
        <w:rPr>
          <w:lang w:eastAsia="en-GB"/>
        </w:rPr>
        <w:t>regard</w:t>
      </w:r>
      <w:r w:rsidRPr="00DB7F92">
        <w:rPr>
          <w:spacing w:val="63"/>
          <w:lang w:eastAsia="en-GB"/>
        </w:rPr>
        <w:t xml:space="preserve"> </w:t>
      </w:r>
      <w:r w:rsidRPr="00DB7F92">
        <w:rPr>
          <w:lang w:eastAsia="en-GB"/>
        </w:rPr>
        <w:t>to</w:t>
      </w:r>
      <w:r w:rsidRPr="00DB7F92">
        <w:rPr>
          <w:spacing w:val="62"/>
          <w:lang w:eastAsia="en-GB"/>
        </w:rPr>
        <w:t xml:space="preserve"> </w:t>
      </w:r>
      <w:r w:rsidRPr="00DB7F92">
        <w:rPr>
          <w:lang w:eastAsia="en-GB"/>
        </w:rPr>
        <w:t>the</w:t>
      </w:r>
      <w:r w:rsidRPr="00DB7F92">
        <w:rPr>
          <w:spacing w:val="65"/>
          <w:lang w:eastAsia="en-GB"/>
        </w:rPr>
        <w:t xml:space="preserve"> </w:t>
      </w:r>
      <w:r w:rsidRPr="00DB7F92">
        <w:rPr>
          <w:lang w:eastAsia="en-GB"/>
        </w:rPr>
        <w:t>likely</w:t>
      </w:r>
      <w:r w:rsidRPr="00DB7F92">
        <w:rPr>
          <w:spacing w:val="1"/>
          <w:lang w:eastAsia="en-GB"/>
        </w:rPr>
        <w:t xml:space="preserve"> </w:t>
      </w:r>
      <w:r w:rsidRPr="00DB7F92">
        <w:rPr>
          <w:lang w:eastAsia="en-GB"/>
        </w:rPr>
        <w:t>impact</w:t>
      </w:r>
      <w:r w:rsidRPr="00DB7F92">
        <w:rPr>
          <w:spacing w:val="64"/>
          <w:lang w:eastAsia="en-GB"/>
        </w:rPr>
        <w:t xml:space="preserve"> </w:t>
      </w:r>
      <w:r w:rsidRPr="00DB7F92">
        <w:rPr>
          <w:lang w:eastAsia="en-GB"/>
        </w:rPr>
        <w:t>of</w:t>
      </w:r>
      <w:r w:rsidRPr="00DB7F92">
        <w:rPr>
          <w:spacing w:val="43"/>
          <w:lang w:eastAsia="en-GB"/>
        </w:rPr>
        <w:t xml:space="preserve"> </w:t>
      </w:r>
      <w:r w:rsidRPr="00DB7F92">
        <w:rPr>
          <w:lang w:eastAsia="en-GB"/>
        </w:rPr>
        <w:t>commissioning</w:t>
      </w:r>
      <w:r w:rsidRPr="00DB7F92">
        <w:rPr>
          <w:spacing w:val="50"/>
          <w:lang w:eastAsia="en-GB"/>
        </w:rPr>
        <w:t xml:space="preserve"> </w:t>
      </w:r>
      <w:r w:rsidRPr="00DB7F92">
        <w:rPr>
          <w:lang w:eastAsia="en-GB"/>
        </w:rPr>
        <w:t>decisions</w:t>
      </w:r>
      <w:r w:rsidRPr="00DB7F92">
        <w:rPr>
          <w:spacing w:val="50"/>
          <w:lang w:eastAsia="en-GB"/>
        </w:rPr>
        <w:t xml:space="preserve"> </w:t>
      </w:r>
      <w:r w:rsidRPr="00DB7F92">
        <w:rPr>
          <w:lang w:eastAsia="en-GB"/>
        </w:rPr>
        <w:t>on</w:t>
      </w:r>
      <w:r w:rsidRPr="00DB7F92">
        <w:rPr>
          <w:spacing w:val="50"/>
          <w:lang w:eastAsia="en-GB"/>
        </w:rPr>
        <w:t xml:space="preserve"> </w:t>
      </w:r>
      <w:r w:rsidRPr="00DB7F92">
        <w:rPr>
          <w:lang w:eastAsia="en-GB"/>
        </w:rPr>
        <w:t>healthcare</w:t>
      </w:r>
      <w:r w:rsidRPr="00DB7F92">
        <w:rPr>
          <w:spacing w:val="51"/>
          <w:lang w:eastAsia="en-GB"/>
        </w:rPr>
        <w:t xml:space="preserve"> </w:t>
      </w:r>
      <w:r w:rsidRPr="00DB7F92">
        <w:rPr>
          <w:lang w:eastAsia="en-GB"/>
        </w:rPr>
        <w:t>delivered</w:t>
      </w:r>
      <w:r w:rsidRPr="00DB7F92">
        <w:rPr>
          <w:spacing w:val="50"/>
          <w:lang w:eastAsia="en-GB"/>
        </w:rPr>
        <w:t xml:space="preserve"> </w:t>
      </w:r>
      <w:r w:rsidRPr="00DB7F92">
        <w:rPr>
          <w:lang w:eastAsia="en-GB"/>
        </w:rPr>
        <w:t>in</w:t>
      </w:r>
      <w:r w:rsidRPr="00DB7F92">
        <w:rPr>
          <w:spacing w:val="50"/>
          <w:lang w:eastAsia="en-GB"/>
        </w:rPr>
        <w:t xml:space="preserve"> </w:t>
      </w:r>
      <w:r w:rsidRPr="00DB7F92">
        <w:rPr>
          <w:lang w:eastAsia="en-GB"/>
        </w:rPr>
        <w:t>areas</w:t>
      </w:r>
      <w:r w:rsidRPr="00DB7F92">
        <w:rPr>
          <w:spacing w:val="50"/>
          <w:lang w:eastAsia="en-GB"/>
        </w:rPr>
        <w:t xml:space="preserve"> </w:t>
      </w:r>
      <w:r w:rsidRPr="00DB7F92">
        <w:rPr>
          <w:lang w:eastAsia="en-GB"/>
        </w:rPr>
        <w:t>of</w:t>
      </w:r>
      <w:r w:rsidRPr="00DB7F92">
        <w:rPr>
          <w:spacing w:val="51"/>
          <w:lang w:eastAsia="en-GB"/>
        </w:rPr>
        <w:t xml:space="preserve"> </w:t>
      </w:r>
      <w:r w:rsidRPr="00DB7F92">
        <w:rPr>
          <w:lang w:eastAsia="en-GB"/>
        </w:rPr>
        <w:t>Wales</w:t>
      </w:r>
      <w:r w:rsidRPr="00DB7F92">
        <w:rPr>
          <w:spacing w:val="50"/>
          <w:lang w:eastAsia="en-GB"/>
        </w:rPr>
        <w:t xml:space="preserve"> </w:t>
      </w:r>
      <w:r w:rsidRPr="00DB7F92">
        <w:rPr>
          <w:lang w:eastAsia="en-GB"/>
        </w:rPr>
        <w:t>or</w:t>
      </w:r>
      <w:r w:rsidRPr="00DB7F92">
        <w:rPr>
          <w:spacing w:val="73"/>
          <w:w w:val="99"/>
          <w:lang w:eastAsia="en-GB"/>
        </w:rPr>
        <w:t xml:space="preserve"> </w:t>
      </w:r>
      <w:r w:rsidRPr="00DB7F92">
        <w:rPr>
          <w:lang w:eastAsia="en-GB"/>
        </w:rPr>
        <w:t>Scotland</w:t>
      </w:r>
      <w:r w:rsidRPr="00DB7F92">
        <w:rPr>
          <w:spacing w:val="-2"/>
          <w:lang w:eastAsia="en-GB"/>
        </w:rPr>
        <w:t xml:space="preserve"> </w:t>
      </w:r>
      <w:r w:rsidRPr="00DB7F92">
        <w:rPr>
          <w:lang w:eastAsia="en-GB"/>
        </w:rPr>
        <w:t>close to the border</w:t>
      </w:r>
      <w:r w:rsidRPr="00DB7F92">
        <w:rPr>
          <w:spacing w:val="1"/>
          <w:lang w:eastAsia="en-GB"/>
        </w:rPr>
        <w:t xml:space="preserve"> </w:t>
      </w:r>
      <w:r w:rsidRPr="00DB7F92">
        <w:rPr>
          <w:lang w:eastAsia="en-GB"/>
        </w:rPr>
        <w:t>with England.</w:t>
      </w:r>
      <w:r w:rsidRPr="00DB7F92">
        <w:rPr>
          <w:spacing w:val="1"/>
          <w:lang w:eastAsia="en-GB"/>
        </w:rPr>
        <w:t xml:space="preserve"> </w:t>
      </w:r>
      <w:r w:rsidRPr="00DB7F92">
        <w:rPr>
          <w:lang w:eastAsia="en-GB"/>
        </w:rPr>
        <w:t>This</w:t>
      </w:r>
      <w:r w:rsidRPr="00DB7F92">
        <w:rPr>
          <w:spacing w:val="1"/>
          <w:lang w:eastAsia="en-GB"/>
        </w:rPr>
        <w:t xml:space="preserve"> </w:t>
      </w:r>
      <w:r w:rsidRPr="00DB7F92">
        <w:rPr>
          <w:lang w:eastAsia="en-GB"/>
        </w:rPr>
        <w:t>will clearly be relevant</w:t>
      </w:r>
      <w:r w:rsidRPr="00DB7F92">
        <w:rPr>
          <w:spacing w:val="1"/>
          <w:lang w:eastAsia="en-GB"/>
        </w:rPr>
        <w:t xml:space="preserve"> </w:t>
      </w:r>
      <w:r w:rsidRPr="00DB7F92">
        <w:rPr>
          <w:lang w:eastAsia="en-GB"/>
        </w:rPr>
        <w:t>for</w:t>
      </w:r>
      <w:r w:rsidRPr="00DB7F92">
        <w:rPr>
          <w:spacing w:val="59"/>
          <w:w w:val="99"/>
          <w:lang w:eastAsia="en-GB"/>
        </w:rPr>
        <w:t xml:space="preserve"> </w:t>
      </w:r>
      <w:r w:rsidRPr="00DB7F92">
        <w:rPr>
          <w:lang w:eastAsia="en-GB"/>
        </w:rPr>
        <w:t>those</w:t>
      </w:r>
      <w:r w:rsidRPr="00DB7F92">
        <w:rPr>
          <w:spacing w:val="42"/>
          <w:lang w:eastAsia="en-GB"/>
        </w:rPr>
        <w:t xml:space="preserve"> </w:t>
      </w:r>
      <w:r w:rsidRPr="00DB7F92">
        <w:rPr>
          <w:lang w:eastAsia="en-GB"/>
        </w:rPr>
        <w:t>working</w:t>
      </w:r>
      <w:r w:rsidRPr="00DB7F92">
        <w:rPr>
          <w:spacing w:val="43"/>
          <w:lang w:eastAsia="en-GB"/>
        </w:rPr>
        <w:t xml:space="preserve"> </w:t>
      </w:r>
      <w:r w:rsidRPr="00DB7F92">
        <w:rPr>
          <w:lang w:eastAsia="en-GB"/>
        </w:rPr>
        <w:t>in</w:t>
      </w:r>
      <w:r w:rsidRPr="00DB7F92">
        <w:rPr>
          <w:spacing w:val="45"/>
          <w:lang w:eastAsia="en-GB"/>
        </w:rPr>
        <w:t xml:space="preserve"> NHS England </w:t>
      </w:r>
      <w:r w:rsidRPr="00DB7F92">
        <w:rPr>
          <w:lang w:eastAsia="en-GB"/>
        </w:rPr>
        <w:t>regional</w:t>
      </w:r>
      <w:r w:rsidRPr="00DB7F92">
        <w:rPr>
          <w:spacing w:val="43"/>
          <w:lang w:eastAsia="en-GB"/>
        </w:rPr>
        <w:t xml:space="preserve"> </w:t>
      </w:r>
      <w:r w:rsidRPr="00DB7F92">
        <w:rPr>
          <w:lang w:eastAsia="en-GB"/>
        </w:rPr>
        <w:t>teams</w:t>
      </w:r>
      <w:r w:rsidRPr="00DB7F92">
        <w:rPr>
          <w:spacing w:val="45"/>
          <w:lang w:eastAsia="en-GB"/>
        </w:rPr>
        <w:t xml:space="preserve"> </w:t>
      </w:r>
      <w:r w:rsidRPr="00DB7F92">
        <w:rPr>
          <w:lang w:eastAsia="en-GB"/>
        </w:rPr>
        <w:t>that</w:t>
      </w:r>
      <w:r w:rsidRPr="00DB7F92">
        <w:rPr>
          <w:spacing w:val="46"/>
          <w:lang w:eastAsia="en-GB"/>
        </w:rPr>
        <w:t xml:space="preserve"> </w:t>
      </w:r>
      <w:r w:rsidRPr="00DB7F92">
        <w:rPr>
          <w:lang w:eastAsia="en-GB"/>
        </w:rPr>
        <w:t>border</w:t>
      </w:r>
      <w:r w:rsidRPr="00DB7F92">
        <w:rPr>
          <w:spacing w:val="46"/>
          <w:lang w:eastAsia="en-GB"/>
        </w:rPr>
        <w:t xml:space="preserve"> </w:t>
      </w:r>
      <w:r w:rsidRPr="00DB7F92">
        <w:rPr>
          <w:lang w:eastAsia="en-GB"/>
        </w:rPr>
        <w:t>Wales</w:t>
      </w:r>
      <w:r w:rsidRPr="00DB7F92">
        <w:rPr>
          <w:spacing w:val="45"/>
          <w:lang w:eastAsia="en-GB"/>
        </w:rPr>
        <w:t xml:space="preserve"> </w:t>
      </w:r>
      <w:r w:rsidRPr="00DB7F92">
        <w:rPr>
          <w:lang w:eastAsia="en-GB"/>
        </w:rPr>
        <w:t>or</w:t>
      </w:r>
      <w:r w:rsidRPr="00DB7F92">
        <w:rPr>
          <w:spacing w:val="45"/>
          <w:lang w:eastAsia="en-GB"/>
        </w:rPr>
        <w:t xml:space="preserve"> </w:t>
      </w:r>
      <w:r w:rsidRPr="00DB7F92">
        <w:rPr>
          <w:lang w:eastAsia="en-GB"/>
        </w:rPr>
        <w:t>Scotland.</w:t>
      </w:r>
      <w:r w:rsidRPr="00DB7F92">
        <w:rPr>
          <w:spacing w:val="27"/>
          <w:lang w:eastAsia="en-GB"/>
        </w:rPr>
        <w:t xml:space="preserve"> </w:t>
      </w:r>
      <w:r w:rsidRPr="00DB7F92">
        <w:rPr>
          <w:lang w:eastAsia="en-GB"/>
        </w:rPr>
        <w:t>NHS</w:t>
      </w:r>
      <w:r w:rsidRPr="00DB7F92">
        <w:rPr>
          <w:spacing w:val="67"/>
          <w:lang w:eastAsia="en-GB"/>
        </w:rPr>
        <w:t xml:space="preserve"> </w:t>
      </w:r>
      <w:r w:rsidRPr="00DB7F92">
        <w:rPr>
          <w:lang w:eastAsia="en-GB"/>
        </w:rPr>
        <w:t>England</w:t>
      </w:r>
      <w:r w:rsidRPr="00DB7F92">
        <w:rPr>
          <w:spacing w:val="39"/>
          <w:lang w:eastAsia="en-GB"/>
        </w:rPr>
        <w:t xml:space="preserve"> </w:t>
      </w:r>
      <w:r w:rsidRPr="00DB7F92">
        <w:rPr>
          <w:lang w:eastAsia="en-GB"/>
        </w:rPr>
        <w:t>will</w:t>
      </w:r>
      <w:r w:rsidRPr="00DB7F92">
        <w:rPr>
          <w:spacing w:val="41"/>
          <w:lang w:eastAsia="en-GB"/>
        </w:rPr>
        <w:t xml:space="preserve"> </w:t>
      </w:r>
      <w:r w:rsidRPr="00DB7F92">
        <w:rPr>
          <w:lang w:eastAsia="en-GB"/>
        </w:rPr>
        <w:t>also</w:t>
      </w:r>
      <w:r w:rsidRPr="00DB7F92">
        <w:rPr>
          <w:spacing w:val="41"/>
          <w:lang w:eastAsia="en-GB"/>
        </w:rPr>
        <w:t xml:space="preserve"> </w:t>
      </w:r>
      <w:r w:rsidRPr="00DB7F92">
        <w:rPr>
          <w:lang w:eastAsia="en-GB"/>
        </w:rPr>
        <w:t>need</w:t>
      </w:r>
      <w:r w:rsidRPr="00DB7F92">
        <w:rPr>
          <w:spacing w:val="42"/>
          <w:lang w:eastAsia="en-GB"/>
        </w:rPr>
        <w:t xml:space="preserve"> </w:t>
      </w:r>
      <w:r w:rsidRPr="00DB7F92">
        <w:rPr>
          <w:lang w:eastAsia="en-GB"/>
        </w:rPr>
        <w:t>to</w:t>
      </w:r>
      <w:r w:rsidRPr="00DB7F92">
        <w:rPr>
          <w:spacing w:val="41"/>
          <w:lang w:eastAsia="en-GB"/>
        </w:rPr>
        <w:t xml:space="preserve"> </w:t>
      </w:r>
      <w:r w:rsidRPr="00DB7F92">
        <w:rPr>
          <w:lang w:eastAsia="en-GB"/>
        </w:rPr>
        <w:t>comply</w:t>
      </w:r>
      <w:r w:rsidRPr="00DB7F92">
        <w:rPr>
          <w:spacing w:val="42"/>
          <w:lang w:eastAsia="en-GB"/>
        </w:rPr>
        <w:t xml:space="preserve"> </w:t>
      </w:r>
      <w:r w:rsidRPr="00DB7F92">
        <w:rPr>
          <w:lang w:eastAsia="en-GB"/>
        </w:rPr>
        <w:t>with</w:t>
      </w:r>
      <w:r w:rsidRPr="00DB7F92">
        <w:rPr>
          <w:spacing w:val="40"/>
          <w:lang w:eastAsia="en-GB"/>
        </w:rPr>
        <w:t xml:space="preserve"> </w:t>
      </w:r>
      <w:r w:rsidRPr="00DB7F92">
        <w:rPr>
          <w:lang w:eastAsia="en-GB"/>
        </w:rPr>
        <w:t>the</w:t>
      </w:r>
      <w:r w:rsidRPr="00DB7F92">
        <w:rPr>
          <w:spacing w:val="41"/>
          <w:lang w:eastAsia="en-GB"/>
        </w:rPr>
        <w:t xml:space="preserve"> </w:t>
      </w:r>
      <w:r w:rsidRPr="00DB7F92">
        <w:rPr>
          <w:lang w:eastAsia="en-GB"/>
        </w:rPr>
        <w:t>duty</w:t>
      </w:r>
      <w:r w:rsidRPr="00DB7F92">
        <w:rPr>
          <w:spacing w:val="42"/>
          <w:lang w:eastAsia="en-GB"/>
        </w:rPr>
        <w:t xml:space="preserve"> </w:t>
      </w:r>
      <w:r w:rsidRPr="00DB7F92">
        <w:rPr>
          <w:lang w:eastAsia="en-GB"/>
        </w:rPr>
        <w:t>when</w:t>
      </w:r>
      <w:r w:rsidRPr="00DB7F92">
        <w:rPr>
          <w:spacing w:val="40"/>
          <w:lang w:eastAsia="en-GB"/>
        </w:rPr>
        <w:t xml:space="preserve"> </w:t>
      </w:r>
      <w:r w:rsidRPr="00DB7F92">
        <w:rPr>
          <w:lang w:eastAsia="en-GB"/>
        </w:rPr>
        <w:t>making</w:t>
      </w:r>
      <w:r w:rsidRPr="00DB7F92">
        <w:rPr>
          <w:spacing w:val="40"/>
          <w:lang w:eastAsia="en-GB"/>
        </w:rPr>
        <w:t xml:space="preserve"> </w:t>
      </w:r>
      <w:r w:rsidRPr="00DB7F92">
        <w:rPr>
          <w:lang w:eastAsia="en-GB"/>
        </w:rPr>
        <w:t>national</w:t>
      </w:r>
      <w:r w:rsidRPr="00DB7F92">
        <w:rPr>
          <w:spacing w:val="51"/>
          <w:w w:val="99"/>
          <w:lang w:eastAsia="en-GB"/>
        </w:rPr>
        <w:t xml:space="preserve"> </w:t>
      </w:r>
      <w:r w:rsidRPr="00DB7F92">
        <w:rPr>
          <w:lang w:eastAsia="en-GB"/>
        </w:rPr>
        <w:t>strategic</w:t>
      </w:r>
      <w:r w:rsidRPr="00DB7F92">
        <w:rPr>
          <w:spacing w:val="18"/>
          <w:lang w:eastAsia="en-GB"/>
        </w:rPr>
        <w:t xml:space="preserve"> </w:t>
      </w:r>
      <w:r w:rsidRPr="00DB7F92">
        <w:rPr>
          <w:lang w:eastAsia="en-GB"/>
        </w:rPr>
        <w:t>decisions</w:t>
      </w:r>
      <w:r w:rsidRPr="00DB7F92">
        <w:rPr>
          <w:spacing w:val="21"/>
          <w:lang w:eastAsia="en-GB"/>
        </w:rPr>
        <w:t xml:space="preserve"> </w:t>
      </w:r>
      <w:r w:rsidRPr="00DB7F92">
        <w:rPr>
          <w:lang w:eastAsia="en-GB"/>
        </w:rPr>
        <w:t>about</w:t>
      </w:r>
      <w:r w:rsidRPr="00DB7F92">
        <w:rPr>
          <w:spacing w:val="21"/>
          <w:lang w:eastAsia="en-GB"/>
        </w:rPr>
        <w:t xml:space="preserve"> </w:t>
      </w:r>
      <w:r w:rsidRPr="00DB7F92">
        <w:rPr>
          <w:lang w:eastAsia="en-GB"/>
        </w:rPr>
        <w:t>the</w:t>
      </w:r>
      <w:r w:rsidRPr="00DB7F92">
        <w:rPr>
          <w:spacing w:val="19"/>
          <w:lang w:eastAsia="en-GB"/>
        </w:rPr>
        <w:t xml:space="preserve"> </w:t>
      </w:r>
      <w:r w:rsidRPr="00DB7F92">
        <w:rPr>
          <w:lang w:eastAsia="en-GB"/>
        </w:rPr>
        <w:t>delivery</w:t>
      </w:r>
      <w:r w:rsidRPr="00DB7F92">
        <w:rPr>
          <w:spacing w:val="20"/>
          <w:lang w:eastAsia="en-GB"/>
        </w:rPr>
        <w:t xml:space="preserve"> </w:t>
      </w:r>
      <w:r w:rsidRPr="00DB7F92">
        <w:rPr>
          <w:lang w:eastAsia="en-GB"/>
        </w:rPr>
        <w:t>of</w:t>
      </w:r>
      <w:r w:rsidRPr="00DB7F92">
        <w:rPr>
          <w:spacing w:val="19"/>
          <w:lang w:eastAsia="en-GB"/>
        </w:rPr>
        <w:t xml:space="preserve"> </w:t>
      </w:r>
      <w:r w:rsidRPr="00DB7F92">
        <w:rPr>
          <w:lang w:eastAsia="en-GB"/>
        </w:rPr>
        <w:t>primary</w:t>
      </w:r>
      <w:r w:rsidRPr="00DB7F92">
        <w:rPr>
          <w:spacing w:val="20"/>
          <w:lang w:eastAsia="en-GB"/>
        </w:rPr>
        <w:t xml:space="preserve"> </w:t>
      </w:r>
      <w:r w:rsidRPr="00DB7F92">
        <w:rPr>
          <w:lang w:eastAsia="en-GB"/>
        </w:rPr>
        <w:t>care</w:t>
      </w:r>
      <w:r w:rsidRPr="00DB7F92">
        <w:rPr>
          <w:spacing w:val="18"/>
          <w:lang w:eastAsia="en-GB"/>
        </w:rPr>
        <w:t xml:space="preserve"> </w:t>
      </w:r>
      <w:r w:rsidRPr="00DB7F92">
        <w:rPr>
          <w:lang w:eastAsia="en-GB"/>
        </w:rPr>
        <w:t>–</w:t>
      </w:r>
      <w:r w:rsidRPr="00DB7F92">
        <w:rPr>
          <w:spacing w:val="20"/>
          <w:lang w:eastAsia="en-GB"/>
        </w:rPr>
        <w:t xml:space="preserve"> </w:t>
      </w:r>
      <w:r w:rsidRPr="00DB7F92">
        <w:rPr>
          <w:lang w:eastAsia="en-GB"/>
        </w:rPr>
        <w:t>that</w:t>
      </w:r>
      <w:r w:rsidRPr="00DB7F92">
        <w:rPr>
          <w:spacing w:val="21"/>
          <w:lang w:eastAsia="en-GB"/>
        </w:rPr>
        <w:t xml:space="preserve"> </w:t>
      </w:r>
      <w:r w:rsidRPr="00DB7F92">
        <w:rPr>
          <w:spacing w:val="-2"/>
          <w:lang w:eastAsia="en-GB"/>
        </w:rPr>
        <w:t>affect</w:t>
      </w:r>
      <w:r w:rsidRPr="00DB7F92">
        <w:rPr>
          <w:spacing w:val="69"/>
          <w:w w:val="99"/>
          <w:lang w:eastAsia="en-GB"/>
        </w:rPr>
        <w:t xml:space="preserve"> </w:t>
      </w:r>
      <w:r w:rsidRPr="00DB7F92">
        <w:rPr>
          <w:lang w:eastAsia="en-GB"/>
        </w:rPr>
        <w:t>bordering</w:t>
      </w:r>
      <w:r w:rsidRPr="00DB7F92">
        <w:rPr>
          <w:spacing w:val="-5"/>
          <w:lang w:eastAsia="en-GB"/>
        </w:rPr>
        <w:t xml:space="preserve"> </w:t>
      </w:r>
      <w:r w:rsidRPr="00DB7F92">
        <w:rPr>
          <w:lang w:eastAsia="en-GB"/>
        </w:rPr>
        <w:t>areas</w:t>
      </w:r>
      <w:r w:rsidRPr="00DB7F92">
        <w:rPr>
          <w:spacing w:val="-5"/>
          <w:lang w:eastAsia="en-GB"/>
        </w:rPr>
        <w:t xml:space="preserve"> </w:t>
      </w:r>
      <w:r w:rsidRPr="00DB7F92">
        <w:rPr>
          <w:lang w:eastAsia="en-GB"/>
        </w:rPr>
        <w:t>as</w:t>
      </w:r>
      <w:r w:rsidRPr="00DB7F92">
        <w:rPr>
          <w:spacing w:val="-6"/>
          <w:lang w:eastAsia="en-GB"/>
        </w:rPr>
        <w:t xml:space="preserve"> </w:t>
      </w:r>
      <w:r w:rsidRPr="00DB7F92">
        <w:rPr>
          <w:lang w:eastAsia="en-GB"/>
        </w:rPr>
        <w:t>well</w:t>
      </w:r>
      <w:r w:rsidRPr="00DB7F92">
        <w:rPr>
          <w:spacing w:val="-3"/>
          <w:lang w:eastAsia="en-GB"/>
        </w:rPr>
        <w:t xml:space="preserve"> </w:t>
      </w:r>
      <w:r w:rsidRPr="00DB7F92">
        <w:rPr>
          <w:lang w:eastAsia="en-GB"/>
        </w:rPr>
        <w:t>as</w:t>
      </w:r>
      <w:r w:rsidRPr="00DB7F92">
        <w:rPr>
          <w:spacing w:val="-5"/>
          <w:lang w:eastAsia="en-GB"/>
        </w:rPr>
        <w:t xml:space="preserve"> </w:t>
      </w:r>
      <w:r w:rsidRPr="00DB7F92">
        <w:rPr>
          <w:lang w:eastAsia="en-GB"/>
        </w:rPr>
        <w:t>others.</w:t>
      </w:r>
    </w:p>
    <w:p w14:paraId="24A6FDB1" w14:textId="77777777" w:rsidR="00DB7F92" w:rsidRPr="00DB7F92" w:rsidRDefault="00DB7F92" w:rsidP="00DB7F92">
      <w:pPr>
        <w:widowControl w:val="0"/>
        <w:tabs>
          <w:tab w:val="left" w:pos="1179"/>
        </w:tabs>
        <w:spacing w:before="211" w:after="120"/>
        <w:ind w:left="838" w:right="335"/>
        <w:jc w:val="both"/>
        <w:rPr>
          <w:rFonts w:cs="Arial"/>
          <w:bCs w:val="0"/>
          <w:sz w:val="20"/>
          <w:szCs w:val="20"/>
          <w:lang w:eastAsia="en-GB"/>
        </w:rPr>
      </w:pPr>
      <w:r w:rsidRPr="00DB7F92">
        <w:rPr>
          <w:rFonts w:cs="Arial"/>
          <w:bCs w:val="0"/>
          <w:noProof/>
          <w:sz w:val="20"/>
          <w:szCs w:val="20"/>
          <w:lang w:eastAsia="en-GB"/>
        </w:rPr>
        <mc:AlternateContent>
          <mc:Choice Requires="wps">
            <w:drawing>
              <wp:inline distT="0" distB="0" distL="0" distR="0" wp14:anchorId="451764FD" wp14:editId="4A52AF81">
                <wp:extent cx="4860290" cy="2158409"/>
                <wp:effectExtent l="0" t="0" r="0" b="0"/>
                <wp:docPr id="227" name="Text Box 1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2158409"/>
                        </a:xfrm>
                        <a:prstGeom prst="rect">
                          <a:avLst/>
                        </a:prstGeom>
                        <a:solidFill>
                          <a:srgbClr val="1C6C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CBD8C" w14:textId="77777777" w:rsidR="00942266" w:rsidRPr="004E0302" w:rsidRDefault="00942266" w:rsidP="00DB7F92">
                            <w:pPr>
                              <w:spacing w:before="213"/>
                              <w:ind w:left="225"/>
                              <w:jc w:val="both"/>
                              <w:rPr>
                                <w:rFonts w:eastAsia="Tw Cen MT Condensed Extra Bold" w:cs="Arial"/>
                                <w:sz w:val="20"/>
                                <w:szCs w:val="20"/>
                              </w:rPr>
                            </w:pPr>
                            <w:r w:rsidRPr="004E0302">
                              <w:rPr>
                                <w:rFonts w:cs="Arial"/>
                                <w:b/>
                                <w:color w:val="FFFFFF"/>
                                <w:sz w:val="20"/>
                                <w:szCs w:val="20"/>
                              </w:rPr>
                              <w:t>Example:</w:t>
                            </w:r>
                          </w:p>
                          <w:p w14:paraId="148089C4" w14:textId="77777777" w:rsidR="00942266" w:rsidRPr="004E0302" w:rsidRDefault="00942266" w:rsidP="00DB7F92">
                            <w:pPr>
                              <w:spacing w:before="12"/>
                              <w:rPr>
                                <w:rFonts w:eastAsia="Segoe UI Semilight" w:cs="Arial"/>
                                <w:sz w:val="20"/>
                                <w:szCs w:val="20"/>
                              </w:rPr>
                            </w:pPr>
                          </w:p>
                          <w:p w14:paraId="2231D8E1" w14:textId="498DCCA5" w:rsidR="00942266" w:rsidRPr="00475347" w:rsidRDefault="00942266" w:rsidP="00DB7F92">
                            <w:pPr>
                              <w:ind w:left="225" w:right="225"/>
                              <w:jc w:val="both"/>
                              <w:rPr>
                                <w:rFonts w:cs="Arial"/>
                                <w:color w:val="FFFFFF"/>
                                <w:spacing w:val="-1"/>
                                <w:sz w:val="20"/>
                                <w:szCs w:val="20"/>
                              </w:rPr>
                            </w:pPr>
                            <w:r w:rsidRPr="00475347">
                              <w:rPr>
                                <w:rFonts w:cs="Arial"/>
                                <w:color w:val="FFFFFF"/>
                                <w:spacing w:val="-1"/>
                                <w:sz w:val="20"/>
                                <w:szCs w:val="20"/>
                              </w:rPr>
                              <w:t xml:space="preserve">The Commissioner is considering commissioning new primary care services for a town in England close to the border with Scotland.  It is concerned that many of the local residents have difficulty in accessing local primary care services, the nearest practice being based over the border in Scotland.  That provider is difficult to access by public transport and in the winter the short route is often impassable.  To comply with its duty to have regard to the likely impact of commissioning decisions on healthcare delivered in areas Scotland close to the border with England, the </w:t>
                            </w:r>
                            <w:r>
                              <w:rPr>
                                <w:rFonts w:cs="Arial"/>
                                <w:color w:val="FFFFFF"/>
                                <w:spacing w:val="-1"/>
                                <w:sz w:val="20"/>
                                <w:szCs w:val="20"/>
                              </w:rPr>
                              <w:t xml:space="preserve">commissioner </w:t>
                            </w:r>
                            <w:r w:rsidRPr="00475347">
                              <w:rPr>
                                <w:rFonts w:cs="Arial"/>
                                <w:color w:val="FFFFFF"/>
                                <w:spacing w:val="-1"/>
                                <w:sz w:val="20"/>
                                <w:szCs w:val="20"/>
                              </w:rPr>
                              <w:t>discusses the impact that commissioning services on the English side of the border would have on the Scottish provider.  It takes this impact into account when it makes its decision about the commissioning of services.</w:t>
                            </w:r>
                          </w:p>
                        </w:txbxContent>
                      </wps:txbx>
                      <wps:bodyPr rot="0" vert="horz" wrap="square" lIns="0" tIns="0" rIns="0" bIns="0" anchor="t" anchorCtr="0" upright="1">
                        <a:noAutofit/>
                      </wps:bodyPr>
                    </wps:wsp>
                  </a:graphicData>
                </a:graphic>
              </wp:inline>
            </w:drawing>
          </mc:Choice>
          <mc:Fallback>
            <w:pict>
              <v:shape w14:anchorId="451764FD" id="_x0000_s1030" type="#_x0000_t202" style="width:382.7pt;height:16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" fillcolor="#1c6cb4" stroked="f">
                <v:textbox inset="0,0,0,0">
                  <w:txbxContent>
                    <w:p w14:paraId="687CBD8C" w14:textId="77777777" w:rsidR="00942266" w:rsidRPr="004E0302" w:rsidRDefault="00942266" w:rsidP="00DB7F92">
                      <w:pPr>
                        <w:spacing w:before="213"/>
                        <w:ind w:left="225"/>
                        <w:jc w:val="both"/>
                        <w:rPr>
                          <w:rFonts w:eastAsia="Tw Cen MT Condensed Extra Bold" w:cs="Arial"/>
                          <w:sz w:val="20"/>
                          <w:szCs w:val="20"/>
                        </w:rPr>
                      </w:pPr>
                      <w:r w:rsidRPr="004E0302">
                        <w:rPr>
                          <w:rFonts w:cs="Arial"/>
                          <w:b/>
                          <w:color w:val="FFFFFF"/>
                          <w:sz w:val="20"/>
                          <w:szCs w:val="20"/>
                        </w:rPr>
                        <w:t>Example:</w:t>
                      </w:r>
                    </w:p>
                    <w:p w14:paraId="148089C4" w14:textId="77777777" w:rsidR="00942266" w:rsidRPr="004E0302" w:rsidRDefault="00942266" w:rsidP="00DB7F92">
                      <w:pPr>
                        <w:spacing w:before="12"/>
                        <w:rPr>
                          <w:rFonts w:eastAsia="Segoe UI Semilight" w:cs="Arial"/>
                          <w:sz w:val="20"/>
                          <w:szCs w:val="20"/>
                        </w:rPr>
                      </w:pPr>
                    </w:p>
                    <w:p w14:paraId="2231D8E1" w14:textId="498DCCA5" w:rsidR="00942266" w:rsidRPr="00475347" w:rsidRDefault="00942266" w:rsidP="00DB7F92">
                      <w:pPr>
                        <w:ind w:left="225" w:right="225"/>
                        <w:jc w:val="both"/>
                        <w:rPr>
                          <w:rFonts w:cs="Arial"/>
                          <w:color w:val="FFFFFF"/>
                          <w:spacing w:val="-1"/>
                          <w:sz w:val="20"/>
                          <w:szCs w:val="20"/>
                        </w:rPr>
                      </w:pPr>
                      <w:r w:rsidRPr="00475347">
                        <w:rPr>
                          <w:rFonts w:cs="Arial"/>
                          <w:color w:val="FFFFFF"/>
                          <w:spacing w:val="-1"/>
                          <w:sz w:val="20"/>
                          <w:szCs w:val="20"/>
                        </w:rPr>
                        <w:t xml:space="preserve">The Commissioner is considering commissioning new primary care services for a town in England close to the border with Scotland.  It is concerned that many of the local residents have difficulty in accessing local primary care services, the nearest practice being based over the border in Scotland.  That provider is difficult to access by public transport and in the winter the short route is often impassable.  To comply with its duty to have regard to the likely impact of commissioning decisions on healthcare delivered in areas Scotland close to the border with England, the </w:t>
                      </w:r>
                      <w:r>
                        <w:rPr>
                          <w:rFonts w:cs="Arial"/>
                          <w:color w:val="FFFFFF"/>
                          <w:spacing w:val="-1"/>
                          <w:sz w:val="20"/>
                          <w:szCs w:val="20"/>
                        </w:rPr>
                        <w:t xml:space="preserve">commissioner </w:t>
                      </w:r>
                      <w:r w:rsidRPr="00475347">
                        <w:rPr>
                          <w:rFonts w:cs="Arial"/>
                          <w:color w:val="FFFFFF"/>
                          <w:spacing w:val="-1"/>
                          <w:sz w:val="20"/>
                          <w:szCs w:val="20"/>
                        </w:rPr>
                        <w:t>discusses the impact that commissioning services on the English side of the border would have on the Scottish provider.  It takes this impact into account when it makes its decision about the commissioning of services.</w:t>
                      </w:r>
                    </w:p>
                  </w:txbxContent>
                </v:textbox>
                <w10:anchorlock/>
              </v:shape>
            </w:pict>
          </mc:Fallback>
        </mc:AlternateContent>
      </w:r>
    </w:p>
    <w:p w14:paraId="355F4758" w14:textId="77777777" w:rsidR="00DB7F92" w:rsidRPr="00DB7F92" w:rsidRDefault="00DB7F92" w:rsidP="00DB7F92">
      <w:pPr>
        <w:spacing w:before="1"/>
        <w:jc w:val="both"/>
        <w:rPr>
          <w:rFonts w:eastAsia="Segoe UI Semilight" w:cs="Arial"/>
          <w:sz w:val="20"/>
          <w:szCs w:val="20"/>
        </w:rPr>
      </w:pPr>
    </w:p>
    <w:p w14:paraId="56F44060" w14:textId="0D11E6D7" w:rsidR="00D32C7A" w:rsidRDefault="00D32C7A" w:rsidP="003331F2">
      <w:pPr>
        <w:pStyle w:val="BodyText"/>
        <w:rPr>
          <w:rFonts w:eastAsiaTheme="majorEastAsia"/>
        </w:rPr>
      </w:pPr>
    </w:p>
    <w:p w14:paraId="2340BEDB" w14:textId="533AE306" w:rsidR="00DB7F92" w:rsidRPr="00DB7F92" w:rsidRDefault="00D32C7A" w:rsidP="00DB7F92">
      <w:pPr>
        <w:pStyle w:val="Heading2"/>
        <w:rPr>
          <w:rFonts w:eastAsiaTheme="majorEastAsia"/>
        </w:rPr>
      </w:pPr>
      <w:bookmarkStart w:id="103" w:name="_Toc95743369"/>
      <w:r w:rsidRPr="00DB7F92">
        <w:rPr>
          <w:rFonts w:eastAsiaTheme="majorEastAsia"/>
        </w:rPr>
        <w:t>The Promote</w:t>
      </w:r>
      <w:r w:rsidRPr="00DB7F92">
        <w:rPr>
          <w:rFonts w:eastAsiaTheme="majorEastAsia"/>
          <w:spacing w:val="1"/>
        </w:rPr>
        <w:t xml:space="preserve"> </w:t>
      </w:r>
      <w:r w:rsidRPr="00DB7F92">
        <w:rPr>
          <w:rFonts w:eastAsiaTheme="majorEastAsia"/>
        </w:rPr>
        <w:t>Duties</w:t>
      </w:r>
      <w:bookmarkEnd w:id="103"/>
    </w:p>
    <w:p w14:paraId="05E6A0C4" w14:textId="77777777" w:rsidR="00DB7F92" w:rsidRPr="00DB7F92" w:rsidRDefault="00DB7F92" w:rsidP="00DD5D2D">
      <w:pPr>
        <w:pStyle w:val="Heading3"/>
        <w:jc w:val="both"/>
        <w:rPr>
          <w:lang w:eastAsia="en-GB"/>
        </w:rPr>
      </w:pPr>
      <w:r w:rsidRPr="00DB7F92">
        <w:rPr>
          <w:lang w:eastAsia="en-GB"/>
        </w:rPr>
        <w:t>It</w:t>
      </w:r>
      <w:r w:rsidRPr="00DB7F92">
        <w:rPr>
          <w:spacing w:val="-4"/>
          <w:lang w:eastAsia="en-GB"/>
        </w:rPr>
        <w:t xml:space="preserve"> </w:t>
      </w:r>
      <w:r w:rsidRPr="00DB7F92">
        <w:rPr>
          <w:lang w:eastAsia="en-GB"/>
        </w:rPr>
        <w:t>is</w:t>
      </w:r>
      <w:r w:rsidRPr="00DB7F92">
        <w:rPr>
          <w:spacing w:val="-4"/>
          <w:lang w:eastAsia="en-GB"/>
        </w:rPr>
        <w:t xml:space="preserve"> </w:t>
      </w:r>
      <w:r w:rsidRPr="00DB7F92">
        <w:rPr>
          <w:lang w:eastAsia="en-GB"/>
        </w:rPr>
        <w:t>helpful</w:t>
      </w:r>
      <w:r w:rsidRPr="00DB7F92">
        <w:rPr>
          <w:spacing w:val="-3"/>
          <w:lang w:eastAsia="en-GB"/>
        </w:rPr>
        <w:t xml:space="preserve"> </w:t>
      </w:r>
      <w:r w:rsidRPr="00DB7F92">
        <w:rPr>
          <w:lang w:eastAsia="en-GB"/>
        </w:rPr>
        <w:t>to</w:t>
      </w:r>
      <w:r w:rsidRPr="00DB7F92">
        <w:rPr>
          <w:spacing w:val="-2"/>
          <w:lang w:eastAsia="en-GB"/>
        </w:rPr>
        <w:t xml:space="preserve"> </w:t>
      </w:r>
      <w:r w:rsidRPr="00DB7F92">
        <w:rPr>
          <w:lang w:eastAsia="en-GB"/>
        </w:rPr>
        <w:t>look</w:t>
      </w:r>
      <w:r w:rsidRPr="00DB7F92">
        <w:rPr>
          <w:spacing w:val="-2"/>
          <w:lang w:eastAsia="en-GB"/>
        </w:rPr>
        <w:t xml:space="preserve"> </w:t>
      </w:r>
      <w:r w:rsidRPr="00DB7F92">
        <w:rPr>
          <w:lang w:eastAsia="en-GB"/>
        </w:rPr>
        <w:t>next</w:t>
      </w:r>
      <w:r w:rsidRPr="00DB7F92">
        <w:rPr>
          <w:spacing w:val="-2"/>
          <w:lang w:eastAsia="en-GB"/>
        </w:rPr>
        <w:t xml:space="preserve"> </w:t>
      </w:r>
      <w:r w:rsidRPr="00DB7F92">
        <w:rPr>
          <w:lang w:eastAsia="en-GB"/>
        </w:rPr>
        <w:t>at</w:t>
      </w:r>
      <w:r w:rsidRPr="00DB7F92">
        <w:rPr>
          <w:spacing w:val="-3"/>
          <w:lang w:eastAsia="en-GB"/>
        </w:rPr>
        <w:t xml:space="preserve"> </w:t>
      </w:r>
      <w:r w:rsidRPr="00DB7F92">
        <w:rPr>
          <w:lang w:eastAsia="en-GB"/>
        </w:rPr>
        <w:t>the</w:t>
      </w:r>
      <w:r w:rsidRPr="00DB7F92">
        <w:rPr>
          <w:spacing w:val="-5"/>
          <w:lang w:eastAsia="en-GB"/>
        </w:rPr>
        <w:t xml:space="preserve"> </w:t>
      </w:r>
      <w:r w:rsidRPr="00DB7F92">
        <w:rPr>
          <w:lang w:eastAsia="en-GB"/>
        </w:rPr>
        <w:t>Promote</w:t>
      </w:r>
      <w:r w:rsidRPr="00DB7F92">
        <w:rPr>
          <w:spacing w:val="-3"/>
          <w:lang w:eastAsia="en-GB"/>
        </w:rPr>
        <w:t xml:space="preserve"> </w:t>
      </w:r>
      <w:r w:rsidRPr="00DB7F92">
        <w:rPr>
          <w:lang w:eastAsia="en-GB"/>
        </w:rPr>
        <w:t>Duties.</w:t>
      </w:r>
      <w:r w:rsidRPr="00DB7F92">
        <w:rPr>
          <w:spacing w:val="60"/>
          <w:lang w:eastAsia="en-GB"/>
        </w:rPr>
        <w:t xml:space="preserve"> </w:t>
      </w:r>
      <w:r w:rsidRPr="00DB7F92">
        <w:rPr>
          <w:lang w:eastAsia="en-GB"/>
        </w:rPr>
        <w:t>These</w:t>
      </w:r>
      <w:r w:rsidRPr="00DB7F92">
        <w:rPr>
          <w:spacing w:val="-4"/>
          <w:lang w:eastAsia="en-GB"/>
        </w:rPr>
        <w:t xml:space="preserve"> </w:t>
      </w:r>
      <w:r w:rsidRPr="00DB7F92">
        <w:rPr>
          <w:lang w:eastAsia="en-GB"/>
        </w:rPr>
        <w:t>are:</w:t>
      </w:r>
    </w:p>
    <w:p w14:paraId="7BB2446F" w14:textId="08F334B9" w:rsidR="00DB7F92" w:rsidRPr="00C84421" w:rsidRDefault="00DB7F92" w:rsidP="006C3DF5">
      <w:pPr>
        <w:pStyle w:val="ListParagraph"/>
        <w:widowControl w:val="0"/>
        <w:numPr>
          <w:ilvl w:val="0"/>
          <w:numId w:val="76"/>
        </w:numPr>
        <w:tabs>
          <w:tab w:val="left" w:pos="2528"/>
        </w:tabs>
        <w:spacing w:before="120" w:after="120" w:line="360" w:lineRule="auto"/>
        <w:ind w:left="714" w:right="116" w:hanging="357"/>
        <w:jc w:val="both"/>
        <w:rPr>
          <w:rFonts w:cs="Arial"/>
          <w:bCs w:val="0"/>
          <w:spacing w:val="-1"/>
          <w:szCs w:val="24"/>
          <w:lang w:eastAsia="en-GB"/>
        </w:rPr>
      </w:pPr>
      <w:r w:rsidRPr="00C84421">
        <w:rPr>
          <w:rFonts w:cs="Arial"/>
          <w:bCs w:val="0"/>
          <w:spacing w:val="-1"/>
          <w:szCs w:val="24"/>
          <w:lang w:eastAsia="en-GB"/>
        </w:rPr>
        <w:t xml:space="preserve">the duty to promote awareness of the NHS Constitution among patients, staff and members of the public (in respect of NHS England, see section 13C(1)(b) of the NHS Act 2006; and, in respect of </w:t>
      </w:r>
      <w:r w:rsidR="00B83042">
        <w:rPr>
          <w:rFonts w:cs="Arial"/>
          <w:bCs w:val="0"/>
          <w:spacing w:val="-1"/>
          <w:szCs w:val="24"/>
          <w:lang w:eastAsia="en-GB"/>
        </w:rPr>
        <w:t>CCG/ICBCCGs/ICBs</w:t>
      </w:r>
      <w:r w:rsidRPr="00C84421">
        <w:rPr>
          <w:rFonts w:cs="Arial"/>
          <w:bCs w:val="0"/>
          <w:spacing w:val="-1"/>
          <w:szCs w:val="24"/>
          <w:lang w:eastAsia="en-GB"/>
        </w:rPr>
        <w:t>, see section 14P(1)(b) of the NHS Act 2006)</w:t>
      </w:r>
    </w:p>
    <w:p w14:paraId="00F8503D" w14:textId="2ED74384" w:rsidR="00DB7F92" w:rsidRPr="00C84421" w:rsidRDefault="00DB7F92" w:rsidP="006C3DF5">
      <w:pPr>
        <w:pStyle w:val="ListParagraph"/>
        <w:widowControl w:val="0"/>
        <w:numPr>
          <w:ilvl w:val="0"/>
          <w:numId w:val="76"/>
        </w:numPr>
        <w:tabs>
          <w:tab w:val="left" w:pos="2528"/>
        </w:tabs>
        <w:spacing w:before="120" w:after="120" w:line="360" w:lineRule="auto"/>
        <w:ind w:left="714" w:right="116" w:hanging="357"/>
        <w:jc w:val="both"/>
        <w:rPr>
          <w:rFonts w:cs="Arial"/>
          <w:bCs w:val="0"/>
          <w:spacing w:val="-1"/>
          <w:szCs w:val="24"/>
          <w:lang w:eastAsia="en-GB"/>
        </w:rPr>
      </w:pPr>
      <w:r w:rsidRPr="00C84421">
        <w:rPr>
          <w:rFonts w:cs="Arial"/>
          <w:bCs w:val="0"/>
          <w:spacing w:val="-1"/>
          <w:szCs w:val="24"/>
          <w:lang w:eastAsia="en-GB"/>
        </w:rPr>
        <w:t xml:space="preserve">the duty to promote the involvement of patients and carers in decisions about their own care (in respect of NHS England, see section 13H of the NHS Act 2006; and, in respect of </w:t>
      </w:r>
      <w:r w:rsidR="00B83042">
        <w:rPr>
          <w:rFonts w:cs="Arial"/>
          <w:bCs w:val="0"/>
          <w:spacing w:val="-1"/>
          <w:szCs w:val="24"/>
          <w:lang w:eastAsia="en-GB"/>
        </w:rPr>
        <w:t>CCG/ICBCCGs/ICBs</w:t>
      </w:r>
      <w:r w:rsidRPr="00C84421">
        <w:rPr>
          <w:rFonts w:cs="Arial"/>
          <w:bCs w:val="0"/>
          <w:spacing w:val="-1"/>
          <w:szCs w:val="24"/>
          <w:lang w:eastAsia="en-GB"/>
        </w:rPr>
        <w:t>, see section 14U of the NHS Act 2006)</w:t>
      </w:r>
    </w:p>
    <w:p w14:paraId="512AD5A7" w14:textId="34F083E1" w:rsidR="00DB7F92" w:rsidRPr="00C84421" w:rsidRDefault="00DB7F92" w:rsidP="006C3DF5">
      <w:pPr>
        <w:pStyle w:val="ListParagraph"/>
        <w:widowControl w:val="0"/>
        <w:numPr>
          <w:ilvl w:val="0"/>
          <w:numId w:val="76"/>
        </w:numPr>
        <w:tabs>
          <w:tab w:val="left" w:pos="2528"/>
        </w:tabs>
        <w:spacing w:before="120" w:after="120" w:line="360" w:lineRule="auto"/>
        <w:ind w:left="714" w:right="116" w:hanging="357"/>
        <w:jc w:val="both"/>
        <w:rPr>
          <w:rFonts w:cs="Arial"/>
          <w:bCs w:val="0"/>
          <w:spacing w:val="-1"/>
          <w:szCs w:val="24"/>
          <w:lang w:eastAsia="en-GB"/>
        </w:rPr>
      </w:pPr>
      <w:r w:rsidRPr="00C84421">
        <w:rPr>
          <w:rFonts w:cs="Arial"/>
          <w:bCs w:val="0"/>
          <w:spacing w:val="-1"/>
          <w:szCs w:val="24"/>
          <w:lang w:eastAsia="en-GB"/>
        </w:rPr>
        <w:t xml:space="preserve">the duty to promote innovation in the health service (in respect of NHS England, see section 13K of the NHS Act 2006; and, in respect of </w:t>
      </w:r>
      <w:r w:rsidR="00B83042">
        <w:rPr>
          <w:rFonts w:cs="Arial"/>
          <w:bCs w:val="0"/>
          <w:spacing w:val="-1"/>
          <w:szCs w:val="24"/>
          <w:lang w:eastAsia="en-GB"/>
        </w:rPr>
        <w:t>CCG/ICBCCGs/ICBs</w:t>
      </w:r>
      <w:r w:rsidRPr="00C84421">
        <w:rPr>
          <w:rFonts w:cs="Arial"/>
          <w:bCs w:val="0"/>
          <w:spacing w:val="-1"/>
          <w:szCs w:val="24"/>
          <w:lang w:eastAsia="en-GB"/>
        </w:rPr>
        <w:t>, see section 14X of the NHS Act 2006)</w:t>
      </w:r>
    </w:p>
    <w:p w14:paraId="735348EC" w14:textId="7407E4E2" w:rsidR="00DB7F92" w:rsidRPr="00C84421" w:rsidRDefault="00DB7F92" w:rsidP="006C3DF5">
      <w:pPr>
        <w:pStyle w:val="ListParagraph"/>
        <w:widowControl w:val="0"/>
        <w:numPr>
          <w:ilvl w:val="0"/>
          <w:numId w:val="76"/>
        </w:numPr>
        <w:tabs>
          <w:tab w:val="left" w:pos="2528"/>
        </w:tabs>
        <w:spacing w:before="120" w:after="120" w:line="360" w:lineRule="auto"/>
        <w:ind w:left="714" w:right="116" w:hanging="357"/>
        <w:jc w:val="both"/>
        <w:rPr>
          <w:rFonts w:cs="Arial"/>
          <w:bCs w:val="0"/>
          <w:spacing w:val="-1"/>
          <w:szCs w:val="24"/>
          <w:lang w:eastAsia="en-GB"/>
        </w:rPr>
      </w:pPr>
      <w:r w:rsidRPr="00C84421">
        <w:rPr>
          <w:rFonts w:cs="Arial"/>
          <w:bCs w:val="0"/>
          <w:spacing w:val="-1"/>
          <w:szCs w:val="24"/>
          <w:lang w:eastAsia="en-GB"/>
        </w:rPr>
        <w:t xml:space="preserve">the duty to promote research and the use of research on matters relevant to the health service (in respect of NHS England, see section 13L of the NHS Act 2006; and, in respect of </w:t>
      </w:r>
      <w:r w:rsidR="00B83042">
        <w:rPr>
          <w:rFonts w:cs="Arial"/>
          <w:bCs w:val="0"/>
          <w:spacing w:val="-1"/>
          <w:szCs w:val="24"/>
          <w:lang w:eastAsia="en-GB"/>
        </w:rPr>
        <w:t>CCG/ICBCCGs/ICBs</w:t>
      </w:r>
      <w:r w:rsidRPr="00C84421">
        <w:rPr>
          <w:rFonts w:cs="Arial"/>
          <w:bCs w:val="0"/>
          <w:spacing w:val="-1"/>
          <w:szCs w:val="24"/>
          <w:lang w:eastAsia="en-GB"/>
        </w:rPr>
        <w:t>, see section 14Y of the NHS Act 2006)</w:t>
      </w:r>
    </w:p>
    <w:p w14:paraId="6A80B57B" w14:textId="7A42C486" w:rsidR="00DB7F92" w:rsidRPr="00DB7F92" w:rsidRDefault="00DB7F92" w:rsidP="006C3DF5">
      <w:pPr>
        <w:pStyle w:val="Heading3"/>
        <w:numPr>
          <w:ilvl w:val="0"/>
          <w:numId w:val="76"/>
        </w:numPr>
        <w:jc w:val="both"/>
        <w:rPr>
          <w:lang w:eastAsia="en-GB"/>
        </w:rPr>
      </w:pPr>
      <w:r w:rsidRPr="00DB7F92">
        <w:rPr>
          <w:lang w:eastAsia="en-GB"/>
        </w:rPr>
        <w:t>A decision</w:t>
      </w:r>
      <w:r w:rsidRPr="00C84421">
        <w:rPr>
          <w:spacing w:val="15"/>
          <w:lang w:eastAsia="en-GB"/>
        </w:rPr>
        <w:t xml:space="preserve"> </w:t>
      </w:r>
      <w:r w:rsidRPr="00DB7F92">
        <w:rPr>
          <w:lang w:eastAsia="en-GB"/>
        </w:rPr>
        <w:t>which</w:t>
      </w:r>
      <w:r w:rsidRPr="00C84421">
        <w:rPr>
          <w:spacing w:val="16"/>
          <w:lang w:eastAsia="en-GB"/>
        </w:rPr>
        <w:t xml:space="preserve"> </w:t>
      </w:r>
      <w:r w:rsidRPr="00DB7F92">
        <w:rPr>
          <w:lang w:eastAsia="en-GB"/>
        </w:rPr>
        <w:t>is</w:t>
      </w:r>
      <w:r w:rsidRPr="00C84421">
        <w:rPr>
          <w:spacing w:val="16"/>
          <w:lang w:eastAsia="en-GB"/>
        </w:rPr>
        <w:t xml:space="preserve"> </w:t>
      </w:r>
      <w:r w:rsidRPr="00DB7F92">
        <w:rPr>
          <w:lang w:eastAsia="en-GB"/>
        </w:rPr>
        <w:t>positively</w:t>
      </w:r>
      <w:r w:rsidRPr="00C84421">
        <w:rPr>
          <w:spacing w:val="17"/>
          <w:lang w:eastAsia="en-GB"/>
        </w:rPr>
        <w:t xml:space="preserve"> </w:t>
      </w:r>
      <w:r w:rsidRPr="00DB7F92">
        <w:rPr>
          <w:lang w:eastAsia="en-GB"/>
        </w:rPr>
        <w:t>contrary</w:t>
      </w:r>
      <w:r w:rsidRPr="00C84421">
        <w:rPr>
          <w:spacing w:val="17"/>
          <w:lang w:eastAsia="en-GB"/>
        </w:rPr>
        <w:t xml:space="preserve"> </w:t>
      </w:r>
      <w:r w:rsidRPr="00DB7F92">
        <w:rPr>
          <w:lang w:eastAsia="en-GB"/>
        </w:rPr>
        <w:t>to</w:t>
      </w:r>
      <w:r w:rsidRPr="00C84421">
        <w:rPr>
          <w:spacing w:val="14"/>
          <w:lang w:eastAsia="en-GB"/>
        </w:rPr>
        <w:t xml:space="preserve"> </w:t>
      </w:r>
      <w:r w:rsidRPr="00DB7F92">
        <w:rPr>
          <w:lang w:eastAsia="en-GB"/>
        </w:rPr>
        <w:t>achieving</w:t>
      </w:r>
      <w:r w:rsidRPr="00C84421">
        <w:rPr>
          <w:spacing w:val="15"/>
          <w:lang w:eastAsia="en-GB"/>
        </w:rPr>
        <w:t xml:space="preserve"> </w:t>
      </w:r>
      <w:r w:rsidRPr="00DB7F92">
        <w:rPr>
          <w:lang w:eastAsia="en-GB"/>
        </w:rPr>
        <w:t>the</w:t>
      </w:r>
      <w:r w:rsidRPr="00C84421">
        <w:rPr>
          <w:spacing w:val="14"/>
          <w:lang w:eastAsia="en-GB"/>
        </w:rPr>
        <w:t xml:space="preserve"> </w:t>
      </w:r>
      <w:r w:rsidRPr="00DB7F92">
        <w:rPr>
          <w:lang w:eastAsia="en-GB"/>
        </w:rPr>
        <w:t>relevant</w:t>
      </w:r>
      <w:r w:rsidRPr="00C84421">
        <w:rPr>
          <w:spacing w:val="55"/>
          <w:w w:val="99"/>
          <w:lang w:eastAsia="en-GB"/>
        </w:rPr>
        <w:t xml:space="preserve"> </w:t>
      </w:r>
      <w:r w:rsidRPr="00DB7F92">
        <w:rPr>
          <w:lang w:eastAsia="en-GB"/>
        </w:rPr>
        <w:t>outcome</w:t>
      </w:r>
      <w:r w:rsidRPr="00C84421">
        <w:rPr>
          <w:spacing w:val="-2"/>
          <w:lang w:eastAsia="en-GB"/>
        </w:rPr>
        <w:t xml:space="preserve"> </w:t>
      </w:r>
      <w:r w:rsidRPr="00DB7F92">
        <w:rPr>
          <w:lang w:eastAsia="en-GB"/>
        </w:rPr>
        <w:t>might</w:t>
      </w:r>
      <w:r w:rsidRPr="00C84421">
        <w:rPr>
          <w:spacing w:val="1"/>
          <w:lang w:eastAsia="en-GB"/>
        </w:rPr>
        <w:t xml:space="preserve"> </w:t>
      </w:r>
      <w:r w:rsidRPr="00DB7F92">
        <w:rPr>
          <w:lang w:eastAsia="en-GB"/>
        </w:rPr>
        <w:t>breach a</w:t>
      </w:r>
      <w:r w:rsidRPr="00C84421">
        <w:rPr>
          <w:spacing w:val="-2"/>
          <w:lang w:eastAsia="en-GB"/>
        </w:rPr>
        <w:t xml:space="preserve"> </w:t>
      </w:r>
      <w:r w:rsidRPr="00DB7F92">
        <w:rPr>
          <w:lang w:eastAsia="en-GB"/>
        </w:rPr>
        <w:t>promote duty</w:t>
      </w:r>
      <w:r w:rsidRPr="00C84421">
        <w:rPr>
          <w:spacing w:val="-3"/>
          <w:lang w:eastAsia="en-GB"/>
        </w:rPr>
        <w:t xml:space="preserve"> </w:t>
      </w:r>
      <w:r w:rsidRPr="00DB7F92">
        <w:rPr>
          <w:lang w:eastAsia="en-GB"/>
        </w:rPr>
        <w:t>unless there</w:t>
      </w:r>
      <w:r w:rsidRPr="00C84421">
        <w:rPr>
          <w:spacing w:val="-3"/>
          <w:lang w:eastAsia="en-GB"/>
        </w:rPr>
        <w:t xml:space="preserve"> </w:t>
      </w:r>
      <w:r w:rsidRPr="00DB7F92">
        <w:rPr>
          <w:lang w:eastAsia="en-GB"/>
        </w:rPr>
        <w:t>was some</w:t>
      </w:r>
      <w:r w:rsidRPr="00C84421">
        <w:rPr>
          <w:spacing w:val="-3"/>
          <w:lang w:eastAsia="en-GB"/>
        </w:rPr>
        <w:t xml:space="preserve"> </w:t>
      </w:r>
      <w:r w:rsidRPr="00DB7F92">
        <w:rPr>
          <w:lang w:eastAsia="en-GB"/>
        </w:rPr>
        <w:t>compelling</w:t>
      </w:r>
      <w:r w:rsidRPr="00C84421">
        <w:rPr>
          <w:spacing w:val="57"/>
          <w:lang w:eastAsia="en-GB"/>
        </w:rPr>
        <w:t xml:space="preserve"> </w:t>
      </w:r>
      <w:r w:rsidRPr="00DB7F92">
        <w:rPr>
          <w:lang w:eastAsia="en-GB"/>
        </w:rPr>
        <w:t>reason to adopt</w:t>
      </w:r>
      <w:r w:rsidRPr="00C84421">
        <w:rPr>
          <w:spacing w:val="1"/>
          <w:lang w:eastAsia="en-GB"/>
        </w:rPr>
        <w:t xml:space="preserve"> </w:t>
      </w:r>
      <w:r w:rsidRPr="00DB7F92">
        <w:rPr>
          <w:lang w:eastAsia="en-GB"/>
        </w:rPr>
        <w:t>it.</w:t>
      </w:r>
      <w:r w:rsidRPr="00C84421">
        <w:rPr>
          <w:spacing w:val="2"/>
          <w:lang w:eastAsia="en-GB"/>
        </w:rPr>
        <w:t xml:space="preserve"> </w:t>
      </w:r>
      <w:r w:rsidRPr="00DB7F92">
        <w:rPr>
          <w:lang w:eastAsia="en-GB"/>
        </w:rPr>
        <w:t>In this</w:t>
      </w:r>
      <w:r w:rsidRPr="00C84421">
        <w:rPr>
          <w:spacing w:val="1"/>
          <w:lang w:eastAsia="en-GB"/>
        </w:rPr>
        <w:t xml:space="preserve"> </w:t>
      </w:r>
      <w:r w:rsidRPr="00DB7F92">
        <w:rPr>
          <w:lang w:eastAsia="en-GB"/>
        </w:rPr>
        <w:t xml:space="preserve">situation, if the decision is being made by NHS England or by a </w:t>
      </w:r>
      <w:r w:rsidR="008B199F">
        <w:rPr>
          <w:lang w:eastAsia="en-GB"/>
        </w:rPr>
        <w:t>CCG</w:t>
      </w:r>
      <w:r w:rsidR="00F718DB">
        <w:rPr>
          <w:lang w:eastAsia="en-GB"/>
        </w:rPr>
        <w:t>s</w:t>
      </w:r>
      <w:r w:rsidRPr="00DB7F92">
        <w:rPr>
          <w:lang w:eastAsia="en-GB"/>
        </w:rPr>
        <w:t xml:space="preserve"> on NHS England's behalf as part of co-commissioning, the NHS England legal team should be contacted for further guidance. </w:t>
      </w:r>
    </w:p>
    <w:p w14:paraId="4D44242A" w14:textId="26C1F88E" w:rsidR="00DB7F92" w:rsidRPr="00DB7F92" w:rsidRDefault="00DB7F92" w:rsidP="006C3DF5">
      <w:pPr>
        <w:pStyle w:val="Heading3"/>
        <w:numPr>
          <w:ilvl w:val="0"/>
          <w:numId w:val="76"/>
        </w:numPr>
        <w:jc w:val="both"/>
        <w:rPr>
          <w:lang w:eastAsia="en-GB"/>
        </w:rPr>
      </w:pPr>
      <w:r w:rsidRPr="00DB7F92">
        <w:rPr>
          <w:lang w:eastAsia="en-GB"/>
        </w:rPr>
        <w:t>Additionally,</w:t>
      </w:r>
      <w:r w:rsidRPr="00C84421">
        <w:rPr>
          <w:spacing w:val="65"/>
          <w:lang w:eastAsia="en-GB"/>
        </w:rPr>
        <w:t xml:space="preserve"> </w:t>
      </w:r>
      <w:r w:rsidRPr="00DB7F92">
        <w:rPr>
          <w:lang w:eastAsia="en-GB"/>
        </w:rPr>
        <w:t>some</w:t>
      </w:r>
      <w:r w:rsidRPr="00C84421">
        <w:rPr>
          <w:spacing w:val="64"/>
          <w:lang w:eastAsia="en-GB"/>
        </w:rPr>
        <w:t xml:space="preserve"> </w:t>
      </w:r>
      <w:r w:rsidRPr="00DB7F92">
        <w:rPr>
          <w:lang w:eastAsia="en-GB"/>
        </w:rPr>
        <w:t>decisions</w:t>
      </w:r>
      <w:r w:rsidRPr="00C84421">
        <w:rPr>
          <w:spacing w:val="1"/>
          <w:lang w:eastAsia="en-GB"/>
        </w:rPr>
        <w:t xml:space="preserve"> </w:t>
      </w:r>
      <w:r w:rsidRPr="00DB7F92">
        <w:rPr>
          <w:lang w:eastAsia="en-GB"/>
        </w:rPr>
        <w:t>will</w:t>
      </w:r>
      <w:r w:rsidRPr="00C84421">
        <w:rPr>
          <w:spacing w:val="64"/>
          <w:lang w:eastAsia="en-GB"/>
        </w:rPr>
        <w:t xml:space="preserve"> </w:t>
      </w:r>
      <w:r w:rsidRPr="00DB7F92">
        <w:rPr>
          <w:lang w:eastAsia="en-GB"/>
        </w:rPr>
        <w:t>be</w:t>
      </w:r>
      <w:r w:rsidRPr="00C84421">
        <w:rPr>
          <w:spacing w:val="64"/>
          <w:lang w:eastAsia="en-GB"/>
        </w:rPr>
        <w:t xml:space="preserve"> </w:t>
      </w:r>
      <w:r w:rsidRPr="00DB7F92">
        <w:rPr>
          <w:lang w:eastAsia="en-GB"/>
        </w:rPr>
        <w:t>obvious</w:t>
      </w:r>
      <w:r w:rsidRPr="00C84421">
        <w:rPr>
          <w:spacing w:val="1"/>
          <w:lang w:eastAsia="en-GB"/>
        </w:rPr>
        <w:t xml:space="preserve"> </w:t>
      </w:r>
      <w:r w:rsidRPr="00DB7F92">
        <w:rPr>
          <w:lang w:eastAsia="en-GB"/>
        </w:rPr>
        <w:t>opportunities</w:t>
      </w:r>
      <w:r w:rsidRPr="00C84421">
        <w:rPr>
          <w:spacing w:val="1"/>
          <w:lang w:eastAsia="en-GB"/>
        </w:rPr>
        <w:t xml:space="preserve"> </w:t>
      </w:r>
      <w:r w:rsidRPr="00DB7F92">
        <w:rPr>
          <w:lang w:eastAsia="en-GB"/>
        </w:rPr>
        <w:t>where e.g.</w:t>
      </w:r>
      <w:r w:rsidRPr="00C84421">
        <w:rPr>
          <w:spacing w:val="50"/>
          <w:lang w:eastAsia="en-GB"/>
        </w:rPr>
        <w:t xml:space="preserve"> </w:t>
      </w:r>
      <w:r w:rsidRPr="00DB7F92">
        <w:rPr>
          <w:lang w:eastAsia="en-GB"/>
        </w:rPr>
        <w:t>patient</w:t>
      </w:r>
      <w:r w:rsidRPr="00C84421">
        <w:rPr>
          <w:spacing w:val="26"/>
          <w:lang w:eastAsia="en-GB"/>
        </w:rPr>
        <w:t xml:space="preserve"> </w:t>
      </w:r>
      <w:r w:rsidRPr="00DB7F92">
        <w:rPr>
          <w:lang w:eastAsia="en-GB"/>
        </w:rPr>
        <w:t>involvement</w:t>
      </w:r>
      <w:r w:rsidRPr="00C84421">
        <w:rPr>
          <w:spacing w:val="26"/>
          <w:lang w:eastAsia="en-GB"/>
        </w:rPr>
        <w:t xml:space="preserve"> </w:t>
      </w:r>
      <w:r w:rsidRPr="00DB7F92">
        <w:rPr>
          <w:lang w:eastAsia="en-GB"/>
        </w:rPr>
        <w:t>could</w:t>
      </w:r>
      <w:r w:rsidRPr="00C84421">
        <w:rPr>
          <w:spacing w:val="25"/>
          <w:lang w:eastAsia="en-GB"/>
        </w:rPr>
        <w:t xml:space="preserve"> </w:t>
      </w:r>
      <w:r w:rsidRPr="00DB7F92">
        <w:rPr>
          <w:lang w:eastAsia="en-GB"/>
        </w:rPr>
        <w:t>easily</w:t>
      </w:r>
      <w:r w:rsidRPr="00C84421">
        <w:rPr>
          <w:spacing w:val="27"/>
          <w:lang w:eastAsia="en-GB"/>
        </w:rPr>
        <w:t xml:space="preserve"> </w:t>
      </w:r>
      <w:r w:rsidRPr="00DB7F92">
        <w:rPr>
          <w:lang w:eastAsia="en-GB"/>
        </w:rPr>
        <w:t>be</w:t>
      </w:r>
      <w:r w:rsidRPr="00C84421">
        <w:rPr>
          <w:spacing w:val="25"/>
          <w:lang w:eastAsia="en-GB"/>
        </w:rPr>
        <w:t xml:space="preserve"> </w:t>
      </w:r>
      <w:r w:rsidRPr="00DB7F92">
        <w:rPr>
          <w:lang w:eastAsia="en-GB"/>
        </w:rPr>
        <w:t>promoted.</w:t>
      </w:r>
      <w:r w:rsidRPr="00C84421">
        <w:rPr>
          <w:spacing w:val="52"/>
          <w:lang w:eastAsia="en-GB"/>
        </w:rPr>
        <w:t xml:space="preserve"> </w:t>
      </w:r>
      <w:r w:rsidRPr="00DB7F92">
        <w:rPr>
          <w:lang w:eastAsia="en-GB"/>
        </w:rPr>
        <w:t>In</w:t>
      </w:r>
      <w:r w:rsidRPr="00C84421">
        <w:rPr>
          <w:spacing w:val="26"/>
          <w:lang w:eastAsia="en-GB"/>
        </w:rPr>
        <w:t xml:space="preserve"> </w:t>
      </w:r>
      <w:r w:rsidRPr="00DB7F92">
        <w:rPr>
          <w:lang w:eastAsia="en-GB"/>
        </w:rPr>
        <w:t>such</w:t>
      </w:r>
      <w:r w:rsidRPr="00C84421">
        <w:rPr>
          <w:spacing w:val="27"/>
          <w:lang w:eastAsia="en-GB"/>
        </w:rPr>
        <w:t xml:space="preserve"> </w:t>
      </w:r>
      <w:r w:rsidRPr="00DB7F92">
        <w:rPr>
          <w:lang w:eastAsia="en-GB"/>
        </w:rPr>
        <w:t>cases</w:t>
      </w:r>
      <w:r w:rsidRPr="00C84421">
        <w:rPr>
          <w:spacing w:val="27"/>
          <w:lang w:eastAsia="en-GB"/>
        </w:rPr>
        <w:t xml:space="preserve"> </w:t>
      </w:r>
      <w:r w:rsidRPr="00DB7F92">
        <w:rPr>
          <w:lang w:eastAsia="en-GB"/>
        </w:rPr>
        <w:t>the</w:t>
      </w:r>
      <w:r w:rsidRPr="00C84421">
        <w:rPr>
          <w:spacing w:val="22"/>
          <w:lang w:eastAsia="en-GB"/>
        </w:rPr>
        <w:t xml:space="preserve"> </w:t>
      </w:r>
      <w:r w:rsidRPr="00DB7F92">
        <w:rPr>
          <w:lang w:eastAsia="en-GB"/>
        </w:rPr>
        <w:t>safest</w:t>
      </w:r>
      <w:r w:rsidRPr="00C84421">
        <w:rPr>
          <w:spacing w:val="61"/>
          <w:w w:val="99"/>
          <w:lang w:eastAsia="en-GB"/>
        </w:rPr>
        <w:t xml:space="preserve"> </w:t>
      </w:r>
      <w:r w:rsidRPr="00DB7F92">
        <w:rPr>
          <w:lang w:eastAsia="en-GB"/>
        </w:rPr>
        <w:t>course</w:t>
      </w:r>
      <w:r w:rsidRPr="00C84421">
        <w:rPr>
          <w:spacing w:val="-5"/>
          <w:lang w:eastAsia="en-GB"/>
        </w:rPr>
        <w:t xml:space="preserve"> </w:t>
      </w:r>
      <w:r w:rsidRPr="00DB7F92">
        <w:rPr>
          <w:lang w:eastAsia="en-GB"/>
        </w:rPr>
        <w:t>of</w:t>
      </w:r>
      <w:r w:rsidRPr="00C84421">
        <w:rPr>
          <w:spacing w:val="-6"/>
          <w:lang w:eastAsia="en-GB"/>
        </w:rPr>
        <w:t xml:space="preserve"> </w:t>
      </w:r>
      <w:r w:rsidRPr="00DB7F92">
        <w:rPr>
          <w:lang w:eastAsia="en-GB"/>
        </w:rPr>
        <w:t>action</w:t>
      </w:r>
      <w:r w:rsidRPr="00C84421">
        <w:rPr>
          <w:spacing w:val="-2"/>
          <w:lang w:eastAsia="en-GB"/>
        </w:rPr>
        <w:t xml:space="preserve"> </w:t>
      </w:r>
      <w:r w:rsidRPr="00DB7F92">
        <w:rPr>
          <w:lang w:eastAsia="en-GB"/>
        </w:rPr>
        <w:t>is</w:t>
      </w:r>
      <w:r w:rsidRPr="00C84421">
        <w:rPr>
          <w:spacing w:val="-3"/>
          <w:lang w:eastAsia="en-GB"/>
        </w:rPr>
        <w:t xml:space="preserve"> </w:t>
      </w:r>
      <w:r w:rsidRPr="00DB7F92">
        <w:rPr>
          <w:lang w:eastAsia="en-GB"/>
        </w:rPr>
        <w:t>to</w:t>
      </w:r>
      <w:r w:rsidRPr="00C84421">
        <w:rPr>
          <w:spacing w:val="-3"/>
          <w:lang w:eastAsia="en-GB"/>
        </w:rPr>
        <w:t xml:space="preserve"> </w:t>
      </w:r>
      <w:r w:rsidRPr="00DB7F92">
        <w:rPr>
          <w:lang w:eastAsia="en-GB"/>
        </w:rPr>
        <w:t>ensure</w:t>
      </w:r>
      <w:r w:rsidRPr="00C84421">
        <w:rPr>
          <w:spacing w:val="-5"/>
          <w:lang w:eastAsia="en-GB"/>
        </w:rPr>
        <w:t xml:space="preserve"> </w:t>
      </w:r>
      <w:r w:rsidRPr="00DB7F92">
        <w:rPr>
          <w:lang w:eastAsia="en-GB"/>
        </w:rPr>
        <w:t>that</w:t>
      </w:r>
      <w:r w:rsidRPr="00C84421">
        <w:rPr>
          <w:spacing w:val="-3"/>
          <w:lang w:eastAsia="en-GB"/>
        </w:rPr>
        <w:t xml:space="preserve"> </w:t>
      </w:r>
      <w:r w:rsidRPr="00DB7F92">
        <w:rPr>
          <w:lang w:eastAsia="en-GB"/>
        </w:rPr>
        <w:t>this</w:t>
      </w:r>
      <w:r w:rsidRPr="00C84421">
        <w:rPr>
          <w:spacing w:val="-4"/>
          <w:lang w:eastAsia="en-GB"/>
        </w:rPr>
        <w:t xml:space="preserve"> </w:t>
      </w:r>
      <w:r w:rsidRPr="00DB7F92">
        <w:rPr>
          <w:lang w:eastAsia="en-GB"/>
        </w:rPr>
        <w:t>is done.</w:t>
      </w:r>
    </w:p>
    <w:p w14:paraId="4A2C49F5" w14:textId="77777777" w:rsidR="00DB7F92" w:rsidRPr="00DB7F92" w:rsidRDefault="00DB7F92" w:rsidP="00DD5D2D">
      <w:pPr>
        <w:pStyle w:val="Heading3"/>
        <w:jc w:val="both"/>
        <w:rPr>
          <w:lang w:eastAsia="en-GB"/>
        </w:rPr>
      </w:pPr>
      <w:r w:rsidRPr="00DB7F92">
        <w:rPr>
          <w:lang w:eastAsia="en-GB"/>
        </w:rPr>
        <w:t>To</w:t>
      </w:r>
      <w:r w:rsidRPr="00DB7F92">
        <w:rPr>
          <w:spacing w:val="2"/>
          <w:lang w:eastAsia="en-GB"/>
        </w:rPr>
        <w:t xml:space="preserve"> </w:t>
      </w:r>
      <w:r w:rsidRPr="00DB7F92">
        <w:rPr>
          <w:lang w:eastAsia="en-GB"/>
        </w:rPr>
        <w:t>meet</w:t>
      </w:r>
      <w:r w:rsidRPr="00DB7F92">
        <w:rPr>
          <w:spacing w:val="4"/>
          <w:lang w:eastAsia="en-GB"/>
        </w:rPr>
        <w:t xml:space="preserve"> </w:t>
      </w:r>
      <w:r w:rsidRPr="00DB7F92">
        <w:rPr>
          <w:lang w:eastAsia="en-GB"/>
        </w:rPr>
        <w:t>the</w:t>
      </w:r>
      <w:r w:rsidRPr="00DB7F92">
        <w:rPr>
          <w:spacing w:val="3"/>
          <w:lang w:eastAsia="en-GB"/>
        </w:rPr>
        <w:t xml:space="preserve"> </w:t>
      </w:r>
      <w:r w:rsidRPr="00DB7F92">
        <w:rPr>
          <w:lang w:eastAsia="en-GB"/>
        </w:rPr>
        <w:t>duty</w:t>
      </w:r>
      <w:r w:rsidRPr="00DB7F92">
        <w:rPr>
          <w:spacing w:val="4"/>
          <w:lang w:eastAsia="en-GB"/>
        </w:rPr>
        <w:t xml:space="preserve"> </w:t>
      </w:r>
      <w:r w:rsidRPr="00DB7F92">
        <w:rPr>
          <w:lang w:eastAsia="en-GB"/>
        </w:rPr>
        <w:t>a commissioner</w:t>
      </w:r>
      <w:r w:rsidRPr="00DB7F92">
        <w:rPr>
          <w:spacing w:val="3"/>
          <w:lang w:eastAsia="en-GB"/>
        </w:rPr>
        <w:t xml:space="preserve"> </w:t>
      </w:r>
      <w:r w:rsidRPr="00DB7F92">
        <w:rPr>
          <w:lang w:eastAsia="en-GB"/>
        </w:rPr>
        <w:t>does</w:t>
      </w:r>
      <w:r w:rsidRPr="00DB7F92">
        <w:rPr>
          <w:spacing w:val="5"/>
          <w:lang w:eastAsia="en-GB"/>
        </w:rPr>
        <w:t xml:space="preserve"> </w:t>
      </w:r>
      <w:r w:rsidRPr="00DB7F92">
        <w:rPr>
          <w:lang w:eastAsia="en-GB"/>
        </w:rPr>
        <w:t>not</w:t>
      </w:r>
      <w:r w:rsidRPr="00DB7F92">
        <w:rPr>
          <w:spacing w:val="4"/>
          <w:lang w:eastAsia="en-GB"/>
        </w:rPr>
        <w:t xml:space="preserve"> </w:t>
      </w:r>
      <w:r w:rsidRPr="00DB7F92">
        <w:rPr>
          <w:lang w:eastAsia="en-GB"/>
        </w:rPr>
        <w:t>have</w:t>
      </w:r>
      <w:r w:rsidRPr="00DB7F92">
        <w:rPr>
          <w:spacing w:val="2"/>
          <w:lang w:eastAsia="en-GB"/>
        </w:rPr>
        <w:t xml:space="preserve"> </w:t>
      </w:r>
      <w:r w:rsidRPr="00DB7F92">
        <w:rPr>
          <w:lang w:eastAsia="en-GB"/>
        </w:rPr>
        <w:t>to</w:t>
      </w:r>
      <w:r w:rsidRPr="00DB7F92">
        <w:rPr>
          <w:spacing w:val="3"/>
          <w:lang w:eastAsia="en-GB"/>
        </w:rPr>
        <w:t xml:space="preserve"> </w:t>
      </w:r>
      <w:r w:rsidRPr="00DB7F92">
        <w:rPr>
          <w:lang w:eastAsia="en-GB"/>
        </w:rPr>
        <w:t>do</w:t>
      </w:r>
      <w:r w:rsidRPr="00DB7F92">
        <w:rPr>
          <w:spacing w:val="3"/>
          <w:lang w:eastAsia="en-GB"/>
        </w:rPr>
        <w:t xml:space="preserve"> </w:t>
      </w:r>
      <w:r w:rsidRPr="00DB7F92">
        <w:rPr>
          <w:lang w:eastAsia="en-GB"/>
        </w:rPr>
        <w:t>everything</w:t>
      </w:r>
      <w:r w:rsidRPr="00DB7F92">
        <w:rPr>
          <w:spacing w:val="3"/>
          <w:lang w:eastAsia="en-GB"/>
        </w:rPr>
        <w:t xml:space="preserve"> </w:t>
      </w:r>
      <w:r w:rsidRPr="00DB7F92">
        <w:rPr>
          <w:lang w:eastAsia="en-GB"/>
        </w:rPr>
        <w:t>itself</w:t>
      </w:r>
      <w:r w:rsidRPr="00DB7F92">
        <w:rPr>
          <w:spacing w:val="2"/>
          <w:lang w:eastAsia="en-GB"/>
        </w:rPr>
        <w:t xml:space="preserve"> </w:t>
      </w:r>
      <w:r w:rsidRPr="00DB7F92">
        <w:rPr>
          <w:lang w:eastAsia="en-GB"/>
        </w:rPr>
        <w:t>–</w:t>
      </w:r>
      <w:r w:rsidRPr="00DB7F92">
        <w:rPr>
          <w:spacing w:val="6"/>
          <w:lang w:eastAsia="en-GB"/>
        </w:rPr>
        <w:t xml:space="preserve"> </w:t>
      </w:r>
      <w:r w:rsidRPr="00DB7F92">
        <w:rPr>
          <w:lang w:eastAsia="en-GB"/>
        </w:rPr>
        <w:t>be</w:t>
      </w:r>
      <w:r w:rsidRPr="00DB7F92">
        <w:rPr>
          <w:spacing w:val="52"/>
          <w:w w:val="99"/>
          <w:lang w:eastAsia="en-GB"/>
        </w:rPr>
        <w:t xml:space="preserve"> </w:t>
      </w:r>
      <w:r w:rsidRPr="00DB7F92">
        <w:rPr>
          <w:lang w:eastAsia="en-GB"/>
        </w:rPr>
        <w:t>more</w:t>
      </w:r>
      <w:r w:rsidRPr="00DB7F92">
        <w:rPr>
          <w:spacing w:val="30"/>
          <w:lang w:eastAsia="en-GB"/>
        </w:rPr>
        <w:t xml:space="preserve"> </w:t>
      </w:r>
      <w:r w:rsidRPr="00DB7F92">
        <w:rPr>
          <w:lang w:eastAsia="en-GB"/>
        </w:rPr>
        <w:t>innovative,</w:t>
      </w:r>
      <w:r w:rsidRPr="00DB7F92">
        <w:rPr>
          <w:spacing w:val="32"/>
          <w:lang w:eastAsia="en-GB"/>
        </w:rPr>
        <w:t xml:space="preserve"> </w:t>
      </w:r>
      <w:r w:rsidRPr="00DB7F92">
        <w:rPr>
          <w:lang w:eastAsia="en-GB"/>
        </w:rPr>
        <w:t>improve</w:t>
      </w:r>
      <w:r w:rsidRPr="00DB7F92">
        <w:rPr>
          <w:spacing w:val="31"/>
          <w:lang w:eastAsia="en-GB"/>
        </w:rPr>
        <w:t xml:space="preserve"> </w:t>
      </w:r>
      <w:r w:rsidRPr="00DB7F92">
        <w:rPr>
          <w:lang w:eastAsia="en-GB"/>
        </w:rPr>
        <w:t>its</w:t>
      </w:r>
      <w:r w:rsidRPr="00DB7F92">
        <w:rPr>
          <w:spacing w:val="33"/>
          <w:lang w:eastAsia="en-GB"/>
        </w:rPr>
        <w:t xml:space="preserve"> </w:t>
      </w:r>
      <w:r w:rsidRPr="00DB7F92">
        <w:rPr>
          <w:lang w:eastAsia="en-GB"/>
        </w:rPr>
        <w:t>use</w:t>
      </w:r>
      <w:r w:rsidRPr="00DB7F92">
        <w:rPr>
          <w:spacing w:val="31"/>
          <w:lang w:eastAsia="en-GB"/>
        </w:rPr>
        <w:t xml:space="preserve"> </w:t>
      </w:r>
      <w:r w:rsidRPr="00DB7F92">
        <w:rPr>
          <w:lang w:eastAsia="en-GB"/>
        </w:rPr>
        <w:t>of</w:t>
      </w:r>
      <w:r w:rsidRPr="00DB7F92">
        <w:rPr>
          <w:spacing w:val="31"/>
          <w:lang w:eastAsia="en-GB"/>
        </w:rPr>
        <w:t xml:space="preserve"> </w:t>
      </w:r>
      <w:r w:rsidRPr="00DB7F92">
        <w:rPr>
          <w:lang w:eastAsia="en-GB"/>
        </w:rPr>
        <w:t>research</w:t>
      </w:r>
      <w:r w:rsidRPr="00DB7F92">
        <w:rPr>
          <w:spacing w:val="34"/>
          <w:lang w:eastAsia="en-GB"/>
        </w:rPr>
        <w:t xml:space="preserve"> </w:t>
      </w:r>
      <w:r w:rsidRPr="00DB7F92">
        <w:rPr>
          <w:lang w:eastAsia="en-GB"/>
        </w:rPr>
        <w:t>data</w:t>
      </w:r>
      <w:r w:rsidRPr="00DB7F92">
        <w:rPr>
          <w:spacing w:val="32"/>
          <w:lang w:eastAsia="en-GB"/>
        </w:rPr>
        <w:t xml:space="preserve"> </w:t>
      </w:r>
      <w:r w:rsidRPr="00DB7F92">
        <w:rPr>
          <w:lang w:eastAsia="en-GB"/>
        </w:rPr>
        <w:t>etc.</w:t>
      </w:r>
      <w:r w:rsidRPr="00DB7F92">
        <w:rPr>
          <w:spacing w:val="64"/>
          <w:lang w:eastAsia="en-GB"/>
        </w:rPr>
        <w:t xml:space="preserve"> </w:t>
      </w:r>
      <w:r w:rsidRPr="00DB7F92">
        <w:rPr>
          <w:lang w:eastAsia="en-GB"/>
        </w:rPr>
        <w:t>It</w:t>
      </w:r>
      <w:r w:rsidRPr="00DB7F92">
        <w:rPr>
          <w:spacing w:val="31"/>
          <w:lang w:eastAsia="en-GB"/>
        </w:rPr>
        <w:t xml:space="preserve"> </w:t>
      </w:r>
      <w:r w:rsidRPr="00DB7F92">
        <w:rPr>
          <w:lang w:eastAsia="en-GB"/>
        </w:rPr>
        <w:t>can</w:t>
      </w:r>
      <w:r w:rsidRPr="00DB7F92">
        <w:rPr>
          <w:spacing w:val="32"/>
          <w:lang w:eastAsia="en-GB"/>
        </w:rPr>
        <w:t xml:space="preserve"> </w:t>
      </w:r>
      <w:r w:rsidRPr="00DB7F92">
        <w:rPr>
          <w:lang w:eastAsia="en-GB"/>
        </w:rPr>
        <w:t>meet</w:t>
      </w:r>
      <w:r w:rsidRPr="00DB7F92">
        <w:rPr>
          <w:spacing w:val="35"/>
          <w:lang w:eastAsia="en-GB"/>
        </w:rPr>
        <w:t xml:space="preserve"> </w:t>
      </w:r>
      <w:r w:rsidRPr="00DB7F92">
        <w:rPr>
          <w:lang w:eastAsia="en-GB"/>
        </w:rPr>
        <w:t>the</w:t>
      </w:r>
      <w:r w:rsidRPr="00DB7F92">
        <w:rPr>
          <w:spacing w:val="53"/>
          <w:w w:val="99"/>
          <w:lang w:eastAsia="en-GB"/>
        </w:rPr>
        <w:t xml:space="preserve"> </w:t>
      </w:r>
      <w:r w:rsidRPr="00DB7F92">
        <w:rPr>
          <w:lang w:eastAsia="en-GB"/>
        </w:rPr>
        <w:t>duty</w:t>
      </w:r>
      <w:r w:rsidRPr="00DB7F92">
        <w:rPr>
          <w:spacing w:val="-4"/>
          <w:lang w:eastAsia="en-GB"/>
        </w:rPr>
        <w:t xml:space="preserve"> </w:t>
      </w:r>
      <w:r w:rsidRPr="00DB7F92">
        <w:rPr>
          <w:lang w:eastAsia="en-GB"/>
        </w:rPr>
        <w:t>by</w:t>
      </w:r>
      <w:r w:rsidRPr="00DB7F92">
        <w:rPr>
          <w:spacing w:val="-4"/>
          <w:lang w:eastAsia="en-GB"/>
        </w:rPr>
        <w:t xml:space="preserve"> </w:t>
      </w:r>
      <w:r w:rsidRPr="00DB7F92">
        <w:rPr>
          <w:lang w:eastAsia="en-GB"/>
        </w:rPr>
        <w:t>encouraging</w:t>
      </w:r>
      <w:r w:rsidRPr="00DB7F92">
        <w:rPr>
          <w:spacing w:val="-3"/>
          <w:lang w:eastAsia="en-GB"/>
        </w:rPr>
        <w:t xml:space="preserve"> </w:t>
      </w:r>
      <w:r w:rsidRPr="00DB7F92">
        <w:rPr>
          <w:lang w:eastAsia="en-GB"/>
        </w:rPr>
        <w:t>other</w:t>
      </w:r>
      <w:r w:rsidRPr="00DB7F92">
        <w:rPr>
          <w:spacing w:val="-4"/>
          <w:lang w:eastAsia="en-GB"/>
        </w:rPr>
        <w:t xml:space="preserve"> </w:t>
      </w:r>
      <w:r w:rsidRPr="00DB7F92">
        <w:rPr>
          <w:lang w:eastAsia="en-GB"/>
        </w:rPr>
        <w:t>people</w:t>
      </w:r>
      <w:r w:rsidRPr="00DB7F92">
        <w:rPr>
          <w:spacing w:val="-5"/>
          <w:lang w:eastAsia="en-GB"/>
        </w:rPr>
        <w:t xml:space="preserve"> </w:t>
      </w:r>
      <w:r w:rsidRPr="00DB7F92">
        <w:rPr>
          <w:lang w:eastAsia="en-GB"/>
        </w:rPr>
        <w:t>to</w:t>
      </w:r>
      <w:r w:rsidRPr="00DB7F92">
        <w:rPr>
          <w:spacing w:val="-3"/>
          <w:lang w:eastAsia="en-GB"/>
        </w:rPr>
        <w:t xml:space="preserve"> </w:t>
      </w:r>
      <w:r w:rsidRPr="00DB7F92">
        <w:rPr>
          <w:lang w:eastAsia="en-GB"/>
        </w:rPr>
        <w:t>do</w:t>
      </w:r>
      <w:r w:rsidRPr="00DB7F92">
        <w:rPr>
          <w:spacing w:val="-5"/>
          <w:lang w:eastAsia="en-GB"/>
        </w:rPr>
        <w:t xml:space="preserve"> </w:t>
      </w:r>
      <w:r w:rsidRPr="00DB7F92">
        <w:rPr>
          <w:lang w:eastAsia="en-GB"/>
        </w:rPr>
        <w:t>things.</w:t>
      </w:r>
    </w:p>
    <w:p w14:paraId="201E08A8" w14:textId="77777777" w:rsidR="00DB7F92" w:rsidRPr="00DB7F92" w:rsidRDefault="00DB7F92" w:rsidP="00DB7F92">
      <w:pPr>
        <w:jc w:val="both"/>
        <w:rPr>
          <w:rFonts w:eastAsia="Segoe UI Semilight" w:cs="Arial"/>
          <w:sz w:val="20"/>
          <w:szCs w:val="20"/>
        </w:rPr>
      </w:pPr>
    </w:p>
    <w:p w14:paraId="3B3EE7E7" w14:textId="77777777" w:rsidR="00DB7F92" w:rsidRPr="00DB7F92" w:rsidRDefault="00DB7F92" w:rsidP="00DB7F92">
      <w:pPr>
        <w:spacing w:before="7"/>
        <w:jc w:val="both"/>
        <w:rPr>
          <w:rFonts w:eastAsia="Segoe UI Semilight" w:cs="Arial"/>
          <w:sz w:val="20"/>
          <w:szCs w:val="20"/>
        </w:rPr>
      </w:pPr>
    </w:p>
    <w:p w14:paraId="77535EB5" w14:textId="77777777" w:rsidR="00DB7F92" w:rsidRPr="00DB7F92" w:rsidRDefault="00DB7F92" w:rsidP="00DB7F92">
      <w:pPr>
        <w:ind w:left="1536"/>
        <w:jc w:val="both"/>
        <w:rPr>
          <w:rFonts w:eastAsia="Segoe UI Semilight" w:cs="Arial"/>
          <w:sz w:val="20"/>
          <w:szCs w:val="20"/>
        </w:rPr>
      </w:pPr>
      <w:r w:rsidRPr="00DB7F92">
        <w:rPr>
          <w:rFonts w:eastAsia="Segoe UI Semilight" w:cs="Arial"/>
          <w:noProof/>
          <w:sz w:val="20"/>
          <w:szCs w:val="20"/>
          <w:lang w:eastAsia="en-GB"/>
        </w:rPr>
        <mc:AlternateContent>
          <mc:Choice Requires="wps">
            <w:drawing>
              <wp:inline distT="0" distB="0" distL="0" distR="0" wp14:anchorId="24DDBC83" wp14:editId="6995AF26">
                <wp:extent cx="4860290" cy="1943100"/>
                <wp:effectExtent l="0" t="0" r="0" b="0"/>
                <wp:docPr id="1971" name="Text Box 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1943100"/>
                        </a:xfrm>
                        <a:prstGeom prst="rect">
                          <a:avLst/>
                        </a:prstGeom>
                        <a:solidFill>
                          <a:srgbClr val="1C6C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6AF8BE" w14:textId="77777777" w:rsidR="00942266" w:rsidRPr="004E0302" w:rsidRDefault="00942266" w:rsidP="00DB7F92">
                            <w:pPr>
                              <w:spacing w:before="213"/>
                              <w:ind w:left="225"/>
                              <w:jc w:val="both"/>
                              <w:rPr>
                                <w:rFonts w:eastAsia="Tw Cen MT Condensed Extra Bold" w:cs="Arial"/>
                                <w:sz w:val="20"/>
                                <w:szCs w:val="20"/>
                              </w:rPr>
                            </w:pPr>
                            <w:r w:rsidRPr="004E0302">
                              <w:rPr>
                                <w:rFonts w:cs="Arial"/>
                                <w:b/>
                                <w:color w:val="FFFFFF"/>
                                <w:sz w:val="20"/>
                                <w:szCs w:val="20"/>
                              </w:rPr>
                              <w:t>Example:</w:t>
                            </w:r>
                          </w:p>
                          <w:p w14:paraId="12D56552" w14:textId="77777777" w:rsidR="00942266" w:rsidRPr="004E0302" w:rsidRDefault="00942266" w:rsidP="00DB7F92">
                            <w:pPr>
                              <w:spacing w:before="12"/>
                              <w:rPr>
                                <w:rFonts w:eastAsia="Segoe UI Semilight" w:cs="Arial"/>
                                <w:sz w:val="20"/>
                                <w:szCs w:val="20"/>
                              </w:rPr>
                            </w:pPr>
                          </w:p>
                          <w:p w14:paraId="1F9CBB88" w14:textId="77777777" w:rsidR="00942266" w:rsidRPr="004E0302" w:rsidRDefault="00942266" w:rsidP="00DB7F92">
                            <w:pPr>
                              <w:ind w:left="225" w:right="225"/>
                              <w:jc w:val="both"/>
                              <w:rPr>
                                <w:rFonts w:eastAsia="Segoe UI Semilight" w:cs="Arial"/>
                                <w:sz w:val="20"/>
                                <w:szCs w:val="20"/>
                              </w:rPr>
                            </w:pPr>
                            <w:r w:rsidRPr="004E0302">
                              <w:rPr>
                                <w:rFonts w:eastAsia="Segoe UI Semilight" w:cs="Arial"/>
                                <w:color w:val="FFFFFF"/>
                                <w:spacing w:val="-1"/>
                                <w:sz w:val="20"/>
                                <w:szCs w:val="20"/>
                              </w:rPr>
                              <w:t>A commissioner</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decides</w:t>
                            </w:r>
                            <w:r w:rsidRPr="004E0302">
                              <w:rPr>
                                <w:rFonts w:eastAsia="Segoe UI Semilight" w:cs="Arial"/>
                                <w:color w:val="FFFFFF"/>
                                <w:spacing w:val="39"/>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run</w:t>
                            </w:r>
                            <w:r w:rsidRPr="004E0302">
                              <w:rPr>
                                <w:rFonts w:eastAsia="Segoe UI Semilight" w:cs="Arial"/>
                                <w:color w:val="FFFFFF"/>
                                <w:spacing w:val="38"/>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38"/>
                                <w:sz w:val="20"/>
                                <w:szCs w:val="20"/>
                              </w:rPr>
                              <w:t xml:space="preserve"> </w:t>
                            </w:r>
                            <w:r w:rsidRPr="004E0302">
                              <w:rPr>
                                <w:rFonts w:eastAsia="Segoe UI Semilight" w:cs="Arial"/>
                                <w:color w:val="FFFFFF"/>
                                <w:spacing w:val="-1"/>
                                <w:sz w:val="20"/>
                                <w:szCs w:val="20"/>
                              </w:rPr>
                              <w:t>competition</w:t>
                            </w:r>
                            <w:r w:rsidRPr="004E0302">
                              <w:rPr>
                                <w:rFonts w:eastAsia="Segoe UI Semilight" w:cs="Arial"/>
                                <w:color w:val="FFFFFF"/>
                                <w:spacing w:val="38"/>
                                <w:sz w:val="20"/>
                                <w:szCs w:val="20"/>
                              </w:rPr>
                              <w:t xml:space="preserve"> </w:t>
                            </w:r>
                            <w:r w:rsidRPr="004E0302">
                              <w:rPr>
                                <w:rFonts w:eastAsia="Segoe UI Semilight" w:cs="Arial"/>
                                <w:color w:val="FFFFFF"/>
                                <w:spacing w:val="1"/>
                                <w:sz w:val="20"/>
                                <w:szCs w:val="20"/>
                              </w:rPr>
                              <w:t>to</w:t>
                            </w:r>
                            <w:r w:rsidRPr="004E0302">
                              <w:rPr>
                                <w:rFonts w:eastAsia="Segoe UI Semilight" w:cs="Arial"/>
                                <w:color w:val="FFFFFF"/>
                                <w:spacing w:val="38"/>
                                <w:sz w:val="20"/>
                                <w:szCs w:val="20"/>
                              </w:rPr>
                              <w:t xml:space="preserve"> </w:t>
                            </w:r>
                            <w:r w:rsidRPr="004E0302">
                              <w:rPr>
                                <w:rFonts w:eastAsia="Segoe UI Semilight" w:cs="Arial"/>
                                <w:color w:val="FFFFFF"/>
                                <w:spacing w:val="-1"/>
                                <w:sz w:val="20"/>
                                <w:szCs w:val="20"/>
                              </w:rPr>
                              <w:t>reward</w:t>
                            </w:r>
                            <w:r w:rsidRPr="004E0302">
                              <w:rPr>
                                <w:rFonts w:eastAsia="Segoe UI Semilight" w:cs="Arial"/>
                                <w:color w:val="FFFFFF"/>
                                <w:spacing w:val="37"/>
                                <w:sz w:val="20"/>
                                <w:szCs w:val="20"/>
                              </w:rPr>
                              <w:t xml:space="preserve"> </w:t>
                            </w:r>
                            <w:r w:rsidRPr="004E0302">
                              <w:rPr>
                                <w:rFonts w:eastAsia="Segoe UI Semilight" w:cs="Arial"/>
                                <w:color w:val="FFFFFF"/>
                                <w:sz w:val="20"/>
                                <w:szCs w:val="20"/>
                              </w:rPr>
                              <w:t>GP</w:t>
                            </w:r>
                            <w:r w:rsidRPr="004E0302">
                              <w:rPr>
                                <w:rFonts w:eastAsia="Segoe UI Semilight" w:cs="Arial"/>
                                <w:color w:val="FFFFFF"/>
                                <w:spacing w:val="38"/>
                                <w:sz w:val="20"/>
                                <w:szCs w:val="20"/>
                              </w:rPr>
                              <w:t xml:space="preserve"> </w:t>
                            </w:r>
                            <w:r w:rsidRPr="004E0302">
                              <w:rPr>
                                <w:rFonts w:eastAsia="Segoe UI Semilight" w:cs="Arial"/>
                                <w:color w:val="FFFFFF"/>
                                <w:spacing w:val="-1"/>
                                <w:sz w:val="20"/>
                                <w:szCs w:val="20"/>
                              </w:rPr>
                              <w:t>practices</w:t>
                            </w:r>
                            <w:r w:rsidRPr="004E0302">
                              <w:rPr>
                                <w:rFonts w:eastAsia="Segoe UI Semilight" w:cs="Arial"/>
                                <w:color w:val="FFFFFF"/>
                                <w:spacing w:val="42"/>
                                <w:w w:val="99"/>
                                <w:sz w:val="20"/>
                                <w:szCs w:val="20"/>
                              </w:rPr>
                              <w:t xml:space="preserve"> </w:t>
                            </w:r>
                            <w:r w:rsidRPr="004E0302">
                              <w:rPr>
                                <w:rFonts w:eastAsia="Segoe UI Semilight" w:cs="Arial"/>
                                <w:color w:val="FFFFFF"/>
                                <w:spacing w:val="-1"/>
                                <w:sz w:val="20"/>
                                <w:szCs w:val="20"/>
                              </w:rPr>
                              <w:t>that</w:t>
                            </w:r>
                            <w:r w:rsidRPr="004E0302">
                              <w:rPr>
                                <w:rFonts w:eastAsia="Segoe UI Semilight" w:cs="Arial"/>
                                <w:color w:val="FFFFFF"/>
                                <w:spacing w:val="17"/>
                                <w:sz w:val="20"/>
                                <w:szCs w:val="20"/>
                              </w:rPr>
                              <w:t xml:space="preserve"> </w:t>
                            </w:r>
                            <w:r w:rsidRPr="004E0302">
                              <w:rPr>
                                <w:rFonts w:eastAsia="Segoe UI Semilight" w:cs="Arial"/>
                                <w:color w:val="FFFFFF"/>
                                <w:spacing w:val="-1"/>
                                <w:sz w:val="20"/>
                                <w:szCs w:val="20"/>
                              </w:rPr>
                              <w:t>are</w:t>
                            </w:r>
                            <w:r w:rsidRPr="004E0302">
                              <w:rPr>
                                <w:rFonts w:eastAsia="Segoe UI Semilight" w:cs="Arial"/>
                                <w:color w:val="FFFFFF"/>
                                <w:spacing w:val="15"/>
                                <w:sz w:val="20"/>
                                <w:szCs w:val="20"/>
                              </w:rPr>
                              <w:t xml:space="preserve"> </w:t>
                            </w:r>
                            <w:r w:rsidRPr="004E0302">
                              <w:rPr>
                                <w:rFonts w:eastAsia="Segoe UI Semilight" w:cs="Arial"/>
                                <w:color w:val="FFFFFF"/>
                                <w:spacing w:val="-1"/>
                                <w:sz w:val="20"/>
                                <w:szCs w:val="20"/>
                              </w:rPr>
                              <w:t>innovative</w:t>
                            </w:r>
                            <w:r w:rsidRPr="004E0302">
                              <w:rPr>
                                <w:rFonts w:eastAsia="Segoe UI Semilight" w:cs="Arial"/>
                                <w:color w:val="FFFFFF"/>
                                <w:spacing w:val="15"/>
                                <w:sz w:val="20"/>
                                <w:szCs w:val="20"/>
                              </w:rPr>
                              <w:t xml:space="preserve"> </w:t>
                            </w:r>
                            <w:r w:rsidRPr="004E0302">
                              <w:rPr>
                                <w:rFonts w:eastAsia="Segoe UI Semilight" w:cs="Arial"/>
                                <w:color w:val="FFFFFF"/>
                                <w:spacing w:val="-1"/>
                                <w:sz w:val="20"/>
                                <w:szCs w:val="20"/>
                              </w:rPr>
                              <w:t>in</w:t>
                            </w:r>
                            <w:r w:rsidRPr="004E0302">
                              <w:rPr>
                                <w:rFonts w:eastAsia="Segoe UI Semilight" w:cs="Arial"/>
                                <w:color w:val="FFFFFF"/>
                                <w:spacing w:val="17"/>
                                <w:sz w:val="20"/>
                                <w:szCs w:val="20"/>
                              </w:rPr>
                              <w:t xml:space="preserve"> </w:t>
                            </w:r>
                            <w:r w:rsidRPr="004E0302">
                              <w:rPr>
                                <w:rFonts w:eastAsia="Segoe UI Semilight" w:cs="Arial"/>
                                <w:color w:val="FFFFFF"/>
                                <w:spacing w:val="-1"/>
                                <w:sz w:val="20"/>
                                <w:szCs w:val="20"/>
                              </w:rPr>
                              <w:t>their</w:t>
                            </w:r>
                            <w:r w:rsidRPr="004E0302">
                              <w:rPr>
                                <w:rFonts w:eastAsia="Segoe UI Semilight" w:cs="Arial"/>
                                <w:color w:val="FFFFFF"/>
                                <w:spacing w:val="16"/>
                                <w:sz w:val="20"/>
                                <w:szCs w:val="20"/>
                              </w:rPr>
                              <w:t xml:space="preserve"> </w:t>
                            </w:r>
                            <w:r w:rsidRPr="004E0302">
                              <w:rPr>
                                <w:rFonts w:eastAsia="Segoe UI Semilight" w:cs="Arial"/>
                                <w:color w:val="FFFFFF"/>
                                <w:spacing w:val="-1"/>
                                <w:sz w:val="20"/>
                                <w:szCs w:val="20"/>
                              </w:rPr>
                              <w:t>use</w:t>
                            </w:r>
                            <w:r w:rsidRPr="004E0302">
                              <w:rPr>
                                <w:rFonts w:eastAsia="Segoe UI Semilight" w:cs="Arial"/>
                                <w:color w:val="FFFFFF"/>
                                <w:spacing w:val="15"/>
                                <w:sz w:val="20"/>
                                <w:szCs w:val="20"/>
                              </w:rPr>
                              <w:t xml:space="preserve"> </w:t>
                            </w:r>
                            <w:r w:rsidRPr="004E0302">
                              <w:rPr>
                                <w:rFonts w:eastAsia="Segoe UI Semilight" w:cs="Arial"/>
                                <w:color w:val="FFFFFF"/>
                                <w:spacing w:val="-1"/>
                                <w:sz w:val="20"/>
                                <w:szCs w:val="20"/>
                              </w:rPr>
                              <w:t>of</w:t>
                            </w:r>
                            <w:r w:rsidRPr="004E0302">
                              <w:rPr>
                                <w:rFonts w:eastAsia="Segoe UI Semilight" w:cs="Arial"/>
                                <w:color w:val="FFFFFF"/>
                                <w:spacing w:val="16"/>
                                <w:sz w:val="20"/>
                                <w:szCs w:val="20"/>
                              </w:rPr>
                              <w:t xml:space="preserve"> </w:t>
                            </w:r>
                            <w:r w:rsidRPr="004E0302">
                              <w:rPr>
                                <w:rFonts w:eastAsia="Segoe UI Semilight" w:cs="Arial"/>
                                <w:color w:val="FFFFFF"/>
                                <w:spacing w:val="-1"/>
                                <w:sz w:val="20"/>
                                <w:szCs w:val="20"/>
                              </w:rPr>
                              <w:t>telehealth</w:t>
                            </w:r>
                            <w:r w:rsidRPr="004E0302">
                              <w:rPr>
                                <w:rFonts w:eastAsia="Segoe UI Semilight" w:cs="Arial"/>
                                <w:color w:val="FFFFFF"/>
                                <w:spacing w:val="16"/>
                                <w:sz w:val="20"/>
                                <w:szCs w:val="20"/>
                              </w:rPr>
                              <w:t xml:space="preserve"> </w:t>
                            </w:r>
                            <w:r w:rsidRPr="004E0302">
                              <w:rPr>
                                <w:rFonts w:eastAsia="Segoe UI Semilight" w:cs="Arial"/>
                                <w:color w:val="FFFFFF"/>
                                <w:spacing w:val="-1"/>
                                <w:sz w:val="20"/>
                                <w:szCs w:val="20"/>
                              </w:rPr>
                              <w:t>devices</w:t>
                            </w:r>
                            <w:r w:rsidRPr="004E0302">
                              <w:rPr>
                                <w:rFonts w:eastAsia="Segoe UI Semilight" w:cs="Arial"/>
                                <w:color w:val="FFFFFF"/>
                                <w:spacing w:val="17"/>
                                <w:sz w:val="20"/>
                                <w:szCs w:val="20"/>
                              </w:rPr>
                              <w:t xml:space="preserve"> </w:t>
                            </w:r>
                            <w:r w:rsidRPr="004E0302">
                              <w:rPr>
                                <w:rFonts w:eastAsia="Segoe UI Semilight" w:cs="Arial"/>
                                <w:color w:val="FFFFFF"/>
                                <w:sz w:val="20"/>
                                <w:szCs w:val="20"/>
                              </w:rPr>
                              <w:t>–</w:t>
                            </w:r>
                            <w:r w:rsidRPr="004E0302">
                              <w:rPr>
                                <w:rFonts w:eastAsia="Segoe UI Semilight" w:cs="Arial"/>
                                <w:color w:val="FFFFFF"/>
                                <w:spacing w:val="16"/>
                                <w:sz w:val="20"/>
                                <w:szCs w:val="20"/>
                              </w:rPr>
                              <w:t xml:space="preserve"> </w:t>
                            </w:r>
                            <w:r w:rsidRPr="004E0302">
                              <w:rPr>
                                <w:rFonts w:eastAsia="Segoe UI Semilight" w:cs="Arial"/>
                                <w:color w:val="FFFFFF"/>
                                <w:spacing w:val="-1"/>
                                <w:sz w:val="20"/>
                                <w:szCs w:val="20"/>
                              </w:rPr>
                              <w:t>smart</w:t>
                            </w:r>
                            <w:r w:rsidRPr="004E0302">
                              <w:rPr>
                                <w:rFonts w:eastAsia="Segoe UI Semilight" w:cs="Arial"/>
                                <w:color w:val="FFFFFF"/>
                                <w:spacing w:val="18"/>
                                <w:sz w:val="20"/>
                                <w:szCs w:val="20"/>
                              </w:rPr>
                              <w:t xml:space="preserve"> </w:t>
                            </w:r>
                            <w:r w:rsidRPr="004E0302">
                              <w:rPr>
                                <w:rFonts w:eastAsia="Segoe UI Semilight" w:cs="Arial"/>
                                <w:color w:val="FFFFFF"/>
                                <w:spacing w:val="-1"/>
                                <w:sz w:val="20"/>
                                <w:szCs w:val="20"/>
                              </w:rPr>
                              <w:t>medical</w:t>
                            </w:r>
                            <w:r w:rsidRPr="004E0302">
                              <w:rPr>
                                <w:rFonts w:eastAsia="Segoe UI Semilight" w:cs="Arial"/>
                                <w:color w:val="FFFFFF"/>
                                <w:spacing w:val="59"/>
                                <w:w w:val="99"/>
                                <w:sz w:val="20"/>
                                <w:szCs w:val="20"/>
                              </w:rPr>
                              <w:t xml:space="preserve"> </w:t>
                            </w:r>
                            <w:r w:rsidRPr="004E0302">
                              <w:rPr>
                                <w:rFonts w:eastAsia="Segoe UI Semilight" w:cs="Arial"/>
                                <w:color w:val="FFFFFF"/>
                                <w:spacing w:val="-1"/>
                                <w:sz w:val="20"/>
                                <w:szCs w:val="20"/>
                              </w:rPr>
                              <w:t>devices</w:t>
                            </w:r>
                            <w:r w:rsidRPr="004E0302">
                              <w:rPr>
                                <w:rFonts w:eastAsia="Segoe UI Semilight" w:cs="Arial"/>
                                <w:color w:val="FFFFFF"/>
                                <w:spacing w:val="35"/>
                                <w:sz w:val="20"/>
                                <w:szCs w:val="20"/>
                              </w:rPr>
                              <w:t xml:space="preserve"> </w:t>
                            </w:r>
                            <w:r w:rsidRPr="004E0302">
                              <w:rPr>
                                <w:rFonts w:eastAsia="Segoe UI Semilight" w:cs="Arial"/>
                                <w:color w:val="FFFFFF"/>
                                <w:spacing w:val="-1"/>
                                <w:sz w:val="20"/>
                                <w:szCs w:val="20"/>
                              </w:rPr>
                              <w:t>that</w:t>
                            </w:r>
                            <w:r w:rsidRPr="004E0302">
                              <w:rPr>
                                <w:rFonts w:eastAsia="Segoe UI Semilight" w:cs="Arial"/>
                                <w:color w:val="FFFFFF"/>
                                <w:spacing w:val="36"/>
                                <w:sz w:val="20"/>
                                <w:szCs w:val="20"/>
                              </w:rPr>
                              <w:t xml:space="preserve"> </w:t>
                            </w:r>
                            <w:r w:rsidRPr="004E0302">
                              <w:rPr>
                                <w:rFonts w:eastAsia="Segoe UI Semilight" w:cs="Arial"/>
                                <w:color w:val="FFFFFF"/>
                                <w:spacing w:val="-1"/>
                                <w:sz w:val="20"/>
                                <w:szCs w:val="20"/>
                              </w:rPr>
                              <w:t>transmit</w:t>
                            </w:r>
                            <w:r w:rsidRPr="004E0302">
                              <w:rPr>
                                <w:rFonts w:eastAsia="Segoe UI Semilight" w:cs="Arial"/>
                                <w:color w:val="FFFFFF"/>
                                <w:spacing w:val="39"/>
                                <w:sz w:val="20"/>
                                <w:szCs w:val="20"/>
                              </w:rPr>
                              <w:t xml:space="preserve"> </w:t>
                            </w:r>
                            <w:r w:rsidRPr="004E0302">
                              <w:rPr>
                                <w:rFonts w:eastAsia="Segoe UI Semilight" w:cs="Arial"/>
                                <w:color w:val="FFFFFF"/>
                                <w:spacing w:val="-1"/>
                                <w:sz w:val="20"/>
                                <w:szCs w:val="20"/>
                              </w:rPr>
                              <w:t>data</w:t>
                            </w:r>
                            <w:r w:rsidRPr="004E0302">
                              <w:rPr>
                                <w:rFonts w:eastAsia="Segoe UI Semilight" w:cs="Arial"/>
                                <w:color w:val="FFFFFF"/>
                                <w:spacing w:val="35"/>
                                <w:sz w:val="20"/>
                                <w:szCs w:val="20"/>
                              </w:rPr>
                              <w:t xml:space="preserve"> </w:t>
                            </w:r>
                            <w:r w:rsidRPr="004E0302">
                              <w:rPr>
                                <w:rFonts w:eastAsia="Segoe UI Semilight" w:cs="Arial"/>
                                <w:color w:val="FFFFFF"/>
                                <w:spacing w:val="-1"/>
                                <w:sz w:val="20"/>
                                <w:szCs w:val="20"/>
                              </w:rPr>
                              <w:t>from</w:t>
                            </w:r>
                            <w:r w:rsidRPr="004E0302">
                              <w:rPr>
                                <w:rFonts w:eastAsia="Segoe UI Semilight" w:cs="Arial"/>
                                <w:color w:val="FFFFFF"/>
                                <w:spacing w:val="35"/>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38"/>
                                <w:sz w:val="20"/>
                                <w:szCs w:val="20"/>
                              </w:rPr>
                              <w:t xml:space="preserve"> </w:t>
                            </w:r>
                            <w:r w:rsidRPr="004E0302">
                              <w:rPr>
                                <w:rFonts w:eastAsia="Segoe UI Semilight" w:cs="Arial"/>
                                <w:color w:val="FFFFFF"/>
                                <w:spacing w:val="-1"/>
                                <w:sz w:val="20"/>
                                <w:szCs w:val="20"/>
                              </w:rPr>
                              <w:t>patient</w:t>
                            </w:r>
                            <w:r w:rsidRPr="004E0302">
                              <w:rPr>
                                <w:rFonts w:eastAsia="Segoe UI Semilight" w:cs="Arial"/>
                                <w:color w:val="FFFFFF"/>
                                <w:spacing w:val="36"/>
                                <w:sz w:val="20"/>
                                <w:szCs w:val="20"/>
                              </w:rPr>
                              <w:t xml:space="preserve"> </w:t>
                            </w:r>
                            <w:r w:rsidRPr="004E0302">
                              <w:rPr>
                                <w:rFonts w:eastAsia="Segoe UI Semilight" w:cs="Arial"/>
                                <w:color w:val="FFFFFF"/>
                                <w:spacing w:val="1"/>
                                <w:sz w:val="20"/>
                                <w:szCs w:val="20"/>
                              </w:rPr>
                              <w:t>to</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their</w:t>
                            </w:r>
                            <w:r w:rsidRPr="004E0302">
                              <w:rPr>
                                <w:rFonts w:eastAsia="Segoe UI Semilight" w:cs="Arial"/>
                                <w:color w:val="FFFFFF"/>
                                <w:spacing w:val="36"/>
                                <w:sz w:val="20"/>
                                <w:szCs w:val="20"/>
                              </w:rPr>
                              <w:t xml:space="preserve"> </w:t>
                            </w:r>
                            <w:r w:rsidRPr="004E0302">
                              <w:rPr>
                                <w:rFonts w:eastAsia="Segoe UI Semilight" w:cs="Arial"/>
                                <w:color w:val="FFFFFF"/>
                                <w:spacing w:val="-1"/>
                                <w:sz w:val="20"/>
                                <w:szCs w:val="20"/>
                              </w:rPr>
                              <w:t>treating</w:t>
                            </w:r>
                            <w:r w:rsidRPr="004E0302">
                              <w:rPr>
                                <w:rFonts w:eastAsia="Segoe UI Semilight" w:cs="Arial"/>
                                <w:color w:val="FFFFFF"/>
                                <w:spacing w:val="35"/>
                                <w:sz w:val="20"/>
                                <w:szCs w:val="20"/>
                              </w:rPr>
                              <w:t xml:space="preserve"> </w:t>
                            </w:r>
                            <w:r w:rsidRPr="004E0302">
                              <w:rPr>
                                <w:rFonts w:eastAsia="Segoe UI Semilight" w:cs="Arial"/>
                                <w:color w:val="FFFFFF"/>
                                <w:spacing w:val="-1"/>
                                <w:sz w:val="20"/>
                                <w:szCs w:val="20"/>
                              </w:rPr>
                              <w:t>clinician,</w:t>
                            </w:r>
                            <w:r w:rsidRPr="004E0302">
                              <w:rPr>
                                <w:rFonts w:eastAsia="Segoe UI Semilight" w:cs="Arial"/>
                                <w:color w:val="FFFFFF"/>
                                <w:spacing w:val="63"/>
                                <w:sz w:val="20"/>
                                <w:szCs w:val="20"/>
                              </w:rPr>
                              <w:t xml:space="preserve"> </w:t>
                            </w:r>
                            <w:r w:rsidRPr="004E0302">
                              <w:rPr>
                                <w:rFonts w:eastAsia="Segoe UI Semilight" w:cs="Arial"/>
                                <w:color w:val="FFFFFF"/>
                                <w:spacing w:val="-1"/>
                                <w:sz w:val="20"/>
                                <w:szCs w:val="20"/>
                              </w:rPr>
                              <w:t>without</w:t>
                            </w:r>
                            <w:r w:rsidRPr="004E0302">
                              <w:rPr>
                                <w:rFonts w:eastAsia="Segoe UI Semilight" w:cs="Arial"/>
                                <w:color w:val="FFFFFF"/>
                                <w:spacing w:val="12"/>
                                <w:sz w:val="20"/>
                                <w:szCs w:val="20"/>
                              </w:rPr>
                              <w:t xml:space="preserve"> </w:t>
                            </w:r>
                            <w:r w:rsidRPr="004E0302">
                              <w:rPr>
                                <w:rFonts w:eastAsia="Segoe UI Semilight" w:cs="Arial"/>
                                <w:color w:val="FFFFFF"/>
                                <w:spacing w:val="-1"/>
                                <w:sz w:val="20"/>
                                <w:szCs w:val="20"/>
                              </w:rPr>
                              <w:t>the</w:t>
                            </w:r>
                            <w:r w:rsidRPr="004E0302">
                              <w:rPr>
                                <w:rFonts w:eastAsia="Segoe UI Semilight" w:cs="Arial"/>
                                <w:color w:val="FFFFFF"/>
                                <w:spacing w:val="11"/>
                                <w:sz w:val="20"/>
                                <w:szCs w:val="20"/>
                              </w:rPr>
                              <w:t xml:space="preserve"> </w:t>
                            </w:r>
                            <w:r w:rsidRPr="004E0302">
                              <w:rPr>
                                <w:rFonts w:eastAsia="Segoe UI Semilight" w:cs="Arial"/>
                                <w:color w:val="FFFFFF"/>
                                <w:spacing w:val="-1"/>
                                <w:sz w:val="20"/>
                                <w:szCs w:val="20"/>
                              </w:rPr>
                              <w:t>need</w:t>
                            </w:r>
                            <w:r w:rsidRPr="004E0302">
                              <w:rPr>
                                <w:rFonts w:eastAsia="Segoe UI Semilight" w:cs="Arial"/>
                                <w:color w:val="FFFFFF"/>
                                <w:spacing w:val="10"/>
                                <w:sz w:val="20"/>
                                <w:szCs w:val="20"/>
                              </w:rPr>
                              <w:t xml:space="preserve"> </w:t>
                            </w:r>
                            <w:r w:rsidRPr="004E0302">
                              <w:rPr>
                                <w:rFonts w:eastAsia="Segoe UI Semilight" w:cs="Arial"/>
                                <w:color w:val="FFFFFF"/>
                                <w:sz w:val="20"/>
                                <w:szCs w:val="20"/>
                              </w:rPr>
                              <w:t>for</w:t>
                            </w:r>
                            <w:r w:rsidRPr="004E0302">
                              <w:rPr>
                                <w:rFonts w:eastAsia="Segoe UI Semilight" w:cs="Arial"/>
                                <w:color w:val="FFFFFF"/>
                                <w:spacing w:val="13"/>
                                <w:sz w:val="20"/>
                                <w:szCs w:val="20"/>
                              </w:rPr>
                              <w:t xml:space="preserve"> </w:t>
                            </w:r>
                            <w:r w:rsidRPr="004E0302">
                              <w:rPr>
                                <w:rFonts w:eastAsia="Segoe UI Semilight" w:cs="Arial"/>
                                <w:color w:val="FFFFFF"/>
                                <w:spacing w:val="-1"/>
                                <w:sz w:val="20"/>
                                <w:szCs w:val="20"/>
                              </w:rPr>
                              <w:t>the</w:t>
                            </w:r>
                            <w:r w:rsidRPr="004E0302">
                              <w:rPr>
                                <w:rFonts w:eastAsia="Segoe UI Semilight" w:cs="Arial"/>
                                <w:color w:val="FFFFFF"/>
                                <w:spacing w:val="11"/>
                                <w:sz w:val="20"/>
                                <w:szCs w:val="20"/>
                              </w:rPr>
                              <w:t xml:space="preserve"> </w:t>
                            </w:r>
                            <w:r w:rsidRPr="004E0302">
                              <w:rPr>
                                <w:rFonts w:eastAsia="Segoe UI Semilight" w:cs="Arial"/>
                                <w:color w:val="FFFFFF"/>
                                <w:spacing w:val="-1"/>
                                <w:sz w:val="20"/>
                                <w:szCs w:val="20"/>
                              </w:rPr>
                              <w:t>patient</w:t>
                            </w:r>
                            <w:r w:rsidRPr="004E0302">
                              <w:rPr>
                                <w:rFonts w:eastAsia="Segoe UI Semilight" w:cs="Arial"/>
                                <w:color w:val="FFFFFF"/>
                                <w:spacing w:val="12"/>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12"/>
                                <w:sz w:val="20"/>
                                <w:szCs w:val="20"/>
                              </w:rPr>
                              <w:t xml:space="preserve"> </w:t>
                            </w:r>
                            <w:r w:rsidRPr="004E0302">
                              <w:rPr>
                                <w:rFonts w:eastAsia="Segoe UI Semilight" w:cs="Arial"/>
                                <w:color w:val="FFFFFF"/>
                                <w:spacing w:val="-1"/>
                                <w:sz w:val="20"/>
                                <w:szCs w:val="20"/>
                              </w:rPr>
                              <w:t>attend</w:t>
                            </w:r>
                            <w:r w:rsidRPr="004E0302">
                              <w:rPr>
                                <w:rFonts w:eastAsia="Segoe UI Semilight" w:cs="Arial"/>
                                <w:color w:val="FFFFFF"/>
                                <w:spacing w:val="11"/>
                                <w:sz w:val="20"/>
                                <w:szCs w:val="20"/>
                              </w:rPr>
                              <w:t xml:space="preserve"> </w:t>
                            </w:r>
                            <w:r w:rsidRPr="004E0302">
                              <w:rPr>
                                <w:rFonts w:eastAsia="Segoe UI Semilight" w:cs="Arial"/>
                                <w:color w:val="FFFFFF"/>
                                <w:spacing w:val="-1"/>
                                <w:sz w:val="20"/>
                                <w:szCs w:val="20"/>
                              </w:rPr>
                              <w:t>surgery.</w:t>
                            </w:r>
                            <w:r w:rsidRPr="004E0302">
                              <w:rPr>
                                <w:rFonts w:eastAsia="Segoe UI Semilight" w:cs="Arial"/>
                                <w:color w:val="FFFFFF"/>
                                <w:spacing w:val="24"/>
                                <w:sz w:val="20"/>
                                <w:szCs w:val="20"/>
                              </w:rPr>
                              <w:t xml:space="preserve"> </w:t>
                            </w:r>
                            <w:r w:rsidRPr="004E0302">
                              <w:rPr>
                                <w:rFonts w:eastAsia="Segoe UI Semilight" w:cs="Arial"/>
                                <w:color w:val="FFFFFF"/>
                                <w:spacing w:val="-1"/>
                                <w:sz w:val="20"/>
                                <w:szCs w:val="20"/>
                              </w:rPr>
                              <w:t>The</w:t>
                            </w:r>
                            <w:r w:rsidRPr="004E0302">
                              <w:rPr>
                                <w:rFonts w:eastAsia="Segoe UI Semilight" w:cs="Arial"/>
                                <w:color w:val="FFFFFF"/>
                                <w:spacing w:val="11"/>
                                <w:sz w:val="20"/>
                                <w:szCs w:val="20"/>
                              </w:rPr>
                              <w:t xml:space="preserve"> </w:t>
                            </w:r>
                            <w:r w:rsidRPr="004E0302">
                              <w:rPr>
                                <w:rFonts w:eastAsia="Segoe UI Semilight" w:cs="Arial"/>
                                <w:color w:val="FFFFFF"/>
                                <w:spacing w:val="-1"/>
                                <w:sz w:val="20"/>
                                <w:szCs w:val="20"/>
                              </w:rPr>
                              <w:t>winners</w:t>
                            </w:r>
                            <w:r w:rsidRPr="004E0302">
                              <w:rPr>
                                <w:rFonts w:eastAsia="Segoe UI Semilight" w:cs="Arial"/>
                                <w:color w:val="FFFFFF"/>
                                <w:spacing w:val="12"/>
                                <w:sz w:val="20"/>
                                <w:szCs w:val="20"/>
                              </w:rPr>
                              <w:t xml:space="preserve"> </w:t>
                            </w:r>
                            <w:r w:rsidRPr="004E0302">
                              <w:rPr>
                                <w:rFonts w:eastAsia="Segoe UI Semilight" w:cs="Arial"/>
                                <w:color w:val="FFFFFF"/>
                                <w:spacing w:val="-1"/>
                                <w:sz w:val="20"/>
                                <w:szCs w:val="20"/>
                              </w:rPr>
                              <w:t>will</w:t>
                            </w:r>
                            <w:r w:rsidRPr="004E0302">
                              <w:rPr>
                                <w:rFonts w:eastAsia="Segoe UI Semilight" w:cs="Arial"/>
                                <w:color w:val="FFFFFF"/>
                                <w:spacing w:val="48"/>
                                <w:w w:val="99"/>
                                <w:sz w:val="20"/>
                                <w:szCs w:val="20"/>
                              </w:rPr>
                              <w:t xml:space="preserve"> </w:t>
                            </w:r>
                            <w:r w:rsidRPr="004E0302">
                              <w:rPr>
                                <w:rFonts w:eastAsia="Segoe UI Semilight" w:cs="Arial"/>
                                <w:color w:val="FFFFFF"/>
                                <w:spacing w:val="-1"/>
                                <w:sz w:val="20"/>
                                <w:szCs w:val="20"/>
                              </w:rPr>
                              <w:t>be</w:t>
                            </w:r>
                            <w:r w:rsidRPr="004E0302">
                              <w:rPr>
                                <w:rFonts w:eastAsia="Segoe UI Semilight" w:cs="Arial"/>
                                <w:color w:val="FFFFFF"/>
                                <w:spacing w:val="-2"/>
                                <w:sz w:val="20"/>
                                <w:szCs w:val="20"/>
                              </w:rPr>
                              <w:t xml:space="preserve"> </w:t>
                            </w:r>
                            <w:r w:rsidRPr="004E0302">
                              <w:rPr>
                                <w:rFonts w:eastAsia="Segoe UI Semilight" w:cs="Arial"/>
                                <w:color w:val="FFFFFF"/>
                                <w:spacing w:val="-1"/>
                                <w:sz w:val="20"/>
                                <w:szCs w:val="20"/>
                              </w:rPr>
                              <w:t xml:space="preserve">showcased </w:t>
                            </w:r>
                            <w:r w:rsidRPr="004E0302">
                              <w:rPr>
                                <w:rFonts w:eastAsia="Segoe UI Semilight" w:cs="Arial"/>
                                <w:color w:val="FFFFFF"/>
                                <w:sz w:val="20"/>
                                <w:szCs w:val="20"/>
                              </w:rPr>
                              <w:t xml:space="preserve">so </w:t>
                            </w:r>
                            <w:r w:rsidRPr="004E0302">
                              <w:rPr>
                                <w:rFonts w:eastAsia="Segoe UI Semilight" w:cs="Arial"/>
                                <w:color w:val="FFFFFF"/>
                                <w:spacing w:val="-1"/>
                                <w:sz w:val="20"/>
                                <w:szCs w:val="20"/>
                              </w:rPr>
                              <w:t>that</w:t>
                            </w:r>
                            <w:r w:rsidRPr="004E0302">
                              <w:rPr>
                                <w:rFonts w:eastAsia="Segoe UI Semilight" w:cs="Arial"/>
                                <w:color w:val="FFFFFF"/>
                                <w:spacing w:val="1"/>
                                <w:sz w:val="20"/>
                                <w:szCs w:val="20"/>
                              </w:rPr>
                              <w:t xml:space="preserve"> </w:t>
                            </w:r>
                            <w:r w:rsidRPr="004E0302">
                              <w:rPr>
                                <w:rFonts w:eastAsia="Segoe UI Semilight" w:cs="Arial"/>
                                <w:color w:val="FFFFFF"/>
                                <w:spacing w:val="-1"/>
                                <w:sz w:val="20"/>
                                <w:szCs w:val="20"/>
                              </w:rPr>
                              <w:t>other</w:t>
                            </w:r>
                            <w:r w:rsidRPr="004E0302">
                              <w:rPr>
                                <w:rFonts w:eastAsia="Segoe UI Semilight" w:cs="Arial"/>
                                <w:color w:val="FFFFFF"/>
                                <w:spacing w:val="1"/>
                                <w:sz w:val="20"/>
                                <w:szCs w:val="20"/>
                              </w:rPr>
                              <w:t xml:space="preserve"> </w:t>
                            </w:r>
                            <w:r w:rsidRPr="004E0302">
                              <w:rPr>
                                <w:rFonts w:eastAsia="Segoe UI Semilight" w:cs="Arial"/>
                                <w:color w:val="FFFFFF"/>
                                <w:spacing w:val="-1"/>
                                <w:sz w:val="20"/>
                                <w:szCs w:val="20"/>
                              </w:rPr>
                              <w:t>practices</w:t>
                            </w:r>
                            <w:r w:rsidRPr="004E0302">
                              <w:rPr>
                                <w:rFonts w:eastAsia="Segoe UI Semilight" w:cs="Arial"/>
                                <w:color w:val="FFFFFF"/>
                                <w:sz w:val="20"/>
                                <w:szCs w:val="20"/>
                              </w:rPr>
                              <w:t xml:space="preserve"> </w:t>
                            </w:r>
                            <w:r w:rsidRPr="004E0302">
                              <w:rPr>
                                <w:rFonts w:eastAsia="Segoe UI Semilight" w:cs="Arial"/>
                                <w:color w:val="FFFFFF"/>
                                <w:spacing w:val="-1"/>
                                <w:sz w:val="20"/>
                                <w:szCs w:val="20"/>
                              </w:rPr>
                              <w:t>can</w:t>
                            </w:r>
                            <w:r w:rsidRPr="004E0302">
                              <w:rPr>
                                <w:rFonts w:eastAsia="Segoe UI Semilight" w:cs="Arial"/>
                                <w:color w:val="FFFFFF"/>
                                <w:spacing w:val="3"/>
                                <w:sz w:val="20"/>
                                <w:szCs w:val="20"/>
                              </w:rPr>
                              <w:t xml:space="preserve"> </w:t>
                            </w:r>
                            <w:r w:rsidRPr="004E0302">
                              <w:rPr>
                                <w:rFonts w:eastAsia="Segoe UI Semilight" w:cs="Arial"/>
                                <w:color w:val="FFFFFF"/>
                                <w:spacing w:val="-1"/>
                                <w:sz w:val="20"/>
                                <w:szCs w:val="20"/>
                              </w:rPr>
                              <w:t>follow</w:t>
                            </w:r>
                            <w:r w:rsidRPr="004E0302">
                              <w:rPr>
                                <w:rFonts w:eastAsia="Segoe UI Semilight" w:cs="Arial"/>
                                <w:color w:val="FFFFFF"/>
                                <w:sz w:val="20"/>
                                <w:szCs w:val="20"/>
                              </w:rPr>
                              <w:t xml:space="preserve"> </w:t>
                            </w:r>
                            <w:r w:rsidRPr="004E0302">
                              <w:rPr>
                                <w:rFonts w:eastAsia="Segoe UI Semilight" w:cs="Arial"/>
                                <w:color w:val="FFFFFF"/>
                                <w:spacing w:val="-1"/>
                                <w:sz w:val="20"/>
                                <w:szCs w:val="20"/>
                              </w:rPr>
                              <w:t>their</w:t>
                            </w:r>
                            <w:r w:rsidRPr="004E0302">
                              <w:rPr>
                                <w:rFonts w:eastAsia="Segoe UI Semilight" w:cs="Arial"/>
                                <w:color w:val="FFFFFF"/>
                                <w:sz w:val="20"/>
                                <w:szCs w:val="20"/>
                              </w:rPr>
                              <w:t xml:space="preserve"> </w:t>
                            </w:r>
                            <w:r w:rsidRPr="004E0302">
                              <w:rPr>
                                <w:rFonts w:eastAsia="Segoe UI Semilight" w:cs="Arial"/>
                                <w:color w:val="FFFFFF"/>
                                <w:spacing w:val="-1"/>
                                <w:sz w:val="20"/>
                                <w:szCs w:val="20"/>
                              </w:rPr>
                              <w:t>lead.</w:t>
                            </w:r>
                            <w:r w:rsidRPr="004E0302">
                              <w:rPr>
                                <w:rFonts w:eastAsia="Segoe UI Semilight" w:cs="Arial"/>
                                <w:color w:val="FFFFFF"/>
                                <w:spacing w:val="1"/>
                                <w:sz w:val="20"/>
                                <w:szCs w:val="20"/>
                              </w:rPr>
                              <w:t xml:space="preserve"> </w:t>
                            </w:r>
                            <w:r w:rsidRPr="004E0302">
                              <w:rPr>
                                <w:rFonts w:eastAsia="Segoe UI Semilight" w:cs="Arial"/>
                                <w:color w:val="FFFFFF"/>
                                <w:spacing w:val="-1"/>
                                <w:sz w:val="20"/>
                                <w:szCs w:val="20"/>
                              </w:rPr>
                              <w:t>This</w:t>
                            </w:r>
                            <w:r w:rsidRPr="004E0302">
                              <w:rPr>
                                <w:rFonts w:eastAsia="Segoe UI Semilight" w:cs="Arial"/>
                                <w:color w:val="FFFFFF"/>
                                <w:spacing w:val="1"/>
                                <w:sz w:val="20"/>
                                <w:szCs w:val="20"/>
                              </w:rPr>
                              <w:t xml:space="preserve"> </w:t>
                            </w:r>
                            <w:r w:rsidRPr="004E0302">
                              <w:rPr>
                                <w:rFonts w:eastAsia="Segoe UI Semilight" w:cs="Arial"/>
                                <w:color w:val="FFFFFF"/>
                                <w:spacing w:val="-1"/>
                                <w:sz w:val="20"/>
                                <w:szCs w:val="20"/>
                              </w:rPr>
                              <w:t>helps</w:t>
                            </w:r>
                            <w:r w:rsidRPr="004E0302">
                              <w:rPr>
                                <w:rFonts w:eastAsia="Segoe UI Semilight" w:cs="Arial"/>
                                <w:color w:val="FFFFFF"/>
                                <w:spacing w:val="52"/>
                                <w:w w:val="99"/>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31"/>
                                <w:sz w:val="20"/>
                                <w:szCs w:val="20"/>
                              </w:rPr>
                              <w:t xml:space="preserve"> </w:t>
                            </w:r>
                            <w:r w:rsidRPr="004E0302">
                              <w:rPr>
                                <w:rFonts w:eastAsia="Segoe UI Semilight" w:cs="Arial"/>
                                <w:color w:val="FFFFFF"/>
                                <w:spacing w:val="-1"/>
                                <w:sz w:val="20"/>
                                <w:szCs w:val="20"/>
                              </w:rPr>
                              <w:t>meet</w:t>
                            </w:r>
                            <w:r w:rsidRPr="004E0302">
                              <w:rPr>
                                <w:rFonts w:eastAsia="Segoe UI Semilight" w:cs="Arial"/>
                                <w:color w:val="FFFFFF"/>
                                <w:spacing w:val="32"/>
                                <w:sz w:val="20"/>
                                <w:szCs w:val="20"/>
                              </w:rPr>
                              <w:t xml:space="preserve"> </w:t>
                            </w:r>
                            <w:r w:rsidRPr="004E0302">
                              <w:rPr>
                                <w:rFonts w:eastAsia="Segoe UI Semilight" w:cs="Arial"/>
                                <w:color w:val="FFFFFF"/>
                                <w:spacing w:val="-1"/>
                                <w:sz w:val="20"/>
                                <w:szCs w:val="20"/>
                              </w:rPr>
                              <w:t>the</w:t>
                            </w:r>
                            <w:r w:rsidRPr="004E0302">
                              <w:rPr>
                                <w:rFonts w:eastAsia="Segoe UI Semilight" w:cs="Arial"/>
                                <w:color w:val="FFFFFF"/>
                                <w:spacing w:val="33"/>
                                <w:sz w:val="20"/>
                                <w:szCs w:val="20"/>
                              </w:rPr>
                              <w:t xml:space="preserve"> </w:t>
                            </w:r>
                            <w:r w:rsidRPr="004E0302">
                              <w:rPr>
                                <w:rFonts w:eastAsia="Segoe UI Semilight" w:cs="Arial"/>
                                <w:color w:val="FFFFFF"/>
                                <w:spacing w:val="-1"/>
                                <w:sz w:val="20"/>
                                <w:szCs w:val="20"/>
                              </w:rPr>
                              <w:t>duty</w:t>
                            </w:r>
                            <w:r w:rsidRPr="004E0302">
                              <w:rPr>
                                <w:rFonts w:eastAsia="Segoe UI Semilight" w:cs="Arial"/>
                                <w:color w:val="FFFFFF"/>
                                <w:spacing w:val="33"/>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33"/>
                                <w:sz w:val="20"/>
                                <w:szCs w:val="20"/>
                              </w:rPr>
                              <w:t xml:space="preserve"> </w:t>
                            </w:r>
                            <w:r w:rsidRPr="004E0302">
                              <w:rPr>
                                <w:rFonts w:eastAsia="Segoe UI Semilight" w:cs="Arial"/>
                                <w:color w:val="FFFFFF"/>
                                <w:spacing w:val="-1"/>
                                <w:sz w:val="20"/>
                                <w:szCs w:val="20"/>
                              </w:rPr>
                              <w:t>promote</w:t>
                            </w:r>
                            <w:r w:rsidRPr="004E0302">
                              <w:rPr>
                                <w:rFonts w:eastAsia="Segoe UI Semilight" w:cs="Arial"/>
                                <w:color w:val="FFFFFF"/>
                                <w:spacing w:val="31"/>
                                <w:sz w:val="20"/>
                                <w:szCs w:val="20"/>
                              </w:rPr>
                              <w:t xml:space="preserve"> </w:t>
                            </w:r>
                            <w:r w:rsidRPr="004E0302">
                              <w:rPr>
                                <w:rFonts w:eastAsia="Segoe UI Semilight" w:cs="Arial"/>
                                <w:color w:val="FFFFFF"/>
                                <w:spacing w:val="-1"/>
                                <w:sz w:val="20"/>
                                <w:szCs w:val="20"/>
                              </w:rPr>
                              <w:t>innovation</w:t>
                            </w:r>
                            <w:r w:rsidRPr="004E0302">
                              <w:rPr>
                                <w:rFonts w:eastAsia="Segoe UI Semilight" w:cs="Arial"/>
                                <w:color w:val="FFFFFF"/>
                                <w:spacing w:val="35"/>
                                <w:sz w:val="20"/>
                                <w:szCs w:val="20"/>
                              </w:rPr>
                              <w:t xml:space="preserve"> </w:t>
                            </w:r>
                            <w:r w:rsidRPr="004E0302">
                              <w:rPr>
                                <w:rFonts w:eastAsia="Segoe UI Semilight" w:cs="Arial"/>
                                <w:color w:val="FFFFFF"/>
                                <w:spacing w:val="-1"/>
                                <w:sz w:val="20"/>
                                <w:szCs w:val="20"/>
                              </w:rPr>
                              <w:t>in</w:t>
                            </w:r>
                            <w:r w:rsidRPr="004E0302">
                              <w:rPr>
                                <w:rFonts w:eastAsia="Segoe UI Semilight" w:cs="Arial"/>
                                <w:color w:val="FFFFFF"/>
                                <w:spacing w:val="32"/>
                                <w:sz w:val="20"/>
                                <w:szCs w:val="20"/>
                              </w:rPr>
                              <w:t xml:space="preserve"> </w:t>
                            </w:r>
                            <w:r w:rsidRPr="004E0302">
                              <w:rPr>
                                <w:rFonts w:eastAsia="Segoe UI Semilight" w:cs="Arial"/>
                                <w:color w:val="FFFFFF"/>
                                <w:sz w:val="20"/>
                                <w:szCs w:val="20"/>
                              </w:rPr>
                              <w:t>the</w:t>
                            </w:r>
                            <w:r w:rsidRPr="004E0302">
                              <w:rPr>
                                <w:rFonts w:eastAsia="Segoe UI Semilight" w:cs="Arial"/>
                                <w:color w:val="FFFFFF"/>
                                <w:spacing w:val="31"/>
                                <w:sz w:val="20"/>
                                <w:szCs w:val="20"/>
                              </w:rPr>
                              <w:t xml:space="preserve"> </w:t>
                            </w:r>
                            <w:r w:rsidRPr="004E0302">
                              <w:rPr>
                                <w:rFonts w:eastAsia="Segoe UI Semilight" w:cs="Arial"/>
                                <w:color w:val="FFFFFF"/>
                                <w:spacing w:val="-1"/>
                                <w:sz w:val="20"/>
                                <w:szCs w:val="20"/>
                              </w:rPr>
                              <w:t>health</w:t>
                            </w:r>
                            <w:r w:rsidRPr="004E0302">
                              <w:rPr>
                                <w:rFonts w:eastAsia="Segoe UI Semilight" w:cs="Arial"/>
                                <w:color w:val="FFFFFF"/>
                                <w:spacing w:val="35"/>
                                <w:sz w:val="20"/>
                                <w:szCs w:val="20"/>
                              </w:rPr>
                              <w:t xml:space="preserve"> </w:t>
                            </w:r>
                            <w:r w:rsidRPr="004E0302">
                              <w:rPr>
                                <w:rFonts w:eastAsia="Segoe UI Semilight" w:cs="Arial"/>
                                <w:color w:val="FFFFFF"/>
                                <w:spacing w:val="-1"/>
                                <w:sz w:val="20"/>
                                <w:szCs w:val="20"/>
                              </w:rPr>
                              <w:t>service.</w:t>
                            </w:r>
                            <w:r w:rsidRPr="004E0302">
                              <w:rPr>
                                <w:rFonts w:eastAsia="Segoe UI Semilight" w:cs="Arial"/>
                                <w:color w:val="FFFFFF"/>
                                <w:spacing w:val="64"/>
                                <w:sz w:val="20"/>
                                <w:szCs w:val="20"/>
                              </w:rPr>
                              <w:t xml:space="preserve"> </w:t>
                            </w:r>
                            <w:r w:rsidRPr="004E0302">
                              <w:rPr>
                                <w:rFonts w:eastAsia="Segoe UI Semilight" w:cs="Arial"/>
                                <w:color w:val="FFFFFF"/>
                                <w:spacing w:val="1"/>
                                <w:sz w:val="20"/>
                                <w:szCs w:val="20"/>
                              </w:rPr>
                              <w:t>If</w:t>
                            </w:r>
                            <w:r w:rsidRPr="004E0302">
                              <w:rPr>
                                <w:rFonts w:eastAsia="Segoe UI Semilight" w:cs="Arial"/>
                                <w:color w:val="FFFFFF"/>
                                <w:spacing w:val="32"/>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55"/>
                                <w:w w:val="99"/>
                                <w:sz w:val="20"/>
                                <w:szCs w:val="20"/>
                              </w:rPr>
                              <w:t xml:space="preserve"> </w:t>
                            </w:r>
                            <w:r w:rsidRPr="004E0302">
                              <w:rPr>
                                <w:rFonts w:eastAsia="Segoe UI Semilight" w:cs="Arial"/>
                                <w:color w:val="FFFFFF"/>
                                <w:spacing w:val="-1"/>
                                <w:sz w:val="20"/>
                                <w:szCs w:val="20"/>
                              </w:rPr>
                              <w:t>request</w:t>
                            </w:r>
                            <w:r w:rsidRPr="004E0302">
                              <w:rPr>
                                <w:rFonts w:eastAsia="Segoe UI Semilight" w:cs="Arial"/>
                                <w:color w:val="FFFFFF"/>
                                <w:spacing w:val="46"/>
                                <w:sz w:val="20"/>
                                <w:szCs w:val="20"/>
                              </w:rPr>
                              <w:t xml:space="preserve"> </w:t>
                            </w:r>
                            <w:r w:rsidRPr="004E0302">
                              <w:rPr>
                                <w:rFonts w:eastAsia="Segoe UI Semilight" w:cs="Arial"/>
                                <w:color w:val="FFFFFF"/>
                                <w:spacing w:val="-1"/>
                                <w:sz w:val="20"/>
                                <w:szCs w:val="20"/>
                              </w:rPr>
                              <w:t>was</w:t>
                            </w:r>
                            <w:r w:rsidRPr="004E0302">
                              <w:rPr>
                                <w:rFonts w:eastAsia="Segoe UI Semilight" w:cs="Arial"/>
                                <w:color w:val="FFFFFF"/>
                                <w:spacing w:val="47"/>
                                <w:sz w:val="20"/>
                                <w:szCs w:val="20"/>
                              </w:rPr>
                              <w:t xml:space="preserve"> </w:t>
                            </w:r>
                            <w:r w:rsidRPr="004E0302">
                              <w:rPr>
                                <w:rFonts w:eastAsia="Segoe UI Semilight" w:cs="Arial"/>
                                <w:color w:val="FFFFFF"/>
                                <w:sz w:val="20"/>
                                <w:szCs w:val="20"/>
                              </w:rPr>
                              <w:t>received</w:t>
                            </w:r>
                            <w:r w:rsidRPr="004E0302">
                              <w:rPr>
                                <w:rFonts w:eastAsia="Segoe UI Semilight" w:cs="Arial"/>
                                <w:color w:val="FFFFFF"/>
                                <w:spacing w:val="48"/>
                                <w:sz w:val="20"/>
                                <w:szCs w:val="20"/>
                              </w:rPr>
                              <w:t xml:space="preserve"> </w:t>
                            </w:r>
                            <w:r w:rsidRPr="004E0302">
                              <w:rPr>
                                <w:rFonts w:eastAsia="Segoe UI Semilight" w:cs="Arial"/>
                                <w:color w:val="FFFFFF"/>
                                <w:spacing w:val="-1"/>
                                <w:sz w:val="20"/>
                                <w:szCs w:val="20"/>
                              </w:rPr>
                              <w:t>by</w:t>
                            </w:r>
                            <w:r w:rsidRPr="004E0302">
                              <w:rPr>
                                <w:rFonts w:eastAsia="Segoe UI Semilight" w:cs="Arial"/>
                                <w:color w:val="FFFFFF"/>
                                <w:spacing w:val="47"/>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46"/>
                                <w:sz w:val="20"/>
                                <w:szCs w:val="20"/>
                              </w:rPr>
                              <w:t xml:space="preserve"> </w:t>
                            </w:r>
                            <w:r w:rsidRPr="004E0302">
                              <w:rPr>
                                <w:rFonts w:eastAsia="Segoe UI Semilight" w:cs="Arial"/>
                                <w:color w:val="FFFFFF"/>
                                <w:spacing w:val="-1"/>
                                <w:sz w:val="20"/>
                                <w:szCs w:val="20"/>
                              </w:rPr>
                              <w:t>commissioner</w:t>
                            </w:r>
                            <w:r w:rsidRPr="004E0302">
                              <w:rPr>
                                <w:rFonts w:eastAsia="Segoe UI Semilight" w:cs="Arial"/>
                                <w:color w:val="FFFFFF"/>
                                <w:spacing w:val="48"/>
                                <w:sz w:val="20"/>
                                <w:szCs w:val="20"/>
                              </w:rPr>
                              <w:t xml:space="preserve"> </w:t>
                            </w:r>
                            <w:r w:rsidRPr="004E0302">
                              <w:rPr>
                                <w:rFonts w:eastAsia="Segoe UI Semilight" w:cs="Arial"/>
                                <w:color w:val="FFFFFF"/>
                                <w:sz w:val="20"/>
                                <w:szCs w:val="20"/>
                              </w:rPr>
                              <w:t>for</w:t>
                            </w:r>
                            <w:r w:rsidRPr="004E0302">
                              <w:rPr>
                                <w:rFonts w:eastAsia="Segoe UI Semilight" w:cs="Arial"/>
                                <w:color w:val="FFFFFF"/>
                                <w:spacing w:val="46"/>
                                <w:sz w:val="20"/>
                                <w:szCs w:val="20"/>
                              </w:rPr>
                              <w:t xml:space="preserve"> </w:t>
                            </w:r>
                            <w:r w:rsidRPr="004E0302">
                              <w:rPr>
                                <w:rFonts w:eastAsia="Segoe UI Semilight" w:cs="Arial"/>
                                <w:color w:val="FFFFFF"/>
                                <w:spacing w:val="-1"/>
                                <w:sz w:val="20"/>
                                <w:szCs w:val="20"/>
                              </w:rPr>
                              <w:t>e.g.</w:t>
                            </w:r>
                            <w:r w:rsidRPr="004E0302">
                              <w:rPr>
                                <w:rFonts w:eastAsia="Segoe UI Semilight" w:cs="Arial"/>
                                <w:color w:val="FFFFFF"/>
                                <w:spacing w:val="49"/>
                                <w:sz w:val="20"/>
                                <w:szCs w:val="20"/>
                              </w:rPr>
                              <w:t xml:space="preserve"> </w:t>
                            </w:r>
                            <w:r w:rsidRPr="004E0302">
                              <w:rPr>
                                <w:rFonts w:eastAsia="Segoe UI Semilight" w:cs="Arial"/>
                                <w:color w:val="FFFFFF"/>
                                <w:spacing w:val="-1"/>
                                <w:sz w:val="20"/>
                                <w:szCs w:val="20"/>
                              </w:rPr>
                              <w:t>extra</w:t>
                            </w:r>
                            <w:r w:rsidRPr="004E0302">
                              <w:rPr>
                                <w:rFonts w:eastAsia="Segoe UI Semilight" w:cs="Arial"/>
                                <w:color w:val="FFFFFF"/>
                                <w:spacing w:val="46"/>
                                <w:sz w:val="20"/>
                                <w:szCs w:val="20"/>
                              </w:rPr>
                              <w:t xml:space="preserve"> </w:t>
                            </w:r>
                            <w:r w:rsidRPr="004E0302">
                              <w:rPr>
                                <w:rFonts w:eastAsia="Segoe UI Semilight" w:cs="Arial"/>
                                <w:color w:val="FFFFFF"/>
                                <w:spacing w:val="-1"/>
                                <w:sz w:val="20"/>
                                <w:szCs w:val="20"/>
                              </w:rPr>
                              <w:t>funding</w:t>
                            </w:r>
                            <w:r w:rsidRPr="004E0302">
                              <w:rPr>
                                <w:rFonts w:eastAsia="Segoe UI Semilight" w:cs="Arial"/>
                                <w:color w:val="FFFFFF"/>
                                <w:spacing w:val="47"/>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53"/>
                                <w:sz w:val="20"/>
                                <w:szCs w:val="20"/>
                              </w:rPr>
                              <w:t xml:space="preserve"> </w:t>
                            </w:r>
                            <w:r w:rsidRPr="004E0302">
                              <w:rPr>
                                <w:rFonts w:eastAsia="Segoe UI Semilight" w:cs="Arial"/>
                                <w:color w:val="FFFFFF"/>
                                <w:spacing w:val="-1"/>
                                <w:sz w:val="20"/>
                                <w:szCs w:val="20"/>
                              </w:rPr>
                              <w:t>support</w:t>
                            </w:r>
                            <w:r w:rsidRPr="004E0302">
                              <w:rPr>
                                <w:rFonts w:eastAsia="Segoe UI Semilight" w:cs="Arial"/>
                                <w:color w:val="FFFFFF"/>
                                <w:spacing w:val="5"/>
                                <w:sz w:val="20"/>
                                <w:szCs w:val="20"/>
                              </w:rPr>
                              <w:t xml:space="preserve"> </w:t>
                            </w:r>
                            <w:r w:rsidRPr="004E0302">
                              <w:rPr>
                                <w:rFonts w:eastAsia="Segoe UI Semilight" w:cs="Arial"/>
                                <w:color w:val="FFFFFF"/>
                                <w:spacing w:val="-1"/>
                                <w:sz w:val="20"/>
                                <w:szCs w:val="20"/>
                              </w:rPr>
                              <w:t>the</w:t>
                            </w:r>
                            <w:r w:rsidRPr="004E0302">
                              <w:rPr>
                                <w:rFonts w:eastAsia="Segoe UI Semilight" w:cs="Arial"/>
                                <w:color w:val="FFFFFF"/>
                                <w:spacing w:val="7"/>
                                <w:sz w:val="20"/>
                                <w:szCs w:val="20"/>
                              </w:rPr>
                              <w:t xml:space="preserve"> </w:t>
                            </w:r>
                            <w:r w:rsidRPr="004E0302">
                              <w:rPr>
                                <w:rFonts w:eastAsia="Segoe UI Semilight" w:cs="Arial"/>
                                <w:color w:val="FFFFFF"/>
                                <w:spacing w:val="-1"/>
                                <w:sz w:val="20"/>
                                <w:szCs w:val="20"/>
                              </w:rPr>
                              <w:t>implementation</w:t>
                            </w:r>
                            <w:r w:rsidRPr="004E0302">
                              <w:rPr>
                                <w:rFonts w:eastAsia="Segoe UI Semilight" w:cs="Arial"/>
                                <w:color w:val="FFFFFF"/>
                                <w:spacing w:val="5"/>
                                <w:sz w:val="20"/>
                                <w:szCs w:val="20"/>
                              </w:rPr>
                              <w:t xml:space="preserve"> </w:t>
                            </w:r>
                            <w:r w:rsidRPr="004E0302">
                              <w:rPr>
                                <w:rFonts w:eastAsia="Segoe UI Semilight" w:cs="Arial"/>
                                <w:color w:val="FFFFFF"/>
                                <w:sz w:val="20"/>
                                <w:szCs w:val="20"/>
                              </w:rPr>
                              <w:t>of</w:t>
                            </w:r>
                            <w:r w:rsidRPr="004E0302">
                              <w:rPr>
                                <w:rFonts w:eastAsia="Segoe UI Semilight" w:cs="Arial"/>
                                <w:color w:val="FFFFFF"/>
                                <w:spacing w:val="4"/>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8"/>
                                <w:sz w:val="20"/>
                                <w:szCs w:val="20"/>
                              </w:rPr>
                              <w:t xml:space="preserve"> </w:t>
                            </w:r>
                            <w:r w:rsidRPr="004E0302">
                              <w:rPr>
                                <w:rFonts w:eastAsia="Segoe UI Semilight" w:cs="Arial"/>
                                <w:color w:val="FFFFFF"/>
                                <w:spacing w:val="-1"/>
                                <w:sz w:val="20"/>
                                <w:szCs w:val="20"/>
                              </w:rPr>
                              <w:t>local</w:t>
                            </w:r>
                            <w:r w:rsidRPr="004E0302">
                              <w:rPr>
                                <w:rFonts w:eastAsia="Segoe UI Semilight" w:cs="Arial"/>
                                <w:color w:val="FFFFFF"/>
                                <w:spacing w:val="7"/>
                                <w:sz w:val="20"/>
                                <w:szCs w:val="20"/>
                              </w:rPr>
                              <w:t xml:space="preserve"> </w:t>
                            </w:r>
                            <w:r w:rsidRPr="004E0302">
                              <w:rPr>
                                <w:rFonts w:eastAsia="Segoe UI Semilight" w:cs="Arial"/>
                                <w:color w:val="FFFFFF"/>
                                <w:spacing w:val="-1"/>
                                <w:sz w:val="20"/>
                                <w:szCs w:val="20"/>
                              </w:rPr>
                              <w:t>telehealth</w:t>
                            </w:r>
                            <w:r w:rsidRPr="004E0302">
                              <w:rPr>
                                <w:rFonts w:eastAsia="Segoe UI Semilight" w:cs="Arial"/>
                                <w:color w:val="FFFFFF"/>
                                <w:spacing w:val="5"/>
                                <w:sz w:val="20"/>
                                <w:szCs w:val="20"/>
                              </w:rPr>
                              <w:t xml:space="preserve"> </w:t>
                            </w:r>
                            <w:r w:rsidRPr="004E0302">
                              <w:rPr>
                                <w:rFonts w:eastAsia="Segoe UI Semilight" w:cs="Arial"/>
                                <w:color w:val="FFFFFF"/>
                                <w:spacing w:val="-1"/>
                                <w:sz w:val="20"/>
                                <w:szCs w:val="20"/>
                              </w:rPr>
                              <w:t>initiative</w:t>
                            </w:r>
                            <w:r w:rsidRPr="004E0302">
                              <w:rPr>
                                <w:rFonts w:eastAsia="Segoe UI Semilight" w:cs="Arial"/>
                                <w:color w:val="FFFFFF"/>
                                <w:spacing w:val="7"/>
                                <w:sz w:val="20"/>
                                <w:szCs w:val="20"/>
                              </w:rPr>
                              <w:t xml:space="preserve"> </w:t>
                            </w:r>
                            <w:r w:rsidRPr="004E0302">
                              <w:rPr>
                                <w:rFonts w:eastAsia="Segoe UI Semilight" w:cs="Arial"/>
                                <w:color w:val="FFFFFF"/>
                                <w:spacing w:val="-1"/>
                                <w:sz w:val="20"/>
                                <w:szCs w:val="20"/>
                              </w:rPr>
                              <w:t>they</w:t>
                            </w:r>
                            <w:r w:rsidRPr="004E0302">
                              <w:rPr>
                                <w:rFonts w:eastAsia="Segoe UI Semilight" w:cs="Arial"/>
                                <w:color w:val="FFFFFF"/>
                                <w:spacing w:val="6"/>
                                <w:sz w:val="20"/>
                                <w:szCs w:val="20"/>
                              </w:rPr>
                              <w:t xml:space="preserve"> </w:t>
                            </w:r>
                            <w:r w:rsidRPr="004E0302">
                              <w:rPr>
                                <w:rFonts w:eastAsia="Segoe UI Semilight" w:cs="Arial"/>
                                <w:color w:val="FFFFFF"/>
                                <w:spacing w:val="-1"/>
                                <w:sz w:val="20"/>
                                <w:szCs w:val="20"/>
                              </w:rPr>
                              <w:t>would</w:t>
                            </w:r>
                            <w:r w:rsidRPr="004E0302">
                              <w:rPr>
                                <w:rFonts w:eastAsia="Segoe UI Semilight" w:cs="Arial"/>
                                <w:color w:val="FFFFFF"/>
                                <w:spacing w:val="68"/>
                                <w:w w:val="99"/>
                                <w:sz w:val="20"/>
                                <w:szCs w:val="20"/>
                              </w:rPr>
                              <w:t xml:space="preserve"> </w:t>
                            </w:r>
                            <w:r w:rsidRPr="004E0302">
                              <w:rPr>
                                <w:rFonts w:eastAsia="Segoe UI Semilight" w:cs="Arial"/>
                                <w:color w:val="FFFFFF"/>
                                <w:spacing w:val="-1"/>
                                <w:sz w:val="20"/>
                                <w:szCs w:val="20"/>
                              </w:rPr>
                              <w:t>not</w:t>
                            </w:r>
                            <w:r w:rsidRPr="004E0302">
                              <w:rPr>
                                <w:rFonts w:eastAsia="Segoe UI Semilight" w:cs="Arial"/>
                                <w:color w:val="FFFFFF"/>
                                <w:spacing w:val="22"/>
                                <w:sz w:val="20"/>
                                <w:szCs w:val="20"/>
                              </w:rPr>
                              <w:t xml:space="preserve"> </w:t>
                            </w:r>
                            <w:r w:rsidRPr="004E0302">
                              <w:rPr>
                                <w:rFonts w:eastAsia="Segoe UI Semilight" w:cs="Arial"/>
                                <w:color w:val="FFFFFF"/>
                                <w:spacing w:val="-1"/>
                                <w:sz w:val="20"/>
                                <w:szCs w:val="20"/>
                              </w:rPr>
                              <w:t>be</w:t>
                            </w:r>
                            <w:r w:rsidRPr="004E0302">
                              <w:rPr>
                                <w:rFonts w:eastAsia="Segoe UI Semilight" w:cs="Arial"/>
                                <w:color w:val="FFFFFF"/>
                                <w:spacing w:val="20"/>
                                <w:sz w:val="20"/>
                                <w:szCs w:val="20"/>
                              </w:rPr>
                              <w:t xml:space="preserve"> </w:t>
                            </w:r>
                            <w:r w:rsidRPr="004E0302">
                              <w:rPr>
                                <w:rFonts w:eastAsia="Segoe UI Semilight" w:cs="Arial"/>
                                <w:color w:val="FFFFFF"/>
                                <w:sz w:val="20"/>
                                <w:szCs w:val="20"/>
                              </w:rPr>
                              <w:t>obliged</w:t>
                            </w:r>
                            <w:r w:rsidRPr="004E0302">
                              <w:rPr>
                                <w:rFonts w:eastAsia="Segoe UI Semilight" w:cs="Arial"/>
                                <w:color w:val="FFFFFF"/>
                                <w:spacing w:val="20"/>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20"/>
                                <w:sz w:val="20"/>
                                <w:szCs w:val="20"/>
                              </w:rPr>
                              <w:t xml:space="preserve"> </w:t>
                            </w:r>
                            <w:r w:rsidRPr="004E0302">
                              <w:rPr>
                                <w:rFonts w:eastAsia="Segoe UI Semilight" w:cs="Arial"/>
                                <w:color w:val="FFFFFF"/>
                                <w:spacing w:val="-1"/>
                                <w:sz w:val="20"/>
                                <w:szCs w:val="20"/>
                              </w:rPr>
                              <w:t>support</w:t>
                            </w:r>
                            <w:r w:rsidRPr="004E0302">
                              <w:rPr>
                                <w:rFonts w:eastAsia="Segoe UI Semilight" w:cs="Arial"/>
                                <w:color w:val="FFFFFF"/>
                                <w:spacing w:val="22"/>
                                <w:sz w:val="20"/>
                                <w:szCs w:val="20"/>
                              </w:rPr>
                              <w:t xml:space="preserve"> </w:t>
                            </w:r>
                            <w:r w:rsidRPr="004E0302">
                              <w:rPr>
                                <w:rFonts w:eastAsia="Segoe UI Semilight" w:cs="Arial"/>
                                <w:color w:val="FFFFFF"/>
                                <w:spacing w:val="-1"/>
                                <w:sz w:val="20"/>
                                <w:szCs w:val="20"/>
                              </w:rPr>
                              <w:t>it</w:t>
                            </w:r>
                            <w:r w:rsidRPr="004E0302">
                              <w:rPr>
                                <w:rFonts w:eastAsia="Segoe UI Semilight" w:cs="Arial"/>
                                <w:color w:val="FFFFFF"/>
                                <w:spacing w:val="22"/>
                                <w:sz w:val="20"/>
                                <w:szCs w:val="20"/>
                              </w:rPr>
                              <w:t xml:space="preserve"> </w:t>
                            </w:r>
                            <w:r w:rsidRPr="004E0302">
                              <w:rPr>
                                <w:rFonts w:eastAsia="Segoe UI Semilight" w:cs="Arial"/>
                                <w:color w:val="FFFFFF"/>
                                <w:spacing w:val="-1"/>
                                <w:sz w:val="20"/>
                                <w:szCs w:val="20"/>
                              </w:rPr>
                              <w:t>because</w:t>
                            </w:r>
                            <w:r w:rsidRPr="004E0302">
                              <w:rPr>
                                <w:rFonts w:eastAsia="Segoe UI Semilight" w:cs="Arial"/>
                                <w:color w:val="FFFFFF"/>
                                <w:spacing w:val="24"/>
                                <w:sz w:val="20"/>
                                <w:szCs w:val="20"/>
                              </w:rPr>
                              <w:t xml:space="preserve"> </w:t>
                            </w:r>
                            <w:r w:rsidRPr="004E0302">
                              <w:rPr>
                                <w:rFonts w:eastAsia="Segoe UI Semilight" w:cs="Arial"/>
                                <w:color w:val="FFFFFF"/>
                                <w:spacing w:val="-1"/>
                                <w:sz w:val="20"/>
                                <w:szCs w:val="20"/>
                              </w:rPr>
                              <w:t>of</w:t>
                            </w:r>
                            <w:r w:rsidRPr="004E0302">
                              <w:rPr>
                                <w:rFonts w:eastAsia="Segoe UI Semilight" w:cs="Arial"/>
                                <w:color w:val="FFFFFF"/>
                                <w:spacing w:val="20"/>
                                <w:sz w:val="20"/>
                                <w:szCs w:val="20"/>
                              </w:rPr>
                              <w:t xml:space="preserve"> </w:t>
                            </w:r>
                            <w:r w:rsidRPr="004E0302">
                              <w:rPr>
                                <w:rFonts w:eastAsia="Segoe UI Semilight" w:cs="Arial"/>
                                <w:color w:val="FFFFFF"/>
                                <w:sz w:val="20"/>
                                <w:szCs w:val="20"/>
                              </w:rPr>
                              <w:t>the</w:t>
                            </w:r>
                            <w:r w:rsidRPr="004E0302">
                              <w:rPr>
                                <w:rFonts w:eastAsia="Segoe UI Semilight" w:cs="Arial"/>
                                <w:color w:val="FFFFFF"/>
                                <w:spacing w:val="20"/>
                                <w:sz w:val="20"/>
                                <w:szCs w:val="20"/>
                              </w:rPr>
                              <w:t xml:space="preserve"> </w:t>
                            </w:r>
                            <w:r w:rsidRPr="004E0302">
                              <w:rPr>
                                <w:rFonts w:eastAsia="Segoe UI Semilight" w:cs="Arial"/>
                                <w:color w:val="FFFFFF"/>
                                <w:spacing w:val="-1"/>
                                <w:sz w:val="20"/>
                                <w:szCs w:val="20"/>
                              </w:rPr>
                              <w:t>duty</w:t>
                            </w:r>
                            <w:r w:rsidRPr="004E0302">
                              <w:rPr>
                                <w:rFonts w:eastAsia="Segoe UI Semilight" w:cs="Arial"/>
                                <w:color w:val="FFFFFF"/>
                                <w:spacing w:val="21"/>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20"/>
                                <w:sz w:val="20"/>
                                <w:szCs w:val="20"/>
                              </w:rPr>
                              <w:t xml:space="preserve"> </w:t>
                            </w:r>
                            <w:r w:rsidRPr="004E0302">
                              <w:rPr>
                                <w:rFonts w:eastAsia="Segoe UI Semilight" w:cs="Arial"/>
                                <w:color w:val="FFFFFF"/>
                                <w:spacing w:val="-1"/>
                                <w:sz w:val="20"/>
                                <w:szCs w:val="20"/>
                              </w:rPr>
                              <w:t>promote</w:t>
                            </w:r>
                            <w:r w:rsidRPr="004E0302">
                              <w:rPr>
                                <w:rFonts w:eastAsia="Segoe UI Semilight" w:cs="Arial"/>
                                <w:color w:val="FFFFFF"/>
                                <w:spacing w:val="41"/>
                                <w:w w:val="99"/>
                                <w:sz w:val="20"/>
                                <w:szCs w:val="20"/>
                              </w:rPr>
                              <w:t xml:space="preserve"> </w:t>
                            </w:r>
                            <w:r w:rsidRPr="004E0302">
                              <w:rPr>
                                <w:rFonts w:eastAsia="Segoe UI Semilight" w:cs="Arial"/>
                                <w:color w:val="FFFFFF"/>
                                <w:spacing w:val="-1"/>
                                <w:sz w:val="20"/>
                                <w:szCs w:val="20"/>
                              </w:rPr>
                              <w:t>innovation.</w:t>
                            </w:r>
                            <w:r w:rsidRPr="004E0302">
                              <w:rPr>
                                <w:rFonts w:eastAsia="Segoe UI Semilight" w:cs="Arial"/>
                                <w:color w:val="FFFFFF"/>
                                <w:spacing w:val="10"/>
                                <w:sz w:val="20"/>
                                <w:szCs w:val="20"/>
                              </w:rPr>
                              <w:t xml:space="preserve"> </w:t>
                            </w:r>
                            <w:r w:rsidRPr="004E0302">
                              <w:rPr>
                                <w:rFonts w:eastAsia="Segoe UI Semilight" w:cs="Arial"/>
                                <w:color w:val="FFFFFF"/>
                                <w:spacing w:val="-1"/>
                                <w:sz w:val="20"/>
                                <w:szCs w:val="20"/>
                              </w:rPr>
                              <w:t>That</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duty</w:t>
                            </w:r>
                            <w:r w:rsidRPr="004E0302">
                              <w:rPr>
                                <w:rFonts w:eastAsia="Segoe UI Semilight" w:cs="Arial"/>
                                <w:color w:val="FFFFFF"/>
                                <w:spacing w:val="39"/>
                                <w:sz w:val="20"/>
                                <w:szCs w:val="20"/>
                              </w:rPr>
                              <w:t xml:space="preserve"> </w:t>
                            </w:r>
                            <w:r w:rsidRPr="004E0302">
                              <w:rPr>
                                <w:rFonts w:eastAsia="Segoe UI Semilight" w:cs="Arial"/>
                                <w:color w:val="FFFFFF"/>
                                <w:spacing w:val="-1"/>
                                <w:sz w:val="20"/>
                                <w:szCs w:val="20"/>
                              </w:rPr>
                              <w:t>has</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already</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been</w:t>
                            </w:r>
                            <w:r w:rsidRPr="004E0302">
                              <w:rPr>
                                <w:rFonts w:eastAsia="Segoe UI Semilight" w:cs="Arial"/>
                                <w:color w:val="FFFFFF"/>
                                <w:spacing w:val="39"/>
                                <w:sz w:val="20"/>
                                <w:szCs w:val="20"/>
                              </w:rPr>
                              <w:t xml:space="preserve"> </w:t>
                            </w:r>
                            <w:r w:rsidRPr="004E0302">
                              <w:rPr>
                                <w:rFonts w:eastAsia="Segoe UI Semilight" w:cs="Arial"/>
                                <w:color w:val="FFFFFF"/>
                                <w:spacing w:val="-1"/>
                                <w:sz w:val="20"/>
                                <w:szCs w:val="20"/>
                              </w:rPr>
                              <w:t>met</w:t>
                            </w:r>
                            <w:r w:rsidRPr="004E0302">
                              <w:rPr>
                                <w:rFonts w:eastAsia="Segoe UI Semilight" w:cs="Arial"/>
                                <w:color w:val="FFFFFF"/>
                                <w:spacing w:val="40"/>
                                <w:sz w:val="20"/>
                                <w:szCs w:val="20"/>
                              </w:rPr>
                              <w:t xml:space="preserve"> </w:t>
                            </w:r>
                            <w:r w:rsidRPr="004E0302">
                              <w:rPr>
                                <w:rFonts w:eastAsia="Segoe UI Semilight" w:cs="Arial"/>
                                <w:color w:val="FFFFFF"/>
                                <w:spacing w:val="-1"/>
                                <w:sz w:val="20"/>
                                <w:szCs w:val="20"/>
                              </w:rPr>
                              <w:t>by</w:t>
                            </w:r>
                            <w:r w:rsidRPr="004E0302">
                              <w:rPr>
                                <w:rFonts w:eastAsia="Segoe UI Semilight" w:cs="Arial"/>
                                <w:color w:val="FFFFFF"/>
                                <w:spacing w:val="36"/>
                                <w:sz w:val="20"/>
                                <w:szCs w:val="20"/>
                              </w:rPr>
                              <w:t xml:space="preserve"> </w:t>
                            </w:r>
                            <w:r w:rsidRPr="004E0302">
                              <w:rPr>
                                <w:rFonts w:eastAsia="Segoe UI Semilight" w:cs="Arial"/>
                                <w:color w:val="FFFFFF"/>
                                <w:sz w:val="20"/>
                                <w:szCs w:val="20"/>
                              </w:rPr>
                              <w:t>the commissioner</w:t>
                            </w:r>
                            <w:r w:rsidRPr="004E0302">
                              <w:rPr>
                                <w:rFonts w:eastAsia="Segoe UI Semilight" w:cs="Arial"/>
                                <w:color w:val="FFFFFF"/>
                                <w:spacing w:val="36"/>
                                <w:sz w:val="20"/>
                                <w:szCs w:val="20"/>
                              </w:rPr>
                              <w:t xml:space="preserve"> </w:t>
                            </w:r>
                            <w:r w:rsidRPr="004E0302">
                              <w:rPr>
                                <w:rFonts w:eastAsia="Segoe UI Semilight" w:cs="Arial"/>
                                <w:color w:val="FFFFFF"/>
                                <w:spacing w:val="-1"/>
                                <w:sz w:val="20"/>
                                <w:szCs w:val="20"/>
                              </w:rPr>
                              <w:t>in</w:t>
                            </w:r>
                            <w:r w:rsidRPr="004E0302">
                              <w:rPr>
                                <w:rFonts w:eastAsia="Segoe UI Semilight" w:cs="Arial"/>
                                <w:color w:val="FFFFFF"/>
                                <w:spacing w:val="39"/>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43"/>
                                <w:w w:val="99"/>
                                <w:sz w:val="20"/>
                                <w:szCs w:val="20"/>
                              </w:rPr>
                              <w:t xml:space="preserve"> </w:t>
                            </w:r>
                            <w:r w:rsidRPr="004E0302">
                              <w:rPr>
                                <w:rFonts w:eastAsia="Segoe UI Semilight" w:cs="Arial"/>
                                <w:color w:val="FFFFFF"/>
                                <w:spacing w:val="-1"/>
                                <w:sz w:val="20"/>
                                <w:szCs w:val="20"/>
                              </w:rPr>
                              <w:t>different</w:t>
                            </w:r>
                            <w:r w:rsidRPr="004E0302">
                              <w:rPr>
                                <w:rFonts w:eastAsia="Segoe UI Semilight" w:cs="Arial"/>
                                <w:color w:val="FFFFFF"/>
                                <w:spacing w:val="-8"/>
                                <w:sz w:val="20"/>
                                <w:szCs w:val="20"/>
                              </w:rPr>
                              <w:t xml:space="preserve"> </w:t>
                            </w:r>
                            <w:r w:rsidRPr="004E0302">
                              <w:rPr>
                                <w:rFonts w:eastAsia="Segoe UI Semilight" w:cs="Arial"/>
                                <w:color w:val="FFFFFF"/>
                                <w:spacing w:val="-1"/>
                                <w:sz w:val="20"/>
                                <w:szCs w:val="20"/>
                              </w:rPr>
                              <w:t>way.</w:t>
                            </w:r>
                          </w:p>
                        </w:txbxContent>
                      </wps:txbx>
                      <wps:bodyPr rot="0" vert="horz" wrap="square" lIns="0" tIns="0" rIns="0" bIns="0" anchor="t" anchorCtr="0" upright="1">
                        <a:noAutofit/>
                      </wps:bodyPr>
                    </wps:wsp>
                  </a:graphicData>
                </a:graphic>
              </wp:inline>
            </w:drawing>
          </mc:Choice>
          <mc:Fallback>
            <w:pict>
              <v:shape w14:anchorId="24DDBC83" id="Text Box 1889" o:spid="_x0000_s1031" type="#_x0000_t202" style="width:382.7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" fillcolor="#1c6cb4" stroked="f">
                <v:textbox inset="0,0,0,0">
                  <w:txbxContent>
                    <w:p w14:paraId="306AF8BE" w14:textId="77777777" w:rsidR="00942266" w:rsidRPr="004E0302" w:rsidRDefault="00942266" w:rsidP="00DB7F92">
                      <w:pPr>
                        <w:spacing w:before="213"/>
                        <w:ind w:left="225"/>
                        <w:jc w:val="both"/>
                        <w:rPr>
                          <w:rFonts w:eastAsia="Tw Cen MT Condensed Extra Bold" w:cs="Arial"/>
                          <w:sz w:val="20"/>
                          <w:szCs w:val="20"/>
                        </w:rPr>
                      </w:pPr>
                      <w:r w:rsidRPr="004E0302">
                        <w:rPr>
                          <w:rFonts w:cs="Arial"/>
                          <w:b/>
                          <w:color w:val="FFFFFF"/>
                          <w:sz w:val="20"/>
                          <w:szCs w:val="20"/>
                        </w:rPr>
                        <w:t>Example:</w:t>
                      </w:r>
                    </w:p>
                    <w:p w14:paraId="12D56552" w14:textId="77777777" w:rsidR="00942266" w:rsidRPr="004E0302" w:rsidRDefault="00942266" w:rsidP="00DB7F92">
                      <w:pPr>
                        <w:spacing w:before="12"/>
                        <w:rPr>
                          <w:rFonts w:eastAsia="Segoe UI Semilight" w:cs="Arial"/>
                          <w:sz w:val="20"/>
                          <w:szCs w:val="20"/>
                        </w:rPr>
                      </w:pPr>
                    </w:p>
                    <w:p w14:paraId="1F9CBB88" w14:textId="77777777" w:rsidR="00942266" w:rsidRPr="004E0302" w:rsidRDefault="00942266" w:rsidP="00DB7F92">
                      <w:pPr>
                        <w:ind w:left="225" w:right="225"/>
                        <w:jc w:val="both"/>
                        <w:rPr>
                          <w:rFonts w:eastAsia="Segoe UI Semilight" w:cs="Arial"/>
                          <w:sz w:val="20"/>
                          <w:szCs w:val="20"/>
                        </w:rPr>
                      </w:pPr>
                      <w:r w:rsidRPr="004E0302">
                        <w:rPr>
                          <w:rFonts w:eastAsia="Segoe UI Semilight" w:cs="Arial"/>
                          <w:color w:val="FFFFFF"/>
                          <w:spacing w:val="-1"/>
                          <w:sz w:val="20"/>
                          <w:szCs w:val="20"/>
                        </w:rPr>
                        <w:t>A commissioner</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decides</w:t>
                      </w:r>
                      <w:r w:rsidRPr="004E0302">
                        <w:rPr>
                          <w:rFonts w:eastAsia="Segoe UI Semilight" w:cs="Arial"/>
                          <w:color w:val="FFFFFF"/>
                          <w:spacing w:val="39"/>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run</w:t>
                      </w:r>
                      <w:r w:rsidRPr="004E0302">
                        <w:rPr>
                          <w:rFonts w:eastAsia="Segoe UI Semilight" w:cs="Arial"/>
                          <w:color w:val="FFFFFF"/>
                          <w:spacing w:val="38"/>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38"/>
                          <w:sz w:val="20"/>
                          <w:szCs w:val="20"/>
                        </w:rPr>
                        <w:t xml:space="preserve"> </w:t>
                      </w:r>
                      <w:r w:rsidRPr="004E0302">
                        <w:rPr>
                          <w:rFonts w:eastAsia="Segoe UI Semilight" w:cs="Arial"/>
                          <w:color w:val="FFFFFF"/>
                          <w:spacing w:val="-1"/>
                          <w:sz w:val="20"/>
                          <w:szCs w:val="20"/>
                        </w:rPr>
                        <w:t>competition</w:t>
                      </w:r>
                      <w:r w:rsidRPr="004E0302">
                        <w:rPr>
                          <w:rFonts w:eastAsia="Segoe UI Semilight" w:cs="Arial"/>
                          <w:color w:val="FFFFFF"/>
                          <w:spacing w:val="38"/>
                          <w:sz w:val="20"/>
                          <w:szCs w:val="20"/>
                        </w:rPr>
                        <w:t xml:space="preserve"> </w:t>
                      </w:r>
                      <w:r w:rsidRPr="004E0302">
                        <w:rPr>
                          <w:rFonts w:eastAsia="Segoe UI Semilight" w:cs="Arial"/>
                          <w:color w:val="FFFFFF"/>
                          <w:spacing w:val="1"/>
                          <w:sz w:val="20"/>
                          <w:szCs w:val="20"/>
                        </w:rPr>
                        <w:t>to</w:t>
                      </w:r>
                      <w:r w:rsidRPr="004E0302">
                        <w:rPr>
                          <w:rFonts w:eastAsia="Segoe UI Semilight" w:cs="Arial"/>
                          <w:color w:val="FFFFFF"/>
                          <w:spacing w:val="38"/>
                          <w:sz w:val="20"/>
                          <w:szCs w:val="20"/>
                        </w:rPr>
                        <w:t xml:space="preserve"> </w:t>
                      </w:r>
                      <w:r w:rsidRPr="004E0302">
                        <w:rPr>
                          <w:rFonts w:eastAsia="Segoe UI Semilight" w:cs="Arial"/>
                          <w:color w:val="FFFFFF"/>
                          <w:spacing w:val="-1"/>
                          <w:sz w:val="20"/>
                          <w:szCs w:val="20"/>
                        </w:rPr>
                        <w:t>reward</w:t>
                      </w:r>
                      <w:r w:rsidRPr="004E0302">
                        <w:rPr>
                          <w:rFonts w:eastAsia="Segoe UI Semilight" w:cs="Arial"/>
                          <w:color w:val="FFFFFF"/>
                          <w:spacing w:val="37"/>
                          <w:sz w:val="20"/>
                          <w:szCs w:val="20"/>
                        </w:rPr>
                        <w:t xml:space="preserve"> </w:t>
                      </w:r>
                      <w:r w:rsidRPr="004E0302">
                        <w:rPr>
                          <w:rFonts w:eastAsia="Segoe UI Semilight" w:cs="Arial"/>
                          <w:color w:val="FFFFFF"/>
                          <w:sz w:val="20"/>
                          <w:szCs w:val="20"/>
                        </w:rPr>
                        <w:t>GP</w:t>
                      </w:r>
                      <w:r w:rsidRPr="004E0302">
                        <w:rPr>
                          <w:rFonts w:eastAsia="Segoe UI Semilight" w:cs="Arial"/>
                          <w:color w:val="FFFFFF"/>
                          <w:spacing w:val="38"/>
                          <w:sz w:val="20"/>
                          <w:szCs w:val="20"/>
                        </w:rPr>
                        <w:t xml:space="preserve"> </w:t>
                      </w:r>
                      <w:r w:rsidRPr="004E0302">
                        <w:rPr>
                          <w:rFonts w:eastAsia="Segoe UI Semilight" w:cs="Arial"/>
                          <w:color w:val="FFFFFF"/>
                          <w:spacing w:val="-1"/>
                          <w:sz w:val="20"/>
                          <w:szCs w:val="20"/>
                        </w:rPr>
                        <w:t>practices</w:t>
                      </w:r>
                      <w:r w:rsidRPr="004E0302">
                        <w:rPr>
                          <w:rFonts w:eastAsia="Segoe UI Semilight" w:cs="Arial"/>
                          <w:color w:val="FFFFFF"/>
                          <w:spacing w:val="42"/>
                          <w:w w:val="99"/>
                          <w:sz w:val="20"/>
                          <w:szCs w:val="20"/>
                        </w:rPr>
                        <w:t xml:space="preserve"> </w:t>
                      </w:r>
                      <w:r w:rsidRPr="004E0302">
                        <w:rPr>
                          <w:rFonts w:eastAsia="Segoe UI Semilight" w:cs="Arial"/>
                          <w:color w:val="FFFFFF"/>
                          <w:spacing w:val="-1"/>
                          <w:sz w:val="20"/>
                          <w:szCs w:val="20"/>
                        </w:rPr>
                        <w:t>that</w:t>
                      </w:r>
                      <w:r w:rsidRPr="004E0302">
                        <w:rPr>
                          <w:rFonts w:eastAsia="Segoe UI Semilight" w:cs="Arial"/>
                          <w:color w:val="FFFFFF"/>
                          <w:spacing w:val="17"/>
                          <w:sz w:val="20"/>
                          <w:szCs w:val="20"/>
                        </w:rPr>
                        <w:t xml:space="preserve"> </w:t>
                      </w:r>
                      <w:r w:rsidRPr="004E0302">
                        <w:rPr>
                          <w:rFonts w:eastAsia="Segoe UI Semilight" w:cs="Arial"/>
                          <w:color w:val="FFFFFF"/>
                          <w:spacing w:val="-1"/>
                          <w:sz w:val="20"/>
                          <w:szCs w:val="20"/>
                        </w:rPr>
                        <w:t>are</w:t>
                      </w:r>
                      <w:r w:rsidRPr="004E0302">
                        <w:rPr>
                          <w:rFonts w:eastAsia="Segoe UI Semilight" w:cs="Arial"/>
                          <w:color w:val="FFFFFF"/>
                          <w:spacing w:val="15"/>
                          <w:sz w:val="20"/>
                          <w:szCs w:val="20"/>
                        </w:rPr>
                        <w:t xml:space="preserve"> </w:t>
                      </w:r>
                      <w:r w:rsidRPr="004E0302">
                        <w:rPr>
                          <w:rFonts w:eastAsia="Segoe UI Semilight" w:cs="Arial"/>
                          <w:color w:val="FFFFFF"/>
                          <w:spacing w:val="-1"/>
                          <w:sz w:val="20"/>
                          <w:szCs w:val="20"/>
                        </w:rPr>
                        <w:t>innovative</w:t>
                      </w:r>
                      <w:r w:rsidRPr="004E0302">
                        <w:rPr>
                          <w:rFonts w:eastAsia="Segoe UI Semilight" w:cs="Arial"/>
                          <w:color w:val="FFFFFF"/>
                          <w:spacing w:val="15"/>
                          <w:sz w:val="20"/>
                          <w:szCs w:val="20"/>
                        </w:rPr>
                        <w:t xml:space="preserve"> </w:t>
                      </w:r>
                      <w:r w:rsidRPr="004E0302">
                        <w:rPr>
                          <w:rFonts w:eastAsia="Segoe UI Semilight" w:cs="Arial"/>
                          <w:color w:val="FFFFFF"/>
                          <w:spacing w:val="-1"/>
                          <w:sz w:val="20"/>
                          <w:szCs w:val="20"/>
                        </w:rPr>
                        <w:t>in</w:t>
                      </w:r>
                      <w:r w:rsidRPr="004E0302">
                        <w:rPr>
                          <w:rFonts w:eastAsia="Segoe UI Semilight" w:cs="Arial"/>
                          <w:color w:val="FFFFFF"/>
                          <w:spacing w:val="17"/>
                          <w:sz w:val="20"/>
                          <w:szCs w:val="20"/>
                        </w:rPr>
                        <w:t xml:space="preserve"> </w:t>
                      </w:r>
                      <w:r w:rsidRPr="004E0302">
                        <w:rPr>
                          <w:rFonts w:eastAsia="Segoe UI Semilight" w:cs="Arial"/>
                          <w:color w:val="FFFFFF"/>
                          <w:spacing w:val="-1"/>
                          <w:sz w:val="20"/>
                          <w:szCs w:val="20"/>
                        </w:rPr>
                        <w:t>their</w:t>
                      </w:r>
                      <w:r w:rsidRPr="004E0302">
                        <w:rPr>
                          <w:rFonts w:eastAsia="Segoe UI Semilight" w:cs="Arial"/>
                          <w:color w:val="FFFFFF"/>
                          <w:spacing w:val="16"/>
                          <w:sz w:val="20"/>
                          <w:szCs w:val="20"/>
                        </w:rPr>
                        <w:t xml:space="preserve"> </w:t>
                      </w:r>
                      <w:r w:rsidRPr="004E0302">
                        <w:rPr>
                          <w:rFonts w:eastAsia="Segoe UI Semilight" w:cs="Arial"/>
                          <w:color w:val="FFFFFF"/>
                          <w:spacing w:val="-1"/>
                          <w:sz w:val="20"/>
                          <w:szCs w:val="20"/>
                        </w:rPr>
                        <w:t>use</w:t>
                      </w:r>
                      <w:r w:rsidRPr="004E0302">
                        <w:rPr>
                          <w:rFonts w:eastAsia="Segoe UI Semilight" w:cs="Arial"/>
                          <w:color w:val="FFFFFF"/>
                          <w:spacing w:val="15"/>
                          <w:sz w:val="20"/>
                          <w:szCs w:val="20"/>
                        </w:rPr>
                        <w:t xml:space="preserve"> </w:t>
                      </w:r>
                      <w:r w:rsidRPr="004E0302">
                        <w:rPr>
                          <w:rFonts w:eastAsia="Segoe UI Semilight" w:cs="Arial"/>
                          <w:color w:val="FFFFFF"/>
                          <w:spacing w:val="-1"/>
                          <w:sz w:val="20"/>
                          <w:szCs w:val="20"/>
                        </w:rPr>
                        <w:t>of</w:t>
                      </w:r>
                      <w:r w:rsidRPr="004E0302">
                        <w:rPr>
                          <w:rFonts w:eastAsia="Segoe UI Semilight" w:cs="Arial"/>
                          <w:color w:val="FFFFFF"/>
                          <w:spacing w:val="16"/>
                          <w:sz w:val="20"/>
                          <w:szCs w:val="20"/>
                        </w:rPr>
                        <w:t xml:space="preserve"> </w:t>
                      </w:r>
                      <w:r w:rsidRPr="004E0302">
                        <w:rPr>
                          <w:rFonts w:eastAsia="Segoe UI Semilight" w:cs="Arial"/>
                          <w:color w:val="FFFFFF"/>
                          <w:spacing w:val="-1"/>
                          <w:sz w:val="20"/>
                          <w:szCs w:val="20"/>
                        </w:rPr>
                        <w:t>telehealth</w:t>
                      </w:r>
                      <w:r w:rsidRPr="004E0302">
                        <w:rPr>
                          <w:rFonts w:eastAsia="Segoe UI Semilight" w:cs="Arial"/>
                          <w:color w:val="FFFFFF"/>
                          <w:spacing w:val="16"/>
                          <w:sz w:val="20"/>
                          <w:szCs w:val="20"/>
                        </w:rPr>
                        <w:t xml:space="preserve"> </w:t>
                      </w:r>
                      <w:r w:rsidRPr="004E0302">
                        <w:rPr>
                          <w:rFonts w:eastAsia="Segoe UI Semilight" w:cs="Arial"/>
                          <w:color w:val="FFFFFF"/>
                          <w:spacing w:val="-1"/>
                          <w:sz w:val="20"/>
                          <w:szCs w:val="20"/>
                        </w:rPr>
                        <w:t>devices</w:t>
                      </w:r>
                      <w:r w:rsidRPr="004E0302">
                        <w:rPr>
                          <w:rFonts w:eastAsia="Segoe UI Semilight" w:cs="Arial"/>
                          <w:color w:val="FFFFFF"/>
                          <w:spacing w:val="17"/>
                          <w:sz w:val="20"/>
                          <w:szCs w:val="20"/>
                        </w:rPr>
                        <w:t xml:space="preserve"> </w:t>
                      </w:r>
                      <w:r w:rsidRPr="004E0302">
                        <w:rPr>
                          <w:rFonts w:eastAsia="Segoe UI Semilight" w:cs="Arial"/>
                          <w:color w:val="FFFFFF"/>
                          <w:sz w:val="20"/>
                          <w:szCs w:val="20"/>
                        </w:rPr>
                        <w:t>–</w:t>
                      </w:r>
                      <w:r w:rsidRPr="004E0302">
                        <w:rPr>
                          <w:rFonts w:eastAsia="Segoe UI Semilight" w:cs="Arial"/>
                          <w:color w:val="FFFFFF"/>
                          <w:spacing w:val="16"/>
                          <w:sz w:val="20"/>
                          <w:szCs w:val="20"/>
                        </w:rPr>
                        <w:t xml:space="preserve"> </w:t>
                      </w:r>
                      <w:r w:rsidRPr="004E0302">
                        <w:rPr>
                          <w:rFonts w:eastAsia="Segoe UI Semilight" w:cs="Arial"/>
                          <w:color w:val="FFFFFF"/>
                          <w:spacing w:val="-1"/>
                          <w:sz w:val="20"/>
                          <w:szCs w:val="20"/>
                        </w:rPr>
                        <w:t>smart</w:t>
                      </w:r>
                      <w:r w:rsidRPr="004E0302">
                        <w:rPr>
                          <w:rFonts w:eastAsia="Segoe UI Semilight" w:cs="Arial"/>
                          <w:color w:val="FFFFFF"/>
                          <w:spacing w:val="18"/>
                          <w:sz w:val="20"/>
                          <w:szCs w:val="20"/>
                        </w:rPr>
                        <w:t xml:space="preserve"> </w:t>
                      </w:r>
                      <w:r w:rsidRPr="004E0302">
                        <w:rPr>
                          <w:rFonts w:eastAsia="Segoe UI Semilight" w:cs="Arial"/>
                          <w:color w:val="FFFFFF"/>
                          <w:spacing w:val="-1"/>
                          <w:sz w:val="20"/>
                          <w:szCs w:val="20"/>
                        </w:rPr>
                        <w:t>medical</w:t>
                      </w:r>
                      <w:r w:rsidRPr="004E0302">
                        <w:rPr>
                          <w:rFonts w:eastAsia="Segoe UI Semilight" w:cs="Arial"/>
                          <w:color w:val="FFFFFF"/>
                          <w:spacing w:val="59"/>
                          <w:w w:val="99"/>
                          <w:sz w:val="20"/>
                          <w:szCs w:val="20"/>
                        </w:rPr>
                        <w:t xml:space="preserve"> </w:t>
                      </w:r>
                      <w:r w:rsidRPr="004E0302">
                        <w:rPr>
                          <w:rFonts w:eastAsia="Segoe UI Semilight" w:cs="Arial"/>
                          <w:color w:val="FFFFFF"/>
                          <w:spacing w:val="-1"/>
                          <w:sz w:val="20"/>
                          <w:szCs w:val="20"/>
                        </w:rPr>
                        <w:t>devices</w:t>
                      </w:r>
                      <w:r w:rsidRPr="004E0302">
                        <w:rPr>
                          <w:rFonts w:eastAsia="Segoe UI Semilight" w:cs="Arial"/>
                          <w:color w:val="FFFFFF"/>
                          <w:spacing w:val="35"/>
                          <w:sz w:val="20"/>
                          <w:szCs w:val="20"/>
                        </w:rPr>
                        <w:t xml:space="preserve"> </w:t>
                      </w:r>
                      <w:r w:rsidRPr="004E0302">
                        <w:rPr>
                          <w:rFonts w:eastAsia="Segoe UI Semilight" w:cs="Arial"/>
                          <w:color w:val="FFFFFF"/>
                          <w:spacing w:val="-1"/>
                          <w:sz w:val="20"/>
                          <w:szCs w:val="20"/>
                        </w:rPr>
                        <w:t>that</w:t>
                      </w:r>
                      <w:r w:rsidRPr="004E0302">
                        <w:rPr>
                          <w:rFonts w:eastAsia="Segoe UI Semilight" w:cs="Arial"/>
                          <w:color w:val="FFFFFF"/>
                          <w:spacing w:val="36"/>
                          <w:sz w:val="20"/>
                          <w:szCs w:val="20"/>
                        </w:rPr>
                        <w:t xml:space="preserve"> </w:t>
                      </w:r>
                      <w:r w:rsidRPr="004E0302">
                        <w:rPr>
                          <w:rFonts w:eastAsia="Segoe UI Semilight" w:cs="Arial"/>
                          <w:color w:val="FFFFFF"/>
                          <w:spacing w:val="-1"/>
                          <w:sz w:val="20"/>
                          <w:szCs w:val="20"/>
                        </w:rPr>
                        <w:t>transmit</w:t>
                      </w:r>
                      <w:r w:rsidRPr="004E0302">
                        <w:rPr>
                          <w:rFonts w:eastAsia="Segoe UI Semilight" w:cs="Arial"/>
                          <w:color w:val="FFFFFF"/>
                          <w:spacing w:val="39"/>
                          <w:sz w:val="20"/>
                          <w:szCs w:val="20"/>
                        </w:rPr>
                        <w:t xml:space="preserve"> </w:t>
                      </w:r>
                      <w:r w:rsidRPr="004E0302">
                        <w:rPr>
                          <w:rFonts w:eastAsia="Segoe UI Semilight" w:cs="Arial"/>
                          <w:color w:val="FFFFFF"/>
                          <w:spacing w:val="-1"/>
                          <w:sz w:val="20"/>
                          <w:szCs w:val="20"/>
                        </w:rPr>
                        <w:t>data</w:t>
                      </w:r>
                      <w:r w:rsidRPr="004E0302">
                        <w:rPr>
                          <w:rFonts w:eastAsia="Segoe UI Semilight" w:cs="Arial"/>
                          <w:color w:val="FFFFFF"/>
                          <w:spacing w:val="35"/>
                          <w:sz w:val="20"/>
                          <w:szCs w:val="20"/>
                        </w:rPr>
                        <w:t xml:space="preserve"> </w:t>
                      </w:r>
                      <w:r w:rsidRPr="004E0302">
                        <w:rPr>
                          <w:rFonts w:eastAsia="Segoe UI Semilight" w:cs="Arial"/>
                          <w:color w:val="FFFFFF"/>
                          <w:spacing w:val="-1"/>
                          <w:sz w:val="20"/>
                          <w:szCs w:val="20"/>
                        </w:rPr>
                        <w:t>from</w:t>
                      </w:r>
                      <w:r w:rsidRPr="004E0302">
                        <w:rPr>
                          <w:rFonts w:eastAsia="Segoe UI Semilight" w:cs="Arial"/>
                          <w:color w:val="FFFFFF"/>
                          <w:spacing w:val="35"/>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38"/>
                          <w:sz w:val="20"/>
                          <w:szCs w:val="20"/>
                        </w:rPr>
                        <w:t xml:space="preserve"> </w:t>
                      </w:r>
                      <w:r w:rsidRPr="004E0302">
                        <w:rPr>
                          <w:rFonts w:eastAsia="Segoe UI Semilight" w:cs="Arial"/>
                          <w:color w:val="FFFFFF"/>
                          <w:spacing w:val="-1"/>
                          <w:sz w:val="20"/>
                          <w:szCs w:val="20"/>
                        </w:rPr>
                        <w:t>patient</w:t>
                      </w:r>
                      <w:r w:rsidRPr="004E0302">
                        <w:rPr>
                          <w:rFonts w:eastAsia="Segoe UI Semilight" w:cs="Arial"/>
                          <w:color w:val="FFFFFF"/>
                          <w:spacing w:val="36"/>
                          <w:sz w:val="20"/>
                          <w:szCs w:val="20"/>
                        </w:rPr>
                        <w:t xml:space="preserve"> </w:t>
                      </w:r>
                      <w:r w:rsidRPr="004E0302">
                        <w:rPr>
                          <w:rFonts w:eastAsia="Segoe UI Semilight" w:cs="Arial"/>
                          <w:color w:val="FFFFFF"/>
                          <w:spacing w:val="1"/>
                          <w:sz w:val="20"/>
                          <w:szCs w:val="20"/>
                        </w:rPr>
                        <w:t>to</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their</w:t>
                      </w:r>
                      <w:r w:rsidRPr="004E0302">
                        <w:rPr>
                          <w:rFonts w:eastAsia="Segoe UI Semilight" w:cs="Arial"/>
                          <w:color w:val="FFFFFF"/>
                          <w:spacing w:val="36"/>
                          <w:sz w:val="20"/>
                          <w:szCs w:val="20"/>
                        </w:rPr>
                        <w:t xml:space="preserve"> </w:t>
                      </w:r>
                      <w:r w:rsidRPr="004E0302">
                        <w:rPr>
                          <w:rFonts w:eastAsia="Segoe UI Semilight" w:cs="Arial"/>
                          <w:color w:val="FFFFFF"/>
                          <w:spacing w:val="-1"/>
                          <w:sz w:val="20"/>
                          <w:szCs w:val="20"/>
                        </w:rPr>
                        <w:t>treating</w:t>
                      </w:r>
                      <w:r w:rsidRPr="004E0302">
                        <w:rPr>
                          <w:rFonts w:eastAsia="Segoe UI Semilight" w:cs="Arial"/>
                          <w:color w:val="FFFFFF"/>
                          <w:spacing w:val="35"/>
                          <w:sz w:val="20"/>
                          <w:szCs w:val="20"/>
                        </w:rPr>
                        <w:t xml:space="preserve"> </w:t>
                      </w:r>
                      <w:r w:rsidRPr="004E0302">
                        <w:rPr>
                          <w:rFonts w:eastAsia="Segoe UI Semilight" w:cs="Arial"/>
                          <w:color w:val="FFFFFF"/>
                          <w:spacing w:val="-1"/>
                          <w:sz w:val="20"/>
                          <w:szCs w:val="20"/>
                        </w:rPr>
                        <w:t>clinician,</w:t>
                      </w:r>
                      <w:r w:rsidRPr="004E0302">
                        <w:rPr>
                          <w:rFonts w:eastAsia="Segoe UI Semilight" w:cs="Arial"/>
                          <w:color w:val="FFFFFF"/>
                          <w:spacing w:val="63"/>
                          <w:sz w:val="20"/>
                          <w:szCs w:val="20"/>
                        </w:rPr>
                        <w:t xml:space="preserve"> </w:t>
                      </w:r>
                      <w:r w:rsidRPr="004E0302">
                        <w:rPr>
                          <w:rFonts w:eastAsia="Segoe UI Semilight" w:cs="Arial"/>
                          <w:color w:val="FFFFFF"/>
                          <w:spacing w:val="-1"/>
                          <w:sz w:val="20"/>
                          <w:szCs w:val="20"/>
                        </w:rPr>
                        <w:t>without</w:t>
                      </w:r>
                      <w:r w:rsidRPr="004E0302">
                        <w:rPr>
                          <w:rFonts w:eastAsia="Segoe UI Semilight" w:cs="Arial"/>
                          <w:color w:val="FFFFFF"/>
                          <w:spacing w:val="12"/>
                          <w:sz w:val="20"/>
                          <w:szCs w:val="20"/>
                        </w:rPr>
                        <w:t xml:space="preserve"> </w:t>
                      </w:r>
                      <w:r w:rsidRPr="004E0302">
                        <w:rPr>
                          <w:rFonts w:eastAsia="Segoe UI Semilight" w:cs="Arial"/>
                          <w:color w:val="FFFFFF"/>
                          <w:spacing w:val="-1"/>
                          <w:sz w:val="20"/>
                          <w:szCs w:val="20"/>
                        </w:rPr>
                        <w:t>the</w:t>
                      </w:r>
                      <w:r w:rsidRPr="004E0302">
                        <w:rPr>
                          <w:rFonts w:eastAsia="Segoe UI Semilight" w:cs="Arial"/>
                          <w:color w:val="FFFFFF"/>
                          <w:spacing w:val="11"/>
                          <w:sz w:val="20"/>
                          <w:szCs w:val="20"/>
                        </w:rPr>
                        <w:t xml:space="preserve"> </w:t>
                      </w:r>
                      <w:r w:rsidRPr="004E0302">
                        <w:rPr>
                          <w:rFonts w:eastAsia="Segoe UI Semilight" w:cs="Arial"/>
                          <w:color w:val="FFFFFF"/>
                          <w:spacing w:val="-1"/>
                          <w:sz w:val="20"/>
                          <w:szCs w:val="20"/>
                        </w:rPr>
                        <w:t>need</w:t>
                      </w:r>
                      <w:r w:rsidRPr="004E0302">
                        <w:rPr>
                          <w:rFonts w:eastAsia="Segoe UI Semilight" w:cs="Arial"/>
                          <w:color w:val="FFFFFF"/>
                          <w:spacing w:val="10"/>
                          <w:sz w:val="20"/>
                          <w:szCs w:val="20"/>
                        </w:rPr>
                        <w:t xml:space="preserve"> </w:t>
                      </w:r>
                      <w:r w:rsidRPr="004E0302">
                        <w:rPr>
                          <w:rFonts w:eastAsia="Segoe UI Semilight" w:cs="Arial"/>
                          <w:color w:val="FFFFFF"/>
                          <w:sz w:val="20"/>
                          <w:szCs w:val="20"/>
                        </w:rPr>
                        <w:t>for</w:t>
                      </w:r>
                      <w:r w:rsidRPr="004E0302">
                        <w:rPr>
                          <w:rFonts w:eastAsia="Segoe UI Semilight" w:cs="Arial"/>
                          <w:color w:val="FFFFFF"/>
                          <w:spacing w:val="13"/>
                          <w:sz w:val="20"/>
                          <w:szCs w:val="20"/>
                        </w:rPr>
                        <w:t xml:space="preserve"> </w:t>
                      </w:r>
                      <w:r w:rsidRPr="004E0302">
                        <w:rPr>
                          <w:rFonts w:eastAsia="Segoe UI Semilight" w:cs="Arial"/>
                          <w:color w:val="FFFFFF"/>
                          <w:spacing w:val="-1"/>
                          <w:sz w:val="20"/>
                          <w:szCs w:val="20"/>
                        </w:rPr>
                        <w:t>the</w:t>
                      </w:r>
                      <w:r w:rsidRPr="004E0302">
                        <w:rPr>
                          <w:rFonts w:eastAsia="Segoe UI Semilight" w:cs="Arial"/>
                          <w:color w:val="FFFFFF"/>
                          <w:spacing w:val="11"/>
                          <w:sz w:val="20"/>
                          <w:szCs w:val="20"/>
                        </w:rPr>
                        <w:t xml:space="preserve"> </w:t>
                      </w:r>
                      <w:r w:rsidRPr="004E0302">
                        <w:rPr>
                          <w:rFonts w:eastAsia="Segoe UI Semilight" w:cs="Arial"/>
                          <w:color w:val="FFFFFF"/>
                          <w:spacing w:val="-1"/>
                          <w:sz w:val="20"/>
                          <w:szCs w:val="20"/>
                        </w:rPr>
                        <w:t>patient</w:t>
                      </w:r>
                      <w:r w:rsidRPr="004E0302">
                        <w:rPr>
                          <w:rFonts w:eastAsia="Segoe UI Semilight" w:cs="Arial"/>
                          <w:color w:val="FFFFFF"/>
                          <w:spacing w:val="12"/>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12"/>
                          <w:sz w:val="20"/>
                          <w:szCs w:val="20"/>
                        </w:rPr>
                        <w:t xml:space="preserve"> </w:t>
                      </w:r>
                      <w:r w:rsidRPr="004E0302">
                        <w:rPr>
                          <w:rFonts w:eastAsia="Segoe UI Semilight" w:cs="Arial"/>
                          <w:color w:val="FFFFFF"/>
                          <w:spacing w:val="-1"/>
                          <w:sz w:val="20"/>
                          <w:szCs w:val="20"/>
                        </w:rPr>
                        <w:t>attend</w:t>
                      </w:r>
                      <w:r w:rsidRPr="004E0302">
                        <w:rPr>
                          <w:rFonts w:eastAsia="Segoe UI Semilight" w:cs="Arial"/>
                          <w:color w:val="FFFFFF"/>
                          <w:spacing w:val="11"/>
                          <w:sz w:val="20"/>
                          <w:szCs w:val="20"/>
                        </w:rPr>
                        <w:t xml:space="preserve"> </w:t>
                      </w:r>
                      <w:r w:rsidRPr="004E0302">
                        <w:rPr>
                          <w:rFonts w:eastAsia="Segoe UI Semilight" w:cs="Arial"/>
                          <w:color w:val="FFFFFF"/>
                          <w:spacing w:val="-1"/>
                          <w:sz w:val="20"/>
                          <w:szCs w:val="20"/>
                        </w:rPr>
                        <w:t>surgery.</w:t>
                      </w:r>
                      <w:r w:rsidRPr="004E0302">
                        <w:rPr>
                          <w:rFonts w:eastAsia="Segoe UI Semilight" w:cs="Arial"/>
                          <w:color w:val="FFFFFF"/>
                          <w:spacing w:val="24"/>
                          <w:sz w:val="20"/>
                          <w:szCs w:val="20"/>
                        </w:rPr>
                        <w:t xml:space="preserve"> </w:t>
                      </w:r>
                      <w:r w:rsidRPr="004E0302">
                        <w:rPr>
                          <w:rFonts w:eastAsia="Segoe UI Semilight" w:cs="Arial"/>
                          <w:color w:val="FFFFFF"/>
                          <w:spacing w:val="-1"/>
                          <w:sz w:val="20"/>
                          <w:szCs w:val="20"/>
                        </w:rPr>
                        <w:t>The</w:t>
                      </w:r>
                      <w:r w:rsidRPr="004E0302">
                        <w:rPr>
                          <w:rFonts w:eastAsia="Segoe UI Semilight" w:cs="Arial"/>
                          <w:color w:val="FFFFFF"/>
                          <w:spacing w:val="11"/>
                          <w:sz w:val="20"/>
                          <w:szCs w:val="20"/>
                        </w:rPr>
                        <w:t xml:space="preserve"> </w:t>
                      </w:r>
                      <w:r w:rsidRPr="004E0302">
                        <w:rPr>
                          <w:rFonts w:eastAsia="Segoe UI Semilight" w:cs="Arial"/>
                          <w:color w:val="FFFFFF"/>
                          <w:spacing w:val="-1"/>
                          <w:sz w:val="20"/>
                          <w:szCs w:val="20"/>
                        </w:rPr>
                        <w:t>winners</w:t>
                      </w:r>
                      <w:r w:rsidRPr="004E0302">
                        <w:rPr>
                          <w:rFonts w:eastAsia="Segoe UI Semilight" w:cs="Arial"/>
                          <w:color w:val="FFFFFF"/>
                          <w:spacing w:val="12"/>
                          <w:sz w:val="20"/>
                          <w:szCs w:val="20"/>
                        </w:rPr>
                        <w:t xml:space="preserve"> </w:t>
                      </w:r>
                      <w:r w:rsidRPr="004E0302">
                        <w:rPr>
                          <w:rFonts w:eastAsia="Segoe UI Semilight" w:cs="Arial"/>
                          <w:color w:val="FFFFFF"/>
                          <w:spacing w:val="-1"/>
                          <w:sz w:val="20"/>
                          <w:szCs w:val="20"/>
                        </w:rPr>
                        <w:t>will</w:t>
                      </w:r>
                      <w:r w:rsidRPr="004E0302">
                        <w:rPr>
                          <w:rFonts w:eastAsia="Segoe UI Semilight" w:cs="Arial"/>
                          <w:color w:val="FFFFFF"/>
                          <w:spacing w:val="48"/>
                          <w:w w:val="99"/>
                          <w:sz w:val="20"/>
                          <w:szCs w:val="20"/>
                        </w:rPr>
                        <w:t xml:space="preserve"> </w:t>
                      </w:r>
                      <w:r w:rsidRPr="004E0302">
                        <w:rPr>
                          <w:rFonts w:eastAsia="Segoe UI Semilight" w:cs="Arial"/>
                          <w:color w:val="FFFFFF"/>
                          <w:spacing w:val="-1"/>
                          <w:sz w:val="20"/>
                          <w:szCs w:val="20"/>
                        </w:rPr>
                        <w:t>be</w:t>
                      </w:r>
                      <w:r w:rsidRPr="004E0302">
                        <w:rPr>
                          <w:rFonts w:eastAsia="Segoe UI Semilight" w:cs="Arial"/>
                          <w:color w:val="FFFFFF"/>
                          <w:spacing w:val="-2"/>
                          <w:sz w:val="20"/>
                          <w:szCs w:val="20"/>
                        </w:rPr>
                        <w:t xml:space="preserve"> </w:t>
                      </w:r>
                      <w:r w:rsidRPr="004E0302">
                        <w:rPr>
                          <w:rFonts w:eastAsia="Segoe UI Semilight" w:cs="Arial"/>
                          <w:color w:val="FFFFFF"/>
                          <w:spacing w:val="-1"/>
                          <w:sz w:val="20"/>
                          <w:szCs w:val="20"/>
                        </w:rPr>
                        <w:t xml:space="preserve">showcased </w:t>
                      </w:r>
                      <w:r w:rsidRPr="004E0302">
                        <w:rPr>
                          <w:rFonts w:eastAsia="Segoe UI Semilight" w:cs="Arial"/>
                          <w:color w:val="FFFFFF"/>
                          <w:sz w:val="20"/>
                          <w:szCs w:val="20"/>
                        </w:rPr>
                        <w:t xml:space="preserve">so </w:t>
                      </w:r>
                      <w:r w:rsidRPr="004E0302">
                        <w:rPr>
                          <w:rFonts w:eastAsia="Segoe UI Semilight" w:cs="Arial"/>
                          <w:color w:val="FFFFFF"/>
                          <w:spacing w:val="-1"/>
                          <w:sz w:val="20"/>
                          <w:szCs w:val="20"/>
                        </w:rPr>
                        <w:t>that</w:t>
                      </w:r>
                      <w:r w:rsidRPr="004E0302">
                        <w:rPr>
                          <w:rFonts w:eastAsia="Segoe UI Semilight" w:cs="Arial"/>
                          <w:color w:val="FFFFFF"/>
                          <w:spacing w:val="1"/>
                          <w:sz w:val="20"/>
                          <w:szCs w:val="20"/>
                        </w:rPr>
                        <w:t xml:space="preserve"> </w:t>
                      </w:r>
                      <w:r w:rsidRPr="004E0302">
                        <w:rPr>
                          <w:rFonts w:eastAsia="Segoe UI Semilight" w:cs="Arial"/>
                          <w:color w:val="FFFFFF"/>
                          <w:spacing w:val="-1"/>
                          <w:sz w:val="20"/>
                          <w:szCs w:val="20"/>
                        </w:rPr>
                        <w:t>other</w:t>
                      </w:r>
                      <w:r w:rsidRPr="004E0302">
                        <w:rPr>
                          <w:rFonts w:eastAsia="Segoe UI Semilight" w:cs="Arial"/>
                          <w:color w:val="FFFFFF"/>
                          <w:spacing w:val="1"/>
                          <w:sz w:val="20"/>
                          <w:szCs w:val="20"/>
                        </w:rPr>
                        <w:t xml:space="preserve"> </w:t>
                      </w:r>
                      <w:r w:rsidRPr="004E0302">
                        <w:rPr>
                          <w:rFonts w:eastAsia="Segoe UI Semilight" w:cs="Arial"/>
                          <w:color w:val="FFFFFF"/>
                          <w:spacing w:val="-1"/>
                          <w:sz w:val="20"/>
                          <w:szCs w:val="20"/>
                        </w:rPr>
                        <w:t>practices</w:t>
                      </w:r>
                      <w:r w:rsidRPr="004E0302">
                        <w:rPr>
                          <w:rFonts w:eastAsia="Segoe UI Semilight" w:cs="Arial"/>
                          <w:color w:val="FFFFFF"/>
                          <w:sz w:val="20"/>
                          <w:szCs w:val="20"/>
                        </w:rPr>
                        <w:t xml:space="preserve"> </w:t>
                      </w:r>
                      <w:r w:rsidRPr="004E0302">
                        <w:rPr>
                          <w:rFonts w:eastAsia="Segoe UI Semilight" w:cs="Arial"/>
                          <w:color w:val="FFFFFF"/>
                          <w:spacing w:val="-1"/>
                          <w:sz w:val="20"/>
                          <w:szCs w:val="20"/>
                        </w:rPr>
                        <w:t>can</w:t>
                      </w:r>
                      <w:r w:rsidRPr="004E0302">
                        <w:rPr>
                          <w:rFonts w:eastAsia="Segoe UI Semilight" w:cs="Arial"/>
                          <w:color w:val="FFFFFF"/>
                          <w:spacing w:val="3"/>
                          <w:sz w:val="20"/>
                          <w:szCs w:val="20"/>
                        </w:rPr>
                        <w:t xml:space="preserve"> </w:t>
                      </w:r>
                      <w:r w:rsidRPr="004E0302">
                        <w:rPr>
                          <w:rFonts w:eastAsia="Segoe UI Semilight" w:cs="Arial"/>
                          <w:color w:val="FFFFFF"/>
                          <w:spacing w:val="-1"/>
                          <w:sz w:val="20"/>
                          <w:szCs w:val="20"/>
                        </w:rPr>
                        <w:t>follow</w:t>
                      </w:r>
                      <w:r w:rsidRPr="004E0302">
                        <w:rPr>
                          <w:rFonts w:eastAsia="Segoe UI Semilight" w:cs="Arial"/>
                          <w:color w:val="FFFFFF"/>
                          <w:sz w:val="20"/>
                          <w:szCs w:val="20"/>
                        </w:rPr>
                        <w:t xml:space="preserve"> </w:t>
                      </w:r>
                      <w:r w:rsidRPr="004E0302">
                        <w:rPr>
                          <w:rFonts w:eastAsia="Segoe UI Semilight" w:cs="Arial"/>
                          <w:color w:val="FFFFFF"/>
                          <w:spacing w:val="-1"/>
                          <w:sz w:val="20"/>
                          <w:szCs w:val="20"/>
                        </w:rPr>
                        <w:t>their</w:t>
                      </w:r>
                      <w:r w:rsidRPr="004E0302">
                        <w:rPr>
                          <w:rFonts w:eastAsia="Segoe UI Semilight" w:cs="Arial"/>
                          <w:color w:val="FFFFFF"/>
                          <w:sz w:val="20"/>
                          <w:szCs w:val="20"/>
                        </w:rPr>
                        <w:t xml:space="preserve"> </w:t>
                      </w:r>
                      <w:r w:rsidRPr="004E0302">
                        <w:rPr>
                          <w:rFonts w:eastAsia="Segoe UI Semilight" w:cs="Arial"/>
                          <w:color w:val="FFFFFF"/>
                          <w:spacing w:val="-1"/>
                          <w:sz w:val="20"/>
                          <w:szCs w:val="20"/>
                        </w:rPr>
                        <w:t>lead.</w:t>
                      </w:r>
                      <w:r w:rsidRPr="004E0302">
                        <w:rPr>
                          <w:rFonts w:eastAsia="Segoe UI Semilight" w:cs="Arial"/>
                          <w:color w:val="FFFFFF"/>
                          <w:spacing w:val="1"/>
                          <w:sz w:val="20"/>
                          <w:szCs w:val="20"/>
                        </w:rPr>
                        <w:t xml:space="preserve"> </w:t>
                      </w:r>
                      <w:r w:rsidRPr="004E0302">
                        <w:rPr>
                          <w:rFonts w:eastAsia="Segoe UI Semilight" w:cs="Arial"/>
                          <w:color w:val="FFFFFF"/>
                          <w:spacing w:val="-1"/>
                          <w:sz w:val="20"/>
                          <w:szCs w:val="20"/>
                        </w:rPr>
                        <w:t>This</w:t>
                      </w:r>
                      <w:r w:rsidRPr="004E0302">
                        <w:rPr>
                          <w:rFonts w:eastAsia="Segoe UI Semilight" w:cs="Arial"/>
                          <w:color w:val="FFFFFF"/>
                          <w:spacing w:val="1"/>
                          <w:sz w:val="20"/>
                          <w:szCs w:val="20"/>
                        </w:rPr>
                        <w:t xml:space="preserve"> </w:t>
                      </w:r>
                      <w:r w:rsidRPr="004E0302">
                        <w:rPr>
                          <w:rFonts w:eastAsia="Segoe UI Semilight" w:cs="Arial"/>
                          <w:color w:val="FFFFFF"/>
                          <w:spacing w:val="-1"/>
                          <w:sz w:val="20"/>
                          <w:szCs w:val="20"/>
                        </w:rPr>
                        <w:t>helps</w:t>
                      </w:r>
                      <w:r w:rsidRPr="004E0302">
                        <w:rPr>
                          <w:rFonts w:eastAsia="Segoe UI Semilight" w:cs="Arial"/>
                          <w:color w:val="FFFFFF"/>
                          <w:spacing w:val="52"/>
                          <w:w w:val="99"/>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31"/>
                          <w:sz w:val="20"/>
                          <w:szCs w:val="20"/>
                        </w:rPr>
                        <w:t xml:space="preserve"> </w:t>
                      </w:r>
                      <w:r w:rsidRPr="004E0302">
                        <w:rPr>
                          <w:rFonts w:eastAsia="Segoe UI Semilight" w:cs="Arial"/>
                          <w:color w:val="FFFFFF"/>
                          <w:spacing w:val="-1"/>
                          <w:sz w:val="20"/>
                          <w:szCs w:val="20"/>
                        </w:rPr>
                        <w:t>meet</w:t>
                      </w:r>
                      <w:r w:rsidRPr="004E0302">
                        <w:rPr>
                          <w:rFonts w:eastAsia="Segoe UI Semilight" w:cs="Arial"/>
                          <w:color w:val="FFFFFF"/>
                          <w:spacing w:val="32"/>
                          <w:sz w:val="20"/>
                          <w:szCs w:val="20"/>
                        </w:rPr>
                        <w:t xml:space="preserve"> </w:t>
                      </w:r>
                      <w:r w:rsidRPr="004E0302">
                        <w:rPr>
                          <w:rFonts w:eastAsia="Segoe UI Semilight" w:cs="Arial"/>
                          <w:color w:val="FFFFFF"/>
                          <w:spacing w:val="-1"/>
                          <w:sz w:val="20"/>
                          <w:szCs w:val="20"/>
                        </w:rPr>
                        <w:t>the</w:t>
                      </w:r>
                      <w:r w:rsidRPr="004E0302">
                        <w:rPr>
                          <w:rFonts w:eastAsia="Segoe UI Semilight" w:cs="Arial"/>
                          <w:color w:val="FFFFFF"/>
                          <w:spacing w:val="33"/>
                          <w:sz w:val="20"/>
                          <w:szCs w:val="20"/>
                        </w:rPr>
                        <w:t xml:space="preserve"> </w:t>
                      </w:r>
                      <w:r w:rsidRPr="004E0302">
                        <w:rPr>
                          <w:rFonts w:eastAsia="Segoe UI Semilight" w:cs="Arial"/>
                          <w:color w:val="FFFFFF"/>
                          <w:spacing w:val="-1"/>
                          <w:sz w:val="20"/>
                          <w:szCs w:val="20"/>
                        </w:rPr>
                        <w:t>duty</w:t>
                      </w:r>
                      <w:r w:rsidRPr="004E0302">
                        <w:rPr>
                          <w:rFonts w:eastAsia="Segoe UI Semilight" w:cs="Arial"/>
                          <w:color w:val="FFFFFF"/>
                          <w:spacing w:val="33"/>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33"/>
                          <w:sz w:val="20"/>
                          <w:szCs w:val="20"/>
                        </w:rPr>
                        <w:t xml:space="preserve"> </w:t>
                      </w:r>
                      <w:r w:rsidRPr="004E0302">
                        <w:rPr>
                          <w:rFonts w:eastAsia="Segoe UI Semilight" w:cs="Arial"/>
                          <w:color w:val="FFFFFF"/>
                          <w:spacing w:val="-1"/>
                          <w:sz w:val="20"/>
                          <w:szCs w:val="20"/>
                        </w:rPr>
                        <w:t>promote</w:t>
                      </w:r>
                      <w:r w:rsidRPr="004E0302">
                        <w:rPr>
                          <w:rFonts w:eastAsia="Segoe UI Semilight" w:cs="Arial"/>
                          <w:color w:val="FFFFFF"/>
                          <w:spacing w:val="31"/>
                          <w:sz w:val="20"/>
                          <w:szCs w:val="20"/>
                        </w:rPr>
                        <w:t xml:space="preserve"> </w:t>
                      </w:r>
                      <w:r w:rsidRPr="004E0302">
                        <w:rPr>
                          <w:rFonts w:eastAsia="Segoe UI Semilight" w:cs="Arial"/>
                          <w:color w:val="FFFFFF"/>
                          <w:spacing w:val="-1"/>
                          <w:sz w:val="20"/>
                          <w:szCs w:val="20"/>
                        </w:rPr>
                        <w:t>innovation</w:t>
                      </w:r>
                      <w:r w:rsidRPr="004E0302">
                        <w:rPr>
                          <w:rFonts w:eastAsia="Segoe UI Semilight" w:cs="Arial"/>
                          <w:color w:val="FFFFFF"/>
                          <w:spacing w:val="35"/>
                          <w:sz w:val="20"/>
                          <w:szCs w:val="20"/>
                        </w:rPr>
                        <w:t xml:space="preserve"> </w:t>
                      </w:r>
                      <w:r w:rsidRPr="004E0302">
                        <w:rPr>
                          <w:rFonts w:eastAsia="Segoe UI Semilight" w:cs="Arial"/>
                          <w:color w:val="FFFFFF"/>
                          <w:spacing w:val="-1"/>
                          <w:sz w:val="20"/>
                          <w:szCs w:val="20"/>
                        </w:rPr>
                        <w:t>in</w:t>
                      </w:r>
                      <w:r w:rsidRPr="004E0302">
                        <w:rPr>
                          <w:rFonts w:eastAsia="Segoe UI Semilight" w:cs="Arial"/>
                          <w:color w:val="FFFFFF"/>
                          <w:spacing w:val="32"/>
                          <w:sz w:val="20"/>
                          <w:szCs w:val="20"/>
                        </w:rPr>
                        <w:t xml:space="preserve"> </w:t>
                      </w:r>
                      <w:r w:rsidRPr="004E0302">
                        <w:rPr>
                          <w:rFonts w:eastAsia="Segoe UI Semilight" w:cs="Arial"/>
                          <w:color w:val="FFFFFF"/>
                          <w:sz w:val="20"/>
                          <w:szCs w:val="20"/>
                        </w:rPr>
                        <w:t>the</w:t>
                      </w:r>
                      <w:r w:rsidRPr="004E0302">
                        <w:rPr>
                          <w:rFonts w:eastAsia="Segoe UI Semilight" w:cs="Arial"/>
                          <w:color w:val="FFFFFF"/>
                          <w:spacing w:val="31"/>
                          <w:sz w:val="20"/>
                          <w:szCs w:val="20"/>
                        </w:rPr>
                        <w:t xml:space="preserve"> </w:t>
                      </w:r>
                      <w:r w:rsidRPr="004E0302">
                        <w:rPr>
                          <w:rFonts w:eastAsia="Segoe UI Semilight" w:cs="Arial"/>
                          <w:color w:val="FFFFFF"/>
                          <w:spacing w:val="-1"/>
                          <w:sz w:val="20"/>
                          <w:szCs w:val="20"/>
                        </w:rPr>
                        <w:t>health</w:t>
                      </w:r>
                      <w:r w:rsidRPr="004E0302">
                        <w:rPr>
                          <w:rFonts w:eastAsia="Segoe UI Semilight" w:cs="Arial"/>
                          <w:color w:val="FFFFFF"/>
                          <w:spacing w:val="35"/>
                          <w:sz w:val="20"/>
                          <w:szCs w:val="20"/>
                        </w:rPr>
                        <w:t xml:space="preserve"> </w:t>
                      </w:r>
                      <w:r w:rsidRPr="004E0302">
                        <w:rPr>
                          <w:rFonts w:eastAsia="Segoe UI Semilight" w:cs="Arial"/>
                          <w:color w:val="FFFFFF"/>
                          <w:spacing w:val="-1"/>
                          <w:sz w:val="20"/>
                          <w:szCs w:val="20"/>
                        </w:rPr>
                        <w:t>service.</w:t>
                      </w:r>
                      <w:r w:rsidRPr="004E0302">
                        <w:rPr>
                          <w:rFonts w:eastAsia="Segoe UI Semilight" w:cs="Arial"/>
                          <w:color w:val="FFFFFF"/>
                          <w:spacing w:val="64"/>
                          <w:sz w:val="20"/>
                          <w:szCs w:val="20"/>
                        </w:rPr>
                        <w:t xml:space="preserve"> </w:t>
                      </w:r>
                      <w:r w:rsidRPr="004E0302">
                        <w:rPr>
                          <w:rFonts w:eastAsia="Segoe UI Semilight" w:cs="Arial"/>
                          <w:color w:val="FFFFFF"/>
                          <w:spacing w:val="1"/>
                          <w:sz w:val="20"/>
                          <w:szCs w:val="20"/>
                        </w:rPr>
                        <w:t>If</w:t>
                      </w:r>
                      <w:r w:rsidRPr="004E0302">
                        <w:rPr>
                          <w:rFonts w:eastAsia="Segoe UI Semilight" w:cs="Arial"/>
                          <w:color w:val="FFFFFF"/>
                          <w:spacing w:val="32"/>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55"/>
                          <w:w w:val="99"/>
                          <w:sz w:val="20"/>
                          <w:szCs w:val="20"/>
                        </w:rPr>
                        <w:t xml:space="preserve"> </w:t>
                      </w:r>
                      <w:r w:rsidRPr="004E0302">
                        <w:rPr>
                          <w:rFonts w:eastAsia="Segoe UI Semilight" w:cs="Arial"/>
                          <w:color w:val="FFFFFF"/>
                          <w:spacing w:val="-1"/>
                          <w:sz w:val="20"/>
                          <w:szCs w:val="20"/>
                        </w:rPr>
                        <w:t>request</w:t>
                      </w:r>
                      <w:r w:rsidRPr="004E0302">
                        <w:rPr>
                          <w:rFonts w:eastAsia="Segoe UI Semilight" w:cs="Arial"/>
                          <w:color w:val="FFFFFF"/>
                          <w:spacing w:val="46"/>
                          <w:sz w:val="20"/>
                          <w:szCs w:val="20"/>
                        </w:rPr>
                        <w:t xml:space="preserve"> </w:t>
                      </w:r>
                      <w:r w:rsidRPr="004E0302">
                        <w:rPr>
                          <w:rFonts w:eastAsia="Segoe UI Semilight" w:cs="Arial"/>
                          <w:color w:val="FFFFFF"/>
                          <w:spacing w:val="-1"/>
                          <w:sz w:val="20"/>
                          <w:szCs w:val="20"/>
                        </w:rPr>
                        <w:t>was</w:t>
                      </w:r>
                      <w:r w:rsidRPr="004E0302">
                        <w:rPr>
                          <w:rFonts w:eastAsia="Segoe UI Semilight" w:cs="Arial"/>
                          <w:color w:val="FFFFFF"/>
                          <w:spacing w:val="47"/>
                          <w:sz w:val="20"/>
                          <w:szCs w:val="20"/>
                        </w:rPr>
                        <w:t xml:space="preserve"> </w:t>
                      </w:r>
                      <w:r w:rsidRPr="004E0302">
                        <w:rPr>
                          <w:rFonts w:eastAsia="Segoe UI Semilight" w:cs="Arial"/>
                          <w:color w:val="FFFFFF"/>
                          <w:sz w:val="20"/>
                          <w:szCs w:val="20"/>
                        </w:rPr>
                        <w:t>received</w:t>
                      </w:r>
                      <w:r w:rsidRPr="004E0302">
                        <w:rPr>
                          <w:rFonts w:eastAsia="Segoe UI Semilight" w:cs="Arial"/>
                          <w:color w:val="FFFFFF"/>
                          <w:spacing w:val="48"/>
                          <w:sz w:val="20"/>
                          <w:szCs w:val="20"/>
                        </w:rPr>
                        <w:t xml:space="preserve"> </w:t>
                      </w:r>
                      <w:r w:rsidRPr="004E0302">
                        <w:rPr>
                          <w:rFonts w:eastAsia="Segoe UI Semilight" w:cs="Arial"/>
                          <w:color w:val="FFFFFF"/>
                          <w:spacing w:val="-1"/>
                          <w:sz w:val="20"/>
                          <w:szCs w:val="20"/>
                        </w:rPr>
                        <w:t>by</w:t>
                      </w:r>
                      <w:r w:rsidRPr="004E0302">
                        <w:rPr>
                          <w:rFonts w:eastAsia="Segoe UI Semilight" w:cs="Arial"/>
                          <w:color w:val="FFFFFF"/>
                          <w:spacing w:val="47"/>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46"/>
                          <w:sz w:val="20"/>
                          <w:szCs w:val="20"/>
                        </w:rPr>
                        <w:t xml:space="preserve"> </w:t>
                      </w:r>
                      <w:r w:rsidRPr="004E0302">
                        <w:rPr>
                          <w:rFonts w:eastAsia="Segoe UI Semilight" w:cs="Arial"/>
                          <w:color w:val="FFFFFF"/>
                          <w:spacing w:val="-1"/>
                          <w:sz w:val="20"/>
                          <w:szCs w:val="20"/>
                        </w:rPr>
                        <w:t>commissioner</w:t>
                      </w:r>
                      <w:r w:rsidRPr="004E0302">
                        <w:rPr>
                          <w:rFonts w:eastAsia="Segoe UI Semilight" w:cs="Arial"/>
                          <w:color w:val="FFFFFF"/>
                          <w:spacing w:val="48"/>
                          <w:sz w:val="20"/>
                          <w:szCs w:val="20"/>
                        </w:rPr>
                        <w:t xml:space="preserve"> </w:t>
                      </w:r>
                      <w:r w:rsidRPr="004E0302">
                        <w:rPr>
                          <w:rFonts w:eastAsia="Segoe UI Semilight" w:cs="Arial"/>
                          <w:color w:val="FFFFFF"/>
                          <w:sz w:val="20"/>
                          <w:szCs w:val="20"/>
                        </w:rPr>
                        <w:t>for</w:t>
                      </w:r>
                      <w:r w:rsidRPr="004E0302">
                        <w:rPr>
                          <w:rFonts w:eastAsia="Segoe UI Semilight" w:cs="Arial"/>
                          <w:color w:val="FFFFFF"/>
                          <w:spacing w:val="46"/>
                          <w:sz w:val="20"/>
                          <w:szCs w:val="20"/>
                        </w:rPr>
                        <w:t xml:space="preserve"> </w:t>
                      </w:r>
                      <w:r w:rsidRPr="004E0302">
                        <w:rPr>
                          <w:rFonts w:eastAsia="Segoe UI Semilight" w:cs="Arial"/>
                          <w:color w:val="FFFFFF"/>
                          <w:spacing w:val="-1"/>
                          <w:sz w:val="20"/>
                          <w:szCs w:val="20"/>
                        </w:rPr>
                        <w:t>e.g.</w:t>
                      </w:r>
                      <w:r w:rsidRPr="004E0302">
                        <w:rPr>
                          <w:rFonts w:eastAsia="Segoe UI Semilight" w:cs="Arial"/>
                          <w:color w:val="FFFFFF"/>
                          <w:spacing w:val="49"/>
                          <w:sz w:val="20"/>
                          <w:szCs w:val="20"/>
                        </w:rPr>
                        <w:t xml:space="preserve"> </w:t>
                      </w:r>
                      <w:r w:rsidRPr="004E0302">
                        <w:rPr>
                          <w:rFonts w:eastAsia="Segoe UI Semilight" w:cs="Arial"/>
                          <w:color w:val="FFFFFF"/>
                          <w:spacing w:val="-1"/>
                          <w:sz w:val="20"/>
                          <w:szCs w:val="20"/>
                        </w:rPr>
                        <w:t>extra</w:t>
                      </w:r>
                      <w:r w:rsidRPr="004E0302">
                        <w:rPr>
                          <w:rFonts w:eastAsia="Segoe UI Semilight" w:cs="Arial"/>
                          <w:color w:val="FFFFFF"/>
                          <w:spacing w:val="46"/>
                          <w:sz w:val="20"/>
                          <w:szCs w:val="20"/>
                        </w:rPr>
                        <w:t xml:space="preserve"> </w:t>
                      </w:r>
                      <w:r w:rsidRPr="004E0302">
                        <w:rPr>
                          <w:rFonts w:eastAsia="Segoe UI Semilight" w:cs="Arial"/>
                          <w:color w:val="FFFFFF"/>
                          <w:spacing w:val="-1"/>
                          <w:sz w:val="20"/>
                          <w:szCs w:val="20"/>
                        </w:rPr>
                        <w:t>funding</w:t>
                      </w:r>
                      <w:r w:rsidRPr="004E0302">
                        <w:rPr>
                          <w:rFonts w:eastAsia="Segoe UI Semilight" w:cs="Arial"/>
                          <w:color w:val="FFFFFF"/>
                          <w:spacing w:val="47"/>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53"/>
                          <w:sz w:val="20"/>
                          <w:szCs w:val="20"/>
                        </w:rPr>
                        <w:t xml:space="preserve"> </w:t>
                      </w:r>
                      <w:r w:rsidRPr="004E0302">
                        <w:rPr>
                          <w:rFonts w:eastAsia="Segoe UI Semilight" w:cs="Arial"/>
                          <w:color w:val="FFFFFF"/>
                          <w:spacing w:val="-1"/>
                          <w:sz w:val="20"/>
                          <w:szCs w:val="20"/>
                        </w:rPr>
                        <w:t>support</w:t>
                      </w:r>
                      <w:r w:rsidRPr="004E0302">
                        <w:rPr>
                          <w:rFonts w:eastAsia="Segoe UI Semilight" w:cs="Arial"/>
                          <w:color w:val="FFFFFF"/>
                          <w:spacing w:val="5"/>
                          <w:sz w:val="20"/>
                          <w:szCs w:val="20"/>
                        </w:rPr>
                        <w:t xml:space="preserve"> </w:t>
                      </w:r>
                      <w:r w:rsidRPr="004E0302">
                        <w:rPr>
                          <w:rFonts w:eastAsia="Segoe UI Semilight" w:cs="Arial"/>
                          <w:color w:val="FFFFFF"/>
                          <w:spacing w:val="-1"/>
                          <w:sz w:val="20"/>
                          <w:szCs w:val="20"/>
                        </w:rPr>
                        <w:t>the</w:t>
                      </w:r>
                      <w:r w:rsidRPr="004E0302">
                        <w:rPr>
                          <w:rFonts w:eastAsia="Segoe UI Semilight" w:cs="Arial"/>
                          <w:color w:val="FFFFFF"/>
                          <w:spacing w:val="7"/>
                          <w:sz w:val="20"/>
                          <w:szCs w:val="20"/>
                        </w:rPr>
                        <w:t xml:space="preserve"> </w:t>
                      </w:r>
                      <w:r w:rsidRPr="004E0302">
                        <w:rPr>
                          <w:rFonts w:eastAsia="Segoe UI Semilight" w:cs="Arial"/>
                          <w:color w:val="FFFFFF"/>
                          <w:spacing w:val="-1"/>
                          <w:sz w:val="20"/>
                          <w:szCs w:val="20"/>
                        </w:rPr>
                        <w:t>implementation</w:t>
                      </w:r>
                      <w:r w:rsidRPr="004E0302">
                        <w:rPr>
                          <w:rFonts w:eastAsia="Segoe UI Semilight" w:cs="Arial"/>
                          <w:color w:val="FFFFFF"/>
                          <w:spacing w:val="5"/>
                          <w:sz w:val="20"/>
                          <w:szCs w:val="20"/>
                        </w:rPr>
                        <w:t xml:space="preserve"> </w:t>
                      </w:r>
                      <w:r w:rsidRPr="004E0302">
                        <w:rPr>
                          <w:rFonts w:eastAsia="Segoe UI Semilight" w:cs="Arial"/>
                          <w:color w:val="FFFFFF"/>
                          <w:sz w:val="20"/>
                          <w:szCs w:val="20"/>
                        </w:rPr>
                        <w:t>of</w:t>
                      </w:r>
                      <w:r w:rsidRPr="004E0302">
                        <w:rPr>
                          <w:rFonts w:eastAsia="Segoe UI Semilight" w:cs="Arial"/>
                          <w:color w:val="FFFFFF"/>
                          <w:spacing w:val="4"/>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8"/>
                          <w:sz w:val="20"/>
                          <w:szCs w:val="20"/>
                        </w:rPr>
                        <w:t xml:space="preserve"> </w:t>
                      </w:r>
                      <w:r w:rsidRPr="004E0302">
                        <w:rPr>
                          <w:rFonts w:eastAsia="Segoe UI Semilight" w:cs="Arial"/>
                          <w:color w:val="FFFFFF"/>
                          <w:spacing w:val="-1"/>
                          <w:sz w:val="20"/>
                          <w:szCs w:val="20"/>
                        </w:rPr>
                        <w:t>local</w:t>
                      </w:r>
                      <w:r w:rsidRPr="004E0302">
                        <w:rPr>
                          <w:rFonts w:eastAsia="Segoe UI Semilight" w:cs="Arial"/>
                          <w:color w:val="FFFFFF"/>
                          <w:spacing w:val="7"/>
                          <w:sz w:val="20"/>
                          <w:szCs w:val="20"/>
                        </w:rPr>
                        <w:t xml:space="preserve"> </w:t>
                      </w:r>
                      <w:r w:rsidRPr="004E0302">
                        <w:rPr>
                          <w:rFonts w:eastAsia="Segoe UI Semilight" w:cs="Arial"/>
                          <w:color w:val="FFFFFF"/>
                          <w:spacing w:val="-1"/>
                          <w:sz w:val="20"/>
                          <w:szCs w:val="20"/>
                        </w:rPr>
                        <w:t>telehealth</w:t>
                      </w:r>
                      <w:r w:rsidRPr="004E0302">
                        <w:rPr>
                          <w:rFonts w:eastAsia="Segoe UI Semilight" w:cs="Arial"/>
                          <w:color w:val="FFFFFF"/>
                          <w:spacing w:val="5"/>
                          <w:sz w:val="20"/>
                          <w:szCs w:val="20"/>
                        </w:rPr>
                        <w:t xml:space="preserve"> </w:t>
                      </w:r>
                      <w:proofErr w:type="gramStart"/>
                      <w:r w:rsidRPr="004E0302">
                        <w:rPr>
                          <w:rFonts w:eastAsia="Segoe UI Semilight" w:cs="Arial"/>
                          <w:color w:val="FFFFFF"/>
                          <w:spacing w:val="-1"/>
                          <w:sz w:val="20"/>
                          <w:szCs w:val="20"/>
                        </w:rPr>
                        <w:t>initiative</w:t>
                      </w:r>
                      <w:proofErr w:type="gramEnd"/>
                      <w:r w:rsidRPr="004E0302">
                        <w:rPr>
                          <w:rFonts w:eastAsia="Segoe UI Semilight" w:cs="Arial"/>
                          <w:color w:val="FFFFFF"/>
                          <w:spacing w:val="7"/>
                          <w:sz w:val="20"/>
                          <w:szCs w:val="20"/>
                        </w:rPr>
                        <w:t xml:space="preserve"> </w:t>
                      </w:r>
                      <w:r w:rsidRPr="004E0302">
                        <w:rPr>
                          <w:rFonts w:eastAsia="Segoe UI Semilight" w:cs="Arial"/>
                          <w:color w:val="FFFFFF"/>
                          <w:spacing w:val="-1"/>
                          <w:sz w:val="20"/>
                          <w:szCs w:val="20"/>
                        </w:rPr>
                        <w:t>they</w:t>
                      </w:r>
                      <w:r w:rsidRPr="004E0302">
                        <w:rPr>
                          <w:rFonts w:eastAsia="Segoe UI Semilight" w:cs="Arial"/>
                          <w:color w:val="FFFFFF"/>
                          <w:spacing w:val="6"/>
                          <w:sz w:val="20"/>
                          <w:szCs w:val="20"/>
                        </w:rPr>
                        <w:t xml:space="preserve"> </w:t>
                      </w:r>
                      <w:r w:rsidRPr="004E0302">
                        <w:rPr>
                          <w:rFonts w:eastAsia="Segoe UI Semilight" w:cs="Arial"/>
                          <w:color w:val="FFFFFF"/>
                          <w:spacing w:val="-1"/>
                          <w:sz w:val="20"/>
                          <w:szCs w:val="20"/>
                        </w:rPr>
                        <w:t>would</w:t>
                      </w:r>
                      <w:r w:rsidRPr="004E0302">
                        <w:rPr>
                          <w:rFonts w:eastAsia="Segoe UI Semilight" w:cs="Arial"/>
                          <w:color w:val="FFFFFF"/>
                          <w:spacing w:val="68"/>
                          <w:w w:val="99"/>
                          <w:sz w:val="20"/>
                          <w:szCs w:val="20"/>
                        </w:rPr>
                        <w:t xml:space="preserve"> </w:t>
                      </w:r>
                      <w:r w:rsidRPr="004E0302">
                        <w:rPr>
                          <w:rFonts w:eastAsia="Segoe UI Semilight" w:cs="Arial"/>
                          <w:color w:val="FFFFFF"/>
                          <w:spacing w:val="-1"/>
                          <w:sz w:val="20"/>
                          <w:szCs w:val="20"/>
                        </w:rPr>
                        <w:t>not</w:t>
                      </w:r>
                      <w:r w:rsidRPr="004E0302">
                        <w:rPr>
                          <w:rFonts w:eastAsia="Segoe UI Semilight" w:cs="Arial"/>
                          <w:color w:val="FFFFFF"/>
                          <w:spacing w:val="22"/>
                          <w:sz w:val="20"/>
                          <w:szCs w:val="20"/>
                        </w:rPr>
                        <w:t xml:space="preserve"> </w:t>
                      </w:r>
                      <w:r w:rsidRPr="004E0302">
                        <w:rPr>
                          <w:rFonts w:eastAsia="Segoe UI Semilight" w:cs="Arial"/>
                          <w:color w:val="FFFFFF"/>
                          <w:spacing w:val="-1"/>
                          <w:sz w:val="20"/>
                          <w:szCs w:val="20"/>
                        </w:rPr>
                        <w:t>be</w:t>
                      </w:r>
                      <w:r w:rsidRPr="004E0302">
                        <w:rPr>
                          <w:rFonts w:eastAsia="Segoe UI Semilight" w:cs="Arial"/>
                          <w:color w:val="FFFFFF"/>
                          <w:spacing w:val="20"/>
                          <w:sz w:val="20"/>
                          <w:szCs w:val="20"/>
                        </w:rPr>
                        <w:t xml:space="preserve"> </w:t>
                      </w:r>
                      <w:r w:rsidRPr="004E0302">
                        <w:rPr>
                          <w:rFonts w:eastAsia="Segoe UI Semilight" w:cs="Arial"/>
                          <w:color w:val="FFFFFF"/>
                          <w:sz w:val="20"/>
                          <w:szCs w:val="20"/>
                        </w:rPr>
                        <w:t>obliged</w:t>
                      </w:r>
                      <w:r w:rsidRPr="004E0302">
                        <w:rPr>
                          <w:rFonts w:eastAsia="Segoe UI Semilight" w:cs="Arial"/>
                          <w:color w:val="FFFFFF"/>
                          <w:spacing w:val="20"/>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20"/>
                          <w:sz w:val="20"/>
                          <w:szCs w:val="20"/>
                        </w:rPr>
                        <w:t xml:space="preserve"> </w:t>
                      </w:r>
                      <w:r w:rsidRPr="004E0302">
                        <w:rPr>
                          <w:rFonts w:eastAsia="Segoe UI Semilight" w:cs="Arial"/>
                          <w:color w:val="FFFFFF"/>
                          <w:spacing w:val="-1"/>
                          <w:sz w:val="20"/>
                          <w:szCs w:val="20"/>
                        </w:rPr>
                        <w:t>support</w:t>
                      </w:r>
                      <w:r w:rsidRPr="004E0302">
                        <w:rPr>
                          <w:rFonts w:eastAsia="Segoe UI Semilight" w:cs="Arial"/>
                          <w:color w:val="FFFFFF"/>
                          <w:spacing w:val="22"/>
                          <w:sz w:val="20"/>
                          <w:szCs w:val="20"/>
                        </w:rPr>
                        <w:t xml:space="preserve"> </w:t>
                      </w:r>
                      <w:r w:rsidRPr="004E0302">
                        <w:rPr>
                          <w:rFonts w:eastAsia="Segoe UI Semilight" w:cs="Arial"/>
                          <w:color w:val="FFFFFF"/>
                          <w:spacing w:val="-1"/>
                          <w:sz w:val="20"/>
                          <w:szCs w:val="20"/>
                        </w:rPr>
                        <w:t>it</w:t>
                      </w:r>
                      <w:r w:rsidRPr="004E0302">
                        <w:rPr>
                          <w:rFonts w:eastAsia="Segoe UI Semilight" w:cs="Arial"/>
                          <w:color w:val="FFFFFF"/>
                          <w:spacing w:val="22"/>
                          <w:sz w:val="20"/>
                          <w:szCs w:val="20"/>
                        </w:rPr>
                        <w:t xml:space="preserve"> </w:t>
                      </w:r>
                      <w:r w:rsidRPr="004E0302">
                        <w:rPr>
                          <w:rFonts w:eastAsia="Segoe UI Semilight" w:cs="Arial"/>
                          <w:color w:val="FFFFFF"/>
                          <w:spacing w:val="-1"/>
                          <w:sz w:val="20"/>
                          <w:szCs w:val="20"/>
                        </w:rPr>
                        <w:t>because</w:t>
                      </w:r>
                      <w:r w:rsidRPr="004E0302">
                        <w:rPr>
                          <w:rFonts w:eastAsia="Segoe UI Semilight" w:cs="Arial"/>
                          <w:color w:val="FFFFFF"/>
                          <w:spacing w:val="24"/>
                          <w:sz w:val="20"/>
                          <w:szCs w:val="20"/>
                        </w:rPr>
                        <w:t xml:space="preserve"> </w:t>
                      </w:r>
                      <w:r w:rsidRPr="004E0302">
                        <w:rPr>
                          <w:rFonts w:eastAsia="Segoe UI Semilight" w:cs="Arial"/>
                          <w:color w:val="FFFFFF"/>
                          <w:spacing w:val="-1"/>
                          <w:sz w:val="20"/>
                          <w:szCs w:val="20"/>
                        </w:rPr>
                        <w:t>of</w:t>
                      </w:r>
                      <w:r w:rsidRPr="004E0302">
                        <w:rPr>
                          <w:rFonts w:eastAsia="Segoe UI Semilight" w:cs="Arial"/>
                          <w:color w:val="FFFFFF"/>
                          <w:spacing w:val="20"/>
                          <w:sz w:val="20"/>
                          <w:szCs w:val="20"/>
                        </w:rPr>
                        <w:t xml:space="preserve"> </w:t>
                      </w:r>
                      <w:r w:rsidRPr="004E0302">
                        <w:rPr>
                          <w:rFonts w:eastAsia="Segoe UI Semilight" w:cs="Arial"/>
                          <w:color w:val="FFFFFF"/>
                          <w:sz w:val="20"/>
                          <w:szCs w:val="20"/>
                        </w:rPr>
                        <w:t>the</w:t>
                      </w:r>
                      <w:r w:rsidRPr="004E0302">
                        <w:rPr>
                          <w:rFonts w:eastAsia="Segoe UI Semilight" w:cs="Arial"/>
                          <w:color w:val="FFFFFF"/>
                          <w:spacing w:val="20"/>
                          <w:sz w:val="20"/>
                          <w:szCs w:val="20"/>
                        </w:rPr>
                        <w:t xml:space="preserve"> </w:t>
                      </w:r>
                      <w:r w:rsidRPr="004E0302">
                        <w:rPr>
                          <w:rFonts w:eastAsia="Segoe UI Semilight" w:cs="Arial"/>
                          <w:color w:val="FFFFFF"/>
                          <w:spacing w:val="-1"/>
                          <w:sz w:val="20"/>
                          <w:szCs w:val="20"/>
                        </w:rPr>
                        <w:t>duty</w:t>
                      </w:r>
                      <w:r w:rsidRPr="004E0302">
                        <w:rPr>
                          <w:rFonts w:eastAsia="Segoe UI Semilight" w:cs="Arial"/>
                          <w:color w:val="FFFFFF"/>
                          <w:spacing w:val="21"/>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20"/>
                          <w:sz w:val="20"/>
                          <w:szCs w:val="20"/>
                        </w:rPr>
                        <w:t xml:space="preserve"> </w:t>
                      </w:r>
                      <w:r w:rsidRPr="004E0302">
                        <w:rPr>
                          <w:rFonts w:eastAsia="Segoe UI Semilight" w:cs="Arial"/>
                          <w:color w:val="FFFFFF"/>
                          <w:spacing w:val="-1"/>
                          <w:sz w:val="20"/>
                          <w:szCs w:val="20"/>
                        </w:rPr>
                        <w:t>promote</w:t>
                      </w:r>
                      <w:r w:rsidRPr="004E0302">
                        <w:rPr>
                          <w:rFonts w:eastAsia="Segoe UI Semilight" w:cs="Arial"/>
                          <w:color w:val="FFFFFF"/>
                          <w:spacing w:val="41"/>
                          <w:w w:val="99"/>
                          <w:sz w:val="20"/>
                          <w:szCs w:val="20"/>
                        </w:rPr>
                        <w:t xml:space="preserve"> </w:t>
                      </w:r>
                      <w:r w:rsidRPr="004E0302">
                        <w:rPr>
                          <w:rFonts w:eastAsia="Segoe UI Semilight" w:cs="Arial"/>
                          <w:color w:val="FFFFFF"/>
                          <w:spacing w:val="-1"/>
                          <w:sz w:val="20"/>
                          <w:szCs w:val="20"/>
                        </w:rPr>
                        <w:t>innovation.</w:t>
                      </w:r>
                      <w:r w:rsidRPr="004E0302">
                        <w:rPr>
                          <w:rFonts w:eastAsia="Segoe UI Semilight" w:cs="Arial"/>
                          <w:color w:val="FFFFFF"/>
                          <w:spacing w:val="10"/>
                          <w:sz w:val="20"/>
                          <w:szCs w:val="20"/>
                        </w:rPr>
                        <w:t xml:space="preserve"> </w:t>
                      </w:r>
                      <w:r w:rsidRPr="004E0302">
                        <w:rPr>
                          <w:rFonts w:eastAsia="Segoe UI Semilight" w:cs="Arial"/>
                          <w:color w:val="FFFFFF"/>
                          <w:spacing w:val="-1"/>
                          <w:sz w:val="20"/>
                          <w:szCs w:val="20"/>
                        </w:rPr>
                        <w:t>That</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duty</w:t>
                      </w:r>
                      <w:r w:rsidRPr="004E0302">
                        <w:rPr>
                          <w:rFonts w:eastAsia="Segoe UI Semilight" w:cs="Arial"/>
                          <w:color w:val="FFFFFF"/>
                          <w:spacing w:val="39"/>
                          <w:sz w:val="20"/>
                          <w:szCs w:val="20"/>
                        </w:rPr>
                        <w:t xml:space="preserve"> </w:t>
                      </w:r>
                      <w:r w:rsidRPr="004E0302">
                        <w:rPr>
                          <w:rFonts w:eastAsia="Segoe UI Semilight" w:cs="Arial"/>
                          <w:color w:val="FFFFFF"/>
                          <w:spacing w:val="-1"/>
                          <w:sz w:val="20"/>
                          <w:szCs w:val="20"/>
                        </w:rPr>
                        <w:t>has</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already</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been</w:t>
                      </w:r>
                      <w:r w:rsidRPr="004E0302">
                        <w:rPr>
                          <w:rFonts w:eastAsia="Segoe UI Semilight" w:cs="Arial"/>
                          <w:color w:val="FFFFFF"/>
                          <w:spacing w:val="39"/>
                          <w:sz w:val="20"/>
                          <w:szCs w:val="20"/>
                        </w:rPr>
                        <w:t xml:space="preserve"> </w:t>
                      </w:r>
                      <w:r w:rsidRPr="004E0302">
                        <w:rPr>
                          <w:rFonts w:eastAsia="Segoe UI Semilight" w:cs="Arial"/>
                          <w:color w:val="FFFFFF"/>
                          <w:spacing w:val="-1"/>
                          <w:sz w:val="20"/>
                          <w:szCs w:val="20"/>
                        </w:rPr>
                        <w:t>met</w:t>
                      </w:r>
                      <w:r w:rsidRPr="004E0302">
                        <w:rPr>
                          <w:rFonts w:eastAsia="Segoe UI Semilight" w:cs="Arial"/>
                          <w:color w:val="FFFFFF"/>
                          <w:spacing w:val="40"/>
                          <w:sz w:val="20"/>
                          <w:szCs w:val="20"/>
                        </w:rPr>
                        <w:t xml:space="preserve"> </w:t>
                      </w:r>
                      <w:r w:rsidRPr="004E0302">
                        <w:rPr>
                          <w:rFonts w:eastAsia="Segoe UI Semilight" w:cs="Arial"/>
                          <w:color w:val="FFFFFF"/>
                          <w:spacing w:val="-1"/>
                          <w:sz w:val="20"/>
                          <w:szCs w:val="20"/>
                        </w:rPr>
                        <w:t>by</w:t>
                      </w:r>
                      <w:r w:rsidRPr="004E0302">
                        <w:rPr>
                          <w:rFonts w:eastAsia="Segoe UI Semilight" w:cs="Arial"/>
                          <w:color w:val="FFFFFF"/>
                          <w:spacing w:val="36"/>
                          <w:sz w:val="20"/>
                          <w:szCs w:val="20"/>
                        </w:rPr>
                        <w:t xml:space="preserve"> </w:t>
                      </w:r>
                      <w:r w:rsidRPr="004E0302">
                        <w:rPr>
                          <w:rFonts w:eastAsia="Segoe UI Semilight" w:cs="Arial"/>
                          <w:color w:val="FFFFFF"/>
                          <w:sz w:val="20"/>
                          <w:szCs w:val="20"/>
                        </w:rPr>
                        <w:t>the commissioner</w:t>
                      </w:r>
                      <w:r w:rsidRPr="004E0302">
                        <w:rPr>
                          <w:rFonts w:eastAsia="Segoe UI Semilight" w:cs="Arial"/>
                          <w:color w:val="FFFFFF"/>
                          <w:spacing w:val="36"/>
                          <w:sz w:val="20"/>
                          <w:szCs w:val="20"/>
                        </w:rPr>
                        <w:t xml:space="preserve"> </w:t>
                      </w:r>
                      <w:r w:rsidRPr="004E0302">
                        <w:rPr>
                          <w:rFonts w:eastAsia="Segoe UI Semilight" w:cs="Arial"/>
                          <w:color w:val="FFFFFF"/>
                          <w:spacing w:val="-1"/>
                          <w:sz w:val="20"/>
                          <w:szCs w:val="20"/>
                        </w:rPr>
                        <w:t>in</w:t>
                      </w:r>
                      <w:r w:rsidRPr="004E0302">
                        <w:rPr>
                          <w:rFonts w:eastAsia="Segoe UI Semilight" w:cs="Arial"/>
                          <w:color w:val="FFFFFF"/>
                          <w:spacing w:val="39"/>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43"/>
                          <w:w w:val="99"/>
                          <w:sz w:val="20"/>
                          <w:szCs w:val="20"/>
                        </w:rPr>
                        <w:t xml:space="preserve"> </w:t>
                      </w:r>
                      <w:r w:rsidRPr="004E0302">
                        <w:rPr>
                          <w:rFonts w:eastAsia="Segoe UI Semilight" w:cs="Arial"/>
                          <w:color w:val="FFFFFF"/>
                          <w:spacing w:val="-1"/>
                          <w:sz w:val="20"/>
                          <w:szCs w:val="20"/>
                        </w:rPr>
                        <w:t>different</w:t>
                      </w:r>
                      <w:r w:rsidRPr="004E0302">
                        <w:rPr>
                          <w:rFonts w:eastAsia="Segoe UI Semilight" w:cs="Arial"/>
                          <w:color w:val="FFFFFF"/>
                          <w:spacing w:val="-8"/>
                          <w:sz w:val="20"/>
                          <w:szCs w:val="20"/>
                        </w:rPr>
                        <w:t xml:space="preserve"> </w:t>
                      </w:r>
                      <w:r w:rsidRPr="004E0302">
                        <w:rPr>
                          <w:rFonts w:eastAsia="Segoe UI Semilight" w:cs="Arial"/>
                          <w:color w:val="FFFFFF"/>
                          <w:spacing w:val="-1"/>
                          <w:sz w:val="20"/>
                          <w:szCs w:val="20"/>
                        </w:rPr>
                        <w:t>way.</w:t>
                      </w:r>
                    </w:p>
                  </w:txbxContent>
                </v:textbox>
                <w10:anchorlock/>
              </v:shape>
            </w:pict>
          </mc:Fallback>
        </mc:AlternateContent>
      </w:r>
    </w:p>
    <w:p w14:paraId="54654522" w14:textId="77777777" w:rsidR="00DB7F92" w:rsidRPr="00DB7F92" w:rsidRDefault="00DB7F92" w:rsidP="00DB7F92">
      <w:pPr>
        <w:spacing w:before="10"/>
        <w:jc w:val="both"/>
        <w:rPr>
          <w:rFonts w:eastAsia="Segoe UI Semilight" w:cs="Arial"/>
          <w:sz w:val="20"/>
          <w:szCs w:val="20"/>
        </w:rPr>
      </w:pPr>
    </w:p>
    <w:p w14:paraId="4C19FB19" w14:textId="68E17454" w:rsidR="00DB7F92" w:rsidRPr="00DB7F92" w:rsidRDefault="00D32C7A" w:rsidP="00DB7F92">
      <w:pPr>
        <w:pStyle w:val="Heading2"/>
        <w:rPr>
          <w:rFonts w:eastAsiaTheme="majorEastAsia"/>
        </w:rPr>
      </w:pPr>
      <w:bookmarkStart w:id="104" w:name="_Toc95743370"/>
      <w:r w:rsidRPr="00DB7F92">
        <w:rPr>
          <w:rFonts w:eastAsiaTheme="majorEastAsia"/>
        </w:rPr>
        <w:t>The</w:t>
      </w:r>
      <w:r w:rsidRPr="00DB7F92">
        <w:rPr>
          <w:rFonts w:eastAsiaTheme="majorEastAsia"/>
          <w:spacing w:val="1"/>
        </w:rPr>
        <w:t xml:space="preserve"> </w:t>
      </w:r>
      <w:r>
        <w:rPr>
          <w:rFonts w:eastAsiaTheme="majorEastAsia"/>
        </w:rPr>
        <w:t>View t</w:t>
      </w:r>
      <w:r w:rsidRPr="00DB7F92">
        <w:rPr>
          <w:rFonts w:eastAsiaTheme="majorEastAsia"/>
        </w:rPr>
        <w:t>o</w:t>
      </w:r>
      <w:r w:rsidRPr="00DB7F92">
        <w:rPr>
          <w:rFonts w:eastAsiaTheme="majorEastAsia"/>
          <w:spacing w:val="-2"/>
        </w:rPr>
        <w:t xml:space="preserve"> </w:t>
      </w:r>
      <w:r w:rsidRPr="00DB7F92">
        <w:rPr>
          <w:rFonts w:eastAsiaTheme="majorEastAsia"/>
        </w:rPr>
        <w:t>Duties</w:t>
      </w:r>
      <w:bookmarkEnd w:id="104"/>
    </w:p>
    <w:p w14:paraId="1BC2CE71" w14:textId="77777777" w:rsidR="00DB7F92" w:rsidRPr="00DB7F92" w:rsidRDefault="00DB7F92" w:rsidP="00DD5D2D">
      <w:pPr>
        <w:pStyle w:val="Heading3"/>
        <w:jc w:val="both"/>
        <w:rPr>
          <w:lang w:eastAsia="en-GB"/>
        </w:rPr>
      </w:pPr>
      <w:r w:rsidRPr="00DB7F92">
        <w:rPr>
          <w:lang w:eastAsia="en-GB"/>
        </w:rPr>
        <w:t>The</w:t>
      </w:r>
      <w:r w:rsidRPr="00DB7F92">
        <w:rPr>
          <w:spacing w:val="-4"/>
          <w:lang w:eastAsia="en-GB"/>
        </w:rPr>
        <w:t xml:space="preserve"> </w:t>
      </w:r>
      <w:r w:rsidRPr="00DB7F92">
        <w:rPr>
          <w:lang w:eastAsia="en-GB"/>
        </w:rPr>
        <w:t>"View</w:t>
      </w:r>
      <w:r w:rsidRPr="00DB7F92">
        <w:rPr>
          <w:spacing w:val="-3"/>
          <w:lang w:eastAsia="en-GB"/>
        </w:rPr>
        <w:t xml:space="preserve"> </w:t>
      </w:r>
      <w:r w:rsidRPr="00DB7F92">
        <w:rPr>
          <w:lang w:eastAsia="en-GB"/>
        </w:rPr>
        <w:t>To</w:t>
      </w:r>
      <w:r w:rsidRPr="00DB7F92">
        <w:rPr>
          <w:spacing w:val="-3"/>
          <w:lang w:eastAsia="en-GB"/>
        </w:rPr>
        <w:t xml:space="preserve"> </w:t>
      </w:r>
      <w:r w:rsidRPr="00DB7F92">
        <w:rPr>
          <w:lang w:eastAsia="en-GB"/>
        </w:rPr>
        <w:t>Duties"</w:t>
      </w:r>
      <w:r w:rsidRPr="00DB7F92">
        <w:rPr>
          <w:spacing w:val="-23"/>
          <w:lang w:eastAsia="en-GB"/>
        </w:rPr>
        <w:t xml:space="preserve"> </w:t>
      </w:r>
      <w:r w:rsidRPr="00DB7F92">
        <w:rPr>
          <w:lang w:eastAsia="en-GB"/>
        </w:rPr>
        <w:t>are:</w:t>
      </w:r>
    </w:p>
    <w:p w14:paraId="1B768F28" w14:textId="3A730366" w:rsidR="00DB7F92" w:rsidRPr="00682EC4" w:rsidRDefault="00DB7F92" w:rsidP="006C3DF5">
      <w:pPr>
        <w:pStyle w:val="ListParagraph"/>
        <w:widowControl w:val="0"/>
        <w:numPr>
          <w:ilvl w:val="1"/>
          <w:numId w:val="77"/>
        </w:numPr>
        <w:tabs>
          <w:tab w:val="left" w:pos="2528"/>
        </w:tabs>
        <w:spacing w:before="120" w:after="120" w:line="360" w:lineRule="auto"/>
        <w:ind w:right="116"/>
        <w:jc w:val="both"/>
        <w:rPr>
          <w:rFonts w:cs="Arial"/>
          <w:bCs w:val="0"/>
          <w:spacing w:val="-1"/>
          <w:szCs w:val="24"/>
          <w:lang w:eastAsia="en-GB"/>
        </w:rPr>
      </w:pPr>
      <w:r w:rsidRPr="00682EC4">
        <w:rPr>
          <w:rFonts w:cs="Arial"/>
          <w:bCs w:val="0"/>
          <w:spacing w:val="-1"/>
          <w:szCs w:val="24"/>
          <w:lang w:eastAsia="en-GB"/>
        </w:rPr>
        <w:t xml:space="preserve">the duty to act with a view to delivering services in a way that promotes the NHS constitution (in respect of NHS England, see section 13C(1)(a) of the NHS Act 2006; and, in respect of </w:t>
      </w:r>
      <w:r w:rsidR="00B83042">
        <w:rPr>
          <w:rFonts w:cs="Arial"/>
          <w:bCs w:val="0"/>
          <w:spacing w:val="-1"/>
          <w:szCs w:val="24"/>
          <w:lang w:eastAsia="en-GB"/>
        </w:rPr>
        <w:t>CCG/ICBCCGs/ICBs</w:t>
      </w:r>
      <w:r w:rsidRPr="00682EC4">
        <w:rPr>
          <w:rFonts w:cs="Arial"/>
          <w:bCs w:val="0"/>
          <w:spacing w:val="-1"/>
          <w:szCs w:val="24"/>
          <w:lang w:eastAsia="en-GB"/>
        </w:rPr>
        <w:t>, see section 14P of the NHS Act 2006)</w:t>
      </w:r>
    </w:p>
    <w:p w14:paraId="2E5EBDA9" w14:textId="656E5064" w:rsidR="00DB7F92" w:rsidRPr="00682EC4" w:rsidRDefault="00DB7F92" w:rsidP="006C3DF5">
      <w:pPr>
        <w:pStyle w:val="ListParagraph"/>
        <w:widowControl w:val="0"/>
        <w:numPr>
          <w:ilvl w:val="1"/>
          <w:numId w:val="77"/>
        </w:numPr>
        <w:tabs>
          <w:tab w:val="left" w:pos="2528"/>
        </w:tabs>
        <w:spacing w:before="120" w:after="120" w:line="360" w:lineRule="auto"/>
        <w:ind w:right="116"/>
        <w:jc w:val="both"/>
        <w:rPr>
          <w:rFonts w:cs="Arial"/>
          <w:bCs w:val="0"/>
          <w:spacing w:val="-1"/>
          <w:szCs w:val="24"/>
          <w:lang w:eastAsia="en-GB"/>
        </w:rPr>
      </w:pPr>
      <w:r w:rsidRPr="00682EC4">
        <w:rPr>
          <w:rFonts w:cs="Arial"/>
          <w:bCs w:val="0"/>
          <w:spacing w:val="-1"/>
          <w:szCs w:val="24"/>
          <w:lang w:eastAsia="en-GB"/>
        </w:rPr>
        <w:t xml:space="preserve">the duty to act with a view to securing continuous improvement in the quality of services in health and public health services (in respect of NHS England, see section 13E of the NHS Act 2006; and, in respect of </w:t>
      </w:r>
      <w:r w:rsidR="00B83042">
        <w:rPr>
          <w:rFonts w:cs="Arial"/>
          <w:bCs w:val="0"/>
          <w:spacing w:val="-1"/>
          <w:szCs w:val="24"/>
          <w:lang w:eastAsia="en-GB"/>
        </w:rPr>
        <w:t>CCG/ICBCCGs/ICBs</w:t>
      </w:r>
      <w:r w:rsidRPr="00682EC4">
        <w:rPr>
          <w:rFonts w:cs="Arial"/>
          <w:bCs w:val="0"/>
          <w:spacing w:val="-1"/>
          <w:szCs w:val="24"/>
          <w:lang w:eastAsia="en-GB"/>
        </w:rPr>
        <w:t>, see section 14R of the NHS Act 2006)</w:t>
      </w:r>
    </w:p>
    <w:p w14:paraId="039EC4DB" w14:textId="57BA5270" w:rsidR="00DB7F92" w:rsidRPr="00682EC4" w:rsidRDefault="00DB7F92" w:rsidP="006C3DF5">
      <w:pPr>
        <w:pStyle w:val="ListParagraph"/>
        <w:widowControl w:val="0"/>
        <w:numPr>
          <w:ilvl w:val="1"/>
          <w:numId w:val="77"/>
        </w:numPr>
        <w:tabs>
          <w:tab w:val="left" w:pos="2528"/>
        </w:tabs>
        <w:spacing w:before="120" w:after="120" w:line="360" w:lineRule="auto"/>
        <w:ind w:right="116"/>
        <w:jc w:val="both"/>
        <w:rPr>
          <w:rFonts w:cs="Arial"/>
          <w:bCs w:val="0"/>
          <w:spacing w:val="-1"/>
          <w:szCs w:val="24"/>
          <w:lang w:eastAsia="en-GB"/>
        </w:rPr>
      </w:pPr>
      <w:r w:rsidRPr="00682EC4">
        <w:rPr>
          <w:rFonts w:cs="Arial"/>
          <w:bCs w:val="0"/>
          <w:spacing w:val="-1"/>
          <w:szCs w:val="24"/>
          <w:lang w:eastAsia="en-GB"/>
        </w:rPr>
        <w:t xml:space="preserve">the duty to act with a view to enabling patients to make choices about their care (in respect of NHS England, see section 13I of the NHS Act 2006; and, in respect of </w:t>
      </w:r>
      <w:r w:rsidR="00B83042">
        <w:rPr>
          <w:rFonts w:cs="Arial"/>
          <w:bCs w:val="0"/>
          <w:spacing w:val="-1"/>
          <w:szCs w:val="24"/>
          <w:lang w:eastAsia="en-GB"/>
        </w:rPr>
        <w:t>CCG/ICBCCGs/ICBs</w:t>
      </w:r>
      <w:r w:rsidRPr="00682EC4">
        <w:rPr>
          <w:rFonts w:cs="Arial"/>
          <w:bCs w:val="0"/>
          <w:spacing w:val="-1"/>
          <w:szCs w:val="24"/>
          <w:lang w:eastAsia="en-GB"/>
        </w:rPr>
        <w:t>, see section 14R of the NHS Act 2006)</w:t>
      </w:r>
    </w:p>
    <w:p w14:paraId="7CF2AB78" w14:textId="77777777" w:rsidR="00DB7F92" w:rsidRPr="00682EC4" w:rsidRDefault="00DB7F92" w:rsidP="006C3DF5">
      <w:pPr>
        <w:pStyle w:val="ListParagraph"/>
        <w:widowControl w:val="0"/>
        <w:numPr>
          <w:ilvl w:val="1"/>
          <w:numId w:val="77"/>
        </w:numPr>
        <w:tabs>
          <w:tab w:val="left" w:pos="2528"/>
        </w:tabs>
        <w:spacing w:before="120" w:after="120" w:line="360" w:lineRule="auto"/>
        <w:ind w:right="116"/>
        <w:jc w:val="both"/>
        <w:rPr>
          <w:rFonts w:cs="Arial"/>
          <w:bCs w:val="0"/>
          <w:spacing w:val="-1"/>
          <w:szCs w:val="24"/>
          <w:lang w:eastAsia="en-GB"/>
        </w:rPr>
      </w:pPr>
      <w:r w:rsidRPr="00682EC4">
        <w:rPr>
          <w:rFonts w:cs="Arial"/>
          <w:bCs w:val="0"/>
          <w:spacing w:val="-1"/>
          <w:szCs w:val="24"/>
          <w:lang w:eastAsia="en-GB"/>
        </w:rPr>
        <w:t>the duty to act with a view to securing integration, including between health and other public services that impact on health,</w:t>
      </w:r>
    </w:p>
    <w:p w14:paraId="04A9175A" w14:textId="50B05402" w:rsidR="00DB7F92" w:rsidRPr="00682EC4" w:rsidRDefault="00DB7F92" w:rsidP="006C3DF5">
      <w:pPr>
        <w:pStyle w:val="ListParagraph"/>
        <w:widowControl w:val="0"/>
        <w:numPr>
          <w:ilvl w:val="1"/>
          <w:numId w:val="77"/>
        </w:numPr>
        <w:tabs>
          <w:tab w:val="left" w:pos="2528"/>
        </w:tabs>
        <w:spacing w:before="120" w:after="120" w:line="360" w:lineRule="auto"/>
        <w:ind w:right="116"/>
        <w:jc w:val="both"/>
        <w:rPr>
          <w:rFonts w:cs="Arial"/>
          <w:bCs w:val="0"/>
          <w:spacing w:val="-1"/>
          <w:szCs w:val="24"/>
          <w:lang w:eastAsia="en-GB"/>
        </w:rPr>
      </w:pPr>
      <w:r w:rsidRPr="00682EC4">
        <w:rPr>
          <w:rFonts w:cs="Arial"/>
          <w:bCs w:val="0"/>
          <w:spacing w:val="-1"/>
          <w:szCs w:val="24"/>
          <w:lang w:eastAsia="en-GB"/>
        </w:rPr>
        <w:t xml:space="preserve">where this would improve health services (in respect of NHS England, see section 13N of the NHS Act 2006; and, in respect of </w:t>
      </w:r>
      <w:r w:rsidR="00B83042">
        <w:rPr>
          <w:rFonts w:cs="Arial"/>
          <w:bCs w:val="0"/>
          <w:spacing w:val="-1"/>
          <w:szCs w:val="24"/>
          <w:lang w:eastAsia="en-GB"/>
        </w:rPr>
        <w:t>CCG/ICBCCGs/ICBs</w:t>
      </w:r>
      <w:r w:rsidRPr="00682EC4">
        <w:rPr>
          <w:rFonts w:cs="Arial"/>
          <w:bCs w:val="0"/>
          <w:spacing w:val="-1"/>
          <w:szCs w:val="24"/>
          <w:lang w:eastAsia="en-GB"/>
        </w:rPr>
        <w:t>, see section 14Z1 of the NHS Act 2006)</w:t>
      </w:r>
    </w:p>
    <w:p w14:paraId="65F19BCE" w14:textId="77777777" w:rsidR="00DB7F92" w:rsidRPr="00DB7F92" w:rsidRDefault="00DB7F92" w:rsidP="00DB7F92">
      <w:pPr>
        <w:spacing w:before="12"/>
        <w:jc w:val="both"/>
        <w:rPr>
          <w:rFonts w:eastAsia="Segoe UI Semilight" w:cs="Arial"/>
          <w:sz w:val="20"/>
          <w:szCs w:val="20"/>
        </w:rPr>
      </w:pPr>
    </w:p>
    <w:p w14:paraId="00F30BF3" w14:textId="77777777" w:rsidR="00DB7F92" w:rsidRPr="00DB7F92" w:rsidRDefault="00DB7F92" w:rsidP="00DD5D2D">
      <w:pPr>
        <w:pStyle w:val="Heading3"/>
        <w:jc w:val="both"/>
        <w:rPr>
          <w:lang w:eastAsia="en-GB"/>
        </w:rPr>
      </w:pPr>
      <w:r w:rsidRPr="00DB7F92">
        <w:rPr>
          <w:lang w:eastAsia="en-GB"/>
        </w:rPr>
        <w:t>the</w:t>
      </w:r>
      <w:r w:rsidRPr="00DB7F92">
        <w:rPr>
          <w:spacing w:val="50"/>
          <w:lang w:eastAsia="en-GB"/>
        </w:rPr>
        <w:t xml:space="preserve"> </w:t>
      </w:r>
      <w:r w:rsidRPr="00DB7F92">
        <w:rPr>
          <w:lang w:eastAsia="en-GB"/>
        </w:rPr>
        <w:t>duty</w:t>
      </w:r>
      <w:r w:rsidRPr="00DB7F92">
        <w:rPr>
          <w:spacing w:val="51"/>
          <w:lang w:eastAsia="en-GB"/>
        </w:rPr>
        <w:t xml:space="preserve"> </w:t>
      </w:r>
      <w:r w:rsidRPr="00DB7F92">
        <w:rPr>
          <w:lang w:eastAsia="en-GB"/>
        </w:rPr>
        <w:t>to</w:t>
      </w:r>
      <w:r w:rsidRPr="00DB7F92">
        <w:rPr>
          <w:spacing w:val="50"/>
          <w:lang w:eastAsia="en-GB"/>
        </w:rPr>
        <w:t xml:space="preserve"> </w:t>
      </w:r>
      <w:r w:rsidRPr="00DB7F92">
        <w:rPr>
          <w:lang w:eastAsia="en-GB"/>
        </w:rPr>
        <w:t>exercise</w:t>
      </w:r>
      <w:r w:rsidRPr="00DB7F92">
        <w:rPr>
          <w:spacing w:val="50"/>
          <w:lang w:eastAsia="en-GB"/>
        </w:rPr>
        <w:t xml:space="preserve"> </w:t>
      </w:r>
      <w:r w:rsidRPr="00DB7F92">
        <w:rPr>
          <w:lang w:eastAsia="en-GB"/>
        </w:rPr>
        <w:t>its</w:t>
      </w:r>
      <w:r w:rsidRPr="00DB7F92">
        <w:rPr>
          <w:spacing w:val="52"/>
          <w:lang w:eastAsia="en-GB"/>
        </w:rPr>
        <w:t xml:space="preserve"> </w:t>
      </w:r>
      <w:r w:rsidRPr="00DB7F92">
        <w:rPr>
          <w:lang w:eastAsia="en-GB"/>
        </w:rPr>
        <w:t>functions</w:t>
      </w:r>
      <w:r w:rsidRPr="00DB7F92">
        <w:rPr>
          <w:spacing w:val="52"/>
          <w:lang w:eastAsia="en-GB"/>
        </w:rPr>
        <w:t xml:space="preserve"> </w:t>
      </w:r>
      <w:r w:rsidRPr="00DB7F92">
        <w:rPr>
          <w:lang w:eastAsia="en-GB"/>
        </w:rPr>
        <w:t>with</w:t>
      </w:r>
      <w:r w:rsidRPr="00DB7F92">
        <w:rPr>
          <w:spacing w:val="51"/>
          <w:lang w:eastAsia="en-GB"/>
        </w:rPr>
        <w:t xml:space="preserve"> </w:t>
      </w:r>
      <w:r w:rsidRPr="00DB7F92">
        <w:rPr>
          <w:lang w:eastAsia="en-GB"/>
        </w:rPr>
        <w:t>a</w:t>
      </w:r>
      <w:r w:rsidRPr="00DB7F92">
        <w:rPr>
          <w:spacing w:val="51"/>
          <w:lang w:eastAsia="en-GB"/>
        </w:rPr>
        <w:t xml:space="preserve"> </w:t>
      </w:r>
      <w:r w:rsidRPr="00DB7F92">
        <w:rPr>
          <w:lang w:eastAsia="en-GB"/>
        </w:rPr>
        <w:t>view</w:t>
      </w:r>
      <w:r w:rsidRPr="00DB7F92">
        <w:rPr>
          <w:spacing w:val="51"/>
          <w:lang w:eastAsia="en-GB"/>
        </w:rPr>
        <w:t xml:space="preserve"> </w:t>
      </w:r>
      <w:r w:rsidRPr="00DB7F92">
        <w:rPr>
          <w:lang w:eastAsia="en-GB"/>
        </w:rPr>
        <w:t>to</w:t>
      </w:r>
      <w:r w:rsidRPr="00DB7F92">
        <w:rPr>
          <w:spacing w:val="50"/>
          <w:lang w:eastAsia="en-GB"/>
        </w:rPr>
        <w:t xml:space="preserve"> </w:t>
      </w:r>
      <w:r w:rsidRPr="00DB7F92">
        <w:rPr>
          <w:lang w:eastAsia="en-GB"/>
        </w:rPr>
        <w:t>securing</w:t>
      </w:r>
      <w:r w:rsidRPr="00DB7F92">
        <w:rPr>
          <w:spacing w:val="50"/>
          <w:lang w:eastAsia="en-GB"/>
        </w:rPr>
        <w:t xml:space="preserve"> </w:t>
      </w:r>
      <w:r w:rsidRPr="00DB7F92">
        <w:rPr>
          <w:lang w:eastAsia="en-GB"/>
        </w:rPr>
        <w:t>that</w:t>
      </w:r>
      <w:r w:rsidRPr="00DB7F92">
        <w:rPr>
          <w:spacing w:val="41"/>
          <w:w w:val="99"/>
          <w:lang w:eastAsia="en-GB"/>
        </w:rPr>
        <w:t xml:space="preserve"> </w:t>
      </w:r>
      <w:r w:rsidRPr="00DB7F92">
        <w:rPr>
          <w:lang w:eastAsia="en-GB"/>
        </w:rPr>
        <w:t>health</w:t>
      </w:r>
      <w:r w:rsidRPr="00DB7F92">
        <w:rPr>
          <w:spacing w:val="26"/>
          <w:lang w:eastAsia="en-GB"/>
        </w:rPr>
        <w:t xml:space="preserve"> </w:t>
      </w:r>
      <w:r w:rsidRPr="00DB7F92">
        <w:rPr>
          <w:lang w:eastAsia="en-GB"/>
        </w:rPr>
        <w:t>services</w:t>
      </w:r>
      <w:r w:rsidRPr="00DB7F92">
        <w:rPr>
          <w:spacing w:val="27"/>
          <w:lang w:eastAsia="en-GB"/>
        </w:rPr>
        <w:t xml:space="preserve"> </w:t>
      </w:r>
      <w:r w:rsidRPr="00DB7F92">
        <w:rPr>
          <w:lang w:eastAsia="en-GB"/>
        </w:rPr>
        <w:t>are</w:t>
      </w:r>
      <w:r w:rsidRPr="00DB7F92">
        <w:rPr>
          <w:spacing w:val="26"/>
          <w:lang w:eastAsia="en-GB"/>
        </w:rPr>
        <w:t xml:space="preserve"> </w:t>
      </w:r>
      <w:r w:rsidRPr="00DB7F92">
        <w:rPr>
          <w:lang w:eastAsia="en-GB"/>
        </w:rPr>
        <w:t>provided</w:t>
      </w:r>
      <w:r w:rsidRPr="00DB7F92">
        <w:rPr>
          <w:spacing w:val="25"/>
          <w:lang w:eastAsia="en-GB"/>
        </w:rPr>
        <w:t xml:space="preserve"> </w:t>
      </w:r>
      <w:r w:rsidRPr="00DB7F92">
        <w:rPr>
          <w:lang w:eastAsia="en-GB"/>
        </w:rPr>
        <w:t>in</w:t>
      </w:r>
      <w:r w:rsidRPr="00DB7F92">
        <w:rPr>
          <w:spacing w:val="27"/>
          <w:lang w:eastAsia="en-GB"/>
        </w:rPr>
        <w:t xml:space="preserve"> </w:t>
      </w:r>
      <w:r w:rsidRPr="00DB7F92">
        <w:rPr>
          <w:lang w:eastAsia="en-GB"/>
        </w:rPr>
        <w:t>an</w:t>
      </w:r>
      <w:r w:rsidRPr="00DB7F92">
        <w:rPr>
          <w:spacing w:val="26"/>
          <w:lang w:eastAsia="en-GB"/>
        </w:rPr>
        <w:t xml:space="preserve"> </w:t>
      </w:r>
      <w:r w:rsidRPr="00DB7F92">
        <w:rPr>
          <w:lang w:eastAsia="en-GB"/>
        </w:rPr>
        <w:t>integrated</w:t>
      </w:r>
      <w:r w:rsidRPr="00DB7F92">
        <w:rPr>
          <w:spacing w:val="26"/>
          <w:lang w:eastAsia="en-GB"/>
        </w:rPr>
        <w:t xml:space="preserve"> </w:t>
      </w:r>
      <w:r w:rsidRPr="00DB7F92">
        <w:rPr>
          <w:lang w:eastAsia="en-GB"/>
        </w:rPr>
        <w:t>way</w:t>
      </w:r>
      <w:r w:rsidRPr="00DB7F92">
        <w:rPr>
          <w:spacing w:val="27"/>
          <w:lang w:eastAsia="en-GB"/>
        </w:rPr>
        <w:t xml:space="preserve"> </w:t>
      </w:r>
      <w:r w:rsidRPr="00DB7F92">
        <w:rPr>
          <w:lang w:eastAsia="en-GB"/>
        </w:rPr>
        <w:t>where</w:t>
      </w:r>
      <w:r w:rsidRPr="00DB7F92">
        <w:rPr>
          <w:spacing w:val="26"/>
          <w:lang w:eastAsia="en-GB"/>
        </w:rPr>
        <w:t xml:space="preserve"> </w:t>
      </w:r>
      <w:r w:rsidRPr="00DB7F92">
        <w:rPr>
          <w:lang w:eastAsia="en-GB"/>
        </w:rPr>
        <w:t>it</w:t>
      </w:r>
      <w:r w:rsidRPr="00DB7F92">
        <w:rPr>
          <w:spacing w:val="58"/>
          <w:w w:val="99"/>
          <w:lang w:eastAsia="en-GB"/>
        </w:rPr>
        <w:t xml:space="preserve"> </w:t>
      </w:r>
      <w:r w:rsidRPr="00DB7F92">
        <w:rPr>
          <w:lang w:eastAsia="en-GB"/>
        </w:rPr>
        <w:t>considers</w:t>
      </w:r>
      <w:r w:rsidRPr="00DB7F92">
        <w:rPr>
          <w:spacing w:val="-6"/>
          <w:lang w:eastAsia="en-GB"/>
        </w:rPr>
        <w:t xml:space="preserve"> </w:t>
      </w:r>
      <w:r w:rsidRPr="00DB7F92">
        <w:rPr>
          <w:lang w:eastAsia="en-GB"/>
        </w:rPr>
        <w:t>that</w:t>
      </w:r>
      <w:r w:rsidRPr="00DB7F92">
        <w:rPr>
          <w:spacing w:val="-6"/>
          <w:lang w:eastAsia="en-GB"/>
        </w:rPr>
        <w:t xml:space="preserve"> </w:t>
      </w:r>
      <w:r w:rsidRPr="00DB7F92">
        <w:rPr>
          <w:lang w:eastAsia="en-GB"/>
        </w:rPr>
        <w:t>this</w:t>
      </w:r>
      <w:r w:rsidRPr="00DB7F92">
        <w:rPr>
          <w:spacing w:val="-6"/>
          <w:lang w:eastAsia="en-GB"/>
        </w:rPr>
        <w:t xml:space="preserve"> </w:t>
      </w:r>
      <w:r w:rsidRPr="00DB7F92">
        <w:rPr>
          <w:lang w:eastAsia="en-GB"/>
        </w:rPr>
        <w:t>would:</w:t>
      </w:r>
    </w:p>
    <w:p w14:paraId="071E2227" w14:textId="77777777" w:rsidR="00DB7F92" w:rsidRPr="00682EC4" w:rsidRDefault="00DB7F92" w:rsidP="006C3DF5">
      <w:pPr>
        <w:pStyle w:val="ListParagraph"/>
        <w:widowControl w:val="0"/>
        <w:numPr>
          <w:ilvl w:val="1"/>
          <w:numId w:val="77"/>
        </w:numPr>
        <w:tabs>
          <w:tab w:val="left" w:pos="2528"/>
        </w:tabs>
        <w:spacing w:before="120" w:after="120" w:line="360" w:lineRule="auto"/>
        <w:ind w:right="112"/>
        <w:jc w:val="both"/>
        <w:rPr>
          <w:rFonts w:cs="Arial"/>
          <w:bCs w:val="0"/>
          <w:spacing w:val="-1"/>
          <w:szCs w:val="24"/>
          <w:lang w:eastAsia="en-GB"/>
        </w:rPr>
      </w:pPr>
      <w:r w:rsidRPr="00682EC4">
        <w:rPr>
          <w:rFonts w:cs="Arial"/>
          <w:bCs w:val="0"/>
          <w:spacing w:val="-1"/>
          <w:szCs w:val="24"/>
          <w:lang w:eastAsia="en-GB"/>
        </w:rPr>
        <w:t>improve the quality of those services (including the outcomes that are achieved from their provision)</w:t>
      </w:r>
    </w:p>
    <w:p w14:paraId="64807109" w14:textId="77777777" w:rsidR="00DB7F92" w:rsidRPr="00682EC4" w:rsidRDefault="00DB7F92" w:rsidP="006C3DF5">
      <w:pPr>
        <w:pStyle w:val="ListParagraph"/>
        <w:widowControl w:val="0"/>
        <w:numPr>
          <w:ilvl w:val="1"/>
          <w:numId w:val="77"/>
        </w:numPr>
        <w:tabs>
          <w:tab w:val="left" w:pos="2528"/>
        </w:tabs>
        <w:spacing w:before="120" w:after="120" w:line="360" w:lineRule="auto"/>
        <w:ind w:right="117"/>
        <w:jc w:val="both"/>
        <w:rPr>
          <w:rFonts w:cs="Arial"/>
          <w:bCs w:val="0"/>
          <w:spacing w:val="-1"/>
          <w:szCs w:val="24"/>
          <w:lang w:eastAsia="en-GB"/>
        </w:rPr>
      </w:pPr>
      <w:r w:rsidRPr="00682EC4">
        <w:rPr>
          <w:rFonts w:cs="Arial"/>
          <w:bCs w:val="0"/>
          <w:spacing w:val="-1"/>
          <w:szCs w:val="24"/>
          <w:lang w:eastAsia="en-GB"/>
        </w:rPr>
        <w:t>reduce inequalities between persons with respect to their ability to access those services, or</w:t>
      </w:r>
    </w:p>
    <w:p w14:paraId="2E7D5E1E" w14:textId="77777777" w:rsidR="00DB7F92" w:rsidRPr="00682EC4" w:rsidRDefault="00DB7F92" w:rsidP="006C3DF5">
      <w:pPr>
        <w:pStyle w:val="ListParagraph"/>
        <w:widowControl w:val="0"/>
        <w:numPr>
          <w:ilvl w:val="1"/>
          <w:numId w:val="77"/>
        </w:numPr>
        <w:tabs>
          <w:tab w:val="left" w:pos="2528"/>
        </w:tabs>
        <w:spacing w:before="120" w:after="120" w:line="360" w:lineRule="auto"/>
        <w:ind w:right="117"/>
        <w:jc w:val="both"/>
        <w:rPr>
          <w:rFonts w:cs="Arial"/>
          <w:bCs w:val="0"/>
          <w:spacing w:val="-1"/>
          <w:szCs w:val="24"/>
          <w:lang w:eastAsia="en-GB"/>
        </w:rPr>
      </w:pPr>
      <w:r w:rsidRPr="00682EC4">
        <w:rPr>
          <w:rFonts w:cs="Arial"/>
          <w:bCs w:val="0"/>
          <w:spacing w:val="-1"/>
          <w:szCs w:val="24"/>
          <w:lang w:eastAsia="en-GB"/>
        </w:rPr>
        <w:t>reduce inequalities between persons with respect to the outcomes achieved for them by the provision of those services.</w:t>
      </w:r>
    </w:p>
    <w:p w14:paraId="1A908004" w14:textId="04DB6FF0" w:rsidR="00DB7F92" w:rsidRPr="009A4EC5" w:rsidRDefault="00DB7F92" w:rsidP="009A4EC5">
      <w:pPr>
        <w:widowControl w:val="0"/>
        <w:tabs>
          <w:tab w:val="left" w:pos="1559"/>
        </w:tabs>
        <w:spacing w:after="120"/>
        <w:ind w:left="720" w:right="115"/>
        <w:jc w:val="both"/>
        <w:rPr>
          <w:rFonts w:cs="Arial"/>
          <w:bCs w:val="0"/>
          <w:szCs w:val="24"/>
          <w:lang w:eastAsia="en-GB"/>
        </w:rPr>
      </w:pPr>
      <w:r w:rsidRPr="009A4EC5">
        <w:rPr>
          <w:rFonts w:cs="Arial"/>
          <w:bCs w:val="0"/>
          <w:szCs w:val="24"/>
          <w:lang w:eastAsia="en-GB"/>
        </w:rPr>
        <w:t xml:space="preserve">(In respect of NHS England, see section 13N of the NHS Act 2006; and in respect of </w:t>
      </w:r>
      <w:r w:rsidR="00B83042">
        <w:rPr>
          <w:rFonts w:cs="Arial"/>
          <w:bCs w:val="0"/>
          <w:szCs w:val="24"/>
          <w:lang w:eastAsia="en-GB"/>
        </w:rPr>
        <w:t>CCG/ICBCCGs/ICBs</w:t>
      </w:r>
      <w:r w:rsidRPr="009A4EC5">
        <w:rPr>
          <w:rFonts w:cs="Arial"/>
          <w:bCs w:val="0"/>
          <w:szCs w:val="24"/>
          <w:lang w:eastAsia="en-GB"/>
        </w:rPr>
        <w:t>, see section 14Z1 of the NHS Act 2006.)</w:t>
      </w:r>
    </w:p>
    <w:p w14:paraId="348BC822" w14:textId="77777777" w:rsidR="00DB7F92" w:rsidRPr="00DB7F92" w:rsidRDefault="00DB7F92" w:rsidP="00DD5D2D">
      <w:pPr>
        <w:pStyle w:val="Heading3"/>
        <w:jc w:val="both"/>
        <w:rPr>
          <w:lang w:eastAsia="en-GB"/>
        </w:rPr>
      </w:pPr>
      <w:r w:rsidRPr="00DB7F92">
        <w:rPr>
          <w:lang w:eastAsia="en-GB"/>
        </w:rPr>
        <w:t>In</w:t>
      </w:r>
      <w:r w:rsidRPr="00DB7F92">
        <w:rPr>
          <w:spacing w:val="5"/>
          <w:lang w:eastAsia="en-GB"/>
        </w:rPr>
        <w:t xml:space="preserve"> </w:t>
      </w:r>
      <w:r w:rsidRPr="00DB7F92">
        <w:rPr>
          <w:lang w:eastAsia="en-GB"/>
        </w:rPr>
        <w:t>many</w:t>
      </w:r>
      <w:r w:rsidRPr="00DB7F92">
        <w:rPr>
          <w:spacing w:val="6"/>
          <w:lang w:eastAsia="en-GB"/>
        </w:rPr>
        <w:t xml:space="preserve"> </w:t>
      </w:r>
      <w:r w:rsidRPr="00DB7F92">
        <w:rPr>
          <w:lang w:eastAsia="en-GB"/>
        </w:rPr>
        <w:t>ways</w:t>
      </w:r>
      <w:r w:rsidRPr="00DB7F92">
        <w:rPr>
          <w:spacing w:val="6"/>
          <w:lang w:eastAsia="en-GB"/>
        </w:rPr>
        <w:t xml:space="preserve"> </w:t>
      </w:r>
      <w:r w:rsidRPr="00DB7F92">
        <w:rPr>
          <w:lang w:eastAsia="en-GB"/>
        </w:rPr>
        <w:t>the</w:t>
      </w:r>
      <w:r w:rsidRPr="00DB7F92">
        <w:rPr>
          <w:spacing w:val="7"/>
          <w:lang w:eastAsia="en-GB"/>
        </w:rPr>
        <w:t xml:space="preserve"> </w:t>
      </w:r>
      <w:r w:rsidRPr="00DB7F92">
        <w:rPr>
          <w:lang w:eastAsia="en-GB"/>
        </w:rPr>
        <w:t>considerations</w:t>
      </w:r>
      <w:r w:rsidRPr="00DB7F92">
        <w:rPr>
          <w:spacing w:val="8"/>
          <w:lang w:eastAsia="en-GB"/>
        </w:rPr>
        <w:t xml:space="preserve"> </w:t>
      </w:r>
      <w:r w:rsidRPr="00DB7F92">
        <w:rPr>
          <w:lang w:eastAsia="en-GB"/>
        </w:rPr>
        <w:t>for</w:t>
      </w:r>
      <w:r w:rsidRPr="00DB7F92">
        <w:rPr>
          <w:spacing w:val="8"/>
          <w:lang w:eastAsia="en-GB"/>
        </w:rPr>
        <w:t xml:space="preserve"> </w:t>
      </w:r>
      <w:r w:rsidRPr="00DB7F92">
        <w:rPr>
          <w:lang w:eastAsia="en-GB"/>
        </w:rPr>
        <w:t>these</w:t>
      </w:r>
      <w:r w:rsidRPr="00DB7F92">
        <w:rPr>
          <w:spacing w:val="7"/>
          <w:lang w:eastAsia="en-GB"/>
        </w:rPr>
        <w:t xml:space="preserve"> </w:t>
      </w:r>
      <w:r w:rsidRPr="00DB7F92">
        <w:rPr>
          <w:lang w:eastAsia="en-GB"/>
        </w:rPr>
        <w:t>duties</w:t>
      </w:r>
      <w:r w:rsidRPr="00DB7F92">
        <w:rPr>
          <w:spacing w:val="6"/>
          <w:lang w:eastAsia="en-GB"/>
        </w:rPr>
        <w:t xml:space="preserve"> </w:t>
      </w:r>
      <w:r w:rsidRPr="00DB7F92">
        <w:rPr>
          <w:lang w:eastAsia="en-GB"/>
        </w:rPr>
        <w:t>and</w:t>
      </w:r>
      <w:r w:rsidRPr="00DB7F92">
        <w:rPr>
          <w:spacing w:val="4"/>
          <w:lang w:eastAsia="en-GB"/>
        </w:rPr>
        <w:t xml:space="preserve"> </w:t>
      </w:r>
      <w:r w:rsidRPr="00DB7F92">
        <w:rPr>
          <w:lang w:eastAsia="en-GB"/>
        </w:rPr>
        <w:t>the</w:t>
      </w:r>
      <w:r w:rsidRPr="00DB7F92">
        <w:rPr>
          <w:spacing w:val="4"/>
          <w:lang w:eastAsia="en-GB"/>
        </w:rPr>
        <w:t xml:space="preserve"> </w:t>
      </w:r>
      <w:r w:rsidRPr="00DB7F92">
        <w:rPr>
          <w:lang w:eastAsia="en-GB"/>
        </w:rPr>
        <w:t>Promote</w:t>
      </w:r>
      <w:r w:rsidRPr="00DB7F92">
        <w:rPr>
          <w:spacing w:val="7"/>
          <w:lang w:eastAsia="en-GB"/>
        </w:rPr>
        <w:t xml:space="preserve"> </w:t>
      </w:r>
      <w:r w:rsidRPr="00DB7F92">
        <w:rPr>
          <w:lang w:eastAsia="en-GB"/>
        </w:rPr>
        <w:t>Duties</w:t>
      </w:r>
      <w:r w:rsidRPr="00DB7F92">
        <w:rPr>
          <w:spacing w:val="61"/>
          <w:lang w:eastAsia="en-GB"/>
        </w:rPr>
        <w:t xml:space="preserve"> </w:t>
      </w:r>
      <w:r w:rsidRPr="00DB7F92">
        <w:rPr>
          <w:lang w:eastAsia="en-GB"/>
        </w:rPr>
        <w:t>are the same.</w:t>
      </w:r>
      <w:r w:rsidRPr="00DB7F92">
        <w:rPr>
          <w:spacing w:val="2"/>
          <w:lang w:eastAsia="en-GB"/>
        </w:rPr>
        <w:t xml:space="preserve"> </w:t>
      </w:r>
      <w:r w:rsidRPr="00DB7F92">
        <w:rPr>
          <w:lang w:eastAsia="en-GB"/>
        </w:rPr>
        <w:t>One difference</w:t>
      </w:r>
      <w:r w:rsidRPr="00DB7F92">
        <w:rPr>
          <w:spacing w:val="2"/>
          <w:lang w:eastAsia="en-GB"/>
        </w:rPr>
        <w:t xml:space="preserve"> </w:t>
      </w:r>
      <w:r w:rsidRPr="00DB7F92">
        <w:rPr>
          <w:lang w:eastAsia="en-GB"/>
        </w:rPr>
        <w:t>is</w:t>
      </w:r>
      <w:r w:rsidRPr="00DB7F92">
        <w:rPr>
          <w:spacing w:val="1"/>
          <w:lang w:eastAsia="en-GB"/>
        </w:rPr>
        <w:t xml:space="preserve"> </w:t>
      </w:r>
      <w:r w:rsidRPr="00DB7F92">
        <w:rPr>
          <w:lang w:eastAsia="en-GB"/>
        </w:rPr>
        <w:t>that</w:t>
      </w:r>
      <w:r w:rsidRPr="00DB7F92">
        <w:rPr>
          <w:spacing w:val="2"/>
          <w:lang w:eastAsia="en-GB"/>
        </w:rPr>
        <w:t xml:space="preserve"> </w:t>
      </w:r>
      <w:r w:rsidRPr="00DB7F92">
        <w:rPr>
          <w:lang w:eastAsia="en-GB"/>
        </w:rPr>
        <w:t>while</w:t>
      </w:r>
      <w:r w:rsidRPr="00DB7F92">
        <w:rPr>
          <w:spacing w:val="2"/>
          <w:lang w:eastAsia="en-GB"/>
        </w:rPr>
        <w:t xml:space="preserve"> </w:t>
      </w:r>
      <w:r w:rsidRPr="00DB7F92">
        <w:rPr>
          <w:lang w:eastAsia="en-GB"/>
        </w:rPr>
        <w:t>a</w:t>
      </w:r>
      <w:r w:rsidRPr="00DB7F92">
        <w:rPr>
          <w:spacing w:val="3"/>
          <w:lang w:eastAsia="en-GB"/>
        </w:rPr>
        <w:t xml:space="preserve"> </w:t>
      </w:r>
      <w:r w:rsidRPr="00DB7F92">
        <w:rPr>
          <w:lang w:eastAsia="en-GB"/>
        </w:rPr>
        <w:t>Promote Duty</w:t>
      </w:r>
      <w:r w:rsidRPr="00DB7F92">
        <w:rPr>
          <w:spacing w:val="1"/>
          <w:lang w:eastAsia="en-GB"/>
        </w:rPr>
        <w:t xml:space="preserve"> </w:t>
      </w:r>
      <w:r w:rsidRPr="00DB7F92">
        <w:rPr>
          <w:lang w:eastAsia="en-GB"/>
        </w:rPr>
        <w:t>can be met</w:t>
      </w:r>
      <w:r w:rsidRPr="00DB7F92">
        <w:rPr>
          <w:spacing w:val="1"/>
          <w:lang w:eastAsia="en-GB"/>
        </w:rPr>
        <w:t xml:space="preserve"> </w:t>
      </w:r>
      <w:r w:rsidRPr="00DB7F92">
        <w:rPr>
          <w:lang w:eastAsia="en-GB"/>
        </w:rPr>
        <w:t>by</w:t>
      </w:r>
      <w:r w:rsidRPr="00DB7F92">
        <w:rPr>
          <w:spacing w:val="54"/>
          <w:w w:val="99"/>
          <w:lang w:eastAsia="en-GB"/>
        </w:rPr>
        <w:t xml:space="preserve"> </w:t>
      </w:r>
      <w:r w:rsidRPr="00DB7F92">
        <w:rPr>
          <w:lang w:eastAsia="en-GB"/>
        </w:rPr>
        <w:t>encouraging</w:t>
      </w:r>
      <w:r w:rsidRPr="00DB7F92">
        <w:rPr>
          <w:spacing w:val="18"/>
          <w:lang w:eastAsia="en-GB"/>
        </w:rPr>
        <w:t xml:space="preserve"> </w:t>
      </w:r>
      <w:r w:rsidRPr="00DB7F92">
        <w:rPr>
          <w:lang w:eastAsia="en-GB"/>
        </w:rPr>
        <w:t>others</w:t>
      </w:r>
      <w:r w:rsidRPr="00DB7F92">
        <w:rPr>
          <w:spacing w:val="17"/>
          <w:lang w:eastAsia="en-GB"/>
        </w:rPr>
        <w:t xml:space="preserve"> </w:t>
      </w:r>
      <w:r w:rsidRPr="00DB7F92">
        <w:rPr>
          <w:lang w:eastAsia="en-GB"/>
        </w:rPr>
        <w:t>to</w:t>
      </w:r>
      <w:r w:rsidRPr="00DB7F92">
        <w:rPr>
          <w:spacing w:val="15"/>
          <w:lang w:eastAsia="en-GB"/>
        </w:rPr>
        <w:t xml:space="preserve"> </w:t>
      </w:r>
      <w:r w:rsidRPr="00DB7F92">
        <w:rPr>
          <w:lang w:eastAsia="en-GB"/>
        </w:rPr>
        <w:t>achieve</w:t>
      </w:r>
      <w:r w:rsidRPr="00DB7F92">
        <w:rPr>
          <w:spacing w:val="15"/>
          <w:lang w:eastAsia="en-GB"/>
        </w:rPr>
        <w:t xml:space="preserve"> </w:t>
      </w:r>
      <w:r w:rsidRPr="00DB7F92">
        <w:rPr>
          <w:lang w:eastAsia="en-GB"/>
        </w:rPr>
        <w:t>it</w:t>
      </w:r>
      <w:r w:rsidRPr="00DB7F92">
        <w:rPr>
          <w:spacing w:val="17"/>
          <w:lang w:eastAsia="en-GB"/>
        </w:rPr>
        <w:t xml:space="preserve"> </w:t>
      </w:r>
      <w:r w:rsidRPr="00DB7F92">
        <w:rPr>
          <w:lang w:eastAsia="en-GB"/>
        </w:rPr>
        <w:t>(e.g.</w:t>
      </w:r>
      <w:r w:rsidRPr="00DB7F92">
        <w:rPr>
          <w:spacing w:val="16"/>
          <w:lang w:eastAsia="en-GB"/>
        </w:rPr>
        <w:t xml:space="preserve"> </w:t>
      </w:r>
      <w:r w:rsidRPr="00DB7F92">
        <w:rPr>
          <w:lang w:eastAsia="en-GB"/>
        </w:rPr>
        <w:t>encouraging</w:t>
      </w:r>
      <w:r w:rsidRPr="00DB7F92">
        <w:rPr>
          <w:spacing w:val="15"/>
          <w:lang w:eastAsia="en-GB"/>
        </w:rPr>
        <w:t xml:space="preserve"> </w:t>
      </w:r>
      <w:r w:rsidRPr="00DB7F92">
        <w:rPr>
          <w:lang w:eastAsia="en-GB"/>
        </w:rPr>
        <w:t>GP</w:t>
      </w:r>
      <w:r w:rsidRPr="00DB7F92">
        <w:rPr>
          <w:spacing w:val="17"/>
          <w:lang w:eastAsia="en-GB"/>
        </w:rPr>
        <w:t xml:space="preserve"> </w:t>
      </w:r>
      <w:r w:rsidRPr="00DB7F92">
        <w:rPr>
          <w:lang w:eastAsia="en-GB"/>
        </w:rPr>
        <w:t>practices</w:t>
      </w:r>
      <w:r w:rsidRPr="00DB7F92">
        <w:rPr>
          <w:spacing w:val="17"/>
          <w:lang w:eastAsia="en-GB"/>
        </w:rPr>
        <w:t xml:space="preserve"> </w:t>
      </w:r>
      <w:r w:rsidRPr="00DB7F92">
        <w:rPr>
          <w:lang w:eastAsia="en-GB"/>
        </w:rPr>
        <w:t>to</w:t>
      </w:r>
      <w:r w:rsidRPr="00DB7F92">
        <w:rPr>
          <w:spacing w:val="15"/>
          <w:lang w:eastAsia="en-GB"/>
        </w:rPr>
        <w:t xml:space="preserve"> </w:t>
      </w:r>
      <w:r w:rsidRPr="00DB7F92">
        <w:rPr>
          <w:lang w:eastAsia="en-GB"/>
        </w:rPr>
        <w:t>make</w:t>
      </w:r>
      <w:r w:rsidRPr="00DB7F92">
        <w:rPr>
          <w:spacing w:val="63"/>
          <w:w w:val="99"/>
          <w:lang w:eastAsia="en-GB"/>
        </w:rPr>
        <w:t xml:space="preserve"> </w:t>
      </w:r>
      <w:r w:rsidRPr="00DB7F92">
        <w:rPr>
          <w:lang w:eastAsia="en-GB"/>
        </w:rPr>
        <w:t>better</w:t>
      </w:r>
      <w:r w:rsidRPr="00DB7F92">
        <w:rPr>
          <w:spacing w:val="2"/>
          <w:lang w:eastAsia="en-GB"/>
        </w:rPr>
        <w:t xml:space="preserve"> </w:t>
      </w:r>
      <w:r w:rsidRPr="00DB7F92">
        <w:rPr>
          <w:lang w:eastAsia="en-GB"/>
        </w:rPr>
        <w:t>use</w:t>
      </w:r>
      <w:r w:rsidRPr="00DB7F92">
        <w:rPr>
          <w:spacing w:val="1"/>
          <w:lang w:eastAsia="en-GB"/>
        </w:rPr>
        <w:t xml:space="preserve"> </w:t>
      </w:r>
      <w:r w:rsidRPr="00DB7F92">
        <w:rPr>
          <w:lang w:eastAsia="en-GB"/>
        </w:rPr>
        <w:t>of</w:t>
      </w:r>
      <w:r w:rsidRPr="00DB7F92">
        <w:rPr>
          <w:spacing w:val="1"/>
          <w:lang w:eastAsia="en-GB"/>
        </w:rPr>
        <w:t xml:space="preserve"> </w:t>
      </w:r>
      <w:r w:rsidRPr="00DB7F92">
        <w:rPr>
          <w:lang w:eastAsia="en-GB"/>
        </w:rPr>
        <w:t>telehealth</w:t>
      </w:r>
      <w:r w:rsidRPr="00DB7F92">
        <w:rPr>
          <w:spacing w:val="4"/>
          <w:lang w:eastAsia="en-GB"/>
        </w:rPr>
        <w:t xml:space="preserve"> </w:t>
      </w:r>
      <w:r w:rsidRPr="00DB7F92">
        <w:rPr>
          <w:lang w:eastAsia="en-GB"/>
        </w:rPr>
        <w:t>devices),</w:t>
      </w:r>
      <w:r w:rsidRPr="00DB7F92">
        <w:rPr>
          <w:spacing w:val="2"/>
          <w:lang w:eastAsia="en-GB"/>
        </w:rPr>
        <w:t xml:space="preserve"> </w:t>
      </w:r>
      <w:r w:rsidRPr="00DB7F92">
        <w:rPr>
          <w:lang w:eastAsia="en-GB"/>
        </w:rPr>
        <w:t>with</w:t>
      </w:r>
      <w:r w:rsidRPr="00DB7F92">
        <w:rPr>
          <w:spacing w:val="2"/>
          <w:lang w:eastAsia="en-GB"/>
        </w:rPr>
        <w:t xml:space="preserve"> </w:t>
      </w:r>
      <w:r w:rsidRPr="00DB7F92">
        <w:rPr>
          <w:lang w:eastAsia="en-GB"/>
        </w:rPr>
        <w:t>the</w:t>
      </w:r>
      <w:r w:rsidRPr="00DB7F92">
        <w:rPr>
          <w:spacing w:val="1"/>
          <w:lang w:eastAsia="en-GB"/>
        </w:rPr>
        <w:t xml:space="preserve"> </w:t>
      </w:r>
      <w:r w:rsidRPr="00DB7F92">
        <w:rPr>
          <w:lang w:eastAsia="en-GB"/>
        </w:rPr>
        <w:t>View</w:t>
      </w:r>
      <w:r w:rsidRPr="00DB7F92">
        <w:rPr>
          <w:spacing w:val="2"/>
          <w:lang w:eastAsia="en-GB"/>
        </w:rPr>
        <w:t xml:space="preserve"> </w:t>
      </w:r>
      <w:r w:rsidRPr="00DB7F92">
        <w:rPr>
          <w:lang w:eastAsia="en-GB"/>
        </w:rPr>
        <w:t>To</w:t>
      </w:r>
      <w:r w:rsidRPr="00DB7F92">
        <w:rPr>
          <w:spacing w:val="1"/>
          <w:lang w:eastAsia="en-GB"/>
        </w:rPr>
        <w:t xml:space="preserve"> </w:t>
      </w:r>
      <w:r w:rsidRPr="00DB7F92">
        <w:rPr>
          <w:lang w:eastAsia="en-GB"/>
        </w:rPr>
        <w:t>Duties</w:t>
      </w:r>
      <w:r w:rsidRPr="00DB7F92">
        <w:rPr>
          <w:spacing w:val="1"/>
          <w:lang w:eastAsia="en-GB"/>
        </w:rPr>
        <w:t xml:space="preserve"> </w:t>
      </w:r>
      <w:r w:rsidRPr="00DB7F92">
        <w:rPr>
          <w:lang w:eastAsia="en-GB"/>
        </w:rPr>
        <w:t>the</w:t>
      </w:r>
      <w:r w:rsidRPr="00DB7F92">
        <w:rPr>
          <w:spacing w:val="1"/>
          <w:lang w:eastAsia="en-GB"/>
        </w:rPr>
        <w:t xml:space="preserve"> </w:t>
      </w:r>
      <w:r w:rsidRPr="00DB7F92">
        <w:rPr>
          <w:lang w:eastAsia="en-GB"/>
        </w:rPr>
        <w:t>actions</w:t>
      </w:r>
      <w:r w:rsidRPr="00DB7F92">
        <w:rPr>
          <w:spacing w:val="3"/>
          <w:lang w:eastAsia="en-GB"/>
        </w:rPr>
        <w:t xml:space="preserve"> </w:t>
      </w:r>
      <w:r w:rsidRPr="00DB7F92">
        <w:rPr>
          <w:lang w:eastAsia="en-GB"/>
        </w:rPr>
        <w:t>have</w:t>
      </w:r>
      <w:r w:rsidRPr="00DB7F92">
        <w:rPr>
          <w:spacing w:val="61"/>
          <w:w w:val="99"/>
          <w:lang w:eastAsia="en-GB"/>
        </w:rPr>
        <w:t xml:space="preserve"> </w:t>
      </w:r>
      <w:r w:rsidRPr="00DB7F92">
        <w:rPr>
          <w:lang w:eastAsia="en-GB"/>
        </w:rPr>
        <w:t>to</w:t>
      </w:r>
      <w:r w:rsidRPr="00DB7F92">
        <w:rPr>
          <w:spacing w:val="-6"/>
          <w:lang w:eastAsia="en-GB"/>
        </w:rPr>
        <w:t xml:space="preserve"> </w:t>
      </w:r>
      <w:r w:rsidRPr="00DB7F92">
        <w:rPr>
          <w:lang w:eastAsia="en-GB"/>
        </w:rPr>
        <w:t>be</w:t>
      </w:r>
      <w:r w:rsidRPr="00DB7F92">
        <w:rPr>
          <w:spacing w:val="-3"/>
          <w:lang w:eastAsia="en-GB"/>
        </w:rPr>
        <w:t xml:space="preserve"> </w:t>
      </w:r>
      <w:r w:rsidRPr="00DB7F92">
        <w:rPr>
          <w:lang w:eastAsia="en-GB"/>
        </w:rPr>
        <w:t>carried</w:t>
      </w:r>
      <w:r w:rsidRPr="00DB7F92">
        <w:rPr>
          <w:spacing w:val="-4"/>
          <w:lang w:eastAsia="en-GB"/>
        </w:rPr>
        <w:t xml:space="preserve"> </w:t>
      </w:r>
      <w:r w:rsidRPr="00DB7F92">
        <w:rPr>
          <w:lang w:eastAsia="en-GB"/>
        </w:rPr>
        <w:t>out</w:t>
      </w:r>
      <w:r w:rsidRPr="00DB7F92">
        <w:rPr>
          <w:spacing w:val="-5"/>
          <w:lang w:eastAsia="en-GB"/>
        </w:rPr>
        <w:t xml:space="preserve"> </w:t>
      </w:r>
      <w:r w:rsidRPr="00DB7F92">
        <w:rPr>
          <w:lang w:eastAsia="en-GB"/>
        </w:rPr>
        <w:t>by</w:t>
      </w:r>
      <w:r w:rsidRPr="00DB7F92">
        <w:rPr>
          <w:spacing w:val="-2"/>
          <w:lang w:eastAsia="en-GB"/>
        </w:rPr>
        <w:t xml:space="preserve"> </w:t>
      </w:r>
      <w:r w:rsidRPr="00DB7F92">
        <w:rPr>
          <w:lang w:eastAsia="en-GB"/>
        </w:rPr>
        <w:t>the commissioner.</w:t>
      </w:r>
    </w:p>
    <w:p w14:paraId="7189A068" w14:textId="77777777" w:rsidR="00DB7F92" w:rsidRPr="00DB7F92" w:rsidRDefault="00DB7F92" w:rsidP="00DD5D2D">
      <w:pPr>
        <w:pStyle w:val="Heading3"/>
        <w:jc w:val="both"/>
        <w:rPr>
          <w:lang w:eastAsia="en-GB"/>
        </w:rPr>
      </w:pPr>
      <w:r w:rsidRPr="00DB7F92">
        <w:rPr>
          <w:lang w:eastAsia="en-GB"/>
        </w:rPr>
        <w:t>The</w:t>
      </w:r>
      <w:r w:rsidRPr="00DB7F92">
        <w:rPr>
          <w:spacing w:val="35"/>
          <w:lang w:eastAsia="en-GB"/>
        </w:rPr>
        <w:t xml:space="preserve"> </w:t>
      </w:r>
      <w:r w:rsidRPr="00DB7F92">
        <w:rPr>
          <w:lang w:eastAsia="en-GB"/>
        </w:rPr>
        <w:t>View</w:t>
      </w:r>
      <w:r w:rsidRPr="00DB7F92">
        <w:rPr>
          <w:spacing w:val="36"/>
          <w:lang w:eastAsia="en-GB"/>
        </w:rPr>
        <w:t xml:space="preserve"> </w:t>
      </w:r>
      <w:r w:rsidRPr="00DB7F92">
        <w:rPr>
          <w:lang w:eastAsia="en-GB"/>
        </w:rPr>
        <w:t>To</w:t>
      </w:r>
      <w:r w:rsidRPr="00DB7F92">
        <w:rPr>
          <w:spacing w:val="37"/>
          <w:lang w:eastAsia="en-GB"/>
        </w:rPr>
        <w:t xml:space="preserve"> </w:t>
      </w:r>
      <w:r w:rsidRPr="00DB7F92">
        <w:rPr>
          <w:lang w:eastAsia="en-GB"/>
        </w:rPr>
        <w:t>duties</w:t>
      </w:r>
      <w:r w:rsidRPr="00DB7F92">
        <w:rPr>
          <w:spacing w:val="36"/>
          <w:lang w:eastAsia="en-GB"/>
        </w:rPr>
        <w:t xml:space="preserve"> </w:t>
      </w:r>
      <w:r w:rsidRPr="00DB7F92">
        <w:rPr>
          <w:lang w:eastAsia="en-GB"/>
        </w:rPr>
        <w:t>are</w:t>
      </w:r>
      <w:r w:rsidRPr="00DB7F92">
        <w:rPr>
          <w:spacing w:val="36"/>
          <w:lang w:eastAsia="en-GB"/>
        </w:rPr>
        <w:t xml:space="preserve"> </w:t>
      </w:r>
      <w:r w:rsidRPr="00DB7F92">
        <w:rPr>
          <w:lang w:eastAsia="en-GB"/>
        </w:rPr>
        <w:t>less</w:t>
      </w:r>
      <w:r w:rsidRPr="00DB7F92">
        <w:rPr>
          <w:spacing w:val="36"/>
          <w:lang w:eastAsia="en-GB"/>
        </w:rPr>
        <w:t xml:space="preserve"> </w:t>
      </w:r>
      <w:r w:rsidRPr="00DB7F92">
        <w:rPr>
          <w:lang w:eastAsia="en-GB"/>
        </w:rPr>
        <w:t>onerous</w:t>
      </w:r>
      <w:r w:rsidRPr="00DB7F92">
        <w:rPr>
          <w:spacing w:val="36"/>
          <w:lang w:eastAsia="en-GB"/>
        </w:rPr>
        <w:t xml:space="preserve"> </w:t>
      </w:r>
      <w:r w:rsidRPr="00DB7F92">
        <w:rPr>
          <w:lang w:eastAsia="en-GB"/>
        </w:rPr>
        <w:t>than</w:t>
      </w:r>
      <w:r w:rsidRPr="00DB7F92">
        <w:rPr>
          <w:spacing w:val="37"/>
          <w:lang w:eastAsia="en-GB"/>
        </w:rPr>
        <w:t xml:space="preserve"> </w:t>
      </w:r>
      <w:r w:rsidRPr="00DB7F92">
        <w:rPr>
          <w:lang w:eastAsia="en-GB"/>
        </w:rPr>
        <w:t>the</w:t>
      </w:r>
      <w:r w:rsidRPr="00DB7F92">
        <w:rPr>
          <w:spacing w:val="35"/>
          <w:lang w:eastAsia="en-GB"/>
        </w:rPr>
        <w:t xml:space="preserve"> </w:t>
      </w:r>
      <w:r w:rsidRPr="00DB7F92">
        <w:rPr>
          <w:lang w:eastAsia="en-GB"/>
        </w:rPr>
        <w:t>Promote</w:t>
      </w:r>
      <w:r w:rsidRPr="00DB7F92">
        <w:rPr>
          <w:spacing w:val="35"/>
          <w:lang w:eastAsia="en-GB"/>
        </w:rPr>
        <w:t xml:space="preserve"> </w:t>
      </w:r>
      <w:r w:rsidRPr="00DB7F92">
        <w:rPr>
          <w:lang w:eastAsia="en-GB"/>
        </w:rPr>
        <w:t>Duties</w:t>
      </w:r>
      <w:r w:rsidRPr="00DB7F92">
        <w:rPr>
          <w:spacing w:val="36"/>
          <w:lang w:eastAsia="en-GB"/>
        </w:rPr>
        <w:t xml:space="preserve"> </w:t>
      </w:r>
      <w:r w:rsidRPr="00DB7F92">
        <w:rPr>
          <w:lang w:eastAsia="en-GB"/>
        </w:rPr>
        <w:t>because</w:t>
      </w:r>
      <w:r w:rsidRPr="00DB7F92">
        <w:rPr>
          <w:spacing w:val="67"/>
          <w:w w:val="99"/>
          <w:lang w:eastAsia="en-GB"/>
        </w:rPr>
        <w:t xml:space="preserve"> </w:t>
      </w:r>
      <w:r w:rsidRPr="00DB7F92">
        <w:rPr>
          <w:lang w:eastAsia="en-GB"/>
        </w:rPr>
        <w:t>they</w:t>
      </w:r>
      <w:r w:rsidRPr="00DB7F92">
        <w:rPr>
          <w:spacing w:val="18"/>
          <w:lang w:eastAsia="en-GB"/>
        </w:rPr>
        <w:t xml:space="preserve"> </w:t>
      </w:r>
      <w:r w:rsidRPr="00DB7F92">
        <w:rPr>
          <w:lang w:eastAsia="en-GB"/>
        </w:rPr>
        <w:t>do</w:t>
      </w:r>
      <w:r w:rsidRPr="00DB7F92">
        <w:rPr>
          <w:spacing w:val="18"/>
          <w:lang w:eastAsia="en-GB"/>
        </w:rPr>
        <w:t xml:space="preserve"> </w:t>
      </w:r>
      <w:r w:rsidRPr="00DB7F92">
        <w:rPr>
          <w:lang w:eastAsia="en-GB"/>
        </w:rPr>
        <w:t>not</w:t>
      </w:r>
      <w:r w:rsidRPr="00DB7F92">
        <w:rPr>
          <w:spacing w:val="18"/>
          <w:lang w:eastAsia="en-GB"/>
        </w:rPr>
        <w:t xml:space="preserve"> </w:t>
      </w:r>
      <w:r w:rsidRPr="00DB7F92">
        <w:rPr>
          <w:lang w:eastAsia="en-GB"/>
        </w:rPr>
        <w:t>require</w:t>
      </w:r>
      <w:r w:rsidRPr="00DB7F92">
        <w:rPr>
          <w:spacing w:val="22"/>
          <w:lang w:eastAsia="en-GB"/>
        </w:rPr>
        <w:t xml:space="preserve"> </w:t>
      </w:r>
      <w:r w:rsidRPr="00DB7F92">
        <w:rPr>
          <w:lang w:eastAsia="en-GB"/>
        </w:rPr>
        <w:t>the commissioner</w:t>
      </w:r>
      <w:r w:rsidRPr="00DB7F92">
        <w:rPr>
          <w:spacing w:val="17"/>
          <w:lang w:eastAsia="en-GB"/>
        </w:rPr>
        <w:t xml:space="preserve"> </w:t>
      </w:r>
      <w:r w:rsidRPr="00DB7F92">
        <w:rPr>
          <w:lang w:eastAsia="en-GB"/>
        </w:rPr>
        <w:t>to</w:t>
      </w:r>
      <w:r w:rsidRPr="00DB7F92">
        <w:rPr>
          <w:spacing w:val="18"/>
          <w:lang w:eastAsia="en-GB"/>
        </w:rPr>
        <w:t xml:space="preserve"> </w:t>
      </w:r>
      <w:r w:rsidRPr="00DB7F92">
        <w:rPr>
          <w:lang w:eastAsia="en-GB"/>
        </w:rPr>
        <w:t>achieve</w:t>
      </w:r>
      <w:r w:rsidRPr="00DB7F92">
        <w:rPr>
          <w:spacing w:val="17"/>
          <w:lang w:eastAsia="en-GB"/>
        </w:rPr>
        <w:t xml:space="preserve"> </w:t>
      </w:r>
      <w:r w:rsidRPr="00DB7F92">
        <w:rPr>
          <w:lang w:eastAsia="en-GB"/>
        </w:rPr>
        <w:t>a</w:t>
      </w:r>
      <w:r w:rsidRPr="00DB7F92">
        <w:rPr>
          <w:spacing w:val="18"/>
          <w:lang w:eastAsia="en-GB"/>
        </w:rPr>
        <w:t xml:space="preserve"> </w:t>
      </w:r>
      <w:r w:rsidRPr="00DB7F92">
        <w:rPr>
          <w:lang w:eastAsia="en-GB"/>
        </w:rPr>
        <w:t>particular</w:t>
      </w:r>
      <w:r w:rsidRPr="00DB7F92">
        <w:rPr>
          <w:spacing w:val="20"/>
          <w:lang w:eastAsia="en-GB"/>
        </w:rPr>
        <w:t xml:space="preserve"> </w:t>
      </w:r>
      <w:r w:rsidRPr="00DB7F92">
        <w:rPr>
          <w:lang w:eastAsia="en-GB"/>
        </w:rPr>
        <w:t>outcome</w:t>
      </w:r>
      <w:r w:rsidRPr="00DB7F92">
        <w:rPr>
          <w:spacing w:val="43"/>
          <w:w w:val="99"/>
          <w:lang w:eastAsia="en-GB"/>
        </w:rPr>
        <w:t xml:space="preserve"> </w:t>
      </w:r>
      <w:r w:rsidRPr="00DB7F92">
        <w:rPr>
          <w:lang w:eastAsia="en-GB"/>
        </w:rPr>
        <w:t>(although</w:t>
      </w:r>
      <w:r w:rsidRPr="00DB7F92">
        <w:rPr>
          <w:spacing w:val="33"/>
          <w:lang w:eastAsia="en-GB"/>
        </w:rPr>
        <w:t xml:space="preserve"> </w:t>
      </w:r>
      <w:r w:rsidRPr="00DB7F92">
        <w:rPr>
          <w:lang w:eastAsia="en-GB"/>
        </w:rPr>
        <w:t>that</w:t>
      </w:r>
      <w:r w:rsidRPr="00DB7F92">
        <w:rPr>
          <w:spacing w:val="32"/>
          <w:lang w:eastAsia="en-GB"/>
        </w:rPr>
        <w:t xml:space="preserve"> </w:t>
      </w:r>
      <w:r w:rsidRPr="00DB7F92">
        <w:rPr>
          <w:lang w:eastAsia="en-GB"/>
        </w:rPr>
        <w:t>would</w:t>
      </w:r>
      <w:r w:rsidRPr="00DB7F92">
        <w:rPr>
          <w:spacing w:val="33"/>
          <w:lang w:eastAsia="en-GB"/>
        </w:rPr>
        <w:t xml:space="preserve"> </w:t>
      </w:r>
      <w:r w:rsidRPr="00DB7F92">
        <w:rPr>
          <w:lang w:eastAsia="en-GB"/>
        </w:rPr>
        <w:t>be</w:t>
      </w:r>
      <w:r w:rsidRPr="00DB7F92">
        <w:rPr>
          <w:spacing w:val="31"/>
          <w:lang w:eastAsia="en-GB"/>
        </w:rPr>
        <w:t xml:space="preserve"> </w:t>
      </w:r>
      <w:r w:rsidRPr="00DB7F92">
        <w:rPr>
          <w:lang w:eastAsia="en-GB"/>
        </w:rPr>
        <w:t>desirable) –</w:t>
      </w:r>
      <w:r w:rsidRPr="00DB7F92">
        <w:rPr>
          <w:spacing w:val="33"/>
          <w:lang w:eastAsia="en-GB"/>
        </w:rPr>
        <w:t xml:space="preserve"> </w:t>
      </w:r>
      <w:r w:rsidRPr="00DB7F92">
        <w:rPr>
          <w:lang w:eastAsia="en-GB"/>
        </w:rPr>
        <w:t>only</w:t>
      </w:r>
      <w:r w:rsidRPr="00DB7F92">
        <w:rPr>
          <w:spacing w:val="32"/>
          <w:lang w:eastAsia="en-GB"/>
        </w:rPr>
        <w:t xml:space="preserve"> </w:t>
      </w:r>
      <w:r w:rsidRPr="00DB7F92">
        <w:rPr>
          <w:lang w:eastAsia="en-GB"/>
        </w:rPr>
        <w:t>to</w:t>
      </w:r>
      <w:r w:rsidRPr="00DB7F92">
        <w:rPr>
          <w:spacing w:val="36"/>
          <w:lang w:eastAsia="en-GB"/>
        </w:rPr>
        <w:t xml:space="preserve"> </w:t>
      </w:r>
      <w:r w:rsidRPr="00DB7F92">
        <w:rPr>
          <w:lang w:eastAsia="en-GB"/>
        </w:rPr>
        <w:t>do</w:t>
      </w:r>
      <w:r w:rsidRPr="00DB7F92">
        <w:rPr>
          <w:spacing w:val="31"/>
          <w:lang w:eastAsia="en-GB"/>
        </w:rPr>
        <w:t xml:space="preserve"> </w:t>
      </w:r>
      <w:r w:rsidRPr="00DB7F92">
        <w:rPr>
          <w:lang w:eastAsia="en-GB"/>
        </w:rPr>
        <w:t>something</w:t>
      </w:r>
      <w:r w:rsidRPr="00DB7F92">
        <w:rPr>
          <w:spacing w:val="30"/>
          <w:lang w:eastAsia="en-GB"/>
        </w:rPr>
        <w:t xml:space="preserve"> </w:t>
      </w:r>
      <w:r w:rsidRPr="00DB7F92">
        <w:rPr>
          <w:lang w:eastAsia="en-GB"/>
        </w:rPr>
        <w:t>that</w:t>
      </w:r>
      <w:r w:rsidRPr="00DB7F92">
        <w:rPr>
          <w:spacing w:val="32"/>
          <w:lang w:eastAsia="en-GB"/>
        </w:rPr>
        <w:t xml:space="preserve"> </w:t>
      </w:r>
      <w:r w:rsidRPr="00DB7F92">
        <w:rPr>
          <w:lang w:eastAsia="en-GB"/>
        </w:rPr>
        <w:t>aims</w:t>
      </w:r>
      <w:r w:rsidRPr="00DB7F92">
        <w:rPr>
          <w:spacing w:val="33"/>
          <w:lang w:eastAsia="en-GB"/>
        </w:rPr>
        <w:t xml:space="preserve"> </w:t>
      </w:r>
      <w:r w:rsidRPr="00DB7F92">
        <w:rPr>
          <w:lang w:eastAsia="en-GB"/>
        </w:rPr>
        <w:t>to</w:t>
      </w:r>
      <w:r w:rsidRPr="00DB7F92">
        <w:rPr>
          <w:spacing w:val="59"/>
          <w:lang w:eastAsia="en-GB"/>
        </w:rPr>
        <w:t xml:space="preserve"> </w:t>
      </w:r>
      <w:r w:rsidRPr="00DB7F92">
        <w:rPr>
          <w:lang w:eastAsia="en-GB"/>
        </w:rPr>
        <w:t>achieve</w:t>
      </w:r>
      <w:r w:rsidRPr="00DB7F92">
        <w:rPr>
          <w:spacing w:val="37"/>
          <w:lang w:eastAsia="en-GB"/>
        </w:rPr>
        <w:t xml:space="preserve"> </w:t>
      </w:r>
      <w:r w:rsidRPr="00DB7F92">
        <w:rPr>
          <w:lang w:eastAsia="en-GB"/>
        </w:rPr>
        <w:t>it.</w:t>
      </w:r>
      <w:r w:rsidRPr="00DB7F92">
        <w:rPr>
          <w:spacing w:val="8"/>
          <w:lang w:eastAsia="en-GB"/>
        </w:rPr>
        <w:t xml:space="preserve"> </w:t>
      </w:r>
      <w:r w:rsidRPr="00DB7F92">
        <w:rPr>
          <w:lang w:eastAsia="en-GB"/>
        </w:rPr>
        <w:t>This</w:t>
      </w:r>
      <w:r w:rsidRPr="00DB7F92">
        <w:rPr>
          <w:spacing w:val="40"/>
          <w:lang w:eastAsia="en-GB"/>
        </w:rPr>
        <w:t xml:space="preserve"> </w:t>
      </w:r>
      <w:r w:rsidRPr="00DB7F92">
        <w:rPr>
          <w:lang w:eastAsia="en-GB"/>
        </w:rPr>
        <w:t>is</w:t>
      </w:r>
      <w:r w:rsidRPr="00DB7F92">
        <w:rPr>
          <w:spacing w:val="37"/>
          <w:lang w:eastAsia="en-GB"/>
        </w:rPr>
        <w:t xml:space="preserve"> </w:t>
      </w:r>
      <w:r w:rsidRPr="00DB7F92">
        <w:rPr>
          <w:lang w:eastAsia="en-GB"/>
        </w:rPr>
        <w:t>in</w:t>
      </w:r>
      <w:r w:rsidRPr="00DB7F92">
        <w:rPr>
          <w:spacing w:val="39"/>
          <w:lang w:eastAsia="en-GB"/>
        </w:rPr>
        <w:t xml:space="preserve"> </w:t>
      </w:r>
      <w:r w:rsidRPr="00DB7F92">
        <w:rPr>
          <w:lang w:eastAsia="en-GB"/>
        </w:rPr>
        <w:t>contrast</w:t>
      </w:r>
      <w:r w:rsidRPr="00DB7F92">
        <w:rPr>
          <w:spacing w:val="37"/>
          <w:lang w:eastAsia="en-GB"/>
        </w:rPr>
        <w:t xml:space="preserve"> </w:t>
      </w:r>
      <w:r w:rsidRPr="00DB7F92">
        <w:rPr>
          <w:lang w:eastAsia="en-GB"/>
        </w:rPr>
        <w:t>to</w:t>
      </w:r>
      <w:r w:rsidRPr="00DB7F92">
        <w:rPr>
          <w:spacing w:val="35"/>
          <w:lang w:eastAsia="en-GB"/>
        </w:rPr>
        <w:t xml:space="preserve"> </w:t>
      </w:r>
      <w:r w:rsidRPr="00DB7F92">
        <w:rPr>
          <w:lang w:eastAsia="en-GB"/>
        </w:rPr>
        <w:t>the</w:t>
      </w:r>
      <w:r w:rsidRPr="00DB7F92">
        <w:rPr>
          <w:spacing w:val="36"/>
          <w:lang w:eastAsia="en-GB"/>
        </w:rPr>
        <w:t xml:space="preserve"> </w:t>
      </w:r>
      <w:r w:rsidRPr="00DB7F92">
        <w:rPr>
          <w:lang w:eastAsia="en-GB"/>
        </w:rPr>
        <w:t>Promote</w:t>
      </w:r>
      <w:r w:rsidRPr="00DB7F92">
        <w:rPr>
          <w:spacing w:val="36"/>
          <w:lang w:eastAsia="en-GB"/>
        </w:rPr>
        <w:t xml:space="preserve"> </w:t>
      </w:r>
      <w:r w:rsidRPr="00DB7F92">
        <w:rPr>
          <w:lang w:eastAsia="en-GB"/>
        </w:rPr>
        <w:t>Duties,</w:t>
      </w:r>
      <w:r w:rsidRPr="00DB7F92">
        <w:rPr>
          <w:spacing w:val="37"/>
          <w:lang w:eastAsia="en-GB"/>
        </w:rPr>
        <w:t xml:space="preserve"> </w:t>
      </w:r>
      <w:r w:rsidRPr="00DB7F92">
        <w:rPr>
          <w:lang w:eastAsia="en-GB"/>
        </w:rPr>
        <w:t>which</w:t>
      </w:r>
      <w:r w:rsidRPr="00DB7F92">
        <w:rPr>
          <w:spacing w:val="37"/>
          <w:lang w:eastAsia="en-GB"/>
        </w:rPr>
        <w:t xml:space="preserve"> </w:t>
      </w:r>
      <w:r w:rsidRPr="00DB7F92">
        <w:rPr>
          <w:lang w:eastAsia="en-GB"/>
        </w:rPr>
        <w:t>require</w:t>
      </w:r>
      <w:r w:rsidRPr="00DB7F92">
        <w:rPr>
          <w:spacing w:val="36"/>
          <w:lang w:eastAsia="en-GB"/>
        </w:rPr>
        <w:t xml:space="preserve"> </w:t>
      </w:r>
      <w:r w:rsidRPr="00DB7F92">
        <w:rPr>
          <w:lang w:eastAsia="en-GB"/>
        </w:rPr>
        <w:t>an</w:t>
      </w:r>
      <w:r w:rsidRPr="00DB7F92">
        <w:rPr>
          <w:spacing w:val="53"/>
          <w:lang w:eastAsia="en-GB"/>
        </w:rPr>
        <w:t xml:space="preserve"> </w:t>
      </w:r>
      <w:r w:rsidRPr="00DB7F92">
        <w:rPr>
          <w:lang w:eastAsia="en-GB"/>
        </w:rPr>
        <w:t>outcome</w:t>
      </w:r>
      <w:r w:rsidRPr="00DB7F92">
        <w:rPr>
          <w:spacing w:val="-5"/>
          <w:lang w:eastAsia="en-GB"/>
        </w:rPr>
        <w:t xml:space="preserve"> </w:t>
      </w:r>
      <w:r w:rsidRPr="00DB7F92">
        <w:rPr>
          <w:lang w:eastAsia="en-GB"/>
        </w:rPr>
        <w:t>to</w:t>
      </w:r>
      <w:r w:rsidRPr="00DB7F92">
        <w:rPr>
          <w:spacing w:val="-5"/>
          <w:lang w:eastAsia="en-GB"/>
        </w:rPr>
        <w:t xml:space="preserve"> </w:t>
      </w:r>
      <w:r w:rsidRPr="00DB7F92">
        <w:rPr>
          <w:lang w:eastAsia="en-GB"/>
        </w:rPr>
        <w:t>be</w:t>
      </w:r>
      <w:r w:rsidRPr="00DB7F92">
        <w:rPr>
          <w:spacing w:val="-7"/>
          <w:lang w:eastAsia="en-GB"/>
        </w:rPr>
        <w:t xml:space="preserve"> </w:t>
      </w:r>
      <w:r w:rsidRPr="00DB7F92">
        <w:rPr>
          <w:lang w:eastAsia="en-GB"/>
        </w:rPr>
        <w:t>achieved.</w:t>
      </w:r>
    </w:p>
    <w:p w14:paraId="47DBB0BD" w14:textId="77777777" w:rsidR="00DB7F92" w:rsidRPr="00DB7F92" w:rsidRDefault="00DB7F92" w:rsidP="00DD5D2D">
      <w:pPr>
        <w:pStyle w:val="Heading3"/>
        <w:jc w:val="both"/>
        <w:rPr>
          <w:lang w:eastAsia="en-GB"/>
        </w:rPr>
      </w:pPr>
      <w:r w:rsidRPr="00DB7F92">
        <w:rPr>
          <w:lang w:eastAsia="en-GB"/>
        </w:rPr>
        <w:t>The</w:t>
      </w:r>
      <w:r w:rsidRPr="00DB7F92">
        <w:rPr>
          <w:spacing w:val="49"/>
          <w:lang w:eastAsia="en-GB"/>
        </w:rPr>
        <w:t xml:space="preserve"> </w:t>
      </w:r>
      <w:r w:rsidRPr="00DB7F92">
        <w:rPr>
          <w:lang w:eastAsia="en-GB"/>
        </w:rPr>
        <w:t>View</w:t>
      </w:r>
      <w:r w:rsidRPr="00DB7F92">
        <w:rPr>
          <w:spacing w:val="50"/>
          <w:lang w:eastAsia="en-GB"/>
        </w:rPr>
        <w:t xml:space="preserve"> </w:t>
      </w:r>
      <w:r w:rsidRPr="00DB7F92">
        <w:rPr>
          <w:spacing w:val="1"/>
          <w:lang w:eastAsia="en-GB"/>
        </w:rPr>
        <w:t>To</w:t>
      </w:r>
      <w:r w:rsidRPr="00DB7F92">
        <w:rPr>
          <w:spacing w:val="49"/>
          <w:lang w:eastAsia="en-GB"/>
        </w:rPr>
        <w:t xml:space="preserve"> </w:t>
      </w:r>
      <w:r w:rsidRPr="00DB7F92">
        <w:rPr>
          <w:lang w:eastAsia="en-GB"/>
        </w:rPr>
        <w:t>duties</w:t>
      </w:r>
      <w:r w:rsidRPr="00DB7F92">
        <w:rPr>
          <w:spacing w:val="52"/>
          <w:lang w:eastAsia="en-GB"/>
        </w:rPr>
        <w:t xml:space="preserve"> </w:t>
      </w:r>
      <w:r w:rsidRPr="00DB7F92">
        <w:rPr>
          <w:lang w:eastAsia="en-GB"/>
        </w:rPr>
        <w:t>are</w:t>
      </w:r>
      <w:r w:rsidRPr="00DB7F92">
        <w:rPr>
          <w:spacing w:val="49"/>
          <w:lang w:eastAsia="en-GB"/>
        </w:rPr>
        <w:t xml:space="preserve"> </w:t>
      </w:r>
      <w:r w:rsidRPr="00DB7F92">
        <w:rPr>
          <w:lang w:eastAsia="en-GB"/>
        </w:rPr>
        <w:t>most</w:t>
      </w:r>
      <w:r w:rsidRPr="00DB7F92">
        <w:rPr>
          <w:spacing w:val="51"/>
          <w:lang w:eastAsia="en-GB"/>
        </w:rPr>
        <w:t xml:space="preserve"> </w:t>
      </w:r>
      <w:r w:rsidRPr="00DB7F92">
        <w:rPr>
          <w:lang w:eastAsia="en-GB"/>
        </w:rPr>
        <w:t>likely</w:t>
      </w:r>
      <w:r w:rsidRPr="00DB7F92">
        <w:rPr>
          <w:spacing w:val="50"/>
          <w:lang w:eastAsia="en-GB"/>
        </w:rPr>
        <w:t xml:space="preserve"> </w:t>
      </w:r>
      <w:r w:rsidRPr="00DB7F92">
        <w:rPr>
          <w:spacing w:val="1"/>
          <w:lang w:eastAsia="en-GB"/>
        </w:rPr>
        <w:t>to</w:t>
      </w:r>
      <w:r w:rsidRPr="00DB7F92">
        <w:rPr>
          <w:spacing w:val="49"/>
          <w:lang w:eastAsia="en-GB"/>
        </w:rPr>
        <w:t xml:space="preserve"> </w:t>
      </w:r>
      <w:r w:rsidRPr="00DB7F92">
        <w:rPr>
          <w:lang w:eastAsia="en-GB"/>
        </w:rPr>
        <w:t>affect</w:t>
      </w:r>
      <w:r w:rsidRPr="00DB7F92">
        <w:rPr>
          <w:spacing w:val="52"/>
          <w:lang w:eastAsia="en-GB"/>
        </w:rPr>
        <w:t xml:space="preserve"> </w:t>
      </w:r>
      <w:r w:rsidRPr="00DB7F92">
        <w:rPr>
          <w:lang w:eastAsia="en-GB"/>
        </w:rPr>
        <w:t>strategic</w:t>
      </w:r>
      <w:r w:rsidRPr="00DB7F92">
        <w:rPr>
          <w:spacing w:val="52"/>
          <w:lang w:eastAsia="en-GB"/>
        </w:rPr>
        <w:t xml:space="preserve"> </w:t>
      </w:r>
      <w:r w:rsidRPr="00DB7F92">
        <w:rPr>
          <w:lang w:eastAsia="en-GB"/>
        </w:rPr>
        <w:t>decisions</w:t>
      </w:r>
      <w:r w:rsidRPr="00DB7F92">
        <w:rPr>
          <w:spacing w:val="65"/>
          <w:lang w:eastAsia="en-GB"/>
        </w:rPr>
        <w:t xml:space="preserve"> </w:t>
      </w:r>
      <w:r w:rsidRPr="00DB7F92">
        <w:rPr>
          <w:lang w:eastAsia="en-GB"/>
        </w:rPr>
        <w:t>taken</w:t>
      </w:r>
      <w:r w:rsidRPr="00DB7F92">
        <w:rPr>
          <w:spacing w:val="30"/>
          <w:lang w:eastAsia="en-GB"/>
        </w:rPr>
        <w:t xml:space="preserve"> </w:t>
      </w:r>
      <w:r w:rsidRPr="00DB7F92">
        <w:rPr>
          <w:lang w:eastAsia="en-GB"/>
        </w:rPr>
        <w:t>at</w:t>
      </w:r>
      <w:r w:rsidRPr="00DB7F92">
        <w:rPr>
          <w:spacing w:val="31"/>
          <w:lang w:eastAsia="en-GB"/>
        </w:rPr>
        <w:t xml:space="preserve"> </w:t>
      </w:r>
      <w:r w:rsidRPr="00DB7F92">
        <w:rPr>
          <w:lang w:eastAsia="en-GB"/>
        </w:rPr>
        <w:t>directorate</w:t>
      </w:r>
      <w:r w:rsidRPr="00DB7F92">
        <w:rPr>
          <w:spacing w:val="30"/>
          <w:lang w:eastAsia="en-GB"/>
        </w:rPr>
        <w:t xml:space="preserve"> </w:t>
      </w:r>
      <w:r w:rsidRPr="00DB7F92">
        <w:rPr>
          <w:lang w:eastAsia="en-GB"/>
        </w:rPr>
        <w:t>level within NHS England.</w:t>
      </w:r>
      <w:r w:rsidRPr="00DB7F92">
        <w:rPr>
          <w:spacing w:val="62"/>
          <w:lang w:eastAsia="en-GB"/>
        </w:rPr>
        <w:t xml:space="preserve"> </w:t>
      </w:r>
      <w:r w:rsidRPr="00DB7F92">
        <w:rPr>
          <w:lang w:eastAsia="en-GB"/>
        </w:rPr>
        <w:t>Provided</w:t>
      </w:r>
      <w:r w:rsidRPr="00DB7F92">
        <w:rPr>
          <w:spacing w:val="29"/>
          <w:lang w:eastAsia="en-GB"/>
        </w:rPr>
        <w:t xml:space="preserve"> </w:t>
      </w:r>
      <w:r w:rsidRPr="00DB7F92">
        <w:rPr>
          <w:lang w:eastAsia="en-GB"/>
        </w:rPr>
        <w:t>the commissioner</w:t>
      </w:r>
      <w:r w:rsidRPr="00DB7F92">
        <w:rPr>
          <w:spacing w:val="30"/>
          <w:lang w:eastAsia="en-GB"/>
        </w:rPr>
        <w:t xml:space="preserve"> </w:t>
      </w:r>
      <w:r w:rsidRPr="00DB7F92">
        <w:rPr>
          <w:lang w:eastAsia="en-GB"/>
        </w:rPr>
        <w:t>can</w:t>
      </w:r>
      <w:r w:rsidRPr="00DB7F92">
        <w:rPr>
          <w:spacing w:val="31"/>
          <w:lang w:eastAsia="en-GB"/>
        </w:rPr>
        <w:t xml:space="preserve"> </w:t>
      </w:r>
      <w:r w:rsidRPr="00DB7F92">
        <w:rPr>
          <w:lang w:eastAsia="en-GB"/>
        </w:rPr>
        <w:t>show</w:t>
      </w:r>
      <w:r w:rsidRPr="00DB7F92">
        <w:rPr>
          <w:spacing w:val="30"/>
          <w:lang w:eastAsia="en-GB"/>
        </w:rPr>
        <w:t xml:space="preserve"> </w:t>
      </w:r>
      <w:r w:rsidRPr="00DB7F92">
        <w:rPr>
          <w:lang w:eastAsia="en-GB"/>
        </w:rPr>
        <w:t>that</w:t>
      </w:r>
      <w:r w:rsidRPr="00DB7F92">
        <w:rPr>
          <w:spacing w:val="31"/>
          <w:lang w:eastAsia="en-GB"/>
        </w:rPr>
        <w:t xml:space="preserve"> </w:t>
      </w:r>
      <w:r w:rsidRPr="00DB7F92">
        <w:rPr>
          <w:lang w:eastAsia="en-GB"/>
        </w:rPr>
        <w:t>within</w:t>
      </w:r>
      <w:r w:rsidRPr="00DB7F92">
        <w:rPr>
          <w:spacing w:val="60"/>
          <w:w w:val="99"/>
          <w:lang w:eastAsia="en-GB"/>
        </w:rPr>
        <w:t xml:space="preserve"> </w:t>
      </w:r>
      <w:r w:rsidRPr="00DB7F92">
        <w:rPr>
          <w:lang w:eastAsia="en-GB"/>
        </w:rPr>
        <w:t>the</w:t>
      </w:r>
      <w:r w:rsidRPr="00DB7F92">
        <w:rPr>
          <w:spacing w:val="3"/>
          <w:lang w:eastAsia="en-GB"/>
        </w:rPr>
        <w:t xml:space="preserve"> </w:t>
      </w:r>
      <w:r w:rsidRPr="00DB7F92">
        <w:rPr>
          <w:lang w:eastAsia="en-GB"/>
        </w:rPr>
        <w:t>totality</w:t>
      </w:r>
      <w:r w:rsidRPr="00DB7F92">
        <w:rPr>
          <w:spacing w:val="6"/>
          <w:lang w:eastAsia="en-GB"/>
        </w:rPr>
        <w:t xml:space="preserve"> </w:t>
      </w:r>
      <w:r w:rsidRPr="00DB7F92">
        <w:rPr>
          <w:lang w:eastAsia="en-GB"/>
        </w:rPr>
        <w:t>of</w:t>
      </w:r>
      <w:r w:rsidRPr="00DB7F92">
        <w:rPr>
          <w:spacing w:val="3"/>
          <w:lang w:eastAsia="en-GB"/>
        </w:rPr>
        <w:t xml:space="preserve"> </w:t>
      </w:r>
      <w:r w:rsidRPr="00DB7F92">
        <w:rPr>
          <w:lang w:eastAsia="en-GB"/>
        </w:rPr>
        <w:t>its</w:t>
      </w:r>
      <w:r w:rsidRPr="00DB7F92">
        <w:rPr>
          <w:spacing w:val="6"/>
          <w:lang w:eastAsia="en-GB"/>
        </w:rPr>
        <w:t xml:space="preserve"> </w:t>
      </w:r>
      <w:r w:rsidRPr="00DB7F92">
        <w:rPr>
          <w:lang w:eastAsia="en-GB"/>
        </w:rPr>
        <w:t>activities</w:t>
      </w:r>
      <w:r w:rsidRPr="00DB7F92">
        <w:rPr>
          <w:spacing w:val="6"/>
          <w:lang w:eastAsia="en-GB"/>
        </w:rPr>
        <w:t xml:space="preserve"> </w:t>
      </w:r>
      <w:r w:rsidRPr="00DB7F92">
        <w:rPr>
          <w:lang w:eastAsia="en-GB"/>
        </w:rPr>
        <w:t>there</w:t>
      </w:r>
      <w:r w:rsidRPr="00DB7F92">
        <w:rPr>
          <w:spacing w:val="3"/>
          <w:lang w:eastAsia="en-GB"/>
        </w:rPr>
        <w:t xml:space="preserve"> </w:t>
      </w:r>
      <w:r w:rsidRPr="00DB7F92">
        <w:rPr>
          <w:lang w:eastAsia="en-GB"/>
        </w:rPr>
        <w:t>has</w:t>
      </w:r>
      <w:r w:rsidRPr="00DB7F92">
        <w:rPr>
          <w:spacing w:val="6"/>
          <w:lang w:eastAsia="en-GB"/>
        </w:rPr>
        <w:t xml:space="preserve"> </w:t>
      </w:r>
      <w:r w:rsidRPr="00DB7F92">
        <w:rPr>
          <w:lang w:eastAsia="en-GB"/>
        </w:rPr>
        <w:t>been</w:t>
      </w:r>
      <w:r w:rsidRPr="00DB7F92">
        <w:rPr>
          <w:spacing w:val="4"/>
          <w:lang w:eastAsia="en-GB"/>
        </w:rPr>
        <w:t xml:space="preserve"> </w:t>
      </w:r>
      <w:r w:rsidRPr="00DB7F92">
        <w:rPr>
          <w:lang w:eastAsia="en-GB"/>
        </w:rPr>
        <w:t>significant</w:t>
      </w:r>
      <w:r w:rsidRPr="00DB7F92">
        <w:rPr>
          <w:spacing w:val="6"/>
          <w:lang w:eastAsia="en-GB"/>
        </w:rPr>
        <w:t xml:space="preserve"> </w:t>
      </w:r>
      <w:r w:rsidRPr="00DB7F92">
        <w:rPr>
          <w:lang w:eastAsia="en-GB"/>
        </w:rPr>
        <w:t>action</w:t>
      </w:r>
      <w:r w:rsidRPr="00DB7F92">
        <w:rPr>
          <w:spacing w:val="5"/>
          <w:lang w:eastAsia="en-GB"/>
        </w:rPr>
        <w:t xml:space="preserve"> </w:t>
      </w:r>
      <w:r w:rsidRPr="00DB7F92">
        <w:rPr>
          <w:lang w:eastAsia="en-GB"/>
        </w:rPr>
        <w:t>taken</w:t>
      </w:r>
      <w:r w:rsidRPr="00DB7F92">
        <w:rPr>
          <w:spacing w:val="4"/>
          <w:lang w:eastAsia="en-GB"/>
        </w:rPr>
        <w:t xml:space="preserve"> </w:t>
      </w:r>
      <w:r w:rsidRPr="00DB7F92">
        <w:rPr>
          <w:lang w:eastAsia="en-GB"/>
        </w:rPr>
        <w:t>with</w:t>
      </w:r>
      <w:r w:rsidRPr="00DB7F92">
        <w:rPr>
          <w:spacing w:val="7"/>
          <w:lang w:eastAsia="en-GB"/>
        </w:rPr>
        <w:t xml:space="preserve"> </w:t>
      </w:r>
      <w:r w:rsidRPr="00DB7F92">
        <w:rPr>
          <w:lang w:eastAsia="en-GB"/>
        </w:rPr>
        <w:t>the</w:t>
      </w:r>
      <w:r w:rsidRPr="00DB7F92">
        <w:rPr>
          <w:spacing w:val="66"/>
          <w:w w:val="99"/>
          <w:lang w:eastAsia="en-GB"/>
        </w:rPr>
        <w:t xml:space="preserve"> </w:t>
      </w:r>
      <w:r w:rsidRPr="00DB7F92">
        <w:rPr>
          <w:lang w:eastAsia="en-GB"/>
        </w:rPr>
        <w:t>intention of achieving</w:t>
      </w:r>
      <w:r w:rsidRPr="00DB7F92">
        <w:rPr>
          <w:spacing w:val="-2"/>
          <w:lang w:eastAsia="en-GB"/>
        </w:rPr>
        <w:t xml:space="preserve"> </w:t>
      </w:r>
      <w:r w:rsidRPr="00DB7F92">
        <w:rPr>
          <w:lang w:eastAsia="en-GB"/>
        </w:rPr>
        <w:t>the outcomes that the commissioner</w:t>
      </w:r>
      <w:r w:rsidRPr="00DB7F92">
        <w:rPr>
          <w:spacing w:val="30"/>
          <w:lang w:eastAsia="en-GB"/>
        </w:rPr>
        <w:t xml:space="preserve"> </w:t>
      </w:r>
      <w:r w:rsidRPr="00DB7F92">
        <w:rPr>
          <w:lang w:eastAsia="en-GB"/>
        </w:rPr>
        <w:t>is</w:t>
      </w:r>
      <w:r w:rsidRPr="00DB7F92">
        <w:rPr>
          <w:spacing w:val="1"/>
          <w:lang w:eastAsia="en-GB"/>
        </w:rPr>
        <w:t xml:space="preserve"> </w:t>
      </w:r>
      <w:r w:rsidRPr="00DB7F92">
        <w:rPr>
          <w:lang w:eastAsia="en-GB"/>
        </w:rPr>
        <w:t>required</w:t>
      </w:r>
      <w:r w:rsidRPr="00DB7F92">
        <w:rPr>
          <w:spacing w:val="-2"/>
          <w:lang w:eastAsia="en-GB"/>
        </w:rPr>
        <w:t xml:space="preserve"> </w:t>
      </w:r>
      <w:r w:rsidRPr="00DB7F92">
        <w:rPr>
          <w:lang w:eastAsia="en-GB"/>
        </w:rPr>
        <w:t>to have</w:t>
      </w:r>
      <w:r w:rsidRPr="00DB7F92">
        <w:rPr>
          <w:spacing w:val="63"/>
          <w:w w:val="99"/>
          <w:lang w:eastAsia="en-GB"/>
        </w:rPr>
        <w:t xml:space="preserve"> </w:t>
      </w:r>
      <w:r w:rsidRPr="00DB7F92">
        <w:rPr>
          <w:lang w:eastAsia="en-GB"/>
        </w:rPr>
        <w:t>a</w:t>
      </w:r>
      <w:r w:rsidRPr="00DB7F92">
        <w:rPr>
          <w:spacing w:val="-5"/>
          <w:lang w:eastAsia="en-GB"/>
        </w:rPr>
        <w:t xml:space="preserve"> </w:t>
      </w:r>
      <w:r w:rsidRPr="00DB7F92">
        <w:rPr>
          <w:lang w:eastAsia="en-GB"/>
        </w:rPr>
        <w:t>view</w:t>
      </w:r>
      <w:r w:rsidRPr="00DB7F92">
        <w:rPr>
          <w:spacing w:val="-4"/>
          <w:lang w:eastAsia="en-GB"/>
        </w:rPr>
        <w:t xml:space="preserve"> </w:t>
      </w:r>
      <w:r w:rsidRPr="00DB7F92">
        <w:rPr>
          <w:lang w:eastAsia="en-GB"/>
        </w:rPr>
        <w:t>to, the</w:t>
      </w:r>
      <w:r w:rsidRPr="00DB7F92">
        <w:rPr>
          <w:spacing w:val="-3"/>
          <w:lang w:eastAsia="en-GB"/>
        </w:rPr>
        <w:t xml:space="preserve"> </w:t>
      </w:r>
      <w:r w:rsidRPr="00DB7F92">
        <w:rPr>
          <w:lang w:eastAsia="en-GB"/>
        </w:rPr>
        <w:t>duty</w:t>
      </w:r>
      <w:r w:rsidRPr="00DB7F92">
        <w:rPr>
          <w:spacing w:val="-4"/>
          <w:lang w:eastAsia="en-GB"/>
        </w:rPr>
        <w:t xml:space="preserve"> </w:t>
      </w:r>
      <w:r w:rsidRPr="00DB7F92">
        <w:rPr>
          <w:lang w:eastAsia="en-GB"/>
        </w:rPr>
        <w:t>is discharged.</w:t>
      </w:r>
    </w:p>
    <w:p w14:paraId="52181F58" w14:textId="58A904C8" w:rsidR="00DB7F92" w:rsidRPr="00DB7F92" w:rsidRDefault="00DB7F92" w:rsidP="00DD5D2D">
      <w:pPr>
        <w:pStyle w:val="Heading3"/>
        <w:jc w:val="both"/>
        <w:rPr>
          <w:lang w:eastAsia="en-GB"/>
        </w:rPr>
      </w:pPr>
      <w:r w:rsidRPr="00DB7F92">
        <w:rPr>
          <w:lang w:eastAsia="en-GB"/>
        </w:rPr>
        <w:t>As</w:t>
      </w:r>
      <w:r w:rsidRPr="00DB7F92">
        <w:rPr>
          <w:spacing w:val="34"/>
          <w:lang w:eastAsia="en-GB"/>
        </w:rPr>
        <w:t xml:space="preserve"> </w:t>
      </w:r>
      <w:r w:rsidRPr="00DB7F92">
        <w:rPr>
          <w:lang w:eastAsia="en-GB"/>
        </w:rPr>
        <w:t>with</w:t>
      </w:r>
      <w:r w:rsidRPr="00DB7F92">
        <w:rPr>
          <w:spacing w:val="34"/>
          <w:lang w:eastAsia="en-GB"/>
        </w:rPr>
        <w:t xml:space="preserve"> </w:t>
      </w:r>
      <w:r w:rsidRPr="00DB7F92">
        <w:rPr>
          <w:lang w:eastAsia="en-GB"/>
        </w:rPr>
        <w:t>the</w:t>
      </w:r>
      <w:r w:rsidRPr="00DB7F92">
        <w:rPr>
          <w:spacing w:val="32"/>
          <w:lang w:eastAsia="en-GB"/>
        </w:rPr>
        <w:t xml:space="preserve"> </w:t>
      </w:r>
      <w:r w:rsidRPr="00DB7F92">
        <w:rPr>
          <w:lang w:eastAsia="en-GB"/>
        </w:rPr>
        <w:t>Promote</w:t>
      </w:r>
      <w:r w:rsidRPr="00DB7F92">
        <w:rPr>
          <w:spacing w:val="38"/>
          <w:lang w:eastAsia="en-GB"/>
        </w:rPr>
        <w:t xml:space="preserve"> </w:t>
      </w:r>
      <w:r w:rsidRPr="00DB7F92">
        <w:rPr>
          <w:lang w:eastAsia="en-GB"/>
        </w:rPr>
        <w:t>Duties,</w:t>
      </w:r>
      <w:r w:rsidRPr="00DB7F92">
        <w:rPr>
          <w:spacing w:val="33"/>
          <w:lang w:eastAsia="en-GB"/>
        </w:rPr>
        <w:t xml:space="preserve"> </w:t>
      </w:r>
      <w:r w:rsidRPr="00DB7F92">
        <w:rPr>
          <w:lang w:eastAsia="en-GB"/>
        </w:rPr>
        <w:t>decision-makers</w:t>
      </w:r>
      <w:r w:rsidRPr="00DB7F92">
        <w:rPr>
          <w:spacing w:val="35"/>
          <w:lang w:eastAsia="en-GB"/>
        </w:rPr>
        <w:t xml:space="preserve"> </w:t>
      </w:r>
      <w:r w:rsidRPr="00DB7F92">
        <w:rPr>
          <w:lang w:eastAsia="en-GB"/>
        </w:rPr>
        <w:t>on</w:t>
      </w:r>
      <w:r w:rsidRPr="00DB7F92">
        <w:rPr>
          <w:spacing w:val="33"/>
          <w:lang w:eastAsia="en-GB"/>
        </w:rPr>
        <w:t xml:space="preserve"> </w:t>
      </w:r>
      <w:r w:rsidRPr="00DB7F92">
        <w:rPr>
          <w:lang w:eastAsia="en-GB"/>
        </w:rPr>
        <w:t>the</w:t>
      </w:r>
      <w:r w:rsidRPr="00DB7F92">
        <w:rPr>
          <w:spacing w:val="33"/>
          <w:lang w:eastAsia="en-GB"/>
        </w:rPr>
        <w:t xml:space="preserve"> </w:t>
      </w:r>
      <w:r w:rsidRPr="00DB7F92">
        <w:rPr>
          <w:lang w:eastAsia="en-GB"/>
        </w:rPr>
        <w:t>ground</w:t>
      </w:r>
      <w:r w:rsidRPr="00DB7F92">
        <w:rPr>
          <w:spacing w:val="33"/>
          <w:lang w:eastAsia="en-GB"/>
        </w:rPr>
        <w:t xml:space="preserve"> </w:t>
      </w:r>
      <w:r w:rsidRPr="00DB7F92">
        <w:rPr>
          <w:lang w:eastAsia="en-GB"/>
        </w:rPr>
        <w:t>should</w:t>
      </w:r>
      <w:r w:rsidRPr="00DB7F92">
        <w:rPr>
          <w:spacing w:val="32"/>
          <w:lang w:eastAsia="en-GB"/>
        </w:rPr>
        <w:t xml:space="preserve"> </w:t>
      </w:r>
      <w:r w:rsidRPr="00DB7F92">
        <w:rPr>
          <w:lang w:eastAsia="en-GB"/>
        </w:rPr>
        <w:t>be</w:t>
      </w:r>
      <w:r w:rsidRPr="00DB7F92">
        <w:rPr>
          <w:spacing w:val="56"/>
          <w:w w:val="99"/>
          <w:lang w:eastAsia="en-GB"/>
        </w:rPr>
        <w:t xml:space="preserve"> </w:t>
      </w:r>
      <w:r w:rsidRPr="00DB7F92">
        <w:rPr>
          <w:lang w:eastAsia="en-GB"/>
        </w:rPr>
        <w:t>wary</w:t>
      </w:r>
      <w:r w:rsidRPr="00DB7F92">
        <w:rPr>
          <w:spacing w:val="3"/>
          <w:lang w:eastAsia="en-GB"/>
        </w:rPr>
        <w:t xml:space="preserve"> </w:t>
      </w:r>
      <w:r w:rsidRPr="00DB7F92">
        <w:rPr>
          <w:lang w:eastAsia="en-GB"/>
        </w:rPr>
        <w:t>of</w:t>
      </w:r>
      <w:r w:rsidRPr="00DB7F92">
        <w:rPr>
          <w:spacing w:val="5"/>
          <w:lang w:eastAsia="en-GB"/>
        </w:rPr>
        <w:t xml:space="preserve"> </w:t>
      </w:r>
      <w:r w:rsidRPr="00DB7F92">
        <w:rPr>
          <w:lang w:eastAsia="en-GB"/>
        </w:rPr>
        <w:t>doing</w:t>
      </w:r>
      <w:r w:rsidRPr="00DB7F92">
        <w:rPr>
          <w:spacing w:val="3"/>
          <w:lang w:eastAsia="en-GB"/>
        </w:rPr>
        <w:t xml:space="preserve"> </w:t>
      </w:r>
      <w:r w:rsidRPr="00DB7F92">
        <w:rPr>
          <w:lang w:eastAsia="en-GB"/>
        </w:rPr>
        <w:t>something</w:t>
      </w:r>
      <w:r w:rsidRPr="00DB7F92">
        <w:rPr>
          <w:spacing w:val="2"/>
          <w:lang w:eastAsia="en-GB"/>
        </w:rPr>
        <w:t xml:space="preserve"> </w:t>
      </w:r>
      <w:r w:rsidR="00764425">
        <w:rPr>
          <w:spacing w:val="2"/>
          <w:lang w:eastAsia="en-GB"/>
        </w:rPr>
        <w:t xml:space="preserve">which </w:t>
      </w:r>
      <w:r w:rsidRPr="00DB7F92">
        <w:rPr>
          <w:lang w:eastAsia="en-GB"/>
        </w:rPr>
        <w:t>actively</w:t>
      </w:r>
      <w:r w:rsidRPr="00DB7F92">
        <w:rPr>
          <w:spacing w:val="4"/>
          <w:lang w:eastAsia="en-GB"/>
        </w:rPr>
        <w:t xml:space="preserve"> </w:t>
      </w:r>
      <w:r w:rsidRPr="00DB7F92">
        <w:rPr>
          <w:lang w:eastAsia="en-GB"/>
        </w:rPr>
        <w:t>goes</w:t>
      </w:r>
      <w:r w:rsidRPr="00DB7F92">
        <w:rPr>
          <w:spacing w:val="5"/>
          <w:lang w:eastAsia="en-GB"/>
        </w:rPr>
        <w:t xml:space="preserve"> </w:t>
      </w:r>
      <w:r w:rsidRPr="00DB7F92">
        <w:rPr>
          <w:lang w:eastAsia="en-GB"/>
        </w:rPr>
        <w:t>against</w:t>
      </w:r>
      <w:r w:rsidRPr="00DB7F92">
        <w:rPr>
          <w:spacing w:val="3"/>
          <w:lang w:eastAsia="en-GB"/>
        </w:rPr>
        <w:t xml:space="preserve"> </w:t>
      </w:r>
      <w:r w:rsidRPr="00DB7F92">
        <w:rPr>
          <w:lang w:eastAsia="en-GB"/>
        </w:rPr>
        <w:t>one</w:t>
      </w:r>
      <w:r w:rsidRPr="00DB7F92">
        <w:rPr>
          <w:spacing w:val="5"/>
          <w:lang w:eastAsia="en-GB"/>
        </w:rPr>
        <w:t xml:space="preserve"> </w:t>
      </w:r>
      <w:r w:rsidRPr="00DB7F92">
        <w:rPr>
          <w:lang w:eastAsia="en-GB"/>
        </w:rPr>
        <w:t>of</w:t>
      </w:r>
      <w:r w:rsidRPr="00DB7F92">
        <w:rPr>
          <w:spacing w:val="3"/>
          <w:lang w:eastAsia="en-GB"/>
        </w:rPr>
        <w:t xml:space="preserve"> </w:t>
      </w:r>
      <w:r w:rsidRPr="00DB7F92">
        <w:rPr>
          <w:lang w:eastAsia="en-GB"/>
        </w:rPr>
        <w:t>the</w:t>
      </w:r>
      <w:r w:rsidRPr="00DB7F92">
        <w:rPr>
          <w:spacing w:val="4"/>
          <w:lang w:eastAsia="en-GB"/>
        </w:rPr>
        <w:t xml:space="preserve"> </w:t>
      </w:r>
      <w:r w:rsidRPr="00DB7F92">
        <w:rPr>
          <w:lang w:eastAsia="en-GB"/>
        </w:rPr>
        <w:t>goals</w:t>
      </w:r>
      <w:r w:rsidRPr="00DB7F92">
        <w:rPr>
          <w:spacing w:val="5"/>
          <w:lang w:eastAsia="en-GB"/>
        </w:rPr>
        <w:t xml:space="preserve"> </w:t>
      </w:r>
      <w:r w:rsidRPr="00DB7F92">
        <w:rPr>
          <w:lang w:eastAsia="en-GB"/>
        </w:rPr>
        <w:t>set</w:t>
      </w:r>
      <w:r w:rsidRPr="00DB7F92">
        <w:rPr>
          <w:spacing w:val="3"/>
          <w:lang w:eastAsia="en-GB"/>
        </w:rPr>
        <w:t xml:space="preserve"> </w:t>
      </w:r>
      <w:r w:rsidRPr="00DB7F92">
        <w:rPr>
          <w:lang w:eastAsia="en-GB"/>
        </w:rPr>
        <w:t>out</w:t>
      </w:r>
      <w:r w:rsidRPr="00DB7F92">
        <w:rPr>
          <w:spacing w:val="4"/>
          <w:lang w:eastAsia="en-GB"/>
        </w:rPr>
        <w:t xml:space="preserve"> </w:t>
      </w:r>
      <w:r w:rsidRPr="00DB7F92">
        <w:rPr>
          <w:lang w:eastAsia="en-GB"/>
        </w:rPr>
        <w:t>in</w:t>
      </w:r>
      <w:r w:rsidRPr="00DB7F92">
        <w:rPr>
          <w:spacing w:val="71"/>
          <w:lang w:eastAsia="en-GB"/>
        </w:rPr>
        <w:t xml:space="preserve"> </w:t>
      </w:r>
      <w:r w:rsidRPr="00DB7F92">
        <w:rPr>
          <w:lang w:eastAsia="en-GB"/>
        </w:rPr>
        <w:t>the</w:t>
      </w:r>
      <w:r w:rsidRPr="00DB7F92">
        <w:rPr>
          <w:spacing w:val="44"/>
          <w:lang w:eastAsia="en-GB"/>
        </w:rPr>
        <w:t xml:space="preserve"> </w:t>
      </w:r>
      <w:r w:rsidRPr="00DB7F92">
        <w:rPr>
          <w:lang w:eastAsia="en-GB"/>
        </w:rPr>
        <w:t>View</w:t>
      </w:r>
      <w:r w:rsidRPr="00DB7F92">
        <w:rPr>
          <w:spacing w:val="46"/>
          <w:lang w:eastAsia="en-GB"/>
        </w:rPr>
        <w:t xml:space="preserve"> </w:t>
      </w:r>
      <w:r w:rsidRPr="00DB7F92">
        <w:rPr>
          <w:lang w:eastAsia="en-GB"/>
        </w:rPr>
        <w:t>To</w:t>
      </w:r>
      <w:r w:rsidRPr="00DB7F92">
        <w:rPr>
          <w:spacing w:val="48"/>
          <w:lang w:eastAsia="en-GB"/>
        </w:rPr>
        <w:t xml:space="preserve"> </w:t>
      </w:r>
      <w:r w:rsidRPr="00DB7F92">
        <w:rPr>
          <w:lang w:eastAsia="en-GB"/>
        </w:rPr>
        <w:t>duties.</w:t>
      </w:r>
      <w:r w:rsidRPr="00DB7F92">
        <w:rPr>
          <w:spacing w:val="27"/>
          <w:lang w:eastAsia="en-GB"/>
        </w:rPr>
        <w:t xml:space="preserve"> </w:t>
      </w:r>
      <w:r w:rsidRPr="00DB7F92">
        <w:rPr>
          <w:spacing w:val="1"/>
          <w:lang w:eastAsia="en-GB"/>
        </w:rPr>
        <w:t>In</w:t>
      </w:r>
      <w:r w:rsidRPr="00DB7F92">
        <w:rPr>
          <w:spacing w:val="46"/>
          <w:lang w:eastAsia="en-GB"/>
        </w:rPr>
        <w:t xml:space="preserve"> </w:t>
      </w:r>
      <w:r w:rsidRPr="00DB7F92">
        <w:rPr>
          <w:lang w:eastAsia="en-GB"/>
        </w:rPr>
        <w:t>this</w:t>
      </w:r>
      <w:r w:rsidRPr="00DB7F92">
        <w:rPr>
          <w:spacing w:val="47"/>
          <w:lang w:eastAsia="en-GB"/>
        </w:rPr>
        <w:t xml:space="preserve"> </w:t>
      </w:r>
      <w:r w:rsidRPr="00DB7F92">
        <w:rPr>
          <w:lang w:eastAsia="en-GB"/>
        </w:rPr>
        <w:t xml:space="preserve">situation, if the decision is being made by NHS England or by a </w:t>
      </w:r>
      <w:r w:rsidR="008B199F">
        <w:rPr>
          <w:lang w:eastAsia="en-GB"/>
        </w:rPr>
        <w:t>CCG</w:t>
      </w:r>
      <w:r w:rsidR="00F718DB">
        <w:rPr>
          <w:lang w:eastAsia="en-GB"/>
        </w:rPr>
        <w:t>s</w:t>
      </w:r>
      <w:r w:rsidRPr="00DB7F92">
        <w:rPr>
          <w:lang w:eastAsia="en-GB"/>
        </w:rPr>
        <w:t xml:space="preserve"> on NHS England's behalf as part of co-commissioning, the NHS England legal team should be contacted for further guidance.</w:t>
      </w:r>
      <w:r w:rsidRPr="00DB7F92">
        <w:rPr>
          <w:spacing w:val="49"/>
          <w:lang w:eastAsia="en-GB"/>
        </w:rPr>
        <w:t xml:space="preserve"> </w:t>
      </w:r>
      <w:r w:rsidRPr="00DB7F92">
        <w:rPr>
          <w:lang w:eastAsia="en-GB"/>
        </w:rPr>
        <w:t>Also,</w:t>
      </w:r>
      <w:r w:rsidRPr="00DB7F92">
        <w:rPr>
          <w:spacing w:val="23"/>
          <w:lang w:eastAsia="en-GB"/>
        </w:rPr>
        <w:t xml:space="preserve"> </w:t>
      </w:r>
      <w:r w:rsidRPr="00DB7F92">
        <w:rPr>
          <w:lang w:eastAsia="en-GB"/>
        </w:rPr>
        <w:t>if</w:t>
      </w:r>
      <w:r w:rsidRPr="00DB7F92">
        <w:rPr>
          <w:spacing w:val="21"/>
          <w:lang w:eastAsia="en-GB"/>
        </w:rPr>
        <w:t xml:space="preserve"> </w:t>
      </w:r>
      <w:r w:rsidRPr="00DB7F92">
        <w:rPr>
          <w:lang w:eastAsia="en-GB"/>
        </w:rPr>
        <w:t>there</w:t>
      </w:r>
      <w:r w:rsidRPr="00DB7F92">
        <w:rPr>
          <w:spacing w:val="21"/>
          <w:lang w:eastAsia="en-GB"/>
        </w:rPr>
        <w:t xml:space="preserve"> </w:t>
      </w:r>
      <w:r w:rsidRPr="00DB7F92">
        <w:rPr>
          <w:lang w:eastAsia="en-GB"/>
        </w:rPr>
        <w:t>is</w:t>
      </w:r>
      <w:r w:rsidRPr="00DB7F92">
        <w:rPr>
          <w:spacing w:val="24"/>
          <w:lang w:eastAsia="en-GB"/>
        </w:rPr>
        <w:t xml:space="preserve"> </w:t>
      </w:r>
      <w:r w:rsidRPr="00DB7F92">
        <w:rPr>
          <w:lang w:eastAsia="en-GB"/>
        </w:rPr>
        <w:t>a</w:t>
      </w:r>
      <w:r w:rsidRPr="00DB7F92">
        <w:rPr>
          <w:spacing w:val="22"/>
          <w:lang w:eastAsia="en-GB"/>
        </w:rPr>
        <w:t xml:space="preserve"> </w:t>
      </w:r>
      <w:r w:rsidRPr="00DB7F92">
        <w:rPr>
          <w:lang w:eastAsia="en-GB"/>
        </w:rPr>
        <w:t>clear</w:t>
      </w:r>
      <w:r w:rsidRPr="00DB7F92">
        <w:rPr>
          <w:spacing w:val="22"/>
          <w:lang w:eastAsia="en-GB"/>
        </w:rPr>
        <w:t xml:space="preserve"> </w:t>
      </w:r>
      <w:r w:rsidRPr="00DB7F92">
        <w:rPr>
          <w:lang w:eastAsia="en-GB"/>
        </w:rPr>
        <w:t>opportunity</w:t>
      </w:r>
      <w:r w:rsidRPr="00DB7F92">
        <w:rPr>
          <w:spacing w:val="23"/>
          <w:lang w:eastAsia="en-GB"/>
        </w:rPr>
        <w:t xml:space="preserve"> </w:t>
      </w:r>
      <w:r w:rsidRPr="00DB7F92">
        <w:rPr>
          <w:lang w:eastAsia="en-GB"/>
        </w:rPr>
        <w:t>to</w:t>
      </w:r>
      <w:r w:rsidRPr="00DB7F92">
        <w:rPr>
          <w:spacing w:val="57"/>
          <w:lang w:eastAsia="en-GB"/>
        </w:rPr>
        <w:t xml:space="preserve"> </w:t>
      </w:r>
      <w:r w:rsidRPr="00DB7F92">
        <w:rPr>
          <w:lang w:eastAsia="en-GB"/>
        </w:rPr>
        <w:t>help</w:t>
      </w:r>
      <w:r w:rsidRPr="00DB7F92">
        <w:rPr>
          <w:spacing w:val="-3"/>
          <w:lang w:eastAsia="en-GB"/>
        </w:rPr>
        <w:t xml:space="preserve"> </w:t>
      </w:r>
      <w:r w:rsidRPr="00DB7F92">
        <w:rPr>
          <w:lang w:eastAsia="en-GB"/>
        </w:rPr>
        <w:t>deliver</w:t>
      </w:r>
      <w:r w:rsidRPr="00DB7F92">
        <w:rPr>
          <w:spacing w:val="-3"/>
          <w:lang w:eastAsia="en-GB"/>
        </w:rPr>
        <w:t xml:space="preserve"> </w:t>
      </w:r>
      <w:r w:rsidRPr="00DB7F92">
        <w:rPr>
          <w:lang w:eastAsia="en-GB"/>
        </w:rPr>
        <w:t>one</w:t>
      </w:r>
      <w:r w:rsidRPr="00DB7F92">
        <w:rPr>
          <w:spacing w:val="-3"/>
          <w:lang w:eastAsia="en-GB"/>
        </w:rPr>
        <w:t xml:space="preserve"> </w:t>
      </w:r>
      <w:r w:rsidRPr="00DB7F92">
        <w:rPr>
          <w:lang w:eastAsia="en-GB"/>
        </w:rPr>
        <w:t>of</w:t>
      </w:r>
      <w:r w:rsidRPr="00DB7F92">
        <w:rPr>
          <w:spacing w:val="-3"/>
          <w:lang w:eastAsia="en-GB"/>
        </w:rPr>
        <w:t xml:space="preserve"> </w:t>
      </w:r>
      <w:r w:rsidRPr="00DB7F92">
        <w:rPr>
          <w:lang w:eastAsia="en-GB"/>
        </w:rPr>
        <w:t>the</w:t>
      </w:r>
      <w:r w:rsidRPr="00DB7F92">
        <w:rPr>
          <w:spacing w:val="-3"/>
          <w:lang w:eastAsia="en-GB"/>
        </w:rPr>
        <w:t xml:space="preserve"> </w:t>
      </w:r>
      <w:r w:rsidRPr="00DB7F92">
        <w:rPr>
          <w:lang w:eastAsia="en-GB"/>
        </w:rPr>
        <w:t>View</w:t>
      </w:r>
      <w:r w:rsidRPr="00DB7F92">
        <w:rPr>
          <w:spacing w:val="-4"/>
          <w:lang w:eastAsia="en-GB"/>
        </w:rPr>
        <w:t xml:space="preserve"> </w:t>
      </w:r>
      <w:r w:rsidRPr="00DB7F92">
        <w:rPr>
          <w:lang w:eastAsia="en-GB"/>
        </w:rPr>
        <w:t>To</w:t>
      </w:r>
      <w:r w:rsidRPr="00DB7F92">
        <w:rPr>
          <w:spacing w:val="-3"/>
          <w:lang w:eastAsia="en-GB"/>
        </w:rPr>
        <w:t xml:space="preserve"> </w:t>
      </w:r>
      <w:r w:rsidRPr="00DB7F92">
        <w:rPr>
          <w:lang w:eastAsia="en-GB"/>
        </w:rPr>
        <w:t>objectives,</w:t>
      </w:r>
      <w:r w:rsidRPr="00DB7F92">
        <w:rPr>
          <w:spacing w:val="-4"/>
          <w:lang w:eastAsia="en-GB"/>
        </w:rPr>
        <w:t xml:space="preserve"> </w:t>
      </w:r>
      <w:r w:rsidRPr="00DB7F92">
        <w:rPr>
          <w:lang w:eastAsia="en-GB"/>
        </w:rPr>
        <w:t>it</w:t>
      </w:r>
      <w:r w:rsidRPr="00DB7F92">
        <w:rPr>
          <w:spacing w:val="-2"/>
          <w:lang w:eastAsia="en-GB"/>
        </w:rPr>
        <w:t xml:space="preserve"> </w:t>
      </w:r>
      <w:r w:rsidRPr="00DB7F92">
        <w:rPr>
          <w:lang w:eastAsia="en-GB"/>
        </w:rPr>
        <w:t>is best</w:t>
      </w:r>
      <w:r w:rsidRPr="00DB7F92">
        <w:rPr>
          <w:spacing w:val="-4"/>
          <w:lang w:eastAsia="en-GB"/>
        </w:rPr>
        <w:t xml:space="preserve"> </w:t>
      </w:r>
      <w:r w:rsidRPr="00DB7F92">
        <w:rPr>
          <w:lang w:eastAsia="en-GB"/>
        </w:rPr>
        <w:t>to</w:t>
      </w:r>
      <w:r w:rsidRPr="00DB7F92">
        <w:rPr>
          <w:spacing w:val="-5"/>
          <w:lang w:eastAsia="en-GB"/>
        </w:rPr>
        <w:t xml:space="preserve"> </w:t>
      </w:r>
      <w:r w:rsidRPr="00DB7F92">
        <w:rPr>
          <w:lang w:eastAsia="en-GB"/>
        </w:rPr>
        <w:t>take</w:t>
      </w:r>
      <w:r w:rsidRPr="00DB7F92">
        <w:rPr>
          <w:spacing w:val="-3"/>
          <w:lang w:eastAsia="en-GB"/>
        </w:rPr>
        <w:t xml:space="preserve"> </w:t>
      </w:r>
      <w:r w:rsidRPr="00DB7F92">
        <w:rPr>
          <w:lang w:eastAsia="en-GB"/>
        </w:rPr>
        <w:t>it.</w:t>
      </w:r>
    </w:p>
    <w:p w14:paraId="02776743" w14:textId="77777777" w:rsidR="00DB7F92" w:rsidRPr="00DB7F92" w:rsidRDefault="00DB7F92" w:rsidP="00DB7F92">
      <w:pPr>
        <w:spacing w:before="11"/>
        <w:jc w:val="both"/>
        <w:rPr>
          <w:rFonts w:eastAsia="Segoe UI Semilight" w:cs="Arial"/>
          <w:sz w:val="20"/>
          <w:szCs w:val="20"/>
        </w:rPr>
      </w:pPr>
    </w:p>
    <w:p w14:paraId="39C12538" w14:textId="17547709" w:rsidR="00DB7F92" w:rsidRPr="00DB7F92" w:rsidRDefault="00D32C7A" w:rsidP="00DB7F92">
      <w:pPr>
        <w:pStyle w:val="Heading2"/>
        <w:rPr>
          <w:rFonts w:eastAsiaTheme="majorEastAsia"/>
        </w:rPr>
      </w:pPr>
      <w:bookmarkStart w:id="105" w:name="_Toc95743371"/>
      <w:r w:rsidRPr="00DB7F92">
        <w:rPr>
          <w:rFonts w:eastAsiaTheme="majorEastAsia"/>
        </w:rPr>
        <w:t>The Involvement Duty</w:t>
      </w:r>
      <w:bookmarkEnd w:id="105"/>
    </w:p>
    <w:p w14:paraId="41BDB1CF" w14:textId="62B2B127" w:rsidR="00DB7F92" w:rsidRPr="00A553BA" w:rsidRDefault="00DB7F92" w:rsidP="00A553BA">
      <w:pPr>
        <w:rPr>
          <w:rFonts w:eastAsiaTheme="majorEastAsia"/>
        </w:rPr>
      </w:pPr>
      <w:r w:rsidRPr="00A553BA">
        <w:rPr>
          <w:rFonts w:eastAsiaTheme="majorEastAsia"/>
        </w:rPr>
        <w:t>Overview</w:t>
      </w:r>
    </w:p>
    <w:p w14:paraId="7C4306DF" w14:textId="77777777" w:rsidR="003F1BA7" w:rsidRPr="003F1BA7" w:rsidRDefault="003F1BA7" w:rsidP="003F1BA7">
      <w:pPr>
        <w:rPr>
          <w:rFonts w:eastAsiaTheme="majorEastAsia"/>
        </w:rPr>
      </w:pPr>
    </w:p>
    <w:p w14:paraId="255B2239" w14:textId="28F00207" w:rsidR="00DB7F92" w:rsidRPr="00DB7F92" w:rsidRDefault="00DB7F92" w:rsidP="00DD5D2D">
      <w:pPr>
        <w:pStyle w:val="Heading3"/>
        <w:jc w:val="both"/>
        <w:rPr>
          <w:lang w:eastAsia="en-GB"/>
        </w:rPr>
      </w:pPr>
      <w:r w:rsidRPr="00DB7F92">
        <w:rPr>
          <w:lang w:eastAsia="en-GB"/>
        </w:rPr>
        <w:t>Under</w:t>
      </w:r>
      <w:r w:rsidRPr="00DB7F92">
        <w:rPr>
          <w:spacing w:val="39"/>
          <w:lang w:eastAsia="en-GB"/>
        </w:rPr>
        <w:t xml:space="preserve"> </w:t>
      </w:r>
      <w:r w:rsidRPr="00DB7F92">
        <w:rPr>
          <w:lang w:eastAsia="en-GB"/>
        </w:rPr>
        <w:t>sections</w:t>
      </w:r>
      <w:r w:rsidRPr="00DB7F92">
        <w:rPr>
          <w:spacing w:val="39"/>
          <w:lang w:eastAsia="en-GB"/>
        </w:rPr>
        <w:t xml:space="preserve"> </w:t>
      </w:r>
      <w:r w:rsidRPr="00DB7F92">
        <w:rPr>
          <w:lang w:eastAsia="en-GB"/>
        </w:rPr>
        <w:t>13Q of</w:t>
      </w:r>
      <w:r w:rsidRPr="00DB7F92">
        <w:rPr>
          <w:spacing w:val="38"/>
          <w:lang w:eastAsia="en-GB"/>
        </w:rPr>
        <w:t xml:space="preserve"> </w:t>
      </w:r>
      <w:r w:rsidRPr="00DB7F92">
        <w:rPr>
          <w:lang w:eastAsia="en-GB"/>
        </w:rPr>
        <w:t>the</w:t>
      </w:r>
      <w:r w:rsidRPr="00DB7F92">
        <w:rPr>
          <w:spacing w:val="38"/>
          <w:lang w:eastAsia="en-GB"/>
        </w:rPr>
        <w:t xml:space="preserve"> </w:t>
      </w:r>
      <w:r w:rsidRPr="00DB7F92">
        <w:rPr>
          <w:lang w:eastAsia="en-GB"/>
        </w:rPr>
        <w:t>NHS</w:t>
      </w:r>
      <w:r w:rsidRPr="00DB7F92">
        <w:rPr>
          <w:spacing w:val="39"/>
          <w:lang w:eastAsia="en-GB"/>
        </w:rPr>
        <w:t xml:space="preserve"> </w:t>
      </w:r>
      <w:r w:rsidRPr="00DB7F92">
        <w:rPr>
          <w:lang w:eastAsia="en-GB"/>
        </w:rPr>
        <w:t>Act</w:t>
      </w:r>
      <w:r w:rsidRPr="00DB7F92">
        <w:rPr>
          <w:spacing w:val="40"/>
          <w:lang w:eastAsia="en-GB"/>
        </w:rPr>
        <w:t xml:space="preserve"> </w:t>
      </w:r>
      <w:r w:rsidRPr="00DB7F92">
        <w:rPr>
          <w:lang w:eastAsia="en-GB"/>
        </w:rPr>
        <w:t>2006,</w:t>
      </w:r>
      <w:r w:rsidRPr="00DB7F92">
        <w:rPr>
          <w:spacing w:val="39"/>
          <w:lang w:eastAsia="en-GB"/>
        </w:rPr>
        <w:t xml:space="preserve"> </w:t>
      </w:r>
      <w:r w:rsidRPr="00DB7F92">
        <w:rPr>
          <w:spacing w:val="-2"/>
          <w:lang w:eastAsia="en-GB"/>
        </w:rPr>
        <w:t>NHS</w:t>
      </w:r>
      <w:r w:rsidRPr="00DB7F92">
        <w:rPr>
          <w:spacing w:val="39"/>
          <w:lang w:eastAsia="en-GB"/>
        </w:rPr>
        <w:t xml:space="preserve"> </w:t>
      </w:r>
      <w:r w:rsidRPr="00DB7F92">
        <w:rPr>
          <w:lang w:eastAsia="en-GB"/>
        </w:rPr>
        <w:t>England has</w:t>
      </w:r>
      <w:r w:rsidRPr="00DB7F92">
        <w:rPr>
          <w:spacing w:val="38"/>
          <w:lang w:eastAsia="en-GB"/>
        </w:rPr>
        <w:t xml:space="preserve"> </w:t>
      </w:r>
      <w:r w:rsidRPr="00DB7F92">
        <w:rPr>
          <w:lang w:eastAsia="en-GB"/>
        </w:rPr>
        <w:t>a</w:t>
      </w:r>
      <w:r w:rsidRPr="00DB7F92">
        <w:rPr>
          <w:spacing w:val="39"/>
          <w:lang w:eastAsia="en-GB"/>
        </w:rPr>
        <w:t xml:space="preserve"> </w:t>
      </w:r>
      <w:r w:rsidRPr="00DB7F92">
        <w:rPr>
          <w:lang w:eastAsia="en-GB"/>
        </w:rPr>
        <w:t>statutory</w:t>
      </w:r>
      <w:r w:rsidRPr="00DB7F92">
        <w:rPr>
          <w:spacing w:val="57"/>
          <w:lang w:eastAsia="en-GB"/>
        </w:rPr>
        <w:t xml:space="preserve"> </w:t>
      </w:r>
      <w:r w:rsidRPr="00DB7F92">
        <w:rPr>
          <w:lang w:eastAsia="en-GB"/>
        </w:rPr>
        <w:t>duty</w:t>
      </w:r>
      <w:r w:rsidRPr="00DB7F92">
        <w:rPr>
          <w:spacing w:val="21"/>
          <w:lang w:eastAsia="en-GB"/>
        </w:rPr>
        <w:t xml:space="preserve"> </w:t>
      </w:r>
      <w:r w:rsidRPr="00DB7F92">
        <w:rPr>
          <w:lang w:eastAsia="en-GB"/>
        </w:rPr>
        <w:t>to</w:t>
      </w:r>
      <w:r w:rsidRPr="00DB7F92">
        <w:rPr>
          <w:spacing w:val="21"/>
          <w:lang w:eastAsia="en-GB"/>
        </w:rPr>
        <w:t xml:space="preserve"> </w:t>
      </w:r>
      <w:r w:rsidRPr="00DB7F92">
        <w:rPr>
          <w:lang w:eastAsia="en-GB"/>
        </w:rPr>
        <w:t>‘make</w:t>
      </w:r>
      <w:r w:rsidRPr="00DB7F92">
        <w:rPr>
          <w:spacing w:val="20"/>
          <w:lang w:eastAsia="en-GB"/>
        </w:rPr>
        <w:t xml:space="preserve"> </w:t>
      </w:r>
      <w:r w:rsidRPr="00DB7F92">
        <w:rPr>
          <w:lang w:eastAsia="en-GB"/>
        </w:rPr>
        <w:t>arrangements’</w:t>
      </w:r>
      <w:r w:rsidRPr="00DB7F92">
        <w:rPr>
          <w:spacing w:val="22"/>
          <w:lang w:eastAsia="en-GB"/>
        </w:rPr>
        <w:t xml:space="preserve"> </w:t>
      </w:r>
      <w:r w:rsidRPr="00DB7F92">
        <w:rPr>
          <w:lang w:eastAsia="en-GB"/>
        </w:rPr>
        <w:t>to</w:t>
      </w:r>
      <w:r w:rsidRPr="00DB7F92">
        <w:rPr>
          <w:spacing w:val="21"/>
          <w:lang w:eastAsia="en-GB"/>
        </w:rPr>
        <w:t xml:space="preserve"> </w:t>
      </w:r>
      <w:r w:rsidRPr="00DB7F92">
        <w:rPr>
          <w:lang w:eastAsia="en-GB"/>
        </w:rPr>
        <w:t>involve</w:t>
      </w:r>
      <w:r w:rsidRPr="00DB7F92">
        <w:rPr>
          <w:spacing w:val="20"/>
          <w:lang w:eastAsia="en-GB"/>
        </w:rPr>
        <w:t xml:space="preserve"> </w:t>
      </w:r>
      <w:r w:rsidRPr="00DB7F92">
        <w:rPr>
          <w:lang w:eastAsia="en-GB"/>
        </w:rPr>
        <w:t>the</w:t>
      </w:r>
      <w:r w:rsidRPr="00DB7F92">
        <w:rPr>
          <w:spacing w:val="21"/>
          <w:lang w:eastAsia="en-GB"/>
        </w:rPr>
        <w:t xml:space="preserve"> </w:t>
      </w:r>
      <w:r w:rsidRPr="00DB7F92">
        <w:rPr>
          <w:lang w:eastAsia="en-GB"/>
        </w:rPr>
        <w:t>public</w:t>
      </w:r>
      <w:r w:rsidRPr="00DB7F92">
        <w:rPr>
          <w:spacing w:val="23"/>
          <w:lang w:eastAsia="en-GB"/>
        </w:rPr>
        <w:t xml:space="preserve"> </w:t>
      </w:r>
      <w:r w:rsidRPr="00DB7F92">
        <w:rPr>
          <w:lang w:eastAsia="en-GB"/>
        </w:rPr>
        <w:t>in</w:t>
      </w:r>
      <w:r w:rsidRPr="00DB7F92">
        <w:rPr>
          <w:spacing w:val="22"/>
          <w:lang w:eastAsia="en-GB"/>
        </w:rPr>
        <w:t xml:space="preserve"> </w:t>
      </w:r>
      <w:r w:rsidRPr="00DB7F92">
        <w:rPr>
          <w:lang w:eastAsia="en-GB"/>
        </w:rPr>
        <w:t>the</w:t>
      </w:r>
      <w:r w:rsidRPr="00DB7F92">
        <w:rPr>
          <w:spacing w:val="21"/>
          <w:lang w:eastAsia="en-GB"/>
        </w:rPr>
        <w:t xml:space="preserve"> </w:t>
      </w:r>
      <w:r w:rsidRPr="00DB7F92">
        <w:rPr>
          <w:lang w:eastAsia="en-GB"/>
        </w:rPr>
        <w:t>commissioning</w:t>
      </w:r>
      <w:r w:rsidRPr="00DB7F92">
        <w:rPr>
          <w:spacing w:val="65"/>
          <w:lang w:eastAsia="en-GB"/>
        </w:rPr>
        <w:t xml:space="preserve"> </w:t>
      </w:r>
      <w:r w:rsidRPr="00DB7F92">
        <w:rPr>
          <w:lang w:eastAsia="en-GB"/>
        </w:rPr>
        <w:t>services</w:t>
      </w:r>
      <w:r w:rsidRPr="00DB7F92">
        <w:rPr>
          <w:spacing w:val="-7"/>
          <w:lang w:eastAsia="en-GB"/>
        </w:rPr>
        <w:t xml:space="preserve"> </w:t>
      </w:r>
      <w:r w:rsidRPr="00DB7F92">
        <w:rPr>
          <w:lang w:eastAsia="en-GB"/>
        </w:rPr>
        <w:t>for</w:t>
      </w:r>
      <w:r w:rsidRPr="00DB7F92">
        <w:rPr>
          <w:spacing w:val="-5"/>
          <w:lang w:eastAsia="en-GB"/>
        </w:rPr>
        <w:t xml:space="preserve"> </w:t>
      </w:r>
      <w:r w:rsidRPr="00DB7F92">
        <w:rPr>
          <w:lang w:eastAsia="en-GB"/>
        </w:rPr>
        <w:t>NHS</w:t>
      </w:r>
      <w:r w:rsidRPr="00DB7F92">
        <w:rPr>
          <w:spacing w:val="-5"/>
          <w:lang w:eastAsia="en-GB"/>
        </w:rPr>
        <w:t xml:space="preserve"> </w:t>
      </w:r>
      <w:r w:rsidRPr="00DB7F92">
        <w:rPr>
          <w:lang w:eastAsia="en-GB"/>
        </w:rPr>
        <w:t xml:space="preserve">patients.  (This duty is also placed directly on to </w:t>
      </w:r>
      <w:r w:rsidR="008B199F">
        <w:rPr>
          <w:lang w:eastAsia="en-GB"/>
        </w:rPr>
        <w:t>CCGs</w:t>
      </w:r>
      <w:r w:rsidR="00F718DB">
        <w:rPr>
          <w:lang w:eastAsia="en-GB"/>
        </w:rPr>
        <w:t>s</w:t>
      </w:r>
      <w:r w:rsidR="008B199F">
        <w:rPr>
          <w:lang w:eastAsia="en-GB"/>
        </w:rPr>
        <w:t xml:space="preserve"> </w:t>
      </w:r>
      <w:r w:rsidRPr="00DB7F92">
        <w:rPr>
          <w:lang w:eastAsia="en-GB"/>
        </w:rPr>
        <w:t>under section 14Z2.)</w:t>
      </w:r>
    </w:p>
    <w:p w14:paraId="343CBE3F" w14:textId="77777777" w:rsidR="00DB7F92" w:rsidRPr="00DB7F92" w:rsidRDefault="00DB7F92" w:rsidP="00DD5D2D">
      <w:pPr>
        <w:pStyle w:val="Heading3"/>
        <w:jc w:val="both"/>
        <w:rPr>
          <w:lang w:eastAsia="en-GB"/>
        </w:rPr>
      </w:pPr>
      <w:r w:rsidRPr="00DB7F92">
        <w:rPr>
          <w:lang w:eastAsia="en-GB"/>
        </w:rPr>
        <w:t>Section</w:t>
      </w:r>
      <w:r w:rsidRPr="00DB7F92">
        <w:rPr>
          <w:spacing w:val="-7"/>
          <w:lang w:eastAsia="en-GB"/>
        </w:rPr>
        <w:t xml:space="preserve"> </w:t>
      </w:r>
      <w:r w:rsidRPr="00DB7F92">
        <w:rPr>
          <w:lang w:eastAsia="en-GB"/>
        </w:rPr>
        <w:t>13Q</w:t>
      </w:r>
      <w:r w:rsidRPr="00DB7F92">
        <w:rPr>
          <w:spacing w:val="-6"/>
          <w:lang w:eastAsia="en-GB"/>
        </w:rPr>
        <w:t xml:space="preserve"> </w:t>
      </w:r>
      <w:r w:rsidRPr="00DB7F92">
        <w:rPr>
          <w:lang w:eastAsia="en-GB"/>
        </w:rPr>
        <w:t>applies</w:t>
      </w:r>
      <w:r w:rsidRPr="00DB7F92">
        <w:rPr>
          <w:spacing w:val="-6"/>
          <w:lang w:eastAsia="en-GB"/>
        </w:rPr>
        <w:t xml:space="preserve"> </w:t>
      </w:r>
      <w:r w:rsidRPr="00DB7F92">
        <w:rPr>
          <w:lang w:eastAsia="en-GB"/>
        </w:rPr>
        <w:t>to:</w:t>
      </w:r>
    </w:p>
    <w:p w14:paraId="195B530D" w14:textId="77777777" w:rsidR="00DB7F92" w:rsidRPr="00682EC4" w:rsidRDefault="00DB7F92" w:rsidP="006C3DF5">
      <w:pPr>
        <w:pStyle w:val="ListParagraph"/>
        <w:widowControl w:val="0"/>
        <w:numPr>
          <w:ilvl w:val="1"/>
          <w:numId w:val="77"/>
        </w:numPr>
        <w:tabs>
          <w:tab w:val="left" w:pos="2387"/>
        </w:tabs>
        <w:spacing w:before="120" w:after="120" w:line="360" w:lineRule="auto"/>
        <w:jc w:val="both"/>
        <w:rPr>
          <w:rFonts w:cs="Arial"/>
          <w:bCs w:val="0"/>
          <w:szCs w:val="24"/>
          <w:lang w:eastAsia="en-GB"/>
        </w:rPr>
      </w:pPr>
      <w:r w:rsidRPr="00682EC4">
        <w:rPr>
          <w:rFonts w:cs="Arial"/>
          <w:bCs w:val="0"/>
          <w:spacing w:val="-1"/>
          <w:szCs w:val="24"/>
          <w:lang w:eastAsia="en-GB"/>
        </w:rPr>
        <w:t>the</w:t>
      </w:r>
      <w:r w:rsidRPr="00682EC4">
        <w:rPr>
          <w:rFonts w:cs="Arial"/>
          <w:bCs w:val="0"/>
          <w:spacing w:val="-8"/>
          <w:szCs w:val="24"/>
          <w:lang w:eastAsia="en-GB"/>
        </w:rPr>
        <w:t xml:space="preserve"> </w:t>
      </w:r>
      <w:r w:rsidRPr="00682EC4">
        <w:rPr>
          <w:rFonts w:cs="Arial"/>
          <w:bCs w:val="0"/>
          <w:spacing w:val="-1"/>
          <w:szCs w:val="24"/>
          <w:lang w:eastAsia="en-GB"/>
        </w:rPr>
        <w:t>planning</w:t>
      </w:r>
      <w:r w:rsidRPr="00682EC4">
        <w:rPr>
          <w:rFonts w:cs="Arial"/>
          <w:bCs w:val="0"/>
          <w:spacing w:val="-6"/>
          <w:szCs w:val="24"/>
          <w:lang w:eastAsia="en-GB"/>
        </w:rPr>
        <w:t xml:space="preserve"> </w:t>
      </w:r>
      <w:r w:rsidRPr="00682EC4">
        <w:rPr>
          <w:rFonts w:cs="Arial"/>
          <w:bCs w:val="0"/>
          <w:spacing w:val="-1"/>
          <w:szCs w:val="24"/>
          <w:lang w:eastAsia="en-GB"/>
        </w:rPr>
        <w:t>of</w:t>
      </w:r>
      <w:r w:rsidRPr="00682EC4">
        <w:rPr>
          <w:rFonts w:cs="Arial"/>
          <w:bCs w:val="0"/>
          <w:spacing w:val="-6"/>
          <w:szCs w:val="24"/>
          <w:lang w:eastAsia="en-GB"/>
        </w:rPr>
        <w:t xml:space="preserve"> </w:t>
      </w:r>
      <w:r w:rsidRPr="00682EC4">
        <w:rPr>
          <w:rFonts w:cs="Arial"/>
          <w:bCs w:val="0"/>
          <w:spacing w:val="-1"/>
          <w:szCs w:val="24"/>
          <w:lang w:eastAsia="en-GB"/>
        </w:rPr>
        <w:t>commissioning</w:t>
      </w:r>
      <w:r w:rsidRPr="00682EC4">
        <w:rPr>
          <w:rFonts w:cs="Arial"/>
          <w:bCs w:val="0"/>
          <w:spacing w:val="-6"/>
          <w:szCs w:val="24"/>
          <w:lang w:eastAsia="en-GB"/>
        </w:rPr>
        <w:t xml:space="preserve"> </w:t>
      </w:r>
      <w:r w:rsidRPr="00682EC4">
        <w:rPr>
          <w:rFonts w:cs="Arial"/>
          <w:bCs w:val="0"/>
          <w:spacing w:val="-1"/>
          <w:szCs w:val="24"/>
          <w:lang w:eastAsia="en-GB"/>
        </w:rPr>
        <w:t>arrangements</w:t>
      </w:r>
    </w:p>
    <w:p w14:paraId="5F8DDD3B" w14:textId="77777777" w:rsidR="00DB7F92" w:rsidRPr="00682EC4" w:rsidRDefault="00DB7F92" w:rsidP="006C3DF5">
      <w:pPr>
        <w:pStyle w:val="ListParagraph"/>
        <w:widowControl w:val="0"/>
        <w:numPr>
          <w:ilvl w:val="1"/>
          <w:numId w:val="77"/>
        </w:numPr>
        <w:tabs>
          <w:tab w:val="left" w:pos="2387"/>
        </w:tabs>
        <w:spacing w:before="120" w:after="120" w:line="360" w:lineRule="auto"/>
        <w:ind w:right="115"/>
        <w:jc w:val="both"/>
        <w:rPr>
          <w:rFonts w:cs="Arial"/>
          <w:bCs w:val="0"/>
          <w:szCs w:val="24"/>
          <w:lang w:eastAsia="en-GB"/>
        </w:rPr>
      </w:pPr>
      <w:r w:rsidRPr="00682EC4">
        <w:rPr>
          <w:rFonts w:cs="Arial"/>
          <w:bCs w:val="0"/>
          <w:spacing w:val="-1"/>
          <w:szCs w:val="24"/>
          <w:lang w:eastAsia="en-GB"/>
        </w:rPr>
        <w:t>the</w:t>
      </w:r>
      <w:r w:rsidRPr="00682EC4">
        <w:rPr>
          <w:rFonts w:cs="Arial"/>
          <w:bCs w:val="0"/>
          <w:spacing w:val="19"/>
          <w:szCs w:val="24"/>
          <w:lang w:eastAsia="en-GB"/>
        </w:rPr>
        <w:t xml:space="preserve"> </w:t>
      </w:r>
      <w:r w:rsidRPr="00682EC4">
        <w:rPr>
          <w:rFonts w:cs="Arial"/>
          <w:bCs w:val="0"/>
          <w:spacing w:val="-1"/>
          <w:szCs w:val="24"/>
          <w:lang w:eastAsia="en-GB"/>
        </w:rPr>
        <w:t>development</w:t>
      </w:r>
      <w:r w:rsidRPr="00682EC4">
        <w:rPr>
          <w:rFonts w:cs="Arial"/>
          <w:bCs w:val="0"/>
          <w:spacing w:val="21"/>
          <w:szCs w:val="24"/>
          <w:lang w:eastAsia="en-GB"/>
        </w:rPr>
        <w:t xml:space="preserve"> </w:t>
      </w:r>
      <w:r w:rsidRPr="00682EC4">
        <w:rPr>
          <w:rFonts w:cs="Arial"/>
          <w:bCs w:val="0"/>
          <w:spacing w:val="-1"/>
          <w:szCs w:val="24"/>
          <w:lang w:eastAsia="en-GB"/>
        </w:rPr>
        <w:t>and</w:t>
      </w:r>
      <w:r w:rsidRPr="00682EC4">
        <w:rPr>
          <w:rFonts w:cs="Arial"/>
          <w:bCs w:val="0"/>
          <w:spacing w:val="22"/>
          <w:szCs w:val="24"/>
          <w:lang w:eastAsia="en-GB"/>
        </w:rPr>
        <w:t xml:space="preserve"> </w:t>
      </w:r>
      <w:r w:rsidRPr="00682EC4">
        <w:rPr>
          <w:rFonts w:cs="Arial"/>
          <w:bCs w:val="0"/>
          <w:spacing w:val="-1"/>
          <w:szCs w:val="24"/>
          <w:lang w:eastAsia="en-GB"/>
        </w:rPr>
        <w:t>consideration</w:t>
      </w:r>
      <w:r w:rsidRPr="00682EC4">
        <w:rPr>
          <w:rFonts w:cs="Arial"/>
          <w:bCs w:val="0"/>
          <w:spacing w:val="20"/>
          <w:szCs w:val="24"/>
          <w:lang w:eastAsia="en-GB"/>
        </w:rPr>
        <w:t xml:space="preserve"> </w:t>
      </w:r>
      <w:r w:rsidRPr="00682EC4">
        <w:rPr>
          <w:rFonts w:cs="Arial"/>
          <w:bCs w:val="0"/>
          <w:spacing w:val="-1"/>
          <w:szCs w:val="24"/>
          <w:lang w:eastAsia="en-GB"/>
        </w:rPr>
        <w:t>of</w:t>
      </w:r>
      <w:r w:rsidRPr="00682EC4">
        <w:rPr>
          <w:rFonts w:cs="Arial"/>
          <w:bCs w:val="0"/>
          <w:spacing w:val="20"/>
          <w:szCs w:val="24"/>
          <w:lang w:eastAsia="en-GB"/>
        </w:rPr>
        <w:t xml:space="preserve"> </w:t>
      </w:r>
      <w:r w:rsidRPr="00682EC4">
        <w:rPr>
          <w:rFonts w:cs="Arial"/>
          <w:bCs w:val="0"/>
          <w:spacing w:val="-1"/>
          <w:szCs w:val="24"/>
          <w:lang w:eastAsia="en-GB"/>
        </w:rPr>
        <w:t>any</w:t>
      </w:r>
      <w:r w:rsidRPr="00682EC4">
        <w:rPr>
          <w:rFonts w:cs="Arial"/>
          <w:bCs w:val="0"/>
          <w:spacing w:val="21"/>
          <w:szCs w:val="24"/>
          <w:lang w:eastAsia="en-GB"/>
        </w:rPr>
        <w:t xml:space="preserve"> </w:t>
      </w:r>
      <w:r w:rsidRPr="00682EC4">
        <w:rPr>
          <w:rFonts w:cs="Arial"/>
          <w:bCs w:val="0"/>
          <w:spacing w:val="-1"/>
          <w:szCs w:val="24"/>
          <w:lang w:eastAsia="en-GB"/>
        </w:rPr>
        <w:t>proposals</w:t>
      </w:r>
      <w:r w:rsidRPr="00682EC4">
        <w:rPr>
          <w:rFonts w:cs="Arial"/>
          <w:bCs w:val="0"/>
          <w:spacing w:val="21"/>
          <w:szCs w:val="24"/>
          <w:lang w:eastAsia="en-GB"/>
        </w:rPr>
        <w:t xml:space="preserve"> </w:t>
      </w:r>
      <w:r w:rsidRPr="00682EC4">
        <w:rPr>
          <w:rFonts w:cs="Arial"/>
          <w:bCs w:val="0"/>
          <w:spacing w:val="-1"/>
          <w:szCs w:val="24"/>
          <w:lang w:eastAsia="en-GB"/>
        </w:rPr>
        <w:t>that</w:t>
      </w:r>
      <w:r w:rsidRPr="00682EC4">
        <w:rPr>
          <w:rFonts w:cs="Arial"/>
          <w:bCs w:val="0"/>
          <w:spacing w:val="21"/>
          <w:szCs w:val="24"/>
          <w:lang w:eastAsia="en-GB"/>
        </w:rPr>
        <w:t xml:space="preserve"> </w:t>
      </w:r>
      <w:r w:rsidRPr="00682EC4">
        <w:rPr>
          <w:rFonts w:cs="Arial"/>
          <w:bCs w:val="0"/>
          <w:spacing w:val="-1"/>
          <w:szCs w:val="24"/>
          <w:lang w:eastAsia="en-GB"/>
        </w:rPr>
        <w:t>would</w:t>
      </w:r>
      <w:r w:rsidRPr="00682EC4">
        <w:rPr>
          <w:rFonts w:cs="Arial"/>
          <w:bCs w:val="0"/>
          <w:spacing w:val="48"/>
          <w:w w:val="99"/>
          <w:szCs w:val="24"/>
          <w:lang w:eastAsia="en-GB"/>
        </w:rPr>
        <w:t xml:space="preserve"> </w:t>
      </w:r>
      <w:r w:rsidRPr="00682EC4">
        <w:rPr>
          <w:rFonts w:cs="Arial"/>
          <w:bCs w:val="0"/>
          <w:spacing w:val="-1"/>
          <w:szCs w:val="24"/>
          <w:lang w:eastAsia="en-GB"/>
        </w:rPr>
        <w:t>impact</w:t>
      </w:r>
      <w:r w:rsidRPr="00682EC4">
        <w:rPr>
          <w:rFonts w:cs="Arial"/>
          <w:bCs w:val="0"/>
          <w:spacing w:val="49"/>
          <w:szCs w:val="24"/>
          <w:lang w:eastAsia="en-GB"/>
        </w:rPr>
        <w:t xml:space="preserve"> </w:t>
      </w:r>
      <w:r w:rsidRPr="00682EC4">
        <w:rPr>
          <w:rFonts w:cs="Arial"/>
          <w:bCs w:val="0"/>
          <w:spacing w:val="-1"/>
          <w:szCs w:val="24"/>
          <w:lang w:eastAsia="en-GB"/>
        </w:rPr>
        <w:t>on</w:t>
      </w:r>
      <w:r w:rsidRPr="00682EC4">
        <w:rPr>
          <w:rFonts w:cs="Arial"/>
          <w:bCs w:val="0"/>
          <w:spacing w:val="47"/>
          <w:szCs w:val="24"/>
          <w:lang w:eastAsia="en-GB"/>
        </w:rPr>
        <w:t xml:space="preserve"> </w:t>
      </w:r>
      <w:r w:rsidRPr="00682EC4">
        <w:rPr>
          <w:rFonts w:cs="Arial"/>
          <w:bCs w:val="0"/>
          <w:spacing w:val="-1"/>
          <w:szCs w:val="24"/>
          <w:lang w:eastAsia="en-GB"/>
        </w:rPr>
        <w:t>the</w:t>
      </w:r>
      <w:r w:rsidRPr="00682EC4">
        <w:rPr>
          <w:rFonts w:cs="Arial"/>
          <w:bCs w:val="0"/>
          <w:spacing w:val="48"/>
          <w:szCs w:val="24"/>
          <w:lang w:eastAsia="en-GB"/>
        </w:rPr>
        <w:t xml:space="preserve"> </w:t>
      </w:r>
      <w:r w:rsidRPr="00682EC4">
        <w:rPr>
          <w:rFonts w:cs="Arial"/>
          <w:bCs w:val="0"/>
          <w:spacing w:val="-1"/>
          <w:szCs w:val="24"/>
          <w:lang w:eastAsia="en-GB"/>
        </w:rPr>
        <w:t>manner</w:t>
      </w:r>
      <w:r w:rsidRPr="00682EC4">
        <w:rPr>
          <w:rFonts w:cs="Arial"/>
          <w:bCs w:val="0"/>
          <w:spacing w:val="46"/>
          <w:szCs w:val="24"/>
          <w:lang w:eastAsia="en-GB"/>
        </w:rPr>
        <w:t xml:space="preserve"> </w:t>
      </w:r>
      <w:r w:rsidRPr="00682EC4">
        <w:rPr>
          <w:rFonts w:cs="Arial"/>
          <w:bCs w:val="0"/>
          <w:spacing w:val="-1"/>
          <w:szCs w:val="24"/>
          <w:lang w:eastAsia="en-GB"/>
        </w:rPr>
        <w:t>in</w:t>
      </w:r>
      <w:r w:rsidRPr="00682EC4">
        <w:rPr>
          <w:rFonts w:cs="Arial"/>
          <w:bCs w:val="0"/>
          <w:spacing w:val="47"/>
          <w:szCs w:val="24"/>
          <w:lang w:eastAsia="en-GB"/>
        </w:rPr>
        <w:t xml:space="preserve"> </w:t>
      </w:r>
      <w:r w:rsidRPr="00682EC4">
        <w:rPr>
          <w:rFonts w:cs="Arial"/>
          <w:bCs w:val="0"/>
          <w:szCs w:val="24"/>
          <w:lang w:eastAsia="en-GB"/>
        </w:rPr>
        <w:t>which</w:t>
      </w:r>
      <w:r w:rsidRPr="00682EC4">
        <w:rPr>
          <w:rFonts w:cs="Arial"/>
          <w:bCs w:val="0"/>
          <w:spacing w:val="47"/>
          <w:szCs w:val="24"/>
          <w:lang w:eastAsia="en-GB"/>
        </w:rPr>
        <w:t xml:space="preserve"> </w:t>
      </w:r>
      <w:r w:rsidRPr="00682EC4">
        <w:rPr>
          <w:rFonts w:cs="Arial"/>
          <w:bCs w:val="0"/>
          <w:spacing w:val="-1"/>
          <w:szCs w:val="24"/>
          <w:lang w:eastAsia="en-GB"/>
        </w:rPr>
        <w:t>services</w:t>
      </w:r>
      <w:r w:rsidRPr="00682EC4">
        <w:rPr>
          <w:rFonts w:cs="Arial"/>
          <w:bCs w:val="0"/>
          <w:spacing w:val="50"/>
          <w:szCs w:val="24"/>
          <w:lang w:eastAsia="en-GB"/>
        </w:rPr>
        <w:t xml:space="preserve"> </w:t>
      </w:r>
      <w:r w:rsidRPr="00682EC4">
        <w:rPr>
          <w:rFonts w:cs="Arial"/>
          <w:bCs w:val="0"/>
          <w:spacing w:val="-1"/>
          <w:szCs w:val="24"/>
          <w:lang w:eastAsia="en-GB"/>
        </w:rPr>
        <w:t>are</w:t>
      </w:r>
      <w:r w:rsidRPr="00682EC4">
        <w:rPr>
          <w:rFonts w:cs="Arial"/>
          <w:bCs w:val="0"/>
          <w:spacing w:val="47"/>
          <w:szCs w:val="24"/>
          <w:lang w:eastAsia="en-GB"/>
        </w:rPr>
        <w:t xml:space="preserve"> </w:t>
      </w:r>
      <w:r w:rsidRPr="00682EC4">
        <w:rPr>
          <w:rFonts w:cs="Arial"/>
          <w:bCs w:val="0"/>
          <w:spacing w:val="-1"/>
          <w:szCs w:val="24"/>
          <w:lang w:eastAsia="en-GB"/>
        </w:rPr>
        <w:t>delivered</w:t>
      </w:r>
      <w:r w:rsidRPr="00682EC4">
        <w:rPr>
          <w:rFonts w:cs="Arial"/>
          <w:bCs w:val="0"/>
          <w:spacing w:val="48"/>
          <w:szCs w:val="24"/>
          <w:lang w:eastAsia="en-GB"/>
        </w:rPr>
        <w:t xml:space="preserve"> </w:t>
      </w:r>
      <w:r w:rsidRPr="00682EC4">
        <w:rPr>
          <w:rFonts w:cs="Arial"/>
          <w:bCs w:val="0"/>
          <w:szCs w:val="24"/>
          <w:lang w:eastAsia="en-GB"/>
        </w:rPr>
        <w:t>to</w:t>
      </w:r>
      <w:r w:rsidRPr="00682EC4">
        <w:rPr>
          <w:rFonts w:cs="Arial"/>
          <w:bCs w:val="0"/>
          <w:spacing w:val="49"/>
          <w:szCs w:val="24"/>
          <w:lang w:eastAsia="en-GB"/>
        </w:rPr>
        <w:t xml:space="preserve"> </w:t>
      </w:r>
      <w:r w:rsidRPr="00682EC4">
        <w:rPr>
          <w:rFonts w:cs="Arial"/>
          <w:bCs w:val="0"/>
          <w:spacing w:val="-1"/>
          <w:szCs w:val="24"/>
          <w:lang w:eastAsia="en-GB"/>
        </w:rPr>
        <w:t>individuals</w:t>
      </w:r>
      <w:r w:rsidRPr="00682EC4">
        <w:rPr>
          <w:rFonts w:cs="Arial"/>
          <w:bCs w:val="0"/>
          <w:spacing w:val="-6"/>
          <w:szCs w:val="24"/>
          <w:lang w:eastAsia="en-GB"/>
        </w:rPr>
        <w:t xml:space="preserve"> </w:t>
      </w:r>
      <w:r w:rsidRPr="00682EC4">
        <w:rPr>
          <w:rFonts w:cs="Arial"/>
          <w:bCs w:val="0"/>
          <w:spacing w:val="-1"/>
          <w:szCs w:val="24"/>
          <w:lang w:eastAsia="en-GB"/>
        </w:rPr>
        <w:t>or</w:t>
      </w:r>
      <w:r w:rsidRPr="00682EC4">
        <w:rPr>
          <w:rFonts w:cs="Arial"/>
          <w:bCs w:val="0"/>
          <w:spacing w:val="-4"/>
          <w:szCs w:val="24"/>
          <w:lang w:eastAsia="en-GB"/>
        </w:rPr>
        <w:t xml:space="preserve"> </w:t>
      </w:r>
      <w:r w:rsidRPr="00682EC4">
        <w:rPr>
          <w:rFonts w:cs="Arial"/>
          <w:bCs w:val="0"/>
          <w:spacing w:val="-1"/>
          <w:szCs w:val="24"/>
          <w:lang w:eastAsia="en-GB"/>
        </w:rPr>
        <w:t>the</w:t>
      </w:r>
      <w:r w:rsidRPr="00682EC4">
        <w:rPr>
          <w:rFonts w:cs="Arial"/>
          <w:bCs w:val="0"/>
          <w:spacing w:val="-6"/>
          <w:szCs w:val="24"/>
          <w:lang w:eastAsia="en-GB"/>
        </w:rPr>
        <w:t xml:space="preserve"> </w:t>
      </w:r>
      <w:r w:rsidRPr="00682EC4">
        <w:rPr>
          <w:rFonts w:cs="Arial"/>
          <w:bCs w:val="0"/>
          <w:szCs w:val="24"/>
          <w:lang w:eastAsia="en-GB"/>
        </w:rPr>
        <w:t>range</w:t>
      </w:r>
      <w:r w:rsidRPr="00682EC4">
        <w:rPr>
          <w:rFonts w:cs="Arial"/>
          <w:bCs w:val="0"/>
          <w:spacing w:val="-5"/>
          <w:szCs w:val="24"/>
          <w:lang w:eastAsia="en-GB"/>
        </w:rPr>
        <w:t xml:space="preserve"> </w:t>
      </w:r>
      <w:r w:rsidRPr="00682EC4">
        <w:rPr>
          <w:rFonts w:cs="Arial"/>
          <w:bCs w:val="0"/>
          <w:spacing w:val="-1"/>
          <w:szCs w:val="24"/>
          <w:lang w:eastAsia="en-GB"/>
        </w:rPr>
        <w:t>of</w:t>
      </w:r>
      <w:r w:rsidRPr="00682EC4">
        <w:rPr>
          <w:rFonts w:cs="Arial"/>
          <w:bCs w:val="0"/>
          <w:spacing w:val="-4"/>
          <w:szCs w:val="24"/>
          <w:lang w:eastAsia="en-GB"/>
        </w:rPr>
        <w:t xml:space="preserve"> </w:t>
      </w:r>
      <w:r w:rsidRPr="00682EC4">
        <w:rPr>
          <w:rFonts w:cs="Arial"/>
          <w:bCs w:val="0"/>
          <w:spacing w:val="-1"/>
          <w:szCs w:val="24"/>
          <w:lang w:eastAsia="en-GB"/>
        </w:rPr>
        <w:t>services</w:t>
      </w:r>
      <w:r w:rsidRPr="00682EC4">
        <w:rPr>
          <w:rFonts w:cs="Arial"/>
          <w:bCs w:val="0"/>
          <w:spacing w:val="-6"/>
          <w:szCs w:val="24"/>
          <w:lang w:eastAsia="en-GB"/>
        </w:rPr>
        <w:t xml:space="preserve"> </w:t>
      </w:r>
      <w:r w:rsidRPr="00682EC4">
        <w:rPr>
          <w:rFonts w:cs="Arial"/>
          <w:bCs w:val="0"/>
          <w:spacing w:val="-1"/>
          <w:szCs w:val="24"/>
          <w:lang w:eastAsia="en-GB"/>
        </w:rPr>
        <w:t>available</w:t>
      </w:r>
      <w:r w:rsidRPr="00682EC4">
        <w:rPr>
          <w:rFonts w:cs="Arial"/>
          <w:bCs w:val="0"/>
          <w:spacing w:val="-6"/>
          <w:szCs w:val="24"/>
          <w:lang w:eastAsia="en-GB"/>
        </w:rPr>
        <w:t xml:space="preserve"> </w:t>
      </w:r>
      <w:r w:rsidRPr="00682EC4">
        <w:rPr>
          <w:rFonts w:cs="Arial"/>
          <w:bCs w:val="0"/>
          <w:szCs w:val="24"/>
          <w:lang w:eastAsia="en-GB"/>
        </w:rPr>
        <w:t>to</w:t>
      </w:r>
      <w:r w:rsidRPr="00682EC4">
        <w:rPr>
          <w:rFonts w:cs="Arial"/>
          <w:bCs w:val="0"/>
          <w:spacing w:val="-2"/>
          <w:szCs w:val="24"/>
          <w:lang w:eastAsia="en-GB"/>
        </w:rPr>
        <w:t xml:space="preserve"> </w:t>
      </w:r>
      <w:r w:rsidRPr="00682EC4">
        <w:rPr>
          <w:rFonts w:cs="Arial"/>
          <w:bCs w:val="0"/>
          <w:spacing w:val="-1"/>
          <w:szCs w:val="24"/>
          <w:lang w:eastAsia="en-GB"/>
        </w:rPr>
        <w:t>them</w:t>
      </w:r>
    </w:p>
    <w:p w14:paraId="606D1386" w14:textId="77777777" w:rsidR="00DB7F92" w:rsidRPr="00682EC4" w:rsidRDefault="00DB7F92" w:rsidP="006C3DF5">
      <w:pPr>
        <w:pStyle w:val="ListParagraph"/>
        <w:widowControl w:val="0"/>
        <w:numPr>
          <w:ilvl w:val="1"/>
          <w:numId w:val="77"/>
        </w:numPr>
        <w:tabs>
          <w:tab w:val="left" w:pos="2387"/>
        </w:tabs>
        <w:spacing w:before="120" w:after="120" w:line="360" w:lineRule="auto"/>
        <w:ind w:right="115"/>
        <w:jc w:val="both"/>
        <w:rPr>
          <w:rFonts w:cs="Arial"/>
          <w:bCs w:val="0"/>
          <w:spacing w:val="-1"/>
          <w:szCs w:val="24"/>
          <w:lang w:eastAsia="en-GB"/>
        </w:rPr>
      </w:pPr>
      <w:r w:rsidRPr="00682EC4">
        <w:rPr>
          <w:rFonts w:cs="Arial"/>
          <w:bCs w:val="0"/>
          <w:spacing w:val="-1"/>
          <w:szCs w:val="24"/>
          <w:lang w:eastAsia="en-GB"/>
        </w:rPr>
        <w:t>decisions that would impact on the manner in which services are delivered to individuals or the range of services available to them</w:t>
      </w:r>
    </w:p>
    <w:p w14:paraId="5392D585" w14:textId="2FCA1A08" w:rsidR="00DB7F92" w:rsidRPr="00DB7F92" w:rsidRDefault="00DB7F92" w:rsidP="00DD5D2D">
      <w:pPr>
        <w:pStyle w:val="Heading3"/>
        <w:jc w:val="both"/>
        <w:rPr>
          <w:lang w:eastAsia="en-GB"/>
        </w:rPr>
      </w:pPr>
      <w:r w:rsidRPr="00DB7F92">
        <w:rPr>
          <w:lang w:eastAsia="en-GB"/>
        </w:rPr>
        <w:t>The</w:t>
      </w:r>
      <w:r w:rsidRPr="00DB7F92">
        <w:rPr>
          <w:spacing w:val="-2"/>
          <w:lang w:eastAsia="en-GB"/>
        </w:rPr>
        <w:t xml:space="preserve"> </w:t>
      </w:r>
      <w:r w:rsidRPr="00DB7F92">
        <w:rPr>
          <w:lang w:eastAsia="en-GB"/>
        </w:rPr>
        <w:t>section 13Q</w:t>
      </w:r>
      <w:r w:rsidRPr="00DB7F92">
        <w:rPr>
          <w:spacing w:val="1"/>
          <w:lang w:eastAsia="en-GB"/>
        </w:rPr>
        <w:t xml:space="preserve"> </w:t>
      </w:r>
      <w:r w:rsidRPr="00DB7F92">
        <w:rPr>
          <w:lang w:eastAsia="en-GB"/>
        </w:rPr>
        <w:t>duty only</w:t>
      </w:r>
      <w:r w:rsidRPr="00DB7F92">
        <w:rPr>
          <w:spacing w:val="1"/>
          <w:lang w:eastAsia="en-GB"/>
        </w:rPr>
        <w:t xml:space="preserve"> </w:t>
      </w:r>
      <w:r w:rsidRPr="00DB7F92">
        <w:rPr>
          <w:lang w:eastAsia="en-GB"/>
        </w:rPr>
        <w:t>applies to plans,</w:t>
      </w:r>
      <w:r w:rsidRPr="00DB7F92">
        <w:rPr>
          <w:spacing w:val="1"/>
          <w:lang w:eastAsia="en-GB"/>
        </w:rPr>
        <w:t xml:space="preserve"> </w:t>
      </w:r>
      <w:r w:rsidRPr="00DB7F92">
        <w:rPr>
          <w:lang w:eastAsia="en-GB"/>
        </w:rPr>
        <w:t>proposals and decisions</w:t>
      </w:r>
      <w:r w:rsidRPr="00DB7F92">
        <w:rPr>
          <w:spacing w:val="1"/>
          <w:lang w:eastAsia="en-GB"/>
        </w:rPr>
        <w:t xml:space="preserve"> </w:t>
      </w:r>
      <w:r w:rsidRPr="00DB7F92">
        <w:rPr>
          <w:lang w:eastAsia="en-GB"/>
        </w:rPr>
        <w:t>about</w:t>
      </w:r>
      <w:r w:rsidRPr="00DB7F92">
        <w:rPr>
          <w:spacing w:val="55"/>
          <w:w w:val="99"/>
          <w:lang w:eastAsia="en-GB"/>
        </w:rPr>
        <w:t xml:space="preserve"> </w:t>
      </w:r>
      <w:r w:rsidRPr="00DB7F92">
        <w:rPr>
          <w:lang w:eastAsia="en-GB"/>
        </w:rPr>
        <w:t>services</w:t>
      </w:r>
      <w:r w:rsidRPr="00DB7F92">
        <w:rPr>
          <w:spacing w:val="33"/>
          <w:lang w:eastAsia="en-GB"/>
        </w:rPr>
        <w:t xml:space="preserve"> </w:t>
      </w:r>
      <w:r w:rsidRPr="00DB7F92">
        <w:rPr>
          <w:lang w:eastAsia="en-GB"/>
        </w:rPr>
        <w:t>that</w:t>
      </w:r>
      <w:r w:rsidRPr="00DB7F92">
        <w:rPr>
          <w:spacing w:val="34"/>
          <w:lang w:eastAsia="en-GB"/>
        </w:rPr>
        <w:t xml:space="preserve"> </w:t>
      </w:r>
      <w:r w:rsidRPr="00DB7F92">
        <w:rPr>
          <w:lang w:eastAsia="en-GB"/>
        </w:rPr>
        <w:t>are</w:t>
      </w:r>
      <w:r w:rsidRPr="00DB7F92">
        <w:rPr>
          <w:spacing w:val="32"/>
          <w:lang w:eastAsia="en-GB"/>
        </w:rPr>
        <w:t xml:space="preserve"> </w:t>
      </w:r>
      <w:r w:rsidRPr="00DB7F92">
        <w:rPr>
          <w:lang w:eastAsia="en-GB"/>
        </w:rPr>
        <w:t>directly</w:t>
      </w:r>
      <w:r w:rsidRPr="00DB7F92">
        <w:rPr>
          <w:spacing w:val="34"/>
          <w:lang w:eastAsia="en-GB"/>
        </w:rPr>
        <w:t xml:space="preserve"> </w:t>
      </w:r>
      <w:r w:rsidRPr="00DB7F92">
        <w:rPr>
          <w:lang w:eastAsia="en-GB"/>
        </w:rPr>
        <w:t>commissioned</w:t>
      </w:r>
      <w:r w:rsidRPr="00DB7F92">
        <w:rPr>
          <w:spacing w:val="32"/>
          <w:lang w:eastAsia="en-GB"/>
        </w:rPr>
        <w:t xml:space="preserve"> </w:t>
      </w:r>
      <w:r w:rsidRPr="00DB7F92">
        <w:rPr>
          <w:lang w:eastAsia="en-GB"/>
        </w:rPr>
        <w:t>by</w:t>
      </w:r>
      <w:r w:rsidRPr="00DB7F92">
        <w:rPr>
          <w:spacing w:val="34"/>
          <w:lang w:eastAsia="en-GB"/>
        </w:rPr>
        <w:t xml:space="preserve"> </w:t>
      </w:r>
      <w:r w:rsidRPr="00DB7F92">
        <w:rPr>
          <w:lang w:eastAsia="en-GB"/>
        </w:rPr>
        <w:t>NHS</w:t>
      </w:r>
      <w:r w:rsidRPr="00DB7F92">
        <w:rPr>
          <w:spacing w:val="32"/>
          <w:lang w:eastAsia="en-GB"/>
        </w:rPr>
        <w:t xml:space="preserve"> </w:t>
      </w:r>
      <w:r w:rsidRPr="00DB7F92">
        <w:rPr>
          <w:lang w:eastAsia="en-GB"/>
        </w:rPr>
        <w:t>England.</w:t>
      </w:r>
      <w:r w:rsidRPr="00DB7F92">
        <w:rPr>
          <w:spacing w:val="1"/>
          <w:lang w:eastAsia="en-GB"/>
        </w:rPr>
        <w:t xml:space="preserve"> </w:t>
      </w:r>
      <w:r w:rsidRPr="00DB7F92">
        <w:rPr>
          <w:lang w:eastAsia="en-GB"/>
        </w:rPr>
        <w:t>This</w:t>
      </w:r>
      <w:r w:rsidRPr="00DB7F92">
        <w:rPr>
          <w:spacing w:val="34"/>
          <w:lang w:eastAsia="en-GB"/>
        </w:rPr>
        <w:t xml:space="preserve"> </w:t>
      </w:r>
      <w:r w:rsidRPr="00DB7F92">
        <w:rPr>
          <w:lang w:eastAsia="en-GB"/>
        </w:rPr>
        <w:t>includes</w:t>
      </w:r>
      <w:r w:rsidRPr="00DB7F92">
        <w:rPr>
          <w:spacing w:val="56"/>
          <w:lang w:eastAsia="en-GB"/>
        </w:rPr>
        <w:t xml:space="preserve"> </w:t>
      </w:r>
      <w:r w:rsidRPr="00DB7F92">
        <w:rPr>
          <w:lang w:eastAsia="en-GB"/>
        </w:rPr>
        <w:t>GP,</w:t>
      </w:r>
      <w:r w:rsidRPr="00DB7F92">
        <w:rPr>
          <w:spacing w:val="-8"/>
          <w:lang w:eastAsia="en-GB"/>
        </w:rPr>
        <w:t xml:space="preserve"> </w:t>
      </w:r>
      <w:r w:rsidRPr="00DB7F92">
        <w:rPr>
          <w:lang w:eastAsia="en-GB"/>
        </w:rPr>
        <w:t>dental,</w:t>
      </w:r>
      <w:r w:rsidRPr="00DB7F92">
        <w:rPr>
          <w:spacing w:val="-5"/>
          <w:lang w:eastAsia="en-GB"/>
        </w:rPr>
        <w:t xml:space="preserve"> </w:t>
      </w:r>
      <w:r w:rsidRPr="00DB7F92">
        <w:rPr>
          <w:lang w:eastAsia="en-GB"/>
        </w:rPr>
        <w:t>ophthalmic</w:t>
      </w:r>
      <w:r w:rsidRPr="00DB7F92">
        <w:rPr>
          <w:spacing w:val="-3"/>
          <w:lang w:eastAsia="en-GB"/>
        </w:rPr>
        <w:t xml:space="preserve"> </w:t>
      </w:r>
      <w:r w:rsidRPr="00DB7F92">
        <w:rPr>
          <w:lang w:eastAsia="en-GB"/>
        </w:rPr>
        <w:t>and</w:t>
      </w:r>
      <w:r w:rsidRPr="00DB7F92">
        <w:rPr>
          <w:spacing w:val="-9"/>
          <w:lang w:eastAsia="en-GB"/>
        </w:rPr>
        <w:t xml:space="preserve"> </w:t>
      </w:r>
      <w:r w:rsidRPr="00DB7F92">
        <w:rPr>
          <w:lang w:eastAsia="en-GB"/>
        </w:rPr>
        <w:t>pharmaceutical</w:t>
      </w:r>
      <w:r w:rsidRPr="00DB7F92">
        <w:rPr>
          <w:spacing w:val="-6"/>
          <w:lang w:eastAsia="en-GB"/>
        </w:rPr>
        <w:t xml:space="preserve"> </w:t>
      </w:r>
      <w:r w:rsidRPr="00DB7F92">
        <w:rPr>
          <w:lang w:eastAsia="en-GB"/>
        </w:rPr>
        <w:t xml:space="preserve">services. However, under the co-commissioning Delegation Agreement </w:t>
      </w:r>
      <w:r w:rsidR="00B83042">
        <w:rPr>
          <w:lang w:eastAsia="en-GB"/>
        </w:rPr>
        <w:t>CCGs/ICBs</w:t>
      </w:r>
      <w:r w:rsidR="008B199F">
        <w:rPr>
          <w:lang w:eastAsia="en-GB"/>
        </w:rPr>
        <w:t xml:space="preserve"> </w:t>
      </w:r>
      <w:r w:rsidRPr="00DB7F92">
        <w:rPr>
          <w:lang w:eastAsia="en-GB"/>
        </w:rPr>
        <w:t xml:space="preserve">must act in a way that enables NHS England to comply with the 13Q requirements. </w:t>
      </w:r>
    </w:p>
    <w:p w14:paraId="431620FD" w14:textId="72CA5D88" w:rsidR="00DB7F92" w:rsidRPr="00DB7F92" w:rsidRDefault="00DB7F92" w:rsidP="00DD5D2D">
      <w:pPr>
        <w:pStyle w:val="Heading3"/>
        <w:jc w:val="both"/>
        <w:rPr>
          <w:lang w:eastAsia="en-GB"/>
        </w:rPr>
      </w:pPr>
      <w:r w:rsidRPr="00DB7F92">
        <w:rPr>
          <w:lang w:eastAsia="en-GB"/>
        </w:rPr>
        <w:t xml:space="preserve">(The section 14Z2 duty applies in relation to any health services which are, or are to be, provided pursuant to arrangements made by a </w:t>
      </w:r>
      <w:r w:rsidR="00B83042">
        <w:rPr>
          <w:lang w:eastAsia="en-GB"/>
        </w:rPr>
        <w:t>CCG/ICB</w:t>
      </w:r>
      <w:r w:rsidRPr="00DB7F92">
        <w:rPr>
          <w:lang w:eastAsia="en-GB"/>
        </w:rPr>
        <w:t xml:space="preserve"> in the exercise of the </w:t>
      </w:r>
      <w:r w:rsidR="00B83042">
        <w:rPr>
          <w:lang w:eastAsia="en-GB"/>
        </w:rPr>
        <w:t>CCG/ICB</w:t>
      </w:r>
      <w:r w:rsidRPr="00DB7F92">
        <w:rPr>
          <w:lang w:eastAsia="en-GB"/>
        </w:rPr>
        <w:t xml:space="preserve">'s </w:t>
      </w:r>
      <w:r w:rsidR="00D26A9F" w:rsidRPr="00DB7F92">
        <w:rPr>
          <w:lang w:eastAsia="en-GB"/>
        </w:rPr>
        <w:t>own functions</w:t>
      </w:r>
      <w:r w:rsidRPr="00DB7F92">
        <w:rPr>
          <w:lang w:eastAsia="en-GB"/>
        </w:rPr>
        <w:t xml:space="preserve"> i.e. commissioning of secondary care.) </w:t>
      </w:r>
    </w:p>
    <w:p w14:paraId="79A78A05" w14:textId="77777777" w:rsidR="004643DD" w:rsidRDefault="004643DD" w:rsidP="004643DD">
      <w:pPr>
        <w:ind w:firstLine="720"/>
        <w:rPr>
          <w:rFonts w:eastAsiaTheme="majorEastAsia"/>
          <w:i/>
          <w:sz w:val="28"/>
        </w:rPr>
      </w:pPr>
    </w:p>
    <w:p w14:paraId="42FC634D" w14:textId="0E0F3D18" w:rsidR="00DB7F92" w:rsidRDefault="00DB7F92" w:rsidP="009A4EC5">
      <w:pPr>
        <w:ind w:firstLine="720"/>
        <w:rPr>
          <w:rFonts w:eastAsiaTheme="majorEastAsia"/>
          <w:i/>
          <w:sz w:val="28"/>
        </w:rPr>
      </w:pPr>
      <w:r w:rsidRPr="006B14E9">
        <w:rPr>
          <w:rFonts w:eastAsiaTheme="majorEastAsia"/>
          <w:i/>
          <w:sz w:val="28"/>
        </w:rPr>
        <w:t>The commissioners' arrangements for public involvement</w:t>
      </w:r>
    </w:p>
    <w:p w14:paraId="7259287C" w14:textId="77777777" w:rsidR="006B14E9" w:rsidRPr="006B14E9" w:rsidRDefault="006B14E9" w:rsidP="006B14E9">
      <w:pPr>
        <w:rPr>
          <w:rFonts w:eastAsiaTheme="majorEastAsia"/>
          <w:i/>
          <w:sz w:val="28"/>
        </w:rPr>
      </w:pPr>
    </w:p>
    <w:p w14:paraId="677A4F32" w14:textId="77777777" w:rsidR="00DB7F92" w:rsidRPr="00DB7F92" w:rsidRDefault="00DB7F92" w:rsidP="00DD5D2D">
      <w:pPr>
        <w:pStyle w:val="Heading3"/>
        <w:jc w:val="both"/>
        <w:rPr>
          <w:lang w:eastAsia="en-GB"/>
        </w:rPr>
      </w:pPr>
      <w:r w:rsidRPr="00DB7F92">
        <w:rPr>
          <w:lang w:eastAsia="en-GB"/>
        </w:rPr>
        <w:t>The</w:t>
      </w:r>
      <w:r w:rsidRPr="00DB7F92">
        <w:rPr>
          <w:spacing w:val="7"/>
          <w:lang w:eastAsia="en-GB"/>
        </w:rPr>
        <w:t xml:space="preserve"> </w:t>
      </w:r>
      <w:r w:rsidRPr="00DB7F92">
        <w:rPr>
          <w:lang w:eastAsia="en-GB"/>
        </w:rPr>
        <w:t>statutory</w:t>
      </w:r>
      <w:r w:rsidRPr="00DB7F92">
        <w:rPr>
          <w:spacing w:val="9"/>
          <w:lang w:eastAsia="en-GB"/>
        </w:rPr>
        <w:t xml:space="preserve"> </w:t>
      </w:r>
      <w:r w:rsidRPr="00DB7F92">
        <w:rPr>
          <w:lang w:eastAsia="en-GB"/>
        </w:rPr>
        <w:t>duty</w:t>
      </w:r>
      <w:r w:rsidRPr="00DB7F92">
        <w:rPr>
          <w:spacing w:val="8"/>
          <w:lang w:eastAsia="en-GB"/>
        </w:rPr>
        <w:t xml:space="preserve"> </w:t>
      </w:r>
      <w:r w:rsidRPr="00DB7F92">
        <w:rPr>
          <w:lang w:eastAsia="en-GB"/>
        </w:rPr>
        <w:t>to</w:t>
      </w:r>
      <w:r w:rsidRPr="00DB7F92">
        <w:rPr>
          <w:spacing w:val="8"/>
          <w:lang w:eastAsia="en-GB"/>
        </w:rPr>
        <w:t xml:space="preserve"> </w:t>
      </w:r>
      <w:r w:rsidRPr="00DB7F92">
        <w:rPr>
          <w:lang w:eastAsia="en-GB"/>
        </w:rPr>
        <w:t>‘make</w:t>
      </w:r>
      <w:r w:rsidRPr="00DB7F92">
        <w:rPr>
          <w:spacing w:val="7"/>
          <w:lang w:eastAsia="en-GB"/>
        </w:rPr>
        <w:t xml:space="preserve"> </w:t>
      </w:r>
      <w:r w:rsidRPr="00DB7F92">
        <w:rPr>
          <w:lang w:eastAsia="en-GB"/>
        </w:rPr>
        <w:t>arrangements’</w:t>
      </w:r>
      <w:r w:rsidRPr="00DB7F92">
        <w:rPr>
          <w:spacing w:val="8"/>
          <w:lang w:eastAsia="en-GB"/>
        </w:rPr>
        <w:t xml:space="preserve"> </w:t>
      </w:r>
      <w:r w:rsidRPr="00DB7F92">
        <w:rPr>
          <w:lang w:eastAsia="en-GB"/>
        </w:rPr>
        <w:t>under</w:t>
      </w:r>
      <w:r w:rsidRPr="00DB7F92">
        <w:rPr>
          <w:spacing w:val="8"/>
          <w:lang w:eastAsia="en-GB"/>
        </w:rPr>
        <w:t xml:space="preserve"> </w:t>
      </w:r>
      <w:r w:rsidRPr="00DB7F92">
        <w:rPr>
          <w:lang w:eastAsia="en-GB"/>
        </w:rPr>
        <w:t>section</w:t>
      </w:r>
      <w:r w:rsidRPr="00DB7F92">
        <w:rPr>
          <w:spacing w:val="8"/>
          <w:lang w:eastAsia="en-GB"/>
        </w:rPr>
        <w:t xml:space="preserve"> </w:t>
      </w:r>
      <w:r w:rsidRPr="00DB7F92">
        <w:rPr>
          <w:lang w:eastAsia="en-GB"/>
        </w:rPr>
        <w:t>13Q of</w:t>
      </w:r>
      <w:r w:rsidRPr="00DB7F92">
        <w:rPr>
          <w:spacing w:val="7"/>
          <w:lang w:eastAsia="en-GB"/>
        </w:rPr>
        <w:t xml:space="preserve"> </w:t>
      </w:r>
      <w:r w:rsidRPr="00DB7F92">
        <w:rPr>
          <w:lang w:eastAsia="en-GB"/>
        </w:rPr>
        <w:t>the</w:t>
      </w:r>
      <w:r w:rsidRPr="00DB7F92">
        <w:rPr>
          <w:spacing w:val="7"/>
          <w:lang w:eastAsia="en-GB"/>
        </w:rPr>
        <w:t xml:space="preserve"> </w:t>
      </w:r>
      <w:r w:rsidRPr="00DB7F92">
        <w:rPr>
          <w:lang w:eastAsia="en-GB"/>
        </w:rPr>
        <w:t>NHS</w:t>
      </w:r>
      <w:r w:rsidRPr="00DB7F92">
        <w:rPr>
          <w:spacing w:val="57"/>
          <w:lang w:eastAsia="en-GB"/>
        </w:rPr>
        <w:t xml:space="preserve"> </w:t>
      </w:r>
      <w:r w:rsidRPr="00DB7F92">
        <w:rPr>
          <w:lang w:eastAsia="en-GB"/>
        </w:rPr>
        <w:t>Act</w:t>
      </w:r>
      <w:r w:rsidRPr="00DB7F92">
        <w:rPr>
          <w:spacing w:val="13"/>
          <w:lang w:eastAsia="en-GB"/>
        </w:rPr>
        <w:t xml:space="preserve"> </w:t>
      </w:r>
      <w:r w:rsidRPr="00DB7F92">
        <w:rPr>
          <w:lang w:eastAsia="en-GB"/>
        </w:rPr>
        <w:t>2006</w:t>
      </w:r>
      <w:r w:rsidRPr="00DB7F92">
        <w:rPr>
          <w:spacing w:val="15"/>
          <w:lang w:eastAsia="en-GB"/>
        </w:rPr>
        <w:t xml:space="preserve"> </w:t>
      </w:r>
      <w:r w:rsidRPr="00DB7F92">
        <w:rPr>
          <w:lang w:eastAsia="en-GB"/>
        </w:rPr>
        <w:t>is</w:t>
      </w:r>
      <w:r w:rsidRPr="00DB7F92">
        <w:rPr>
          <w:spacing w:val="12"/>
          <w:lang w:eastAsia="en-GB"/>
        </w:rPr>
        <w:t xml:space="preserve"> </w:t>
      </w:r>
      <w:r w:rsidRPr="00DB7F92">
        <w:rPr>
          <w:lang w:eastAsia="en-GB"/>
        </w:rPr>
        <w:t>essentially</w:t>
      </w:r>
      <w:r w:rsidRPr="00DB7F92">
        <w:rPr>
          <w:spacing w:val="14"/>
          <w:lang w:eastAsia="en-GB"/>
        </w:rPr>
        <w:t xml:space="preserve"> </w:t>
      </w:r>
      <w:r w:rsidRPr="00DB7F92">
        <w:rPr>
          <w:lang w:eastAsia="en-GB"/>
        </w:rPr>
        <w:t>a</w:t>
      </w:r>
      <w:r w:rsidRPr="00DB7F92">
        <w:rPr>
          <w:spacing w:val="14"/>
          <w:lang w:eastAsia="en-GB"/>
        </w:rPr>
        <w:t xml:space="preserve"> </w:t>
      </w:r>
      <w:r w:rsidRPr="00DB7F92">
        <w:rPr>
          <w:lang w:eastAsia="en-GB"/>
        </w:rPr>
        <w:t>requirement</w:t>
      </w:r>
      <w:r w:rsidRPr="00DB7F92">
        <w:rPr>
          <w:spacing w:val="14"/>
          <w:lang w:eastAsia="en-GB"/>
        </w:rPr>
        <w:t xml:space="preserve"> </w:t>
      </w:r>
      <w:r w:rsidRPr="00DB7F92">
        <w:rPr>
          <w:lang w:eastAsia="en-GB"/>
        </w:rPr>
        <w:t>to</w:t>
      </w:r>
      <w:r w:rsidRPr="00DB7F92">
        <w:rPr>
          <w:spacing w:val="12"/>
          <w:lang w:eastAsia="en-GB"/>
        </w:rPr>
        <w:t xml:space="preserve"> </w:t>
      </w:r>
      <w:r w:rsidRPr="00DB7F92">
        <w:rPr>
          <w:lang w:eastAsia="en-GB"/>
        </w:rPr>
        <w:t>make</w:t>
      </w:r>
      <w:r w:rsidRPr="00DB7F92">
        <w:rPr>
          <w:spacing w:val="13"/>
          <w:lang w:eastAsia="en-GB"/>
        </w:rPr>
        <w:t xml:space="preserve"> </w:t>
      </w:r>
      <w:r w:rsidRPr="00DB7F92">
        <w:rPr>
          <w:lang w:eastAsia="en-GB"/>
        </w:rPr>
        <w:t>plans</w:t>
      </w:r>
      <w:r w:rsidRPr="00DB7F92">
        <w:rPr>
          <w:spacing w:val="15"/>
          <w:lang w:eastAsia="en-GB"/>
        </w:rPr>
        <w:t xml:space="preserve"> </w:t>
      </w:r>
      <w:r w:rsidRPr="00DB7F92">
        <w:rPr>
          <w:lang w:eastAsia="en-GB"/>
        </w:rPr>
        <w:t>and</w:t>
      </w:r>
      <w:r w:rsidRPr="00DB7F92">
        <w:rPr>
          <w:spacing w:val="13"/>
          <w:lang w:eastAsia="en-GB"/>
        </w:rPr>
        <w:t xml:space="preserve"> </w:t>
      </w:r>
      <w:r w:rsidRPr="00DB7F92">
        <w:rPr>
          <w:lang w:eastAsia="en-GB"/>
        </w:rPr>
        <w:t>preparations</w:t>
      </w:r>
      <w:r w:rsidRPr="00DB7F92">
        <w:rPr>
          <w:spacing w:val="15"/>
          <w:lang w:eastAsia="en-GB"/>
        </w:rPr>
        <w:t xml:space="preserve"> </w:t>
      </w:r>
      <w:r w:rsidRPr="00DB7F92">
        <w:rPr>
          <w:lang w:eastAsia="en-GB"/>
        </w:rPr>
        <w:t>for</w:t>
      </w:r>
      <w:r w:rsidRPr="00DB7F92">
        <w:rPr>
          <w:spacing w:val="51"/>
          <w:w w:val="99"/>
          <w:lang w:eastAsia="en-GB"/>
        </w:rPr>
        <w:t xml:space="preserve"> </w:t>
      </w:r>
      <w:r w:rsidRPr="00DB7F92">
        <w:rPr>
          <w:lang w:eastAsia="en-GB"/>
        </w:rPr>
        <w:t>public</w:t>
      </w:r>
      <w:r w:rsidRPr="00DB7F92">
        <w:rPr>
          <w:spacing w:val="-18"/>
          <w:lang w:eastAsia="en-GB"/>
        </w:rPr>
        <w:t xml:space="preserve"> </w:t>
      </w:r>
      <w:r w:rsidRPr="00DB7F92">
        <w:rPr>
          <w:lang w:eastAsia="en-GB"/>
        </w:rPr>
        <w:t>involvement.</w:t>
      </w:r>
    </w:p>
    <w:p w14:paraId="5A3D2347" w14:textId="77777777" w:rsidR="00DB7F92" w:rsidRPr="00DB7F92" w:rsidRDefault="00DB7F92" w:rsidP="00DD5D2D">
      <w:pPr>
        <w:pStyle w:val="Heading3"/>
        <w:jc w:val="both"/>
        <w:rPr>
          <w:lang w:eastAsia="en-GB"/>
        </w:rPr>
      </w:pPr>
      <w:bookmarkStart w:id="106" w:name="_Hlk33175033"/>
      <w:r w:rsidRPr="00DB7F92">
        <w:rPr>
          <w:lang w:eastAsia="en-GB"/>
        </w:rPr>
        <w:t>NHS England has set out its plans as to how it intends to involve the public in the following publications</w:t>
      </w:r>
      <w:bookmarkEnd w:id="106"/>
      <w:r w:rsidRPr="00DB7F92">
        <w:rPr>
          <w:lang w:eastAsia="en-GB"/>
        </w:rPr>
        <w:t xml:space="preserve">: </w:t>
      </w:r>
    </w:p>
    <w:bookmarkStart w:id="107" w:name="_Hlk33174975"/>
    <w:p w14:paraId="767F4D21" w14:textId="77777777" w:rsidR="00DB7F92" w:rsidRPr="00682EC4" w:rsidRDefault="005210A0" w:rsidP="006C3DF5">
      <w:pPr>
        <w:pStyle w:val="ListParagraph"/>
        <w:widowControl w:val="0"/>
        <w:numPr>
          <w:ilvl w:val="2"/>
          <w:numId w:val="77"/>
        </w:numPr>
        <w:tabs>
          <w:tab w:val="left" w:pos="1179"/>
        </w:tabs>
        <w:spacing w:before="120" w:after="120" w:line="360" w:lineRule="auto"/>
        <w:ind w:right="114"/>
        <w:jc w:val="both"/>
        <w:rPr>
          <w:rFonts w:cs="Arial"/>
          <w:iCs/>
          <w:szCs w:val="24"/>
          <w:lang w:eastAsia="en-GB"/>
        </w:rPr>
      </w:pPr>
      <w:r>
        <w:rPr>
          <w:bCs w:val="0"/>
          <w:iCs/>
          <w:color w:val="0000FF"/>
          <w:szCs w:val="24"/>
          <w:u w:val="single"/>
          <w:lang w:eastAsia="en-GB"/>
        </w:rPr>
        <w:fldChar w:fldCharType="begin"/>
      </w:r>
      <w:r>
        <w:rPr>
          <w:bCs w:val="0"/>
          <w:iCs/>
          <w:color w:val="0000FF"/>
          <w:szCs w:val="24"/>
          <w:u w:val="single"/>
          <w:lang w:eastAsia="en-GB"/>
        </w:rPr>
        <w:instrText xml:space="preserve"> HYPERLINK "https://www.england.nhs.uk/wp-content/uploads/2017/04/ppp-policy.pdf" </w:instrText>
      </w:r>
      <w:r>
        <w:rPr>
          <w:bCs w:val="0"/>
          <w:iCs/>
          <w:color w:val="0000FF"/>
          <w:szCs w:val="24"/>
          <w:u w:val="single"/>
          <w:lang w:eastAsia="en-GB"/>
        </w:rPr>
        <w:fldChar w:fldCharType="separate"/>
      </w:r>
      <w:r w:rsidR="00DB7F92" w:rsidRPr="00682EC4">
        <w:rPr>
          <w:bCs w:val="0"/>
          <w:iCs/>
          <w:color w:val="0000FF"/>
          <w:szCs w:val="24"/>
          <w:u w:val="single"/>
          <w:lang w:eastAsia="en-GB"/>
        </w:rPr>
        <w:t>The Patient and Public Participation Policy</w:t>
      </w:r>
      <w:r>
        <w:rPr>
          <w:bCs w:val="0"/>
          <w:iCs/>
          <w:color w:val="0000FF"/>
          <w:szCs w:val="24"/>
          <w:u w:val="single"/>
          <w:lang w:eastAsia="en-GB"/>
        </w:rPr>
        <w:fldChar w:fldCharType="end"/>
      </w:r>
    </w:p>
    <w:p w14:paraId="0CBEF23D" w14:textId="77777777" w:rsidR="00DB7F92" w:rsidRPr="00682EC4" w:rsidRDefault="000B57EE" w:rsidP="006C3DF5">
      <w:pPr>
        <w:pStyle w:val="ListParagraph"/>
        <w:widowControl w:val="0"/>
        <w:numPr>
          <w:ilvl w:val="2"/>
          <w:numId w:val="77"/>
        </w:numPr>
        <w:tabs>
          <w:tab w:val="left" w:pos="1179"/>
        </w:tabs>
        <w:spacing w:before="120" w:after="120" w:line="360" w:lineRule="auto"/>
        <w:ind w:right="114"/>
        <w:jc w:val="both"/>
        <w:rPr>
          <w:rFonts w:cs="Arial"/>
          <w:iCs/>
          <w:szCs w:val="24"/>
          <w:lang w:eastAsia="en-GB"/>
        </w:rPr>
      </w:pPr>
      <w:hyperlink r:id="rId38" w:history="1">
        <w:r w:rsidR="00DB7F92" w:rsidRPr="00682EC4">
          <w:rPr>
            <w:bCs w:val="0"/>
            <w:iCs/>
            <w:color w:val="0000FF"/>
            <w:szCs w:val="24"/>
            <w:u w:val="single"/>
            <w:lang w:eastAsia="en-GB"/>
          </w:rPr>
          <w:t>The Statement of Arrangements &amp; Guidance on Patient and Public Participation in Commissioning.</w:t>
        </w:r>
      </w:hyperlink>
      <w:r w:rsidR="00DB7F92" w:rsidRPr="00682EC4">
        <w:rPr>
          <w:rFonts w:cs="Arial"/>
          <w:iCs/>
          <w:szCs w:val="24"/>
          <w:lang w:eastAsia="en-GB"/>
        </w:rPr>
        <w:t xml:space="preserve"> </w:t>
      </w:r>
    </w:p>
    <w:p w14:paraId="145FBC65" w14:textId="77777777" w:rsidR="00DB7F92" w:rsidRPr="00682EC4" w:rsidRDefault="000B57EE" w:rsidP="006C3DF5">
      <w:pPr>
        <w:pStyle w:val="ListParagraph"/>
        <w:widowControl w:val="0"/>
        <w:numPr>
          <w:ilvl w:val="2"/>
          <w:numId w:val="77"/>
        </w:numPr>
        <w:tabs>
          <w:tab w:val="left" w:pos="1179"/>
        </w:tabs>
        <w:spacing w:before="120" w:after="120" w:line="360" w:lineRule="auto"/>
        <w:ind w:right="114"/>
        <w:jc w:val="both"/>
        <w:rPr>
          <w:rFonts w:cs="Arial"/>
          <w:b/>
          <w:iCs/>
          <w:szCs w:val="24"/>
          <w:lang w:eastAsia="en-GB"/>
        </w:rPr>
      </w:pPr>
      <w:hyperlink r:id="rId39" w:history="1">
        <w:r w:rsidR="00DB7F92" w:rsidRPr="00682EC4">
          <w:rPr>
            <w:bCs w:val="0"/>
            <w:iCs/>
            <w:color w:val="0000FF"/>
            <w:szCs w:val="24"/>
            <w:u w:val="single"/>
            <w:lang w:eastAsia="en-GB"/>
          </w:rPr>
          <w:t>The Framework for Patient and Public Participation in Primary Care Commissioning</w:t>
        </w:r>
      </w:hyperlink>
    </w:p>
    <w:p w14:paraId="37CB24F1" w14:textId="77777777" w:rsidR="00DB7F92" w:rsidRPr="00DB7F92" w:rsidRDefault="00DB7F92" w:rsidP="00DD5D2D">
      <w:pPr>
        <w:pStyle w:val="Heading3"/>
        <w:jc w:val="both"/>
        <w:rPr>
          <w:lang w:eastAsia="en-GB"/>
        </w:rPr>
      </w:pPr>
      <w:bookmarkStart w:id="108" w:name="_Hlk33175089"/>
      <w:bookmarkEnd w:id="107"/>
      <w:r w:rsidRPr="00DB7F92">
        <w:rPr>
          <w:lang w:eastAsia="en-GB"/>
        </w:rPr>
        <w:t>These publications set</w:t>
      </w:r>
      <w:r w:rsidRPr="00DB7F92">
        <w:rPr>
          <w:spacing w:val="30"/>
          <w:lang w:eastAsia="en-GB"/>
        </w:rPr>
        <w:t xml:space="preserve"> </w:t>
      </w:r>
      <w:r w:rsidRPr="00DB7F92">
        <w:rPr>
          <w:lang w:eastAsia="en-GB"/>
        </w:rPr>
        <w:t>out</w:t>
      </w:r>
      <w:r w:rsidRPr="00DB7F92">
        <w:rPr>
          <w:spacing w:val="29"/>
          <w:lang w:eastAsia="en-GB"/>
        </w:rPr>
        <w:t xml:space="preserve"> </w:t>
      </w:r>
      <w:r w:rsidRPr="00DB7F92">
        <w:rPr>
          <w:lang w:eastAsia="en-GB"/>
        </w:rPr>
        <w:t>and</w:t>
      </w:r>
      <w:r w:rsidRPr="00DB7F92">
        <w:rPr>
          <w:spacing w:val="33"/>
          <w:lang w:eastAsia="en-GB"/>
        </w:rPr>
        <w:t xml:space="preserve"> </w:t>
      </w:r>
      <w:r w:rsidRPr="00DB7F92">
        <w:rPr>
          <w:lang w:eastAsia="en-GB"/>
        </w:rPr>
        <w:t>explain</w:t>
      </w:r>
      <w:r w:rsidRPr="00DB7F92">
        <w:rPr>
          <w:spacing w:val="29"/>
          <w:lang w:eastAsia="en-GB"/>
        </w:rPr>
        <w:t xml:space="preserve"> </w:t>
      </w:r>
      <w:r w:rsidRPr="00DB7F92">
        <w:rPr>
          <w:lang w:eastAsia="en-GB"/>
        </w:rPr>
        <w:t>the</w:t>
      </w:r>
      <w:r w:rsidRPr="00DB7F92">
        <w:rPr>
          <w:spacing w:val="28"/>
          <w:lang w:eastAsia="en-GB"/>
        </w:rPr>
        <w:t xml:space="preserve"> </w:t>
      </w:r>
      <w:r w:rsidRPr="00DB7F92">
        <w:rPr>
          <w:lang w:eastAsia="en-GB"/>
        </w:rPr>
        <w:t>arrangements</w:t>
      </w:r>
      <w:r w:rsidRPr="00DB7F92">
        <w:rPr>
          <w:spacing w:val="67"/>
          <w:lang w:eastAsia="en-GB"/>
        </w:rPr>
        <w:t xml:space="preserve"> </w:t>
      </w:r>
      <w:r w:rsidRPr="00DB7F92">
        <w:rPr>
          <w:lang w:eastAsia="en-GB"/>
        </w:rPr>
        <w:t>NHS</w:t>
      </w:r>
      <w:r w:rsidRPr="00DB7F92">
        <w:rPr>
          <w:spacing w:val="-6"/>
          <w:lang w:eastAsia="en-GB"/>
        </w:rPr>
        <w:t xml:space="preserve"> </w:t>
      </w:r>
      <w:r w:rsidRPr="00DB7F92">
        <w:rPr>
          <w:lang w:eastAsia="en-GB"/>
        </w:rPr>
        <w:t>England</w:t>
      </w:r>
      <w:r w:rsidRPr="00DB7F92">
        <w:rPr>
          <w:spacing w:val="-6"/>
          <w:lang w:eastAsia="en-GB"/>
        </w:rPr>
        <w:t xml:space="preserve"> </w:t>
      </w:r>
      <w:r w:rsidRPr="00DB7F92">
        <w:rPr>
          <w:lang w:eastAsia="en-GB"/>
        </w:rPr>
        <w:t>has</w:t>
      </w:r>
      <w:r w:rsidRPr="00DB7F92">
        <w:rPr>
          <w:spacing w:val="-2"/>
          <w:lang w:eastAsia="en-GB"/>
        </w:rPr>
        <w:t xml:space="preserve"> </w:t>
      </w:r>
      <w:r w:rsidRPr="00DB7F92">
        <w:rPr>
          <w:lang w:eastAsia="en-GB"/>
        </w:rPr>
        <w:t>in</w:t>
      </w:r>
      <w:r w:rsidRPr="00DB7F92">
        <w:rPr>
          <w:spacing w:val="-6"/>
          <w:lang w:eastAsia="en-GB"/>
        </w:rPr>
        <w:t xml:space="preserve"> </w:t>
      </w:r>
      <w:r w:rsidRPr="00DB7F92">
        <w:rPr>
          <w:lang w:eastAsia="en-GB"/>
        </w:rPr>
        <w:t>place:</w:t>
      </w:r>
    </w:p>
    <w:p w14:paraId="0754F883" w14:textId="77777777" w:rsidR="00DB7F92" w:rsidRPr="00682EC4" w:rsidRDefault="00DB7F92" w:rsidP="006C3DF5">
      <w:pPr>
        <w:pStyle w:val="ListParagraph"/>
        <w:widowControl w:val="0"/>
        <w:numPr>
          <w:ilvl w:val="0"/>
          <w:numId w:val="77"/>
        </w:numPr>
        <w:tabs>
          <w:tab w:val="left" w:pos="2007"/>
        </w:tabs>
        <w:spacing w:before="120" w:after="120" w:line="360" w:lineRule="auto"/>
        <w:ind w:right="116"/>
        <w:jc w:val="both"/>
        <w:rPr>
          <w:rFonts w:cs="Arial"/>
          <w:bCs w:val="0"/>
          <w:szCs w:val="24"/>
          <w:lang w:eastAsia="en-GB"/>
        </w:rPr>
      </w:pPr>
      <w:r w:rsidRPr="00682EC4">
        <w:rPr>
          <w:rFonts w:cs="Arial"/>
          <w:bCs w:val="0"/>
          <w:spacing w:val="-1"/>
          <w:szCs w:val="24"/>
          <w:lang w:eastAsia="en-GB"/>
        </w:rPr>
        <w:t>Corporate</w:t>
      </w:r>
      <w:r w:rsidRPr="00682EC4">
        <w:rPr>
          <w:rFonts w:cs="Arial"/>
          <w:bCs w:val="0"/>
          <w:spacing w:val="25"/>
          <w:szCs w:val="24"/>
          <w:lang w:eastAsia="en-GB"/>
        </w:rPr>
        <w:t xml:space="preserve"> </w:t>
      </w:r>
      <w:r w:rsidRPr="00682EC4">
        <w:rPr>
          <w:rFonts w:cs="Arial"/>
          <w:bCs w:val="0"/>
          <w:spacing w:val="-1"/>
          <w:szCs w:val="24"/>
          <w:lang w:eastAsia="en-GB"/>
        </w:rPr>
        <w:t>infrastructure</w:t>
      </w:r>
      <w:r w:rsidRPr="00682EC4">
        <w:rPr>
          <w:rFonts w:cs="Arial"/>
          <w:bCs w:val="0"/>
          <w:spacing w:val="24"/>
          <w:szCs w:val="24"/>
          <w:lang w:eastAsia="en-GB"/>
        </w:rPr>
        <w:t xml:space="preserve"> </w:t>
      </w:r>
      <w:r w:rsidRPr="00682EC4">
        <w:rPr>
          <w:rFonts w:cs="Arial"/>
          <w:bCs w:val="0"/>
          <w:szCs w:val="24"/>
          <w:lang w:eastAsia="en-GB"/>
        </w:rPr>
        <w:t>–</w:t>
      </w:r>
      <w:r w:rsidRPr="00682EC4">
        <w:rPr>
          <w:rFonts w:cs="Arial"/>
          <w:bCs w:val="0"/>
          <w:spacing w:val="24"/>
          <w:szCs w:val="24"/>
          <w:lang w:eastAsia="en-GB"/>
        </w:rPr>
        <w:t xml:space="preserve"> </w:t>
      </w:r>
      <w:r w:rsidRPr="00682EC4">
        <w:rPr>
          <w:rFonts w:cs="Arial"/>
          <w:bCs w:val="0"/>
          <w:spacing w:val="-1"/>
          <w:szCs w:val="24"/>
          <w:lang w:eastAsia="en-GB"/>
        </w:rPr>
        <w:t>how</w:t>
      </w:r>
      <w:r w:rsidRPr="00682EC4">
        <w:rPr>
          <w:rFonts w:cs="Arial"/>
          <w:bCs w:val="0"/>
          <w:spacing w:val="27"/>
          <w:szCs w:val="24"/>
          <w:lang w:eastAsia="en-GB"/>
        </w:rPr>
        <w:t xml:space="preserve"> </w:t>
      </w:r>
      <w:r w:rsidRPr="00682EC4">
        <w:rPr>
          <w:rFonts w:cs="Arial"/>
          <w:bCs w:val="0"/>
          <w:szCs w:val="24"/>
          <w:lang w:eastAsia="en-GB"/>
        </w:rPr>
        <w:t>public</w:t>
      </w:r>
      <w:r w:rsidRPr="00682EC4">
        <w:rPr>
          <w:rFonts w:cs="Arial"/>
          <w:bCs w:val="0"/>
          <w:spacing w:val="23"/>
          <w:szCs w:val="24"/>
          <w:lang w:eastAsia="en-GB"/>
        </w:rPr>
        <w:t xml:space="preserve"> </w:t>
      </w:r>
      <w:r w:rsidRPr="00682EC4">
        <w:rPr>
          <w:rFonts w:cs="Arial"/>
          <w:bCs w:val="0"/>
          <w:spacing w:val="-1"/>
          <w:szCs w:val="24"/>
          <w:lang w:eastAsia="en-GB"/>
        </w:rPr>
        <w:t>involvement</w:t>
      </w:r>
      <w:r w:rsidRPr="00682EC4">
        <w:rPr>
          <w:rFonts w:cs="Arial"/>
          <w:bCs w:val="0"/>
          <w:spacing w:val="25"/>
          <w:szCs w:val="24"/>
          <w:lang w:eastAsia="en-GB"/>
        </w:rPr>
        <w:t xml:space="preserve"> </w:t>
      </w:r>
      <w:r w:rsidRPr="00682EC4">
        <w:rPr>
          <w:rFonts w:cs="Arial"/>
          <w:bCs w:val="0"/>
          <w:spacing w:val="-1"/>
          <w:szCs w:val="24"/>
          <w:lang w:eastAsia="en-GB"/>
        </w:rPr>
        <w:t>is</w:t>
      </w:r>
      <w:r w:rsidRPr="00682EC4">
        <w:rPr>
          <w:rFonts w:cs="Arial"/>
          <w:bCs w:val="0"/>
          <w:spacing w:val="25"/>
          <w:szCs w:val="24"/>
          <w:lang w:eastAsia="en-GB"/>
        </w:rPr>
        <w:t xml:space="preserve"> </w:t>
      </w:r>
      <w:r w:rsidRPr="00682EC4">
        <w:rPr>
          <w:rFonts w:cs="Arial"/>
          <w:bCs w:val="0"/>
          <w:spacing w:val="-1"/>
          <w:szCs w:val="24"/>
          <w:lang w:eastAsia="en-GB"/>
        </w:rPr>
        <w:t>embedded</w:t>
      </w:r>
      <w:r w:rsidRPr="00682EC4">
        <w:rPr>
          <w:rFonts w:cs="Arial"/>
          <w:bCs w:val="0"/>
          <w:spacing w:val="58"/>
          <w:w w:val="99"/>
          <w:szCs w:val="24"/>
          <w:lang w:eastAsia="en-GB"/>
        </w:rPr>
        <w:t xml:space="preserve"> </w:t>
      </w:r>
      <w:r w:rsidRPr="00682EC4">
        <w:rPr>
          <w:rFonts w:cs="Arial"/>
          <w:bCs w:val="0"/>
          <w:spacing w:val="-1"/>
          <w:szCs w:val="24"/>
          <w:lang w:eastAsia="en-GB"/>
        </w:rPr>
        <w:t>in</w:t>
      </w:r>
      <w:r w:rsidRPr="00682EC4">
        <w:rPr>
          <w:rFonts w:cs="Arial"/>
          <w:bCs w:val="0"/>
          <w:spacing w:val="43"/>
          <w:szCs w:val="24"/>
          <w:lang w:eastAsia="en-GB"/>
        </w:rPr>
        <w:t xml:space="preserve"> </w:t>
      </w:r>
      <w:r w:rsidRPr="00682EC4">
        <w:rPr>
          <w:rFonts w:cs="Arial"/>
          <w:bCs w:val="0"/>
          <w:spacing w:val="-1"/>
          <w:szCs w:val="24"/>
          <w:lang w:eastAsia="en-GB"/>
        </w:rPr>
        <w:t>the</w:t>
      </w:r>
      <w:r w:rsidRPr="00682EC4">
        <w:rPr>
          <w:rFonts w:cs="Arial"/>
          <w:bCs w:val="0"/>
          <w:spacing w:val="43"/>
          <w:szCs w:val="24"/>
          <w:lang w:eastAsia="en-GB"/>
        </w:rPr>
        <w:t xml:space="preserve"> </w:t>
      </w:r>
      <w:r w:rsidRPr="00682EC4">
        <w:rPr>
          <w:rFonts w:cs="Arial"/>
          <w:bCs w:val="0"/>
          <w:spacing w:val="-1"/>
          <w:szCs w:val="24"/>
          <w:lang w:eastAsia="en-GB"/>
        </w:rPr>
        <w:t>way</w:t>
      </w:r>
      <w:r w:rsidRPr="00682EC4">
        <w:rPr>
          <w:rFonts w:cs="Arial"/>
          <w:bCs w:val="0"/>
          <w:spacing w:val="44"/>
          <w:szCs w:val="24"/>
          <w:lang w:eastAsia="en-GB"/>
        </w:rPr>
        <w:t xml:space="preserve"> </w:t>
      </w:r>
      <w:r w:rsidRPr="00682EC4">
        <w:rPr>
          <w:rFonts w:cs="Arial"/>
          <w:bCs w:val="0"/>
          <w:spacing w:val="-1"/>
          <w:szCs w:val="24"/>
          <w:lang w:eastAsia="en-GB"/>
        </w:rPr>
        <w:t>that</w:t>
      </w:r>
      <w:r w:rsidRPr="00682EC4">
        <w:rPr>
          <w:rFonts w:cs="Arial"/>
          <w:bCs w:val="0"/>
          <w:spacing w:val="43"/>
          <w:szCs w:val="24"/>
          <w:lang w:eastAsia="en-GB"/>
        </w:rPr>
        <w:t xml:space="preserve"> </w:t>
      </w:r>
      <w:r w:rsidRPr="00682EC4">
        <w:rPr>
          <w:rFonts w:cs="Arial"/>
          <w:bCs w:val="0"/>
          <w:szCs w:val="24"/>
          <w:lang w:eastAsia="en-GB"/>
        </w:rPr>
        <w:t>NHS</w:t>
      </w:r>
      <w:r w:rsidRPr="00682EC4">
        <w:rPr>
          <w:rFonts w:cs="Arial"/>
          <w:bCs w:val="0"/>
          <w:spacing w:val="45"/>
          <w:szCs w:val="24"/>
          <w:lang w:eastAsia="en-GB"/>
        </w:rPr>
        <w:t xml:space="preserve"> </w:t>
      </w:r>
      <w:r w:rsidRPr="00682EC4">
        <w:rPr>
          <w:rFonts w:cs="Arial"/>
          <w:bCs w:val="0"/>
          <w:spacing w:val="-1"/>
          <w:szCs w:val="24"/>
          <w:lang w:eastAsia="en-GB"/>
        </w:rPr>
        <w:t>England</w:t>
      </w:r>
      <w:r w:rsidRPr="00682EC4">
        <w:rPr>
          <w:rFonts w:cs="Arial"/>
          <w:bCs w:val="0"/>
          <w:spacing w:val="43"/>
          <w:szCs w:val="24"/>
          <w:lang w:eastAsia="en-GB"/>
        </w:rPr>
        <w:t xml:space="preserve"> </w:t>
      </w:r>
      <w:r w:rsidRPr="00682EC4">
        <w:rPr>
          <w:rFonts w:cs="Arial"/>
          <w:bCs w:val="0"/>
          <w:spacing w:val="-1"/>
          <w:szCs w:val="24"/>
          <w:lang w:eastAsia="en-GB"/>
        </w:rPr>
        <w:t>is</w:t>
      </w:r>
      <w:r w:rsidRPr="00682EC4">
        <w:rPr>
          <w:rFonts w:cs="Arial"/>
          <w:bCs w:val="0"/>
          <w:spacing w:val="44"/>
          <w:szCs w:val="24"/>
          <w:lang w:eastAsia="en-GB"/>
        </w:rPr>
        <w:t xml:space="preserve"> </w:t>
      </w:r>
      <w:r w:rsidRPr="00682EC4">
        <w:rPr>
          <w:rFonts w:cs="Arial"/>
          <w:bCs w:val="0"/>
          <w:spacing w:val="-1"/>
          <w:szCs w:val="24"/>
          <w:lang w:eastAsia="en-GB"/>
        </w:rPr>
        <w:t>constituted</w:t>
      </w:r>
      <w:r w:rsidRPr="00682EC4">
        <w:rPr>
          <w:rFonts w:cs="Arial"/>
          <w:bCs w:val="0"/>
          <w:spacing w:val="45"/>
          <w:szCs w:val="24"/>
          <w:lang w:eastAsia="en-GB"/>
        </w:rPr>
        <w:t xml:space="preserve"> </w:t>
      </w:r>
      <w:r w:rsidRPr="00682EC4">
        <w:rPr>
          <w:rFonts w:cs="Arial"/>
          <w:bCs w:val="0"/>
          <w:spacing w:val="-1"/>
          <w:szCs w:val="24"/>
          <w:lang w:eastAsia="en-GB"/>
        </w:rPr>
        <w:t>and</w:t>
      </w:r>
      <w:r w:rsidRPr="00682EC4">
        <w:rPr>
          <w:rFonts w:cs="Arial"/>
          <w:bCs w:val="0"/>
          <w:spacing w:val="43"/>
          <w:szCs w:val="24"/>
          <w:lang w:eastAsia="en-GB"/>
        </w:rPr>
        <w:t xml:space="preserve"> </w:t>
      </w:r>
      <w:r w:rsidRPr="00682EC4">
        <w:rPr>
          <w:rFonts w:cs="Arial"/>
          <w:bCs w:val="0"/>
          <w:spacing w:val="-1"/>
          <w:szCs w:val="24"/>
          <w:lang w:eastAsia="en-GB"/>
        </w:rPr>
        <w:t>carries</w:t>
      </w:r>
      <w:r w:rsidRPr="00682EC4">
        <w:rPr>
          <w:rFonts w:cs="Arial"/>
          <w:bCs w:val="0"/>
          <w:spacing w:val="45"/>
          <w:szCs w:val="24"/>
          <w:lang w:eastAsia="en-GB"/>
        </w:rPr>
        <w:t xml:space="preserve"> </w:t>
      </w:r>
      <w:r w:rsidRPr="00682EC4">
        <w:rPr>
          <w:rFonts w:cs="Arial"/>
          <w:bCs w:val="0"/>
          <w:spacing w:val="-1"/>
          <w:szCs w:val="24"/>
          <w:lang w:eastAsia="en-GB"/>
        </w:rPr>
        <w:t>out</w:t>
      </w:r>
      <w:r w:rsidRPr="00682EC4">
        <w:rPr>
          <w:rFonts w:cs="Arial"/>
          <w:bCs w:val="0"/>
          <w:spacing w:val="46"/>
          <w:szCs w:val="24"/>
          <w:lang w:eastAsia="en-GB"/>
        </w:rPr>
        <w:t xml:space="preserve"> </w:t>
      </w:r>
      <w:r w:rsidRPr="00682EC4">
        <w:rPr>
          <w:rFonts w:cs="Arial"/>
          <w:bCs w:val="0"/>
          <w:spacing w:val="-1"/>
          <w:szCs w:val="24"/>
          <w:lang w:eastAsia="en-GB"/>
        </w:rPr>
        <w:t>its</w:t>
      </w:r>
      <w:r w:rsidRPr="00682EC4">
        <w:rPr>
          <w:rFonts w:cs="Arial"/>
          <w:bCs w:val="0"/>
          <w:spacing w:val="59"/>
          <w:szCs w:val="24"/>
          <w:lang w:eastAsia="en-GB"/>
        </w:rPr>
        <w:t xml:space="preserve"> </w:t>
      </w:r>
      <w:r w:rsidRPr="00682EC4">
        <w:rPr>
          <w:rFonts w:cs="Arial"/>
          <w:bCs w:val="0"/>
          <w:spacing w:val="-1"/>
          <w:szCs w:val="24"/>
          <w:lang w:eastAsia="en-GB"/>
        </w:rPr>
        <w:t>business</w:t>
      </w:r>
    </w:p>
    <w:p w14:paraId="61CE6D97" w14:textId="366397B0" w:rsidR="00DB7F92" w:rsidRPr="00682EC4" w:rsidRDefault="00DB7F92" w:rsidP="006C3DF5">
      <w:pPr>
        <w:pStyle w:val="ListParagraph"/>
        <w:widowControl w:val="0"/>
        <w:numPr>
          <w:ilvl w:val="0"/>
          <w:numId w:val="77"/>
        </w:numPr>
        <w:tabs>
          <w:tab w:val="left" w:pos="2007"/>
        </w:tabs>
        <w:spacing w:before="120" w:after="120" w:line="360" w:lineRule="auto"/>
        <w:ind w:right="116"/>
        <w:jc w:val="both"/>
        <w:rPr>
          <w:rFonts w:cs="Arial"/>
          <w:bCs w:val="0"/>
          <w:szCs w:val="24"/>
          <w:lang w:eastAsia="en-GB"/>
        </w:rPr>
      </w:pPr>
      <w:r w:rsidRPr="00682EC4">
        <w:rPr>
          <w:rFonts w:cs="Arial"/>
          <w:bCs w:val="0"/>
          <w:spacing w:val="-1"/>
          <w:szCs w:val="24"/>
          <w:lang w:eastAsia="en-GB"/>
        </w:rPr>
        <w:t>Involvement</w:t>
      </w:r>
      <w:r w:rsidRPr="00682EC4">
        <w:rPr>
          <w:rFonts w:cs="Arial"/>
          <w:bCs w:val="0"/>
          <w:spacing w:val="13"/>
          <w:szCs w:val="24"/>
          <w:lang w:eastAsia="en-GB"/>
        </w:rPr>
        <w:t xml:space="preserve"> </w:t>
      </w:r>
      <w:r w:rsidRPr="00682EC4">
        <w:rPr>
          <w:rFonts w:cs="Arial"/>
          <w:bCs w:val="0"/>
          <w:spacing w:val="-1"/>
          <w:szCs w:val="24"/>
          <w:lang w:eastAsia="en-GB"/>
        </w:rPr>
        <w:t>initiatives</w:t>
      </w:r>
      <w:r w:rsidRPr="00682EC4">
        <w:rPr>
          <w:rFonts w:cs="Arial"/>
          <w:bCs w:val="0"/>
          <w:spacing w:val="15"/>
          <w:szCs w:val="24"/>
          <w:lang w:eastAsia="en-GB"/>
        </w:rPr>
        <w:t xml:space="preserve"> </w:t>
      </w:r>
      <w:r w:rsidRPr="00682EC4">
        <w:rPr>
          <w:rFonts w:cs="Arial"/>
          <w:bCs w:val="0"/>
          <w:szCs w:val="24"/>
          <w:lang w:eastAsia="en-GB"/>
        </w:rPr>
        <w:t>–</w:t>
      </w:r>
      <w:r w:rsidRPr="00682EC4">
        <w:rPr>
          <w:rFonts w:cs="Arial"/>
          <w:bCs w:val="0"/>
          <w:spacing w:val="13"/>
          <w:szCs w:val="24"/>
          <w:lang w:eastAsia="en-GB"/>
        </w:rPr>
        <w:t xml:space="preserve"> </w:t>
      </w:r>
      <w:r w:rsidRPr="00682EC4">
        <w:rPr>
          <w:rFonts w:cs="Arial"/>
          <w:bCs w:val="0"/>
          <w:spacing w:val="-1"/>
          <w:szCs w:val="24"/>
          <w:lang w:eastAsia="en-GB"/>
        </w:rPr>
        <w:t>initiatives</w:t>
      </w:r>
      <w:r w:rsidRPr="00682EC4">
        <w:rPr>
          <w:rFonts w:cs="Arial"/>
          <w:bCs w:val="0"/>
          <w:spacing w:val="14"/>
          <w:szCs w:val="24"/>
          <w:lang w:eastAsia="en-GB"/>
        </w:rPr>
        <w:t xml:space="preserve"> </w:t>
      </w:r>
      <w:r w:rsidRPr="00682EC4">
        <w:rPr>
          <w:rFonts w:cs="Arial"/>
          <w:bCs w:val="0"/>
          <w:spacing w:val="-1"/>
          <w:szCs w:val="24"/>
          <w:lang w:eastAsia="en-GB"/>
        </w:rPr>
        <w:t>designed</w:t>
      </w:r>
      <w:r w:rsidRPr="00682EC4">
        <w:rPr>
          <w:rFonts w:cs="Arial"/>
          <w:bCs w:val="0"/>
          <w:spacing w:val="14"/>
          <w:szCs w:val="24"/>
          <w:lang w:eastAsia="en-GB"/>
        </w:rPr>
        <w:t xml:space="preserve"> </w:t>
      </w:r>
      <w:r w:rsidRPr="00682EC4">
        <w:rPr>
          <w:rFonts w:cs="Arial"/>
          <w:bCs w:val="0"/>
          <w:spacing w:val="1"/>
          <w:szCs w:val="24"/>
          <w:lang w:eastAsia="en-GB"/>
        </w:rPr>
        <w:t>to</w:t>
      </w:r>
      <w:r w:rsidRPr="00682EC4">
        <w:rPr>
          <w:rFonts w:cs="Arial"/>
          <w:bCs w:val="0"/>
          <w:spacing w:val="12"/>
          <w:szCs w:val="24"/>
          <w:lang w:eastAsia="en-GB"/>
        </w:rPr>
        <w:t xml:space="preserve"> </w:t>
      </w:r>
      <w:r w:rsidRPr="00682EC4">
        <w:rPr>
          <w:rFonts w:cs="Arial"/>
          <w:bCs w:val="0"/>
          <w:spacing w:val="-1"/>
          <w:szCs w:val="24"/>
          <w:lang w:eastAsia="en-GB"/>
        </w:rPr>
        <w:t>involve</w:t>
      </w:r>
      <w:r w:rsidRPr="00682EC4">
        <w:rPr>
          <w:rFonts w:cs="Arial"/>
          <w:bCs w:val="0"/>
          <w:spacing w:val="14"/>
          <w:szCs w:val="24"/>
          <w:lang w:eastAsia="en-GB"/>
        </w:rPr>
        <w:t xml:space="preserve"> </w:t>
      </w:r>
      <w:r w:rsidRPr="00682EC4">
        <w:rPr>
          <w:rFonts w:cs="Arial"/>
          <w:bCs w:val="0"/>
          <w:spacing w:val="-1"/>
          <w:szCs w:val="24"/>
          <w:lang w:eastAsia="en-GB"/>
        </w:rPr>
        <w:t>the</w:t>
      </w:r>
      <w:r w:rsidRPr="00682EC4">
        <w:rPr>
          <w:rFonts w:cs="Arial"/>
          <w:bCs w:val="0"/>
          <w:spacing w:val="14"/>
          <w:szCs w:val="24"/>
          <w:lang w:eastAsia="en-GB"/>
        </w:rPr>
        <w:t xml:space="preserve"> </w:t>
      </w:r>
      <w:r w:rsidRPr="00682EC4">
        <w:rPr>
          <w:rFonts w:cs="Arial"/>
          <w:bCs w:val="0"/>
          <w:spacing w:val="-1"/>
          <w:szCs w:val="24"/>
          <w:lang w:eastAsia="en-GB"/>
        </w:rPr>
        <w:t>public</w:t>
      </w:r>
      <w:r w:rsidRPr="00682EC4">
        <w:rPr>
          <w:rFonts w:cs="Arial"/>
          <w:bCs w:val="0"/>
          <w:spacing w:val="68"/>
          <w:w w:val="99"/>
          <w:szCs w:val="24"/>
          <w:lang w:eastAsia="en-GB"/>
        </w:rPr>
        <w:t xml:space="preserve"> </w:t>
      </w:r>
      <w:r w:rsidRPr="00682EC4">
        <w:rPr>
          <w:rFonts w:cs="Arial"/>
          <w:bCs w:val="0"/>
          <w:spacing w:val="-1"/>
          <w:szCs w:val="24"/>
          <w:lang w:eastAsia="en-GB"/>
        </w:rPr>
        <w:t>in</w:t>
      </w:r>
      <w:r w:rsidRPr="00682EC4">
        <w:rPr>
          <w:rFonts w:cs="Arial"/>
          <w:bCs w:val="0"/>
          <w:spacing w:val="61"/>
          <w:szCs w:val="24"/>
          <w:lang w:eastAsia="en-GB"/>
        </w:rPr>
        <w:t xml:space="preserve"> </w:t>
      </w:r>
      <w:r w:rsidRPr="00682EC4">
        <w:rPr>
          <w:rFonts w:cs="Arial"/>
          <w:bCs w:val="0"/>
          <w:spacing w:val="-1"/>
          <w:szCs w:val="24"/>
          <w:lang w:eastAsia="en-GB"/>
        </w:rPr>
        <w:t>strategic</w:t>
      </w:r>
      <w:r w:rsidRPr="00682EC4">
        <w:rPr>
          <w:rFonts w:cs="Arial"/>
          <w:bCs w:val="0"/>
          <w:spacing w:val="61"/>
          <w:szCs w:val="24"/>
          <w:lang w:eastAsia="en-GB"/>
        </w:rPr>
        <w:t xml:space="preserve"> </w:t>
      </w:r>
      <w:r w:rsidRPr="00682EC4">
        <w:rPr>
          <w:rFonts w:cs="Arial"/>
          <w:bCs w:val="0"/>
          <w:spacing w:val="-1"/>
          <w:szCs w:val="24"/>
          <w:lang w:eastAsia="en-GB"/>
        </w:rPr>
        <w:t>planning</w:t>
      </w:r>
      <w:r w:rsidRPr="00682EC4">
        <w:rPr>
          <w:rFonts w:cs="Arial"/>
          <w:bCs w:val="0"/>
          <w:spacing w:val="63"/>
          <w:szCs w:val="24"/>
          <w:lang w:eastAsia="en-GB"/>
        </w:rPr>
        <w:t xml:space="preserve"> </w:t>
      </w:r>
      <w:r w:rsidRPr="00682EC4">
        <w:rPr>
          <w:rFonts w:cs="Arial"/>
          <w:bCs w:val="0"/>
          <w:spacing w:val="-1"/>
          <w:szCs w:val="24"/>
          <w:lang w:eastAsia="en-GB"/>
        </w:rPr>
        <w:t>and</w:t>
      </w:r>
      <w:r w:rsidRPr="00682EC4">
        <w:rPr>
          <w:rFonts w:cs="Arial"/>
          <w:bCs w:val="0"/>
          <w:spacing w:val="61"/>
          <w:szCs w:val="24"/>
          <w:lang w:eastAsia="en-GB"/>
        </w:rPr>
        <w:t xml:space="preserve"> </w:t>
      </w:r>
      <w:r w:rsidRPr="00682EC4">
        <w:rPr>
          <w:rFonts w:cs="Arial"/>
          <w:bCs w:val="0"/>
          <w:spacing w:val="-1"/>
          <w:szCs w:val="24"/>
          <w:lang w:eastAsia="en-GB"/>
        </w:rPr>
        <w:t>the</w:t>
      </w:r>
      <w:r w:rsidRPr="00682EC4">
        <w:rPr>
          <w:rFonts w:cs="Arial"/>
          <w:bCs w:val="0"/>
          <w:spacing w:val="61"/>
          <w:szCs w:val="24"/>
          <w:lang w:eastAsia="en-GB"/>
        </w:rPr>
        <w:t xml:space="preserve"> </w:t>
      </w:r>
      <w:r w:rsidR="00D26A9F" w:rsidRPr="00682EC4">
        <w:rPr>
          <w:rFonts w:cs="Arial"/>
          <w:bCs w:val="0"/>
          <w:spacing w:val="-1"/>
          <w:szCs w:val="24"/>
          <w:lang w:eastAsia="en-GB"/>
        </w:rPr>
        <w:t>development</w:t>
      </w:r>
      <w:r w:rsidR="00D26A9F" w:rsidRPr="00682EC4">
        <w:rPr>
          <w:rFonts w:cs="Arial"/>
          <w:bCs w:val="0"/>
          <w:szCs w:val="24"/>
          <w:lang w:eastAsia="en-GB"/>
        </w:rPr>
        <w:t xml:space="preserve"> </w:t>
      </w:r>
      <w:r w:rsidR="00D26A9F" w:rsidRPr="00A553BA">
        <w:t>of</w:t>
      </w:r>
      <w:r w:rsidRPr="00682EC4">
        <w:rPr>
          <w:rFonts w:cs="Arial"/>
          <w:bCs w:val="0"/>
          <w:spacing w:val="61"/>
          <w:szCs w:val="24"/>
          <w:lang w:eastAsia="en-GB"/>
        </w:rPr>
        <w:t xml:space="preserve"> </w:t>
      </w:r>
      <w:r w:rsidRPr="00682EC4">
        <w:rPr>
          <w:rFonts w:cs="Arial"/>
          <w:bCs w:val="0"/>
          <w:spacing w:val="-1"/>
          <w:szCs w:val="24"/>
          <w:lang w:eastAsia="en-GB"/>
        </w:rPr>
        <w:t>policy</w:t>
      </w:r>
      <w:r w:rsidRPr="00682EC4">
        <w:rPr>
          <w:rFonts w:cs="Arial"/>
          <w:bCs w:val="0"/>
          <w:spacing w:val="62"/>
          <w:szCs w:val="24"/>
          <w:lang w:eastAsia="en-GB"/>
        </w:rPr>
        <w:t xml:space="preserve"> </w:t>
      </w:r>
      <w:r w:rsidRPr="00682EC4">
        <w:rPr>
          <w:rFonts w:cs="Arial"/>
          <w:bCs w:val="0"/>
          <w:spacing w:val="-1"/>
          <w:szCs w:val="24"/>
          <w:lang w:eastAsia="en-GB"/>
        </w:rPr>
        <w:t>or</w:t>
      </w:r>
      <w:r w:rsidRPr="00682EC4">
        <w:rPr>
          <w:rFonts w:cs="Arial"/>
          <w:bCs w:val="0"/>
          <w:spacing w:val="61"/>
          <w:szCs w:val="24"/>
          <w:lang w:eastAsia="en-GB"/>
        </w:rPr>
        <w:t xml:space="preserve"> </w:t>
      </w:r>
      <w:r w:rsidRPr="00682EC4">
        <w:rPr>
          <w:rFonts w:cs="Arial"/>
          <w:bCs w:val="0"/>
          <w:spacing w:val="-1"/>
          <w:szCs w:val="24"/>
          <w:lang w:eastAsia="en-GB"/>
        </w:rPr>
        <w:t>other</w:t>
      </w:r>
      <w:r w:rsidRPr="00682EC4">
        <w:rPr>
          <w:rFonts w:cs="Arial"/>
          <w:bCs w:val="0"/>
          <w:spacing w:val="48"/>
          <w:w w:val="99"/>
          <w:szCs w:val="24"/>
          <w:lang w:eastAsia="en-GB"/>
        </w:rPr>
        <w:t xml:space="preserve"> </w:t>
      </w:r>
      <w:r w:rsidRPr="00682EC4">
        <w:rPr>
          <w:rFonts w:cs="Arial"/>
          <w:bCs w:val="0"/>
          <w:spacing w:val="-1"/>
          <w:szCs w:val="24"/>
          <w:lang w:eastAsia="en-GB"/>
        </w:rPr>
        <w:t>aspects</w:t>
      </w:r>
      <w:r w:rsidRPr="00682EC4">
        <w:rPr>
          <w:rFonts w:cs="Arial"/>
          <w:bCs w:val="0"/>
          <w:spacing w:val="-6"/>
          <w:szCs w:val="24"/>
          <w:lang w:eastAsia="en-GB"/>
        </w:rPr>
        <w:t xml:space="preserve"> </w:t>
      </w:r>
      <w:r w:rsidRPr="00682EC4">
        <w:rPr>
          <w:rFonts w:cs="Arial"/>
          <w:bCs w:val="0"/>
          <w:spacing w:val="-1"/>
          <w:szCs w:val="24"/>
          <w:lang w:eastAsia="en-GB"/>
        </w:rPr>
        <w:t>of</w:t>
      </w:r>
      <w:r w:rsidRPr="00682EC4">
        <w:rPr>
          <w:rFonts w:cs="Arial"/>
          <w:bCs w:val="0"/>
          <w:spacing w:val="-5"/>
          <w:szCs w:val="24"/>
          <w:lang w:eastAsia="en-GB"/>
        </w:rPr>
        <w:t xml:space="preserve"> </w:t>
      </w:r>
      <w:r w:rsidRPr="00682EC4">
        <w:rPr>
          <w:rFonts w:cs="Arial"/>
          <w:bCs w:val="0"/>
          <w:spacing w:val="-1"/>
          <w:szCs w:val="24"/>
          <w:lang w:eastAsia="en-GB"/>
        </w:rPr>
        <w:t>NHS</w:t>
      </w:r>
      <w:r w:rsidRPr="00682EC4">
        <w:rPr>
          <w:rFonts w:cs="Arial"/>
          <w:bCs w:val="0"/>
          <w:spacing w:val="-5"/>
          <w:szCs w:val="24"/>
          <w:lang w:eastAsia="en-GB"/>
        </w:rPr>
        <w:t xml:space="preserve"> </w:t>
      </w:r>
      <w:r w:rsidRPr="00682EC4">
        <w:rPr>
          <w:rFonts w:cs="Arial"/>
          <w:bCs w:val="0"/>
          <w:spacing w:val="-1"/>
          <w:szCs w:val="24"/>
          <w:lang w:eastAsia="en-GB"/>
        </w:rPr>
        <w:t>England’s</w:t>
      </w:r>
      <w:r w:rsidRPr="00682EC4">
        <w:rPr>
          <w:rFonts w:cs="Arial"/>
          <w:bCs w:val="0"/>
          <w:spacing w:val="-6"/>
          <w:szCs w:val="24"/>
          <w:lang w:eastAsia="en-GB"/>
        </w:rPr>
        <w:t xml:space="preserve"> </w:t>
      </w:r>
      <w:r w:rsidRPr="00682EC4">
        <w:rPr>
          <w:rFonts w:cs="Arial"/>
          <w:bCs w:val="0"/>
          <w:spacing w:val="-1"/>
          <w:szCs w:val="24"/>
          <w:lang w:eastAsia="en-GB"/>
        </w:rPr>
        <w:t>activities</w:t>
      </w:r>
    </w:p>
    <w:p w14:paraId="474F15F1" w14:textId="77777777" w:rsidR="00DB7F92" w:rsidRPr="00682EC4" w:rsidRDefault="00DB7F92" w:rsidP="006C3DF5">
      <w:pPr>
        <w:pStyle w:val="ListParagraph"/>
        <w:widowControl w:val="0"/>
        <w:numPr>
          <w:ilvl w:val="0"/>
          <w:numId w:val="77"/>
        </w:numPr>
        <w:tabs>
          <w:tab w:val="left" w:pos="2007"/>
        </w:tabs>
        <w:spacing w:before="120" w:after="120" w:line="360" w:lineRule="auto"/>
        <w:ind w:right="117"/>
        <w:jc w:val="both"/>
        <w:rPr>
          <w:rFonts w:cs="Arial"/>
          <w:bCs w:val="0"/>
          <w:szCs w:val="24"/>
          <w:lang w:eastAsia="en-GB"/>
        </w:rPr>
      </w:pPr>
      <w:r w:rsidRPr="00682EC4">
        <w:rPr>
          <w:rFonts w:cs="Arial"/>
          <w:bCs w:val="0"/>
          <w:spacing w:val="-1"/>
          <w:szCs w:val="24"/>
          <w:lang w:eastAsia="en-GB"/>
        </w:rPr>
        <w:t>Monitoring</w:t>
      </w:r>
      <w:r w:rsidRPr="00682EC4">
        <w:rPr>
          <w:rFonts w:cs="Arial"/>
          <w:bCs w:val="0"/>
          <w:spacing w:val="37"/>
          <w:szCs w:val="24"/>
          <w:lang w:eastAsia="en-GB"/>
        </w:rPr>
        <w:t xml:space="preserve"> </w:t>
      </w:r>
      <w:r w:rsidRPr="00682EC4">
        <w:rPr>
          <w:rFonts w:cs="Arial"/>
          <w:bCs w:val="0"/>
          <w:szCs w:val="24"/>
          <w:lang w:eastAsia="en-GB"/>
        </w:rPr>
        <w:t>arrangements</w:t>
      </w:r>
      <w:r w:rsidRPr="00682EC4">
        <w:rPr>
          <w:rFonts w:cs="Arial"/>
          <w:bCs w:val="0"/>
          <w:spacing w:val="39"/>
          <w:szCs w:val="24"/>
          <w:lang w:eastAsia="en-GB"/>
        </w:rPr>
        <w:t xml:space="preserve"> </w:t>
      </w:r>
      <w:r w:rsidRPr="00682EC4">
        <w:rPr>
          <w:rFonts w:cs="Arial"/>
          <w:bCs w:val="0"/>
          <w:szCs w:val="24"/>
          <w:lang w:eastAsia="en-GB"/>
        </w:rPr>
        <w:t>–</w:t>
      </w:r>
      <w:r w:rsidRPr="00682EC4">
        <w:rPr>
          <w:rFonts w:cs="Arial"/>
          <w:bCs w:val="0"/>
          <w:spacing w:val="39"/>
          <w:szCs w:val="24"/>
          <w:lang w:eastAsia="en-GB"/>
        </w:rPr>
        <w:t xml:space="preserve"> </w:t>
      </w:r>
      <w:r w:rsidRPr="00682EC4">
        <w:rPr>
          <w:rFonts w:cs="Arial"/>
          <w:bCs w:val="0"/>
          <w:szCs w:val="24"/>
          <w:lang w:eastAsia="en-GB"/>
        </w:rPr>
        <w:t>a</w:t>
      </w:r>
      <w:r w:rsidRPr="00682EC4">
        <w:rPr>
          <w:rFonts w:cs="Arial"/>
          <w:bCs w:val="0"/>
          <w:spacing w:val="38"/>
          <w:szCs w:val="24"/>
          <w:lang w:eastAsia="en-GB"/>
        </w:rPr>
        <w:t xml:space="preserve"> </w:t>
      </w:r>
      <w:r w:rsidRPr="00682EC4">
        <w:rPr>
          <w:rFonts w:cs="Arial"/>
          <w:bCs w:val="0"/>
          <w:spacing w:val="-1"/>
          <w:szCs w:val="24"/>
          <w:lang w:eastAsia="en-GB"/>
        </w:rPr>
        <w:t>step-by-step</w:t>
      </w:r>
      <w:r w:rsidRPr="00682EC4">
        <w:rPr>
          <w:rFonts w:cs="Arial"/>
          <w:bCs w:val="0"/>
          <w:spacing w:val="38"/>
          <w:szCs w:val="24"/>
          <w:lang w:eastAsia="en-GB"/>
        </w:rPr>
        <w:t xml:space="preserve"> </w:t>
      </w:r>
      <w:r w:rsidRPr="00682EC4">
        <w:rPr>
          <w:rFonts w:cs="Arial"/>
          <w:bCs w:val="0"/>
          <w:spacing w:val="-1"/>
          <w:szCs w:val="24"/>
          <w:lang w:eastAsia="en-GB"/>
        </w:rPr>
        <w:t>process</w:t>
      </w:r>
      <w:r w:rsidRPr="00682EC4">
        <w:rPr>
          <w:rFonts w:cs="Arial"/>
          <w:bCs w:val="0"/>
          <w:spacing w:val="39"/>
          <w:szCs w:val="24"/>
          <w:lang w:eastAsia="en-GB"/>
        </w:rPr>
        <w:t xml:space="preserve"> </w:t>
      </w:r>
      <w:r w:rsidRPr="00682EC4">
        <w:rPr>
          <w:rFonts w:cs="Arial"/>
          <w:bCs w:val="0"/>
          <w:szCs w:val="24"/>
          <w:lang w:eastAsia="en-GB"/>
        </w:rPr>
        <w:t>to</w:t>
      </w:r>
      <w:r w:rsidRPr="00682EC4">
        <w:rPr>
          <w:rFonts w:cs="Arial"/>
          <w:bCs w:val="0"/>
          <w:spacing w:val="39"/>
          <w:szCs w:val="24"/>
          <w:lang w:eastAsia="en-GB"/>
        </w:rPr>
        <w:t xml:space="preserve"> </w:t>
      </w:r>
      <w:r w:rsidRPr="00682EC4">
        <w:rPr>
          <w:rFonts w:cs="Arial"/>
          <w:bCs w:val="0"/>
          <w:spacing w:val="-1"/>
          <w:szCs w:val="24"/>
          <w:lang w:eastAsia="en-GB"/>
        </w:rPr>
        <w:t>help</w:t>
      </w:r>
      <w:r w:rsidRPr="00682EC4">
        <w:rPr>
          <w:rFonts w:cs="Arial"/>
          <w:bCs w:val="0"/>
          <w:spacing w:val="38"/>
          <w:w w:val="99"/>
          <w:szCs w:val="24"/>
          <w:lang w:eastAsia="en-GB"/>
        </w:rPr>
        <w:t xml:space="preserve"> </w:t>
      </w:r>
      <w:r w:rsidRPr="00682EC4">
        <w:rPr>
          <w:rFonts w:cs="Arial"/>
          <w:bCs w:val="0"/>
          <w:spacing w:val="-1"/>
          <w:szCs w:val="24"/>
          <w:lang w:eastAsia="en-GB"/>
        </w:rPr>
        <w:t>commissioners</w:t>
      </w:r>
      <w:r w:rsidRPr="00682EC4">
        <w:rPr>
          <w:rFonts w:cs="Arial"/>
          <w:bCs w:val="0"/>
          <w:spacing w:val="22"/>
          <w:szCs w:val="24"/>
          <w:lang w:eastAsia="en-GB"/>
        </w:rPr>
        <w:t xml:space="preserve"> </w:t>
      </w:r>
      <w:r w:rsidRPr="00682EC4">
        <w:rPr>
          <w:rFonts w:cs="Arial"/>
          <w:bCs w:val="0"/>
          <w:spacing w:val="-1"/>
          <w:szCs w:val="24"/>
          <w:lang w:eastAsia="en-GB"/>
        </w:rPr>
        <w:t>identify</w:t>
      </w:r>
      <w:r w:rsidRPr="00682EC4">
        <w:rPr>
          <w:rFonts w:cs="Arial"/>
          <w:bCs w:val="0"/>
          <w:spacing w:val="24"/>
          <w:szCs w:val="24"/>
          <w:lang w:eastAsia="en-GB"/>
        </w:rPr>
        <w:t xml:space="preserve"> </w:t>
      </w:r>
      <w:r w:rsidRPr="00682EC4">
        <w:rPr>
          <w:rFonts w:cs="Arial"/>
          <w:bCs w:val="0"/>
          <w:spacing w:val="-1"/>
          <w:szCs w:val="24"/>
          <w:lang w:eastAsia="en-GB"/>
        </w:rPr>
        <w:t>whether</w:t>
      </w:r>
      <w:r w:rsidRPr="00682EC4">
        <w:rPr>
          <w:rFonts w:cs="Arial"/>
          <w:bCs w:val="0"/>
          <w:spacing w:val="23"/>
          <w:szCs w:val="24"/>
          <w:lang w:eastAsia="en-GB"/>
        </w:rPr>
        <w:t xml:space="preserve"> </w:t>
      </w:r>
      <w:r w:rsidRPr="00682EC4">
        <w:rPr>
          <w:rFonts w:cs="Arial"/>
          <w:bCs w:val="0"/>
          <w:spacing w:val="-1"/>
          <w:szCs w:val="24"/>
          <w:lang w:eastAsia="en-GB"/>
        </w:rPr>
        <w:t>the</w:t>
      </w:r>
      <w:r w:rsidRPr="00682EC4">
        <w:rPr>
          <w:rFonts w:cs="Arial"/>
          <w:bCs w:val="0"/>
          <w:spacing w:val="21"/>
          <w:szCs w:val="24"/>
          <w:lang w:eastAsia="en-GB"/>
        </w:rPr>
        <w:t xml:space="preserve"> </w:t>
      </w:r>
      <w:r w:rsidRPr="00682EC4">
        <w:rPr>
          <w:rFonts w:cs="Arial"/>
          <w:bCs w:val="0"/>
          <w:spacing w:val="-1"/>
          <w:szCs w:val="24"/>
          <w:lang w:eastAsia="en-GB"/>
        </w:rPr>
        <w:t>section</w:t>
      </w:r>
      <w:r w:rsidRPr="00682EC4">
        <w:rPr>
          <w:rFonts w:cs="Arial"/>
          <w:bCs w:val="0"/>
          <w:spacing w:val="24"/>
          <w:szCs w:val="24"/>
          <w:lang w:eastAsia="en-GB"/>
        </w:rPr>
        <w:t xml:space="preserve"> </w:t>
      </w:r>
      <w:r w:rsidRPr="00682EC4">
        <w:rPr>
          <w:rFonts w:cs="Arial"/>
          <w:bCs w:val="0"/>
          <w:szCs w:val="24"/>
          <w:lang w:eastAsia="en-GB"/>
        </w:rPr>
        <w:t>13Q</w:t>
      </w:r>
      <w:r w:rsidRPr="00682EC4">
        <w:rPr>
          <w:rFonts w:cs="Arial"/>
          <w:bCs w:val="0"/>
          <w:spacing w:val="23"/>
          <w:szCs w:val="24"/>
          <w:lang w:eastAsia="en-GB"/>
        </w:rPr>
        <w:t xml:space="preserve"> </w:t>
      </w:r>
      <w:r w:rsidRPr="00682EC4">
        <w:rPr>
          <w:rFonts w:cs="Arial"/>
          <w:bCs w:val="0"/>
          <w:spacing w:val="-1"/>
          <w:szCs w:val="24"/>
          <w:lang w:eastAsia="en-GB"/>
        </w:rPr>
        <w:t>applies</w:t>
      </w:r>
      <w:r w:rsidRPr="00682EC4">
        <w:rPr>
          <w:rFonts w:cs="Arial"/>
          <w:bCs w:val="0"/>
          <w:spacing w:val="22"/>
          <w:szCs w:val="24"/>
          <w:lang w:eastAsia="en-GB"/>
        </w:rPr>
        <w:t xml:space="preserve"> </w:t>
      </w:r>
      <w:r w:rsidRPr="00682EC4">
        <w:rPr>
          <w:rFonts w:cs="Arial"/>
          <w:bCs w:val="0"/>
          <w:spacing w:val="-1"/>
          <w:szCs w:val="24"/>
          <w:lang w:eastAsia="en-GB"/>
        </w:rPr>
        <w:t>and</w:t>
      </w:r>
      <w:r w:rsidRPr="00682EC4">
        <w:rPr>
          <w:rFonts w:cs="Arial"/>
          <w:bCs w:val="0"/>
          <w:spacing w:val="40"/>
          <w:szCs w:val="24"/>
          <w:lang w:eastAsia="en-GB"/>
        </w:rPr>
        <w:t xml:space="preserve"> </w:t>
      </w:r>
      <w:r w:rsidRPr="00682EC4">
        <w:rPr>
          <w:rFonts w:cs="Arial"/>
          <w:bCs w:val="0"/>
          <w:spacing w:val="-1"/>
          <w:szCs w:val="24"/>
          <w:lang w:eastAsia="en-GB"/>
        </w:rPr>
        <w:t>decide</w:t>
      </w:r>
      <w:r w:rsidRPr="00682EC4">
        <w:rPr>
          <w:rFonts w:cs="Arial"/>
          <w:bCs w:val="0"/>
          <w:spacing w:val="13"/>
          <w:szCs w:val="24"/>
          <w:lang w:eastAsia="en-GB"/>
        </w:rPr>
        <w:t xml:space="preserve"> </w:t>
      </w:r>
      <w:r w:rsidRPr="00682EC4">
        <w:rPr>
          <w:rFonts w:cs="Arial"/>
          <w:bCs w:val="0"/>
          <w:spacing w:val="-1"/>
          <w:szCs w:val="24"/>
          <w:lang w:eastAsia="en-GB"/>
        </w:rPr>
        <w:t>whether</w:t>
      </w:r>
      <w:r w:rsidRPr="00682EC4">
        <w:rPr>
          <w:rFonts w:cs="Arial"/>
          <w:bCs w:val="0"/>
          <w:spacing w:val="15"/>
          <w:szCs w:val="24"/>
          <w:lang w:eastAsia="en-GB"/>
        </w:rPr>
        <w:t xml:space="preserve"> </w:t>
      </w:r>
      <w:r w:rsidRPr="00682EC4">
        <w:rPr>
          <w:rFonts w:cs="Arial"/>
          <w:bCs w:val="0"/>
          <w:spacing w:val="-1"/>
          <w:szCs w:val="24"/>
          <w:lang w:eastAsia="en-GB"/>
        </w:rPr>
        <w:t>sufficient</w:t>
      </w:r>
      <w:r w:rsidRPr="00682EC4">
        <w:rPr>
          <w:rFonts w:cs="Arial"/>
          <w:bCs w:val="0"/>
          <w:spacing w:val="16"/>
          <w:szCs w:val="24"/>
          <w:lang w:eastAsia="en-GB"/>
        </w:rPr>
        <w:t xml:space="preserve"> </w:t>
      </w:r>
      <w:r w:rsidRPr="00682EC4">
        <w:rPr>
          <w:rFonts w:cs="Arial"/>
          <w:bCs w:val="0"/>
          <w:spacing w:val="-1"/>
          <w:szCs w:val="24"/>
          <w:lang w:eastAsia="en-GB"/>
        </w:rPr>
        <w:t>public</w:t>
      </w:r>
      <w:r w:rsidRPr="00682EC4">
        <w:rPr>
          <w:rFonts w:cs="Arial"/>
          <w:bCs w:val="0"/>
          <w:spacing w:val="15"/>
          <w:szCs w:val="24"/>
          <w:lang w:eastAsia="en-GB"/>
        </w:rPr>
        <w:t xml:space="preserve"> </w:t>
      </w:r>
      <w:r w:rsidRPr="00682EC4">
        <w:rPr>
          <w:rFonts w:cs="Arial"/>
          <w:bCs w:val="0"/>
          <w:spacing w:val="-1"/>
          <w:szCs w:val="24"/>
          <w:lang w:eastAsia="en-GB"/>
        </w:rPr>
        <w:t>involvement</w:t>
      </w:r>
      <w:r w:rsidRPr="00682EC4">
        <w:rPr>
          <w:rFonts w:cs="Arial"/>
          <w:bCs w:val="0"/>
          <w:spacing w:val="15"/>
          <w:szCs w:val="24"/>
          <w:lang w:eastAsia="en-GB"/>
        </w:rPr>
        <w:t xml:space="preserve"> </w:t>
      </w:r>
      <w:r w:rsidRPr="00682EC4">
        <w:rPr>
          <w:rFonts w:cs="Arial"/>
          <w:bCs w:val="0"/>
          <w:spacing w:val="-1"/>
          <w:szCs w:val="24"/>
          <w:lang w:eastAsia="en-GB"/>
        </w:rPr>
        <w:t>activity</w:t>
      </w:r>
      <w:r w:rsidRPr="00682EC4">
        <w:rPr>
          <w:rFonts w:cs="Arial"/>
          <w:bCs w:val="0"/>
          <w:spacing w:val="16"/>
          <w:szCs w:val="24"/>
          <w:lang w:eastAsia="en-GB"/>
        </w:rPr>
        <w:t xml:space="preserve"> </w:t>
      </w:r>
      <w:r w:rsidRPr="00682EC4">
        <w:rPr>
          <w:rFonts w:cs="Arial"/>
          <w:bCs w:val="0"/>
          <w:spacing w:val="-1"/>
          <w:szCs w:val="24"/>
          <w:lang w:eastAsia="en-GB"/>
        </w:rPr>
        <w:t>is</w:t>
      </w:r>
      <w:r w:rsidRPr="00682EC4">
        <w:rPr>
          <w:rFonts w:cs="Arial"/>
          <w:bCs w:val="0"/>
          <w:spacing w:val="16"/>
          <w:szCs w:val="24"/>
          <w:lang w:eastAsia="en-GB"/>
        </w:rPr>
        <w:t xml:space="preserve"> </w:t>
      </w:r>
      <w:r w:rsidRPr="00682EC4">
        <w:rPr>
          <w:rFonts w:cs="Arial"/>
          <w:bCs w:val="0"/>
          <w:spacing w:val="-1"/>
          <w:szCs w:val="24"/>
          <w:lang w:eastAsia="en-GB"/>
        </w:rPr>
        <w:t>already</w:t>
      </w:r>
      <w:r w:rsidRPr="00682EC4">
        <w:rPr>
          <w:rFonts w:cs="Arial"/>
          <w:bCs w:val="0"/>
          <w:spacing w:val="16"/>
          <w:szCs w:val="24"/>
          <w:lang w:eastAsia="en-GB"/>
        </w:rPr>
        <w:t xml:space="preserve"> </w:t>
      </w:r>
      <w:r w:rsidRPr="00682EC4">
        <w:rPr>
          <w:rFonts w:cs="Arial"/>
          <w:bCs w:val="0"/>
          <w:spacing w:val="-1"/>
          <w:szCs w:val="24"/>
          <w:lang w:eastAsia="en-GB"/>
        </w:rPr>
        <w:t>in</w:t>
      </w:r>
      <w:r w:rsidRPr="00682EC4">
        <w:rPr>
          <w:rFonts w:cs="Arial"/>
          <w:bCs w:val="0"/>
          <w:spacing w:val="56"/>
          <w:w w:val="99"/>
          <w:szCs w:val="24"/>
          <w:lang w:eastAsia="en-GB"/>
        </w:rPr>
        <w:t xml:space="preserve"> </w:t>
      </w:r>
      <w:r w:rsidRPr="00682EC4">
        <w:rPr>
          <w:rFonts w:cs="Arial"/>
          <w:bCs w:val="0"/>
          <w:spacing w:val="-1"/>
          <w:szCs w:val="24"/>
          <w:lang w:eastAsia="en-GB"/>
        </w:rPr>
        <w:t>place</w:t>
      </w:r>
      <w:r w:rsidRPr="00682EC4">
        <w:rPr>
          <w:rFonts w:cs="Arial"/>
          <w:bCs w:val="0"/>
          <w:spacing w:val="-7"/>
          <w:szCs w:val="24"/>
          <w:lang w:eastAsia="en-GB"/>
        </w:rPr>
        <w:t xml:space="preserve"> </w:t>
      </w:r>
      <w:r w:rsidRPr="00682EC4">
        <w:rPr>
          <w:rFonts w:cs="Arial"/>
          <w:bCs w:val="0"/>
          <w:spacing w:val="-1"/>
          <w:szCs w:val="24"/>
          <w:lang w:eastAsia="en-GB"/>
        </w:rPr>
        <w:t>or</w:t>
      </w:r>
      <w:r w:rsidRPr="00682EC4">
        <w:rPr>
          <w:rFonts w:cs="Arial"/>
          <w:bCs w:val="0"/>
          <w:spacing w:val="-7"/>
          <w:szCs w:val="24"/>
          <w:lang w:eastAsia="en-GB"/>
        </w:rPr>
        <w:t xml:space="preserve"> </w:t>
      </w:r>
      <w:r w:rsidRPr="00682EC4">
        <w:rPr>
          <w:rFonts w:cs="Arial"/>
          <w:bCs w:val="0"/>
          <w:spacing w:val="-1"/>
          <w:szCs w:val="24"/>
          <w:lang w:eastAsia="en-GB"/>
        </w:rPr>
        <w:t>whether</w:t>
      </w:r>
      <w:r w:rsidRPr="00682EC4">
        <w:rPr>
          <w:rFonts w:cs="Arial"/>
          <w:bCs w:val="0"/>
          <w:spacing w:val="-7"/>
          <w:szCs w:val="24"/>
          <w:lang w:eastAsia="en-GB"/>
        </w:rPr>
        <w:t xml:space="preserve"> </w:t>
      </w:r>
      <w:r w:rsidRPr="00682EC4">
        <w:rPr>
          <w:rFonts w:cs="Arial"/>
          <w:bCs w:val="0"/>
          <w:spacing w:val="-1"/>
          <w:szCs w:val="24"/>
          <w:lang w:eastAsia="en-GB"/>
        </w:rPr>
        <w:t>additional</w:t>
      </w:r>
      <w:r w:rsidRPr="00682EC4">
        <w:rPr>
          <w:rFonts w:cs="Arial"/>
          <w:bCs w:val="0"/>
          <w:spacing w:val="-6"/>
          <w:szCs w:val="24"/>
          <w:lang w:eastAsia="en-GB"/>
        </w:rPr>
        <w:t xml:space="preserve"> </w:t>
      </w:r>
      <w:r w:rsidRPr="00682EC4">
        <w:rPr>
          <w:rFonts w:cs="Arial"/>
          <w:bCs w:val="0"/>
          <w:spacing w:val="-1"/>
          <w:szCs w:val="24"/>
          <w:lang w:eastAsia="en-GB"/>
        </w:rPr>
        <w:t>public</w:t>
      </w:r>
      <w:r w:rsidRPr="00682EC4">
        <w:rPr>
          <w:rFonts w:cs="Arial"/>
          <w:bCs w:val="0"/>
          <w:spacing w:val="-6"/>
          <w:szCs w:val="24"/>
          <w:lang w:eastAsia="en-GB"/>
        </w:rPr>
        <w:t xml:space="preserve"> </w:t>
      </w:r>
      <w:r w:rsidRPr="00682EC4">
        <w:rPr>
          <w:rFonts w:cs="Arial"/>
          <w:bCs w:val="0"/>
          <w:spacing w:val="-1"/>
          <w:szCs w:val="24"/>
          <w:lang w:eastAsia="en-GB"/>
        </w:rPr>
        <w:t>involvement</w:t>
      </w:r>
      <w:r w:rsidRPr="00682EC4">
        <w:rPr>
          <w:rFonts w:cs="Arial"/>
          <w:bCs w:val="0"/>
          <w:spacing w:val="-7"/>
          <w:szCs w:val="24"/>
          <w:lang w:eastAsia="en-GB"/>
        </w:rPr>
        <w:t xml:space="preserve"> </w:t>
      </w:r>
      <w:r w:rsidRPr="00682EC4">
        <w:rPr>
          <w:rFonts w:cs="Arial"/>
          <w:bCs w:val="0"/>
          <w:spacing w:val="-1"/>
          <w:szCs w:val="24"/>
          <w:lang w:eastAsia="en-GB"/>
        </w:rPr>
        <w:t>is</w:t>
      </w:r>
      <w:r w:rsidRPr="00682EC4">
        <w:rPr>
          <w:rFonts w:cs="Arial"/>
          <w:bCs w:val="0"/>
          <w:spacing w:val="-8"/>
          <w:szCs w:val="24"/>
          <w:lang w:eastAsia="en-GB"/>
        </w:rPr>
        <w:t xml:space="preserve"> </w:t>
      </w:r>
      <w:r w:rsidRPr="00682EC4">
        <w:rPr>
          <w:rFonts w:cs="Arial"/>
          <w:bCs w:val="0"/>
          <w:spacing w:val="-1"/>
          <w:szCs w:val="24"/>
          <w:lang w:eastAsia="en-GB"/>
        </w:rPr>
        <w:t>required</w:t>
      </w:r>
    </w:p>
    <w:p w14:paraId="4009A175" w14:textId="77777777" w:rsidR="00DB7F92" w:rsidRPr="00682EC4" w:rsidRDefault="00DB7F92" w:rsidP="006C3DF5">
      <w:pPr>
        <w:pStyle w:val="ListParagraph"/>
        <w:widowControl w:val="0"/>
        <w:numPr>
          <w:ilvl w:val="0"/>
          <w:numId w:val="77"/>
        </w:numPr>
        <w:tabs>
          <w:tab w:val="left" w:pos="2007"/>
        </w:tabs>
        <w:spacing w:before="120" w:after="120" w:line="360" w:lineRule="auto"/>
        <w:ind w:right="116"/>
        <w:jc w:val="both"/>
        <w:rPr>
          <w:rFonts w:cs="Arial"/>
          <w:bCs w:val="0"/>
          <w:szCs w:val="24"/>
          <w:lang w:eastAsia="en-GB"/>
        </w:rPr>
      </w:pPr>
      <w:r w:rsidRPr="00682EC4">
        <w:rPr>
          <w:rFonts w:cs="Arial"/>
          <w:bCs w:val="0"/>
          <w:spacing w:val="-1"/>
          <w:szCs w:val="24"/>
          <w:lang w:eastAsia="en-GB"/>
        </w:rPr>
        <w:t>Responsive</w:t>
      </w:r>
      <w:r w:rsidRPr="00682EC4">
        <w:rPr>
          <w:rFonts w:cs="Arial"/>
          <w:bCs w:val="0"/>
          <w:spacing w:val="29"/>
          <w:szCs w:val="24"/>
          <w:lang w:eastAsia="en-GB"/>
        </w:rPr>
        <w:t xml:space="preserve"> </w:t>
      </w:r>
      <w:r w:rsidRPr="00682EC4">
        <w:rPr>
          <w:rFonts w:cs="Arial"/>
          <w:bCs w:val="0"/>
          <w:spacing w:val="-1"/>
          <w:szCs w:val="24"/>
          <w:lang w:eastAsia="en-GB"/>
        </w:rPr>
        <w:t>arrangements</w:t>
      </w:r>
      <w:r w:rsidRPr="00682EC4">
        <w:rPr>
          <w:rFonts w:cs="Arial"/>
          <w:bCs w:val="0"/>
          <w:spacing w:val="32"/>
          <w:szCs w:val="24"/>
          <w:lang w:eastAsia="en-GB"/>
        </w:rPr>
        <w:t xml:space="preserve"> </w:t>
      </w:r>
      <w:r w:rsidRPr="00682EC4">
        <w:rPr>
          <w:rFonts w:cs="Arial"/>
          <w:bCs w:val="0"/>
          <w:szCs w:val="24"/>
          <w:lang w:eastAsia="en-GB"/>
        </w:rPr>
        <w:t>–</w:t>
      </w:r>
      <w:r w:rsidRPr="00682EC4">
        <w:rPr>
          <w:rFonts w:cs="Arial"/>
          <w:bCs w:val="0"/>
          <w:spacing w:val="30"/>
          <w:szCs w:val="24"/>
          <w:lang w:eastAsia="en-GB"/>
        </w:rPr>
        <w:t xml:space="preserve"> </w:t>
      </w:r>
      <w:r w:rsidRPr="00682EC4">
        <w:rPr>
          <w:rFonts w:cs="Arial"/>
          <w:bCs w:val="0"/>
          <w:spacing w:val="-1"/>
          <w:szCs w:val="24"/>
          <w:lang w:eastAsia="en-GB"/>
        </w:rPr>
        <w:t>guidance</w:t>
      </w:r>
      <w:r w:rsidRPr="00682EC4">
        <w:rPr>
          <w:rFonts w:cs="Arial"/>
          <w:bCs w:val="0"/>
          <w:spacing w:val="30"/>
          <w:szCs w:val="24"/>
          <w:lang w:eastAsia="en-GB"/>
        </w:rPr>
        <w:t xml:space="preserve"> </w:t>
      </w:r>
      <w:r w:rsidRPr="00682EC4">
        <w:rPr>
          <w:rFonts w:cs="Arial"/>
          <w:bCs w:val="0"/>
          <w:spacing w:val="1"/>
          <w:szCs w:val="24"/>
          <w:lang w:eastAsia="en-GB"/>
        </w:rPr>
        <w:t>to</w:t>
      </w:r>
      <w:r w:rsidRPr="00682EC4">
        <w:rPr>
          <w:rFonts w:cs="Arial"/>
          <w:bCs w:val="0"/>
          <w:spacing w:val="30"/>
          <w:szCs w:val="24"/>
          <w:lang w:eastAsia="en-GB"/>
        </w:rPr>
        <w:t xml:space="preserve"> </w:t>
      </w:r>
      <w:r w:rsidRPr="00682EC4">
        <w:rPr>
          <w:rFonts w:cs="Arial"/>
          <w:bCs w:val="0"/>
          <w:spacing w:val="-1"/>
          <w:szCs w:val="24"/>
          <w:lang w:eastAsia="en-GB"/>
        </w:rPr>
        <w:t>commissioners</w:t>
      </w:r>
      <w:r w:rsidRPr="00682EC4">
        <w:rPr>
          <w:rFonts w:cs="Arial"/>
          <w:bCs w:val="0"/>
          <w:spacing w:val="31"/>
          <w:szCs w:val="24"/>
          <w:lang w:eastAsia="en-GB"/>
        </w:rPr>
        <w:t xml:space="preserve"> </w:t>
      </w:r>
      <w:r w:rsidRPr="00682EC4">
        <w:rPr>
          <w:rFonts w:cs="Arial"/>
          <w:bCs w:val="0"/>
          <w:spacing w:val="-1"/>
          <w:szCs w:val="24"/>
          <w:lang w:eastAsia="en-GB"/>
        </w:rPr>
        <w:t>on</w:t>
      </w:r>
      <w:r w:rsidRPr="00682EC4">
        <w:rPr>
          <w:rFonts w:cs="Arial"/>
          <w:bCs w:val="0"/>
          <w:spacing w:val="31"/>
          <w:szCs w:val="24"/>
          <w:lang w:eastAsia="en-GB"/>
        </w:rPr>
        <w:t xml:space="preserve"> </w:t>
      </w:r>
      <w:r w:rsidRPr="00682EC4">
        <w:rPr>
          <w:rFonts w:cs="Arial"/>
          <w:bCs w:val="0"/>
          <w:szCs w:val="24"/>
          <w:lang w:eastAsia="en-GB"/>
        </w:rPr>
        <w:t>how</w:t>
      </w:r>
      <w:r w:rsidRPr="00682EC4">
        <w:rPr>
          <w:rFonts w:cs="Arial"/>
          <w:bCs w:val="0"/>
          <w:spacing w:val="57"/>
          <w:w w:val="99"/>
          <w:szCs w:val="24"/>
          <w:lang w:eastAsia="en-GB"/>
        </w:rPr>
        <w:t xml:space="preserve"> </w:t>
      </w:r>
      <w:r w:rsidRPr="00682EC4">
        <w:rPr>
          <w:rFonts w:cs="Arial"/>
          <w:bCs w:val="0"/>
          <w:szCs w:val="24"/>
          <w:lang w:eastAsia="en-GB"/>
        </w:rPr>
        <w:t>to</w:t>
      </w:r>
      <w:r w:rsidRPr="00682EC4">
        <w:rPr>
          <w:rFonts w:cs="Arial"/>
          <w:bCs w:val="0"/>
          <w:spacing w:val="22"/>
          <w:szCs w:val="24"/>
          <w:lang w:eastAsia="en-GB"/>
        </w:rPr>
        <w:t xml:space="preserve"> </w:t>
      </w:r>
      <w:r w:rsidRPr="00682EC4">
        <w:rPr>
          <w:rFonts w:cs="Arial"/>
          <w:bCs w:val="0"/>
          <w:spacing w:val="-1"/>
          <w:szCs w:val="24"/>
          <w:lang w:eastAsia="en-GB"/>
        </w:rPr>
        <w:t>make</w:t>
      </w:r>
      <w:r w:rsidRPr="00682EC4">
        <w:rPr>
          <w:rFonts w:cs="Arial"/>
          <w:bCs w:val="0"/>
          <w:spacing w:val="21"/>
          <w:szCs w:val="24"/>
          <w:lang w:eastAsia="en-GB"/>
        </w:rPr>
        <w:t xml:space="preserve"> </w:t>
      </w:r>
      <w:r w:rsidRPr="00682EC4">
        <w:rPr>
          <w:rFonts w:cs="Arial"/>
          <w:bCs w:val="0"/>
          <w:spacing w:val="-1"/>
          <w:szCs w:val="24"/>
          <w:lang w:eastAsia="en-GB"/>
        </w:rPr>
        <w:t>arrangements</w:t>
      </w:r>
      <w:r w:rsidRPr="00682EC4">
        <w:rPr>
          <w:rFonts w:cs="Arial"/>
          <w:bCs w:val="0"/>
          <w:spacing w:val="23"/>
          <w:szCs w:val="24"/>
          <w:lang w:eastAsia="en-GB"/>
        </w:rPr>
        <w:t xml:space="preserve"> </w:t>
      </w:r>
      <w:r w:rsidRPr="00682EC4">
        <w:rPr>
          <w:rFonts w:cs="Arial"/>
          <w:bCs w:val="0"/>
          <w:spacing w:val="-1"/>
          <w:szCs w:val="24"/>
          <w:lang w:eastAsia="en-GB"/>
        </w:rPr>
        <w:t>for</w:t>
      </w:r>
      <w:r w:rsidRPr="00682EC4">
        <w:rPr>
          <w:rFonts w:cs="Arial"/>
          <w:bCs w:val="0"/>
          <w:spacing w:val="26"/>
          <w:szCs w:val="24"/>
          <w:lang w:eastAsia="en-GB"/>
        </w:rPr>
        <w:t xml:space="preserve"> </w:t>
      </w:r>
      <w:r w:rsidRPr="00682EC4">
        <w:rPr>
          <w:rFonts w:cs="Arial"/>
          <w:bCs w:val="0"/>
          <w:spacing w:val="-1"/>
          <w:szCs w:val="24"/>
          <w:lang w:eastAsia="en-GB"/>
        </w:rPr>
        <w:t>public</w:t>
      </w:r>
      <w:r w:rsidRPr="00682EC4">
        <w:rPr>
          <w:rFonts w:cs="Arial"/>
          <w:bCs w:val="0"/>
          <w:spacing w:val="24"/>
          <w:szCs w:val="24"/>
          <w:lang w:eastAsia="en-GB"/>
        </w:rPr>
        <w:t xml:space="preserve"> </w:t>
      </w:r>
      <w:r w:rsidRPr="00682EC4">
        <w:rPr>
          <w:rFonts w:cs="Arial"/>
          <w:bCs w:val="0"/>
          <w:spacing w:val="-1"/>
          <w:szCs w:val="24"/>
          <w:lang w:eastAsia="en-GB"/>
        </w:rPr>
        <w:t>involvement</w:t>
      </w:r>
      <w:r w:rsidRPr="00682EC4">
        <w:rPr>
          <w:rFonts w:cs="Arial"/>
          <w:bCs w:val="0"/>
          <w:spacing w:val="23"/>
          <w:szCs w:val="24"/>
          <w:lang w:eastAsia="en-GB"/>
        </w:rPr>
        <w:t xml:space="preserve"> </w:t>
      </w:r>
      <w:r w:rsidRPr="00682EC4">
        <w:rPr>
          <w:rFonts w:cs="Arial"/>
          <w:bCs w:val="0"/>
          <w:spacing w:val="-1"/>
          <w:szCs w:val="24"/>
          <w:lang w:eastAsia="en-GB"/>
        </w:rPr>
        <w:t>where</w:t>
      </w:r>
      <w:r w:rsidRPr="00682EC4">
        <w:rPr>
          <w:rFonts w:cs="Arial"/>
          <w:bCs w:val="0"/>
          <w:spacing w:val="22"/>
          <w:szCs w:val="24"/>
          <w:lang w:eastAsia="en-GB"/>
        </w:rPr>
        <w:t xml:space="preserve"> </w:t>
      </w:r>
      <w:r w:rsidRPr="00682EC4">
        <w:rPr>
          <w:rFonts w:cs="Arial"/>
          <w:bCs w:val="0"/>
          <w:spacing w:val="-1"/>
          <w:szCs w:val="24"/>
          <w:lang w:eastAsia="en-GB"/>
        </w:rPr>
        <w:t>monitoring</w:t>
      </w:r>
      <w:r w:rsidRPr="00682EC4">
        <w:rPr>
          <w:rFonts w:cs="Arial"/>
          <w:bCs w:val="0"/>
          <w:spacing w:val="69"/>
          <w:szCs w:val="24"/>
          <w:lang w:eastAsia="en-GB"/>
        </w:rPr>
        <w:t xml:space="preserve"> </w:t>
      </w:r>
      <w:r w:rsidRPr="00682EC4">
        <w:rPr>
          <w:rFonts w:cs="Arial"/>
          <w:bCs w:val="0"/>
          <w:spacing w:val="-1"/>
          <w:szCs w:val="24"/>
          <w:lang w:eastAsia="en-GB"/>
        </w:rPr>
        <w:t>has</w:t>
      </w:r>
      <w:r w:rsidRPr="00682EC4">
        <w:rPr>
          <w:rFonts w:cs="Arial"/>
          <w:bCs w:val="0"/>
          <w:spacing w:val="-6"/>
          <w:szCs w:val="24"/>
          <w:lang w:eastAsia="en-GB"/>
        </w:rPr>
        <w:t xml:space="preserve"> </w:t>
      </w:r>
      <w:r w:rsidRPr="00682EC4">
        <w:rPr>
          <w:rFonts w:cs="Arial"/>
          <w:bCs w:val="0"/>
          <w:spacing w:val="-1"/>
          <w:szCs w:val="24"/>
          <w:lang w:eastAsia="en-GB"/>
        </w:rPr>
        <w:t>indicated</w:t>
      </w:r>
      <w:r w:rsidRPr="00682EC4">
        <w:rPr>
          <w:rFonts w:cs="Arial"/>
          <w:bCs w:val="0"/>
          <w:spacing w:val="-5"/>
          <w:szCs w:val="24"/>
          <w:lang w:eastAsia="en-GB"/>
        </w:rPr>
        <w:t xml:space="preserve"> </w:t>
      </w:r>
      <w:r w:rsidRPr="00682EC4">
        <w:rPr>
          <w:rFonts w:cs="Arial"/>
          <w:bCs w:val="0"/>
          <w:spacing w:val="-1"/>
          <w:szCs w:val="24"/>
          <w:lang w:eastAsia="en-GB"/>
        </w:rPr>
        <w:t>that</w:t>
      </w:r>
      <w:r w:rsidRPr="00682EC4">
        <w:rPr>
          <w:rFonts w:cs="Arial"/>
          <w:bCs w:val="0"/>
          <w:spacing w:val="-6"/>
          <w:szCs w:val="24"/>
          <w:lang w:eastAsia="en-GB"/>
        </w:rPr>
        <w:t xml:space="preserve"> </w:t>
      </w:r>
      <w:r w:rsidRPr="00682EC4">
        <w:rPr>
          <w:rFonts w:cs="Arial"/>
          <w:bCs w:val="0"/>
          <w:spacing w:val="-1"/>
          <w:szCs w:val="24"/>
          <w:lang w:eastAsia="en-GB"/>
        </w:rPr>
        <w:t>such</w:t>
      </w:r>
      <w:r w:rsidRPr="00682EC4">
        <w:rPr>
          <w:rFonts w:cs="Arial"/>
          <w:bCs w:val="0"/>
          <w:spacing w:val="-4"/>
          <w:szCs w:val="24"/>
          <w:lang w:eastAsia="en-GB"/>
        </w:rPr>
        <w:t xml:space="preserve"> </w:t>
      </w:r>
      <w:r w:rsidRPr="00682EC4">
        <w:rPr>
          <w:rFonts w:cs="Arial"/>
          <w:bCs w:val="0"/>
          <w:spacing w:val="-1"/>
          <w:szCs w:val="24"/>
          <w:lang w:eastAsia="en-GB"/>
        </w:rPr>
        <w:t>arrangements</w:t>
      </w:r>
      <w:r w:rsidRPr="00682EC4">
        <w:rPr>
          <w:rFonts w:cs="Arial"/>
          <w:bCs w:val="0"/>
          <w:spacing w:val="-6"/>
          <w:szCs w:val="24"/>
          <w:lang w:eastAsia="en-GB"/>
        </w:rPr>
        <w:t xml:space="preserve"> </w:t>
      </w:r>
      <w:r w:rsidRPr="00682EC4">
        <w:rPr>
          <w:rFonts w:cs="Arial"/>
          <w:bCs w:val="0"/>
          <w:szCs w:val="24"/>
          <w:lang w:eastAsia="en-GB"/>
        </w:rPr>
        <w:t>are</w:t>
      </w:r>
      <w:r w:rsidRPr="00682EC4">
        <w:rPr>
          <w:rFonts w:cs="Arial"/>
          <w:bCs w:val="0"/>
          <w:spacing w:val="-7"/>
          <w:szCs w:val="24"/>
          <w:lang w:eastAsia="en-GB"/>
        </w:rPr>
        <w:t xml:space="preserve"> </w:t>
      </w:r>
      <w:r w:rsidRPr="00682EC4">
        <w:rPr>
          <w:rFonts w:cs="Arial"/>
          <w:bCs w:val="0"/>
          <w:spacing w:val="-1"/>
          <w:szCs w:val="24"/>
          <w:lang w:eastAsia="en-GB"/>
        </w:rPr>
        <w:t>required.</w:t>
      </w:r>
    </w:p>
    <w:bookmarkEnd w:id="108"/>
    <w:p w14:paraId="4C83D65A" w14:textId="77777777" w:rsidR="00DB7F92" w:rsidRPr="00DB7F92" w:rsidRDefault="00DB7F92" w:rsidP="00DD5D2D">
      <w:pPr>
        <w:pStyle w:val="Heading3"/>
        <w:jc w:val="both"/>
        <w:rPr>
          <w:lang w:eastAsia="en-GB"/>
        </w:rPr>
      </w:pPr>
      <w:r w:rsidRPr="00DB7F92">
        <w:rPr>
          <w:lang w:eastAsia="en-GB"/>
        </w:rPr>
        <w:t>As</w:t>
      </w:r>
      <w:r w:rsidRPr="00DB7F92">
        <w:rPr>
          <w:spacing w:val="6"/>
          <w:lang w:eastAsia="en-GB"/>
        </w:rPr>
        <w:t xml:space="preserve"> </w:t>
      </w:r>
      <w:r w:rsidRPr="00DB7F92">
        <w:rPr>
          <w:lang w:eastAsia="en-GB"/>
        </w:rPr>
        <w:t>well</w:t>
      </w:r>
      <w:r w:rsidRPr="00DB7F92">
        <w:rPr>
          <w:spacing w:val="6"/>
          <w:lang w:eastAsia="en-GB"/>
        </w:rPr>
        <w:t xml:space="preserve"> </w:t>
      </w:r>
      <w:r w:rsidRPr="00DB7F92">
        <w:rPr>
          <w:lang w:eastAsia="en-GB"/>
        </w:rPr>
        <w:t>as</w:t>
      </w:r>
      <w:r w:rsidRPr="00DB7F92">
        <w:rPr>
          <w:spacing w:val="6"/>
          <w:lang w:eastAsia="en-GB"/>
        </w:rPr>
        <w:t xml:space="preserve"> </w:t>
      </w:r>
      <w:r w:rsidRPr="00DB7F92">
        <w:rPr>
          <w:lang w:eastAsia="en-GB"/>
        </w:rPr>
        <w:t>setting</w:t>
      </w:r>
      <w:r w:rsidRPr="00DB7F92">
        <w:rPr>
          <w:spacing w:val="6"/>
          <w:lang w:eastAsia="en-GB"/>
        </w:rPr>
        <w:t xml:space="preserve"> </w:t>
      </w:r>
      <w:r w:rsidRPr="00DB7F92">
        <w:rPr>
          <w:spacing w:val="-2"/>
          <w:lang w:eastAsia="en-GB"/>
        </w:rPr>
        <w:t>out</w:t>
      </w:r>
      <w:r w:rsidRPr="00DB7F92">
        <w:rPr>
          <w:spacing w:val="6"/>
          <w:lang w:eastAsia="en-GB"/>
        </w:rPr>
        <w:t xml:space="preserve"> </w:t>
      </w:r>
      <w:r w:rsidRPr="00DB7F92">
        <w:rPr>
          <w:lang w:eastAsia="en-GB"/>
        </w:rPr>
        <w:t>the</w:t>
      </w:r>
      <w:r w:rsidRPr="00DB7F92">
        <w:rPr>
          <w:spacing w:val="6"/>
          <w:lang w:eastAsia="en-GB"/>
        </w:rPr>
        <w:t xml:space="preserve"> </w:t>
      </w:r>
      <w:r w:rsidRPr="00DB7F92">
        <w:rPr>
          <w:lang w:eastAsia="en-GB"/>
        </w:rPr>
        <w:t>above</w:t>
      </w:r>
      <w:r w:rsidRPr="00DB7F92">
        <w:rPr>
          <w:spacing w:val="5"/>
          <w:lang w:eastAsia="en-GB"/>
        </w:rPr>
        <w:t xml:space="preserve"> </w:t>
      </w:r>
      <w:r w:rsidRPr="00DB7F92">
        <w:rPr>
          <w:lang w:eastAsia="en-GB"/>
        </w:rPr>
        <w:t>arrangements,</w:t>
      </w:r>
      <w:r w:rsidRPr="00DB7F92">
        <w:rPr>
          <w:spacing w:val="7"/>
          <w:lang w:eastAsia="en-GB"/>
        </w:rPr>
        <w:t xml:space="preserve"> </w:t>
      </w:r>
      <w:r w:rsidRPr="00DB7F92">
        <w:rPr>
          <w:lang w:eastAsia="en-GB"/>
        </w:rPr>
        <w:t>which</w:t>
      </w:r>
      <w:r w:rsidRPr="00DB7F92">
        <w:rPr>
          <w:spacing w:val="6"/>
          <w:lang w:eastAsia="en-GB"/>
        </w:rPr>
        <w:t xml:space="preserve"> </w:t>
      </w:r>
      <w:r w:rsidRPr="00DB7F92">
        <w:rPr>
          <w:lang w:eastAsia="en-GB"/>
        </w:rPr>
        <w:t>commissioners</w:t>
      </w:r>
      <w:r w:rsidRPr="00DB7F92">
        <w:rPr>
          <w:spacing w:val="56"/>
          <w:lang w:eastAsia="en-GB"/>
        </w:rPr>
        <w:t xml:space="preserve"> </w:t>
      </w:r>
      <w:r w:rsidRPr="00DB7F92">
        <w:rPr>
          <w:lang w:eastAsia="en-GB"/>
        </w:rPr>
        <w:t>should</w:t>
      </w:r>
      <w:r w:rsidRPr="00DB7F92">
        <w:rPr>
          <w:spacing w:val="58"/>
          <w:lang w:eastAsia="en-GB"/>
        </w:rPr>
        <w:t xml:space="preserve"> </w:t>
      </w:r>
      <w:r w:rsidRPr="00DB7F92">
        <w:rPr>
          <w:lang w:eastAsia="en-GB"/>
        </w:rPr>
        <w:t>follow,</w:t>
      </w:r>
      <w:r w:rsidRPr="00DB7F92">
        <w:rPr>
          <w:spacing w:val="56"/>
          <w:lang w:eastAsia="en-GB"/>
        </w:rPr>
        <w:t xml:space="preserve"> </w:t>
      </w:r>
      <w:r w:rsidRPr="00DB7F92">
        <w:rPr>
          <w:lang w:eastAsia="en-GB"/>
        </w:rPr>
        <w:t>the</w:t>
      </w:r>
      <w:r w:rsidRPr="00DB7F92">
        <w:rPr>
          <w:spacing w:val="58"/>
          <w:lang w:eastAsia="en-GB"/>
        </w:rPr>
        <w:t xml:space="preserve"> </w:t>
      </w:r>
      <w:r w:rsidRPr="00DB7F92">
        <w:rPr>
          <w:lang w:eastAsia="en-GB"/>
        </w:rPr>
        <w:t>documentation</w:t>
      </w:r>
      <w:r w:rsidRPr="00DB7F92">
        <w:rPr>
          <w:spacing w:val="59"/>
          <w:lang w:eastAsia="en-GB"/>
        </w:rPr>
        <w:t xml:space="preserve"> </w:t>
      </w:r>
      <w:r w:rsidRPr="00DB7F92">
        <w:rPr>
          <w:lang w:eastAsia="en-GB"/>
        </w:rPr>
        <w:t>is</w:t>
      </w:r>
      <w:r w:rsidRPr="00DB7F92">
        <w:rPr>
          <w:spacing w:val="57"/>
          <w:lang w:eastAsia="en-GB"/>
        </w:rPr>
        <w:t xml:space="preserve"> </w:t>
      </w:r>
      <w:r w:rsidRPr="00DB7F92">
        <w:rPr>
          <w:lang w:eastAsia="en-GB"/>
        </w:rPr>
        <w:t>regularly</w:t>
      </w:r>
      <w:r w:rsidRPr="00DB7F92">
        <w:rPr>
          <w:spacing w:val="57"/>
          <w:lang w:eastAsia="en-GB"/>
        </w:rPr>
        <w:t xml:space="preserve"> </w:t>
      </w:r>
      <w:r w:rsidRPr="00DB7F92">
        <w:rPr>
          <w:lang w:eastAsia="en-GB"/>
        </w:rPr>
        <w:t>reviewed</w:t>
      </w:r>
      <w:r w:rsidRPr="00DB7F92">
        <w:rPr>
          <w:spacing w:val="58"/>
          <w:lang w:eastAsia="en-GB"/>
        </w:rPr>
        <w:t xml:space="preserve"> </w:t>
      </w:r>
      <w:r w:rsidRPr="00DB7F92">
        <w:rPr>
          <w:lang w:eastAsia="en-GB"/>
        </w:rPr>
        <w:t>and</w:t>
      </w:r>
      <w:r w:rsidRPr="00DB7F92">
        <w:rPr>
          <w:spacing w:val="65"/>
          <w:lang w:eastAsia="en-GB"/>
        </w:rPr>
        <w:t xml:space="preserve"> </w:t>
      </w:r>
      <w:r w:rsidRPr="00DB7F92">
        <w:rPr>
          <w:lang w:eastAsia="en-GB"/>
        </w:rPr>
        <w:t>updated</w:t>
      </w:r>
      <w:r w:rsidRPr="00DB7F92">
        <w:rPr>
          <w:spacing w:val="-8"/>
          <w:lang w:eastAsia="en-GB"/>
        </w:rPr>
        <w:t xml:space="preserve"> </w:t>
      </w:r>
      <w:r w:rsidRPr="00DB7F92">
        <w:rPr>
          <w:lang w:eastAsia="en-GB"/>
        </w:rPr>
        <w:t>and</w:t>
      </w:r>
      <w:r w:rsidRPr="00DB7F92">
        <w:rPr>
          <w:spacing w:val="-8"/>
          <w:lang w:eastAsia="en-GB"/>
        </w:rPr>
        <w:t xml:space="preserve"> </w:t>
      </w:r>
      <w:r w:rsidRPr="00DB7F92">
        <w:rPr>
          <w:lang w:eastAsia="en-GB"/>
        </w:rPr>
        <w:t>contains</w:t>
      </w:r>
      <w:r w:rsidRPr="00DB7F92">
        <w:rPr>
          <w:spacing w:val="-7"/>
          <w:lang w:eastAsia="en-GB"/>
        </w:rPr>
        <w:t xml:space="preserve"> </w:t>
      </w:r>
      <w:r w:rsidRPr="00DB7F92">
        <w:rPr>
          <w:lang w:eastAsia="en-GB"/>
        </w:rPr>
        <w:t>useful</w:t>
      </w:r>
      <w:r w:rsidRPr="00DB7F92">
        <w:rPr>
          <w:spacing w:val="-8"/>
          <w:lang w:eastAsia="en-GB"/>
        </w:rPr>
        <w:t xml:space="preserve"> </w:t>
      </w:r>
      <w:r w:rsidRPr="00DB7F92">
        <w:rPr>
          <w:lang w:eastAsia="en-GB"/>
        </w:rPr>
        <w:t>resources</w:t>
      </w:r>
      <w:r w:rsidRPr="00DB7F92">
        <w:rPr>
          <w:spacing w:val="-4"/>
          <w:lang w:eastAsia="en-GB"/>
        </w:rPr>
        <w:t xml:space="preserve"> </w:t>
      </w:r>
      <w:r w:rsidRPr="00DB7F92">
        <w:rPr>
          <w:lang w:eastAsia="en-GB"/>
        </w:rPr>
        <w:t>for</w:t>
      </w:r>
      <w:r w:rsidRPr="00DB7F92">
        <w:rPr>
          <w:spacing w:val="-7"/>
          <w:lang w:eastAsia="en-GB"/>
        </w:rPr>
        <w:t xml:space="preserve"> </w:t>
      </w:r>
      <w:r w:rsidRPr="00DB7F92">
        <w:rPr>
          <w:lang w:eastAsia="en-GB"/>
        </w:rPr>
        <w:t>commissioners,</w:t>
      </w:r>
      <w:r w:rsidRPr="00DB7F92">
        <w:rPr>
          <w:spacing w:val="-6"/>
          <w:lang w:eastAsia="en-GB"/>
        </w:rPr>
        <w:t xml:space="preserve"> </w:t>
      </w:r>
      <w:r w:rsidRPr="00DB7F92">
        <w:rPr>
          <w:lang w:eastAsia="en-GB"/>
        </w:rPr>
        <w:t>including:</w:t>
      </w:r>
    </w:p>
    <w:p w14:paraId="6EE93E16" w14:textId="30A02AC6" w:rsidR="00DB7F92" w:rsidRPr="00682EC4" w:rsidRDefault="00DB7F92" w:rsidP="006C3DF5">
      <w:pPr>
        <w:pStyle w:val="ListParagraph"/>
        <w:widowControl w:val="0"/>
        <w:numPr>
          <w:ilvl w:val="0"/>
          <w:numId w:val="77"/>
        </w:numPr>
        <w:tabs>
          <w:tab w:val="left" w:pos="2007"/>
        </w:tabs>
        <w:spacing w:before="120" w:after="120" w:line="360" w:lineRule="auto"/>
        <w:ind w:left="850" w:right="115"/>
        <w:jc w:val="both"/>
        <w:rPr>
          <w:rFonts w:cs="Arial"/>
          <w:bCs w:val="0"/>
          <w:szCs w:val="24"/>
          <w:lang w:eastAsia="en-GB"/>
        </w:rPr>
      </w:pPr>
      <w:r w:rsidRPr="00682EC4">
        <w:rPr>
          <w:rFonts w:cs="Arial"/>
          <w:bCs w:val="0"/>
          <w:spacing w:val="-1"/>
          <w:szCs w:val="24"/>
          <w:lang w:eastAsia="en-GB"/>
        </w:rPr>
        <w:t>Details</w:t>
      </w:r>
      <w:r w:rsidRPr="00682EC4">
        <w:rPr>
          <w:rFonts w:cs="Arial"/>
          <w:bCs w:val="0"/>
          <w:spacing w:val="47"/>
          <w:szCs w:val="24"/>
          <w:lang w:eastAsia="en-GB"/>
        </w:rPr>
        <w:t xml:space="preserve"> </w:t>
      </w:r>
      <w:r w:rsidRPr="00682EC4">
        <w:rPr>
          <w:rFonts w:cs="Arial"/>
          <w:bCs w:val="0"/>
          <w:spacing w:val="-1"/>
          <w:szCs w:val="24"/>
          <w:lang w:eastAsia="en-GB"/>
        </w:rPr>
        <w:t>of</w:t>
      </w:r>
      <w:r w:rsidRPr="00682EC4">
        <w:rPr>
          <w:rFonts w:cs="Arial"/>
          <w:bCs w:val="0"/>
          <w:spacing w:val="45"/>
          <w:szCs w:val="24"/>
          <w:lang w:eastAsia="en-GB"/>
        </w:rPr>
        <w:t xml:space="preserve"> </w:t>
      </w:r>
      <w:r w:rsidRPr="00682EC4">
        <w:rPr>
          <w:rFonts w:cs="Arial"/>
          <w:bCs w:val="0"/>
          <w:spacing w:val="-1"/>
          <w:szCs w:val="24"/>
          <w:lang w:eastAsia="en-GB"/>
        </w:rPr>
        <w:t>existing</w:t>
      </w:r>
      <w:r w:rsidRPr="00682EC4">
        <w:rPr>
          <w:rFonts w:cs="Arial"/>
          <w:bCs w:val="0"/>
          <w:spacing w:val="45"/>
          <w:szCs w:val="24"/>
          <w:lang w:eastAsia="en-GB"/>
        </w:rPr>
        <w:t xml:space="preserve"> </w:t>
      </w:r>
      <w:r w:rsidRPr="00682EC4">
        <w:rPr>
          <w:rFonts w:cs="Arial"/>
          <w:bCs w:val="0"/>
          <w:spacing w:val="-1"/>
          <w:szCs w:val="24"/>
          <w:lang w:eastAsia="en-GB"/>
        </w:rPr>
        <w:t>corporate</w:t>
      </w:r>
      <w:r w:rsidRPr="00682EC4">
        <w:rPr>
          <w:rFonts w:cs="Arial"/>
          <w:bCs w:val="0"/>
          <w:spacing w:val="45"/>
          <w:szCs w:val="24"/>
          <w:lang w:eastAsia="en-GB"/>
        </w:rPr>
        <w:t xml:space="preserve"> </w:t>
      </w:r>
      <w:r w:rsidRPr="00682EC4">
        <w:rPr>
          <w:rFonts w:cs="Arial"/>
          <w:bCs w:val="0"/>
          <w:spacing w:val="-1"/>
          <w:szCs w:val="24"/>
          <w:lang w:eastAsia="en-GB"/>
        </w:rPr>
        <w:t>infrastructure</w:t>
      </w:r>
      <w:r w:rsidRPr="00682EC4">
        <w:rPr>
          <w:rFonts w:cs="Arial"/>
          <w:bCs w:val="0"/>
          <w:spacing w:val="45"/>
          <w:szCs w:val="24"/>
          <w:lang w:eastAsia="en-GB"/>
        </w:rPr>
        <w:t xml:space="preserve"> </w:t>
      </w:r>
      <w:r w:rsidRPr="00682EC4">
        <w:rPr>
          <w:rFonts w:cs="Arial"/>
          <w:bCs w:val="0"/>
          <w:spacing w:val="-1"/>
          <w:szCs w:val="24"/>
          <w:lang w:eastAsia="en-GB"/>
        </w:rPr>
        <w:t>and</w:t>
      </w:r>
      <w:r w:rsidRPr="00682EC4">
        <w:rPr>
          <w:rFonts w:cs="Arial"/>
          <w:bCs w:val="0"/>
          <w:spacing w:val="45"/>
          <w:szCs w:val="24"/>
          <w:lang w:eastAsia="en-GB"/>
        </w:rPr>
        <w:t xml:space="preserve"> </w:t>
      </w:r>
      <w:r w:rsidRPr="00682EC4">
        <w:rPr>
          <w:rFonts w:cs="Arial"/>
          <w:bCs w:val="0"/>
          <w:spacing w:val="-1"/>
          <w:szCs w:val="24"/>
          <w:lang w:eastAsia="en-GB"/>
        </w:rPr>
        <w:t>involvement</w:t>
      </w:r>
      <w:r w:rsidRPr="00682EC4">
        <w:rPr>
          <w:rFonts w:cs="Arial"/>
          <w:bCs w:val="0"/>
          <w:spacing w:val="63"/>
          <w:w w:val="99"/>
          <w:szCs w:val="24"/>
          <w:lang w:eastAsia="en-GB"/>
        </w:rPr>
        <w:t xml:space="preserve"> </w:t>
      </w:r>
      <w:r w:rsidRPr="00682EC4">
        <w:rPr>
          <w:rFonts w:cs="Arial"/>
          <w:bCs w:val="0"/>
          <w:spacing w:val="-1"/>
          <w:szCs w:val="24"/>
          <w:lang w:eastAsia="en-GB"/>
        </w:rPr>
        <w:t>initiatives</w:t>
      </w:r>
      <w:r w:rsidRPr="00682EC4">
        <w:rPr>
          <w:rFonts w:cs="Arial"/>
          <w:bCs w:val="0"/>
          <w:spacing w:val="22"/>
          <w:szCs w:val="24"/>
          <w:lang w:eastAsia="en-GB"/>
        </w:rPr>
        <w:t xml:space="preserve"> that </w:t>
      </w:r>
      <w:r w:rsidRPr="00682EC4">
        <w:rPr>
          <w:rFonts w:cs="Arial"/>
          <w:bCs w:val="0"/>
          <w:spacing w:val="-1"/>
          <w:szCs w:val="24"/>
          <w:lang w:eastAsia="en-GB"/>
        </w:rPr>
        <w:t>could</w:t>
      </w:r>
      <w:r w:rsidRPr="00682EC4">
        <w:rPr>
          <w:rFonts w:cs="Arial"/>
          <w:bCs w:val="0"/>
          <w:spacing w:val="24"/>
          <w:szCs w:val="24"/>
          <w:lang w:eastAsia="en-GB"/>
        </w:rPr>
        <w:t xml:space="preserve"> </w:t>
      </w:r>
      <w:r w:rsidRPr="00682EC4">
        <w:rPr>
          <w:rFonts w:cs="Arial"/>
          <w:bCs w:val="0"/>
          <w:spacing w:val="-1"/>
          <w:szCs w:val="24"/>
          <w:lang w:eastAsia="en-GB"/>
        </w:rPr>
        <w:t>be</w:t>
      </w:r>
      <w:r w:rsidRPr="00682EC4">
        <w:rPr>
          <w:rFonts w:cs="Arial"/>
          <w:bCs w:val="0"/>
          <w:spacing w:val="21"/>
          <w:szCs w:val="24"/>
          <w:lang w:eastAsia="en-GB"/>
        </w:rPr>
        <w:t xml:space="preserve"> </w:t>
      </w:r>
      <w:r w:rsidRPr="00682EC4">
        <w:rPr>
          <w:rFonts w:cs="Arial"/>
          <w:bCs w:val="0"/>
          <w:spacing w:val="-1"/>
          <w:szCs w:val="24"/>
          <w:lang w:eastAsia="en-GB"/>
        </w:rPr>
        <w:t>drawn</w:t>
      </w:r>
      <w:r w:rsidRPr="00682EC4">
        <w:rPr>
          <w:rFonts w:cs="Arial"/>
          <w:bCs w:val="0"/>
          <w:spacing w:val="22"/>
          <w:szCs w:val="24"/>
          <w:lang w:eastAsia="en-GB"/>
        </w:rPr>
        <w:t xml:space="preserve"> </w:t>
      </w:r>
      <w:r w:rsidRPr="00682EC4">
        <w:rPr>
          <w:rFonts w:cs="Arial"/>
          <w:bCs w:val="0"/>
          <w:spacing w:val="-1"/>
          <w:szCs w:val="24"/>
          <w:lang w:eastAsia="en-GB"/>
        </w:rPr>
        <w:t>upon</w:t>
      </w:r>
      <w:r w:rsidRPr="00682EC4">
        <w:rPr>
          <w:rFonts w:cs="Arial"/>
          <w:bCs w:val="0"/>
          <w:spacing w:val="22"/>
          <w:szCs w:val="24"/>
          <w:lang w:eastAsia="en-GB"/>
        </w:rPr>
        <w:t xml:space="preserve"> </w:t>
      </w:r>
      <w:r w:rsidRPr="00682EC4">
        <w:rPr>
          <w:rFonts w:cs="Arial"/>
          <w:bCs w:val="0"/>
          <w:spacing w:val="-1"/>
          <w:szCs w:val="24"/>
          <w:lang w:eastAsia="en-GB"/>
        </w:rPr>
        <w:t>by</w:t>
      </w:r>
      <w:r w:rsidRPr="00682EC4">
        <w:rPr>
          <w:rFonts w:cs="Arial"/>
          <w:bCs w:val="0"/>
          <w:spacing w:val="23"/>
          <w:szCs w:val="24"/>
          <w:lang w:eastAsia="en-GB"/>
        </w:rPr>
        <w:t xml:space="preserve"> </w:t>
      </w:r>
      <w:r w:rsidRPr="00682EC4">
        <w:rPr>
          <w:rFonts w:cs="Arial"/>
          <w:bCs w:val="0"/>
          <w:spacing w:val="-1"/>
          <w:szCs w:val="24"/>
          <w:lang w:eastAsia="en-GB"/>
        </w:rPr>
        <w:t>commissioners</w:t>
      </w:r>
      <w:r w:rsidRPr="00682EC4">
        <w:rPr>
          <w:rFonts w:cs="Arial"/>
          <w:bCs w:val="0"/>
          <w:spacing w:val="22"/>
          <w:szCs w:val="24"/>
          <w:lang w:eastAsia="en-GB"/>
        </w:rPr>
        <w:t xml:space="preserve"> </w:t>
      </w:r>
      <w:r w:rsidRPr="00682EC4">
        <w:rPr>
          <w:rFonts w:cs="Arial"/>
          <w:bCs w:val="0"/>
          <w:szCs w:val="24"/>
          <w:lang w:eastAsia="en-GB"/>
        </w:rPr>
        <w:t>to</w:t>
      </w:r>
      <w:r w:rsidRPr="00682EC4">
        <w:rPr>
          <w:rFonts w:cs="Arial"/>
          <w:bCs w:val="0"/>
          <w:spacing w:val="41"/>
          <w:szCs w:val="24"/>
          <w:lang w:eastAsia="en-GB"/>
        </w:rPr>
        <w:t xml:space="preserve"> </w:t>
      </w:r>
      <w:r w:rsidRPr="00682EC4">
        <w:rPr>
          <w:rFonts w:cs="Arial"/>
          <w:bCs w:val="0"/>
          <w:spacing w:val="-1"/>
          <w:szCs w:val="24"/>
          <w:lang w:eastAsia="en-GB"/>
        </w:rPr>
        <w:t>involve</w:t>
      </w:r>
      <w:r w:rsidRPr="00682EC4">
        <w:rPr>
          <w:rFonts w:cs="Arial"/>
          <w:bCs w:val="0"/>
          <w:spacing w:val="-8"/>
          <w:szCs w:val="24"/>
          <w:lang w:eastAsia="en-GB"/>
        </w:rPr>
        <w:t xml:space="preserve"> </w:t>
      </w:r>
      <w:r w:rsidRPr="00682EC4">
        <w:rPr>
          <w:rFonts w:cs="Arial"/>
          <w:bCs w:val="0"/>
          <w:spacing w:val="-1"/>
          <w:szCs w:val="24"/>
          <w:lang w:eastAsia="en-GB"/>
        </w:rPr>
        <w:t>the</w:t>
      </w:r>
      <w:r w:rsidRPr="00682EC4">
        <w:rPr>
          <w:rFonts w:cs="Arial"/>
          <w:bCs w:val="0"/>
          <w:spacing w:val="-6"/>
          <w:szCs w:val="24"/>
          <w:lang w:eastAsia="en-GB"/>
        </w:rPr>
        <w:t xml:space="preserve"> </w:t>
      </w:r>
      <w:r w:rsidRPr="00682EC4">
        <w:rPr>
          <w:rFonts w:cs="Arial"/>
          <w:bCs w:val="0"/>
          <w:spacing w:val="-1"/>
          <w:szCs w:val="24"/>
          <w:lang w:eastAsia="en-GB"/>
        </w:rPr>
        <w:t>public</w:t>
      </w:r>
      <w:r w:rsidRPr="00682EC4">
        <w:rPr>
          <w:rFonts w:cs="Arial"/>
          <w:bCs w:val="0"/>
          <w:spacing w:val="-6"/>
          <w:szCs w:val="24"/>
          <w:lang w:eastAsia="en-GB"/>
        </w:rPr>
        <w:t xml:space="preserve"> </w:t>
      </w:r>
      <w:r w:rsidRPr="00682EC4">
        <w:rPr>
          <w:rFonts w:cs="Arial"/>
          <w:bCs w:val="0"/>
          <w:spacing w:val="-1"/>
          <w:szCs w:val="24"/>
          <w:lang w:eastAsia="en-GB"/>
        </w:rPr>
        <w:t>in</w:t>
      </w:r>
      <w:r w:rsidRPr="00682EC4">
        <w:rPr>
          <w:rFonts w:cs="Arial"/>
          <w:bCs w:val="0"/>
          <w:spacing w:val="-4"/>
          <w:szCs w:val="24"/>
          <w:lang w:eastAsia="en-GB"/>
        </w:rPr>
        <w:t xml:space="preserve"> </w:t>
      </w:r>
      <w:r w:rsidRPr="00682EC4">
        <w:rPr>
          <w:rFonts w:cs="Arial"/>
          <w:bCs w:val="0"/>
          <w:spacing w:val="-1"/>
          <w:szCs w:val="24"/>
          <w:lang w:eastAsia="en-GB"/>
        </w:rPr>
        <w:t>their</w:t>
      </w:r>
      <w:r w:rsidRPr="00682EC4">
        <w:rPr>
          <w:rFonts w:cs="Arial"/>
          <w:bCs w:val="0"/>
          <w:spacing w:val="-7"/>
          <w:szCs w:val="24"/>
          <w:lang w:eastAsia="en-GB"/>
        </w:rPr>
        <w:t xml:space="preserve"> </w:t>
      </w:r>
      <w:r w:rsidRPr="00682EC4">
        <w:rPr>
          <w:rFonts w:cs="Arial"/>
          <w:bCs w:val="0"/>
          <w:spacing w:val="-1"/>
          <w:szCs w:val="24"/>
          <w:lang w:eastAsia="en-GB"/>
        </w:rPr>
        <w:t>commissioning</w:t>
      </w:r>
      <w:r w:rsidRPr="00682EC4">
        <w:rPr>
          <w:rFonts w:cs="Arial"/>
          <w:bCs w:val="0"/>
          <w:spacing w:val="-6"/>
          <w:szCs w:val="24"/>
          <w:lang w:eastAsia="en-GB"/>
        </w:rPr>
        <w:t xml:space="preserve"> </w:t>
      </w:r>
      <w:r w:rsidRPr="00682EC4">
        <w:rPr>
          <w:rFonts w:cs="Arial"/>
          <w:bCs w:val="0"/>
          <w:spacing w:val="-1"/>
          <w:szCs w:val="24"/>
          <w:lang w:eastAsia="en-GB"/>
        </w:rPr>
        <w:t>activities.</w:t>
      </w:r>
    </w:p>
    <w:p w14:paraId="04FFC011" w14:textId="77777777" w:rsidR="00DB7F92" w:rsidRPr="00682EC4" w:rsidRDefault="00DB7F92" w:rsidP="006C3DF5">
      <w:pPr>
        <w:pStyle w:val="ListParagraph"/>
        <w:widowControl w:val="0"/>
        <w:numPr>
          <w:ilvl w:val="0"/>
          <w:numId w:val="77"/>
        </w:numPr>
        <w:tabs>
          <w:tab w:val="left" w:pos="2007"/>
        </w:tabs>
        <w:spacing w:before="120" w:after="120" w:line="360" w:lineRule="auto"/>
        <w:ind w:right="115"/>
        <w:jc w:val="both"/>
        <w:rPr>
          <w:rFonts w:cs="Arial"/>
          <w:bCs w:val="0"/>
          <w:szCs w:val="24"/>
          <w:lang w:eastAsia="en-GB"/>
        </w:rPr>
      </w:pPr>
      <w:r w:rsidRPr="00682EC4">
        <w:rPr>
          <w:rFonts w:cs="Arial"/>
          <w:bCs w:val="0"/>
          <w:spacing w:val="-1"/>
          <w:szCs w:val="24"/>
          <w:lang w:eastAsia="en-GB"/>
        </w:rPr>
        <w:t>Reference</w:t>
      </w:r>
      <w:r w:rsidRPr="00682EC4">
        <w:rPr>
          <w:rFonts w:cs="Arial"/>
          <w:bCs w:val="0"/>
          <w:spacing w:val="3"/>
          <w:szCs w:val="24"/>
          <w:lang w:eastAsia="en-GB"/>
        </w:rPr>
        <w:t xml:space="preserve"> </w:t>
      </w:r>
      <w:r w:rsidRPr="00682EC4">
        <w:rPr>
          <w:rFonts w:cs="Arial"/>
          <w:bCs w:val="0"/>
          <w:szCs w:val="24"/>
          <w:lang w:eastAsia="en-GB"/>
        </w:rPr>
        <w:t>to</w:t>
      </w:r>
      <w:r w:rsidRPr="00682EC4">
        <w:rPr>
          <w:rFonts w:cs="Arial"/>
          <w:bCs w:val="0"/>
          <w:spacing w:val="3"/>
          <w:szCs w:val="24"/>
          <w:lang w:eastAsia="en-GB"/>
        </w:rPr>
        <w:t xml:space="preserve"> </w:t>
      </w:r>
      <w:r w:rsidRPr="00682EC4">
        <w:rPr>
          <w:rFonts w:cs="Arial"/>
          <w:bCs w:val="0"/>
          <w:szCs w:val="24"/>
          <w:lang w:eastAsia="en-GB"/>
        </w:rPr>
        <w:t>NHS</w:t>
      </w:r>
      <w:r w:rsidRPr="00682EC4">
        <w:rPr>
          <w:rFonts w:cs="Arial"/>
          <w:bCs w:val="0"/>
          <w:spacing w:val="3"/>
          <w:szCs w:val="24"/>
          <w:lang w:eastAsia="en-GB"/>
        </w:rPr>
        <w:t xml:space="preserve"> </w:t>
      </w:r>
      <w:r w:rsidRPr="00682EC4">
        <w:rPr>
          <w:rFonts w:cs="Arial"/>
          <w:bCs w:val="0"/>
          <w:spacing w:val="-1"/>
          <w:szCs w:val="24"/>
          <w:lang w:eastAsia="en-GB"/>
        </w:rPr>
        <w:t>England’s</w:t>
      </w:r>
      <w:r w:rsidRPr="00682EC4">
        <w:rPr>
          <w:rFonts w:cs="Arial"/>
          <w:bCs w:val="0"/>
          <w:spacing w:val="5"/>
          <w:szCs w:val="24"/>
          <w:lang w:eastAsia="en-GB"/>
        </w:rPr>
        <w:t xml:space="preserve"> </w:t>
      </w:r>
      <w:r w:rsidRPr="00682EC4">
        <w:rPr>
          <w:rFonts w:cs="Arial"/>
          <w:bCs w:val="0"/>
          <w:spacing w:val="-1"/>
          <w:szCs w:val="24"/>
          <w:lang w:eastAsia="en-GB"/>
        </w:rPr>
        <w:t>framework</w:t>
      </w:r>
      <w:r w:rsidRPr="00682EC4">
        <w:rPr>
          <w:rFonts w:cs="Arial"/>
          <w:bCs w:val="0"/>
          <w:spacing w:val="4"/>
          <w:szCs w:val="24"/>
          <w:lang w:eastAsia="en-GB"/>
        </w:rPr>
        <w:t xml:space="preserve"> </w:t>
      </w:r>
      <w:r w:rsidRPr="00682EC4">
        <w:rPr>
          <w:rFonts w:cs="Arial"/>
          <w:bCs w:val="0"/>
          <w:spacing w:val="-1"/>
          <w:szCs w:val="24"/>
          <w:lang w:eastAsia="en-GB"/>
        </w:rPr>
        <w:t>for</w:t>
      </w:r>
      <w:r w:rsidRPr="00682EC4">
        <w:rPr>
          <w:rFonts w:cs="Arial"/>
          <w:bCs w:val="0"/>
          <w:spacing w:val="7"/>
          <w:szCs w:val="24"/>
          <w:lang w:eastAsia="en-GB"/>
        </w:rPr>
        <w:t xml:space="preserve"> </w:t>
      </w:r>
      <w:r w:rsidRPr="00682EC4">
        <w:rPr>
          <w:rFonts w:cs="Arial"/>
          <w:bCs w:val="0"/>
          <w:spacing w:val="-1"/>
          <w:szCs w:val="24"/>
          <w:lang w:eastAsia="en-GB"/>
        </w:rPr>
        <w:t>involving</w:t>
      </w:r>
      <w:r w:rsidRPr="00682EC4">
        <w:rPr>
          <w:rFonts w:cs="Arial"/>
          <w:bCs w:val="0"/>
          <w:spacing w:val="6"/>
          <w:szCs w:val="24"/>
          <w:lang w:eastAsia="en-GB"/>
        </w:rPr>
        <w:t xml:space="preserve"> </w:t>
      </w:r>
      <w:r w:rsidRPr="00682EC4">
        <w:rPr>
          <w:rFonts w:cs="Arial"/>
          <w:bCs w:val="0"/>
          <w:spacing w:val="-1"/>
          <w:szCs w:val="24"/>
          <w:lang w:eastAsia="en-GB"/>
        </w:rPr>
        <w:t>patients</w:t>
      </w:r>
      <w:r w:rsidRPr="00682EC4">
        <w:rPr>
          <w:rFonts w:cs="Arial"/>
          <w:bCs w:val="0"/>
          <w:spacing w:val="5"/>
          <w:szCs w:val="24"/>
          <w:lang w:eastAsia="en-GB"/>
        </w:rPr>
        <w:t xml:space="preserve"> </w:t>
      </w:r>
      <w:r w:rsidRPr="00682EC4">
        <w:rPr>
          <w:rFonts w:cs="Arial"/>
          <w:bCs w:val="0"/>
          <w:spacing w:val="-1"/>
          <w:szCs w:val="24"/>
          <w:lang w:eastAsia="en-GB"/>
        </w:rPr>
        <w:t>and</w:t>
      </w:r>
      <w:r w:rsidRPr="00682EC4">
        <w:rPr>
          <w:rFonts w:cs="Arial"/>
          <w:bCs w:val="0"/>
          <w:spacing w:val="51"/>
          <w:szCs w:val="24"/>
          <w:lang w:eastAsia="en-GB"/>
        </w:rPr>
        <w:t xml:space="preserve"> </w:t>
      </w:r>
      <w:r w:rsidRPr="00682EC4">
        <w:rPr>
          <w:rFonts w:cs="Arial"/>
          <w:bCs w:val="0"/>
          <w:spacing w:val="-1"/>
          <w:szCs w:val="24"/>
          <w:lang w:eastAsia="en-GB"/>
        </w:rPr>
        <w:t>the</w:t>
      </w:r>
      <w:r w:rsidRPr="00682EC4">
        <w:rPr>
          <w:rFonts w:cs="Arial"/>
          <w:bCs w:val="0"/>
          <w:spacing w:val="63"/>
          <w:szCs w:val="24"/>
          <w:lang w:eastAsia="en-GB"/>
        </w:rPr>
        <w:t xml:space="preserve"> </w:t>
      </w:r>
      <w:r w:rsidRPr="00682EC4">
        <w:rPr>
          <w:rFonts w:cs="Arial"/>
          <w:bCs w:val="0"/>
          <w:spacing w:val="-1"/>
          <w:szCs w:val="24"/>
          <w:lang w:eastAsia="en-GB"/>
        </w:rPr>
        <w:t>public</w:t>
      </w:r>
      <w:r w:rsidRPr="00682EC4">
        <w:rPr>
          <w:rFonts w:cs="Arial"/>
          <w:bCs w:val="0"/>
          <w:spacing w:val="64"/>
          <w:szCs w:val="24"/>
          <w:lang w:eastAsia="en-GB"/>
        </w:rPr>
        <w:t xml:space="preserve"> </w:t>
      </w:r>
      <w:r w:rsidRPr="00682EC4">
        <w:rPr>
          <w:rFonts w:cs="Arial"/>
          <w:bCs w:val="0"/>
          <w:spacing w:val="-1"/>
          <w:szCs w:val="24"/>
          <w:lang w:eastAsia="en-GB"/>
        </w:rPr>
        <w:t>in</w:t>
      </w:r>
      <w:r w:rsidRPr="00682EC4">
        <w:rPr>
          <w:rFonts w:cs="Arial"/>
          <w:bCs w:val="0"/>
          <w:spacing w:val="65"/>
          <w:szCs w:val="24"/>
          <w:lang w:eastAsia="en-GB"/>
        </w:rPr>
        <w:t xml:space="preserve"> </w:t>
      </w:r>
      <w:r w:rsidRPr="00682EC4">
        <w:rPr>
          <w:rFonts w:cs="Arial"/>
          <w:bCs w:val="0"/>
          <w:szCs w:val="24"/>
          <w:lang w:eastAsia="en-GB"/>
        </w:rPr>
        <w:t>primary</w:t>
      </w:r>
      <w:r w:rsidRPr="00682EC4">
        <w:rPr>
          <w:rFonts w:cs="Arial"/>
          <w:bCs w:val="0"/>
          <w:spacing w:val="65"/>
          <w:szCs w:val="24"/>
          <w:lang w:eastAsia="en-GB"/>
        </w:rPr>
        <w:t xml:space="preserve"> </w:t>
      </w:r>
      <w:r w:rsidRPr="00682EC4">
        <w:rPr>
          <w:rFonts w:cs="Arial"/>
          <w:bCs w:val="0"/>
          <w:spacing w:val="-1"/>
          <w:szCs w:val="24"/>
          <w:lang w:eastAsia="en-GB"/>
        </w:rPr>
        <w:t>care</w:t>
      </w:r>
      <w:r w:rsidRPr="00682EC4">
        <w:rPr>
          <w:rFonts w:cs="Arial"/>
          <w:bCs w:val="0"/>
          <w:spacing w:val="64"/>
          <w:szCs w:val="24"/>
          <w:lang w:eastAsia="en-GB"/>
        </w:rPr>
        <w:t xml:space="preserve"> </w:t>
      </w:r>
      <w:r w:rsidRPr="00682EC4">
        <w:rPr>
          <w:rFonts w:cs="Arial"/>
          <w:bCs w:val="0"/>
          <w:spacing w:val="-1"/>
          <w:szCs w:val="24"/>
          <w:lang w:eastAsia="en-GB"/>
        </w:rPr>
        <w:t>commissioning,</w:t>
      </w:r>
      <w:r w:rsidRPr="00682EC4">
        <w:rPr>
          <w:rFonts w:cs="Arial"/>
          <w:bCs w:val="0"/>
          <w:spacing w:val="65"/>
          <w:szCs w:val="24"/>
          <w:lang w:eastAsia="en-GB"/>
        </w:rPr>
        <w:t xml:space="preserve"> </w:t>
      </w:r>
      <w:r w:rsidRPr="00682EC4">
        <w:rPr>
          <w:rFonts w:cs="Arial"/>
          <w:bCs w:val="0"/>
          <w:spacing w:val="-1"/>
          <w:szCs w:val="24"/>
          <w:lang w:eastAsia="en-GB"/>
        </w:rPr>
        <w:t>which</w:t>
      </w:r>
      <w:r w:rsidRPr="00682EC4">
        <w:rPr>
          <w:rFonts w:cs="Arial"/>
          <w:bCs w:val="0"/>
          <w:spacing w:val="65"/>
          <w:szCs w:val="24"/>
          <w:lang w:eastAsia="en-GB"/>
        </w:rPr>
        <w:t xml:space="preserve"> </w:t>
      </w:r>
      <w:r w:rsidRPr="00682EC4">
        <w:rPr>
          <w:rFonts w:cs="Arial"/>
          <w:bCs w:val="0"/>
          <w:spacing w:val="-1"/>
          <w:szCs w:val="24"/>
          <w:lang w:eastAsia="en-GB"/>
        </w:rPr>
        <w:t>includes</w:t>
      </w:r>
      <w:r w:rsidRPr="00682EC4">
        <w:rPr>
          <w:rFonts w:cs="Arial"/>
          <w:bCs w:val="0"/>
          <w:spacing w:val="46"/>
          <w:w w:val="99"/>
          <w:szCs w:val="24"/>
          <w:lang w:eastAsia="en-GB"/>
        </w:rPr>
        <w:t xml:space="preserve"> </w:t>
      </w:r>
      <w:r w:rsidRPr="00682EC4">
        <w:rPr>
          <w:rFonts w:cs="Arial"/>
          <w:bCs w:val="0"/>
          <w:spacing w:val="-1"/>
          <w:szCs w:val="24"/>
          <w:lang w:eastAsia="en-GB"/>
        </w:rPr>
        <w:t>resources</w:t>
      </w:r>
      <w:r w:rsidRPr="00682EC4">
        <w:rPr>
          <w:rFonts w:cs="Arial"/>
          <w:bCs w:val="0"/>
          <w:spacing w:val="-9"/>
          <w:szCs w:val="24"/>
          <w:lang w:eastAsia="en-GB"/>
        </w:rPr>
        <w:t xml:space="preserve"> </w:t>
      </w:r>
      <w:r w:rsidRPr="00682EC4">
        <w:rPr>
          <w:rFonts w:cs="Arial"/>
          <w:bCs w:val="0"/>
          <w:spacing w:val="-1"/>
          <w:szCs w:val="24"/>
          <w:lang w:eastAsia="en-GB"/>
        </w:rPr>
        <w:t>developed</w:t>
      </w:r>
      <w:r w:rsidRPr="00682EC4">
        <w:rPr>
          <w:rFonts w:cs="Arial"/>
          <w:bCs w:val="0"/>
          <w:spacing w:val="-8"/>
          <w:szCs w:val="24"/>
          <w:lang w:eastAsia="en-GB"/>
        </w:rPr>
        <w:t xml:space="preserve"> </w:t>
      </w:r>
      <w:r w:rsidRPr="00682EC4">
        <w:rPr>
          <w:rFonts w:cs="Arial"/>
          <w:bCs w:val="0"/>
          <w:spacing w:val="-1"/>
          <w:szCs w:val="24"/>
          <w:lang w:eastAsia="en-GB"/>
        </w:rPr>
        <w:t>especially</w:t>
      </w:r>
      <w:r w:rsidRPr="00682EC4">
        <w:rPr>
          <w:rFonts w:cs="Arial"/>
          <w:bCs w:val="0"/>
          <w:spacing w:val="-7"/>
          <w:szCs w:val="24"/>
          <w:lang w:eastAsia="en-GB"/>
        </w:rPr>
        <w:t xml:space="preserve"> </w:t>
      </w:r>
      <w:r w:rsidRPr="00682EC4">
        <w:rPr>
          <w:rFonts w:cs="Arial"/>
          <w:bCs w:val="0"/>
          <w:spacing w:val="-1"/>
          <w:szCs w:val="24"/>
          <w:lang w:eastAsia="en-GB"/>
        </w:rPr>
        <w:t>for</w:t>
      </w:r>
      <w:r w:rsidRPr="00682EC4">
        <w:rPr>
          <w:rFonts w:cs="Arial"/>
          <w:bCs w:val="0"/>
          <w:spacing w:val="-8"/>
          <w:szCs w:val="24"/>
          <w:lang w:eastAsia="en-GB"/>
        </w:rPr>
        <w:t xml:space="preserve"> </w:t>
      </w:r>
      <w:r w:rsidRPr="00682EC4">
        <w:rPr>
          <w:rFonts w:cs="Arial"/>
          <w:bCs w:val="0"/>
          <w:spacing w:val="-1"/>
          <w:szCs w:val="24"/>
          <w:lang w:eastAsia="en-GB"/>
        </w:rPr>
        <w:t>primary</w:t>
      </w:r>
      <w:r w:rsidRPr="00682EC4">
        <w:rPr>
          <w:rFonts w:cs="Arial"/>
          <w:bCs w:val="0"/>
          <w:spacing w:val="-7"/>
          <w:szCs w:val="24"/>
          <w:lang w:eastAsia="en-GB"/>
        </w:rPr>
        <w:t xml:space="preserve"> </w:t>
      </w:r>
      <w:r w:rsidRPr="00682EC4">
        <w:rPr>
          <w:rFonts w:cs="Arial"/>
          <w:bCs w:val="0"/>
          <w:spacing w:val="-1"/>
          <w:szCs w:val="24"/>
          <w:lang w:eastAsia="en-GB"/>
        </w:rPr>
        <w:t>care.</w:t>
      </w:r>
    </w:p>
    <w:p w14:paraId="6277F935" w14:textId="0B95C453" w:rsidR="00DB7F92" w:rsidRPr="00682EC4" w:rsidRDefault="00DB7F92" w:rsidP="006C3DF5">
      <w:pPr>
        <w:pStyle w:val="ListParagraph"/>
        <w:widowControl w:val="0"/>
        <w:numPr>
          <w:ilvl w:val="0"/>
          <w:numId w:val="77"/>
        </w:numPr>
        <w:tabs>
          <w:tab w:val="left" w:pos="2007"/>
        </w:tabs>
        <w:spacing w:before="120" w:after="120" w:line="360" w:lineRule="auto"/>
        <w:ind w:right="115"/>
        <w:jc w:val="both"/>
        <w:rPr>
          <w:rFonts w:cs="Arial"/>
          <w:bCs w:val="0"/>
          <w:spacing w:val="-1"/>
          <w:szCs w:val="24"/>
          <w:lang w:eastAsia="en-GB"/>
        </w:rPr>
      </w:pPr>
      <w:r w:rsidRPr="00682EC4">
        <w:rPr>
          <w:rFonts w:cs="Arial"/>
          <w:bCs w:val="0"/>
          <w:spacing w:val="-1"/>
          <w:szCs w:val="24"/>
          <w:lang w:eastAsia="en-GB"/>
        </w:rPr>
        <w:t>Resources to help commissioners identify whether section 13Q applies, put in place appropriate arrangements for public involvement and avoid legal challenge</w:t>
      </w:r>
      <w:r w:rsidR="001D58B4">
        <w:rPr>
          <w:rFonts w:cs="Arial"/>
          <w:bCs w:val="0"/>
          <w:spacing w:val="-1"/>
          <w:szCs w:val="24"/>
          <w:lang w:eastAsia="en-GB"/>
        </w:rPr>
        <w:t>s</w:t>
      </w:r>
      <w:r w:rsidRPr="00682EC4">
        <w:rPr>
          <w:rFonts w:cs="Arial"/>
          <w:bCs w:val="0"/>
          <w:spacing w:val="-1"/>
          <w:szCs w:val="24"/>
          <w:lang w:eastAsia="en-GB"/>
        </w:rPr>
        <w:t>.</w:t>
      </w:r>
    </w:p>
    <w:p w14:paraId="2FA04677" w14:textId="0B996831" w:rsidR="00DB7F92" w:rsidRPr="00682EC4" w:rsidRDefault="00DB7F92" w:rsidP="006C3DF5">
      <w:pPr>
        <w:pStyle w:val="ListParagraph"/>
        <w:widowControl w:val="0"/>
        <w:numPr>
          <w:ilvl w:val="0"/>
          <w:numId w:val="77"/>
        </w:numPr>
        <w:tabs>
          <w:tab w:val="left" w:pos="2007"/>
        </w:tabs>
        <w:spacing w:before="120" w:after="120" w:line="360" w:lineRule="auto"/>
        <w:ind w:right="115"/>
        <w:jc w:val="both"/>
        <w:rPr>
          <w:rFonts w:cs="Arial"/>
          <w:bCs w:val="0"/>
          <w:spacing w:val="-1"/>
          <w:szCs w:val="24"/>
          <w:lang w:eastAsia="en-GB"/>
        </w:rPr>
      </w:pPr>
      <w:r w:rsidRPr="00682EC4">
        <w:rPr>
          <w:rFonts w:cs="Arial"/>
          <w:bCs w:val="0"/>
          <w:spacing w:val="-1"/>
          <w:szCs w:val="24"/>
          <w:lang w:eastAsia="en-GB"/>
        </w:rPr>
        <w:t>Guidance on a variety of topics that often arise, such as what ‘public involvement’ means, how to involve the public, who to involve, when involvement should take place, urgent decisions and joint involvement exercises</w:t>
      </w:r>
      <w:r w:rsidR="007F019E">
        <w:rPr>
          <w:rFonts w:cs="Arial"/>
          <w:bCs w:val="0"/>
          <w:spacing w:val="-1"/>
          <w:szCs w:val="24"/>
          <w:lang w:eastAsia="en-GB"/>
        </w:rPr>
        <w:t>.</w:t>
      </w:r>
      <w:r w:rsidR="001D58B4">
        <w:rPr>
          <w:rFonts w:cs="Arial"/>
          <w:bCs w:val="0"/>
          <w:spacing w:val="-1"/>
          <w:szCs w:val="24"/>
          <w:lang w:eastAsia="en-GB"/>
        </w:rPr>
        <w:t xml:space="preserve"> </w:t>
      </w:r>
    </w:p>
    <w:p w14:paraId="32BBFF66" w14:textId="0CD55F52" w:rsidR="00DB7F92" w:rsidRPr="00682EC4" w:rsidRDefault="00DB7F92" w:rsidP="006C3DF5">
      <w:pPr>
        <w:pStyle w:val="ListParagraph"/>
        <w:widowControl w:val="0"/>
        <w:numPr>
          <w:ilvl w:val="0"/>
          <w:numId w:val="77"/>
        </w:numPr>
        <w:tabs>
          <w:tab w:val="left" w:pos="2007"/>
        </w:tabs>
        <w:spacing w:before="120" w:after="120" w:line="360" w:lineRule="auto"/>
        <w:ind w:right="115"/>
        <w:jc w:val="both"/>
        <w:rPr>
          <w:rFonts w:cs="Arial"/>
          <w:bCs w:val="0"/>
          <w:spacing w:val="-1"/>
          <w:szCs w:val="24"/>
          <w:lang w:eastAsia="en-GB"/>
        </w:rPr>
      </w:pPr>
      <w:r w:rsidRPr="00682EC4">
        <w:rPr>
          <w:rFonts w:cs="Arial"/>
          <w:bCs w:val="0"/>
          <w:spacing w:val="-1"/>
          <w:szCs w:val="24"/>
          <w:lang w:eastAsia="en-GB"/>
        </w:rPr>
        <w:t>Case studies based upon primary care scenarios</w:t>
      </w:r>
      <w:r w:rsidR="007F019E">
        <w:rPr>
          <w:rFonts w:cs="Arial"/>
          <w:bCs w:val="0"/>
          <w:spacing w:val="-1"/>
          <w:szCs w:val="24"/>
          <w:lang w:eastAsia="en-GB"/>
        </w:rPr>
        <w:t>.</w:t>
      </w:r>
    </w:p>
    <w:p w14:paraId="7141C06C" w14:textId="70B68668" w:rsidR="00DB7F92" w:rsidRPr="00682EC4" w:rsidRDefault="00DB7F92" w:rsidP="006C3DF5">
      <w:pPr>
        <w:pStyle w:val="ListParagraph"/>
        <w:widowControl w:val="0"/>
        <w:numPr>
          <w:ilvl w:val="0"/>
          <w:numId w:val="77"/>
        </w:numPr>
        <w:tabs>
          <w:tab w:val="left" w:pos="2007"/>
        </w:tabs>
        <w:spacing w:before="120" w:after="120" w:line="360" w:lineRule="auto"/>
        <w:ind w:right="115"/>
        <w:jc w:val="both"/>
        <w:rPr>
          <w:rFonts w:cs="Arial"/>
          <w:bCs w:val="0"/>
          <w:spacing w:val="-1"/>
          <w:szCs w:val="24"/>
          <w:lang w:eastAsia="en-GB"/>
        </w:rPr>
      </w:pPr>
      <w:r w:rsidRPr="00682EC4">
        <w:rPr>
          <w:rFonts w:cs="Arial"/>
          <w:bCs w:val="0"/>
          <w:spacing w:val="-1"/>
          <w:szCs w:val="24"/>
          <w:lang w:eastAsia="en-GB"/>
        </w:rPr>
        <w:t>Summaries of related legal duties</w:t>
      </w:r>
      <w:r w:rsidR="007F019E">
        <w:rPr>
          <w:rFonts w:cs="Arial"/>
          <w:bCs w:val="0"/>
          <w:spacing w:val="-1"/>
          <w:szCs w:val="24"/>
          <w:lang w:eastAsia="en-GB"/>
        </w:rPr>
        <w:t>.</w:t>
      </w:r>
    </w:p>
    <w:p w14:paraId="027FDD4F" w14:textId="77777777" w:rsidR="00DB7F92" w:rsidRPr="00682EC4" w:rsidRDefault="00DB7F92" w:rsidP="006C3DF5">
      <w:pPr>
        <w:pStyle w:val="ListParagraph"/>
        <w:widowControl w:val="0"/>
        <w:numPr>
          <w:ilvl w:val="0"/>
          <w:numId w:val="77"/>
        </w:numPr>
        <w:tabs>
          <w:tab w:val="left" w:pos="2007"/>
        </w:tabs>
        <w:spacing w:before="120" w:after="120" w:line="360" w:lineRule="auto"/>
        <w:ind w:right="115"/>
        <w:jc w:val="both"/>
        <w:rPr>
          <w:rFonts w:cs="Arial"/>
          <w:bCs w:val="0"/>
          <w:spacing w:val="-1"/>
          <w:szCs w:val="24"/>
          <w:lang w:eastAsia="en-GB"/>
        </w:rPr>
      </w:pPr>
      <w:r w:rsidRPr="00682EC4">
        <w:rPr>
          <w:rFonts w:cs="Arial"/>
          <w:bCs w:val="0"/>
          <w:spacing w:val="-1"/>
          <w:szCs w:val="24"/>
          <w:lang w:eastAsia="en-GB"/>
        </w:rPr>
        <w:t>Details of how to seek further advice if needed.</w:t>
      </w:r>
    </w:p>
    <w:p w14:paraId="7E59CCBA" w14:textId="41D4E910" w:rsidR="00DB7F92" w:rsidRPr="00DB7F92" w:rsidRDefault="00DB7F92" w:rsidP="00DD5D2D">
      <w:pPr>
        <w:pStyle w:val="Heading3"/>
        <w:jc w:val="both"/>
        <w:rPr>
          <w:lang w:eastAsia="en-GB"/>
        </w:rPr>
      </w:pPr>
      <w:r w:rsidRPr="00DB7F92">
        <w:rPr>
          <w:lang w:eastAsia="en-GB"/>
        </w:rPr>
        <w:t>The</w:t>
      </w:r>
      <w:r w:rsidRPr="00DB7F92">
        <w:rPr>
          <w:spacing w:val="28"/>
          <w:lang w:eastAsia="en-GB"/>
        </w:rPr>
        <w:t xml:space="preserve"> </w:t>
      </w:r>
      <w:r w:rsidRPr="00DB7F92">
        <w:rPr>
          <w:lang w:eastAsia="en-GB"/>
        </w:rPr>
        <w:t>documentation</w:t>
      </w:r>
      <w:r w:rsidRPr="00DB7F92">
        <w:rPr>
          <w:spacing w:val="31"/>
          <w:lang w:eastAsia="en-GB"/>
        </w:rPr>
        <w:t xml:space="preserve"> </w:t>
      </w:r>
      <w:r w:rsidRPr="00DB7F92">
        <w:rPr>
          <w:lang w:eastAsia="en-GB"/>
        </w:rPr>
        <w:t>is</w:t>
      </w:r>
      <w:r w:rsidRPr="00DB7F92">
        <w:rPr>
          <w:spacing w:val="30"/>
          <w:lang w:eastAsia="en-GB"/>
        </w:rPr>
        <w:t xml:space="preserve"> </w:t>
      </w:r>
      <w:r w:rsidRPr="00DB7F92">
        <w:rPr>
          <w:lang w:eastAsia="en-GB"/>
        </w:rPr>
        <w:t>intended</w:t>
      </w:r>
      <w:r w:rsidRPr="00DB7F92">
        <w:rPr>
          <w:spacing w:val="31"/>
          <w:lang w:eastAsia="en-GB"/>
        </w:rPr>
        <w:t xml:space="preserve"> </w:t>
      </w:r>
      <w:r w:rsidRPr="00DB7F92">
        <w:rPr>
          <w:lang w:eastAsia="en-GB"/>
        </w:rPr>
        <w:t>to</w:t>
      </w:r>
      <w:r w:rsidRPr="00DB7F92">
        <w:rPr>
          <w:spacing w:val="28"/>
          <w:lang w:eastAsia="en-GB"/>
        </w:rPr>
        <w:t xml:space="preserve"> </w:t>
      </w:r>
      <w:r w:rsidRPr="00DB7F92">
        <w:rPr>
          <w:lang w:eastAsia="en-GB"/>
        </w:rPr>
        <w:t>be</w:t>
      </w:r>
      <w:r w:rsidRPr="00DB7F92">
        <w:rPr>
          <w:spacing w:val="28"/>
          <w:lang w:eastAsia="en-GB"/>
        </w:rPr>
        <w:t xml:space="preserve"> </w:t>
      </w:r>
      <w:r w:rsidRPr="00DB7F92">
        <w:rPr>
          <w:lang w:eastAsia="en-GB"/>
        </w:rPr>
        <w:t>used</w:t>
      </w:r>
      <w:r w:rsidRPr="00DB7F92">
        <w:rPr>
          <w:spacing w:val="31"/>
          <w:lang w:eastAsia="en-GB"/>
        </w:rPr>
        <w:t xml:space="preserve"> </w:t>
      </w:r>
      <w:r w:rsidRPr="00DB7F92">
        <w:rPr>
          <w:lang w:eastAsia="en-GB"/>
        </w:rPr>
        <w:t>by</w:t>
      </w:r>
      <w:r w:rsidRPr="00DB7F92">
        <w:rPr>
          <w:spacing w:val="30"/>
          <w:lang w:eastAsia="en-GB"/>
        </w:rPr>
        <w:t xml:space="preserve"> </w:t>
      </w:r>
      <w:r w:rsidRPr="00DB7F92">
        <w:rPr>
          <w:lang w:eastAsia="en-GB"/>
        </w:rPr>
        <w:t>both commissioners (who</w:t>
      </w:r>
      <w:r w:rsidRPr="00DB7F92">
        <w:rPr>
          <w:spacing w:val="39"/>
          <w:lang w:eastAsia="en-GB"/>
        </w:rPr>
        <w:t xml:space="preserve"> </w:t>
      </w:r>
      <w:r w:rsidRPr="00DB7F92">
        <w:rPr>
          <w:lang w:eastAsia="en-GB"/>
        </w:rPr>
        <w:t>need</w:t>
      </w:r>
      <w:r w:rsidRPr="00DB7F92">
        <w:rPr>
          <w:spacing w:val="27"/>
          <w:lang w:eastAsia="en-GB"/>
        </w:rPr>
        <w:t xml:space="preserve"> </w:t>
      </w:r>
      <w:r w:rsidRPr="00DB7F92">
        <w:rPr>
          <w:lang w:eastAsia="en-GB"/>
        </w:rPr>
        <w:t>to</w:t>
      </w:r>
      <w:r w:rsidRPr="00DB7F92">
        <w:rPr>
          <w:spacing w:val="28"/>
          <w:lang w:eastAsia="en-GB"/>
        </w:rPr>
        <w:t xml:space="preserve"> </w:t>
      </w:r>
      <w:r w:rsidRPr="00DB7F92">
        <w:rPr>
          <w:lang w:eastAsia="en-GB"/>
        </w:rPr>
        <w:t>understand</w:t>
      </w:r>
      <w:r w:rsidRPr="00DB7F92">
        <w:rPr>
          <w:spacing w:val="30"/>
          <w:lang w:eastAsia="en-GB"/>
        </w:rPr>
        <w:t xml:space="preserve"> </w:t>
      </w:r>
      <w:r w:rsidRPr="00DB7F92">
        <w:rPr>
          <w:lang w:eastAsia="en-GB"/>
        </w:rPr>
        <w:t>and</w:t>
      </w:r>
      <w:r w:rsidRPr="00DB7F92">
        <w:rPr>
          <w:spacing w:val="28"/>
          <w:lang w:eastAsia="en-GB"/>
        </w:rPr>
        <w:t xml:space="preserve"> </w:t>
      </w:r>
      <w:r w:rsidRPr="00DB7F92">
        <w:rPr>
          <w:lang w:eastAsia="en-GB"/>
        </w:rPr>
        <w:t>comply</w:t>
      </w:r>
      <w:r w:rsidRPr="00DB7F92">
        <w:rPr>
          <w:spacing w:val="29"/>
          <w:lang w:eastAsia="en-GB"/>
        </w:rPr>
        <w:t xml:space="preserve"> </w:t>
      </w:r>
      <w:r w:rsidRPr="00DB7F92">
        <w:rPr>
          <w:lang w:eastAsia="en-GB"/>
        </w:rPr>
        <w:t>with</w:t>
      </w:r>
      <w:r w:rsidRPr="00DB7F92">
        <w:rPr>
          <w:spacing w:val="31"/>
          <w:lang w:eastAsia="en-GB"/>
        </w:rPr>
        <w:t xml:space="preserve"> </w:t>
      </w:r>
      <w:r w:rsidRPr="00DB7F92">
        <w:rPr>
          <w:lang w:eastAsia="en-GB"/>
        </w:rPr>
        <w:t>the</w:t>
      </w:r>
      <w:r w:rsidRPr="00DB7F92">
        <w:rPr>
          <w:spacing w:val="28"/>
          <w:lang w:eastAsia="en-GB"/>
        </w:rPr>
        <w:t xml:space="preserve"> </w:t>
      </w:r>
      <w:r w:rsidRPr="00DB7F92">
        <w:rPr>
          <w:lang w:eastAsia="en-GB"/>
        </w:rPr>
        <w:t>arrangements</w:t>
      </w:r>
      <w:r w:rsidRPr="00DB7F92">
        <w:rPr>
          <w:spacing w:val="30"/>
          <w:lang w:eastAsia="en-GB"/>
        </w:rPr>
        <w:t xml:space="preserve"> </w:t>
      </w:r>
      <w:r w:rsidRPr="00DB7F92">
        <w:rPr>
          <w:lang w:eastAsia="en-GB"/>
        </w:rPr>
        <w:t>when</w:t>
      </w:r>
      <w:r w:rsidRPr="00DB7F92">
        <w:rPr>
          <w:spacing w:val="50"/>
          <w:w w:val="99"/>
          <w:lang w:eastAsia="en-GB"/>
        </w:rPr>
        <w:t xml:space="preserve"> </w:t>
      </w:r>
      <w:r w:rsidRPr="00DB7F92">
        <w:rPr>
          <w:lang w:eastAsia="en-GB"/>
        </w:rPr>
        <w:t>commissioning</w:t>
      </w:r>
      <w:r w:rsidRPr="00DB7F92">
        <w:rPr>
          <w:spacing w:val="6"/>
          <w:lang w:eastAsia="en-GB"/>
        </w:rPr>
        <w:t xml:space="preserve"> </w:t>
      </w:r>
      <w:r w:rsidRPr="00DB7F92">
        <w:rPr>
          <w:lang w:eastAsia="en-GB"/>
        </w:rPr>
        <w:t>services)</w:t>
      </w:r>
      <w:r w:rsidRPr="00DB7F92">
        <w:rPr>
          <w:spacing w:val="6"/>
          <w:lang w:eastAsia="en-GB"/>
        </w:rPr>
        <w:t xml:space="preserve"> </w:t>
      </w:r>
      <w:r w:rsidRPr="00DB7F92">
        <w:rPr>
          <w:lang w:eastAsia="en-GB"/>
        </w:rPr>
        <w:t>and</w:t>
      </w:r>
      <w:r w:rsidRPr="00DB7F92">
        <w:rPr>
          <w:spacing w:val="6"/>
          <w:lang w:eastAsia="en-GB"/>
        </w:rPr>
        <w:t xml:space="preserve"> </w:t>
      </w:r>
      <w:r w:rsidRPr="00DB7F92">
        <w:rPr>
          <w:lang w:eastAsia="en-GB"/>
        </w:rPr>
        <w:t>the</w:t>
      </w:r>
      <w:r w:rsidRPr="00DB7F92">
        <w:rPr>
          <w:spacing w:val="7"/>
          <w:lang w:eastAsia="en-GB"/>
        </w:rPr>
        <w:t xml:space="preserve"> </w:t>
      </w:r>
      <w:r w:rsidRPr="00DB7F92">
        <w:rPr>
          <w:lang w:eastAsia="en-GB"/>
        </w:rPr>
        <w:t>public</w:t>
      </w:r>
      <w:r w:rsidRPr="00DB7F92">
        <w:rPr>
          <w:spacing w:val="6"/>
          <w:lang w:eastAsia="en-GB"/>
        </w:rPr>
        <w:t xml:space="preserve"> </w:t>
      </w:r>
      <w:r w:rsidRPr="00DB7F92">
        <w:rPr>
          <w:lang w:eastAsia="en-GB"/>
        </w:rPr>
        <w:t>(to</w:t>
      </w:r>
      <w:r w:rsidRPr="00DB7F92">
        <w:rPr>
          <w:spacing w:val="6"/>
          <w:lang w:eastAsia="en-GB"/>
        </w:rPr>
        <w:t xml:space="preserve"> </w:t>
      </w:r>
      <w:r w:rsidRPr="00DB7F92">
        <w:rPr>
          <w:lang w:eastAsia="en-GB"/>
        </w:rPr>
        <w:t>understand</w:t>
      </w:r>
      <w:r w:rsidRPr="00DB7F92">
        <w:rPr>
          <w:spacing w:val="6"/>
          <w:lang w:eastAsia="en-GB"/>
        </w:rPr>
        <w:t xml:space="preserve"> </w:t>
      </w:r>
      <w:r w:rsidRPr="00DB7F92">
        <w:rPr>
          <w:lang w:eastAsia="en-GB"/>
        </w:rPr>
        <w:t>how</w:t>
      </w:r>
      <w:r w:rsidRPr="00DB7F92">
        <w:rPr>
          <w:spacing w:val="8"/>
          <w:lang w:eastAsia="en-GB"/>
        </w:rPr>
        <w:t xml:space="preserve"> </w:t>
      </w:r>
      <w:r w:rsidRPr="00DB7F92">
        <w:rPr>
          <w:lang w:eastAsia="en-GB"/>
        </w:rPr>
        <w:t>NHS</w:t>
      </w:r>
      <w:r w:rsidRPr="00DB7F92">
        <w:rPr>
          <w:spacing w:val="6"/>
          <w:lang w:eastAsia="en-GB"/>
        </w:rPr>
        <w:t xml:space="preserve"> </w:t>
      </w:r>
      <w:r w:rsidRPr="00DB7F92">
        <w:rPr>
          <w:lang w:eastAsia="en-GB"/>
        </w:rPr>
        <w:t>England</w:t>
      </w:r>
      <w:r w:rsidRPr="00DB7F92">
        <w:rPr>
          <w:spacing w:val="48"/>
          <w:lang w:eastAsia="en-GB"/>
        </w:rPr>
        <w:t xml:space="preserve"> </w:t>
      </w:r>
      <w:r w:rsidRPr="00DB7F92">
        <w:rPr>
          <w:lang w:eastAsia="en-GB"/>
        </w:rPr>
        <w:t>involves</w:t>
      </w:r>
      <w:r w:rsidRPr="00DB7F92">
        <w:rPr>
          <w:spacing w:val="4"/>
          <w:lang w:eastAsia="en-GB"/>
        </w:rPr>
        <w:t xml:space="preserve"> </w:t>
      </w:r>
      <w:r w:rsidRPr="00DB7F92">
        <w:rPr>
          <w:lang w:eastAsia="en-GB"/>
        </w:rPr>
        <w:t>the</w:t>
      </w:r>
      <w:r w:rsidRPr="00DB7F92">
        <w:rPr>
          <w:spacing w:val="2"/>
          <w:lang w:eastAsia="en-GB"/>
        </w:rPr>
        <w:t xml:space="preserve"> </w:t>
      </w:r>
      <w:r w:rsidRPr="00DB7F92">
        <w:rPr>
          <w:lang w:eastAsia="en-GB"/>
        </w:rPr>
        <w:t>public</w:t>
      </w:r>
      <w:r w:rsidRPr="00DB7F92">
        <w:rPr>
          <w:spacing w:val="2"/>
          <w:lang w:eastAsia="en-GB"/>
        </w:rPr>
        <w:t xml:space="preserve"> </w:t>
      </w:r>
      <w:r w:rsidRPr="00DB7F92">
        <w:rPr>
          <w:lang w:eastAsia="en-GB"/>
        </w:rPr>
        <w:t>in</w:t>
      </w:r>
      <w:r w:rsidRPr="00DB7F92">
        <w:rPr>
          <w:spacing w:val="3"/>
          <w:lang w:eastAsia="en-GB"/>
        </w:rPr>
        <w:t xml:space="preserve"> </w:t>
      </w:r>
      <w:r w:rsidRPr="00DB7F92">
        <w:rPr>
          <w:lang w:eastAsia="en-GB"/>
        </w:rPr>
        <w:t>its</w:t>
      </w:r>
      <w:r w:rsidRPr="00DB7F92">
        <w:rPr>
          <w:spacing w:val="4"/>
          <w:lang w:eastAsia="en-GB"/>
        </w:rPr>
        <w:t xml:space="preserve"> </w:t>
      </w:r>
      <w:r w:rsidRPr="00DB7F92">
        <w:rPr>
          <w:lang w:eastAsia="en-GB"/>
        </w:rPr>
        <w:t>commissioning</w:t>
      </w:r>
      <w:r w:rsidRPr="00DB7F92">
        <w:rPr>
          <w:spacing w:val="4"/>
          <w:lang w:eastAsia="en-GB"/>
        </w:rPr>
        <w:t xml:space="preserve"> </w:t>
      </w:r>
      <w:r w:rsidRPr="00DB7F92">
        <w:rPr>
          <w:lang w:eastAsia="en-GB"/>
        </w:rPr>
        <w:t>of</w:t>
      </w:r>
      <w:r w:rsidRPr="00DB7F92">
        <w:rPr>
          <w:spacing w:val="2"/>
          <w:lang w:eastAsia="en-GB"/>
        </w:rPr>
        <w:t xml:space="preserve"> </w:t>
      </w:r>
      <w:r w:rsidRPr="00DB7F92">
        <w:rPr>
          <w:lang w:eastAsia="en-GB"/>
        </w:rPr>
        <w:t>services).</w:t>
      </w:r>
      <w:r w:rsidRPr="00DB7F92">
        <w:rPr>
          <w:spacing w:val="7"/>
          <w:lang w:eastAsia="en-GB"/>
        </w:rPr>
        <w:t xml:space="preserve"> As noted, for </w:t>
      </w:r>
      <w:r w:rsidR="00B83042">
        <w:rPr>
          <w:spacing w:val="7"/>
          <w:lang w:eastAsia="en-GB"/>
        </w:rPr>
        <w:t>CCGs/ICBs</w:t>
      </w:r>
      <w:r w:rsidR="008B199F">
        <w:rPr>
          <w:spacing w:val="7"/>
          <w:lang w:eastAsia="en-GB"/>
        </w:rPr>
        <w:t xml:space="preserve"> </w:t>
      </w:r>
      <w:r w:rsidRPr="00DB7F92">
        <w:rPr>
          <w:spacing w:val="7"/>
          <w:lang w:eastAsia="en-GB"/>
        </w:rPr>
        <w:t>co-commissioning under delegated authority from NHS England, these arrangements are supplementary to their own requirement to have in place arrangements for public involvement under section 14Z2 of the NHS Act 2006.</w:t>
      </w:r>
    </w:p>
    <w:p w14:paraId="56100225" w14:textId="77777777" w:rsidR="00DB7F92" w:rsidRPr="00DB7F92" w:rsidRDefault="00DB7F92" w:rsidP="00DB7F92">
      <w:pPr>
        <w:spacing w:before="11"/>
        <w:jc w:val="both"/>
        <w:rPr>
          <w:rFonts w:eastAsia="Segoe UI Semilight" w:cs="Arial"/>
          <w:sz w:val="20"/>
          <w:szCs w:val="20"/>
        </w:rPr>
      </w:pPr>
    </w:p>
    <w:p w14:paraId="0CD2EA36" w14:textId="6A231D02" w:rsidR="00DB7F92" w:rsidRPr="00DB7F92" w:rsidRDefault="00D32C7A" w:rsidP="00DB7F92">
      <w:pPr>
        <w:pStyle w:val="Heading2"/>
        <w:rPr>
          <w:rFonts w:eastAsiaTheme="majorEastAsia"/>
        </w:rPr>
      </w:pPr>
      <w:bookmarkStart w:id="109" w:name="_Toc95743372"/>
      <w:r w:rsidRPr="00DB7F92">
        <w:rPr>
          <w:rFonts w:eastAsiaTheme="majorEastAsia"/>
        </w:rPr>
        <w:t>Duty</w:t>
      </w:r>
      <w:r w:rsidRPr="00DB7F92">
        <w:rPr>
          <w:rFonts w:eastAsiaTheme="majorEastAsia"/>
          <w:spacing w:val="-4"/>
        </w:rPr>
        <w:t xml:space="preserve"> </w:t>
      </w:r>
      <w:r>
        <w:rPr>
          <w:rFonts w:eastAsiaTheme="majorEastAsia"/>
        </w:rPr>
        <w:t>t</w:t>
      </w:r>
      <w:r w:rsidRPr="00DB7F92">
        <w:rPr>
          <w:rFonts w:eastAsiaTheme="majorEastAsia"/>
        </w:rPr>
        <w:t>o</w:t>
      </w:r>
      <w:r w:rsidRPr="00DB7F92">
        <w:rPr>
          <w:rFonts w:eastAsiaTheme="majorEastAsia"/>
          <w:spacing w:val="-2"/>
        </w:rPr>
        <w:t xml:space="preserve"> </w:t>
      </w:r>
      <w:r w:rsidRPr="00DB7F92">
        <w:rPr>
          <w:rFonts w:eastAsiaTheme="majorEastAsia"/>
        </w:rPr>
        <w:t>Act</w:t>
      </w:r>
      <w:r w:rsidRPr="00DB7F92">
        <w:rPr>
          <w:rFonts w:eastAsiaTheme="majorEastAsia"/>
          <w:spacing w:val="-2"/>
        </w:rPr>
        <w:t xml:space="preserve"> </w:t>
      </w:r>
      <w:r w:rsidRPr="00DB7F92">
        <w:rPr>
          <w:rFonts w:eastAsiaTheme="majorEastAsia"/>
        </w:rPr>
        <w:t>Fairly &amp; Reasonably</w:t>
      </w:r>
      <w:bookmarkEnd w:id="109"/>
    </w:p>
    <w:p w14:paraId="126FDE08" w14:textId="173ED095" w:rsidR="00DB7F92" w:rsidRPr="00DB7F92" w:rsidRDefault="00DB7F92" w:rsidP="00DD5D2D">
      <w:pPr>
        <w:pStyle w:val="Heading3"/>
        <w:jc w:val="both"/>
        <w:rPr>
          <w:lang w:eastAsia="en-GB"/>
        </w:rPr>
      </w:pPr>
      <w:r w:rsidRPr="00DB7F92">
        <w:rPr>
          <w:lang w:eastAsia="en-GB"/>
        </w:rPr>
        <w:t>Commissioners have</w:t>
      </w:r>
      <w:r w:rsidRPr="00DB7F92">
        <w:rPr>
          <w:spacing w:val="43"/>
          <w:lang w:eastAsia="en-GB"/>
        </w:rPr>
        <w:t xml:space="preserve"> </w:t>
      </w:r>
      <w:r w:rsidRPr="00DB7F92">
        <w:rPr>
          <w:lang w:eastAsia="en-GB"/>
        </w:rPr>
        <w:t>a duty</w:t>
      </w:r>
      <w:r w:rsidRPr="00DB7F92">
        <w:rPr>
          <w:spacing w:val="44"/>
          <w:lang w:eastAsia="en-GB"/>
        </w:rPr>
        <w:t xml:space="preserve"> </w:t>
      </w:r>
      <w:r w:rsidRPr="00DB7F92">
        <w:rPr>
          <w:lang w:eastAsia="en-GB"/>
        </w:rPr>
        <w:t>to</w:t>
      </w:r>
      <w:r w:rsidRPr="00DB7F92">
        <w:rPr>
          <w:spacing w:val="43"/>
          <w:lang w:eastAsia="en-GB"/>
        </w:rPr>
        <w:t xml:space="preserve"> </w:t>
      </w:r>
      <w:r w:rsidRPr="00DB7F92">
        <w:rPr>
          <w:lang w:eastAsia="en-GB"/>
        </w:rPr>
        <w:t>act</w:t>
      </w:r>
      <w:r w:rsidRPr="00DB7F92">
        <w:rPr>
          <w:spacing w:val="44"/>
          <w:lang w:eastAsia="en-GB"/>
        </w:rPr>
        <w:t xml:space="preserve"> </w:t>
      </w:r>
      <w:r w:rsidRPr="00DB7F92">
        <w:rPr>
          <w:lang w:eastAsia="en-GB"/>
        </w:rPr>
        <w:t>fairly</w:t>
      </w:r>
      <w:r w:rsidRPr="00DB7F92">
        <w:rPr>
          <w:spacing w:val="45"/>
          <w:lang w:eastAsia="en-GB"/>
        </w:rPr>
        <w:t xml:space="preserve"> </w:t>
      </w:r>
      <w:r w:rsidRPr="00DB7F92">
        <w:rPr>
          <w:lang w:eastAsia="en-GB"/>
        </w:rPr>
        <w:t>and</w:t>
      </w:r>
      <w:r w:rsidRPr="00DB7F92">
        <w:rPr>
          <w:spacing w:val="43"/>
          <w:lang w:eastAsia="en-GB"/>
        </w:rPr>
        <w:t xml:space="preserve"> </w:t>
      </w:r>
      <w:r w:rsidRPr="00DB7F92">
        <w:rPr>
          <w:lang w:eastAsia="en-GB"/>
        </w:rPr>
        <w:t>reasonably</w:t>
      </w:r>
      <w:r w:rsidRPr="00DB7F92">
        <w:rPr>
          <w:spacing w:val="44"/>
          <w:lang w:eastAsia="en-GB"/>
        </w:rPr>
        <w:t xml:space="preserve"> </w:t>
      </w:r>
      <w:r w:rsidRPr="00DB7F92">
        <w:rPr>
          <w:lang w:eastAsia="en-GB"/>
        </w:rPr>
        <w:t>when</w:t>
      </w:r>
      <w:r w:rsidRPr="00DB7F92">
        <w:rPr>
          <w:spacing w:val="44"/>
          <w:lang w:eastAsia="en-GB"/>
        </w:rPr>
        <w:t xml:space="preserve"> </w:t>
      </w:r>
      <w:r w:rsidRPr="00DB7F92">
        <w:rPr>
          <w:lang w:eastAsia="en-GB"/>
        </w:rPr>
        <w:t>making</w:t>
      </w:r>
      <w:r w:rsidRPr="00DB7F92">
        <w:rPr>
          <w:spacing w:val="43"/>
          <w:lang w:eastAsia="en-GB"/>
        </w:rPr>
        <w:t xml:space="preserve"> </w:t>
      </w:r>
      <w:r w:rsidRPr="00DB7F92">
        <w:rPr>
          <w:spacing w:val="39"/>
          <w:lang w:eastAsia="en-GB"/>
        </w:rPr>
        <w:t xml:space="preserve"> </w:t>
      </w:r>
      <w:r w:rsidRPr="00DB7F92">
        <w:rPr>
          <w:lang w:eastAsia="en-GB"/>
        </w:rPr>
        <w:t>decisions.</w:t>
      </w:r>
      <w:r w:rsidRPr="00DB7F92">
        <w:rPr>
          <w:spacing w:val="21"/>
          <w:lang w:eastAsia="en-GB"/>
        </w:rPr>
        <w:t xml:space="preserve"> </w:t>
      </w:r>
      <w:r w:rsidRPr="00DB7F92">
        <w:rPr>
          <w:lang w:eastAsia="en-GB"/>
        </w:rPr>
        <w:t>These</w:t>
      </w:r>
      <w:r w:rsidRPr="00DB7F92">
        <w:rPr>
          <w:spacing w:val="44"/>
          <w:lang w:eastAsia="en-GB"/>
        </w:rPr>
        <w:t xml:space="preserve"> </w:t>
      </w:r>
      <w:r w:rsidRPr="00DB7F92">
        <w:rPr>
          <w:lang w:eastAsia="en-GB"/>
        </w:rPr>
        <w:t>duties</w:t>
      </w:r>
      <w:r w:rsidRPr="00DB7F92">
        <w:rPr>
          <w:spacing w:val="45"/>
          <w:lang w:eastAsia="en-GB"/>
        </w:rPr>
        <w:t xml:space="preserve"> </w:t>
      </w:r>
      <w:r w:rsidRPr="00DB7F92">
        <w:rPr>
          <w:lang w:eastAsia="en-GB"/>
        </w:rPr>
        <w:t>come</w:t>
      </w:r>
      <w:r w:rsidRPr="00DB7F92">
        <w:rPr>
          <w:spacing w:val="42"/>
          <w:lang w:eastAsia="en-GB"/>
        </w:rPr>
        <w:t xml:space="preserve"> </w:t>
      </w:r>
      <w:r w:rsidRPr="00DB7F92">
        <w:rPr>
          <w:lang w:eastAsia="en-GB"/>
        </w:rPr>
        <w:t>from</w:t>
      </w:r>
      <w:r w:rsidRPr="00DB7F92">
        <w:rPr>
          <w:spacing w:val="46"/>
          <w:lang w:eastAsia="en-GB"/>
        </w:rPr>
        <w:t xml:space="preserve"> </w:t>
      </w:r>
      <w:r w:rsidRPr="00DB7F92">
        <w:rPr>
          <w:lang w:eastAsia="en-GB"/>
        </w:rPr>
        <w:t>case</w:t>
      </w:r>
      <w:r w:rsidRPr="00DB7F92">
        <w:rPr>
          <w:spacing w:val="42"/>
          <w:lang w:eastAsia="en-GB"/>
        </w:rPr>
        <w:t xml:space="preserve"> </w:t>
      </w:r>
      <w:r w:rsidRPr="00DB7F92">
        <w:rPr>
          <w:spacing w:val="1"/>
          <w:lang w:eastAsia="en-GB"/>
        </w:rPr>
        <w:t>law</w:t>
      </w:r>
      <w:r w:rsidRPr="00DB7F92">
        <w:rPr>
          <w:spacing w:val="44"/>
          <w:lang w:eastAsia="en-GB"/>
        </w:rPr>
        <w:t xml:space="preserve"> </w:t>
      </w:r>
      <w:r w:rsidRPr="00DB7F92">
        <w:rPr>
          <w:lang w:eastAsia="en-GB"/>
        </w:rPr>
        <w:t>that</w:t>
      </w:r>
      <w:r w:rsidRPr="00DB7F92">
        <w:rPr>
          <w:spacing w:val="43"/>
          <w:lang w:eastAsia="en-GB"/>
        </w:rPr>
        <w:t xml:space="preserve"> </w:t>
      </w:r>
      <w:r w:rsidRPr="00DB7F92">
        <w:rPr>
          <w:lang w:eastAsia="en-GB"/>
        </w:rPr>
        <w:t>applies</w:t>
      </w:r>
      <w:r w:rsidRPr="00DB7F92">
        <w:rPr>
          <w:spacing w:val="44"/>
          <w:lang w:eastAsia="en-GB"/>
        </w:rPr>
        <w:t xml:space="preserve"> </w:t>
      </w:r>
      <w:r w:rsidRPr="00DB7F92">
        <w:rPr>
          <w:lang w:eastAsia="en-GB"/>
        </w:rPr>
        <w:t>to</w:t>
      </w:r>
      <w:r w:rsidRPr="00DB7F92">
        <w:rPr>
          <w:spacing w:val="43"/>
          <w:lang w:eastAsia="en-GB"/>
        </w:rPr>
        <w:t xml:space="preserve"> </w:t>
      </w:r>
      <w:r w:rsidRPr="00DB7F92">
        <w:rPr>
          <w:lang w:eastAsia="en-GB"/>
        </w:rPr>
        <w:t>all</w:t>
      </w:r>
      <w:r w:rsidRPr="00DB7F92">
        <w:rPr>
          <w:spacing w:val="44"/>
          <w:lang w:eastAsia="en-GB"/>
        </w:rPr>
        <w:t xml:space="preserve"> </w:t>
      </w:r>
      <w:r w:rsidRPr="00DB7F92">
        <w:rPr>
          <w:lang w:eastAsia="en-GB"/>
        </w:rPr>
        <w:t>public</w:t>
      </w:r>
      <w:r w:rsidRPr="00DB7F92">
        <w:rPr>
          <w:spacing w:val="46"/>
          <w:w w:val="99"/>
          <w:lang w:eastAsia="en-GB"/>
        </w:rPr>
        <w:t xml:space="preserve"> </w:t>
      </w:r>
      <w:r w:rsidRPr="00DB7F92">
        <w:rPr>
          <w:lang w:eastAsia="en-GB"/>
        </w:rPr>
        <w:t>bodies.</w:t>
      </w:r>
    </w:p>
    <w:p w14:paraId="408D76B1" w14:textId="77777777" w:rsidR="004643DD" w:rsidRDefault="004643DD" w:rsidP="006B14E9">
      <w:pPr>
        <w:rPr>
          <w:rFonts w:eastAsiaTheme="majorEastAsia"/>
          <w:i/>
          <w:sz w:val="28"/>
        </w:rPr>
      </w:pPr>
    </w:p>
    <w:p w14:paraId="68A58629" w14:textId="01A8B752" w:rsidR="00DB7F92" w:rsidRDefault="00DB7F92" w:rsidP="009A4EC5">
      <w:pPr>
        <w:ind w:firstLine="720"/>
        <w:rPr>
          <w:rFonts w:eastAsiaTheme="majorEastAsia"/>
          <w:i/>
          <w:sz w:val="28"/>
        </w:rPr>
      </w:pPr>
      <w:r w:rsidRPr="006B14E9">
        <w:rPr>
          <w:rFonts w:eastAsiaTheme="majorEastAsia"/>
          <w:i/>
          <w:sz w:val="28"/>
        </w:rPr>
        <w:t>Acting fairly</w:t>
      </w:r>
    </w:p>
    <w:p w14:paraId="742F66AB" w14:textId="77777777" w:rsidR="006B14E9" w:rsidRPr="006B14E9" w:rsidRDefault="006B14E9" w:rsidP="006B14E9">
      <w:pPr>
        <w:rPr>
          <w:rFonts w:eastAsiaTheme="majorEastAsia"/>
          <w:i/>
          <w:sz w:val="28"/>
        </w:rPr>
      </w:pPr>
    </w:p>
    <w:p w14:paraId="3118C802" w14:textId="5FACBF1E" w:rsidR="00DB7F92" w:rsidRPr="00DB7F92" w:rsidRDefault="00DB7F92" w:rsidP="00DD5D2D">
      <w:pPr>
        <w:pStyle w:val="Heading3"/>
        <w:jc w:val="both"/>
        <w:rPr>
          <w:lang w:eastAsia="en-GB"/>
        </w:rPr>
      </w:pPr>
      <w:r w:rsidRPr="00DB7F92">
        <w:rPr>
          <w:lang w:eastAsia="en-GB"/>
        </w:rPr>
        <w:t>Normally,</w:t>
      </w:r>
      <w:r w:rsidRPr="00DB7F92">
        <w:rPr>
          <w:spacing w:val="3"/>
          <w:lang w:eastAsia="en-GB"/>
        </w:rPr>
        <w:t xml:space="preserve"> </w:t>
      </w:r>
      <w:r w:rsidRPr="00DB7F92">
        <w:rPr>
          <w:lang w:eastAsia="en-GB"/>
        </w:rPr>
        <w:t>to</w:t>
      </w:r>
      <w:r w:rsidRPr="00DB7F92">
        <w:rPr>
          <w:spacing w:val="4"/>
          <w:lang w:eastAsia="en-GB"/>
        </w:rPr>
        <w:t xml:space="preserve"> </w:t>
      </w:r>
      <w:r w:rsidRPr="00DB7F92">
        <w:rPr>
          <w:lang w:eastAsia="en-GB"/>
        </w:rPr>
        <w:t>act</w:t>
      </w:r>
      <w:r w:rsidRPr="00DB7F92">
        <w:rPr>
          <w:spacing w:val="3"/>
          <w:lang w:eastAsia="en-GB"/>
        </w:rPr>
        <w:t xml:space="preserve"> </w:t>
      </w:r>
      <w:r w:rsidRPr="00DB7F92">
        <w:rPr>
          <w:lang w:eastAsia="en-GB"/>
        </w:rPr>
        <w:t>fairly</w:t>
      </w:r>
      <w:r w:rsidRPr="00DB7F92">
        <w:rPr>
          <w:spacing w:val="6"/>
          <w:lang w:eastAsia="en-GB"/>
        </w:rPr>
        <w:t xml:space="preserve"> </w:t>
      </w:r>
      <w:r w:rsidRPr="00DB7F92">
        <w:rPr>
          <w:lang w:eastAsia="en-GB"/>
        </w:rPr>
        <w:t>a commissioner</w:t>
      </w:r>
      <w:r w:rsidRPr="00DB7F92">
        <w:rPr>
          <w:spacing w:val="2"/>
          <w:lang w:eastAsia="en-GB"/>
        </w:rPr>
        <w:t xml:space="preserve"> </w:t>
      </w:r>
      <w:r w:rsidRPr="00DB7F92">
        <w:rPr>
          <w:lang w:eastAsia="en-GB"/>
        </w:rPr>
        <w:t>will</w:t>
      </w:r>
      <w:r w:rsidRPr="00DB7F92">
        <w:rPr>
          <w:spacing w:val="2"/>
          <w:lang w:eastAsia="en-GB"/>
        </w:rPr>
        <w:t xml:space="preserve"> </w:t>
      </w:r>
      <w:r w:rsidRPr="00DB7F92">
        <w:rPr>
          <w:lang w:eastAsia="en-GB"/>
        </w:rPr>
        <w:t>need</w:t>
      </w:r>
      <w:r w:rsidRPr="00DB7F92">
        <w:rPr>
          <w:spacing w:val="4"/>
          <w:lang w:eastAsia="en-GB"/>
        </w:rPr>
        <w:t xml:space="preserve"> </w:t>
      </w:r>
      <w:r w:rsidRPr="00DB7F92">
        <w:rPr>
          <w:lang w:eastAsia="en-GB"/>
        </w:rPr>
        <w:t>to</w:t>
      </w:r>
      <w:r w:rsidRPr="00DB7F92">
        <w:rPr>
          <w:spacing w:val="2"/>
          <w:lang w:eastAsia="en-GB"/>
        </w:rPr>
        <w:t xml:space="preserve"> </w:t>
      </w:r>
      <w:r w:rsidRPr="00DB7F92">
        <w:rPr>
          <w:lang w:eastAsia="en-GB"/>
        </w:rPr>
        <w:t>act</w:t>
      </w:r>
      <w:r w:rsidRPr="00DB7F92">
        <w:rPr>
          <w:spacing w:val="3"/>
          <w:lang w:eastAsia="en-GB"/>
        </w:rPr>
        <w:t xml:space="preserve"> </w:t>
      </w:r>
      <w:r w:rsidRPr="00DB7F92">
        <w:rPr>
          <w:lang w:eastAsia="en-GB"/>
        </w:rPr>
        <w:t>in</w:t>
      </w:r>
      <w:r w:rsidRPr="00DB7F92">
        <w:rPr>
          <w:spacing w:val="5"/>
          <w:lang w:eastAsia="en-GB"/>
        </w:rPr>
        <w:t xml:space="preserve"> </w:t>
      </w:r>
      <w:r w:rsidRPr="00DB7F92">
        <w:rPr>
          <w:lang w:eastAsia="en-GB"/>
        </w:rPr>
        <w:t>accordance</w:t>
      </w:r>
      <w:r w:rsidRPr="00DB7F92">
        <w:rPr>
          <w:spacing w:val="2"/>
          <w:lang w:eastAsia="en-GB"/>
        </w:rPr>
        <w:t xml:space="preserve"> </w:t>
      </w:r>
      <w:r w:rsidRPr="00DB7F92">
        <w:rPr>
          <w:lang w:eastAsia="en-GB"/>
        </w:rPr>
        <w:t>with</w:t>
      </w:r>
      <w:r w:rsidRPr="00DB7F92">
        <w:rPr>
          <w:spacing w:val="3"/>
          <w:lang w:eastAsia="en-GB"/>
        </w:rPr>
        <w:t xml:space="preserve"> </w:t>
      </w:r>
      <w:r w:rsidRPr="00DB7F92">
        <w:rPr>
          <w:lang w:eastAsia="en-GB"/>
        </w:rPr>
        <w:t>its</w:t>
      </w:r>
      <w:r w:rsidRPr="00DB7F92">
        <w:rPr>
          <w:spacing w:val="49"/>
          <w:lang w:eastAsia="en-GB"/>
        </w:rPr>
        <w:t xml:space="preserve"> </w:t>
      </w:r>
      <w:r w:rsidRPr="00DB7F92">
        <w:rPr>
          <w:lang w:eastAsia="en-GB"/>
        </w:rPr>
        <w:t>own</w:t>
      </w:r>
      <w:r w:rsidRPr="00DB7F92">
        <w:rPr>
          <w:spacing w:val="17"/>
          <w:lang w:eastAsia="en-GB"/>
        </w:rPr>
        <w:t xml:space="preserve"> </w:t>
      </w:r>
      <w:r w:rsidRPr="00DB7F92">
        <w:rPr>
          <w:lang w:eastAsia="en-GB"/>
        </w:rPr>
        <w:t>policies. and relevant policies published by NHS England.</w:t>
      </w:r>
      <w:r w:rsidRPr="00DB7F92">
        <w:rPr>
          <w:spacing w:val="37"/>
          <w:lang w:eastAsia="en-GB"/>
        </w:rPr>
        <w:t xml:space="preserve"> </w:t>
      </w:r>
      <w:r w:rsidRPr="00DB7F92">
        <w:rPr>
          <w:lang w:eastAsia="en-GB"/>
        </w:rPr>
        <w:t xml:space="preserve">For </w:t>
      </w:r>
      <w:r w:rsidR="00B83042">
        <w:rPr>
          <w:lang w:eastAsia="en-GB"/>
        </w:rPr>
        <w:t>CCGs/ICBs</w:t>
      </w:r>
      <w:r w:rsidR="008B199F">
        <w:rPr>
          <w:lang w:eastAsia="en-GB"/>
        </w:rPr>
        <w:t xml:space="preserve"> </w:t>
      </w:r>
      <w:r w:rsidRPr="00DB7F92">
        <w:rPr>
          <w:lang w:eastAsia="en-GB"/>
        </w:rPr>
        <w:t>co-commissioning under delegated authority from NHS England, this will include NHS England policies concerned with the commissioning of primary care.  A commissioner can</w:t>
      </w:r>
      <w:r w:rsidRPr="00DB7F92">
        <w:rPr>
          <w:spacing w:val="20"/>
          <w:lang w:eastAsia="en-GB"/>
        </w:rPr>
        <w:t xml:space="preserve"> </w:t>
      </w:r>
      <w:r w:rsidRPr="00DB7F92">
        <w:rPr>
          <w:lang w:eastAsia="en-GB"/>
        </w:rPr>
        <w:t>depart</w:t>
      </w:r>
      <w:r w:rsidRPr="00DB7F92">
        <w:rPr>
          <w:spacing w:val="19"/>
          <w:lang w:eastAsia="en-GB"/>
        </w:rPr>
        <w:t xml:space="preserve"> </w:t>
      </w:r>
      <w:r w:rsidRPr="00DB7F92">
        <w:rPr>
          <w:lang w:eastAsia="en-GB"/>
        </w:rPr>
        <w:t>from</w:t>
      </w:r>
      <w:r w:rsidRPr="00DB7F92">
        <w:rPr>
          <w:spacing w:val="20"/>
          <w:lang w:eastAsia="en-GB"/>
        </w:rPr>
        <w:t xml:space="preserve"> </w:t>
      </w:r>
      <w:r w:rsidRPr="00DB7F92">
        <w:rPr>
          <w:lang w:eastAsia="en-GB"/>
        </w:rPr>
        <w:t>guidance</w:t>
      </w:r>
      <w:r w:rsidRPr="00DB7F92">
        <w:rPr>
          <w:spacing w:val="17"/>
          <w:lang w:eastAsia="en-GB"/>
        </w:rPr>
        <w:t xml:space="preserve"> </w:t>
      </w:r>
      <w:r w:rsidRPr="00DB7F92">
        <w:rPr>
          <w:lang w:eastAsia="en-GB"/>
        </w:rPr>
        <w:t>if</w:t>
      </w:r>
      <w:r w:rsidRPr="00DB7F92">
        <w:rPr>
          <w:spacing w:val="17"/>
          <w:lang w:eastAsia="en-GB"/>
        </w:rPr>
        <w:t xml:space="preserve"> </w:t>
      </w:r>
      <w:r w:rsidRPr="00DB7F92">
        <w:rPr>
          <w:lang w:eastAsia="en-GB"/>
        </w:rPr>
        <w:t>there</w:t>
      </w:r>
      <w:r w:rsidRPr="00DB7F92">
        <w:rPr>
          <w:spacing w:val="17"/>
          <w:lang w:eastAsia="en-GB"/>
        </w:rPr>
        <w:t xml:space="preserve"> </w:t>
      </w:r>
      <w:r w:rsidRPr="00DB7F92">
        <w:rPr>
          <w:lang w:eastAsia="en-GB"/>
        </w:rPr>
        <w:t>is</w:t>
      </w:r>
      <w:r w:rsidRPr="00DB7F92">
        <w:rPr>
          <w:spacing w:val="21"/>
          <w:lang w:eastAsia="en-GB"/>
        </w:rPr>
        <w:t xml:space="preserve"> </w:t>
      </w:r>
      <w:r w:rsidRPr="00DB7F92">
        <w:rPr>
          <w:lang w:eastAsia="en-GB"/>
        </w:rPr>
        <w:t>good</w:t>
      </w:r>
      <w:r w:rsidRPr="00DB7F92">
        <w:rPr>
          <w:spacing w:val="17"/>
          <w:lang w:eastAsia="en-GB"/>
        </w:rPr>
        <w:t xml:space="preserve"> </w:t>
      </w:r>
      <w:r w:rsidRPr="00DB7F92">
        <w:rPr>
          <w:lang w:eastAsia="en-GB"/>
        </w:rPr>
        <w:t>reason</w:t>
      </w:r>
      <w:r w:rsidRPr="00DB7F92">
        <w:rPr>
          <w:spacing w:val="20"/>
          <w:lang w:eastAsia="en-GB"/>
        </w:rPr>
        <w:t xml:space="preserve"> </w:t>
      </w:r>
      <w:r w:rsidRPr="00DB7F92">
        <w:rPr>
          <w:lang w:eastAsia="en-GB"/>
        </w:rPr>
        <w:t>to</w:t>
      </w:r>
      <w:r w:rsidRPr="00DB7F92">
        <w:rPr>
          <w:spacing w:val="20"/>
          <w:lang w:eastAsia="en-GB"/>
        </w:rPr>
        <w:t xml:space="preserve"> </w:t>
      </w:r>
      <w:r w:rsidRPr="00DB7F92">
        <w:rPr>
          <w:lang w:eastAsia="en-GB"/>
        </w:rPr>
        <w:t>do</w:t>
      </w:r>
      <w:r w:rsidRPr="00DB7F92">
        <w:rPr>
          <w:spacing w:val="46"/>
          <w:lang w:eastAsia="en-GB"/>
        </w:rPr>
        <w:t xml:space="preserve"> </w:t>
      </w:r>
      <w:r w:rsidRPr="00DB7F92">
        <w:rPr>
          <w:lang w:eastAsia="en-GB"/>
        </w:rPr>
        <w:t>so.</w:t>
      </w:r>
      <w:r w:rsidRPr="00DB7F92">
        <w:rPr>
          <w:spacing w:val="6"/>
          <w:lang w:eastAsia="en-GB"/>
        </w:rPr>
        <w:t xml:space="preserve"> </w:t>
      </w:r>
      <w:r w:rsidRPr="00DB7F92">
        <w:rPr>
          <w:lang w:eastAsia="en-GB"/>
        </w:rPr>
        <w:t>In</w:t>
      </w:r>
      <w:r w:rsidRPr="00DB7F92">
        <w:rPr>
          <w:spacing w:val="4"/>
          <w:lang w:eastAsia="en-GB"/>
        </w:rPr>
        <w:t xml:space="preserve"> </w:t>
      </w:r>
      <w:r w:rsidRPr="00DB7F92">
        <w:rPr>
          <w:lang w:eastAsia="en-GB"/>
        </w:rPr>
        <w:t>this</w:t>
      </w:r>
      <w:r w:rsidRPr="00DB7F92">
        <w:rPr>
          <w:spacing w:val="4"/>
          <w:lang w:eastAsia="en-GB"/>
        </w:rPr>
        <w:t xml:space="preserve"> </w:t>
      </w:r>
      <w:r w:rsidRPr="00DB7F92">
        <w:rPr>
          <w:lang w:eastAsia="en-GB"/>
        </w:rPr>
        <w:t>scenario</w:t>
      </w:r>
      <w:r w:rsidR="006C5F09">
        <w:rPr>
          <w:lang w:eastAsia="en-GB"/>
        </w:rPr>
        <w:t>,</w:t>
      </w:r>
      <w:r w:rsidRPr="00DB7F92">
        <w:rPr>
          <w:spacing w:val="2"/>
          <w:lang w:eastAsia="en-GB"/>
        </w:rPr>
        <w:t xml:space="preserve"> </w:t>
      </w:r>
      <w:r w:rsidRPr="00DB7F92">
        <w:rPr>
          <w:lang w:eastAsia="en-GB"/>
        </w:rPr>
        <w:t>the commissioner</w:t>
      </w:r>
      <w:r w:rsidRPr="00DB7F92">
        <w:rPr>
          <w:spacing w:val="2"/>
          <w:lang w:eastAsia="en-GB"/>
        </w:rPr>
        <w:t xml:space="preserve"> </w:t>
      </w:r>
      <w:r w:rsidRPr="00DB7F92">
        <w:rPr>
          <w:lang w:eastAsia="en-GB"/>
        </w:rPr>
        <w:t>will</w:t>
      </w:r>
      <w:r w:rsidRPr="00DB7F92">
        <w:rPr>
          <w:spacing w:val="3"/>
          <w:lang w:eastAsia="en-GB"/>
        </w:rPr>
        <w:t xml:space="preserve"> </w:t>
      </w:r>
      <w:r w:rsidRPr="00DB7F92">
        <w:rPr>
          <w:lang w:eastAsia="en-GB"/>
        </w:rPr>
        <w:t>need</w:t>
      </w:r>
      <w:r w:rsidRPr="00DB7F92">
        <w:rPr>
          <w:spacing w:val="2"/>
          <w:lang w:eastAsia="en-GB"/>
        </w:rPr>
        <w:t xml:space="preserve"> </w:t>
      </w:r>
      <w:r w:rsidRPr="00DB7F92">
        <w:rPr>
          <w:lang w:eastAsia="en-GB"/>
        </w:rPr>
        <w:t>to</w:t>
      </w:r>
      <w:r w:rsidRPr="00DB7F92">
        <w:rPr>
          <w:spacing w:val="4"/>
          <w:lang w:eastAsia="en-GB"/>
        </w:rPr>
        <w:t xml:space="preserve"> </w:t>
      </w:r>
      <w:r w:rsidRPr="00DB7F92">
        <w:rPr>
          <w:lang w:eastAsia="en-GB"/>
        </w:rPr>
        <w:t>explain</w:t>
      </w:r>
      <w:r w:rsidRPr="00DB7F92">
        <w:rPr>
          <w:spacing w:val="4"/>
          <w:lang w:eastAsia="en-GB"/>
        </w:rPr>
        <w:t xml:space="preserve"> </w:t>
      </w:r>
      <w:r w:rsidRPr="00DB7F92">
        <w:rPr>
          <w:lang w:eastAsia="en-GB"/>
        </w:rPr>
        <w:t>the</w:t>
      </w:r>
      <w:r w:rsidRPr="00DB7F92">
        <w:rPr>
          <w:spacing w:val="2"/>
          <w:lang w:eastAsia="en-GB"/>
        </w:rPr>
        <w:t xml:space="preserve"> </w:t>
      </w:r>
      <w:r w:rsidRPr="00DB7F92">
        <w:rPr>
          <w:lang w:eastAsia="en-GB"/>
        </w:rPr>
        <w:t>situation</w:t>
      </w:r>
      <w:r w:rsidRPr="00DB7F92">
        <w:rPr>
          <w:spacing w:val="5"/>
          <w:lang w:eastAsia="en-GB"/>
        </w:rPr>
        <w:t xml:space="preserve"> </w:t>
      </w:r>
      <w:r w:rsidRPr="00DB7F92">
        <w:rPr>
          <w:lang w:eastAsia="en-GB"/>
        </w:rPr>
        <w:t>fully</w:t>
      </w:r>
      <w:r w:rsidRPr="00DB7F92">
        <w:rPr>
          <w:spacing w:val="4"/>
          <w:lang w:eastAsia="en-GB"/>
        </w:rPr>
        <w:t xml:space="preserve"> </w:t>
      </w:r>
      <w:r w:rsidRPr="00DB7F92">
        <w:rPr>
          <w:lang w:eastAsia="en-GB"/>
        </w:rPr>
        <w:t>to</w:t>
      </w:r>
      <w:r w:rsidRPr="00DB7F92">
        <w:rPr>
          <w:spacing w:val="55"/>
          <w:lang w:eastAsia="en-GB"/>
        </w:rPr>
        <w:t xml:space="preserve"> </w:t>
      </w:r>
      <w:r w:rsidRPr="00DB7F92">
        <w:rPr>
          <w:lang w:eastAsia="en-GB"/>
        </w:rPr>
        <w:t>the</w:t>
      </w:r>
      <w:r w:rsidRPr="00DB7F92">
        <w:rPr>
          <w:spacing w:val="20"/>
          <w:lang w:eastAsia="en-GB"/>
        </w:rPr>
        <w:t xml:space="preserve"> </w:t>
      </w:r>
      <w:r w:rsidRPr="00DB7F92">
        <w:rPr>
          <w:lang w:eastAsia="en-GB"/>
        </w:rPr>
        <w:t>people</w:t>
      </w:r>
      <w:r w:rsidRPr="00DB7F92">
        <w:rPr>
          <w:spacing w:val="20"/>
          <w:lang w:eastAsia="en-GB"/>
        </w:rPr>
        <w:t xml:space="preserve"> </w:t>
      </w:r>
      <w:r w:rsidRPr="00DB7F92">
        <w:rPr>
          <w:lang w:eastAsia="en-GB"/>
        </w:rPr>
        <w:t>&amp;</w:t>
      </w:r>
      <w:r w:rsidRPr="00DB7F92">
        <w:rPr>
          <w:spacing w:val="24"/>
          <w:lang w:eastAsia="en-GB"/>
        </w:rPr>
        <w:t xml:space="preserve"> </w:t>
      </w:r>
      <w:r w:rsidRPr="00DB7F92">
        <w:rPr>
          <w:lang w:eastAsia="en-GB"/>
        </w:rPr>
        <w:t>organisations</w:t>
      </w:r>
      <w:r w:rsidRPr="00DB7F92">
        <w:rPr>
          <w:spacing w:val="22"/>
          <w:lang w:eastAsia="en-GB"/>
        </w:rPr>
        <w:t xml:space="preserve"> </w:t>
      </w:r>
      <w:r w:rsidRPr="00DB7F92">
        <w:rPr>
          <w:lang w:eastAsia="en-GB"/>
        </w:rPr>
        <w:t>affected</w:t>
      </w:r>
      <w:r w:rsidRPr="00DB7F92">
        <w:rPr>
          <w:spacing w:val="23"/>
          <w:lang w:eastAsia="en-GB"/>
        </w:rPr>
        <w:t xml:space="preserve"> </w:t>
      </w:r>
      <w:r w:rsidRPr="00DB7F92">
        <w:rPr>
          <w:lang w:eastAsia="en-GB"/>
        </w:rPr>
        <w:t>and</w:t>
      </w:r>
      <w:r w:rsidRPr="00DB7F92">
        <w:rPr>
          <w:spacing w:val="22"/>
          <w:lang w:eastAsia="en-GB"/>
        </w:rPr>
        <w:t xml:space="preserve"> </w:t>
      </w:r>
      <w:r w:rsidRPr="00DB7F92">
        <w:rPr>
          <w:lang w:eastAsia="en-GB"/>
        </w:rPr>
        <w:t>give</w:t>
      </w:r>
      <w:r w:rsidRPr="00DB7F92">
        <w:rPr>
          <w:spacing w:val="25"/>
          <w:lang w:eastAsia="en-GB"/>
        </w:rPr>
        <w:t xml:space="preserve"> </w:t>
      </w:r>
      <w:r w:rsidRPr="00DB7F92">
        <w:rPr>
          <w:lang w:eastAsia="en-GB"/>
        </w:rPr>
        <w:t>them</w:t>
      </w:r>
      <w:r w:rsidRPr="00DB7F92">
        <w:rPr>
          <w:spacing w:val="22"/>
          <w:lang w:eastAsia="en-GB"/>
        </w:rPr>
        <w:t xml:space="preserve"> </w:t>
      </w:r>
      <w:r w:rsidRPr="00DB7F92">
        <w:rPr>
          <w:lang w:eastAsia="en-GB"/>
        </w:rPr>
        <w:t>a</w:t>
      </w:r>
      <w:r w:rsidRPr="00DB7F92">
        <w:rPr>
          <w:spacing w:val="23"/>
          <w:lang w:eastAsia="en-GB"/>
        </w:rPr>
        <w:t xml:space="preserve"> </w:t>
      </w:r>
      <w:r w:rsidRPr="00DB7F92">
        <w:rPr>
          <w:lang w:eastAsia="en-GB"/>
        </w:rPr>
        <w:t>chance</w:t>
      </w:r>
      <w:r w:rsidRPr="00DB7F92">
        <w:rPr>
          <w:spacing w:val="22"/>
          <w:lang w:eastAsia="en-GB"/>
        </w:rPr>
        <w:t xml:space="preserve"> </w:t>
      </w:r>
      <w:r w:rsidRPr="00DB7F92">
        <w:rPr>
          <w:lang w:eastAsia="en-GB"/>
        </w:rPr>
        <w:t>to</w:t>
      </w:r>
      <w:r w:rsidRPr="00DB7F92">
        <w:rPr>
          <w:spacing w:val="24"/>
          <w:lang w:eastAsia="en-GB"/>
        </w:rPr>
        <w:t xml:space="preserve"> </w:t>
      </w:r>
      <w:r w:rsidRPr="00DB7F92">
        <w:rPr>
          <w:lang w:eastAsia="en-GB"/>
        </w:rPr>
        <w:t>provide</w:t>
      </w:r>
      <w:r w:rsidRPr="00DB7F92">
        <w:rPr>
          <w:spacing w:val="62"/>
          <w:w w:val="99"/>
          <w:lang w:eastAsia="en-GB"/>
        </w:rPr>
        <w:t xml:space="preserve"> </w:t>
      </w:r>
      <w:r w:rsidRPr="00DB7F92">
        <w:rPr>
          <w:lang w:eastAsia="en-GB"/>
        </w:rPr>
        <w:t>their</w:t>
      </w:r>
      <w:r w:rsidRPr="00DB7F92">
        <w:rPr>
          <w:spacing w:val="-4"/>
          <w:lang w:eastAsia="en-GB"/>
        </w:rPr>
        <w:t xml:space="preserve"> </w:t>
      </w:r>
      <w:r w:rsidRPr="00DB7F92">
        <w:rPr>
          <w:lang w:eastAsia="en-GB"/>
        </w:rPr>
        <w:t>views on</w:t>
      </w:r>
      <w:r w:rsidRPr="00DB7F92">
        <w:rPr>
          <w:spacing w:val="-5"/>
          <w:lang w:eastAsia="en-GB"/>
        </w:rPr>
        <w:t xml:space="preserve"> </w:t>
      </w:r>
      <w:r w:rsidRPr="00DB7F92">
        <w:rPr>
          <w:lang w:eastAsia="en-GB"/>
        </w:rPr>
        <w:t>the</w:t>
      </w:r>
      <w:r w:rsidRPr="00DB7F92">
        <w:rPr>
          <w:spacing w:val="-3"/>
          <w:lang w:eastAsia="en-GB"/>
        </w:rPr>
        <w:t xml:space="preserve"> </w:t>
      </w:r>
      <w:r w:rsidRPr="00DB7F92">
        <w:rPr>
          <w:lang w:eastAsia="en-GB"/>
        </w:rPr>
        <w:t>procedure</w:t>
      </w:r>
      <w:r w:rsidRPr="00DB7F92">
        <w:rPr>
          <w:spacing w:val="-3"/>
          <w:lang w:eastAsia="en-GB"/>
        </w:rPr>
        <w:t xml:space="preserve"> </w:t>
      </w:r>
      <w:r w:rsidRPr="00DB7F92">
        <w:rPr>
          <w:lang w:eastAsia="en-GB"/>
        </w:rPr>
        <w:t>to</w:t>
      </w:r>
      <w:r w:rsidRPr="00DB7F92">
        <w:rPr>
          <w:spacing w:val="-4"/>
          <w:lang w:eastAsia="en-GB"/>
        </w:rPr>
        <w:t xml:space="preserve"> </w:t>
      </w:r>
      <w:r w:rsidRPr="00DB7F92">
        <w:rPr>
          <w:lang w:eastAsia="en-GB"/>
        </w:rPr>
        <w:t>be</w:t>
      </w:r>
      <w:r w:rsidRPr="00DB7F92">
        <w:rPr>
          <w:spacing w:val="-3"/>
          <w:lang w:eastAsia="en-GB"/>
        </w:rPr>
        <w:t xml:space="preserve"> </w:t>
      </w:r>
      <w:r w:rsidRPr="00DB7F92">
        <w:rPr>
          <w:lang w:eastAsia="en-GB"/>
        </w:rPr>
        <w:t>followed.</w:t>
      </w:r>
      <w:r w:rsidRPr="00DB7F92">
        <w:rPr>
          <w:spacing w:val="63"/>
          <w:lang w:eastAsia="en-GB"/>
        </w:rPr>
        <w:t xml:space="preserve"> </w:t>
      </w:r>
      <w:r w:rsidRPr="00DB7F92">
        <w:rPr>
          <w:lang w:eastAsia="en-GB"/>
        </w:rPr>
        <w:t>This</w:t>
      </w:r>
      <w:r w:rsidRPr="00DB7F92">
        <w:rPr>
          <w:spacing w:val="-4"/>
          <w:lang w:eastAsia="en-GB"/>
        </w:rPr>
        <w:t xml:space="preserve"> </w:t>
      </w:r>
      <w:r w:rsidRPr="00DB7F92">
        <w:rPr>
          <w:lang w:eastAsia="en-GB"/>
        </w:rPr>
        <w:t>will</w:t>
      </w:r>
      <w:r w:rsidRPr="00DB7F92">
        <w:rPr>
          <w:spacing w:val="-3"/>
          <w:lang w:eastAsia="en-GB"/>
        </w:rPr>
        <w:t xml:space="preserve"> </w:t>
      </w:r>
      <w:r w:rsidRPr="00DB7F92">
        <w:rPr>
          <w:lang w:eastAsia="en-GB"/>
        </w:rPr>
        <w:t>include</w:t>
      </w:r>
      <w:r w:rsidRPr="00DB7F92">
        <w:rPr>
          <w:spacing w:val="-5"/>
          <w:lang w:eastAsia="en-GB"/>
        </w:rPr>
        <w:t xml:space="preserve"> </w:t>
      </w:r>
      <w:r w:rsidRPr="00DB7F92">
        <w:rPr>
          <w:lang w:eastAsia="en-GB"/>
        </w:rPr>
        <w:t>why</w:t>
      </w:r>
      <w:r w:rsidRPr="00DB7F92">
        <w:rPr>
          <w:spacing w:val="-2"/>
          <w:lang w:eastAsia="en-GB"/>
        </w:rPr>
        <w:t xml:space="preserve"> </w:t>
      </w:r>
      <w:r w:rsidRPr="00DB7F92">
        <w:rPr>
          <w:lang w:eastAsia="en-GB"/>
        </w:rPr>
        <w:t>it</w:t>
      </w:r>
      <w:r w:rsidRPr="00DB7F92">
        <w:rPr>
          <w:spacing w:val="-2"/>
          <w:lang w:eastAsia="en-GB"/>
        </w:rPr>
        <w:t xml:space="preserve"> </w:t>
      </w:r>
      <w:r w:rsidRPr="00DB7F92">
        <w:rPr>
          <w:lang w:eastAsia="en-GB"/>
        </w:rPr>
        <w:t>wants</w:t>
      </w:r>
      <w:r w:rsidRPr="00DB7F92">
        <w:rPr>
          <w:spacing w:val="67"/>
          <w:lang w:eastAsia="en-GB"/>
        </w:rPr>
        <w:t xml:space="preserve"> </w:t>
      </w:r>
      <w:r w:rsidRPr="00DB7F92">
        <w:rPr>
          <w:lang w:eastAsia="en-GB"/>
        </w:rPr>
        <w:t>to</w:t>
      </w:r>
      <w:r w:rsidRPr="00DB7F92">
        <w:rPr>
          <w:spacing w:val="-5"/>
          <w:lang w:eastAsia="en-GB"/>
        </w:rPr>
        <w:t xml:space="preserve"> </w:t>
      </w:r>
      <w:r w:rsidRPr="00DB7F92">
        <w:rPr>
          <w:lang w:eastAsia="en-GB"/>
        </w:rPr>
        <w:t>depart</w:t>
      </w:r>
      <w:r w:rsidRPr="00DB7F92">
        <w:rPr>
          <w:spacing w:val="-4"/>
          <w:lang w:eastAsia="en-GB"/>
        </w:rPr>
        <w:t xml:space="preserve"> </w:t>
      </w:r>
      <w:r w:rsidRPr="00DB7F92">
        <w:rPr>
          <w:lang w:eastAsia="en-GB"/>
        </w:rPr>
        <w:t>from</w:t>
      </w:r>
      <w:r w:rsidRPr="00DB7F92">
        <w:rPr>
          <w:spacing w:val="-5"/>
          <w:lang w:eastAsia="en-GB"/>
        </w:rPr>
        <w:t xml:space="preserve"> </w:t>
      </w:r>
      <w:r w:rsidRPr="00DB7F92">
        <w:rPr>
          <w:lang w:eastAsia="en-GB"/>
        </w:rPr>
        <w:t>the</w:t>
      </w:r>
      <w:r w:rsidRPr="00DB7F92">
        <w:rPr>
          <w:spacing w:val="-3"/>
          <w:lang w:eastAsia="en-GB"/>
        </w:rPr>
        <w:t xml:space="preserve"> </w:t>
      </w:r>
      <w:r w:rsidRPr="00DB7F92">
        <w:rPr>
          <w:lang w:eastAsia="en-GB"/>
        </w:rPr>
        <w:t>usual</w:t>
      </w:r>
      <w:r w:rsidRPr="00DB7F92">
        <w:rPr>
          <w:spacing w:val="-5"/>
          <w:lang w:eastAsia="en-GB"/>
        </w:rPr>
        <w:t xml:space="preserve"> </w:t>
      </w:r>
      <w:r w:rsidRPr="00DB7F92">
        <w:rPr>
          <w:lang w:eastAsia="en-GB"/>
        </w:rPr>
        <w:t>policy</w:t>
      </w:r>
      <w:r w:rsidRPr="00DB7F92">
        <w:rPr>
          <w:spacing w:val="-4"/>
          <w:lang w:eastAsia="en-GB"/>
        </w:rPr>
        <w:t xml:space="preserve"> </w:t>
      </w:r>
      <w:r w:rsidRPr="00DB7F92">
        <w:rPr>
          <w:lang w:eastAsia="en-GB"/>
        </w:rPr>
        <w:t>and</w:t>
      </w:r>
      <w:r w:rsidRPr="00DB7F92">
        <w:rPr>
          <w:spacing w:val="-3"/>
          <w:lang w:eastAsia="en-GB"/>
        </w:rPr>
        <w:t xml:space="preserve"> </w:t>
      </w:r>
      <w:r w:rsidRPr="00DB7F92">
        <w:rPr>
          <w:lang w:eastAsia="en-GB"/>
        </w:rPr>
        <w:t>what</w:t>
      </w:r>
      <w:r w:rsidRPr="00DB7F92">
        <w:rPr>
          <w:spacing w:val="-4"/>
          <w:lang w:eastAsia="en-GB"/>
        </w:rPr>
        <w:t xml:space="preserve"> </w:t>
      </w:r>
      <w:r w:rsidRPr="00DB7F92">
        <w:rPr>
          <w:lang w:eastAsia="en-GB"/>
        </w:rPr>
        <w:t>it</w:t>
      </w:r>
      <w:r w:rsidRPr="00DB7F92">
        <w:rPr>
          <w:spacing w:val="-2"/>
          <w:lang w:eastAsia="en-GB"/>
        </w:rPr>
        <w:t xml:space="preserve"> </w:t>
      </w:r>
      <w:r w:rsidRPr="00DB7F92">
        <w:rPr>
          <w:lang w:eastAsia="en-GB"/>
        </w:rPr>
        <w:t>will</w:t>
      </w:r>
      <w:r w:rsidRPr="00DB7F92">
        <w:rPr>
          <w:spacing w:val="-2"/>
          <w:lang w:eastAsia="en-GB"/>
        </w:rPr>
        <w:t xml:space="preserve"> </w:t>
      </w:r>
      <w:r w:rsidRPr="00DB7F92">
        <w:rPr>
          <w:lang w:eastAsia="en-GB"/>
        </w:rPr>
        <w:t>do</w:t>
      </w:r>
      <w:r w:rsidRPr="00DB7F92">
        <w:rPr>
          <w:spacing w:val="-3"/>
          <w:lang w:eastAsia="en-GB"/>
        </w:rPr>
        <w:t xml:space="preserve"> </w:t>
      </w:r>
      <w:r w:rsidRPr="00DB7F92">
        <w:rPr>
          <w:lang w:eastAsia="en-GB"/>
        </w:rPr>
        <w:t>instead.</w:t>
      </w:r>
    </w:p>
    <w:p w14:paraId="1EBDCAE5" w14:textId="0CDCCFCD" w:rsidR="00DB7F92" w:rsidRPr="00DB7F92" w:rsidRDefault="00DB7F92" w:rsidP="00DD5D2D">
      <w:pPr>
        <w:pStyle w:val="Heading3"/>
        <w:jc w:val="both"/>
        <w:rPr>
          <w:lang w:eastAsia="en-GB"/>
        </w:rPr>
      </w:pPr>
      <w:r w:rsidRPr="00DB7F92">
        <w:rPr>
          <w:lang w:eastAsia="en-GB"/>
        </w:rPr>
        <w:t>Commissioners</w:t>
      </w:r>
      <w:r w:rsidRPr="00DB7F92">
        <w:rPr>
          <w:spacing w:val="20"/>
          <w:lang w:eastAsia="en-GB"/>
        </w:rPr>
        <w:t xml:space="preserve"> </w:t>
      </w:r>
      <w:r w:rsidRPr="00DB7F92">
        <w:rPr>
          <w:lang w:eastAsia="en-GB"/>
        </w:rPr>
        <w:t>also</w:t>
      </w:r>
      <w:r w:rsidRPr="00DB7F92">
        <w:rPr>
          <w:spacing w:val="21"/>
          <w:lang w:eastAsia="en-GB"/>
        </w:rPr>
        <w:t xml:space="preserve"> </w:t>
      </w:r>
      <w:r w:rsidRPr="00DB7F92">
        <w:rPr>
          <w:lang w:eastAsia="en-GB"/>
        </w:rPr>
        <w:t>need</w:t>
      </w:r>
      <w:r w:rsidRPr="00DB7F92">
        <w:rPr>
          <w:spacing w:val="22"/>
          <w:lang w:eastAsia="en-GB"/>
        </w:rPr>
        <w:t xml:space="preserve"> </w:t>
      </w:r>
      <w:r w:rsidRPr="00DB7F92">
        <w:rPr>
          <w:lang w:eastAsia="en-GB"/>
        </w:rPr>
        <w:t>to</w:t>
      </w:r>
      <w:r w:rsidRPr="00DB7F92">
        <w:rPr>
          <w:spacing w:val="20"/>
          <w:lang w:eastAsia="en-GB"/>
        </w:rPr>
        <w:t xml:space="preserve"> </w:t>
      </w:r>
      <w:r w:rsidRPr="00DB7F92">
        <w:rPr>
          <w:lang w:eastAsia="en-GB"/>
        </w:rPr>
        <w:t>be</w:t>
      </w:r>
      <w:r w:rsidRPr="00DB7F92">
        <w:rPr>
          <w:spacing w:val="21"/>
          <w:lang w:eastAsia="en-GB"/>
        </w:rPr>
        <w:t xml:space="preserve"> </w:t>
      </w:r>
      <w:r w:rsidRPr="00DB7F92">
        <w:rPr>
          <w:lang w:eastAsia="en-GB"/>
        </w:rPr>
        <w:t>careful</w:t>
      </w:r>
      <w:r w:rsidRPr="00DB7F92">
        <w:rPr>
          <w:spacing w:val="20"/>
          <w:lang w:eastAsia="en-GB"/>
        </w:rPr>
        <w:t xml:space="preserve"> </w:t>
      </w:r>
      <w:r w:rsidRPr="00DB7F92">
        <w:rPr>
          <w:lang w:eastAsia="en-GB"/>
        </w:rPr>
        <w:t>about</w:t>
      </w:r>
      <w:r w:rsidRPr="00DB7F92">
        <w:rPr>
          <w:spacing w:val="24"/>
          <w:lang w:eastAsia="en-GB"/>
        </w:rPr>
        <w:t xml:space="preserve"> </w:t>
      </w:r>
      <w:r w:rsidRPr="00DB7F92">
        <w:rPr>
          <w:lang w:eastAsia="en-GB"/>
        </w:rPr>
        <w:t>keeping</w:t>
      </w:r>
      <w:r w:rsidRPr="00DB7F92">
        <w:rPr>
          <w:spacing w:val="21"/>
          <w:lang w:eastAsia="en-GB"/>
        </w:rPr>
        <w:t xml:space="preserve"> </w:t>
      </w:r>
      <w:r w:rsidRPr="00DB7F92">
        <w:rPr>
          <w:lang w:eastAsia="en-GB"/>
        </w:rPr>
        <w:t>promises</w:t>
      </w:r>
      <w:r w:rsidRPr="00DB7F92">
        <w:rPr>
          <w:spacing w:val="23"/>
          <w:lang w:eastAsia="en-GB"/>
        </w:rPr>
        <w:t xml:space="preserve"> </w:t>
      </w:r>
      <w:r w:rsidRPr="00DB7F92">
        <w:rPr>
          <w:lang w:eastAsia="en-GB"/>
        </w:rPr>
        <w:t>made</w:t>
      </w:r>
      <w:r w:rsidRPr="00DB7F92">
        <w:rPr>
          <w:spacing w:val="43"/>
          <w:w w:val="99"/>
          <w:lang w:eastAsia="en-GB"/>
        </w:rPr>
        <w:t xml:space="preserve"> </w:t>
      </w:r>
      <w:r w:rsidRPr="00DB7F92">
        <w:rPr>
          <w:lang w:eastAsia="en-GB"/>
        </w:rPr>
        <w:t>to</w:t>
      </w:r>
      <w:r w:rsidRPr="00DB7F92">
        <w:rPr>
          <w:spacing w:val="27"/>
          <w:lang w:eastAsia="en-GB"/>
        </w:rPr>
        <w:t xml:space="preserve"> </w:t>
      </w:r>
      <w:r w:rsidRPr="00DB7F92">
        <w:rPr>
          <w:lang w:eastAsia="en-GB"/>
        </w:rPr>
        <w:t>contractors</w:t>
      </w:r>
      <w:r w:rsidRPr="00DB7F92">
        <w:rPr>
          <w:spacing w:val="29"/>
          <w:lang w:eastAsia="en-GB"/>
        </w:rPr>
        <w:t xml:space="preserve"> </w:t>
      </w:r>
      <w:r w:rsidRPr="00DB7F92">
        <w:rPr>
          <w:lang w:eastAsia="en-GB"/>
        </w:rPr>
        <w:t>or</w:t>
      </w:r>
      <w:r w:rsidRPr="00DB7F92">
        <w:rPr>
          <w:spacing w:val="30"/>
          <w:lang w:eastAsia="en-GB"/>
        </w:rPr>
        <w:t xml:space="preserve"> </w:t>
      </w:r>
      <w:r w:rsidRPr="00DB7F92">
        <w:rPr>
          <w:lang w:eastAsia="en-GB"/>
        </w:rPr>
        <w:t>the</w:t>
      </w:r>
      <w:r w:rsidRPr="00DB7F92">
        <w:rPr>
          <w:spacing w:val="30"/>
          <w:lang w:eastAsia="en-GB"/>
        </w:rPr>
        <w:t xml:space="preserve"> </w:t>
      </w:r>
      <w:r w:rsidRPr="00DB7F92">
        <w:rPr>
          <w:lang w:eastAsia="en-GB"/>
        </w:rPr>
        <w:t>public</w:t>
      </w:r>
      <w:r w:rsidRPr="00DB7F92">
        <w:rPr>
          <w:spacing w:val="30"/>
          <w:lang w:eastAsia="en-GB"/>
        </w:rPr>
        <w:t xml:space="preserve"> </w:t>
      </w:r>
      <w:r w:rsidRPr="00DB7F92">
        <w:rPr>
          <w:lang w:eastAsia="en-GB"/>
        </w:rPr>
        <w:t>e.g.</w:t>
      </w:r>
      <w:r w:rsidRPr="00DB7F92">
        <w:rPr>
          <w:spacing w:val="28"/>
          <w:lang w:eastAsia="en-GB"/>
        </w:rPr>
        <w:t xml:space="preserve"> </w:t>
      </w:r>
      <w:r w:rsidRPr="00DB7F92">
        <w:rPr>
          <w:lang w:eastAsia="en-GB"/>
        </w:rPr>
        <w:t>that</w:t>
      </w:r>
      <w:r w:rsidRPr="00DB7F92">
        <w:rPr>
          <w:spacing w:val="30"/>
          <w:lang w:eastAsia="en-GB"/>
        </w:rPr>
        <w:t xml:space="preserve"> </w:t>
      </w:r>
      <w:r w:rsidRPr="00DB7F92">
        <w:rPr>
          <w:lang w:eastAsia="en-GB"/>
        </w:rPr>
        <w:t>there</w:t>
      </w:r>
      <w:r w:rsidRPr="00DB7F92">
        <w:rPr>
          <w:spacing w:val="27"/>
          <w:lang w:eastAsia="en-GB"/>
        </w:rPr>
        <w:t xml:space="preserve"> </w:t>
      </w:r>
      <w:r w:rsidRPr="00DB7F92">
        <w:rPr>
          <w:lang w:eastAsia="en-GB"/>
        </w:rPr>
        <w:t>will</w:t>
      </w:r>
      <w:r w:rsidRPr="00DB7F92">
        <w:rPr>
          <w:spacing w:val="28"/>
          <w:lang w:eastAsia="en-GB"/>
        </w:rPr>
        <w:t xml:space="preserve"> </w:t>
      </w:r>
      <w:r w:rsidRPr="00DB7F92">
        <w:rPr>
          <w:lang w:eastAsia="en-GB"/>
        </w:rPr>
        <w:t>be</w:t>
      </w:r>
      <w:r w:rsidRPr="00DB7F92">
        <w:rPr>
          <w:spacing w:val="27"/>
          <w:lang w:eastAsia="en-GB"/>
        </w:rPr>
        <w:t xml:space="preserve"> </w:t>
      </w:r>
      <w:r w:rsidRPr="00DB7F92">
        <w:rPr>
          <w:lang w:eastAsia="en-GB"/>
        </w:rPr>
        <w:t>a</w:t>
      </w:r>
      <w:r w:rsidRPr="00DB7F92">
        <w:rPr>
          <w:spacing w:val="29"/>
          <w:lang w:eastAsia="en-GB"/>
        </w:rPr>
        <w:t xml:space="preserve"> </w:t>
      </w:r>
      <w:r w:rsidRPr="00DB7F92">
        <w:rPr>
          <w:lang w:eastAsia="en-GB"/>
        </w:rPr>
        <w:t>public</w:t>
      </w:r>
      <w:r w:rsidRPr="00DB7F92">
        <w:rPr>
          <w:spacing w:val="28"/>
          <w:lang w:eastAsia="en-GB"/>
        </w:rPr>
        <w:t xml:space="preserve"> </w:t>
      </w:r>
      <w:r w:rsidRPr="00DB7F92">
        <w:rPr>
          <w:lang w:eastAsia="en-GB"/>
        </w:rPr>
        <w:t>consultation</w:t>
      </w:r>
      <w:r w:rsidRPr="00DB7F92">
        <w:rPr>
          <w:spacing w:val="57"/>
          <w:lang w:eastAsia="en-GB"/>
        </w:rPr>
        <w:t xml:space="preserve"> </w:t>
      </w:r>
      <w:r w:rsidRPr="00DB7F92">
        <w:rPr>
          <w:lang w:eastAsia="en-GB"/>
        </w:rPr>
        <w:t>before</w:t>
      </w:r>
      <w:r w:rsidRPr="00DB7F92">
        <w:rPr>
          <w:spacing w:val="11"/>
          <w:lang w:eastAsia="en-GB"/>
        </w:rPr>
        <w:t xml:space="preserve"> </w:t>
      </w:r>
      <w:r w:rsidRPr="00DB7F92">
        <w:rPr>
          <w:lang w:eastAsia="en-GB"/>
        </w:rPr>
        <w:t>any</w:t>
      </w:r>
      <w:r w:rsidRPr="00DB7F92">
        <w:rPr>
          <w:spacing w:val="16"/>
          <w:lang w:eastAsia="en-GB"/>
        </w:rPr>
        <w:t xml:space="preserve"> </w:t>
      </w:r>
      <w:r w:rsidRPr="00DB7F92">
        <w:rPr>
          <w:lang w:eastAsia="en-GB"/>
        </w:rPr>
        <w:t>final</w:t>
      </w:r>
      <w:r w:rsidRPr="00DB7F92">
        <w:rPr>
          <w:spacing w:val="11"/>
          <w:lang w:eastAsia="en-GB"/>
        </w:rPr>
        <w:t xml:space="preserve"> </w:t>
      </w:r>
      <w:r w:rsidRPr="00DB7F92">
        <w:rPr>
          <w:lang w:eastAsia="en-GB"/>
        </w:rPr>
        <w:t>decision</w:t>
      </w:r>
      <w:r w:rsidRPr="00DB7F92">
        <w:rPr>
          <w:spacing w:val="13"/>
          <w:lang w:eastAsia="en-GB"/>
        </w:rPr>
        <w:t xml:space="preserve"> </w:t>
      </w:r>
      <w:r w:rsidRPr="00DB7F92">
        <w:rPr>
          <w:lang w:eastAsia="en-GB"/>
        </w:rPr>
        <w:t>is</w:t>
      </w:r>
      <w:r w:rsidRPr="00DB7F92">
        <w:rPr>
          <w:spacing w:val="13"/>
          <w:lang w:eastAsia="en-GB"/>
        </w:rPr>
        <w:t xml:space="preserve"> </w:t>
      </w:r>
      <w:r w:rsidRPr="00DB7F92">
        <w:rPr>
          <w:lang w:eastAsia="en-GB"/>
        </w:rPr>
        <w:t>made</w:t>
      </w:r>
      <w:r w:rsidRPr="00DB7F92">
        <w:rPr>
          <w:spacing w:val="12"/>
          <w:lang w:eastAsia="en-GB"/>
        </w:rPr>
        <w:t xml:space="preserve"> </w:t>
      </w:r>
      <w:r w:rsidRPr="00DB7F92">
        <w:rPr>
          <w:lang w:eastAsia="en-GB"/>
        </w:rPr>
        <w:t>on</w:t>
      </w:r>
      <w:r w:rsidRPr="00DB7F92">
        <w:rPr>
          <w:spacing w:val="15"/>
          <w:lang w:eastAsia="en-GB"/>
        </w:rPr>
        <w:t xml:space="preserve"> </w:t>
      </w:r>
      <w:r w:rsidRPr="00DB7F92">
        <w:rPr>
          <w:lang w:eastAsia="en-GB"/>
        </w:rPr>
        <w:t>closing</w:t>
      </w:r>
      <w:r w:rsidRPr="00DB7F92">
        <w:rPr>
          <w:spacing w:val="12"/>
          <w:lang w:eastAsia="en-GB"/>
        </w:rPr>
        <w:t xml:space="preserve"> </w:t>
      </w:r>
      <w:r w:rsidRPr="00DB7F92">
        <w:rPr>
          <w:lang w:eastAsia="en-GB"/>
        </w:rPr>
        <w:t>a</w:t>
      </w:r>
      <w:r w:rsidRPr="00DB7F92">
        <w:rPr>
          <w:spacing w:val="15"/>
          <w:lang w:eastAsia="en-GB"/>
        </w:rPr>
        <w:t xml:space="preserve"> </w:t>
      </w:r>
      <w:r w:rsidRPr="00DB7F92">
        <w:rPr>
          <w:lang w:eastAsia="en-GB"/>
        </w:rPr>
        <w:t>particular</w:t>
      </w:r>
      <w:r w:rsidRPr="00DB7F92">
        <w:rPr>
          <w:spacing w:val="14"/>
          <w:lang w:eastAsia="en-GB"/>
        </w:rPr>
        <w:t xml:space="preserve"> </w:t>
      </w:r>
      <w:r w:rsidRPr="00DB7F92">
        <w:rPr>
          <w:lang w:eastAsia="en-GB"/>
        </w:rPr>
        <w:t>pharmacy.</w:t>
      </w:r>
      <w:r w:rsidRPr="00DB7F92">
        <w:rPr>
          <w:spacing w:val="42"/>
          <w:lang w:eastAsia="en-GB"/>
        </w:rPr>
        <w:t xml:space="preserve"> </w:t>
      </w:r>
      <w:r w:rsidRPr="00DB7F92">
        <w:rPr>
          <w:lang w:eastAsia="en-GB"/>
        </w:rPr>
        <w:t>It</w:t>
      </w:r>
      <w:r w:rsidRPr="00DB7F92">
        <w:rPr>
          <w:spacing w:val="14"/>
          <w:lang w:eastAsia="en-GB"/>
        </w:rPr>
        <w:t xml:space="preserve"> </w:t>
      </w:r>
      <w:r w:rsidRPr="00DB7F92">
        <w:rPr>
          <w:lang w:eastAsia="en-GB"/>
        </w:rPr>
        <w:t>is</w:t>
      </w:r>
      <w:r w:rsidRPr="00DB7F92">
        <w:rPr>
          <w:spacing w:val="58"/>
          <w:w w:val="99"/>
          <w:lang w:eastAsia="en-GB"/>
        </w:rPr>
        <w:t xml:space="preserve"> </w:t>
      </w:r>
      <w:r w:rsidRPr="00DB7F92">
        <w:rPr>
          <w:lang w:eastAsia="en-GB"/>
        </w:rPr>
        <w:t>sometimes</w:t>
      </w:r>
      <w:r w:rsidRPr="00DB7F92">
        <w:rPr>
          <w:spacing w:val="59"/>
          <w:lang w:eastAsia="en-GB"/>
        </w:rPr>
        <w:t xml:space="preserve"> </w:t>
      </w:r>
      <w:r w:rsidRPr="00DB7F92">
        <w:rPr>
          <w:lang w:eastAsia="en-GB"/>
        </w:rPr>
        <w:t>(but</w:t>
      </w:r>
      <w:r w:rsidRPr="00DB7F92">
        <w:rPr>
          <w:spacing w:val="58"/>
          <w:lang w:eastAsia="en-GB"/>
        </w:rPr>
        <w:t xml:space="preserve"> </w:t>
      </w:r>
      <w:r w:rsidRPr="00DB7F92">
        <w:rPr>
          <w:lang w:eastAsia="en-GB"/>
        </w:rPr>
        <w:t>not</w:t>
      </w:r>
      <w:r w:rsidRPr="00DB7F92">
        <w:rPr>
          <w:spacing w:val="61"/>
          <w:lang w:eastAsia="en-GB"/>
        </w:rPr>
        <w:t xml:space="preserve"> </w:t>
      </w:r>
      <w:r w:rsidRPr="00DB7F92">
        <w:rPr>
          <w:lang w:eastAsia="en-GB"/>
        </w:rPr>
        <w:t>always)</w:t>
      </w:r>
      <w:r w:rsidRPr="00DB7F92">
        <w:rPr>
          <w:spacing w:val="57"/>
          <w:lang w:eastAsia="en-GB"/>
        </w:rPr>
        <w:t xml:space="preserve"> </w:t>
      </w:r>
      <w:r w:rsidRPr="00DB7F92">
        <w:rPr>
          <w:lang w:eastAsia="en-GB"/>
        </w:rPr>
        <w:t>possible</w:t>
      </w:r>
      <w:r w:rsidRPr="00DB7F92">
        <w:rPr>
          <w:spacing w:val="60"/>
          <w:lang w:eastAsia="en-GB"/>
        </w:rPr>
        <w:t xml:space="preserve"> </w:t>
      </w:r>
      <w:r w:rsidR="006C5F09">
        <w:rPr>
          <w:spacing w:val="60"/>
          <w:lang w:eastAsia="en-GB"/>
        </w:rPr>
        <w:t xml:space="preserve">to </w:t>
      </w:r>
      <w:r w:rsidRPr="00DB7F92">
        <w:rPr>
          <w:lang w:eastAsia="en-GB"/>
        </w:rPr>
        <w:t>depart</w:t>
      </w:r>
      <w:r w:rsidRPr="00DB7F92">
        <w:rPr>
          <w:spacing w:val="58"/>
          <w:lang w:eastAsia="en-GB"/>
        </w:rPr>
        <w:t xml:space="preserve"> </w:t>
      </w:r>
      <w:r w:rsidRPr="00DB7F92">
        <w:rPr>
          <w:lang w:eastAsia="en-GB"/>
        </w:rPr>
        <w:t>from</w:t>
      </w:r>
      <w:r w:rsidRPr="00DB7F92">
        <w:rPr>
          <w:spacing w:val="57"/>
          <w:lang w:eastAsia="en-GB"/>
        </w:rPr>
        <w:t xml:space="preserve"> </w:t>
      </w:r>
      <w:r w:rsidRPr="00DB7F92">
        <w:rPr>
          <w:lang w:eastAsia="en-GB"/>
        </w:rPr>
        <w:t>such</w:t>
      </w:r>
      <w:r w:rsidRPr="00DB7F92">
        <w:rPr>
          <w:spacing w:val="58"/>
          <w:lang w:eastAsia="en-GB"/>
        </w:rPr>
        <w:t xml:space="preserve"> </w:t>
      </w:r>
      <w:r w:rsidRPr="00DB7F92">
        <w:rPr>
          <w:lang w:eastAsia="en-GB"/>
        </w:rPr>
        <w:t>promises.</w:t>
      </w:r>
      <w:r w:rsidRPr="00DB7F92">
        <w:rPr>
          <w:spacing w:val="51"/>
          <w:lang w:eastAsia="en-GB"/>
        </w:rPr>
        <w:t xml:space="preserve"> </w:t>
      </w:r>
      <w:r w:rsidR="00D26A9F" w:rsidRPr="00DB7F92">
        <w:rPr>
          <w:lang w:eastAsia="en-GB"/>
        </w:rPr>
        <w:t>Therefore,</w:t>
      </w:r>
      <w:r w:rsidRPr="00DB7F92">
        <w:rPr>
          <w:spacing w:val="8"/>
          <w:lang w:eastAsia="en-GB"/>
        </w:rPr>
        <w:t xml:space="preserve"> </w:t>
      </w:r>
      <w:r w:rsidRPr="00DB7F92">
        <w:rPr>
          <w:lang w:eastAsia="en-GB"/>
        </w:rPr>
        <w:t>care</w:t>
      </w:r>
      <w:r w:rsidRPr="00DB7F92">
        <w:rPr>
          <w:spacing w:val="9"/>
          <w:lang w:eastAsia="en-GB"/>
        </w:rPr>
        <w:t xml:space="preserve"> </w:t>
      </w:r>
      <w:r w:rsidRPr="00DB7F92">
        <w:rPr>
          <w:lang w:eastAsia="en-GB"/>
        </w:rPr>
        <w:t>should</w:t>
      </w:r>
      <w:r w:rsidRPr="00DB7F92">
        <w:rPr>
          <w:spacing w:val="9"/>
          <w:lang w:eastAsia="en-GB"/>
        </w:rPr>
        <w:t xml:space="preserve"> </w:t>
      </w:r>
      <w:r w:rsidRPr="00DB7F92">
        <w:rPr>
          <w:lang w:eastAsia="en-GB"/>
        </w:rPr>
        <w:t>be</w:t>
      </w:r>
      <w:r w:rsidRPr="00DB7F92">
        <w:rPr>
          <w:spacing w:val="6"/>
          <w:lang w:eastAsia="en-GB"/>
        </w:rPr>
        <w:t xml:space="preserve"> </w:t>
      </w:r>
      <w:r w:rsidRPr="00DB7F92">
        <w:rPr>
          <w:lang w:eastAsia="en-GB"/>
        </w:rPr>
        <w:t>taken</w:t>
      </w:r>
      <w:r w:rsidRPr="00DB7F92">
        <w:rPr>
          <w:spacing w:val="10"/>
          <w:lang w:eastAsia="en-GB"/>
        </w:rPr>
        <w:t xml:space="preserve"> </w:t>
      </w:r>
      <w:r w:rsidRPr="00DB7F92">
        <w:rPr>
          <w:lang w:eastAsia="en-GB"/>
        </w:rPr>
        <w:t>about</w:t>
      </w:r>
      <w:r w:rsidRPr="00DB7F92">
        <w:rPr>
          <w:spacing w:val="8"/>
          <w:lang w:eastAsia="en-GB"/>
        </w:rPr>
        <w:t xml:space="preserve"> </w:t>
      </w:r>
      <w:r w:rsidRPr="00DB7F92">
        <w:rPr>
          <w:lang w:eastAsia="en-GB"/>
        </w:rPr>
        <w:t>giving</w:t>
      </w:r>
      <w:r w:rsidRPr="00DB7F92">
        <w:rPr>
          <w:spacing w:val="10"/>
          <w:lang w:eastAsia="en-GB"/>
        </w:rPr>
        <w:t xml:space="preserve"> </w:t>
      </w:r>
      <w:r w:rsidRPr="00DB7F92">
        <w:rPr>
          <w:lang w:eastAsia="en-GB"/>
        </w:rPr>
        <w:t>any</w:t>
      </w:r>
      <w:r w:rsidRPr="00DB7F92">
        <w:rPr>
          <w:spacing w:val="8"/>
          <w:lang w:eastAsia="en-GB"/>
        </w:rPr>
        <w:t xml:space="preserve"> </w:t>
      </w:r>
      <w:r w:rsidRPr="00DB7F92">
        <w:rPr>
          <w:lang w:eastAsia="en-GB"/>
        </w:rPr>
        <w:t>clear</w:t>
      </w:r>
      <w:r w:rsidRPr="00DB7F92">
        <w:rPr>
          <w:spacing w:val="10"/>
          <w:lang w:eastAsia="en-GB"/>
        </w:rPr>
        <w:t xml:space="preserve"> </w:t>
      </w:r>
      <w:r w:rsidRPr="00DB7F92">
        <w:rPr>
          <w:lang w:eastAsia="en-GB"/>
        </w:rPr>
        <w:t>commitments</w:t>
      </w:r>
      <w:r w:rsidRPr="00DB7F92">
        <w:rPr>
          <w:spacing w:val="10"/>
          <w:lang w:eastAsia="en-GB"/>
        </w:rPr>
        <w:t xml:space="preserve"> </w:t>
      </w:r>
      <w:r w:rsidRPr="00DB7F92">
        <w:rPr>
          <w:lang w:eastAsia="en-GB"/>
        </w:rPr>
        <w:t>to</w:t>
      </w:r>
      <w:r w:rsidRPr="00DB7F92">
        <w:rPr>
          <w:spacing w:val="7"/>
          <w:lang w:eastAsia="en-GB"/>
        </w:rPr>
        <w:t xml:space="preserve"> </w:t>
      </w:r>
      <w:r w:rsidRPr="00DB7F92">
        <w:rPr>
          <w:lang w:eastAsia="en-GB"/>
        </w:rPr>
        <w:t>a</w:t>
      </w:r>
      <w:r w:rsidRPr="00DB7F92">
        <w:rPr>
          <w:spacing w:val="59"/>
          <w:w w:val="99"/>
          <w:lang w:eastAsia="en-GB"/>
        </w:rPr>
        <w:t xml:space="preserve"> </w:t>
      </w:r>
      <w:r w:rsidRPr="00DB7F92">
        <w:rPr>
          <w:lang w:eastAsia="en-GB"/>
        </w:rPr>
        <w:t>particular</w:t>
      </w:r>
      <w:r w:rsidRPr="00DB7F92">
        <w:rPr>
          <w:spacing w:val="48"/>
          <w:lang w:eastAsia="en-GB"/>
        </w:rPr>
        <w:t xml:space="preserve"> </w:t>
      </w:r>
      <w:r w:rsidRPr="00DB7F92">
        <w:rPr>
          <w:lang w:eastAsia="en-GB"/>
        </w:rPr>
        <w:t>course</w:t>
      </w:r>
      <w:r w:rsidRPr="00DB7F92">
        <w:rPr>
          <w:spacing w:val="45"/>
          <w:lang w:eastAsia="en-GB"/>
        </w:rPr>
        <w:t xml:space="preserve"> </w:t>
      </w:r>
      <w:r w:rsidRPr="00DB7F92">
        <w:rPr>
          <w:lang w:eastAsia="en-GB"/>
        </w:rPr>
        <w:t>of</w:t>
      </w:r>
      <w:r w:rsidRPr="00DB7F92">
        <w:rPr>
          <w:spacing w:val="44"/>
          <w:lang w:eastAsia="en-GB"/>
        </w:rPr>
        <w:t xml:space="preserve"> </w:t>
      </w:r>
      <w:r w:rsidRPr="00DB7F92">
        <w:rPr>
          <w:lang w:eastAsia="en-GB"/>
        </w:rPr>
        <w:t>action</w:t>
      </w:r>
      <w:r w:rsidRPr="00DB7F92">
        <w:rPr>
          <w:spacing w:val="46"/>
          <w:lang w:eastAsia="en-GB"/>
        </w:rPr>
        <w:t xml:space="preserve"> </w:t>
      </w:r>
      <w:r w:rsidRPr="00DB7F92">
        <w:rPr>
          <w:lang w:eastAsia="en-GB"/>
        </w:rPr>
        <w:t>until</w:t>
      </w:r>
      <w:r w:rsidRPr="00DB7F92">
        <w:rPr>
          <w:spacing w:val="45"/>
          <w:lang w:eastAsia="en-GB"/>
        </w:rPr>
        <w:t xml:space="preserve"> </w:t>
      </w:r>
      <w:r w:rsidRPr="00DB7F92">
        <w:rPr>
          <w:lang w:eastAsia="en-GB"/>
        </w:rPr>
        <w:t>the commissioner</w:t>
      </w:r>
      <w:r w:rsidRPr="00DB7F92">
        <w:rPr>
          <w:spacing w:val="45"/>
          <w:lang w:eastAsia="en-GB"/>
        </w:rPr>
        <w:t xml:space="preserve"> </w:t>
      </w:r>
      <w:r w:rsidRPr="00DB7F92">
        <w:rPr>
          <w:lang w:eastAsia="en-GB"/>
        </w:rPr>
        <w:t>is</w:t>
      </w:r>
      <w:r w:rsidRPr="00DB7F92">
        <w:rPr>
          <w:spacing w:val="46"/>
          <w:lang w:eastAsia="en-GB"/>
        </w:rPr>
        <w:t xml:space="preserve"> </w:t>
      </w:r>
      <w:r w:rsidRPr="00DB7F92">
        <w:rPr>
          <w:lang w:eastAsia="en-GB"/>
        </w:rPr>
        <w:t>sure</w:t>
      </w:r>
      <w:r w:rsidRPr="00DB7F92">
        <w:rPr>
          <w:spacing w:val="45"/>
          <w:lang w:eastAsia="en-GB"/>
        </w:rPr>
        <w:t xml:space="preserve"> </w:t>
      </w:r>
      <w:r w:rsidRPr="00DB7F92">
        <w:rPr>
          <w:lang w:eastAsia="en-GB"/>
        </w:rPr>
        <w:t>that</w:t>
      </w:r>
      <w:r w:rsidRPr="00DB7F92">
        <w:rPr>
          <w:spacing w:val="47"/>
          <w:lang w:eastAsia="en-GB"/>
        </w:rPr>
        <w:t xml:space="preserve"> </w:t>
      </w:r>
      <w:r w:rsidRPr="00DB7F92">
        <w:rPr>
          <w:lang w:eastAsia="en-GB"/>
        </w:rPr>
        <w:t>it</w:t>
      </w:r>
      <w:r w:rsidRPr="00DB7F92">
        <w:rPr>
          <w:spacing w:val="46"/>
          <w:lang w:eastAsia="en-GB"/>
        </w:rPr>
        <w:t xml:space="preserve"> </w:t>
      </w:r>
      <w:r w:rsidRPr="00DB7F92">
        <w:rPr>
          <w:lang w:eastAsia="en-GB"/>
        </w:rPr>
        <w:t>is</w:t>
      </w:r>
      <w:r w:rsidRPr="00DB7F92">
        <w:rPr>
          <w:spacing w:val="47"/>
          <w:lang w:eastAsia="en-GB"/>
        </w:rPr>
        <w:t xml:space="preserve"> </w:t>
      </w:r>
      <w:r w:rsidRPr="00DB7F92">
        <w:rPr>
          <w:lang w:eastAsia="en-GB"/>
        </w:rPr>
        <w:t>what</w:t>
      </w:r>
      <w:r w:rsidRPr="00DB7F92">
        <w:rPr>
          <w:spacing w:val="46"/>
          <w:lang w:eastAsia="en-GB"/>
        </w:rPr>
        <w:t xml:space="preserve"> </w:t>
      </w:r>
      <w:r w:rsidRPr="00DB7F92">
        <w:rPr>
          <w:lang w:eastAsia="en-GB"/>
        </w:rPr>
        <w:t>it</w:t>
      </w:r>
      <w:r w:rsidRPr="00DB7F92">
        <w:rPr>
          <w:spacing w:val="46"/>
          <w:w w:val="99"/>
          <w:lang w:eastAsia="en-GB"/>
        </w:rPr>
        <w:t xml:space="preserve"> </w:t>
      </w:r>
      <w:r w:rsidRPr="00DB7F92">
        <w:rPr>
          <w:lang w:eastAsia="en-GB"/>
        </w:rPr>
        <w:t>wants</w:t>
      </w:r>
      <w:r w:rsidRPr="00DB7F92">
        <w:rPr>
          <w:spacing w:val="13"/>
          <w:lang w:eastAsia="en-GB"/>
        </w:rPr>
        <w:t xml:space="preserve"> </w:t>
      </w:r>
      <w:r w:rsidRPr="00DB7F92">
        <w:rPr>
          <w:lang w:eastAsia="en-GB"/>
        </w:rPr>
        <w:t>to</w:t>
      </w:r>
      <w:r w:rsidRPr="00DB7F92">
        <w:rPr>
          <w:spacing w:val="13"/>
          <w:lang w:eastAsia="en-GB"/>
        </w:rPr>
        <w:t xml:space="preserve"> </w:t>
      </w:r>
      <w:r w:rsidRPr="00DB7F92">
        <w:rPr>
          <w:lang w:eastAsia="en-GB"/>
        </w:rPr>
        <w:t>do.</w:t>
      </w:r>
      <w:r w:rsidRPr="00DB7F92">
        <w:rPr>
          <w:spacing w:val="13"/>
          <w:lang w:eastAsia="en-GB"/>
        </w:rPr>
        <w:t xml:space="preserve"> </w:t>
      </w:r>
      <w:r w:rsidRPr="00DB7F92">
        <w:rPr>
          <w:lang w:eastAsia="en-GB"/>
        </w:rPr>
        <w:t>If</w:t>
      </w:r>
      <w:r w:rsidRPr="00DB7F92">
        <w:rPr>
          <w:spacing w:val="15"/>
          <w:lang w:eastAsia="en-GB"/>
        </w:rPr>
        <w:t xml:space="preserve"> </w:t>
      </w:r>
      <w:r w:rsidRPr="00DB7F92">
        <w:rPr>
          <w:lang w:eastAsia="en-GB"/>
        </w:rPr>
        <w:t>a commissioner</w:t>
      </w:r>
      <w:r w:rsidRPr="00DB7F92">
        <w:rPr>
          <w:spacing w:val="15"/>
          <w:lang w:eastAsia="en-GB"/>
        </w:rPr>
        <w:t xml:space="preserve"> </w:t>
      </w:r>
      <w:r w:rsidRPr="00DB7F92">
        <w:rPr>
          <w:lang w:eastAsia="en-GB"/>
        </w:rPr>
        <w:t>is</w:t>
      </w:r>
      <w:r w:rsidRPr="00DB7F92">
        <w:rPr>
          <w:spacing w:val="13"/>
          <w:lang w:eastAsia="en-GB"/>
        </w:rPr>
        <w:t xml:space="preserve"> </w:t>
      </w:r>
      <w:r w:rsidRPr="00DB7F92">
        <w:rPr>
          <w:lang w:eastAsia="en-GB"/>
        </w:rPr>
        <w:t>considering</w:t>
      </w:r>
      <w:r w:rsidRPr="00DB7F92">
        <w:rPr>
          <w:spacing w:val="15"/>
          <w:lang w:eastAsia="en-GB"/>
        </w:rPr>
        <w:t xml:space="preserve"> </w:t>
      </w:r>
      <w:r w:rsidRPr="00DB7F92">
        <w:rPr>
          <w:lang w:eastAsia="en-GB"/>
        </w:rPr>
        <w:t>departing</w:t>
      </w:r>
      <w:r w:rsidRPr="00DB7F92">
        <w:rPr>
          <w:spacing w:val="13"/>
          <w:lang w:eastAsia="en-GB"/>
        </w:rPr>
        <w:t xml:space="preserve"> </w:t>
      </w:r>
      <w:r w:rsidRPr="00DB7F92">
        <w:rPr>
          <w:lang w:eastAsia="en-GB"/>
        </w:rPr>
        <w:t>from</w:t>
      </w:r>
      <w:r w:rsidRPr="00DB7F92">
        <w:rPr>
          <w:spacing w:val="15"/>
          <w:lang w:eastAsia="en-GB"/>
        </w:rPr>
        <w:t xml:space="preserve"> </w:t>
      </w:r>
      <w:r w:rsidRPr="00DB7F92">
        <w:rPr>
          <w:lang w:eastAsia="en-GB"/>
        </w:rPr>
        <w:t>a</w:t>
      </w:r>
      <w:r w:rsidRPr="00DB7F92">
        <w:rPr>
          <w:spacing w:val="12"/>
          <w:lang w:eastAsia="en-GB"/>
        </w:rPr>
        <w:t xml:space="preserve"> </w:t>
      </w:r>
      <w:r w:rsidRPr="00DB7F92">
        <w:rPr>
          <w:lang w:eastAsia="en-GB"/>
        </w:rPr>
        <w:t>commitment</w:t>
      </w:r>
      <w:r w:rsidRPr="00DB7F92">
        <w:rPr>
          <w:spacing w:val="14"/>
          <w:lang w:eastAsia="en-GB"/>
        </w:rPr>
        <w:t xml:space="preserve"> </w:t>
      </w:r>
      <w:r w:rsidRPr="00DB7F92">
        <w:rPr>
          <w:lang w:eastAsia="en-GB"/>
        </w:rPr>
        <w:t>it</w:t>
      </w:r>
      <w:r w:rsidRPr="00DB7F92">
        <w:rPr>
          <w:spacing w:val="58"/>
          <w:w w:val="99"/>
          <w:lang w:eastAsia="en-GB"/>
        </w:rPr>
        <w:t xml:space="preserve"> </w:t>
      </w:r>
      <w:r w:rsidRPr="00DB7F92">
        <w:rPr>
          <w:lang w:eastAsia="en-GB"/>
        </w:rPr>
        <w:t>has</w:t>
      </w:r>
      <w:r w:rsidRPr="00DB7F92">
        <w:rPr>
          <w:spacing w:val="22"/>
          <w:lang w:eastAsia="en-GB"/>
        </w:rPr>
        <w:t xml:space="preserve"> </w:t>
      </w:r>
      <w:r w:rsidRPr="00DB7F92">
        <w:rPr>
          <w:lang w:eastAsia="en-GB"/>
        </w:rPr>
        <w:t>given</w:t>
      </w:r>
      <w:r w:rsidRPr="00DB7F92">
        <w:rPr>
          <w:spacing w:val="22"/>
          <w:lang w:eastAsia="en-GB"/>
        </w:rPr>
        <w:t xml:space="preserve"> </w:t>
      </w:r>
      <w:r w:rsidRPr="00DB7F92">
        <w:rPr>
          <w:lang w:eastAsia="en-GB"/>
        </w:rPr>
        <w:t>to</w:t>
      </w:r>
      <w:r w:rsidRPr="00DB7F92">
        <w:rPr>
          <w:spacing w:val="24"/>
          <w:lang w:eastAsia="en-GB"/>
        </w:rPr>
        <w:t xml:space="preserve"> </w:t>
      </w:r>
      <w:r w:rsidRPr="00DB7F92">
        <w:rPr>
          <w:lang w:eastAsia="en-GB"/>
        </w:rPr>
        <w:t>do</w:t>
      </w:r>
      <w:r w:rsidRPr="00DB7F92">
        <w:rPr>
          <w:spacing w:val="24"/>
          <w:lang w:eastAsia="en-GB"/>
        </w:rPr>
        <w:t xml:space="preserve"> </w:t>
      </w:r>
      <w:r w:rsidRPr="00DB7F92">
        <w:rPr>
          <w:lang w:eastAsia="en-GB"/>
        </w:rPr>
        <w:t>a</w:t>
      </w:r>
      <w:r w:rsidRPr="00DB7F92">
        <w:rPr>
          <w:spacing w:val="21"/>
          <w:lang w:eastAsia="en-GB"/>
        </w:rPr>
        <w:t xml:space="preserve"> </w:t>
      </w:r>
      <w:r w:rsidRPr="00DB7F92">
        <w:rPr>
          <w:lang w:eastAsia="en-GB"/>
        </w:rPr>
        <w:t>particular</w:t>
      </w:r>
      <w:r w:rsidRPr="00DB7F92">
        <w:rPr>
          <w:spacing w:val="22"/>
          <w:lang w:eastAsia="en-GB"/>
        </w:rPr>
        <w:t xml:space="preserve"> </w:t>
      </w:r>
      <w:r w:rsidRPr="00DB7F92">
        <w:rPr>
          <w:lang w:eastAsia="en-GB"/>
        </w:rPr>
        <w:t>thing</w:t>
      </w:r>
      <w:r w:rsidRPr="00DB7F92">
        <w:rPr>
          <w:spacing w:val="21"/>
          <w:lang w:eastAsia="en-GB"/>
        </w:rPr>
        <w:t xml:space="preserve"> </w:t>
      </w:r>
      <w:r w:rsidRPr="00DB7F92">
        <w:rPr>
          <w:lang w:eastAsia="en-GB"/>
        </w:rPr>
        <w:t>or</w:t>
      </w:r>
      <w:r w:rsidRPr="00DB7F92">
        <w:rPr>
          <w:spacing w:val="25"/>
          <w:lang w:eastAsia="en-GB"/>
        </w:rPr>
        <w:t xml:space="preserve"> </w:t>
      </w:r>
      <w:r w:rsidRPr="00DB7F92">
        <w:rPr>
          <w:lang w:eastAsia="en-GB"/>
        </w:rPr>
        <w:t>follow</w:t>
      </w:r>
      <w:r w:rsidRPr="00DB7F92">
        <w:rPr>
          <w:spacing w:val="23"/>
          <w:lang w:eastAsia="en-GB"/>
        </w:rPr>
        <w:t xml:space="preserve"> </w:t>
      </w:r>
      <w:r w:rsidRPr="00DB7F92">
        <w:rPr>
          <w:lang w:eastAsia="en-GB"/>
        </w:rPr>
        <w:t>a</w:t>
      </w:r>
      <w:r w:rsidRPr="00DB7F92">
        <w:rPr>
          <w:spacing w:val="24"/>
          <w:lang w:eastAsia="en-GB"/>
        </w:rPr>
        <w:t xml:space="preserve"> </w:t>
      </w:r>
      <w:r w:rsidRPr="00DB7F92">
        <w:rPr>
          <w:lang w:eastAsia="en-GB"/>
        </w:rPr>
        <w:t>particular</w:t>
      </w:r>
      <w:r w:rsidRPr="00DB7F92">
        <w:rPr>
          <w:spacing w:val="25"/>
          <w:lang w:eastAsia="en-GB"/>
        </w:rPr>
        <w:t xml:space="preserve"> </w:t>
      </w:r>
      <w:r w:rsidRPr="00DB7F92">
        <w:rPr>
          <w:lang w:eastAsia="en-GB"/>
        </w:rPr>
        <w:t>type</w:t>
      </w:r>
      <w:r w:rsidRPr="00DB7F92">
        <w:rPr>
          <w:spacing w:val="23"/>
          <w:lang w:eastAsia="en-GB"/>
        </w:rPr>
        <w:t xml:space="preserve"> </w:t>
      </w:r>
      <w:r w:rsidRPr="00DB7F92">
        <w:rPr>
          <w:lang w:eastAsia="en-GB"/>
        </w:rPr>
        <w:t>of</w:t>
      </w:r>
      <w:r w:rsidRPr="00DB7F92">
        <w:rPr>
          <w:spacing w:val="22"/>
          <w:lang w:eastAsia="en-GB"/>
        </w:rPr>
        <w:t xml:space="preserve"> </w:t>
      </w:r>
      <w:r w:rsidRPr="00DB7F92">
        <w:rPr>
          <w:lang w:eastAsia="en-GB"/>
        </w:rPr>
        <w:t>process,</w:t>
      </w:r>
      <w:r w:rsidRPr="00DB7F92">
        <w:rPr>
          <w:spacing w:val="57"/>
          <w:lang w:eastAsia="en-GB"/>
        </w:rPr>
        <w:t xml:space="preserve"> then</w:t>
      </w:r>
      <w:r w:rsidRPr="00DB7F92">
        <w:rPr>
          <w:lang w:eastAsia="en-GB"/>
        </w:rPr>
        <w:t xml:space="preserve">, if the decision is being made by NHS England or by a </w:t>
      </w:r>
      <w:r w:rsidR="00B83042">
        <w:rPr>
          <w:lang w:eastAsia="en-GB"/>
        </w:rPr>
        <w:t>CCG/ICB</w:t>
      </w:r>
      <w:r w:rsidRPr="00DB7F92">
        <w:rPr>
          <w:lang w:eastAsia="en-GB"/>
        </w:rPr>
        <w:t xml:space="preserve"> on NHS England's behalf as part of co-commissioning, the NHS England legal team should be contacted for further guidance.</w:t>
      </w:r>
      <w:r w:rsidRPr="00DB7F92">
        <w:rPr>
          <w:spacing w:val="49"/>
          <w:lang w:eastAsia="en-GB"/>
        </w:rPr>
        <w:t xml:space="preserve"> </w:t>
      </w:r>
    </w:p>
    <w:p w14:paraId="721D88AF" w14:textId="77777777" w:rsidR="00DB7F92" w:rsidRPr="00DB7F92" w:rsidRDefault="00DB7F92" w:rsidP="00F56C9E">
      <w:pPr>
        <w:pStyle w:val="Heading3"/>
        <w:numPr>
          <w:ilvl w:val="0"/>
          <w:numId w:val="0"/>
        </w:numPr>
        <w:jc w:val="both"/>
        <w:sectPr w:rsidR="00DB7F92" w:rsidRPr="00DB7F92" w:rsidSect="00974758">
          <w:footerReference w:type="first" r:id="rId40"/>
          <w:pgSz w:w="11910" w:h="16840"/>
          <w:pgMar w:top="980" w:right="1300" w:bottom="880" w:left="1300" w:header="490" w:footer="420" w:gutter="0"/>
          <w:cols w:space="720"/>
          <w:titlePg/>
          <w:docGrid w:linePitch="326"/>
        </w:sectPr>
      </w:pPr>
    </w:p>
    <w:p w14:paraId="252B3280" w14:textId="77777777" w:rsidR="00DB7F92" w:rsidRPr="00DB7F92" w:rsidRDefault="00DB7F92" w:rsidP="00DD5D2D">
      <w:pPr>
        <w:pStyle w:val="Heading3"/>
        <w:jc w:val="both"/>
        <w:rPr>
          <w:lang w:eastAsia="en-GB"/>
        </w:rPr>
      </w:pPr>
      <w:r w:rsidRPr="00DB7F92">
        <w:rPr>
          <w:lang w:eastAsia="en-GB"/>
        </w:rPr>
        <w:t>It</w:t>
      </w:r>
      <w:r w:rsidRPr="00DB7F92">
        <w:rPr>
          <w:spacing w:val="-3"/>
          <w:lang w:eastAsia="en-GB"/>
        </w:rPr>
        <w:t xml:space="preserve"> </w:t>
      </w:r>
      <w:r w:rsidRPr="00DB7F92">
        <w:rPr>
          <w:lang w:eastAsia="en-GB"/>
        </w:rPr>
        <w:t>is also</w:t>
      </w:r>
      <w:r w:rsidRPr="00DB7F92">
        <w:rPr>
          <w:spacing w:val="-4"/>
          <w:lang w:eastAsia="en-GB"/>
        </w:rPr>
        <w:t xml:space="preserve"> </w:t>
      </w:r>
      <w:r w:rsidRPr="00DB7F92">
        <w:rPr>
          <w:lang w:eastAsia="en-GB"/>
        </w:rPr>
        <w:t>important</w:t>
      </w:r>
      <w:r w:rsidRPr="00DB7F92">
        <w:rPr>
          <w:spacing w:val="-2"/>
          <w:lang w:eastAsia="en-GB"/>
        </w:rPr>
        <w:t xml:space="preserve"> </w:t>
      </w:r>
      <w:r w:rsidRPr="00DB7F92">
        <w:rPr>
          <w:lang w:eastAsia="en-GB"/>
        </w:rPr>
        <w:t>to</w:t>
      </w:r>
      <w:r w:rsidRPr="00DB7F92">
        <w:rPr>
          <w:spacing w:val="-4"/>
          <w:lang w:eastAsia="en-GB"/>
        </w:rPr>
        <w:t xml:space="preserve"> </w:t>
      </w:r>
      <w:r w:rsidRPr="00DB7F92">
        <w:rPr>
          <w:lang w:eastAsia="en-GB"/>
        </w:rPr>
        <w:t>act</w:t>
      </w:r>
      <w:r w:rsidRPr="00DB7F92">
        <w:rPr>
          <w:spacing w:val="-2"/>
          <w:lang w:eastAsia="en-GB"/>
        </w:rPr>
        <w:t xml:space="preserve"> </w:t>
      </w:r>
      <w:r w:rsidRPr="00DB7F92">
        <w:rPr>
          <w:lang w:eastAsia="en-GB"/>
        </w:rPr>
        <w:t>proportionately,</w:t>
      </w:r>
      <w:r w:rsidRPr="00DB7F92">
        <w:rPr>
          <w:spacing w:val="-3"/>
          <w:lang w:eastAsia="en-GB"/>
        </w:rPr>
        <w:t xml:space="preserve"> </w:t>
      </w:r>
      <w:r w:rsidRPr="00DB7F92">
        <w:rPr>
          <w:lang w:eastAsia="en-GB"/>
        </w:rPr>
        <w:t>taking</w:t>
      </w:r>
      <w:r w:rsidRPr="00DB7F92">
        <w:rPr>
          <w:spacing w:val="-3"/>
          <w:lang w:eastAsia="en-GB"/>
        </w:rPr>
        <w:t xml:space="preserve"> </w:t>
      </w:r>
      <w:r w:rsidRPr="00DB7F92">
        <w:rPr>
          <w:lang w:eastAsia="en-GB"/>
        </w:rPr>
        <w:t>into</w:t>
      </w:r>
      <w:r w:rsidRPr="00DB7F92">
        <w:rPr>
          <w:spacing w:val="-3"/>
          <w:lang w:eastAsia="en-GB"/>
        </w:rPr>
        <w:t xml:space="preserve"> </w:t>
      </w:r>
      <w:r w:rsidRPr="00DB7F92">
        <w:rPr>
          <w:lang w:eastAsia="en-GB"/>
        </w:rPr>
        <w:t>account</w:t>
      </w:r>
      <w:r w:rsidRPr="00DB7F92">
        <w:rPr>
          <w:spacing w:val="-3"/>
          <w:lang w:eastAsia="en-GB"/>
        </w:rPr>
        <w:t xml:space="preserve"> </w:t>
      </w:r>
      <w:r w:rsidRPr="00DB7F92">
        <w:rPr>
          <w:lang w:eastAsia="en-GB"/>
        </w:rPr>
        <w:t>any</w:t>
      </w:r>
      <w:r w:rsidRPr="00DB7F92">
        <w:rPr>
          <w:spacing w:val="-2"/>
          <w:lang w:eastAsia="en-GB"/>
        </w:rPr>
        <w:t xml:space="preserve"> </w:t>
      </w:r>
      <w:r w:rsidRPr="00DB7F92">
        <w:rPr>
          <w:lang w:eastAsia="en-GB"/>
        </w:rPr>
        <w:t>adverse</w:t>
      </w:r>
      <w:r w:rsidRPr="00DB7F92">
        <w:rPr>
          <w:spacing w:val="51"/>
          <w:w w:val="99"/>
          <w:lang w:eastAsia="en-GB"/>
        </w:rPr>
        <w:t xml:space="preserve"> </w:t>
      </w:r>
      <w:r w:rsidRPr="00DB7F92">
        <w:rPr>
          <w:lang w:eastAsia="en-GB"/>
        </w:rPr>
        <w:t>impact</w:t>
      </w:r>
      <w:r w:rsidRPr="00DB7F92">
        <w:rPr>
          <w:spacing w:val="-4"/>
          <w:lang w:eastAsia="en-GB"/>
        </w:rPr>
        <w:t xml:space="preserve"> </w:t>
      </w:r>
      <w:r w:rsidRPr="00DB7F92">
        <w:rPr>
          <w:lang w:eastAsia="en-GB"/>
        </w:rPr>
        <w:t>on</w:t>
      </w:r>
      <w:r w:rsidRPr="00DB7F92">
        <w:rPr>
          <w:spacing w:val="-3"/>
          <w:lang w:eastAsia="en-GB"/>
        </w:rPr>
        <w:t xml:space="preserve"> </w:t>
      </w:r>
      <w:r w:rsidRPr="00DB7F92">
        <w:rPr>
          <w:lang w:eastAsia="en-GB"/>
        </w:rPr>
        <w:t>patients</w:t>
      </w:r>
      <w:r w:rsidRPr="00DB7F92">
        <w:rPr>
          <w:spacing w:val="-6"/>
          <w:lang w:eastAsia="en-GB"/>
        </w:rPr>
        <w:t xml:space="preserve"> </w:t>
      </w:r>
      <w:r w:rsidRPr="00DB7F92">
        <w:rPr>
          <w:lang w:eastAsia="en-GB"/>
        </w:rPr>
        <w:t>and/or</w:t>
      </w:r>
      <w:r w:rsidRPr="00DB7F92">
        <w:rPr>
          <w:spacing w:val="-5"/>
          <w:lang w:eastAsia="en-GB"/>
        </w:rPr>
        <w:t xml:space="preserve"> </w:t>
      </w:r>
      <w:r w:rsidRPr="00DB7F92">
        <w:rPr>
          <w:lang w:eastAsia="en-GB"/>
        </w:rPr>
        <w:t>contractors.</w:t>
      </w:r>
    </w:p>
    <w:p w14:paraId="053D1113" w14:textId="5F38A3FC" w:rsidR="00DB7F92" w:rsidRDefault="00DB7F92" w:rsidP="006B14E9">
      <w:pPr>
        <w:rPr>
          <w:rFonts w:eastAsiaTheme="majorEastAsia"/>
          <w:i/>
          <w:sz w:val="28"/>
        </w:rPr>
      </w:pPr>
      <w:r w:rsidRPr="006B14E9">
        <w:rPr>
          <w:rFonts w:eastAsiaTheme="majorEastAsia"/>
          <w:i/>
          <w:sz w:val="28"/>
        </w:rPr>
        <w:t>Acting reasonably</w:t>
      </w:r>
    </w:p>
    <w:p w14:paraId="1AF7D1D8" w14:textId="77777777" w:rsidR="006B14E9" w:rsidRPr="006B14E9" w:rsidRDefault="006B14E9" w:rsidP="006B14E9">
      <w:pPr>
        <w:rPr>
          <w:rFonts w:eastAsiaTheme="majorEastAsia"/>
          <w:i/>
          <w:sz w:val="28"/>
        </w:rPr>
      </w:pPr>
    </w:p>
    <w:p w14:paraId="12C4BEB3" w14:textId="77777777" w:rsidR="00DB7F92" w:rsidRPr="00DB7F92" w:rsidRDefault="00DB7F92" w:rsidP="00DD5D2D">
      <w:pPr>
        <w:pStyle w:val="Heading3"/>
        <w:jc w:val="both"/>
        <w:rPr>
          <w:lang w:eastAsia="en-GB"/>
        </w:rPr>
      </w:pPr>
      <w:r w:rsidRPr="00DB7F92">
        <w:rPr>
          <w:lang w:eastAsia="en-GB"/>
        </w:rPr>
        <w:t>The Commissioner has</w:t>
      </w:r>
      <w:r w:rsidRPr="00DB7F92">
        <w:rPr>
          <w:spacing w:val="1"/>
          <w:lang w:eastAsia="en-GB"/>
        </w:rPr>
        <w:t xml:space="preserve"> </w:t>
      </w:r>
      <w:r w:rsidRPr="00DB7F92">
        <w:rPr>
          <w:lang w:eastAsia="en-GB"/>
        </w:rPr>
        <w:t>to take all relevant</w:t>
      </w:r>
      <w:r w:rsidRPr="00DB7F92">
        <w:rPr>
          <w:spacing w:val="2"/>
          <w:lang w:eastAsia="en-GB"/>
        </w:rPr>
        <w:t xml:space="preserve"> </w:t>
      </w:r>
      <w:r w:rsidRPr="00DB7F92">
        <w:rPr>
          <w:lang w:eastAsia="en-GB"/>
        </w:rPr>
        <w:t>factors</w:t>
      </w:r>
      <w:r w:rsidRPr="00DB7F92">
        <w:rPr>
          <w:spacing w:val="1"/>
          <w:lang w:eastAsia="en-GB"/>
        </w:rPr>
        <w:t xml:space="preserve"> </w:t>
      </w:r>
      <w:r w:rsidRPr="00DB7F92">
        <w:rPr>
          <w:lang w:eastAsia="en-GB"/>
        </w:rPr>
        <w:t>into account</w:t>
      </w:r>
      <w:r w:rsidRPr="00DB7F92">
        <w:rPr>
          <w:spacing w:val="1"/>
          <w:lang w:eastAsia="en-GB"/>
        </w:rPr>
        <w:t xml:space="preserve"> </w:t>
      </w:r>
      <w:r w:rsidRPr="00DB7F92">
        <w:rPr>
          <w:lang w:eastAsia="en-GB"/>
        </w:rPr>
        <w:t>when making its</w:t>
      </w:r>
      <w:r w:rsidRPr="00DB7F92">
        <w:rPr>
          <w:spacing w:val="57"/>
          <w:lang w:eastAsia="en-GB"/>
        </w:rPr>
        <w:t xml:space="preserve"> </w:t>
      </w:r>
      <w:r w:rsidRPr="00DB7F92">
        <w:rPr>
          <w:lang w:eastAsia="en-GB"/>
        </w:rPr>
        <w:t>decisions</w:t>
      </w:r>
      <w:r w:rsidRPr="00DB7F92">
        <w:rPr>
          <w:spacing w:val="40"/>
          <w:lang w:eastAsia="en-GB"/>
        </w:rPr>
        <w:t xml:space="preserve"> </w:t>
      </w:r>
      <w:r w:rsidRPr="00DB7F92">
        <w:rPr>
          <w:lang w:eastAsia="en-GB"/>
        </w:rPr>
        <w:t>and</w:t>
      </w:r>
      <w:r w:rsidRPr="00DB7F92">
        <w:rPr>
          <w:spacing w:val="40"/>
          <w:lang w:eastAsia="en-GB"/>
        </w:rPr>
        <w:t xml:space="preserve"> </w:t>
      </w:r>
      <w:r w:rsidRPr="00DB7F92">
        <w:rPr>
          <w:lang w:eastAsia="en-GB"/>
        </w:rPr>
        <w:t>exclude</w:t>
      </w:r>
      <w:r w:rsidRPr="00DB7F92">
        <w:rPr>
          <w:spacing w:val="41"/>
          <w:lang w:eastAsia="en-GB"/>
        </w:rPr>
        <w:t xml:space="preserve"> </w:t>
      </w:r>
      <w:r w:rsidRPr="00DB7F92">
        <w:rPr>
          <w:lang w:eastAsia="en-GB"/>
        </w:rPr>
        <w:t>irrelevant</w:t>
      </w:r>
      <w:r w:rsidRPr="00DB7F92">
        <w:rPr>
          <w:spacing w:val="42"/>
          <w:lang w:eastAsia="en-GB"/>
        </w:rPr>
        <w:t xml:space="preserve"> </w:t>
      </w:r>
      <w:r w:rsidRPr="00DB7F92">
        <w:rPr>
          <w:lang w:eastAsia="en-GB"/>
        </w:rPr>
        <w:t>factors.</w:t>
      </w:r>
      <w:r w:rsidRPr="00DB7F92">
        <w:rPr>
          <w:spacing w:val="13"/>
          <w:lang w:eastAsia="en-GB"/>
        </w:rPr>
        <w:t xml:space="preserve"> </w:t>
      </w:r>
      <w:r w:rsidRPr="00DB7F92">
        <w:rPr>
          <w:lang w:eastAsia="en-GB"/>
        </w:rPr>
        <w:t>It</w:t>
      </w:r>
      <w:r w:rsidRPr="00DB7F92">
        <w:rPr>
          <w:spacing w:val="40"/>
          <w:lang w:eastAsia="en-GB"/>
        </w:rPr>
        <w:t xml:space="preserve"> </w:t>
      </w:r>
      <w:r w:rsidRPr="00DB7F92">
        <w:rPr>
          <w:lang w:eastAsia="en-GB"/>
        </w:rPr>
        <w:t>is</w:t>
      </w:r>
      <w:r w:rsidRPr="00DB7F92">
        <w:rPr>
          <w:spacing w:val="42"/>
          <w:lang w:eastAsia="en-GB"/>
        </w:rPr>
        <w:t xml:space="preserve"> </w:t>
      </w:r>
      <w:r w:rsidRPr="00DB7F92">
        <w:rPr>
          <w:lang w:eastAsia="en-GB"/>
        </w:rPr>
        <w:t>up</w:t>
      </w:r>
      <w:r w:rsidRPr="00DB7F92">
        <w:rPr>
          <w:spacing w:val="38"/>
          <w:lang w:eastAsia="en-GB"/>
        </w:rPr>
        <w:t xml:space="preserve"> </w:t>
      </w:r>
      <w:r w:rsidRPr="00DB7F92">
        <w:rPr>
          <w:lang w:eastAsia="en-GB"/>
        </w:rPr>
        <w:t>to</w:t>
      </w:r>
      <w:r w:rsidRPr="00DB7F92">
        <w:rPr>
          <w:spacing w:val="38"/>
          <w:lang w:eastAsia="en-GB"/>
        </w:rPr>
        <w:t xml:space="preserve"> </w:t>
      </w:r>
      <w:r w:rsidRPr="00DB7F92">
        <w:rPr>
          <w:lang w:eastAsia="en-GB"/>
        </w:rPr>
        <w:t>the commissioner</w:t>
      </w:r>
      <w:r w:rsidRPr="00DB7F92">
        <w:rPr>
          <w:spacing w:val="30"/>
          <w:lang w:eastAsia="en-GB"/>
        </w:rPr>
        <w:t xml:space="preserve"> </w:t>
      </w:r>
      <w:r w:rsidRPr="00DB7F92">
        <w:rPr>
          <w:lang w:eastAsia="en-GB"/>
        </w:rPr>
        <w:t>how</w:t>
      </w:r>
      <w:r w:rsidRPr="00DB7F92">
        <w:rPr>
          <w:spacing w:val="51"/>
          <w:w w:val="99"/>
          <w:lang w:eastAsia="en-GB"/>
        </w:rPr>
        <w:t xml:space="preserve"> </w:t>
      </w:r>
      <w:r w:rsidRPr="00DB7F92">
        <w:rPr>
          <w:lang w:eastAsia="en-GB"/>
        </w:rPr>
        <w:t>much</w:t>
      </w:r>
      <w:r w:rsidRPr="00DB7F92">
        <w:rPr>
          <w:spacing w:val="9"/>
          <w:lang w:eastAsia="en-GB"/>
        </w:rPr>
        <w:t xml:space="preserve"> </w:t>
      </w:r>
      <w:r w:rsidRPr="00DB7F92">
        <w:rPr>
          <w:lang w:eastAsia="en-GB"/>
        </w:rPr>
        <w:t>weight</w:t>
      </w:r>
      <w:r w:rsidRPr="00DB7F92">
        <w:rPr>
          <w:spacing w:val="10"/>
          <w:lang w:eastAsia="en-GB"/>
        </w:rPr>
        <w:t xml:space="preserve"> </w:t>
      </w:r>
      <w:r w:rsidRPr="00DB7F92">
        <w:rPr>
          <w:lang w:eastAsia="en-GB"/>
        </w:rPr>
        <w:t>it</w:t>
      </w:r>
      <w:r w:rsidRPr="00DB7F92">
        <w:rPr>
          <w:spacing w:val="13"/>
          <w:lang w:eastAsia="en-GB"/>
        </w:rPr>
        <w:t xml:space="preserve"> </w:t>
      </w:r>
      <w:r w:rsidRPr="00DB7F92">
        <w:rPr>
          <w:lang w:eastAsia="en-GB"/>
        </w:rPr>
        <w:t>gives</w:t>
      </w:r>
      <w:r w:rsidRPr="00DB7F92">
        <w:rPr>
          <w:spacing w:val="11"/>
          <w:lang w:eastAsia="en-GB"/>
        </w:rPr>
        <w:t xml:space="preserve"> </w:t>
      </w:r>
      <w:r w:rsidRPr="00DB7F92">
        <w:rPr>
          <w:lang w:eastAsia="en-GB"/>
        </w:rPr>
        <w:t>competing</w:t>
      </w:r>
      <w:r w:rsidRPr="00DB7F92">
        <w:rPr>
          <w:spacing w:val="9"/>
          <w:lang w:eastAsia="en-GB"/>
        </w:rPr>
        <w:t xml:space="preserve"> </w:t>
      </w:r>
      <w:r w:rsidRPr="00DB7F92">
        <w:rPr>
          <w:lang w:eastAsia="en-GB"/>
        </w:rPr>
        <w:t>considerations</w:t>
      </w:r>
      <w:r w:rsidRPr="00DB7F92">
        <w:rPr>
          <w:spacing w:val="11"/>
          <w:lang w:eastAsia="en-GB"/>
        </w:rPr>
        <w:t xml:space="preserve"> </w:t>
      </w:r>
      <w:r w:rsidRPr="00DB7F92">
        <w:rPr>
          <w:lang w:eastAsia="en-GB"/>
        </w:rPr>
        <w:t>and</w:t>
      </w:r>
      <w:r w:rsidRPr="00DB7F92">
        <w:rPr>
          <w:spacing w:val="9"/>
          <w:lang w:eastAsia="en-GB"/>
        </w:rPr>
        <w:t xml:space="preserve"> </w:t>
      </w:r>
      <w:r w:rsidRPr="00DB7F92">
        <w:rPr>
          <w:lang w:eastAsia="en-GB"/>
        </w:rPr>
        <w:t>may</w:t>
      </w:r>
      <w:r w:rsidRPr="00DB7F92">
        <w:rPr>
          <w:spacing w:val="10"/>
          <w:lang w:eastAsia="en-GB"/>
        </w:rPr>
        <w:t xml:space="preserve"> </w:t>
      </w:r>
      <w:r w:rsidRPr="00DB7F92">
        <w:rPr>
          <w:lang w:eastAsia="en-GB"/>
        </w:rPr>
        <w:t>give</w:t>
      </w:r>
      <w:r w:rsidRPr="00DB7F92">
        <w:rPr>
          <w:spacing w:val="9"/>
          <w:lang w:eastAsia="en-GB"/>
        </w:rPr>
        <w:t xml:space="preserve"> </w:t>
      </w:r>
      <w:r w:rsidRPr="00DB7F92">
        <w:rPr>
          <w:lang w:eastAsia="en-GB"/>
        </w:rPr>
        <w:t>a</w:t>
      </w:r>
      <w:r w:rsidRPr="00DB7F92">
        <w:rPr>
          <w:spacing w:val="12"/>
          <w:lang w:eastAsia="en-GB"/>
        </w:rPr>
        <w:t xml:space="preserve"> </w:t>
      </w:r>
      <w:r w:rsidRPr="00DB7F92">
        <w:rPr>
          <w:lang w:eastAsia="en-GB"/>
        </w:rPr>
        <w:t>factor</w:t>
      </w:r>
      <w:r w:rsidRPr="00DB7F92">
        <w:rPr>
          <w:spacing w:val="10"/>
          <w:lang w:eastAsia="en-GB"/>
        </w:rPr>
        <w:t xml:space="preserve"> </w:t>
      </w:r>
      <w:r w:rsidRPr="00DB7F92">
        <w:rPr>
          <w:lang w:eastAsia="en-GB"/>
        </w:rPr>
        <w:t>no</w:t>
      </w:r>
      <w:r w:rsidRPr="00DB7F92">
        <w:rPr>
          <w:spacing w:val="67"/>
          <w:lang w:eastAsia="en-GB"/>
        </w:rPr>
        <w:t xml:space="preserve"> </w:t>
      </w:r>
      <w:r w:rsidRPr="00DB7F92">
        <w:rPr>
          <w:lang w:eastAsia="en-GB"/>
        </w:rPr>
        <w:t>weight</w:t>
      </w:r>
      <w:r w:rsidRPr="00DB7F92">
        <w:rPr>
          <w:spacing w:val="21"/>
          <w:lang w:eastAsia="en-GB"/>
        </w:rPr>
        <w:t xml:space="preserve"> </w:t>
      </w:r>
      <w:r w:rsidRPr="00DB7F92">
        <w:rPr>
          <w:lang w:eastAsia="en-GB"/>
        </w:rPr>
        <w:t>at</w:t>
      </w:r>
      <w:r w:rsidRPr="00DB7F92">
        <w:rPr>
          <w:spacing w:val="22"/>
          <w:lang w:eastAsia="en-GB"/>
        </w:rPr>
        <w:t xml:space="preserve"> </w:t>
      </w:r>
      <w:r w:rsidRPr="00DB7F92">
        <w:rPr>
          <w:lang w:eastAsia="en-GB"/>
        </w:rPr>
        <w:t>all.</w:t>
      </w:r>
      <w:r w:rsidRPr="00DB7F92">
        <w:rPr>
          <w:spacing w:val="45"/>
          <w:lang w:eastAsia="en-GB"/>
        </w:rPr>
        <w:t xml:space="preserve"> </w:t>
      </w:r>
      <w:r w:rsidRPr="00DB7F92">
        <w:rPr>
          <w:lang w:eastAsia="en-GB"/>
        </w:rPr>
        <w:t>The</w:t>
      </w:r>
      <w:r w:rsidRPr="00DB7F92">
        <w:rPr>
          <w:spacing w:val="21"/>
          <w:lang w:eastAsia="en-GB"/>
        </w:rPr>
        <w:t xml:space="preserve"> </w:t>
      </w:r>
      <w:r w:rsidRPr="00DB7F92">
        <w:rPr>
          <w:lang w:eastAsia="en-GB"/>
        </w:rPr>
        <w:t>key</w:t>
      </w:r>
      <w:r w:rsidRPr="00DB7F92">
        <w:rPr>
          <w:spacing w:val="24"/>
          <w:lang w:eastAsia="en-GB"/>
        </w:rPr>
        <w:t xml:space="preserve"> </w:t>
      </w:r>
      <w:r w:rsidRPr="00DB7F92">
        <w:rPr>
          <w:lang w:eastAsia="en-GB"/>
        </w:rPr>
        <w:t>point</w:t>
      </w:r>
      <w:r w:rsidRPr="00DB7F92">
        <w:rPr>
          <w:spacing w:val="22"/>
          <w:lang w:eastAsia="en-GB"/>
        </w:rPr>
        <w:t xml:space="preserve"> </w:t>
      </w:r>
      <w:r w:rsidRPr="00DB7F92">
        <w:rPr>
          <w:lang w:eastAsia="en-GB"/>
        </w:rPr>
        <w:t>is</w:t>
      </w:r>
      <w:r w:rsidRPr="00DB7F92">
        <w:rPr>
          <w:spacing w:val="23"/>
          <w:lang w:eastAsia="en-GB"/>
        </w:rPr>
        <w:t xml:space="preserve"> </w:t>
      </w:r>
      <w:r w:rsidRPr="00DB7F92">
        <w:rPr>
          <w:lang w:eastAsia="en-GB"/>
        </w:rPr>
        <w:t>that</w:t>
      </w:r>
      <w:r w:rsidRPr="00DB7F92">
        <w:rPr>
          <w:spacing w:val="22"/>
          <w:lang w:eastAsia="en-GB"/>
        </w:rPr>
        <w:t xml:space="preserve"> </w:t>
      </w:r>
      <w:r w:rsidRPr="00DB7F92">
        <w:rPr>
          <w:lang w:eastAsia="en-GB"/>
        </w:rPr>
        <w:t>all</w:t>
      </w:r>
      <w:r w:rsidRPr="00DB7F92">
        <w:rPr>
          <w:spacing w:val="21"/>
          <w:lang w:eastAsia="en-GB"/>
        </w:rPr>
        <w:t xml:space="preserve"> </w:t>
      </w:r>
      <w:r w:rsidRPr="00DB7F92">
        <w:rPr>
          <w:lang w:eastAsia="en-GB"/>
        </w:rPr>
        <w:t>the</w:t>
      </w:r>
      <w:r w:rsidRPr="00DB7F92">
        <w:rPr>
          <w:spacing w:val="21"/>
          <w:lang w:eastAsia="en-GB"/>
        </w:rPr>
        <w:t xml:space="preserve"> </w:t>
      </w:r>
      <w:r w:rsidRPr="00DB7F92">
        <w:rPr>
          <w:lang w:eastAsia="en-GB"/>
        </w:rPr>
        <w:t>relevant</w:t>
      </w:r>
      <w:r w:rsidRPr="00DB7F92">
        <w:rPr>
          <w:spacing w:val="22"/>
          <w:lang w:eastAsia="en-GB"/>
        </w:rPr>
        <w:t xml:space="preserve"> </w:t>
      </w:r>
      <w:r w:rsidRPr="00DB7F92">
        <w:rPr>
          <w:lang w:eastAsia="en-GB"/>
        </w:rPr>
        <w:t>factors</w:t>
      </w:r>
      <w:r w:rsidRPr="00DB7F92">
        <w:rPr>
          <w:spacing w:val="22"/>
          <w:lang w:eastAsia="en-GB"/>
        </w:rPr>
        <w:t xml:space="preserve"> </w:t>
      </w:r>
      <w:r w:rsidRPr="00DB7F92">
        <w:rPr>
          <w:lang w:eastAsia="en-GB"/>
        </w:rPr>
        <w:t>are</w:t>
      </w:r>
      <w:r w:rsidRPr="00DB7F92">
        <w:rPr>
          <w:spacing w:val="21"/>
          <w:lang w:eastAsia="en-GB"/>
        </w:rPr>
        <w:t xml:space="preserve"> </w:t>
      </w:r>
      <w:r w:rsidRPr="00DB7F92">
        <w:rPr>
          <w:lang w:eastAsia="en-GB"/>
        </w:rPr>
        <w:t>identified</w:t>
      </w:r>
      <w:r w:rsidRPr="00DB7F92">
        <w:rPr>
          <w:spacing w:val="47"/>
          <w:lang w:eastAsia="en-GB"/>
        </w:rPr>
        <w:t xml:space="preserve"> </w:t>
      </w:r>
      <w:r w:rsidRPr="00DB7F92">
        <w:rPr>
          <w:lang w:eastAsia="en-GB"/>
        </w:rPr>
        <w:t>and</w:t>
      </w:r>
      <w:r w:rsidRPr="00DB7F92">
        <w:rPr>
          <w:spacing w:val="-9"/>
          <w:lang w:eastAsia="en-GB"/>
        </w:rPr>
        <w:t xml:space="preserve"> </w:t>
      </w:r>
      <w:r w:rsidRPr="00DB7F92">
        <w:rPr>
          <w:lang w:eastAsia="en-GB"/>
        </w:rPr>
        <w:t>documented.</w:t>
      </w:r>
    </w:p>
    <w:p w14:paraId="20D4A6BB" w14:textId="77777777" w:rsidR="00DB7F92" w:rsidRPr="00DB7F92" w:rsidRDefault="00DB7F92" w:rsidP="00DB7F92">
      <w:pPr>
        <w:jc w:val="both"/>
        <w:rPr>
          <w:rFonts w:eastAsia="Segoe UI Semilight" w:cs="Arial"/>
          <w:sz w:val="20"/>
          <w:szCs w:val="20"/>
        </w:rPr>
      </w:pPr>
    </w:p>
    <w:p w14:paraId="190D1546" w14:textId="77777777" w:rsidR="00DB7F92" w:rsidRPr="00DB7F92" w:rsidRDefault="00DB7F92" w:rsidP="00DB7F92">
      <w:pPr>
        <w:spacing w:before="8"/>
        <w:jc w:val="both"/>
        <w:rPr>
          <w:rFonts w:eastAsia="Segoe UI Semilight" w:cs="Arial"/>
          <w:sz w:val="20"/>
          <w:szCs w:val="20"/>
        </w:rPr>
      </w:pPr>
    </w:p>
    <w:p w14:paraId="25F5E0E5" w14:textId="77777777" w:rsidR="00DB7F92" w:rsidRPr="00DB7F92" w:rsidRDefault="00DB7F92" w:rsidP="00DB7F92">
      <w:pPr>
        <w:ind w:left="1536"/>
        <w:jc w:val="both"/>
        <w:rPr>
          <w:rFonts w:eastAsia="Segoe UI Semilight" w:cs="Arial"/>
          <w:sz w:val="20"/>
          <w:szCs w:val="20"/>
        </w:rPr>
      </w:pPr>
      <w:r w:rsidRPr="00DB7F92">
        <w:rPr>
          <w:rFonts w:eastAsia="Segoe UI Semilight" w:cs="Arial"/>
          <w:noProof/>
          <w:sz w:val="20"/>
          <w:szCs w:val="20"/>
          <w:lang w:eastAsia="en-GB"/>
        </w:rPr>
        <mc:AlternateContent>
          <mc:Choice Requires="wps">
            <w:drawing>
              <wp:inline distT="0" distB="0" distL="0" distR="0" wp14:anchorId="2E6D4289" wp14:editId="309E53AB">
                <wp:extent cx="4860290" cy="1933575"/>
                <wp:effectExtent l="0" t="0" r="0" b="9525"/>
                <wp:docPr id="1970" name="Text Box 1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1933575"/>
                        </a:xfrm>
                        <a:prstGeom prst="rect">
                          <a:avLst/>
                        </a:prstGeom>
                        <a:solidFill>
                          <a:srgbClr val="1C6C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CCAE9" w14:textId="77777777" w:rsidR="00942266" w:rsidRPr="004E0302" w:rsidRDefault="00942266" w:rsidP="00DB7F92">
                            <w:pPr>
                              <w:spacing w:before="213"/>
                              <w:ind w:left="225"/>
                              <w:jc w:val="both"/>
                              <w:rPr>
                                <w:rFonts w:cs="Arial"/>
                                <w:b/>
                                <w:color w:val="FFFFFF"/>
                                <w:sz w:val="20"/>
                              </w:rPr>
                            </w:pPr>
                            <w:r w:rsidRPr="004E0302">
                              <w:rPr>
                                <w:rFonts w:cs="Arial"/>
                                <w:b/>
                                <w:color w:val="FFFFFF"/>
                                <w:sz w:val="20"/>
                              </w:rPr>
                              <w:t>Example:</w:t>
                            </w:r>
                          </w:p>
                          <w:p w14:paraId="763136D1" w14:textId="77777777" w:rsidR="00942266" w:rsidRPr="004E0302" w:rsidRDefault="00942266" w:rsidP="00DB7F92">
                            <w:pPr>
                              <w:ind w:left="225" w:right="225"/>
                              <w:jc w:val="both"/>
                              <w:rPr>
                                <w:rFonts w:eastAsia="Segoe UI Semilight" w:cs="Arial"/>
                                <w:sz w:val="20"/>
                                <w:szCs w:val="24"/>
                              </w:rPr>
                            </w:pPr>
                            <w:r w:rsidRPr="004E0302">
                              <w:rPr>
                                <w:rFonts w:cs="Arial"/>
                                <w:color w:val="FFFFFF"/>
                                <w:spacing w:val="48"/>
                                <w:sz w:val="20"/>
                              </w:rPr>
                              <w:t xml:space="preserve">The Commissioner </w:t>
                            </w:r>
                            <w:r w:rsidRPr="004E0302">
                              <w:rPr>
                                <w:rFonts w:cs="Arial"/>
                                <w:color w:val="FFFFFF"/>
                                <w:spacing w:val="-1"/>
                                <w:sz w:val="20"/>
                              </w:rPr>
                              <w:t>has</w:t>
                            </w:r>
                            <w:r w:rsidRPr="004E0302">
                              <w:rPr>
                                <w:rFonts w:cs="Arial"/>
                                <w:color w:val="FFFFFF"/>
                                <w:spacing w:val="50"/>
                                <w:sz w:val="20"/>
                              </w:rPr>
                              <w:t xml:space="preserve"> </w:t>
                            </w:r>
                            <w:r w:rsidRPr="004E0302">
                              <w:rPr>
                                <w:rFonts w:cs="Arial"/>
                                <w:color w:val="FFFFFF"/>
                                <w:sz w:val="20"/>
                              </w:rPr>
                              <w:t>to</w:t>
                            </w:r>
                            <w:r w:rsidRPr="004E0302">
                              <w:rPr>
                                <w:rFonts w:cs="Arial"/>
                                <w:color w:val="FFFFFF"/>
                                <w:spacing w:val="50"/>
                                <w:sz w:val="20"/>
                              </w:rPr>
                              <w:t xml:space="preserve"> </w:t>
                            </w:r>
                            <w:r w:rsidRPr="004E0302">
                              <w:rPr>
                                <w:rFonts w:cs="Arial"/>
                                <w:color w:val="FFFFFF"/>
                                <w:spacing w:val="-1"/>
                                <w:sz w:val="20"/>
                              </w:rPr>
                              <w:t>decide</w:t>
                            </w:r>
                            <w:r w:rsidRPr="004E0302">
                              <w:rPr>
                                <w:rFonts w:cs="Arial"/>
                                <w:color w:val="FFFFFF"/>
                                <w:spacing w:val="48"/>
                                <w:sz w:val="20"/>
                              </w:rPr>
                              <w:t xml:space="preserve"> </w:t>
                            </w:r>
                            <w:r w:rsidRPr="004E0302">
                              <w:rPr>
                                <w:rFonts w:cs="Arial"/>
                                <w:color w:val="FFFFFF"/>
                                <w:spacing w:val="-1"/>
                                <w:sz w:val="20"/>
                              </w:rPr>
                              <w:t>whether</w:t>
                            </w:r>
                            <w:r w:rsidRPr="004E0302">
                              <w:rPr>
                                <w:rFonts w:cs="Arial"/>
                                <w:color w:val="FFFFFF"/>
                                <w:spacing w:val="49"/>
                                <w:sz w:val="20"/>
                              </w:rPr>
                              <w:t xml:space="preserve"> </w:t>
                            </w:r>
                            <w:r w:rsidRPr="004E0302">
                              <w:rPr>
                                <w:rFonts w:cs="Arial"/>
                                <w:color w:val="FFFFFF"/>
                                <w:sz w:val="20"/>
                              </w:rPr>
                              <w:t>to</w:t>
                            </w:r>
                            <w:r w:rsidRPr="004E0302">
                              <w:rPr>
                                <w:rFonts w:cs="Arial"/>
                                <w:color w:val="FFFFFF"/>
                                <w:spacing w:val="51"/>
                                <w:sz w:val="20"/>
                              </w:rPr>
                              <w:t xml:space="preserve"> </w:t>
                            </w:r>
                            <w:r w:rsidRPr="004E0302">
                              <w:rPr>
                                <w:rFonts w:cs="Arial"/>
                                <w:color w:val="FFFFFF"/>
                                <w:spacing w:val="-1"/>
                                <w:sz w:val="20"/>
                              </w:rPr>
                              <w:t>approve</w:t>
                            </w:r>
                            <w:r w:rsidRPr="004E0302">
                              <w:rPr>
                                <w:rFonts w:cs="Arial"/>
                                <w:color w:val="FFFFFF"/>
                                <w:spacing w:val="47"/>
                                <w:sz w:val="20"/>
                              </w:rPr>
                              <w:t xml:space="preserve"> </w:t>
                            </w:r>
                            <w:r w:rsidRPr="004E0302">
                              <w:rPr>
                                <w:rFonts w:cs="Arial"/>
                                <w:color w:val="FFFFFF"/>
                                <w:sz w:val="20"/>
                              </w:rPr>
                              <w:t>a</w:t>
                            </w:r>
                            <w:r w:rsidRPr="004E0302">
                              <w:rPr>
                                <w:rFonts w:cs="Arial"/>
                                <w:color w:val="FFFFFF"/>
                                <w:spacing w:val="51"/>
                                <w:sz w:val="20"/>
                              </w:rPr>
                              <w:t xml:space="preserve"> </w:t>
                            </w:r>
                            <w:r w:rsidRPr="004E0302">
                              <w:rPr>
                                <w:rFonts w:cs="Arial"/>
                                <w:color w:val="FFFFFF"/>
                                <w:spacing w:val="-1"/>
                                <w:sz w:val="20"/>
                              </w:rPr>
                              <w:t>practice's</w:t>
                            </w:r>
                            <w:r w:rsidRPr="004E0302">
                              <w:rPr>
                                <w:rFonts w:cs="Arial"/>
                                <w:color w:val="FFFFFF"/>
                                <w:spacing w:val="57"/>
                                <w:sz w:val="20"/>
                              </w:rPr>
                              <w:t xml:space="preserve"> </w:t>
                            </w:r>
                            <w:r w:rsidRPr="004E0302">
                              <w:rPr>
                                <w:rFonts w:cs="Arial"/>
                                <w:color w:val="FFFFFF"/>
                                <w:spacing w:val="-1"/>
                                <w:sz w:val="20"/>
                              </w:rPr>
                              <w:t>application</w:t>
                            </w:r>
                            <w:r w:rsidRPr="004E0302">
                              <w:rPr>
                                <w:rFonts w:cs="Arial"/>
                                <w:color w:val="FFFFFF"/>
                                <w:spacing w:val="50"/>
                                <w:sz w:val="20"/>
                              </w:rPr>
                              <w:t xml:space="preserve"> </w:t>
                            </w:r>
                            <w:r w:rsidRPr="004E0302">
                              <w:rPr>
                                <w:rFonts w:cs="Arial"/>
                                <w:color w:val="FFFFFF"/>
                                <w:sz w:val="20"/>
                              </w:rPr>
                              <w:t>to</w:t>
                            </w:r>
                            <w:r w:rsidRPr="004E0302">
                              <w:rPr>
                                <w:rFonts w:cs="Arial"/>
                                <w:color w:val="FFFFFF"/>
                                <w:spacing w:val="49"/>
                                <w:sz w:val="20"/>
                              </w:rPr>
                              <w:t xml:space="preserve"> </w:t>
                            </w:r>
                            <w:r w:rsidRPr="004E0302">
                              <w:rPr>
                                <w:rFonts w:cs="Arial"/>
                                <w:color w:val="FFFFFF"/>
                                <w:spacing w:val="-1"/>
                                <w:sz w:val="20"/>
                              </w:rPr>
                              <w:t>stop</w:t>
                            </w:r>
                            <w:r w:rsidRPr="004E0302">
                              <w:rPr>
                                <w:rFonts w:cs="Arial"/>
                                <w:color w:val="FFFFFF"/>
                                <w:spacing w:val="49"/>
                                <w:sz w:val="20"/>
                              </w:rPr>
                              <w:t xml:space="preserve"> </w:t>
                            </w:r>
                            <w:r w:rsidRPr="004E0302">
                              <w:rPr>
                                <w:rFonts w:cs="Arial"/>
                                <w:color w:val="FFFFFF"/>
                                <w:spacing w:val="-1"/>
                                <w:sz w:val="20"/>
                              </w:rPr>
                              <w:t>opening</w:t>
                            </w:r>
                            <w:r w:rsidRPr="004E0302">
                              <w:rPr>
                                <w:rFonts w:cs="Arial"/>
                                <w:color w:val="FFFFFF"/>
                                <w:spacing w:val="49"/>
                                <w:sz w:val="20"/>
                              </w:rPr>
                              <w:t xml:space="preserve"> </w:t>
                            </w:r>
                            <w:r w:rsidRPr="004E0302">
                              <w:rPr>
                                <w:rFonts w:cs="Arial"/>
                                <w:color w:val="FFFFFF"/>
                                <w:spacing w:val="-1"/>
                                <w:sz w:val="20"/>
                              </w:rPr>
                              <w:t>on</w:t>
                            </w:r>
                            <w:r w:rsidRPr="004E0302">
                              <w:rPr>
                                <w:rFonts w:cs="Arial"/>
                                <w:color w:val="FFFFFF"/>
                                <w:spacing w:val="50"/>
                                <w:sz w:val="20"/>
                              </w:rPr>
                              <w:t xml:space="preserve"> </w:t>
                            </w:r>
                            <w:r w:rsidRPr="004E0302">
                              <w:rPr>
                                <w:rFonts w:cs="Arial"/>
                                <w:color w:val="FFFFFF"/>
                                <w:spacing w:val="-1"/>
                                <w:sz w:val="20"/>
                              </w:rPr>
                              <w:t>Wednesday</w:t>
                            </w:r>
                            <w:r w:rsidRPr="004E0302">
                              <w:rPr>
                                <w:rFonts w:cs="Arial"/>
                                <w:color w:val="FFFFFF"/>
                                <w:spacing w:val="51"/>
                                <w:sz w:val="20"/>
                              </w:rPr>
                              <w:t xml:space="preserve"> </w:t>
                            </w:r>
                            <w:r w:rsidRPr="004E0302">
                              <w:rPr>
                                <w:rFonts w:cs="Arial"/>
                                <w:color w:val="FFFFFF"/>
                                <w:spacing w:val="-1"/>
                                <w:sz w:val="20"/>
                              </w:rPr>
                              <w:t>evening</w:t>
                            </w:r>
                            <w:r w:rsidRPr="004E0302">
                              <w:rPr>
                                <w:rFonts w:cs="Arial"/>
                                <w:color w:val="FFFFFF"/>
                                <w:spacing w:val="49"/>
                                <w:sz w:val="20"/>
                              </w:rPr>
                              <w:t xml:space="preserve"> </w:t>
                            </w:r>
                            <w:r w:rsidRPr="004E0302">
                              <w:rPr>
                                <w:rFonts w:cs="Arial"/>
                                <w:color w:val="FFFFFF"/>
                                <w:spacing w:val="-1"/>
                                <w:sz w:val="20"/>
                              </w:rPr>
                              <w:t>and</w:t>
                            </w:r>
                            <w:r w:rsidRPr="004E0302">
                              <w:rPr>
                                <w:rFonts w:cs="Arial"/>
                                <w:color w:val="FFFFFF"/>
                                <w:spacing w:val="49"/>
                                <w:sz w:val="20"/>
                              </w:rPr>
                              <w:t xml:space="preserve"> </w:t>
                            </w:r>
                            <w:r w:rsidRPr="004E0302">
                              <w:rPr>
                                <w:rFonts w:cs="Arial"/>
                                <w:color w:val="FFFFFF"/>
                                <w:spacing w:val="-1"/>
                                <w:sz w:val="20"/>
                              </w:rPr>
                              <w:t>open</w:t>
                            </w:r>
                            <w:r w:rsidRPr="004E0302">
                              <w:rPr>
                                <w:rFonts w:cs="Arial"/>
                                <w:color w:val="FFFFFF"/>
                                <w:spacing w:val="50"/>
                                <w:sz w:val="20"/>
                              </w:rPr>
                              <w:t xml:space="preserve"> </w:t>
                            </w:r>
                            <w:r w:rsidRPr="004E0302">
                              <w:rPr>
                                <w:rFonts w:cs="Arial"/>
                                <w:color w:val="FFFFFF"/>
                                <w:spacing w:val="-1"/>
                                <w:sz w:val="20"/>
                              </w:rPr>
                              <w:t>on</w:t>
                            </w:r>
                            <w:r w:rsidRPr="004E0302">
                              <w:rPr>
                                <w:rFonts w:cs="Arial"/>
                                <w:color w:val="FFFFFF"/>
                                <w:spacing w:val="57"/>
                                <w:sz w:val="20"/>
                              </w:rPr>
                              <w:t xml:space="preserve"> </w:t>
                            </w:r>
                            <w:r w:rsidRPr="004E0302">
                              <w:rPr>
                                <w:rFonts w:cs="Arial"/>
                                <w:color w:val="FFFFFF"/>
                                <w:spacing w:val="-1"/>
                                <w:sz w:val="20"/>
                              </w:rPr>
                              <w:t>Saturday</w:t>
                            </w:r>
                            <w:r w:rsidRPr="004E0302">
                              <w:rPr>
                                <w:rFonts w:cs="Arial"/>
                                <w:color w:val="FFFFFF"/>
                                <w:spacing w:val="43"/>
                                <w:sz w:val="20"/>
                              </w:rPr>
                              <w:t xml:space="preserve"> </w:t>
                            </w:r>
                            <w:r w:rsidRPr="004E0302">
                              <w:rPr>
                                <w:rFonts w:cs="Arial"/>
                                <w:color w:val="FFFFFF"/>
                                <w:spacing w:val="-1"/>
                                <w:sz w:val="20"/>
                              </w:rPr>
                              <w:t>morning</w:t>
                            </w:r>
                            <w:r w:rsidRPr="004E0302">
                              <w:rPr>
                                <w:rFonts w:cs="Arial"/>
                                <w:color w:val="FFFFFF"/>
                                <w:spacing w:val="42"/>
                                <w:sz w:val="20"/>
                              </w:rPr>
                              <w:t xml:space="preserve"> </w:t>
                            </w:r>
                            <w:r w:rsidRPr="004E0302">
                              <w:rPr>
                                <w:rFonts w:cs="Arial"/>
                                <w:color w:val="FFFFFF"/>
                                <w:spacing w:val="-1"/>
                                <w:sz w:val="20"/>
                              </w:rPr>
                              <w:t>instead.</w:t>
                            </w:r>
                            <w:r w:rsidRPr="004E0302">
                              <w:rPr>
                                <w:rFonts w:cs="Arial"/>
                                <w:color w:val="FFFFFF"/>
                                <w:spacing w:val="44"/>
                                <w:sz w:val="20"/>
                              </w:rPr>
                              <w:t xml:space="preserve"> </w:t>
                            </w:r>
                            <w:r w:rsidRPr="004E0302">
                              <w:rPr>
                                <w:rFonts w:cs="Arial"/>
                                <w:color w:val="FFFFFF"/>
                                <w:spacing w:val="-1"/>
                                <w:sz w:val="20"/>
                              </w:rPr>
                              <w:t>The</w:t>
                            </w:r>
                            <w:r w:rsidRPr="004E0302">
                              <w:rPr>
                                <w:rFonts w:cs="Arial"/>
                                <w:color w:val="FFFFFF"/>
                                <w:spacing w:val="42"/>
                                <w:sz w:val="20"/>
                              </w:rPr>
                              <w:t xml:space="preserve"> </w:t>
                            </w:r>
                            <w:r w:rsidRPr="004E0302">
                              <w:rPr>
                                <w:rFonts w:cs="Arial"/>
                                <w:color w:val="FFFFFF"/>
                                <w:spacing w:val="-1"/>
                                <w:sz w:val="20"/>
                              </w:rPr>
                              <w:t>practice</w:t>
                            </w:r>
                            <w:r w:rsidRPr="004E0302">
                              <w:rPr>
                                <w:rFonts w:cs="Arial"/>
                                <w:color w:val="FFFFFF"/>
                                <w:spacing w:val="43"/>
                                <w:sz w:val="20"/>
                              </w:rPr>
                              <w:t xml:space="preserve"> </w:t>
                            </w:r>
                            <w:r w:rsidRPr="004E0302">
                              <w:rPr>
                                <w:rFonts w:cs="Arial"/>
                                <w:color w:val="FFFFFF"/>
                                <w:spacing w:val="-1"/>
                                <w:sz w:val="20"/>
                              </w:rPr>
                              <w:t>is</w:t>
                            </w:r>
                            <w:r w:rsidRPr="004E0302">
                              <w:rPr>
                                <w:rFonts w:cs="Arial"/>
                                <w:color w:val="FFFFFF"/>
                                <w:spacing w:val="44"/>
                                <w:sz w:val="20"/>
                              </w:rPr>
                              <w:t xml:space="preserve"> </w:t>
                            </w:r>
                            <w:r w:rsidRPr="004E0302">
                              <w:rPr>
                                <w:rFonts w:cs="Arial"/>
                                <w:color w:val="FFFFFF"/>
                                <w:spacing w:val="-1"/>
                                <w:sz w:val="20"/>
                              </w:rPr>
                              <w:t>based</w:t>
                            </w:r>
                            <w:r w:rsidRPr="004E0302">
                              <w:rPr>
                                <w:rFonts w:cs="Arial"/>
                                <w:color w:val="FFFFFF"/>
                                <w:spacing w:val="42"/>
                                <w:sz w:val="20"/>
                              </w:rPr>
                              <w:t xml:space="preserve"> </w:t>
                            </w:r>
                            <w:r w:rsidRPr="004E0302">
                              <w:rPr>
                                <w:rFonts w:cs="Arial"/>
                                <w:color w:val="FFFFFF"/>
                                <w:spacing w:val="-1"/>
                                <w:sz w:val="20"/>
                              </w:rPr>
                              <w:t>in</w:t>
                            </w:r>
                            <w:r w:rsidRPr="004E0302">
                              <w:rPr>
                                <w:rFonts w:cs="Arial"/>
                                <w:color w:val="FFFFFF"/>
                                <w:spacing w:val="44"/>
                                <w:sz w:val="20"/>
                              </w:rPr>
                              <w:t xml:space="preserve"> </w:t>
                            </w:r>
                            <w:r w:rsidRPr="004E0302">
                              <w:rPr>
                                <w:rFonts w:cs="Arial"/>
                                <w:color w:val="FFFFFF"/>
                                <w:spacing w:val="-1"/>
                                <w:sz w:val="20"/>
                              </w:rPr>
                              <w:t>an</w:t>
                            </w:r>
                            <w:r w:rsidRPr="004E0302">
                              <w:rPr>
                                <w:rFonts w:cs="Arial"/>
                                <w:color w:val="FFFFFF"/>
                                <w:spacing w:val="43"/>
                                <w:sz w:val="20"/>
                              </w:rPr>
                              <w:t xml:space="preserve"> </w:t>
                            </w:r>
                            <w:r w:rsidRPr="004E0302">
                              <w:rPr>
                                <w:rFonts w:cs="Arial"/>
                                <w:color w:val="FFFFFF"/>
                                <w:spacing w:val="-1"/>
                                <w:sz w:val="20"/>
                              </w:rPr>
                              <w:t>area</w:t>
                            </w:r>
                            <w:r w:rsidRPr="004E0302">
                              <w:rPr>
                                <w:rFonts w:cs="Arial"/>
                                <w:color w:val="FFFFFF"/>
                                <w:spacing w:val="44"/>
                                <w:sz w:val="20"/>
                              </w:rPr>
                              <w:t xml:space="preserve"> </w:t>
                            </w:r>
                            <w:r w:rsidRPr="004E0302">
                              <w:rPr>
                                <w:rFonts w:cs="Arial"/>
                                <w:color w:val="FFFFFF"/>
                                <w:spacing w:val="-1"/>
                                <w:sz w:val="20"/>
                              </w:rPr>
                              <w:t>with</w:t>
                            </w:r>
                            <w:r w:rsidRPr="004E0302">
                              <w:rPr>
                                <w:rFonts w:cs="Arial"/>
                                <w:color w:val="FFFFFF"/>
                                <w:spacing w:val="45"/>
                                <w:sz w:val="20"/>
                              </w:rPr>
                              <w:t xml:space="preserve"> </w:t>
                            </w:r>
                            <w:r w:rsidRPr="004E0302">
                              <w:rPr>
                                <w:rFonts w:cs="Arial"/>
                                <w:color w:val="FFFFFF"/>
                                <w:sz w:val="20"/>
                              </w:rPr>
                              <w:t>a</w:t>
                            </w:r>
                            <w:r w:rsidRPr="004E0302">
                              <w:rPr>
                                <w:rFonts w:cs="Arial"/>
                                <w:color w:val="FFFFFF"/>
                                <w:spacing w:val="61"/>
                                <w:w w:val="99"/>
                                <w:sz w:val="20"/>
                              </w:rPr>
                              <w:t xml:space="preserve"> </w:t>
                            </w:r>
                            <w:r w:rsidRPr="004E0302">
                              <w:rPr>
                                <w:rFonts w:cs="Arial"/>
                                <w:color w:val="FFFFFF"/>
                                <w:spacing w:val="-1"/>
                                <w:sz w:val="20"/>
                              </w:rPr>
                              <w:t>high</w:t>
                            </w:r>
                            <w:r w:rsidRPr="004E0302">
                              <w:rPr>
                                <w:rFonts w:cs="Arial"/>
                                <w:color w:val="FFFFFF"/>
                                <w:spacing w:val="14"/>
                                <w:sz w:val="20"/>
                              </w:rPr>
                              <w:t xml:space="preserve"> </w:t>
                            </w:r>
                            <w:r w:rsidRPr="004E0302">
                              <w:rPr>
                                <w:rFonts w:cs="Arial"/>
                                <w:color w:val="FFFFFF"/>
                                <w:sz w:val="20"/>
                              </w:rPr>
                              <w:t>Jewish</w:t>
                            </w:r>
                            <w:r w:rsidRPr="004E0302">
                              <w:rPr>
                                <w:rFonts w:cs="Arial"/>
                                <w:color w:val="FFFFFF"/>
                                <w:spacing w:val="14"/>
                                <w:sz w:val="20"/>
                              </w:rPr>
                              <w:t xml:space="preserve"> </w:t>
                            </w:r>
                            <w:r w:rsidRPr="004E0302">
                              <w:rPr>
                                <w:rFonts w:cs="Arial"/>
                                <w:color w:val="FFFFFF"/>
                                <w:spacing w:val="-1"/>
                                <w:sz w:val="20"/>
                              </w:rPr>
                              <w:t>population.</w:t>
                            </w:r>
                            <w:r w:rsidRPr="004E0302">
                              <w:rPr>
                                <w:rFonts w:cs="Arial"/>
                                <w:color w:val="FFFFFF"/>
                                <w:spacing w:val="14"/>
                                <w:sz w:val="20"/>
                              </w:rPr>
                              <w:t xml:space="preserve"> </w:t>
                            </w:r>
                            <w:r w:rsidRPr="004E0302">
                              <w:rPr>
                                <w:rFonts w:cs="Arial"/>
                                <w:color w:val="FFFFFF"/>
                                <w:spacing w:val="-1"/>
                                <w:sz w:val="20"/>
                              </w:rPr>
                              <w:t>Relevant</w:t>
                            </w:r>
                            <w:r w:rsidRPr="004E0302">
                              <w:rPr>
                                <w:rFonts w:cs="Arial"/>
                                <w:color w:val="FFFFFF"/>
                                <w:spacing w:val="15"/>
                                <w:sz w:val="20"/>
                              </w:rPr>
                              <w:t xml:space="preserve"> </w:t>
                            </w:r>
                            <w:r w:rsidRPr="004E0302">
                              <w:rPr>
                                <w:rFonts w:cs="Arial"/>
                                <w:color w:val="FFFFFF"/>
                                <w:spacing w:val="-1"/>
                                <w:sz w:val="20"/>
                              </w:rPr>
                              <w:t>factors</w:t>
                            </w:r>
                            <w:r w:rsidRPr="004E0302">
                              <w:rPr>
                                <w:rFonts w:cs="Arial"/>
                                <w:color w:val="FFFFFF"/>
                                <w:spacing w:val="15"/>
                                <w:sz w:val="20"/>
                              </w:rPr>
                              <w:t xml:space="preserve"> </w:t>
                            </w:r>
                            <w:r w:rsidRPr="004E0302">
                              <w:rPr>
                                <w:rFonts w:cs="Arial"/>
                                <w:color w:val="FFFFFF"/>
                                <w:spacing w:val="-1"/>
                                <w:sz w:val="20"/>
                              </w:rPr>
                              <w:t>in</w:t>
                            </w:r>
                            <w:r w:rsidRPr="004E0302">
                              <w:rPr>
                                <w:rFonts w:cs="Arial"/>
                                <w:color w:val="FFFFFF"/>
                                <w:spacing w:val="18"/>
                                <w:sz w:val="20"/>
                              </w:rPr>
                              <w:t xml:space="preserve"> </w:t>
                            </w:r>
                            <w:r w:rsidRPr="004E0302">
                              <w:rPr>
                                <w:rFonts w:cs="Arial"/>
                                <w:color w:val="FFFFFF"/>
                                <w:spacing w:val="-1"/>
                                <w:sz w:val="20"/>
                              </w:rPr>
                              <w:t>this</w:t>
                            </w:r>
                            <w:r w:rsidRPr="004E0302">
                              <w:rPr>
                                <w:rFonts w:cs="Arial"/>
                                <w:color w:val="FFFFFF"/>
                                <w:spacing w:val="15"/>
                                <w:sz w:val="20"/>
                              </w:rPr>
                              <w:t xml:space="preserve"> </w:t>
                            </w:r>
                            <w:r w:rsidRPr="004E0302">
                              <w:rPr>
                                <w:rFonts w:cs="Arial"/>
                                <w:color w:val="FFFFFF"/>
                                <w:spacing w:val="-1"/>
                                <w:sz w:val="20"/>
                              </w:rPr>
                              <w:t>decision</w:t>
                            </w:r>
                            <w:r w:rsidRPr="004E0302">
                              <w:rPr>
                                <w:rFonts w:cs="Arial"/>
                                <w:color w:val="FFFFFF"/>
                                <w:spacing w:val="17"/>
                                <w:sz w:val="20"/>
                              </w:rPr>
                              <w:t xml:space="preserve"> </w:t>
                            </w:r>
                            <w:r w:rsidRPr="004E0302">
                              <w:rPr>
                                <w:rFonts w:cs="Arial"/>
                                <w:color w:val="FFFFFF"/>
                                <w:spacing w:val="-1"/>
                                <w:sz w:val="20"/>
                              </w:rPr>
                              <w:t>include</w:t>
                            </w:r>
                            <w:r w:rsidRPr="004E0302">
                              <w:rPr>
                                <w:rFonts w:cs="Arial"/>
                                <w:color w:val="FFFFFF"/>
                                <w:spacing w:val="54"/>
                                <w:w w:val="99"/>
                                <w:sz w:val="20"/>
                              </w:rPr>
                              <w:t xml:space="preserve"> </w:t>
                            </w:r>
                            <w:r w:rsidRPr="004E0302">
                              <w:rPr>
                                <w:rFonts w:cs="Arial"/>
                                <w:color w:val="FFFFFF"/>
                                <w:spacing w:val="-1"/>
                                <w:sz w:val="20"/>
                              </w:rPr>
                              <w:t>whether</w:t>
                            </w:r>
                            <w:r w:rsidRPr="004E0302">
                              <w:rPr>
                                <w:rFonts w:cs="Arial"/>
                                <w:color w:val="FFFFFF"/>
                                <w:spacing w:val="-3"/>
                                <w:sz w:val="20"/>
                              </w:rPr>
                              <w:t xml:space="preserve"> </w:t>
                            </w:r>
                            <w:r w:rsidRPr="004E0302">
                              <w:rPr>
                                <w:rFonts w:cs="Arial"/>
                                <w:color w:val="FFFFFF"/>
                                <w:spacing w:val="-1"/>
                                <w:sz w:val="20"/>
                              </w:rPr>
                              <w:t>services will</w:t>
                            </w:r>
                            <w:r w:rsidRPr="004E0302">
                              <w:rPr>
                                <w:rFonts w:cs="Arial"/>
                                <w:color w:val="FFFFFF"/>
                                <w:spacing w:val="-2"/>
                                <w:sz w:val="20"/>
                              </w:rPr>
                              <w:t xml:space="preserve"> </w:t>
                            </w:r>
                            <w:r w:rsidRPr="004E0302">
                              <w:rPr>
                                <w:rFonts w:cs="Arial"/>
                                <w:color w:val="FFFFFF"/>
                                <w:spacing w:val="-1"/>
                                <w:sz w:val="20"/>
                              </w:rPr>
                              <w:t>become</w:t>
                            </w:r>
                            <w:r w:rsidRPr="004E0302">
                              <w:rPr>
                                <w:rFonts w:cs="Arial"/>
                                <w:color w:val="FFFFFF"/>
                                <w:spacing w:val="-3"/>
                                <w:sz w:val="20"/>
                              </w:rPr>
                              <w:t xml:space="preserve"> </w:t>
                            </w:r>
                            <w:r w:rsidRPr="004E0302">
                              <w:rPr>
                                <w:rFonts w:cs="Arial"/>
                                <w:color w:val="FFFFFF"/>
                                <w:sz w:val="20"/>
                              </w:rPr>
                              <w:t>more</w:t>
                            </w:r>
                            <w:r w:rsidRPr="004E0302">
                              <w:rPr>
                                <w:rFonts w:cs="Arial"/>
                                <w:color w:val="FFFFFF"/>
                                <w:spacing w:val="-3"/>
                                <w:sz w:val="20"/>
                              </w:rPr>
                              <w:t xml:space="preserve"> </w:t>
                            </w:r>
                            <w:r w:rsidRPr="004E0302">
                              <w:rPr>
                                <w:rFonts w:cs="Arial"/>
                                <w:color w:val="FFFFFF"/>
                                <w:spacing w:val="-1"/>
                                <w:sz w:val="20"/>
                              </w:rPr>
                              <w:t>or</w:t>
                            </w:r>
                            <w:r w:rsidRPr="004E0302">
                              <w:rPr>
                                <w:rFonts w:cs="Arial"/>
                                <w:color w:val="FFFFFF"/>
                                <w:spacing w:val="-2"/>
                                <w:sz w:val="20"/>
                              </w:rPr>
                              <w:t xml:space="preserve"> </w:t>
                            </w:r>
                            <w:r w:rsidRPr="004E0302">
                              <w:rPr>
                                <w:rFonts w:cs="Arial"/>
                                <w:color w:val="FFFFFF"/>
                                <w:sz w:val="20"/>
                              </w:rPr>
                              <w:t>less</w:t>
                            </w:r>
                            <w:r w:rsidRPr="004E0302">
                              <w:rPr>
                                <w:rFonts w:cs="Arial"/>
                                <w:color w:val="FFFFFF"/>
                                <w:spacing w:val="-2"/>
                                <w:sz w:val="20"/>
                              </w:rPr>
                              <w:t xml:space="preserve"> </w:t>
                            </w:r>
                            <w:r w:rsidRPr="004E0302">
                              <w:rPr>
                                <w:rFonts w:cs="Arial"/>
                                <w:color w:val="FFFFFF"/>
                                <w:spacing w:val="-1"/>
                                <w:sz w:val="20"/>
                              </w:rPr>
                              <w:t>accessible</w:t>
                            </w:r>
                            <w:r w:rsidRPr="004E0302">
                              <w:rPr>
                                <w:rFonts w:cs="Arial"/>
                                <w:color w:val="FFFFFF"/>
                                <w:spacing w:val="-3"/>
                                <w:sz w:val="20"/>
                              </w:rPr>
                              <w:t xml:space="preserve"> </w:t>
                            </w:r>
                            <w:r w:rsidRPr="004E0302">
                              <w:rPr>
                                <w:rFonts w:cs="Arial"/>
                                <w:color w:val="FFFFFF"/>
                                <w:spacing w:val="-1"/>
                                <w:sz w:val="20"/>
                              </w:rPr>
                              <w:t>as</w:t>
                            </w:r>
                            <w:r w:rsidRPr="004E0302">
                              <w:rPr>
                                <w:rFonts w:cs="Arial"/>
                                <w:color w:val="FFFFFF"/>
                                <w:spacing w:val="-2"/>
                                <w:sz w:val="20"/>
                              </w:rPr>
                              <w:t xml:space="preserve"> </w:t>
                            </w:r>
                            <w:r w:rsidRPr="004E0302">
                              <w:rPr>
                                <w:rFonts w:cs="Arial"/>
                                <w:color w:val="FFFFFF"/>
                                <w:sz w:val="20"/>
                              </w:rPr>
                              <w:t>a</w:t>
                            </w:r>
                            <w:r w:rsidRPr="004E0302">
                              <w:rPr>
                                <w:rFonts w:cs="Arial"/>
                                <w:color w:val="FFFFFF"/>
                                <w:spacing w:val="-2"/>
                                <w:sz w:val="20"/>
                              </w:rPr>
                              <w:t xml:space="preserve"> </w:t>
                            </w:r>
                            <w:r w:rsidRPr="004E0302">
                              <w:rPr>
                                <w:rFonts w:cs="Arial"/>
                                <w:color w:val="FFFFFF"/>
                                <w:spacing w:val="-1"/>
                                <w:sz w:val="20"/>
                              </w:rPr>
                              <w:t>result</w:t>
                            </w:r>
                            <w:r w:rsidRPr="004E0302">
                              <w:rPr>
                                <w:rFonts w:cs="Arial"/>
                                <w:color w:val="FFFFFF"/>
                                <w:spacing w:val="-2"/>
                                <w:sz w:val="20"/>
                              </w:rPr>
                              <w:t xml:space="preserve"> </w:t>
                            </w:r>
                            <w:r w:rsidRPr="004E0302">
                              <w:rPr>
                                <w:rFonts w:cs="Arial"/>
                                <w:color w:val="FFFFFF"/>
                                <w:spacing w:val="-1"/>
                                <w:sz w:val="20"/>
                              </w:rPr>
                              <w:t>of</w:t>
                            </w:r>
                            <w:r w:rsidRPr="004E0302">
                              <w:rPr>
                                <w:rFonts w:cs="Arial"/>
                                <w:color w:val="FFFFFF"/>
                                <w:spacing w:val="-3"/>
                                <w:sz w:val="20"/>
                              </w:rPr>
                              <w:t xml:space="preserve"> </w:t>
                            </w:r>
                            <w:r w:rsidRPr="004E0302">
                              <w:rPr>
                                <w:rFonts w:cs="Arial"/>
                                <w:color w:val="FFFFFF"/>
                                <w:spacing w:val="-1"/>
                                <w:sz w:val="20"/>
                              </w:rPr>
                              <w:t>the</w:t>
                            </w:r>
                            <w:r w:rsidRPr="004E0302">
                              <w:rPr>
                                <w:rFonts w:cs="Arial"/>
                                <w:color w:val="FFFFFF"/>
                                <w:spacing w:val="53"/>
                                <w:w w:val="99"/>
                                <w:sz w:val="20"/>
                              </w:rPr>
                              <w:t xml:space="preserve"> </w:t>
                            </w:r>
                            <w:r w:rsidRPr="004E0302">
                              <w:rPr>
                                <w:rFonts w:cs="Arial"/>
                                <w:color w:val="FFFFFF"/>
                                <w:spacing w:val="-1"/>
                                <w:sz w:val="20"/>
                              </w:rPr>
                              <w:t>change,</w:t>
                            </w:r>
                            <w:r w:rsidRPr="004E0302">
                              <w:rPr>
                                <w:rFonts w:cs="Arial"/>
                                <w:color w:val="FFFFFF"/>
                                <w:spacing w:val="15"/>
                                <w:sz w:val="20"/>
                              </w:rPr>
                              <w:t xml:space="preserve"> </w:t>
                            </w:r>
                            <w:r w:rsidRPr="004E0302">
                              <w:rPr>
                                <w:rFonts w:cs="Arial"/>
                                <w:color w:val="FFFFFF"/>
                                <w:spacing w:val="-1"/>
                                <w:sz w:val="20"/>
                              </w:rPr>
                              <w:t>any</w:t>
                            </w:r>
                            <w:r w:rsidRPr="004E0302">
                              <w:rPr>
                                <w:rFonts w:cs="Arial"/>
                                <w:color w:val="FFFFFF"/>
                                <w:spacing w:val="13"/>
                                <w:sz w:val="20"/>
                              </w:rPr>
                              <w:t xml:space="preserve"> </w:t>
                            </w:r>
                            <w:r w:rsidRPr="004E0302">
                              <w:rPr>
                                <w:rFonts w:cs="Arial"/>
                                <w:color w:val="FFFFFF"/>
                                <w:sz w:val="20"/>
                              </w:rPr>
                              <w:t>adverse</w:t>
                            </w:r>
                            <w:r w:rsidRPr="004E0302">
                              <w:rPr>
                                <w:rFonts w:cs="Arial"/>
                                <w:color w:val="FFFFFF"/>
                                <w:spacing w:val="13"/>
                                <w:sz w:val="20"/>
                              </w:rPr>
                              <w:t xml:space="preserve"> </w:t>
                            </w:r>
                            <w:r w:rsidRPr="004E0302">
                              <w:rPr>
                                <w:rFonts w:cs="Arial"/>
                                <w:color w:val="FFFFFF"/>
                                <w:spacing w:val="-1"/>
                                <w:sz w:val="20"/>
                              </w:rPr>
                              <w:t>impact</w:t>
                            </w:r>
                            <w:r w:rsidRPr="004E0302">
                              <w:rPr>
                                <w:rFonts w:cs="Arial"/>
                                <w:color w:val="FFFFFF"/>
                                <w:spacing w:val="13"/>
                                <w:sz w:val="20"/>
                              </w:rPr>
                              <w:t xml:space="preserve"> </w:t>
                            </w:r>
                            <w:r w:rsidRPr="004E0302">
                              <w:rPr>
                                <w:rFonts w:cs="Arial"/>
                                <w:color w:val="FFFFFF"/>
                                <w:spacing w:val="-1"/>
                                <w:sz w:val="20"/>
                              </w:rPr>
                              <w:t>on</w:t>
                            </w:r>
                            <w:r w:rsidRPr="004E0302">
                              <w:rPr>
                                <w:rFonts w:cs="Arial"/>
                                <w:color w:val="FFFFFF"/>
                                <w:spacing w:val="15"/>
                                <w:sz w:val="20"/>
                              </w:rPr>
                              <w:t xml:space="preserve"> </w:t>
                            </w:r>
                            <w:r w:rsidRPr="004E0302">
                              <w:rPr>
                                <w:rFonts w:cs="Arial"/>
                                <w:color w:val="FFFFFF"/>
                                <w:spacing w:val="-1"/>
                                <w:sz w:val="20"/>
                              </w:rPr>
                              <w:t>people</w:t>
                            </w:r>
                            <w:r w:rsidRPr="004E0302">
                              <w:rPr>
                                <w:rFonts w:cs="Arial"/>
                                <w:color w:val="FFFFFF"/>
                                <w:spacing w:val="15"/>
                                <w:sz w:val="20"/>
                              </w:rPr>
                              <w:t xml:space="preserve"> </w:t>
                            </w:r>
                            <w:r w:rsidRPr="004E0302">
                              <w:rPr>
                                <w:rFonts w:cs="Arial"/>
                                <w:color w:val="FFFFFF"/>
                                <w:spacing w:val="-1"/>
                                <w:sz w:val="20"/>
                              </w:rPr>
                              <w:t>with</w:t>
                            </w:r>
                            <w:r w:rsidRPr="004E0302">
                              <w:rPr>
                                <w:rFonts w:cs="Arial"/>
                                <w:color w:val="FFFFFF"/>
                                <w:spacing w:val="15"/>
                                <w:sz w:val="20"/>
                              </w:rPr>
                              <w:t xml:space="preserve"> </w:t>
                            </w:r>
                            <w:r w:rsidRPr="004E0302">
                              <w:rPr>
                                <w:rFonts w:cs="Arial"/>
                                <w:color w:val="FFFFFF"/>
                                <w:spacing w:val="-1"/>
                                <w:sz w:val="20"/>
                              </w:rPr>
                              <w:t>protected</w:t>
                            </w:r>
                            <w:r w:rsidRPr="004E0302">
                              <w:rPr>
                                <w:rFonts w:cs="Arial"/>
                                <w:color w:val="FFFFFF"/>
                                <w:spacing w:val="13"/>
                                <w:sz w:val="20"/>
                              </w:rPr>
                              <w:t xml:space="preserve"> </w:t>
                            </w:r>
                            <w:r w:rsidRPr="004E0302">
                              <w:rPr>
                                <w:rFonts w:cs="Arial"/>
                                <w:color w:val="FFFFFF"/>
                                <w:spacing w:val="-1"/>
                                <w:sz w:val="20"/>
                              </w:rPr>
                              <w:t>characteristics</w:t>
                            </w:r>
                            <w:r w:rsidRPr="004E0302">
                              <w:rPr>
                                <w:rFonts w:cs="Arial"/>
                                <w:color w:val="FFFFFF"/>
                                <w:spacing w:val="65"/>
                                <w:sz w:val="20"/>
                              </w:rPr>
                              <w:t xml:space="preserve"> </w:t>
                            </w:r>
                            <w:r w:rsidRPr="004E0302">
                              <w:rPr>
                                <w:rFonts w:cs="Arial"/>
                                <w:color w:val="FFFFFF"/>
                                <w:spacing w:val="-1"/>
                                <w:sz w:val="20"/>
                              </w:rPr>
                              <w:t>(is</w:t>
                            </w:r>
                            <w:r w:rsidRPr="004E0302">
                              <w:rPr>
                                <w:rFonts w:cs="Arial"/>
                                <w:color w:val="FFFFFF"/>
                                <w:spacing w:val="4"/>
                                <w:sz w:val="20"/>
                              </w:rPr>
                              <w:t xml:space="preserve"> </w:t>
                            </w:r>
                            <w:r w:rsidRPr="004E0302">
                              <w:rPr>
                                <w:rFonts w:cs="Arial"/>
                                <w:color w:val="FFFFFF"/>
                                <w:spacing w:val="-1"/>
                                <w:sz w:val="20"/>
                              </w:rPr>
                              <w:t>the</w:t>
                            </w:r>
                            <w:r w:rsidRPr="004E0302">
                              <w:rPr>
                                <w:rFonts w:cs="Arial"/>
                                <w:color w:val="FFFFFF"/>
                                <w:spacing w:val="3"/>
                                <w:sz w:val="20"/>
                              </w:rPr>
                              <w:t xml:space="preserve"> </w:t>
                            </w:r>
                            <w:r w:rsidRPr="004E0302">
                              <w:rPr>
                                <w:rFonts w:cs="Arial"/>
                                <w:color w:val="FFFFFF"/>
                                <w:spacing w:val="-1"/>
                                <w:sz w:val="20"/>
                              </w:rPr>
                              <w:t>Jewish</w:t>
                            </w:r>
                            <w:r w:rsidRPr="004E0302">
                              <w:rPr>
                                <w:rFonts w:cs="Arial"/>
                                <w:color w:val="FFFFFF"/>
                                <w:spacing w:val="3"/>
                                <w:sz w:val="20"/>
                              </w:rPr>
                              <w:t xml:space="preserve"> </w:t>
                            </w:r>
                            <w:r w:rsidRPr="004E0302">
                              <w:rPr>
                                <w:rFonts w:cs="Arial"/>
                                <w:color w:val="FFFFFF"/>
                                <w:spacing w:val="-1"/>
                                <w:sz w:val="20"/>
                              </w:rPr>
                              <w:t>population</w:t>
                            </w:r>
                            <w:r w:rsidRPr="004E0302">
                              <w:rPr>
                                <w:rFonts w:cs="Arial"/>
                                <w:color w:val="FFFFFF"/>
                                <w:spacing w:val="4"/>
                                <w:sz w:val="20"/>
                              </w:rPr>
                              <w:t xml:space="preserve"> </w:t>
                            </w:r>
                            <w:r w:rsidRPr="004E0302">
                              <w:rPr>
                                <w:rFonts w:cs="Arial"/>
                                <w:color w:val="FFFFFF"/>
                                <w:spacing w:val="-1"/>
                                <w:sz w:val="20"/>
                              </w:rPr>
                              <w:t>disadvantaged</w:t>
                            </w:r>
                            <w:r w:rsidRPr="004E0302">
                              <w:rPr>
                                <w:rFonts w:cs="Arial"/>
                                <w:color w:val="FFFFFF"/>
                                <w:spacing w:val="2"/>
                                <w:sz w:val="20"/>
                              </w:rPr>
                              <w:t xml:space="preserve"> </w:t>
                            </w:r>
                            <w:r w:rsidRPr="004E0302">
                              <w:rPr>
                                <w:rFonts w:cs="Arial"/>
                                <w:color w:val="FFFFFF"/>
                                <w:spacing w:val="-1"/>
                                <w:sz w:val="20"/>
                              </w:rPr>
                              <w:t>as</w:t>
                            </w:r>
                            <w:r w:rsidRPr="004E0302">
                              <w:rPr>
                                <w:rFonts w:cs="Arial"/>
                                <w:color w:val="FFFFFF"/>
                                <w:spacing w:val="7"/>
                                <w:sz w:val="20"/>
                              </w:rPr>
                              <w:t xml:space="preserve"> </w:t>
                            </w:r>
                            <w:r w:rsidRPr="004E0302">
                              <w:rPr>
                                <w:rFonts w:cs="Arial"/>
                                <w:color w:val="FFFFFF"/>
                                <w:spacing w:val="-1"/>
                                <w:sz w:val="20"/>
                              </w:rPr>
                              <w:t>Saturday</w:t>
                            </w:r>
                            <w:r w:rsidRPr="004E0302">
                              <w:rPr>
                                <w:rFonts w:cs="Arial"/>
                                <w:color w:val="FFFFFF"/>
                                <w:spacing w:val="4"/>
                                <w:sz w:val="20"/>
                              </w:rPr>
                              <w:t xml:space="preserve"> </w:t>
                            </w:r>
                            <w:r w:rsidRPr="004E0302">
                              <w:rPr>
                                <w:rFonts w:cs="Arial"/>
                                <w:color w:val="FFFFFF"/>
                                <w:spacing w:val="-1"/>
                                <w:sz w:val="20"/>
                              </w:rPr>
                              <w:t>falls</w:t>
                            </w:r>
                            <w:r w:rsidRPr="004E0302">
                              <w:rPr>
                                <w:rFonts w:cs="Arial"/>
                                <w:color w:val="FFFFFF"/>
                                <w:spacing w:val="5"/>
                                <w:sz w:val="20"/>
                              </w:rPr>
                              <w:t xml:space="preserve"> </w:t>
                            </w:r>
                            <w:r w:rsidRPr="004E0302">
                              <w:rPr>
                                <w:rFonts w:cs="Arial"/>
                                <w:color w:val="FFFFFF"/>
                                <w:spacing w:val="-1"/>
                                <w:sz w:val="20"/>
                              </w:rPr>
                              <w:t>on</w:t>
                            </w:r>
                            <w:r w:rsidRPr="004E0302">
                              <w:rPr>
                                <w:rFonts w:cs="Arial"/>
                                <w:color w:val="FFFFFF"/>
                                <w:sz w:val="20"/>
                              </w:rPr>
                              <w:t xml:space="preserve"> </w:t>
                            </w:r>
                            <w:r w:rsidRPr="004E0302">
                              <w:rPr>
                                <w:rFonts w:cs="Arial"/>
                                <w:color w:val="FFFFFF"/>
                                <w:spacing w:val="3"/>
                                <w:sz w:val="20"/>
                              </w:rPr>
                              <w:t xml:space="preserve"> </w:t>
                            </w:r>
                            <w:r w:rsidRPr="004E0302">
                              <w:rPr>
                                <w:rFonts w:cs="Arial"/>
                                <w:color w:val="FFFFFF"/>
                                <w:spacing w:val="-1"/>
                                <w:sz w:val="20"/>
                              </w:rPr>
                              <w:t>the</w:t>
                            </w:r>
                            <w:r w:rsidRPr="004E0302">
                              <w:rPr>
                                <w:rFonts w:cs="Arial"/>
                                <w:color w:val="FFFFFF"/>
                                <w:spacing w:val="53"/>
                                <w:w w:val="99"/>
                                <w:sz w:val="20"/>
                              </w:rPr>
                              <w:t xml:space="preserve"> </w:t>
                            </w:r>
                            <w:r w:rsidRPr="004E0302">
                              <w:rPr>
                                <w:rFonts w:cs="Arial"/>
                                <w:color w:val="FFFFFF"/>
                                <w:spacing w:val="-1"/>
                                <w:sz w:val="20"/>
                              </w:rPr>
                              <w:t>Jewish</w:t>
                            </w:r>
                            <w:r w:rsidRPr="004E0302">
                              <w:rPr>
                                <w:rFonts w:cs="Arial"/>
                                <w:color w:val="FFFFFF"/>
                                <w:spacing w:val="39"/>
                                <w:sz w:val="20"/>
                              </w:rPr>
                              <w:t xml:space="preserve"> </w:t>
                            </w:r>
                            <w:r w:rsidRPr="004E0302">
                              <w:rPr>
                                <w:rFonts w:cs="Arial"/>
                                <w:color w:val="FFFFFF"/>
                                <w:spacing w:val="-1"/>
                                <w:sz w:val="20"/>
                              </w:rPr>
                              <w:t>rest</w:t>
                            </w:r>
                            <w:r w:rsidRPr="004E0302">
                              <w:rPr>
                                <w:rFonts w:cs="Arial"/>
                                <w:color w:val="FFFFFF"/>
                                <w:spacing w:val="40"/>
                                <w:sz w:val="20"/>
                              </w:rPr>
                              <w:t xml:space="preserve"> </w:t>
                            </w:r>
                            <w:r w:rsidRPr="004E0302">
                              <w:rPr>
                                <w:rFonts w:cs="Arial"/>
                                <w:color w:val="FFFFFF"/>
                                <w:spacing w:val="-1"/>
                                <w:sz w:val="20"/>
                              </w:rPr>
                              <w:t>day?)</w:t>
                            </w:r>
                            <w:r w:rsidRPr="004E0302">
                              <w:rPr>
                                <w:rFonts w:cs="Arial"/>
                                <w:color w:val="FFFFFF"/>
                                <w:spacing w:val="39"/>
                                <w:sz w:val="20"/>
                              </w:rPr>
                              <w:t xml:space="preserve"> </w:t>
                            </w:r>
                            <w:r w:rsidRPr="004E0302">
                              <w:rPr>
                                <w:rFonts w:cs="Arial"/>
                                <w:color w:val="FFFFFF"/>
                                <w:sz w:val="20"/>
                              </w:rPr>
                              <w:t>and</w:t>
                            </w:r>
                            <w:r w:rsidRPr="004E0302">
                              <w:rPr>
                                <w:rFonts w:cs="Arial"/>
                                <w:color w:val="FFFFFF"/>
                                <w:spacing w:val="40"/>
                                <w:sz w:val="20"/>
                              </w:rPr>
                              <w:t xml:space="preserve"> </w:t>
                            </w:r>
                            <w:r w:rsidRPr="004E0302">
                              <w:rPr>
                                <w:rFonts w:cs="Arial"/>
                                <w:color w:val="FFFFFF"/>
                                <w:spacing w:val="-1"/>
                                <w:sz w:val="20"/>
                              </w:rPr>
                              <w:t>any</w:t>
                            </w:r>
                            <w:r w:rsidRPr="004E0302">
                              <w:rPr>
                                <w:rFonts w:cs="Arial"/>
                                <w:color w:val="FFFFFF"/>
                                <w:spacing w:val="40"/>
                                <w:sz w:val="20"/>
                              </w:rPr>
                              <w:t xml:space="preserve"> </w:t>
                            </w:r>
                            <w:r w:rsidRPr="004E0302">
                              <w:rPr>
                                <w:rFonts w:cs="Arial"/>
                                <w:color w:val="FFFFFF"/>
                                <w:spacing w:val="-1"/>
                                <w:sz w:val="20"/>
                              </w:rPr>
                              <w:t>costs</w:t>
                            </w:r>
                            <w:r w:rsidRPr="004E0302">
                              <w:rPr>
                                <w:rFonts w:cs="Arial"/>
                                <w:color w:val="FFFFFF"/>
                                <w:spacing w:val="40"/>
                                <w:sz w:val="20"/>
                              </w:rPr>
                              <w:t xml:space="preserve"> </w:t>
                            </w:r>
                            <w:r w:rsidRPr="004E0302">
                              <w:rPr>
                                <w:rFonts w:cs="Arial"/>
                                <w:color w:val="FFFFFF"/>
                                <w:spacing w:val="-1"/>
                                <w:sz w:val="20"/>
                              </w:rPr>
                              <w:t>implications</w:t>
                            </w:r>
                            <w:r w:rsidRPr="004E0302">
                              <w:rPr>
                                <w:rFonts w:cs="Arial"/>
                                <w:color w:val="FFFFFF"/>
                                <w:spacing w:val="42"/>
                                <w:sz w:val="20"/>
                              </w:rPr>
                              <w:t xml:space="preserve"> </w:t>
                            </w:r>
                            <w:r w:rsidRPr="004E0302">
                              <w:rPr>
                                <w:rFonts w:cs="Arial"/>
                                <w:color w:val="FFFFFF"/>
                                <w:spacing w:val="-1"/>
                                <w:sz w:val="20"/>
                              </w:rPr>
                              <w:t>for</w:t>
                            </w:r>
                            <w:r w:rsidRPr="004E0302">
                              <w:rPr>
                                <w:rFonts w:cs="Arial"/>
                                <w:color w:val="FFFFFF"/>
                                <w:spacing w:val="39"/>
                                <w:sz w:val="20"/>
                              </w:rPr>
                              <w:t xml:space="preserve"> </w:t>
                            </w:r>
                            <w:r w:rsidRPr="004E0302">
                              <w:rPr>
                                <w:rFonts w:cs="Arial"/>
                                <w:color w:val="FFFFFF"/>
                                <w:sz w:val="20"/>
                              </w:rPr>
                              <w:t>the commissioner</w:t>
                            </w:r>
                            <w:r w:rsidRPr="004E0302">
                              <w:rPr>
                                <w:rFonts w:cs="Arial"/>
                                <w:color w:val="FFFFFF"/>
                                <w:spacing w:val="-1"/>
                                <w:sz w:val="20"/>
                              </w:rPr>
                              <w:t>.</w:t>
                            </w:r>
                            <w:r w:rsidRPr="004E0302">
                              <w:rPr>
                                <w:rFonts w:cs="Arial"/>
                                <w:color w:val="FFFFFF"/>
                                <w:spacing w:val="16"/>
                                <w:sz w:val="20"/>
                              </w:rPr>
                              <w:t xml:space="preserve"> </w:t>
                            </w:r>
                            <w:r w:rsidRPr="004E0302">
                              <w:rPr>
                                <w:rFonts w:cs="Arial"/>
                                <w:color w:val="FFFFFF"/>
                                <w:sz w:val="20"/>
                              </w:rPr>
                              <w:t>An</w:t>
                            </w:r>
                            <w:r w:rsidRPr="004E0302">
                              <w:rPr>
                                <w:rFonts w:cs="Arial"/>
                                <w:color w:val="FFFFFF"/>
                                <w:spacing w:val="51"/>
                                <w:sz w:val="20"/>
                              </w:rPr>
                              <w:t xml:space="preserve"> </w:t>
                            </w:r>
                            <w:r w:rsidRPr="004E0302">
                              <w:rPr>
                                <w:rFonts w:cs="Arial"/>
                                <w:color w:val="FFFFFF"/>
                                <w:spacing w:val="-1"/>
                                <w:sz w:val="20"/>
                              </w:rPr>
                              <w:t>example</w:t>
                            </w:r>
                            <w:r w:rsidRPr="004E0302">
                              <w:rPr>
                                <w:rFonts w:cs="Arial"/>
                                <w:color w:val="FFFFFF"/>
                                <w:spacing w:val="25"/>
                                <w:sz w:val="20"/>
                              </w:rPr>
                              <w:t xml:space="preserve"> </w:t>
                            </w:r>
                            <w:r w:rsidRPr="004E0302">
                              <w:rPr>
                                <w:rFonts w:cs="Arial"/>
                                <w:color w:val="FFFFFF"/>
                                <w:spacing w:val="-1"/>
                                <w:sz w:val="20"/>
                              </w:rPr>
                              <w:t>of</w:t>
                            </w:r>
                            <w:r w:rsidRPr="004E0302">
                              <w:rPr>
                                <w:rFonts w:cs="Arial"/>
                                <w:color w:val="FFFFFF"/>
                                <w:spacing w:val="25"/>
                                <w:sz w:val="20"/>
                              </w:rPr>
                              <w:t xml:space="preserve"> </w:t>
                            </w:r>
                            <w:r w:rsidRPr="004E0302">
                              <w:rPr>
                                <w:rFonts w:cs="Arial"/>
                                <w:color w:val="FFFFFF"/>
                                <w:spacing w:val="-1"/>
                                <w:sz w:val="20"/>
                              </w:rPr>
                              <w:t>an</w:t>
                            </w:r>
                            <w:r w:rsidRPr="004E0302">
                              <w:rPr>
                                <w:rFonts w:cs="Arial"/>
                                <w:color w:val="FFFFFF"/>
                                <w:spacing w:val="26"/>
                                <w:sz w:val="20"/>
                              </w:rPr>
                              <w:t xml:space="preserve"> </w:t>
                            </w:r>
                            <w:r w:rsidRPr="004E0302">
                              <w:rPr>
                                <w:rFonts w:cs="Arial"/>
                                <w:color w:val="FFFFFF"/>
                                <w:spacing w:val="-1"/>
                                <w:sz w:val="20"/>
                              </w:rPr>
                              <w:t>irrelevant</w:t>
                            </w:r>
                            <w:r w:rsidRPr="004E0302">
                              <w:rPr>
                                <w:rFonts w:cs="Arial"/>
                                <w:color w:val="FFFFFF"/>
                                <w:spacing w:val="26"/>
                                <w:sz w:val="20"/>
                              </w:rPr>
                              <w:t xml:space="preserve"> </w:t>
                            </w:r>
                            <w:r w:rsidRPr="004E0302">
                              <w:rPr>
                                <w:rFonts w:cs="Arial"/>
                                <w:color w:val="FFFFFF"/>
                                <w:spacing w:val="-1"/>
                                <w:sz w:val="20"/>
                              </w:rPr>
                              <w:t>factor</w:t>
                            </w:r>
                            <w:r w:rsidRPr="004E0302">
                              <w:rPr>
                                <w:rFonts w:cs="Arial"/>
                                <w:color w:val="FFFFFF"/>
                                <w:spacing w:val="26"/>
                                <w:sz w:val="20"/>
                              </w:rPr>
                              <w:t xml:space="preserve"> </w:t>
                            </w:r>
                            <w:r w:rsidRPr="004E0302">
                              <w:rPr>
                                <w:rFonts w:cs="Arial"/>
                                <w:color w:val="FFFFFF"/>
                                <w:spacing w:val="-1"/>
                                <w:sz w:val="20"/>
                              </w:rPr>
                              <w:t>is</w:t>
                            </w:r>
                            <w:r w:rsidRPr="004E0302">
                              <w:rPr>
                                <w:rFonts w:cs="Arial"/>
                                <w:color w:val="FFFFFF"/>
                                <w:spacing w:val="27"/>
                                <w:sz w:val="20"/>
                              </w:rPr>
                              <w:t xml:space="preserve"> </w:t>
                            </w:r>
                            <w:r w:rsidRPr="004E0302">
                              <w:rPr>
                                <w:rFonts w:cs="Arial"/>
                                <w:color w:val="FFFFFF"/>
                                <w:spacing w:val="-1"/>
                                <w:sz w:val="20"/>
                              </w:rPr>
                              <w:t>that</w:t>
                            </w:r>
                            <w:r w:rsidRPr="004E0302">
                              <w:rPr>
                                <w:rFonts w:cs="Arial"/>
                                <w:color w:val="FFFFFF"/>
                                <w:spacing w:val="26"/>
                                <w:sz w:val="20"/>
                              </w:rPr>
                              <w:t xml:space="preserve"> </w:t>
                            </w:r>
                            <w:r w:rsidRPr="004E0302">
                              <w:rPr>
                                <w:rFonts w:cs="Arial"/>
                                <w:color w:val="FFFFFF"/>
                                <w:spacing w:val="-2"/>
                                <w:sz w:val="20"/>
                              </w:rPr>
                              <w:t>the commissioner</w:t>
                            </w:r>
                            <w:r w:rsidRPr="004E0302">
                              <w:rPr>
                                <w:rFonts w:cs="Arial"/>
                                <w:color w:val="FFFFFF"/>
                                <w:spacing w:val="25"/>
                                <w:sz w:val="20"/>
                              </w:rPr>
                              <w:t xml:space="preserve"> </w:t>
                            </w:r>
                            <w:r w:rsidRPr="004E0302">
                              <w:rPr>
                                <w:rFonts w:cs="Arial"/>
                                <w:color w:val="FFFFFF"/>
                                <w:spacing w:val="-1"/>
                                <w:sz w:val="20"/>
                              </w:rPr>
                              <w:t>has</w:t>
                            </w:r>
                            <w:r w:rsidRPr="004E0302">
                              <w:rPr>
                                <w:rFonts w:cs="Arial"/>
                                <w:color w:val="FFFFFF"/>
                                <w:spacing w:val="28"/>
                                <w:sz w:val="20"/>
                              </w:rPr>
                              <w:t xml:space="preserve"> </w:t>
                            </w:r>
                            <w:r w:rsidRPr="004E0302">
                              <w:rPr>
                                <w:rFonts w:cs="Arial"/>
                                <w:color w:val="FFFFFF"/>
                                <w:spacing w:val="-1"/>
                                <w:sz w:val="20"/>
                              </w:rPr>
                              <w:t>been</w:t>
                            </w:r>
                            <w:r w:rsidRPr="004E0302">
                              <w:rPr>
                                <w:rFonts w:cs="Arial"/>
                                <w:color w:val="FFFFFF"/>
                                <w:spacing w:val="55"/>
                                <w:sz w:val="20"/>
                              </w:rPr>
                              <w:t xml:space="preserve"> </w:t>
                            </w:r>
                            <w:r w:rsidRPr="004E0302">
                              <w:rPr>
                                <w:rFonts w:cs="Arial"/>
                                <w:color w:val="FFFFFF"/>
                                <w:spacing w:val="-1"/>
                                <w:sz w:val="20"/>
                              </w:rPr>
                              <w:t>promised</w:t>
                            </w:r>
                            <w:r w:rsidRPr="004E0302">
                              <w:rPr>
                                <w:rFonts w:cs="Arial"/>
                                <w:color w:val="FFFFFF"/>
                                <w:spacing w:val="54"/>
                                <w:sz w:val="20"/>
                              </w:rPr>
                              <w:t xml:space="preserve"> </w:t>
                            </w:r>
                            <w:r w:rsidRPr="004E0302">
                              <w:rPr>
                                <w:rFonts w:cs="Arial"/>
                                <w:color w:val="FFFFFF"/>
                                <w:spacing w:val="-1"/>
                                <w:sz w:val="20"/>
                              </w:rPr>
                              <w:t>some</w:t>
                            </w:r>
                            <w:r w:rsidRPr="004E0302">
                              <w:rPr>
                                <w:rFonts w:cs="Arial"/>
                                <w:color w:val="FFFFFF"/>
                                <w:spacing w:val="57"/>
                                <w:sz w:val="20"/>
                              </w:rPr>
                              <w:t xml:space="preserve"> </w:t>
                            </w:r>
                            <w:r w:rsidRPr="004E0302">
                              <w:rPr>
                                <w:rFonts w:cs="Arial"/>
                                <w:color w:val="FFFFFF"/>
                                <w:spacing w:val="-1"/>
                                <w:sz w:val="20"/>
                              </w:rPr>
                              <w:t>good</w:t>
                            </w:r>
                            <w:r w:rsidRPr="004E0302">
                              <w:rPr>
                                <w:rFonts w:cs="Arial"/>
                                <w:color w:val="FFFFFF"/>
                                <w:spacing w:val="57"/>
                                <w:sz w:val="20"/>
                              </w:rPr>
                              <w:t xml:space="preserve"> </w:t>
                            </w:r>
                            <w:r w:rsidRPr="004E0302">
                              <w:rPr>
                                <w:rFonts w:cs="Arial"/>
                                <w:color w:val="FFFFFF"/>
                                <w:spacing w:val="-1"/>
                                <w:sz w:val="20"/>
                              </w:rPr>
                              <w:t>publicity</w:t>
                            </w:r>
                            <w:r w:rsidRPr="004E0302">
                              <w:rPr>
                                <w:rFonts w:cs="Arial"/>
                                <w:color w:val="FFFFFF"/>
                                <w:spacing w:val="58"/>
                                <w:sz w:val="20"/>
                              </w:rPr>
                              <w:t xml:space="preserve"> </w:t>
                            </w:r>
                            <w:r w:rsidRPr="004E0302">
                              <w:rPr>
                                <w:rFonts w:cs="Arial"/>
                                <w:color w:val="FFFFFF"/>
                                <w:spacing w:val="-1"/>
                                <w:sz w:val="20"/>
                              </w:rPr>
                              <w:t>by</w:t>
                            </w:r>
                            <w:r w:rsidRPr="004E0302">
                              <w:rPr>
                                <w:rFonts w:cs="Arial"/>
                                <w:color w:val="FFFFFF"/>
                                <w:spacing w:val="56"/>
                                <w:sz w:val="20"/>
                              </w:rPr>
                              <w:t xml:space="preserve"> </w:t>
                            </w:r>
                            <w:r w:rsidRPr="004E0302">
                              <w:rPr>
                                <w:rFonts w:cs="Arial"/>
                                <w:color w:val="FFFFFF"/>
                                <w:spacing w:val="-1"/>
                                <w:sz w:val="20"/>
                              </w:rPr>
                              <w:t>the</w:t>
                            </w:r>
                            <w:r w:rsidRPr="004E0302">
                              <w:rPr>
                                <w:rFonts w:cs="Arial"/>
                                <w:color w:val="FFFFFF"/>
                                <w:spacing w:val="55"/>
                                <w:sz w:val="20"/>
                              </w:rPr>
                              <w:t xml:space="preserve"> </w:t>
                            </w:r>
                            <w:r w:rsidRPr="004E0302">
                              <w:rPr>
                                <w:rFonts w:cs="Arial"/>
                                <w:color w:val="FFFFFF"/>
                                <w:sz w:val="20"/>
                              </w:rPr>
                              <w:t>practice</w:t>
                            </w:r>
                            <w:r w:rsidRPr="004E0302">
                              <w:rPr>
                                <w:rFonts w:cs="Arial"/>
                                <w:color w:val="FFFFFF"/>
                                <w:spacing w:val="54"/>
                                <w:sz w:val="20"/>
                              </w:rPr>
                              <w:t xml:space="preserve"> </w:t>
                            </w:r>
                            <w:r w:rsidRPr="004E0302">
                              <w:rPr>
                                <w:rFonts w:cs="Arial"/>
                                <w:color w:val="FFFFFF"/>
                                <w:sz w:val="20"/>
                              </w:rPr>
                              <w:t>if</w:t>
                            </w:r>
                            <w:r w:rsidRPr="004E0302">
                              <w:rPr>
                                <w:rFonts w:cs="Arial"/>
                                <w:color w:val="FFFFFF"/>
                                <w:spacing w:val="55"/>
                                <w:sz w:val="20"/>
                              </w:rPr>
                              <w:t xml:space="preserve"> </w:t>
                            </w:r>
                            <w:r w:rsidRPr="004E0302">
                              <w:rPr>
                                <w:rFonts w:cs="Arial"/>
                                <w:color w:val="FFFFFF"/>
                                <w:spacing w:val="-1"/>
                                <w:sz w:val="20"/>
                              </w:rPr>
                              <w:t>it</w:t>
                            </w:r>
                            <w:r w:rsidRPr="004E0302">
                              <w:rPr>
                                <w:rFonts w:cs="Arial"/>
                                <w:color w:val="FFFFFF"/>
                                <w:spacing w:val="56"/>
                                <w:sz w:val="20"/>
                              </w:rPr>
                              <w:t xml:space="preserve"> </w:t>
                            </w:r>
                            <w:r w:rsidRPr="004E0302">
                              <w:rPr>
                                <w:rFonts w:cs="Arial"/>
                                <w:color w:val="FFFFFF"/>
                                <w:spacing w:val="-1"/>
                                <w:sz w:val="20"/>
                              </w:rPr>
                              <w:t>agrees</w:t>
                            </w:r>
                            <w:r w:rsidRPr="004E0302">
                              <w:rPr>
                                <w:rFonts w:cs="Arial"/>
                                <w:color w:val="FFFFFF"/>
                                <w:spacing w:val="57"/>
                                <w:sz w:val="20"/>
                              </w:rPr>
                              <w:t xml:space="preserve"> </w:t>
                            </w:r>
                            <w:r w:rsidRPr="004E0302">
                              <w:rPr>
                                <w:rFonts w:cs="Arial"/>
                                <w:color w:val="FFFFFF"/>
                                <w:sz w:val="20"/>
                              </w:rPr>
                              <w:t>to</w:t>
                            </w:r>
                            <w:r w:rsidRPr="004E0302">
                              <w:rPr>
                                <w:rFonts w:cs="Arial"/>
                                <w:color w:val="FFFFFF"/>
                                <w:spacing w:val="56"/>
                                <w:sz w:val="20"/>
                              </w:rPr>
                              <w:t xml:space="preserve"> </w:t>
                            </w:r>
                            <w:r w:rsidRPr="004E0302">
                              <w:rPr>
                                <w:rFonts w:cs="Arial"/>
                                <w:color w:val="FFFFFF"/>
                                <w:spacing w:val="-1"/>
                                <w:sz w:val="20"/>
                              </w:rPr>
                              <w:t>the</w:t>
                            </w:r>
                            <w:r w:rsidRPr="004E0302">
                              <w:rPr>
                                <w:rFonts w:cs="Arial"/>
                                <w:color w:val="FFFFFF"/>
                                <w:spacing w:val="53"/>
                                <w:w w:val="99"/>
                                <w:sz w:val="20"/>
                              </w:rPr>
                              <w:t xml:space="preserve"> </w:t>
                            </w:r>
                            <w:r w:rsidRPr="004E0302">
                              <w:rPr>
                                <w:rFonts w:cs="Arial"/>
                                <w:color w:val="FFFFFF"/>
                                <w:spacing w:val="-1"/>
                                <w:sz w:val="20"/>
                              </w:rPr>
                              <w:t>change.</w:t>
                            </w:r>
                          </w:p>
                        </w:txbxContent>
                      </wps:txbx>
                      <wps:bodyPr rot="0" vert="horz" wrap="square" lIns="0" tIns="0" rIns="0" bIns="0" anchor="t" anchorCtr="0" upright="1">
                        <a:noAutofit/>
                      </wps:bodyPr>
                    </wps:wsp>
                  </a:graphicData>
                </a:graphic>
              </wp:inline>
            </w:drawing>
          </mc:Choice>
          <mc:Fallback>
            <w:pict>
              <v:shape w14:anchorId="2E6D4289" id="Text Box 1888" o:spid="_x0000_s1032" type="#_x0000_t202" style="width:382.7pt;height:1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" fillcolor="#1c6cb4" stroked="f">
                <v:textbox inset="0,0,0,0">
                  <w:txbxContent>
                    <w:p w14:paraId="6BECCAE9" w14:textId="77777777" w:rsidR="00942266" w:rsidRPr="004E0302" w:rsidRDefault="00942266" w:rsidP="00DB7F92">
                      <w:pPr>
                        <w:spacing w:before="213"/>
                        <w:ind w:left="225"/>
                        <w:jc w:val="both"/>
                        <w:rPr>
                          <w:rFonts w:cs="Arial"/>
                          <w:b/>
                          <w:color w:val="FFFFFF"/>
                          <w:sz w:val="20"/>
                        </w:rPr>
                      </w:pPr>
                      <w:r w:rsidRPr="004E0302">
                        <w:rPr>
                          <w:rFonts w:cs="Arial"/>
                          <w:b/>
                          <w:color w:val="FFFFFF"/>
                          <w:sz w:val="20"/>
                        </w:rPr>
                        <w:t>Example:</w:t>
                      </w:r>
                    </w:p>
                    <w:p w14:paraId="763136D1" w14:textId="77777777" w:rsidR="00942266" w:rsidRPr="004E0302" w:rsidRDefault="00942266" w:rsidP="00DB7F92">
                      <w:pPr>
                        <w:ind w:left="225" w:right="225"/>
                        <w:jc w:val="both"/>
                        <w:rPr>
                          <w:rFonts w:eastAsia="Segoe UI Semilight" w:cs="Arial"/>
                          <w:sz w:val="20"/>
                          <w:szCs w:val="24"/>
                        </w:rPr>
                      </w:pPr>
                      <w:r w:rsidRPr="004E0302">
                        <w:rPr>
                          <w:rFonts w:cs="Arial"/>
                          <w:color w:val="FFFFFF"/>
                          <w:spacing w:val="48"/>
                          <w:sz w:val="20"/>
                        </w:rPr>
                        <w:t xml:space="preserve">The Commissioner </w:t>
                      </w:r>
                      <w:r w:rsidRPr="004E0302">
                        <w:rPr>
                          <w:rFonts w:cs="Arial"/>
                          <w:color w:val="FFFFFF"/>
                          <w:spacing w:val="-1"/>
                          <w:sz w:val="20"/>
                        </w:rPr>
                        <w:t>has</w:t>
                      </w:r>
                      <w:r w:rsidRPr="004E0302">
                        <w:rPr>
                          <w:rFonts w:cs="Arial"/>
                          <w:color w:val="FFFFFF"/>
                          <w:spacing w:val="50"/>
                          <w:sz w:val="20"/>
                        </w:rPr>
                        <w:t xml:space="preserve"> </w:t>
                      </w:r>
                      <w:r w:rsidRPr="004E0302">
                        <w:rPr>
                          <w:rFonts w:cs="Arial"/>
                          <w:color w:val="FFFFFF"/>
                          <w:sz w:val="20"/>
                        </w:rPr>
                        <w:t>to</w:t>
                      </w:r>
                      <w:r w:rsidRPr="004E0302">
                        <w:rPr>
                          <w:rFonts w:cs="Arial"/>
                          <w:color w:val="FFFFFF"/>
                          <w:spacing w:val="50"/>
                          <w:sz w:val="20"/>
                        </w:rPr>
                        <w:t xml:space="preserve"> </w:t>
                      </w:r>
                      <w:r w:rsidRPr="004E0302">
                        <w:rPr>
                          <w:rFonts w:cs="Arial"/>
                          <w:color w:val="FFFFFF"/>
                          <w:spacing w:val="-1"/>
                          <w:sz w:val="20"/>
                        </w:rPr>
                        <w:t>decide</w:t>
                      </w:r>
                      <w:r w:rsidRPr="004E0302">
                        <w:rPr>
                          <w:rFonts w:cs="Arial"/>
                          <w:color w:val="FFFFFF"/>
                          <w:spacing w:val="48"/>
                          <w:sz w:val="20"/>
                        </w:rPr>
                        <w:t xml:space="preserve"> </w:t>
                      </w:r>
                      <w:r w:rsidRPr="004E0302">
                        <w:rPr>
                          <w:rFonts w:cs="Arial"/>
                          <w:color w:val="FFFFFF"/>
                          <w:spacing w:val="-1"/>
                          <w:sz w:val="20"/>
                        </w:rPr>
                        <w:t>whether</w:t>
                      </w:r>
                      <w:r w:rsidRPr="004E0302">
                        <w:rPr>
                          <w:rFonts w:cs="Arial"/>
                          <w:color w:val="FFFFFF"/>
                          <w:spacing w:val="49"/>
                          <w:sz w:val="20"/>
                        </w:rPr>
                        <w:t xml:space="preserve"> </w:t>
                      </w:r>
                      <w:r w:rsidRPr="004E0302">
                        <w:rPr>
                          <w:rFonts w:cs="Arial"/>
                          <w:color w:val="FFFFFF"/>
                          <w:sz w:val="20"/>
                        </w:rPr>
                        <w:t>to</w:t>
                      </w:r>
                      <w:r w:rsidRPr="004E0302">
                        <w:rPr>
                          <w:rFonts w:cs="Arial"/>
                          <w:color w:val="FFFFFF"/>
                          <w:spacing w:val="51"/>
                          <w:sz w:val="20"/>
                        </w:rPr>
                        <w:t xml:space="preserve"> </w:t>
                      </w:r>
                      <w:r w:rsidRPr="004E0302">
                        <w:rPr>
                          <w:rFonts w:cs="Arial"/>
                          <w:color w:val="FFFFFF"/>
                          <w:spacing w:val="-1"/>
                          <w:sz w:val="20"/>
                        </w:rPr>
                        <w:t>approve</w:t>
                      </w:r>
                      <w:r w:rsidRPr="004E0302">
                        <w:rPr>
                          <w:rFonts w:cs="Arial"/>
                          <w:color w:val="FFFFFF"/>
                          <w:spacing w:val="47"/>
                          <w:sz w:val="20"/>
                        </w:rPr>
                        <w:t xml:space="preserve"> </w:t>
                      </w:r>
                      <w:r w:rsidRPr="004E0302">
                        <w:rPr>
                          <w:rFonts w:cs="Arial"/>
                          <w:color w:val="FFFFFF"/>
                          <w:sz w:val="20"/>
                        </w:rPr>
                        <w:t>a</w:t>
                      </w:r>
                      <w:r w:rsidRPr="004E0302">
                        <w:rPr>
                          <w:rFonts w:cs="Arial"/>
                          <w:color w:val="FFFFFF"/>
                          <w:spacing w:val="51"/>
                          <w:sz w:val="20"/>
                        </w:rPr>
                        <w:t xml:space="preserve"> </w:t>
                      </w:r>
                      <w:r w:rsidRPr="004E0302">
                        <w:rPr>
                          <w:rFonts w:cs="Arial"/>
                          <w:color w:val="FFFFFF"/>
                          <w:spacing w:val="-1"/>
                          <w:sz w:val="20"/>
                        </w:rPr>
                        <w:t>practice's</w:t>
                      </w:r>
                      <w:r w:rsidRPr="004E0302">
                        <w:rPr>
                          <w:rFonts w:cs="Arial"/>
                          <w:color w:val="FFFFFF"/>
                          <w:spacing w:val="57"/>
                          <w:sz w:val="20"/>
                        </w:rPr>
                        <w:t xml:space="preserve"> </w:t>
                      </w:r>
                      <w:r w:rsidRPr="004E0302">
                        <w:rPr>
                          <w:rFonts w:cs="Arial"/>
                          <w:color w:val="FFFFFF"/>
                          <w:spacing w:val="-1"/>
                          <w:sz w:val="20"/>
                        </w:rPr>
                        <w:t>application</w:t>
                      </w:r>
                      <w:r w:rsidRPr="004E0302">
                        <w:rPr>
                          <w:rFonts w:cs="Arial"/>
                          <w:color w:val="FFFFFF"/>
                          <w:spacing w:val="50"/>
                          <w:sz w:val="20"/>
                        </w:rPr>
                        <w:t xml:space="preserve"> </w:t>
                      </w:r>
                      <w:r w:rsidRPr="004E0302">
                        <w:rPr>
                          <w:rFonts w:cs="Arial"/>
                          <w:color w:val="FFFFFF"/>
                          <w:sz w:val="20"/>
                        </w:rPr>
                        <w:t>to</w:t>
                      </w:r>
                      <w:r w:rsidRPr="004E0302">
                        <w:rPr>
                          <w:rFonts w:cs="Arial"/>
                          <w:color w:val="FFFFFF"/>
                          <w:spacing w:val="49"/>
                          <w:sz w:val="20"/>
                        </w:rPr>
                        <w:t xml:space="preserve"> </w:t>
                      </w:r>
                      <w:r w:rsidRPr="004E0302">
                        <w:rPr>
                          <w:rFonts w:cs="Arial"/>
                          <w:color w:val="FFFFFF"/>
                          <w:spacing w:val="-1"/>
                          <w:sz w:val="20"/>
                        </w:rPr>
                        <w:t>stop</w:t>
                      </w:r>
                      <w:r w:rsidRPr="004E0302">
                        <w:rPr>
                          <w:rFonts w:cs="Arial"/>
                          <w:color w:val="FFFFFF"/>
                          <w:spacing w:val="49"/>
                          <w:sz w:val="20"/>
                        </w:rPr>
                        <w:t xml:space="preserve"> </w:t>
                      </w:r>
                      <w:r w:rsidRPr="004E0302">
                        <w:rPr>
                          <w:rFonts w:cs="Arial"/>
                          <w:color w:val="FFFFFF"/>
                          <w:spacing w:val="-1"/>
                          <w:sz w:val="20"/>
                        </w:rPr>
                        <w:t>opening</w:t>
                      </w:r>
                      <w:r w:rsidRPr="004E0302">
                        <w:rPr>
                          <w:rFonts w:cs="Arial"/>
                          <w:color w:val="FFFFFF"/>
                          <w:spacing w:val="49"/>
                          <w:sz w:val="20"/>
                        </w:rPr>
                        <w:t xml:space="preserve"> </w:t>
                      </w:r>
                      <w:r w:rsidRPr="004E0302">
                        <w:rPr>
                          <w:rFonts w:cs="Arial"/>
                          <w:color w:val="FFFFFF"/>
                          <w:spacing w:val="-1"/>
                          <w:sz w:val="20"/>
                        </w:rPr>
                        <w:t>on</w:t>
                      </w:r>
                      <w:r w:rsidRPr="004E0302">
                        <w:rPr>
                          <w:rFonts w:cs="Arial"/>
                          <w:color w:val="FFFFFF"/>
                          <w:spacing w:val="50"/>
                          <w:sz w:val="20"/>
                        </w:rPr>
                        <w:t xml:space="preserve"> </w:t>
                      </w:r>
                      <w:r w:rsidRPr="004E0302">
                        <w:rPr>
                          <w:rFonts w:cs="Arial"/>
                          <w:color w:val="FFFFFF"/>
                          <w:spacing w:val="-1"/>
                          <w:sz w:val="20"/>
                        </w:rPr>
                        <w:t>Wednesday</w:t>
                      </w:r>
                      <w:r w:rsidRPr="004E0302">
                        <w:rPr>
                          <w:rFonts w:cs="Arial"/>
                          <w:color w:val="FFFFFF"/>
                          <w:spacing w:val="51"/>
                          <w:sz w:val="20"/>
                        </w:rPr>
                        <w:t xml:space="preserve"> </w:t>
                      </w:r>
                      <w:r w:rsidRPr="004E0302">
                        <w:rPr>
                          <w:rFonts w:cs="Arial"/>
                          <w:color w:val="FFFFFF"/>
                          <w:spacing w:val="-1"/>
                          <w:sz w:val="20"/>
                        </w:rPr>
                        <w:t>evening</w:t>
                      </w:r>
                      <w:r w:rsidRPr="004E0302">
                        <w:rPr>
                          <w:rFonts w:cs="Arial"/>
                          <w:color w:val="FFFFFF"/>
                          <w:spacing w:val="49"/>
                          <w:sz w:val="20"/>
                        </w:rPr>
                        <w:t xml:space="preserve"> </w:t>
                      </w:r>
                      <w:r w:rsidRPr="004E0302">
                        <w:rPr>
                          <w:rFonts w:cs="Arial"/>
                          <w:color w:val="FFFFFF"/>
                          <w:spacing w:val="-1"/>
                          <w:sz w:val="20"/>
                        </w:rPr>
                        <w:t>and</w:t>
                      </w:r>
                      <w:r w:rsidRPr="004E0302">
                        <w:rPr>
                          <w:rFonts w:cs="Arial"/>
                          <w:color w:val="FFFFFF"/>
                          <w:spacing w:val="49"/>
                          <w:sz w:val="20"/>
                        </w:rPr>
                        <w:t xml:space="preserve"> </w:t>
                      </w:r>
                      <w:r w:rsidRPr="004E0302">
                        <w:rPr>
                          <w:rFonts w:cs="Arial"/>
                          <w:color w:val="FFFFFF"/>
                          <w:spacing w:val="-1"/>
                          <w:sz w:val="20"/>
                        </w:rPr>
                        <w:t>open</w:t>
                      </w:r>
                      <w:r w:rsidRPr="004E0302">
                        <w:rPr>
                          <w:rFonts w:cs="Arial"/>
                          <w:color w:val="FFFFFF"/>
                          <w:spacing w:val="50"/>
                          <w:sz w:val="20"/>
                        </w:rPr>
                        <w:t xml:space="preserve"> </w:t>
                      </w:r>
                      <w:r w:rsidRPr="004E0302">
                        <w:rPr>
                          <w:rFonts w:cs="Arial"/>
                          <w:color w:val="FFFFFF"/>
                          <w:spacing w:val="-1"/>
                          <w:sz w:val="20"/>
                        </w:rPr>
                        <w:t>on</w:t>
                      </w:r>
                      <w:r w:rsidRPr="004E0302">
                        <w:rPr>
                          <w:rFonts w:cs="Arial"/>
                          <w:color w:val="FFFFFF"/>
                          <w:spacing w:val="57"/>
                          <w:sz w:val="20"/>
                        </w:rPr>
                        <w:t xml:space="preserve"> </w:t>
                      </w:r>
                      <w:r w:rsidRPr="004E0302">
                        <w:rPr>
                          <w:rFonts w:cs="Arial"/>
                          <w:color w:val="FFFFFF"/>
                          <w:spacing w:val="-1"/>
                          <w:sz w:val="20"/>
                        </w:rPr>
                        <w:t>Saturday</w:t>
                      </w:r>
                      <w:r w:rsidRPr="004E0302">
                        <w:rPr>
                          <w:rFonts w:cs="Arial"/>
                          <w:color w:val="FFFFFF"/>
                          <w:spacing w:val="43"/>
                          <w:sz w:val="20"/>
                        </w:rPr>
                        <w:t xml:space="preserve"> </w:t>
                      </w:r>
                      <w:r w:rsidRPr="004E0302">
                        <w:rPr>
                          <w:rFonts w:cs="Arial"/>
                          <w:color w:val="FFFFFF"/>
                          <w:spacing w:val="-1"/>
                          <w:sz w:val="20"/>
                        </w:rPr>
                        <w:t>morning</w:t>
                      </w:r>
                      <w:r w:rsidRPr="004E0302">
                        <w:rPr>
                          <w:rFonts w:cs="Arial"/>
                          <w:color w:val="FFFFFF"/>
                          <w:spacing w:val="42"/>
                          <w:sz w:val="20"/>
                        </w:rPr>
                        <w:t xml:space="preserve"> </w:t>
                      </w:r>
                      <w:r w:rsidRPr="004E0302">
                        <w:rPr>
                          <w:rFonts w:cs="Arial"/>
                          <w:color w:val="FFFFFF"/>
                          <w:spacing w:val="-1"/>
                          <w:sz w:val="20"/>
                        </w:rPr>
                        <w:t>instead.</w:t>
                      </w:r>
                      <w:r w:rsidRPr="004E0302">
                        <w:rPr>
                          <w:rFonts w:cs="Arial"/>
                          <w:color w:val="FFFFFF"/>
                          <w:spacing w:val="44"/>
                          <w:sz w:val="20"/>
                        </w:rPr>
                        <w:t xml:space="preserve"> </w:t>
                      </w:r>
                      <w:r w:rsidRPr="004E0302">
                        <w:rPr>
                          <w:rFonts w:cs="Arial"/>
                          <w:color w:val="FFFFFF"/>
                          <w:spacing w:val="-1"/>
                          <w:sz w:val="20"/>
                        </w:rPr>
                        <w:t>The</w:t>
                      </w:r>
                      <w:r w:rsidRPr="004E0302">
                        <w:rPr>
                          <w:rFonts w:cs="Arial"/>
                          <w:color w:val="FFFFFF"/>
                          <w:spacing w:val="42"/>
                          <w:sz w:val="20"/>
                        </w:rPr>
                        <w:t xml:space="preserve"> </w:t>
                      </w:r>
                      <w:r w:rsidRPr="004E0302">
                        <w:rPr>
                          <w:rFonts w:cs="Arial"/>
                          <w:color w:val="FFFFFF"/>
                          <w:spacing w:val="-1"/>
                          <w:sz w:val="20"/>
                        </w:rPr>
                        <w:t>practice</w:t>
                      </w:r>
                      <w:r w:rsidRPr="004E0302">
                        <w:rPr>
                          <w:rFonts w:cs="Arial"/>
                          <w:color w:val="FFFFFF"/>
                          <w:spacing w:val="43"/>
                          <w:sz w:val="20"/>
                        </w:rPr>
                        <w:t xml:space="preserve"> </w:t>
                      </w:r>
                      <w:r w:rsidRPr="004E0302">
                        <w:rPr>
                          <w:rFonts w:cs="Arial"/>
                          <w:color w:val="FFFFFF"/>
                          <w:spacing w:val="-1"/>
                          <w:sz w:val="20"/>
                        </w:rPr>
                        <w:t>is</w:t>
                      </w:r>
                      <w:r w:rsidRPr="004E0302">
                        <w:rPr>
                          <w:rFonts w:cs="Arial"/>
                          <w:color w:val="FFFFFF"/>
                          <w:spacing w:val="44"/>
                          <w:sz w:val="20"/>
                        </w:rPr>
                        <w:t xml:space="preserve"> </w:t>
                      </w:r>
                      <w:r w:rsidRPr="004E0302">
                        <w:rPr>
                          <w:rFonts w:cs="Arial"/>
                          <w:color w:val="FFFFFF"/>
                          <w:spacing w:val="-1"/>
                          <w:sz w:val="20"/>
                        </w:rPr>
                        <w:t>based</w:t>
                      </w:r>
                      <w:r w:rsidRPr="004E0302">
                        <w:rPr>
                          <w:rFonts w:cs="Arial"/>
                          <w:color w:val="FFFFFF"/>
                          <w:spacing w:val="42"/>
                          <w:sz w:val="20"/>
                        </w:rPr>
                        <w:t xml:space="preserve"> </w:t>
                      </w:r>
                      <w:r w:rsidRPr="004E0302">
                        <w:rPr>
                          <w:rFonts w:cs="Arial"/>
                          <w:color w:val="FFFFFF"/>
                          <w:spacing w:val="-1"/>
                          <w:sz w:val="20"/>
                        </w:rPr>
                        <w:t>in</w:t>
                      </w:r>
                      <w:r w:rsidRPr="004E0302">
                        <w:rPr>
                          <w:rFonts w:cs="Arial"/>
                          <w:color w:val="FFFFFF"/>
                          <w:spacing w:val="44"/>
                          <w:sz w:val="20"/>
                        </w:rPr>
                        <w:t xml:space="preserve"> </w:t>
                      </w:r>
                      <w:r w:rsidRPr="004E0302">
                        <w:rPr>
                          <w:rFonts w:cs="Arial"/>
                          <w:color w:val="FFFFFF"/>
                          <w:spacing w:val="-1"/>
                          <w:sz w:val="20"/>
                        </w:rPr>
                        <w:t>an</w:t>
                      </w:r>
                      <w:r w:rsidRPr="004E0302">
                        <w:rPr>
                          <w:rFonts w:cs="Arial"/>
                          <w:color w:val="FFFFFF"/>
                          <w:spacing w:val="43"/>
                          <w:sz w:val="20"/>
                        </w:rPr>
                        <w:t xml:space="preserve"> </w:t>
                      </w:r>
                      <w:r w:rsidRPr="004E0302">
                        <w:rPr>
                          <w:rFonts w:cs="Arial"/>
                          <w:color w:val="FFFFFF"/>
                          <w:spacing w:val="-1"/>
                          <w:sz w:val="20"/>
                        </w:rPr>
                        <w:t>area</w:t>
                      </w:r>
                      <w:r w:rsidRPr="004E0302">
                        <w:rPr>
                          <w:rFonts w:cs="Arial"/>
                          <w:color w:val="FFFFFF"/>
                          <w:spacing w:val="44"/>
                          <w:sz w:val="20"/>
                        </w:rPr>
                        <w:t xml:space="preserve"> </w:t>
                      </w:r>
                      <w:r w:rsidRPr="004E0302">
                        <w:rPr>
                          <w:rFonts w:cs="Arial"/>
                          <w:color w:val="FFFFFF"/>
                          <w:spacing w:val="-1"/>
                          <w:sz w:val="20"/>
                        </w:rPr>
                        <w:t>with</w:t>
                      </w:r>
                      <w:r w:rsidRPr="004E0302">
                        <w:rPr>
                          <w:rFonts w:cs="Arial"/>
                          <w:color w:val="FFFFFF"/>
                          <w:spacing w:val="45"/>
                          <w:sz w:val="20"/>
                        </w:rPr>
                        <w:t xml:space="preserve"> </w:t>
                      </w:r>
                      <w:r w:rsidRPr="004E0302">
                        <w:rPr>
                          <w:rFonts w:cs="Arial"/>
                          <w:color w:val="FFFFFF"/>
                          <w:sz w:val="20"/>
                        </w:rPr>
                        <w:t>a</w:t>
                      </w:r>
                      <w:r w:rsidRPr="004E0302">
                        <w:rPr>
                          <w:rFonts w:cs="Arial"/>
                          <w:color w:val="FFFFFF"/>
                          <w:spacing w:val="61"/>
                          <w:w w:val="99"/>
                          <w:sz w:val="20"/>
                        </w:rPr>
                        <w:t xml:space="preserve"> </w:t>
                      </w:r>
                      <w:r w:rsidRPr="004E0302">
                        <w:rPr>
                          <w:rFonts w:cs="Arial"/>
                          <w:color w:val="FFFFFF"/>
                          <w:spacing w:val="-1"/>
                          <w:sz w:val="20"/>
                        </w:rPr>
                        <w:t>high</w:t>
                      </w:r>
                      <w:r w:rsidRPr="004E0302">
                        <w:rPr>
                          <w:rFonts w:cs="Arial"/>
                          <w:color w:val="FFFFFF"/>
                          <w:spacing w:val="14"/>
                          <w:sz w:val="20"/>
                        </w:rPr>
                        <w:t xml:space="preserve"> </w:t>
                      </w:r>
                      <w:r w:rsidRPr="004E0302">
                        <w:rPr>
                          <w:rFonts w:cs="Arial"/>
                          <w:color w:val="FFFFFF"/>
                          <w:sz w:val="20"/>
                        </w:rPr>
                        <w:t>Jewish</w:t>
                      </w:r>
                      <w:r w:rsidRPr="004E0302">
                        <w:rPr>
                          <w:rFonts w:cs="Arial"/>
                          <w:color w:val="FFFFFF"/>
                          <w:spacing w:val="14"/>
                          <w:sz w:val="20"/>
                        </w:rPr>
                        <w:t xml:space="preserve"> </w:t>
                      </w:r>
                      <w:r w:rsidRPr="004E0302">
                        <w:rPr>
                          <w:rFonts w:cs="Arial"/>
                          <w:color w:val="FFFFFF"/>
                          <w:spacing w:val="-1"/>
                          <w:sz w:val="20"/>
                        </w:rPr>
                        <w:t>population.</w:t>
                      </w:r>
                      <w:r w:rsidRPr="004E0302">
                        <w:rPr>
                          <w:rFonts w:cs="Arial"/>
                          <w:color w:val="FFFFFF"/>
                          <w:spacing w:val="14"/>
                          <w:sz w:val="20"/>
                        </w:rPr>
                        <w:t xml:space="preserve"> </w:t>
                      </w:r>
                      <w:r w:rsidRPr="004E0302">
                        <w:rPr>
                          <w:rFonts w:cs="Arial"/>
                          <w:color w:val="FFFFFF"/>
                          <w:spacing w:val="-1"/>
                          <w:sz w:val="20"/>
                        </w:rPr>
                        <w:t>Relevant</w:t>
                      </w:r>
                      <w:r w:rsidRPr="004E0302">
                        <w:rPr>
                          <w:rFonts w:cs="Arial"/>
                          <w:color w:val="FFFFFF"/>
                          <w:spacing w:val="15"/>
                          <w:sz w:val="20"/>
                        </w:rPr>
                        <w:t xml:space="preserve"> </w:t>
                      </w:r>
                      <w:r w:rsidRPr="004E0302">
                        <w:rPr>
                          <w:rFonts w:cs="Arial"/>
                          <w:color w:val="FFFFFF"/>
                          <w:spacing w:val="-1"/>
                          <w:sz w:val="20"/>
                        </w:rPr>
                        <w:t>factors</w:t>
                      </w:r>
                      <w:r w:rsidRPr="004E0302">
                        <w:rPr>
                          <w:rFonts w:cs="Arial"/>
                          <w:color w:val="FFFFFF"/>
                          <w:spacing w:val="15"/>
                          <w:sz w:val="20"/>
                        </w:rPr>
                        <w:t xml:space="preserve"> </w:t>
                      </w:r>
                      <w:r w:rsidRPr="004E0302">
                        <w:rPr>
                          <w:rFonts w:cs="Arial"/>
                          <w:color w:val="FFFFFF"/>
                          <w:spacing w:val="-1"/>
                          <w:sz w:val="20"/>
                        </w:rPr>
                        <w:t>in</w:t>
                      </w:r>
                      <w:r w:rsidRPr="004E0302">
                        <w:rPr>
                          <w:rFonts w:cs="Arial"/>
                          <w:color w:val="FFFFFF"/>
                          <w:spacing w:val="18"/>
                          <w:sz w:val="20"/>
                        </w:rPr>
                        <w:t xml:space="preserve"> </w:t>
                      </w:r>
                      <w:r w:rsidRPr="004E0302">
                        <w:rPr>
                          <w:rFonts w:cs="Arial"/>
                          <w:color w:val="FFFFFF"/>
                          <w:spacing w:val="-1"/>
                          <w:sz w:val="20"/>
                        </w:rPr>
                        <w:t>this</w:t>
                      </w:r>
                      <w:r w:rsidRPr="004E0302">
                        <w:rPr>
                          <w:rFonts w:cs="Arial"/>
                          <w:color w:val="FFFFFF"/>
                          <w:spacing w:val="15"/>
                          <w:sz w:val="20"/>
                        </w:rPr>
                        <w:t xml:space="preserve"> </w:t>
                      </w:r>
                      <w:r w:rsidRPr="004E0302">
                        <w:rPr>
                          <w:rFonts w:cs="Arial"/>
                          <w:color w:val="FFFFFF"/>
                          <w:spacing w:val="-1"/>
                          <w:sz w:val="20"/>
                        </w:rPr>
                        <w:t>decision</w:t>
                      </w:r>
                      <w:r w:rsidRPr="004E0302">
                        <w:rPr>
                          <w:rFonts w:cs="Arial"/>
                          <w:color w:val="FFFFFF"/>
                          <w:spacing w:val="17"/>
                          <w:sz w:val="20"/>
                        </w:rPr>
                        <w:t xml:space="preserve"> </w:t>
                      </w:r>
                      <w:r w:rsidRPr="004E0302">
                        <w:rPr>
                          <w:rFonts w:cs="Arial"/>
                          <w:color w:val="FFFFFF"/>
                          <w:spacing w:val="-1"/>
                          <w:sz w:val="20"/>
                        </w:rPr>
                        <w:t>include</w:t>
                      </w:r>
                      <w:r w:rsidRPr="004E0302">
                        <w:rPr>
                          <w:rFonts w:cs="Arial"/>
                          <w:color w:val="FFFFFF"/>
                          <w:spacing w:val="54"/>
                          <w:w w:val="99"/>
                          <w:sz w:val="20"/>
                        </w:rPr>
                        <w:t xml:space="preserve"> </w:t>
                      </w:r>
                      <w:r w:rsidRPr="004E0302">
                        <w:rPr>
                          <w:rFonts w:cs="Arial"/>
                          <w:color w:val="FFFFFF"/>
                          <w:spacing w:val="-1"/>
                          <w:sz w:val="20"/>
                        </w:rPr>
                        <w:t>whether</w:t>
                      </w:r>
                      <w:r w:rsidRPr="004E0302">
                        <w:rPr>
                          <w:rFonts w:cs="Arial"/>
                          <w:color w:val="FFFFFF"/>
                          <w:spacing w:val="-3"/>
                          <w:sz w:val="20"/>
                        </w:rPr>
                        <w:t xml:space="preserve"> </w:t>
                      </w:r>
                      <w:r w:rsidRPr="004E0302">
                        <w:rPr>
                          <w:rFonts w:cs="Arial"/>
                          <w:color w:val="FFFFFF"/>
                          <w:spacing w:val="-1"/>
                          <w:sz w:val="20"/>
                        </w:rPr>
                        <w:t>services will</w:t>
                      </w:r>
                      <w:r w:rsidRPr="004E0302">
                        <w:rPr>
                          <w:rFonts w:cs="Arial"/>
                          <w:color w:val="FFFFFF"/>
                          <w:spacing w:val="-2"/>
                          <w:sz w:val="20"/>
                        </w:rPr>
                        <w:t xml:space="preserve"> </w:t>
                      </w:r>
                      <w:r w:rsidRPr="004E0302">
                        <w:rPr>
                          <w:rFonts w:cs="Arial"/>
                          <w:color w:val="FFFFFF"/>
                          <w:spacing w:val="-1"/>
                          <w:sz w:val="20"/>
                        </w:rPr>
                        <w:t>become</w:t>
                      </w:r>
                      <w:r w:rsidRPr="004E0302">
                        <w:rPr>
                          <w:rFonts w:cs="Arial"/>
                          <w:color w:val="FFFFFF"/>
                          <w:spacing w:val="-3"/>
                          <w:sz w:val="20"/>
                        </w:rPr>
                        <w:t xml:space="preserve"> </w:t>
                      </w:r>
                      <w:r w:rsidRPr="004E0302">
                        <w:rPr>
                          <w:rFonts w:cs="Arial"/>
                          <w:color w:val="FFFFFF"/>
                          <w:sz w:val="20"/>
                        </w:rPr>
                        <w:t>more</w:t>
                      </w:r>
                      <w:r w:rsidRPr="004E0302">
                        <w:rPr>
                          <w:rFonts w:cs="Arial"/>
                          <w:color w:val="FFFFFF"/>
                          <w:spacing w:val="-3"/>
                          <w:sz w:val="20"/>
                        </w:rPr>
                        <w:t xml:space="preserve"> </w:t>
                      </w:r>
                      <w:r w:rsidRPr="004E0302">
                        <w:rPr>
                          <w:rFonts w:cs="Arial"/>
                          <w:color w:val="FFFFFF"/>
                          <w:spacing w:val="-1"/>
                          <w:sz w:val="20"/>
                        </w:rPr>
                        <w:t>or</w:t>
                      </w:r>
                      <w:r w:rsidRPr="004E0302">
                        <w:rPr>
                          <w:rFonts w:cs="Arial"/>
                          <w:color w:val="FFFFFF"/>
                          <w:spacing w:val="-2"/>
                          <w:sz w:val="20"/>
                        </w:rPr>
                        <w:t xml:space="preserve"> </w:t>
                      </w:r>
                      <w:r w:rsidRPr="004E0302">
                        <w:rPr>
                          <w:rFonts w:cs="Arial"/>
                          <w:color w:val="FFFFFF"/>
                          <w:sz w:val="20"/>
                        </w:rPr>
                        <w:t>less</w:t>
                      </w:r>
                      <w:r w:rsidRPr="004E0302">
                        <w:rPr>
                          <w:rFonts w:cs="Arial"/>
                          <w:color w:val="FFFFFF"/>
                          <w:spacing w:val="-2"/>
                          <w:sz w:val="20"/>
                        </w:rPr>
                        <w:t xml:space="preserve"> </w:t>
                      </w:r>
                      <w:r w:rsidRPr="004E0302">
                        <w:rPr>
                          <w:rFonts w:cs="Arial"/>
                          <w:color w:val="FFFFFF"/>
                          <w:spacing w:val="-1"/>
                          <w:sz w:val="20"/>
                        </w:rPr>
                        <w:t>accessible</w:t>
                      </w:r>
                      <w:r w:rsidRPr="004E0302">
                        <w:rPr>
                          <w:rFonts w:cs="Arial"/>
                          <w:color w:val="FFFFFF"/>
                          <w:spacing w:val="-3"/>
                          <w:sz w:val="20"/>
                        </w:rPr>
                        <w:t xml:space="preserve"> </w:t>
                      </w:r>
                      <w:r w:rsidRPr="004E0302">
                        <w:rPr>
                          <w:rFonts w:cs="Arial"/>
                          <w:color w:val="FFFFFF"/>
                          <w:spacing w:val="-1"/>
                          <w:sz w:val="20"/>
                        </w:rPr>
                        <w:t>as</w:t>
                      </w:r>
                      <w:r w:rsidRPr="004E0302">
                        <w:rPr>
                          <w:rFonts w:cs="Arial"/>
                          <w:color w:val="FFFFFF"/>
                          <w:spacing w:val="-2"/>
                          <w:sz w:val="20"/>
                        </w:rPr>
                        <w:t xml:space="preserve"> </w:t>
                      </w:r>
                      <w:r w:rsidRPr="004E0302">
                        <w:rPr>
                          <w:rFonts w:cs="Arial"/>
                          <w:color w:val="FFFFFF"/>
                          <w:sz w:val="20"/>
                        </w:rPr>
                        <w:t>a</w:t>
                      </w:r>
                      <w:r w:rsidRPr="004E0302">
                        <w:rPr>
                          <w:rFonts w:cs="Arial"/>
                          <w:color w:val="FFFFFF"/>
                          <w:spacing w:val="-2"/>
                          <w:sz w:val="20"/>
                        </w:rPr>
                        <w:t xml:space="preserve"> </w:t>
                      </w:r>
                      <w:r w:rsidRPr="004E0302">
                        <w:rPr>
                          <w:rFonts w:cs="Arial"/>
                          <w:color w:val="FFFFFF"/>
                          <w:spacing w:val="-1"/>
                          <w:sz w:val="20"/>
                        </w:rPr>
                        <w:t>result</w:t>
                      </w:r>
                      <w:r w:rsidRPr="004E0302">
                        <w:rPr>
                          <w:rFonts w:cs="Arial"/>
                          <w:color w:val="FFFFFF"/>
                          <w:spacing w:val="-2"/>
                          <w:sz w:val="20"/>
                        </w:rPr>
                        <w:t xml:space="preserve"> </w:t>
                      </w:r>
                      <w:r w:rsidRPr="004E0302">
                        <w:rPr>
                          <w:rFonts w:cs="Arial"/>
                          <w:color w:val="FFFFFF"/>
                          <w:spacing w:val="-1"/>
                          <w:sz w:val="20"/>
                        </w:rPr>
                        <w:t>of</w:t>
                      </w:r>
                      <w:r w:rsidRPr="004E0302">
                        <w:rPr>
                          <w:rFonts w:cs="Arial"/>
                          <w:color w:val="FFFFFF"/>
                          <w:spacing w:val="-3"/>
                          <w:sz w:val="20"/>
                        </w:rPr>
                        <w:t xml:space="preserve"> </w:t>
                      </w:r>
                      <w:r w:rsidRPr="004E0302">
                        <w:rPr>
                          <w:rFonts w:cs="Arial"/>
                          <w:color w:val="FFFFFF"/>
                          <w:spacing w:val="-1"/>
                          <w:sz w:val="20"/>
                        </w:rPr>
                        <w:t>the</w:t>
                      </w:r>
                      <w:r w:rsidRPr="004E0302">
                        <w:rPr>
                          <w:rFonts w:cs="Arial"/>
                          <w:color w:val="FFFFFF"/>
                          <w:spacing w:val="53"/>
                          <w:w w:val="99"/>
                          <w:sz w:val="20"/>
                        </w:rPr>
                        <w:t xml:space="preserve"> </w:t>
                      </w:r>
                      <w:r w:rsidRPr="004E0302">
                        <w:rPr>
                          <w:rFonts w:cs="Arial"/>
                          <w:color w:val="FFFFFF"/>
                          <w:spacing w:val="-1"/>
                          <w:sz w:val="20"/>
                        </w:rPr>
                        <w:t>change,</w:t>
                      </w:r>
                      <w:r w:rsidRPr="004E0302">
                        <w:rPr>
                          <w:rFonts w:cs="Arial"/>
                          <w:color w:val="FFFFFF"/>
                          <w:spacing w:val="15"/>
                          <w:sz w:val="20"/>
                        </w:rPr>
                        <w:t xml:space="preserve"> </w:t>
                      </w:r>
                      <w:r w:rsidRPr="004E0302">
                        <w:rPr>
                          <w:rFonts w:cs="Arial"/>
                          <w:color w:val="FFFFFF"/>
                          <w:spacing w:val="-1"/>
                          <w:sz w:val="20"/>
                        </w:rPr>
                        <w:t>any</w:t>
                      </w:r>
                      <w:r w:rsidRPr="004E0302">
                        <w:rPr>
                          <w:rFonts w:cs="Arial"/>
                          <w:color w:val="FFFFFF"/>
                          <w:spacing w:val="13"/>
                          <w:sz w:val="20"/>
                        </w:rPr>
                        <w:t xml:space="preserve"> </w:t>
                      </w:r>
                      <w:r w:rsidRPr="004E0302">
                        <w:rPr>
                          <w:rFonts w:cs="Arial"/>
                          <w:color w:val="FFFFFF"/>
                          <w:sz w:val="20"/>
                        </w:rPr>
                        <w:t>adverse</w:t>
                      </w:r>
                      <w:r w:rsidRPr="004E0302">
                        <w:rPr>
                          <w:rFonts w:cs="Arial"/>
                          <w:color w:val="FFFFFF"/>
                          <w:spacing w:val="13"/>
                          <w:sz w:val="20"/>
                        </w:rPr>
                        <w:t xml:space="preserve"> </w:t>
                      </w:r>
                      <w:r w:rsidRPr="004E0302">
                        <w:rPr>
                          <w:rFonts w:cs="Arial"/>
                          <w:color w:val="FFFFFF"/>
                          <w:spacing w:val="-1"/>
                          <w:sz w:val="20"/>
                        </w:rPr>
                        <w:t>impact</w:t>
                      </w:r>
                      <w:r w:rsidRPr="004E0302">
                        <w:rPr>
                          <w:rFonts w:cs="Arial"/>
                          <w:color w:val="FFFFFF"/>
                          <w:spacing w:val="13"/>
                          <w:sz w:val="20"/>
                        </w:rPr>
                        <w:t xml:space="preserve"> </w:t>
                      </w:r>
                      <w:r w:rsidRPr="004E0302">
                        <w:rPr>
                          <w:rFonts w:cs="Arial"/>
                          <w:color w:val="FFFFFF"/>
                          <w:spacing w:val="-1"/>
                          <w:sz w:val="20"/>
                        </w:rPr>
                        <w:t>on</w:t>
                      </w:r>
                      <w:r w:rsidRPr="004E0302">
                        <w:rPr>
                          <w:rFonts w:cs="Arial"/>
                          <w:color w:val="FFFFFF"/>
                          <w:spacing w:val="15"/>
                          <w:sz w:val="20"/>
                        </w:rPr>
                        <w:t xml:space="preserve"> </w:t>
                      </w:r>
                      <w:r w:rsidRPr="004E0302">
                        <w:rPr>
                          <w:rFonts w:cs="Arial"/>
                          <w:color w:val="FFFFFF"/>
                          <w:spacing w:val="-1"/>
                          <w:sz w:val="20"/>
                        </w:rPr>
                        <w:t>people</w:t>
                      </w:r>
                      <w:r w:rsidRPr="004E0302">
                        <w:rPr>
                          <w:rFonts w:cs="Arial"/>
                          <w:color w:val="FFFFFF"/>
                          <w:spacing w:val="15"/>
                          <w:sz w:val="20"/>
                        </w:rPr>
                        <w:t xml:space="preserve"> </w:t>
                      </w:r>
                      <w:r w:rsidRPr="004E0302">
                        <w:rPr>
                          <w:rFonts w:cs="Arial"/>
                          <w:color w:val="FFFFFF"/>
                          <w:spacing w:val="-1"/>
                          <w:sz w:val="20"/>
                        </w:rPr>
                        <w:t>with</w:t>
                      </w:r>
                      <w:r w:rsidRPr="004E0302">
                        <w:rPr>
                          <w:rFonts w:cs="Arial"/>
                          <w:color w:val="FFFFFF"/>
                          <w:spacing w:val="15"/>
                          <w:sz w:val="20"/>
                        </w:rPr>
                        <w:t xml:space="preserve"> </w:t>
                      </w:r>
                      <w:r w:rsidRPr="004E0302">
                        <w:rPr>
                          <w:rFonts w:cs="Arial"/>
                          <w:color w:val="FFFFFF"/>
                          <w:spacing w:val="-1"/>
                          <w:sz w:val="20"/>
                        </w:rPr>
                        <w:t>protected</w:t>
                      </w:r>
                      <w:r w:rsidRPr="004E0302">
                        <w:rPr>
                          <w:rFonts w:cs="Arial"/>
                          <w:color w:val="FFFFFF"/>
                          <w:spacing w:val="13"/>
                          <w:sz w:val="20"/>
                        </w:rPr>
                        <w:t xml:space="preserve"> </w:t>
                      </w:r>
                      <w:r w:rsidRPr="004E0302">
                        <w:rPr>
                          <w:rFonts w:cs="Arial"/>
                          <w:color w:val="FFFFFF"/>
                          <w:spacing w:val="-1"/>
                          <w:sz w:val="20"/>
                        </w:rPr>
                        <w:t>characteristics</w:t>
                      </w:r>
                      <w:r w:rsidRPr="004E0302">
                        <w:rPr>
                          <w:rFonts w:cs="Arial"/>
                          <w:color w:val="FFFFFF"/>
                          <w:spacing w:val="65"/>
                          <w:sz w:val="20"/>
                        </w:rPr>
                        <w:t xml:space="preserve"> </w:t>
                      </w:r>
                      <w:r w:rsidRPr="004E0302">
                        <w:rPr>
                          <w:rFonts w:cs="Arial"/>
                          <w:color w:val="FFFFFF"/>
                          <w:spacing w:val="-1"/>
                          <w:sz w:val="20"/>
                        </w:rPr>
                        <w:t>(is</w:t>
                      </w:r>
                      <w:r w:rsidRPr="004E0302">
                        <w:rPr>
                          <w:rFonts w:cs="Arial"/>
                          <w:color w:val="FFFFFF"/>
                          <w:spacing w:val="4"/>
                          <w:sz w:val="20"/>
                        </w:rPr>
                        <w:t xml:space="preserve"> </w:t>
                      </w:r>
                      <w:r w:rsidRPr="004E0302">
                        <w:rPr>
                          <w:rFonts w:cs="Arial"/>
                          <w:color w:val="FFFFFF"/>
                          <w:spacing w:val="-1"/>
                          <w:sz w:val="20"/>
                        </w:rPr>
                        <w:t>the</w:t>
                      </w:r>
                      <w:r w:rsidRPr="004E0302">
                        <w:rPr>
                          <w:rFonts w:cs="Arial"/>
                          <w:color w:val="FFFFFF"/>
                          <w:spacing w:val="3"/>
                          <w:sz w:val="20"/>
                        </w:rPr>
                        <w:t xml:space="preserve"> </w:t>
                      </w:r>
                      <w:r w:rsidRPr="004E0302">
                        <w:rPr>
                          <w:rFonts w:cs="Arial"/>
                          <w:color w:val="FFFFFF"/>
                          <w:spacing w:val="-1"/>
                          <w:sz w:val="20"/>
                        </w:rPr>
                        <w:t>Jewish</w:t>
                      </w:r>
                      <w:r w:rsidRPr="004E0302">
                        <w:rPr>
                          <w:rFonts w:cs="Arial"/>
                          <w:color w:val="FFFFFF"/>
                          <w:spacing w:val="3"/>
                          <w:sz w:val="20"/>
                        </w:rPr>
                        <w:t xml:space="preserve"> </w:t>
                      </w:r>
                      <w:r w:rsidRPr="004E0302">
                        <w:rPr>
                          <w:rFonts w:cs="Arial"/>
                          <w:color w:val="FFFFFF"/>
                          <w:spacing w:val="-1"/>
                          <w:sz w:val="20"/>
                        </w:rPr>
                        <w:t>population</w:t>
                      </w:r>
                      <w:r w:rsidRPr="004E0302">
                        <w:rPr>
                          <w:rFonts w:cs="Arial"/>
                          <w:color w:val="FFFFFF"/>
                          <w:spacing w:val="4"/>
                          <w:sz w:val="20"/>
                        </w:rPr>
                        <w:t xml:space="preserve"> </w:t>
                      </w:r>
                      <w:r w:rsidRPr="004E0302">
                        <w:rPr>
                          <w:rFonts w:cs="Arial"/>
                          <w:color w:val="FFFFFF"/>
                          <w:spacing w:val="-1"/>
                          <w:sz w:val="20"/>
                        </w:rPr>
                        <w:t>disadvantaged</w:t>
                      </w:r>
                      <w:r w:rsidRPr="004E0302">
                        <w:rPr>
                          <w:rFonts w:cs="Arial"/>
                          <w:color w:val="FFFFFF"/>
                          <w:spacing w:val="2"/>
                          <w:sz w:val="20"/>
                        </w:rPr>
                        <w:t xml:space="preserve"> </w:t>
                      </w:r>
                      <w:r w:rsidRPr="004E0302">
                        <w:rPr>
                          <w:rFonts w:cs="Arial"/>
                          <w:color w:val="FFFFFF"/>
                          <w:spacing w:val="-1"/>
                          <w:sz w:val="20"/>
                        </w:rPr>
                        <w:t>as</w:t>
                      </w:r>
                      <w:r w:rsidRPr="004E0302">
                        <w:rPr>
                          <w:rFonts w:cs="Arial"/>
                          <w:color w:val="FFFFFF"/>
                          <w:spacing w:val="7"/>
                          <w:sz w:val="20"/>
                        </w:rPr>
                        <w:t xml:space="preserve"> </w:t>
                      </w:r>
                      <w:r w:rsidRPr="004E0302">
                        <w:rPr>
                          <w:rFonts w:cs="Arial"/>
                          <w:color w:val="FFFFFF"/>
                          <w:spacing w:val="-1"/>
                          <w:sz w:val="20"/>
                        </w:rPr>
                        <w:t>Saturday</w:t>
                      </w:r>
                      <w:r w:rsidRPr="004E0302">
                        <w:rPr>
                          <w:rFonts w:cs="Arial"/>
                          <w:color w:val="FFFFFF"/>
                          <w:spacing w:val="4"/>
                          <w:sz w:val="20"/>
                        </w:rPr>
                        <w:t xml:space="preserve"> </w:t>
                      </w:r>
                      <w:r w:rsidRPr="004E0302">
                        <w:rPr>
                          <w:rFonts w:cs="Arial"/>
                          <w:color w:val="FFFFFF"/>
                          <w:spacing w:val="-1"/>
                          <w:sz w:val="20"/>
                        </w:rPr>
                        <w:t>falls</w:t>
                      </w:r>
                      <w:r w:rsidRPr="004E0302">
                        <w:rPr>
                          <w:rFonts w:cs="Arial"/>
                          <w:color w:val="FFFFFF"/>
                          <w:spacing w:val="5"/>
                          <w:sz w:val="20"/>
                        </w:rPr>
                        <w:t xml:space="preserve"> </w:t>
                      </w:r>
                      <w:r w:rsidRPr="004E0302">
                        <w:rPr>
                          <w:rFonts w:cs="Arial"/>
                          <w:color w:val="FFFFFF"/>
                          <w:spacing w:val="-1"/>
                          <w:sz w:val="20"/>
                        </w:rPr>
                        <w:t>on</w:t>
                      </w:r>
                      <w:r w:rsidRPr="004E0302">
                        <w:rPr>
                          <w:rFonts w:cs="Arial"/>
                          <w:color w:val="FFFFFF"/>
                          <w:sz w:val="20"/>
                        </w:rPr>
                        <w:t xml:space="preserve"> </w:t>
                      </w:r>
                      <w:r w:rsidRPr="004E0302">
                        <w:rPr>
                          <w:rFonts w:cs="Arial"/>
                          <w:color w:val="FFFFFF"/>
                          <w:spacing w:val="3"/>
                          <w:sz w:val="20"/>
                        </w:rPr>
                        <w:t xml:space="preserve"> </w:t>
                      </w:r>
                      <w:r w:rsidRPr="004E0302">
                        <w:rPr>
                          <w:rFonts w:cs="Arial"/>
                          <w:color w:val="FFFFFF"/>
                          <w:spacing w:val="-1"/>
                          <w:sz w:val="20"/>
                        </w:rPr>
                        <w:t>the</w:t>
                      </w:r>
                      <w:r w:rsidRPr="004E0302">
                        <w:rPr>
                          <w:rFonts w:cs="Arial"/>
                          <w:color w:val="FFFFFF"/>
                          <w:spacing w:val="53"/>
                          <w:w w:val="99"/>
                          <w:sz w:val="20"/>
                        </w:rPr>
                        <w:t xml:space="preserve"> </w:t>
                      </w:r>
                      <w:r w:rsidRPr="004E0302">
                        <w:rPr>
                          <w:rFonts w:cs="Arial"/>
                          <w:color w:val="FFFFFF"/>
                          <w:spacing w:val="-1"/>
                          <w:sz w:val="20"/>
                        </w:rPr>
                        <w:t>Jewish</w:t>
                      </w:r>
                      <w:r w:rsidRPr="004E0302">
                        <w:rPr>
                          <w:rFonts w:cs="Arial"/>
                          <w:color w:val="FFFFFF"/>
                          <w:spacing w:val="39"/>
                          <w:sz w:val="20"/>
                        </w:rPr>
                        <w:t xml:space="preserve"> </w:t>
                      </w:r>
                      <w:r w:rsidRPr="004E0302">
                        <w:rPr>
                          <w:rFonts w:cs="Arial"/>
                          <w:color w:val="FFFFFF"/>
                          <w:spacing w:val="-1"/>
                          <w:sz w:val="20"/>
                        </w:rPr>
                        <w:t>rest</w:t>
                      </w:r>
                      <w:r w:rsidRPr="004E0302">
                        <w:rPr>
                          <w:rFonts w:cs="Arial"/>
                          <w:color w:val="FFFFFF"/>
                          <w:spacing w:val="40"/>
                          <w:sz w:val="20"/>
                        </w:rPr>
                        <w:t xml:space="preserve"> </w:t>
                      </w:r>
                      <w:r w:rsidRPr="004E0302">
                        <w:rPr>
                          <w:rFonts w:cs="Arial"/>
                          <w:color w:val="FFFFFF"/>
                          <w:spacing w:val="-1"/>
                          <w:sz w:val="20"/>
                        </w:rPr>
                        <w:t>day?)</w:t>
                      </w:r>
                      <w:r w:rsidRPr="004E0302">
                        <w:rPr>
                          <w:rFonts w:cs="Arial"/>
                          <w:color w:val="FFFFFF"/>
                          <w:spacing w:val="39"/>
                          <w:sz w:val="20"/>
                        </w:rPr>
                        <w:t xml:space="preserve"> </w:t>
                      </w:r>
                      <w:r w:rsidRPr="004E0302">
                        <w:rPr>
                          <w:rFonts w:cs="Arial"/>
                          <w:color w:val="FFFFFF"/>
                          <w:sz w:val="20"/>
                        </w:rPr>
                        <w:t>and</w:t>
                      </w:r>
                      <w:r w:rsidRPr="004E0302">
                        <w:rPr>
                          <w:rFonts w:cs="Arial"/>
                          <w:color w:val="FFFFFF"/>
                          <w:spacing w:val="40"/>
                          <w:sz w:val="20"/>
                        </w:rPr>
                        <w:t xml:space="preserve"> </w:t>
                      </w:r>
                      <w:r w:rsidRPr="004E0302">
                        <w:rPr>
                          <w:rFonts w:cs="Arial"/>
                          <w:color w:val="FFFFFF"/>
                          <w:spacing w:val="-1"/>
                          <w:sz w:val="20"/>
                        </w:rPr>
                        <w:t>any</w:t>
                      </w:r>
                      <w:r w:rsidRPr="004E0302">
                        <w:rPr>
                          <w:rFonts w:cs="Arial"/>
                          <w:color w:val="FFFFFF"/>
                          <w:spacing w:val="40"/>
                          <w:sz w:val="20"/>
                        </w:rPr>
                        <w:t xml:space="preserve"> </w:t>
                      </w:r>
                      <w:r w:rsidRPr="004E0302">
                        <w:rPr>
                          <w:rFonts w:cs="Arial"/>
                          <w:color w:val="FFFFFF"/>
                          <w:spacing w:val="-1"/>
                          <w:sz w:val="20"/>
                        </w:rPr>
                        <w:t>costs</w:t>
                      </w:r>
                      <w:r w:rsidRPr="004E0302">
                        <w:rPr>
                          <w:rFonts w:cs="Arial"/>
                          <w:color w:val="FFFFFF"/>
                          <w:spacing w:val="40"/>
                          <w:sz w:val="20"/>
                        </w:rPr>
                        <w:t xml:space="preserve"> </w:t>
                      </w:r>
                      <w:r w:rsidRPr="004E0302">
                        <w:rPr>
                          <w:rFonts w:cs="Arial"/>
                          <w:color w:val="FFFFFF"/>
                          <w:spacing w:val="-1"/>
                          <w:sz w:val="20"/>
                        </w:rPr>
                        <w:t>implications</w:t>
                      </w:r>
                      <w:r w:rsidRPr="004E0302">
                        <w:rPr>
                          <w:rFonts w:cs="Arial"/>
                          <w:color w:val="FFFFFF"/>
                          <w:spacing w:val="42"/>
                          <w:sz w:val="20"/>
                        </w:rPr>
                        <w:t xml:space="preserve"> </w:t>
                      </w:r>
                      <w:r w:rsidRPr="004E0302">
                        <w:rPr>
                          <w:rFonts w:cs="Arial"/>
                          <w:color w:val="FFFFFF"/>
                          <w:spacing w:val="-1"/>
                          <w:sz w:val="20"/>
                        </w:rPr>
                        <w:t>for</w:t>
                      </w:r>
                      <w:r w:rsidRPr="004E0302">
                        <w:rPr>
                          <w:rFonts w:cs="Arial"/>
                          <w:color w:val="FFFFFF"/>
                          <w:spacing w:val="39"/>
                          <w:sz w:val="20"/>
                        </w:rPr>
                        <w:t xml:space="preserve"> </w:t>
                      </w:r>
                      <w:r w:rsidRPr="004E0302">
                        <w:rPr>
                          <w:rFonts w:cs="Arial"/>
                          <w:color w:val="FFFFFF"/>
                          <w:sz w:val="20"/>
                        </w:rPr>
                        <w:t>the commissioner</w:t>
                      </w:r>
                      <w:r w:rsidRPr="004E0302">
                        <w:rPr>
                          <w:rFonts w:cs="Arial"/>
                          <w:color w:val="FFFFFF"/>
                          <w:spacing w:val="-1"/>
                          <w:sz w:val="20"/>
                        </w:rPr>
                        <w:t>.</w:t>
                      </w:r>
                      <w:r w:rsidRPr="004E0302">
                        <w:rPr>
                          <w:rFonts w:cs="Arial"/>
                          <w:color w:val="FFFFFF"/>
                          <w:spacing w:val="16"/>
                          <w:sz w:val="20"/>
                        </w:rPr>
                        <w:t xml:space="preserve"> </w:t>
                      </w:r>
                      <w:r w:rsidRPr="004E0302">
                        <w:rPr>
                          <w:rFonts w:cs="Arial"/>
                          <w:color w:val="FFFFFF"/>
                          <w:sz w:val="20"/>
                        </w:rPr>
                        <w:t>An</w:t>
                      </w:r>
                      <w:r w:rsidRPr="004E0302">
                        <w:rPr>
                          <w:rFonts w:cs="Arial"/>
                          <w:color w:val="FFFFFF"/>
                          <w:spacing w:val="51"/>
                          <w:sz w:val="20"/>
                        </w:rPr>
                        <w:t xml:space="preserve"> </w:t>
                      </w:r>
                      <w:r w:rsidRPr="004E0302">
                        <w:rPr>
                          <w:rFonts w:cs="Arial"/>
                          <w:color w:val="FFFFFF"/>
                          <w:spacing w:val="-1"/>
                          <w:sz w:val="20"/>
                        </w:rPr>
                        <w:t>example</w:t>
                      </w:r>
                      <w:r w:rsidRPr="004E0302">
                        <w:rPr>
                          <w:rFonts w:cs="Arial"/>
                          <w:color w:val="FFFFFF"/>
                          <w:spacing w:val="25"/>
                          <w:sz w:val="20"/>
                        </w:rPr>
                        <w:t xml:space="preserve"> </w:t>
                      </w:r>
                      <w:r w:rsidRPr="004E0302">
                        <w:rPr>
                          <w:rFonts w:cs="Arial"/>
                          <w:color w:val="FFFFFF"/>
                          <w:spacing w:val="-1"/>
                          <w:sz w:val="20"/>
                        </w:rPr>
                        <w:t>of</w:t>
                      </w:r>
                      <w:r w:rsidRPr="004E0302">
                        <w:rPr>
                          <w:rFonts w:cs="Arial"/>
                          <w:color w:val="FFFFFF"/>
                          <w:spacing w:val="25"/>
                          <w:sz w:val="20"/>
                        </w:rPr>
                        <w:t xml:space="preserve"> </w:t>
                      </w:r>
                      <w:r w:rsidRPr="004E0302">
                        <w:rPr>
                          <w:rFonts w:cs="Arial"/>
                          <w:color w:val="FFFFFF"/>
                          <w:spacing w:val="-1"/>
                          <w:sz w:val="20"/>
                        </w:rPr>
                        <w:t>an</w:t>
                      </w:r>
                      <w:r w:rsidRPr="004E0302">
                        <w:rPr>
                          <w:rFonts w:cs="Arial"/>
                          <w:color w:val="FFFFFF"/>
                          <w:spacing w:val="26"/>
                          <w:sz w:val="20"/>
                        </w:rPr>
                        <w:t xml:space="preserve"> </w:t>
                      </w:r>
                      <w:r w:rsidRPr="004E0302">
                        <w:rPr>
                          <w:rFonts w:cs="Arial"/>
                          <w:color w:val="FFFFFF"/>
                          <w:spacing w:val="-1"/>
                          <w:sz w:val="20"/>
                        </w:rPr>
                        <w:t>irrelevant</w:t>
                      </w:r>
                      <w:r w:rsidRPr="004E0302">
                        <w:rPr>
                          <w:rFonts w:cs="Arial"/>
                          <w:color w:val="FFFFFF"/>
                          <w:spacing w:val="26"/>
                          <w:sz w:val="20"/>
                        </w:rPr>
                        <w:t xml:space="preserve"> </w:t>
                      </w:r>
                      <w:r w:rsidRPr="004E0302">
                        <w:rPr>
                          <w:rFonts w:cs="Arial"/>
                          <w:color w:val="FFFFFF"/>
                          <w:spacing w:val="-1"/>
                          <w:sz w:val="20"/>
                        </w:rPr>
                        <w:t>factor</w:t>
                      </w:r>
                      <w:r w:rsidRPr="004E0302">
                        <w:rPr>
                          <w:rFonts w:cs="Arial"/>
                          <w:color w:val="FFFFFF"/>
                          <w:spacing w:val="26"/>
                          <w:sz w:val="20"/>
                        </w:rPr>
                        <w:t xml:space="preserve"> </w:t>
                      </w:r>
                      <w:r w:rsidRPr="004E0302">
                        <w:rPr>
                          <w:rFonts w:cs="Arial"/>
                          <w:color w:val="FFFFFF"/>
                          <w:spacing w:val="-1"/>
                          <w:sz w:val="20"/>
                        </w:rPr>
                        <w:t>is</w:t>
                      </w:r>
                      <w:r w:rsidRPr="004E0302">
                        <w:rPr>
                          <w:rFonts w:cs="Arial"/>
                          <w:color w:val="FFFFFF"/>
                          <w:spacing w:val="27"/>
                          <w:sz w:val="20"/>
                        </w:rPr>
                        <w:t xml:space="preserve"> </w:t>
                      </w:r>
                      <w:r w:rsidRPr="004E0302">
                        <w:rPr>
                          <w:rFonts w:cs="Arial"/>
                          <w:color w:val="FFFFFF"/>
                          <w:spacing w:val="-1"/>
                          <w:sz w:val="20"/>
                        </w:rPr>
                        <w:t>that</w:t>
                      </w:r>
                      <w:r w:rsidRPr="004E0302">
                        <w:rPr>
                          <w:rFonts w:cs="Arial"/>
                          <w:color w:val="FFFFFF"/>
                          <w:spacing w:val="26"/>
                          <w:sz w:val="20"/>
                        </w:rPr>
                        <w:t xml:space="preserve"> </w:t>
                      </w:r>
                      <w:r w:rsidRPr="004E0302">
                        <w:rPr>
                          <w:rFonts w:cs="Arial"/>
                          <w:color w:val="FFFFFF"/>
                          <w:spacing w:val="-2"/>
                          <w:sz w:val="20"/>
                        </w:rPr>
                        <w:t>the commissioner</w:t>
                      </w:r>
                      <w:r w:rsidRPr="004E0302">
                        <w:rPr>
                          <w:rFonts w:cs="Arial"/>
                          <w:color w:val="FFFFFF"/>
                          <w:spacing w:val="25"/>
                          <w:sz w:val="20"/>
                        </w:rPr>
                        <w:t xml:space="preserve"> </w:t>
                      </w:r>
                      <w:r w:rsidRPr="004E0302">
                        <w:rPr>
                          <w:rFonts w:cs="Arial"/>
                          <w:color w:val="FFFFFF"/>
                          <w:spacing w:val="-1"/>
                          <w:sz w:val="20"/>
                        </w:rPr>
                        <w:t>has</w:t>
                      </w:r>
                      <w:r w:rsidRPr="004E0302">
                        <w:rPr>
                          <w:rFonts w:cs="Arial"/>
                          <w:color w:val="FFFFFF"/>
                          <w:spacing w:val="28"/>
                          <w:sz w:val="20"/>
                        </w:rPr>
                        <w:t xml:space="preserve"> </w:t>
                      </w:r>
                      <w:r w:rsidRPr="004E0302">
                        <w:rPr>
                          <w:rFonts w:cs="Arial"/>
                          <w:color w:val="FFFFFF"/>
                          <w:spacing w:val="-1"/>
                          <w:sz w:val="20"/>
                        </w:rPr>
                        <w:t>been</w:t>
                      </w:r>
                      <w:r w:rsidRPr="004E0302">
                        <w:rPr>
                          <w:rFonts w:cs="Arial"/>
                          <w:color w:val="FFFFFF"/>
                          <w:spacing w:val="55"/>
                          <w:sz w:val="20"/>
                        </w:rPr>
                        <w:t xml:space="preserve"> </w:t>
                      </w:r>
                      <w:r w:rsidRPr="004E0302">
                        <w:rPr>
                          <w:rFonts w:cs="Arial"/>
                          <w:color w:val="FFFFFF"/>
                          <w:spacing w:val="-1"/>
                          <w:sz w:val="20"/>
                        </w:rPr>
                        <w:t>promised</w:t>
                      </w:r>
                      <w:r w:rsidRPr="004E0302">
                        <w:rPr>
                          <w:rFonts w:cs="Arial"/>
                          <w:color w:val="FFFFFF"/>
                          <w:spacing w:val="54"/>
                          <w:sz w:val="20"/>
                        </w:rPr>
                        <w:t xml:space="preserve"> </w:t>
                      </w:r>
                      <w:r w:rsidRPr="004E0302">
                        <w:rPr>
                          <w:rFonts w:cs="Arial"/>
                          <w:color w:val="FFFFFF"/>
                          <w:spacing w:val="-1"/>
                          <w:sz w:val="20"/>
                        </w:rPr>
                        <w:t>some</w:t>
                      </w:r>
                      <w:r w:rsidRPr="004E0302">
                        <w:rPr>
                          <w:rFonts w:cs="Arial"/>
                          <w:color w:val="FFFFFF"/>
                          <w:spacing w:val="57"/>
                          <w:sz w:val="20"/>
                        </w:rPr>
                        <w:t xml:space="preserve"> </w:t>
                      </w:r>
                      <w:r w:rsidRPr="004E0302">
                        <w:rPr>
                          <w:rFonts w:cs="Arial"/>
                          <w:color w:val="FFFFFF"/>
                          <w:spacing w:val="-1"/>
                          <w:sz w:val="20"/>
                        </w:rPr>
                        <w:t>good</w:t>
                      </w:r>
                      <w:r w:rsidRPr="004E0302">
                        <w:rPr>
                          <w:rFonts w:cs="Arial"/>
                          <w:color w:val="FFFFFF"/>
                          <w:spacing w:val="57"/>
                          <w:sz w:val="20"/>
                        </w:rPr>
                        <w:t xml:space="preserve"> </w:t>
                      </w:r>
                      <w:r w:rsidRPr="004E0302">
                        <w:rPr>
                          <w:rFonts w:cs="Arial"/>
                          <w:color w:val="FFFFFF"/>
                          <w:spacing w:val="-1"/>
                          <w:sz w:val="20"/>
                        </w:rPr>
                        <w:t>publicity</w:t>
                      </w:r>
                      <w:r w:rsidRPr="004E0302">
                        <w:rPr>
                          <w:rFonts w:cs="Arial"/>
                          <w:color w:val="FFFFFF"/>
                          <w:spacing w:val="58"/>
                          <w:sz w:val="20"/>
                        </w:rPr>
                        <w:t xml:space="preserve"> </w:t>
                      </w:r>
                      <w:r w:rsidRPr="004E0302">
                        <w:rPr>
                          <w:rFonts w:cs="Arial"/>
                          <w:color w:val="FFFFFF"/>
                          <w:spacing w:val="-1"/>
                          <w:sz w:val="20"/>
                        </w:rPr>
                        <w:t>by</w:t>
                      </w:r>
                      <w:r w:rsidRPr="004E0302">
                        <w:rPr>
                          <w:rFonts w:cs="Arial"/>
                          <w:color w:val="FFFFFF"/>
                          <w:spacing w:val="56"/>
                          <w:sz w:val="20"/>
                        </w:rPr>
                        <w:t xml:space="preserve"> </w:t>
                      </w:r>
                      <w:r w:rsidRPr="004E0302">
                        <w:rPr>
                          <w:rFonts w:cs="Arial"/>
                          <w:color w:val="FFFFFF"/>
                          <w:spacing w:val="-1"/>
                          <w:sz w:val="20"/>
                        </w:rPr>
                        <w:t>the</w:t>
                      </w:r>
                      <w:r w:rsidRPr="004E0302">
                        <w:rPr>
                          <w:rFonts w:cs="Arial"/>
                          <w:color w:val="FFFFFF"/>
                          <w:spacing w:val="55"/>
                          <w:sz w:val="20"/>
                        </w:rPr>
                        <w:t xml:space="preserve"> </w:t>
                      </w:r>
                      <w:r w:rsidRPr="004E0302">
                        <w:rPr>
                          <w:rFonts w:cs="Arial"/>
                          <w:color w:val="FFFFFF"/>
                          <w:sz w:val="20"/>
                        </w:rPr>
                        <w:t>practice</w:t>
                      </w:r>
                      <w:r w:rsidRPr="004E0302">
                        <w:rPr>
                          <w:rFonts w:cs="Arial"/>
                          <w:color w:val="FFFFFF"/>
                          <w:spacing w:val="54"/>
                          <w:sz w:val="20"/>
                        </w:rPr>
                        <w:t xml:space="preserve"> </w:t>
                      </w:r>
                      <w:r w:rsidRPr="004E0302">
                        <w:rPr>
                          <w:rFonts w:cs="Arial"/>
                          <w:color w:val="FFFFFF"/>
                          <w:sz w:val="20"/>
                        </w:rPr>
                        <w:t>if</w:t>
                      </w:r>
                      <w:r w:rsidRPr="004E0302">
                        <w:rPr>
                          <w:rFonts w:cs="Arial"/>
                          <w:color w:val="FFFFFF"/>
                          <w:spacing w:val="55"/>
                          <w:sz w:val="20"/>
                        </w:rPr>
                        <w:t xml:space="preserve"> </w:t>
                      </w:r>
                      <w:r w:rsidRPr="004E0302">
                        <w:rPr>
                          <w:rFonts w:cs="Arial"/>
                          <w:color w:val="FFFFFF"/>
                          <w:spacing w:val="-1"/>
                          <w:sz w:val="20"/>
                        </w:rPr>
                        <w:t>it</w:t>
                      </w:r>
                      <w:r w:rsidRPr="004E0302">
                        <w:rPr>
                          <w:rFonts w:cs="Arial"/>
                          <w:color w:val="FFFFFF"/>
                          <w:spacing w:val="56"/>
                          <w:sz w:val="20"/>
                        </w:rPr>
                        <w:t xml:space="preserve"> </w:t>
                      </w:r>
                      <w:r w:rsidRPr="004E0302">
                        <w:rPr>
                          <w:rFonts w:cs="Arial"/>
                          <w:color w:val="FFFFFF"/>
                          <w:spacing w:val="-1"/>
                          <w:sz w:val="20"/>
                        </w:rPr>
                        <w:t>agrees</w:t>
                      </w:r>
                      <w:r w:rsidRPr="004E0302">
                        <w:rPr>
                          <w:rFonts w:cs="Arial"/>
                          <w:color w:val="FFFFFF"/>
                          <w:spacing w:val="57"/>
                          <w:sz w:val="20"/>
                        </w:rPr>
                        <w:t xml:space="preserve"> </w:t>
                      </w:r>
                      <w:r w:rsidRPr="004E0302">
                        <w:rPr>
                          <w:rFonts w:cs="Arial"/>
                          <w:color w:val="FFFFFF"/>
                          <w:sz w:val="20"/>
                        </w:rPr>
                        <w:t>to</w:t>
                      </w:r>
                      <w:r w:rsidRPr="004E0302">
                        <w:rPr>
                          <w:rFonts w:cs="Arial"/>
                          <w:color w:val="FFFFFF"/>
                          <w:spacing w:val="56"/>
                          <w:sz w:val="20"/>
                        </w:rPr>
                        <w:t xml:space="preserve"> </w:t>
                      </w:r>
                      <w:r w:rsidRPr="004E0302">
                        <w:rPr>
                          <w:rFonts w:cs="Arial"/>
                          <w:color w:val="FFFFFF"/>
                          <w:spacing w:val="-1"/>
                          <w:sz w:val="20"/>
                        </w:rPr>
                        <w:t>the</w:t>
                      </w:r>
                      <w:r w:rsidRPr="004E0302">
                        <w:rPr>
                          <w:rFonts w:cs="Arial"/>
                          <w:color w:val="FFFFFF"/>
                          <w:spacing w:val="53"/>
                          <w:w w:val="99"/>
                          <w:sz w:val="20"/>
                        </w:rPr>
                        <w:t xml:space="preserve"> </w:t>
                      </w:r>
                      <w:r w:rsidRPr="004E0302">
                        <w:rPr>
                          <w:rFonts w:cs="Arial"/>
                          <w:color w:val="FFFFFF"/>
                          <w:spacing w:val="-1"/>
                          <w:sz w:val="20"/>
                        </w:rPr>
                        <w:t>change.</w:t>
                      </w:r>
                    </w:p>
                  </w:txbxContent>
                </v:textbox>
                <w10:anchorlock/>
              </v:shape>
            </w:pict>
          </mc:Fallback>
        </mc:AlternateContent>
      </w:r>
    </w:p>
    <w:p w14:paraId="64C16916" w14:textId="77777777" w:rsidR="00DB7F92" w:rsidRPr="00DB7F92" w:rsidRDefault="00DB7F92" w:rsidP="00DB7F92">
      <w:pPr>
        <w:spacing w:before="2"/>
        <w:jc w:val="both"/>
        <w:rPr>
          <w:rFonts w:eastAsia="Segoe UI Semilight" w:cs="Arial"/>
          <w:sz w:val="20"/>
          <w:szCs w:val="20"/>
        </w:rPr>
      </w:pPr>
    </w:p>
    <w:p w14:paraId="6AE95E29" w14:textId="683F8183" w:rsidR="00DB7F92" w:rsidRPr="00DB7F92" w:rsidRDefault="00DB7F92" w:rsidP="00DD5D2D">
      <w:pPr>
        <w:pStyle w:val="Heading3"/>
        <w:jc w:val="both"/>
        <w:rPr>
          <w:lang w:eastAsia="en-GB"/>
        </w:rPr>
      </w:pPr>
      <w:r w:rsidRPr="00DB7F92">
        <w:rPr>
          <w:lang w:eastAsia="en-GB"/>
        </w:rPr>
        <w:t>The</w:t>
      </w:r>
      <w:r w:rsidRPr="00DB7F92">
        <w:rPr>
          <w:spacing w:val="33"/>
          <w:lang w:eastAsia="en-GB"/>
        </w:rPr>
        <w:t xml:space="preserve"> </w:t>
      </w:r>
      <w:r w:rsidRPr="00DB7F92">
        <w:rPr>
          <w:lang w:eastAsia="en-GB"/>
        </w:rPr>
        <w:t>reasons</w:t>
      </w:r>
      <w:r w:rsidRPr="00DB7F92">
        <w:rPr>
          <w:spacing w:val="35"/>
          <w:lang w:eastAsia="en-GB"/>
        </w:rPr>
        <w:t xml:space="preserve"> </w:t>
      </w:r>
      <w:r w:rsidRPr="00DB7F92">
        <w:rPr>
          <w:lang w:eastAsia="en-GB"/>
        </w:rPr>
        <w:t>for</w:t>
      </w:r>
      <w:r w:rsidRPr="00DB7F92">
        <w:rPr>
          <w:spacing w:val="34"/>
          <w:lang w:eastAsia="en-GB"/>
        </w:rPr>
        <w:t xml:space="preserve"> </w:t>
      </w:r>
      <w:r w:rsidRPr="00DB7F92">
        <w:rPr>
          <w:lang w:eastAsia="en-GB"/>
        </w:rPr>
        <w:t>the commissioner's</w:t>
      </w:r>
      <w:r w:rsidRPr="00DB7F92">
        <w:rPr>
          <w:spacing w:val="35"/>
          <w:lang w:eastAsia="en-GB"/>
        </w:rPr>
        <w:t xml:space="preserve"> </w:t>
      </w:r>
      <w:r w:rsidRPr="00DB7F92">
        <w:rPr>
          <w:lang w:eastAsia="en-GB"/>
        </w:rPr>
        <w:t>decisions</w:t>
      </w:r>
      <w:r w:rsidRPr="00DB7F92">
        <w:rPr>
          <w:spacing w:val="36"/>
          <w:lang w:eastAsia="en-GB"/>
        </w:rPr>
        <w:t xml:space="preserve"> </w:t>
      </w:r>
      <w:r w:rsidRPr="00DB7F92">
        <w:rPr>
          <w:lang w:eastAsia="en-GB"/>
        </w:rPr>
        <w:t>also</w:t>
      </w:r>
      <w:r w:rsidRPr="00DB7F92">
        <w:rPr>
          <w:spacing w:val="33"/>
          <w:lang w:eastAsia="en-GB"/>
        </w:rPr>
        <w:t xml:space="preserve"> </w:t>
      </w:r>
      <w:r w:rsidRPr="00DB7F92">
        <w:rPr>
          <w:lang w:eastAsia="en-GB"/>
        </w:rPr>
        <w:t>need</w:t>
      </w:r>
      <w:r w:rsidRPr="00DB7F92">
        <w:rPr>
          <w:spacing w:val="33"/>
          <w:lang w:eastAsia="en-GB"/>
        </w:rPr>
        <w:t xml:space="preserve"> </w:t>
      </w:r>
      <w:r w:rsidRPr="00DB7F92">
        <w:rPr>
          <w:lang w:eastAsia="en-GB"/>
        </w:rPr>
        <w:t>to</w:t>
      </w:r>
      <w:r w:rsidRPr="00DB7F92">
        <w:rPr>
          <w:spacing w:val="33"/>
          <w:lang w:eastAsia="en-GB"/>
        </w:rPr>
        <w:t xml:space="preserve"> </w:t>
      </w:r>
      <w:r w:rsidRPr="00DB7F92">
        <w:rPr>
          <w:lang w:eastAsia="en-GB"/>
        </w:rPr>
        <w:t>"stack</w:t>
      </w:r>
      <w:r w:rsidRPr="00DB7F92">
        <w:rPr>
          <w:spacing w:val="35"/>
          <w:lang w:eastAsia="en-GB"/>
        </w:rPr>
        <w:t xml:space="preserve"> </w:t>
      </w:r>
      <w:r w:rsidRPr="00DB7F92">
        <w:rPr>
          <w:lang w:eastAsia="en-GB"/>
        </w:rPr>
        <w:t>up".</w:t>
      </w:r>
      <w:r w:rsidRPr="00DB7F92">
        <w:rPr>
          <w:spacing w:val="5"/>
          <w:lang w:eastAsia="en-GB"/>
        </w:rPr>
        <w:t xml:space="preserve"> </w:t>
      </w:r>
      <w:r w:rsidRPr="00DB7F92">
        <w:rPr>
          <w:lang w:eastAsia="en-GB"/>
        </w:rPr>
        <w:t>It</w:t>
      </w:r>
      <w:r w:rsidRPr="00DB7F92">
        <w:rPr>
          <w:spacing w:val="36"/>
          <w:lang w:eastAsia="en-GB"/>
        </w:rPr>
        <w:t xml:space="preserve"> </w:t>
      </w:r>
      <w:r w:rsidRPr="00DB7F92">
        <w:rPr>
          <w:lang w:eastAsia="en-GB"/>
        </w:rPr>
        <w:t>is</w:t>
      </w:r>
      <w:r w:rsidRPr="00DB7F92">
        <w:rPr>
          <w:spacing w:val="50"/>
          <w:w w:val="99"/>
          <w:lang w:eastAsia="en-GB"/>
        </w:rPr>
        <w:t xml:space="preserve"> </w:t>
      </w:r>
      <w:r w:rsidRPr="00DB7F92">
        <w:rPr>
          <w:lang w:eastAsia="en-GB"/>
        </w:rPr>
        <w:t>important</w:t>
      </w:r>
      <w:r w:rsidRPr="00DB7F92">
        <w:rPr>
          <w:spacing w:val="-2"/>
          <w:lang w:eastAsia="en-GB"/>
        </w:rPr>
        <w:t xml:space="preserve"> </w:t>
      </w:r>
      <w:r w:rsidRPr="00DB7F92">
        <w:rPr>
          <w:lang w:eastAsia="en-GB"/>
        </w:rPr>
        <w:t>for</w:t>
      </w:r>
      <w:r w:rsidRPr="00DB7F92">
        <w:rPr>
          <w:spacing w:val="-2"/>
          <w:lang w:eastAsia="en-GB"/>
        </w:rPr>
        <w:t xml:space="preserve"> </w:t>
      </w:r>
      <w:r w:rsidRPr="00DB7F92">
        <w:rPr>
          <w:lang w:eastAsia="en-GB"/>
        </w:rPr>
        <w:t>the commissioner</w:t>
      </w:r>
      <w:r w:rsidRPr="00DB7F92">
        <w:rPr>
          <w:spacing w:val="-3"/>
          <w:lang w:eastAsia="en-GB"/>
        </w:rPr>
        <w:t xml:space="preserve"> </w:t>
      </w:r>
      <w:r w:rsidRPr="00DB7F92">
        <w:rPr>
          <w:lang w:eastAsia="en-GB"/>
        </w:rPr>
        <w:t>to</w:t>
      </w:r>
      <w:r w:rsidRPr="00DB7F92">
        <w:rPr>
          <w:spacing w:val="-3"/>
          <w:lang w:eastAsia="en-GB"/>
        </w:rPr>
        <w:t xml:space="preserve"> </w:t>
      </w:r>
      <w:r w:rsidRPr="00DB7F92">
        <w:rPr>
          <w:lang w:eastAsia="en-GB"/>
        </w:rPr>
        <w:t>document</w:t>
      </w:r>
      <w:r w:rsidRPr="00DB7F92">
        <w:rPr>
          <w:spacing w:val="1"/>
          <w:lang w:eastAsia="en-GB"/>
        </w:rPr>
        <w:t xml:space="preserve"> </w:t>
      </w:r>
      <w:r w:rsidRPr="00DB7F92">
        <w:rPr>
          <w:lang w:eastAsia="en-GB"/>
        </w:rPr>
        <w:t>its reasons for a</w:t>
      </w:r>
      <w:r w:rsidRPr="00DB7F92">
        <w:rPr>
          <w:spacing w:val="-2"/>
          <w:lang w:eastAsia="en-GB"/>
        </w:rPr>
        <w:t xml:space="preserve"> </w:t>
      </w:r>
      <w:r w:rsidRPr="00DB7F92">
        <w:rPr>
          <w:lang w:eastAsia="en-GB"/>
        </w:rPr>
        <w:t>decision as the commissioner</w:t>
      </w:r>
      <w:r w:rsidRPr="00DB7F92">
        <w:rPr>
          <w:spacing w:val="7"/>
          <w:lang w:eastAsia="en-GB"/>
        </w:rPr>
        <w:t xml:space="preserve"> </w:t>
      </w:r>
      <w:r w:rsidRPr="00DB7F92">
        <w:rPr>
          <w:lang w:eastAsia="en-GB"/>
        </w:rPr>
        <w:t>needs</w:t>
      </w:r>
      <w:r w:rsidRPr="00DB7F92">
        <w:rPr>
          <w:spacing w:val="8"/>
          <w:lang w:eastAsia="en-GB"/>
        </w:rPr>
        <w:t xml:space="preserve"> </w:t>
      </w:r>
      <w:r w:rsidRPr="00DB7F92">
        <w:rPr>
          <w:lang w:eastAsia="en-GB"/>
        </w:rPr>
        <w:t>not</w:t>
      </w:r>
      <w:r w:rsidRPr="00DB7F92">
        <w:rPr>
          <w:spacing w:val="9"/>
          <w:lang w:eastAsia="en-GB"/>
        </w:rPr>
        <w:t xml:space="preserve"> </w:t>
      </w:r>
      <w:r w:rsidRPr="00DB7F92">
        <w:rPr>
          <w:lang w:eastAsia="en-GB"/>
        </w:rPr>
        <w:t>only</w:t>
      </w:r>
      <w:r w:rsidRPr="00DB7F92">
        <w:rPr>
          <w:spacing w:val="8"/>
          <w:lang w:eastAsia="en-GB"/>
        </w:rPr>
        <w:t xml:space="preserve"> </w:t>
      </w:r>
      <w:r w:rsidRPr="00DB7F92">
        <w:rPr>
          <w:lang w:eastAsia="en-GB"/>
        </w:rPr>
        <w:t>to</w:t>
      </w:r>
      <w:r w:rsidRPr="00DB7F92">
        <w:rPr>
          <w:spacing w:val="8"/>
          <w:lang w:eastAsia="en-GB"/>
        </w:rPr>
        <w:t xml:space="preserve"> </w:t>
      </w:r>
      <w:r w:rsidRPr="00DB7F92">
        <w:rPr>
          <w:lang w:eastAsia="en-GB"/>
        </w:rPr>
        <w:t>act</w:t>
      </w:r>
      <w:r w:rsidRPr="00DB7F92">
        <w:rPr>
          <w:spacing w:val="8"/>
          <w:lang w:eastAsia="en-GB"/>
        </w:rPr>
        <w:t xml:space="preserve"> </w:t>
      </w:r>
      <w:r w:rsidRPr="00DB7F92">
        <w:rPr>
          <w:lang w:eastAsia="en-GB"/>
        </w:rPr>
        <w:t>reasonably</w:t>
      </w:r>
      <w:r w:rsidRPr="00DB7F92">
        <w:rPr>
          <w:spacing w:val="8"/>
          <w:lang w:eastAsia="en-GB"/>
        </w:rPr>
        <w:t xml:space="preserve"> </w:t>
      </w:r>
      <w:r w:rsidRPr="00DB7F92">
        <w:rPr>
          <w:lang w:eastAsia="en-GB"/>
        </w:rPr>
        <w:t>but</w:t>
      </w:r>
      <w:r w:rsidRPr="00DB7F92">
        <w:rPr>
          <w:spacing w:val="11"/>
          <w:lang w:eastAsia="en-GB"/>
        </w:rPr>
        <w:t xml:space="preserve"> </w:t>
      </w:r>
      <w:r w:rsidRPr="00DB7F92">
        <w:rPr>
          <w:lang w:eastAsia="en-GB"/>
        </w:rPr>
        <w:t>be</w:t>
      </w:r>
      <w:r w:rsidRPr="00DB7F92">
        <w:rPr>
          <w:spacing w:val="9"/>
          <w:lang w:eastAsia="en-GB"/>
        </w:rPr>
        <w:t xml:space="preserve"> </w:t>
      </w:r>
      <w:r w:rsidRPr="00DB7F92">
        <w:rPr>
          <w:lang w:eastAsia="en-GB"/>
        </w:rPr>
        <w:t>able</w:t>
      </w:r>
      <w:r w:rsidRPr="00DB7F92">
        <w:rPr>
          <w:spacing w:val="8"/>
          <w:lang w:eastAsia="en-GB"/>
        </w:rPr>
        <w:t xml:space="preserve"> </w:t>
      </w:r>
      <w:r w:rsidRPr="00DB7F92">
        <w:rPr>
          <w:lang w:eastAsia="en-GB"/>
        </w:rPr>
        <w:t>to</w:t>
      </w:r>
      <w:r w:rsidRPr="00DB7F92">
        <w:rPr>
          <w:spacing w:val="9"/>
          <w:lang w:eastAsia="en-GB"/>
        </w:rPr>
        <w:t xml:space="preserve"> </w:t>
      </w:r>
      <w:r w:rsidRPr="00DB7F92">
        <w:rPr>
          <w:lang w:eastAsia="en-GB"/>
        </w:rPr>
        <w:t>show</w:t>
      </w:r>
      <w:r w:rsidRPr="00DB7F92">
        <w:rPr>
          <w:spacing w:val="8"/>
          <w:lang w:eastAsia="en-GB"/>
        </w:rPr>
        <w:t xml:space="preserve"> </w:t>
      </w:r>
      <w:r w:rsidRPr="00DB7F92">
        <w:rPr>
          <w:lang w:eastAsia="en-GB"/>
        </w:rPr>
        <w:t>that</w:t>
      </w:r>
      <w:r w:rsidRPr="00DB7F92">
        <w:rPr>
          <w:spacing w:val="11"/>
          <w:lang w:eastAsia="en-GB"/>
        </w:rPr>
        <w:t xml:space="preserve"> </w:t>
      </w:r>
      <w:r w:rsidRPr="00DB7F92">
        <w:rPr>
          <w:lang w:eastAsia="en-GB"/>
        </w:rPr>
        <w:t>it</w:t>
      </w:r>
      <w:r w:rsidRPr="00DB7F92">
        <w:rPr>
          <w:spacing w:val="8"/>
          <w:lang w:eastAsia="en-GB"/>
        </w:rPr>
        <w:t xml:space="preserve"> </w:t>
      </w:r>
      <w:r w:rsidRPr="00DB7F92">
        <w:rPr>
          <w:lang w:eastAsia="en-GB"/>
        </w:rPr>
        <w:t>has</w:t>
      </w:r>
      <w:r w:rsidRPr="00DB7F92">
        <w:rPr>
          <w:spacing w:val="61"/>
          <w:lang w:eastAsia="en-GB"/>
        </w:rPr>
        <w:t xml:space="preserve"> </w:t>
      </w:r>
      <w:r w:rsidRPr="00DB7F92">
        <w:rPr>
          <w:lang w:eastAsia="en-GB"/>
        </w:rPr>
        <w:t>acted</w:t>
      </w:r>
      <w:r w:rsidRPr="00DB7F92">
        <w:rPr>
          <w:spacing w:val="57"/>
          <w:lang w:eastAsia="en-GB"/>
        </w:rPr>
        <w:t xml:space="preserve"> </w:t>
      </w:r>
      <w:r w:rsidRPr="00DB7F92">
        <w:rPr>
          <w:lang w:eastAsia="en-GB"/>
        </w:rPr>
        <w:t>reasonably</w:t>
      </w:r>
      <w:r w:rsidRPr="00DB7F92">
        <w:rPr>
          <w:spacing w:val="58"/>
          <w:lang w:eastAsia="en-GB"/>
        </w:rPr>
        <w:t xml:space="preserve"> </w:t>
      </w:r>
      <w:r w:rsidRPr="00DB7F92">
        <w:rPr>
          <w:lang w:eastAsia="en-GB"/>
        </w:rPr>
        <w:t>by</w:t>
      </w:r>
      <w:r w:rsidRPr="00DB7F92">
        <w:rPr>
          <w:spacing w:val="58"/>
          <w:lang w:eastAsia="en-GB"/>
        </w:rPr>
        <w:t xml:space="preserve"> </w:t>
      </w:r>
      <w:r w:rsidRPr="00DB7F92">
        <w:rPr>
          <w:lang w:eastAsia="en-GB"/>
        </w:rPr>
        <w:t>reference</w:t>
      </w:r>
      <w:r w:rsidRPr="00DB7F92">
        <w:rPr>
          <w:spacing w:val="58"/>
          <w:lang w:eastAsia="en-GB"/>
        </w:rPr>
        <w:t xml:space="preserve"> </w:t>
      </w:r>
      <w:r w:rsidRPr="00DB7F92">
        <w:rPr>
          <w:lang w:eastAsia="en-GB"/>
        </w:rPr>
        <w:t>to</w:t>
      </w:r>
      <w:r w:rsidRPr="00DB7F92">
        <w:rPr>
          <w:spacing w:val="57"/>
          <w:lang w:eastAsia="en-GB"/>
        </w:rPr>
        <w:t xml:space="preserve"> </w:t>
      </w:r>
      <w:r w:rsidRPr="00DB7F92">
        <w:rPr>
          <w:lang w:eastAsia="en-GB"/>
        </w:rPr>
        <w:t>contemporaneous</w:t>
      </w:r>
      <w:r w:rsidRPr="00DB7F92">
        <w:rPr>
          <w:spacing w:val="58"/>
          <w:lang w:eastAsia="en-GB"/>
        </w:rPr>
        <w:t xml:space="preserve"> </w:t>
      </w:r>
      <w:r w:rsidRPr="00DB7F92">
        <w:rPr>
          <w:lang w:eastAsia="en-GB"/>
        </w:rPr>
        <w:t>documents.</w:t>
      </w:r>
      <w:r w:rsidRPr="00DB7F92">
        <w:rPr>
          <w:spacing w:val="48"/>
          <w:lang w:eastAsia="en-GB"/>
        </w:rPr>
        <w:t xml:space="preserve"> </w:t>
      </w:r>
      <w:r w:rsidRPr="00DB7F92">
        <w:rPr>
          <w:lang w:eastAsia="en-GB"/>
        </w:rPr>
        <w:t>This</w:t>
      </w:r>
      <w:r w:rsidRPr="00DB7F92">
        <w:rPr>
          <w:spacing w:val="58"/>
          <w:w w:val="99"/>
          <w:lang w:eastAsia="en-GB"/>
        </w:rPr>
        <w:t xml:space="preserve"> </w:t>
      </w:r>
      <w:r w:rsidRPr="00DB7F92">
        <w:rPr>
          <w:lang w:eastAsia="en-GB"/>
        </w:rPr>
        <w:t>means</w:t>
      </w:r>
      <w:r w:rsidRPr="00DB7F92">
        <w:rPr>
          <w:spacing w:val="16"/>
          <w:lang w:eastAsia="en-GB"/>
        </w:rPr>
        <w:t xml:space="preserve"> </w:t>
      </w:r>
      <w:r w:rsidRPr="00DB7F92">
        <w:rPr>
          <w:lang w:eastAsia="en-GB"/>
        </w:rPr>
        <w:t>that</w:t>
      </w:r>
      <w:r w:rsidR="006C5F09">
        <w:rPr>
          <w:lang w:eastAsia="en-GB"/>
        </w:rPr>
        <w:t>,</w:t>
      </w:r>
      <w:r w:rsidRPr="00DB7F92">
        <w:rPr>
          <w:spacing w:val="17"/>
          <w:lang w:eastAsia="en-GB"/>
        </w:rPr>
        <w:t xml:space="preserve"> </w:t>
      </w:r>
      <w:r w:rsidRPr="00DB7F92">
        <w:rPr>
          <w:lang w:eastAsia="en-GB"/>
        </w:rPr>
        <w:t>particularly</w:t>
      </w:r>
      <w:r w:rsidRPr="00DB7F92">
        <w:rPr>
          <w:spacing w:val="18"/>
          <w:lang w:eastAsia="en-GB"/>
        </w:rPr>
        <w:t xml:space="preserve"> </w:t>
      </w:r>
      <w:r w:rsidRPr="00DB7F92">
        <w:rPr>
          <w:lang w:eastAsia="en-GB"/>
        </w:rPr>
        <w:t>where</w:t>
      </w:r>
      <w:r w:rsidRPr="00DB7F92">
        <w:rPr>
          <w:spacing w:val="15"/>
          <w:lang w:eastAsia="en-GB"/>
        </w:rPr>
        <w:t xml:space="preserve"> </w:t>
      </w:r>
      <w:r w:rsidRPr="00DB7F92">
        <w:rPr>
          <w:lang w:eastAsia="en-GB"/>
        </w:rPr>
        <w:t>a</w:t>
      </w:r>
      <w:r w:rsidRPr="00DB7F92">
        <w:rPr>
          <w:spacing w:val="16"/>
          <w:lang w:eastAsia="en-GB"/>
        </w:rPr>
        <w:t xml:space="preserve"> </w:t>
      </w:r>
      <w:r w:rsidRPr="00DB7F92">
        <w:rPr>
          <w:lang w:eastAsia="en-GB"/>
        </w:rPr>
        <w:t>controversial</w:t>
      </w:r>
      <w:r w:rsidRPr="00DB7F92">
        <w:rPr>
          <w:spacing w:val="17"/>
          <w:lang w:eastAsia="en-GB"/>
        </w:rPr>
        <w:t xml:space="preserve"> </w:t>
      </w:r>
      <w:r w:rsidRPr="00DB7F92">
        <w:rPr>
          <w:lang w:eastAsia="en-GB"/>
        </w:rPr>
        <w:t>decision</w:t>
      </w:r>
      <w:r w:rsidRPr="00DB7F92">
        <w:rPr>
          <w:spacing w:val="16"/>
          <w:lang w:eastAsia="en-GB"/>
        </w:rPr>
        <w:t xml:space="preserve"> </w:t>
      </w:r>
      <w:r w:rsidRPr="00DB7F92">
        <w:rPr>
          <w:lang w:eastAsia="en-GB"/>
        </w:rPr>
        <w:t>is</w:t>
      </w:r>
      <w:r w:rsidRPr="00DB7F92">
        <w:rPr>
          <w:spacing w:val="17"/>
          <w:lang w:eastAsia="en-GB"/>
        </w:rPr>
        <w:t xml:space="preserve"> </w:t>
      </w:r>
      <w:r w:rsidRPr="00DB7F92">
        <w:rPr>
          <w:lang w:eastAsia="en-GB"/>
        </w:rPr>
        <w:t>being</w:t>
      </w:r>
      <w:r w:rsidRPr="00DB7F92">
        <w:rPr>
          <w:spacing w:val="15"/>
          <w:lang w:eastAsia="en-GB"/>
        </w:rPr>
        <w:t xml:space="preserve"> </w:t>
      </w:r>
      <w:r w:rsidRPr="00DB7F92">
        <w:rPr>
          <w:lang w:eastAsia="en-GB"/>
        </w:rPr>
        <w:t>made</w:t>
      </w:r>
      <w:r w:rsidRPr="00DB7F92">
        <w:rPr>
          <w:spacing w:val="17"/>
          <w:lang w:eastAsia="en-GB"/>
        </w:rPr>
        <w:t xml:space="preserve"> </w:t>
      </w:r>
      <w:r w:rsidRPr="00DB7F92">
        <w:rPr>
          <w:lang w:eastAsia="en-GB"/>
        </w:rPr>
        <w:t>the</w:t>
      </w:r>
      <w:r w:rsidRPr="00DB7F92">
        <w:rPr>
          <w:spacing w:val="55"/>
          <w:w w:val="99"/>
          <w:lang w:eastAsia="en-GB"/>
        </w:rPr>
        <w:t xml:space="preserve"> </w:t>
      </w:r>
      <w:r w:rsidRPr="00DB7F92">
        <w:rPr>
          <w:lang w:eastAsia="en-GB"/>
        </w:rPr>
        <w:t>thinking</w:t>
      </w:r>
      <w:r w:rsidRPr="00DB7F92">
        <w:rPr>
          <w:spacing w:val="-5"/>
          <w:lang w:eastAsia="en-GB"/>
        </w:rPr>
        <w:t xml:space="preserve"> </w:t>
      </w:r>
      <w:r w:rsidRPr="00DB7F92">
        <w:rPr>
          <w:lang w:eastAsia="en-GB"/>
        </w:rPr>
        <w:t>behind</w:t>
      </w:r>
      <w:r w:rsidRPr="00DB7F92">
        <w:rPr>
          <w:spacing w:val="-7"/>
          <w:lang w:eastAsia="en-GB"/>
        </w:rPr>
        <w:t xml:space="preserve"> </w:t>
      </w:r>
      <w:r w:rsidRPr="00DB7F92">
        <w:rPr>
          <w:lang w:eastAsia="en-GB"/>
        </w:rPr>
        <w:t>the</w:t>
      </w:r>
      <w:r w:rsidRPr="00DB7F92">
        <w:rPr>
          <w:spacing w:val="-7"/>
          <w:lang w:eastAsia="en-GB"/>
        </w:rPr>
        <w:t xml:space="preserve"> </w:t>
      </w:r>
      <w:r w:rsidRPr="00DB7F92">
        <w:rPr>
          <w:lang w:eastAsia="en-GB"/>
        </w:rPr>
        <w:t>decision</w:t>
      </w:r>
      <w:r w:rsidRPr="00DB7F92">
        <w:rPr>
          <w:spacing w:val="-7"/>
          <w:lang w:eastAsia="en-GB"/>
        </w:rPr>
        <w:t xml:space="preserve"> </w:t>
      </w:r>
      <w:r w:rsidRPr="00DB7F92">
        <w:rPr>
          <w:lang w:eastAsia="en-GB"/>
        </w:rPr>
        <w:t>needs</w:t>
      </w:r>
      <w:r w:rsidRPr="00DB7F92">
        <w:rPr>
          <w:spacing w:val="-6"/>
          <w:lang w:eastAsia="en-GB"/>
        </w:rPr>
        <w:t xml:space="preserve"> </w:t>
      </w:r>
      <w:r w:rsidRPr="00DB7F92">
        <w:rPr>
          <w:lang w:eastAsia="en-GB"/>
        </w:rPr>
        <w:t>to</w:t>
      </w:r>
      <w:r w:rsidRPr="00DB7F92">
        <w:rPr>
          <w:spacing w:val="-4"/>
          <w:lang w:eastAsia="en-GB"/>
        </w:rPr>
        <w:t xml:space="preserve"> </w:t>
      </w:r>
      <w:r w:rsidRPr="00DB7F92">
        <w:rPr>
          <w:lang w:eastAsia="en-GB"/>
        </w:rPr>
        <w:t>be</w:t>
      </w:r>
      <w:r w:rsidRPr="00DB7F92">
        <w:rPr>
          <w:spacing w:val="-7"/>
          <w:lang w:eastAsia="en-GB"/>
        </w:rPr>
        <w:t xml:space="preserve"> </w:t>
      </w:r>
      <w:r w:rsidRPr="00DB7F92">
        <w:rPr>
          <w:lang w:eastAsia="en-GB"/>
        </w:rPr>
        <w:t>carefully</w:t>
      </w:r>
      <w:r w:rsidRPr="00DB7F92">
        <w:rPr>
          <w:spacing w:val="-6"/>
          <w:lang w:eastAsia="en-GB"/>
        </w:rPr>
        <w:t xml:space="preserve"> </w:t>
      </w:r>
      <w:r w:rsidRPr="00DB7F92">
        <w:rPr>
          <w:lang w:eastAsia="en-GB"/>
        </w:rPr>
        <w:t>documented.</w:t>
      </w:r>
    </w:p>
    <w:p w14:paraId="15CE3DB0" w14:textId="77777777" w:rsidR="00DB7F92" w:rsidRPr="00DB7F92" w:rsidRDefault="00DB7F92" w:rsidP="00DB7F92">
      <w:pPr>
        <w:jc w:val="both"/>
        <w:rPr>
          <w:rFonts w:eastAsia="Segoe UI Semilight" w:cs="Arial"/>
          <w:sz w:val="20"/>
          <w:szCs w:val="20"/>
        </w:rPr>
      </w:pPr>
    </w:p>
    <w:p w14:paraId="242146E8" w14:textId="77777777" w:rsidR="00DB7F92" w:rsidRPr="00DB7F92" w:rsidRDefault="00DB7F92" w:rsidP="00DB7F92">
      <w:pPr>
        <w:spacing w:before="12"/>
        <w:jc w:val="both"/>
        <w:rPr>
          <w:rFonts w:eastAsia="Segoe UI Semilight" w:cs="Arial"/>
          <w:sz w:val="20"/>
          <w:szCs w:val="20"/>
        </w:rPr>
      </w:pPr>
    </w:p>
    <w:p w14:paraId="2BA9EE13" w14:textId="7BA67F58" w:rsidR="00DB7F92" w:rsidRDefault="00D32C7A" w:rsidP="00DB7F92">
      <w:pPr>
        <w:pStyle w:val="Heading2"/>
        <w:rPr>
          <w:rFonts w:eastAsiaTheme="majorEastAsia"/>
        </w:rPr>
      </w:pPr>
      <w:bookmarkStart w:id="110" w:name="_Toc95743373"/>
      <w:r w:rsidRPr="00DB7F92">
        <w:rPr>
          <w:rFonts w:eastAsiaTheme="majorEastAsia"/>
        </w:rPr>
        <w:t>The Duty</w:t>
      </w:r>
      <w:r w:rsidRPr="00DB7F92">
        <w:rPr>
          <w:rFonts w:eastAsiaTheme="majorEastAsia"/>
          <w:spacing w:val="-4"/>
        </w:rPr>
        <w:t xml:space="preserve"> </w:t>
      </w:r>
      <w:r>
        <w:rPr>
          <w:rFonts w:eastAsiaTheme="majorEastAsia"/>
        </w:rPr>
        <w:t>t</w:t>
      </w:r>
      <w:r w:rsidRPr="00DB7F92">
        <w:rPr>
          <w:rFonts w:eastAsiaTheme="majorEastAsia"/>
        </w:rPr>
        <w:t>o</w:t>
      </w:r>
      <w:r w:rsidRPr="00DB7F92">
        <w:rPr>
          <w:rFonts w:eastAsiaTheme="majorEastAsia"/>
          <w:spacing w:val="1"/>
        </w:rPr>
        <w:t xml:space="preserve"> </w:t>
      </w:r>
      <w:r w:rsidRPr="00DB7F92">
        <w:rPr>
          <w:rFonts w:eastAsiaTheme="majorEastAsia"/>
        </w:rPr>
        <w:t>Obtain Advice</w:t>
      </w:r>
      <w:bookmarkEnd w:id="110"/>
    </w:p>
    <w:p w14:paraId="12101557" w14:textId="77777777" w:rsidR="00682EC4" w:rsidRPr="00682EC4" w:rsidRDefault="00682EC4" w:rsidP="00682EC4">
      <w:pPr>
        <w:rPr>
          <w:rFonts w:eastAsiaTheme="majorEastAsia"/>
        </w:rPr>
      </w:pPr>
    </w:p>
    <w:p w14:paraId="311F26CB" w14:textId="7B041846" w:rsidR="00DB7F92" w:rsidRPr="00DB7F92" w:rsidRDefault="00DB7F92" w:rsidP="00DD5D2D">
      <w:pPr>
        <w:pStyle w:val="Heading3"/>
        <w:jc w:val="both"/>
        <w:rPr>
          <w:lang w:eastAsia="en-GB"/>
        </w:rPr>
      </w:pPr>
      <w:r w:rsidRPr="00DB7F92">
        <w:rPr>
          <w:lang w:eastAsia="en-GB"/>
        </w:rPr>
        <w:t>A commissioner</w:t>
      </w:r>
      <w:r w:rsidRPr="00DB7F92">
        <w:rPr>
          <w:spacing w:val="32"/>
          <w:lang w:eastAsia="en-GB"/>
        </w:rPr>
        <w:t xml:space="preserve"> </w:t>
      </w:r>
      <w:r w:rsidRPr="00DB7F92">
        <w:rPr>
          <w:lang w:eastAsia="en-GB"/>
        </w:rPr>
        <w:t>has</w:t>
      </w:r>
      <w:r w:rsidRPr="00DB7F92">
        <w:rPr>
          <w:spacing w:val="33"/>
          <w:lang w:eastAsia="en-GB"/>
        </w:rPr>
        <w:t xml:space="preserve"> </w:t>
      </w:r>
      <w:r w:rsidRPr="00DB7F92">
        <w:rPr>
          <w:lang w:eastAsia="en-GB"/>
        </w:rPr>
        <w:t>a</w:t>
      </w:r>
      <w:r w:rsidRPr="00DB7F92">
        <w:rPr>
          <w:spacing w:val="35"/>
          <w:lang w:eastAsia="en-GB"/>
        </w:rPr>
        <w:t xml:space="preserve"> </w:t>
      </w:r>
      <w:r w:rsidRPr="00DB7F92">
        <w:rPr>
          <w:lang w:eastAsia="en-GB"/>
        </w:rPr>
        <w:t>duty</w:t>
      </w:r>
      <w:r w:rsidRPr="00DB7F92">
        <w:rPr>
          <w:spacing w:val="33"/>
          <w:lang w:eastAsia="en-GB"/>
        </w:rPr>
        <w:t xml:space="preserve"> </w:t>
      </w:r>
      <w:r w:rsidRPr="00DB7F92">
        <w:rPr>
          <w:lang w:eastAsia="en-GB"/>
        </w:rPr>
        <w:t>to</w:t>
      </w:r>
      <w:r w:rsidRPr="00DB7F92">
        <w:rPr>
          <w:spacing w:val="31"/>
          <w:lang w:eastAsia="en-GB"/>
        </w:rPr>
        <w:t xml:space="preserve"> </w:t>
      </w:r>
      <w:r w:rsidRPr="00DB7F92">
        <w:rPr>
          <w:lang w:eastAsia="en-GB"/>
        </w:rPr>
        <w:t>"obtain</w:t>
      </w:r>
      <w:r w:rsidRPr="00DB7F92">
        <w:rPr>
          <w:spacing w:val="33"/>
          <w:lang w:eastAsia="en-GB"/>
        </w:rPr>
        <w:t xml:space="preserve"> </w:t>
      </w:r>
      <w:r w:rsidRPr="00DB7F92">
        <w:rPr>
          <w:lang w:eastAsia="en-GB"/>
        </w:rPr>
        <w:t>appropriate</w:t>
      </w:r>
      <w:r w:rsidRPr="00DB7F92">
        <w:rPr>
          <w:spacing w:val="33"/>
          <w:lang w:eastAsia="en-GB"/>
        </w:rPr>
        <w:t xml:space="preserve"> </w:t>
      </w:r>
      <w:r w:rsidRPr="00DB7F92">
        <w:rPr>
          <w:lang w:eastAsia="en-GB"/>
        </w:rPr>
        <w:t>advice"</w:t>
      </w:r>
      <w:r w:rsidRPr="00DB7F92">
        <w:rPr>
          <w:spacing w:val="15"/>
          <w:lang w:eastAsia="en-GB"/>
        </w:rPr>
        <w:t xml:space="preserve"> </w:t>
      </w:r>
      <w:r w:rsidRPr="00DB7F92">
        <w:rPr>
          <w:lang w:eastAsia="en-GB"/>
        </w:rPr>
        <w:t>from</w:t>
      </w:r>
      <w:r w:rsidRPr="00DB7F92">
        <w:rPr>
          <w:spacing w:val="32"/>
          <w:lang w:eastAsia="en-GB"/>
        </w:rPr>
        <w:t xml:space="preserve"> </w:t>
      </w:r>
      <w:r w:rsidRPr="00DB7F92">
        <w:rPr>
          <w:lang w:eastAsia="en-GB"/>
        </w:rPr>
        <w:t>persons</w:t>
      </w:r>
      <w:r w:rsidRPr="00DB7F92">
        <w:rPr>
          <w:spacing w:val="53"/>
          <w:lang w:eastAsia="en-GB"/>
        </w:rPr>
        <w:t xml:space="preserve"> </w:t>
      </w:r>
      <w:r w:rsidRPr="00DB7F92">
        <w:rPr>
          <w:lang w:eastAsia="en-GB"/>
        </w:rPr>
        <w:t>with</w:t>
      </w:r>
      <w:r w:rsidRPr="00DB7F92">
        <w:rPr>
          <w:spacing w:val="19"/>
          <w:lang w:eastAsia="en-GB"/>
        </w:rPr>
        <w:t xml:space="preserve"> </w:t>
      </w:r>
      <w:r w:rsidRPr="00DB7F92">
        <w:rPr>
          <w:lang w:eastAsia="en-GB"/>
        </w:rPr>
        <w:t>a</w:t>
      </w:r>
      <w:r w:rsidRPr="00DB7F92">
        <w:rPr>
          <w:spacing w:val="19"/>
          <w:lang w:eastAsia="en-GB"/>
        </w:rPr>
        <w:t xml:space="preserve"> </w:t>
      </w:r>
      <w:r w:rsidRPr="00DB7F92">
        <w:rPr>
          <w:lang w:eastAsia="en-GB"/>
        </w:rPr>
        <w:t>broad</w:t>
      </w:r>
      <w:r w:rsidRPr="00DB7F92">
        <w:rPr>
          <w:spacing w:val="19"/>
          <w:lang w:eastAsia="en-GB"/>
        </w:rPr>
        <w:t xml:space="preserve"> </w:t>
      </w:r>
      <w:r w:rsidRPr="00DB7F92">
        <w:rPr>
          <w:lang w:eastAsia="en-GB"/>
        </w:rPr>
        <w:t>range</w:t>
      </w:r>
      <w:r w:rsidRPr="00DB7F92">
        <w:rPr>
          <w:spacing w:val="19"/>
          <w:lang w:eastAsia="en-GB"/>
        </w:rPr>
        <w:t xml:space="preserve"> </w:t>
      </w:r>
      <w:r w:rsidRPr="00DB7F92">
        <w:rPr>
          <w:lang w:eastAsia="en-GB"/>
        </w:rPr>
        <w:t>of</w:t>
      </w:r>
      <w:r w:rsidRPr="00DB7F92">
        <w:rPr>
          <w:spacing w:val="21"/>
          <w:lang w:eastAsia="en-GB"/>
        </w:rPr>
        <w:t xml:space="preserve"> </w:t>
      </w:r>
      <w:r w:rsidRPr="00DB7F92">
        <w:rPr>
          <w:lang w:eastAsia="en-GB"/>
        </w:rPr>
        <w:t>professional</w:t>
      </w:r>
      <w:r w:rsidRPr="00DB7F92">
        <w:rPr>
          <w:spacing w:val="19"/>
          <w:lang w:eastAsia="en-GB"/>
        </w:rPr>
        <w:t xml:space="preserve"> </w:t>
      </w:r>
      <w:r w:rsidRPr="00DB7F92">
        <w:rPr>
          <w:lang w:eastAsia="en-GB"/>
        </w:rPr>
        <w:t>expertise</w:t>
      </w:r>
      <w:r w:rsidRPr="00DB7F92">
        <w:rPr>
          <w:spacing w:val="19"/>
          <w:lang w:eastAsia="en-GB"/>
        </w:rPr>
        <w:t xml:space="preserve"> </w:t>
      </w:r>
      <w:r w:rsidRPr="00DB7F92">
        <w:rPr>
          <w:lang w:eastAsia="en-GB"/>
        </w:rPr>
        <w:t xml:space="preserve">(in respect of NHS England, see section 13J of the NHS Act 2006; and, in respect of </w:t>
      </w:r>
      <w:r w:rsidR="00B83042">
        <w:rPr>
          <w:lang w:eastAsia="en-GB"/>
        </w:rPr>
        <w:t>CCG/ICBCCGs/ICBs</w:t>
      </w:r>
      <w:r w:rsidRPr="00DB7F92">
        <w:rPr>
          <w:lang w:eastAsia="en-GB"/>
        </w:rPr>
        <w:t>, see section 14W of the NHS Act 2006)</w:t>
      </w:r>
    </w:p>
    <w:p w14:paraId="13201610" w14:textId="16680EA1" w:rsidR="00DB7F92" w:rsidRPr="00DB7F92" w:rsidRDefault="00DB7F92" w:rsidP="00DD5D2D">
      <w:pPr>
        <w:pStyle w:val="Heading3"/>
        <w:jc w:val="both"/>
        <w:rPr>
          <w:lang w:eastAsia="en-GB"/>
        </w:rPr>
      </w:pPr>
      <w:r w:rsidRPr="00DB7F92">
        <w:rPr>
          <w:lang w:eastAsia="en-GB"/>
        </w:rPr>
        <w:t>This</w:t>
      </w:r>
      <w:r w:rsidRPr="00DB7F92">
        <w:rPr>
          <w:spacing w:val="13"/>
          <w:lang w:eastAsia="en-GB"/>
        </w:rPr>
        <w:t xml:space="preserve"> </w:t>
      </w:r>
      <w:r w:rsidRPr="00DB7F92">
        <w:rPr>
          <w:lang w:eastAsia="en-GB"/>
        </w:rPr>
        <w:t>means</w:t>
      </w:r>
      <w:r w:rsidRPr="00DB7F92">
        <w:rPr>
          <w:spacing w:val="14"/>
          <w:lang w:eastAsia="en-GB"/>
        </w:rPr>
        <w:t xml:space="preserve"> </w:t>
      </w:r>
      <w:r w:rsidRPr="00DB7F92">
        <w:rPr>
          <w:lang w:eastAsia="en-GB"/>
        </w:rPr>
        <w:t>that</w:t>
      </w:r>
      <w:r w:rsidRPr="00DB7F92">
        <w:rPr>
          <w:spacing w:val="13"/>
          <w:lang w:eastAsia="en-GB"/>
        </w:rPr>
        <w:t xml:space="preserve"> </w:t>
      </w:r>
      <w:r w:rsidRPr="00DB7F92">
        <w:rPr>
          <w:lang w:eastAsia="en-GB"/>
        </w:rPr>
        <w:t>decision-makers</w:t>
      </w:r>
      <w:r w:rsidRPr="00DB7F92">
        <w:rPr>
          <w:spacing w:val="14"/>
          <w:lang w:eastAsia="en-GB"/>
        </w:rPr>
        <w:t xml:space="preserve"> </w:t>
      </w:r>
      <w:r w:rsidRPr="00DB7F92">
        <w:rPr>
          <w:lang w:eastAsia="en-GB"/>
        </w:rPr>
        <w:t>need</w:t>
      </w:r>
      <w:r w:rsidRPr="00DB7F92">
        <w:rPr>
          <w:spacing w:val="12"/>
          <w:lang w:eastAsia="en-GB"/>
        </w:rPr>
        <w:t xml:space="preserve"> </w:t>
      </w:r>
      <w:r w:rsidRPr="00DB7F92">
        <w:rPr>
          <w:lang w:eastAsia="en-GB"/>
        </w:rPr>
        <w:t>to</w:t>
      </w:r>
      <w:r w:rsidRPr="00DB7F92">
        <w:rPr>
          <w:spacing w:val="12"/>
          <w:lang w:eastAsia="en-GB"/>
        </w:rPr>
        <w:t xml:space="preserve"> </w:t>
      </w:r>
      <w:r w:rsidRPr="00DB7F92">
        <w:rPr>
          <w:lang w:eastAsia="en-GB"/>
        </w:rPr>
        <w:t>collect</w:t>
      </w:r>
      <w:r w:rsidRPr="00DB7F92">
        <w:rPr>
          <w:spacing w:val="13"/>
          <w:lang w:eastAsia="en-GB"/>
        </w:rPr>
        <w:t xml:space="preserve"> </w:t>
      </w:r>
      <w:r w:rsidRPr="00DB7F92">
        <w:rPr>
          <w:lang w:eastAsia="en-GB"/>
        </w:rPr>
        <w:t>appropriate</w:t>
      </w:r>
      <w:r w:rsidRPr="00DB7F92">
        <w:rPr>
          <w:spacing w:val="12"/>
          <w:lang w:eastAsia="en-GB"/>
        </w:rPr>
        <w:t xml:space="preserve"> </w:t>
      </w:r>
      <w:r w:rsidRPr="00DB7F92">
        <w:rPr>
          <w:lang w:eastAsia="en-GB"/>
        </w:rPr>
        <w:t>information</w:t>
      </w:r>
      <w:r w:rsidRPr="00DB7F92">
        <w:rPr>
          <w:spacing w:val="51"/>
          <w:lang w:eastAsia="en-GB"/>
        </w:rPr>
        <w:t xml:space="preserve"> </w:t>
      </w:r>
      <w:r w:rsidRPr="00DB7F92">
        <w:rPr>
          <w:lang w:eastAsia="en-GB"/>
        </w:rPr>
        <w:t>before</w:t>
      </w:r>
      <w:r w:rsidRPr="00DB7F92">
        <w:rPr>
          <w:spacing w:val="14"/>
          <w:lang w:eastAsia="en-GB"/>
        </w:rPr>
        <w:t xml:space="preserve"> </w:t>
      </w:r>
      <w:r w:rsidRPr="00DB7F92">
        <w:rPr>
          <w:lang w:eastAsia="en-GB"/>
        </w:rPr>
        <w:t>making</w:t>
      </w:r>
      <w:r w:rsidRPr="00DB7F92">
        <w:rPr>
          <w:spacing w:val="14"/>
          <w:lang w:eastAsia="en-GB"/>
        </w:rPr>
        <w:t xml:space="preserve"> </w:t>
      </w:r>
      <w:r w:rsidRPr="00DB7F92">
        <w:rPr>
          <w:lang w:eastAsia="en-GB"/>
        </w:rPr>
        <w:t xml:space="preserve">decisions. </w:t>
      </w:r>
      <w:r w:rsidRPr="00DB7F92">
        <w:rPr>
          <w:spacing w:val="29"/>
          <w:lang w:eastAsia="en-GB"/>
        </w:rPr>
        <w:t xml:space="preserve"> </w:t>
      </w:r>
      <w:r w:rsidRPr="00DB7F92">
        <w:rPr>
          <w:lang w:eastAsia="en-GB"/>
        </w:rPr>
        <w:t>If</w:t>
      </w:r>
      <w:r w:rsidRPr="00DB7F92">
        <w:rPr>
          <w:spacing w:val="15"/>
          <w:lang w:eastAsia="en-GB"/>
        </w:rPr>
        <w:t xml:space="preserve"> </w:t>
      </w:r>
      <w:r w:rsidRPr="00DB7F92">
        <w:rPr>
          <w:lang w:eastAsia="en-GB"/>
        </w:rPr>
        <w:t>the commissioner</w:t>
      </w:r>
      <w:r w:rsidRPr="00DB7F92">
        <w:rPr>
          <w:spacing w:val="14"/>
          <w:lang w:eastAsia="en-GB"/>
        </w:rPr>
        <w:t xml:space="preserve"> </w:t>
      </w:r>
      <w:r w:rsidRPr="00DB7F92">
        <w:rPr>
          <w:lang w:eastAsia="en-GB"/>
        </w:rPr>
        <w:t>does</w:t>
      </w:r>
      <w:r w:rsidRPr="00DB7F92">
        <w:rPr>
          <w:spacing w:val="16"/>
          <w:lang w:eastAsia="en-GB"/>
        </w:rPr>
        <w:t xml:space="preserve"> </w:t>
      </w:r>
      <w:r w:rsidRPr="00DB7F92">
        <w:rPr>
          <w:lang w:eastAsia="en-GB"/>
        </w:rPr>
        <w:t>not</w:t>
      </w:r>
      <w:r w:rsidRPr="00DB7F92">
        <w:rPr>
          <w:spacing w:val="15"/>
          <w:lang w:eastAsia="en-GB"/>
        </w:rPr>
        <w:t xml:space="preserve"> </w:t>
      </w:r>
      <w:r w:rsidRPr="00DB7F92">
        <w:rPr>
          <w:lang w:eastAsia="en-GB"/>
        </w:rPr>
        <w:t>have</w:t>
      </w:r>
      <w:r w:rsidRPr="00DB7F92">
        <w:rPr>
          <w:spacing w:val="14"/>
          <w:lang w:eastAsia="en-GB"/>
        </w:rPr>
        <w:t xml:space="preserve"> </w:t>
      </w:r>
      <w:r w:rsidRPr="00DB7F92">
        <w:rPr>
          <w:lang w:eastAsia="en-GB"/>
        </w:rPr>
        <w:t>the</w:t>
      </w:r>
      <w:r w:rsidRPr="00DB7F92">
        <w:rPr>
          <w:spacing w:val="14"/>
          <w:lang w:eastAsia="en-GB"/>
        </w:rPr>
        <w:t xml:space="preserve"> </w:t>
      </w:r>
      <w:r w:rsidRPr="00DB7F92">
        <w:rPr>
          <w:lang w:eastAsia="en-GB"/>
        </w:rPr>
        <w:t>information</w:t>
      </w:r>
      <w:r w:rsidRPr="00DB7F92">
        <w:rPr>
          <w:spacing w:val="57"/>
          <w:lang w:eastAsia="en-GB"/>
        </w:rPr>
        <w:t xml:space="preserve"> </w:t>
      </w:r>
      <w:r w:rsidRPr="00DB7F92">
        <w:rPr>
          <w:lang w:eastAsia="en-GB"/>
        </w:rPr>
        <w:t>it</w:t>
      </w:r>
      <w:r w:rsidRPr="00DB7F92">
        <w:rPr>
          <w:spacing w:val="10"/>
          <w:lang w:eastAsia="en-GB"/>
        </w:rPr>
        <w:t xml:space="preserve"> </w:t>
      </w:r>
      <w:r w:rsidRPr="00DB7F92">
        <w:rPr>
          <w:lang w:eastAsia="en-GB"/>
        </w:rPr>
        <w:t>needs</w:t>
      </w:r>
      <w:r w:rsidR="00D36CFD">
        <w:rPr>
          <w:lang w:eastAsia="en-GB"/>
        </w:rPr>
        <w:t>,</w:t>
      </w:r>
      <w:r w:rsidRPr="00DB7F92">
        <w:rPr>
          <w:spacing w:val="11"/>
          <w:lang w:eastAsia="en-GB"/>
        </w:rPr>
        <w:t xml:space="preserve"> </w:t>
      </w:r>
      <w:r w:rsidRPr="00DB7F92">
        <w:rPr>
          <w:lang w:eastAsia="en-GB"/>
        </w:rPr>
        <w:t>then</w:t>
      </w:r>
      <w:r w:rsidRPr="00DB7F92">
        <w:rPr>
          <w:spacing w:val="12"/>
          <w:lang w:eastAsia="en-GB"/>
        </w:rPr>
        <w:t xml:space="preserve"> </w:t>
      </w:r>
      <w:r w:rsidRPr="00DB7F92">
        <w:rPr>
          <w:lang w:eastAsia="en-GB"/>
        </w:rPr>
        <w:t>it</w:t>
      </w:r>
      <w:r w:rsidRPr="00DB7F92">
        <w:rPr>
          <w:spacing w:val="11"/>
          <w:lang w:eastAsia="en-GB"/>
        </w:rPr>
        <w:t xml:space="preserve"> </w:t>
      </w:r>
      <w:r w:rsidRPr="00DB7F92">
        <w:rPr>
          <w:lang w:eastAsia="en-GB"/>
        </w:rPr>
        <w:t>should</w:t>
      </w:r>
      <w:r w:rsidRPr="00DB7F92">
        <w:rPr>
          <w:spacing w:val="11"/>
          <w:lang w:eastAsia="en-GB"/>
        </w:rPr>
        <w:t xml:space="preserve"> </w:t>
      </w:r>
      <w:r w:rsidRPr="00DB7F92">
        <w:rPr>
          <w:lang w:eastAsia="en-GB"/>
        </w:rPr>
        <w:t>seek</w:t>
      </w:r>
      <w:r w:rsidRPr="00DB7F92">
        <w:rPr>
          <w:spacing w:val="10"/>
          <w:lang w:eastAsia="en-GB"/>
        </w:rPr>
        <w:t xml:space="preserve"> </w:t>
      </w:r>
      <w:r w:rsidRPr="00DB7F92">
        <w:rPr>
          <w:lang w:eastAsia="en-GB"/>
        </w:rPr>
        <w:t>out</w:t>
      </w:r>
      <w:r w:rsidRPr="00DB7F92">
        <w:rPr>
          <w:spacing w:val="11"/>
          <w:lang w:eastAsia="en-GB"/>
        </w:rPr>
        <w:t xml:space="preserve"> </w:t>
      </w:r>
      <w:r w:rsidRPr="00DB7F92">
        <w:rPr>
          <w:lang w:eastAsia="en-GB"/>
        </w:rPr>
        <w:t>appropriate</w:t>
      </w:r>
      <w:r w:rsidRPr="00DB7F92">
        <w:rPr>
          <w:spacing w:val="11"/>
          <w:lang w:eastAsia="en-GB"/>
        </w:rPr>
        <w:t xml:space="preserve"> </w:t>
      </w:r>
      <w:r w:rsidRPr="00DB7F92">
        <w:rPr>
          <w:lang w:eastAsia="en-GB"/>
        </w:rPr>
        <w:t>advice.</w:t>
      </w:r>
      <w:r w:rsidRPr="00DB7F92">
        <w:rPr>
          <w:spacing w:val="23"/>
          <w:lang w:eastAsia="en-GB"/>
        </w:rPr>
        <w:t xml:space="preserve"> </w:t>
      </w:r>
      <w:r w:rsidRPr="00DB7F92">
        <w:rPr>
          <w:lang w:eastAsia="en-GB"/>
        </w:rPr>
        <w:t>In</w:t>
      </w:r>
      <w:r w:rsidRPr="00DB7F92">
        <w:rPr>
          <w:spacing w:val="11"/>
          <w:lang w:eastAsia="en-GB"/>
        </w:rPr>
        <w:t xml:space="preserve"> </w:t>
      </w:r>
      <w:r w:rsidRPr="00DB7F92">
        <w:rPr>
          <w:lang w:eastAsia="en-GB"/>
        </w:rPr>
        <w:t>many</w:t>
      </w:r>
      <w:r w:rsidRPr="00DB7F92">
        <w:rPr>
          <w:spacing w:val="10"/>
          <w:lang w:eastAsia="en-GB"/>
        </w:rPr>
        <w:t xml:space="preserve"> </w:t>
      </w:r>
      <w:r w:rsidRPr="00DB7F92">
        <w:rPr>
          <w:lang w:eastAsia="en-GB"/>
        </w:rPr>
        <w:t>cases</w:t>
      </w:r>
      <w:r w:rsidR="00D36CFD">
        <w:rPr>
          <w:lang w:eastAsia="en-GB"/>
        </w:rPr>
        <w:t>,</w:t>
      </w:r>
      <w:r w:rsidRPr="00DB7F92">
        <w:rPr>
          <w:spacing w:val="13"/>
          <w:lang w:eastAsia="en-GB"/>
        </w:rPr>
        <w:t xml:space="preserve"> </w:t>
      </w:r>
      <w:r w:rsidRPr="00DB7F92">
        <w:rPr>
          <w:lang w:eastAsia="en-GB"/>
        </w:rPr>
        <w:t>it</w:t>
      </w:r>
      <w:r w:rsidRPr="00DB7F92">
        <w:rPr>
          <w:spacing w:val="14"/>
          <w:lang w:eastAsia="en-GB"/>
        </w:rPr>
        <w:t xml:space="preserve"> </w:t>
      </w:r>
      <w:r w:rsidRPr="00DB7F92">
        <w:rPr>
          <w:lang w:eastAsia="en-GB"/>
        </w:rPr>
        <w:t>will</w:t>
      </w:r>
      <w:r w:rsidRPr="00DB7F92">
        <w:rPr>
          <w:spacing w:val="68"/>
          <w:w w:val="99"/>
          <w:lang w:eastAsia="en-GB"/>
        </w:rPr>
        <w:t xml:space="preserve"> </w:t>
      </w:r>
      <w:r w:rsidRPr="00DB7F92">
        <w:rPr>
          <w:lang w:eastAsia="en-GB"/>
        </w:rPr>
        <w:t>not</w:t>
      </w:r>
      <w:r w:rsidRPr="00DB7F92">
        <w:rPr>
          <w:spacing w:val="30"/>
          <w:lang w:eastAsia="en-GB"/>
        </w:rPr>
        <w:t xml:space="preserve"> </w:t>
      </w:r>
      <w:r w:rsidRPr="00DB7F92">
        <w:rPr>
          <w:lang w:eastAsia="en-GB"/>
        </w:rPr>
        <w:t>be</w:t>
      </w:r>
      <w:r w:rsidRPr="00DB7F92">
        <w:rPr>
          <w:spacing w:val="28"/>
          <w:lang w:eastAsia="en-GB"/>
        </w:rPr>
        <w:t xml:space="preserve"> </w:t>
      </w:r>
      <w:r w:rsidRPr="00DB7F92">
        <w:rPr>
          <w:lang w:eastAsia="en-GB"/>
        </w:rPr>
        <w:t>necessary</w:t>
      </w:r>
      <w:r w:rsidRPr="00DB7F92">
        <w:rPr>
          <w:spacing w:val="30"/>
          <w:lang w:eastAsia="en-GB"/>
        </w:rPr>
        <w:t xml:space="preserve"> </w:t>
      </w:r>
      <w:r w:rsidRPr="00DB7F92">
        <w:rPr>
          <w:lang w:eastAsia="en-GB"/>
        </w:rPr>
        <w:t>to</w:t>
      </w:r>
      <w:r w:rsidRPr="00DB7F92">
        <w:rPr>
          <w:spacing w:val="28"/>
          <w:lang w:eastAsia="en-GB"/>
        </w:rPr>
        <w:t xml:space="preserve"> </w:t>
      </w:r>
      <w:r w:rsidRPr="00DB7F92">
        <w:rPr>
          <w:lang w:eastAsia="en-GB"/>
        </w:rPr>
        <w:t>do</w:t>
      </w:r>
      <w:r w:rsidRPr="00DB7F92">
        <w:rPr>
          <w:spacing w:val="29"/>
          <w:lang w:eastAsia="en-GB"/>
        </w:rPr>
        <w:t xml:space="preserve"> </w:t>
      </w:r>
      <w:r w:rsidRPr="00DB7F92">
        <w:rPr>
          <w:lang w:eastAsia="en-GB"/>
        </w:rPr>
        <w:t>this</w:t>
      </w:r>
      <w:r w:rsidRPr="00DB7F92">
        <w:rPr>
          <w:spacing w:val="30"/>
          <w:lang w:eastAsia="en-GB"/>
        </w:rPr>
        <w:t xml:space="preserve"> </w:t>
      </w:r>
      <w:r w:rsidRPr="00DB7F92">
        <w:rPr>
          <w:lang w:eastAsia="en-GB"/>
        </w:rPr>
        <w:t>as</w:t>
      </w:r>
      <w:r w:rsidRPr="00DB7F92">
        <w:rPr>
          <w:spacing w:val="30"/>
          <w:lang w:eastAsia="en-GB"/>
        </w:rPr>
        <w:t xml:space="preserve"> </w:t>
      </w:r>
      <w:r w:rsidRPr="00DB7F92">
        <w:rPr>
          <w:lang w:eastAsia="en-GB"/>
        </w:rPr>
        <w:t>all</w:t>
      </w:r>
      <w:r w:rsidRPr="00DB7F92">
        <w:rPr>
          <w:spacing w:val="28"/>
          <w:lang w:eastAsia="en-GB"/>
        </w:rPr>
        <w:t xml:space="preserve"> </w:t>
      </w:r>
      <w:r w:rsidRPr="00DB7F92">
        <w:rPr>
          <w:lang w:eastAsia="en-GB"/>
        </w:rPr>
        <w:t>the</w:t>
      </w:r>
      <w:r w:rsidRPr="00DB7F92">
        <w:rPr>
          <w:spacing w:val="28"/>
          <w:lang w:eastAsia="en-GB"/>
        </w:rPr>
        <w:t xml:space="preserve"> </w:t>
      </w:r>
      <w:r w:rsidRPr="00DB7F92">
        <w:rPr>
          <w:lang w:eastAsia="en-GB"/>
        </w:rPr>
        <w:t>necessary</w:t>
      </w:r>
      <w:r w:rsidRPr="00DB7F92">
        <w:rPr>
          <w:spacing w:val="30"/>
          <w:lang w:eastAsia="en-GB"/>
        </w:rPr>
        <w:t xml:space="preserve"> </w:t>
      </w:r>
      <w:r w:rsidRPr="00DB7F92">
        <w:rPr>
          <w:lang w:eastAsia="en-GB"/>
        </w:rPr>
        <w:t>information</w:t>
      </w:r>
      <w:r w:rsidRPr="00DB7F92">
        <w:rPr>
          <w:spacing w:val="30"/>
          <w:lang w:eastAsia="en-GB"/>
        </w:rPr>
        <w:t xml:space="preserve"> </w:t>
      </w:r>
      <w:r w:rsidRPr="00DB7F92">
        <w:rPr>
          <w:lang w:eastAsia="en-GB"/>
        </w:rPr>
        <w:t>is</w:t>
      </w:r>
      <w:r w:rsidRPr="00DB7F92">
        <w:rPr>
          <w:spacing w:val="30"/>
          <w:lang w:eastAsia="en-GB"/>
        </w:rPr>
        <w:t xml:space="preserve"> </w:t>
      </w:r>
      <w:r w:rsidRPr="00DB7F92">
        <w:rPr>
          <w:lang w:eastAsia="en-GB"/>
        </w:rPr>
        <w:t>to</w:t>
      </w:r>
      <w:r w:rsidRPr="00DB7F92">
        <w:rPr>
          <w:spacing w:val="28"/>
          <w:lang w:eastAsia="en-GB"/>
        </w:rPr>
        <w:t xml:space="preserve"> </w:t>
      </w:r>
      <w:r w:rsidRPr="00DB7F92">
        <w:rPr>
          <w:lang w:eastAsia="en-GB"/>
        </w:rPr>
        <w:t>hand.</w:t>
      </w:r>
    </w:p>
    <w:p w14:paraId="50FB0EE5" w14:textId="60408CB0" w:rsidR="00DB7F92" w:rsidRPr="00DB7F92" w:rsidRDefault="00DB7F92" w:rsidP="00DD5D2D">
      <w:pPr>
        <w:pStyle w:val="Heading3"/>
        <w:jc w:val="both"/>
        <w:rPr>
          <w:lang w:eastAsia="en-GB"/>
        </w:rPr>
      </w:pPr>
      <w:r w:rsidRPr="00DB7F92">
        <w:rPr>
          <w:lang w:eastAsia="en-GB"/>
        </w:rPr>
        <w:t>The</w:t>
      </w:r>
      <w:r w:rsidRPr="00DB7F92">
        <w:rPr>
          <w:spacing w:val="8"/>
          <w:lang w:eastAsia="en-GB"/>
        </w:rPr>
        <w:t xml:space="preserve"> </w:t>
      </w:r>
      <w:r w:rsidRPr="00DB7F92">
        <w:rPr>
          <w:lang w:eastAsia="en-GB"/>
        </w:rPr>
        <w:t>duty</w:t>
      </w:r>
      <w:r w:rsidRPr="00DB7F92">
        <w:rPr>
          <w:spacing w:val="9"/>
          <w:lang w:eastAsia="en-GB"/>
        </w:rPr>
        <w:t xml:space="preserve"> </w:t>
      </w:r>
      <w:r w:rsidRPr="00DB7F92">
        <w:rPr>
          <w:lang w:eastAsia="en-GB"/>
        </w:rPr>
        <w:t>is</w:t>
      </w:r>
      <w:r w:rsidRPr="00DB7F92">
        <w:rPr>
          <w:spacing w:val="10"/>
          <w:lang w:eastAsia="en-GB"/>
        </w:rPr>
        <w:t xml:space="preserve"> </w:t>
      </w:r>
      <w:r w:rsidRPr="00DB7F92">
        <w:rPr>
          <w:lang w:eastAsia="en-GB"/>
        </w:rPr>
        <w:t>most</w:t>
      </w:r>
      <w:r w:rsidRPr="00DB7F92">
        <w:rPr>
          <w:spacing w:val="9"/>
          <w:lang w:eastAsia="en-GB"/>
        </w:rPr>
        <w:t xml:space="preserve"> </w:t>
      </w:r>
      <w:r w:rsidRPr="00DB7F92">
        <w:rPr>
          <w:lang w:eastAsia="en-GB"/>
        </w:rPr>
        <w:t>relevant</w:t>
      </w:r>
      <w:r w:rsidRPr="00DB7F92">
        <w:rPr>
          <w:spacing w:val="9"/>
          <w:lang w:eastAsia="en-GB"/>
        </w:rPr>
        <w:t xml:space="preserve"> </w:t>
      </w:r>
      <w:r w:rsidRPr="00DB7F92">
        <w:rPr>
          <w:lang w:eastAsia="en-GB"/>
        </w:rPr>
        <w:t>to</w:t>
      </w:r>
      <w:r w:rsidRPr="00DB7F92">
        <w:rPr>
          <w:spacing w:val="9"/>
          <w:lang w:eastAsia="en-GB"/>
        </w:rPr>
        <w:t xml:space="preserve"> </w:t>
      </w:r>
      <w:r w:rsidRPr="00DB7F92">
        <w:rPr>
          <w:lang w:eastAsia="en-GB"/>
        </w:rPr>
        <w:t>strategic</w:t>
      </w:r>
      <w:r w:rsidRPr="00DB7F92">
        <w:rPr>
          <w:spacing w:val="8"/>
          <w:lang w:eastAsia="en-GB"/>
        </w:rPr>
        <w:t xml:space="preserve"> </w:t>
      </w:r>
      <w:r w:rsidRPr="00DB7F92">
        <w:rPr>
          <w:lang w:eastAsia="en-GB"/>
        </w:rPr>
        <w:t>decisions</w:t>
      </w:r>
      <w:r w:rsidRPr="00DB7F92">
        <w:rPr>
          <w:spacing w:val="10"/>
          <w:lang w:eastAsia="en-GB"/>
        </w:rPr>
        <w:t xml:space="preserve"> </w:t>
      </w:r>
      <w:r w:rsidRPr="00DB7F92">
        <w:rPr>
          <w:lang w:eastAsia="en-GB"/>
        </w:rPr>
        <w:t>taken</w:t>
      </w:r>
      <w:r w:rsidRPr="00DB7F92">
        <w:rPr>
          <w:spacing w:val="9"/>
          <w:lang w:eastAsia="en-GB"/>
        </w:rPr>
        <w:t xml:space="preserve"> </w:t>
      </w:r>
      <w:r w:rsidRPr="00DB7F92">
        <w:rPr>
          <w:lang w:eastAsia="en-GB"/>
        </w:rPr>
        <w:t>at</w:t>
      </w:r>
      <w:r w:rsidRPr="00DB7F92">
        <w:rPr>
          <w:spacing w:val="9"/>
          <w:lang w:eastAsia="en-GB"/>
        </w:rPr>
        <w:t xml:space="preserve"> </w:t>
      </w:r>
      <w:r w:rsidR="00D36CFD">
        <w:rPr>
          <w:spacing w:val="9"/>
          <w:lang w:eastAsia="en-GB"/>
        </w:rPr>
        <w:t xml:space="preserve">the </w:t>
      </w:r>
      <w:r w:rsidRPr="00DB7F92">
        <w:rPr>
          <w:lang w:eastAsia="en-GB"/>
        </w:rPr>
        <w:t>directorate</w:t>
      </w:r>
      <w:r w:rsidRPr="00DB7F92">
        <w:rPr>
          <w:spacing w:val="9"/>
          <w:lang w:eastAsia="en-GB"/>
        </w:rPr>
        <w:t xml:space="preserve"> </w:t>
      </w:r>
      <w:r w:rsidRPr="00DB7F92">
        <w:rPr>
          <w:lang w:eastAsia="en-GB"/>
        </w:rPr>
        <w:t>level within NHS England,</w:t>
      </w:r>
      <w:r w:rsidRPr="00DB7F92">
        <w:rPr>
          <w:spacing w:val="54"/>
          <w:w w:val="99"/>
          <w:lang w:eastAsia="en-GB"/>
        </w:rPr>
        <w:t xml:space="preserve"> </w:t>
      </w:r>
      <w:r w:rsidRPr="00DB7F92">
        <w:rPr>
          <w:lang w:eastAsia="en-GB"/>
        </w:rPr>
        <w:t>where</w:t>
      </w:r>
      <w:r w:rsidRPr="00DB7F92">
        <w:rPr>
          <w:spacing w:val="42"/>
          <w:lang w:eastAsia="en-GB"/>
        </w:rPr>
        <w:t xml:space="preserve"> </w:t>
      </w:r>
      <w:r w:rsidRPr="00DB7F92">
        <w:rPr>
          <w:lang w:eastAsia="en-GB"/>
        </w:rPr>
        <w:t>decision-makers</w:t>
      </w:r>
      <w:r w:rsidRPr="00DB7F92">
        <w:rPr>
          <w:spacing w:val="45"/>
          <w:lang w:eastAsia="en-GB"/>
        </w:rPr>
        <w:t xml:space="preserve"> </w:t>
      </w:r>
      <w:r w:rsidRPr="00DB7F92">
        <w:rPr>
          <w:lang w:eastAsia="en-GB"/>
        </w:rPr>
        <w:t>will</w:t>
      </w:r>
      <w:r w:rsidRPr="00DB7F92">
        <w:rPr>
          <w:spacing w:val="44"/>
          <w:lang w:eastAsia="en-GB"/>
        </w:rPr>
        <w:t xml:space="preserve"> </w:t>
      </w:r>
      <w:r w:rsidRPr="00DB7F92">
        <w:rPr>
          <w:lang w:eastAsia="en-GB"/>
        </w:rPr>
        <w:t>need</w:t>
      </w:r>
      <w:r w:rsidRPr="00DB7F92">
        <w:rPr>
          <w:spacing w:val="42"/>
          <w:lang w:eastAsia="en-GB"/>
        </w:rPr>
        <w:t xml:space="preserve"> </w:t>
      </w:r>
      <w:r w:rsidRPr="00DB7F92">
        <w:rPr>
          <w:lang w:eastAsia="en-GB"/>
        </w:rPr>
        <w:t>to</w:t>
      </w:r>
      <w:r w:rsidRPr="00DB7F92">
        <w:rPr>
          <w:spacing w:val="44"/>
          <w:lang w:eastAsia="en-GB"/>
        </w:rPr>
        <w:t xml:space="preserve"> </w:t>
      </w:r>
      <w:r w:rsidRPr="00DB7F92">
        <w:rPr>
          <w:lang w:eastAsia="en-GB"/>
        </w:rPr>
        <w:t>document</w:t>
      </w:r>
      <w:r w:rsidRPr="00DB7F92">
        <w:rPr>
          <w:spacing w:val="43"/>
          <w:lang w:eastAsia="en-GB"/>
        </w:rPr>
        <w:t xml:space="preserve"> </w:t>
      </w:r>
      <w:r w:rsidRPr="00DB7F92">
        <w:rPr>
          <w:lang w:eastAsia="en-GB"/>
        </w:rPr>
        <w:t>how</w:t>
      </w:r>
      <w:r w:rsidRPr="00DB7F92">
        <w:rPr>
          <w:spacing w:val="43"/>
          <w:lang w:eastAsia="en-GB"/>
        </w:rPr>
        <w:t xml:space="preserve"> </w:t>
      </w:r>
      <w:r w:rsidRPr="00DB7F92">
        <w:rPr>
          <w:lang w:eastAsia="en-GB"/>
        </w:rPr>
        <w:t>they</w:t>
      </w:r>
      <w:r w:rsidRPr="00DB7F92">
        <w:rPr>
          <w:spacing w:val="43"/>
          <w:lang w:eastAsia="en-GB"/>
        </w:rPr>
        <w:t xml:space="preserve"> </w:t>
      </w:r>
      <w:r w:rsidRPr="00DB7F92">
        <w:rPr>
          <w:lang w:eastAsia="en-GB"/>
        </w:rPr>
        <w:t>obtain</w:t>
      </w:r>
      <w:r w:rsidRPr="00DB7F92">
        <w:rPr>
          <w:spacing w:val="43"/>
          <w:lang w:eastAsia="en-GB"/>
        </w:rPr>
        <w:t xml:space="preserve"> </w:t>
      </w:r>
      <w:r w:rsidRPr="00DB7F92">
        <w:rPr>
          <w:lang w:eastAsia="en-GB"/>
        </w:rPr>
        <w:t>advice</w:t>
      </w:r>
      <w:r w:rsidRPr="00DB7F92">
        <w:rPr>
          <w:spacing w:val="57"/>
          <w:w w:val="99"/>
          <w:lang w:eastAsia="en-GB"/>
        </w:rPr>
        <w:t xml:space="preserve"> </w:t>
      </w:r>
      <w:r w:rsidRPr="00DB7F92">
        <w:rPr>
          <w:lang w:eastAsia="en-GB"/>
        </w:rPr>
        <w:t>from</w:t>
      </w:r>
      <w:r w:rsidRPr="00DB7F92">
        <w:rPr>
          <w:spacing w:val="65"/>
          <w:lang w:eastAsia="en-GB"/>
        </w:rPr>
        <w:t xml:space="preserve"> </w:t>
      </w:r>
      <w:r w:rsidRPr="00DB7F92">
        <w:rPr>
          <w:lang w:eastAsia="en-GB"/>
        </w:rPr>
        <w:t>those</w:t>
      </w:r>
      <w:r w:rsidRPr="00DB7F92">
        <w:rPr>
          <w:spacing w:val="65"/>
          <w:lang w:eastAsia="en-GB"/>
        </w:rPr>
        <w:t xml:space="preserve"> </w:t>
      </w:r>
      <w:r w:rsidRPr="00DB7F92">
        <w:rPr>
          <w:lang w:eastAsia="en-GB"/>
        </w:rPr>
        <w:t>with</w:t>
      </w:r>
      <w:r w:rsidRPr="00DB7F92">
        <w:rPr>
          <w:spacing w:val="65"/>
          <w:lang w:eastAsia="en-GB"/>
        </w:rPr>
        <w:t xml:space="preserve"> </w:t>
      </w:r>
      <w:r w:rsidRPr="00DB7F92">
        <w:rPr>
          <w:lang w:eastAsia="en-GB"/>
        </w:rPr>
        <w:t>professional expertise</w:t>
      </w:r>
      <w:r w:rsidRPr="00DB7F92">
        <w:rPr>
          <w:spacing w:val="65"/>
          <w:lang w:eastAsia="en-GB"/>
        </w:rPr>
        <w:t xml:space="preserve"> </w:t>
      </w:r>
      <w:r w:rsidRPr="00DB7F92">
        <w:rPr>
          <w:lang w:eastAsia="en-GB"/>
        </w:rPr>
        <w:t>(some</w:t>
      </w:r>
      <w:r w:rsidRPr="00DB7F92">
        <w:rPr>
          <w:spacing w:val="65"/>
          <w:lang w:eastAsia="en-GB"/>
        </w:rPr>
        <w:t xml:space="preserve"> </w:t>
      </w:r>
      <w:r w:rsidRPr="00DB7F92">
        <w:rPr>
          <w:lang w:eastAsia="en-GB"/>
        </w:rPr>
        <w:t>of</w:t>
      </w:r>
      <w:r w:rsidRPr="00DB7F92">
        <w:rPr>
          <w:spacing w:val="64"/>
          <w:lang w:eastAsia="en-GB"/>
        </w:rPr>
        <w:t xml:space="preserve"> </w:t>
      </w:r>
      <w:r w:rsidRPr="00DB7F92">
        <w:rPr>
          <w:lang w:eastAsia="en-GB"/>
        </w:rPr>
        <w:t>whom maybe  employees</w:t>
      </w:r>
      <w:r w:rsidRPr="00DB7F92">
        <w:rPr>
          <w:spacing w:val="-4"/>
          <w:lang w:eastAsia="en-GB"/>
        </w:rPr>
        <w:t xml:space="preserve"> </w:t>
      </w:r>
      <w:r w:rsidRPr="00DB7F92">
        <w:rPr>
          <w:lang w:eastAsia="en-GB"/>
        </w:rPr>
        <w:t>or</w:t>
      </w:r>
      <w:r w:rsidRPr="00DB7F92">
        <w:rPr>
          <w:spacing w:val="-6"/>
          <w:lang w:eastAsia="en-GB"/>
        </w:rPr>
        <w:t xml:space="preserve"> </w:t>
      </w:r>
      <w:r w:rsidRPr="00DB7F92">
        <w:rPr>
          <w:lang w:eastAsia="en-GB"/>
        </w:rPr>
        <w:t>secondees).</w:t>
      </w:r>
    </w:p>
    <w:p w14:paraId="4A77520A" w14:textId="77777777" w:rsidR="00DB7F92" w:rsidRPr="00DB7F92" w:rsidRDefault="00DB7F92" w:rsidP="00DB7F92">
      <w:pPr>
        <w:jc w:val="both"/>
        <w:rPr>
          <w:rFonts w:eastAsia="Segoe UI Semilight" w:cs="Arial"/>
          <w:sz w:val="20"/>
          <w:szCs w:val="20"/>
        </w:rPr>
      </w:pPr>
    </w:p>
    <w:p w14:paraId="5E932438" w14:textId="77777777" w:rsidR="00DB7F92" w:rsidRPr="00DB7F92" w:rsidRDefault="00DB7F92" w:rsidP="00DB7F92">
      <w:pPr>
        <w:spacing w:before="12"/>
        <w:jc w:val="both"/>
        <w:rPr>
          <w:rFonts w:eastAsia="Segoe UI Semilight" w:cs="Arial"/>
          <w:sz w:val="20"/>
          <w:szCs w:val="20"/>
        </w:rPr>
      </w:pPr>
    </w:p>
    <w:p w14:paraId="4DE16956" w14:textId="2F119A18" w:rsidR="00DB7F92" w:rsidRPr="00DB7F92" w:rsidRDefault="00D32C7A" w:rsidP="00DB7F92">
      <w:pPr>
        <w:pStyle w:val="Heading2"/>
        <w:rPr>
          <w:rFonts w:eastAsiaTheme="majorEastAsia"/>
        </w:rPr>
      </w:pPr>
      <w:bookmarkStart w:id="111" w:name="_Toc95743374"/>
      <w:r w:rsidRPr="00DB7F92">
        <w:rPr>
          <w:rFonts w:eastAsiaTheme="majorEastAsia"/>
        </w:rPr>
        <w:t>The Duty</w:t>
      </w:r>
      <w:r w:rsidRPr="00DB7F92">
        <w:rPr>
          <w:rFonts w:eastAsiaTheme="majorEastAsia"/>
          <w:spacing w:val="-4"/>
        </w:rPr>
        <w:t xml:space="preserve"> </w:t>
      </w:r>
      <w:r>
        <w:rPr>
          <w:rFonts w:eastAsiaTheme="majorEastAsia"/>
        </w:rPr>
        <w:t>t</w:t>
      </w:r>
      <w:r w:rsidRPr="00DB7F92">
        <w:rPr>
          <w:rFonts w:eastAsiaTheme="majorEastAsia"/>
        </w:rPr>
        <w:t>o</w:t>
      </w:r>
      <w:r w:rsidRPr="00DB7F92">
        <w:rPr>
          <w:rFonts w:eastAsiaTheme="majorEastAsia"/>
          <w:spacing w:val="1"/>
        </w:rPr>
        <w:t xml:space="preserve"> </w:t>
      </w:r>
      <w:r w:rsidRPr="00DB7F92">
        <w:rPr>
          <w:rFonts w:eastAsiaTheme="majorEastAsia"/>
        </w:rPr>
        <w:t>Exercise</w:t>
      </w:r>
      <w:r w:rsidRPr="00DB7F92">
        <w:rPr>
          <w:rFonts w:eastAsiaTheme="majorEastAsia"/>
          <w:spacing w:val="-3"/>
        </w:rPr>
        <w:t xml:space="preserve"> </w:t>
      </w:r>
      <w:r w:rsidRPr="00DB7F92">
        <w:rPr>
          <w:rFonts w:eastAsiaTheme="majorEastAsia"/>
        </w:rPr>
        <w:t>Functions Effectively</w:t>
      </w:r>
      <w:bookmarkEnd w:id="111"/>
    </w:p>
    <w:p w14:paraId="2C7996FE" w14:textId="26F482E2" w:rsidR="00DB7F92" w:rsidRPr="00DB7F92" w:rsidRDefault="00DB7F92" w:rsidP="00DD5D2D">
      <w:pPr>
        <w:pStyle w:val="Heading3"/>
        <w:jc w:val="both"/>
        <w:rPr>
          <w:lang w:eastAsia="en-GB"/>
        </w:rPr>
      </w:pPr>
      <w:r w:rsidRPr="00DB7F92">
        <w:rPr>
          <w:lang w:eastAsia="en-GB"/>
        </w:rPr>
        <w:t>The commissioner</w:t>
      </w:r>
      <w:r w:rsidRPr="00DB7F92">
        <w:rPr>
          <w:spacing w:val="32"/>
          <w:lang w:eastAsia="en-GB"/>
        </w:rPr>
        <w:t xml:space="preserve"> </w:t>
      </w:r>
      <w:r w:rsidRPr="00DB7F92">
        <w:rPr>
          <w:lang w:eastAsia="en-GB"/>
        </w:rPr>
        <w:t>has</w:t>
      </w:r>
      <w:r w:rsidRPr="00DB7F92">
        <w:rPr>
          <w:spacing w:val="33"/>
          <w:lang w:eastAsia="en-GB"/>
        </w:rPr>
        <w:t xml:space="preserve"> </w:t>
      </w:r>
      <w:r w:rsidRPr="00DB7F92">
        <w:rPr>
          <w:lang w:eastAsia="en-GB"/>
        </w:rPr>
        <w:t>a</w:t>
      </w:r>
      <w:r w:rsidRPr="00DB7F92">
        <w:rPr>
          <w:spacing w:val="32"/>
          <w:lang w:eastAsia="en-GB"/>
        </w:rPr>
        <w:t xml:space="preserve"> </w:t>
      </w:r>
      <w:r w:rsidRPr="00DB7F92">
        <w:rPr>
          <w:lang w:eastAsia="en-GB"/>
        </w:rPr>
        <w:t>duty</w:t>
      </w:r>
      <w:r w:rsidRPr="00DB7F92">
        <w:rPr>
          <w:spacing w:val="33"/>
          <w:lang w:eastAsia="en-GB"/>
        </w:rPr>
        <w:t xml:space="preserve"> </w:t>
      </w:r>
      <w:r w:rsidRPr="00DB7F92">
        <w:rPr>
          <w:lang w:eastAsia="en-GB"/>
        </w:rPr>
        <w:t>to</w:t>
      </w:r>
      <w:r w:rsidRPr="00DB7F92">
        <w:rPr>
          <w:spacing w:val="31"/>
          <w:lang w:eastAsia="en-GB"/>
        </w:rPr>
        <w:t xml:space="preserve"> </w:t>
      </w:r>
      <w:r w:rsidRPr="00DB7F92">
        <w:rPr>
          <w:lang w:eastAsia="en-GB"/>
        </w:rPr>
        <w:t>exercise</w:t>
      </w:r>
      <w:r w:rsidRPr="00DB7F92">
        <w:rPr>
          <w:spacing w:val="32"/>
          <w:lang w:eastAsia="en-GB"/>
        </w:rPr>
        <w:t xml:space="preserve"> </w:t>
      </w:r>
      <w:r w:rsidRPr="00DB7F92">
        <w:rPr>
          <w:lang w:eastAsia="en-GB"/>
        </w:rPr>
        <w:t>its</w:t>
      </w:r>
      <w:r w:rsidRPr="00DB7F92">
        <w:rPr>
          <w:spacing w:val="33"/>
          <w:lang w:eastAsia="en-GB"/>
        </w:rPr>
        <w:t xml:space="preserve"> </w:t>
      </w:r>
      <w:r w:rsidRPr="00DB7F92">
        <w:rPr>
          <w:lang w:eastAsia="en-GB"/>
        </w:rPr>
        <w:t>functions</w:t>
      </w:r>
      <w:r w:rsidRPr="00DB7F92">
        <w:rPr>
          <w:spacing w:val="34"/>
          <w:lang w:eastAsia="en-GB"/>
        </w:rPr>
        <w:t xml:space="preserve"> </w:t>
      </w:r>
      <w:r w:rsidRPr="00DB7F92">
        <w:rPr>
          <w:lang w:eastAsia="en-GB"/>
        </w:rPr>
        <w:t>effectively,</w:t>
      </w:r>
      <w:r w:rsidRPr="00DB7F92">
        <w:rPr>
          <w:spacing w:val="32"/>
          <w:lang w:eastAsia="en-GB"/>
        </w:rPr>
        <w:t xml:space="preserve"> </w:t>
      </w:r>
      <w:r w:rsidRPr="00DB7F92">
        <w:rPr>
          <w:lang w:eastAsia="en-GB"/>
        </w:rPr>
        <w:t>efficiently</w:t>
      </w:r>
      <w:r w:rsidRPr="00DB7F92">
        <w:rPr>
          <w:spacing w:val="53"/>
          <w:w w:val="99"/>
          <w:lang w:eastAsia="en-GB"/>
        </w:rPr>
        <w:t xml:space="preserve"> </w:t>
      </w:r>
      <w:r w:rsidRPr="00DB7F92">
        <w:rPr>
          <w:lang w:eastAsia="en-GB"/>
        </w:rPr>
        <w:t>and</w:t>
      </w:r>
      <w:r w:rsidRPr="00DB7F92">
        <w:rPr>
          <w:spacing w:val="-5"/>
          <w:lang w:eastAsia="en-GB"/>
        </w:rPr>
        <w:t xml:space="preserve"> </w:t>
      </w:r>
      <w:r w:rsidRPr="00DB7F92">
        <w:rPr>
          <w:lang w:eastAsia="en-GB"/>
        </w:rPr>
        <w:t>economically</w:t>
      </w:r>
      <w:r w:rsidRPr="00DB7F92">
        <w:rPr>
          <w:spacing w:val="-24"/>
          <w:lang w:eastAsia="en-GB"/>
        </w:rPr>
        <w:t xml:space="preserve"> </w:t>
      </w:r>
      <w:r w:rsidRPr="00DB7F92">
        <w:rPr>
          <w:lang w:eastAsia="en-GB"/>
        </w:rPr>
        <w:t>(in respect of NHS England, see</w:t>
      </w:r>
      <w:r w:rsidRPr="00DB7F92">
        <w:rPr>
          <w:spacing w:val="-5"/>
          <w:lang w:eastAsia="en-GB"/>
        </w:rPr>
        <w:t xml:space="preserve"> </w:t>
      </w:r>
      <w:r w:rsidRPr="00DB7F92">
        <w:rPr>
          <w:lang w:eastAsia="en-GB"/>
        </w:rPr>
        <w:t>section</w:t>
      </w:r>
      <w:r w:rsidRPr="00DB7F92">
        <w:rPr>
          <w:spacing w:val="-2"/>
          <w:lang w:eastAsia="en-GB"/>
        </w:rPr>
        <w:t xml:space="preserve"> </w:t>
      </w:r>
      <w:r w:rsidRPr="00DB7F92">
        <w:rPr>
          <w:lang w:eastAsia="en-GB"/>
        </w:rPr>
        <w:t>13D</w:t>
      </w:r>
      <w:r w:rsidRPr="00DB7F92">
        <w:rPr>
          <w:spacing w:val="-4"/>
          <w:lang w:eastAsia="en-GB"/>
        </w:rPr>
        <w:t xml:space="preserve"> </w:t>
      </w:r>
      <w:r w:rsidRPr="00DB7F92">
        <w:rPr>
          <w:lang w:eastAsia="en-GB"/>
        </w:rPr>
        <w:t>of</w:t>
      </w:r>
      <w:r w:rsidRPr="00DB7F92">
        <w:rPr>
          <w:spacing w:val="-6"/>
          <w:lang w:eastAsia="en-GB"/>
        </w:rPr>
        <w:t xml:space="preserve"> </w:t>
      </w:r>
      <w:r w:rsidRPr="00DB7F92">
        <w:rPr>
          <w:lang w:eastAsia="en-GB"/>
        </w:rPr>
        <w:t>the</w:t>
      </w:r>
      <w:r w:rsidRPr="00DB7F92">
        <w:rPr>
          <w:spacing w:val="-4"/>
          <w:lang w:eastAsia="en-GB"/>
        </w:rPr>
        <w:t xml:space="preserve"> </w:t>
      </w:r>
      <w:r w:rsidRPr="00DB7F92">
        <w:rPr>
          <w:lang w:eastAsia="en-GB"/>
        </w:rPr>
        <w:t>NHS</w:t>
      </w:r>
      <w:r w:rsidRPr="00DB7F92">
        <w:rPr>
          <w:spacing w:val="-3"/>
          <w:lang w:eastAsia="en-GB"/>
        </w:rPr>
        <w:t xml:space="preserve"> </w:t>
      </w:r>
      <w:r w:rsidRPr="00DB7F92">
        <w:rPr>
          <w:lang w:eastAsia="en-GB"/>
        </w:rPr>
        <w:t>Act</w:t>
      </w:r>
      <w:r w:rsidRPr="00DB7F92">
        <w:rPr>
          <w:spacing w:val="-4"/>
          <w:lang w:eastAsia="en-GB"/>
        </w:rPr>
        <w:t xml:space="preserve"> </w:t>
      </w:r>
      <w:r w:rsidRPr="00DB7F92">
        <w:rPr>
          <w:lang w:eastAsia="en-GB"/>
        </w:rPr>
        <w:t xml:space="preserve">2006; and, in respect of </w:t>
      </w:r>
      <w:r w:rsidR="00B83042">
        <w:rPr>
          <w:lang w:eastAsia="en-GB"/>
        </w:rPr>
        <w:t>CCG/ICBCCGs/ICBs</w:t>
      </w:r>
      <w:r w:rsidRPr="00DB7F92">
        <w:rPr>
          <w:lang w:eastAsia="en-GB"/>
        </w:rPr>
        <w:t>, see section 14Q of the NHS Act 2006</w:t>
      </w:r>
      <w:r w:rsidR="00D26A9F" w:rsidRPr="00DB7F92">
        <w:rPr>
          <w:lang w:eastAsia="en-GB"/>
        </w:rPr>
        <w:t>).</w:t>
      </w:r>
    </w:p>
    <w:p w14:paraId="4FA25D2C" w14:textId="77777777" w:rsidR="00DB7F92" w:rsidRPr="00DB7F92" w:rsidRDefault="00DB7F92" w:rsidP="00DB7F92">
      <w:pPr>
        <w:widowControl w:val="0"/>
        <w:tabs>
          <w:tab w:val="left" w:pos="1559"/>
        </w:tabs>
        <w:spacing w:before="12" w:after="120"/>
        <w:ind w:right="114"/>
        <w:jc w:val="both"/>
        <w:rPr>
          <w:rFonts w:cs="Arial"/>
          <w:bCs w:val="0"/>
          <w:sz w:val="20"/>
          <w:szCs w:val="20"/>
          <w:lang w:eastAsia="en-GB"/>
        </w:rPr>
      </w:pPr>
    </w:p>
    <w:p w14:paraId="7E34257F" w14:textId="146CA50D" w:rsidR="00DB7F92" w:rsidRPr="00682EC4" w:rsidRDefault="00DB7F92" w:rsidP="00DB7F92">
      <w:pPr>
        <w:pStyle w:val="Heading3"/>
        <w:jc w:val="both"/>
        <w:rPr>
          <w:rFonts w:eastAsia="Segoe UI Semilight" w:cs="Arial"/>
          <w:sz w:val="20"/>
          <w:szCs w:val="20"/>
        </w:rPr>
      </w:pPr>
      <w:r w:rsidRPr="00DB7F92">
        <w:rPr>
          <w:lang w:eastAsia="en-GB"/>
        </w:rPr>
        <w:t>This</w:t>
      </w:r>
      <w:r w:rsidRPr="00682EC4">
        <w:rPr>
          <w:spacing w:val="36"/>
          <w:lang w:eastAsia="en-GB"/>
        </w:rPr>
        <w:t xml:space="preserve"> </w:t>
      </w:r>
      <w:r w:rsidRPr="00DB7F92">
        <w:rPr>
          <w:lang w:eastAsia="en-GB"/>
        </w:rPr>
        <w:t>is</w:t>
      </w:r>
      <w:r w:rsidRPr="00682EC4">
        <w:rPr>
          <w:spacing w:val="37"/>
          <w:lang w:eastAsia="en-GB"/>
        </w:rPr>
        <w:t xml:space="preserve"> </w:t>
      </w:r>
      <w:r w:rsidRPr="00DB7F92">
        <w:rPr>
          <w:lang w:eastAsia="en-GB"/>
        </w:rPr>
        <w:t>a</w:t>
      </w:r>
      <w:r w:rsidRPr="00682EC4">
        <w:rPr>
          <w:spacing w:val="36"/>
          <w:lang w:eastAsia="en-GB"/>
        </w:rPr>
        <w:t xml:space="preserve"> </w:t>
      </w:r>
      <w:r w:rsidRPr="00DB7F92">
        <w:rPr>
          <w:lang w:eastAsia="en-GB"/>
        </w:rPr>
        <w:t>statutory</w:t>
      </w:r>
      <w:r w:rsidRPr="00682EC4">
        <w:rPr>
          <w:spacing w:val="37"/>
          <w:lang w:eastAsia="en-GB"/>
        </w:rPr>
        <w:t xml:space="preserve"> </w:t>
      </w:r>
      <w:r w:rsidRPr="00DB7F92">
        <w:rPr>
          <w:lang w:eastAsia="en-GB"/>
        </w:rPr>
        <w:t>reformulation</w:t>
      </w:r>
      <w:r w:rsidRPr="00682EC4">
        <w:rPr>
          <w:spacing w:val="39"/>
          <w:lang w:eastAsia="en-GB"/>
        </w:rPr>
        <w:t xml:space="preserve"> </w:t>
      </w:r>
      <w:r w:rsidRPr="00DB7F92">
        <w:rPr>
          <w:lang w:eastAsia="en-GB"/>
        </w:rPr>
        <w:t>of</w:t>
      </w:r>
      <w:r w:rsidRPr="00682EC4">
        <w:rPr>
          <w:spacing w:val="36"/>
          <w:lang w:eastAsia="en-GB"/>
        </w:rPr>
        <w:t xml:space="preserve"> </w:t>
      </w:r>
      <w:r w:rsidRPr="00DB7F92">
        <w:rPr>
          <w:lang w:eastAsia="en-GB"/>
        </w:rPr>
        <w:t>a</w:t>
      </w:r>
      <w:r w:rsidRPr="00682EC4">
        <w:rPr>
          <w:spacing w:val="39"/>
          <w:lang w:eastAsia="en-GB"/>
        </w:rPr>
        <w:t xml:space="preserve"> </w:t>
      </w:r>
      <w:r w:rsidRPr="00DB7F92">
        <w:rPr>
          <w:lang w:eastAsia="en-GB"/>
        </w:rPr>
        <w:t>duty</w:t>
      </w:r>
      <w:r w:rsidRPr="00682EC4">
        <w:rPr>
          <w:spacing w:val="37"/>
          <w:lang w:eastAsia="en-GB"/>
        </w:rPr>
        <w:t xml:space="preserve"> </w:t>
      </w:r>
      <w:r w:rsidRPr="00DB7F92">
        <w:rPr>
          <w:lang w:eastAsia="en-GB"/>
        </w:rPr>
        <w:t>that</w:t>
      </w:r>
      <w:r w:rsidRPr="00682EC4">
        <w:rPr>
          <w:spacing w:val="37"/>
          <w:lang w:eastAsia="en-GB"/>
        </w:rPr>
        <w:t xml:space="preserve"> </w:t>
      </w:r>
      <w:r w:rsidRPr="00DB7F92">
        <w:rPr>
          <w:lang w:eastAsia="en-GB"/>
        </w:rPr>
        <w:t>has</w:t>
      </w:r>
      <w:r w:rsidRPr="00682EC4">
        <w:rPr>
          <w:spacing w:val="37"/>
          <w:lang w:eastAsia="en-GB"/>
        </w:rPr>
        <w:t xml:space="preserve"> </w:t>
      </w:r>
      <w:r w:rsidRPr="00DB7F92">
        <w:rPr>
          <w:lang w:eastAsia="en-GB"/>
        </w:rPr>
        <w:t>been</w:t>
      </w:r>
      <w:r w:rsidRPr="00682EC4">
        <w:rPr>
          <w:spacing w:val="37"/>
          <w:lang w:eastAsia="en-GB"/>
        </w:rPr>
        <w:t xml:space="preserve"> </w:t>
      </w:r>
      <w:r w:rsidRPr="00DB7F92">
        <w:rPr>
          <w:lang w:eastAsia="en-GB"/>
        </w:rPr>
        <w:t>contained</w:t>
      </w:r>
      <w:r w:rsidRPr="00682EC4">
        <w:rPr>
          <w:spacing w:val="38"/>
          <w:lang w:eastAsia="en-GB"/>
        </w:rPr>
        <w:t xml:space="preserve"> </w:t>
      </w:r>
      <w:r w:rsidRPr="00DB7F92">
        <w:rPr>
          <w:lang w:eastAsia="en-GB"/>
        </w:rPr>
        <w:t>for</w:t>
      </w:r>
      <w:r w:rsidRPr="00682EC4">
        <w:rPr>
          <w:spacing w:val="57"/>
          <w:w w:val="99"/>
          <w:lang w:eastAsia="en-GB"/>
        </w:rPr>
        <w:t xml:space="preserve"> </w:t>
      </w:r>
      <w:r w:rsidRPr="00DB7F92">
        <w:rPr>
          <w:lang w:eastAsia="en-GB"/>
        </w:rPr>
        <w:t>many</w:t>
      </w:r>
      <w:r w:rsidRPr="00682EC4">
        <w:rPr>
          <w:spacing w:val="53"/>
          <w:lang w:eastAsia="en-GB"/>
        </w:rPr>
        <w:t xml:space="preserve"> </w:t>
      </w:r>
      <w:r w:rsidRPr="00DB7F92">
        <w:rPr>
          <w:lang w:eastAsia="en-GB"/>
        </w:rPr>
        <w:t>years</w:t>
      </w:r>
      <w:r w:rsidRPr="00682EC4">
        <w:rPr>
          <w:spacing w:val="54"/>
          <w:lang w:eastAsia="en-GB"/>
        </w:rPr>
        <w:t xml:space="preserve"> </w:t>
      </w:r>
      <w:r w:rsidRPr="00DB7F92">
        <w:rPr>
          <w:lang w:eastAsia="en-GB"/>
        </w:rPr>
        <w:t>in</w:t>
      </w:r>
      <w:r w:rsidRPr="00682EC4">
        <w:rPr>
          <w:spacing w:val="56"/>
          <w:lang w:eastAsia="en-GB"/>
        </w:rPr>
        <w:t xml:space="preserve"> </w:t>
      </w:r>
      <w:r w:rsidRPr="00DB7F92">
        <w:rPr>
          <w:lang w:eastAsia="en-GB"/>
        </w:rPr>
        <w:t>Managing</w:t>
      </w:r>
      <w:r w:rsidRPr="00682EC4">
        <w:rPr>
          <w:spacing w:val="52"/>
          <w:lang w:eastAsia="en-GB"/>
        </w:rPr>
        <w:t xml:space="preserve"> </w:t>
      </w:r>
      <w:r w:rsidRPr="00DB7F92">
        <w:rPr>
          <w:lang w:eastAsia="en-GB"/>
        </w:rPr>
        <w:t>Public</w:t>
      </w:r>
      <w:r w:rsidRPr="00682EC4">
        <w:rPr>
          <w:spacing w:val="53"/>
          <w:lang w:eastAsia="en-GB"/>
        </w:rPr>
        <w:t xml:space="preserve"> </w:t>
      </w:r>
      <w:r w:rsidRPr="00DB7F92">
        <w:rPr>
          <w:lang w:eastAsia="en-GB"/>
        </w:rPr>
        <w:t>Money</w:t>
      </w:r>
      <w:r w:rsidRPr="00682EC4">
        <w:rPr>
          <w:spacing w:val="56"/>
          <w:lang w:eastAsia="en-GB"/>
        </w:rPr>
        <w:t xml:space="preserve"> </w:t>
      </w:r>
      <w:r w:rsidRPr="00DB7F92">
        <w:rPr>
          <w:lang w:eastAsia="en-GB"/>
        </w:rPr>
        <w:t>and</w:t>
      </w:r>
      <w:r w:rsidRPr="00682EC4">
        <w:rPr>
          <w:spacing w:val="55"/>
          <w:lang w:eastAsia="en-GB"/>
        </w:rPr>
        <w:t xml:space="preserve"> </w:t>
      </w:r>
      <w:r w:rsidRPr="00DB7F92">
        <w:rPr>
          <w:lang w:eastAsia="en-GB"/>
        </w:rPr>
        <w:t>its</w:t>
      </w:r>
      <w:r w:rsidRPr="00682EC4">
        <w:rPr>
          <w:spacing w:val="54"/>
          <w:lang w:eastAsia="en-GB"/>
        </w:rPr>
        <w:t xml:space="preserve"> </w:t>
      </w:r>
      <w:r w:rsidRPr="00DB7F92">
        <w:rPr>
          <w:lang w:eastAsia="en-GB"/>
        </w:rPr>
        <w:t>predecessors.</w:t>
      </w:r>
      <w:r w:rsidRPr="00682EC4">
        <w:rPr>
          <w:spacing w:val="41"/>
          <w:lang w:eastAsia="en-GB"/>
        </w:rPr>
        <w:t xml:space="preserve"> </w:t>
      </w:r>
      <w:r w:rsidRPr="00DB7F92">
        <w:rPr>
          <w:lang w:eastAsia="en-GB"/>
        </w:rPr>
        <w:t>If</w:t>
      </w:r>
      <w:r w:rsidRPr="00682EC4">
        <w:rPr>
          <w:spacing w:val="55"/>
          <w:lang w:eastAsia="en-GB"/>
        </w:rPr>
        <w:t xml:space="preserve"> </w:t>
      </w:r>
      <w:r w:rsidRPr="00DB7F92">
        <w:rPr>
          <w:lang w:eastAsia="en-GB"/>
        </w:rPr>
        <w:t>the commissioner</w:t>
      </w:r>
      <w:r w:rsidRPr="00682EC4">
        <w:rPr>
          <w:spacing w:val="57"/>
          <w:lang w:eastAsia="en-GB"/>
        </w:rPr>
        <w:t xml:space="preserve"> </w:t>
      </w:r>
      <w:r w:rsidRPr="00DB7F92">
        <w:rPr>
          <w:lang w:eastAsia="en-GB"/>
        </w:rPr>
        <w:t>has complied with</w:t>
      </w:r>
      <w:r w:rsidRPr="00682EC4">
        <w:rPr>
          <w:spacing w:val="-3"/>
          <w:lang w:eastAsia="en-GB"/>
        </w:rPr>
        <w:t xml:space="preserve"> </w:t>
      </w:r>
      <w:r w:rsidRPr="00DB7F92">
        <w:rPr>
          <w:lang w:eastAsia="en-GB"/>
        </w:rPr>
        <w:t>the</w:t>
      </w:r>
      <w:r w:rsidRPr="00682EC4">
        <w:rPr>
          <w:spacing w:val="-3"/>
          <w:lang w:eastAsia="en-GB"/>
        </w:rPr>
        <w:t xml:space="preserve"> </w:t>
      </w:r>
      <w:r w:rsidRPr="00DB7F92">
        <w:rPr>
          <w:lang w:eastAsia="en-GB"/>
        </w:rPr>
        <w:t>other</w:t>
      </w:r>
      <w:r w:rsidRPr="00682EC4">
        <w:rPr>
          <w:spacing w:val="-2"/>
          <w:lang w:eastAsia="en-GB"/>
        </w:rPr>
        <w:t xml:space="preserve"> </w:t>
      </w:r>
      <w:r w:rsidRPr="00DB7F92">
        <w:rPr>
          <w:lang w:eastAsia="en-GB"/>
        </w:rPr>
        <w:t>duties in</w:t>
      </w:r>
      <w:r w:rsidRPr="00682EC4">
        <w:rPr>
          <w:spacing w:val="-3"/>
          <w:lang w:eastAsia="en-GB"/>
        </w:rPr>
        <w:t xml:space="preserve"> </w:t>
      </w:r>
      <w:r w:rsidRPr="00DB7F92">
        <w:rPr>
          <w:lang w:eastAsia="en-GB"/>
        </w:rPr>
        <w:t>this guidance</w:t>
      </w:r>
      <w:r w:rsidRPr="00682EC4">
        <w:rPr>
          <w:spacing w:val="-3"/>
          <w:lang w:eastAsia="en-GB"/>
        </w:rPr>
        <w:t xml:space="preserve"> </w:t>
      </w:r>
      <w:r w:rsidRPr="00DB7F92">
        <w:rPr>
          <w:lang w:eastAsia="en-GB"/>
        </w:rPr>
        <w:t>–</w:t>
      </w:r>
      <w:r w:rsidRPr="00682EC4">
        <w:rPr>
          <w:spacing w:val="-2"/>
          <w:lang w:eastAsia="en-GB"/>
        </w:rPr>
        <w:t xml:space="preserve"> </w:t>
      </w:r>
      <w:r w:rsidRPr="00DB7F92">
        <w:rPr>
          <w:lang w:eastAsia="en-GB"/>
        </w:rPr>
        <w:t>in</w:t>
      </w:r>
      <w:r w:rsidRPr="00682EC4">
        <w:rPr>
          <w:spacing w:val="-3"/>
          <w:lang w:eastAsia="en-GB"/>
        </w:rPr>
        <w:t xml:space="preserve"> </w:t>
      </w:r>
      <w:r w:rsidRPr="00DB7F92">
        <w:rPr>
          <w:lang w:eastAsia="en-GB"/>
        </w:rPr>
        <w:t>particular</w:t>
      </w:r>
      <w:r w:rsidR="00D36CFD">
        <w:rPr>
          <w:lang w:eastAsia="en-GB"/>
        </w:rPr>
        <w:t>,</w:t>
      </w:r>
      <w:r w:rsidRPr="00682EC4">
        <w:rPr>
          <w:spacing w:val="59"/>
          <w:w w:val="99"/>
          <w:lang w:eastAsia="en-GB"/>
        </w:rPr>
        <w:t xml:space="preserve"> </w:t>
      </w:r>
      <w:r w:rsidRPr="00DB7F92">
        <w:rPr>
          <w:lang w:eastAsia="en-GB"/>
        </w:rPr>
        <w:t>the</w:t>
      </w:r>
      <w:r w:rsidRPr="00682EC4">
        <w:rPr>
          <w:spacing w:val="36"/>
          <w:lang w:eastAsia="en-GB"/>
        </w:rPr>
        <w:t xml:space="preserve"> </w:t>
      </w:r>
      <w:r w:rsidRPr="00DB7F92">
        <w:rPr>
          <w:lang w:eastAsia="en-GB"/>
        </w:rPr>
        <w:t>duty</w:t>
      </w:r>
      <w:r w:rsidRPr="00682EC4">
        <w:rPr>
          <w:spacing w:val="37"/>
          <w:lang w:eastAsia="en-GB"/>
        </w:rPr>
        <w:t xml:space="preserve"> </w:t>
      </w:r>
      <w:r w:rsidRPr="00DB7F92">
        <w:rPr>
          <w:lang w:eastAsia="en-GB"/>
        </w:rPr>
        <w:t>to</w:t>
      </w:r>
      <w:r w:rsidRPr="00682EC4">
        <w:rPr>
          <w:spacing w:val="36"/>
          <w:lang w:eastAsia="en-GB"/>
        </w:rPr>
        <w:t xml:space="preserve"> </w:t>
      </w:r>
      <w:r w:rsidRPr="00DB7F92">
        <w:rPr>
          <w:lang w:eastAsia="en-GB"/>
        </w:rPr>
        <w:t>act</w:t>
      </w:r>
      <w:r w:rsidRPr="00682EC4">
        <w:rPr>
          <w:spacing w:val="38"/>
          <w:lang w:eastAsia="en-GB"/>
        </w:rPr>
        <w:t xml:space="preserve"> </w:t>
      </w:r>
      <w:r w:rsidRPr="00DB7F92">
        <w:rPr>
          <w:lang w:eastAsia="en-GB"/>
        </w:rPr>
        <w:t>reasonably</w:t>
      </w:r>
      <w:r w:rsidRPr="00682EC4">
        <w:rPr>
          <w:spacing w:val="37"/>
          <w:lang w:eastAsia="en-GB"/>
        </w:rPr>
        <w:t xml:space="preserve"> </w:t>
      </w:r>
      <w:r w:rsidRPr="00DB7F92">
        <w:rPr>
          <w:lang w:eastAsia="en-GB"/>
        </w:rPr>
        <w:t>–</w:t>
      </w:r>
      <w:r w:rsidRPr="00682EC4">
        <w:rPr>
          <w:spacing w:val="37"/>
          <w:lang w:eastAsia="en-GB"/>
        </w:rPr>
        <w:t xml:space="preserve"> </w:t>
      </w:r>
      <w:r w:rsidRPr="00DB7F92">
        <w:rPr>
          <w:lang w:eastAsia="en-GB"/>
        </w:rPr>
        <w:t>it</w:t>
      </w:r>
      <w:r w:rsidRPr="00682EC4">
        <w:rPr>
          <w:spacing w:val="37"/>
          <w:lang w:eastAsia="en-GB"/>
        </w:rPr>
        <w:t xml:space="preserve"> </w:t>
      </w:r>
      <w:r w:rsidRPr="00DB7F92">
        <w:rPr>
          <w:lang w:eastAsia="en-GB"/>
        </w:rPr>
        <w:t>is</w:t>
      </w:r>
      <w:r w:rsidRPr="00682EC4">
        <w:rPr>
          <w:spacing w:val="38"/>
          <w:lang w:eastAsia="en-GB"/>
        </w:rPr>
        <w:t xml:space="preserve"> </w:t>
      </w:r>
      <w:r w:rsidRPr="00DB7F92">
        <w:rPr>
          <w:lang w:eastAsia="en-GB"/>
        </w:rPr>
        <w:t>highly</w:t>
      </w:r>
      <w:r w:rsidRPr="00682EC4">
        <w:rPr>
          <w:spacing w:val="37"/>
          <w:lang w:eastAsia="en-GB"/>
        </w:rPr>
        <w:t xml:space="preserve"> </w:t>
      </w:r>
      <w:r w:rsidRPr="00DB7F92">
        <w:rPr>
          <w:lang w:eastAsia="en-GB"/>
        </w:rPr>
        <w:t>unlikely</w:t>
      </w:r>
      <w:r w:rsidRPr="00682EC4">
        <w:rPr>
          <w:spacing w:val="37"/>
          <w:lang w:eastAsia="en-GB"/>
        </w:rPr>
        <w:t xml:space="preserve"> </w:t>
      </w:r>
      <w:r w:rsidRPr="00DB7F92">
        <w:rPr>
          <w:lang w:eastAsia="en-GB"/>
        </w:rPr>
        <w:t>that</w:t>
      </w:r>
      <w:r w:rsidRPr="00682EC4">
        <w:rPr>
          <w:spacing w:val="38"/>
          <w:lang w:eastAsia="en-GB"/>
        </w:rPr>
        <w:t xml:space="preserve"> </w:t>
      </w:r>
      <w:r w:rsidRPr="00DB7F92">
        <w:rPr>
          <w:lang w:eastAsia="en-GB"/>
        </w:rPr>
        <w:t>it</w:t>
      </w:r>
      <w:r w:rsidRPr="00682EC4">
        <w:rPr>
          <w:spacing w:val="37"/>
          <w:lang w:eastAsia="en-GB"/>
        </w:rPr>
        <w:t xml:space="preserve"> </w:t>
      </w:r>
      <w:r w:rsidRPr="00DB7F92">
        <w:rPr>
          <w:lang w:eastAsia="en-GB"/>
        </w:rPr>
        <w:t>will</w:t>
      </w:r>
      <w:r w:rsidRPr="00682EC4">
        <w:rPr>
          <w:spacing w:val="36"/>
          <w:lang w:eastAsia="en-GB"/>
        </w:rPr>
        <w:t xml:space="preserve"> </w:t>
      </w:r>
      <w:r w:rsidRPr="00DB7F92">
        <w:rPr>
          <w:lang w:eastAsia="en-GB"/>
        </w:rPr>
        <w:t>breach</w:t>
      </w:r>
      <w:r w:rsidRPr="00682EC4">
        <w:rPr>
          <w:spacing w:val="39"/>
          <w:lang w:eastAsia="en-GB"/>
        </w:rPr>
        <w:t xml:space="preserve"> </w:t>
      </w:r>
      <w:r w:rsidRPr="00DB7F92">
        <w:rPr>
          <w:lang w:eastAsia="en-GB"/>
        </w:rPr>
        <w:t>this</w:t>
      </w:r>
      <w:r w:rsidRPr="00682EC4">
        <w:rPr>
          <w:spacing w:val="62"/>
          <w:w w:val="99"/>
          <w:lang w:eastAsia="en-GB"/>
        </w:rPr>
        <w:t xml:space="preserve"> </w:t>
      </w:r>
      <w:r w:rsidRPr="00DB7F92">
        <w:rPr>
          <w:lang w:eastAsia="en-GB"/>
        </w:rPr>
        <w:t>duty.</w:t>
      </w:r>
    </w:p>
    <w:p w14:paraId="318F7B83" w14:textId="77777777" w:rsidR="00DB7F92" w:rsidRPr="00DB7F92" w:rsidRDefault="00DB7F92" w:rsidP="00DB7F92">
      <w:pPr>
        <w:spacing w:before="1"/>
        <w:jc w:val="both"/>
        <w:rPr>
          <w:rFonts w:eastAsia="Segoe UI Semilight" w:cs="Arial"/>
          <w:sz w:val="20"/>
          <w:szCs w:val="20"/>
        </w:rPr>
      </w:pPr>
    </w:p>
    <w:p w14:paraId="68822C86" w14:textId="4229E896" w:rsidR="00DB7F92" w:rsidRDefault="00D32C7A" w:rsidP="00DB7F92">
      <w:pPr>
        <w:pStyle w:val="Heading2"/>
        <w:rPr>
          <w:rFonts w:eastAsiaTheme="majorEastAsia"/>
        </w:rPr>
      </w:pPr>
      <w:bookmarkStart w:id="112" w:name="_Toc95743375"/>
      <w:r w:rsidRPr="00DB7F92">
        <w:rPr>
          <w:rFonts w:eastAsiaTheme="majorEastAsia"/>
        </w:rPr>
        <w:t>The Duty</w:t>
      </w:r>
      <w:r w:rsidRPr="00DB7F92">
        <w:rPr>
          <w:rFonts w:eastAsiaTheme="majorEastAsia"/>
          <w:spacing w:val="-3"/>
        </w:rPr>
        <w:t xml:space="preserve"> </w:t>
      </w:r>
      <w:r>
        <w:rPr>
          <w:rFonts w:eastAsiaTheme="majorEastAsia"/>
        </w:rPr>
        <w:t>Not t</w:t>
      </w:r>
      <w:r w:rsidRPr="00DB7F92">
        <w:rPr>
          <w:rFonts w:eastAsiaTheme="majorEastAsia"/>
        </w:rPr>
        <w:t>o</w:t>
      </w:r>
      <w:r w:rsidRPr="00DB7F92">
        <w:rPr>
          <w:rFonts w:eastAsiaTheme="majorEastAsia"/>
          <w:spacing w:val="-2"/>
        </w:rPr>
        <w:t xml:space="preserve"> </w:t>
      </w:r>
      <w:r w:rsidRPr="00DB7F92">
        <w:rPr>
          <w:rFonts w:eastAsiaTheme="majorEastAsia"/>
        </w:rPr>
        <w:t>Prefer</w:t>
      </w:r>
      <w:r w:rsidRPr="00DB7F92">
        <w:rPr>
          <w:rFonts w:eastAsiaTheme="majorEastAsia"/>
          <w:spacing w:val="-5"/>
        </w:rPr>
        <w:t xml:space="preserve"> </w:t>
      </w:r>
      <w:r w:rsidRPr="00DB7F92">
        <w:rPr>
          <w:rFonts w:eastAsiaTheme="majorEastAsia"/>
        </w:rPr>
        <w:t>One Type</w:t>
      </w:r>
      <w:r w:rsidRPr="00DB7F92">
        <w:rPr>
          <w:rFonts w:eastAsiaTheme="majorEastAsia"/>
          <w:spacing w:val="-2"/>
        </w:rPr>
        <w:t xml:space="preserve"> </w:t>
      </w:r>
      <w:r>
        <w:rPr>
          <w:rFonts w:eastAsiaTheme="majorEastAsia"/>
          <w:spacing w:val="-2"/>
        </w:rPr>
        <w:t>o</w:t>
      </w:r>
      <w:r w:rsidRPr="00DB7F92">
        <w:rPr>
          <w:rFonts w:eastAsiaTheme="majorEastAsia"/>
        </w:rPr>
        <w:t>f</w:t>
      </w:r>
      <w:r w:rsidRPr="00DB7F92">
        <w:rPr>
          <w:rFonts w:eastAsiaTheme="majorEastAsia"/>
          <w:spacing w:val="-3"/>
        </w:rPr>
        <w:t xml:space="preserve"> </w:t>
      </w:r>
      <w:r w:rsidRPr="00DB7F92">
        <w:rPr>
          <w:rFonts w:eastAsiaTheme="majorEastAsia"/>
        </w:rPr>
        <w:t>Provider</w:t>
      </w:r>
      <w:bookmarkEnd w:id="112"/>
    </w:p>
    <w:p w14:paraId="7D5FE27B" w14:textId="77777777" w:rsidR="00682EC4" w:rsidRPr="00682EC4" w:rsidRDefault="00682EC4" w:rsidP="00682EC4">
      <w:pPr>
        <w:rPr>
          <w:rFonts w:eastAsiaTheme="majorEastAsia"/>
        </w:rPr>
      </w:pPr>
    </w:p>
    <w:p w14:paraId="64F30C02" w14:textId="4BDC1735" w:rsidR="00DB7F92" w:rsidRPr="00DB7F92" w:rsidRDefault="00DB7F92" w:rsidP="00DD5D2D">
      <w:pPr>
        <w:pStyle w:val="Heading3"/>
        <w:jc w:val="both"/>
        <w:rPr>
          <w:lang w:eastAsia="en-GB"/>
        </w:rPr>
      </w:pPr>
      <w:r w:rsidRPr="00DB7F92">
        <w:rPr>
          <w:lang w:eastAsia="en-GB"/>
        </w:rPr>
        <w:t>NHS England must</w:t>
      </w:r>
      <w:r w:rsidRPr="00DB7F92">
        <w:rPr>
          <w:spacing w:val="22"/>
          <w:lang w:eastAsia="en-GB"/>
        </w:rPr>
        <w:t xml:space="preserve"> </w:t>
      </w:r>
      <w:r w:rsidRPr="00DB7F92">
        <w:rPr>
          <w:lang w:eastAsia="en-GB"/>
        </w:rPr>
        <w:t>not</w:t>
      </w:r>
      <w:r w:rsidRPr="00DB7F92">
        <w:rPr>
          <w:spacing w:val="21"/>
          <w:lang w:eastAsia="en-GB"/>
        </w:rPr>
        <w:t xml:space="preserve"> </w:t>
      </w:r>
      <w:r w:rsidRPr="00DB7F92">
        <w:rPr>
          <w:lang w:eastAsia="en-GB"/>
        </w:rPr>
        <w:t>try</w:t>
      </w:r>
      <w:r w:rsidRPr="00DB7F92">
        <w:rPr>
          <w:spacing w:val="22"/>
          <w:lang w:eastAsia="en-GB"/>
        </w:rPr>
        <w:t xml:space="preserve"> </w:t>
      </w:r>
      <w:r w:rsidRPr="00DB7F92">
        <w:rPr>
          <w:lang w:eastAsia="en-GB"/>
        </w:rPr>
        <w:t>and</w:t>
      </w:r>
      <w:r w:rsidRPr="00DB7F92">
        <w:rPr>
          <w:spacing w:val="20"/>
          <w:lang w:eastAsia="en-GB"/>
        </w:rPr>
        <w:t xml:space="preserve"> </w:t>
      </w:r>
      <w:r w:rsidRPr="00DB7F92">
        <w:rPr>
          <w:lang w:eastAsia="en-GB"/>
        </w:rPr>
        <w:t>vary</w:t>
      </w:r>
      <w:r w:rsidRPr="00DB7F92">
        <w:rPr>
          <w:spacing w:val="20"/>
          <w:lang w:eastAsia="en-GB"/>
        </w:rPr>
        <w:t xml:space="preserve"> </w:t>
      </w:r>
      <w:r w:rsidRPr="00DB7F92">
        <w:rPr>
          <w:lang w:eastAsia="en-GB"/>
        </w:rPr>
        <w:t>the</w:t>
      </w:r>
      <w:r w:rsidRPr="00DB7F92">
        <w:rPr>
          <w:spacing w:val="21"/>
          <w:lang w:eastAsia="en-GB"/>
        </w:rPr>
        <w:t xml:space="preserve"> </w:t>
      </w:r>
      <w:r w:rsidRPr="00DB7F92">
        <w:rPr>
          <w:lang w:eastAsia="en-GB"/>
        </w:rPr>
        <w:t>proportion</w:t>
      </w:r>
      <w:r w:rsidRPr="00DB7F92">
        <w:rPr>
          <w:spacing w:val="21"/>
          <w:lang w:eastAsia="en-GB"/>
        </w:rPr>
        <w:t xml:space="preserve"> </w:t>
      </w:r>
      <w:r w:rsidRPr="00DB7F92">
        <w:rPr>
          <w:lang w:eastAsia="en-GB"/>
        </w:rPr>
        <w:t>of</w:t>
      </w:r>
      <w:r w:rsidRPr="00DB7F92">
        <w:rPr>
          <w:spacing w:val="21"/>
          <w:lang w:eastAsia="en-GB"/>
        </w:rPr>
        <w:t xml:space="preserve"> </w:t>
      </w:r>
      <w:r w:rsidRPr="00DB7F92">
        <w:rPr>
          <w:lang w:eastAsia="en-GB"/>
        </w:rPr>
        <w:t>services</w:t>
      </w:r>
      <w:r w:rsidRPr="00DB7F92">
        <w:rPr>
          <w:spacing w:val="23"/>
          <w:lang w:eastAsia="en-GB"/>
        </w:rPr>
        <w:t xml:space="preserve"> </w:t>
      </w:r>
      <w:r w:rsidRPr="00DB7F92">
        <w:rPr>
          <w:lang w:eastAsia="en-GB"/>
        </w:rPr>
        <w:t>delivered</w:t>
      </w:r>
      <w:r w:rsidRPr="00DB7F92">
        <w:rPr>
          <w:spacing w:val="56"/>
          <w:w w:val="99"/>
          <w:lang w:eastAsia="en-GB"/>
        </w:rPr>
        <w:t xml:space="preserve"> </w:t>
      </w:r>
      <w:r w:rsidRPr="00DB7F92">
        <w:rPr>
          <w:lang w:eastAsia="en-GB"/>
        </w:rPr>
        <w:t>by</w:t>
      </w:r>
      <w:r w:rsidRPr="00DB7F92">
        <w:rPr>
          <w:spacing w:val="9"/>
          <w:lang w:eastAsia="en-GB"/>
        </w:rPr>
        <w:t xml:space="preserve"> </w:t>
      </w:r>
      <w:r w:rsidRPr="00DB7F92">
        <w:rPr>
          <w:lang w:eastAsia="en-GB"/>
        </w:rPr>
        <w:t>providers</w:t>
      </w:r>
      <w:r w:rsidRPr="00DB7F92">
        <w:rPr>
          <w:spacing w:val="10"/>
          <w:lang w:eastAsia="en-GB"/>
        </w:rPr>
        <w:t xml:space="preserve"> </w:t>
      </w:r>
      <w:r w:rsidRPr="00DB7F92">
        <w:rPr>
          <w:lang w:eastAsia="en-GB"/>
        </w:rPr>
        <w:t>according</w:t>
      </w:r>
      <w:r w:rsidRPr="00DB7F92">
        <w:rPr>
          <w:spacing w:val="10"/>
          <w:lang w:eastAsia="en-GB"/>
        </w:rPr>
        <w:t xml:space="preserve"> </w:t>
      </w:r>
      <w:r w:rsidRPr="00DB7F92">
        <w:rPr>
          <w:lang w:eastAsia="en-GB"/>
        </w:rPr>
        <w:t>to</w:t>
      </w:r>
      <w:r w:rsidRPr="00DB7F92">
        <w:rPr>
          <w:spacing w:val="9"/>
          <w:lang w:eastAsia="en-GB"/>
        </w:rPr>
        <w:t xml:space="preserve"> </w:t>
      </w:r>
      <w:r w:rsidRPr="00DB7F92">
        <w:rPr>
          <w:lang w:eastAsia="en-GB"/>
        </w:rPr>
        <w:t>whether</w:t>
      </w:r>
      <w:r w:rsidRPr="00DB7F92">
        <w:rPr>
          <w:spacing w:val="9"/>
          <w:lang w:eastAsia="en-GB"/>
        </w:rPr>
        <w:t xml:space="preserve"> </w:t>
      </w:r>
      <w:r w:rsidRPr="00DB7F92">
        <w:rPr>
          <w:lang w:eastAsia="en-GB"/>
        </w:rPr>
        <w:t>the</w:t>
      </w:r>
      <w:r w:rsidRPr="00DB7F92">
        <w:rPr>
          <w:spacing w:val="8"/>
          <w:lang w:eastAsia="en-GB"/>
        </w:rPr>
        <w:t xml:space="preserve"> </w:t>
      </w:r>
      <w:r w:rsidRPr="00DB7F92">
        <w:rPr>
          <w:lang w:eastAsia="en-GB"/>
        </w:rPr>
        <w:t>provider</w:t>
      </w:r>
      <w:r w:rsidRPr="00DB7F92">
        <w:rPr>
          <w:spacing w:val="9"/>
          <w:lang w:eastAsia="en-GB"/>
        </w:rPr>
        <w:t xml:space="preserve"> </w:t>
      </w:r>
      <w:r w:rsidRPr="00DB7F92">
        <w:rPr>
          <w:lang w:eastAsia="en-GB"/>
        </w:rPr>
        <w:t>is</w:t>
      </w:r>
      <w:r w:rsidRPr="00DB7F92">
        <w:rPr>
          <w:spacing w:val="11"/>
          <w:lang w:eastAsia="en-GB"/>
        </w:rPr>
        <w:t xml:space="preserve"> </w:t>
      </w:r>
      <w:r w:rsidRPr="00DB7F92">
        <w:rPr>
          <w:lang w:eastAsia="en-GB"/>
        </w:rPr>
        <w:t>in</w:t>
      </w:r>
      <w:r w:rsidRPr="00DB7F92">
        <w:rPr>
          <w:spacing w:val="9"/>
          <w:lang w:eastAsia="en-GB"/>
        </w:rPr>
        <w:t xml:space="preserve"> </w:t>
      </w:r>
      <w:r w:rsidRPr="00DB7F92">
        <w:rPr>
          <w:lang w:eastAsia="en-GB"/>
        </w:rPr>
        <w:t>the</w:t>
      </w:r>
      <w:r w:rsidRPr="00DB7F92">
        <w:rPr>
          <w:spacing w:val="8"/>
          <w:lang w:eastAsia="en-GB"/>
        </w:rPr>
        <w:t xml:space="preserve"> </w:t>
      </w:r>
      <w:r w:rsidRPr="00DB7F92">
        <w:rPr>
          <w:lang w:eastAsia="en-GB"/>
        </w:rPr>
        <w:t>public</w:t>
      </w:r>
      <w:r w:rsidRPr="00DB7F92">
        <w:rPr>
          <w:spacing w:val="9"/>
          <w:lang w:eastAsia="en-GB"/>
        </w:rPr>
        <w:t xml:space="preserve"> </w:t>
      </w:r>
      <w:r w:rsidRPr="00DB7F92">
        <w:rPr>
          <w:lang w:eastAsia="en-GB"/>
        </w:rPr>
        <w:t>or</w:t>
      </w:r>
      <w:r w:rsidRPr="00DB7F92">
        <w:rPr>
          <w:spacing w:val="9"/>
          <w:lang w:eastAsia="en-GB"/>
        </w:rPr>
        <w:t xml:space="preserve"> </w:t>
      </w:r>
      <w:r w:rsidRPr="00DB7F92">
        <w:rPr>
          <w:lang w:eastAsia="en-GB"/>
        </w:rPr>
        <w:t>private</w:t>
      </w:r>
      <w:r w:rsidRPr="00DB7F92">
        <w:rPr>
          <w:spacing w:val="53"/>
          <w:w w:val="99"/>
          <w:lang w:eastAsia="en-GB"/>
        </w:rPr>
        <w:t xml:space="preserve"> </w:t>
      </w:r>
      <w:r w:rsidRPr="00DB7F92">
        <w:rPr>
          <w:lang w:eastAsia="en-GB"/>
        </w:rPr>
        <w:t>sector,</w:t>
      </w:r>
      <w:r w:rsidRPr="00DB7F92">
        <w:rPr>
          <w:spacing w:val="-5"/>
          <w:lang w:eastAsia="en-GB"/>
        </w:rPr>
        <w:t xml:space="preserve"> </w:t>
      </w:r>
      <w:r w:rsidRPr="00DB7F92">
        <w:rPr>
          <w:lang w:eastAsia="en-GB"/>
        </w:rPr>
        <w:t>or</w:t>
      </w:r>
      <w:r w:rsidRPr="00DB7F92">
        <w:rPr>
          <w:spacing w:val="-4"/>
          <w:lang w:eastAsia="en-GB"/>
        </w:rPr>
        <w:t xml:space="preserve"> </w:t>
      </w:r>
      <w:r w:rsidRPr="00DB7F92">
        <w:rPr>
          <w:lang w:eastAsia="en-GB"/>
        </w:rPr>
        <w:t>some</w:t>
      </w:r>
      <w:r w:rsidRPr="00DB7F92">
        <w:rPr>
          <w:spacing w:val="-5"/>
          <w:lang w:eastAsia="en-GB"/>
        </w:rPr>
        <w:t xml:space="preserve"> </w:t>
      </w:r>
      <w:r w:rsidRPr="00DB7F92">
        <w:rPr>
          <w:lang w:eastAsia="en-GB"/>
        </w:rPr>
        <w:t>other</w:t>
      </w:r>
      <w:r w:rsidRPr="00DB7F92">
        <w:rPr>
          <w:spacing w:val="-4"/>
          <w:lang w:eastAsia="en-GB"/>
        </w:rPr>
        <w:t xml:space="preserve"> </w:t>
      </w:r>
      <w:r w:rsidRPr="00DB7F92">
        <w:rPr>
          <w:lang w:eastAsia="en-GB"/>
        </w:rPr>
        <w:t>aspect</w:t>
      </w:r>
      <w:r w:rsidRPr="00DB7F92">
        <w:rPr>
          <w:spacing w:val="-4"/>
          <w:lang w:eastAsia="en-GB"/>
        </w:rPr>
        <w:t xml:space="preserve"> </w:t>
      </w:r>
      <w:r w:rsidRPr="00DB7F92">
        <w:rPr>
          <w:lang w:eastAsia="en-GB"/>
        </w:rPr>
        <w:t>of</w:t>
      </w:r>
      <w:r w:rsidRPr="00DB7F92">
        <w:rPr>
          <w:spacing w:val="-6"/>
          <w:lang w:eastAsia="en-GB"/>
        </w:rPr>
        <w:t xml:space="preserve"> </w:t>
      </w:r>
      <w:r w:rsidRPr="00DB7F92">
        <w:rPr>
          <w:lang w:eastAsia="en-GB"/>
        </w:rPr>
        <w:t>their</w:t>
      </w:r>
      <w:r w:rsidRPr="00DB7F92">
        <w:rPr>
          <w:spacing w:val="-4"/>
          <w:lang w:eastAsia="en-GB"/>
        </w:rPr>
        <w:t xml:space="preserve"> </w:t>
      </w:r>
      <w:r w:rsidRPr="00DB7F92">
        <w:rPr>
          <w:lang w:eastAsia="en-GB"/>
        </w:rPr>
        <w:t xml:space="preserve">status (section 13P).  </w:t>
      </w:r>
      <w:r w:rsidR="00B83042">
        <w:rPr>
          <w:lang w:eastAsia="en-GB"/>
        </w:rPr>
        <w:t>CCGs/ICBs</w:t>
      </w:r>
      <w:r w:rsidR="008B199F">
        <w:rPr>
          <w:lang w:eastAsia="en-GB"/>
        </w:rPr>
        <w:t xml:space="preserve"> </w:t>
      </w:r>
      <w:r w:rsidRPr="00DB7F92">
        <w:rPr>
          <w:lang w:eastAsia="en-GB"/>
        </w:rPr>
        <w:t>must also act in accordance with this duty when they are co-commissioning under delegated authority from NHS England.</w:t>
      </w:r>
    </w:p>
    <w:p w14:paraId="226C8447" w14:textId="1966AADF" w:rsidR="006D10D1" w:rsidRDefault="00DB7F92" w:rsidP="00912FE4">
      <w:pPr>
        <w:pStyle w:val="Heading3"/>
        <w:jc w:val="both"/>
        <w:rPr>
          <w:bCs w:val="0"/>
          <w:sz w:val="20"/>
          <w:szCs w:val="20"/>
          <w:lang w:eastAsia="en-GB"/>
        </w:rPr>
      </w:pPr>
      <w:r w:rsidRPr="00DB7F92">
        <w:rPr>
          <w:lang w:eastAsia="en-GB"/>
        </w:rPr>
        <w:t>This</w:t>
      </w:r>
      <w:r w:rsidRPr="00DB7F92">
        <w:rPr>
          <w:spacing w:val="10"/>
          <w:lang w:eastAsia="en-GB"/>
        </w:rPr>
        <w:t xml:space="preserve"> </w:t>
      </w:r>
      <w:r w:rsidRPr="00DB7F92">
        <w:rPr>
          <w:lang w:eastAsia="en-GB"/>
        </w:rPr>
        <w:t>means</w:t>
      </w:r>
      <w:r w:rsidRPr="00DB7F92">
        <w:rPr>
          <w:spacing w:val="11"/>
          <w:lang w:eastAsia="en-GB"/>
        </w:rPr>
        <w:t xml:space="preserve"> </w:t>
      </w:r>
      <w:r w:rsidRPr="00DB7F92">
        <w:rPr>
          <w:lang w:eastAsia="en-GB"/>
        </w:rPr>
        <w:t>that</w:t>
      </w:r>
      <w:r w:rsidRPr="00DB7F92">
        <w:rPr>
          <w:spacing w:val="10"/>
          <w:lang w:eastAsia="en-GB"/>
        </w:rPr>
        <w:t xml:space="preserve"> </w:t>
      </w:r>
      <w:r w:rsidRPr="00DB7F92">
        <w:rPr>
          <w:lang w:eastAsia="en-GB"/>
        </w:rPr>
        <w:t>the commissioner</w:t>
      </w:r>
      <w:r w:rsidRPr="00DB7F92">
        <w:rPr>
          <w:spacing w:val="9"/>
          <w:lang w:eastAsia="en-GB"/>
        </w:rPr>
        <w:t xml:space="preserve"> </w:t>
      </w:r>
      <w:r w:rsidRPr="00DB7F92">
        <w:rPr>
          <w:lang w:eastAsia="en-GB"/>
        </w:rPr>
        <w:t>must</w:t>
      </w:r>
      <w:r w:rsidRPr="00DB7F92">
        <w:rPr>
          <w:spacing w:val="10"/>
          <w:lang w:eastAsia="en-GB"/>
        </w:rPr>
        <w:t xml:space="preserve"> </w:t>
      </w:r>
      <w:r w:rsidRPr="00DB7F92">
        <w:rPr>
          <w:lang w:eastAsia="en-GB"/>
        </w:rPr>
        <w:t>focus</w:t>
      </w:r>
      <w:r w:rsidRPr="00DB7F92">
        <w:rPr>
          <w:spacing w:val="11"/>
          <w:lang w:eastAsia="en-GB"/>
        </w:rPr>
        <w:t xml:space="preserve"> </w:t>
      </w:r>
      <w:r w:rsidRPr="00DB7F92">
        <w:rPr>
          <w:lang w:eastAsia="en-GB"/>
        </w:rPr>
        <w:t>on</w:t>
      </w:r>
      <w:r w:rsidRPr="00DB7F92">
        <w:rPr>
          <w:spacing w:val="10"/>
          <w:lang w:eastAsia="en-GB"/>
        </w:rPr>
        <w:t xml:space="preserve"> </w:t>
      </w:r>
      <w:r w:rsidRPr="00DB7F92">
        <w:rPr>
          <w:lang w:eastAsia="en-GB"/>
        </w:rPr>
        <w:t>the</w:t>
      </w:r>
      <w:r w:rsidRPr="00DB7F92">
        <w:rPr>
          <w:spacing w:val="9"/>
          <w:lang w:eastAsia="en-GB"/>
        </w:rPr>
        <w:t xml:space="preserve"> </w:t>
      </w:r>
      <w:r w:rsidRPr="00DB7F92">
        <w:rPr>
          <w:lang w:eastAsia="en-GB"/>
        </w:rPr>
        <w:t>services</w:t>
      </w:r>
      <w:r w:rsidRPr="00DB7F92">
        <w:rPr>
          <w:spacing w:val="11"/>
          <w:lang w:eastAsia="en-GB"/>
        </w:rPr>
        <w:t xml:space="preserve"> </w:t>
      </w:r>
      <w:r w:rsidRPr="00DB7F92">
        <w:rPr>
          <w:lang w:eastAsia="en-GB"/>
        </w:rPr>
        <w:t>delivered</w:t>
      </w:r>
      <w:r w:rsidRPr="00DB7F92">
        <w:rPr>
          <w:spacing w:val="9"/>
          <w:lang w:eastAsia="en-GB"/>
        </w:rPr>
        <w:t xml:space="preserve"> </w:t>
      </w:r>
      <w:r w:rsidRPr="00DB7F92">
        <w:rPr>
          <w:lang w:eastAsia="en-GB"/>
        </w:rPr>
        <w:t>by</w:t>
      </w:r>
      <w:r w:rsidRPr="00DB7F92">
        <w:rPr>
          <w:spacing w:val="10"/>
          <w:lang w:eastAsia="en-GB"/>
        </w:rPr>
        <w:t xml:space="preserve"> </w:t>
      </w:r>
      <w:r w:rsidRPr="00DB7F92">
        <w:rPr>
          <w:lang w:eastAsia="en-GB"/>
        </w:rPr>
        <w:t>an</w:t>
      </w:r>
      <w:r w:rsidRPr="00DB7F92">
        <w:rPr>
          <w:spacing w:val="57"/>
          <w:lang w:eastAsia="en-GB"/>
        </w:rPr>
        <w:t xml:space="preserve"> </w:t>
      </w:r>
      <w:r w:rsidRPr="00DB7F92">
        <w:rPr>
          <w:lang w:eastAsia="en-GB"/>
        </w:rPr>
        <w:t>organisation</w:t>
      </w:r>
      <w:r w:rsidRPr="00DB7F92">
        <w:rPr>
          <w:spacing w:val="57"/>
          <w:lang w:eastAsia="en-GB"/>
        </w:rPr>
        <w:t xml:space="preserve"> </w:t>
      </w:r>
      <w:r w:rsidRPr="00DB7F92">
        <w:rPr>
          <w:lang w:eastAsia="en-GB"/>
        </w:rPr>
        <w:t>and</w:t>
      </w:r>
      <w:r w:rsidRPr="00DB7F92">
        <w:rPr>
          <w:spacing w:val="56"/>
          <w:lang w:eastAsia="en-GB"/>
        </w:rPr>
        <w:t xml:space="preserve"> </w:t>
      </w:r>
      <w:r w:rsidRPr="00DB7F92">
        <w:rPr>
          <w:lang w:eastAsia="en-GB"/>
        </w:rPr>
        <w:t>its</w:t>
      </w:r>
      <w:r w:rsidRPr="00DB7F92">
        <w:rPr>
          <w:spacing w:val="59"/>
          <w:lang w:eastAsia="en-GB"/>
        </w:rPr>
        <w:t xml:space="preserve"> </w:t>
      </w:r>
      <w:r w:rsidRPr="00DB7F92">
        <w:rPr>
          <w:lang w:eastAsia="en-GB"/>
        </w:rPr>
        <w:t>sustainability.</w:t>
      </w:r>
      <w:r w:rsidRPr="00DB7F92">
        <w:rPr>
          <w:spacing w:val="50"/>
          <w:lang w:eastAsia="en-GB"/>
        </w:rPr>
        <w:t xml:space="preserve"> </w:t>
      </w:r>
      <w:r w:rsidRPr="00DB7F92">
        <w:rPr>
          <w:lang w:eastAsia="en-GB"/>
        </w:rPr>
        <w:t>It</w:t>
      </w:r>
      <w:r w:rsidRPr="00DB7F92">
        <w:rPr>
          <w:spacing w:val="58"/>
          <w:lang w:eastAsia="en-GB"/>
        </w:rPr>
        <w:t xml:space="preserve"> </w:t>
      </w:r>
      <w:r w:rsidRPr="00DB7F92">
        <w:rPr>
          <w:spacing w:val="-2"/>
          <w:lang w:eastAsia="en-GB"/>
        </w:rPr>
        <w:t>should</w:t>
      </w:r>
      <w:r w:rsidRPr="00DB7F92">
        <w:rPr>
          <w:spacing w:val="57"/>
          <w:lang w:eastAsia="en-GB"/>
        </w:rPr>
        <w:t xml:space="preserve"> </w:t>
      </w:r>
      <w:r w:rsidRPr="00DB7F92">
        <w:rPr>
          <w:lang w:eastAsia="en-GB"/>
        </w:rPr>
        <w:t>not</w:t>
      </w:r>
      <w:r w:rsidRPr="00DB7F92">
        <w:rPr>
          <w:spacing w:val="58"/>
          <w:lang w:eastAsia="en-GB"/>
        </w:rPr>
        <w:t xml:space="preserve"> </w:t>
      </w:r>
      <w:r w:rsidRPr="00DB7F92">
        <w:rPr>
          <w:lang w:eastAsia="en-GB"/>
        </w:rPr>
        <w:t>make</w:t>
      </w:r>
      <w:r w:rsidRPr="00DB7F92">
        <w:rPr>
          <w:spacing w:val="57"/>
          <w:lang w:eastAsia="en-GB"/>
        </w:rPr>
        <w:t xml:space="preserve"> </w:t>
      </w:r>
      <w:r w:rsidRPr="00DB7F92">
        <w:rPr>
          <w:lang w:eastAsia="en-GB"/>
        </w:rPr>
        <w:t>choices</w:t>
      </w:r>
      <w:r w:rsidRPr="00DB7F92">
        <w:rPr>
          <w:spacing w:val="58"/>
          <w:lang w:eastAsia="en-GB"/>
        </w:rPr>
        <w:t xml:space="preserve"> </w:t>
      </w:r>
      <w:r w:rsidRPr="00DB7F92">
        <w:rPr>
          <w:lang w:eastAsia="en-GB"/>
        </w:rPr>
        <w:t>about</w:t>
      </w:r>
      <w:r w:rsidRPr="00DB7F92">
        <w:rPr>
          <w:spacing w:val="59"/>
          <w:w w:val="99"/>
          <w:lang w:eastAsia="en-GB"/>
        </w:rPr>
        <w:t xml:space="preserve"> </w:t>
      </w:r>
      <w:r w:rsidRPr="00DB7F92">
        <w:rPr>
          <w:lang w:eastAsia="en-GB"/>
        </w:rPr>
        <w:t>contractors</w:t>
      </w:r>
      <w:r w:rsidRPr="00DB7F92">
        <w:rPr>
          <w:spacing w:val="56"/>
          <w:lang w:eastAsia="en-GB"/>
        </w:rPr>
        <w:t xml:space="preserve"> </w:t>
      </w:r>
      <w:r w:rsidRPr="00DB7F92">
        <w:rPr>
          <w:lang w:eastAsia="en-GB"/>
        </w:rPr>
        <w:t>based</w:t>
      </w:r>
      <w:r w:rsidRPr="00DB7F92">
        <w:rPr>
          <w:spacing w:val="56"/>
          <w:lang w:eastAsia="en-GB"/>
        </w:rPr>
        <w:t xml:space="preserve"> </w:t>
      </w:r>
      <w:r w:rsidRPr="00DB7F92">
        <w:rPr>
          <w:lang w:eastAsia="en-GB"/>
        </w:rPr>
        <w:t>solely</w:t>
      </w:r>
      <w:r w:rsidRPr="00DB7F92">
        <w:rPr>
          <w:spacing w:val="55"/>
          <w:lang w:eastAsia="en-GB"/>
        </w:rPr>
        <w:t xml:space="preserve"> </w:t>
      </w:r>
      <w:r w:rsidRPr="00DB7F92">
        <w:rPr>
          <w:lang w:eastAsia="en-GB"/>
        </w:rPr>
        <w:t>on</w:t>
      </w:r>
      <w:r w:rsidRPr="00DB7F92">
        <w:rPr>
          <w:spacing w:val="55"/>
          <w:lang w:eastAsia="en-GB"/>
        </w:rPr>
        <w:t xml:space="preserve"> </w:t>
      </w:r>
      <w:r w:rsidRPr="00DB7F92">
        <w:rPr>
          <w:lang w:eastAsia="en-GB"/>
        </w:rPr>
        <w:t>their</w:t>
      </w:r>
      <w:r w:rsidRPr="00DB7F92">
        <w:rPr>
          <w:spacing w:val="56"/>
          <w:lang w:eastAsia="en-GB"/>
        </w:rPr>
        <w:t xml:space="preserve"> </w:t>
      </w:r>
      <w:r w:rsidRPr="00DB7F92">
        <w:rPr>
          <w:lang w:eastAsia="en-GB"/>
        </w:rPr>
        <w:t>status</w:t>
      </w:r>
      <w:r w:rsidRPr="00DB7F92">
        <w:rPr>
          <w:spacing w:val="56"/>
          <w:lang w:eastAsia="en-GB"/>
        </w:rPr>
        <w:t xml:space="preserve"> </w:t>
      </w:r>
      <w:r w:rsidRPr="00DB7F92">
        <w:rPr>
          <w:lang w:eastAsia="en-GB"/>
        </w:rPr>
        <w:t>as</w:t>
      </w:r>
      <w:r w:rsidRPr="00DB7F92">
        <w:rPr>
          <w:spacing w:val="56"/>
          <w:lang w:eastAsia="en-GB"/>
        </w:rPr>
        <w:t xml:space="preserve"> </w:t>
      </w:r>
      <w:r w:rsidRPr="00DB7F92">
        <w:rPr>
          <w:lang w:eastAsia="en-GB"/>
        </w:rPr>
        <w:t>e.g.</w:t>
      </w:r>
      <w:r w:rsidRPr="00DB7F92">
        <w:rPr>
          <w:spacing w:val="55"/>
          <w:lang w:eastAsia="en-GB"/>
        </w:rPr>
        <w:t xml:space="preserve"> </w:t>
      </w:r>
      <w:r w:rsidRPr="00DB7F92">
        <w:rPr>
          <w:lang w:eastAsia="en-GB"/>
        </w:rPr>
        <w:t>company,</w:t>
      </w:r>
      <w:r w:rsidRPr="00DB7F92">
        <w:rPr>
          <w:spacing w:val="57"/>
          <w:lang w:eastAsia="en-GB"/>
        </w:rPr>
        <w:t xml:space="preserve"> </w:t>
      </w:r>
      <w:r w:rsidRPr="00DB7F92">
        <w:rPr>
          <w:lang w:eastAsia="en-GB"/>
        </w:rPr>
        <w:t>partnership,</w:t>
      </w:r>
      <w:r w:rsidRPr="00DB7F92">
        <w:rPr>
          <w:spacing w:val="66"/>
          <w:w w:val="99"/>
          <w:lang w:eastAsia="en-GB"/>
        </w:rPr>
        <w:t xml:space="preserve"> </w:t>
      </w:r>
      <w:r w:rsidRPr="00DB7F92">
        <w:rPr>
          <w:lang w:eastAsia="en-GB"/>
        </w:rPr>
        <w:t>public</w:t>
      </w:r>
      <w:r w:rsidRPr="00DB7F92">
        <w:rPr>
          <w:spacing w:val="-7"/>
          <w:lang w:eastAsia="en-GB"/>
        </w:rPr>
        <w:t xml:space="preserve"> </w:t>
      </w:r>
      <w:r w:rsidRPr="00DB7F92">
        <w:rPr>
          <w:lang w:eastAsia="en-GB"/>
        </w:rPr>
        <w:t>sector,</w:t>
      </w:r>
      <w:r w:rsidRPr="00DB7F92">
        <w:rPr>
          <w:spacing w:val="-5"/>
          <w:lang w:eastAsia="en-GB"/>
        </w:rPr>
        <w:t xml:space="preserve"> </w:t>
      </w:r>
      <w:r w:rsidRPr="00DB7F92">
        <w:rPr>
          <w:lang w:eastAsia="en-GB"/>
        </w:rPr>
        <w:t>private</w:t>
      </w:r>
      <w:r w:rsidRPr="00DB7F92">
        <w:rPr>
          <w:spacing w:val="-4"/>
          <w:lang w:eastAsia="en-GB"/>
        </w:rPr>
        <w:t xml:space="preserve"> </w:t>
      </w:r>
      <w:r w:rsidRPr="00DB7F92">
        <w:rPr>
          <w:lang w:eastAsia="en-GB"/>
        </w:rPr>
        <w:t>sector,</w:t>
      </w:r>
      <w:r w:rsidRPr="00DB7F92">
        <w:rPr>
          <w:spacing w:val="-5"/>
          <w:lang w:eastAsia="en-GB"/>
        </w:rPr>
        <w:t xml:space="preserve"> </w:t>
      </w:r>
      <w:r w:rsidRPr="00DB7F92">
        <w:rPr>
          <w:lang w:eastAsia="en-GB"/>
        </w:rPr>
        <w:t>charity</w:t>
      </w:r>
      <w:r w:rsidRPr="00DB7F92">
        <w:rPr>
          <w:spacing w:val="-4"/>
          <w:lang w:eastAsia="en-GB"/>
        </w:rPr>
        <w:t xml:space="preserve"> </w:t>
      </w:r>
      <w:r w:rsidRPr="00DB7F92">
        <w:rPr>
          <w:lang w:eastAsia="en-GB"/>
        </w:rPr>
        <w:t>or</w:t>
      </w:r>
      <w:r w:rsidRPr="00DB7F92">
        <w:rPr>
          <w:spacing w:val="-5"/>
          <w:lang w:eastAsia="en-GB"/>
        </w:rPr>
        <w:t xml:space="preserve"> </w:t>
      </w:r>
      <w:r w:rsidRPr="00DB7F92">
        <w:rPr>
          <w:lang w:eastAsia="en-GB"/>
        </w:rPr>
        <w:t>not</w:t>
      </w:r>
      <w:r w:rsidRPr="00DB7F92">
        <w:rPr>
          <w:spacing w:val="-3"/>
          <w:lang w:eastAsia="en-GB"/>
        </w:rPr>
        <w:t xml:space="preserve"> </w:t>
      </w:r>
      <w:r w:rsidRPr="00DB7F92">
        <w:rPr>
          <w:lang w:eastAsia="en-GB"/>
        </w:rPr>
        <w:t>for</w:t>
      </w:r>
      <w:r w:rsidRPr="00DB7F92">
        <w:rPr>
          <w:spacing w:val="-3"/>
          <w:lang w:eastAsia="en-GB"/>
        </w:rPr>
        <w:t xml:space="preserve"> </w:t>
      </w:r>
      <w:r w:rsidRPr="00DB7F92">
        <w:rPr>
          <w:lang w:eastAsia="en-GB"/>
        </w:rPr>
        <w:t>profit</w:t>
      </w:r>
      <w:r w:rsidRPr="00DB7F92">
        <w:rPr>
          <w:spacing w:val="-3"/>
          <w:lang w:eastAsia="en-GB"/>
        </w:rPr>
        <w:t xml:space="preserve"> </w:t>
      </w:r>
      <w:r w:rsidRPr="00DB7F92">
        <w:rPr>
          <w:lang w:eastAsia="en-GB"/>
        </w:rPr>
        <w:t>organisation.</w:t>
      </w:r>
      <w:r w:rsidR="00912FE4">
        <w:t xml:space="preserve"> </w:t>
      </w:r>
      <w:r w:rsidR="006D10D1">
        <w:br w:type="page"/>
      </w:r>
    </w:p>
    <w:p w14:paraId="14C54700" w14:textId="77777777" w:rsidR="00DB7F92" w:rsidRPr="00DB7F92" w:rsidRDefault="00DB7F92" w:rsidP="003331F2">
      <w:pPr>
        <w:pStyle w:val="BodyText"/>
      </w:pPr>
    </w:p>
    <w:bookmarkEnd w:id="100"/>
    <w:p w14:paraId="381B65F2" w14:textId="77777777" w:rsidR="00DB7F92" w:rsidRPr="00DB7F92" w:rsidRDefault="00DB7F92" w:rsidP="00DB7F92">
      <w:pPr>
        <w:spacing w:line="360" w:lineRule="auto"/>
        <w:jc w:val="center"/>
        <w:rPr>
          <w:rFonts w:cs="Arial"/>
          <w:caps/>
          <w:sz w:val="28"/>
          <w:szCs w:val="28"/>
        </w:rPr>
      </w:pPr>
      <w:r w:rsidRPr="00DB7F92">
        <w:rPr>
          <w:rFonts w:cs="Arial"/>
          <w:sz w:val="28"/>
          <w:szCs w:val="28"/>
        </w:rPr>
        <w:t>Annex 1</w:t>
      </w:r>
    </w:p>
    <w:p w14:paraId="0E22B9B4" w14:textId="77777777" w:rsidR="00DB7F92" w:rsidRPr="00DB7F92" w:rsidRDefault="00DB7F92" w:rsidP="00DB7F92">
      <w:pPr>
        <w:spacing w:line="360" w:lineRule="auto"/>
        <w:jc w:val="center"/>
        <w:rPr>
          <w:rFonts w:cs="Arial"/>
          <w:caps/>
          <w:sz w:val="32"/>
          <w:szCs w:val="32"/>
        </w:rPr>
      </w:pPr>
      <w:r w:rsidRPr="00DB7F92">
        <w:rPr>
          <w:rFonts w:cs="Arial"/>
          <w:sz w:val="32"/>
          <w:szCs w:val="32"/>
        </w:rPr>
        <w:t>Extracts from Legislation</w:t>
      </w:r>
    </w:p>
    <w:p w14:paraId="653AD820" w14:textId="77777777" w:rsidR="00DB7F92" w:rsidRPr="00DB7F92" w:rsidRDefault="00DB7F92" w:rsidP="00DB7F92">
      <w:pPr>
        <w:spacing w:line="360" w:lineRule="auto"/>
        <w:jc w:val="center"/>
        <w:rPr>
          <w:rFonts w:cs="Arial"/>
          <w:b/>
          <w:caps/>
          <w:szCs w:val="24"/>
        </w:rPr>
      </w:pPr>
    </w:p>
    <w:p w14:paraId="1D822423" w14:textId="77777777" w:rsidR="00DB7F92" w:rsidRPr="00DB7F92" w:rsidRDefault="00DB7F92" w:rsidP="00DB7F92">
      <w:pPr>
        <w:spacing w:line="360" w:lineRule="auto"/>
        <w:jc w:val="center"/>
        <w:rPr>
          <w:rFonts w:cs="Arial"/>
          <w:szCs w:val="24"/>
        </w:rPr>
      </w:pPr>
      <w:r w:rsidRPr="00DB7F92">
        <w:rPr>
          <w:rFonts w:cs="Arial"/>
          <w:szCs w:val="24"/>
        </w:rPr>
        <w:t>The NHS ACT 2006 – SECTIONS 13C – 13Q</w:t>
      </w:r>
    </w:p>
    <w:p w14:paraId="24B10465" w14:textId="77777777" w:rsidR="00DB7F92" w:rsidRPr="00DB7F92" w:rsidRDefault="00DB7F92" w:rsidP="00DB7F92">
      <w:pPr>
        <w:spacing w:line="360" w:lineRule="auto"/>
        <w:jc w:val="center"/>
        <w:rPr>
          <w:rFonts w:cs="Arial"/>
          <w:szCs w:val="24"/>
        </w:rPr>
      </w:pPr>
      <w:r w:rsidRPr="00DB7F92">
        <w:rPr>
          <w:rFonts w:cs="Arial"/>
          <w:szCs w:val="24"/>
        </w:rPr>
        <w:t>General duties of the Board</w:t>
      </w:r>
    </w:p>
    <w:p w14:paraId="36025A94" w14:textId="77777777" w:rsidR="00DB7F92" w:rsidRPr="00DB7F92" w:rsidRDefault="00DB7F92" w:rsidP="00DB7F92">
      <w:pPr>
        <w:spacing w:line="360" w:lineRule="auto"/>
        <w:rPr>
          <w:rFonts w:cs="Arial"/>
          <w:szCs w:val="24"/>
        </w:rPr>
      </w:pPr>
    </w:p>
    <w:p w14:paraId="1359A8F9" w14:textId="64E9E267" w:rsidR="00DB7F92" w:rsidRPr="00DB7F92" w:rsidRDefault="00DB7F92" w:rsidP="00DB7F92">
      <w:pPr>
        <w:spacing w:line="360" w:lineRule="auto"/>
        <w:rPr>
          <w:rFonts w:cs="Arial"/>
          <w:szCs w:val="24"/>
        </w:rPr>
      </w:pPr>
      <w:r w:rsidRPr="00DB7F92">
        <w:rPr>
          <w:rFonts w:cs="Arial"/>
          <w:szCs w:val="24"/>
        </w:rPr>
        <w:t xml:space="preserve">References to "the Board" are to NHS England and </w:t>
      </w:r>
      <w:r w:rsidR="00B83042">
        <w:rPr>
          <w:rFonts w:cs="Arial"/>
          <w:szCs w:val="24"/>
        </w:rPr>
        <w:t>CCGs/ICBs</w:t>
      </w:r>
      <w:r w:rsidR="008B199F">
        <w:rPr>
          <w:rFonts w:cs="Arial"/>
          <w:szCs w:val="24"/>
        </w:rPr>
        <w:t xml:space="preserve"> </w:t>
      </w:r>
      <w:r w:rsidRPr="00DB7F92">
        <w:rPr>
          <w:rFonts w:cs="Arial"/>
          <w:szCs w:val="24"/>
        </w:rPr>
        <w:t xml:space="preserve">with delegated authority, by virtue of the terms and conditions laid out the </w:t>
      </w:r>
      <w:hyperlink r:id="rId41" w:history="1">
        <w:r w:rsidRPr="00C26739">
          <w:rPr>
            <w:rFonts w:cs="Arial"/>
            <w:color w:val="0000FF"/>
            <w:szCs w:val="24"/>
            <w:u w:val="single"/>
          </w:rPr>
          <w:t>delegation agreement</w:t>
        </w:r>
      </w:hyperlink>
      <w:r w:rsidRPr="00DB7F92">
        <w:rPr>
          <w:rFonts w:cs="Arial"/>
          <w:szCs w:val="24"/>
        </w:rPr>
        <w:t xml:space="preserve"> </w:t>
      </w:r>
    </w:p>
    <w:p w14:paraId="71B41DB0" w14:textId="77777777" w:rsidR="00DB7F92" w:rsidRPr="00DB7F92" w:rsidRDefault="00DB7F92" w:rsidP="00DB7F92">
      <w:pPr>
        <w:spacing w:line="360" w:lineRule="auto"/>
        <w:rPr>
          <w:rFonts w:cs="Arial"/>
          <w:szCs w:val="24"/>
        </w:rPr>
      </w:pPr>
    </w:p>
    <w:p w14:paraId="25E3E2D9" w14:textId="77777777" w:rsidR="00DB7F92" w:rsidRPr="00DB7F92" w:rsidRDefault="00DB7F92" w:rsidP="00DB7F92">
      <w:pPr>
        <w:spacing w:line="360" w:lineRule="auto"/>
        <w:rPr>
          <w:rFonts w:cs="Arial"/>
          <w:szCs w:val="24"/>
        </w:rPr>
      </w:pPr>
      <w:r w:rsidRPr="00DB7F92">
        <w:rPr>
          <w:rFonts w:cs="Arial"/>
          <w:szCs w:val="24"/>
        </w:rPr>
        <w:t>13C  Duty to promote NHS Constitution</w:t>
      </w:r>
    </w:p>
    <w:p w14:paraId="328266B0" w14:textId="77777777" w:rsidR="00DB7F92" w:rsidRPr="00DB7F92" w:rsidRDefault="00DB7F92" w:rsidP="00825050">
      <w:pPr>
        <w:numPr>
          <w:ilvl w:val="0"/>
          <w:numId w:val="34"/>
        </w:numPr>
        <w:tabs>
          <w:tab w:val="left" w:pos="709"/>
        </w:tabs>
        <w:spacing w:line="360" w:lineRule="auto"/>
        <w:contextualSpacing/>
        <w:jc w:val="both"/>
        <w:rPr>
          <w:rFonts w:cs="Arial"/>
          <w:szCs w:val="24"/>
        </w:rPr>
      </w:pPr>
      <w:r w:rsidRPr="00DB7F92">
        <w:rPr>
          <w:rFonts w:cs="Arial"/>
          <w:szCs w:val="24"/>
        </w:rPr>
        <w:t>The Board must, in the exercise of its functions--</w:t>
      </w:r>
    </w:p>
    <w:p w14:paraId="4FAA4F32" w14:textId="77777777" w:rsidR="00DB7F92" w:rsidRPr="00DB7F92" w:rsidRDefault="00DB7F92" w:rsidP="00DB7F92">
      <w:pPr>
        <w:spacing w:line="360" w:lineRule="auto"/>
        <w:ind w:left="1276" w:hanging="567"/>
        <w:rPr>
          <w:rFonts w:cs="Arial"/>
          <w:szCs w:val="24"/>
        </w:rPr>
      </w:pPr>
      <w:r w:rsidRPr="00DB7F92">
        <w:rPr>
          <w:rFonts w:cs="Arial"/>
          <w:szCs w:val="24"/>
        </w:rPr>
        <w:t>(a)</w:t>
      </w:r>
      <w:r w:rsidRPr="00DB7F92">
        <w:rPr>
          <w:rFonts w:cs="Arial"/>
          <w:szCs w:val="24"/>
        </w:rPr>
        <w:tab/>
        <w:t>act with a view to securing that health services are provided in a way which promotes the NHS Constitution, and</w:t>
      </w:r>
    </w:p>
    <w:p w14:paraId="53AD0229" w14:textId="77777777" w:rsidR="00DB7F92" w:rsidRPr="00DB7F92" w:rsidRDefault="00DB7F92" w:rsidP="00DB7F92">
      <w:pPr>
        <w:tabs>
          <w:tab w:val="left" w:pos="1276"/>
        </w:tabs>
        <w:spacing w:line="360" w:lineRule="auto"/>
        <w:ind w:left="1276" w:hanging="567"/>
        <w:rPr>
          <w:rFonts w:cs="Arial"/>
          <w:szCs w:val="24"/>
        </w:rPr>
      </w:pPr>
      <w:r w:rsidRPr="00DB7F92">
        <w:rPr>
          <w:rFonts w:cs="Arial"/>
          <w:szCs w:val="24"/>
        </w:rPr>
        <w:t>(b)</w:t>
      </w:r>
      <w:r w:rsidRPr="00DB7F92">
        <w:rPr>
          <w:rFonts w:cs="Arial"/>
          <w:szCs w:val="24"/>
        </w:rPr>
        <w:tab/>
        <w:t>promote awareness of the NHS Constitution among patients, staff and members of the public.</w:t>
      </w:r>
    </w:p>
    <w:p w14:paraId="2F38C64C" w14:textId="77777777" w:rsidR="00DB7F92" w:rsidRPr="00DB7F92" w:rsidRDefault="00DB7F92" w:rsidP="00825050">
      <w:pPr>
        <w:numPr>
          <w:ilvl w:val="0"/>
          <w:numId w:val="34"/>
        </w:numPr>
        <w:tabs>
          <w:tab w:val="left" w:pos="709"/>
        </w:tabs>
        <w:spacing w:line="360" w:lineRule="auto"/>
        <w:contextualSpacing/>
        <w:jc w:val="both"/>
        <w:rPr>
          <w:rFonts w:cs="Arial"/>
          <w:szCs w:val="24"/>
        </w:rPr>
      </w:pPr>
      <w:r w:rsidRPr="00DB7F92">
        <w:rPr>
          <w:rFonts w:cs="Arial"/>
          <w:szCs w:val="24"/>
        </w:rPr>
        <w:t>In this section, "patients" and "staff" have the same meaning as in Chapter 1 of Part 1 of the Health Act 2009 (see section 3(7) of that Act).</w:t>
      </w:r>
      <w:bookmarkStart w:id="113" w:name="DOC_ID_0_1"/>
      <w:bookmarkEnd w:id="113"/>
    </w:p>
    <w:p w14:paraId="301C1E90" w14:textId="77777777" w:rsidR="00DB7F92" w:rsidRPr="00DB7F92" w:rsidRDefault="00DB7F92" w:rsidP="00DB7F92">
      <w:pPr>
        <w:spacing w:line="360" w:lineRule="auto"/>
        <w:ind w:left="240"/>
        <w:rPr>
          <w:rFonts w:cs="Arial"/>
          <w:szCs w:val="24"/>
        </w:rPr>
      </w:pPr>
    </w:p>
    <w:p w14:paraId="41CD42B2" w14:textId="77777777" w:rsidR="00DB7F92" w:rsidRPr="00DB7F92" w:rsidRDefault="00DB7F92" w:rsidP="00DB7F92">
      <w:pPr>
        <w:spacing w:line="360" w:lineRule="auto"/>
        <w:rPr>
          <w:rFonts w:cs="Arial"/>
          <w:szCs w:val="24"/>
        </w:rPr>
      </w:pPr>
      <w:r w:rsidRPr="00DB7F92">
        <w:rPr>
          <w:rFonts w:cs="Arial"/>
          <w:szCs w:val="24"/>
        </w:rPr>
        <w:t>13D Duty as to effectiveness, efficiency etc</w:t>
      </w:r>
    </w:p>
    <w:p w14:paraId="7A846BF8" w14:textId="77777777" w:rsidR="00DB7F92" w:rsidRPr="00DB7F92" w:rsidRDefault="00DB7F92" w:rsidP="00DB7F92">
      <w:pPr>
        <w:spacing w:line="360" w:lineRule="auto"/>
        <w:rPr>
          <w:rFonts w:cs="Arial"/>
          <w:szCs w:val="24"/>
        </w:rPr>
      </w:pPr>
      <w:r w:rsidRPr="00DB7F92">
        <w:rPr>
          <w:rFonts w:cs="Arial"/>
          <w:szCs w:val="24"/>
        </w:rPr>
        <w:t>The Board must exercise its functions effectively, efficiently and economically.</w:t>
      </w:r>
    </w:p>
    <w:p w14:paraId="452F09F8" w14:textId="77777777" w:rsidR="00DB7F92" w:rsidRPr="00DB7F92" w:rsidRDefault="00DB7F92" w:rsidP="00DB7F92">
      <w:pPr>
        <w:spacing w:line="360" w:lineRule="auto"/>
        <w:rPr>
          <w:rFonts w:cs="Arial"/>
          <w:szCs w:val="24"/>
        </w:rPr>
      </w:pPr>
      <w:bookmarkStart w:id="114" w:name="DOC_ID_0_2"/>
      <w:bookmarkEnd w:id="114"/>
    </w:p>
    <w:p w14:paraId="389E591E" w14:textId="77777777" w:rsidR="00DB7F92" w:rsidRPr="00DB7F92" w:rsidRDefault="00DB7F92" w:rsidP="00DB7F92">
      <w:pPr>
        <w:spacing w:line="360" w:lineRule="auto"/>
        <w:rPr>
          <w:rFonts w:cs="Arial"/>
          <w:szCs w:val="24"/>
        </w:rPr>
      </w:pPr>
      <w:r w:rsidRPr="00DB7F92">
        <w:rPr>
          <w:rFonts w:cs="Arial"/>
          <w:szCs w:val="24"/>
        </w:rPr>
        <w:t>13E  Duty as to improvement in quality of services</w:t>
      </w:r>
    </w:p>
    <w:p w14:paraId="2DCDAE90" w14:textId="77777777" w:rsidR="00DB7F92" w:rsidRPr="00DB7F92" w:rsidRDefault="00DB7F92" w:rsidP="00825050">
      <w:pPr>
        <w:numPr>
          <w:ilvl w:val="0"/>
          <w:numId w:val="35"/>
        </w:numPr>
        <w:spacing w:line="360" w:lineRule="auto"/>
        <w:contextualSpacing/>
        <w:jc w:val="both"/>
        <w:rPr>
          <w:rFonts w:cs="Arial"/>
          <w:szCs w:val="24"/>
        </w:rPr>
      </w:pPr>
      <w:r w:rsidRPr="00DB7F92">
        <w:rPr>
          <w:rFonts w:cs="Arial"/>
          <w:szCs w:val="24"/>
        </w:rPr>
        <w:t>The Board must exercise its functions with a view to securing continuous improvement in the quality of services provided to individuals for or in connection with--</w:t>
      </w:r>
    </w:p>
    <w:p w14:paraId="46AE9BE9" w14:textId="77777777" w:rsidR="00DB7F92" w:rsidRPr="002F64F0" w:rsidRDefault="00DB7F92" w:rsidP="006C3DF5">
      <w:pPr>
        <w:pStyle w:val="ListParagraph"/>
        <w:numPr>
          <w:ilvl w:val="0"/>
          <w:numId w:val="201"/>
        </w:numPr>
        <w:spacing w:line="360" w:lineRule="auto"/>
        <w:ind w:left="1077" w:hanging="357"/>
        <w:rPr>
          <w:rFonts w:eastAsiaTheme="majorEastAsia"/>
        </w:rPr>
      </w:pPr>
      <w:r w:rsidRPr="002F64F0">
        <w:rPr>
          <w:rFonts w:eastAsiaTheme="majorEastAsia"/>
        </w:rPr>
        <w:t>the prevention, diagnosis or treatment of illness, or</w:t>
      </w:r>
    </w:p>
    <w:p w14:paraId="33A00C11" w14:textId="77777777" w:rsidR="00DB7F92" w:rsidRPr="002F64F0" w:rsidRDefault="00DB7F92" w:rsidP="006C3DF5">
      <w:pPr>
        <w:pStyle w:val="ListParagraph"/>
        <w:numPr>
          <w:ilvl w:val="0"/>
          <w:numId w:val="201"/>
        </w:numPr>
        <w:spacing w:line="360" w:lineRule="auto"/>
        <w:ind w:left="1077" w:hanging="357"/>
        <w:rPr>
          <w:rFonts w:eastAsiaTheme="majorEastAsia"/>
        </w:rPr>
      </w:pPr>
      <w:r w:rsidRPr="002F64F0">
        <w:rPr>
          <w:rFonts w:eastAsiaTheme="majorEastAsia"/>
        </w:rPr>
        <w:t>the protection or improvement of public health.</w:t>
      </w:r>
    </w:p>
    <w:p w14:paraId="1DFBBA86" w14:textId="77777777" w:rsidR="00DB7F92" w:rsidRPr="00DB7F92" w:rsidRDefault="00DB7F92" w:rsidP="00825050">
      <w:pPr>
        <w:numPr>
          <w:ilvl w:val="0"/>
          <w:numId w:val="35"/>
        </w:numPr>
        <w:spacing w:line="360" w:lineRule="auto"/>
        <w:contextualSpacing/>
        <w:jc w:val="both"/>
        <w:rPr>
          <w:rFonts w:cs="Arial"/>
          <w:szCs w:val="24"/>
        </w:rPr>
      </w:pPr>
      <w:r w:rsidRPr="00DB7F92">
        <w:rPr>
          <w:rFonts w:cs="Arial"/>
          <w:szCs w:val="24"/>
        </w:rPr>
        <w:t>In discharging its duty under subsection (1), the Board must, in particular, act with a view to securing continuous improvement in the outcomes that are achieved from the provision of the services.</w:t>
      </w:r>
    </w:p>
    <w:p w14:paraId="5D2F720E" w14:textId="77777777" w:rsidR="00DB7F92" w:rsidRPr="00DB7F92" w:rsidRDefault="00DB7F92" w:rsidP="00825050">
      <w:pPr>
        <w:numPr>
          <w:ilvl w:val="0"/>
          <w:numId w:val="35"/>
        </w:numPr>
        <w:spacing w:line="360" w:lineRule="auto"/>
        <w:contextualSpacing/>
        <w:jc w:val="both"/>
        <w:rPr>
          <w:rFonts w:cs="Arial"/>
          <w:szCs w:val="24"/>
        </w:rPr>
      </w:pPr>
      <w:r w:rsidRPr="00DB7F92">
        <w:rPr>
          <w:rFonts w:cs="Arial"/>
          <w:szCs w:val="24"/>
        </w:rPr>
        <w:t>The outcomes relevant for the purposes of subsection (2) include, in particular, outcomes which show--</w:t>
      </w:r>
    </w:p>
    <w:p w14:paraId="003778F4" w14:textId="77777777" w:rsidR="00DB7F92" w:rsidRPr="002F64F0" w:rsidRDefault="00DB7F92" w:rsidP="006C3DF5">
      <w:pPr>
        <w:pStyle w:val="ListParagraph"/>
        <w:numPr>
          <w:ilvl w:val="0"/>
          <w:numId w:val="202"/>
        </w:numPr>
        <w:spacing w:line="360" w:lineRule="auto"/>
        <w:rPr>
          <w:rFonts w:eastAsiaTheme="majorEastAsia"/>
        </w:rPr>
      </w:pPr>
      <w:r w:rsidRPr="002F64F0">
        <w:rPr>
          <w:rFonts w:eastAsiaTheme="majorEastAsia"/>
        </w:rPr>
        <w:t>the effectiveness of the services,</w:t>
      </w:r>
    </w:p>
    <w:p w14:paraId="6B27D166" w14:textId="77777777" w:rsidR="00DB7F92" w:rsidRPr="002F64F0" w:rsidRDefault="00DB7F92" w:rsidP="006C3DF5">
      <w:pPr>
        <w:pStyle w:val="ListParagraph"/>
        <w:numPr>
          <w:ilvl w:val="0"/>
          <w:numId w:val="202"/>
        </w:numPr>
        <w:spacing w:line="360" w:lineRule="auto"/>
        <w:ind w:left="1077" w:hanging="357"/>
        <w:rPr>
          <w:rFonts w:eastAsiaTheme="majorEastAsia"/>
        </w:rPr>
      </w:pPr>
      <w:r w:rsidRPr="002F64F0">
        <w:rPr>
          <w:rFonts w:eastAsiaTheme="majorEastAsia"/>
        </w:rPr>
        <w:t>the safety of the services, and</w:t>
      </w:r>
    </w:p>
    <w:p w14:paraId="71992F10" w14:textId="77777777" w:rsidR="00DB7F92" w:rsidRPr="002F64F0" w:rsidRDefault="00DB7F92" w:rsidP="006C3DF5">
      <w:pPr>
        <w:pStyle w:val="ListParagraph"/>
        <w:numPr>
          <w:ilvl w:val="0"/>
          <w:numId w:val="202"/>
        </w:numPr>
        <w:spacing w:line="360" w:lineRule="auto"/>
        <w:ind w:left="1077" w:hanging="357"/>
        <w:rPr>
          <w:rFonts w:eastAsiaTheme="majorEastAsia"/>
        </w:rPr>
      </w:pPr>
      <w:r w:rsidRPr="002F64F0">
        <w:rPr>
          <w:rFonts w:eastAsiaTheme="majorEastAsia"/>
        </w:rPr>
        <w:t>the quality of the experience undergone by patients.</w:t>
      </w:r>
    </w:p>
    <w:p w14:paraId="1CAF6E87" w14:textId="77777777" w:rsidR="00DB7F92" w:rsidRPr="00DB7F92" w:rsidRDefault="00DB7F92" w:rsidP="00825050">
      <w:pPr>
        <w:numPr>
          <w:ilvl w:val="0"/>
          <w:numId w:val="35"/>
        </w:numPr>
        <w:spacing w:line="360" w:lineRule="auto"/>
        <w:contextualSpacing/>
        <w:jc w:val="both"/>
        <w:rPr>
          <w:rFonts w:cs="Arial"/>
          <w:szCs w:val="24"/>
        </w:rPr>
      </w:pPr>
      <w:r w:rsidRPr="00DB7F92">
        <w:rPr>
          <w:rFonts w:cs="Arial"/>
          <w:szCs w:val="24"/>
        </w:rPr>
        <w:t>In discharging its duty under subsection (1), the Board must have regard to--</w:t>
      </w:r>
    </w:p>
    <w:p w14:paraId="112FF24F" w14:textId="77777777" w:rsidR="00DB7F92" w:rsidRPr="00DB7F92" w:rsidRDefault="00DB7F92" w:rsidP="00DB7F92">
      <w:pPr>
        <w:spacing w:line="360" w:lineRule="auto"/>
        <w:ind w:left="1276" w:hanging="567"/>
        <w:rPr>
          <w:rFonts w:cs="Arial"/>
          <w:szCs w:val="24"/>
        </w:rPr>
      </w:pPr>
      <w:r w:rsidRPr="00DB7F92">
        <w:rPr>
          <w:rFonts w:cs="Arial"/>
          <w:szCs w:val="24"/>
        </w:rPr>
        <w:t>(a)</w:t>
      </w:r>
      <w:r w:rsidRPr="00DB7F92">
        <w:rPr>
          <w:rFonts w:cs="Arial"/>
          <w:szCs w:val="24"/>
        </w:rPr>
        <w:tab/>
        <w:t xml:space="preserve">any document published by the Secretary of State for the purposes of </w:t>
      </w:r>
      <w:r w:rsidRPr="00DB7F92">
        <w:rPr>
          <w:rFonts w:cs="Arial"/>
          <w:szCs w:val="24"/>
        </w:rPr>
        <w:tab/>
        <w:t>this section, and</w:t>
      </w:r>
    </w:p>
    <w:p w14:paraId="776F7C30" w14:textId="77777777" w:rsidR="00DB7F92" w:rsidRPr="00DB7F92" w:rsidRDefault="00DB7F92" w:rsidP="00DB7F92">
      <w:pPr>
        <w:spacing w:line="360" w:lineRule="auto"/>
        <w:ind w:left="1276" w:hanging="567"/>
        <w:rPr>
          <w:rFonts w:cs="Arial"/>
          <w:szCs w:val="24"/>
        </w:rPr>
      </w:pPr>
      <w:r w:rsidRPr="00DB7F92">
        <w:rPr>
          <w:rFonts w:cs="Arial"/>
          <w:szCs w:val="24"/>
        </w:rPr>
        <w:t>(b)</w:t>
      </w:r>
      <w:r w:rsidRPr="00DB7F92">
        <w:rPr>
          <w:rFonts w:cs="Arial"/>
          <w:szCs w:val="24"/>
        </w:rPr>
        <w:tab/>
        <w:t>the quality standards prepared by NICE under section 234 of the Health and Social Care Act 2012.</w:t>
      </w:r>
      <w:bookmarkStart w:id="115" w:name="DOC_ID_0_3"/>
      <w:bookmarkEnd w:id="115"/>
    </w:p>
    <w:p w14:paraId="0AFC462F" w14:textId="77777777" w:rsidR="00DB7F92" w:rsidRPr="00DB7F92" w:rsidRDefault="00DB7F92" w:rsidP="00DB7F92">
      <w:pPr>
        <w:spacing w:line="360" w:lineRule="auto"/>
        <w:rPr>
          <w:rFonts w:cs="Arial"/>
          <w:szCs w:val="24"/>
        </w:rPr>
      </w:pPr>
    </w:p>
    <w:p w14:paraId="0B1D3F96" w14:textId="77777777" w:rsidR="00DB7F92" w:rsidRPr="00DB7F92" w:rsidRDefault="00DB7F92" w:rsidP="00DB7F92">
      <w:pPr>
        <w:spacing w:line="360" w:lineRule="auto"/>
        <w:rPr>
          <w:rFonts w:cs="Arial"/>
          <w:szCs w:val="24"/>
        </w:rPr>
      </w:pPr>
      <w:r w:rsidRPr="00DB7F92">
        <w:rPr>
          <w:rFonts w:cs="Arial"/>
          <w:szCs w:val="24"/>
        </w:rPr>
        <w:t>13F  Duty as to promoting autonomy</w:t>
      </w:r>
    </w:p>
    <w:p w14:paraId="7C1D0E0B" w14:textId="77777777" w:rsidR="00DB7F92" w:rsidRPr="00DB7F92" w:rsidRDefault="00DB7F92" w:rsidP="00825050">
      <w:pPr>
        <w:numPr>
          <w:ilvl w:val="0"/>
          <w:numId w:val="36"/>
        </w:numPr>
        <w:spacing w:line="360" w:lineRule="auto"/>
        <w:ind w:left="709" w:hanging="709"/>
        <w:contextualSpacing/>
        <w:jc w:val="both"/>
        <w:rPr>
          <w:rFonts w:cs="Arial"/>
          <w:szCs w:val="24"/>
        </w:rPr>
      </w:pPr>
      <w:r w:rsidRPr="00DB7F92">
        <w:rPr>
          <w:rFonts w:cs="Arial"/>
          <w:szCs w:val="24"/>
        </w:rPr>
        <w:t>In exercising its functions, the Board must have regard to the desirability of securing, so far as consistent with the interests of the health service--</w:t>
      </w:r>
    </w:p>
    <w:p w14:paraId="01B0B0D0" w14:textId="77777777" w:rsidR="00DB7F92" w:rsidRPr="00DB7F92" w:rsidRDefault="00DB7F92" w:rsidP="00DB7F92">
      <w:pPr>
        <w:spacing w:line="360" w:lineRule="auto"/>
        <w:ind w:left="1276" w:hanging="567"/>
        <w:rPr>
          <w:rFonts w:cs="Arial"/>
          <w:szCs w:val="24"/>
        </w:rPr>
      </w:pPr>
      <w:r w:rsidRPr="00DB7F92">
        <w:rPr>
          <w:rFonts w:cs="Arial"/>
          <w:szCs w:val="24"/>
        </w:rPr>
        <w:t>(a)</w:t>
      </w:r>
      <w:r w:rsidRPr="00DB7F92">
        <w:rPr>
          <w:rFonts w:cs="Arial"/>
          <w:szCs w:val="24"/>
        </w:rPr>
        <w:tab/>
        <w:t>that any other person exercising functions in relation to the health service or providing services for its purposes is free to exercise those functions or provide those services in the manner it considers most appropriate, and</w:t>
      </w:r>
    </w:p>
    <w:p w14:paraId="727BD5EE" w14:textId="77777777" w:rsidR="00DB7F92" w:rsidRPr="00DB7F92" w:rsidRDefault="00DB7F92" w:rsidP="00DB7F92">
      <w:pPr>
        <w:spacing w:line="360" w:lineRule="auto"/>
        <w:ind w:left="1276" w:hanging="567"/>
        <w:rPr>
          <w:rFonts w:cs="Arial"/>
          <w:szCs w:val="24"/>
        </w:rPr>
      </w:pPr>
      <w:r w:rsidRPr="00DB7F92">
        <w:rPr>
          <w:rFonts w:cs="Arial"/>
          <w:szCs w:val="24"/>
        </w:rPr>
        <w:t>(b)</w:t>
      </w:r>
      <w:r w:rsidRPr="00DB7F92">
        <w:rPr>
          <w:rFonts w:cs="Arial"/>
          <w:szCs w:val="24"/>
        </w:rPr>
        <w:tab/>
        <w:t>that unnecessary burdens are not imposed on any such person.</w:t>
      </w:r>
    </w:p>
    <w:p w14:paraId="13CAF869" w14:textId="77777777" w:rsidR="00DB7F92" w:rsidRPr="00DB7F92" w:rsidRDefault="00DB7F92" w:rsidP="00825050">
      <w:pPr>
        <w:numPr>
          <w:ilvl w:val="0"/>
          <w:numId w:val="36"/>
        </w:numPr>
        <w:spacing w:line="360" w:lineRule="auto"/>
        <w:ind w:left="709" w:hanging="709"/>
        <w:contextualSpacing/>
        <w:jc w:val="both"/>
        <w:rPr>
          <w:rFonts w:cs="Arial"/>
          <w:szCs w:val="24"/>
        </w:rPr>
      </w:pPr>
      <w:r w:rsidRPr="00DB7F92">
        <w:rPr>
          <w:rFonts w:cs="Arial"/>
          <w:szCs w:val="24"/>
        </w:rPr>
        <w:t>If, in the case of any exercise of functions, the Board considers that there is a conflict between the matters mentioned in subsection (1) and the discharge by the Board of its duties under sections 1(1) and 1H(3)(b), the Board must give priority to those duties.</w:t>
      </w:r>
    </w:p>
    <w:p w14:paraId="6CA8A2BE" w14:textId="77777777" w:rsidR="00DB7F92" w:rsidRPr="00DB7F92" w:rsidRDefault="00DB7F92" w:rsidP="00DB7F92">
      <w:pPr>
        <w:spacing w:line="360" w:lineRule="auto"/>
        <w:rPr>
          <w:rFonts w:cs="Arial"/>
          <w:szCs w:val="24"/>
        </w:rPr>
      </w:pPr>
      <w:bookmarkStart w:id="116" w:name="DOC_ID_0_4"/>
      <w:bookmarkEnd w:id="116"/>
    </w:p>
    <w:p w14:paraId="1C78419F" w14:textId="77777777" w:rsidR="00DB7F92" w:rsidRPr="00DB7F92" w:rsidRDefault="00DB7F92" w:rsidP="00DB7F92">
      <w:pPr>
        <w:spacing w:line="360" w:lineRule="auto"/>
        <w:rPr>
          <w:rFonts w:cs="Arial"/>
          <w:szCs w:val="24"/>
        </w:rPr>
      </w:pPr>
      <w:r w:rsidRPr="00DB7F92">
        <w:rPr>
          <w:rFonts w:cs="Arial"/>
          <w:szCs w:val="24"/>
        </w:rPr>
        <w:t>13G  Duty as to reducing inequalities</w:t>
      </w:r>
    </w:p>
    <w:p w14:paraId="4C7A2822" w14:textId="77777777" w:rsidR="00DB7F92" w:rsidRPr="00DB7F92" w:rsidRDefault="00DB7F92" w:rsidP="00DB7F92">
      <w:pPr>
        <w:spacing w:line="360" w:lineRule="auto"/>
        <w:rPr>
          <w:rFonts w:cs="Arial"/>
          <w:szCs w:val="24"/>
        </w:rPr>
      </w:pPr>
      <w:r w:rsidRPr="00DB7F92">
        <w:rPr>
          <w:rFonts w:cs="Arial"/>
          <w:szCs w:val="24"/>
        </w:rPr>
        <w:t>The Board must, in the exercise of its functions, have regard to the need to--</w:t>
      </w:r>
    </w:p>
    <w:p w14:paraId="0562831C" w14:textId="77777777" w:rsidR="00DB7F92" w:rsidRPr="00DB7F92" w:rsidRDefault="00DB7F92" w:rsidP="00DB7F92">
      <w:pPr>
        <w:spacing w:line="360" w:lineRule="auto"/>
        <w:ind w:left="1276" w:hanging="567"/>
        <w:rPr>
          <w:rFonts w:cs="Arial"/>
          <w:szCs w:val="24"/>
        </w:rPr>
      </w:pPr>
      <w:r w:rsidRPr="00DB7F92">
        <w:rPr>
          <w:rFonts w:cs="Arial"/>
          <w:szCs w:val="24"/>
        </w:rPr>
        <w:t>(a)</w:t>
      </w:r>
      <w:r w:rsidRPr="00DB7F92">
        <w:rPr>
          <w:rFonts w:cs="Arial"/>
          <w:szCs w:val="24"/>
        </w:rPr>
        <w:tab/>
        <w:t>reduce inequalities between patients with respect to their ability to access health services, and</w:t>
      </w:r>
    </w:p>
    <w:p w14:paraId="2F4C8C16" w14:textId="77777777" w:rsidR="00DB7F92" w:rsidRPr="00DB7F92" w:rsidRDefault="00DB7F92" w:rsidP="00DB7F92">
      <w:pPr>
        <w:spacing w:line="360" w:lineRule="auto"/>
        <w:ind w:left="1276" w:hanging="567"/>
        <w:rPr>
          <w:rFonts w:cs="Arial"/>
          <w:szCs w:val="24"/>
        </w:rPr>
      </w:pPr>
      <w:r w:rsidRPr="00DB7F92">
        <w:rPr>
          <w:rFonts w:cs="Arial"/>
          <w:szCs w:val="24"/>
        </w:rPr>
        <w:t>(b)</w:t>
      </w:r>
      <w:r w:rsidRPr="00DB7F92">
        <w:rPr>
          <w:rFonts w:cs="Arial"/>
          <w:szCs w:val="24"/>
        </w:rPr>
        <w:tab/>
        <w:t>reduce inequalities between patients with respect to the outcomes achieved for them by the provision of health services.</w:t>
      </w:r>
      <w:bookmarkStart w:id="117" w:name="DOC_ID_0_5"/>
      <w:bookmarkEnd w:id="117"/>
    </w:p>
    <w:p w14:paraId="26A6E356" w14:textId="77777777" w:rsidR="00DB7F92" w:rsidRPr="00DB7F92" w:rsidRDefault="00DB7F92" w:rsidP="00DB7F92">
      <w:pPr>
        <w:spacing w:line="360" w:lineRule="auto"/>
        <w:ind w:left="240"/>
        <w:rPr>
          <w:rFonts w:cs="Arial"/>
          <w:b/>
          <w:bCs w:val="0"/>
          <w:szCs w:val="24"/>
        </w:rPr>
      </w:pPr>
    </w:p>
    <w:p w14:paraId="6B6C2EAF" w14:textId="77777777" w:rsidR="00DB7F92" w:rsidRPr="00DB7F92" w:rsidRDefault="00DB7F92" w:rsidP="00DB7F92">
      <w:pPr>
        <w:spacing w:line="360" w:lineRule="auto"/>
        <w:rPr>
          <w:rFonts w:cs="Arial"/>
          <w:szCs w:val="24"/>
        </w:rPr>
      </w:pPr>
      <w:r w:rsidRPr="00DB7F92">
        <w:rPr>
          <w:rFonts w:cs="Arial"/>
          <w:szCs w:val="24"/>
        </w:rPr>
        <w:t>13H  Duty to promote involvement of each patient</w:t>
      </w:r>
    </w:p>
    <w:p w14:paraId="3047E49D" w14:textId="77777777" w:rsidR="00DB7F92" w:rsidRPr="00DB7F92" w:rsidRDefault="00DB7F92" w:rsidP="00DB7F92">
      <w:pPr>
        <w:spacing w:line="360" w:lineRule="auto"/>
        <w:rPr>
          <w:rFonts w:cs="Arial"/>
          <w:szCs w:val="24"/>
        </w:rPr>
      </w:pPr>
      <w:r w:rsidRPr="00DB7F92">
        <w:rPr>
          <w:rFonts w:cs="Arial"/>
          <w:szCs w:val="24"/>
        </w:rPr>
        <w:t>The Board must, in the exercise of its functions, promote the involvement of patients, and their carers and representatives (if any), in decisions which relate to--</w:t>
      </w:r>
    </w:p>
    <w:p w14:paraId="511A2A62" w14:textId="5BDAD632" w:rsidR="00DB7F92" w:rsidRPr="00DB7F92" w:rsidRDefault="00DB7F92" w:rsidP="00DB7F92">
      <w:pPr>
        <w:spacing w:line="360" w:lineRule="auto"/>
        <w:ind w:left="1276" w:hanging="567"/>
        <w:rPr>
          <w:rFonts w:cs="Arial"/>
          <w:szCs w:val="24"/>
        </w:rPr>
      </w:pPr>
      <w:r w:rsidRPr="00DB7F92">
        <w:rPr>
          <w:rFonts w:cs="Arial"/>
          <w:szCs w:val="24"/>
        </w:rPr>
        <w:t>(a) the prevention or diagnosis of illness in the patients, or</w:t>
      </w:r>
    </w:p>
    <w:p w14:paraId="73D8D926" w14:textId="7558163A" w:rsidR="00DB7F92" w:rsidRPr="00DB7F92" w:rsidRDefault="00DB7F92" w:rsidP="00DB7F92">
      <w:pPr>
        <w:spacing w:line="360" w:lineRule="auto"/>
        <w:ind w:left="1276" w:hanging="567"/>
        <w:rPr>
          <w:rFonts w:cs="Arial"/>
          <w:szCs w:val="24"/>
        </w:rPr>
      </w:pPr>
      <w:r w:rsidRPr="00DB7F92">
        <w:rPr>
          <w:rFonts w:cs="Arial"/>
          <w:szCs w:val="24"/>
        </w:rPr>
        <w:t>(b) their care or treatment.</w:t>
      </w:r>
    </w:p>
    <w:p w14:paraId="2BE367AA" w14:textId="77777777" w:rsidR="00DB7F92" w:rsidRPr="00DB7F92" w:rsidRDefault="00DB7F92" w:rsidP="00DB7F92">
      <w:pPr>
        <w:spacing w:line="360" w:lineRule="auto"/>
        <w:rPr>
          <w:rFonts w:cs="Arial"/>
          <w:szCs w:val="24"/>
        </w:rPr>
      </w:pPr>
      <w:bookmarkStart w:id="118" w:name="DOC_ID_0_6"/>
      <w:bookmarkEnd w:id="118"/>
      <w:r w:rsidRPr="00DB7F92">
        <w:rPr>
          <w:rFonts w:cs="Arial"/>
          <w:szCs w:val="24"/>
        </w:rPr>
        <w:t>13I  Duty as to patient choice</w:t>
      </w:r>
    </w:p>
    <w:p w14:paraId="4E0CB1C9" w14:textId="77777777" w:rsidR="00DB7F92" w:rsidRPr="00DB7F92" w:rsidRDefault="00DB7F92" w:rsidP="00DB7F92">
      <w:pPr>
        <w:spacing w:line="360" w:lineRule="auto"/>
        <w:rPr>
          <w:rFonts w:cs="Arial"/>
          <w:szCs w:val="24"/>
        </w:rPr>
      </w:pPr>
      <w:r w:rsidRPr="00DB7F92">
        <w:rPr>
          <w:rFonts w:cs="Arial"/>
          <w:szCs w:val="24"/>
        </w:rPr>
        <w:t>The Board must, in the exercise of its functions, act with a view to enabling patients to make choices with respect to aspects of health services provided to them.</w:t>
      </w:r>
    </w:p>
    <w:p w14:paraId="580D3B5E" w14:textId="77777777" w:rsidR="00DB7F92" w:rsidRPr="00DB7F92" w:rsidRDefault="00DB7F92" w:rsidP="00DB7F92">
      <w:pPr>
        <w:spacing w:line="360" w:lineRule="auto"/>
        <w:rPr>
          <w:rFonts w:cs="Arial"/>
          <w:szCs w:val="24"/>
        </w:rPr>
      </w:pPr>
    </w:p>
    <w:p w14:paraId="0EAB6CB4" w14:textId="77777777" w:rsidR="00DB7F92" w:rsidRPr="00DB7F92" w:rsidRDefault="00DB7F92" w:rsidP="00DB7F92">
      <w:pPr>
        <w:spacing w:line="360" w:lineRule="auto"/>
        <w:rPr>
          <w:rFonts w:cs="Arial"/>
          <w:szCs w:val="24"/>
        </w:rPr>
      </w:pPr>
      <w:bookmarkStart w:id="119" w:name="DOC_ID_0_7"/>
      <w:bookmarkEnd w:id="119"/>
      <w:r w:rsidRPr="00DB7F92">
        <w:rPr>
          <w:rFonts w:cs="Arial"/>
          <w:szCs w:val="24"/>
        </w:rPr>
        <w:t>13J  Duty to obtain appropriate advice</w:t>
      </w:r>
    </w:p>
    <w:p w14:paraId="6175E9EA" w14:textId="77777777" w:rsidR="00DB7F92" w:rsidRPr="00DB7F92" w:rsidRDefault="00DB7F92" w:rsidP="00DB7F92">
      <w:pPr>
        <w:spacing w:line="360" w:lineRule="auto"/>
        <w:rPr>
          <w:rFonts w:cs="Arial"/>
          <w:szCs w:val="24"/>
        </w:rPr>
      </w:pPr>
      <w:r w:rsidRPr="00DB7F92">
        <w:rPr>
          <w:rFonts w:cs="Arial"/>
          <w:szCs w:val="24"/>
        </w:rPr>
        <w:t>The Board must obtain advice appropriate for enabling it effectively to discharge its functions from persons who (taken together) have a broad range of professional expertise in--</w:t>
      </w:r>
    </w:p>
    <w:p w14:paraId="039B9C84" w14:textId="4F5995A6" w:rsidR="00DB7F92" w:rsidRPr="00DB7F92" w:rsidRDefault="00DB7F92" w:rsidP="00DB7F92">
      <w:pPr>
        <w:spacing w:line="360" w:lineRule="auto"/>
        <w:ind w:left="1276" w:hanging="567"/>
        <w:rPr>
          <w:rFonts w:cs="Arial"/>
          <w:szCs w:val="24"/>
        </w:rPr>
      </w:pPr>
      <w:r w:rsidRPr="00DB7F92">
        <w:rPr>
          <w:rFonts w:cs="Arial"/>
          <w:szCs w:val="24"/>
        </w:rPr>
        <w:t>(a) the prevention, diagnosis or treatment of illness, and</w:t>
      </w:r>
    </w:p>
    <w:p w14:paraId="03D013A7" w14:textId="3ACECE68" w:rsidR="00DB7F92" w:rsidRPr="00DB7F92" w:rsidRDefault="00DB7F92" w:rsidP="00DB7F92">
      <w:pPr>
        <w:spacing w:line="360" w:lineRule="auto"/>
        <w:ind w:left="1276" w:hanging="567"/>
        <w:rPr>
          <w:rFonts w:cs="Arial"/>
          <w:szCs w:val="24"/>
        </w:rPr>
      </w:pPr>
      <w:r w:rsidRPr="00DB7F92">
        <w:rPr>
          <w:rFonts w:cs="Arial"/>
          <w:szCs w:val="24"/>
        </w:rPr>
        <w:t>(b) the protection or improvement of public health.</w:t>
      </w:r>
      <w:bookmarkStart w:id="120" w:name="DOC_ID_0_8"/>
      <w:bookmarkEnd w:id="120"/>
    </w:p>
    <w:p w14:paraId="608E9AC6" w14:textId="77777777" w:rsidR="00DB7F92" w:rsidRPr="00DB7F92" w:rsidRDefault="00DB7F92" w:rsidP="00DB7F92">
      <w:pPr>
        <w:spacing w:line="360" w:lineRule="auto"/>
        <w:ind w:left="480"/>
        <w:rPr>
          <w:rFonts w:cs="Arial"/>
          <w:szCs w:val="24"/>
        </w:rPr>
      </w:pPr>
    </w:p>
    <w:p w14:paraId="59D4851B" w14:textId="77777777" w:rsidR="00DB7F92" w:rsidRPr="00DB7F92" w:rsidRDefault="00DB7F92" w:rsidP="00DB7F92">
      <w:pPr>
        <w:spacing w:line="360" w:lineRule="auto"/>
        <w:rPr>
          <w:rFonts w:cs="Arial"/>
          <w:szCs w:val="24"/>
        </w:rPr>
      </w:pPr>
      <w:r w:rsidRPr="00DB7F92">
        <w:rPr>
          <w:rFonts w:cs="Arial"/>
          <w:szCs w:val="24"/>
        </w:rPr>
        <w:t>13K  Duty to promote innovation</w:t>
      </w:r>
    </w:p>
    <w:p w14:paraId="49033B38" w14:textId="77777777" w:rsidR="00DB7F92" w:rsidRPr="00DB7F92" w:rsidRDefault="00DB7F92" w:rsidP="00825050">
      <w:pPr>
        <w:numPr>
          <w:ilvl w:val="0"/>
          <w:numId w:val="37"/>
        </w:numPr>
        <w:autoSpaceDE w:val="0"/>
        <w:autoSpaceDN w:val="0"/>
        <w:adjustRightInd w:val="0"/>
        <w:spacing w:line="360" w:lineRule="auto"/>
        <w:ind w:left="709" w:hanging="709"/>
        <w:rPr>
          <w:rFonts w:cs="Arial"/>
          <w:szCs w:val="24"/>
        </w:rPr>
      </w:pPr>
      <w:r w:rsidRPr="00DB7F92">
        <w:rPr>
          <w:rFonts w:cs="Arial"/>
          <w:szCs w:val="24"/>
        </w:rPr>
        <w:t>The Board must, in the exercise of its functions, promote innovation in the provision of health services (including innovation in the arrangements made for their provision).</w:t>
      </w:r>
    </w:p>
    <w:p w14:paraId="1C03A817" w14:textId="77777777" w:rsidR="00DB7F92" w:rsidRPr="00DB7F92" w:rsidRDefault="00DB7F92" w:rsidP="00825050">
      <w:pPr>
        <w:numPr>
          <w:ilvl w:val="0"/>
          <w:numId w:val="37"/>
        </w:numPr>
        <w:autoSpaceDE w:val="0"/>
        <w:autoSpaceDN w:val="0"/>
        <w:adjustRightInd w:val="0"/>
        <w:spacing w:line="360" w:lineRule="auto"/>
        <w:ind w:left="709" w:hanging="709"/>
        <w:rPr>
          <w:rFonts w:cs="Arial"/>
          <w:szCs w:val="24"/>
        </w:rPr>
      </w:pPr>
      <w:r w:rsidRPr="00DB7F92">
        <w:rPr>
          <w:rFonts w:cs="Arial"/>
          <w:szCs w:val="24"/>
        </w:rPr>
        <w:t>The Board may make payments as prizes to promote innovation in the provision of health services.</w:t>
      </w:r>
    </w:p>
    <w:p w14:paraId="53543E8A" w14:textId="77777777" w:rsidR="00DB7F92" w:rsidRPr="00DB7F92" w:rsidRDefault="00DB7F92" w:rsidP="00825050">
      <w:pPr>
        <w:numPr>
          <w:ilvl w:val="0"/>
          <w:numId w:val="37"/>
        </w:numPr>
        <w:spacing w:line="360" w:lineRule="auto"/>
        <w:ind w:left="709" w:hanging="709"/>
        <w:contextualSpacing/>
        <w:jc w:val="both"/>
        <w:rPr>
          <w:rFonts w:cs="Arial"/>
          <w:szCs w:val="24"/>
        </w:rPr>
      </w:pPr>
      <w:r w:rsidRPr="00DB7F92">
        <w:rPr>
          <w:rFonts w:cs="Arial"/>
          <w:szCs w:val="24"/>
        </w:rPr>
        <w:t>A prize may relate to--</w:t>
      </w:r>
    </w:p>
    <w:p w14:paraId="61F01936" w14:textId="77777777" w:rsidR="00DB7F92" w:rsidRPr="00DB7F92" w:rsidRDefault="00DB7F92" w:rsidP="00DB7F92">
      <w:pPr>
        <w:spacing w:line="360" w:lineRule="auto"/>
        <w:ind w:left="1276" w:hanging="556"/>
        <w:rPr>
          <w:rFonts w:cs="Arial"/>
          <w:szCs w:val="24"/>
        </w:rPr>
      </w:pPr>
      <w:r w:rsidRPr="00DB7F92">
        <w:rPr>
          <w:rFonts w:cs="Arial"/>
          <w:szCs w:val="24"/>
        </w:rPr>
        <w:t>(a)</w:t>
      </w:r>
      <w:r w:rsidRPr="00DB7F92">
        <w:rPr>
          <w:rFonts w:cs="Arial"/>
          <w:szCs w:val="24"/>
        </w:rPr>
        <w:tab/>
        <w:t>work at any stage of innovation (including research);</w:t>
      </w:r>
    </w:p>
    <w:p w14:paraId="530407BB" w14:textId="77777777" w:rsidR="00DB7F92" w:rsidRPr="00DB7F92" w:rsidRDefault="00DB7F92" w:rsidP="00DB7F92">
      <w:pPr>
        <w:spacing w:line="360" w:lineRule="auto"/>
        <w:ind w:left="1276" w:hanging="556"/>
        <w:rPr>
          <w:rFonts w:cs="Arial"/>
          <w:szCs w:val="24"/>
        </w:rPr>
      </w:pPr>
      <w:r w:rsidRPr="00DB7F92">
        <w:rPr>
          <w:rFonts w:cs="Arial"/>
          <w:szCs w:val="24"/>
        </w:rPr>
        <w:t>(b)</w:t>
      </w:r>
      <w:r w:rsidRPr="00DB7F92">
        <w:rPr>
          <w:rFonts w:cs="Arial"/>
          <w:szCs w:val="24"/>
        </w:rPr>
        <w:tab/>
        <w:t>work done at any time (including work before the commencement of section 23 of the Health and Social Care Act 2012).</w:t>
      </w:r>
    </w:p>
    <w:p w14:paraId="5CA965FA" w14:textId="77777777" w:rsidR="00DB7F92" w:rsidRPr="00DB7F92" w:rsidRDefault="00DB7F92" w:rsidP="00DB7F92">
      <w:pPr>
        <w:spacing w:line="360" w:lineRule="auto"/>
        <w:ind w:left="240"/>
        <w:rPr>
          <w:rFonts w:cs="Arial"/>
          <w:b/>
          <w:bCs w:val="0"/>
          <w:szCs w:val="24"/>
        </w:rPr>
      </w:pPr>
      <w:bookmarkStart w:id="121" w:name="DOC_ID_0_9"/>
      <w:bookmarkEnd w:id="121"/>
    </w:p>
    <w:p w14:paraId="69BA07E0" w14:textId="77777777" w:rsidR="00DB7F92" w:rsidRPr="00DB7F92" w:rsidRDefault="00DB7F92" w:rsidP="00DB7F92">
      <w:pPr>
        <w:spacing w:line="360" w:lineRule="auto"/>
        <w:rPr>
          <w:rFonts w:cs="Arial"/>
          <w:szCs w:val="24"/>
        </w:rPr>
      </w:pPr>
      <w:r w:rsidRPr="00DB7F92">
        <w:rPr>
          <w:rFonts w:cs="Arial"/>
          <w:szCs w:val="24"/>
        </w:rPr>
        <w:t>13L  Duty in respect of research</w:t>
      </w:r>
    </w:p>
    <w:p w14:paraId="20CD1756" w14:textId="77777777" w:rsidR="00DB7F92" w:rsidRPr="00DB7F92" w:rsidRDefault="00DB7F92" w:rsidP="00DB7F92">
      <w:pPr>
        <w:spacing w:line="360" w:lineRule="auto"/>
        <w:rPr>
          <w:rFonts w:cs="Arial"/>
          <w:szCs w:val="24"/>
        </w:rPr>
      </w:pPr>
      <w:r w:rsidRPr="00DB7F92">
        <w:rPr>
          <w:rFonts w:cs="Arial"/>
          <w:szCs w:val="24"/>
        </w:rPr>
        <w:t>The Board must, in the exercise of its functions, promote--</w:t>
      </w:r>
    </w:p>
    <w:p w14:paraId="7704F47D" w14:textId="2AD1421A" w:rsidR="00DB7F92" w:rsidRPr="00DB7F92" w:rsidRDefault="00DB7F92" w:rsidP="00DB7F92">
      <w:pPr>
        <w:spacing w:line="360" w:lineRule="auto"/>
        <w:ind w:left="1276" w:hanging="556"/>
        <w:rPr>
          <w:rFonts w:cs="Arial"/>
          <w:szCs w:val="24"/>
        </w:rPr>
      </w:pPr>
      <w:r w:rsidRPr="00DB7F92">
        <w:rPr>
          <w:rFonts w:cs="Arial"/>
          <w:szCs w:val="24"/>
        </w:rPr>
        <w:t>(a) research on matters relevant to the health service, and</w:t>
      </w:r>
    </w:p>
    <w:p w14:paraId="14244CBC" w14:textId="38E19C83" w:rsidR="00DB7F92" w:rsidRPr="00DB7F92" w:rsidRDefault="00DB7F92" w:rsidP="00DB7F92">
      <w:pPr>
        <w:spacing w:line="360" w:lineRule="auto"/>
        <w:ind w:left="1276" w:hanging="556"/>
        <w:rPr>
          <w:rFonts w:cs="Arial"/>
          <w:szCs w:val="24"/>
        </w:rPr>
      </w:pPr>
      <w:r w:rsidRPr="00DB7F92">
        <w:rPr>
          <w:rFonts w:cs="Arial"/>
          <w:szCs w:val="24"/>
        </w:rPr>
        <w:t>(b) the use in the health service of evidence obtained from research.</w:t>
      </w:r>
    </w:p>
    <w:p w14:paraId="4FA07C5F" w14:textId="77777777" w:rsidR="00DB7F92" w:rsidRPr="00DB7F92" w:rsidRDefault="00DB7F92" w:rsidP="00DB7F92">
      <w:pPr>
        <w:spacing w:line="360" w:lineRule="auto"/>
        <w:rPr>
          <w:rFonts w:cs="Arial"/>
          <w:szCs w:val="24"/>
        </w:rPr>
      </w:pPr>
    </w:p>
    <w:p w14:paraId="5AD02B91" w14:textId="77777777" w:rsidR="00DB7F92" w:rsidRPr="00DB7F92" w:rsidRDefault="00DB7F92" w:rsidP="00DB7F92">
      <w:pPr>
        <w:spacing w:line="360" w:lineRule="auto"/>
        <w:rPr>
          <w:rFonts w:cs="Arial"/>
          <w:szCs w:val="24"/>
        </w:rPr>
      </w:pPr>
      <w:bookmarkStart w:id="122" w:name="DOC_ID_0_10"/>
      <w:bookmarkEnd w:id="122"/>
      <w:r w:rsidRPr="00DB7F92">
        <w:rPr>
          <w:rFonts w:cs="Arial"/>
          <w:szCs w:val="24"/>
        </w:rPr>
        <w:t>13M  Duty as to promoting education and training</w:t>
      </w:r>
    </w:p>
    <w:p w14:paraId="7F243875" w14:textId="77777777" w:rsidR="00DB7F92" w:rsidRPr="00DB7F92" w:rsidRDefault="00DB7F92" w:rsidP="00DB7F92">
      <w:pPr>
        <w:spacing w:line="360" w:lineRule="auto"/>
        <w:rPr>
          <w:rFonts w:cs="Arial"/>
          <w:szCs w:val="24"/>
        </w:rPr>
      </w:pPr>
      <w:r w:rsidRPr="00DB7F92">
        <w:rPr>
          <w:rFonts w:cs="Arial"/>
          <w:szCs w:val="24"/>
        </w:rPr>
        <w:t>The Board must, in exercising its functions, have regard to the need to promote education and training for the persons mentioned in section 1F(1) so as to assist the Secretary of State in the discharge of the duty under that section.</w:t>
      </w:r>
    </w:p>
    <w:p w14:paraId="2B96D817" w14:textId="210A5024" w:rsidR="00DB7F92" w:rsidRDefault="00DB7F92" w:rsidP="00DB7F92">
      <w:pPr>
        <w:spacing w:line="360" w:lineRule="auto"/>
        <w:rPr>
          <w:rFonts w:cs="Arial"/>
          <w:szCs w:val="24"/>
        </w:rPr>
      </w:pPr>
      <w:bookmarkStart w:id="123" w:name="DOC_ID_0_11"/>
      <w:bookmarkEnd w:id="123"/>
    </w:p>
    <w:p w14:paraId="23B13AFD" w14:textId="6130C171" w:rsidR="00096561" w:rsidRDefault="00096561" w:rsidP="00DB7F92">
      <w:pPr>
        <w:spacing w:line="360" w:lineRule="auto"/>
        <w:rPr>
          <w:rFonts w:cs="Arial"/>
          <w:szCs w:val="24"/>
        </w:rPr>
      </w:pPr>
    </w:p>
    <w:p w14:paraId="2679FB79" w14:textId="77777777" w:rsidR="00096561" w:rsidRPr="00DB7F92" w:rsidRDefault="00096561" w:rsidP="00DB7F92">
      <w:pPr>
        <w:spacing w:line="360" w:lineRule="auto"/>
        <w:rPr>
          <w:rFonts w:cs="Arial"/>
          <w:szCs w:val="24"/>
        </w:rPr>
      </w:pPr>
    </w:p>
    <w:p w14:paraId="54ECC04C" w14:textId="77777777" w:rsidR="00DB7F92" w:rsidRPr="00DB7F92" w:rsidRDefault="00DB7F92" w:rsidP="00DB7F92">
      <w:pPr>
        <w:spacing w:line="360" w:lineRule="auto"/>
        <w:rPr>
          <w:rFonts w:cs="Arial"/>
          <w:szCs w:val="24"/>
        </w:rPr>
      </w:pPr>
      <w:r w:rsidRPr="00DB7F92">
        <w:rPr>
          <w:rFonts w:cs="Arial"/>
          <w:szCs w:val="24"/>
        </w:rPr>
        <w:t>13N  Duty as to promoting integration</w:t>
      </w:r>
    </w:p>
    <w:p w14:paraId="199A0A90" w14:textId="77777777" w:rsidR="00DB7F92" w:rsidRPr="00DB7F92" w:rsidRDefault="00DB7F92" w:rsidP="00825050">
      <w:pPr>
        <w:numPr>
          <w:ilvl w:val="0"/>
          <w:numId w:val="38"/>
        </w:numPr>
        <w:spacing w:line="360" w:lineRule="auto"/>
        <w:ind w:left="709" w:hanging="709"/>
        <w:contextualSpacing/>
        <w:jc w:val="both"/>
        <w:rPr>
          <w:rFonts w:cs="Arial"/>
          <w:szCs w:val="24"/>
        </w:rPr>
      </w:pPr>
      <w:r w:rsidRPr="00DB7F92">
        <w:rPr>
          <w:rFonts w:cs="Arial"/>
          <w:szCs w:val="24"/>
        </w:rPr>
        <w:t>The Board must exercise its functions with a view to securing that health services are provided in an integrated way where it considers that this would--</w:t>
      </w:r>
    </w:p>
    <w:p w14:paraId="4593FFD1" w14:textId="65B2162C" w:rsidR="00DB7F92" w:rsidRPr="00DB7F92" w:rsidRDefault="00DB7F92" w:rsidP="00DB7F92">
      <w:pPr>
        <w:spacing w:line="360" w:lineRule="auto"/>
        <w:ind w:left="1440" w:hanging="720"/>
        <w:rPr>
          <w:rFonts w:cs="Arial"/>
          <w:szCs w:val="24"/>
        </w:rPr>
      </w:pPr>
      <w:r w:rsidRPr="00DB7F92">
        <w:rPr>
          <w:rFonts w:cs="Arial"/>
          <w:szCs w:val="24"/>
        </w:rPr>
        <w:t>(a)</w:t>
      </w:r>
      <w:r w:rsidR="00912FE4" w:rsidRPr="00DB7F92">
        <w:rPr>
          <w:rFonts w:cs="Arial"/>
          <w:szCs w:val="24"/>
        </w:rPr>
        <w:t xml:space="preserve"> </w:t>
      </w:r>
      <w:r w:rsidRPr="00DB7F92">
        <w:rPr>
          <w:rFonts w:cs="Arial"/>
          <w:szCs w:val="24"/>
        </w:rPr>
        <w:t>improve the quality of those services (including the outcomes that are achieved from their provision),</w:t>
      </w:r>
    </w:p>
    <w:p w14:paraId="59C9D608" w14:textId="1685E49B" w:rsidR="00DB7F92" w:rsidRPr="00DB7F92" w:rsidRDefault="00DB7F92" w:rsidP="00DB7F92">
      <w:pPr>
        <w:spacing w:line="360" w:lineRule="auto"/>
        <w:ind w:left="1440" w:hanging="720"/>
        <w:rPr>
          <w:rFonts w:cs="Arial"/>
          <w:szCs w:val="24"/>
        </w:rPr>
      </w:pPr>
      <w:r w:rsidRPr="00DB7F92">
        <w:rPr>
          <w:rFonts w:cs="Arial"/>
          <w:szCs w:val="24"/>
        </w:rPr>
        <w:t>(b)</w:t>
      </w:r>
      <w:r w:rsidR="00912FE4" w:rsidRPr="00DB7F92">
        <w:rPr>
          <w:rFonts w:cs="Arial"/>
          <w:szCs w:val="24"/>
        </w:rPr>
        <w:t xml:space="preserve"> </w:t>
      </w:r>
      <w:r w:rsidRPr="00DB7F92">
        <w:rPr>
          <w:rFonts w:cs="Arial"/>
          <w:szCs w:val="24"/>
        </w:rPr>
        <w:t>reduce inequalities between persons with respect to their ability to access those services, or</w:t>
      </w:r>
    </w:p>
    <w:p w14:paraId="2F24DA55" w14:textId="299FBD97" w:rsidR="00DB7F92" w:rsidRPr="00DB7F92" w:rsidRDefault="00DB7F92" w:rsidP="00DB7F92">
      <w:pPr>
        <w:spacing w:line="360" w:lineRule="auto"/>
        <w:ind w:left="1440" w:hanging="720"/>
        <w:rPr>
          <w:rFonts w:cs="Arial"/>
          <w:szCs w:val="24"/>
        </w:rPr>
      </w:pPr>
      <w:r w:rsidRPr="00DB7F92">
        <w:rPr>
          <w:rFonts w:cs="Arial"/>
          <w:szCs w:val="24"/>
        </w:rPr>
        <w:t>(c) reduce inequalities between persons with respect to the outcomes achieved for them by the provision of those services.</w:t>
      </w:r>
    </w:p>
    <w:p w14:paraId="33D8B829" w14:textId="77777777" w:rsidR="00DB7F92" w:rsidRPr="00DB7F92" w:rsidRDefault="00DB7F92" w:rsidP="00825050">
      <w:pPr>
        <w:numPr>
          <w:ilvl w:val="0"/>
          <w:numId w:val="38"/>
        </w:numPr>
        <w:spacing w:line="360" w:lineRule="auto"/>
        <w:ind w:left="709" w:hanging="709"/>
        <w:contextualSpacing/>
        <w:jc w:val="both"/>
        <w:rPr>
          <w:rFonts w:cs="Arial"/>
          <w:szCs w:val="24"/>
        </w:rPr>
      </w:pPr>
      <w:r w:rsidRPr="00DB7F92">
        <w:rPr>
          <w:rFonts w:cs="Arial"/>
          <w:szCs w:val="24"/>
        </w:rPr>
        <w:t>The Board must exercise its functions with a view to securing that the provision of health services is integrated with the provision of health-related services or social care services where it considers that this would--</w:t>
      </w:r>
    </w:p>
    <w:p w14:paraId="1C1DC919" w14:textId="58E4EED0" w:rsidR="00DB7F92" w:rsidRPr="00DB7F92" w:rsidRDefault="00DB7F92" w:rsidP="00DB7F92">
      <w:pPr>
        <w:spacing w:line="360" w:lineRule="auto"/>
        <w:ind w:left="1440" w:hanging="720"/>
        <w:rPr>
          <w:rFonts w:cs="Arial"/>
          <w:szCs w:val="24"/>
        </w:rPr>
      </w:pPr>
      <w:r w:rsidRPr="00DB7F92">
        <w:rPr>
          <w:rFonts w:cs="Arial"/>
          <w:szCs w:val="24"/>
        </w:rPr>
        <w:t>(a)</w:t>
      </w:r>
      <w:r w:rsidR="00912FE4" w:rsidRPr="00DB7F92">
        <w:rPr>
          <w:rFonts w:cs="Arial"/>
          <w:szCs w:val="24"/>
        </w:rPr>
        <w:t xml:space="preserve"> </w:t>
      </w:r>
      <w:r w:rsidRPr="00DB7F92">
        <w:rPr>
          <w:rFonts w:cs="Arial"/>
          <w:szCs w:val="24"/>
        </w:rPr>
        <w:t>improve the quality of the health services (including the outcomes that are achieved from the provision of those services),</w:t>
      </w:r>
    </w:p>
    <w:p w14:paraId="3DB89382" w14:textId="652D2600" w:rsidR="00DB7F92" w:rsidRPr="00DB7F92" w:rsidRDefault="00DB7F92" w:rsidP="00DB7F92">
      <w:pPr>
        <w:spacing w:line="360" w:lineRule="auto"/>
        <w:ind w:left="1440" w:hanging="720"/>
        <w:rPr>
          <w:rFonts w:cs="Arial"/>
          <w:szCs w:val="24"/>
        </w:rPr>
      </w:pPr>
      <w:r w:rsidRPr="00DB7F92">
        <w:rPr>
          <w:rFonts w:cs="Arial"/>
          <w:szCs w:val="24"/>
        </w:rPr>
        <w:t>(b)</w:t>
      </w:r>
      <w:r w:rsidR="00912FE4" w:rsidRPr="00DB7F92">
        <w:rPr>
          <w:rFonts w:cs="Arial"/>
          <w:szCs w:val="24"/>
        </w:rPr>
        <w:t xml:space="preserve"> </w:t>
      </w:r>
      <w:r w:rsidRPr="00DB7F92">
        <w:rPr>
          <w:rFonts w:cs="Arial"/>
          <w:szCs w:val="24"/>
        </w:rPr>
        <w:t>reduce inequalities between persons with respect to their ability to access those services, or</w:t>
      </w:r>
    </w:p>
    <w:p w14:paraId="6CFFAA61" w14:textId="1017BF38" w:rsidR="00DB7F92" w:rsidRPr="00DB7F92" w:rsidRDefault="00DB7F92" w:rsidP="00DB7F92">
      <w:pPr>
        <w:spacing w:line="360" w:lineRule="auto"/>
        <w:ind w:left="1440" w:hanging="720"/>
        <w:rPr>
          <w:rFonts w:cs="Arial"/>
          <w:szCs w:val="24"/>
        </w:rPr>
      </w:pPr>
      <w:r w:rsidRPr="00DB7F92">
        <w:rPr>
          <w:rFonts w:cs="Arial"/>
          <w:szCs w:val="24"/>
        </w:rPr>
        <w:t>(c) reduce inequalities between persons with respect to the outcomes achieved for them by the provision of those services.</w:t>
      </w:r>
    </w:p>
    <w:p w14:paraId="2738485F" w14:textId="7997392C" w:rsidR="00DB7F92" w:rsidRPr="00DB7F92" w:rsidRDefault="00DB7F92" w:rsidP="00825050">
      <w:pPr>
        <w:numPr>
          <w:ilvl w:val="0"/>
          <w:numId w:val="38"/>
        </w:numPr>
        <w:spacing w:line="360" w:lineRule="auto"/>
        <w:ind w:left="709" w:hanging="709"/>
        <w:contextualSpacing/>
        <w:jc w:val="both"/>
        <w:rPr>
          <w:rFonts w:cs="Arial"/>
          <w:szCs w:val="24"/>
        </w:rPr>
      </w:pPr>
      <w:r w:rsidRPr="00DB7F92">
        <w:rPr>
          <w:rFonts w:cs="Arial"/>
          <w:szCs w:val="24"/>
        </w:rPr>
        <w:t>The Board must encourage clinical commissioning groups to enter into arrangements with local authorities in pursuance of regulations under section 75 where it considers that this would secure--</w:t>
      </w:r>
    </w:p>
    <w:p w14:paraId="353D252D" w14:textId="418B1D92" w:rsidR="00DB7F92" w:rsidRPr="00DB7F92" w:rsidRDefault="00DB7F92" w:rsidP="00DB7F92">
      <w:pPr>
        <w:spacing w:line="360" w:lineRule="auto"/>
        <w:ind w:left="1440" w:hanging="720"/>
        <w:rPr>
          <w:rFonts w:cs="Arial"/>
          <w:szCs w:val="24"/>
        </w:rPr>
      </w:pPr>
      <w:r w:rsidRPr="00DB7F92">
        <w:rPr>
          <w:rFonts w:cs="Arial"/>
          <w:szCs w:val="24"/>
        </w:rPr>
        <w:t>(a)</w:t>
      </w:r>
      <w:r w:rsidR="00912FE4" w:rsidRPr="00DB7F92">
        <w:rPr>
          <w:rFonts w:cs="Arial"/>
          <w:szCs w:val="24"/>
        </w:rPr>
        <w:t xml:space="preserve"> </w:t>
      </w:r>
      <w:r w:rsidRPr="00DB7F92">
        <w:rPr>
          <w:rFonts w:cs="Arial"/>
          <w:szCs w:val="24"/>
        </w:rPr>
        <w:t>that health services are provided in an integrated way and that this would have any of the effects mentioned in subsection (1)(a) to (c), or</w:t>
      </w:r>
    </w:p>
    <w:p w14:paraId="05C7FFD3" w14:textId="6A953138" w:rsidR="00DB7F92" w:rsidRPr="00DB7F92" w:rsidRDefault="00DB7F92" w:rsidP="00DB7F92">
      <w:pPr>
        <w:spacing w:line="360" w:lineRule="auto"/>
        <w:ind w:left="1440" w:hanging="720"/>
        <w:rPr>
          <w:rFonts w:cs="Arial"/>
          <w:szCs w:val="24"/>
        </w:rPr>
      </w:pPr>
      <w:r w:rsidRPr="00DB7F92">
        <w:rPr>
          <w:rFonts w:cs="Arial"/>
          <w:szCs w:val="24"/>
        </w:rPr>
        <w:t>(b)</w:t>
      </w:r>
      <w:r w:rsidR="00912FE4" w:rsidRPr="00DB7F92">
        <w:rPr>
          <w:rFonts w:cs="Arial"/>
          <w:szCs w:val="24"/>
        </w:rPr>
        <w:t xml:space="preserve"> </w:t>
      </w:r>
      <w:r w:rsidRPr="00DB7F92">
        <w:rPr>
          <w:rFonts w:cs="Arial"/>
          <w:szCs w:val="24"/>
        </w:rPr>
        <w:t>that the provision of health services is integrated with the provision of health-related services or social care services and that this would have any of the effects mentioned in subsection (2)(a) to (c).</w:t>
      </w:r>
    </w:p>
    <w:p w14:paraId="64ADF846" w14:textId="77777777" w:rsidR="00DB7F92" w:rsidRPr="00DB7F92" w:rsidRDefault="00DB7F92" w:rsidP="00825050">
      <w:pPr>
        <w:numPr>
          <w:ilvl w:val="0"/>
          <w:numId w:val="38"/>
        </w:numPr>
        <w:spacing w:line="360" w:lineRule="auto"/>
        <w:ind w:left="709" w:hanging="709"/>
        <w:contextualSpacing/>
        <w:jc w:val="both"/>
        <w:rPr>
          <w:rFonts w:cs="Arial"/>
          <w:szCs w:val="24"/>
        </w:rPr>
      </w:pPr>
      <w:r w:rsidRPr="00DB7F92">
        <w:rPr>
          <w:rFonts w:cs="Arial"/>
          <w:szCs w:val="24"/>
        </w:rPr>
        <w:t>In this section--</w:t>
      </w:r>
    </w:p>
    <w:p w14:paraId="011A7F3C" w14:textId="77777777" w:rsidR="00DB7F92" w:rsidRPr="00DB7F92" w:rsidRDefault="00DB7F92" w:rsidP="00DB7F92">
      <w:pPr>
        <w:spacing w:line="360" w:lineRule="auto"/>
        <w:ind w:left="709"/>
        <w:rPr>
          <w:rFonts w:cs="Arial"/>
          <w:szCs w:val="24"/>
        </w:rPr>
      </w:pPr>
      <w:r w:rsidRPr="00DB7F92">
        <w:rPr>
          <w:rFonts w:cs="Arial"/>
          <w:szCs w:val="24"/>
        </w:rPr>
        <w:t>"health-related services" means services that may have an effect on the health of individuals but are not health services or social care services;</w:t>
      </w:r>
    </w:p>
    <w:p w14:paraId="708FC030" w14:textId="77777777" w:rsidR="00DB7F92" w:rsidRPr="00DB7F92" w:rsidRDefault="00DB7F92" w:rsidP="00DB7F92">
      <w:pPr>
        <w:spacing w:line="360" w:lineRule="auto"/>
        <w:ind w:left="709"/>
        <w:rPr>
          <w:rFonts w:cs="Arial"/>
          <w:szCs w:val="24"/>
        </w:rPr>
      </w:pPr>
      <w:r w:rsidRPr="00DB7F92">
        <w:rPr>
          <w:rFonts w:cs="Arial"/>
          <w:szCs w:val="24"/>
        </w:rPr>
        <w:t>"social care services" means services that are provided in pursuance of the social services functions of local authorities (within the meaning of the Local Authority Social Services Act 1970).</w:t>
      </w:r>
    </w:p>
    <w:p w14:paraId="55CCF5C3" w14:textId="30B10841" w:rsidR="00DB7F92" w:rsidRDefault="00DB7F92" w:rsidP="00DB7F92">
      <w:pPr>
        <w:spacing w:line="360" w:lineRule="auto"/>
        <w:rPr>
          <w:rFonts w:cs="Arial"/>
          <w:szCs w:val="24"/>
        </w:rPr>
      </w:pPr>
      <w:bookmarkStart w:id="124" w:name="DOC_ID_0_12"/>
      <w:bookmarkEnd w:id="124"/>
    </w:p>
    <w:p w14:paraId="12968167" w14:textId="77777777" w:rsidR="00096561" w:rsidRPr="00DB7F92" w:rsidRDefault="00096561" w:rsidP="00DB7F92">
      <w:pPr>
        <w:spacing w:line="360" w:lineRule="auto"/>
        <w:rPr>
          <w:rFonts w:cs="Arial"/>
          <w:szCs w:val="24"/>
        </w:rPr>
      </w:pPr>
    </w:p>
    <w:p w14:paraId="32FD16AD" w14:textId="77777777" w:rsidR="00DB7F92" w:rsidRPr="00DB7F92" w:rsidRDefault="00DB7F92" w:rsidP="00DB7F92">
      <w:pPr>
        <w:spacing w:line="360" w:lineRule="auto"/>
        <w:rPr>
          <w:rFonts w:cs="Arial"/>
          <w:szCs w:val="24"/>
        </w:rPr>
      </w:pPr>
      <w:r w:rsidRPr="00DB7F92">
        <w:rPr>
          <w:rFonts w:cs="Arial"/>
          <w:szCs w:val="24"/>
        </w:rPr>
        <w:t>13O  Duty to have regard to impact on services in certain areas</w:t>
      </w:r>
    </w:p>
    <w:p w14:paraId="325BC6B6" w14:textId="77777777" w:rsidR="00DB7F92" w:rsidRPr="00DB7F92" w:rsidRDefault="00DB7F92" w:rsidP="00825050">
      <w:pPr>
        <w:numPr>
          <w:ilvl w:val="0"/>
          <w:numId w:val="39"/>
        </w:numPr>
        <w:spacing w:line="360" w:lineRule="auto"/>
        <w:ind w:left="709" w:hanging="709"/>
        <w:contextualSpacing/>
        <w:jc w:val="both"/>
        <w:rPr>
          <w:rFonts w:cs="Arial"/>
          <w:szCs w:val="24"/>
        </w:rPr>
      </w:pPr>
      <w:r w:rsidRPr="00DB7F92">
        <w:rPr>
          <w:rFonts w:cs="Arial"/>
          <w:szCs w:val="24"/>
        </w:rPr>
        <w:t>In making commissioning decisions, the Board must have regard to the likely impact of those decisions on the provision of health services to persons who reside in an area of Wales or Scotland that is close to the border with England.</w:t>
      </w:r>
    </w:p>
    <w:p w14:paraId="05E3021F" w14:textId="77777777" w:rsidR="00DB7F92" w:rsidRPr="00DB7F92" w:rsidRDefault="00DB7F92" w:rsidP="00825050">
      <w:pPr>
        <w:numPr>
          <w:ilvl w:val="0"/>
          <w:numId w:val="39"/>
        </w:numPr>
        <w:spacing w:line="360" w:lineRule="auto"/>
        <w:ind w:left="709" w:hanging="709"/>
        <w:contextualSpacing/>
        <w:jc w:val="both"/>
        <w:rPr>
          <w:rFonts w:cs="Arial"/>
          <w:szCs w:val="24"/>
        </w:rPr>
      </w:pPr>
      <w:r w:rsidRPr="00DB7F92">
        <w:rPr>
          <w:rFonts w:cs="Arial"/>
          <w:szCs w:val="24"/>
        </w:rPr>
        <w:t>In this section, "commissioning decisions", in relation to the Board, means decisions about the carrying out of its functions in arranging for the provision of health services.</w:t>
      </w:r>
    </w:p>
    <w:p w14:paraId="70D5161B" w14:textId="77777777" w:rsidR="00DB7F92" w:rsidRPr="00DB7F92" w:rsidRDefault="00DB7F92" w:rsidP="00DB7F92">
      <w:pPr>
        <w:spacing w:line="360" w:lineRule="auto"/>
        <w:ind w:left="240"/>
        <w:rPr>
          <w:rFonts w:cs="Arial"/>
          <w:b/>
          <w:szCs w:val="24"/>
        </w:rPr>
      </w:pPr>
    </w:p>
    <w:p w14:paraId="39BE0883" w14:textId="77777777" w:rsidR="00DB7F92" w:rsidRPr="00DB7F92" w:rsidRDefault="00DB7F92" w:rsidP="00DB7F92">
      <w:pPr>
        <w:spacing w:line="360" w:lineRule="auto"/>
        <w:ind w:right="139"/>
        <w:rPr>
          <w:rFonts w:cs="Arial"/>
          <w:bCs w:val="0"/>
          <w:szCs w:val="24"/>
        </w:rPr>
      </w:pPr>
      <w:r w:rsidRPr="00DB7F92">
        <w:rPr>
          <w:rFonts w:cs="Arial"/>
          <w:szCs w:val="24"/>
        </w:rPr>
        <w:t>13P</w:t>
      </w:r>
      <w:r w:rsidRPr="00DB7F92">
        <w:rPr>
          <w:rFonts w:cs="Arial"/>
          <w:bCs w:val="0"/>
          <w:szCs w:val="24"/>
        </w:rPr>
        <w:t xml:space="preserve"> </w:t>
      </w:r>
      <w:r w:rsidRPr="00DB7F92">
        <w:rPr>
          <w:rFonts w:cs="Arial"/>
          <w:szCs w:val="24"/>
        </w:rPr>
        <w:t>Duty as respects variation in provision of health services</w:t>
      </w:r>
    </w:p>
    <w:p w14:paraId="4A59696C" w14:textId="77777777" w:rsidR="00DB7F92" w:rsidRPr="00DB7F92" w:rsidRDefault="00DB7F92" w:rsidP="00DB7F92">
      <w:pPr>
        <w:spacing w:line="360" w:lineRule="auto"/>
        <w:ind w:right="139"/>
        <w:rPr>
          <w:rFonts w:cs="Arial"/>
          <w:szCs w:val="24"/>
        </w:rPr>
      </w:pPr>
      <w:r w:rsidRPr="00DB7F92">
        <w:rPr>
          <w:rFonts w:cs="Arial"/>
          <w:szCs w:val="24"/>
        </w:rPr>
        <w:t>The Board must not exercise its functions for the purpose of causing a variation in the proportion of services provided as part of the health service that is provided by persons of a particular description if that description is by reference to—</w:t>
      </w:r>
    </w:p>
    <w:p w14:paraId="632E3A49" w14:textId="77777777" w:rsidR="00DB7F92" w:rsidRPr="00DB7F92" w:rsidRDefault="00DB7F92" w:rsidP="00DB7F92">
      <w:pPr>
        <w:spacing w:line="360" w:lineRule="auto"/>
        <w:ind w:left="1440" w:hanging="720"/>
        <w:rPr>
          <w:rFonts w:cs="Arial"/>
          <w:szCs w:val="24"/>
        </w:rPr>
      </w:pPr>
      <w:r w:rsidRPr="00DB7F92">
        <w:rPr>
          <w:rFonts w:cs="Arial"/>
          <w:szCs w:val="24"/>
        </w:rPr>
        <w:t xml:space="preserve">(a) </w:t>
      </w:r>
      <w:r w:rsidRPr="00DB7F92">
        <w:rPr>
          <w:rFonts w:cs="Arial"/>
          <w:szCs w:val="24"/>
        </w:rPr>
        <w:tab/>
        <w:t>whether the persons in question are in the public or (as the case may be) private sector, or</w:t>
      </w:r>
    </w:p>
    <w:p w14:paraId="7F7EEB7E" w14:textId="77777777" w:rsidR="00DB7F92" w:rsidRPr="00DB7F92" w:rsidRDefault="00DB7F92" w:rsidP="00DB7F92">
      <w:pPr>
        <w:spacing w:line="360" w:lineRule="auto"/>
        <w:ind w:left="1440" w:hanging="720"/>
        <w:rPr>
          <w:rFonts w:cs="Arial"/>
          <w:szCs w:val="24"/>
        </w:rPr>
      </w:pPr>
      <w:r w:rsidRPr="00DB7F92">
        <w:rPr>
          <w:rFonts w:cs="Arial"/>
          <w:szCs w:val="24"/>
        </w:rPr>
        <w:t xml:space="preserve">(b) </w:t>
      </w:r>
      <w:r w:rsidRPr="00DB7F92">
        <w:rPr>
          <w:rFonts w:cs="Arial"/>
          <w:szCs w:val="24"/>
        </w:rPr>
        <w:tab/>
        <w:t>some other aspect of their status.</w:t>
      </w:r>
    </w:p>
    <w:p w14:paraId="431D2CF8" w14:textId="77777777" w:rsidR="00DB7F92" w:rsidRPr="00DB7F92" w:rsidRDefault="00DB7F92" w:rsidP="00DB7F92">
      <w:pPr>
        <w:spacing w:line="360" w:lineRule="auto"/>
        <w:rPr>
          <w:rFonts w:cs="Arial"/>
          <w:szCs w:val="24"/>
        </w:rPr>
      </w:pPr>
    </w:p>
    <w:p w14:paraId="51530B05" w14:textId="77777777" w:rsidR="00DB7F92" w:rsidRPr="00DB7F92" w:rsidRDefault="00DB7F92" w:rsidP="00DB7F92">
      <w:pPr>
        <w:spacing w:line="360" w:lineRule="auto"/>
        <w:rPr>
          <w:rFonts w:cs="Arial"/>
          <w:szCs w:val="24"/>
        </w:rPr>
      </w:pPr>
      <w:r w:rsidRPr="00DB7F92">
        <w:rPr>
          <w:rFonts w:cs="Arial"/>
          <w:szCs w:val="24"/>
        </w:rPr>
        <w:t>13Q  Public involvement and consultation by the Board</w:t>
      </w:r>
    </w:p>
    <w:p w14:paraId="79DAB25A" w14:textId="77777777" w:rsidR="00DB7F92" w:rsidRPr="00DB7F92" w:rsidRDefault="00DB7F92" w:rsidP="00DB7F92">
      <w:pPr>
        <w:spacing w:line="360" w:lineRule="auto"/>
        <w:rPr>
          <w:rFonts w:cs="Arial"/>
          <w:b/>
          <w:bCs w:val="0"/>
          <w:szCs w:val="24"/>
        </w:rPr>
      </w:pPr>
    </w:p>
    <w:p w14:paraId="55F92A58" w14:textId="77777777" w:rsidR="00DB7F92" w:rsidRPr="00DB7F92" w:rsidRDefault="00DB7F92" w:rsidP="00825050">
      <w:pPr>
        <w:numPr>
          <w:ilvl w:val="0"/>
          <w:numId w:val="40"/>
        </w:numPr>
        <w:spacing w:line="360" w:lineRule="auto"/>
        <w:ind w:left="851" w:hanging="851"/>
        <w:contextualSpacing/>
        <w:jc w:val="both"/>
        <w:rPr>
          <w:rFonts w:cs="Arial"/>
          <w:szCs w:val="24"/>
        </w:rPr>
      </w:pPr>
      <w:r w:rsidRPr="00DB7F92">
        <w:rPr>
          <w:rFonts w:cs="Arial"/>
          <w:szCs w:val="24"/>
        </w:rPr>
        <w:t>This section applies in relation to any health services which are, or are to be, provided pursuant to arrangements made by the Board in the exercise of its functions ("commissioning arrangements").</w:t>
      </w:r>
    </w:p>
    <w:p w14:paraId="52DA515A" w14:textId="77777777" w:rsidR="00DB7F92" w:rsidRPr="00DB7F92" w:rsidRDefault="00DB7F92" w:rsidP="00825050">
      <w:pPr>
        <w:numPr>
          <w:ilvl w:val="0"/>
          <w:numId w:val="40"/>
        </w:numPr>
        <w:spacing w:line="360" w:lineRule="auto"/>
        <w:ind w:left="851" w:hanging="851"/>
        <w:contextualSpacing/>
        <w:jc w:val="both"/>
        <w:rPr>
          <w:rFonts w:cs="Arial"/>
          <w:szCs w:val="24"/>
        </w:rPr>
      </w:pPr>
      <w:r w:rsidRPr="00DB7F92">
        <w:rPr>
          <w:rFonts w:cs="Arial"/>
          <w:szCs w:val="24"/>
        </w:rPr>
        <w:t xml:space="preserve">The Board must make arrangements to secure that individuals to whom the services are being or may be provided are involved (whether by being consulted or provided with information or in other ways) – </w:t>
      </w:r>
    </w:p>
    <w:p w14:paraId="1C6FCC4E" w14:textId="01CA9CA4" w:rsidR="00DB7F92" w:rsidRPr="00DB7F92" w:rsidRDefault="00DB7F92" w:rsidP="00DB7F92">
      <w:pPr>
        <w:spacing w:line="360" w:lineRule="auto"/>
        <w:ind w:left="1440" w:hanging="720"/>
        <w:rPr>
          <w:rFonts w:cs="Arial"/>
          <w:szCs w:val="24"/>
        </w:rPr>
      </w:pPr>
      <w:r w:rsidRPr="00DB7F92">
        <w:rPr>
          <w:rFonts w:cs="Arial"/>
          <w:szCs w:val="24"/>
        </w:rPr>
        <w:t>(a)</w:t>
      </w:r>
      <w:r w:rsidR="00912FE4" w:rsidRPr="00DB7F92">
        <w:rPr>
          <w:rFonts w:cs="Arial"/>
          <w:szCs w:val="24"/>
        </w:rPr>
        <w:t xml:space="preserve"> </w:t>
      </w:r>
      <w:r w:rsidRPr="00DB7F92">
        <w:rPr>
          <w:rFonts w:cs="Arial"/>
          <w:szCs w:val="24"/>
        </w:rPr>
        <w:t>in the planning of the commissioning arrangements by the Board,</w:t>
      </w:r>
    </w:p>
    <w:p w14:paraId="07FD8150" w14:textId="5EEBCE36" w:rsidR="00DB7F92" w:rsidRPr="00DB7F92" w:rsidRDefault="00DB7F92" w:rsidP="00DB7F92">
      <w:pPr>
        <w:spacing w:line="360" w:lineRule="auto"/>
        <w:ind w:left="1440" w:hanging="720"/>
        <w:rPr>
          <w:rFonts w:cs="Arial"/>
          <w:szCs w:val="24"/>
        </w:rPr>
      </w:pPr>
      <w:r w:rsidRPr="00DB7F92">
        <w:rPr>
          <w:rFonts w:cs="Arial"/>
          <w:szCs w:val="24"/>
        </w:rPr>
        <w:t>(b)</w:t>
      </w:r>
      <w:r w:rsidR="00912FE4" w:rsidRPr="00DB7F92">
        <w:rPr>
          <w:rFonts w:cs="Arial"/>
          <w:szCs w:val="24"/>
        </w:rPr>
        <w:t xml:space="preserve"> </w:t>
      </w:r>
      <w:r w:rsidRPr="00DB7F92">
        <w:rPr>
          <w:rFonts w:cs="Arial"/>
          <w:szCs w:val="24"/>
        </w:rPr>
        <w:t>in the development and consideration of proposals by the Board for changes in the commissioning arrangements where the implementation of the proposals would have an impact on the manner in which the services are delivered to the individuals or the range of health services available to them, and</w:t>
      </w:r>
    </w:p>
    <w:p w14:paraId="23569DA6" w14:textId="77777777" w:rsidR="00DB7F92" w:rsidRPr="00DB7F92" w:rsidRDefault="00DB7F92" w:rsidP="00DB7F92">
      <w:pPr>
        <w:spacing w:line="360" w:lineRule="auto"/>
        <w:ind w:left="1440" w:hanging="720"/>
        <w:rPr>
          <w:rFonts w:cs="Arial"/>
          <w:szCs w:val="24"/>
        </w:rPr>
      </w:pPr>
      <w:r w:rsidRPr="00DB7F92">
        <w:rPr>
          <w:rFonts w:cs="Arial"/>
          <w:szCs w:val="24"/>
        </w:rPr>
        <w:t xml:space="preserve">(c) </w:t>
      </w:r>
      <w:r w:rsidRPr="00DB7F92">
        <w:rPr>
          <w:rFonts w:cs="Arial"/>
          <w:szCs w:val="24"/>
        </w:rPr>
        <w:tab/>
        <w:t>in decisions of the Board affecting the operation of the commissioning arrangements where the implementation of the decisions would (if made) have such an impact.</w:t>
      </w:r>
    </w:p>
    <w:p w14:paraId="4CEABD00" w14:textId="77777777" w:rsidR="00DB7F92" w:rsidRPr="00DB7F92" w:rsidRDefault="00DB7F92" w:rsidP="00825050">
      <w:pPr>
        <w:numPr>
          <w:ilvl w:val="0"/>
          <w:numId w:val="40"/>
        </w:numPr>
        <w:spacing w:line="360" w:lineRule="auto"/>
        <w:ind w:left="851" w:hanging="851"/>
        <w:contextualSpacing/>
        <w:jc w:val="both"/>
        <w:rPr>
          <w:rFonts w:cs="Arial"/>
          <w:szCs w:val="24"/>
        </w:rPr>
      </w:pPr>
      <w:r w:rsidRPr="00DB7F92">
        <w:rPr>
          <w:rFonts w:cs="Arial"/>
          <w:szCs w:val="24"/>
        </w:rPr>
        <w:t>The reference in subsection (2)(b) to the delivery of services is a reference to their delivery at the point when they are received by users.</w:t>
      </w:r>
    </w:p>
    <w:p w14:paraId="64617EB7" w14:textId="77777777" w:rsidR="00DB7F92" w:rsidRPr="00DB7F92" w:rsidRDefault="00DB7F92" w:rsidP="00825050">
      <w:pPr>
        <w:numPr>
          <w:ilvl w:val="0"/>
          <w:numId w:val="40"/>
        </w:numPr>
        <w:spacing w:line="360" w:lineRule="auto"/>
        <w:ind w:left="851" w:hanging="851"/>
        <w:contextualSpacing/>
        <w:jc w:val="both"/>
        <w:rPr>
          <w:rFonts w:cs="Arial"/>
          <w:szCs w:val="24"/>
        </w:rPr>
      </w:pPr>
      <w:r w:rsidRPr="00DB7F92">
        <w:rPr>
          <w:rFonts w:cs="Arial"/>
          <w:szCs w:val="24"/>
        </w:rPr>
        <w:t>This section does not require the Board to make arrangements in relation to matters to which a trust special administrator's report or draft report under section 65F or 65I relates before the Secretary of State makes a decision under section 65K(1), is satisfied as mentioned in section 65KB(1) or 65KD(1) or makes a decision under section 65KD(9) (as the case may be).</w:t>
      </w:r>
    </w:p>
    <w:p w14:paraId="2C3EF8FB" w14:textId="77777777" w:rsidR="00332153" w:rsidRDefault="00332153" w:rsidP="00DB7F92">
      <w:pPr>
        <w:spacing w:line="360" w:lineRule="auto"/>
        <w:jc w:val="center"/>
        <w:rPr>
          <w:rFonts w:cs="Arial"/>
          <w:szCs w:val="24"/>
        </w:rPr>
      </w:pPr>
    </w:p>
    <w:p w14:paraId="0B472AE5" w14:textId="77777777" w:rsidR="00DB7F92" w:rsidRPr="00DB7F92" w:rsidRDefault="00DB7F92" w:rsidP="00DB7F92">
      <w:pPr>
        <w:spacing w:line="360" w:lineRule="auto"/>
        <w:jc w:val="center"/>
        <w:rPr>
          <w:rFonts w:cs="Arial"/>
          <w:szCs w:val="24"/>
        </w:rPr>
      </w:pPr>
      <w:r w:rsidRPr="00DB7F92">
        <w:rPr>
          <w:rFonts w:cs="Arial"/>
          <w:szCs w:val="24"/>
        </w:rPr>
        <w:t>THE EQUALITY ACT 2010 - SECTION 149</w:t>
      </w:r>
    </w:p>
    <w:p w14:paraId="444542B2" w14:textId="77777777" w:rsidR="00DB7F92" w:rsidRPr="00DB7F92" w:rsidRDefault="00DB7F92" w:rsidP="00DB7F92">
      <w:pPr>
        <w:spacing w:line="360" w:lineRule="auto"/>
        <w:jc w:val="center"/>
        <w:rPr>
          <w:rFonts w:cs="Arial"/>
          <w:szCs w:val="24"/>
        </w:rPr>
      </w:pPr>
      <w:r w:rsidRPr="00DB7F92">
        <w:rPr>
          <w:rFonts w:cs="Arial"/>
          <w:szCs w:val="24"/>
        </w:rPr>
        <w:t>Advancement of equality</w:t>
      </w:r>
    </w:p>
    <w:p w14:paraId="301C86A6" w14:textId="77777777" w:rsidR="00DB7F92" w:rsidRPr="00DB7F92" w:rsidRDefault="00DB7F92" w:rsidP="00DB7F92">
      <w:pPr>
        <w:spacing w:line="360" w:lineRule="auto"/>
        <w:jc w:val="center"/>
        <w:rPr>
          <w:rFonts w:cs="Arial"/>
          <w:b/>
          <w:szCs w:val="24"/>
        </w:rPr>
      </w:pPr>
    </w:p>
    <w:p w14:paraId="51665BEE" w14:textId="77777777" w:rsidR="00DB7F92" w:rsidRPr="00DB7F92" w:rsidRDefault="00DB7F92" w:rsidP="00DB7F92">
      <w:pPr>
        <w:spacing w:line="360" w:lineRule="auto"/>
        <w:rPr>
          <w:rFonts w:cs="Arial"/>
          <w:szCs w:val="24"/>
        </w:rPr>
      </w:pPr>
      <w:r w:rsidRPr="00DB7F92">
        <w:rPr>
          <w:rFonts w:cs="Arial"/>
          <w:szCs w:val="24"/>
        </w:rPr>
        <w:t xml:space="preserve"> 149   Public sector equality duty</w:t>
      </w:r>
    </w:p>
    <w:p w14:paraId="5EE19A31" w14:textId="77777777" w:rsidR="00DB7F92" w:rsidRPr="00DB7F92" w:rsidRDefault="00DB7F92" w:rsidP="00825050">
      <w:pPr>
        <w:numPr>
          <w:ilvl w:val="0"/>
          <w:numId w:val="41"/>
        </w:numPr>
        <w:shd w:val="clear" w:color="auto" w:fill="FFFFFF"/>
        <w:spacing w:line="360" w:lineRule="auto"/>
        <w:ind w:left="851" w:hanging="760"/>
        <w:contextualSpacing/>
        <w:jc w:val="both"/>
        <w:rPr>
          <w:rFonts w:eastAsia="Calibri" w:cs="Arial"/>
          <w:szCs w:val="24"/>
        </w:rPr>
      </w:pPr>
      <w:r w:rsidRPr="00DB7F92">
        <w:rPr>
          <w:rFonts w:eastAsia="Calibri" w:cs="Arial"/>
          <w:szCs w:val="24"/>
        </w:rPr>
        <w:t>A public authority must, in the exercise of its functions, have due regard to the need to—</w:t>
      </w:r>
    </w:p>
    <w:p w14:paraId="0FE536C0" w14:textId="268021E7" w:rsidR="00DB7F92" w:rsidRPr="00DB7F92" w:rsidRDefault="00DB7F92" w:rsidP="00DB7F92">
      <w:pPr>
        <w:shd w:val="clear" w:color="auto" w:fill="FFFFFF"/>
        <w:spacing w:line="360" w:lineRule="auto"/>
        <w:ind w:left="1418" w:hanging="567"/>
        <w:rPr>
          <w:rFonts w:eastAsia="Calibri" w:cs="Arial"/>
          <w:szCs w:val="24"/>
        </w:rPr>
      </w:pPr>
      <w:r w:rsidRPr="00DB7F92">
        <w:rPr>
          <w:rFonts w:eastAsia="Calibri" w:cs="Arial"/>
          <w:szCs w:val="24"/>
        </w:rPr>
        <w:t>(a)</w:t>
      </w:r>
      <w:r w:rsidRPr="00DB7F92">
        <w:rPr>
          <w:rFonts w:eastAsia="Calibri" w:cs="Arial"/>
          <w:szCs w:val="24"/>
        </w:rPr>
        <w:tab/>
        <w:t xml:space="preserve">eliminate discrimination, harassment, victimisation and any other conduct that is prohibited by </w:t>
      </w:r>
      <w:r w:rsidR="00D26A9F" w:rsidRPr="00DB7F92">
        <w:rPr>
          <w:rFonts w:eastAsia="Calibri" w:cs="Arial"/>
          <w:szCs w:val="24"/>
        </w:rPr>
        <w:t>or under</w:t>
      </w:r>
      <w:r w:rsidRPr="00DB7F92">
        <w:rPr>
          <w:rFonts w:eastAsia="Calibri" w:cs="Arial"/>
          <w:szCs w:val="24"/>
        </w:rPr>
        <w:t xml:space="preserve"> this Act;</w:t>
      </w:r>
    </w:p>
    <w:p w14:paraId="67721B45" w14:textId="77777777" w:rsidR="00DB7F92" w:rsidRPr="00DB7F92" w:rsidRDefault="00DB7F92" w:rsidP="00DB7F92">
      <w:pPr>
        <w:shd w:val="clear" w:color="auto" w:fill="FFFFFF"/>
        <w:spacing w:line="360" w:lineRule="auto"/>
        <w:ind w:left="1418" w:hanging="567"/>
        <w:rPr>
          <w:rFonts w:eastAsia="Calibri" w:cs="Arial"/>
          <w:szCs w:val="24"/>
        </w:rPr>
      </w:pPr>
      <w:r w:rsidRPr="00DB7F92">
        <w:rPr>
          <w:rFonts w:eastAsia="Calibri" w:cs="Arial"/>
          <w:szCs w:val="24"/>
        </w:rPr>
        <w:t>(b)</w:t>
      </w:r>
      <w:r w:rsidRPr="00DB7F92">
        <w:rPr>
          <w:rFonts w:eastAsia="Calibri" w:cs="Arial"/>
          <w:szCs w:val="24"/>
        </w:rPr>
        <w:tab/>
        <w:t>advance equality of opportunity between persons who share a relevant protected characteristic and persons who do not share it;</w:t>
      </w:r>
    </w:p>
    <w:p w14:paraId="1F8D16C3" w14:textId="77777777" w:rsidR="00DB7F92" w:rsidRPr="00DB7F92" w:rsidRDefault="00DB7F92" w:rsidP="00DB7F92">
      <w:pPr>
        <w:shd w:val="clear" w:color="auto" w:fill="FFFFFF"/>
        <w:spacing w:line="360" w:lineRule="auto"/>
        <w:ind w:left="1418" w:hanging="567"/>
        <w:rPr>
          <w:rFonts w:eastAsia="Calibri" w:cs="Arial"/>
        </w:rPr>
      </w:pPr>
      <w:r w:rsidRPr="00DB7F92">
        <w:rPr>
          <w:rFonts w:eastAsia="Calibri" w:cs="Arial"/>
          <w:szCs w:val="24"/>
        </w:rPr>
        <w:t xml:space="preserve">(c) </w:t>
      </w:r>
      <w:r w:rsidRPr="00DB7F92">
        <w:rPr>
          <w:rFonts w:eastAsia="Calibri" w:cs="Arial"/>
          <w:szCs w:val="24"/>
        </w:rPr>
        <w:tab/>
        <w:t>foster good relations between persons who share a relevant protected characteristic and persons who do not share it.</w:t>
      </w:r>
    </w:p>
    <w:p w14:paraId="02AEF183" w14:textId="77777777" w:rsidR="00DB7F92" w:rsidRPr="00DB7F92" w:rsidRDefault="00DB7F92" w:rsidP="00825050">
      <w:pPr>
        <w:numPr>
          <w:ilvl w:val="0"/>
          <w:numId w:val="41"/>
        </w:numPr>
        <w:shd w:val="clear" w:color="auto" w:fill="FFFFFF"/>
        <w:spacing w:line="360" w:lineRule="auto"/>
        <w:ind w:left="851" w:hanging="760"/>
        <w:contextualSpacing/>
        <w:jc w:val="both"/>
        <w:rPr>
          <w:rFonts w:cs="Arial"/>
          <w:szCs w:val="24"/>
        </w:rPr>
      </w:pPr>
      <w:r w:rsidRPr="00DB7F92">
        <w:rPr>
          <w:rFonts w:cs="Arial"/>
          <w:szCs w:val="24"/>
        </w:rPr>
        <w:t>A person who is not a public authority but who exercises public functions must, in the exercise of those functions, have due regard to the matters mentioned in subsection (1).</w:t>
      </w:r>
    </w:p>
    <w:p w14:paraId="0C73EAB0" w14:textId="77777777" w:rsidR="00DB7F92" w:rsidRPr="00DB7F92" w:rsidRDefault="00DB7F92" w:rsidP="00825050">
      <w:pPr>
        <w:numPr>
          <w:ilvl w:val="0"/>
          <w:numId w:val="41"/>
        </w:numPr>
        <w:shd w:val="clear" w:color="auto" w:fill="FFFFFF"/>
        <w:spacing w:line="360" w:lineRule="auto"/>
        <w:ind w:left="851" w:hanging="760"/>
        <w:contextualSpacing/>
        <w:jc w:val="both"/>
        <w:rPr>
          <w:rFonts w:cs="Arial"/>
          <w:szCs w:val="24"/>
        </w:rPr>
      </w:pPr>
      <w:r w:rsidRPr="00DB7F92">
        <w:rPr>
          <w:rFonts w:cs="Arial"/>
          <w:szCs w:val="24"/>
        </w:rPr>
        <w:t>Having due regard to the need to advance equality of opportunity between persons who share a relevant protected characteristic and persons who do not share it involves having due regard, in particular, to the need to—</w:t>
      </w:r>
    </w:p>
    <w:p w14:paraId="55FF08FA" w14:textId="1752CFED" w:rsidR="00DB7F92" w:rsidRPr="00DB7F92" w:rsidRDefault="00DB7F92" w:rsidP="00DB7F92">
      <w:pPr>
        <w:shd w:val="clear" w:color="auto" w:fill="FFFFFF"/>
        <w:spacing w:line="360" w:lineRule="auto"/>
        <w:ind w:left="1418" w:hanging="567"/>
        <w:rPr>
          <w:rFonts w:cs="Arial"/>
          <w:szCs w:val="24"/>
        </w:rPr>
      </w:pPr>
      <w:r w:rsidRPr="00DB7F92">
        <w:rPr>
          <w:rFonts w:cs="Arial"/>
          <w:szCs w:val="24"/>
        </w:rPr>
        <w:t xml:space="preserve"> (a) </w:t>
      </w:r>
      <w:r w:rsidRPr="00DB7F92">
        <w:rPr>
          <w:rFonts w:eastAsia="Calibri" w:cs="Arial"/>
          <w:szCs w:val="24"/>
        </w:rPr>
        <w:t>remove</w:t>
      </w:r>
      <w:r w:rsidRPr="00DB7F92">
        <w:rPr>
          <w:rFonts w:cs="Arial"/>
          <w:szCs w:val="24"/>
        </w:rPr>
        <w:t xml:space="preserve"> or minimise disadvantages suffered by persons who share a relevant protected characteristic that are connected to that characteristic;</w:t>
      </w:r>
    </w:p>
    <w:p w14:paraId="340841A4" w14:textId="5EFF768F" w:rsidR="00DB7F92" w:rsidRPr="00DB7F92" w:rsidRDefault="00DB7F92" w:rsidP="00DB7F92">
      <w:pPr>
        <w:shd w:val="clear" w:color="auto" w:fill="FFFFFF"/>
        <w:spacing w:line="360" w:lineRule="auto"/>
        <w:ind w:left="1418" w:hanging="567"/>
        <w:rPr>
          <w:rFonts w:cs="Arial"/>
          <w:szCs w:val="24"/>
        </w:rPr>
      </w:pPr>
      <w:r w:rsidRPr="00DB7F92">
        <w:rPr>
          <w:rFonts w:cs="Arial"/>
          <w:szCs w:val="24"/>
        </w:rPr>
        <w:t>(b) take steps to meet the needs of persons who share a relevant protected characteristic that are different from the needs of persons who do not share it;</w:t>
      </w:r>
    </w:p>
    <w:p w14:paraId="3BCB1189" w14:textId="09744663" w:rsidR="00DB7F92" w:rsidRPr="00DB7F92" w:rsidRDefault="00DB7F92" w:rsidP="00DB7F92">
      <w:pPr>
        <w:shd w:val="clear" w:color="auto" w:fill="FFFFFF"/>
        <w:spacing w:line="360" w:lineRule="auto"/>
        <w:ind w:left="1418" w:hanging="567"/>
        <w:rPr>
          <w:rFonts w:cs="Arial"/>
          <w:szCs w:val="24"/>
        </w:rPr>
      </w:pPr>
      <w:r w:rsidRPr="00DB7F92">
        <w:rPr>
          <w:rFonts w:cs="Arial"/>
          <w:szCs w:val="24"/>
        </w:rPr>
        <w:t>(c) encourage persons who share a relevant protected characteristic to participate in public life or in any other activity in which participation by such persons is disproportionately low.</w:t>
      </w:r>
    </w:p>
    <w:p w14:paraId="786C9041" w14:textId="77777777" w:rsidR="00DB7F92" w:rsidRPr="00DB7F92" w:rsidRDefault="00DB7F92" w:rsidP="00825050">
      <w:pPr>
        <w:numPr>
          <w:ilvl w:val="0"/>
          <w:numId w:val="41"/>
        </w:numPr>
        <w:shd w:val="clear" w:color="auto" w:fill="FFFFFF"/>
        <w:spacing w:line="360" w:lineRule="auto"/>
        <w:ind w:left="851" w:hanging="760"/>
        <w:contextualSpacing/>
        <w:jc w:val="both"/>
        <w:rPr>
          <w:rFonts w:cs="Arial"/>
          <w:szCs w:val="24"/>
        </w:rPr>
      </w:pPr>
      <w:r w:rsidRPr="00DB7F92">
        <w:rPr>
          <w:rFonts w:cs="Arial"/>
          <w:szCs w:val="24"/>
        </w:rPr>
        <w:t>The steps involved in meeting the needs of disabled persons that are different from the needs of persons who are not disabled include, in particular, steps to take account of disabled persons' disabilities.</w:t>
      </w:r>
    </w:p>
    <w:p w14:paraId="77E7057F" w14:textId="77777777" w:rsidR="00DB7F92" w:rsidRPr="00DB7F92" w:rsidRDefault="00DB7F92" w:rsidP="00825050">
      <w:pPr>
        <w:numPr>
          <w:ilvl w:val="0"/>
          <w:numId w:val="41"/>
        </w:numPr>
        <w:shd w:val="clear" w:color="auto" w:fill="FFFFFF"/>
        <w:spacing w:line="360" w:lineRule="auto"/>
        <w:ind w:left="851" w:hanging="760"/>
        <w:contextualSpacing/>
        <w:jc w:val="both"/>
        <w:rPr>
          <w:rFonts w:cs="Arial"/>
          <w:szCs w:val="24"/>
        </w:rPr>
      </w:pPr>
      <w:r w:rsidRPr="00DB7F92">
        <w:rPr>
          <w:rFonts w:cs="Arial"/>
          <w:szCs w:val="24"/>
        </w:rPr>
        <w:t>Having due regard to the need to foster good relations between persons who share a relevant protected characteristic and persons who do not share it involves having due regard, in particular, to the need to—</w:t>
      </w:r>
    </w:p>
    <w:p w14:paraId="74CACAF3" w14:textId="4CBCEFCC" w:rsidR="00DB7F92" w:rsidRPr="00DB7F92" w:rsidRDefault="00DB7F92" w:rsidP="00DB7F92">
      <w:pPr>
        <w:shd w:val="clear" w:color="auto" w:fill="FFFFFF"/>
        <w:spacing w:line="360" w:lineRule="auto"/>
        <w:ind w:left="1418" w:hanging="567"/>
        <w:rPr>
          <w:rFonts w:eastAsia="Calibri" w:cs="Arial"/>
          <w:szCs w:val="24"/>
        </w:rPr>
      </w:pPr>
      <w:r w:rsidRPr="00DB7F92">
        <w:rPr>
          <w:rFonts w:cs="Arial"/>
          <w:szCs w:val="24"/>
        </w:rPr>
        <w:t xml:space="preserve">(a) </w:t>
      </w:r>
      <w:r w:rsidRPr="00DB7F92">
        <w:rPr>
          <w:rFonts w:eastAsia="Calibri" w:cs="Arial"/>
          <w:szCs w:val="24"/>
        </w:rPr>
        <w:t>tackle prejudice, and</w:t>
      </w:r>
    </w:p>
    <w:p w14:paraId="22D8C92F" w14:textId="074848EB" w:rsidR="00DB7F92" w:rsidRPr="00DB7F92" w:rsidRDefault="00DB7F92" w:rsidP="00DB7F92">
      <w:pPr>
        <w:shd w:val="clear" w:color="auto" w:fill="FFFFFF"/>
        <w:spacing w:line="360" w:lineRule="auto"/>
        <w:ind w:left="1418" w:hanging="567"/>
        <w:rPr>
          <w:rFonts w:eastAsia="Calibri" w:cs="Arial"/>
          <w:szCs w:val="24"/>
        </w:rPr>
      </w:pPr>
      <w:r w:rsidRPr="00DB7F92">
        <w:rPr>
          <w:rFonts w:eastAsia="Calibri" w:cs="Arial"/>
          <w:szCs w:val="24"/>
        </w:rPr>
        <w:t>(b) promote understanding.</w:t>
      </w:r>
    </w:p>
    <w:p w14:paraId="71AAE21E" w14:textId="77777777" w:rsidR="00DB7F92" w:rsidRPr="00DB7F92" w:rsidRDefault="00DB7F92" w:rsidP="00825050">
      <w:pPr>
        <w:numPr>
          <w:ilvl w:val="0"/>
          <w:numId w:val="41"/>
        </w:numPr>
        <w:shd w:val="clear" w:color="auto" w:fill="FFFFFF"/>
        <w:spacing w:line="360" w:lineRule="auto"/>
        <w:ind w:left="851" w:hanging="760"/>
        <w:contextualSpacing/>
        <w:jc w:val="both"/>
        <w:rPr>
          <w:rFonts w:cs="Arial"/>
          <w:szCs w:val="24"/>
        </w:rPr>
      </w:pPr>
      <w:r w:rsidRPr="00DB7F92">
        <w:rPr>
          <w:rFonts w:cs="Arial"/>
          <w:szCs w:val="24"/>
        </w:rPr>
        <w:t>Compliance with the duties in this section may involve treating some persons more favourably than others; but that is not to be taken as permitting conduct that would otherwise be prohibited by or under this Act.</w:t>
      </w:r>
    </w:p>
    <w:p w14:paraId="43B19521" w14:textId="77777777" w:rsidR="00DB7F92" w:rsidRPr="00DB7F92" w:rsidRDefault="00DB7F92" w:rsidP="00825050">
      <w:pPr>
        <w:numPr>
          <w:ilvl w:val="0"/>
          <w:numId w:val="41"/>
        </w:numPr>
        <w:shd w:val="clear" w:color="auto" w:fill="FFFFFF"/>
        <w:spacing w:line="360" w:lineRule="auto"/>
        <w:ind w:left="851" w:hanging="760"/>
        <w:contextualSpacing/>
        <w:jc w:val="both"/>
        <w:rPr>
          <w:rFonts w:cs="Arial"/>
          <w:szCs w:val="24"/>
        </w:rPr>
      </w:pPr>
      <w:r w:rsidRPr="00DB7F92">
        <w:rPr>
          <w:rFonts w:cs="Arial"/>
          <w:szCs w:val="24"/>
        </w:rPr>
        <w:t>The relevant protected characteristics are—</w:t>
      </w:r>
    </w:p>
    <w:p w14:paraId="0EB2F320" w14:textId="77777777" w:rsidR="00DB7F92" w:rsidRPr="00DB7F92" w:rsidRDefault="00DB7F92" w:rsidP="00DB7F92">
      <w:pPr>
        <w:spacing w:line="360" w:lineRule="auto"/>
        <w:ind w:left="760"/>
        <w:contextualSpacing/>
        <w:rPr>
          <w:rFonts w:cs="Arial"/>
          <w:szCs w:val="24"/>
        </w:rPr>
      </w:pPr>
      <w:r w:rsidRPr="00DB7F92">
        <w:rPr>
          <w:rFonts w:cs="Arial"/>
          <w:szCs w:val="24"/>
        </w:rPr>
        <w:t xml:space="preserve">  age;</w:t>
      </w:r>
    </w:p>
    <w:p w14:paraId="0225C7D4" w14:textId="77777777" w:rsidR="00DB7F92" w:rsidRPr="00DB7F92" w:rsidRDefault="00DB7F92" w:rsidP="00DB7F92">
      <w:pPr>
        <w:spacing w:line="360" w:lineRule="auto"/>
        <w:ind w:left="760"/>
        <w:contextualSpacing/>
        <w:rPr>
          <w:rFonts w:cs="Arial"/>
          <w:szCs w:val="24"/>
        </w:rPr>
      </w:pPr>
      <w:r w:rsidRPr="00DB7F92">
        <w:rPr>
          <w:rFonts w:cs="Arial"/>
          <w:szCs w:val="24"/>
        </w:rPr>
        <w:t xml:space="preserve">  disability;</w:t>
      </w:r>
    </w:p>
    <w:p w14:paraId="7E6FC224" w14:textId="77777777" w:rsidR="00DB7F92" w:rsidRPr="00DB7F92" w:rsidRDefault="00DB7F92" w:rsidP="00DB7F92">
      <w:pPr>
        <w:spacing w:line="360" w:lineRule="auto"/>
        <w:ind w:left="760"/>
        <w:contextualSpacing/>
        <w:rPr>
          <w:rFonts w:cs="Arial"/>
          <w:szCs w:val="24"/>
        </w:rPr>
      </w:pPr>
      <w:r w:rsidRPr="00DB7F92">
        <w:rPr>
          <w:rFonts w:cs="Arial"/>
          <w:szCs w:val="24"/>
        </w:rPr>
        <w:t xml:space="preserve">  gender reassignment;</w:t>
      </w:r>
    </w:p>
    <w:p w14:paraId="2077CCC7" w14:textId="77777777" w:rsidR="00DB7F92" w:rsidRPr="00DB7F92" w:rsidRDefault="00DB7F92" w:rsidP="00DB7F92">
      <w:pPr>
        <w:spacing w:line="360" w:lineRule="auto"/>
        <w:ind w:left="760"/>
        <w:contextualSpacing/>
        <w:rPr>
          <w:rFonts w:cs="Arial"/>
          <w:szCs w:val="24"/>
        </w:rPr>
      </w:pPr>
      <w:r w:rsidRPr="00DB7F92">
        <w:rPr>
          <w:rFonts w:cs="Arial"/>
          <w:szCs w:val="24"/>
        </w:rPr>
        <w:t xml:space="preserve">  pregnancy and maternity;</w:t>
      </w:r>
    </w:p>
    <w:p w14:paraId="2EF7B5DA" w14:textId="77777777" w:rsidR="00DB7F92" w:rsidRPr="00DB7F92" w:rsidRDefault="00DB7F92" w:rsidP="00DB7F92">
      <w:pPr>
        <w:spacing w:line="360" w:lineRule="auto"/>
        <w:ind w:left="760"/>
        <w:contextualSpacing/>
        <w:rPr>
          <w:rFonts w:cs="Arial"/>
          <w:szCs w:val="24"/>
        </w:rPr>
      </w:pPr>
      <w:r w:rsidRPr="00DB7F92">
        <w:rPr>
          <w:rFonts w:cs="Arial"/>
          <w:szCs w:val="24"/>
        </w:rPr>
        <w:t xml:space="preserve">  race;</w:t>
      </w:r>
    </w:p>
    <w:p w14:paraId="70083194" w14:textId="77777777" w:rsidR="00DB7F92" w:rsidRPr="00DB7F92" w:rsidRDefault="00DB7F92" w:rsidP="00DB7F92">
      <w:pPr>
        <w:spacing w:line="360" w:lineRule="auto"/>
        <w:ind w:left="760"/>
        <w:contextualSpacing/>
        <w:rPr>
          <w:rFonts w:cs="Arial"/>
          <w:szCs w:val="24"/>
        </w:rPr>
      </w:pPr>
      <w:r w:rsidRPr="00DB7F92">
        <w:rPr>
          <w:rFonts w:cs="Arial"/>
          <w:szCs w:val="24"/>
        </w:rPr>
        <w:t xml:space="preserve">  religion or belief;</w:t>
      </w:r>
    </w:p>
    <w:p w14:paraId="0562DC40" w14:textId="77777777" w:rsidR="00DB7F92" w:rsidRPr="00DB7F92" w:rsidRDefault="00DB7F92" w:rsidP="00DB7F92">
      <w:pPr>
        <w:spacing w:line="360" w:lineRule="auto"/>
        <w:ind w:left="760"/>
        <w:contextualSpacing/>
        <w:rPr>
          <w:rFonts w:cs="Arial"/>
          <w:szCs w:val="24"/>
        </w:rPr>
      </w:pPr>
      <w:r w:rsidRPr="00DB7F92">
        <w:rPr>
          <w:rFonts w:cs="Arial"/>
          <w:szCs w:val="24"/>
        </w:rPr>
        <w:t xml:space="preserve">  sex;</w:t>
      </w:r>
    </w:p>
    <w:p w14:paraId="3CA842DD" w14:textId="77777777" w:rsidR="00DB7F92" w:rsidRPr="00DB7F92" w:rsidRDefault="00DB7F92" w:rsidP="00DB7F92">
      <w:pPr>
        <w:spacing w:line="360" w:lineRule="auto"/>
        <w:ind w:left="760"/>
        <w:contextualSpacing/>
        <w:rPr>
          <w:rFonts w:cs="Arial"/>
          <w:szCs w:val="24"/>
        </w:rPr>
      </w:pPr>
      <w:r w:rsidRPr="00DB7F92">
        <w:rPr>
          <w:rFonts w:cs="Arial"/>
          <w:szCs w:val="24"/>
        </w:rPr>
        <w:t xml:space="preserve">  sexual orientation.</w:t>
      </w:r>
    </w:p>
    <w:p w14:paraId="1E19FA4B" w14:textId="77777777" w:rsidR="00DB7F92" w:rsidRPr="00DB7F92" w:rsidRDefault="00DB7F92" w:rsidP="00825050">
      <w:pPr>
        <w:numPr>
          <w:ilvl w:val="0"/>
          <w:numId w:val="41"/>
        </w:numPr>
        <w:shd w:val="clear" w:color="auto" w:fill="FFFFFF"/>
        <w:spacing w:line="360" w:lineRule="auto"/>
        <w:ind w:left="851" w:hanging="760"/>
        <w:contextualSpacing/>
        <w:jc w:val="both"/>
        <w:rPr>
          <w:rFonts w:cs="Arial"/>
          <w:szCs w:val="24"/>
        </w:rPr>
      </w:pPr>
      <w:r w:rsidRPr="00DB7F92">
        <w:rPr>
          <w:rFonts w:cs="Arial"/>
          <w:szCs w:val="24"/>
        </w:rPr>
        <w:t>A reference to conduct that is prohibited by or under this Act includes a reference to—</w:t>
      </w:r>
    </w:p>
    <w:p w14:paraId="65A3D933" w14:textId="7B2210BF" w:rsidR="00DB7F92" w:rsidRPr="00DB7F92" w:rsidRDefault="00DB7F92" w:rsidP="00DB7F92">
      <w:pPr>
        <w:shd w:val="clear" w:color="auto" w:fill="FFFFFF"/>
        <w:spacing w:line="360" w:lineRule="auto"/>
        <w:ind w:left="1418" w:hanging="567"/>
        <w:rPr>
          <w:rFonts w:cs="Arial"/>
          <w:szCs w:val="24"/>
        </w:rPr>
      </w:pPr>
      <w:r w:rsidRPr="00DB7F92">
        <w:rPr>
          <w:rFonts w:cs="Arial"/>
          <w:szCs w:val="24"/>
        </w:rPr>
        <w:t>(a) a breach of an equality clause or rule;</w:t>
      </w:r>
    </w:p>
    <w:p w14:paraId="59D05E14" w14:textId="64E96420" w:rsidR="00DB7F92" w:rsidRPr="00DB7F92" w:rsidRDefault="00DB7F92" w:rsidP="00DB7F92">
      <w:pPr>
        <w:shd w:val="clear" w:color="auto" w:fill="FFFFFF"/>
        <w:spacing w:line="360" w:lineRule="auto"/>
        <w:ind w:left="1418" w:hanging="567"/>
        <w:rPr>
          <w:rFonts w:cs="Arial"/>
          <w:szCs w:val="24"/>
        </w:rPr>
      </w:pPr>
      <w:r w:rsidRPr="00DB7F92">
        <w:rPr>
          <w:rFonts w:cs="Arial"/>
          <w:szCs w:val="24"/>
        </w:rPr>
        <w:t>(b) a breach of a non-discrimination rule.</w:t>
      </w:r>
    </w:p>
    <w:p w14:paraId="29B61C54" w14:textId="68B2F976" w:rsidR="00DB7F92" w:rsidRPr="00DB7F92" w:rsidRDefault="00DB7F92" w:rsidP="00DB7F92">
      <w:pPr>
        <w:shd w:val="clear" w:color="auto" w:fill="FFFFFF"/>
        <w:spacing w:line="360" w:lineRule="auto"/>
        <w:ind w:left="1418" w:hanging="567"/>
        <w:rPr>
          <w:rFonts w:cs="Arial"/>
          <w:szCs w:val="24"/>
        </w:rPr>
      </w:pPr>
      <w:r w:rsidRPr="00DB7F92">
        <w:rPr>
          <w:rFonts w:cs="Arial"/>
          <w:szCs w:val="24"/>
        </w:rPr>
        <w:t>(9) Schedule 18 (exceptions) has effect.</w:t>
      </w:r>
    </w:p>
    <w:p w14:paraId="5C12AB5F" w14:textId="6280879D" w:rsidR="0015247B" w:rsidRPr="00410495" w:rsidRDefault="00B42132" w:rsidP="00682EC4">
      <w:pPr>
        <w:pStyle w:val="Heading1"/>
      </w:pPr>
      <w:r>
        <w:br w:type="page"/>
      </w:r>
      <w:bookmarkStart w:id="125" w:name="_Toc95743376"/>
      <w:r w:rsidR="0015247B" w:rsidRPr="00410495">
        <w:t>Working Together – Commissioning and Regulating</w:t>
      </w:r>
      <w:bookmarkEnd w:id="125"/>
    </w:p>
    <w:p w14:paraId="6CFCF7FF" w14:textId="77777777" w:rsidR="0015247B" w:rsidRPr="0015247B" w:rsidRDefault="0015247B" w:rsidP="0015247B"/>
    <w:p w14:paraId="2C6E6720" w14:textId="77777777" w:rsidR="00410495" w:rsidRPr="00410495" w:rsidRDefault="00410495" w:rsidP="00410495">
      <w:pPr>
        <w:pStyle w:val="Heading2"/>
      </w:pPr>
      <w:bookmarkStart w:id="126" w:name="_Toc95743377"/>
      <w:r w:rsidRPr="00410495">
        <w:t>Introduction</w:t>
      </w:r>
      <w:bookmarkEnd w:id="126"/>
    </w:p>
    <w:p w14:paraId="00B1CB92" w14:textId="3E4377EC" w:rsidR="00410495" w:rsidRDefault="00410495" w:rsidP="00014E71">
      <w:pPr>
        <w:pStyle w:val="Heading3"/>
        <w:rPr>
          <w:lang w:eastAsia="en-GB"/>
        </w:rPr>
      </w:pPr>
      <w:r>
        <w:rPr>
          <w:lang w:eastAsia="en-GB"/>
        </w:rPr>
        <w:t>This chapter is intended to inform commissioners of work to establish a robust and practical joint working framework</w:t>
      </w:r>
      <w:r w:rsidR="00B83042">
        <w:rPr>
          <w:lang w:eastAsia="en-GB"/>
        </w:rPr>
        <w:t>CCGs/ICBsCCG/ICB</w:t>
      </w:r>
      <w:r w:rsidRPr="000253EE">
        <w:rPr>
          <w:lang w:eastAsia="en-GB"/>
        </w:rPr>
        <w:t xml:space="preserve">. </w:t>
      </w:r>
    </w:p>
    <w:p w14:paraId="3B2F7047" w14:textId="77777777" w:rsidR="00332153" w:rsidRPr="00332153" w:rsidRDefault="00332153" w:rsidP="00332153">
      <w:pPr>
        <w:rPr>
          <w:lang w:eastAsia="en-GB"/>
        </w:rPr>
      </w:pPr>
    </w:p>
    <w:p w14:paraId="0441FFE3" w14:textId="45A7495E" w:rsidR="000433F3" w:rsidRPr="000433F3" w:rsidRDefault="00410495" w:rsidP="000433F3">
      <w:pPr>
        <w:pStyle w:val="Heading2"/>
      </w:pPr>
      <w:bookmarkStart w:id="127" w:name="_Toc95743378"/>
      <w:r w:rsidRPr="00410495">
        <w:t>Background</w:t>
      </w:r>
      <w:bookmarkEnd w:id="127"/>
    </w:p>
    <w:p w14:paraId="1A0B3C61" w14:textId="0AAFF222" w:rsidR="00410495" w:rsidRDefault="00410495" w:rsidP="000433F3">
      <w:pPr>
        <w:pStyle w:val="Heading3"/>
        <w:rPr>
          <w:lang w:eastAsia="en-GB"/>
        </w:rPr>
      </w:pPr>
      <w:r w:rsidRPr="00E64E2F">
        <w:rPr>
          <w:lang w:eastAsia="en-GB"/>
        </w:rPr>
        <w:t xml:space="preserve">Alongside the publication of the GP Forward View (NHS England, 2016), a </w:t>
      </w:r>
      <w:hyperlink r:id="rId42" w:history="1">
        <w:r w:rsidRPr="00272DF9">
          <w:rPr>
            <w:rStyle w:val="Hyperlink"/>
            <w:lang w:eastAsia="en-GB"/>
          </w:rPr>
          <w:t>statement of intent</w:t>
        </w:r>
      </w:hyperlink>
      <w:r w:rsidRPr="00E64E2F">
        <w:rPr>
          <w:lang w:eastAsia="en-GB"/>
        </w:rPr>
        <w:t xml:space="preserve"> was published by the main national regulatory and assurance bodies, committing to working together with professional bodies and those using services in the development of a shared view of quality in general practice. This would provide the basis of a joined up approach to monitoring and improvement of quality. </w:t>
      </w:r>
    </w:p>
    <w:p w14:paraId="04632001" w14:textId="0DD0F63A" w:rsidR="00410495" w:rsidRPr="003F3BC3" w:rsidRDefault="00410495" w:rsidP="0012259A">
      <w:pPr>
        <w:pStyle w:val="Heading3"/>
        <w:rPr>
          <w:lang w:eastAsia="en-GB"/>
        </w:rPr>
      </w:pPr>
      <w:r w:rsidRPr="003F3BC3">
        <w:rPr>
          <w:lang w:eastAsia="en-GB"/>
        </w:rPr>
        <w:t xml:space="preserve">The Regulation of General Practice Programme Board was established in </w:t>
      </w:r>
      <w:r>
        <w:rPr>
          <w:lang w:eastAsia="en-GB"/>
        </w:rPr>
        <w:t xml:space="preserve">June 2016 to </w:t>
      </w:r>
      <w:r w:rsidRPr="003F3BC3">
        <w:rPr>
          <w:lang w:eastAsia="en-GB"/>
        </w:rPr>
        <w:t>:</w:t>
      </w:r>
    </w:p>
    <w:p w14:paraId="69CF854D" w14:textId="77777777" w:rsidR="00410495" w:rsidRDefault="00410495" w:rsidP="00825050">
      <w:pPr>
        <w:pStyle w:val="ListParagraph"/>
        <w:numPr>
          <w:ilvl w:val="0"/>
          <w:numId w:val="55"/>
        </w:numPr>
        <w:spacing w:before="120" w:after="60" w:line="360" w:lineRule="auto"/>
        <w:rPr>
          <w:rFonts w:cstheme="minorHAnsi"/>
          <w:szCs w:val="24"/>
          <w:lang w:eastAsia="en-GB"/>
        </w:rPr>
      </w:pPr>
      <w:r w:rsidRPr="003F3BC3">
        <w:rPr>
          <w:rFonts w:cstheme="minorHAnsi"/>
          <w:szCs w:val="24"/>
          <w:lang w:eastAsia="en-GB"/>
        </w:rPr>
        <w:t>Coordinate and improve the overall approach to the regulation of general practice in England by bringing together the main statutory oversight and regulatory bodies and delivering a programme of work which will streamline working arrangements and minimise duplication.</w:t>
      </w:r>
    </w:p>
    <w:p w14:paraId="5939CAFD" w14:textId="77777777" w:rsidR="00410495" w:rsidRPr="003F3BC3" w:rsidRDefault="00410495" w:rsidP="00825050">
      <w:pPr>
        <w:pStyle w:val="ListParagraph"/>
        <w:numPr>
          <w:ilvl w:val="0"/>
          <w:numId w:val="55"/>
        </w:numPr>
        <w:spacing w:before="120" w:after="60" w:line="360" w:lineRule="auto"/>
        <w:rPr>
          <w:rFonts w:cstheme="minorHAnsi"/>
          <w:szCs w:val="24"/>
          <w:lang w:eastAsia="en-GB"/>
        </w:rPr>
      </w:pPr>
      <w:r w:rsidRPr="003F3BC3">
        <w:rPr>
          <w:rFonts w:cstheme="minorHAnsi"/>
          <w:szCs w:val="24"/>
          <w:lang w:eastAsia="en-GB"/>
        </w:rPr>
        <w:t>Provide a forum for sign-up by statutory bodies to a common framework – a shared view of quality – which will be co-produced with the professions and the public.</w:t>
      </w:r>
    </w:p>
    <w:p w14:paraId="3B2E2AE2" w14:textId="77777777" w:rsidR="000433F3" w:rsidRDefault="000433F3" w:rsidP="00410495">
      <w:pPr>
        <w:pStyle w:val="Heading2"/>
        <w:sectPr w:rsidR="000433F3" w:rsidSect="006C49D5">
          <w:headerReference w:type="default" r:id="rId43"/>
          <w:footerReference w:type="default" r:id="rId44"/>
          <w:pgSz w:w="11906" w:h="16838"/>
          <w:pgMar w:top="1418" w:right="1418" w:bottom="1418" w:left="1418" w:header="720" w:footer="720" w:gutter="0"/>
          <w:cols w:space="720"/>
          <w:docGrid w:linePitch="272"/>
        </w:sectPr>
      </w:pPr>
    </w:p>
    <w:p w14:paraId="773B83D2" w14:textId="368F86AB" w:rsidR="00410495" w:rsidRPr="00410495" w:rsidRDefault="00410495" w:rsidP="00410495">
      <w:pPr>
        <w:pStyle w:val="Heading2"/>
      </w:pPr>
      <w:bookmarkStart w:id="128" w:name="_Toc95743379"/>
      <w:r w:rsidRPr="00410495">
        <w:t>Implementation</w:t>
      </w:r>
      <w:bookmarkEnd w:id="128"/>
    </w:p>
    <w:p w14:paraId="5C29A1BB" w14:textId="60C7A512" w:rsidR="00410495" w:rsidRDefault="000B57EE" w:rsidP="000433F3">
      <w:pPr>
        <w:pStyle w:val="Heading3"/>
        <w:rPr>
          <w:lang w:eastAsia="en-GB"/>
        </w:rPr>
      </w:pPr>
      <w:hyperlink r:id="rId45" w:history="1">
        <w:r w:rsidR="00410495" w:rsidRPr="009A4EC5">
          <w:rPr>
            <w:rStyle w:val="Hyperlink"/>
            <w:lang w:eastAsia="en-GB"/>
          </w:rPr>
          <w:t>The Care Quality Commission (CQC), NHS England, and NHS Clinical Commissioners (NHSCC),</w:t>
        </w:r>
      </w:hyperlink>
      <w:r w:rsidR="00410495" w:rsidRPr="00E64E2F">
        <w:rPr>
          <w:lang w:eastAsia="en-GB"/>
        </w:rPr>
        <w:t xml:space="preserve"> with the support of the General Medical Council (GMC), </w:t>
      </w:r>
      <w:r w:rsidR="00410495">
        <w:rPr>
          <w:lang w:eastAsia="en-GB"/>
        </w:rPr>
        <w:t>publish</w:t>
      </w:r>
      <w:r w:rsidR="007E6517">
        <w:rPr>
          <w:lang w:eastAsia="en-GB"/>
        </w:rPr>
        <w:t>ed</w:t>
      </w:r>
      <w:r w:rsidR="00410495" w:rsidRPr="00E64E2F">
        <w:rPr>
          <w:lang w:eastAsia="en-GB"/>
        </w:rPr>
        <w:t xml:space="preserve"> </w:t>
      </w:r>
      <w:r w:rsidR="00F2244E">
        <w:rPr>
          <w:lang w:eastAsia="en-GB"/>
        </w:rPr>
        <w:t xml:space="preserve">a </w:t>
      </w:r>
      <w:r w:rsidR="00410495">
        <w:rPr>
          <w:lang w:eastAsia="en-GB"/>
        </w:rPr>
        <w:t>joint working framework in 201</w:t>
      </w:r>
      <w:r w:rsidR="00F2244E">
        <w:rPr>
          <w:lang w:eastAsia="en-GB"/>
        </w:rPr>
        <w:t>8</w:t>
      </w:r>
      <w:r w:rsidR="00410495">
        <w:rPr>
          <w:lang w:eastAsia="en-GB"/>
        </w:rPr>
        <w:t>.</w:t>
      </w:r>
    </w:p>
    <w:p w14:paraId="739EAF64" w14:textId="06D3D613" w:rsidR="00410495" w:rsidRDefault="00964909" w:rsidP="000433F3">
      <w:pPr>
        <w:pStyle w:val="Heading3"/>
        <w:rPr>
          <w:lang w:eastAsia="en-GB"/>
        </w:rPr>
      </w:pPr>
      <w:r>
        <w:rPr>
          <w:lang w:eastAsia="en-GB"/>
        </w:rPr>
        <w:t xml:space="preserve">The framework recognises </w:t>
      </w:r>
      <w:r w:rsidR="00D26A9F">
        <w:rPr>
          <w:lang w:eastAsia="en-GB"/>
        </w:rPr>
        <w:t xml:space="preserve">that </w:t>
      </w:r>
      <w:r w:rsidR="00D26A9F" w:rsidRPr="0017143E">
        <w:rPr>
          <w:lang w:eastAsia="en-GB"/>
        </w:rPr>
        <w:t>in</w:t>
      </w:r>
      <w:r w:rsidR="00410495" w:rsidRPr="0017143E">
        <w:rPr>
          <w:lang w:eastAsia="en-GB"/>
        </w:rPr>
        <w:t xml:space="preserve"> many areas relationships </w:t>
      </w:r>
      <w:r w:rsidR="00410495">
        <w:rPr>
          <w:lang w:eastAsia="en-GB"/>
        </w:rPr>
        <w:t xml:space="preserve">between commissioners and CQC </w:t>
      </w:r>
      <w:r w:rsidR="00410495" w:rsidRPr="0017143E">
        <w:rPr>
          <w:lang w:eastAsia="en-GB"/>
        </w:rPr>
        <w:t>are w</w:t>
      </w:r>
      <w:r w:rsidR="00410495">
        <w:rPr>
          <w:lang w:eastAsia="en-GB"/>
        </w:rPr>
        <w:t>orking well; in other areas</w:t>
      </w:r>
      <w:r w:rsidR="007E6517">
        <w:rPr>
          <w:lang w:eastAsia="en-GB"/>
        </w:rPr>
        <w:t>,</w:t>
      </w:r>
      <w:r w:rsidR="00410495">
        <w:rPr>
          <w:lang w:eastAsia="en-GB"/>
        </w:rPr>
        <w:t xml:space="preserve"> the</w:t>
      </w:r>
      <w:r w:rsidR="00410495" w:rsidRPr="0017143E">
        <w:rPr>
          <w:lang w:eastAsia="en-GB"/>
        </w:rPr>
        <w:t xml:space="preserve"> framework is intended to help provide structure and support for new relationships with examples of good practice.</w:t>
      </w:r>
    </w:p>
    <w:p w14:paraId="1AD1ADEA" w14:textId="77777777" w:rsidR="00410495" w:rsidRPr="00410495" w:rsidRDefault="00410495" w:rsidP="00410495">
      <w:pPr>
        <w:pStyle w:val="Heading2"/>
      </w:pPr>
      <w:bookmarkStart w:id="129" w:name="_Toc95743380"/>
      <w:r w:rsidRPr="00410495">
        <w:t>Existing Good Practice and Interim principles</w:t>
      </w:r>
      <w:bookmarkEnd w:id="129"/>
    </w:p>
    <w:p w14:paraId="0474E6FC" w14:textId="66148F0F" w:rsidR="00410495" w:rsidRDefault="00410495" w:rsidP="000433F3">
      <w:pPr>
        <w:pStyle w:val="Heading3"/>
        <w:rPr>
          <w:lang w:eastAsia="en-GB"/>
        </w:rPr>
      </w:pPr>
      <w:r>
        <w:rPr>
          <w:lang w:eastAsia="en-GB"/>
        </w:rPr>
        <w:t xml:space="preserve">Significant steps have already been </w:t>
      </w:r>
      <w:r w:rsidR="007E6517">
        <w:rPr>
          <w:lang w:eastAsia="en-GB"/>
        </w:rPr>
        <w:t>taken</w:t>
      </w:r>
      <w:r>
        <w:rPr>
          <w:lang w:eastAsia="en-GB"/>
        </w:rPr>
        <w:t xml:space="preserve"> to streamline processes and share information:</w:t>
      </w:r>
    </w:p>
    <w:p w14:paraId="6283BEC3" w14:textId="77777777" w:rsidR="00410495" w:rsidRDefault="00410495" w:rsidP="00825050">
      <w:pPr>
        <w:pStyle w:val="ListParagraph"/>
        <w:numPr>
          <w:ilvl w:val="0"/>
          <w:numId w:val="42"/>
        </w:numPr>
        <w:spacing w:before="120" w:after="60" w:line="360" w:lineRule="auto"/>
        <w:rPr>
          <w:rFonts w:cstheme="minorHAnsi"/>
          <w:szCs w:val="24"/>
          <w:lang w:eastAsia="en-GB"/>
        </w:rPr>
      </w:pPr>
      <w:r>
        <w:rPr>
          <w:rFonts w:cstheme="minorHAnsi"/>
          <w:szCs w:val="24"/>
          <w:lang w:eastAsia="en-GB"/>
        </w:rPr>
        <w:t>NHS England regularly share eDec data and information with CQC</w:t>
      </w:r>
    </w:p>
    <w:p w14:paraId="733A300E" w14:textId="46C51A91" w:rsidR="00410495" w:rsidRPr="003D0978" w:rsidRDefault="00410495" w:rsidP="00825050">
      <w:pPr>
        <w:pStyle w:val="ListParagraph"/>
        <w:numPr>
          <w:ilvl w:val="0"/>
          <w:numId w:val="42"/>
        </w:numPr>
        <w:spacing w:before="120" w:after="60" w:line="360" w:lineRule="auto"/>
        <w:rPr>
          <w:rFonts w:cstheme="minorHAnsi"/>
          <w:szCs w:val="24"/>
          <w:lang w:eastAsia="en-GB"/>
        </w:rPr>
      </w:pPr>
      <w:r>
        <w:rPr>
          <w:rFonts w:cstheme="minorHAnsi"/>
          <w:szCs w:val="24"/>
          <w:lang w:eastAsia="en-GB"/>
        </w:rPr>
        <w:t>NHS England will share eDec data with all commissioners</w:t>
      </w:r>
      <w:r w:rsidR="007E6517">
        <w:rPr>
          <w:rFonts w:cstheme="minorHAnsi"/>
          <w:szCs w:val="24"/>
          <w:lang w:eastAsia="en-GB"/>
        </w:rPr>
        <w:t>,</w:t>
      </w:r>
      <w:r>
        <w:rPr>
          <w:rFonts w:cstheme="minorHAnsi"/>
          <w:szCs w:val="24"/>
          <w:lang w:eastAsia="en-GB"/>
        </w:rPr>
        <w:t xml:space="preserve"> including analysis and outlier reports to help commissioners target support locally.</w:t>
      </w:r>
    </w:p>
    <w:p w14:paraId="1A527489" w14:textId="77777777" w:rsidR="00410495" w:rsidRDefault="00410495" w:rsidP="00825050">
      <w:pPr>
        <w:pStyle w:val="ListParagraph"/>
        <w:numPr>
          <w:ilvl w:val="0"/>
          <w:numId w:val="42"/>
        </w:numPr>
        <w:spacing w:before="120" w:after="60" w:line="360" w:lineRule="auto"/>
        <w:rPr>
          <w:rFonts w:cstheme="minorHAnsi"/>
          <w:szCs w:val="24"/>
          <w:lang w:eastAsia="en-GB"/>
        </w:rPr>
      </w:pPr>
      <w:r>
        <w:rPr>
          <w:rFonts w:cstheme="minorHAnsi"/>
          <w:szCs w:val="24"/>
          <w:lang w:eastAsia="en-GB"/>
        </w:rPr>
        <w:t>CQC share inspection rating updates every week with NHS England</w:t>
      </w:r>
    </w:p>
    <w:p w14:paraId="684D7187" w14:textId="77777777" w:rsidR="00410495" w:rsidRDefault="00410495" w:rsidP="00825050">
      <w:pPr>
        <w:pStyle w:val="ListParagraph"/>
        <w:numPr>
          <w:ilvl w:val="0"/>
          <w:numId w:val="42"/>
        </w:numPr>
        <w:spacing w:before="120" w:after="60" w:line="360" w:lineRule="auto"/>
        <w:rPr>
          <w:rFonts w:cstheme="minorHAnsi"/>
          <w:szCs w:val="24"/>
          <w:lang w:eastAsia="en-GB"/>
        </w:rPr>
      </w:pPr>
      <w:r>
        <w:rPr>
          <w:rFonts w:cstheme="minorHAnsi"/>
          <w:szCs w:val="24"/>
          <w:lang w:eastAsia="en-GB"/>
        </w:rPr>
        <w:t>CQC share inspection schedules with commissioners wherever possible</w:t>
      </w:r>
    </w:p>
    <w:p w14:paraId="7E092600" w14:textId="77777777" w:rsidR="00410495" w:rsidRDefault="00410495" w:rsidP="00825050">
      <w:pPr>
        <w:pStyle w:val="ListParagraph"/>
        <w:numPr>
          <w:ilvl w:val="0"/>
          <w:numId w:val="42"/>
        </w:numPr>
        <w:spacing w:before="120" w:after="60" w:line="360" w:lineRule="auto"/>
        <w:rPr>
          <w:rFonts w:cstheme="minorHAnsi"/>
          <w:szCs w:val="24"/>
          <w:lang w:eastAsia="en-GB"/>
        </w:rPr>
      </w:pPr>
      <w:r>
        <w:rPr>
          <w:rFonts w:cstheme="minorHAnsi"/>
          <w:szCs w:val="24"/>
          <w:lang w:eastAsia="en-GB"/>
        </w:rPr>
        <w:t>Commissioners share local information and intelligence with CQC and NHS England</w:t>
      </w:r>
    </w:p>
    <w:p w14:paraId="4003C5A9" w14:textId="77777777" w:rsidR="00410495" w:rsidRPr="00FC0A5B" w:rsidRDefault="00410495" w:rsidP="00825050">
      <w:pPr>
        <w:pStyle w:val="ListParagraph"/>
        <w:numPr>
          <w:ilvl w:val="0"/>
          <w:numId w:val="42"/>
        </w:numPr>
        <w:spacing w:before="120" w:after="60" w:line="360" w:lineRule="auto"/>
        <w:rPr>
          <w:rFonts w:cstheme="minorHAnsi"/>
          <w:szCs w:val="24"/>
          <w:lang w:eastAsia="en-GB"/>
        </w:rPr>
      </w:pPr>
      <w:r>
        <w:rPr>
          <w:rFonts w:cstheme="minorHAnsi"/>
          <w:szCs w:val="24"/>
          <w:lang w:eastAsia="en-GB"/>
        </w:rPr>
        <w:t>In some areas commissioners work closely with GP practices prior to inspections to support them.</w:t>
      </w:r>
    </w:p>
    <w:p w14:paraId="5CCC9630" w14:textId="7C767852" w:rsidR="00D32C7A" w:rsidRPr="000433F3" w:rsidRDefault="00410495" w:rsidP="000433F3">
      <w:pPr>
        <w:pStyle w:val="Heading3"/>
        <w:rPr>
          <w:lang w:eastAsia="en-GB"/>
        </w:rPr>
      </w:pPr>
      <w:r w:rsidRPr="00DE2D5D">
        <w:rPr>
          <w:lang w:eastAsia="en-GB"/>
        </w:rPr>
        <w:t>Collaborative working arrangements</w:t>
      </w:r>
      <w:r>
        <w:rPr>
          <w:lang w:eastAsia="en-GB"/>
        </w:rPr>
        <w:t>:</w:t>
      </w:r>
    </w:p>
    <w:p w14:paraId="10BF172F" w14:textId="35C4393B" w:rsidR="00410495" w:rsidRPr="006E22ED" w:rsidRDefault="00410495" w:rsidP="009A4EC5">
      <w:pPr>
        <w:pStyle w:val="Heading3"/>
        <w:rPr>
          <w:rFonts w:cstheme="minorHAnsi"/>
          <w:szCs w:val="24"/>
          <w:lang w:eastAsia="en-GB"/>
        </w:rPr>
      </w:pPr>
      <w:r w:rsidRPr="00987E66">
        <w:rPr>
          <w:lang w:eastAsia="en-GB"/>
        </w:rPr>
        <w:t xml:space="preserve">Positive working relationships are critical for ensuring successful partnership working. Commissioners and CQC have established some formal mechanisms for ensuring successful collaborative working but these should not be seen </w:t>
      </w:r>
      <w:r w:rsidR="00A237CE">
        <w:rPr>
          <w:lang w:eastAsia="en-GB"/>
        </w:rPr>
        <w:t xml:space="preserve">as </w:t>
      </w:r>
      <w:r w:rsidRPr="00987E66">
        <w:rPr>
          <w:lang w:eastAsia="en-GB"/>
        </w:rPr>
        <w:t xml:space="preserve">the only means by which those relationships can be developed. We also recognise the role of Quality Surveillance Groups and other forums </w:t>
      </w:r>
      <w:r w:rsidR="00F870B3">
        <w:rPr>
          <w:lang w:eastAsia="en-GB"/>
        </w:rPr>
        <w:t>that</w:t>
      </w:r>
      <w:r w:rsidRPr="00987E66">
        <w:rPr>
          <w:lang w:eastAsia="en-GB"/>
        </w:rPr>
        <w:t xml:space="preserve"> have been established for information sharing in some areas of the country.</w:t>
      </w:r>
    </w:p>
    <w:p w14:paraId="42FBE298" w14:textId="43D46659" w:rsidR="00410495" w:rsidRDefault="00410495" w:rsidP="000433F3">
      <w:pPr>
        <w:pStyle w:val="Heading3"/>
      </w:pPr>
      <w:r w:rsidRPr="000433F3">
        <w:t xml:space="preserve">It is recognised that telephoning the right person at the right organisation at the right time is the best means of developing those relationships and avoiding duplication wherever possible. </w:t>
      </w:r>
      <w:r w:rsidR="00C5508F">
        <w:t xml:space="preserve">It is important that commissioners engage with and know their </w:t>
      </w:r>
      <w:r w:rsidRPr="000433F3">
        <w:t>local contacts.</w:t>
      </w:r>
    </w:p>
    <w:p w14:paraId="648FAA01" w14:textId="32EF1373" w:rsidR="004643DD" w:rsidRDefault="004643DD" w:rsidP="009A4EC5"/>
    <w:p w14:paraId="18CA041D" w14:textId="77777777" w:rsidR="00096561" w:rsidRPr="006E22ED" w:rsidRDefault="00096561" w:rsidP="009A4EC5"/>
    <w:p w14:paraId="6A20BBAA" w14:textId="443E903C" w:rsidR="00410495" w:rsidRPr="000433F3" w:rsidRDefault="00410495" w:rsidP="000433F3">
      <w:pPr>
        <w:pStyle w:val="Heading3"/>
      </w:pPr>
      <w:r w:rsidRPr="000433F3">
        <w:t xml:space="preserve">Existing good practice: </w:t>
      </w:r>
    </w:p>
    <w:p w14:paraId="04CC63F2" w14:textId="77777777" w:rsidR="00410495" w:rsidRDefault="00410495" w:rsidP="00825050">
      <w:pPr>
        <w:pStyle w:val="ListParagraph"/>
        <w:numPr>
          <w:ilvl w:val="0"/>
          <w:numId w:val="43"/>
        </w:numPr>
        <w:spacing w:before="120" w:after="60" w:line="360" w:lineRule="auto"/>
        <w:rPr>
          <w:rFonts w:cstheme="minorHAnsi"/>
          <w:szCs w:val="24"/>
          <w:lang w:eastAsia="en-GB"/>
        </w:rPr>
      </w:pPr>
      <w:r w:rsidRPr="005513CE">
        <w:rPr>
          <w:rFonts w:cstheme="minorHAnsi"/>
          <w:szCs w:val="24"/>
          <w:lang w:eastAsia="en-GB"/>
        </w:rPr>
        <w:t>All parties will be transparent and we will ensure information governance and data protection principles are adhered to without exception</w:t>
      </w:r>
      <w:r>
        <w:rPr>
          <w:rFonts w:cstheme="minorHAnsi"/>
          <w:szCs w:val="24"/>
          <w:lang w:eastAsia="en-GB"/>
        </w:rPr>
        <w:t xml:space="preserve"> and w</w:t>
      </w:r>
      <w:r w:rsidRPr="005513CE">
        <w:rPr>
          <w:rFonts w:cstheme="minorHAnsi"/>
          <w:szCs w:val="24"/>
          <w:lang w:eastAsia="en-GB"/>
        </w:rPr>
        <w:t xml:space="preserve">e will ensure GP practices are fully </w:t>
      </w:r>
      <w:r>
        <w:rPr>
          <w:rFonts w:cstheme="minorHAnsi"/>
          <w:szCs w:val="24"/>
          <w:lang w:eastAsia="en-GB"/>
        </w:rPr>
        <w:t>sighted on this.</w:t>
      </w:r>
    </w:p>
    <w:p w14:paraId="3022DFB5" w14:textId="77777777" w:rsidR="00410495" w:rsidRPr="003D0978" w:rsidRDefault="00410495" w:rsidP="00825050">
      <w:pPr>
        <w:pStyle w:val="ListParagraph"/>
        <w:numPr>
          <w:ilvl w:val="0"/>
          <w:numId w:val="43"/>
        </w:numPr>
        <w:spacing w:before="120" w:after="60" w:line="360" w:lineRule="auto"/>
        <w:rPr>
          <w:rFonts w:cstheme="minorHAnsi"/>
          <w:szCs w:val="24"/>
          <w:lang w:eastAsia="en-GB"/>
        </w:rPr>
      </w:pPr>
      <w:r>
        <w:rPr>
          <w:rFonts w:cstheme="minorHAnsi"/>
          <w:szCs w:val="24"/>
          <w:lang w:eastAsia="en-GB"/>
        </w:rPr>
        <w:t>Commissioners should actively and effectively communicate with each other and CQC to ensure GP practices are not overburdened e.g. to avoid the situation whereby a commissioner contract visit overlaps with a CQC inspection.</w:t>
      </w:r>
    </w:p>
    <w:p w14:paraId="44ECDD59" w14:textId="46673CF9" w:rsidR="00410495" w:rsidRPr="003D0978" w:rsidRDefault="00410495" w:rsidP="00825050">
      <w:pPr>
        <w:pStyle w:val="ListParagraph"/>
        <w:numPr>
          <w:ilvl w:val="0"/>
          <w:numId w:val="43"/>
        </w:numPr>
        <w:spacing w:before="120" w:after="60" w:line="360" w:lineRule="auto"/>
        <w:rPr>
          <w:rFonts w:cstheme="minorHAnsi"/>
          <w:szCs w:val="24"/>
          <w:lang w:eastAsia="en-GB"/>
        </w:rPr>
      </w:pPr>
      <w:r>
        <w:rPr>
          <w:rFonts w:cstheme="minorHAnsi"/>
          <w:szCs w:val="24"/>
          <w:lang w:eastAsia="en-GB"/>
        </w:rPr>
        <w:t>Commissioners should keep in regular contact with CQC throughout the year and more targeted and regular communication on the run</w:t>
      </w:r>
      <w:r w:rsidR="00F870B3">
        <w:rPr>
          <w:rFonts w:cstheme="minorHAnsi"/>
          <w:szCs w:val="24"/>
          <w:lang w:eastAsia="en-GB"/>
        </w:rPr>
        <w:t>-</w:t>
      </w:r>
      <w:r>
        <w:rPr>
          <w:rFonts w:cstheme="minorHAnsi"/>
          <w:szCs w:val="24"/>
          <w:lang w:eastAsia="en-GB"/>
        </w:rPr>
        <w:t>up to inspection or annual review.</w:t>
      </w:r>
    </w:p>
    <w:p w14:paraId="4DF47AD2" w14:textId="019AF1BB" w:rsidR="00410495" w:rsidRDefault="00410495" w:rsidP="00825050">
      <w:pPr>
        <w:pStyle w:val="ListParagraph"/>
        <w:numPr>
          <w:ilvl w:val="0"/>
          <w:numId w:val="43"/>
        </w:numPr>
        <w:spacing w:before="120" w:after="60" w:line="360" w:lineRule="auto"/>
        <w:rPr>
          <w:rFonts w:cstheme="minorHAnsi"/>
          <w:szCs w:val="24"/>
          <w:lang w:eastAsia="en-GB"/>
        </w:rPr>
      </w:pPr>
      <w:r>
        <w:rPr>
          <w:rFonts w:cstheme="minorHAnsi"/>
          <w:szCs w:val="24"/>
          <w:lang w:eastAsia="en-GB"/>
        </w:rPr>
        <w:t>Commissioners should actively engage with and support GP Practices pre and post</w:t>
      </w:r>
      <w:r w:rsidR="00F870B3">
        <w:rPr>
          <w:rFonts w:cstheme="minorHAnsi"/>
          <w:szCs w:val="24"/>
          <w:lang w:eastAsia="en-GB"/>
        </w:rPr>
        <w:t>-</w:t>
      </w:r>
      <w:r>
        <w:rPr>
          <w:rFonts w:cstheme="minorHAnsi"/>
          <w:szCs w:val="24"/>
          <w:lang w:eastAsia="en-GB"/>
        </w:rPr>
        <w:t>inspection.</w:t>
      </w:r>
    </w:p>
    <w:p w14:paraId="5C9F6FCE" w14:textId="77777777" w:rsidR="006D10D1" w:rsidRDefault="006D10D1" w:rsidP="00EC7864">
      <w:pPr>
        <w:pStyle w:val="ListParagraph"/>
        <w:spacing w:before="120" w:after="60" w:line="360" w:lineRule="auto"/>
        <w:ind w:left="1080"/>
        <w:rPr>
          <w:rFonts w:cstheme="minorHAnsi"/>
          <w:szCs w:val="24"/>
          <w:lang w:eastAsia="en-GB"/>
        </w:rPr>
      </w:pPr>
    </w:p>
    <w:p w14:paraId="37189BD0" w14:textId="229ABC2E" w:rsidR="00410495" w:rsidRPr="00410495" w:rsidRDefault="00410495" w:rsidP="00410495">
      <w:pPr>
        <w:pStyle w:val="Heading2"/>
      </w:pPr>
      <w:bookmarkStart w:id="130" w:name="_Toc536714040"/>
      <w:bookmarkStart w:id="131" w:name="_Toc186531"/>
      <w:bookmarkStart w:id="132" w:name="_Toc187484"/>
      <w:bookmarkStart w:id="133" w:name="_Toc95743381"/>
      <w:bookmarkEnd w:id="130"/>
      <w:bookmarkEnd w:id="131"/>
      <w:bookmarkEnd w:id="132"/>
      <w:r w:rsidRPr="00410495">
        <w:t>Why:</w:t>
      </w:r>
      <w:bookmarkEnd w:id="133"/>
    </w:p>
    <w:p w14:paraId="4E9504D6" w14:textId="30383B2C" w:rsidR="001B14F9" w:rsidRPr="003E46C0" w:rsidRDefault="001B14F9" w:rsidP="0000534D">
      <w:pPr>
        <w:pStyle w:val="Heading3"/>
        <w:spacing w:before="240" w:after="240" w:line="276" w:lineRule="auto"/>
        <w:rPr>
          <w:lang w:eastAsia="en-GB"/>
        </w:rPr>
      </w:pPr>
      <w:r w:rsidRPr="003E46C0">
        <w:rPr>
          <w:lang w:eastAsia="en-GB"/>
        </w:rPr>
        <w:t>The system of medical regulation has evolved over time</w:t>
      </w:r>
      <w:r w:rsidR="00DE4CC2">
        <w:rPr>
          <w:lang w:eastAsia="en-GB"/>
        </w:rPr>
        <w:t>,</w:t>
      </w:r>
      <w:r w:rsidRPr="003E46C0">
        <w:rPr>
          <w:lang w:eastAsia="en-GB"/>
        </w:rPr>
        <w:t xml:space="preserve"> rather than having been designed from a single agreed blueprint. There is a perception within the medical profession that it is over-regulated, with too many bodies setting standards and imposing requirements with potential for regulatory overlap. A lack of clarity about which body is responsible for which areas of monitoring and regulation carries a risk of duplication</w:t>
      </w:r>
      <w:r w:rsidR="00DE4CC2">
        <w:rPr>
          <w:lang w:eastAsia="en-GB"/>
        </w:rPr>
        <w:t>,</w:t>
      </w:r>
      <w:r w:rsidRPr="003E46C0">
        <w:rPr>
          <w:lang w:eastAsia="en-GB"/>
        </w:rPr>
        <w:t xml:space="preserve"> but also of potential gaps in the system which is designed to </w:t>
      </w:r>
      <w:r w:rsidR="00D26A9F" w:rsidRPr="003E46C0">
        <w:rPr>
          <w:lang w:eastAsia="en-GB"/>
        </w:rPr>
        <w:t xml:space="preserve">ensure </w:t>
      </w:r>
      <w:r w:rsidR="00D26A9F" w:rsidRPr="00A553BA">
        <w:rPr>
          <w:b/>
        </w:rPr>
        <w:t>patient</w:t>
      </w:r>
      <w:r w:rsidRPr="003E46C0">
        <w:rPr>
          <w:lang w:eastAsia="en-GB"/>
        </w:rPr>
        <w:t xml:space="preserve"> safety.</w:t>
      </w:r>
    </w:p>
    <w:p w14:paraId="45E77011" w14:textId="77777777" w:rsidR="001B14F9" w:rsidRPr="0000534D" w:rsidRDefault="001B14F9" w:rsidP="0000534D">
      <w:pPr>
        <w:pStyle w:val="Heading3"/>
        <w:spacing w:before="240" w:after="240" w:line="276" w:lineRule="auto"/>
      </w:pPr>
      <w:r w:rsidRPr="0000534D">
        <w:t>These overlaps exist:</w:t>
      </w:r>
    </w:p>
    <w:p w14:paraId="5AC30C59" w14:textId="18F96591" w:rsidR="001B14F9" w:rsidRPr="0000534D" w:rsidRDefault="001B14F9" w:rsidP="006C3DF5">
      <w:pPr>
        <w:pStyle w:val="ListParagraph"/>
        <w:numPr>
          <w:ilvl w:val="0"/>
          <w:numId w:val="115"/>
        </w:numPr>
        <w:spacing w:before="240" w:after="240" w:line="276" w:lineRule="auto"/>
      </w:pPr>
      <w:r w:rsidRPr="0000534D">
        <w:t>between CQC GP practice requirements and GMC revalidation requirements</w:t>
      </w:r>
    </w:p>
    <w:p w14:paraId="0FC26E1F" w14:textId="56F762B5" w:rsidR="001B14F9" w:rsidRPr="0000534D" w:rsidRDefault="001B14F9" w:rsidP="006C3DF5">
      <w:pPr>
        <w:pStyle w:val="ListParagraph"/>
        <w:numPr>
          <w:ilvl w:val="0"/>
          <w:numId w:val="115"/>
        </w:numPr>
        <w:spacing w:before="240" w:after="240" w:line="276" w:lineRule="auto"/>
      </w:pPr>
      <w:r w:rsidRPr="0000534D">
        <w:t>between evidence sought by NHS England for contract compliance and CQC’s</w:t>
      </w:r>
      <w:r w:rsidR="003E46C0" w:rsidRPr="0000534D">
        <w:t xml:space="preserve"> </w:t>
      </w:r>
      <w:r w:rsidRPr="0000534D">
        <w:t>regulatory requirements</w:t>
      </w:r>
    </w:p>
    <w:p w14:paraId="02E85D5E" w14:textId="6B92A3B3" w:rsidR="001B14F9" w:rsidRPr="0000534D" w:rsidRDefault="001B14F9" w:rsidP="006C3DF5">
      <w:pPr>
        <w:pStyle w:val="ListParagraph"/>
        <w:numPr>
          <w:ilvl w:val="0"/>
          <w:numId w:val="115"/>
        </w:numPr>
        <w:spacing w:before="240" w:after="240" w:line="276" w:lineRule="auto"/>
      </w:pPr>
      <w:r w:rsidRPr="0000534D">
        <w:t>between NHS England in its oversight role of the National Performers List (NPL)</w:t>
      </w:r>
      <w:r w:rsidR="003E46C0" w:rsidRPr="0000534D">
        <w:t xml:space="preserve"> </w:t>
      </w:r>
      <w:r w:rsidRPr="0000534D">
        <w:t>and GMC’s regulation of GPs on the GP register, and</w:t>
      </w:r>
    </w:p>
    <w:p w14:paraId="25629AB7" w14:textId="546BB7DA" w:rsidR="001B14F9" w:rsidRPr="0000534D" w:rsidRDefault="001B14F9" w:rsidP="006C3DF5">
      <w:pPr>
        <w:pStyle w:val="ListParagraph"/>
        <w:numPr>
          <w:ilvl w:val="0"/>
          <w:numId w:val="115"/>
        </w:numPr>
        <w:spacing w:before="240" w:after="240" w:line="276" w:lineRule="auto"/>
      </w:pPr>
      <w:r w:rsidRPr="0000534D">
        <w:t xml:space="preserve">between NHS England in its oversight of national contracts and </w:t>
      </w:r>
      <w:r w:rsidR="00B83042">
        <w:t>CCGs/ICBs</w:t>
      </w:r>
      <w:r w:rsidR="008B199F">
        <w:t xml:space="preserve"> </w:t>
      </w:r>
      <w:r w:rsidRPr="0000534D">
        <w:t>in their</w:t>
      </w:r>
      <w:r w:rsidR="003E46C0" w:rsidRPr="0000534D">
        <w:t xml:space="preserve"> </w:t>
      </w:r>
      <w:r w:rsidRPr="0000534D">
        <w:t>oversight of local contracts and accountability for system performance.</w:t>
      </w:r>
    </w:p>
    <w:p w14:paraId="461E4604" w14:textId="7679C9D8" w:rsidR="00410495" w:rsidRDefault="001B14F9" w:rsidP="0000534D">
      <w:pPr>
        <w:pStyle w:val="Heading3"/>
        <w:spacing w:before="240" w:after="240" w:line="276" w:lineRule="auto"/>
        <w:rPr>
          <w:lang w:eastAsia="en-GB"/>
        </w:rPr>
      </w:pPr>
      <w:r w:rsidRPr="003E46C0">
        <w:rPr>
          <w:lang w:eastAsia="en-GB"/>
        </w:rPr>
        <w:t>NHS England, CQC and GMC already work closely together to share data but there</w:t>
      </w:r>
      <w:r w:rsidR="003E46C0" w:rsidRPr="003E46C0">
        <w:rPr>
          <w:lang w:eastAsia="en-GB"/>
        </w:rPr>
        <w:t xml:space="preserve"> </w:t>
      </w:r>
      <w:r w:rsidRPr="003E46C0">
        <w:rPr>
          <w:lang w:eastAsia="en-GB"/>
        </w:rPr>
        <w:t>is more work to be done to align our processes and minimise the workload for</w:t>
      </w:r>
      <w:r w:rsidR="003E46C0" w:rsidRPr="003E46C0">
        <w:rPr>
          <w:lang w:eastAsia="en-GB"/>
        </w:rPr>
        <w:t xml:space="preserve"> </w:t>
      </w:r>
      <w:r w:rsidRPr="003E46C0">
        <w:rPr>
          <w:lang w:eastAsia="en-GB"/>
        </w:rPr>
        <w:t xml:space="preserve">general practice. </w:t>
      </w:r>
    </w:p>
    <w:p w14:paraId="3941495F" w14:textId="77777777" w:rsidR="004643DD" w:rsidRPr="006E22ED" w:rsidRDefault="004643DD" w:rsidP="009A4EC5">
      <w:pPr>
        <w:rPr>
          <w:lang w:eastAsia="en-GB"/>
        </w:rPr>
      </w:pPr>
    </w:p>
    <w:p w14:paraId="525E32AE" w14:textId="7EC565A1" w:rsidR="00410495" w:rsidRPr="00410495" w:rsidRDefault="003E46C0" w:rsidP="00410495">
      <w:pPr>
        <w:pStyle w:val="Heading2"/>
      </w:pPr>
      <w:bookmarkStart w:id="134" w:name="_Toc95743382"/>
      <w:r>
        <w:t>The</w:t>
      </w:r>
      <w:r w:rsidRPr="00410495">
        <w:t xml:space="preserve"> </w:t>
      </w:r>
      <w:r>
        <w:t>a</w:t>
      </w:r>
      <w:r w:rsidR="00410495" w:rsidRPr="00410495">
        <w:t>mbition</w:t>
      </w:r>
      <w:r>
        <w:t xml:space="preserve"> being delivered</w:t>
      </w:r>
      <w:r w:rsidR="00410495" w:rsidRPr="00410495">
        <w:t>:</w:t>
      </w:r>
      <w:bookmarkEnd w:id="134"/>
    </w:p>
    <w:p w14:paraId="0F9E79F4" w14:textId="77777777" w:rsidR="003E46C0" w:rsidRDefault="003E46C0" w:rsidP="0000534D">
      <w:pPr>
        <w:spacing w:line="360" w:lineRule="auto"/>
        <w:rPr>
          <w:lang w:eastAsia="en-GB"/>
        </w:rPr>
      </w:pPr>
    </w:p>
    <w:p w14:paraId="195CB21B" w14:textId="27471552" w:rsidR="003E46C0" w:rsidRDefault="003E46C0" w:rsidP="003E46C0">
      <w:pPr>
        <w:spacing w:line="360" w:lineRule="auto"/>
        <w:rPr>
          <w:lang w:eastAsia="en-GB"/>
        </w:rPr>
      </w:pPr>
      <w:r>
        <w:rPr>
          <w:lang w:eastAsia="en-GB"/>
        </w:rPr>
        <w:t xml:space="preserve">NHS England, CQC and GMC </w:t>
      </w:r>
      <w:r w:rsidR="00DE4CC2">
        <w:rPr>
          <w:lang w:eastAsia="en-GB"/>
        </w:rPr>
        <w:t xml:space="preserve">are </w:t>
      </w:r>
      <w:r>
        <w:rPr>
          <w:lang w:eastAsia="en-GB"/>
        </w:rPr>
        <w:t>committed to;</w:t>
      </w:r>
    </w:p>
    <w:p w14:paraId="1598F199" w14:textId="4A21EBDD" w:rsidR="003E46C0" w:rsidRDefault="003E46C0" w:rsidP="006C3DF5">
      <w:pPr>
        <w:pStyle w:val="ListParagraph"/>
        <w:numPr>
          <w:ilvl w:val="0"/>
          <w:numId w:val="115"/>
        </w:numPr>
        <w:spacing w:line="360" w:lineRule="auto"/>
        <w:rPr>
          <w:lang w:eastAsia="en-GB"/>
        </w:rPr>
      </w:pPr>
      <w:r>
        <w:rPr>
          <w:lang w:eastAsia="en-GB"/>
        </w:rPr>
        <w:t>identifying immediate actions to support GPs and GP practices to reduce the workload associated with regulation</w:t>
      </w:r>
    </w:p>
    <w:p w14:paraId="6F30A3E3" w14:textId="76005BD2" w:rsidR="003E46C0" w:rsidRDefault="003E46C0" w:rsidP="006C3DF5">
      <w:pPr>
        <w:pStyle w:val="ListParagraph"/>
        <w:numPr>
          <w:ilvl w:val="0"/>
          <w:numId w:val="115"/>
        </w:numPr>
        <w:spacing w:line="360" w:lineRule="auto"/>
        <w:rPr>
          <w:lang w:eastAsia="en-GB"/>
        </w:rPr>
      </w:pPr>
      <w:r>
        <w:rPr>
          <w:lang w:eastAsia="en-GB"/>
        </w:rPr>
        <w:t>align and streamline regulatory and commissioning processes taking a more targeted and risk based approach to regulation and contract management;</w:t>
      </w:r>
    </w:p>
    <w:p w14:paraId="72E5B9E8" w14:textId="1E753E36" w:rsidR="003E46C0" w:rsidRDefault="003E46C0" w:rsidP="006C3DF5">
      <w:pPr>
        <w:pStyle w:val="ListParagraph"/>
        <w:numPr>
          <w:ilvl w:val="0"/>
          <w:numId w:val="115"/>
        </w:numPr>
        <w:spacing w:line="360" w:lineRule="auto"/>
        <w:rPr>
          <w:lang w:eastAsia="en-GB"/>
        </w:rPr>
      </w:pPr>
      <w:r>
        <w:rPr>
          <w:lang w:eastAsia="en-GB"/>
        </w:rPr>
        <w:t>improved information gathering and intelligence about services - We need to ensure that the data and information we identify to collect, measure, and monitor, is clear and consistent, and proportionate to risk</w:t>
      </w:r>
    </w:p>
    <w:p w14:paraId="02CB20F2" w14:textId="7842CF37" w:rsidR="00410495" w:rsidRPr="004418AC" w:rsidRDefault="003E46C0" w:rsidP="006C3DF5">
      <w:pPr>
        <w:pStyle w:val="ListParagraph"/>
        <w:numPr>
          <w:ilvl w:val="0"/>
          <w:numId w:val="115"/>
        </w:numPr>
        <w:spacing w:line="360" w:lineRule="auto"/>
        <w:rPr>
          <w:lang w:eastAsia="en-GB"/>
        </w:rPr>
      </w:pPr>
      <w:r>
        <w:rPr>
          <w:lang w:eastAsia="en-GB"/>
        </w:rPr>
        <w:t>mak</w:t>
      </w:r>
      <w:r w:rsidR="00DE4CC2">
        <w:rPr>
          <w:lang w:eastAsia="en-GB"/>
        </w:rPr>
        <w:t>ing</w:t>
      </w:r>
      <w:r>
        <w:rPr>
          <w:lang w:eastAsia="en-GB"/>
        </w:rPr>
        <w:t xml:space="preserve"> it easier for commissioners and regulators to access and use shared information about quality, giving GPs time to focus on improving quality of care at the frontline</w:t>
      </w:r>
    </w:p>
    <w:p w14:paraId="4F0C7842" w14:textId="77777777" w:rsidR="00410495" w:rsidRPr="0015247B" w:rsidRDefault="00410495" w:rsidP="0015247B"/>
    <w:p w14:paraId="4B9548E5" w14:textId="35191BE7" w:rsidR="006B1FFD" w:rsidRDefault="003E46C0" w:rsidP="0015247B">
      <w:pPr>
        <w:pStyle w:val="Title"/>
        <w:rPr>
          <w:sz w:val="48"/>
          <w:szCs w:val="48"/>
          <w:lang w:eastAsia="en-GB"/>
        </w:rPr>
      </w:pPr>
      <w:r>
        <w:rPr>
          <w:sz w:val="48"/>
          <w:szCs w:val="48"/>
          <w:lang w:eastAsia="en-GB"/>
        </w:rPr>
        <w:br w:type="page"/>
      </w:r>
    </w:p>
    <w:p w14:paraId="25AB9ADD" w14:textId="40E65DCA" w:rsidR="0015247B" w:rsidRPr="006B0F43" w:rsidRDefault="0066107F" w:rsidP="006B0F43">
      <w:pPr>
        <w:pStyle w:val="Heading1"/>
        <w:numPr>
          <w:ilvl w:val="0"/>
          <w:numId w:val="0"/>
        </w:numPr>
        <w:ind w:left="432" w:hanging="432"/>
        <w:rPr>
          <w:sz w:val="96"/>
          <w:szCs w:val="96"/>
          <w:lang w:eastAsia="en-GB"/>
        </w:rPr>
      </w:pPr>
      <w:bookmarkStart w:id="135" w:name="_Toc95743383"/>
      <w:r>
        <w:rPr>
          <w:sz w:val="96"/>
          <w:szCs w:val="96"/>
          <w:lang w:eastAsia="en-GB"/>
        </w:rPr>
        <w:t xml:space="preserve">Part B – General </w:t>
      </w:r>
      <w:r w:rsidR="0015247B" w:rsidRPr="006B0F43">
        <w:rPr>
          <w:sz w:val="96"/>
          <w:szCs w:val="96"/>
          <w:lang w:eastAsia="en-GB"/>
        </w:rPr>
        <w:t>Contract Management</w:t>
      </w:r>
      <w:bookmarkEnd w:id="135"/>
    </w:p>
    <w:p w14:paraId="4360D226" w14:textId="77777777" w:rsidR="0015247B" w:rsidRDefault="0015247B" w:rsidP="0015247B">
      <w:pPr>
        <w:rPr>
          <w:lang w:eastAsia="en-GB"/>
        </w:rPr>
      </w:pPr>
      <w:r>
        <w:rPr>
          <w:lang w:eastAsia="en-GB"/>
        </w:rPr>
        <w:t> </w:t>
      </w:r>
    </w:p>
    <w:p w14:paraId="746AC8AE" w14:textId="2242C2EB" w:rsidR="0015247B" w:rsidRDefault="006B1FFD" w:rsidP="003331F2">
      <w:pPr>
        <w:pStyle w:val="Heading1"/>
        <w:numPr>
          <w:ilvl w:val="0"/>
          <w:numId w:val="3"/>
        </w:numPr>
        <w:rPr>
          <w:lang w:eastAsia="en-GB"/>
        </w:rPr>
      </w:pPr>
      <w:r>
        <w:rPr>
          <w:lang w:eastAsia="en-GB"/>
        </w:rPr>
        <w:br w:type="page"/>
      </w:r>
      <w:bookmarkStart w:id="136" w:name="_Toc95743384"/>
      <w:r w:rsidR="0015247B">
        <w:rPr>
          <w:lang w:eastAsia="en-GB"/>
        </w:rPr>
        <w:t>Contracts Described</w:t>
      </w:r>
      <w:bookmarkEnd w:id="136"/>
    </w:p>
    <w:p w14:paraId="78112194" w14:textId="77777777" w:rsidR="0015247B" w:rsidRPr="0015247B" w:rsidRDefault="0015247B" w:rsidP="0015247B">
      <w:pPr>
        <w:rPr>
          <w:lang w:eastAsia="en-GB"/>
        </w:rPr>
      </w:pPr>
    </w:p>
    <w:p w14:paraId="6FFE6A72" w14:textId="77777777" w:rsidR="004A1E13" w:rsidRPr="00CE0885" w:rsidRDefault="004A1E13" w:rsidP="004A1E13">
      <w:pPr>
        <w:pStyle w:val="Heading2"/>
      </w:pPr>
      <w:bookmarkStart w:id="137" w:name="_Toc95743385"/>
      <w:r w:rsidRPr="009055A7">
        <w:t>Comparison of Contract Types (Standard Medical and as part of models</w:t>
      </w:r>
      <w:r w:rsidRPr="00CE0885">
        <w:t xml:space="preserve"> i.e. MCPs / PACS)</w:t>
      </w:r>
      <w:bookmarkEnd w:id="137"/>
    </w:p>
    <w:p w14:paraId="7D09B5AF" w14:textId="08BDD833" w:rsidR="00546912" w:rsidRDefault="00546912" w:rsidP="0000534D">
      <w:pPr>
        <w:pStyle w:val="Heading3"/>
        <w:spacing w:before="120" w:after="120" w:line="276" w:lineRule="auto"/>
      </w:pPr>
      <w:r w:rsidRPr="004A1E13">
        <w:t>Throughout this document there are many references to standard contracts GMS, PMS and APMS. As new business models and related legislation are developed, this policy and guidance will be updated.</w:t>
      </w:r>
    </w:p>
    <w:p w14:paraId="5569A363" w14:textId="50CDAAB2" w:rsidR="00546912" w:rsidRDefault="00546912" w:rsidP="00546912">
      <w:pPr>
        <w:pStyle w:val="Heading4"/>
      </w:pPr>
      <w:r>
        <w:t>The GMS and PMS Consolidated Regulations 2015 can be viewed here:</w:t>
      </w:r>
    </w:p>
    <w:p w14:paraId="5997BAEF" w14:textId="32CF2A5B" w:rsidR="00546912" w:rsidRDefault="00546912" w:rsidP="006C3DF5">
      <w:pPr>
        <w:pStyle w:val="ListParagraph"/>
        <w:numPr>
          <w:ilvl w:val="0"/>
          <w:numId w:val="114"/>
        </w:numPr>
      </w:pPr>
      <w:r>
        <w:t xml:space="preserve">GMS: </w:t>
      </w:r>
      <w:hyperlink r:id="rId46" w:history="1">
        <w:r w:rsidRPr="00CE13A6">
          <w:rPr>
            <w:rStyle w:val="Hyperlink"/>
          </w:rPr>
          <w:t>https://www.legislation.gov.uk/uksi/2015/1862/contents/made</w:t>
        </w:r>
      </w:hyperlink>
    </w:p>
    <w:p w14:paraId="2C0F267F" w14:textId="4C40D43D" w:rsidR="00546912" w:rsidRDefault="00546912" w:rsidP="006C3DF5">
      <w:pPr>
        <w:pStyle w:val="ListParagraph"/>
        <w:numPr>
          <w:ilvl w:val="0"/>
          <w:numId w:val="114"/>
        </w:numPr>
      </w:pPr>
      <w:r>
        <w:t xml:space="preserve">PMS: </w:t>
      </w:r>
      <w:hyperlink r:id="rId47" w:history="1">
        <w:r w:rsidRPr="00CE13A6">
          <w:rPr>
            <w:rStyle w:val="Hyperlink"/>
          </w:rPr>
          <w:t>http://www.legislation.gov.uk/uksi/2015/1879/contents/made</w:t>
        </w:r>
      </w:hyperlink>
      <w:r>
        <w:t xml:space="preserve"> </w:t>
      </w:r>
    </w:p>
    <w:p w14:paraId="0770BAE3" w14:textId="77777777" w:rsidR="00546912" w:rsidRPr="00546912" w:rsidRDefault="00546912" w:rsidP="0000534D"/>
    <w:p w14:paraId="7FF8CCA6" w14:textId="37705FB2" w:rsidR="004A1E13" w:rsidRPr="009055A7" w:rsidRDefault="004A1E13" w:rsidP="004A1E13">
      <w:pPr>
        <w:pStyle w:val="Body1"/>
        <w:spacing w:before="0" w:after="0" w:line="360" w:lineRule="auto"/>
        <w:ind w:left="284"/>
        <w:rPr>
          <w:rFonts w:cs="Arial"/>
        </w:rPr>
      </w:pPr>
    </w:p>
    <w:p w14:paraId="22E618D2" w14:textId="77777777" w:rsidR="004A1E13" w:rsidRDefault="004A1E13" w:rsidP="004A1E13">
      <w:pPr>
        <w:spacing w:line="360" w:lineRule="auto"/>
        <w:rPr>
          <w:rFonts w:cs="Arial"/>
          <w:b/>
          <w:szCs w:val="24"/>
        </w:rPr>
        <w:sectPr w:rsidR="004A1E13" w:rsidSect="006C49D5">
          <w:pgSz w:w="11906" w:h="16838"/>
          <w:pgMar w:top="1418" w:right="1418" w:bottom="1418" w:left="1418" w:header="720" w:footer="720" w:gutter="0"/>
          <w:cols w:space="720"/>
          <w:docGrid w:linePitch="272"/>
        </w:sectPr>
      </w:pPr>
    </w:p>
    <w:p w14:paraId="06CFEA3A" w14:textId="0AB37D99" w:rsidR="004A1E13" w:rsidRPr="009055A7" w:rsidRDefault="004A1E13" w:rsidP="004A1E13">
      <w:pPr>
        <w:spacing w:line="360" w:lineRule="auto"/>
        <w:rPr>
          <w:rFonts w:cs="Arial"/>
          <w:b/>
          <w:szCs w:val="24"/>
        </w:rPr>
      </w:pPr>
    </w:p>
    <w:tbl>
      <w:tblPr>
        <w:tblStyle w:val="TableGrid"/>
        <w:tblW w:w="14319" w:type="dxa"/>
        <w:tblBorders>
          <w:top w:val="single" w:sz="4" w:space="0" w:color="1C6CB4"/>
          <w:left w:val="single" w:sz="4" w:space="0" w:color="1C6CB4"/>
          <w:bottom w:val="single" w:sz="4" w:space="0" w:color="1C6CB4"/>
          <w:right w:val="single" w:sz="4" w:space="0" w:color="1C6CB4"/>
          <w:insideH w:val="single" w:sz="4" w:space="0" w:color="1C6CB4"/>
          <w:insideV w:val="single" w:sz="4" w:space="0" w:color="1C6CB4"/>
        </w:tblBorders>
        <w:tblCellMar>
          <w:top w:w="142" w:type="dxa"/>
          <w:left w:w="142" w:type="dxa"/>
          <w:bottom w:w="142" w:type="dxa"/>
          <w:right w:w="142" w:type="dxa"/>
        </w:tblCellMar>
        <w:tblLook w:val="04A0" w:firstRow="1" w:lastRow="0" w:firstColumn="1" w:lastColumn="0" w:noHBand="0" w:noVBand="1"/>
        <w:tblCaption w:val="A table"/>
        <w:tblDescription w:val="A table describing the different types of GP contract"/>
      </w:tblPr>
      <w:tblGrid>
        <w:gridCol w:w="2427"/>
        <w:gridCol w:w="3952"/>
        <w:gridCol w:w="3969"/>
        <w:gridCol w:w="3971"/>
      </w:tblGrid>
      <w:tr w:rsidR="00462E09" w:rsidRPr="004A1E13" w14:paraId="04DE73A9" w14:textId="77777777" w:rsidTr="0000534D">
        <w:trPr>
          <w:cantSplit/>
          <w:trHeight w:val="430"/>
          <w:tblHeader/>
        </w:trPr>
        <w:tc>
          <w:tcPr>
            <w:tcW w:w="0" w:type="auto"/>
            <w:tcBorders>
              <w:left w:val="nil"/>
              <w:bottom w:val="single" w:sz="4" w:space="0" w:color="FFFFFF" w:themeColor="background1"/>
              <w:right w:val="single" w:sz="4" w:space="0" w:color="FFFFFF" w:themeColor="background1"/>
            </w:tcBorders>
            <w:shd w:val="clear" w:color="auto" w:fill="1C6CB4"/>
          </w:tcPr>
          <w:p w14:paraId="71597887" w14:textId="77777777" w:rsidR="004A1E13" w:rsidRPr="004A1E13" w:rsidRDefault="004A1E13" w:rsidP="006C49D5">
            <w:pPr>
              <w:spacing w:line="360" w:lineRule="auto"/>
              <w:rPr>
                <w:rFonts w:cs="Arial"/>
              </w:rPr>
            </w:pPr>
          </w:p>
        </w:tc>
        <w:tc>
          <w:tcPr>
            <w:tcW w:w="3952" w:type="dxa"/>
            <w:tcBorders>
              <w:left w:val="single" w:sz="4" w:space="0" w:color="FFFFFF" w:themeColor="background1"/>
              <w:right w:val="single" w:sz="4" w:space="0" w:color="FFFFFF" w:themeColor="background1"/>
            </w:tcBorders>
            <w:shd w:val="clear" w:color="auto" w:fill="1C6CB4"/>
          </w:tcPr>
          <w:p w14:paraId="1071BB7F" w14:textId="77777777" w:rsidR="004A1E13" w:rsidRPr="004A1E13" w:rsidRDefault="004A1E13" w:rsidP="006C49D5">
            <w:pPr>
              <w:spacing w:line="360" w:lineRule="auto"/>
              <w:rPr>
                <w:rFonts w:cs="Arial"/>
              </w:rPr>
            </w:pPr>
            <w:r w:rsidRPr="004A1E13">
              <w:rPr>
                <w:rFonts w:cs="Arial"/>
              </w:rPr>
              <w:t>GMS Contract</w:t>
            </w:r>
          </w:p>
        </w:tc>
        <w:tc>
          <w:tcPr>
            <w:tcW w:w="3969" w:type="dxa"/>
            <w:tcBorders>
              <w:left w:val="single" w:sz="4" w:space="0" w:color="FFFFFF" w:themeColor="background1"/>
              <w:right w:val="single" w:sz="4" w:space="0" w:color="FFFFFF" w:themeColor="background1"/>
            </w:tcBorders>
            <w:shd w:val="clear" w:color="auto" w:fill="1C6CB4"/>
          </w:tcPr>
          <w:p w14:paraId="11FE8CBE" w14:textId="650A03AE" w:rsidR="004A1E13" w:rsidRPr="004A1E13" w:rsidRDefault="004A1E13" w:rsidP="004A1E13">
            <w:pPr>
              <w:spacing w:line="360" w:lineRule="auto"/>
              <w:rPr>
                <w:rFonts w:cs="Arial"/>
              </w:rPr>
            </w:pPr>
            <w:r w:rsidRPr="004A1E13">
              <w:rPr>
                <w:rFonts w:cs="Arial"/>
              </w:rPr>
              <w:t>PMS Agreement</w:t>
            </w:r>
          </w:p>
        </w:tc>
        <w:tc>
          <w:tcPr>
            <w:tcW w:w="3971" w:type="dxa"/>
            <w:tcBorders>
              <w:left w:val="single" w:sz="4" w:space="0" w:color="FFFFFF" w:themeColor="background1"/>
            </w:tcBorders>
            <w:shd w:val="clear" w:color="auto" w:fill="1C6CB4"/>
          </w:tcPr>
          <w:p w14:paraId="1A13CE4F" w14:textId="26033B63" w:rsidR="004A1E13" w:rsidRPr="004A1E13" w:rsidRDefault="004A1E13" w:rsidP="004A1E13">
            <w:pPr>
              <w:spacing w:line="360" w:lineRule="auto"/>
              <w:rPr>
                <w:rFonts w:cs="Arial"/>
              </w:rPr>
            </w:pPr>
            <w:r w:rsidRPr="004A1E13">
              <w:rPr>
                <w:rFonts w:cs="Arial"/>
              </w:rPr>
              <w:t>APMS Contract</w:t>
            </w:r>
          </w:p>
        </w:tc>
      </w:tr>
      <w:tr w:rsidR="004A1E13" w:rsidRPr="004A1E13" w14:paraId="3EBFF1C0" w14:textId="77777777" w:rsidTr="00E509C8">
        <w:trPr>
          <w:cantSplit/>
          <w:trHeight w:val="367"/>
        </w:trPr>
        <w:tc>
          <w:tcPr>
            <w:tcW w:w="0" w:type="auto"/>
            <w:tcBorders>
              <w:top w:val="single" w:sz="4" w:space="0" w:color="FFFFFF" w:themeColor="background1"/>
              <w:left w:val="nil"/>
              <w:bottom w:val="single" w:sz="4" w:space="0" w:color="FFFFFF" w:themeColor="background1"/>
            </w:tcBorders>
            <w:shd w:val="clear" w:color="auto" w:fill="1C6CB4"/>
          </w:tcPr>
          <w:p w14:paraId="6507CE65" w14:textId="77777777" w:rsidR="004A1E13" w:rsidRPr="004A1E13" w:rsidRDefault="004A1E13" w:rsidP="006C49D5">
            <w:pPr>
              <w:spacing w:line="360" w:lineRule="auto"/>
              <w:rPr>
                <w:rFonts w:cs="Arial"/>
              </w:rPr>
            </w:pPr>
            <w:r w:rsidRPr="004A1E13">
              <w:rPr>
                <w:rFonts w:cs="Arial"/>
              </w:rPr>
              <w:t>Who can hold the contract?</w:t>
            </w:r>
          </w:p>
        </w:tc>
        <w:tc>
          <w:tcPr>
            <w:tcW w:w="3952" w:type="dxa"/>
          </w:tcPr>
          <w:p w14:paraId="7785D4C6" w14:textId="77777777" w:rsidR="004A1E13" w:rsidRPr="004A1E13" w:rsidRDefault="004A1E13" w:rsidP="00825050">
            <w:pPr>
              <w:pStyle w:val="ListParagraph"/>
              <w:numPr>
                <w:ilvl w:val="0"/>
                <w:numId w:val="47"/>
              </w:numPr>
              <w:spacing w:line="360" w:lineRule="auto"/>
              <w:ind w:left="459" w:hanging="403"/>
              <w:contextualSpacing w:val="0"/>
              <w:rPr>
                <w:rFonts w:cs="Arial"/>
              </w:rPr>
            </w:pPr>
            <w:r w:rsidRPr="004A1E13">
              <w:rPr>
                <w:rFonts w:cs="Arial"/>
              </w:rPr>
              <w:t>Individual medical practitioner</w:t>
            </w:r>
          </w:p>
          <w:p w14:paraId="6440B932" w14:textId="77777777" w:rsidR="004A1E13" w:rsidRPr="004A1E13" w:rsidRDefault="004A1E13" w:rsidP="00825050">
            <w:pPr>
              <w:pStyle w:val="ListParagraph"/>
              <w:numPr>
                <w:ilvl w:val="0"/>
                <w:numId w:val="47"/>
              </w:numPr>
              <w:spacing w:line="360" w:lineRule="auto"/>
              <w:ind w:left="459" w:hanging="403"/>
              <w:contextualSpacing w:val="0"/>
              <w:rPr>
                <w:rFonts w:cs="Arial"/>
              </w:rPr>
            </w:pPr>
            <w:r w:rsidRPr="004A1E13">
              <w:rPr>
                <w:rFonts w:cs="Arial"/>
              </w:rPr>
              <w:t>Two or more individuals practising in partnership where:</w:t>
            </w:r>
          </w:p>
          <w:p w14:paraId="220DAA61" w14:textId="77777777" w:rsidR="004A1E13" w:rsidRPr="004A1E13" w:rsidRDefault="004A1E13" w:rsidP="00825050">
            <w:pPr>
              <w:pStyle w:val="ListParagraph"/>
              <w:numPr>
                <w:ilvl w:val="1"/>
                <w:numId w:val="47"/>
              </w:numPr>
              <w:spacing w:line="360" w:lineRule="auto"/>
              <w:ind w:left="884" w:hanging="425"/>
              <w:contextualSpacing w:val="0"/>
              <w:rPr>
                <w:rFonts w:cs="Arial"/>
              </w:rPr>
            </w:pPr>
            <w:r w:rsidRPr="004A1E13">
              <w:rPr>
                <w:rFonts w:cs="Arial"/>
              </w:rPr>
              <w:t>at least one partner is a medical practitioner, and</w:t>
            </w:r>
          </w:p>
          <w:p w14:paraId="014DFE58" w14:textId="77777777" w:rsidR="004A1E13" w:rsidRPr="004A1E13" w:rsidRDefault="004A1E13" w:rsidP="00825050">
            <w:pPr>
              <w:pStyle w:val="ListParagraph"/>
              <w:numPr>
                <w:ilvl w:val="1"/>
                <w:numId w:val="47"/>
              </w:numPr>
              <w:spacing w:line="360" w:lineRule="auto"/>
              <w:ind w:left="884" w:hanging="425"/>
              <w:contextualSpacing w:val="0"/>
              <w:rPr>
                <w:rFonts w:cs="Arial"/>
              </w:rPr>
            </w:pPr>
            <w:r w:rsidRPr="004A1E13">
              <w:rPr>
                <w:rFonts w:cs="Arial"/>
              </w:rPr>
              <w:t xml:space="preserve">any other partner is either an NHS employee; or an individual eligible under s88 of the NHS Act </w:t>
            </w:r>
          </w:p>
          <w:p w14:paraId="282324CD" w14:textId="77777777" w:rsidR="004A1E13" w:rsidRPr="004A1E13" w:rsidRDefault="004A1E13" w:rsidP="00825050">
            <w:pPr>
              <w:pStyle w:val="ListParagraph"/>
              <w:numPr>
                <w:ilvl w:val="0"/>
                <w:numId w:val="47"/>
              </w:numPr>
              <w:spacing w:line="360" w:lineRule="auto"/>
              <w:ind w:left="459" w:hanging="403"/>
              <w:contextualSpacing w:val="0"/>
              <w:rPr>
                <w:rFonts w:cs="Arial"/>
              </w:rPr>
            </w:pPr>
            <w:r w:rsidRPr="004A1E13">
              <w:rPr>
                <w:rFonts w:cs="Arial"/>
              </w:rPr>
              <w:t>A company limited by shares</w:t>
            </w:r>
          </w:p>
          <w:p w14:paraId="6747941A" w14:textId="77777777" w:rsidR="004A1E13" w:rsidRPr="004A1E13" w:rsidRDefault="004A1E13" w:rsidP="006C49D5">
            <w:pPr>
              <w:spacing w:line="360" w:lineRule="auto"/>
              <w:ind w:left="34"/>
              <w:rPr>
                <w:rFonts w:cs="Arial"/>
              </w:rPr>
            </w:pPr>
            <w:r w:rsidRPr="004A1E13">
              <w:rPr>
                <w:rFonts w:cs="Arial"/>
              </w:rPr>
              <w:t>The above is a summary only. Please refer to Annex 1 for more detail.</w:t>
            </w:r>
          </w:p>
        </w:tc>
        <w:tc>
          <w:tcPr>
            <w:tcW w:w="3969" w:type="dxa"/>
          </w:tcPr>
          <w:p w14:paraId="4009A7AA" w14:textId="77777777" w:rsidR="004A1E13" w:rsidRPr="004A1E13" w:rsidRDefault="004A1E13" w:rsidP="00825050">
            <w:pPr>
              <w:pStyle w:val="Heading3"/>
              <w:numPr>
                <w:ilvl w:val="0"/>
                <w:numId w:val="46"/>
              </w:numPr>
              <w:ind w:left="270" w:hanging="270"/>
              <w:rPr>
                <w:rFonts w:cs="Arial"/>
              </w:rPr>
            </w:pPr>
            <w:bookmarkStart w:id="138" w:name="_Toc440981634"/>
            <w:r w:rsidRPr="004A1E13">
              <w:rPr>
                <w:rFonts w:cs="Arial"/>
              </w:rPr>
              <w:t>Medical practitioner</w:t>
            </w:r>
            <w:bookmarkEnd w:id="138"/>
          </w:p>
          <w:p w14:paraId="4D71EA71" w14:textId="77777777" w:rsidR="004A1E13" w:rsidRPr="00C367EB" w:rsidRDefault="004A1E13" w:rsidP="00825050">
            <w:pPr>
              <w:pStyle w:val="Heading3"/>
              <w:numPr>
                <w:ilvl w:val="0"/>
                <w:numId w:val="46"/>
              </w:numPr>
              <w:ind w:left="270" w:hanging="270"/>
              <w:rPr>
                <w:rFonts w:cs="Arial"/>
              </w:rPr>
            </w:pPr>
            <w:bookmarkStart w:id="139" w:name="_Toc440981635"/>
            <w:r w:rsidRPr="00C367EB">
              <w:rPr>
                <w:rFonts w:cs="Arial"/>
              </w:rPr>
              <w:t>NHS employee</w:t>
            </w:r>
            <w:bookmarkEnd w:id="139"/>
          </w:p>
          <w:p w14:paraId="263BC80B" w14:textId="77777777" w:rsidR="004A1E13" w:rsidRPr="004A1E13" w:rsidRDefault="004A1E13" w:rsidP="00825050">
            <w:pPr>
              <w:pStyle w:val="Heading3"/>
              <w:numPr>
                <w:ilvl w:val="0"/>
                <w:numId w:val="46"/>
              </w:numPr>
              <w:ind w:left="270" w:hanging="270"/>
              <w:rPr>
                <w:rFonts w:cs="Arial"/>
              </w:rPr>
            </w:pPr>
            <w:bookmarkStart w:id="140" w:name="_Toc440981636"/>
            <w:r w:rsidRPr="004A1E13">
              <w:rPr>
                <w:rFonts w:cs="Arial"/>
              </w:rPr>
              <w:t>Health care professional</w:t>
            </w:r>
            <w:bookmarkEnd w:id="140"/>
            <w:r w:rsidRPr="004A1E13">
              <w:rPr>
                <w:rFonts w:cs="Arial"/>
              </w:rPr>
              <w:t xml:space="preserve"> </w:t>
            </w:r>
          </w:p>
          <w:p w14:paraId="5E76236A" w14:textId="77777777" w:rsidR="004A1E13" w:rsidRPr="004A1E13" w:rsidRDefault="004A1E13" w:rsidP="00825050">
            <w:pPr>
              <w:pStyle w:val="Heading3"/>
              <w:numPr>
                <w:ilvl w:val="0"/>
                <w:numId w:val="46"/>
              </w:numPr>
              <w:ind w:left="270" w:hanging="270"/>
              <w:rPr>
                <w:rFonts w:cs="Arial"/>
              </w:rPr>
            </w:pPr>
            <w:bookmarkStart w:id="141" w:name="_Toc440981637"/>
            <w:r w:rsidRPr="004A1E13">
              <w:rPr>
                <w:rFonts w:cs="Arial"/>
              </w:rPr>
              <w:t>Individuals already providing services under a GMS, or GDS contract or equivalent (UK)</w:t>
            </w:r>
            <w:bookmarkEnd w:id="141"/>
          </w:p>
          <w:p w14:paraId="7539760B" w14:textId="77777777" w:rsidR="004A1E13" w:rsidRPr="004A1E13" w:rsidRDefault="004A1E13" w:rsidP="00825050">
            <w:pPr>
              <w:pStyle w:val="Heading3"/>
              <w:numPr>
                <w:ilvl w:val="0"/>
                <w:numId w:val="46"/>
              </w:numPr>
              <w:ind w:left="270" w:hanging="270"/>
              <w:rPr>
                <w:rFonts w:cs="Arial"/>
              </w:rPr>
            </w:pPr>
            <w:bookmarkStart w:id="142" w:name="_Toc440981638"/>
            <w:r w:rsidRPr="004A1E13">
              <w:rPr>
                <w:rFonts w:cs="Arial"/>
              </w:rPr>
              <w:t>Individuals eligible under s93 of the NHS Act</w:t>
            </w:r>
            <w:bookmarkEnd w:id="142"/>
          </w:p>
          <w:p w14:paraId="38726A59" w14:textId="77777777" w:rsidR="004A1E13" w:rsidRPr="004A1E13" w:rsidRDefault="004A1E13" w:rsidP="00825050">
            <w:pPr>
              <w:pStyle w:val="Heading3"/>
              <w:numPr>
                <w:ilvl w:val="0"/>
                <w:numId w:val="46"/>
              </w:numPr>
              <w:ind w:left="270" w:hanging="270"/>
              <w:rPr>
                <w:rFonts w:cs="Arial"/>
              </w:rPr>
            </w:pPr>
            <w:bookmarkStart w:id="143" w:name="_Toc440981639"/>
            <w:r w:rsidRPr="004A1E13">
              <w:rPr>
                <w:rFonts w:cs="Arial"/>
              </w:rPr>
              <w:t>Qualifying body (which is a company limited by shares with restrictions on share ownership)</w:t>
            </w:r>
            <w:bookmarkEnd w:id="143"/>
            <w:r w:rsidRPr="004A1E13">
              <w:rPr>
                <w:rFonts w:cs="Arial"/>
              </w:rPr>
              <w:t xml:space="preserve"> </w:t>
            </w:r>
          </w:p>
          <w:p w14:paraId="1866B6F8" w14:textId="77777777" w:rsidR="004A1E13" w:rsidRPr="004A1E13" w:rsidRDefault="004A1E13" w:rsidP="00825050">
            <w:pPr>
              <w:pStyle w:val="Heading3"/>
              <w:numPr>
                <w:ilvl w:val="0"/>
                <w:numId w:val="46"/>
              </w:numPr>
              <w:ind w:left="270" w:hanging="270"/>
              <w:rPr>
                <w:rFonts w:cs="Arial"/>
              </w:rPr>
            </w:pPr>
            <w:bookmarkStart w:id="144" w:name="_Toc440981640"/>
            <w:r w:rsidRPr="004A1E13">
              <w:rPr>
                <w:rFonts w:cs="Arial"/>
              </w:rPr>
              <w:t>NHS trust or foundation trust</w:t>
            </w:r>
            <w:bookmarkEnd w:id="144"/>
          </w:p>
          <w:p w14:paraId="37860B61" w14:textId="77777777" w:rsidR="004A1E13" w:rsidRPr="004A1E13" w:rsidRDefault="004A1E13" w:rsidP="006C49D5">
            <w:pPr>
              <w:pStyle w:val="Body3"/>
              <w:spacing w:before="0" w:after="0" w:line="360" w:lineRule="auto"/>
              <w:ind w:left="0"/>
              <w:jc w:val="left"/>
              <w:rPr>
                <w:rFonts w:cs="Arial"/>
              </w:rPr>
            </w:pPr>
            <w:r w:rsidRPr="004A1E13">
              <w:rPr>
                <w:rFonts w:cs="Arial"/>
              </w:rPr>
              <w:t>The above is a summary only. Please refer to Annex 2 for more detail.</w:t>
            </w:r>
          </w:p>
        </w:tc>
        <w:tc>
          <w:tcPr>
            <w:tcW w:w="3971" w:type="dxa"/>
          </w:tcPr>
          <w:p w14:paraId="2C6F666D" w14:textId="77777777" w:rsidR="004A1E13" w:rsidRPr="004A1E13" w:rsidRDefault="004A1E13" w:rsidP="006C49D5">
            <w:pPr>
              <w:pStyle w:val="Heading3"/>
              <w:numPr>
                <w:ilvl w:val="0"/>
                <w:numId w:val="0"/>
              </w:numPr>
              <w:rPr>
                <w:rFonts w:cs="Arial"/>
              </w:rPr>
            </w:pPr>
            <w:bookmarkStart w:id="145" w:name="_Toc440981641"/>
            <w:r w:rsidRPr="004A1E13">
              <w:rPr>
                <w:rFonts w:cs="Arial"/>
              </w:rPr>
              <w:t>The APMS Directions do not state who can hold a contract.</w:t>
            </w:r>
            <w:bookmarkEnd w:id="145"/>
            <w:r w:rsidRPr="004A1E13">
              <w:rPr>
                <w:rFonts w:cs="Arial"/>
              </w:rPr>
              <w:t xml:space="preserve"> </w:t>
            </w:r>
          </w:p>
          <w:p w14:paraId="48B92370" w14:textId="77777777" w:rsidR="004A1E13" w:rsidRPr="004A1E13" w:rsidRDefault="004A1E13" w:rsidP="006C49D5">
            <w:pPr>
              <w:pStyle w:val="Heading3"/>
              <w:numPr>
                <w:ilvl w:val="0"/>
                <w:numId w:val="0"/>
              </w:numPr>
              <w:rPr>
                <w:rFonts w:cs="Arial"/>
              </w:rPr>
            </w:pPr>
            <w:bookmarkStart w:id="146" w:name="_Toc440981642"/>
            <w:r w:rsidRPr="004A1E13">
              <w:rPr>
                <w:rFonts w:cs="Arial"/>
              </w:rPr>
              <w:t>Instead it states that particular types of persons cannot hold a contract if they are not eligible.</w:t>
            </w:r>
            <w:bookmarkEnd w:id="146"/>
            <w:r w:rsidRPr="004A1E13">
              <w:rPr>
                <w:rFonts w:cs="Arial"/>
              </w:rPr>
              <w:t xml:space="preserve"> </w:t>
            </w:r>
          </w:p>
          <w:p w14:paraId="0191503D" w14:textId="77777777" w:rsidR="004A1E13" w:rsidRPr="004A1E13" w:rsidRDefault="004A1E13" w:rsidP="006C49D5">
            <w:pPr>
              <w:pStyle w:val="Heading3"/>
              <w:numPr>
                <w:ilvl w:val="0"/>
                <w:numId w:val="0"/>
              </w:numPr>
              <w:rPr>
                <w:rFonts w:cs="Arial"/>
              </w:rPr>
            </w:pPr>
            <w:bookmarkStart w:id="147" w:name="_Toc440981643"/>
            <w:r w:rsidRPr="004A1E13">
              <w:rPr>
                <w:rFonts w:cs="Arial"/>
              </w:rPr>
              <w:t>Please refer to Annex 3 for more detail.</w:t>
            </w:r>
            <w:bookmarkEnd w:id="147"/>
          </w:p>
        </w:tc>
      </w:tr>
      <w:tr w:rsidR="004A1E13" w:rsidRPr="004A1E13" w14:paraId="5D74524C" w14:textId="77777777" w:rsidTr="00E509C8">
        <w:trPr>
          <w:cantSplit/>
          <w:trHeight w:val="367"/>
        </w:trPr>
        <w:tc>
          <w:tcPr>
            <w:tcW w:w="0" w:type="auto"/>
            <w:tcBorders>
              <w:top w:val="single" w:sz="4" w:space="0" w:color="FFFFFF" w:themeColor="background1"/>
              <w:left w:val="nil"/>
              <w:bottom w:val="single" w:sz="4" w:space="0" w:color="FFFFFF" w:themeColor="background1"/>
            </w:tcBorders>
            <w:shd w:val="clear" w:color="auto" w:fill="1C6CB4"/>
          </w:tcPr>
          <w:p w14:paraId="64AA386D" w14:textId="77777777" w:rsidR="004A1E13" w:rsidRPr="004A1E13" w:rsidRDefault="004A1E13" w:rsidP="006C49D5">
            <w:pPr>
              <w:spacing w:line="360" w:lineRule="auto"/>
              <w:rPr>
                <w:rFonts w:cs="Arial"/>
              </w:rPr>
            </w:pPr>
            <w:r w:rsidRPr="004A1E13">
              <w:rPr>
                <w:rFonts w:cs="Arial"/>
              </w:rPr>
              <w:t>Where two or more individuals are practising in partnership, is the contract treated as being made with the partnership?</w:t>
            </w:r>
          </w:p>
        </w:tc>
        <w:tc>
          <w:tcPr>
            <w:tcW w:w="3952" w:type="dxa"/>
          </w:tcPr>
          <w:p w14:paraId="7143A58E" w14:textId="77777777" w:rsidR="004A1E13" w:rsidRPr="004A1E13" w:rsidRDefault="004A1E13" w:rsidP="006C49D5">
            <w:pPr>
              <w:spacing w:line="360" w:lineRule="auto"/>
              <w:rPr>
                <w:rFonts w:cs="Arial"/>
              </w:rPr>
            </w:pPr>
            <w:r w:rsidRPr="004A1E13">
              <w:rPr>
                <w:rFonts w:cs="Arial"/>
              </w:rPr>
              <w:t>Yes</w:t>
            </w:r>
          </w:p>
        </w:tc>
        <w:tc>
          <w:tcPr>
            <w:tcW w:w="3969" w:type="dxa"/>
          </w:tcPr>
          <w:p w14:paraId="4B33315F" w14:textId="77777777" w:rsidR="004A1E13" w:rsidRPr="004A1E13" w:rsidRDefault="004A1E13" w:rsidP="006C49D5">
            <w:pPr>
              <w:pStyle w:val="Heading3"/>
              <w:numPr>
                <w:ilvl w:val="0"/>
                <w:numId w:val="0"/>
              </w:numPr>
              <w:rPr>
                <w:rFonts w:cs="Arial"/>
              </w:rPr>
            </w:pPr>
            <w:bookmarkStart w:id="148" w:name="_Toc440981644"/>
            <w:r w:rsidRPr="004A1E13">
              <w:rPr>
                <w:rFonts w:cs="Arial"/>
              </w:rPr>
              <w:t>No</w:t>
            </w:r>
            <w:bookmarkEnd w:id="148"/>
          </w:p>
        </w:tc>
        <w:tc>
          <w:tcPr>
            <w:tcW w:w="3971" w:type="dxa"/>
          </w:tcPr>
          <w:p w14:paraId="05F9DBDD" w14:textId="77777777" w:rsidR="004A1E13" w:rsidRPr="004A1E13" w:rsidRDefault="004A1E13" w:rsidP="006C49D5">
            <w:pPr>
              <w:spacing w:line="360" w:lineRule="auto"/>
              <w:rPr>
                <w:rFonts w:cs="Arial"/>
              </w:rPr>
            </w:pPr>
            <w:r w:rsidRPr="004A1E13">
              <w:rPr>
                <w:rFonts w:cs="Arial"/>
              </w:rPr>
              <w:t>No</w:t>
            </w:r>
          </w:p>
        </w:tc>
      </w:tr>
      <w:tr w:rsidR="004A1E13" w:rsidRPr="004A1E13" w14:paraId="6599BD54" w14:textId="77777777" w:rsidTr="00E509C8">
        <w:trPr>
          <w:cantSplit/>
          <w:trHeight w:val="367"/>
        </w:trPr>
        <w:tc>
          <w:tcPr>
            <w:tcW w:w="0" w:type="auto"/>
            <w:tcBorders>
              <w:top w:val="single" w:sz="4" w:space="0" w:color="FFFFFF" w:themeColor="background1"/>
              <w:left w:val="nil"/>
              <w:bottom w:val="single" w:sz="4" w:space="0" w:color="FFFFFF" w:themeColor="background1"/>
            </w:tcBorders>
            <w:shd w:val="clear" w:color="auto" w:fill="1C6CB4"/>
          </w:tcPr>
          <w:p w14:paraId="52862379" w14:textId="77777777" w:rsidR="004A1E13" w:rsidRPr="004A1E13" w:rsidRDefault="004A1E13" w:rsidP="006C49D5">
            <w:pPr>
              <w:spacing w:line="360" w:lineRule="auto"/>
              <w:rPr>
                <w:rFonts w:cs="Arial"/>
              </w:rPr>
            </w:pPr>
            <w:r w:rsidRPr="004A1E13">
              <w:rPr>
                <w:rFonts w:cs="Arial"/>
              </w:rPr>
              <w:t>Is the contract time limited?</w:t>
            </w:r>
          </w:p>
        </w:tc>
        <w:tc>
          <w:tcPr>
            <w:tcW w:w="3952" w:type="dxa"/>
          </w:tcPr>
          <w:p w14:paraId="7F0BA814" w14:textId="77777777" w:rsidR="004A1E13" w:rsidRPr="004A1E13" w:rsidRDefault="004A1E13" w:rsidP="006C49D5">
            <w:pPr>
              <w:spacing w:line="360" w:lineRule="auto"/>
              <w:rPr>
                <w:rFonts w:cs="Arial"/>
              </w:rPr>
            </w:pPr>
            <w:r w:rsidRPr="004A1E13">
              <w:rPr>
                <w:rFonts w:cs="Arial"/>
              </w:rPr>
              <w:t>No</w:t>
            </w:r>
          </w:p>
          <w:p w14:paraId="7D3C0045" w14:textId="77777777" w:rsidR="004A1E13" w:rsidRPr="004A1E13" w:rsidRDefault="004A1E13" w:rsidP="006C49D5">
            <w:pPr>
              <w:spacing w:line="360" w:lineRule="auto"/>
              <w:rPr>
                <w:rFonts w:cs="Arial"/>
              </w:rPr>
            </w:pPr>
            <w:r w:rsidRPr="004A1E13">
              <w:rPr>
                <w:rFonts w:cs="Arial"/>
              </w:rPr>
              <w:t>Except in certain circumstances when a temporary GMS contract can be used – see Urgent Contracts below</w:t>
            </w:r>
          </w:p>
        </w:tc>
        <w:tc>
          <w:tcPr>
            <w:tcW w:w="3969" w:type="dxa"/>
          </w:tcPr>
          <w:p w14:paraId="01E364C3" w14:textId="77777777" w:rsidR="004A1E13" w:rsidRPr="004A1E13" w:rsidRDefault="004A1E13" w:rsidP="006C49D5">
            <w:pPr>
              <w:spacing w:line="360" w:lineRule="auto"/>
              <w:rPr>
                <w:rFonts w:cs="Arial"/>
              </w:rPr>
            </w:pPr>
            <w:r w:rsidRPr="004A1E13">
              <w:rPr>
                <w:rFonts w:cs="Arial"/>
              </w:rPr>
              <w:t>Yes</w:t>
            </w:r>
          </w:p>
          <w:p w14:paraId="0B9D2C8A" w14:textId="77777777" w:rsidR="004A1E13" w:rsidRPr="004A1E13" w:rsidRDefault="004A1E13" w:rsidP="006C49D5">
            <w:pPr>
              <w:spacing w:line="360" w:lineRule="auto"/>
              <w:rPr>
                <w:rFonts w:cs="Arial"/>
              </w:rPr>
            </w:pPr>
            <w:r w:rsidRPr="004A1E13">
              <w:rPr>
                <w:rFonts w:cs="Arial"/>
              </w:rPr>
              <w:t>Note that a PMS contractor providing essential services may apply for a GMS contract any time prior to the end of the PMS agreement</w:t>
            </w:r>
          </w:p>
        </w:tc>
        <w:tc>
          <w:tcPr>
            <w:tcW w:w="3971" w:type="dxa"/>
          </w:tcPr>
          <w:p w14:paraId="27C2573E" w14:textId="77777777" w:rsidR="004A1E13" w:rsidRPr="004A1E13" w:rsidRDefault="004A1E13" w:rsidP="006C49D5">
            <w:pPr>
              <w:spacing w:line="360" w:lineRule="auto"/>
              <w:rPr>
                <w:rFonts w:cs="Arial"/>
              </w:rPr>
            </w:pPr>
            <w:r w:rsidRPr="004A1E13">
              <w:rPr>
                <w:rFonts w:cs="Arial"/>
              </w:rPr>
              <w:t>Yes</w:t>
            </w:r>
          </w:p>
        </w:tc>
      </w:tr>
      <w:tr w:rsidR="004A1E13" w:rsidRPr="004A1E13" w14:paraId="56C88615" w14:textId="77777777" w:rsidTr="00E509C8">
        <w:trPr>
          <w:cantSplit/>
          <w:trHeight w:val="367"/>
        </w:trPr>
        <w:tc>
          <w:tcPr>
            <w:tcW w:w="0" w:type="auto"/>
            <w:tcBorders>
              <w:top w:val="single" w:sz="4" w:space="0" w:color="FFFFFF" w:themeColor="background1"/>
              <w:left w:val="nil"/>
              <w:bottom w:val="single" w:sz="4" w:space="0" w:color="FFFFFF" w:themeColor="background1"/>
            </w:tcBorders>
            <w:shd w:val="clear" w:color="auto" w:fill="1C6CB4"/>
          </w:tcPr>
          <w:p w14:paraId="56012BF9" w14:textId="77777777" w:rsidR="004A1E13" w:rsidRPr="004A1E13" w:rsidRDefault="004A1E13" w:rsidP="006C49D5">
            <w:pPr>
              <w:spacing w:line="360" w:lineRule="auto"/>
              <w:rPr>
                <w:rFonts w:cs="Arial"/>
              </w:rPr>
            </w:pPr>
            <w:r w:rsidRPr="004A1E13">
              <w:rPr>
                <w:rFonts w:cs="Arial"/>
              </w:rPr>
              <w:t>Can the Commissioner terminate at will?</w:t>
            </w:r>
          </w:p>
        </w:tc>
        <w:tc>
          <w:tcPr>
            <w:tcW w:w="3952" w:type="dxa"/>
          </w:tcPr>
          <w:p w14:paraId="0600D98F" w14:textId="77777777" w:rsidR="004A1E13" w:rsidRPr="004A1E13" w:rsidRDefault="004A1E13" w:rsidP="006C49D5">
            <w:pPr>
              <w:spacing w:line="360" w:lineRule="auto"/>
              <w:rPr>
                <w:rFonts w:cs="Arial"/>
              </w:rPr>
            </w:pPr>
            <w:r w:rsidRPr="004A1E13">
              <w:rPr>
                <w:rFonts w:cs="Arial"/>
              </w:rPr>
              <w:t>No</w:t>
            </w:r>
          </w:p>
        </w:tc>
        <w:tc>
          <w:tcPr>
            <w:tcW w:w="3969" w:type="dxa"/>
          </w:tcPr>
          <w:p w14:paraId="69A6FE37" w14:textId="77777777" w:rsidR="004A1E13" w:rsidRPr="004A1E13" w:rsidRDefault="004A1E13" w:rsidP="006C49D5">
            <w:pPr>
              <w:spacing w:line="360" w:lineRule="auto"/>
              <w:rPr>
                <w:rFonts w:cs="Arial"/>
              </w:rPr>
            </w:pPr>
            <w:r w:rsidRPr="004A1E13">
              <w:rPr>
                <w:rFonts w:cs="Arial"/>
              </w:rPr>
              <w:t>Yes</w:t>
            </w:r>
          </w:p>
        </w:tc>
        <w:tc>
          <w:tcPr>
            <w:tcW w:w="3971" w:type="dxa"/>
          </w:tcPr>
          <w:p w14:paraId="467377D2" w14:textId="77777777" w:rsidR="004A1E13" w:rsidRPr="004A1E13" w:rsidRDefault="004A1E13" w:rsidP="006C49D5">
            <w:pPr>
              <w:spacing w:line="360" w:lineRule="auto"/>
              <w:rPr>
                <w:rFonts w:cs="Arial"/>
              </w:rPr>
            </w:pPr>
            <w:r w:rsidRPr="004A1E13">
              <w:rPr>
                <w:rFonts w:cs="Arial"/>
              </w:rPr>
              <w:t>If agreed by the parties and contained within the contract</w:t>
            </w:r>
          </w:p>
        </w:tc>
      </w:tr>
      <w:tr w:rsidR="004A1E13" w:rsidRPr="004A1E13" w14:paraId="34920718" w14:textId="77777777" w:rsidTr="00E509C8">
        <w:trPr>
          <w:cantSplit/>
          <w:trHeight w:val="367"/>
        </w:trPr>
        <w:tc>
          <w:tcPr>
            <w:tcW w:w="0" w:type="auto"/>
            <w:tcBorders>
              <w:top w:val="single" w:sz="4" w:space="0" w:color="FFFFFF" w:themeColor="background1"/>
              <w:left w:val="nil"/>
              <w:bottom w:val="single" w:sz="4" w:space="0" w:color="FFFFFF" w:themeColor="background1"/>
            </w:tcBorders>
            <w:shd w:val="clear" w:color="auto" w:fill="1C6CB4"/>
          </w:tcPr>
          <w:p w14:paraId="65CCC8D1" w14:textId="77777777" w:rsidR="004A1E13" w:rsidRPr="004A1E13" w:rsidRDefault="004A1E13" w:rsidP="006C49D5">
            <w:pPr>
              <w:spacing w:line="360" w:lineRule="auto"/>
              <w:rPr>
                <w:rFonts w:cs="Arial"/>
              </w:rPr>
            </w:pPr>
            <w:r w:rsidRPr="004A1E13">
              <w:rPr>
                <w:rFonts w:cs="Arial"/>
              </w:rPr>
              <w:t>Must the contractor provide essential services?</w:t>
            </w:r>
          </w:p>
        </w:tc>
        <w:tc>
          <w:tcPr>
            <w:tcW w:w="3952" w:type="dxa"/>
          </w:tcPr>
          <w:p w14:paraId="7C40D70F" w14:textId="77777777" w:rsidR="004A1E13" w:rsidRPr="004A1E13" w:rsidRDefault="004A1E13" w:rsidP="006C49D5">
            <w:pPr>
              <w:spacing w:line="360" w:lineRule="auto"/>
              <w:rPr>
                <w:rFonts w:cs="Arial"/>
              </w:rPr>
            </w:pPr>
            <w:r w:rsidRPr="004A1E13">
              <w:rPr>
                <w:rFonts w:cs="Arial"/>
              </w:rPr>
              <w:t>Yes</w:t>
            </w:r>
          </w:p>
        </w:tc>
        <w:tc>
          <w:tcPr>
            <w:tcW w:w="3969" w:type="dxa"/>
          </w:tcPr>
          <w:p w14:paraId="5E87522F" w14:textId="77777777" w:rsidR="004A1E13" w:rsidRPr="004A1E13" w:rsidRDefault="004A1E13" w:rsidP="006C49D5">
            <w:pPr>
              <w:spacing w:line="360" w:lineRule="auto"/>
              <w:rPr>
                <w:rFonts w:cs="Arial"/>
              </w:rPr>
            </w:pPr>
            <w:r w:rsidRPr="004A1E13">
              <w:rPr>
                <w:rFonts w:cs="Arial"/>
              </w:rPr>
              <w:t>No</w:t>
            </w:r>
          </w:p>
        </w:tc>
        <w:tc>
          <w:tcPr>
            <w:tcW w:w="3971" w:type="dxa"/>
          </w:tcPr>
          <w:p w14:paraId="0868B91B" w14:textId="77777777" w:rsidR="004A1E13" w:rsidRPr="004A1E13" w:rsidRDefault="004A1E13" w:rsidP="006C49D5">
            <w:pPr>
              <w:spacing w:line="360" w:lineRule="auto"/>
              <w:rPr>
                <w:rFonts w:cs="Arial"/>
              </w:rPr>
            </w:pPr>
            <w:r w:rsidRPr="004A1E13">
              <w:rPr>
                <w:rFonts w:cs="Arial"/>
              </w:rPr>
              <w:t>No</w:t>
            </w:r>
          </w:p>
        </w:tc>
      </w:tr>
      <w:tr w:rsidR="004A1E13" w:rsidRPr="004A1E13" w14:paraId="46C2521A" w14:textId="77777777" w:rsidTr="00E509C8">
        <w:trPr>
          <w:cantSplit/>
          <w:trHeight w:val="367"/>
        </w:trPr>
        <w:tc>
          <w:tcPr>
            <w:tcW w:w="0" w:type="auto"/>
            <w:tcBorders>
              <w:top w:val="single" w:sz="4" w:space="0" w:color="FFFFFF" w:themeColor="background1"/>
              <w:left w:val="nil"/>
              <w:bottom w:val="single" w:sz="4" w:space="0" w:color="FFFFFF" w:themeColor="background1"/>
            </w:tcBorders>
            <w:shd w:val="clear" w:color="auto" w:fill="1C6CB4"/>
          </w:tcPr>
          <w:p w14:paraId="6126E5BB" w14:textId="77777777" w:rsidR="004A1E13" w:rsidRPr="004A1E13" w:rsidRDefault="004A1E13" w:rsidP="006C49D5">
            <w:pPr>
              <w:spacing w:line="360" w:lineRule="auto"/>
              <w:rPr>
                <w:rFonts w:cs="Arial"/>
              </w:rPr>
            </w:pPr>
            <w:r w:rsidRPr="004A1E13">
              <w:rPr>
                <w:rFonts w:cs="Arial"/>
              </w:rPr>
              <w:t>Is there a standard form contract?</w:t>
            </w:r>
          </w:p>
        </w:tc>
        <w:tc>
          <w:tcPr>
            <w:tcW w:w="3952" w:type="dxa"/>
          </w:tcPr>
          <w:p w14:paraId="2C4811C0" w14:textId="77777777" w:rsidR="004A1E13" w:rsidRPr="004A1E13" w:rsidRDefault="004A1E13" w:rsidP="006C49D5">
            <w:pPr>
              <w:spacing w:line="360" w:lineRule="auto"/>
              <w:rPr>
                <w:rFonts w:cs="Arial"/>
              </w:rPr>
            </w:pPr>
            <w:r w:rsidRPr="004A1E13">
              <w:rPr>
                <w:rFonts w:cs="Arial"/>
              </w:rPr>
              <w:t>Yes</w:t>
            </w:r>
          </w:p>
        </w:tc>
        <w:tc>
          <w:tcPr>
            <w:tcW w:w="3969" w:type="dxa"/>
          </w:tcPr>
          <w:p w14:paraId="63DDABEB" w14:textId="77777777" w:rsidR="004A1E13" w:rsidRPr="004A1E13" w:rsidRDefault="004A1E13" w:rsidP="006C49D5">
            <w:pPr>
              <w:spacing w:line="360" w:lineRule="auto"/>
              <w:rPr>
                <w:rFonts w:cs="Arial"/>
              </w:rPr>
            </w:pPr>
            <w:r w:rsidRPr="004A1E13">
              <w:rPr>
                <w:rFonts w:cs="Arial"/>
              </w:rPr>
              <w:t>Yes</w:t>
            </w:r>
          </w:p>
        </w:tc>
        <w:tc>
          <w:tcPr>
            <w:tcW w:w="3971" w:type="dxa"/>
          </w:tcPr>
          <w:p w14:paraId="4A1946EA" w14:textId="77777777" w:rsidR="004A1E13" w:rsidRPr="004A1E13" w:rsidRDefault="004A1E13" w:rsidP="006C49D5">
            <w:pPr>
              <w:spacing w:line="360" w:lineRule="auto"/>
              <w:rPr>
                <w:rFonts w:cs="Arial"/>
              </w:rPr>
            </w:pPr>
            <w:r w:rsidRPr="004A1E13">
              <w:rPr>
                <w:rFonts w:cs="Arial"/>
              </w:rPr>
              <w:t>Yes</w:t>
            </w:r>
          </w:p>
        </w:tc>
      </w:tr>
      <w:tr w:rsidR="004A1E13" w:rsidRPr="004A1E13" w14:paraId="21120C52" w14:textId="77777777" w:rsidTr="00E509C8">
        <w:trPr>
          <w:cantSplit/>
          <w:trHeight w:val="367"/>
        </w:trPr>
        <w:tc>
          <w:tcPr>
            <w:tcW w:w="0" w:type="auto"/>
            <w:tcBorders>
              <w:top w:val="single" w:sz="4" w:space="0" w:color="FFFFFF" w:themeColor="background1"/>
              <w:left w:val="nil"/>
              <w:bottom w:val="single" w:sz="4" w:space="0" w:color="FFFFFF" w:themeColor="background1"/>
            </w:tcBorders>
            <w:shd w:val="clear" w:color="auto" w:fill="1C6CB4"/>
          </w:tcPr>
          <w:p w14:paraId="27D49A25" w14:textId="77777777" w:rsidR="004A1E13" w:rsidRPr="004A1E13" w:rsidRDefault="004A1E13" w:rsidP="006C49D5">
            <w:pPr>
              <w:spacing w:line="360" w:lineRule="auto"/>
              <w:rPr>
                <w:rFonts w:cs="Arial"/>
              </w:rPr>
            </w:pPr>
            <w:r w:rsidRPr="004A1E13">
              <w:rPr>
                <w:rFonts w:cs="Arial"/>
              </w:rPr>
              <w:t>Does the standard form contract contain KPIs?</w:t>
            </w:r>
          </w:p>
        </w:tc>
        <w:tc>
          <w:tcPr>
            <w:tcW w:w="3952" w:type="dxa"/>
          </w:tcPr>
          <w:p w14:paraId="222A4A18" w14:textId="77777777" w:rsidR="004A1E13" w:rsidRPr="004A1E13" w:rsidRDefault="004A1E13" w:rsidP="006C49D5">
            <w:pPr>
              <w:spacing w:line="360" w:lineRule="auto"/>
              <w:rPr>
                <w:rFonts w:cs="Arial"/>
              </w:rPr>
            </w:pPr>
            <w:r w:rsidRPr="004A1E13">
              <w:rPr>
                <w:rFonts w:cs="Arial"/>
              </w:rPr>
              <w:t>No</w:t>
            </w:r>
          </w:p>
        </w:tc>
        <w:tc>
          <w:tcPr>
            <w:tcW w:w="3969" w:type="dxa"/>
          </w:tcPr>
          <w:p w14:paraId="4B694D97" w14:textId="77777777" w:rsidR="004A1E13" w:rsidRPr="004A1E13" w:rsidRDefault="004A1E13" w:rsidP="006C49D5">
            <w:pPr>
              <w:spacing w:line="360" w:lineRule="auto"/>
              <w:rPr>
                <w:rFonts w:cs="Arial"/>
              </w:rPr>
            </w:pPr>
            <w:r w:rsidRPr="004A1E13">
              <w:rPr>
                <w:rFonts w:cs="Arial"/>
              </w:rPr>
              <w:t>No</w:t>
            </w:r>
          </w:p>
        </w:tc>
        <w:tc>
          <w:tcPr>
            <w:tcW w:w="3971" w:type="dxa"/>
          </w:tcPr>
          <w:p w14:paraId="21D26FA7" w14:textId="77777777" w:rsidR="004A1E13" w:rsidRPr="004A1E13" w:rsidRDefault="004A1E13" w:rsidP="006C49D5">
            <w:pPr>
              <w:spacing w:line="360" w:lineRule="auto"/>
              <w:rPr>
                <w:rFonts w:cs="Arial"/>
              </w:rPr>
            </w:pPr>
            <w:r w:rsidRPr="004A1E13">
              <w:rPr>
                <w:rFonts w:cs="Arial"/>
              </w:rPr>
              <w:t>No</w:t>
            </w:r>
          </w:p>
        </w:tc>
      </w:tr>
      <w:tr w:rsidR="004A1E13" w:rsidRPr="004A1E13" w14:paraId="747D4C28" w14:textId="77777777" w:rsidTr="00E509C8">
        <w:trPr>
          <w:cantSplit/>
          <w:trHeight w:val="367"/>
        </w:trPr>
        <w:tc>
          <w:tcPr>
            <w:tcW w:w="0" w:type="auto"/>
            <w:tcBorders>
              <w:top w:val="single" w:sz="4" w:space="0" w:color="FFFFFF" w:themeColor="background1"/>
              <w:left w:val="nil"/>
              <w:bottom w:val="single" w:sz="4" w:space="0" w:color="FFFFFF" w:themeColor="background1"/>
            </w:tcBorders>
            <w:shd w:val="clear" w:color="auto" w:fill="1C6CB4"/>
          </w:tcPr>
          <w:p w14:paraId="4C6F7789" w14:textId="77777777" w:rsidR="004A1E13" w:rsidRPr="004A1E13" w:rsidRDefault="004A1E13" w:rsidP="006C49D5">
            <w:pPr>
              <w:spacing w:line="360" w:lineRule="auto"/>
              <w:rPr>
                <w:rFonts w:cs="Arial"/>
              </w:rPr>
            </w:pPr>
            <w:r w:rsidRPr="004A1E13">
              <w:rPr>
                <w:rFonts w:cs="Arial"/>
              </w:rPr>
              <w:t>Can KPIs be added?</w:t>
            </w:r>
          </w:p>
        </w:tc>
        <w:tc>
          <w:tcPr>
            <w:tcW w:w="3952" w:type="dxa"/>
          </w:tcPr>
          <w:p w14:paraId="6B49A320" w14:textId="77777777" w:rsidR="004A1E13" w:rsidRPr="004A1E13" w:rsidRDefault="004A1E13" w:rsidP="006C49D5">
            <w:pPr>
              <w:spacing w:line="360" w:lineRule="auto"/>
              <w:rPr>
                <w:rFonts w:cs="Arial"/>
              </w:rPr>
            </w:pPr>
            <w:r w:rsidRPr="004A1E13">
              <w:rPr>
                <w:rFonts w:cs="Arial"/>
              </w:rPr>
              <w:t>KPIs can be agreed between the parties in relation to supplementary quality based services</w:t>
            </w:r>
          </w:p>
        </w:tc>
        <w:tc>
          <w:tcPr>
            <w:tcW w:w="3969" w:type="dxa"/>
          </w:tcPr>
          <w:p w14:paraId="0303F319" w14:textId="77777777" w:rsidR="004A1E13" w:rsidRPr="004A1E13" w:rsidRDefault="004A1E13" w:rsidP="006C49D5">
            <w:pPr>
              <w:spacing w:line="360" w:lineRule="auto"/>
              <w:rPr>
                <w:rFonts w:cs="Arial"/>
              </w:rPr>
            </w:pPr>
            <w:r w:rsidRPr="004A1E13">
              <w:rPr>
                <w:rFonts w:cs="Arial"/>
              </w:rPr>
              <w:t>Yes</w:t>
            </w:r>
          </w:p>
        </w:tc>
        <w:tc>
          <w:tcPr>
            <w:tcW w:w="3971" w:type="dxa"/>
          </w:tcPr>
          <w:p w14:paraId="4991ABEC" w14:textId="77777777" w:rsidR="004A1E13" w:rsidRPr="004A1E13" w:rsidRDefault="004A1E13" w:rsidP="006C49D5">
            <w:pPr>
              <w:spacing w:line="360" w:lineRule="auto"/>
              <w:rPr>
                <w:rFonts w:cs="Arial"/>
              </w:rPr>
            </w:pPr>
            <w:r w:rsidRPr="004A1E13">
              <w:rPr>
                <w:rFonts w:cs="Arial"/>
              </w:rPr>
              <w:t>Yes</w:t>
            </w:r>
          </w:p>
        </w:tc>
      </w:tr>
      <w:tr w:rsidR="004A1E13" w:rsidRPr="004A1E13" w14:paraId="15DD6188" w14:textId="77777777" w:rsidTr="00E509C8">
        <w:trPr>
          <w:cantSplit/>
          <w:trHeight w:val="367"/>
        </w:trPr>
        <w:tc>
          <w:tcPr>
            <w:tcW w:w="0" w:type="auto"/>
            <w:tcBorders>
              <w:top w:val="single" w:sz="4" w:space="0" w:color="FFFFFF" w:themeColor="background1"/>
              <w:left w:val="nil"/>
            </w:tcBorders>
            <w:shd w:val="clear" w:color="auto" w:fill="1C6CB4"/>
          </w:tcPr>
          <w:p w14:paraId="05DFA00F" w14:textId="77777777" w:rsidR="004A1E13" w:rsidRPr="004A1E13" w:rsidRDefault="004A1E13" w:rsidP="006C49D5">
            <w:pPr>
              <w:spacing w:line="360" w:lineRule="auto"/>
              <w:rPr>
                <w:rFonts w:cs="Arial"/>
              </w:rPr>
            </w:pPr>
            <w:r w:rsidRPr="004A1E13">
              <w:rPr>
                <w:rFonts w:cs="Arial"/>
              </w:rPr>
              <w:t>Payment arrangements</w:t>
            </w:r>
          </w:p>
        </w:tc>
        <w:tc>
          <w:tcPr>
            <w:tcW w:w="3952" w:type="dxa"/>
          </w:tcPr>
          <w:p w14:paraId="6F0C06EF" w14:textId="77777777" w:rsidR="004A1E13" w:rsidRPr="004A1E13" w:rsidRDefault="004A1E13" w:rsidP="006C49D5">
            <w:pPr>
              <w:spacing w:line="360" w:lineRule="auto"/>
              <w:rPr>
                <w:rFonts w:cs="Arial"/>
              </w:rPr>
            </w:pPr>
            <w:r w:rsidRPr="004A1E13">
              <w:rPr>
                <w:rFonts w:cs="Arial"/>
              </w:rPr>
              <w:t>GMS SFE</w:t>
            </w:r>
          </w:p>
        </w:tc>
        <w:tc>
          <w:tcPr>
            <w:tcW w:w="3969" w:type="dxa"/>
          </w:tcPr>
          <w:p w14:paraId="3B72F476" w14:textId="77777777" w:rsidR="004A1E13" w:rsidRPr="004A1E13" w:rsidRDefault="004A1E13" w:rsidP="006C49D5">
            <w:pPr>
              <w:spacing w:line="360" w:lineRule="auto"/>
              <w:rPr>
                <w:rFonts w:cs="Arial"/>
              </w:rPr>
            </w:pPr>
            <w:r w:rsidRPr="004A1E13">
              <w:rPr>
                <w:rFonts w:cs="Arial"/>
              </w:rPr>
              <w:t>As agreed by the parties and contained within the agreement – there may be reference to the GMS SFE</w:t>
            </w:r>
          </w:p>
        </w:tc>
        <w:tc>
          <w:tcPr>
            <w:tcW w:w="3971" w:type="dxa"/>
          </w:tcPr>
          <w:p w14:paraId="4419339A" w14:textId="77777777" w:rsidR="004A1E13" w:rsidRPr="004A1E13" w:rsidRDefault="004A1E13" w:rsidP="006C49D5">
            <w:pPr>
              <w:spacing w:line="360" w:lineRule="auto"/>
              <w:rPr>
                <w:rFonts w:cs="Arial"/>
              </w:rPr>
            </w:pPr>
            <w:r w:rsidRPr="004A1E13">
              <w:rPr>
                <w:rFonts w:cs="Arial"/>
              </w:rPr>
              <w:t>As agreed by the parties and contained within the contract</w:t>
            </w:r>
          </w:p>
        </w:tc>
      </w:tr>
    </w:tbl>
    <w:p w14:paraId="68F355ED" w14:textId="77777777" w:rsidR="004A1E13" w:rsidRPr="00CE0885" w:rsidRDefault="004A1E13" w:rsidP="004A1E13">
      <w:pPr>
        <w:pStyle w:val="Body2"/>
        <w:spacing w:before="0" w:after="0" w:line="360" w:lineRule="auto"/>
        <w:rPr>
          <w:rFonts w:cs="Arial"/>
          <w:sz w:val="24"/>
          <w:szCs w:val="24"/>
        </w:rPr>
      </w:pPr>
    </w:p>
    <w:p w14:paraId="5A3455CA" w14:textId="77777777" w:rsidR="004A1E13" w:rsidRPr="00CE0885" w:rsidRDefault="004A1E13" w:rsidP="003331F2">
      <w:pPr>
        <w:pStyle w:val="BodyText"/>
      </w:pPr>
    </w:p>
    <w:p w14:paraId="24CC076B" w14:textId="77777777" w:rsidR="004A1E13" w:rsidRPr="00CE0885" w:rsidRDefault="004A1E13" w:rsidP="003331F2">
      <w:pPr>
        <w:pStyle w:val="BodyText"/>
      </w:pPr>
    </w:p>
    <w:p w14:paraId="42454FF7" w14:textId="77777777" w:rsidR="004A1E13" w:rsidRPr="00CE0885" w:rsidRDefault="004A1E13" w:rsidP="00825050">
      <w:pPr>
        <w:pStyle w:val="Heading1"/>
        <w:numPr>
          <w:ilvl w:val="0"/>
          <w:numId w:val="45"/>
        </w:numPr>
        <w:tabs>
          <w:tab w:val="left" w:pos="720"/>
        </w:tabs>
        <w:spacing w:line="360" w:lineRule="auto"/>
        <w:jc w:val="both"/>
        <w:rPr>
          <w:color w:val="auto"/>
          <w:sz w:val="24"/>
          <w:szCs w:val="24"/>
        </w:rPr>
        <w:sectPr w:rsidR="004A1E13" w:rsidRPr="00CE0885" w:rsidSect="004A1E13">
          <w:pgSz w:w="16838" w:h="11906" w:orient="landscape"/>
          <w:pgMar w:top="1418" w:right="1418" w:bottom="1418" w:left="1418" w:header="720" w:footer="720" w:gutter="0"/>
          <w:cols w:space="720"/>
          <w:docGrid w:linePitch="272"/>
        </w:sectPr>
      </w:pPr>
    </w:p>
    <w:p w14:paraId="282EC595" w14:textId="33873527" w:rsidR="00A776F6" w:rsidRPr="00A776F6" w:rsidRDefault="004A1E13" w:rsidP="00A776F6">
      <w:pPr>
        <w:pStyle w:val="Heading2"/>
      </w:pPr>
      <w:bookmarkStart w:id="149" w:name="_Urgent_Contracts"/>
      <w:bookmarkStart w:id="150" w:name="_Toc440981645"/>
      <w:bookmarkStart w:id="151" w:name="_Toc95743386"/>
      <w:bookmarkEnd w:id="149"/>
      <w:r w:rsidRPr="00CE0885">
        <w:t>Urgent Contracts</w:t>
      </w:r>
      <w:bookmarkEnd w:id="150"/>
      <w:bookmarkEnd w:id="151"/>
    </w:p>
    <w:p w14:paraId="4248B023" w14:textId="0CD250F8" w:rsidR="00A776F6" w:rsidRPr="00010554" w:rsidRDefault="00A776F6" w:rsidP="00010554">
      <w:pPr>
        <w:pStyle w:val="Heading3"/>
        <w:numPr>
          <w:ilvl w:val="0"/>
          <w:numId w:val="0"/>
        </w:numPr>
        <w:ind w:left="720"/>
        <w:rPr>
          <w:sz w:val="22"/>
          <w:szCs w:val="24"/>
        </w:rPr>
      </w:pPr>
      <w:bookmarkStart w:id="152" w:name="_Toc440981646"/>
      <w:r w:rsidRPr="00010554">
        <w:rPr>
          <w:sz w:val="22"/>
          <w:szCs w:val="24"/>
        </w:rPr>
        <w:t xml:space="preserve">Readers note: </w:t>
      </w:r>
      <w:r>
        <w:rPr>
          <w:sz w:val="22"/>
          <w:szCs w:val="24"/>
        </w:rPr>
        <w:t xml:space="preserve">the </w:t>
      </w:r>
      <w:r w:rsidRPr="00010554">
        <w:rPr>
          <w:sz w:val="22"/>
          <w:szCs w:val="24"/>
        </w:rPr>
        <w:t xml:space="preserve">procurement elements of this chapter are expected to be superceded in 2022/23 by </w:t>
      </w:r>
      <w:r>
        <w:rPr>
          <w:sz w:val="22"/>
          <w:szCs w:val="24"/>
        </w:rPr>
        <w:t>t</w:t>
      </w:r>
      <w:r w:rsidRPr="00010554">
        <w:rPr>
          <w:sz w:val="22"/>
          <w:szCs w:val="24"/>
        </w:rPr>
        <w:t xml:space="preserve">he new NHS Provider Selection Regime and commissioners should defer to published available guidance. </w:t>
      </w:r>
    </w:p>
    <w:p w14:paraId="058293F6" w14:textId="412592B3" w:rsidR="00A776F6" w:rsidRDefault="00A776F6" w:rsidP="00010554">
      <w:pPr>
        <w:pStyle w:val="Heading3"/>
        <w:numPr>
          <w:ilvl w:val="0"/>
          <w:numId w:val="0"/>
        </w:numPr>
        <w:ind w:left="720"/>
      </w:pPr>
    </w:p>
    <w:p w14:paraId="05EED82F" w14:textId="0D7C28AC" w:rsidR="004A1E13" w:rsidRPr="00CE0885" w:rsidRDefault="004A1E13" w:rsidP="000433F3">
      <w:pPr>
        <w:pStyle w:val="Heading3"/>
      </w:pPr>
      <w:r w:rsidRPr="00CE0885">
        <w:t>Circumstances may arise that require the Commissioner to put in place an urgent contract. Such circumstances may include:</w:t>
      </w:r>
      <w:bookmarkEnd w:id="152"/>
    </w:p>
    <w:p w14:paraId="36E82FA8" w14:textId="77777777" w:rsidR="004A1E13" w:rsidRPr="001F7167" w:rsidRDefault="004A1E13" w:rsidP="006C3DF5">
      <w:pPr>
        <w:pStyle w:val="ListParagraph"/>
        <w:numPr>
          <w:ilvl w:val="0"/>
          <w:numId w:val="198"/>
        </w:numPr>
        <w:spacing w:line="360" w:lineRule="auto"/>
        <w:ind w:left="714" w:hanging="357"/>
      </w:pPr>
      <w:bookmarkStart w:id="153" w:name="_Toc440981647"/>
      <w:r w:rsidRPr="001F7167">
        <w:t>the death of a contractor;</w:t>
      </w:r>
      <w:bookmarkEnd w:id="153"/>
    </w:p>
    <w:p w14:paraId="04791CCC" w14:textId="77777777" w:rsidR="004A1E13" w:rsidRPr="001F7167" w:rsidRDefault="004A1E13" w:rsidP="006C3DF5">
      <w:pPr>
        <w:pStyle w:val="ListParagraph"/>
        <w:numPr>
          <w:ilvl w:val="0"/>
          <w:numId w:val="198"/>
        </w:numPr>
        <w:spacing w:line="360" w:lineRule="auto"/>
        <w:ind w:left="714" w:hanging="357"/>
      </w:pPr>
      <w:bookmarkStart w:id="154" w:name="_Toc440981648"/>
      <w:r w:rsidRPr="001F7167">
        <w:t>the bankruptcy or insolvency of a contractor; or</w:t>
      </w:r>
      <w:bookmarkEnd w:id="154"/>
    </w:p>
    <w:p w14:paraId="35526CA4" w14:textId="77777777" w:rsidR="004A1E13" w:rsidRPr="00C70CC1" w:rsidRDefault="004A1E13" w:rsidP="006C3DF5">
      <w:pPr>
        <w:pStyle w:val="ListParagraph"/>
        <w:numPr>
          <w:ilvl w:val="0"/>
          <w:numId w:val="198"/>
        </w:numPr>
        <w:spacing w:line="360" w:lineRule="auto"/>
        <w:ind w:left="714" w:hanging="357"/>
      </w:pPr>
      <w:bookmarkStart w:id="155" w:name="_Toc440981649"/>
      <w:r w:rsidRPr="00C70CC1">
        <w:t>termination of an existing contract due to patient safety.</w:t>
      </w:r>
      <w:bookmarkEnd w:id="155"/>
    </w:p>
    <w:p w14:paraId="361EA1B3" w14:textId="1452BE15" w:rsidR="004A1E13" w:rsidRPr="00CE0885" w:rsidRDefault="004A1E13" w:rsidP="000433F3">
      <w:pPr>
        <w:pStyle w:val="Heading3"/>
      </w:pPr>
      <w:bookmarkStart w:id="156" w:name="_Toc440981650"/>
      <w:r w:rsidRPr="00CE0885">
        <w:t xml:space="preserve">Where continuity of services to patients is required, the short timescales involved may not allow the Commissioner to undertake a managed closedown and transfer to a new provider (details of which are set out in the </w:t>
      </w:r>
      <w:r w:rsidR="00965C81">
        <w:t>chapters</w:t>
      </w:r>
      <w:r w:rsidR="00965C81" w:rsidRPr="00CE0885">
        <w:t xml:space="preserve"> </w:t>
      </w:r>
      <w:r w:rsidRPr="00CE0885">
        <w:t xml:space="preserve">on </w:t>
      </w:r>
      <w:r w:rsidR="00965C81">
        <w:t xml:space="preserve">planned and unplanned </w:t>
      </w:r>
      <w:r w:rsidRPr="00CE0885">
        <w:t>practice closedown</w:t>
      </w:r>
      <w:r w:rsidR="000E4A82">
        <w:t>)</w:t>
      </w:r>
      <w:r w:rsidRPr="00CE0885">
        <w:t xml:space="preserve">. Additional information can also be found </w:t>
      </w:r>
      <w:r w:rsidR="00394BE4">
        <w:t xml:space="preserve">in </w:t>
      </w:r>
      <w:r w:rsidRPr="00CE0885">
        <w:t>the Unplanned Closures</w:t>
      </w:r>
      <w:r w:rsidR="00965C81">
        <w:t xml:space="preserve"> </w:t>
      </w:r>
      <w:r w:rsidRPr="00CE0885">
        <w:t>chapter. The Commissioner may therefore</w:t>
      </w:r>
      <w:r w:rsidR="00394BE4">
        <w:t>,</w:t>
      </w:r>
      <w:r w:rsidRPr="00CE0885">
        <w:t xml:space="preserve"> look to award a contract to a specific party that is able to provide the services to patients at short notice.</w:t>
      </w:r>
      <w:bookmarkEnd w:id="156"/>
      <w:r w:rsidRPr="00CE0885">
        <w:t xml:space="preserve"> </w:t>
      </w:r>
    </w:p>
    <w:p w14:paraId="502E2CDD" w14:textId="36145A38" w:rsidR="004A1E13" w:rsidRPr="00CE0885" w:rsidRDefault="004A1E13" w:rsidP="000433F3">
      <w:pPr>
        <w:pStyle w:val="Heading3"/>
      </w:pPr>
      <w:bookmarkStart w:id="157" w:name="_Toc440981651"/>
      <w:r w:rsidRPr="00CE0885">
        <w:t xml:space="preserve">Prior to awarding a contract in this scenario, the Commissioner should consider a number of factors </w:t>
      </w:r>
      <w:r w:rsidR="00394BE4">
        <w:t>that</w:t>
      </w:r>
      <w:r w:rsidRPr="00CE0885">
        <w:t xml:space="preserve"> are set out in the paragraphs below.</w:t>
      </w:r>
      <w:bookmarkEnd w:id="157"/>
      <w:r w:rsidRPr="00CE0885">
        <w:t xml:space="preserve"> </w:t>
      </w:r>
    </w:p>
    <w:p w14:paraId="167BF626" w14:textId="4A11BC07" w:rsidR="004A1E13" w:rsidRPr="00422A0E" w:rsidRDefault="004A1E13" w:rsidP="004B736B">
      <w:pPr>
        <w:pStyle w:val="Heading3"/>
      </w:pPr>
      <w:bookmarkStart w:id="158" w:name="_Toc440981652"/>
      <w:r w:rsidRPr="00422A0E">
        <w:t>Procurement</w:t>
      </w:r>
      <w:bookmarkEnd w:id="158"/>
    </w:p>
    <w:p w14:paraId="2C9EDDCE" w14:textId="0F7BA509" w:rsidR="004A1E13" w:rsidRPr="00CE0885" w:rsidRDefault="004A1E13" w:rsidP="000433F3">
      <w:pPr>
        <w:pStyle w:val="Heading4"/>
      </w:pPr>
      <w:bookmarkStart w:id="159" w:name="_Toc440981653"/>
      <w:r w:rsidRPr="00CE0885">
        <w:t xml:space="preserve">A direct award of a contract, without considering whether a competitive process is required to determine the new contractor risks being a breach of procurement law, in which case the Commissioner could be challenged in Court or could be the subject of a complaint to </w:t>
      </w:r>
      <w:r w:rsidR="009720EC">
        <w:t>NHS England and NHS Improvement</w:t>
      </w:r>
      <w:r w:rsidRPr="00CE0885">
        <w:t>.</w:t>
      </w:r>
      <w:bookmarkEnd w:id="159"/>
    </w:p>
    <w:p w14:paraId="65B0050B" w14:textId="77777777" w:rsidR="004A1E13" w:rsidRPr="00CE0885" w:rsidRDefault="004A1E13" w:rsidP="000433F3">
      <w:pPr>
        <w:pStyle w:val="Heading4"/>
      </w:pPr>
      <w:bookmarkStart w:id="160" w:name="_Toc440981654"/>
      <w:r w:rsidRPr="00CE0885">
        <w:t>The following factors will be relevant in determining the extent of the risk:</w:t>
      </w:r>
      <w:bookmarkEnd w:id="160"/>
    </w:p>
    <w:p w14:paraId="2CBE75B4" w14:textId="73AF731E" w:rsidR="004A1E13" w:rsidRPr="00595B03" w:rsidRDefault="004A1E13" w:rsidP="006C3DF5">
      <w:pPr>
        <w:pStyle w:val="ListParagraph"/>
        <w:numPr>
          <w:ilvl w:val="0"/>
          <w:numId w:val="165"/>
        </w:numPr>
        <w:spacing w:line="360" w:lineRule="auto"/>
        <w:ind w:left="714" w:hanging="357"/>
      </w:pPr>
      <w:bookmarkStart w:id="161" w:name="_Toc440981655"/>
      <w:r w:rsidRPr="00595B03">
        <w:t xml:space="preserve">value of the new contract and whether it is </w:t>
      </w:r>
      <w:r w:rsidR="00481F74">
        <w:t xml:space="preserve">the </w:t>
      </w:r>
      <w:r w:rsidRPr="00595B03">
        <w:t>best value for money;</w:t>
      </w:r>
      <w:bookmarkEnd w:id="161"/>
    </w:p>
    <w:p w14:paraId="21B633CA" w14:textId="77777777" w:rsidR="004A1E13" w:rsidRPr="00595B03" w:rsidRDefault="004A1E13" w:rsidP="006C3DF5">
      <w:pPr>
        <w:pStyle w:val="ListParagraph"/>
        <w:numPr>
          <w:ilvl w:val="0"/>
          <w:numId w:val="165"/>
        </w:numPr>
        <w:spacing w:line="360" w:lineRule="auto"/>
        <w:ind w:left="714" w:hanging="357"/>
      </w:pPr>
      <w:bookmarkStart w:id="162" w:name="_Toc440981656"/>
      <w:r w:rsidRPr="00595B03">
        <w:t>duration of the new contract (a shorter contract period would allow for a full competitive procurement to happen later, mitigating the risk) ;</w:t>
      </w:r>
      <w:bookmarkEnd w:id="162"/>
    </w:p>
    <w:p w14:paraId="65ED851A" w14:textId="77777777" w:rsidR="004A1E13" w:rsidRPr="00595B03" w:rsidRDefault="004A1E13" w:rsidP="006C3DF5">
      <w:pPr>
        <w:pStyle w:val="ListParagraph"/>
        <w:numPr>
          <w:ilvl w:val="0"/>
          <w:numId w:val="165"/>
        </w:numPr>
        <w:spacing w:line="360" w:lineRule="auto"/>
        <w:ind w:left="714" w:hanging="357"/>
      </w:pPr>
      <w:bookmarkStart w:id="163" w:name="_Toc440981657"/>
      <w:r w:rsidRPr="00595B03">
        <w:t>identity of the new contractor and whether it can be argued that the new contractor is the only provider capable of providing the services;</w:t>
      </w:r>
      <w:bookmarkEnd w:id="163"/>
    </w:p>
    <w:p w14:paraId="6418238A" w14:textId="77777777" w:rsidR="004A1E13" w:rsidRPr="00595B03" w:rsidRDefault="004A1E13" w:rsidP="006C3DF5">
      <w:pPr>
        <w:pStyle w:val="ListParagraph"/>
        <w:numPr>
          <w:ilvl w:val="0"/>
          <w:numId w:val="165"/>
        </w:numPr>
        <w:spacing w:line="360" w:lineRule="auto"/>
        <w:ind w:left="714" w:hanging="357"/>
      </w:pPr>
      <w:bookmarkStart w:id="164" w:name="_Toc440981658"/>
      <w:r w:rsidRPr="00595B03">
        <w:t>number of potential new contractors;</w:t>
      </w:r>
      <w:bookmarkEnd w:id="164"/>
    </w:p>
    <w:p w14:paraId="0D1850F5" w14:textId="77777777" w:rsidR="004A1E13" w:rsidRPr="00595B03" w:rsidRDefault="004A1E13" w:rsidP="006C3DF5">
      <w:pPr>
        <w:pStyle w:val="ListParagraph"/>
        <w:numPr>
          <w:ilvl w:val="0"/>
          <w:numId w:val="165"/>
        </w:numPr>
        <w:spacing w:line="360" w:lineRule="auto"/>
        <w:ind w:left="714" w:hanging="357"/>
      </w:pPr>
      <w:bookmarkStart w:id="165" w:name="_Toc440981659"/>
      <w:r w:rsidRPr="00595B03">
        <w:t>cross-border interest of the new contract;</w:t>
      </w:r>
      <w:bookmarkEnd w:id="165"/>
    </w:p>
    <w:p w14:paraId="78E68916" w14:textId="2CE0298E" w:rsidR="004A1E13" w:rsidRPr="00595B03" w:rsidRDefault="004A1E13" w:rsidP="006C3DF5">
      <w:pPr>
        <w:pStyle w:val="ListParagraph"/>
        <w:numPr>
          <w:ilvl w:val="0"/>
          <w:numId w:val="165"/>
        </w:numPr>
        <w:spacing w:line="360" w:lineRule="auto"/>
        <w:ind w:left="714" w:hanging="357"/>
      </w:pPr>
      <w:bookmarkStart w:id="166" w:name="_Toc440981660"/>
      <w:r w:rsidRPr="00595B03">
        <w:t>extent to which the</w:t>
      </w:r>
      <w:r w:rsidR="00481F74">
        <w:t>y</w:t>
      </w:r>
      <w:r w:rsidRPr="00595B03">
        <w:t xml:space="preserve"> need to procure a new contract was foreseeable.</w:t>
      </w:r>
      <w:bookmarkEnd w:id="166"/>
    </w:p>
    <w:p w14:paraId="3F261923" w14:textId="77777777" w:rsidR="004A1E13" w:rsidRPr="00CE0885" w:rsidRDefault="004A1E13" w:rsidP="000433F3">
      <w:pPr>
        <w:pStyle w:val="Heading4"/>
      </w:pPr>
      <w:bookmarkStart w:id="167" w:name="_Toc440981661"/>
      <w:r w:rsidRPr="00CE0885">
        <w:t>Where the Commissioner determines that a contract for the immediate provision of services is required but time does not allow full consideration of the above factors (or for a competitive procurement process if required), the procurement risks can be mitigated by entering into a temporary contract that provides time for the proper action to be arranged and followed.</w:t>
      </w:r>
      <w:bookmarkEnd w:id="167"/>
      <w:r w:rsidRPr="00CE0885">
        <w:t xml:space="preserve">  </w:t>
      </w:r>
    </w:p>
    <w:p w14:paraId="339F2F34" w14:textId="58163B99" w:rsidR="004A1E13" w:rsidRPr="00CE0885" w:rsidRDefault="004A1E13" w:rsidP="000433F3">
      <w:pPr>
        <w:pStyle w:val="Heading4"/>
      </w:pPr>
      <w:bookmarkStart w:id="168" w:name="_Toc440981662"/>
      <w:r w:rsidRPr="00CE0885">
        <w:t>Having awarded a contract, the Commissioner must maintain a record of how, in awarding the contract, it complied with its duties in relation to effectiveness, efficiency, improvement in the quality of the services and promoting integration. Commissioners must also act in accordance with any national procurement protocol issued by NHS England, or other local protocol</w:t>
      </w:r>
      <w:r w:rsidR="00A776F6">
        <w:t xml:space="preserve"> as well as </w:t>
      </w:r>
      <w:bookmarkEnd w:id="168"/>
      <w:r w:rsidR="00B83042">
        <w:t>CCGs/ICBs</w:t>
      </w:r>
      <w:r w:rsidRPr="00CE0885">
        <w:t>their obligations as set out within the delegation agreement in regard to adherence with policies and guidance issued by NHS England.</w:t>
      </w:r>
    </w:p>
    <w:p w14:paraId="7CE2AF69" w14:textId="77777777" w:rsidR="004A1E13" w:rsidRPr="00CE0885" w:rsidRDefault="004A1E13" w:rsidP="000433F3">
      <w:pPr>
        <w:pStyle w:val="Heading3"/>
      </w:pPr>
      <w:bookmarkStart w:id="169" w:name="_Toc440981663"/>
      <w:r w:rsidRPr="00CE0885">
        <w:t>Premises</w:t>
      </w:r>
      <w:bookmarkEnd w:id="169"/>
    </w:p>
    <w:p w14:paraId="1F7040F7" w14:textId="169A98D1" w:rsidR="004A1E13" w:rsidRDefault="004A1E13" w:rsidP="000433F3">
      <w:pPr>
        <w:pStyle w:val="Heading4"/>
      </w:pPr>
      <w:bookmarkStart w:id="170" w:name="_Toc440981664"/>
      <w:r w:rsidRPr="00CE0885">
        <w:t>The previous contractor may own or lease the premises which, as a result, may not be available for the provision of the services under a new contract. The availability of the premises must be ascertained before entering into a temporary contract.</w:t>
      </w:r>
      <w:bookmarkEnd w:id="170"/>
    </w:p>
    <w:p w14:paraId="43E5353C" w14:textId="77777777" w:rsidR="00B109CF" w:rsidRPr="00257269" w:rsidRDefault="00B109CF" w:rsidP="009A4EC5"/>
    <w:p w14:paraId="7E2BC788" w14:textId="5C9E964C" w:rsidR="004643DD" w:rsidRPr="00C02AF4" w:rsidRDefault="00785905" w:rsidP="009A4EC5">
      <w:pPr>
        <w:pStyle w:val="Heading3"/>
        <w:ind w:left="0" w:firstLine="720"/>
        <w:rPr>
          <w:b/>
          <w:bCs w:val="0"/>
          <w:color w:val="7C2855" w:themeColor="background2"/>
          <w:highlight w:val="yellow"/>
        </w:rPr>
      </w:pPr>
      <w:bookmarkStart w:id="171" w:name="_Hlk29475827"/>
      <w:r w:rsidRPr="00C02AF4">
        <w:rPr>
          <w:b/>
          <w:bCs w:val="0"/>
          <w:color w:val="7C2855" w:themeColor="background2"/>
          <w:highlight w:val="yellow"/>
        </w:rPr>
        <w:t>Primary Care Networks</w:t>
      </w:r>
    </w:p>
    <w:p w14:paraId="563EB1E4" w14:textId="77777777" w:rsidR="004643DD" w:rsidRPr="00C02AF4" w:rsidRDefault="004643DD" w:rsidP="009A4EC5">
      <w:pPr>
        <w:ind w:firstLine="720"/>
        <w:rPr>
          <w:highlight w:val="yellow"/>
        </w:rPr>
      </w:pPr>
    </w:p>
    <w:p w14:paraId="7B37A687" w14:textId="1E735BD0" w:rsidR="00F213AE" w:rsidRPr="00C02AF4" w:rsidRDefault="00B109CF" w:rsidP="006E22ED">
      <w:pPr>
        <w:pStyle w:val="Heading4"/>
        <w:rPr>
          <w:highlight w:val="yellow"/>
        </w:rPr>
      </w:pPr>
      <w:bookmarkStart w:id="172" w:name="_Hlk45781321"/>
      <w:bookmarkStart w:id="173" w:name="_Hlk45548894"/>
      <w:r w:rsidRPr="00C02AF4">
        <w:rPr>
          <w:highlight w:val="yellow"/>
        </w:rPr>
        <w:t>The commissioner should facilitate a discussion between the incoming contractor and the Primary Care Network to which the outgoing contractor was a member</w:t>
      </w:r>
      <w:r w:rsidR="00EA68DD">
        <w:rPr>
          <w:highlight w:val="yellow"/>
        </w:rPr>
        <w:t>, involving the relevant LMC,</w:t>
      </w:r>
      <w:r w:rsidR="00785905" w:rsidRPr="00C02AF4">
        <w:rPr>
          <w:highlight w:val="yellow"/>
        </w:rPr>
        <w:t xml:space="preserve"> with the expectation that </w:t>
      </w:r>
      <w:r w:rsidR="00F213AE" w:rsidRPr="00C02AF4">
        <w:rPr>
          <w:highlight w:val="yellow"/>
        </w:rPr>
        <w:t xml:space="preserve">PCN membership should be maintained in order </w:t>
      </w:r>
      <w:r w:rsidR="00785905" w:rsidRPr="00C02AF4">
        <w:rPr>
          <w:highlight w:val="yellow"/>
        </w:rPr>
        <w:t xml:space="preserve">to ensure </w:t>
      </w:r>
      <w:r w:rsidR="00F213AE" w:rsidRPr="00C02AF4">
        <w:rPr>
          <w:highlight w:val="yellow"/>
        </w:rPr>
        <w:t>that patients continue to receive uninterrupted network services.</w:t>
      </w:r>
    </w:p>
    <w:p w14:paraId="0AFB8077" w14:textId="4015D90E" w:rsidR="00E33190" w:rsidRPr="00C02AF4" w:rsidRDefault="00E33190" w:rsidP="00E33190">
      <w:pPr>
        <w:rPr>
          <w:bCs w:val="0"/>
          <w:szCs w:val="22"/>
          <w:highlight w:val="yellow"/>
          <w:lang w:eastAsia="en-GB"/>
        </w:rPr>
      </w:pPr>
      <w:r w:rsidRPr="00C02AF4">
        <w:rPr>
          <w:highlight w:val="yellow"/>
          <w:lang w:eastAsia="en-GB"/>
        </w:rPr>
        <w:t xml:space="preserve"> </w:t>
      </w:r>
    </w:p>
    <w:p w14:paraId="3C46A9C2" w14:textId="77777777" w:rsidR="00E33190" w:rsidRPr="00C02AF4" w:rsidRDefault="00E33190" w:rsidP="00E33190">
      <w:pPr>
        <w:rPr>
          <w:highlight w:val="yellow"/>
          <w:lang w:eastAsia="en-GB"/>
        </w:rPr>
      </w:pPr>
    </w:p>
    <w:bookmarkEnd w:id="172"/>
    <w:p w14:paraId="24B9D634" w14:textId="2F3E1D35" w:rsidR="008A088D" w:rsidRPr="00387CD2" w:rsidRDefault="00EE17D0" w:rsidP="00B109CF">
      <w:pPr>
        <w:pStyle w:val="Heading4"/>
        <w:rPr>
          <w:szCs w:val="24"/>
          <w:highlight w:val="yellow"/>
        </w:rPr>
      </w:pPr>
      <w:r w:rsidRPr="00387CD2">
        <w:rPr>
          <w:rFonts w:cs="Arial"/>
          <w:szCs w:val="24"/>
          <w:highlight w:val="yellow"/>
        </w:rPr>
        <w:t xml:space="preserve">If the </w:t>
      </w:r>
      <w:r w:rsidR="00916F89" w:rsidRPr="00387CD2">
        <w:rPr>
          <w:rFonts w:cs="Arial"/>
          <w:szCs w:val="24"/>
          <w:highlight w:val="yellow"/>
        </w:rPr>
        <w:t xml:space="preserve">contractor </w:t>
      </w:r>
      <w:r w:rsidRPr="00387CD2">
        <w:rPr>
          <w:rFonts w:cs="Arial"/>
          <w:szCs w:val="24"/>
          <w:highlight w:val="yellow"/>
        </w:rPr>
        <w:t xml:space="preserve">is still not willing to join the PCN then the commissioner will work with the existing PCN Core </w:t>
      </w:r>
      <w:r w:rsidR="00CA030D" w:rsidRPr="00387CD2">
        <w:rPr>
          <w:rFonts w:cs="Arial"/>
          <w:szCs w:val="24"/>
          <w:highlight w:val="yellow"/>
        </w:rPr>
        <w:t xml:space="preserve">Network Practices </w:t>
      </w:r>
      <w:r w:rsidR="0006709C" w:rsidRPr="00387CD2">
        <w:rPr>
          <w:rFonts w:cs="Arial"/>
          <w:szCs w:val="24"/>
          <w:highlight w:val="yellow"/>
        </w:rPr>
        <w:t>(</w:t>
      </w:r>
      <w:r w:rsidR="00387CD2" w:rsidRPr="00387CD2">
        <w:rPr>
          <w:rFonts w:cs="Arial"/>
          <w:color w:val="4D5156"/>
          <w:spacing w:val="4"/>
          <w:szCs w:val="24"/>
          <w:highlight w:val="yellow"/>
          <w:shd w:val="clear" w:color="auto" w:fill="FFFFFF"/>
        </w:rPr>
        <w:t>GP practices who sign</w:t>
      </w:r>
      <w:r w:rsidR="00BC12B1">
        <w:rPr>
          <w:rFonts w:cs="Arial"/>
          <w:color w:val="4D5156"/>
          <w:spacing w:val="4"/>
          <w:szCs w:val="24"/>
          <w:highlight w:val="yellow"/>
          <w:shd w:val="clear" w:color="auto" w:fill="FFFFFF"/>
        </w:rPr>
        <w:t>ed</w:t>
      </w:r>
      <w:r w:rsidR="00387CD2" w:rsidRPr="00387CD2">
        <w:rPr>
          <w:rFonts w:cs="Arial"/>
          <w:color w:val="4D5156"/>
          <w:spacing w:val="4"/>
          <w:szCs w:val="24"/>
          <w:highlight w:val="yellow"/>
          <w:shd w:val="clear" w:color="auto" w:fill="FFFFFF"/>
        </w:rPr>
        <w:t xml:space="preserve"> up to and are responsible for delivering the requirements of the Network)</w:t>
      </w:r>
      <w:r w:rsidR="00387CD2" w:rsidRPr="00387CD2">
        <w:rPr>
          <w:rFonts w:cs="Arial"/>
          <w:color w:val="4D5156"/>
          <w:spacing w:val="4"/>
          <w:szCs w:val="24"/>
          <w:shd w:val="clear" w:color="auto" w:fill="FFFFFF"/>
        </w:rPr>
        <w:t xml:space="preserve"> </w:t>
      </w:r>
      <w:r w:rsidR="00CA030D" w:rsidRPr="00387CD2">
        <w:rPr>
          <w:rFonts w:cs="Arial"/>
          <w:szCs w:val="24"/>
          <w:highlight w:val="yellow"/>
        </w:rPr>
        <w:t xml:space="preserve">to ensure continuity of services to its registered patients. </w:t>
      </w:r>
    </w:p>
    <w:p w14:paraId="2642BE95" w14:textId="23D9ADB9" w:rsidR="00B109CF" w:rsidRPr="00C02AF4" w:rsidRDefault="00787872" w:rsidP="00B109CF">
      <w:pPr>
        <w:pStyle w:val="Heading4"/>
        <w:rPr>
          <w:highlight w:val="yellow"/>
        </w:rPr>
      </w:pPr>
      <w:r>
        <w:rPr>
          <w:rFonts w:cs="Arial"/>
          <w:highlight w:val="yellow"/>
        </w:rPr>
        <w:t xml:space="preserve">If </w:t>
      </w:r>
      <w:r w:rsidR="00917C72" w:rsidRPr="00C02AF4">
        <w:rPr>
          <w:rFonts w:cs="Arial"/>
          <w:highlight w:val="yellow"/>
        </w:rPr>
        <w:t xml:space="preserve">the PCN is not prepared to accept the </w:t>
      </w:r>
      <w:r w:rsidR="00754C11">
        <w:rPr>
          <w:rFonts w:cs="Arial"/>
          <w:highlight w:val="yellow"/>
        </w:rPr>
        <w:t xml:space="preserve">contractor </w:t>
      </w:r>
      <w:r w:rsidR="00917C72" w:rsidRPr="00C02AF4">
        <w:rPr>
          <w:rFonts w:cs="Arial"/>
          <w:highlight w:val="yellow"/>
        </w:rPr>
        <w:t xml:space="preserve">as a member, the </w:t>
      </w:r>
      <w:r w:rsidR="00917C72" w:rsidRPr="00D90005">
        <w:rPr>
          <w:rFonts w:cs="Arial"/>
          <w:highlight w:val="yellow"/>
        </w:rPr>
        <w:t xml:space="preserve">commissioner </w:t>
      </w:r>
      <w:r w:rsidRPr="00D90005">
        <w:rPr>
          <w:highlight w:val="yellow"/>
        </w:rPr>
        <w:t xml:space="preserve">may require a PCN to include the practice as a Core Network Practice of that PCN. Where the commissioner is minded to require a PCN to do so, the commissioner must engage with the relevant LMC and, when making its determination, have regards to the views of the LMC. </w:t>
      </w:r>
      <w:r w:rsidR="00917C72" w:rsidRPr="00D90005">
        <w:rPr>
          <w:rFonts w:cs="Arial"/>
          <w:highlight w:val="yellow"/>
        </w:rPr>
        <w:t xml:space="preserve"> </w:t>
      </w:r>
      <w:r w:rsidR="00144CC2">
        <w:rPr>
          <w:rFonts w:cs="Arial"/>
          <w:highlight w:val="yellow"/>
        </w:rPr>
        <w:t xml:space="preserve">Section 4.6 of the </w:t>
      </w:r>
      <w:hyperlink r:id="rId48" w:history="1">
        <w:r w:rsidR="00144CC2" w:rsidRPr="00227104">
          <w:rPr>
            <w:rStyle w:val="Hyperlink"/>
            <w:rFonts w:cs="Arial"/>
            <w:highlight w:val="yellow"/>
          </w:rPr>
          <w:t xml:space="preserve">Network Contract DES </w:t>
        </w:r>
        <w:r w:rsidR="00644C11" w:rsidRPr="00227104">
          <w:rPr>
            <w:rStyle w:val="Hyperlink"/>
            <w:rFonts w:cs="Arial"/>
            <w:highlight w:val="yellow"/>
          </w:rPr>
          <w:t xml:space="preserve">2021/22 </w:t>
        </w:r>
        <w:r w:rsidR="00661387" w:rsidRPr="00227104">
          <w:rPr>
            <w:rStyle w:val="Hyperlink"/>
            <w:rFonts w:cs="Arial"/>
            <w:highlight w:val="yellow"/>
          </w:rPr>
          <w:t xml:space="preserve">– PCN </w:t>
        </w:r>
        <w:r w:rsidR="00227104" w:rsidRPr="00227104">
          <w:rPr>
            <w:rStyle w:val="Hyperlink"/>
            <w:rFonts w:cs="Arial"/>
            <w:highlight w:val="yellow"/>
          </w:rPr>
          <w:t>Requirements and Entitlements</w:t>
        </w:r>
      </w:hyperlink>
      <w:r w:rsidR="00227104">
        <w:rPr>
          <w:rFonts w:cs="Arial"/>
          <w:highlight w:val="yellow"/>
        </w:rPr>
        <w:t xml:space="preserve"> </w:t>
      </w:r>
      <w:r w:rsidR="00917C72" w:rsidRPr="00C02AF4">
        <w:rPr>
          <w:rFonts w:cs="Arial"/>
          <w:highlight w:val="yellow"/>
        </w:rPr>
        <w:t>sets out the process for allocating a practice to a PCN</w:t>
      </w:r>
      <w:r w:rsidR="00917C72" w:rsidRPr="00C02AF4">
        <w:rPr>
          <w:rFonts w:asciiTheme="minorHAnsi" w:hAnsiTheme="minorHAnsi" w:cstheme="minorBidi"/>
          <w:highlight w:val="yellow"/>
        </w:rPr>
        <w:t>.</w:t>
      </w:r>
    </w:p>
    <w:bookmarkEnd w:id="171"/>
    <w:bookmarkEnd w:id="173"/>
    <w:p w14:paraId="28914478" w14:textId="67FC74AD" w:rsidR="00B109CF" w:rsidRDefault="00B109CF" w:rsidP="00B109CF">
      <w:pPr>
        <w:rPr>
          <w:lang w:eastAsia="en-GB"/>
        </w:rPr>
      </w:pPr>
    </w:p>
    <w:p w14:paraId="5B14FCD1" w14:textId="77777777" w:rsidR="00B109CF" w:rsidRPr="00257269" w:rsidRDefault="00B109CF" w:rsidP="009A4EC5"/>
    <w:p w14:paraId="3078F3E9" w14:textId="77777777" w:rsidR="004A1E13" w:rsidRPr="002F64F0" w:rsidRDefault="004A1E13" w:rsidP="002F64F0">
      <w:pPr>
        <w:pStyle w:val="Heading2"/>
      </w:pPr>
      <w:bookmarkStart w:id="174" w:name="_Toc440981665"/>
      <w:bookmarkStart w:id="175" w:name="_Toc95743387"/>
      <w:r w:rsidRPr="002F64F0">
        <w:t>Public Involvement</w:t>
      </w:r>
      <w:bookmarkEnd w:id="174"/>
      <w:bookmarkEnd w:id="175"/>
    </w:p>
    <w:p w14:paraId="2B32039E" w14:textId="05569182" w:rsidR="004A1E13" w:rsidRPr="00CE0885" w:rsidRDefault="004A1E13" w:rsidP="002F64F0">
      <w:pPr>
        <w:pStyle w:val="Heading3"/>
      </w:pPr>
      <w:bookmarkStart w:id="176" w:name="_Toc440981666"/>
      <w:r w:rsidRPr="00CE0885">
        <w:t>One of the general duties of Commissioners is to ensure there is public involvement where a decision leads to an impact on the provision of primary care services. If under a new contract, services are provided from a different location, this will be an impact on the services which may trigger the need to undertake a public involvement exercise.</w:t>
      </w:r>
      <w:bookmarkEnd w:id="176"/>
      <w:r w:rsidRPr="00CE0885">
        <w:t xml:space="preserve"> </w:t>
      </w:r>
    </w:p>
    <w:p w14:paraId="38C1934C" w14:textId="6518E9C9" w:rsidR="004A1E13" w:rsidRPr="00CE0885" w:rsidRDefault="004A1E13" w:rsidP="002F64F0">
      <w:pPr>
        <w:pStyle w:val="Heading3"/>
      </w:pPr>
      <w:bookmarkStart w:id="177" w:name="_Toc440981667"/>
      <w:r w:rsidRPr="00CE0885">
        <w:t>Where there is no time for undertaking an exercise prior to entering into the contract, the Commissioner should ensure that as soon as possible after the contract is entered into, it arranges for such an exercise to be undertaken prior to the Commissioner making any decisions about the long term provision of services.</w:t>
      </w:r>
      <w:bookmarkEnd w:id="177"/>
      <w:r w:rsidRPr="00CE0885">
        <w:t xml:space="preserve"> </w:t>
      </w:r>
    </w:p>
    <w:p w14:paraId="753CAEB6" w14:textId="77777777" w:rsidR="004A1E13" w:rsidRPr="00CE0885" w:rsidRDefault="004A1E13" w:rsidP="000433F3">
      <w:pPr>
        <w:pStyle w:val="Heading3"/>
      </w:pPr>
      <w:bookmarkStart w:id="178" w:name="_Toc440981668"/>
      <w:r w:rsidRPr="00CE0885">
        <w:t>Commissioner SOs and SFIs</w:t>
      </w:r>
      <w:bookmarkEnd w:id="178"/>
    </w:p>
    <w:p w14:paraId="34076FBC" w14:textId="190C7E24" w:rsidR="004A1E13" w:rsidRDefault="004A1E13" w:rsidP="000433F3">
      <w:pPr>
        <w:pStyle w:val="Heading4"/>
      </w:pPr>
      <w:bookmarkStart w:id="179" w:name="_Toc440981669"/>
      <w:r w:rsidRPr="00CE0885">
        <w:t>The Commissioner may have organisational standing orders and standing financial instructions that require contracts to be procured in certain ways, e.g. securing three quotes for contracts up to a certain financial value. Where time does not allow the rules to be followed, there may be an emergency process that must be followed.</w:t>
      </w:r>
      <w:bookmarkEnd w:id="179"/>
      <w:r w:rsidRPr="00CE0885">
        <w:t xml:space="preserve"> </w:t>
      </w:r>
    </w:p>
    <w:p w14:paraId="0F4FE800" w14:textId="0783EEF7" w:rsidR="00096561" w:rsidRDefault="00096561" w:rsidP="00096561">
      <w:pPr>
        <w:rPr>
          <w:lang w:eastAsia="en-GB"/>
        </w:rPr>
      </w:pPr>
    </w:p>
    <w:p w14:paraId="6B733E96" w14:textId="269BF46C" w:rsidR="00096561" w:rsidRDefault="00096561" w:rsidP="00096561">
      <w:pPr>
        <w:rPr>
          <w:lang w:eastAsia="en-GB"/>
        </w:rPr>
      </w:pPr>
    </w:p>
    <w:p w14:paraId="47FC8B81" w14:textId="6A701A21" w:rsidR="00096561" w:rsidRDefault="00096561" w:rsidP="00096561">
      <w:pPr>
        <w:rPr>
          <w:lang w:eastAsia="en-GB"/>
        </w:rPr>
      </w:pPr>
    </w:p>
    <w:p w14:paraId="69A75AE6" w14:textId="74249F69" w:rsidR="00096561" w:rsidRDefault="00096561" w:rsidP="00096561">
      <w:pPr>
        <w:rPr>
          <w:lang w:eastAsia="en-GB"/>
        </w:rPr>
      </w:pPr>
    </w:p>
    <w:p w14:paraId="3C047FF2" w14:textId="30C52BDA" w:rsidR="00096561" w:rsidRDefault="00096561" w:rsidP="00096561">
      <w:pPr>
        <w:rPr>
          <w:lang w:eastAsia="en-GB"/>
        </w:rPr>
      </w:pPr>
    </w:p>
    <w:p w14:paraId="17302097" w14:textId="6DF98E72" w:rsidR="00096561" w:rsidRDefault="00096561" w:rsidP="00096561">
      <w:pPr>
        <w:rPr>
          <w:lang w:eastAsia="en-GB"/>
        </w:rPr>
      </w:pPr>
    </w:p>
    <w:p w14:paraId="19DAA613" w14:textId="77777777" w:rsidR="00096561" w:rsidRPr="00096561" w:rsidRDefault="00096561" w:rsidP="00096561">
      <w:pPr>
        <w:rPr>
          <w:lang w:eastAsia="en-GB"/>
        </w:rPr>
      </w:pPr>
    </w:p>
    <w:p w14:paraId="1C563D44" w14:textId="77777777" w:rsidR="004A1E13" w:rsidRPr="00CE0885" w:rsidRDefault="004A1E13" w:rsidP="000433F3">
      <w:pPr>
        <w:pStyle w:val="Heading3"/>
      </w:pPr>
      <w:bookmarkStart w:id="180" w:name="_Toc440981670"/>
      <w:r w:rsidRPr="00CE0885">
        <w:t>Other factors</w:t>
      </w:r>
      <w:bookmarkEnd w:id="180"/>
    </w:p>
    <w:p w14:paraId="3379157F" w14:textId="3D2EF482" w:rsidR="004A1E13" w:rsidRDefault="004A1E13" w:rsidP="000433F3">
      <w:pPr>
        <w:pStyle w:val="Heading4"/>
      </w:pPr>
      <w:bookmarkStart w:id="181" w:name="_Toc440981671"/>
      <w:r w:rsidRPr="00CE0885">
        <w:t xml:space="preserve">Further factors may be relevant depending on the circumstances of the matter. Please refer to the </w:t>
      </w:r>
      <w:r w:rsidR="00E5058C">
        <w:t>chapters</w:t>
      </w:r>
      <w:r w:rsidRPr="00CE0885">
        <w:t xml:space="preserve"> on </w:t>
      </w:r>
      <w:r w:rsidR="00E5058C">
        <w:t xml:space="preserve">planned and unplanned </w:t>
      </w:r>
      <w:r w:rsidRPr="00CE0885">
        <w:t xml:space="preserve">practice </w:t>
      </w:r>
      <w:r w:rsidR="00E5058C">
        <w:t xml:space="preserve">closures </w:t>
      </w:r>
      <w:r w:rsidRPr="00CE0885">
        <w:t>for a list of all factors that may be relevant.</w:t>
      </w:r>
      <w:bookmarkEnd w:id="181"/>
    </w:p>
    <w:p w14:paraId="3C1211B4" w14:textId="2FE1AEF1" w:rsidR="00C367EB" w:rsidRDefault="00C367EB" w:rsidP="008927E5">
      <w:pPr>
        <w:pStyle w:val="Heading4"/>
      </w:pPr>
      <w:r>
        <w:t xml:space="preserve">Commissioners should also </w:t>
      </w:r>
      <w:r w:rsidR="008927E5" w:rsidRPr="00C367EB">
        <w:t>consider</w:t>
      </w:r>
      <w:r>
        <w:t xml:space="preserve"> that </w:t>
      </w:r>
      <w:r w:rsidRPr="00C367EB">
        <w:t xml:space="preserve">if a practice has closed because of concerns </w:t>
      </w:r>
      <w:r>
        <w:t xml:space="preserve">in relation to </w:t>
      </w:r>
      <w:r w:rsidRPr="00C367EB">
        <w:t>patient safety</w:t>
      </w:r>
      <w:r w:rsidR="008927E5">
        <w:t>, t</w:t>
      </w:r>
      <w:r w:rsidRPr="00C367EB">
        <w:t>he incoming provider may need to be commissioned to undertake a review of systems and processes</w:t>
      </w:r>
      <w:r>
        <w:t xml:space="preserve">. This should include but </w:t>
      </w:r>
      <w:r w:rsidR="008927E5">
        <w:t xml:space="preserve">is not </w:t>
      </w:r>
      <w:r>
        <w:t>limited to,</w:t>
      </w:r>
      <w:r w:rsidRPr="00C367EB">
        <w:t xml:space="preserve"> undertaking audits to provide assurance </w:t>
      </w:r>
      <w:r>
        <w:t xml:space="preserve">around </w:t>
      </w:r>
      <w:r w:rsidRPr="00C367EB">
        <w:t>patient safety</w:t>
      </w:r>
      <w:r>
        <w:t xml:space="preserve">.  This recognises </w:t>
      </w:r>
      <w:r w:rsidR="008927E5">
        <w:t xml:space="preserve">the </w:t>
      </w:r>
      <w:r w:rsidRPr="00C367EB">
        <w:t xml:space="preserve">additional work that commissioners may need to </w:t>
      </w:r>
      <w:r w:rsidR="008927E5">
        <w:t xml:space="preserve">reflect </w:t>
      </w:r>
      <w:r w:rsidRPr="00C367EB">
        <w:t xml:space="preserve">in the </w:t>
      </w:r>
      <w:r w:rsidR="00D26A9F" w:rsidRPr="00C367EB">
        <w:t>contract to</w:t>
      </w:r>
      <w:r w:rsidR="008927E5">
        <w:t xml:space="preserve"> provide assurance with regard </w:t>
      </w:r>
      <w:r w:rsidR="00D26A9F">
        <w:t>to</w:t>
      </w:r>
      <w:r w:rsidR="00D26A9F" w:rsidRPr="00C367EB">
        <w:t xml:space="preserve"> patient</w:t>
      </w:r>
      <w:r w:rsidRPr="00C367EB">
        <w:t xml:space="preserve"> safety and public confidence</w:t>
      </w:r>
    </w:p>
    <w:p w14:paraId="0747D8AF" w14:textId="77777777" w:rsidR="008927E5" w:rsidRPr="00F17535" w:rsidRDefault="008927E5" w:rsidP="0000534D"/>
    <w:p w14:paraId="473A8107" w14:textId="77777777" w:rsidR="004A1E13" w:rsidRPr="00CE0885" w:rsidRDefault="004A1E13" w:rsidP="000433F3">
      <w:pPr>
        <w:pStyle w:val="Heading3"/>
      </w:pPr>
      <w:bookmarkStart w:id="182" w:name="_Toc440981672"/>
      <w:r w:rsidRPr="00CE0885">
        <w:t>Which contract form?</w:t>
      </w:r>
      <w:bookmarkEnd w:id="182"/>
    </w:p>
    <w:p w14:paraId="2A74C5DB" w14:textId="77777777" w:rsidR="004A1E13" w:rsidRPr="00CE0885" w:rsidRDefault="004A1E13" w:rsidP="000433F3">
      <w:pPr>
        <w:pStyle w:val="Heading4"/>
      </w:pPr>
      <w:bookmarkStart w:id="183" w:name="_Toc440981673"/>
      <w:r w:rsidRPr="00CE0885">
        <w:t>A GMS contract can be used where the Commissioner has terminated a contract of another provider of primary medical services, and as a result of that termination, it wishes to enter into a temporary contract for a period specified in the contract for the provision of services.</w:t>
      </w:r>
      <w:bookmarkEnd w:id="183"/>
    </w:p>
    <w:p w14:paraId="5CD73401" w14:textId="77777777" w:rsidR="004A1E13" w:rsidRPr="00CE0885" w:rsidRDefault="004A1E13" w:rsidP="000433F3">
      <w:pPr>
        <w:pStyle w:val="Heading4"/>
      </w:pPr>
      <w:bookmarkStart w:id="184" w:name="_Toc440981674"/>
      <w:r w:rsidRPr="00CE0885">
        <w:t>A time limited PMS agreement may not be attractive in this scenario as the PMS contractor, if providing essential services, can request a non-time limited GMS contract at any time.</w:t>
      </w:r>
      <w:bookmarkEnd w:id="184"/>
    </w:p>
    <w:p w14:paraId="46F2F536" w14:textId="77777777" w:rsidR="004A1E13" w:rsidRPr="00CE0885" w:rsidRDefault="004A1E13" w:rsidP="000433F3">
      <w:pPr>
        <w:pStyle w:val="Heading4"/>
      </w:pPr>
      <w:bookmarkStart w:id="185" w:name="_Toc440981675"/>
      <w:r w:rsidRPr="00CE0885">
        <w:t>It is common for APMS contracts to be used in such a scenario due to the flexibility of:</w:t>
      </w:r>
      <w:bookmarkEnd w:id="185"/>
    </w:p>
    <w:p w14:paraId="71B5F334" w14:textId="77777777" w:rsidR="004A1E13" w:rsidRPr="00595B03" w:rsidRDefault="004A1E13" w:rsidP="006C3DF5">
      <w:pPr>
        <w:pStyle w:val="ListParagraph"/>
        <w:numPr>
          <w:ilvl w:val="0"/>
          <w:numId w:val="166"/>
        </w:numPr>
        <w:spacing w:line="360" w:lineRule="auto"/>
        <w:ind w:left="714" w:hanging="357"/>
      </w:pPr>
      <w:bookmarkStart w:id="186" w:name="_Toc440981676"/>
      <w:r w:rsidRPr="00595B03">
        <w:t>types of organisations that can enter into APMS contracts;</w:t>
      </w:r>
      <w:bookmarkEnd w:id="186"/>
      <w:r w:rsidRPr="00595B03">
        <w:t xml:space="preserve"> </w:t>
      </w:r>
    </w:p>
    <w:p w14:paraId="6C4002E1" w14:textId="77777777" w:rsidR="004A1E13" w:rsidRPr="00595B03" w:rsidRDefault="004A1E13" w:rsidP="006C3DF5">
      <w:pPr>
        <w:pStyle w:val="ListParagraph"/>
        <w:numPr>
          <w:ilvl w:val="0"/>
          <w:numId w:val="166"/>
        </w:numPr>
        <w:spacing w:line="360" w:lineRule="auto"/>
        <w:ind w:left="714" w:hanging="357"/>
      </w:pPr>
      <w:bookmarkStart w:id="187" w:name="_Toc440981677"/>
      <w:r w:rsidRPr="00595B03">
        <w:t>flexibility of types of services and payment mechanism that can be agreed; and</w:t>
      </w:r>
      <w:bookmarkEnd w:id="187"/>
      <w:r w:rsidRPr="00595B03">
        <w:t xml:space="preserve"> </w:t>
      </w:r>
    </w:p>
    <w:p w14:paraId="6EBB6EA4" w14:textId="77777777" w:rsidR="004A1E13" w:rsidRPr="00595B03" w:rsidRDefault="004A1E13" w:rsidP="006C3DF5">
      <w:pPr>
        <w:pStyle w:val="ListParagraph"/>
        <w:numPr>
          <w:ilvl w:val="0"/>
          <w:numId w:val="166"/>
        </w:numPr>
        <w:spacing w:line="360" w:lineRule="auto"/>
        <w:ind w:left="714" w:hanging="357"/>
      </w:pPr>
      <w:bookmarkStart w:id="188" w:name="_Toc440981678"/>
      <w:r w:rsidRPr="00595B03">
        <w:t>flexibility around duration and termination provisions.</w:t>
      </w:r>
      <w:bookmarkEnd w:id="188"/>
      <w:r w:rsidRPr="00595B03">
        <w:t xml:space="preserve"> </w:t>
      </w:r>
    </w:p>
    <w:p w14:paraId="03A93E27" w14:textId="5C7498AE" w:rsidR="004A1E13" w:rsidRPr="009055A7" w:rsidRDefault="004A1E13" w:rsidP="00912FE4">
      <w:pPr>
        <w:pStyle w:val="Heading4"/>
        <w:rPr>
          <w:rFonts w:cs="Arial"/>
          <w:b/>
          <w:szCs w:val="24"/>
        </w:rPr>
      </w:pPr>
      <w:bookmarkStart w:id="189" w:name="_Toc440981679"/>
      <w:r w:rsidRPr="00CE0885">
        <w:t>The Commissioner should therefore consider what services and duration is required and whether there are any restrictions on the proposed contractor entering into different contract types to meet local diverse health needs.</w:t>
      </w:r>
      <w:bookmarkEnd w:id="189"/>
      <w:r w:rsidR="00912FE4" w:rsidRPr="009055A7">
        <w:rPr>
          <w:rFonts w:cs="Arial"/>
          <w:b/>
          <w:szCs w:val="24"/>
        </w:rPr>
        <w:t xml:space="preserve"> </w:t>
      </w:r>
      <w:r w:rsidRPr="009055A7">
        <w:rPr>
          <w:rFonts w:cs="Arial"/>
          <w:b/>
          <w:szCs w:val="24"/>
        </w:rPr>
        <w:br w:type="page"/>
      </w:r>
    </w:p>
    <w:p w14:paraId="43BED48C" w14:textId="1147B5DA" w:rsidR="004A1E13" w:rsidRPr="00CE0885" w:rsidRDefault="004A1E13" w:rsidP="002A140D">
      <w:pPr>
        <w:pStyle w:val="Heading2"/>
      </w:pPr>
      <w:bookmarkStart w:id="190" w:name="_Toc95743388"/>
      <w:r w:rsidRPr="00CE0885">
        <w:t>Annex 1</w:t>
      </w:r>
      <w:r w:rsidR="002A140D">
        <w:t xml:space="preserve"> </w:t>
      </w:r>
      <w:r w:rsidRPr="00CE0885">
        <w:t>Persons Eligible to Enter into a GMS Contract</w:t>
      </w:r>
      <w:bookmarkEnd w:id="190"/>
    </w:p>
    <w:p w14:paraId="0AECE00C" w14:textId="77777777" w:rsidR="004A1E13" w:rsidRPr="009055A7" w:rsidRDefault="004A1E13" w:rsidP="004A1E13">
      <w:pPr>
        <w:pStyle w:val="Body2"/>
        <w:spacing w:before="0" w:after="0" w:line="360" w:lineRule="auto"/>
        <w:rPr>
          <w:rFonts w:cs="Arial"/>
          <w:sz w:val="24"/>
          <w:szCs w:val="24"/>
        </w:rPr>
      </w:pPr>
    </w:p>
    <w:p w14:paraId="3C5BD007" w14:textId="77777777" w:rsidR="004A1E13" w:rsidRPr="00CE0885" w:rsidRDefault="004A1E13" w:rsidP="000433F3">
      <w:pPr>
        <w:pStyle w:val="Heading3"/>
      </w:pPr>
      <w:bookmarkStart w:id="191" w:name="_Toc440981680"/>
      <w:r w:rsidRPr="00CE0885">
        <w:t>Statutory Provisions</w:t>
      </w:r>
      <w:bookmarkEnd w:id="191"/>
    </w:p>
    <w:p w14:paraId="294861B4" w14:textId="77777777" w:rsidR="004A1E13" w:rsidRPr="00CE0885" w:rsidRDefault="004A1E13" w:rsidP="000433F3">
      <w:pPr>
        <w:pStyle w:val="Heading4"/>
      </w:pPr>
      <w:bookmarkStart w:id="192" w:name="_Toc440981681"/>
      <w:r w:rsidRPr="00CE0885">
        <w:t>Section 86 of the NHS Act (extracted in paragraph 2 below) sets out the types of persons (including organisation types) that may enter into a GMS contract.</w:t>
      </w:r>
      <w:bookmarkEnd w:id="192"/>
    </w:p>
    <w:p w14:paraId="58D902F7" w14:textId="77777777" w:rsidR="004A1E13" w:rsidRPr="00CE0885" w:rsidRDefault="004A1E13" w:rsidP="000433F3">
      <w:pPr>
        <w:pStyle w:val="Heading4"/>
      </w:pPr>
      <w:bookmarkStart w:id="193" w:name="_Toc440981682"/>
      <w:r w:rsidRPr="00CE0885">
        <w:t>Regulations 3 to 5 of the GMS Regulations (extracted in paragraph 3 below) sets out the eligibility criteria that must be satisfied before any of the types of persons set out in Section 86 of the NHS Act can enter into the GMS contract.</w:t>
      </w:r>
      <w:bookmarkEnd w:id="193"/>
    </w:p>
    <w:p w14:paraId="1853B000" w14:textId="77777777" w:rsidR="004A1E13" w:rsidRPr="00CE0885" w:rsidRDefault="004A1E13" w:rsidP="000433F3">
      <w:pPr>
        <w:pStyle w:val="Heading4"/>
      </w:pPr>
      <w:bookmarkStart w:id="194" w:name="_Toc440981683"/>
      <w:r w:rsidRPr="00CE0885">
        <w:t>The extracted legislation below is correct as of 1 July 2017.</w:t>
      </w:r>
    </w:p>
    <w:p w14:paraId="5D93A38D" w14:textId="77777777" w:rsidR="004A1E13" w:rsidRPr="00CE0885" w:rsidRDefault="004A1E13" w:rsidP="000433F3">
      <w:pPr>
        <w:pStyle w:val="Heading4"/>
      </w:pPr>
      <w:r w:rsidRPr="00CE0885">
        <w:t xml:space="preserve">By virtue of the delegation agreement, all references in legislation should be assumed to apply also to ‘The Commissioner’, </w:t>
      </w:r>
      <w:bookmarkEnd w:id="194"/>
    </w:p>
    <w:p w14:paraId="03F630DE" w14:textId="77777777" w:rsidR="004A1E13" w:rsidRPr="009055A7" w:rsidRDefault="004A1E13" w:rsidP="004A1E13">
      <w:pPr>
        <w:pStyle w:val="Body2"/>
        <w:spacing w:before="0" w:after="0" w:line="360" w:lineRule="auto"/>
        <w:ind w:left="0"/>
        <w:rPr>
          <w:rFonts w:cs="Arial"/>
        </w:rPr>
      </w:pPr>
    </w:p>
    <w:p w14:paraId="16BD638E" w14:textId="77777777" w:rsidR="004A1E13" w:rsidRPr="00CE0885" w:rsidRDefault="004A1E13" w:rsidP="000433F3">
      <w:pPr>
        <w:pStyle w:val="Heading3"/>
      </w:pPr>
      <w:bookmarkStart w:id="195" w:name="_Toc440981684"/>
      <w:r w:rsidRPr="00CE0885">
        <w:t>Section 86 of the NHS Act 2006</w:t>
      </w:r>
      <w:bookmarkEnd w:id="195"/>
    </w:p>
    <w:p w14:paraId="7AA10D2F" w14:textId="77777777" w:rsidR="004A1E13" w:rsidRPr="009055A7" w:rsidRDefault="004A1E13" w:rsidP="004A1E13">
      <w:pPr>
        <w:spacing w:line="360" w:lineRule="auto"/>
        <w:ind w:firstLine="720"/>
        <w:rPr>
          <w:rFonts w:cs="Arial"/>
          <w:szCs w:val="24"/>
        </w:rPr>
      </w:pPr>
      <w:r w:rsidRPr="009055A7">
        <w:rPr>
          <w:rFonts w:cs="Arial"/>
          <w:szCs w:val="24"/>
        </w:rPr>
        <w:t>86 Persons eligible to enter into GMS contracts</w:t>
      </w:r>
    </w:p>
    <w:p w14:paraId="0F83B2AC" w14:textId="77777777" w:rsidR="004A1E13" w:rsidRPr="009055A7" w:rsidRDefault="004A1E13" w:rsidP="004A1E13">
      <w:pPr>
        <w:spacing w:line="360" w:lineRule="auto"/>
        <w:ind w:left="1418" w:hanging="698"/>
        <w:rPr>
          <w:rFonts w:cs="Arial"/>
          <w:szCs w:val="24"/>
        </w:rPr>
      </w:pPr>
      <w:r w:rsidRPr="009055A7">
        <w:rPr>
          <w:rFonts w:cs="Arial"/>
          <w:szCs w:val="24"/>
        </w:rPr>
        <w:t xml:space="preserve">(1) </w:t>
      </w:r>
      <w:r w:rsidRPr="009055A7">
        <w:rPr>
          <w:rFonts w:cs="Arial"/>
          <w:szCs w:val="24"/>
        </w:rPr>
        <w:tab/>
        <w:t xml:space="preserve">The Board may, subject to such conditions as may be prescribed, enter into a general medical services contract with– </w:t>
      </w:r>
    </w:p>
    <w:p w14:paraId="4A6A27DB" w14:textId="77777777" w:rsidR="004A1E13" w:rsidRPr="00CE0885" w:rsidRDefault="004A1E13" w:rsidP="004A1E13">
      <w:pPr>
        <w:spacing w:line="360" w:lineRule="auto"/>
        <w:ind w:left="720" w:firstLine="720"/>
        <w:rPr>
          <w:rFonts w:cs="Arial"/>
          <w:szCs w:val="24"/>
        </w:rPr>
      </w:pPr>
      <w:r w:rsidRPr="00CE0885">
        <w:rPr>
          <w:rFonts w:cs="Arial"/>
          <w:szCs w:val="24"/>
        </w:rPr>
        <w:t>(a)</w:t>
      </w:r>
      <w:r w:rsidRPr="00CE0885">
        <w:rPr>
          <w:rFonts w:cs="Arial"/>
          <w:szCs w:val="24"/>
        </w:rPr>
        <w:tab/>
        <w:t>a medical practitioner,</w:t>
      </w:r>
    </w:p>
    <w:p w14:paraId="6587DF50" w14:textId="77777777" w:rsidR="004A1E13" w:rsidRPr="00CE0885" w:rsidRDefault="004A1E13" w:rsidP="004A1E13">
      <w:pPr>
        <w:spacing w:line="360" w:lineRule="auto"/>
        <w:ind w:left="2127" w:hanging="687"/>
        <w:rPr>
          <w:rFonts w:cs="Arial"/>
          <w:szCs w:val="24"/>
        </w:rPr>
      </w:pPr>
      <w:r w:rsidRPr="00CE0885">
        <w:rPr>
          <w:rFonts w:cs="Arial"/>
          <w:szCs w:val="24"/>
        </w:rPr>
        <w:t>(b)</w:t>
      </w:r>
      <w:r w:rsidRPr="00CE0885">
        <w:rPr>
          <w:rFonts w:cs="Arial"/>
          <w:szCs w:val="24"/>
        </w:rPr>
        <w:tab/>
        <w:t>two or more individuals practising in partnership where the conditions in subsection (2) are satisfied, or</w:t>
      </w:r>
    </w:p>
    <w:p w14:paraId="288EE957" w14:textId="77777777" w:rsidR="004A1E13" w:rsidRPr="00CE0885" w:rsidRDefault="004A1E13" w:rsidP="004A1E13">
      <w:pPr>
        <w:spacing w:line="360" w:lineRule="auto"/>
        <w:ind w:left="2127" w:hanging="687"/>
        <w:rPr>
          <w:rFonts w:cs="Arial"/>
          <w:szCs w:val="24"/>
        </w:rPr>
      </w:pPr>
      <w:r w:rsidRPr="00CE0885">
        <w:rPr>
          <w:rFonts w:cs="Arial"/>
          <w:szCs w:val="24"/>
        </w:rPr>
        <w:t>(c)</w:t>
      </w:r>
      <w:r w:rsidRPr="00CE0885">
        <w:rPr>
          <w:rFonts w:cs="Arial"/>
          <w:szCs w:val="24"/>
        </w:rPr>
        <w:tab/>
        <w:t>a company limited by shares where the conditions in subsection (3) are satisfied.</w:t>
      </w:r>
    </w:p>
    <w:p w14:paraId="0D9A69F4" w14:textId="77777777" w:rsidR="004A1E13" w:rsidRPr="00CE0885" w:rsidRDefault="004A1E13" w:rsidP="004A1E13">
      <w:pPr>
        <w:spacing w:line="360" w:lineRule="auto"/>
        <w:ind w:firstLine="720"/>
        <w:rPr>
          <w:rFonts w:cs="Arial"/>
          <w:szCs w:val="24"/>
        </w:rPr>
      </w:pPr>
      <w:r w:rsidRPr="00CE0885">
        <w:rPr>
          <w:rFonts w:cs="Arial"/>
          <w:szCs w:val="24"/>
        </w:rPr>
        <w:t>(2)</w:t>
      </w:r>
      <w:r w:rsidRPr="00CE0885">
        <w:rPr>
          <w:rFonts w:cs="Arial"/>
          <w:szCs w:val="24"/>
        </w:rPr>
        <w:tab/>
        <w:t>The conditions referred to in subsection (1)(b) are that–</w:t>
      </w:r>
    </w:p>
    <w:p w14:paraId="77DF63B8" w14:textId="77777777" w:rsidR="004A1E13" w:rsidRPr="00CE0885" w:rsidRDefault="004A1E13" w:rsidP="004A1E13">
      <w:pPr>
        <w:spacing w:line="360" w:lineRule="auto"/>
        <w:ind w:left="720" w:firstLine="720"/>
        <w:rPr>
          <w:rFonts w:cs="Arial"/>
          <w:szCs w:val="24"/>
        </w:rPr>
      </w:pPr>
      <w:r w:rsidRPr="00CE0885">
        <w:rPr>
          <w:rFonts w:cs="Arial"/>
          <w:szCs w:val="24"/>
        </w:rPr>
        <w:t>(a)</w:t>
      </w:r>
      <w:r w:rsidRPr="00CE0885">
        <w:rPr>
          <w:rFonts w:cs="Arial"/>
          <w:szCs w:val="24"/>
        </w:rPr>
        <w:tab/>
        <w:t>at least one partner is a medical practitioner, and</w:t>
      </w:r>
    </w:p>
    <w:p w14:paraId="50017EE2" w14:textId="77777777" w:rsidR="004A1E13" w:rsidRPr="00CE0885" w:rsidRDefault="004A1E13" w:rsidP="004A1E13">
      <w:pPr>
        <w:spacing w:line="360" w:lineRule="auto"/>
        <w:ind w:left="720" w:firstLine="720"/>
        <w:rPr>
          <w:rFonts w:cs="Arial"/>
          <w:szCs w:val="24"/>
        </w:rPr>
      </w:pPr>
      <w:r w:rsidRPr="00CE0885">
        <w:rPr>
          <w:rFonts w:cs="Arial"/>
          <w:szCs w:val="24"/>
        </w:rPr>
        <w:t>(b)</w:t>
      </w:r>
      <w:r w:rsidRPr="00CE0885">
        <w:rPr>
          <w:rFonts w:cs="Arial"/>
          <w:szCs w:val="24"/>
        </w:rPr>
        <w:tab/>
        <w:t>any partner who is not a medical practitioner is either–</w:t>
      </w:r>
    </w:p>
    <w:p w14:paraId="646D7373" w14:textId="77777777" w:rsidR="004A1E13" w:rsidRPr="00CE0885" w:rsidRDefault="004A1E13" w:rsidP="004A1E13">
      <w:pPr>
        <w:spacing w:line="360" w:lineRule="auto"/>
        <w:ind w:left="1440" w:firstLine="720"/>
        <w:rPr>
          <w:rFonts w:cs="Arial"/>
          <w:szCs w:val="24"/>
        </w:rPr>
      </w:pPr>
      <w:r w:rsidRPr="00CE0885">
        <w:rPr>
          <w:rFonts w:cs="Arial"/>
          <w:szCs w:val="24"/>
        </w:rPr>
        <w:t>(i)</w:t>
      </w:r>
      <w:r w:rsidRPr="00CE0885">
        <w:rPr>
          <w:rFonts w:cs="Arial"/>
          <w:szCs w:val="24"/>
        </w:rPr>
        <w:tab/>
        <w:t>an NHS employee,</w:t>
      </w:r>
    </w:p>
    <w:p w14:paraId="55F2EA54" w14:textId="77777777" w:rsidR="004A1E13" w:rsidRPr="00CE0885" w:rsidRDefault="004A1E13" w:rsidP="004A1E13">
      <w:pPr>
        <w:spacing w:line="360" w:lineRule="auto"/>
        <w:ind w:left="2880" w:hanging="720"/>
        <w:rPr>
          <w:rFonts w:cs="Arial"/>
          <w:szCs w:val="24"/>
        </w:rPr>
      </w:pPr>
      <w:r w:rsidRPr="00CE0885">
        <w:rPr>
          <w:rFonts w:cs="Arial"/>
          <w:szCs w:val="24"/>
        </w:rPr>
        <w:t>(ii)</w:t>
      </w:r>
      <w:r w:rsidRPr="00CE0885">
        <w:rPr>
          <w:rFonts w:cs="Arial"/>
          <w:szCs w:val="24"/>
        </w:rPr>
        <w:tab/>
        <w:t>a section 92 employee, section 107 employee, section 50 employee, section 64 employee, section 17C employee or Article 15B employee,</w:t>
      </w:r>
    </w:p>
    <w:p w14:paraId="63147367" w14:textId="77777777" w:rsidR="004A1E13" w:rsidRPr="00CE0885" w:rsidRDefault="004A1E13" w:rsidP="004A1E13">
      <w:pPr>
        <w:spacing w:line="360" w:lineRule="auto"/>
        <w:ind w:left="2880" w:hanging="720"/>
        <w:rPr>
          <w:rFonts w:cs="Arial"/>
          <w:szCs w:val="24"/>
        </w:rPr>
      </w:pPr>
      <w:r w:rsidRPr="00CE0885">
        <w:rPr>
          <w:rFonts w:cs="Arial"/>
          <w:szCs w:val="24"/>
        </w:rPr>
        <w:t>(iii)</w:t>
      </w:r>
      <w:r w:rsidRPr="00CE0885">
        <w:rPr>
          <w:rFonts w:cs="Arial"/>
          <w:szCs w:val="24"/>
        </w:rPr>
        <w:tab/>
        <w:t>a health care professional who is engaged in the provision of services under this Act or the National Health Service (Wales) Act 2006 (c. 42), or</w:t>
      </w:r>
    </w:p>
    <w:p w14:paraId="229C1CEC" w14:textId="77777777" w:rsidR="004A1E13" w:rsidRPr="00CE0885" w:rsidRDefault="004A1E13" w:rsidP="004A1E13">
      <w:pPr>
        <w:spacing w:line="360" w:lineRule="auto"/>
        <w:ind w:left="1440" w:firstLine="720"/>
        <w:rPr>
          <w:rFonts w:cs="Arial"/>
          <w:szCs w:val="24"/>
        </w:rPr>
      </w:pPr>
      <w:r w:rsidRPr="00CE0885">
        <w:rPr>
          <w:rFonts w:cs="Arial"/>
          <w:szCs w:val="24"/>
        </w:rPr>
        <w:t>(iv)</w:t>
      </w:r>
      <w:r w:rsidRPr="00CE0885">
        <w:rPr>
          <w:rFonts w:cs="Arial"/>
          <w:szCs w:val="24"/>
        </w:rPr>
        <w:tab/>
        <w:t>an individual falling within section 93(1)(d).</w:t>
      </w:r>
    </w:p>
    <w:p w14:paraId="5A0E4FCB" w14:textId="77777777" w:rsidR="004A1E13" w:rsidRPr="00CE0885" w:rsidRDefault="004A1E13" w:rsidP="004A1E13">
      <w:pPr>
        <w:spacing w:line="360" w:lineRule="auto"/>
        <w:ind w:firstLine="720"/>
        <w:rPr>
          <w:rFonts w:cs="Arial"/>
          <w:szCs w:val="24"/>
        </w:rPr>
      </w:pPr>
      <w:r w:rsidRPr="00CE0885">
        <w:rPr>
          <w:rFonts w:cs="Arial"/>
          <w:szCs w:val="24"/>
        </w:rPr>
        <w:t>(3)</w:t>
      </w:r>
      <w:r w:rsidRPr="00CE0885">
        <w:rPr>
          <w:rFonts w:cs="Arial"/>
          <w:szCs w:val="24"/>
        </w:rPr>
        <w:tab/>
        <w:t>The conditions referred to in subsection (1)(c) are that–</w:t>
      </w:r>
    </w:p>
    <w:p w14:paraId="7217F237" w14:textId="77777777" w:rsidR="004A1E13" w:rsidRPr="00CE0885" w:rsidRDefault="004A1E13" w:rsidP="004A1E13">
      <w:pPr>
        <w:spacing w:line="360" w:lineRule="auto"/>
        <w:ind w:left="2127" w:hanging="687"/>
        <w:rPr>
          <w:rFonts w:cs="Arial"/>
          <w:szCs w:val="24"/>
        </w:rPr>
      </w:pPr>
      <w:r w:rsidRPr="00CE0885">
        <w:rPr>
          <w:rFonts w:cs="Arial"/>
          <w:szCs w:val="24"/>
        </w:rPr>
        <w:t>(a)</w:t>
      </w:r>
      <w:r w:rsidRPr="00CE0885">
        <w:rPr>
          <w:rFonts w:cs="Arial"/>
          <w:szCs w:val="24"/>
        </w:rPr>
        <w:tab/>
        <w:t xml:space="preserve">at least one share in the company is both legally and beneficially owned by a medical practitioner, and </w:t>
      </w:r>
    </w:p>
    <w:p w14:paraId="1BB40F29" w14:textId="77777777" w:rsidR="004A1E13" w:rsidRPr="00CE0885" w:rsidRDefault="004A1E13" w:rsidP="004A1E13">
      <w:pPr>
        <w:spacing w:line="360" w:lineRule="auto"/>
        <w:ind w:left="2127" w:hanging="687"/>
        <w:rPr>
          <w:rFonts w:cs="Arial"/>
          <w:szCs w:val="24"/>
        </w:rPr>
      </w:pPr>
      <w:r w:rsidRPr="00CE0885">
        <w:rPr>
          <w:rFonts w:cs="Arial"/>
          <w:szCs w:val="24"/>
        </w:rPr>
        <w:t>(b)</w:t>
      </w:r>
      <w:r w:rsidRPr="00CE0885">
        <w:rPr>
          <w:rFonts w:cs="Arial"/>
          <w:szCs w:val="24"/>
        </w:rPr>
        <w:tab/>
        <w:t xml:space="preserve">any share which is not so owned is both legally and beneficially owned by a person referred to in subsection (2)(b). </w:t>
      </w:r>
    </w:p>
    <w:p w14:paraId="65B65004" w14:textId="77777777" w:rsidR="004A1E13" w:rsidRPr="00CE0885" w:rsidRDefault="004A1E13" w:rsidP="004A1E13">
      <w:pPr>
        <w:spacing w:line="360" w:lineRule="auto"/>
        <w:ind w:left="1440" w:hanging="720"/>
        <w:rPr>
          <w:rFonts w:cs="Arial"/>
          <w:szCs w:val="24"/>
        </w:rPr>
      </w:pPr>
      <w:r w:rsidRPr="00CE0885">
        <w:rPr>
          <w:rFonts w:cs="Arial"/>
          <w:szCs w:val="24"/>
        </w:rPr>
        <w:t>(4)</w:t>
      </w:r>
      <w:r w:rsidRPr="00CE0885">
        <w:rPr>
          <w:rFonts w:cs="Arial"/>
          <w:szCs w:val="24"/>
        </w:rPr>
        <w:tab/>
        <w:t>Regulations may make provision as to the effect, in relation to a general medical services contract entered into by individuals practising in partnership, of a change in the membership of the partnership.</w:t>
      </w:r>
    </w:p>
    <w:p w14:paraId="1E28852B" w14:textId="77777777" w:rsidR="004A1E13" w:rsidRPr="00CE0885" w:rsidRDefault="004A1E13" w:rsidP="004A1E13">
      <w:pPr>
        <w:spacing w:line="360" w:lineRule="auto"/>
        <w:ind w:firstLine="720"/>
        <w:rPr>
          <w:rFonts w:cs="Arial"/>
          <w:szCs w:val="24"/>
        </w:rPr>
      </w:pPr>
      <w:r w:rsidRPr="00CE0885">
        <w:rPr>
          <w:rFonts w:cs="Arial"/>
          <w:szCs w:val="24"/>
        </w:rPr>
        <w:t>(5)</w:t>
      </w:r>
      <w:r w:rsidRPr="00CE0885">
        <w:rPr>
          <w:rFonts w:cs="Arial"/>
          <w:szCs w:val="24"/>
        </w:rPr>
        <w:tab/>
        <w:t>In this section–</w:t>
      </w:r>
    </w:p>
    <w:p w14:paraId="138982B0" w14:textId="77777777" w:rsidR="004A1E13" w:rsidRPr="00846153" w:rsidRDefault="004A1E13" w:rsidP="00846153">
      <w:pPr>
        <w:pStyle w:val="BodyText"/>
        <w:ind w:left="1440"/>
        <w:rPr>
          <w:b/>
          <w:sz w:val="24"/>
          <w:szCs w:val="24"/>
        </w:rPr>
      </w:pPr>
      <w:bookmarkStart w:id="196" w:name="_Toc440981685"/>
      <w:r w:rsidRPr="00846153">
        <w:rPr>
          <w:b/>
          <w:sz w:val="24"/>
          <w:szCs w:val="24"/>
        </w:rPr>
        <w:t>“health care professional”, “NHS employee”, “section 92 employee”, “section 107 employee”, “section 50 employee”, “section 64 employee”, “section 17C employee” and “Article 15B employee” have the meaning given by section 93.</w:t>
      </w:r>
      <w:bookmarkEnd w:id="196"/>
    </w:p>
    <w:p w14:paraId="1D675908" w14:textId="77777777" w:rsidR="004A1E13" w:rsidRPr="009055A7" w:rsidRDefault="004A1E13" w:rsidP="004A1E13">
      <w:pPr>
        <w:pStyle w:val="Body2"/>
        <w:spacing w:before="0" w:after="0" w:line="360" w:lineRule="auto"/>
        <w:rPr>
          <w:rFonts w:cs="Arial"/>
        </w:rPr>
      </w:pPr>
    </w:p>
    <w:p w14:paraId="20CF3923" w14:textId="77777777" w:rsidR="004A1E13" w:rsidRPr="00CE0885" w:rsidRDefault="004A1E13" w:rsidP="000433F3">
      <w:pPr>
        <w:pStyle w:val="Heading3"/>
      </w:pPr>
      <w:bookmarkStart w:id="197" w:name="_Toc440981686"/>
      <w:r w:rsidRPr="00CE0885">
        <w:t>Regulations 4, 5 and 6 of the GMS Regulations</w:t>
      </w:r>
      <w:bookmarkEnd w:id="197"/>
      <w:r w:rsidRPr="00CE0885">
        <w:t xml:space="preserve"> (2015) </w:t>
      </w:r>
    </w:p>
    <w:p w14:paraId="48CFB427" w14:textId="77777777" w:rsidR="004A1E13" w:rsidRPr="009055A7" w:rsidRDefault="004A1E13" w:rsidP="004A1E13">
      <w:pPr>
        <w:pStyle w:val="Body1"/>
        <w:spacing w:before="0" w:after="0" w:line="360" w:lineRule="auto"/>
        <w:rPr>
          <w:rFonts w:cs="Arial"/>
          <w:sz w:val="24"/>
          <w:szCs w:val="24"/>
        </w:rPr>
      </w:pPr>
      <w:r w:rsidRPr="009055A7">
        <w:rPr>
          <w:rFonts w:cs="Arial"/>
          <w:sz w:val="24"/>
          <w:szCs w:val="24"/>
        </w:rPr>
        <w:t xml:space="preserve">4. Conditions: general </w:t>
      </w:r>
    </w:p>
    <w:p w14:paraId="633F1E19" w14:textId="77777777" w:rsidR="004A1E13" w:rsidRPr="009055A7" w:rsidRDefault="004A1E13" w:rsidP="004A1E13">
      <w:pPr>
        <w:pStyle w:val="Body1"/>
        <w:spacing w:before="0" w:after="0" w:line="360" w:lineRule="auto"/>
        <w:jc w:val="left"/>
        <w:rPr>
          <w:rFonts w:cs="Arial"/>
          <w:sz w:val="24"/>
          <w:szCs w:val="24"/>
        </w:rPr>
      </w:pPr>
      <w:r w:rsidRPr="009055A7">
        <w:rPr>
          <w:rFonts w:cs="Arial"/>
          <w:sz w:val="24"/>
          <w:szCs w:val="24"/>
        </w:rPr>
        <w:t>4.—(1) The Board may only enter into a contract if the conditions specified in regulations 5 and 6 are met.</w:t>
      </w:r>
    </w:p>
    <w:p w14:paraId="07728E6F" w14:textId="77777777" w:rsidR="004A1E13" w:rsidRPr="00CE0885" w:rsidRDefault="004A1E13" w:rsidP="004A1E13">
      <w:pPr>
        <w:pStyle w:val="Body1"/>
        <w:spacing w:before="0" w:after="0" w:line="360" w:lineRule="auto"/>
        <w:jc w:val="left"/>
        <w:rPr>
          <w:rFonts w:cs="Arial"/>
          <w:sz w:val="24"/>
          <w:szCs w:val="24"/>
        </w:rPr>
      </w:pPr>
      <w:r w:rsidRPr="00CE0885">
        <w:rPr>
          <w:rFonts w:cs="Arial"/>
          <w:sz w:val="24"/>
          <w:szCs w:val="24"/>
        </w:rPr>
        <w:t>(2) Paragraph (1) is subject to the provisions of any scheme made by the Secretary of State under section 300 (transfer schemes) and section 303 (power to make consequential provision) of the Health and Social Care Act 2012(a).</w:t>
      </w:r>
      <w:r w:rsidRPr="00CE0885" w:rsidDel="00F769FD">
        <w:rPr>
          <w:rFonts w:cs="Arial"/>
          <w:sz w:val="24"/>
          <w:szCs w:val="24"/>
        </w:rPr>
        <w:t xml:space="preserve"> </w:t>
      </w:r>
    </w:p>
    <w:p w14:paraId="50CEFAA3" w14:textId="77777777" w:rsidR="004A1E13" w:rsidRPr="00CE0885" w:rsidRDefault="004A1E13" w:rsidP="004A1E13">
      <w:pPr>
        <w:pStyle w:val="Body1"/>
        <w:spacing w:before="0" w:after="0" w:line="360" w:lineRule="auto"/>
        <w:jc w:val="left"/>
        <w:rPr>
          <w:rFonts w:cs="Arial"/>
          <w:sz w:val="24"/>
          <w:szCs w:val="24"/>
        </w:rPr>
      </w:pPr>
      <w:r w:rsidRPr="00CE0885">
        <w:rPr>
          <w:rFonts w:cs="Arial"/>
          <w:sz w:val="24"/>
          <w:szCs w:val="24"/>
        </w:rPr>
        <w:br/>
        <w:t xml:space="preserve">5. Conditions relating solely to medical practitioners </w:t>
      </w:r>
    </w:p>
    <w:p w14:paraId="2F720F8A" w14:textId="77777777" w:rsidR="004A1E13" w:rsidRPr="00CE0885" w:rsidRDefault="004A1E13" w:rsidP="004A1E13">
      <w:pPr>
        <w:pStyle w:val="Body1"/>
        <w:spacing w:before="0" w:after="0" w:line="360" w:lineRule="auto"/>
        <w:jc w:val="left"/>
        <w:rPr>
          <w:rFonts w:cs="Arial"/>
          <w:sz w:val="24"/>
          <w:szCs w:val="24"/>
        </w:rPr>
      </w:pPr>
      <w:r w:rsidRPr="00CE0885">
        <w:rPr>
          <w:rFonts w:cs="Arial"/>
          <w:sz w:val="24"/>
          <w:szCs w:val="24"/>
        </w:rPr>
        <w:t>5.—(1) Where the Board enters, or is proposing to enter, into a contract with—</w:t>
      </w:r>
    </w:p>
    <w:p w14:paraId="45CAF02F" w14:textId="77777777" w:rsidR="004A1E13" w:rsidRPr="00CE0885" w:rsidRDefault="004A1E13" w:rsidP="004A1E13">
      <w:pPr>
        <w:pStyle w:val="Body1"/>
        <w:spacing w:before="0" w:after="0" w:line="360" w:lineRule="auto"/>
        <w:ind w:left="1440"/>
        <w:jc w:val="left"/>
        <w:rPr>
          <w:rFonts w:cs="Arial"/>
          <w:sz w:val="24"/>
          <w:szCs w:val="24"/>
        </w:rPr>
      </w:pPr>
      <w:r w:rsidRPr="00CE0885">
        <w:rPr>
          <w:rFonts w:cs="Arial"/>
          <w:sz w:val="24"/>
          <w:szCs w:val="24"/>
        </w:rPr>
        <w:t>(a) a medical practitioner, that medical practitioner must be a general medical practitioner;</w:t>
      </w:r>
    </w:p>
    <w:p w14:paraId="156D06C1" w14:textId="77777777" w:rsidR="004A1E13" w:rsidRPr="00CE0885" w:rsidRDefault="004A1E13" w:rsidP="004A1E13">
      <w:pPr>
        <w:pStyle w:val="Body1"/>
        <w:spacing w:before="0" w:after="0" w:line="360" w:lineRule="auto"/>
        <w:ind w:left="1440"/>
        <w:jc w:val="left"/>
        <w:rPr>
          <w:rFonts w:cs="Arial"/>
          <w:sz w:val="24"/>
          <w:szCs w:val="24"/>
        </w:rPr>
      </w:pPr>
      <w:r w:rsidRPr="00CE0885">
        <w:rPr>
          <w:rFonts w:cs="Arial"/>
          <w:sz w:val="24"/>
          <w:szCs w:val="24"/>
        </w:rPr>
        <w:t>(b) two or more persons practising in partnership—</w:t>
      </w:r>
    </w:p>
    <w:p w14:paraId="12A8DF20" w14:textId="77777777" w:rsidR="004A1E13" w:rsidRPr="00CE0885" w:rsidRDefault="004A1E13" w:rsidP="004A1E13">
      <w:pPr>
        <w:pStyle w:val="Body1"/>
        <w:spacing w:before="0" w:after="0" w:line="360" w:lineRule="auto"/>
        <w:ind w:left="2160"/>
        <w:jc w:val="left"/>
        <w:rPr>
          <w:rFonts w:cs="Arial"/>
          <w:sz w:val="24"/>
          <w:szCs w:val="24"/>
        </w:rPr>
      </w:pPr>
      <w:r w:rsidRPr="00CE0885">
        <w:rPr>
          <w:rFonts w:cs="Arial"/>
          <w:sz w:val="24"/>
          <w:szCs w:val="24"/>
        </w:rPr>
        <w:t>(i) at least one partner (who must not be a limited partner) must be a general medical practitioner, and</w:t>
      </w:r>
    </w:p>
    <w:p w14:paraId="73848D43" w14:textId="77777777" w:rsidR="004A1E13" w:rsidRPr="00CE0885" w:rsidRDefault="004A1E13" w:rsidP="004A1E13">
      <w:pPr>
        <w:pStyle w:val="Body1"/>
        <w:spacing w:before="0" w:after="0" w:line="360" w:lineRule="auto"/>
        <w:ind w:left="2160"/>
        <w:jc w:val="left"/>
        <w:rPr>
          <w:rFonts w:cs="Arial"/>
          <w:sz w:val="24"/>
          <w:szCs w:val="24"/>
        </w:rPr>
      </w:pPr>
      <w:r w:rsidRPr="00CE0885">
        <w:rPr>
          <w:rFonts w:cs="Arial"/>
          <w:sz w:val="24"/>
          <w:szCs w:val="24"/>
        </w:rPr>
        <w:t>(ii) any other partner who is a medical practitioner must be—</w:t>
      </w:r>
    </w:p>
    <w:p w14:paraId="3F2C3DD9" w14:textId="77777777" w:rsidR="004A1E13" w:rsidRPr="00CE0885" w:rsidRDefault="004A1E13" w:rsidP="004A1E13">
      <w:pPr>
        <w:pStyle w:val="Body1"/>
        <w:spacing w:before="0" w:after="0" w:line="360" w:lineRule="auto"/>
        <w:ind w:left="2880"/>
        <w:jc w:val="left"/>
        <w:rPr>
          <w:rFonts w:cs="Arial"/>
          <w:sz w:val="24"/>
          <w:szCs w:val="24"/>
        </w:rPr>
      </w:pPr>
      <w:r w:rsidRPr="00CE0885">
        <w:rPr>
          <w:rFonts w:cs="Arial"/>
          <w:sz w:val="24"/>
          <w:szCs w:val="24"/>
        </w:rPr>
        <w:t>(aa) a general medical practitioner, or</w:t>
      </w:r>
    </w:p>
    <w:p w14:paraId="1F4D8713" w14:textId="77777777" w:rsidR="004A1E13" w:rsidRPr="00CE0885" w:rsidRDefault="004A1E13" w:rsidP="004A1E13">
      <w:pPr>
        <w:pStyle w:val="Body1"/>
        <w:spacing w:before="0" w:after="0" w:line="360" w:lineRule="auto"/>
        <w:ind w:left="2880"/>
        <w:jc w:val="left"/>
        <w:rPr>
          <w:rFonts w:cs="Arial"/>
          <w:sz w:val="24"/>
          <w:szCs w:val="24"/>
        </w:rPr>
      </w:pPr>
      <w:r w:rsidRPr="00CE0885">
        <w:rPr>
          <w:rFonts w:cs="Arial"/>
          <w:sz w:val="24"/>
          <w:szCs w:val="24"/>
        </w:rPr>
        <w:t>(bb) employed by a Local Health Board, (in England and Wales and Scotland) an NHS trust, an NHS foundation trust, (in Scotland) a Health Board, or (in Northern Ireland) a Health and Social Services Trust; or (c) a company limited by shares—</w:t>
      </w:r>
    </w:p>
    <w:p w14:paraId="7C43A430" w14:textId="77777777" w:rsidR="004A1E13" w:rsidRPr="00CE0885" w:rsidRDefault="004A1E13" w:rsidP="004A1E13">
      <w:pPr>
        <w:pStyle w:val="Body1"/>
        <w:spacing w:before="0" w:after="0" w:line="360" w:lineRule="auto"/>
        <w:ind w:left="2160"/>
        <w:jc w:val="left"/>
        <w:rPr>
          <w:rFonts w:cs="Arial"/>
          <w:sz w:val="24"/>
          <w:szCs w:val="24"/>
        </w:rPr>
      </w:pPr>
      <w:r w:rsidRPr="00CE0885">
        <w:rPr>
          <w:rFonts w:cs="Arial"/>
          <w:sz w:val="24"/>
          <w:szCs w:val="24"/>
        </w:rPr>
        <w:t>(i) at least one share in the company must be both legally and beneficially owned by a general medical practitioner, and</w:t>
      </w:r>
    </w:p>
    <w:p w14:paraId="49FEBFCC" w14:textId="77777777" w:rsidR="004A1E13" w:rsidRPr="00CE0885" w:rsidRDefault="004A1E13" w:rsidP="004A1E13">
      <w:pPr>
        <w:pStyle w:val="Body1"/>
        <w:spacing w:before="0" w:after="0" w:line="360" w:lineRule="auto"/>
        <w:ind w:left="2160"/>
        <w:jc w:val="left"/>
        <w:rPr>
          <w:rFonts w:cs="Arial"/>
          <w:sz w:val="24"/>
          <w:szCs w:val="24"/>
        </w:rPr>
      </w:pPr>
      <w:r w:rsidRPr="00CE0885">
        <w:rPr>
          <w:rFonts w:cs="Arial"/>
          <w:sz w:val="24"/>
          <w:szCs w:val="24"/>
        </w:rPr>
        <w:t>(ii) any other share or shares in the company that are both legally and beneficially owned by a medical practitioner must be so owned by—</w:t>
      </w:r>
    </w:p>
    <w:p w14:paraId="4D10C069" w14:textId="77777777" w:rsidR="004A1E13" w:rsidRPr="00CE0885" w:rsidRDefault="004A1E13" w:rsidP="004A1E13">
      <w:pPr>
        <w:pStyle w:val="Body1"/>
        <w:spacing w:before="0" w:after="0" w:line="360" w:lineRule="auto"/>
        <w:ind w:left="2880"/>
        <w:jc w:val="left"/>
        <w:rPr>
          <w:rFonts w:cs="Arial"/>
          <w:sz w:val="24"/>
          <w:szCs w:val="24"/>
        </w:rPr>
      </w:pPr>
      <w:r w:rsidRPr="00CE0885">
        <w:rPr>
          <w:rFonts w:cs="Arial"/>
          <w:sz w:val="24"/>
          <w:szCs w:val="24"/>
        </w:rPr>
        <w:t>(aa) a general medical practitioner, or</w:t>
      </w:r>
    </w:p>
    <w:p w14:paraId="16B26B0B" w14:textId="77777777" w:rsidR="004A1E13" w:rsidRPr="00CE0885" w:rsidRDefault="004A1E13" w:rsidP="004A1E13">
      <w:pPr>
        <w:pStyle w:val="Body1"/>
        <w:spacing w:before="0" w:after="0" w:line="360" w:lineRule="auto"/>
        <w:ind w:left="2880"/>
        <w:jc w:val="left"/>
        <w:rPr>
          <w:rFonts w:cs="Arial"/>
          <w:sz w:val="24"/>
          <w:szCs w:val="24"/>
        </w:rPr>
      </w:pPr>
      <w:r w:rsidRPr="00CE0885">
        <w:rPr>
          <w:rFonts w:cs="Arial"/>
          <w:sz w:val="24"/>
          <w:szCs w:val="24"/>
        </w:rPr>
        <w:t>(bb) a medical practitioner who is employed by a Local Health Board, (in England and Wales and Scotland) an NHS Trust, an NHS foundation trust, (in Scotland) a Health Board, or (in Northern Ireland) a Health and Social Services Trust.</w:t>
      </w:r>
    </w:p>
    <w:p w14:paraId="55C131E1" w14:textId="77777777" w:rsidR="004A1E13" w:rsidRPr="00CE0885" w:rsidRDefault="004A1E13" w:rsidP="004A1E13">
      <w:pPr>
        <w:pStyle w:val="Body1"/>
        <w:spacing w:before="0" w:after="0" w:line="360" w:lineRule="auto"/>
        <w:jc w:val="left"/>
        <w:rPr>
          <w:rFonts w:cs="Arial"/>
          <w:sz w:val="24"/>
          <w:szCs w:val="24"/>
        </w:rPr>
      </w:pPr>
      <w:r w:rsidRPr="00CE0885">
        <w:rPr>
          <w:rFonts w:cs="Arial"/>
          <w:sz w:val="24"/>
          <w:szCs w:val="24"/>
        </w:rPr>
        <w:t>(2) In paragraph (1)(a), (b)(i) and (c)(i) “general medical practitioner” does not include a medical practitioner whose name is included in the General Practitioner Register by virtue of being a medical practitioner to whom paragraph (3), (4) or (5) applies.</w:t>
      </w:r>
    </w:p>
    <w:p w14:paraId="6FA35702" w14:textId="77777777" w:rsidR="004A1E13" w:rsidRPr="00CE0885" w:rsidRDefault="004A1E13" w:rsidP="004A1E13">
      <w:pPr>
        <w:pStyle w:val="Body1"/>
        <w:spacing w:before="0" w:after="0" w:line="360" w:lineRule="auto"/>
        <w:jc w:val="left"/>
        <w:rPr>
          <w:rFonts w:cs="Arial"/>
          <w:sz w:val="24"/>
          <w:szCs w:val="24"/>
        </w:rPr>
      </w:pPr>
      <w:r w:rsidRPr="00CE0885">
        <w:rPr>
          <w:rFonts w:cs="Arial"/>
          <w:sz w:val="24"/>
          <w:szCs w:val="24"/>
        </w:rPr>
        <w:t>(3) This paragraph applies to a medical practitioner referred to in article 4(3) of the 2010 Order (general practitioners eligible for entry in the General Practitioner Register) who was exempt from the requirement to have the prescribed experience under—</w:t>
      </w:r>
    </w:p>
    <w:p w14:paraId="684DD27F" w14:textId="77777777" w:rsidR="004A1E13" w:rsidRPr="00CE0885" w:rsidRDefault="004A1E13" w:rsidP="004A1E13">
      <w:pPr>
        <w:pStyle w:val="Body1"/>
        <w:spacing w:before="0" w:after="0" w:line="360" w:lineRule="auto"/>
        <w:ind w:left="1440"/>
        <w:jc w:val="left"/>
        <w:rPr>
          <w:rFonts w:cs="Arial"/>
          <w:sz w:val="24"/>
          <w:szCs w:val="24"/>
        </w:rPr>
      </w:pPr>
      <w:r w:rsidRPr="00CE0885">
        <w:rPr>
          <w:rFonts w:cs="Arial"/>
          <w:sz w:val="24"/>
          <w:szCs w:val="24"/>
        </w:rPr>
        <w:t>(a) regulation 5(1)(d) of the National Health Service (Vocational Training for General Medical Practice) Regulations 1997(b);</w:t>
      </w:r>
    </w:p>
    <w:p w14:paraId="0C914C33" w14:textId="77777777" w:rsidR="004A1E13" w:rsidRPr="00CE0885" w:rsidRDefault="004A1E13" w:rsidP="004A1E13">
      <w:pPr>
        <w:pStyle w:val="Body1"/>
        <w:spacing w:before="0" w:after="0" w:line="360" w:lineRule="auto"/>
        <w:ind w:left="1440"/>
        <w:jc w:val="left"/>
        <w:rPr>
          <w:rFonts w:cs="Arial"/>
          <w:sz w:val="24"/>
          <w:szCs w:val="24"/>
        </w:rPr>
      </w:pPr>
      <w:r w:rsidRPr="00CE0885">
        <w:rPr>
          <w:rFonts w:cs="Arial"/>
          <w:sz w:val="24"/>
          <w:szCs w:val="24"/>
        </w:rPr>
        <w:t>(b) regulation 5(1)(d) of the National Health Service (Vocational Training for General Medical Practice) (Scotland) Regulations 1998(c); or</w:t>
      </w:r>
    </w:p>
    <w:p w14:paraId="3D24EFE2" w14:textId="77777777" w:rsidR="004A1E13" w:rsidRPr="00CE0885" w:rsidRDefault="004A1E13" w:rsidP="004A1E13">
      <w:pPr>
        <w:pStyle w:val="Body1"/>
        <w:spacing w:before="0" w:after="0" w:line="360" w:lineRule="auto"/>
        <w:ind w:left="1440"/>
        <w:jc w:val="left"/>
        <w:rPr>
          <w:rFonts w:cs="Arial"/>
          <w:sz w:val="24"/>
          <w:szCs w:val="24"/>
        </w:rPr>
      </w:pPr>
      <w:r w:rsidRPr="00CE0885">
        <w:rPr>
          <w:rFonts w:cs="Arial"/>
          <w:sz w:val="24"/>
          <w:szCs w:val="24"/>
        </w:rPr>
        <w:t>(c) regulation 5(1)(d) of the Medical Practitioners (Vocational Training) Regulations (Northern Ireland) 1998(d).</w:t>
      </w:r>
    </w:p>
    <w:p w14:paraId="4D138326" w14:textId="77777777" w:rsidR="004A1E13" w:rsidRPr="00CE0885" w:rsidRDefault="004A1E13" w:rsidP="004A1E13">
      <w:pPr>
        <w:pStyle w:val="Body1"/>
        <w:spacing w:before="0" w:after="0" w:line="360" w:lineRule="auto"/>
        <w:jc w:val="left"/>
        <w:rPr>
          <w:rFonts w:cs="Arial"/>
          <w:sz w:val="24"/>
          <w:szCs w:val="24"/>
        </w:rPr>
      </w:pPr>
      <w:r w:rsidRPr="00CE0885">
        <w:rPr>
          <w:rFonts w:cs="Arial"/>
          <w:sz w:val="24"/>
          <w:szCs w:val="24"/>
        </w:rPr>
        <w:t>(4) This paragraph applies to a medical practitioner who has an acquired right for the purposes of article 6(2) of the 2010 Order (persons with acquired rights) by virtue of—</w:t>
      </w:r>
    </w:p>
    <w:p w14:paraId="009B1EAD" w14:textId="77777777" w:rsidR="004A1E13" w:rsidRPr="00CE0885" w:rsidRDefault="004A1E13" w:rsidP="004A1E13">
      <w:pPr>
        <w:pStyle w:val="Body1"/>
        <w:spacing w:before="0" w:after="0" w:line="360" w:lineRule="auto"/>
        <w:ind w:left="1440"/>
        <w:jc w:val="left"/>
        <w:rPr>
          <w:rFonts w:cs="Arial"/>
          <w:sz w:val="24"/>
          <w:szCs w:val="24"/>
        </w:rPr>
      </w:pPr>
      <w:r w:rsidRPr="00CE0885">
        <w:rPr>
          <w:rFonts w:cs="Arial"/>
          <w:sz w:val="24"/>
          <w:szCs w:val="24"/>
        </w:rPr>
        <w:t>(a) having been a restricted services principal; and</w:t>
      </w:r>
    </w:p>
    <w:p w14:paraId="59F48C77" w14:textId="77777777" w:rsidR="004A1E13" w:rsidRPr="00CE0885" w:rsidRDefault="004A1E13" w:rsidP="004A1E13">
      <w:pPr>
        <w:pStyle w:val="Body1"/>
        <w:spacing w:before="0" w:after="0" w:line="360" w:lineRule="auto"/>
        <w:ind w:left="1440"/>
        <w:jc w:val="left"/>
        <w:rPr>
          <w:rFonts w:cs="Arial"/>
          <w:sz w:val="24"/>
          <w:szCs w:val="24"/>
        </w:rPr>
      </w:pPr>
      <w:r w:rsidRPr="00CE0885">
        <w:rPr>
          <w:rFonts w:cs="Arial"/>
          <w:sz w:val="24"/>
          <w:szCs w:val="24"/>
        </w:rPr>
        <w:t>(b) that medical practitioner’s name being included, as at 31st December 1994, in—</w:t>
      </w:r>
    </w:p>
    <w:p w14:paraId="15BDA539" w14:textId="77777777" w:rsidR="004A1E13" w:rsidRPr="00CE0885" w:rsidRDefault="004A1E13" w:rsidP="004A1E13">
      <w:pPr>
        <w:pStyle w:val="Body1"/>
        <w:spacing w:before="0" w:after="0" w:line="360" w:lineRule="auto"/>
        <w:ind w:left="2160"/>
        <w:jc w:val="left"/>
        <w:rPr>
          <w:rFonts w:cs="Arial"/>
          <w:sz w:val="24"/>
          <w:szCs w:val="24"/>
        </w:rPr>
      </w:pPr>
      <w:r w:rsidRPr="00CE0885">
        <w:rPr>
          <w:rFonts w:cs="Arial"/>
          <w:sz w:val="24"/>
          <w:szCs w:val="24"/>
        </w:rPr>
        <w:t>(i) a medical list which was, at that date, kept by a Family Health Services Authority(e), or</w:t>
      </w:r>
      <w:r w:rsidRPr="00CE0885" w:rsidDel="00F769FD">
        <w:rPr>
          <w:rFonts w:cs="Arial"/>
          <w:sz w:val="24"/>
          <w:szCs w:val="24"/>
        </w:rPr>
        <w:t xml:space="preserve"> </w:t>
      </w:r>
    </w:p>
    <w:p w14:paraId="2778418B" w14:textId="77777777" w:rsidR="004A1E13" w:rsidRPr="00CE0885" w:rsidRDefault="004A1E13" w:rsidP="004A1E13">
      <w:pPr>
        <w:spacing w:line="360" w:lineRule="auto"/>
        <w:ind w:left="2880" w:hanging="720"/>
        <w:rPr>
          <w:rFonts w:cs="Arial"/>
          <w:szCs w:val="24"/>
        </w:rPr>
      </w:pPr>
      <w:r w:rsidRPr="00CE0885">
        <w:rPr>
          <w:rFonts w:cs="Arial"/>
          <w:szCs w:val="24"/>
        </w:rPr>
        <w:t>(ii) any corresponding list which was, at that date, kept by a Health Board or by the Northern Ireland Central Services Agency for the Health and Social Services in Northern Ireland.</w:t>
      </w:r>
    </w:p>
    <w:p w14:paraId="4B773010" w14:textId="77777777" w:rsidR="004A1E13" w:rsidRPr="00CE0885" w:rsidRDefault="004A1E13" w:rsidP="004A1E13">
      <w:pPr>
        <w:spacing w:line="360" w:lineRule="auto"/>
        <w:ind w:left="1440" w:hanging="720"/>
        <w:rPr>
          <w:rFonts w:cs="Arial"/>
          <w:szCs w:val="24"/>
        </w:rPr>
      </w:pPr>
      <w:r w:rsidRPr="00CE0885">
        <w:rPr>
          <w:rFonts w:cs="Arial"/>
          <w:szCs w:val="24"/>
        </w:rPr>
        <w:t>(5) This paragraph applies to a medical practitioner who has an acquired right for the purposes of article 6(6) of the 2010 Order (which relates to persons engaged or provided as a deputy or employed as an assistant) because, on at least ten days in the period of four years ending with 31</w:t>
      </w:r>
      <w:r w:rsidRPr="00CE0885">
        <w:rPr>
          <w:rFonts w:cs="Arial"/>
          <w:szCs w:val="24"/>
          <w:vertAlign w:val="superscript"/>
        </w:rPr>
        <w:t>st</w:t>
      </w:r>
      <w:r w:rsidRPr="00CE0885">
        <w:rPr>
          <w:rFonts w:cs="Arial"/>
          <w:szCs w:val="24"/>
        </w:rPr>
        <w:t xml:space="preserve"> December 1994, or on at least 40 days in the period of ten years ending with that date, that medical practitioner was—</w:t>
      </w:r>
    </w:p>
    <w:p w14:paraId="367BA2FD" w14:textId="77777777" w:rsidR="004A1E13" w:rsidRPr="00CE0885" w:rsidRDefault="004A1E13" w:rsidP="004A1E13">
      <w:pPr>
        <w:spacing w:line="360" w:lineRule="auto"/>
        <w:ind w:left="2160" w:hanging="720"/>
        <w:rPr>
          <w:rFonts w:cs="Arial"/>
          <w:szCs w:val="24"/>
        </w:rPr>
      </w:pPr>
      <w:r w:rsidRPr="00CE0885">
        <w:rPr>
          <w:rFonts w:cs="Arial"/>
          <w:szCs w:val="24"/>
        </w:rPr>
        <w:t>(a) engaged as a deputy by, or provided as a deputy to, a medical practitioner whose name was included in—</w:t>
      </w:r>
    </w:p>
    <w:p w14:paraId="4028A132" w14:textId="77777777" w:rsidR="004A1E13" w:rsidRPr="00CE0885" w:rsidRDefault="004A1E13" w:rsidP="004A1E13">
      <w:pPr>
        <w:spacing w:line="360" w:lineRule="auto"/>
        <w:ind w:left="2880" w:hanging="720"/>
        <w:rPr>
          <w:rFonts w:cs="Arial"/>
          <w:szCs w:val="24"/>
        </w:rPr>
      </w:pPr>
      <w:r w:rsidRPr="00CE0885">
        <w:rPr>
          <w:rFonts w:cs="Arial"/>
          <w:szCs w:val="24"/>
        </w:rPr>
        <w:t>(i) the medical list which was, at that date, kept by a Family Health Services Authority, or</w:t>
      </w:r>
    </w:p>
    <w:p w14:paraId="71BCDA78" w14:textId="77777777" w:rsidR="004A1E13" w:rsidRPr="00CE0885" w:rsidRDefault="004A1E13" w:rsidP="004A1E13">
      <w:pPr>
        <w:spacing w:line="360" w:lineRule="auto"/>
        <w:ind w:left="2880" w:hanging="720"/>
        <w:rPr>
          <w:rFonts w:cs="Arial"/>
          <w:szCs w:val="24"/>
        </w:rPr>
      </w:pPr>
      <w:r w:rsidRPr="00CE0885">
        <w:rPr>
          <w:rFonts w:cs="Arial"/>
          <w:szCs w:val="24"/>
        </w:rPr>
        <w:t>(ii) any corresponding list kept, at that date, by a Health Board or by the Northern Ireland Central Services Agency for the Health and Social Services in Northern Ireland; or</w:t>
      </w:r>
    </w:p>
    <w:p w14:paraId="75162F97" w14:textId="77777777" w:rsidR="004A1E13" w:rsidRPr="00CE0885" w:rsidRDefault="004A1E13" w:rsidP="004A1E13">
      <w:pPr>
        <w:spacing w:line="360" w:lineRule="auto"/>
        <w:ind w:left="2160" w:hanging="720"/>
        <w:rPr>
          <w:rFonts w:cs="Arial"/>
          <w:szCs w:val="24"/>
        </w:rPr>
      </w:pPr>
      <w:r w:rsidRPr="00CE0885">
        <w:rPr>
          <w:rFonts w:cs="Arial"/>
          <w:szCs w:val="24"/>
        </w:rPr>
        <w:t>(b) employed as an assistant (other than as a trainee general practitioner) by such a medical practitioner.</w:t>
      </w:r>
    </w:p>
    <w:p w14:paraId="6F2CB9C0" w14:textId="77777777" w:rsidR="004A1E13" w:rsidRPr="00CE0885" w:rsidRDefault="004A1E13" w:rsidP="004A1E13">
      <w:pPr>
        <w:spacing w:line="360" w:lineRule="auto"/>
        <w:ind w:left="1440" w:hanging="720"/>
        <w:rPr>
          <w:rFonts w:cs="Arial"/>
          <w:b/>
          <w:szCs w:val="24"/>
        </w:rPr>
      </w:pPr>
      <w:r w:rsidRPr="00CE0885">
        <w:rPr>
          <w:rFonts w:cs="Arial"/>
          <w:szCs w:val="24"/>
        </w:rPr>
        <w:t>(6) In paragraph (4)(a), “restricted services principal” means a medical practitioner who provided general medical services limited to child health surveillance, contraceptive services, maternity medical services or minor surgery.</w:t>
      </w:r>
      <w:r w:rsidRPr="00CE0885" w:rsidDel="00F769FD">
        <w:rPr>
          <w:rFonts w:cs="Arial"/>
          <w:szCs w:val="24"/>
        </w:rPr>
        <w:t xml:space="preserve"> </w:t>
      </w:r>
    </w:p>
    <w:p w14:paraId="21DEEB5F" w14:textId="77777777" w:rsidR="004A1E13" w:rsidRPr="00CE0885" w:rsidRDefault="004A1E13" w:rsidP="004A1E13">
      <w:pPr>
        <w:pStyle w:val="Body1"/>
        <w:spacing w:before="0" w:after="0" w:line="360" w:lineRule="auto"/>
        <w:jc w:val="left"/>
        <w:rPr>
          <w:rFonts w:cs="Arial"/>
          <w:sz w:val="24"/>
          <w:szCs w:val="24"/>
        </w:rPr>
      </w:pPr>
      <w:r w:rsidRPr="00CE0885">
        <w:rPr>
          <w:rFonts w:cs="Arial"/>
          <w:sz w:val="24"/>
          <w:szCs w:val="24"/>
        </w:rPr>
        <w:t xml:space="preserve">6. General condition relating to all contracts </w:t>
      </w:r>
    </w:p>
    <w:p w14:paraId="7FF84F49" w14:textId="77777777" w:rsidR="004A1E13" w:rsidRPr="00CE0885" w:rsidRDefault="004A1E13" w:rsidP="004A1E13">
      <w:pPr>
        <w:spacing w:line="360" w:lineRule="auto"/>
        <w:ind w:left="714"/>
        <w:rPr>
          <w:rFonts w:cs="Arial"/>
          <w:szCs w:val="24"/>
        </w:rPr>
      </w:pPr>
      <w:r w:rsidRPr="00CE0885">
        <w:rPr>
          <w:rFonts w:cs="Arial"/>
          <w:szCs w:val="24"/>
        </w:rPr>
        <w:t>6.—(1) The Board must not enter into a contract with—</w:t>
      </w:r>
    </w:p>
    <w:p w14:paraId="74069110" w14:textId="77777777" w:rsidR="004A1E13" w:rsidRPr="00CE0885" w:rsidRDefault="004A1E13" w:rsidP="004A1E13">
      <w:pPr>
        <w:spacing w:line="360" w:lineRule="auto"/>
        <w:ind w:left="2160"/>
        <w:rPr>
          <w:rFonts w:cs="Arial"/>
          <w:szCs w:val="24"/>
        </w:rPr>
      </w:pPr>
      <w:r w:rsidRPr="00CE0885">
        <w:rPr>
          <w:rFonts w:cs="Arial"/>
          <w:szCs w:val="24"/>
        </w:rPr>
        <w:t>(a) a medical practitioner to whom paragraph (2) applies; or</w:t>
      </w:r>
    </w:p>
    <w:p w14:paraId="3AF8023B" w14:textId="77777777" w:rsidR="004A1E13" w:rsidRPr="00CE0885" w:rsidRDefault="004A1E13" w:rsidP="004A1E13">
      <w:pPr>
        <w:spacing w:line="360" w:lineRule="auto"/>
        <w:ind w:left="2160"/>
        <w:rPr>
          <w:rFonts w:cs="Arial"/>
          <w:szCs w:val="24"/>
        </w:rPr>
      </w:pPr>
      <w:r w:rsidRPr="00CE0885">
        <w:rPr>
          <w:rFonts w:cs="Arial"/>
          <w:szCs w:val="24"/>
        </w:rPr>
        <w:t>(b) two or more persons practising in partnership, where paragraph (2) applies to any person who is a partner in the partnership; or</w:t>
      </w:r>
    </w:p>
    <w:p w14:paraId="577A6F2B" w14:textId="77777777" w:rsidR="004A1E13" w:rsidRPr="00CE0885" w:rsidRDefault="004A1E13" w:rsidP="004A1E13">
      <w:pPr>
        <w:spacing w:line="360" w:lineRule="auto"/>
        <w:ind w:left="2160"/>
        <w:rPr>
          <w:rFonts w:cs="Arial"/>
          <w:szCs w:val="24"/>
        </w:rPr>
      </w:pPr>
      <w:r w:rsidRPr="00CE0885">
        <w:rPr>
          <w:rFonts w:cs="Arial"/>
          <w:szCs w:val="24"/>
        </w:rPr>
        <w:t>(c) a company limited by shares where paragraph (2) applies to—</w:t>
      </w:r>
    </w:p>
    <w:p w14:paraId="0F07A761" w14:textId="77777777" w:rsidR="004A1E13" w:rsidRPr="00CE0885" w:rsidRDefault="004A1E13" w:rsidP="004A1E13">
      <w:pPr>
        <w:spacing w:line="360" w:lineRule="auto"/>
        <w:ind w:left="2880"/>
        <w:rPr>
          <w:rFonts w:cs="Arial"/>
          <w:szCs w:val="24"/>
        </w:rPr>
      </w:pPr>
      <w:r w:rsidRPr="00CE0885">
        <w:rPr>
          <w:rFonts w:cs="Arial"/>
          <w:szCs w:val="24"/>
        </w:rPr>
        <w:t>(i) the company,</w:t>
      </w:r>
    </w:p>
    <w:p w14:paraId="33ACF726" w14:textId="77777777" w:rsidR="004A1E13" w:rsidRPr="00CE0885" w:rsidRDefault="004A1E13" w:rsidP="004A1E13">
      <w:pPr>
        <w:spacing w:line="360" w:lineRule="auto"/>
        <w:ind w:left="2880"/>
        <w:rPr>
          <w:rFonts w:cs="Arial"/>
          <w:szCs w:val="24"/>
        </w:rPr>
      </w:pPr>
      <w:r w:rsidRPr="00CE0885">
        <w:rPr>
          <w:rFonts w:cs="Arial"/>
          <w:szCs w:val="24"/>
        </w:rPr>
        <w:t>(ii) any person both legally and beneficially owning a share in the company, or</w:t>
      </w:r>
    </w:p>
    <w:p w14:paraId="0D924E84" w14:textId="77777777" w:rsidR="004A1E13" w:rsidRPr="00CE0885" w:rsidRDefault="004A1E13" w:rsidP="004A1E13">
      <w:pPr>
        <w:spacing w:line="360" w:lineRule="auto"/>
        <w:ind w:left="2880"/>
        <w:rPr>
          <w:rFonts w:cs="Arial"/>
          <w:szCs w:val="24"/>
        </w:rPr>
      </w:pPr>
      <w:r w:rsidRPr="00CE0885">
        <w:rPr>
          <w:rFonts w:cs="Arial"/>
          <w:szCs w:val="24"/>
        </w:rPr>
        <w:t>(iii) any director or secretary of the company.</w:t>
      </w:r>
    </w:p>
    <w:p w14:paraId="40DACC09" w14:textId="77777777" w:rsidR="004A1E13" w:rsidRPr="00CE0885" w:rsidRDefault="004A1E13" w:rsidP="004A1E13">
      <w:pPr>
        <w:spacing w:line="360" w:lineRule="auto"/>
        <w:ind w:firstLine="720"/>
        <w:rPr>
          <w:rFonts w:cs="Arial"/>
          <w:szCs w:val="24"/>
        </w:rPr>
      </w:pPr>
      <w:r w:rsidRPr="00CE0885">
        <w:rPr>
          <w:rFonts w:cs="Arial"/>
          <w:szCs w:val="24"/>
        </w:rPr>
        <w:t>(2) This paragraph applies if—</w:t>
      </w:r>
    </w:p>
    <w:p w14:paraId="24D243F2" w14:textId="77777777" w:rsidR="004A1E13" w:rsidRPr="00CE0885" w:rsidRDefault="004A1E13" w:rsidP="004A1E13">
      <w:pPr>
        <w:spacing w:line="360" w:lineRule="auto"/>
        <w:ind w:left="1440"/>
        <w:rPr>
          <w:rFonts w:cs="Arial"/>
          <w:szCs w:val="24"/>
        </w:rPr>
      </w:pPr>
      <w:r w:rsidRPr="00CE0885">
        <w:rPr>
          <w:rFonts w:cs="Arial"/>
          <w:szCs w:val="24"/>
        </w:rPr>
        <w:t>(a) the contractor is the subject of a national disqualification;</w:t>
      </w:r>
    </w:p>
    <w:p w14:paraId="31856A1D" w14:textId="77777777" w:rsidR="004A1E13" w:rsidRPr="00CE0885" w:rsidRDefault="004A1E13" w:rsidP="004A1E13">
      <w:pPr>
        <w:spacing w:line="360" w:lineRule="auto"/>
        <w:ind w:left="1440"/>
        <w:rPr>
          <w:rFonts w:cs="Arial"/>
          <w:szCs w:val="24"/>
        </w:rPr>
      </w:pPr>
      <w:r w:rsidRPr="00CE0885">
        <w:rPr>
          <w:rFonts w:cs="Arial"/>
          <w:szCs w:val="24"/>
        </w:rPr>
        <w:t>(b) subject to paragraph (3), the contractor is disqualified or suspended (other than by interim suspension order or direction pending an investigation) from practising by any licensing body anywhere in the world;</w:t>
      </w:r>
    </w:p>
    <w:p w14:paraId="6644B426" w14:textId="77777777" w:rsidR="004A1E13" w:rsidRPr="00CE0885" w:rsidRDefault="004A1E13" w:rsidP="004A1E13">
      <w:pPr>
        <w:spacing w:line="360" w:lineRule="auto"/>
        <w:ind w:left="1440"/>
        <w:rPr>
          <w:rFonts w:cs="Arial"/>
          <w:szCs w:val="24"/>
        </w:rPr>
      </w:pPr>
      <w:r w:rsidRPr="00CE0885">
        <w:rPr>
          <w:rFonts w:cs="Arial"/>
          <w:szCs w:val="24"/>
        </w:rPr>
        <w:t>(c) the contractor has, within the period of five years before the signing of the contract or commencement of the contract (whichever is the earlier), been dismissed (otherwise than by reason of redundancy) from any employment by a health service body, unless—</w:t>
      </w:r>
    </w:p>
    <w:p w14:paraId="74BFF8EF" w14:textId="77777777" w:rsidR="004A1E13" w:rsidRPr="00CE0885" w:rsidRDefault="004A1E13" w:rsidP="004A1E13">
      <w:pPr>
        <w:spacing w:line="360" w:lineRule="auto"/>
        <w:ind w:left="2160"/>
        <w:rPr>
          <w:rFonts w:cs="Arial"/>
          <w:szCs w:val="24"/>
        </w:rPr>
      </w:pPr>
      <w:r w:rsidRPr="00CE0885">
        <w:rPr>
          <w:rFonts w:cs="Arial"/>
          <w:szCs w:val="24"/>
        </w:rPr>
        <w:t>(i) if the contractor was employed as a member of a health care profession at the time of the dismissal, the contractor has not subsequently been employed by that health service body or by another health service body, and</w:t>
      </w:r>
    </w:p>
    <w:p w14:paraId="03BDCE95" w14:textId="77777777" w:rsidR="004A1E13" w:rsidRPr="00CE0885" w:rsidRDefault="004A1E13" w:rsidP="004A1E13">
      <w:pPr>
        <w:spacing w:line="360" w:lineRule="auto"/>
        <w:ind w:left="2160"/>
        <w:rPr>
          <w:rFonts w:cs="Arial"/>
          <w:szCs w:val="24"/>
        </w:rPr>
      </w:pPr>
      <w:r w:rsidRPr="00CE0885">
        <w:rPr>
          <w:rFonts w:cs="Arial"/>
          <w:szCs w:val="24"/>
        </w:rPr>
        <w:t>(ii) the dismissal was the subject of a finding of unfair dismissal by any competent tribunal or a court;</w:t>
      </w:r>
    </w:p>
    <w:p w14:paraId="23AAD105" w14:textId="77777777" w:rsidR="004A1E13" w:rsidRPr="00CE0885" w:rsidRDefault="004A1E13" w:rsidP="004A1E13">
      <w:pPr>
        <w:spacing w:line="360" w:lineRule="auto"/>
        <w:ind w:left="1440"/>
        <w:rPr>
          <w:rFonts w:cs="Arial"/>
          <w:szCs w:val="24"/>
        </w:rPr>
      </w:pPr>
      <w:r w:rsidRPr="00CE0885">
        <w:rPr>
          <w:rFonts w:cs="Arial"/>
          <w:szCs w:val="24"/>
        </w:rPr>
        <w:t>(d) the contractor has, within the period of five years before the signing of the contract or commencement of the contract (whichever is the earlier), been removed from, or refused admission to, a primary care list by reason of inefficiency, fraud or unsuitability (within the meaning of section 151(2), (3) and (4) of the Act(a) (disqualification of</w:t>
      </w:r>
      <w:r w:rsidRPr="00CE0885" w:rsidDel="00DF2E74">
        <w:rPr>
          <w:rFonts w:cs="Arial"/>
          <w:szCs w:val="24"/>
        </w:rPr>
        <w:t xml:space="preserve"> </w:t>
      </w:r>
      <w:r w:rsidRPr="00CE0885">
        <w:rPr>
          <w:rFonts w:cs="Arial"/>
          <w:szCs w:val="24"/>
        </w:rPr>
        <w:t>practitioners)), or a performers list held by the Board by virtue of regulations made under section 91(3) (persons performing primary medical services) of the Act, unless the contractor’s name has subsequently been included in such a list;</w:t>
      </w:r>
    </w:p>
    <w:p w14:paraId="6B216AB4" w14:textId="77777777" w:rsidR="004A1E13" w:rsidRPr="00CE0885" w:rsidRDefault="004A1E13" w:rsidP="004A1E13">
      <w:pPr>
        <w:spacing w:line="360" w:lineRule="auto"/>
        <w:ind w:left="1440"/>
        <w:rPr>
          <w:rFonts w:cs="Arial"/>
          <w:szCs w:val="24"/>
        </w:rPr>
      </w:pPr>
      <w:r w:rsidRPr="00CE0885">
        <w:rPr>
          <w:rFonts w:cs="Arial"/>
          <w:szCs w:val="24"/>
        </w:rPr>
        <w:t>(e) the contractor has been convicted in the United Kingdom of murder;</w:t>
      </w:r>
    </w:p>
    <w:p w14:paraId="7C077CF0" w14:textId="77777777" w:rsidR="004A1E13" w:rsidRPr="00CE0885" w:rsidRDefault="004A1E13" w:rsidP="004A1E13">
      <w:pPr>
        <w:spacing w:line="360" w:lineRule="auto"/>
        <w:ind w:left="1440"/>
        <w:rPr>
          <w:rFonts w:cs="Arial"/>
          <w:szCs w:val="24"/>
        </w:rPr>
      </w:pPr>
      <w:r w:rsidRPr="00CE0885">
        <w:rPr>
          <w:rFonts w:cs="Arial"/>
          <w:szCs w:val="24"/>
        </w:rPr>
        <w:t>(f) the contractor has been convicted in the United Kingdom of a criminal offence other than murder committed on or after 14th December 2001 and has been sentenced to a term of imprisonment of longer than six months;</w:t>
      </w:r>
    </w:p>
    <w:p w14:paraId="465105A3" w14:textId="77777777" w:rsidR="004A1E13" w:rsidRPr="00CE0885" w:rsidRDefault="004A1E13" w:rsidP="004A1E13">
      <w:pPr>
        <w:spacing w:line="360" w:lineRule="auto"/>
        <w:ind w:left="1440"/>
        <w:rPr>
          <w:rFonts w:cs="Arial"/>
          <w:szCs w:val="24"/>
        </w:rPr>
      </w:pPr>
      <w:r w:rsidRPr="00CE0885">
        <w:rPr>
          <w:rFonts w:cs="Arial"/>
          <w:szCs w:val="24"/>
        </w:rPr>
        <w:t>(g) subject to paragraph (3), the contractor has been convicted outside of the United Kingdom of an offence which would, if committed in England and Wales, constitute murder and—</w:t>
      </w:r>
    </w:p>
    <w:p w14:paraId="2D522132" w14:textId="77777777" w:rsidR="004A1E13" w:rsidRPr="00CE0885" w:rsidRDefault="004A1E13" w:rsidP="004A1E13">
      <w:pPr>
        <w:spacing w:line="360" w:lineRule="auto"/>
        <w:ind w:left="2160"/>
        <w:rPr>
          <w:rFonts w:cs="Arial"/>
          <w:szCs w:val="24"/>
        </w:rPr>
      </w:pPr>
      <w:r w:rsidRPr="00CE0885">
        <w:rPr>
          <w:rFonts w:cs="Arial"/>
          <w:szCs w:val="24"/>
        </w:rPr>
        <w:t>(i) the offence was committed on or after 14th December 2001, and</w:t>
      </w:r>
    </w:p>
    <w:p w14:paraId="42D052FB" w14:textId="77777777" w:rsidR="004A1E13" w:rsidRPr="00CE0885" w:rsidRDefault="004A1E13" w:rsidP="004A1E13">
      <w:pPr>
        <w:spacing w:line="360" w:lineRule="auto"/>
        <w:ind w:left="2160"/>
        <w:rPr>
          <w:rFonts w:cs="Arial"/>
          <w:szCs w:val="24"/>
        </w:rPr>
      </w:pPr>
      <w:r w:rsidRPr="00CE0885">
        <w:rPr>
          <w:rFonts w:cs="Arial"/>
          <w:szCs w:val="24"/>
        </w:rPr>
        <w:t>(ii) the contractor was sentenced to a term of imprisonment of longer than six months;</w:t>
      </w:r>
    </w:p>
    <w:p w14:paraId="4D0C3C87" w14:textId="77777777" w:rsidR="004A1E13" w:rsidRPr="00CE0885" w:rsidRDefault="004A1E13" w:rsidP="004A1E13">
      <w:pPr>
        <w:spacing w:line="360" w:lineRule="auto"/>
        <w:ind w:left="1440"/>
        <w:rPr>
          <w:rFonts w:cs="Arial"/>
          <w:szCs w:val="24"/>
        </w:rPr>
      </w:pPr>
      <w:r w:rsidRPr="00CE0885">
        <w:rPr>
          <w:rFonts w:cs="Arial"/>
          <w:szCs w:val="24"/>
        </w:rPr>
        <w:t>(h) the contractor has been convicted of an offence, referred to in Schedule 1 to the Children and Young Persons Act 1933(a) (offences against children and young persons, with respect to which special provisions of this Act apply), or in Schedule 1 to the Criminal Procedure (Scotland) Act 1995(b) (offences against children under the age of 17 years to which special provisions apply), committed on or after 1st March 2004;</w:t>
      </w:r>
    </w:p>
    <w:p w14:paraId="697ADC9C" w14:textId="77777777" w:rsidR="004A1E13" w:rsidRPr="00CE0885" w:rsidRDefault="004A1E13" w:rsidP="004A1E13">
      <w:pPr>
        <w:spacing w:line="360" w:lineRule="auto"/>
        <w:ind w:left="2160"/>
        <w:rPr>
          <w:rFonts w:cs="Arial"/>
          <w:szCs w:val="24"/>
        </w:rPr>
      </w:pPr>
      <w:r w:rsidRPr="00CE0885">
        <w:rPr>
          <w:rFonts w:cs="Arial"/>
          <w:szCs w:val="24"/>
        </w:rPr>
        <w:t>(i) the contractor has at any time been included in—</w:t>
      </w:r>
    </w:p>
    <w:p w14:paraId="296E3726" w14:textId="77777777" w:rsidR="004A1E13" w:rsidRPr="00CE0885" w:rsidRDefault="004A1E13" w:rsidP="004A1E13">
      <w:pPr>
        <w:spacing w:line="360" w:lineRule="auto"/>
        <w:ind w:left="2160"/>
        <w:rPr>
          <w:rFonts w:cs="Arial"/>
          <w:szCs w:val="24"/>
        </w:rPr>
      </w:pPr>
      <w:r w:rsidRPr="00CE0885">
        <w:rPr>
          <w:rFonts w:cs="Arial"/>
          <w:szCs w:val="24"/>
        </w:rPr>
        <w:t>(i) any barred list within the meaning of section 2 of the Safeguarding Vulnerable Groups Act 2006(c) (barred lists), or</w:t>
      </w:r>
    </w:p>
    <w:p w14:paraId="0446648E" w14:textId="77777777" w:rsidR="004A1E13" w:rsidRPr="00CE0885" w:rsidRDefault="004A1E13" w:rsidP="004A1E13">
      <w:pPr>
        <w:spacing w:line="360" w:lineRule="auto"/>
        <w:ind w:left="2160"/>
        <w:rPr>
          <w:rFonts w:cs="Arial"/>
          <w:szCs w:val="24"/>
        </w:rPr>
      </w:pPr>
      <w:r w:rsidRPr="00CE0885">
        <w:rPr>
          <w:rFonts w:cs="Arial"/>
          <w:szCs w:val="24"/>
        </w:rPr>
        <w:t>(ii) any barred list within the meaning of article 6 of the Safeguarding Vulnerable Groups (Northern Ireland) Order 2007(d) (barred lists), unless the contractor was removed from the list either on the grounds that it was not appropriate for the contractor to have been included in it or as the result of a successful appeal;</w:t>
      </w:r>
    </w:p>
    <w:p w14:paraId="1B8C5476" w14:textId="77777777" w:rsidR="004A1E13" w:rsidRPr="00CE0885" w:rsidRDefault="004A1E13" w:rsidP="004A1E13">
      <w:pPr>
        <w:spacing w:line="360" w:lineRule="auto"/>
        <w:ind w:left="1440"/>
        <w:rPr>
          <w:rFonts w:cs="Arial"/>
          <w:szCs w:val="24"/>
        </w:rPr>
      </w:pPr>
      <w:r w:rsidRPr="00CE0885">
        <w:rPr>
          <w:rFonts w:cs="Arial"/>
          <w:szCs w:val="24"/>
        </w:rPr>
        <w:t>(j) the contractor has, within the period of five years before the signing of the contract or commencement of the contract (whichever is the earlier), been removed from the office of charity trustee or trustee for a charity by an order made by the Charity Commission, the Charity Commission for Northern Ireland or the High Court, and that order was made on the grounds of misconduct or mismanagement in the administration of a charity for which the contractor was responsible or to which the contractor was privy, or which was contributed to, or facilitated by, the contractor’s conduct;</w:t>
      </w:r>
    </w:p>
    <w:p w14:paraId="7190E12C" w14:textId="24A70037" w:rsidR="004A1E13" w:rsidRPr="00CE0885" w:rsidRDefault="004A1E13" w:rsidP="004A1E13">
      <w:pPr>
        <w:spacing w:line="360" w:lineRule="auto"/>
        <w:ind w:left="1440"/>
        <w:rPr>
          <w:rFonts w:cs="Arial"/>
          <w:szCs w:val="24"/>
        </w:rPr>
      </w:pPr>
      <w:r w:rsidRPr="00CE0885">
        <w:rPr>
          <w:rFonts w:cs="Arial"/>
          <w:szCs w:val="24"/>
        </w:rPr>
        <w:t>(k) the contractor has, within the period of five years before the signing of the contract or commencement of the contract (whichever is the earlier), been removed from being concerned with the management or control of any body in a case where the removal was by virtue of section 34(5)(e) of the Charities and Trustee Investment (Scotland) Act 2005(e) (powers of Court of Session);</w:t>
      </w:r>
    </w:p>
    <w:p w14:paraId="5E1B3890" w14:textId="77777777" w:rsidR="004A1E13" w:rsidRPr="00CE0885" w:rsidRDefault="004A1E13" w:rsidP="00010554">
      <w:pPr>
        <w:spacing w:line="360" w:lineRule="auto"/>
        <w:ind w:left="1440"/>
        <w:rPr>
          <w:rFonts w:cs="Arial"/>
          <w:szCs w:val="24"/>
        </w:rPr>
      </w:pPr>
      <w:r w:rsidRPr="00CE0885">
        <w:rPr>
          <w:rFonts w:cs="Arial"/>
          <w:szCs w:val="24"/>
        </w:rPr>
        <w:t>(l) the contractor—</w:t>
      </w:r>
    </w:p>
    <w:p w14:paraId="5555D596" w14:textId="77777777" w:rsidR="004A1E13" w:rsidRPr="00CE0885" w:rsidRDefault="004A1E13" w:rsidP="004A1E13">
      <w:pPr>
        <w:spacing w:line="360" w:lineRule="auto"/>
        <w:ind w:left="2160"/>
        <w:rPr>
          <w:rFonts w:cs="Arial"/>
          <w:szCs w:val="24"/>
        </w:rPr>
      </w:pPr>
      <w:r w:rsidRPr="00CE0885">
        <w:rPr>
          <w:rFonts w:cs="Arial"/>
          <w:szCs w:val="24"/>
        </w:rPr>
        <w:t>(i) has been adjudged bankrupt and has not been discharged from the bankruptcy or the bankruptcy order has not been annulled, or</w:t>
      </w:r>
    </w:p>
    <w:p w14:paraId="58EFBD33" w14:textId="77777777" w:rsidR="004A1E13" w:rsidRPr="00CE0885" w:rsidRDefault="004A1E13" w:rsidP="004A1E13">
      <w:pPr>
        <w:spacing w:line="360" w:lineRule="auto"/>
        <w:ind w:left="2160"/>
        <w:rPr>
          <w:rFonts w:cs="Arial"/>
          <w:szCs w:val="24"/>
        </w:rPr>
      </w:pPr>
      <w:r w:rsidRPr="00CE0885">
        <w:rPr>
          <w:rFonts w:cs="Arial"/>
          <w:szCs w:val="24"/>
        </w:rPr>
        <w:t>(ii) has had sequestration of the contractor’s estate awarded and has not been discharged from the sequestration;</w:t>
      </w:r>
    </w:p>
    <w:p w14:paraId="003A21FA" w14:textId="77777777" w:rsidR="004A1E13" w:rsidRPr="00CE0885" w:rsidRDefault="004A1E13" w:rsidP="004A1E13">
      <w:pPr>
        <w:spacing w:line="360" w:lineRule="auto"/>
        <w:ind w:left="1440"/>
        <w:rPr>
          <w:rFonts w:cs="Arial"/>
          <w:szCs w:val="24"/>
        </w:rPr>
      </w:pPr>
      <w:r w:rsidRPr="00CE0885">
        <w:rPr>
          <w:rFonts w:cs="Arial"/>
          <w:szCs w:val="24"/>
        </w:rPr>
        <w:t>(m) the contractor is the subject of a bankruptcy restrictions order or an interim bankruptcy restrictions order under Schedule 4A to the Insolvency Act 1986(a) (bankruptcy restrictions order and undertaking), Schedule 2A to the Insolvency (Northern Ireland) Order 1989(b) (bankruptcy restrictions order and undertaking), or sections 56A to 56K of the Bankruptcy (Scotland) Act 1985(c) (bankruptcy restrictions order, interim bankruptcy restrictions order and bankruptcy restrictions undertaking), unless the contractor has been discharged from that order or that order has been annulled; (n) the contractor—</w:t>
      </w:r>
    </w:p>
    <w:p w14:paraId="51361C22" w14:textId="77777777" w:rsidR="004A1E13" w:rsidRPr="00CE0885" w:rsidRDefault="004A1E13" w:rsidP="004A1E13">
      <w:pPr>
        <w:spacing w:line="360" w:lineRule="auto"/>
        <w:ind w:left="2160"/>
        <w:rPr>
          <w:rFonts w:cs="Arial"/>
          <w:szCs w:val="24"/>
        </w:rPr>
      </w:pPr>
      <w:r w:rsidRPr="00CE0885">
        <w:rPr>
          <w:rFonts w:cs="Arial"/>
          <w:szCs w:val="24"/>
        </w:rPr>
        <w:t>(i) is subject to moratorium period under a debt relief order under Part VIIA of the Insolvency Act 1986(d) (debt relief orders), or</w:t>
      </w:r>
    </w:p>
    <w:p w14:paraId="23E2138E" w14:textId="77777777" w:rsidR="004A1E13" w:rsidRPr="00CE0885" w:rsidRDefault="004A1E13" w:rsidP="004A1E13">
      <w:pPr>
        <w:spacing w:line="360" w:lineRule="auto"/>
        <w:ind w:left="2160"/>
        <w:rPr>
          <w:rFonts w:cs="Arial"/>
          <w:szCs w:val="24"/>
        </w:rPr>
      </w:pPr>
      <w:r w:rsidRPr="00CE0885">
        <w:rPr>
          <w:rFonts w:cs="Arial"/>
          <w:szCs w:val="24"/>
        </w:rPr>
        <w:t>(ii) is the subject of a debt relief restrictions order or an interim debt relief restrictions order under Schedule 4ZB to that Act(e) (debt relief restrictions orders and undertakings);</w:t>
      </w:r>
    </w:p>
    <w:p w14:paraId="3314F039" w14:textId="77777777" w:rsidR="004A1E13" w:rsidRPr="00CE0885" w:rsidRDefault="004A1E13" w:rsidP="004A1E13">
      <w:pPr>
        <w:spacing w:line="360" w:lineRule="auto"/>
        <w:ind w:left="1440"/>
        <w:rPr>
          <w:rFonts w:cs="Arial"/>
          <w:szCs w:val="24"/>
        </w:rPr>
      </w:pPr>
      <w:r w:rsidRPr="00CE0885">
        <w:rPr>
          <w:rFonts w:cs="Arial"/>
          <w:szCs w:val="24"/>
        </w:rPr>
        <w:t>(o) the contractor has made a composition agreement or arrangement with, or granted a trust deed for, the contractor’s creditors and the contractor has not been discharged in respect of it;</w:t>
      </w:r>
    </w:p>
    <w:p w14:paraId="4550990B" w14:textId="77777777" w:rsidR="004A1E13" w:rsidRPr="00CE0885" w:rsidRDefault="004A1E13" w:rsidP="004A1E13">
      <w:pPr>
        <w:spacing w:line="360" w:lineRule="auto"/>
        <w:ind w:left="1440"/>
        <w:rPr>
          <w:rFonts w:cs="Arial"/>
          <w:szCs w:val="24"/>
        </w:rPr>
      </w:pPr>
      <w:r w:rsidRPr="00CE0885">
        <w:rPr>
          <w:rFonts w:cs="Arial"/>
          <w:szCs w:val="24"/>
        </w:rPr>
        <w:t>(p) the contractor is subject to—</w:t>
      </w:r>
    </w:p>
    <w:p w14:paraId="400C08C6" w14:textId="77777777" w:rsidR="004A1E13" w:rsidRPr="00CE0885" w:rsidRDefault="004A1E13" w:rsidP="004A1E13">
      <w:pPr>
        <w:spacing w:line="360" w:lineRule="auto"/>
        <w:ind w:left="2160"/>
        <w:rPr>
          <w:rFonts w:cs="Arial"/>
          <w:szCs w:val="24"/>
        </w:rPr>
      </w:pPr>
      <w:r w:rsidRPr="00CE0885">
        <w:rPr>
          <w:rFonts w:cs="Arial"/>
          <w:szCs w:val="24"/>
        </w:rPr>
        <w:t>(i) a disqualification order under section 1 of the Company Directors Disqualification Act 1986(f) (disqualification orders: general) or a disqualification undertaking under section 1A of that Act(g) (disqualification undertakings: general),</w:t>
      </w:r>
    </w:p>
    <w:p w14:paraId="28B95C3D" w14:textId="00011498" w:rsidR="004A1E13" w:rsidRPr="00CE0885" w:rsidRDefault="004A1E13" w:rsidP="004A1E13">
      <w:pPr>
        <w:spacing w:line="360" w:lineRule="auto"/>
        <w:ind w:left="2160"/>
        <w:rPr>
          <w:rFonts w:cs="Arial"/>
          <w:szCs w:val="24"/>
        </w:rPr>
      </w:pPr>
      <w:r w:rsidRPr="00CE0885">
        <w:rPr>
          <w:rFonts w:cs="Arial"/>
          <w:szCs w:val="24"/>
        </w:rPr>
        <w:t xml:space="preserve">(ii) a disqualification order or disqualification undertaking under article 3 (disqualification orders: </w:t>
      </w:r>
      <w:r w:rsidR="00D26A9F" w:rsidRPr="00CE0885">
        <w:rPr>
          <w:rFonts w:cs="Arial"/>
          <w:szCs w:val="24"/>
        </w:rPr>
        <w:t>general)</w:t>
      </w:r>
      <w:r w:rsidRPr="00CE0885">
        <w:rPr>
          <w:rFonts w:cs="Arial"/>
          <w:szCs w:val="24"/>
        </w:rPr>
        <w:t xml:space="preserve"> or article 4 (disqualification undertakings: general) of the Company Directors Disqualification (Northern Ireland) Order 2002(h), or</w:t>
      </w:r>
    </w:p>
    <w:p w14:paraId="6A144E80" w14:textId="77777777" w:rsidR="004A1E13" w:rsidRPr="00CE0885" w:rsidRDefault="004A1E13" w:rsidP="004A1E13">
      <w:pPr>
        <w:spacing w:line="360" w:lineRule="auto"/>
        <w:ind w:left="2160"/>
        <w:rPr>
          <w:rFonts w:cs="Arial"/>
          <w:szCs w:val="24"/>
        </w:rPr>
      </w:pPr>
      <w:r w:rsidRPr="00CE0885">
        <w:rPr>
          <w:rFonts w:cs="Arial"/>
          <w:szCs w:val="24"/>
        </w:rPr>
        <w:t>(iii) a disqualification order under section 429(2) of the Insolvency Act 1986(i) (disabilities on revocation of an administration order against an individual);</w:t>
      </w:r>
    </w:p>
    <w:p w14:paraId="28146323" w14:textId="77777777" w:rsidR="004A1E13" w:rsidRPr="00CE0885" w:rsidRDefault="004A1E13" w:rsidP="004A1E13">
      <w:pPr>
        <w:spacing w:line="360" w:lineRule="auto"/>
        <w:ind w:left="1440"/>
        <w:rPr>
          <w:rFonts w:cs="Arial"/>
          <w:szCs w:val="24"/>
        </w:rPr>
      </w:pPr>
      <w:r w:rsidRPr="00CE0885">
        <w:rPr>
          <w:rFonts w:cs="Arial"/>
          <w:szCs w:val="24"/>
        </w:rPr>
        <w:t>(q) the contractor has had an administrator, administrative receiver or receiver appointed in respect of the contractor;</w:t>
      </w:r>
    </w:p>
    <w:p w14:paraId="312BF900" w14:textId="77777777" w:rsidR="004A1E13" w:rsidRPr="00CE0885" w:rsidRDefault="004A1E13" w:rsidP="004A1E13">
      <w:pPr>
        <w:spacing w:line="360" w:lineRule="auto"/>
        <w:ind w:left="1440"/>
        <w:rPr>
          <w:rFonts w:cs="Arial"/>
          <w:szCs w:val="24"/>
        </w:rPr>
      </w:pPr>
      <w:r w:rsidRPr="00CE0885">
        <w:rPr>
          <w:rFonts w:cs="Arial"/>
          <w:szCs w:val="24"/>
        </w:rPr>
        <w:t>(r) the contractor has had an administration order made in respect of the contractor under Schedule B1 to the Insolvency Act 1986(j) (administration); or</w:t>
      </w:r>
    </w:p>
    <w:p w14:paraId="7EFC532E" w14:textId="77777777" w:rsidR="004A1E13" w:rsidRPr="00CE0885" w:rsidRDefault="004A1E13" w:rsidP="004A1E13">
      <w:pPr>
        <w:spacing w:line="360" w:lineRule="auto"/>
        <w:ind w:left="720" w:firstLine="720"/>
        <w:rPr>
          <w:rFonts w:cs="Arial"/>
          <w:szCs w:val="24"/>
        </w:rPr>
      </w:pPr>
      <w:r w:rsidRPr="00CE0885">
        <w:rPr>
          <w:rFonts w:cs="Arial"/>
          <w:szCs w:val="24"/>
        </w:rPr>
        <w:t>(s) the contractor is a partnership and—</w:t>
      </w:r>
    </w:p>
    <w:p w14:paraId="31101847" w14:textId="77777777" w:rsidR="004A1E13" w:rsidRPr="00CE0885" w:rsidRDefault="004A1E13" w:rsidP="004A1E13">
      <w:pPr>
        <w:spacing w:line="360" w:lineRule="auto"/>
        <w:ind w:left="2160"/>
        <w:rPr>
          <w:rFonts w:cs="Arial"/>
          <w:szCs w:val="24"/>
        </w:rPr>
      </w:pPr>
      <w:r w:rsidRPr="00CE0885">
        <w:rPr>
          <w:rFonts w:cs="Arial"/>
          <w:szCs w:val="24"/>
        </w:rPr>
        <w:t>(i) a dissolution of the partnership is ordered by any competent court, tribunal or arbitrator, or</w:t>
      </w:r>
    </w:p>
    <w:p w14:paraId="51802C57" w14:textId="77777777" w:rsidR="004A1E13" w:rsidRPr="00CE0885" w:rsidRDefault="004A1E13" w:rsidP="004A1E13">
      <w:pPr>
        <w:spacing w:line="360" w:lineRule="auto"/>
        <w:ind w:left="2160"/>
        <w:rPr>
          <w:rFonts w:cs="Arial"/>
          <w:szCs w:val="24"/>
        </w:rPr>
      </w:pPr>
      <w:r w:rsidRPr="00CE0885">
        <w:rPr>
          <w:rFonts w:cs="Arial"/>
          <w:szCs w:val="24"/>
        </w:rPr>
        <w:t>(ii) an event happens that makes it unlawful for the business of the partnership to continue, or for members of the partnership to carry on in partnership.</w:t>
      </w:r>
    </w:p>
    <w:p w14:paraId="3D31E98F" w14:textId="77777777" w:rsidR="004A1E13" w:rsidRPr="00CE0885" w:rsidRDefault="004A1E13" w:rsidP="004A1E13">
      <w:pPr>
        <w:spacing w:line="360" w:lineRule="auto"/>
        <w:ind w:left="720"/>
        <w:rPr>
          <w:rFonts w:cs="Arial"/>
          <w:szCs w:val="24"/>
        </w:rPr>
      </w:pPr>
      <w:r w:rsidRPr="00CE0885">
        <w:rPr>
          <w:rFonts w:cs="Arial"/>
          <w:szCs w:val="24"/>
        </w:rPr>
        <w:t>(3) Paragraph (2)(b) or, as the case may be, paragraph (2)(g), does not apply to a person where—</w:t>
      </w:r>
    </w:p>
    <w:p w14:paraId="3ED9F8A1" w14:textId="77777777" w:rsidR="004A1E13" w:rsidRPr="00CE0885" w:rsidRDefault="004A1E13" w:rsidP="004A1E13">
      <w:pPr>
        <w:spacing w:line="360" w:lineRule="auto"/>
        <w:ind w:left="720" w:firstLine="720"/>
        <w:rPr>
          <w:rFonts w:cs="Arial"/>
          <w:szCs w:val="24"/>
        </w:rPr>
      </w:pPr>
      <w:r w:rsidRPr="00CE0885">
        <w:rPr>
          <w:rFonts w:cs="Arial"/>
          <w:szCs w:val="24"/>
        </w:rPr>
        <w:t>(a) that person—</w:t>
      </w:r>
    </w:p>
    <w:p w14:paraId="4B23FE9F" w14:textId="77777777" w:rsidR="004A1E13" w:rsidRPr="00CE0885" w:rsidRDefault="004A1E13" w:rsidP="004A1E13">
      <w:pPr>
        <w:spacing w:line="360" w:lineRule="auto"/>
        <w:ind w:left="2160"/>
        <w:rPr>
          <w:rFonts w:cs="Arial"/>
          <w:szCs w:val="24"/>
        </w:rPr>
      </w:pPr>
      <w:r w:rsidRPr="00CE0885">
        <w:rPr>
          <w:rFonts w:cs="Arial"/>
          <w:szCs w:val="24"/>
        </w:rPr>
        <w:t>(i) has been disqualified or suspended from practising by a licensing body outside of the United Kingdom, or</w:t>
      </w:r>
    </w:p>
    <w:p w14:paraId="3EEBF433" w14:textId="77777777" w:rsidR="004A1E13" w:rsidRPr="00CE0885" w:rsidRDefault="004A1E13" w:rsidP="004A1E13">
      <w:pPr>
        <w:spacing w:line="360" w:lineRule="auto"/>
        <w:ind w:left="2160"/>
        <w:rPr>
          <w:rFonts w:cs="Arial"/>
          <w:szCs w:val="24"/>
        </w:rPr>
      </w:pPr>
      <w:r w:rsidRPr="00CE0885">
        <w:rPr>
          <w:rFonts w:cs="Arial"/>
          <w:szCs w:val="24"/>
        </w:rPr>
        <w:t>(ii) has been convicted outside of the United Kingdom of a criminal offence; and</w:t>
      </w:r>
    </w:p>
    <w:p w14:paraId="7D042B94" w14:textId="77777777" w:rsidR="004A1E13" w:rsidRPr="00CE0885" w:rsidRDefault="004A1E13" w:rsidP="004A1E13">
      <w:pPr>
        <w:spacing w:line="360" w:lineRule="auto"/>
        <w:ind w:left="1440"/>
        <w:rPr>
          <w:rFonts w:cs="Arial"/>
          <w:szCs w:val="24"/>
        </w:rPr>
      </w:pPr>
      <w:r w:rsidRPr="00CE0885">
        <w:rPr>
          <w:rFonts w:cs="Arial"/>
          <w:szCs w:val="24"/>
        </w:rPr>
        <w:t>(b) the Board is satisfied that the disqualification, suspension or, as the case may be, the conviction does not make that person unsuitable to be—</w:t>
      </w:r>
    </w:p>
    <w:p w14:paraId="2408D1EA" w14:textId="77777777" w:rsidR="004A1E13" w:rsidRPr="00CE0885" w:rsidRDefault="004A1E13" w:rsidP="004A1E13">
      <w:pPr>
        <w:spacing w:line="360" w:lineRule="auto"/>
        <w:ind w:left="2160"/>
        <w:rPr>
          <w:rFonts w:cs="Arial"/>
          <w:szCs w:val="24"/>
        </w:rPr>
      </w:pPr>
      <w:r w:rsidRPr="00CE0885">
        <w:rPr>
          <w:rFonts w:cs="Arial"/>
          <w:szCs w:val="24"/>
        </w:rPr>
        <w:t>(i) a contractor,</w:t>
      </w:r>
    </w:p>
    <w:p w14:paraId="0169CF4F" w14:textId="77777777" w:rsidR="004A1E13" w:rsidRPr="00CE0885" w:rsidRDefault="004A1E13" w:rsidP="004A1E13">
      <w:pPr>
        <w:spacing w:line="360" w:lineRule="auto"/>
        <w:ind w:left="2160"/>
        <w:rPr>
          <w:rFonts w:cs="Arial"/>
          <w:szCs w:val="24"/>
        </w:rPr>
      </w:pPr>
      <w:r w:rsidRPr="00CE0885">
        <w:rPr>
          <w:rFonts w:cs="Arial"/>
          <w:szCs w:val="24"/>
        </w:rPr>
        <w:t>(ii) a partner, in the case of a contract with two or more persons practising in partnership, or</w:t>
      </w:r>
    </w:p>
    <w:p w14:paraId="5342C03F" w14:textId="77777777" w:rsidR="004A1E13" w:rsidRPr="00CE0885" w:rsidRDefault="004A1E13" w:rsidP="004A1E13">
      <w:pPr>
        <w:spacing w:line="360" w:lineRule="auto"/>
        <w:ind w:left="2160"/>
        <w:rPr>
          <w:rFonts w:cs="Arial"/>
          <w:szCs w:val="24"/>
        </w:rPr>
      </w:pPr>
      <w:r w:rsidRPr="00CE0885">
        <w:rPr>
          <w:rFonts w:cs="Arial"/>
          <w:szCs w:val="24"/>
        </w:rPr>
        <w:t>(iii) in the case of a company limited by shares—</w:t>
      </w:r>
    </w:p>
    <w:p w14:paraId="42D613B8" w14:textId="77777777" w:rsidR="004A1E13" w:rsidRPr="00CE0885" w:rsidRDefault="004A1E13" w:rsidP="004A1E13">
      <w:pPr>
        <w:spacing w:line="360" w:lineRule="auto"/>
        <w:ind w:left="2880"/>
        <w:rPr>
          <w:rFonts w:cs="Arial"/>
          <w:szCs w:val="24"/>
        </w:rPr>
      </w:pPr>
      <w:r w:rsidRPr="00CE0885">
        <w:rPr>
          <w:rFonts w:cs="Arial"/>
          <w:szCs w:val="24"/>
        </w:rPr>
        <w:t>(aa) a person who both legally and beneficially owns a share in the company, or</w:t>
      </w:r>
    </w:p>
    <w:p w14:paraId="29BF4F30" w14:textId="77777777" w:rsidR="004A1E13" w:rsidRPr="00CE0885" w:rsidRDefault="004A1E13" w:rsidP="004A1E13">
      <w:pPr>
        <w:spacing w:line="360" w:lineRule="auto"/>
        <w:ind w:left="2880"/>
        <w:rPr>
          <w:rFonts w:cs="Arial"/>
          <w:szCs w:val="24"/>
        </w:rPr>
      </w:pPr>
      <w:r w:rsidRPr="00CE0885">
        <w:rPr>
          <w:rFonts w:cs="Arial"/>
          <w:szCs w:val="24"/>
        </w:rPr>
        <w:t>(bb) a director or secretary of the company.</w:t>
      </w:r>
    </w:p>
    <w:p w14:paraId="2B4DBA02" w14:textId="77777777" w:rsidR="004A1E13" w:rsidRPr="00CE0885" w:rsidRDefault="004A1E13" w:rsidP="004A1E13">
      <w:pPr>
        <w:spacing w:line="360" w:lineRule="auto"/>
        <w:ind w:firstLine="720"/>
        <w:rPr>
          <w:rFonts w:cs="Arial"/>
          <w:szCs w:val="24"/>
        </w:rPr>
      </w:pPr>
      <w:r w:rsidRPr="00CE0885">
        <w:rPr>
          <w:rFonts w:cs="Arial"/>
          <w:szCs w:val="24"/>
        </w:rPr>
        <w:t>(4) For the purposes of paragraph (2)(c)—</w:t>
      </w:r>
    </w:p>
    <w:p w14:paraId="5FE5A2D6" w14:textId="77777777" w:rsidR="004A1E13" w:rsidRPr="00CE0885" w:rsidRDefault="004A1E13" w:rsidP="004A1E13">
      <w:pPr>
        <w:spacing w:line="360" w:lineRule="auto"/>
        <w:ind w:left="1440"/>
        <w:rPr>
          <w:rFonts w:cs="Arial"/>
          <w:szCs w:val="24"/>
        </w:rPr>
      </w:pPr>
      <w:r w:rsidRPr="00CE0885">
        <w:rPr>
          <w:rFonts w:cs="Arial"/>
          <w:szCs w:val="24"/>
        </w:rPr>
        <w:t>(a) where a person has been employed as a member of a health care profession, any subsequent employment must also be as a member of that profession; and</w:t>
      </w:r>
    </w:p>
    <w:p w14:paraId="07A4C9DB" w14:textId="77777777" w:rsidR="004A1E13" w:rsidRPr="00CE0885" w:rsidRDefault="004A1E13" w:rsidP="004A1E13">
      <w:pPr>
        <w:spacing w:line="360" w:lineRule="auto"/>
        <w:ind w:left="1440"/>
        <w:rPr>
          <w:rFonts w:cs="Arial"/>
          <w:szCs w:val="24"/>
        </w:rPr>
      </w:pPr>
      <w:r w:rsidRPr="00CE0885">
        <w:rPr>
          <w:rFonts w:cs="Arial"/>
          <w:szCs w:val="24"/>
        </w:rPr>
        <w:t>(b) a health service body includes a Strategic Health Authority or a Primary Care Trust which was established before the coming into force of section 33 (abolition of Strategic Health Authorities) or 34 (abolition of Primary Care Trusts) of the Health and Social Care Act 2012(a).</w:t>
      </w:r>
    </w:p>
    <w:p w14:paraId="57E08F6E" w14:textId="77777777" w:rsidR="004A1E13" w:rsidRPr="00CE0885" w:rsidRDefault="004A1E13" w:rsidP="004A1E13">
      <w:pPr>
        <w:spacing w:line="360" w:lineRule="auto"/>
        <w:ind w:left="720"/>
        <w:rPr>
          <w:rFonts w:cs="Arial"/>
          <w:szCs w:val="24"/>
        </w:rPr>
      </w:pPr>
      <w:r w:rsidRPr="00CE0885">
        <w:rPr>
          <w:rFonts w:cs="Arial"/>
          <w:szCs w:val="24"/>
        </w:rPr>
        <w:t>(5) In this regulation, “contractor” includes a person with whom the Board is proposing to enter into a contract with.</w:t>
      </w:r>
    </w:p>
    <w:p w14:paraId="5CEB43A1" w14:textId="77777777" w:rsidR="004A1E13" w:rsidRPr="00CE0885" w:rsidRDefault="004A1E13" w:rsidP="004A1E13">
      <w:pPr>
        <w:spacing w:line="360" w:lineRule="auto"/>
        <w:ind w:left="1429" w:hanging="709"/>
        <w:rPr>
          <w:rFonts w:cs="Arial"/>
          <w:b/>
          <w:szCs w:val="24"/>
        </w:rPr>
      </w:pPr>
      <w:r w:rsidRPr="00CE0885">
        <w:rPr>
          <w:rFonts w:cs="Arial"/>
          <w:szCs w:val="24"/>
        </w:rPr>
        <w:br w:type="page"/>
      </w:r>
    </w:p>
    <w:p w14:paraId="18488461" w14:textId="449AAE9D" w:rsidR="004A1E13" w:rsidRPr="00CE0885" w:rsidRDefault="004A1E13" w:rsidP="002A140D">
      <w:pPr>
        <w:pStyle w:val="Heading2"/>
      </w:pPr>
      <w:bookmarkStart w:id="198" w:name="_Toc95743389"/>
      <w:r w:rsidRPr="00CE0885">
        <w:t>Annex 2</w:t>
      </w:r>
      <w:r w:rsidR="002A140D">
        <w:t xml:space="preserve"> </w:t>
      </w:r>
      <w:r w:rsidRPr="00CE0885">
        <w:t>Persons eligible to enter into a PMS Agreement</w:t>
      </w:r>
      <w:bookmarkEnd w:id="198"/>
    </w:p>
    <w:p w14:paraId="310B319D" w14:textId="77777777" w:rsidR="004A1E13" w:rsidRPr="00CE0885" w:rsidRDefault="004A1E13" w:rsidP="000433F3">
      <w:pPr>
        <w:pStyle w:val="Heading3"/>
      </w:pPr>
      <w:bookmarkStart w:id="199" w:name="_Toc440981687"/>
      <w:r w:rsidRPr="00CE0885">
        <w:t>Statutory Provisions</w:t>
      </w:r>
      <w:bookmarkEnd w:id="199"/>
    </w:p>
    <w:p w14:paraId="157B2C9A" w14:textId="77777777" w:rsidR="004A1E13" w:rsidRPr="00CE0885" w:rsidRDefault="004A1E13" w:rsidP="000433F3">
      <w:pPr>
        <w:pStyle w:val="Heading4"/>
      </w:pPr>
      <w:bookmarkStart w:id="200" w:name="_Toc440981688"/>
      <w:r w:rsidRPr="00CE0885">
        <w:t>Section 93 of the NHS Act (extracted in paragraph 2 below) sets out the types of persons (including organisation types) that may enter into a PMS agreement (referred to in the Act as section 92 agreements).</w:t>
      </w:r>
      <w:bookmarkEnd w:id="200"/>
    </w:p>
    <w:p w14:paraId="316ADE3F" w14:textId="77777777" w:rsidR="004A1E13" w:rsidRPr="00CE0885" w:rsidRDefault="004A1E13" w:rsidP="000433F3">
      <w:pPr>
        <w:pStyle w:val="Heading4"/>
      </w:pPr>
      <w:bookmarkStart w:id="201" w:name="_Toc440981689"/>
      <w:r w:rsidRPr="00CE0885">
        <w:t>Regulations 3 and 5 of the PMS Regulations (extracted in paragraph 3 below) sets out the eligibility criteria that must be satisfied before any of the types of persons set out in section 93 of the NHS Act can enter into a PMS agreement.</w:t>
      </w:r>
      <w:bookmarkEnd w:id="201"/>
    </w:p>
    <w:p w14:paraId="6BDCE99B" w14:textId="77777777" w:rsidR="004A1E13" w:rsidRPr="00CE0885" w:rsidRDefault="004A1E13" w:rsidP="000433F3">
      <w:pPr>
        <w:pStyle w:val="Heading4"/>
      </w:pPr>
      <w:bookmarkStart w:id="202" w:name="_Toc440981690"/>
      <w:r w:rsidRPr="00CE0885">
        <w:t>The extracted legislation below is correct as of 1 July 2017.</w:t>
      </w:r>
      <w:bookmarkEnd w:id="202"/>
    </w:p>
    <w:p w14:paraId="14FACD88" w14:textId="07CDC1C1" w:rsidR="004A1E13" w:rsidRPr="00CE0885" w:rsidRDefault="004A1E13" w:rsidP="000433F3">
      <w:pPr>
        <w:pStyle w:val="Heading4"/>
      </w:pPr>
      <w:r w:rsidRPr="00CE0885">
        <w:t>By virtue of the delegation agreement, all references in legislation should be assumed to appl</w:t>
      </w:r>
      <w:r w:rsidR="00BB176E">
        <w:t>is</w:t>
      </w:r>
      <w:r w:rsidRPr="00CE0885">
        <w:t xml:space="preserve"> also to ‘The Commissioner’, </w:t>
      </w:r>
    </w:p>
    <w:p w14:paraId="74AB955F" w14:textId="77777777" w:rsidR="004A1E13" w:rsidRPr="00CE0885" w:rsidRDefault="004A1E13" w:rsidP="000433F3">
      <w:pPr>
        <w:pStyle w:val="Heading3"/>
      </w:pPr>
      <w:bookmarkStart w:id="203" w:name="_Toc440981691"/>
      <w:r w:rsidRPr="00CE0885">
        <w:t>Section 93 of the NHS Act 2006</w:t>
      </w:r>
      <w:bookmarkEnd w:id="203"/>
    </w:p>
    <w:p w14:paraId="758E5BD6" w14:textId="77777777" w:rsidR="004A1E13" w:rsidRPr="009055A7" w:rsidRDefault="004A1E13" w:rsidP="004A1E13">
      <w:pPr>
        <w:spacing w:line="360" w:lineRule="auto"/>
        <w:ind w:firstLine="720"/>
        <w:rPr>
          <w:rFonts w:cs="Arial"/>
          <w:szCs w:val="24"/>
        </w:rPr>
      </w:pPr>
      <w:r w:rsidRPr="009055A7">
        <w:rPr>
          <w:rFonts w:cs="Arial"/>
          <w:szCs w:val="24"/>
        </w:rPr>
        <w:t>93 Persons with whom agreements may be made under section 92</w:t>
      </w:r>
    </w:p>
    <w:p w14:paraId="71662A88" w14:textId="77777777" w:rsidR="004A1E13" w:rsidRPr="00CE0885" w:rsidRDefault="004A1E13" w:rsidP="00825050">
      <w:pPr>
        <w:pStyle w:val="ListParagraph"/>
        <w:numPr>
          <w:ilvl w:val="0"/>
          <w:numId w:val="44"/>
        </w:numPr>
        <w:spacing w:line="360" w:lineRule="auto"/>
        <w:ind w:left="1418" w:hanging="698"/>
        <w:jc w:val="both"/>
        <w:rPr>
          <w:rFonts w:cs="Arial"/>
          <w:szCs w:val="24"/>
        </w:rPr>
      </w:pPr>
      <w:r w:rsidRPr="009055A7">
        <w:rPr>
          <w:rFonts w:cs="Arial"/>
          <w:szCs w:val="24"/>
        </w:rPr>
        <w:tab/>
        <w:t>The Board may</w:t>
      </w:r>
      <w:r w:rsidRPr="00CE0885">
        <w:rPr>
          <w:rFonts w:cs="Arial"/>
          <w:szCs w:val="24"/>
        </w:rPr>
        <w:t xml:space="preserve"> make an agreement under section 92 only with one or more of the following–</w:t>
      </w:r>
    </w:p>
    <w:p w14:paraId="777AA51B" w14:textId="77777777" w:rsidR="004A1E13" w:rsidRPr="00CE0885" w:rsidRDefault="004A1E13" w:rsidP="004A1E13">
      <w:pPr>
        <w:spacing w:line="360" w:lineRule="auto"/>
        <w:ind w:left="720" w:firstLine="720"/>
        <w:rPr>
          <w:rFonts w:cs="Arial"/>
          <w:szCs w:val="24"/>
        </w:rPr>
      </w:pPr>
      <w:r w:rsidRPr="00CE0885">
        <w:rPr>
          <w:rFonts w:cs="Arial"/>
          <w:szCs w:val="24"/>
        </w:rPr>
        <w:t>(a)</w:t>
      </w:r>
      <w:r w:rsidRPr="00CE0885">
        <w:rPr>
          <w:rFonts w:cs="Arial"/>
          <w:szCs w:val="24"/>
        </w:rPr>
        <w:tab/>
        <w:t>an NHS trust or an NHS foundation trust,</w:t>
      </w:r>
    </w:p>
    <w:p w14:paraId="371CE6D5" w14:textId="77777777" w:rsidR="004A1E13" w:rsidRPr="00CE0885" w:rsidRDefault="004A1E13" w:rsidP="004A1E13">
      <w:pPr>
        <w:spacing w:line="360" w:lineRule="auto"/>
        <w:ind w:left="720" w:firstLine="720"/>
        <w:rPr>
          <w:rFonts w:cs="Arial"/>
          <w:szCs w:val="24"/>
        </w:rPr>
      </w:pPr>
      <w:r w:rsidRPr="00CE0885">
        <w:rPr>
          <w:rFonts w:cs="Arial"/>
          <w:szCs w:val="24"/>
        </w:rPr>
        <w:t>(b)</w:t>
      </w:r>
      <w:r w:rsidRPr="00CE0885">
        <w:rPr>
          <w:rFonts w:cs="Arial"/>
          <w:szCs w:val="24"/>
        </w:rPr>
        <w:tab/>
        <w:t>a medical practitioner who meets the prescribed conditions,</w:t>
      </w:r>
    </w:p>
    <w:p w14:paraId="6AD0541D" w14:textId="77777777" w:rsidR="004A1E13" w:rsidRPr="00CE0885" w:rsidRDefault="004A1E13" w:rsidP="004A1E13">
      <w:pPr>
        <w:spacing w:line="360" w:lineRule="auto"/>
        <w:ind w:left="720" w:firstLine="720"/>
        <w:rPr>
          <w:rFonts w:cs="Arial"/>
          <w:szCs w:val="24"/>
        </w:rPr>
      </w:pPr>
      <w:r w:rsidRPr="00CE0885">
        <w:rPr>
          <w:rFonts w:cs="Arial"/>
          <w:szCs w:val="24"/>
        </w:rPr>
        <w:t>(c)</w:t>
      </w:r>
      <w:r w:rsidRPr="00CE0885">
        <w:rPr>
          <w:rFonts w:cs="Arial"/>
          <w:szCs w:val="24"/>
        </w:rPr>
        <w:tab/>
        <w:t>a health care professional who meets the prescribed conditions,</w:t>
      </w:r>
    </w:p>
    <w:p w14:paraId="5537DB76" w14:textId="77777777" w:rsidR="004A1E13" w:rsidRPr="00CE0885" w:rsidRDefault="004A1E13" w:rsidP="004A1E13">
      <w:pPr>
        <w:spacing w:line="360" w:lineRule="auto"/>
        <w:ind w:left="720" w:firstLine="720"/>
        <w:rPr>
          <w:rFonts w:cs="Arial"/>
          <w:szCs w:val="24"/>
        </w:rPr>
      </w:pPr>
      <w:r w:rsidRPr="00CE0885">
        <w:rPr>
          <w:rFonts w:cs="Arial"/>
          <w:szCs w:val="24"/>
        </w:rPr>
        <w:t>(d)</w:t>
      </w:r>
      <w:r w:rsidRPr="00CE0885">
        <w:rPr>
          <w:rFonts w:cs="Arial"/>
          <w:szCs w:val="24"/>
        </w:rPr>
        <w:tab/>
        <w:t>an individual who is providing services–</w:t>
      </w:r>
    </w:p>
    <w:p w14:paraId="5AEB32AE" w14:textId="77777777" w:rsidR="004A1E13" w:rsidRPr="00CE0885" w:rsidRDefault="004A1E13" w:rsidP="004A1E13">
      <w:pPr>
        <w:spacing w:line="360" w:lineRule="auto"/>
        <w:ind w:left="2880" w:hanging="720"/>
        <w:rPr>
          <w:rFonts w:cs="Arial"/>
          <w:szCs w:val="24"/>
        </w:rPr>
      </w:pPr>
      <w:r w:rsidRPr="00CE0885">
        <w:rPr>
          <w:rFonts w:cs="Arial"/>
          <w:szCs w:val="24"/>
        </w:rPr>
        <w:t>(i)</w:t>
      </w:r>
      <w:r w:rsidRPr="00CE0885">
        <w:rPr>
          <w:rFonts w:cs="Arial"/>
          <w:szCs w:val="24"/>
        </w:rPr>
        <w:tab/>
        <w:t>under a general medical services contract or a general dental services contract or a Welsh general medical services contract or a Welsh general dental services contract,</w:t>
      </w:r>
    </w:p>
    <w:p w14:paraId="0C041DDF" w14:textId="77777777" w:rsidR="004A1E13" w:rsidRPr="00CE0885" w:rsidRDefault="004A1E13" w:rsidP="004A1E13">
      <w:pPr>
        <w:spacing w:line="360" w:lineRule="auto"/>
        <w:ind w:left="2880" w:hanging="720"/>
        <w:rPr>
          <w:rFonts w:cs="Arial"/>
          <w:szCs w:val="24"/>
        </w:rPr>
      </w:pPr>
      <w:r w:rsidRPr="00CE0885">
        <w:rPr>
          <w:rFonts w:cs="Arial"/>
          <w:szCs w:val="24"/>
        </w:rPr>
        <w:t>(ii)</w:t>
      </w:r>
      <w:r w:rsidRPr="00CE0885">
        <w:rPr>
          <w:rFonts w:cs="Arial"/>
          <w:szCs w:val="24"/>
        </w:rPr>
        <w:tab/>
        <w:t>in accordance with section 92 arrangements, section 107 arrangements, section 50 arrangements, section 64 arrangements, section 17C arrangements or Article 15B arrangements, or</w:t>
      </w:r>
    </w:p>
    <w:p w14:paraId="14FAB3A1" w14:textId="77777777" w:rsidR="004A1E13" w:rsidRPr="00CE0885" w:rsidRDefault="004A1E13" w:rsidP="004A1E13">
      <w:pPr>
        <w:spacing w:line="360" w:lineRule="auto"/>
        <w:ind w:left="2880" w:hanging="720"/>
        <w:rPr>
          <w:rFonts w:cs="Arial"/>
          <w:szCs w:val="24"/>
        </w:rPr>
      </w:pPr>
      <w:r w:rsidRPr="00CE0885">
        <w:rPr>
          <w:rFonts w:cs="Arial"/>
          <w:szCs w:val="24"/>
        </w:rPr>
        <w:t>(iii)</w:t>
      </w:r>
      <w:r w:rsidRPr="00CE0885">
        <w:rPr>
          <w:rFonts w:cs="Arial"/>
          <w:szCs w:val="24"/>
        </w:rPr>
        <w:tab/>
        <w:t>under section 17J or 25 of the 1978 Act or Article 57 or 61 of the Health and Personal Social Services (Northern Ireland) Order 1972 (S.I. 1972/1265 (N.I.14)),</w:t>
      </w:r>
    </w:p>
    <w:p w14:paraId="70C9E321" w14:textId="77777777" w:rsidR="004A1E13" w:rsidRPr="00CE0885" w:rsidRDefault="004A1E13" w:rsidP="004A1E13">
      <w:pPr>
        <w:spacing w:line="360" w:lineRule="auto"/>
        <w:ind w:left="2127" w:firstLine="33"/>
        <w:rPr>
          <w:rFonts w:cs="Arial"/>
          <w:szCs w:val="24"/>
        </w:rPr>
      </w:pPr>
      <w:r w:rsidRPr="00CE0885">
        <w:rPr>
          <w:rFonts w:cs="Arial"/>
          <w:szCs w:val="24"/>
        </w:rPr>
        <w:t>or has so provided them within such period as may be prescribed,</w:t>
      </w:r>
    </w:p>
    <w:p w14:paraId="0C1B594F" w14:textId="77777777" w:rsidR="004A1E13" w:rsidRPr="00CE0885" w:rsidRDefault="004A1E13" w:rsidP="004A1E13">
      <w:pPr>
        <w:spacing w:line="360" w:lineRule="auto"/>
        <w:ind w:left="2160" w:hanging="720"/>
        <w:rPr>
          <w:rFonts w:cs="Arial"/>
          <w:szCs w:val="24"/>
        </w:rPr>
      </w:pPr>
      <w:r w:rsidRPr="00CE0885">
        <w:rPr>
          <w:rFonts w:cs="Arial"/>
          <w:szCs w:val="24"/>
        </w:rPr>
        <w:t>(e)</w:t>
      </w:r>
      <w:r w:rsidRPr="00CE0885">
        <w:rPr>
          <w:rFonts w:cs="Arial"/>
          <w:szCs w:val="24"/>
        </w:rPr>
        <w:tab/>
        <w:t>an NHS employee, a section 92 employee, a section 107 employee, a section 50 employee, a section 64 employee, a section 17C employee or an Article 15B employee,</w:t>
      </w:r>
    </w:p>
    <w:p w14:paraId="103DE9F8" w14:textId="77777777" w:rsidR="004A1E13" w:rsidRPr="00CE0885" w:rsidRDefault="004A1E13" w:rsidP="004A1E13">
      <w:pPr>
        <w:spacing w:line="360" w:lineRule="auto"/>
        <w:ind w:left="720" w:firstLine="720"/>
        <w:rPr>
          <w:rFonts w:cs="Arial"/>
          <w:szCs w:val="24"/>
        </w:rPr>
      </w:pPr>
      <w:r w:rsidRPr="00CE0885">
        <w:rPr>
          <w:rFonts w:cs="Arial"/>
          <w:szCs w:val="24"/>
        </w:rPr>
        <w:t>(f)</w:t>
      </w:r>
      <w:r w:rsidRPr="00CE0885">
        <w:rPr>
          <w:rFonts w:cs="Arial"/>
          <w:szCs w:val="24"/>
        </w:rPr>
        <w:tab/>
        <w:t>a qualifying body.</w:t>
      </w:r>
    </w:p>
    <w:p w14:paraId="32458066" w14:textId="77777777" w:rsidR="004A1E13" w:rsidRPr="00CE0885" w:rsidRDefault="004A1E13" w:rsidP="004A1E13">
      <w:pPr>
        <w:spacing w:line="360" w:lineRule="auto"/>
        <w:ind w:left="1440" w:hanging="720"/>
        <w:rPr>
          <w:rFonts w:cs="Arial"/>
          <w:szCs w:val="24"/>
        </w:rPr>
      </w:pPr>
      <w:r w:rsidRPr="00CE0885">
        <w:rPr>
          <w:rFonts w:cs="Arial"/>
          <w:szCs w:val="24"/>
        </w:rPr>
        <w:t>(2)</w:t>
      </w:r>
      <w:r w:rsidRPr="00CE0885">
        <w:rPr>
          <w:rFonts w:cs="Arial"/>
          <w:szCs w:val="24"/>
        </w:rPr>
        <w:tab/>
        <w:t>The power under subsection (1) to make an agreement with a person falling within paragraph (d) or (e) of that subsection is subject to such conditions as may be prescribed.</w:t>
      </w:r>
    </w:p>
    <w:p w14:paraId="2F5B9076" w14:textId="77777777" w:rsidR="004A1E13" w:rsidRPr="00CE0885" w:rsidRDefault="004A1E13" w:rsidP="004A1E13">
      <w:pPr>
        <w:spacing w:line="360" w:lineRule="auto"/>
        <w:ind w:firstLine="720"/>
        <w:rPr>
          <w:rFonts w:cs="Arial"/>
          <w:szCs w:val="24"/>
        </w:rPr>
      </w:pPr>
      <w:r w:rsidRPr="00CE0885">
        <w:rPr>
          <w:rFonts w:cs="Arial"/>
          <w:szCs w:val="24"/>
        </w:rPr>
        <w:t>(3)</w:t>
      </w:r>
      <w:r w:rsidRPr="00CE0885">
        <w:rPr>
          <w:rFonts w:cs="Arial"/>
          <w:szCs w:val="24"/>
        </w:rPr>
        <w:tab/>
        <w:t>In this section–</w:t>
      </w:r>
    </w:p>
    <w:p w14:paraId="66C1DCAD" w14:textId="77777777" w:rsidR="004A1E13" w:rsidRPr="00CE0885" w:rsidRDefault="004A1E13" w:rsidP="004A1E13">
      <w:pPr>
        <w:spacing w:line="360" w:lineRule="auto"/>
        <w:ind w:left="1418" w:firstLine="22"/>
        <w:rPr>
          <w:rFonts w:cs="Arial"/>
          <w:szCs w:val="24"/>
        </w:rPr>
      </w:pPr>
      <w:r w:rsidRPr="00CE0885">
        <w:rPr>
          <w:rFonts w:cs="Arial"/>
          <w:szCs w:val="24"/>
        </w:rPr>
        <w:t>“the 1978 Act” means the National Health Service (Scotland) Act 1978 (c. 29),</w:t>
      </w:r>
    </w:p>
    <w:p w14:paraId="363BC293" w14:textId="77777777" w:rsidR="004A1E13" w:rsidRPr="00CE0885" w:rsidRDefault="004A1E13" w:rsidP="004A1E13">
      <w:pPr>
        <w:spacing w:line="360" w:lineRule="auto"/>
        <w:ind w:left="1440"/>
        <w:rPr>
          <w:rFonts w:cs="Arial"/>
          <w:szCs w:val="24"/>
        </w:rPr>
      </w:pPr>
      <w:r w:rsidRPr="00CE0885">
        <w:rPr>
          <w:rFonts w:cs="Arial"/>
          <w:szCs w:val="24"/>
        </w:rPr>
        <w:t>“Article 15B arrangements” means arrangements for the provision of services made under Article 15B of the Health and Personal Social Services (Northern Ireland) Order 1972 (S.I. 1972/1265 (N.I.14)),</w:t>
      </w:r>
    </w:p>
    <w:p w14:paraId="2DA44032" w14:textId="77777777" w:rsidR="004A1E13" w:rsidRPr="00CE0885" w:rsidRDefault="004A1E13" w:rsidP="004A1E13">
      <w:pPr>
        <w:spacing w:line="360" w:lineRule="auto"/>
        <w:ind w:left="1440"/>
        <w:rPr>
          <w:rFonts w:cs="Arial"/>
          <w:szCs w:val="24"/>
        </w:rPr>
      </w:pPr>
      <w:r w:rsidRPr="00CE0885">
        <w:rPr>
          <w:rFonts w:cs="Arial"/>
          <w:szCs w:val="24"/>
        </w:rPr>
        <w:t>“Article 15B employee” means an individual who, in connection with the provision of services in accordance with Article 15B arrangements, is employed by a person providing or performing those services,</w:t>
      </w:r>
    </w:p>
    <w:p w14:paraId="113F79E3" w14:textId="77777777" w:rsidR="004A1E13" w:rsidRPr="00CE0885" w:rsidRDefault="004A1E13" w:rsidP="004A1E13">
      <w:pPr>
        <w:spacing w:line="360" w:lineRule="auto"/>
        <w:ind w:left="1440"/>
        <w:rPr>
          <w:rFonts w:cs="Arial"/>
          <w:szCs w:val="24"/>
        </w:rPr>
      </w:pPr>
      <w:r w:rsidRPr="00CE0885">
        <w:rPr>
          <w:rFonts w:cs="Arial"/>
          <w:szCs w:val="24"/>
        </w:rPr>
        <w:t>“health care professional” means a person who is a member of a profession regulated by a body mentioned (at the time the agreement in question is made) in section 25(3) of the National Health Service Reform and Health Care Professions Act 2002 (c. 17),</w:t>
      </w:r>
    </w:p>
    <w:p w14:paraId="4B33A406" w14:textId="77777777" w:rsidR="004A1E13" w:rsidRPr="00CE0885" w:rsidRDefault="004A1E13" w:rsidP="004A1E13">
      <w:pPr>
        <w:spacing w:line="360" w:lineRule="auto"/>
        <w:ind w:left="1440"/>
        <w:rPr>
          <w:rFonts w:cs="Arial"/>
          <w:szCs w:val="24"/>
        </w:rPr>
      </w:pPr>
      <w:r w:rsidRPr="00CE0885">
        <w:rPr>
          <w:rFonts w:cs="Arial"/>
          <w:szCs w:val="24"/>
        </w:rPr>
        <w:t>“NHS employee” means an individual who, in connection with the provision of services in the health service, the Scottish health service or the Northern Ireland health service, is employed by–</w:t>
      </w:r>
    </w:p>
    <w:p w14:paraId="17285A9D" w14:textId="77777777" w:rsidR="004A1E13" w:rsidRPr="00CE0885" w:rsidRDefault="004A1E13" w:rsidP="004A1E13">
      <w:pPr>
        <w:spacing w:line="360" w:lineRule="auto"/>
        <w:ind w:left="2127" w:hanging="687"/>
        <w:rPr>
          <w:rFonts w:cs="Arial"/>
          <w:szCs w:val="24"/>
        </w:rPr>
      </w:pPr>
      <w:r w:rsidRPr="00CE0885">
        <w:rPr>
          <w:rFonts w:cs="Arial"/>
          <w:szCs w:val="24"/>
        </w:rPr>
        <w:t>(a)</w:t>
      </w:r>
      <w:r w:rsidRPr="00CE0885">
        <w:rPr>
          <w:rFonts w:cs="Arial"/>
          <w:szCs w:val="24"/>
        </w:rPr>
        <w:tab/>
        <w:t>an NHS trust, an NHS foundation trust or (in Northern Ireland) a Health and Social Services Trust,</w:t>
      </w:r>
    </w:p>
    <w:p w14:paraId="02290A1D" w14:textId="77777777" w:rsidR="004A1E13" w:rsidRPr="00CE0885" w:rsidRDefault="004A1E13" w:rsidP="004A1E13">
      <w:pPr>
        <w:spacing w:line="360" w:lineRule="auto"/>
        <w:ind w:left="720" w:firstLine="720"/>
        <w:rPr>
          <w:rFonts w:cs="Arial"/>
          <w:szCs w:val="24"/>
        </w:rPr>
      </w:pPr>
      <w:r w:rsidRPr="00CE0885">
        <w:rPr>
          <w:rFonts w:cs="Arial"/>
          <w:szCs w:val="24"/>
        </w:rPr>
        <w:t>(b)</w:t>
      </w:r>
      <w:r w:rsidRPr="00CE0885">
        <w:rPr>
          <w:rFonts w:cs="Arial"/>
          <w:szCs w:val="24"/>
        </w:rPr>
        <w:tab/>
        <w:t xml:space="preserve">a Local Health Board, </w:t>
      </w:r>
    </w:p>
    <w:p w14:paraId="7B759C2D" w14:textId="77777777" w:rsidR="004A1E13" w:rsidRPr="00CE0885" w:rsidRDefault="004A1E13" w:rsidP="004A1E13">
      <w:pPr>
        <w:spacing w:line="360" w:lineRule="auto"/>
        <w:ind w:left="2160" w:hanging="720"/>
        <w:rPr>
          <w:rFonts w:cs="Arial"/>
          <w:szCs w:val="24"/>
        </w:rPr>
      </w:pPr>
      <w:r w:rsidRPr="00CE0885">
        <w:rPr>
          <w:rFonts w:cs="Arial"/>
          <w:szCs w:val="24"/>
        </w:rPr>
        <w:t>(c)</w:t>
      </w:r>
      <w:r w:rsidRPr="00CE0885">
        <w:rPr>
          <w:rFonts w:cs="Arial"/>
          <w:szCs w:val="24"/>
        </w:rPr>
        <w:tab/>
        <w:t>a person who is providing services under a general medical services contract or a general dental services contract or a Welsh general medical services contract or a Welsh general dental services contract,</w:t>
      </w:r>
    </w:p>
    <w:p w14:paraId="69F5598B" w14:textId="77777777" w:rsidR="004A1E13" w:rsidRPr="00CE0885" w:rsidRDefault="004A1E13" w:rsidP="004A1E13">
      <w:pPr>
        <w:spacing w:line="360" w:lineRule="auto"/>
        <w:ind w:left="2127" w:hanging="687"/>
        <w:rPr>
          <w:rFonts w:cs="Arial"/>
          <w:szCs w:val="24"/>
        </w:rPr>
      </w:pPr>
      <w:r w:rsidRPr="00CE0885">
        <w:rPr>
          <w:rFonts w:cs="Arial"/>
          <w:szCs w:val="24"/>
        </w:rPr>
        <w:t>(d)</w:t>
      </w:r>
      <w:r w:rsidRPr="00CE0885">
        <w:rPr>
          <w:rFonts w:cs="Arial"/>
          <w:szCs w:val="24"/>
        </w:rPr>
        <w:tab/>
        <w:t>an individual who is providing services as specified in subsection (1)(d)(iii),</w:t>
      </w:r>
    </w:p>
    <w:p w14:paraId="04790955" w14:textId="77777777" w:rsidR="004A1E13" w:rsidRPr="00CE0885" w:rsidRDefault="004A1E13" w:rsidP="004A1E13">
      <w:pPr>
        <w:spacing w:line="360" w:lineRule="auto"/>
        <w:ind w:left="1440"/>
        <w:rPr>
          <w:rFonts w:cs="Arial"/>
          <w:szCs w:val="24"/>
        </w:rPr>
      </w:pPr>
      <w:r w:rsidRPr="00CE0885">
        <w:rPr>
          <w:rFonts w:cs="Arial"/>
          <w:szCs w:val="24"/>
        </w:rPr>
        <w:t>“the Northern Ireland health service” means the health service within the meaning of the Health and Personal Social Services (Northern Ireland) Order 1972,</w:t>
      </w:r>
    </w:p>
    <w:p w14:paraId="3267C192" w14:textId="77777777" w:rsidR="004A1E13" w:rsidRPr="00CE0885" w:rsidRDefault="004A1E13" w:rsidP="004A1E13">
      <w:pPr>
        <w:spacing w:line="360" w:lineRule="auto"/>
        <w:ind w:left="1440"/>
        <w:rPr>
          <w:rFonts w:cs="Arial"/>
          <w:szCs w:val="24"/>
        </w:rPr>
      </w:pPr>
      <w:r w:rsidRPr="00CE0885">
        <w:rPr>
          <w:rFonts w:cs="Arial"/>
          <w:szCs w:val="24"/>
        </w:rPr>
        <w:t>“qualifying body” means a company which is limited by shares all of which are both legally and beneficially owned by persons falling within paragraph (a), (b), (c), (d), or (e) of subsection (1) ,</w:t>
      </w:r>
    </w:p>
    <w:p w14:paraId="5179C0A6" w14:textId="77777777" w:rsidR="004A1E13" w:rsidRPr="00CE0885" w:rsidRDefault="004A1E13" w:rsidP="004A1E13">
      <w:pPr>
        <w:spacing w:line="360" w:lineRule="auto"/>
        <w:ind w:left="1418"/>
        <w:rPr>
          <w:rFonts w:cs="Arial"/>
          <w:szCs w:val="24"/>
        </w:rPr>
      </w:pPr>
      <w:r w:rsidRPr="00CE0885">
        <w:rPr>
          <w:rFonts w:cs="Arial"/>
          <w:szCs w:val="24"/>
        </w:rPr>
        <w:t>“the Scottish health service” means the health service within the meaning of the National Health Service (Scotland) Act 1978,</w:t>
      </w:r>
    </w:p>
    <w:p w14:paraId="46E08C80" w14:textId="77777777" w:rsidR="004A1E13" w:rsidRPr="00CE0885" w:rsidRDefault="004A1E13" w:rsidP="004A1E13">
      <w:pPr>
        <w:spacing w:line="360" w:lineRule="auto"/>
        <w:ind w:left="1418" w:firstLine="22"/>
        <w:rPr>
          <w:rFonts w:cs="Arial"/>
          <w:szCs w:val="24"/>
        </w:rPr>
      </w:pPr>
      <w:r w:rsidRPr="00CE0885">
        <w:rPr>
          <w:rFonts w:cs="Arial"/>
          <w:szCs w:val="24"/>
        </w:rPr>
        <w:t>“section 17C arrangements” means arrangements for the provision of services made under section 17C of the 1978 Act,</w:t>
      </w:r>
    </w:p>
    <w:p w14:paraId="2F7AEF6E" w14:textId="77777777" w:rsidR="004A1E13" w:rsidRPr="00CE0885" w:rsidRDefault="004A1E13" w:rsidP="004A1E13">
      <w:pPr>
        <w:spacing w:line="360" w:lineRule="auto"/>
        <w:ind w:left="1440"/>
        <w:rPr>
          <w:rFonts w:cs="Arial"/>
          <w:szCs w:val="24"/>
        </w:rPr>
      </w:pPr>
      <w:r w:rsidRPr="00CE0885">
        <w:rPr>
          <w:rFonts w:cs="Arial"/>
          <w:szCs w:val="24"/>
        </w:rPr>
        <w:t>“section 17C employee” means an individual who, in connection with the provision of services in accordance with section 17C arrangements, is employed by a person providing or performing those services,</w:t>
      </w:r>
    </w:p>
    <w:p w14:paraId="1A401C24" w14:textId="77777777" w:rsidR="004A1E13" w:rsidRPr="00CE0885" w:rsidRDefault="004A1E13" w:rsidP="004A1E13">
      <w:pPr>
        <w:spacing w:line="360" w:lineRule="auto"/>
        <w:ind w:left="1440"/>
        <w:rPr>
          <w:rFonts w:cs="Arial"/>
          <w:szCs w:val="24"/>
        </w:rPr>
      </w:pPr>
      <w:r w:rsidRPr="00CE0885">
        <w:rPr>
          <w:rFonts w:cs="Arial"/>
          <w:szCs w:val="24"/>
        </w:rPr>
        <w:t>“section 50 arrangements” means arrangements for the provision of services made under section 50 of the National Health Service (Wales) Act 2006 (c. 42),</w:t>
      </w:r>
    </w:p>
    <w:p w14:paraId="28844801" w14:textId="77777777" w:rsidR="004A1E13" w:rsidRPr="00CE0885" w:rsidRDefault="004A1E13" w:rsidP="004A1E13">
      <w:pPr>
        <w:spacing w:line="360" w:lineRule="auto"/>
        <w:ind w:left="1418" w:firstLine="22"/>
        <w:rPr>
          <w:rFonts w:cs="Arial"/>
          <w:szCs w:val="24"/>
        </w:rPr>
      </w:pPr>
      <w:r w:rsidRPr="00CE0885">
        <w:rPr>
          <w:rFonts w:cs="Arial"/>
          <w:szCs w:val="24"/>
        </w:rPr>
        <w:t>“section 64 arrangements” means arrangements for the provision of services made under section 64 of that Act,</w:t>
      </w:r>
    </w:p>
    <w:p w14:paraId="75CB074E" w14:textId="77777777" w:rsidR="004A1E13" w:rsidRPr="00CE0885" w:rsidRDefault="004A1E13" w:rsidP="004A1E13">
      <w:pPr>
        <w:spacing w:line="360" w:lineRule="auto"/>
        <w:ind w:left="1440"/>
        <w:rPr>
          <w:rFonts w:cs="Arial"/>
          <w:szCs w:val="24"/>
        </w:rPr>
      </w:pPr>
      <w:r w:rsidRPr="00CE0885">
        <w:rPr>
          <w:rFonts w:cs="Arial"/>
          <w:szCs w:val="24"/>
        </w:rPr>
        <w:t>“section 107 employee” means an individual who, in connection with the provision of services in accordance with section 107 arrangements, is employed by a person providing or performing those services,</w:t>
      </w:r>
    </w:p>
    <w:p w14:paraId="08E43D57" w14:textId="77777777" w:rsidR="004A1E13" w:rsidRPr="00CE0885" w:rsidRDefault="004A1E13" w:rsidP="004A1E13">
      <w:pPr>
        <w:spacing w:line="360" w:lineRule="auto"/>
        <w:ind w:left="1440"/>
        <w:rPr>
          <w:rFonts w:cs="Arial"/>
          <w:szCs w:val="24"/>
        </w:rPr>
      </w:pPr>
      <w:r w:rsidRPr="00CE0885">
        <w:rPr>
          <w:rFonts w:cs="Arial"/>
          <w:szCs w:val="24"/>
        </w:rPr>
        <w:t>“section 92 employee” means an individual who, in connection with the provision of services in accordance with section 92 arrangements, is employed by a person providing or performing those services,</w:t>
      </w:r>
    </w:p>
    <w:p w14:paraId="3711EBC7" w14:textId="77777777" w:rsidR="004A1E13" w:rsidRPr="00CE0885" w:rsidRDefault="004A1E13" w:rsidP="004A1E13">
      <w:pPr>
        <w:spacing w:line="360" w:lineRule="auto"/>
        <w:ind w:left="1440"/>
        <w:rPr>
          <w:rFonts w:cs="Arial"/>
          <w:szCs w:val="24"/>
        </w:rPr>
      </w:pPr>
      <w:r w:rsidRPr="00CE0885">
        <w:rPr>
          <w:rFonts w:cs="Arial"/>
          <w:szCs w:val="24"/>
        </w:rPr>
        <w:t>“section 50 employee” means an individual who, in connection with the provision of services in accordance with section 50 arrangements, is employed by a person providing or performing those services,</w:t>
      </w:r>
    </w:p>
    <w:p w14:paraId="458EFB79" w14:textId="77777777" w:rsidR="004A1E13" w:rsidRPr="00CE0885" w:rsidRDefault="004A1E13" w:rsidP="004A1E13">
      <w:pPr>
        <w:spacing w:line="360" w:lineRule="auto"/>
        <w:ind w:left="1440"/>
        <w:rPr>
          <w:rFonts w:cs="Arial"/>
          <w:szCs w:val="24"/>
        </w:rPr>
      </w:pPr>
      <w:r w:rsidRPr="00CE0885">
        <w:rPr>
          <w:rFonts w:cs="Arial"/>
          <w:szCs w:val="24"/>
        </w:rPr>
        <w:t>“section 64 employee” means an individual who, in connection with the provision of services in accordance with section 64 arrangements, is employed by a person providing or performing those services,</w:t>
      </w:r>
    </w:p>
    <w:p w14:paraId="1952240E" w14:textId="77777777" w:rsidR="004A1E13" w:rsidRPr="00CE0885" w:rsidRDefault="004A1E13" w:rsidP="004A1E13">
      <w:pPr>
        <w:spacing w:line="360" w:lineRule="auto"/>
        <w:ind w:left="1418" w:right="-2" w:firstLine="22"/>
        <w:rPr>
          <w:rFonts w:cs="Arial"/>
          <w:szCs w:val="24"/>
        </w:rPr>
      </w:pPr>
      <w:r w:rsidRPr="00CE0885">
        <w:rPr>
          <w:rFonts w:cs="Arial"/>
          <w:szCs w:val="24"/>
        </w:rPr>
        <w:t>“Welsh general medical services contract” means a contract under section 42(2) of the National Health Service (Wales) Act 2006 (c. 42), and</w:t>
      </w:r>
    </w:p>
    <w:p w14:paraId="7F3DF16B" w14:textId="77777777" w:rsidR="004A1E13" w:rsidRPr="00CE0885" w:rsidRDefault="004A1E13" w:rsidP="004A1E13">
      <w:pPr>
        <w:pStyle w:val="Body1"/>
        <w:spacing w:before="0" w:after="0" w:line="360" w:lineRule="auto"/>
        <w:ind w:left="1418" w:firstLine="22"/>
        <w:rPr>
          <w:rFonts w:cs="Arial"/>
          <w:sz w:val="24"/>
          <w:szCs w:val="24"/>
        </w:rPr>
      </w:pPr>
      <w:r w:rsidRPr="00CE0885">
        <w:rPr>
          <w:rFonts w:cs="Arial"/>
          <w:sz w:val="24"/>
          <w:szCs w:val="24"/>
        </w:rPr>
        <w:t>“Welsh general dental services contract” means a contract under section 57(2) of that Act.</w:t>
      </w:r>
    </w:p>
    <w:p w14:paraId="066388E4" w14:textId="77777777" w:rsidR="004A1E13" w:rsidRPr="00CE0885" w:rsidRDefault="004A1E13" w:rsidP="004A1E13">
      <w:pPr>
        <w:pStyle w:val="Body1"/>
        <w:spacing w:before="0" w:after="0" w:line="360" w:lineRule="auto"/>
        <w:ind w:left="1418" w:firstLine="22"/>
        <w:rPr>
          <w:rFonts w:cs="Arial"/>
          <w:b/>
          <w:sz w:val="24"/>
          <w:szCs w:val="24"/>
        </w:rPr>
      </w:pPr>
    </w:p>
    <w:p w14:paraId="33873F69" w14:textId="77777777" w:rsidR="004A1E13" w:rsidRPr="00CE0885" w:rsidRDefault="004A1E13" w:rsidP="000433F3">
      <w:pPr>
        <w:pStyle w:val="Heading3"/>
      </w:pPr>
      <w:bookmarkStart w:id="204" w:name="_Toc440981692"/>
      <w:r w:rsidRPr="00CE0885">
        <w:t>Regulations 4 and 5 of the PMS Regulations</w:t>
      </w:r>
      <w:bookmarkEnd w:id="204"/>
      <w:r w:rsidRPr="00CE0885">
        <w:t xml:space="preserve"> (2015) </w:t>
      </w:r>
    </w:p>
    <w:p w14:paraId="66987BE7" w14:textId="77777777" w:rsidR="004A1E13" w:rsidRDefault="004A1E13" w:rsidP="000433F3">
      <w:r w:rsidRPr="000433F3">
        <w:t>3. Conditions: general</w:t>
      </w:r>
    </w:p>
    <w:p w14:paraId="1AF6470C" w14:textId="77777777" w:rsidR="000433F3" w:rsidRPr="000433F3" w:rsidRDefault="000433F3" w:rsidP="000433F3"/>
    <w:p w14:paraId="02D6482E" w14:textId="77777777" w:rsidR="004A1E13" w:rsidRPr="00CE0885" w:rsidRDefault="004A1E13" w:rsidP="004A1E13">
      <w:pPr>
        <w:spacing w:line="360" w:lineRule="auto"/>
        <w:ind w:left="709"/>
        <w:rPr>
          <w:rFonts w:cs="Arial"/>
          <w:szCs w:val="24"/>
        </w:rPr>
      </w:pPr>
      <w:r w:rsidRPr="009055A7">
        <w:rPr>
          <w:rFonts w:cs="Arial"/>
          <w:szCs w:val="24"/>
        </w:rPr>
        <w:t>4.—(1) The Board may only enter into an agreement if the conditions specified</w:t>
      </w:r>
      <w:r w:rsidRPr="00CE0885">
        <w:rPr>
          <w:rFonts w:cs="Arial"/>
          <w:szCs w:val="24"/>
        </w:rPr>
        <w:t xml:space="preserve"> in regulation 5 are met.</w:t>
      </w:r>
    </w:p>
    <w:p w14:paraId="719BB877" w14:textId="77777777" w:rsidR="004A1E13" w:rsidRPr="00CE0885" w:rsidRDefault="004A1E13" w:rsidP="004A1E13">
      <w:pPr>
        <w:spacing w:line="360" w:lineRule="auto"/>
        <w:ind w:left="709"/>
        <w:rPr>
          <w:rFonts w:cs="Arial"/>
          <w:szCs w:val="24"/>
        </w:rPr>
      </w:pPr>
      <w:r w:rsidRPr="00CE0885">
        <w:rPr>
          <w:rFonts w:cs="Arial"/>
          <w:szCs w:val="24"/>
        </w:rPr>
        <w:t>(2) Paragraph (1) is subject to the provisions of any scheme made by the Secretary of State under section 300 (transfer schemes) and section 303 (power to make consequential provision) of the Health and Social Care Act 2012(d).</w:t>
      </w:r>
      <w:r w:rsidRPr="00CE0885">
        <w:rPr>
          <w:rFonts w:cs="Arial"/>
          <w:szCs w:val="24"/>
        </w:rPr>
        <w:br/>
      </w:r>
    </w:p>
    <w:p w14:paraId="7E00B06E" w14:textId="77777777" w:rsidR="004A1E13" w:rsidRDefault="004A1E13" w:rsidP="000433F3">
      <w:r w:rsidRPr="000433F3">
        <w:t>5. General condition relating to all agreements</w:t>
      </w:r>
    </w:p>
    <w:p w14:paraId="13202E02" w14:textId="77777777" w:rsidR="003E284C" w:rsidRPr="000433F3" w:rsidRDefault="003E284C" w:rsidP="000433F3"/>
    <w:p w14:paraId="7B7D5ED3" w14:textId="77777777" w:rsidR="004A1E13" w:rsidRPr="00CE0885" w:rsidRDefault="004A1E13" w:rsidP="004A1E13">
      <w:pPr>
        <w:spacing w:line="360" w:lineRule="auto"/>
        <w:ind w:left="720" w:firstLine="11"/>
        <w:rPr>
          <w:rFonts w:cs="Arial"/>
          <w:szCs w:val="24"/>
        </w:rPr>
      </w:pPr>
      <w:r w:rsidRPr="00CE0885">
        <w:rPr>
          <w:rFonts w:cs="Arial"/>
          <w:szCs w:val="24"/>
        </w:rPr>
        <w:t>5.—(1) The Board must not enter into an agreement with—</w:t>
      </w:r>
    </w:p>
    <w:p w14:paraId="13ABB007" w14:textId="77777777" w:rsidR="004A1E13" w:rsidRPr="00CE0885" w:rsidRDefault="004A1E13" w:rsidP="004A1E13">
      <w:pPr>
        <w:spacing w:line="360" w:lineRule="auto"/>
        <w:ind w:left="1440"/>
        <w:rPr>
          <w:rFonts w:cs="Arial"/>
          <w:szCs w:val="24"/>
        </w:rPr>
      </w:pPr>
      <w:r w:rsidRPr="00CE0885">
        <w:rPr>
          <w:rFonts w:cs="Arial"/>
          <w:szCs w:val="24"/>
        </w:rPr>
        <w:t>(a) a person falling within section 93(1)(b) to (d) of the Act (persons with whom agreements may be made under section 92), to whom paragraph (2) applies;</w:t>
      </w:r>
    </w:p>
    <w:p w14:paraId="3C8CBB42" w14:textId="77777777" w:rsidR="004A1E13" w:rsidRPr="00CE0885" w:rsidRDefault="004A1E13" w:rsidP="004A1E13">
      <w:pPr>
        <w:spacing w:line="360" w:lineRule="auto"/>
        <w:ind w:left="1440"/>
        <w:rPr>
          <w:rFonts w:cs="Arial"/>
          <w:szCs w:val="24"/>
        </w:rPr>
      </w:pPr>
      <w:r w:rsidRPr="00CE0885">
        <w:rPr>
          <w:rFonts w:cs="Arial"/>
          <w:szCs w:val="24"/>
        </w:rPr>
        <w:t>(b) a qualifying body if paragraph (2) applies to—</w:t>
      </w:r>
    </w:p>
    <w:p w14:paraId="7DF8AE16" w14:textId="77777777" w:rsidR="004A1E13" w:rsidRPr="00CE0885" w:rsidRDefault="004A1E13" w:rsidP="004A1E13">
      <w:pPr>
        <w:spacing w:line="360" w:lineRule="auto"/>
        <w:ind w:left="1470" w:firstLine="690"/>
        <w:rPr>
          <w:rFonts w:cs="Arial"/>
          <w:szCs w:val="24"/>
        </w:rPr>
      </w:pPr>
      <w:r w:rsidRPr="00CE0885">
        <w:rPr>
          <w:rFonts w:cs="Arial"/>
          <w:szCs w:val="24"/>
        </w:rPr>
        <w:t>(i) the qualifying body,</w:t>
      </w:r>
    </w:p>
    <w:p w14:paraId="483B7D66"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(ii) any person both legally and beneficially owning a share in the qualifying body, and</w:t>
      </w:r>
    </w:p>
    <w:p w14:paraId="2D469230" w14:textId="77777777" w:rsidR="004A1E13" w:rsidRPr="00CE0885" w:rsidRDefault="004A1E13" w:rsidP="004A1E13">
      <w:pPr>
        <w:pStyle w:val="Body1"/>
        <w:spacing w:before="0" w:after="0" w:line="360" w:lineRule="auto"/>
        <w:ind w:left="1475" w:firstLine="685"/>
        <w:rPr>
          <w:rFonts w:cs="Arial"/>
          <w:sz w:val="24"/>
          <w:szCs w:val="24"/>
        </w:rPr>
      </w:pPr>
      <w:r w:rsidRPr="00CE0885">
        <w:rPr>
          <w:rFonts w:cs="Arial"/>
          <w:sz w:val="24"/>
          <w:szCs w:val="24"/>
        </w:rPr>
        <w:t>(iii) any director or secretary of the qualifying body.</w:t>
      </w:r>
    </w:p>
    <w:p w14:paraId="07631701" w14:textId="77777777" w:rsidR="004A1E13" w:rsidRPr="00CE0885" w:rsidRDefault="004A1E13" w:rsidP="004A1E13">
      <w:pPr>
        <w:pStyle w:val="Body1"/>
        <w:spacing w:before="0" w:after="0" w:line="360" w:lineRule="auto"/>
        <w:rPr>
          <w:rFonts w:cs="Arial"/>
          <w:sz w:val="24"/>
          <w:szCs w:val="24"/>
        </w:rPr>
      </w:pPr>
      <w:r w:rsidRPr="00CE0885">
        <w:rPr>
          <w:rFonts w:cs="Arial"/>
          <w:sz w:val="24"/>
          <w:szCs w:val="24"/>
        </w:rPr>
        <w:t>(2) This paragraph applies if—</w:t>
      </w:r>
    </w:p>
    <w:p w14:paraId="7F76337D"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(a) the contractor is the subject of a national disqualification;</w:t>
      </w:r>
    </w:p>
    <w:p w14:paraId="74A2301A"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(b) subject to paragraph (3), the contractor is disqualified or suspended (other than by interim suspension order or direction pending an investigation) from practising by a licensing body anywhere in the world; (c) the contractor has, within the period of five years before the signing of the agreement or commencement of the agreement (whichever is the earlier) been dismissed (otherwise than by reason of redundancy) from any employment with a health service body, unless—</w:t>
      </w:r>
    </w:p>
    <w:p w14:paraId="0D1C52A7"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(i) if the contractor was employed as a member of a health care profession at the time of the dismissal, the contractor has not subsequently been employed by that health service body or by another health service body, and</w:t>
      </w:r>
    </w:p>
    <w:p w14:paraId="129B983A"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(ii) the dismissal was the subject of a finding of unfair dismissal by any competent tribunal or a court;</w:t>
      </w:r>
    </w:p>
    <w:p w14:paraId="762BAE73"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(d) the contractor has, within the period of five years before the signing of the agreement or commencement of the agreement (whichever is the earlier), been removed from, or refused admission to, a primary care list by reason of inefficiency, fraud or unsuitability (within the meaning of section 151(2), (3) and (4) of the Act(a) (disqualification of practitioners)), or a performers list held by the Board by virtue of regulations made under section 91(3) (persons performing primary medical services) of the Act, unless the contractor’s name has subsequently been included in such a list;</w:t>
      </w:r>
    </w:p>
    <w:p w14:paraId="04D079A0"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(e) the contractor has been convicted in the United Kingdom of murder;</w:t>
      </w:r>
    </w:p>
    <w:p w14:paraId="4CD6AEBD"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(f) the contractor has been convicted in the United Kingdom of a criminal offence other than murder committed on or after 1st April 2002 and has been sentenced to a term of imprisonment of longer than six months;</w:t>
      </w:r>
    </w:p>
    <w:p w14:paraId="62FA6AAA" w14:textId="4A107EBB"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 xml:space="preserve">(g) subject to paragraph (3), the contractor has been convicted outside of the </w:t>
      </w:r>
      <w:r w:rsidR="00BC5F9C" w:rsidRPr="00CE0885">
        <w:rPr>
          <w:rFonts w:cs="Arial"/>
          <w:sz w:val="24"/>
          <w:szCs w:val="24"/>
        </w:rPr>
        <w:t>United Kingdom</w:t>
      </w:r>
      <w:r w:rsidRPr="00CE0885">
        <w:rPr>
          <w:rFonts w:cs="Arial"/>
          <w:sz w:val="24"/>
          <w:szCs w:val="24"/>
        </w:rPr>
        <w:t xml:space="preserve"> of an offence which would, if committed in England and Wales, constitute murder and—</w:t>
      </w:r>
    </w:p>
    <w:p w14:paraId="3BDAEC13"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(i) the offence was committed on or after 3rd November 2003; and</w:t>
      </w:r>
    </w:p>
    <w:p w14:paraId="589F7974"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(ii) the contractor was sentenced to a term of imprisonment of longer than six months;</w:t>
      </w:r>
    </w:p>
    <w:p w14:paraId="79034E33"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(h) the contractor has been convicted of an offence referred to in Schedule 1 to the Children and Young Persons Act 1933(b) (offences against children and young persons, with respect to which special provisions of this Act apply), or in Schedule 1 to the Criminal Procedure (Scotland) Act 1995(c) (offences against children under the age of 17 years to which special provisions apply) committed on or after 1st April 2004;</w:t>
      </w:r>
    </w:p>
    <w:p w14:paraId="0EDBEC6C"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(i) the contractor has at any time been included in—</w:t>
      </w:r>
    </w:p>
    <w:p w14:paraId="2609A24F"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(i) any barred list within the meaning of section 2 of the Safeguarding Vulnerable Groups Act 2006(d) (barred lists), or</w:t>
      </w:r>
    </w:p>
    <w:p w14:paraId="5AA47795"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(ii) any barred list within the meaning of article 6 of the Safeguarding Vulnerable Groups (Northern Ireland) Order 2007(e) (barred lists), unless the contractor was removed from the list either on the grounds that it was not appropriate for the contractor to have been included in it or as the result of a successful appeal;</w:t>
      </w:r>
    </w:p>
    <w:p w14:paraId="728C6285"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(j) the contractor has, within the period of five years before the signing of the agreement or commencement of the agreement (whichever is the earlier), been removed from the office of charity trustee or trustee for a charity by an order made by the Charity Commission, the Charity Commission for Northern Ireland or the High Court, and that order was made on the grounds of misconduct or mismanagement in the administration of a charity for which the contractor was responsible or to which the contractor was privy, or which was contributed to, or facilitated by, the contractor’s conduct;</w:t>
      </w:r>
    </w:p>
    <w:p w14:paraId="0EAC8EE4" w14:textId="5EAC3EE5"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 xml:space="preserve">(k) the contractor has, within the period of five years before the signing of the agreement or commencement of the agreement (whichever is the earlier), been removed from being concerned with the management or control of </w:t>
      </w:r>
      <w:r w:rsidR="00BC5F9C" w:rsidRPr="00CE0885">
        <w:rPr>
          <w:rFonts w:cs="Arial"/>
          <w:sz w:val="24"/>
          <w:szCs w:val="24"/>
        </w:rPr>
        <w:t>anybody</w:t>
      </w:r>
      <w:r w:rsidRPr="00CE0885">
        <w:rPr>
          <w:rFonts w:cs="Arial"/>
          <w:sz w:val="24"/>
          <w:szCs w:val="24"/>
        </w:rPr>
        <w:t xml:space="preserve"> in any case where removal was by virtue of section 34(5)(e) of the Charities and Trustees Investment (Scotland) Act 2005(a) (powers of Court of Session);</w:t>
      </w:r>
    </w:p>
    <w:p w14:paraId="0CF27D00"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(l) the contractor—</w:t>
      </w:r>
    </w:p>
    <w:p w14:paraId="4DB21701"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(i) has been adjudged bankrupt and has not been discharged from the bankruptcy or the bankruptcy order has not been annulled, or</w:t>
      </w:r>
    </w:p>
    <w:p w14:paraId="44296F6F"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(ii) has had sequestration of the contractor’s estate awarded and has not been discharged from the sequestration;</w:t>
      </w:r>
    </w:p>
    <w:p w14:paraId="04A4C8A6"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(m) the contractor is the subject of a bankruptcy restrictions order or an interim bankruptcy restrictions order under Schedule 4A to the Insolvency Act 1986(b) (bankruptcy restrictions order and undertaking), or Schedule 2A to the Insolvency (Northern Ireland) Order 1989(c) (bankruptcy restrictions order and undertaking), or sections 56A to 56K of the Bankruptcy (Scotland) Act 1985(d) (bankruptcy restrictions order, interim bankruptcy restrictions order and bankruptcy restrictions undertaking), unless the contractor has been discharged from that order or that order has been annulled;</w:t>
      </w:r>
    </w:p>
    <w:p w14:paraId="40B23B2E"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(n) the contractor—</w:t>
      </w:r>
    </w:p>
    <w:p w14:paraId="10953A5E"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(i) is subject to a moratorium period under a debt relief order under Part VIIA of the Insolvency Act 1986(e) (debt relief orders), or</w:t>
      </w:r>
    </w:p>
    <w:p w14:paraId="47ECD5C8"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(ii) is the subject of a debt relief restrictions order or an interim debt relief restrictions order under Schedule 4ZB to that Act(f) (debt relief restrictions orders and undertakings);</w:t>
      </w:r>
    </w:p>
    <w:p w14:paraId="63D224E2"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(o) the contractor has made a composition agreement or arrangement with, or granted a trust deed for, the contractor’s creditors and the contractor has not been discharged in respect of it;</w:t>
      </w:r>
    </w:p>
    <w:p w14:paraId="0FDDDA08"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(p) the contractor is subject to—</w:t>
      </w:r>
    </w:p>
    <w:p w14:paraId="4D0215E9"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(i) a disqualification order under section 1 of the Company Directors Disqualification Act 1986(g) (disqualification orders: general) or a disqualification undertaking under section 1A of that Act(h) (disqualification undertakings: general),</w:t>
      </w:r>
    </w:p>
    <w:p w14:paraId="640F5D8A"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(ii) a disqualification order or disqualification undertaking under article 3  (disqualification orders: general) or article 4 (disqualification undertakings: general) of the Company Directors Disqualification (Northern Ireland) Order 2002(a), or</w:t>
      </w:r>
    </w:p>
    <w:p w14:paraId="3C84656E"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(iii) a disqualification order under section 429(2) of the Insolvency Act 1986(b) (disabilities on revocation of an administration order against an individual);</w:t>
      </w:r>
    </w:p>
    <w:p w14:paraId="3E33EED3"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(q) the contractor has had an administrator, administrative receiver or receiver appointed in respect of the contractor; or</w:t>
      </w:r>
    </w:p>
    <w:p w14:paraId="695DE187"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(r) the contractor has had an administration order made in respect of the contractor under Schedule B1 to the Insolvency Act 1986(c) (administration).</w:t>
      </w:r>
    </w:p>
    <w:p w14:paraId="51A1DFD1" w14:textId="77777777" w:rsidR="004A1E13" w:rsidRPr="00CE0885" w:rsidRDefault="004A1E13" w:rsidP="004A1E13">
      <w:pPr>
        <w:pStyle w:val="Body1"/>
        <w:spacing w:before="0" w:after="0" w:line="360" w:lineRule="auto"/>
        <w:rPr>
          <w:rFonts w:cs="Arial"/>
          <w:sz w:val="24"/>
          <w:szCs w:val="24"/>
        </w:rPr>
      </w:pPr>
      <w:r w:rsidRPr="00CE0885">
        <w:rPr>
          <w:rFonts w:cs="Arial"/>
          <w:sz w:val="24"/>
          <w:szCs w:val="24"/>
        </w:rPr>
        <w:t>(3) Paragraph (2)(b) or, as the case may be, paragraph (2)(g), does not apply to a person where—</w:t>
      </w:r>
    </w:p>
    <w:p w14:paraId="4A1444B8" w14:textId="77777777" w:rsidR="004A1E13" w:rsidRPr="00CE0885" w:rsidRDefault="004A1E13" w:rsidP="004A1E13">
      <w:pPr>
        <w:pStyle w:val="Body1"/>
        <w:spacing w:before="0" w:after="0" w:line="360" w:lineRule="auto"/>
        <w:ind w:left="1434" w:firstLine="6"/>
        <w:rPr>
          <w:rFonts w:cs="Arial"/>
          <w:sz w:val="24"/>
          <w:szCs w:val="24"/>
        </w:rPr>
      </w:pPr>
      <w:r w:rsidRPr="00CE0885">
        <w:rPr>
          <w:rFonts w:cs="Arial"/>
          <w:sz w:val="24"/>
          <w:szCs w:val="24"/>
        </w:rPr>
        <w:t>(a) that person—</w:t>
      </w:r>
    </w:p>
    <w:p w14:paraId="069D20FC"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(i) has been disqualified or suspended from practising by a licensing body outside of the United Kingdom, or</w:t>
      </w:r>
    </w:p>
    <w:p w14:paraId="55072ABA"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(ii) has been convicted outside of the United Kingdom of a criminal offence; and</w:t>
      </w:r>
    </w:p>
    <w:p w14:paraId="0EFF10D8"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(b) the Board is satisfied that the disqualification, suspension or, as the case may be, the conviction does not make the person unsuitable to be—</w:t>
      </w:r>
    </w:p>
    <w:p w14:paraId="6A35D7D4"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(i) a party to the agreement; or</w:t>
      </w:r>
    </w:p>
    <w:p w14:paraId="2EA5C40C"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(ii) in the case of an agreement with a qualifying body—</w:t>
      </w:r>
    </w:p>
    <w:p w14:paraId="285EC6A5" w14:textId="77777777" w:rsidR="004A1E13" w:rsidRPr="00CE0885" w:rsidRDefault="004A1E13" w:rsidP="004A1E13">
      <w:pPr>
        <w:pStyle w:val="Body1"/>
        <w:spacing w:before="0" w:after="0" w:line="360" w:lineRule="auto"/>
        <w:ind w:left="2880"/>
        <w:rPr>
          <w:rFonts w:cs="Arial"/>
          <w:sz w:val="24"/>
          <w:szCs w:val="24"/>
        </w:rPr>
      </w:pPr>
      <w:r w:rsidRPr="00CE0885">
        <w:rPr>
          <w:rFonts w:cs="Arial"/>
          <w:sz w:val="24"/>
          <w:szCs w:val="24"/>
        </w:rPr>
        <w:t>(aa) a person who both legally and beneficially owns a share in the qualifying body, or</w:t>
      </w:r>
    </w:p>
    <w:p w14:paraId="56F769F4" w14:textId="77777777" w:rsidR="004A1E13" w:rsidRPr="00CE0885" w:rsidRDefault="004A1E13" w:rsidP="004A1E13">
      <w:pPr>
        <w:pStyle w:val="Body1"/>
        <w:spacing w:before="0" w:after="0" w:line="360" w:lineRule="auto"/>
        <w:ind w:left="2880"/>
        <w:rPr>
          <w:rFonts w:cs="Arial"/>
          <w:sz w:val="24"/>
          <w:szCs w:val="24"/>
        </w:rPr>
      </w:pPr>
      <w:r w:rsidRPr="00CE0885">
        <w:rPr>
          <w:rFonts w:cs="Arial"/>
          <w:sz w:val="24"/>
          <w:szCs w:val="24"/>
        </w:rPr>
        <w:t>(bb) a director or secretary of the qualifying body.</w:t>
      </w:r>
    </w:p>
    <w:p w14:paraId="6CA89074" w14:textId="77777777" w:rsidR="004A1E13" w:rsidRPr="00CE0885" w:rsidRDefault="004A1E13" w:rsidP="004A1E13">
      <w:pPr>
        <w:pStyle w:val="Body1"/>
        <w:spacing w:before="0" w:after="0" w:line="360" w:lineRule="auto"/>
        <w:rPr>
          <w:rFonts w:cs="Arial"/>
          <w:sz w:val="24"/>
          <w:szCs w:val="24"/>
        </w:rPr>
      </w:pPr>
      <w:r w:rsidRPr="00CE0885">
        <w:rPr>
          <w:rFonts w:cs="Arial"/>
          <w:sz w:val="24"/>
          <w:szCs w:val="24"/>
        </w:rPr>
        <w:t>(4) For the purposes of paragraph (2)(c)—</w:t>
      </w:r>
    </w:p>
    <w:p w14:paraId="19BA91AD"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(a) where a person has been employed as a member of a health care profession, any subsequent employment must also be as a member of that profession; and</w:t>
      </w:r>
    </w:p>
    <w:p w14:paraId="2573641B"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(b) a health service body includes a Strategic Health Authority or a Primary Care Trust which was established before the coming into force of section 33 (abolition of Strategic Health Authorities) or section 34 (abolition of Primary Care Trusts) of the Health and Social Care Act 2012(d).</w:t>
      </w:r>
    </w:p>
    <w:p w14:paraId="56D41382" w14:textId="77777777" w:rsidR="004A1E13" w:rsidRPr="00CE0885" w:rsidRDefault="004A1E13" w:rsidP="004A1E13">
      <w:pPr>
        <w:pStyle w:val="Body1"/>
        <w:spacing w:before="0" w:after="0" w:line="360" w:lineRule="auto"/>
        <w:rPr>
          <w:rFonts w:cs="Arial"/>
          <w:sz w:val="24"/>
          <w:szCs w:val="24"/>
        </w:rPr>
      </w:pPr>
      <w:r w:rsidRPr="00CE0885">
        <w:rPr>
          <w:rFonts w:cs="Arial"/>
          <w:sz w:val="24"/>
          <w:szCs w:val="24"/>
        </w:rPr>
        <w:t xml:space="preserve">(5) In this regulation, “contractor” includes a person with whom the Board is proposing to enter into an agreement. </w:t>
      </w:r>
    </w:p>
    <w:p w14:paraId="20FD48CE" w14:textId="77777777" w:rsidR="004A1E13" w:rsidRPr="00CE0885" w:rsidRDefault="004A1E13" w:rsidP="004A1E13">
      <w:pPr>
        <w:pStyle w:val="Body1"/>
        <w:spacing w:before="0" w:after="0" w:line="360" w:lineRule="auto"/>
        <w:rPr>
          <w:rFonts w:cs="Arial"/>
          <w:sz w:val="24"/>
          <w:szCs w:val="24"/>
        </w:rPr>
      </w:pPr>
    </w:p>
    <w:p w14:paraId="127294A3" w14:textId="47EDA664" w:rsidR="004A1E13" w:rsidRPr="00CE0885" w:rsidRDefault="004A1E13" w:rsidP="004A1E13">
      <w:pPr>
        <w:spacing w:line="360" w:lineRule="auto"/>
        <w:rPr>
          <w:rFonts w:cs="Arial"/>
          <w:szCs w:val="24"/>
        </w:rPr>
      </w:pPr>
      <w:r w:rsidRPr="00CE0885">
        <w:rPr>
          <w:rFonts w:cs="Arial"/>
          <w:szCs w:val="24"/>
        </w:rPr>
        <w:br w:type="page"/>
      </w:r>
    </w:p>
    <w:p w14:paraId="7BAC344D" w14:textId="3D129DA1" w:rsidR="004A1E13" w:rsidRPr="00CE0885" w:rsidRDefault="004A1E13" w:rsidP="002A140D">
      <w:pPr>
        <w:pStyle w:val="Heading2"/>
      </w:pPr>
      <w:bookmarkStart w:id="205" w:name="_Toc95743390"/>
      <w:r w:rsidRPr="00CE0885">
        <w:t>Annex 3</w:t>
      </w:r>
      <w:r w:rsidR="002A140D">
        <w:t xml:space="preserve"> </w:t>
      </w:r>
      <w:r w:rsidRPr="00CE0885">
        <w:t>Persons Eligible to Enter into an APMS Contract</w:t>
      </w:r>
      <w:bookmarkEnd w:id="205"/>
    </w:p>
    <w:p w14:paraId="185F7AD7" w14:textId="77777777" w:rsidR="004A1E13" w:rsidRPr="009055A7" w:rsidRDefault="004A1E13" w:rsidP="004A1E13">
      <w:pPr>
        <w:pStyle w:val="Body1"/>
        <w:spacing w:before="0" w:after="0" w:line="360" w:lineRule="auto"/>
        <w:jc w:val="center"/>
        <w:rPr>
          <w:rFonts w:cs="Arial"/>
          <w:b/>
          <w:sz w:val="24"/>
          <w:szCs w:val="24"/>
        </w:rPr>
      </w:pPr>
    </w:p>
    <w:p w14:paraId="21F8502A" w14:textId="77777777" w:rsidR="004A1E13" w:rsidRPr="00CE0885" w:rsidRDefault="004A1E13" w:rsidP="000433F3">
      <w:pPr>
        <w:pStyle w:val="Heading3"/>
      </w:pPr>
      <w:bookmarkStart w:id="206" w:name="_Toc440981693"/>
      <w:r w:rsidRPr="00CE0885">
        <w:t>Statutory Provisions</w:t>
      </w:r>
      <w:bookmarkEnd w:id="206"/>
    </w:p>
    <w:p w14:paraId="4E282EBA" w14:textId="77777777" w:rsidR="004A1E13" w:rsidRPr="00CE0885" w:rsidRDefault="004A1E13" w:rsidP="003E284C">
      <w:pPr>
        <w:pStyle w:val="Heading4"/>
      </w:pPr>
      <w:bookmarkStart w:id="207" w:name="_Toc440981694"/>
      <w:r w:rsidRPr="00CE0885">
        <w:t>The NHS Act does not list persons who may (or may not) enter into an APMS contract.</w:t>
      </w:r>
      <w:bookmarkEnd w:id="207"/>
    </w:p>
    <w:p w14:paraId="76957CBE" w14:textId="77777777" w:rsidR="004A1E13" w:rsidRPr="00CE0885" w:rsidRDefault="004A1E13" w:rsidP="003E284C">
      <w:pPr>
        <w:pStyle w:val="Heading4"/>
      </w:pPr>
      <w:bookmarkStart w:id="208" w:name="_Toc440981695"/>
      <w:r w:rsidRPr="00CE0885">
        <w:t>The APMS Directions contain provisions relating to circumstances in which certain types of persons or organisation may not enter into an APMS contract (Direction 4 – extracted below). Provided Direction does not apply, any person or organisation may enter into an APMS contract.</w:t>
      </w:r>
      <w:bookmarkEnd w:id="208"/>
    </w:p>
    <w:p w14:paraId="5FDF89CB" w14:textId="77777777" w:rsidR="004A1E13" w:rsidRPr="00CE0885" w:rsidRDefault="004A1E13" w:rsidP="003E284C">
      <w:pPr>
        <w:pStyle w:val="Heading4"/>
      </w:pPr>
      <w:bookmarkStart w:id="209" w:name="_Toc440981696"/>
      <w:r w:rsidRPr="00CE0885">
        <w:t>The extracted legislation below is correct as of 1 July 2017.</w:t>
      </w:r>
      <w:bookmarkEnd w:id="209"/>
    </w:p>
    <w:p w14:paraId="1DB62BDB" w14:textId="77777777" w:rsidR="004A1E13" w:rsidRPr="009055A7" w:rsidRDefault="004A1E13" w:rsidP="004A1E13">
      <w:pPr>
        <w:pStyle w:val="Body2"/>
        <w:spacing w:before="0" w:after="0" w:line="360" w:lineRule="auto"/>
        <w:rPr>
          <w:rFonts w:cs="Arial"/>
        </w:rPr>
      </w:pPr>
    </w:p>
    <w:p w14:paraId="70BD34BE" w14:textId="77777777" w:rsidR="004A1E13" w:rsidRPr="00CE0885" w:rsidRDefault="004A1E13" w:rsidP="000433F3">
      <w:pPr>
        <w:pStyle w:val="Heading3"/>
      </w:pPr>
      <w:bookmarkStart w:id="210" w:name="_Toc440981697"/>
      <w:r w:rsidRPr="00CE0885">
        <w:t>Direction 4 and 5 of the APMS Directions</w:t>
      </w:r>
      <w:bookmarkEnd w:id="210"/>
    </w:p>
    <w:p w14:paraId="259D421B" w14:textId="4B969EF0" w:rsidR="004A1E13" w:rsidRPr="009055A7" w:rsidRDefault="004A1E13" w:rsidP="004A1E13">
      <w:pPr>
        <w:spacing w:line="360" w:lineRule="auto"/>
        <w:ind w:firstLine="720"/>
        <w:rPr>
          <w:rFonts w:cs="Arial"/>
          <w:szCs w:val="24"/>
        </w:rPr>
      </w:pPr>
      <w:r w:rsidRPr="009055A7">
        <w:rPr>
          <w:rFonts w:cs="Arial"/>
          <w:szCs w:val="24"/>
        </w:rPr>
        <w:t>General conditions</w:t>
      </w:r>
    </w:p>
    <w:p w14:paraId="1CFDBAA3" w14:textId="77777777" w:rsidR="004A1E13" w:rsidRPr="00CE0885" w:rsidRDefault="004A1E13" w:rsidP="004A1E13">
      <w:pPr>
        <w:spacing w:line="360" w:lineRule="auto"/>
        <w:ind w:left="720"/>
        <w:rPr>
          <w:rFonts w:cs="Arial"/>
          <w:szCs w:val="24"/>
        </w:rPr>
      </w:pPr>
      <w:r w:rsidRPr="009055A7">
        <w:rPr>
          <w:rFonts w:cs="Arial"/>
          <w:szCs w:val="24"/>
        </w:rPr>
        <w:t>4.The Boar</w:t>
      </w:r>
      <w:r w:rsidRPr="00CE0885">
        <w:rPr>
          <w:rFonts w:cs="Arial"/>
          <w:szCs w:val="24"/>
        </w:rPr>
        <w:t>d may only enter into an APMS contract if the conditions specified in direction 5 are met.</w:t>
      </w:r>
    </w:p>
    <w:p w14:paraId="4CEDB4DD" w14:textId="0BC636DC" w:rsidR="004A1E13" w:rsidRPr="00CE0885" w:rsidRDefault="004A1E13" w:rsidP="004A1E13">
      <w:pPr>
        <w:spacing w:line="360" w:lineRule="auto"/>
        <w:ind w:firstLine="720"/>
        <w:rPr>
          <w:rFonts w:cs="Arial"/>
          <w:szCs w:val="24"/>
        </w:rPr>
      </w:pPr>
      <w:r w:rsidRPr="00CE0885">
        <w:rPr>
          <w:rFonts w:cs="Arial"/>
          <w:szCs w:val="24"/>
        </w:rPr>
        <w:t>Provider conditions</w:t>
      </w:r>
    </w:p>
    <w:p w14:paraId="56405E39" w14:textId="77777777" w:rsidR="004A1E13" w:rsidRPr="00CE0885" w:rsidRDefault="004A1E13" w:rsidP="004A1E13">
      <w:pPr>
        <w:spacing w:line="360" w:lineRule="auto"/>
        <w:ind w:firstLine="720"/>
        <w:rPr>
          <w:rFonts w:cs="Arial"/>
          <w:szCs w:val="24"/>
        </w:rPr>
      </w:pPr>
      <w:r w:rsidRPr="00CE0885">
        <w:rPr>
          <w:rFonts w:cs="Arial"/>
          <w:szCs w:val="24"/>
        </w:rPr>
        <w:t>5.—(1) The Board must not enter into an APMS contract with—</w:t>
      </w:r>
    </w:p>
    <w:p w14:paraId="7E6B85AC" w14:textId="77777777" w:rsidR="004A1E13" w:rsidRPr="00CE0885" w:rsidRDefault="004A1E13" w:rsidP="004A1E13">
      <w:pPr>
        <w:spacing w:line="360" w:lineRule="auto"/>
        <w:ind w:left="720" w:firstLine="720"/>
        <w:rPr>
          <w:rFonts w:cs="Arial"/>
          <w:szCs w:val="24"/>
        </w:rPr>
      </w:pPr>
      <w:r w:rsidRPr="00CE0885">
        <w:rPr>
          <w:rFonts w:cs="Arial"/>
          <w:szCs w:val="24"/>
        </w:rPr>
        <w:t>(a) an individual, where paragraph (2) applies to that individual;</w:t>
      </w:r>
    </w:p>
    <w:p w14:paraId="7DF416EF" w14:textId="77777777" w:rsidR="004A1E13" w:rsidRPr="00CE0885" w:rsidRDefault="004A1E13" w:rsidP="004A1E13">
      <w:pPr>
        <w:spacing w:line="360" w:lineRule="auto"/>
        <w:ind w:left="720" w:firstLine="720"/>
        <w:rPr>
          <w:rFonts w:cs="Arial"/>
          <w:szCs w:val="24"/>
        </w:rPr>
      </w:pPr>
      <w:r w:rsidRPr="00CE0885">
        <w:rPr>
          <w:rFonts w:cs="Arial"/>
          <w:szCs w:val="24"/>
        </w:rPr>
        <w:t>(b) a company, where paragraph (2) applies to—</w:t>
      </w:r>
    </w:p>
    <w:p w14:paraId="1820CDFB" w14:textId="77777777" w:rsidR="004A1E13" w:rsidRPr="00CE0885" w:rsidRDefault="004A1E13" w:rsidP="004A1E13">
      <w:pPr>
        <w:spacing w:line="360" w:lineRule="auto"/>
        <w:ind w:left="1440" w:firstLine="720"/>
        <w:rPr>
          <w:rFonts w:cs="Arial"/>
          <w:szCs w:val="24"/>
        </w:rPr>
      </w:pPr>
      <w:r w:rsidRPr="00CE0885">
        <w:rPr>
          <w:rFonts w:cs="Arial"/>
          <w:szCs w:val="24"/>
        </w:rPr>
        <w:t>(i) the company, or</w:t>
      </w:r>
    </w:p>
    <w:p w14:paraId="3D8AD31A" w14:textId="77777777" w:rsidR="004A1E13" w:rsidRPr="00CE0885" w:rsidRDefault="004A1E13" w:rsidP="004A1E13">
      <w:pPr>
        <w:spacing w:line="360" w:lineRule="auto"/>
        <w:ind w:left="1440" w:firstLine="720"/>
        <w:rPr>
          <w:rFonts w:cs="Arial"/>
          <w:szCs w:val="24"/>
        </w:rPr>
      </w:pPr>
      <w:r w:rsidRPr="00CE0885">
        <w:rPr>
          <w:rFonts w:cs="Arial"/>
          <w:szCs w:val="24"/>
        </w:rPr>
        <w:t>(ii) a director or secretary of the company;</w:t>
      </w:r>
    </w:p>
    <w:p w14:paraId="11D159C6" w14:textId="77777777" w:rsidR="004A1E13" w:rsidRPr="00CE0885" w:rsidRDefault="004A1E13" w:rsidP="004A1E13">
      <w:pPr>
        <w:spacing w:line="360" w:lineRule="auto"/>
        <w:ind w:left="1440"/>
        <w:rPr>
          <w:rFonts w:cs="Arial"/>
          <w:szCs w:val="24"/>
        </w:rPr>
      </w:pPr>
      <w:r w:rsidRPr="00CE0885">
        <w:rPr>
          <w:rFonts w:cs="Arial"/>
          <w:szCs w:val="24"/>
        </w:rPr>
        <w:t>(c) two or more persons practising in a partnership, where paragraph (2) applies to—</w:t>
      </w:r>
    </w:p>
    <w:p w14:paraId="276DC5CA" w14:textId="77777777" w:rsidR="004A1E13" w:rsidRPr="00CE0885" w:rsidRDefault="004A1E13" w:rsidP="004A1E13">
      <w:pPr>
        <w:spacing w:line="360" w:lineRule="auto"/>
        <w:ind w:left="1440" w:firstLine="720"/>
        <w:rPr>
          <w:rFonts w:cs="Arial"/>
          <w:szCs w:val="24"/>
        </w:rPr>
      </w:pPr>
      <w:r w:rsidRPr="00CE0885">
        <w:rPr>
          <w:rFonts w:cs="Arial"/>
          <w:szCs w:val="24"/>
        </w:rPr>
        <w:t>(i) the partnership, or</w:t>
      </w:r>
    </w:p>
    <w:p w14:paraId="3949AD73" w14:textId="77777777" w:rsidR="004A1E13" w:rsidRPr="00CE0885" w:rsidRDefault="004A1E13" w:rsidP="004A1E13">
      <w:pPr>
        <w:spacing w:line="360" w:lineRule="auto"/>
        <w:ind w:left="1440" w:firstLine="720"/>
        <w:rPr>
          <w:rFonts w:cs="Arial"/>
          <w:szCs w:val="24"/>
        </w:rPr>
      </w:pPr>
      <w:r w:rsidRPr="00CE0885">
        <w:rPr>
          <w:rFonts w:cs="Arial"/>
          <w:szCs w:val="24"/>
        </w:rPr>
        <w:t>(ii) any person who is a partner in the partnership;</w:t>
      </w:r>
    </w:p>
    <w:p w14:paraId="5A8FF12A" w14:textId="77777777" w:rsidR="004A1E13" w:rsidRPr="00CE0885" w:rsidRDefault="004A1E13" w:rsidP="004A1E13">
      <w:pPr>
        <w:spacing w:line="360" w:lineRule="auto"/>
        <w:ind w:left="1440"/>
        <w:rPr>
          <w:rFonts w:cs="Arial"/>
          <w:szCs w:val="24"/>
        </w:rPr>
      </w:pPr>
      <w:r w:rsidRPr="00CE0885">
        <w:rPr>
          <w:rFonts w:cs="Arial"/>
          <w:szCs w:val="24"/>
        </w:rPr>
        <w:t>(d) an industrial and provident society(a), a friendly society, a voluntary organisation(b) or any other body where paragraph (2) applies to—</w:t>
      </w:r>
    </w:p>
    <w:p w14:paraId="5F23B0AC" w14:textId="77777777" w:rsidR="004A1E13" w:rsidRPr="00CE0885" w:rsidRDefault="004A1E13" w:rsidP="004A1E13">
      <w:pPr>
        <w:spacing w:line="360" w:lineRule="auto"/>
        <w:ind w:left="1440" w:firstLine="720"/>
        <w:rPr>
          <w:rFonts w:cs="Arial"/>
          <w:szCs w:val="24"/>
        </w:rPr>
      </w:pPr>
      <w:r w:rsidRPr="00CE0885">
        <w:rPr>
          <w:rFonts w:cs="Arial"/>
          <w:szCs w:val="24"/>
        </w:rPr>
        <w:t>(i) the society, organisation or body, or</w:t>
      </w:r>
    </w:p>
    <w:p w14:paraId="773D9D35" w14:textId="02F74093" w:rsidR="004A1E13" w:rsidRDefault="004A1E13" w:rsidP="004A1E13">
      <w:pPr>
        <w:spacing w:line="360" w:lineRule="auto"/>
        <w:ind w:left="2160"/>
        <w:rPr>
          <w:rFonts w:cs="Arial"/>
          <w:szCs w:val="24"/>
        </w:rPr>
      </w:pPr>
      <w:r w:rsidRPr="00CE0885">
        <w:rPr>
          <w:rFonts w:cs="Arial"/>
          <w:szCs w:val="24"/>
        </w:rPr>
        <w:t>(ii) an officer, trustee or any other person concerned with the management of the society, organisation or body.</w:t>
      </w:r>
    </w:p>
    <w:p w14:paraId="62750B96" w14:textId="77777777" w:rsidR="00096561" w:rsidRPr="00CE0885" w:rsidRDefault="00096561" w:rsidP="004A1E13">
      <w:pPr>
        <w:spacing w:line="360" w:lineRule="auto"/>
        <w:ind w:left="2160"/>
        <w:rPr>
          <w:rFonts w:cs="Arial"/>
          <w:szCs w:val="24"/>
        </w:rPr>
      </w:pPr>
    </w:p>
    <w:p w14:paraId="11C4FB95" w14:textId="77777777" w:rsidR="004A1E13" w:rsidRPr="00CE0885" w:rsidRDefault="004A1E13" w:rsidP="004A1E13">
      <w:pPr>
        <w:spacing w:line="360" w:lineRule="auto"/>
        <w:ind w:firstLine="720"/>
        <w:rPr>
          <w:rFonts w:cs="Arial"/>
          <w:szCs w:val="24"/>
        </w:rPr>
      </w:pPr>
      <w:r w:rsidRPr="00CE0885">
        <w:rPr>
          <w:rFonts w:cs="Arial"/>
          <w:szCs w:val="24"/>
        </w:rPr>
        <w:t>(2) This paragraph applies if—</w:t>
      </w:r>
    </w:p>
    <w:p w14:paraId="4CF44A63" w14:textId="77777777" w:rsidR="004A1E13" w:rsidRPr="00CE0885" w:rsidRDefault="004A1E13" w:rsidP="004A1E13">
      <w:pPr>
        <w:spacing w:line="360" w:lineRule="auto"/>
        <w:ind w:left="720" w:firstLine="720"/>
        <w:rPr>
          <w:rFonts w:cs="Arial"/>
          <w:szCs w:val="24"/>
        </w:rPr>
      </w:pPr>
      <w:r w:rsidRPr="00CE0885">
        <w:rPr>
          <w:rFonts w:cs="Arial"/>
          <w:szCs w:val="24"/>
        </w:rPr>
        <w:t>(a) the APMS contractor is the subject of a national disqualification;</w:t>
      </w:r>
    </w:p>
    <w:p w14:paraId="52D687D6" w14:textId="77777777" w:rsidR="004A1E13" w:rsidRPr="00CE0885" w:rsidRDefault="004A1E13" w:rsidP="004A1E13">
      <w:pPr>
        <w:spacing w:line="360" w:lineRule="auto"/>
        <w:ind w:left="1440"/>
        <w:rPr>
          <w:rFonts w:cs="Arial"/>
          <w:szCs w:val="24"/>
        </w:rPr>
      </w:pPr>
      <w:r w:rsidRPr="00CE0885">
        <w:rPr>
          <w:rFonts w:cs="Arial"/>
          <w:szCs w:val="24"/>
        </w:rPr>
        <w:t>(b) subject to paragraph (3), the APMS contractor is disqualified or suspended (other than by an interim suspension order or direction pending an investigation) from practising by a licensing body anywhere in the world;</w:t>
      </w:r>
    </w:p>
    <w:p w14:paraId="0B260EB6" w14:textId="447FB1CF" w:rsidR="004A1E13" w:rsidRPr="00CE0885" w:rsidRDefault="004A1E13" w:rsidP="004A1E13">
      <w:pPr>
        <w:pStyle w:val="Body2"/>
        <w:spacing w:before="0" w:after="0" w:line="360" w:lineRule="auto"/>
        <w:rPr>
          <w:rFonts w:cs="Arial"/>
          <w:sz w:val="24"/>
          <w:szCs w:val="24"/>
        </w:rPr>
      </w:pPr>
      <w:r w:rsidRPr="00CE0885">
        <w:rPr>
          <w:rFonts w:cs="Arial"/>
          <w:sz w:val="24"/>
          <w:szCs w:val="24"/>
        </w:rPr>
        <w:t xml:space="preserve">(c) the APMS contractor has, within the period of five years before the signing of the APMS contract or the commencement of the APMS contract (whichever is the earlier) </w:t>
      </w:r>
      <w:r w:rsidR="00D26A9F" w:rsidRPr="00CE0885">
        <w:rPr>
          <w:rFonts w:cs="Arial"/>
          <w:sz w:val="24"/>
          <w:szCs w:val="24"/>
        </w:rPr>
        <w:t>been dismissed</w:t>
      </w:r>
      <w:r w:rsidRPr="00CE0885">
        <w:rPr>
          <w:rFonts w:cs="Arial"/>
          <w:sz w:val="24"/>
          <w:szCs w:val="24"/>
        </w:rPr>
        <w:t xml:space="preserve"> (otherwise than by reason of redundancy) from any employment with a health service body, unless—</w:t>
      </w:r>
    </w:p>
    <w:p w14:paraId="4E0F1A28"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 xml:space="preserve">(i) if the APMS contractor was employed as a member of a health care profession at the time of the dismissal, the APMS contractor has not subsequently been employed by that health service body or by another health service body, and </w:t>
      </w:r>
    </w:p>
    <w:p w14:paraId="346B59A8"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(ii) the dismissal was the subject of a finding of unfair dismissal by any competent tribunal or court;</w:t>
      </w:r>
    </w:p>
    <w:p w14:paraId="155B55CE"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(d) the APMS contractor has, within the period of five years before the signing of the APMS contract or the commencement of the APMS contract (whichever is the earlier), been removed from, or refused admission to, a primary care list by reason of inefficiency, fraud or unsuitability (within the meaning given by section 151(2), (3) and (4) of the Act(a) (disqualification of practitioners)), or a performers list held by the Board by virtue of regulations made under section 91(3) (persons performing primary medical services) of the Act, unless the APMS contractor’s name has subsequently been included in such a list;</w:t>
      </w:r>
    </w:p>
    <w:p w14:paraId="6BF77628"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(e) the APMS contractor has been convicted in the United Kingdom of murder;</w:t>
      </w:r>
    </w:p>
    <w:p w14:paraId="0F7CD0D3"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(f) the APMS contractor has been convicted in the United Kingdom of a criminal offence other than murder, committed on or after 1st April 2002, and has been sentenced to a term of imprisonment of longer than six months;</w:t>
      </w:r>
    </w:p>
    <w:p w14:paraId="4263DE88"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(g) subject to paragraph (3), the APMS contractor has been convicted outside of the United Kingdom of an offence which would, if committed in England and Wales, constitute murder, and—</w:t>
      </w:r>
    </w:p>
    <w:p w14:paraId="0C5CE3DF"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 the offence was committed on or after 3rd November 2003, and</w:t>
      </w:r>
    </w:p>
    <w:p w14:paraId="629E9B08"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(ii) the APMS contractor was sentenced to a term of imprisonment of longer than six months;</w:t>
      </w:r>
    </w:p>
    <w:p w14:paraId="79AE6482"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(h) the APMS contractor has been convicted of an offence referred to in Schedule 1 to the Children and Young Persons Act 1933(b) (offences against children and young persons, with respect to which special provisions of this Act apply), or in Schedule 1 to the Criminal Procedure (Scotland) Act 1995(c) (offences against children under the age of 17 years to which special provisions apply) committed on or after 1st April 2004;</w:t>
      </w:r>
    </w:p>
    <w:p w14:paraId="3252D0EE"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 the APMS contractor has at any time been included in—</w:t>
      </w:r>
    </w:p>
    <w:p w14:paraId="2E25FE1F"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 any barred list within the meaning of section 2 of the Safeguarding Vulnerable Groups Act 2006(d) (barred lists), or</w:t>
      </w:r>
    </w:p>
    <w:p w14:paraId="0292C5EE"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(ii) any barred list within the meaning of article 6 of the Safeguarding Vulnerable Groups (Northern Ireland) Order 2007(e) (barred lists), unless the APMS contractor was removed from the list either on the grounds that it was not appropriate for the APMS contractor to have been included in it or as the result of a successful appeal;</w:t>
      </w:r>
    </w:p>
    <w:p w14:paraId="53BFE6B2"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 xml:space="preserve">(j) the APMS contractor has, within the period of five years before the signing of the APMS contract or the commencement of the APMS contract (whichever is the earlier), been removed from the office of charity trustee or trustee for a charity by an order made by the </w:t>
      </w:r>
      <w:r w:rsidRPr="00CE0885">
        <w:rPr>
          <w:rFonts w:cs="Arial"/>
        </w:rPr>
        <w:t xml:space="preserve"> </w:t>
      </w:r>
      <w:r w:rsidRPr="00CE0885">
        <w:rPr>
          <w:rFonts w:cs="Arial"/>
          <w:sz w:val="24"/>
          <w:szCs w:val="24"/>
        </w:rPr>
        <w:t>Charity Commission, the Charity Commission for Northern Ireland or the High Court, and that order was made on the grounds of misconduct or mismanagement in the administration of the charity for which the APMS contractor was responsible or to which the APMS contractor was privy, or which was contributed to, or facilitated, by the APMS contractor’s conduct;</w:t>
      </w:r>
    </w:p>
    <w:p w14:paraId="04020D17" w14:textId="3F97AEEB" w:rsidR="004A1E13" w:rsidRPr="00CE0885" w:rsidRDefault="004A1E13" w:rsidP="004A1E13">
      <w:pPr>
        <w:pStyle w:val="Body2"/>
        <w:spacing w:before="0" w:after="0" w:line="360" w:lineRule="auto"/>
        <w:rPr>
          <w:rFonts w:cs="Arial"/>
          <w:sz w:val="24"/>
          <w:szCs w:val="24"/>
        </w:rPr>
      </w:pPr>
      <w:r w:rsidRPr="00CE0885">
        <w:rPr>
          <w:rFonts w:cs="Arial"/>
          <w:sz w:val="24"/>
          <w:szCs w:val="24"/>
        </w:rPr>
        <w:t xml:space="preserve">(k) the APMS contractor has, within the period of five years before the signing of the APMS contract or the commencement of the APMS contract (whichever is the earlier), been removed from being concerned with the management or control of </w:t>
      </w:r>
      <w:r w:rsidR="00BC5F9C" w:rsidRPr="00CE0885">
        <w:rPr>
          <w:rFonts w:cs="Arial"/>
          <w:sz w:val="24"/>
          <w:szCs w:val="24"/>
        </w:rPr>
        <w:t>anybody</w:t>
      </w:r>
      <w:r w:rsidRPr="00CE0885">
        <w:rPr>
          <w:rFonts w:cs="Arial"/>
          <w:sz w:val="24"/>
          <w:szCs w:val="24"/>
        </w:rPr>
        <w:t xml:space="preserve"> in any case where removal was by virtue of section 34(5)(e) of the Charities and Trustees Investment (Scotland) Act 2005(a) (powers of the Court of Session);</w:t>
      </w:r>
    </w:p>
    <w:p w14:paraId="5DBCEE57"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(l) the APMS contractor has—</w:t>
      </w:r>
    </w:p>
    <w:p w14:paraId="34106848"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 been adjudged bankrupt and has not been discharged from the bankruptcy or the bankruptcy order has not been annulled, or</w:t>
      </w:r>
    </w:p>
    <w:p w14:paraId="747D627A"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(ii) had sequestration of the APMS contractor’s estate awarded and has not been discharged from the sequestration;</w:t>
      </w:r>
    </w:p>
    <w:p w14:paraId="0937D7BD"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(m) the APMS contractor is the subject of a bankruptcy restrictions order or an interim bankruptcy restrictions order under Schedule 4A to the Insolvency Act 1986(b) (bankruptcy restrictions order and undertaking), or Schedule 2A to the Insolvency (Northern Ireland) Order 1989(c) (bankruptcy restrictions order and undertaking), or sections 56A to 56K of the Bankruptcy (Scotland) Act 1985(d) (bankruptcy restrictions order, interim bankruptcy restrictions order and bankruptcy restrictions undertaking), unless the APMS contractor has been discharged from that order or that order has been annulled;</w:t>
      </w:r>
    </w:p>
    <w:p w14:paraId="3E5C130D"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(n) the APMS contractor—</w:t>
      </w:r>
    </w:p>
    <w:p w14:paraId="6D53A5B3"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 is subject to a moratorium period under a debt relief order under Part VIIA of the Insolvency Act 1986(e) (debt relief orders), or</w:t>
      </w:r>
    </w:p>
    <w:p w14:paraId="3D08A4E9"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(ii) is the subject of a debt relief restrictions order or an interim debt relief restrictions order under Schedule 4ZB to that Act(f) (debt relief restrictions orders and undertakings);</w:t>
      </w:r>
    </w:p>
    <w:p w14:paraId="0FAB533E"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(o) the APMS contractor has made a composition agreement or arrangement with, or has granted a trust deed for, the APMS contractor’s creditors and the APMS contractor has not been discharged in respect of it;</w:t>
      </w:r>
    </w:p>
    <w:p w14:paraId="3AA527C6"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(p) the APMS contractor is subject to—</w:t>
      </w:r>
    </w:p>
    <w:p w14:paraId="6CF39DE2"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 a disqualification order or a disqualification undertaking under section 1 of the Company Directors Disqualification Act 1986(g) (disqualification orders: general),</w:t>
      </w:r>
    </w:p>
    <w:p w14:paraId="58FCE7D4"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(ii) a disqualification order or a disqualification undertaking under article 3 (disqualification orders: general), or article 4 (disqualification undertakings: general) of the Company Directors Disqualification (Northern Ireland) Order 2002(h), or</w:t>
      </w:r>
    </w:p>
    <w:p w14:paraId="79568C40"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(iii) a disqualification order under section 429(2) of the Insolvency Act 1986(i) (disabilities on revocation of an administration order against an individual);</w:t>
      </w:r>
    </w:p>
    <w:p w14:paraId="084F6419"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(q) an administrator, administrative receiver or receiver has been appointed in respect of the APMS contractor;</w:t>
      </w:r>
    </w:p>
    <w:p w14:paraId="68BFB579"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(r) an administration order has been made in respect of the APMS contractor under Schedule B1 to the Insolvency Act 1986(a) (administration);</w:t>
      </w:r>
    </w:p>
    <w:p w14:paraId="1DA1CB1C"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(s) the APMS contractor is a partnership and—</w:t>
      </w:r>
    </w:p>
    <w:p w14:paraId="62F9B714"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 a dissolution of the partnership is ordered by any competent court, tribunal or arbitrator, or</w:t>
      </w:r>
    </w:p>
    <w:p w14:paraId="20F1662A"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(ii) an event happens that makes it unlawful for the business of the partnership to continue, or for members of the partnership to carry on in partnership.</w:t>
      </w:r>
    </w:p>
    <w:p w14:paraId="67E92250"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(3) Paragraph (2)(b) or, as the case may be, paragraph (2)(g), does not apply to a person where—</w:t>
      </w:r>
    </w:p>
    <w:p w14:paraId="75D634B8"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(a) that person—</w:t>
      </w:r>
    </w:p>
    <w:p w14:paraId="35B178FF"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 has been disqualified or suspended from practising by a licensing body outside of the United Kingdom, or</w:t>
      </w:r>
    </w:p>
    <w:p w14:paraId="747B95BE"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(ii) has been convicted outside of the United Kingdom of a criminal offence; and</w:t>
      </w:r>
    </w:p>
    <w:p w14:paraId="442C8253"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(b) the Board is satisfied that the disqualification or suspension or, as the case may be, the conviction, does not make the person unsuitable to be—</w:t>
      </w:r>
    </w:p>
    <w:p w14:paraId="7A907DFE"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 a party to an APMS contract;</w:t>
      </w:r>
    </w:p>
    <w:p w14:paraId="143E834B"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(ii) in the case of an APMS contract with a company, a director or secretary of a company entering into an APMS contract; or</w:t>
      </w:r>
    </w:p>
    <w:p w14:paraId="3D3F9E33"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(iii) in the case of an APMS contract with—</w:t>
      </w:r>
    </w:p>
    <w:p w14:paraId="4CA4EF15" w14:textId="77777777" w:rsidR="004A1E13" w:rsidRPr="00CE0885" w:rsidRDefault="004A1E13" w:rsidP="004A1E13">
      <w:pPr>
        <w:pStyle w:val="Body2"/>
        <w:spacing w:before="0" w:after="0" w:line="360" w:lineRule="auto"/>
        <w:ind w:left="2880"/>
        <w:rPr>
          <w:rFonts w:cs="Arial"/>
          <w:sz w:val="24"/>
          <w:szCs w:val="24"/>
        </w:rPr>
      </w:pPr>
      <w:r w:rsidRPr="00CE0885">
        <w:rPr>
          <w:rFonts w:cs="Arial"/>
          <w:sz w:val="24"/>
          <w:szCs w:val="24"/>
        </w:rPr>
        <w:t>(aa) an industrial or provident society,</w:t>
      </w:r>
    </w:p>
    <w:p w14:paraId="6E74C953" w14:textId="77777777" w:rsidR="004A1E13" w:rsidRPr="00CE0885" w:rsidRDefault="004A1E13" w:rsidP="004A1E13">
      <w:pPr>
        <w:pStyle w:val="Body2"/>
        <w:spacing w:before="0" w:after="0" w:line="360" w:lineRule="auto"/>
        <w:ind w:left="2880"/>
        <w:rPr>
          <w:rFonts w:cs="Arial"/>
          <w:sz w:val="24"/>
          <w:szCs w:val="24"/>
        </w:rPr>
      </w:pPr>
      <w:r w:rsidRPr="00CE0885">
        <w:rPr>
          <w:rFonts w:cs="Arial"/>
          <w:sz w:val="24"/>
          <w:szCs w:val="24"/>
        </w:rPr>
        <w:t>(bb) a friendly society,</w:t>
      </w:r>
    </w:p>
    <w:p w14:paraId="115C670C" w14:textId="77777777" w:rsidR="004A1E13" w:rsidRPr="00CE0885" w:rsidRDefault="004A1E13" w:rsidP="004A1E13">
      <w:pPr>
        <w:pStyle w:val="Body2"/>
        <w:spacing w:before="0" w:after="0" w:line="360" w:lineRule="auto"/>
        <w:ind w:left="2880"/>
        <w:rPr>
          <w:rFonts w:cs="Arial"/>
          <w:sz w:val="24"/>
          <w:szCs w:val="24"/>
        </w:rPr>
      </w:pPr>
      <w:r w:rsidRPr="00CE0885">
        <w:rPr>
          <w:rFonts w:cs="Arial"/>
          <w:sz w:val="24"/>
          <w:szCs w:val="24"/>
        </w:rPr>
        <w:t>(cc) a voluntary organisation, or</w:t>
      </w:r>
    </w:p>
    <w:p w14:paraId="20E9EE6F" w14:textId="77777777" w:rsidR="004A1E13" w:rsidRPr="00CE0885" w:rsidRDefault="004A1E13" w:rsidP="004A1E13">
      <w:pPr>
        <w:pStyle w:val="Body2"/>
        <w:spacing w:before="0" w:after="0" w:line="360" w:lineRule="auto"/>
        <w:ind w:left="2880"/>
        <w:rPr>
          <w:rFonts w:cs="Arial"/>
          <w:sz w:val="24"/>
          <w:szCs w:val="24"/>
        </w:rPr>
      </w:pPr>
      <w:r w:rsidRPr="00CE0885">
        <w:rPr>
          <w:rFonts w:cs="Arial"/>
          <w:sz w:val="24"/>
          <w:szCs w:val="24"/>
        </w:rPr>
        <w:t>(dd) another body, an officer, trustee or other person concerned with the management of such a society, organisation or other body entering into an APMS contract.</w:t>
      </w:r>
    </w:p>
    <w:p w14:paraId="496CDF35"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(4) For the purposes of paragraph (2)(c)—</w:t>
      </w:r>
    </w:p>
    <w:p w14:paraId="70BBC7A5"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(a) where a person has been employed as a member of a health care profession, any subsequent employment must also be as a member of that profession; and</w:t>
      </w:r>
    </w:p>
    <w:p w14:paraId="6EE70B83"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(b) a health service body includes a Strategic Health Authority or a Primary Care Trust which was established before the coming into force of section 33 (abolition of Strategic Health Authorities) or 34 (abolition of Primary Care Trusts) of the Health and Social Care Act 2012(b).</w:t>
      </w:r>
    </w:p>
    <w:p w14:paraId="595D6BD3" w14:textId="4775209F" w:rsidR="004A1E13" w:rsidRDefault="004A1E13" w:rsidP="003E284C">
      <w:pPr>
        <w:ind w:left="720"/>
        <w:rPr>
          <w:rFonts w:cs="Arial"/>
          <w:szCs w:val="24"/>
        </w:rPr>
      </w:pPr>
      <w:r w:rsidRPr="00CE0885">
        <w:rPr>
          <w:rFonts w:cs="Arial"/>
          <w:szCs w:val="24"/>
        </w:rPr>
        <w:t xml:space="preserve">(5) In this direction, “APMS contractor” includes a person with whom the Board is proposing to enter into an APMS contract. </w:t>
      </w:r>
      <w:r w:rsidRPr="00CE0885">
        <w:rPr>
          <w:rFonts w:cs="Arial"/>
          <w:szCs w:val="24"/>
        </w:rPr>
        <w:cr/>
      </w:r>
    </w:p>
    <w:p w14:paraId="67FE95D5" w14:textId="19D10D54" w:rsidR="000E55CA" w:rsidRPr="000E55CA" w:rsidRDefault="00BD3682" w:rsidP="000E55CA">
      <w:pPr>
        <w:pStyle w:val="Heading2"/>
      </w:pPr>
      <w:bookmarkStart w:id="211" w:name="_Toc95743391"/>
      <w:r w:rsidRPr="0044216C">
        <w:t>Annex 4 Primary Care Support Services Notifications</w:t>
      </w:r>
      <w:bookmarkEnd w:id="211"/>
    </w:p>
    <w:p w14:paraId="21ADAAA0" w14:textId="77777777" w:rsidR="00BD3682" w:rsidRPr="0044216C" w:rsidRDefault="00BD3682" w:rsidP="00BD3682">
      <w:pPr>
        <w:pStyle w:val="Body1"/>
        <w:spacing w:before="0" w:after="0" w:line="360" w:lineRule="auto"/>
        <w:jc w:val="center"/>
        <w:rPr>
          <w:rFonts w:cs="Arial"/>
          <w:b/>
          <w:sz w:val="24"/>
          <w:szCs w:val="24"/>
        </w:rPr>
      </w:pPr>
    </w:p>
    <w:p w14:paraId="7B874B71" w14:textId="5AF002B0" w:rsidR="00F77AAC" w:rsidRPr="0044216C" w:rsidRDefault="00BD3682" w:rsidP="00BD3682">
      <w:pPr>
        <w:pStyle w:val="Heading3"/>
      </w:pPr>
      <w:r w:rsidRPr="0044216C">
        <w:t xml:space="preserve">Commissioners should ensure that following any contract award or contract merger, </w:t>
      </w:r>
      <w:r w:rsidR="00F77AAC" w:rsidRPr="0044216C">
        <w:t xml:space="preserve">GP </w:t>
      </w:r>
      <w:r w:rsidRPr="0044216C">
        <w:t xml:space="preserve">performers are informed of their obligation to notify the Primary Care Support Services </w:t>
      </w:r>
      <w:r w:rsidR="00F77AAC" w:rsidRPr="0044216C">
        <w:t xml:space="preserve">(PCSS) </w:t>
      </w:r>
      <w:r w:rsidRPr="0044216C">
        <w:t xml:space="preserve">provider </w:t>
      </w:r>
      <w:r w:rsidR="00F77AAC" w:rsidRPr="0044216C">
        <w:t>PCSE</w:t>
      </w:r>
      <w:r w:rsidRPr="0044216C">
        <w:t xml:space="preserve"> using the relevant online portal or forms</w:t>
      </w:r>
      <w:r w:rsidR="00F77AAC" w:rsidRPr="0044216C">
        <w:t xml:space="preserve"> issued by ‘the Board’</w:t>
      </w:r>
      <w:r w:rsidR="00884CCF" w:rsidRPr="0044216C">
        <w:t xml:space="preserve"> within 28 days</w:t>
      </w:r>
      <w:r w:rsidRPr="0044216C">
        <w:t xml:space="preserve">. </w:t>
      </w:r>
      <w:hyperlink r:id="rId49" w:history="1">
        <w:r w:rsidR="00A010EF" w:rsidRPr="006E5911">
          <w:rPr>
            <w:rStyle w:val="Hyperlink"/>
          </w:rPr>
          <w:t>https://pcse.england.nhs.uk/</w:t>
        </w:r>
      </w:hyperlink>
      <w:r w:rsidR="00A010EF">
        <w:t xml:space="preserve"> </w:t>
      </w:r>
      <w:r w:rsidR="00A010EF" w:rsidRPr="0044216C" w:rsidDel="00A010EF">
        <w:t xml:space="preserve"> </w:t>
      </w:r>
    </w:p>
    <w:p w14:paraId="1E7784CF" w14:textId="03F8FF79" w:rsidR="00BD3682" w:rsidRDefault="00F77AAC" w:rsidP="00BD3682">
      <w:pPr>
        <w:pStyle w:val="Heading3"/>
      </w:pPr>
      <w:r w:rsidRPr="0044216C">
        <w:t xml:space="preserve">Additionally and more generally, GP performers and indeed performers in all contractor groups are required to notify the PCSS provider of any changes relevant to their entry on the national performers list.  </w:t>
      </w:r>
      <w:r w:rsidR="00BD3682" w:rsidRPr="0044216C">
        <w:t xml:space="preserve">Further information is avaialbe here </w:t>
      </w:r>
      <w:hyperlink r:id="rId50" w:history="1">
        <w:r w:rsidR="00BD3682" w:rsidRPr="0044216C">
          <w:rPr>
            <w:rStyle w:val="Hyperlink"/>
          </w:rPr>
          <w:t>https://pcse.england.nhs.uk/services/performers-lists/gp-performers-list-for-england/</w:t>
        </w:r>
      </w:hyperlink>
      <w:r w:rsidR="00BD3682" w:rsidRPr="0044216C">
        <w:t xml:space="preserve"> </w:t>
      </w:r>
    </w:p>
    <w:p w14:paraId="026D8207" w14:textId="3E21FB71" w:rsidR="000E55CA" w:rsidRDefault="000E55CA" w:rsidP="000E55CA"/>
    <w:p w14:paraId="38B80109" w14:textId="37A849CB" w:rsidR="000E55CA" w:rsidRDefault="000E55CA" w:rsidP="000E55CA"/>
    <w:p w14:paraId="4E23BA1A" w14:textId="4BA74A9E" w:rsidR="000E55CA" w:rsidRDefault="000E55CA" w:rsidP="000E55CA"/>
    <w:p w14:paraId="6BE65AB3" w14:textId="0D572A89" w:rsidR="000E55CA" w:rsidRDefault="000E55CA" w:rsidP="000E55CA"/>
    <w:p w14:paraId="64076EC8" w14:textId="56906EB2" w:rsidR="000E55CA" w:rsidRDefault="000E55CA" w:rsidP="000E55CA"/>
    <w:p w14:paraId="7DF389FD" w14:textId="0134965E" w:rsidR="000E55CA" w:rsidRDefault="000E55CA" w:rsidP="000E55CA"/>
    <w:p w14:paraId="5979344B" w14:textId="0D2F99A1" w:rsidR="000E55CA" w:rsidRDefault="000E55CA" w:rsidP="000E55CA"/>
    <w:p w14:paraId="76256464" w14:textId="2D5203EE" w:rsidR="000E55CA" w:rsidRDefault="000E55CA" w:rsidP="000E55CA"/>
    <w:p w14:paraId="3E6D79BC" w14:textId="06901145" w:rsidR="000E55CA" w:rsidRDefault="000E55CA" w:rsidP="000E55CA"/>
    <w:p w14:paraId="5FF32E40" w14:textId="6BEC102B" w:rsidR="000E55CA" w:rsidRDefault="000E55CA" w:rsidP="000E55CA"/>
    <w:p w14:paraId="5A35426C" w14:textId="6236483B" w:rsidR="000E55CA" w:rsidRDefault="000E55CA" w:rsidP="000E55CA"/>
    <w:p w14:paraId="577DFC1D" w14:textId="77777777" w:rsidR="000E55CA" w:rsidRPr="000E55CA" w:rsidRDefault="000E55CA" w:rsidP="000E55CA"/>
    <w:p w14:paraId="060C7EBB" w14:textId="77777777" w:rsidR="000E55CA" w:rsidRPr="00C132F9" w:rsidRDefault="000E55CA" w:rsidP="000E55CA">
      <w:pPr>
        <w:numPr>
          <w:ilvl w:val="1"/>
          <w:numId w:val="2"/>
        </w:numPr>
        <w:spacing w:line="360" w:lineRule="auto"/>
        <w:ind w:left="2561"/>
        <w:outlineLvl w:val="1"/>
        <w:rPr>
          <w:b/>
          <w:iCs/>
          <w:color w:val="7C2855" w:themeColor="background2"/>
          <w:sz w:val="28"/>
          <w:szCs w:val="28"/>
        </w:rPr>
      </w:pPr>
      <w:bookmarkStart w:id="212" w:name="_Toc95743392"/>
      <w:r w:rsidRPr="00C132F9">
        <w:rPr>
          <w:b/>
          <w:iCs/>
          <w:color w:val="7C2855" w:themeColor="background2"/>
          <w:sz w:val="28"/>
          <w:szCs w:val="28"/>
        </w:rPr>
        <w:t>Working with Primary Care Support England (PCSE) (delivered on behalf of NHS England by Capita)</w:t>
      </w:r>
      <w:bookmarkEnd w:id="212"/>
    </w:p>
    <w:p w14:paraId="286671D9" w14:textId="77777777" w:rsidR="000E55CA" w:rsidRPr="00C132F9" w:rsidRDefault="000E55CA" w:rsidP="000E55CA">
      <w:pPr>
        <w:numPr>
          <w:ilvl w:val="2"/>
          <w:numId w:val="2"/>
        </w:numPr>
        <w:spacing w:line="360" w:lineRule="auto"/>
        <w:outlineLvl w:val="2"/>
        <w:rPr>
          <w:b/>
        </w:rPr>
      </w:pPr>
      <w:r w:rsidRPr="00C132F9">
        <w:rPr>
          <w:b/>
        </w:rPr>
        <w:t>Brief Introduction to PCSE (</w:t>
      </w:r>
      <w:hyperlink r:id="rId51" w:history="1">
        <w:r w:rsidRPr="00C132F9">
          <w:rPr>
            <w:color w:val="0000FF"/>
            <w:u w:val="single"/>
          </w:rPr>
          <w:t>https://pcse.england.nhs.uk/organisations/general-practices/</w:t>
        </w:r>
      </w:hyperlink>
      <w:r w:rsidRPr="00C132F9">
        <w:rPr>
          <w:b/>
        </w:rPr>
        <w:t xml:space="preserve">) </w:t>
      </w:r>
    </w:p>
    <w:p w14:paraId="7D2A6839" w14:textId="77777777" w:rsidR="000E55CA" w:rsidRPr="00C132F9" w:rsidRDefault="000E55CA" w:rsidP="000E55CA">
      <w:pPr>
        <w:keepNext/>
        <w:keepLines/>
        <w:numPr>
          <w:ilvl w:val="3"/>
          <w:numId w:val="2"/>
        </w:numPr>
        <w:spacing w:before="200" w:line="360" w:lineRule="auto"/>
        <w:outlineLvl w:val="3"/>
        <w:rPr>
          <w:rFonts w:eastAsiaTheme="majorEastAsia" w:cstheme="majorBidi"/>
          <w:bCs w:val="0"/>
          <w:iCs/>
          <w:color w:val="000000" w:themeColor="text1"/>
          <w:lang w:eastAsia="en-GB"/>
        </w:rPr>
      </w:pPr>
      <w:r w:rsidRPr="00C132F9">
        <w:rPr>
          <w:rFonts w:eastAsiaTheme="majorEastAsia" w:cstheme="majorBidi"/>
          <w:bCs w:val="0"/>
          <w:iCs/>
          <w:color w:val="000000" w:themeColor="text1"/>
          <w:lang w:eastAsia="en-GB"/>
        </w:rPr>
        <w:t>In September 2015, PCSE took on responsibility for the delivery of NHS England’s primary care support services. PCSE provides support services to GP Practices, Pharmacies, Dentists and Opticians.  For General practices they provide services covering:</w:t>
      </w:r>
    </w:p>
    <w:p w14:paraId="5EED3D1B" w14:textId="77777777" w:rsidR="000E55CA" w:rsidRPr="00C132F9" w:rsidRDefault="000E55CA" w:rsidP="000E55CA">
      <w:pPr>
        <w:numPr>
          <w:ilvl w:val="0"/>
          <w:numId w:val="95"/>
        </w:numPr>
        <w:spacing w:before="200" w:after="60" w:line="276" w:lineRule="auto"/>
        <w:jc w:val="both"/>
        <w:rPr>
          <w:bCs w:val="0"/>
          <w:szCs w:val="20"/>
          <w:lang w:eastAsia="en-GB"/>
        </w:rPr>
      </w:pPr>
      <w:r w:rsidRPr="00C132F9">
        <w:rPr>
          <w:bCs w:val="0"/>
          <w:szCs w:val="20"/>
          <w:lang w:eastAsia="en-GB"/>
        </w:rPr>
        <w:t>Registrations and List Maintenance (Exeter and PDS);</w:t>
      </w:r>
    </w:p>
    <w:p w14:paraId="4E4E0BF3" w14:textId="77777777" w:rsidR="000E55CA" w:rsidRPr="00C132F9" w:rsidRDefault="000E55CA" w:rsidP="000E55CA">
      <w:pPr>
        <w:numPr>
          <w:ilvl w:val="0"/>
          <w:numId w:val="95"/>
        </w:numPr>
        <w:spacing w:before="200" w:after="60" w:line="276" w:lineRule="auto"/>
        <w:jc w:val="both"/>
        <w:rPr>
          <w:bCs w:val="0"/>
          <w:szCs w:val="20"/>
          <w:lang w:eastAsia="en-GB"/>
        </w:rPr>
      </w:pPr>
      <w:r w:rsidRPr="00C132F9">
        <w:rPr>
          <w:bCs w:val="0"/>
          <w:szCs w:val="20"/>
          <w:lang w:eastAsia="en-GB"/>
        </w:rPr>
        <w:t>Medical Records – Responsible for moving hard copy patient medical records and temporary patient records between practices and into storage;</w:t>
      </w:r>
    </w:p>
    <w:p w14:paraId="232D4CA2" w14:textId="77777777" w:rsidR="000E55CA" w:rsidRPr="00C132F9" w:rsidRDefault="000E55CA" w:rsidP="000E55CA">
      <w:pPr>
        <w:numPr>
          <w:ilvl w:val="0"/>
          <w:numId w:val="95"/>
        </w:numPr>
        <w:spacing w:before="200" w:after="60" w:line="276" w:lineRule="auto"/>
        <w:jc w:val="both"/>
        <w:rPr>
          <w:bCs w:val="0"/>
          <w:szCs w:val="20"/>
          <w:lang w:eastAsia="en-GB"/>
        </w:rPr>
      </w:pPr>
      <w:r w:rsidRPr="00C132F9">
        <w:rPr>
          <w:bCs w:val="0"/>
          <w:szCs w:val="20"/>
          <w:lang w:eastAsia="en-GB"/>
        </w:rPr>
        <w:t>Supplies – Providing NHS stationery, pre-printed forms, needles and syringes via an online portal;</w:t>
      </w:r>
    </w:p>
    <w:p w14:paraId="1BE1B726" w14:textId="77777777" w:rsidR="000E55CA" w:rsidRPr="00C132F9" w:rsidRDefault="000E55CA" w:rsidP="000E55CA">
      <w:pPr>
        <w:numPr>
          <w:ilvl w:val="0"/>
          <w:numId w:val="95"/>
        </w:numPr>
        <w:spacing w:before="200" w:after="60" w:line="276" w:lineRule="auto"/>
        <w:jc w:val="both"/>
        <w:rPr>
          <w:bCs w:val="0"/>
          <w:szCs w:val="20"/>
          <w:lang w:eastAsia="en-GB"/>
        </w:rPr>
      </w:pPr>
      <w:r w:rsidRPr="00C132F9">
        <w:rPr>
          <w:bCs w:val="0"/>
          <w:szCs w:val="20"/>
          <w:lang w:eastAsia="en-GB"/>
        </w:rPr>
        <w:t>GP Payments and Pensions – Administrating monthly contracts and reimbursements to GP practices;</w:t>
      </w:r>
    </w:p>
    <w:p w14:paraId="3D3BED8B" w14:textId="77777777" w:rsidR="000E55CA" w:rsidRPr="00C132F9" w:rsidRDefault="000E55CA" w:rsidP="000E55CA">
      <w:pPr>
        <w:numPr>
          <w:ilvl w:val="0"/>
          <w:numId w:val="95"/>
        </w:numPr>
        <w:spacing w:before="200" w:after="60" w:line="276" w:lineRule="auto"/>
        <w:jc w:val="both"/>
        <w:rPr>
          <w:bCs w:val="0"/>
          <w:szCs w:val="20"/>
          <w:lang w:eastAsia="en-GB"/>
        </w:rPr>
      </w:pPr>
      <w:r w:rsidRPr="00C132F9">
        <w:rPr>
          <w:bCs w:val="0"/>
          <w:szCs w:val="20"/>
          <w:lang w:eastAsia="en-GB"/>
        </w:rPr>
        <w:t>The National Performers List (NPL) – Administering entry and changes to Performers Lists on behalf of NHS England;</w:t>
      </w:r>
    </w:p>
    <w:p w14:paraId="3F14C4F0" w14:textId="77777777" w:rsidR="000E55CA" w:rsidRPr="00C132F9" w:rsidRDefault="000E55CA" w:rsidP="000E55CA">
      <w:pPr>
        <w:numPr>
          <w:ilvl w:val="0"/>
          <w:numId w:val="95"/>
        </w:numPr>
        <w:spacing w:before="200" w:after="60" w:line="276" w:lineRule="auto"/>
        <w:jc w:val="both"/>
        <w:rPr>
          <w:bCs w:val="0"/>
          <w:szCs w:val="20"/>
          <w:lang w:eastAsia="en-GB"/>
        </w:rPr>
      </w:pPr>
      <w:r w:rsidRPr="00C132F9">
        <w:rPr>
          <w:bCs w:val="0"/>
          <w:szCs w:val="20"/>
          <w:lang w:eastAsia="en-GB"/>
        </w:rPr>
        <w:t>Cervical Screening – Delivering prior notification lists of patients eligible for screening to GPs, sending out call;</w:t>
      </w:r>
    </w:p>
    <w:p w14:paraId="1AD4040E" w14:textId="77777777" w:rsidR="000E55CA" w:rsidRPr="00C132F9" w:rsidRDefault="000E55CA" w:rsidP="000E55CA">
      <w:pPr>
        <w:numPr>
          <w:ilvl w:val="0"/>
          <w:numId w:val="95"/>
        </w:numPr>
        <w:spacing w:before="200" w:after="60" w:line="276" w:lineRule="auto"/>
        <w:jc w:val="both"/>
        <w:rPr>
          <w:bCs w:val="0"/>
          <w:szCs w:val="20"/>
          <w:lang w:eastAsia="en-GB"/>
        </w:rPr>
      </w:pPr>
      <w:r w:rsidRPr="00C132F9">
        <w:rPr>
          <w:bCs w:val="0"/>
          <w:szCs w:val="20"/>
          <w:lang w:eastAsia="en-GB"/>
        </w:rPr>
        <w:t>Open Exeter – Providing access control support for Open Exeter.</w:t>
      </w:r>
    </w:p>
    <w:p w14:paraId="52AC50E5" w14:textId="77777777" w:rsidR="000E55CA" w:rsidRPr="00C132F9" w:rsidRDefault="000E55CA" w:rsidP="000E55CA">
      <w:pPr>
        <w:numPr>
          <w:ilvl w:val="0"/>
          <w:numId w:val="95"/>
        </w:numPr>
        <w:spacing w:before="200" w:after="60" w:line="276" w:lineRule="auto"/>
        <w:jc w:val="both"/>
        <w:rPr>
          <w:bCs w:val="0"/>
          <w:szCs w:val="20"/>
          <w:lang w:eastAsia="en-GB"/>
        </w:rPr>
      </w:pPr>
      <w:r w:rsidRPr="00C132F9">
        <w:rPr>
          <w:bCs w:val="0"/>
          <w:szCs w:val="20"/>
          <w:lang w:eastAsia="en-GB"/>
        </w:rPr>
        <w:t>Practice Mergers and Closures – Administering the mergers and closures of GP practices.</w:t>
      </w:r>
    </w:p>
    <w:p w14:paraId="737149B4" w14:textId="77777777" w:rsidR="00BD3682" w:rsidRPr="0015247B" w:rsidRDefault="00BD3682" w:rsidP="003E284C">
      <w:pPr>
        <w:ind w:left="720"/>
        <w:rPr>
          <w:lang w:eastAsia="en-GB"/>
        </w:rPr>
      </w:pPr>
    </w:p>
    <w:p w14:paraId="3FA1A2FD" w14:textId="3806AC4F" w:rsidR="0015247B" w:rsidRPr="00670323" w:rsidRDefault="00B42132" w:rsidP="00670323">
      <w:pPr>
        <w:pStyle w:val="Heading1"/>
      </w:pPr>
      <w:r>
        <w:rPr>
          <w:lang w:eastAsia="en-GB"/>
        </w:rPr>
        <w:br w:type="page"/>
      </w:r>
      <w:bookmarkStart w:id="213" w:name="_Toc95743393"/>
      <w:r w:rsidR="00670323" w:rsidRPr="00670323">
        <w:t xml:space="preserve">Assurance Framework </w:t>
      </w:r>
      <w:r w:rsidR="009870E4">
        <w:t xml:space="preserve">for </w:t>
      </w:r>
      <w:r w:rsidR="00670323" w:rsidRPr="00670323">
        <w:t>Contract Review</w:t>
      </w:r>
      <w:r w:rsidR="009870E4">
        <w:t>s</w:t>
      </w:r>
      <w:bookmarkEnd w:id="213"/>
    </w:p>
    <w:p w14:paraId="44421550" w14:textId="77777777" w:rsidR="0015247B" w:rsidRDefault="0015247B" w:rsidP="0015247B">
      <w:pPr>
        <w:rPr>
          <w:lang w:eastAsia="en-GB"/>
        </w:rPr>
      </w:pPr>
    </w:p>
    <w:p w14:paraId="79C60A9A" w14:textId="747499A5" w:rsidR="006C49D5" w:rsidRPr="0015247B" w:rsidRDefault="006C49D5" w:rsidP="0015247B">
      <w:pPr>
        <w:rPr>
          <w:lang w:eastAsia="en-GB"/>
        </w:rPr>
      </w:pPr>
    </w:p>
    <w:p w14:paraId="2D7A7298" w14:textId="77777777" w:rsidR="00670323" w:rsidRPr="0033393E" w:rsidRDefault="00670323" w:rsidP="00670323">
      <w:pPr>
        <w:pStyle w:val="Heading2"/>
        <w:rPr>
          <w:rFonts w:eastAsia="Calibri"/>
        </w:rPr>
      </w:pPr>
      <w:bookmarkStart w:id="214" w:name="_Toc95743394"/>
      <w:r w:rsidRPr="0033393E">
        <w:rPr>
          <w:rFonts w:eastAsia="Calibri"/>
        </w:rPr>
        <w:t>Introduction</w:t>
      </w:r>
      <w:bookmarkEnd w:id="214"/>
    </w:p>
    <w:p w14:paraId="2379AE9A" w14:textId="7E998AB0" w:rsidR="001309CF" w:rsidRDefault="00670323" w:rsidP="00B83042">
      <w:pPr>
        <w:pStyle w:val="Heading3"/>
      </w:pPr>
      <w:r w:rsidRPr="0033393E">
        <w:t xml:space="preserve">Commissioners of Primary Medical Care are responsible for the quality, safety and performance of services delivered by providers, within their area of responsibility. </w:t>
      </w:r>
      <w:r w:rsidR="00B83042" w:rsidRPr="00F54F06">
        <w:rPr>
          <w:highlight w:val="yellow"/>
        </w:rPr>
        <w:t>CCGs/ICBs</w:t>
      </w:r>
      <w:r w:rsidR="00A010EF" w:rsidRPr="00F54F06">
        <w:rPr>
          <w:highlight w:val="yellow"/>
        </w:rPr>
        <w:t xml:space="preserve"> must have due regard to their obligations as set out within the delegation agreement </w:t>
      </w:r>
      <w:r w:rsidR="001309CF" w:rsidRPr="00F54F06">
        <w:rPr>
          <w:highlight w:val="yellow"/>
        </w:rPr>
        <w:t>which includes adherence with policies and guidance issued by NHS England, including this PGM.</w:t>
      </w:r>
      <w:r w:rsidR="001309CF">
        <w:t xml:space="preserve"> </w:t>
      </w:r>
    </w:p>
    <w:p w14:paraId="4D8AF747" w14:textId="11BFF1A4" w:rsidR="00670323" w:rsidRPr="0033393E" w:rsidRDefault="00670323" w:rsidP="00B83042">
      <w:pPr>
        <w:pStyle w:val="Heading3"/>
      </w:pPr>
      <w:r w:rsidRPr="0033393E">
        <w:t xml:space="preserve">Commissioners </w:t>
      </w:r>
      <w:r w:rsidR="001309CF">
        <w:t xml:space="preserve">also </w:t>
      </w:r>
      <w:r w:rsidRPr="0033393E">
        <w:t xml:space="preserve">have a statutory duty to conduct a routine annual review of every primary medical care contract it holds.  This is covered through the </w:t>
      </w:r>
      <w:r w:rsidR="001309CF">
        <w:t>G</w:t>
      </w:r>
      <w:r w:rsidR="001309CF" w:rsidRPr="001309CF">
        <w:t>eneral</w:t>
      </w:r>
      <w:r w:rsidR="001309CF">
        <w:t xml:space="preserve"> P</w:t>
      </w:r>
      <w:r w:rsidR="001309CF" w:rsidRPr="001309CF">
        <w:t>ractice</w:t>
      </w:r>
      <w:r w:rsidR="001309CF">
        <w:t xml:space="preserve"> A</w:t>
      </w:r>
      <w:r w:rsidR="001309CF" w:rsidRPr="001309CF">
        <w:t>nnual</w:t>
      </w:r>
      <w:r w:rsidR="001309CF">
        <w:t xml:space="preserve"> E</w:t>
      </w:r>
      <w:r w:rsidR="001309CF" w:rsidRPr="001309CF">
        <w:t>lectronic</w:t>
      </w:r>
      <w:r w:rsidR="001309CF">
        <w:t xml:space="preserve"> S</w:t>
      </w:r>
      <w:r w:rsidR="001309CF" w:rsidRPr="001309CF">
        <w:t>elf-declaration</w:t>
      </w:r>
      <w:r w:rsidR="001309CF">
        <w:t xml:space="preserve"> </w:t>
      </w:r>
      <w:r w:rsidRPr="0033393E">
        <w:t>(eDec) collection which NHS England has established with providers</w:t>
      </w:r>
      <w:r w:rsidR="001309CF">
        <w:t xml:space="preserve"> (and is currently delivered by NHS Digital)</w:t>
      </w:r>
      <w:r w:rsidRPr="0033393E">
        <w:t xml:space="preserve">. </w:t>
      </w:r>
      <w:r w:rsidR="001309CF">
        <w:t>C</w:t>
      </w:r>
      <w:r w:rsidRPr="0033393E">
        <w:t>ommissioners should ensure they review practice eDec returns following submission</w:t>
      </w:r>
      <w:r w:rsidR="001309CF">
        <w:t xml:space="preserve">. NHS England produces </w:t>
      </w:r>
      <w:r w:rsidRPr="0033393E">
        <w:t xml:space="preserve">subsequent national analysis </w:t>
      </w:r>
      <w:r w:rsidR="009870E4">
        <w:t xml:space="preserve">to support commissioners identify variation or matters of declared non-compliance </w:t>
      </w:r>
      <w:r w:rsidRPr="0033393E">
        <w:t xml:space="preserve">(e.g. NHS England’s eDec outlier report which will </w:t>
      </w:r>
      <w:r w:rsidR="00607071">
        <w:t xml:space="preserve">usually </w:t>
      </w:r>
      <w:r w:rsidRPr="0033393E">
        <w:t>be made available 6-8 weeks following eDec clos</w:t>
      </w:r>
      <w:r w:rsidR="001F6912">
        <w:t>ure</w:t>
      </w:r>
      <w:r w:rsidRPr="0033393E">
        <w:t>)</w:t>
      </w:r>
      <w:r w:rsidR="009870E4">
        <w:t>.</w:t>
      </w:r>
    </w:p>
    <w:p w14:paraId="08CBA7B4" w14:textId="304749B4" w:rsidR="009870E4" w:rsidRDefault="00670323" w:rsidP="009870E4">
      <w:pPr>
        <w:pStyle w:val="Heading3"/>
      </w:pPr>
      <w:r w:rsidRPr="0033393E">
        <w:t>This chapter outlines the approach to be taken by commissioners when overseeing primary medical care contracts to ensure compliance with quality and safety standards</w:t>
      </w:r>
      <w:r w:rsidR="009870E4">
        <w:t>.</w:t>
      </w:r>
      <w:r w:rsidR="009870E4" w:rsidRPr="009870E4">
        <w:t xml:space="preserve"> </w:t>
      </w:r>
    </w:p>
    <w:p w14:paraId="11BD7F8D" w14:textId="0DEF8638" w:rsidR="009870E4" w:rsidRPr="009870E4" w:rsidRDefault="009870E4" w:rsidP="009870E4">
      <w:pPr>
        <w:pStyle w:val="Heading3"/>
      </w:pPr>
      <w:r w:rsidRPr="0033393E">
        <w:t>It is important to note that whilst exercising of the function</w:t>
      </w:r>
      <w:r>
        <w:t xml:space="preserve"> has</w:t>
      </w:r>
      <w:r w:rsidRPr="0033393E">
        <w:t xml:space="preserve"> passe</w:t>
      </w:r>
      <w:r>
        <w:t>d</w:t>
      </w:r>
      <w:r w:rsidRPr="0033393E">
        <w:t xml:space="preserve"> to </w:t>
      </w:r>
      <w:r w:rsidR="00B83042">
        <w:t>CCG/ICBCCGs/ICBs</w:t>
      </w:r>
      <w:r w:rsidRPr="0033393E">
        <w:t>, NHS England</w:t>
      </w:r>
      <w:r>
        <w:t xml:space="preserve"> remains accountable</w:t>
      </w:r>
      <w:r w:rsidRPr="0033393E">
        <w:t>.</w:t>
      </w:r>
      <w:r>
        <w:t xml:space="preserve"> </w:t>
      </w:r>
      <w:r w:rsidRPr="009870E4">
        <w:t xml:space="preserve">Assurance of </w:t>
      </w:r>
      <w:r w:rsidR="00B83042">
        <w:t>CCGs/ICBs</w:t>
      </w:r>
      <w:r w:rsidRPr="009870E4">
        <w:t xml:space="preserve"> commissioning of Primary Care will be covered outside of this </w:t>
      </w:r>
      <w:r>
        <w:t>PGM</w:t>
      </w:r>
      <w:r w:rsidRPr="009870E4">
        <w:t xml:space="preserve">. </w:t>
      </w:r>
    </w:p>
    <w:p w14:paraId="5BCD4587" w14:textId="77777777" w:rsidR="00670323" w:rsidRPr="0033393E" w:rsidRDefault="00670323" w:rsidP="00670323">
      <w:pPr>
        <w:pStyle w:val="Heading3"/>
      </w:pPr>
      <w:r w:rsidRPr="0033393E">
        <w:t>Commissioners are reminded that early engagement with LMCs presents the best opportunity to support practices in making effective and sustainable changes to support service improvement, should this be found to be appropriate and necessary.</w:t>
      </w:r>
    </w:p>
    <w:p w14:paraId="6CF13697" w14:textId="4508CEC3" w:rsidR="00670323" w:rsidRPr="0033393E" w:rsidRDefault="00670323" w:rsidP="00670323">
      <w:pPr>
        <w:pStyle w:val="Heading3"/>
      </w:pPr>
      <w:r w:rsidRPr="0033393E">
        <w:t xml:space="preserve">This </w:t>
      </w:r>
      <w:r w:rsidR="009870E4">
        <w:t>chapter</w:t>
      </w:r>
      <w:r w:rsidRPr="0033393E">
        <w:t xml:space="preserve"> provides an outline </w:t>
      </w:r>
      <w:r w:rsidR="009870E4">
        <w:t xml:space="preserve">framework </w:t>
      </w:r>
      <w:r w:rsidRPr="0033393E">
        <w:t xml:space="preserve">for assessing general practice </w:t>
      </w:r>
      <w:r w:rsidR="009870E4">
        <w:t xml:space="preserve">services delivered </w:t>
      </w:r>
      <w:r w:rsidRPr="0033393E">
        <w:t>through the normal contractual</w:t>
      </w:r>
      <w:r w:rsidR="009870E4">
        <w:t xml:space="preserve"> routes</w:t>
      </w:r>
      <w:r w:rsidRPr="0033393E">
        <w:t xml:space="preserve"> (i.e. </w:t>
      </w:r>
      <w:r w:rsidR="009870E4">
        <w:t>GMS, PMS and APMS)</w:t>
      </w:r>
      <w:r w:rsidRPr="0033393E">
        <w:t>.</w:t>
      </w:r>
    </w:p>
    <w:p w14:paraId="25176304" w14:textId="051C31F7" w:rsidR="00670323" w:rsidRPr="00670323" w:rsidRDefault="00670323" w:rsidP="00670323">
      <w:pPr>
        <w:pStyle w:val="Heading3"/>
        <w:spacing w:before="120" w:after="120" w:line="276" w:lineRule="auto"/>
        <w:ind w:right="160"/>
        <w:rPr>
          <w:rFonts w:eastAsia="Arial" w:cs="Arial"/>
        </w:rPr>
      </w:pPr>
      <w:r w:rsidRPr="0033393E">
        <w:t xml:space="preserve">This chapter </w:t>
      </w:r>
      <w:r w:rsidRPr="00670323">
        <w:rPr>
          <w:b/>
          <w:u w:val="single"/>
        </w:rPr>
        <w:t>will not</w:t>
      </w:r>
      <w:r w:rsidRPr="0033393E">
        <w:t xml:space="preserve"> re-cover details of the various types of contract or the contractual actions available as these are covered elsewhere within this manual. It will aim to provide practical advice and guidance to support commissioners and contract managers.</w:t>
      </w:r>
    </w:p>
    <w:p w14:paraId="0D3E462E" w14:textId="77777777" w:rsidR="00670323" w:rsidRPr="0033393E" w:rsidRDefault="00670323" w:rsidP="00670323">
      <w:pPr>
        <w:pStyle w:val="Heading2"/>
        <w:rPr>
          <w:rFonts w:eastAsia="Calibri"/>
        </w:rPr>
      </w:pPr>
      <w:bookmarkStart w:id="215" w:name="_Toc95743395"/>
      <w:r w:rsidRPr="0033393E">
        <w:rPr>
          <w:rFonts w:eastAsia="Calibri"/>
        </w:rPr>
        <w:t>Background</w:t>
      </w:r>
      <w:bookmarkEnd w:id="215"/>
    </w:p>
    <w:p w14:paraId="29170F41" w14:textId="77777777" w:rsidR="00670323" w:rsidRPr="0033393E" w:rsidRDefault="00670323" w:rsidP="00670323">
      <w:pPr>
        <w:pStyle w:val="Heading3"/>
      </w:pPr>
      <w:r w:rsidRPr="0033393E">
        <w:t>Whilst it is recognised that most health care professionals and providers of Primary Medical Care operate to a very high standard, it is essential that commissioners have robust monitoring arrangements in place.</w:t>
      </w:r>
    </w:p>
    <w:p w14:paraId="4591E555" w14:textId="23917542" w:rsidR="00670323" w:rsidRPr="0033393E" w:rsidRDefault="00670323" w:rsidP="00670323">
      <w:pPr>
        <w:pStyle w:val="Heading3"/>
      </w:pPr>
      <w:r w:rsidRPr="0033393E">
        <w:t xml:space="preserve">Monitoring arrangements should create a balance of support, oversight and intervention where necessary.  </w:t>
      </w:r>
      <w:r w:rsidR="00D26A9F" w:rsidRPr="0033393E">
        <w:t>Furthermore,</w:t>
      </w:r>
      <w:r w:rsidRPr="0033393E">
        <w:t xml:space="preserve"> it should create a culture of openness and transparency and a vehicle to promote peer to peer improvement.</w:t>
      </w:r>
    </w:p>
    <w:p w14:paraId="0E71161B" w14:textId="10DE25EF" w:rsidR="00670323" w:rsidRDefault="00B83042" w:rsidP="00670323">
      <w:pPr>
        <w:pStyle w:val="Heading3"/>
      </w:pPr>
      <w:r>
        <w:t>CCGs/ICBsCCGs/ICBs</w:t>
      </w:r>
      <w:r w:rsidR="00670323" w:rsidRPr="0033393E">
        <w:t xml:space="preserve">Whilst Practices as providers are accountable for the quality of services and are required to have their own quality monitoring processes in place, </w:t>
      </w:r>
      <w:r>
        <w:t>CCGs/ICBs</w:t>
      </w:r>
      <w:r w:rsidR="002D31EB">
        <w:t>c</w:t>
      </w:r>
      <w:r w:rsidR="00670323" w:rsidRPr="0033393E">
        <w:t>ommissioners have a  responsibility for quality assurance. Through the duty of candour and the contractual relationship with Commissioners, practices are required to provide information and assurance to Commissioners and engage in system wide approaches to improving quality.</w:t>
      </w:r>
    </w:p>
    <w:p w14:paraId="4C5B864A" w14:textId="77777777" w:rsidR="006E1070" w:rsidRDefault="006E1070" w:rsidP="006E1070">
      <w:pPr>
        <w:rPr>
          <w:rFonts w:eastAsia="Arial"/>
        </w:rPr>
      </w:pPr>
    </w:p>
    <w:p w14:paraId="6E3BA3AA" w14:textId="5E010DE9" w:rsidR="006E1070" w:rsidRPr="006E1070" w:rsidRDefault="006E1070" w:rsidP="006E1070">
      <w:pPr>
        <w:pStyle w:val="Heading2"/>
        <w:rPr>
          <w:rFonts w:eastAsia="Calibri"/>
        </w:rPr>
      </w:pPr>
      <w:bookmarkStart w:id="216" w:name="_Toc95743396"/>
      <w:r w:rsidRPr="006E1070">
        <w:rPr>
          <w:rFonts w:eastAsia="Calibri"/>
        </w:rPr>
        <w:t>Contract Review</w:t>
      </w:r>
      <w:bookmarkEnd w:id="216"/>
      <w:r w:rsidRPr="006E1070">
        <w:rPr>
          <w:rFonts w:eastAsia="Calibri"/>
        </w:rPr>
        <w:t xml:space="preserve"> </w:t>
      </w:r>
    </w:p>
    <w:p w14:paraId="0102A859" w14:textId="77777777" w:rsidR="006E1070" w:rsidRPr="006E1070" w:rsidRDefault="006E1070" w:rsidP="006E1070">
      <w:pPr>
        <w:rPr>
          <w:rFonts w:eastAsia="Arial"/>
        </w:rPr>
      </w:pPr>
    </w:p>
    <w:p w14:paraId="2C69B5DB" w14:textId="3F7F149D" w:rsidR="00670323" w:rsidRPr="0033393E" w:rsidRDefault="00670323" w:rsidP="00670323">
      <w:pPr>
        <w:pStyle w:val="Heading3"/>
      </w:pPr>
      <w:r w:rsidRPr="0033393E">
        <w:t>Through the publication of this guidance, NHS England introdu</w:t>
      </w:r>
      <w:r w:rsidR="00A14AB0">
        <w:t>ced</w:t>
      </w:r>
      <w:r w:rsidRPr="0033393E">
        <w:t xml:space="preserve"> a requirement on Commissioners to undertake a risk</w:t>
      </w:r>
      <w:r w:rsidR="00B84234">
        <w:t>-</w:t>
      </w:r>
      <w:r w:rsidRPr="0033393E">
        <w:t>based approach to reviewing contracts, along with a rolling programme of deep</w:t>
      </w:r>
      <w:r w:rsidR="00B84234">
        <w:t>-</w:t>
      </w:r>
      <w:r w:rsidRPr="0033393E">
        <w:t>dive contract reviews.  Depending on the number of practices within the commissioning area and types of contract, a rolling programme could span one to three years</w:t>
      </w:r>
      <w:r w:rsidR="002D31EB">
        <w:t xml:space="preserve"> (former CCG footprint)</w:t>
      </w:r>
      <w:r w:rsidRPr="0033393E">
        <w:t xml:space="preserve">.  </w:t>
      </w:r>
    </w:p>
    <w:p w14:paraId="3279A77C" w14:textId="1769994D" w:rsidR="00670323" w:rsidRPr="0033393E" w:rsidRDefault="00670323" w:rsidP="00670323">
      <w:pPr>
        <w:pStyle w:val="Heading3"/>
      </w:pPr>
      <w:r w:rsidRPr="0033393E">
        <w:t xml:space="preserve">For APMS contracts this would need to be more frequent owing to the length of contract and the variable KPIs within them. It is recommended that if new information becomes available to the </w:t>
      </w:r>
      <w:r w:rsidR="00D26A9F" w:rsidRPr="0033393E">
        <w:t>Commissioner which</w:t>
      </w:r>
      <w:r w:rsidRPr="0033393E">
        <w:t xml:space="preserve"> suggests high levels of variation, a visit may be required and the contract reviewing further.</w:t>
      </w:r>
    </w:p>
    <w:p w14:paraId="27CBCD06" w14:textId="1F03F941" w:rsidR="00670323" w:rsidRPr="0033393E" w:rsidRDefault="00670323" w:rsidP="00670323">
      <w:pPr>
        <w:pStyle w:val="Heading3"/>
      </w:pPr>
      <w:r w:rsidRPr="0033393E">
        <w:t xml:space="preserve">Commissioners will have varying resources available to effectively manage their range of contract.  Nationally, there are (as </w:t>
      </w:r>
      <w:r w:rsidR="00697120">
        <w:t>of June 2021</w:t>
      </w:r>
      <w:r w:rsidRPr="0033393E">
        <w:t xml:space="preserve">) </w:t>
      </w:r>
      <w:r w:rsidR="002D31EB" w:rsidRPr="002D31EB">
        <w:t>6,57</w:t>
      </w:r>
      <w:r w:rsidR="00697120">
        <w:t>1</w:t>
      </w:r>
      <w:r w:rsidR="002D31EB">
        <w:t xml:space="preserve"> </w:t>
      </w:r>
      <w:r w:rsidRPr="0033393E">
        <w:t>practices in England</w:t>
      </w:r>
      <w:r w:rsidRPr="0033393E">
        <w:rPr>
          <w:rStyle w:val="FootnoteReference"/>
          <w:rFonts w:cs="Arial"/>
        </w:rPr>
        <w:footnoteReference w:id="2"/>
      </w:r>
      <w:r w:rsidRPr="0033393E">
        <w:t>,</w:t>
      </w:r>
      <w:r w:rsidR="00D26A9F" w:rsidRPr="0033393E">
        <w:t>.</w:t>
      </w:r>
    </w:p>
    <w:tbl>
      <w:tblPr>
        <w:tblStyle w:val="TableGrid"/>
        <w:tblW w:w="0" w:type="auto"/>
        <w:tblLook w:val="04A0" w:firstRow="1" w:lastRow="0" w:firstColumn="1" w:lastColumn="0" w:noHBand="0" w:noVBand="1"/>
      </w:tblPr>
      <w:tblGrid>
        <w:gridCol w:w="1980"/>
        <w:gridCol w:w="1417"/>
        <w:gridCol w:w="1418"/>
        <w:gridCol w:w="1276"/>
        <w:gridCol w:w="1701"/>
        <w:gridCol w:w="1268"/>
      </w:tblGrid>
      <w:tr w:rsidR="002C55D9" w:rsidRPr="002C55D9" w14:paraId="4F2BB97A" w14:textId="77777777" w:rsidTr="000C4836">
        <w:trPr>
          <w:trHeight w:val="720"/>
        </w:trPr>
        <w:tc>
          <w:tcPr>
            <w:tcW w:w="1980" w:type="dxa"/>
            <w:hideMark/>
          </w:tcPr>
          <w:p w14:paraId="285F2105" w14:textId="5AB587FB" w:rsidR="002C55D9" w:rsidRPr="000C4836" w:rsidRDefault="002C55D9">
            <w:pPr>
              <w:rPr>
                <w:bCs w:val="0"/>
                <w:sz w:val="22"/>
                <w:szCs w:val="24"/>
                <w:highlight w:val="yellow"/>
              </w:rPr>
            </w:pPr>
            <w:r>
              <w:rPr>
                <w:highlight w:val="yellow"/>
              </w:rPr>
              <w:t>2019/20 d</w:t>
            </w:r>
            <w:r w:rsidR="00670323" w:rsidRPr="00D90005">
              <w:rPr>
                <w:highlight w:val="yellow"/>
              </w:rPr>
              <w:t>ata</w:t>
            </w:r>
            <w:r w:rsidR="00670323" w:rsidRPr="00D90005">
              <w:rPr>
                <w:rStyle w:val="FootnoteReference"/>
                <w:rFonts w:cs="Arial"/>
                <w:highlight w:val="yellow"/>
              </w:rPr>
              <w:footnoteReference w:id="3"/>
            </w:r>
            <w:r w:rsidR="00670323" w:rsidRPr="00D90005">
              <w:rPr>
                <w:highlight w:val="yellow"/>
              </w:rPr>
              <w:t xml:space="preserve"> </w:t>
            </w:r>
            <w:r w:rsidR="00E07731" w:rsidRPr="00D90005">
              <w:rPr>
                <w:highlight w:val="yellow"/>
              </w:rPr>
              <w:t xml:space="preserve">published by NHS Digital </w:t>
            </w:r>
            <w:r w:rsidR="00C70CC1" w:rsidRPr="00D90005">
              <w:rPr>
                <w:highlight w:val="yellow"/>
              </w:rPr>
              <w:t xml:space="preserve">(table  below) </w:t>
            </w:r>
            <w:r w:rsidR="00670323" w:rsidRPr="00D90005">
              <w:rPr>
                <w:highlight w:val="yellow"/>
              </w:rPr>
              <w:t xml:space="preserve">suggests that </w:t>
            </w:r>
            <w:r>
              <w:rPr>
                <w:highlight w:val="yellow"/>
              </w:rPr>
              <w:t>a</w:t>
            </w:r>
            <w:r w:rsidR="00670323" w:rsidRPr="00D90005">
              <w:rPr>
                <w:highlight w:val="yellow"/>
              </w:rPr>
              <w:t xml:space="preserve"> break down </w:t>
            </w:r>
            <w:r>
              <w:rPr>
                <w:highlight w:val="yellow"/>
              </w:rPr>
              <w:t xml:space="preserve">of practices </w:t>
            </w:r>
            <w:r w:rsidR="00670323" w:rsidRPr="00D90005">
              <w:rPr>
                <w:highlight w:val="yellow"/>
              </w:rPr>
              <w:t>into the following contract types</w:t>
            </w:r>
          </w:p>
        </w:tc>
        <w:tc>
          <w:tcPr>
            <w:tcW w:w="1417" w:type="dxa"/>
            <w:hideMark/>
          </w:tcPr>
          <w:p w14:paraId="648278FB" w14:textId="77777777" w:rsidR="002C55D9" w:rsidRPr="000C4836" w:rsidRDefault="002C55D9" w:rsidP="002C55D9">
            <w:pPr>
              <w:rPr>
                <w:b/>
                <w:sz w:val="22"/>
                <w:szCs w:val="24"/>
                <w:highlight w:val="yellow"/>
              </w:rPr>
            </w:pPr>
            <w:r w:rsidRPr="000C4836">
              <w:rPr>
                <w:b/>
                <w:sz w:val="22"/>
                <w:szCs w:val="24"/>
                <w:highlight w:val="yellow"/>
              </w:rPr>
              <w:t>GMS</w:t>
            </w:r>
          </w:p>
        </w:tc>
        <w:tc>
          <w:tcPr>
            <w:tcW w:w="1418" w:type="dxa"/>
            <w:hideMark/>
          </w:tcPr>
          <w:p w14:paraId="7C682FEA" w14:textId="77777777" w:rsidR="002C55D9" w:rsidRPr="000C4836" w:rsidRDefault="002C55D9" w:rsidP="002C55D9">
            <w:pPr>
              <w:rPr>
                <w:b/>
                <w:sz w:val="22"/>
                <w:szCs w:val="24"/>
                <w:highlight w:val="yellow"/>
              </w:rPr>
            </w:pPr>
            <w:r w:rsidRPr="000C4836">
              <w:rPr>
                <w:b/>
                <w:sz w:val="22"/>
                <w:szCs w:val="24"/>
                <w:highlight w:val="yellow"/>
              </w:rPr>
              <w:t>PMS</w:t>
            </w:r>
          </w:p>
        </w:tc>
        <w:tc>
          <w:tcPr>
            <w:tcW w:w="1276" w:type="dxa"/>
            <w:hideMark/>
          </w:tcPr>
          <w:p w14:paraId="44031214" w14:textId="77777777" w:rsidR="002C55D9" w:rsidRPr="000C4836" w:rsidRDefault="002C55D9" w:rsidP="002C55D9">
            <w:pPr>
              <w:rPr>
                <w:b/>
                <w:sz w:val="22"/>
                <w:szCs w:val="24"/>
                <w:highlight w:val="yellow"/>
              </w:rPr>
            </w:pPr>
            <w:r w:rsidRPr="000C4836">
              <w:rPr>
                <w:b/>
                <w:sz w:val="22"/>
                <w:szCs w:val="24"/>
                <w:highlight w:val="yellow"/>
              </w:rPr>
              <w:t>APMS</w:t>
            </w:r>
          </w:p>
        </w:tc>
        <w:tc>
          <w:tcPr>
            <w:tcW w:w="1701" w:type="dxa"/>
            <w:hideMark/>
          </w:tcPr>
          <w:p w14:paraId="44D95CA9" w14:textId="50DD7FE4" w:rsidR="002C55D9" w:rsidRPr="000C4836" w:rsidRDefault="002C55D9" w:rsidP="002C55D9">
            <w:pPr>
              <w:rPr>
                <w:b/>
                <w:sz w:val="22"/>
                <w:szCs w:val="24"/>
                <w:highlight w:val="yellow"/>
              </w:rPr>
            </w:pPr>
            <w:r w:rsidRPr="000C4836">
              <w:rPr>
                <w:b/>
                <w:sz w:val="22"/>
                <w:szCs w:val="24"/>
                <w:highlight w:val="yellow"/>
              </w:rPr>
              <w:t>Unconfirmed Contract Type</w:t>
            </w:r>
          </w:p>
        </w:tc>
        <w:tc>
          <w:tcPr>
            <w:tcW w:w="1268" w:type="dxa"/>
            <w:hideMark/>
          </w:tcPr>
          <w:p w14:paraId="61C49F9A" w14:textId="77777777" w:rsidR="002C55D9" w:rsidRPr="000C4836" w:rsidRDefault="002C55D9" w:rsidP="002C55D9">
            <w:pPr>
              <w:rPr>
                <w:b/>
                <w:sz w:val="22"/>
                <w:szCs w:val="24"/>
                <w:highlight w:val="yellow"/>
              </w:rPr>
            </w:pPr>
            <w:r w:rsidRPr="000C4836">
              <w:rPr>
                <w:b/>
                <w:sz w:val="22"/>
                <w:szCs w:val="24"/>
                <w:highlight w:val="yellow"/>
              </w:rPr>
              <w:t>All Contract Types</w:t>
            </w:r>
          </w:p>
        </w:tc>
      </w:tr>
      <w:tr w:rsidR="002C55D9" w:rsidRPr="002C55D9" w14:paraId="6CAE0FF9" w14:textId="77777777" w:rsidTr="002C55D9">
        <w:trPr>
          <w:trHeight w:val="720"/>
        </w:trPr>
        <w:tc>
          <w:tcPr>
            <w:tcW w:w="1980" w:type="dxa"/>
            <w:hideMark/>
          </w:tcPr>
          <w:p w14:paraId="5B7751B0" w14:textId="77777777" w:rsidR="002C55D9" w:rsidRPr="000C4836" w:rsidRDefault="002C55D9">
            <w:pPr>
              <w:rPr>
                <w:bCs w:val="0"/>
                <w:sz w:val="22"/>
                <w:szCs w:val="24"/>
                <w:highlight w:val="yellow"/>
              </w:rPr>
            </w:pPr>
            <w:r w:rsidRPr="000C4836">
              <w:rPr>
                <w:bCs w:val="0"/>
                <w:sz w:val="22"/>
                <w:szCs w:val="24"/>
                <w:highlight w:val="yellow"/>
              </w:rPr>
              <w:t>Total Number of Practices</w:t>
            </w:r>
          </w:p>
        </w:tc>
        <w:tc>
          <w:tcPr>
            <w:tcW w:w="1417" w:type="dxa"/>
            <w:hideMark/>
          </w:tcPr>
          <w:p w14:paraId="0B85BB03" w14:textId="6A1BEB8E" w:rsidR="002C55D9" w:rsidRPr="000C4836" w:rsidRDefault="002C55D9" w:rsidP="002C55D9">
            <w:pPr>
              <w:rPr>
                <w:bCs w:val="0"/>
                <w:sz w:val="22"/>
                <w:szCs w:val="24"/>
                <w:highlight w:val="yellow"/>
              </w:rPr>
            </w:pPr>
            <w:r w:rsidRPr="000C4836">
              <w:rPr>
                <w:bCs w:val="0"/>
                <w:sz w:val="22"/>
                <w:szCs w:val="24"/>
                <w:highlight w:val="yellow"/>
              </w:rPr>
              <w:t>4,917 (70%)</w:t>
            </w:r>
          </w:p>
        </w:tc>
        <w:tc>
          <w:tcPr>
            <w:tcW w:w="1418" w:type="dxa"/>
            <w:hideMark/>
          </w:tcPr>
          <w:p w14:paraId="24640F0D" w14:textId="3A6D9EFF" w:rsidR="002C55D9" w:rsidRPr="000C4836" w:rsidRDefault="002C55D9" w:rsidP="002C55D9">
            <w:pPr>
              <w:rPr>
                <w:bCs w:val="0"/>
                <w:sz w:val="22"/>
                <w:szCs w:val="24"/>
                <w:highlight w:val="yellow"/>
              </w:rPr>
            </w:pPr>
            <w:r w:rsidRPr="000C4836">
              <w:rPr>
                <w:bCs w:val="0"/>
                <w:sz w:val="22"/>
                <w:szCs w:val="24"/>
                <w:highlight w:val="yellow"/>
              </w:rPr>
              <w:t>1,794 (26%)</w:t>
            </w:r>
          </w:p>
        </w:tc>
        <w:tc>
          <w:tcPr>
            <w:tcW w:w="1276" w:type="dxa"/>
            <w:hideMark/>
          </w:tcPr>
          <w:p w14:paraId="2DA2189A" w14:textId="03F39FEE" w:rsidR="002C55D9" w:rsidRPr="000C4836" w:rsidRDefault="002C55D9" w:rsidP="002C55D9">
            <w:pPr>
              <w:rPr>
                <w:bCs w:val="0"/>
                <w:sz w:val="22"/>
                <w:szCs w:val="24"/>
                <w:highlight w:val="yellow"/>
              </w:rPr>
            </w:pPr>
            <w:r w:rsidRPr="000C4836">
              <w:rPr>
                <w:bCs w:val="0"/>
                <w:sz w:val="22"/>
                <w:szCs w:val="24"/>
                <w:highlight w:val="yellow"/>
              </w:rPr>
              <w:t>180 (2%)</w:t>
            </w:r>
          </w:p>
        </w:tc>
        <w:tc>
          <w:tcPr>
            <w:tcW w:w="1701" w:type="dxa"/>
            <w:hideMark/>
          </w:tcPr>
          <w:p w14:paraId="3E968C3C" w14:textId="4CEE4006" w:rsidR="002C55D9" w:rsidRPr="000C4836" w:rsidRDefault="002C55D9" w:rsidP="002C55D9">
            <w:pPr>
              <w:rPr>
                <w:bCs w:val="0"/>
                <w:sz w:val="22"/>
                <w:szCs w:val="24"/>
                <w:highlight w:val="yellow"/>
              </w:rPr>
            </w:pPr>
            <w:r w:rsidRPr="000C4836">
              <w:rPr>
                <w:bCs w:val="0"/>
                <w:sz w:val="22"/>
                <w:szCs w:val="24"/>
                <w:highlight w:val="yellow"/>
              </w:rPr>
              <w:t>110 (2%)</w:t>
            </w:r>
          </w:p>
        </w:tc>
        <w:tc>
          <w:tcPr>
            <w:tcW w:w="1268" w:type="dxa"/>
            <w:hideMark/>
          </w:tcPr>
          <w:p w14:paraId="308EADCB" w14:textId="77777777" w:rsidR="002C55D9" w:rsidRPr="000C4836" w:rsidRDefault="002C55D9" w:rsidP="002C55D9">
            <w:pPr>
              <w:rPr>
                <w:bCs w:val="0"/>
                <w:sz w:val="22"/>
                <w:szCs w:val="24"/>
                <w:highlight w:val="yellow"/>
              </w:rPr>
            </w:pPr>
            <w:r w:rsidRPr="000C4836">
              <w:rPr>
                <w:bCs w:val="0"/>
                <w:sz w:val="22"/>
                <w:szCs w:val="24"/>
                <w:highlight w:val="yellow"/>
              </w:rPr>
              <w:t>7,001</w:t>
            </w:r>
          </w:p>
        </w:tc>
      </w:tr>
    </w:tbl>
    <w:p w14:paraId="5AEDADE4" w14:textId="77777777" w:rsidR="002C55D9" w:rsidRPr="002C55D9" w:rsidRDefault="002C55D9" w:rsidP="000C4836">
      <w:pPr>
        <w:rPr>
          <w:highlight w:val="yellow"/>
        </w:rPr>
      </w:pPr>
    </w:p>
    <w:p w14:paraId="6F0B6892" w14:textId="77777777" w:rsidR="001F7167" w:rsidRPr="001F7167" w:rsidRDefault="001F7167" w:rsidP="00A553BA"/>
    <w:p w14:paraId="5D20D4A7" w14:textId="012E9968" w:rsidR="001F7167" w:rsidRDefault="00A14AB0" w:rsidP="00A553BA">
      <w:pPr>
        <w:ind w:firstLine="720"/>
      </w:pPr>
      <w:r w:rsidRPr="00A14AB0" w:rsidDel="00A14AB0">
        <w:t xml:space="preserve"> </w:t>
      </w:r>
    </w:p>
    <w:p w14:paraId="36A43A5F" w14:textId="70D267EC" w:rsidR="00670323" w:rsidRPr="001F7167" w:rsidRDefault="00670323" w:rsidP="00A553BA">
      <w:pPr>
        <w:ind w:firstLine="720"/>
      </w:pPr>
    </w:p>
    <w:p w14:paraId="34E691AE" w14:textId="19549B95" w:rsidR="00670323" w:rsidRPr="0033393E" w:rsidRDefault="00670323" w:rsidP="00A86DEC">
      <w:pPr>
        <w:pStyle w:val="Heading3"/>
      </w:pPr>
      <w:r w:rsidRPr="0033393E">
        <w:t xml:space="preserve">However, this masks a range of GP Practice numbers </w:t>
      </w:r>
      <w:r w:rsidR="002C55D9">
        <w:t xml:space="preserve">and contract types </w:t>
      </w:r>
      <w:r w:rsidRPr="0033393E">
        <w:t xml:space="preserve">across </w:t>
      </w:r>
      <w:r w:rsidR="00B83042">
        <w:t>CCGs/ICBs</w:t>
      </w:r>
      <w:r w:rsidRPr="0033393E">
        <w:t xml:space="preserve">.  </w:t>
      </w:r>
      <w:r w:rsidR="00B83042">
        <w:t>CCG/ICBCCGs/ICBsCCGs/ICBsCCGs/ICBsCCG/ICB</w:t>
      </w:r>
      <w:r w:rsidRPr="0033393E">
        <w:t xml:space="preserve">. </w:t>
      </w:r>
    </w:p>
    <w:p w14:paraId="2C3CE706" w14:textId="29FD9BE3" w:rsidR="00670323" w:rsidRDefault="00670323" w:rsidP="00670323">
      <w:pPr>
        <w:pStyle w:val="Heading3"/>
      </w:pPr>
      <w:r w:rsidRPr="0033393E">
        <w:t xml:space="preserve">Commissioners should maintain accurate records of all contract reviews and will be required to demonstrate if requested, evidence of compliance, or otherwise support oversight of primary care commissioning arrangements.This may be for example, via NHS England’s </w:t>
      </w:r>
      <w:r w:rsidR="00A86DEC">
        <w:t xml:space="preserve">assurance arrangements or </w:t>
      </w:r>
      <w:r w:rsidRPr="0033393E">
        <w:t>internal and external audit functions.</w:t>
      </w:r>
    </w:p>
    <w:p w14:paraId="2F458CD1" w14:textId="77777777" w:rsidR="006E1070" w:rsidRDefault="006E1070" w:rsidP="006E1070"/>
    <w:p w14:paraId="37779331" w14:textId="4B199C8E" w:rsidR="00670323" w:rsidRPr="006E1070" w:rsidRDefault="006E1070" w:rsidP="006E1070">
      <w:pPr>
        <w:pStyle w:val="Heading2"/>
        <w:rPr>
          <w:rFonts w:eastAsia="Calibri"/>
        </w:rPr>
      </w:pPr>
      <w:bookmarkStart w:id="217" w:name="_Toc95743397"/>
      <w:r w:rsidRPr="006E1070">
        <w:rPr>
          <w:rFonts w:eastAsia="Calibri"/>
        </w:rPr>
        <w:t>Setting and Monitoring Key Performance Indicators</w:t>
      </w:r>
      <w:bookmarkEnd w:id="217"/>
    </w:p>
    <w:p w14:paraId="3C6EBA2C" w14:textId="7E72E11B" w:rsidR="006E1070" w:rsidRDefault="006E1070" w:rsidP="006E1070">
      <w:pPr>
        <w:pStyle w:val="Heading3"/>
      </w:pPr>
      <w:r w:rsidRPr="006E1070">
        <w:t xml:space="preserve">Commissioners should ensure key performance indicators (KPIs) are negotiated into relevant contracts.  These should </w:t>
      </w:r>
      <w:r w:rsidR="00D26A9F" w:rsidRPr="006E1070">
        <w:t>be specific</w:t>
      </w:r>
      <w:r w:rsidRPr="006E1070">
        <w:t xml:space="preserve">, measurable, achievable, relevant and time-bound (SMART) and include relevant payment thresholds.  </w:t>
      </w:r>
    </w:p>
    <w:p w14:paraId="03721844" w14:textId="7EE9046B" w:rsidR="006E1070" w:rsidRPr="006E1070" w:rsidRDefault="006E1070" w:rsidP="006E1070">
      <w:pPr>
        <w:pStyle w:val="Heading3"/>
      </w:pPr>
      <w:r w:rsidRPr="006E1070">
        <w:t>Primary Medical Care providers will then be required to submit evidence to the Commissioner in relation to those KPIs, against which payment will be considered.  The Commissioner should be assured that the evidence submitted by the contractor is robust, relevant and proportionate.</w:t>
      </w:r>
    </w:p>
    <w:p w14:paraId="3097C1BD" w14:textId="77777777" w:rsidR="006E1070" w:rsidRPr="0033393E" w:rsidRDefault="006E1070" w:rsidP="00670323">
      <w:pPr>
        <w:pStyle w:val="Body3"/>
        <w:spacing w:before="120" w:after="120" w:line="276" w:lineRule="auto"/>
        <w:ind w:left="0"/>
        <w:rPr>
          <w:rFonts w:cs="Arial"/>
        </w:rPr>
      </w:pPr>
    </w:p>
    <w:p w14:paraId="0156999E" w14:textId="77777777" w:rsidR="00670323" w:rsidRPr="0033393E" w:rsidRDefault="00670323" w:rsidP="00670323">
      <w:pPr>
        <w:pStyle w:val="Heading2"/>
        <w:rPr>
          <w:rFonts w:eastAsia="Calibri"/>
        </w:rPr>
      </w:pPr>
      <w:bookmarkStart w:id="218" w:name="_Toc95743398"/>
      <w:r w:rsidRPr="0033393E">
        <w:rPr>
          <w:rFonts w:eastAsia="Calibri"/>
        </w:rPr>
        <w:t>Using data and information effectively</w:t>
      </w:r>
      <w:bookmarkEnd w:id="218"/>
    </w:p>
    <w:p w14:paraId="0172DA39" w14:textId="2C75BB6F" w:rsidR="00670323" w:rsidRPr="00670323" w:rsidRDefault="00670323" w:rsidP="00670323">
      <w:pPr>
        <w:pStyle w:val="Heading3"/>
        <w:rPr>
          <w:rFonts w:eastAsia="Arial"/>
        </w:rPr>
      </w:pPr>
      <w:r w:rsidRPr="0033393E">
        <w:t xml:space="preserve">This section recognises that in a model for improvement, various data sets which are being used by commissioners to oversee </w:t>
      </w:r>
      <w:r w:rsidR="009F366E">
        <w:t xml:space="preserve">the </w:t>
      </w:r>
      <w:r w:rsidRPr="0033393E">
        <w:t>delivery of services provide only one part of a large picture and used in isolation presents not only a risk of inaccuracy, but anxiety amongst those providing services or those responsible for oversight of the delivery of those services. Data must be put into the context of the particular provider practice and used alongside other intelligence to gain a full understanding of any potential risk to quality and patient safety.</w:t>
      </w:r>
    </w:p>
    <w:p w14:paraId="2E2A74FB" w14:textId="1E33F086" w:rsidR="00670323" w:rsidRPr="0033393E" w:rsidRDefault="00670323" w:rsidP="00670323">
      <w:pPr>
        <w:pStyle w:val="Heading3"/>
      </w:pPr>
      <w:r w:rsidRPr="0033393E">
        <w:t xml:space="preserve"> The </w:t>
      </w:r>
      <w:r w:rsidR="00D26A9F" w:rsidRPr="0033393E">
        <w:t>use of</w:t>
      </w:r>
      <w:r w:rsidRPr="0033393E">
        <w:t xml:space="preserve"> measures and indicators to assess quality should not remove</w:t>
      </w:r>
      <w:r w:rsidR="00264BCB">
        <w:t>,</w:t>
      </w:r>
      <w:r w:rsidRPr="0033393E">
        <w:t xml:space="preserve"> diminish or unduly influence sound</w:t>
      </w:r>
      <w:r w:rsidR="00264BCB">
        <w:t xml:space="preserve"> </w:t>
      </w:r>
      <w:r w:rsidRPr="0033393E">
        <w:t xml:space="preserve">evidence based clinical decisions and judgements. Commissioners should take steps to ensure that indicators are not abused </w:t>
      </w:r>
      <w:r w:rsidR="00D26A9F" w:rsidRPr="0033393E">
        <w:t>as perverse</w:t>
      </w:r>
      <w:r w:rsidRPr="0033393E">
        <w:t xml:space="preserve"> incentives to change clinical practice or ways of working which are inconsistent with </w:t>
      </w:r>
      <w:r w:rsidR="00264BCB">
        <w:t xml:space="preserve">the </w:t>
      </w:r>
      <w:r w:rsidRPr="0033393E">
        <w:t>delivery of high quality patient centred care.</w:t>
      </w:r>
    </w:p>
    <w:p w14:paraId="2DD68479" w14:textId="2C2F5879" w:rsidR="00670323" w:rsidRPr="0033393E" w:rsidRDefault="00670323" w:rsidP="00670323">
      <w:pPr>
        <w:pStyle w:val="Heading3"/>
      </w:pPr>
      <w:r w:rsidRPr="0033393E">
        <w:t>Whilst most health care professionals practise to a very high standard and it is recognised that there is excellence in general practice, it is essential that Commissioners have in place a robust assurance management programme to identify and share best practice, recognise where additional management may be needed and to highlight when things are going wrong at an early stage in primary medical service</w:t>
      </w:r>
      <w:r w:rsidR="00A5546A">
        <w:t>s</w:t>
      </w:r>
      <w:r w:rsidRPr="0033393E">
        <w:t xml:space="preserve"> provision.</w:t>
      </w:r>
    </w:p>
    <w:p w14:paraId="64306DA4" w14:textId="3B316DA3" w:rsidR="00670323" w:rsidRPr="00670323" w:rsidRDefault="00670323" w:rsidP="00670323">
      <w:pPr>
        <w:pStyle w:val="Heading3"/>
        <w:rPr>
          <w:rFonts w:eastAsia="Arial"/>
        </w:rPr>
      </w:pPr>
      <w:r w:rsidRPr="0033393E">
        <w:t xml:space="preserve">Through transparent measurement across practices within </w:t>
      </w:r>
      <w:r w:rsidR="00A86DEC">
        <w:t>the commissioning area</w:t>
      </w:r>
      <w:r w:rsidR="00B83042">
        <w:t>CCG/ICBCCGs/ICBs</w:t>
      </w:r>
      <w:r w:rsidRPr="0033393E">
        <w:t xml:space="preserve">, the practice-Commissioner relationship provides a forum for collaborative and engaging discussions. Such engagement and collaboration recognises the contribution that each practice can make to both the quality of services to their registered patients and the wider impact to service delivery across the practice and wider </w:t>
      </w:r>
      <w:r w:rsidR="00B83042">
        <w:t>CCG/ICB</w:t>
      </w:r>
      <w:r w:rsidRPr="0033393E">
        <w:t xml:space="preserve"> population. </w:t>
      </w:r>
    </w:p>
    <w:p w14:paraId="47CD25B1" w14:textId="6E4B33A9" w:rsidR="00670323" w:rsidRPr="0033393E" w:rsidRDefault="00670323" w:rsidP="00670323">
      <w:pPr>
        <w:pStyle w:val="Heading3"/>
      </w:pPr>
      <w:r w:rsidRPr="0033393E">
        <w:t>The usage of measures and indicators is to act as a starting place for conversations, asking questions along the way as to why variation may be occurring and acknowledging that variation may be warranted or unwarranted depending on the context and wider supporting information available. A practice visit may be needed to support further understanding when high levels of variation are occurring.</w:t>
      </w:r>
    </w:p>
    <w:p w14:paraId="3EE9706D" w14:textId="71948F6A" w:rsidR="00670323" w:rsidRPr="0033393E" w:rsidRDefault="00670323" w:rsidP="00670323">
      <w:pPr>
        <w:pStyle w:val="Heading3"/>
      </w:pPr>
      <w:r w:rsidRPr="0033393E">
        <w:t>If there are greater concerns about a practice, bordering on contractual failure, this will require a more formal conversation with the practice which should be led by the Commissioner. The focus will be the same for all practices:  support to improve, with market exit as a last resort.</w:t>
      </w:r>
    </w:p>
    <w:p w14:paraId="13E1BD6F" w14:textId="56A6CAE8" w:rsidR="00670323" w:rsidRPr="0033393E" w:rsidRDefault="00670323" w:rsidP="00670323">
      <w:pPr>
        <w:pStyle w:val="Heading3"/>
      </w:pPr>
      <w:r w:rsidRPr="0033393E">
        <w:t xml:space="preserve">Recognising that practice specific data alone is not conclusive evidence of poor service provision and needs to be considered within the context of the practice, the Commissioner will use a collection of information including national data (clinical indicators, quality outcome standards, appraisals, complaints etc.) and local intelligence (including conferring with stakeholders) in order to assess and mitigate any potential risk to service provision and patient safety within a practice. Where a potential or actual risk is identified, the </w:t>
      </w:r>
      <w:r w:rsidR="00D26A9F" w:rsidRPr="0033393E">
        <w:t>Commissioner will</w:t>
      </w:r>
      <w:r w:rsidRPr="0033393E">
        <w:t xml:space="preserve"> be expected to take the necessary steps to assure itself that adequate and effective support is being provided to reduce the risk, identify any ongoing areas for improvement and be able to demonstrate and measure that improvement. </w:t>
      </w:r>
    </w:p>
    <w:p w14:paraId="154CC19E" w14:textId="77777777" w:rsidR="007707F5" w:rsidRPr="00FA7B89" w:rsidRDefault="00670323" w:rsidP="003223EE">
      <w:pPr>
        <w:pStyle w:val="Heading3"/>
        <w:rPr>
          <w:color w:val="000000" w:themeColor="text1"/>
          <w:highlight w:val="yellow"/>
        </w:rPr>
      </w:pPr>
      <w:r w:rsidRPr="00FA7B89">
        <w:rPr>
          <w:highlight w:val="yellow"/>
        </w:rPr>
        <w:t>NHS England provides Commissioners and GP practices with a centrally available set of pre-analysed data which the Commissioner must use  as part of it</w:t>
      </w:r>
      <w:r w:rsidR="008E20E3" w:rsidRPr="00FA7B89">
        <w:rPr>
          <w:highlight w:val="yellow"/>
        </w:rPr>
        <w:t>s</w:t>
      </w:r>
      <w:r w:rsidRPr="00FA7B89">
        <w:rPr>
          <w:highlight w:val="yellow"/>
        </w:rPr>
        <w:t xml:space="preserve"> </w:t>
      </w:r>
      <w:r w:rsidR="00D26A9F" w:rsidRPr="00FA7B89">
        <w:rPr>
          <w:highlight w:val="yellow"/>
        </w:rPr>
        <w:t>assessment of variation</w:t>
      </w:r>
      <w:r w:rsidRPr="00FA7B89">
        <w:rPr>
          <w:highlight w:val="yellow"/>
        </w:rPr>
        <w:t xml:space="preserve"> in the provision of primary medical services. This information has been developed and made available through a restricted access web interface available </w:t>
      </w:r>
      <w:r w:rsidR="008E20E3" w:rsidRPr="00FA7B89">
        <w:rPr>
          <w:highlight w:val="yellow"/>
        </w:rPr>
        <w:t xml:space="preserve">at </w:t>
      </w:r>
      <w:r w:rsidR="00FB0775" w:rsidRPr="00FA7B89">
        <w:rPr>
          <w:highlight w:val="yellow"/>
        </w:rPr>
        <w:t>www.primarycareindicators.nhs.uk</w:t>
      </w:r>
      <w:r w:rsidR="00B3531B" w:rsidRPr="00FA7B89">
        <w:rPr>
          <w:color w:val="000000" w:themeColor="text1"/>
          <w:highlight w:val="yellow"/>
        </w:rPr>
        <w:t xml:space="preserve">.  Commissioners will be expected to use these sources of data and information to support </w:t>
      </w:r>
      <w:r w:rsidR="00704DD6" w:rsidRPr="00FA7B89">
        <w:rPr>
          <w:color w:val="000000" w:themeColor="text1"/>
          <w:highlight w:val="yellow"/>
        </w:rPr>
        <w:t>contract monitoring.</w:t>
      </w:r>
      <w:r w:rsidR="003223EE" w:rsidRPr="00FA7B89">
        <w:rPr>
          <w:color w:val="000000" w:themeColor="text1"/>
          <w:highlight w:val="yellow"/>
        </w:rPr>
        <w:t xml:space="preserve">  </w:t>
      </w:r>
    </w:p>
    <w:p w14:paraId="43C7051F" w14:textId="77777777" w:rsidR="007707F5" w:rsidRPr="00FA7B89" w:rsidRDefault="007707F5" w:rsidP="007707F5">
      <w:pPr>
        <w:pStyle w:val="Heading3"/>
        <w:numPr>
          <w:ilvl w:val="0"/>
          <w:numId w:val="0"/>
        </w:numPr>
        <w:ind w:left="720"/>
        <w:rPr>
          <w:highlight w:val="yellow"/>
        </w:rPr>
      </w:pPr>
    </w:p>
    <w:p w14:paraId="537E88E1" w14:textId="3925A6ED" w:rsidR="003223EE" w:rsidRPr="00FA7B89" w:rsidRDefault="00CD32A5" w:rsidP="000C4836">
      <w:pPr>
        <w:pStyle w:val="Heading3"/>
        <w:numPr>
          <w:ilvl w:val="0"/>
          <w:numId w:val="0"/>
        </w:numPr>
        <w:ind w:left="720"/>
        <w:rPr>
          <w:color w:val="000000" w:themeColor="text1"/>
          <w:highlight w:val="yellow"/>
        </w:rPr>
      </w:pPr>
      <w:r w:rsidRPr="00FA7B89">
        <w:rPr>
          <w:color w:val="000000" w:themeColor="text1"/>
          <w:highlight w:val="yellow"/>
        </w:rPr>
        <w:t>NOTE: I</w:t>
      </w:r>
      <w:r w:rsidR="003223EE" w:rsidRPr="00FA7B89">
        <w:rPr>
          <w:color w:val="000000" w:themeColor="text1"/>
          <w:highlight w:val="yellow"/>
        </w:rPr>
        <w:t>n response to the impact of COVID-19 pandemic on the data</w:t>
      </w:r>
      <w:r w:rsidR="007707F5" w:rsidRPr="00FA7B89">
        <w:rPr>
          <w:color w:val="000000" w:themeColor="text1"/>
          <w:highlight w:val="yellow"/>
        </w:rPr>
        <w:t xml:space="preserve"> (e.g. suspension of QOF etc.) </w:t>
      </w:r>
      <w:r w:rsidR="003223EE" w:rsidRPr="00FA7B89">
        <w:rPr>
          <w:color w:val="000000" w:themeColor="text1"/>
          <w:highlight w:val="yellow"/>
        </w:rPr>
        <w:t>the banding terminology for primary care indicators was changed to refer only to the extent of benchmarked variation in a practice’s indicator value rather than assessment of performance (see table below).</w:t>
      </w:r>
      <w:r w:rsidRPr="00FA7B89">
        <w:rPr>
          <w:color w:val="000000" w:themeColor="text1"/>
          <w:highlight w:val="yellow"/>
        </w:rPr>
        <w:t xml:space="preserve"> NHS England will continue to work with stakeholders on when it is appropriate to revert to the former terminology.</w:t>
      </w:r>
    </w:p>
    <w:p w14:paraId="55713325" w14:textId="6DFDD37A" w:rsidR="003223EE" w:rsidRDefault="003223EE" w:rsidP="000C4836">
      <w:pPr>
        <w:pStyle w:val="Heading3"/>
        <w:numPr>
          <w:ilvl w:val="0"/>
          <w:numId w:val="0"/>
        </w:numPr>
        <w:ind w:left="720"/>
        <w:rPr>
          <w:color w:val="000000" w:themeColor="text1"/>
          <w:highlight w:val="yellow"/>
        </w:rPr>
      </w:pPr>
    </w:p>
    <w:p w14:paraId="3DA6EC4D" w14:textId="47C41EEA" w:rsidR="00942266" w:rsidRDefault="00942266" w:rsidP="00942266">
      <w:pPr>
        <w:rPr>
          <w:highlight w:val="yellow"/>
        </w:rPr>
      </w:pPr>
    </w:p>
    <w:p w14:paraId="49E2C1C9" w14:textId="77777777" w:rsidR="00942266" w:rsidRPr="00942266" w:rsidRDefault="00942266" w:rsidP="00942266">
      <w:pPr>
        <w:rPr>
          <w:highlight w:val="yellow"/>
        </w:rPr>
      </w:pPr>
    </w:p>
    <w:tbl>
      <w:tblPr>
        <w:tblW w:w="0" w:type="auto"/>
        <w:tblInd w:w="699" w:type="dxa"/>
        <w:tblCellMar>
          <w:left w:w="0" w:type="dxa"/>
          <w:right w:w="0" w:type="dxa"/>
        </w:tblCellMar>
        <w:tblLook w:val="04A0" w:firstRow="1" w:lastRow="0" w:firstColumn="1" w:lastColumn="0" w:noHBand="0" w:noVBand="1"/>
      </w:tblPr>
      <w:tblGrid>
        <w:gridCol w:w="3809"/>
        <w:gridCol w:w="4508"/>
      </w:tblGrid>
      <w:tr w:rsidR="003223EE" w:rsidRPr="00FA7B89" w14:paraId="49025374" w14:textId="77777777" w:rsidTr="00FD2026">
        <w:tc>
          <w:tcPr>
            <w:tcW w:w="3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A9DC0D8" w14:textId="01186608" w:rsidR="003223EE" w:rsidRPr="00FA7B89" w:rsidRDefault="003223EE">
            <w:pPr>
              <w:spacing w:line="252" w:lineRule="auto"/>
              <w:rPr>
                <w:highlight w:val="yellow"/>
              </w:rPr>
            </w:pPr>
            <w:r w:rsidRPr="00FA7B89">
              <w:rPr>
                <w:highlight w:val="yellow"/>
              </w:rPr>
              <w:t>Pre-pandemic banding terminology</w:t>
            </w:r>
          </w:p>
        </w:tc>
        <w:tc>
          <w:tcPr>
            <w:tcW w:w="45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FBDAB6" w14:textId="6EBC86BB" w:rsidR="003223EE" w:rsidRPr="00FA7B89" w:rsidRDefault="003223EE">
            <w:pPr>
              <w:spacing w:line="252" w:lineRule="auto"/>
              <w:rPr>
                <w:highlight w:val="yellow"/>
              </w:rPr>
            </w:pPr>
            <w:r w:rsidRPr="00FA7B89">
              <w:rPr>
                <w:highlight w:val="yellow"/>
              </w:rPr>
              <w:t>Banding used during the pandemic (from April 2021)</w:t>
            </w:r>
          </w:p>
        </w:tc>
      </w:tr>
      <w:tr w:rsidR="003223EE" w:rsidRPr="00FA7B89" w14:paraId="5E258184" w14:textId="77777777" w:rsidTr="00FD2026">
        <w:tc>
          <w:tcPr>
            <w:tcW w:w="3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487316" w14:textId="77777777" w:rsidR="003223EE" w:rsidRPr="00FA7B89" w:rsidRDefault="003223EE">
            <w:pPr>
              <w:spacing w:line="252" w:lineRule="auto"/>
              <w:rPr>
                <w:highlight w:val="yellow"/>
              </w:rPr>
            </w:pPr>
            <w:r w:rsidRPr="00FA7B89">
              <w:rPr>
                <w:highlight w:val="yellow"/>
              </w:rPr>
              <w:t>Review Identified</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6B740D0C" w14:textId="77777777" w:rsidR="003223EE" w:rsidRPr="00FA7B89" w:rsidRDefault="003223EE">
            <w:pPr>
              <w:spacing w:line="252" w:lineRule="auto"/>
              <w:rPr>
                <w:highlight w:val="yellow"/>
              </w:rPr>
            </w:pPr>
            <w:r w:rsidRPr="00FA7B89">
              <w:rPr>
                <w:highlight w:val="yellow"/>
              </w:rPr>
              <w:t>High variation</w:t>
            </w:r>
          </w:p>
        </w:tc>
      </w:tr>
      <w:tr w:rsidR="003223EE" w:rsidRPr="00FA7B89" w14:paraId="0F1ED65B" w14:textId="77777777" w:rsidTr="00FD2026">
        <w:tc>
          <w:tcPr>
            <w:tcW w:w="3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E67E0B" w14:textId="77777777" w:rsidR="003223EE" w:rsidRPr="00FA7B89" w:rsidRDefault="003223EE">
            <w:pPr>
              <w:spacing w:line="252" w:lineRule="auto"/>
              <w:rPr>
                <w:highlight w:val="yellow"/>
              </w:rPr>
            </w:pPr>
            <w:r w:rsidRPr="00FA7B89">
              <w:rPr>
                <w:highlight w:val="yellow"/>
              </w:rPr>
              <w:t>Approaching Review</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287E44B7" w14:textId="77777777" w:rsidR="003223EE" w:rsidRPr="00FA7B89" w:rsidRDefault="003223EE">
            <w:pPr>
              <w:spacing w:line="252" w:lineRule="auto"/>
              <w:rPr>
                <w:highlight w:val="yellow"/>
              </w:rPr>
            </w:pPr>
            <w:r w:rsidRPr="00FA7B89">
              <w:rPr>
                <w:highlight w:val="yellow"/>
              </w:rPr>
              <w:t>Medium variation</w:t>
            </w:r>
          </w:p>
        </w:tc>
      </w:tr>
      <w:tr w:rsidR="003223EE" w:rsidRPr="00FA7B89" w14:paraId="4FD7CDE0" w14:textId="77777777" w:rsidTr="00FD2026">
        <w:tc>
          <w:tcPr>
            <w:tcW w:w="3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122B8A" w14:textId="77777777" w:rsidR="003223EE" w:rsidRPr="00FA7B89" w:rsidRDefault="003223EE">
            <w:pPr>
              <w:spacing w:line="252" w:lineRule="auto"/>
              <w:rPr>
                <w:highlight w:val="yellow"/>
              </w:rPr>
            </w:pPr>
            <w:r w:rsidRPr="00FA7B89">
              <w:rPr>
                <w:highlight w:val="yellow"/>
              </w:rPr>
              <w:t>Achieving</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2D1D15BD" w14:textId="77777777" w:rsidR="003223EE" w:rsidRPr="00FA7B89" w:rsidRDefault="003223EE">
            <w:pPr>
              <w:spacing w:line="252" w:lineRule="auto"/>
              <w:rPr>
                <w:highlight w:val="yellow"/>
              </w:rPr>
            </w:pPr>
            <w:r w:rsidRPr="00FA7B89">
              <w:rPr>
                <w:highlight w:val="yellow"/>
              </w:rPr>
              <w:t>Low variation</w:t>
            </w:r>
          </w:p>
        </w:tc>
      </w:tr>
      <w:tr w:rsidR="003223EE" w14:paraId="6EEDD01D" w14:textId="77777777" w:rsidTr="00FD2026">
        <w:tc>
          <w:tcPr>
            <w:tcW w:w="3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1D887" w14:textId="77777777" w:rsidR="003223EE" w:rsidRPr="00FA7B89" w:rsidRDefault="003223EE">
            <w:pPr>
              <w:spacing w:line="252" w:lineRule="auto"/>
              <w:rPr>
                <w:highlight w:val="yellow"/>
              </w:rPr>
            </w:pPr>
            <w:r w:rsidRPr="00FA7B89">
              <w:rPr>
                <w:highlight w:val="yellow"/>
              </w:rPr>
              <w:t>Higher Achieving</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52DC77D4" w14:textId="77777777" w:rsidR="003223EE" w:rsidRDefault="003223EE">
            <w:pPr>
              <w:spacing w:line="252" w:lineRule="auto"/>
            </w:pPr>
            <w:r w:rsidRPr="00FA7B89">
              <w:rPr>
                <w:highlight w:val="yellow"/>
              </w:rPr>
              <w:t>No variation</w:t>
            </w:r>
          </w:p>
        </w:tc>
      </w:tr>
    </w:tbl>
    <w:p w14:paraId="1AD56681" w14:textId="3455C90B" w:rsidR="00670323" w:rsidRPr="005F1362" w:rsidRDefault="00670323" w:rsidP="000C4836">
      <w:pPr>
        <w:pStyle w:val="Heading3"/>
        <w:numPr>
          <w:ilvl w:val="0"/>
          <w:numId w:val="0"/>
        </w:numPr>
        <w:ind w:left="720"/>
        <w:rPr>
          <w:color w:val="000000" w:themeColor="text1"/>
        </w:rPr>
      </w:pPr>
    </w:p>
    <w:p w14:paraId="71123EE4" w14:textId="29B2C548" w:rsidR="00670323" w:rsidRPr="0033393E" w:rsidRDefault="00670323" w:rsidP="00670323">
      <w:pPr>
        <w:pStyle w:val="Heading3"/>
      </w:pPr>
      <w:r w:rsidRPr="0033393E">
        <w:t>Recognising the Commissioner retains contractual accountability and relying on the Practice/Commissioner</w:t>
      </w:r>
      <w:r w:rsidRPr="0033393E" w:rsidDel="0053640F">
        <w:t xml:space="preserve"> </w:t>
      </w:r>
      <w:r w:rsidRPr="0033393E">
        <w:t>/LMC relationship, supported by a centrally provided transparent and consistent suite of measures, in conjunction with robust, fair and consistent guidance for the management of service and performance improvement, will help to ensure risks to quality and patient safety are addressed in a timely and proportionate manner.</w:t>
      </w:r>
    </w:p>
    <w:p w14:paraId="7D188CBC" w14:textId="4A472137" w:rsidR="00670323" w:rsidRPr="0033393E" w:rsidRDefault="00670323" w:rsidP="00670323">
      <w:pPr>
        <w:pStyle w:val="Heading3"/>
      </w:pPr>
      <w:r w:rsidRPr="0033393E">
        <w:t>The approach described above provides for the Commissioner to assure the quality, safety and performance of each practice</w:t>
      </w:r>
      <w:r w:rsidR="008E20E3">
        <w:t>.</w:t>
      </w:r>
    </w:p>
    <w:p w14:paraId="31DC0BDF" w14:textId="25D20E74" w:rsidR="00670323" w:rsidRPr="0033393E" w:rsidRDefault="00670323" w:rsidP="00670323">
      <w:pPr>
        <w:pStyle w:val="Heading3"/>
      </w:pPr>
      <w:r w:rsidRPr="0033393E">
        <w:t xml:space="preserve">The Care Quality Commission is the independent regulator of health and adult social care in England.  It seeks to ensure services are safe, effective, compassionate and  delivered to a high quality, encouraging services to improve. The inspection of general practice includes five key questions of </w:t>
      </w:r>
      <w:r w:rsidR="00D26A9F" w:rsidRPr="0033393E">
        <w:t>services i.e.</w:t>
      </w:r>
      <w:r w:rsidRPr="0033393E">
        <w:t xml:space="preserve"> </w:t>
      </w:r>
      <w:r w:rsidR="00D26A9F" w:rsidRPr="0033393E">
        <w:t>whether services</w:t>
      </w:r>
      <w:r w:rsidRPr="0033393E">
        <w:t xml:space="preserve"> are: safe, effective, caring, responsive to people’s needs and well-led. CQC rates each of the five questions to give an overall rating for a practice, the rating categories used include: Outstanding, good, requires improvement and inadequate. These ratings and practice reports are available on the CQC website. </w:t>
      </w:r>
    </w:p>
    <w:p w14:paraId="61C0425A" w14:textId="4893DFF8" w:rsidR="00670323" w:rsidRPr="0033393E" w:rsidRDefault="00670323" w:rsidP="00670323">
      <w:pPr>
        <w:pStyle w:val="Heading3"/>
      </w:pPr>
      <w:r w:rsidRPr="0033393E">
        <w:t>CQC’s report State of Care in General Practice 2014-2017 (</w:t>
      </w:r>
      <w:hyperlink r:id="rId52" w:history="1">
        <w:r w:rsidRPr="0076270A">
          <w:rPr>
            <w:rStyle w:val="Hyperlink"/>
          </w:rPr>
          <w:t>http://www.cqc.org.uk/publications/major-report/state-care-general-practice-2014-2017</w:t>
        </w:r>
      </w:hyperlink>
      <w:r>
        <w:t xml:space="preserve">) </w:t>
      </w:r>
      <w:r w:rsidRPr="0033393E">
        <w:t xml:space="preserve"> highlight</w:t>
      </w:r>
      <w:r w:rsidR="00CD32A5">
        <w:t>ed</w:t>
      </w:r>
      <w:r w:rsidRPr="0033393E">
        <w:t xml:space="preserve"> that one of the key determinants of GP practice</w:t>
      </w:r>
      <w:r w:rsidR="00CD32A5">
        <w:t>s</w:t>
      </w:r>
      <w:r w:rsidRPr="0033393E">
        <w:t xml:space="preserve"> providing high quality care was</w:t>
      </w:r>
      <w:r w:rsidR="00A85583">
        <w:t>,</w:t>
      </w:r>
      <w:r w:rsidRPr="0033393E">
        <w:t xml:space="preserve"> a practice that is proactive in identifying the needs of their patient population as well as people’s health and care needs in the wider local population. </w:t>
      </w:r>
      <w:r w:rsidR="00D26A9F" w:rsidRPr="0033393E">
        <w:t>Furthermore,</w:t>
      </w:r>
      <w:r w:rsidRPr="0033393E">
        <w:t xml:space="preserve"> practices </w:t>
      </w:r>
      <w:r w:rsidR="00A85583">
        <w:t>that</w:t>
      </w:r>
      <w:r w:rsidR="00A85583" w:rsidRPr="0033393E">
        <w:t xml:space="preserve"> </w:t>
      </w:r>
      <w:r w:rsidRPr="0033393E">
        <w:t>were good or outstanding proactively support people to live healthy lives, recognise social aspects such as employment, housing and finance and then target such support towards people who are vulnerable. As well as engaging with the needs of patients, meeting local needs also meant engaging with external agencies, and networks and including the voluntary sector. CQC rating data indicate</w:t>
      </w:r>
      <w:r w:rsidR="00BC5F9C">
        <w:t>s</w:t>
      </w:r>
      <w:r w:rsidRPr="0033393E">
        <w:t xml:space="preserve"> that </w:t>
      </w:r>
      <w:r w:rsidR="00BC5F9C">
        <w:t>the</w:t>
      </w:r>
      <w:r w:rsidRPr="0033393E">
        <w:t xml:space="preserve"> majority of practices in England are rated as Good or Outstanding, with pockets of poor practice. </w:t>
      </w:r>
    </w:p>
    <w:p w14:paraId="27BE5675" w14:textId="672DFB2B" w:rsidR="00670323" w:rsidRPr="0033393E" w:rsidRDefault="00670323" w:rsidP="00670323">
      <w:pPr>
        <w:pStyle w:val="Heading3"/>
      </w:pPr>
      <w:r w:rsidRPr="0033393E">
        <w:t xml:space="preserve">The standards set by the Care Quality Commission (CQC) describe the characteristics of ‘good’ quality primary medical care. These are available on the CQC website: </w:t>
      </w:r>
      <w:hyperlink r:id="rId53" w:anchor="care-standards" w:history="1">
        <w:r w:rsidRPr="00670323">
          <w:rPr>
            <w:color w:val="0000FF"/>
            <w:u w:val="single"/>
          </w:rPr>
          <w:t>http://www.cqc.org.uk/guidance-providers/gps#care-standards</w:t>
        </w:r>
      </w:hyperlink>
    </w:p>
    <w:p w14:paraId="56A89ACD" w14:textId="0086623C" w:rsidR="00670323" w:rsidRPr="0033393E" w:rsidRDefault="00670323" w:rsidP="00670323">
      <w:pPr>
        <w:pStyle w:val="Heading3"/>
      </w:pPr>
      <w:r w:rsidRPr="0033393E">
        <w:t>Other definitions of good quality primary care which may also provide the starting point for discussions between practices and the Commissioner are outlined in the Health Foundation publication “Improving quality in general practice”</w:t>
      </w:r>
      <w:r w:rsidRPr="0033393E">
        <w:rPr>
          <w:sz w:val="20"/>
          <w:szCs w:val="20"/>
          <w:vertAlign w:val="superscript"/>
        </w:rPr>
        <w:footnoteReference w:id="4"/>
      </w:r>
    </w:p>
    <w:p w14:paraId="1D47964C" w14:textId="6764462B" w:rsidR="00670323" w:rsidRPr="009A4EC5" w:rsidRDefault="00670323" w:rsidP="00670323">
      <w:pPr>
        <w:pStyle w:val="Heading3"/>
        <w:rPr>
          <w:color w:val="000000" w:themeColor="text1"/>
        </w:rPr>
      </w:pPr>
      <w:r w:rsidRPr="0033393E">
        <w:t>As excellent service provision cannot be discerned from a single set of measures or indicators</w:t>
      </w:r>
      <w:r w:rsidRPr="0033393E">
        <w:rPr>
          <w:szCs w:val="24"/>
        </w:rPr>
        <w:t>, NHS England primarily provide</w:t>
      </w:r>
      <w:r w:rsidRPr="0033393E">
        <w:t xml:space="preserve"> three sources of data and intelligence</w:t>
      </w:r>
      <w:r w:rsidRPr="0033393E">
        <w:rPr>
          <w:szCs w:val="24"/>
        </w:rPr>
        <w:t>.  Used alongside local knowledge, these may</w:t>
      </w:r>
      <w:r w:rsidRPr="0033393E">
        <w:t xml:space="preserve"> assist the Commissioner in assessing risk to service provision and patient safety </w:t>
      </w:r>
      <w:r w:rsidRPr="0033393E">
        <w:rPr>
          <w:szCs w:val="24"/>
        </w:rPr>
        <w:t xml:space="preserve">and therefore adherence to the contract.  This intelligence is </w:t>
      </w:r>
      <w:r w:rsidR="00704DD6">
        <w:rPr>
          <w:szCs w:val="24"/>
        </w:rPr>
        <w:t xml:space="preserve">currently </w:t>
      </w:r>
      <w:r w:rsidRPr="0033393E">
        <w:rPr>
          <w:szCs w:val="24"/>
        </w:rPr>
        <w:t xml:space="preserve">provided through </w:t>
      </w:r>
      <w:r w:rsidR="006B415D">
        <w:rPr>
          <w:szCs w:val="24"/>
        </w:rPr>
        <w:t xml:space="preserve">the </w:t>
      </w:r>
      <w:r w:rsidRPr="0033393E">
        <w:rPr>
          <w:szCs w:val="24"/>
        </w:rPr>
        <w:t xml:space="preserve">Primary Care website at </w:t>
      </w:r>
      <w:hyperlink r:id="rId54" w:history="1">
        <w:r w:rsidR="00FB0775">
          <w:rPr>
            <w:rStyle w:val="Hyperlink"/>
            <w:rFonts w:eastAsiaTheme="majorEastAsia" w:cs="Arial"/>
            <w:szCs w:val="24"/>
          </w:rPr>
          <w:t>www.primarycareindicators.nhs.uk</w:t>
        </w:r>
      </w:hyperlink>
      <w:r w:rsidR="00FB0775">
        <w:rPr>
          <w:color w:val="000000" w:themeColor="text1"/>
          <w:szCs w:val="24"/>
        </w:rPr>
        <w:t xml:space="preserve"> and through eDec which is collected by NHS Digtal via the Strategic Data Collection Service (SDCS) on behalf of NHS England.</w:t>
      </w:r>
    </w:p>
    <w:p w14:paraId="495DC572" w14:textId="3E9A4ACE" w:rsidR="00670323" w:rsidRPr="00670323" w:rsidRDefault="00670323" w:rsidP="006C3DF5">
      <w:pPr>
        <w:pStyle w:val="Body3"/>
        <w:widowControl/>
        <w:numPr>
          <w:ilvl w:val="0"/>
          <w:numId w:val="94"/>
        </w:numPr>
        <w:spacing w:before="120" w:after="120" w:line="276" w:lineRule="auto"/>
        <w:rPr>
          <w:rFonts w:cs="Arial"/>
          <w:sz w:val="24"/>
          <w:szCs w:val="24"/>
        </w:rPr>
      </w:pPr>
      <w:r w:rsidRPr="00670323">
        <w:rPr>
          <w:rFonts w:cs="Arial"/>
          <w:sz w:val="24"/>
          <w:szCs w:val="24"/>
        </w:rPr>
        <w:t xml:space="preserve">A Practice profile which describes the characteristics of each practice e.g. the demography of the population served. This information is updated </w:t>
      </w:r>
      <w:r w:rsidR="0040289F">
        <w:rPr>
          <w:rFonts w:cs="Arial"/>
          <w:sz w:val="24"/>
          <w:szCs w:val="24"/>
        </w:rPr>
        <w:t xml:space="preserve">regularly </w:t>
      </w:r>
      <w:r w:rsidRPr="00670323">
        <w:rPr>
          <w:rFonts w:cs="Arial"/>
          <w:sz w:val="24"/>
          <w:szCs w:val="24"/>
        </w:rPr>
        <w:t>and whilst it is unlikely to change significantly over time, it may contain specific information which when presented alongside clinical indicators, would provide a more complete picture and potential impact on achievement of certain standards e.g. the effect of student practices or those that serve more discreet populations (homeless, high BME, highly deprived etc).</w:t>
      </w:r>
    </w:p>
    <w:p w14:paraId="2D6C81D4" w14:textId="4E6AB78B" w:rsidR="00670323" w:rsidRPr="00670323" w:rsidRDefault="007707F5" w:rsidP="006C3DF5">
      <w:pPr>
        <w:pStyle w:val="Body3"/>
        <w:widowControl/>
        <w:numPr>
          <w:ilvl w:val="0"/>
          <w:numId w:val="94"/>
        </w:numPr>
        <w:spacing w:before="120" w:after="120" w:line="276" w:lineRule="auto"/>
        <w:rPr>
          <w:rFonts w:cs="Arial"/>
          <w:sz w:val="24"/>
          <w:szCs w:val="24"/>
        </w:rPr>
      </w:pPr>
      <w:r>
        <w:rPr>
          <w:rFonts w:cs="Arial"/>
          <w:sz w:val="24"/>
          <w:szCs w:val="24"/>
        </w:rPr>
        <w:t xml:space="preserve">The </w:t>
      </w:r>
      <w:r w:rsidR="00670323" w:rsidRPr="00670323">
        <w:rPr>
          <w:rFonts w:cs="Arial"/>
          <w:sz w:val="24"/>
          <w:szCs w:val="24"/>
        </w:rPr>
        <w:t>annual G</w:t>
      </w:r>
      <w:r>
        <w:rPr>
          <w:rFonts w:cs="Arial"/>
          <w:sz w:val="24"/>
          <w:szCs w:val="24"/>
        </w:rPr>
        <w:t>eneral P</w:t>
      </w:r>
      <w:r w:rsidR="00670323" w:rsidRPr="00670323">
        <w:rPr>
          <w:rFonts w:cs="Arial"/>
          <w:sz w:val="24"/>
          <w:szCs w:val="24"/>
        </w:rPr>
        <w:t>ractice electronic self-declaration (eDec). This includes information such as, operating policies, opening times and assurance of good workforce planning. This information will link with contractual requirements and may also contain responses to ‘reasonable requests for information’ e.g. from other governmental departments and bodies, parliamentary questions or freedom of information requests</w:t>
      </w:r>
      <w:r w:rsidR="0028677B">
        <w:rPr>
          <w:rFonts w:cs="Arial"/>
          <w:sz w:val="24"/>
          <w:szCs w:val="24"/>
        </w:rPr>
        <w:t>.</w:t>
      </w:r>
      <w:r w:rsidR="00670323" w:rsidRPr="00670323">
        <w:rPr>
          <w:rFonts w:cs="Arial"/>
          <w:sz w:val="24"/>
          <w:szCs w:val="24"/>
        </w:rPr>
        <w:t xml:space="preserve"> The information declared will be shared with </w:t>
      </w:r>
      <w:r w:rsidR="00FE7B61" w:rsidRPr="00670323">
        <w:rPr>
          <w:rFonts w:cs="Arial"/>
          <w:sz w:val="24"/>
          <w:szCs w:val="24"/>
        </w:rPr>
        <w:t>CQC,</w:t>
      </w:r>
      <w:r w:rsidR="00670323" w:rsidRPr="00670323">
        <w:rPr>
          <w:rFonts w:cs="Arial"/>
          <w:sz w:val="24"/>
          <w:szCs w:val="24"/>
        </w:rPr>
        <w:t xml:space="preserve"> reducing the burden of separate information returns across organisations e.g. as part of pre-inspection information requests. </w:t>
      </w:r>
      <w:bookmarkStart w:id="219" w:name="page13"/>
      <w:bookmarkEnd w:id="219"/>
    </w:p>
    <w:p w14:paraId="36BD6C92" w14:textId="74628560" w:rsidR="00670323" w:rsidRPr="00670323" w:rsidRDefault="00670323" w:rsidP="006C3DF5">
      <w:pPr>
        <w:pStyle w:val="Body3"/>
        <w:widowControl/>
        <w:numPr>
          <w:ilvl w:val="0"/>
          <w:numId w:val="94"/>
        </w:numPr>
        <w:spacing w:before="120" w:after="120" w:line="276" w:lineRule="auto"/>
        <w:rPr>
          <w:rFonts w:cs="Arial"/>
          <w:sz w:val="24"/>
          <w:szCs w:val="24"/>
        </w:rPr>
      </w:pPr>
      <w:r w:rsidRPr="00670323">
        <w:rPr>
          <w:rFonts w:cs="Arial"/>
          <w:sz w:val="24"/>
          <w:szCs w:val="24"/>
        </w:rPr>
        <w:t>A suite of general practice measures and indicators supporting quality improvement, assurance and enabling benchmarking as these are shared transparently with all practices. This indicator set appl</w:t>
      </w:r>
      <w:r w:rsidR="007707F5">
        <w:rPr>
          <w:rFonts w:cs="Arial"/>
          <w:sz w:val="24"/>
          <w:szCs w:val="24"/>
        </w:rPr>
        <w:t>ies</w:t>
      </w:r>
      <w:r w:rsidRPr="00670323">
        <w:rPr>
          <w:rFonts w:cs="Arial"/>
          <w:sz w:val="24"/>
          <w:szCs w:val="24"/>
        </w:rPr>
        <w:t xml:space="preserve"> to all GP practices in England, in order to allow for benchmarking comparisons to be made, within a </w:t>
      </w:r>
      <w:r w:rsidR="00B83042">
        <w:rPr>
          <w:rFonts w:cs="Arial"/>
          <w:sz w:val="24"/>
          <w:szCs w:val="24"/>
        </w:rPr>
        <w:t>CCG/ICB</w:t>
      </w:r>
      <w:r w:rsidRPr="00670323">
        <w:rPr>
          <w:rFonts w:cs="Arial"/>
          <w:sz w:val="24"/>
          <w:szCs w:val="24"/>
        </w:rPr>
        <w:t xml:space="preserve"> or wider regional areas, for example by grouping practices of other similar characteristics such index of multiple deprivation and list size, etc</w:t>
      </w:r>
      <w:r w:rsidR="00912FE4">
        <w:rPr>
          <w:rFonts w:cs="Arial"/>
          <w:sz w:val="24"/>
          <w:szCs w:val="24"/>
        </w:rPr>
        <w:t>.</w:t>
      </w:r>
    </w:p>
    <w:p w14:paraId="04541922" w14:textId="02CD27E5" w:rsidR="00670323" w:rsidRPr="0033393E" w:rsidRDefault="00670323" w:rsidP="00670323">
      <w:pPr>
        <w:pStyle w:val="Heading3"/>
      </w:pPr>
      <w:r w:rsidRPr="0033393E">
        <w:t>These data should be used by Commissioners in the first instance</w:t>
      </w:r>
      <w:r w:rsidR="00704DD6">
        <w:t>, along with any new or emerging sources of intelligence</w:t>
      </w:r>
      <w:r w:rsidRPr="0033393E">
        <w:t xml:space="preserve"> to identify risk.  The</w:t>
      </w:r>
      <w:r w:rsidR="00704DD6">
        <w:t>se</w:t>
      </w:r>
      <w:r w:rsidRPr="0033393E">
        <w:t xml:space="preserve"> </w:t>
      </w:r>
      <w:r w:rsidR="00704DD6">
        <w:t xml:space="preserve">sources </w:t>
      </w:r>
      <w:r w:rsidRPr="0033393E">
        <w:t xml:space="preserve">of </w:t>
      </w:r>
      <w:r w:rsidR="00704DD6">
        <w:t xml:space="preserve">data and information </w:t>
      </w:r>
      <w:r w:rsidRPr="0033393E">
        <w:t>will direct commissioners to those areas where potential areas or pockets of highest risk exist</w:t>
      </w:r>
      <w:r w:rsidR="005A0A0C">
        <w:t>.</w:t>
      </w:r>
    </w:p>
    <w:p w14:paraId="368FEA37" w14:textId="115AFA89" w:rsidR="00670323" w:rsidRPr="0033393E" w:rsidRDefault="00670323" w:rsidP="00670323">
      <w:pPr>
        <w:pStyle w:val="Heading3"/>
      </w:pPr>
      <w:r w:rsidRPr="0033393E">
        <w:t xml:space="preserve">It is acknowledged that these sources of data do not capture the full range of services provided by general practice, they are however an important starting point in helping individual practices, Commissioners and </w:t>
      </w:r>
      <w:r w:rsidRPr="00670323">
        <w:rPr>
          <w:szCs w:val="24"/>
        </w:rPr>
        <w:t>other stakeholders to</w:t>
      </w:r>
      <w:r w:rsidRPr="0033393E">
        <w:t xml:space="preserve"> build a rounded view of performance with a focus on objective service improvement and outcomes.</w:t>
      </w:r>
    </w:p>
    <w:p w14:paraId="4A1921D6" w14:textId="40349D73" w:rsidR="00670323" w:rsidRPr="0033393E" w:rsidRDefault="00670323" w:rsidP="00670323">
      <w:pPr>
        <w:pStyle w:val="Heading3"/>
      </w:pPr>
      <w:r w:rsidRPr="0033393E">
        <w:t xml:space="preserve">There are very few circumstances where data alone will determine Commissioner intervention. To </w:t>
      </w:r>
      <w:r w:rsidR="00FE7B61" w:rsidRPr="0033393E">
        <w:t>ensure flexibility</w:t>
      </w:r>
      <w:r w:rsidRPr="0033393E">
        <w:t xml:space="preserve">, Commissioners </w:t>
      </w:r>
      <w:r w:rsidR="00FE7B61" w:rsidRPr="0033393E">
        <w:t>should review</w:t>
      </w:r>
      <w:r w:rsidRPr="0033393E">
        <w:t xml:space="preserve"> these three </w:t>
      </w:r>
      <w:r w:rsidRPr="0033393E">
        <w:rPr>
          <w:szCs w:val="24"/>
        </w:rPr>
        <w:t xml:space="preserve">primary </w:t>
      </w:r>
      <w:r w:rsidRPr="0033393E">
        <w:t>sources of data</w:t>
      </w:r>
      <w:r w:rsidR="00704DD6">
        <w:t xml:space="preserve"> and any future published sources of data and information</w:t>
      </w:r>
      <w:r w:rsidRPr="0033393E">
        <w:t xml:space="preserve"> in order to </w:t>
      </w:r>
      <w:r w:rsidRPr="0033393E">
        <w:rPr>
          <w:szCs w:val="24"/>
        </w:rPr>
        <w:t>understand</w:t>
      </w:r>
      <w:r w:rsidRPr="0033393E">
        <w:t xml:space="preserve"> whether a practice requires support to improve or intervention, for example</w:t>
      </w:r>
      <w:r w:rsidR="005A0A0C">
        <w:t>,</w:t>
      </w:r>
      <w:r w:rsidRPr="0033393E">
        <w:t xml:space="preserve"> if the Commissioner considers there may be a risk to quality and patient safety. If necessary</w:t>
      </w:r>
      <w:r w:rsidR="005A0A0C">
        <w:t>,</w:t>
      </w:r>
      <w:r w:rsidRPr="0033393E">
        <w:t xml:space="preserve"> the Commissioner </w:t>
      </w:r>
      <w:r w:rsidR="00FE7B61" w:rsidRPr="0033393E">
        <w:t>should provide</w:t>
      </w:r>
      <w:r w:rsidRPr="0033393E">
        <w:t xml:space="preserve"> additional appropriate and adequate support to be agreed with the practice. If despite that support a practice is unable to demonstrate improvement within a reasonable period, the Commissioner must determine whether it considers there is an actual cause for concern. This will require scrutiny of any other relevant sources of intelligence or data for example;</w:t>
      </w:r>
    </w:p>
    <w:p w14:paraId="4133F120" w14:textId="77777777" w:rsidR="00670323" w:rsidRPr="0033393E" w:rsidRDefault="00670323" w:rsidP="00670323">
      <w:pPr>
        <w:pStyle w:val="Body3"/>
        <w:spacing w:before="120" w:after="120" w:line="276" w:lineRule="auto"/>
        <w:ind w:left="765"/>
        <w:rPr>
          <w:rFonts w:cs="Arial"/>
          <w:szCs w:val="24"/>
        </w:rPr>
      </w:pPr>
    </w:p>
    <w:p w14:paraId="65D25265" w14:textId="7A2F42D9" w:rsidR="00670323" w:rsidRPr="0033393E" w:rsidRDefault="00670323" w:rsidP="006C3DF5">
      <w:pPr>
        <w:pStyle w:val="ListParagraph"/>
        <w:numPr>
          <w:ilvl w:val="0"/>
          <w:numId w:val="90"/>
        </w:numPr>
        <w:spacing w:before="120" w:after="120" w:line="276" w:lineRule="auto"/>
        <w:rPr>
          <w:rFonts w:eastAsia="Arial" w:cs="Arial"/>
        </w:rPr>
      </w:pPr>
      <w:r w:rsidRPr="0033393E">
        <w:rPr>
          <w:rFonts w:eastAsia="Arial" w:cs="Arial"/>
        </w:rPr>
        <w:t>Local intelligence.</w:t>
      </w:r>
    </w:p>
    <w:p w14:paraId="50AFE5A0" w14:textId="77777777" w:rsidR="00670323" w:rsidRPr="0033393E" w:rsidRDefault="00670323" w:rsidP="006C3DF5">
      <w:pPr>
        <w:pStyle w:val="ListParagraph"/>
        <w:numPr>
          <w:ilvl w:val="0"/>
          <w:numId w:val="90"/>
        </w:numPr>
        <w:spacing w:before="120" w:after="120" w:line="276" w:lineRule="auto"/>
        <w:rPr>
          <w:rFonts w:eastAsia="Arial" w:cs="Arial"/>
        </w:rPr>
      </w:pPr>
      <w:r w:rsidRPr="0033393E">
        <w:rPr>
          <w:rFonts w:eastAsia="Arial" w:cs="Arial"/>
        </w:rPr>
        <w:t xml:space="preserve">CQC practice reports </w:t>
      </w:r>
    </w:p>
    <w:p w14:paraId="070916E0" w14:textId="77777777" w:rsidR="00670323" w:rsidRPr="0033393E" w:rsidRDefault="00670323" w:rsidP="006C3DF5">
      <w:pPr>
        <w:pStyle w:val="ListParagraph"/>
        <w:numPr>
          <w:ilvl w:val="0"/>
          <w:numId w:val="90"/>
        </w:numPr>
        <w:spacing w:before="120" w:after="120" w:line="276" w:lineRule="auto"/>
        <w:rPr>
          <w:rFonts w:eastAsia="Arial" w:cs="Arial"/>
        </w:rPr>
      </w:pPr>
      <w:r w:rsidRPr="0033393E">
        <w:rPr>
          <w:rFonts w:eastAsia="Arial" w:cs="Arial"/>
        </w:rPr>
        <w:t xml:space="preserve">Public Health England GP practice profiles: </w:t>
      </w:r>
      <w:hyperlink r:id="rId55" w:history="1">
        <w:r w:rsidRPr="0033393E">
          <w:rPr>
            <w:rStyle w:val="Hyperlink"/>
            <w:rFonts w:eastAsia="Arial" w:cs="Arial"/>
          </w:rPr>
          <w:t>http://fingertips.phe.org.uk/profile/general-practice</w:t>
        </w:r>
      </w:hyperlink>
      <w:r w:rsidRPr="0033393E">
        <w:rPr>
          <w:rFonts w:eastAsia="Arial" w:cs="Arial"/>
        </w:rPr>
        <w:t xml:space="preserve"> </w:t>
      </w:r>
    </w:p>
    <w:p w14:paraId="02BF4A7F" w14:textId="77777777" w:rsidR="00670323" w:rsidRPr="0033393E" w:rsidRDefault="00670323" w:rsidP="006C3DF5">
      <w:pPr>
        <w:pStyle w:val="ListParagraph"/>
        <w:numPr>
          <w:ilvl w:val="0"/>
          <w:numId w:val="90"/>
        </w:numPr>
        <w:spacing w:before="120" w:after="120" w:line="276" w:lineRule="auto"/>
        <w:rPr>
          <w:rFonts w:eastAsia="Arial" w:cs="Arial"/>
        </w:rPr>
      </w:pPr>
      <w:r w:rsidRPr="0033393E">
        <w:rPr>
          <w:rFonts w:eastAsia="Arial" w:cs="Arial"/>
        </w:rPr>
        <w:t xml:space="preserve">K041b complaints indicator set made by or on behalf of patients: </w:t>
      </w:r>
      <w:hyperlink r:id="rId56" w:history="1">
        <w:r w:rsidRPr="0033393E">
          <w:rPr>
            <w:rFonts w:eastAsia="Arial" w:cs="Arial"/>
            <w:color w:val="0000FF"/>
            <w:u w:val="single"/>
          </w:rPr>
          <w:t>http://content.digital.nhs.uk/datacollections/ko41b</w:t>
        </w:r>
      </w:hyperlink>
    </w:p>
    <w:p w14:paraId="7F99A9AC" w14:textId="77777777" w:rsidR="00670323" w:rsidRPr="0033393E" w:rsidRDefault="00670323" w:rsidP="006C3DF5">
      <w:pPr>
        <w:pStyle w:val="ListParagraph"/>
        <w:numPr>
          <w:ilvl w:val="0"/>
          <w:numId w:val="90"/>
        </w:numPr>
        <w:spacing w:before="120" w:after="120" w:line="276" w:lineRule="auto"/>
        <w:rPr>
          <w:rFonts w:eastAsia="Arial" w:cs="Arial"/>
        </w:rPr>
      </w:pPr>
      <w:r w:rsidRPr="0033393E">
        <w:rPr>
          <w:rFonts w:eastAsia="Arial" w:cs="Arial"/>
        </w:rPr>
        <w:t xml:space="preserve">Friends and Family Test: </w:t>
      </w:r>
      <w:hyperlink r:id="rId57" w:history="1">
        <w:r w:rsidRPr="0033393E">
          <w:rPr>
            <w:rStyle w:val="Hyperlink"/>
            <w:rFonts w:eastAsia="Arial" w:cs="Arial"/>
          </w:rPr>
          <w:t>https://www.england.nhs.uk/ourwork/pe/fft/friends-and-family-test-data/</w:t>
        </w:r>
      </w:hyperlink>
    </w:p>
    <w:p w14:paraId="450F2CE3" w14:textId="77777777" w:rsidR="00670323" w:rsidRPr="0033393E" w:rsidRDefault="00670323" w:rsidP="006C3DF5">
      <w:pPr>
        <w:pStyle w:val="ListParagraph"/>
        <w:numPr>
          <w:ilvl w:val="0"/>
          <w:numId w:val="90"/>
        </w:numPr>
        <w:spacing w:before="120" w:after="120" w:line="276" w:lineRule="auto"/>
        <w:rPr>
          <w:rFonts w:eastAsia="Arial" w:cs="Arial"/>
        </w:rPr>
      </w:pPr>
      <w:r w:rsidRPr="0033393E">
        <w:rPr>
          <w:rFonts w:eastAsia="Arial" w:cs="Arial"/>
        </w:rPr>
        <w:t xml:space="preserve">General Practice Patient Survey: </w:t>
      </w:r>
      <w:hyperlink r:id="rId58" w:history="1">
        <w:r w:rsidRPr="0033393E">
          <w:rPr>
            <w:rFonts w:eastAsia="Arial" w:cs="Arial"/>
            <w:color w:val="0000FF"/>
            <w:u w:val="single"/>
          </w:rPr>
          <w:t>https://gp-patient.co.uk/</w:t>
        </w:r>
      </w:hyperlink>
      <w:r w:rsidRPr="0033393E">
        <w:rPr>
          <w:rFonts w:eastAsia="Arial" w:cs="Arial"/>
        </w:rPr>
        <w:t xml:space="preserve"> </w:t>
      </w:r>
    </w:p>
    <w:p w14:paraId="7239E58A" w14:textId="77777777" w:rsidR="00670323" w:rsidRPr="0033393E" w:rsidRDefault="00670323" w:rsidP="006C3DF5">
      <w:pPr>
        <w:pStyle w:val="ListParagraph"/>
        <w:numPr>
          <w:ilvl w:val="0"/>
          <w:numId w:val="90"/>
        </w:numPr>
        <w:spacing w:before="120" w:after="120" w:line="276" w:lineRule="auto"/>
        <w:rPr>
          <w:rFonts w:eastAsia="Arial" w:cs="Arial"/>
        </w:rPr>
      </w:pPr>
      <w:r w:rsidRPr="0033393E">
        <w:rPr>
          <w:rFonts w:eastAsia="Arial" w:cs="Arial"/>
        </w:rPr>
        <w:t xml:space="preserve">NHS Right Care future indicator sets for general practice:  </w:t>
      </w:r>
      <w:hyperlink r:id="rId59" w:history="1">
        <w:r w:rsidRPr="0033393E">
          <w:rPr>
            <w:rStyle w:val="Hyperlink"/>
            <w:rFonts w:eastAsia="Arial" w:cs="Arial"/>
          </w:rPr>
          <w:t>https://www.england.nhs.uk/rightcare/intel/</w:t>
        </w:r>
      </w:hyperlink>
    </w:p>
    <w:p w14:paraId="3227E09C" w14:textId="77777777" w:rsidR="00670323" w:rsidRPr="0033393E" w:rsidRDefault="00670323" w:rsidP="006C3DF5">
      <w:pPr>
        <w:pStyle w:val="ListParagraph"/>
        <w:numPr>
          <w:ilvl w:val="0"/>
          <w:numId w:val="90"/>
        </w:numPr>
        <w:spacing w:before="120" w:after="120" w:line="276" w:lineRule="auto"/>
        <w:rPr>
          <w:rFonts w:eastAsia="Arial" w:cs="Arial"/>
        </w:rPr>
      </w:pPr>
      <w:r w:rsidRPr="0033393E">
        <w:rPr>
          <w:rFonts w:eastAsia="Arial" w:cs="Arial"/>
        </w:rPr>
        <w:t>Performer performance/concerns (if appropriate)</w:t>
      </w:r>
    </w:p>
    <w:p w14:paraId="3EE095B7" w14:textId="5918A4DD" w:rsidR="00670323" w:rsidRPr="0033393E" w:rsidRDefault="00B83042" w:rsidP="006C3DF5">
      <w:pPr>
        <w:pStyle w:val="ListParagraph"/>
        <w:numPr>
          <w:ilvl w:val="0"/>
          <w:numId w:val="90"/>
        </w:numPr>
        <w:spacing w:before="120" w:after="120" w:line="276" w:lineRule="auto"/>
        <w:rPr>
          <w:rFonts w:eastAsia="Arial" w:cs="Arial"/>
        </w:rPr>
      </w:pPr>
      <w:r>
        <w:rPr>
          <w:rFonts w:eastAsia="Arial" w:cs="Arial"/>
        </w:rPr>
        <w:t>CCG/ICB</w:t>
      </w:r>
      <w:r w:rsidR="00670323" w:rsidRPr="0033393E">
        <w:rPr>
          <w:rFonts w:eastAsia="Arial" w:cs="Arial"/>
        </w:rPr>
        <w:t xml:space="preserve"> engagement and relationship</w:t>
      </w:r>
    </w:p>
    <w:p w14:paraId="48DC6D8A" w14:textId="77777777" w:rsidR="00670323" w:rsidRPr="0033393E" w:rsidRDefault="00670323" w:rsidP="006C3DF5">
      <w:pPr>
        <w:pStyle w:val="ListParagraph"/>
        <w:numPr>
          <w:ilvl w:val="0"/>
          <w:numId w:val="90"/>
        </w:numPr>
        <w:spacing w:before="120" w:after="120" w:line="276" w:lineRule="auto"/>
        <w:rPr>
          <w:rFonts w:eastAsia="Arial" w:cs="Arial"/>
        </w:rPr>
      </w:pPr>
      <w:r w:rsidRPr="0033393E">
        <w:rPr>
          <w:rFonts w:eastAsia="Arial" w:cs="Arial"/>
        </w:rPr>
        <w:t>LMC intelligence</w:t>
      </w:r>
    </w:p>
    <w:p w14:paraId="4B631BBA" w14:textId="77777777" w:rsidR="00670323" w:rsidRPr="0033393E" w:rsidRDefault="00670323" w:rsidP="006C3DF5">
      <w:pPr>
        <w:pStyle w:val="ListParagraph"/>
        <w:numPr>
          <w:ilvl w:val="0"/>
          <w:numId w:val="90"/>
        </w:numPr>
        <w:spacing w:before="120" w:after="120" w:line="276" w:lineRule="auto"/>
        <w:rPr>
          <w:rFonts w:eastAsia="Arial" w:cs="Arial"/>
        </w:rPr>
      </w:pPr>
      <w:r w:rsidRPr="0033393E">
        <w:rPr>
          <w:rFonts w:eastAsia="Arial" w:cs="Arial"/>
        </w:rPr>
        <w:t>Practice phone call or visit</w:t>
      </w:r>
    </w:p>
    <w:p w14:paraId="342B8B2F" w14:textId="77777777" w:rsidR="00670323" w:rsidRPr="0033393E" w:rsidRDefault="00670323" w:rsidP="006C3DF5">
      <w:pPr>
        <w:pStyle w:val="ListParagraph"/>
        <w:numPr>
          <w:ilvl w:val="0"/>
          <w:numId w:val="90"/>
        </w:numPr>
        <w:spacing w:before="120" w:after="120" w:line="276" w:lineRule="auto"/>
        <w:rPr>
          <w:rFonts w:eastAsia="Arial" w:cs="Arial"/>
        </w:rPr>
      </w:pPr>
      <w:r w:rsidRPr="0033393E">
        <w:rPr>
          <w:rFonts w:eastAsia="Arial" w:cs="Arial"/>
        </w:rPr>
        <w:t xml:space="preserve">Medicines optimisation dashboard </w:t>
      </w:r>
      <w:hyperlink r:id="rId60" w:history="1">
        <w:r w:rsidRPr="0033393E">
          <w:rPr>
            <w:rStyle w:val="Hyperlink"/>
            <w:rFonts w:eastAsiaTheme="majorEastAsia" w:cs="Arial"/>
          </w:rPr>
          <w:t>https://www.england.nhs.uk/medicines/medicines-optimisation/dashboard/</w:t>
        </w:r>
      </w:hyperlink>
    </w:p>
    <w:p w14:paraId="05875109" w14:textId="217988E8" w:rsidR="00670323" w:rsidRDefault="00670323" w:rsidP="006C3DF5">
      <w:pPr>
        <w:pStyle w:val="ListParagraph"/>
        <w:numPr>
          <w:ilvl w:val="0"/>
          <w:numId w:val="90"/>
        </w:numPr>
        <w:spacing w:before="120" w:after="120" w:line="276" w:lineRule="auto"/>
        <w:rPr>
          <w:rFonts w:eastAsia="Arial" w:cs="Arial"/>
        </w:rPr>
      </w:pPr>
      <w:r w:rsidRPr="0033393E">
        <w:rPr>
          <w:rFonts w:eastAsia="Arial" w:cs="Arial"/>
        </w:rPr>
        <w:t xml:space="preserve">GP Workload tool </w:t>
      </w:r>
      <w:hyperlink r:id="rId61" w:history="1">
        <w:r w:rsidR="007707F5" w:rsidRPr="0012658C">
          <w:rPr>
            <w:rStyle w:val="Hyperlink"/>
            <w:rFonts w:eastAsia="Arial" w:cs="Arial"/>
          </w:rPr>
          <w:t>https://digital.nhs.uk/services/general-practice-gp-collections/service-information/gp-workload-collection</w:t>
        </w:r>
      </w:hyperlink>
    </w:p>
    <w:p w14:paraId="35C758F9" w14:textId="6B6CF4E1" w:rsidR="007707F5" w:rsidRPr="0033393E" w:rsidRDefault="007707F5" w:rsidP="000C4836">
      <w:pPr>
        <w:pStyle w:val="ListParagraph"/>
        <w:spacing w:before="120" w:after="120" w:line="276" w:lineRule="auto"/>
        <w:ind w:left="1485"/>
        <w:rPr>
          <w:rFonts w:eastAsia="Arial" w:cs="Arial"/>
        </w:rPr>
      </w:pPr>
      <w:r>
        <w:rPr>
          <w:rFonts w:eastAsia="Arial" w:cs="Arial"/>
        </w:rPr>
        <w:t>GP A</w:t>
      </w:r>
      <w:r w:rsidRPr="0033393E">
        <w:rPr>
          <w:rFonts w:eastAsia="Arial" w:cs="Arial"/>
        </w:rPr>
        <w:t xml:space="preserve">ppointments </w:t>
      </w:r>
      <w:r>
        <w:rPr>
          <w:rFonts w:eastAsia="Arial" w:cs="Arial"/>
        </w:rPr>
        <w:t>D</w:t>
      </w:r>
      <w:r w:rsidRPr="0033393E">
        <w:rPr>
          <w:rFonts w:eastAsia="Arial" w:cs="Arial"/>
        </w:rPr>
        <w:t>ata</w:t>
      </w:r>
    </w:p>
    <w:p w14:paraId="333C7A45" w14:textId="3811779D" w:rsidR="00670323" w:rsidRDefault="000B57EE" w:rsidP="000C4836">
      <w:pPr>
        <w:spacing w:before="120" w:after="120" w:line="276" w:lineRule="auto"/>
        <w:ind w:left="1440"/>
        <w:rPr>
          <w:rFonts w:eastAsia="Arial" w:cs="Arial"/>
        </w:rPr>
      </w:pPr>
      <w:hyperlink r:id="rId62" w:history="1">
        <w:r w:rsidR="007707F5" w:rsidRPr="0012658C">
          <w:rPr>
            <w:rStyle w:val="Hyperlink"/>
            <w:rFonts w:eastAsia="Arial" w:cs="Arial"/>
          </w:rPr>
          <w:t>https://digital.nhs.uk/data-and-information/publications/statistical/appointments-in-general-practice</w:t>
        </w:r>
      </w:hyperlink>
    </w:p>
    <w:p w14:paraId="2AEAB94D" w14:textId="77777777" w:rsidR="007707F5" w:rsidRPr="0033393E" w:rsidRDefault="007707F5" w:rsidP="00670323">
      <w:pPr>
        <w:spacing w:before="120" w:after="120" w:line="276" w:lineRule="auto"/>
        <w:rPr>
          <w:rFonts w:eastAsia="Arial" w:cs="Arial"/>
        </w:rPr>
      </w:pPr>
    </w:p>
    <w:p w14:paraId="4AA00C13" w14:textId="1681DF73" w:rsidR="00670323" w:rsidRPr="00670323" w:rsidRDefault="00670323" w:rsidP="00670323">
      <w:pPr>
        <w:pStyle w:val="Heading3"/>
        <w:rPr>
          <w:rFonts w:eastAsia="Arial"/>
          <w:szCs w:val="24"/>
          <w:lang w:eastAsia="en-GB"/>
        </w:rPr>
      </w:pPr>
      <w:r w:rsidRPr="0033393E">
        <w:t>Data alone (whether derived from the above or the three key sources) is not however a panacea. The Commissioner must consider the practice in the context of wider determining factors (</w:t>
      </w:r>
      <w:r w:rsidR="00FE7B61" w:rsidRPr="0033393E">
        <w:t>e.g.</w:t>
      </w:r>
      <w:r w:rsidRPr="0033393E">
        <w:t xml:space="preserve"> social deprivation, health needs, population profile, resourcing, to name but a few). </w:t>
      </w:r>
    </w:p>
    <w:p w14:paraId="78FC05BF" w14:textId="0435E100" w:rsidR="00670323" w:rsidRPr="0033393E" w:rsidRDefault="00670323" w:rsidP="00670323">
      <w:pPr>
        <w:pStyle w:val="Heading3"/>
        <w:rPr>
          <w:szCs w:val="24"/>
        </w:rPr>
      </w:pPr>
      <w:r w:rsidRPr="0033393E">
        <w:t>There are numerous examples of data being used inappropriately and contrary to the purpose for which it was collected; one such non healthcare related example is provided below.</w:t>
      </w:r>
      <w:r w:rsidRPr="0033393E">
        <w:rPr>
          <w:szCs w:val="24"/>
        </w:rPr>
        <w:t xml:space="preserve"> Th</w:t>
      </w:r>
      <w:r w:rsidR="007707F5">
        <w:rPr>
          <w:szCs w:val="24"/>
        </w:rPr>
        <w:t>e</w:t>
      </w:r>
      <w:r w:rsidRPr="0033393E">
        <w:rPr>
          <w:szCs w:val="24"/>
        </w:rPr>
        <w:t xml:space="preserve"> example</w:t>
      </w:r>
      <w:r w:rsidR="007707F5">
        <w:rPr>
          <w:szCs w:val="24"/>
        </w:rPr>
        <w:t xml:space="preserve"> below</w:t>
      </w:r>
      <w:r w:rsidRPr="0033393E">
        <w:rPr>
          <w:szCs w:val="24"/>
        </w:rPr>
        <w:t xml:space="preserve"> is intended to reinforce the concept of using data appropriately, in context and as part of a wider suite of factual intelligence to make informed decisions.</w:t>
      </w:r>
    </w:p>
    <w:p w14:paraId="77757036" w14:textId="77777777" w:rsidR="00670323" w:rsidRPr="0033393E" w:rsidRDefault="00670323" w:rsidP="00670323">
      <w:pPr>
        <w:spacing w:before="120" w:after="120" w:line="276" w:lineRule="auto"/>
        <w:rPr>
          <w:rFonts w:eastAsia="Arial" w:cs="Arial"/>
        </w:rPr>
      </w:pPr>
    </w:p>
    <w:p w14:paraId="6F5EC352" w14:textId="77777777" w:rsidR="00670323" w:rsidRPr="0033393E" w:rsidRDefault="00670323" w:rsidP="00670323">
      <w:pPr>
        <w:spacing w:before="120" w:after="120" w:line="276" w:lineRule="auto"/>
        <w:ind w:left="1440" w:right="180"/>
        <w:rPr>
          <w:rFonts w:eastAsia="Arial" w:cs="Arial"/>
          <w:i/>
        </w:rPr>
      </w:pPr>
      <w:r w:rsidRPr="0033393E">
        <w:rPr>
          <w:rFonts w:eastAsia="Arial" w:cs="Arial"/>
          <w:i/>
        </w:rPr>
        <w:t>The Bhoomi Project was an ambitious effort by the southern Indian state of Karnataka to digitize some 20 million land titles, making them more accessible. It was supposed to be a shining example of governance and open data that would benefit everyone and bring new efficiencies to the world’s largest democracy. Instead, the portal proved a boon to corporations and the wealthy, who hired lawyers and predatory land agents to challenge titles, hunt for errors in documentation, exploit gaps in records, identify targets for bribery, and snap up property. An initiative that was intended to level the playing field for small landholders ended up penalising them and bribery costs and processing time actually increased.</w:t>
      </w:r>
    </w:p>
    <w:p w14:paraId="21781CCC" w14:textId="77777777" w:rsidR="00670323" w:rsidRPr="0033393E" w:rsidRDefault="00670323" w:rsidP="00670323">
      <w:pPr>
        <w:spacing w:before="120" w:after="120" w:line="276" w:lineRule="auto"/>
        <w:rPr>
          <w:rFonts w:cs="Arial"/>
          <w:bCs w:val="0"/>
          <w:szCs w:val="24"/>
          <w:lang w:eastAsia="en-GB"/>
        </w:rPr>
      </w:pPr>
    </w:p>
    <w:p w14:paraId="17F58944" w14:textId="2E45D881" w:rsidR="00670323" w:rsidRPr="0033393E" w:rsidRDefault="00670323" w:rsidP="00670323">
      <w:pPr>
        <w:pStyle w:val="Heading3"/>
      </w:pPr>
      <w:r w:rsidRPr="0033393E">
        <w:t xml:space="preserve">Underlying this approach is the recognition </w:t>
      </w:r>
      <w:r w:rsidR="00FE7B61" w:rsidRPr="0033393E">
        <w:t>that the</w:t>
      </w:r>
      <w:r w:rsidRPr="0033393E">
        <w:t xml:space="preserve"> best way of </w:t>
      </w:r>
      <w:r w:rsidR="00FE7B61" w:rsidRPr="0033393E">
        <w:t>ensuring continued</w:t>
      </w:r>
      <w:r w:rsidRPr="0033393E">
        <w:t xml:space="preserve"> excellence lies in the consistent and proportionate application of </w:t>
      </w:r>
      <w:r w:rsidRPr="0033393E">
        <w:rPr>
          <w:szCs w:val="24"/>
        </w:rPr>
        <w:t>an</w:t>
      </w:r>
      <w:r w:rsidRPr="0033393E">
        <w:t xml:space="preserve"> assurance </w:t>
      </w:r>
      <w:r w:rsidRPr="0033393E">
        <w:rPr>
          <w:szCs w:val="24"/>
        </w:rPr>
        <w:t>framework</w:t>
      </w:r>
      <w:r w:rsidRPr="0033393E">
        <w:t xml:space="preserve"> which requires Commissioners to consider multiple sources of reliable and accurate information and intelligence against relevant and specific criteria.</w:t>
      </w:r>
    </w:p>
    <w:p w14:paraId="419FB04C" w14:textId="185E66C9" w:rsidR="00670323" w:rsidRDefault="00670323" w:rsidP="00670323">
      <w:pPr>
        <w:pStyle w:val="Body3"/>
        <w:spacing w:before="120" w:after="120" w:line="276" w:lineRule="auto"/>
        <w:ind w:left="0"/>
        <w:rPr>
          <w:rFonts w:cs="Arial"/>
        </w:rPr>
      </w:pPr>
    </w:p>
    <w:p w14:paraId="7899DC25" w14:textId="77777777" w:rsidR="00A14306" w:rsidRPr="0033393E" w:rsidRDefault="00A14306" w:rsidP="00670323">
      <w:pPr>
        <w:pStyle w:val="Body3"/>
        <w:spacing w:before="120" w:after="120" w:line="276" w:lineRule="auto"/>
        <w:ind w:left="0"/>
        <w:rPr>
          <w:rFonts w:cs="Arial"/>
        </w:rPr>
      </w:pPr>
    </w:p>
    <w:p w14:paraId="263B2F19" w14:textId="77777777" w:rsidR="00670323" w:rsidRPr="0033393E" w:rsidRDefault="00670323" w:rsidP="00670323">
      <w:pPr>
        <w:pStyle w:val="Heading2"/>
      </w:pPr>
      <w:bookmarkStart w:id="220" w:name="_Toc95743399"/>
      <w:r w:rsidRPr="0033393E">
        <w:t>Practice Visit – Best Practice</w:t>
      </w:r>
      <w:bookmarkEnd w:id="220"/>
    </w:p>
    <w:p w14:paraId="478AA39B" w14:textId="77777777" w:rsidR="00670323" w:rsidRPr="0033393E" w:rsidRDefault="00670323" w:rsidP="00670323">
      <w:pPr>
        <w:spacing w:before="120" w:after="120" w:line="276" w:lineRule="auto"/>
        <w:rPr>
          <w:rFonts w:cs="Arial"/>
        </w:rPr>
      </w:pPr>
    </w:p>
    <w:p w14:paraId="732EDB4E" w14:textId="3DC62F51" w:rsidR="00670323" w:rsidRPr="00670323" w:rsidRDefault="00670323" w:rsidP="00670323">
      <w:pPr>
        <w:pStyle w:val="Heading3"/>
        <w:rPr>
          <w:szCs w:val="24"/>
          <w:lang w:eastAsia="en-GB"/>
        </w:rPr>
      </w:pPr>
      <w:r w:rsidRPr="0033393E">
        <w:t>The Commissioner remains accountable for contract management, a co-ordinated practice</w:t>
      </w:r>
      <w:r w:rsidRPr="00670323">
        <w:rPr>
          <w:szCs w:val="24"/>
        </w:rPr>
        <w:t xml:space="preserve"> / </w:t>
      </w:r>
      <w:r w:rsidRPr="0033393E">
        <w:t>Commissioner /</w:t>
      </w:r>
      <w:r w:rsidRPr="00670323">
        <w:rPr>
          <w:szCs w:val="24"/>
        </w:rPr>
        <w:t xml:space="preserve"> CQC / </w:t>
      </w:r>
      <w:r w:rsidRPr="0033393E">
        <w:t xml:space="preserve">LMC relationship provides an opportunity for an engaging and collaborative discussion that covers each practice’s quality and achievement across a range of agreed standards, be that in respect of the service provided by a practice or a practices use of for example, secondary care services. </w:t>
      </w:r>
    </w:p>
    <w:p w14:paraId="07793C7D" w14:textId="712B31AD" w:rsidR="00670323" w:rsidRPr="0033393E" w:rsidRDefault="00670323" w:rsidP="00670323">
      <w:pPr>
        <w:pStyle w:val="Heading3"/>
      </w:pPr>
      <w:r w:rsidRPr="0033393E">
        <w:t>By way of an example and to provide clarity, a Commissioner may have a conversation with a member practice, which from an initial view, appears to have a disproportionate number of emergency admissions for conditions usually managed in primary care. This in itself may not necessarily indicate a problem, but allows the Commissioner to understand the implications in the wider commissioning arrangements.</w:t>
      </w:r>
    </w:p>
    <w:p w14:paraId="51124BBE" w14:textId="4979BEE2" w:rsidR="00670323" w:rsidRPr="0033393E" w:rsidRDefault="00670323" w:rsidP="00670323">
      <w:pPr>
        <w:pStyle w:val="Heading3"/>
      </w:pPr>
      <w:r w:rsidRPr="0033393E">
        <w:t xml:space="preserve">The Commissioner </w:t>
      </w:r>
      <w:r w:rsidR="00FE7B61" w:rsidRPr="0033393E">
        <w:t>will not</w:t>
      </w:r>
      <w:r w:rsidRPr="0033393E">
        <w:t xml:space="preserve"> necessarily focus solely on the contractual requirements and may include quality improvement </w:t>
      </w:r>
      <w:r w:rsidRPr="0033393E">
        <w:rPr>
          <w:szCs w:val="24"/>
        </w:rPr>
        <w:t>and health outcomes to ensure it is meeting its duties to improve quality and secure good public health in the population</w:t>
      </w:r>
      <w:r w:rsidR="00FE7B61">
        <w:rPr>
          <w:szCs w:val="24"/>
        </w:rPr>
        <w:t>.</w:t>
      </w:r>
    </w:p>
    <w:p w14:paraId="45F0AB0A" w14:textId="77777777" w:rsidR="00670323" w:rsidRPr="0033393E" w:rsidRDefault="00670323" w:rsidP="00670323">
      <w:pPr>
        <w:spacing w:before="120" w:after="120" w:line="276" w:lineRule="auto"/>
        <w:rPr>
          <w:rFonts w:cs="Arial"/>
        </w:rPr>
      </w:pPr>
    </w:p>
    <w:p w14:paraId="3CDE7181" w14:textId="77777777" w:rsidR="00670323" w:rsidRPr="00670323" w:rsidRDefault="00670323" w:rsidP="00670323">
      <w:pPr>
        <w:pStyle w:val="Heading3"/>
        <w:rPr>
          <w:b/>
          <w:u w:val="single"/>
        </w:rPr>
      </w:pPr>
      <w:r w:rsidRPr="00670323">
        <w:rPr>
          <w:b/>
          <w:u w:val="single"/>
        </w:rPr>
        <w:t>Practice Visits – Practical Support</w:t>
      </w:r>
    </w:p>
    <w:p w14:paraId="211D9F61" w14:textId="77777777" w:rsidR="00670323" w:rsidRDefault="00670323" w:rsidP="00670323">
      <w:pPr>
        <w:spacing w:before="120" w:after="120" w:line="276" w:lineRule="auto"/>
        <w:rPr>
          <w:rFonts w:cs="Arial"/>
          <w:b/>
          <w:szCs w:val="24"/>
          <w:u w:val="single"/>
        </w:rPr>
      </w:pPr>
    </w:p>
    <w:p w14:paraId="0F25010D" w14:textId="77777777" w:rsidR="00670323" w:rsidRPr="00670323" w:rsidRDefault="00670323" w:rsidP="00670323">
      <w:pPr>
        <w:pStyle w:val="Heading3"/>
        <w:rPr>
          <w:b/>
          <w:u w:val="single"/>
        </w:rPr>
      </w:pPr>
      <w:r w:rsidRPr="00670323">
        <w:rPr>
          <w:b/>
          <w:u w:val="single"/>
        </w:rPr>
        <w:t>Understand the background</w:t>
      </w:r>
    </w:p>
    <w:p w14:paraId="19A5FB1C" w14:textId="22057BF1" w:rsidR="00670323" w:rsidRPr="0033393E" w:rsidRDefault="00683EF4" w:rsidP="0000534D">
      <w:pPr>
        <w:pStyle w:val="Heading3"/>
      </w:pPr>
      <w:r>
        <w:t>To align with the commitment to reduce burden and bureaucracy</w:t>
      </w:r>
      <w:r w:rsidRPr="00683EF4">
        <w:t>, commissioners should consider whether</w:t>
      </w:r>
      <w:r w:rsidR="001320F6">
        <w:t xml:space="preserve"> the visit can be managed remotely or whether </w:t>
      </w:r>
      <w:r w:rsidRPr="00683EF4">
        <w:t xml:space="preserve">other practice visits may be planned or recently undertaken to avoid unnecessary duplication. Such visits may be planned by </w:t>
      </w:r>
      <w:r>
        <w:t xml:space="preserve">CQC </w:t>
      </w:r>
      <w:r w:rsidRPr="00683EF4">
        <w:t xml:space="preserve">or </w:t>
      </w:r>
      <w:r>
        <w:t>H</w:t>
      </w:r>
      <w:r w:rsidRPr="00683EF4">
        <w:t xml:space="preserve">ealth </w:t>
      </w:r>
      <w:r>
        <w:t>E</w:t>
      </w:r>
      <w:r w:rsidRPr="00683EF4">
        <w:t xml:space="preserve">ducation </w:t>
      </w:r>
      <w:r>
        <w:t>E</w:t>
      </w:r>
      <w:r w:rsidRPr="00683EF4">
        <w:t>ngland in relation to regulation or educational standards</w:t>
      </w:r>
    </w:p>
    <w:p w14:paraId="0F9F1B2B" w14:textId="0EE68679" w:rsidR="00670323" w:rsidRPr="0033393E" w:rsidRDefault="00670323" w:rsidP="00670323">
      <w:pPr>
        <w:pStyle w:val="Heading3"/>
      </w:pPr>
      <w:r w:rsidRPr="0033393E">
        <w:t>Visits to practices may originate from many areas and may be formal or informal. The reasons for visiting a practice may be for:</w:t>
      </w:r>
    </w:p>
    <w:p w14:paraId="2BC24DB3" w14:textId="77777777" w:rsidR="00670323" w:rsidRPr="0033393E" w:rsidRDefault="00670323" w:rsidP="006C3DF5">
      <w:pPr>
        <w:pStyle w:val="ListParagraph"/>
        <w:numPr>
          <w:ilvl w:val="0"/>
          <w:numId w:val="91"/>
        </w:numPr>
        <w:spacing w:before="120" w:after="120" w:line="276" w:lineRule="auto"/>
        <w:rPr>
          <w:rFonts w:cs="Arial"/>
          <w:szCs w:val="24"/>
        </w:rPr>
      </w:pPr>
      <w:r w:rsidRPr="0033393E">
        <w:rPr>
          <w:rFonts w:cs="Arial"/>
          <w:szCs w:val="24"/>
        </w:rPr>
        <w:t>List closure application</w:t>
      </w:r>
    </w:p>
    <w:p w14:paraId="582B947B" w14:textId="77777777" w:rsidR="00670323" w:rsidRPr="0033393E" w:rsidRDefault="00670323" w:rsidP="006C3DF5">
      <w:pPr>
        <w:pStyle w:val="ListParagraph"/>
        <w:numPr>
          <w:ilvl w:val="0"/>
          <w:numId w:val="91"/>
        </w:numPr>
        <w:spacing w:before="120" w:after="120" w:line="276" w:lineRule="auto"/>
        <w:rPr>
          <w:rFonts w:cs="Arial"/>
          <w:szCs w:val="24"/>
        </w:rPr>
      </w:pPr>
      <w:r w:rsidRPr="0033393E">
        <w:rPr>
          <w:rFonts w:cs="Arial"/>
          <w:szCs w:val="24"/>
        </w:rPr>
        <w:t>CQC report</w:t>
      </w:r>
    </w:p>
    <w:p w14:paraId="1AEC2554" w14:textId="77777777" w:rsidR="00670323" w:rsidRPr="0033393E" w:rsidRDefault="00670323" w:rsidP="006C3DF5">
      <w:pPr>
        <w:pStyle w:val="ListParagraph"/>
        <w:numPr>
          <w:ilvl w:val="0"/>
          <w:numId w:val="91"/>
        </w:numPr>
        <w:spacing w:before="120" w:after="120" w:line="276" w:lineRule="auto"/>
        <w:rPr>
          <w:rFonts w:cs="Arial"/>
          <w:szCs w:val="24"/>
        </w:rPr>
      </w:pPr>
      <w:r w:rsidRPr="0033393E">
        <w:rPr>
          <w:rFonts w:cs="Arial"/>
          <w:szCs w:val="24"/>
        </w:rPr>
        <w:t>New contractor visits</w:t>
      </w:r>
    </w:p>
    <w:p w14:paraId="7060B78B" w14:textId="77777777" w:rsidR="00670323" w:rsidRPr="0033393E" w:rsidRDefault="00670323" w:rsidP="006C3DF5">
      <w:pPr>
        <w:pStyle w:val="ListParagraph"/>
        <w:numPr>
          <w:ilvl w:val="0"/>
          <w:numId w:val="91"/>
        </w:numPr>
        <w:spacing w:before="120" w:after="120" w:line="276" w:lineRule="auto"/>
        <w:rPr>
          <w:rFonts w:cs="Arial"/>
          <w:szCs w:val="24"/>
        </w:rPr>
      </w:pPr>
      <w:r w:rsidRPr="0033393E">
        <w:rPr>
          <w:rFonts w:cs="Arial"/>
          <w:szCs w:val="24"/>
        </w:rPr>
        <w:t>Practice support</w:t>
      </w:r>
    </w:p>
    <w:p w14:paraId="496E39E5" w14:textId="77777777" w:rsidR="00670323" w:rsidRPr="0033393E" w:rsidRDefault="00670323" w:rsidP="006C3DF5">
      <w:pPr>
        <w:pStyle w:val="ListParagraph"/>
        <w:numPr>
          <w:ilvl w:val="0"/>
          <w:numId w:val="91"/>
        </w:numPr>
        <w:spacing w:before="120" w:after="120" w:line="276" w:lineRule="auto"/>
        <w:rPr>
          <w:rFonts w:cs="Arial"/>
          <w:szCs w:val="24"/>
        </w:rPr>
      </w:pPr>
      <w:r w:rsidRPr="0033393E">
        <w:rPr>
          <w:rFonts w:cs="Arial"/>
          <w:szCs w:val="24"/>
        </w:rPr>
        <w:t>Investigation of concerns raised (see sample practice review template at annex 3)</w:t>
      </w:r>
    </w:p>
    <w:p w14:paraId="24AFDD56" w14:textId="77777777" w:rsidR="00670323" w:rsidRPr="0033393E" w:rsidRDefault="00670323" w:rsidP="006C3DF5">
      <w:pPr>
        <w:pStyle w:val="ListParagraph"/>
        <w:numPr>
          <w:ilvl w:val="0"/>
          <w:numId w:val="91"/>
        </w:numPr>
        <w:spacing w:before="120" w:after="120" w:line="276" w:lineRule="auto"/>
        <w:rPr>
          <w:rFonts w:cs="Arial"/>
          <w:szCs w:val="24"/>
        </w:rPr>
      </w:pPr>
      <w:r w:rsidRPr="0033393E">
        <w:rPr>
          <w:rFonts w:cs="Arial"/>
          <w:szCs w:val="24"/>
        </w:rPr>
        <w:t>Annual review of provider</w:t>
      </w:r>
    </w:p>
    <w:p w14:paraId="09CAE93D" w14:textId="77777777" w:rsidR="00670323" w:rsidRPr="0033393E" w:rsidRDefault="00670323" w:rsidP="006C3DF5">
      <w:pPr>
        <w:pStyle w:val="ListParagraph"/>
        <w:numPr>
          <w:ilvl w:val="0"/>
          <w:numId w:val="91"/>
        </w:numPr>
        <w:spacing w:before="120" w:after="120" w:line="276" w:lineRule="auto"/>
        <w:rPr>
          <w:rFonts w:cs="Arial"/>
          <w:szCs w:val="24"/>
        </w:rPr>
      </w:pPr>
      <w:r w:rsidRPr="0033393E">
        <w:rPr>
          <w:rFonts w:cs="Arial"/>
          <w:szCs w:val="24"/>
        </w:rPr>
        <w:t xml:space="preserve">Contractual concerns e.g. boundary changes </w:t>
      </w:r>
    </w:p>
    <w:p w14:paraId="48627717" w14:textId="77777777" w:rsidR="00670323" w:rsidRPr="0033393E" w:rsidRDefault="00670323" w:rsidP="006C3DF5">
      <w:pPr>
        <w:pStyle w:val="ListParagraph"/>
        <w:numPr>
          <w:ilvl w:val="0"/>
          <w:numId w:val="91"/>
        </w:numPr>
        <w:spacing w:before="120" w:after="120" w:line="276" w:lineRule="auto"/>
        <w:rPr>
          <w:rFonts w:cs="Arial"/>
          <w:szCs w:val="24"/>
        </w:rPr>
      </w:pPr>
      <w:r w:rsidRPr="0033393E">
        <w:rPr>
          <w:rFonts w:cs="Arial"/>
          <w:szCs w:val="24"/>
        </w:rPr>
        <w:t>Practice mergers</w:t>
      </w:r>
    </w:p>
    <w:p w14:paraId="047F9476" w14:textId="77777777" w:rsidR="00670323" w:rsidRPr="0033393E" w:rsidRDefault="00670323" w:rsidP="006C3DF5">
      <w:pPr>
        <w:pStyle w:val="ListParagraph"/>
        <w:numPr>
          <w:ilvl w:val="0"/>
          <w:numId w:val="91"/>
        </w:numPr>
        <w:spacing w:before="120" w:after="120" w:line="276" w:lineRule="auto"/>
        <w:rPr>
          <w:rFonts w:cs="Arial"/>
          <w:szCs w:val="24"/>
        </w:rPr>
      </w:pPr>
      <w:r w:rsidRPr="0033393E">
        <w:rPr>
          <w:rFonts w:cs="Arial"/>
          <w:szCs w:val="24"/>
        </w:rPr>
        <w:t>Performer concerns that may be impacting on contract</w:t>
      </w:r>
    </w:p>
    <w:p w14:paraId="2D6F23F2" w14:textId="4BB6F42D" w:rsidR="00670323" w:rsidRPr="00683EF4" w:rsidRDefault="00670323" w:rsidP="0000534D">
      <w:pPr>
        <w:pStyle w:val="Heading3"/>
        <w:numPr>
          <w:ilvl w:val="0"/>
          <w:numId w:val="0"/>
        </w:numPr>
        <w:ind w:left="720"/>
      </w:pPr>
      <w:r w:rsidRPr="00683EF4">
        <w:t xml:space="preserve">Note: In </w:t>
      </w:r>
      <w:r w:rsidR="00FE7B61" w:rsidRPr="00683EF4">
        <w:t>addition,</w:t>
      </w:r>
      <w:r w:rsidRPr="00683EF4">
        <w:t xml:space="preserve"> Commissioners should still undertake a rolling programme of review as outlined at the start of this chapter but this should include a random sample of practices not identified through other intelligence led approaches.</w:t>
      </w:r>
    </w:p>
    <w:p w14:paraId="1BC2D3C8" w14:textId="3C39AA67" w:rsidR="00670323" w:rsidRPr="0033393E" w:rsidRDefault="00670323" w:rsidP="00670323">
      <w:pPr>
        <w:spacing w:before="120" w:after="120" w:line="276" w:lineRule="auto"/>
        <w:rPr>
          <w:rFonts w:cs="Arial"/>
          <w:szCs w:val="24"/>
        </w:rPr>
      </w:pPr>
    </w:p>
    <w:p w14:paraId="1C436378" w14:textId="77777777" w:rsidR="00670323" w:rsidRPr="00670323" w:rsidRDefault="00670323" w:rsidP="00670323">
      <w:pPr>
        <w:pStyle w:val="Heading3"/>
        <w:rPr>
          <w:b/>
          <w:u w:val="single"/>
        </w:rPr>
      </w:pPr>
      <w:r w:rsidRPr="00670323">
        <w:rPr>
          <w:b/>
          <w:u w:val="single"/>
        </w:rPr>
        <w:t>Gathering information</w:t>
      </w:r>
    </w:p>
    <w:p w14:paraId="536518BC" w14:textId="77777777" w:rsidR="00670323" w:rsidRPr="0033393E" w:rsidRDefault="00670323" w:rsidP="00670323">
      <w:pPr>
        <w:pStyle w:val="Heading3"/>
      </w:pPr>
      <w:r w:rsidRPr="0033393E">
        <w:t>Before visiting the practice, collate all relevant and available data and information (examples provided below):</w:t>
      </w:r>
    </w:p>
    <w:p w14:paraId="13F541E6" w14:textId="0867A31B" w:rsidR="00670323" w:rsidRPr="0033393E" w:rsidRDefault="00670323" w:rsidP="006C3DF5">
      <w:pPr>
        <w:pStyle w:val="ListParagraph"/>
        <w:numPr>
          <w:ilvl w:val="0"/>
          <w:numId w:val="92"/>
        </w:numPr>
        <w:spacing w:before="120" w:after="120" w:line="276" w:lineRule="auto"/>
        <w:rPr>
          <w:rFonts w:cs="Arial"/>
          <w:szCs w:val="24"/>
        </w:rPr>
      </w:pPr>
      <w:r w:rsidRPr="0033393E">
        <w:rPr>
          <w:rFonts w:cs="Arial"/>
          <w:szCs w:val="24"/>
        </w:rPr>
        <w:t>CQC report if available</w:t>
      </w:r>
      <w:r w:rsidR="00162524">
        <w:rPr>
          <w:rFonts w:cs="Arial"/>
          <w:szCs w:val="24"/>
        </w:rPr>
        <w:t>, or discussion with CQC data and/or inspection team</w:t>
      </w:r>
    </w:p>
    <w:p w14:paraId="42EDDD16" w14:textId="77777777" w:rsidR="00670323" w:rsidRPr="0033393E" w:rsidRDefault="00670323" w:rsidP="006C3DF5">
      <w:pPr>
        <w:pStyle w:val="ListParagraph"/>
        <w:numPr>
          <w:ilvl w:val="0"/>
          <w:numId w:val="92"/>
        </w:numPr>
        <w:spacing w:before="120" w:after="120" w:line="276" w:lineRule="auto"/>
        <w:rPr>
          <w:rFonts w:cs="Arial"/>
          <w:szCs w:val="24"/>
        </w:rPr>
      </w:pPr>
      <w:r w:rsidRPr="0033393E">
        <w:rPr>
          <w:rFonts w:cs="Arial"/>
          <w:szCs w:val="24"/>
        </w:rPr>
        <w:t xml:space="preserve">Primary care web tool </w:t>
      </w:r>
    </w:p>
    <w:p w14:paraId="3A47683D" w14:textId="77777777" w:rsidR="00670323" w:rsidRPr="0033393E" w:rsidRDefault="00670323" w:rsidP="006C3DF5">
      <w:pPr>
        <w:pStyle w:val="ListParagraph"/>
        <w:numPr>
          <w:ilvl w:val="0"/>
          <w:numId w:val="92"/>
        </w:numPr>
        <w:spacing w:before="120" w:after="120" w:line="276" w:lineRule="auto"/>
        <w:rPr>
          <w:rFonts w:cs="Arial"/>
          <w:szCs w:val="24"/>
        </w:rPr>
      </w:pPr>
      <w:r w:rsidRPr="0033393E">
        <w:rPr>
          <w:rFonts w:cs="Arial"/>
          <w:szCs w:val="24"/>
        </w:rPr>
        <w:t>“Soft”  intelligence</w:t>
      </w:r>
    </w:p>
    <w:p w14:paraId="6076BE6E" w14:textId="77777777" w:rsidR="00670323" w:rsidRPr="0033393E" w:rsidRDefault="00670323" w:rsidP="006C3DF5">
      <w:pPr>
        <w:pStyle w:val="ListParagraph"/>
        <w:numPr>
          <w:ilvl w:val="0"/>
          <w:numId w:val="92"/>
        </w:numPr>
        <w:spacing w:before="120" w:after="120" w:line="276" w:lineRule="auto"/>
        <w:rPr>
          <w:rFonts w:cs="Arial"/>
          <w:szCs w:val="24"/>
        </w:rPr>
      </w:pPr>
      <w:r w:rsidRPr="0033393E">
        <w:rPr>
          <w:rFonts w:cs="Arial"/>
          <w:szCs w:val="24"/>
        </w:rPr>
        <w:t>QOF scores</w:t>
      </w:r>
    </w:p>
    <w:p w14:paraId="46746CBC" w14:textId="77777777" w:rsidR="00670323" w:rsidRPr="0033393E" w:rsidRDefault="00670323" w:rsidP="006C3DF5">
      <w:pPr>
        <w:pStyle w:val="ListParagraph"/>
        <w:numPr>
          <w:ilvl w:val="0"/>
          <w:numId w:val="92"/>
        </w:numPr>
        <w:spacing w:before="120" w:after="120" w:line="276" w:lineRule="auto"/>
        <w:rPr>
          <w:rFonts w:cs="Arial"/>
          <w:szCs w:val="24"/>
        </w:rPr>
      </w:pPr>
      <w:r w:rsidRPr="0033393E">
        <w:rPr>
          <w:rFonts w:cs="Arial"/>
          <w:szCs w:val="24"/>
        </w:rPr>
        <w:t xml:space="preserve">Complaints </w:t>
      </w:r>
    </w:p>
    <w:p w14:paraId="7B7C3BEA" w14:textId="77777777" w:rsidR="00670323" w:rsidRPr="0033393E" w:rsidRDefault="00670323" w:rsidP="006C3DF5">
      <w:pPr>
        <w:pStyle w:val="ListParagraph"/>
        <w:numPr>
          <w:ilvl w:val="0"/>
          <w:numId w:val="92"/>
        </w:numPr>
        <w:spacing w:before="120" w:after="120" w:line="276" w:lineRule="auto"/>
        <w:rPr>
          <w:rFonts w:cs="Arial"/>
          <w:szCs w:val="24"/>
        </w:rPr>
      </w:pPr>
      <w:r w:rsidRPr="0033393E">
        <w:rPr>
          <w:rFonts w:cs="Arial"/>
          <w:szCs w:val="24"/>
        </w:rPr>
        <w:t>Any local profiling tools or dashboards</w:t>
      </w:r>
    </w:p>
    <w:p w14:paraId="6813751E" w14:textId="77777777" w:rsidR="00670323" w:rsidRPr="0033393E" w:rsidRDefault="00670323" w:rsidP="006C3DF5">
      <w:pPr>
        <w:pStyle w:val="ListParagraph"/>
        <w:numPr>
          <w:ilvl w:val="0"/>
          <w:numId w:val="92"/>
        </w:numPr>
        <w:spacing w:before="120" w:after="120" w:line="276" w:lineRule="auto"/>
        <w:rPr>
          <w:rFonts w:cs="Arial"/>
          <w:szCs w:val="24"/>
        </w:rPr>
      </w:pPr>
      <w:r w:rsidRPr="0033393E">
        <w:rPr>
          <w:rFonts w:cs="Arial"/>
          <w:szCs w:val="24"/>
        </w:rPr>
        <w:t xml:space="preserve">Legal advice if required </w:t>
      </w:r>
    </w:p>
    <w:p w14:paraId="4D80FC81" w14:textId="0C785DD9" w:rsidR="00670323" w:rsidRDefault="00670323" w:rsidP="006C3DF5">
      <w:pPr>
        <w:pStyle w:val="ListParagraph"/>
        <w:numPr>
          <w:ilvl w:val="0"/>
          <w:numId w:val="92"/>
        </w:numPr>
        <w:spacing w:before="120" w:after="120" w:line="276" w:lineRule="auto"/>
        <w:rPr>
          <w:rFonts w:cs="Arial"/>
          <w:szCs w:val="24"/>
        </w:rPr>
      </w:pPr>
      <w:r w:rsidRPr="0033393E">
        <w:rPr>
          <w:rFonts w:cs="Arial"/>
          <w:szCs w:val="24"/>
        </w:rPr>
        <w:t xml:space="preserve">Ask </w:t>
      </w:r>
      <w:r w:rsidR="000628D0">
        <w:rPr>
          <w:rFonts w:cs="Arial"/>
          <w:szCs w:val="24"/>
        </w:rPr>
        <w:t xml:space="preserve">the </w:t>
      </w:r>
      <w:r w:rsidRPr="0033393E">
        <w:rPr>
          <w:rFonts w:cs="Arial"/>
          <w:szCs w:val="24"/>
        </w:rPr>
        <w:t>practice to complete template which may save time during your visit.</w:t>
      </w:r>
    </w:p>
    <w:p w14:paraId="1CB06E9E" w14:textId="77777777" w:rsidR="00670323" w:rsidRPr="0033393E" w:rsidRDefault="00670323" w:rsidP="000628D0">
      <w:pPr>
        <w:pStyle w:val="ListParagraph"/>
        <w:spacing w:before="120" w:after="120" w:line="276" w:lineRule="auto"/>
        <w:ind w:left="1440"/>
        <w:rPr>
          <w:rFonts w:cs="Arial"/>
          <w:szCs w:val="24"/>
        </w:rPr>
      </w:pPr>
    </w:p>
    <w:p w14:paraId="6863BD53" w14:textId="77777777" w:rsidR="00670323" w:rsidRPr="00670323" w:rsidRDefault="00670323" w:rsidP="00670323">
      <w:pPr>
        <w:pStyle w:val="Heading3"/>
        <w:rPr>
          <w:b/>
          <w:u w:val="single"/>
        </w:rPr>
      </w:pPr>
      <w:r w:rsidRPr="00670323">
        <w:rPr>
          <w:b/>
          <w:u w:val="single"/>
        </w:rPr>
        <w:t>Communications</w:t>
      </w:r>
    </w:p>
    <w:p w14:paraId="50E58260" w14:textId="0243C7C8" w:rsidR="00670323" w:rsidRPr="0033393E" w:rsidRDefault="00670323" w:rsidP="00670323">
      <w:pPr>
        <w:pStyle w:val="Heading3"/>
      </w:pPr>
      <w:r w:rsidRPr="0033393E">
        <w:t xml:space="preserve">Early communication is key to a successful visit. Always contact the practice to advise them that you will be visiting the practice and the reason why. The agreed date must be followed up in writing. Give plenty of notice unless there is a patient concern (see sample practice visit letter at annex 2). </w:t>
      </w:r>
      <w:r w:rsidR="001320F6">
        <w:t>Ensure and confirm adherence to Infection Control Procedures which may be in place.</w:t>
      </w:r>
    </w:p>
    <w:p w14:paraId="725B9990" w14:textId="77777777" w:rsidR="00670323" w:rsidRPr="0033393E" w:rsidRDefault="00670323" w:rsidP="00670323">
      <w:pPr>
        <w:spacing w:before="120" w:after="120" w:line="276" w:lineRule="auto"/>
        <w:rPr>
          <w:rFonts w:cs="Arial"/>
          <w:szCs w:val="24"/>
        </w:rPr>
      </w:pPr>
    </w:p>
    <w:p w14:paraId="3F1F235F" w14:textId="77777777" w:rsidR="00670323" w:rsidRPr="00670323" w:rsidRDefault="00670323" w:rsidP="00670323">
      <w:pPr>
        <w:pStyle w:val="Heading3"/>
        <w:rPr>
          <w:b/>
          <w:u w:val="single"/>
        </w:rPr>
      </w:pPr>
      <w:r w:rsidRPr="00670323">
        <w:rPr>
          <w:b/>
          <w:u w:val="single"/>
        </w:rPr>
        <w:t>Informal visits.</w:t>
      </w:r>
    </w:p>
    <w:p w14:paraId="21E38E5A" w14:textId="77777777" w:rsidR="00670323" w:rsidRPr="0033393E" w:rsidRDefault="00670323" w:rsidP="00670323">
      <w:pPr>
        <w:pStyle w:val="Heading3"/>
      </w:pPr>
      <w:r w:rsidRPr="0033393E">
        <w:t>If an informal visit is planned, the practice has usually instigated it themselves and therefore are aware of the reason i.e. practice merger. Ensure you have the right information available for the matter to be discussed. For example, if the visit is to discuss a list closure, ensure you know the practice list size, list variations, surrounding practice closures etc.</w:t>
      </w:r>
    </w:p>
    <w:p w14:paraId="31D8E471" w14:textId="77777777" w:rsidR="00670323" w:rsidRPr="0033393E" w:rsidRDefault="00670323" w:rsidP="00670323">
      <w:pPr>
        <w:spacing w:before="120" w:after="120" w:line="276" w:lineRule="auto"/>
        <w:rPr>
          <w:rFonts w:cs="Arial"/>
          <w:szCs w:val="24"/>
        </w:rPr>
      </w:pPr>
    </w:p>
    <w:p w14:paraId="68C0A368" w14:textId="77777777" w:rsidR="00670323" w:rsidRPr="00670323" w:rsidRDefault="00670323" w:rsidP="00670323">
      <w:pPr>
        <w:pStyle w:val="Heading3"/>
        <w:rPr>
          <w:b/>
          <w:u w:val="single"/>
        </w:rPr>
      </w:pPr>
      <w:r w:rsidRPr="00670323">
        <w:rPr>
          <w:b/>
          <w:u w:val="single"/>
        </w:rPr>
        <w:t>Formal visits</w:t>
      </w:r>
    </w:p>
    <w:p w14:paraId="44EE0C61" w14:textId="77777777" w:rsidR="00670323" w:rsidRPr="0033393E" w:rsidRDefault="00670323" w:rsidP="00670323">
      <w:pPr>
        <w:pStyle w:val="Heading3"/>
      </w:pPr>
      <w:r w:rsidRPr="0033393E">
        <w:t xml:space="preserve">Concerns about a practice can be raised to commissioners through various routes. Depending upon the issues raised the Commissioners will need to make an informed decision on the extent to which it need to investigate. </w:t>
      </w:r>
    </w:p>
    <w:p w14:paraId="6C9D6117" w14:textId="6FFDC177" w:rsidR="00670323" w:rsidRPr="000628D0" w:rsidRDefault="00670323" w:rsidP="00670323">
      <w:pPr>
        <w:pStyle w:val="Heading3"/>
        <w:spacing w:before="120" w:after="120" w:line="276" w:lineRule="auto"/>
        <w:rPr>
          <w:rFonts w:cs="Arial"/>
          <w:szCs w:val="24"/>
        </w:rPr>
      </w:pPr>
      <w:r w:rsidRPr="0033393E">
        <w:t xml:space="preserve">Commissioners should: </w:t>
      </w:r>
    </w:p>
    <w:p w14:paraId="6CA2A7B0" w14:textId="77777777" w:rsidR="00670323" w:rsidRPr="0033393E" w:rsidRDefault="00670323" w:rsidP="006C3DF5">
      <w:pPr>
        <w:pStyle w:val="ListParagraph"/>
        <w:numPr>
          <w:ilvl w:val="0"/>
          <w:numId w:val="93"/>
        </w:numPr>
        <w:spacing w:before="120" w:after="120" w:line="276" w:lineRule="auto"/>
        <w:rPr>
          <w:rFonts w:cs="Arial"/>
          <w:szCs w:val="24"/>
        </w:rPr>
      </w:pPr>
      <w:r w:rsidRPr="0033393E">
        <w:rPr>
          <w:rFonts w:cs="Arial"/>
          <w:szCs w:val="24"/>
        </w:rPr>
        <w:t xml:space="preserve">Establish a Task and Finish Group </w:t>
      </w:r>
    </w:p>
    <w:p w14:paraId="3708005A" w14:textId="77777777" w:rsidR="00670323" w:rsidRPr="0033393E" w:rsidRDefault="00670323" w:rsidP="006C3DF5">
      <w:pPr>
        <w:pStyle w:val="ListParagraph"/>
        <w:numPr>
          <w:ilvl w:val="0"/>
          <w:numId w:val="93"/>
        </w:numPr>
        <w:spacing w:before="120" w:after="120" w:line="276" w:lineRule="auto"/>
        <w:rPr>
          <w:rFonts w:cs="Arial"/>
          <w:szCs w:val="24"/>
        </w:rPr>
      </w:pPr>
      <w:r w:rsidRPr="0033393E">
        <w:rPr>
          <w:rFonts w:cs="Arial"/>
          <w:szCs w:val="24"/>
        </w:rPr>
        <w:t>Establish Terms of Reference for Task and Finish Group (see sample at annex 5)</w:t>
      </w:r>
    </w:p>
    <w:p w14:paraId="49024873" w14:textId="77777777" w:rsidR="00670323" w:rsidRPr="0033393E" w:rsidRDefault="00670323" w:rsidP="006C3DF5">
      <w:pPr>
        <w:pStyle w:val="ListParagraph"/>
        <w:numPr>
          <w:ilvl w:val="0"/>
          <w:numId w:val="93"/>
        </w:numPr>
        <w:spacing w:before="120" w:after="120" w:line="276" w:lineRule="auto"/>
        <w:rPr>
          <w:rFonts w:cs="Arial"/>
          <w:szCs w:val="24"/>
        </w:rPr>
      </w:pPr>
      <w:r w:rsidRPr="0033393E">
        <w:rPr>
          <w:rFonts w:cs="Arial"/>
          <w:szCs w:val="24"/>
        </w:rPr>
        <w:t xml:space="preserve">Task and Finish Group agree the actions required </w:t>
      </w:r>
    </w:p>
    <w:p w14:paraId="77A22FC0" w14:textId="77777777" w:rsidR="00670323" w:rsidRPr="0033393E" w:rsidRDefault="00670323" w:rsidP="006C3DF5">
      <w:pPr>
        <w:pStyle w:val="ListParagraph"/>
        <w:numPr>
          <w:ilvl w:val="1"/>
          <w:numId w:val="93"/>
        </w:numPr>
        <w:spacing w:before="120" w:after="120" w:line="276" w:lineRule="auto"/>
        <w:rPr>
          <w:rFonts w:cs="Arial"/>
          <w:szCs w:val="24"/>
        </w:rPr>
      </w:pPr>
      <w:r w:rsidRPr="0033393E">
        <w:rPr>
          <w:rFonts w:cs="Arial"/>
          <w:szCs w:val="24"/>
        </w:rPr>
        <w:t>Practice visit</w:t>
      </w:r>
    </w:p>
    <w:p w14:paraId="240EDFFF" w14:textId="77777777" w:rsidR="00670323" w:rsidRPr="0033393E" w:rsidRDefault="00670323" w:rsidP="006C3DF5">
      <w:pPr>
        <w:pStyle w:val="ListParagraph"/>
        <w:numPr>
          <w:ilvl w:val="1"/>
          <w:numId w:val="93"/>
        </w:numPr>
        <w:spacing w:before="120" w:after="120" w:line="276" w:lineRule="auto"/>
        <w:rPr>
          <w:rFonts w:cs="Arial"/>
          <w:szCs w:val="24"/>
        </w:rPr>
      </w:pPr>
      <w:r w:rsidRPr="0033393E">
        <w:rPr>
          <w:rFonts w:cs="Arial"/>
          <w:szCs w:val="24"/>
        </w:rPr>
        <w:t xml:space="preserve">Breach / remedial notices issued where appropriate </w:t>
      </w:r>
    </w:p>
    <w:p w14:paraId="69B40E3B" w14:textId="77777777" w:rsidR="00670323" w:rsidRPr="0033393E" w:rsidRDefault="00670323" w:rsidP="006C3DF5">
      <w:pPr>
        <w:pStyle w:val="ListParagraph"/>
        <w:numPr>
          <w:ilvl w:val="1"/>
          <w:numId w:val="93"/>
        </w:numPr>
        <w:spacing w:before="120" w:after="120" w:line="276" w:lineRule="auto"/>
        <w:rPr>
          <w:rFonts w:cs="Arial"/>
          <w:szCs w:val="24"/>
        </w:rPr>
      </w:pPr>
      <w:r w:rsidRPr="0033393E">
        <w:rPr>
          <w:rFonts w:cs="Arial"/>
          <w:szCs w:val="24"/>
        </w:rPr>
        <w:t>Contract termination</w:t>
      </w:r>
    </w:p>
    <w:p w14:paraId="3B92CA0C" w14:textId="77777777" w:rsidR="00670323" w:rsidRPr="0033393E" w:rsidRDefault="00670323" w:rsidP="006C3DF5">
      <w:pPr>
        <w:pStyle w:val="ListParagraph"/>
        <w:numPr>
          <w:ilvl w:val="1"/>
          <w:numId w:val="93"/>
        </w:numPr>
        <w:spacing w:before="120" w:after="120" w:line="276" w:lineRule="auto"/>
        <w:rPr>
          <w:rFonts w:cs="Arial"/>
          <w:szCs w:val="24"/>
        </w:rPr>
      </w:pPr>
      <w:r w:rsidRPr="0033393E">
        <w:rPr>
          <w:rFonts w:cs="Arial"/>
          <w:szCs w:val="24"/>
        </w:rPr>
        <w:t>Referral to QSAG / PAG</w:t>
      </w:r>
    </w:p>
    <w:p w14:paraId="095DF552" w14:textId="01B0C836" w:rsidR="00670323" w:rsidRPr="0033393E" w:rsidRDefault="00670323" w:rsidP="006C3DF5">
      <w:pPr>
        <w:pStyle w:val="ListParagraph"/>
        <w:numPr>
          <w:ilvl w:val="0"/>
          <w:numId w:val="93"/>
        </w:numPr>
        <w:spacing w:before="120" w:after="120" w:line="276" w:lineRule="auto"/>
        <w:rPr>
          <w:rFonts w:cs="Arial"/>
          <w:szCs w:val="24"/>
        </w:rPr>
      </w:pPr>
      <w:r w:rsidRPr="0033393E">
        <w:rPr>
          <w:rFonts w:cs="Arial"/>
          <w:szCs w:val="24"/>
        </w:rPr>
        <w:t xml:space="preserve">Agree </w:t>
      </w:r>
      <w:r w:rsidR="00CB3A60">
        <w:rPr>
          <w:rFonts w:cs="Arial"/>
          <w:szCs w:val="24"/>
        </w:rPr>
        <w:t xml:space="preserve">clear and specific </w:t>
      </w:r>
      <w:r w:rsidRPr="0033393E">
        <w:rPr>
          <w:rFonts w:cs="Arial"/>
          <w:szCs w:val="24"/>
        </w:rPr>
        <w:t xml:space="preserve">terms of reference </w:t>
      </w:r>
      <w:r w:rsidR="00CB3A60">
        <w:rPr>
          <w:rFonts w:cs="Arial"/>
          <w:szCs w:val="24"/>
        </w:rPr>
        <w:t xml:space="preserve">(ToR) </w:t>
      </w:r>
      <w:r w:rsidRPr="0033393E">
        <w:rPr>
          <w:rFonts w:cs="Arial"/>
          <w:szCs w:val="24"/>
        </w:rPr>
        <w:t xml:space="preserve">for </w:t>
      </w:r>
      <w:r w:rsidR="00CB3A60">
        <w:rPr>
          <w:rFonts w:cs="Arial"/>
          <w:szCs w:val="24"/>
        </w:rPr>
        <w:t xml:space="preserve">any </w:t>
      </w:r>
      <w:r w:rsidRPr="0033393E">
        <w:rPr>
          <w:rFonts w:cs="Arial"/>
          <w:szCs w:val="24"/>
        </w:rPr>
        <w:t>visit</w:t>
      </w:r>
      <w:r w:rsidR="00CB3A60">
        <w:rPr>
          <w:rFonts w:cs="Arial"/>
          <w:szCs w:val="24"/>
        </w:rPr>
        <w:t xml:space="preserve">, including a commitment to review / amend the ToR in light of any new / emerging evidence.  Amendments should be agreed between parties. </w:t>
      </w:r>
    </w:p>
    <w:p w14:paraId="7498FEC9" w14:textId="77777777" w:rsidR="00670323" w:rsidRPr="0033393E" w:rsidRDefault="00670323" w:rsidP="006C3DF5">
      <w:pPr>
        <w:pStyle w:val="ListParagraph"/>
        <w:numPr>
          <w:ilvl w:val="0"/>
          <w:numId w:val="93"/>
        </w:numPr>
        <w:spacing w:before="120" w:after="120" w:line="276" w:lineRule="auto"/>
        <w:rPr>
          <w:rFonts w:cs="Arial"/>
          <w:szCs w:val="24"/>
        </w:rPr>
      </w:pPr>
      <w:r w:rsidRPr="0033393E">
        <w:rPr>
          <w:rFonts w:cs="Arial"/>
          <w:szCs w:val="24"/>
        </w:rPr>
        <w:t xml:space="preserve">Investigation Team identified – to include, but inclusive of, GP, Primary Care Nurse Lead, Safeguarding Lead, Nursing and Quality Lead, Contract Manager. Admin support where appropriate. </w:t>
      </w:r>
    </w:p>
    <w:p w14:paraId="2C736779" w14:textId="77777777" w:rsidR="00670323" w:rsidRPr="0033393E" w:rsidRDefault="00670323" w:rsidP="006C3DF5">
      <w:pPr>
        <w:pStyle w:val="ListParagraph"/>
        <w:numPr>
          <w:ilvl w:val="0"/>
          <w:numId w:val="93"/>
        </w:numPr>
        <w:spacing w:before="120" w:after="120" w:line="276" w:lineRule="auto"/>
        <w:rPr>
          <w:rFonts w:cs="Arial"/>
          <w:szCs w:val="24"/>
        </w:rPr>
      </w:pPr>
      <w:r w:rsidRPr="0033393E">
        <w:rPr>
          <w:rFonts w:cs="Arial"/>
          <w:szCs w:val="24"/>
        </w:rPr>
        <w:t>Initiate formal contact with Practice</w:t>
      </w:r>
    </w:p>
    <w:p w14:paraId="62554992" w14:textId="77777777" w:rsidR="00670323" w:rsidRPr="0033393E" w:rsidRDefault="00670323" w:rsidP="006C3DF5">
      <w:pPr>
        <w:pStyle w:val="ListParagraph"/>
        <w:numPr>
          <w:ilvl w:val="0"/>
          <w:numId w:val="93"/>
        </w:numPr>
        <w:spacing w:before="120" w:after="120" w:line="276" w:lineRule="auto"/>
        <w:rPr>
          <w:rFonts w:cs="Arial"/>
          <w:szCs w:val="24"/>
        </w:rPr>
      </w:pPr>
      <w:r w:rsidRPr="0033393E">
        <w:rPr>
          <w:rFonts w:cs="Arial"/>
          <w:szCs w:val="24"/>
        </w:rPr>
        <w:t>Communication with Practice, with recommendation of inclusion of LMC</w:t>
      </w:r>
    </w:p>
    <w:p w14:paraId="7CF46437" w14:textId="77777777" w:rsidR="00670323" w:rsidRPr="0033393E" w:rsidRDefault="00670323" w:rsidP="006C3DF5">
      <w:pPr>
        <w:pStyle w:val="ListParagraph"/>
        <w:numPr>
          <w:ilvl w:val="0"/>
          <w:numId w:val="93"/>
        </w:numPr>
        <w:spacing w:before="120" w:after="120" w:line="276" w:lineRule="auto"/>
        <w:rPr>
          <w:rFonts w:cs="Arial"/>
          <w:szCs w:val="24"/>
        </w:rPr>
      </w:pPr>
      <w:r w:rsidRPr="0033393E">
        <w:rPr>
          <w:rFonts w:cs="Arial"/>
          <w:szCs w:val="24"/>
        </w:rPr>
        <w:t xml:space="preserve">Practice visit with appropriate team </w:t>
      </w:r>
    </w:p>
    <w:p w14:paraId="46B58DB0" w14:textId="77777777" w:rsidR="00670323" w:rsidRPr="0033393E" w:rsidRDefault="00670323" w:rsidP="006C3DF5">
      <w:pPr>
        <w:pStyle w:val="ListParagraph"/>
        <w:numPr>
          <w:ilvl w:val="0"/>
          <w:numId w:val="93"/>
        </w:numPr>
        <w:spacing w:before="120" w:after="120" w:line="276" w:lineRule="auto"/>
        <w:rPr>
          <w:rFonts w:cs="Arial"/>
          <w:szCs w:val="24"/>
        </w:rPr>
      </w:pPr>
      <w:r w:rsidRPr="0033393E">
        <w:rPr>
          <w:rFonts w:cs="Arial"/>
          <w:szCs w:val="24"/>
        </w:rPr>
        <w:t>Report / action plan drafted (see example at annex 4)</w:t>
      </w:r>
    </w:p>
    <w:p w14:paraId="3E096E95" w14:textId="77777777" w:rsidR="00670323" w:rsidRPr="0033393E" w:rsidRDefault="00670323" w:rsidP="006C3DF5">
      <w:pPr>
        <w:pStyle w:val="ListParagraph"/>
        <w:numPr>
          <w:ilvl w:val="0"/>
          <w:numId w:val="93"/>
        </w:numPr>
        <w:spacing w:before="120" w:after="120" w:line="276" w:lineRule="auto"/>
        <w:rPr>
          <w:rFonts w:cs="Arial"/>
          <w:szCs w:val="24"/>
        </w:rPr>
      </w:pPr>
      <w:r w:rsidRPr="0033393E">
        <w:rPr>
          <w:rFonts w:cs="Arial"/>
          <w:szCs w:val="24"/>
        </w:rPr>
        <w:t>Report / action plan submitted to Task and Finish Group</w:t>
      </w:r>
    </w:p>
    <w:p w14:paraId="0AE41536" w14:textId="77777777" w:rsidR="00670323" w:rsidRPr="0033393E" w:rsidRDefault="00670323" w:rsidP="006C3DF5">
      <w:pPr>
        <w:pStyle w:val="ListParagraph"/>
        <w:numPr>
          <w:ilvl w:val="0"/>
          <w:numId w:val="93"/>
        </w:numPr>
        <w:spacing w:before="120" w:after="120" w:line="276" w:lineRule="auto"/>
        <w:rPr>
          <w:rFonts w:cs="Arial"/>
          <w:szCs w:val="24"/>
        </w:rPr>
      </w:pPr>
      <w:r w:rsidRPr="0033393E">
        <w:rPr>
          <w:rFonts w:cs="Arial"/>
          <w:szCs w:val="24"/>
        </w:rPr>
        <w:t>Report / action plan finalised</w:t>
      </w:r>
    </w:p>
    <w:p w14:paraId="6B0E6C3E" w14:textId="77777777" w:rsidR="00670323" w:rsidRPr="0033393E" w:rsidRDefault="00670323" w:rsidP="006C3DF5">
      <w:pPr>
        <w:pStyle w:val="ListParagraph"/>
        <w:numPr>
          <w:ilvl w:val="0"/>
          <w:numId w:val="93"/>
        </w:numPr>
        <w:spacing w:before="120" w:after="120" w:line="276" w:lineRule="auto"/>
        <w:rPr>
          <w:rFonts w:cs="Arial"/>
          <w:szCs w:val="24"/>
        </w:rPr>
      </w:pPr>
      <w:r w:rsidRPr="0033393E">
        <w:rPr>
          <w:rFonts w:cs="Arial"/>
          <w:szCs w:val="24"/>
        </w:rPr>
        <w:t>Report / action plan sent to Practice for comment</w:t>
      </w:r>
    </w:p>
    <w:p w14:paraId="235B6622" w14:textId="77777777" w:rsidR="00670323" w:rsidRPr="0033393E" w:rsidRDefault="00670323" w:rsidP="006C3DF5">
      <w:pPr>
        <w:pStyle w:val="ListParagraph"/>
        <w:numPr>
          <w:ilvl w:val="0"/>
          <w:numId w:val="93"/>
        </w:numPr>
        <w:spacing w:before="120" w:after="120" w:line="276" w:lineRule="auto"/>
        <w:rPr>
          <w:rFonts w:cs="Arial"/>
          <w:szCs w:val="24"/>
        </w:rPr>
      </w:pPr>
      <w:r w:rsidRPr="0033393E">
        <w:rPr>
          <w:rFonts w:cs="Arial"/>
          <w:szCs w:val="24"/>
        </w:rPr>
        <w:t>Meeting with Practice to discuss taking action plan forward</w:t>
      </w:r>
    </w:p>
    <w:p w14:paraId="0469F781" w14:textId="77777777" w:rsidR="00670323" w:rsidRPr="0033393E" w:rsidRDefault="00670323" w:rsidP="006C3DF5">
      <w:pPr>
        <w:pStyle w:val="ListParagraph"/>
        <w:numPr>
          <w:ilvl w:val="0"/>
          <w:numId w:val="93"/>
        </w:numPr>
        <w:spacing w:before="120" w:after="120" w:line="276" w:lineRule="auto"/>
        <w:rPr>
          <w:rFonts w:cs="Arial"/>
          <w:szCs w:val="24"/>
        </w:rPr>
      </w:pPr>
      <w:r w:rsidRPr="0033393E">
        <w:rPr>
          <w:rFonts w:cs="Arial"/>
          <w:szCs w:val="24"/>
        </w:rPr>
        <w:t>Monitoring meetings to ensure targets / deadlines are met</w:t>
      </w:r>
    </w:p>
    <w:p w14:paraId="7048B879" w14:textId="77777777" w:rsidR="00670323" w:rsidRPr="0033393E" w:rsidRDefault="00670323" w:rsidP="006C3DF5">
      <w:pPr>
        <w:pStyle w:val="ListParagraph"/>
        <w:numPr>
          <w:ilvl w:val="0"/>
          <w:numId w:val="93"/>
        </w:numPr>
        <w:spacing w:before="120" w:after="120" w:line="276" w:lineRule="auto"/>
        <w:rPr>
          <w:rFonts w:cs="Arial"/>
          <w:szCs w:val="24"/>
        </w:rPr>
      </w:pPr>
      <w:r w:rsidRPr="0033393E">
        <w:rPr>
          <w:rFonts w:cs="Arial"/>
          <w:szCs w:val="24"/>
        </w:rPr>
        <w:t>Final meeting with Practice to close process</w:t>
      </w:r>
    </w:p>
    <w:p w14:paraId="30D9E508" w14:textId="77777777" w:rsidR="00670323" w:rsidRDefault="00670323" w:rsidP="006C3DF5">
      <w:pPr>
        <w:pStyle w:val="ListParagraph"/>
        <w:numPr>
          <w:ilvl w:val="0"/>
          <w:numId w:val="93"/>
        </w:numPr>
        <w:spacing w:before="120" w:after="120" w:line="276" w:lineRule="auto"/>
        <w:rPr>
          <w:rFonts w:cs="Arial"/>
          <w:szCs w:val="24"/>
        </w:rPr>
      </w:pPr>
      <w:r w:rsidRPr="0033393E">
        <w:rPr>
          <w:rFonts w:cs="Arial"/>
          <w:szCs w:val="24"/>
        </w:rPr>
        <w:t>Final Task and Finish Group to give assurance issue / concern is resolved.</w:t>
      </w:r>
    </w:p>
    <w:p w14:paraId="16B376C6" w14:textId="356331DC" w:rsidR="00670323" w:rsidRPr="0033393E" w:rsidRDefault="00670323" w:rsidP="00912FE4">
      <w:pPr>
        <w:pStyle w:val="Heading3"/>
        <w:rPr>
          <w:rFonts w:cs="Arial"/>
        </w:rPr>
      </w:pPr>
      <w:r w:rsidRPr="0033393E">
        <w:t>If issues are not resolved then contract breach/termination notices may be served.</w:t>
      </w:r>
      <w:bookmarkStart w:id="221" w:name="page20"/>
      <w:bookmarkEnd w:id="221"/>
      <w:r w:rsidR="00912FE4" w:rsidRPr="0033393E">
        <w:rPr>
          <w:rFonts w:cs="Arial"/>
        </w:rPr>
        <w:t xml:space="preserve"> </w:t>
      </w:r>
    </w:p>
    <w:p w14:paraId="7DE0371C" w14:textId="77777777" w:rsidR="00670323" w:rsidRDefault="00670323" w:rsidP="00670323">
      <w:pPr>
        <w:pStyle w:val="Heading3"/>
        <w:rPr>
          <w:b/>
          <w:u w:val="single"/>
        </w:rPr>
      </w:pPr>
      <w:r w:rsidRPr="00670323">
        <w:rPr>
          <w:b/>
          <w:u w:val="single"/>
        </w:rPr>
        <w:t>Consultation with and support from the Local Medical Committee (LMC)</w:t>
      </w:r>
    </w:p>
    <w:p w14:paraId="633B1D57" w14:textId="569A9CF9" w:rsidR="00670323" w:rsidRPr="0033393E" w:rsidRDefault="00670323" w:rsidP="00670323">
      <w:pPr>
        <w:pStyle w:val="Heading3"/>
      </w:pPr>
      <w:r w:rsidRPr="00670323">
        <w:rPr>
          <w:rFonts w:eastAsia="Arial"/>
          <w:lang w:eastAsia="en-GB"/>
        </w:rPr>
        <w:t>If</w:t>
      </w:r>
      <w:r w:rsidRPr="00670323">
        <w:rPr>
          <w:rFonts w:eastAsia="Arial"/>
        </w:rPr>
        <w:t xml:space="preserve"> the commissioner is </w:t>
      </w:r>
      <w:r w:rsidRPr="00670323">
        <w:rPr>
          <w:rFonts w:eastAsia="Arial"/>
          <w:lang w:eastAsia="en-GB"/>
        </w:rPr>
        <w:t>undertaking a targeted visit relating to concerns raised</w:t>
      </w:r>
      <w:r w:rsidRPr="00670323">
        <w:rPr>
          <w:rFonts w:eastAsia="Arial"/>
        </w:rPr>
        <w:t xml:space="preserve"> or </w:t>
      </w:r>
      <w:r w:rsidRPr="00670323">
        <w:rPr>
          <w:rFonts w:eastAsia="Arial"/>
          <w:lang w:eastAsia="en-GB"/>
        </w:rPr>
        <w:t>known contractual underperformance, which may result in actions being imposed</w:t>
      </w:r>
      <w:r w:rsidRPr="00670323">
        <w:rPr>
          <w:rFonts w:eastAsia="Arial"/>
        </w:rPr>
        <w:t xml:space="preserve"> or </w:t>
      </w:r>
      <w:r w:rsidRPr="00670323">
        <w:rPr>
          <w:rFonts w:eastAsia="Arial"/>
          <w:lang w:eastAsia="en-GB"/>
        </w:rPr>
        <w:t>considered</w:t>
      </w:r>
      <w:r w:rsidRPr="00670323">
        <w:rPr>
          <w:rFonts w:eastAsia="Arial"/>
        </w:rPr>
        <w:t>, then it shall, whenever it is reasonably practical to do so, consult the Local Medical Committee</w:t>
      </w:r>
      <w:r w:rsidRPr="00670323">
        <w:rPr>
          <w:rFonts w:eastAsia="Arial"/>
          <w:lang w:eastAsia="en-GB"/>
        </w:rPr>
        <w:t>.</w:t>
      </w:r>
    </w:p>
    <w:p w14:paraId="7CC7DA8C" w14:textId="3D890BBC" w:rsidR="00670323" w:rsidRPr="0033393E" w:rsidRDefault="00670323" w:rsidP="00670323">
      <w:pPr>
        <w:pStyle w:val="Heading3"/>
      </w:pPr>
      <w:r w:rsidRPr="00670323">
        <w:rPr>
          <w:rFonts w:eastAsia="Arial"/>
        </w:rPr>
        <w:t xml:space="preserve">The LMC has </w:t>
      </w:r>
      <w:r w:rsidR="00FE7B61" w:rsidRPr="00670323">
        <w:rPr>
          <w:rFonts w:eastAsia="Arial"/>
        </w:rPr>
        <w:t>a</w:t>
      </w:r>
      <w:r w:rsidRPr="00670323">
        <w:rPr>
          <w:rFonts w:eastAsia="Arial"/>
        </w:rPr>
        <w:t xml:space="preserve"> role in supporting practices facing remedial, breach and termination notices or those undergoing performance investigations. The LMC can advise practices on how to complete actions required by remedial notices, how to address issues in order to avoid further contract breaches and appeal against termination notices if appropriate. The LMC can signpost practices to experts who can help, e.g. the practices’ Medical Defence Organisation or consultants who can advise on practical issues such as practice policies, etc. For those practices undergoing performance investigations, the LMC can support practices in preparatory meetings with the investigating officers and the commissioners, assist with drafting terms of reference, guide practices through the investigation process and sit in on interviews with clinicians and staff to ensure that due process is followed.</w:t>
      </w:r>
    </w:p>
    <w:p w14:paraId="1A18292B" w14:textId="77777777" w:rsidR="00670323" w:rsidRPr="0033393E" w:rsidRDefault="00670323" w:rsidP="00670323">
      <w:pPr>
        <w:pStyle w:val="Heading3"/>
        <w:rPr>
          <w:rFonts w:eastAsia="Arial"/>
        </w:rPr>
      </w:pPr>
      <w:r w:rsidRPr="0033393E">
        <w:rPr>
          <w:rFonts w:eastAsia="Arial"/>
        </w:rPr>
        <w:t>Commissioners are encouraged to advise practices in these circumstances to make contact with their LMC as early as possible to ensure they have access to expert help and advice.</w:t>
      </w:r>
    </w:p>
    <w:p w14:paraId="62D0BC42" w14:textId="47709635" w:rsidR="00670323" w:rsidRPr="00803AE9" w:rsidRDefault="00670323">
      <w:pPr>
        <w:spacing w:before="120" w:after="120" w:line="276" w:lineRule="auto"/>
        <w:rPr>
          <w:rFonts w:eastAsia="Arial"/>
          <w:b/>
          <w:color w:val="003D80"/>
          <w:highlight w:val="yellow"/>
        </w:rPr>
      </w:pPr>
      <w:bookmarkStart w:id="222" w:name="page17"/>
      <w:bookmarkStart w:id="223" w:name="page18"/>
      <w:bookmarkEnd w:id="222"/>
      <w:bookmarkEnd w:id="223"/>
      <w:r w:rsidRPr="00803AE9">
        <w:rPr>
          <w:rFonts w:eastAsia="Arial" w:cs="Arial"/>
          <w:b/>
          <w:color w:val="003D80"/>
          <w:highlight w:val="yellow"/>
        </w:rPr>
        <w:t xml:space="preserve">Annex 1: </w:t>
      </w:r>
      <w:r w:rsidR="001320F6" w:rsidRPr="00803AE9">
        <w:rPr>
          <w:rFonts w:eastAsia="Arial" w:cs="Arial"/>
          <w:b/>
          <w:color w:val="003D80"/>
          <w:highlight w:val="yellow"/>
        </w:rPr>
        <w:t>GP Indicators</w:t>
      </w:r>
      <w:r w:rsidR="00A23BD5" w:rsidRPr="00803AE9">
        <w:rPr>
          <w:rFonts w:eastAsia="Arial" w:cs="Arial"/>
          <w:b/>
          <w:bCs w:val="0"/>
          <w:color w:val="003D80"/>
          <w:szCs w:val="24"/>
          <w:highlight w:val="yellow"/>
          <w:lang w:eastAsia="en-GB"/>
        </w:rPr>
        <w:t>-</w:t>
      </w:r>
      <w:r w:rsidRPr="00803AE9">
        <w:rPr>
          <w:rFonts w:eastAsia="Arial" w:cs="Arial"/>
          <w:b/>
          <w:bCs w:val="0"/>
          <w:color w:val="003D80"/>
          <w:szCs w:val="24"/>
          <w:highlight w:val="yellow"/>
          <w:lang w:eastAsia="en-GB"/>
        </w:rPr>
        <w:t xml:space="preserve"> </w:t>
      </w:r>
      <w:r w:rsidRPr="00803AE9">
        <w:rPr>
          <w:rFonts w:eastAsia="Arial" w:cs="Arial"/>
          <w:b/>
          <w:color w:val="003D80"/>
          <w:highlight w:val="yellow"/>
        </w:rPr>
        <w:t>Practice Profile</w:t>
      </w:r>
      <w:r w:rsidRPr="00803AE9">
        <w:rPr>
          <w:rFonts w:eastAsia="Arial" w:cs="Arial"/>
          <w:b/>
          <w:bCs w:val="0"/>
          <w:color w:val="003D80"/>
          <w:szCs w:val="24"/>
          <w:highlight w:val="yellow"/>
          <w:lang w:eastAsia="en-GB"/>
        </w:rPr>
        <w:t xml:space="preserve"> </w:t>
      </w:r>
      <w:r w:rsidR="00A23BD5" w:rsidRPr="00803AE9">
        <w:rPr>
          <w:rFonts w:eastAsia="Arial" w:cs="Arial"/>
          <w:b/>
          <w:bCs w:val="0"/>
          <w:color w:val="003D80"/>
          <w:szCs w:val="24"/>
          <w:highlight w:val="yellow"/>
          <w:lang w:eastAsia="en-GB"/>
        </w:rPr>
        <w:t xml:space="preserve">/ </w:t>
      </w:r>
      <w:r w:rsidRPr="00803AE9">
        <w:rPr>
          <w:rFonts w:eastAsia="Arial" w:cs="Arial"/>
          <w:b/>
          <w:bCs w:val="0"/>
          <w:color w:val="003D80"/>
          <w:szCs w:val="24"/>
          <w:highlight w:val="yellow"/>
          <w:lang w:eastAsia="en-GB"/>
        </w:rPr>
        <w:t>Data</w:t>
      </w:r>
      <w:r w:rsidR="00A23BD5" w:rsidRPr="00803AE9">
        <w:rPr>
          <w:rFonts w:eastAsia="Arial" w:cs="Arial"/>
          <w:b/>
          <w:bCs w:val="0"/>
          <w:color w:val="003D80"/>
          <w:szCs w:val="24"/>
          <w:highlight w:val="yellow"/>
          <w:lang w:eastAsia="en-GB"/>
        </w:rPr>
        <w:t xml:space="preserve"> / User Guide</w:t>
      </w:r>
    </w:p>
    <w:p w14:paraId="76E98906" w14:textId="6C52782C" w:rsidR="002306F3" w:rsidRPr="00803AE9" w:rsidRDefault="000B57EE" w:rsidP="006C3DF5">
      <w:pPr>
        <w:pStyle w:val="ListParagraph"/>
        <w:numPr>
          <w:ilvl w:val="0"/>
          <w:numId w:val="153"/>
        </w:numPr>
        <w:spacing w:before="120" w:after="120" w:line="276" w:lineRule="auto"/>
        <w:rPr>
          <w:rStyle w:val="Hyperlink"/>
          <w:rFonts w:eastAsia="Arial"/>
          <w:highlight w:val="yellow"/>
        </w:rPr>
      </w:pPr>
      <w:hyperlink r:id="rId63" w:history="1">
        <w:r w:rsidR="00343956" w:rsidRPr="00803AE9">
          <w:rPr>
            <w:rStyle w:val="Hyperlink"/>
            <w:rFonts w:eastAsia="Arial"/>
            <w:highlight w:val="yellow"/>
          </w:rPr>
          <w:t xml:space="preserve"> To request access</w:t>
        </w:r>
      </w:hyperlink>
      <w:bookmarkStart w:id="224" w:name="page19"/>
      <w:bookmarkEnd w:id="224"/>
    </w:p>
    <w:p w14:paraId="47BC4FBE" w14:textId="1B97AD89" w:rsidR="00670323" w:rsidRDefault="00670323" w:rsidP="00670323">
      <w:pPr>
        <w:spacing w:before="120" w:after="120" w:line="276" w:lineRule="auto"/>
        <w:rPr>
          <w:rFonts w:eastAsia="Arial" w:cs="Arial"/>
          <w:b/>
          <w:bCs w:val="0"/>
          <w:color w:val="003D80"/>
          <w:szCs w:val="24"/>
          <w:lang w:eastAsia="en-GB"/>
        </w:rPr>
      </w:pPr>
      <w:r w:rsidRPr="0033393E">
        <w:rPr>
          <w:rFonts w:eastAsia="Arial" w:cs="Arial"/>
          <w:b/>
          <w:color w:val="003D80"/>
        </w:rPr>
        <w:t xml:space="preserve">Annex 2 A Sample Practice Visit </w:t>
      </w:r>
      <w:r w:rsidRPr="0033393E">
        <w:rPr>
          <w:rFonts w:eastAsia="Arial" w:cs="Arial"/>
          <w:b/>
          <w:bCs w:val="0"/>
          <w:color w:val="003D80"/>
          <w:szCs w:val="24"/>
          <w:lang w:eastAsia="en-GB"/>
        </w:rPr>
        <w:t>Letter</w:t>
      </w:r>
    </w:p>
    <w:bookmarkStart w:id="225" w:name="_1563083874"/>
    <w:bookmarkEnd w:id="225"/>
    <w:p w14:paraId="7FA57B91" w14:textId="13030BD4" w:rsidR="002B15FF" w:rsidRDefault="002306F3" w:rsidP="006C3DF5">
      <w:pPr>
        <w:pStyle w:val="ListParagraph"/>
        <w:numPr>
          <w:ilvl w:val="0"/>
          <w:numId w:val="116"/>
        </w:numPr>
        <w:rPr>
          <w:rFonts w:eastAsia="Arial"/>
        </w:rPr>
      </w:pPr>
      <w:r>
        <w:fldChar w:fldCharType="begin"/>
      </w:r>
      <w:r>
        <w:instrText xml:space="preserve"> HYPERLINK "https://www.england.nhs.uk/publication/primary-medical-care-policy-and-guidance-manual-practice-visit-best-practice-annexes/" </w:instrText>
      </w:r>
      <w:r>
        <w:fldChar w:fldCharType="separate"/>
      </w:r>
      <w:r w:rsidR="002B15FF" w:rsidRPr="00BF0412">
        <w:rPr>
          <w:rStyle w:val="Hyperlink"/>
          <w:rFonts w:eastAsia="Arial"/>
        </w:rPr>
        <w:t>A Sample Practice Visit Letter</w:t>
      </w:r>
      <w:r>
        <w:rPr>
          <w:rStyle w:val="Hyperlink"/>
          <w:rFonts w:eastAsia="Arial"/>
        </w:rPr>
        <w:fldChar w:fldCharType="end"/>
      </w:r>
    </w:p>
    <w:p w14:paraId="3DED0769" w14:textId="77777777" w:rsidR="002B15FF" w:rsidRPr="002B15FF" w:rsidRDefault="002B15FF" w:rsidP="002B15FF">
      <w:pPr>
        <w:rPr>
          <w:rFonts w:eastAsia="Arial"/>
        </w:rPr>
      </w:pPr>
    </w:p>
    <w:p w14:paraId="23322EB3" w14:textId="24E923FB" w:rsidR="002B15FF" w:rsidRDefault="00670323" w:rsidP="002306F3">
      <w:pPr>
        <w:rPr>
          <w:rFonts w:eastAsia="Arial" w:cs="Arial"/>
          <w:b/>
          <w:color w:val="003D80"/>
        </w:rPr>
      </w:pPr>
      <w:r w:rsidRPr="002B15FF">
        <w:rPr>
          <w:rFonts w:eastAsia="Arial" w:cs="Arial"/>
          <w:b/>
          <w:color w:val="003D80"/>
        </w:rPr>
        <w:t xml:space="preserve">Annex 3 A Sample </w:t>
      </w:r>
      <w:bookmarkStart w:id="226" w:name="_1557475174"/>
      <w:bookmarkEnd w:id="226"/>
      <w:r w:rsidRPr="002B15FF">
        <w:rPr>
          <w:rFonts w:eastAsia="Arial" w:cs="Arial"/>
          <w:b/>
          <w:color w:val="003D80"/>
        </w:rPr>
        <w:t>Clinical Governance and Practice Review</w:t>
      </w:r>
      <w:r w:rsidRPr="0033393E">
        <w:rPr>
          <w:rFonts w:eastAsia="Arial" w:cs="Arial"/>
          <w:b/>
          <w:color w:val="003D80"/>
        </w:rPr>
        <w:t xml:space="preserve"> </w:t>
      </w:r>
      <w:r w:rsidR="002B15FF">
        <w:rPr>
          <w:rFonts w:eastAsia="Arial" w:cs="Arial"/>
          <w:b/>
          <w:color w:val="003D80"/>
        </w:rPr>
        <w:br/>
      </w:r>
    </w:p>
    <w:bookmarkStart w:id="227" w:name="_1557475200"/>
    <w:bookmarkEnd w:id="227"/>
    <w:p w14:paraId="68E285EC" w14:textId="1A8C937E" w:rsidR="00670323" w:rsidRPr="002B15FF" w:rsidRDefault="002306F3" w:rsidP="006C3DF5">
      <w:pPr>
        <w:pStyle w:val="ListParagraph"/>
        <w:numPr>
          <w:ilvl w:val="0"/>
          <w:numId w:val="116"/>
        </w:numPr>
        <w:rPr>
          <w:rFonts w:eastAsia="Arial"/>
        </w:rPr>
      </w:pPr>
      <w:r>
        <w:fldChar w:fldCharType="begin"/>
      </w:r>
      <w:r>
        <w:instrText xml:space="preserve"> HYPERLINK "https://www.england.nhs.uk/publication/primary-medical-care-policy-and-guidance-manual-practice-visit-best-practice-annexes/" </w:instrText>
      </w:r>
      <w:r>
        <w:fldChar w:fldCharType="separate"/>
      </w:r>
      <w:r w:rsidR="002B15FF" w:rsidRPr="00BF0412">
        <w:rPr>
          <w:rStyle w:val="Hyperlink"/>
          <w:rFonts w:eastAsia="Arial"/>
        </w:rPr>
        <w:t>A Sample Clinical Governance and Practice Review</w:t>
      </w:r>
      <w:r>
        <w:rPr>
          <w:rStyle w:val="Hyperlink"/>
          <w:rFonts w:eastAsia="Arial"/>
        </w:rPr>
        <w:fldChar w:fldCharType="end"/>
      </w:r>
    </w:p>
    <w:p w14:paraId="21279216" w14:textId="77777777" w:rsidR="002B15FF" w:rsidRPr="002B15FF" w:rsidRDefault="002B15FF" w:rsidP="002B15FF">
      <w:pPr>
        <w:rPr>
          <w:rFonts w:eastAsia="Arial"/>
        </w:rPr>
      </w:pPr>
    </w:p>
    <w:p w14:paraId="55389E14" w14:textId="1F162B67" w:rsidR="00670323" w:rsidRPr="0033393E" w:rsidRDefault="00670323" w:rsidP="00670323">
      <w:pPr>
        <w:spacing w:before="120" w:after="120" w:line="276" w:lineRule="auto"/>
        <w:rPr>
          <w:rFonts w:eastAsia="Arial" w:cs="Arial"/>
          <w:b/>
          <w:color w:val="003D80"/>
        </w:rPr>
      </w:pPr>
      <w:r w:rsidRPr="0033393E">
        <w:rPr>
          <w:rFonts w:eastAsia="Arial" w:cs="Arial"/>
          <w:b/>
          <w:color w:val="003D80"/>
        </w:rPr>
        <w:t xml:space="preserve">Annex </w:t>
      </w:r>
      <w:r w:rsidRPr="0033393E">
        <w:rPr>
          <w:rFonts w:eastAsia="Arial" w:cs="Arial"/>
          <w:b/>
          <w:bCs w:val="0"/>
          <w:color w:val="003D80"/>
          <w:szCs w:val="24"/>
          <w:lang w:eastAsia="en-GB"/>
        </w:rPr>
        <w:t>4</w:t>
      </w:r>
      <w:r w:rsidRPr="0033393E">
        <w:rPr>
          <w:rFonts w:eastAsia="Arial" w:cs="Arial"/>
          <w:b/>
          <w:color w:val="003D80"/>
        </w:rPr>
        <w:t xml:space="preserve"> A Sample Overview of Concerns - Investigation Plan</w:t>
      </w:r>
    </w:p>
    <w:bookmarkStart w:id="228" w:name="_1557475222"/>
    <w:bookmarkEnd w:id="228"/>
    <w:p w14:paraId="78153BF4" w14:textId="1E030565" w:rsidR="00670323" w:rsidRDefault="002306F3" w:rsidP="006C3DF5">
      <w:pPr>
        <w:pStyle w:val="ListParagraph"/>
        <w:numPr>
          <w:ilvl w:val="0"/>
          <w:numId w:val="116"/>
        </w:numPr>
        <w:rPr>
          <w:rFonts w:eastAsia="Arial"/>
        </w:rPr>
      </w:pPr>
      <w:r>
        <w:fldChar w:fldCharType="begin"/>
      </w:r>
      <w:r>
        <w:instrText xml:space="preserve"> HYPERLINK "https://www.england.nhs.uk/publication/primary-medical-care-policy-and-guidance-manual-practice-visit-best-practice-annexes/" </w:instrText>
      </w:r>
      <w:r>
        <w:fldChar w:fldCharType="separate"/>
      </w:r>
      <w:r w:rsidR="002B15FF" w:rsidRPr="00BF0412">
        <w:rPr>
          <w:rStyle w:val="Hyperlink"/>
          <w:rFonts w:eastAsia="Arial"/>
        </w:rPr>
        <w:t>A Sample Overview of Concerns - Investigation Plan</w:t>
      </w:r>
      <w:r>
        <w:rPr>
          <w:rStyle w:val="Hyperlink"/>
          <w:rFonts w:eastAsia="Arial"/>
        </w:rPr>
        <w:fldChar w:fldCharType="end"/>
      </w:r>
    </w:p>
    <w:p w14:paraId="38F2F45E" w14:textId="77777777" w:rsidR="002B15FF" w:rsidRPr="002B15FF" w:rsidRDefault="002B15FF" w:rsidP="002B15FF">
      <w:pPr>
        <w:rPr>
          <w:rFonts w:eastAsia="Arial"/>
        </w:rPr>
      </w:pPr>
    </w:p>
    <w:p w14:paraId="61AA05E9" w14:textId="308BD261" w:rsidR="00670323" w:rsidRPr="002306F3" w:rsidRDefault="00670323" w:rsidP="00670323">
      <w:pPr>
        <w:spacing w:before="120" w:after="120" w:line="276" w:lineRule="auto"/>
        <w:rPr>
          <w:rFonts w:eastAsia="Arial"/>
          <w:b/>
          <w:color w:val="003D80"/>
        </w:rPr>
      </w:pPr>
      <w:r w:rsidRPr="0033393E">
        <w:rPr>
          <w:rFonts w:eastAsia="Arial" w:cs="Arial"/>
          <w:b/>
          <w:bCs w:val="0"/>
          <w:color w:val="003D80"/>
          <w:szCs w:val="24"/>
          <w:lang w:eastAsia="en-GB"/>
        </w:rPr>
        <w:t xml:space="preserve">Annex 5 </w:t>
      </w:r>
      <w:r w:rsidRPr="0033393E">
        <w:rPr>
          <w:rFonts w:eastAsia="Arial" w:cs="Arial"/>
          <w:b/>
          <w:color w:val="003D80"/>
        </w:rPr>
        <w:t>Sample Terms of Reference (ToR) For a Task &amp; Finish Group Investigating Concerns</w:t>
      </w:r>
    </w:p>
    <w:p w14:paraId="655D4985" w14:textId="77777777" w:rsidR="00825050" w:rsidRPr="00825050" w:rsidRDefault="000B57EE" w:rsidP="006C3DF5">
      <w:pPr>
        <w:pStyle w:val="ListParagraph"/>
        <w:numPr>
          <w:ilvl w:val="0"/>
          <w:numId w:val="205"/>
        </w:numPr>
        <w:rPr>
          <w:rStyle w:val="Hyperlink"/>
          <w:rFonts w:cs="Arial"/>
          <w:b/>
          <w:color w:val="005EB8" w:themeColor="text2"/>
          <w:kern w:val="32"/>
          <w:sz w:val="32"/>
          <w:szCs w:val="32"/>
          <w:u w:val="none"/>
        </w:rPr>
      </w:pPr>
      <w:hyperlink r:id="rId64" w:history="1">
        <w:r w:rsidR="002B15FF" w:rsidRPr="00825050">
          <w:rPr>
            <w:rStyle w:val="Hyperlink"/>
            <w:rFonts w:eastAsia="Arial"/>
          </w:rPr>
          <w:t>Sample Terms of Reference (ToR) For a Task &amp; Finish Group Investigating Concerns</w:t>
        </w:r>
      </w:hyperlink>
    </w:p>
    <w:p w14:paraId="7FB82098" w14:textId="77777777" w:rsidR="00825050" w:rsidRDefault="00825050">
      <w:pPr>
        <w:rPr>
          <w:rStyle w:val="Heading1Char"/>
          <w:lang w:eastAsia="en-GB"/>
        </w:rPr>
      </w:pPr>
      <w:r>
        <w:rPr>
          <w:rStyle w:val="Heading1Char"/>
          <w:lang w:eastAsia="en-GB"/>
        </w:rPr>
        <w:br w:type="page"/>
      </w:r>
    </w:p>
    <w:p w14:paraId="36F68D6A" w14:textId="2740E5AF" w:rsidR="0015247B" w:rsidRPr="00825050" w:rsidRDefault="0015247B" w:rsidP="00825050">
      <w:pPr>
        <w:pStyle w:val="Heading1"/>
      </w:pPr>
      <w:bookmarkStart w:id="229" w:name="_Toc95743400"/>
      <w:r w:rsidRPr="00825050">
        <w:t>Managing Patient Lists</w:t>
      </w:r>
      <w:bookmarkEnd w:id="229"/>
    </w:p>
    <w:p w14:paraId="2A6A53A4" w14:textId="77777777" w:rsidR="0015247B" w:rsidRDefault="0015247B" w:rsidP="0015247B">
      <w:pPr>
        <w:rPr>
          <w:lang w:eastAsia="en-GB"/>
        </w:rPr>
      </w:pPr>
    </w:p>
    <w:p w14:paraId="783F4693" w14:textId="77777777" w:rsidR="003D1FAF" w:rsidRPr="00CE0885" w:rsidRDefault="003D1FAF" w:rsidP="002C0080">
      <w:pPr>
        <w:pStyle w:val="Heading2"/>
        <w:rPr>
          <w:lang w:eastAsia="en-GB"/>
        </w:rPr>
      </w:pPr>
      <w:bookmarkStart w:id="230" w:name="_Toc440982479"/>
      <w:bookmarkStart w:id="231" w:name="_Toc95743401"/>
      <w:r w:rsidRPr="00CE0885">
        <w:rPr>
          <w:lang w:eastAsia="en-GB"/>
        </w:rPr>
        <w:t>Introduction</w:t>
      </w:r>
      <w:bookmarkEnd w:id="230"/>
      <w:bookmarkEnd w:id="231"/>
    </w:p>
    <w:p w14:paraId="2E8367D2" w14:textId="54964FCF" w:rsidR="003D1FAF" w:rsidRPr="00CE0885" w:rsidRDefault="003D1FAF" w:rsidP="002C0080">
      <w:pPr>
        <w:pStyle w:val="Heading3"/>
        <w:rPr>
          <w:lang w:eastAsia="en-GB"/>
        </w:rPr>
      </w:pPr>
      <w:bookmarkStart w:id="232" w:name="_Toc440982480"/>
      <w:r w:rsidRPr="00CE0885">
        <w:rPr>
          <w:lang w:eastAsia="en-GB"/>
        </w:rPr>
        <w:t xml:space="preserve">Practices operate either an open or a closed </w:t>
      </w:r>
      <w:r w:rsidR="001320F6">
        <w:rPr>
          <w:lang w:eastAsia="en-GB"/>
        </w:rPr>
        <w:t xml:space="preserve">patient </w:t>
      </w:r>
      <w:r w:rsidRPr="00CE0885">
        <w:rPr>
          <w:lang w:eastAsia="en-GB"/>
        </w:rPr>
        <w:t>list</w:t>
      </w:r>
      <w:r w:rsidR="001320F6">
        <w:rPr>
          <w:lang w:eastAsia="en-GB"/>
        </w:rPr>
        <w:t>. P</w:t>
      </w:r>
      <w:r w:rsidRPr="00CE0885">
        <w:rPr>
          <w:lang w:eastAsia="en-GB"/>
        </w:rPr>
        <w:t>atients have the ability to register with any local practice which operates an open list. Practices continue to have discretion over new patient registrations, although fair and reasonable grounds should be presented in the event of a refusal to accept a patient onto an open practice list.</w:t>
      </w:r>
      <w:bookmarkEnd w:id="232"/>
    </w:p>
    <w:p w14:paraId="0232A4DB" w14:textId="77777777" w:rsidR="003D1FAF" w:rsidRPr="00CE0885" w:rsidRDefault="003D1FAF" w:rsidP="002C0080">
      <w:pPr>
        <w:pStyle w:val="Heading3"/>
        <w:rPr>
          <w:lang w:eastAsia="en-GB"/>
        </w:rPr>
      </w:pPr>
      <w:bookmarkStart w:id="233" w:name="_Toc440982481"/>
      <w:r w:rsidRPr="00CE0885">
        <w:rPr>
          <w:lang w:eastAsia="en-GB"/>
        </w:rPr>
        <w:t>Practices must ensure that they meet all general legal duties and must ensure that they are not directly or indirectly in breach of the public sector equality duty.</w:t>
      </w:r>
      <w:bookmarkEnd w:id="233"/>
      <w:r w:rsidRPr="00CE0885">
        <w:rPr>
          <w:lang w:eastAsia="en-GB"/>
        </w:rPr>
        <w:t xml:space="preserve"> </w:t>
      </w:r>
    </w:p>
    <w:p w14:paraId="6BEB168F" w14:textId="5C09A7EB" w:rsidR="003D1FAF" w:rsidRPr="000C4836" w:rsidRDefault="003D1FAF" w:rsidP="002C0080">
      <w:pPr>
        <w:pStyle w:val="Heading3"/>
        <w:rPr>
          <w:highlight w:val="yellow"/>
          <w:lang w:eastAsia="en-GB"/>
        </w:rPr>
      </w:pPr>
      <w:bookmarkStart w:id="234" w:name="_Toc440982482"/>
      <w:r w:rsidRPr="00CE0885">
        <w:rPr>
          <w:lang w:eastAsia="en-GB"/>
        </w:rPr>
        <w:t>The Commissioner has an obligation to prepare and keep up to date a list of patients accepted by the contractor or assigned to its list of patients and who have not been removed from that list.</w:t>
      </w:r>
      <w:bookmarkEnd w:id="234"/>
      <w:r w:rsidR="00116A88" w:rsidRPr="00116A88">
        <w:t xml:space="preserve"> </w:t>
      </w:r>
      <w:r w:rsidR="00116A88" w:rsidRPr="000C4836">
        <w:rPr>
          <w:highlight w:val="yellow"/>
          <w:lang w:eastAsia="en-GB"/>
        </w:rPr>
        <w:t>PCSE process new patient registrations and de-registrations and ensure that the national patient records database reflects what is shown in each practice’s patient list on behalf of commissioners.</w:t>
      </w:r>
    </w:p>
    <w:p w14:paraId="34CD6436" w14:textId="77777777" w:rsidR="003D1FAF" w:rsidRPr="00CE0885" w:rsidRDefault="003D1FAF" w:rsidP="002C0080">
      <w:pPr>
        <w:pStyle w:val="Heading3"/>
        <w:rPr>
          <w:lang w:eastAsia="en-GB"/>
        </w:rPr>
      </w:pPr>
      <w:bookmarkStart w:id="235" w:name="_Toc440982483"/>
      <w:r w:rsidRPr="00CE0885">
        <w:rPr>
          <w:lang w:eastAsia="en-GB"/>
        </w:rPr>
        <w:t>This policy sets out:</w:t>
      </w:r>
      <w:bookmarkEnd w:id="235"/>
    </w:p>
    <w:p w14:paraId="468A4A8D" w14:textId="77777777" w:rsidR="003D1FAF" w:rsidRPr="00CE0885" w:rsidRDefault="003D1FAF" w:rsidP="002C0080">
      <w:pPr>
        <w:pStyle w:val="Heading3"/>
        <w:rPr>
          <w:lang w:eastAsia="en-GB"/>
        </w:rPr>
      </w:pPr>
      <w:bookmarkStart w:id="236" w:name="_Toc440982484"/>
      <w:r w:rsidRPr="00CE0885">
        <w:rPr>
          <w:lang w:eastAsia="en-GB"/>
        </w:rPr>
        <w:t>the arrangements for managing patient assignments (Part A);</w:t>
      </w:r>
      <w:bookmarkEnd w:id="236"/>
    </w:p>
    <w:p w14:paraId="425AE262" w14:textId="77777777" w:rsidR="003D1FAF" w:rsidRPr="00CE0885" w:rsidRDefault="003D1FAF" w:rsidP="002C0080">
      <w:pPr>
        <w:pStyle w:val="Heading3"/>
        <w:rPr>
          <w:lang w:eastAsia="en-GB"/>
        </w:rPr>
      </w:pPr>
      <w:bookmarkStart w:id="237" w:name="_Toc440982485"/>
      <w:r w:rsidRPr="00CE0885">
        <w:rPr>
          <w:lang w:eastAsia="en-GB"/>
        </w:rPr>
        <w:t>list maintenance for primary medical services including general list maintenance by PCSE (Part B1) and targeted list cleansing by Commissioners (Part B2); and</w:t>
      </w:r>
      <w:bookmarkEnd w:id="237"/>
    </w:p>
    <w:p w14:paraId="33AB974E" w14:textId="77777777" w:rsidR="003D1FAF" w:rsidRPr="00CE0885" w:rsidRDefault="003D1FAF" w:rsidP="002C0080">
      <w:pPr>
        <w:pStyle w:val="Heading3"/>
        <w:rPr>
          <w:lang w:eastAsia="en-GB"/>
        </w:rPr>
      </w:pPr>
      <w:bookmarkStart w:id="238" w:name="_Toc440982486"/>
      <w:r w:rsidRPr="00CE0885">
        <w:rPr>
          <w:lang w:eastAsia="en-GB"/>
        </w:rPr>
        <w:t>managing closed lists (Part C).</w:t>
      </w:r>
      <w:bookmarkStart w:id="239" w:name="_Toc150919533"/>
      <w:bookmarkEnd w:id="238"/>
    </w:p>
    <w:p w14:paraId="58D84CAC" w14:textId="77777777" w:rsidR="003D1FAF" w:rsidRPr="009055A7" w:rsidRDefault="003D1FAF" w:rsidP="003D1FAF">
      <w:pPr>
        <w:widowControl w:val="0"/>
        <w:spacing w:line="360" w:lineRule="auto"/>
        <w:ind w:left="2268"/>
        <w:jc w:val="both"/>
        <w:rPr>
          <w:rFonts w:cs="Arial"/>
          <w:bCs w:val="0"/>
          <w:sz w:val="20"/>
          <w:szCs w:val="20"/>
          <w:lang w:eastAsia="en-GB"/>
        </w:rPr>
      </w:pPr>
    </w:p>
    <w:p w14:paraId="0647E2C5" w14:textId="50E36958" w:rsidR="00447681" w:rsidRDefault="00447681" w:rsidP="008D6827"/>
    <w:p w14:paraId="3F4D467C" w14:textId="1295E402" w:rsidR="009D143B" w:rsidRDefault="009D143B" w:rsidP="008D6827"/>
    <w:p w14:paraId="1B58D5DA" w14:textId="641CE513" w:rsidR="009D143B" w:rsidRDefault="009D143B" w:rsidP="008D6827"/>
    <w:p w14:paraId="438CFB45" w14:textId="630E7DFA" w:rsidR="009D143B" w:rsidRDefault="009D143B" w:rsidP="008D6827"/>
    <w:p w14:paraId="3E03D8AE" w14:textId="3D0097D9" w:rsidR="009D143B" w:rsidRDefault="009D143B" w:rsidP="008D6827"/>
    <w:p w14:paraId="5ACE2B95" w14:textId="65FBD5D6" w:rsidR="009D143B" w:rsidRDefault="009D143B" w:rsidP="008D6827"/>
    <w:p w14:paraId="09476EC1" w14:textId="3323FEF9" w:rsidR="009D143B" w:rsidRDefault="009D143B" w:rsidP="008D6827"/>
    <w:p w14:paraId="06F9679C" w14:textId="78D7758F" w:rsidR="009D143B" w:rsidRDefault="009D143B" w:rsidP="008D6827"/>
    <w:p w14:paraId="7CC5F9F0" w14:textId="233CC653" w:rsidR="009D143B" w:rsidRDefault="009D143B" w:rsidP="008D6827"/>
    <w:p w14:paraId="6D911DC4" w14:textId="79C61CAA" w:rsidR="009D143B" w:rsidRDefault="009D143B" w:rsidP="008D6827"/>
    <w:p w14:paraId="4046A3CA" w14:textId="17E06775" w:rsidR="009D143B" w:rsidRDefault="009D143B" w:rsidP="008D6827"/>
    <w:p w14:paraId="16EDC0FC" w14:textId="50974CDD" w:rsidR="009D143B" w:rsidRDefault="009D143B" w:rsidP="008D6827"/>
    <w:p w14:paraId="576C8BA8" w14:textId="00B5B951" w:rsidR="009D143B" w:rsidRDefault="009D143B" w:rsidP="008D6827"/>
    <w:p w14:paraId="56930C20" w14:textId="175AABF0" w:rsidR="009D143B" w:rsidRDefault="009D143B" w:rsidP="008D6827"/>
    <w:p w14:paraId="0C82C6AB" w14:textId="77777777" w:rsidR="009D143B" w:rsidRPr="008D6827" w:rsidRDefault="009D143B" w:rsidP="008D6827"/>
    <w:p w14:paraId="7D024B4E" w14:textId="55CF0D5E" w:rsidR="003D1FAF" w:rsidRPr="00CE0885" w:rsidRDefault="003D1FAF" w:rsidP="002C0080">
      <w:pPr>
        <w:pStyle w:val="Heading2"/>
        <w:rPr>
          <w:lang w:eastAsia="en-GB"/>
        </w:rPr>
      </w:pPr>
      <w:bookmarkStart w:id="240" w:name="_PART_A:_Managing"/>
      <w:bookmarkStart w:id="241" w:name="_Toc95743402"/>
      <w:bookmarkEnd w:id="240"/>
      <w:r w:rsidRPr="00CE0885">
        <w:rPr>
          <w:lang w:eastAsia="en-GB"/>
        </w:rPr>
        <w:t>PART A: Managing Patient Assignments</w:t>
      </w:r>
      <w:bookmarkEnd w:id="241"/>
    </w:p>
    <w:p w14:paraId="5C0FF3F5" w14:textId="77777777" w:rsidR="003D1FAF" w:rsidRPr="002C0080" w:rsidRDefault="003D1FAF" w:rsidP="002C0080">
      <w:pPr>
        <w:pStyle w:val="Heading3"/>
        <w:rPr>
          <w:b/>
          <w:lang w:eastAsia="en-GB"/>
        </w:rPr>
      </w:pPr>
      <w:bookmarkStart w:id="242" w:name="_Toc440982487"/>
      <w:r w:rsidRPr="002C0080">
        <w:rPr>
          <w:b/>
          <w:lang w:eastAsia="en-GB"/>
        </w:rPr>
        <w:t>Scope</w:t>
      </w:r>
      <w:bookmarkEnd w:id="242"/>
    </w:p>
    <w:p w14:paraId="6B0EEB52" w14:textId="430628F4" w:rsidR="003D1FAF" w:rsidRPr="002C0080" w:rsidRDefault="003D1FAF" w:rsidP="00A553BA">
      <w:pPr>
        <w:pStyle w:val="Heading4"/>
        <w:spacing w:before="0"/>
      </w:pPr>
      <w:bookmarkStart w:id="243" w:name="_Toc440982488"/>
      <w:r w:rsidRPr="002C0080">
        <w:t xml:space="preserve">This Part A sets out the processes the Commissioner should follow in respect of patient assignment to practice lists. </w:t>
      </w:r>
      <w:r w:rsidR="00116A88">
        <w:t>It</w:t>
      </w:r>
      <w:r w:rsidRPr="002C0080">
        <w:t xml:space="preserve"> also provides information regarding the grounds for practice refusal to register a new patient and potential difficulties that may arise following removal from a practice list and the procedures that must be followed in the event that patient assignment to a practice list is required.</w:t>
      </w:r>
      <w:bookmarkEnd w:id="243"/>
    </w:p>
    <w:p w14:paraId="1B820931" w14:textId="49CEE2FF" w:rsidR="003D1FAF" w:rsidRDefault="003D1FAF" w:rsidP="00912FE4">
      <w:pPr>
        <w:pStyle w:val="Heading4"/>
        <w:spacing w:before="0"/>
        <w:rPr>
          <w:rFonts w:cs="Arial"/>
          <w:bCs/>
          <w:sz w:val="20"/>
          <w:szCs w:val="20"/>
        </w:rPr>
      </w:pPr>
      <w:bookmarkStart w:id="244" w:name="_Toc344897878"/>
      <w:bookmarkStart w:id="245" w:name="_Toc440982489"/>
      <w:r w:rsidRPr="002C0080">
        <w:t>Where a practice list is open, a patient may apply for registration either in person or on behalf of another, whether or not they are resident in the practice area or are currently registered at another practice.</w:t>
      </w:r>
      <w:bookmarkEnd w:id="244"/>
      <w:bookmarkEnd w:id="245"/>
      <w:r w:rsidR="00912FE4" w:rsidRPr="009055A7">
        <w:rPr>
          <w:rFonts w:cs="Arial"/>
          <w:bCs/>
          <w:sz w:val="20"/>
          <w:szCs w:val="20"/>
        </w:rPr>
        <w:t xml:space="preserve"> </w:t>
      </w:r>
    </w:p>
    <w:p w14:paraId="176BE9B2" w14:textId="21F100F2" w:rsidR="00096561" w:rsidRDefault="00096561" w:rsidP="00096561">
      <w:pPr>
        <w:rPr>
          <w:lang w:eastAsia="en-GB"/>
        </w:rPr>
      </w:pPr>
    </w:p>
    <w:p w14:paraId="35BE0EFE" w14:textId="77777777" w:rsidR="00096561" w:rsidRPr="00096561" w:rsidRDefault="00096561" w:rsidP="00096561">
      <w:pPr>
        <w:rPr>
          <w:lang w:eastAsia="en-GB"/>
        </w:rPr>
      </w:pPr>
    </w:p>
    <w:p w14:paraId="66A76747" w14:textId="77777777" w:rsidR="003D1FAF" w:rsidRPr="002C0080" w:rsidRDefault="003D1FAF" w:rsidP="002C0080">
      <w:pPr>
        <w:pStyle w:val="Heading3"/>
        <w:rPr>
          <w:b/>
        </w:rPr>
      </w:pPr>
      <w:bookmarkStart w:id="246" w:name="_Toc440982490"/>
      <w:r w:rsidRPr="002C0080">
        <w:rPr>
          <w:b/>
        </w:rPr>
        <w:t>Refusing Patient Registration onto an Open List</w:t>
      </w:r>
      <w:bookmarkEnd w:id="246"/>
    </w:p>
    <w:p w14:paraId="3F31FDC3" w14:textId="5E5DED62" w:rsidR="003D1FAF" w:rsidRPr="00CE0885" w:rsidRDefault="003D1FAF" w:rsidP="002C0080">
      <w:pPr>
        <w:pStyle w:val="Heading4"/>
        <w:rPr>
          <w:lang w:val="en-US"/>
        </w:rPr>
      </w:pPr>
      <w:bookmarkStart w:id="247" w:name="_Toc440982491"/>
      <w:r w:rsidRPr="00CE0885">
        <w:rPr>
          <w:lang w:val="en-US"/>
        </w:rPr>
        <w:t>In most circumstances, practices operating an open list do so effectively, and in a reasonable manner, accepting applications for new registrations on a daily basis. There are, however, a number of circumstances when a patient may find it difficult to obtain registration with their local practice and in these circumstances it is important that the Commissioner is fully aware of the grounds under which a practice may refuse registration and the processes that must be followed in order to demonstrate that this refusal has not been on prejudicial grounds.</w:t>
      </w:r>
      <w:bookmarkEnd w:id="247"/>
      <w:r w:rsidRPr="00CE0885">
        <w:rPr>
          <w:lang w:val="en-US"/>
        </w:rPr>
        <w:t xml:space="preserve"> </w:t>
      </w:r>
    </w:p>
    <w:p w14:paraId="7BE0FC0D" w14:textId="3D2A03FE" w:rsidR="003D1FAF" w:rsidRPr="00CE0885" w:rsidRDefault="003D1FAF" w:rsidP="002C0080">
      <w:pPr>
        <w:pStyle w:val="Heading4"/>
        <w:rPr>
          <w:lang w:val="en-US"/>
        </w:rPr>
      </w:pPr>
      <w:bookmarkStart w:id="248" w:name="_Toc440982492"/>
      <w:r w:rsidRPr="00CE0885">
        <w:rPr>
          <w:lang w:val="en-US"/>
        </w:rPr>
        <w:t xml:space="preserve">A practice may only refuse to accept a patient onto an open list where it has reasonable grounds for doing so. Reasonable grounds will not relate to the </w:t>
      </w:r>
      <w:r w:rsidR="00FE7B61" w:rsidRPr="00CE0885">
        <w:rPr>
          <w:lang w:val="en-US"/>
        </w:rPr>
        <w:t>patient’s</w:t>
      </w:r>
      <w:r w:rsidRPr="00CE0885">
        <w:rPr>
          <w:lang w:val="en-US"/>
        </w:rPr>
        <w:t xml:space="preserve"> race, gender, social class, age, religion, sexual orientation, appearance, disability or medical condition.  Reasonable grounds may include that the patient does not live in the practice area. Where a practice refuses to register a patient, the reason for this refusal must be made in writing to the patient within 14 days of the request for inclusion being made. The contractor must keep a written record of applications and reasons for refusal.</w:t>
      </w:r>
      <w:bookmarkEnd w:id="248"/>
      <w:r w:rsidRPr="00CE0885">
        <w:rPr>
          <w:lang w:val="en-US"/>
        </w:rPr>
        <w:t xml:space="preserve"> </w:t>
      </w:r>
    </w:p>
    <w:p w14:paraId="0132733E" w14:textId="16E0D699" w:rsidR="003D1FAF" w:rsidRPr="00CE0885" w:rsidRDefault="003D1FAF" w:rsidP="002C0080">
      <w:pPr>
        <w:pStyle w:val="Heading4"/>
        <w:rPr>
          <w:rFonts w:eastAsia="MS Mincho"/>
        </w:rPr>
      </w:pPr>
      <w:bookmarkStart w:id="249" w:name="_Toc440982493"/>
      <w:r w:rsidRPr="00CE0885">
        <w:t xml:space="preserve">The operation of a waiting list for registrations is not appropriate. Where a practice feels that it cannot accept new registrations at the time of the patients’ application to join the practice, they may need to consider whether the practice list should remain open and enter into discussions in this respect with the Commissioner. </w:t>
      </w:r>
      <w:r w:rsidRPr="00CE0885">
        <w:rPr>
          <w:rFonts w:eastAsia="MS Mincho"/>
        </w:rPr>
        <w:t>See Section C for more information</w:t>
      </w:r>
      <w:r w:rsidRPr="00CE0885">
        <w:rPr>
          <w:rFonts w:eastAsia="MS Mincho"/>
          <w:i/>
        </w:rPr>
        <w:t>.</w:t>
      </w:r>
      <w:bookmarkEnd w:id="249"/>
    </w:p>
    <w:p w14:paraId="077BB006" w14:textId="1ADA9B75" w:rsidR="003D1FAF" w:rsidRPr="00CE0885" w:rsidRDefault="003D1FAF" w:rsidP="002C0080">
      <w:pPr>
        <w:pStyle w:val="Heading4"/>
      </w:pPr>
      <w:bookmarkStart w:id="250" w:name="_Toc440982494"/>
      <w:r w:rsidRPr="00CE0885">
        <w:t>In the event that the Commissioner is approached regarding any refusal of registration, it must make contact with the practice to confirm the situation and address the matter in line with the PMS Regulations, GMS Regulations or APMS Directions (as appropriate).</w:t>
      </w:r>
      <w:bookmarkEnd w:id="250"/>
    </w:p>
    <w:p w14:paraId="5FE4A66A" w14:textId="77777777" w:rsidR="00096561" w:rsidRDefault="00096561" w:rsidP="00096561">
      <w:pPr>
        <w:widowControl w:val="0"/>
        <w:spacing w:line="360" w:lineRule="auto"/>
        <w:jc w:val="both"/>
        <w:rPr>
          <w:rFonts w:eastAsia="MS Mincho" w:cs="Arial"/>
          <w:bCs w:val="0"/>
          <w:sz w:val="20"/>
          <w:szCs w:val="20"/>
          <w:lang w:eastAsia="en-GB"/>
        </w:rPr>
      </w:pPr>
    </w:p>
    <w:p w14:paraId="746F73FD" w14:textId="77777777" w:rsidR="003D1FAF" w:rsidRPr="002C0080" w:rsidRDefault="003D1FAF" w:rsidP="002C0080">
      <w:pPr>
        <w:pStyle w:val="Heading3"/>
        <w:rPr>
          <w:b/>
          <w:lang w:val="en-US" w:eastAsia="en-GB"/>
        </w:rPr>
      </w:pPr>
      <w:bookmarkStart w:id="251" w:name="_Toc440982495"/>
      <w:r w:rsidRPr="002C0080">
        <w:rPr>
          <w:b/>
          <w:lang w:val="en-US" w:eastAsia="en-GB"/>
        </w:rPr>
        <w:t>Removing a Patient from a Practice List</w:t>
      </w:r>
      <w:bookmarkEnd w:id="251"/>
    </w:p>
    <w:p w14:paraId="72C197F9" w14:textId="77777777" w:rsidR="003D1FAF" w:rsidRPr="00CE0885" w:rsidRDefault="003D1FAF" w:rsidP="002C0080">
      <w:pPr>
        <w:pStyle w:val="Heading4"/>
        <w:rPr>
          <w:lang w:val="en-US"/>
        </w:rPr>
      </w:pPr>
      <w:bookmarkStart w:id="252" w:name="_Toc440982496"/>
      <w:r w:rsidRPr="00CE0885">
        <w:rPr>
          <w:lang w:val="en-US"/>
        </w:rPr>
        <w:t>Where a practice wishes to remove a patient from its practice list, the practice must normally provide the reason for removal in writing to the patient. Removal may normally only be requested if, within the period of 12 months prior to the date of the request, the practice has warned the patient in writing that they are at risk of removal and reasons for this have been stated.</w:t>
      </w:r>
      <w:bookmarkEnd w:id="252"/>
      <w:r w:rsidRPr="00CE0885">
        <w:rPr>
          <w:lang w:val="en-US"/>
        </w:rPr>
        <w:t xml:space="preserve">  </w:t>
      </w:r>
    </w:p>
    <w:p w14:paraId="07F012A3" w14:textId="77777777" w:rsidR="003D1FAF" w:rsidRPr="00CE0885" w:rsidRDefault="003D1FAF" w:rsidP="002C0080">
      <w:pPr>
        <w:pStyle w:val="Heading4"/>
        <w:rPr>
          <w:lang w:val="en-US"/>
        </w:rPr>
      </w:pPr>
      <w:bookmarkStart w:id="253" w:name="_Toc440982497"/>
      <w:r w:rsidRPr="00CE0885">
        <w:rPr>
          <w:lang w:val="en-US"/>
        </w:rPr>
        <w:t>It may be justified that a written warning was not possible/appropriate in the circumstances that:</w:t>
      </w:r>
      <w:bookmarkEnd w:id="253"/>
    </w:p>
    <w:p w14:paraId="2007AF57" w14:textId="77777777" w:rsidR="003D1FAF" w:rsidRPr="00F0701C" w:rsidRDefault="003D1FAF" w:rsidP="006C3DF5">
      <w:pPr>
        <w:pStyle w:val="BodyText"/>
        <w:numPr>
          <w:ilvl w:val="0"/>
          <w:numId w:val="62"/>
        </w:numPr>
        <w:spacing w:line="360" w:lineRule="auto"/>
        <w:ind w:left="714" w:hanging="357"/>
        <w:rPr>
          <w:sz w:val="24"/>
          <w:szCs w:val="24"/>
        </w:rPr>
      </w:pPr>
      <w:bookmarkStart w:id="254" w:name="_Toc440982498"/>
      <w:r w:rsidRPr="00F0701C">
        <w:rPr>
          <w:sz w:val="24"/>
          <w:szCs w:val="24"/>
        </w:rPr>
        <w:t>the reason for removal relates to a change of address outside of the practice area including where a patient has been registered as a temporary resident elsewhere and has exceeded the three-month temporary residency period;</w:t>
      </w:r>
      <w:bookmarkEnd w:id="254"/>
      <w:r w:rsidRPr="00F0701C">
        <w:rPr>
          <w:sz w:val="24"/>
          <w:szCs w:val="24"/>
        </w:rPr>
        <w:t xml:space="preserve"> </w:t>
      </w:r>
    </w:p>
    <w:p w14:paraId="61DE51F4" w14:textId="77777777" w:rsidR="003D1FAF" w:rsidRPr="00F0701C" w:rsidRDefault="003D1FAF" w:rsidP="006C3DF5">
      <w:pPr>
        <w:pStyle w:val="BodyText"/>
        <w:numPr>
          <w:ilvl w:val="0"/>
          <w:numId w:val="62"/>
        </w:numPr>
        <w:spacing w:line="360" w:lineRule="auto"/>
        <w:ind w:left="714" w:hanging="357"/>
        <w:rPr>
          <w:sz w:val="24"/>
          <w:szCs w:val="24"/>
        </w:rPr>
      </w:pPr>
      <w:bookmarkStart w:id="255" w:name="_Toc440982499"/>
      <w:r w:rsidRPr="00F0701C">
        <w:rPr>
          <w:sz w:val="24"/>
          <w:szCs w:val="24"/>
        </w:rPr>
        <w:t>the practice has reasonable grounds for believing that the issue of a warning would be harmful to the physical or mental health of the patient or put at risk one or more members of the practice team; or</w:t>
      </w:r>
      <w:bookmarkEnd w:id="255"/>
    </w:p>
    <w:p w14:paraId="3C0C45A1" w14:textId="0FE7F80D" w:rsidR="003D1FAF" w:rsidRPr="006D10D1" w:rsidRDefault="00E05328" w:rsidP="006C3DF5">
      <w:pPr>
        <w:pStyle w:val="BodyText"/>
        <w:numPr>
          <w:ilvl w:val="0"/>
          <w:numId w:val="62"/>
        </w:numPr>
        <w:spacing w:line="360" w:lineRule="auto"/>
        <w:ind w:left="714" w:hanging="357"/>
        <w:rPr>
          <w:lang w:val="en-US"/>
        </w:rPr>
      </w:pPr>
      <w:bookmarkStart w:id="256" w:name="_Toc440982500"/>
      <w:r w:rsidRPr="00EC7864">
        <w:rPr>
          <w:sz w:val="24"/>
          <w:szCs w:val="24"/>
        </w:rPr>
        <w:t>It</w:t>
      </w:r>
      <w:r w:rsidR="003D1FAF" w:rsidRPr="00EC7864">
        <w:rPr>
          <w:sz w:val="24"/>
          <w:szCs w:val="24"/>
        </w:rPr>
        <w:t xml:space="preserve"> is, in the opinion of the contractor, not otherwise reasonable or practical for a warning to be given.</w:t>
      </w:r>
      <w:bookmarkEnd w:id="256"/>
      <w:r w:rsidR="003D1FAF" w:rsidRPr="00EC7864">
        <w:rPr>
          <w:sz w:val="24"/>
          <w:szCs w:val="24"/>
        </w:rPr>
        <w:t xml:space="preserve"> </w:t>
      </w:r>
      <w:bookmarkStart w:id="257" w:name="_Toc440982501"/>
      <w:r w:rsidR="003D1FAF" w:rsidRPr="009A4EC5">
        <w:rPr>
          <w:sz w:val="24"/>
          <w:szCs w:val="24"/>
          <w:lang w:val="en-US"/>
        </w:rPr>
        <w:t>The practice must record in writing either the date of any warning given and the reasons for such a warning or the reason why no such warning was given.</w:t>
      </w:r>
      <w:bookmarkEnd w:id="257"/>
      <w:r w:rsidR="003D1FAF" w:rsidRPr="009A4EC5">
        <w:rPr>
          <w:sz w:val="24"/>
          <w:szCs w:val="24"/>
          <w:lang w:val="en-US"/>
        </w:rPr>
        <w:t xml:space="preserve"> </w:t>
      </w:r>
    </w:p>
    <w:p w14:paraId="3DD80914" w14:textId="77777777" w:rsidR="003D1FAF" w:rsidRPr="00CE0885" w:rsidRDefault="003D1FAF" w:rsidP="00A553BA">
      <w:pPr>
        <w:pStyle w:val="Heading4"/>
        <w:spacing w:before="0"/>
        <w:rPr>
          <w:lang w:val="en-US"/>
        </w:rPr>
      </w:pPr>
      <w:bookmarkStart w:id="258" w:name="_Toc440982502"/>
      <w:r w:rsidRPr="00CE0885">
        <w:rPr>
          <w:lang w:val="en-US"/>
        </w:rPr>
        <w:t>All patient removals must be recorded by the practice, including the reasons and circumstances of the removal and this record must be made available to the Commissioner should it be requested.</w:t>
      </w:r>
      <w:bookmarkEnd w:id="258"/>
      <w:r w:rsidRPr="00CE0885">
        <w:rPr>
          <w:lang w:val="en-US"/>
        </w:rPr>
        <w:t xml:space="preserve">  </w:t>
      </w:r>
    </w:p>
    <w:p w14:paraId="23E12B12" w14:textId="01C4538F" w:rsidR="003D1FAF" w:rsidRPr="00CE0885" w:rsidRDefault="003D1FAF" w:rsidP="00A553BA">
      <w:pPr>
        <w:pStyle w:val="Heading4"/>
        <w:spacing w:before="0"/>
        <w:rPr>
          <w:lang w:val="en-US"/>
        </w:rPr>
      </w:pPr>
      <w:bookmarkStart w:id="259" w:name="_Toc440982503"/>
      <w:r w:rsidRPr="00CE0885">
        <w:rPr>
          <w:lang w:val="en-US"/>
        </w:rPr>
        <w:t xml:space="preserve">Notifications by the contractor to the Commissioner </w:t>
      </w:r>
      <w:r w:rsidR="00F851FC">
        <w:rPr>
          <w:lang w:val="en-US"/>
        </w:rPr>
        <w:t xml:space="preserve">(via PCSE) </w:t>
      </w:r>
      <w:r w:rsidRPr="00CE0885">
        <w:rPr>
          <w:lang w:val="en-US"/>
        </w:rPr>
        <w:t xml:space="preserve">should be made on removals from the contractors' patient list. The Commissioner must refer to the relevant Regulations/Directions (set out at in Schedule 3 Part 3 of the GMS Regulations; </w:t>
      </w:r>
      <w:r w:rsidR="00E05328" w:rsidRPr="00CE0885">
        <w:rPr>
          <w:lang w:val="en-US"/>
        </w:rPr>
        <w:t>Schedule</w:t>
      </w:r>
      <w:r w:rsidRPr="00CE0885">
        <w:rPr>
          <w:lang w:val="en-US"/>
        </w:rPr>
        <w:t xml:space="preserve"> 2 Part 3 of the PMS Regulations; the APMS Direction do not require APMS contracts to have provisions relating to patient lists – the Commissioner should refer to the wording of the relevant APMS contract).</w:t>
      </w:r>
      <w:bookmarkEnd w:id="259"/>
    </w:p>
    <w:p w14:paraId="103E0D1C" w14:textId="5123B6DB" w:rsidR="003D1FAF" w:rsidRPr="00CE0885" w:rsidRDefault="003D1FAF" w:rsidP="00A553BA">
      <w:pPr>
        <w:pStyle w:val="Heading4"/>
        <w:spacing w:before="0"/>
        <w:rPr>
          <w:lang w:val="en-US"/>
        </w:rPr>
      </w:pPr>
      <w:bookmarkStart w:id="260" w:name="_Toc440982504"/>
      <w:r w:rsidRPr="00CE0885">
        <w:rPr>
          <w:lang w:val="en-US"/>
        </w:rPr>
        <w:t xml:space="preserve">Practices may remove a patient with immediate effect where the patient has committed an act of violence or behaved in such a way that the contractor, practice staff, other patients, or those present at the place the services were provided have feared for their safety. The incident leading to the request for immediate removal must have been reported to the police. It is highly likely that there are different ways in which violent patients are managed nationally as services were commissioned in different ways under a violent patient directed enhanced service scheme. For this </w:t>
      </w:r>
      <w:r w:rsidR="00FE7B61" w:rsidRPr="00CE0885">
        <w:rPr>
          <w:lang w:val="en-US"/>
        </w:rPr>
        <w:t>reason,</w:t>
      </w:r>
      <w:r w:rsidRPr="00CE0885">
        <w:rPr>
          <w:lang w:val="en-US"/>
        </w:rPr>
        <w:t xml:space="preserve"> the Commissioner must refer to the relevant Regulations/Directions and </w:t>
      </w:r>
      <w:r w:rsidR="00B00DFD">
        <w:rPr>
          <w:lang w:val="en-US"/>
        </w:rPr>
        <w:t xml:space="preserve">the Special Allocation Scheme (SAS) </w:t>
      </w:r>
      <w:bookmarkEnd w:id="260"/>
      <w:r w:rsidR="00FE7B61" w:rsidRPr="00CE0885">
        <w:rPr>
          <w:lang w:val="en-US"/>
        </w:rPr>
        <w:t>chap</w:t>
      </w:r>
      <w:r w:rsidR="00FE7B61">
        <w:rPr>
          <w:lang w:val="en-US"/>
        </w:rPr>
        <w:t>t</w:t>
      </w:r>
      <w:r w:rsidR="00FE7B61" w:rsidRPr="00CE0885">
        <w:rPr>
          <w:lang w:val="en-US"/>
        </w:rPr>
        <w:t>er</w:t>
      </w:r>
      <w:r w:rsidR="00FE7B61">
        <w:rPr>
          <w:lang w:val="en-US"/>
        </w:rPr>
        <w:t>.</w:t>
      </w:r>
      <w:r w:rsidRPr="00CE0885">
        <w:rPr>
          <w:lang w:val="en-US"/>
        </w:rPr>
        <w:t xml:space="preserve"> </w:t>
      </w:r>
    </w:p>
    <w:p w14:paraId="37EB1D35" w14:textId="0AAC7A1D" w:rsidR="003D1FAF" w:rsidRDefault="003D1FAF" w:rsidP="00912FE4">
      <w:pPr>
        <w:pStyle w:val="Heading4"/>
        <w:spacing w:before="0"/>
        <w:rPr>
          <w:rFonts w:cs="Arial"/>
          <w:bCs/>
          <w:sz w:val="20"/>
          <w:szCs w:val="20"/>
        </w:rPr>
      </w:pPr>
      <w:bookmarkStart w:id="261" w:name="_Toc440982505"/>
      <w:r w:rsidRPr="00CE0885">
        <w:t>Patients may experience difficulties in registering where they have been removed from a practice list, although, (other than on the grounds of violence or threatening behaviour), this should not ordinarily be a factor considered by practices when approached by new patients. It should also be noted that patients have the right to choose to move from one practice to another, even within the same locality, without providing grounds for doing so.</w:t>
      </w:r>
      <w:bookmarkEnd w:id="261"/>
      <w:r w:rsidR="00912FE4" w:rsidRPr="009055A7">
        <w:rPr>
          <w:rFonts w:cs="Arial"/>
          <w:bCs/>
          <w:sz w:val="20"/>
          <w:szCs w:val="20"/>
        </w:rPr>
        <w:t xml:space="preserve"> </w:t>
      </w:r>
    </w:p>
    <w:p w14:paraId="0AB99EB7" w14:textId="4DA92F9F" w:rsidR="00030F92" w:rsidRPr="00D90005" w:rsidRDefault="00030F92" w:rsidP="009A4EC5">
      <w:pPr>
        <w:pStyle w:val="Heading4"/>
        <w:spacing w:before="0"/>
      </w:pPr>
      <w:r w:rsidRPr="00D90005">
        <w:t xml:space="preserve">In any type of patient deduction, consideration must be given to any potential safeguarding concerns. </w:t>
      </w:r>
      <w:r w:rsidR="008A6A0C" w:rsidRPr="00D90005">
        <w:t>Where a patient is at risk of being removed for example for missed appointments, that may reflect on parenting / caring capacity (e.g. mental health) and consideration must be given to safeguarding either for children or vulenerable / at risk adults.  Advice should always be sought from local Safeguarding leads and/or the commissioners’ designated professional.</w:t>
      </w:r>
    </w:p>
    <w:p w14:paraId="4F555876" w14:textId="13221913" w:rsidR="00030F92" w:rsidRPr="00D90005" w:rsidRDefault="00030F92" w:rsidP="009A4EC5">
      <w:pPr>
        <w:pStyle w:val="Heading4"/>
        <w:spacing w:before="0"/>
        <w:ind w:left="862" w:hanging="862"/>
      </w:pPr>
      <w:r w:rsidRPr="00D90005">
        <w:t>With regard to the deduction of Children (aged under 18) GP practices have the clinical expedient prerogative to retain children (under 18 years old) under the paramountcy of the child within The Children’s Act 2014, until such time that they understand how the children might be cared for by another NHS or private GP, especially if vaccines or screening are still indicated.</w:t>
      </w:r>
    </w:p>
    <w:p w14:paraId="41AD2382" w14:textId="610389B3" w:rsidR="00030F92" w:rsidRPr="00D90005" w:rsidRDefault="00030F92" w:rsidP="009A4EC5">
      <w:pPr>
        <w:pStyle w:val="Heading4"/>
        <w:spacing w:before="0"/>
      </w:pPr>
      <w:r w:rsidRPr="00D90005">
        <w:t xml:space="preserve">It should also be noted that: </w:t>
      </w:r>
    </w:p>
    <w:p w14:paraId="2A38198E" w14:textId="33B846F3" w:rsidR="00030F92" w:rsidRPr="00D90005" w:rsidRDefault="00030F92" w:rsidP="006C3DF5">
      <w:pPr>
        <w:pStyle w:val="ListParagraph"/>
        <w:numPr>
          <w:ilvl w:val="0"/>
          <w:numId w:val="217"/>
        </w:numPr>
        <w:spacing w:line="360" w:lineRule="auto"/>
        <w:ind w:left="1224"/>
        <w:rPr>
          <w:lang w:eastAsia="en-GB"/>
        </w:rPr>
      </w:pPr>
      <w:r w:rsidRPr="00D90005">
        <w:rPr>
          <w:lang w:eastAsia="en-GB"/>
        </w:rPr>
        <w:t>Children and Young People (CYP) on a protection order or protection plan should not be de-registered on the grounds of behaviour including non attendance.</w:t>
      </w:r>
    </w:p>
    <w:p w14:paraId="3BF0078B" w14:textId="5D94C617" w:rsidR="00030F92" w:rsidRPr="00D90005" w:rsidRDefault="00030F92" w:rsidP="006C3DF5">
      <w:pPr>
        <w:pStyle w:val="ListParagraph"/>
        <w:numPr>
          <w:ilvl w:val="0"/>
          <w:numId w:val="217"/>
        </w:numPr>
        <w:spacing w:line="360" w:lineRule="auto"/>
        <w:ind w:left="1224"/>
        <w:rPr>
          <w:lang w:eastAsia="en-GB"/>
        </w:rPr>
      </w:pPr>
      <w:r w:rsidRPr="00D90005">
        <w:rPr>
          <w:lang w:eastAsia="en-GB"/>
        </w:rPr>
        <w:t>CYP (not-protected) and adults with LD or with those with formal carer should not be de-registered on the grounds of behaviour including non attendance</w:t>
      </w:r>
      <w:r w:rsidR="008A6A0C" w:rsidRPr="00D90005">
        <w:rPr>
          <w:lang w:eastAsia="en-GB"/>
        </w:rPr>
        <w:t>.</w:t>
      </w:r>
    </w:p>
    <w:p w14:paraId="025E246F" w14:textId="77777777" w:rsidR="00030F92" w:rsidRPr="00D90005" w:rsidRDefault="00030F92" w:rsidP="009A4EC5">
      <w:pPr>
        <w:spacing w:line="360" w:lineRule="auto"/>
        <w:rPr>
          <w:lang w:eastAsia="en-GB"/>
        </w:rPr>
      </w:pPr>
      <w:r w:rsidRPr="00D90005">
        <w:rPr>
          <w:lang w:eastAsia="en-GB"/>
        </w:rPr>
        <w:t xml:space="preserve"> </w:t>
      </w:r>
    </w:p>
    <w:p w14:paraId="70A86DFE" w14:textId="1416E960" w:rsidR="00030F92" w:rsidRPr="00D90005" w:rsidRDefault="00030F92" w:rsidP="009A4EC5">
      <w:pPr>
        <w:pStyle w:val="Heading4"/>
        <w:spacing w:before="0"/>
      </w:pPr>
      <w:r w:rsidRPr="00D90005">
        <w:t xml:space="preserve">These citizens may need to be referred to safeguarding leads since they might be at risk </w:t>
      </w:r>
      <w:r w:rsidR="008A6A0C" w:rsidRPr="00D90005">
        <w:t xml:space="preserve">either </w:t>
      </w:r>
      <w:r w:rsidRPr="00D90005">
        <w:t xml:space="preserve">through </w:t>
      </w:r>
      <w:r w:rsidR="008A6A0C" w:rsidRPr="00D90005">
        <w:t xml:space="preserve">behavioural problems or </w:t>
      </w:r>
      <w:r w:rsidRPr="00D90005">
        <w:t>non attendance of their appointments.</w:t>
      </w:r>
    </w:p>
    <w:p w14:paraId="0272DB0E" w14:textId="6E94BE80" w:rsidR="00030F92" w:rsidRPr="00D90005" w:rsidRDefault="008A6A0C">
      <w:pPr>
        <w:pStyle w:val="Heading4"/>
        <w:spacing w:before="0"/>
      </w:pPr>
      <w:r w:rsidRPr="00D90005">
        <w:t xml:space="preserve">These citezens </w:t>
      </w:r>
      <w:r w:rsidR="00030F92" w:rsidRPr="00D90005">
        <w:t>should be allowed to sustain their GP Registration for continuity of care until such times as it can be established how the children might be cared for by another NHS or private GP.</w:t>
      </w:r>
    </w:p>
    <w:p w14:paraId="502848AC" w14:textId="636827D7" w:rsidR="008A6A0C" w:rsidRPr="00D90005" w:rsidRDefault="008A6A0C" w:rsidP="009A4EC5">
      <w:pPr>
        <w:spacing w:line="360" w:lineRule="auto"/>
        <w:rPr>
          <w:lang w:eastAsia="en-GB"/>
        </w:rPr>
      </w:pPr>
      <w:r w:rsidRPr="00D90005">
        <w:rPr>
          <w:lang w:eastAsia="en-GB"/>
        </w:rPr>
        <w:t>Therefore:</w:t>
      </w:r>
    </w:p>
    <w:p w14:paraId="2DCD5872" w14:textId="39C6E921" w:rsidR="008A6A0C" w:rsidRPr="00D90005" w:rsidRDefault="008A6A0C" w:rsidP="009A4EC5">
      <w:pPr>
        <w:spacing w:line="360" w:lineRule="auto"/>
        <w:rPr>
          <w:lang w:eastAsia="en-GB"/>
        </w:rPr>
      </w:pPr>
    </w:p>
    <w:p w14:paraId="5A7C0CF0" w14:textId="0538C6FF" w:rsidR="008A6A0C" w:rsidRPr="00D90005" w:rsidRDefault="008A6A0C" w:rsidP="006C3DF5">
      <w:pPr>
        <w:pStyle w:val="ListParagraph"/>
        <w:numPr>
          <w:ilvl w:val="0"/>
          <w:numId w:val="217"/>
        </w:numPr>
        <w:spacing w:line="360" w:lineRule="auto"/>
        <w:ind w:left="1224"/>
        <w:rPr>
          <w:lang w:eastAsia="en-GB"/>
        </w:rPr>
      </w:pPr>
      <w:r w:rsidRPr="00D90005">
        <w:rPr>
          <w:lang w:eastAsia="en-GB"/>
        </w:rPr>
        <w:t>Children of parents or carers, who have been removed from the list for any reason, must not be left without access to primary care service</w:t>
      </w:r>
      <w:r w:rsidR="00007054" w:rsidRPr="00D90005">
        <w:rPr>
          <w:lang w:eastAsia="en-GB"/>
        </w:rPr>
        <w:t>.</w:t>
      </w:r>
    </w:p>
    <w:p w14:paraId="6E36D3C4" w14:textId="77777777" w:rsidR="00007054" w:rsidRPr="00D90005" w:rsidRDefault="00007054" w:rsidP="009A4EC5">
      <w:pPr>
        <w:pStyle w:val="ListParagraph"/>
        <w:spacing w:line="360" w:lineRule="auto"/>
        <w:ind w:left="1224"/>
        <w:rPr>
          <w:lang w:eastAsia="en-GB"/>
        </w:rPr>
      </w:pPr>
    </w:p>
    <w:p w14:paraId="1EEA570E" w14:textId="52B13C22" w:rsidR="008A6A0C" w:rsidRPr="00D90005" w:rsidRDefault="008A6A0C" w:rsidP="006C3DF5">
      <w:pPr>
        <w:pStyle w:val="ListParagraph"/>
        <w:numPr>
          <w:ilvl w:val="0"/>
          <w:numId w:val="217"/>
        </w:numPr>
        <w:spacing w:line="360" w:lineRule="auto"/>
        <w:ind w:left="1224"/>
        <w:rPr>
          <w:lang w:eastAsia="en-GB"/>
        </w:rPr>
      </w:pPr>
      <w:r w:rsidRPr="00D90005">
        <w:rPr>
          <w:lang w:eastAsia="en-GB"/>
        </w:rPr>
        <w:t>Where parents or carers have been removed from the list due to aggressive and or violent behaviour a risk assessment should be completed to identify any risk to their children and the appropriate safeguarding referrals made</w:t>
      </w:r>
      <w:r w:rsidR="00C02AF4" w:rsidRPr="00D90005">
        <w:rPr>
          <w:lang w:eastAsia="en-GB"/>
        </w:rPr>
        <w:t>.</w:t>
      </w:r>
    </w:p>
    <w:p w14:paraId="2F20A6FC" w14:textId="0C8DDA85" w:rsidR="00007054" w:rsidRDefault="00007054" w:rsidP="009A4EC5">
      <w:pPr>
        <w:pStyle w:val="Heading3"/>
        <w:numPr>
          <w:ilvl w:val="0"/>
          <w:numId w:val="0"/>
        </w:numPr>
        <w:rPr>
          <w:bCs w:val="0"/>
        </w:rPr>
      </w:pPr>
      <w:bookmarkStart w:id="262" w:name="_Toc355174338"/>
      <w:bookmarkStart w:id="263" w:name="_Toc440982506"/>
    </w:p>
    <w:p w14:paraId="3904D1D8" w14:textId="08F327C9" w:rsidR="00096561" w:rsidRDefault="00096561" w:rsidP="00096561"/>
    <w:p w14:paraId="7349F51A" w14:textId="774CD14A" w:rsidR="00096561" w:rsidRDefault="00096561" w:rsidP="00096561"/>
    <w:p w14:paraId="590604FC" w14:textId="56FA1030" w:rsidR="00096561" w:rsidRDefault="00096561" w:rsidP="00096561"/>
    <w:p w14:paraId="524BD6B5" w14:textId="4278AC5B" w:rsidR="00096561" w:rsidRDefault="00096561" w:rsidP="00096561"/>
    <w:p w14:paraId="2A78E74B" w14:textId="7B4DDF9D" w:rsidR="00096561" w:rsidRDefault="00096561" w:rsidP="00096561"/>
    <w:p w14:paraId="75889327" w14:textId="13822898" w:rsidR="00096561" w:rsidRDefault="00096561" w:rsidP="00096561"/>
    <w:p w14:paraId="035C1894" w14:textId="77777777" w:rsidR="00096561" w:rsidRPr="00096561" w:rsidRDefault="00096561" w:rsidP="00096561"/>
    <w:p w14:paraId="45FFEB59" w14:textId="4866E9B5" w:rsidR="00E05328" w:rsidRPr="00E05328" w:rsidRDefault="003D1FAF" w:rsidP="002C0080">
      <w:pPr>
        <w:pStyle w:val="Heading3"/>
        <w:rPr>
          <w:bCs w:val="0"/>
        </w:rPr>
      </w:pPr>
      <w:r w:rsidRPr="00E05328">
        <w:rPr>
          <w:b/>
          <w:lang w:eastAsia="en-GB"/>
        </w:rPr>
        <w:t xml:space="preserve">Where Patient Assignment to a Practice List is </w:t>
      </w:r>
      <w:bookmarkEnd w:id="262"/>
      <w:bookmarkEnd w:id="263"/>
      <w:r w:rsidR="00F0701C">
        <w:rPr>
          <w:b/>
          <w:lang w:eastAsia="en-GB"/>
        </w:rPr>
        <w:t>R</w:t>
      </w:r>
      <w:r w:rsidR="00F0701C" w:rsidRPr="00E05328">
        <w:rPr>
          <w:b/>
          <w:lang w:eastAsia="en-GB"/>
        </w:rPr>
        <w:t>equired</w:t>
      </w:r>
    </w:p>
    <w:p w14:paraId="2555DED1" w14:textId="05F4A128" w:rsidR="003D1FAF" w:rsidRPr="002C0080" w:rsidRDefault="003D1FAF" w:rsidP="00E05328">
      <w:pPr>
        <w:pStyle w:val="Heading4"/>
      </w:pPr>
      <w:r w:rsidRPr="002C0080">
        <w:t>Assignment to an open list</w:t>
      </w:r>
    </w:p>
    <w:p w14:paraId="6A51C39A" w14:textId="4E4284E7" w:rsidR="003D1FAF" w:rsidRPr="00E509C8" w:rsidRDefault="003D1FAF" w:rsidP="00E05328">
      <w:pPr>
        <w:pStyle w:val="Heading5"/>
      </w:pPr>
      <w:bookmarkStart w:id="264" w:name="_Toc440982507"/>
      <w:r w:rsidRPr="00E509C8">
        <w:t>The Commissioner may assign a new patient to a practice whose list of patients is open and in making the assignment, the Commissioner shall have regard to:</w:t>
      </w:r>
      <w:bookmarkEnd w:id="264"/>
    </w:p>
    <w:p w14:paraId="5DC9D651" w14:textId="77777777" w:rsidR="003D1FAF" w:rsidRPr="00E05328" w:rsidRDefault="003D1FAF" w:rsidP="006C3DF5">
      <w:pPr>
        <w:pStyle w:val="BodyText"/>
        <w:numPr>
          <w:ilvl w:val="0"/>
          <w:numId w:val="62"/>
        </w:numPr>
        <w:spacing w:line="360" w:lineRule="auto"/>
        <w:ind w:left="714" w:hanging="357"/>
        <w:rPr>
          <w:sz w:val="24"/>
          <w:szCs w:val="24"/>
        </w:rPr>
      </w:pPr>
      <w:bookmarkStart w:id="265" w:name="_Toc440982508"/>
      <w:r w:rsidRPr="00E05328">
        <w:rPr>
          <w:sz w:val="24"/>
          <w:szCs w:val="24"/>
        </w:rPr>
        <w:t>the wishes and circumstances of the patient to be assigned;</w:t>
      </w:r>
      <w:bookmarkEnd w:id="265"/>
    </w:p>
    <w:p w14:paraId="232FC66E" w14:textId="77777777" w:rsidR="003D1FAF" w:rsidRPr="00E05328" w:rsidRDefault="003D1FAF" w:rsidP="006C3DF5">
      <w:pPr>
        <w:pStyle w:val="BodyText"/>
        <w:numPr>
          <w:ilvl w:val="0"/>
          <w:numId w:val="62"/>
        </w:numPr>
        <w:spacing w:line="360" w:lineRule="auto"/>
        <w:ind w:left="714" w:hanging="357"/>
        <w:rPr>
          <w:sz w:val="24"/>
          <w:szCs w:val="24"/>
        </w:rPr>
      </w:pPr>
      <w:bookmarkStart w:id="266" w:name="_Toc440982509"/>
      <w:r w:rsidRPr="00E05328">
        <w:rPr>
          <w:sz w:val="24"/>
          <w:szCs w:val="24"/>
        </w:rPr>
        <w:t>the distance between the patient’s place of residence and the practice premises;</w:t>
      </w:r>
      <w:bookmarkEnd w:id="266"/>
    </w:p>
    <w:p w14:paraId="7ADC3E1A" w14:textId="77777777" w:rsidR="003D1FAF" w:rsidRPr="00E05328" w:rsidRDefault="003D1FAF" w:rsidP="006C3DF5">
      <w:pPr>
        <w:pStyle w:val="BodyText"/>
        <w:numPr>
          <w:ilvl w:val="0"/>
          <w:numId w:val="62"/>
        </w:numPr>
        <w:spacing w:line="360" w:lineRule="auto"/>
        <w:ind w:left="714" w:hanging="357"/>
        <w:rPr>
          <w:sz w:val="24"/>
          <w:szCs w:val="24"/>
        </w:rPr>
      </w:pPr>
      <w:bookmarkStart w:id="267" w:name="_Toc440982510"/>
      <w:r w:rsidRPr="00E05328">
        <w:rPr>
          <w:sz w:val="24"/>
          <w:szCs w:val="24"/>
        </w:rPr>
        <w:t>whether, during the six months ending on the date on which the application for assignment is received by the Commissioner, the patient’s name has been removed from the list of patients of any practice in the area of the Commissioner, at the request of the practice;</w:t>
      </w:r>
      <w:bookmarkEnd w:id="267"/>
    </w:p>
    <w:p w14:paraId="6E476AF9" w14:textId="77777777" w:rsidR="003D1FAF" w:rsidRPr="00E05328" w:rsidRDefault="003D1FAF" w:rsidP="006C3DF5">
      <w:pPr>
        <w:pStyle w:val="BodyText"/>
        <w:numPr>
          <w:ilvl w:val="0"/>
          <w:numId w:val="62"/>
        </w:numPr>
        <w:spacing w:line="360" w:lineRule="auto"/>
        <w:ind w:left="714" w:hanging="357"/>
        <w:rPr>
          <w:sz w:val="24"/>
          <w:szCs w:val="24"/>
        </w:rPr>
      </w:pPr>
      <w:bookmarkStart w:id="268" w:name="_Toc440982511"/>
      <w:r w:rsidRPr="00E05328">
        <w:rPr>
          <w:sz w:val="24"/>
          <w:szCs w:val="24"/>
        </w:rPr>
        <w:t>whether the patient’s name has previously been removed from the list of patients of any practice in the area of the Commissioner owing to violent behaviour and, if so, whether the practice to which the patient is to be assigned has appropriate facilities to deal with such a patient; and</w:t>
      </w:r>
      <w:bookmarkEnd w:id="268"/>
    </w:p>
    <w:p w14:paraId="44DFB24A" w14:textId="77777777" w:rsidR="003D1FAF" w:rsidRPr="00E05328" w:rsidRDefault="003D1FAF" w:rsidP="006C3DF5">
      <w:pPr>
        <w:pStyle w:val="BodyText"/>
        <w:numPr>
          <w:ilvl w:val="0"/>
          <w:numId w:val="62"/>
        </w:numPr>
        <w:spacing w:line="360" w:lineRule="auto"/>
        <w:ind w:left="714" w:hanging="357"/>
        <w:rPr>
          <w:sz w:val="24"/>
          <w:szCs w:val="24"/>
        </w:rPr>
      </w:pPr>
      <w:bookmarkStart w:id="269" w:name="_Toc440982512"/>
      <w:r w:rsidRPr="00E05328">
        <w:rPr>
          <w:sz w:val="24"/>
          <w:szCs w:val="24"/>
        </w:rPr>
        <w:t>other matters the Commissioner considers relevant.</w:t>
      </w:r>
      <w:bookmarkEnd w:id="269"/>
    </w:p>
    <w:p w14:paraId="54C7A702" w14:textId="77777777" w:rsidR="003D1FAF" w:rsidRPr="00CE0885" w:rsidRDefault="003D1FAF" w:rsidP="00E05328">
      <w:pPr>
        <w:pStyle w:val="Heading5"/>
      </w:pPr>
      <w:bookmarkStart w:id="270" w:name="_Toc440982513"/>
      <w:r w:rsidRPr="00CE0885">
        <w:t>A new patient is defined as a person who:</w:t>
      </w:r>
      <w:bookmarkEnd w:id="270"/>
    </w:p>
    <w:p w14:paraId="7946CBE0" w14:textId="5E56A92C" w:rsidR="00691FFF" w:rsidRDefault="00691FFF" w:rsidP="006C3DF5">
      <w:pPr>
        <w:pStyle w:val="BodyText"/>
        <w:numPr>
          <w:ilvl w:val="0"/>
          <w:numId w:val="62"/>
        </w:numPr>
        <w:spacing w:line="360" w:lineRule="auto"/>
        <w:rPr>
          <w:sz w:val="24"/>
          <w:szCs w:val="24"/>
        </w:rPr>
      </w:pPr>
      <w:bookmarkStart w:id="271" w:name="_Toc440982515"/>
      <w:bookmarkStart w:id="272" w:name="_Toc440982514"/>
      <w:r w:rsidRPr="00691FFF">
        <w:rPr>
          <w:sz w:val="24"/>
          <w:szCs w:val="24"/>
        </w:rPr>
        <w:t>has been refused inclusion in a contractor’s list of patients or has not been accepted as a temporary resident by a contractor</w:t>
      </w:r>
      <w:r>
        <w:rPr>
          <w:sz w:val="24"/>
          <w:szCs w:val="24"/>
        </w:rPr>
        <w:t>, and</w:t>
      </w:r>
      <w:bookmarkEnd w:id="271"/>
      <w:r w:rsidRPr="00691FFF">
        <w:rPr>
          <w:sz w:val="24"/>
          <w:szCs w:val="24"/>
        </w:rPr>
        <w:t xml:space="preserve"> </w:t>
      </w:r>
    </w:p>
    <w:p w14:paraId="3E522A78" w14:textId="12105221" w:rsidR="003D1FAF" w:rsidRPr="00A553BA" w:rsidRDefault="00691FFF" w:rsidP="006C3DF5">
      <w:pPr>
        <w:pStyle w:val="BodyText"/>
        <w:numPr>
          <w:ilvl w:val="0"/>
          <w:numId w:val="62"/>
        </w:numPr>
        <w:spacing w:line="360" w:lineRule="auto"/>
        <w:rPr>
          <w:color w:val="000000" w:themeColor="text1"/>
          <w:sz w:val="24"/>
        </w:rPr>
      </w:pPr>
      <w:r w:rsidRPr="00691FFF">
        <w:rPr>
          <w:sz w:val="24"/>
          <w:szCs w:val="24"/>
        </w:rPr>
        <w:t xml:space="preserve">would like to be included in the list of patients of a contractor in whose outer boundary area (as specified in accordance with regulation 20(1)(d)) that person </w:t>
      </w:r>
      <w:bookmarkEnd w:id="272"/>
      <w:r w:rsidR="00D8206B" w:rsidRPr="00691FFF">
        <w:rPr>
          <w:sz w:val="24"/>
          <w:szCs w:val="24"/>
        </w:rPr>
        <w:t>resides.</w:t>
      </w:r>
    </w:p>
    <w:p w14:paraId="7134073F" w14:textId="25AFE4EF" w:rsidR="003D1FAF" w:rsidRDefault="003D1FAF" w:rsidP="00F0701C">
      <w:pPr>
        <w:pStyle w:val="Heading5"/>
        <w:ind w:left="1009" w:hanging="1009"/>
      </w:pPr>
      <w:bookmarkStart w:id="273" w:name="_Toc440982517"/>
      <w:r w:rsidRPr="00E509C8">
        <w:t>In making an assignment, the Commissioner will contact the practice by telephone, to which the patient is to be assigned, to inform them that an assignment is being made. Following this telephone contact, the Commissioner will send an assignment notification (</w:t>
      </w:r>
      <w:r w:rsidR="00C4650C">
        <w:t xml:space="preserve">example at </w:t>
      </w:r>
      <w:r w:rsidRPr="00E509C8">
        <w:t>Annex 1) to both the receiving practice and PCS</w:t>
      </w:r>
      <w:r w:rsidR="00842BC8">
        <w:t xml:space="preserve">E  </w:t>
      </w:r>
      <w:r w:rsidRPr="00E509C8">
        <w:t>for their information. A letter (Annex 2) will also be sent to the patient informing them of their registration and provide details as to how they may access the service. In the majority of cases this letter will be issued by PCS</w:t>
      </w:r>
      <w:r w:rsidR="00842BC8">
        <w:t>E</w:t>
      </w:r>
      <w:r w:rsidRPr="00E509C8">
        <w:t>; however, the Commissioner should ensure that this process is satisfied either through this mechanism or through its own local arrangements.</w:t>
      </w:r>
      <w:bookmarkEnd w:id="273"/>
    </w:p>
    <w:p w14:paraId="5DBAD5A1" w14:textId="065803F0" w:rsidR="00F851FC" w:rsidRDefault="00F851FC" w:rsidP="00F851FC">
      <w:pPr>
        <w:rPr>
          <w:lang w:eastAsia="en-GB"/>
        </w:rPr>
      </w:pPr>
    </w:p>
    <w:p w14:paraId="799BD524" w14:textId="54ECFE1C" w:rsidR="00F851FC" w:rsidRPr="00F851FC" w:rsidRDefault="00F851FC" w:rsidP="00F851FC">
      <w:pPr>
        <w:pStyle w:val="Heading5"/>
        <w:ind w:left="1009" w:hanging="1009"/>
      </w:pPr>
      <w:r w:rsidRPr="00F851FC">
        <w:t>PCSE</w:t>
      </w:r>
      <w:r>
        <w:t xml:space="preserve"> are responsibl</w:t>
      </w:r>
      <w:r w:rsidRPr="00F851FC">
        <w:t xml:space="preserve">e for sending the </w:t>
      </w:r>
      <w:r>
        <w:t>standard</w:t>
      </w:r>
      <w:r w:rsidRPr="00F851FC">
        <w:t xml:space="preserve"> patient letter</w:t>
      </w:r>
      <w:r>
        <w:t xml:space="preserve"> in the case of allocations to open lists</w:t>
      </w:r>
      <w:r w:rsidR="00D1665B">
        <w:t xml:space="preserve">.  </w:t>
      </w:r>
    </w:p>
    <w:p w14:paraId="486F8DCB" w14:textId="77777777" w:rsidR="003D1FAF" w:rsidRPr="00704DD6" w:rsidRDefault="003D1FAF" w:rsidP="00F0701C">
      <w:pPr>
        <w:pStyle w:val="Heading4"/>
      </w:pPr>
      <w:r w:rsidRPr="00704DD6">
        <w:t>Assignment to a closed list</w:t>
      </w:r>
    </w:p>
    <w:p w14:paraId="7A9F7CC9" w14:textId="77777777" w:rsidR="003D1FAF" w:rsidRPr="00E509C8" w:rsidRDefault="003D1FAF" w:rsidP="00F0701C">
      <w:pPr>
        <w:pStyle w:val="Heading5"/>
      </w:pPr>
      <w:bookmarkStart w:id="274" w:name="_Toc440982518"/>
      <w:r w:rsidRPr="00E509C8">
        <w:t>The Commissioner may not assign a new patient to a practice that has closed its list of patients except in the following circumstances:</w:t>
      </w:r>
      <w:bookmarkEnd w:id="274"/>
    </w:p>
    <w:p w14:paraId="53831544" w14:textId="77777777" w:rsidR="003D1FAF" w:rsidRPr="00A553BA" w:rsidRDefault="003D1FAF" w:rsidP="006C3DF5">
      <w:pPr>
        <w:pStyle w:val="BodyText"/>
        <w:numPr>
          <w:ilvl w:val="0"/>
          <w:numId w:val="62"/>
        </w:numPr>
        <w:spacing w:before="120" w:line="360" w:lineRule="auto"/>
        <w:ind w:left="714" w:hanging="357"/>
        <w:rPr>
          <w:color w:val="000000" w:themeColor="text1"/>
          <w:sz w:val="24"/>
        </w:rPr>
      </w:pPr>
      <w:bookmarkStart w:id="275" w:name="_Toc440982519"/>
      <w:r w:rsidRPr="00A553BA">
        <w:rPr>
          <w:color w:val="000000" w:themeColor="text1"/>
          <w:sz w:val="24"/>
        </w:rPr>
        <w:t>most or all of the providers of essential services (or their equivalent) whose practice premises are within the Commissioner's area have closed their lists of patients;</w:t>
      </w:r>
      <w:bookmarkEnd w:id="275"/>
    </w:p>
    <w:p w14:paraId="66D3C16B" w14:textId="52E79309" w:rsidR="003D1FAF" w:rsidRPr="00A553BA" w:rsidRDefault="00F0701C" w:rsidP="006C3DF5">
      <w:pPr>
        <w:pStyle w:val="BodyText"/>
        <w:numPr>
          <w:ilvl w:val="0"/>
          <w:numId w:val="62"/>
        </w:numPr>
        <w:spacing w:before="120" w:line="360" w:lineRule="auto"/>
        <w:ind w:left="714" w:hanging="357"/>
        <w:rPr>
          <w:color w:val="000000" w:themeColor="text1"/>
          <w:sz w:val="24"/>
        </w:rPr>
      </w:pPr>
      <w:bookmarkStart w:id="276" w:name="_Toc440982520"/>
      <w:r w:rsidRPr="00A553BA">
        <w:rPr>
          <w:color w:val="000000" w:themeColor="text1"/>
          <w:sz w:val="24"/>
        </w:rPr>
        <w:t>the assessment panel</w:t>
      </w:r>
      <w:r w:rsidR="003D1FAF" w:rsidRPr="00A553BA">
        <w:rPr>
          <w:color w:val="000000" w:themeColor="text1"/>
          <w:sz w:val="24"/>
        </w:rPr>
        <w:t xml:space="preserve"> </w:t>
      </w:r>
      <w:r w:rsidRPr="00A553BA">
        <w:rPr>
          <w:color w:val="000000" w:themeColor="text1"/>
          <w:sz w:val="24"/>
        </w:rPr>
        <w:t>(</w:t>
      </w:r>
      <w:r w:rsidR="003D1FAF" w:rsidRPr="00A553BA">
        <w:rPr>
          <w:color w:val="000000" w:themeColor="text1"/>
          <w:sz w:val="24"/>
        </w:rPr>
        <w:t>as detailed</w:t>
      </w:r>
      <w:r w:rsidRPr="00A553BA">
        <w:rPr>
          <w:color w:val="000000" w:themeColor="text1"/>
          <w:sz w:val="24"/>
        </w:rPr>
        <w:t xml:space="preserve"> </w:t>
      </w:r>
      <w:r w:rsidR="003D1FAF" w:rsidRPr="00A553BA">
        <w:rPr>
          <w:color w:val="000000" w:themeColor="text1"/>
          <w:sz w:val="24"/>
        </w:rPr>
        <w:t>below</w:t>
      </w:r>
      <w:r w:rsidRPr="00A553BA">
        <w:rPr>
          <w:color w:val="000000" w:themeColor="text1"/>
          <w:sz w:val="24"/>
        </w:rPr>
        <w:t>)</w:t>
      </w:r>
      <w:r w:rsidR="003D1FAF" w:rsidRPr="00A553BA">
        <w:rPr>
          <w:color w:val="000000" w:themeColor="text1"/>
          <w:sz w:val="24"/>
        </w:rPr>
        <w:t xml:space="preserve"> has determined that patients may be assigned to the practice in question, and that determination has not been overturned either by a determination of the Secretary of State or (where applicable) by a court; and</w:t>
      </w:r>
      <w:bookmarkEnd w:id="276"/>
    </w:p>
    <w:p w14:paraId="64B01F67" w14:textId="77777777" w:rsidR="003D1FAF" w:rsidRPr="00A553BA" w:rsidRDefault="003D1FAF" w:rsidP="006C3DF5">
      <w:pPr>
        <w:pStyle w:val="BodyText"/>
        <w:numPr>
          <w:ilvl w:val="0"/>
          <w:numId w:val="62"/>
        </w:numPr>
        <w:spacing w:before="120" w:line="360" w:lineRule="auto"/>
        <w:ind w:left="714" w:hanging="357"/>
        <w:rPr>
          <w:color w:val="000000" w:themeColor="text1"/>
          <w:sz w:val="24"/>
        </w:rPr>
      </w:pPr>
      <w:bookmarkStart w:id="277" w:name="_Toc440982521"/>
      <w:r w:rsidRPr="00A553BA">
        <w:rPr>
          <w:color w:val="000000" w:themeColor="text1"/>
          <w:sz w:val="24"/>
        </w:rPr>
        <w:t>the Commissioner has entered into discussions with the practice in question regarding the assignment of a patient, whereby additional support that the Commissioner can offer to the practice may be required. The Commissioner shall use its best endeavours to provide appropriate support and should discuss support in respect of the first assignment of a patient and any subsequent assignments made to that contractor during their list closure.</w:t>
      </w:r>
      <w:bookmarkEnd w:id="277"/>
      <w:r w:rsidRPr="00A553BA">
        <w:rPr>
          <w:color w:val="000000" w:themeColor="text1"/>
          <w:sz w:val="24"/>
        </w:rPr>
        <w:t xml:space="preserve"> </w:t>
      </w:r>
    </w:p>
    <w:p w14:paraId="0139C8D1" w14:textId="668E5EDB" w:rsidR="00F851FC" w:rsidRPr="00F851FC" w:rsidRDefault="00F851FC" w:rsidP="00F851FC">
      <w:pPr>
        <w:pStyle w:val="Heading5"/>
        <w:ind w:left="1009" w:hanging="1009"/>
      </w:pPr>
      <w:r w:rsidRPr="00F851FC">
        <w:t>PCSE</w:t>
      </w:r>
      <w:r>
        <w:t xml:space="preserve"> are responsibl</w:t>
      </w:r>
      <w:r w:rsidRPr="00F851FC">
        <w:t xml:space="preserve">e for sending the </w:t>
      </w:r>
      <w:r>
        <w:t>standard</w:t>
      </w:r>
      <w:r w:rsidRPr="00F851FC">
        <w:t xml:space="preserve"> patient letter</w:t>
      </w:r>
      <w:r>
        <w:t xml:space="preserve"> in the case of allocations to closed lists</w:t>
      </w:r>
    </w:p>
    <w:p w14:paraId="53B1A415" w14:textId="77777777" w:rsidR="003D1FAF" w:rsidRPr="00A553BA" w:rsidRDefault="003D1FAF" w:rsidP="00F851FC">
      <w:pPr>
        <w:widowControl w:val="0"/>
        <w:spacing w:line="360" w:lineRule="auto"/>
        <w:jc w:val="both"/>
        <w:rPr>
          <w:color w:val="000000" w:themeColor="text1"/>
        </w:rPr>
      </w:pPr>
    </w:p>
    <w:p w14:paraId="60F0A885" w14:textId="77777777" w:rsidR="003D1FAF" w:rsidRPr="00A553BA" w:rsidRDefault="003D1FAF" w:rsidP="002C0080">
      <w:pPr>
        <w:pStyle w:val="Heading3"/>
        <w:rPr>
          <w:b/>
          <w:color w:val="000000" w:themeColor="text1"/>
        </w:rPr>
      </w:pPr>
      <w:bookmarkStart w:id="278" w:name="_Ref408503857"/>
      <w:bookmarkStart w:id="279" w:name="_Toc440982522"/>
      <w:r w:rsidRPr="00A553BA">
        <w:rPr>
          <w:b/>
          <w:color w:val="000000" w:themeColor="text1"/>
        </w:rPr>
        <w:t>Assignment Based on the Determination of a Commissioner Assessment Panel</w:t>
      </w:r>
      <w:bookmarkEnd w:id="278"/>
      <w:bookmarkEnd w:id="279"/>
    </w:p>
    <w:p w14:paraId="0B7DEFEE" w14:textId="77777777" w:rsidR="003D1FAF" w:rsidRPr="00CE0885" w:rsidRDefault="003D1FAF" w:rsidP="00647492">
      <w:pPr>
        <w:pStyle w:val="Heading4"/>
      </w:pPr>
      <w:bookmarkStart w:id="280" w:name="_Toc440982523"/>
      <w:r w:rsidRPr="00CE0885">
        <w:t>Where the Commissioner has the need to assign a patient to a practice that has a closed list and most or all of the providers of essential services (or their equivalent) whose practice premises are within the locality of the Commissioner have closed their lists of patients, the Commissioner must:</w:t>
      </w:r>
      <w:bookmarkEnd w:id="280"/>
    </w:p>
    <w:p w14:paraId="796A295E" w14:textId="77777777" w:rsidR="003D1FAF" w:rsidRPr="00647492" w:rsidRDefault="003D1FAF" w:rsidP="006C3DF5">
      <w:pPr>
        <w:pStyle w:val="BodyText"/>
        <w:numPr>
          <w:ilvl w:val="0"/>
          <w:numId w:val="62"/>
        </w:numPr>
        <w:spacing w:before="120" w:line="360" w:lineRule="auto"/>
        <w:ind w:left="714" w:hanging="357"/>
        <w:rPr>
          <w:sz w:val="24"/>
          <w:szCs w:val="24"/>
        </w:rPr>
      </w:pPr>
      <w:bookmarkStart w:id="281" w:name="_Toc440982524"/>
      <w:r w:rsidRPr="00647492">
        <w:rPr>
          <w:sz w:val="24"/>
          <w:szCs w:val="24"/>
        </w:rPr>
        <w:t>prepare a proposal to be considered by the assessment panel which must include details of those practices to which the Commissioner wishes to assign patients;</w:t>
      </w:r>
      <w:bookmarkEnd w:id="281"/>
    </w:p>
    <w:p w14:paraId="78C1E5EB" w14:textId="77777777" w:rsidR="003D1FAF" w:rsidRPr="00647492" w:rsidRDefault="003D1FAF" w:rsidP="006C3DF5">
      <w:pPr>
        <w:pStyle w:val="BodyText"/>
        <w:numPr>
          <w:ilvl w:val="0"/>
          <w:numId w:val="62"/>
        </w:numPr>
        <w:spacing w:before="120" w:line="360" w:lineRule="auto"/>
        <w:ind w:left="714" w:hanging="357"/>
        <w:rPr>
          <w:sz w:val="24"/>
          <w:szCs w:val="24"/>
        </w:rPr>
      </w:pPr>
      <w:bookmarkStart w:id="282" w:name="_Toc440982525"/>
      <w:r w:rsidRPr="00647492">
        <w:rPr>
          <w:sz w:val="24"/>
          <w:szCs w:val="24"/>
        </w:rPr>
        <w:t>ensure that the assessment panel is appointed to consider and determine its proposal and the members of the assessment panel must include:</w:t>
      </w:r>
      <w:bookmarkEnd w:id="282"/>
    </w:p>
    <w:p w14:paraId="419E626E" w14:textId="70465307" w:rsidR="003D1FAF" w:rsidRPr="00647492" w:rsidRDefault="003D1FAF" w:rsidP="006C3DF5">
      <w:pPr>
        <w:pStyle w:val="BodyText"/>
        <w:numPr>
          <w:ilvl w:val="1"/>
          <w:numId w:val="62"/>
        </w:numPr>
        <w:spacing w:before="120" w:line="360" w:lineRule="auto"/>
        <w:rPr>
          <w:sz w:val="24"/>
          <w:szCs w:val="24"/>
        </w:rPr>
      </w:pPr>
      <w:r w:rsidRPr="00647492">
        <w:rPr>
          <w:sz w:val="24"/>
          <w:szCs w:val="24"/>
        </w:rPr>
        <w:t>a Commissioner director</w:t>
      </w:r>
      <w:r w:rsidR="00ED61EC">
        <w:rPr>
          <w:sz w:val="24"/>
          <w:szCs w:val="24"/>
        </w:rPr>
        <w:t>/officer</w:t>
      </w:r>
      <w:r w:rsidRPr="00647492">
        <w:rPr>
          <w:sz w:val="24"/>
          <w:szCs w:val="24"/>
        </w:rPr>
        <w:t>;</w:t>
      </w:r>
    </w:p>
    <w:p w14:paraId="7432EBC0" w14:textId="77777777" w:rsidR="003D1FAF" w:rsidRPr="00647492" w:rsidRDefault="003D1FAF" w:rsidP="006C3DF5">
      <w:pPr>
        <w:pStyle w:val="BodyText"/>
        <w:numPr>
          <w:ilvl w:val="1"/>
          <w:numId w:val="62"/>
        </w:numPr>
        <w:spacing w:before="120" w:line="360" w:lineRule="auto"/>
        <w:rPr>
          <w:sz w:val="24"/>
          <w:szCs w:val="24"/>
        </w:rPr>
      </w:pPr>
      <w:r w:rsidRPr="00647492">
        <w:rPr>
          <w:sz w:val="24"/>
          <w:szCs w:val="24"/>
        </w:rPr>
        <w:t xml:space="preserve">a patient representative who is a member of the local HWB or Local Healthwatch organisation; and </w:t>
      </w:r>
    </w:p>
    <w:p w14:paraId="608B2420" w14:textId="70E6DA2A" w:rsidR="003D1FAF" w:rsidRPr="00647492" w:rsidRDefault="003D1FAF" w:rsidP="006C3DF5">
      <w:pPr>
        <w:pStyle w:val="BodyText"/>
        <w:numPr>
          <w:ilvl w:val="1"/>
          <w:numId w:val="62"/>
        </w:numPr>
        <w:spacing w:before="120" w:line="360" w:lineRule="auto"/>
        <w:rPr>
          <w:sz w:val="24"/>
          <w:szCs w:val="24"/>
        </w:rPr>
      </w:pPr>
      <w:r w:rsidRPr="00647492">
        <w:rPr>
          <w:sz w:val="24"/>
          <w:szCs w:val="24"/>
        </w:rPr>
        <w:t>a member of a LMC but not a member of the LMC formed for the area in which the contractors who may be assigned patients as a consequence of the panel's determination provide services.</w:t>
      </w:r>
    </w:p>
    <w:p w14:paraId="54F5D7BC" w14:textId="77777777" w:rsidR="003D1FAF" w:rsidRPr="00647492" w:rsidRDefault="003D1FAF" w:rsidP="006C3DF5">
      <w:pPr>
        <w:pStyle w:val="BodyText"/>
        <w:numPr>
          <w:ilvl w:val="0"/>
          <w:numId w:val="62"/>
        </w:numPr>
        <w:spacing w:before="120" w:line="360" w:lineRule="auto"/>
        <w:ind w:left="714" w:hanging="357"/>
        <w:rPr>
          <w:sz w:val="24"/>
          <w:szCs w:val="24"/>
        </w:rPr>
      </w:pPr>
      <w:bookmarkStart w:id="283" w:name="_Toc440982526"/>
      <w:r w:rsidRPr="00647492">
        <w:rPr>
          <w:sz w:val="24"/>
          <w:szCs w:val="24"/>
        </w:rPr>
        <w:t>Notify in writing that it has referred the matter of patient assignment to the assessment panel to the following:</w:t>
      </w:r>
      <w:bookmarkEnd w:id="283"/>
    </w:p>
    <w:p w14:paraId="766227A7" w14:textId="3C6200CB" w:rsidR="003D1FAF" w:rsidRPr="00647492" w:rsidRDefault="003D1FAF" w:rsidP="006C3DF5">
      <w:pPr>
        <w:pStyle w:val="BodyText"/>
        <w:numPr>
          <w:ilvl w:val="1"/>
          <w:numId w:val="62"/>
        </w:numPr>
        <w:spacing w:before="120" w:line="360" w:lineRule="auto"/>
        <w:rPr>
          <w:sz w:val="24"/>
          <w:szCs w:val="24"/>
        </w:rPr>
      </w:pPr>
      <w:r w:rsidRPr="00647492">
        <w:rPr>
          <w:sz w:val="24"/>
          <w:szCs w:val="24"/>
        </w:rPr>
        <w:t xml:space="preserve">the </w:t>
      </w:r>
      <w:r w:rsidR="00ED61EC">
        <w:rPr>
          <w:sz w:val="24"/>
          <w:szCs w:val="24"/>
        </w:rPr>
        <w:t xml:space="preserve">relevant </w:t>
      </w:r>
      <w:r w:rsidRPr="00647492">
        <w:rPr>
          <w:sz w:val="24"/>
          <w:szCs w:val="24"/>
        </w:rPr>
        <w:t xml:space="preserve">LMC for the </w:t>
      </w:r>
      <w:r w:rsidR="00ED61EC">
        <w:rPr>
          <w:sz w:val="24"/>
          <w:szCs w:val="24"/>
        </w:rPr>
        <w:t xml:space="preserve">contractors in the </w:t>
      </w:r>
      <w:r w:rsidRPr="00647492">
        <w:rPr>
          <w:sz w:val="24"/>
          <w:szCs w:val="24"/>
        </w:rPr>
        <w:t>area of the Commissioner; and</w:t>
      </w:r>
    </w:p>
    <w:p w14:paraId="2E982223" w14:textId="77777777" w:rsidR="003D1FAF" w:rsidRPr="00647492" w:rsidRDefault="003D1FAF" w:rsidP="006C3DF5">
      <w:pPr>
        <w:pStyle w:val="BodyText"/>
        <w:numPr>
          <w:ilvl w:val="1"/>
          <w:numId w:val="62"/>
        </w:numPr>
        <w:spacing w:before="120" w:line="360" w:lineRule="auto"/>
        <w:rPr>
          <w:sz w:val="24"/>
          <w:szCs w:val="24"/>
        </w:rPr>
      </w:pPr>
      <w:r w:rsidRPr="00647492">
        <w:rPr>
          <w:sz w:val="24"/>
          <w:szCs w:val="24"/>
        </w:rPr>
        <w:t>any contractors whose practice premises are within the Commissioner's jurisdiction that have closed their list of patients and may, in the opinion of the Commissioner be affected by the determination of the assessment panel.</w:t>
      </w:r>
    </w:p>
    <w:p w14:paraId="1D6264EB" w14:textId="77777777" w:rsidR="003D1FAF" w:rsidRPr="00CE0885" w:rsidRDefault="003D1FAF" w:rsidP="00647492">
      <w:pPr>
        <w:pStyle w:val="Heading4"/>
      </w:pPr>
      <w:bookmarkStart w:id="284" w:name="_Toc440982527"/>
      <w:r w:rsidRPr="00CE0885">
        <w:t>In reaching its determination, the assessment panel shall have regard to relevant factors including:</w:t>
      </w:r>
      <w:bookmarkEnd w:id="284"/>
    </w:p>
    <w:p w14:paraId="62C65ACB" w14:textId="77777777" w:rsidR="003D1FAF" w:rsidRPr="00647492" w:rsidRDefault="003D1FAF" w:rsidP="006C3DF5">
      <w:pPr>
        <w:pStyle w:val="BodyText"/>
        <w:numPr>
          <w:ilvl w:val="0"/>
          <w:numId w:val="62"/>
        </w:numPr>
        <w:spacing w:before="120" w:line="360" w:lineRule="auto"/>
        <w:ind w:left="714" w:hanging="357"/>
        <w:rPr>
          <w:sz w:val="24"/>
          <w:szCs w:val="24"/>
        </w:rPr>
      </w:pPr>
      <w:bookmarkStart w:id="285" w:name="_Toc440982528"/>
      <w:r w:rsidRPr="00647492">
        <w:rPr>
          <w:sz w:val="24"/>
          <w:szCs w:val="24"/>
        </w:rPr>
        <w:t>whether the Commissioner has attempted to secure the provision of essential services (or their equivalent) for new patients other than by means of their assignment to contractors with closed lists of patients; and</w:t>
      </w:r>
      <w:bookmarkEnd w:id="285"/>
    </w:p>
    <w:p w14:paraId="6E960C43" w14:textId="77777777" w:rsidR="003D1FAF" w:rsidRPr="00647492" w:rsidRDefault="003D1FAF" w:rsidP="006C3DF5">
      <w:pPr>
        <w:pStyle w:val="BodyText"/>
        <w:numPr>
          <w:ilvl w:val="0"/>
          <w:numId w:val="62"/>
        </w:numPr>
        <w:spacing w:before="120" w:line="360" w:lineRule="auto"/>
        <w:ind w:left="714" w:hanging="357"/>
        <w:rPr>
          <w:sz w:val="24"/>
          <w:szCs w:val="24"/>
        </w:rPr>
      </w:pPr>
      <w:bookmarkStart w:id="286" w:name="_Toc440982529"/>
      <w:r w:rsidRPr="00647492">
        <w:rPr>
          <w:sz w:val="24"/>
          <w:szCs w:val="24"/>
        </w:rPr>
        <w:t>the workload of those contractors likely to be affected by any decision to assign such patients to their list of patients.</w:t>
      </w:r>
      <w:bookmarkEnd w:id="286"/>
    </w:p>
    <w:p w14:paraId="0D616379" w14:textId="77777777" w:rsidR="003D1FAF" w:rsidRPr="00CE0885" w:rsidRDefault="003D1FAF" w:rsidP="00A553BA">
      <w:pPr>
        <w:pStyle w:val="Heading4"/>
        <w:spacing w:before="0"/>
      </w:pPr>
      <w:bookmarkStart w:id="287" w:name="_Toc440982530"/>
      <w:r w:rsidRPr="00CE0885">
        <w:t>The assessment panel shall reach a determination within the period of 28 days beginning with the date on which the panel was appointed.</w:t>
      </w:r>
      <w:bookmarkEnd w:id="287"/>
    </w:p>
    <w:p w14:paraId="6C31D99E" w14:textId="77777777" w:rsidR="003D1FAF" w:rsidRPr="00CE0885" w:rsidRDefault="003D1FAF" w:rsidP="00A553BA">
      <w:pPr>
        <w:pStyle w:val="Heading4"/>
        <w:spacing w:before="0"/>
      </w:pPr>
      <w:bookmarkStart w:id="288" w:name="_Toc440982531"/>
      <w:r w:rsidRPr="00CE0885">
        <w:t>The assessment panel shall determine whether the Commissioner may assign patients to practices which have closed their lists of patients. If it determines that the Commissioner may make such assignments, it shall also determine those practices to which patients may be assigned.</w:t>
      </w:r>
      <w:bookmarkEnd w:id="288"/>
    </w:p>
    <w:p w14:paraId="4F76793C" w14:textId="77777777" w:rsidR="003D1FAF" w:rsidRPr="00CE0885" w:rsidRDefault="003D1FAF" w:rsidP="00A553BA">
      <w:pPr>
        <w:pStyle w:val="Heading4"/>
        <w:spacing w:before="0"/>
      </w:pPr>
      <w:bookmarkStart w:id="289" w:name="_Toc440982532"/>
      <w:r w:rsidRPr="00CE0885">
        <w:t>The assessment panel may determine that the Commissioner may assign patients to practices other than those practices specified by the Commissioner in its proposal, as long as the practices were notified during the preparation stages of the assessment panel being held.</w:t>
      </w:r>
      <w:bookmarkEnd w:id="289"/>
    </w:p>
    <w:p w14:paraId="0F15CFF0" w14:textId="77777777" w:rsidR="003D1FAF" w:rsidRPr="00CE0885" w:rsidRDefault="003D1FAF" w:rsidP="00A553BA">
      <w:pPr>
        <w:pStyle w:val="Heading4"/>
        <w:spacing w:before="0"/>
      </w:pPr>
      <w:bookmarkStart w:id="290" w:name="_Toc440982533"/>
      <w:r w:rsidRPr="00CE0885">
        <w:t>The assessment panel’s determination must include the factors considered by the panel and be made in writing to:</w:t>
      </w:r>
      <w:bookmarkEnd w:id="290"/>
    </w:p>
    <w:p w14:paraId="52D6D532" w14:textId="33F78B97" w:rsidR="003D1FAF" w:rsidRPr="00647492" w:rsidRDefault="003D1FAF" w:rsidP="006C3DF5">
      <w:pPr>
        <w:pStyle w:val="BodyText"/>
        <w:numPr>
          <w:ilvl w:val="0"/>
          <w:numId w:val="62"/>
        </w:numPr>
        <w:spacing w:before="120" w:line="360" w:lineRule="auto"/>
        <w:ind w:left="714" w:hanging="357"/>
        <w:rPr>
          <w:sz w:val="24"/>
          <w:szCs w:val="24"/>
        </w:rPr>
      </w:pPr>
      <w:bookmarkStart w:id="291" w:name="_Toc440982534"/>
      <w:r w:rsidRPr="00647492">
        <w:rPr>
          <w:sz w:val="24"/>
          <w:szCs w:val="24"/>
        </w:rPr>
        <w:t xml:space="preserve">the LMC for the </w:t>
      </w:r>
      <w:r w:rsidR="00ED61EC">
        <w:rPr>
          <w:sz w:val="24"/>
          <w:szCs w:val="24"/>
        </w:rPr>
        <w:t xml:space="preserve">contractor(s) in </w:t>
      </w:r>
      <w:r w:rsidRPr="00647492">
        <w:rPr>
          <w:sz w:val="24"/>
          <w:szCs w:val="24"/>
        </w:rPr>
        <w:t>area of the Commissioner</w:t>
      </w:r>
      <w:r w:rsidR="00ED61EC">
        <w:rPr>
          <w:sz w:val="24"/>
          <w:szCs w:val="24"/>
        </w:rPr>
        <w:t xml:space="preserve"> for whom the determination relates</w:t>
      </w:r>
      <w:r w:rsidRPr="00647492">
        <w:rPr>
          <w:sz w:val="24"/>
          <w:szCs w:val="24"/>
        </w:rPr>
        <w:t>; and</w:t>
      </w:r>
      <w:bookmarkEnd w:id="291"/>
    </w:p>
    <w:p w14:paraId="16BDC30C" w14:textId="77777777" w:rsidR="003D1FAF" w:rsidRPr="00647492" w:rsidRDefault="003D1FAF" w:rsidP="006C3DF5">
      <w:pPr>
        <w:pStyle w:val="BodyText"/>
        <w:numPr>
          <w:ilvl w:val="0"/>
          <w:numId w:val="62"/>
        </w:numPr>
        <w:spacing w:before="120" w:line="360" w:lineRule="auto"/>
        <w:ind w:left="714" w:hanging="357"/>
        <w:rPr>
          <w:sz w:val="24"/>
          <w:szCs w:val="24"/>
        </w:rPr>
      </w:pPr>
      <w:bookmarkStart w:id="292" w:name="_Toc440982535"/>
      <w:r w:rsidRPr="00647492">
        <w:rPr>
          <w:sz w:val="24"/>
          <w:szCs w:val="24"/>
        </w:rPr>
        <w:t>any contractors whose practice premises are within the Commissioner's jurisdiction that have closed their list of patients and may, in the opinion of the Commissioner be affected by the determination of the assessment panel.</w:t>
      </w:r>
      <w:bookmarkEnd w:id="292"/>
    </w:p>
    <w:p w14:paraId="08F05BB6" w14:textId="29B99BCF" w:rsidR="003D1FAF" w:rsidRDefault="003D1FAF" w:rsidP="003D1FAF">
      <w:pPr>
        <w:widowControl w:val="0"/>
        <w:spacing w:line="360" w:lineRule="auto"/>
        <w:ind w:left="2268"/>
        <w:jc w:val="both"/>
        <w:rPr>
          <w:rFonts w:cs="Arial"/>
          <w:bCs w:val="0"/>
          <w:sz w:val="20"/>
          <w:szCs w:val="20"/>
          <w:lang w:eastAsia="en-GB"/>
        </w:rPr>
      </w:pPr>
    </w:p>
    <w:p w14:paraId="509B11CA" w14:textId="6806580F" w:rsidR="001635CA" w:rsidRDefault="001635CA" w:rsidP="003D1FAF">
      <w:pPr>
        <w:widowControl w:val="0"/>
        <w:spacing w:line="360" w:lineRule="auto"/>
        <w:ind w:left="2268"/>
        <w:jc w:val="both"/>
        <w:rPr>
          <w:rFonts w:cs="Arial"/>
          <w:bCs w:val="0"/>
          <w:sz w:val="20"/>
          <w:szCs w:val="20"/>
          <w:lang w:eastAsia="en-GB"/>
        </w:rPr>
      </w:pPr>
    </w:p>
    <w:p w14:paraId="566D23F2" w14:textId="29086489" w:rsidR="001635CA" w:rsidRDefault="001635CA" w:rsidP="003D1FAF">
      <w:pPr>
        <w:widowControl w:val="0"/>
        <w:spacing w:line="360" w:lineRule="auto"/>
        <w:ind w:left="2268"/>
        <w:jc w:val="both"/>
        <w:rPr>
          <w:rFonts w:cs="Arial"/>
          <w:bCs w:val="0"/>
          <w:sz w:val="20"/>
          <w:szCs w:val="20"/>
          <w:lang w:eastAsia="en-GB"/>
        </w:rPr>
      </w:pPr>
    </w:p>
    <w:p w14:paraId="4205ACFE" w14:textId="1A77A07B" w:rsidR="001635CA" w:rsidRDefault="001635CA" w:rsidP="003D1FAF">
      <w:pPr>
        <w:widowControl w:val="0"/>
        <w:spacing w:line="360" w:lineRule="auto"/>
        <w:ind w:left="2268"/>
        <w:jc w:val="both"/>
        <w:rPr>
          <w:rFonts w:cs="Arial"/>
          <w:bCs w:val="0"/>
          <w:sz w:val="20"/>
          <w:szCs w:val="20"/>
          <w:lang w:eastAsia="en-GB"/>
        </w:rPr>
      </w:pPr>
    </w:p>
    <w:p w14:paraId="7A54575C" w14:textId="26AD17A8" w:rsidR="001635CA" w:rsidRDefault="001635CA" w:rsidP="003D1FAF">
      <w:pPr>
        <w:widowControl w:val="0"/>
        <w:spacing w:line="360" w:lineRule="auto"/>
        <w:ind w:left="2268"/>
        <w:jc w:val="both"/>
        <w:rPr>
          <w:rFonts w:cs="Arial"/>
          <w:bCs w:val="0"/>
          <w:sz w:val="20"/>
          <w:szCs w:val="20"/>
          <w:lang w:eastAsia="en-GB"/>
        </w:rPr>
      </w:pPr>
    </w:p>
    <w:p w14:paraId="5971507C" w14:textId="4B7EADFD" w:rsidR="001635CA" w:rsidRDefault="001635CA" w:rsidP="003D1FAF">
      <w:pPr>
        <w:widowControl w:val="0"/>
        <w:spacing w:line="360" w:lineRule="auto"/>
        <w:ind w:left="2268"/>
        <w:jc w:val="both"/>
        <w:rPr>
          <w:rFonts w:cs="Arial"/>
          <w:bCs w:val="0"/>
          <w:sz w:val="20"/>
          <w:szCs w:val="20"/>
          <w:lang w:eastAsia="en-GB"/>
        </w:rPr>
      </w:pPr>
    </w:p>
    <w:p w14:paraId="55E5A105" w14:textId="6DCBA9DA" w:rsidR="001635CA" w:rsidRDefault="001635CA" w:rsidP="003D1FAF">
      <w:pPr>
        <w:widowControl w:val="0"/>
        <w:spacing w:line="360" w:lineRule="auto"/>
        <w:ind w:left="2268"/>
        <w:jc w:val="both"/>
        <w:rPr>
          <w:rFonts w:cs="Arial"/>
          <w:bCs w:val="0"/>
          <w:sz w:val="20"/>
          <w:szCs w:val="20"/>
          <w:lang w:eastAsia="en-GB"/>
        </w:rPr>
      </w:pPr>
    </w:p>
    <w:p w14:paraId="3940126C" w14:textId="77777777" w:rsidR="001635CA" w:rsidRPr="009055A7" w:rsidRDefault="001635CA" w:rsidP="003D1FAF">
      <w:pPr>
        <w:widowControl w:val="0"/>
        <w:spacing w:line="360" w:lineRule="auto"/>
        <w:ind w:left="2268"/>
        <w:jc w:val="both"/>
        <w:rPr>
          <w:rFonts w:cs="Arial"/>
          <w:bCs w:val="0"/>
          <w:sz w:val="20"/>
          <w:szCs w:val="20"/>
          <w:lang w:eastAsia="en-GB"/>
        </w:rPr>
      </w:pPr>
    </w:p>
    <w:p w14:paraId="07FAF903" w14:textId="77777777" w:rsidR="003D1FAF" w:rsidRPr="002C0080" w:rsidRDefault="003D1FAF" w:rsidP="002C0080">
      <w:pPr>
        <w:pStyle w:val="Heading3"/>
        <w:rPr>
          <w:b/>
          <w:lang w:eastAsia="en-GB"/>
        </w:rPr>
      </w:pPr>
      <w:bookmarkStart w:id="293" w:name="_Toc440982536"/>
      <w:r w:rsidRPr="002C0080">
        <w:rPr>
          <w:b/>
          <w:lang w:eastAsia="en-GB"/>
        </w:rPr>
        <w:t>NHS Dispute Resolution Procedure Relating to Determinations of the Commissioner Assessment Panel</w:t>
      </w:r>
      <w:bookmarkEnd w:id="293"/>
    </w:p>
    <w:p w14:paraId="422F9BCA" w14:textId="629FA88C" w:rsidR="003D1FAF" w:rsidRPr="00CE0885" w:rsidRDefault="003D1FAF" w:rsidP="00647492">
      <w:pPr>
        <w:pStyle w:val="Heading4"/>
      </w:pPr>
      <w:bookmarkStart w:id="294" w:name="_Toc440982537"/>
      <w:r w:rsidRPr="00CE0885">
        <w:t xml:space="preserve">Where an assessment panel makes a determination that the Commissioner may assign new patients to contractors which have closed their lists of patients, any contractor specified in that determination may refer the matter to the Secretary of State to review the determination of the assessment panel. Please refer to </w:t>
      </w:r>
      <w:r w:rsidR="00965C81">
        <w:t>the chapter on</w:t>
      </w:r>
      <w:r w:rsidRPr="00CE0885">
        <w:t xml:space="preserve"> managing disputes.</w:t>
      </w:r>
      <w:bookmarkEnd w:id="294"/>
      <w:r w:rsidRPr="00CE0885">
        <w:t xml:space="preserve"> </w:t>
      </w:r>
    </w:p>
    <w:p w14:paraId="37787AF6" w14:textId="5CE78154" w:rsidR="003D1FAF" w:rsidRDefault="003D1FAF" w:rsidP="003D1FAF">
      <w:pPr>
        <w:widowControl w:val="0"/>
        <w:spacing w:line="360" w:lineRule="auto"/>
        <w:ind w:left="1414"/>
        <w:jc w:val="both"/>
        <w:rPr>
          <w:rFonts w:cs="Arial"/>
          <w:bCs w:val="0"/>
          <w:sz w:val="20"/>
          <w:szCs w:val="20"/>
          <w:lang w:eastAsia="en-GB"/>
        </w:rPr>
      </w:pPr>
    </w:p>
    <w:p w14:paraId="2411FC65" w14:textId="77777777" w:rsidR="003D1FAF" w:rsidRPr="002C0080" w:rsidRDefault="003D1FAF" w:rsidP="002C0080">
      <w:pPr>
        <w:pStyle w:val="Heading3"/>
        <w:rPr>
          <w:b/>
          <w:lang w:eastAsia="en-GB"/>
        </w:rPr>
      </w:pPr>
      <w:bookmarkStart w:id="295" w:name="_Toc440982538"/>
      <w:r w:rsidRPr="002C0080">
        <w:rPr>
          <w:b/>
          <w:lang w:eastAsia="en-GB"/>
        </w:rPr>
        <w:t>Removal by a Contractor of Patients Assigned to the Practice</w:t>
      </w:r>
      <w:bookmarkEnd w:id="295"/>
    </w:p>
    <w:p w14:paraId="610C7E0A" w14:textId="77777777" w:rsidR="003D1FAF" w:rsidRDefault="003D1FAF" w:rsidP="00647492">
      <w:pPr>
        <w:pStyle w:val="Heading4"/>
      </w:pPr>
      <w:bookmarkStart w:id="296" w:name="_Toc440982539"/>
      <w:r w:rsidRPr="00CE0885">
        <w:t>Historically, practices have often applied an unwritten agreement to the retention period of assigned patients. However, there are no formal arrangements in respect of timescales for patient retention in these circumstances. While the significant majority of practices continue to manage assigned patients in the same manner as an ordinarily registered patient, others may commence a formal removal process immediately following assignment. The Commissioner has a responsibility to ensure that all requests to remove a patient at the request of the contractor must be managed in line with the relevant Regulations/Directions.</w:t>
      </w:r>
      <w:bookmarkEnd w:id="296"/>
      <w:r w:rsidRPr="00CE0885">
        <w:t xml:space="preserve"> </w:t>
      </w:r>
      <w:bookmarkEnd w:id="239"/>
    </w:p>
    <w:p w14:paraId="6EAB9735" w14:textId="77777777" w:rsidR="002C0080" w:rsidRPr="00CE0885" w:rsidRDefault="002C0080" w:rsidP="003331F2">
      <w:pPr>
        <w:pStyle w:val="BodyText"/>
      </w:pPr>
    </w:p>
    <w:p w14:paraId="374C2D2F" w14:textId="77777777" w:rsidR="003D1FAF" w:rsidRDefault="003D1FAF" w:rsidP="003D1FAF">
      <w:pPr>
        <w:widowControl w:val="0"/>
        <w:autoSpaceDE w:val="0"/>
        <w:autoSpaceDN w:val="0"/>
        <w:adjustRightInd w:val="0"/>
        <w:spacing w:line="360" w:lineRule="auto"/>
        <w:ind w:right="-23"/>
        <w:rPr>
          <w:rFonts w:cs="Arial"/>
          <w:b/>
          <w:bCs w:val="0"/>
          <w:szCs w:val="24"/>
          <w:lang w:eastAsia="en-GB"/>
        </w:rPr>
      </w:pPr>
      <w:bookmarkStart w:id="297" w:name="_Toc344897884"/>
      <w:bookmarkStart w:id="298" w:name="_Toc355174340"/>
      <w:r w:rsidRPr="00CE0885">
        <w:rPr>
          <w:rFonts w:cs="Arial"/>
          <w:b/>
          <w:bCs w:val="0"/>
          <w:szCs w:val="24"/>
          <w:lang w:eastAsia="en-GB"/>
        </w:rPr>
        <w:t>Part A Annex 1 Example Assignment Notification</w:t>
      </w:r>
      <w:bookmarkEnd w:id="297"/>
      <w:bookmarkEnd w:id="298"/>
    </w:p>
    <w:bookmarkStart w:id="299" w:name="_1557240950"/>
    <w:bookmarkEnd w:id="299"/>
    <w:p w14:paraId="00D6D5A6" w14:textId="7D429655" w:rsidR="00220E3F" w:rsidRPr="002B15FF" w:rsidRDefault="002306F3" w:rsidP="006C3DF5">
      <w:pPr>
        <w:pStyle w:val="ListParagraph"/>
        <w:numPr>
          <w:ilvl w:val="0"/>
          <w:numId w:val="117"/>
        </w:numPr>
      </w:pPr>
      <w:r>
        <w:fldChar w:fldCharType="begin"/>
      </w:r>
      <w:r>
        <w:instrText xml:space="preserve"> HYPERLINK "https://www.england.nhs.uk/publication/primary-medical-care-policy-and-guidance-manual-managing-patient-assignments-annexes/" </w:instrText>
      </w:r>
      <w:r>
        <w:fldChar w:fldCharType="separate"/>
      </w:r>
      <w:r w:rsidR="002B15FF" w:rsidRPr="00966077">
        <w:rPr>
          <w:rStyle w:val="Hyperlink"/>
        </w:rPr>
        <w:t>Example Assignment Notification</w:t>
      </w:r>
      <w:r>
        <w:rPr>
          <w:rStyle w:val="Hyperlink"/>
        </w:rPr>
        <w:fldChar w:fldCharType="end"/>
      </w:r>
    </w:p>
    <w:p w14:paraId="006E3EF7" w14:textId="1A59F9C9" w:rsidR="003D1FAF" w:rsidRPr="00CE0885" w:rsidRDefault="003D1FAF" w:rsidP="003D1FAF">
      <w:pPr>
        <w:widowControl w:val="0"/>
        <w:spacing w:line="360" w:lineRule="auto"/>
        <w:jc w:val="both"/>
        <w:rPr>
          <w:rFonts w:cs="Arial"/>
          <w:bCs w:val="0"/>
          <w:szCs w:val="24"/>
        </w:rPr>
      </w:pPr>
      <w:bookmarkStart w:id="300" w:name="_Toc344897885"/>
    </w:p>
    <w:p w14:paraId="207249DF" w14:textId="4587A2BA" w:rsidR="003D1FAF" w:rsidRDefault="003D1FAF" w:rsidP="003D1FAF">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 xml:space="preserve">Part A </w:t>
      </w:r>
      <w:bookmarkStart w:id="301" w:name="_Toc355174341"/>
      <w:r w:rsidRPr="00CE0885">
        <w:rPr>
          <w:rFonts w:cs="Arial"/>
          <w:b/>
          <w:bCs w:val="0"/>
          <w:szCs w:val="24"/>
          <w:lang w:eastAsia="en-GB"/>
        </w:rPr>
        <w:t>Annex 2 Example patient letter confirming registratio</w:t>
      </w:r>
      <w:bookmarkEnd w:id="300"/>
      <w:bookmarkEnd w:id="301"/>
      <w:r w:rsidR="002B15FF">
        <w:rPr>
          <w:rFonts w:cs="Arial"/>
          <w:b/>
          <w:bCs w:val="0"/>
          <w:szCs w:val="24"/>
          <w:lang w:eastAsia="en-GB"/>
        </w:rPr>
        <w:t>n</w:t>
      </w:r>
    </w:p>
    <w:bookmarkStart w:id="302" w:name="_1557241038"/>
    <w:bookmarkEnd w:id="302"/>
    <w:p w14:paraId="16BA7466" w14:textId="2A310D65" w:rsidR="002B15FF" w:rsidRPr="002B15FF" w:rsidRDefault="002306F3" w:rsidP="006C3DF5">
      <w:pPr>
        <w:pStyle w:val="ListParagraph"/>
        <w:numPr>
          <w:ilvl w:val="0"/>
          <w:numId w:val="117"/>
        </w:numPr>
      </w:pPr>
      <w:r>
        <w:fldChar w:fldCharType="begin"/>
      </w:r>
      <w:r>
        <w:instrText xml:space="preserve"> HYPERLINK "https://www.england.nhs.uk/publication/primary-medical-care-policy-and-guidance-manual-managing-patient-assignments-annexes/" </w:instrText>
      </w:r>
      <w:r>
        <w:fldChar w:fldCharType="separate"/>
      </w:r>
      <w:r w:rsidR="002B15FF" w:rsidRPr="00966077">
        <w:rPr>
          <w:rStyle w:val="Hyperlink"/>
        </w:rPr>
        <w:t>Example patient letter confirming registration</w:t>
      </w:r>
      <w:r>
        <w:rPr>
          <w:rStyle w:val="Hyperlink"/>
        </w:rPr>
        <w:fldChar w:fldCharType="end"/>
      </w:r>
    </w:p>
    <w:p w14:paraId="5B88B612" w14:textId="08D05908" w:rsidR="003D1FAF" w:rsidRPr="00CE0885" w:rsidRDefault="003D1FAF" w:rsidP="003D1FAF">
      <w:pPr>
        <w:widowControl w:val="0"/>
        <w:spacing w:line="360" w:lineRule="auto"/>
        <w:jc w:val="both"/>
        <w:rPr>
          <w:rFonts w:cs="Arial"/>
          <w:bCs w:val="0"/>
          <w:szCs w:val="24"/>
        </w:rPr>
      </w:pPr>
    </w:p>
    <w:p w14:paraId="56030403" w14:textId="5DBD75F9" w:rsidR="003D1FAF" w:rsidRPr="00CE0885" w:rsidRDefault="003D1FAF" w:rsidP="00DF3DF4">
      <w:pPr>
        <w:pStyle w:val="Heading2"/>
        <w:rPr>
          <w:lang w:eastAsia="en-GB"/>
        </w:rPr>
      </w:pPr>
      <w:r w:rsidRPr="00CE0885">
        <w:rPr>
          <w:rFonts w:cs="Arial"/>
          <w:szCs w:val="24"/>
          <w:lang w:eastAsia="en-GB"/>
        </w:rPr>
        <w:br w:type="page"/>
      </w:r>
      <w:bookmarkStart w:id="303" w:name="_Toc95743403"/>
      <w:r w:rsidRPr="00CE0885">
        <w:rPr>
          <w:lang w:eastAsia="en-GB"/>
        </w:rPr>
        <w:t xml:space="preserve">Part B1: </w:t>
      </w:r>
      <w:bookmarkStart w:id="304" w:name="_Hlk4571963"/>
      <w:r w:rsidRPr="00CE0885">
        <w:rPr>
          <w:lang w:eastAsia="en-GB"/>
        </w:rPr>
        <w:t xml:space="preserve">General List Maintenance </w:t>
      </w:r>
      <w:bookmarkEnd w:id="304"/>
      <w:r w:rsidRPr="00CE0885">
        <w:rPr>
          <w:lang w:eastAsia="en-GB"/>
        </w:rPr>
        <w:t>for Primary Medical Services</w:t>
      </w:r>
      <w:bookmarkEnd w:id="303"/>
    </w:p>
    <w:p w14:paraId="6BD1E0F8" w14:textId="381A44C0" w:rsidR="006D10D1" w:rsidRPr="00A553BA" w:rsidRDefault="002C0080" w:rsidP="003F1BA7">
      <w:pPr>
        <w:pStyle w:val="Heading3"/>
      </w:pPr>
      <w:bookmarkStart w:id="305" w:name="_Toc401056072"/>
      <w:bookmarkStart w:id="306" w:name="_Toc440982540"/>
      <w:r w:rsidRPr="00A553BA">
        <w:t>Scope</w:t>
      </w:r>
      <w:bookmarkStart w:id="307" w:name="_Toc440982541"/>
      <w:bookmarkEnd w:id="305"/>
      <w:bookmarkEnd w:id="306"/>
    </w:p>
    <w:p w14:paraId="2A408E90" w14:textId="62CC480C" w:rsidR="008264D7" w:rsidRPr="003F1BA7" w:rsidRDefault="002C0080" w:rsidP="00A553BA">
      <w:pPr>
        <w:pStyle w:val="Heading3"/>
      </w:pPr>
      <w:r w:rsidRPr="003F1BA7">
        <w:t>This Part B sets out the processes for the Commissioner to ensure list maintenance is appropriately managed. It details the list maintenance and data quality measures to be undertaken and suggests additional measures to be taken. Where references are made to actions to be followed by the Commissioner, these actions should, where possible, be done together with the available support services or payment authority.</w:t>
      </w:r>
      <w:bookmarkStart w:id="308" w:name="_Toc440982542"/>
      <w:bookmarkEnd w:id="307"/>
    </w:p>
    <w:p w14:paraId="79946A8A" w14:textId="301CE91C" w:rsidR="008264D7" w:rsidRPr="003F1BA7" w:rsidRDefault="002C0080" w:rsidP="00A553BA">
      <w:pPr>
        <w:pStyle w:val="Heading3"/>
      </w:pPr>
      <w:r w:rsidRPr="003F1BA7">
        <w:t>Medical service contracts are predominantly funded on a capitation basis</w:t>
      </w:r>
      <w:r w:rsidR="00107009">
        <w:t>.</w:t>
      </w:r>
      <w:r w:rsidRPr="003F1BA7">
        <w:t xml:space="preserve"> It follows, therefore, that if a patient list is overstated, the contractor will receive more funding than it is entitled to and this presents a significant financial burden on NHS resources.</w:t>
      </w:r>
      <w:bookmarkEnd w:id="308"/>
      <w:r w:rsidRPr="003F1BA7">
        <w:t xml:space="preserve">  </w:t>
      </w:r>
      <w:bookmarkStart w:id="309" w:name="_Toc440982543"/>
    </w:p>
    <w:p w14:paraId="6970276A" w14:textId="14B9634B" w:rsidR="008264D7" w:rsidRDefault="002C0080" w:rsidP="00A553BA">
      <w:pPr>
        <w:pStyle w:val="Heading3"/>
        <w:rPr>
          <w:rFonts w:cs="Arial"/>
          <w:szCs w:val="24"/>
        </w:rPr>
      </w:pPr>
      <w:r w:rsidRPr="008264D7">
        <w:rPr>
          <w:rFonts w:cs="Arial"/>
          <w:szCs w:val="24"/>
        </w:rPr>
        <w:t>While in most cases, contractors endeavour to maintain their registered lists in a current and accurate state, patients often fail to notify their registered practice when leaving the area and/or country resulting in potential duplicate registrations, ghost and gone away patients remaining registered on the national patient registration systems.</w:t>
      </w:r>
      <w:bookmarkStart w:id="310" w:name="_Toc440982544"/>
      <w:bookmarkEnd w:id="309"/>
    </w:p>
    <w:p w14:paraId="0539733A" w14:textId="6864BF26" w:rsidR="008264D7" w:rsidRDefault="002C0080" w:rsidP="00A553BA">
      <w:pPr>
        <w:pStyle w:val="Heading3"/>
        <w:rPr>
          <w:rFonts w:cs="Arial"/>
          <w:szCs w:val="24"/>
        </w:rPr>
      </w:pPr>
      <w:r w:rsidRPr="008264D7">
        <w:rPr>
          <w:rFonts w:cs="Arial"/>
          <w:szCs w:val="24"/>
        </w:rPr>
        <w:t xml:space="preserve">Some degree of list inflation is inevitable, but manageable if kept within reasonable bounds. Current trends of inflation are excessive and in some </w:t>
      </w:r>
      <w:r w:rsidR="00FE7B61" w:rsidRPr="008264D7">
        <w:rPr>
          <w:rFonts w:cs="Arial"/>
          <w:szCs w:val="24"/>
        </w:rPr>
        <w:t>regions,</w:t>
      </w:r>
      <w:r w:rsidRPr="008264D7">
        <w:rPr>
          <w:rFonts w:cs="Arial"/>
          <w:szCs w:val="24"/>
        </w:rPr>
        <w:t xml:space="preserve"> continue to rise. The Commissioner and PCSE are expected to engage in regular proactive list maintenance with general practices.</w:t>
      </w:r>
      <w:bookmarkEnd w:id="310"/>
      <w:r w:rsidRPr="008264D7">
        <w:rPr>
          <w:rFonts w:cs="Arial"/>
          <w:szCs w:val="24"/>
        </w:rPr>
        <w:t xml:space="preserve"> </w:t>
      </w:r>
      <w:bookmarkStart w:id="311" w:name="_Toc440982545"/>
    </w:p>
    <w:p w14:paraId="4456D84C" w14:textId="0E96D84E" w:rsidR="008264D7" w:rsidRDefault="002C0080" w:rsidP="00A553BA">
      <w:pPr>
        <w:pStyle w:val="Heading3"/>
        <w:rPr>
          <w:rFonts w:cs="Arial"/>
          <w:szCs w:val="24"/>
        </w:rPr>
      </w:pPr>
      <w:r w:rsidRPr="008264D7">
        <w:rPr>
          <w:rFonts w:cs="Arial"/>
          <w:szCs w:val="24"/>
        </w:rPr>
        <w:t>Ongoing and effective maintenance of lists is essential to ensure they are accurate.  However, even with the most effective list maintenance procedures in place, a practice list can hold 3-8 percent of inaccuracy due to patient turnover alone</w:t>
      </w:r>
      <w:bookmarkStart w:id="312" w:name="_Toc440982546"/>
      <w:bookmarkEnd w:id="311"/>
      <w:r w:rsidRPr="003E284C">
        <w:rPr>
          <w:rFonts w:cs="Arial"/>
          <w:szCs w:val="24"/>
        </w:rPr>
        <w:t>.</w:t>
      </w:r>
    </w:p>
    <w:p w14:paraId="15436AC8" w14:textId="55909BB5" w:rsidR="008264D7" w:rsidRDefault="002C0080" w:rsidP="00A553BA">
      <w:pPr>
        <w:pStyle w:val="Heading3"/>
        <w:rPr>
          <w:rFonts w:cs="Arial"/>
          <w:szCs w:val="24"/>
        </w:rPr>
      </w:pPr>
      <w:r w:rsidRPr="008264D7">
        <w:rPr>
          <w:rFonts w:cs="Arial"/>
          <w:szCs w:val="24"/>
        </w:rPr>
        <w:t>Practices with robust systems in place to verify and record patient details at the point of registration, as well as regular systematic checking of details when patients contact the practice, have more accurate lists.</w:t>
      </w:r>
      <w:bookmarkStart w:id="313" w:name="_Toc440982547"/>
      <w:bookmarkEnd w:id="312"/>
    </w:p>
    <w:p w14:paraId="49552381" w14:textId="62D4B57D" w:rsidR="002C0080" w:rsidRPr="008264D7" w:rsidRDefault="002C0080" w:rsidP="00A553BA">
      <w:pPr>
        <w:pStyle w:val="Heading3"/>
        <w:rPr>
          <w:rFonts w:cs="Arial"/>
          <w:szCs w:val="24"/>
        </w:rPr>
      </w:pPr>
      <w:r w:rsidRPr="008264D7">
        <w:rPr>
          <w:rFonts w:cs="Arial"/>
          <w:szCs w:val="24"/>
        </w:rPr>
        <w:t>The accuracy of a practice’s registration list is important for:</w:t>
      </w:r>
      <w:bookmarkEnd w:id="313"/>
    </w:p>
    <w:p w14:paraId="623FE2DA" w14:textId="77777777" w:rsidR="002C0080" w:rsidRPr="00595B03" w:rsidRDefault="002C0080" w:rsidP="006C3DF5">
      <w:pPr>
        <w:pStyle w:val="ListParagraph"/>
        <w:numPr>
          <w:ilvl w:val="0"/>
          <w:numId w:val="117"/>
        </w:numPr>
        <w:spacing w:line="360" w:lineRule="auto"/>
        <w:ind w:left="714" w:hanging="357"/>
      </w:pPr>
      <w:bookmarkStart w:id="314" w:name="_Toc440982548"/>
      <w:r w:rsidRPr="00595B03">
        <w:t>the efficacy of ill-health prevention/screening programmes and total population capture;</w:t>
      </w:r>
      <w:bookmarkEnd w:id="314"/>
    </w:p>
    <w:p w14:paraId="47EEC0FA" w14:textId="77777777" w:rsidR="002C0080" w:rsidRPr="00595B03" w:rsidRDefault="002C0080" w:rsidP="006C3DF5">
      <w:pPr>
        <w:pStyle w:val="ListParagraph"/>
        <w:numPr>
          <w:ilvl w:val="0"/>
          <w:numId w:val="117"/>
        </w:numPr>
        <w:spacing w:line="360" w:lineRule="auto"/>
        <w:ind w:left="714" w:hanging="357"/>
      </w:pPr>
      <w:bookmarkStart w:id="315" w:name="_Toc440982549"/>
      <w:r w:rsidRPr="00595B03">
        <w:t>the assessment of performance and clinical outcomes which are often compared on a ‘per patients’ denominator; and</w:t>
      </w:r>
      <w:bookmarkEnd w:id="315"/>
    </w:p>
    <w:p w14:paraId="2D6E135C" w14:textId="77777777" w:rsidR="002C0080" w:rsidRPr="00595B03" w:rsidRDefault="002C0080" w:rsidP="006C3DF5">
      <w:pPr>
        <w:pStyle w:val="ListParagraph"/>
        <w:numPr>
          <w:ilvl w:val="0"/>
          <w:numId w:val="117"/>
        </w:numPr>
        <w:spacing w:line="360" w:lineRule="auto"/>
        <w:ind w:left="714" w:hanging="357"/>
      </w:pPr>
      <w:bookmarkStart w:id="316" w:name="_Toc440982550"/>
      <w:r w:rsidRPr="00595B03">
        <w:t>the appropriate use of public funds, as allocations are made on a £ per patient basis.</w:t>
      </w:r>
      <w:bookmarkEnd w:id="316"/>
    </w:p>
    <w:p w14:paraId="6665B27E" w14:textId="4C1BD13B" w:rsidR="00AC1DBA" w:rsidRPr="00AC1DBA" w:rsidRDefault="00AC1DBA" w:rsidP="00AC1DBA"/>
    <w:p w14:paraId="2666E16F" w14:textId="27B26165" w:rsidR="008264D7" w:rsidRPr="00A553BA" w:rsidRDefault="002C0080" w:rsidP="00EC7864">
      <w:pPr>
        <w:pStyle w:val="Heading3"/>
      </w:pPr>
      <w:bookmarkStart w:id="317" w:name="_Toc401056079"/>
      <w:bookmarkStart w:id="318" w:name="_Toc440982551"/>
      <w:r w:rsidRPr="008264D7">
        <w:rPr>
          <w:b/>
        </w:rPr>
        <w:t>Operating Principles</w:t>
      </w:r>
      <w:bookmarkStart w:id="319" w:name="_Toc440982552"/>
      <w:bookmarkEnd w:id="317"/>
      <w:bookmarkEnd w:id="318"/>
    </w:p>
    <w:p w14:paraId="18E48B72" w14:textId="79CA9A23" w:rsidR="008264D7" w:rsidRPr="00FA7B89" w:rsidRDefault="002C0080" w:rsidP="00A553BA">
      <w:pPr>
        <w:pStyle w:val="Heading3"/>
        <w:rPr>
          <w:highlight w:val="yellow"/>
        </w:rPr>
      </w:pPr>
      <w:r w:rsidRPr="00F9436A">
        <w:t xml:space="preserve">List maintenance processes should be designed with the proactive engagement of the </w:t>
      </w:r>
      <w:r>
        <w:t>Commissioner</w:t>
      </w:r>
      <w:r w:rsidRPr="00F9436A">
        <w:t xml:space="preserve">, </w:t>
      </w:r>
      <w:r>
        <w:t xml:space="preserve">patients (or their representatives), </w:t>
      </w:r>
      <w:r w:rsidR="00FB0DB3">
        <w:t>PCS</w:t>
      </w:r>
      <w:r w:rsidR="00030C37">
        <w:t>E</w:t>
      </w:r>
      <w:r w:rsidRPr="00F9436A">
        <w:t xml:space="preserve">, and LMCs on behalf of GPs and practice managers. This should be through </w:t>
      </w:r>
      <w:r w:rsidRPr="008264D7">
        <w:rPr>
          <w:rFonts w:cs="Arial"/>
        </w:rPr>
        <w:t>a continuous rolling programme, for example: working through the practice registers alphabetically over a</w:t>
      </w:r>
      <w:r w:rsidRPr="00EE37F9">
        <w:rPr>
          <w:rFonts w:cs="Arial"/>
        </w:rPr>
        <w:t xml:space="preserve"> one to three-year period, or by targeting specific patient cohorts, for example, choosing a cohort that supports a screening programme e.g. childhood immunisations, flu or cytology.</w:t>
      </w:r>
      <w:bookmarkStart w:id="320" w:name="_Toc440982553"/>
      <w:bookmarkEnd w:id="319"/>
      <w:r w:rsidR="0038284C">
        <w:rPr>
          <w:rFonts w:cs="Arial"/>
        </w:rPr>
        <w:t xml:space="preserve"> </w:t>
      </w:r>
    </w:p>
    <w:p w14:paraId="5CC60542" w14:textId="56DAAE07" w:rsidR="008264D7" w:rsidRDefault="002C0080" w:rsidP="00A553BA">
      <w:pPr>
        <w:pStyle w:val="Heading3"/>
      </w:pPr>
      <w:r w:rsidRPr="00F9436A">
        <w:t xml:space="preserve">A "one-hit" approach in which a single practice is targeted should be avoided except in exceptional circumstances. This might include due diligence when transferring a full list to a new contract, for example. In all cases this should be carried out in </w:t>
      </w:r>
      <w:r w:rsidR="00A23BD5">
        <w:t>discussion</w:t>
      </w:r>
      <w:r w:rsidR="00A23BD5" w:rsidRPr="00F9436A">
        <w:t xml:space="preserve"> </w:t>
      </w:r>
      <w:r w:rsidRPr="00F9436A">
        <w:t>with the LMC.</w:t>
      </w:r>
      <w:bookmarkStart w:id="321" w:name="_Toc440982554"/>
      <w:bookmarkEnd w:id="320"/>
    </w:p>
    <w:p w14:paraId="0D5F1B71" w14:textId="43B3F78D" w:rsidR="008264D7" w:rsidRDefault="002C0080" w:rsidP="00A553BA">
      <w:pPr>
        <w:pStyle w:val="Heading3"/>
      </w:pPr>
      <w:r w:rsidRPr="00F9436A">
        <w:t>Contractors have a crucial role to play in ensuring their staff access relevant training, are familiar with the FP69 process and are proactive partners in the list maintenance process</w:t>
      </w:r>
      <w:r w:rsidR="00FB0DB3">
        <w:t xml:space="preserve">, responding to requests from </w:t>
      </w:r>
      <w:r w:rsidR="005B7B0F">
        <w:t>PCSE</w:t>
      </w:r>
      <w:r w:rsidRPr="00F9436A">
        <w:t>.</w:t>
      </w:r>
      <w:bookmarkStart w:id="322" w:name="_Toc440982555"/>
      <w:bookmarkEnd w:id="321"/>
    </w:p>
    <w:p w14:paraId="24CB54A7" w14:textId="750D3D64" w:rsidR="008264D7" w:rsidRDefault="002C0080" w:rsidP="00A553BA">
      <w:pPr>
        <w:pStyle w:val="Heading3"/>
      </w:pPr>
      <w:r w:rsidRPr="00F9436A">
        <w:t>When responding to an active FP69 (see Annex 1 and Annex 2) a practice declaration will be sufficient. The practice is responsible for ensuring all declarations made are accurate and should be made aware that these can be challenged where any inconsistencies are highlighted through a cluster-wide audit.</w:t>
      </w:r>
      <w:bookmarkStart w:id="323" w:name="_Toc440982556"/>
      <w:bookmarkEnd w:id="322"/>
    </w:p>
    <w:p w14:paraId="66EDAEEB" w14:textId="17F917F9" w:rsidR="008264D7" w:rsidRDefault="002C0080" w:rsidP="00A553BA">
      <w:pPr>
        <w:pStyle w:val="Heading3"/>
      </w:pPr>
      <w:r w:rsidRPr="00F9436A">
        <w:t>A list maintenance exercise is not designed to address performance failures. Where there are reasonable grounds for believing that list inflation is particularly high at an individual practice then concerns about this should be handled separately and in accordance with the performance management directions.</w:t>
      </w:r>
      <w:bookmarkStart w:id="324" w:name="_Toc440982557"/>
      <w:bookmarkEnd w:id="323"/>
    </w:p>
    <w:p w14:paraId="6D862424" w14:textId="6A2CA341" w:rsidR="002C0080" w:rsidRDefault="002C0080" w:rsidP="00A553BA">
      <w:pPr>
        <w:pStyle w:val="Heading3"/>
      </w:pPr>
      <w:r w:rsidRPr="00F9436A">
        <w:t xml:space="preserve">The </w:t>
      </w:r>
      <w:r>
        <w:t>Commissioner</w:t>
      </w:r>
      <w:r w:rsidRPr="00F9436A">
        <w:t xml:space="preserve"> should ensure that where the </w:t>
      </w:r>
      <w:r w:rsidR="008D35BC">
        <w:t>PCS</w:t>
      </w:r>
      <w:r w:rsidR="005B7B0F">
        <w:t>E</w:t>
      </w:r>
      <w:r w:rsidRPr="00F9436A">
        <w:t xml:space="preserve"> disputes the practice declaration, the practice is told why and is advised of any list actions that have been taken.</w:t>
      </w:r>
      <w:bookmarkEnd w:id="324"/>
    </w:p>
    <w:p w14:paraId="170B97D6" w14:textId="02E886DA" w:rsidR="006B06B7" w:rsidRDefault="006B06B7" w:rsidP="006B06B7"/>
    <w:p w14:paraId="2D8A136B" w14:textId="41D08581" w:rsidR="001635CA" w:rsidRDefault="001635CA" w:rsidP="006B06B7"/>
    <w:p w14:paraId="779E8EC3" w14:textId="18D7B412" w:rsidR="001635CA" w:rsidRDefault="001635CA" w:rsidP="006B06B7"/>
    <w:p w14:paraId="2623D94D" w14:textId="77777777" w:rsidR="001635CA" w:rsidRPr="006B06B7" w:rsidRDefault="001635CA" w:rsidP="006B06B7"/>
    <w:p w14:paraId="4E25595C" w14:textId="77777777" w:rsidR="002C0080" w:rsidRPr="00563D47" w:rsidRDefault="002C0080" w:rsidP="00A553BA">
      <w:pPr>
        <w:pStyle w:val="Body2"/>
        <w:spacing w:before="0" w:after="0"/>
      </w:pPr>
    </w:p>
    <w:p w14:paraId="09E20800" w14:textId="32CCBC3E" w:rsidR="002C0080" w:rsidRDefault="002C0080" w:rsidP="00DF3DF4">
      <w:pPr>
        <w:pStyle w:val="Heading3"/>
        <w:rPr>
          <w:b/>
        </w:rPr>
      </w:pPr>
      <w:bookmarkStart w:id="325" w:name="_Toc401056080"/>
      <w:bookmarkStart w:id="326" w:name="_Toc440982558"/>
      <w:r w:rsidRPr="00DF3DF4">
        <w:rPr>
          <w:b/>
        </w:rPr>
        <w:t>Minimising Inconvenience to Patients</w:t>
      </w:r>
      <w:bookmarkEnd w:id="325"/>
      <w:bookmarkEnd w:id="326"/>
    </w:p>
    <w:p w14:paraId="735E65A5" w14:textId="77777777" w:rsidR="006B06B7" w:rsidRPr="006B06B7" w:rsidRDefault="006B06B7" w:rsidP="006B06B7"/>
    <w:p w14:paraId="3F5998DB" w14:textId="66F6EC1C" w:rsidR="002C0080" w:rsidRPr="00F9436A" w:rsidRDefault="002C0080" w:rsidP="00D53D61">
      <w:pPr>
        <w:pStyle w:val="Heading4"/>
        <w:spacing w:before="0" w:line="305" w:lineRule="auto"/>
        <w:ind w:left="862" w:hanging="862"/>
      </w:pPr>
      <w:bookmarkStart w:id="327" w:name="_Toc440982559"/>
      <w:r w:rsidRPr="00F9436A">
        <w:t xml:space="preserve">Advance screening of the proposed cohort by practices means that fewer patients will be inconvenienced by having to respond to a letter. It will also reduce </w:t>
      </w:r>
      <w:r w:rsidR="00C62F70">
        <w:t>a</w:t>
      </w:r>
      <w:r w:rsidR="008D35BC" w:rsidRPr="008D35BC">
        <w:t>dministrative costs and wasted resource</w:t>
      </w:r>
      <w:r w:rsidR="008D35BC">
        <w:t xml:space="preserve"> </w:t>
      </w:r>
      <w:r w:rsidRPr="00F9436A">
        <w:t>associated with the exercise.</w:t>
      </w:r>
      <w:bookmarkEnd w:id="327"/>
    </w:p>
    <w:p w14:paraId="6B49CD84" w14:textId="77777777" w:rsidR="002C0080" w:rsidRPr="00F9436A" w:rsidRDefault="002C0080" w:rsidP="00DF3DF4">
      <w:pPr>
        <w:pStyle w:val="Heading4"/>
      </w:pPr>
      <w:bookmarkStart w:id="328" w:name="_Toc440982560"/>
      <w:r w:rsidRPr="00F9436A">
        <w:t xml:space="preserve">The </w:t>
      </w:r>
      <w:r>
        <w:t>Commissioner</w:t>
      </w:r>
      <w:r w:rsidRPr="00F9436A">
        <w:t xml:space="preserve"> should maximise awareness in the patient population of list maintenance procedures by ensuring that an effective patient communication strategy is in place. The strategy should be tailored to local needs and build upon examples of what has worked well. For example:</w:t>
      </w:r>
      <w:bookmarkEnd w:id="328"/>
    </w:p>
    <w:p w14:paraId="095E377E" w14:textId="77777777" w:rsidR="002C0080" w:rsidRPr="00595B03" w:rsidRDefault="002C0080" w:rsidP="006C3DF5">
      <w:pPr>
        <w:pStyle w:val="ListParagraph"/>
        <w:numPr>
          <w:ilvl w:val="0"/>
          <w:numId w:val="167"/>
        </w:numPr>
        <w:spacing w:line="360" w:lineRule="auto"/>
        <w:ind w:left="714" w:hanging="357"/>
      </w:pPr>
      <w:bookmarkStart w:id="329" w:name="_Toc440982561"/>
      <w:r w:rsidRPr="00595B03">
        <w:t>Letters to be addressed to named patients and not the occupier (Annex 3).</w:t>
      </w:r>
      <w:bookmarkEnd w:id="329"/>
      <w:r w:rsidRPr="00595B03">
        <w:t xml:space="preserve"> </w:t>
      </w:r>
    </w:p>
    <w:p w14:paraId="7E839E08" w14:textId="77777777" w:rsidR="002C0080" w:rsidRPr="00595B03" w:rsidRDefault="002C0080" w:rsidP="006C3DF5">
      <w:pPr>
        <w:pStyle w:val="ListParagraph"/>
        <w:numPr>
          <w:ilvl w:val="0"/>
          <w:numId w:val="167"/>
        </w:numPr>
        <w:spacing w:line="360" w:lineRule="auto"/>
        <w:ind w:left="714" w:hanging="357"/>
      </w:pPr>
      <w:bookmarkStart w:id="330" w:name="_Toc440982562"/>
      <w:r w:rsidRPr="00595B03">
        <w:t>Branded NHS envelopes with a return address are more likely to be opened as they are clearly directly in relation to the patients’ health (Annex 4).</w:t>
      </w:r>
      <w:bookmarkEnd w:id="330"/>
    </w:p>
    <w:p w14:paraId="1A52A121" w14:textId="77777777" w:rsidR="002C0080" w:rsidRPr="00595B03" w:rsidRDefault="002C0080" w:rsidP="006C3DF5">
      <w:pPr>
        <w:pStyle w:val="ListParagraph"/>
        <w:numPr>
          <w:ilvl w:val="0"/>
          <w:numId w:val="167"/>
        </w:numPr>
        <w:spacing w:line="360" w:lineRule="auto"/>
        <w:ind w:left="714" w:hanging="357"/>
      </w:pPr>
      <w:bookmarkStart w:id="331" w:name="_Toc440982563"/>
      <w:r w:rsidRPr="00595B03">
        <w:t>Contractor teams alerting patients to registration checks well in advance – as part of the registration conversation, through display notices in a practice.</w:t>
      </w:r>
      <w:bookmarkEnd w:id="331"/>
    </w:p>
    <w:p w14:paraId="6EFC2B27" w14:textId="77777777" w:rsidR="002C0080" w:rsidRPr="00595B03" w:rsidRDefault="002C0080" w:rsidP="006C3DF5">
      <w:pPr>
        <w:pStyle w:val="ListParagraph"/>
        <w:numPr>
          <w:ilvl w:val="0"/>
          <w:numId w:val="167"/>
        </w:numPr>
        <w:spacing w:line="360" w:lineRule="auto"/>
        <w:ind w:left="714" w:hanging="357"/>
      </w:pPr>
      <w:bookmarkStart w:id="332" w:name="_Toc440982564"/>
      <w:r w:rsidRPr="00595B03">
        <w:t>The Commissioner and contractors making the process clear to patients through any letters and posters, for example – what the letter looks like, what to do when you get one, the steps in place to minimise deregistration errors, what to do if there is a de-registration error, what to do if a letter arrives for someone not living at that address.</w:t>
      </w:r>
      <w:bookmarkEnd w:id="332"/>
    </w:p>
    <w:p w14:paraId="5B1071E6" w14:textId="77777777" w:rsidR="002C0080" w:rsidRPr="00595B03" w:rsidRDefault="002C0080" w:rsidP="006C3DF5">
      <w:pPr>
        <w:pStyle w:val="ListParagraph"/>
        <w:numPr>
          <w:ilvl w:val="0"/>
          <w:numId w:val="167"/>
        </w:numPr>
        <w:spacing w:line="360" w:lineRule="auto"/>
        <w:ind w:left="714" w:hanging="357"/>
      </w:pPr>
      <w:bookmarkStart w:id="333" w:name="_Toc440982565"/>
      <w:r w:rsidRPr="00595B03">
        <w:t xml:space="preserve">Communications must take into account the Accessible Information Standard which requires organisations to ensure that disabled patients receive information in formats that they can understand. For more information on the standard and guidance on its implementation, see the NHS England website: </w:t>
      </w:r>
      <w:hyperlink r:id="rId65" w:history="1">
        <w:r w:rsidRPr="00A553BA">
          <w:rPr>
            <w:rStyle w:val="Hyperlink"/>
          </w:rPr>
          <w:t>https://www.england.nhs.uk/ourwork/patients/accessibleinfo-2/</w:t>
        </w:r>
      </w:hyperlink>
      <w:bookmarkEnd w:id="333"/>
      <w:r w:rsidRPr="00A553BA">
        <w:t xml:space="preserve">  </w:t>
      </w:r>
    </w:p>
    <w:p w14:paraId="20EE72C7" w14:textId="77777777" w:rsidR="002C0080" w:rsidRPr="00595B03" w:rsidRDefault="002C0080" w:rsidP="006C3DF5">
      <w:pPr>
        <w:pStyle w:val="ListParagraph"/>
        <w:numPr>
          <w:ilvl w:val="0"/>
          <w:numId w:val="167"/>
        </w:numPr>
        <w:spacing w:line="360" w:lineRule="auto"/>
        <w:ind w:left="714" w:hanging="357"/>
      </w:pPr>
      <w:bookmarkStart w:id="334" w:name="_Toc440982566"/>
      <w:r w:rsidRPr="00595B03">
        <w:t>Communications must be tailored for different languages and consideration of other support for patients whose first language is not English.</w:t>
      </w:r>
      <w:bookmarkEnd w:id="334"/>
      <w:r w:rsidRPr="00595B03">
        <w:t xml:space="preserve"> </w:t>
      </w:r>
    </w:p>
    <w:p w14:paraId="76B5F72F" w14:textId="02DF6153" w:rsidR="002C0080" w:rsidRPr="00962FCA" w:rsidRDefault="002C0080" w:rsidP="00D53D61">
      <w:pPr>
        <w:pStyle w:val="Heading4"/>
        <w:spacing w:before="0"/>
        <w:ind w:left="862" w:hanging="862"/>
      </w:pPr>
      <w:bookmarkStart w:id="335" w:name="_Toc440982567"/>
      <w:r w:rsidRPr="00962FCA">
        <w:t>List maintenance is also an opportunity to improve other aspects of patients’ registration including the accuracy of patient information held. The Commissioner should ensure that contractors verify the details held on the practice system systematically as part of routine on-going maintenance.</w:t>
      </w:r>
      <w:bookmarkEnd w:id="335"/>
    </w:p>
    <w:p w14:paraId="3DD8BD6F" w14:textId="076E63F4" w:rsidR="002C0080" w:rsidRDefault="002C0080" w:rsidP="002C0080">
      <w:pPr>
        <w:pStyle w:val="Body2"/>
      </w:pPr>
    </w:p>
    <w:p w14:paraId="30FD489B" w14:textId="4EA54ECB" w:rsidR="006B06B7" w:rsidRDefault="006B06B7" w:rsidP="002C0080">
      <w:pPr>
        <w:pStyle w:val="Body2"/>
      </w:pPr>
    </w:p>
    <w:p w14:paraId="36CCB0F1" w14:textId="77777777" w:rsidR="00445768" w:rsidRPr="00563D47" w:rsidRDefault="00445768" w:rsidP="002C0080">
      <w:pPr>
        <w:pStyle w:val="Body2"/>
      </w:pPr>
    </w:p>
    <w:p w14:paraId="2F9C7733" w14:textId="77777777" w:rsidR="008264D7" w:rsidRPr="00A553BA" w:rsidRDefault="002C0080" w:rsidP="00EC7864">
      <w:pPr>
        <w:pStyle w:val="Heading3"/>
      </w:pPr>
      <w:bookmarkStart w:id="336" w:name="_Toc401056081"/>
      <w:bookmarkStart w:id="337" w:name="_Toc440982568"/>
      <w:r w:rsidRPr="008264D7">
        <w:rPr>
          <w:b/>
        </w:rPr>
        <w:t>Patient Registration Process</w:t>
      </w:r>
      <w:bookmarkStart w:id="338" w:name="_Toc440982569"/>
      <w:bookmarkEnd w:id="336"/>
      <w:bookmarkEnd w:id="337"/>
    </w:p>
    <w:p w14:paraId="65E2F4AD" w14:textId="55B85591" w:rsidR="008264D7" w:rsidRDefault="002C0080" w:rsidP="00A553BA">
      <w:pPr>
        <w:pStyle w:val="Heading3"/>
      </w:pPr>
      <w:r w:rsidRPr="00F9436A">
        <w:t>Appropriate and timely management of the patient registration process is essential in minimising the potential for list inflation.</w:t>
      </w:r>
      <w:bookmarkStart w:id="339" w:name="_Toc440982570"/>
      <w:bookmarkEnd w:id="338"/>
    </w:p>
    <w:p w14:paraId="164FA4E1" w14:textId="3618CEC9" w:rsidR="008264D7" w:rsidRDefault="002C0080" w:rsidP="00A553BA">
      <w:pPr>
        <w:pStyle w:val="Heading3"/>
      </w:pPr>
      <w:r w:rsidRPr="00445768">
        <w:rPr>
          <w:highlight w:val="yellow"/>
        </w:rPr>
        <w:t>The standard registration process requires all general practices to notify all registrations to</w:t>
      </w:r>
      <w:r w:rsidR="007854C2" w:rsidRPr="00445768">
        <w:rPr>
          <w:highlight w:val="yellow"/>
        </w:rPr>
        <w:t xml:space="preserve"> the national primary care registration system</w:t>
      </w:r>
      <w:r w:rsidR="00F910A0" w:rsidRPr="00445768">
        <w:rPr>
          <w:highlight w:val="yellow"/>
        </w:rPr>
        <w:t xml:space="preserve"> (</w:t>
      </w:r>
      <w:r w:rsidR="007854C2" w:rsidRPr="00445768">
        <w:rPr>
          <w:highlight w:val="yellow"/>
        </w:rPr>
        <w:t xml:space="preserve">currently </w:t>
      </w:r>
      <w:r w:rsidR="00F910A0" w:rsidRPr="00445768">
        <w:rPr>
          <w:highlight w:val="yellow"/>
        </w:rPr>
        <w:t xml:space="preserve"> referred to as t</w:t>
      </w:r>
      <w:r w:rsidR="007854C2" w:rsidRPr="00445768">
        <w:rPr>
          <w:highlight w:val="yellow"/>
        </w:rPr>
        <w:t>he National Health Application and Infrastructure Service (</w:t>
      </w:r>
      <w:r w:rsidRPr="00445768">
        <w:rPr>
          <w:highlight w:val="yellow"/>
        </w:rPr>
        <w:t>NHAIS</w:t>
      </w:r>
      <w:r w:rsidR="007854C2" w:rsidRPr="00445768">
        <w:rPr>
          <w:highlight w:val="yellow"/>
        </w:rPr>
        <w:t xml:space="preserve">) but </w:t>
      </w:r>
      <w:r w:rsidR="00F910A0" w:rsidRPr="00445768">
        <w:rPr>
          <w:highlight w:val="yellow"/>
        </w:rPr>
        <w:t xml:space="preserve">to replaced </w:t>
      </w:r>
      <w:r w:rsidR="007854C2" w:rsidRPr="00445768">
        <w:rPr>
          <w:highlight w:val="yellow"/>
        </w:rPr>
        <w:t xml:space="preserve">by a new Primary Care Registration Management </w:t>
      </w:r>
      <w:r w:rsidR="00F910A0" w:rsidRPr="00445768">
        <w:rPr>
          <w:highlight w:val="yellow"/>
        </w:rPr>
        <w:t>(PCRM) system later in 2022</w:t>
      </w:r>
      <w:r w:rsidRPr="00445768">
        <w:rPr>
          <w:highlight w:val="yellow"/>
        </w:rPr>
        <w:t>.</w:t>
      </w:r>
      <w:r w:rsidRPr="00F9436A">
        <w:t xml:space="preserve"> The NHAIS</w:t>
      </w:r>
      <w:r w:rsidR="00F910A0">
        <w:t>/PCRM</w:t>
      </w:r>
      <w:r w:rsidRPr="00F9436A">
        <w:t xml:space="preserve"> user should then confirm the registration to the practice and take steps to arrange </w:t>
      </w:r>
      <w:r w:rsidR="00F910A0">
        <w:t xml:space="preserve">via PCSE </w:t>
      </w:r>
      <w:r w:rsidRPr="00F9436A">
        <w:t>for the transfer of medical records from the patient's previous general practice. Electronic links are in place between NHAIS sites</w:t>
      </w:r>
      <w:r w:rsidR="00F910A0">
        <w:t xml:space="preserve">/PCRM </w:t>
      </w:r>
      <w:r w:rsidRPr="00F9436A">
        <w:t>and all general practices that enable this process.</w:t>
      </w:r>
      <w:bookmarkEnd w:id="339"/>
      <w:r w:rsidRPr="00F9436A">
        <w:t xml:space="preserve"> </w:t>
      </w:r>
      <w:bookmarkStart w:id="340" w:name="_Toc440982571"/>
    </w:p>
    <w:p w14:paraId="32030159" w14:textId="12ACF20C" w:rsidR="00C62F70" w:rsidRDefault="00C62F70" w:rsidP="00C62F70">
      <w:pPr>
        <w:pStyle w:val="Heading3"/>
      </w:pPr>
      <w:r>
        <w:t>GP practices are required to monitor that all their registrations and patient deductions are acknowledged by NHAIS</w:t>
      </w:r>
      <w:r w:rsidR="00F910A0">
        <w:t>/PCRM</w:t>
      </w:r>
      <w:r>
        <w:t>.This ensures that patients are correctly registered and will be included in NHS screening and immunisation programmes.</w:t>
      </w:r>
    </w:p>
    <w:p w14:paraId="5F04588F" w14:textId="6D2B8513" w:rsidR="00C62F70" w:rsidRPr="00DF5573" w:rsidRDefault="00C62F70" w:rsidP="00863077">
      <w:pPr>
        <w:pStyle w:val="Heading3"/>
        <w:rPr>
          <w:highlight w:val="yellow"/>
        </w:rPr>
      </w:pPr>
      <w:r w:rsidRPr="00DF5573">
        <w:rPr>
          <w:highlight w:val="yellow"/>
        </w:rPr>
        <w:t xml:space="preserve">Practices should also check their list size of registered patients on a quarterly basis against </w:t>
      </w:r>
      <w:r w:rsidR="00F910A0" w:rsidRPr="00445768">
        <w:rPr>
          <w:highlight w:val="yellow"/>
        </w:rPr>
        <w:t>the GP Payments and Pensions system by logging into PCSE Online.</w:t>
      </w:r>
      <w:r w:rsidRPr="00445768">
        <w:rPr>
          <w:highlight w:val="yellow"/>
        </w:rPr>
        <w:t xml:space="preserve"> </w:t>
      </w:r>
      <w:r w:rsidRPr="00DF5573">
        <w:rPr>
          <w:highlight w:val="yellow"/>
        </w:rPr>
        <w:t>This ensures that payments to the practice remain accurate and any issues with the registration process are identified.</w:t>
      </w:r>
    </w:p>
    <w:p w14:paraId="163BA1FB" w14:textId="05611A94" w:rsidR="008264D7" w:rsidRDefault="002C0080" w:rsidP="00A553BA">
      <w:pPr>
        <w:pStyle w:val="Heading3"/>
      </w:pPr>
      <w:r w:rsidRPr="00F9436A">
        <w:t>The process of confirming the new patient registration by NHAIS</w:t>
      </w:r>
      <w:r w:rsidR="00863077">
        <w:t>/PCRM</w:t>
      </w:r>
      <w:r w:rsidRPr="00F9436A">
        <w:t xml:space="preserve"> involves checking the patient details against the Personal Demographics Service (</w:t>
      </w:r>
      <w:r w:rsidRPr="008264D7">
        <w:t>PDS</w:t>
      </w:r>
      <w:r w:rsidRPr="00F9436A">
        <w:t xml:space="preserve">) </w:t>
      </w:r>
      <w:r w:rsidRPr="008264D7">
        <w:t>National Back Office (NBO)</w:t>
      </w:r>
      <w:r w:rsidRPr="00F9436A">
        <w:t xml:space="preserve"> to confirm the patient’s NHS number, where NHS numbers cannot be traced</w:t>
      </w:r>
      <w:r w:rsidR="00F1168B">
        <w:t>,</w:t>
      </w:r>
      <w:r w:rsidRPr="00F9436A">
        <w:t xml:space="preserve"> the system provides for the user to request the allocation of a new NHS number.</w:t>
      </w:r>
      <w:bookmarkEnd w:id="340"/>
      <w:r w:rsidRPr="00F9436A">
        <w:t xml:space="preserve"> </w:t>
      </w:r>
      <w:bookmarkStart w:id="341" w:name="_Toc440982572"/>
    </w:p>
    <w:p w14:paraId="2B5B15D1" w14:textId="5C6EDC75" w:rsidR="008264D7" w:rsidRDefault="002C0080" w:rsidP="00A553BA">
      <w:pPr>
        <w:pStyle w:val="Heading3"/>
      </w:pPr>
      <w:r w:rsidRPr="00F9436A">
        <w:t>Where it is not possible to trace an NHS number for a patient, rather than request allocation of a new NHS number the registration should be kept pending and the previous general practice contacted to obtain further details.</w:t>
      </w:r>
      <w:bookmarkEnd w:id="341"/>
      <w:r w:rsidRPr="00F9436A">
        <w:t xml:space="preserve"> </w:t>
      </w:r>
      <w:bookmarkStart w:id="342" w:name="_Toc440982573"/>
    </w:p>
    <w:p w14:paraId="748E7877" w14:textId="23CB5BB9" w:rsidR="008264D7" w:rsidRDefault="002C0080" w:rsidP="00A553BA">
      <w:pPr>
        <w:pStyle w:val="Heading3"/>
      </w:pPr>
      <w:r w:rsidRPr="00F9436A">
        <w:t xml:space="preserve">If the practice cannot provide further information to enable the NHS number to be traced it should be asked to contact the patient to obtain this. By taking </w:t>
      </w:r>
      <w:r w:rsidR="00FE7B61" w:rsidRPr="00F9436A">
        <w:t>these steps,</w:t>
      </w:r>
      <w:r w:rsidRPr="00F9436A">
        <w:t xml:space="preserve"> the user will ensure that allocation of new NHS numbers is kept to a minimum and therefore minimises the potential for list inflation.</w:t>
      </w:r>
      <w:bookmarkEnd w:id="342"/>
      <w:r w:rsidRPr="00F9436A">
        <w:t xml:space="preserve"> </w:t>
      </w:r>
      <w:bookmarkStart w:id="343" w:name="_Toc440982574"/>
    </w:p>
    <w:p w14:paraId="78A9EE5A" w14:textId="50C641BE" w:rsidR="008264D7" w:rsidRDefault="002C0080" w:rsidP="00A553BA">
      <w:pPr>
        <w:pStyle w:val="Heading3"/>
      </w:pPr>
      <w:r w:rsidRPr="00F9436A">
        <w:t>Where a new NHS number has been allocated then additional checks are undertaken by the PDS NBO to help ensure a duplicate NHS number has not been created for a patient. Monthly reports, identifying the number of duplicate NHS numbers allocated</w:t>
      </w:r>
      <w:r>
        <w:t xml:space="preserve"> by PCS</w:t>
      </w:r>
      <w:r w:rsidR="00F1168B">
        <w:t>E</w:t>
      </w:r>
      <w:r w:rsidRPr="00F9436A">
        <w:t xml:space="preserve"> are produced by </w:t>
      </w:r>
      <w:r w:rsidRPr="007D5B8F">
        <w:t>NHS</w:t>
      </w:r>
      <w:r w:rsidR="00C62F70">
        <w:t xml:space="preserve"> Digital </w:t>
      </w:r>
      <w:r w:rsidRPr="00F9436A">
        <w:t>and these are split between those where the service provider should have been able to trace the correct number and those duplicates that are considered unavoidable.</w:t>
      </w:r>
      <w:bookmarkEnd w:id="343"/>
      <w:r w:rsidRPr="00F9436A">
        <w:t xml:space="preserve"> </w:t>
      </w:r>
      <w:bookmarkStart w:id="344" w:name="_Toc440982575"/>
    </w:p>
    <w:p w14:paraId="3E149C19" w14:textId="1F43E5DF" w:rsidR="008264D7" w:rsidRDefault="002C0080" w:rsidP="00A553BA">
      <w:pPr>
        <w:pStyle w:val="Heading3"/>
      </w:pPr>
      <w:r w:rsidRPr="00F9436A">
        <w:t>It is essential that robust procedures are in place to prevent the creation of duplicate registrations at the time of registration. The figures available on the volumes of duplicate numbers created by each service provider should provide valuable benchmark data to monitor this.</w:t>
      </w:r>
      <w:bookmarkStart w:id="345" w:name="_Toc440982576"/>
      <w:bookmarkEnd w:id="344"/>
    </w:p>
    <w:p w14:paraId="797135F2" w14:textId="42AA007B" w:rsidR="002C0080" w:rsidRDefault="002C0080" w:rsidP="00A553BA">
      <w:pPr>
        <w:pStyle w:val="Heading3"/>
      </w:pPr>
      <w:r w:rsidRPr="00F9436A">
        <w:t xml:space="preserve">The </w:t>
      </w:r>
      <w:r>
        <w:t>Commissioner</w:t>
      </w:r>
      <w:r w:rsidRPr="00F9436A">
        <w:t xml:space="preserve"> should ensure that </w:t>
      </w:r>
      <w:r>
        <w:t xml:space="preserve">the </w:t>
      </w:r>
      <w:r w:rsidRPr="00F9436A">
        <w:t>PCS</w:t>
      </w:r>
      <w:r w:rsidR="00126795">
        <w:t>E</w:t>
      </w:r>
      <w:r w:rsidRPr="00F9436A">
        <w:t xml:space="preserve"> </w:t>
      </w:r>
      <w:r w:rsidRPr="002F572B">
        <w:t xml:space="preserve">is </w:t>
      </w:r>
      <w:r w:rsidRPr="00F9436A">
        <w:t>processing routine registrations in a timely manner as this is also key to ensuring accuracy of practice lists.</w:t>
      </w:r>
      <w:bookmarkEnd w:id="345"/>
    </w:p>
    <w:p w14:paraId="072F88DE" w14:textId="77777777" w:rsidR="002C0080" w:rsidRPr="00563D47" w:rsidRDefault="002C0080" w:rsidP="002C0080">
      <w:pPr>
        <w:pStyle w:val="Body2"/>
      </w:pPr>
    </w:p>
    <w:p w14:paraId="45A25B2E" w14:textId="77777777" w:rsidR="002C0080" w:rsidRPr="00DF3DF4" w:rsidRDefault="002C0080" w:rsidP="00DF3DF4">
      <w:pPr>
        <w:pStyle w:val="Heading3"/>
        <w:rPr>
          <w:b/>
        </w:rPr>
      </w:pPr>
      <w:bookmarkStart w:id="346" w:name="_Toc401056082"/>
      <w:bookmarkStart w:id="347" w:name="_Toc440982577"/>
      <w:r w:rsidRPr="00DF3DF4">
        <w:rPr>
          <w:b/>
        </w:rPr>
        <w:t>Elements of a Rolling List Maintenance Programme</w:t>
      </w:r>
      <w:bookmarkEnd w:id="346"/>
      <w:bookmarkEnd w:id="347"/>
    </w:p>
    <w:p w14:paraId="0090C5D6" w14:textId="5BFB06C7" w:rsidR="002C0080" w:rsidRPr="00445768" w:rsidRDefault="002C0080" w:rsidP="00DF3DF4">
      <w:pPr>
        <w:pStyle w:val="Heading4"/>
        <w:rPr>
          <w:highlight w:val="yellow"/>
        </w:rPr>
      </w:pPr>
      <w:bookmarkStart w:id="348" w:name="_Toc440982578"/>
      <w:r w:rsidRPr="00E831C4">
        <w:t>Routine business processes that involve sending letters to patients help reduce list inflation, as any letters returned undelivered</w:t>
      </w:r>
      <w:r w:rsidRPr="006A4B34">
        <w:rPr>
          <w:rStyle w:val="FootnoteReference"/>
          <w:rFonts w:ascii="Frutiger LT Std 45 Light" w:hAnsi="Frutiger LT Std 45 Light"/>
          <w:szCs w:val="24"/>
        </w:rPr>
        <w:footnoteReference w:id="5"/>
      </w:r>
      <w:r w:rsidRPr="00E831C4">
        <w:t xml:space="preserve"> by Royal Mail result in general practices being given the statutory six-month notice period to provide confirmation </w:t>
      </w:r>
      <w:r w:rsidRPr="006A4B34">
        <w:t>that the person is a patient to whom it is still responsible for providing essential services</w:t>
      </w:r>
      <w:r w:rsidRPr="00E831C4">
        <w:t xml:space="preserve">. </w:t>
      </w:r>
      <w:r w:rsidRPr="00445768">
        <w:rPr>
          <w:highlight w:val="yellow"/>
        </w:rPr>
        <w:t xml:space="preserve">Where confirmation is </w:t>
      </w:r>
      <w:r w:rsidR="00FE7B61" w:rsidRPr="00445768">
        <w:rPr>
          <w:highlight w:val="yellow"/>
        </w:rPr>
        <w:t>not provided</w:t>
      </w:r>
      <w:r w:rsidRPr="00445768">
        <w:rPr>
          <w:highlight w:val="yellow"/>
        </w:rPr>
        <w:t xml:space="preserve"> then the patient is removed from the practice list</w:t>
      </w:r>
      <w:bookmarkEnd w:id="348"/>
      <w:r w:rsidR="00BD2FF9" w:rsidRPr="00445768">
        <w:rPr>
          <w:highlight w:val="yellow"/>
        </w:rPr>
        <w:t xml:space="preserve">. The only exception to this is patients </w:t>
      </w:r>
      <w:r w:rsidR="00664D32" w:rsidRPr="00445768">
        <w:rPr>
          <w:highlight w:val="yellow"/>
        </w:rPr>
        <w:t xml:space="preserve">aged under 18 who will remain registered under the </w:t>
      </w:r>
      <w:r w:rsidR="00A03670">
        <w:rPr>
          <w:highlight w:val="yellow"/>
        </w:rPr>
        <w:t>P</w:t>
      </w:r>
      <w:r w:rsidR="00664D32" w:rsidRPr="00445768">
        <w:rPr>
          <w:highlight w:val="yellow"/>
        </w:rPr>
        <w:t xml:space="preserve">aramountcy </w:t>
      </w:r>
      <w:r w:rsidR="00A03670">
        <w:rPr>
          <w:highlight w:val="yellow"/>
        </w:rPr>
        <w:t>P</w:t>
      </w:r>
      <w:r w:rsidR="00664D32" w:rsidRPr="00445768">
        <w:rPr>
          <w:highlight w:val="yellow"/>
        </w:rPr>
        <w:t>rinciple of protection</w:t>
      </w:r>
      <w:r w:rsidR="00B60178" w:rsidRPr="00445768">
        <w:rPr>
          <w:highlight w:val="yellow"/>
        </w:rPr>
        <w:t xml:space="preserve"> (please also refer to the Patient Registration chapter for further information).</w:t>
      </w:r>
      <w:r w:rsidR="00BD2FF9" w:rsidRPr="00445768">
        <w:rPr>
          <w:highlight w:val="yellow"/>
        </w:rPr>
        <w:t xml:space="preserve"> </w:t>
      </w:r>
    </w:p>
    <w:p w14:paraId="4D025937" w14:textId="4665EAB4" w:rsidR="002C0080" w:rsidRPr="00F9436A" w:rsidRDefault="002C0080" w:rsidP="00DF3DF4">
      <w:pPr>
        <w:pStyle w:val="Heading4"/>
      </w:pPr>
      <w:bookmarkStart w:id="349" w:name="_Toc440982579"/>
      <w:r w:rsidRPr="00F9436A">
        <w:t>These letters to patients, using data sourced from the NHAIS</w:t>
      </w:r>
      <w:r w:rsidR="00863077">
        <w:t>/PCRM</w:t>
      </w:r>
      <w:r w:rsidRPr="00F9436A">
        <w:t xml:space="preserve"> system, are inclusive of, but not limited to, the following:</w:t>
      </w:r>
      <w:bookmarkEnd w:id="349"/>
    </w:p>
    <w:p w14:paraId="6E256ED7" w14:textId="77777777" w:rsidR="002C0080" w:rsidRPr="003331F2" w:rsidRDefault="002C0080" w:rsidP="006C3DF5">
      <w:pPr>
        <w:pStyle w:val="BodyText"/>
        <w:numPr>
          <w:ilvl w:val="0"/>
          <w:numId w:val="108"/>
        </w:numPr>
        <w:spacing w:line="360" w:lineRule="auto"/>
        <w:ind w:left="714" w:hanging="357"/>
        <w:rPr>
          <w:sz w:val="24"/>
          <w:szCs w:val="24"/>
        </w:rPr>
      </w:pPr>
      <w:bookmarkStart w:id="350" w:name="_Toc440982580"/>
      <w:r w:rsidRPr="003331F2">
        <w:rPr>
          <w:sz w:val="24"/>
          <w:szCs w:val="24"/>
        </w:rPr>
        <w:t>Cervical screening invitation letters sent to all women aged 25-64.</w:t>
      </w:r>
      <w:bookmarkEnd w:id="350"/>
    </w:p>
    <w:p w14:paraId="2D1A2DEF" w14:textId="77777777" w:rsidR="002C0080" w:rsidRPr="003331F2" w:rsidRDefault="002C0080" w:rsidP="006C3DF5">
      <w:pPr>
        <w:pStyle w:val="BodyText"/>
        <w:numPr>
          <w:ilvl w:val="0"/>
          <w:numId w:val="108"/>
        </w:numPr>
        <w:spacing w:line="360" w:lineRule="auto"/>
        <w:ind w:left="714" w:hanging="357"/>
        <w:rPr>
          <w:sz w:val="24"/>
          <w:szCs w:val="24"/>
        </w:rPr>
      </w:pPr>
      <w:bookmarkStart w:id="351" w:name="_Toc440982581"/>
      <w:r w:rsidRPr="003331F2">
        <w:rPr>
          <w:sz w:val="24"/>
          <w:szCs w:val="24"/>
        </w:rPr>
        <w:t>Cervical screening test results sent to all women attending for a test as part of the NHS cervical screening programme.</w:t>
      </w:r>
      <w:bookmarkEnd w:id="351"/>
    </w:p>
    <w:p w14:paraId="6060FF2A" w14:textId="77777777" w:rsidR="002C0080" w:rsidRPr="003331F2" w:rsidRDefault="002C0080" w:rsidP="006C3DF5">
      <w:pPr>
        <w:pStyle w:val="BodyText"/>
        <w:numPr>
          <w:ilvl w:val="0"/>
          <w:numId w:val="108"/>
        </w:numPr>
        <w:spacing w:line="360" w:lineRule="auto"/>
        <w:ind w:left="714" w:hanging="357"/>
        <w:rPr>
          <w:sz w:val="24"/>
          <w:szCs w:val="24"/>
        </w:rPr>
      </w:pPr>
      <w:bookmarkStart w:id="352" w:name="_Toc440982582"/>
      <w:r w:rsidRPr="003331F2">
        <w:rPr>
          <w:sz w:val="24"/>
          <w:szCs w:val="24"/>
        </w:rPr>
        <w:t>Flu vaccination invitation letters sent to patients aged 65 and over together with any patients identified by general practices as being in an ‘at risk’ group.</w:t>
      </w:r>
      <w:bookmarkEnd w:id="352"/>
    </w:p>
    <w:p w14:paraId="0429EA31" w14:textId="77777777" w:rsidR="002C0080" w:rsidRPr="003331F2" w:rsidRDefault="002C0080" w:rsidP="006C3DF5">
      <w:pPr>
        <w:pStyle w:val="BodyText"/>
        <w:numPr>
          <w:ilvl w:val="0"/>
          <w:numId w:val="108"/>
        </w:numPr>
        <w:spacing w:line="360" w:lineRule="auto"/>
        <w:ind w:left="714" w:hanging="357"/>
        <w:rPr>
          <w:sz w:val="24"/>
          <w:szCs w:val="24"/>
        </w:rPr>
      </w:pPr>
      <w:bookmarkStart w:id="353" w:name="_Toc440982583"/>
      <w:r w:rsidRPr="003331F2">
        <w:rPr>
          <w:sz w:val="24"/>
          <w:szCs w:val="24"/>
        </w:rPr>
        <w:t>Chlamydia screening invitations letters sent to patients on behalf of certain local authorities.</w:t>
      </w:r>
      <w:bookmarkEnd w:id="353"/>
    </w:p>
    <w:p w14:paraId="570A1DE9" w14:textId="77777777" w:rsidR="002C0080" w:rsidRPr="003331F2" w:rsidRDefault="002C0080" w:rsidP="006C3DF5">
      <w:pPr>
        <w:pStyle w:val="BodyText"/>
        <w:numPr>
          <w:ilvl w:val="0"/>
          <w:numId w:val="108"/>
        </w:numPr>
        <w:spacing w:line="360" w:lineRule="auto"/>
        <w:ind w:left="714" w:hanging="357"/>
        <w:rPr>
          <w:sz w:val="24"/>
          <w:szCs w:val="24"/>
        </w:rPr>
      </w:pPr>
      <w:bookmarkStart w:id="354" w:name="_Toc440982584"/>
      <w:r w:rsidRPr="003331F2">
        <w:rPr>
          <w:sz w:val="24"/>
          <w:szCs w:val="24"/>
        </w:rPr>
        <w:t>Bowel screening invitation letters are sent to all patients aged 60 and 74 where the source data used to identify patients to be invited is taken from the NHAIS system.</w:t>
      </w:r>
      <w:bookmarkEnd w:id="354"/>
      <w:r w:rsidRPr="003331F2">
        <w:rPr>
          <w:sz w:val="24"/>
          <w:szCs w:val="24"/>
        </w:rPr>
        <w:t xml:space="preserve"> </w:t>
      </w:r>
    </w:p>
    <w:p w14:paraId="3A2A51C1" w14:textId="77777777" w:rsidR="002C0080" w:rsidRPr="003331F2" w:rsidRDefault="002C0080" w:rsidP="006C3DF5">
      <w:pPr>
        <w:pStyle w:val="BodyText"/>
        <w:numPr>
          <w:ilvl w:val="0"/>
          <w:numId w:val="108"/>
        </w:numPr>
        <w:spacing w:line="360" w:lineRule="auto"/>
        <w:ind w:left="714" w:hanging="357"/>
        <w:rPr>
          <w:sz w:val="24"/>
          <w:szCs w:val="24"/>
        </w:rPr>
      </w:pPr>
      <w:bookmarkStart w:id="355" w:name="_Toc440982585"/>
      <w:r w:rsidRPr="003331F2">
        <w:rPr>
          <w:sz w:val="24"/>
          <w:szCs w:val="24"/>
        </w:rPr>
        <w:t>Letters sent to all patients registered with a specific general practice if there are any significant changes to practice arrangements.</w:t>
      </w:r>
      <w:bookmarkEnd w:id="355"/>
    </w:p>
    <w:p w14:paraId="048F385A" w14:textId="77777777" w:rsidR="002C0080" w:rsidRPr="003331F2" w:rsidRDefault="002C0080" w:rsidP="006C3DF5">
      <w:pPr>
        <w:pStyle w:val="BodyText"/>
        <w:numPr>
          <w:ilvl w:val="0"/>
          <w:numId w:val="108"/>
        </w:numPr>
        <w:spacing w:line="360" w:lineRule="auto"/>
        <w:ind w:left="714" w:hanging="357"/>
        <w:rPr>
          <w:sz w:val="24"/>
          <w:szCs w:val="24"/>
        </w:rPr>
      </w:pPr>
      <w:bookmarkStart w:id="356" w:name="_Toc440982586"/>
      <w:r w:rsidRPr="003331F2">
        <w:rPr>
          <w:sz w:val="24"/>
          <w:szCs w:val="24"/>
        </w:rPr>
        <w:t>Medical cards or letters of confirmation of NHS number and registration.</w:t>
      </w:r>
      <w:bookmarkEnd w:id="356"/>
    </w:p>
    <w:p w14:paraId="05718301" w14:textId="77777777" w:rsidR="002C0080" w:rsidRPr="003331F2" w:rsidRDefault="002C0080" w:rsidP="006C3DF5">
      <w:pPr>
        <w:pStyle w:val="BodyText"/>
        <w:numPr>
          <w:ilvl w:val="0"/>
          <w:numId w:val="108"/>
        </w:numPr>
        <w:spacing w:line="360" w:lineRule="auto"/>
        <w:ind w:left="714" w:hanging="357"/>
        <w:rPr>
          <w:sz w:val="24"/>
          <w:szCs w:val="24"/>
        </w:rPr>
      </w:pPr>
      <w:bookmarkStart w:id="357" w:name="_Toc440982587"/>
      <w:r w:rsidRPr="003331F2">
        <w:rPr>
          <w:sz w:val="24"/>
          <w:szCs w:val="24"/>
        </w:rPr>
        <w:t>Verification by general practices of the vaccination status of all children aged two years and five years registered with the practice on the first day of each quarter.</w:t>
      </w:r>
      <w:bookmarkEnd w:id="357"/>
      <w:r w:rsidRPr="003331F2">
        <w:rPr>
          <w:sz w:val="24"/>
          <w:szCs w:val="24"/>
        </w:rPr>
        <w:t xml:space="preserve"> </w:t>
      </w:r>
    </w:p>
    <w:p w14:paraId="6EBB7A94" w14:textId="66AF338B" w:rsidR="002C0080" w:rsidRPr="00F051C0" w:rsidRDefault="002C0080" w:rsidP="00DF3DF4">
      <w:pPr>
        <w:pStyle w:val="Heading4"/>
        <w:rPr>
          <w:b/>
          <w:highlight w:val="yellow"/>
        </w:rPr>
      </w:pPr>
      <w:bookmarkStart w:id="358" w:name="_Toc440982588"/>
      <w:r w:rsidRPr="00F051C0">
        <w:rPr>
          <w:highlight w:val="yellow"/>
        </w:rPr>
        <w:t>In maintaining the NHAIS</w:t>
      </w:r>
      <w:r w:rsidR="00BD2FF9" w:rsidRPr="00F051C0">
        <w:rPr>
          <w:highlight w:val="yellow"/>
        </w:rPr>
        <w:t>/PCRM</w:t>
      </w:r>
      <w:r w:rsidRPr="00F051C0">
        <w:rPr>
          <w:highlight w:val="yellow"/>
        </w:rPr>
        <w:t xml:space="preserve"> system</w:t>
      </w:r>
      <w:r w:rsidR="00681F68">
        <w:rPr>
          <w:highlight w:val="yellow"/>
        </w:rPr>
        <w:t>,</w:t>
      </w:r>
      <w:r w:rsidRPr="00F051C0">
        <w:rPr>
          <w:highlight w:val="yellow"/>
        </w:rPr>
        <w:t xml:space="preserve"> specific tasks need to be undertaken to reduce list inflation and help maintain the accuracy of practice lists. The annual programme of checks to be undertaken is shown below together with the standard procedure which should be adopted for each. </w:t>
      </w:r>
      <w:r w:rsidR="00664D32" w:rsidRPr="00F051C0">
        <w:rPr>
          <w:highlight w:val="yellow"/>
        </w:rPr>
        <w:t xml:space="preserve"> </w:t>
      </w:r>
      <w:r w:rsidR="00021E58" w:rsidRPr="00F051C0">
        <w:rPr>
          <w:highlight w:val="yellow"/>
        </w:rPr>
        <w:t xml:space="preserve">NHS England may agree with PCSE to pause these checks in exceptional circumstances. </w:t>
      </w:r>
      <w:r w:rsidRPr="00F051C0">
        <w:rPr>
          <w:highlight w:val="yellow"/>
        </w:rPr>
        <w:t>The flow chart illustrated within Annex 1 and Annex 2 indicates the standard process to be followed.</w:t>
      </w:r>
      <w:bookmarkEnd w:id="358"/>
      <w:r w:rsidRPr="00F051C0">
        <w:rPr>
          <w:highlight w:val="yellow"/>
        </w:rPr>
        <w:t xml:space="preserve"> </w:t>
      </w:r>
    </w:p>
    <w:p w14:paraId="295A68F7" w14:textId="77777777" w:rsidR="002C0080" w:rsidRPr="00F9436A" w:rsidRDefault="002C0080" w:rsidP="002C0080">
      <w:pPr>
        <w:pStyle w:val="Body2"/>
        <w:rPr>
          <w:rFonts w:ascii="Frutiger LT Std 45 Light" w:hAnsi="Frutiger LT Std 45 Light"/>
          <w:sz w:val="24"/>
          <w:szCs w:val="24"/>
        </w:rPr>
      </w:pPr>
    </w:p>
    <w:tbl>
      <w:tblPr>
        <w:tblStyle w:val="TableGrid"/>
        <w:tblW w:w="0" w:type="auto"/>
        <w:tblInd w:w="142" w:type="dxa"/>
        <w:tblBorders>
          <w:top w:val="single" w:sz="4" w:space="0" w:color="1C6CB4"/>
          <w:left w:val="single" w:sz="4" w:space="0" w:color="1C6CB4"/>
          <w:bottom w:val="single" w:sz="4" w:space="0" w:color="1C6CB4"/>
          <w:right w:val="single" w:sz="4" w:space="0" w:color="1C6CB4"/>
          <w:insideH w:val="single" w:sz="4" w:space="0" w:color="1C6CB4"/>
          <w:insideV w:val="single" w:sz="4" w:space="0" w:color="1C6CB4"/>
        </w:tblBorders>
        <w:tblCellMar>
          <w:top w:w="142" w:type="dxa"/>
          <w:left w:w="142" w:type="dxa"/>
          <w:bottom w:w="142" w:type="dxa"/>
          <w:right w:w="142" w:type="dxa"/>
        </w:tblCellMar>
        <w:tblLook w:val="04A0" w:firstRow="1" w:lastRow="0" w:firstColumn="1" w:lastColumn="0" w:noHBand="0" w:noVBand="1"/>
        <w:tblCaption w:val="A table"/>
        <w:tblDescription w:val="A table"/>
      </w:tblPr>
      <w:tblGrid>
        <w:gridCol w:w="2268"/>
        <w:gridCol w:w="1560"/>
        <w:gridCol w:w="5078"/>
      </w:tblGrid>
      <w:tr w:rsidR="00462E09" w:rsidRPr="003E284C" w14:paraId="14D149E3" w14:textId="77777777" w:rsidTr="00DB11FA">
        <w:trPr>
          <w:tblHeader/>
        </w:trPr>
        <w:tc>
          <w:tcPr>
            <w:tcW w:w="2268" w:type="dxa"/>
            <w:tcBorders>
              <w:right w:val="single" w:sz="4" w:space="0" w:color="FFFFFF" w:themeColor="background1"/>
            </w:tcBorders>
            <w:shd w:val="clear" w:color="auto" w:fill="1C6CB4"/>
          </w:tcPr>
          <w:p w14:paraId="0C79A679" w14:textId="77777777" w:rsidR="002C0080" w:rsidRPr="003E284C" w:rsidRDefault="002C0080" w:rsidP="003E284C">
            <w:pPr>
              <w:spacing w:before="120" w:after="120" w:line="276" w:lineRule="auto"/>
              <w:rPr>
                <w:rFonts w:cs="Arial"/>
                <w:b/>
                <w:color w:val="FFFFFF" w:themeColor="background1"/>
                <w:szCs w:val="24"/>
              </w:rPr>
            </w:pPr>
            <w:r w:rsidRPr="003E284C">
              <w:rPr>
                <w:rFonts w:cs="Arial"/>
                <w:b/>
                <w:color w:val="FFFFFF" w:themeColor="background1"/>
                <w:szCs w:val="24"/>
              </w:rPr>
              <w:t>Patient group/cohort</w:t>
            </w:r>
          </w:p>
        </w:tc>
        <w:tc>
          <w:tcPr>
            <w:tcW w:w="1560" w:type="dxa"/>
            <w:tcBorders>
              <w:left w:val="single" w:sz="4" w:space="0" w:color="FFFFFF" w:themeColor="background1"/>
              <w:right w:val="single" w:sz="4" w:space="0" w:color="FFFFFF" w:themeColor="background1"/>
            </w:tcBorders>
            <w:shd w:val="clear" w:color="auto" w:fill="1C6CB4"/>
          </w:tcPr>
          <w:p w14:paraId="31F42229" w14:textId="77777777" w:rsidR="002C0080" w:rsidRPr="003E284C" w:rsidRDefault="002C0080" w:rsidP="003E284C">
            <w:pPr>
              <w:spacing w:before="120" w:after="120" w:line="276" w:lineRule="auto"/>
              <w:rPr>
                <w:rFonts w:cs="Arial"/>
                <w:b/>
                <w:color w:val="FFFFFF" w:themeColor="background1"/>
                <w:szCs w:val="24"/>
              </w:rPr>
            </w:pPr>
            <w:r w:rsidRPr="003E284C">
              <w:rPr>
                <w:rFonts w:cs="Arial"/>
                <w:b/>
                <w:color w:val="FFFFFF" w:themeColor="background1"/>
                <w:szCs w:val="24"/>
              </w:rPr>
              <w:t>Frequency</w:t>
            </w:r>
          </w:p>
        </w:tc>
        <w:tc>
          <w:tcPr>
            <w:tcW w:w="5078" w:type="dxa"/>
            <w:tcBorders>
              <w:left w:val="single" w:sz="4" w:space="0" w:color="FFFFFF" w:themeColor="background1"/>
            </w:tcBorders>
            <w:shd w:val="clear" w:color="auto" w:fill="1C6CB4"/>
          </w:tcPr>
          <w:p w14:paraId="7DCF4D31" w14:textId="77777777" w:rsidR="002C0080" w:rsidRPr="003E284C" w:rsidRDefault="002C0080" w:rsidP="003E284C">
            <w:pPr>
              <w:spacing w:before="120" w:after="120" w:line="276" w:lineRule="auto"/>
              <w:rPr>
                <w:rFonts w:cs="Arial"/>
                <w:b/>
                <w:color w:val="FFFFFF" w:themeColor="background1"/>
                <w:szCs w:val="24"/>
              </w:rPr>
            </w:pPr>
            <w:r w:rsidRPr="003E284C">
              <w:rPr>
                <w:rFonts w:cs="Arial"/>
                <w:b/>
                <w:color w:val="FFFFFF" w:themeColor="background1"/>
                <w:szCs w:val="24"/>
              </w:rPr>
              <w:t>Process</w:t>
            </w:r>
          </w:p>
        </w:tc>
      </w:tr>
      <w:tr w:rsidR="002C0080" w:rsidRPr="003E284C" w14:paraId="4834B96D" w14:textId="77777777" w:rsidTr="00E509C8">
        <w:tc>
          <w:tcPr>
            <w:tcW w:w="2268" w:type="dxa"/>
          </w:tcPr>
          <w:p w14:paraId="3C0C5152" w14:textId="547963E7" w:rsidR="002C0080" w:rsidRPr="003E284C" w:rsidRDefault="009C4BEB" w:rsidP="003E284C">
            <w:pPr>
              <w:spacing w:before="120" w:after="120" w:line="276" w:lineRule="auto"/>
              <w:rPr>
                <w:rFonts w:cs="Arial"/>
                <w:szCs w:val="24"/>
              </w:rPr>
            </w:pPr>
            <w:r>
              <w:rPr>
                <w:rFonts w:cs="Arial"/>
                <w:szCs w:val="24"/>
              </w:rPr>
              <w:t>Multiple Occupancy</w:t>
            </w:r>
          </w:p>
        </w:tc>
        <w:tc>
          <w:tcPr>
            <w:tcW w:w="1560" w:type="dxa"/>
          </w:tcPr>
          <w:p w14:paraId="3F98980C" w14:textId="372729A4" w:rsidR="002C0080" w:rsidRPr="003E284C" w:rsidRDefault="00C62F70" w:rsidP="003E284C">
            <w:pPr>
              <w:spacing w:before="120" w:after="120" w:line="276" w:lineRule="auto"/>
              <w:rPr>
                <w:rFonts w:cs="Arial"/>
                <w:szCs w:val="24"/>
              </w:rPr>
            </w:pPr>
            <w:r>
              <w:rPr>
                <w:rFonts w:cs="Arial"/>
                <w:szCs w:val="24"/>
              </w:rPr>
              <w:t>A</w:t>
            </w:r>
            <w:r w:rsidRPr="00C62F70">
              <w:rPr>
                <w:rFonts w:cs="Arial"/>
                <w:szCs w:val="24"/>
              </w:rPr>
              <w:t xml:space="preserve">fter the initial month, PCSE </w:t>
            </w:r>
            <w:r>
              <w:rPr>
                <w:rFonts w:cs="Arial"/>
                <w:szCs w:val="24"/>
              </w:rPr>
              <w:t>will check the additional patien</w:t>
            </w:r>
            <w:r w:rsidRPr="00C62F70">
              <w:rPr>
                <w:rFonts w:cs="Arial"/>
                <w:szCs w:val="24"/>
              </w:rPr>
              <w:t xml:space="preserve">ts who appeared at MO addresses and reset </w:t>
            </w:r>
          </w:p>
        </w:tc>
        <w:tc>
          <w:tcPr>
            <w:tcW w:w="5078" w:type="dxa"/>
          </w:tcPr>
          <w:p w14:paraId="5C0DD55B" w14:textId="0A2759F8" w:rsidR="002C0080" w:rsidRPr="003E284C" w:rsidRDefault="00BD2FF9" w:rsidP="003E284C">
            <w:pPr>
              <w:pStyle w:val="Heading3"/>
              <w:numPr>
                <w:ilvl w:val="0"/>
                <w:numId w:val="0"/>
              </w:numPr>
              <w:spacing w:before="120" w:after="120" w:line="276" w:lineRule="auto"/>
              <w:ind w:left="34"/>
              <w:rPr>
                <w:rFonts w:cs="Arial"/>
                <w:szCs w:val="24"/>
              </w:rPr>
            </w:pPr>
            <w:bookmarkStart w:id="359" w:name="_Toc440982589"/>
            <w:r>
              <w:rPr>
                <w:rFonts w:cs="Arial"/>
                <w:szCs w:val="24"/>
              </w:rPr>
              <w:t xml:space="preserve">PCSE </w:t>
            </w:r>
            <w:r w:rsidR="002C0080" w:rsidRPr="003E284C">
              <w:rPr>
                <w:rFonts w:cs="Arial"/>
                <w:szCs w:val="24"/>
              </w:rPr>
              <w:t>must:</w:t>
            </w:r>
            <w:bookmarkEnd w:id="359"/>
          </w:p>
          <w:p w14:paraId="19BEEB76" w14:textId="1B61A46C" w:rsidR="002C0080" w:rsidRPr="003E284C" w:rsidRDefault="002C0080" w:rsidP="00825050">
            <w:pPr>
              <w:pStyle w:val="Heading3"/>
              <w:numPr>
                <w:ilvl w:val="0"/>
                <w:numId w:val="52"/>
              </w:numPr>
              <w:spacing w:before="120" w:after="120" w:line="276" w:lineRule="auto"/>
              <w:ind w:left="317" w:hanging="283"/>
              <w:jc w:val="both"/>
              <w:rPr>
                <w:rFonts w:cs="Arial"/>
                <w:szCs w:val="24"/>
              </w:rPr>
            </w:pPr>
            <w:bookmarkStart w:id="360" w:name="_Toc440982590"/>
            <w:r w:rsidRPr="003E284C">
              <w:rPr>
                <w:rFonts w:cs="Arial"/>
                <w:szCs w:val="24"/>
              </w:rPr>
              <w:t>compare Office of National Statistics (ONS) and NHAIS</w:t>
            </w:r>
            <w:r w:rsidR="00BD2FF9">
              <w:rPr>
                <w:rFonts w:cs="Arial"/>
                <w:szCs w:val="24"/>
              </w:rPr>
              <w:t>/PCRM</w:t>
            </w:r>
            <w:r w:rsidRPr="003E284C">
              <w:rPr>
                <w:rFonts w:cs="Arial"/>
                <w:szCs w:val="24"/>
              </w:rPr>
              <w:t xml:space="preserve"> population figures at ward/super output area (SOA) level to enable prioritisation of work;</w:t>
            </w:r>
            <w:bookmarkEnd w:id="360"/>
          </w:p>
          <w:p w14:paraId="4C5BDAD1" w14:textId="77777777" w:rsidR="002C0080" w:rsidRPr="003E284C" w:rsidRDefault="002C0080" w:rsidP="00825050">
            <w:pPr>
              <w:pStyle w:val="Heading3"/>
              <w:numPr>
                <w:ilvl w:val="0"/>
                <w:numId w:val="52"/>
              </w:numPr>
              <w:spacing w:before="120" w:after="120" w:line="276" w:lineRule="auto"/>
              <w:ind w:left="317" w:hanging="283"/>
              <w:jc w:val="both"/>
              <w:rPr>
                <w:rFonts w:cs="Arial"/>
                <w:szCs w:val="24"/>
              </w:rPr>
            </w:pPr>
            <w:bookmarkStart w:id="361" w:name="_Toc440982591"/>
            <w:r w:rsidRPr="003E284C">
              <w:rPr>
                <w:rFonts w:cs="Arial"/>
                <w:szCs w:val="24"/>
              </w:rPr>
              <w:t>send the list of names to the relevant general practices. Each practice should confirm if patients have been seen in the last 15 months;</w:t>
            </w:r>
            <w:bookmarkEnd w:id="361"/>
          </w:p>
          <w:p w14:paraId="7AE672AB" w14:textId="77777777" w:rsidR="002C0080" w:rsidRPr="003E284C" w:rsidRDefault="002C0080" w:rsidP="00825050">
            <w:pPr>
              <w:pStyle w:val="Heading3"/>
              <w:numPr>
                <w:ilvl w:val="0"/>
                <w:numId w:val="52"/>
              </w:numPr>
              <w:spacing w:before="120" w:after="120" w:line="276" w:lineRule="auto"/>
              <w:ind w:left="317" w:hanging="283"/>
              <w:jc w:val="both"/>
              <w:rPr>
                <w:rFonts w:cs="Arial"/>
                <w:szCs w:val="24"/>
              </w:rPr>
            </w:pPr>
            <w:bookmarkStart w:id="362" w:name="_Toc440982592"/>
            <w:r w:rsidRPr="003E284C">
              <w:rPr>
                <w:rFonts w:cs="Arial"/>
                <w:szCs w:val="24"/>
              </w:rPr>
              <w:t>send letters to any patients that are recorded as being registered and have not been seen by their general practice in the past 15 months, taking into account the requirement to ensure that disabled patients receive information in a format that they can understand and they receive support to help them communicate (as mandated in the Accessible Information Standard).</w:t>
            </w:r>
            <w:bookmarkEnd w:id="362"/>
            <w:r w:rsidRPr="003E284C">
              <w:rPr>
                <w:rFonts w:cs="Arial"/>
                <w:szCs w:val="24"/>
              </w:rPr>
              <w:t xml:space="preserve"> </w:t>
            </w:r>
          </w:p>
          <w:p w14:paraId="75C9F5CA" w14:textId="77777777" w:rsidR="002C0080" w:rsidRPr="003E284C" w:rsidRDefault="002C0080" w:rsidP="00825050">
            <w:pPr>
              <w:pStyle w:val="Heading3"/>
              <w:numPr>
                <w:ilvl w:val="0"/>
                <w:numId w:val="52"/>
              </w:numPr>
              <w:spacing w:before="120" w:after="120" w:line="276" w:lineRule="auto"/>
              <w:ind w:left="317" w:hanging="283"/>
              <w:jc w:val="both"/>
              <w:rPr>
                <w:rFonts w:cs="Arial"/>
                <w:szCs w:val="24"/>
              </w:rPr>
            </w:pPr>
            <w:bookmarkStart w:id="363" w:name="_Toc440982593"/>
            <w:r w:rsidRPr="003E284C">
              <w:rPr>
                <w:rFonts w:cs="Arial"/>
                <w:szCs w:val="24"/>
              </w:rPr>
              <w:t>send reminder letters if no reply received after four weeks.</w:t>
            </w:r>
            <w:bookmarkEnd w:id="363"/>
          </w:p>
          <w:p w14:paraId="5FE74755" w14:textId="66B730D3" w:rsidR="002C0080" w:rsidRPr="003E284C" w:rsidRDefault="002C0080" w:rsidP="00825050">
            <w:pPr>
              <w:pStyle w:val="Heading3"/>
              <w:numPr>
                <w:ilvl w:val="0"/>
                <w:numId w:val="52"/>
              </w:numPr>
              <w:spacing w:before="120" w:after="120" w:line="276" w:lineRule="auto"/>
              <w:ind w:left="317" w:hanging="283"/>
              <w:jc w:val="both"/>
              <w:rPr>
                <w:rFonts w:cs="Arial"/>
                <w:szCs w:val="24"/>
              </w:rPr>
            </w:pPr>
            <w:bookmarkStart w:id="364" w:name="_Toc440982594"/>
            <w:r w:rsidRPr="003E284C">
              <w:rPr>
                <w:rFonts w:cs="Arial"/>
                <w:szCs w:val="24"/>
              </w:rPr>
              <w:t xml:space="preserve">activate an FP69 for the practices if any letters return </w:t>
            </w:r>
            <w:r w:rsidR="00D8206B" w:rsidRPr="003E284C">
              <w:rPr>
                <w:rFonts w:cs="Arial"/>
                <w:szCs w:val="24"/>
              </w:rPr>
              <w:t>undelivered or</w:t>
            </w:r>
            <w:r w:rsidRPr="003E284C">
              <w:rPr>
                <w:rFonts w:cs="Arial"/>
                <w:szCs w:val="24"/>
              </w:rPr>
              <w:t xml:space="preserve"> where no response is received within two months of the date of the original letter being sent;</w:t>
            </w:r>
            <w:bookmarkEnd w:id="364"/>
          </w:p>
          <w:p w14:paraId="46A878F2" w14:textId="77777777" w:rsidR="002C0080" w:rsidRPr="003E284C" w:rsidRDefault="002C0080" w:rsidP="00825050">
            <w:pPr>
              <w:pStyle w:val="Heading3"/>
              <w:numPr>
                <w:ilvl w:val="0"/>
                <w:numId w:val="52"/>
              </w:numPr>
              <w:spacing w:before="120" w:after="120" w:line="276" w:lineRule="auto"/>
              <w:ind w:left="317" w:hanging="283"/>
              <w:jc w:val="both"/>
              <w:rPr>
                <w:rFonts w:cs="Arial"/>
                <w:szCs w:val="24"/>
              </w:rPr>
            </w:pPr>
            <w:bookmarkStart w:id="365" w:name="_Toc440982595"/>
            <w:r w:rsidRPr="003E284C">
              <w:rPr>
                <w:rFonts w:cs="Arial"/>
                <w:szCs w:val="24"/>
              </w:rPr>
              <w:t>remove the patient from the list if the general practice does not confirm patient contact within six months.</w:t>
            </w:r>
            <w:bookmarkEnd w:id="365"/>
            <w:r w:rsidRPr="003E284C">
              <w:rPr>
                <w:rFonts w:cs="Arial"/>
                <w:szCs w:val="24"/>
              </w:rPr>
              <w:t xml:space="preserve"> </w:t>
            </w:r>
          </w:p>
        </w:tc>
      </w:tr>
      <w:tr w:rsidR="002C0080" w:rsidRPr="003E284C" w14:paraId="64E4D8CA" w14:textId="77777777" w:rsidTr="00E509C8">
        <w:tc>
          <w:tcPr>
            <w:tcW w:w="2268" w:type="dxa"/>
          </w:tcPr>
          <w:p w14:paraId="29BA5873" w14:textId="77777777" w:rsidR="002C0080" w:rsidRPr="003E284C" w:rsidRDefault="002C0080" w:rsidP="003E284C">
            <w:pPr>
              <w:spacing w:before="120" w:after="120" w:line="276" w:lineRule="auto"/>
              <w:rPr>
                <w:rFonts w:cs="Arial"/>
                <w:szCs w:val="24"/>
              </w:rPr>
            </w:pPr>
            <w:r w:rsidRPr="003E284C">
              <w:rPr>
                <w:rFonts w:cs="Arial"/>
                <w:szCs w:val="24"/>
              </w:rPr>
              <w:t xml:space="preserve">University/college student/residential school </w:t>
            </w:r>
          </w:p>
          <w:p w14:paraId="6CE0030D" w14:textId="77777777" w:rsidR="002C0080" w:rsidRPr="003E284C" w:rsidRDefault="002C0080" w:rsidP="003E284C">
            <w:pPr>
              <w:spacing w:before="120" w:after="120" w:line="276" w:lineRule="auto"/>
              <w:rPr>
                <w:rFonts w:cs="Arial"/>
                <w:szCs w:val="24"/>
              </w:rPr>
            </w:pPr>
          </w:p>
        </w:tc>
        <w:tc>
          <w:tcPr>
            <w:tcW w:w="1560" w:type="dxa"/>
          </w:tcPr>
          <w:p w14:paraId="68E1EA4E" w14:textId="77777777" w:rsidR="002C0080" w:rsidRPr="003E284C" w:rsidRDefault="002C0080" w:rsidP="003E284C">
            <w:pPr>
              <w:spacing w:before="120" w:after="120" w:line="276" w:lineRule="auto"/>
              <w:rPr>
                <w:rFonts w:cs="Arial"/>
                <w:szCs w:val="24"/>
              </w:rPr>
            </w:pPr>
            <w:r w:rsidRPr="003E284C">
              <w:rPr>
                <w:rFonts w:cs="Arial"/>
                <w:szCs w:val="24"/>
              </w:rPr>
              <w:t>Annually October to December</w:t>
            </w:r>
          </w:p>
        </w:tc>
        <w:tc>
          <w:tcPr>
            <w:tcW w:w="5078" w:type="dxa"/>
          </w:tcPr>
          <w:p w14:paraId="3DE6916C" w14:textId="7663EE6C" w:rsidR="002C0080" w:rsidRPr="003E284C" w:rsidRDefault="00BD2FF9" w:rsidP="003E284C">
            <w:pPr>
              <w:pStyle w:val="Heading3"/>
              <w:numPr>
                <w:ilvl w:val="0"/>
                <w:numId w:val="0"/>
              </w:numPr>
              <w:spacing w:before="120" w:after="120" w:line="276" w:lineRule="auto"/>
              <w:ind w:left="34"/>
              <w:rPr>
                <w:rFonts w:cs="Arial"/>
                <w:szCs w:val="24"/>
              </w:rPr>
            </w:pPr>
            <w:bookmarkStart w:id="366" w:name="_Toc440982596"/>
            <w:r>
              <w:rPr>
                <w:rFonts w:cs="Arial"/>
                <w:szCs w:val="24"/>
              </w:rPr>
              <w:t>PCSE</w:t>
            </w:r>
            <w:r w:rsidR="00057ADF">
              <w:rPr>
                <w:rFonts w:cs="Arial"/>
                <w:szCs w:val="24"/>
              </w:rPr>
              <w:t xml:space="preserve"> </w:t>
            </w:r>
            <w:r w:rsidR="002C0080" w:rsidRPr="003E284C">
              <w:rPr>
                <w:rFonts w:cs="Arial"/>
                <w:szCs w:val="24"/>
              </w:rPr>
              <w:t>must:</w:t>
            </w:r>
            <w:bookmarkEnd w:id="366"/>
          </w:p>
          <w:p w14:paraId="5165A2F7" w14:textId="6C130263" w:rsidR="002C0080" w:rsidRPr="003E284C" w:rsidRDefault="002C0080" w:rsidP="00825050">
            <w:pPr>
              <w:pStyle w:val="Heading3"/>
              <w:numPr>
                <w:ilvl w:val="0"/>
                <w:numId w:val="52"/>
              </w:numPr>
              <w:spacing w:before="120" w:after="120" w:line="276" w:lineRule="auto"/>
              <w:ind w:left="317" w:hanging="283"/>
              <w:jc w:val="both"/>
              <w:rPr>
                <w:rFonts w:cs="Arial"/>
                <w:szCs w:val="24"/>
              </w:rPr>
            </w:pPr>
            <w:bookmarkStart w:id="367" w:name="_Toc440982597"/>
            <w:r w:rsidRPr="003E284C">
              <w:rPr>
                <w:rFonts w:cs="Arial"/>
                <w:szCs w:val="24"/>
              </w:rPr>
              <w:t>identify patients recorded on NHAIS</w:t>
            </w:r>
            <w:r w:rsidR="00BD2FF9">
              <w:rPr>
                <w:rFonts w:cs="Arial"/>
                <w:szCs w:val="24"/>
              </w:rPr>
              <w:t>/PCRM</w:t>
            </w:r>
            <w:r w:rsidRPr="003E284C">
              <w:rPr>
                <w:rFonts w:cs="Arial"/>
                <w:szCs w:val="24"/>
              </w:rPr>
              <w:t xml:space="preserve"> as being registered with a general practice for four or more years in respect of a college/university address;</w:t>
            </w:r>
            <w:bookmarkEnd w:id="367"/>
          </w:p>
          <w:p w14:paraId="4329C98D" w14:textId="77777777" w:rsidR="002C0080" w:rsidRPr="003E284C" w:rsidRDefault="002C0080" w:rsidP="00825050">
            <w:pPr>
              <w:pStyle w:val="Heading3"/>
              <w:numPr>
                <w:ilvl w:val="0"/>
                <w:numId w:val="52"/>
              </w:numPr>
              <w:spacing w:before="120" w:after="120" w:line="276" w:lineRule="auto"/>
              <w:ind w:left="317" w:hanging="283"/>
              <w:jc w:val="both"/>
              <w:rPr>
                <w:rFonts w:cs="Arial"/>
                <w:szCs w:val="24"/>
              </w:rPr>
            </w:pPr>
            <w:bookmarkStart w:id="368" w:name="_Toc440982598"/>
            <w:r w:rsidRPr="003E284C">
              <w:rPr>
                <w:rFonts w:cs="Arial"/>
                <w:szCs w:val="24"/>
              </w:rPr>
              <w:t>send the lists of names to the relevant general practices asking them to confirm the patients are still registered and are still attending the surgery for treatment. Any patients found to be no longer resident should be removed from the practice lists;</w:t>
            </w:r>
            <w:bookmarkEnd w:id="368"/>
          </w:p>
          <w:p w14:paraId="35260EAC" w14:textId="77777777" w:rsidR="002C0080" w:rsidRPr="003E284C" w:rsidRDefault="002C0080" w:rsidP="00825050">
            <w:pPr>
              <w:pStyle w:val="Heading3"/>
              <w:numPr>
                <w:ilvl w:val="0"/>
                <w:numId w:val="52"/>
              </w:numPr>
              <w:spacing w:before="120" w:after="120" w:line="276" w:lineRule="auto"/>
              <w:ind w:left="317" w:hanging="283"/>
              <w:jc w:val="both"/>
              <w:rPr>
                <w:rFonts w:cs="Arial"/>
                <w:szCs w:val="24"/>
              </w:rPr>
            </w:pPr>
            <w:bookmarkStart w:id="369" w:name="_Toc440982599"/>
            <w:r w:rsidRPr="003E284C">
              <w:rPr>
                <w:rFonts w:cs="Arial"/>
                <w:szCs w:val="24"/>
              </w:rPr>
              <w:t>send letters to patients asking them to confirm their address where practices are unable to confirm registration, taking into account the requirement to ensure that disabled patients receive information in a format that they can understand and they receive support to help them communicate (as mandated in the Accessible Information Standard).;</w:t>
            </w:r>
            <w:bookmarkEnd w:id="369"/>
          </w:p>
          <w:p w14:paraId="100DBE45" w14:textId="77777777" w:rsidR="002C0080" w:rsidRPr="003E284C" w:rsidRDefault="002C0080" w:rsidP="00825050">
            <w:pPr>
              <w:pStyle w:val="Heading3"/>
              <w:numPr>
                <w:ilvl w:val="0"/>
                <w:numId w:val="52"/>
              </w:numPr>
              <w:spacing w:before="120" w:after="120" w:line="276" w:lineRule="auto"/>
              <w:ind w:left="317" w:hanging="283"/>
              <w:jc w:val="both"/>
              <w:rPr>
                <w:rFonts w:cs="Arial"/>
                <w:szCs w:val="24"/>
              </w:rPr>
            </w:pPr>
            <w:bookmarkStart w:id="370" w:name="_Toc440982600"/>
            <w:r w:rsidRPr="003E284C">
              <w:rPr>
                <w:rFonts w:cs="Arial"/>
                <w:szCs w:val="24"/>
              </w:rPr>
              <w:t>send reminder letters if no reply received after four weeks.</w:t>
            </w:r>
            <w:bookmarkEnd w:id="370"/>
            <w:r w:rsidRPr="003E284C">
              <w:rPr>
                <w:rFonts w:cs="Arial"/>
                <w:szCs w:val="24"/>
              </w:rPr>
              <w:t xml:space="preserve"> </w:t>
            </w:r>
          </w:p>
          <w:p w14:paraId="7A49121D" w14:textId="1CD8F0BC" w:rsidR="002C0080" w:rsidRPr="003E284C" w:rsidRDefault="002C0080" w:rsidP="00825050">
            <w:pPr>
              <w:pStyle w:val="Heading3"/>
              <w:numPr>
                <w:ilvl w:val="0"/>
                <w:numId w:val="52"/>
              </w:numPr>
              <w:spacing w:before="120" w:after="120" w:line="276" w:lineRule="auto"/>
              <w:ind w:left="317" w:hanging="283"/>
              <w:jc w:val="both"/>
              <w:rPr>
                <w:rFonts w:cs="Arial"/>
                <w:szCs w:val="24"/>
              </w:rPr>
            </w:pPr>
            <w:bookmarkStart w:id="371" w:name="_Toc440982601"/>
            <w:r w:rsidRPr="003E284C">
              <w:rPr>
                <w:rFonts w:cs="Arial"/>
                <w:szCs w:val="24"/>
              </w:rPr>
              <w:t xml:space="preserve">activate an FP69 for the practices if any letters return </w:t>
            </w:r>
            <w:r w:rsidR="00D8206B" w:rsidRPr="003E284C">
              <w:rPr>
                <w:rFonts w:cs="Arial"/>
                <w:szCs w:val="24"/>
              </w:rPr>
              <w:t>undelivered or</w:t>
            </w:r>
            <w:r w:rsidRPr="003E284C">
              <w:rPr>
                <w:rFonts w:cs="Arial"/>
                <w:szCs w:val="24"/>
              </w:rPr>
              <w:t xml:space="preserve"> where no response is received within two months of the date of the original letter being sent;</w:t>
            </w:r>
            <w:bookmarkEnd w:id="371"/>
          </w:p>
          <w:p w14:paraId="6048D373" w14:textId="77777777" w:rsidR="002C0080" w:rsidRPr="003E284C" w:rsidRDefault="002C0080" w:rsidP="00825050">
            <w:pPr>
              <w:pStyle w:val="Heading3"/>
              <w:numPr>
                <w:ilvl w:val="0"/>
                <w:numId w:val="52"/>
              </w:numPr>
              <w:spacing w:before="120" w:after="120" w:line="276" w:lineRule="auto"/>
              <w:ind w:left="317" w:hanging="283"/>
              <w:jc w:val="both"/>
              <w:rPr>
                <w:rFonts w:cs="Arial"/>
                <w:szCs w:val="24"/>
              </w:rPr>
            </w:pPr>
            <w:bookmarkStart w:id="372" w:name="_Toc440982602"/>
            <w:r w:rsidRPr="003E284C">
              <w:rPr>
                <w:rFonts w:cs="Arial"/>
                <w:szCs w:val="24"/>
              </w:rPr>
              <w:t>remove patients from the list in any cases where the general practice does not confirm the address within six months.</w:t>
            </w:r>
            <w:bookmarkEnd w:id="372"/>
          </w:p>
        </w:tc>
      </w:tr>
      <w:tr w:rsidR="002C0080" w:rsidRPr="003E284C" w14:paraId="328330FC" w14:textId="77777777" w:rsidTr="00E509C8">
        <w:tc>
          <w:tcPr>
            <w:tcW w:w="2268" w:type="dxa"/>
          </w:tcPr>
          <w:p w14:paraId="3A5D9A72" w14:textId="77777777" w:rsidR="002C0080" w:rsidRPr="003E284C" w:rsidRDefault="002C0080" w:rsidP="003E284C">
            <w:pPr>
              <w:spacing w:before="120" w:after="120" w:line="276" w:lineRule="auto"/>
              <w:rPr>
                <w:rFonts w:cs="Arial"/>
                <w:szCs w:val="24"/>
              </w:rPr>
            </w:pPr>
            <w:r w:rsidRPr="003E284C">
              <w:rPr>
                <w:rFonts w:cs="Arial"/>
                <w:szCs w:val="24"/>
              </w:rPr>
              <w:t xml:space="preserve">Patients aged 100 and over </w:t>
            </w:r>
          </w:p>
          <w:p w14:paraId="33FAD1D2" w14:textId="77777777" w:rsidR="002C0080" w:rsidRPr="003E284C" w:rsidRDefault="002C0080" w:rsidP="003E284C">
            <w:pPr>
              <w:spacing w:before="120" w:after="120" w:line="276" w:lineRule="auto"/>
              <w:rPr>
                <w:rFonts w:cs="Arial"/>
                <w:szCs w:val="24"/>
              </w:rPr>
            </w:pPr>
          </w:p>
        </w:tc>
        <w:tc>
          <w:tcPr>
            <w:tcW w:w="1560" w:type="dxa"/>
          </w:tcPr>
          <w:p w14:paraId="385026ED" w14:textId="77777777" w:rsidR="002C0080" w:rsidRPr="003E284C" w:rsidRDefault="002C0080" w:rsidP="003E284C">
            <w:pPr>
              <w:spacing w:before="120" w:after="120" w:line="276" w:lineRule="auto"/>
              <w:rPr>
                <w:rFonts w:cs="Arial"/>
                <w:szCs w:val="24"/>
              </w:rPr>
            </w:pPr>
            <w:r w:rsidRPr="003E284C">
              <w:rPr>
                <w:rFonts w:cs="Arial"/>
                <w:szCs w:val="24"/>
              </w:rPr>
              <w:t>Six monthly March and September checks</w:t>
            </w:r>
          </w:p>
        </w:tc>
        <w:tc>
          <w:tcPr>
            <w:tcW w:w="5078" w:type="dxa"/>
          </w:tcPr>
          <w:p w14:paraId="75F2306E" w14:textId="70FCB790" w:rsidR="002C0080" w:rsidRPr="003E284C" w:rsidRDefault="00BD2FF9" w:rsidP="003E284C">
            <w:pPr>
              <w:pStyle w:val="Heading3"/>
              <w:numPr>
                <w:ilvl w:val="0"/>
                <w:numId w:val="0"/>
              </w:numPr>
              <w:spacing w:before="120" w:after="120" w:line="276" w:lineRule="auto"/>
              <w:ind w:left="34"/>
              <w:rPr>
                <w:rFonts w:cs="Arial"/>
                <w:szCs w:val="24"/>
              </w:rPr>
            </w:pPr>
            <w:bookmarkStart w:id="373" w:name="_Toc440982603"/>
            <w:r>
              <w:rPr>
                <w:rFonts w:cs="Arial"/>
                <w:szCs w:val="24"/>
              </w:rPr>
              <w:t>PCSE</w:t>
            </w:r>
            <w:r w:rsidR="002C0080" w:rsidRPr="003E284C">
              <w:rPr>
                <w:rFonts w:cs="Arial"/>
                <w:szCs w:val="24"/>
              </w:rPr>
              <w:t xml:space="preserve"> must:</w:t>
            </w:r>
            <w:bookmarkEnd w:id="373"/>
          </w:p>
          <w:p w14:paraId="6738E019" w14:textId="16C768FE" w:rsidR="002C0080" w:rsidRPr="003E284C" w:rsidRDefault="002C0080" w:rsidP="00825050">
            <w:pPr>
              <w:pStyle w:val="Heading3"/>
              <w:numPr>
                <w:ilvl w:val="0"/>
                <w:numId w:val="52"/>
              </w:numPr>
              <w:spacing w:before="120" w:after="120" w:line="276" w:lineRule="auto"/>
              <w:ind w:left="317" w:hanging="283"/>
              <w:jc w:val="both"/>
              <w:rPr>
                <w:rFonts w:cs="Arial"/>
                <w:szCs w:val="24"/>
              </w:rPr>
            </w:pPr>
            <w:bookmarkStart w:id="374" w:name="_Toc440982604"/>
            <w:r w:rsidRPr="003E284C">
              <w:rPr>
                <w:rFonts w:cs="Arial"/>
                <w:szCs w:val="24"/>
              </w:rPr>
              <w:t>check on NHAIS</w:t>
            </w:r>
            <w:r w:rsidR="00BD2FF9">
              <w:rPr>
                <w:rFonts w:cs="Arial"/>
                <w:szCs w:val="24"/>
              </w:rPr>
              <w:t>/PCRM</w:t>
            </w:r>
            <w:r w:rsidRPr="003E284C">
              <w:rPr>
                <w:rFonts w:cs="Arial"/>
                <w:szCs w:val="24"/>
              </w:rPr>
              <w:t xml:space="preserve"> for any patients aged over 100 years.</w:t>
            </w:r>
            <w:bookmarkEnd w:id="374"/>
          </w:p>
          <w:p w14:paraId="0BFA0DE8" w14:textId="77777777" w:rsidR="002C0080" w:rsidRPr="003E284C" w:rsidRDefault="002C0080" w:rsidP="00825050">
            <w:pPr>
              <w:pStyle w:val="Heading3"/>
              <w:numPr>
                <w:ilvl w:val="0"/>
                <w:numId w:val="52"/>
              </w:numPr>
              <w:spacing w:before="120" w:after="120" w:line="276" w:lineRule="auto"/>
              <w:ind w:left="317" w:hanging="283"/>
              <w:jc w:val="both"/>
              <w:rPr>
                <w:rFonts w:cs="Arial"/>
                <w:szCs w:val="24"/>
              </w:rPr>
            </w:pPr>
            <w:bookmarkStart w:id="375" w:name="_Toc440982605"/>
            <w:r w:rsidRPr="003E284C">
              <w:rPr>
                <w:rFonts w:cs="Arial"/>
                <w:szCs w:val="24"/>
              </w:rPr>
              <w:t>contact general practice to confirm patient still registered.</w:t>
            </w:r>
            <w:bookmarkEnd w:id="375"/>
          </w:p>
          <w:p w14:paraId="3AF70B8F" w14:textId="7C823919" w:rsidR="002C0080" w:rsidRPr="003E284C" w:rsidRDefault="002C0080" w:rsidP="00825050">
            <w:pPr>
              <w:pStyle w:val="Heading3"/>
              <w:numPr>
                <w:ilvl w:val="0"/>
                <w:numId w:val="52"/>
              </w:numPr>
              <w:spacing w:before="120" w:after="120" w:line="276" w:lineRule="auto"/>
              <w:ind w:left="317" w:hanging="283"/>
              <w:jc w:val="both"/>
              <w:rPr>
                <w:rFonts w:cs="Arial"/>
                <w:szCs w:val="24"/>
              </w:rPr>
            </w:pPr>
            <w:bookmarkStart w:id="376" w:name="_Toc440982606"/>
            <w:r w:rsidRPr="003E284C">
              <w:rPr>
                <w:rFonts w:cs="Arial"/>
                <w:szCs w:val="24"/>
              </w:rPr>
              <w:t>remove any patients no longer registered from practice lists.</w:t>
            </w:r>
            <w:bookmarkEnd w:id="376"/>
          </w:p>
        </w:tc>
      </w:tr>
      <w:tr w:rsidR="002C0080" w:rsidRPr="003E284C" w14:paraId="6E5AB403" w14:textId="77777777" w:rsidTr="00E509C8">
        <w:tc>
          <w:tcPr>
            <w:tcW w:w="2268" w:type="dxa"/>
          </w:tcPr>
          <w:p w14:paraId="6DFB0AB0" w14:textId="77777777" w:rsidR="002C0080" w:rsidRPr="003E284C" w:rsidRDefault="002C0080" w:rsidP="003E284C">
            <w:pPr>
              <w:spacing w:before="120" w:after="120" w:line="276" w:lineRule="auto"/>
              <w:rPr>
                <w:rFonts w:cs="Arial"/>
                <w:szCs w:val="24"/>
              </w:rPr>
            </w:pPr>
            <w:r w:rsidRPr="003E284C">
              <w:rPr>
                <w:rFonts w:cs="Arial"/>
                <w:szCs w:val="24"/>
              </w:rPr>
              <w:t xml:space="preserve">Transient checks </w:t>
            </w:r>
          </w:p>
          <w:p w14:paraId="52D5E54B" w14:textId="77777777" w:rsidR="002C0080" w:rsidRPr="003E284C" w:rsidRDefault="002C0080" w:rsidP="003E284C">
            <w:pPr>
              <w:spacing w:before="120" w:after="120" w:line="276" w:lineRule="auto"/>
              <w:rPr>
                <w:rFonts w:cs="Arial"/>
                <w:szCs w:val="24"/>
              </w:rPr>
            </w:pPr>
          </w:p>
        </w:tc>
        <w:tc>
          <w:tcPr>
            <w:tcW w:w="1560" w:type="dxa"/>
          </w:tcPr>
          <w:p w14:paraId="72CA42B0" w14:textId="77777777" w:rsidR="002C0080" w:rsidRPr="003E284C" w:rsidRDefault="002C0080" w:rsidP="003E284C">
            <w:pPr>
              <w:spacing w:before="120" w:after="120" w:line="276" w:lineRule="auto"/>
              <w:rPr>
                <w:rFonts w:cs="Arial"/>
                <w:szCs w:val="24"/>
              </w:rPr>
            </w:pPr>
            <w:r w:rsidRPr="003E284C">
              <w:rPr>
                <w:rFonts w:cs="Arial"/>
                <w:szCs w:val="24"/>
              </w:rPr>
              <w:t>Monthly</w:t>
            </w:r>
          </w:p>
        </w:tc>
        <w:tc>
          <w:tcPr>
            <w:tcW w:w="5078" w:type="dxa"/>
          </w:tcPr>
          <w:p w14:paraId="546D4EF9" w14:textId="0816D675" w:rsidR="002C0080" w:rsidRPr="003E284C" w:rsidRDefault="00BD2FF9" w:rsidP="003E284C">
            <w:pPr>
              <w:pStyle w:val="Heading3"/>
              <w:numPr>
                <w:ilvl w:val="0"/>
                <w:numId w:val="0"/>
              </w:numPr>
              <w:spacing w:before="120" w:after="120" w:line="276" w:lineRule="auto"/>
              <w:rPr>
                <w:rFonts w:cs="Arial"/>
                <w:szCs w:val="24"/>
              </w:rPr>
            </w:pPr>
            <w:bookmarkStart w:id="377" w:name="_Toc440982608"/>
            <w:r>
              <w:rPr>
                <w:rFonts w:cs="Arial"/>
                <w:szCs w:val="24"/>
              </w:rPr>
              <w:t xml:space="preserve">PCSE </w:t>
            </w:r>
            <w:r w:rsidR="002C0080" w:rsidRPr="003E284C">
              <w:rPr>
                <w:rFonts w:cs="Arial"/>
                <w:szCs w:val="24"/>
              </w:rPr>
              <w:t>must:</w:t>
            </w:r>
            <w:bookmarkEnd w:id="377"/>
            <w:r w:rsidR="002C0080" w:rsidRPr="003E284C">
              <w:rPr>
                <w:rFonts w:cs="Arial"/>
                <w:szCs w:val="24"/>
              </w:rPr>
              <w:t xml:space="preserve"> </w:t>
            </w:r>
          </w:p>
          <w:p w14:paraId="007B9C2C" w14:textId="77777777" w:rsidR="002C0080" w:rsidRPr="003E284C" w:rsidRDefault="002C0080" w:rsidP="00825050">
            <w:pPr>
              <w:pStyle w:val="Heading3"/>
              <w:numPr>
                <w:ilvl w:val="0"/>
                <w:numId w:val="52"/>
              </w:numPr>
              <w:spacing w:before="120" w:after="120" w:line="276" w:lineRule="auto"/>
              <w:ind w:left="317" w:hanging="283"/>
              <w:jc w:val="both"/>
              <w:rPr>
                <w:rFonts w:cs="Arial"/>
                <w:szCs w:val="24"/>
              </w:rPr>
            </w:pPr>
            <w:bookmarkStart w:id="378" w:name="_Toc440982609"/>
            <w:r w:rsidRPr="003E284C">
              <w:rPr>
                <w:rFonts w:cs="Arial"/>
                <w:szCs w:val="24"/>
              </w:rPr>
              <w:t>send a letter to patients 12 months after their date of registration with a general practice, where at the time of registration they were recorded as having recently arrived from abroad, to ask the patient to confirm their current address. This sentence should be in several different languages depending on the reasonable needs of the practice's patient, and should take into account the requirement to ensure that disabled patients receive information in a format that they can understand and they receive support to help them communicate (as mandated in the Accessible Information Standard).;</w:t>
            </w:r>
            <w:bookmarkEnd w:id="378"/>
          </w:p>
          <w:p w14:paraId="2123052D" w14:textId="77777777" w:rsidR="002C0080" w:rsidRPr="003E284C" w:rsidRDefault="002C0080" w:rsidP="00825050">
            <w:pPr>
              <w:pStyle w:val="Heading3"/>
              <w:numPr>
                <w:ilvl w:val="0"/>
                <w:numId w:val="52"/>
              </w:numPr>
              <w:spacing w:before="120" w:after="120" w:line="276" w:lineRule="auto"/>
              <w:ind w:left="317" w:hanging="283"/>
              <w:jc w:val="both"/>
              <w:rPr>
                <w:rFonts w:cs="Arial"/>
                <w:szCs w:val="24"/>
              </w:rPr>
            </w:pPr>
            <w:bookmarkStart w:id="379" w:name="_Toc440982610"/>
            <w:r w:rsidRPr="003E284C">
              <w:rPr>
                <w:rFonts w:cs="Arial"/>
                <w:szCs w:val="24"/>
              </w:rPr>
              <w:t>send reminder letters if no reply received after [four] weeks;</w:t>
            </w:r>
            <w:bookmarkEnd w:id="379"/>
            <w:r w:rsidRPr="003E284C">
              <w:rPr>
                <w:rFonts w:cs="Arial"/>
                <w:szCs w:val="24"/>
              </w:rPr>
              <w:t xml:space="preserve"> </w:t>
            </w:r>
          </w:p>
          <w:p w14:paraId="578A43DF" w14:textId="77777777" w:rsidR="002C0080" w:rsidRPr="003E284C" w:rsidRDefault="002C0080" w:rsidP="00825050">
            <w:pPr>
              <w:pStyle w:val="Heading3"/>
              <w:numPr>
                <w:ilvl w:val="0"/>
                <w:numId w:val="52"/>
              </w:numPr>
              <w:spacing w:before="120" w:after="120" w:line="276" w:lineRule="auto"/>
              <w:ind w:left="317" w:hanging="283"/>
              <w:jc w:val="both"/>
              <w:rPr>
                <w:rFonts w:cs="Arial"/>
                <w:szCs w:val="24"/>
              </w:rPr>
            </w:pPr>
            <w:bookmarkStart w:id="380" w:name="_Toc440982611"/>
            <w:r w:rsidRPr="003E284C">
              <w:rPr>
                <w:rFonts w:cs="Arial"/>
                <w:szCs w:val="24"/>
              </w:rPr>
              <w:t>if any letters are returned undelivered or where no response is received, remove patients from the list in any cases where the general practice does not confirm the address within six months</w:t>
            </w:r>
            <w:bookmarkEnd w:id="380"/>
            <w:r w:rsidRPr="003E284C">
              <w:rPr>
                <w:rFonts w:cs="Arial"/>
                <w:szCs w:val="24"/>
              </w:rPr>
              <w:t xml:space="preserve"> </w:t>
            </w:r>
          </w:p>
        </w:tc>
      </w:tr>
      <w:tr w:rsidR="002C0080" w:rsidRPr="003E284C" w14:paraId="56F8B9B9" w14:textId="77777777" w:rsidTr="00E509C8">
        <w:tc>
          <w:tcPr>
            <w:tcW w:w="2268" w:type="dxa"/>
          </w:tcPr>
          <w:p w14:paraId="28B8D220" w14:textId="77777777" w:rsidR="002C0080" w:rsidRPr="003E284C" w:rsidRDefault="002C0080" w:rsidP="003E284C">
            <w:pPr>
              <w:spacing w:before="120" w:after="120" w:line="276" w:lineRule="auto"/>
              <w:rPr>
                <w:rFonts w:cs="Arial"/>
                <w:szCs w:val="24"/>
              </w:rPr>
            </w:pPr>
            <w:r w:rsidRPr="003E284C">
              <w:rPr>
                <w:rFonts w:cs="Arial"/>
                <w:szCs w:val="24"/>
              </w:rPr>
              <w:t xml:space="preserve">Notification of demolished addresses </w:t>
            </w:r>
            <w:r w:rsidRPr="003E284C">
              <w:rPr>
                <w:rStyle w:val="FootnoteReference"/>
                <w:rFonts w:cs="Arial"/>
                <w:szCs w:val="24"/>
              </w:rPr>
              <w:footnoteReference w:id="6"/>
            </w:r>
          </w:p>
          <w:p w14:paraId="5561D2FE" w14:textId="77777777" w:rsidR="002C0080" w:rsidRPr="003E284C" w:rsidRDefault="002C0080" w:rsidP="003E284C">
            <w:pPr>
              <w:spacing w:before="120" w:after="120" w:line="276" w:lineRule="auto"/>
              <w:rPr>
                <w:rFonts w:cs="Arial"/>
                <w:szCs w:val="24"/>
              </w:rPr>
            </w:pPr>
          </w:p>
        </w:tc>
        <w:tc>
          <w:tcPr>
            <w:tcW w:w="1560" w:type="dxa"/>
          </w:tcPr>
          <w:p w14:paraId="24E82B0C" w14:textId="77777777" w:rsidR="002C0080" w:rsidRPr="003E284C" w:rsidRDefault="002C0080" w:rsidP="003E284C">
            <w:pPr>
              <w:spacing w:before="120" w:after="120" w:line="276" w:lineRule="auto"/>
              <w:rPr>
                <w:rFonts w:cs="Arial"/>
                <w:szCs w:val="24"/>
              </w:rPr>
            </w:pPr>
            <w:r w:rsidRPr="003E284C">
              <w:rPr>
                <w:rFonts w:cs="Arial"/>
                <w:szCs w:val="24"/>
              </w:rPr>
              <w:t>Quarterly</w:t>
            </w:r>
          </w:p>
        </w:tc>
        <w:tc>
          <w:tcPr>
            <w:tcW w:w="5078" w:type="dxa"/>
          </w:tcPr>
          <w:p w14:paraId="79C83DDA" w14:textId="420AA2D7" w:rsidR="002C0080" w:rsidRPr="003E284C" w:rsidRDefault="002C0080" w:rsidP="00825050">
            <w:pPr>
              <w:pStyle w:val="Heading3"/>
              <w:numPr>
                <w:ilvl w:val="0"/>
                <w:numId w:val="52"/>
              </w:numPr>
              <w:spacing w:before="120" w:after="120" w:line="276" w:lineRule="auto"/>
              <w:ind w:left="317" w:hanging="283"/>
              <w:jc w:val="both"/>
              <w:rPr>
                <w:rFonts w:cs="Arial"/>
                <w:szCs w:val="24"/>
              </w:rPr>
            </w:pPr>
            <w:bookmarkStart w:id="381" w:name="_Toc440982612"/>
            <w:r w:rsidRPr="003E284C">
              <w:rPr>
                <w:rFonts w:cs="Arial"/>
                <w:szCs w:val="24"/>
              </w:rPr>
              <w:t>NHAIS</w:t>
            </w:r>
            <w:r w:rsidR="00BD2FF9">
              <w:rPr>
                <w:rFonts w:cs="Arial"/>
                <w:szCs w:val="24"/>
              </w:rPr>
              <w:t>/PCRM</w:t>
            </w:r>
            <w:r w:rsidRPr="003E284C">
              <w:rPr>
                <w:rFonts w:cs="Arial"/>
                <w:szCs w:val="24"/>
              </w:rPr>
              <w:t xml:space="preserve"> receive regular updates to the PAF information to enable the accurate maintenance of patient addresses. Included in the updates are notifications of properties which have been demolished.</w:t>
            </w:r>
            <w:bookmarkEnd w:id="381"/>
            <w:r w:rsidRPr="003E284C">
              <w:rPr>
                <w:rFonts w:cs="Arial"/>
                <w:szCs w:val="24"/>
              </w:rPr>
              <w:t xml:space="preserve"> </w:t>
            </w:r>
          </w:p>
          <w:p w14:paraId="3841FFA2" w14:textId="25EB0F7E" w:rsidR="002C0080" w:rsidRPr="003E284C" w:rsidRDefault="00E00313" w:rsidP="00825050">
            <w:pPr>
              <w:pStyle w:val="Heading3"/>
              <w:numPr>
                <w:ilvl w:val="0"/>
                <w:numId w:val="52"/>
              </w:numPr>
              <w:spacing w:before="120" w:after="120" w:line="276" w:lineRule="auto"/>
              <w:ind w:left="317" w:hanging="283"/>
              <w:jc w:val="both"/>
              <w:rPr>
                <w:rFonts w:cs="Arial"/>
                <w:szCs w:val="24"/>
              </w:rPr>
            </w:pPr>
            <w:bookmarkStart w:id="382" w:name="_Toc440982613"/>
            <w:r>
              <w:rPr>
                <w:rFonts w:cs="Arial"/>
                <w:szCs w:val="24"/>
              </w:rPr>
              <w:t xml:space="preserve">PCSE </w:t>
            </w:r>
            <w:r w:rsidR="002C0080" w:rsidRPr="003E284C">
              <w:rPr>
                <w:rFonts w:cs="Arial"/>
                <w:szCs w:val="24"/>
              </w:rPr>
              <w:t>should ensure that the correct address of patients registered regarding any of these addresses is checked with the registered general practices.</w:t>
            </w:r>
            <w:bookmarkEnd w:id="382"/>
            <w:r w:rsidR="002C0080" w:rsidRPr="003E284C">
              <w:rPr>
                <w:rFonts w:cs="Arial"/>
                <w:szCs w:val="24"/>
              </w:rPr>
              <w:t xml:space="preserve">  </w:t>
            </w:r>
          </w:p>
        </w:tc>
      </w:tr>
      <w:tr w:rsidR="002C0080" w:rsidRPr="003E284C" w14:paraId="7FEEF3A4" w14:textId="77777777" w:rsidTr="00E509C8">
        <w:tc>
          <w:tcPr>
            <w:tcW w:w="2268" w:type="dxa"/>
          </w:tcPr>
          <w:p w14:paraId="1EF9E02D" w14:textId="77777777" w:rsidR="002C0080" w:rsidRPr="003E284C" w:rsidRDefault="002C0080" w:rsidP="003E284C">
            <w:pPr>
              <w:spacing w:before="120" w:after="120" w:line="276" w:lineRule="auto"/>
              <w:rPr>
                <w:rFonts w:cs="Arial"/>
                <w:szCs w:val="24"/>
              </w:rPr>
            </w:pPr>
            <w:r w:rsidRPr="003E284C">
              <w:rPr>
                <w:rFonts w:cs="Arial"/>
                <w:szCs w:val="24"/>
              </w:rPr>
              <w:t xml:space="preserve">Patients not seen by general practice in previous five years </w:t>
            </w:r>
          </w:p>
          <w:p w14:paraId="7319DC63" w14:textId="77777777" w:rsidR="002C0080" w:rsidRPr="003E284C" w:rsidRDefault="002C0080" w:rsidP="003E284C">
            <w:pPr>
              <w:spacing w:before="120" w:after="120" w:line="276" w:lineRule="auto"/>
              <w:rPr>
                <w:rFonts w:cs="Arial"/>
                <w:szCs w:val="24"/>
              </w:rPr>
            </w:pPr>
          </w:p>
        </w:tc>
        <w:tc>
          <w:tcPr>
            <w:tcW w:w="1560" w:type="dxa"/>
          </w:tcPr>
          <w:p w14:paraId="4228AB17" w14:textId="77777777" w:rsidR="002C0080" w:rsidRPr="003E284C" w:rsidRDefault="002C0080" w:rsidP="003E284C">
            <w:pPr>
              <w:spacing w:before="120" w:after="120" w:line="276" w:lineRule="auto"/>
              <w:rPr>
                <w:rFonts w:cs="Arial"/>
                <w:b/>
                <w:szCs w:val="24"/>
              </w:rPr>
            </w:pPr>
            <w:r w:rsidRPr="003E284C">
              <w:rPr>
                <w:rFonts w:cs="Arial"/>
                <w:szCs w:val="24"/>
              </w:rPr>
              <w:t>Annually</w:t>
            </w:r>
          </w:p>
        </w:tc>
        <w:tc>
          <w:tcPr>
            <w:tcW w:w="5078" w:type="dxa"/>
          </w:tcPr>
          <w:p w14:paraId="2D386534" w14:textId="11DDE1F8" w:rsidR="002C0080" w:rsidRPr="003E284C" w:rsidRDefault="00BD2FF9" w:rsidP="003E284C">
            <w:pPr>
              <w:pStyle w:val="Heading3"/>
              <w:numPr>
                <w:ilvl w:val="0"/>
                <w:numId w:val="0"/>
              </w:numPr>
              <w:spacing w:before="120" w:after="120" w:line="276" w:lineRule="auto"/>
              <w:rPr>
                <w:rFonts w:cs="Arial"/>
                <w:szCs w:val="24"/>
              </w:rPr>
            </w:pPr>
            <w:bookmarkStart w:id="383" w:name="_Toc440982615"/>
            <w:r>
              <w:rPr>
                <w:rFonts w:cs="Arial"/>
                <w:szCs w:val="24"/>
              </w:rPr>
              <w:t xml:space="preserve">PCSE </w:t>
            </w:r>
            <w:r w:rsidR="002C0080" w:rsidRPr="003E284C">
              <w:rPr>
                <w:rFonts w:cs="Arial"/>
                <w:szCs w:val="24"/>
              </w:rPr>
              <w:t>should:</w:t>
            </w:r>
            <w:bookmarkEnd w:id="383"/>
            <w:r w:rsidR="002C0080" w:rsidRPr="003E284C">
              <w:rPr>
                <w:rFonts w:cs="Arial"/>
                <w:szCs w:val="24"/>
              </w:rPr>
              <w:t xml:space="preserve"> </w:t>
            </w:r>
          </w:p>
          <w:p w14:paraId="678F392E" w14:textId="77777777" w:rsidR="002C0080" w:rsidRPr="003E284C" w:rsidRDefault="002C0080" w:rsidP="00825050">
            <w:pPr>
              <w:pStyle w:val="Heading3"/>
              <w:numPr>
                <w:ilvl w:val="0"/>
                <w:numId w:val="52"/>
              </w:numPr>
              <w:tabs>
                <w:tab w:val="num" w:pos="885"/>
              </w:tabs>
              <w:spacing w:before="120" w:after="120" w:line="276" w:lineRule="auto"/>
              <w:ind w:left="317" w:hanging="283"/>
              <w:jc w:val="both"/>
              <w:rPr>
                <w:rFonts w:cs="Arial"/>
                <w:szCs w:val="24"/>
              </w:rPr>
            </w:pPr>
            <w:bookmarkStart w:id="384" w:name="_Toc440982616"/>
            <w:r w:rsidRPr="003E284C">
              <w:rPr>
                <w:rFonts w:cs="Arial"/>
                <w:szCs w:val="24"/>
              </w:rPr>
              <w:t>contact general practices to obtain a list of all those patients that have not had a consultation within the last five years;</w:t>
            </w:r>
            <w:bookmarkEnd w:id="384"/>
          </w:p>
          <w:p w14:paraId="7C9189E0" w14:textId="77777777" w:rsidR="002C0080" w:rsidRPr="003E284C" w:rsidRDefault="002C0080" w:rsidP="00825050">
            <w:pPr>
              <w:pStyle w:val="Heading3"/>
              <w:numPr>
                <w:ilvl w:val="0"/>
                <w:numId w:val="52"/>
              </w:numPr>
              <w:spacing w:before="120" w:after="120" w:line="276" w:lineRule="auto"/>
              <w:ind w:left="317" w:hanging="283"/>
              <w:jc w:val="both"/>
              <w:rPr>
                <w:rFonts w:cs="Arial"/>
                <w:szCs w:val="24"/>
              </w:rPr>
            </w:pPr>
            <w:bookmarkStart w:id="385" w:name="_Toc440982617"/>
            <w:r w:rsidRPr="003E284C">
              <w:rPr>
                <w:rFonts w:cs="Arial"/>
                <w:szCs w:val="24"/>
              </w:rPr>
              <w:t>send a letter to all those identified patients to confirm address and registration, taking into account the requirement to ensure that disabled patients receive information in a format that they can understand and they receive support to help them communicate (as mandated in the Accessible Information Standard).;</w:t>
            </w:r>
            <w:bookmarkEnd w:id="385"/>
          </w:p>
          <w:p w14:paraId="7663535A" w14:textId="77777777" w:rsidR="002C0080" w:rsidRPr="003E284C" w:rsidRDefault="002C0080" w:rsidP="00825050">
            <w:pPr>
              <w:pStyle w:val="Heading3"/>
              <w:numPr>
                <w:ilvl w:val="0"/>
                <w:numId w:val="52"/>
              </w:numPr>
              <w:spacing w:before="120" w:after="120" w:line="276" w:lineRule="auto"/>
              <w:ind w:left="317" w:hanging="283"/>
              <w:jc w:val="both"/>
              <w:rPr>
                <w:rFonts w:cs="Arial"/>
                <w:szCs w:val="24"/>
              </w:rPr>
            </w:pPr>
            <w:bookmarkStart w:id="386" w:name="_Toc440982618"/>
            <w:r w:rsidRPr="003E284C">
              <w:rPr>
                <w:rFonts w:cs="Arial"/>
                <w:szCs w:val="24"/>
              </w:rPr>
              <w:t>send reminder letters if no reply is received after four weeks;</w:t>
            </w:r>
            <w:bookmarkEnd w:id="386"/>
          </w:p>
          <w:p w14:paraId="5B81A2FF" w14:textId="45BE1177" w:rsidR="002C0080" w:rsidRPr="003E284C" w:rsidRDefault="002C0080" w:rsidP="00825050">
            <w:pPr>
              <w:pStyle w:val="Heading3"/>
              <w:numPr>
                <w:ilvl w:val="0"/>
                <w:numId w:val="52"/>
              </w:numPr>
              <w:spacing w:before="120" w:after="120" w:line="276" w:lineRule="auto"/>
              <w:ind w:left="317" w:hanging="283"/>
              <w:jc w:val="both"/>
              <w:rPr>
                <w:rFonts w:cs="Arial"/>
                <w:szCs w:val="24"/>
              </w:rPr>
            </w:pPr>
            <w:bookmarkStart w:id="387" w:name="_Toc440982619"/>
            <w:r w:rsidRPr="003E284C">
              <w:rPr>
                <w:rFonts w:cs="Arial"/>
                <w:szCs w:val="24"/>
              </w:rPr>
              <w:t xml:space="preserve">activate an FP69 for the practices if any letters return </w:t>
            </w:r>
            <w:r w:rsidR="00FE7B61" w:rsidRPr="003E284C">
              <w:rPr>
                <w:rFonts w:cs="Arial"/>
                <w:szCs w:val="24"/>
              </w:rPr>
              <w:t>undelivered or</w:t>
            </w:r>
            <w:r w:rsidRPr="003E284C">
              <w:rPr>
                <w:rFonts w:cs="Arial"/>
                <w:szCs w:val="24"/>
              </w:rPr>
              <w:t xml:space="preserve"> where no response is received within two months of the date of the original letter being sent;</w:t>
            </w:r>
            <w:bookmarkEnd w:id="387"/>
          </w:p>
          <w:p w14:paraId="175701DB" w14:textId="77777777" w:rsidR="002C0080" w:rsidRPr="003E284C" w:rsidRDefault="002C0080" w:rsidP="00825050">
            <w:pPr>
              <w:pStyle w:val="Heading3"/>
              <w:numPr>
                <w:ilvl w:val="0"/>
                <w:numId w:val="52"/>
              </w:numPr>
              <w:spacing w:before="120" w:after="120" w:line="276" w:lineRule="auto"/>
              <w:ind w:left="317" w:hanging="283"/>
              <w:jc w:val="both"/>
              <w:rPr>
                <w:rFonts w:cs="Arial"/>
                <w:szCs w:val="24"/>
              </w:rPr>
            </w:pPr>
            <w:bookmarkStart w:id="388" w:name="_Toc440982620"/>
            <w:r w:rsidRPr="003E284C">
              <w:rPr>
                <w:rFonts w:cs="Arial"/>
                <w:szCs w:val="24"/>
              </w:rPr>
              <w:t>remove patients from the list in any cases where the general practice does not confirm the address within six months.</w:t>
            </w:r>
            <w:bookmarkEnd w:id="388"/>
          </w:p>
        </w:tc>
      </w:tr>
    </w:tbl>
    <w:p w14:paraId="0D05C68E" w14:textId="77777777" w:rsidR="002C0080" w:rsidRDefault="002C0080" w:rsidP="003331F2">
      <w:pPr>
        <w:pStyle w:val="BodyText"/>
      </w:pPr>
      <w:bookmarkStart w:id="389" w:name="_Toc401056091"/>
    </w:p>
    <w:p w14:paraId="319EDF52" w14:textId="17FF9FBD" w:rsidR="002C0080" w:rsidRPr="00DF3DF4" w:rsidRDefault="002C0080" w:rsidP="00DF3DF4">
      <w:pPr>
        <w:pStyle w:val="Heading3"/>
        <w:rPr>
          <w:b/>
        </w:rPr>
      </w:pPr>
      <w:bookmarkStart w:id="390" w:name="_Toc440982621"/>
      <w:r w:rsidRPr="00DF3DF4">
        <w:rPr>
          <w:b/>
        </w:rPr>
        <w:t>Additional Measures</w:t>
      </w:r>
      <w:bookmarkEnd w:id="389"/>
      <w:bookmarkEnd w:id="390"/>
      <w:r w:rsidR="00537856">
        <w:rPr>
          <w:b/>
        </w:rPr>
        <w:t xml:space="preserve"> (see also Part B2 below)</w:t>
      </w:r>
    </w:p>
    <w:p w14:paraId="36EA2D4C" w14:textId="0326BF63" w:rsidR="002C0080" w:rsidRPr="00F9436A" w:rsidRDefault="002C0080" w:rsidP="00DF3DF4">
      <w:pPr>
        <w:pStyle w:val="Heading4"/>
      </w:pPr>
      <w:bookmarkStart w:id="391" w:name="_Toc440982622"/>
      <w:r w:rsidRPr="00F9436A">
        <w:t>Despite initiating a rolling programme of list maintenance measures, figures comparing ONS mid-year populations with NHAIS</w:t>
      </w:r>
      <w:r w:rsidR="00021E58">
        <w:t>/PCRM</w:t>
      </w:r>
      <w:r w:rsidRPr="00F9436A">
        <w:t xml:space="preserve"> registered population may still show significant inflation. These inflation rates may also differ significantly for local areas.</w:t>
      </w:r>
      <w:bookmarkEnd w:id="391"/>
    </w:p>
    <w:p w14:paraId="50D894A6" w14:textId="250F7FCB" w:rsidR="002C0080" w:rsidRPr="00F9436A" w:rsidRDefault="002C0080" w:rsidP="00DF3DF4">
      <w:pPr>
        <w:pStyle w:val="Heading4"/>
      </w:pPr>
      <w:bookmarkStart w:id="392" w:name="_Toc440982623"/>
      <w:r w:rsidRPr="00F9436A">
        <w:t xml:space="preserve">If the </w:t>
      </w:r>
      <w:r>
        <w:t>Commissioner</w:t>
      </w:r>
      <w:r w:rsidRPr="00F9436A">
        <w:t xml:space="preserve"> has a particularly large variance it may wish to undertake a targeted campaign to reduce this in one large exercise. If so, the </w:t>
      </w:r>
      <w:r>
        <w:t>Commissioner</w:t>
      </w:r>
      <w:r w:rsidRPr="00F9436A">
        <w:t xml:space="preserve"> is strongly urged to engage their general practices</w:t>
      </w:r>
      <w:r w:rsidR="00021E58">
        <w:t xml:space="preserve"> and the</w:t>
      </w:r>
      <w:r w:rsidRPr="00F9436A">
        <w:t xml:space="preserve"> </w:t>
      </w:r>
      <w:r w:rsidR="00021E58">
        <w:t xml:space="preserve">relevant </w:t>
      </w:r>
      <w:r w:rsidRPr="00F9436A">
        <w:t>LMC</w:t>
      </w:r>
      <w:r w:rsidR="00021E58">
        <w:t>s</w:t>
      </w:r>
      <w:r w:rsidRPr="00F9436A">
        <w:t>.</w:t>
      </w:r>
      <w:bookmarkEnd w:id="392"/>
    </w:p>
    <w:p w14:paraId="1FCB8E8E" w14:textId="77777777" w:rsidR="002C0080" w:rsidRPr="00F9436A" w:rsidRDefault="002C0080" w:rsidP="00DF3DF4">
      <w:pPr>
        <w:pStyle w:val="Heading4"/>
      </w:pPr>
      <w:bookmarkStart w:id="393" w:name="_Toc440982624"/>
      <w:r w:rsidRPr="00F9436A">
        <w:t>Suggested work that could be undertaken is:</w:t>
      </w:r>
      <w:bookmarkEnd w:id="393"/>
    </w:p>
    <w:p w14:paraId="5F28A6CA" w14:textId="7F7758BA" w:rsidR="002C0080" w:rsidRPr="00595B03" w:rsidRDefault="002C0080" w:rsidP="006C3DF5">
      <w:pPr>
        <w:pStyle w:val="ListParagraph"/>
        <w:numPr>
          <w:ilvl w:val="0"/>
          <w:numId w:val="168"/>
        </w:numPr>
        <w:spacing w:line="360" w:lineRule="auto"/>
        <w:ind w:left="714" w:hanging="357"/>
      </w:pPr>
      <w:bookmarkStart w:id="394" w:name="_Toc440982625"/>
      <w:r w:rsidRPr="00595B03">
        <w:t>Comparison of ONS mid-year stats with NHAIS</w:t>
      </w:r>
      <w:r w:rsidR="00021E58">
        <w:t>/PCRM</w:t>
      </w:r>
      <w:r w:rsidRPr="00595B03">
        <w:t xml:space="preserve"> figures at middle SOA level. This will identify localities within each area where inflation rates are highest and will therefore highlight specific areas to be targeted.</w:t>
      </w:r>
      <w:bookmarkEnd w:id="394"/>
    </w:p>
    <w:p w14:paraId="35937EFB" w14:textId="4AE4B26C" w:rsidR="002C0080" w:rsidRPr="00595B03" w:rsidRDefault="002C0080" w:rsidP="006C3DF5">
      <w:pPr>
        <w:pStyle w:val="ListParagraph"/>
        <w:numPr>
          <w:ilvl w:val="0"/>
          <w:numId w:val="168"/>
        </w:numPr>
        <w:spacing w:line="360" w:lineRule="auto"/>
        <w:ind w:left="714" w:hanging="357"/>
      </w:pPr>
      <w:bookmarkStart w:id="395" w:name="_Toc440982626"/>
      <w:r w:rsidRPr="00595B03">
        <w:t>Send mailshot to confirm residency to male patients aged 18-44 living in areas where inflation rates are highest. ONS</w:t>
      </w:r>
      <w:r w:rsidR="00021E58">
        <w:t xml:space="preserve"> and </w:t>
      </w:r>
      <w:r w:rsidRPr="00595B03">
        <w:t>NHAIS</w:t>
      </w:r>
      <w:r w:rsidR="00021E58">
        <w:t>/PCRM</w:t>
      </w:r>
      <w:r w:rsidRPr="00595B03">
        <w:t xml:space="preserve"> comparison at area level has previously shown that the highest inflation rates are related to male patients in this age group, possibly because there are no routine mailshots sent to this cohort.</w:t>
      </w:r>
      <w:bookmarkEnd w:id="395"/>
    </w:p>
    <w:p w14:paraId="767B36BA" w14:textId="694495B4" w:rsidR="002C0080" w:rsidRPr="00595B03" w:rsidRDefault="002C0080" w:rsidP="006C3DF5">
      <w:pPr>
        <w:pStyle w:val="ListParagraph"/>
        <w:numPr>
          <w:ilvl w:val="0"/>
          <w:numId w:val="168"/>
        </w:numPr>
        <w:spacing w:line="360" w:lineRule="auto"/>
        <w:ind w:left="714" w:hanging="357"/>
      </w:pPr>
      <w:bookmarkStart w:id="396" w:name="_Toc440982627"/>
      <w:r w:rsidRPr="00595B03">
        <w:t xml:space="preserve">Undertake further immigrant checks three years after </w:t>
      </w:r>
      <w:r w:rsidR="00902295">
        <w:t xml:space="preserve">the </w:t>
      </w:r>
      <w:r w:rsidRPr="00595B03">
        <w:t>date of first registration for persons who immediately before their current registration are recorded as having arrived from abroad.</w:t>
      </w:r>
      <w:bookmarkEnd w:id="396"/>
    </w:p>
    <w:p w14:paraId="6FEF6BB6" w14:textId="072FFB20" w:rsidR="002C0080" w:rsidRPr="00595B03" w:rsidRDefault="002C0080" w:rsidP="006C3DF5">
      <w:pPr>
        <w:pStyle w:val="ListParagraph"/>
        <w:numPr>
          <w:ilvl w:val="0"/>
          <w:numId w:val="168"/>
        </w:numPr>
        <w:spacing w:line="360" w:lineRule="auto"/>
        <w:ind w:left="714" w:hanging="357"/>
      </w:pPr>
      <w:bookmarkStart w:id="397" w:name="_Toc440982628"/>
      <w:r w:rsidRPr="00595B03">
        <w:t>Issue guidance and clarification for general practices on the FP69 procedure. Greater awareness of the processes for removing patients within general practices could reduce the scale of list inflation. If guidance has not previously been given to practices on the FP69 process then this should be undertaken. Once in place</w:t>
      </w:r>
      <w:r w:rsidR="00902295">
        <w:t>,</w:t>
      </w:r>
      <w:r w:rsidRPr="00595B03">
        <w:t xml:space="preserve"> this could become part of a standard rolling programme.</w:t>
      </w:r>
      <w:bookmarkEnd w:id="397"/>
    </w:p>
    <w:p w14:paraId="4F0425EB" w14:textId="2AEFDBD1" w:rsidR="002C0080" w:rsidRPr="00A553BA" w:rsidRDefault="002C0080" w:rsidP="006C3DF5">
      <w:pPr>
        <w:pStyle w:val="ListParagraph"/>
        <w:numPr>
          <w:ilvl w:val="0"/>
          <w:numId w:val="168"/>
        </w:numPr>
        <w:spacing w:line="360" w:lineRule="auto"/>
        <w:ind w:left="714" w:hanging="357"/>
      </w:pPr>
      <w:bookmarkStart w:id="398" w:name="_Toc440982629"/>
      <w:r w:rsidRPr="00595B03">
        <w:t>Test the effectiveness of undertaking checks for duplicate registrations between NHAIS</w:t>
      </w:r>
      <w:r w:rsidR="00FA0ADA">
        <w:t>/PCRM</w:t>
      </w:r>
      <w:r w:rsidRPr="00595B03">
        <w:t xml:space="preserve"> systems. A check between several systems will confirm whether this type of check would identify</w:t>
      </w:r>
      <w:r w:rsidRPr="00A553BA">
        <w:t xml:space="preserve"> duplicate registrations and if so could be developed as a standard procedure to be carried out at agreed intervals.</w:t>
      </w:r>
      <w:bookmarkEnd w:id="398"/>
    </w:p>
    <w:p w14:paraId="796B643B" w14:textId="77777777" w:rsidR="00437B60" w:rsidRPr="00EC7864" w:rsidRDefault="00437B60" w:rsidP="00EC7864"/>
    <w:p w14:paraId="6D2F8B80" w14:textId="77777777" w:rsidR="002C0080" w:rsidRPr="00F9436A" w:rsidRDefault="002C0080" w:rsidP="00A553BA">
      <w:pPr>
        <w:pStyle w:val="Heading4"/>
        <w:spacing w:before="0"/>
      </w:pPr>
      <w:bookmarkStart w:id="399" w:name="_Toc440982630"/>
      <w:r w:rsidRPr="00F9436A">
        <w:t>It is essential that work is carried out to reduce list inflation and verify practice lists but it is also important to recognise the resource implications of undertaking this work. It is equally essential that all work carried out is recorded and the outcomes monitored to evaluate the success of each initiative.</w:t>
      </w:r>
      <w:bookmarkEnd w:id="399"/>
    </w:p>
    <w:p w14:paraId="54079340" w14:textId="550DEE6E" w:rsidR="002C0080" w:rsidRPr="00F9436A" w:rsidRDefault="002C0080" w:rsidP="00A553BA">
      <w:pPr>
        <w:pStyle w:val="Heading4"/>
        <w:spacing w:before="0"/>
      </w:pPr>
      <w:bookmarkStart w:id="400" w:name="_Toc440982631"/>
      <w:r w:rsidRPr="00F9436A">
        <w:t xml:space="preserve">The </w:t>
      </w:r>
      <w:r>
        <w:t>Commissioner</w:t>
      </w:r>
      <w:r w:rsidRPr="00F9436A">
        <w:t xml:space="preserve"> should ensure that </w:t>
      </w:r>
      <w:r w:rsidR="00021E58">
        <w:t>PCSE</w:t>
      </w:r>
      <w:r w:rsidRPr="00F9436A">
        <w:t xml:space="preserve"> submits a monthly return to the </w:t>
      </w:r>
      <w:r>
        <w:t>Commissioner</w:t>
      </w:r>
      <w:r w:rsidRPr="00F9436A">
        <w:t xml:space="preserve"> detailing the work undertaken and the outcome</w:t>
      </w:r>
      <w:r w:rsidRPr="00F9436A">
        <w:rPr>
          <w:b/>
        </w:rPr>
        <w:t xml:space="preserve">. </w:t>
      </w:r>
      <w:r w:rsidRPr="00F9436A">
        <w:t>A pro-forma is attached in Annex 5 to be used to submit the monthly returns.  To streamline this process, standard reports available from the NHAIS</w:t>
      </w:r>
      <w:r w:rsidR="00021E58">
        <w:t>/PCRM</w:t>
      </w:r>
      <w:r w:rsidRPr="00F9436A">
        <w:t xml:space="preserve"> could be used to populate this pro-forma.</w:t>
      </w:r>
      <w:bookmarkEnd w:id="400"/>
    </w:p>
    <w:p w14:paraId="075B546A" w14:textId="16770689" w:rsidR="00096561" w:rsidRDefault="002C0080" w:rsidP="003D1FAF">
      <w:pPr>
        <w:pStyle w:val="Heading4"/>
        <w:spacing w:before="0"/>
      </w:pPr>
      <w:bookmarkStart w:id="401" w:name="_Toc440982632"/>
      <w:r w:rsidRPr="00F9436A">
        <w:t>Given the requirement to allow a practice six months to confirm the address before patients can be removed from the practice list, it is recognised that any list maintenance exercise could take six to nine months before benefits are realised. This needs to be considered when assessing the effectiveness of interventions.</w:t>
      </w:r>
      <w:bookmarkEnd w:id="401"/>
    </w:p>
    <w:p w14:paraId="6F427DC6" w14:textId="64E0041F" w:rsidR="00347BF9" w:rsidRDefault="00347BF9" w:rsidP="00347BF9">
      <w:pPr>
        <w:rPr>
          <w:lang w:eastAsia="en-GB"/>
        </w:rPr>
      </w:pPr>
    </w:p>
    <w:p w14:paraId="010B0862" w14:textId="1F4D5964" w:rsidR="00347BF9" w:rsidRDefault="00347BF9" w:rsidP="00347BF9">
      <w:pPr>
        <w:rPr>
          <w:lang w:eastAsia="en-GB"/>
        </w:rPr>
      </w:pPr>
    </w:p>
    <w:p w14:paraId="756B173C" w14:textId="6F7BFAC5" w:rsidR="00347BF9" w:rsidRDefault="00347BF9" w:rsidP="00347BF9">
      <w:pPr>
        <w:rPr>
          <w:lang w:eastAsia="en-GB"/>
        </w:rPr>
      </w:pPr>
    </w:p>
    <w:p w14:paraId="02505034" w14:textId="5E219F73" w:rsidR="006C46DB" w:rsidRDefault="006C46DB" w:rsidP="00347BF9">
      <w:pPr>
        <w:rPr>
          <w:lang w:eastAsia="en-GB"/>
        </w:rPr>
      </w:pPr>
    </w:p>
    <w:p w14:paraId="4AEEE056" w14:textId="492120C1" w:rsidR="006C46DB" w:rsidRDefault="006C46DB" w:rsidP="00347BF9">
      <w:pPr>
        <w:rPr>
          <w:lang w:eastAsia="en-GB"/>
        </w:rPr>
      </w:pPr>
    </w:p>
    <w:p w14:paraId="16F259F7" w14:textId="77777777" w:rsidR="006C46DB" w:rsidRPr="00347BF9" w:rsidRDefault="006C46DB" w:rsidP="00347BF9">
      <w:pPr>
        <w:rPr>
          <w:lang w:eastAsia="en-GB"/>
        </w:rPr>
      </w:pPr>
    </w:p>
    <w:p w14:paraId="106EE11D" w14:textId="77777777" w:rsidR="00096561" w:rsidRDefault="00096561" w:rsidP="003D1FAF">
      <w:pPr>
        <w:spacing w:line="360" w:lineRule="auto"/>
        <w:rPr>
          <w:rFonts w:cs="Arial"/>
          <w:bCs w:val="0"/>
          <w:sz w:val="32"/>
          <w:szCs w:val="32"/>
          <w:lang w:eastAsia="en-GB"/>
        </w:rPr>
      </w:pPr>
    </w:p>
    <w:p w14:paraId="380477A2" w14:textId="77FCC2A4" w:rsidR="00397D15" w:rsidRDefault="00397D15" w:rsidP="00B047B4">
      <w:pPr>
        <w:pStyle w:val="Heading3"/>
        <w:rPr>
          <w:b/>
        </w:rPr>
      </w:pPr>
      <w:bookmarkStart w:id="402" w:name="_Hlk5977444"/>
      <w:bookmarkStart w:id="403" w:name="_Hlk4571563"/>
      <w:r w:rsidRPr="00397D15">
        <w:rPr>
          <w:b/>
        </w:rPr>
        <w:t xml:space="preserve">Annex 1 - Stage 1 of a List Maintenance Programme </w:t>
      </w:r>
    </w:p>
    <w:p w14:paraId="36C3FE92" w14:textId="1809FD96" w:rsidR="001E0967" w:rsidRDefault="001E0967" w:rsidP="001E0967"/>
    <w:p w14:paraId="52520F1A" w14:textId="3A991873" w:rsidR="001E0967" w:rsidRDefault="000B57EE" w:rsidP="001E0967">
      <w:hyperlink r:id="rId66" w:history="1">
        <w:r w:rsidR="001E0967">
          <w:rPr>
            <w:rStyle w:val="Hyperlink"/>
          </w:rPr>
          <w:t>Stage 1 of a List Maintenance Programme</w:t>
        </w:r>
      </w:hyperlink>
    </w:p>
    <w:p w14:paraId="6D148A0B" w14:textId="77777777" w:rsidR="001E0967" w:rsidRPr="001E0967" w:rsidRDefault="001E0967" w:rsidP="001E0967"/>
    <w:bookmarkEnd w:id="402"/>
    <w:p w14:paraId="4923ABA7" w14:textId="77777777" w:rsidR="00397D15" w:rsidRPr="00B047B4" w:rsidRDefault="00397D15" w:rsidP="00B047B4"/>
    <w:p w14:paraId="249611EF" w14:textId="5BD45982" w:rsidR="00397D15" w:rsidRDefault="00397D15" w:rsidP="00B047B4">
      <w:pPr>
        <w:pStyle w:val="Heading3"/>
        <w:rPr>
          <w:b/>
        </w:rPr>
      </w:pPr>
      <w:bookmarkStart w:id="404" w:name="_Hlk5977568"/>
      <w:r w:rsidRPr="00397D15">
        <w:rPr>
          <w:b/>
        </w:rPr>
        <w:t xml:space="preserve">Annex 2 - </w:t>
      </w:r>
      <w:bookmarkStart w:id="405" w:name="_Hlk6896128"/>
      <w:r w:rsidRPr="00397D15">
        <w:rPr>
          <w:b/>
        </w:rPr>
        <w:t xml:space="preserve">Stage 2 of a List Maintenance Programme </w:t>
      </w:r>
      <w:bookmarkEnd w:id="405"/>
    </w:p>
    <w:p w14:paraId="7C7ABDEB" w14:textId="0BD4DD94" w:rsidR="001E0967" w:rsidRDefault="001E0967" w:rsidP="001E0967"/>
    <w:p w14:paraId="00453E54" w14:textId="1E4BCD05" w:rsidR="001E0967" w:rsidRDefault="000B57EE" w:rsidP="001E0967">
      <w:hyperlink r:id="rId67" w:history="1">
        <w:r w:rsidR="001E0967" w:rsidRPr="001E0967">
          <w:rPr>
            <w:rStyle w:val="Hyperlink"/>
          </w:rPr>
          <w:t>Stage 2 of a List Maintenance Programme</w:t>
        </w:r>
      </w:hyperlink>
    </w:p>
    <w:p w14:paraId="46C1A62A" w14:textId="77777777" w:rsidR="001E0967" w:rsidRPr="001E0967" w:rsidRDefault="001E0967" w:rsidP="001E0967"/>
    <w:bookmarkEnd w:id="404"/>
    <w:p w14:paraId="190A6F9C" w14:textId="77777777" w:rsidR="00397D15" w:rsidRPr="00B047B4" w:rsidRDefault="00397D15" w:rsidP="00B047B4"/>
    <w:p w14:paraId="7A019D21" w14:textId="3604381D" w:rsidR="00397D15" w:rsidRDefault="00397D15" w:rsidP="00B047B4">
      <w:pPr>
        <w:pStyle w:val="Heading3"/>
        <w:rPr>
          <w:b/>
        </w:rPr>
      </w:pPr>
      <w:bookmarkStart w:id="406" w:name="_Hlk5977635"/>
      <w:r w:rsidRPr="00397D15">
        <w:rPr>
          <w:b/>
        </w:rPr>
        <w:t xml:space="preserve">Annex 3 - Sample Letter to Patients </w:t>
      </w:r>
    </w:p>
    <w:p w14:paraId="5AE9820E" w14:textId="4B2F44E7" w:rsidR="001E0967" w:rsidRDefault="001E0967" w:rsidP="001E0967"/>
    <w:p w14:paraId="6F732862" w14:textId="6A722801" w:rsidR="001E0967" w:rsidRDefault="000B57EE" w:rsidP="001E0967">
      <w:pPr>
        <w:rPr>
          <w:rStyle w:val="Hyperlink"/>
        </w:rPr>
      </w:pPr>
      <w:hyperlink r:id="rId68" w:history="1">
        <w:r w:rsidR="001E0967" w:rsidRPr="001E0967">
          <w:rPr>
            <w:rStyle w:val="Hyperlink"/>
          </w:rPr>
          <w:t>Sample Letter to Patients</w:t>
        </w:r>
      </w:hyperlink>
    </w:p>
    <w:p w14:paraId="38758EF2" w14:textId="77777777" w:rsidR="006C46DB" w:rsidRPr="001E0967" w:rsidRDefault="006C46DB" w:rsidP="001E0967"/>
    <w:p w14:paraId="54FA5DD4" w14:textId="69168B81" w:rsidR="00397D15" w:rsidRDefault="00397D15" w:rsidP="00B047B4">
      <w:pPr>
        <w:pStyle w:val="Heading3"/>
        <w:rPr>
          <w:b/>
        </w:rPr>
      </w:pPr>
      <w:bookmarkStart w:id="407" w:name="_Hlk5977682"/>
      <w:bookmarkEnd w:id="406"/>
      <w:r w:rsidRPr="00397D15">
        <w:rPr>
          <w:b/>
        </w:rPr>
        <w:t>Annex 4 - Standard Envelope Content</w:t>
      </w:r>
      <w:bookmarkEnd w:id="407"/>
      <w:r w:rsidRPr="00397D15">
        <w:rPr>
          <w:b/>
        </w:rPr>
        <w:t xml:space="preserve"> </w:t>
      </w:r>
    </w:p>
    <w:p w14:paraId="759E7968" w14:textId="77777777" w:rsidR="001E0967" w:rsidRPr="001E0967" w:rsidRDefault="001E0967" w:rsidP="001E0967"/>
    <w:p w14:paraId="185A788E" w14:textId="22D554CE" w:rsidR="001E0967" w:rsidRDefault="000B57EE" w:rsidP="001E0967">
      <w:hyperlink r:id="rId69" w:history="1">
        <w:r w:rsidR="001E0967" w:rsidRPr="001E0967">
          <w:rPr>
            <w:rStyle w:val="Hyperlink"/>
          </w:rPr>
          <w:t>Standard Envelope Content</w:t>
        </w:r>
      </w:hyperlink>
    </w:p>
    <w:p w14:paraId="57DC07AF" w14:textId="77777777" w:rsidR="00397D15" w:rsidRPr="00B047B4" w:rsidRDefault="00397D15" w:rsidP="00B047B4"/>
    <w:p w14:paraId="00E5CE45" w14:textId="5BA48463" w:rsidR="00397D15" w:rsidRDefault="00397D15" w:rsidP="00B047B4">
      <w:pPr>
        <w:pStyle w:val="Heading3"/>
        <w:rPr>
          <w:b/>
        </w:rPr>
      </w:pPr>
      <w:bookmarkStart w:id="408" w:name="_Hlk5977796"/>
      <w:r w:rsidRPr="00397D15">
        <w:rPr>
          <w:b/>
        </w:rPr>
        <w:t>Annex 5 - Standard Monthly Return Pro-Forma</w:t>
      </w:r>
      <w:bookmarkEnd w:id="408"/>
      <w:r w:rsidRPr="00397D15">
        <w:rPr>
          <w:b/>
        </w:rPr>
        <w:t xml:space="preserve"> </w:t>
      </w:r>
    </w:p>
    <w:p w14:paraId="5177C2AC" w14:textId="77777777" w:rsidR="001E0967" w:rsidRPr="001E0967" w:rsidRDefault="001E0967" w:rsidP="001E0967"/>
    <w:p w14:paraId="5F5FF94E" w14:textId="4D0D1013" w:rsidR="001E0967" w:rsidRDefault="000B57EE" w:rsidP="00450EE4">
      <w:hyperlink r:id="rId70" w:history="1">
        <w:r w:rsidR="001E0967" w:rsidRPr="001E0967">
          <w:rPr>
            <w:rStyle w:val="Hyperlink"/>
          </w:rPr>
          <w:t>Standard Monthly Return Pro-Forma</w:t>
        </w:r>
      </w:hyperlink>
    </w:p>
    <w:p w14:paraId="13771EB3" w14:textId="77777777" w:rsidR="001E0967" w:rsidRDefault="001E0967">
      <w:r>
        <w:br w:type="page"/>
      </w:r>
    </w:p>
    <w:p w14:paraId="567091D2" w14:textId="3730BDAD" w:rsidR="003D1FAF" w:rsidRPr="00CE0885" w:rsidRDefault="00AC1DBA" w:rsidP="00DF3DF4">
      <w:pPr>
        <w:pStyle w:val="Heading2"/>
        <w:rPr>
          <w:lang w:eastAsia="en-GB"/>
        </w:rPr>
      </w:pPr>
      <w:bookmarkStart w:id="409" w:name="_Toc95743404"/>
      <w:bookmarkEnd w:id="403"/>
      <w:r>
        <w:rPr>
          <w:lang w:eastAsia="en-GB"/>
        </w:rPr>
        <w:t xml:space="preserve">Part B2: Targeted List </w:t>
      </w:r>
      <w:r w:rsidR="003D1FAF" w:rsidRPr="00CE0885">
        <w:rPr>
          <w:lang w:eastAsia="en-GB"/>
        </w:rPr>
        <w:t>Maintenance for Primary Medical Services</w:t>
      </w:r>
      <w:bookmarkEnd w:id="409"/>
    </w:p>
    <w:p w14:paraId="3796F6BD" w14:textId="77777777" w:rsidR="003D1FAF" w:rsidRPr="00DF3DF4" w:rsidRDefault="003D1FAF" w:rsidP="00DF3DF4">
      <w:pPr>
        <w:pStyle w:val="Heading3"/>
        <w:rPr>
          <w:b/>
          <w:lang w:eastAsia="en-GB"/>
        </w:rPr>
      </w:pPr>
      <w:r w:rsidRPr="00DF3DF4">
        <w:rPr>
          <w:b/>
          <w:lang w:eastAsia="en-GB"/>
        </w:rPr>
        <w:t>Background</w:t>
      </w:r>
    </w:p>
    <w:p w14:paraId="35847525" w14:textId="4CD078E6" w:rsidR="003D1FAF" w:rsidRPr="001C30D0" w:rsidRDefault="003D1FAF" w:rsidP="009306F8">
      <w:pPr>
        <w:pStyle w:val="Heading4"/>
        <w:rPr>
          <w:rFonts w:cs="Arial"/>
          <w:bCs/>
          <w:szCs w:val="24"/>
          <w:highlight w:val="yellow"/>
        </w:rPr>
      </w:pPr>
      <w:r w:rsidRPr="001C30D0">
        <w:rPr>
          <w:rFonts w:cs="Arial"/>
          <w:bCs/>
          <w:szCs w:val="24"/>
          <w:highlight w:val="yellow"/>
        </w:rPr>
        <w:t>The Office for National Statistics regularly publishes mid-year population estimates</w:t>
      </w:r>
      <w:r w:rsidR="00021E58" w:rsidRPr="001C30D0">
        <w:rPr>
          <w:rFonts w:cs="Arial"/>
          <w:bCs/>
          <w:szCs w:val="24"/>
          <w:highlight w:val="yellow"/>
        </w:rPr>
        <w:t xml:space="preserve">, currently </w:t>
      </w:r>
      <w:r w:rsidRPr="001C30D0">
        <w:rPr>
          <w:rFonts w:cs="Arial"/>
          <w:bCs/>
          <w:szCs w:val="24"/>
          <w:highlight w:val="yellow"/>
        </w:rPr>
        <w:t>down to the level of CCG</w:t>
      </w:r>
      <w:r w:rsidR="00021E58" w:rsidRPr="001C30D0">
        <w:rPr>
          <w:rFonts w:cs="Arial"/>
          <w:bCs/>
          <w:szCs w:val="24"/>
          <w:highlight w:val="yellow"/>
        </w:rPr>
        <w:t xml:space="preserve">, </w:t>
      </w:r>
      <w:r w:rsidRPr="001C30D0">
        <w:rPr>
          <w:rFonts w:cs="Arial"/>
          <w:bCs/>
          <w:szCs w:val="24"/>
          <w:highlight w:val="yellow"/>
        </w:rPr>
        <w:t xml:space="preserve"> (</w:t>
      </w:r>
      <w:hyperlink r:id="rId71" w:history="1">
        <w:r w:rsidRPr="001C30D0">
          <w:rPr>
            <w:rFonts w:cs="Arial"/>
            <w:bCs/>
            <w:color w:val="005EB8" w:themeColor="text2"/>
            <w:szCs w:val="24"/>
            <w:highlight w:val="yellow"/>
            <w:u w:val="single"/>
          </w:rPr>
          <w:t>ONS CCG Mid-Year Population Estimates</w:t>
        </w:r>
      </w:hyperlink>
      <w:r w:rsidRPr="001C30D0">
        <w:rPr>
          <w:rFonts w:cs="Arial"/>
          <w:bCs/>
          <w:szCs w:val="24"/>
          <w:highlight w:val="yellow"/>
        </w:rPr>
        <w:t>) Middle Super Output Area (</w:t>
      </w:r>
      <w:hyperlink r:id="rId72" w:history="1">
        <w:r w:rsidRPr="001C30D0">
          <w:rPr>
            <w:color w:val="005EB8" w:themeColor="text2"/>
            <w:highlight w:val="yellow"/>
            <w:u w:val="single"/>
          </w:rPr>
          <w:t>ONS MSOA Populations</w:t>
        </w:r>
      </w:hyperlink>
      <w:r w:rsidRPr="001C30D0">
        <w:rPr>
          <w:rFonts w:cs="Arial"/>
          <w:bCs/>
          <w:szCs w:val="24"/>
          <w:highlight w:val="yellow"/>
        </w:rPr>
        <w:t xml:space="preserve">) and Lower Super Output Area </w:t>
      </w:r>
      <w:hyperlink r:id="rId73" w:history="1">
        <w:r w:rsidRPr="001C30D0">
          <w:rPr>
            <w:rFonts w:cs="Arial"/>
            <w:bCs/>
            <w:szCs w:val="24"/>
            <w:highlight w:val="yellow"/>
            <w:u w:val="single"/>
          </w:rPr>
          <w:t>(</w:t>
        </w:r>
        <w:r w:rsidRPr="001C30D0">
          <w:rPr>
            <w:color w:val="005EB8" w:themeColor="text2"/>
            <w:highlight w:val="yellow"/>
            <w:u w:val="single"/>
          </w:rPr>
          <w:t>ONS LSOA Populations</w:t>
        </w:r>
        <w:r w:rsidRPr="001C30D0">
          <w:rPr>
            <w:rFonts w:cs="Arial"/>
            <w:bCs/>
            <w:szCs w:val="24"/>
            <w:highlight w:val="yellow"/>
            <w:u w:val="single"/>
          </w:rPr>
          <w:t>)</w:t>
        </w:r>
      </w:hyperlink>
      <w:r w:rsidRPr="001C30D0">
        <w:rPr>
          <w:rFonts w:cs="Arial"/>
          <w:bCs/>
          <w:szCs w:val="24"/>
          <w:highlight w:val="yellow"/>
        </w:rPr>
        <w:t>.  Using these population estimates alongside the numbers of patients registered at a GP practice (</w:t>
      </w:r>
      <w:hyperlink r:id="rId74" w:history="1">
        <w:r w:rsidRPr="001C30D0">
          <w:rPr>
            <w:color w:val="005EB8" w:themeColor="text2"/>
            <w:highlight w:val="yellow"/>
            <w:u w:val="single"/>
          </w:rPr>
          <w:t>NHS Digital published GP Registered Populations</w:t>
        </w:r>
      </w:hyperlink>
      <w:r w:rsidRPr="001C30D0">
        <w:rPr>
          <w:rFonts w:cs="Arial"/>
          <w:bCs/>
          <w:szCs w:val="24"/>
          <w:highlight w:val="yellow"/>
        </w:rPr>
        <w:t>) and other sources of local intelligence such as patient postcode list, can assist in determining at a local level, whether the difference could warrant further investigation.</w:t>
      </w:r>
    </w:p>
    <w:p w14:paraId="358EE708" w14:textId="77777777" w:rsidR="003D1FAF" w:rsidRPr="00DF3DF4" w:rsidRDefault="003D1FAF" w:rsidP="00DF3DF4">
      <w:pPr>
        <w:pStyle w:val="Heading3"/>
        <w:rPr>
          <w:b/>
          <w:lang w:eastAsia="en-GB"/>
        </w:rPr>
      </w:pPr>
      <w:r w:rsidRPr="00DF3DF4">
        <w:rPr>
          <w:b/>
          <w:lang w:eastAsia="en-GB"/>
        </w:rPr>
        <w:t xml:space="preserve">Scope </w:t>
      </w:r>
    </w:p>
    <w:p w14:paraId="4641E889" w14:textId="77777777" w:rsidR="003D1FAF" w:rsidRPr="00CE0885" w:rsidRDefault="003D1FAF" w:rsidP="009306F8">
      <w:pPr>
        <w:pStyle w:val="Heading4"/>
      </w:pPr>
      <w:r w:rsidRPr="00CE0885">
        <w:t>This short Part B2 sets out some considerations and investigations that could be undertaken to determine whether a targeted list validation exercise may be beneficial within the commissioning area and what that could involve.</w:t>
      </w:r>
    </w:p>
    <w:p w14:paraId="6982A64F" w14:textId="77777777" w:rsidR="003D1FAF" w:rsidRPr="00CE0885" w:rsidRDefault="003D1FAF" w:rsidP="009306F8">
      <w:pPr>
        <w:pStyle w:val="Heading4"/>
      </w:pPr>
      <w:r w:rsidRPr="00CE0885">
        <w:t>A key line of enquiry in national counter fraud exercises, often relates to list maintenance and so GP practices may welcome support in proactively reviewing their registered list.</w:t>
      </w:r>
    </w:p>
    <w:p w14:paraId="54331D08" w14:textId="77777777" w:rsidR="003D1FAF" w:rsidRPr="00CE0885" w:rsidRDefault="003D1FAF" w:rsidP="003331F2">
      <w:pPr>
        <w:pStyle w:val="BodyText"/>
      </w:pPr>
    </w:p>
    <w:p w14:paraId="47EDB12B" w14:textId="77777777" w:rsidR="003D1FAF" w:rsidRPr="00DF3DF4" w:rsidRDefault="003D1FAF" w:rsidP="00DF3DF4">
      <w:pPr>
        <w:pStyle w:val="Heading3"/>
        <w:rPr>
          <w:b/>
          <w:lang w:eastAsia="en-GB"/>
        </w:rPr>
      </w:pPr>
      <w:r w:rsidRPr="00DF3DF4">
        <w:rPr>
          <w:b/>
          <w:lang w:eastAsia="en-GB"/>
        </w:rPr>
        <w:t>Available Data Sources</w:t>
      </w:r>
    </w:p>
    <w:p w14:paraId="04B2A2BB" w14:textId="77777777" w:rsidR="003D1FAF" w:rsidRPr="00CE0885" w:rsidRDefault="003D1FAF" w:rsidP="009306F8">
      <w:pPr>
        <w:pStyle w:val="Heading4"/>
      </w:pPr>
      <w:r w:rsidRPr="00CE0885">
        <w:t>Of the data sources listed below, not all will be available to all organisations (e.g. patient level data cannot be held by NHS England)</w:t>
      </w:r>
    </w:p>
    <w:p w14:paraId="541986D2" w14:textId="77777777" w:rsidR="003D1FAF" w:rsidRPr="00CE0885" w:rsidRDefault="003D1FAF" w:rsidP="009306F8">
      <w:pPr>
        <w:pStyle w:val="Heading4"/>
      </w:pPr>
      <w:r w:rsidRPr="00CE0885">
        <w:t>Data Providers:</w:t>
      </w:r>
    </w:p>
    <w:p w14:paraId="72560A8A" w14:textId="77777777" w:rsidR="003D1FAF" w:rsidRPr="009306F8" w:rsidRDefault="003D1FAF" w:rsidP="00BF1FEC">
      <w:pPr>
        <w:pStyle w:val="Heading5"/>
      </w:pPr>
      <w:r w:rsidRPr="009306F8">
        <w:t>NHS Digital</w:t>
      </w:r>
    </w:p>
    <w:p w14:paraId="69DF51AE" w14:textId="77777777" w:rsidR="003D1FAF" w:rsidRPr="00CE0885" w:rsidRDefault="003D1FAF" w:rsidP="006C3DF5">
      <w:pPr>
        <w:pStyle w:val="ListParagraph"/>
        <w:widowControl w:val="0"/>
        <w:numPr>
          <w:ilvl w:val="1"/>
          <w:numId w:val="63"/>
        </w:numPr>
        <w:spacing w:line="360" w:lineRule="auto"/>
        <w:jc w:val="both"/>
        <w:rPr>
          <w:rFonts w:cs="Arial"/>
          <w:bCs w:val="0"/>
          <w:szCs w:val="24"/>
          <w:lang w:eastAsia="en-GB"/>
        </w:rPr>
      </w:pPr>
      <w:r w:rsidRPr="00CE0885">
        <w:rPr>
          <w:rFonts w:cs="Arial"/>
          <w:bCs w:val="0"/>
          <w:szCs w:val="24"/>
          <w:lang w:eastAsia="en-GB"/>
        </w:rPr>
        <w:t>Number of Patients Registered at a GP Practice</w:t>
      </w:r>
    </w:p>
    <w:p w14:paraId="374D82A9" w14:textId="016A1497" w:rsidR="003D1FAF" w:rsidRPr="00CE0885" w:rsidRDefault="003D1FAF" w:rsidP="006C3DF5">
      <w:pPr>
        <w:pStyle w:val="ListParagraph"/>
        <w:widowControl w:val="0"/>
        <w:numPr>
          <w:ilvl w:val="1"/>
          <w:numId w:val="63"/>
        </w:numPr>
        <w:spacing w:line="360" w:lineRule="auto"/>
        <w:jc w:val="both"/>
        <w:rPr>
          <w:rFonts w:cs="Arial"/>
          <w:bCs w:val="0"/>
          <w:szCs w:val="24"/>
          <w:lang w:eastAsia="en-GB"/>
        </w:rPr>
      </w:pPr>
      <w:r w:rsidRPr="00CE0885">
        <w:rPr>
          <w:rFonts w:cs="Arial"/>
          <w:bCs w:val="0"/>
          <w:szCs w:val="24"/>
          <w:lang w:eastAsia="en-GB"/>
        </w:rPr>
        <w:t>Number of Patients Registered at a GP Practice (</w:t>
      </w:r>
      <w:r w:rsidR="00C87ED8">
        <w:rPr>
          <w:rFonts w:cs="Arial"/>
          <w:bCs w:val="0"/>
          <w:szCs w:val="24"/>
          <w:lang w:eastAsia="en-GB"/>
        </w:rPr>
        <w:t>PCN/</w:t>
      </w:r>
      <w:r w:rsidR="00B83042">
        <w:rPr>
          <w:rFonts w:cs="Arial"/>
          <w:bCs w:val="0"/>
          <w:szCs w:val="24"/>
          <w:lang w:eastAsia="en-GB"/>
        </w:rPr>
        <w:t>CCG/ICB</w:t>
      </w:r>
      <w:r w:rsidRPr="00CE0885">
        <w:rPr>
          <w:rFonts w:cs="Arial"/>
          <w:bCs w:val="0"/>
          <w:szCs w:val="24"/>
          <w:lang w:eastAsia="en-GB"/>
        </w:rPr>
        <w:t xml:space="preserve"> Level)</w:t>
      </w:r>
    </w:p>
    <w:p w14:paraId="339A704D" w14:textId="77777777" w:rsidR="003D1FAF" w:rsidRPr="00CE0885" w:rsidRDefault="003D1FAF" w:rsidP="006C3DF5">
      <w:pPr>
        <w:pStyle w:val="ListParagraph"/>
        <w:widowControl w:val="0"/>
        <w:numPr>
          <w:ilvl w:val="1"/>
          <w:numId w:val="63"/>
        </w:numPr>
        <w:spacing w:line="360" w:lineRule="auto"/>
        <w:jc w:val="both"/>
        <w:rPr>
          <w:rFonts w:cs="Arial"/>
          <w:bCs w:val="0"/>
          <w:szCs w:val="24"/>
          <w:lang w:eastAsia="en-GB"/>
        </w:rPr>
      </w:pPr>
      <w:r w:rsidRPr="00CE0885">
        <w:rPr>
          <w:rFonts w:cs="Arial"/>
          <w:bCs w:val="0"/>
          <w:szCs w:val="24"/>
          <w:lang w:eastAsia="en-GB"/>
        </w:rPr>
        <w:t>Number of Patients Registered at a GP Practice (NHS England Commissioning Region)</w:t>
      </w:r>
    </w:p>
    <w:p w14:paraId="46D30AD2" w14:textId="77777777" w:rsidR="003D1FAF" w:rsidRPr="00CE0885" w:rsidRDefault="003D1FAF" w:rsidP="006C3DF5">
      <w:pPr>
        <w:pStyle w:val="ListParagraph"/>
        <w:widowControl w:val="0"/>
        <w:numPr>
          <w:ilvl w:val="1"/>
          <w:numId w:val="63"/>
        </w:numPr>
        <w:spacing w:line="360" w:lineRule="auto"/>
        <w:jc w:val="both"/>
        <w:rPr>
          <w:rFonts w:cs="Arial"/>
          <w:bCs w:val="0"/>
          <w:szCs w:val="24"/>
          <w:lang w:eastAsia="en-GB"/>
        </w:rPr>
      </w:pPr>
      <w:r w:rsidRPr="00CE0885">
        <w:rPr>
          <w:rFonts w:cs="Arial"/>
          <w:bCs w:val="0"/>
          <w:szCs w:val="24"/>
          <w:lang w:eastAsia="en-GB"/>
        </w:rPr>
        <w:t>Number of Patients Registered at a GP Practice mapped to LSOA</w:t>
      </w:r>
    </w:p>
    <w:p w14:paraId="2952F3C1" w14:textId="77777777" w:rsidR="003D1FAF" w:rsidRPr="00BF1FEC" w:rsidRDefault="003D1FAF" w:rsidP="006C3DF5">
      <w:pPr>
        <w:pStyle w:val="ListParagraph"/>
        <w:widowControl w:val="0"/>
        <w:numPr>
          <w:ilvl w:val="1"/>
          <w:numId w:val="63"/>
        </w:numPr>
        <w:spacing w:line="360" w:lineRule="auto"/>
        <w:jc w:val="both"/>
        <w:rPr>
          <w:rFonts w:cs="Arial"/>
          <w:bCs w:val="0"/>
          <w:szCs w:val="24"/>
          <w:lang w:eastAsia="en-GB"/>
        </w:rPr>
      </w:pPr>
      <w:r w:rsidRPr="00BF1FEC">
        <w:rPr>
          <w:rFonts w:cs="Arial"/>
          <w:bCs w:val="0"/>
          <w:szCs w:val="24"/>
          <w:lang w:eastAsia="en-GB"/>
        </w:rPr>
        <w:t>From April 2017, NHS Digital began publishing these data monthly, prior to this the publication were quarterly on the first day of April, July, October and January.</w:t>
      </w:r>
    </w:p>
    <w:p w14:paraId="6E5E084E" w14:textId="60AD4F72" w:rsidR="003D1FAF" w:rsidRPr="00BF1FEC" w:rsidRDefault="003D1FAF" w:rsidP="006C3DF5">
      <w:pPr>
        <w:pStyle w:val="ListParagraph"/>
        <w:widowControl w:val="0"/>
        <w:numPr>
          <w:ilvl w:val="1"/>
          <w:numId w:val="63"/>
        </w:numPr>
        <w:spacing w:line="360" w:lineRule="auto"/>
        <w:jc w:val="both"/>
        <w:rPr>
          <w:rFonts w:cs="Arial"/>
          <w:bCs w:val="0"/>
          <w:szCs w:val="24"/>
          <w:lang w:eastAsia="en-GB"/>
        </w:rPr>
      </w:pPr>
      <w:r w:rsidRPr="00BF1FEC">
        <w:rPr>
          <w:rFonts w:cs="Arial"/>
          <w:bCs w:val="0"/>
          <w:szCs w:val="24"/>
          <w:lang w:eastAsia="en-GB"/>
        </w:rPr>
        <w:t>Each of these data is available in both 5 year age groups and single year of age (by male, female and total). Files are available to download for onward analysis, but NHS Digital also provide</w:t>
      </w:r>
      <w:r w:rsidR="00902295">
        <w:rPr>
          <w:rFonts w:cs="Arial"/>
          <w:bCs w:val="0"/>
          <w:szCs w:val="24"/>
          <w:lang w:eastAsia="en-GB"/>
        </w:rPr>
        <w:t>s</w:t>
      </w:r>
      <w:r w:rsidRPr="00BF1FEC">
        <w:rPr>
          <w:rFonts w:cs="Arial"/>
          <w:bCs w:val="0"/>
          <w:szCs w:val="24"/>
          <w:lang w:eastAsia="en-GB"/>
        </w:rPr>
        <w:t xml:space="preserve"> an interactive platform called the General Practice Data Hub </w:t>
      </w:r>
      <w:hyperlink r:id="rId75" w:history="1">
        <w:r w:rsidRPr="00137449">
          <w:rPr>
            <w:rFonts w:cs="Arial"/>
            <w:bCs w:val="0"/>
            <w:color w:val="0000FF"/>
            <w:szCs w:val="24"/>
            <w:u w:val="single"/>
            <w:lang w:eastAsia="en-GB"/>
          </w:rPr>
          <w:t>https://www.digital.nhs.uk/gp-data-hub</w:t>
        </w:r>
      </w:hyperlink>
      <w:r w:rsidRPr="00BF1FEC">
        <w:rPr>
          <w:rFonts w:cs="Arial"/>
          <w:bCs w:val="0"/>
          <w:szCs w:val="24"/>
          <w:lang w:eastAsia="en-GB"/>
        </w:rPr>
        <w:t xml:space="preserve"> </w:t>
      </w:r>
    </w:p>
    <w:p w14:paraId="3CAE40A3" w14:textId="77777777" w:rsidR="00BF1FEC" w:rsidRPr="00BF1FEC" w:rsidRDefault="00BF1FEC" w:rsidP="00BF1FEC">
      <w:pPr>
        <w:rPr>
          <w:lang w:eastAsia="en-GB"/>
        </w:rPr>
      </w:pPr>
    </w:p>
    <w:p w14:paraId="691AEB58" w14:textId="3E933EAF" w:rsidR="003D1FAF" w:rsidRPr="00CE0885" w:rsidRDefault="003D1FAF" w:rsidP="00914763">
      <w:pPr>
        <w:widowControl w:val="0"/>
        <w:spacing w:line="360" w:lineRule="auto"/>
        <w:jc w:val="both"/>
        <w:rPr>
          <w:rFonts w:cs="Arial"/>
          <w:bCs w:val="0"/>
          <w:szCs w:val="24"/>
          <w:lang w:eastAsia="en-GB"/>
        </w:rPr>
      </w:pPr>
    </w:p>
    <w:p w14:paraId="48C2AFCB" w14:textId="77777777" w:rsidR="003D1FAF" w:rsidRPr="00CE0885" w:rsidRDefault="003D1FAF" w:rsidP="00BF1FEC">
      <w:pPr>
        <w:pStyle w:val="Heading5"/>
      </w:pPr>
      <w:r w:rsidRPr="00CE0885">
        <w:t>Office for National Statistics</w:t>
      </w:r>
    </w:p>
    <w:p w14:paraId="6FDEE505" w14:textId="77777777" w:rsidR="003D1FAF" w:rsidRPr="00CE0885" w:rsidRDefault="003D1FAF" w:rsidP="006C3DF5">
      <w:pPr>
        <w:pStyle w:val="ListParagraph"/>
        <w:widowControl w:val="0"/>
        <w:numPr>
          <w:ilvl w:val="1"/>
          <w:numId w:val="63"/>
        </w:numPr>
        <w:spacing w:line="360" w:lineRule="auto"/>
        <w:jc w:val="both"/>
        <w:rPr>
          <w:rFonts w:cs="Arial"/>
          <w:bCs w:val="0"/>
          <w:szCs w:val="24"/>
          <w:lang w:eastAsia="en-GB"/>
        </w:rPr>
      </w:pPr>
      <w:r w:rsidRPr="00CE0885">
        <w:rPr>
          <w:rFonts w:cs="Arial"/>
          <w:bCs w:val="0"/>
          <w:szCs w:val="24"/>
          <w:lang w:eastAsia="en-GB"/>
        </w:rPr>
        <w:t>Clinical Commissioning Group Mid-Year Population Estimates</w:t>
      </w:r>
    </w:p>
    <w:p w14:paraId="5504EEB2" w14:textId="77777777" w:rsidR="003D1FAF" w:rsidRPr="00CE0885" w:rsidRDefault="003D1FAF" w:rsidP="006C3DF5">
      <w:pPr>
        <w:pStyle w:val="ListParagraph"/>
        <w:widowControl w:val="0"/>
        <w:numPr>
          <w:ilvl w:val="1"/>
          <w:numId w:val="63"/>
        </w:numPr>
        <w:spacing w:line="360" w:lineRule="auto"/>
        <w:jc w:val="both"/>
        <w:rPr>
          <w:rFonts w:cs="Arial"/>
          <w:bCs w:val="0"/>
          <w:szCs w:val="24"/>
          <w:lang w:eastAsia="en-GB"/>
        </w:rPr>
      </w:pPr>
      <w:r w:rsidRPr="00CE0885">
        <w:rPr>
          <w:rFonts w:cs="Arial"/>
          <w:bCs w:val="0"/>
          <w:szCs w:val="24"/>
          <w:lang w:eastAsia="en-GB"/>
        </w:rPr>
        <w:t>Middle Super Output Area Mid-Year Population Estimates</w:t>
      </w:r>
    </w:p>
    <w:p w14:paraId="6E72DD61" w14:textId="2C0A4F09" w:rsidR="00BF1FEC" w:rsidRPr="00BF1FEC" w:rsidRDefault="003D1FAF" w:rsidP="006C3DF5">
      <w:pPr>
        <w:pStyle w:val="ListParagraph"/>
        <w:widowControl w:val="0"/>
        <w:numPr>
          <w:ilvl w:val="1"/>
          <w:numId w:val="63"/>
        </w:numPr>
        <w:spacing w:line="360" w:lineRule="auto"/>
        <w:ind w:left="1414"/>
        <w:jc w:val="both"/>
        <w:rPr>
          <w:rFonts w:cs="Arial"/>
          <w:bCs w:val="0"/>
          <w:szCs w:val="24"/>
          <w:lang w:eastAsia="en-GB"/>
        </w:rPr>
      </w:pPr>
      <w:r w:rsidRPr="00BF1FEC">
        <w:rPr>
          <w:rFonts w:cs="Arial"/>
          <w:bCs w:val="0"/>
          <w:szCs w:val="24"/>
          <w:lang w:eastAsia="en-GB"/>
        </w:rPr>
        <w:t>Lower Super Output Area Mid-Year Population Estimates</w:t>
      </w:r>
    </w:p>
    <w:p w14:paraId="4DDAA830" w14:textId="77777777" w:rsidR="003D1FAF" w:rsidRPr="00CE0885" w:rsidRDefault="003D1FAF" w:rsidP="006C3DF5">
      <w:pPr>
        <w:pStyle w:val="ListParagraph"/>
        <w:widowControl w:val="0"/>
        <w:numPr>
          <w:ilvl w:val="1"/>
          <w:numId w:val="63"/>
        </w:numPr>
        <w:spacing w:line="360" w:lineRule="auto"/>
        <w:jc w:val="both"/>
        <w:rPr>
          <w:rFonts w:cs="Arial"/>
          <w:bCs w:val="0"/>
          <w:szCs w:val="24"/>
          <w:lang w:eastAsia="en-GB"/>
        </w:rPr>
      </w:pPr>
      <w:r w:rsidRPr="00CE0885">
        <w:rPr>
          <w:rFonts w:cs="Arial"/>
          <w:bCs w:val="0"/>
          <w:szCs w:val="24"/>
          <w:lang w:eastAsia="en-GB"/>
        </w:rPr>
        <w:t>The Office for National Statistics publish these data annually, usually at the end of October each year, for the previous year.</w:t>
      </w:r>
    </w:p>
    <w:p w14:paraId="53FC0257" w14:textId="77777777" w:rsidR="003D1FAF" w:rsidRPr="00DF3DF4" w:rsidRDefault="003D1FAF" w:rsidP="00BF1FEC">
      <w:pPr>
        <w:pStyle w:val="Heading5"/>
      </w:pPr>
      <w:r w:rsidRPr="00DF3DF4">
        <w:t>Data.gov.uk</w:t>
      </w:r>
    </w:p>
    <w:p w14:paraId="05F2A88A" w14:textId="0BBFEDCB" w:rsidR="003D1FAF" w:rsidRPr="00CE0885" w:rsidRDefault="003D1FAF" w:rsidP="006C3DF5">
      <w:pPr>
        <w:pStyle w:val="ListParagraph"/>
        <w:widowControl w:val="0"/>
        <w:numPr>
          <w:ilvl w:val="1"/>
          <w:numId w:val="63"/>
        </w:numPr>
        <w:spacing w:line="360" w:lineRule="auto"/>
        <w:jc w:val="both"/>
        <w:rPr>
          <w:rFonts w:cs="Arial"/>
          <w:bCs w:val="0"/>
          <w:szCs w:val="24"/>
          <w:lang w:eastAsia="en-GB"/>
        </w:rPr>
      </w:pPr>
      <w:r w:rsidRPr="00CE0885">
        <w:rPr>
          <w:rFonts w:cs="Arial"/>
          <w:bCs w:val="0"/>
          <w:szCs w:val="24"/>
          <w:lang w:eastAsia="en-GB"/>
        </w:rPr>
        <w:t xml:space="preserve">Postcode to Output Area to Lower Layer Super Output Area to Middle Layer Super Output Area to Local Authority District Lookups </w:t>
      </w:r>
      <w:r w:rsidR="00FE7B61" w:rsidRPr="00CE0885">
        <w:rPr>
          <w:rFonts w:cs="Arial"/>
          <w:bCs w:val="0"/>
          <w:szCs w:val="24"/>
          <w:lang w:eastAsia="en-GB"/>
        </w:rPr>
        <w:t>for in</w:t>
      </w:r>
      <w:r w:rsidRPr="00CE0885">
        <w:rPr>
          <w:rFonts w:cs="Arial"/>
          <w:bCs w:val="0"/>
          <w:szCs w:val="24"/>
          <w:lang w:eastAsia="en-GB"/>
        </w:rPr>
        <w:t xml:space="preserve"> England and Wales</w:t>
      </w:r>
    </w:p>
    <w:p w14:paraId="49385CF2" w14:textId="5D641AF2" w:rsidR="003D1FAF" w:rsidRDefault="003D1FAF" w:rsidP="003D1FAF">
      <w:pPr>
        <w:widowControl w:val="0"/>
        <w:spacing w:line="360" w:lineRule="auto"/>
        <w:ind w:left="1414"/>
        <w:jc w:val="both"/>
        <w:rPr>
          <w:rFonts w:cs="Arial"/>
          <w:bCs w:val="0"/>
          <w:szCs w:val="24"/>
          <w:lang w:eastAsia="en-GB"/>
        </w:rPr>
      </w:pPr>
    </w:p>
    <w:p w14:paraId="45B0CBAC" w14:textId="53D01A03" w:rsidR="00914763" w:rsidRDefault="00914763" w:rsidP="00914763">
      <w:pPr>
        <w:widowControl w:val="0"/>
        <w:spacing w:line="360" w:lineRule="auto"/>
        <w:jc w:val="both"/>
        <w:rPr>
          <w:rFonts w:cs="Arial"/>
          <w:bCs w:val="0"/>
          <w:szCs w:val="24"/>
          <w:lang w:eastAsia="en-GB"/>
        </w:rPr>
      </w:pPr>
    </w:p>
    <w:p w14:paraId="7182C4B2" w14:textId="73B28EFD" w:rsidR="00914763" w:rsidRDefault="00914763" w:rsidP="00914763">
      <w:pPr>
        <w:widowControl w:val="0"/>
        <w:spacing w:line="360" w:lineRule="auto"/>
        <w:jc w:val="both"/>
        <w:rPr>
          <w:rFonts w:cs="Arial"/>
          <w:bCs w:val="0"/>
          <w:szCs w:val="24"/>
          <w:lang w:eastAsia="en-GB"/>
        </w:rPr>
      </w:pPr>
    </w:p>
    <w:p w14:paraId="24246690" w14:textId="48AA898A" w:rsidR="00914763" w:rsidRDefault="00914763" w:rsidP="00914763">
      <w:pPr>
        <w:widowControl w:val="0"/>
        <w:spacing w:line="360" w:lineRule="auto"/>
        <w:jc w:val="both"/>
        <w:rPr>
          <w:rFonts w:cs="Arial"/>
          <w:bCs w:val="0"/>
          <w:szCs w:val="24"/>
          <w:lang w:eastAsia="en-GB"/>
        </w:rPr>
      </w:pPr>
    </w:p>
    <w:p w14:paraId="516B55E3" w14:textId="6647B6AE" w:rsidR="00914763" w:rsidRDefault="00914763" w:rsidP="00914763">
      <w:pPr>
        <w:widowControl w:val="0"/>
        <w:spacing w:line="360" w:lineRule="auto"/>
        <w:jc w:val="both"/>
        <w:rPr>
          <w:rFonts w:cs="Arial"/>
          <w:bCs w:val="0"/>
          <w:szCs w:val="24"/>
          <w:lang w:eastAsia="en-GB"/>
        </w:rPr>
      </w:pPr>
    </w:p>
    <w:p w14:paraId="68381709" w14:textId="7B431809" w:rsidR="00914763" w:rsidRDefault="00914763" w:rsidP="00914763">
      <w:pPr>
        <w:widowControl w:val="0"/>
        <w:spacing w:line="360" w:lineRule="auto"/>
        <w:jc w:val="both"/>
        <w:rPr>
          <w:rFonts w:cs="Arial"/>
          <w:bCs w:val="0"/>
          <w:szCs w:val="24"/>
          <w:lang w:eastAsia="en-GB"/>
        </w:rPr>
      </w:pPr>
    </w:p>
    <w:p w14:paraId="57FE15BE" w14:textId="25E86114" w:rsidR="00914763" w:rsidRDefault="00914763" w:rsidP="00914763">
      <w:pPr>
        <w:widowControl w:val="0"/>
        <w:spacing w:line="360" w:lineRule="auto"/>
        <w:jc w:val="both"/>
        <w:rPr>
          <w:rFonts w:cs="Arial"/>
          <w:bCs w:val="0"/>
          <w:szCs w:val="24"/>
          <w:lang w:eastAsia="en-GB"/>
        </w:rPr>
      </w:pPr>
    </w:p>
    <w:p w14:paraId="5EE0FFD0" w14:textId="0022A797" w:rsidR="00914763" w:rsidRDefault="00914763" w:rsidP="00914763">
      <w:pPr>
        <w:widowControl w:val="0"/>
        <w:spacing w:line="360" w:lineRule="auto"/>
        <w:jc w:val="both"/>
        <w:rPr>
          <w:rFonts w:cs="Arial"/>
          <w:bCs w:val="0"/>
          <w:szCs w:val="24"/>
          <w:lang w:eastAsia="en-GB"/>
        </w:rPr>
      </w:pPr>
    </w:p>
    <w:p w14:paraId="4C83FE5C" w14:textId="13FF5D9D" w:rsidR="00914763" w:rsidRDefault="00914763" w:rsidP="00914763">
      <w:pPr>
        <w:widowControl w:val="0"/>
        <w:spacing w:line="360" w:lineRule="auto"/>
        <w:jc w:val="both"/>
        <w:rPr>
          <w:rFonts w:cs="Arial"/>
          <w:bCs w:val="0"/>
          <w:szCs w:val="24"/>
          <w:lang w:eastAsia="en-GB"/>
        </w:rPr>
      </w:pPr>
    </w:p>
    <w:p w14:paraId="46B7127F" w14:textId="49890DCB" w:rsidR="00914763" w:rsidRDefault="00914763" w:rsidP="00914763">
      <w:pPr>
        <w:widowControl w:val="0"/>
        <w:spacing w:line="360" w:lineRule="auto"/>
        <w:jc w:val="both"/>
        <w:rPr>
          <w:rFonts w:cs="Arial"/>
          <w:bCs w:val="0"/>
          <w:szCs w:val="24"/>
          <w:lang w:eastAsia="en-GB"/>
        </w:rPr>
      </w:pPr>
    </w:p>
    <w:p w14:paraId="29E2EEED" w14:textId="6325AB8B" w:rsidR="00914763" w:rsidRDefault="00914763" w:rsidP="00914763">
      <w:pPr>
        <w:widowControl w:val="0"/>
        <w:spacing w:line="360" w:lineRule="auto"/>
        <w:jc w:val="both"/>
        <w:rPr>
          <w:rFonts w:cs="Arial"/>
          <w:bCs w:val="0"/>
          <w:szCs w:val="24"/>
          <w:lang w:eastAsia="en-GB"/>
        </w:rPr>
      </w:pPr>
    </w:p>
    <w:p w14:paraId="3732E53D" w14:textId="77777777" w:rsidR="00914763" w:rsidRDefault="00914763" w:rsidP="00914763">
      <w:pPr>
        <w:widowControl w:val="0"/>
        <w:spacing w:line="360" w:lineRule="auto"/>
        <w:jc w:val="both"/>
        <w:rPr>
          <w:rFonts w:cs="Arial"/>
          <w:bCs w:val="0"/>
          <w:szCs w:val="24"/>
          <w:lang w:eastAsia="en-GB"/>
        </w:rPr>
      </w:pPr>
    </w:p>
    <w:p w14:paraId="6019D343" w14:textId="77777777" w:rsidR="00914763" w:rsidRPr="00CE0885" w:rsidRDefault="00914763" w:rsidP="00914763">
      <w:pPr>
        <w:widowControl w:val="0"/>
        <w:spacing w:line="360" w:lineRule="auto"/>
        <w:jc w:val="both"/>
        <w:rPr>
          <w:rFonts w:cs="Arial"/>
          <w:bCs w:val="0"/>
          <w:szCs w:val="24"/>
          <w:lang w:eastAsia="en-GB"/>
        </w:rPr>
      </w:pPr>
    </w:p>
    <w:p w14:paraId="12528D34" w14:textId="77777777" w:rsidR="003D1FAF" w:rsidRPr="00CE0885" w:rsidRDefault="003D1FAF" w:rsidP="00914763">
      <w:pPr>
        <w:widowControl w:val="0"/>
        <w:spacing w:line="360" w:lineRule="auto"/>
        <w:jc w:val="both"/>
        <w:rPr>
          <w:rFonts w:cs="Arial"/>
          <w:bCs w:val="0"/>
          <w:szCs w:val="24"/>
          <w:lang w:eastAsia="en-GB"/>
        </w:rPr>
      </w:pPr>
    </w:p>
    <w:p w14:paraId="03FFBCD7" w14:textId="77777777" w:rsidR="003D1FAF" w:rsidRPr="00DF3DF4" w:rsidRDefault="003D1FAF" w:rsidP="00DF3DF4">
      <w:pPr>
        <w:pStyle w:val="Heading3"/>
        <w:rPr>
          <w:b/>
          <w:lang w:eastAsia="en-GB"/>
        </w:rPr>
      </w:pPr>
      <w:r w:rsidRPr="00DF3DF4">
        <w:rPr>
          <w:b/>
          <w:lang w:eastAsia="en-GB"/>
        </w:rPr>
        <w:t>What to consider, who and why?</w:t>
      </w:r>
    </w:p>
    <w:p w14:paraId="04FC3962" w14:textId="77777777" w:rsidR="003D1FAF" w:rsidRPr="00CE0885" w:rsidRDefault="003D1FAF" w:rsidP="00BF1FEC">
      <w:pPr>
        <w:pStyle w:val="Heading4"/>
      </w:pPr>
      <w:r w:rsidRPr="00CE0885">
        <w:t>Where a GP Practice list contains records of people who should no longer be on the list this is known as list inflation. There can be many reasons for this and commissioners and GP practices can work together to minimise this through list maintenance.</w:t>
      </w:r>
    </w:p>
    <w:p w14:paraId="5B321DB2" w14:textId="308378DB" w:rsidR="003D1FAF" w:rsidRPr="00CE0885" w:rsidRDefault="003D1FAF" w:rsidP="00BF1FEC">
      <w:pPr>
        <w:pStyle w:val="Heading4"/>
      </w:pPr>
      <w:r w:rsidRPr="00CE0885">
        <w:t>In some GP practices ther</w:t>
      </w:r>
      <w:r w:rsidR="00902295">
        <w:t>e</w:t>
      </w:r>
      <w:r w:rsidRPr="00CE0885">
        <w:t xml:space="preserve"> can often be high turnover (leaving and joining) of patients, which can be challenging to monitor but benefits from timely processing.</w:t>
      </w:r>
    </w:p>
    <w:p w14:paraId="2CAA1F3D" w14:textId="77777777" w:rsidR="003D1FAF" w:rsidRPr="00CE0885" w:rsidRDefault="003D1FAF" w:rsidP="00BF1FEC">
      <w:pPr>
        <w:pStyle w:val="Heading4"/>
      </w:pPr>
      <w:r w:rsidRPr="00CE0885">
        <w:t>There are records that link to patients who do not de-register and there are 2 principal reasons why an individual may not de-register</w:t>
      </w:r>
    </w:p>
    <w:p w14:paraId="157D3E61" w14:textId="77777777" w:rsidR="003D1FAF" w:rsidRPr="00CE0885" w:rsidRDefault="003D1FAF" w:rsidP="00D25E0C">
      <w:pPr>
        <w:pStyle w:val="Heading5"/>
      </w:pPr>
      <w:r w:rsidRPr="00CE0885">
        <w:t xml:space="preserve">Some people may be slow to re-register at other GP practices, despite having moved away from the area, as they are relatively healthy and do not see re-registration as a priority </w:t>
      </w:r>
    </w:p>
    <w:p w14:paraId="00CED334" w14:textId="77777777" w:rsidR="003D1FAF" w:rsidRPr="00CE0885" w:rsidRDefault="003D1FAF" w:rsidP="00D25E0C">
      <w:pPr>
        <w:pStyle w:val="Heading5"/>
      </w:pPr>
      <w:r w:rsidRPr="00CE0885">
        <w:t>People who live abroad (who are required to de-register from their GP practice) fail to do so either because they do not see it as a priority when moving abroad or because they wish to have continued access to the NHS (often referred to as “ghost patients” (this affects list inflation at both the local and national level).</w:t>
      </w:r>
    </w:p>
    <w:p w14:paraId="19891BB4" w14:textId="188B86B2" w:rsidR="003D1FAF" w:rsidRPr="00CE0885" w:rsidRDefault="003D1FAF" w:rsidP="00BF1FEC">
      <w:pPr>
        <w:pStyle w:val="Heading4"/>
      </w:pPr>
      <w:r w:rsidRPr="00CE0885">
        <w:t>ONS suggests</w:t>
      </w:r>
      <w:r w:rsidR="00D25E0C">
        <w:rPr>
          <w:rStyle w:val="FootnoteReference"/>
        </w:rPr>
        <w:footnoteReference w:id="7"/>
      </w:r>
      <w:r w:rsidRPr="00CE0885">
        <w:t xml:space="preserve"> that, typically the following groups tend to be quicker to register a change of address:</w:t>
      </w:r>
    </w:p>
    <w:p w14:paraId="3BF88981" w14:textId="77777777" w:rsidR="003D1FAF" w:rsidRPr="00846153" w:rsidRDefault="003D1FAF" w:rsidP="006C3DF5">
      <w:pPr>
        <w:pStyle w:val="BodyText"/>
        <w:numPr>
          <w:ilvl w:val="0"/>
          <w:numId w:val="101"/>
        </w:numPr>
        <w:rPr>
          <w:sz w:val="24"/>
          <w:szCs w:val="24"/>
        </w:rPr>
      </w:pPr>
      <w:r w:rsidRPr="00846153">
        <w:rPr>
          <w:sz w:val="24"/>
          <w:szCs w:val="24"/>
        </w:rPr>
        <w:t>mothers with young children</w:t>
      </w:r>
    </w:p>
    <w:p w14:paraId="48BFF949" w14:textId="77777777" w:rsidR="003D1FAF" w:rsidRPr="00846153" w:rsidRDefault="003D1FAF" w:rsidP="006C3DF5">
      <w:pPr>
        <w:pStyle w:val="BodyText"/>
        <w:numPr>
          <w:ilvl w:val="0"/>
          <w:numId w:val="101"/>
        </w:numPr>
        <w:rPr>
          <w:sz w:val="24"/>
          <w:szCs w:val="24"/>
        </w:rPr>
      </w:pPr>
      <w:r w:rsidRPr="00846153">
        <w:rPr>
          <w:sz w:val="24"/>
          <w:szCs w:val="24"/>
        </w:rPr>
        <w:t>those with ongoing health conditions</w:t>
      </w:r>
    </w:p>
    <w:p w14:paraId="07CB3865" w14:textId="77777777" w:rsidR="003D1FAF" w:rsidRPr="00846153" w:rsidRDefault="003D1FAF" w:rsidP="006C3DF5">
      <w:pPr>
        <w:pStyle w:val="BodyText"/>
        <w:numPr>
          <w:ilvl w:val="0"/>
          <w:numId w:val="101"/>
        </w:numPr>
        <w:rPr>
          <w:sz w:val="24"/>
          <w:szCs w:val="24"/>
        </w:rPr>
      </w:pPr>
      <w:r w:rsidRPr="00846153">
        <w:rPr>
          <w:sz w:val="24"/>
          <w:szCs w:val="24"/>
        </w:rPr>
        <w:t>the very elderly</w:t>
      </w:r>
    </w:p>
    <w:p w14:paraId="1A3F2A20" w14:textId="77777777" w:rsidR="003D1FAF" w:rsidRPr="00CE0885" w:rsidRDefault="003D1FAF" w:rsidP="00BF1FEC">
      <w:pPr>
        <w:pStyle w:val="Heading4"/>
      </w:pPr>
      <w:r w:rsidRPr="00CE0885">
        <w:t>Additionally, the following tend to be slower to register a change of address:</w:t>
      </w:r>
    </w:p>
    <w:p w14:paraId="043FC048" w14:textId="77777777" w:rsidR="003D1FAF" w:rsidRPr="00846153" w:rsidRDefault="003D1FAF" w:rsidP="006C3DF5">
      <w:pPr>
        <w:pStyle w:val="BodyText"/>
        <w:numPr>
          <w:ilvl w:val="0"/>
          <w:numId w:val="101"/>
        </w:numPr>
        <w:rPr>
          <w:sz w:val="24"/>
          <w:szCs w:val="24"/>
        </w:rPr>
      </w:pPr>
      <w:r w:rsidRPr="00846153">
        <w:rPr>
          <w:sz w:val="24"/>
          <w:szCs w:val="24"/>
        </w:rPr>
        <w:t>young healthy adults, especially males – including students</w:t>
      </w:r>
    </w:p>
    <w:p w14:paraId="1CC0358B" w14:textId="77777777" w:rsidR="003D1FAF" w:rsidRPr="00846153" w:rsidRDefault="003D1FAF" w:rsidP="006C3DF5">
      <w:pPr>
        <w:pStyle w:val="BodyText"/>
        <w:numPr>
          <w:ilvl w:val="0"/>
          <w:numId w:val="101"/>
        </w:numPr>
        <w:rPr>
          <w:sz w:val="24"/>
          <w:szCs w:val="24"/>
        </w:rPr>
      </w:pPr>
      <w:r w:rsidRPr="00846153">
        <w:rPr>
          <w:sz w:val="24"/>
          <w:szCs w:val="24"/>
        </w:rPr>
        <w:t>highly mobile individuals</w:t>
      </w:r>
    </w:p>
    <w:p w14:paraId="14D2CF7E" w14:textId="77777777" w:rsidR="003D1FAF" w:rsidRPr="00846153" w:rsidRDefault="003D1FAF" w:rsidP="006C3DF5">
      <w:pPr>
        <w:pStyle w:val="BodyText"/>
        <w:numPr>
          <w:ilvl w:val="0"/>
          <w:numId w:val="101"/>
        </w:numPr>
        <w:rPr>
          <w:sz w:val="24"/>
          <w:szCs w:val="24"/>
        </w:rPr>
      </w:pPr>
      <w:r w:rsidRPr="00846153">
        <w:rPr>
          <w:sz w:val="24"/>
          <w:szCs w:val="24"/>
        </w:rPr>
        <w:t>healthier persons, especially males</w:t>
      </w:r>
    </w:p>
    <w:p w14:paraId="766EDEE0" w14:textId="77777777" w:rsidR="003D1FAF" w:rsidRPr="00CE5A3A" w:rsidRDefault="003D1FAF" w:rsidP="006C3DF5">
      <w:pPr>
        <w:pStyle w:val="BodyText"/>
        <w:numPr>
          <w:ilvl w:val="0"/>
          <w:numId w:val="101"/>
        </w:numPr>
        <w:rPr>
          <w:sz w:val="24"/>
          <w:szCs w:val="24"/>
        </w:rPr>
      </w:pPr>
      <w:r w:rsidRPr="00CE5A3A">
        <w:rPr>
          <w:sz w:val="24"/>
          <w:szCs w:val="24"/>
        </w:rPr>
        <w:t>males – in general</w:t>
      </w:r>
    </w:p>
    <w:p w14:paraId="166929DE" w14:textId="77777777" w:rsidR="003D1FAF" w:rsidRPr="00CE0885" w:rsidRDefault="003D1FAF" w:rsidP="00BF1FEC">
      <w:pPr>
        <w:pStyle w:val="Heading4"/>
      </w:pPr>
      <w:r w:rsidRPr="00CE0885">
        <w:t>Parental home: Mobile young adults may choose or default to remaining registered at their parental address; this is similar to the lags issue above.</w:t>
      </w:r>
    </w:p>
    <w:p w14:paraId="238FC216" w14:textId="77777777" w:rsidR="003D1FAF" w:rsidRPr="00CE0885" w:rsidRDefault="003D1FAF" w:rsidP="00F82277">
      <w:pPr>
        <w:widowControl w:val="0"/>
        <w:spacing w:line="360" w:lineRule="auto"/>
        <w:jc w:val="both"/>
        <w:rPr>
          <w:rFonts w:cs="Arial"/>
          <w:bCs w:val="0"/>
          <w:szCs w:val="24"/>
          <w:lang w:eastAsia="en-GB"/>
        </w:rPr>
      </w:pPr>
    </w:p>
    <w:p w14:paraId="5D159C62" w14:textId="77777777" w:rsidR="003D1FAF" w:rsidRPr="00CE0885" w:rsidRDefault="003D1FAF" w:rsidP="00BF1FEC">
      <w:pPr>
        <w:pStyle w:val="Heading4"/>
      </w:pPr>
      <w:r w:rsidRPr="00CE0885">
        <w:t>Shared custody: there is potential for a range of issues where there is shared custody of children at different addresses. These can potentially include:</w:t>
      </w:r>
    </w:p>
    <w:p w14:paraId="211D4600" w14:textId="77777777" w:rsidR="003D1FAF" w:rsidRPr="00846153" w:rsidRDefault="003D1FAF" w:rsidP="006C3DF5">
      <w:pPr>
        <w:pStyle w:val="BodyText"/>
        <w:numPr>
          <w:ilvl w:val="0"/>
          <w:numId w:val="99"/>
        </w:numPr>
        <w:rPr>
          <w:sz w:val="24"/>
          <w:szCs w:val="24"/>
        </w:rPr>
      </w:pPr>
      <w:r w:rsidRPr="00846153">
        <w:rPr>
          <w:sz w:val="24"/>
          <w:szCs w:val="24"/>
        </w:rPr>
        <w:t>split residence not reflected in the record</w:t>
      </w:r>
    </w:p>
    <w:p w14:paraId="7B134523" w14:textId="77777777" w:rsidR="003D1FAF" w:rsidRPr="00846153" w:rsidRDefault="003D1FAF" w:rsidP="006C3DF5">
      <w:pPr>
        <w:pStyle w:val="BodyText"/>
        <w:numPr>
          <w:ilvl w:val="0"/>
          <w:numId w:val="99"/>
        </w:numPr>
        <w:rPr>
          <w:sz w:val="24"/>
          <w:szCs w:val="24"/>
        </w:rPr>
      </w:pPr>
      <w:r w:rsidRPr="00846153">
        <w:rPr>
          <w:sz w:val="24"/>
          <w:szCs w:val="24"/>
        </w:rPr>
        <w:t>duplicate registrations</w:t>
      </w:r>
    </w:p>
    <w:p w14:paraId="2D50596F" w14:textId="77777777" w:rsidR="003D1FAF" w:rsidRPr="00846153" w:rsidRDefault="003D1FAF" w:rsidP="006C3DF5">
      <w:pPr>
        <w:pStyle w:val="BodyText"/>
        <w:numPr>
          <w:ilvl w:val="0"/>
          <w:numId w:val="99"/>
        </w:numPr>
        <w:rPr>
          <w:sz w:val="24"/>
          <w:szCs w:val="24"/>
        </w:rPr>
      </w:pPr>
      <w:r w:rsidRPr="00846153">
        <w:rPr>
          <w:sz w:val="24"/>
          <w:szCs w:val="24"/>
        </w:rPr>
        <w:t>use of different names (particularly surnames)</w:t>
      </w:r>
    </w:p>
    <w:p w14:paraId="7E83CBC4" w14:textId="77777777" w:rsidR="003D1FAF" w:rsidRPr="00CE0885" w:rsidRDefault="003D1FAF" w:rsidP="00BF1FEC">
      <w:pPr>
        <w:pStyle w:val="Heading4"/>
      </w:pPr>
      <w:r w:rsidRPr="00CE0885">
        <w:t>Care homes (and similar institutions): Where a patient moves into a care home this may not be recorded as a change in address, particularly if the intended stay is short. These stays may become longer so that there has in effect been a change in residence, although the GP register has not been updated. By contrast a move may be intended as long-term (and the move recorded on the Patient Register) but the patient may die soon after the move. There are 2 potential consequences for statistical use of data:</w:t>
      </w:r>
    </w:p>
    <w:p w14:paraId="212D133E" w14:textId="77777777" w:rsidR="003D1FAF" w:rsidRPr="00846153" w:rsidRDefault="003D1FAF" w:rsidP="006C3DF5">
      <w:pPr>
        <w:pStyle w:val="BodyText"/>
        <w:numPr>
          <w:ilvl w:val="0"/>
          <w:numId w:val="100"/>
        </w:numPr>
        <w:rPr>
          <w:sz w:val="24"/>
          <w:szCs w:val="24"/>
        </w:rPr>
      </w:pPr>
      <w:r w:rsidRPr="00846153">
        <w:rPr>
          <w:sz w:val="24"/>
          <w:szCs w:val="24"/>
        </w:rPr>
        <w:t>a spell of residence away from the home address can be missed</w:t>
      </w:r>
    </w:p>
    <w:p w14:paraId="594800DF" w14:textId="77777777" w:rsidR="003D1FAF" w:rsidRPr="00846153" w:rsidRDefault="003D1FAF" w:rsidP="006C3DF5">
      <w:pPr>
        <w:pStyle w:val="BodyText"/>
        <w:numPr>
          <w:ilvl w:val="0"/>
          <w:numId w:val="100"/>
        </w:numPr>
        <w:rPr>
          <w:sz w:val="24"/>
          <w:szCs w:val="24"/>
        </w:rPr>
      </w:pPr>
      <w:r w:rsidRPr="00846153">
        <w:rPr>
          <w:sz w:val="24"/>
          <w:szCs w:val="24"/>
        </w:rPr>
        <w:t>a death can be recorded with a place of residence given as different from that recorded on the Patient Register</w:t>
      </w:r>
    </w:p>
    <w:p w14:paraId="3A565290" w14:textId="77777777" w:rsidR="003D1FAF" w:rsidRPr="00CE0885" w:rsidRDefault="003D1FAF" w:rsidP="00BF1FEC">
      <w:pPr>
        <w:pStyle w:val="Heading4"/>
      </w:pPr>
      <w:r w:rsidRPr="00CE0885">
        <w:t>Duplicate records: There are a number of occasions where duplicate records can occur. These can be classified as duplicates with the same NHS number, and duplicates with a different NHS number. Duplicate records with the same number could be:</w:t>
      </w:r>
    </w:p>
    <w:p w14:paraId="1CAA3934" w14:textId="77777777" w:rsidR="003D1FAF" w:rsidRPr="00CE0885" w:rsidRDefault="003D1FAF" w:rsidP="00F82277">
      <w:pPr>
        <w:widowControl w:val="0"/>
        <w:spacing w:line="360" w:lineRule="auto"/>
        <w:jc w:val="both"/>
        <w:rPr>
          <w:rFonts w:cs="Arial"/>
          <w:bCs w:val="0"/>
          <w:szCs w:val="24"/>
          <w:lang w:eastAsia="en-GB"/>
        </w:rPr>
      </w:pPr>
    </w:p>
    <w:p w14:paraId="49614007" w14:textId="77777777" w:rsidR="003D1FAF" w:rsidRPr="00CE5A3A" w:rsidRDefault="003D1FAF" w:rsidP="006C3DF5">
      <w:pPr>
        <w:pStyle w:val="BodyText"/>
        <w:numPr>
          <w:ilvl w:val="0"/>
          <w:numId w:val="101"/>
        </w:numPr>
        <w:spacing w:line="360" w:lineRule="auto"/>
        <w:ind w:left="1077" w:hanging="357"/>
        <w:rPr>
          <w:sz w:val="24"/>
          <w:szCs w:val="24"/>
        </w:rPr>
      </w:pPr>
      <w:r w:rsidRPr="00CE5A3A">
        <w:rPr>
          <w:sz w:val="24"/>
          <w:szCs w:val="24"/>
        </w:rPr>
        <w:t>records for the same person, with the same number, held on 2 different lists – the Audit Commission said that the majority of these were temporary where a patient was in the process of transferring from one practice to another.</w:t>
      </w:r>
    </w:p>
    <w:p w14:paraId="32E238F7" w14:textId="3EC03EE7" w:rsidR="003D1FAF" w:rsidRPr="00CE5A3A" w:rsidRDefault="003D1FAF" w:rsidP="006C3DF5">
      <w:pPr>
        <w:pStyle w:val="BodyText"/>
        <w:numPr>
          <w:ilvl w:val="0"/>
          <w:numId w:val="101"/>
        </w:numPr>
        <w:spacing w:line="360" w:lineRule="auto"/>
        <w:ind w:left="1077" w:hanging="357"/>
        <w:rPr>
          <w:sz w:val="24"/>
          <w:szCs w:val="24"/>
        </w:rPr>
      </w:pPr>
      <w:r w:rsidRPr="00CE5A3A">
        <w:rPr>
          <w:sz w:val="24"/>
          <w:szCs w:val="24"/>
        </w:rPr>
        <w:t xml:space="preserve">records for 2 different people with the same number – the Audit Commission said that these were rare and the cause was not known; potential reasons could include error by </w:t>
      </w:r>
      <w:r w:rsidR="005C3CB6">
        <w:rPr>
          <w:sz w:val="24"/>
          <w:szCs w:val="24"/>
        </w:rPr>
        <w:t xml:space="preserve">the </w:t>
      </w:r>
      <w:r w:rsidRPr="00CE5A3A">
        <w:rPr>
          <w:sz w:val="24"/>
          <w:szCs w:val="24"/>
        </w:rPr>
        <w:t xml:space="preserve">patient in writing  an NHS number (and where a check is not undertaken or is passed by chance – for example, </w:t>
      </w:r>
      <w:r w:rsidR="005C3CB6">
        <w:rPr>
          <w:sz w:val="24"/>
          <w:szCs w:val="24"/>
        </w:rPr>
        <w:t xml:space="preserve">the </w:t>
      </w:r>
      <w:r w:rsidRPr="00CE5A3A">
        <w:rPr>
          <w:sz w:val="24"/>
          <w:szCs w:val="24"/>
        </w:rPr>
        <w:t>same date of birth), clerical (typing or legibility) error on NHS number input, mismatching a patient to another with similar details on registration and allocating the wrong number or fraud. (Anecdotally there have been reports of people “sharing” NHS numbers in certain communities.)</w:t>
      </w:r>
    </w:p>
    <w:p w14:paraId="2BB02F34" w14:textId="77777777" w:rsidR="003D1FAF" w:rsidRPr="00CE0885" w:rsidRDefault="003D1FAF" w:rsidP="00BF1FEC">
      <w:pPr>
        <w:pStyle w:val="Heading4"/>
      </w:pPr>
      <w:r w:rsidRPr="00CE0885">
        <w:t>Duplicates with different numbers could be because:</w:t>
      </w:r>
    </w:p>
    <w:p w14:paraId="210F9EB5" w14:textId="77777777" w:rsidR="003D1FAF" w:rsidRPr="00CE0885" w:rsidRDefault="003D1FAF" w:rsidP="0028316A">
      <w:pPr>
        <w:widowControl w:val="0"/>
        <w:spacing w:line="360" w:lineRule="auto"/>
        <w:ind w:left="714"/>
        <w:jc w:val="both"/>
        <w:rPr>
          <w:rFonts w:cs="Arial"/>
          <w:bCs w:val="0"/>
          <w:szCs w:val="24"/>
          <w:lang w:eastAsia="en-GB"/>
        </w:rPr>
      </w:pPr>
    </w:p>
    <w:p w14:paraId="6F483DCC" w14:textId="143647E5" w:rsidR="003D1FAF" w:rsidRPr="00846153" w:rsidRDefault="003D1FAF" w:rsidP="006C3DF5">
      <w:pPr>
        <w:pStyle w:val="BodyText"/>
        <w:numPr>
          <w:ilvl w:val="0"/>
          <w:numId w:val="101"/>
        </w:numPr>
        <w:spacing w:line="360" w:lineRule="auto"/>
        <w:rPr>
          <w:sz w:val="24"/>
          <w:szCs w:val="24"/>
        </w:rPr>
      </w:pPr>
      <w:r w:rsidRPr="00846153">
        <w:rPr>
          <w:sz w:val="24"/>
          <w:szCs w:val="24"/>
        </w:rPr>
        <w:t>on registration with a GP</w:t>
      </w:r>
      <w:r w:rsidR="00C66D97">
        <w:rPr>
          <w:sz w:val="24"/>
          <w:szCs w:val="24"/>
        </w:rPr>
        <w:t>,</w:t>
      </w:r>
      <w:r w:rsidRPr="00846153">
        <w:rPr>
          <w:sz w:val="24"/>
          <w:szCs w:val="24"/>
        </w:rPr>
        <w:t xml:space="preserve"> a patient is incorrectly identified as a new entrant to the NHS (returning </w:t>
      </w:r>
      <w:r w:rsidR="007A3AF8">
        <w:rPr>
          <w:sz w:val="24"/>
          <w:szCs w:val="24"/>
        </w:rPr>
        <w:t>e</w:t>
      </w:r>
      <w:r w:rsidRPr="00846153">
        <w:rPr>
          <w:sz w:val="24"/>
          <w:szCs w:val="24"/>
        </w:rPr>
        <w:t>migrant, exit from armed forces, return from private practice)</w:t>
      </w:r>
    </w:p>
    <w:p w14:paraId="4177B638" w14:textId="0170E600" w:rsidR="003D1FAF" w:rsidRPr="00846153" w:rsidRDefault="003D1FAF" w:rsidP="006C3DF5">
      <w:pPr>
        <w:pStyle w:val="BodyText"/>
        <w:numPr>
          <w:ilvl w:val="0"/>
          <w:numId w:val="101"/>
        </w:numPr>
        <w:spacing w:line="360" w:lineRule="auto"/>
        <w:rPr>
          <w:sz w:val="24"/>
          <w:szCs w:val="24"/>
        </w:rPr>
      </w:pPr>
      <w:r w:rsidRPr="00846153">
        <w:rPr>
          <w:sz w:val="24"/>
          <w:szCs w:val="24"/>
        </w:rPr>
        <w:t>on registration with a GP</w:t>
      </w:r>
      <w:r w:rsidR="00C66D97">
        <w:rPr>
          <w:sz w:val="24"/>
          <w:szCs w:val="24"/>
        </w:rPr>
        <w:t>,</w:t>
      </w:r>
      <w:r w:rsidRPr="00846153">
        <w:rPr>
          <w:sz w:val="24"/>
          <w:szCs w:val="24"/>
        </w:rPr>
        <w:t xml:space="preserve"> no match is traced to previous records</w:t>
      </w:r>
    </w:p>
    <w:p w14:paraId="2896469B" w14:textId="63343E41" w:rsidR="003D1FAF" w:rsidRPr="00846153" w:rsidRDefault="003D1FAF" w:rsidP="006C3DF5">
      <w:pPr>
        <w:pStyle w:val="BodyText"/>
        <w:numPr>
          <w:ilvl w:val="0"/>
          <w:numId w:val="101"/>
        </w:numPr>
        <w:spacing w:line="360" w:lineRule="auto"/>
        <w:rPr>
          <w:sz w:val="24"/>
          <w:szCs w:val="24"/>
        </w:rPr>
      </w:pPr>
      <w:r w:rsidRPr="00846153">
        <w:rPr>
          <w:sz w:val="24"/>
          <w:szCs w:val="24"/>
        </w:rPr>
        <w:t>on registration with a GP</w:t>
      </w:r>
      <w:r w:rsidR="00C66D97">
        <w:rPr>
          <w:sz w:val="24"/>
          <w:szCs w:val="24"/>
        </w:rPr>
        <w:t>,</w:t>
      </w:r>
      <w:r w:rsidRPr="00846153">
        <w:rPr>
          <w:sz w:val="24"/>
          <w:szCs w:val="24"/>
        </w:rPr>
        <w:t xml:space="preserve"> a patient gives insufficient details to allow a match (as above, patients do not legally have to provide proof of identity).</w:t>
      </w:r>
    </w:p>
    <w:p w14:paraId="281F6DFE" w14:textId="7039F97C" w:rsidR="003D1FAF" w:rsidRPr="00CE0885" w:rsidRDefault="003D1FAF" w:rsidP="00BF1FEC">
      <w:pPr>
        <w:pStyle w:val="Heading4"/>
      </w:pPr>
      <w:r w:rsidRPr="00CE0885">
        <w:t xml:space="preserve">Snapshot: The data that we currently use from the Patient Register </w:t>
      </w:r>
      <w:r w:rsidR="00C66D97">
        <w:t>is</w:t>
      </w:r>
      <w:r w:rsidRPr="00CE0885">
        <w:t xml:space="preserve"> based on a (typically annual) snapshot. This gives the position at that point in time, as it occurs on the register. This approach means there is no “history” between snapshots of changes. For example, where there are 2 or more changes of address in a year only the first and last of these addresses are captured (implying a single move). Moves before exiting from the system (including emigration and death) can also be missed, as can moves shortly after entry to the system (including immigration and birth).</w:t>
      </w:r>
    </w:p>
    <w:p w14:paraId="58CB8044" w14:textId="77777777" w:rsidR="003D1FAF" w:rsidRPr="00CE0885" w:rsidRDefault="003D1FAF" w:rsidP="003D1FAF">
      <w:pPr>
        <w:widowControl w:val="0"/>
        <w:spacing w:line="360" w:lineRule="auto"/>
        <w:ind w:left="714"/>
        <w:jc w:val="both"/>
        <w:rPr>
          <w:rFonts w:cs="Arial"/>
          <w:bCs w:val="0"/>
          <w:szCs w:val="24"/>
          <w:lang w:eastAsia="en-GB"/>
        </w:rPr>
      </w:pPr>
    </w:p>
    <w:p w14:paraId="12048620" w14:textId="454A663E" w:rsidR="003D1FAF" w:rsidRPr="00CE0885" w:rsidRDefault="003D1FAF" w:rsidP="00BF1FEC">
      <w:pPr>
        <w:pStyle w:val="Heading4"/>
      </w:pPr>
      <w:r w:rsidRPr="00CE0885">
        <w:t>Coverage: The Patient Register is a broad coverage source, but some groups are not included (under-coverage of</w:t>
      </w:r>
      <w:r w:rsidR="00781AA1">
        <w:t xml:space="preserve"> the</w:t>
      </w:r>
      <w:r w:rsidRPr="00CE0885">
        <w:t xml:space="preserve"> total population) and there are also some over-coverage issues. Evidence from ONS shows that over-coverage tends to be the larger issue, with the Patient Register having 4.3% more people registered than the 2011 Census estimate of population, whilst we are aware in NHS England the range can be 3 to 8% </w:t>
      </w:r>
    </w:p>
    <w:p w14:paraId="529A2FCC" w14:textId="77777777" w:rsidR="003D1FAF" w:rsidRPr="00CE0885" w:rsidRDefault="003D1FAF" w:rsidP="00BF1FEC">
      <w:pPr>
        <w:pStyle w:val="Heading4"/>
      </w:pPr>
      <w:r w:rsidRPr="00CE0885">
        <w:t>The following groups are not included in GP Practice Register, and may be the cause of statistical under-coverage:</w:t>
      </w:r>
    </w:p>
    <w:p w14:paraId="00288B77" w14:textId="77777777" w:rsidR="003D1FAF" w:rsidRPr="00CE5A3A" w:rsidRDefault="003D1FAF" w:rsidP="006C3DF5">
      <w:pPr>
        <w:pStyle w:val="BodyText"/>
        <w:numPr>
          <w:ilvl w:val="0"/>
          <w:numId w:val="102"/>
        </w:numPr>
        <w:rPr>
          <w:sz w:val="24"/>
          <w:szCs w:val="24"/>
        </w:rPr>
      </w:pPr>
      <w:r w:rsidRPr="00CE5A3A">
        <w:rPr>
          <w:sz w:val="24"/>
          <w:szCs w:val="24"/>
        </w:rPr>
        <w:t>patients solely registered with private GPs</w:t>
      </w:r>
    </w:p>
    <w:p w14:paraId="2E7B0C5A" w14:textId="77777777" w:rsidR="003D1FAF" w:rsidRPr="00CE5A3A" w:rsidRDefault="003D1FAF" w:rsidP="006C3DF5">
      <w:pPr>
        <w:pStyle w:val="BodyText"/>
        <w:numPr>
          <w:ilvl w:val="0"/>
          <w:numId w:val="102"/>
        </w:numPr>
        <w:rPr>
          <w:sz w:val="24"/>
          <w:szCs w:val="24"/>
        </w:rPr>
      </w:pPr>
      <w:r w:rsidRPr="00CE5A3A">
        <w:rPr>
          <w:sz w:val="24"/>
          <w:szCs w:val="24"/>
        </w:rPr>
        <w:t>babies that have yet to be registered at a GP practice</w:t>
      </w:r>
    </w:p>
    <w:p w14:paraId="4195B469" w14:textId="77777777" w:rsidR="003D1FAF" w:rsidRPr="00CE5A3A" w:rsidRDefault="003D1FAF" w:rsidP="006C3DF5">
      <w:pPr>
        <w:pStyle w:val="BodyText"/>
        <w:numPr>
          <w:ilvl w:val="0"/>
          <w:numId w:val="102"/>
        </w:numPr>
        <w:rPr>
          <w:sz w:val="24"/>
          <w:szCs w:val="24"/>
        </w:rPr>
      </w:pPr>
      <w:r w:rsidRPr="00CE5A3A">
        <w:rPr>
          <w:sz w:val="24"/>
          <w:szCs w:val="24"/>
        </w:rPr>
        <w:t>migrants into the UK who have yet to register</w:t>
      </w:r>
    </w:p>
    <w:p w14:paraId="2736EE99" w14:textId="77777777" w:rsidR="003D1FAF" w:rsidRPr="00CE5A3A" w:rsidRDefault="003D1FAF" w:rsidP="006C3DF5">
      <w:pPr>
        <w:pStyle w:val="BodyText"/>
        <w:numPr>
          <w:ilvl w:val="0"/>
          <w:numId w:val="102"/>
        </w:numPr>
        <w:rPr>
          <w:sz w:val="24"/>
          <w:szCs w:val="24"/>
        </w:rPr>
      </w:pPr>
      <w:r w:rsidRPr="00CE5A3A">
        <w:rPr>
          <w:sz w:val="24"/>
          <w:szCs w:val="24"/>
        </w:rPr>
        <w:t>armed forces (though some remain on GP lists)</w:t>
      </w:r>
    </w:p>
    <w:p w14:paraId="016C1DE1" w14:textId="77777777" w:rsidR="003D1FAF" w:rsidRPr="00CE5A3A" w:rsidRDefault="003D1FAF" w:rsidP="006C3DF5">
      <w:pPr>
        <w:pStyle w:val="BodyText"/>
        <w:numPr>
          <w:ilvl w:val="0"/>
          <w:numId w:val="102"/>
        </w:numPr>
        <w:rPr>
          <w:sz w:val="24"/>
          <w:szCs w:val="24"/>
        </w:rPr>
      </w:pPr>
      <w:r w:rsidRPr="00CE5A3A">
        <w:rPr>
          <w:sz w:val="24"/>
          <w:szCs w:val="24"/>
        </w:rPr>
        <w:t>some armed forces dependants</w:t>
      </w:r>
    </w:p>
    <w:p w14:paraId="2BC3005B" w14:textId="77777777" w:rsidR="003D1FAF" w:rsidRPr="00CE5A3A" w:rsidRDefault="003D1FAF" w:rsidP="006C3DF5">
      <w:pPr>
        <w:pStyle w:val="BodyText"/>
        <w:numPr>
          <w:ilvl w:val="0"/>
          <w:numId w:val="102"/>
        </w:numPr>
        <w:rPr>
          <w:sz w:val="24"/>
          <w:szCs w:val="24"/>
        </w:rPr>
      </w:pPr>
      <w:r w:rsidRPr="00CE5A3A">
        <w:rPr>
          <w:sz w:val="24"/>
          <w:szCs w:val="24"/>
        </w:rPr>
        <w:t>prisoners (other than those with a sentence under 6 months)</w:t>
      </w:r>
    </w:p>
    <w:p w14:paraId="72F15EB3" w14:textId="77777777" w:rsidR="003D1FAF" w:rsidRPr="00CE5A3A" w:rsidRDefault="003D1FAF" w:rsidP="006C3DF5">
      <w:pPr>
        <w:pStyle w:val="BodyText"/>
        <w:numPr>
          <w:ilvl w:val="0"/>
          <w:numId w:val="102"/>
        </w:numPr>
        <w:rPr>
          <w:sz w:val="24"/>
          <w:szCs w:val="24"/>
        </w:rPr>
      </w:pPr>
      <w:r w:rsidRPr="00CE5A3A">
        <w:rPr>
          <w:sz w:val="24"/>
          <w:szCs w:val="24"/>
        </w:rPr>
        <w:t>some prisoners with a short sentence who have received medical assistance in prison</w:t>
      </w:r>
    </w:p>
    <w:p w14:paraId="30CAF4D9" w14:textId="77777777" w:rsidR="003D1FAF" w:rsidRPr="00CE5A3A" w:rsidRDefault="003D1FAF" w:rsidP="006C3DF5">
      <w:pPr>
        <w:pStyle w:val="BodyText"/>
        <w:numPr>
          <w:ilvl w:val="0"/>
          <w:numId w:val="102"/>
        </w:numPr>
        <w:rPr>
          <w:sz w:val="24"/>
          <w:szCs w:val="24"/>
        </w:rPr>
      </w:pPr>
      <w:r w:rsidRPr="00CE5A3A">
        <w:rPr>
          <w:sz w:val="24"/>
          <w:szCs w:val="24"/>
        </w:rPr>
        <w:t>patients who have been removed through ”no contact” measures</w:t>
      </w:r>
    </w:p>
    <w:p w14:paraId="751FF5C8" w14:textId="77777777" w:rsidR="003D1FAF" w:rsidRPr="00CE5A3A" w:rsidRDefault="003D1FAF" w:rsidP="006C3DF5">
      <w:pPr>
        <w:pStyle w:val="BodyText"/>
        <w:numPr>
          <w:ilvl w:val="0"/>
          <w:numId w:val="102"/>
        </w:numPr>
        <w:rPr>
          <w:sz w:val="24"/>
          <w:szCs w:val="24"/>
        </w:rPr>
      </w:pPr>
      <w:r w:rsidRPr="00CE5A3A">
        <w:rPr>
          <w:sz w:val="24"/>
          <w:szCs w:val="24"/>
        </w:rPr>
        <w:t>patients with a temporary NHS number, where no ”permanent” number exists or where their permanent number is not on a GP register</w:t>
      </w:r>
    </w:p>
    <w:p w14:paraId="6624E866" w14:textId="77777777" w:rsidR="003D1FAF" w:rsidRPr="00CE0885" w:rsidRDefault="003D1FAF" w:rsidP="00BF1FEC">
      <w:pPr>
        <w:pStyle w:val="Heading4"/>
      </w:pPr>
      <w:r w:rsidRPr="00CE0885">
        <w:t>The following groups, for some statistical purposes, may be thought of as over-coverage:</w:t>
      </w:r>
    </w:p>
    <w:p w14:paraId="30F47CE1" w14:textId="77777777" w:rsidR="003D1FAF" w:rsidRPr="00CE5A3A" w:rsidRDefault="003D1FAF" w:rsidP="006C3DF5">
      <w:pPr>
        <w:pStyle w:val="BodyText"/>
        <w:numPr>
          <w:ilvl w:val="0"/>
          <w:numId w:val="102"/>
        </w:numPr>
        <w:rPr>
          <w:sz w:val="24"/>
          <w:szCs w:val="24"/>
        </w:rPr>
      </w:pPr>
      <w:r w:rsidRPr="00CE5A3A">
        <w:rPr>
          <w:sz w:val="24"/>
          <w:szCs w:val="24"/>
        </w:rPr>
        <w:t>patients who are no longer resident in the UK (emigrants)</w:t>
      </w:r>
    </w:p>
    <w:p w14:paraId="2E6785D4" w14:textId="77777777" w:rsidR="003D1FAF" w:rsidRPr="00CE5A3A" w:rsidRDefault="003D1FAF" w:rsidP="006C3DF5">
      <w:pPr>
        <w:pStyle w:val="BodyText"/>
        <w:numPr>
          <w:ilvl w:val="0"/>
          <w:numId w:val="102"/>
        </w:numPr>
        <w:rPr>
          <w:sz w:val="24"/>
          <w:szCs w:val="24"/>
        </w:rPr>
      </w:pPr>
      <w:r w:rsidRPr="00CE5A3A">
        <w:rPr>
          <w:sz w:val="24"/>
          <w:szCs w:val="24"/>
        </w:rPr>
        <w:t>patients who are staying in the UK for only a short period</w:t>
      </w:r>
    </w:p>
    <w:p w14:paraId="5485D16F" w14:textId="77777777" w:rsidR="003D1FAF" w:rsidRPr="00CE5A3A" w:rsidRDefault="003D1FAF" w:rsidP="006C3DF5">
      <w:pPr>
        <w:pStyle w:val="BodyText"/>
        <w:numPr>
          <w:ilvl w:val="0"/>
          <w:numId w:val="102"/>
        </w:numPr>
        <w:rPr>
          <w:sz w:val="24"/>
          <w:szCs w:val="24"/>
        </w:rPr>
      </w:pPr>
      <w:r w:rsidRPr="00CE5A3A">
        <w:rPr>
          <w:sz w:val="24"/>
          <w:szCs w:val="24"/>
        </w:rPr>
        <w:t>duplicate records</w:t>
      </w:r>
    </w:p>
    <w:p w14:paraId="2D978122" w14:textId="7E964AE3" w:rsidR="00437B60" w:rsidRPr="00A553BA" w:rsidRDefault="003D1FAF" w:rsidP="00EC7864">
      <w:pPr>
        <w:pStyle w:val="Heading3"/>
      </w:pPr>
      <w:r w:rsidRPr="00EC7864">
        <w:rPr>
          <w:b/>
          <w:lang w:eastAsia="en-GB"/>
        </w:rPr>
        <w:t>What local checks could be undertaken</w:t>
      </w:r>
    </w:p>
    <w:p w14:paraId="4DF665D8" w14:textId="2C410E2D" w:rsidR="00437B60" w:rsidRDefault="003D1FAF" w:rsidP="00A553BA">
      <w:pPr>
        <w:pStyle w:val="Heading3"/>
      </w:pPr>
      <w:r w:rsidRPr="00CE0885">
        <w:t xml:space="preserve">Utilising the data sources and data listed section (3) above and the intelligence from ONS in section (4), Commissioners can determine where they may wish to focus attention and or support for </w:t>
      </w:r>
      <w:r w:rsidR="006E26E8">
        <w:t xml:space="preserve">the </w:t>
      </w:r>
      <w:r w:rsidRPr="00CE0885">
        <w:t xml:space="preserve">practice.  Decisions should be made locally and on a case by case basis.  Commissioners may wish to undertake analysis internally, or work with a partner such as a Commissioning Support Unit (CSU) who would work with their DSCRO (Data Services for Commissioners Regional Offices) should they wish to interrogate </w:t>
      </w:r>
      <w:r w:rsidRPr="00462E09">
        <w:t>record level data that has been appropriately processed.</w:t>
      </w:r>
    </w:p>
    <w:p w14:paraId="61D46925" w14:textId="044CC1AF" w:rsidR="00437B60" w:rsidRDefault="003D1FAF" w:rsidP="00A553BA">
      <w:pPr>
        <w:pStyle w:val="Heading3"/>
      </w:pPr>
      <w:r w:rsidRPr="00A053D9">
        <w:t>Comparing data sources and geographies</w:t>
      </w:r>
    </w:p>
    <w:p w14:paraId="73AEB6C6" w14:textId="0E974501" w:rsidR="00437B60" w:rsidRDefault="003D1FAF" w:rsidP="00A553BA">
      <w:pPr>
        <w:pStyle w:val="Heading3"/>
      </w:pPr>
      <w:r w:rsidRPr="00E509C8">
        <w:t xml:space="preserve">Trends in </w:t>
      </w:r>
      <w:r w:rsidR="00B83042">
        <w:t>CCG/ICB</w:t>
      </w:r>
      <w:r w:rsidRPr="00E509C8">
        <w:t xml:space="preserve"> resident population estimates compared to trends in GP registered populations</w:t>
      </w:r>
    </w:p>
    <w:p w14:paraId="1BAEF503" w14:textId="47415BFE" w:rsidR="00437B60" w:rsidRDefault="003D1FAF" w:rsidP="00A553BA">
      <w:pPr>
        <w:pStyle w:val="Heading3"/>
      </w:pPr>
      <w:r w:rsidRPr="00E509C8">
        <w:t>Are the proportions similar?</w:t>
      </w:r>
    </w:p>
    <w:p w14:paraId="4E9B382F" w14:textId="74C12BE7" w:rsidR="00437B60" w:rsidRDefault="003D1FAF" w:rsidP="00A553BA">
      <w:pPr>
        <w:pStyle w:val="Heading3"/>
      </w:pPr>
      <w:r w:rsidRPr="00E509C8">
        <w:t xml:space="preserve">Are all the GP practices within the </w:t>
      </w:r>
      <w:r w:rsidR="00B83042">
        <w:t>CCG/ICB</w:t>
      </w:r>
      <w:r w:rsidRPr="00E509C8">
        <w:t xml:space="preserve"> areas increasing/decreasing with similar proportions?</w:t>
      </w:r>
    </w:p>
    <w:p w14:paraId="113DD5B3" w14:textId="6AC87998" w:rsidR="00437B60" w:rsidRDefault="003D1FAF" w:rsidP="00A553BA">
      <w:pPr>
        <w:pStyle w:val="Heading3"/>
      </w:pPr>
      <w:r w:rsidRPr="00E509C8">
        <w:t xml:space="preserve">Are there any practices significantly variant in comparison </w:t>
      </w:r>
      <w:r w:rsidR="00FE7B61" w:rsidRPr="00E509C8">
        <w:t>to other</w:t>
      </w:r>
      <w:r w:rsidRPr="00E509C8">
        <w:t xml:space="preserve"> practices and the </w:t>
      </w:r>
      <w:r w:rsidR="00B83042">
        <w:t>CCG/ICB</w:t>
      </w:r>
      <w:r w:rsidRPr="00E509C8">
        <w:t xml:space="preserve"> trend</w:t>
      </w:r>
      <w:r w:rsidR="00D8206B">
        <w:t>?</w:t>
      </w:r>
    </w:p>
    <w:p w14:paraId="262272EE" w14:textId="54EA29AA" w:rsidR="00437B60" w:rsidRDefault="003D1FAF" w:rsidP="00A553BA">
      <w:pPr>
        <w:pStyle w:val="Heading3"/>
      </w:pPr>
      <w:r w:rsidRPr="00E509C8">
        <w:t>Have there been any practice mergers or closures resulting in list dispersal?</w:t>
      </w:r>
    </w:p>
    <w:p w14:paraId="3D710B6C" w14:textId="74F21E24" w:rsidR="00437B60" w:rsidRDefault="003D1FAF" w:rsidP="00A553BA">
      <w:pPr>
        <w:pStyle w:val="Heading3"/>
      </w:pPr>
      <w:r w:rsidRPr="00E509C8">
        <w:t>Have there been any new and large scale property developments recently</w:t>
      </w:r>
      <w:r w:rsidR="00D8206B">
        <w:t>?</w:t>
      </w:r>
    </w:p>
    <w:p w14:paraId="7702878C" w14:textId="4BAC3550" w:rsidR="00437B60" w:rsidRDefault="003D1FAF" w:rsidP="00A553BA">
      <w:pPr>
        <w:pStyle w:val="Heading3"/>
      </w:pPr>
      <w:r w:rsidRPr="00E509C8">
        <w:t>Trends in LSOA population (ONS estimates) compared to trends in GP registered populations (LSOA data from NHS Digital)</w:t>
      </w:r>
    </w:p>
    <w:p w14:paraId="30405CF0" w14:textId="2886265D" w:rsidR="00437B60" w:rsidRDefault="003D1FAF" w:rsidP="00A553BA">
      <w:pPr>
        <w:pStyle w:val="Heading3"/>
      </w:pPr>
      <w:r w:rsidRPr="00E509C8">
        <w:t>Are the proportions similar?</w:t>
      </w:r>
    </w:p>
    <w:p w14:paraId="66C0F7E3" w14:textId="4E4E297E" w:rsidR="00437B60" w:rsidRDefault="003D1FAF" w:rsidP="00A553BA">
      <w:pPr>
        <w:pStyle w:val="Heading3"/>
        <w:numPr>
          <w:ilvl w:val="0"/>
          <w:numId w:val="0"/>
        </w:numPr>
        <w:ind w:left="720"/>
      </w:pPr>
      <w:r w:rsidRPr="00E509C8">
        <w:t xml:space="preserve">Which LSOAs fall within the practice boundary? (this may require the support of a 3rd party. Can you map record level patient data to determine in which LSOAs </w:t>
      </w:r>
      <w:r w:rsidR="009B608D" w:rsidRPr="00E509C8">
        <w:t>the practice</w:t>
      </w:r>
      <w:r w:rsidRPr="00E509C8">
        <w:t xml:space="preserve"> has the majority of its patients </w:t>
      </w:r>
      <w:r w:rsidR="00FE7B61">
        <w:t>.</w:t>
      </w:r>
    </w:p>
    <w:p w14:paraId="0779A52B" w14:textId="4FC2CEF5" w:rsidR="00437B60" w:rsidRDefault="003D1FAF" w:rsidP="00A553BA">
      <w:pPr>
        <w:pStyle w:val="Heading3"/>
      </w:pPr>
      <w:r w:rsidRPr="00E509C8">
        <w:t xml:space="preserve">Are the LSOA populations (resident and registered) mapped to GP practices, increasing/decreasing in broadly the same proportions as the GP practice as </w:t>
      </w:r>
      <w:r w:rsidR="006E26E8">
        <w:t xml:space="preserve">a </w:t>
      </w:r>
      <w:r w:rsidRPr="00E509C8">
        <w:t>whole?</w:t>
      </w:r>
    </w:p>
    <w:p w14:paraId="4B1E73CF" w14:textId="56282ACD" w:rsidR="00437B60" w:rsidRDefault="003D1FAF" w:rsidP="00A553BA">
      <w:pPr>
        <w:pStyle w:val="Heading3"/>
      </w:pPr>
      <w:r w:rsidRPr="00E509C8">
        <w:t>How do they compare to other neighbouring practices?</w:t>
      </w:r>
    </w:p>
    <w:p w14:paraId="1CC0692C" w14:textId="5DFEEB9D" w:rsidR="00437B60" w:rsidRDefault="003D1FAF" w:rsidP="00A553BA">
      <w:pPr>
        <w:pStyle w:val="Heading3"/>
      </w:pPr>
      <w:r w:rsidRPr="00E509C8">
        <w:t>Have there been any practice mergers, or closures resulting in list dispersal</w:t>
      </w:r>
    </w:p>
    <w:p w14:paraId="74544E2E" w14:textId="17A1CA84" w:rsidR="00437B60" w:rsidRDefault="003D1FAF" w:rsidP="00A553BA">
      <w:pPr>
        <w:pStyle w:val="Heading3"/>
      </w:pPr>
      <w:r w:rsidRPr="00E509C8">
        <w:t>Have there been any new and large scale property developments recently</w:t>
      </w:r>
    </w:p>
    <w:p w14:paraId="2CD170CC" w14:textId="34E2F3AF" w:rsidR="00437B60" w:rsidRDefault="003D1FAF" w:rsidP="00A553BA">
      <w:pPr>
        <w:pStyle w:val="Heading3"/>
      </w:pPr>
      <w:r w:rsidRPr="00E509C8">
        <w:t>Is there any in-depth work that could be undertaking by working with a partner (CSU) and record level record data?</w:t>
      </w:r>
    </w:p>
    <w:p w14:paraId="34041118" w14:textId="0155D35D" w:rsidR="003D1FAF" w:rsidRPr="00462E09" w:rsidRDefault="00FE7B61" w:rsidP="00A553BA">
      <w:pPr>
        <w:pStyle w:val="Heading3"/>
      </w:pPr>
      <w:r w:rsidRPr="00462E09">
        <w:t>These considerations</w:t>
      </w:r>
      <w:r w:rsidR="003D1FAF" w:rsidRPr="00462E09">
        <w:t xml:space="preserve"> provide a sample of check</w:t>
      </w:r>
      <w:r w:rsidR="006E26E8">
        <w:t>s</w:t>
      </w:r>
      <w:r w:rsidR="003D1FAF" w:rsidRPr="00462E09">
        <w:t xml:space="preserve"> that could be embarked on when undertaking a targeted list maintenance exercise.</w:t>
      </w:r>
    </w:p>
    <w:p w14:paraId="1B109525" w14:textId="77777777" w:rsidR="003D1FAF" w:rsidRPr="00CE0885" w:rsidRDefault="003D1FAF" w:rsidP="003D1FAF">
      <w:pPr>
        <w:widowControl w:val="0"/>
        <w:tabs>
          <w:tab w:val="left" w:pos="2268"/>
        </w:tabs>
        <w:spacing w:line="360" w:lineRule="auto"/>
        <w:jc w:val="both"/>
        <w:outlineLvl w:val="1"/>
        <w:rPr>
          <w:rFonts w:cs="Arial"/>
          <w:bCs w:val="0"/>
          <w:szCs w:val="24"/>
          <w:lang w:eastAsia="en-GB"/>
        </w:rPr>
      </w:pPr>
      <w:r w:rsidRPr="00A553BA">
        <w:rPr>
          <w:color w:val="000000" w:themeColor="text1"/>
        </w:rPr>
        <w:br w:type="page"/>
      </w:r>
    </w:p>
    <w:p w14:paraId="66367498" w14:textId="3C729FDD" w:rsidR="003D1FAF" w:rsidRPr="00CE0885" w:rsidRDefault="003D1FAF" w:rsidP="00DF3DF4">
      <w:pPr>
        <w:pStyle w:val="Heading2"/>
        <w:rPr>
          <w:lang w:eastAsia="en-GB"/>
        </w:rPr>
      </w:pPr>
      <w:bookmarkStart w:id="410" w:name="_Toc95743405"/>
      <w:r w:rsidRPr="00CE0885">
        <w:rPr>
          <w:lang w:eastAsia="en-GB"/>
        </w:rPr>
        <w:t xml:space="preserve">PART C: MANAGING CLOSED </w:t>
      </w:r>
      <w:r w:rsidR="00C87ED8">
        <w:rPr>
          <w:lang w:eastAsia="en-GB"/>
        </w:rPr>
        <w:t xml:space="preserve">PATIENT </w:t>
      </w:r>
      <w:r w:rsidRPr="00CE0885">
        <w:rPr>
          <w:lang w:eastAsia="en-GB"/>
        </w:rPr>
        <w:t>LISTS</w:t>
      </w:r>
      <w:bookmarkEnd w:id="410"/>
    </w:p>
    <w:p w14:paraId="5223E859" w14:textId="77777777" w:rsidR="003D1FAF" w:rsidRPr="00DF3DF4" w:rsidRDefault="003D1FAF" w:rsidP="00DF3DF4">
      <w:pPr>
        <w:pStyle w:val="Heading3"/>
        <w:rPr>
          <w:b/>
          <w:lang w:eastAsia="en-GB"/>
        </w:rPr>
      </w:pPr>
      <w:bookmarkStart w:id="411" w:name="_Toc440982633"/>
      <w:r w:rsidRPr="00DF3DF4">
        <w:rPr>
          <w:b/>
          <w:lang w:eastAsia="en-GB"/>
        </w:rPr>
        <w:t>Scope</w:t>
      </w:r>
      <w:bookmarkEnd w:id="411"/>
      <w:r w:rsidRPr="00DF3DF4">
        <w:rPr>
          <w:b/>
          <w:lang w:eastAsia="en-GB"/>
        </w:rPr>
        <w:t xml:space="preserve"> </w:t>
      </w:r>
    </w:p>
    <w:p w14:paraId="46958535" w14:textId="77777777" w:rsidR="003D1FAF" w:rsidRPr="00CE0885" w:rsidRDefault="003D1FAF" w:rsidP="00BF1FEC">
      <w:pPr>
        <w:pStyle w:val="Heading4"/>
      </w:pPr>
      <w:bookmarkStart w:id="412" w:name="_Toc440982634"/>
      <w:r w:rsidRPr="00CE0885">
        <w:t>This Part C sets out the processes to be implemented when managing applications to close patient lists and to extend a closure period.</w:t>
      </w:r>
      <w:bookmarkEnd w:id="412"/>
    </w:p>
    <w:p w14:paraId="71242B27" w14:textId="0CB7590D" w:rsidR="003D1FAF" w:rsidRPr="00CE0885" w:rsidRDefault="003D1FAF" w:rsidP="00BF1FEC">
      <w:pPr>
        <w:pStyle w:val="Heading4"/>
      </w:pPr>
      <w:bookmarkStart w:id="413" w:name="_Toc440982635"/>
      <w:r w:rsidRPr="00CE0885">
        <w:t xml:space="preserve">At all stages throughout these processes, it is essential that the Commissioner works with the contractor and the </w:t>
      </w:r>
      <w:r w:rsidR="00C87ED8">
        <w:t xml:space="preserve">relevant </w:t>
      </w:r>
      <w:r w:rsidRPr="00CE0885">
        <w:t>LMC to ensure clear and transparent decision making and that all decisions are made in line with internal governance arrangements.</w:t>
      </w:r>
      <w:bookmarkEnd w:id="413"/>
    </w:p>
    <w:p w14:paraId="13985C66" w14:textId="77777777" w:rsidR="003D1FAF" w:rsidRPr="009055A7" w:rsidRDefault="003D1FAF" w:rsidP="003D1FAF">
      <w:pPr>
        <w:widowControl w:val="0"/>
        <w:spacing w:line="360" w:lineRule="auto"/>
        <w:ind w:left="1414"/>
        <w:jc w:val="both"/>
        <w:rPr>
          <w:rFonts w:cs="Arial"/>
          <w:bCs w:val="0"/>
          <w:sz w:val="20"/>
          <w:szCs w:val="20"/>
          <w:lang w:eastAsia="en-GB"/>
        </w:rPr>
      </w:pPr>
    </w:p>
    <w:p w14:paraId="571D77D1" w14:textId="77777777" w:rsidR="003D1FAF" w:rsidRPr="00DF3DF4" w:rsidRDefault="003D1FAF" w:rsidP="00DF3DF4">
      <w:pPr>
        <w:pStyle w:val="Heading3"/>
        <w:rPr>
          <w:b/>
          <w:lang w:eastAsia="en-GB"/>
        </w:rPr>
      </w:pPr>
      <w:bookmarkStart w:id="414" w:name="_Toc440982636"/>
      <w:r w:rsidRPr="00DF3DF4">
        <w:rPr>
          <w:b/>
          <w:lang w:eastAsia="en-GB"/>
        </w:rPr>
        <w:t>Applications to Close a Patient List</w:t>
      </w:r>
      <w:bookmarkEnd w:id="414"/>
    </w:p>
    <w:p w14:paraId="208A60B3" w14:textId="7F8A75FA" w:rsidR="003D1FAF" w:rsidRPr="00CE0885" w:rsidRDefault="003D1FAF" w:rsidP="00BF1FEC">
      <w:pPr>
        <w:pStyle w:val="Heading4"/>
      </w:pPr>
      <w:bookmarkStart w:id="415" w:name="_Toc440982637"/>
      <w:r w:rsidRPr="00CE0885">
        <w:t>Sometimes a contractor may wish to close its list to new registrations e.g. where there are internal capacity issues or premises refurbishments. The contractor must seek approval from the Commissioner by a written application (the "Application") before this may happen. A template Application for the contractor to complete is attached in Annex 1. The contractor should use the template Application to ensure it completes all the required information. The contractor may obtain the application itself (for example by accessing this policy) or it may be requested by the contractor. An example covering letter from the Commissioner to the contractor enclosing an application form is in Annex 2.</w:t>
      </w:r>
      <w:bookmarkEnd w:id="415"/>
    </w:p>
    <w:p w14:paraId="77AC6959" w14:textId="77777777" w:rsidR="003D1FAF" w:rsidRPr="00CE0885" w:rsidRDefault="003D1FAF" w:rsidP="00BF1FEC">
      <w:pPr>
        <w:pStyle w:val="Heading4"/>
      </w:pPr>
      <w:bookmarkStart w:id="416" w:name="_Toc440982638"/>
      <w:r w:rsidRPr="00CE0885">
        <w:t>The Commissioner must acknowledge receipt of the Application within seven days of its receipt and may request further information from the contractor to enable it to consider the Application thoroughly.</w:t>
      </w:r>
      <w:bookmarkEnd w:id="416"/>
    </w:p>
    <w:p w14:paraId="2C526F9F" w14:textId="77777777" w:rsidR="003D1FAF" w:rsidRPr="00CE0885" w:rsidRDefault="003D1FAF" w:rsidP="00BF1FEC">
      <w:pPr>
        <w:pStyle w:val="Heading4"/>
      </w:pPr>
      <w:bookmarkStart w:id="417" w:name="_Toc440982639"/>
      <w:r w:rsidRPr="00CE0885">
        <w:t>With a view to possibly enabling the contractor to keep its list of patients open, the Commissioner and the contractor must talk openly to establish:</w:t>
      </w:r>
      <w:bookmarkEnd w:id="417"/>
    </w:p>
    <w:p w14:paraId="7190FD00" w14:textId="77777777" w:rsidR="003D1FAF" w:rsidRPr="008D6827" w:rsidRDefault="003D1FAF" w:rsidP="006C3DF5">
      <w:pPr>
        <w:pStyle w:val="ListParagraph"/>
        <w:numPr>
          <w:ilvl w:val="0"/>
          <w:numId w:val="169"/>
        </w:numPr>
        <w:spacing w:line="360" w:lineRule="auto"/>
        <w:ind w:left="714" w:hanging="357"/>
      </w:pPr>
      <w:bookmarkStart w:id="418" w:name="_Toc440982640"/>
      <w:r w:rsidRPr="008D6827">
        <w:t>what support the Commissioner may give the contractor; or</w:t>
      </w:r>
      <w:bookmarkEnd w:id="418"/>
      <w:r w:rsidRPr="008D6827">
        <w:t xml:space="preserve"> </w:t>
      </w:r>
    </w:p>
    <w:p w14:paraId="6246EBD3" w14:textId="77777777" w:rsidR="003D1FAF" w:rsidRPr="008D6827" w:rsidRDefault="003D1FAF" w:rsidP="006C3DF5">
      <w:pPr>
        <w:pStyle w:val="ListParagraph"/>
        <w:numPr>
          <w:ilvl w:val="0"/>
          <w:numId w:val="169"/>
        </w:numPr>
        <w:spacing w:line="360" w:lineRule="auto"/>
        <w:ind w:left="714" w:hanging="357"/>
      </w:pPr>
      <w:bookmarkStart w:id="419" w:name="_Toc440982641"/>
      <w:r w:rsidRPr="008D6827">
        <w:t>changes the Commissioner or contractor may make.</w:t>
      </w:r>
      <w:bookmarkEnd w:id="419"/>
    </w:p>
    <w:p w14:paraId="55D1DD2F" w14:textId="77777777" w:rsidR="003D1FAF" w:rsidRPr="00CE0885" w:rsidRDefault="003D1FAF" w:rsidP="00BF1FEC">
      <w:pPr>
        <w:pStyle w:val="Heading4"/>
      </w:pPr>
      <w:bookmarkStart w:id="420" w:name="_Toc440982642"/>
      <w:r w:rsidRPr="00CE0885">
        <w:t>The contractor or the Commissioner may at any time throughout these discussions invite the appropriate LMC to be included in the dialogue about the application.</w:t>
      </w:r>
      <w:bookmarkEnd w:id="420"/>
    </w:p>
    <w:p w14:paraId="6F1F449D" w14:textId="29DBB09D" w:rsidR="003D1FAF" w:rsidRPr="00CE0885" w:rsidRDefault="003D1FAF" w:rsidP="00BF1FEC">
      <w:pPr>
        <w:pStyle w:val="Heading4"/>
      </w:pPr>
      <w:bookmarkStart w:id="421" w:name="_Toc440982643"/>
      <w:r w:rsidRPr="00CE0885">
        <w:t xml:space="preserve">The Commissioner should ensure compliance with the general duties of NHS England. Please refer to </w:t>
      </w:r>
      <w:r w:rsidR="00965C81">
        <w:t xml:space="preserve">the </w:t>
      </w:r>
      <w:r w:rsidRPr="00CE0885">
        <w:t xml:space="preserve">chapter </w:t>
      </w:r>
      <w:r w:rsidR="00965C81">
        <w:t xml:space="preserve">on </w:t>
      </w:r>
      <w:r w:rsidRPr="00CE0885">
        <w:t>General duties of NHS England for further information.</w:t>
      </w:r>
      <w:bookmarkEnd w:id="421"/>
      <w:r w:rsidRPr="00CE0885">
        <w:t xml:space="preserve">  </w:t>
      </w:r>
    </w:p>
    <w:p w14:paraId="1D98347F" w14:textId="77777777" w:rsidR="003D1FAF" w:rsidRPr="00CE0885" w:rsidRDefault="003D1FAF" w:rsidP="00BF1FEC">
      <w:pPr>
        <w:pStyle w:val="Heading4"/>
      </w:pPr>
      <w:bookmarkStart w:id="422" w:name="_Toc440982644"/>
      <w:r w:rsidRPr="00CE0885">
        <w:t>The contractor may withdraw the application at any time before the Commissioner makes its decision on the proposed list closure.</w:t>
      </w:r>
      <w:bookmarkEnd w:id="422"/>
    </w:p>
    <w:p w14:paraId="7322B08B" w14:textId="77777777" w:rsidR="003D1FAF" w:rsidRPr="00CE0885" w:rsidRDefault="003D1FAF" w:rsidP="00BF1FEC">
      <w:pPr>
        <w:pStyle w:val="Heading4"/>
      </w:pPr>
      <w:bookmarkStart w:id="423" w:name="_Toc440982645"/>
      <w:r w:rsidRPr="00CE0885">
        <w:t>The Commissioner must make a decision, within a period of 21 days starting on the date of receipt of the Application (or within a longer period as the parties may agree):</w:t>
      </w:r>
      <w:bookmarkEnd w:id="423"/>
    </w:p>
    <w:p w14:paraId="14DBBE7B" w14:textId="77777777" w:rsidR="003D1FAF" w:rsidRPr="008D6827" w:rsidRDefault="003D1FAF" w:rsidP="006C3DF5">
      <w:pPr>
        <w:pStyle w:val="ListParagraph"/>
        <w:numPr>
          <w:ilvl w:val="0"/>
          <w:numId w:val="170"/>
        </w:numPr>
        <w:spacing w:line="360" w:lineRule="auto"/>
        <w:ind w:left="714" w:hanging="357"/>
      </w:pPr>
      <w:bookmarkStart w:id="424" w:name="_Toc440982646"/>
      <w:r w:rsidRPr="008D6827">
        <w:t>to approve the Application and determine the date the closure is to take effect and the date the list of patients is to reopen; or</w:t>
      </w:r>
      <w:bookmarkEnd w:id="424"/>
      <w:r w:rsidRPr="008D6827">
        <w:t xml:space="preserve"> </w:t>
      </w:r>
    </w:p>
    <w:p w14:paraId="4D27436F" w14:textId="77777777" w:rsidR="003D1FAF" w:rsidRPr="008D6827" w:rsidRDefault="003D1FAF" w:rsidP="006C3DF5">
      <w:pPr>
        <w:pStyle w:val="ListParagraph"/>
        <w:numPr>
          <w:ilvl w:val="0"/>
          <w:numId w:val="170"/>
        </w:numPr>
        <w:spacing w:line="360" w:lineRule="auto"/>
        <w:ind w:left="714" w:hanging="357"/>
      </w:pPr>
      <w:bookmarkStart w:id="425" w:name="_Toc440982647"/>
      <w:r w:rsidRPr="008D6827">
        <w:t>to reject the Application.</w:t>
      </w:r>
      <w:bookmarkEnd w:id="425"/>
    </w:p>
    <w:p w14:paraId="7652CF7D" w14:textId="77777777" w:rsidR="003D1FAF" w:rsidRPr="00CE0885" w:rsidRDefault="003D1FAF" w:rsidP="00BF1FEC">
      <w:pPr>
        <w:pStyle w:val="Heading4"/>
      </w:pPr>
      <w:bookmarkStart w:id="426" w:name="_Toc440982648"/>
      <w:r w:rsidRPr="00CE0885">
        <w:t>The Commissioner must notify the contractor of its decision in writing as soon as possible after the 21 day period.</w:t>
      </w:r>
      <w:bookmarkEnd w:id="426"/>
    </w:p>
    <w:p w14:paraId="61EEEA44" w14:textId="77777777" w:rsidR="003D1FAF" w:rsidRPr="009055A7" w:rsidRDefault="003D1FAF" w:rsidP="003D1FAF">
      <w:pPr>
        <w:widowControl w:val="0"/>
        <w:spacing w:line="360" w:lineRule="auto"/>
        <w:ind w:left="1414"/>
        <w:jc w:val="both"/>
        <w:rPr>
          <w:rFonts w:cs="Arial"/>
          <w:bCs w:val="0"/>
          <w:sz w:val="20"/>
          <w:szCs w:val="20"/>
          <w:lang w:eastAsia="en-GB"/>
        </w:rPr>
      </w:pPr>
    </w:p>
    <w:p w14:paraId="259E1649" w14:textId="77777777" w:rsidR="003D1FAF" w:rsidRPr="00DF3DF4" w:rsidRDefault="003D1FAF" w:rsidP="00DF3DF4">
      <w:pPr>
        <w:pStyle w:val="Heading3"/>
        <w:rPr>
          <w:b/>
          <w:lang w:eastAsia="en-GB"/>
        </w:rPr>
      </w:pPr>
      <w:bookmarkStart w:id="427" w:name="_Toc440982649"/>
      <w:r w:rsidRPr="00DF3DF4">
        <w:rPr>
          <w:b/>
          <w:lang w:eastAsia="en-GB"/>
        </w:rPr>
        <w:t>Approval of Patient List Closure: Closure Notice</w:t>
      </w:r>
      <w:bookmarkEnd w:id="427"/>
    </w:p>
    <w:p w14:paraId="3CC9B15B" w14:textId="77777777" w:rsidR="003D1FAF" w:rsidRPr="00CE0885" w:rsidRDefault="003D1FAF" w:rsidP="00BF1FEC">
      <w:pPr>
        <w:pStyle w:val="Heading4"/>
      </w:pPr>
      <w:bookmarkStart w:id="428" w:name="_Toc440982650"/>
      <w:r w:rsidRPr="00CE0885">
        <w:t>Where the Commissioner has granted approval for closure of the patient list, a closure notice must be issued to the contractor as soon as possible after the decision is reached, with a copy to the LMC for its area (if any) and to any person consulted in the decision-making process. The Commissioner should use the template notice in Annex 4 to ensure it responds to the contractor with all the required information.</w:t>
      </w:r>
      <w:bookmarkEnd w:id="428"/>
      <w:r w:rsidRPr="00CE0885">
        <w:t xml:space="preserve"> </w:t>
      </w:r>
    </w:p>
    <w:p w14:paraId="20A5CACD" w14:textId="77777777" w:rsidR="003D1FAF" w:rsidRPr="00CE0885" w:rsidRDefault="003D1FAF" w:rsidP="00BF1FEC">
      <w:pPr>
        <w:pStyle w:val="Heading4"/>
      </w:pPr>
      <w:bookmarkStart w:id="429" w:name="_Toc440982651"/>
      <w:r w:rsidRPr="00CE0885">
        <w:t>The contractor must close the list on the date in the notice and the list should remain closed for the time specified unless the Commissioner and the contractor agree that the list should be re-opened to patients before the expiry of the closure period.</w:t>
      </w:r>
      <w:bookmarkEnd w:id="429"/>
    </w:p>
    <w:p w14:paraId="1361CCAD" w14:textId="3999803F" w:rsidR="003D1FAF" w:rsidRDefault="003D1FAF" w:rsidP="003D1FAF">
      <w:pPr>
        <w:widowControl w:val="0"/>
        <w:spacing w:line="360" w:lineRule="auto"/>
        <w:ind w:left="1414"/>
        <w:jc w:val="both"/>
        <w:rPr>
          <w:rFonts w:cs="Arial"/>
          <w:bCs w:val="0"/>
          <w:sz w:val="20"/>
          <w:szCs w:val="20"/>
          <w:lang w:eastAsia="en-GB"/>
        </w:rPr>
      </w:pPr>
    </w:p>
    <w:p w14:paraId="50D9C28F" w14:textId="28675032" w:rsidR="00671886" w:rsidRDefault="00671886" w:rsidP="003D1FAF">
      <w:pPr>
        <w:widowControl w:val="0"/>
        <w:spacing w:line="360" w:lineRule="auto"/>
        <w:ind w:left="1414"/>
        <w:jc w:val="both"/>
        <w:rPr>
          <w:rFonts w:cs="Arial"/>
          <w:bCs w:val="0"/>
          <w:sz w:val="20"/>
          <w:szCs w:val="20"/>
          <w:lang w:eastAsia="en-GB"/>
        </w:rPr>
      </w:pPr>
    </w:p>
    <w:p w14:paraId="1E7C65E8" w14:textId="77777777" w:rsidR="00347BF9" w:rsidRDefault="00347BF9" w:rsidP="003D1FAF">
      <w:pPr>
        <w:widowControl w:val="0"/>
        <w:spacing w:line="360" w:lineRule="auto"/>
        <w:ind w:left="1414"/>
        <w:jc w:val="both"/>
        <w:rPr>
          <w:rFonts w:cs="Arial"/>
          <w:bCs w:val="0"/>
          <w:sz w:val="20"/>
          <w:szCs w:val="20"/>
          <w:lang w:eastAsia="en-GB"/>
        </w:rPr>
      </w:pPr>
    </w:p>
    <w:p w14:paraId="1477F355" w14:textId="77777777" w:rsidR="00671886" w:rsidRPr="009055A7" w:rsidRDefault="00671886" w:rsidP="003D1FAF">
      <w:pPr>
        <w:widowControl w:val="0"/>
        <w:spacing w:line="360" w:lineRule="auto"/>
        <w:ind w:left="1414"/>
        <w:jc w:val="both"/>
        <w:rPr>
          <w:rFonts w:cs="Arial"/>
          <w:bCs w:val="0"/>
          <w:sz w:val="20"/>
          <w:szCs w:val="20"/>
          <w:lang w:eastAsia="en-GB"/>
        </w:rPr>
      </w:pPr>
    </w:p>
    <w:p w14:paraId="29F5D726" w14:textId="77777777" w:rsidR="003D1FAF" w:rsidRPr="00DF3DF4" w:rsidRDefault="003D1FAF" w:rsidP="00DF3DF4">
      <w:pPr>
        <w:pStyle w:val="Heading3"/>
        <w:rPr>
          <w:b/>
          <w:lang w:eastAsia="en-GB"/>
        </w:rPr>
      </w:pPr>
      <w:bookmarkStart w:id="430" w:name="_Toc440982652"/>
      <w:r w:rsidRPr="00DF3DF4">
        <w:rPr>
          <w:b/>
          <w:lang w:eastAsia="en-GB"/>
        </w:rPr>
        <w:t>Rejection of Application for List Closure</w:t>
      </w:r>
      <w:bookmarkEnd w:id="430"/>
    </w:p>
    <w:p w14:paraId="574B9F86" w14:textId="5092C11F" w:rsidR="003D1FAF" w:rsidRPr="00CE0885" w:rsidRDefault="003D1FAF" w:rsidP="00BF1FEC">
      <w:pPr>
        <w:pStyle w:val="Heading4"/>
      </w:pPr>
      <w:bookmarkStart w:id="431" w:name="_Toc440982653"/>
      <w:r w:rsidRPr="00CE0885">
        <w:t>When the Commissioner decides to reject an application to close a list of patients</w:t>
      </w:r>
      <w:r w:rsidR="007736C4">
        <w:t>,</w:t>
      </w:r>
      <w:r w:rsidRPr="00CE0885">
        <w:t xml:space="preserve"> it must as soon as possible:</w:t>
      </w:r>
      <w:bookmarkEnd w:id="431"/>
      <w:r w:rsidRPr="00CE0885">
        <w:t xml:space="preserve"> </w:t>
      </w:r>
    </w:p>
    <w:p w14:paraId="0B33C5E7" w14:textId="77777777" w:rsidR="003D1FAF" w:rsidRPr="00BF1FEC" w:rsidRDefault="003D1FAF" w:rsidP="006C3DF5">
      <w:pPr>
        <w:pStyle w:val="ListParagraph"/>
        <w:widowControl w:val="0"/>
        <w:numPr>
          <w:ilvl w:val="0"/>
          <w:numId w:val="64"/>
        </w:numPr>
        <w:spacing w:before="120" w:after="120" w:line="360" w:lineRule="auto"/>
        <w:ind w:left="714" w:hanging="357"/>
        <w:jc w:val="both"/>
        <w:outlineLvl w:val="2"/>
        <w:rPr>
          <w:rFonts w:cs="Arial"/>
          <w:bCs w:val="0"/>
          <w:szCs w:val="24"/>
          <w:lang w:eastAsia="en-GB"/>
        </w:rPr>
      </w:pPr>
      <w:bookmarkStart w:id="432" w:name="_Toc440982654"/>
      <w:r w:rsidRPr="00BF1FEC">
        <w:rPr>
          <w:rFonts w:cs="Arial"/>
          <w:bCs w:val="0"/>
          <w:szCs w:val="24"/>
          <w:lang w:eastAsia="en-GB"/>
        </w:rPr>
        <w:t>provide the contractor with a notification including the reasons why the application was rejected. The Commissioner should use the template in Annex 5 to ensure it responds to the contractor with all the required information; and</w:t>
      </w:r>
      <w:bookmarkEnd w:id="432"/>
      <w:r w:rsidRPr="00BF1FEC">
        <w:rPr>
          <w:rFonts w:cs="Arial"/>
          <w:bCs w:val="0"/>
          <w:szCs w:val="24"/>
          <w:lang w:eastAsia="en-GB"/>
        </w:rPr>
        <w:t xml:space="preserve"> </w:t>
      </w:r>
    </w:p>
    <w:p w14:paraId="5C3BE9CF" w14:textId="77777777" w:rsidR="003D1FAF" w:rsidRPr="00BF1FEC" w:rsidRDefault="003D1FAF" w:rsidP="006C3DF5">
      <w:pPr>
        <w:pStyle w:val="ListParagraph"/>
        <w:widowControl w:val="0"/>
        <w:numPr>
          <w:ilvl w:val="0"/>
          <w:numId w:val="64"/>
        </w:numPr>
        <w:spacing w:before="120" w:after="120" w:line="360" w:lineRule="auto"/>
        <w:ind w:left="714" w:hanging="357"/>
        <w:jc w:val="both"/>
        <w:outlineLvl w:val="2"/>
        <w:rPr>
          <w:rFonts w:cs="Arial"/>
          <w:bCs w:val="0"/>
          <w:szCs w:val="24"/>
          <w:lang w:eastAsia="en-GB"/>
        </w:rPr>
      </w:pPr>
      <w:bookmarkStart w:id="433" w:name="_Toc440982655"/>
      <w:r w:rsidRPr="00BF1FEC">
        <w:rPr>
          <w:rFonts w:cs="Arial"/>
          <w:bCs w:val="0"/>
          <w:szCs w:val="24"/>
          <w:lang w:eastAsia="en-GB"/>
        </w:rPr>
        <w:t>at the same time, send a copy of the notification to any affected LMC for its area and to any person it consulted in the decision-making process.</w:t>
      </w:r>
      <w:bookmarkEnd w:id="433"/>
    </w:p>
    <w:p w14:paraId="0185A190" w14:textId="77777777" w:rsidR="003D1FAF" w:rsidRPr="00CE0885" w:rsidRDefault="003D1FAF" w:rsidP="00BF1FEC">
      <w:pPr>
        <w:pStyle w:val="Heading4"/>
      </w:pPr>
      <w:bookmarkStart w:id="434" w:name="_Toc440982656"/>
      <w:r w:rsidRPr="00CE0885">
        <w:t>When the Commissioner decides to reject a contractor’s application to close its list of patients, the contractor must not make a further application until:</w:t>
      </w:r>
      <w:bookmarkEnd w:id="434"/>
      <w:r w:rsidRPr="00CE0885">
        <w:t xml:space="preserve"> </w:t>
      </w:r>
    </w:p>
    <w:p w14:paraId="7E93D259" w14:textId="77777777" w:rsidR="003D1FAF" w:rsidRPr="00BF1FEC" w:rsidRDefault="003D1FAF" w:rsidP="006C3DF5">
      <w:pPr>
        <w:pStyle w:val="ListParagraph"/>
        <w:widowControl w:val="0"/>
        <w:numPr>
          <w:ilvl w:val="0"/>
          <w:numId w:val="64"/>
        </w:numPr>
        <w:spacing w:before="120" w:after="120" w:line="360" w:lineRule="auto"/>
        <w:ind w:left="714" w:hanging="357"/>
        <w:jc w:val="both"/>
        <w:outlineLvl w:val="2"/>
        <w:rPr>
          <w:rFonts w:cs="Arial"/>
          <w:bCs w:val="0"/>
          <w:szCs w:val="24"/>
          <w:lang w:eastAsia="en-GB"/>
        </w:rPr>
      </w:pPr>
      <w:bookmarkStart w:id="435" w:name="_Toc440982657"/>
      <w:r w:rsidRPr="00BF1FEC">
        <w:rPr>
          <w:rFonts w:cs="Arial"/>
          <w:bCs w:val="0"/>
          <w:szCs w:val="24"/>
          <w:lang w:eastAsia="en-GB"/>
        </w:rPr>
        <w:t>the end of the three-month period, starting on the date of the decision of the Commissioner to reject; or</w:t>
      </w:r>
      <w:bookmarkEnd w:id="435"/>
      <w:r w:rsidRPr="00BF1FEC">
        <w:rPr>
          <w:rFonts w:cs="Arial"/>
          <w:bCs w:val="0"/>
          <w:szCs w:val="24"/>
          <w:lang w:eastAsia="en-GB"/>
        </w:rPr>
        <w:t xml:space="preserve"> </w:t>
      </w:r>
    </w:p>
    <w:p w14:paraId="07F993A7" w14:textId="6C13361F" w:rsidR="003D1FAF" w:rsidRPr="00BF1FEC" w:rsidRDefault="003D1FAF" w:rsidP="006C3DF5">
      <w:pPr>
        <w:pStyle w:val="ListParagraph"/>
        <w:widowControl w:val="0"/>
        <w:numPr>
          <w:ilvl w:val="0"/>
          <w:numId w:val="64"/>
        </w:numPr>
        <w:spacing w:before="120" w:after="120" w:line="360" w:lineRule="auto"/>
        <w:ind w:left="714" w:hanging="357"/>
        <w:jc w:val="both"/>
        <w:outlineLvl w:val="2"/>
        <w:rPr>
          <w:rFonts w:cs="Arial"/>
          <w:bCs w:val="0"/>
          <w:szCs w:val="24"/>
          <w:lang w:eastAsia="en-GB"/>
        </w:rPr>
      </w:pPr>
      <w:bookmarkStart w:id="436" w:name="_Toc440982658"/>
      <w:r w:rsidRPr="00BF1FEC">
        <w:rPr>
          <w:rFonts w:cs="Arial"/>
          <w:bCs w:val="0"/>
          <w:szCs w:val="24"/>
          <w:lang w:eastAsia="en-GB"/>
        </w:rPr>
        <w:t xml:space="preserve">the end of the three months, starting on the date of the final determination regarding a dispute arising from the decision to reject the application made pursuant to the NHS dispute resolution procedure (or any court proceedings) (please refer to </w:t>
      </w:r>
      <w:r w:rsidR="00965C81">
        <w:rPr>
          <w:rFonts w:cs="Arial"/>
          <w:bCs w:val="0"/>
          <w:szCs w:val="24"/>
          <w:lang w:eastAsia="en-GB"/>
        </w:rPr>
        <w:t>the chapter on</w:t>
      </w:r>
      <w:r w:rsidRPr="00BF1FEC">
        <w:rPr>
          <w:rFonts w:cs="Arial"/>
          <w:bCs w:val="0"/>
          <w:szCs w:val="24"/>
          <w:lang w:eastAsia="en-GB"/>
        </w:rPr>
        <w:t xml:space="preserve"> managing disputes for further information on the NHS dispute resolution procedure),</w:t>
      </w:r>
      <w:bookmarkEnd w:id="436"/>
    </w:p>
    <w:p w14:paraId="0CA21B4E" w14:textId="77777777" w:rsidR="003D1FAF" w:rsidRPr="00CE0885" w:rsidRDefault="003D1FAF" w:rsidP="003D1FAF">
      <w:pPr>
        <w:widowControl w:val="0"/>
        <w:tabs>
          <w:tab w:val="left" w:pos="2268"/>
        </w:tabs>
        <w:spacing w:line="360" w:lineRule="auto"/>
        <w:ind w:left="1440"/>
        <w:jc w:val="both"/>
        <w:outlineLvl w:val="2"/>
        <w:rPr>
          <w:rFonts w:cs="Arial"/>
          <w:bCs w:val="0"/>
          <w:szCs w:val="24"/>
          <w:lang w:eastAsia="en-GB"/>
        </w:rPr>
      </w:pPr>
      <w:bookmarkStart w:id="437" w:name="_Toc440982659"/>
      <w:r w:rsidRPr="00CE0885">
        <w:rPr>
          <w:rFonts w:cs="Arial"/>
          <w:bCs w:val="0"/>
          <w:szCs w:val="24"/>
          <w:lang w:eastAsia="en-GB"/>
        </w:rPr>
        <w:t>whichever is the later.</w:t>
      </w:r>
      <w:bookmarkEnd w:id="437"/>
    </w:p>
    <w:p w14:paraId="41FE2433" w14:textId="77777777" w:rsidR="003D1FAF" w:rsidRPr="00CE0885" w:rsidRDefault="003D1FAF" w:rsidP="00BF1FEC">
      <w:pPr>
        <w:pStyle w:val="Heading4"/>
      </w:pPr>
      <w:bookmarkStart w:id="438" w:name="_Toc440982660"/>
      <w:r w:rsidRPr="00CE0885">
        <w:t>A contractor may make a further application to close its list of patients where there has been a change in the circumstances of the contractor which affects its ability to deliver services under the contract.</w:t>
      </w:r>
      <w:bookmarkEnd w:id="438"/>
      <w:r w:rsidRPr="00CE0885">
        <w:t xml:space="preserve"> </w:t>
      </w:r>
    </w:p>
    <w:p w14:paraId="01EBF794" w14:textId="255E43A8" w:rsidR="00671886" w:rsidRDefault="00671886" w:rsidP="003D1FAF">
      <w:pPr>
        <w:widowControl w:val="0"/>
        <w:spacing w:line="360" w:lineRule="auto"/>
        <w:ind w:left="1414"/>
        <w:jc w:val="both"/>
        <w:rPr>
          <w:rFonts w:cs="Arial"/>
          <w:bCs w:val="0"/>
          <w:szCs w:val="24"/>
          <w:lang w:eastAsia="en-GB"/>
        </w:rPr>
      </w:pPr>
    </w:p>
    <w:p w14:paraId="2C565DB9" w14:textId="085645F2" w:rsidR="00347BF9" w:rsidRDefault="00347BF9" w:rsidP="003D1FAF">
      <w:pPr>
        <w:widowControl w:val="0"/>
        <w:spacing w:line="360" w:lineRule="auto"/>
        <w:ind w:left="1414"/>
        <w:jc w:val="both"/>
        <w:rPr>
          <w:rFonts w:cs="Arial"/>
          <w:bCs w:val="0"/>
          <w:szCs w:val="24"/>
          <w:lang w:eastAsia="en-GB"/>
        </w:rPr>
      </w:pPr>
    </w:p>
    <w:p w14:paraId="70C6102E" w14:textId="7967A88C" w:rsidR="00347BF9" w:rsidRDefault="00347BF9" w:rsidP="003D1FAF">
      <w:pPr>
        <w:widowControl w:val="0"/>
        <w:spacing w:line="360" w:lineRule="auto"/>
        <w:ind w:left="1414"/>
        <w:jc w:val="both"/>
        <w:rPr>
          <w:rFonts w:cs="Arial"/>
          <w:bCs w:val="0"/>
          <w:szCs w:val="24"/>
          <w:lang w:eastAsia="en-GB"/>
        </w:rPr>
      </w:pPr>
    </w:p>
    <w:p w14:paraId="18B9FC2C" w14:textId="320BDA75" w:rsidR="00347BF9" w:rsidRDefault="00347BF9" w:rsidP="003D1FAF">
      <w:pPr>
        <w:widowControl w:val="0"/>
        <w:spacing w:line="360" w:lineRule="auto"/>
        <w:ind w:left="1414"/>
        <w:jc w:val="both"/>
        <w:rPr>
          <w:rFonts w:cs="Arial"/>
          <w:bCs w:val="0"/>
          <w:szCs w:val="24"/>
          <w:lang w:eastAsia="en-GB"/>
        </w:rPr>
      </w:pPr>
    </w:p>
    <w:p w14:paraId="0BC8965F" w14:textId="293D6227" w:rsidR="00347BF9" w:rsidRDefault="00347BF9" w:rsidP="003D1FAF">
      <w:pPr>
        <w:widowControl w:val="0"/>
        <w:spacing w:line="360" w:lineRule="auto"/>
        <w:ind w:left="1414"/>
        <w:jc w:val="both"/>
        <w:rPr>
          <w:rFonts w:cs="Arial"/>
          <w:bCs w:val="0"/>
          <w:szCs w:val="24"/>
          <w:lang w:eastAsia="en-GB"/>
        </w:rPr>
      </w:pPr>
    </w:p>
    <w:p w14:paraId="32EB2904" w14:textId="029156CC" w:rsidR="00347BF9" w:rsidRDefault="00347BF9" w:rsidP="003D1FAF">
      <w:pPr>
        <w:widowControl w:val="0"/>
        <w:spacing w:line="360" w:lineRule="auto"/>
        <w:ind w:left="1414"/>
        <w:jc w:val="both"/>
        <w:rPr>
          <w:rFonts w:cs="Arial"/>
          <w:bCs w:val="0"/>
          <w:szCs w:val="24"/>
          <w:lang w:eastAsia="en-GB"/>
        </w:rPr>
      </w:pPr>
    </w:p>
    <w:p w14:paraId="1CBB8982" w14:textId="6196F8F3" w:rsidR="00347BF9" w:rsidRDefault="00347BF9" w:rsidP="003D1FAF">
      <w:pPr>
        <w:widowControl w:val="0"/>
        <w:spacing w:line="360" w:lineRule="auto"/>
        <w:ind w:left="1414"/>
        <w:jc w:val="both"/>
        <w:rPr>
          <w:rFonts w:cs="Arial"/>
          <w:bCs w:val="0"/>
          <w:szCs w:val="24"/>
          <w:lang w:eastAsia="en-GB"/>
        </w:rPr>
      </w:pPr>
    </w:p>
    <w:p w14:paraId="77D96002" w14:textId="694535D8" w:rsidR="00347BF9" w:rsidRDefault="00347BF9" w:rsidP="003D1FAF">
      <w:pPr>
        <w:widowControl w:val="0"/>
        <w:spacing w:line="360" w:lineRule="auto"/>
        <w:ind w:left="1414"/>
        <w:jc w:val="both"/>
        <w:rPr>
          <w:rFonts w:cs="Arial"/>
          <w:bCs w:val="0"/>
          <w:szCs w:val="24"/>
          <w:lang w:eastAsia="en-GB"/>
        </w:rPr>
      </w:pPr>
    </w:p>
    <w:p w14:paraId="1F2F88E5" w14:textId="7DA38278" w:rsidR="00347BF9" w:rsidRDefault="00347BF9" w:rsidP="003D1FAF">
      <w:pPr>
        <w:widowControl w:val="0"/>
        <w:spacing w:line="360" w:lineRule="auto"/>
        <w:ind w:left="1414"/>
        <w:jc w:val="both"/>
        <w:rPr>
          <w:rFonts w:cs="Arial"/>
          <w:bCs w:val="0"/>
          <w:szCs w:val="24"/>
          <w:lang w:eastAsia="en-GB"/>
        </w:rPr>
      </w:pPr>
    </w:p>
    <w:p w14:paraId="04D1282A" w14:textId="77777777" w:rsidR="00347BF9" w:rsidRDefault="00347BF9" w:rsidP="003D1FAF">
      <w:pPr>
        <w:widowControl w:val="0"/>
        <w:spacing w:line="360" w:lineRule="auto"/>
        <w:ind w:left="1414"/>
        <w:jc w:val="both"/>
        <w:rPr>
          <w:rFonts w:cs="Arial"/>
          <w:bCs w:val="0"/>
          <w:szCs w:val="24"/>
          <w:lang w:eastAsia="en-GB"/>
        </w:rPr>
      </w:pPr>
    </w:p>
    <w:p w14:paraId="6891FEDB" w14:textId="77777777" w:rsidR="00671886" w:rsidRPr="00CE0885" w:rsidRDefault="00671886" w:rsidP="003D1FAF">
      <w:pPr>
        <w:widowControl w:val="0"/>
        <w:spacing w:line="360" w:lineRule="auto"/>
        <w:ind w:left="1414"/>
        <w:jc w:val="both"/>
        <w:rPr>
          <w:rFonts w:cs="Arial"/>
          <w:bCs w:val="0"/>
          <w:szCs w:val="24"/>
          <w:lang w:eastAsia="en-GB"/>
        </w:rPr>
      </w:pPr>
    </w:p>
    <w:p w14:paraId="4B7B5982" w14:textId="77777777" w:rsidR="003D1FAF" w:rsidRPr="00DF3DF4" w:rsidRDefault="003D1FAF" w:rsidP="00DF3DF4">
      <w:pPr>
        <w:pStyle w:val="Heading3"/>
        <w:rPr>
          <w:b/>
          <w:lang w:eastAsia="en-GB"/>
        </w:rPr>
      </w:pPr>
      <w:bookmarkStart w:id="439" w:name="_Toc440982661"/>
      <w:r w:rsidRPr="00DF3DF4">
        <w:rPr>
          <w:b/>
          <w:lang w:eastAsia="en-GB"/>
        </w:rPr>
        <w:t>Application to Extend a Closure Period</w:t>
      </w:r>
      <w:bookmarkEnd w:id="439"/>
    </w:p>
    <w:p w14:paraId="5625A21F" w14:textId="77777777" w:rsidR="003D1FAF" w:rsidRPr="00CE0885" w:rsidRDefault="003D1FAF" w:rsidP="00A553BA">
      <w:pPr>
        <w:pStyle w:val="Heading4"/>
        <w:spacing w:before="0"/>
      </w:pPr>
      <w:bookmarkStart w:id="440" w:name="_Toc440982662"/>
      <w:r w:rsidRPr="00CE0885">
        <w:t>A contractor wishing to extend an agreed closure period must submit an application to the Commissioner no less than eight weeks before the closure period is due to end.</w:t>
      </w:r>
      <w:bookmarkEnd w:id="440"/>
      <w:r w:rsidRPr="00CE0885">
        <w:t xml:space="preserve">  </w:t>
      </w:r>
    </w:p>
    <w:p w14:paraId="7CC96D8E" w14:textId="77777777" w:rsidR="003D1FAF" w:rsidRPr="00CE0885" w:rsidRDefault="003D1FAF" w:rsidP="00A553BA">
      <w:pPr>
        <w:pStyle w:val="Heading4"/>
        <w:spacing w:before="0"/>
      </w:pPr>
      <w:bookmarkStart w:id="441" w:name="_Toc440982663"/>
      <w:r w:rsidRPr="00CE0885">
        <w:t>A template for completion by the contractor is attached in Annex 6. An example covering letter from the Commissioner to the contractor enclosing an application form is in Annex 7.</w:t>
      </w:r>
      <w:bookmarkEnd w:id="441"/>
    </w:p>
    <w:p w14:paraId="567CC8CF" w14:textId="77777777" w:rsidR="003D1FAF" w:rsidRPr="00CE0885" w:rsidRDefault="003D1FAF" w:rsidP="00A553BA">
      <w:pPr>
        <w:pStyle w:val="Heading4"/>
        <w:spacing w:before="0"/>
      </w:pPr>
      <w:bookmarkStart w:id="442" w:name="_Toc440982664"/>
      <w:r w:rsidRPr="00CE0885">
        <w:t>The Commissioner must acknowledge receipt of the application within seven days, then if necessary, discuss potential support that could be offered to the contractor, discuss with any affected LMC and consult other affected parties before reaching a decision on the application to extend within 14 days from receipt of the application. The Commissioner should use the template consultation letter in Annex 8.</w:t>
      </w:r>
      <w:bookmarkEnd w:id="442"/>
      <w:r w:rsidRPr="00CE0885">
        <w:t xml:space="preserve"> </w:t>
      </w:r>
    </w:p>
    <w:p w14:paraId="0C30A084" w14:textId="77777777" w:rsidR="003D1FAF" w:rsidRPr="00CE0885" w:rsidRDefault="003D1FAF" w:rsidP="00A553BA">
      <w:pPr>
        <w:pStyle w:val="Heading4"/>
        <w:spacing w:before="0"/>
      </w:pPr>
      <w:bookmarkStart w:id="443" w:name="_Toc440982665"/>
      <w:r w:rsidRPr="00CE0885">
        <w:t>If the decision is to accept the application the Commissioner must issue an extended closure notice as soon as possible after the decision is reached to the Contractor, with a copy to the LMC for its area (if any) and to any person it consulted in the decision-making process. The Commissioner should use the template in Annex 9 to ensure that the contractor receives all the relevant information.</w:t>
      </w:r>
      <w:bookmarkEnd w:id="443"/>
    </w:p>
    <w:p w14:paraId="408AB056" w14:textId="77777777" w:rsidR="003D1FAF" w:rsidRPr="00CE0885" w:rsidRDefault="003D1FAF" w:rsidP="00A553BA">
      <w:pPr>
        <w:pStyle w:val="Heading4"/>
        <w:spacing w:before="0"/>
      </w:pPr>
      <w:bookmarkStart w:id="444" w:name="_Toc440982666"/>
      <w:r w:rsidRPr="00CE0885">
        <w:t>If the decision is to reject the application then the Commissioner must provide the contractor with a notification, including the reasons for the rejection of the application, with a copy to the LMC for its area (if any) and to any person it consulted in the decision-making process. The Commissioner should use the template in Annex 10.</w:t>
      </w:r>
      <w:bookmarkEnd w:id="444"/>
    </w:p>
    <w:p w14:paraId="239B988E" w14:textId="77777777" w:rsidR="003D1FAF" w:rsidRPr="00CE0885" w:rsidRDefault="003D1FAF" w:rsidP="00A553BA">
      <w:pPr>
        <w:pStyle w:val="Heading4"/>
        <w:spacing w:before="0"/>
      </w:pPr>
      <w:bookmarkStart w:id="445" w:name="_Toc440982667"/>
      <w:r w:rsidRPr="00CE0885">
        <w:t>The contractor may re-open its list of patients before the closure period expires if Commissioner and contractor agree.</w:t>
      </w:r>
      <w:bookmarkEnd w:id="445"/>
    </w:p>
    <w:p w14:paraId="233833BD" w14:textId="2EBF22E6" w:rsidR="003D1FAF" w:rsidRPr="00CE0885" w:rsidRDefault="003D1FAF" w:rsidP="00A553BA">
      <w:pPr>
        <w:pStyle w:val="Heading4"/>
        <w:spacing w:before="0"/>
      </w:pPr>
      <w:bookmarkStart w:id="446" w:name="_Toc440982668"/>
      <w:r w:rsidRPr="00CE0885">
        <w:t xml:space="preserve">Where an application for the extension of the closure period has been made in accordance with this policy, and that application has been rejected, the list of patients will remain closed until such time as any dispute arising from the application has been resolved through the NHS dispute resolution procedure (or any court proceedings) or until such time as the expiry of the original closure notice. Please refer to the </w:t>
      </w:r>
      <w:r w:rsidR="00B60178">
        <w:t>chapter</w:t>
      </w:r>
      <w:r w:rsidRPr="00CE0885">
        <w:t xml:space="preserve"> on managing disputes for further information on the NHS dispute resolution procedure.</w:t>
      </w:r>
      <w:bookmarkEnd w:id="446"/>
    </w:p>
    <w:p w14:paraId="3E259D52" w14:textId="77777777" w:rsidR="003D1FAF" w:rsidRPr="00CE0885" w:rsidRDefault="003D1FAF" w:rsidP="003D1FAF">
      <w:pPr>
        <w:widowControl w:val="0"/>
        <w:tabs>
          <w:tab w:val="left" w:pos="675"/>
        </w:tabs>
        <w:spacing w:line="360" w:lineRule="auto"/>
        <w:jc w:val="both"/>
        <w:rPr>
          <w:rFonts w:cs="Arial"/>
          <w:bCs w:val="0"/>
          <w:szCs w:val="24"/>
          <w:highlight w:val="yellow"/>
          <w:lang w:eastAsia="en-GB"/>
        </w:rPr>
      </w:pPr>
    </w:p>
    <w:p w14:paraId="44112D74" w14:textId="7DDCE403" w:rsidR="003D1FAF" w:rsidRPr="00CE0885" w:rsidRDefault="003D1FAF" w:rsidP="003D1FAF">
      <w:pPr>
        <w:widowControl w:val="0"/>
        <w:spacing w:line="360" w:lineRule="auto"/>
        <w:jc w:val="both"/>
        <w:rPr>
          <w:rFonts w:cs="Arial"/>
          <w:bCs w:val="0"/>
          <w:szCs w:val="24"/>
          <w:lang w:eastAsia="en-GB"/>
        </w:rPr>
      </w:pPr>
    </w:p>
    <w:p w14:paraId="62098CBC" w14:textId="77777777" w:rsidR="003D1FAF" w:rsidRDefault="003D1FAF" w:rsidP="003D1FAF">
      <w:pPr>
        <w:widowControl w:val="0"/>
        <w:autoSpaceDE w:val="0"/>
        <w:autoSpaceDN w:val="0"/>
        <w:adjustRightInd w:val="0"/>
        <w:spacing w:line="360" w:lineRule="auto"/>
        <w:ind w:right="-23"/>
        <w:rPr>
          <w:rFonts w:cs="Arial"/>
          <w:b/>
          <w:bCs w:val="0"/>
          <w:szCs w:val="24"/>
          <w:lang w:eastAsia="en-GB"/>
        </w:rPr>
      </w:pPr>
      <w:bookmarkStart w:id="447" w:name="_Toc345946984"/>
      <w:r w:rsidRPr="00CE0885">
        <w:rPr>
          <w:rFonts w:cs="Arial"/>
          <w:b/>
          <w:bCs w:val="0"/>
          <w:szCs w:val="24"/>
          <w:lang w:eastAsia="en-GB"/>
        </w:rPr>
        <w:t>Annex 1 Example Application to Close Practice List of Patients – Sample Template for Completion by Contractor</w:t>
      </w:r>
      <w:bookmarkEnd w:id="447"/>
    </w:p>
    <w:bookmarkStart w:id="448" w:name="_1557241356"/>
    <w:bookmarkEnd w:id="448"/>
    <w:p w14:paraId="23690115" w14:textId="10705014" w:rsidR="003D1FAF" w:rsidRPr="002B15FF" w:rsidRDefault="002306F3" w:rsidP="006C3DF5">
      <w:pPr>
        <w:pStyle w:val="ListParagraph"/>
        <w:numPr>
          <w:ilvl w:val="0"/>
          <w:numId w:val="118"/>
        </w:numPr>
      </w:pPr>
      <w:r>
        <w:fldChar w:fldCharType="begin"/>
      </w:r>
      <w:r>
        <w:instrText xml:space="preserve"> HYPERLINK "https://www.england.nhs.uk/publication/primary-medical-care-policy-and-guidance-manual-managing-closed-lists-annexes/" </w:instrText>
      </w:r>
      <w:r>
        <w:fldChar w:fldCharType="separate"/>
      </w:r>
      <w:r w:rsidR="002B15FF" w:rsidRPr="00996C6A">
        <w:rPr>
          <w:rStyle w:val="Hyperlink"/>
        </w:rPr>
        <w:t>Example Application to Close Practice List of Patients – Sample Template for Completion by Contractor</w:t>
      </w:r>
      <w:r>
        <w:rPr>
          <w:rStyle w:val="Hyperlink"/>
        </w:rPr>
        <w:fldChar w:fldCharType="end"/>
      </w:r>
      <w:r w:rsidR="002B15FF">
        <w:br/>
      </w:r>
    </w:p>
    <w:p w14:paraId="0E5B54FA" w14:textId="77777777" w:rsidR="003D1FAF" w:rsidRPr="00CE0885" w:rsidRDefault="003D1FAF" w:rsidP="003D1FAF">
      <w:pPr>
        <w:widowControl w:val="0"/>
        <w:autoSpaceDE w:val="0"/>
        <w:autoSpaceDN w:val="0"/>
        <w:adjustRightInd w:val="0"/>
        <w:spacing w:line="360" w:lineRule="auto"/>
        <w:ind w:right="-23"/>
        <w:rPr>
          <w:rFonts w:cs="Arial"/>
          <w:b/>
          <w:bCs w:val="0"/>
          <w:szCs w:val="24"/>
          <w:lang w:eastAsia="en-GB"/>
        </w:rPr>
      </w:pPr>
      <w:bookmarkStart w:id="449" w:name="_Toc345946985"/>
      <w:r w:rsidRPr="00CE0885">
        <w:rPr>
          <w:rFonts w:cs="Arial"/>
          <w:b/>
          <w:bCs w:val="0"/>
          <w:szCs w:val="24"/>
          <w:lang w:eastAsia="en-GB"/>
        </w:rPr>
        <w:t>Annex 2 Example Application to Close Patient List – Sample Letter from Commissioner to Contractor</w:t>
      </w:r>
      <w:bookmarkEnd w:id="449"/>
    </w:p>
    <w:bookmarkStart w:id="450" w:name="_1557241553"/>
    <w:bookmarkStart w:id="451" w:name="_Toc345946986"/>
    <w:bookmarkEnd w:id="450"/>
    <w:p w14:paraId="60D7C632" w14:textId="3FBCDB05" w:rsidR="003D1FAF" w:rsidRPr="002B15FF" w:rsidRDefault="006F315C" w:rsidP="006C3DF5">
      <w:pPr>
        <w:pStyle w:val="ListParagraph"/>
        <w:numPr>
          <w:ilvl w:val="0"/>
          <w:numId w:val="118"/>
        </w:numPr>
      </w:pPr>
      <w:r>
        <w:fldChar w:fldCharType="begin"/>
      </w:r>
      <w:r>
        <w:instrText xml:space="preserve"> HYPERLINK "https://www.england.nhs.uk/publication/primary-medical-care-policy-and-guidance-manual-managing-closed-lists-annexes/" </w:instrText>
      </w:r>
      <w:r>
        <w:fldChar w:fldCharType="separate"/>
      </w:r>
      <w:r w:rsidR="002B15FF" w:rsidRPr="006F315C">
        <w:rPr>
          <w:rStyle w:val="Hyperlink"/>
        </w:rPr>
        <w:t>Example Application to Close Patient List – Sample Letter from Commissioner to Contractor</w:t>
      </w:r>
      <w:r>
        <w:fldChar w:fldCharType="end"/>
      </w:r>
      <w:r w:rsidR="002B15FF">
        <w:br/>
      </w:r>
    </w:p>
    <w:p w14:paraId="50DB6207" w14:textId="77777777" w:rsidR="003D1FAF" w:rsidRPr="00CE0885" w:rsidRDefault="003D1FAF" w:rsidP="003D1FAF">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3 Example Consultation Letter from Commissioner to Affected Parties</w:t>
      </w:r>
      <w:bookmarkEnd w:id="451"/>
    </w:p>
    <w:bookmarkStart w:id="452" w:name="_1557242278"/>
    <w:bookmarkEnd w:id="452"/>
    <w:p w14:paraId="0B4C75AC" w14:textId="4B2B1ACB" w:rsidR="003D1FAF" w:rsidRPr="002B15FF" w:rsidRDefault="002306F3" w:rsidP="006C3DF5">
      <w:pPr>
        <w:pStyle w:val="ListParagraph"/>
        <w:numPr>
          <w:ilvl w:val="0"/>
          <w:numId w:val="118"/>
        </w:numPr>
      </w:pPr>
      <w:r>
        <w:fldChar w:fldCharType="begin"/>
      </w:r>
      <w:r>
        <w:instrText xml:space="preserve"> HYPERLINK "https://www.england.nhs.uk/publication/primary-medical-care-policy-and-guidance-manual-managing-closed-lists-annexes/" </w:instrText>
      </w:r>
      <w:r>
        <w:fldChar w:fldCharType="separate"/>
      </w:r>
      <w:r w:rsidR="002B15FF" w:rsidRPr="006F315C">
        <w:rPr>
          <w:rStyle w:val="Hyperlink"/>
        </w:rPr>
        <w:t>Example Consultation Letter from Commissioner to Affected Parties</w:t>
      </w:r>
      <w:r>
        <w:rPr>
          <w:rStyle w:val="Hyperlink"/>
        </w:rPr>
        <w:fldChar w:fldCharType="end"/>
      </w:r>
      <w:r w:rsidR="002B15FF">
        <w:br/>
      </w:r>
    </w:p>
    <w:p w14:paraId="0F4AF3C5" w14:textId="77777777" w:rsidR="003D1FAF" w:rsidRPr="00CE0885" w:rsidRDefault="003D1FAF" w:rsidP="003D1FAF">
      <w:pPr>
        <w:widowControl w:val="0"/>
        <w:autoSpaceDE w:val="0"/>
        <w:autoSpaceDN w:val="0"/>
        <w:adjustRightInd w:val="0"/>
        <w:spacing w:line="360" w:lineRule="auto"/>
        <w:ind w:right="-23"/>
        <w:rPr>
          <w:rFonts w:cs="Arial"/>
          <w:b/>
          <w:bCs w:val="0"/>
          <w:szCs w:val="24"/>
          <w:lang w:eastAsia="en-GB"/>
        </w:rPr>
      </w:pPr>
      <w:bookmarkStart w:id="453" w:name="_Toc345946987"/>
      <w:r w:rsidRPr="00CE0885">
        <w:rPr>
          <w:rFonts w:cs="Arial"/>
          <w:b/>
          <w:bCs w:val="0"/>
          <w:szCs w:val="24"/>
          <w:lang w:eastAsia="en-GB"/>
        </w:rPr>
        <w:t xml:space="preserve">Annex 4 Approval – Example Closure </w:t>
      </w:r>
      <w:bookmarkEnd w:id="453"/>
      <w:r w:rsidRPr="00CE0885">
        <w:rPr>
          <w:rFonts w:cs="Arial"/>
          <w:b/>
          <w:bCs w:val="0"/>
          <w:szCs w:val="24"/>
          <w:lang w:eastAsia="en-GB"/>
        </w:rPr>
        <w:t>Notice</w:t>
      </w:r>
    </w:p>
    <w:bookmarkStart w:id="454" w:name="_1557242296"/>
    <w:bookmarkEnd w:id="454"/>
    <w:p w14:paraId="49768D74" w14:textId="4FAFBEA1" w:rsidR="003D1FAF" w:rsidRPr="002B15FF" w:rsidRDefault="002306F3" w:rsidP="006C3DF5">
      <w:pPr>
        <w:pStyle w:val="ListParagraph"/>
        <w:numPr>
          <w:ilvl w:val="0"/>
          <w:numId w:val="118"/>
        </w:numPr>
      </w:pPr>
      <w:r>
        <w:fldChar w:fldCharType="begin"/>
      </w:r>
      <w:r>
        <w:instrText xml:space="preserve"> HYPERLINK "https://www.england.nhs.uk/publication/primary-medical-care-policy-and-guidance-manual-managing-closed-lists-annexes/" </w:instrText>
      </w:r>
      <w:r>
        <w:fldChar w:fldCharType="separate"/>
      </w:r>
      <w:r w:rsidR="002B15FF" w:rsidRPr="006F315C">
        <w:rPr>
          <w:rStyle w:val="Hyperlink"/>
        </w:rPr>
        <w:t>Approval – Example Closure Notice</w:t>
      </w:r>
      <w:r>
        <w:rPr>
          <w:rStyle w:val="Hyperlink"/>
        </w:rPr>
        <w:fldChar w:fldCharType="end"/>
      </w:r>
      <w:r w:rsidR="002B15FF">
        <w:br/>
      </w:r>
    </w:p>
    <w:p w14:paraId="641D8084" w14:textId="77777777" w:rsidR="003D1FAF" w:rsidRPr="00CE0885" w:rsidRDefault="003D1FAF" w:rsidP="003D1FAF">
      <w:pPr>
        <w:widowControl w:val="0"/>
        <w:autoSpaceDE w:val="0"/>
        <w:autoSpaceDN w:val="0"/>
        <w:adjustRightInd w:val="0"/>
        <w:spacing w:line="360" w:lineRule="auto"/>
        <w:ind w:right="-23"/>
        <w:rPr>
          <w:rFonts w:cs="Arial"/>
          <w:b/>
          <w:bCs w:val="0"/>
          <w:szCs w:val="24"/>
          <w:lang w:eastAsia="en-GB"/>
        </w:rPr>
      </w:pPr>
      <w:bookmarkStart w:id="455" w:name="_Toc345946988"/>
      <w:r w:rsidRPr="00CE0885">
        <w:rPr>
          <w:rFonts w:cs="Arial"/>
          <w:b/>
          <w:bCs w:val="0"/>
          <w:szCs w:val="24"/>
          <w:lang w:eastAsia="en-GB"/>
        </w:rPr>
        <w:t xml:space="preserve">Annex 5 Rejection – Example </w:t>
      </w:r>
      <w:bookmarkEnd w:id="455"/>
      <w:r w:rsidRPr="00CE0885">
        <w:rPr>
          <w:rFonts w:cs="Arial"/>
          <w:b/>
          <w:bCs w:val="0"/>
          <w:szCs w:val="24"/>
          <w:lang w:eastAsia="en-GB"/>
        </w:rPr>
        <w:t>Letter</w:t>
      </w:r>
    </w:p>
    <w:bookmarkStart w:id="456" w:name="_1557242312"/>
    <w:bookmarkEnd w:id="456"/>
    <w:p w14:paraId="5AD83EF0" w14:textId="2430FB02" w:rsidR="003D1FAF" w:rsidRPr="002B15FF" w:rsidRDefault="002306F3" w:rsidP="006C3DF5">
      <w:pPr>
        <w:pStyle w:val="ListParagraph"/>
        <w:numPr>
          <w:ilvl w:val="0"/>
          <w:numId w:val="118"/>
        </w:numPr>
      </w:pPr>
      <w:r>
        <w:fldChar w:fldCharType="begin"/>
      </w:r>
      <w:r>
        <w:instrText xml:space="preserve"> HYPERLINK "https://www.england.nhs.uk/publication/primary-medical-care-policy-and-guidance-manual-managing-closed-lists-annexes/" </w:instrText>
      </w:r>
      <w:r>
        <w:fldChar w:fldCharType="separate"/>
      </w:r>
      <w:r w:rsidR="002B15FF" w:rsidRPr="009D1F24">
        <w:rPr>
          <w:rStyle w:val="Hyperlink"/>
        </w:rPr>
        <w:t>Rejection – Example Letter</w:t>
      </w:r>
      <w:r>
        <w:rPr>
          <w:rStyle w:val="Hyperlink"/>
        </w:rPr>
        <w:fldChar w:fldCharType="end"/>
      </w:r>
      <w:r w:rsidR="002B15FF">
        <w:br/>
      </w:r>
    </w:p>
    <w:p w14:paraId="34F3681C" w14:textId="77777777" w:rsidR="003D1FAF" w:rsidRPr="00CE0885" w:rsidRDefault="003D1FAF" w:rsidP="003D1FAF">
      <w:pPr>
        <w:widowControl w:val="0"/>
        <w:autoSpaceDE w:val="0"/>
        <w:autoSpaceDN w:val="0"/>
        <w:adjustRightInd w:val="0"/>
        <w:spacing w:line="360" w:lineRule="auto"/>
        <w:ind w:right="-23"/>
        <w:rPr>
          <w:rFonts w:cs="Arial"/>
          <w:b/>
          <w:bCs w:val="0"/>
          <w:szCs w:val="24"/>
          <w:lang w:eastAsia="en-GB"/>
        </w:rPr>
      </w:pPr>
      <w:bookmarkStart w:id="457" w:name="_Toc345946989"/>
      <w:r w:rsidRPr="00CE0885">
        <w:rPr>
          <w:rFonts w:cs="Arial"/>
          <w:b/>
          <w:bCs w:val="0"/>
          <w:szCs w:val="24"/>
          <w:lang w:eastAsia="en-GB"/>
        </w:rPr>
        <w:t>Annex 6 Example Application to Extend a Closure Period – Sample Template for Completion by Contractor</w:t>
      </w:r>
      <w:bookmarkEnd w:id="457"/>
    </w:p>
    <w:bookmarkStart w:id="458" w:name="_1557247808"/>
    <w:bookmarkEnd w:id="458"/>
    <w:p w14:paraId="78EDDBBA" w14:textId="061A5160" w:rsidR="003D1FAF" w:rsidRPr="002B15FF" w:rsidRDefault="002306F3" w:rsidP="006C3DF5">
      <w:pPr>
        <w:pStyle w:val="ListParagraph"/>
        <w:numPr>
          <w:ilvl w:val="0"/>
          <w:numId w:val="118"/>
        </w:numPr>
      </w:pPr>
      <w:r>
        <w:fldChar w:fldCharType="begin"/>
      </w:r>
      <w:r>
        <w:instrText xml:space="preserve"> HYPERLINK "https://www.england.nhs.uk/publication/primary-medical-care-policy-and-guidance-manual-managing-closed-lists-annexes/" </w:instrText>
      </w:r>
      <w:r>
        <w:fldChar w:fldCharType="separate"/>
      </w:r>
      <w:r w:rsidR="002B15FF" w:rsidRPr="009D1F24">
        <w:rPr>
          <w:rStyle w:val="Hyperlink"/>
        </w:rPr>
        <w:t>Example Application to Extend a Closure Period – Sample Template for Completion by Contractor</w:t>
      </w:r>
      <w:r>
        <w:rPr>
          <w:rStyle w:val="Hyperlink"/>
        </w:rPr>
        <w:fldChar w:fldCharType="end"/>
      </w:r>
      <w:r w:rsidR="002B15FF">
        <w:br/>
      </w:r>
    </w:p>
    <w:p w14:paraId="58135B71" w14:textId="77777777" w:rsidR="003D1FAF" w:rsidRPr="00CE0885" w:rsidRDefault="003D1FAF" w:rsidP="003D1FAF">
      <w:pPr>
        <w:widowControl w:val="0"/>
        <w:autoSpaceDE w:val="0"/>
        <w:autoSpaceDN w:val="0"/>
        <w:adjustRightInd w:val="0"/>
        <w:spacing w:line="360" w:lineRule="auto"/>
        <w:ind w:right="-23"/>
        <w:rPr>
          <w:rFonts w:cs="Arial"/>
          <w:b/>
          <w:bCs w:val="0"/>
          <w:szCs w:val="24"/>
          <w:lang w:eastAsia="en-GB"/>
        </w:rPr>
      </w:pPr>
      <w:bookmarkStart w:id="459" w:name="_Toc345946990"/>
      <w:r w:rsidRPr="00CE0885">
        <w:rPr>
          <w:rFonts w:cs="Arial"/>
          <w:b/>
          <w:bCs w:val="0"/>
          <w:szCs w:val="24"/>
          <w:lang w:eastAsia="en-GB"/>
        </w:rPr>
        <w:t>Annex 7 Example Application to Extend a Closure Period – Sample Letter from Commissioner to Contractor</w:t>
      </w:r>
      <w:bookmarkEnd w:id="459"/>
    </w:p>
    <w:bookmarkStart w:id="460" w:name="_1557247847"/>
    <w:bookmarkEnd w:id="460"/>
    <w:p w14:paraId="79A7D50A" w14:textId="3AB07497" w:rsidR="003D1FAF" w:rsidRPr="002B15FF" w:rsidRDefault="002306F3" w:rsidP="006C3DF5">
      <w:pPr>
        <w:pStyle w:val="ListParagraph"/>
        <w:numPr>
          <w:ilvl w:val="0"/>
          <w:numId w:val="118"/>
        </w:numPr>
      </w:pPr>
      <w:r>
        <w:fldChar w:fldCharType="begin"/>
      </w:r>
      <w:r>
        <w:instrText xml:space="preserve"> HYPERLINK "https://www.england.nhs.uk/publication/primary-medical-care-policy-and-guidance-manual-managing-closed-lists-annexes/" </w:instrText>
      </w:r>
      <w:r>
        <w:fldChar w:fldCharType="separate"/>
      </w:r>
      <w:r w:rsidR="002B15FF" w:rsidRPr="001A79CA">
        <w:rPr>
          <w:rStyle w:val="Hyperlink"/>
        </w:rPr>
        <w:t>Example Application to Extend a Closure Period – Sample Letter from Commissioner to Contractor</w:t>
      </w:r>
      <w:r>
        <w:rPr>
          <w:rStyle w:val="Hyperlink"/>
        </w:rPr>
        <w:fldChar w:fldCharType="end"/>
      </w:r>
      <w:r w:rsidR="002B15FF">
        <w:br/>
      </w:r>
    </w:p>
    <w:p w14:paraId="36A4DC6A" w14:textId="749248F2" w:rsidR="003D1FAF" w:rsidRPr="00CE0885" w:rsidRDefault="003D1FAF" w:rsidP="003D1FAF">
      <w:pPr>
        <w:widowControl w:val="0"/>
        <w:autoSpaceDE w:val="0"/>
        <w:autoSpaceDN w:val="0"/>
        <w:adjustRightInd w:val="0"/>
        <w:spacing w:line="360" w:lineRule="auto"/>
        <w:ind w:right="-23"/>
        <w:rPr>
          <w:rFonts w:cs="Arial"/>
          <w:b/>
          <w:bCs w:val="0"/>
          <w:szCs w:val="24"/>
          <w:lang w:eastAsia="en-GB"/>
        </w:rPr>
      </w:pPr>
      <w:bookmarkStart w:id="461" w:name="_Toc345946991"/>
      <w:r w:rsidRPr="00CE0885">
        <w:rPr>
          <w:rFonts w:cs="Arial"/>
          <w:b/>
          <w:bCs w:val="0"/>
          <w:szCs w:val="24"/>
          <w:lang w:eastAsia="en-GB"/>
        </w:rPr>
        <w:t>Annex 8 Example Consultation Letter from Commissioner to Affected Parties Regarding Application for Extension</w:t>
      </w:r>
      <w:bookmarkEnd w:id="461"/>
      <w:r w:rsidR="00A7669A">
        <w:rPr>
          <w:rFonts w:cs="Arial"/>
          <w:b/>
          <w:bCs w:val="0"/>
          <w:szCs w:val="24"/>
          <w:lang w:eastAsia="en-GB"/>
        </w:rPr>
        <w:t xml:space="preserve"> </w:t>
      </w:r>
    </w:p>
    <w:bookmarkStart w:id="462" w:name="_1557247865"/>
    <w:bookmarkEnd w:id="462"/>
    <w:p w14:paraId="6DA8AB0B" w14:textId="0A94FB70" w:rsidR="003D1FAF" w:rsidRPr="002B15FF" w:rsidRDefault="002306F3" w:rsidP="006C3DF5">
      <w:pPr>
        <w:pStyle w:val="ListParagraph"/>
        <w:widowControl w:val="0"/>
        <w:numPr>
          <w:ilvl w:val="0"/>
          <w:numId w:val="118"/>
        </w:numPr>
        <w:spacing w:line="360" w:lineRule="auto"/>
        <w:rPr>
          <w:rFonts w:cs="Arial"/>
          <w:bCs w:val="0"/>
          <w:szCs w:val="24"/>
        </w:rPr>
      </w:pPr>
      <w:r>
        <w:fldChar w:fldCharType="begin"/>
      </w:r>
      <w:r>
        <w:instrText xml:space="preserve"> HYPERLINK "https://www.england.nhs.uk/publication/primary-medical-care-policy-and-guidance-manual-managing-closed-lists-annexes/" </w:instrText>
      </w:r>
      <w:r>
        <w:fldChar w:fldCharType="separate"/>
      </w:r>
      <w:r w:rsidR="002B15FF" w:rsidRPr="00981A15">
        <w:rPr>
          <w:rStyle w:val="Hyperlink"/>
        </w:rPr>
        <w:t>Example Consultation Letter from Commissioner to Affected Parties Regarding Application for Extension</w:t>
      </w:r>
      <w:r>
        <w:rPr>
          <w:rStyle w:val="Hyperlink"/>
        </w:rPr>
        <w:fldChar w:fldCharType="end"/>
      </w:r>
    </w:p>
    <w:p w14:paraId="7AB6AB58" w14:textId="77777777" w:rsidR="003D1FAF" w:rsidRPr="00CE0885" w:rsidRDefault="003D1FAF" w:rsidP="003D1FAF">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9 Approval – Example Extended Closure Notice</w:t>
      </w:r>
    </w:p>
    <w:bookmarkStart w:id="463" w:name="_1557247893"/>
    <w:bookmarkEnd w:id="463"/>
    <w:p w14:paraId="4CD853F7" w14:textId="1E759ED9" w:rsidR="003D1FAF" w:rsidRPr="002B15FF" w:rsidRDefault="002306F3" w:rsidP="006C3DF5">
      <w:pPr>
        <w:pStyle w:val="ListParagraph"/>
        <w:numPr>
          <w:ilvl w:val="0"/>
          <w:numId w:val="118"/>
        </w:numPr>
      </w:pPr>
      <w:r>
        <w:fldChar w:fldCharType="begin"/>
      </w:r>
      <w:r>
        <w:instrText xml:space="preserve"> HYPERLINK "https://www.england.nhs.uk/publication/primary-medical-care-policy-and-guidance-manual-managing-closed-lists-annexes/" </w:instrText>
      </w:r>
      <w:r>
        <w:fldChar w:fldCharType="separate"/>
      </w:r>
      <w:r w:rsidR="002B15FF" w:rsidRPr="00981A15">
        <w:rPr>
          <w:rStyle w:val="Hyperlink"/>
        </w:rPr>
        <w:t>Approval – Example Extended Closure Notice</w:t>
      </w:r>
      <w:r>
        <w:rPr>
          <w:rStyle w:val="Hyperlink"/>
        </w:rPr>
        <w:fldChar w:fldCharType="end"/>
      </w:r>
      <w:r w:rsidR="002B15FF">
        <w:br/>
      </w:r>
    </w:p>
    <w:p w14:paraId="221A1475" w14:textId="77777777" w:rsidR="003D1FAF" w:rsidRDefault="003D1FAF" w:rsidP="003D1FAF">
      <w:pPr>
        <w:widowControl w:val="0"/>
        <w:autoSpaceDE w:val="0"/>
        <w:autoSpaceDN w:val="0"/>
        <w:adjustRightInd w:val="0"/>
        <w:spacing w:line="360" w:lineRule="auto"/>
        <w:ind w:right="-23"/>
        <w:rPr>
          <w:rFonts w:cs="Arial"/>
          <w:b/>
          <w:bCs w:val="0"/>
          <w:szCs w:val="24"/>
          <w:lang w:eastAsia="en-GB"/>
        </w:rPr>
      </w:pPr>
      <w:bookmarkStart w:id="464" w:name="_Toc345946993"/>
      <w:r w:rsidRPr="00CE0885">
        <w:rPr>
          <w:rFonts w:cs="Arial"/>
          <w:b/>
          <w:bCs w:val="0"/>
          <w:szCs w:val="24"/>
          <w:lang w:eastAsia="en-GB"/>
        </w:rPr>
        <w:t xml:space="preserve">Annex 10 Rejection of Extended Closure – Example </w:t>
      </w:r>
      <w:bookmarkEnd w:id="464"/>
      <w:r w:rsidRPr="00CE0885">
        <w:rPr>
          <w:rFonts w:cs="Arial"/>
          <w:b/>
          <w:bCs w:val="0"/>
          <w:szCs w:val="24"/>
          <w:lang w:eastAsia="en-GB"/>
        </w:rPr>
        <w:t>Letter</w:t>
      </w:r>
    </w:p>
    <w:bookmarkStart w:id="465" w:name="_1557247939"/>
    <w:bookmarkEnd w:id="465"/>
    <w:p w14:paraId="0F7B8055" w14:textId="5D3C8D32" w:rsidR="002B15FF" w:rsidRPr="002B15FF" w:rsidRDefault="002306F3" w:rsidP="006C3DF5">
      <w:pPr>
        <w:pStyle w:val="ListParagraph"/>
        <w:numPr>
          <w:ilvl w:val="0"/>
          <w:numId w:val="118"/>
        </w:numPr>
      </w:pPr>
      <w:r>
        <w:fldChar w:fldCharType="begin"/>
      </w:r>
      <w:r>
        <w:instrText xml:space="preserve"> HYPERLINK "https://www.england.nhs.uk/publication/primary-medical-care-policy-and-guidance-manual-managing-closed-lists-annexes/" </w:instrText>
      </w:r>
      <w:r>
        <w:fldChar w:fldCharType="separate"/>
      </w:r>
      <w:r w:rsidR="002B15FF" w:rsidRPr="00981A15">
        <w:rPr>
          <w:rStyle w:val="Hyperlink"/>
        </w:rPr>
        <w:t>Rejection of Extended Closure – Example Letter</w:t>
      </w:r>
      <w:r>
        <w:rPr>
          <w:rStyle w:val="Hyperlink"/>
        </w:rPr>
        <w:fldChar w:fldCharType="end"/>
      </w:r>
    </w:p>
    <w:p w14:paraId="66DF9E53" w14:textId="77777777" w:rsidR="003D1FAF" w:rsidRPr="00CE0885" w:rsidRDefault="003D1FAF" w:rsidP="003D1FAF">
      <w:pPr>
        <w:spacing w:line="360" w:lineRule="auto"/>
        <w:rPr>
          <w:rFonts w:cs="Arial"/>
          <w:bCs w:val="0"/>
          <w:szCs w:val="24"/>
          <w:lang w:eastAsia="en-GB"/>
        </w:rPr>
      </w:pPr>
    </w:p>
    <w:p w14:paraId="6CB80B7D" w14:textId="77777777" w:rsidR="006A6D87" w:rsidRDefault="003D1FAF" w:rsidP="00DB11FA">
      <w:pPr>
        <w:pStyle w:val="Heading1"/>
        <w:tabs>
          <w:tab w:val="left" w:pos="3390"/>
        </w:tabs>
        <w:rPr>
          <w:lang w:eastAsia="en-GB"/>
        </w:rPr>
      </w:pPr>
      <w:r w:rsidRPr="009055A7">
        <w:br w:type="page"/>
      </w:r>
      <w:bookmarkStart w:id="466" w:name="_Toc95743406"/>
      <w:r w:rsidR="00DB11FA" w:rsidRPr="00DB11FA">
        <w:rPr>
          <w:lang w:eastAsia="en-GB"/>
        </w:rPr>
        <w:t>GP Patient Registration Standard Operating Principles for Primary Medical Care</w:t>
      </w:r>
      <w:bookmarkStart w:id="467" w:name="_Toc488146102"/>
      <w:bookmarkEnd w:id="466"/>
    </w:p>
    <w:p w14:paraId="1D9CA451" w14:textId="77777777" w:rsidR="006A6D87" w:rsidRPr="006A6D87" w:rsidRDefault="006A6D87" w:rsidP="006A6D87">
      <w:pPr>
        <w:rPr>
          <w:lang w:eastAsia="en-GB"/>
        </w:rPr>
      </w:pPr>
    </w:p>
    <w:p w14:paraId="7D3D6E0D" w14:textId="6B9DBE5B" w:rsidR="00DB11FA" w:rsidRPr="006A6D87" w:rsidRDefault="00DB11FA" w:rsidP="006A6D87">
      <w:pPr>
        <w:pStyle w:val="Heading2"/>
      </w:pPr>
      <w:bookmarkStart w:id="468" w:name="_Toc95743407"/>
      <w:r w:rsidRPr="006A6D87">
        <w:t>Policy statement</w:t>
      </w:r>
      <w:bookmarkEnd w:id="467"/>
      <w:bookmarkEnd w:id="468"/>
    </w:p>
    <w:p w14:paraId="38B3D18C" w14:textId="77777777" w:rsidR="00DB11FA" w:rsidRDefault="00DB11FA" w:rsidP="00DB11FA">
      <w:pPr>
        <w:autoSpaceDE w:val="0"/>
        <w:autoSpaceDN w:val="0"/>
        <w:adjustRightInd w:val="0"/>
      </w:pPr>
    </w:p>
    <w:p w14:paraId="657AC631" w14:textId="77777777" w:rsidR="00DB11FA" w:rsidRDefault="00DB11FA" w:rsidP="00DB11FA">
      <w:pPr>
        <w:pStyle w:val="Heading3"/>
        <w:rPr>
          <w:rFonts w:eastAsia="HGSMinchoE"/>
          <w:lang w:eastAsia="en-GB"/>
        </w:rPr>
      </w:pPr>
      <w:r w:rsidRPr="003C2B06">
        <w:rPr>
          <w:rFonts w:eastAsia="HGSMinchoE"/>
          <w:lang w:eastAsia="en-GB"/>
        </w:rPr>
        <w:t xml:space="preserve">There has not been any change in national policy in respect of </w:t>
      </w:r>
      <w:r>
        <w:rPr>
          <w:rFonts w:eastAsia="HGSMinchoE"/>
          <w:lang w:eastAsia="en-GB"/>
        </w:rPr>
        <w:t>patient registration for</w:t>
      </w:r>
      <w:r w:rsidRPr="003C2B06">
        <w:rPr>
          <w:rFonts w:eastAsia="HGSMinchoE"/>
          <w:lang w:eastAsia="en-GB"/>
        </w:rPr>
        <w:t xml:space="preserve"> primary medical care services – this guidance clarifies the rights of patients and the responsibilities of providers in registering with a GP practice</w:t>
      </w:r>
      <w:r>
        <w:rPr>
          <w:rFonts w:eastAsia="HGSMinchoE"/>
          <w:lang w:eastAsia="en-GB"/>
        </w:rPr>
        <w:t xml:space="preserve"> in particular issues in relation to: </w:t>
      </w:r>
    </w:p>
    <w:p w14:paraId="321239F1" w14:textId="77777777" w:rsidR="00DB11FA" w:rsidRDefault="00DB11FA" w:rsidP="00DB11FA">
      <w:pPr>
        <w:autoSpaceDE w:val="0"/>
        <w:autoSpaceDN w:val="0"/>
        <w:adjustRightInd w:val="0"/>
        <w:rPr>
          <w:rFonts w:eastAsia="HGSMinchoE" w:cs="Arial"/>
          <w:bCs w:val="0"/>
          <w:szCs w:val="24"/>
          <w:lang w:eastAsia="en-GB"/>
        </w:rPr>
      </w:pPr>
    </w:p>
    <w:p w14:paraId="00459ADC" w14:textId="77777777" w:rsidR="00DB11FA" w:rsidRDefault="00DB11FA" w:rsidP="006C3DF5">
      <w:pPr>
        <w:pStyle w:val="ListParagraph"/>
        <w:numPr>
          <w:ilvl w:val="0"/>
          <w:numId w:val="66"/>
        </w:numPr>
        <w:autoSpaceDE w:val="0"/>
        <w:autoSpaceDN w:val="0"/>
        <w:adjustRightInd w:val="0"/>
        <w:rPr>
          <w:rFonts w:eastAsia="HGSMinchoE" w:cs="Arial"/>
          <w:bCs w:val="0"/>
          <w:szCs w:val="24"/>
          <w:lang w:eastAsia="en-GB"/>
        </w:rPr>
      </w:pPr>
      <w:r>
        <w:rPr>
          <w:rFonts w:eastAsia="HGSMinchoE" w:cs="Arial"/>
          <w:bCs w:val="0"/>
          <w:szCs w:val="24"/>
          <w:lang w:eastAsia="en-GB"/>
        </w:rPr>
        <w:t>Who can access free healthcare</w:t>
      </w:r>
    </w:p>
    <w:p w14:paraId="0952A844" w14:textId="77777777" w:rsidR="00DB11FA" w:rsidRDefault="00DB11FA" w:rsidP="00DB11FA">
      <w:pPr>
        <w:pStyle w:val="ListParagraph"/>
        <w:autoSpaceDE w:val="0"/>
        <w:autoSpaceDN w:val="0"/>
        <w:adjustRightInd w:val="0"/>
        <w:ind w:left="780"/>
        <w:rPr>
          <w:rFonts w:eastAsia="HGSMinchoE" w:cs="Arial"/>
          <w:bCs w:val="0"/>
          <w:szCs w:val="24"/>
          <w:lang w:eastAsia="en-GB"/>
        </w:rPr>
      </w:pPr>
    </w:p>
    <w:p w14:paraId="430DF0FA" w14:textId="2902767F" w:rsidR="00DB11FA" w:rsidRDefault="00DB11FA" w:rsidP="006C3DF5">
      <w:pPr>
        <w:pStyle w:val="ListParagraph"/>
        <w:numPr>
          <w:ilvl w:val="0"/>
          <w:numId w:val="66"/>
        </w:numPr>
        <w:autoSpaceDE w:val="0"/>
        <w:autoSpaceDN w:val="0"/>
        <w:adjustRightInd w:val="0"/>
        <w:rPr>
          <w:rFonts w:eastAsia="HGSMinchoE" w:cs="Arial"/>
          <w:bCs w:val="0"/>
          <w:szCs w:val="24"/>
          <w:lang w:eastAsia="en-GB"/>
        </w:rPr>
      </w:pPr>
      <w:r w:rsidRPr="00E7094F">
        <w:rPr>
          <w:rFonts w:eastAsia="HGSMinchoE" w:cs="Arial"/>
          <w:bCs w:val="0"/>
          <w:szCs w:val="24"/>
          <w:lang w:eastAsia="en-GB"/>
        </w:rPr>
        <w:t xml:space="preserve">the </w:t>
      </w:r>
      <w:r>
        <w:rPr>
          <w:rFonts w:eastAsia="HGSMinchoE" w:cs="Arial"/>
          <w:bCs w:val="0"/>
          <w:szCs w:val="24"/>
          <w:lang w:eastAsia="en-GB"/>
        </w:rPr>
        <w:t>provision of documentary</w:t>
      </w:r>
      <w:r w:rsidRPr="00E7094F">
        <w:rPr>
          <w:rFonts w:eastAsia="HGSMinchoE" w:cs="Arial"/>
          <w:bCs w:val="0"/>
          <w:szCs w:val="24"/>
          <w:lang w:eastAsia="en-GB"/>
        </w:rPr>
        <w:t xml:space="preserve"> evidence of </w:t>
      </w:r>
      <w:r>
        <w:rPr>
          <w:rFonts w:eastAsia="HGSMinchoE" w:cs="Arial"/>
          <w:bCs w:val="0"/>
          <w:szCs w:val="24"/>
          <w:lang w:eastAsia="en-GB"/>
        </w:rPr>
        <w:t xml:space="preserve">identity or residence on </w:t>
      </w:r>
      <w:r w:rsidR="00FE7B61">
        <w:rPr>
          <w:rFonts w:eastAsia="HGSMinchoE" w:cs="Arial"/>
          <w:bCs w:val="0"/>
          <w:szCs w:val="24"/>
          <w:lang w:eastAsia="en-GB"/>
        </w:rPr>
        <w:t xml:space="preserve">registration </w:t>
      </w:r>
      <w:r w:rsidR="00FE7B61" w:rsidRPr="00E7094F">
        <w:rPr>
          <w:rFonts w:eastAsia="HGSMinchoE" w:cs="Arial"/>
          <w:bCs w:val="0"/>
          <w:szCs w:val="24"/>
          <w:lang w:eastAsia="en-GB"/>
        </w:rPr>
        <w:t>(</w:t>
      </w:r>
      <w:r w:rsidRPr="00ED32AD">
        <w:rPr>
          <w:rFonts w:eastAsia="HGSMinchoE" w:cs="Arial"/>
          <w:bCs w:val="0"/>
          <w:szCs w:val="24"/>
          <w:lang w:eastAsia="en-GB"/>
        </w:rPr>
        <w:t>in particular affecting migrants</w:t>
      </w:r>
      <w:r w:rsidR="007A3AF8">
        <w:rPr>
          <w:rFonts w:eastAsia="HGSMinchoE" w:cs="Arial"/>
          <w:bCs w:val="0"/>
          <w:szCs w:val="24"/>
          <w:lang w:eastAsia="en-GB"/>
        </w:rPr>
        <w:t>, refugees</w:t>
      </w:r>
      <w:r w:rsidRPr="00ED32AD">
        <w:rPr>
          <w:rFonts w:eastAsia="HGSMinchoE" w:cs="Arial"/>
          <w:bCs w:val="0"/>
          <w:szCs w:val="24"/>
          <w:lang w:eastAsia="en-GB"/>
        </w:rPr>
        <w:t xml:space="preserve"> and asylum seekers </w:t>
      </w:r>
      <w:r w:rsidR="007A3AF8">
        <w:rPr>
          <w:rFonts w:eastAsia="HGSMinchoE" w:cs="Arial"/>
          <w:bCs w:val="0"/>
          <w:szCs w:val="24"/>
          <w:lang w:eastAsia="en-GB"/>
        </w:rPr>
        <w:t xml:space="preserve">(including ‘failed asylum seeks) </w:t>
      </w:r>
      <w:r w:rsidRPr="00ED32AD">
        <w:rPr>
          <w:rFonts w:eastAsia="HGSMinchoE" w:cs="Arial"/>
          <w:bCs w:val="0"/>
          <w:szCs w:val="24"/>
          <w:lang w:eastAsia="en-GB"/>
        </w:rPr>
        <w:t xml:space="preserve">who </w:t>
      </w:r>
      <w:r w:rsidR="007A3AF8">
        <w:rPr>
          <w:rFonts w:eastAsia="HGSMinchoE" w:cs="Arial"/>
          <w:bCs w:val="0"/>
          <w:szCs w:val="24"/>
          <w:lang w:eastAsia="en-GB"/>
        </w:rPr>
        <w:t xml:space="preserve">may </w:t>
      </w:r>
      <w:r w:rsidRPr="00ED32AD">
        <w:rPr>
          <w:rFonts w:eastAsia="HGSMinchoE" w:cs="Arial"/>
          <w:bCs w:val="0"/>
          <w:szCs w:val="24"/>
          <w:lang w:eastAsia="en-GB"/>
        </w:rPr>
        <w:t xml:space="preserve">not have </w:t>
      </w:r>
      <w:r w:rsidR="007A3AF8">
        <w:rPr>
          <w:rFonts w:eastAsia="HGSMinchoE" w:cs="Arial"/>
          <w:bCs w:val="0"/>
          <w:szCs w:val="24"/>
          <w:lang w:eastAsia="en-GB"/>
        </w:rPr>
        <w:t xml:space="preserve">ID or </w:t>
      </w:r>
      <w:r w:rsidR="00FE7B61" w:rsidRPr="00ED32AD">
        <w:rPr>
          <w:rFonts w:eastAsia="HGSMinchoE" w:cs="Arial"/>
          <w:bCs w:val="0"/>
          <w:szCs w:val="24"/>
          <w:lang w:eastAsia="en-GB"/>
        </w:rPr>
        <w:t>documents</w:t>
      </w:r>
      <w:r w:rsidR="007A3AF8">
        <w:rPr>
          <w:rFonts w:eastAsia="HGSMinchoE" w:cs="Arial"/>
          <w:bCs w:val="0"/>
          <w:szCs w:val="24"/>
          <w:lang w:eastAsia="en-GB"/>
        </w:rPr>
        <w:t xml:space="preserve"> such as household bills</w:t>
      </w:r>
      <w:r w:rsidR="00FE7B61" w:rsidRPr="00ED32AD">
        <w:rPr>
          <w:rFonts w:eastAsia="HGSMinchoE" w:cs="Arial"/>
          <w:bCs w:val="0"/>
          <w:szCs w:val="24"/>
          <w:lang w:eastAsia="en-GB"/>
        </w:rPr>
        <w:t>)</w:t>
      </w:r>
    </w:p>
    <w:p w14:paraId="08E2787D" w14:textId="77777777" w:rsidR="00DB11FA" w:rsidRPr="006A7A86" w:rsidRDefault="00DB11FA" w:rsidP="00DB11FA">
      <w:pPr>
        <w:pStyle w:val="ListParagraph"/>
        <w:autoSpaceDE w:val="0"/>
        <w:autoSpaceDN w:val="0"/>
        <w:adjustRightInd w:val="0"/>
        <w:ind w:left="780"/>
        <w:rPr>
          <w:rFonts w:eastAsia="HGSMinchoE" w:cs="Arial"/>
          <w:bCs w:val="0"/>
          <w:szCs w:val="24"/>
          <w:lang w:eastAsia="en-GB"/>
        </w:rPr>
      </w:pPr>
    </w:p>
    <w:p w14:paraId="7334F726" w14:textId="5E88B8C8" w:rsidR="00DB11FA" w:rsidRDefault="00DB11FA" w:rsidP="006C3DF5">
      <w:pPr>
        <w:pStyle w:val="ListParagraph"/>
        <w:numPr>
          <w:ilvl w:val="0"/>
          <w:numId w:val="66"/>
        </w:numPr>
        <w:autoSpaceDE w:val="0"/>
        <w:autoSpaceDN w:val="0"/>
        <w:adjustRightInd w:val="0"/>
        <w:rPr>
          <w:rFonts w:eastAsia="HGSMinchoE" w:cs="Arial"/>
          <w:bCs w:val="0"/>
          <w:szCs w:val="24"/>
          <w:lang w:eastAsia="en-GB"/>
        </w:rPr>
      </w:pPr>
      <w:r w:rsidRPr="00E7094F">
        <w:rPr>
          <w:rFonts w:eastAsia="HGSMinchoE" w:cs="Arial"/>
          <w:bCs w:val="0"/>
          <w:szCs w:val="24"/>
          <w:lang w:eastAsia="en-GB"/>
        </w:rPr>
        <w:t xml:space="preserve">the rights of patients who are temporarily resident in a specialist hospital </w:t>
      </w:r>
      <w:r>
        <w:rPr>
          <w:rFonts w:eastAsia="HGSMinchoE" w:cs="Arial"/>
          <w:bCs w:val="0"/>
          <w:szCs w:val="24"/>
          <w:lang w:eastAsia="en-GB"/>
        </w:rPr>
        <w:t>away from their home address and access to their ‘</w:t>
      </w:r>
      <w:r w:rsidR="007A3AF8">
        <w:rPr>
          <w:rFonts w:eastAsia="HGSMinchoE" w:cs="Arial"/>
          <w:bCs w:val="0"/>
          <w:szCs w:val="24"/>
          <w:lang w:eastAsia="en-GB"/>
        </w:rPr>
        <w:t xml:space="preserve">usual’ </w:t>
      </w:r>
      <w:r>
        <w:rPr>
          <w:rFonts w:eastAsia="HGSMinchoE" w:cs="Arial"/>
          <w:bCs w:val="0"/>
          <w:szCs w:val="24"/>
          <w:lang w:eastAsia="en-GB"/>
        </w:rPr>
        <w:t>GP practice</w:t>
      </w:r>
    </w:p>
    <w:p w14:paraId="51FA5F4B" w14:textId="77777777" w:rsidR="00DB11FA" w:rsidRPr="00ED1B9E" w:rsidRDefault="00DB11FA" w:rsidP="00DB11FA">
      <w:pPr>
        <w:autoSpaceDE w:val="0"/>
        <w:autoSpaceDN w:val="0"/>
        <w:adjustRightInd w:val="0"/>
        <w:rPr>
          <w:rFonts w:eastAsia="HGSMinchoE" w:cs="Arial"/>
          <w:bCs w:val="0"/>
          <w:szCs w:val="24"/>
          <w:lang w:eastAsia="en-GB"/>
        </w:rPr>
      </w:pPr>
    </w:p>
    <w:p w14:paraId="2016EB74" w14:textId="77777777" w:rsidR="00DB11FA" w:rsidRPr="003C2B06" w:rsidRDefault="00DB11FA" w:rsidP="00DB11FA">
      <w:pPr>
        <w:autoSpaceDE w:val="0"/>
        <w:autoSpaceDN w:val="0"/>
        <w:adjustRightInd w:val="0"/>
        <w:rPr>
          <w:rFonts w:eastAsia="HGSMinchoE" w:cs="Arial"/>
          <w:bCs w:val="0"/>
          <w:szCs w:val="24"/>
          <w:lang w:eastAsia="en-GB"/>
        </w:rPr>
      </w:pPr>
    </w:p>
    <w:p w14:paraId="2A539789" w14:textId="77777777" w:rsidR="00DB11FA" w:rsidRPr="00772964" w:rsidRDefault="00DB11FA" w:rsidP="00DB11FA">
      <w:pPr>
        <w:pStyle w:val="Heading2"/>
      </w:pPr>
      <w:bookmarkStart w:id="469" w:name="_Toc488146103"/>
      <w:bookmarkStart w:id="470" w:name="_Toc95743408"/>
      <w:r w:rsidRPr="00772964">
        <w:t>Aims</w:t>
      </w:r>
      <w:bookmarkEnd w:id="469"/>
      <w:bookmarkEnd w:id="470"/>
      <w:r w:rsidRPr="00772964">
        <w:t xml:space="preserve"> </w:t>
      </w:r>
    </w:p>
    <w:p w14:paraId="63E926CD" w14:textId="77777777" w:rsidR="00DB11FA" w:rsidRDefault="00DB11FA" w:rsidP="006A6D87">
      <w:pPr>
        <w:pStyle w:val="Heading3"/>
      </w:pPr>
      <w:r>
        <w:t>In issuing t</w:t>
      </w:r>
      <w:r w:rsidRPr="00585581">
        <w:t>he</w:t>
      </w:r>
      <w:r>
        <w:t>se</w:t>
      </w:r>
      <w:r w:rsidRPr="00585581">
        <w:t xml:space="preserve"> </w:t>
      </w:r>
      <w:r>
        <w:t xml:space="preserve">patient registration </w:t>
      </w:r>
      <w:r w:rsidRPr="00585581">
        <w:t xml:space="preserve">operating principles </w:t>
      </w:r>
      <w:r>
        <w:t xml:space="preserve">we </w:t>
      </w:r>
      <w:r w:rsidRPr="00585581">
        <w:t xml:space="preserve">aim to: </w:t>
      </w:r>
    </w:p>
    <w:p w14:paraId="028283FB" w14:textId="77777777" w:rsidR="00DB11FA" w:rsidRDefault="00DB11FA" w:rsidP="00DB11FA"/>
    <w:p w14:paraId="640DF12C" w14:textId="66F52CFE" w:rsidR="00DB11FA" w:rsidRDefault="00FE7B61" w:rsidP="006C3DF5">
      <w:pPr>
        <w:pStyle w:val="ListParagraph"/>
        <w:numPr>
          <w:ilvl w:val="0"/>
          <w:numId w:val="65"/>
        </w:numPr>
      </w:pPr>
      <w:r>
        <w:t>Clarify</w:t>
      </w:r>
      <w:r w:rsidRPr="00585581">
        <w:t xml:space="preserve"> the</w:t>
      </w:r>
      <w:r w:rsidR="00DB11FA" w:rsidRPr="00585581">
        <w:t xml:space="preserve"> contractual rules in respect of patient registration for patients, practices</w:t>
      </w:r>
      <w:r w:rsidR="00954333">
        <w:t xml:space="preserve"> and commissionrs</w:t>
      </w:r>
    </w:p>
    <w:p w14:paraId="05EA1FA6" w14:textId="77777777" w:rsidR="00DB11FA" w:rsidRPr="00585581" w:rsidRDefault="00DB11FA" w:rsidP="00DB11FA">
      <w:pPr>
        <w:pStyle w:val="ListParagraph"/>
      </w:pPr>
    </w:p>
    <w:p w14:paraId="01CCD4B0" w14:textId="63ED6F20" w:rsidR="00DB11FA" w:rsidRDefault="00DB11FA" w:rsidP="006C3DF5">
      <w:pPr>
        <w:pStyle w:val="ListParagraph"/>
        <w:numPr>
          <w:ilvl w:val="0"/>
          <w:numId w:val="65"/>
        </w:numPr>
      </w:pPr>
      <w:r>
        <w:t xml:space="preserve">Reduce the risk of worsening health inequalities for specific </w:t>
      </w:r>
      <w:r w:rsidR="007A3AF8">
        <w:t>populations (for examples, asylum seekers or homeless people</w:t>
      </w:r>
      <w:r w:rsidR="00954333">
        <w:t>)</w:t>
      </w:r>
    </w:p>
    <w:p w14:paraId="2A080BF3" w14:textId="77777777" w:rsidR="00DB11FA" w:rsidRPr="00585581" w:rsidRDefault="00DB11FA" w:rsidP="00DB11FA"/>
    <w:p w14:paraId="11BF42F9" w14:textId="3997A3E5" w:rsidR="00DB11FA" w:rsidRPr="00585581" w:rsidRDefault="00DB11FA" w:rsidP="006C3DF5">
      <w:pPr>
        <w:pStyle w:val="ListParagraph"/>
        <w:numPr>
          <w:ilvl w:val="0"/>
          <w:numId w:val="65"/>
        </w:numPr>
      </w:pPr>
      <w:r w:rsidRPr="00585581">
        <w:t xml:space="preserve">Agree </w:t>
      </w:r>
      <w:r w:rsidR="00D9251C">
        <w:t xml:space="preserve">on </w:t>
      </w:r>
      <w:r w:rsidRPr="00585581">
        <w:t xml:space="preserve">a consistent approach across England to clarify, simplify and standardise the patient registration process for patients and practices </w:t>
      </w:r>
    </w:p>
    <w:p w14:paraId="7178FED4" w14:textId="77777777" w:rsidR="00DB11FA" w:rsidRPr="00585581" w:rsidRDefault="00DB11FA" w:rsidP="00DB11FA"/>
    <w:p w14:paraId="49D509F2" w14:textId="77777777" w:rsidR="00DB11FA" w:rsidRPr="00585581" w:rsidRDefault="00DB11FA" w:rsidP="006C3DF5">
      <w:pPr>
        <w:pStyle w:val="ListParagraph"/>
        <w:numPr>
          <w:ilvl w:val="0"/>
          <w:numId w:val="65"/>
        </w:numPr>
      </w:pPr>
      <w:r w:rsidRPr="00585581">
        <w:t xml:space="preserve">Embed best practice approaches </w:t>
      </w:r>
      <w:r>
        <w:t>for patient registrations</w:t>
      </w:r>
    </w:p>
    <w:p w14:paraId="0CEB575E" w14:textId="77777777" w:rsidR="00DB11FA" w:rsidRPr="00585581" w:rsidRDefault="00DB11FA" w:rsidP="00DB11FA"/>
    <w:p w14:paraId="3B836B71" w14:textId="77777777" w:rsidR="00DB11FA" w:rsidRDefault="00DB11FA" w:rsidP="006C3DF5">
      <w:pPr>
        <w:pStyle w:val="ListParagraph"/>
        <w:numPr>
          <w:ilvl w:val="0"/>
          <w:numId w:val="65"/>
        </w:numPr>
      </w:pPr>
      <w:r w:rsidRPr="00585581">
        <w:t>Ensure fairness, equity and transparency in the way general practice services are delivered across England</w:t>
      </w:r>
    </w:p>
    <w:p w14:paraId="3BBDB407" w14:textId="77777777" w:rsidR="00DB11FA" w:rsidRDefault="00DB11FA" w:rsidP="00DB11FA">
      <w:pPr>
        <w:pStyle w:val="ListParagraph"/>
      </w:pPr>
    </w:p>
    <w:p w14:paraId="77B0528C" w14:textId="77777777" w:rsidR="00DB11FA" w:rsidRPr="004E5E69" w:rsidRDefault="00DB11FA" w:rsidP="00DB11FA">
      <w:pPr>
        <w:pStyle w:val="Heading2"/>
      </w:pPr>
      <w:bookmarkStart w:id="471" w:name="_Toc488146104"/>
      <w:bookmarkStart w:id="472" w:name="_Toc95743409"/>
      <w:r>
        <w:t>Context</w:t>
      </w:r>
      <w:bookmarkEnd w:id="471"/>
      <w:bookmarkEnd w:id="472"/>
    </w:p>
    <w:p w14:paraId="425BB52D" w14:textId="3BD2D944" w:rsidR="00DB11FA" w:rsidRDefault="00DB11FA" w:rsidP="006A6D87">
      <w:pPr>
        <w:pStyle w:val="Heading3"/>
      </w:pPr>
      <w:r w:rsidRPr="003C2B06">
        <w:t xml:space="preserve">The Health and Social Care Act 2012 places an obligation on NHS England to secure the provision of primary medical services for patients throughout England. </w:t>
      </w:r>
      <w:r>
        <w:t xml:space="preserve">In </w:t>
      </w:r>
      <w:r w:rsidR="00FE7B61">
        <w:t>addition,</w:t>
      </w:r>
      <w:r>
        <w:t xml:space="preserve"> the</w:t>
      </w:r>
      <w:r w:rsidRPr="00A57463">
        <w:t xml:space="preserve"> Health and Social Care Act 2012 introduced statutory duties on the NHS to “have regard to the need to reduce inequalities” in access to an</w:t>
      </w:r>
      <w:r>
        <w:t>d outcomes achieved by services</w:t>
      </w:r>
    </w:p>
    <w:p w14:paraId="3502457D" w14:textId="50882BC4" w:rsidR="00DB11FA" w:rsidRPr="006A6D87" w:rsidRDefault="00DB11FA" w:rsidP="006A6D87">
      <w:pPr>
        <w:pStyle w:val="Heading3"/>
        <w:rPr>
          <w:rFonts w:eastAsia="HGSMinchoE" w:cs="Arial"/>
          <w:sz w:val="23"/>
          <w:szCs w:val="23"/>
          <w:lang w:eastAsia="en-GB"/>
        </w:rPr>
      </w:pPr>
      <w:r>
        <w:t>There are further duties imposed on NHS England under the Equality Act 2010 and NHS Act 2006 on equality and health inequalities.</w:t>
      </w:r>
    </w:p>
    <w:p w14:paraId="69A396BC" w14:textId="13DFB52A" w:rsidR="00DB11FA" w:rsidRPr="003C2B06" w:rsidRDefault="00DB11FA" w:rsidP="006A6D87">
      <w:pPr>
        <w:pStyle w:val="Heading3"/>
      </w:pPr>
      <w:r w:rsidRPr="003C2B06">
        <w:t>NHS England wishes to establish operating principles for GP practices for patient regis</w:t>
      </w:r>
      <w:r>
        <w:t xml:space="preserve">trations that promote equality, </w:t>
      </w:r>
      <w:r w:rsidRPr="003C2B06">
        <w:t xml:space="preserve">human rights and public health and reduce health inequalities. </w:t>
      </w:r>
    </w:p>
    <w:p w14:paraId="43DA9405" w14:textId="4D661339" w:rsidR="00DB11FA" w:rsidRPr="00827FAF" w:rsidRDefault="00DB11FA" w:rsidP="006A6D87">
      <w:pPr>
        <w:pStyle w:val="Heading3"/>
        <w:rPr>
          <w:highlight w:val="yellow"/>
        </w:rPr>
      </w:pPr>
      <w:r w:rsidRPr="00827FAF">
        <w:rPr>
          <w:highlight w:val="yellow"/>
        </w:rPr>
        <w:t xml:space="preserve">In </w:t>
      </w:r>
      <w:r w:rsidR="00FE7B61" w:rsidRPr="00827FAF">
        <w:rPr>
          <w:highlight w:val="yellow"/>
        </w:rPr>
        <w:t>addition,</w:t>
      </w:r>
      <w:r w:rsidRPr="00827FAF">
        <w:rPr>
          <w:highlight w:val="yellow"/>
        </w:rPr>
        <w:t xml:space="preserve"> Care Quality Commission (CQC) guidance entitled; </w:t>
      </w:r>
      <w:bookmarkStart w:id="473" w:name="_Hlk90661873"/>
      <w:r w:rsidRPr="00827FAF">
        <w:rPr>
          <w:highlight w:val="yellow"/>
        </w:rPr>
        <w:t>GP Mythbuster 29; Looking after Homeless Patients in General Practice can be found via the link below</w:t>
      </w:r>
      <w:bookmarkEnd w:id="473"/>
      <w:r w:rsidRPr="00827FAF">
        <w:rPr>
          <w:rStyle w:val="FootnoteReference"/>
          <w:highlight w:val="yellow"/>
        </w:rPr>
        <w:footnoteReference w:id="8"/>
      </w:r>
      <w:r w:rsidR="00954333" w:rsidRPr="00827FAF">
        <w:rPr>
          <w:highlight w:val="yellow"/>
        </w:rPr>
        <w:t xml:space="preserve"> as can GP Mythbuster 36; </w:t>
      </w:r>
      <w:r w:rsidR="00156FFF" w:rsidRPr="00827FAF">
        <w:rPr>
          <w:highlight w:val="yellow"/>
        </w:rPr>
        <w:t>Registration and treatment of asylum seekers, refugees and other migrants</w:t>
      </w:r>
      <w:r w:rsidR="00156FFF" w:rsidRPr="00827FAF">
        <w:rPr>
          <w:rStyle w:val="FootnoteReference"/>
          <w:highlight w:val="yellow"/>
        </w:rPr>
        <w:footnoteReference w:id="9"/>
      </w:r>
      <w:r w:rsidR="00156FFF" w:rsidRPr="00827FAF">
        <w:rPr>
          <w:highlight w:val="yellow"/>
        </w:rPr>
        <w:t xml:space="preserve"> </w:t>
      </w:r>
    </w:p>
    <w:p w14:paraId="336D68F8" w14:textId="30DE03C4" w:rsidR="00DB11FA" w:rsidRPr="00ED1B9E" w:rsidRDefault="00DB11FA" w:rsidP="006A6D87">
      <w:pPr>
        <w:pStyle w:val="Heading3"/>
      </w:pPr>
      <w:r w:rsidRPr="00397BF3">
        <w:t>I</w:t>
      </w:r>
      <w:r w:rsidRPr="00A57463">
        <w:t xml:space="preserve">n 2014 </w:t>
      </w:r>
      <w:hyperlink r:id="rId76" w:tgtFrame="_blank" w:history="1">
        <w:r w:rsidRPr="00ED1B9E">
          <w:rPr>
            <w:rStyle w:val="Hyperlink"/>
            <w:rFonts w:cs="Arial"/>
            <w:szCs w:val="24"/>
          </w:rPr>
          <w:t>Homeless and health research</w:t>
        </w:r>
      </w:hyperlink>
      <w:r w:rsidRPr="00ED1B9E">
        <w:rPr>
          <w:rFonts w:ascii="Times New Roman" w:hAnsi="Times New Roman"/>
          <w:szCs w:val="24"/>
          <w:lang w:val="en" w:eastAsia="en-GB"/>
        </w:rPr>
        <w:t xml:space="preserve"> </w:t>
      </w:r>
      <w:r w:rsidRPr="00616697">
        <w:t>provided by ‘Homeless Link’</w:t>
      </w:r>
      <w:r w:rsidRPr="00ED1B9E">
        <w:rPr>
          <w:rFonts w:ascii="Times New Roman" w:hAnsi="Times New Roman"/>
          <w:szCs w:val="24"/>
          <w:lang w:val="en" w:eastAsia="en-GB"/>
        </w:rPr>
        <w:t xml:space="preserve"> </w:t>
      </w:r>
      <w:r w:rsidRPr="00616697">
        <w:t>reported</w:t>
      </w:r>
      <w:r w:rsidRPr="00ED1B9E">
        <w:rPr>
          <w:rFonts w:ascii="Times New Roman" w:hAnsi="Times New Roman"/>
          <w:szCs w:val="24"/>
          <w:lang w:val="en" w:eastAsia="en-GB"/>
        </w:rPr>
        <w:t xml:space="preserve"> </w:t>
      </w:r>
      <w:r w:rsidRPr="00A57463">
        <w:t xml:space="preserve">that 90% of the homeless people they surveyed were registered with a GP. </w:t>
      </w:r>
      <w:r w:rsidR="00FE7B61" w:rsidRPr="00A57463">
        <w:t>However,</w:t>
      </w:r>
      <w:r w:rsidRPr="00A57463">
        <w:t xml:space="preserve"> many responded that they were not receiving the help they needed for their health problems, and 7% had been refused access to a GP or dentist in the previous 12 months. In some </w:t>
      </w:r>
      <w:r w:rsidR="00FE7B61" w:rsidRPr="00A57463">
        <w:t>cases,</w:t>
      </w:r>
      <w:r w:rsidRPr="00A57463">
        <w:t xml:space="preserve"> these refusals were due to having missed a previous appointment or because of behaviour. Others reported that they were refused access if they did not have identification or proof of address.</w:t>
      </w:r>
    </w:p>
    <w:p w14:paraId="0760D42E" w14:textId="26CD1204" w:rsidR="00DB11FA" w:rsidRDefault="00DB11FA" w:rsidP="006A6D87">
      <w:pPr>
        <w:pStyle w:val="Heading3"/>
      </w:pPr>
      <w:r w:rsidRPr="00ED1B9E">
        <w:t xml:space="preserve">Also </w:t>
      </w:r>
      <w:r>
        <w:t>t</w:t>
      </w:r>
      <w:r w:rsidRPr="00ED1B9E">
        <w:t>he General Practitioners Committee (GPC) of the British Medical Association (BMA)</w:t>
      </w:r>
      <w:r>
        <w:t xml:space="preserve"> has r</w:t>
      </w:r>
      <w:r w:rsidRPr="00ED1B9E">
        <w:t>elated guidance</w:t>
      </w:r>
      <w:r>
        <w:t xml:space="preserve"> which can be found</w:t>
      </w:r>
      <w:r w:rsidRPr="00ED1B9E">
        <w:t xml:space="preserve"> </w:t>
      </w:r>
      <w:r>
        <w:t xml:space="preserve">can be found </w:t>
      </w:r>
      <w:hyperlink r:id="rId77" w:history="1">
        <w:r>
          <w:rPr>
            <w:rStyle w:val="Hyperlink"/>
            <w:bCs w:val="0"/>
          </w:rPr>
          <w:t>here</w:t>
        </w:r>
      </w:hyperlink>
      <w:r w:rsidR="00954333">
        <w:rPr>
          <w:rStyle w:val="Hyperlink"/>
          <w:bCs w:val="0"/>
        </w:rPr>
        <w:t>.</w:t>
      </w:r>
      <w:r>
        <w:t xml:space="preserve"> </w:t>
      </w:r>
    </w:p>
    <w:p w14:paraId="28B89346" w14:textId="77777777" w:rsidR="00DB11FA" w:rsidRPr="003E0865" w:rsidRDefault="00DB11FA" w:rsidP="00DB11FA">
      <w:pPr>
        <w:pStyle w:val="Default"/>
        <w:rPr>
          <w:rFonts w:eastAsia="Times New Roman" w:cs="Times New Roman"/>
          <w:bCs/>
          <w:color w:val="auto"/>
          <w:szCs w:val="26"/>
          <w:lang w:eastAsia="en-US"/>
        </w:rPr>
      </w:pPr>
    </w:p>
    <w:p w14:paraId="4BF69E80" w14:textId="08A61181" w:rsidR="00DB11FA" w:rsidRDefault="00DB11FA" w:rsidP="00DB11FA">
      <w:pPr>
        <w:pStyle w:val="Heading2"/>
      </w:pPr>
      <w:bookmarkStart w:id="474" w:name="_Toc488146105"/>
      <w:bookmarkStart w:id="475" w:name="_Toc95743410"/>
      <w:r w:rsidRPr="00E50B4E">
        <w:t>Who can register for free primary care services?</w:t>
      </w:r>
      <w:bookmarkEnd w:id="474"/>
      <w:bookmarkEnd w:id="475"/>
    </w:p>
    <w:p w14:paraId="4F2B6592" w14:textId="77777777" w:rsidR="00DB11FA" w:rsidRDefault="00DB11FA" w:rsidP="00DB11FA">
      <w:pPr>
        <w:autoSpaceDE w:val="0"/>
        <w:autoSpaceDN w:val="0"/>
        <w:rPr>
          <w:rFonts w:cs="Arial"/>
          <w:bCs w:val="0"/>
          <w:szCs w:val="24"/>
          <w:lang w:eastAsia="en-GB"/>
        </w:rPr>
      </w:pPr>
    </w:p>
    <w:p w14:paraId="2F1F04FA" w14:textId="2AC73C99" w:rsidR="00DB11FA" w:rsidRDefault="00DB11FA" w:rsidP="006A6D87">
      <w:pPr>
        <w:pStyle w:val="Heading3"/>
      </w:pPr>
      <w:r>
        <w:t>A patient does not need to be “ordinarily resident” in the country to be eligible for NHS primary medical care –</w:t>
      </w:r>
      <w:r w:rsidR="007A3AF8">
        <w:t xml:space="preserve"> </w:t>
      </w:r>
      <w:r>
        <w:t xml:space="preserve">this only applies to secondary (hospital) care. In effect, therefore, anybody in England may register and consult with a GP without charge. </w:t>
      </w:r>
    </w:p>
    <w:p w14:paraId="530BF68D" w14:textId="6DF5AC92" w:rsidR="00DB11FA" w:rsidRDefault="00DB11FA" w:rsidP="006A6D87">
      <w:pPr>
        <w:pStyle w:val="Heading3"/>
      </w:pPr>
      <w:r>
        <w:t>Where a GP refers a patient for secondary services (hospital or other community services) they should do so on clinical grounds alone; eligibility for free care will be assessed by the receiving organisation.</w:t>
      </w:r>
    </w:p>
    <w:p w14:paraId="176EACAC" w14:textId="1E245262" w:rsidR="00DB11FA" w:rsidRPr="00ED1B9E" w:rsidRDefault="00DB11FA" w:rsidP="006A6D87">
      <w:pPr>
        <w:pStyle w:val="Heading3"/>
      </w:pPr>
      <w:r>
        <w:t>The absence of any reciprocal arrangements between the nation</w:t>
      </w:r>
      <w:r w:rsidR="0050318A">
        <w:t>-</w:t>
      </w:r>
      <w:r>
        <w:t xml:space="preserve">states, a patient’s nationality is therefore not relevant in giving people entitlement to register as NHS patients for primary medical care services. </w:t>
      </w:r>
    </w:p>
    <w:p w14:paraId="0BE30B8B" w14:textId="77777777" w:rsidR="00DB11FA" w:rsidRPr="00ED1B9E" w:rsidRDefault="00DB11FA" w:rsidP="006A6D87">
      <w:pPr>
        <w:pStyle w:val="Heading3"/>
      </w:pPr>
      <w:r w:rsidRPr="00ED1B9E">
        <w:t xml:space="preserve">From October 2017, we have agreed contractual changes that help to identify patients with a non-UK issued EHIC or S1 form or who may be subject to the NHS (Charges to Overseas Visitors) Regulations 2015. </w:t>
      </w:r>
    </w:p>
    <w:p w14:paraId="203E8ACC" w14:textId="727946DA" w:rsidR="00DB11FA" w:rsidRPr="00ED1B9E" w:rsidRDefault="00DB11FA" w:rsidP="006A6D87">
      <w:pPr>
        <w:pStyle w:val="Heading3"/>
      </w:pPr>
      <w:r w:rsidRPr="00ED1B9E">
        <w:t xml:space="preserve">Practices will be required to provide all new patients with a revised GMS1 form, which includes supplementary questions to determine a patient’s eligibility </w:t>
      </w:r>
      <w:r w:rsidR="0050318A">
        <w:t>for</w:t>
      </w:r>
      <w:r w:rsidRPr="00ED1B9E">
        <w:t xml:space="preserve"> healthcare. For those patients who self-declare that they hold either a non-UK issued EHIC or a S1 form, the practice will be required to manually record that the patient holds either a non-UK issued EHIC or a S1 form in the patient’s medical record and then send the form and supplementary questions to NHS Digital (for non-UK issued EHIC cards) or the Overseas Healthcare Team (for S1 forms) via email or post. </w:t>
      </w:r>
    </w:p>
    <w:p w14:paraId="1A5F6989" w14:textId="77777777" w:rsidR="00DB11FA" w:rsidRDefault="00DB11FA" w:rsidP="006A6D87">
      <w:pPr>
        <w:pStyle w:val="Heading3"/>
      </w:pPr>
      <w:r w:rsidRPr="00ED1B9E">
        <w:t>The Department of Health has agreed to provide practices with hard copy patient leaflets which will explain the rules and entitlements overseas patients accessing the NHS in England.</w:t>
      </w:r>
      <w:r>
        <w:t xml:space="preserve"> </w:t>
      </w:r>
    </w:p>
    <w:p w14:paraId="644760CD" w14:textId="608E2864" w:rsidR="00DB11FA" w:rsidRDefault="00DB11FA" w:rsidP="006A6D87">
      <w:pPr>
        <w:pStyle w:val="Heading3"/>
      </w:pPr>
      <w:r>
        <w:t xml:space="preserve">It is important to note that there is no set length of time that a patient must reside in the country in order to become eligible to receive NHS primary medical care services. </w:t>
      </w:r>
    </w:p>
    <w:p w14:paraId="215996CE" w14:textId="4325DC60" w:rsidR="00DB11FA" w:rsidRDefault="00FE7B61" w:rsidP="006A6D87">
      <w:pPr>
        <w:pStyle w:val="Heading3"/>
      </w:pPr>
      <w:r>
        <w:t>Therefore</w:t>
      </w:r>
      <w:r w:rsidR="0020637B">
        <w:t>,</w:t>
      </w:r>
      <w:r w:rsidR="00DB11FA">
        <w:t xml:space="preserve"> all asylum seekers and refugees, students, people on work visas and those who are homeless, overseas visitors, whether lawfully in the UK or not, are eligible to register with a GP practice even if those visitors are not eligible for secondary care (hospital care) services.</w:t>
      </w:r>
    </w:p>
    <w:p w14:paraId="3017CE71" w14:textId="29A96928" w:rsidR="00DB11FA" w:rsidRPr="00827FAF" w:rsidRDefault="00DB11FA" w:rsidP="006A6D87">
      <w:pPr>
        <w:pStyle w:val="Heading3"/>
        <w:rPr>
          <w:highlight w:val="yellow"/>
        </w:rPr>
      </w:pPr>
      <w:r w:rsidRPr="00B12831">
        <w:t>The length of time that a patient is intending to reside in an area dictates whether a patient is registered as a temporary or permanent patient. Patients should be offered the option of registering as a temporary resident if they are resident in the practice area for more than 24 hours but less than 3 months.</w:t>
      </w:r>
      <w:r w:rsidR="00156FFF" w:rsidRPr="00B12831">
        <w:t xml:space="preserve"> </w:t>
      </w:r>
      <w:r w:rsidR="00156FFF" w:rsidRPr="00827FAF">
        <w:rPr>
          <w:highlight w:val="yellow"/>
        </w:rPr>
        <w:t xml:space="preserve">In some cases a </w:t>
      </w:r>
      <w:r w:rsidR="00D31D8E" w:rsidRPr="00827FAF">
        <w:rPr>
          <w:highlight w:val="yellow"/>
        </w:rPr>
        <w:t xml:space="preserve">prosepective </w:t>
      </w:r>
      <w:r w:rsidR="00CE7591" w:rsidRPr="00827FAF">
        <w:rPr>
          <w:highlight w:val="yellow"/>
        </w:rPr>
        <w:t>patient may not know how long they will reside in an area, for example, destitute asylum seekers housed in temporary Home Office commissioned “initial” accommodation</w:t>
      </w:r>
      <w:r w:rsidR="0067130C" w:rsidRPr="00827FAF">
        <w:rPr>
          <w:highlight w:val="yellow"/>
        </w:rPr>
        <w:t xml:space="preserve">. Generally </w:t>
      </w:r>
      <w:r w:rsidR="00E774F5" w:rsidRPr="00827FAF">
        <w:rPr>
          <w:highlight w:val="yellow"/>
        </w:rPr>
        <w:t>in such cases wh</w:t>
      </w:r>
      <w:r w:rsidR="0067130C" w:rsidRPr="00827FAF">
        <w:rPr>
          <w:highlight w:val="yellow"/>
        </w:rPr>
        <w:t xml:space="preserve">ere there is uncertainty over the length of time that a patient may be residing in an area, </w:t>
      </w:r>
      <w:r w:rsidR="00FF2E72" w:rsidRPr="00827FAF">
        <w:rPr>
          <w:highlight w:val="yellow"/>
        </w:rPr>
        <w:t xml:space="preserve">but this is likely to be months rather than weeks, </w:t>
      </w:r>
      <w:r w:rsidR="0067130C" w:rsidRPr="00827FAF">
        <w:rPr>
          <w:highlight w:val="yellow"/>
        </w:rPr>
        <w:t>NHS England advises that the patient should be registered as a permanent patient.</w:t>
      </w:r>
      <w:r w:rsidR="00156FFF" w:rsidRPr="00827FAF">
        <w:rPr>
          <w:highlight w:val="yellow"/>
        </w:rPr>
        <w:t xml:space="preserve"> </w:t>
      </w:r>
    </w:p>
    <w:p w14:paraId="1C5789EA" w14:textId="3DE242B1" w:rsidR="00DB11FA" w:rsidRDefault="00DB11FA" w:rsidP="006A6D87">
      <w:pPr>
        <w:pStyle w:val="Heading3"/>
      </w:pPr>
      <w:r>
        <w:t>An immigration health charge (or ‘surcharge’) is now payable by non-</w:t>
      </w:r>
      <w:r w:rsidR="0067130C">
        <w:t>UK</w:t>
      </w:r>
      <w:r>
        <w:t xml:space="preserve"> nationals who apply for a visa to enter or remain in the UK for more than 6 months. People with indefinite leave to remain in the UK and those not subject to immigration control (e.g. diplomats posted to the UK) are not liable to pay the surcharge, but maybe ordinarily resident here and entitled to free NHS healthcare on that basis.</w:t>
      </w:r>
    </w:p>
    <w:p w14:paraId="655286B6" w14:textId="77777777" w:rsidR="00DB11FA" w:rsidRDefault="00DB11FA" w:rsidP="006A6D87">
      <w:pPr>
        <w:pStyle w:val="Heading3"/>
      </w:pPr>
      <w:r>
        <w:t>Payment of the health surcharge entitles the payer to NHS-funded healthcare on the same basis as someone who is ordinarily resident, from the date their visa is granted and for as long as it remains valid. They are entitled to free NHS services, including NHS hospital care, except for services for which a UK ordinary resident must also pay, such as dentistry and prescriptions in England.</w:t>
      </w:r>
    </w:p>
    <w:p w14:paraId="2A06D081" w14:textId="77777777" w:rsidR="00DB11FA" w:rsidRDefault="00DB11FA" w:rsidP="006A6D87">
      <w:pPr>
        <w:pStyle w:val="Heading3"/>
      </w:pPr>
      <w:r>
        <w:t>Payment of the health surcharge is mandatory when making an immigration application, subject to exemptions for certain categories of people and the discretion of the Home Secretary to reduce, waive or refund all or part of a surcharge payment. Most of these groups also receive NHS-funded healthcare on the same basis as an ordinarily resident person.</w:t>
      </w:r>
    </w:p>
    <w:p w14:paraId="6279BD47" w14:textId="77777777" w:rsidR="00DB11FA" w:rsidRDefault="00DB11FA" w:rsidP="006A6D87">
      <w:pPr>
        <w:pStyle w:val="Heading3"/>
      </w:pPr>
      <w:r>
        <w:t xml:space="preserve">Patients who have paid this surcharge as part of their visa application process should be registered as with any other patients. </w:t>
      </w:r>
    </w:p>
    <w:p w14:paraId="735F3384" w14:textId="77777777" w:rsidR="00DB11FA" w:rsidRPr="00DF3F04" w:rsidRDefault="00DB11FA" w:rsidP="00DB11FA">
      <w:pPr>
        <w:pStyle w:val="Default"/>
        <w:tabs>
          <w:tab w:val="left" w:pos="6030"/>
        </w:tabs>
        <w:rPr>
          <w:color w:val="auto"/>
        </w:rPr>
      </w:pPr>
    </w:p>
    <w:p w14:paraId="26485048" w14:textId="4C4411EA" w:rsidR="00DB11FA" w:rsidRDefault="00DB11FA" w:rsidP="00DB11FA">
      <w:pPr>
        <w:pStyle w:val="Heading2"/>
      </w:pPr>
      <w:bookmarkStart w:id="476" w:name="_Toc488146106"/>
      <w:bookmarkStart w:id="477" w:name="_Toc95743411"/>
      <w:r w:rsidRPr="00EF7E6A">
        <w:t>Immediately necessary treatment</w:t>
      </w:r>
      <w:bookmarkEnd w:id="476"/>
      <w:bookmarkEnd w:id="477"/>
      <w:r w:rsidRPr="00EF7E6A">
        <w:t xml:space="preserve"> </w:t>
      </w:r>
    </w:p>
    <w:p w14:paraId="3F3CA16A" w14:textId="77777777" w:rsidR="00DB11FA" w:rsidRPr="003E0865" w:rsidRDefault="00DB11FA" w:rsidP="00DB11FA"/>
    <w:p w14:paraId="3F6B8E34" w14:textId="17F1404C" w:rsidR="00DB11FA" w:rsidRPr="003C2B06" w:rsidRDefault="00DB11FA" w:rsidP="006A6D87">
      <w:pPr>
        <w:pStyle w:val="Heading3"/>
      </w:pPr>
      <w:r w:rsidRPr="003C2B06">
        <w:t xml:space="preserve">General Practices are also under a duty to provide emergency or immediately necessary treatment, where clinically necessary, irrespective of nationality or immigration status. </w:t>
      </w:r>
    </w:p>
    <w:p w14:paraId="1C3B454C" w14:textId="6738BC4B" w:rsidR="00DB11FA" w:rsidRDefault="00DB11FA" w:rsidP="006A6D87">
      <w:pPr>
        <w:pStyle w:val="Heading3"/>
      </w:pPr>
      <w:r w:rsidRPr="003C2B06">
        <w:t>The practice is required to provide 14 days of further cover following provision of imm</w:t>
      </w:r>
      <w:r>
        <w:t>ediate and necessary treatment.</w:t>
      </w:r>
    </w:p>
    <w:p w14:paraId="069C8A0D" w14:textId="3E68D16A" w:rsidR="00130441" w:rsidRDefault="00130441" w:rsidP="00130441"/>
    <w:p w14:paraId="5636AE4B" w14:textId="0AC94479" w:rsidR="00130441" w:rsidRDefault="00130441" w:rsidP="00130441"/>
    <w:p w14:paraId="66548589" w14:textId="5393BFB8" w:rsidR="00130441" w:rsidRDefault="00130441" w:rsidP="00130441"/>
    <w:p w14:paraId="662EE5B6" w14:textId="77777777" w:rsidR="00130441" w:rsidRPr="00130441" w:rsidRDefault="00130441" w:rsidP="00130441"/>
    <w:p w14:paraId="28DE375F" w14:textId="77777777" w:rsidR="00DB11FA" w:rsidRDefault="00DB11FA" w:rsidP="00DB11FA"/>
    <w:p w14:paraId="6FFF0B47" w14:textId="77777777" w:rsidR="00DB11FA" w:rsidRDefault="00DB11FA" w:rsidP="00DB11FA">
      <w:pPr>
        <w:pStyle w:val="Heading2"/>
      </w:pPr>
      <w:bookmarkStart w:id="478" w:name="_Toc488146107"/>
      <w:bookmarkStart w:id="479" w:name="_Toc95743412"/>
      <w:r w:rsidRPr="00EF7E6A">
        <w:t>Determining if the patient lives in the practice area</w:t>
      </w:r>
      <w:bookmarkEnd w:id="478"/>
      <w:bookmarkEnd w:id="479"/>
      <w:r w:rsidRPr="00EF7E6A">
        <w:t xml:space="preserve"> </w:t>
      </w:r>
    </w:p>
    <w:p w14:paraId="2660A5D8" w14:textId="77777777" w:rsidR="00DB11FA" w:rsidRPr="00EF7E6A" w:rsidRDefault="00DB11FA" w:rsidP="00DB11FA">
      <w:pPr>
        <w:pStyle w:val="Default"/>
        <w:spacing w:line="360" w:lineRule="auto"/>
        <w:rPr>
          <w:color w:val="auto"/>
        </w:rPr>
      </w:pPr>
    </w:p>
    <w:p w14:paraId="45C261CE" w14:textId="6EE98955" w:rsidR="00DB11FA" w:rsidRDefault="00DB11FA" w:rsidP="006A6D87">
      <w:pPr>
        <w:pStyle w:val="Heading3"/>
      </w:pPr>
      <w:r w:rsidRPr="000672AE">
        <w:t xml:space="preserve">All practices are required to have agreed an “inner” boundary with </w:t>
      </w:r>
      <w:r>
        <w:t>their commissioner</w:t>
      </w:r>
      <w:r w:rsidRPr="000672AE">
        <w:t xml:space="preserve">. </w:t>
      </w:r>
      <w:r w:rsidRPr="00EF7E6A">
        <w:t xml:space="preserve">Anyone who resides within the practice’s inner boundary is entitled to apply to register for primary medical services and the practice boundary should be clearly advertised to patients on the GPs practice leaflet or website if they have one. </w:t>
      </w:r>
    </w:p>
    <w:p w14:paraId="4D2EF42D" w14:textId="402EF582" w:rsidR="00DB11FA" w:rsidRPr="000672AE" w:rsidRDefault="00DB11FA" w:rsidP="006A6D87">
      <w:pPr>
        <w:pStyle w:val="Heading3"/>
      </w:pPr>
      <w:r w:rsidRPr="000672AE">
        <w:t xml:space="preserve">In </w:t>
      </w:r>
      <w:r w:rsidR="00FE7B61" w:rsidRPr="000672AE">
        <w:t>addition,</w:t>
      </w:r>
      <w:r w:rsidRPr="000672AE">
        <w:t xml:space="preserve"> most practices have also agreed an “outer” practice boundary. </w:t>
      </w:r>
    </w:p>
    <w:p w14:paraId="2AA6E4E5" w14:textId="38832B5C" w:rsidR="00DB11FA" w:rsidRDefault="00DB11FA" w:rsidP="006A6D87">
      <w:pPr>
        <w:pStyle w:val="Heading3"/>
      </w:pPr>
      <w:r w:rsidRPr="000672AE">
        <w:t xml:space="preserve">Patients who move out of a practice’s inner boundary area but still reside in the outer boundary area </w:t>
      </w:r>
      <w:r>
        <w:t>may be</w:t>
      </w:r>
      <w:r w:rsidRPr="000672AE">
        <w:t xml:space="preserve"> able to remain registered with the practice if they wish</w:t>
      </w:r>
      <w:r>
        <w:t xml:space="preserve"> and the practice agrees</w:t>
      </w:r>
      <w:r w:rsidRPr="000672AE">
        <w:t>.</w:t>
      </w:r>
    </w:p>
    <w:p w14:paraId="5FA7EBEC" w14:textId="77777777" w:rsidR="00DB11FA" w:rsidRDefault="00DB11FA" w:rsidP="006A6D87">
      <w:pPr>
        <w:pStyle w:val="Heading3"/>
      </w:pPr>
      <w:r>
        <w:t xml:space="preserve">GP practices </w:t>
      </w:r>
      <w:r w:rsidRPr="00EC1C18">
        <w:t>are able to register new patients who live outside the practice area without any obligation to provide home visits or services out of hours when the patient is unable to attend their registered practice.</w:t>
      </w:r>
      <w:r>
        <w:t xml:space="preserve">  It is for a practice to decide, at the point of registration, whether it is clinically appropriate and practical to register the individual patient in that way.</w:t>
      </w:r>
    </w:p>
    <w:p w14:paraId="4812A88E" w14:textId="77777777" w:rsidR="00DB11FA" w:rsidRDefault="00DB11FA" w:rsidP="00DB11FA">
      <w:pPr>
        <w:pStyle w:val="Default"/>
        <w:rPr>
          <w:color w:val="auto"/>
        </w:rPr>
      </w:pPr>
    </w:p>
    <w:p w14:paraId="0ED9380A" w14:textId="77777777" w:rsidR="00DB11FA" w:rsidRDefault="00DB11FA" w:rsidP="00DB11FA">
      <w:pPr>
        <w:pStyle w:val="Heading2"/>
      </w:pPr>
      <w:bookmarkStart w:id="480" w:name="_Toc488146108"/>
      <w:bookmarkStart w:id="481" w:name="_Toc95743413"/>
      <w:r>
        <w:t>A</w:t>
      </w:r>
      <w:r w:rsidRPr="004C61AB">
        <w:t>ccess to registration</w:t>
      </w:r>
      <w:bookmarkEnd w:id="480"/>
      <w:bookmarkEnd w:id="481"/>
    </w:p>
    <w:p w14:paraId="3E47930D" w14:textId="77777777" w:rsidR="00DB11FA" w:rsidRDefault="00DB11FA" w:rsidP="00DB11FA"/>
    <w:p w14:paraId="5AE13522" w14:textId="77777777" w:rsidR="00DB11FA" w:rsidRPr="001E29E8" w:rsidRDefault="00DB11FA" w:rsidP="006A6D87">
      <w:pPr>
        <w:pStyle w:val="Heading3"/>
      </w:pPr>
      <w:r w:rsidRPr="001E29E8">
        <w:t xml:space="preserve">Practices should ensure there is equitable access for all patients who wish to register with them. Registration should be available to all patients every day rather than on particular days and throughout the practice’s advertised opening hours. </w:t>
      </w:r>
    </w:p>
    <w:p w14:paraId="33200203" w14:textId="61CB001D" w:rsidR="00DB11FA" w:rsidRPr="004C61AB" w:rsidRDefault="00DB11FA" w:rsidP="006A6D87">
      <w:pPr>
        <w:pStyle w:val="Heading3"/>
      </w:pPr>
      <w:r w:rsidRPr="004C61AB">
        <w:t>Where possible</w:t>
      </w:r>
      <w:r w:rsidR="00912332">
        <w:t>,</w:t>
      </w:r>
      <w:r w:rsidRPr="004C61AB">
        <w:t xml:space="preserve"> it is good practice for practices to provide pre-registration documentation in advance e.g. online prior to a patient attending to register in person. </w:t>
      </w:r>
    </w:p>
    <w:p w14:paraId="69B4FFC7" w14:textId="77777777" w:rsidR="001A22A1" w:rsidRPr="00175D3A" w:rsidRDefault="00C80CAB" w:rsidP="00EE054A">
      <w:pPr>
        <w:pStyle w:val="Heading3"/>
        <w:rPr>
          <w:highlight w:val="yellow"/>
        </w:rPr>
      </w:pPr>
      <w:r w:rsidRPr="00175D3A">
        <w:rPr>
          <w:highlight w:val="yellow"/>
        </w:rPr>
        <w:t xml:space="preserve">Practices may find it helpful to let patients know the less busy times of the day when registration in person might be easier. However, registration forms may be delivered by any means, including post and digital (eg scanned copy). </w:t>
      </w:r>
    </w:p>
    <w:p w14:paraId="636D5B51" w14:textId="44A40649" w:rsidR="00C80CAB" w:rsidRPr="00175D3A" w:rsidRDefault="00C80CAB" w:rsidP="00EE054A">
      <w:pPr>
        <w:pStyle w:val="Heading3"/>
        <w:rPr>
          <w:highlight w:val="yellow"/>
        </w:rPr>
      </w:pPr>
      <w:r w:rsidRPr="00175D3A">
        <w:rPr>
          <w:highlight w:val="yellow"/>
        </w:rPr>
        <w:t xml:space="preserve">Where a practice has online registration options, a supporting signed letter from the patient, posted or emailed to the practice, is acceptable to complete the registration (ie patient signature). </w:t>
      </w:r>
    </w:p>
    <w:p w14:paraId="7287064C" w14:textId="6A052BC7" w:rsidR="00C80CAB" w:rsidRPr="00175D3A" w:rsidRDefault="00C80CAB" w:rsidP="00EE054A">
      <w:pPr>
        <w:pStyle w:val="Heading3"/>
        <w:rPr>
          <w:highlight w:val="yellow"/>
        </w:rPr>
      </w:pPr>
      <w:r w:rsidRPr="00175D3A">
        <w:rPr>
          <w:highlight w:val="yellow"/>
        </w:rPr>
        <w:t xml:space="preserve">Information required for online patient registrations can be found on the GMS1 guidance on the GOV.UK website. NHS England will be piloting a new national online registration system in 2022. </w:t>
      </w:r>
    </w:p>
    <w:p w14:paraId="6DF9EE5A" w14:textId="336B799E" w:rsidR="00DB11FA" w:rsidRDefault="00DB11FA" w:rsidP="00C80CAB">
      <w:pPr>
        <w:pStyle w:val="Heading3"/>
      </w:pPr>
      <w:r w:rsidRPr="004C61AB">
        <w:t xml:space="preserve">Patients have the right to change practices if they wish. If a patient is registered at another </w:t>
      </w:r>
      <w:r>
        <w:t xml:space="preserve">local </w:t>
      </w:r>
      <w:r w:rsidRPr="004C61AB">
        <w:t>practice this is not a reason to refuse registration</w:t>
      </w:r>
      <w:r>
        <w:t xml:space="preserve"> but this would trigger the deregistration from the original practice</w:t>
      </w:r>
    </w:p>
    <w:p w14:paraId="2839D48E" w14:textId="77777777" w:rsidR="00DB11FA" w:rsidRPr="004C61AB" w:rsidRDefault="00DB11FA" w:rsidP="00DB11FA">
      <w:pPr>
        <w:pStyle w:val="Default"/>
        <w:rPr>
          <w:color w:val="auto"/>
        </w:rPr>
      </w:pPr>
    </w:p>
    <w:p w14:paraId="4D9C07C1" w14:textId="77777777" w:rsidR="00DB11FA" w:rsidRDefault="00DB11FA" w:rsidP="00DB11FA">
      <w:pPr>
        <w:pStyle w:val="Heading2"/>
      </w:pPr>
      <w:bookmarkStart w:id="482" w:name="_Toc488146109"/>
      <w:bookmarkStart w:id="483" w:name="_Toc95743414"/>
      <w:r w:rsidRPr="000672AE">
        <w:t>New patient health checks</w:t>
      </w:r>
      <w:bookmarkEnd w:id="482"/>
      <w:bookmarkEnd w:id="483"/>
      <w:r w:rsidRPr="000672AE">
        <w:t xml:space="preserve"> </w:t>
      </w:r>
    </w:p>
    <w:p w14:paraId="75E24B7B" w14:textId="77777777" w:rsidR="00DB11FA" w:rsidRDefault="00DB11FA" w:rsidP="00DB11FA">
      <w:pPr>
        <w:pStyle w:val="Default"/>
        <w:rPr>
          <w:color w:val="auto"/>
        </w:rPr>
      </w:pPr>
    </w:p>
    <w:p w14:paraId="05769BC2" w14:textId="63FEDFAD" w:rsidR="00DB11FA" w:rsidRDefault="00DB11FA" w:rsidP="006A6D87">
      <w:pPr>
        <w:pStyle w:val="Heading3"/>
      </w:pPr>
      <w:r w:rsidRPr="00920B26">
        <w:t>It is a contractual requirement that once registered all patients must be invited to participate in a new patient check</w:t>
      </w:r>
      <w:r>
        <w:t xml:space="preserve"> however neither registration nor clinical appointments should be delayed because of the unavailability of a new patient check appointment</w:t>
      </w:r>
      <w:r w:rsidR="008A4DF1">
        <w:t>.</w:t>
      </w:r>
    </w:p>
    <w:p w14:paraId="1AC2BE16" w14:textId="25670185" w:rsidR="00096561" w:rsidRDefault="00096561" w:rsidP="00DB11FA">
      <w:pPr>
        <w:pStyle w:val="Default"/>
        <w:rPr>
          <w:color w:val="auto"/>
        </w:rPr>
      </w:pPr>
    </w:p>
    <w:p w14:paraId="7BB21E42" w14:textId="77777777" w:rsidR="00096561" w:rsidRPr="00FA7368" w:rsidRDefault="00096561" w:rsidP="00DB11FA">
      <w:pPr>
        <w:pStyle w:val="Default"/>
        <w:rPr>
          <w:color w:val="auto"/>
        </w:rPr>
      </w:pPr>
    </w:p>
    <w:p w14:paraId="2B337170" w14:textId="77777777" w:rsidR="00DB11FA" w:rsidRDefault="00DB11FA" w:rsidP="00DB11FA">
      <w:pPr>
        <w:pStyle w:val="Heading2"/>
      </w:pPr>
      <w:bookmarkStart w:id="484" w:name="_Toc488146110"/>
      <w:bookmarkStart w:id="485" w:name="_Toc95743415"/>
      <w:r w:rsidRPr="004E5E69">
        <w:t xml:space="preserve">Requesting </w:t>
      </w:r>
      <w:r>
        <w:t xml:space="preserve">documentary </w:t>
      </w:r>
      <w:r w:rsidRPr="004E5E69">
        <w:t>information from patients</w:t>
      </w:r>
      <w:bookmarkEnd w:id="484"/>
      <w:bookmarkEnd w:id="485"/>
    </w:p>
    <w:p w14:paraId="6F9391DA" w14:textId="77777777" w:rsidR="00DB11FA" w:rsidRPr="0044349A" w:rsidRDefault="00DB11FA" w:rsidP="00DB11FA">
      <w:pPr>
        <w:autoSpaceDE w:val="0"/>
        <w:autoSpaceDN w:val="0"/>
        <w:adjustRightInd w:val="0"/>
        <w:rPr>
          <w:rFonts w:cs="Arial"/>
          <w:color w:val="000000"/>
          <w:szCs w:val="24"/>
          <w:u w:val="single"/>
        </w:rPr>
      </w:pPr>
    </w:p>
    <w:p w14:paraId="7D2D3C50" w14:textId="5A385DB7" w:rsidR="00DB11FA" w:rsidRDefault="00DB11FA" w:rsidP="00912FE4">
      <w:pPr>
        <w:pStyle w:val="Heading3"/>
        <w:rPr>
          <w:rFonts w:cs="Arial"/>
          <w:iCs/>
          <w:color w:val="000000"/>
          <w:szCs w:val="24"/>
          <w:lang w:eastAsia="en-GB"/>
        </w:rPr>
      </w:pPr>
      <w:r w:rsidRPr="003C2B06">
        <w:rPr>
          <w:lang w:eastAsia="en-GB"/>
        </w:rPr>
        <w:t xml:space="preserve">Under the terms of their primary medical services contracts, GP practices </w:t>
      </w:r>
      <w:r w:rsidRPr="0063057F">
        <w:rPr>
          <w:u w:val="single"/>
          <w:lang w:eastAsia="en-GB"/>
        </w:rPr>
        <w:t>cannot refuse</w:t>
      </w:r>
      <w:r w:rsidRPr="003C2B06">
        <w:rPr>
          <w:lang w:eastAsia="en-GB"/>
        </w:rPr>
        <w:t xml:space="preserve"> an application to join its list of NHS patients on the grounds of race, gender, social class, age, religion, sexual orientation, appearance, disability or medical condition.</w:t>
      </w:r>
      <w:r w:rsidR="00912FE4">
        <w:rPr>
          <w:rFonts w:cs="Arial"/>
          <w:iCs/>
          <w:color w:val="000000"/>
          <w:szCs w:val="24"/>
          <w:lang w:eastAsia="en-GB"/>
        </w:rPr>
        <w:t xml:space="preserve"> </w:t>
      </w:r>
    </w:p>
    <w:p w14:paraId="4B6FD0AF" w14:textId="77777777" w:rsidR="00DB11FA" w:rsidRDefault="00DB11FA" w:rsidP="006A6D87">
      <w:pPr>
        <w:pStyle w:val="Heading3"/>
        <w:rPr>
          <w:lang w:eastAsia="en-GB"/>
        </w:rPr>
      </w:pPr>
      <w:r>
        <w:rPr>
          <w:lang w:eastAsia="en-GB"/>
        </w:rPr>
        <w:t xml:space="preserve">Practices can refuse </w:t>
      </w:r>
      <w:r w:rsidRPr="003C2B06">
        <w:rPr>
          <w:lang w:eastAsia="en-GB"/>
        </w:rPr>
        <w:t>an application</w:t>
      </w:r>
      <w:r>
        <w:rPr>
          <w:lang w:eastAsia="en-GB"/>
        </w:rPr>
        <w:t xml:space="preserve"> to join a practice list</w:t>
      </w:r>
      <w:r w:rsidRPr="003C2B06">
        <w:rPr>
          <w:lang w:eastAsia="en-GB"/>
        </w:rPr>
        <w:t xml:space="preserve"> if</w:t>
      </w:r>
      <w:r>
        <w:rPr>
          <w:lang w:eastAsia="en-GB"/>
        </w:rPr>
        <w:t>:</w:t>
      </w:r>
    </w:p>
    <w:p w14:paraId="1BA59AB9" w14:textId="1E84306F" w:rsidR="00DB11FA" w:rsidRPr="00912FE4" w:rsidRDefault="00DB11FA" w:rsidP="006C3DF5">
      <w:pPr>
        <w:pStyle w:val="ListParagraph"/>
        <w:numPr>
          <w:ilvl w:val="0"/>
          <w:numId w:val="203"/>
        </w:num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cs="Arial"/>
          <w:iCs/>
          <w:color w:val="000000"/>
          <w:szCs w:val="24"/>
          <w:lang w:eastAsia="en-GB"/>
        </w:rPr>
      </w:pPr>
      <w:r w:rsidRPr="00912FE4">
        <w:rPr>
          <w:rFonts w:cs="Arial"/>
          <w:iCs/>
          <w:color w:val="000000"/>
          <w:szCs w:val="24"/>
          <w:lang w:eastAsia="en-GB"/>
        </w:rPr>
        <w:t xml:space="preserve">The </w:t>
      </w:r>
      <w:r w:rsidR="00144C81" w:rsidRPr="00912FE4">
        <w:rPr>
          <w:rFonts w:cs="Arial"/>
          <w:iCs/>
          <w:color w:val="000000"/>
          <w:szCs w:val="24"/>
          <w:lang w:eastAsia="en-GB"/>
        </w:rPr>
        <w:t>commissioner has</w:t>
      </w:r>
      <w:r w:rsidRPr="00912FE4">
        <w:rPr>
          <w:rFonts w:cs="Arial"/>
          <w:iCs/>
          <w:color w:val="000000"/>
          <w:szCs w:val="24"/>
          <w:lang w:eastAsia="en-GB"/>
        </w:rPr>
        <w:t xml:space="preserve"> agreed that they can close their list to new patients,</w:t>
      </w:r>
    </w:p>
    <w:p w14:paraId="3B2D7A2F" w14:textId="5042D8D5" w:rsidR="00DB11FA" w:rsidRPr="00912FE4" w:rsidRDefault="00DB11FA" w:rsidP="006C3DF5">
      <w:pPr>
        <w:pStyle w:val="ListParagraph"/>
        <w:numPr>
          <w:ilvl w:val="0"/>
          <w:numId w:val="203"/>
        </w:num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cs="Arial"/>
          <w:iCs/>
          <w:color w:val="000000"/>
          <w:szCs w:val="24"/>
          <w:lang w:eastAsia="en-GB"/>
        </w:rPr>
      </w:pPr>
      <w:r w:rsidRPr="00912FE4">
        <w:rPr>
          <w:rFonts w:cs="Arial"/>
          <w:iCs/>
          <w:color w:val="000000"/>
          <w:szCs w:val="24"/>
          <w:lang w:eastAsia="en-GB"/>
        </w:rPr>
        <w:t xml:space="preserve">the patient lives outside the practice </w:t>
      </w:r>
      <w:r w:rsidR="00144C81" w:rsidRPr="00912FE4">
        <w:rPr>
          <w:rFonts w:cs="Arial"/>
          <w:iCs/>
          <w:color w:val="000000"/>
          <w:szCs w:val="24"/>
          <w:lang w:eastAsia="en-GB"/>
        </w:rPr>
        <w:t>boundary; or</w:t>
      </w:r>
      <w:r w:rsidRPr="00912FE4">
        <w:rPr>
          <w:rFonts w:cs="Arial"/>
          <w:iCs/>
          <w:color w:val="000000"/>
          <w:szCs w:val="24"/>
          <w:lang w:eastAsia="en-GB"/>
        </w:rPr>
        <w:t xml:space="preserve"> </w:t>
      </w:r>
    </w:p>
    <w:p w14:paraId="5AB521C8" w14:textId="75550D16" w:rsidR="00DB11FA" w:rsidRPr="00912FE4" w:rsidRDefault="00DB11FA" w:rsidP="006C3DF5">
      <w:pPr>
        <w:pStyle w:val="ListParagraph"/>
        <w:numPr>
          <w:ilvl w:val="0"/>
          <w:numId w:val="203"/>
        </w:num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cs="Arial"/>
          <w:iCs/>
          <w:color w:val="000000"/>
          <w:szCs w:val="24"/>
          <w:lang w:eastAsia="en-GB"/>
        </w:rPr>
      </w:pPr>
      <w:r w:rsidRPr="00912FE4">
        <w:rPr>
          <w:rFonts w:cs="Arial"/>
          <w:iCs/>
          <w:color w:val="000000"/>
          <w:szCs w:val="24"/>
          <w:lang w:eastAsia="en-GB"/>
        </w:rPr>
        <w:t>if they have other reasonable grounds</w:t>
      </w:r>
      <w:r w:rsidR="00C80CAB">
        <w:rPr>
          <w:rFonts w:cs="Arial"/>
          <w:iCs/>
          <w:color w:val="000000"/>
          <w:szCs w:val="24"/>
          <w:lang w:eastAsia="en-GB"/>
        </w:rPr>
        <w:t>.</w:t>
      </w:r>
    </w:p>
    <w:p w14:paraId="71DDE526" w14:textId="77777777" w:rsidR="00DB11FA" w:rsidRDefault="00DB11FA" w:rsidP="00DB11FA">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iCs/>
          <w:color w:val="000000"/>
          <w:szCs w:val="24"/>
          <w:lang w:eastAsia="en-GB"/>
        </w:rPr>
      </w:pPr>
    </w:p>
    <w:p w14:paraId="476BC511" w14:textId="7913552D" w:rsidR="00DB11FA" w:rsidRPr="0044349A" w:rsidRDefault="00DB11FA" w:rsidP="00912FE4">
      <w:pPr>
        <w:pStyle w:val="Heading3"/>
        <w:rPr>
          <w:rFonts w:cs="Arial"/>
          <w:bCs w:val="0"/>
          <w:color w:val="000000"/>
          <w:szCs w:val="24"/>
        </w:rPr>
      </w:pPr>
      <w:r w:rsidRPr="003C2B06">
        <w:rPr>
          <w:lang w:eastAsia="en-GB"/>
        </w:rPr>
        <w:t>In practice, this means that the GP practice’s discretion to refuse a patient is limited.</w:t>
      </w:r>
      <w:r w:rsidR="00912FE4" w:rsidRPr="0044349A">
        <w:rPr>
          <w:rFonts w:cs="Arial"/>
          <w:bCs w:val="0"/>
          <w:color w:val="000000"/>
          <w:szCs w:val="24"/>
        </w:rPr>
        <w:t xml:space="preserve"> </w:t>
      </w:r>
    </w:p>
    <w:p w14:paraId="562059E9" w14:textId="0A312C34" w:rsidR="00DB11FA" w:rsidRPr="006A6D87" w:rsidRDefault="00DB11FA" w:rsidP="006A6D87">
      <w:pPr>
        <w:pStyle w:val="Heading3"/>
        <w:rPr>
          <w:rFonts w:cs="Arial"/>
          <w:color w:val="000000"/>
          <w:szCs w:val="24"/>
        </w:rPr>
      </w:pPr>
      <w:r>
        <w:t xml:space="preserve">In </w:t>
      </w:r>
      <w:r w:rsidR="00144C81">
        <w:t>addition,</w:t>
      </w:r>
      <w:r>
        <w:t xml:space="preserve"> w</w:t>
      </w:r>
      <w:r w:rsidRPr="0044349A">
        <w:t xml:space="preserve">hen applying to become a patient there is no </w:t>
      </w:r>
      <w:r>
        <w:t>regulatory</w:t>
      </w:r>
      <w:r w:rsidRPr="0044349A">
        <w:t xml:space="preserve"> r</w:t>
      </w:r>
      <w:r>
        <w:t xml:space="preserve">equirement to prove identity, address, </w:t>
      </w:r>
      <w:r w:rsidRPr="0044349A">
        <w:t>immigration status</w:t>
      </w:r>
      <w:r>
        <w:t xml:space="preserve"> </w:t>
      </w:r>
      <w:r w:rsidRPr="00317A5F">
        <w:t>or the provision of an NHS number in order to register</w:t>
      </w:r>
      <w:r w:rsidRPr="0044349A">
        <w:t>. However, there are practical reasons why a practice might need to be assured that people are who they say they are, or to check w</w:t>
      </w:r>
      <w:r>
        <w:t>here they live.</w:t>
      </w:r>
      <w:r w:rsidRPr="00F011BF">
        <w:t xml:space="preserve"> </w:t>
      </w:r>
      <w:r w:rsidRPr="00EF7E6A">
        <w:t xml:space="preserve">Seeing some form of ID will help to ensure the correct matching of a patient to the NHS central patient registry, </w:t>
      </w:r>
      <w:r>
        <w:t xml:space="preserve">thereby ensuring any </w:t>
      </w:r>
      <w:r w:rsidRPr="00EF7E6A">
        <w:t xml:space="preserve">previous medical notes are passed onto </w:t>
      </w:r>
      <w:r>
        <w:t>a</w:t>
      </w:r>
      <w:r w:rsidRPr="00EF7E6A">
        <w:t xml:space="preserve"> new practice. </w:t>
      </w:r>
      <w:r>
        <w:t xml:space="preserve">It is legitimate therefore for the practice to apply a policy to ask for patient ID as part of their registration process. </w:t>
      </w:r>
    </w:p>
    <w:p w14:paraId="7D1C3FA7" w14:textId="26A80176" w:rsidR="00DB11FA" w:rsidRPr="006A6D87" w:rsidRDefault="00DB11FA" w:rsidP="006A6D87">
      <w:pPr>
        <w:pStyle w:val="Heading3"/>
        <w:rPr>
          <w:rFonts w:eastAsia="HGSMinchoE" w:cs="Arial"/>
          <w:szCs w:val="24"/>
          <w:lang w:eastAsia="en-GB"/>
        </w:rPr>
      </w:pPr>
      <w:r w:rsidRPr="0044349A">
        <w:t xml:space="preserve">Any practice that requests documentation regarding a patient’s identity or immigration status </w:t>
      </w:r>
      <w:r w:rsidRPr="006A6D87">
        <w:rPr>
          <w:u w:val="single"/>
        </w:rPr>
        <w:t>must</w:t>
      </w:r>
      <w:r w:rsidRPr="0044349A">
        <w:t xml:space="preserve"> </w:t>
      </w:r>
      <w:r>
        <w:t>apply the same process for all patients requesting registration equally</w:t>
      </w:r>
      <w:r w:rsidRPr="0044349A">
        <w:t xml:space="preserve">. </w:t>
      </w:r>
      <w:r>
        <w:t xml:space="preserve">A practice policy should not routinely expect a patient to present a photograph as this could be discriminatory. </w:t>
      </w:r>
    </w:p>
    <w:p w14:paraId="3FC2DD82" w14:textId="77777777" w:rsidR="00DB11FA" w:rsidRPr="009912B3" w:rsidRDefault="00DB11FA" w:rsidP="006A6D87">
      <w:pPr>
        <w:pStyle w:val="Heading3"/>
        <w:rPr>
          <w:rFonts w:eastAsia="HGSMinchoE" w:cs="Arial"/>
          <w:szCs w:val="24"/>
          <w:lang w:eastAsia="en-GB"/>
        </w:rPr>
      </w:pPr>
      <w:r w:rsidRPr="009912B3">
        <w:rPr>
          <w:rFonts w:eastAsia="HGSMinchoE" w:cs="Arial"/>
          <w:szCs w:val="24"/>
          <w:lang w:eastAsia="en-GB"/>
        </w:rPr>
        <w:t>The majority of patients will not find it difficult to produce ID / residence documentation, however there will be some patients who do live in the practice area, but are legitimately unable to produce any of the listed documentation. Examples of this may be;</w:t>
      </w:r>
    </w:p>
    <w:p w14:paraId="31B8972C" w14:textId="77777777" w:rsidR="00DB11FA" w:rsidRPr="009912B3" w:rsidRDefault="00DB11FA" w:rsidP="00DB11FA">
      <w:pPr>
        <w:autoSpaceDE w:val="0"/>
        <w:autoSpaceDN w:val="0"/>
        <w:adjustRightInd w:val="0"/>
        <w:rPr>
          <w:rFonts w:eastAsia="HGSMinchoE" w:cs="Arial"/>
          <w:bCs w:val="0"/>
          <w:szCs w:val="24"/>
          <w:lang w:eastAsia="en-GB"/>
        </w:rPr>
      </w:pPr>
    </w:p>
    <w:p w14:paraId="118C4FC0" w14:textId="43D0427C" w:rsidR="00DB11FA" w:rsidRPr="009912B3" w:rsidRDefault="00DB11FA" w:rsidP="006C3DF5">
      <w:pPr>
        <w:pStyle w:val="ListParagraph"/>
        <w:numPr>
          <w:ilvl w:val="0"/>
          <w:numId w:val="204"/>
        </w:numPr>
        <w:spacing w:before="120" w:after="120" w:line="360" w:lineRule="auto"/>
      </w:pPr>
      <w:r w:rsidRPr="009912B3">
        <w:t xml:space="preserve">People fleeing domestic </w:t>
      </w:r>
      <w:r w:rsidR="0020637B">
        <w:t>abuse</w:t>
      </w:r>
      <w:r w:rsidR="0020637B" w:rsidRPr="009912B3">
        <w:t xml:space="preserve"> </w:t>
      </w:r>
      <w:r w:rsidRPr="009912B3">
        <w:t>staying with friends</w:t>
      </w:r>
      <w:r w:rsidR="0020637B">
        <w:t>,</w:t>
      </w:r>
      <w:r w:rsidRPr="009912B3">
        <w:t xml:space="preserve"> family</w:t>
      </w:r>
      <w:r w:rsidR="0020637B">
        <w:t xml:space="preserve"> or in a shelter</w:t>
      </w:r>
    </w:p>
    <w:p w14:paraId="4EDC2748" w14:textId="105ECA4E" w:rsidR="00DB11FA" w:rsidRPr="009912B3" w:rsidRDefault="00DB11FA" w:rsidP="006C3DF5">
      <w:pPr>
        <w:pStyle w:val="ListParagraph"/>
        <w:numPr>
          <w:ilvl w:val="0"/>
          <w:numId w:val="204"/>
        </w:numPr>
        <w:spacing w:before="120" w:after="120" w:line="360" w:lineRule="auto"/>
      </w:pPr>
      <w:r w:rsidRPr="009912B3">
        <w:t>People living on a boat, in unstable accommodation or street homeless</w:t>
      </w:r>
    </w:p>
    <w:p w14:paraId="6EDBC746" w14:textId="6615331B" w:rsidR="00DB11FA" w:rsidRPr="009912B3" w:rsidRDefault="00DB11FA" w:rsidP="006C3DF5">
      <w:pPr>
        <w:pStyle w:val="ListParagraph"/>
        <w:numPr>
          <w:ilvl w:val="0"/>
          <w:numId w:val="204"/>
        </w:numPr>
        <w:spacing w:before="120" w:after="120" w:line="360" w:lineRule="auto"/>
      </w:pPr>
      <w:r w:rsidRPr="009912B3">
        <w:t>People staying long term with friends but who aren’t receiving bills</w:t>
      </w:r>
    </w:p>
    <w:p w14:paraId="0078CBA2" w14:textId="279362BE" w:rsidR="00DB11FA" w:rsidRPr="009912B3" w:rsidRDefault="00DB11FA" w:rsidP="006C3DF5">
      <w:pPr>
        <w:pStyle w:val="ListParagraph"/>
        <w:numPr>
          <w:ilvl w:val="0"/>
          <w:numId w:val="204"/>
        </w:numPr>
        <w:spacing w:before="120" w:after="120" w:line="360" w:lineRule="auto"/>
      </w:pPr>
      <w:r w:rsidRPr="009912B3">
        <w:t>People working in exploitative situations whoseemployer has taken their documents</w:t>
      </w:r>
    </w:p>
    <w:p w14:paraId="3528BB6D" w14:textId="51E415EA" w:rsidR="00DB11FA" w:rsidRPr="009912B3" w:rsidRDefault="00DB11FA" w:rsidP="006C3DF5">
      <w:pPr>
        <w:pStyle w:val="ListParagraph"/>
        <w:numPr>
          <w:ilvl w:val="0"/>
          <w:numId w:val="204"/>
        </w:numPr>
        <w:spacing w:before="120" w:after="120" w:line="360" w:lineRule="auto"/>
      </w:pPr>
      <w:r w:rsidRPr="009912B3">
        <w:t>People who have submitted their documents to the Home Office as part of an application</w:t>
      </w:r>
    </w:p>
    <w:p w14:paraId="76AB1991" w14:textId="510FA547" w:rsidR="00DB11FA" w:rsidRPr="009912B3" w:rsidRDefault="00DB11FA" w:rsidP="006C3DF5">
      <w:pPr>
        <w:pStyle w:val="ListParagraph"/>
        <w:numPr>
          <w:ilvl w:val="0"/>
          <w:numId w:val="204"/>
        </w:numPr>
        <w:spacing w:before="120" w:after="120" w:line="360" w:lineRule="auto"/>
      </w:pPr>
      <w:r w:rsidRPr="009912B3">
        <w:t>People trafficked into the country who had their documents taken on arrival</w:t>
      </w:r>
    </w:p>
    <w:p w14:paraId="1D00B445" w14:textId="5A40C81D" w:rsidR="00DB11FA" w:rsidRPr="009912B3" w:rsidRDefault="00DB11FA" w:rsidP="006C3DF5">
      <w:pPr>
        <w:pStyle w:val="ListParagraph"/>
        <w:numPr>
          <w:ilvl w:val="0"/>
          <w:numId w:val="204"/>
        </w:numPr>
        <w:spacing w:before="120" w:after="120" w:line="360" w:lineRule="auto"/>
      </w:pPr>
      <w:r w:rsidRPr="009912B3">
        <w:t>Children born in the UK to parents without documentation</w:t>
      </w:r>
      <w:r w:rsidR="00912332">
        <w:t>.</w:t>
      </w:r>
    </w:p>
    <w:p w14:paraId="3F107C2E" w14:textId="77777777" w:rsidR="00DB11FA" w:rsidRPr="009912B3" w:rsidRDefault="00DB11FA" w:rsidP="00DB11FA">
      <w:pPr>
        <w:ind w:left="720" w:hanging="360"/>
        <w:contextualSpacing/>
      </w:pPr>
    </w:p>
    <w:p w14:paraId="121C3F1D" w14:textId="50EEE732" w:rsidR="00DB11FA" w:rsidRPr="006A6D87" w:rsidRDefault="00DB11FA" w:rsidP="006A6D87">
      <w:pPr>
        <w:pStyle w:val="Heading3"/>
        <w:rPr>
          <w:rFonts w:cs="Arial"/>
          <w:color w:val="000000"/>
          <w:szCs w:val="24"/>
        </w:rPr>
      </w:pPr>
      <w:r w:rsidRPr="009912B3">
        <w:t>Reasonable exceptions therefore need to be considered</w:t>
      </w:r>
      <w:r>
        <w:t xml:space="preserve"> </w:t>
      </w:r>
      <w:r w:rsidRPr="003C469B">
        <w:t>an</w:t>
      </w:r>
      <w:r w:rsidRPr="00B34AA1">
        <w:t xml:space="preserve">d the individual registered with </w:t>
      </w:r>
      <w:r w:rsidRPr="00175D3A">
        <w:rPr>
          <w:u w:val="single"/>
        </w:rPr>
        <w:t>sensitivity</w:t>
      </w:r>
      <w:r w:rsidRPr="00B34AA1">
        <w:t xml:space="preserve"> to their situation</w:t>
      </w:r>
      <w:r>
        <w:t xml:space="preserve">. </w:t>
      </w:r>
    </w:p>
    <w:p w14:paraId="0E747836" w14:textId="021859EC" w:rsidR="00DB11FA" w:rsidRDefault="00DB11FA" w:rsidP="006A6D87">
      <w:pPr>
        <w:pStyle w:val="Heading3"/>
      </w:pPr>
      <w:r>
        <w:t xml:space="preserve">As there is no requirement under the regulations to produce identity or residence information, the patient MUST be registered on application unless the practice has reasonable grounds to decline. These circumstances would not </w:t>
      </w:r>
      <w:r w:rsidRPr="004E5E69">
        <w:t>be considered reasonable grounds to refuse to register a patient</w:t>
      </w:r>
      <w:r>
        <w:t xml:space="preserve"> and neither should r</w:t>
      </w:r>
      <w:r w:rsidRPr="0044349A">
        <w:t xml:space="preserve">egistration </w:t>
      </w:r>
      <w:r>
        <w:t xml:space="preserve">or access to </w:t>
      </w:r>
      <w:r w:rsidRPr="0044349A">
        <w:t xml:space="preserve">appointments be withheld </w:t>
      </w:r>
      <w:r>
        <w:t>in these circumstances</w:t>
      </w:r>
      <w:r w:rsidRPr="004E5E69">
        <w:t xml:space="preserve">. </w:t>
      </w:r>
      <w:r w:rsidRPr="004C61AB">
        <w:t>If a patient cannot produce</w:t>
      </w:r>
      <w:r>
        <w:t xml:space="preserve"> any supportive </w:t>
      </w:r>
      <w:r w:rsidRPr="004C61AB">
        <w:t xml:space="preserve">documentation but states that they reside within the practice boundary then practices should accept the registration </w:t>
      </w:r>
    </w:p>
    <w:p w14:paraId="6482B022" w14:textId="7B8A47FB" w:rsidR="00DB11FA" w:rsidRPr="006A6D87" w:rsidRDefault="00DB11FA" w:rsidP="006A6D87">
      <w:pPr>
        <w:pStyle w:val="Heading3"/>
        <w:rPr>
          <w:rFonts w:cs="Arial"/>
          <w:szCs w:val="24"/>
        </w:rPr>
      </w:pPr>
      <w:r w:rsidRPr="006A6D87">
        <w:rPr>
          <w:rFonts w:eastAsia="HGSMinchoE" w:cs="Arial"/>
          <w:szCs w:val="24"/>
          <w:lang w:eastAsia="en-GB"/>
        </w:rPr>
        <w:t>Where necessary, (e.g. homeless patients), the practice may use the practice address to register them if they wish. If possible, practices should try to ensure they have a way of contacting the patient if they need to (for example with test results).</w:t>
      </w:r>
    </w:p>
    <w:p w14:paraId="04ABEB30" w14:textId="3E074EA3" w:rsidR="00DB11FA" w:rsidRDefault="00DB11FA" w:rsidP="006A6D87">
      <w:pPr>
        <w:pStyle w:val="Heading3"/>
        <w:rPr>
          <w:rFonts w:cs="Arial"/>
          <w:szCs w:val="24"/>
        </w:rPr>
      </w:pPr>
      <w:r w:rsidRPr="0044349A">
        <w:rPr>
          <w:rFonts w:cs="Arial"/>
          <w:color w:val="000000"/>
          <w:szCs w:val="24"/>
        </w:rPr>
        <w:t xml:space="preserve">If a practice suspects a patient of fraud (such as </w:t>
      </w:r>
      <w:r>
        <w:rPr>
          <w:rFonts w:cs="Arial"/>
          <w:color w:val="000000"/>
          <w:szCs w:val="24"/>
        </w:rPr>
        <w:t xml:space="preserve">using fake ID) then they should </w:t>
      </w:r>
      <w:r w:rsidRPr="0044349A">
        <w:rPr>
          <w:rFonts w:cs="Arial"/>
          <w:color w:val="000000"/>
          <w:szCs w:val="24"/>
        </w:rPr>
        <w:t xml:space="preserve">register and treat the patient but hand the matter over to </w:t>
      </w:r>
      <w:r w:rsidR="00A15B73">
        <w:rPr>
          <w:rFonts w:cs="Arial"/>
          <w:color w:val="000000"/>
          <w:szCs w:val="24"/>
        </w:rPr>
        <w:t>the NHS Counter Fraud Authority (NHSCFA)</w:t>
      </w:r>
    </w:p>
    <w:p w14:paraId="526A33F4" w14:textId="423CC9CE" w:rsidR="00DB11FA" w:rsidRPr="00DA0632" w:rsidRDefault="00DB11FA" w:rsidP="006C3DF5">
      <w:pPr>
        <w:pStyle w:val="ListParagraph"/>
        <w:numPr>
          <w:ilvl w:val="0"/>
          <w:numId w:val="67"/>
        </w:numPr>
        <w:spacing w:after="120" w:line="360" w:lineRule="auto"/>
      </w:pPr>
      <w:r w:rsidRPr="00DA0632">
        <w:rPr>
          <w:rFonts w:cs="Arial"/>
          <w:szCs w:val="24"/>
        </w:rPr>
        <w:t xml:space="preserve">the </w:t>
      </w:r>
      <w:r w:rsidR="00A15B73" w:rsidRPr="00A15B73">
        <w:rPr>
          <w:rFonts w:cs="Arial"/>
          <w:szCs w:val="24"/>
        </w:rPr>
        <w:t xml:space="preserve">NHS Counter Fraud Authority </w:t>
      </w:r>
      <w:r w:rsidRPr="00DA0632">
        <w:rPr>
          <w:rFonts w:cs="Arial"/>
          <w:szCs w:val="24"/>
        </w:rPr>
        <w:t xml:space="preserve">Reporting Line: </w:t>
      </w:r>
      <w:r w:rsidRPr="00DA0632">
        <w:rPr>
          <w:rFonts w:cs="Arial"/>
          <w:color w:val="FF0000"/>
          <w:szCs w:val="24"/>
        </w:rPr>
        <w:t>0800 028 4060</w:t>
      </w:r>
    </w:p>
    <w:p w14:paraId="4F57F53A" w14:textId="41597CE5" w:rsidR="00DB11FA" w:rsidRPr="00DA0632" w:rsidRDefault="00DB11FA" w:rsidP="006C3DF5">
      <w:pPr>
        <w:pStyle w:val="ListParagraph"/>
        <w:numPr>
          <w:ilvl w:val="0"/>
          <w:numId w:val="67"/>
        </w:numPr>
        <w:spacing w:after="120" w:line="360" w:lineRule="auto"/>
      </w:pPr>
      <w:r w:rsidRPr="00DA0632">
        <w:rPr>
          <w:rFonts w:cs="Arial"/>
          <w:szCs w:val="24"/>
        </w:rPr>
        <w:t xml:space="preserve">filling in an online form at </w:t>
      </w:r>
      <w:hyperlink r:id="rId78" w:history="1">
        <w:r w:rsidR="00A15B73" w:rsidRPr="00B60DA7">
          <w:rPr>
            <w:rStyle w:val="Hyperlink"/>
            <w:rFonts w:cs="Arial"/>
            <w:szCs w:val="24"/>
          </w:rPr>
          <w:t>https://reportfraud.cfa.nhs.uk/reportFraud</w:t>
        </w:r>
      </w:hyperlink>
      <w:r w:rsidR="00A15B73">
        <w:rPr>
          <w:rFonts w:cs="Arial"/>
          <w:szCs w:val="24"/>
        </w:rPr>
        <w:t xml:space="preserve"> </w:t>
      </w:r>
      <w:r w:rsidR="0003732E">
        <w:rPr>
          <w:rFonts w:cs="Arial"/>
          <w:szCs w:val="24"/>
        </w:rPr>
        <w:t xml:space="preserve"> </w:t>
      </w:r>
      <w:hyperlink r:id="rId79" w:history="1">
        <w:r w:rsidR="0003732E" w:rsidRPr="000A35B8">
          <w:rPr>
            <w:rStyle w:val="Hyperlink"/>
            <w:rFonts w:cs="Arial"/>
            <w:szCs w:val="24"/>
          </w:rPr>
          <w:t>https://reportfraud.cfa.nhs.uk/reportFraud</w:t>
        </w:r>
      </w:hyperlink>
      <w:r w:rsidR="0003732E">
        <w:rPr>
          <w:rFonts w:cs="Arial"/>
          <w:szCs w:val="24"/>
        </w:rPr>
        <w:t xml:space="preserve"> </w:t>
      </w:r>
    </w:p>
    <w:p w14:paraId="7C6786E3" w14:textId="7821EFA5" w:rsidR="00DB11FA" w:rsidRPr="00DA0632" w:rsidRDefault="00A15B73" w:rsidP="006C3DF5">
      <w:pPr>
        <w:pStyle w:val="ListParagraph"/>
        <w:numPr>
          <w:ilvl w:val="0"/>
          <w:numId w:val="67"/>
        </w:numPr>
        <w:spacing w:after="120" w:line="360" w:lineRule="auto"/>
      </w:pPr>
      <w:r>
        <w:rPr>
          <w:rFonts w:cs="Arial"/>
          <w:szCs w:val="24"/>
        </w:rPr>
        <w:t>email at</w:t>
      </w:r>
      <w:r w:rsidRPr="00A15B73">
        <w:rPr>
          <w:rFonts w:cs="Arial"/>
          <w:szCs w:val="24"/>
        </w:rPr>
        <w:t xml:space="preserve">: </w:t>
      </w:r>
      <w:hyperlink r:id="rId80" w:history="1">
        <w:r w:rsidRPr="00B60DA7">
          <w:rPr>
            <w:rStyle w:val="Hyperlink"/>
            <w:rFonts w:cs="Arial"/>
            <w:szCs w:val="24"/>
          </w:rPr>
          <w:t>generalenquiries@nhscfa.gsi.gov.uk</w:t>
        </w:r>
      </w:hyperlink>
      <w:r>
        <w:rPr>
          <w:rFonts w:cs="Arial"/>
          <w:szCs w:val="24"/>
        </w:rPr>
        <w:t xml:space="preserve"> </w:t>
      </w:r>
    </w:p>
    <w:p w14:paraId="3D7A0A0F" w14:textId="07E5DD08" w:rsidR="00096561" w:rsidRDefault="00DB11FA" w:rsidP="006C3DF5">
      <w:pPr>
        <w:pStyle w:val="ListParagraph"/>
        <w:numPr>
          <w:ilvl w:val="0"/>
          <w:numId w:val="67"/>
        </w:numPr>
        <w:spacing w:after="120" w:line="360" w:lineRule="auto"/>
      </w:pPr>
      <w:r w:rsidRPr="00DA0632">
        <w:rPr>
          <w:rFonts w:cs="Arial"/>
          <w:szCs w:val="24"/>
        </w:rPr>
        <w:t xml:space="preserve">by post to the </w:t>
      </w:r>
      <w:r w:rsidR="00A15B73">
        <w:rPr>
          <w:rFonts w:cs="Arial"/>
          <w:szCs w:val="24"/>
        </w:rPr>
        <w:t>NHS Counter Fraud Authority</w:t>
      </w:r>
      <w:r w:rsidRPr="00DA0632">
        <w:rPr>
          <w:rFonts w:cs="Arial"/>
          <w:szCs w:val="24"/>
        </w:rPr>
        <w:t>, Skipton House, 80 London Road, London, SE1 6LH.</w:t>
      </w:r>
    </w:p>
    <w:p w14:paraId="5DB020D8" w14:textId="77777777" w:rsidR="00096561" w:rsidRPr="00DA0632" w:rsidRDefault="00096561" w:rsidP="00096561">
      <w:pPr>
        <w:spacing w:after="120" w:line="360" w:lineRule="auto"/>
      </w:pPr>
    </w:p>
    <w:p w14:paraId="08D5B538" w14:textId="77777777" w:rsidR="00DB11FA" w:rsidRDefault="00DB11FA" w:rsidP="00DB11FA">
      <w:pPr>
        <w:pStyle w:val="Heading2"/>
      </w:pPr>
      <w:bookmarkStart w:id="486" w:name="_Toc488146111"/>
      <w:bookmarkStart w:id="487" w:name="_Toc95743416"/>
      <w:r w:rsidRPr="00FA7368">
        <w:t>Refusing Registration</w:t>
      </w:r>
      <w:bookmarkEnd w:id="486"/>
      <w:bookmarkEnd w:id="487"/>
      <w:r w:rsidRPr="00FA7368">
        <w:t xml:space="preserve"> </w:t>
      </w:r>
    </w:p>
    <w:p w14:paraId="0995E171" w14:textId="77777777" w:rsidR="00DB11FA" w:rsidRPr="00C2643A" w:rsidRDefault="00DB11FA" w:rsidP="00DB11FA"/>
    <w:p w14:paraId="65DE652E" w14:textId="1A5C72F8" w:rsidR="00DB11FA" w:rsidRPr="000672AE" w:rsidRDefault="00DB11FA" w:rsidP="006A6D87">
      <w:pPr>
        <w:pStyle w:val="Heading3"/>
      </w:pPr>
      <w:r w:rsidRPr="000672AE">
        <w:t>If a practice refuses any patient registration then they must record the name, date and reason for the refusal and write to the patient explaining why they have been refused, within a period of 14 days of the refusal.</w:t>
      </w:r>
      <w:r>
        <w:t xml:space="preserve"> </w:t>
      </w:r>
    </w:p>
    <w:p w14:paraId="7EFBF5A8" w14:textId="74CC3D75" w:rsidR="00DB11FA" w:rsidRDefault="00DB11FA" w:rsidP="00912FE4">
      <w:pPr>
        <w:pStyle w:val="Heading3"/>
      </w:pPr>
      <w:r w:rsidRPr="000672AE">
        <w:t>This information should be made available to commissioners on request. Commissioners may ask practices to submit the numbers of registration refusals, age, ethnicity and reasons as part of their quality assurance process.</w:t>
      </w:r>
      <w:r w:rsidR="00912FE4">
        <w:t xml:space="preserve"> </w:t>
      </w:r>
    </w:p>
    <w:p w14:paraId="5A5E9AC7" w14:textId="7A64A612" w:rsidR="00671886" w:rsidRDefault="00671886" w:rsidP="00671886"/>
    <w:p w14:paraId="02440252" w14:textId="77777777" w:rsidR="00671886" w:rsidRPr="006E22ED" w:rsidRDefault="00671886" w:rsidP="00F82277"/>
    <w:p w14:paraId="230C2698" w14:textId="77777777" w:rsidR="00DB11FA" w:rsidRDefault="00DB11FA" w:rsidP="00DB11FA">
      <w:pPr>
        <w:pStyle w:val="Heading2"/>
      </w:pPr>
      <w:bookmarkStart w:id="488" w:name="_Toc488146112"/>
      <w:bookmarkStart w:id="489" w:name="_Toc95743417"/>
      <w:r>
        <w:t>Patients who are temporarily resident in a specialist hospital away from home</w:t>
      </w:r>
      <w:bookmarkEnd w:id="488"/>
      <w:bookmarkEnd w:id="489"/>
    </w:p>
    <w:p w14:paraId="243152BD" w14:textId="77777777" w:rsidR="00DB11FA" w:rsidRDefault="00DB11FA" w:rsidP="00DB11FA">
      <w:pPr>
        <w:pStyle w:val="Default"/>
        <w:rPr>
          <w:rFonts w:eastAsia="Times New Roman"/>
          <w:b/>
          <w:bCs/>
          <w:color w:val="auto"/>
          <w:lang w:eastAsia="en-US"/>
        </w:rPr>
      </w:pPr>
    </w:p>
    <w:p w14:paraId="133FD502" w14:textId="77777777" w:rsidR="00DB11FA" w:rsidRDefault="00DB11FA" w:rsidP="006A6D87">
      <w:pPr>
        <w:pStyle w:val="Heading3"/>
        <w:rPr>
          <w:color w:val="1F497D"/>
        </w:rPr>
      </w:pPr>
      <w:r>
        <w:t xml:space="preserve">There has been some confusion in respect of </w:t>
      </w:r>
      <w:r w:rsidRPr="004E5E69">
        <w:t>Part 5, 17 (4) of the</w:t>
      </w:r>
      <w:r>
        <w:rPr>
          <w:color w:val="1F497D"/>
        </w:rPr>
        <w:t xml:space="preserve"> </w:t>
      </w:r>
    </w:p>
    <w:p w14:paraId="0896B240" w14:textId="1AF1AAF6" w:rsidR="00DB11FA" w:rsidRDefault="00DB11FA" w:rsidP="00175D3A">
      <w:pPr>
        <w:pStyle w:val="Heading3"/>
        <w:numPr>
          <w:ilvl w:val="0"/>
          <w:numId w:val="0"/>
        </w:numPr>
        <w:ind w:left="720"/>
      </w:pPr>
      <w:r>
        <w:t>GMS regulations</w:t>
      </w:r>
      <w:r w:rsidR="00C80CAB">
        <w:t>. The</w:t>
      </w:r>
      <w:r>
        <w:t xml:space="preserve"> full reference to the regulations can be found in </w:t>
      </w:r>
      <w:r w:rsidR="00912332">
        <w:t>A</w:t>
      </w:r>
      <w:r>
        <w:t>ppendix B</w:t>
      </w:r>
      <w:r w:rsidR="00C80CAB">
        <w:t>.</w:t>
      </w:r>
    </w:p>
    <w:p w14:paraId="10E1FF43" w14:textId="4EA6EF68" w:rsidR="00DB11FA" w:rsidRDefault="00DB11FA" w:rsidP="006A6D87">
      <w:pPr>
        <w:pStyle w:val="Heading3"/>
      </w:pPr>
      <w:r>
        <w:t>This regulation is not considered ‘reasonable grounds’ to refuse registration according to legal advice. 15(4)(b) relates to patients who are already registered with the GP practice and cannot be used as a reason/justification for not registering certain patients. These only become relevant AFTER a patient is registered it does not provide grounds for a refusal to register the patient in the first instance.</w:t>
      </w:r>
    </w:p>
    <w:p w14:paraId="2C9E95B4" w14:textId="2277C23B" w:rsidR="00DB11FA" w:rsidRDefault="00DB11FA" w:rsidP="006A6D87">
      <w:pPr>
        <w:pStyle w:val="Heading3"/>
      </w:pPr>
      <w:r>
        <w:t>There are no legal grounds for refusing to register a patient because they are an inpatient in a hospital. Indeed, the “gatekeeper” role of the NHS GP for accessing secondary care services depends on patient registration.  </w:t>
      </w:r>
    </w:p>
    <w:p w14:paraId="298B8B4C" w14:textId="3B26E7AE" w:rsidR="00DB11FA" w:rsidRDefault="00DB11FA" w:rsidP="006A6D87">
      <w:pPr>
        <w:pStyle w:val="Heading3"/>
      </w:pPr>
      <w:r>
        <w:t xml:space="preserve">Practices are not </w:t>
      </w:r>
      <w:r w:rsidRPr="003E0865">
        <w:t xml:space="preserve">however </w:t>
      </w:r>
      <w:r>
        <w:t xml:space="preserve">expected to provide anything other than essential and additional services in these circumstances.  If the resident requires any other services these must be arranged by the hospital or </w:t>
      </w:r>
      <w:r w:rsidR="00C80CAB">
        <w:t>the commissioner.</w:t>
      </w:r>
      <w:r w:rsidR="008B199F">
        <w:t xml:space="preserve"> </w:t>
      </w:r>
      <w:r w:rsidR="00C80CAB">
        <w:t xml:space="preserve">The commissioner </w:t>
      </w:r>
      <w:r w:rsidRPr="003E0865">
        <w:t xml:space="preserve">who </w:t>
      </w:r>
      <w:r w:rsidR="00C80CAB">
        <w:t>is</w:t>
      </w:r>
      <w:r w:rsidRPr="003E0865">
        <w:t xml:space="preserve"> responsible for securing specialist hospital services should ensure that all services over and above those normally associated with general practice are both agreed as part of the contract specification and actively monitored to ensure delivery against that specification</w:t>
      </w:r>
      <w:r w:rsidR="00C80CAB">
        <w:t xml:space="preserve">. </w:t>
      </w:r>
    </w:p>
    <w:p w14:paraId="04B396EC" w14:textId="77777777" w:rsidR="00164401" w:rsidRDefault="00DB11FA" w:rsidP="006A6D87">
      <w:pPr>
        <w:pStyle w:val="Heading3"/>
      </w:pPr>
      <w:r>
        <w:t xml:space="preserve">A template Memorandum of Understanding is appended to </w:t>
      </w:r>
      <w:r w:rsidR="00144C81">
        <w:t>support GPs</w:t>
      </w:r>
      <w:r>
        <w:t>, commissioners and providers in clarifying the contractual requirements of primary care providers and those of the hospital, and the regulatory and professional obligations of the Clinicians to ensure safe care and example MOUs are also provided that describe ‘shared care’ arrangements/responsibilities so that patients receive holistic care.</w:t>
      </w:r>
      <w:r w:rsidR="00164401" w:rsidRPr="00164401">
        <w:t xml:space="preserve"> </w:t>
      </w:r>
    </w:p>
    <w:p w14:paraId="696BA8AA" w14:textId="68AF1C12" w:rsidR="00DB11FA" w:rsidRPr="00924434" w:rsidRDefault="00164401" w:rsidP="00900E84">
      <w:pPr>
        <w:pStyle w:val="Heading3"/>
        <w:rPr>
          <w:highlight w:val="yellow"/>
        </w:rPr>
      </w:pPr>
      <w:r w:rsidRPr="00924434">
        <w:rPr>
          <w:highlight w:val="yellow"/>
        </w:rPr>
        <w:t>The</w:t>
      </w:r>
      <w:r w:rsidR="001175CB" w:rsidRPr="00924434">
        <w:rPr>
          <w:highlight w:val="yellow"/>
        </w:rPr>
        <w:t>re are however instances where patients</w:t>
      </w:r>
      <w:r w:rsidR="00681F68">
        <w:rPr>
          <w:highlight w:val="yellow"/>
        </w:rPr>
        <w:t>’</w:t>
      </w:r>
      <w:r w:rsidR="001175CB" w:rsidRPr="00924434">
        <w:rPr>
          <w:highlight w:val="yellow"/>
        </w:rPr>
        <w:t xml:space="preserve"> temporary residence </w:t>
      </w:r>
      <w:r w:rsidR="00376B51">
        <w:rPr>
          <w:highlight w:val="yellow"/>
        </w:rPr>
        <w:t xml:space="preserve">is </w:t>
      </w:r>
      <w:r w:rsidR="001175CB" w:rsidRPr="00924434">
        <w:rPr>
          <w:highlight w:val="yellow"/>
        </w:rPr>
        <w:t>in a specialist hospital away from home</w:t>
      </w:r>
      <w:r w:rsidR="00582170">
        <w:rPr>
          <w:highlight w:val="yellow"/>
        </w:rPr>
        <w:t xml:space="preserve">. Where </w:t>
      </w:r>
      <w:r w:rsidR="003F02FC">
        <w:rPr>
          <w:highlight w:val="yellow"/>
        </w:rPr>
        <w:t>spells are for longer period</w:t>
      </w:r>
      <w:r w:rsidR="002F4C7F">
        <w:rPr>
          <w:highlight w:val="yellow"/>
        </w:rPr>
        <w:t>s</w:t>
      </w:r>
      <w:r w:rsidR="003F02FC">
        <w:rPr>
          <w:highlight w:val="yellow"/>
        </w:rPr>
        <w:t xml:space="preserve"> of time, </w:t>
      </w:r>
      <w:r w:rsidR="002D762E" w:rsidRPr="00924434">
        <w:rPr>
          <w:highlight w:val="yellow"/>
        </w:rPr>
        <w:t xml:space="preserve"> commissioners </w:t>
      </w:r>
      <w:r w:rsidR="00F2721F" w:rsidRPr="00924434">
        <w:rPr>
          <w:highlight w:val="yellow"/>
        </w:rPr>
        <w:t xml:space="preserve">should </w:t>
      </w:r>
      <w:r w:rsidR="00C14F3F" w:rsidRPr="00924434">
        <w:rPr>
          <w:highlight w:val="yellow"/>
        </w:rPr>
        <w:t>c</w:t>
      </w:r>
      <w:r w:rsidR="002D762E" w:rsidRPr="00924434">
        <w:rPr>
          <w:highlight w:val="yellow"/>
        </w:rPr>
        <w:t xml:space="preserve">onsider </w:t>
      </w:r>
      <w:r w:rsidR="00C14F3F" w:rsidRPr="00924434">
        <w:rPr>
          <w:highlight w:val="yellow"/>
        </w:rPr>
        <w:t xml:space="preserve">establishing </w:t>
      </w:r>
      <w:r w:rsidR="002D762E" w:rsidRPr="00924434">
        <w:rPr>
          <w:highlight w:val="yellow"/>
        </w:rPr>
        <w:t xml:space="preserve">integrated </w:t>
      </w:r>
      <w:r w:rsidR="006056C6" w:rsidRPr="00924434">
        <w:rPr>
          <w:highlight w:val="yellow"/>
        </w:rPr>
        <w:t xml:space="preserve">primary and specialist care offer for those patients to ensure </w:t>
      </w:r>
      <w:r w:rsidR="00C14F3F" w:rsidRPr="00924434">
        <w:rPr>
          <w:highlight w:val="yellow"/>
        </w:rPr>
        <w:t xml:space="preserve">essential and additional primary medical services are able to be met more effectively. </w:t>
      </w:r>
      <w:r w:rsidR="00554BAF" w:rsidRPr="00924434">
        <w:rPr>
          <w:highlight w:val="yellow"/>
        </w:rPr>
        <w:t>In those instances</w:t>
      </w:r>
      <w:r w:rsidR="009A5091" w:rsidRPr="00924434">
        <w:rPr>
          <w:highlight w:val="yellow"/>
        </w:rPr>
        <w:t xml:space="preserve">, the commissioner </w:t>
      </w:r>
      <w:r w:rsidR="00554BAF" w:rsidRPr="00924434">
        <w:rPr>
          <w:highlight w:val="yellow"/>
        </w:rPr>
        <w:t xml:space="preserve">when </w:t>
      </w:r>
      <w:r w:rsidR="009A5091" w:rsidRPr="00924434">
        <w:rPr>
          <w:highlight w:val="yellow"/>
        </w:rPr>
        <w:t xml:space="preserve">securing specialist hospital services </w:t>
      </w:r>
      <w:r w:rsidR="00554BAF" w:rsidRPr="00924434">
        <w:rPr>
          <w:highlight w:val="yellow"/>
        </w:rPr>
        <w:t xml:space="preserve">will want to </w:t>
      </w:r>
      <w:r w:rsidR="009A5091" w:rsidRPr="00924434">
        <w:rPr>
          <w:highlight w:val="yellow"/>
        </w:rPr>
        <w:t xml:space="preserve">ensure those </w:t>
      </w:r>
      <w:r w:rsidR="00554BAF" w:rsidRPr="00924434">
        <w:rPr>
          <w:highlight w:val="yellow"/>
        </w:rPr>
        <w:t xml:space="preserve">services </w:t>
      </w:r>
      <w:r w:rsidR="009A5091" w:rsidRPr="00924434">
        <w:rPr>
          <w:highlight w:val="yellow"/>
        </w:rPr>
        <w:t xml:space="preserve">normally associated with general practice are agreed as part of the contract specification and actively monitored to ensure delivery against that specification. </w:t>
      </w:r>
      <w:r w:rsidRPr="00924434">
        <w:rPr>
          <w:highlight w:val="yellow"/>
        </w:rPr>
        <w:t xml:space="preserve">This </w:t>
      </w:r>
      <w:r w:rsidR="00900E84" w:rsidRPr="00924434">
        <w:rPr>
          <w:highlight w:val="yellow"/>
        </w:rPr>
        <w:t xml:space="preserve">will </w:t>
      </w:r>
      <w:r w:rsidR="007A7542" w:rsidRPr="00924434">
        <w:rPr>
          <w:highlight w:val="yellow"/>
        </w:rPr>
        <w:t>require</w:t>
      </w:r>
      <w:r w:rsidRPr="00924434">
        <w:rPr>
          <w:highlight w:val="yellow"/>
        </w:rPr>
        <w:t xml:space="preserve"> use of the APMS contract “bolt-on” available to the NHS standard contract.</w:t>
      </w:r>
    </w:p>
    <w:p w14:paraId="62327B97" w14:textId="77777777" w:rsidR="00DB11FA" w:rsidRPr="00A44D9D" w:rsidRDefault="00DB11FA" w:rsidP="00DB11FA">
      <w:pPr>
        <w:pStyle w:val="Default"/>
        <w:rPr>
          <w:color w:val="auto"/>
        </w:rPr>
      </w:pPr>
    </w:p>
    <w:p w14:paraId="45BC3708" w14:textId="77777777" w:rsidR="00DB11FA" w:rsidRPr="000672AE" w:rsidRDefault="00DB11FA" w:rsidP="00DB11FA">
      <w:pPr>
        <w:pStyle w:val="Heading2"/>
      </w:pPr>
      <w:bookmarkStart w:id="490" w:name="_Toc488146113"/>
      <w:bookmarkStart w:id="491" w:name="_Toc95743418"/>
      <w:bookmarkStart w:id="492" w:name="_Hlk51931258"/>
      <w:r w:rsidRPr="000672AE">
        <w:t>Registering children</w:t>
      </w:r>
      <w:bookmarkEnd w:id="490"/>
      <w:bookmarkEnd w:id="491"/>
    </w:p>
    <w:p w14:paraId="60980C50" w14:textId="77777777" w:rsidR="00DB11FA" w:rsidRPr="00E63CAA" w:rsidRDefault="00DB11FA" w:rsidP="00DB11FA">
      <w:pPr>
        <w:pStyle w:val="Default"/>
        <w:rPr>
          <w:color w:val="auto"/>
        </w:rPr>
      </w:pPr>
    </w:p>
    <w:p w14:paraId="3432E02C" w14:textId="7F30D728" w:rsidR="00DB11FA" w:rsidRPr="001F6D2C" w:rsidRDefault="00DB11FA" w:rsidP="006A6D87">
      <w:pPr>
        <w:pStyle w:val="Heading3"/>
      </w:pPr>
      <w:r w:rsidRPr="001F6D2C">
        <w:t xml:space="preserve">As a minimum requirement the arrangements above in respect of the registration of any patient with a GP surgery should be followed when the person registering is a child. However, there are circumstances that practices should be aware of, in relation to safeguarding guidance. </w:t>
      </w:r>
    </w:p>
    <w:p w14:paraId="7B43CC23" w14:textId="753B48C3" w:rsidR="00DB11FA" w:rsidRPr="001F6D2C" w:rsidRDefault="00DB11FA" w:rsidP="006A6D87">
      <w:pPr>
        <w:pStyle w:val="Heading3"/>
      </w:pPr>
      <w:r w:rsidRPr="001F6D2C">
        <w:t>The legal definition of a child is 0 to 18 years of age; however young people may be able to make independent decisions from as young as 13 year old, depending on their Gillick competency</w:t>
      </w:r>
      <w:r>
        <w:t xml:space="preserve"> which can be found</w:t>
      </w:r>
      <w:r w:rsidRPr="001F6D2C">
        <w:t xml:space="preserve"> </w:t>
      </w:r>
      <w:hyperlink r:id="rId81" w:history="1">
        <w:r w:rsidRPr="006A6D87">
          <w:rPr>
            <w:rStyle w:val="Hyperlink"/>
            <w:bCs w:val="0"/>
          </w:rPr>
          <w:t>here</w:t>
        </w:r>
      </w:hyperlink>
      <w:r>
        <w:t xml:space="preserve">. </w:t>
      </w:r>
      <w:r w:rsidRPr="001F6D2C">
        <w:t xml:space="preserve">Section 11 of the Children Act 2004 places a statutory duty on the NHS to safeguard and promote the welfare of all children up to the age of 18yrs.  The Victoria Climbie Enquiry Report 2003 (9.104) stresses the importance of GP registration for every child. It sets out the importance of knowing the identity and name of those registering the child and their relationship to that child. </w:t>
      </w:r>
    </w:p>
    <w:p w14:paraId="2F23C365" w14:textId="0D7FB54B" w:rsidR="00DB11FA" w:rsidRPr="001F6D2C" w:rsidRDefault="00DB11FA" w:rsidP="006A6D87">
      <w:pPr>
        <w:pStyle w:val="Heading3"/>
      </w:pPr>
      <w:r w:rsidRPr="001F6D2C">
        <w:t xml:space="preserve">If a child under 16 attempts to register alone or with an adult that does not have parental responsibility, the Practice Child Safeguarding Lead should be alerted.  </w:t>
      </w:r>
    </w:p>
    <w:p w14:paraId="0A0BD555" w14:textId="77777777" w:rsidR="00DB11FA" w:rsidRPr="001F6D2C" w:rsidRDefault="00DB11FA" w:rsidP="006A6D87">
      <w:pPr>
        <w:pStyle w:val="Heading3"/>
      </w:pPr>
      <w:r w:rsidRPr="001F6D2C">
        <w:t>For purposes of safeguarding children, the following should be considered whilst recognising that patients must still be registered in the absence of documentation and policies must be applied in a non- discriminatory manner.</w:t>
      </w:r>
    </w:p>
    <w:p w14:paraId="0303D6FA" w14:textId="77777777" w:rsidR="00DB11FA" w:rsidRPr="001F6D2C" w:rsidRDefault="00DB11FA" w:rsidP="00DB11FA">
      <w:pPr>
        <w:pStyle w:val="Default"/>
        <w:rPr>
          <w:rFonts w:eastAsia="Times New Roman" w:cs="Times New Roman"/>
          <w:bCs/>
          <w:color w:val="auto"/>
          <w:szCs w:val="26"/>
          <w:lang w:eastAsia="en-US"/>
        </w:rPr>
      </w:pPr>
    </w:p>
    <w:p w14:paraId="455AF808" w14:textId="77777777" w:rsidR="00DB11FA" w:rsidRPr="001F6D2C" w:rsidRDefault="00DB11FA" w:rsidP="006A6D87">
      <w:pPr>
        <w:pStyle w:val="Heading3"/>
      </w:pPr>
      <w:r w:rsidRPr="001F6D2C">
        <w:t xml:space="preserve">The practice should seek assurance through: </w:t>
      </w:r>
    </w:p>
    <w:p w14:paraId="4DEA2220" w14:textId="77777777" w:rsidR="00DB11FA" w:rsidRPr="001F6D2C" w:rsidRDefault="00DB11FA" w:rsidP="00DB11FA">
      <w:pPr>
        <w:pStyle w:val="Default"/>
        <w:spacing w:after="37"/>
        <w:ind w:left="720"/>
        <w:rPr>
          <w:rFonts w:eastAsia="Times New Roman" w:cs="Times New Roman"/>
          <w:bCs/>
          <w:color w:val="auto"/>
          <w:szCs w:val="26"/>
          <w:lang w:eastAsia="en-US"/>
        </w:rPr>
      </w:pPr>
    </w:p>
    <w:p w14:paraId="2A2C0097" w14:textId="77777777" w:rsidR="00DB11FA" w:rsidRPr="001F6D2C" w:rsidRDefault="00DB11FA" w:rsidP="006C3DF5">
      <w:pPr>
        <w:pStyle w:val="Default"/>
        <w:numPr>
          <w:ilvl w:val="0"/>
          <w:numId w:val="68"/>
        </w:numPr>
        <w:adjustRightInd w:val="0"/>
        <w:spacing w:before="120" w:after="120" w:line="360" w:lineRule="auto"/>
        <w:ind w:hanging="357"/>
        <w:rPr>
          <w:rFonts w:eastAsia="Times New Roman" w:cs="Times New Roman"/>
          <w:bCs/>
          <w:color w:val="auto"/>
          <w:szCs w:val="26"/>
          <w:lang w:eastAsia="en-US"/>
        </w:rPr>
      </w:pPr>
      <w:r w:rsidRPr="001F6D2C">
        <w:rPr>
          <w:rFonts w:eastAsia="Times New Roman" w:cs="Times New Roman"/>
          <w:bCs/>
          <w:color w:val="auto"/>
          <w:szCs w:val="26"/>
          <w:lang w:eastAsia="en-US"/>
        </w:rPr>
        <w:t xml:space="preserve">Proof of identity and address for every child, supported by official documentation such as a birth certificate, (This helps to identify children who may have been trafficked or who are privately fostered.) </w:t>
      </w:r>
    </w:p>
    <w:p w14:paraId="751F67F6" w14:textId="7022F5C9" w:rsidR="00DB11FA" w:rsidRPr="001F6D2C" w:rsidRDefault="00DB11FA" w:rsidP="006C3DF5">
      <w:pPr>
        <w:pStyle w:val="Default"/>
        <w:numPr>
          <w:ilvl w:val="0"/>
          <w:numId w:val="68"/>
        </w:numPr>
        <w:adjustRightInd w:val="0"/>
        <w:spacing w:before="120" w:after="120" w:line="360" w:lineRule="auto"/>
        <w:ind w:hanging="357"/>
        <w:rPr>
          <w:rFonts w:eastAsia="Times New Roman" w:cs="Times New Roman"/>
          <w:bCs/>
          <w:color w:val="auto"/>
          <w:szCs w:val="26"/>
          <w:lang w:eastAsia="en-US"/>
        </w:rPr>
      </w:pPr>
      <w:bookmarkStart w:id="493" w:name="_Hlk531877407"/>
      <w:r w:rsidRPr="001F6D2C">
        <w:rPr>
          <w:rFonts w:eastAsia="Times New Roman" w:cs="Times New Roman"/>
          <w:bCs/>
          <w:color w:val="auto"/>
          <w:szCs w:val="26"/>
          <w:lang w:eastAsia="en-US"/>
        </w:rPr>
        <w:t>An adult with parental responsibility should normally be registered at the practice with the child</w:t>
      </w:r>
      <w:r w:rsidRPr="00DC694F">
        <w:rPr>
          <w:rFonts w:eastAsia="Times New Roman" w:cs="Times New Roman"/>
          <w:bCs/>
          <w:sz w:val="16"/>
          <w:szCs w:val="16"/>
          <w:lang w:eastAsia="en-US"/>
        </w:rPr>
        <w:footnoteReference w:id="10"/>
      </w:r>
      <w:r w:rsidRPr="00DC694F">
        <w:rPr>
          <w:rFonts w:eastAsia="Times New Roman" w:cs="Times New Roman"/>
          <w:bCs/>
          <w:color w:val="auto"/>
          <w:sz w:val="16"/>
          <w:szCs w:val="16"/>
          <w:lang w:eastAsia="en-US"/>
        </w:rPr>
        <w:t>.</w:t>
      </w:r>
      <w:r w:rsidRPr="001F6D2C">
        <w:rPr>
          <w:rFonts w:eastAsia="Times New Roman" w:cs="Times New Roman"/>
          <w:bCs/>
          <w:color w:val="auto"/>
          <w:szCs w:val="26"/>
          <w:lang w:eastAsia="en-US"/>
        </w:rPr>
        <w:t xml:space="preserve"> The ID of the adult is essential as it can be matched to the birth certificate details. However, the practice should not refuse to register a child if there is no-one with parental responsibility who can register, as it is generally safer to register first</w:t>
      </w:r>
      <w:r>
        <w:rPr>
          <w:rFonts w:eastAsia="Times New Roman" w:cs="Times New Roman"/>
          <w:bCs/>
          <w:color w:val="auto"/>
          <w:szCs w:val="26"/>
          <w:lang w:eastAsia="en-US"/>
        </w:rPr>
        <w:t xml:space="preserve"> and then seek advice from the </w:t>
      </w:r>
      <w:r w:rsidRPr="001F6D2C">
        <w:rPr>
          <w:rFonts w:eastAsia="Times New Roman" w:cs="Times New Roman"/>
          <w:bCs/>
          <w:color w:val="auto"/>
          <w:szCs w:val="26"/>
          <w:lang w:eastAsia="en-US"/>
        </w:rPr>
        <w:t xml:space="preserve">Practice Child </w:t>
      </w:r>
      <w:r w:rsidR="00144C81" w:rsidRPr="001F6D2C">
        <w:rPr>
          <w:rFonts w:eastAsia="Times New Roman" w:cs="Times New Roman"/>
          <w:bCs/>
          <w:color w:val="auto"/>
          <w:szCs w:val="26"/>
          <w:lang w:eastAsia="en-US"/>
        </w:rPr>
        <w:t>Safeguarding Lead</w:t>
      </w:r>
      <w:r w:rsidRPr="001F6D2C">
        <w:rPr>
          <w:rFonts w:eastAsia="Times New Roman" w:cs="Times New Roman"/>
          <w:bCs/>
          <w:color w:val="auto"/>
          <w:szCs w:val="26"/>
          <w:lang w:eastAsia="en-US"/>
        </w:rPr>
        <w:t xml:space="preserve">, Health Visitor or Practice Manager. (This situation may alert you to a private fostering arrangement which constitutes a safeguarding concern). </w:t>
      </w:r>
    </w:p>
    <w:bookmarkEnd w:id="493"/>
    <w:p w14:paraId="50E430AB" w14:textId="083C021B" w:rsidR="00DB11FA" w:rsidRPr="001F6D2C" w:rsidRDefault="00DB11FA" w:rsidP="006C3DF5">
      <w:pPr>
        <w:pStyle w:val="Default"/>
        <w:numPr>
          <w:ilvl w:val="0"/>
          <w:numId w:val="68"/>
        </w:numPr>
        <w:adjustRightInd w:val="0"/>
        <w:spacing w:before="120" w:after="120" w:line="360" w:lineRule="auto"/>
        <w:ind w:hanging="357"/>
        <w:rPr>
          <w:rFonts w:eastAsia="Times New Roman" w:cs="Times New Roman"/>
          <w:bCs/>
          <w:color w:val="auto"/>
          <w:szCs w:val="26"/>
          <w:lang w:eastAsia="en-US"/>
        </w:rPr>
      </w:pPr>
      <w:r w:rsidRPr="001F6D2C">
        <w:rPr>
          <w:rFonts w:eastAsia="Times New Roman" w:cs="Times New Roman"/>
          <w:bCs/>
          <w:color w:val="auto"/>
          <w:szCs w:val="26"/>
          <w:lang w:eastAsia="en-US"/>
        </w:rPr>
        <w:t xml:space="preserve">Offering each </w:t>
      </w:r>
      <w:r w:rsidR="00144C81" w:rsidRPr="001F6D2C">
        <w:rPr>
          <w:rFonts w:eastAsia="Times New Roman" w:cs="Times New Roman"/>
          <w:bCs/>
          <w:color w:val="auto"/>
          <w:szCs w:val="26"/>
          <w:lang w:eastAsia="en-US"/>
        </w:rPr>
        <w:t>child a</w:t>
      </w:r>
      <w:r w:rsidRPr="001F6D2C">
        <w:rPr>
          <w:rFonts w:eastAsia="Times New Roman" w:cs="Times New Roman"/>
          <w:bCs/>
          <w:color w:val="auto"/>
          <w:szCs w:val="26"/>
          <w:lang w:eastAsia="en-US"/>
        </w:rPr>
        <w:t xml:space="preserve"> new patient registration health check as soon as possible after registration </w:t>
      </w:r>
    </w:p>
    <w:p w14:paraId="5D2BE3F7" w14:textId="77777777" w:rsidR="00DB11FA" w:rsidRPr="001F6D2C" w:rsidRDefault="00DB11FA" w:rsidP="006C3DF5">
      <w:pPr>
        <w:pStyle w:val="Default"/>
        <w:numPr>
          <w:ilvl w:val="0"/>
          <w:numId w:val="68"/>
        </w:numPr>
        <w:adjustRightInd w:val="0"/>
        <w:spacing w:before="120" w:after="120" w:line="360" w:lineRule="auto"/>
        <w:ind w:hanging="357"/>
        <w:rPr>
          <w:rFonts w:eastAsia="Times New Roman" w:cs="Times New Roman"/>
          <w:bCs/>
          <w:color w:val="auto"/>
          <w:szCs w:val="26"/>
          <w:lang w:eastAsia="en-US"/>
        </w:rPr>
      </w:pPr>
      <w:r w:rsidRPr="001F6D2C">
        <w:rPr>
          <w:rFonts w:eastAsia="Times New Roman" w:cs="Times New Roman"/>
          <w:bCs/>
          <w:color w:val="auto"/>
          <w:szCs w:val="26"/>
          <w:lang w:eastAsia="en-US"/>
        </w:rPr>
        <w:t>Proof of parental responsibility or relevant guardianship agreements</w:t>
      </w:r>
    </w:p>
    <w:p w14:paraId="77D55E62" w14:textId="77777777" w:rsidR="00DB11FA" w:rsidRPr="001F6D2C" w:rsidRDefault="00DB11FA" w:rsidP="006C3DF5">
      <w:pPr>
        <w:pStyle w:val="Default"/>
        <w:numPr>
          <w:ilvl w:val="0"/>
          <w:numId w:val="68"/>
        </w:numPr>
        <w:adjustRightInd w:val="0"/>
        <w:spacing w:before="120" w:after="120" w:line="360" w:lineRule="auto"/>
        <w:ind w:hanging="357"/>
        <w:rPr>
          <w:rFonts w:eastAsia="Times New Roman" w:cs="Times New Roman"/>
          <w:bCs/>
          <w:color w:val="auto"/>
          <w:szCs w:val="26"/>
          <w:lang w:eastAsia="en-US"/>
        </w:rPr>
      </w:pPr>
      <w:r w:rsidRPr="001F6D2C">
        <w:rPr>
          <w:rFonts w:eastAsia="Times New Roman" w:cs="Times New Roman"/>
          <w:bCs/>
          <w:color w:val="auto"/>
          <w:szCs w:val="26"/>
          <w:lang w:eastAsia="en-US"/>
        </w:rPr>
        <w:t xml:space="preserve">Seeking collaborative information (supported by official documentation) relating to </w:t>
      </w:r>
    </w:p>
    <w:p w14:paraId="4F92C5C5" w14:textId="77777777" w:rsidR="00DB11FA" w:rsidRPr="001F6D2C" w:rsidRDefault="00DB11FA" w:rsidP="006C3DF5">
      <w:pPr>
        <w:pStyle w:val="Default"/>
        <w:numPr>
          <w:ilvl w:val="1"/>
          <w:numId w:val="68"/>
        </w:numPr>
        <w:adjustRightInd w:val="0"/>
        <w:spacing w:before="120" w:after="120" w:line="360" w:lineRule="auto"/>
        <w:ind w:hanging="357"/>
        <w:rPr>
          <w:rFonts w:eastAsia="Times New Roman" w:cs="Times New Roman"/>
          <w:bCs/>
          <w:color w:val="auto"/>
          <w:szCs w:val="26"/>
          <w:lang w:eastAsia="en-US"/>
        </w:rPr>
      </w:pPr>
      <w:r w:rsidRPr="001F6D2C">
        <w:rPr>
          <w:rFonts w:eastAsia="Times New Roman" w:cs="Times New Roman"/>
          <w:bCs/>
          <w:color w:val="auto"/>
          <w:szCs w:val="26"/>
          <w:lang w:eastAsia="en-US"/>
        </w:rPr>
        <w:t xml:space="preserve">Current carers and relationship to the child </w:t>
      </w:r>
    </w:p>
    <w:p w14:paraId="4CB9ED42" w14:textId="77777777" w:rsidR="00DB11FA" w:rsidRPr="001F6D2C" w:rsidRDefault="00DB11FA" w:rsidP="006C3DF5">
      <w:pPr>
        <w:pStyle w:val="Default"/>
        <w:numPr>
          <w:ilvl w:val="1"/>
          <w:numId w:val="68"/>
        </w:numPr>
        <w:adjustRightInd w:val="0"/>
        <w:spacing w:before="120" w:after="120" w:line="360" w:lineRule="auto"/>
        <w:ind w:hanging="357"/>
        <w:rPr>
          <w:rFonts w:eastAsia="Times New Roman" w:cs="Times New Roman"/>
          <w:bCs/>
          <w:color w:val="auto"/>
          <w:szCs w:val="26"/>
          <w:lang w:eastAsia="en-US"/>
        </w:rPr>
      </w:pPr>
      <w:r w:rsidRPr="001F6D2C">
        <w:rPr>
          <w:rFonts w:eastAsia="Times New Roman" w:cs="Times New Roman"/>
          <w:bCs/>
          <w:color w:val="auto"/>
          <w:szCs w:val="26"/>
          <w:lang w:eastAsia="en-US"/>
        </w:rPr>
        <w:t xml:space="preserve">Previous GP registration history </w:t>
      </w:r>
    </w:p>
    <w:p w14:paraId="13CFDCE3" w14:textId="77777777" w:rsidR="00DB11FA" w:rsidRPr="001F6D2C" w:rsidRDefault="00DB11FA" w:rsidP="006C3DF5">
      <w:pPr>
        <w:pStyle w:val="Default"/>
        <w:numPr>
          <w:ilvl w:val="1"/>
          <w:numId w:val="68"/>
        </w:numPr>
        <w:adjustRightInd w:val="0"/>
        <w:spacing w:before="120" w:after="120" w:line="360" w:lineRule="auto"/>
        <w:ind w:hanging="357"/>
        <w:rPr>
          <w:rFonts w:eastAsia="Times New Roman" w:cs="Times New Roman"/>
          <w:bCs/>
          <w:color w:val="auto"/>
          <w:szCs w:val="26"/>
          <w:lang w:eastAsia="en-US"/>
        </w:rPr>
      </w:pPr>
      <w:r w:rsidRPr="001F6D2C">
        <w:rPr>
          <w:rFonts w:eastAsia="Times New Roman" w:cs="Times New Roman"/>
          <w:bCs/>
          <w:color w:val="auto"/>
          <w:szCs w:val="26"/>
          <w:lang w:eastAsia="en-US"/>
        </w:rPr>
        <w:t xml:space="preserve">Whether the child is registered with a school and previous education history </w:t>
      </w:r>
    </w:p>
    <w:p w14:paraId="2859B720" w14:textId="77777777" w:rsidR="00DB11FA" w:rsidRPr="001F6D2C" w:rsidRDefault="00DB11FA" w:rsidP="006C3DF5">
      <w:pPr>
        <w:pStyle w:val="Default"/>
        <w:numPr>
          <w:ilvl w:val="1"/>
          <w:numId w:val="68"/>
        </w:numPr>
        <w:adjustRightInd w:val="0"/>
        <w:spacing w:before="120" w:after="120" w:line="360" w:lineRule="auto"/>
        <w:ind w:hanging="357"/>
        <w:rPr>
          <w:rFonts w:eastAsia="Times New Roman" w:cs="Times New Roman"/>
          <w:bCs/>
          <w:color w:val="auto"/>
          <w:szCs w:val="26"/>
          <w:lang w:eastAsia="en-US"/>
        </w:rPr>
      </w:pPr>
      <w:r w:rsidRPr="001F6D2C">
        <w:rPr>
          <w:rFonts w:eastAsia="Times New Roman" w:cs="Times New Roman"/>
          <w:bCs/>
          <w:color w:val="auto"/>
          <w:szCs w:val="26"/>
          <w:lang w:eastAsia="en-US"/>
        </w:rPr>
        <w:t xml:space="preserve">Previous contact with other professionals such as health visitors and social workers </w:t>
      </w:r>
    </w:p>
    <w:p w14:paraId="14D3051E" w14:textId="77777777" w:rsidR="00DB11FA" w:rsidRPr="001F6D2C" w:rsidRDefault="00DB11FA" w:rsidP="006C3DF5">
      <w:pPr>
        <w:pStyle w:val="Default"/>
        <w:numPr>
          <w:ilvl w:val="0"/>
          <w:numId w:val="69"/>
        </w:numPr>
        <w:adjustRightInd w:val="0"/>
        <w:spacing w:before="120" w:after="120" w:line="360" w:lineRule="auto"/>
        <w:ind w:hanging="357"/>
        <w:rPr>
          <w:rFonts w:eastAsia="Times New Roman" w:cs="Times New Roman"/>
          <w:bCs/>
          <w:color w:val="auto"/>
          <w:szCs w:val="26"/>
          <w:lang w:eastAsia="en-US"/>
        </w:rPr>
      </w:pPr>
      <w:r w:rsidRPr="001F6D2C">
        <w:rPr>
          <w:rFonts w:eastAsia="Times New Roman" w:cs="Times New Roman"/>
          <w:bCs/>
          <w:color w:val="auto"/>
          <w:szCs w:val="26"/>
          <w:lang w:eastAsia="en-US"/>
        </w:rPr>
        <w:t xml:space="preserve">Children who have been temporarily registered with the practice should be reviewed regularly and proceed to permanent registration as soon as possible and ideally within three months of initial registration. Likely length of stay should be determined at initial registration and patient registered as temp/permanent as appropriate. </w:t>
      </w:r>
    </w:p>
    <w:p w14:paraId="7E78161A" w14:textId="77777777" w:rsidR="00DB11FA" w:rsidRPr="001F6D2C" w:rsidRDefault="00DB11FA" w:rsidP="006C3DF5">
      <w:pPr>
        <w:pStyle w:val="Default"/>
        <w:numPr>
          <w:ilvl w:val="0"/>
          <w:numId w:val="69"/>
        </w:numPr>
        <w:adjustRightInd w:val="0"/>
        <w:spacing w:before="120" w:after="120" w:line="360" w:lineRule="auto"/>
        <w:ind w:hanging="357"/>
        <w:rPr>
          <w:rFonts w:eastAsia="Times New Roman" w:cs="Times New Roman"/>
          <w:bCs/>
          <w:color w:val="auto"/>
          <w:szCs w:val="26"/>
          <w:lang w:eastAsia="en-US"/>
        </w:rPr>
      </w:pPr>
      <w:r w:rsidRPr="001F6D2C">
        <w:rPr>
          <w:rFonts w:eastAsia="Times New Roman" w:cs="Times New Roman"/>
          <w:bCs/>
          <w:color w:val="auto"/>
          <w:szCs w:val="26"/>
          <w:lang w:eastAsia="en-US"/>
        </w:rPr>
        <w:t xml:space="preserve">Children of parents or carers, who have been removed from the list for any reason, must not be left without access to primary care services. </w:t>
      </w:r>
    </w:p>
    <w:p w14:paraId="5FF4EB37" w14:textId="77777777" w:rsidR="00DB11FA" w:rsidRPr="001F6D2C" w:rsidRDefault="00DB11FA" w:rsidP="006C3DF5">
      <w:pPr>
        <w:pStyle w:val="Default"/>
        <w:numPr>
          <w:ilvl w:val="0"/>
          <w:numId w:val="69"/>
        </w:numPr>
        <w:adjustRightInd w:val="0"/>
        <w:spacing w:before="120" w:after="120" w:line="360" w:lineRule="auto"/>
        <w:ind w:hanging="357"/>
        <w:rPr>
          <w:rFonts w:eastAsia="Times New Roman" w:cs="Times New Roman"/>
          <w:bCs/>
          <w:color w:val="auto"/>
          <w:szCs w:val="26"/>
          <w:lang w:eastAsia="en-US"/>
        </w:rPr>
      </w:pPr>
      <w:r w:rsidRPr="001F6D2C">
        <w:rPr>
          <w:rFonts w:eastAsia="Times New Roman" w:cs="Times New Roman"/>
          <w:bCs/>
          <w:color w:val="auto"/>
          <w:szCs w:val="26"/>
          <w:lang w:eastAsia="en-US"/>
        </w:rPr>
        <w:t xml:space="preserve">Where parents or carers have been removed from the list due to aggressive and or violent behaviour a risk assessment should be completed to identify any risk to their children and the appropriate referrals safeguarding made. </w:t>
      </w:r>
    </w:p>
    <w:p w14:paraId="51F07BEA" w14:textId="7E6354D3" w:rsidR="00DB11FA" w:rsidRPr="00DC694F" w:rsidRDefault="00DB11FA" w:rsidP="006C3DF5">
      <w:pPr>
        <w:pStyle w:val="ListParagraph"/>
        <w:numPr>
          <w:ilvl w:val="0"/>
          <w:numId w:val="69"/>
        </w:numPr>
        <w:spacing w:before="120" w:after="120" w:line="360" w:lineRule="auto"/>
        <w:ind w:hanging="357"/>
      </w:pPr>
      <w:r w:rsidRPr="00DC694F">
        <w:t>A ‘think family’ approach should be made when seeing either the adult</w:t>
      </w:r>
      <w:r w:rsidR="0028677B">
        <w:t>(</w:t>
      </w:r>
      <w:r w:rsidRPr="00DC694F">
        <w:t>s</w:t>
      </w:r>
      <w:r w:rsidR="0028677B">
        <w:t>)</w:t>
      </w:r>
      <w:r w:rsidRPr="00DC694F">
        <w:t xml:space="preserve"> or child/children within the surgery. If you are aware that an adult has significant risk</w:t>
      </w:r>
      <w:r w:rsidR="00FD39CC">
        <w:t>-</w:t>
      </w:r>
      <w:r w:rsidRPr="00DC694F">
        <w:t>taking behaviour, chronic mental health concerns or repeated episodes of stress and anxiety, safeguarding and support consideration should be made to the welfare and safety of the child/children being cared for by that adult.</w:t>
      </w:r>
    </w:p>
    <w:p w14:paraId="11CE9F2B" w14:textId="77777777" w:rsidR="00DB11FA" w:rsidRPr="001F6D2C" w:rsidRDefault="00DB11FA" w:rsidP="00DB11FA">
      <w:pPr>
        <w:pStyle w:val="Default"/>
        <w:rPr>
          <w:rFonts w:eastAsia="Times New Roman" w:cs="Times New Roman"/>
          <w:bCs/>
          <w:color w:val="auto"/>
          <w:szCs w:val="26"/>
          <w:lang w:eastAsia="en-US"/>
        </w:rPr>
      </w:pPr>
    </w:p>
    <w:p w14:paraId="740EEB7D" w14:textId="43BA29C0" w:rsidR="00DB11FA" w:rsidRDefault="00DB11FA" w:rsidP="006A6D87">
      <w:pPr>
        <w:pStyle w:val="Heading3"/>
      </w:pPr>
      <w:r w:rsidRPr="001F6D2C">
        <w:t>Practices should be alert to potential risks such as those described above when young people aged between 16-18 years of age register alone and dealt with in line with practice safeguarding procedures and escalated outside of the practice through the local procedures if appropriate</w:t>
      </w:r>
      <w:r w:rsidR="00FD39CC">
        <w:t>,</w:t>
      </w:r>
      <w:r w:rsidRPr="001F6D2C">
        <w:t>16-18 y</w:t>
      </w:r>
      <w:r>
        <w:t>ea</w:t>
      </w:r>
      <w:r w:rsidRPr="001F6D2C">
        <w:t>r olds are still children by law of child protection but can also be parents and carers. It’s imperative that we consider the risks and vulnerabilities within this age group.</w:t>
      </w:r>
    </w:p>
    <w:p w14:paraId="2021F322" w14:textId="455D7B2E" w:rsidR="00DB11FA" w:rsidRPr="00634EE9" w:rsidRDefault="00DB11FA" w:rsidP="006A6D87">
      <w:pPr>
        <w:pStyle w:val="Heading3"/>
      </w:pPr>
      <w:r w:rsidRPr="00634EE9">
        <w:t xml:space="preserve">There is nothing to stop a parent deregistering their family and not registering again. It is not compulsory to be registered with a GP whether an adult or a child. To amend this there would need to be legislative change. Such legislation would encroach on areas of personal freedoms and patient and parental rights so would likely attract resistance. In </w:t>
      </w:r>
      <w:r w:rsidR="00144C81" w:rsidRPr="00634EE9">
        <w:t>addition,</w:t>
      </w:r>
      <w:r w:rsidRPr="00634EE9">
        <w:t xml:space="preserve"> it is difficult to see how to enforce or police as there is no jurisdiction or levers to ensure that all children are registered.</w:t>
      </w:r>
    </w:p>
    <w:p w14:paraId="51792D34" w14:textId="57E07168" w:rsidR="00DB11FA" w:rsidRPr="00634EE9" w:rsidRDefault="00DB11FA" w:rsidP="006A6D87">
      <w:pPr>
        <w:pStyle w:val="Heading3"/>
      </w:pPr>
      <w:r w:rsidRPr="00634EE9">
        <w:t xml:space="preserve">If a practice is concerned about a family who </w:t>
      </w:r>
      <w:r w:rsidR="00FD39CC">
        <w:t>is</w:t>
      </w:r>
      <w:r w:rsidRPr="00634EE9">
        <w:t xml:space="preserve"> deregistering their children with no plan to register with another general practice they need to consider whether this should be raised with the Local Authority as part of normal safeguarding processes. </w:t>
      </w:r>
    </w:p>
    <w:bookmarkEnd w:id="492"/>
    <w:p w14:paraId="30C7F32A" w14:textId="77777777" w:rsidR="00DB11FA" w:rsidRPr="003462C7" w:rsidRDefault="00DB11FA" w:rsidP="00DB11FA">
      <w:pPr>
        <w:pStyle w:val="Default"/>
        <w:rPr>
          <w:color w:val="auto"/>
        </w:rPr>
      </w:pPr>
    </w:p>
    <w:p w14:paraId="01C872D8" w14:textId="77777777" w:rsidR="00DB11FA" w:rsidRPr="00DE3A51" w:rsidRDefault="00DB11FA" w:rsidP="00DB11FA">
      <w:pPr>
        <w:pStyle w:val="Heading2"/>
      </w:pPr>
      <w:bookmarkStart w:id="495" w:name="_Toc95743419"/>
      <w:bookmarkStart w:id="496" w:name="_Toc488146114"/>
      <w:r w:rsidRPr="00DE3A51">
        <w:t>Registration of those previously registered with Defence Medical Services (DMS) and Priority NHS care for Veterans</w:t>
      </w:r>
      <w:bookmarkEnd w:id="495"/>
      <w:r w:rsidRPr="00DE3A51">
        <w:t xml:space="preserve"> </w:t>
      </w:r>
      <w:bookmarkEnd w:id="496"/>
    </w:p>
    <w:p w14:paraId="01EA811E" w14:textId="77777777" w:rsidR="00DB11FA" w:rsidRPr="00DE3A51" w:rsidRDefault="00DB11FA" w:rsidP="00DB11FA">
      <w:pPr>
        <w:autoSpaceDE w:val="0"/>
        <w:autoSpaceDN w:val="0"/>
        <w:adjustRightInd w:val="0"/>
        <w:rPr>
          <w:rFonts w:cs="Arial"/>
          <w:b/>
          <w:color w:val="0072C6"/>
          <w:kern w:val="32"/>
          <w:sz w:val="32"/>
          <w:szCs w:val="32"/>
        </w:rPr>
      </w:pPr>
    </w:p>
    <w:p w14:paraId="60FA2956" w14:textId="66921239" w:rsidR="00DB11FA" w:rsidRDefault="00DB11FA" w:rsidP="006A6D87">
      <w:pPr>
        <w:pStyle w:val="Heading3"/>
        <w:rPr>
          <w:lang w:eastAsia="en-GB"/>
        </w:rPr>
      </w:pPr>
      <w:r>
        <w:rPr>
          <w:lang w:eastAsia="en-GB"/>
        </w:rPr>
        <w:t>DMS have their own GP services that look after serving personnel, mobilised reservists and some families. These specific primary care services are commissioned separately by the DMS of the Ministry of Defence.</w:t>
      </w:r>
      <w:r w:rsidRPr="003E0865">
        <w:rPr>
          <w:lang w:eastAsia="en-GB"/>
        </w:rPr>
        <w:t xml:space="preserve"> </w:t>
      </w:r>
      <w:r>
        <w:rPr>
          <w:lang w:eastAsia="en-GB"/>
        </w:rPr>
        <w:t>When servicemen and women leave the armed forces, their primary healthcare reverts to the responsibility of the local NHS. As a minimum requirement</w:t>
      </w:r>
      <w:r w:rsidR="00AB58D0">
        <w:rPr>
          <w:lang w:eastAsia="en-GB"/>
        </w:rPr>
        <w:t>,</w:t>
      </w:r>
      <w:r>
        <w:rPr>
          <w:lang w:eastAsia="en-GB"/>
        </w:rPr>
        <w:t xml:space="preserve"> the arrangements set out above in respect of the registration of any patient with a GP surgery should be followed when the person registering is a veteran. Prior service should be recorded on registration and allocated the correct Read/Snomed Code.  This should enable access to specialist </w:t>
      </w:r>
      <w:r w:rsidRPr="003E0865">
        <w:rPr>
          <w:lang w:eastAsia="en-GB"/>
        </w:rPr>
        <w:t xml:space="preserve">or bespoke </w:t>
      </w:r>
      <w:r>
        <w:rPr>
          <w:lang w:eastAsia="en-GB"/>
        </w:rPr>
        <w:t>care or charity support as necessary for such patients</w:t>
      </w:r>
      <w:r w:rsidRPr="003E0865">
        <w:rPr>
          <w:lang w:eastAsia="en-GB"/>
        </w:rPr>
        <w:t xml:space="preserve"> and for the delivery of the armed forces covenant</w:t>
      </w:r>
      <w:r>
        <w:rPr>
          <w:lang w:eastAsia="en-GB"/>
        </w:rPr>
        <w:t>.</w:t>
      </w:r>
      <w:r w:rsidRPr="003E0865">
        <w:rPr>
          <w:lang w:eastAsia="en-GB"/>
        </w:rPr>
        <w:t> </w:t>
      </w:r>
    </w:p>
    <w:p w14:paraId="30C7F592" w14:textId="257EDD10" w:rsidR="00DB11FA" w:rsidRDefault="00DB11FA" w:rsidP="006A6D87">
      <w:pPr>
        <w:pStyle w:val="Heading3"/>
        <w:rPr>
          <w:lang w:eastAsia="en-GB"/>
        </w:rPr>
      </w:pPr>
      <w:r>
        <w:rPr>
          <w:lang w:eastAsia="en-GB"/>
        </w:rPr>
        <w:t xml:space="preserve">A veteran is an ex-service person or reservist who has served in the armed forces for at least one day. There are around 2.5m </w:t>
      </w:r>
      <w:r w:rsidRPr="003E0865">
        <w:rPr>
          <w:lang w:eastAsia="en-GB"/>
        </w:rPr>
        <w:t xml:space="preserve">of these </w:t>
      </w:r>
      <w:r>
        <w:rPr>
          <w:lang w:eastAsia="en-GB"/>
        </w:rPr>
        <w:t>veterans in England at the time of drafting.</w:t>
      </w:r>
    </w:p>
    <w:p w14:paraId="539C5730" w14:textId="41035ADF" w:rsidR="00DB11FA" w:rsidRDefault="00DB11FA" w:rsidP="006A6D87">
      <w:pPr>
        <w:pStyle w:val="Heading3"/>
        <w:rPr>
          <w:lang w:eastAsia="en-GB"/>
        </w:rPr>
      </w:pPr>
      <w:r>
        <w:rPr>
          <w:lang w:eastAsia="en-GB"/>
        </w:rPr>
        <w:t xml:space="preserve">All veterans are entitled to </w:t>
      </w:r>
      <w:r w:rsidRPr="003E0865">
        <w:rPr>
          <w:lang w:eastAsia="en-GB"/>
        </w:rPr>
        <w:t xml:space="preserve">suffer no disadvantage from their service and to receive </w:t>
      </w:r>
      <w:r>
        <w:rPr>
          <w:lang w:eastAsia="en-GB"/>
        </w:rPr>
        <w:t>priority access to NHS hospital care for any condition as long as it's related to their service (subject to clinical need), regardless of whether or not they receive a war pension.  </w:t>
      </w:r>
    </w:p>
    <w:p w14:paraId="2FC9BB8F" w14:textId="77777777" w:rsidR="00DB11FA" w:rsidRDefault="00DB11FA" w:rsidP="006A6D87">
      <w:pPr>
        <w:pStyle w:val="Heading3"/>
        <w:rPr>
          <w:lang w:eastAsia="en-GB"/>
        </w:rPr>
      </w:pPr>
      <w:r>
        <w:rPr>
          <w:lang w:eastAsia="en-GB"/>
        </w:rPr>
        <w:t xml:space="preserve">All people leaving the armed forces are given a summary of their medical records, which they are advised to give to their new GP when they register. The practice will also </w:t>
      </w:r>
      <w:r w:rsidRPr="003E0865">
        <w:rPr>
          <w:lang w:eastAsia="en-GB"/>
        </w:rPr>
        <w:t xml:space="preserve">normally </w:t>
      </w:r>
      <w:r>
        <w:rPr>
          <w:lang w:eastAsia="en-GB"/>
        </w:rPr>
        <w:t xml:space="preserve">be advised </w:t>
      </w:r>
      <w:r w:rsidRPr="003E0865">
        <w:rPr>
          <w:lang w:eastAsia="en-GB"/>
        </w:rPr>
        <w:t xml:space="preserve">automatically </w:t>
      </w:r>
      <w:r>
        <w:rPr>
          <w:lang w:eastAsia="en-GB"/>
        </w:rPr>
        <w:t xml:space="preserve">of prior registration with Defence Medical Services </w:t>
      </w:r>
      <w:r w:rsidRPr="003E0865">
        <w:rPr>
          <w:lang w:eastAsia="en-GB"/>
        </w:rPr>
        <w:t>(</w:t>
      </w:r>
      <w:r>
        <w:rPr>
          <w:lang w:eastAsia="en-GB"/>
        </w:rPr>
        <w:t xml:space="preserve">with </w:t>
      </w:r>
      <w:r w:rsidRPr="003E0865">
        <w:rPr>
          <w:lang w:eastAsia="en-GB"/>
        </w:rPr>
        <w:t>a</w:t>
      </w:r>
      <w:r>
        <w:rPr>
          <w:lang w:eastAsia="en-GB"/>
        </w:rPr>
        <w:t xml:space="preserve"> summary of their in-service care</w:t>
      </w:r>
      <w:r w:rsidRPr="003E0865">
        <w:rPr>
          <w:lang w:eastAsia="en-GB"/>
        </w:rPr>
        <w:t>)</w:t>
      </w:r>
      <w:r>
        <w:rPr>
          <w:lang w:eastAsia="en-GB"/>
        </w:rPr>
        <w:t xml:space="preserve">.  </w:t>
      </w:r>
    </w:p>
    <w:p w14:paraId="00BD8873" w14:textId="5B4F12C7" w:rsidR="00DB11FA" w:rsidRDefault="00DB11FA" w:rsidP="00912FE4">
      <w:pPr>
        <w:pStyle w:val="Heading3"/>
      </w:pPr>
      <w:r w:rsidRPr="003E0865">
        <w:rPr>
          <w:lang w:eastAsia="en-GB"/>
        </w:rPr>
        <w:t>More information on the duty of care owed to service personnel and specific services is contained in the armed forces covenant which can be found here;</w:t>
      </w:r>
      <w:r w:rsidR="00912FE4">
        <w:rPr>
          <w:rStyle w:val="Hyperlink"/>
        </w:rPr>
        <w:t xml:space="preserve"> </w:t>
      </w:r>
      <w:hyperlink r:id="rId82" w:history="1">
        <w:r>
          <w:rPr>
            <w:rStyle w:val="Hyperlink"/>
          </w:rPr>
          <w:t>https://www.gov.uk/government/uploads/system/uploads/attachment_data/file/49469/the_armed_forces_covenant.pdf</w:t>
        </w:r>
      </w:hyperlink>
      <w:r w:rsidRPr="006A6D87">
        <w:rPr>
          <w:color w:val="993366"/>
        </w:rPr>
        <w:t>;</w:t>
      </w:r>
      <w:r w:rsidR="00912FE4">
        <w:rPr>
          <w:rStyle w:val="Hyperlink"/>
        </w:rPr>
        <w:t xml:space="preserve"> </w:t>
      </w:r>
      <w:hyperlink r:id="rId83" w:history="1">
        <w:r>
          <w:rPr>
            <w:rStyle w:val="Hyperlink"/>
          </w:rPr>
          <w:t>http://www.nhs.uk/NHSEngland/Militaryhealthcare/Pages/Militaryhealthcare.aspx</w:t>
        </w:r>
      </w:hyperlink>
    </w:p>
    <w:p w14:paraId="02285D54" w14:textId="77777777" w:rsidR="00DB11FA" w:rsidRPr="00B34AA1" w:rsidRDefault="00DB11FA" w:rsidP="00DB11FA">
      <w:pPr>
        <w:autoSpaceDE w:val="0"/>
        <w:autoSpaceDN w:val="0"/>
        <w:adjustRightInd w:val="0"/>
        <w:rPr>
          <w:rFonts w:eastAsia="HGSMinchoE" w:cs="Arial"/>
          <w:bCs w:val="0"/>
          <w:szCs w:val="24"/>
          <w:lang w:eastAsia="en-GB"/>
        </w:rPr>
      </w:pPr>
    </w:p>
    <w:p w14:paraId="6190FFCF" w14:textId="77777777" w:rsidR="00DB11FA" w:rsidRDefault="00DB11FA" w:rsidP="00DB11FA">
      <w:pPr>
        <w:pStyle w:val="Default"/>
        <w:spacing w:line="360" w:lineRule="auto"/>
        <w:rPr>
          <w:color w:val="auto"/>
        </w:rPr>
      </w:pPr>
    </w:p>
    <w:p w14:paraId="68933D79" w14:textId="109097BD" w:rsidR="00DB11FA" w:rsidRPr="00DA0632" w:rsidRDefault="00DB11FA" w:rsidP="00DB11FA">
      <w:pPr>
        <w:pStyle w:val="Heading2"/>
      </w:pPr>
      <w:bookmarkStart w:id="497" w:name="_Toc488146115"/>
      <w:bookmarkStart w:id="498" w:name="_Toc95743420"/>
      <w:r>
        <w:t>Persons released from prison</w:t>
      </w:r>
      <w:r w:rsidRPr="00142721">
        <w:t>s, immigration centres or children’s secure facilities</w:t>
      </w:r>
      <w:bookmarkEnd w:id="497"/>
      <w:bookmarkEnd w:id="498"/>
      <w:r>
        <w:t xml:space="preserve"> </w:t>
      </w:r>
    </w:p>
    <w:p w14:paraId="6745F33D" w14:textId="054A96A5" w:rsidR="00DB11FA" w:rsidRDefault="00DB11FA" w:rsidP="006A6D87">
      <w:pPr>
        <w:pStyle w:val="Heading3"/>
      </w:pPr>
      <w:r>
        <w:t xml:space="preserve">We </w:t>
      </w:r>
      <w:r w:rsidR="00E66AD2">
        <w:t xml:space="preserve">have </w:t>
      </w:r>
      <w:r>
        <w:t>introduce</w:t>
      </w:r>
      <w:r w:rsidR="00E66AD2">
        <w:t>d</w:t>
      </w:r>
      <w:r>
        <w:t xml:space="preserve"> a contractual change </w:t>
      </w:r>
      <w:r w:rsidR="00E66AD2">
        <w:t>in</w:t>
      </w:r>
      <w:r>
        <w:t xml:space="preserve"> Octobe</w:t>
      </w:r>
      <w:r w:rsidRPr="00142721">
        <w:t>r</w:t>
      </w:r>
      <w:r w:rsidR="00057ADF">
        <w:t xml:space="preserve"> 2017</w:t>
      </w:r>
      <w:r w:rsidRPr="00142721">
        <w:t xml:space="preserve"> to all</w:t>
      </w:r>
      <w:r>
        <w:t>ow p</w:t>
      </w:r>
      <w:r w:rsidRPr="00142721">
        <w:t>atients</w:t>
      </w:r>
      <w:r>
        <w:t xml:space="preserve"> </w:t>
      </w:r>
      <w:r w:rsidR="00E66AD2">
        <w:t xml:space="preserve">who do not have a registered GP or are being released to a different area ability </w:t>
      </w:r>
      <w:r>
        <w:t xml:space="preserve">to register with a practice before they leave </w:t>
      </w:r>
      <w:r w:rsidRPr="00142721">
        <w:t>the detained estate</w:t>
      </w:r>
      <w:r>
        <w:t>. This agreement include</w:t>
      </w:r>
      <w:r w:rsidR="00126795">
        <w:t>s</w:t>
      </w:r>
      <w:r>
        <w:t xml:space="preserve"> the timely transfer of clinical information, with an emphasis on medication history and substance misuse management plans, to the practice from the </w:t>
      </w:r>
      <w:r w:rsidRPr="00142721">
        <w:t>detained estate healthcare service</w:t>
      </w:r>
      <w:r>
        <w:t xml:space="preserve"> to enable better care when a new patient first presents at the practice.</w:t>
      </w:r>
      <w:r w:rsidRPr="00142721">
        <w:t>  </w:t>
      </w:r>
    </w:p>
    <w:p w14:paraId="0191471A" w14:textId="3DC582A7" w:rsidR="00DB11FA" w:rsidRPr="00142721" w:rsidRDefault="00DB11FA" w:rsidP="006A6D87">
      <w:pPr>
        <w:pStyle w:val="Heading3"/>
      </w:pPr>
      <w:r w:rsidRPr="000158CD">
        <w:t xml:space="preserve">Those in contact with </w:t>
      </w:r>
      <w:r w:rsidR="00B40554">
        <w:t xml:space="preserve">the </w:t>
      </w:r>
      <w:r w:rsidRPr="000158CD">
        <w:t xml:space="preserve">Criminal Justice System may get a letter from the Youth </w:t>
      </w:r>
      <w:r w:rsidR="00144C81" w:rsidRPr="000158CD">
        <w:t>Offending</w:t>
      </w:r>
      <w:r w:rsidRPr="000158CD">
        <w:t xml:space="preserve"> Service, the CRC or the National Probation Service</w:t>
      </w:r>
    </w:p>
    <w:p w14:paraId="3D615F0D" w14:textId="3F844EA4" w:rsidR="00DB11FA" w:rsidRDefault="00DB11FA" w:rsidP="00DB11FA">
      <w:pPr>
        <w:pStyle w:val="Default"/>
        <w:spacing w:line="360" w:lineRule="auto"/>
        <w:rPr>
          <w:color w:val="auto"/>
        </w:rPr>
      </w:pPr>
    </w:p>
    <w:p w14:paraId="51C9D061" w14:textId="7CE3B341" w:rsidR="00062958" w:rsidRPr="001A2893" w:rsidRDefault="00062958" w:rsidP="00130441">
      <w:pPr>
        <w:pStyle w:val="Heading2"/>
        <w:rPr>
          <w:rFonts w:cs="Arial"/>
          <w:sz w:val="24"/>
          <w:szCs w:val="24"/>
          <w:highlight w:val="yellow"/>
        </w:rPr>
      </w:pPr>
      <w:bookmarkStart w:id="499" w:name="_Toc95743421"/>
      <w:bookmarkStart w:id="500" w:name="_Hlk95213538"/>
      <w:r w:rsidRPr="001A2893">
        <w:rPr>
          <w:rFonts w:cs="Arial"/>
          <w:sz w:val="24"/>
          <w:szCs w:val="24"/>
          <w:highlight w:val="yellow"/>
        </w:rPr>
        <w:t>Registering Civil servants and their dependants, and the dependants of members of the Armed Forces, returning from overseas postings</w:t>
      </w:r>
      <w:bookmarkEnd w:id="499"/>
      <w:r w:rsidRPr="001A2893">
        <w:rPr>
          <w:rFonts w:cs="Arial"/>
          <w:sz w:val="24"/>
          <w:szCs w:val="24"/>
          <w:highlight w:val="yellow"/>
        </w:rPr>
        <w:t xml:space="preserve"> </w:t>
      </w:r>
    </w:p>
    <w:bookmarkEnd w:id="500"/>
    <w:p w14:paraId="7E5B5FBC" w14:textId="20EAF9C5" w:rsidR="00130441" w:rsidRPr="00CC2AE0" w:rsidRDefault="00130441" w:rsidP="001A2893">
      <w:pPr>
        <w:pStyle w:val="Heading3"/>
        <w:rPr>
          <w:rFonts w:cs="Arial"/>
          <w:szCs w:val="24"/>
          <w:highlight w:val="yellow"/>
        </w:rPr>
      </w:pPr>
      <w:r w:rsidRPr="00130441">
        <w:rPr>
          <w:rFonts w:cs="Arial"/>
          <w:szCs w:val="24"/>
          <w:highlight w:val="yellow"/>
        </w:rPr>
        <w:t>Contractual changes in October 2021 enable civil servants</w:t>
      </w:r>
      <w:r w:rsidRPr="008E0384">
        <w:rPr>
          <w:rFonts w:cs="Arial"/>
          <w:szCs w:val="24"/>
          <w:highlight w:val="yellow"/>
        </w:rPr>
        <w:t xml:space="preserve"> </w:t>
      </w:r>
      <w:r w:rsidRPr="001A2893">
        <w:rPr>
          <w:rFonts w:cs="Arial"/>
          <w:szCs w:val="24"/>
          <w:highlight w:val="yellow"/>
        </w:rPr>
        <w:t>who are posted overseas, and their relevant family members</w:t>
      </w:r>
      <w:r w:rsidRPr="001A2893">
        <w:rPr>
          <w:rStyle w:val="FootnoteReference"/>
          <w:rFonts w:cs="Arial"/>
          <w:szCs w:val="24"/>
          <w:highlight w:val="yellow"/>
        </w:rPr>
        <w:footnoteReference w:id="11"/>
      </w:r>
      <w:r w:rsidRPr="001A2893">
        <w:rPr>
          <w:rFonts w:cs="Arial"/>
          <w:szCs w:val="24"/>
          <w:highlight w:val="yellow"/>
        </w:rPr>
        <w:t xml:space="preserve"> who have accompanied them on their posting, and relevant family members who have accompanied </w:t>
      </w:r>
      <w:r w:rsidRPr="00DA1C1E">
        <w:rPr>
          <w:rFonts w:cs="Arial"/>
          <w:szCs w:val="24"/>
          <w:highlight w:val="yellow"/>
        </w:rPr>
        <w:t>a member of the Armed Forces (a “</w:t>
      </w:r>
      <w:r w:rsidRPr="007128F9">
        <w:rPr>
          <w:rFonts w:cs="Arial"/>
          <w:szCs w:val="24"/>
          <w:highlight w:val="yellow"/>
        </w:rPr>
        <w:t>service person”) posted overseas, to more easily register</w:t>
      </w:r>
      <w:r w:rsidRPr="00B41FF8">
        <w:rPr>
          <w:rFonts w:cs="Arial"/>
          <w:szCs w:val="24"/>
          <w:highlight w:val="yellow"/>
        </w:rPr>
        <w:t xml:space="preserve"> with a GP practic</w:t>
      </w:r>
      <w:r w:rsidRPr="008171B4">
        <w:rPr>
          <w:rFonts w:cs="Arial"/>
          <w:szCs w:val="24"/>
          <w:highlight w:val="yellow"/>
        </w:rPr>
        <w:t>e</w:t>
      </w:r>
      <w:r w:rsidRPr="00FD2026">
        <w:rPr>
          <w:rFonts w:cs="Arial"/>
          <w:szCs w:val="24"/>
          <w:highlight w:val="yellow"/>
        </w:rPr>
        <w:t>. This includes as a permanent</w:t>
      </w:r>
      <w:r w:rsidRPr="001635CA">
        <w:rPr>
          <w:rFonts w:cs="Arial"/>
          <w:szCs w:val="24"/>
          <w:highlight w:val="yellow"/>
        </w:rPr>
        <w:t xml:space="preserve"> patient or temporary resident, and in advance of </w:t>
      </w:r>
      <w:r w:rsidRPr="0038284C">
        <w:rPr>
          <w:rFonts w:cs="Arial"/>
          <w:szCs w:val="24"/>
          <w:highlight w:val="yellow"/>
        </w:rPr>
        <w:t>(or upon</w:t>
      </w:r>
      <w:r w:rsidRPr="00A83A07">
        <w:rPr>
          <w:rFonts w:cs="Arial"/>
          <w:szCs w:val="24"/>
          <w:highlight w:val="yellow"/>
        </w:rPr>
        <w:t xml:space="preserve">) their return to the UK. This is because these individuals </w:t>
      </w:r>
      <w:r w:rsidRPr="00CC2AE0">
        <w:rPr>
          <w:rFonts w:cs="Arial"/>
          <w:szCs w:val="24"/>
          <w:highlight w:val="yellow"/>
        </w:rPr>
        <w:t>have faced challenges registering and accessing primary medical services in a timely way when returning to the UK from overseas postings.</w:t>
      </w:r>
    </w:p>
    <w:p w14:paraId="6BA81491" w14:textId="0C644944" w:rsidR="00130441" w:rsidRPr="00CC2AE0" w:rsidRDefault="00130441" w:rsidP="00130441">
      <w:pPr>
        <w:rPr>
          <w:rFonts w:cs="Arial"/>
          <w:szCs w:val="24"/>
          <w:highlight w:val="yellow"/>
        </w:rPr>
      </w:pPr>
      <w:r w:rsidRPr="00CC2AE0">
        <w:rPr>
          <w:rFonts w:cs="Arial"/>
          <w:szCs w:val="24"/>
          <w:highlight w:val="yellow"/>
        </w:rPr>
        <w:t xml:space="preserve"> </w:t>
      </w:r>
    </w:p>
    <w:p w14:paraId="2A29F2F7" w14:textId="77777777" w:rsidR="00130441" w:rsidRPr="00CC2AE0" w:rsidRDefault="00130441" w:rsidP="00E5043E">
      <w:pPr>
        <w:spacing w:line="360" w:lineRule="auto"/>
        <w:rPr>
          <w:rFonts w:cs="Arial"/>
          <w:b/>
          <w:szCs w:val="24"/>
          <w:highlight w:val="yellow"/>
        </w:rPr>
      </w:pPr>
      <w:r w:rsidRPr="00CC2AE0">
        <w:rPr>
          <w:rFonts w:cs="Arial"/>
          <w:szCs w:val="24"/>
          <w:highlight w:val="yellow"/>
        </w:rPr>
        <w:t xml:space="preserve">4.15.2 – </w:t>
      </w:r>
      <w:r w:rsidRPr="00CC2AE0">
        <w:rPr>
          <w:rFonts w:cs="Arial"/>
          <w:b/>
          <w:szCs w:val="24"/>
          <w:highlight w:val="yellow"/>
        </w:rPr>
        <w:t>Registration with a patient’s previous practice or its successor</w:t>
      </w:r>
    </w:p>
    <w:p w14:paraId="265AC3FA" w14:textId="77777777" w:rsidR="00130441" w:rsidRPr="00CC2AE0" w:rsidRDefault="00130441" w:rsidP="00E5043E">
      <w:pPr>
        <w:spacing w:line="360" w:lineRule="auto"/>
        <w:rPr>
          <w:rFonts w:cs="Arial"/>
          <w:b/>
          <w:bCs w:val="0"/>
          <w:szCs w:val="24"/>
          <w:highlight w:val="yellow"/>
        </w:rPr>
      </w:pPr>
      <w:r w:rsidRPr="00CC2AE0">
        <w:rPr>
          <w:rFonts w:cs="Arial"/>
          <w:szCs w:val="24"/>
          <w:highlight w:val="yellow"/>
        </w:rPr>
        <w:t xml:space="preserve">Where an application is made to a contractor by one of the following individuals, </w:t>
      </w:r>
      <w:r w:rsidRPr="00CC2AE0">
        <w:rPr>
          <w:rFonts w:cs="Arial"/>
          <w:b/>
          <w:szCs w:val="24"/>
          <w:highlight w:val="yellow"/>
        </w:rPr>
        <w:t>the contractor must accept them,</w:t>
      </w:r>
      <w:r w:rsidRPr="00CC2AE0">
        <w:rPr>
          <w:rFonts w:cs="Arial"/>
          <w:szCs w:val="24"/>
          <w:highlight w:val="yellow"/>
        </w:rPr>
        <w:t xml:space="preserve"> </w:t>
      </w:r>
      <w:r w:rsidRPr="00CC2AE0">
        <w:rPr>
          <w:rFonts w:cs="Arial"/>
          <w:b/>
          <w:szCs w:val="24"/>
          <w:highlight w:val="yellow"/>
        </w:rPr>
        <w:t>even if their patient list is closed</w:t>
      </w:r>
      <w:r w:rsidRPr="00CC2AE0">
        <w:rPr>
          <w:rFonts w:cs="Arial"/>
          <w:szCs w:val="24"/>
          <w:highlight w:val="yellow"/>
        </w:rPr>
        <w:t>. (The only exception to this is where the contractor has reasonable grounds to refuse the application; see 4.15.8):</w:t>
      </w:r>
    </w:p>
    <w:p w14:paraId="031D03EC" w14:textId="77777777" w:rsidR="00130441" w:rsidRPr="001A2893" w:rsidRDefault="00130441" w:rsidP="006C3DF5">
      <w:pPr>
        <w:pStyle w:val="ListParagraph"/>
        <w:numPr>
          <w:ilvl w:val="0"/>
          <w:numId w:val="239"/>
        </w:numPr>
        <w:spacing w:after="160" w:line="360" w:lineRule="auto"/>
        <w:rPr>
          <w:rFonts w:cs="Arial"/>
          <w:szCs w:val="24"/>
          <w:highlight w:val="yellow"/>
          <w:u w:val="single"/>
        </w:rPr>
      </w:pPr>
      <w:r w:rsidRPr="00CC2AE0">
        <w:rPr>
          <w:rFonts w:cs="Arial"/>
          <w:szCs w:val="24"/>
          <w:highlight w:val="yellow"/>
        </w:rPr>
        <w:t xml:space="preserve">Civil servants returning to the UK from an overseas posting (or former civil servants who were posted overseas and are returning to the UK for the first time since leaving the civil service) – </w:t>
      </w:r>
      <w:r w:rsidRPr="00CC2AE0">
        <w:rPr>
          <w:rFonts w:cs="Arial"/>
          <w:szCs w:val="24"/>
          <w:highlight w:val="yellow"/>
          <w:u w:val="single"/>
        </w:rPr>
        <w:t>provided they were registered with that contractor or a predecessor contractor</w:t>
      </w:r>
      <w:r w:rsidRPr="001A2893">
        <w:rPr>
          <w:rStyle w:val="FootnoteReference"/>
          <w:rFonts w:cs="Arial"/>
          <w:szCs w:val="24"/>
          <w:highlight w:val="yellow"/>
          <w:u w:val="single"/>
        </w:rPr>
        <w:footnoteReference w:id="12"/>
      </w:r>
      <w:r w:rsidRPr="001A2893">
        <w:rPr>
          <w:rFonts w:cs="Arial"/>
          <w:szCs w:val="24"/>
          <w:highlight w:val="yellow"/>
          <w:u w:val="single"/>
        </w:rPr>
        <w:t xml:space="preserve"> immediately before that posting or the first of consecutive postings;</w:t>
      </w:r>
    </w:p>
    <w:p w14:paraId="0B2C2DC2" w14:textId="77777777" w:rsidR="00130441" w:rsidRPr="001A2893" w:rsidRDefault="00130441" w:rsidP="00E5043E">
      <w:pPr>
        <w:pStyle w:val="ListParagraph"/>
        <w:spacing w:line="360" w:lineRule="auto"/>
        <w:ind w:left="360"/>
        <w:rPr>
          <w:rFonts w:cs="Arial"/>
          <w:szCs w:val="24"/>
          <w:highlight w:val="yellow"/>
        </w:rPr>
      </w:pPr>
    </w:p>
    <w:p w14:paraId="38E427B9" w14:textId="77777777" w:rsidR="00130441" w:rsidRPr="001A2893" w:rsidRDefault="00130441" w:rsidP="006C3DF5">
      <w:pPr>
        <w:pStyle w:val="ListParagraph"/>
        <w:numPr>
          <w:ilvl w:val="0"/>
          <w:numId w:val="239"/>
        </w:numPr>
        <w:spacing w:after="160" w:line="360" w:lineRule="auto"/>
        <w:rPr>
          <w:rFonts w:cs="Arial"/>
          <w:szCs w:val="24"/>
          <w:highlight w:val="yellow"/>
        </w:rPr>
      </w:pPr>
      <w:r w:rsidRPr="001A2893">
        <w:rPr>
          <w:rFonts w:cs="Arial"/>
          <w:szCs w:val="24"/>
          <w:highlight w:val="yellow"/>
        </w:rPr>
        <w:t xml:space="preserve">Relevant family members of a civil servant (or former civil servant) who are returning to the UK and immediately before their return are or were accompanying the civil servant (or former civil servant) on their overseas posting – </w:t>
      </w:r>
      <w:r w:rsidRPr="001A2893">
        <w:rPr>
          <w:rFonts w:cs="Arial"/>
          <w:szCs w:val="24"/>
          <w:highlight w:val="yellow"/>
          <w:u w:val="single"/>
        </w:rPr>
        <w:t>provided the civil servant (or former civil servant) was registered with the contractor or a predecessor contractor immediately before that overseas posting or the first of consecutive postings;</w:t>
      </w:r>
    </w:p>
    <w:p w14:paraId="23D4B02D" w14:textId="77777777" w:rsidR="00130441" w:rsidRPr="001A2893" w:rsidRDefault="00130441" w:rsidP="00E5043E">
      <w:pPr>
        <w:pStyle w:val="ListParagraph"/>
        <w:spacing w:line="360" w:lineRule="auto"/>
        <w:rPr>
          <w:rFonts w:cs="Arial"/>
          <w:szCs w:val="24"/>
          <w:highlight w:val="yellow"/>
        </w:rPr>
      </w:pPr>
    </w:p>
    <w:p w14:paraId="31777FF2" w14:textId="77777777" w:rsidR="00130441" w:rsidRPr="001A2893" w:rsidRDefault="00130441" w:rsidP="006C3DF5">
      <w:pPr>
        <w:pStyle w:val="ListParagraph"/>
        <w:numPr>
          <w:ilvl w:val="0"/>
          <w:numId w:val="239"/>
        </w:numPr>
        <w:spacing w:after="160" w:line="360" w:lineRule="auto"/>
        <w:rPr>
          <w:rFonts w:cs="Arial"/>
          <w:szCs w:val="24"/>
          <w:highlight w:val="yellow"/>
          <w:u w:val="single"/>
        </w:rPr>
      </w:pPr>
      <w:r w:rsidRPr="001A2893">
        <w:rPr>
          <w:rFonts w:cs="Arial"/>
          <w:szCs w:val="24"/>
          <w:highlight w:val="yellow"/>
        </w:rPr>
        <w:t xml:space="preserve">Relevant family members of a current or former service person who are returning to the UK, and who, immediately before their return to the UK, are or were accompanying the current or former service person on an overseas posting – </w:t>
      </w:r>
      <w:r w:rsidRPr="001A2893">
        <w:rPr>
          <w:rFonts w:cs="Arial"/>
          <w:szCs w:val="24"/>
          <w:highlight w:val="yellow"/>
          <w:u w:val="single"/>
        </w:rPr>
        <w:t xml:space="preserve">provided the family member was registered with the contractor or a predecessor contractor immediately before accompanying the service person on that overseas posting or the first of consecutive postings. </w:t>
      </w:r>
    </w:p>
    <w:p w14:paraId="15C86A97" w14:textId="3960ED87" w:rsidR="00130441" w:rsidRPr="00130441" w:rsidRDefault="00130441" w:rsidP="00E5043E">
      <w:pPr>
        <w:pStyle w:val="Heading3"/>
        <w:rPr>
          <w:rFonts w:cs="Arial"/>
          <w:szCs w:val="24"/>
          <w:highlight w:val="yellow"/>
        </w:rPr>
      </w:pPr>
      <w:r w:rsidRPr="001A2893">
        <w:rPr>
          <w:rFonts w:cs="Arial"/>
          <w:szCs w:val="24"/>
          <w:highlight w:val="yellow"/>
        </w:rPr>
        <w:t xml:space="preserve">The application in </w:t>
      </w:r>
      <w:r w:rsidRPr="00130441">
        <w:rPr>
          <w:rFonts w:cs="Arial"/>
          <w:szCs w:val="24"/>
          <w:highlight w:val="yellow"/>
        </w:rPr>
        <w:t>4.15.2</w:t>
      </w:r>
      <w:r w:rsidRPr="001A2893">
        <w:rPr>
          <w:rFonts w:cs="Arial"/>
          <w:szCs w:val="24"/>
          <w:highlight w:val="yellow"/>
        </w:rPr>
        <w:t xml:space="preserve"> may be made up to, but not more than, one month before that individual’s planned date of return to the UK, and if the application is for permanent registration it must be made no later than three months after the patient’s arrival in the UK. Applications for permanent registration made after the end of the 3-month period are to be dealt with in the same way as any other patient registration request. </w:t>
      </w:r>
    </w:p>
    <w:p w14:paraId="32A1D616" w14:textId="77777777" w:rsidR="00130441" w:rsidRPr="001A2893" w:rsidRDefault="00130441" w:rsidP="00E5043E">
      <w:pPr>
        <w:spacing w:line="360" w:lineRule="auto"/>
        <w:rPr>
          <w:rFonts w:cs="Arial"/>
          <w:szCs w:val="24"/>
          <w:highlight w:val="yellow"/>
        </w:rPr>
      </w:pPr>
    </w:p>
    <w:p w14:paraId="44ADEE3C" w14:textId="77777777" w:rsidR="00130441" w:rsidRPr="001A2893" w:rsidRDefault="00130441" w:rsidP="00E5043E">
      <w:pPr>
        <w:spacing w:line="360" w:lineRule="auto"/>
        <w:rPr>
          <w:rFonts w:cs="Arial"/>
          <w:b/>
          <w:szCs w:val="24"/>
          <w:highlight w:val="yellow"/>
        </w:rPr>
      </w:pPr>
      <w:r w:rsidRPr="00130441">
        <w:rPr>
          <w:rFonts w:cs="Arial"/>
          <w:szCs w:val="24"/>
          <w:highlight w:val="yellow"/>
        </w:rPr>
        <w:t xml:space="preserve">4.15.4 – </w:t>
      </w:r>
      <w:r w:rsidRPr="00130441">
        <w:rPr>
          <w:rFonts w:cs="Arial"/>
          <w:b/>
          <w:szCs w:val="24"/>
          <w:highlight w:val="yellow"/>
        </w:rPr>
        <w:t>Registration with a new practice</w:t>
      </w:r>
    </w:p>
    <w:p w14:paraId="5F99434B" w14:textId="77777777" w:rsidR="00130441" w:rsidRPr="001A2893" w:rsidRDefault="00130441" w:rsidP="00E5043E">
      <w:pPr>
        <w:spacing w:line="360" w:lineRule="auto"/>
        <w:rPr>
          <w:rFonts w:cs="Arial"/>
          <w:b/>
          <w:bCs w:val="0"/>
          <w:szCs w:val="24"/>
          <w:highlight w:val="yellow"/>
        </w:rPr>
      </w:pPr>
      <w:r w:rsidRPr="001A2893">
        <w:rPr>
          <w:rFonts w:cs="Arial"/>
          <w:szCs w:val="24"/>
          <w:highlight w:val="yellow"/>
        </w:rPr>
        <w:t xml:space="preserve">Where an application is made by one of the following individuals, </w:t>
      </w:r>
      <w:r w:rsidRPr="001A2893">
        <w:rPr>
          <w:rFonts w:cs="Arial"/>
          <w:b/>
          <w:szCs w:val="24"/>
          <w:highlight w:val="yellow"/>
        </w:rPr>
        <w:t>the contractor must register them</w:t>
      </w:r>
      <w:r w:rsidRPr="001A2893">
        <w:rPr>
          <w:rFonts w:cs="Arial"/>
          <w:szCs w:val="24"/>
          <w:highlight w:val="yellow"/>
        </w:rPr>
        <w:t>,</w:t>
      </w:r>
      <w:r w:rsidRPr="001A2893">
        <w:rPr>
          <w:rFonts w:cs="Arial"/>
          <w:b/>
          <w:szCs w:val="24"/>
          <w:highlight w:val="yellow"/>
        </w:rPr>
        <w:t xml:space="preserve"> if their patient list is open</w:t>
      </w:r>
      <w:r w:rsidRPr="001A2893">
        <w:rPr>
          <w:rFonts w:cs="Arial"/>
          <w:szCs w:val="24"/>
          <w:highlight w:val="yellow"/>
        </w:rPr>
        <w:t xml:space="preserve">. (The only exception to this is where the contractor has reasonable grounds to refuse the application; see </w:t>
      </w:r>
      <w:r w:rsidRPr="00130441">
        <w:rPr>
          <w:rFonts w:cs="Arial"/>
          <w:szCs w:val="24"/>
          <w:highlight w:val="yellow"/>
        </w:rPr>
        <w:t>4.15.8</w:t>
      </w:r>
      <w:r w:rsidRPr="001A2893">
        <w:rPr>
          <w:rFonts w:cs="Arial"/>
          <w:szCs w:val="24"/>
          <w:highlight w:val="yellow"/>
        </w:rPr>
        <w:t xml:space="preserve">): </w:t>
      </w:r>
    </w:p>
    <w:p w14:paraId="15B789BD" w14:textId="77777777" w:rsidR="00130441" w:rsidRPr="001A2893" w:rsidRDefault="00130441" w:rsidP="006C3DF5">
      <w:pPr>
        <w:pStyle w:val="ListParagraph"/>
        <w:numPr>
          <w:ilvl w:val="0"/>
          <w:numId w:val="240"/>
        </w:numPr>
        <w:spacing w:after="160" w:line="360" w:lineRule="auto"/>
        <w:rPr>
          <w:rFonts w:cs="Arial"/>
          <w:szCs w:val="24"/>
          <w:highlight w:val="yellow"/>
        </w:rPr>
      </w:pPr>
      <w:r w:rsidRPr="001A2893">
        <w:rPr>
          <w:rFonts w:cs="Arial"/>
          <w:szCs w:val="24"/>
          <w:highlight w:val="yellow"/>
        </w:rPr>
        <w:t>Civil servants (or former civil servants) returning to the UK from an overseas posting, who were not previously registered with the contractor or a predecessor contractor;</w:t>
      </w:r>
    </w:p>
    <w:p w14:paraId="3D2BC3F1" w14:textId="77777777" w:rsidR="00130441" w:rsidRPr="001A2893" w:rsidRDefault="00130441" w:rsidP="00E5043E">
      <w:pPr>
        <w:pStyle w:val="ListParagraph"/>
        <w:spacing w:line="360" w:lineRule="auto"/>
        <w:ind w:left="360"/>
        <w:rPr>
          <w:rFonts w:cs="Arial"/>
          <w:szCs w:val="24"/>
          <w:highlight w:val="yellow"/>
        </w:rPr>
      </w:pPr>
    </w:p>
    <w:p w14:paraId="5308DBCD" w14:textId="77777777" w:rsidR="00130441" w:rsidRPr="008E0384" w:rsidRDefault="00130441" w:rsidP="006C3DF5">
      <w:pPr>
        <w:pStyle w:val="ListParagraph"/>
        <w:numPr>
          <w:ilvl w:val="0"/>
          <w:numId w:val="239"/>
        </w:numPr>
        <w:spacing w:after="160" w:line="360" w:lineRule="auto"/>
        <w:rPr>
          <w:rFonts w:cs="Arial"/>
          <w:szCs w:val="24"/>
          <w:highlight w:val="yellow"/>
        </w:rPr>
      </w:pPr>
      <w:r w:rsidRPr="001A2893">
        <w:rPr>
          <w:rFonts w:cs="Arial"/>
          <w:szCs w:val="24"/>
          <w:highlight w:val="yellow"/>
        </w:rPr>
        <w:t xml:space="preserve">Relevant family members who are returning to the UK and who: (a) are or were accompanying a civil servant (or former civil servant), or a service person (or former service person), on their overseas posting from which they are returning, and (b) are not required to be treated as previously registered with the contractor (see </w:t>
      </w:r>
      <w:r w:rsidRPr="00130441">
        <w:rPr>
          <w:rFonts w:cs="Arial"/>
          <w:szCs w:val="24"/>
          <w:highlight w:val="yellow"/>
        </w:rPr>
        <w:t>4.15.2</w:t>
      </w:r>
      <w:r w:rsidRPr="008E0384">
        <w:rPr>
          <w:rFonts w:cs="Arial"/>
          <w:szCs w:val="24"/>
          <w:highlight w:val="yellow"/>
        </w:rPr>
        <w:t xml:space="preserve">). </w:t>
      </w:r>
    </w:p>
    <w:p w14:paraId="15E52CDB" w14:textId="77777777" w:rsidR="00130441" w:rsidRPr="008E0384" w:rsidRDefault="00130441" w:rsidP="00E5043E">
      <w:pPr>
        <w:pStyle w:val="ListParagraph"/>
        <w:spacing w:line="360" w:lineRule="auto"/>
        <w:ind w:left="360"/>
        <w:rPr>
          <w:rFonts w:cs="Arial"/>
          <w:szCs w:val="24"/>
          <w:highlight w:val="yellow"/>
        </w:rPr>
      </w:pPr>
    </w:p>
    <w:p w14:paraId="13F677D2" w14:textId="1CB78708" w:rsidR="00130441" w:rsidRPr="00130441" w:rsidRDefault="00130441" w:rsidP="00E5043E">
      <w:pPr>
        <w:pStyle w:val="ListParagraph"/>
        <w:spacing w:line="360" w:lineRule="auto"/>
        <w:ind w:left="0"/>
        <w:rPr>
          <w:rFonts w:cs="Arial"/>
          <w:szCs w:val="24"/>
          <w:highlight w:val="yellow"/>
        </w:rPr>
      </w:pPr>
      <w:r w:rsidRPr="008E0384">
        <w:rPr>
          <w:rFonts w:cs="Arial"/>
          <w:szCs w:val="24"/>
          <w:highlight w:val="yellow"/>
        </w:rPr>
        <w:t>If the contractor’s list of patients is closed, it may register the individual if they are an immediate family member of a registered patient.</w:t>
      </w:r>
    </w:p>
    <w:p w14:paraId="47C3EF35" w14:textId="77777777" w:rsidR="00130441" w:rsidRPr="008E0384" w:rsidRDefault="00130441" w:rsidP="00E5043E">
      <w:pPr>
        <w:pStyle w:val="ListParagraph"/>
        <w:spacing w:line="360" w:lineRule="auto"/>
        <w:ind w:left="0"/>
        <w:rPr>
          <w:rFonts w:cs="Arial"/>
          <w:szCs w:val="24"/>
          <w:highlight w:val="yellow"/>
        </w:rPr>
      </w:pPr>
    </w:p>
    <w:p w14:paraId="7685A163" w14:textId="6611A56B" w:rsidR="00130441" w:rsidRDefault="00130441" w:rsidP="00E5043E">
      <w:pPr>
        <w:spacing w:line="360" w:lineRule="auto"/>
        <w:rPr>
          <w:rFonts w:cs="Arial"/>
          <w:szCs w:val="24"/>
          <w:highlight w:val="yellow"/>
        </w:rPr>
      </w:pPr>
      <w:r w:rsidRPr="00130441">
        <w:rPr>
          <w:rFonts w:cs="Arial"/>
          <w:szCs w:val="24"/>
          <w:highlight w:val="yellow"/>
        </w:rPr>
        <w:t xml:space="preserve">4.15.5 </w:t>
      </w:r>
      <w:r w:rsidRPr="008E0384">
        <w:rPr>
          <w:rFonts w:cs="Arial"/>
          <w:szCs w:val="24"/>
          <w:highlight w:val="yellow"/>
        </w:rPr>
        <w:t xml:space="preserve">The application in </w:t>
      </w:r>
      <w:r w:rsidRPr="00130441">
        <w:rPr>
          <w:rFonts w:cs="Arial"/>
          <w:szCs w:val="24"/>
          <w:highlight w:val="yellow"/>
        </w:rPr>
        <w:t>4.15.4</w:t>
      </w:r>
      <w:r w:rsidRPr="008E0384">
        <w:rPr>
          <w:rFonts w:cs="Arial"/>
          <w:szCs w:val="24"/>
          <w:highlight w:val="yellow"/>
        </w:rPr>
        <w:t xml:space="preserve"> may be made up to one month before that individual’s planned date of return to the UK. If the application is for permanent registration, it must be made at least 24 hours before the planned return date. Applications for permanent registration which are made less than 24 hours before the planned return date, or after the individual returns to the UK, are to be dealt with in the same way as any other patient registration request. </w:t>
      </w:r>
    </w:p>
    <w:p w14:paraId="4E03E9AA" w14:textId="77777777" w:rsidR="006938D5" w:rsidRPr="008E0384" w:rsidRDefault="006938D5" w:rsidP="00E5043E">
      <w:pPr>
        <w:spacing w:line="360" w:lineRule="auto"/>
        <w:rPr>
          <w:rFonts w:cs="Arial"/>
          <w:szCs w:val="24"/>
          <w:highlight w:val="yellow"/>
        </w:rPr>
      </w:pPr>
    </w:p>
    <w:p w14:paraId="68DC8B79" w14:textId="0727F8E6" w:rsidR="00130441" w:rsidRDefault="00130441" w:rsidP="00E5043E">
      <w:pPr>
        <w:spacing w:line="360" w:lineRule="auto"/>
        <w:rPr>
          <w:rFonts w:cs="Arial"/>
          <w:szCs w:val="24"/>
          <w:highlight w:val="yellow"/>
        </w:rPr>
      </w:pPr>
      <w:r w:rsidRPr="00130441">
        <w:rPr>
          <w:rFonts w:cs="Arial"/>
          <w:szCs w:val="24"/>
          <w:highlight w:val="yellow"/>
        </w:rPr>
        <w:t xml:space="preserve">4.15.6 </w:t>
      </w:r>
      <w:r w:rsidRPr="008E0384">
        <w:rPr>
          <w:rFonts w:cs="Arial"/>
          <w:szCs w:val="24"/>
          <w:highlight w:val="yellow"/>
        </w:rPr>
        <w:t xml:space="preserve">Applications in </w:t>
      </w:r>
      <w:r w:rsidRPr="00130441">
        <w:rPr>
          <w:rFonts w:cs="Arial"/>
          <w:szCs w:val="24"/>
          <w:highlight w:val="yellow"/>
        </w:rPr>
        <w:t>4.15.2</w:t>
      </w:r>
      <w:r w:rsidRPr="008E0384">
        <w:rPr>
          <w:rFonts w:cs="Arial"/>
          <w:szCs w:val="24"/>
          <w:highlight w:val="yellow"/>
        </w:rPr>
        <w:t xml:space="preserve"> and </w:t>
      </w:r>
      <w:r w:rsidRPr="00130441">
        <w:rPr>
          <w:rFonts w:cs="Arial"/>
          <w:szCs w:val="24"/>
          <w:highlight w:val="yellow"/>
        </w:rPr>
        <w:t>4.15.4</w:t>
      </w:r>
      <w:r w:rsidRPr="008E0384">
        <w:rPr>
          <w:rFonts w:cs="Arial"/>
          <w:szCs w:val="24"/>
          <w:highlight w:val="yellow"/>
        </w:rPr>
        <w:t xml:space="preserve"> may be made in-person or remotely, for example via posting or emailing a signed printed or scanned GMS1 or GMS3 form (as relevant) to the contractor. The form should be sent to the contractor with the following additional information:</w:t>
      </w:r>
    </w:p>
    <w:p w14:paraId="238456BD" w14:textId="77777777" w:rsidR="006938D5" w:rsidRPr="008E0384" w:rsidRDefault="006938D5" w:rsidP="00E5043E">
      <w:pPr>
        <w:spacing w:line="360" w:lineRule="auto"/>
        <w:rPr>
          <w:rFonts w:cs="Arial"/>
          <w:szCs w:val="24"/>
          <w:highlight w:val="yellow"/>
        </w:rPr>
      </w:pPr>
    </w:p>
    <w:p w14:paraId="6FDF9492" w14:textId="2AB34915" w:rsidR="00130441" w:rsidRPr="008E0384" w:rsidRDefault="00130441" w:rsidP="006C3DF5">
      <w:pPr>
        <w:pStyle w:val="ListParagraph"/>
        <w:numPr>
          <w:ilvl w:val="0"/>
          <w:numId w:val="241"/>
        </w:numPr>
        <w:spacing w:after="160" w:line="360" w:lineRule="auto"/>
        <w:rPr>
          <w:rFonts w:cs="Arial"/>
          <w:szCs w:val="24"/>
          <w:highlight w:val="yellow"/>
        </w:rPr>
      </w:pPr>
      <w:r w:rsidRPr="008E0384">
        <w:rPr>
          <w:rFonts w:cs="Arial"/>
          <w:szCs w:val="24"/>
          <w:highlight w:val="yellow"/>
        </w:rPr>
        <w:t xml:space="preserve">Confirmation the patient is seeking registration under the contract provisions for crown servants returning from overseas postings </w:t>
      </w:r>
    </w:p>
    <w:p w14:paraId="6F53894A" w14:textId="77777777" w:rsidR="00130441" w:rsidRPr="008E0384" w:rsidRDefault="00130441" w:rsidP="00E5043E">
      <w:pPr>
        <w:pStyle w:val="ListParagraph"/>
        <w:spacing w:line="360" w:lineRule="auto"/>
        <w:ind w:left="360"/>
        <w:rPr>
          <w:rFonts w:cs="Arial"/>
          <w:szCs w:val="24"/>
          <w:highlight w:val="yellow"/>
        </w:rPr>
      </w:pPr>
    </w:p>
    <w:p w14:paraId="72C6DD95" w14:textId="77777777" w:rsidR="00130441" w:rsidRPr="008E0384" w:rsidRDefault="00130441" w:rsidP="006C3DF5">
      <w:pPr>
        <w:pStyle w:val="ListParagraph"/>
        <w:numPr>
          <w:ilvl w:val="0"/>
          <w:numId w:val="241"/>
        </w:numPr>
        <w:spacing w:after="160" w:line="360" w:lineRule="auto"/>
        <w:rPr>
          <w:rFonts w:cs="Arial"/>
          <w:szCs w:val="24"/>
          <w:highlight w:val="yellow"/>
        </w:rPr>
      </w:pPr>
      <w:r w:rsidRPr="008E0384">
        <w:rPr>
          <w:rFonts w:cs="Arial"/>
          <w:szCs w:val="24"/>
          <w:highlight w:val="yellow"/>
        </w:rPr>
        <w:t>The patient’s planned date of arrival in the UK.</w:t>
      </w:r>
    </w:p>
    <w:p w14:paraId="522F8727" w14:textId="77777777" w:rsidR="00130441" w:rsidRPr="008E0384" w:rsidRDefault="00130441" w:rsidP="00E5043E">
      <w:pPr>
        <w:pStyle w:val="ListParagraph"/>
        <w:spacing w:line="360" w:lineRule="auto"/>
        <w:rPr>
          <w:rFonts w:cs="Arial"/>
          <w:szCs w:val="24"/>
          <w:highlight w:val="yellow"/>
        </w:rPr>
      </w:pPr>
    </w:p>
    <w:p w14:paraId="0460BDE9" w14:textId="77777777" w:rsidR="00130441" w:rsidRPr="008E0384" w:rsidRDefault="00130441" w:rsidP="006C3DF5">
      <w:pPr>
        <w:pStyle w:val="ListParagraph"/>
        <w:numPr>
          <w:ilvl w:val="0"/>
          <w:numId w:val="241"/>
        </w:numPr>
        <w:spacing w:after="160" w:line="360" w:lineRule="auto"/>
        <w:rPr>
          <w:rFonts w:cs="Arial"/>
          <w:szCs w:val="24"/>
          <w:highlight w:val="yellow"/>
        </w:rPr>
      </w:pPr>
      <w:r w:rsidRPr="008E0384">
        <w:rPr>
          <w:rFonts w:cs="Arial"/>
          <w:szCs w:val="24"/>
          <w:highlight w:val="yellow"/>
        </w:rPr>
        <w:t>Anticipated length of stay in the UK (if not permanent and if known).</w:t>
      </w:r>
    </w:p>
    <w:p w14:paraId="0E6245DA" w14:textId="77777777" w:rsidR="00130441" w:rsidRPr="008E0384" w:rsidRDefault="00130441" w:rsidP="00E5043E">
      <w:pPr>
        <w:pStyle w:val="ListParagraph"/>
        <w:spacing w:line="360" w:lineRule="auto"/>
        <w:ind w:left="360"/>
        <w:rPr>
          <w:rFonts w:cs="Arial"/>
          <w:szCs w:val="24"/>
          <w:highlight w:val="yellow"/>
        </w:rPr>
      </w:pPr>
    </w:p>
    <w:p w14:paraId="6B1E6421" w14:textId="77777777" w:rsidR="00130441" w:rsidRPr="008E0384" w:rsidRDefault="00130441" w:rsidP="006C3DF5">
      <w:pPr>
        <w:pStyle w:val="ListParagraph"/>
        <w:numPr>
          <w:ilvl w:val="0"/>
          <w:numId w:val="241"/>
        </w:numPr>
        <w:spacing w:after="160" w:line="360" w:lineRule="auto"/>
        <w:rPr>
          <w:rFonts w:cs="Arial"/>
          <w:szCs w:val="24"/>
          <w:highlight w:val="yellow"/>
        </w:rPr>
      </w:pPr>
      <w:r w:rsidRPr="008E0384">
        <w:rPr>
          <w:rFonts w:cs="Arial"/>
          <w:szCs w:val="24"/>
          <w:highlight w:val="yellow"/>
        </w:rPr>
        <w:t xml:space="preserve">List all relevant family members (where applicable). </w:t>
      </w:r>
    </w:p>
    <w:p w14:paraId="07F43F13" w14:textId="77777777" w:rsidR="00130441" w:rsidRPr="008E0384" w:rsidRDefault="00130441" w:rsidP="00E5043E">
      <w:pPr>
        <w:pStyle w:val="ListParagraph"/>
        <w:spacing w:line="360" w:lineRule="auto"/>
        <w:ind w:left="360"/>
        <w:rPr>
          <w:rFonts w:cs="Arial"/>
          <w:szCs w:val="24"/>
          <w:highlight w:val="yellow"/>
        </w:rPr>
      </w:pPr>
    </w:p>
    <w:p w14:paraId="402483C2" w14:textId="77777777" w:rsidR="00130441" w:rsidRPr="008E0384" w:rsidRDefault="00130441" w:rsidP="006C3DF5">
      <w:pPr>
        <w:pStyle w:val="ListParagraph"/>
        <w:numPr>
          <w:ilvl w:val="0"/>
          <w:numId w:val="241"/>
        </w:numPr>
        <w:spacing w:after="160" w:line="360" w:lineRule="auto"/>
        <w:rPr>
          <w:rFonts w:cs="Arial"/>
          <w:szCs w:val="24"/>
          <w:highlight w:val="yellow"/>
        </w:rPr>
      </w:pPr>
      <w:r w:rsidRPr="008E0384">
        <w:rPr>
          <w:rFonts w:cs="Arial"/>
          <w:szCs w:val="24"/>
          <w:highlight w:val="yellow"/>
        </w:rPr>
        <w:t xml:space="preserve">Proof of being, or having been, overseas in the circumstances defined in </w:t>
      </w:r>
      <w:r w:rsidRPr="00130441">
        <w:rPr>
          <w:rFonts w:cs="Arial"/>
          <w:szCs w:val="24"/>
          <w:highlight w:val="yellow"/>
        </w:rPr>
        <w:t>4.15.2</w:t>
      </w:r>
      <w:r w:rsidRPr="008E0384">
        <w:rPr>
          <w:rFonts w:cs="Arial"/>
          <w:szCs w:val="24"/>
          <w:highlight w:val="yellow"/>
        </w:rPr>
        <w:t xml:space="preserve"> and </w:t>
      </w:r>
      <w:r w:rsidRPr="00130441">
        <w:rPr>
          <w:rFonts w:cs="Arial"/>
          <w:szCs w:val="24"/>
          <w:highlight w:val="yellow"/>
        </w:rPr>
        <w:t>4.15.4</w:t>
      </w:r>
      <w:r w:rsidRPr="008E0384">
        <w:rPr>
          <w:rFonts w:cs="Arial"/>
          <w:szCs w:val="24"/>
          <w:highlight w:val="yellow"/>
        </w:rPr>
        <w:t>. This would normally be some documentary evidence or cover letter from the employer of the current or former civil servant/service person.</w:t>
      </w:r>
    </w:p>
    <w:p w14:paraId="53DF8ABC" w14:textId="1E1B8EF6" w:rsidR="00130441" w:rsidRPr="00130441" w:rsidRDefault="00130441" w:rsidP="00E5043E">
      <w:pPr>
        <w:spacing w:line="360" w:lineRule="auto"/>
        <w:rPr>
          <w:rFonts w:cs="Arial"/>
          <w:szCs w:val="24"/>
          <w:highlight w:val="yellow"/>
        </w:rPr>
      </w:pPr>
      <w:r w:rsidRPr="008E0384">
        <w:rPr>
          <w:rFonts w:cs="Arial"/>
          <w:szCs w:val="24"/>
          <w:highlight w:val="yellow"/>
        </w:rPr>
        <w:t xml:space="preserve">Should the practice need to validate that a patient was previously registered with them (or their predecessor contractor) immediately before they went overseas, the practice may confirm this through the PDS or </w:t>
      </w:r>
      <w:r w:rsidR="006938D5">
        <w:rPr>
          <w:rFonts w:cs="Arial"/>
          <w:szCs w:val="24"/>
          <w:highlight w:val="yellow"/>
        </w:rPr>
        <w:t>NHAIS</w:t>
      </w:r>
      <w:r w:rsidR="006C2E65">
        <w:rPr>
          <w:rFonts w:cs="Arial"/>
          <w:szCs w:val="24"/>
          <w:highlight w:val="yellow"/>
        </w:rPr>
        <w:t xml:space="preserve"> </w:t>
      </w:r>
      <w:r w:rsidR="005B6EC7">
        <w:rPr>
          <w:rFonts w:cs="Arial"/>
          <w:szCs w:val="24"/>
          <w:highlight w:val="yellow"/>
        </w:rPr>
        <w:t>/</w:t>
      </w:r>
      <w:r w:rsidRPr="008E0384">
        <w:rPr>
          <w:rFonts w:cs="Arial"/>
          <w:szCs w:val="24"/>
          <w:highlight w:val="yellow"/>
        </w:rPr>
        <w:t xml:space="preserve"> </w:t>
      </w:r>
      <w:r w:rsidR="005B6EC7" w:rsidRPr="00445768">
        <w:rPr>
          <w:highlight w:val="yellow"/>
        </w:rPr>
        <w:t>PCRM</w:t>
      </w:r>
      <w:r w:rsidR="005B6EC7">
        <w:rPr>
          <w:highlight w:val="yellow"/>
        </w:rPr>
        <w:t>.</w:t>
      </w:r>
    </w:p>
    <w:p w14:paraId="711A9B24" w14:textId="77777777" w:rsidR="00130441" w:rsidRPr="008E0384" w:rsidRDefault="00130441" w:rsidP="00E5043E">
      <w:pPr>
        <w:spacing w:line="360" w:lineRule="auto"/>
        <w:rPr>
          <w:rFonts w:cs="Arial"/>
          <w:szCs w:val="24"/>
          <w:highlight w:val="yellow"/>
        </w:rPr>
      </w:pPr>
    </w:p>
    <w:p w14:paraId="41DA1F4B" w14:textId="7C359563" w:rsidR="00130441" w:rsidRDefault="00130441" w:rsidP="00E5043E">
      <w:pPr>
        <w:spacing w:line="360" w:lineRule="auto"/>
        <w:rPr>
          <w:rFonts w:cs="Arial"/>
          <w:szCs w:val="24"/>
          <w:highlight w:val="yellow"/>
        </w:rPr>
      </w:pPr>
      <w:r w:rsidRPr="008E0384">
        <w:rPr>
          <w:rFonts w:cs="Arial"/>
          <w:szCs w:val="24"/>
          <w:highlight w:val="yellow"/>
        </w:rPr>
        <w:t xml:space="preserve">If the practice cannot confirm prior registration with them it may request proof from the patient (e.g. letter, email, text message). If neither the practice or the patient are able to evidence prior registration, the practice may still choose to accept the individual’s application if it is nevertheless satisfied that they or the patient of which they are a relevant family member (as the case may be) was previously registered with the practice (or its predecessor contractor)– for example, a practice may see proof of an individual being previously resident in that practice’s area as sufficient to accept their application. </w:t>
      </w:r>
    </w:p>
    <w:p w14:paraId="2EB0E350" w14:textId="77777777" w:rsidR="002D4641" w:rsidRPr="008E0384" w:rsidRDefault="002D4641" w:rsidP="00E5043E">
      <w:pPr>
        <w:spacing w:line="360" w:lineRule="auto"/>
        <w:rPr>
          <w:rFonts w:cs="Arial"/>
          <w:szCs w:val="24"/>
          <w:highlight w:val="yellow"/>
        </w:rPr>
      </w:pPr>
    </w:p>
    <w:p w14:paraId="67EF67A5" w14:textId="22483ADA" w:rsidR="00130441" w:rsidRDefault="00130441" w:rsidP="00E5043E">
      <w:pPr>
        <w:spacing w:line="360" w:lineRule="auto"/>
        <w:rPr>
          <w:rFonts w:cs="Arial"/>
          <w:b/>
          <w:szCs w:val="24"/>
          <w:highlight w:val="yellow"/>
        </w:rPr>
      </w:pPr>
      <w:r w:rsidRPr="00130441">
        <w:rPr>
          <w:rFonts w:cs="Arial"/>
          <w:szCs w:val="24"/>
          <w:highlight w:val="yellow"/>
        </w:rPr>
        <w:t>4.15.7</w:t>
      </w:r>
      <w:r w:rsidRPr="008E0384">
        <w:rPr>
          <w:rFonts w:cs="Arial"/>
          <w:szCs w:val="24"/>
          <w:highlight w:val="yellow"/>
        </w:rPr>
        <w:t xml:space="preserve"> – </w:t>
      </w:r>
      <w:r w:rsidRPr="008E0384">
        <w:rPr>
          <w:rFonts w:cs="Arial"/>
          <w:b/>
          <w:szCs w:val="24"/>
          <w:highlight w:val="yellow"/>
        </w:rPr>
        <w:t>Date of registration and duty to provide care</w:t>
      </w:r>
    </w:p>
    <w:p w14:paraId="48067B9C" w14:textId="77777777" w:rsidR="006C2E65" w:rsidRPr="008E0384" w:rsidRDefault="006C2E65" w:rsidP="00E5043E">
      <w:pPr>
        <w:spacing w:line="360" w:lineRule="auto"/>
        <w:rPr>
          <w:rFonts w:cs="Arial"/>
          <w:b/>
          <w:bCs w:val="0"/>
          <w:szCs w:val="24"/>
          <w:highlight w:val="yellow"/>
        </w:rPr>
      </w:pPr>
    </w:p>
    <w:p w14:paraId="66681841" w14:textId="3BC0F546" w:rsidR="00130441" w:rsidRDefault="00130441" w:rsidP="00E5043E">
      <w:pPr>
        <w:spacing w:line="360" w:lineRule="auto"/>
        <w:rPr>
          <w:rFonts w:cs="Arial"/>
          <w:szCs w:val="24"/>
          <w:highlight w:val="yellow"/>
        </w:rPr>
      </w:pPr>
      <w:r w:rsidRPr="008E0384">
        <w:rPr>
          <w:rFonts w:cs="Arial"/>
          <w:szCs w:val="24"/>
          <w:highlight w:val="yellow"/>
        </w:rPr>
        <w:t>Where</w:t>
      </w:r>
      <w:r w:rsidRPr="008E0384">
        <w:rPr>
          <w:rFonts w:cs="Arial"/>
          <w:b/>
          <w:szCs w:val="24"/>
          <w:highlight w:val="yellow"/>
        </w:rPr>
        <w:t xml:space="preserve"> </w:t>
      </w:r>
      <w:r w:rsidRPr="008E0384">
        <w:rPr>
          <w:rFonts w:cs="Arial"/>
          <w:szCs w:val="24"/>
          <w:highlight w:val="yellow"/>
        </w:rPr>
        <w:t xml:space="preserve">a contractor accepts an application in </w:t>
      </w:r>
      <w:r w:rsidRPr="00130441">
        <w:rPr>
          <w:rFonts w:cs="Arial"/>
          <w:szCs w:val="24"/>
          <w:highlight w:val="yellow"/>
        </w:rPr>
        <w:t>4.15.2 or 4.15.4 for:</w:t>
      </w:r>
    </w:p>
    <w:p w14:paraId="748E63F4" w14:textId="77777777" w:rsidR="006C2E65" w:rsidRPr="00130441" w:rsidRDefault="006C2E65" w:rsidP="00E5043E">
      <w:pPr>
        <w:spacing w:line="360" w:lineRule="auto"/>
        <w:rPr>
          <w:rFonts w:cs="Arial"/>
          <w:szCs w:val="24"/>
          <w:highlight w:val="yellow"/>
        </w:rPr>
      </w:pPr>
    </w:p>
    <w:p w14:paraId="4277645C" w14:textId="77777777" w:rsidR="00130441" w:rsidRPr="008E0384" w:rsidRDefault="00130441" w:rsidP="006C3DF5">
      <w:pPr>
        <w:pStyle w:val="ListParagraph"/>
        <w:numPr>
          <w:ilvl w:val="0"/>
          <w:numId w:val="239"/>
        </w:numPr>
        <w:spacing w:after="160" w:line="360" w:lineRule="auto"/>
        <w:rPr>
          <w:rFonts w:cs="Arial"/>
          <w:szCs w:val="24"/>
          <w:highlight w:val="yellow"/>
        </w:rPr>
      </w:pPr>
      <w:r w:rsidRPr="00130441">
        <w:rPr>
          <w:rFonts w:cs="Arial"/>
          <w:szCs w:val="24"/>
          <w:highlight w:val="yellow"/>
        </w:rPr>
        <w:t>Temporary registration</w:t>
      </w:r>
      <w:r w:rsidRPr="008E0384">
        <w:rPr>
          <w:rFonts w:cs="Arial"/>
          <w:szCs w:val="24"/>
          <w:highlight w:val="yellow"/>
        </w:rPr>
        <w:t xml:space="preserve">, it must confirm this with the individual or the appropriate person. The contractor’s responsibility for that individual begins on the later of: (a) the date on which the contractor accepts the application, and (b) the date on which the individual returns to the UK. The contractor must notify its commissioner that it accepted the individual as a temporary resident at the end of the contractor’s period of responsibility for that individual.    </w:t>
      </w:r>
    </w:p>
    <w:p w14:paraId="7951E2BA" w14:textId="77777777" w:rsidR="00130441" w:rsidRPr="008E0384" w:rsidRDefault="00130441" w:rsidP="00E5043E">
      <w:pPr>
        <w:pStyle w:val="ListParagraph"/>
        <w:spacing w:line="360" w:lineRule="auto"/>
        <w:ind w:left="360"/>
        <w:rPr>
          <w:rFonts w:cs="Arial"/>
          <w:szCs w:val="24"/>
          <w:highlight w:val="yellow"/>
        </w:rPr>
      </w:pPr>
    </w:p>
    <w:p w14:paraId="5573FA72" w14:textId="77777777" w:rsidR="00130441" w:rsidRPr="008E0384" w:rsidRDefault="00130441" w:rsidP="006C3DF5">
      <w:pPr>
        <w:pStyle w:val="ListParagraph"/>
        <w:numPr>
          <w:ilvl w:val="0"/>
          <w:numId w:val="239"/>
        </w:numPr>
        <w:spacing w:after="160" w:line="360" w:lineRule="auto"/>
        <w:rPr>
          <w:rFonts w:cs="Arial"/>
          <w:szCs w:val="24"/>
          <w:highlight w:val="yellow"/>
        </w:rPr>
      </w:pPr>
      <w:r w:rsidRPr="008E0384">
        <w:rPr>
          <w:rFonts w:cs="Arial"/>
          <w:szCs w:val="24"/>
          <w:highlight w:val="yellow"/>
        </w:rPr>
        <w:t xml:space="preserve">Permanent registration, the contractor must give notice in writing to its commissioner of that acceptance as soon as possible. If the application is accepted before the individual’s planned return date, the contractor must notify the commissioner of that return date. The commissioner must add the individual to the contractor’s list of patients from the later of: (a) the date on which the commissioner receives the relevant notice from the contractor, and (b) the date on which the individual returns to the UK. </w:t>
      </w:r>
      <w:r w:rsidRPr="008E0384">
        <w:rPr>
          <w:rFonts w:cs="Arial"/>
          <w:b/>
          <w:szCs w:val="24"/>
          <w:highlight w:val="yellow"/>
        </w:rPr>
        <w:t xml:space="preserve">The contractor is not required to provide primary medical services to that individual before their actual return to the UK.  </w:t>
      </w:r>
    </w:p>
    <w:p w14:paraId="5D5BD170" w14:textId="24BE9A35" w:rsidR="00130441" w:rsidRPr="00130441" w:rsidRDefault="00130441" w:rsidP="00E5043E">
      <w:pPr>
        <w:spacing w:line="360" w:lineRule="auto"/>
        <w:rPr>
          <w:rFonts w:cs="Arial"/>
          <w:szCs w:val="24"/>
          <w:highlight w:val="yellow"/>
        </w:rPr>
      </w:pPr>
      <w:r w:rsidRPr="008E0384">
        <w:rPr>
          <w:rFonts w:cs="Arial"/>
          <w:szCs w:val="24"/>
          <w:highlight w:val="yellow"/>
        </w:rPr>
        <w:t xml:space="preserve">Once a contractor has accepted an application, regardless of whether the individual is still overseas, the contractor may book upon request appointment/s for that individual which are only to take place once the individual has arrived in the UK. </w:t>
      </w:r>
      <w:r w:rsidRPr="008E0384">
        <w:rPr>
          <w:rFonts w:cs="Arial"/>
          <w:b/>
          <w:szCs w:val="24"/>
          <w:highlight w:val="yellow"/>
        </w:rPr>
        <w:t>Individuals must not attend appointments (i.e. remote appointments) with the contractor while they are still overseas.</w:t>
      </w:r>
      <w:r w:rsidRPr="008E0384">
        <w:rPr>
          <w:rFonts w:cs="Arial"/>
          <w:szCs w:val="24"/>
          <w:highlight w:val="yellow"/>
        </w:rPr>
        <w:t xml:space="preserve">  </w:t>
      </w:r>
    </w:p>
    <w:p w14:paraId="3F2EACE9" w14:textId="77777777" w:rsidR="00130441" w:rsidRPr="008E0384" w:rsidRDefault="00130441" w:rsidP="00E5043E">
      <w:pPr>
        <w:spacing w:line="360" w:lineRule="auto"/>
        <w:rPr>
          <w:rFonts w:cs="Arial"/>
          <w:szCs w:val="24"/>
          <w:highlight w:val="yellow"/>
        </w:rPr>
      </w:pPr>
    </w:p>
    <w:p w14:paraId="267E905A" w14:textId="67F71848" w:rsidR="00130441" w:rsidRPr="00130441" w:rsidRDefault="00A83A07" w:rsidP="00E5043E">
      <w:pPr>
        <w:spacing w:line="360" w:lineRule="auto"/>
        <w:rPr>
          <w:rFonts w:cs="Arial"/>
          <w:szCs w:val="24"/>
          <w:highlight w:val="yellow"/>
        </w:rPr>
      </w:pPr>
      <w:r>
        <w:rPr>
          <w:rFonts w:cs="Arial"/>
          <w:szCs w:val="24"/>
          <w:highlight w:val="yellow"/>
        </w:rPr>
        <w:t xml:space="preserve">4.15.8 </w:t>
      </w:r>
      <w:r w:rsidR="00130441" w:rsidRPr="008E0384">
        <w:rPr>
          <w:rFonts w:cs="Arial"/>
          <w:szCs w:val="24"/>
          <w:highlight w:val="yellow"/>
        </w:rPr>
        <w:t xml:space="preserve">A contractor may only refuse to register individuals in </w:t>
      </w:r>
      <w:r w:rsidR="00130441" w:rsidRPr="00130441">
        <w:rPr>
          <w:rFonts w:cs="Arial"/>
          <w:szCs w:val="24"/>
          <w:highlight w:val="yellow"/>
        </w:rPr>
        <w:t>4.15.2</w:t>
      </w:r>
      <w:r w:rsidR="00130441" w:rsidRPr="008E0384">
        <w:rPr>
          <w:rFonts w:cs="Arial"/>
          <w:szCs w:val="24"/>
          <w:highlight w:val="yellow"/>
        </w:rPr>
        <w:t xml:space="preserve"> under the crown servant registration provisions where it has reasonable grounds for doing so. Such grounds must not relate to the patient’s race, gender or gender reassignment, marriage or civil partnership, pregnancy or maternity, social class, age, religion or belief, sexual orientation, appearance, disability or medical condition. Reasonable grounds may include, in the case of an application for permanent registration, that the patient does not live, or does not intend to live in, the contractor’s practice area or the outer boundary area. Where a contractor refuses to register a patient, this decision, and the reasons for it, must be communicated to the patient (or the person who made the application on their behalf) in writing within 14 days of that decision being made. The contractor must keep a written record of applications and reasons for refusal.</w:t>
      </w:r>
    </w:p>
    <w:p w14:paraId="5ADE7F88" w14:textId="77777777" w:rsidR="00130441" w:rsidRPr="008E0384" w:rsidRDefault="00130441" w:rsidP="00E5043E">
      <w:pPr>
        <w:spacing w:line="360" w:lineRule="auto"/>
        <w:rPr>
          <w:rFonts w:cs="Arial"/>
          <w:szCs w:val="24"/>
          <w:highlight w:val="yellow"/>
        </w:rPr>
      </w:pPr>
    </w:p>
    <w:p w14:paraId="74E975AA" w14:textId="16C4D427" w:rsidR="00130441" w:rsidRDefault="00130441" w:rsidP="00E5043E">
      <w:pPr>
        <w:spacing w:line="360" w:lineRule="auto"/>
        <w:rPr>
          <w:rFonts w:cs="Arial"/>
          <w:szCs w:val="24"/>
          <w:highlight w:val="yellow"/>
        </w:rPr>
      </w:pPr>
      <w:r w:rsidRPr="00130441">
        <w:rPr>
          <w:rFonts w:cs="Arial"/>
          <w:szCs w:val="24"/>
          <w:highlight w:val="yellow"/>
        </w:rPr>
        <w:t xml:space="preserve">4.15.9 </w:t>
      </w:r>
      <w:r w:rsidRPr="008E0384">
        <w:rPr>
          <w:rFonts w:cs="Arial"/>
          <w:szCs w:val="24"/>
          <w:highlight w:val="yellow"/>
        </w:rPr>
        <w:t>Under these specific regulations, the following are relevant family members of a current or former civil servant/service person</w:t>
      </w:r>
      <w:r w:rsidRPr="008E0384">
        <w:rPr>
          <w:rStyle w:val="FootnoteReference"/>
          <w:rFonts w:cs="Arial"/>
          <w:szCs w:val="24"/>
          <w:highlight w:val="yellow"/>
        </w:rPr>
        <w:footnoteReference w:id="13"/>
      </w:r>
      <w:r w:rsidRPr="008E0384">
        <w:rPr>
          <w:rFonts w:cs="Arial"/>
          <w:szCs w:val="24"/>
          <w:highlight w:val="yellow"/>
        </w:rPr>
        <w:t>:</w:t>
      </w:r>
    </w:p>
    <w:p w14:paraId="180B9617" w14:textId="77777777" w:rsidR="00191F8A" w:rsidRPr="008E0384" w:rsidRDefault="00191F8A" w:rsidP="00E5043E">
      <w:pPr>
        <w:spacing w:line="360" w:lineRule="auto"/>
        <w:rPr>
          <w:rFonts w:cs="Arial"/>
          <w:szCs w:val="24"/>
          <w:highlight w:val="yellow"/>
        </w:rPr>
      </w:pPr>
    </w:p>
    <w:p w14:paraId="3B53F378" w14:textId="77777777" w:rsidR="00130441" w:rsidRPr="008E0384" w:rsidRDefault="00130441" w:rsidP="006C3DF5">
      <w:pPr>
        <w:pStyle w:val="ListParagraph"/>
        <w:numPr>
          <w:ilvl w:val="0"/>
          <w:numId w:val="245"/>
        </w:numPr>
        <w:spacing w:after="160" w:line="360" w:lineRule="auto"/>
        <w:rPr>
          <w:rFonts w:cs="Arial"/>
          <w:szCs w:val="24"/>
          <w:highlight w:val="yellow"/>
        </w:rPr>
      </w:pPr>
      <w:r w:rsidRPr="008E0384">
        <w:rPr>
          <w:rFonts w:cs="Arial"/>
          <w:szCs w:val="24"/>
          <w:highlight w:val="yellow"/>
        </w:rPr>
        <w:t>Their children (including adopted and step-children, as well as natural children), if:</w:t>
      </w:r>
    </w:p>
    <w:p w14:paraId="1EB00E0D" w14:textId="77777777" w:rsidR="00130441" w:rsidRPr="008E0384" w:rsidRDefault="00130441" w:rsidP="00E5043E">
      <w:pPr>
        <w:pStyle w:val="ListParagraph"/>
        <w:spacing w:line="360" w:lineRule="auto"/>
        <w:ind w:left="360"/>
        <w:rPr>
          <w:rFonts w:cs="Arial"/>
          <w:szCs w:val="24"/>
          <w:highlight w:val="yellow"/>
        </w:rPr>
      </w:pPr>
    </w:p>
    <w:p w14:paraId="6317B8D3" w14:textId="77777777" w:rsidR="00130441" w:rsidRPr="008E0384" w:rsidRDefault="00130441" w:rsidP="006C3DF5">
      <w:pPr>
        <w:pStyle w:val="ListParagraph"/>
        <w:numPr>
          <w:ilvl w:val="1"/>
          <w:numId w:val="239"/>
        </w:numPr>
        <w:spacing w:after="160" w:line="360" w:lineRule="auto"/>
        <w:rPr>
          <w:rFonts w:cs="Arial"/>
          <w:szCs w:val="24"/>
          <w:highlight w:val="yellow"/>
        </w:rPr>
      </w:pPr>
      <w:r w:rsidRPr="008E0384">
        <w:rPr>
          <w:rFonts w:cs="Arial"/>
          <w:szCs w:val="24"/>
          <w:highlight w:val="yellow"/>
        </w:rPr>
        <w:t xml:space="preserve">They are, or were, at the time of leaving the UK to accompany the civil servant or service person on their overseas posting, under 21 (or under 25 in the case of the child of a service person) </w:t>
      </w:r>
      <w:r w:rsidRPr="008E0384">
        <w:rPr>
          <w:rFonts w:cs="Arial"/>
          <w:b/>
          <w:szCs w:val="24"/>
          <w:highlight w:val="yellow"/>
        </w:rPr>
        <w:t xml:space="preserve">and </w:t>
      </w:r>
      <w:r w:rsidRPr="008E0384">
        <w:rPr>
          <w:rFonts w:cs="Arial"/>
          <w:szCs w:val="24"/>
          <w:highlight w:val="yellow"/>
        </w:rPr>
        <w:t xml:space="preserve">wholly or mainly financial dependent on the civil servant or service person whilst accompanying them, or </w:t>
      </w:r>
    </w:p>
    <w:p w14:paraId="201A6805" w14:textId="77777777" w:rsidR="00130441" w:rsidRPr="008E0384" w:rsidRDefault="00130441" w:rsidP="00E5043E">
      <w:pPr>
        <w:pStyle w:val="ListParagraph"/>
        <w:spacing w:line="360" w:lineRule="auto"/>
        <w:ind w:left="1080"/>
        <w:rPr>
          <w:rFonts w:cs="Arial"/>
          <w:szCs w:val="24"/>
          <w:highlight w:val="yellow"/>
        </w:rPr>
      </w:pPr>
    </w:p>
    <w:p w14:paraId="30155AD7" w14:textId="77777777" w:rsidR="00130441" w:rsidRPr="008E0384" w:rsidRDefault="00130441" w:rsidP="006C3DF5">
      <w:pPr>
        <w:pStyle w:val="ListParagraph"/>
        <w:numPr>
          <w:ilvl w:val="1"/>
          <w:numId w:val="239"/>
        </w:numPr>
        <w:spacing w:after="160" w:line="360" w:lineRule="auto"/>
        <w:rPr>
          <w:rFonts w:cs="Arial"/>
          <w:szCs w:val="24"/>
          <w:highlight w:val="yellow"/>
        </w:rPr>
      </w:pPr>
      <w:r w:rsidRPr="008E0384">
        <w:rPr>
          <w:rFonts w:cs="Arial"/>
          <w:szCs w:val="24"/>
          <w:highlight w:val="yellow"/>
        </w:rPr>
        <w:t>They are or were wholly or mainly financially dependent on the civil servant or service person whilst accompanying them on their posting because of a disability</w:t>
      </w:r>
      <w:r w:rsidRPr="008E0384">
        <w:rPr>
          <w:rStyle w:val="FootnoteReference"/>
          <w:rFonts w:cs="Arial"/>
          <w:szCs w:val="24"/>
          <w:highlight w:val="yellow"/>
        </w:rPr>
        <w:footnoteReference w:id="14"/>
      </w:r>
      <w:r w:rsidRPr="008E0384">
        <w:rPr>
          <w:rFonts w:cs="Arial"/>
          <w:szCs w:val="24"/>
          <w:highlight w:val="yellow"/>
        </w:rPr>
        <w:t xml:space="preserve">. </w:t>
      </w:r>
    </w:p>
    <w:p w14:paraId="3E4AA779" w14:textId="77777777" w:rsidR="00130441" w:rsidRPr="008E0384" w:rsidRDefault="00130441" w:rsidP="00E5043E">
      <w:pPr>
        <w:pStyle w:val="ListParagraph"/>
        <w:spacing w:line="360" w:lineRule="auto"/>
        <w:rPr>
          <w:rFonts w:cs="Arial"/>
          <w:szCs w:val="24"/>
          <w:highlight w:val="yellow"/>
        </w:rPr>
      </w:pPr>
    </w:p>
    <w:p w14:paraId="51079DBB" w14:textId="2D1ECAF3" w:rsidR="00130441" w:rsidRPr="00191F8A" w:rsidRDefault="00130441" w:rsidP="006C3DF5">
      <w:pPr>
        <w:pStyle w:val="ListParagraph"/>
        <w:numPr>
          <w:ilvl w:val="1"/>
          <w:numId w:val="239"/>
        </w:numPr>
        <w:spacing w:after="160" w:line="360" w:lineRule="auto"/>
        <w:rPr>
          <w:rFonts w:cs="Arial"/>
          <w:szCs w:val="24"/>
          <w:highlight w:val="yellow"/>
        </w:rPr>
      </w:pPr>
      <w:r w:rsidRPr="00191F8A">
        <w:rPr>
          <w:rFonts w:cs="Arial"/>
          <w:szCs w:val="24"/>
          <w:highlight w:val="yellow"/>
        </w:rPr>
        <w:t>Their spouse, civil partner, or individual whose relationship with the current or former civil servant or service person has the characteristics of a relationship between spouses or civil partners.</w:t>
      </w:r>
    </w:p>
    <w:p w14:paraId="2C3AE16E" w14:textId="77777777" w:rsidR="00130441" w:rsidRPr="008E0384" w:rsidRDefault="00130441" w:rsidP="00E5043E">
      <w:pPr>
        <w:pStyle w:val="ListParagraph"/>
        <w:spacing w:line="360" w:lineRule="auto"/>
        <w:rPr>
          <w:rFonts w:cs="Arial"/>
          <w:szCs w:val="24"/>
          <w:highlight w:val="yellow"/>
        </w:rPr>
      </w:pPr>
    </w:p>
    <w:p w14:paraId="69E71246" w14:textId="77777777" w:rsidR="00130441" w:rsidRPr="008E0384" w:rsidRDefault="00130441" w:rsidP="006C3DF5">
      <w:pPr>
        <w:pStyle w:val="ListParagraph"/>
        <w:numPr>
          <w:ilvl w:val="1"/>
          <w:numId w:val="239"/>
        </w:numPr>
        <w:spacing w:after="160" w:line="360" w:lineRule="auto"/>
        <w:rPr>
          <w:rFonts w:cs="Arial"/>
          <w:szCs w:val="24"/>
          <w:highlight w:val="yellow"/>
        </w:rPr>
      </w:pPr>
      <w:r w:rsidRPr="008E0384">
        <w:rPr>
          <w:rFonts w:cs="Arial"/>
          <w:szCs w:val="24"/>
          <w:highlight w:val="yellow"/>
        </w:rPr>
        <w:t>Their former spouse, civil partner, or individual whose relationship with the current or former civil servant or service person has ended (for any reason) but had the characteristics of a relationship between spouses or civil partners.</w:t>
      </w:r>
    </w:p>
    <w:p w14:paraId="60B4F50C" w14:textId="77777777" w:rsidR="00130441" w:rsidRPr="008E0384" w:rsidRDefault="00130441" w:rsidP="00E5043E">
      <w:pPr>
        <w:pStyle w:val="ListParagraph"/>
        <w:spacing w:line="360" w:lineRule="auto"/>
        <w:rPr>
          <w:rFonts w:cs="Arial"/>
          <w:szCs w:val="24"/>
          <w:highlight w:val="yellow"/>
        </w:rPr>
      </w:pPr>
    </w:p>
    <w:p w14:paraId="1929C399" w14:textId="77777777" w:rsidR="00130441" w:rsidRPr="008E0384" w:rsidRDefault="00130441" w:rsidP="006C3DF5">
      <w:pPr>
        <w:pStyle w:val="ListParagraph"/>
        <w:numPr>
          <w:ilvl w:val="1"/>
          <w:numId w:val="239"/>
        </w:numPr>
        <w:spacing w:after="160" w:line="360" w:lineRule="auto"/>
        <w:rPr>
          <w:rFonts w:cs="Arial"/>
          <w:szCs w:val="24"/>
          <w:highlight w:val="yellow"/>
        </w:rPr>
      </w:pPr>
      <w:r w:rsidRPr="008E0384">
        <w:rPr>
          <w:rFonts w:cs="Arial"/>
          <w:szCs w:val="24"/>
          <w:highlight w:val="yellow"/>
        </w:rPr>
        <w:t>Their widow/widower or surviving civil partner, if the civil servant or service person passed away while on their posting.</w:t>
      </w:r>
    </w:p>
    <w:p w14:paraId="7241902F" w14:textId="77777777" w:rsidR="00130441" w:rsidRPr="00130441" w:rsidRDefault="00130441" w:rsidP="00E5043E">
      <w:pPr>
        <w:spacing w:line="360" w:lineRule="auto"/>
        <w:rPr>
          <w:rFonts w:cs="Arial"/>
          <w:szCs w:val="24"/>
        </w:rPr>
      </w:pPr>
      <w:r w:rsidRPr="008E0384">
        <w:rPr>
          <w:rFonts w:cs="Arial"/>
          <w:szCs w:val="24"/>
          <w:highlight w:val="yellow"/>
        </w:rPr>
        <w:t>Individuals who become relevant family members of a current or former civil servant/service person during an overseas posting and are returning to the UK are to be treated in the same way as those who were family members before the start of such a posting. This includes, for example, a child born, or adopted, during an overseas posting who remains with their civil service parent throughout that posting, or a person who marries a civil servant during their overseas posting and accompanies that person on their posting from that time.</w:t>
      </w:r>
    </w:p>
    <w:p w14:paraId="02EFA943" w14:textId="77777777" w:rsidR="00130441" w:rsidRDefault="00130441" w:rsidP="00062958">
      <w:pPr>
        <w:ind w:left="1440"/>
        <w:rPr>
          <w:rFonts w:cs="Arial"/>
          <w:b/>
          <w:bCs w:val="0"/>
        </w:rPr>
      </w:pPr>
    </w:p>
    <w:p w14:paraId="5FDA4C72" w14:textId="77777777" w:rsidR="00062958" w:rsidRDefault="00062958" w:rsidP="00DB11FA">
      <w:pPr>
        <w:pStyle w:val="Default"/>
        <w:spacing w:line="360" w:lineRule="auto"/>
        <w:rPr>
          <w:color w:val="auto"/>
        </w:rPr>
      </w:pPr>
    </w:p>
    <w:p w14:paraId="5B884ED0" w14:textId="2E7A5646" w:rsidR="00DB11FA" w:rsidRPr="00E509C8" w:rsidRDefault="00781D25" w:rsidP="00062958">
      <w:pPr>
        <w:pStyle w:val="Heading2"/>
      </w:pPr>
      <w:bookmarkStart w:id="501" w:name="_Toc95743422"/>
      <w:r w:rsidRPr="00E509C8">
        <w:t>Temporary R</w:t>
      </w:r>
      <w:r w:rsidR="0081257F" w:rsidRPr="00E509C8">
        <w:t>esidents</w:t>
      </w:r>
      <w:bookmarkEnd w:id="501"/>
    </w:p>
    <w:p w14:paraId="174465BF" w14:textId="77777777" w:rsidR="00DB11FA" w:rsidRPr="00DF3F04" w:rsidRDefault="00DB11FA" w:rsidP="00DB11FA">
      <w:pPr>
        <w:pStyle w:val="Default"/>
        <w:spacing w:line="360" w:lineRule="auto"/>
        <w:rPr>
          <w:color w:val="auto"/>
        </w:rPr>
      </w:pPr>
    </w:p>
    <w:p w14:paraId="35FFFE3E" w14:textId="11E66ED1" w:rsidR="00DB11FA" w:rsidRPr="00E509C8" w:rsidRDefault="0081257F" w:rsidP="00E509C8">
      <w:pPr>
        <w:pStyle w:val="Heading3"/>
      </w:pPr>
      <w:r w:rsidRPr="00E509C8">
        <w:t>A contractor may, if the contractor’s list of patients is open, accept a person as a temporary resident.  This is provided the contractor is satisfied that the person is temporarily resident away from their normal place of residence and is not being provided</w:t>
      </w:r>
      <w:r w:rsidR="006E6642">
        <w:t xml:space="preserve"> </w:t>
      </w:r>
      <w:r w:rsidRPr="00E509C8">
        <w:t>with essential services (or their equivalent) under any other arrangement in the locality where that person is temporarily residing; or moving from place to place and not for the time being resident in any place.</w:t>
      </w:r>
    </w:p>
    <w:p w14:paraId="18C7FC83" w14:textId="1C0177C3" w:rsidR="0081257F" w:rsidRPr="00A553BA" w:rsidRDefault="0081257F" w:rsidP="00A553BA">
      <w:pPr>
        <w:pStyle w:val="Default"/>
        <w:spacing w:line="360" w:lineRule="auto"/>
        <w:rPr>
          <w:color w:val="auto"/>
          <w:sz w:val="23"/>
        </w:rPr>
      </w:pPr>
    </w:p>
    <w:p w14:paraId="7F5C40CA" w14:textId="7FB6F8A6" w:rsidR="0081257F" w:rsidRPr="00E509C8" w:rsidRDefault="0081257F" w:rsidP="00537856">
      <w:pPr>
        <w:pStyle w:val="Heading3"/>
      </w:pPr>
      <w:r w:rsidRPr="00E509C8">
        <w:t xml:space="preserve">It is of note that a notification to the Board of </w:t>
      </w:r>
      <w:r w:rsidR="006E6642" w:rsidRPr="00E509C8">
        <w:t xml:space="preserve">the acceptance of </w:t>
      </w:r>
      <w:r w:rsidRPr="00E509C8">
        <w:t xml:space="preserve">temporary resident </w:t>
      </w:r>
      <w:r w:rsidR="006E6642" w:rsidRPr="00E509C8">
        <w:t>on to the contractor</w:t>
      </w:r>
      <w:r w:rsidR="00B40554">
        <w:t>’</w:t>
      </w:r>
      <w:r w:rsidR="006E6642" w:rsidRPr="00E509C8">
        <w:t xml:space="preserve">s list </w:t>
      </w:r>
      <w:r w:rsidRPr="00E509C8">
        <w:t>only occurs at the end of the period of three months beginning with the date on which the contractor</w:t>
      </w:r>
      <w:r w:rsidR="006E6642" w:rsidRPr="00E509C8">
        <w:t xml:space="preserve"> </w:t>
      </w:r>
      <w:r w:rsidRPr="00E509C8">
        <w:t>accepted that person as a temporary resident; or if the contractor’s responsibility for that person as a temporary resident came to an end</w:t>
      </w:r>
      <w:r w:rsidR="006E6642" w:rsidRPr="00E509C8">
        <w:t xml:space="preserve"> </w:t>
      </w:r>
      <w:r w:rsidRPr="00E509C8">
        <w:t>earlier</w:t>
      </w:r>
      <w:r w:rsidR="005501E0">
        <w:t>,</w:t>
      </w:r>
      <w:r w:rsidRPr="00E509C8">
        <w:t xml:space="preserve"> </w:t>
      </w:r>
      <w:r w:rsidR="006E6642" w:rsidRPr="00E509C8">
        <w:t>at that point.</w:t>
      </w:r>
      <w:r w:rsidR="00537856">
        <w:t xml:space="preserve"> A</w:t>
      </w:r>
      <w:r w:rsidR="00537856" w:rsidRPr="00537856">
        <w:t>ny clinical records relating to the TR period of care can/should be submitted via PCSE for repatriation to the registered GP Practice or storage in archive</w:t>
      </w:r>
      <w:r w:rsidR="00537856">
        <w:t>.</w:t>
      </w:r>
    </w:p>
    <w:p w14:paraId="696A9F1A" w14:textId="22078045" w:rsidR="006E6642" w:rsidRPr="00595B03" w:rsidRDefault="006E6642" w:rsidP="008D6827"/>
    <w:p w14:paraId="14D093E9" w14:textId="38134FF9" w:rsidR="006E6642" w:rsidRDefault="006E6642" w:rsidP="00E509C8">
      <w:pPr>
        <w:pStyle w:val="Heading3"/>
      </w:pPr>
      <w:r w:rsidRPr="00E509C8">
        <w:t xml:space="preserve">As this type of registration does not get flagged with PCSE at the commencement of the </w:t>
      </w:r>
      <w:r w:rsidR="005501E0">
        <w:t xml:space="preserve">temporary </w:t>
      </w:r>
      <w:r w:rsidRPr="00E509C8">
        <w:t xml:space="preserve">registration, there is potential for a contractor to accept as a </w:t>
      </w:r>
      <w:r w:rsidR="00144C81" w:rsidRPr="00E509C8">
        <w:t>temporary</w:t>
      </w:r>
      <w:r w:rsidRPr="00E509C8">
        <w:t xml:space="preserve"> resident a patient who is actively registered with a </w:t>
      </w:r>
      <w:r w:rsidR="00144C81" w:rsidRPr="00E509C8">
        <w:t>Special</w:t>
      </w:r>
      <w:r w:rsidRPr="00E509C8">
        <w:t xml:space="preserve"> Allocation Scheme (SAS).  Should a contractor become aware that a patient is </w:t>
      </w:r>
      <w:r w:rsidR="00144C81" w:rsidRPr="00E509C8">
        <w:t>registered</w:t>
      </w:r>
      <w:r w:rsidRPr="00E509C8">
        <w:t xml:space="preserve"> with a SAS</w:t>
      </w:r>
      <w:r w:rsidR="005501E0">
        <w:t xml:space="preserve">, the contractor </w:t>
      </w:r>
      <w:r w:rsidRPr="00E509C8">
        <w:t xml:space="preserve">should contact their local commissioner who may seeks to secure </w:t>
      </w:r>
      <w:r w:rsidR="005501E0">
        <w:t xml:space="preserve">temporary </w:t>
      </w:r>
      <w:r w:rsidRPr="00E509C8">
        <w:t>primary medical care for the patient with a local SAS.</w:t>
      </w:r>
    </w:p>
    <w:p w14:paraId="57EFE5C3" w14:textId="52760B4D" w:rsidR="00312C86" w:rsidRDefault="00312C86" w:rsidP="00B047B4"/>
    <w:p w14:paraId="6A173CCB" w14:textId="4B91DA2D" w:rsidR="00312C86" w:rsidRPr="00E509C8" w:rsidRDefault="00B71E89" w:rsidP="00312C86">
      <w:pPr>
        <w:pStyle w:val="Heading2"/>
      </w:pPr>
      <w:bookmarkStart w:id="502" w:name="_Toc95743423"/>
      <w:r>
        <w:t>Sensitive Patient Registrations</w:t>
      </w:r>
      <w:bookmarkEnd w:id="502"/>
    </w:p>
    <w:p w14:paraId="1FB106CB" w14:textId="1BCADAA9" w:rsidR="00312C86" w:rsidRDefault="00312C86" w:rsidP="00312C86">
      <w:pPr>
        <w:pStyle w:val="Heading3"/>
      </w:pPr>
      <w:r w:rsidRPr="00312C86">
        <w:t>GP Practices are required to work with PCSE and take actions on their clinical systems to ensure that the registration information for patients who undergo a change of identity</w:t>
      </w:r>
      <w:r>
        <w:t xml:space="preserve"> is accurate and up to date.  This is also the case for </w:t>
      </w:r>
      <w:r w:rsidRPr="00312C86">
        <w:t>adoption</w:t>
      </w:r>
      <w:r>
        <w:t>s</w:t>
      </w:r>
      <w:r w:rsidRPr="00312C86">
        <w:t>, gender transition</w:t>
      </w:r>
      <w:r>
        <w:t xml:space="preserve"> and patients in </w:t>
      </w:r>
      <w:r w:rsidRPr="00312C86">
        <w:t>witness protection schemes</w:t>
      </w:r>
      <w:r>
        <w:t xml:space="preserve">. </w:t>
      </w:r>
      <w:r w:rsidRPr="00312C86">
        <w:t xml:space="preserve"> </w:t>
      </w:r>
      <w:r>
        <w:t xml:space="preserve">This ensures data is </w:t>
      </w:r>
      <w:r w:rsidRPr="00312C86">
        <w:t>kept up to date and held in line with Information Governance requirements on national demographics systems</w:t>
      </w:r>
      <w:r>
        <w:t>.</w:t>
      </w:r>
    </w:p>
    <w:p w14:paraId="1F0A084E" w14:textId="12CA1E24" w:rsidR="00DB11FA" w:rsidRDefault="00312C86" w:rsidP="00912FE4">
      <w:pPr>
        <w:pStyle w:val="Heading3"/>
        <w:rPr>
          <w:lang w:val="en-US"/>
        </w:rPr>
      </w:pPr>
      <w:r>
        <w:t xml:space="preserve">Commissioners must also work with PCSE </w:t>
      </w:r>
      <w:r w:rsidR="00BF6158">
        <w:t xml:space="preserve">in relation to managing escalations where there are potential blockages or delays in </w:t>
      </w:r>
      <w:r w:rsidR="00B71E89">
        <w:t xml:space="preserve">practices </w:t>
      </w:r>
      <w:r w:rsidR="00BF6158">
        <w:t>responding to PCSE requests.</w:t>
      </w:r>
      <w:bookmarkStart w:id="503" w:name="_Toc468365163"/>
      <w:r w:rsidR="00912FE4">
        <w:rPr>
          <w:lang w:val="en-US"/>
        </w:rPr>
        <w:t xml:space="preserve"> </w:t>
      </w:r>
    </w:p>
    <w:p w14:paraId="6EF30D63" w14:textId="77777777" w:rsidR="00096561" w:rsidRPr="00096561" w:rsidRDefault="00096561" w:rsidP="00096561">
      <w:pPr>
        <w:rPr>
          <w:lang w:val="en-US"/>
        </w:rPr>
      </w:pPr>
    </w:p>
    <w:p w14:paraId="5EED5793" w14:textId="522FE752" w:rsidR="00DB11FA" w:rsidRPr="00C40453" w:rsidRDefault="00DB11FA" w:rsidP="00DB11FA">
      <w:pPr>
        <w:pStyle w:val="Heading2"/>
      </w:pPr>
      <w:bookmarkStart w:id="504" w:name="_Toc488146116"/>
      <w:bookmarkStart w:id="505" w:name="_Toc95743424"/>
      <w:r>
        <w:rPr>
          <w:lang w:val="en-US"/>
        </w:rPr>
        <w:t>Appendix A</w:t>
      </w:r>
      <w:r w:rsidRPr="00C40453">
        <w:rPr>
          <w:lang w:val="en-US"/>
        </w:rPr>
        <w:t>;</w:t>
      </w:r>
      <w:r w:rsidRPr="00C40453">
        <w:rPr>
          <w:rFonts w:asciiTheme="minorHAnsi" w:eastAsiaTheme="minorHAnsi" w:hAnsiTheme="minorHAnsi" w:cstheme="minorBidi"/>
          <w:sz w:val="22"/>
          <w:szCs w:val="22"/>
        </w:rPr>
        <w:t xml:space="preserve"> </w:t>
      </w:r>
      <w:r w:rsidRPr="00C40453">
        <w:t>Draft Framework for a Memorandum of Understanding between GP Practice and Private provider (MH facility)</w:t>
      </w:r>
      <w:bookmarkEnd w:id="503"/>
      <w:bookmarkEnd w:id="504"/>
      <w:bookmarkEnd w:id="505"/>
    </w:p>
    <w:p w14:paraId="5F93A05E" w14:textId="77777777" w:rsidR="007E5544" w:rsidRPr="00420DAA" w:rsidRDefault="007E5544" w:rsidP="00420DAA"/>
    <w:bookmarkStart w:id="506" w:name="_1570171814"/>
    <w:bookmarkEnd w:id="506"/>
    <w:p w14:paraId="3591767C" w14:textId="0D8032E7" w:rsidR="004B57CD" w:rsidRPr="00096561" w:rsidRDefault="002306F3" w:rsidP="006C3DF5">
      <w:pPr>
        <w:pStyle w:val="ListParagraph"/>
        <w:numPr>
          <w:ilvl w:val="0"/>
          <w:numId w:val="119"/>
        </w:numPr>
        <w:rPr>
          <w:rStyle w:val="Hyperlink"/>
          <w:color w:val="auto"/>
          <w:u w:val="none"/>
        </w:rPr>
      </w:pPr>
      <w:r>
        <w:fldChar w:fldCharType="begin"/>
      </w:r>
      <w:r>
        <w:instrText xml:space="preserve"> HYPERLINK "https://www.england.nhs.uk/publication/primary-medical-care-policy-and-guidance-manual-requesting-documentary-information-from-patients-annexes/" </w:instrText>
      </w:r>
      <w:r>
        <w:fldChar w:fldCharType="separate"/>
      </w:r>
      <w:r w:rsidR="004B57CD" w:rsidRPr="004245F2">
        <w:rPr>
          <w:rStyle w:val="Hyperlink"/>
        </w:rPr>
        <w:t>Framework for a Memorandum of Understanding between GP Practice and Private provider (MH facility)</w:t>
      </w:r>
      <w:r>
        <w:rPr>
          <w:rStyle w:val="Hyperlink"/>
        </w:rPr>
        <w:fldChar w:fldCharType="end"/>
      </w:r>
    </w:p>
    <w:p w14:paraId="0A2D8E32" w14:textId="45759571" w:rsidR="00096561" w:rsidRDefault="00096561" w:rsidP="00096561"/>
    <w:p w14:paraId="4AF2DD9A" w14:textId="092D8AE6" w:rsidR="00096561" w:rsidRDefault="00096561" w:rsidP="00096561"/>
    <w:p w14:paraId="333650C7" w14:textId="000F1B82" w:rsidR="00A83A07" w:rsidRDefault="00A83A07" w:rsidP="00096561"/>
    <w:p w14:paraId="5E9F05F1" w14:textId="5DAE6EE2" w:rsidR="00A83A07" w:rsidRDefault="00A83A07" w:rsidP="00096561"/>
    <w:p w14:paraId="07E0AD58" w14:textId="14B567B0" w:rsidR="00A83A07" w:rsidRDefault="00A83A07" w:rsidP="00096561"/>
    <w:p w14:paraId="0E578C81" w14:textId="77777777" w:rsidR="00A83A07" w:rsidRPr="004B57CD" w:rsidRDefault="00A83A07" w:rsidP="00096561"/>
    <w:p w14:paraId="098FF5BA" w14:textId="072756B6" w:rsidR="00DB11FA" w:rsidRPr="002306F3" w:rsidRDefault="00DB11FA" w:rsidP="00420DAA">
      <w:pPr>
        <w:rPr>
          <w:b/>
        </w:rPr>
      </w:pPr>
      <w:bookmarkStart w:id="507" w:name="_Toc488146121"/>
      <w:r w:rsidRPr="002306F3">
        <w:rPr>
          <w:b/>
          <w:lang w:val="en-US"/>
        </w:rPr>
        <w:t xml:space="preserve">Appendix </w:t>
      </w:r>
      <w:bookmarkStart w:id="508" w:name="_Toc488146122"/>
      <w:bookmarkEnd w:id="507"/>
      <w:r w:rsidR="00BC5F9C" w:rsidRPr="002306F3">
        <w:rPr>
          <w:b/>
          <w:lang w:val="en-US"/>
        </w:rPr>
        <w:t>B</w:t>
      </w:r>
      <w:r w:rsidR="00BC5F9C" w:rsidRPr="002306F3">
        <w:rPr>
          <w:b/>
        </w:rPr>
        <w:t xml:space="preserve"> Regulation</w:t>
      </w:r>
      <w:r w:rsidRPr="002306F3">
        <w:rPr>
          <w:b/>
        </w:rPr>
        <w:t xml:space="preserve"> 15 of the GMS Regulations (2015)</w:t>
      </w:r>
      <w:bookmarkEnd w:id="508"/>
    </w:p>
    <w:p w14:paraId="72D2861B" w14:textId="77777777" w:rsidR="00DB11FA" w:rsidRPr="00E56103" w:rsidRDefault="00DB11FA" w:rsidP="00DB11FA"/>
    <w:p w14:paraId="116FBA17" w14:textId="77777777" w:rsidR="00DB11FA" w:rsidRPr="00FE50DF" w:rsidRDefault="00DB11FA" w:rsidP="00A553BA">
      <w:r w:rsidRPr="00FE50DF">
        <w:t>Essential services</w:t>
      </w:r>
    </w:p>
    <w:p w14:paraId="0642B6A3" w14:textId="77777777" w:rsidR="00DB11FA" w:rsidRPr="00FE50DF" w:rsidRDefault="00DB11FA" w:rsidP="00DB11FA">
      <w:pPr>
        <w:shd w:val="clear" w:color="auto" w:fill="FFFFFF"/>
        <w:spacing w:after="120" w:line="360" w:lineRule="atLeast"/>
        <w:ind w:firstLine="240"/>
        <w:jc w:val="both"/>
        <w:rPr>
          <w:rFonts w:cs="Arial"/>
          <w:szCs w:val="24"/>
        </w:rPr>
      </w:pPr>
      <w:r w:rsidRPr="000D05DA">
        <w:t>17.—(1) Subject to paragraph (2), for the purposes of section 85(1) of the Act</w:t>
      </w:r>
      <w:r w:rsidRPr="00FE50DF">
        <w:rPr>
          <w:rFonts w:cs="Arial"/>
          <w:szCs w:val="24"/>
        </w:rPr>
        <w:t xml:space="preserve"> (requirement to provide certain medical services), the services which must be provided under a contract (“essential services”) are the services described in paragraphs (4), (6), (7) and (9). </w:t>
      </w:r>
    </w:p>
    <w:p w14:paraId="48653A1F" w14:textId="77777777" w:rsidR="00DB11FA" w:rsidRPr="00FE50DF" w:rsidRDefault="00DB11FA" w:rsidP="00DB11FA">
      <w:pPr>
        <w:shd w:val="clear" w:color="auto" w:fill="FFFFFF"/>
        <w:spacing w:after="120" w:line="360" w:lineRule="atLeast"/>
        <w:ind w:firstLine="240"/>
        <w:jc w:val="both"/>
        <w:rPr>
          <w:rFonts w:cs="Arial"/>
          <w:szCs w:val="24"/>
        </w:rPr>
      </w:pPr>
      <w:r w:rsidRPr="00FE50DF">
        <w:rPr>
          <w:rFonts w:cs="Arial"/>
          <w:szCs w:val="24"/>
        </w:rPr>
        <w:t>(2) Essential services are not required to be provided by the contractor during any period in respect of which the Care Quality Commission has suspended the contractor as a service provider under section 18 of the Health and Social Care Act 2008(</w:t>
      </w:r>
      <w:hyperlink r:id="rId84" w:anchor="f00087" w:tooltip="Go to footnote 87" w:history="1">
        <w:r w:rsidRPr="00FE50DF">
          <w:rPr>
            <w:rFonts w:cs="Arial"/>
            <w:szCs w:val="24"/>
          </w:rPr>
          <w:t>87</w:t>
        </w:r>
      </w:hyperlink>
      <w:r w:rsidRPr="00FE50DF">
        <w:rPr>
          <w:rFonts w:cs="Arial"/>
          <w:szCs w:val="24"/>
        </w:rPr>
        <w:t xml:space="preserve">) (suspension of registration). </w:t>
      </w:r>
    </w:p>
    <w:p w14:paraId="6E7385DC" w14:textId="77777777" w:rsidR="00DB11FA" w:rsidRPr="00FE50DF" w:rsidRDefault="00DB11FA" w:rsidP="00DB11FA">
      <w:pPr>
        <w:shd w:val="clear" w:color="auto" w:fill="FFFFFF"/>
        <w:spacing w:after="120" w:line="360" w:lineRule="atLeast"/>
        <w:ind w:firstLine="240"/>
        <w:jc w:val="both"/>
        <w:rPr>
          <w:rFonts w:cs="Arial"/>
          <w:szCs w:val="24"/>
        </w:rPr>
      </w:pPr>
      <w:r w:rsidRPr="00FE50DF">
        <w:rPr>
          <w:rFonts w:cs="Arial"/>
          <w:szCs w:val="24"/>
        </w:rPr>
        <w:t xml:space="preserve">(3) Subject to regulation 20(2)(b) and (c), a contractor must provide the services described in paragraphs (4) and (6) throughout the core hours. </w:t>
      </w:r>
    </w:p>
    <w:p w14:paraId="60E33784" w14:textId="77777777" w:rsidR="00DB11FA" w:rsidRPr="00FE50DF" w:rsidRDefault="00DB11FA" w:rsidP="00DB11FA">
      <w:pPr>
        <w:shd w:val="clear" w:color="auto" w:fill="FFFFFF"/>
        <w:spacing w:after="120" w:line="360" w:lineRule="atLeast"/>
        <w:ind w:firstLine="240"/>
        <w:jc w:val="both"/>
        <w:rPr>
          <w:rFonts w:cs="Arial"/>
          <w:szCs w:val="24"/>
        </w:rPr>
      </w:pPr>
      <w:r w:rsidRPr="00FE50DF">
        <w:rPr>
          <w:rFonts w:cs="Arial"/>
          <w:szCs w:val="24"/>
        </w:rPr>
        <w:t xml:space="preserve">(4) The services described in this paragraph are services required for the management of a contractor’s registered patients and temporary residents who are, or believe themselves to be— </w:t>
      </w:r>
    </w:p>
    <w:p w14:paraId="07D5A0B1" w14:textId="77777777" w:rsidR="00DB11FA" w:rsidRPr="00FE50DF" w:rsidRDefault="00DB11FA" w:rsidP="00DB11FA">
      <w:pPr>
        <w:shd w:val="clear" w:color="auto" w:fill="FFFFFF"/>
        <w:spacing w:after="120" w:line="360" w:lineRule="atLeast"/>
        <w:rPr>
          <w:rFonts w:cs="Arial"/>
          <w:szCs w:val="24"/>
        </w:rPr>
      </w:pPr>
      <w:r w:rsidRPr="00FE50DF">
        <w:rPr>
          <w:rFonts w:cs="Arial"/>
          <w:szCs w:val="24"/>
        </w:rPr>
        <w:t>(a)ill, with conditions from which recovery is generally expected;</w:t>
      </w:r>
    </w:p>
    <w:p w14:paraId="298262B2" w14:textId="77777777" w:rsidR="00DB11FA" w:rsidRPr="00FE50DF" w:rsidRDefault="00DB11FA" w:rsidP="00DB11FA">
      <w:pPr>
        <w:shd w:val="clear" w:color="auto" w:fill="FFFFFF"/>
        <w:spacing w:after="120" w:line="360" w:lineRule="atLeast"/>
        <w:rPr>
          <w:rFonts w:cs="Arial"/>
          <w:szCs w:val="24"/>
        </w:rPr>
      </w:pPr>
      <w:r w:rsidRPr="00FE50DF">
        <w:rPr>
          <w:rFonts w:cs="Arial"/>
          <w:szCs w:val="24"/>
        </w:rPr>
        <w:t>(b)terminally ill; or</w:t>
      </w:r>
    </w:p>
    <w:p w14:paraId="0A110994" w14:textId="77777777" w:rsidR="00DB11FA" w:rsidRPr="00FE50DF" w:rsidRDefault="00DB11FA" w:rsidP="00DB11FA">
      <w:pPr>
        <w:shd w:val="clear" w:color="auto" w:fill="FFFFFF"/>
        <w:spacing w:after="120" w:line="360" w:lineRule="atLeast"/>
        <w:rPr>
          <w:rFonts w:cs="Arial"/>
          <w:szCs w:val="24"/>
        </w:rPr>
      </w:pPr>
      <w:r w:rsidRPr="00FE50DF">
        <w:rPr>
          <w:rFonts w:cs="Arial"/>
          <w:szCs w:val="24"/>
        </w:rPr>
        <w:t>(c)suffering from chronic disease,</w:t>
      </w:r>
    </w:p>
    <w:p w14:paraId="4AA92E1C" w14:textId="77777777" w:rsidR="00DB11FA" w:rsidRPr="00FE50DF" w:rsidRDefault="00DB11FA" w:rsidP="00DB11FA">
      <w:pPr>
        <w:shd w:val="clear" w:color="auto" w:fill="FFFFFF"/>
        <w:spacing w:after="120" w:line="360" w:lineRule="atLeast"/>
        <w:jc w:val="both"/>
        <w:rPr>
          <w:rFonts w:cs="Arial"/>
          <w:szCs w:val="24"/>
        </w:rPr>
      </w:pPr>
      <w:r w:rsidRPr="00FE50DF">
        <w:rPr>
          <w:rFonts w:cs="Arial"/>
          <w:szCs w:val="24"/>
        </w:rPr>
        <w:t xml:space="preserve">which are delivered in the manner determined by the contractor’s practice in discussion with the patient. </w:t>
      </w:r>
    </w:p>
    <w:p w14:paraId="575ABC9D" w14:textId="77777777" w:rsidR="00DB11FA" w:rsidRPr="00FE50DF" w:rsidRDefault="00DB11FA" w:rsidP="00DB11FA">
      <w:pPr>
        <w:shd w:val="clear" w:color="auto" w:fill="FFFFFF"/>
        <w:spacing w:after="120" w:line="360" w:lineRule="atLeast"/>
        <w:ind w:firstLine="240"/>
        <w:jc w:val="both"/>
        <w:rPr>
          <w:rFonts w:cs="Arial"/>
          <w:szCs w:val="24"/>
        </w:rPr>
      </w:pPr>
      <w:r w:rsidRPr="00FE50DF">
        <w:rPr>
          <w:rFonts w:cs="Arial"/>
          <w:szCs w:val="24"/>
        </w:rPr>
        <w:t xml:space="preserve">(5) For the purposes of paragraph (4)— </w:t>
      </w:r>
    </w:p>
    <w:p w14:paraId="4F02C813" w14:textId="77777777" w:rsidR="00DB11FA" w:rsidRPr="00FE50DF" w:rsidRDefault="00DB11FA" w:rsidP="00DB11FA">
      <w:pPr>
        <w:shd w:val="clear" w:color="auto" w:fill="FFFFFF"/>
        <w:spacing w:after="120" w:line="360" w:lineRule="atLeast"/>
        <w:jc w:val="both"/>
        <w:rPr>
          <w:rFonts w:cs="Arial"/>
          <w:szCs w:val="24"/>
        </w:rPr>
      </w:pPr>
      <w:r w:rsidRPr="00FE50DF">
        <w:rPr>
          <w:rFonts w:cs="Arial"/>
          <w:szCs w:val="24"/>
        </w:rPr>
        <w:t>“disease” means a disease included in the list of three-character categories contained in the tenth revision of the International Statistical Classification of Diseases and Related Health Problems(</w:t>
      </w:r>
      <w:hyperlink r:id="rId85" w:anchor="f00088" w:tooltip="Go to footnote 88" w:history="1">
        <w:r w:rsidRPr="00FE50DF">
          <w:rPr>
            <w:rFonts w:cs="Arial"/>
            <w:szCs w:val="24"/>
          </w:rPr>
          <w:t>88</w:t>
        </w:r>
      </w:hyperlink>
      <w:r w:rsidRPr="00FE50DF">
        <w:rPr>
          <w:rFonts w:cs="Arial"/>
          <w:szCs w:val="24"/>
        </w:rPr>
        <w:t xml:space="preserve">); and </w:t>
      </w:r>
    </w:p>
    <w:p w14:paraId="38C2501A" w14:textId="77777777" w:rsidR="00DB11FA" w:rsidRPr="00FE50DF" w:rsidRDefault="00DB11FA" w:rsidP="00DB11FA">
      <w:pPr>
        <w:shd w:val="clear" w:color="auto" w:fill="FFFFFF"/>
        <w:spacing w:after="120" w:line="360" w:lineRule="atLeast"/>
        <w:jc w:val="both"/>
        <w:rPr>
          <w:rFonts w:cs="Arial"/>
          <w:szCs w:val="24"/>
        </w:rPr>
      </w:pPr>
      <w:r w:rsidRPr="00FE50DF">
        <w:rPr>
          <w:rFonts w:cs="Arial"/>
          <w:szCs w:val="24"/>
        </w:rPr>
        <w:t xml:space="preserve">“management” includes— </w:t>
      </w:r>
    </w:p>
    <w:p w14:paraId="221F5595" w14:textId="154690E2" w:rsidR="00DB11FA" w:rsidRPr="00FE50DF" w:rsidRDefault="00DB11FA" w:rsidP="000D05DA">
      <w:pPr>
        <w:shd w:val="clear" w:color="auto" w:fill="FFFFFF"/>
        <w:spacing w:before="120" w:after="120" w:line="360" w:lineRule="auto"/>
        <w:rPr>
          <w:rFonts w:cs="Arial"/>
          <w:szCs w:val="24"/>
        </w:rPr>
      </w:pPr>
      <w:r w:rsidRPr="00FE50DF">
        <w:rPr>
          <w:rFonts w:cs="Arial"/>
          <w:szCs w:val="24"/>
        </w:rPr>
        <w:t>(a)</w:t>
      </w:r>
      <w:r w:rsidR="000D05DA">
        <w:rPr>
          <w:rFonts w:cs="Arial"/>
          <w:szCs w:val="24"/>
        </w:rPr>
        <w:t xml:space="preserve"> </w:t>
      </w:r>
      <w:r w:rsidRPr="00FE50DF">
        <w:rPr>
          <w:rFonts w:cs="Arial"/>
          <w:szCs w:val="24"/>
        </w:rPr>
        <w:t xml:space="preserve">offering consultation and, where appropriate, physical examination for the purposes of identifying the need, if any, for treatment or further investigation; and </w:t>
      </w:r>
    </w:p>
    <w:p w14:paraId="030B5F6C" w14:textId="4F30E6FE" w:rsidR="00DB11FA" w:rsidRPr="00FE50DF" w:rsidRDefault="00DB11FA" w:rsidP="000D05DA">
      <w:pPr>
        <w:shd w:val="clear" w:color="auto" w:fill="FFFFFF"/>
        <w:spacing w:before="120" w:after="120" w:line="360" w:lineRule="auto"/>
        <w:rPr>
          <w:rFonts w:cs="Arial"/>
          <w:szCs w:val="24"/>
        </w:rPr>
      </w:pPr>
      <w:r w:rsidRPr="00FE50DF">
        <w:rPr>
          <w:rFonts w:cs="Arial"/>
          <w:szCs w:val="24"/>
        </w:rPr>
        <w:t>(b)</w:t>
      </w:r>
      <w:r w:rsidR="000D05DA">
        <w:rPr>
          <w:rFonts w:cs="Arial"/>
          <w:szCs w:val="24"/>
        </w:rPr>
        <w:t xml:space="preserve"> </w:t>
      </w:r>
      <w:r w:rsidRPr="00FE50DF">
        <w:rPr>
          <w:rFonts w:cs="Arial"/>
          <w:szCs w:val="24"/>
        </w:rPr>
        <w:t xml:space="preserve">making available such treatment or further investigation as is necessary and appropriate, including the referral of the patient for other services under the Act and liaison with other health care professionals involved in the patient’s treatment and care. </w:t>
      </w:r>
    </w:p>
    <w:p w14:paraId="66586230" w14:textId="77777777" w:rsidR="00DB11FA" w:rsidRPr="00FE50DF" w:rsidRDefault="00DB11FA" w:rsidP="00DB11FA">
      <w:pPr>
        <w:shd w:val="clear" w:color="auto" w:fill="FFFFFF"/>
        <w:spacing w:after="120" w:line="360" w:lineRule="atLeast"/>
        <w:ind w:firstLine="240"/>
        <w:jc w:val="both"/>
        <w:rPr>
          <w:rFonts w:cs="Arial"/>
          <w:szCs w:val="24"/>
        </w:rPr>
      </w:pPr>
      <w:r w:rsidRPr="00FE50DF">
        <w:rPr>
          <w:rFonts w:cs="Arial"/>
          <w:szCs w:val="24"/>
        </w:rPr>
        <w:t xml:space="preserve">(6) The services described in this paragraph are the provision of appropriate ongoing treatment and care to all of the contractor’s registered patients and temporary residents taking account of their specific needs including— </w:t>
      </w:r>
    </w:p>
    <w:p w14:paraId="67BBAEDE" w14:textId="77777777" w:rsidR="00DB11FA" w:rsidRPr="00FE50DF" w:rsidRDefault="00DB11FA" w:rsidP="00DB11FA">
      <w:pPr>
        <w:shd w:val="clear" w:color="auto" w:fill="FFFFFF"/>
        <w:spacing w:after="120" w:line="360" w:lineRule="atLeast"/>
        <w:rPr>
          <w:rFonts w:cs="Arial"/>
          <w:szCs w:val="24"/>
        </w:rPr>
      </w:pPr>
      <w:r w:rsidRPr="00FE50DF">
        <w:rPr>
          <w:rFonts w:cs="Arial"/>
          <w:szCs w:val="24"/>
        </w:rPr>
        <w:t>(a)advice in connection with the patient’s health and relevant health promotion advice; and</w:t>
      </w:r>
    </w:p>
    <w:p w14:paraId="26306CEA" w14:textId="77777777" w:rsidR="00DB11FA" w:rsidRPr="00FE50DF" w:rsidRDefault="00DB11FA" w:rsidP="00DB11FA">
      <w:pPr>
        <w:shd w:val="clear" w:color="auto" w:fill="FFFFFF"/>
        <w:spacing w:after="120" w:line="360" w:lineRule="atLeast"/>
        <w:rPr>
          <w:rFonts w:cs="Arial"/>
          <w:szCs w:val="24"/>
        </w:rPr>
      </w:pPr>
      <w:r w:rsidRPr="00FE50DF">
        <w:rPr>
          <w:rFonts w:cs="Arial"/>
          <w:szCs w:val="24"/>
        </w:rPr>
        <w:t>(b)the referral of a patient for other services under the Act.</w:t>
      </w:r>
    </w:p>
    <w:p w14:paraId="2ACF26EC" w14:textId="77777777" w:rsidR="00DB11FA" w:rsidRPr="00FE50DF" w:rsidRDefault="00DB11FA" w:rsidP="00DB11FA">
      <w:pPr>
        <w:shd w:val="clear" w:color="auto" w:fill="FFFFFF"/>
        <w:spacing w:after="120" w:line="360" w:lineRule="atLeast"/>
        <w:ind w:firstLine="240"/>
        <w:jc w:val="both"/>
        <w:rPr>
          <w:rFonts w:cs="Arial"/>
          <w:szCs w:val="24"/>
        </w:rPr>
      </w:pPr>
      <w:r w:rsidRPr="00FE50DF">
        <w:rPr>
          <w:rFonts w:cs="Arial"/>
          <w:szCs w:val="24"/>
        </w:rPr>
        <w:t xml:space="preserve">(7) A contractor must provide primary medical services required in core hours for the immediately necessary treatment of any person to whom the contractor has been requested to provide treatment owing to an accident or emergency at any place in the contractor’s practice area. </w:t>
      </w:r>
    </w:p>
    <w:p w14:paraId="6815045F" w14:textId="77777777" w:rsidR="00DB11FA" w:rsidRPr="00FE50DF" w:rsidRDefault="00DB11FA" w:rsidP="00DB11FA">
      <w:pPr>
        <w:shd w:val="clear" w:color="auto" w:fill="FFFFFF"/>
        <w:spacing w:after="120" w:line="360" w:lineRule="atLeast"/>
        <w:ind w:firstLine="240"/>
        <w:jc w:val="both"/>
        <w:rPr>
          <w:rFonts w:cs="Arial"/>
          <w:szCs w:val="24"/>
        </w:rPr>
      </w:pPr>
      <w:r w:rsidRPr="00FE50DF">
        <w:rPr>
          <w:rFonts w:cs="Arial"/>
          <w:szCs w:val="24"/>
        </w:rPr>
        <w:t xml:space="preserve">(8) In paragraph (7), “emergency” includes any medical emergency whether or not related to services provided under the contract. </w:t>
      </w:r>
    </w:p>
    <w:p w14:paraId="0955AC26" w14:textId="77777777" w:rsidR="00DB11FA" w:rsidRPr="00FE50DF" w:rsidRDefault="00DB11FA" w:rsidP="00DB11FA">
      <w:pPr>
        <w:shd w:val="clear" w:color="auto" w:fill="FFFFFF"/>
        <w:spacing w:after="120" w:line="360" w:lineRule="atLeast"/>
        <w:ind w:firstLine="240"/>
        <w:jc w:val="both"/>
        <w:rPr>
          <w:rFonts w:cs="Arial"/>
          <w:szCs w:val="24"/>
        </w:rPr>
      </w:pPr>
      <w:r w:rsidRPr="00FE50DF">
        <w:rPr>
          <w:rFonts w:cs="Arial"/>
          <w:szCs w:val="24"/>
        </w:rPr>
        <w:t xml:space="preserve">(9) A contractor must provide primary medical services required in core hours for the immediately necessary treatment of any person to whom paragraph (10) applies who requests such treatment for the period specified in paragraph (11). </w:t>
      </w:r>
    </w:p>
    <w:p w14:paraId="36B9D60B" w14:textId="77777777" w:rsidR="00DB11FA" w:rsidRPr="00FE50DF" w:rsidRDefault="00DB11FA" w:rsidP="00DB11FA">
      <w:pPr>
        <w:shd w:val="clear" w:color="auto" w:fill="FFFFFF"/>
        <w:spacing w:after="120" w:line="360" w:lineRule="atLeast"/>
        <w:ind w:firstLine="240"/>
        <w:jc w:val="both"/>
        <w:rPr>
          <w:rFonts w:cs="Arial"/>
          <w:szCs w:val="24"/>
        </w:rPr>
      </w:pPr>
      <w:r w:rsidRPr="00FE50DF">
        <w:rPr>
          <w:rFonts w:cs="Arial"/>
          <w:szCs w:val="24"/>
        </w:rPr>
        <w:t xml:space="preserve">(10) This paragraph applies to a person if— </w:t>
      </w:r>
    </w:p>
    <w:p w14:paraId="12552C3B" w14:textId="77777777" w:rsidR="00DB11FA" w:rsidRPr="00FE50DF" w:rsidRDefault="00DB11FA" w:rsidP="00DB11FA">
      <w:pPr>
        <w:shd w:val="clear" w:color="auto" w:fill="FFFFFF"/>
        <w:spacing w:after="120" w:line="360" w:lineRule="atLeast"/>
        <w:rPr>
          <w:rFonts w:cs="Arial"/>
          <w:szCs w:val="24"/>
        </w:rPr>
      </w:pPr>
      <w:r w:rsidRPr="00FE50DF">
        <w:rPr>
          <w:rFonts w:cs="Arial"/>
          <w:szCs w:val="24"/>
        </w:rPr>
        <w:t>(a)that person’s application for inclusion in the contractor’s list of patients has been refused in accordance with paragraph 21 of Schedule 3, and that person is not registered with another provider of essential services (or their equivalent);</w:t>
      </w:r>
    </w:p>
    <w:p w14:paraId="688E8ACE" w14:textId="77777777" w:rsidR="00DB11FA" w:rsidRPr="00FE50DF" w:rsidRDefault="00DB11FA" w:rsidP="00DB11FA">
      <w:pPr>
        <w:shd w:val="clear" w:color="auto" w:fill="FFFFFF"/>
        <w:spacing w:after="120" w:line="360" w:lineRule="atLeast"/>
        <w:rPr>
          <w:rFonts w:cs="Arial"/>
          <w:szCs w:val="24"/>
        </w:rPr>
      </w:pPr>
      <w:r w:rsidRPr="00FE50DF">
        <w:rPr>
          <w:rFonts w:cs="Arial"/>
          <w:szCs w:val="24"/>
        </w:rPr>
        <w:t>(b)that person’s application for acceptance as a temporary resident has been refused under paragraph 21 of Schedule 3; or</w:t>
      </w:r>
    </w:p>
    <w:p w14:paraId="3F6FE397" w14:textId="77777777" w:rsidR="00DB11FA" w:rsidRPr="00FE50DF" w:rsidRDefault="00DB11FA" w:rsidP="00DB11FA">
      <w:pPr>
        <w:shd w:val="clear" w:color="auto" w:fill="FFFFFF"/>
        <w:spacing w:after="120" w:line="360" w:lineRule="atLeast"/>
        <w:rPr>
          <w:rFonts w:cs="Arial"/>
          <w:szCs w:val="24"/>
        </w:rPr>
      </w:pPr>
      <w:r w:rsidRPr="00FE50DF">
        <w:rPr>
          <w:rFonts w:cs="Arial"/>
          <w:szCs w:val="24"/>
        </w:rPr>
        <w:t>(c)that person is present in the contractor’s practice area for a period of less than 24 hours.</w:t>
      </w:r>
    </w:p>
    <w:p w14:paraId="427B0121" w14:textId="77777777" w:rsidR="00DB11FA" w:rsidRPr="00FE50DF" w:rsidRDefault="00DB11FA" w:rsidP="00DB11FA">
      <w:pPr>
        <w:shd w:val="clear" w:color="auto" w:fill="FFFFFF"/>
        <w:spacing w:after="120" w:line="360" w:lineRule="atLeast"/>
        <w:ind w:firstLine="240"/>
        <w:jc w:val="both"/>
        <w:rPr>
          <w:rFonts w:cs="Arial"/>
          <w:szCs w:val="24"/>
        </w:rPr>
      </w:pPr>
      <w:r w:rsidRPr="00FE50DF">
        <w:rPr>
          <w:rFonts w:cs="Arial"/>
          <w:szCs w:val="24"/>
        </w:rPr>
        <w:t xml:space="preserve">(11) The period specified in this paragraph is, in the case of a person to whom— </w:t>
      </w:r>
    </w:p>
    <w:p w14:paraId="03E730B3" w14:textId="77777777" w:rsidR="00DB11FA" w:rsidRPr="00FE50DF" w:rsidRDefault="00DB11FA" w:rsidP="00DB11FA">
      <w:pPr>
        <w:shd w:val="clear" w:color="auto" w:fill="FFFFFF"/>
        <w:spacing w:after="120" w:line="360" w:lineRule="atLeast"/>
        <w:rPr>
          <w:rFonts w:cs="Arial"/>
          <w:szCs w:val="24"/>
        </w:rPr>
      </w:pPr>
      <w:r w:rsidRPr="00FE50DF">
        <w:rPr>
          <w:rFonts w:cs="Arial"/>
          <w:szCs w:val="24"/>
        </w:rPr>
        <w:t>(a)paragraph (10)(a) applies, 14 days beginning with the date on which that person’s application was refused or until that person has been subsequently registered elsewhere for the provision of essential services (or their equivalent), whichever occurs first;</w:t>
      </w:r>
    </w:p>
    <w:p w14:paraId="5743F11B" w14:textId="77777777" w:rsidR="00DB11FA" w:rsidRPr="00FE50DF" w:rsidRDefault="00DB11FA" w:rsidP="00DB11FA">
      <w:pPr>
        <w:shd w:val="clear" w:color="auto" w:fill="FFFFFF"/>
        <w:spacing w:after="120" w:line="360" w:lineRule="atLeast"/>
        <w:rPr>
          <w:rFonts w:cs="Arial"/>
          <w:szCs w:val="24"/>
        </w:rPr>
      </w:pPr>
      <w:r w:rsidRPr="00FE50DF">
        <w:rPr>
          <w:rFonts w:cs="Arial"/>
          <w:szCs w:val="24"/>
        </w:rPr>
        <w:t>(b)paragraph (10)(b) applies, 14 days beginning with the date on which that person’s application was rejected or until that person has been subsequently accepted elsewhere as a temporary resident, whichever occurs first; or</w:t>
      </w:r>
    </w:p>
    <w:p w14:paraId="729F8D07" w14:textId="5C753A80" w:rsidR="00DB11FA" w:rsidRPr="002306F3" w:rsidRDefault="00DB11FA" w:rsidP="004B57CD">
      <w:pPr>
        <w:shd w:val="clear" w:color="auto" w:fill="FFFFFF"/>
        <w:spacing w:after="120" w:line="360" w:lineRule="atLeast"/>
        <w:rPr>
          <w:b/>
        </w:rPr>
      </w:pPr>
      <w:r w:rsidRPr="00FE50DF">
        <w:rPr>
          <w:rFonts w:cs="Arial"/>
          <w:szCs w:val="24"/>
        </w:rPr>
        <w:t>(c)paragraph (10)(c) applies, 24 hours or such shorter period as the person is present in the contractor’s practice area.</w:t>
      </w:r>
    </w:p>
    <w:p w14:paraId="7A49CFCF" w14:textId="77777777" w:rsidR="003D1FAF" w:rsidRPr="002306F3" w:rsidRDefault="003D1FAF" w:rsidP="002306F3">
      <w:pPr>
        <w:pStyle w:val="TableParagraph"/>
      </w:pPr>
    </w:p>
    <w:p w14:paraId="4A800426" w14:textId="0A6269D8" w:rsidR="0015247B" w:rsidRDefault="00B42132" w:rsidP="000D05DA">
      <w:pPr>
        <w:pStyle w:val="Heading1"/>
        <w:rPr>
          <w:lang w:eastAsia="en-GB"/>
        </w:rPr>
      </w:pPr>
      <w:r>
        <w:rPr>
          <w:lang w:eastAsia="en-GB"/>
        </w:rPr>
        <w:br w:type="page"/>
      </w:r>
      <w:bookmarkStart w:id="509" w:name="_Toc95743425"/>
      <w:r w:rsidR="0015247B">
        <w:rPr>
          <w:lang w:eastAsia="en-GB"/>
        </w:rPr>
        <w:t>Temporary suspension to patient registration</w:t>
      </w:r>
      <w:bookmarkEnd w:id="509"/>
    </w:p>
    <w:p w14:paraId="14F48D89" w14:textId="77777777" w:rsidR="0015247B" w:rsidRDefault="0015247B" w:rsidP="0015247B">
      <w:pPr>
        <w:rPr>
          <w:lang w:eastAsia="en-GB"/>
        </w:rPr>
      </w:pPr>
    </w:p>
    <w:p w14:paraId="25E8A8B0" w14:textId="795CF42F" w:rsidR="003D1FAF" w:rsidRPr="000D05DA" w:rsidRDefault="003D1FAF" w:rsidP="003D1FAF">
      <w:pPr>
        <w:pStyle w:val="Heading2"/>
        <w:rPr>
          <w:rFonts w:cs="Arial"/>
        </w:rPr>
      </w:pPr>
      <w:bookmarkStart w:id="510" w:name="_Toc95743426"/>
      <w:r w:rsidRPr="000D05DA">
        <w:rPr>
          <w:rFonts w:eastAsia="Arial"/>
        </w:rPr>
        <w:t>Formal List Closure</w:t>
      </w:r>
      <w:bookmarkEnd w:id="510"/>
    </w:p>
    <w:p w14:paraId="252D9F2C" w14:textId="44C1DAE4" w:rsidR="003D1FAF" w:rsidRPr="00CE0885" w:rsidRDefault="003D1FAF" w:rsidP="000D05DA">
      <w:pPr>
        <w:pStyle w:val="Heading3"/>
      </w:pPr>
      <w:r w:rsidRPr="000D05DA">
        <w:rPr>
          <w:rFonts w:eastAsia="Arial"/>
        </w:rPr>
        <w:t xml:space="preserve">The GMS and PMS contracts allow for a Practice to request permission from its commissioner to close its list to new patients (Paragraph </w:t>
      </w:r>
      <w:r w:rsidR="003164A9">
        <w:rPr>
          <w:rFonts w:eastAsia="Arial"/>
        </w:rPr>
        <w:t xml:space="preserve">33 </w:t>
      </w:r>
      <w:r w:rsidRPr="000D05DA">
        <w:rPr>
          <w:rFonts w:eastAsia="Arial"/>
        </w:rPr>
        <w:t xml:space="preserve"> of Schedule </w:t>
      </w:r>
      <w:r w:rsidR="003164A9">
        <w:rPr>
          <w:rFonts w:eastAsia="Arial"/>
        </w:rPr>
        <w:t>3</w:t>
      </w:r>
      <w:r w:rsidRPr="000D05DA">
        <w:rPr>
          <w:rFonts w:eastAsia="Arial"/>
        </w:rPr>
        <w:t xml:space="preserve">, Part 2 of the NHS (GMS Contracts) Regulations </w:t>
      </w:r>
      <w:r w:rsidR="003164A9">
        <w:rPr>
          <w:rFonts w:eastAsia="Arial"/>
        </w:rPr>
        <w:t>2015</w:t>
      </w:r>
      <w:r w:rsidRPr="000D05DA">
        <w:rPr>
          <w:rFonts w:eastAsia="Arial"/>
        </w:rPr>
        <w:t xml:space="preserve"> This option exists to give practices a degree of workload control over the management of their services, particularly when there is unusual and sustained demand from patients or in situations of workforce or recruitment difficulties that affect a practices ability to provide services to an acceptable and safe standard.</w:t>
      </w:r>
    </w:p>
    <w:p w14:paraId="52404AF5" w14:textId="7F545AF9" w:rsidR="003D1FAF" w:rsidRPr="00CE0885" w:rsidRDefault="003D1FAF" w:rsidP="000D05DA">
      <w:pPr>
        <w:pStyle w:val="Heading3"/>
      </w:pPr>
      <w:r w:rsidRPr="000D05DA">
        <w:rPr>
          <w:rFonts w:eastAsia="Arial"/>
        </w:rPr>
        <w:t>As the commissioner also has a duty to ensure the availability of primary care services for the resident population it has certain powers with regard to these requests including agreeing to the length of the closure and the conditions that would need to exist to trigger a re-opening of the list. The commissioner will also need to consider the availability of alternative provision for new patients and any impact on neighbouring practices. Following changes to the formal list closure process in 2012</w:t>
      </w:r>
      <w:r w:rsidR="00327EDA">
        <w:rPr>
          <w:rFonts w:eastAsia="Arial"/>
        </w:rPr>
        <w:t>,</w:t>
      </w:r>
      <w:r w:rsidRPr="000D05DA">
        <w:rPr>
          <w:rFonts w:eastAsia="Arial"/>
        </w:rPr>
        <w:t xml:space="preserve"> the commissioner does not have the power to halt practices’ delivery of additional and/or enhanced services as a means to reduce practice workload thereby keeping the patient list open. </w:t>
      </w:r>
      <w:r w:rsidR="00144C81" w:rsidRPr="000D05DA">
        <w:rPr>
          <w:rFonts w:eastAsia="Arial"/>
        </w:rPr>
        <w:t>Therefore,</w:t>
      </w:r>
      <w:r w:rsidRPr="000D05DA">
        <w:rPr>
          <w:rFonts w:eastAsia="Arial"/>
        </w:rPr>
        <w:t xml:space="preserve"> list closure no longer carries such financial consequences for the practice as it was once thought to have and allows practices to continue to deliver holistic care to registered patients.</w:t>
      </w:r>
    </w:p>
    <w:p w14:paraId="1771483D" w14:textId="4C6940B3" w:rsidR="003D1FAF" w:rsidRPr="000D05DA" w:rsidRDefault="003D1FAF" w:rsidP="003D1FAF">
      <w:pPr>
        <w:pStyle w:val="Heading3"/>
        <w:rPr>
          <w:rFonts w:cs="Arial"/>
        </w:rPr>
      </w:pPr>
      <w:r w:rsidRPr="000D05DA">
        <w:rPr>
          <w:rFonts w:eastAsia="Arial"/>
        </w:rPr>
        <w:t>When a practice does formally close its list, the requirement is to close between three and twelve months; not less than three months. An approved closure notice must specify  the time period.</w:t>
      </w:r>
    </w:p>
    <w:p w14:paraId="6FED1A62" w14:textId="77777777" w:rsidR="003D1FAF" w:rsidRPr="00CE0885" w:rsidRDefault="003D1FAF" w:rsidP="003D1FAF">
      <w:pPr>
        <w:spacing w:line="360" w:lineRule="auto"/>
        <w:rPr>
          <w:rFonts w:cs="Arial"/>
        </w:rPr>
      </w:pPr>
    </w:p>
    <w:p w14:paraId="761A13B7" w14:textId="71B28BEC" w:rsidR="003D1FAF" w:rsidRPr="00CE0885" w:rsidRDefault="003D1FAF" w:rsidP="000D05DA">
      <w:pPr>
        <w:pStyle w:val="Heading2"/>
        <w:rPr>
          <w:rFonts w:eastAsia="Arial"/>
        </w:rPr>
      </w:pPr>
      <w:bookmarkStart w:id="511" w:name="_Toc95743427"/>
      <w:r w:rsidRPr="00CE0885">
        <w:rPr>
          <w:rFonts w:eastAsia="Arial"/>
        </w:rPr>
        <w:t>‘Informal’ or ‘Temporary’ List closure</w:t>
      </w:r>
      <w:bookmarkEnd w:id="511"/>
    </w:p>
    <w:p w14:paraId="617345E5" w14:textId="77777777" w:rsidR="003D1FAF" w:rsidRPr="00CE0885" w:rsidRDefault="003D1FAF" w:rsidP="003D1FAF">
      <w:pPr>
        <w:spacing w:line="360" w:lineRule="auto"/>
        <w:rPr>
          <w:rFonts w:cs="Arial"/>
        </w:rPr>
      </w:pPr>
    </w:p>
    <w:p w14:paraId="16213845" w14:textId="380FB7BD" w:rsidR="003D1FAF" w:rsidRPr="00CE0885" w:rsidRDefault="003D1FAF" w:rsidP="000D05DA">
      <w:pPr>
        <w:pStyle w:val="Heading3"/>
      </w:pPr>
      <w:r w:rsidRPr="000D05DA">
        <w:rPr>
          <w:rFonts w:eastAsia="Arial"/>
        </w:rPr>
        <w:t xml:space="preserve">While the GMS and PMS contracts do not allow for a ‘temporary’ or ‘informal’ list closure they do allow for a practice to refuse individual patient applications for inclusion in a contractors list of patients providing there are reasonable non-discriminatory grounds to do so (paragraph </w:t>
      </w:r>
      <w:r w:rsidR="00867125">
        <w:rPr>
          <w:rFonts w:eastAsia="Arial"/>
        </w:rPr>
        <w:t>21</w:t>
      </w:r>
      <w:r w:rsidR="00867125" w:rsidRPr="000D05DA">
        <w:rPr>
          <w:rFonts w:eastAsia="Arial"/>
        </w:rPr>
        <w:t xml:space="preserve"> </w:t>
      </w:r>
      <w:r w:rsidRPr="000D05DA">
        <w:rPr>
          <w:rFonts w:eastAsia="Arial"/>
        </w:rPr>
        <w:t xml:space="preserve">of Part 2 of Schedule </w:t>
      </w:r>
      <w:r w:rsidR="00867125">
        <w:rPr>
          <w:rFonts w:eastAsia="Arial"/>
        </w:rPr>
        <w:t>3</w:t>
      </w:r>
      <w:r w:rsidRPr="000D05DA">
        <w:rPr>
          <w:rFonts w:eastAsia="Arial"/>
        </w:rPr>
        <w:t xml:space="preserve">). See appendix A. In this guidance we distinguish a patient refusal on a case by case basis, based on the </w:t>
      </w:r>
      <w:r w:rsidRPr="000D05DA">
        <w:rPr>
          <w:rFonts w:eastAsia="Arial"/>
          <w:i/>
        </w:rPr>
        <w:t>patient</w:t>
      </w:r>
      <w:r w:rsidRPr="000D05DA">
        <w:rPr>
          <w:rFonts w:eastAsia="Arial"/>
        </w:rPr>
        <w:t xml:space="preserve"> circumstances, from a refusal to allow a patient to join the list because of the circumstances surrounding the </w:t>
      </w:r>
      <w:r w:rsidRPr="000D05DA">
        <w:rPr>
          <w:rFonts w:eastAsia="Arial"/>
          <w:i/>
        </w:rPr>
        <w:t>provider</w:t>
      </w:r>
      <w:r w:rsidRPr="000D05DA">
        <w:rPr>
          <w:rFonts w:eastAsia="Arial"/>
        </w:rPr>
        <w:t xml:space="preserve"> and so do not consider paragraph 17 to be appropriate in these circumstances.</w:t>
      </w:r>
    </w:p>
    <w:p w14:paraId="0B388DE1" w14:textId="7CE40032" w:rsidR="003D1FAF" w:rsidRPr="00CE0885" w:rsidRDefault="003D1FAF" w:rsidP="000D05DA">
      <w:pPr>
        <w:pStyle w:val="Heading3"/>
      </w:pPr>
      <w:r w:rsidRPr="000D05DA">
        <w:rPr>
          <w:rFonts w:eastAsia="Arial"/>
        </w:rPr>
        <w:t>Practices can however</w:t>
      </w:r>
      <w:r w:rsidR="00595903">
        <w:rPr>
          <w:rFonts w:eastAsia="Arial"/>
        </w:rPr>
        <w:t>,</w:t>
      </w:r>
      <w:r w:rsidRPr="000D05DA">
        <w:rPr>
          <w:rFonts w:eastAsia="Arial"/>
        </w:rPr>
        <w:t xml:space="preserve"> suffer unforeseen pressures </w:t>
      </w:r>
      <w:r w:rsidR="00595903">
        <w:rPr>
          <w:rFonts w:eastAsia="Arial"/>
        </w:rPr>
        <w:t>that</w:t>
      </w:r>
      <w:r w:rsidRPr="000D05DA">
        <w:rPr>
          <w:rFonts w:eastAsia="Arial"/>
        </w:rPr>
        <w:t xml:space="preserve"> can reasonably be predicted to be short term. In these circumstances there may be a real or perceived risk to ‘safe patient care’ by accepting more new patients onto the list and action to address this by the practice should be received by the commissioner as a trigger for support and help</w:t>
      </w:r>
    </w:p>
    <w:p w14:paraId="55898210" w14:textId="2AE56889" w:rsidR="003D1FAF" w:rsidRPr="00CE0885" w:rsidRDefault="003D1FAF" w:rsidP="000D05DA">
      <w:pPr>
        <w:pStyle w:val="Heading3"/>
      </w:pPr>
      <w:r w:rsidRPr="000D05DA">
        <w:rPr>
          <w:rFonts w:eastAsia="Arial"/>
        </w:rPr>
        <w:t>NHS England has seen a significant rise in the number of practices suspending registration on a temporary basis causing a significant problem for patients, neighbouring practices and commissioners in some areas.</w:t>
      </w:r>
    </w:p>
    <w:p w14:paraId="62450772" w14:textId="51E870F4" w:rsidR="003D1FAF" w:rsidRPr="000D05DA" w:rsidRDefault="003D1FAF" w:rsidP="003D1FAF">
      <w:pPr>
        <w:pStyle w:val="Heading3"/>
        <w:rPr>
          <w:rFonts w:cs="Arial"/>
        </w:rPr>
      </w:pPr>
      <w:r w:rsidRPr="000D05DA">
        <w:rPr>
          <w:rFonts w:eastAsia="Arial"/>
        </w:rPr>
        <w:t>Practices do not exist in isolation so when a practice restricts new patient registration, this has an impact not only on patients but on neighbouring practices. It is for these types of circumstances that the formal list closure</w:t>
      </w:r>
    </w:p>
    <w:p w14:paraId="0C0D3138" w14:textId="2A4ABEE5" w:rsidR="003D1FAF" w:rsidRPr="00CE0885" w:rsidRDefault="003D1FAF" w:rsidP="000D05DA">
      <w:pPr>
        <w:pStyle w:val="Heading3"/>
      </w:pPr>
      <w:r w:rsidRPr="000D05DA">
        <w:rPr>
          <w:rFonts w:eastAsia="Arial"/>
        </w:rPr>
        <w:t>procedure exists; to allow for a considered and managed approach to list management across all practices</w:t>
      </w:r>
    </w:p>
    <w:p w14:paraId="56A29422" w14:textId="44869FFB" w:rsidR="003D1FAF" w:rsidRPr="00CE0885" w:rsidRDefault="003D1FAF" w:rsidP="000D05DA">
      <w:pPr>
        <w:pStyle w:val="Heading3"/>
      </w:pPr>
      <w:r w:rsidRPr="000D05DA">
        <w:rPr>
          <w:rFonts w:eastAsia="Arial"/>
        </w:rPr>
        <w:t>Because of the potential impact of “temporary suspension” NHS England encourages practices to open a dialogue with their commissioner as early as possible when considering temporary suspension</w:t>
      </w:r>
    </w:p>
    <w:p w14:paraId="3619AF99" w14:textId="5D4224F8" w:rsidR="003D1FAF" w:rsidRPr="00CE0885" w:rsidRDefault="003D1FAF" w:rsidP="000D05DA">
      <w:pPr>
        <w:pStyle w:val="Heading3"/>
        <w:rPr>
          <w:rFonts w:eastAsia="Arial"/>
        </w:rPr>
      </w:pPr>
      <w:r w:rsidRPr="009055A7">
        <w:rPr>
          <w:rFonts w:eastAsia="Arial"/>
        </w:rPr>
        <w:t>These guidelines fo</w:t>
      </w:r>
      <w:r w:rsidRPr="00CE0885">
        <w:rPr>
          <w:rFonts w:eastAsia="Arial"/>
        </w:rPr>
        <w:t xml:space="preserve">r commissioners describe the circumstances where a temporary suspension by the contractor of patient registration </w:t>
      </w:r>
      <w:r w:rsidRPr="00CE0885">
        <w:rPr>
          <w:rFonts w:eastAsia="Arial"/>
          <w:i/>
        </w:rPr>
        <w:t>may</w:t>
      </w:r>
      <w:r w:rsidRPr="00CE0885">
        <w:rPr>
          <w:rFonts w:eastAsia="Arial"/>
        </w:rPr>
        <w:t xml:space="preserve"> be appropriate and the conditions that should govern that decision such that the roles and responsibilities of both parties are not compromised.</w:t>
      </w:r>
    </w:p>
    <w:p w14:paraId="46E15FF8" w14:textId="4CBAEBFC" w:rsidR="003D1FAF" w:rsidRPr="00CE0885" w:rsidRDefault="003D1FAF" w:rsidP="000D05DA">
      <w:pPr>
        <w:pStyle w:val="Heading2"/>
        <w:rPr>
          <w:rFonts w:eastAsia="Arial"/>
        </w:rPr>
      </w:pPr>
      <w:bookmarkStart w:id="512" w:name="_Toc95743428"/>
      <w:r w:rsidRPr="00CE0885">
        <w:rPr>
          <w:rFonts w:eastAsia="Arial"/>
        </w:rPr>
        <w:t>Overview of current activity</w:t>
      </w:r>
      <w:bookmarkEnd w:id="512"/>
    </w:p>
    <w:p w14:paraId="3CB09570" w14:textId="335C8907" w:rsidR="003D1FAF" w:rsidRPr="00CE0885" w:rsidRDefault="003D1FAF" w:rsidP="00912FE4">
      <w:pPr>
        <w:pStyle w:val="Heading3"/>
        <w:rPr>
          <w:rFonts w:cs="Arial"/>
        </w:rPr>
      </w:pPr>
      <w:r w:rsidRPr="009055A7">
        <w:rPr>
          <w:rFonts w:eastAsia="Arial"/>
        </w:rPr>
        <w:t xml:space="preserve">The increase in </w:t>
      </w:r>
      <w:r w:rsidR="00595903">
        <w:rPr>
          <w:rFonts w:eastAsia="Arial"/>
        </w:rPr>
        <w:t xml:space="preserve">a </w:t>
      </w:r>
      <w:r w:rsidRPr="009055A7">
        <w:rPr>
          <w:rFonts w:eastAsia="Arial"/>
        </w:rPr>
        <w:t xml:space="preserve">temporary suspension of patient registration is a symptom of rising pressure in primary care, which creates a risk to patients, neighbouring practices and the commissioner; </w:t>
      </w:r>
      <w:r w:rsidR="00144C81" w:rsidRPr="009055A7">
        <w:rPr>
          <w:rFonts w:eastAsia="Arial"/>
        </w:rPr>
        <w:t>however,</w:t>
      </w:r>
      <w:r w:rsidRPr="009055A7">
        <w:rPr>
          <w:rFonts w:eastAsia="Arial"/>
        </w:rPr>
        <w:t xml:space="preserve"> the risk to patie</w:t>
      </w:r>
      <w:r w:rsidRPr="00CE0885">
        <w:rPr>
          <w:rFonts w:eastAsia="Arial"/>
        </w:rPr>
        <w:t>nts being registered with an oversubscribed practice should also be taken into account.</w:t>
      </w:r>
      <w:r w:rsidR="00912FE4" w:rsidRPr="00CE0885">
        <w:rPr>
          <w:rFonts w:cs="Arial"/>
        </w:rPr>
        <w:t xml:space="preserve"> </w:t>
      </w:r>
    </w:p>
    <w:p w14:paraId="5D61CD31" w14:textId="2C6241ED" w:rsidR="003D1FAF" w:rsidRPr="00CE0885" w:rsidRDefault="003D1FAF" w:rsidP="000D05DA">
      <w:pPr>
        <w:pStyle w:val="Heading2"/>
        <w:rPr>
          <w:rFonts w:eastAsia="Arial"/>
        </w:rPr>
      </w:pPr>
      <w:bookmarkStart w:id="513" w:name="_Toc95743429"/>
      <w:r w:rsidRPr="00CE0885">
        <w:rPr>
          <w:rFonts w:eastAsia="Arial"/>
        </w:rPr>
        <w:t>Facts/Principles</w:t>
      </w:r>
      <w:bookmarkEnd w:id="513"/>
    </w:p>
    <w:p w14:paraId="0C09B309" w14:textId="77777777" w:rsidR="003D1FAF" w:rsidRPr="00CE0885" w:rsidRDefault="003D1FAF" w:rsidP="003D1FAF">
      <w:pPr>
        <w:spacing w:line="360" w:lineRule="auto"/>
        <w:rPr>
          <w:rFonts w:cs="Arial"/>
        </w:rPr>
      </w:pPr>
    </w:p>
    <w:p w14:paraId="663CC796" w14:textId="4D912040" w:rsidR="003D1FAF" w:rsidRPr="00CE0885" w:rsidRDefault="003D1FAF" w:rsidP="00DE77D1">
      <w:pPr>
        <w:pStyle w:val="Heading3"/>
      </w:pPr>
      <w:r w:rsidRPr="00DE77D1">
        <w:rPr>
          <w:rFonts w:eastAsia="Arial"/>
        </w:rPr>
        <w:t>Addressing practices seeking to ‘Informally’ or ‘Temporarily’ suspend patient registration onto their list should be in the context of the General Practice Forward</w:t>
      </w:r>
      <w:r w:rsidR="00DE77D1">
        <w:rPr>
          <w:rFonts w:eastAsia="Arial"/>
        </w:rPr>
        <w:t xml:space="preserve"> </w:t>
      </w:r>
      <w:r w:rsidRPr="00DE77D1">
        <w:rPr>
          <w:rFonts w:eastAsia="Arial"/>
        </w:rPr>
        <w:t>View and NHS England’s commitment to supporting practices in difficulty.</w:t>
      </w:r>
    </w:p>
    <w:p w14:paraId="561B0E3E" w14:textId="7A7883B7" w:rsidR="003D1FAF" w:rsidRPr="000D05DA" w:rsidRDefault="003D1FAF" w:rsidP="003D1FAF">
      <w:pPr>
        <w:pStyle w:val="Heading3"/>
        <w:rPr>
          <w:rFonts w:cs="Arial"/>
        </w:rPr>
      </w:pPr>
      <w:r w:rsidRPr="000D05DA">
        <w:rPr>
          <w:rFonts w:eastAsia="Arial"/>
        </w:rPr>
        <w:t>However, NHS England has a duty to ensure that patients have access to primary care.</w:t>
      </w:r>
    </w:p>
    <w:p w14:paraId="45E0479E" w14:textId="538F0F24" w:rsidR="003D1FAF" w:rsidRPr="000D05DA" w:rsidRDefault="003D1FAF" w:rsidP="006C3DF5">
      <w:pPr>
        <w:pStyle w:val="ListParagraph"/>
        <w:numPr>
          <w:ilvl w:val="0"/>
          <w:numId w:val="81"/>
        </w:numPr>
        <w:tabs>
          <w:tab w:val="left" w:pos="1080"/>
        </w:tabs>
        <w:spacing w:line="360" w:lineRule="auto"/>
        <w:ind w:right="40"/>
        <w:rPr>
          <w:rFonts w:eastAsia="Symbol" w:cs="Arial"/>
        </w:rPr>
      </w:pPr>
      <w:r w:rsidRPr="000D05DA">
        <w:rPr>
          <w:rFonts w:eastAsia="Arial" w:cs="Arial"/>
        </w:rPr>
        <w:t xml:space="preserve">Core services include operating an open list by </w:t>
      </w:r>
      <w:r w:rsidR="00595903">
        <w:rPr>
          <w:rFonts w:eastAsia="Arial" w:cs="Arial"/>
        </w:rPr>
        <w:t xml:space="preserve">the </w:t>
      </w:r>
      <w:r w:rsidRPr="000D05DA">
        <w:rPr>
          <w:rFonts w:eastAsia="Arial" w:cs="Arial"/>
        </w:rPr>
        <w:t>fact of regulation and is how NHS England ensures access to services; the NHS Act confers a duty on the commissioner to ensure the provision of services</w:t>
      </w:r>
    </w:p>
    <w:p w14:paraId="4B723C27" w14:textId="3244B464" w:rsidR="003D1FAF" w:rsidRPr="000D05DA" w:rsidRDefault="003D1FAF" w:rsidP="006C3DF5">
      <w:pPr>
        <w:pStyle w:val="ListParagraph"/>
        <w:numPr>
          <w:ilvl w:val="0"/>
          <w:numId w:val="81"/>
        </w:numPr>
        <w:tabs>
          <w:tab w:val="left" w:pos="1080"/>
        </w:tabs>
        <w:spacing w:line="360" w:lineRule="auto"/>
        <w:ind w:right="120"/>
        <w:jc w:val="both"/>
        <w:rPr>
          <w:rFonts w:eastAsia="Symbol" w:cs="Arial"/>
        </w:rPr>
      </w:pPr>
      <w:r w:rsidRPr="000D05DA">
        <w:rPr>
          <w:rFonts w:eastAsia="Arial" w:cs="Arial"/>
        </w:rPr>
        <w:t>Any actions considered by the commissioner should ensure, system</w:t>
      </w:r>
      <w:r w:rsidR="00595903">
        <w:rPr>
          <w:rFonts w:eastAsia="Arial" w:cs="Arial"/>
        </w:rPr>
        <w:t>-</w:t>
      </w:r>
      <w:r w:rsidRPr="000D05DA">
        <w:rPr>
          <w:rFonts w:eastAsia="Arial" w:cs="Arial"/>
        </w:rPr>
        <w:t>wide, safe, quality and accessible core services to patients and be proportionate and sensitive to the providers concerned.</w:t>
      </w:r>
    </w:p>
    <w:p w14:paraId="1134E264" w14:textId="326262CC" w:rsidR="003D1FAF" w:rsidRPr="000D05DA" w:rsidRDefault="003D1FAF" w:rsidP="006C3DF5">
      <w:pPr>
        <w:pStyle w:val="ListParagraph"/>
        <w:numPr>
          <w:ilvl w:val="0"/>
          <w:numId w:val="81"/>
        </w:numPr>
        <w:tabs>
          <w:tab w:val="left" w:pos="1080"/>
        </w:tabs>
        <w:spacing w:line="360" w:lineRule="auto"/>
        <w:ind w:right="720"/>
        <w:jc w:val="both"/>
        <w:rPr>
          <w:rFonts w:eastAsia="Symbol" w:cs="Arial"/>
        </w:rPr>
      </w:pPr>
      <w:r w:rsidRPr="000D05DA">
        <w:rPr>
          <w:rFonts w:eastAsia="Arial" w:cs="Arial"/>
        </w:rPr>
        <w:t xml:space="preserve">NHS England and </w:t>
      </w:r>
      <w:r w:rsidR="00B83042">
        <w:rPr>
          <w:rFonts w:eastAsia="Arial" w:cs="Arial"/>
        </w:rPr>
        <w:t>CCGs/ICBs</w:t>
      </w:r>
      <w:r w:rsidR="008B199F">
        <w:rPr>
          <w:rFonts w:eastAsia="Arial" w:cs="Arial"/>
        </w:rPr>
        <w:t xml:space="preserve"> </w:t>
      </w:r>
      <w:r w:rsidRPr="000D05DA">
        <w:rPr>
          <w:rFonts w:eastAsia="Arial" w:cs="Arial"/>
        </w:rPr>
        <w:t>as Commissioners have a responsibility to address health inequalities</w:t>
      </w:r>
    </w:p>
    <w:p w14:paraId="3A1286D7" w14:textId="0AA2020A" w:rsidR="003D1FAF" w:rsidRPr="000D05DA" w:rsidRDefault="003D1FAF" w:rsidP="006C3DF5">
      <w:pPr>
        <w:pStyle w:val="ListParagraph"/>
        <w:numPr>
          <w:ilvl w:val="0"/>
          <w:numId w:val="81"/>
        </w:numPr>
        <w:tabs>
          <w:tab w:val="left" w:pos="1080"/>
        </w:tabs>
        <w:spacing w:line="360" w:lineRule="auto"/>
        <w:ind w:right="340"/>
        <w:rPr>
          <w:rFonts w:eastAsia="Symbol" w:cs="Arial"/>
        </w:rPr>
      </w:pPr>
      <w:r w:rsidRPr="000D05DA">
        <w:rPr>
          <w:rFonts w:eastAsia="Arial" w:cs="Arial"/>
        </w:rPr>
        <w:t>Commissioners and providers must work together to ensure compliance with the Equality Act, ensuring the rights of those with protected characteristics are not directly or indirectly compromised.</w:t>
      </w:r>
    </w:p>
    <w:p w14:paraId="67032173" w14:textId="553D9594" w:rsidR="003D1FAF" w:rsidRPr="000D05DA" w:rsidRDefault="003D1FAF" w:rsidP="006C3DF5">
      <w:pPr>
        <w:pStyle w:val="ListParagraph"/>
        <w:numPr>
          <w:ilvl w:val="0"/>
          <w:numId w:val="81"/>
        </w:numPr>
        <w:tabs>
          <w:tab w:val="left" w:pos="1080"/>
        </w:tabs>
        <w:spacing w:line="360" w:lineRule="auto"/>
        <w:ind w:right="460"/>
        <w:jc w:val="both"/>
        <w:rPr>
          <w:rFonts w:eastAsia="Symbol" w:cs="Arial"/>
        </w:rPr>
      </w:pPr>
      <w:r w:rsidRPr="000D05DA">
        <w:rPr>
          <w:rFonts w:eastAsia="Arial" w:cs="Arial"/>
        </w:rPr>
        <w:t xml:space="preserve">Good medical practice states that if a GP is aware that </w:t>
      </w:r>
      <w:r w:rsidRPr="000D05DA">
        <w:rPr>
          <w:rFonts w:eastAsia="Arial" w:cs="Arial"/>
          <w:u w:val="single"/>
        </w:rPr>
        <w:t>patient safety</w:t>
      </w:r>
      <w:r w:rsidRPr="000D05DA">
        <w:rPr>
          <w:rFonts w:eastAsia="Arial" w:cs="Arial"/>
        </w:rPr>
        <w:t xml:space="preserve"> is being compromised, then they have a professional duty to act</w:t>
      </w:r>
      <w:r w:rsidR="00DE77D1">
        <w:rPr>
          <w:rFonts w:eastAsia="Arial" w:cs="Arial"/>
        </w:rPr>
        <w:t>.</w:t>
      </w:r>
    </w:p>
    <w:p w14:paraId="4928D9BD" w14:textId="19BB030A" w:rsidR="003D1FAF" w:rsidRPr="000D05DA" w:rsidRDefault="003D1FAF" w:rsidP="006C3DF5">
      <w:pPr>
        <w:pStyle w:val="ListParagraph"/>
        <w:numPr>
          <w:ilvl w:val="0"/>
          <w:numId w:val="81"/>
        </w:numPr>
        <w:tabs>
          <w:tab w:val="left" w:pos="1080"/>
        </w:tabs>
        <w:spacing w:line="360" w:lineRule="auto"/>
        <w:ind w:right="120"/>
        <w:rPr>
          <w:rFonts w:cs="Arial"/>
        </w:rPr>
      </w:pPr>
      <w:r w:rsidRPr="000D05DA">
        <w:rPr>
          <w:rFonts w:eastAsia="Arial" w:cs="Arial"/>
        </w:rPr>
        <w:t>The unintended impact of any action needs to be considered in relation to both registered patients and unregistered patients in the locality as well as the impact on other local providers both primary (GP and pharmacy) and secondary care</w:t>
      </w:r>
    </w:p>
    <w:p w14:paraId="3F35FD61" w14:textId="77777777" w:rsidR="003D1FAF" w:rsidRPr="00CE0885" w:rsidRDefault="003D1FAF" w:rsidP="000D05DA">
      <w:pPr>
        <w:pStyle w:val="Heading3"/>
        <w:rPr>
          <w:rFonts w:eastAsia="Symbol"/>
        </w:rPr>
      </w:pPr>
      <w:r w:rsidRPr="009055A7">
        <w:rPr>
          <w:rFonts w:eastAsia="Arial"/>
        </w:rPr>
        <w:t>The commissioner has the right to</w:t>
      </w:r>
      <w:r w:rsidRPr="00CE0885">
        <w:rPr>
          <w:rFonts w:eastAsia="Arial"/>
        </w:rPr>
        <w:t xml:space="preserve"> assign patients throughout the period that the list is not formally closed having due regard to the quality and safety of services and the reasons behind the list closure in the first place</w:t>
      </w:r>
    </w:p>
    <w:p w14:paraId="1546444A" w14:textId="77777777" w:rsidR="003D1FAF" w:rsidRPr="00CE0885" w:rsidRDefault="003D1FAF" w:rsidP="003D1FAF">
      <w:pPr>
        <w:spacing w:line="360" w:lineRule="auto"/>
        <w:rPr>
          <w:rFonts w:eastAsia="Symbol" w:cs="Arial"/>
        </w:rPr>
      </w:pPr>
    </w:p>
    <w:p w14:paraId="4A8207F3" w14:textId="293006F0" w:rsidR="003D1FAF" w:rsidRDefault="003D1FAF" w:rsidP="003D1FAF">
      <w:pPr>
        <w:pStyle w:val="Heading2"/>
        <w:rPr>
          <w:rFonts w:eastAsia="Arial"/>
        </w:rPr>
      </w:pPr>
      <w:bookmarkStart w:id="514" w:name="_Toc95743430"/>
      <w:r w:rsidRPr="000D05DA">
        <w:rPr>
          <w:rFonts w:eastAsia="Arial"/>
        </w:rPr>
        <w:t>Issues to be taken into consideration</w:t>
      </w:r>
      <w:bookmarkEnd w:id="514"/>
    </w:p>
    <w:p w14:paraId="3286F0A4" w14:textId="77777777" w:rsidR="000D05DA" w:rsidRPr="000D05DA" w:rsidRDefault="000D05DA" w:rsidP="000D05DA"/>
    <w:p w14:paraId="027CF8A8" w14:textId="3C2C1D44" w:rsidR="003D1FAF" w:rsidRPr="000D05DA" w:rsidRDefault="003D1FAF" w:rsidP="003D1FAF">
      <w:pPr>
        <w:pStyle w:val="Heading3"/>
        <w:rPr>
          <w:rFonts w:cs="Arial"/>
        </w:rPr>
      </w:pPr>
      <w:r w:rsidRPr="000D05DA">
        <w:rPr>
          <w:rFonts w:eastAsia="Arial"/>
        </w:rPr>
        <w:t>NHS England acknowledges that things can rapidly change within practices. These may include for example;</w:t>
      </w:r>
    </w:p>
    <w:p w14:paraId="53798602" w14:textId="4A23727D" w:rsidR="003D1FAF" w:rsidRPr="000D05DA" w:rsidRDefault="003D1FAF" w:rsidP="006C3DF5">
      <w:pPr>
        <w:pStyle w:val="ListParagraph"/>
        <w:numPr>
          <w:ilvl w:val="0"/>
          <w:numId w:val="82"/>
        </w:numPr>
        <w:tabs>
          <w:tab w:val="left" w:pos="1081"/>
        </w:tabs>
        <w:spacing w:before="120" w:after="120" w:line="360" w:lineRule="auto"/>
        <w:ind w:left="714" w:right="740" w:hanging="357"/>
        <w:jc w:val="both"/>
        <w:rPr>
          <w:rFonts w:eastAsia="Symbol" w:cs="Arial"/>
        </w:rPr>
      </w:pPr>
      <w:bookmarkStart w:id="515" w:name="_Hlk29969994"/>
      <w:r w:rsidRPr="000D05DA">
        <w:rPr>
          <w:rFonts w:eastAsia="Arial" w:cs="Arial"/>
        </w:rPr>
        <w:t>An immediate and unpredicted shortfall in the availability of staff e.g. through sickness or a delay to a staff appointment</w:t>
      </w:r>
    </w:p>
    <w:p w14:paraId="1F66EA88" w14:textId="5869551C" w:rsidR="003D1FAF" w:rsidRPr="000D05DA" w:rsidRDefault="003D1FAF" w:rsidP="006C3DF5">
      <w:pPr>
        <w:pStyle w:val="ListParagraph"/>
        <w:numPr>
          <w:ilvl w:val="0"/>
          <w:numId w:val="82"/>
        </w:numPr>
        <w:tabs>
          <w:tab w:val="left" w:pos="1081"/>
        </w:tabs>
        <w:spacing w:before="120" w:after="120" w:line="360" w:lineRule="auto"/>
        <w:ind w:left="714" w:hanging="357"/>
        <w:jc w:val="both"/>
        <w:rPr>
          <w:rFonts w:eastAsia="Symbol" w:cs="Arial"/>
        </w:rPr>
      </w:pPr>
      <w:r w:rsidRPr="000D05DA">
        <w:rPr>
          <w:rFonts w:eastAsia="Arial" w:cs="Arial"/>
        </w:rPr>
        <w:t>An unpredicted surge in demand</w:t>
      </w:r>
    </w:p>
    <w:p w14:paraId="18A0A36E" w14:textId="6DDAB9D7" w:rsidR="003D1FAF" w:rsidRPr="000D05DA" w:rsidRDefault="003D1FAF" w:rsidP="006C3DF5">
      <w:pPr>
        <w:pStyle w:val="ListParagraph"/>
        <w:numPr>
          <w:ilvl w:val="0"/>
          <w:numId w:val="82"/>
        </w:numPr>
        <w:tabs>
          <w:tab w:val="left" w:pos="1081"/>
        </w:tabs>
        <w:spacing w:before="120" w:after="120" w:line="360" w:lineRule="auto"/>
        <w:ind w:left="714" w:right="420" w:hanging="357"/>
        <w:rPr>
          <w:rFonts w:eastAsia="Symbol" w:cs="Arial"/>
        </w:rPr>
      </w:pPr>
      <w:r w:rsidRPr="000D05DA">
        <w:rPr>
          <w:rFonts w:eastAsia="Arial" w:cs="Arial"/>
        </w:rPr>
        <w:t>An unexpected event affecting a practice</w:t>
      </w:r>
      <w:r w:rsidR="00236C7C">
        <w:rPr>
          <w:rFonts w:eastAsia="Arial" w:cs="Arial"/>
        </w:rPr>
        <w:t>’</w:t>
      </w:r>
      <w:r w:rsidRPr="000D05DA">
        <w:rPr>
          <w:rFonts w:eastAsia="Arial" w:cs="Arial"/>
        </w:rPr>
        <w:t>s ability in the short term to provide the full range of services normally available e.g. a flood or a fire (See Force Majeure provisions of the standard GMS, PMS and APMS contracts).</w:t>
      </w:r>
    </w:p>
    <w:p w14:paraId="576D4E3C" w14:textId="197E303F" w:rsidR="003D1FAF" w:rsidRPr="00CE0885" w:rsidRDefault="003D1FAF" w:rsidP="006C3DF5">
      <w:pPr>
        <w:pStyle w:val="ListParagraph"/>
        <w:numPr>
          <w:ilvl w:val="0"/>
          <w:numId w:val="82"/>
        </w:numPr>
        <w:tabs>
          <w:tab w:val="left" w:pos="1081"/>
        </w:tabs>
        <w:spacing w:before="120" w:after="120" w:line="360" w:lineRule="auto"/>
        <w:ind w:left="714" w:right="320" w:hanging="357"/>
        <w:jc w:val="both"/>
      </w:pPr>
      <w:r w:rsidRPr="000D05DA">
        <w:rPr>
          <w:rFonts w:eastAsia="Arial" w:cs="Arial"/>
        </w:rPr>
        <w:t>Impact on a practice of an unfavourable CQC inspection where remedial action temporarily affects normal service provision</w:t>
      </w:r>
    </w:p>
    <w:bookmarkEnd w:id="515"/>
    <w:p w14:paraId="3B1004BF" w14:textId="720011EC" w:rsidR="003D1FAF" w:rsidRPr="00CE0885" w:rsidRDefault="003D1FAF" w:rsidP="000D05DA">
      <w:pPr>
        <w:pStyle w:val="Heading3"/>
      </w:pPr>
      <w:r w:rsidRPr="000D05DA">
        <w:rPr>
          <w:rFonts w:eastAsia="Arial"/>
        </w:rPr>
        <w:t>In some circumstances the action required to remedy a problem may take several months and in others just a few weeks</w:t>
      </w:r>
      <w:r w:rsidR="00236C7C">
        <w:rPr>
          <w:rFonts w:eastAsia="Arial"/>
        </w:rPr>
        <w:t>,</w:t>
      </w:r>
      <w:r w:rsidRPr="000D05DA">
        <w:rPr>
          <w:rFonts w:eastAsia="Arial"/>
        </w:rPr>
        <w:t xml:space="preserve"> for example, a planned short term suspension of registration as part of a recovery plan through the vulnerable practice programme. Alternatively, practice capacity may be temporarily compromised by premises development or IT upgrades. Under these circumstances</w:t>
      </w:r>
      <w:r w:rsidR="00236C7C">
        <w:rPr>
          <w:rFonts w:eastAsia="Arial"/>
        </w:rPr>
        <w:t>,</w:t>
      </w:r>
      <w:r w:rsidRPr="000D05DA">
        <w:rPr>
          <w:rFonts w:eastAsia="Arial"/>
        </w:rPr>
        <w:t xml:space="preserve"> it would be usual to expect planning and communication with patients in advance with a specific start and end date and disruption measured in weeks not months</w:t>
      </w:r>
    </w:p>
    <w:p w14:paraId="5027D5CB" w14:textId="3B1B69C8" w:rsidR="003D1FAF" w:rsidRPr="00CE0885" w:rsidRDefault="003D1FAF" w:rsidP="000D05DA">
      <w:pPr>
        <w:pStyle w:val="Heading3"/>
      </w:pPr>
      <w:r w:rsidRPr="000D05DA">
        <w:rPr>
          <w:rFonts w:eastAsia="Arial"/>
        </w:rPr>
        <w:t>In all but exceptional circumstances Practices should approach the commissioner in advance so that an action plan that minimises the impact on patients can be considered jointly at the earliest opportunity and so that immediate support from the commissioner can be put into action. A request to temporarily suspend patient registration should be considered by the commissioner as a trigger for support as it should for a formal application to close the list</w:t>
      </w:r>
    </w:p>
    <w:p w14:paraId="28E59710" w14:textId="118763C8" w:rsidR="003D1FAF" w:rsidRPr="00CE0885" w:rsidRDefault="003D1FAF" w:rsidP="000D05DA">
      <w:pPr>
        <w:pStyle w:val="Heading3"/>
      </w:pPr>
      <w:r w:rsidRPr="000D05DA">
        <w:rPr>
          <w:rFonts w:eastAsia="Arial"/>
        </w:rPr>
        <w:t>This guidance does not prescribe what length of time approval of a temporary list suspension is appropriate as this will vary depending on the circumstances. The keywords are unpredictable and/or short term. In circumstances where there is a known history of difficulty in recruitment including the availability of locums or the circumstances affecting the practice can be predicted to last longer e.g. a planned refurbishment or a rebuilding programme scheduled to last month’s say following a flood or a fire, the formal list closure procedure should be encouraged.</w:t>
      </w:r>
    </w:p>
    <w:p w14:paraId="736AD221" w14:textId="6DAE8BCC" w:rsidR="00BD0DD5" w:rsidRDefault="003D1FAF" w:rsidP="00BD0DD5">
      <w:pPr>
        <w:pStyle w:val="Heading3"/>
        <w:rPr>
          <w:rFonts w:eastAsia="Arial"/>
        </w:rPr>
      </w:pPr>
      <w:r w:rsidRPr="00DE77D1">
        <w:rPr>
          <w:rFonts w:eastAsia="Arial"/>
        </w:rPr>
        <w:t>In both cases the practice’s eligibility for support through the Practice Resilience</w:t>
      </w:r>
      <w:r w:rsidR="00DE77D1" w:rsidRPr="00DE77D1">
        <w:rPr>
          <w:rFonts w:eastAsia="Arial"/>
        </w:rPr>
        <w:t xml:space="preserve"> </w:t>
      </w:r>
      <w:r w:rsidRPr="00DE77D1">
        <w:rPr>
          <w:rFonts w:eastAsia="Arial"/>
        </w:rPr>
        <w:t>Programme should be considered by the commissioner</w:t>
      </w:r>
      <w:r w:rsidR="00BD0DD5">
        <w:rPr>
          <w:rFonts w:eastAsia="Arial"/>
        </w:rPr>
        <w:t>.</w:t>
      </w:r>
    </w:p>
    <w:p w14:paraId="5C360552" w14:textId="77777777" w:rsidR="00096561" w:rsidRPr="00096561" w:rsidRDefault="00096561" w:rsidP="00096561">
      <w:pPr>
        <w:rPr>
          <w:rFonts w:eastAsia="Arial"/>
        </w:rPr>
      </w:pPr>
    </w:p>
    <w:p w14:paraId="20941051" w14:textId="6B42BE47" w:rsidR="00BD0DD5" w:rsidRDefault="00BD0DD5" w:rsidP="00BD0DD5">
      <w:pPr>
        <w:rPr>
          <w:rFonts w:eastAsia="Arial"/>
        </w:rPr>
      </w:pPr>
    </w:p>
    <w:p w14:paraId="7A8A953D" w14:textId="6F94F244" w:rsidR="00BD0DD5" w:rsidRPr="00B562D2" w:rsidRDefault="00BD0DD5" w:rsidP="00F82277">
      <w:pPr>
        <w:pStyle w:val="Heading3"/>
        <w:rPr>
          <w:rFonts w:eastAsia="Arial"/>
          <w:b/>
        </w:rPr>
      </w:pPr>
      <w:bookmarkStart w:id="516" w:name="_Hlk52458295"/>
      <w:r w:rsidRPr="00B562D2">
        <w:rPr>
          <w:rFonts w:eastAsia="Arial"/>
          <w:b/>
        </w:rPr>
        <w:t>Circumstances in which an ‘informal’ or ‘temporary’ list closure is not appropriate</w:t>
      </w:r>
      <w:r w:rsidR="001B064E" w:rsidRPr="00B562D2">
        <w:rPr>
          <w:rFonts w:eastAsia="Arial"/>
          <w:b/>
        </w:rPr>
        <w:t xml:space="preserve"> (list not exhaustive)</w:t>
      </w:r>
    </w:p>
    <w:bookmarkEnd w:id="516"/>
    <w:p w14:paraId="00CA530D" w14:textId="77777777" w:rsidR="001B064E" w:rsidRPr="00B562D2" w:rsidRDefault="001B064E" w:rsidP="006C3DF5">
      <w:pPr>
        <w:pStyle w:val="ListParagraph"/>
        <w:numPr>
          <w:ilvl w:val="0"/>
          <w:numId w:val="218"/>
        </w:numPr>
      </w:pPr>
      <w:r w:rsidRPr="00B562D2">
        <w:t>When the practice considers its list is full (a formal application should be made)</w:t>
      </w:r>
    </w:p>
    <w:p w14:paraId="02AE0518" w14:textId="4785DF7A" w:rsidR="001B064E" w:rsidRPr="00B562D2" w:rsidRDefault="001B064E" w:rsidP="006C3DF5">
      <w:pPr>
        <w:pStyle w:val="ListParagraph"/>
        <w:numPr>
          <w:ilvl w:val="0"/>
          <w:numId w:val="218"/>
        </w:numPr>
        <w:rPr>
          <w:rFonts w:eastAsia="Arial"/>
        </w:rPr>
      </w:pPr>
      <w:r w:rsidRPr="00B562D2">
        <w:t>For long ter</w:t>
      </w:r>
      <w:r w:rsidR="00FE1596" w:rsidRPr="00B562D2">
        <w:t>m</w:t>
      </w:r>
      <w:r w:rsidRPr="00B562D2">
        <w:t xml:space="preserve"> sickness absence (a formal application should be made)</w:t>
      </w:r>
    </w:p>
    <w:p w14:paraId="1C669FB4" w14:textId="5B0C3423" w:rsidR="001B064E" w:rsidRPr="00B562D2" w:rsidRDefault="001B064E" w:rsidP="006C3DF5">
      <w:pPr>
        <w:pStyle w:val="ListParagraph"/>
        <w:numPr>
          <w:ilvl w:val="0"/>
          <w:numId w:val="218"/>
        </w:numPr>
        <w:rPr>
          <w:rFonts w:eastAsia="Arial"/>
        </w:rPr>
      </w:pPr>
      <w:r w:rsidRPr="00B562D2">
        <w:rPr>
          <w:rFonts w:eastAsia="Arial"/>
        </w:rPr>
        <w:t>For issues expected to be longer term (e.g. over 3 months)</w:t>
      </w:r>
    </w:p>
    <w:p w14:paraId="7E390637" w14:textId="7984E44C" w:rsidR="001B064E" w:rsidRPr="00B562D2" w:rsidRDefault="001B064E" w:rsidP="006C3DF5">
      <w:pPr>
        <w:pStyle w:val="ListParagraph"/>
        <w:numPr>
          <w:ilvl w:val="0"/>
          <w:numId w:val="218"/>
        </w:numPr>
        <w:rPr>
          <w:rFonts w:eastAsia="Arial"/>
        </w:rPr>
      </w:pPr>
      <w:r w:rsidRPr="00B562D2">
        <w:t>Because a formal closure application has been declined</w:t>
      </w:r>
    </w:p>
    <w:p w14:paraId="5DD163C5" w14:textId="44ED54E8" w:rsidR="00BD0DD5" w:rsidRDefault="00BD0DD5" w:rsidP="00BD0DD5">
      <w:pPr>
        <w:rPr>
          <w:rFonts w:eastAsia="Arial"/>
        </w:rPr>
      </w:pPr>
    </w:p>
    <w:p w14:paraId="5FDF280A" w14:textId="77777777" w:rsidR="00BD0DD5" w:rsidRPr="00BD0DD5" w:rsidRDefault="00BD0DD5" w:rsidP="00F82277">
      <w:pPr>
        <w:rPr>
          <w:rFonts w:eastAsia="Arial"/>
        </w:rPr>
      </w:pPr>
    </w:p>
    <w:p w14:paraId="35654EDC" w14:textId="2F2E5BD1" w:rsidR="003D1FAF" w:rsidRPr="00CE0885" w:rsidRDefault="003D1FAF" w:rsidP="000D05DA">
      <w:pPr>
        <w:pStyle w:val="Heading2"/>
        <w:rPr>
          <w:rFonts w:eastAsia="Arial"/>
        </w:rPr>
      </w:pPr>
      <w:bookmarkStart w:id="517" w:name="_Toc95743431"/>
      <w:r w:rsidRPr="00CE0885">
        <w:rPr>
          <w:rFonts w:eastAsia="Arial"/>
        </w:rPr>
        <w:t>Process to be adopted</w:t>
      </w:r>
      <w:bookmarkEnd w:id="517"/>
    </w:p>
    <w:p w14:paraId="0A8F1F99" w14:textId="77777777" w:rsidR="003D1FAF" w:rsidRPr="00CE0885" w:rsidRDefault="003D1FAF" w:rsidP="003D1FAF">
      <w:pPr>
        <w:spacing w:line="360" w:lineRule="auto"/>
        <w:rPr>
          <w:rFonts w:cs="Arial"/>
        </w:rPr>
      </w:pPr>
    </w:p>
    <w:p w14:paraId="2FBBE39C" w14:textId="343BAEA4" w:rsidR="003D1FAF" w:rsidRPr="00CE0885" w:rsidRDefault="003D1FAF" w:rsidP="000D05DA">
      <w:pPr>
        <w:pStyle w:val="Heading3"/>
        <w:rPr>
          <w:rFonts w:eastAsia="Arial"/>
        </w:rPr>
      </w:pPr>
      <w:r w:rsidRPr="009055A7">
        <w:rPr>
          <w:rFonts w:eastAsia="Arial"/>
        </w:rPr>
        <w:t>All practices should be encouraged to contact their commissioner at the earliest possible opportunity i.e. at the point that suspension to registration is being considered so that the provider and commissioner can work toge</w:t>
      </w:r>
      <w:r w:rsidRPr="00CE0885">
        <w:rPr>
          <w:rFonts w:eastAsia="Arial"/>
        </w:rPr>
        <w:t xml:space="preserve">ther to agree </w:t>
      </w:r>
      <w:r w:rsidR="00F02E84">
        <w:rPr>
          <w:rFonts w:eastAsia="Arial"/>
        </w:rPr>
        <w:t xml:space="preserve">on </w:t>
      </w:r>
      <w:r w:rsidRPr="00CE0885">
        <w:rPr>
          <w:rFonts w:eastAsia="Arial"/>
        </w:rPr>
        <w:t>what support is required.</w:t>
      </w:r>
    </w:p>
    <w:p w14:paraId="5617A5E5" w14:textId="77777777" w:rsidR="003D1FAF" w:rsidRPr="00CE0885" w:rsidRDefault="003D1FAF" w:rsidP="003D1FAF">
      <w:pPr>
        <w:spacing w:line="360" w:lineRule="auto"/>
        <w:rPr>
          <w:rFonts w:cs="Arial"/>
        </w:rPr>
      </w:pPr>
    </w:p>
    <w:p w14:paraId="279786AE" w14:textId="150E19EC" w:rsidR="003D1FAF" w:rsidRPr="004B57CD" w:rsidRDefault="003D1FAF" w:rsidP="003D1FAF">
      <w:pPr>
        <w:pStyle w:val="Heading3"/>
        <w:rPr>
          <w:rFonts w:eastAsia="Arial"/>
        </w:rPr>
      </w:pPr>
      <w:r w:rsidRPr="009055A7">
        <w:rPr>
          <w:rFonts w:eastAsia="Arial"/>
        </w:rPr>
        <w:t>At this point commissioners should</w:t>
      </w:r>
    </w:p>
    <w:p w14:paraId="28958974" w14:textId="2E8F3C5B" w:rsidR="003D1FAF" w:rsidRPr="004B57CD" w:rsidRDefault="003D1FAF" w:rsidP="006C3DF5">
      <w:pPr>
        <w:pStyle w:val="ListParagraph"/>
        <w:numPr>
          <w:ilvl w:val="0"/>
          <w:numId w:val="83"/>
        </w:numPr>
        <w:tabs>
          <w:tab w:val="left" w:pos="1440"/>
        </w:tabs>
        <w:spacing w:line="360" w:lineRule="auto"/>
        <w:jc w:val="both"/>
        <w:rPr>
          <w:rFonts w:eastAsia="Symbol" w:cs="Arial"/>
        </w:rPr>
      </w:pPr>
      <w:r w:rsidRPr="000D05DA">
        <w:rPr>
          <w:rFonts w:eastAsia="Arial" w:cs="Arial"/>
        </w:rPr>
        <w:t>seek to understand the reasons behind the action</w:t>
      </w:r>
    </w:p>
    <w:p w14:paraId="6BDC7618" w14:textId="39F1C3D3" w:rsidR="003D1FAF" w:rsidRPr="004B57CD" w:rsidRDefault="003D1FAF" w:rsidP="006C3DF5">
      <w:pPr>
        <w:pStyle w:val="ListParagraph"/>
        <w:numPr>
          <w:ilvl w:val="0"/>
          <w:numId w:val="83"/>
        </w:numPr>
        <w:tabs>
          <w:tab w:val="left" w:pos="1440"/>
        </w:tabs>
        <w:spacing w:line="360" w:lineRule="auto"/>
        <w:ind w:right="460"/>
        <w:jc w:val="both"/>
        <w:rPr>
          <w:rFonts w:eastAsia="Symbol" w:cs="Arial"/>
        </w:rPr>
      </w:pPr>
      <w:r w:rsidRPr="000D05DA">
        <w:rPr>
          <w:rFonts w:eastAsia="Arial" w:cs="Arial"/>
        </w:rPr>
        <w:t>engage the LMC at the time of a decision as the LMC also carries a responsibility for representing all their affected parties</w:t>
      </w:r>
    </w:p>
    <w:p w14:paraId="03AB7713" w14:textId="77777777" w:rsidR="003D1FAF" w:rsidRPr="000D05DA" w:rsidRDefault="003D1FAF" w:rsidP="006C3DF5">
      <w:pPr>
        <w:pStyle w:val="ListParagraph"/>
        <w:numPr>
          <w:ilvl w:val="0"/>
          <w:numId w:val="83"/>
        </w:numPr>
        <w:tabs>
          <w:tab w:val="left" w:pos="1440"/>
        </w:tabs>
        <w:spacing w:line="360" w:lineRule="auto"/>
        <w:ind w:right="140"/>
        <w:rPr>
          <w:rFonts w:eastAsia="Symbol" w:cs="Arial"/>
        </w:rPr>
      </w:pPr>
      <w:r w:rsidRPr="000D05DA">
        <w:rPr>
          <w:rFonts w:eastAsia="Arial" w:cs="Arial"/>
        </w:rPr>
        <w:t>Facilitate what action needs to take place by the practice and/or by the commissioner for the list to be re-opened. If actions can reasonably be expected to take longer than 3 months then the Practice should be asked to make a formal application to close its list.</w:t>
      </w:r>
    </w:p>
    <w:p w14:paraId="6403CD38" w14:textId="77777777" w:rsidR="003D1FAF" w:rsidRPr="00CE0885" w:rsidRDefault="003D1FAF" w:rsidP="003D1FAF">
      <w:pPr>
        <w:spacing w:line="360" w:lineRule="auto"/>
        <w:rPr>
          <w:rFonts w:cs="Arial"/>
        </w:rPr>
      </w:pPr>
    </w:p>
    <w:p w14:paraId="66D1F881" w14:textId="253BA4C9" w:rsidR="003D1FAF" w:rsidRPr="00CE0885" w:rsidRDefault="003D1FAF" w:rsidP="000D05DA">
      <w:pPr>
        <w:pStyle w:val="Heading3"/>
      </w:pPr>
      <w:r w:rsidRPr="000D05DA">
        <w:rPr>
          <w:rFonts w:eastAsia="Arial"/>
        </w:rPr>
        <w:t>Actions should trigger consideration of the practice resilience programme or use of section 96 e.g. a diagnostic/review of the difficulties faced and recommended action</w:t>
      </w:r>
    </w:p>
    <w:p w14:paraId="0643C624" w14:textId="661EC09E" w:rsidR="003D1FAF" w:rsidRPr="004B57CD" w:rsidRDefault="003D1FAF" w:rsidP="003D1FAF">
      <w:pPr>
        <w:pStyle w:val="Heading3"/>
        <w:rPr>
          <w:rFonts w:eastAsia="Arial"/>
        </w:rPr>
      </w:pPr>
      <w:r w:rsidRPr="009055A7">
        <w:rPr>
          <w:rFonts w:eastAsia="Arial"/>
        </w:rPr>
        <w:t xml:space="preserve">At the end of the agreed period where </w:t>
      </w:r>
      <w:r w:rsidR="00F02E84">
        <w:rPr>
          <w:rFonts w:eastAsia="Arial"/>
        </w:rPr>
        <w:t xml:space="preserve">a </w:t>
      </w:r>
      <w:r w:rsidRPr="009055A7">
        <w:rPr>
          <w:rFonts w:eastAsia="Arial"/>
        </w:rPr>
        <w:t>temporary suspension of patient registra</w:t>
      </w:r>
      <w:r w:rsidRPr="00CE0885">
        <w:rPr>
          <w:rFonts w:eastAsia="Arial"/>
        </w:rPr>
        <w:t>tion has occurred, the list would normally re-open. There are only two alternative outcomes;</w:t>
      </w:r>
    </w:p>
    <w:p w14:paraId="4BFD2609" w14:textId="404CB711" w:rsidR="003D1FAF" w:rsidRPr="004B57CD" w:rsidRDefault="003D1FAF" w:rsidP="006C3DF5">
      <w:pPr>
        <w:pStyle w:val="ListParagraph"/>
        <w:numPr>
          <w:ilvl w:val="0"/>
          <w:numId w:val="84"/>
        </w:numPr>
        <w:tabs>
          <w:tab w:val="left" w:pos="1080"/>
        </w:tabs>
        <w:spacing w:line="360" w:lineRule="auto"/>
        <w:ind w:right="400"/>
        <w:jc w:val="both"/>
        <w:rPr>
          <w:rFonts w:eastAsia="Arial" w:cs="Arial"/>
        </w:rPr>
      </w:pPr>
      <w:r w:rsidRPr="000D05DA">
        <w:rPr>
          <w:rFonts w:eastAsia="Arial" w:cs="Arial"/>
        </w:rPr>
        <w:t>If the situation is almost resolved for example an appointment has been made but the post not yet filled (for example by a week or two later) an extension to the temporary arrangement can be negotiated</w:t>
      </w:r>
    </w:p>
    <w:p w14:paraId="49A91663" w14:textId="26AB5F86" w:rsidR="003D1FAF" w:rsidRPr="000D05DA" w:rsidRDefault="003D1FAF" w:rsidP="006C3DF5">
      <w:pPr>
        <w:pStyle w:val="ListParagraph"/>
        <w:numPr>
          <w:ilvl w:val="0"/>
          <w:numId w:val="84"/>
        </w:numPr>
        <w:tabs>
          <w:tab w:val="left" w:pos="1080"/>
        </w:tabs>
        <w:spacing w:line="360" w:lineRule="auto"/>
        <w:ind w:right="260"/>
        <w:rPr>
          <w:rFonts w:eastAsia="Arial" w:cs="Arial"/>
        </w:rPr>
      </w:pPr>
      <w:r w:rsidRPr="000D05DA">
        <w:rPr>
          <w:rFonts w:eastAsia="Arial" w:cs="Arial"/>
        </w:rPr>
        <w:t xml:space="preserve">Despite support to deliver an action plan the practice continues to feel compromised. The commissioner should then consider an application for formal list closure, which will require wider consultation. The parties will need to agree </w:t>
      </w:r>
      <w:r w:rsidR="00F02E84">
        <w:rPr>
          <w:rFonts w:eastAsia="Arial" w:cs="Arial"/>
        </w:rPr>
        <w:t xml:space="preserve">on </w:t>
      </w:r>
      <w:r w:rsidRPr="000D05DA">
        <w:rPr>
          <w:rFonts w:eastAsia="Arial" w:cs="Arial"/>
        </w:rPr>
        <w:t>the status of the practice list during the formal process, whether, having regard to all local circumstances, the practice should continue to operate a temporary suspension to patient registration.</w:t>
      </w:r>
    </w:p>
    <w:p w14:paraId="76CCBC1D" w14:textId="77777777" w:rsidR="003D1FAF" w:rsidRPr="00CE0885" w:rsidRDefault="003D1FAF" w:rsidP="003D1FAF">
      <w:pPr>
        <w:spacing w:line="360" w:lineRule="auto"/>
        <w:rPr>
          <w:rFonts w:cs="Arial"/>
        </w:rPr>
      </w:pPr>
    </w:p>
    <w:p w14:paraId="275990CF" w14:textId="77777777" w:rsidR="003D1FAF" w:rsidRPr="00CE0885" w:rsidRDefault="003D1FAF" w:rsidP="000D05DA">
      <w:pPr>
        <w:pStyle w:val="Heading3"/>
        <w:rPr>
          <w:rFonts w:eastAsia="Arial"/>
        </w:rPr>
      </w:pPr>
      <w:r w:rsidRPr="009055A7">
        <w:rPr>
          <w:rFonts w:eastAsia="Arial"/>
        </w:rPr>
        <w:t xml:space="preserve">These guidelines have been drafted in </w:t>
      </w:r>
      <w:r w:rsidRPr="00CE0885">
        <w:rPr>
          <w:rFonts w:eastAsia="Arial"/>
        </w:rPr>
        <w:t>recognition of the immediate pressures facing some practices; they do not however sanction the term ‘open but full’. Where a practice is failing to engage with the commissioner, and unilaterally seeking to determine its own restrictions on patient access, without consideration of the impact on patient access generally or the implications for neighbouring practices, then contractual action may need to be considered</w:t>
      </w:r>
    </w:p>
    <w:p w14:paraId="3378975F" w14:textId="3D1A2AA8" w:rsidR="003D1FAF" w:rsidRPr="00CE0885" w:rsidRDefault="000D05DA" w:rsidP="000D05DA">
      <w:pPr>
        <w:pStyle w:val="Heading2"/>
        <w:rPr>
          <w:rFonts w:eastAsia="Arial"/>
        </w:rPr>
      </w:pPr>
      <w:r>
        <w:rPr>
          <w:rFonts w:eastAsia="Arial"/>
        </w:rPr>
        <w:br w:type="page"/>
      </w:r>
      <w:bookmarkStart w:id="518" w:name="_Toc95743432"/>
      <w:r w:rsidR="003D1FAF" w:rsidRPr="00CE0885">
        <w:rPr>
          <w:rFonts w:eastAsia="Arial"/>
        </w:rPr>
        <w:t xml:space="preserve">Appendix A; </w:t>
      </w:r>
      <w:r w:rsidR="00867125">
        <w:rPr>
          <w:rFonts w:eastAsia="Arial"/>
        </w:rPr>
        <w:t xml:space="preserve">GMS </w:t>
      </w:r>
      <w:r w:rsidR="003D1FAF" w:rsidRPr="00CE0885">
        <w:rPr>
          <w:rFonts w:eastAsia="Arial"/>
        </w:rPr>
        <w:t xml:space="preserve">paragraph </w:t>
      </w:r>
      <w:r w:rsidR="00867125">
        <w:rPr>
          <w:rFonts w:eastAsia="Arial"/>
        </w:rPr>
        <w:t>21</w:t>
      </w:r>
      <w:r w:rsidR="00867125" w:rsidRPr="00CE0885">
        <w:rPr>
          <w:rFonts w:eastAsia="Arial"/>
        </w:rPr>
        <w:t xml:space="preserve"> </w:t>
      </w:r>
      <w:r w:rsidR="003D1FAF" w:rsidRPr="00CE0885">
        <w:rPr>
          <w:rFonts w:eastAsia="Arial"/>
        </w:rPr>
        <w:t xml:space="preserve">of Part 2 of Schedule </w:t>
      </w:r>
      <w:r w:rsidR="00867125">
        <w:rPr>
          <w:rFonts w:eastAsia="Arial"/>
        </w:rPr>
        <w:t>3</w:t>
      </w:r>
      <w:bookmarkEnd w:id="518"/>
    </w:p>
    <w:p w14:paraId="3453F852" w14:textId="77777777" w:rsidR="003D1FAF" w:rsidRPr="00CE0885" w:rsidRDefault="003D1FAF" w:rsidP="003D1FAF">
      <w:pPr>
        <w:spacing w:line="360" w:lineRule="auto"/>
        <w:rPr>
          <w:rFonts w:cs="Arial"/>
        </w:rPr>
      </w:pPr>
    </w:p>
    <w:p w14:paraId="2B8922E3" w14:textId="75DB1D4A" w:rsidR="00671886" w:rsidRPr="00CE0885" w:rsidRDefault="003D1FAF" w:rsidP="003D1FAF">
      <w:pPr>
        <w:spacing w:line="360" w:lineRule="auto"/>
        <w:ind w:left="240" w:right="400"/>
        <w:rPr>
          <w:rFonts w:eastAsia="Arial" w:cs="Arial"/>
          <w:b/>
          <w:sz w:val="28"/>
        </w:rPr>
      </w:pPr>
      <w:r w:rsidRPr="00CE0885">
        <w:rPr>
          <w:rFonts w:eastAsia="Arial" w:cs="Arial"/>
          <w:b/>
          <w:sz w:val="28"/>
        </w:rPr>
        <w:t>Refusal of applications for inclusion in the list of patients or for acceptance as a temporary resident</w:t>
      </w:r>
    </w:p>
    <w:p w14:paraId="35BCB65D" w14:textId="3AE5C1E9" w:rsidR="00867125" w:rsidRPr="00E509C8" w:rsidRDefault="00867125" w:rsidP="00867125">
      <w:pPr>
        <w:pStyle w:val="legp1paratext"/>
        <w:shd w:val="clear" w:color="auto" w:fill="FFFFFF"/>
        <w:spacing w:before="0" w:beforeAutospacing="0" w:after="120" w:afterAutospacing="0" w:line="360" w:lineRule="atLeast"/>
        <w:ind w:firstLine="240"/>
        <w:jc w:val="both"/>
        <w:rPr>
          <w:rFonts w:ascii="Arial" w:hAnsi="Arial" w:cs="Arial"/>
          <w:color w:val="494949"/>
        </w:rPr>
      </w:pPr>
      <w:r w:rsidRPr="00E509C8">
        <w:rPr>
          <w:rStyle w:val="legp1no"/>
          <w:rFonts w:ascii="Arial" w:hAnsi="Arial" w:cs="Arial"/>
          <w:b/>
          <w:bCs/>
          <w:color w:val="494949"/>
        </w:rPr>
        <w:t>21.</w:t>
      </w:r>
      <w:r w:rsidRPr="00E509C8">
        <w:rPr>
          <w:rFonts w:ascii="Arial" w:hAnsi="Arial" w:cs="Arial"/>
          <w:color w:val="494949"/>
        </w:rPr>
        <w:t>—</w:t>
      </w:r>
    </w:p>
    <w:p w14:paraId="46B7568F" w14:textId="07C7F4B7" w:rsidR="00867125" w:rsidRPr="00A553BA" w:rsidRDefault="00867125" w:rsidP="00A553BA">
      <w:pPr>
        <w:pStyle w:val="legp1paratext"/>
        <w:shd w:val="clear" w:color="auto" w:fill="FFFFFF"/>
        <w:spacing w:before="0" w:beforeAutospacing="0" w:after="120" w:afterAutospacing="0" w:line="360" w:lineRule="atLeast"/>
        <w:ind w:left="720"/>
        <w:jc w:val="both"/>
        <w:rPr>
          <w:color w:val="494949"/>
        </w:rPr>
      </w:pPr>
      <w:r w:rsidRPr="00E509C8">
        <w:rPr>
          <w:rFonts w:cs="Arial"/>
          <w:color w:val="494949"/>
        </w:rPr>
        <w:t>(</w:t>
      </w:r>
      <w:r w:rsidRPr="00A553BA">
        <w:rPr>
          <w:color w:val="494949"/>
        </w:rPr>
        <w:t>1)</w:t>
      </w:r>
      <w:r w:rsidRPr="00E509C8">
        <w:rPr>
          <w:rFonts w:cs="Arial"/>
          <w:color w:val="494949"/>
        </w:rPr>
        <w:t> </w:t>
      </w:r>
      <w:r w:rsidRPr="00A553BA">
        <w:rPr>
          <w:color w:val="494949"/>
        </w:rPr>
        <w:t xml:space="preserve">The contractor </w:t>
      </w:r>
      <w:r w:rsidRPr="00E509C8">
        <w:rPr>
          <w:rFonts w:cs="Arial"/>
          <w:color w:val="494949"/>
        </w:rPr>
        <w:t>may</w:t>
      </w:r>
      <w:r w:rsidRPr="00A553BA">
        <w:rPr>
          <w:color w:val="494949"/>
        </w:rPr>
        <w:t xml:space="preserve"> only refuse an application made under paragraph </w:t>
      </w:r>
      <w:r w:rsidRPr="00E509C8">
        <w:rPr>
          <w:rFonts w:cs="Arial"/>
          <w:color w:val="494949"/>
        </w:rPr>
        <w:t>18</w:t>
      </w:r>
      <w:r w:rsidRPr="00A553BA">
        <w:rPr>
          <w:color w:val="494949"/>
        </w:rPr>
        <w:t xml:space="preserve"> or</w:t>
      </w:r>
      <w:r w:rsidRPr="00E509C8">
        <w:rPr>
          <w:rFonts w:ascii="Arial" w:hAnsi="Arial" w:cs="Arial"/>
          <w:color w:val="494949"/>
        </w:rPr>
        <w:t xml:space="preserve"> 20</w:t>
      </w:r>
      <w:r w:rsidRPr="00A553BA">
        <w:rPr>
          <w:rFonts w:ascii="Arial" w:hAnsi="Arial"/>
          <w:color w:val="494949"/>
        </w:rPr>
        <w:t xml:space="preserve"> if </w:t>
      </w:r>
      <w:r w:rsidRPr="00E509C8">
        <w:rPr>
          <w:rFonts w:ascii="Arial" w:hAnsi="Arial" w:cs="Arial"/>
          <w:color w:val="494949"/>
        </w:rPr>
        <w:t xml:space="preserve">the contractor </w:t>
      </w:r>
      <w:r w:rsidRPr="00A553BA">
        <w:rPr>
          <w:rFonts w:ascii="Arial" w:hAnsi="Arial"/>
          <w:color w:val="494949"/>
        </w:rPr>
        <w:t xml:space="preserve">has reasonable grounds for doing so which do not relate to the applicant’s </w:t>
      </w:r>
      <w:r w:rsidRPr="00E509C8">
        <w:rPr>
          <w:rFonts w:ascii="Arial" w:hAnsi="Arial" w:cs="Arial"/>
          <w:color w:val="494949"/>
        </w:rPr>
        <w:t>age</w:t>
      </w:r>
      <w:r w:rsidRPr="00A553BA">
        <w:rPr>
          <w:rFonts w:ascii="Arial" w:hAnsi="Arial"/>
          <w:color w:val="494949"/>
        </w:rPr>
        <w:t>, appearance, disability or medical condition</w:t>
      </w:r>
      <w:r w:rsidRPr="00E509C8">
        <w:rPr>
          <w:rFonts w:ascii="Arial" w:hAnsi="Arial" w:cs="Arial"/>
          <w:color w:val="494949"/>
        </w:rPr>
        <w:t xml:space="preserve">, gender or gender reassignment, marriage or civil partnership, pregnancy or maternity, race, religion or belief, sexual orientation or social class. </w:t>
      </w:r>
    </w:p>
    <w:p w14:paraId="0280906F" w14:textId="3EEC3A20" w:rsidR="00867125" w:rsidRPr="00E509C8" w:rsidRDefault="00867125" w:rsidP="00E509C8">
      <w:pPr>
        <w:pStyle w:val="legp2paratext"/>
        <w:shd w:val="clear" w:color="auto" w:fill="FFFFFF"/>
        <w:spacing w:before="0" w:beforeAutospacing="0" w:after="120" w:afterAutospacing="0" w:line="360" w:lineRule="atLeast"/>
        <w:ind w:left="720"/>
        <w:jc w:val="both"/>
        <w:rPr>
          <w:rFonts w:ascii="Arial" w:hAnsi="Arial" w:cs="Arial"/>
          <w:color w:val="494949"/>
        </w:rPr>
      </w:pPr>
      <w:r w:rsidRPr="00E509C8">
        <w:rPr>
          <w:rFonts w:ascii="Arial" w:hAnsi="Arial" w:cs="Arial"/>
          <w:color w:val="494949"/>
        </w:rPr>
        <w:t>(2) </w:t>
      </w:r>
      <w:r w:rsidRPr="00A553BA">
        <w:rPr>
          <w:rFonts w:ascii="Arial" w:hAnsi="Arial"/>
          <w:color w:val="494949"/>
        </w:rPr>
        <w:t xml:space="preserve">The reasonable grounds referred to in </w:t>
      </w:r>
      <w:r w:rsidRPr="00E509C8">
        <w:rPr>
          <w:rFonts w:ascii="Arial" w:hAnsi="Arial" w:cs="Arial"/>
          <w:color w:val="494949"/>
        </w:rPr>
        <w:t>sub-</w:t>
      </w:r>
      <w:r w:rsidRPr="00A553BA">
        <w:rPr>
          <w:rFonts w:ascii="Arial" w:hAnsi="Arial"/>
          <w:color w:val="494949"/>
        </w:rPr>
        <w:t xml:space="preserve">paragraph (1) </w:t>
      </w:r>
      <w:r w:rsidRPr="00E509C8">
        <w:rPr>
          <w:rFonts w:ascii="Arial" w:hAnsi="Arial" w:cs="Arial"/>
          <w:color w:val="494949"/>
        </w:rPr>
        <w:t>may</w:t>
      </w:r>
      <w:r w:rsidRPr="00A553BA">
        <w:rPr>
          <w:rFonts w:ascii="Arial" w:hAnsi="Arial"/>
          <w:color w:val="494949"/>
        </w:rPr>
        <w:t xml:space="preserve">, in the case of </w:t>
      </w:r>
      <w:r w:rsidRPr="00E509C8">
        <w:rPr>
          <w:rFonts w:ascii="Arial" w:hAnsi="Arial" w:cs="Arial"/>
          <w:color w:val="494949"/>
        </w:rPr>
        <w:t>an application</w:t>
      </w:r>
      <w:r w:rsidRPr="00A553BA">
        <w:rPr>
          <w:rFonts w:ascii="Arial" w:hAnsi="Arial"/>
          <w:color w:val="494949"/>
        </w:rPr>
        <w:t xml:space="preserve"> made under paragraph </w:t>
      </w:r>
      <w:r w:rsidRPr="00E509C8">
        <w:rPr>
          <w:rFonts w:ascii="Arial" w:hAnsi="Arial" w:cs="Arial"/>
          <w:color w:val="494949"/>
        </w:rPr>
        <w:t>18</w:t>
      </w:r>
      <w:r w:rsidRPr="00A553BA">
        <w:rPr>
          <w:rFonts w:ascii="Arial" w:hAnsi="Arial"/>
          <w:color w:val="494949"/>
        </w:rPr>
        <w:t>, include the ground that the applicant</w:t>
      </w:r>
      <w:r w:rsidRPr="00E509C8">
        <w:rPr>
          <w:rFonts w:ascii="Arial" w:hAnsi="Arial" w:cs="Arial"/>
          <w:color w:val="494949"/>
        </w:rPr>
        <w:t xml:space="preserve">— </w:t>
      </w:r>
    </w:p>
    <w:p w14:paraId="193195B1" w14:textId="077EBA9D" w:rsidR="00867125" w:rsidRPr="00A553BA" w:rsidRDefault="00867125" w:rsidP="00A553BA">
      <w:pPr>
        <w:pStyle w:val="legclearfix"/>
        <w:shd w:val="clear" w:color="auto" w:fill="FFFFFF"/>
        <w:spacing w:before="0" w:beforeAutospacing="0" w:after="120" w:afterAutospacing="0" w:line="360" w:lineRule="atLeast"/>
        <w:ind w:left="1440"/>
        <w:rPr>
          <w:color w:val="494949"/>
        </w:rPr>
      </w:pPr>
      <w:r w:rsidRPr="00E509C8">
        <w:rPr>
          <w:rStyle w:val="legds"/>
          <w:rFonts w:ascii="Arial" w:hAnsi="Arial" w:cs="Arial"/>
          <w:color w:val="494949"/>
        </w:rPr>
        <w:t>(a)</w:t>
      </w:r>
      <w:r w:rsidRPr="00A553BA">
        <w:rPr>
          <w:rStyle w:val="legds"/>
          <w:color w:val="494949"/>
        </w:rPr>
        <w:t xml:space="preserve"> does not live in the contractor’s practice area</w:t>
      </w:r>
      <w:r w:rsidRPr="00E509C8">
        <w:rPr>
          <w:rStyle w:val="legds"/>
          <w:rFonts w:ascii="Arial" w:hAnsi="Arial" w:cs="Arial"/>
          <w:color w:val="494949"/>
        </w:rPr>
        <w:t>; or</w:t>
      </w:r>
    </w:p>
    <w:p w14:paraId="1E4876F4" w14:textId="23C9DC79" w:rsidR="00867125" w:rsidRPr="00E509C8" w:rsidRDefault="00867125" w:rsidP="00E509C8">
      <w:pPr>
        <w:pStyle w:val="legclearfix"/>
        <w:shd w:val="clear" w:color="auto" w:fill="FFFFFF"/>
        <w:spacing w:before="0" w:beforeAutospacing="0" w:after="120" w:afterAutospacing="0" w:line="360" w:lineRule="atLeast"/>
        <w:ind w:left="1440"/>
        <w:rPr>
          <w:rFonts w:ascii="Arial" w:hAnsi="Arial" w:cs="Arial"/>
          <w:color w:val="494949"/>
        </w:rPr>
      </w:pPr>
      <w:r w:rsidRPr="00E509C8">
        <w:rPr>
          <w:rStyle w:val="legds"/>
          <w:rFonts w:ascii="Arial" w:hAnsi="Arial" w:cs="Arial"/>
          <w:color w:val="494949"/>
        </w:rPr>
        <w:t>(b)</w:t>
      </w:r>
      <w:r>
        <w:rPr>
          <w:rStyle w:val="legds"/>
          <w:rFonts w:ascii="Arial" w:hAnsi="Arial" w:cs="Arial"/>
          <w:color w:val="494949"/>
        </w:rPr>
        <w:t xml:space="preserve"> </w:t>
      </w:r>
      <w:r w:rsidRPr="00E509C8">
        <w:rPr>
          <w:rStyle w:val="legds"/>
          <w:rFonts w:ascii="Arial" w:hAnsi="Arial" w:cs="Arial"/>
          <w:color w:val="494949"/>
        </w:rPr>
        <w:t>lives in the outer boundary area (the area referred to in regulation 20(3)).</w:t>
      </w:r>
    </w:p>
    <w:p w14:paraId="5D083C57" w14:textId="70591DBF" w:rsidR="00867125" w:rsidRPr="00A553BA" w:rsidRDefault="00867125" w:rsidP="00A553BA">
      <w:pPr>
        <w:pStyle w:val="legp2paratext"/>
        <w:shd w:val="clear" w:color="auto" w:fill="FFFFFF"/>
        <w:spacing w:before="0" w:beforeAutospacing="0" w:after="120" w:afterAutospacing="0" w:line="360" w:lineRule="atLeast"/>
        <w:ind w:left="720"/>
        <w:jc w:val="both"/>
        <w:rPr>
          <w:color w:val="494949"/>
        </w:rPr>
      </w:pPr>
      <w:r w:rsidRPr="00E509C8">
        <w:rPr>
          <w:rFonts w:ascii="Arial" w:hAnsi="Arial" w:cs="Arial"/>
          <w:color w:val="494949"/>
        </w:rPr>
        <w:t>(3) Where a</w:t>
      </w:r>
      <w:r w:rsidRPr="00A553BA">
        <w:rPr>
          <w:rFonts w:ascii="Arial" w:hAnsi="Arial"/>
          <w:color w:val="494949"/>
        </w:rPr>
        <w:t xml:space="preserve"> contractor refuses an application made under paragraph </w:t>
      </w:r>
      <w:r w:rsidRPr="00E509C8">
        <w:rPr>
          <w:rFonts w:ascii="Arial" w:hAnsi="Arial" w:cs="Arial"/>
          <w:color w:val="494949"/>
        </w:rPr>
        <w:t>18 or 20, the contractor must give notice in writing of that refusal and the reasons for it to</w:t>
      </w:r>
      <w:r w:rsidRPr="00A553BA">
        <w:rPr>
          <w:rFonts w:ascii="Arial" w:hAnsi="Arial"/>
          <w:color w:val="494949"/>
        </w:rPr>
        <w:t xml:space="preserve"> the applicant (or, in the case of a child or </w:t>
      </w:r>
      <w:r w:rsidRPr="00E509C8">
        <w:rPr>
          <w:rFonts w:ascii="Arial" w:hAnsi="Arial" w:cs="Arial"/>
          <w:color w:val="494949"/>
        </w:rPr>
        <w:t>an</w:t>
      </w:r>
      <w:r w:rsidRPr="00A553BA">
        <w:rPr>
          <w:rFonts w:ascii="Arial" w:hAnsi="Arial"/>
          <w:color w:val="494949"/>
        </w:rPr>
        <w:t xml:space="preserve"> adult</w:t>
      </w:r>
      <w:r w:rsidRPr="00E509C8">
        <w:rPr>
          <w:rFonts w:ascii="Arial" w:hAnsi="Arial" w:cs="Arial"/>
          <w:color w:val="494949"/>
        </w:rPr>
        <w:t xml:space="preserve"> who lacks capacity, to</w:t>
      </w:r>
      <w:r w:rsidRPr="00A553BA">
        <w:rPr>
          <w:rFonts w:ascii="Arial" w:hAnsi="Arial"/>
          <w:color w:val="494949"/>
        </w:rPr>
        <w:t xml:space="preserve"> the person </w:t>
      </w:r>
      <w:r w:rsidRPr="00E509C8">
        <w:rPr>
          <w:rFonts w:ascii="Arial" w:hAnsi="Arial" w:cs="Arial"/>
          <w:color w:val="494949"/>
        </w:rPr>
        <w:t>who made</w:t>
      </w:r>
      <w:r w:rsidRPr="00A553BA">
        <w:rPr>
          <w:rFonts w:ascii="Arial" w:hAnsi="Arial"/>
          <w:color w:val="494949"/>
        </w:rPr>
        <w:t xml:space="preserve"> the application on their behalf) </w:t>
      </w:r>
      <w:r w:rsidRPr="00E509C8">
        <w:rPr>
          <w:rFonts w:ascii="Arial" w:hAnsi="Arial" w:cs="Arial"/>
          <w:color w:val="494949"/>
        </w:rPr>
        <w:t>before the end</w:t>
      </w:r>
      <w:r w:rsidRPr="00A553BA">
        <w:rPr>
          <w:rFonts w:ascii="Arial" w:hAnsi="Arial"/>
          <w:color w:val="494949"/>
        </w:rPr>
        <w:t xml:space="preserve"> of the </w:t>
      </w:r>
      <w:r w:rsidRPr="00E509C8">
        <w:rPr>
          <w:rFonts w:ascii="Arial" w:hAnsi="Arial" w:cs="Arial"/>
          <w:color w:val="494949"/>
        </w:rPr>
        <w:t xml:space="preserve">period of 14 days beginning with the date of its decision to refuse. </w:t>
      </w:r>
    </w:p>
    <w:p w14:paraId="1FFFBD4F" w14:textId="25D719E8" w:rsidR="00867125" w:rsidRPr="00E509C8" w:rsidRDefault="00867125" w:rsidP="00E509C8">
      <w:pPr>
        <w:pStyle w:val="legp2paratext"/>
        <w:shd w:val="clear" w:color="auto" w:fill="FFFFFF"/>
        <w:spacing w:before="0" w:beforeAutospacing="0" w:after="120" w:afterAutospacing="0" w:line="360" w:lineRule="atLeast"/>
        <w:ind w:left="720"/>
        <w:jc w:val="both"/>
        <w:rPr>
          <w:rFonts w:ascii="Arial" w:hAnsi="Arial" w:cs="Arial"/>
          <w:color w:val="494949"/>
        </w:rPr>
      </w:pPr>
      <w:r w:rsidRPr="00E509C8">
        <w:rPr>
          <w:rFonts w:ascii="Arial" w:hAnsi="Arial" w:cs="Arial"/>
          <w:color w:val="494949"/>
        </w:rPr>
        <w:t>(4) </w:t>
      </w:r>
      <w:r w:rsidRPr="00A553BA">
        <w:rPr>
          <w:rFonts w:ascii="Arial" w:hAnsi="Arial"/>
          <w:color w:val="494949"/>
        </w:rPr>
        <w:t xml:space="preserve">The contractor </w:t>
      </w:r>
      <w:r w:rsidRPr="00E509C8">
        <w:rPr>
          <w:rFonts w:ascii="Arial" w:hAnsi="Arial" w:cs="Arial"/>
          <w:color w:val="494949"/>
        </w:rPr>
        <w:t xml:space="preserve">must— </w:t>
      </w:r>
    </w:p>
    <w:p w14:paraId="310E4229" w14:textId="480993F3" w:rsidR="00867125" w:rsidRPr="00E509C8" w:rsidRDefault="00867125" w:rsidP="00E509C8">
      <w:pPr>
        <w:pStyle w:val="legclearfix"/>
        <w:shd w:val="clear" w:color="auto" w:fill="FFFFFF"/>
        <w:spacing w:before="0" w:beforeAutospacing="0" w:after="120" w:afterAutospacing="0" w:line="360" w:lineRule="atLeast"/>
        <w:ind w:left="1440"/>
        <w:rPr>
          <w:rFonts w:ascii="Arial" w:hAnsi="Arial" w:cs="Arial"/>
          <w:color w:val="494949"/>
        </w:rPr>
      </w:pPr>
      <w:r w:rsidRPr="00E509C8">
        <w:rPr>
          <w:rStyle w:val="legds"/>
          <w:rFonts w:ascii="Arial" w:hAnsi="Arial" w:cs="Arial"/>
          <w:color w:val="494949"/>
        </w:rPr>
        <w:t>(a)</w:t>
      </w:r>
      <w:r w:rsidRPr="00A553BA">
        <w:rPr>
          <w:rStyle w:val="legds"/>
          <w:rFonts w:ascii="Arial" w:hAnsi="Arial"/>
          <w:color w:val="494949"/>
        </w:rPr>
        <w:t xml:space="preserve"> keep a written record of</w:t>
      </w:r>
      <w:r w:rsidRPr="00E509C8">
        <w:rPr>
          <w:rStyle w:val="legds"/>
          <w:rFonts w:ascii="Arial" w:hAnsi="Arial" w:cs="Arial"/>
          <w:color w:val="494949"/>
        </w:rPr>
        <w:t>—</w:t>
      </w:r>
    </w:p>
    <w:p w14:paraId="0B0CFD28" w14:textId="1B6500B3" w:rsidR="00867125" w:rsidRPr="00E509C8" w:rsidRDefault="00867125" w:rsidP="00E509C8">
      <w:pPr>
        <w:pStyle w:val="legclearfix"/>
        <w:shd w:val="clear" w:color="auto" w:fill="FFFFFF"/>
        <w:spacing w:before="0" w:beforeAutospacing="0" w:after="120" w:afterAutospacing="0" w:line="360" w:lineRule="atLeast"/>
        <w:ind w:left="2160"/>
        <w:rPr>
          <w:rFonts w:ascii="Arial" w:hAnsi="Arial" w:cs="Arial"/>
          <w:color w:val="494949"/>
        </w:rPr>
      </w:pPr>
      <w:r w:rsidRPr="00E509C8">
        <w:rPr>
          <w:rStyle w:val="legds"/>
          <w:rFonts w:ascii="Arial" w:hAnsi="Arial" w:cs="Arial"/>
          <w:color w:val="494949"/>
        </w:rPr>
        <w:t>(i)</w:t>
      </w:r>
      <w:r>
        <w:rPr>
          <w:rStyle w:val="legds"/>
          <w:rFonts w:ascii="Arial" w:hAnsi="Arial" w:cs="Arial"/>
          <w:color w:val="494949"/>
        </w:rPr>
        <w:t xml:space="preserve"> </w:t>
      </w:r>
      <w:r w:rsidRPr="00E509C8">
        <w:rPr>
          <w:rStyle w:val="legds"/>
          <w:rFonts w:ascii="Arial" w:hAnsi="Arial" w:cs="Arial"/>
          <w:color w:val="494949"/>
        </w:rPr>
        <w:t>the refusal of any application</w:t>
      </w:r>
      <w:r w:rsidRPr="00A553BA">
        <w:rPr>
          <w:rStyle w:val="legds"/>
          <w:rFonts w:ascii="Arial" w:hAnsi="Arial"/>
          <w:color w:val="494949"/>
        </w:rPr>
        <w:t xml:space="preserve"> made under paragraph </w:t>
      </w:r>
      <w:r w:rsidRPr="00E509C8">
        <w:rPr>
          <w:rStyle w:val="legds"/>
          <w:rFonts w:ascii="Arial" w:hAnsi="Arial" w:cs="Arial"/>
          <w:color w:val="494949"/>
        </w:rPr>
        <w:t>18,</w:t>
      </w:r>
      <w:r w:rsidRPr="00A553BA">
        <w:rPr>
          <w:rStyle w:val="legds"/>
          <w:rFonts w:ascii="Arial" w:hAnsi="Arial"/>
          <w:color w:val="494949"/>
        </w:rPr>
        <w:t xml:space="preserve"> and</w:t>
      </w:r>
    </w:p>
    <w:p w14:paraId="0C58AE58" w14:textId="6D530A80" w:rsidR="00867125" w:rsidRPr="00E509C8" w:rsidRDefault="00867125" w:rsidP="00E509C8">
      <w:pPr>
        <w:pStyle w:val="legclearfix"/>
        <w:shd w:val="clear" w:color="auto" w:fill="FFFFFF"/>
        <w:spacing w:before="0" w:beforeAutospacing="0" w:after="120" w:afterAutospacing="0" w:line="360" w:lineRule="atLeast"/>
        <w:ind w:left="2160"/>
        <w:rPr>
          <w:rFonts w:ascii="Arial" w:hAnsi="Arial" w:cs="Arial"/>
          <w:color w:val="494949"/>
        </w:rPr>
      </w:pPr>
      <w:r w:rsidRPr="00E509C8">
        <w:rPr>
          <w:rStyle w:val="legds"/>
          <w:rFonts w:ascii="Arial" w:hAnsi="Arial" w:cs="Arial"/>
          <w:color w:val="494949"/>
        </w:rPr>
        <w:t>(ii)</w:t>
      </w:r>
      <w:r w:rsidRPr="00A553BA">
        <w:rPr>
          <w:rStyle w:val="legds"/>
          <w:rFonts w:ascii="Arial" w:hAnsi="Arial"/>
          <w:color w:val="494949"/>
        </w:rPr>
        <w:t xml:space="preserve"> the reasons for </w:t>
      </w:r>
      <w:r w:rsidRPr="00E509C8">
        <w:rPr>
          <w:rStyle w:val="legds"/>
          <w:rFonts w:ascii="Arial" w:hAnsi="Arial" w:cs="Arial"/>
          <w:color w:val="494949"/>
        </w:rPr>
        <w:t>that refusal;</w:t>
      </w:r>
      <w:r w:rsidRPr="00A553BA">
        <w:rPr>
          <w:rStyle w:val="legds"/>
          <w:rFonts w:ascii="Arial" w:hAnsi="Arial"/>
          <w:color w:val="494949"/>
        </w:rPr>
        <w:t xml:space="preserve"> and</w:t>
      </w:r>
    </w:p>
    <w:p w14:paraId="41250C08" w14:textId="4F36BBAA" w:rsidR="00867125" w:rsidRDefault="00867125" w:rsidP="006C3DF5">
      <w:pPr>
        <w:pStyle w:val="legclearfix"/>
        <w:numPr>
          <w:ilvl w:val="0"/>
          <w:numId w:val="205"/>
        </w:numPr>
        <w:shd w:val="clear" w:color="auto" w:fill="FFFFFF"/>
        <w:spacing w:before="0" w:beforeAutospacing="0" w:after="120" w:afterAutospacing="0" w:line="360" w:lineRule="atLeast"/>
        <w:rPr>
          <w:rStyle w:val="legds"/>
          <w:color w:val="494949"/>
        </w:rPr>
      </w:pPr>
      <w:r w:rsidRPr="00A553BA">
        <w:rPr>
          <w:rStyle w:val="legds"/>
          <w:color w:val="494949"/>
        </w:rPr>
        <w:t xml:space="preserve">make </w:t>
      </w:r>
      <w:r w:rsidRPr="00E509C8">
        <w:rPr>
          <w:rStyle w:val="legds"/>
          <w:rFonts w:ascii="Arial" w:hAnsi="Arial" w:cs="Arial"/>
          <w:color w:val="494949"/>
        </w:rPr>
        <w:t>such records</w:t>
      </w:r>
      <w:r w:rsidRPr="00A553BA">
        <w:rPr>
          <w:rStyle w:val="legds"/>
          <w:color w:val="494949"/>
        </w:rPr>
        <w:t xml:space="preserve"> available to the </w:t>
      </w:r>
      <w:r w:rsidRPr="00E509C8">
        <w:rPr>
          <w:rStyle w:val="legds"/>
          <w:rFonts w:ascii="Arial" w:hAnsi="Arial" w:cs="Arial"/>
          <w:color w:val="494949"/>
        </w:rPr>
        <w:t>Board</w:t>
      </w:r>
      <w:r w:rsidRPr="00A553BA">
        <w:rPr>
          <w:rStyle w:val="legds"/>
          <w:color w:val="494949"/>
        </w:rPr>
        <w:t xml:space="preserve"> on request.</w:t>
      </w:r>
    </w:p>
    <w:p w14:paraId="2324A0BA" w14:textId="01CA362A" w:rsidR="00FD5DD8" w:rsidRDefault="00FD5DD8" w:rsidP="00FD5DD8">
      <w:pPr>
        <w:pStyle w:val="legclearfix"/>
        <w:shd w:val="clear" w:color="auto" w:fill="FFFFFF"/>
        <w:spacing w:before="0" w:beforeAutospacing="0" w:after="120" w:afterAutospacing="0" w:line="360" w:lineRule="atLeast"/>
        <w:rPr>
          <w:rStyle w:val="legds"/>
          <w:color w:val="494949"/>
        </w:rPr>
      </w:pPr>
    </w:p>
    <w:p w14:paraId="458C8EB9" w14:textId="3C4C2228" w:rsidR="00FD5DD8" w:rsidRDefault="00FD5DD8" w:rsidP="00FD5DD8">
      <w:pPr>
        <w:pStyle w:val="legclearfix"/>
        <w:shd w:val="clear" w:color="auto" w:fill="FFFFFF"/>
        <w:spacing w:before="0" w:beforeAutospacing="0" w:after="120" w:afterAutospacing="0" w:line="360" w:lineRule="atLeast"/>
        <w:rPr>
          <w:rStyle w:val="legds"/>
          <w:color w:val="494949"/>
        </w:rPr>
      </w:pPr>
    </w:p>
    <w:p w14:paraId="4FC725EE" w14:textId="77777777" w:rsidR="00FD5DD8" w:rsidRPr="00A553BA" w:rsidRDefault="00FD5DD8" w:rsidP="00FD5DD8">
      <w:pPr>
        <w:pStyle w:val="legclearfix"/>
        <w:shd w:val="clear" w:color="auto" w:fill="FFFFFF"/>
        <w:spacing w:before="0" w:beforeAutospacing="0" w:after="120" w:afterAutospacing="0" w:line="360" w:lineRule="atLeast"/>
        <w:rPr>
          <w:color w:val="494949"/>
        </w:rPr>
      </w:pPr>
    </w:p>
    <w:p w14:paraId="04E67393" w14:textId="72C87ACC" w:rsidR="0015247B" w:rsidRPr="00867125" w:rsidRDefault="0015247B" w:rsidP="003D1FAF">
      <w:pPr>
        <w:spacing w:line="360" w:lineRule="auto"/>
        <w:jc w:val="right"/>
        <w:rPr>
          <w:rFonts w:eastAsia="Arial" w:cs="Arial"/>
          <w:szCs w:val="24"/>
        </w:rPr>
      </w:pPr>
    </w:p>
    <w:p w14:paraId="2F080300" w14:textId="6D68F72D" w:rsidR="00686F5F" w:rsidRPr="00FA7B89" w:rsidRDefault="00686F5F" w:rsidP="00FA7B89">
      <w:pPr>
        <w:pStyle w:val="Heading1"/>
      </w:pPr>
      <w:bookmarkStart w:id="519" w:name="_Hlk86998916"/>
      <w:r>
        <w:rPr>
          <w:highlight w:val="yellow"/>
        </w:rPr>
        <w:t xml:space="preserve"> </w:t>
      </w:r>
      <w:bookmarkStart w:id="520" w:name="_Toc95743433"/>
      <w:r w:rsidRPr="00686F5F">
        <w:rPr>
          <w:highlight w:val="yellow"/>
        </w:rPr>
        <w:t xml:space="preserve">Managing [non-violent] </w:t>
      </w:r>
      <w:bookmarkStart w:id="521" w:name="_Hlk87027495"/>
      <w:r w:rsidRPr="00686F5F">
        <w:rPr>
          <w:highlight w:val="yellow"/>
        </w:rPr>
        <w:t>inappropriate and unacceptable patient behaviours</w:t>
      </w:r>
      <w:bookmarkEnd w:id="521"/>
      <w:r w:rsidRPr="00686F5F">
        <w:rPr>
          <w:highlight w:val="yellow"/>
        </w:rPr>
        <w:t xml:space="preserve">, including </w:t>
      </w:r>
      <w:bookmarkStart w:id="522" w:name="_Hlk86955056"/>
      <w:r w:rsidRPr="00686F5F">
        <w:rPr>
          <w:highlight w:val="yellow"/>
        </w:rPr>
        <w:t xml:space="preserve">protecting against </w:t>
      </w:r>
      <w:bookmarkStart w:id="523" w:name="_Hlk87019326"/>
      <w:r w:rsidRPr="00686F5F">
        <w:rPr>
          <w:highlight w:val="yellow"/>
        </w:rPr>
        <w:t>discrimination, harassment or victimisation</w:t>
      </w:r>
      <w:bookmarkEnd w:id="519"/>
      <w:r w:rsidRPr="00686F5F">
        <w:rPr>
          <w:highlight w:val="yellow"/>
        </w:rPr>
        <w:t>.</w:t>
      </w:r>
      <w:bookmarkEnd w:id="520"/>
    </w:p>
    <w:bookmarkEnd w:id="522"/>
    <w:bookmarkEnd w:id="523"/>
    <w:p w14:paraId="6167E167" w14:textId="77777777" w:rsidR="00686F5F" w:rsidRPr="00686F5F" w:rsidRDefault="00686F5F" w:rsidP="0025375E">
      <w:pPr>
        <w:spacing w:line="360" w:lineRule="auto"/>
        <w:ind w:left="432" w:hanging="720"/>
        <w:outlineLvl w:val="0"/>
        <w:rPr>
          <w:rFonts w:cs="Arial"/>
          <w:b/>
          <w:color w:val="005EB8" w:themeColor="text2"/>
          <w:kern w:val="32"/>
          <w:sz w:val="32"/>
          <w:szCs w:val="32"/>
        </w:rPr>
      </w:pPr>
    </w:p>
    <w:p w14:paraId="693F146B" w14:textId="2D11B7BB" w:rsidR="00686F5F" w:rsidRPr="00686F5F" w:rsidRDefault="00211CA1" w:rsidP="00C12A20">
      <w:pPr>
        <w:spacing w:line="360" w:lineRule="auto"/>
        <w:ind w:left="851" w:hanging="851"/>
        <w:outlineLvl w:val="2"/>
        <w:rPr>
          <w:lang w:eastAsia="en-GB"/>
        </w:rPr>
      </w:pPr>
      <w:r>
        <w:rPr>
          <w:lang w:eastAsia="en-GB"/>
        </w:rPr>
        <w:t xml:space="preserve">6.1 </w:t>
      </w:r>
      <w:r w:rsidR="0025375E">
        <w:rPr>
          <w:lang w:eastAsia="en-GB"/>
        </w:rPr>
        <w:tab/>
      </w:r>
      <w:r w:rsidR="00686F5F" w:rsidRPr="00686F5F">
        <w:rPr>
          <w:lang w:eastAsia="en-GB"/>
        </w:rPr>
        <w:t xml:space="preserve">This chapter supplements and should be read alongside guidance provided under Chapter 3 (Managing Patient Lists) and Chapter </w:t>
      </w:r>
      <w:r w:rsidR="00F7437D">
        <w:rPr>
          <w:lang w:eastAsia="en-GB"/>
        </w:rPr>
        <w:t>7</w:t>
      </w:r>
      <w:r w:rsidR="00686F5F" w:rsidRPr="00686F5F">
        <w:rPr>
          <w:lang w:eastAsia="en-GB"/>
        </w:rPr>
        <w:t xml:space="preserve"> (Managing Violent Patients - Special Allocation Scheme (SAS) to support the management of inappropriate and unacceptable patient behaviours, including to protect practice teams and other patients from discrimination, harassment or victimisation. </w:t>
      </w:r>
    </w:p>
    <w:p w14:paraId="33FF2B35" w14:textId="77777777" w:rsidR="00686F5F" w:rsidRPr="00686F5F" w:rsidRDefault="00686F5F" w:rsidP="00686F5F">
      <w:pPr>
        <w:spacing w:line="360" w:lineRule="auto"/>
        <w:ind w:left="720"/>
        <w:outlineLvl w:val="2"/>
        <w:rPr>
          <w:lang w:eastAsia="en-GB"/>
        </w:rPr>
      </w:pPr>
    </w:p>
    <w:p w14:paraId="6CA015C0" w14:textId="6449FE1F" w:rsidR="00211CA1" w:rsidRDefault="00211CA1" w:rsidP="00C12A20">
      <w:pPr>
        <w:spacing w:line="360" w:lineRule="auto"/>
        <w:ind w:left="720" w:hanging="720"/>
        <w:outlineLvl w:val="2"/>
        <w:rPr>
          <w:bCs w:val="0"/>
          <w:szCs w:val="20"/>
          <w:lang w:eastAsia="en-GB"/>
        </w:rPr>
      </w:pPr>
      <w:r>
        <w:rPr>
          <w:bCs w:val="0"/>
          <w:szCs w:val="20"/>
          <w:lang w:eastAsia="en-GB"/>
        </w:rPr>
        <w:t xml:space="preserve">6.2 </w:t>
      </w:r>
      <w:r w:rsidR="00C12A20">
        <w:rPr>
          <w:bCs w:val="0"/>
          <w:szCs w:val="20"/>
          <w:lang w:eastAsia="en-GB"/>
        </w:rPr>
        <w:tab/>
      </w:r>
      <w:r w:rsidR="00686F5F" w:rsidRPr="00686F5F">
        <w:rPr>
          <w:bCs w:val="0"/>
          <w:szCs w:val="20"/>
          <w:lang w:eastAsia="en-GB"/>
        </w:rPr>
        <w:t>Given the importance of the interests this guidance seeks to balance, ensuring that inappropriate and unacceptable patient behaviours are appropriately managed, while ensuring all patients are able to access primary medical services they need and are entitled to, this guidance covers the following key areas:</w:t>
      </w:r>
    </w:p>
    <w:p w14:paraId="3AA75B8E" w14:textId="77777777" w:rsidR="00211CA1" w:rsidRDefault="00211CA1" w:rsidP="00211CA1">
      <w:pPr>
        <w:spacing w:line="360" w:lineRule="auto"/>
        <w:outlineLvl w:val="2"/>
        <w:rPr>
          <w:lang w:eastAsia="en-GB"/>
        </w:rPr>
      </w:pPr>
    </w:p>
    <w:p w14:paraId="08138BCF" w14:textId="77777777" w:rsidR="0025375E" w:rsidRPr="0025375E" w:rsidRDefault="0025375E" w:rsidP="006C3DF5">
      <w:pPr>
        <w:numPr>
          <w:ilvl w:val="1"/>
          <w:numId w:val="248"/>
        </w:numPr>
        <w:spacing w:before="200" w:after="60" w:line="276" w:lineRule="auto"/>
        <w:jc w:val="both"/>
        <w:rPr>
          <w:bCs w:val="0"/>
          <w:color w:val="0000FF"/>
          <w:szCs w:val="24"/>
          <w:u w:val="single"/>
          <w:lang w:eastAsia="en-GB"/>
        </w:rPr>
      </w:pPr>
      <w:r w:rsidRPr="0025375E">
        <w:rPr>
          <w:bCs w:val="0"/>
          <w:color w:val="0000FF"/>
          <w:szCs w:val="24"/>
          <w:u w:val="single"/>
          <w:lang w:eastAsia="en-GB"/>
        </w:rPr>
        <w:fldChar w:fldCharType="begin"/>
      </w:r>
      <w:r w:rsidRPr="0025375E">
        <w:rPr>
          <w:bCs w:val="0"/>
          <w:color w:val="0000FF"/>
          <w:szCs w:val="24"/>
          <w:u w:val="single"/>
          <w:lang w:eastAsia="en-GB"/>
        </w:rPr>
        <w:instrText xml:space="preserve"> REF _Ref87024204 \h  \* MERGEFORMAT </w:instrText>
      </w:r>
      <w:r w:rsidRPr="0025375E">
        <w:rPr>
          <w:bCs w:val="0"/>
          <w:color w:val="0000FF"/>
          <w:szCs w:val="24"/>
          <w:u w:val="single"/>
          <w:lang w:eastAsia="en-GB"/>
        </w:rPr>
      </w:r>
      <w:r w:rsidRPr="0025375E">
        <w:rPr>
          <w:bCs w:val="0"/>
          <w:color w:val="0000FF"/>
          <w:szCs w:val="24"/>
          <w:u w:val="single"/>
          <w:lang w:eastAsia="en-GB"/>
        </w:rPr>
        <w:fldChar w:fldCharType="separate"/>
      </w:r>
      <w:r w:rsidRPr="0025375E">
        <w:rPr>
          <w:bCs w:val="0"/>
          <w:color w:val="0000FF"/>
          <w:szCs w:val="24"/>
          <w:u w:val="single"/>
          <w:lang w:eastAsia="en-GB"/>
        </w:rPr>
        <w:t>The scope of inappropriate and unacceptable patient behaviours.</w:t>
      </w:r>
      <w:r w:rsidRPr="0025375E">
        <w:rPr>
          <w:bCs w:val="0"/>
          <w:color w:val="0000FF"/>
          <w:szCs w:val="24"/>
          <w:u w:val="single"/>
          <w:lang w:eastAsia="en-GB"/>
        </w:rPr>
        <w:fldChar w:fldCharType="end"/>
      </w:r>
      <w:r w:rsidRPr="0025375E">
        <w:rPr>
          <w:bCs w:val="0"/>
          <w:color w:val="0000FF"/>
          <w:szCs w:val="24"/>
          <w:u w:val="single"/>
          <w:lang w:eastAsia="en-GB"/>
        </w:rPr>
        <w:t xml:space="preserve"> </w:t>
      </w:r>
    </w:p>
    <w:p w14:paraId="70E72B89" w14:textId="77777777" w:rsidR="0025375E" w:rsidRPr="0025375E" w:rsidRDefault="0025375E" w:rsidP="006C3DF5">
      <w:pPr>
        <w:numPr>
          <w:ilvl w:val="1"/>
          <w:numId w:val="248"/>
        </w:numPr>
        <w:spacing w:before="200" w:after="60" w:line="276" w:lineRule="auto"/>
        <w:jc w:val="both"/>
        <w:rPr>
          <w:bCs w:val="0"/>
          <w:color w:val="0000FF"/>
          <w:szCs w:val="24"/>
          <w:u w:val="single"/>
          <w:lang w:eastAsia="en-GB"/>
        </w:rPr>
      </w:pPr>
      <w:r w:rsidRPr="0025375E">
        <w:rPr>
          <w:bCs w:val="0"/>
          <w:color w:val="0000FF"/>
          <w:szCs w:val="24"/>
          <w:u w:val="single"/>
          <w:lang w:eastAsia="en-GB"/>
        </w:rPr>
        <w:fldChar w:fldCharType="begin"/>
      </w:r>
      <w:r w:rsidRPr="0025375E">
        <w:rPr>
          <w:bCs w:val="0"/>
          <w:color w:val="0000FF"/>
          <w:szCs w:val="24"/>
          <w:u w:val="single"/>
          <w:lang w:eastAsia="en-GB"/>
        </w:rPr>
        <w:instrText xml:space="preserve"> REF _Ref87259140 \h  \* MERGEFORMAT </w:instrText>
      </w:r>
      <w:r w:rsidRPr="0025375E">
        <w:rPr>
          <w:bCs w:val="0"/>
          <w:color w:val="0000FF"/>
          <w:szCs w:val="24"/>
          <w:u w:val="single"/>
          <w:lang w:eastAsia="en-GB"/>
        </w:rPr>
      </w:r>
      <w:r w:rsidRPr="0025375E">
        <w:rPr>
          <w:bCs w:val="0"/>
          <w:color w:val="0000FF"/>
          <w:szCs w:val="24"/>
          <w:u w:val="single"/>
          <w:lang w:eastAsia="en-GB"/>
        </w:rPr>
        <w:fldChar w:fldCharType="separate"/>
      </w:r>
      <w:r w:rsidRPr="0025375E">
        <w:rPr>
          <w:bCs w:val="0"/>
          <w:color w:val="0000FF"/>
          <w:szCs w:val="24"/>
          <w:u w:val="single"/>
          <w:lang w:eastAsia="en-GB"/>
        </w:rPr>
        <w:t>Managing inappropriate and unacceptable patient behaviours within the contract regulations</w:t>
      </w:r>
      <w:r w:rsidRPr="0025375E">
        <w:rPr>
          <w:bCs w:val="0"/>
          <w:color w:val="0000FF"/>
          <w:szCs w:val="24"/>
          <w:u w:val="single"/>
          <w:lang w:eastAsia="en-GB"/>
        </w:rPr>
        <w:fldChar w:fldCharType="end"/>
      </w:r>
    </w:p>
    <w:p w14:paraId="6F7E0E78" w14:textId="77777777" w:rsidR="0025375E" w:rsidRPr="0025375E" w:rsidRDefault="0025375E" w:rsidP="006C3DF5">
      <w:pPr>
        <w:numPr>
          <w:ilvl w:val="1"/>
          <w:numId w:val="248"/>
        </w:numPr>
        <w:spacing w:before="200" w:after="60" w:line="276" w:lineRule="auto"/>
        <w:jc w:val="both"/>
        <w:rPr>
          <w:bCs w:val="0"/>
          <w:color w:val="0000FF"/>
          <w:szCs w:val="24"/>
          <w:u w:val="single"/>
          <w:lang w:eastAsia="en-GB"/>
        </w:rPr>
      </w:pPr>
      <w:r w:rsidRPr="0025375E">
        <w:rPr>
          <w:bCs w:val="0"/>
          <w:color w:val="0000FF"/>
          <w:szCs w:val="24"/>
          <w:u w:val="single"/>
          <w:lang w:eastAsia="en-GB"/>
        </w:rPr>
        <w:fldChar w:fldCharType="begin"/>
      </w:r>
      <w:r w:rsidRPr="0025375E">
        <w:rPr>
          <w:bCs w:val="0"/>
          <w:color w:val="0000FF"/>
          <w:szCs w:val="24"/>
          <w:u w:val="single"/>
          <w:lang w:eastAsia="en-GB"/>
        </w:rPr>
        <w:instrText xml:space="preserve"> REF _Ref87260141 \h  \* MERGEFORMAT </w:instrText>
      </w:r>
      <w:r w:rsidRPr="0025375E">
        <w:rPr>
          <w:bCs w:val="0"/>
          <w:color w:val="0000FF"/>
          <w:szCs w:val="24"/>
          <w:u w:val="single"/>
          <w:lang w:eastAsia="en-GB"/>
        </w:rPr>
      </w:r>
      <w:r w:rsidRPr="0025375E">
        <w:rPr>
          <w:bCs w:val="0"/>
          <w:color w:val="0000FF"/>
          <w:szCs w:val="24"/>
          <w:u w:val="single"/>
          <w:lang w:eastAsia="en-GB"/>
        </w:rPr>
        <w:fldChar w:fldCharType="separate"/>
      </w:r>
      <w:r w:rsidRPr="0025375E">
        <w:rPr>
          <w:bCs w:val="0"/>
          <w:color w:val="0000FF"/>
          <w:szCs w:val="24"/>
          <w:u w:val="single"/>
          <w:lang w:eastAsia="en-GB"/>
        </w:rPr>
        <w:t>The process for managing inappropriate and unacceptable behaviours</w:t>
      </w:r>
      <w:r w:rsidRPr="0025375E">
        <w:rPr>
          <w:bCs w:val="0"/>
          <w:color w:val="0000FF"/>
          <w:szCs w:val="24"/>
          <w:u w:val="single"/>
          <w:lang w:eastAsia="en-GB"/>
        </w:rPr>
        <w:fldChar w:fldCharType="end"/>
      </w:r>
    </w:p>
    <w:p w14:paraId="51FDFA6B" w14:textId="3B459740" w:rsidR="0025375E" w:rsidRPr="0025375E" w:rsidRDefault="0025375E" w:rsidP="006C3DF5">
      <w:pPr>
        <w:numPr>
          <w:ilvl w:val="1"/>
          <w:numId w:val="248"/>
        </w:numPr>
        <w:spacing w:before="200" w:after="60" w:line="276" w:lineRule="auto"/>
        <w:jc w:val="both"/>
        <w:rPr>
          <w:bCs w:val="0"/>
          <w:color w:val="0000FF"/>
          <w:szCs w:val="24"/>
          <w:u w:val="single"/>
          <w:lang w:eastAsia="en-GB"/>
        </w:rPr>
      </w:pPr>
      <w:r w:rsidRPr="0025375E">
        <w:rPr>
          <w:bCs w:val="0"/>
          <w:color w:val="0000FF"/>
          <w:szCs w:val="24"/>
          <w:u w:val="single"/>
          <w:lang w:eastAsia="en-GB"/>
        </w:rPr>
        <w:fldChar w:fldCharType="begin"/>
      </w:r>
      <w:r w:rsidRPr="0025375E">
        <w:rPr>
          <w:bCs w:val="0"/>
          <w:color w:val="0000FF"/>
          <w:szCs w:val="24"/>
          <w:u w:val="single"/>
          <w:lang w:eastAsia="en-GB"/>
        </w:rPr>
        <w:instrText xml:space="preserve"> REF _Ref87260148 \h  \* MERGEFORMAT </w:instrText>
      </w:r>
      <w:r w:rsidRPr="0025375E">
        <w:rPr>
          <w:bCs w:val="0"/>
          <w:color w:val="0000FF"/>
          <w:szCs w:val="24"/>
          <w:u w:val="single"/>
          <w:lang w:eastAsia="en-GB"/>
        </w:rPr>
      </w:r>
      <w:r w:rsidRPr="0025375E">
        <w:rPr>
          <w:bCs w:val="0"/>
          <w:color w:val="0000FF"/>
          <w:szCs w:val="24"/>
          <w:u w:val="single"/>
          <w:lang w:eastAsia="en-GB"/>
        </w:rPr>
        <w:fldChar w:fldCharType="separate"/>
      </w:r>
      <w:r w:rsidRPr="0025375E">
        <w:rPr>
          <w:bCs w:val="0"/>
          <w:color w:val="0000FF"/>
          <w:szCs w:val="24"/>
          <w:u w:val="single"/>
          <w:lang w:eastAsia="en-GB"/>
        </w:rPr>
        <w:t xml:space="preserve">Considerations for ensuring ongoing access for patients removed from a practice patient list due </w:t>
      </w:r>
      <w:r w:rsidR="007E1392">
        <w:rPr>
          <w:bCs w:val="0"/>
          <w:color w:val="0000FF"/>
          <w:szCs w:val="24"/>
          <w:u w:val="single"/>
          <w:lang w:eastAsia="en-GB"/>
        </w:rPr>
        <w:t>to</w:t>
      </w:r>
      <w:r w:rsidRPr="0025375E">
        <w:rPr>
          <w:bCs w:val="0"/>
          <w:color w:val="0000FF"/>
          <w:szCs w:val="24"/>
          <w:u w:val="single"/>
          <w:lang w:eastAsia="en-GB"/>
        </w:rPr>
        <w:t xml:space="preserve"> inappropriate and unacceptable patient behaviours.</w:t>
      </w:r>
      <w:r w:rsidRPr="0025375E">
        <w:rPr>
          <w:bCs w:val="0"/>
          <w:color w:val="0000FF"/>
          <w:szCs w:val="24"/>
          <w:u w:val="single"/>
          <w:lang w:eastAsia="en-GB"/>
        </w:rPr>
        <w:fldChar w:fldCharType="end"/>
      </w:r>
    </w:p>
    <w:p w14:paraId="737D0BB8" w14:textId="77777777" w:rsidR="00686F5F" w:rsidRPr="00686F5F" w:rsidRDefault="00686F5F" w:rsidP="00686F5F">
      <w:pPr>
        <w:rPr>
          <w:lang w:eastAsia="en-GB"/>
        </w:rPr>
      </w:pPr>
    </w:p>
    <w:p w14:paraId="1F3788C2" w14:textId="77777777" w:rsidR="00686F5F" w:rsidRPr="00686F5F" w:rsidRDefault="00686F5F" w:rsidP="00686F5F">
      <w:pPr>
        <w:ind w:left="432"/>
        <w:outlineLvl w:val="0"/>
        <w:rPr>
          <w:bCs w:val="0"/>
          <w:szCs w:val="20"/>
          <w:lang w:eastAsia="en-GB"/>
        </w:rPr>
      </w:pPr>
    </w:p>
    <w:p w14:paraId="30863825" w14:textId="3C817AF6" w:rsidR="00686F5F" w:rsidRPr="00211CA1" w:rsidRDefault="00686F5F" w:rsidP="006C3DF5">
      <w:pPr>
        <w:pStyle w:val="ListParagraph"/>
        <w:numPr>
          <w:ilvl w:val="1"/>
          <w:numId w:val="246"/>
        </w:numPr>
        <w:spacing w:line="360" w:lineRule="auto"/>
        <w:outlineLvl w:val="1"/>
        <w:rPr>
          <w:b/>
          <w:iCs/>
          <w:color w:val="7C2855" w:themeColor="background2"/>
          <w:sz w:val="28"/>
          <w:szCs w:val="28"/>
          <w:lang w:eastAsia="en-GB"/>
        </w:rPr>
      </w:pPr>
      <w:bookmarkStart w:id="524" w:name="_Ref87024204"/>
      <w:bookmarkStart w:id="525" w:name="_Toc95743434"/>
      <w:r w:rsidRPr="00211CA1">
        <w:rPr>
          <w:b/>
          <w:iCs/>
          <w:color w:val="7C2855" w:themeColor="background2"/>
          <w:sz w:val="28"/>
          <w:szCs w:val="28"/>
          <w:lang w:eastAsia="en-GB"/>
        </w:rPr>
        <w:t>The scope of inappropriate and unacceptable patient behaviours.</w:t>
      </w:r>
      <w:bookmarkEnd w:id="524"/>
      <w:bookmarkEnd w:id="525"/>
    </w:p>
    <w:p w14:paraId="2C6CB3AC" w14:textId="77777777" w:rsidR="00211CA1" w:rsidRDefault="00211CA1" w:rsidP="00C12A20">
      <w:pPr>
        <w:spacing w:line="360" w:lineRule="auto"/>
        <w:outlineLvl w:val="2"/>
        <w:rPr>
          <w:b/>
          <w:bCs w:val="0"/>
          <w:lang w:eastAsia="en-GB"/>
        </w:rPr>
      </w:pPr>
    </w:p>
    <w:p w14:paraId="21900696" w14:textId="68AE4991" w:rsidR="00686F5F" w:rsidRPr="00C12A20" w:rsidRDefault="00686F5F" w:rsidP="006C3DF5">
      <w:pPr>
        <w:pStyle w:val="ListParagraph"/>
        <w:numPr>
          <w:ilvl w:val="2"/>
          <w:numId w:val="246"/>
        </w:numPr>
        <w:spacing w:line="360" w:lineRule="auto"/>
        <w:ind w:left="851" w:hanging="851"/>
        <w:outlineLvl w:val="2"/>
        <w:rPr>
          <w:b/>
          <w:bCs w:val="0"/>
          <w:lang w:eastAsia="en-GB"/>
        </w:rPr>
      </w:pPr>
      <w:r w:rsidRPr="00211CA1">
        <w:rPr>
          <w:lang w:eastAsia="en-GB"/>
        </w:rPr>
        <w:t>Many providers have and operate local policies to support</w:t>
      </w:r>
      <w:r w:rsidRPr="00686F5F">
        <w:rPr>
          <w:lang w:eastAsia="en-GB"/>
        </w:rPr>
        <w:t xml:space="preserve"> positive patient behaviours they wish to encourage and outline those behaviours that will not and should not be tolerated e.g. through patient charters, zero-tolerance or respect policies etc. </w:t>
      </w:r>
    </w:p>
    <w:p w14:paraId="2D595CF2" w14:textId="77777777" w:rsidR="00686F5F" w:rsidRPr="00686F5F" w:rsidRDefault="00686F5F" w:rsidP="00686F5F">
      <w:pPr>
        <w:spacing w:line="360" w:lineRule="auto"/>
        <w:ind w:left="720"/>
        <w:outlineLvl w:val="2"/>
        <w:rPr>
          <w:b/>
          <w:bCs w:val="0"/>
          <w:lang w:eastAsia="en-GB"/>
        </w:rPr>
      </w:pPr>
    </w:p>
    <w:p w14:paraId="584F6915" w14:textId="77777777" w:rsidR="00686F5F" w:rsidRPr="00686F5F" w:rsidRDefault="00686F5F" w:rsidP="00C12A20">
      <w:pPr>
        <w:spacing w:line="360" w:lineRule="auto"/>
        <w:ind w:left="1276"/>
        <w:outlineLvl w:val="2"/>
        <w:rPr>
          <w:b/>
          <w:bCs w:val="0"/>
          <w:lang w:eastAsia="en-GB"/>
        </w:rPr>
      </w:pPr>
      <w:r w:rsidRPr="00686F5F">
        <w:rPr>
          <w:lang w:eastAsia="en-GB"/>
        </w:rPr>
        <w:t>Inappropriate and unacceptable behaviours may include but are not limited to:</w:t>
      </w:r>
    </w:p>
    <w:p w14:paraId="797F3B2B" w14:textId="77777777" w:rsidR="00686F5F" w:rsidRPr="00686F5F" w:rsidRDefault="00686F5F" w:rsidP="00686F5F">
      <w:pPr>
        <w:rPr>
          <w:lang w:eastAsia="en-GB"/>
        </w:rPr>
      </w:pPr>
    </w:p>
    <w:p w14:paraId="210DDA15" w14:textId="77777777" w:rsidR="00686F5F" w:rsidRPr="00686F5F" w:rsidRDefault="00686F5F" w:rsidP="006C3DF5">
      <w:pPr>
        <w:pStyle w:val="ListParagraph"/>
        <w:numPr>
          <w:ilvl w:val="0"/>
          <w:numId w:val="247"/>
        </w:numPr>
        <w:spacing w:line="360" w:lineRule="auto"/>
        <w:rPr>
          <w:lang w:eastAsia="en-GB"/>
        </w:rPr>
      </w:pPr>
      <w:r w:rsidRPr="00686F5F">
        <w:rPr>
          <w:lang w:eastAsia="en-GB"/>
        </w:rPr>
        <w:t xml:space="preserve">Using bad language or swearing at practice staff or other service users </w:t>
      </w:r>
    </w:p>
    <w:p w14:paraId="2B741C0A" w14:textId="77777777" w:rsidR="00686F5F" w:rsidRPr="00686F5F" w:rsidRDefault="00686F5F" w:rsidP="006C3DF5">
      <w:pPr>
        <w:pStyle w:val="ListParagraph"/>
        <w:numPr>
          <w:ilvl w:val="0"/>
          <w:numId w:val="247"/>
        </w:numPr>
        <w:spacing w:line="360" w:lineRule="auto"/>
        <w:rPr>
          <w:lang w:eastAsia="en-GB"/>
        </w:rPr>
      </w:pPr>
      <w:r w:rsidRPr="00686F5F">
        <w:rPr>
          <w:lang w:eastAsia="en-GB"/>
        </w:rPr>
        <w:t xml:space="preserve">Racial abuse </w:t>
      </w:r>
    </w:p>
    <w:p w14:paraId="20647F41" w14:textId="77777777" w:rsidR="00686F5F" w:rsidRPr="00686F5F" w:rsidRDefault="00686F5F" w:rsidP="006C3DF5">
      <w:pPr>
        <w:pStyle w:val="ListParagraph"/>
        <w:numPr>
          <w:ilvl w:val="0"/>
          <w:numId w:val="247"/>
        </w:numPr>
        <w:spacing w:line="360" w:lineRule="auto"/>
        <w:rPr>
          <w:lang w:eastAsia="en-GB"/>
        </w:rPr>
      </w:pPr>
      <w:r w:rsidRPr="00686F5F">
        <w:rPr>
          <w:lang w:eastAsia="en-GB"/>
        </w:rPr>
        <w:t xml:space="preserve">Sexual harassment </w:t>
      </w:r>
    </w:p>
    <w:p w14:paraId="4A72AF5D" w14:textId="77777777" w:rsidR="00686F5F" w:rsidRPr="00686F5F" w:rsidRDefault="00686F5F" w:rsidP="006C3DF5">
      <w:pPr>
        <w:pStyle w:val="ListParagraph"/>
        <w:numPr>
          <w:ilvl w:val="0"/>
          <w:numId w:val="247"/>
        </w:numPr>
        <w:spacing w:line="360" w:lineRule="auto"/>
        <w:rPr>
          <w:lang w:eastAsia="en-GB"/>
        </w:rPr>
      </w:pPr>
      <w:r w:rsidRPr="00686F5F">
        <w:rPr>
          <w:lang w:eastAsia="en-GB"/>
        </w:rPr>
        <w:t xml:space="preserve">Unncessarily persistent or unrealistic service demands that cause disruption </w:t>
      </w:r>
    </w:p>
    <w:p w14:paraId="2CBE58F4" w14:textId="77777777" w:rsidR="00686F5F" w:rsidRPr="00686F5F" w:rsidRDefault="00686F5F" w:rsidP="006C3DF5">
      <w:pPr>
        <w:pStyle w:val="ListParagraph"/>
        <w:numPr>
          <w:ilvl w:val="0"/>
          <w:numId w:val="247"/>
        </w:numPr>
        <w:spacing w:line="360" w:lineRule="auto"/>
        <w:rPr>
          <w:lang w:eastAsia="en-GB"/>
        </w:rPr>
      </w:pPr>
      <w:r w:rsidRPr="00686F5F">
        <w:rPr>
          <w:lang w:eastAsia="en-GB"/>
        </w:rPr>
        <w:t xml:space="preserve">Causing damage to practice premises or to the property of staff or other service users </w:t>
      </w:r>
    </w:p>
    <w:p w14:paraId="1D675E23" w14:textId="77777777" w:rsidR="00686F5F" w:rsidRPr="00686F5F" w:rsidRDefault="00686F5F" w:rsidP="006C3DF5">
      <w:pPr>
        <w:pStyle w:val="ListParagraph"/>
        <w:numPr>
          <w:ilvl w:val="0"/>
          <w:numId w:val="247"/>
        </w:numPr>
        <w:spacing w:line="360" w:lineRule="auto"/>
        <w:rPr>
          <w:lang w:eastAsia="en-GB"/>
        </w:rPr>
      </w:pPr>
      <w:r w:rsidRPr="00686F5F">
        <w:rPr>
          <w:lang w:eastAsia="en-GB"/>
        </w:rPr>
        <w:t xml:space="preserve">Stealing from practice premises, staff or other service users </w:t>
      </w:r>
    </w:p>
    <w:p w14:paraId="219321DC" w14:textId="11792475" w:rsidR="00686F5F" w:rsidRDefault="00686F5F" w:rsidP="006C3DF5">
      <w:pPr>
        <w:pStyle w:val="ListParagraph"/>
        <w:numPr>
          <w:ilvl w:val="0"/>
          <w:numId w:val="247"/>
        </w:numPr>
        <w:spacing w:line="360" w:lineRule="auto"/>
        <w:rPr>
          <w:lang w:eastAsia="en-GB"/>
        </w:rPr>
      </w:pPr>
      <w:r w:rsidRPr="00686F5F">
        <w:rPr>
          <w:lang w:eastAsia="en-GB"/>
        </w:rPr>
        <w:t>Obtaining drugs and/or medical services fraudulently</w:t>
      </w:r>
    </w:p>
    <w:p w14:paraId="6F7845DD" w14:textId="77777777" w:rsidR="00211CA1" w:rsidRPr="00686F5F" w:rsidRDefault="00211CA1" w:rsidP="00211CA1">
      <w:pPr>
        <w:ind w:left="792"/>
        <w:contextualSpacing/>
        <w:rPr>
          <w:lang w:eastAsia="en-GB"/>
        </w:rPr>
      </w:pPr>
    </w:p>
    <w:p w14:paraId="2486B0CB" w14:textId="77777777" w:rsidR="00686F5F" w:rsidRPr="00686F5F" w:rsidRDefault="00686F5F" w:rsidP="001526D0">
      <w:pPr>
        <w:ind w:left="851" w:hanging="851"/>
        <w:rPr>
          <w:lang w:eastAsia="en-GB"/>
        </w:rPr>
      </w:pPr>
    </w:p>
    <w:p w14:paraId="5E39143E" w14:textId="3F153EA9" w:rsidR="00686F5F" w:rsidRPr="00686F5F" w:rsidRDefault="00686F5F" w:rsidP="006C3DF5">
      <w:pPr>
        <w:numPr>
          <w:ilvl w:val="2"/>
          <w:numId w:val="246"/>
        </w:numPr>
        <w:spacing w:line="360" w:lineRule="auto"/>
        <w:ind w:left="851" w:hanging="851"/>
        <w:outlineLvl w:val="2"/>
        <w:rPr>
          <w:lang w:eastAsia="en-GB"/>
        </w:rPr>
      </w:pPr>
      <w:r w:rsidRPr="00686F5F">
        <w:rPr>
          <w:lang w:eastAsia="en-GB"/>
        </w:rPr>
        <w:t xml:space="preserve">Violence and threatening abuse is dealt with separately in Chapter </w:t>
      </w:r>
      <w:r w:rsidR="00DD0468">
        <w:rPr>
          <w:lang w:eastAsia="en-GB"/>
        </w:rPr>
        <w:t>7</w:t>
      </w:r>
      <w:r w:rsidRPr="00686F5F">
        <w:t xml:space="preserve"> but it is acknowledged the behaviours above </w:t>
      </w:r>
      <w:r w:rsidRPr="00686F5F">
        <w:rPr>
          <w:lang w:eastAsia="en-GB"/>
        </w:rPr>
        <w:t>can escalate to include or happen alongside violence and abuse.</w:t>
      </w:r>
    </w:p>
    <w:p w14:paraId="4ECA66B7" w14:textId="77777777" w:rsidR="00686F5F" w:rsidRPr="00686F5F" w:rsidRDefault="00686F5F" w:rsidP="00C12A20">
      <w:pPr>
        <w:spacing w:line="360" w:lineRule="auto"/>
        <w:outlineLvl w:val="2"/>
        <w:rPr>
          <w:lang w:eastAsia="en-GB"/>
        </w:rPr>
      </w:pPr>
    </w:p>
    <w:p w14:paraId="45D34C4D" w14:textId="77777777" w:rsidR="00686F5F" w:rsidRPr="00686F5F" w:rsidRDefault="00686F5F" w:rsidP="006C3DF5">
      <w:pPr>
        <w:numPr>
          <w:ilvl w:val="2"/>
          <w:numId w:val="246"/>
        </w:numPr>
        <w:spacing w:line="360" w:lineRule="auto"/>
        <w:ind w:left="851" w:hanging="851"/>
        <w:outlineLvl w:val="2"/>
        <w:rPr>
          <w:lang w:eastAsia="en-GB"/>
        </w:rPr>
      </w:pPr>
      <w:r w:rsidRPr="00686F5F">
        <w:rPr>
          <w:lang w:eastAsia="en-GB"/>
        </w:rPr>
        <w:t xml:space="preserve">Common to all such policies should be the underlying set of principles and values that are set out in the NHS Constitution which bind together the communities and patients the NHS serves and the people who work in it. Everyone has a right to be treated fairly and equally, with dignity and respect, and free from discrimination and harassment, and violence and abuse. There are extensive legal rights, embodied in general employment and discrimination law. </w:t>
      </w:r>
    </w:p>
    <w:p w14:paraId="56230D4C" w14:textId="77777777" w:rsidR="00686F5F" w:rsidRPr="00686F5F" w:rsidRDefault="00686F5F" w:rsidP="00C12A20">
      <w:pPr>
        <w:spacing w:line="360" w:lineRule="auto"/>
        <w:ind w:hanging="142"/>
        <w:outlineLvl w:val="2"/>
        <w:rPr>
          <w:lang w:eastAsia="en-GB"/>
        </w:rPr>
      </w:pPr>
    </w:p>
    <w:p w14:paraId="19C208F5" w14:textId="77777777" w:rsidR="00686F5F" w:rsidRPr="00686F5F" w:rsidRDefault="00686F5F" w:rsidP="006C3DF5">
      <w:pPr>
        <w:numPr>
          <w:ilvl w:val="2"/>
          <w:numId w:val="246"/>
        </w:numPr>
        <w:spacing w:line="360" w:lineRule="auto"/>
        <w:ind w:left="851" w:hanging="851"/>
        <w:outlineLvl w:val="2"/>
        <w:rPr>
          <w:lang w:eastAsia="en-GB"/>
        </w:rPr>
      </w:pPr>
      <w:r w:rsidRPr="00686F5F">
        <w:rPr>
          <w:lang w:eastAsia="en-GB"/>
        </w:rPr>
        <w:t>The protection and safety of the providers teams’ (and other service users’)  mental health is as important as the protection and safety of their physical health. NHS England and Improvement supports and requests that providers practice policies addressing inappropriate and unacceptable patient behaviours also explicity include positions on not tolerating any form of discrimination, harassment or victimisation. The following definitions may be useful:</w:t>
      </w:r>
    </w:p>
    <w:p w14:paraId="43DE6B81" w14:textId="77777777" w:rsidR="00686F5F" w:rsidRPr="00686F5F" w:rsidRDefault="00686F5F" w:rsidP="00686F5F">
      <w:pPr>
        <w:ind w:left="432"/>
        <w:rPr>
          <w:lang w:eastAsia="en-GB"/>
        </w:rPr>
      </w:pPr>
      <w:bookmarkStart w:id="526" w:name="_Hlk87009395"/>
    </w:p>
    <w:p w14:paraId="46CF1F29" w14:textId="77777777" w:rsidR="00686F5F" w:rsidRPr="00686F5F" w:rsidRDefault="00686F5F" w:rsidP="006C3DF5">
      <w:pPr>
        <w:numPr>
          <w:ilvl w:val="0"/>
          <w:numId w:val="236"/>
        </w:numPr>
        <w:spacing w:line="360" w:lineRule="auto"/>
        <w:contextualSpacing/>
        <w:rPr>
          <w:lang w:eastAsia="en-GB"/>
        </w:rPr>
      </w:pPr>
      <w:r w:rsidRPr="00686F5F">
        <w:rPr>
          <w:b/>
          <w:bCs w:val="0"/>
          <w:lang w:eastAsia="en-GB"/>
        </w:rPr>
        <w:t>Discrimination</w:t>
      </w:r>
      <w:r w:rsidRPr="00686F5F">
        <w:rPr>
          <w:lang w:eastAsia="en-GB"/>
        </w:rPr>
        <w:t xml:space="preserve"> The act of being treated unfairly because of who they are or because they possess certain characteristics. Within the Equality Act 2010 the following are protected characteristics:</w:t>
      </w:r>
    </w:p>
    <w:p w14:paraId="12EB45EF" w14:textId="77777777" w:rsidR="00686F5F" w:rsidRPr="00686F5F" w:rsidRDefault="00686F5F" w:rsidP="00686F5F">
      <w:pPr>
        <w:spacing w:line="360" w:lineRule="auto"/>
        <w:ind w:left="1152"/>
        <w:contextualSpacing/>
        <w:rPr>
          <w:lang w:eastAsia="en-GB"/>
        </w:rPr>
      </w:pPr>
      <w:r w:rsidRPr="00686F5F">
        <w:t xml:space="preserve"> </w:t>
      </w:r>
    </w:p>
    <w:p w14:paraId="66E693B9" w14:textId="77777777" w:rsidR="00686F5F" w:rsidRPr="00686F5F" w:rsidRDefault="00686F5F" w:rsidP="006C3DF5">
      <w:pPr>
        <w:numPr>
          <w:ilvl w:val="1"/>
          <w:numId w:val="236"/>
        </w:numPr>
        <w:spacing w:line="360" w:lineRule="auto"/>
        <w:contextualSpacing/>
        <w:rPr>
          <w:lang w:eastAsia="en-GB"/>
        </w:rPr>
      </w:pPr>
      <w:r w:rsidRPr="00686F5F">
        <w:rPr>
          <w:lang w:eastAsia="en-GB"/>
        </w:rPr>
        <w:t>age</w:t>
      </w:r>
    </w:p>
    <w:p w14:paraId="36BE1F5C" w14:textId="77777777" w:rsidR="00686F5F" w:rsidRPr="00686F5F" w:rsidRDefault="00686F5F" w:rsidP="006C3DF5">
      <w:pPr>
        <w:numPr>
          <w:ilvl w:val="1"/>
          <w:numId w:val="236"/>
        </w:numPr>
        <w:spacing w:line="360" w:lineRule="auto"/>
        <w:contextualSpacing/>
        <w:rPr>
          <w:lang w:eastAsia="en-GB"/>
        </w:rPr>
      </w:pPr>
      <w:r w:rsidRPr="00686F5F">
        <w:rPr>
          <w:lang w:eastAsia="en-GB"/>
        </w:rPr>
        <w:t>gender reassignment</w:t>
      </w:r>
    </w:p>
    <w:p w14:paraId="36C5EFA1" w14:textId="77777777" w:rsidR="00686F5F" w:rsidRPr="00686F5F" w:rsidRDefault="00686F5F" w:rsidP="006C3DF5">
      <w:pPr>
        <w:numPr>
          <w:ilvl w:val="1"/>
          <w:numId w:val="236"/>
        </w:numPr>
        <w:spacing w:line="360" w:lineRule="auto"/>
        <w:contextualSpacing/>
        <w:rPr>
          <w:lang w:eastAsia="en-GB"/>
        </w:rPr>
      </w:pPr>
      <w:r w:rsidRPr="00686F5F">
        <w:rPr>
          <w:lang w:eastAsia="en-GB"/>
        </w:rPr>
        <w:t>being married or in a civil partnership</w:t>
      </w:r>
    </w:p>
    <w:p w14:paraId="6286B9D8" w14:textId="77777777" w:rsidR="00686F5F" w:rsidRPr="00686F5F" w:rsidRDefault="00686F5F" w:rsidP="006C3DF5">
      <w:pPr>
        <w:numPr>
          <w:ilvl w:val="1"/>
          <w:numId w:val="236"/>
        </w:numPr>
        <w:spacing w:line="360" w:lineRule="auto"/>
        <w:contextualSpacing/>
        <w:rPr>
          <w:lang w:eastAsia="en-GB"/>
        </w:rPr>
      </w:pPr>
      <w:r w:rsidRPr="00686F5F">
        <w:rPr>
          <w:lang w:eastAsia="en-GB"/>
        </w:rPr>
        <w:t>being pregnant or on maternity leave</w:t>
      </w:r>
    </w:p>
    <w:p w14:paraId="659482CF" w14:textId="77777777" w:rsidR="00686F5F" w:rsidRPr="00686F5F" w:rsidRDefault="00686F5F" w:rsidP="006C3DF5">
      <w:pPr>
        <w:numPr>
          <w:ilvl w:val="1"/>
          <w:numId w:val="236"/>
        </w:numPr>
        <w:spacing w:line="360" w:lineRule="auto"/>
        <w:contextualSpacing/>
        <w:rPr>
          <w:lang w:eastAsia="en-GB"/>
        </w:rPr>
      </w:pPr>
      <w:r w:rsidRPr="00686F5F">
        <w:rPr>
          <w:lang w:eastAsia="en-GB"/>
        </w:rPr>
        <w:t>disability</w:t>
      </w:r>
    </w:p>
    <w:p w14:paraId="0D6B3C42" w14:textId="77777777" w:rsidR="00686F5F" w:rsidRPr="00686F5F" w:rsidRDefault="00686F5F" w:rsidP="006C3DF5">
      <w:pPr>
        <w:numPr>
          <w:ilvl w:val="1"/>
          <w:numId w:val="236"/>
        </w:numPr>
        <w:spacing w:line="360" w:lineRule="auto"/>
        <w:contextualSpacing/>
        <w:rPr>
          <w:lang w:eastAsia="en-GB"/>
        </w:rPr>
      </w:pPr>
      <w:r w:rsidRPr="00686F5F">
        <w:rPr>
          <w:lang w:eastAsia="en-GB"/>
        </w:rPr>
        <w:t>race including colour, nationality, ethnic or national origin</w:t>
      </w:r>
    </w:p>
    <w:p w14:paraId="65F36985" w14:textId="77777777" w:rsidR="00686F5F" w:rsidRPr="00686F5F" w:rsidRDefault="00686F5F" w:rsidP="006C3DF5">
      <w:pPr>
        <w:numPr>
          <w:ilvl w:val="1"/>
          <w:numId w:val="236"/>
        </w:numPr>
        <w:spacing w:line="360" w:lineRule="auto"/>
        <w:contextualSpacing/>
        <w:rPr>
          <w:lang w:eastAsia="en-GB"/>
        </w:rPr>
      </w:pPr>
      <w:r w:rsidRPr="00686F5F">
        <w:rPr>
          <w:lang w:eastAsia="en-GB"/>
        </w:rPr>
        <w:t>religion or belief</w:t>
      </w:r>
    </w:p>
    <w:p w14:paraId="46240056" w14:textId="77777777" w:rsidR="00686F5F" w:rsidRPr="00686F5F" w:rsidRDefault="00686F5F" w:rsidP="006C3DF5">
      <w:pPr>
        <w:numPr>
          <w:ilvl w:val="1"/>
          <w:numId w:val="236"/>
        </w:numPr>
        <w:spacing w:line="360" w:lineRule="auto"/>
        <w:contextualSpacing/>
        <w:rPr>
          <w:lang w:eastAsia="en-GB"/>
        </w:rPr>
      </w:pPr>
      <w:r w:rsidRPr="00686F5F">
        <w:rPr>
          <w:lang w:eastAsia="en-GB"/>
        </w:rPr>
        <w:t>sex</w:t>
      </w:r>
    </w:p>
    <w:p w14:paraId="6E2DC818" w14:textId="77777777" w:rsidR="00686F5F" w:rsidRPr="00686F5F" w:rsidRDefault="00686F5F" w:rsidP="006C3DF5">
      <w:pPr>
        <w:numPr>
          <w:ilvl w:val="1"/>
          <w:numId w:val="236"/>
        </w:numPr>
        <w:spacing w:line="360" w:lineRule="auto"/>
        <w:contextualSpacing/>
        <w:rPr>
          <w:lang w:eastAsia="en-GB"/>
        </w:rPr>
      </w:pPr>
      <w:r w:rsidRPr="00686F5F">
        <w:rPr>
          <w:lang w:eastAsia="en-GB"/>
        </w:rPr>
        <w:t>sexual orientation</w:t>
      </w:r>
    </w:p>
    <w:p w14:paraId="6D622D4A" w14:textId="77777777" w:rsidR="00686F5F" w:rsidRPr="00686F5F" w:rsidRDefault="00686F5F" w:rsidP="00686F5F">
      <w:pPr>
        <w:spacing w:line="360" w:lineRule="auto"/>
        <w:ind w:left="1152"/>
        <w:contextualSpacing/>
        <w:rPr>
          <w:lang w:eastAsia="en-GB"/>
        </w:rPr>
      </w:pPr>
    </w:p>
    <w:p w14:paraId="6A70515D" w14:textId="77777777" w:rsidR="00686F5F" w:rsidRPr="00686F5F" w:rsidRDefault="00686F5F" w:rsidP="006C3DF5">
      <w:pPr>
        <w:numPr>
          <w:ilvl w:val="0"/>
          <w:numId w:val="236"/>
        </w:numPr>
        <w:spacing w:line="360" w:lineRule="auto"/>
        <w:contextualSpacing/>
        <w:rPr>
          <w:lang w:eastAsia="en-GB"/>
        </w:rPr>
      </w:pPr>
      <w:r w:rsidRPr="00686F5F">
        <w:rPr>
          <w:b/>
          <w:bCs w:val="0"/>
          <w:lang w:eastAsia="en-GB"/>
        </w:rPr>
        <w:t>Harassment.</w:t>
      </w:r>
      <w:r w:rsidRPr="00686F5F">
        <w:rPr>
          <w:lang w:eastAsia="en-GB"/>
        </w:rPr>
        <w:t xml:space="preserve"> The act of being subject to unwanted behaviour which is offensive, intimidating or humiliating. Harassment can happen on its own or alongside other forms of discrimination . </w:t>
      </w:r>
    </w:p>
    <w:p w14:paraId="71EE42C3" w14:textId="77777777" w:rsidR="00686F5F" w:rsidRPr="00686F5F" w:rsidRDefault="00686F5F" w:rsidP="00686F5F">
      <w:pPr>
        <w:spacing w:line="360" w:lineRule="auto"/>
        <w:ind w:left="720"/>
        <w:contextualSpacing/>
        <w:rPr>
          <w:lang w:eastAsia="en-GB"/>
        </w:rPr>
      </w:pPr>
    </w:p>
    <w:p w14:paraId="5C8414D8" w14:textId="77777777" w:rsidR="00686F5F" w:rsidRPr="00686F5F" w:rsidRDefault="00686F5F" w:rsidP="006C3DF5">
      <w:pPr>
        <w:numPr>
          <w:ilvl w:val="0"/>
          <w:numId w:val="236"/>
        </w:numPr>
        <w:spacing w:line="360" w:lineRule="auto"/>
        <w:contextualSpacing/>
        <w:rPr>
          <w:lang w:eastAsia="en-GB"/>
        </w:rPr>
      </w:pPr>
      <w:r w:rsidRPr="00686F5F">
        <w:rPr>
          <w:b/>
          <w:bCs w:val="0"/>
          <w:lang w:eastAsia="en-GB"/>
        </w:rPr>
        <w:t>Victimisation.</w:t>
      </w:r>
      <w:r w:rsidRPr="00686F5F">
        <w:rPr>
          <w:lang w:eastAsia="en-GB"/>
        </w:rPr>
        <w:t xml:space="preserve"> The action of being singled out for cruel or unjust treatment.</w:t>
      </w:r>
    </w:p>
    <w:p w14:paraId="522092C9" w14:textId="77777777" w:rsidR="00686F5F" w:rsidRPr="00686F5F" w:rsidRDefault="00686F5F" w:rsidP="00686F5F">
      <w:pPr>
        <w:spacing w:line="360" w:lineRule="auto"/>
        <w:ind w:left="720"/>
        <w:contextualSpacing/>
        <w:rPr>
          <w:lang w:eastAsia="en-GB"/>
        </w:rPr>
      </w:pPr>
    </w:p>
    <w:p w14:paraId="46AC0D93" w14:textId="77777777" w:rsidR="00686F5F" w:rsidRPr="00686F5F" w:rsidRDefault="00686F5F" w:rsidP="006C3DF5">
      <w:pPr>
        <w:numPr>
          <w:ilvl w:val="0"/>
          <w:numId w:val="236"/>
        </w:numPr>
        <w:spacing w:line="360" w:lineRule="auto"/>
        <w:contextualSpacing/>
        <w:rPr>
          <w:lang w:eastAsia="en-GB"/>
        </w:rPr>
      </w:pPr>
      <w:r w:rsidRPr="00686F5F">
        <w:rPr>
          <w:b/>
          <w:bCs w:val="0"/>
          <w:lang w:eastAsia="en-GB"/>
        </w:rPr>
        <w:t>Microaggressions</w:t>
      </w:r>
      <w:r w:rsidRPr="00686F5F">
        <w:rPr>
          <w:lang w:eastAsia="en-GB"/>
        </w:rPr>
        <w:t xml:space="preserve">. Verbal, non-verbal and environmental slights, snubs and insults which communicate hostile, derogatory or negative messages and behaviours that target a person based on their protected characteristic or belonging to a marginalised group. These can be intentional and unintentional and are based on biases (either conscious and unconscious). </w:t>
      </w:r>
    </w:p>
    <w:p w14:paraId="51919119" w14:textId="77777777" w:rsidR="00686F5F" w:rsidRPr="00686F5F" w:rsidRDefault="00686F5F" w:rsidP="00686F5F">
      <w:pPr>
        <w:rPr>
          <w:lang w:eastAsia="en-GB"/>
        </w:rPr>
      </w:pPr>
    </w:p>
    <w:p w14:paraId="58785DF9" w14:textId="77777777" w:rsidR="00686F5F" w:rsidRPr="00686F5F" w:rsidRDefault="00686F5F" w:rsidP="006C3DF5">
      <w:pPr>
        <w:numPr>
          <w:ilvl w:val="1"/>
          <w:numId w:val="246"/>
        </w:numPr>
        <w:spacing w:line="360" w:lineRule="auto"/>
        <w:ind w:left="2561"/>
        <w:outlineLvl w:val="1"/>
        <w:rPr>
          <w:b/>
          <w:iCs/>
          <w:color w:val="7C2855" w:themeColor="background2"/>
          <w:sz w:val="28"/>
          <w:szCs w:val="28"/>
        </w:rPr>
      </w:pPr>
      <w:bookmarkStart w:id="527" w:name="_Toc95743435"/>
      <w:bookmarkStart w:id="528" w:name="_Ref87259140"/>
      <w:bookmarkEnd w:id="526"/>
      <w:r w:rsidRPr="00686F5F">
        <w:rPr>
          <w:b/>
          <w:iCs/>
          <w:color w:val="7C2855" w:themeColor="background2"/>
          <w:sz w:val="28"/>
          <w:szCs w:val="28"/>
        </w:rPr>
        <w:t>Contract regulations and managing inappropriate and unacceptable patient behaviours</w:t>
      </w:r>
      <w:bookmarkEnd w:id="527"/>
      <w:r w:rsidRPr="00686F5F">
        <w:rPr>
          <w:b/>
          <w:iCs/>
          <w:color w:val="7C2855" w:themeColor="background2"/>
          <w:sz w:val="28"/>
          <w:szCs w:val="28"/>
        </w:rPr>
        <w:t xml:space="preserve"> </w:t>
      </w:r>
      <w:bookmarkEnd w:id="528"/>
    </w:p>
    <w:p w14:paraId="1CB9F6E5" w14:textId="77777777" w:rsidR="00686F5F" w:rsidRPr="00686F5F" w:rsidRDefault="00686F5F" w:rsidP="00686F5F">
      <w:pPr>
        <w:spacing w:line="360" w:lineRule="auto"/>
        <w:ind w:left="720"/>
        <w:outlineLvl w:val="2"/>
        <w:rPr>
          <w:lang w:eastAsia="en-GB"/>
        </w:rPr>
      </w:pPr>
    </w:p>
    <w:p w14:paraId="5B5B8A4C" w14:textId="77777777" w:rsidR="00686F5F" w:rsidRPr="00686F5F" w:rsidRDefault="00686F5F" w:rsidP="00686F5F">
      <w:pPr>
        <w:spacing w:line="360" w:lineRule="auto"/>
        <w:ind w:left="720"/>
        <w:outlineLvl w:val="2"/>
        <w:rPr>
          <w:lang w:eastAsia="en-GB"/>
        </w:rPr>
      </w:pPr>
    </w:p>
    <w:p w14:paraId="61D565D1" w14:textId="77777777" w:rsidR="00686F5F" w:rsidRPr="00686F5F" w:rsidRDefault="00686F5F" w:rsidP="006C3DF5">
      <w:pPr>
        <w:numPr>
          <w:ilvl w:val="2"/>
          <w:numId w:val="246"/>
        </w:numPr>
        <w:spacing w:line="360" w:lineRule="auto"/>
        <w:ind w:left="851" w:hanging="851"/>
        <w:outlineLvl w:val="2"/>
        <w:rPr>
          <w:lang w:eastAsia="en-GB"/>
        </w:rPr>
      </w:pPr>
      <w:r w:rsidRPr="00686F5F">
        <w:t xml:space="preserve">Where a provider wishes to remove a patient from its practice patient list, removal may normally only be requested if, within the period of 12 months prior to the date of the request, the provider has warned the patient in writing that they are at risk of removal and reasons for this have been stated. However, the contract regulations also acknowledge that it may be justified that a written warning was not possible/appropriate in the circumstances that such a warning would be: </w:t>
      </w:r>
    </w:p>
    <w:p w14:paraId="52AFE575" w14:textId="77777777" w:rsidR="00686F5F" w:rsidRPr="00686F5F" w:rsidRDefault="00686F5F" w:rsidP="006C3DF5">
      <w:pPr>
        <w:keepNext/>
        <w:keepLines/>
        <w:numPr>
          <w:ilvl w:val="3"/>
          <w:numId w:val="238"/>
        </w:numPr>
        <w:spacing w:before="200" w:line="360" w:lineRule="auto"/>
        <w:ind w:hanging="13"/>
        <w:outlineLvl w:val="3"/>
        <w:rPr>
          <w:rFonts w:eastAsiaTheme="majorEastAsia" w:cstheme="majorBidi"/>
          <w:bCs w:val="0"/>
          <w:iCs/>
          <w:color w:val="000000" w:themeColor="text1"/>
          <w:lang w:eastAsia="en-GB"/>
        </w:rPr>
      </w:pPr>
      <w:r w:rsidRPr="00686F5F">
        <w:rPr>
          <w:rFonts w:eastAsiaTheme="majorEastAsia" w:cstheme="majorBidi"/>
          <w:bCs w:val="0"/>
          <w:iCs/>
          <w:color w:val="000000" w:themeColor="text1"/>
          <w:lang w:eastAsia="en-GB"/>
        </w:rPr>
        <w:t>harmful to the person’s physical or mental health; or</w:t>
      </w:r>
    </w:p>
    <w:p w14:paraId="41028DE0" w14:textId="77777777" w:rsidR="00686F5F" w:rsidRPr="00686F5F" w:rsidRDefault="00686F5F" w:rsidP="006C3DF5">
      <w:pPr>
        <w:keepNext/>
        <w:keepLines/>
        <w:numPr>
          <w:ilvl w:val="3"/>
          <w:numId w:val="238"/>
        </w:numPr>
        <w:spacing w:before="200" w:line="360" w:lineRule="auto"/>
        <w:ind w:hanging="13"/>
        <w:outlineLvl w:val="3"/>
        <w:rPr>
          <w:rFonts w:eastAsiaTheme="majorEastAsia" w:cstheme="majorBidi"/>
          <w:bCs w:val="0"/>
          <w:iCs/>
          <w:color w:val="000000" w:themeColor="text1"/>
          <w:lang w:eastAsia="en-GB"/>
        </w:rPr>
      </w:pPr>
      <w:r w:rsidRPr="00686F5F">
        <w:rPr>
          <w:rFonts w:eastAsiaTheme="majorEastAsia" w:cstheme="majorBidi"/>
          <w:bCs w:val="0"/>
          <w:iCs/>
          <w:color w:val="000000" w:themeColor="text1"/>
          <w:lang w:eastAsia="en-GB"/>
        </w:rPr>
        <w:t xml:space="preserve">would put at risk the safety of one or more relevant person(s); or </w:t>
      </w:r>
    </w:p>
    <w:p w14:paraId="1A099216" w14:textId="77777777" w:rsidR="00686F5F" w:rsidRPr="00686F5F" w:rsidRDefault="00686F5F" w:rsidP="006C3DF5">
      <w:pPr>
        <w:keepNext/>
        <w:keepLines/>
        <w:numPr>
          <w:ilvl w:val="3"/>
          <w:numId w:val="238"/>
        </w:numPr>
        <w:spacing w:before="200" w:line="360" w:lineRule="auto"/>
        <w:ind w:left="1418" w:hanging="567"/>
        <w:outlineLvl w:val="3"/>
        <w:rPr>
          <w:rFonts w:eastAsiaTheme="majorEastAsia" w:cstheme="majorBidi"/>
          <w:bCs w:val="0"/>
          <w:iCs/>
          <w:color w:val="000000" w:themeColor="text1"/>
          <w:lang w:eastAsia="en-GB"/>
        </w:rPr>
      </w:pPr>
      <w:r w:rsidRPr="00686F5F">
        <w:rPr>
          <w:rFonts w:eastAsiaTheme="majorEastAsia" w:cstheme="majorBidi"/>
          <w:bCs w:val="0"/>
          <w:iCs/>
          <w:color w:val="000000" w:themeColor="text1"/>
          <w:lang w:eastAsia="en-GB"/>
        </w:rPr>
        <w:t xml:space="preserve">the contractor considers that it is not otherwise reasonable or practical for a warning to be given. </w:t>
      </w:r>
    </w:p>
    <w:p w14:paraId="7C3602F2" w14:textId="77777777" w:rsidR="00686F5F" w:rsidRPr="00686F5F" w:rsidRDefault="00686F5F" w:rsidP="00686F5F">
      <w:pPr>
        <w:spacing w:line="360" w:lineRule="auto"/>
        <w:ind w:left="720"/>
        <w:outlineLvl w:val="2"/>
      </w:pPr>
    </w:p>
    <w:p w14:paraId="3F1BFD84" w14:textId="77777777" w:rsidR="00686F5F" w:rsidRPr="00686F5F" w:rsidRDefault="00686F5F" w:rsidP="006C3DF5">
      <w:pPr>
        <w:numPr>
          <w:ilvl w:val="2"/>
          <w:numId w:val="246"/>
        </w:numPr>
        <w:spacing w:line="360" w:lineRule="auto"/>
        <w:ind w:left="851" w:hanging="851"/>
        <w:outlineLvl w:val="2"/>
      </w:pPr>
      <w:r w:rsidRPr="00686F5F">
        <w:t>The General Medical Council states In Good Medical Practice that: “In rare circumstances, the trust between you and a patient may break down, and you may find it necessary to end the professional relationship. For example, this may occur if a patient has been violent to you or a colleague, e, has stolen from the premises, or has persistently acted inconsiderately or unreasonably.”</w:t>
      </w:r>
    </w:p>
    <w:p w14:paraId="2FD997AE" w14:textId="77777777" w:rsidR="00686F5F" w:rsidRPr="00686F5F" w:rsidRDefault="00686F5F" w:rsidP="00686F5F">
      <w:pPr>
        <w:spacing w:line="360" w:lineRule="auto"/>
        <w:ind w:left="720"/>
        <w:outlineLvl w:val="2"/>
      </w:pPr>
    </w:p>
    <w:p w14:paraId="499CC92C" w14:textId="77777777" w:rsidR="00686F5F" w:rsidRPr="00686F5F" w:rsidRDefault="00686F5F" w:rsidP="006C3DF5">
      <w:pPr>
        <w:numPr>
          <w:ilvl w:val="2"/>
          <w:numId w:val="246"/>
        </w:numPr>
        <w:spacing w:line="360" w:lineRule="auto"/>
        <w:ind w:left="851" w:hanging="851"/>
        <w:outlineLvl w:val="2"/>
      </w:pPr>
      <w:r w:rsidRPr="00686F5F">
        <w:t xml:space="preserve">Removing a patient from the practice patient list, including without prior written notice under reasonable grounds or grounds of  irrevocable breakdown in the relationship, is though expected to be an exceptional event. </w:t>
      </w:r>
    </w:p>
    <w:p w14:paraId="1EDE8A75" w14:textId="77777777" w:rsidR="00686F5F" w:rsidRPr="00686F5F" w:rsidRDefault="00686F5F" w:rsidP="00C12A20">
      <w:pPr>
        <w:spacing w:line="360" w:lineRule="auto"/>
        <w:ind w:left="851" w:hanging="851"/>
        <w:outlineLvl w:val="2"/>
      </w:pPr>
    </w:p>
    <w:p w14:paraId="5A726C71" w14:textId="77777777" w:rsidR="00686F5F" w:rsidRPr="00686F5F" w:rsidRDefault="00686F5F" w:rsidP="006C3DF5">
      <w:pPr>
        <w:numPr>
          <w:ilvl w:val="2"/>
          <w:numId w:val="246"/>
        </w:numPr>
        <w:spacing w:line="360" w:lineRule="auto"/>
        <w:ind w:left="851" w:hanging="851"/>
        <w:outlineLvl w:val="2"/>
      </w:pPr>
      <w:r w:rsidRPr="00686F5F">
        <w:t xml:space="preserve">Providers will also recognise incidents of patient inappropriate and unacceptable behaviours will need to take into account that service user’s mental health, clinical presentation, neurodiversity and any other health conditions which may influence their behaviour and ensure that patient’s own protected characteristics take no bearing in the consideration process. </w:t>
      </w:r>
      <w:bookmarkStart w:id="529" w:name="_Ref87260141"/>
    </w:p>
    <w:p w14:paraId="72B6FEE5" w14:textId="77777777" w:rsidR="00686F5F" w:rsidRPr="00686F5F" w:rsidRDefault="00686F5F" w:rsidP="00686F5F">
      <w:pPr>
        <w:spacing w:line="360" w:lineRule="auto"/>
        <w:ind w:left="720"/>
        <w:outlineLvl w:val="2"/>
      </w:pPr>
    </w:p>
    <w:p w14:paraId="715D7AD8" w14:textId="0328D1A0" w:rsidR="00686F5F" w:rsidRPr="00686F5F" w:rsidRDefault="00686F5F" w:rsidP="006C3DF5">
      <w:pPr>
        <w:numPr>
          <w:ilvl w:val="1"/>
          <w:numId w:val="246"/>
        </w:numPr>
        <w:spacing w:line="360" w:lineRule="auto"/>
        <w:ind w:left="2561"/>
        <w:outlineLvl w:val="1"/>
        <w:rPr>
          <w:b/>
          <w:iCs/>
          <w:color w:val="7C2855" w:themeColor="background2"/>
          <w:sz w:val="28"/>
        </w:rPr>
      </w:pPr>
      <w:bookmarkStart w:id="530" w:name="_Toc95743436"/>
      <w:r w:rsidRPr="00686F5F">
        <w:rPr>
          <w:b/>
          <w:iCs/>
          <w:color w:val="7C2855" w:themeColor="background2"/>
          <w:sz w:val="28"/>
          <w:szCs w:val="28"/>
          <w:lang w:eastAsia="en-GB"/>
        </w:rPr>
        <w:t>The process for managing inappropriate and unacceptable behaviours</w:t>
      </w:r>
      <w:bookmarkEnd w:id="529"/>
      <w:bookmarkEnd w:id="530"/>
    </w:p>
    <w:p w14:paraId="2A3EA0CA" w14:textId="77777777" w:rsidR="00686F5F" w:rsidRPr="00686F5F" w:rsidRDefault="00686F5F" w:rsidP="00686F5F">
      <w:pPr>
        <w:spacing w:line="360" w:lineRule="auto"/>
        <w:ind w:left="720"/>
        <w:outlineLvl w:val="2"/>
      </w:pPr>
    </w:p>
    <w:p w14:paraId="3FAB23A6" w14:textId="77777777" w:rsidR="00686F5F" w:rsidRPr="00686F5F" w:rsidRDefault="00686F5F" w:rsidP="006C3DF5">
      <w:pPr>
        <w:numPr>
          <w:ilvl w:val="2"/>
          <w:numId w:val="246"/>
        </w:numPr>
        <w:spacing w:line="360" w:lineRule="auto"/>
        <w:ind w:left="851" w:hanging="851"/>
        <w:outlineLvl w:val="2"/>
      </w:pPr>
      <w:r w:rsidRPr="00686F5F">
        <w:rPr>
          <w:lang w:eastAsia="en-GB"/>
        </w:rPr>
        <w:t xml:space="preserve">Where a patient has acted inappropriately or unacceptably, the provider will need to carefully consider (taking account of the nature and severity of the incident / behaviour, the impact on practice services, staff or other service users and the patient’s own circumstances) if the incident: </w:t>
      </w:r>
    </w:p>
    <w:p w14:paraId="23836EF9" w14:textId="77777777" w:rsidR="00686F5F" w:rsidRPr="00686F5F" w:rsidRDefault="00686F5F" w:rsidP="00686F5F">
      <w:pPr>
        <w:rPr>
          <w:lang w:eastAsia="en-GB"/>
        </w:rPr>
      </w:pPr>
    </w:p>
    <w:p w14:paraId="04450DDE" w14:textId="77777777" w:rsidR="00686F5F" w:rsidRPr="00686F5F" w:rsidRDefault="00686F5F" w:rsidP="006C3DF5">
      <w:pPr>
        <w:numPr>
          <w:ilvl w:val="0"/>
          <w:numId w:val="237"/>
        </w:numPr>
        <w:spacing w:line="360" w:lineRule="auto"/>
        <w:contextualSpacing/>
        <w:rPr>
          <w:lang w:eastAsia="en-GB"/>
        </w:rPr>
      </w:pPr>
      <w:r w:rsidRPr="00686F5F">
        <w:rPr>
          <w:lang w:eastAsia="en-GB"/>
        </w:rPr>
        <w:t xml:space="preserve">meets the relevant criteria for removal from the practice patient list; and, if so, if it is nevertheless willing to continue to manage its relationship with the patient or proceed with the removal; or,  </w:t>
      </w:r>
    </w:p>
    <w:p w14:paraId="6831B518" w14:textId="77777777" w:rsidR="00686F5F" w:rsidRPr="00686F5F" w:rsidRDefault="00686F5F" w:rsidP="00686F5F">
      <w:pPr>
        <w:spacing w:line="360" w:lineRule="auto"/>
        <w:ind w:left="1080"/>
        <w:contextualSpacing/>
        <w:rPr>
          <w:lang w:eastAsia="en-GB"/>
        </w:rPr>
      </w:pPr>
    </w:p>
    <w:p w14:paraId="55FD4371" w14:textId="77777777" w:rsidR="00686F5F" w:rsidRPr="00686F5F" w:rsidRDefault="00686F5F" w:rsidP="006C3DF5">
      <w:pPr>
        <w:numPr>
          <w:ilvl w:val="0"/>
          <w:numId w:val="237"/>
        </w:numPr>
        <w:spacing w:line="360" w:lineRule="auto"/>
        <w:contextualSpacing/>
        <w:rPr>
          <w:lang w:eastAsia="en-GB"/>
        </w:rPr>
      </w:pPr>
      <w:r w:rsidRPr="00686F5F">
        <w:rPr>
          <w:lang w:eastAsia="en-GB"/>
        </w:rPr>
        <w:t>does not meet the relevant criteria for removal from the practice patient list, how it will manage its continuing relationship with the patient.</w:t>
      </w:r>
    </w:p>
    <w:p w14:paraId="70112B34" w14:textId="77777777" w:rsidR="00686F5F" w:rsidRPr="00686F5F" w:rsidRDefault="00686F5F" w:rsidP="00686F5F">
      <w:pPr>
        <w:spacing w:line="360" w:lineRule="auto"/>
        <w:rPr>
          <w:lang w:eastAsia="en-GB"/>
        </w:rPr>
      </w:pPr>
    </w:p>
    <w:p w14:paraId="5DB34BF8" w14:textId="5762FA61" w:rsidR="00686F5F" w:rsidRPr="00686F5F" w:rsidRDefault="00686F5F" w:rsidP="006C3DF5">
      <w:pPr>
        <w:numPr>
          <w:ilvl w:val="2"/>
          <w:numId w:val="246"/>
        </w:numPr>
        <w:spacing w:line="360" w:lineRule="auto"/>
        <w:ind w:left="851" w:hanging="851"/>
        <w:outlineLvl w:val="2"/>
        <w:rPr>
          <w:lang w:eastAsia="en-GB"/>
        </w:rPr>
      </w:pPr>
      <w:r w:rsidRPr="00686F5F">
        <w:rPr>
          <w:lang w:eastAsia="en-GB"/>
        </w:rPr>
        <w:t xml:space="preserve">The stated consequence of stepping outside the providers practice polices of expected patient behavours need to be things that the practice can and will carry out.  The process for removing patients from the practice list on reasonable grounds is described in Chapter 3. The process for removing violent patients is described in Chapter </w:t>
      </w:r>
      <w:r w:rsidR="00281046">
        <w:rPr>
          <w:lang w:eastAsia="en-GB"/>
        </w:rPr>
        <w:t>7</w:t>
      </w:r>
      <w:r w:rsidRPr="00686F5F">
        <w:rPr>
          <w:lang w:eastAsia="en-GB"/>
        </w:rPr>
        <w:t>.</w:t>
      </w:r>
    </w:p>
    <w:p w14:paraId="42766074" w14:textId="77777777" w:rsidR="00686F5F" w:rsidRPr="00686F5F" w:rsidRDefault="00686F5F" w:rsidP="00C12A20">
      <w:pPr>
        <w:spacing w:line="360" w:lineRule="auto"/>
        <w:ind w:left="851" w:hanging="851"/>
        <w:outlineLvl w:val="2"/>
        <w:rPr>
          <w:lang w:eastAsia="en-GB"/>
        </w:rPr>
      </w:pPr>
    </w:p>
    <w:p w14:paraId="525F298A" w14:textId="77777777" w:rsidR="00686F5F" w:rsidRPr="00686F5F" w:rsidRDefault="00686F5F" w:rsidP="006C3DF5">
      <w:pPr>
        <w:numPr>
          <w:ilvl w:val="2"/>
          <w:numId w:val="246"/>
        </w:numPr>
        <w:spacing w:line="360" w:lineRule="auto"/>
        <w:ind w:left="851" w:hanging="851"/>
        <w:outlineLvl w:val="2"/>
        <w:rPr>
          <w:lang w:eastAsia="en-GB"/>
        </w:rPr>
      </w:pPr>
      <w:r w:rsidRPr="00686F5F">
        <w:rPr>
          <w:lang w:eastAsia="en-GB"/>
        </w:rPr>
        <w:t xml:space="preserve">British Medical Association General Practitioner Committee </w:t>
      </w:r>
      <w:hyperlink r:id="rId86" w:history="1">
        <w:r w:rsidRPr="00686F5F">
          <w:rPr>
            <w:color w:val="0000FF"/>
            <w:u w:val="single"/>
            <w:lang w:eastAsia="en-GB"/>
          </w:rPr>
          <w:t>advice</w:t>
        </w:r>
      </w:hyperlink>
      <w:r w:rsidRPr="00686F5F">
        <w:rPr>
          <w:lang w:eastAsia="en-GB"/>
        </w:rPr>
        <w:t xml:space="preserve"> on removing patients from the practice acknowledges “Many patients who are misusing services can change their behaviour if it is brought to their attention.”</w:t>
      </w:r>
    </w:p>
    <w:p w14:paraId="27C98673" w14:textId="77777777" w:rsidR="00686F5F" w:rsidRPr="00686F5F" w:rsidRDefault="00686F5F" w:rsidP="00686F5F">
      <w:pPr>
        <w:spacing w:line="360" w:lineRule="auto"/>
        <w:ind w:left="720"/>
        <w:outlineLvl w:val="2"/>
        <w:rPr>
          <w:lang w:eastAsia="en-GB"/>
        </w:rPr>
      </w:pPr>
    </w:p>
    <w:p w14:paraId="7937B228" w14:textId="77777777" w:rsidR="00686F5F" w:rsidRPr="00686F5F" w:rsidRDefault="00686F5F" w:rsidP="006C3DF5">
      <w:pPr>
        <w:numPr>
          <w:ilvl w:val="2"/>
          <w:numId w:val="246"/>
        </w:numPr>
        <w:spacing w:line="360" w:lineRule="auto"/>
        <w:ind w:left="851" w:hanging="851"/>
        <w:outlineLvl w:val="2"/>
        <w:rPr>
          <w:lang w:eastAsia="en-GB"/>
        </w:rPr>
      </w:pPr>
      <w:r w:rsidRPr="00686F5F">
        <w:rPr>
          <w:lang w:eastAsia="en-GB"/>
        </w:rPr>
        <w:t xml:space="preserve">A warning letter provides such an opportunity and where used should indicate continued registration will cease if the inappropriate or unacceptable behaviour continues or reoccurs and therefore formally documents and evidences reasonable grounds for future removal should it do so. See  </w:t>
      </w:r>
      <w:r w:rsidRPr="00686F5F">
        <w:rPr>
          <w:lang w:eastAsia="en-GB"/>
        </w:rPr>
        <w:fldChar w:fldCharType="begin"/>
      </w:r>
      <w:r w:rsidRPr="00686F5F">
        <w:rPr>
          <w:lang w:eastAsia="en-GB"/>
        </w:rPr>
        <w:instrText xml:space="preserve"> REF _Ref87270191 \h </w:instrText>
      </w:r>
      <w:r w:rsidRPr="00686F5F">
        <w:rPr>
          <w:lang w:eastAsia="en-GB"/>
        </w:rPr>
      </w:r>
      <w:r w:rsidRPr="00686F5F">
        <w:rPr>
          <w:lang w:eastAsia="en-GB"/>
        </w:rPr>
        <w:fldChar w:fldCharType="separate"/>
      </w:r>
      <w:r w:rsidRPr="00686F5F">
        <w:rPr>
          <w:b/>
        </w:rPr>
        <w:t>Appendix One – Template Warning Letter</w:t>
      </w:r>
      <w:r w:rsidRPr="00686F5F">
        <w:rPr>
          <w:lang w:eastAsia="en-GB"/>
        </w:rPr>
        <w:fldChar w:fldCharType="end"/>
      </w:r>
      <w:r w:rsidRPr="00686F5F">
        <w:rPr>
          <w:lang w:eastAsia="en-GB"/>
        </w:rPr>
        <w:t xml:space="preserve">. </w:t>
      </w:r>
    </w:p>
    <w:p w14:paraId="68BA9433" w14:textId="77777777" w:rsidR="00686F5F" w:rsidRPr="00686F5F" w:rsidRDefault="00686F5F" w:rsidP="00C12A20">
      <w:pPr>
        <w:spacing w:line="360" w:lineRule="auto"/>
        <w:ind w:left="851" w:hanging="851"/>
        <w:outlineLvl w:val="2"/>
        <w:rPr>
          <w:lang w:eastAsia="en-GB"/>
        </w:rPr>
      </w:pPr>
    </w:p>
    <w:p w14:paraId="58D4697A" w14:textId="6F8513E8" w:rsidR="00686F5F" w:rsidRPr="00686F5F" w:rsidRDefault="005F54CF" w:rsidP="006C3DF5">
      <w:pPr>
        <w:numPr>
          <w:ilvl w:val="2"/>
          <w:numId w:val="246"/>
        </w:numPr>
        <w:spacing w:line="360" w:lineRule="auto"/>
        <w:ind w:left="851" w:hanging="851"/>
        <w:outlineLvl w:val="2"/>
        <w:rPr>
          <w:lang w:eastAsia="en-GB"/>
        </w:rPr>
      </w:pPr>
      <w:r>
        <w:rPr>
          <w:lang w:eastAsia="en-GB"/>
        </w:rPr>
        <w:t>A</w:t>
      </w:r>
      <w:r w:rsidR="00686F5F" w:rsidRPr="00686F5F">
        <w:rPr>
          <w:lang w:eastAsia="en-GB"/>
        </w:rPr>
        <w:t xml:space="preserve">cceptable behaviour guidance agreements (or otherwise known as practice-patient or doctor–patient contracts) can also be a useful tool to modify behaviour and should be considered as either a follow up to or used alongside a warning letter. The demands imposed by the agreement need to be reasonable in line with the providers practice policies and any specific demands linked to the individual case (eg, requests for personal apology, use of ‘cooling off’ periods) should be fair and not excessively burdensome or disproportionate to the risk. See </w:t>
      </w:r>
      <w:r w:rsidR="00686F5F" w:rsidRPr="00686F5F">
        <w:rPr>
          <w:lang w:eastAsia="en-GB"/>
        </w:rPr>
        <w:fldChar w:fldCharType="begin"/>
      </w:r>
      <w:r w:rsidR="00686F5F" w:rsidRPr="00686F5F">
        <w:rPr>
          <w:lang w:eastAsia="en-GB"/>
        </w:rPr>
        <w:instrText xml:space="preserve"> REF _Ref87270417 \h </w:instrText>
      </w:r>
      <w:r w:rsidR="00686F5F" w:rsidRPr="00686F5F">
        <w:rPr>
          <w:lang w:eastAsia="en-GB"/>
        </w:rPr>
      </w:r>
      <w:r w:rsidR="00686F5F" w:rsidRPr="00686F5F">
        <w:rPr>
          <w:lang w:eastAsia="en-GB"/>
        </w:rPr>
        <w:fldChar w:fldCharType="separate"/>
      </w:r>
      <w:r w:rsidR="00686F5F" w:rsidRPr="00686F5F">
        <w:rPr>
          <w:b/>
        </w:rPr>
        <w:t>Appendix Two – Template good behaviour guidance agreement</w:t>
      </w:r>
      <w:r w:rsidR="00686F5F" w:rsidRPr="00686F5F">
        <w:rPr>
          <w:lang w:eastAsia="en-GB"/>
        </w:rPr>
        <w:fldChar w:fldCharType="end"/>
      </w:r>
      <w:r w:rsidR="00686F5F" w:rsidRPr="00686F5F">
        <w:rPr>
          <w:lang w:eastAsia="en-GB"/>
        </w:rPr>
        <w:t xml:space="preserve">. </w:t>
      </w:r>
      <w:bookmarkStart w:id="531" w:name="_Ref87260148"/>
    </w:p>
    <w:p w14:paraId="67DF5E4F" w14:textId="77777777" w:rsidR="00686F5F" w:rsidRPr="00686F5F" w:rsidRDefault="00686F5F" w:rsidP="00686F5F">
      <w:pPr>
        <w:spacing w:line="360" w:lineRule="auto"/>
        <w:ind w:left="720"/>
        <w:outlineLvl w:val="2"/>
        <w:rPr>
          <w:lang w:eastAsia="en-GB"/>
        </w:rPr>
      </w:pPr>
    </w:p>
    <w:p w14:paraId="7F31F99A" w14:textId="0133F998" w:rsidR="00686F5F" w:rsidRPr="00686F5F" w:rsidRDefault="00686F5F" w:rsidP="006C3DF5">
      <w:pPr>
        <w:numPr>
          <w:ilvl w:val="1"/>
          <w:numId w:val="246"/>
        </w:numPr>
        <w:spacing w:line="360" w:lineRule="auto"/>
        <w:ind w:left="2561"/>
        <w:outlineLvl w:val="1"/>
        <w:rPr>
          <w:b/>
          <w:iCs/>
          <w:color w:val="7C2855" w:themeColor="background2"/>
          <w:sz w:val="28"/>
          <w:lang w:eastAsia="en-GB"/>
        </w:rPr>
      </w:pPr>
      <w:bookmarkStart w:id="532" w:name="_Toc95743437"/>
      <w:r w:rsidRPr="00686F5F">
        <w:rPr>
          <w:b/>
          <w:iCs/>
          <w:color w:val="7C2855" w:themeColor="background2"/>
          <w:sz w:val="28"/>
          <w:szCs w:val="28"/>
          <w:lang w:eastAsia="en-GB"/>
        </w:rPr>
        <w:t>Considerations for ensuring ongoing access for patients removed from a practice patient list due in inappropriate and unacceptable patient behaviours.</w:t>
      </w:r>
      <w:bookmarkEnd w:id="531"/>
      <w:bookmarkEnd w:id="532"/>
    </w:p>
    <w:p w14:paraId="3B418148" w14:textId="77777777" w:rsidR="00686F5F" w:rsidRPr="00686F5F" w:rsidRDefault="00686F5F" w:rsidP="00686F5F">
      <w:pPr>
        <w:ind w:left="432"/>
        <w:outlineLvl w:val="0"/>
        <w:rPr>
          <w:bCs w:val="0"/>
          <w:szCs w:val="20"/>
          <w:lang w:eastAsia="en-GB"/>
        </w:rPr>
      </w:pPr>
    </w:p>
    <w:p w14:paraId="5B097634" w14:textId="77777777" w:rsidR="00686F5F" w:rsidRPr="00686F5F" w:rsidRDefault="00686F5F" w:rsidP="006C3DF5">
      <w:pPr>
        <w:numPr>
          <w:ilvl w:val="2"/>
          <w:numId w:val="246"/>
        </w:numPr>
        <w:spacing w:line="360" w:lineRule="auto"/>
        <w:ind w:left="851" w:hanging="851"/>
        <w:outlineLvl w:val="2"/>
        <w:rPr>
          <w:lang w:eastAsia="en-GB"/>
        </w:rPr>
      </w:pPr>
      <w:r w:rsidRPr="00686F5F">
        <w:rPr>
          <w:lang w:eastAsia="en-GB"/>
        </w:rPr>
        <w:t>Other than on the grounds of violence or threatening behaviour, the grounds a patient has been removed from a practice patient list should not ordinarily be a factor to be considered by practices when approached by new patients.</w:t>
      </w:r>
    </w:p>
    <w:p w14:paraId="15089AEF" w14:textId="77777777" w:rsidR="00686F5F" w:rsidRPr="00686F5F" w:rsidRDefault="00686F5F" w:rsidP="006C3DF5">
      <w:pPr>
        <w:numPr>
          <w:ilvl w:val="2"/>
          <w:numId w:val="246"/>
        </w:numPr>
        <w:spacing w:line="360" w:lineRule="auto"/>
        <w:ind w:left="851" w:hanging="851"/>
        <w:outlineLvl w:val="2"/>
        <w:rPr>
          <w:lang w:eastAsia="en-GB"/>
        </w:rPr>
      </w:pPr>
      <w:r w:rsidRPr="00686F5F">
        <w:rPr>
          <w:bCs w:val="0"/>
          <w:szCs w:val="20"/>
          <w:lang w:eastAsia="en-GB"/>
        </w:rPr>
        <w:t xml:space="preserve">Additionally, where a patient has been removed from a practice list but has subsequently been unable to register with a new practice, commissioners may need to assign the patient to a practice whose list of patients is open. Chapter 3, Section 3.2.4 ‘Where Patient Assignment to a Practice List is Required’, is clear on the considerations that should be taken into account by commissioners. </w:t>
      </w:r>
    </w:p>
    <w:p w14:paraId="062C87D6" w14:textId="77777777" w:rsidR="00686F5F" w:rsidRPr="00686F5F" w:rsidRDefault="00686F5F" w:rsidP="00686F5F">
      <w:pPr>
        <w:spacing w:line="360" w:lineRule="auto"/>
        <w:ind w:left="720"/>
        <w:outlineLvl w:val="2"/>
        <w:rPr>
          <w:lang w:eastAsia="en-GB"/>
        </w:rPr>
      </w:pPr>
    </w:p>
    <w:p w14:paraId="7563DB61" w14:textId="43845911" w:rsidR="00686F5F" w:rsidRPr="00686F5F" w:rsidRDefault="00686F5F" w:rsidP="006C3DF5">
      <w:pPr>
        <w:pStyle w:val="ListParagraph"/>
        <w:numPr>
          <w:ilvl w:val="2"/>
          <w:numId w:val="246"/>
        </w:numPr>
        <w:spacing w:line="360" w:lineRule="auto"/>
        <w:ind w:left="851" w:hanging="851"/>
        <w:outlineLvl w:val="2"/>
        <w:rPr>
          <w:lang w:eastAsia="en-GB"/>
        </w:rPr>
      </w:pPr>
      <w:r w:rsidRPr="00211CA1">
        <w:rPr>
          <w:szCs w:val="20"/>
          <w:lang w:eastAsia="en-GB"/>
        </w:rPr>
        <w:t xml:space="preserve">It is recognised some patients can fall in to routine cycles of being removed and reregistered. </w:t>
      </w:r>
      <w:r w:rsidRPr="00211CA1">
        <w:rPr>
          <w:bCs w:val="0"/>
          <w:szCs w:val="20"/>
          <w:lang w:eastAsia="en-GB"/>
        </w:rPr>
        <w:t xml:space="preserve">Commissioners should consider how the needs of such patients may be best met and the support providers may need locally to ensure such cycles are broken in the interests of both providers and such patients. </w:t>
      </w:r>
    </w:p>
    <w:p w14:paraId="12E412C0" w14:textId="1F6571BD" w:rsidR="00686F5F" w:rsidRDefault="00686F5F" w:rsidP="00686F5F">
      <w:pPr>
        <w:ind w:left="432"/>
        <w:outlineLvl w:val="0"/>
        <w:rPr>
          <w:bCs w:val="0"/>
          <w:szCs w:val="20"/>
          <w:lang w:eastAsia="en-GB"/>
        </w:rPr>
      </w:pPr>
    </w:p>
    <w:p w14:paraId="11C932E9" w14:textId="6EB2C08D" w:rsidR="00C12A20" w:rsidRDefault="00C12A20" w:rsidP="00686F5F">
      <w:pPr>
        <w:ind w:left="432"/>
        <w:outlineLvl w:val="0"/>
        <w:rPr>
          <w:bCs w:val="0"/>
          <w:szCs w:val="20"/>
          <w:lang w:eastAsia="en-GB"/>
        </w:rPr>
      </w:pPr>
    </w:p>
    <w:p w14:paraId="5A91CBFF" w14:textId="3AFF9AA1" w:rsidR="00C12A20" w:rsidRDefault="00C12A20" w:rsidP="00686F5F">
      <w:pPr>
        <w:ind w:left="432"/>
        <w:outlineLvl w:val="0"/>
        <w:rPr>
          <w:bCs w:val="0"/>
          <w:szCs w:val="20"/>
          <w:lang w:eastAsia="en-GB"/>
        </w:rPr>
      </w:pPr>
    </w:p>
    <w:p w14:paraId="7ADBE85A" w14:textId="77777777" w:rsidR="00C12A20" w:rsidRPr="00686F5F" w:rsidRDefault="00C12A20" w:rsidP="00686F5F">
      <w:pPr>
        <w:ind w:left="432"/>
        <w:outlineLvl w:val="0"/>
        <w:rPr>
          <w:bCs w:val="0"/>
          <w:szCs w:val="20"/>
          <w:lang w:eastAsia="en-GB"/>
        </w:rPr>
      </w:pPr>
    </w:p>
    <w:p w14:paraId="38D7D0DD" w14:textId="66F8B76C" w:rsidR="001E16A4" w:rsidRDefault="001E16A4" w:rsidP="001E16A4">
      <w:pPr>
        <w:spacing w:line="360" w:lineRule="auto"/>
        <w:ind w:left="2160" w:firstLine="720"/>
        <w:outlineLvl w:val="2"/>
        <w:rPr>
          <w:b/>
        </w:rPr>
      </w:pPr>
      <w:bookmarkStart w:id="533" w:name="_Ref87270191"/>
      <w:r>
        <w:rPr>
          <w:b/>
        </w:rPr>
        <w:t xml:space="preserve">6.4 </w:t>
      </w:r>
      <w:r w:rsidR="002979BC">
        <w:rPr>
          <w:b/>
        </w:rPr>
        <w:t xml:space="preserve"> Appendices</w:t>
      </w:r>
    </w:p>
    <w:p w14:paraId="62429042" w14:textId="77777777" w:rsidR="002979BC" w:rsidRDefault="002979BC" w:rsidP="002979BC">
      <w:pPr>
        <w:spacing w:line="360" w:lineRule="auto"/>
        <w:ind w:left="2160" w:firstLine="720"/>
        <w:outlineLvl w:val="2"/>
        <w:rPr>
          <w:b/>
        </w:rPr>
      </w:pPr>
    </w:p>
    <w:p w14:paraId="52B002A0" w14:textId="6FF20A1C" w:rsidR="00686F5F" w:rsidRDefault="00686F5F" w:rsidP="00211CA1">
      <w:pPr>
        <w:spacing w:line="360" w:lineRule="auto"/>
        <w:outlineLvl w:val="2"/>
        <w:rPr>
          <w:b/>
        </w:rPr>
      </w:pPr>
      <w:r w:rsidRPr="00686F5F">
        <w:rPr>
          <w:b/>
        </w:rPr>
        <w:t>Appendi</w:t>
      </w:r>
      <w:r w:rsidR="002979BC">
        <w:rPr>
          <w:b/>
        </w:rPr>
        <w:t>ce</w:t>
      </w:r>
      <w:r w:rsidRPr="00686F5F">
        <w:rPr>
          <w:b/>
        </w:rPr>
        <w:t xml:space="preserve"> </w:t>
      </w:r>
      <w:r w:rsidR="002979BC">
        <w:rPr>
          <w:b/>
        </w:rPr>
        <w:t>1</w:t>
      </w:r>
      <w:r w:rsidR="002979BC" w:rsidRPr="00686F5F">
        <w:rPr>
          <w:b/>
        </w:rPr>
        <w:t xml:space="preserve"> </w:t>
      </w:r>
      <w:r w:rsidRPr="00686F5F">
        <w:rPr>
          <w:b/>
        </w:rPr>
        <w:t>– Template Warning Letter</w:t>
      </w:r>
      <w:bookmarkEnd w:id="533"/>
    </w:p>
    <w:p w14:paraId="75F2279B" w14:textId="74ED2273" w:rsidR="002979BC" w:rsidRDefault="002979BC" w:rsidP="00211CA1">
      <w:pPr>
        <w:spacing w:line="360" w:lineRule="auto"/>
        <w:outlineLvl w:val="2"/>
        <w:rPr>
          <w:b/>
        </w:rPr>
      </w:pPr>
    </w:p>
    <w:p w14:paraId="0D1A3BA8" w14:textId="7621DEA0" w:rsidR="002979BC" w:rsidRDefault="002979BC" w:rsidP="00211CA1">
      <w:pPr>
        <w:spacing w:line="360" w:lineRule="auto"/>
        <w:outlineLvl w:val="2"/>
        <w:rPr>
          <w:b/>
        </w:rPr>
      </w:pPr>
      <w:r>
        <w:rPr>
          <w:b/>
        </w:rPr>
        <w:t>Insert link</w:t>
      </w:r>
    </w:p>
    <w:p w14:paraId="4515EB35" w14:textId="77777777" w:rsidR="002979BC" w:rsidRPr="00686F5F" w:rsidRDefault="002979BC" w:rsidP="00211CA1">
      <w:pPr>
        <w:spacing w:line="360" w:lineRule="auto"/>
        <w:outlineLvl w:val="2"/>
        <w:rPr>
          <w:b/>
        </w:rPr>
      </w:pPr>
    </w:p>
    <w:bookmarkStart w:id="534" w:name="_MON_1697881561"/>
    <w:bookmarkEnd w:id="534"/>
    <w:p w14:paraId="45619AC7" w14:textId="5D6F1B8E" w:rsidR="00686F5F" w:rsidRPr="00686F5F" w:rsidRDefault="005230F0" w:rsidP="00686F5F">
      <w:pPr>
        <w:ind w:left="720"/>
        <w:contextualSpacing/>
      </w:pPr>
      <w:r w:rsidRPr="00686F5F">
        <w:rPr>
          <w:noProof/>
        </w:rPr>
        <w:object w:dxaOrig="1596" w:dyaOrig="1033" w14:anchorId="1DA32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0pt;height:51.5pt" o:ole="">
            <v:imagedata r:id="rId87" o:title=""/>
          </v:shape>
          <o:OLEObject Type="Embed" ProgID="Word.Document.12" ShapeID="_x0000_i1025" DrawAspect="Icon" ObjectID="_1713867978" r:id="rId88">
            <o:FieldCodes>\s</o:FieldCodes>
          </o:OLEObject>
        </w:object>
      </w:r>
      <w:r w:rsidR="00686F5F" w:rsidRPr="00686F5F">
        <w:br/>
      </w:r>
    </w:p>
    <w:p w14:paraId="4C7B984A" w14:textId="0AD33162" w:rsidR="00686F5F" w:rsidRDefault="00686F5F" w:rsidP="00211CA1">
      <w:pPr>
        <w:spacing w:line="360" w:lineRule="auto"/>
        <w:outlineLvl w:val="2"/>
        <w:rPr>
          <w:b/>
        </w:rPr>
      </w:pPr>
      <w:bookmarkStart w:id="535" w:name="_Ref87270417"/>
      <w:r w:rsidRPr="00686F5F">
        <w:rPr>
          <w:b/>
        </w:rPr>
        <w:t xml:space="preserve">Appendi </w:t>
      </w:r>
      <w:r w:rsidR="002979BC">
        <w:rPr>
          <w:b/>
        </w:rPr>
        <w:t>2</w:t>
      </w:r>
      <w:r w:rsidR="002979BC" w:rsidRPr="00686F5F">
        <w:rPr>
          <w:b/>
        </w:rPr>
        <w:t xml:space="preserve"> </w:t>
      </w:r>
      <w:r w:rsidRPr="00686F5F">
        <w:rPr>
          <w:b/>
        </w:rPr>
        <w:t>– Template good behaviour guidance agreement</w:t>
      </w:r>
      <w:bookmarkEnd w:id="535"/>
    </w:p>
    <w:p w14:paraId="06ED8C3A" w14:textId="6229335B" w:rsidR="009A1554" w:rsidRDefault="009A1554" w:rsidP="00211CA1">
      <w:pPr>
        <w:spacing w:line="360" w:lineRule="auto"/>
        <w:outlineLvl w:val="2"/>
        <w:rPr>
          <w:b/>
        </w:rPr>
      </w:pPr>
    </w:p>
    <w:p w14:paraId="61A4234A" w14:textId="1999E3FE" w:rsidR="009A1554" w:rsidRPr="00686F5F" w:rsidRDefault="00755D3D" w:rsidP="00211CA1">
      <w:pPr>
        <w:spacing w:line="360" w:lineRule="auto"/>
        <w:outlineLvl w:val="2"/>
        <w:rPr>
          <w:b/>
        </w:rPr>
      </w:pPr>
      <w:r>
        <w:rPr>
          <w:b/>
        </w:rPr>
        <w:t>I</w:t>
      </w:r>
      <w:r w:rsidR="009A1554">
        <w:rPr>
          <w:b/>
        </w:rPr>
        <w:t>nsert</w:t>
      </w:r>
      <w:r>
        <w:rPr>
          <w:b/>
        </w:rPr>
        <w:t xml:space="preserve"> link</w:t>
      </w:r>
    </w:p>
    <w:p w14:paraId="3C8E1A1D" w14:textId="77777777" w:rsidR="00686F5F" w:rsidRPr="00686F5F" w:rsidRDefault="00686F5F" w:rsidP="00686F5F">
      <w:pPr>
        <w:ind w:left="432"/>
        <w:outlineLvl w:val="0"/>
        <w:rPr>
          <w:rFonts w:cs="Arial"/>
          <w:b/>
          <w:color w:val="005EB8" w:themeColor="text2"/>
          <w:kern w:val="32"/>
          <w:sz w:val="32"/>
          <w:szCs w:val="32"/>
        </w:rPr>
      </w:pPr>
    </w:p>
    <w:bookmarkStart w:id="536" w:name="_MON_1697881714"/>
    <w:bookmarkEnd w:id="536"/>
    <w:p w14:paraId="328C8C19" w14:textId="353292B5" w:rsidR="00686F5F" w:rsidRPr="00686F5F" w:rsidRDefault="00BA0148" w:rsidP="00686F5F">
      <w:pPr>
        <w:ind w:firstLine="720"/>
      </w:pPr>
      <w:r w:rsidRPr="00686F5F">
        <w:rPr>
          <w:noProof/>
        </w:rPr>
        <w:object w:dxaOrig="1596" w:dyaOrig="1033" w14:anchorId="170B7EB1">
          <v:shape id="_x0000_i1026" type="#_x0000_t75" alt="" style="width:80pt;height:51.5pt" o:ole="">
            <v:imagedata r:id="rId89" o:title=""/>
          </v:shape>
          <o:OLEObject Type="Embed" ProgID="Word.Document.12" ShapeID="_x0000_i1026" DrawAspect="Icon" ObjectID="_1713867979" r:id="rId90">
            <o:FieldCodes>\s</o:FieldCodes>
          </o:OLEObject>
        </w:object>
      </w:r>
    </w:p>
    <w:p w14:paraId="659D056C" w14:textId="0F886379" w:rsidR="00C132F9" w:rsidRDefault="00B42132" w:rsidP="00C132F9">
      <w:pPr>
        <w:pStyle w:val="Heading1"/>
      </w:pPr>
      <w:r>
        <w:rPr>
          <w:lang w:eastAsia="en-GB"/>
        </w:rPr>
        <w:br w:type="page"/>
      </w:r>
      <w:bookmarkStart w:id="537" w:name="_Hlk536610472"/>
    </w:p>
    <w:p w14:paraId="54B353DD" w14:textId="56792D02" w:rsidR="00C132F9" w:rsidRPr="00C132F9" w:rsidRDefault="00686F5F" w:rsidP="00233BD8">
      <w:pPr>
        <w:pStyle w:val="Heading1"/>
        <w:numPr>
          <w:ilvl w:val="0"/>
          <w:numId w:val="0"/>
        </w:numPr>
        <w:ind w:left="432"/>
      </w:pPr>
      <w:bookmarkStart w:id="538" w:name="_Toc95743438"/>
      <w:r>
        <w:t xml:space="preserve">7 </w:t>
      </w:r>
      <w:r w:rsidR="00C132F9" w:rsidRPr="00C132F9">
        <w:t>Managing Violent Patients - Special Allocation Scheme (SAS)</w:t>
      </w:r>
      <w:bookmarkEnd w:id="538"/>
      <w:r w:rsidR="00C132F9" w:rsidRPr="00C132F9">
        <w:t xml:space="preserve"> </w:t>
      </w:r>
    </w:p>
    <w:p w14:paraId="7EA51827" w14:textId="77777777" w:rsidR="00C132F9" w:rsidRPr="00C132F9" w:rsidRDefault="00C132F9" w:rsidP="00C132F9"/>
    <w:p w14:paraId="1E9C8C54" w14:textId="40C9C956" w:rsidR="00C132F9" w:rsidRPr="00C132F9" w:rsidRDefault="00C132F9" w:rsidP="00C132F9">
      <w:pPr>
        <w:spacing w:before="20" w:line="268" w:lineRule="auto"/>
        <w:ind w:left="106" w:right="117"/>
        <w:rPr>
          <w:rFonts w:eastAsia="Arial" w:cs="Arial"/>
          <w:sz w:val="16"/>
          <w:szCs w:val="16"/>
        </w:rPr>
      </w:pPr>
      <w:r w:rsidRPr="00C132F9">
        <w:rPr>
          <w:rFonts w:eastAsia="Arial" w:cs="Arial"/>
          <w:color w:val="FF0000"/>
          <w:spacing w:val="-6"/>
          <w:sz w:val="16"/>
          <w:szCs w:val="16"/>
        </w:rPr>
        <w:t>(</w:t>
      </w:r>
      <w:r w:rsidRPr="00C132F9">
        <w:rPr>
          <w:rFonts w:eastAsia="Arial" w:cs="Arial"/>
          <w:color w:val="FF0000"/>
          <w:sz w:val="16"/>
          <w:szCs w:val="16"/>
        </w:rPr>
        <w:t>T</w:t>
      </w:r>
      <w:r w:rsidRPr="00C132F9">
        <w:rPr>
          <w:rFonts w:eastAsia="Arial" w:cs="Arial"/>
          <w:color w:val="FF0000"/>
          <w:spacing w:val="-31"/>
          <w:sz w:val="16"/>
          <w:szCs w:val="16"/>
        </w:rPr>
        <w:t xml:space="preserve">o </w:t>
      </w:r>
      <w:r w:rsidRPr="00C132F9">
        <w:rPr>
          <w:rFonts w:eastAsia="Arial" w:cs="Arial"/>
          <w:color w:val="FF0000"/>
          <w:spacing w:val="-6"/>
          <w:sz w:val="16"/>
          <w:szCs w:val="16"/>
        </w:rPr>
        <w:t xml:space="preserve"> </w:t>
      </w:r>
      <w:r w:rsidRPr="00C132F9">
        <w:rPr>
          <w:rFonts w:eastAsia="Arial" w:cs="Arial"/>
          <w:color w:val="FF0000"/>
          <w:spacing w:val="6"/>
          <w:sz w:val="16"/>
          <w:szCs w:val="16"/>
        </w:rPr>
        <w:t>no</w:t>
      </w:r>
      <w:r w:rsidRPr="00C132F9">
        <w:rPr>
          <w:rFonts w:eastAsia="Arial" w:cs="Arial"/>
          <w:color w:val="FF0000"/>
          <w:spacing w:val="3"/>
          <w:sz w:val="16"/>
          <w:szCs w:val="16"/>
        </w:rPr>
        <w:t>t</w:t>
      </w:r>
      <w:r w:rsidRPr="00C132F9">
        <w:rPr>
          <w:rFonts w:eastAsia="Arial" w:cs="Arial"/>
          <w:color w:val="FF0000"/>
          <w:sz w:val="16"/>
          <w:szCs w:val="16"/>
        </w:rPr>
        <w:t>e</w:t>
      </w:r>
      <w:r w:rsidRPr="00C132F9">
        <w:rPr>
          <w:rFonts w:eastAsia="Arial" w:cs="Arial"/>
          <w:color w:val="FF0000"/>
          <w:spacing w:val="-6"/>
          <w:sz w:val="16"/>
          <w:szCs w:val="16"/>
        </w:rPr>
        <w:t xml:space="preserve"> </w:t>
      </w:r>
      <w:r w:rsidRPr="00C132F9">
        <w:rPr>
          <w:rFonts w:eastAsia="Arial" w:cs="Arial"/>
          <w:color w:val="FF0000"/>
          <w:spacing w:val="6"/>
          <w:sz w:val="16"/>
          <w:szCs w:val="16"/>
        </w:rPr>
        <w:t>an</w:t>
      </w:r>
      <w:r w:rsidRPr="00C132F9">
        <w:rPr>
          <w:rFonts w:eastAsia="Arial" w:cs="Arial"/>
          <w:color w:val="FF0000"/>
          <w:sz w:val="16"/>
          <w:szCs w:val="16"/>
        </w:rPr>
        <w:t>d</w:t>
      </w:r>
      <w:r w:rsidRPr="00C132F9">
        <w:rPr>
          <w:rFonts w:eastAsia="Arial" w:cs="Arial"/>
          <w:color w:val="FF0000"/>
          <w:spacing w:val="-6"/>
          <w:sz w:val="16"/>
          <w:szCs w:val="16"/>
        </w:rPr>
        <w:t xml:space="preserve"> </w:t>
      </w:r>
      <w:r w:rsidRPr="00C132F9">
        <w:rPr>
          <w:rFonts w:eastAsia="Arial" w:cs="Arial"/>
          <w:color w:val="FF0000"/>
          <w:spacing w:val="6"/>
          <w:sz w:val="16"/>
          <w:szCs w:val="16"/>
        </w:rPr>
        <w:t>fo</w:t>
      </w:r>
      <w:r w:rsidRPr="00C132F9">
        <w:rPr>
          <w:rFonts w:eastAsia="Arial" w:cs="Arial"/>
          <w:color w:val="FF0000"/>
          <w:sz w:val="16"/>
          <w:szCs w:val="16"/>
        </w:rPr>
        <w:t>r</w:t>
      </w:r>
      <w:r w:rsidRPr="00C132F9">
        <w:rPr>
          <w:rFonts w:eastAsia="Arial" w:cs="Arial"/>
          <w:color w:val="FF0000"/>
          <w:spacing w:val="-18"/>
          <w:sz w:val="16"/>
          <w:szCs w:val="16"/>
        </w:rPr>
        <w:t xml:space="preserve"> </w:t>
      </w:r>
      <w:r w:rsidRPr="00C132F9">
        <w:rPr>
          <w:rFonts w:eastAsia="Arial" w:cs="Arial"/>
          <w:color w:val="FF0000"/>
          <w:spacing w:val="12"/>
          <w:sz w:val="16"/>
          <w:szCs w:val="16"/>
        </w:rPr>
        <w:t>i</w:t>
      </w:r>
      <w:r w:rsidRPr="00C132F9">
        <w:rPr>
          <w:rFonts w:eastAsia="Arial" w:cs="Arial"/>
          <w:color w:val="FF0000"/>
          <w:spacing w:val="6"/>
          <w:sz w:val="16"/>
          <w:szCs w:val="16"/>
        </w:rPr>
        <w:t>n</w:t>
      </w:r>
      <w:r w:rsidRPr="00C132F9">
        <w:rPr>
          <w:rFonts w:eastAsia="Arial" w:cs="Arial"/>
          <w:color w:val="FF0000"/>
          <w:spacing w:val="3"/>
          <w:sz w:val="16"/>
          <w:szCs w:val="16"/>
        </w:rPr>
        <w:t>f</w:t>
      </w:r>
      <w:r w:rsidRPr="00C132F9">
        <w:rPr>
          <w:rFonts w:eastAsia="Arial" w:cs="Arial"/>
          <w:color w:val="FF0000"/>
          <w:spacing w:val="6"/>
          <w:sz w:val="16"/>
          <w:szCs w:val="16"/>
        </w:rPr>
        <w:t>o</w:t>
      </w:r>
      <w:r w:rsidRPr="00C132F9">
        <w:rPr>
          <w:rFonts w:eastAsia="Arial" w:cs="Arial"/>
          <w:color w:val="FF0000"/>
          <w:spacing w:val="-6"/>
          <w:sz w:val="16"/>
          <w:szCs w:val="16"/>
        </w:rPr>
        <w:t>r</w:t>
      </w:r>
      <w:r w:rsidRPr="00C132F9">
        <w:rPr>
          <w:rFonts w:eastAsia="Arial" w:cs="Arial"/>
          <w:color w:val="FF0000"/>
          <w:spacing w:val="10"/>
          <w:sz w:val="16"/>
          <w:szCs w:val="16"/>
        </w:rPr>
        <w:t>m</w:t>
      </w:r>
      <w:r w:rsidRPr="00C132F9">
        <w:rPr>
          <w:rFonts w:eastAsia="Arial" w:cs="Arial"/>
          <w:color w:val="FF0000"/>
          <w:spacing w:val="-9"/>
          <w:sz w:val="16"/>
          <w:szCs w:val="16"/>
        </w:rPr>
        <w:t>a</w:t>
      </w:r>
      <w:r w:rsidRPr="00C132F9">
        <w:rPr>
          <w:rFonts w:eastAsia="Arial" w:cs="Arial"/>
          <w:color w:val="FF0000"/>
          <w:spacing w:val="3"/>
          <w:sz w:val="16"/>
          <w:szCs w:val="16"/>
        </w:rPr>
        <w:t>t</w:t>
      </w:r>
      <w:r w:rsidRPr="00C132F9">
        <w:rPr>
          <w:rFonts w:eastAsia="Arial" w:cs="Arial"/>
          <w:color w:val="FF0000"/>
          <w:spacing w:val="-4"/>
          <w:sz w:val="16"/>
          <w:szCs w:val="16"/>
        </w:rPr>
        <w:t>i</w:t>
      </w:r>
      <w:r w:rsidRPr="00C132F9">
        <w:rPr>
          <w:rFonts w:eastAsia="Arial" w:cs="Arial"/>
          <w:color w:val="FF0000"/>
          <w:spacing w:val="6"/>
          <w:sz w:val="16"/>
          <w:szCs w:val="16"/>
        </w:rPr>
        <w:t>o</w:t>
      </w:r>
      <w:r w:rsidRPr="00C132F9">
        <w:rPr>
          <w:rFonts w:eastAsia="Arial" w:cs="Arial"/>
          <w:color w:val="FF0000"/>
          <w:sz w:val="16"/>
          <w:szCs w:val="16"/>
        </w:rPr>
        <w:t>n</w:t>
      </w:r>
      <w:r w:rsidRPr="00C132F9">
        <w:rPr>
          <w:rFonts w:eastAsia="Arial" w:cs="Arial"/>
          <w:color w:val="FF0000"/>
          <w:spacing w:val="-22"/>
          <w:sz w:val="16"/>
          <w:szCs w:val="16"/>
        </w:rPr>
        <w:t xml:space="preserve"> </w:t>
      </w:r>
      <w:r w:rsidRPr="00C132F9">
        <w:rPr>
          <w:rFonts w:eastAsia="Arial" w:cs="Arial"/>
          <w:color w:val="FF0000"/>
          <w:spacing w:val="6"/>
          <w:sz w:val="16"/>
          <w:szCs w:val="16"/>
        </w:rPr>
        <w:t>on</w:t>
      </w:r>
      <w:r w:rsidRPr="00C132F9">
        <w:rPr>
          <w:rFonts w:eastAsia="Arial" w:cs="Arial"/>
          <w:color w:val="FF0000"/>
          <w:spacing w:val="12"/>
          <w:sz w:val="16"/>
          <w:szCs w:val="16"/>
        </w:rPr>
        <w:t>l</w:t>
      </w:r>
      <w:r w:rsidRPr="00C132F9">
        <w:rPr>
          <w:rFonts w:eastAsia="Arial" w:cs="Arial"/>
          <w:color w:val="FF0000"/>
          <w:sz w:val="16"/>
          <w:szCs w:val="16"/>
        </w:rPr>
        <w:t>y:</w:t>
      </w:r>
      <w:r w:rsidRPr="00C132F9">
        <w:rPr>
          <w:rFonts w:eastAsia="Arial" w:cs="Arial"/>
          <w:color w:val="FF0000"/>
          <w:spacing w:val="-25"/>
          <w:sz w:val="16"/>
          <w:szCs w:val="16"/>
        </w:rPr>
        <w:t xml:space="preserve"> </w:t>
      </w:r>
      <w:r w:rsidRPr="00C132F9">
        <w:rPr>
          <w:rFonts w:eastAsia="Arial" w:cs="Arial"/>
          <w:color w:val="FF0000"/>
          <w:spacing w:val="3"/>
          <w:sz w:val="16"/>
          <w:szCs w:val="16"/>
        </w:rPr>
        <w:t>Ot</w:t>
      </w:r>
      <w:r w:rsidRPr="00C132F9">
        <w:rPr>
          <w:rFonts w:eastAsia="Arial" w:cs="Arial"/>
          <w:color w:val="FF0000"/>
          <w:spacing w:val="6"/>
          <w:sz w:val="16"/>
          <w:szCs w:val="16"/>
        </w:rPr>
        <w:t>he</w:t>
      </w:r>
      <w:r w:rsidRPr="00C132F9">
        <w:rPr>
          <w:rFonts w:eastAsia="Arial" w:cs="Arial"/>
          <w:color w:val="FF0000"/>
          <w:sz w:val="16"/>
          <w:szCs w:val="16"/>
        </w:rPr>
        <w:t>r</w:t>
      </w:r>
      <w:r w:rsidRPr="00C132F9">
        <w:rPr>
          <w:rFonts w:eastAsia="Arial" w:cs="Arial"/>
          <w:color w:val="FF0000"/>
          <w:spacing w:val="-18"/>
          <w:sz w:val="16"/>
          <w:szCs w:val="16"/>
        </w:rPr>
        <w:t xml:space="preserve"> </w:t>
      </w:r>
      <w:r w:rsidRPr="00C132F9">
        <w:rPr>
          <w:rFonts w:eastAsia="Arial" w:cs="Arial"/>
          <w:color w:val="FF0000"/>
          <w:spacing w:val="3"/>
          <w:sz w:val="16"/>
          <w:szCs w:val="16"/>
        </w:rPr>
        <w:t>t</w:t>
      </w:r>
      <w:r w:rsidRPr="00C132F9">
        <w:rPr>
          <w:rFonts w:eastAsia="Arial" w:cs="Arial"/>
          <w:color w:val="FF0000"/>
          <w:spacing w:val="6"/>
          <w:sz w:val="16"/>
          <w:szCs w:val="16"/>
        </w:rPr>
        <w:t>e</w:t>
      </w:r>
      <w:r w:rsidRPr="00C132F9">
        <w:rPr>
          <w:rFonts w:eastAsia="Arial" w:cs="Arial"/>
          <w:color w:val="FF0000"/>
          <w:spacing w:val="-6"/>
          <w:sz w:val="16"/>
          <w:szCs w:val="16"/>
        </w:rPr>
        <w:t>r</w:t>
      </w:r>
      <w:r w:rsidRPr="00C132F9">
        <w:rPr>
          <w:rFonts w:eastAsia="Arial" w:cs="Arial"/>
          <w:color w:val="FF0000"/>
          <w:spacing w:val="10"/>
          <w:sz w:val="16"/>
          <w:szCs w:val="16"/>
        </w:rPr>
        <w:t>m</w:t>
      </w:r>
      <w:r w:rsidRPr="00C132F9">
        <w:rPr>
          <w:rFonts w:eastAsia="Arial" w:cs="Arial"/>
          <w:color w:val="FF0000"/>
          <w:spacing w:val="-4"/>
          <w:sz w:val="16"/>
          <w:szCs w:val="16"/>
        </w:rPr>
        <w:t>i</w:t>
      </w:r>
      <w:r w:rsidRPr="00C132F9">
        <w:rPr>
          <w:rFonts w:eastAsia="Arial" w:cs="Arial"/>
          <w:color w:val="FF0000"/>
          <w:spacing w:val="6"/>
          <w:sz w:val="16"/>
          <w:szCs w:val="16"/>
        </w:rPr>
        <w:t>n</w:t>
      </w:r>
      <w:r w:rsidRPr="00C132F9">
        <w:rPr>
          <w:rFonts w:eastAsia="Arial" w:cs="Arial"/>
          <w:color w:val="FF0000"/>
          <w:spacing w:val="-9"/>
          <w:sz w:val="16"/>
          <w:szCs w:val="16"/>
        </w:rPr>
        <w:t>o</w:t>
      </w:r>
      <w:r w:rsidRPr="00C132F9">
        <w:rPr>
          <w:rFonts w:eastAsia="Arial" w:cs="Arial"/>
          <w:color w:val="FF0000"/>
          <w:spacing w:val="-4"/>
          <w:sz w:val="16"/>
          <w:szCs w:val="16"/>
        </w:rPr>
        <w:t>l</w:t>
      </w:r>
      <w:r w:rsidRPr="00C132F9">
        <w:rPr>
          <w:rFonts w:eastAsia="Arial" w:cs="Arial"/>
          <w:color w:val="FF0000"/>
          <w:spacing w:val="6"/>
          <w:sz w:val="16"/>
          <w:szCs w:val="16"/>
        </w:rPr>
        <w:t>og</w:t>
      </w:r>
      <w:r w:rsidRPr="00C132F9">
        <w:rPr>
          <w:rFonts w:eastAsia="Arial" w:cs="Arial"/>
          <w:color w:val="FF0000"/>
          <w:sz w:val="16"/>
          <w:szCs w:val="16"/>
        </w:rPr>
        <w:t>y</w:t>
      </w:r>
      <w:r w:rsidRPr="00C132F9">
        <w:rPr>
          <w:rFonts w:eastAsia="Arial" w:cs="Arial"/>
          <w:color w:val="FF0000"/>
          <w:spacing w:val="-6"/>
          <w:sz w:val="16"/>
          <w:szCs w:val="16"/>
        </w:rPr>
        <w:t xml:space="preserve"> </w:t>
      </w:r>
      <w:r w:rsidRPr="00C132F9">
        <w:rPr>
          <w:rFonts w:eastAsia="Arial" w:cs="Arial"/>
          <w:color w:val="FF0000"/>
          <w:spacing w:val="6"/>
          <w:sz w:val="16"/>
          <w:szCs w:val="16"/>
        </w:rPr>
        <w:t>p</w:t>
      </w:r>
      <w:r w:rsidRPr="00C132F9">
        <w:rPr>
          <w:rFonts w:eastAsia="Arial" w:cs="Arial"/>
          <w:color w:val="FF0000"/>
          <w:spacing w:val="-6"/>
          <w:sz w:val="16"/>
          <w:szCs w:val="16"/>
        </w:rPr>
        <w:t>r</w:t>
      </w:r>
      <w:r w:rsidRPr="00C132F9">
        <w:rPr>
          <w:rFonts w:eastAsia="Arial" w:cs="Arial"/>
          <w:color w:val="FF0000"/>
          <w:spacing w:val="6"/>
          <w:sz w:val="16"/>
          <w:szCs w:val="16"/>
        </w:rPr>
        <w:t>e</w:t>
      </w:r>
      <w:r w:rsidRPr="00C132F9">
        <w:rPr>
          <w:rFonts w:eastAsia="Arial" w:cs="Arial"/>
          <w:color w:val="FF0000"/>
          <w:sz w:val="16"/>
          <w:szCs w:val="16"/>
        </w:rPr>
        <w:t>v</w:t>
      </w:r>
      <w:r w:rsidRPr="00C132F9">
        <w:rPr>
          <w:rFonts w:eastAsia="Arial" w:cs="Arial"/>
          <w:color w:val="FF0000"/>
          <w:spacing w:val="-4"/>
          <w:sz w:val="16"/>
          <w:szCs w:val="16"/>
        </w:rPr>
        <w:t>i</w:t>
      </w:r>
      <w:r w:rsidRPr="00C132F9">
        <w:rPr>
          <w:rFonts w:eastAsia="Arial" w:cs="Arial"/>
          <w:color w:val="FF0000"/>
          <w:spacing w:val="6"/>
          <w:sz w:val="16"/>
          <w:szCs w:val="16"/>
        </w:rPr>
        <w:t>o</w:t>
      </w:r>
      <w:r w:rsidRPr="00C132F9">
        <w:rPr>
          <w:rFonts w:eastAsia="Arial" w:cs="Arial"/>
          <w:color w:val="FF0000"/>
          <w:spacing w:val="-9"/>
          <w:sz w:val="16"/>
          <w:szCs w:val="16"/>
        </w:rPr>
        <w:t>u</w:t>
      </w:r>
      <w:r w:rsidRPr="00C132F9">
        <w:rPr>
          <w:rFonts w:eastAsia="Arial" w:cs="Arial"/>
          <w:color w:val="FF0000"/>
          <w:spacing w:val="-16"/>
          <w:sz w:val="16"/>
          <w:szCs w:val="16"/>
        </w:rPr>
        <w:t>s</w:t>
      </w:r>
      <w:r w:rsidRPr="00C132F9">
        <w:rPr>
          <w:rFonts w:eastAsia="Arial" w:cs="Arial"/>
          <w:color w:val="FF0000"/>
          <w:spacing w:val="12"/>
          <w:sz w:val="16"/>
          <w:szCs w:val="16"/>
        </w:rPr>
        <w:t>l</w:t>
      </w:r>
      <w:r w:rsidRPr="00C132F9">
        <w:rPr>
          <w:rFonts w:eastAsia="Arial" w:cs="Arial"/>
          <w:color w:val="FF0000"/>
          <w:sz w:val="16"/>
          <w:szCs w:val="16"/>
        </w:rPr>
        <w:t>y</w:t>
      </w:r>
      <w:r w:rsidRPr="00C132F9">
        <w:rPr>
          <w:rFonts w:eastAsia="Arial" w:cs="Arial"/>
          <w:color w:val="FF0000"/>
          <w:spacing w:val="-13"/>
          <w:sz w:val="16"/>
          <w:szCs w:val="16"/>
        </w:rPr>
        <w:t xml:space="preserve"> </w:t>
      </w:r>
      <w:r w:rsidRPr="00C132F9">
        <w:rPr>
          <w:rFonts w:eastAsia="Arial" w:cs="Arial"/>
          <w:color w:val="FF0000"/>
          <w:spacing w:val="6"/>
          <w:sz w:val="16"/>
          <w:szCs w:val="16"/>
        </w:rPr>
        <w:t>u</w:t>
      </w:r>
      <w:r w:rsidRPr="00C132F9">
        <w:rPr>
          <w:rFonts w:eastAsia="Arial" w:cs="Arial"/>
          <w:color w:val="FF0000"/>
          <w:spacing w:val="-16"/>
          <w:sz w:val="16"/>
          <w:szCs w:val="16"/>
        </w:rPr>
        <w:t>s</w:t>
      </w:r>
      <w:r w:rsidRPr="00C132F9">
        <w:rPr>
          <w:rFonts w:eastAsia="Arial" w:cs="Arial"/>
          <w:color w:val="FF0000"/>
          <w:spacing w:val="6"/>
          <w:sz w:val="16"/>
          <w:szCs w:val="16"/>
        </w:rPr>
        <w:t>e</w:t>
      </w:r>
      <w:r w:rsidRPr="00C132F9">
        <w:rPr>
          <w:rFonts w:eastAsia="Arial" w:cs="Arial"/>
          <w:color w:val="FF0000"/>
          <w:sz w:val="16"/>
          <w:szCs w:val="16"/>
        </w:rPr>
        <w:t>d</w:t>
      </w:r>
      <w:r w:rsidRPr="00C132F9">
        <w:rPr>
          <w:rFonts w:eastAsia="Arial" w:cs="Arial"/>
          <w:color w:val="FF0000"/>
          <w:spacing w:val="-6"/>
          <w:sz w:val="16"/>
          <w:szCs w:val="16"/>
        </w:rPr>
        <w:t xml:space="preserve"> </w:t>
      </w:r>
      <w:r w:rsidRPr="00C132F9">
        <w:rPr>
          <w:rFonts w:eastAsia="Arial" w:cs="Arial"/>
          <w:color w:val="FF0000"/>
          <w:spacing w:val="12"/>
          <w:sz w:val="16"/>
          <w:szCs w:val="16"/>
        </w:rPr>
        <w:t>i</w:t>
      </w:r>
      <w:r w:rsidRPr="00C132F9">
        <w:rPr>
          <w:rFonts w:eastAsia="Arial" w:cs="Arial"/>
          <w:color w:val="FF0000"/>
          <w:sz w:val="16"/>
          <w:szCs w:val="16"/>
        </w:rPr>
        <w:t>n</w:t>
      </w:r>
      <w:r w:rsidRPr="00C132F9">
        <w:rPr>
          <w:rFonts w:eastAsia="Arial" w:cs="Arial"/>
          <w:color w:val="FF0000"/>
          <w:spacing w:val="-6"/>
          <w:sz w:val="16"/>
          <w:szCs w:val="16"/>
        </w:rPr>
        <w:t xml:space="preserve"> r</w:t>
      </w:r>
      <w:r w:rsidRPr="00C132F9">
        <w:rPr>
          <w:rFonts w:eastAsia="Arial" w:cs="Arial"/>
          <w:color w:val="FF0000"/>
          <w:spacing w:val="6"/>
          <w:sz w:val="16"/>
          <w:szCs w:val="16"/>
        </w:rPr>
        <w:t>e</w:t>
      </w:r>
      <w:r w:rsidRPr="00C132F9">
        <w:rPr>
          <w:rFonts w:eastAsia="Arial" w:cs="Arial"/>
          <w:color w:val="FF0000"/>
          <w:spacing w:val="12"/>
          <w:sz w:val="16"/>
          <w:szCs w:val="16"/>
        </w:rPr>
        <w:t>l</w:t>
      </w:r>
      <w:r w:rsidRPr="00C132F9">
        <w:rPr>
          <w:rFonts w:eastAsia="Arial" w:cs="Arial"/>
          <w:color w:val="FF0000"/>
          <w:spacing w:val="6"/>
          <w:sz w:val="16"/>
          <w:szCs w:val="16"/>
        </w:rPr>
        <w:t>a</w:t>
      </w:r>
      <w:r w:rsidRPr="00C132F9">
        <w:rPr>
          <w:rFonts w:eastAsia="Arial" w:cs="Arial"/>
          <w:color w:val="FF0000"/>
          <w:spacing w:val="3"/>
          <w:sz w:val="16"/>
          <w:szCs w:val="16"/>
        </w:rPr>
        <w:t>t</w:t>
      </w:r>
      <w:r w:rsidRPr="00C132F9">
        <w:rPr>
          <w:rFonts w:eastAsia="Arial" w:cs="Arial"/>
          <w:color w:val="FF0000"/>
          <w:spacing w:val="-4"/>
          <w:sz w:val="16"/>
          <w:szCs w:val="16"/>
        </w:rPr>
        <w:t>i</w:t>
      </w:r>
      <w:r w:rsidRPr="00C132F9">
        <w:rPr>
          <w:rFonts w:eastAsia="Arial" w:cs="Arial"/>
          <w:color w:val="FF0000"/>
          <w:spacing w:val="-9"/>
          <w:sz w:val="16"/>
          <w:szCs w:val="16"/>
        </w:rPr>
        <w:t>o</w:t>
      </w:r>
      <w:r w:rsidRPr="00C132F9">
        <w:rPr>
          <w:rFonts w:eastAsia="Arial" w:cs="Arial"/>
          <w:color w:val="FF0000"/>
          <w:sz w:val="16"/>
          <w:szCs w:val="16"/>
        </w:rPr>
        <w:t>n</w:t>
      </w:r>
      <w:r w:rsidRPr="00C132F9">
        <w:rPr>
          <w:rFonts w:eastAsia="Arial" w:cs="Arial"/>
          <w:color w:val="FF0000"/>
          <w:spacing w:val="-6"/>
          <w:sz w:val="16"/>
          <w:szCs w:val="16"/>
        </w:rPr>
        <w:t xml:space="preserve"> </w:t>
      </w:r>
      <w:r w:rsidRPr="00C132F9">
        <w:rPr>
          <w:rFonts w:eastAsia="Arial" w:cs="Arial"/>
          <w:color w:val="FF0000"/>
          <w:spacing w:val="3"/>
          <w:sz w:val="16"/>
          <w:szCs w:val="16"/>
        </w:rPr>
        <w:t>t</w:t>
      </w:r>
      <w:r w:rsidRPr="00C132F9">
        <w:rPr>
          <w:rFonts w:eastAsia="Arial" w:cs="Arial"/>
          <w:color w:val="FF0000"/>
          <w:sz w:val="16"/>
          <w:szCs w:val="16"/>
        </w:rPr>
        <w:t>o</w:t>
      </w:r>
      <w:r w:rsidRPr="00C132F9">
        <w:rPr>
          <w:rFonts w:eastAsia="Arial" w:cs="Arial"/>
          <w:color w:val="FF0000"/>
          <w:spacing w:val="-6"/>
          <w:sz w:val="16"/>
          <w:szCs w:val="16"/>
        </w:rPr>
        <w:t xml:space="preserve"> </w:t>
      </w:r>
      <w:r w:rsidRPr="00C132F9">
        <w:rPr>
          <w:rFonts w:eastAsia="Arial" w:cs="Arial"/>
          <w:color w:val="FF0000"/>
          <w:spacing w:val="-16"/>
          <w:sz w:val="16"/>
          <w:szCs w:val="16"/>
        </w:rPr>
        <w:t>s</w:t>
      </w:r>
      <w:r w:rsidRPr="00C132F9">
        <w:rPr>
          <w:rFonts w:eastAsia="Arial" w:cs="Arial"/>
          <w:color w:val="FF0000"/>
          <w:spacing w:val="6"/>
          <w:sz w:val="16"/>
          <w:szCs w:val="16"/>
        </w:rPr>
        <w:t>pe</w:t>
      </w:r>
      <w:r w:rsidRPr="00C132F9">
        <w:rPr>
          <w:rFonts w:eastAsia="Arial" w:cs="Arial"/>
          <w:color w:val="FF0000"/>
          <w:sz w:val="16"/>
          <w:szCs w:val="16"/>
        </w:rPr>
        <w:t>c</w:t>
      </w:r>
      <w:r w:rsidRPr="00C132F9">
        <w:rPr>
          <w:rFonts w:eastAsia="Arial" w:cs="Arial"/>
          <w:color w:val="FF0000"/>
          <w:spacing w:val="12"/>
          <w:sz w:val="16"/>
          <w:szCs w:val="16"/>
        </w:rPr>
        <w:t>i</w:t>
      </w:r>
      <w:r w:rsidRPr="00C132F9">
        <w:rPr>
          <w:rFonts w:eastAsia="Arial" w:cs="Arial"/>
          <w:color w:val="FF0000"/>
          <w:spacing w:val="13"/>
          <w:sz w:val="16"/>
          <w:szCs w:val="16"/>
        </w:rPr>
        <w:t>a</w:t>
      </w:r>
      <w:r w:rsidRPr="00C132F9">
        <w:rPr>
          <w:rFonts w:eastAsia="Arial" w:cs="Arial"/>
          <w:color w:val="FF0000"/>
          <w:sz w:val="16"/>
          <w:szCs w:val="16"/>
        </w:rPr>
        <w:t>l</w:t>
      </w:r>
      <w:r w:rsidRPr="00C132F9">
        <w:rPr>
          <w:rFonts w:eastAsia="Arial" w:cs="Arial"/>
          <w:color w:val="FF0000"/>
          <w:spacing w:val="-16"/>
          <w:sz w:val="16"/>
          <w:szCs w:val="16"/>
        </w:rPr>
        <w:t xml:space="preserve"> </w:t>
      </w:r>
      <w:r w:rsidRPr="00C132F9">
        <w:rPr>
          <w:rFonts w:eastAsia="Arial" w:cs="Arial"/>
          <w:color w:val="FF0000"/>
          <w:spacing w:val="6"/>
          <w:sz w:val="16"/>
          <w:szCs w:val="16"/>
        </w:rPr>
        <w:t>a</w:t>
      </w:r>
      <w:r w:rsidRPr="00C132F9">
        <w:rPr>
          <w:rFonts w:eastAsia="Arial" w:cs="Arial"/>
          <w:color w:val="FF0000"/>
          <w:spacing w:val="12"/>
          <w:sz w:val="16"/>
          <w:szCs w:val="16"/>
        </w:rPr>
        <w:t>l</w:t>
      </w:r>
      <w:r w:rsidRPr="00C132F9">
        <w:rPr>
          <w:rFonts w:eastAsia="Arial" w:cs="Arial"/>
          <w:color w:val="FF0000"/>
          <w:spacing w:val="-4"/>
          <w:sz w:val="16"/>
          <w:szCs w:val="16"/>
        </w:rPr>
        <w:t>l</w:t>
      </w:r>
      <w:r w:rsidRPr="00C132F9">
        <w:rPr>
          <w:rFonts w:eastAsia="Arial" w:cs="Arial"/>
          <w:color w:val="FF0000"/>
          <w:spacing w:val="-9"/>
          <w:sz w:val="16"/>
          <w:szCs w:val="16"/>
        </w:rPr>
        <w:t>o</w:t>
      </w:r>
      <w:r w:rsidRPr="00C132F9">
        <w:rPr>
          <w:rFonts w:eastAsia="Arial" w:cs="Arial"/>
          <w:color w:val="FF0000"/>
          <w:sz w:val="16"/>
          <w:szCs w:val="16"/>
        </w:rPr>
        <w:t>c</w:t>
      </w:r>
      <w:r w:rsidRPr="00C132F9">
        <w:rPr>
          <w:rFonts w:eastAsia="Arial" w:cs="Arial"/>
          <w:color w:val="FF0000"/>
          <w:spacing w:val="6"/>
          <w:sz w:val="16"/>
          <w:szCs w:val="16"/>
        </w:rPr>
        <w:t>a</w:t>
      </w:r>
      <w:r w:rsidRPr="00C132F9">
        <w:rPr>
          <w:rFonts w:eastAsia="Arial" w:cs="Arial"/>
          <w:color w:val="FF0000"/>
          <w:spacing w:val="3"/>
          <w:sz w:val="16"/>
          <w:szCs w:val="16"/>
        </w:rPr>
        <w:t>t</w:t>
      </w:r>
      <w:r w:rsidRPr="00C132F9">
        <w:rPr>
          <w:rFonts w:eastAsia="Arial" w:cs="Arial"/>
          <w:color w:val="FF0000"/>
          <w:spacing w:val="-4"/>
          <w:sz w:val="16"/>
          <w:szCs w:val="16"/>
        </w:rPr>
        <w:t>i</w:t>
      </w:r>
      <w:r w:rsidRPr="00C132F9">
        <w:rPr>
          <w:rFonts w:eastAsia="Arial" w:cs="Arial"/>
          <w:color w:val="FF0000"/>
          <w:spacing w:val="-9"/>
          <w:sz w:val="16"/>
          <w:szCs w:val="16"/>
        </w:rPr>
        <w:t>o</w:t>
      </w:r>
      <w:r w:rsidRPr="00C132F9">
        <w:rPr>
          <w:rFonts w:eastAsia="Arial" w:cs="Arial"/>
          <w:color w:val="FF0000"/>
          <w:spacing w:val="6"/>
          <w:sz w:val="16"/>
          <w:szCs w:val="16"/>
        </w:rPr>
        <w:t>n</w:t>
      </w:r>
      <w:r w:rsidRPr="00C132F9">
        <w:rPr>
          <w:rFonts w:eastAsia="Arial" w:cs="Arial"/>
          <w:color w:val="FF0000"/>
          <w:sz w:val="16"/>
          <w:szCs w:val="16"/>
        </w:rPr>
        <w:t>s</w:t>
      </w:r>
      <w:r w:rsidRPr="00C132F9">
        <w:rPr>
          <w:rFonts w:eastAsia="Arial" w:cs="Arial"/>
          <w:color w:val="FF0000"/>
          <w:spacing w:val="-29"/>
          <w:sz w:val="16"/>
          <w:szCs w:val="16"/>
        </w:rPr>
        <w:t xml:space="preserve"> </w:t>
      </w:r>
      <w:r w:rsidRPr="00C132F9">
        <w:rPr>
          <w:rFonts w:eastAsia="Arial" w:cs="Arial"/>
          <w:color w:val="FF0000"/>
          <w:spacing w:val="6"/>
          <w:sz w:val="16"/>
          <w:szCs w:val="16"/>
        </w:rPr>
        <w:t>o</w:t>
      </w:r>
      <w:r w:rsidRPr="00C132F9">
        <w:rPr>
          <w:rFonts w:eastAsia="Arial" w:cs="Arial"/>
          <w:color w:val="FF0000"/>
          <w:sz w:val="16"/>
          <w:szCs w:val="16"/>
        </w:rPr>
        <w:t>f</w:t>
      </w:r>
      <w:r w:rsidRPr="00C132F9">
        <w:rPr>
          <w:rFonts w:eastAsia="Arial" w:cs="Arial"/>
          <w:color w:val="FF0000"/>
          <w:spacing w:val="-10"/>
          <w:sz w:val="16"/>
          <w:szCs w:val="16"/>
        </w:rPr>
        <w:t xml:space="preserve"> </w:t>
      </w:r>
      <w:r w:rsidRPr="00C132F9">
        <w:rPr>
          <w:rFonts w:eastAsia="Arial" w:cs="Arial"/>
          <w:color w:val="FF0000"/>
          <w:spacing w:val="3"/>
          <w:sz w:val="16"/>
          <w:szCs w:val="16"/>
        </w:rPr>
        <w:t>t</w:t>
      </w:r>
      <w:r w:rsidRPr="00C132F9">
        <w:rPr>
          <w:rFonts w:eastAsia="Arial" w:cs="Arial"/>
          <w:color w:val="FF0000"/>
          <w:spacing w:val="6"/>
          <w:sz w:val="16"/>
          <w:szCs w:val="16"/>
        </w:rPr>
        <w:t>h</w:t>
      </w:r>
      <w:r w:rsidRPr="00C132F9">
        <w:rPr>
          <w:rFonts w:eastAsia="Arial" w:cs="Arial"/>
          <w:color w:val="FF0000"/>
          <w:spacing w:val="12"/>
          <w:sz w:val="16"/>
          <w:szCs w:val="16"/>
        </w:rPr>
        <w:t>i</w:t>
      </w:r>
      <w:r w:rsidRPr="00C132F9">
        <w:rPr>
          <w:rFonts w:eastAsia="Arial" w:cs="Arial"/>
          <w:color w:val="FF0000"/>
          <w:sz w:val="16"/>
          <w:szCs w:val="16"/>
        </w:rPr>
        <w:t>s</w:t>
      </w:r>
      <w:r w:rsidRPr="00C132F9">
        <w:rPr>
          <w:rFonts w:eastAsia="Arial" w:cs="Arial"/>
          <w:color w:val="FF0000"/>
          <w:spacing w:val="-13"/>
          <w:sz w:val="16"/>
          <w:szCs w:val="16"/>
        </w:rPr>
        <w:t xml:space="preserve"> </w:t>
      </w:r>
      <w:r w:rsidRPr="00C132F9">
        <w:rPr>
          <w:rFonts w:eastAsia="Arial" w:cs="Arial"/>
          <w:color w:val="FF0000"/>
          <w:spacing w:val="3"/>
          <w:sz w:val="16"/>
          <w:szCs w:val="16"/>
        </w:rPr>
        <w:t>t</w:t>
      </w:r>
      <w:r w:rsidRPr="00C132F9">
        <w:rPr>
          <w:rFonts w:eastAsia="Arial" w:cs="Arial"/>
          <w:color w:val="FF0000"/>
          <w:sz w:val="16"/>
          <w:szCs w:val="16"/>
        </w:rPr>
        <w:t>y</w:t>
      </w:r>
      <w:r w:rsidRPr="00C132F9">
        <w:rPr>
          <w:rFonts w:eastAsia="Arial" w:cs="Arial"/>
          <w:color w:val="FF0000"/>
          <w:spacing w:val="6"/>
          <w:sz w:val="16"/>
          <w:szCs w:val="16"/>
        </w:rPr>
        <w:t>p</w:t>
      </w:r>
      <w:r w:rsidRPr="00C132F9">
        <w:rPr>
          <w:rFonts w:eastAsia="Arial" w:cs="Arial"/>
          <w:color w:val="FF0000"/>
          <w:sz w:val="16"/>
          <w:szCs w:val="16"/>
        </w:rPr>
        <w:t>e</w:t>
      </w:r>
      <w:r w:rsidRPr="00C132F9">
        <w:rPr>
          <w:rFonts w:eastAsia="Arial" w:cs="Arial"/>
          <w:color w:val="FF0000"/>
          <w:spacing w:val="10"/>
          <w:sz w:val="16"/>
          <w:szCs w:val="16"/>
        </w:rPr>
        <w:t xml:space="preserve"> </w:t>
      </w:r>
      <w:r w:rsidRPr="00C132F9">
        <w:rPr>
          <w:rFonts w:eastAsia="Arial" w:cs="Arial"/>
          <w:color w:val="FF0000"/>
          <w:spacing w:val="6"/>
          <w:sz w:val="16"/>
          <w:szCs w:val="16"/>
        </w:rPr>
        <w:t>ha</w:t>
      </w:r>
      <w:r w:rsidRPr="00C132F9">
        <w:rPr>
          <w:rFonts w:eastAsia="Arial" w:cs="Arial"/>
          <w:color w:val="FF0000"/>
          <w:sz w:val="16"/>
          <w:szCs w:val="16"/>
        </w:rPr>
        <w:t>ve</w:t>
      </w:r>
      <w:r w:rsidRPr="00C132F9">
        <w:rPr>
          <w:rFonts w:eastAsia="Arial" w:cs="Arial"/>
          <w:color w:val="FF0000"/>
          <w:spacing w:val="10"/>
          <w:sz w:val="16"/>
          <w:szCs w:val="16"/>
        </w:rPr>
        <w:t xml:space="preserve"> been </w:t>
      </w:r>
      <w:r w:rsidRPr="00C132F9">
        <w:rPr>
          <w:rFonts w:eastAsia="Arial" w:cs="Arial"/>
          <w:color w:val="FF0000"/>
          <w:spacing w:val="12"/>
          <w:sz w:val="16"/>
          <w:szCs w:val="16"/>
        </w:rPr>
        <w:t>i</w:t>
      </w:r>
      <w:r w:rsidRPr="00C132F9">
        <w:rPr>
          <w:rFonts w:eastAsia="Arial" w:cs="Arial"/>
          <w:color w:val="FF0000"/>
          <w:spacing w:val="6"/>
          <w:sz w:val="16"/>
          <w:szCs w:val="16"/>
        </w:rPr>
        <w:t>n</w:t>
      </w:r>
      <w:r w:rsidRPr="00C132F9">
        <w:rPr>
          <w:rFonts w:eastAsia="Arial" w:cs="Arial"/>
          <w:color w:val="FF0000"/>
          <w:sz w:val="16"/>
          <w:szCs w:val="16"/>
        </w:rPr>
        <w:t>c</w:t>
      </w:r>
      <w:r w:rsidRPr="00C132F9">
        <w:rPr>
          <w:rFonts w:eastAsia="Arial" w:cs="Arial"/>
          <w:color w:val="FF0000"/>
          <w:spacing w:val="12"/>
          <w:sz w:val="16"/>
          <w:szCs w:val="16"/>
        </w:rPr>
        <w:t>l</w:t>
      </w:r>
      <w:r w:rsidRPr="00C132F9">
        <w:rPr>
          <w:rFonts w:eastAsia="Arial" w:cs="Arial"/>
          <w:color w:val="FF0000"/>
          <w:spacing w:val="6"/>
          <w:sz w:val="16"/>
          <w:szCs w:val="16"/>
        </w:rPr>
        <w:t>ude</w:t>
      </w:r>
      <w:r w:rsidRPr="00C132F9">
        <w:rPr>
          <w:rFonts w:eastAsia="Arial" w:cs="Arial"/>
          <w:color w:val="FF0000"/>
          <w:sz w:val="16"/>
          <w:szCs w:val="16"/>
        </w:rPr>
        <w:t xml:space="preserve">d </w:t>
      </w:r>
      <w:r w:rsidRPr="00C132F9">
        <w:rPr>
          <w:rFonts w:eastAsia="Arial" w:cs="Arial"/>
          <w:color w:val="FF0000"/>
          <w:spacing w:val="6"/>
          <w:sz w:val="16"/>
          <w:szCs w:val="16"/>
        </w:rPr>
        <w:t>bu</w:t>
      </w:r>
      <w:r w:rsidRPr="00C132F9">
        <w:rPr>
          <w:rFonts w:eastAsia="Arial" w:cs="Arial"/>
          <w:color w:val="FF0000"/>
          <w:sz w:val="16"/>
          <w:szCs w:val="16"/>
        </w:rPr>
        <w:t>t</w:t>
      </w:r>
      <w:r w:rsidRPr="00C132F9">
        <w:rPr>
          <w:rFonts w:eastAsia="Arial" w:cs="Arial"/>
          <w:color w:val="FF0000"/>
          <w:spacing w:val="7"/>
          <w:sz w:val="16"/>
          <w:szCs w:val="16"/>
        </w:rPr>
        <w:t xml:space="preserve"> </w:t>
      </w:r>
      <w:r w:rsidRPr="00C132F9">
        <w:rPr>
          <w:rFonts w:eastAsia="Arial" w:cs="Arial"/>
          <w:color w:val="FF0000"/>
          <w:spacing w:val="6"/>
          <w:sz w:val="16"/>
          <w:szCs w:val="16"/>
        </w:rPr>
        <w:t>a</w:t>
      </w:r>
      <w:r w:rsidRPr="00C132F9">
        <w:rPr>
          <w:rFonts w:eastAsia="Arial" w:cs="Arial"/>
          <w:color w:val="FF0000"/>
          <w:spacing w:val="-6"/>
          <w:sz w:val="16"/>
          <w:szCs w:val="16"/>
        </w:rPr>
        <w:t>r</w:t>
      </w:r>
      <w:r w:rsidRPr="00C132F9">
        <w:rPr>
          <w:rFonts w:eastAsia="Arial" w:cs="Arial"/>
          <w:color w:val="FF0000"/>
          <w:sz w:val="16"/>
          <w:szCs w:val="16"/>
        </w:rPr>
        <w:t>e</w:t>
      </w:r>
      <w:r w:rsidRPr="00C132F9">
        <w:rPr>
          <w:rFonts w:eastAsia="Arial" w:cs="Arial"/>
          <w:color w:val="FF0000"/>
          <w:spacing w:val="10"/>
          <w:sz w:val="16"/>
          <w:szCs w:val="16"/>
        </w:rPr>
        <w:t xml:space="preserve"> </w:t>
      </w:r>
      <w:r w:rsidRPr="00C132F9">
        <w:rPr>
          <w:rFonts w:eastAsia="Arial" w:cs="Arial"/>
          <w:color w:val="FF0000"/>
          <w:spacing w:val="6"/>
          <w:sz w:val="16"/>
          <w:szCs w:val="16"/>
        </w:rPr>
        <w:t>no</w:t>
      </w:r>
      <w:r w:rsidRPr="00C132F9">
        <w:rPr>
          <w:rFonts w:eastAsia="Arial" w:cs="Arial"/>
          <w:color w:val="FF0000"/>
          <w:sz w:val="16"/>
          <w:szCs w:val="16"/>
        </w:rPr>
        <w:t>t</w:t>
      </w:r>
      <w:r w:rsidRPr="00C132F9">
        <w:rPr>
          <w:rFonts w:eastAsia="Arial" w:cs="Arial"/>
          <w:color w:val="FF0000"/>
          <w:spacing w:val="6"/>
          <w:sz w:val="16"/>
          <w:szCs w:val="16"/>
        </w:rPr>
        <w:t xml:space="preserve"> </w:t>
      </w:r>
      <w:r w:rsidRPr="00C132F9">
        <w:rPr>
          <w:rFonts w:eastAsia="Arial" w:cs="Arial"/>
          <w:color w:val="FF0000"/>
          <w:spacing w:val="12"/>
          <w:sz w:val="16"/>
          <w:szCs w:val="16"/>
        </w:rPr>
        <w:t>li</w:t>
      </w:r>
      <w:r w:rsidRPr="00C132F9">
        <w:rPr>
          <w:rFonts w:eastAsia="Arial" w:cs="Arial"/>
          <w:color w:val="FF0000"/>
          <w:spacing w:val="10"/>
          <w:sz w:val="16"/>
          <w:szCs w:val="16"/>
        </w:rPr>
        <w:t>m</w:t>
      </w:r>
      <w:r w:rsidRPr="00C132F9">
        <w:rPr>
          <w:rFonts w:eastAsia="Arial" w:cs="Arial"/>
          <w:color w:val="FF0000"/>
          <w:spacing w:val="12"/>
          <w:sz w:val="16"/>
          <w:szCs w:val="16"/>
        </w:rPr>
        <w:t>i</w:t>
      </w:r>
      <w:r w:rsidRPr="00C132F9">
        <w:rPr>
          <w:rFonts w:eastAsia="Arial" w:cs="Arial"/>
          <w:color w:val="FF0000"/>
          <w:spacing w:val="3"/>
          <w:sz w:val="16"/>
          <w:szCs w:val="16"/>
        </w:rPr>
        <w:t>t</w:t>
      </w:r>
      <w:r w:rsidRPr="00C132F9">
        <w:rPr>
          <w:rFonts w:eastAsia="Arial" w:cs="Arial"/>
          <w:color w:val="FF0000"/>
          <w:spacing w:val="6"/>
          <w:sz w:val="16"/>
          <w:szCs w:val="16"/>
        </w:rPr>
        <w:t>e</w:t>
      </w:r>
      <w:r w:rsidRPr="00C132F9">
        <w:rPr>
          <w:rFonts w:eastAsia="Arial" w:cs="Arial"/>
          <w:color w:val="FF0000"/>
          <w:sz w:val="16"/>
          <w:szCs w:val="16"/>
        </w:rPr>
        <w:t>d</w:t>
      </w:r>
      <w:r w:rsidRPr="00C132F9">
        <w:rPr>
          <w:rFonts w:eastAsia="Arial" w:cs="Arial"/>
          <w:color w:val="FF0000"/>
          <w:spacing w:val="10"/>
          <w:sz w:val="16"/>
          <w:szCs w:val="16"/>
        </w:rPr>
        <w:t xml:space="preserve"> </w:t>
      </w:r>
      <w:r w:rsidRPr="00C132F9">
        <w:rPr>
          <w:rFonts w:eastAsia="Arial" w:cs="Arial"/>
          <w:color w:val="FF0000"/>
          <w:spacing w:val="3"/>
          <w:sz w:val="16"/>
          <w:szCs w:val="16"/>
        </w:rPr>
        <w:t>t</w:t>
      </w:r>
      <w:r w:rsidRPr="00C132F9">
        <w:rPr>
          <w:rFonts w:eastAsia="Arial" w:cs="Arial"/>
          <w:color w:val="FF0000"/>
          <w:spacing w:val="10"/>
          <w:sz w:val="16"/>
          <w:szCs w:val="16"/>
        </w:rPr>
        <w:t>o</w:t>
      </w:r>
      <w:r w:rsidRPr="00C132F9">
        <w:rPr>
          <w:rFonts w:eastAsia="Arial" w:cs="Arial"/>
          <w:color w:val="FF0000"/>
          <w:sz w:val="16"/>
          <w:szCs w:val="16"/>
        </w:rPr>
        <w:t>,</w:t>
      </w:r>
      <w:r w:rsidRPr="00C132F9">
        <w:rPr>
          <w:rFonts w:eastAsia="Arial" w:cs="Arial"/>
          <w:color w:val="FF0000"/>
          <w:spacing w:val="7"/>
          <w:sz w:val="16"/>
          <w:szCs w:val="16"/>
        </w:rPr>
        <w:t xml:space="preserve"> </w:t>
      </w:r>
      <w:r w:rsidRPr="00C132F9">
        <w:rPr>
          <w:rFonts w:eastAsia="Arial" w:cs="Arial"/>
          <w:color w:val="FF0000"/>
          <w:spacing w:val="5"/>
          <w:sz w:val="16"/>
          <w:szCs w:val="16"/>
        </w:rPr>
        <w:t>V</w:t>
      </w:r>
      <w:r w:rsidRPr="00C132F9">
        <w:rPr>
          <w:rFonts w:eastAsia="Arial" w:cs="Arial"/>
          <w:color w:val="FF0000"/>
          <w:spacing w:val="12"/>
          <w:sz w:val="16"/>
          <w:szCs w:val="16"/>
        </w:rPr>
        <w:t>i</w:t>
      </w:r>
      <w:r w:rsidRPr="00C132F9">
        <w:rPr>
          <w:rFonts w:eastAsia="Arial" w:cs="Arial"/>
          <w:color w:val="FF0000"/>
          <w:spacing w:val="6"/>
          <w:sz w:val="16"/>
          <w:szCs w:val="16"/>
        </w:rPr>
        <w:t>o</w:t>
      </w:r>
      <w:r w:rsidRPr="00C132F9">
        <w:rPr>
          <w:rFonts w:eastAsia="Arial" w:cs="Arial"/>
          <w:color w:val="FF0000"/>
          <w:spacing w:val="12"/>
          <w:sz w:val="16"/>
          <w:szCs w:val="16"/>
        </w:rPr>
        <w:t>l</w:t>
      </w:r>
      <w:r w:rsidRPr="00C132F9">
        <w:rPr>
          <w:rFonts w:eastAsia="Arial" w:cs="Arial"/>
          <w:color w:val="FF0000"/>
          <w:spacing w:val="6"/>
          <w:sz w:val="16"/>
          <w:szCs w:val="16"/>
        </w:rPr>
        <w:t>en</w:t>
      </w:r>
      <w:r w:rsidRPr="00C132F9">
        <w:rPr>
          <w:rFonts w:eastAsia="Arial" w:cs="Arial"/>
          <w:color w:val="FF0000"/>
          <w:sz w:val="16"/>
          <w:szCs w:val="16"/>
        </w:rPr>
        <w:t>t</w:t>
      </w:r>
      <w:r w:rsidRPr="00C132F9">
        <w:rPr>
          <w:rFonts w:eastAsia="Arial" w:cs="Arial"/>
          <w:color w:val="FF0000"/>
          <w:spacing w:val="6"/>
          <w:sz w:val="16"/>
          <w:szCs w:val="16"/>
        </w:rPr>
        <w:t xml:space="preserve"> </w:t>
      </w:r>
      <w:r w:rsidRPr="00C132F9">
        <w:rPr>
          <w:rFonts w:eastAsia="Arial" w:cs="Arial"/>
          <w:color w:val="FF0000"/>
          <w:spacing w:val="5"/>
          <w:sz w:val="16"/>
          <w:szCs w:val="16"/>
        </w:rPr>
        <w:t>P</w:t>
      </w:r>
      <w:r w:rsidRPr="00C132F9">
        <w:rPr>
          <w:rFonts w:eastAsia="Arial" w:cs="Arial"/>
          <w:color w:val="FF0000"/>
          <w:spacing w:val="6"/>
          <w:sz w:val="16"/>
          <w:szCs w:val="16"/>
        </w:rPr>
        <w:t>a</w:t>
      </w:r>
      <w:r w:rsidRPr="00C132F9">
        <w:rPr>
          <w:rFonts w:eastAsia="Arial" w:cs="Arial"/>
          <w:color w:val="FF0000"/>
          <w:spacing w:val="3"/>
          <w:sz w:val="16"/>
          <w:szCs w:val="16"/>
        </w:rPr>
        <w:t>t</w:t>
      </w:r>
      <w:r w:rsidRPr="00C132F9">
        <w:rPr>
          <w:rFonts w:eastAsia="Arial" w:cs="Arial"/>
          <w:color w:val="FF0000"/>
          <w:spacing w:val="12"/>
          <w:sz w:val="16"/>
          <w:szCs w:val="16"/>
        </w:rPr>
        <w:t>i</w:t>
      </w:r>
      <w:r w:rsidRPr="00C132F9">
        <w:rPr>
          <w:rFonts w:eastAsia="Arial" w:cs="Arial"/>
          <w:color w:val="FF0000"/>
          <w:spacing w:val="6"/>
          <w:sz w:val="16"/>
          <w:szCs w:val="16"/>
        </w:rPr>
        <w:t>en</w:t>
      </w:r>
      <w:r w:rsidRPr="00C132F9">
        <w:rPr>
          <w:rFonts w:eastAsia="Arial" w:cs="Arial"/>
          <w:color w:val="FF0000"/>
          <w:sz w:val="16"/>
          <w:szCs w:val="16"/>
        </w:rPr>
        <w:t>t</w:t>
      </w:r>
      <w:r w:rsidRPr="00C132F9">
        <w:rPr>
          <w:rFonts w:eastAsia="Arial" w:cs="Arial"/>
          <w:color w:val="FF0000"/>
          <w:spacing w:val="6"/>
          <w:sz w:val="16"/>
          <w:szCs w:val="16"/>
        </w:rPr>
        <w:t xml:space="preserve"> </w:t>
      </w:r>
      <w:r w:rsidRPr="00C132F9">
        <w:rPr>
          <w:rFonts w:eastAsia="Arial" w:cs="Arial"/>
          <w:color w:val="FF0000"/>
          <w:spacing w:val="5"/>
          <w:sz w:val="16"/>
          <w:szCs w:val="16"/>
        </w:rPr>
        <w:t>S</w:t>
      </w:r>
      <w:r w:rsidRPr="00C132F9">
        <w:rPr>
          <w:rFonts w:eastAsia="Arial" w:cs="Arial"/>
          <w:color w:val="FF0000"/>
          <w:sz w:val="16"/>
          <w:szCs w:val="16"/>
        </w:rPr>
        <w:t>c</w:t>
      </w:r>
      <w:r w:rsidRPr="00C132F9">
        <w:rPr>
          <w:rFonts w:eastAsia="Arial" w:cs="Arial"/>
          <w:color w:val="FF0000"/>
          <w:spacing w:val="6"/>
          <w:sz w:val="16"/>
          <w:szCs w:val="16"/>
        </w:rPr>
        <w:t>he</w:t>
      </w:r>
      <w:r w:rsidRPr="00C132F9">
        <w:rPr>
          <w:rFonts w:eastAsia="Arial" w:cs="Arial"/>
          <w:color w:val="FF0000"/>
          <w:spacing w:val="10"/>
          <w:sz w:val="16"/>
          <w:szCs w:val="16"/>
        </w:rPr>
        <w:t>m</w:t>
      </w:r>
      <w:r w:rsidRPr="00C132F9">
        <w:rPr>
          <w:rFonts w:eastAsia="Arial" w:cs="Arial"/>
          <w:color w:val="FF0000"/>
          <w:sz w:val="16"/>
          <w:szCs w:val="16"/>
        </w:rPr>
        <w:t>e</w:t>
      </w:r>
      <w:r w:rsidRPr="00C132F9">
        <w:rPr>
          <w:rFonts w:eastAsia="Arial" w:cs="Arial"/>
          <w:color w:val="FF0000"/>
          <w:spacing w:val="10"/>
          <w:sz w:val="16"/>
          <w:szCs w:val="16"/>
        </w:rPr>
        <w:t xml:space="preserve"> </w:t>
      </w:r>
      <w:r w:rsidRPr="00C132F9">
        <w:rPr>
          <w:rFonts w:eastAsia="Arial" w:cs="Arial"/>
          <w:color w:val="FF0000"/>
          <w:spacing w:val="-6"/>
          <w:sz w:val="16"/>
          <w:szCs w:val="16"/>
        </w:rPr>
        <w:t>(</w:t>
      </w:r>
      <w:r w:rsidRPr="00C132F9">
        <w:rPr>
          <w:rFonts w:eastAsia="Arial" w:cs="Arial"/>
          <w:color w:val="FF0000"/>
          <w:spacing w:val="5"/>
          <w:sz w:val="16"/>
          <w:szCs w:val="16"/>
        </w:rPr>
        <w:t>VPS</w:t>
      </w:r>
      <w:r w:rsidRPr="00C132F9">
        <w:rPr>
          <w:rFonts w:eastAsia="Arial" w:cs="Arial"/>
          <w:color w:val="FF0000"/>
          <w:sz w:val="16"/>
          <w:szCs w:val="16"/>
        </w:rPr>
        <w:t>)</w:t>
      </w:r>
      <w:r w:rsidRPr="00C132F9">
        <w:rPr>
          <w:rFonts w:eastAsia="Arial" w:cs="Arial"/>
          <w:color w:val="FF0000"/>
          <w:spacing w:val="-2"/>
          <w:sz w:val="16"/>
          <w:szCs w:val="16"/>
        </w:rPr>
        <w:t xml:space="preserve"> </w:t>
      </w:r>
      <w:r w:rsidRPr="00C132F9">
        <w:rPr>
          <w:rFonts w:eastAsia="Arial" w:cs="Arial"/>
          <w:color w:val="FF0000"/>
          <w:spacing w:val="6"/>
          <w:sz w:val="16"/>
          <w:szCs w:val="16"/>
        </w:rPr>
        <w:t>o</w:t>
      </w:r>
      <w:r w:rsidRPr="00C132F9">
        <w:rPr>
          <w:rFonts w:eastAsia="Arial" w:cs="Arial"/>
          <w:color w:val="FF0000"/>
          <w:sz w:val="16"/>
          <w:szCs w:val="16"/>
        </w:rPr>
        <w:t>r</w:t>
      </w:r>
      <w:r w:rsidRPr="00C132F9">
        <w:rPr>
          <w:rFonts w:eastAsia="Arial" w:cs="Arial"/>
          <w:color w:val="FF0000"/>
          <w:spacing w:val="-2"/>
          <w:sz w:val="16"/>
          <w:szCs w:val="16"/>
        </w:rPr>
        <w:t xml:space="preserve"> Z</w:t>
      </w:r>
      <w:r w:rsidRPr="00C132F9">
        <w:rPr>
          <w:rFonts w:eastAsia="Arial" w:cs="Arial"/>
          <w:color w:val="FF0000"/>
          <w:spacing w:val="6"/>
          <w:sz w:val="16"/>
          <w:szCs w:val="16"/>
        </w:rPr>
        <w:t>e</w:t>
      </w:r>
      <w:r w:rsidRPr="00C132F9">
        <w:rPr>
          <w:rFonts w:eastAsia="Arial" w:cs="Arial"/>
          <w:color w:val="FF0000"/>
          <w:spacing w:val="-6"/>
          <w:sz w:val="16"/>
          <w:szCs w:val="16"/>
        </w:rPr>
        <w:t>r</w:t>
      </w:r>
      <w:r w:rsidRPr="00C132F9">
        <w:rPr>
          <w:rFonts w:eastAsia="Arial" w:cs="Arial"/>
          <w:color w:val="FF0000"/>
          <w:sz w:val="16"/>
          <w:szCs w:val="16"/>
        </w:rPr>
        <w:t>o</w:t>
      </w:r>
      <w:r w:rsidRPr="00C132F9">
        <w:rPr>
          <w:rFonts w:eastAsia="Arial" w:cs="Arial"/>
          <w:color w:val="FF0000"/>
          <w:spacing w:val="10"/>
          <w:sz w:val="16"/>
          <w:szCs w:val="16"/>
        </w:rPr>
        <w:t xml:space="preserve"> Tolerance </w:t>
      </w:r>
      <w:r w:rsidRPr="00C132F9">
        <w:rPr>
          <w:rFonts w:eastAsia="Arial" w:cs="Arial"/>
          <w:color w:val="FF0000"/>
          <w:spacing w:val="5"/>
          <w:sz w:val="16"/>
          <w:szCs w:val="16"/>
        </w:rPr>
        <w:t>S</w:t>
      </w:r>
      <w:r w:rsidRPr="00C132F9">
        <w:rPr>
          <w:rFonts w:eastAsia="Arial" w:cs="Arial"/>
          <w:color w:val="FF0000"/>
          <w:sz w:val="16"/>
          <w:szCs w:val="16"/>
        </w:rPr>
        <w:t>c</w:t>
      </w:r>
      <w:r w:rsidRPr="00C132F9">
        <w:rPr>
          <w:rFonts w:eastAsia="Arial" w:cs="Arial"/>
          <w:color w:val="FF0000"/>
          <w:spacing w:val="6"/>
          <w:sz w:val="16"/>
          <w:szCs w:val="16"/>
        </w:rPr>
        <w:t>he</w:t>
      </w:r>
      <w:r w:rsidRPr="00C132F9">
        <w:rPr>
          <w:rFonts w:eastAsia="Arial" w:cs="Arial"/>
          <w:color w:val="FF0000"/>
          <w:spacing w:val="10"/>
          <w:sz w:val="16"/>
          <w:szCs w:val="16"/>
        </w:rPr>
        <w:t>m</w:t>
      </w:r>
      <w:r w:rsidRPr="00C132F9">
        <w:rPr>
          <w:rFonts w:eastAsia="Arial" w:cs="Arial"/>
          <w:color w:val="FF0000"/>
          <w:sz w:val="16"/>
          <w:szCs w:val="16"/>
        </w:rPr>
        <w:t>e</w:t>
      </w:r>
      <w:r w:rsidRPr="00C132F9">
        <w:rPr>
          <w:rFonts w:eastAsia="Arial" w:cs="Arial"/>
          <w:color w:val="FF0000"/>
          <w:spacing w:val="10"/>
          <w:sz w:val="16"/>
          <w:szCs w:val="16"/>
        </w:rPr>
        <w:t xml:space="preserve"> </w:t>
      </w:r>
      <w:r w:rsidRPr="00C132F9">
        <w:rPr>
          <w:rFonts w:eastAsia="Arial" w:cs="Arial"/>
          <w:color w:val="FF0000"/>
          <w:spacing w:val="-6"/>
          <w:sz w:val="16"/>
          <w:szCs w:val="16"/>
        </w:rPr>
        <w:t>(</w:t>
      </w:r>
      <w:r w:rsidRPr="00C132F9">
        <w:rPr>
          <w:rFonts w:eastAsia="Arial" w:cs="Arial"/>
          <w:color w:val="FF0000"/>
          <w:spacing w:val="-2"/>
          <w:sz w:val="16"/>
          <w:szCs w:val="16"/>
        </w:rPr>
        <w:t>Z</w:t>
      </w:r>
      <w:r w:rsidRPr="00C132F9">
        <w:rPr>
          <w:rFonts w:eastAsia="Arial" w:cs="Arial"/>
          <w:color w:val="FF0000"/>
          <w:sz w:val="16"/>
          <w:szCs w:val="16"/>
        </w:rPr>
        <w:t>T</w:t>
      </w:r>
      <w:r w:rsidRPr="00C132F9">
        <w:rPr>
          <w:rFonts w:eastAsia="Arial" w:cs="Arial"/>
          <w:color w:val="FF0000"/>
          <w:spacing w:val="-31"/>
          <w:sz w:val="16"/>
          <w:szCs w:val="16"/>
        </w:rPr>
        <w:t xml:space="preserve"> </w:t>
      </w:r>
      <w:r w:rsidRPr="00C132F9">
        <w:rPr>
          <w:rFonts w:eastAsia="Arial" w:cs="Arial"/>
          <w:color w:val="FF0000"/>
          <w:spacing w:val="5"/>
          <w:sz w:val="16"/>
          <w:szCs w:val="16"/>
        </w:rPr>
        <w:t>S</w:t>
      </w:r>
      <w:r w:rsidRPr="00C132F9">
        <w:rPr>
          <w:rFonts w:eastAsia="Arial" w:cs="Arial"/>
          <w:color w:val="FF0000"/>
          <w:spacing w:val="-6"/>
          <w:sz w:val="16"/>
          <w:szCs w:val="16"/>
        </w:rPr>
        <w:t>)</w:t>
      </w:r>
      <w:r w:rsidRPr="00C132F9">
        <w:rPr>
          <w:rFonts w:eastAsia="Arial" w:cs="Arial"/>
          <w:color w:val="FF0000"/>
          <w:sz w:val="16"/>
          <w:szCs w:val="16"/>
        </w:rPr>
        <w:t>)</w:t>
      </w:r>
    </w:p>
    <w:p w14:paraId="76C0253D" w14:textId="77777777" w:rsidR="00C132F9" w:rsidRPr="00C132F9" w:rsidRDefault="00C132F9" w:rsidP="00C132F9"/>
    <w:p w14:paraId="4461943D" w14:textId="77777777" w:rsidR="00C132F9" w:rsidRPr="00C132F9" w:rsidRDefault="00C132F9" w:rsidP="00C132F9">
      <w:pPr>
        <w:numPr>
          <w:ilvl w:val="1"/>
          <w:numId w:val="2"/>
        </w:numPr>
        <w:spacing w:line="360" w:lineRule="auto"/>
        <w:ind w:left="2561"/>
        <w:outlineLvl w:val="1"/>
        <w:rPr>
          <w:b/>
          <w:iCs/>
          <w:color w:val="7C2855" w:themeColor="background2"/>
          <w:sz w:val="28"/>
          <w:szCs w:val="28"/>
        </w:rPr>
      </w:pPr>
      <w:bookmarkStart w:id="539" w:name="_Toc95743439"/>
      <w:r w:rsidRPr="00C132F9">
        <w:rPr>
          <w:b/>
          <w:iCs/>
          <w:color w:val="7C2855" w:themeColor="background2"/>
          <w:sz w:val="28"/>
          <w:szCs w:val="28"/>
        </w:rPr>
        <w:t>Executive Summary and Key Messages</w:t>
      </w:r>
      <w:bookmarkEnd w:id="539"/>
    </w:p>
    <w:p w14:paraId="6E80C465" w14:textId="77777777" w:rsidR="00C132F9" w:rsidRPr="00C132F9" w:rsidRDefault="00C132F9" w:rsidP="00C132F9">
      <w:pPr>
        <w:widowControl w:val="0"/>
        <w:spacing w:before="200" w:after="60" w:line="276" w:lineRule="auto"/>
        <w:ind w:left="709"/>
        <w:jc w:val="both"/>
        <w:rPr>
          <w:bCs w:val="0"/>
          <w:szCs w:val="20"/>
          <w:lang w:eastAsia="en-GB"/>
        </w:rPr>
      </w:pPr>
      <w:r w:rsidRPr="00C132F9">
        <w:rPr>
          <w:bCs w:val="0"/>
          <w:szCs w:val="20"/>
          <w:lang w:eastAsia="en-GB"/>
        </w:rPr>
        <w:t>This chapter provides guidance to Commissioners and providers of essential primary medical care services in relation to the removal of patients who are violent from their practice list and the Special Allocation Schemes (</w:t>
      </w:r>
      <w:r w:rsidRPr="00C132F9">
        <w:rPr>
          <w:b/>
          <w:bCs w:val="0"/>
          <w:szCs w:val="20"/>
          <w:lang w:eastAsia="en-GB"/>
        </w:rPr>
        <w:t>SAS</w:t>
      </w:r>
      <w:r w:rsidRPr="00C132F9">
        <w:rPr>
          <w:bCs w:val="0"/>
          <w:szCs w:val="20"/>
          <w:lang w:eastAsia="en-GB"/>
        </w:rPr>
        <w:t xml:space="preserve">) intended to ensure such patients receive primary care services. Provision for SAS is set out in the GMS Regulations and the PMS Regulations (together, the </w:t>
      </w:r>
      <w:r w:rsidRPr="00C132F9">
        <w:rPr>
          <w:b/>
          <w:bCs w:val="0"/>
          <w:szCs w:val="20"/>
          <w:lang w:eastAsia="en-GB"/>
        </w:rPr>
        <w:t>Regulations</w:t>
      </w:r>
      <w:r w:rsidRPr="00C132F9">
        <w:rPr>
          <w:bCs w:val="0"/>
          <w:szCs w:val="20"/>
          <w:lang w:eastAsia="en-GB"/>
        </w:rPr>
        <w:t xml:space="preserve">). </w:t>
      </w:r>
    </w:p>
    <w:p w14:paraId="5CFB4788" w14:textId="6BF2AA81" w:rsidR="00C132F9" w:rsidRPr="00C132F9" w:rsidRDefault="00C132F9" w:rsidP="00C132F9">
      <w:pPr>
        <w:widowControl w:val="0"/>
        <w:spacing w:before="200" w:after="60" w:line="276" w:lineRule="auto"/>
        <w:ind w:left="709"/>
        <w:jc w:val="both"/>
        <w:rPr>
          <w:bCs w:val="0"/>
          <w:szCs w:val="20"/>
          <w:lang w:eastAsia="en-GB"/>
        </w:rPr>
      </w:pPr>
      <w:r w:rsidRPr="00C132F9">
        <w:rPr>
          <w:bCs w:val="0"/>
          <w:szCs w:val="20"/>
          <w:lang w:eastAsia="en-GB"/>
        </w:rPr>
        <w:t>This guidance focuses on a number of key themes (which are intended to support the implementation of, and commissioning and monitoring of a SAS:</w:t>
      </w:r>
    </w:p>
    <w:p w14:paraId="2EF41B87" w14:textId="77777777" w:rsidR="00C132F9" w:rsidRPr="00C132F9" w:rsidRDefault="000B57EE" w:rsidP="006C3DF5">
      <w:pPr>
        <w:numPr>
          <w:ilvl w:val="2"/>
          <w:numId w:val="249"/>
        </w:numPr>
        <w:spacing w:before="200" w:after="60" w:line="276" w:lineRule="auto"/>
        <w:jc w:val="both"/>
        <w:rPr>
          <w:bCs w:val="0"/>
          <w:color w:val="0000FF"/>
          <w:szCs w:val="24"/>
          <w:u w:val="single"/>
          <w:lang w:eastAsia="en-GB"/>
        </w:rPr>
      </w:pPr>
      <w:hyperlink w:anchor="_Introduction" w:history="1">
        <w:r w:rsidR="00C132F9" w:rsidRPr="00C132F9">
          <w:rPr>
            <w:bCs w:val="0"/>
            <w:color w:val="0000FF"/>
            <w:szCs w:val="24"/>
            <w:u w:val="single"/>
            <w:lang w:eastAsia="en-GB"/>
          </w:rPr>
          <w:t>Introduction</w:t>
        </w:r>
      </w:hyperlink>
    </w:p>
    <w:p w14:paraId="65D0CBD4" w14:textId="77777777" w:rsidR="00C132F9" w:rsidRPr="00C132F9" w:rsidRDefault="000B57EE" w:rsidP="006C3DF5">
      <w:pPr>
        <w:numPr>
          <w:ilvl w:val="2"/>
          <w:numId w:val="249"/>
        </w:numPr>
        <w:spacing w:before="200" w:after="60" w:line="276" w:lineRule="auto"/>
        <w:jc w:val="both"/>
        <w:rPr>
          <w:bCs w:val="0"/>
          <w:color w:val="0000FF"/>
          <w:szCs w:val="24"/>
          <w:u w:val="single"/>
          <w:lang w:eastAsia="en-GB"/>
        </w:rPr>
      </w:pPr>
      <w:hyperlink w:anchor="_Commissioning_a_robust" w:history="1">
        <w:r w:rsidR="00C132F9" w:rsidRPr="00C132F9">
          <w:rPr>
            <w:bCs w:val="0"/>
            <w:color w:val="0000FF"/>
            <w:szCs w:val="24"/>
            <w:u w:val="single"/>
            <w:lang w:eastAsia="en-GB"/>
          </w:rPr>
          <w:t>Commissioning a robust SAS</w:t>
        </w:r>
      </w:hyperlink>
    </w:p>
    <w:p w14:paraId="1628704A" w14:textId="77777777" w:rsidR="00C132F9" w:rsidRPr="00C132F9" w:rsidRDefault="00C132F9" w:rsidP="006C3DF5">
      <w:pPr>
        <w:numPr>
          <w:ilvl w:val="2"/>
          <w:numId w:val="249"/>
        </w:numPr>
        <w:spacing w:before="200" w:after="60" w:line="276" w:lineRule="auto"/>
        <w:jc w:val="both"/>
        <w:rPr>
          <w:bCs w:val="0"/>
          <w:szCs w:val="24"/>
          <w:lang w:eastAsia="en-GB"/>
        </w:rPr>
      </w:pPr>
      <w:r w:rsidRPr="00C132F9">
        <w:rPr>
          <w:bCs w:val="0"/>
          <w:color w:val="0000FF"/>
          <w:szCs w:val="24"/>
          <w:u w:val="single"/>
          <w:lang w:eastAsia="en-GB"/>
        </w:rPr>
        <w:t>Provider and service requirements and monitoring</w:t>
      </w:r>
      <w:r w:rsidRPr="00C132F9">
        <w:rPr>
          <w:bCs w:val="0"/>
          <w:szCs w:val="24"/>
          <w:lang w:eastAsia="en-GB"/>
        </w:rPr>
        <w:t xml:space="preserve">. </w:t>
      </w:r>
    </w:p>
    <w:p w14:paraId="28688C6B" w14:textId="77777777" w:rsidR="00C132F9" w:rsidRPr="00C132F9" w:rsidRDefault="000B57EE" w:rsidP="006C3DF5">
      <w:pPr>
        <w:numPr>
          <w:ilvl w:val="2"/>
          <w:numId w:val="249"/>
        </w:numPr>
        <w:spacing w:before="200" w:after="60" w:line="276" w:lineRule="auto"/>
        <w:jc w:val="both"/>
        <w:rPr>
          <w:bCs w:val="0"/>
          <w:color w:val="0000FF"/>
          <w:szCs w:val="24"/>
          <w:u w:val="single"/>
          <w:lang w:eastAsia="en-GB"/>
        </w:rPr>
      </w:pPr>
      <w:hyperlink w:anchor="_When_to_use" w:history="1">
        <w:r w:rsidR="00C132F9" w:rsidRPr="00C132F9">
          <w:rPr>
            <w:bCs w:val="0"/>
            <w:color w:val="0000FF"/>
            <w:szCs w:val="24"/>
            <w:u w:val="single"/>
            <w:lang w:eastAsia="en-GB"/>
          </w:rPr>
          <w:t>The scope of / eligibility criteria for a SAS</w:t>
        </w:r>
      </w:hyperlink>
      <w:r w:rsidR="00C132F9" w:rsidRPr="00C132F9">
        <w:rPr>
          <w:bCs w:val="0"/>
          <w:color w:val="0000FF"/>
          <w:szCs w:val="24"/>
          <w:u w:val="single"/>
          <w:lang w:eastAsia="en-GB"/>
        </w:rPr>
        <w:t xml:space="preserve">, </w:t>
      </w:r>
    </w:p>
    <w:p w14:paraId="4DDFADED" w14:textId="77777777" w:rsidR="00C132F9" w:rsidRPr="00C132F9" w:rsidRDefault="000B57EE" w:rsidP="006C3DF5">
      <w:pPr>
        <w:numPr>
          <w:ilvl w:val="2"/>
          <w:numId w:val="249"/>
        </w:numPr>
        <w:spacing w:before="200" w:after="60" w:line="276" w:lineRule="auto"/>
        <w:jc w:val="both"/>
        <w:rPr>
          <w:bCs w:val="0"/>
          <w:color w:val="0000FF"/>
          <w:szCs w:val="24"/>
          <w:u w:val="single"/>
          <w:lang w:eastAsia="en-GB"/>
        </w:rPr>
      </w:pPr>
      <w:hyperlink w:anchor="_Once_satisfied_that" w:history="1">
        <w:r w:rsidR="00C132F9" w:rsidRPr="00C132F9">
          <w:rPr>
            <w:bCs w:val="0"/>
            <w:color w:val="0000FF"/>
            <w:szCs w:val="24"/>
            <w:u w:val="single"/>
            <w:lang w:eastAsia="en-GB"/>
          </w:rPr>
          <w:t>The process for requesting immediate removal of a patient</w:t>
        </w:r>
      </w:hyperlink>
      <w:r w:rsidR="00C132F9" w:rsidRPr="00C132F9">
        <w:rPr>
          <w:bCs w:val="0"/>
          <w:color w:val="0000FF"/>
          <w:szCs w:val="24"/>
          <w:u w:val="single"/>
          <w:lang w:eastAsia="en-GB"/>
        </w:rPr>
        <w:t xml:space="preserve">, </w:t>
      </w:r>
    </w:p>
    <w:p w14:paraId="19203AC3" w14:textId="77777777" w:rsidR="00C132F9" w:rsidRPr="00C132F9" w:rsidRDefault="000B57EE" w:rsidP="006C3DF5">
      <w:pPr>
        <w:numPr>
          <w:ilvl w:val="2"/>
          <w:numId w:val="249"/>
        </w:numPr>
        <w:spacing w:before="200" w:after="60" w:line="276" w:lineRule="auto"/>
        <w:jc w:val="both"/>
        <w:rPr>
          <w:bCs w:val="0"/>
          <w:color w:val="0000FF"/>
          <w:szCs w:val="24"/>
          <w:u w:val="single"/>
          <w:lang w:eastAsia="en-GB"/>
        </w:rPr>
      </w:pPr>
      <w:hyperlink w:anchor="_Appendix_Six:_Example" w:history="1">
        <w:r w:rsidR="00C132F9" w:rsidRPr="00C132F9">
          <w:rPr>
            <w:bCs w:val="0"/>
            <w:color w:val="0000FF"/>
            <w:szCs w:val="24"/>
            <w:u w:val="single"/>
            <w:lang w:eastAsia="en-GB"/>
          </w:rPr>
          <w:t>What happens after removal, including returning choice to patient</w:t>
        </w:r>
      </w:hyperlink>
      <w:r w:rsidR="00C132F9" w:rsidRPr="00C132F9">
        <w:rPr>
          <w:bCs w:val="0"/>
          <w:color w:val="0000FF"/>
          <w:szCs w:val="24"/>
          <w:u w:val="single"/>
          <w:lang w:eastAsia="en-GB"/>
        </w:rPr>
        <w:t xml:space="preserve"> (see also section 3.11.2) </w:t>
      </w:r>
    </w:p>
    <w:p w14:paraId="047B0045" w14:textId="77777777" w:rsidR="00C132F9" w:rsidRPr="00C132F9" w:rsidRDefault="00C132F9" w:rsidP="00C132F9">
      <w:pPr>
        <w:widowControl w:val="0"/>
        <w:spacing w:before="200" w:after="60" w:line="276" w:lineRule="auto"/>
        <w:ind w:left="709"/>
        <w:jc w:val="both"/>
        <w:rPr>
          <w:bCs w:val="0"/>
          <w:szCs w:val="20"/>
          <w:lang w:eastAsia="en-GB"/>
        </w:rPr>
      </w:pPr>
      <w:r w:rsidRPr="00C132F9">
        <w:rPr>
          <w:bCs w:val="0"/>
          <w:szCs w:val="20"/>
          <w:lang w:eastAsia="en-GB"/>
        </w:rPr>
        <w:t>Given the importance of the interests that SAS seeks to balance, two key messages are emphasised at the outset.</w:t>
      </w:r>
    </w:p>
    <w:p w14:paraId="7DC5F7BB" w14:textId="77777777" w:rsidR="00C132F9" w:rsidRPr="00C132F9" w:rsidRDefault="00C132F9" w:rsidP="00C132F9">
      <w:pPr>
        <w:widowControl w:val="0"/>
        <w:spacing w:before="200" w:after="60" w:line="276" w:lineRule="auto"/>
        <w:ind w:left="709"/>
        <w:jc w:val="both"/>
        <w:rPr>
          <w:bCs w:val="0"/>
          <w:szCs w:val="20"/>
          <w:lang w:eastAsia="en-GB"/>
        </w:rPr>
      </w:pPr>
      <w:r w:rsidRPr="00C132F9">
        <w:rPr>
          <w:bCs w:val="0"/>
          <w:szCs w:val="20"/>
          <w:lang w:eastAsia="en-GB"/>
        </w:rPr>
        <w:t xml:space="preserve">The first relates to the scope of SAS. The Regulations regarding the removal of patients who are violent is specific in terminology and the Regulations require that GMS and PMS contracts provide for "Removal from the list of patients who are violent". </w:t>
      </w:r>
    </w:p>
    <w:p w14:paraId="2EBDC8A1" w14:textId="77777777" w:rsidR="00C132F9" w:rsidRPr="00C132F9" w:rsidRDefault="00C132F9" w:rsidP="00C132F9">
      <w:pPr>
        <w:widowControl w:val="0"/>
        <w:spacing w:before="200" w:after="60" w:line="276" w:lineRule="auto"/>
        <w:ind w:left="709"/>
        <w:jc w:val="both"/>
        <w:rPr>
          <w:bCs w:val="0"/>
          <w:szCs w:val="20"/>
          <w:lang w:eastAsia="en-GB"/>
        </w:rPr>
      </w:pPr>
      <w:r w:rsidRPr="00C132F9">
        <w:rPr>
          <w:bCs w:val="0"/>
          <w:szCs w:val="20"/>
          <w:lang w:eastAsia="en-GB"/>
        </w:rPr>
        <w:t xml:space="preserve">However, within the Regulations it is further specified that the grounds on which a contractor may request that a person be removed from its list of patients with immediate effect are that "the person has committed an </w:t>
      </w:r>
      <w:r w:rsidRPr="00C132F9">
        <w:rPr>
          <w:b/>
          <w:bCs w:val="0"/>
          <w:szCs w:val="20"/>
          <w:u w:val="single"/>
          <w:lang w:eastAsia="en-GB"/>
        </w:rPr>
        <w:t xml:space="preserve">act of violence against </w:t>
      </w:r>
      <w:r w:rsidRPr="00C132F9">
        <w:rPr>
          <w:bCs w:val="0"/>
          <w:szCs w:val="20"/>
          <w:lang w:eastAsia="en-GB"/>
        </w:rPr>
        <w:t xml:space="preserve">any of the persons specified in subparagraph (2) </w:t>
      </w:r>
      <w:r w:rsidRPr="00C132F9">
        <w:rPr>
          <w:b/>
          <w:bCs w:val="0"/>
          <w:szCs w:val="20"/>
          <w:u w:val="single"/>
          <w:lang w:eastAsia="en-GB"/>
        </w:rPr>
        <w:t>or has behaved in such a way that any of those persons has feared for their safety"</w:t>
      </w:r>
      <w:r w:rsidRPr="00C132F9">
        <w:rPr>
          <w:bCs w:val="0"/>
          <w:szCs w:val="20"/>
          <w:lang w:eastAsia="en-GB"/>
        </w:rPr>
        <w:t>.</w:t>
      </w:r>
    </w:p>
    <w:p w14:paraId="41C6A087" w14:textId="2F7F5CEB" w:rsidR="00C132F9" w:rsidRPr="00C132F9" w:rsidRDefault="00C132F9" w:rsidP="00C132F9">
      <w:pPr>
        <w:widowControl w:val="0"/>
        <w:spacing w:before="200" w:after="60" w:line="276" w:lineRule="auto"/>
        <w:ind w:left="709"/>
        <w:jc w:val="both"/>
        <w:rPr>
          <w:bCs w:val="0"/>
          <w:szCs w:val="20"/>
          <w:lang w:eastAsia="en-GB"/>
        </w:rPr>
      </w:pPr>
      <w:r w:rsidRPr="00C132F9">
        <w:rPr>
          <w:bCs w:val="0"/>
          <w:szCs w:val="20"/>
          <w:lang w:eastAsia="en-GB"/>
        </w:rPr>
        <w:t>The Commissioner should therefore be clear that violence does not have to be physical or actual. It can be perceived, threatened or indeed a perceived threat of violence. A person's fear for their safety can also be actual or perceived.  If a patient's behaviour is such that it warrants the immediate removal from the patient list and placing them on a SAS (if they wish to continue receiving primary medical care), then the Regulations require that the incident is reported to the police.</w:t>
      </w:r>
    </w:p>
    <w:p w14:paraId="7C09454A" w14:textId="441C70FF" w:rsidR="00C132F9" w:rsidRPr="00C132F9" w:rsidRDefault="00C132F9" w:rsidP="00C132F9">
      <w:pPr>
        <w:widowControl w:val="0"/>
        <w:spacing w:before="200" w:after="60" w:line="276" w:lineRule="auto"/>
        <w:ind w:left="709"/>
        <w:jc w:val="both"/>
        <w:rPr>
          <w:bCs w:val="0"/>
          <w:szCs w:val="20"/>
          <w:lang w:eastAsia="en-GB"/>
        </w:rPr>
      </w:pPr>
      <w:r w:rsidRPr="00C132F9">
        <w:rPr>
          <w:bCs w:val="0"/>
          <w:szCs w:val="20"/>
          <w:lang w:eastAsia="en-GB"/>
        </w:rPr>
        <w:t xml:space="preserve">In the case of requests for the immediate removal of patients whose behaviour is disruptive but falling short of the above grounds, </w:t>
      </w:r>
      <w:bookmarkStart w:id="540" w:name="_Hlk86140272"/>
      <w:r w:rsidRPr="00C132F9">
        <w:rPr>
          <w:bCs w:val="0"/>
          <w:szCs w:val="20"/>
          <w:lang w:eastAsia="en-GB"/>
        </w:rPr>
        <w:t xml:space="preserve">Commissioners should discuss with the practice if the patient should instead be removed from the practice on the alternative ground of irrevocable breakdown in the relationship between the person and the contractor see paragraph 24, Schedule 3, Part 2 of the GMS Regulations and paragraph 23, Schedule 2, Part 2 of the PMS Regulations). </w:t>
      </w:r>
    </w:p>
    <w:bookmarkEnd w:id="540"/>
    <w:p w14:paraId="0AB41774" w14:textId="77777777" w:rsidR="00C132F9" w:rsidRPr="00C132F9" w:rsidRDefault="00C132F9" w:rsidP="00C132F9">
      <w:pPr>
        <w:widowControl w:val="0"/>
        <w:spacing w:before="200" w:after="60" w:line="276" w:lineRule="auto"/>
        <w:ind w:left="709"/>
        <w:jc w:val="both"/>
        <w:rPr>
          <w:bCs w:val="0"/>
          <w:szCs w:val="20"/>
          <w:lang w:eastAsia="en-GB"/>
        </w:rPr>
      </w:pPr>
      <w:r w:rsidRPr="00C132F9">
        <w:rPr>
          <w:bCs w:val="0"/>
          <w:szCs w:val="20"/>
          <w:lang w:eastAsia="en-GB"/>
        </w:rPr>
        <w:t>The second key message is that we want all providers to be fully aware of and understand the process for immediate removal of a patient. In summary, where a patient's behaviour is deemed within the scope of this chapter (i.e. SAS):</w:t>
      </w:r>
    </w:p>
    <w:p w14:paraId="39F48273" w14:textId="77777777" w:rsidR="00C132F9" w:rsidRPr="00C132F9" w:rsidRDefault="00C132F9" w:rsidP="00C132F9">
      <w:pPr>
        <w:widowControl w:val="0"/>
        <w:spacing w:before="200" w:after="60" w:line="276" w:lineRule="auto"/>
        <w:ind w:left="709"/>
        <w:jc w:val="both"/>
        <w:rPr>
          <w:bCs w:val="0"/>
          <w:szCs w:val="20"/>
          <w:lang w:eastAsia="en-GB"/>
        </w:rPr>
      </w:pPr>
      <w:r w:rsidRPr="00C132F9">
        <w:rPr>
          <w:bCs w:val="0"/>
          <w:szCs w:val="20"/>
          <w:lang w:eastAsia="en-GB"/>
        </w:rPr>
        <w:t>The Regulations require that, for a patient to be removed from a practice list, the practice must report the incident to the police.  The following 10 point process is designed to work in all but very exceptional circumstances. Those infrequent and exceptional cases relate solely to commissioner instigated allocations (for example a patient that falls within the remit of a SAS allocation, but with no recent removal from a GP Practice i.e. previously unregistered) and must be discussed and agreed with NHS England in advance.</w:t>
      </w:r>
    </w:p>
    <w:p w14:paraId="2B25089B" w14:textId="159E1B1C" w:rsidR="00C132F9" w:rsidRPr="00C132F9" w:rsidRDefault="00C132F9" w:rsidP="006C3DF5">
      <w:pPr>
        <w:numPr>
          <w:ilvl w:val="0"/>
          <w:numId w:val="61"/>
        </w:numPr>
        <w:spacing w:before="200" w:after="60" w:line="276" w:lineRule="auto"/>
        <w:jc w:val="both"/>
        <w:rPr>
          <w:bCs w:val="0"/>
          <w:szCs w:val="20"/>
          <w:lang w:eastAsia="en-GB"/>
        </w:rPr>
      </w:pPr>
      <w:r w:rsidRPr="00C132F9">
        <w:rPr>
          <w:bCs w:val="0"/>
          <w:szCs w:val="20"/>
          <w:lang w:eastAsia="en-GB"/>
        </w:rPr>
        <w:t>The Practice calls the police to report the incident (which is required under the regulation) and obtain a response (if required) and police incident number. Where possible this should be at the time of reporting but in any case, a police incident number must be included within the written report provided by the practice within 7 days (a contractual requirement under ‘reasonable requests for information’). **Practice Action **</w:t>
      </w:r>
    </w:p>
    <w:p w14:paraId="45564B2F" w14:textId="1227C75F" w:rsidR="00C132F9" w:rsidRPr="00C132F9" w:rsidRDefault="00C132F9" w:rsidP="00C132F9">
      <w:pPr>
        <w:spacing w:before="200" w:after="60" w:line="276" w:lineRule="auto"/>
        <w:ind w:left="1429"/>
        <w:jc w:val="both"/>
        <w:rPr>
          <w:bCs w:val="0"/>
          <w:szCs w:val="20"/>
          <w:lang w:eastAsia="en-GB"/>
        </w:rPr>
      </w:pPr>
      <w:r w:rsidRPr="00C132F9">
        <w:rPr>
          <w:b/>
          <w:sz w:val="20"/>
          <w:szCs w:val="20"/>
          <w:u w:val="single"/>
          <w:lang w:eastAsia="en-GB"/>
        </w:rPr>
        <w:t xml:space="preserve">Note: </w:t>
      </w:r>
      <w:r w:rsidRPr="00C132F9">
        <w:rPr>
          <w:bCs w:val="0"/>
          <w:szCs w:val="20"/>
          <w:lang w:eastAsia="en-GB"/>
        </w:rPr>
        <w:t>Practices should be reminded of the statutory requirement to notify the Care Quality Commission (CQC) about any incident related to their service that is reported to, or investigated by the police.</w:t>
      </w:r>
    </w:p>
    <w:p w14:paraId="07AC4196" w14:textId="33E8F284" w:rsidR="00C132F9" w:rsidRPr="00C132F9" w:rsidRDefault="00C132F9" w:rsidP="00C132F9">
      <w:pPr>
        <w:spacing w:before="200" w:after="60" w:line="276" w:lineRule="auto"/>
        <w:ind w:left="1429"/>
        <w:jc w:val="both"/>
        <w:rPr>
          <w:bCs w:val="0"/>
          <w:szCs w:val="20"/>
          <w:lang w:eastAsia="en-GB"/>
        </w:rPr>
      </w:pPr>
      <w:r w:rsidRPr="00C132F9">
        <w:rPr>
          <w:bCs w:val="0"/>
          <w:szCs w:val="20"/>
          <w:lang w:eastAsia="en-GB"/>
        </w:rPr>
        <w:t>Furthermore, where appropriate the practice should consider if the incident and subsequent removal from its list warrants notification to any other agency (e.g. Local Authority) where there may be concern for welfare or safeguarding concern as a result of the incident (e.g. the deducted patient has children or is a carer for another vulnerable person including elderly relatives).</w:t>
      </w:r>
    </w:p>
    <w:p w14:paraId="6F3E10E7" w14:textId="1B184E19" w:rsidR="00C132F9" w:rsidRPr="00C132F9" w:rsidRDefault="00C132F9" w:rsidP="006C3DF5">
      <w:pPr>
        <w:numPr>
          <w:ilvl w:val="0"/>
          <w:numId w:val="61"/>
        </w:numPr>
        <w:spacing w:before="200" w:after="60" w:line="276" w:lineRule="auto"/>
        <w:jc w:val="both"/>
        <w:rPr>
          <w:bCs w:val="0"/>
          <w:color w:val="FF0000"/>
          <w:szCs w:val="20"/>
          <w:lang w:eastAsia="en-GB"/>
        </w:rPr>
      </w:pPr>
      <w:r w:rsidRPr="00C132F9">
        <w:rPr>
          <w:bCs w:val="0"/>
          <w:szCs w:val="20"/>
          <w:lang w:eastAsia="en-GB"/>
        </w:rPr>
        <w:t>The Practice requests an immediate removal from NHS England's Primary Care Support England ("PCSE") service provided by Capita. This request can be by phone (v</w:t>
      </w:r>
      <w:r w:rsidRPr="00C132F9">
        <w:rPr>
          <w:bCs w:val="0"/>
          <w:color w:val="0000FF"/>
          <w:szCs w:val="20"/>
          <w:u w:val="single"/>
          <w:lang w:eastAsia="en-GB"/>
        </w:rPr>
        <w:t xml:space="preserve">isit </w:t>
      </w:r>
      <w:hyperlink r:id="rId91" w:history="1">
        <w:r w:rsidRPr="00C132F9">
          <w:rPr>
            <w:bCs w:val="0"/>
            <w:color w:val="0000FF"/>
            <w:sz w:val="20"/>
            <w:szCs w:val="20"/>
            <w:u w:val="single"/>
            <w:lang w:eastAsia="en-GB"/>
          </w:rPr>
          <w:t>https://pcse.england.nhs.uk/contact-us/</w:t>
        </w:r>
      </w:hyperlink>
      <w:r w:rsidRPr="00C132F9">
        <w:rPr>
          <w:bCs w:val="0"/>
          <w:szCs w:val="20"/>
          <w:lang w:eastAsia="en-GB"/>
        </w:rPr>
        <w:t xml:space="preserve"> for contact details) or email </w:t>
      </w:r>
      <w:hyperlink r:id="rId92" w:history="1">
        <w:r w:rsidRPr="00C132F9">
          <w:rPr>
            <w:bCs w:val="0"/>
            <w:color w:val="0000FF"/>
            <w:szCs w:val="20"/>
            <w:u w:val="single"/>
            <w:lang w:eastAsia="en-GB"/>
          </w:rPr>
          <w:t>pcse.patientremovals@nhs.net</w:t>
        </w:r>
      </w:hyperlink>
      <w:r w:rsidRPr="00C132F9">
        <w:rPr>
          <w:bCs w:val="0"/>
          <w:szCs w:val="20"/>
          <w:lang w:eastAsia="en-GB"/>
        </w:rPr>
        <w:t xml:space="preserve">. PCSE will request the police incident number [Note: this is different from a crime reference number, which can only be allocated by the police once it has been established that a crime has been committed. The police will however record an incident number on police systems for all incidents according to Home Office Counting Rules ("HOCR")]. If the Practice does not have a police incident number at this point (which should be in exceptional circumstances only), the Practice will be asked to provide details of the date, time and mechanism (i.e. 999, 111, local number) via which the incident was reported to the police. </w:t>
      </w:r>
      <w:r w:rsidRPr="00C132F9">
        <w:rPr>
          <w:b/>
          <w:bCs w:val="0"/>
          <w:color w:val="FF0000"/>
          <w:szCs w:val="20"/>
          <w:lang w:eastAsia="en-GB"/>
        </w:rPr>
        <w:t>The absence of an incident number will not delay the immediate removal of a patient</w:t>
      </w:r>
      <w:r w:rsidRPr="00C132F9">
        <w:rPr>
          <w:bCs w:val="0"/>
          <w:color w:val="FF0000"/>
          <w:szCs w:val="20"/>
          <w:lang w:eastAsia="en-GB"/>
        </w:rPr>
        <w:t>. ** Practice and PCSE Actions **</w:t>
      </w:r>
    </w:p>
    <w:p w14:paraId="3B1B6F05" w14:textId="74366F37" w:rsidR="00C132F9" w:rsidRPr="00C132F9" w:rsidRDefault="00C132F9" w:rsidP="006C3DF5">
      <w:pPr>
        <w:numPr>
          <w:ilvl w:val="0"/>
          <w:numId w:val="61"/>
        </w:numPr>
        <w:spacing w:before="200" w:after="60" w:line="276" w:lineRule="auto"/>
        <w:jc w:val="both"/>
        <w:rPr>
          <w:bCs w:val="0"/>
          <w:szCs w:val="20"/>
          <w:lang w:eastAsia="en-GB"/>
        </w:rPr>
      </w:pPr>
      <w:r w:rsidRPr="00C132F9">
        <w:rPr>
          <w:bCs w:val="0"/>
          <w:szCs w:val="20"/>
          <w:lang w:eastAsia="en-GB"/>
        </w:rPr>
        <w:t>PCSE removes the patient from the Practice list and informs the appropriate Commissioner. ** PCSE Action **</w:t>
      </w:r>
    </w:p>
    <w:p w14:paraId="267EEB75" w14:textId="7ADD3BBB" w:rsidR="00C132F9" w:rsidRPr="00C132F9" w:rsidRDefault="00C132F9" w:rsidP="006C3DF5">
      <w:pPr>
        <w:numPr>
          <w:ilvl w:val="0"/>
          <w:numId w:val="61"/>
        </w:numPr>
        <w:spacing w:before="200" w:after="60" w:line="276" w:lineRule="auto"/>
        <w:jc w:val="both"/>
        <w:rPr>
          <w:bCs w:val="0"/>
          <w:szCs w:val="20"/>
          <w:lang w:eastAsia="en-GB"/>
        </w:rPr>
      </w:pPr>
      <w:r w:rsidRPr="00C132F9">
        <w:rPr>
          <w:bCs w:val="0"/>
          <w:szCs w:val="20"/>
          <w:lang w:eastAsia="en-GB"/>
        </w:rPr>
        <w:t>The Regulations require that the Practice notifies the patient in writing that a request for removal has been made, unless to do so would harm the patient's physical or mental health or put others on the Practice premises at risk.  ** Practice Action **</w:t>
      </w:r>
    </w:p>
    <w:p w14:paraId="6E1BBCC5" w14:textId="144975AA" w:rsidR="00C132F9" w:rsidRPr="00C132F9" w:rsidRDefault="00C132F9" w:rsidP="006C3DF5">
      <w:pPr>
        <w:numPr>
          <w:ilvl w:val="0"/>
          <w:numId w:val="61"/>
        </w:numPr>
        <w:spacing w:before="200" w:after="60" w:line="276" w:lineRule="auto"/>
        <w:jc w:val="both"/>
        <w:rPr>
          <w:bCs w:val="0"/>
          <w:szCs w:val="20"/>
          <w:lang w:eastAsia="en-GB"/>
        </w:rPr>
      </w:pPr>
      <w:r w:rsidRPr="00C132F9">
        <w:rPr>
          <w:bCs w:val="0"/>
          <w:szCs w:val="20"/>
          <w:lang w:eastAsia="en-GB"/>
        </w:rPr>
        <w:t>PCSE allocates the patient to a local SAS provider. Commissioners are responsible for commissioning SAS either from GPs or another provider. ** PCSE Action **</w:t>
      </w:r>
    </w:p>
    <w:p w14:paraId="3925C688" w14:textId="170C0155" w:rsidR="00C132F9" w:rsidRPr="00C132F9" w:rsidRDefault="00C132F9" w:rsidP="006C3DF5">
      <w:pPr>
        <w:numPr>
          <w:ilvl w:val="0"/>
          <w:numId w:val="61"/>
        </w:numPr>
        <w:spacing w:before="200" w:after="60" w:line="276" w:lineRule="auto"/>
        <w:jc w:val="both"/>
        <w:rPr>
          <w:bCs w:val="0"/>
          <w:szCs w:val="20"/>
          <w:lang w:eastAsia="en-GB"/>
        </w:rPr>
      </w:pPr>
      <w:r w:rsidRPr="00C132F9">
        <w:rPr>
          <w:bCs w:val="0"/>
          <w:szCs w:val="20"/>
          <w:lang w:eastAsia="en-GB"/>
        </w:rPr>
        <w:t>PCSE notifies the patient in writing (standard letter at appendix 7) that they have been removed from the Practice list (as per the Regulations (25.7)) and also, allocated to the SAS provider. ** PCSE Action **</w:t>
      </w:r>
    </w:p>
    <w:p w14:paraId="793E17B5" w14:textId="71FF9525" w:rsidR="00C132F9" w:rsidRPr="00C132F9" w:rsidRDefault="00C132F9" w:rsidP="006C3DF5">
      <w:pPr>
        <w:numPr>
          <w:ilvl w:val="0"/>
          <w:numId w:val="61"/>
        </w:numPr>
        <w:spacing w:before="200" w:after="60" w:line="276" w:lineRule="auto"/>
        <w:jc w:val="both"/>
        <w:rPr>
          <w:bCs w:val="0"/>
          <w:szCs w:val="20"/>
          <w:lang w:eastAsia="en-GB"/>
        </w:rPr>
      </w:pPr>
      <w:r w:rsidRPr="00C132F9">
        <w:rPr>
          <w:bCs w:val="0"/>
          <w:szCs w:val="20"/>
          <w:lang w:eastAsia="en-GB"/>
        </w:rPr>
        <w:t xml:space="preserve">The Practice provides a followup report in writing to the Commissioner (sample available at </w:t>
      </w:r>
      <w:hyperlink w:anchor="_Appendix_One_–" w:history="1">
        <w:r w:rsidRPr="00C132F9">
          <w:rPr>
            <w:bCs w:val="0"/>
            <w:sz w:val="20"/>
            <w:szCs w:val="20"/>
            <w:lang w:eastAsia="en-GB"/>
          </w:rPr>
          <w:t>appendix 1</w:t>
        </w:r>
      </w:hyperlink>
      <w:r w:rsidRPr="00C132F9">
        <w:rPr>
          <w:bCs w:val="0"/>
          <w:szCs w:val="20"/>
          <w:lang w:eastAsia="en-GB"/>
        </w:rPr>
        <w:t>), within 24 hours where possible but before the end of a period of seven days beginning with the date on which notice was given. Where the Practice was unable to provide a police incident number initially; the practice will be asked to include this in the report (under the contractual requirement for reasonable requests for information). ** Practice Action **</w:t>
      </w:r>
    </w:p>
    <w:p w14:paraId="5E2085D2" w14:textId="2C541EA3" w:rsidR="00C132F9" w:rsidRPr="00C132F9" w:rsidRDefault="00C132F9" w:rsidP="006C3DF5">
      <w:pPr>
        <w:numPr>
          <w:ilvl w:val="0"/>
          <w:numId w:val="61"/>
        </w:numPr>
        <w:spacing w:before="200" w:after="60" w:line="276" w:lineRule="auto"/>
        <w:jc w:val="both"/>
        <w:rPr>
          <w:bCs w:val="0"/>
          <w:szCs w:val="20"/>
          <w:lang w:eastAsia="en-GB"/>
        </w:rPr>
      </w:pPr>
      <w:r w:rsidRPr="00C132F9">
        <w:rPr>
          <w:bCs w:val="0"/>
          <w:szCs w:val="20"/>
          <w:lang w:eastAsia="en-GB"/>
        </w:rPr>
        <w:t>Following 7 days from the incident, the Commissioner and PCSE will liaise to ensure an incident number has been received (either by PCSE or via the written practice report to the Commissioner). In the event an incident number has not been provided, the Commissioner will contact the provider to ensure one has been obtained and provided. ** Commissioner Action **</w:t>
      </w:r>
    </w:p>
    <w:p w14:paraId="20BAA7ED" w14:textId="0AFDF80F" w:rsidR="00C132F9" w:rsidRPr="00C132F9" w:rsidRDefault="00C132F9" w:rsidP="006C3DF5">
      <w:pPr>
        <w:numPr>
          <w:ilvl w:val="0"/>
          <w:numId w:val="61"/>
        </w:numPr>
        <w:spacing w:before="200" w:after="60" w:line="276" w:lineRule="auto"/>
        <w:jc w:val="both"/>
        <w:rPr>
          <w:bCs w:val="0"/>
          <w:szCs w:val="20"/>
          <w:lang w:eastAsia="en-GB"/>
        </w:rPr>
      </w:pPr>
      <w:r w:rsidRPr="00C132F9">
        <w:rPr>
          <w:bCs w:val="0"/>
          <w:szCs w:val="20"/>
          <w:lang w:eastAsia="en-GB"/>
        </w:rPr>
        <w:t>The SAS provider will ensure risk assessment and regular monitoring is in place to enable the patient to be repatriated back into mainstream Primary Care as soon as is feasible. ** SAS Provider Action **</w:t>
      </w:r>
    </w:p>
    <w:p w14:paraId="3FED81AE" w14:textId="5BD1F27D" w:rsidR="00C132F9" w:rsidRDefault="00C132F9" w:rsidP="006C3DF5">
      <w:pPr>
        <w:numPr>
          <w:ilvl w:val="0"/>
          <w:numId w:val="61"/>
        </w:numPr>
        <w:spacing w:before="200" w:after="60" w:line="276" w:lineRule="auto"/>
        <w:jc w:val="both"/>
        <w:rPr>
          <w:bCs w:val="0"/>
          <w:szCs w:val="20"/>
          <w:lang w:eastAsia="en-GB"/>
        </w:rPr>
      </w:pPr>
      <w:r w:rsidRPr="00C132F9">
        <w:rPr>
          <w:bCs w:val="0"/>
          <w:szCs w:val="20"/>
          <w:lang w:eastAsia="en-GB"/>
        </w:rPr>
        <w:t>The SAS provider will notify PCSE when choice has been returned to the patient and they have been removed from the SAS. This will ensure the patient’s records are amended accordingly by PCSE (i.e. VP flag removed from patient record) allowing them to re-register at their chosen practice. [Note: Commissioners should ensure this is included in any future SAS contracts awarded and where possible, seek to make arrangements for this to be added to existing contracts]. ** SAS Provider and PCSE Action **</w:t>
      </w:r>
    </w:p>
    <w:p w14:paraId="20509B93" w14:textId="704FF275" w:rsidR="00F36F8F" w:rsidRPr="00F36F8F" w:rsidRDefault="00F36F8F" w:rsidP="006C3DF5">
      <w:pPr>
        <w:pStyle w:val="SchedClauses"/>
        <w:widowControl/>
        <w:numPr>
          <w:ilvl w:val="0"/>
          <w:numId w:val="61"/>
        </w:numPr>
        <w:spacing w:line="276" w:lineRule="auto"/>
        <w:rPr>
          <w:sz w:val="24"/>
          <w:szCs w:val="24"/>
        </w:rPr>
      </w:pPr>
      <w:bookmarkStart w:id="541" w:name="_Hlk80781807"/>
      <w:r w:rsidRPr="0089266F">
        <w:rPr>
          <w:sz w:val="24"/>
          <w:szCs w:val="24"/>
          <w:highlight w:val="yellow"/>
        </w:rPr>
        <w:t xml:space="preserve">Where a </w:t>
      </w:r>
      <w:r>
        <w:rPr>
          <w:sz w:val="24"/>
          <w:szCs w:val="24"/>
          <w:highlight w:val="yellow"/>
        </w:rPr>
        <w:t xml:space="preserve">commissioner considers that its existing </w:t>
      </w:r>
      <w:r w:rsidRPr="0089266F">
        <w:rPr>
          <w:sz w:val="24"/>
          <w:szCs w:val="24"/>
          <w:highlight w:val="yellow"/>
        </w:rPr>
        <w:t>SAS provider</w:t>
      </w:r>
      <w:r>
        <w:rPr>
          <w:sz w:val="24"/>
          <w:szCs w:val="24"/>
          <w:highlight w:val="yellow"/>
        </w:rPr>
        <w:t xml:space="preserve">(s) </w:t>
      </w:r>
      <w:r w:rsidRPr="0089266F">
        <w:rPr>
          <w:sz w:val="24"/>
          <w:szCs w:val="24"/>
          <w:highlight w:val="yellow"/>
        </w:rPr>
        <w:t xml:space="preserve"> </w:t>
      </w:r>
      <w:r>
        <w:rPr>
          <w:sz w:val="24"/>
          <w:szCs w:val="24"/>
          <w:highlight w:val="yellow"/>
        </w:rPr>
        <w:t xml:space="preserve">is unable to meet the exceptional needs of a patient allocated to it </w:t>
      </w:r>
      <w:r w:rsidRPr="0089266F">
        <w:rPr>
          <w:sz w:val="24"/>
          <w:szCs w:val="24"/>
          <w:highlight w:val="yellow"/>
        </w:rPr>
        <w:t>, it may be necessary to commission a bespoke service for the patient</w:t>
      </w:r>
      <w:r w:rsidRPr="0089266F">
        <w:rPr>
          <w:sz w:val="24"/>
          <w:szCs w:val="24"/>
        </w:rPr>
        <w:t xml:space="preserve">. </w:t>
      </w:r>
      <w:bookmarkEnd w:id="541"/>
    </w:p>
    <w:p w14:paraId="67DB1E0F" w14:textId="5CD2D2B9" w:rsidR="00C132F9" w:rsidRPr="00C132F9" w:rsidRDefault="00C132F9" w:rsidP="006C3DF5">
      <w:pPr>
        <w:numPr>
          <w:ilvl w:val="0"/>
          <w:numId w:val="61"/>
        </w:numPr>
        <w:spacing w:before="200" w:after="60" w:line="276" w:lineRule="auto"/>
        <w:jc w:val="both"/>
        <w:rPr>
          <w:rFonts w:cs="Arial"/>
          <w:szCs w:val="24"/>
        </w:rPr>
      </w:pPr>
      <w:r w:rsidRPr="00C132F9">
        <w:rPr>
          <w:rFonts w:cs="Arial"/>
          <w:szCs w:val="24"/>
        </w:rPr>
        <w:t>Where a patient on the SAS moves address and between commissioners and a change in SAS provider is required, the previous SAS provider must ensure a safe transfer (e.g. by secure email) of an electronic summary of the patient record to the new provider as soon as possible but not later than 5 days following deduction, to ensure continuity of care while the new provider awaits the transfer of the patient's full medical records.</w:t>
      </w:r>
    </w:p>
    <w:p w14:paraId="1EEAE18B" w14:textId="4EC53D8E" w:rsidR="00C132F9" w:rsidRPr="00C132F9" w:rsidRDefault="00C132F9" w:rsidP="00C132F9">
      <w:pPr>
        <w:spacing w:before="200" w:after="60" w:line="276" w:lineRule="auto"/>
        <w:ind w:left="1429"/>
        <w:jc w:val="both"/>
        <w:rPr>
          <w:bCs w:val="0"/>
          <w:szCs w:val="20"/>
          <w:lang w:eastAsia="en-GB"/>
        </w:rPr>
      </w:pPr>
    </w:p>
    <w:p w14:paraId="1C8B4039" w14:textId="77777777" w:rsidR="00C132F9" w:rsidRPr="00C132F9" w:rsidRDefault="00C132F9" w:rsidP="00C132F9">
      <w:pPr>
        <w:numPr>
          <w:ilvl w:val="1"/>
          <w:numId w:val="2"/>
        </w:numPr>
        <w:spacing w:line="360" w:lineRule="auto"/>
        <w:ind w:left="2561"/>
        <w:outlineLvl w:val="1"/>
        <w:rPr>
          <w:b/>
          <w:iCs/>
          <w:color w:val="7C2855" w:themeColor="background2"/>
          <w:sz w:val="28"/>
          <w:szCs w:val="28"/>
        </w:rPr>
      </w:pPr>
      <w:bookmarkStart w:id="542" w:name="_Toc95743440"/>
      <w:r w:rsidRPr="00C132F9">
        <w:rPr>
          <w:b/>
          <w:iCs/>
          <w:color w:val="7C2855" w:themeColor="background2"/>
          <w:sz w:val="28"/>
          <w:szCs w:val="28"/>
        </w:rPr>
        <w:t>Introduction</w:t>
      </w:r>
      <w:bookmarkEnd w:id="542"/>
      <w:r w:rsidRPr="00C132F9">
        <w:rPr>
          <w:b/>
          <w:iCs/>
          <w:color w:val="7C2855" w:themeColor="background2"/>
          <w:sz w:val="28"/>
          <w:szCs w:val="28"/>
        </w:rPr>
        <w:t xml:space="preserve"> </w:t>
      </w:r>
    </w:p>
    <w:p w14:paraId="252B9B42" w14:textId="77777777" w:rsidR="00C132F9" w:rsidRPr="00C132F9" w:rsidRDefault="00C132F9" w:rsidP="00C132F9">
      <w:pPr>
        <w:numPr>
          <w:ilvl w:val="2"/>
          <w:numId w:val="2"/>
        </w:numPr>
        <w:spacing w:line="360" w:lineRule="auto"/>
        <w:outlineLvl w:val="2"/>
        <w:rPr>
          <w:b/>
        </w:rPr>
      </w:pPr>
      <w:r w:rsidRPr="00C132F9">
        <w:rPr>
          <w:b/>
        </w:rPr>
        <w:t>Purpose of this document</w:t>
      </w:r>
    </w:p>
    <w:p w14:paraId="14EFF092" w14:textId="77777777" w:rsidR="00C132F9" w:rsidRPr="00C132F9" w:rsidRDefault="00C132F9" w:rsidP="00C132F9">
      <w:pPr>
        <w:numPr>
          <w:ilvl w:val="2"/>
          <w:numId w:val="2"/>
        </w:numPr>
        <w:spacing w:line="360" w:lineRule="auto"/>
        <w:outlineLvl w:val="2"/>
      </w:pPr>
      <w:r w:rsidRPr="00C132F9">
        <w:t>There will undoubtedly be instances when practices have to deal with patients who are difficult, challenging, aggressive and abusive, as well as in some cases, violent.  In order to protect GP’s and practice staff and to allow them to carry out their roles, Commissioners, in collaboration with the wider stakeholders, have developed this guidance.</w:t>
      </w:r>
    </w:p>
    <w:p w14:paraId="53ECD05A" w14:textId="77777777" w:rsidR="00C132F9" w:rsidRPr="00C132F9" w:rsidRDefault="00C132F9" w:rsidP="00C132F9">
      <w:pPr>
        <w:numPr>
          <w:ilvl w:val="2"/>
          <w:numId w:val="2"/>
        </w:numPr>
        <w:spacing w:line="360" w:lineRule="auto"/>
        <w:outlineLvl w:val="2"/>
      </w:pPr>
      <w:r w:rsidRPr="00C132F9">
        <w:t xml:space="preserve">Under the SAS, designated GP practices will provide services to patients by prior appointment and at specific locations and times as detailed in individually agreed contracts. Patients are allocated to SAS following a process of immediate removal as a result of an incident that was reported to the police.  </w:t>
      </w:r>
    </w:p>
    <w:p w14:paraId="3F01F931" w14:textId="0E78CC9B" w:rsidR="00C132F9" w:rsidRPr="00C132F9" w:rsidRDefault="00C132F9" w:rsidP="00C132F9">
      <w:pPr>
        <w:numPr>
          <w:ilvl w:val="2"/>
          <w:numId w:val="2"/>
        </w:numPr>
        <w:spacing w:line="360" w:lineRule="auto"/>
        <w:outlineLvl w:val="2"/>
      </w:pPr>
      <w:r w:rsidRPr="00C132F9">
        <w:t>Where this document refers to NHS England, the Commissioner or Commissioners, this encompasses NHS England local teams that retain commissioning of primary medical services and CCGs with delegated authority.</w:t>
      </w:r>
    </w:p>
    <w:p w14:paraId="49C1A73D" w14:textId="77777777" w:rsidR="00C132F9" w:rsidRPr="00C132F9" w:rsidRDefault="00C132F9" w:rsidP="00C132F9">
      <w:pPr>
        <w:numPr>
          <w:ilvl w:val="2"/>
          <w:numId w:val="2"/>
        </w:numPr>
        <w:spacing w:line="360" w:lineRule="auto"/>
        <w:outlineLvl w:val="2"/>
      </w:pPr>
      <w:r w:rsidRPr="00C132F9">
        <w:t>The purpose of this document is to provide Commissioners with consistent national guidance to support good commissioning of SAS. It aims to provide a steer on the implementation of SAS in practice and how to work with Primary Care Support England (PCSE), which is delivered on behalf of NHS England, by Capita Plc.</w:t>
      </w:r>
    </w:p>
    <w:p w14:paraId="2539B238" w14:textId="77777777" w:rsidR="00C132F9" w:rsidRPr="00C132F9" w:rsidRDefault="00C132F9" w:rsidP="00C132F9">
      <w:pPr>
        <w:numPr>
          <w:ilvl w:val="2"/>
          <w:numId w:val="2"/>
        </w:numPr>
        <w:spacing w:line="360" w:lineRule="auto"/>
        <w:outlineLvl w:val="2"/>
        <w:rPr>
          <w:b/>
        </w:rPr>
      </w:pPr>
      <w:r w:rsidRPr="00C132F9">
        <w:rPr>
          <w:b/>
        </w:rPr>
        <w:t xml:space="preserve">Background to this work </w:t>
      </w:r>
    </w:p>
    <w:p w14:paraId="3176C6C4" w14:textId="77777777" w:rsidR="00C132F9" w:rsidRPr="00C132F9" w:rsidRDefault="00C132F9" w:rsidP="00C132F9">
      <w:pPr>
        <w:numPr>
          <w:ilvl w:val="2"/>
          <w:numId w:val="2"/>
        </w:numPr>
        <w:spacing w:line="360" w:lineRule="auto"/>
        <w:outlineLvl w:val="2"/>
      </w:pPr>
      <w:r w:rsidRPr="00C132F9">
        <w:t>The SAS</w:t>
      </w:r>
      <w:r w:rsidRPr="00C132F9" w:rsidDel="003A7629">
        <w:t xml:space="preserve"> </w:t>
      </w:r>
      <w:r w:rsidRPr="00C132F9">
        <w:t xml:space="preserve">was introduced as a Directed Enhanced Service in 2004 to provide general primary care medical services in a secure environment to patients who meet the criteria for inclusion into the scheme. The SAS cannot be used in any other circumstances without express and prior agreement with NHS England </w:t>
      </w:r>
    </w:p>
    <w:p w14:paraId="34B41E6D" w14:textId="77777777" w:rsidR="00C132F9" w:rsidRPr="00C132F9" w:rsidRDefault="00C132F9" w:rsidP="00C132F9">
      <w:pPr>
        <w:numPr>
          <w:ilvl w:val="2"/>
          <w:numId w:val="2"/>
        </w:numPr>
        <w:spacing w:line="360" w:lineRule="auto"/>
        <w:outlineLvl w:val="2"/>
      </w:pPr>
      <w:r w:rsidRPr="00C132F9">
        <w:t>This SAS</w:t>
      </w:r>
      <w:r w:rsidRPr="00C132F9" w:rsidDel="003A7629">
        <w:t xml:space="preserve"> </w:t>
      </w:r>
      <w:r w:rsidRPr="00C132F9">
        <w:t xml:space="preserve">allows Commissioners to balance the rights of patients to receive services from GPs with the need to ensure that specified persons, including GPs, their staff, patients and others on the premises, deliver and receive those services without actual or threatened violence or other reasonable fear for their safety. </w:t>
      </w:r>
    </w:p>
    <w:p w14:paraId="7D001189" w14:textId="77777777" w:rsidR="00C132F9" w:rsidRPr="00C132F9" w:rsidRDefault="00C132F9" w:rsidP="00C132F9">
      <w:pPr>
        <w:numPr>
          <w:ilvl w:val="2"/>
          <w:numId w:val="2"/>
        </w:numPr>
        <w:spacing w:line="360" w:lineRule="auto"/>
        <w:outlineLvl w:val="2"/>
      </w:pPr>
      <w:r w:rsidRPr="00C132F9">
        <w:t>Removing a patient under the regulations should only be used as a last resort when all other ways of managing the patient’s behaviour have been exhausted.</w:t>
      </w:r>
    </w:p>
    <w:p w14:paraId="06ADC217" w14:textId="77777777" w:rsidR="00C132F9" w:rsidRPr="00C132F9" w:rsidRDefault="00C132F9" w:rsidP="00C132F9">
      <w:pPr>
        <w:numPr>
          <w:ilvl w:val="2"/>
          <w:numId w:val="2"/>
        </w:numPr>
        <w:spacing w:line="360" w:lineRule="auto"/>
        <w:outlineLvl w:val="2"/>
        <w:rPr>
          <w:b/>
        </w:rPr>
      </w:pPr>
      <w:r w:rsidRPr="00C132F9">
        <w:rPr>
          <w:b/>
        </w:rPr>
        <w:t>Context: Rules, Regulations and Existing Arrangements</w:t>
      </w:r>
    </w:p>
    <w:p w14:paraId="52FB8FA5" w14:textId="77777777" w:rsidR="00C132F9" w:rsidRPr="00C132F9" w:rsidRDefault="00C132F9" w:rsidP="00C132F9">
      <w:pPr>
        <w:numPr>
          <w:ilvl w:val="2"/>
          <w:numId w:val="2"/>
        </w:numPr>
        <w:spacing w:line="360" w:lineRule="auto"/>
        <w:outlineLvl w:val="2"/>
        <w:rPr>
          <w:b/>
        </w:rPr>
      </w:pPr>
      <w:r w:rsidRPr="00C132F9">
        <w:rPr>
          <w:b/>
        </w:rPr>
        <w:t>Rules and Regulation</w:t>
      </w:r>
    </w:p>
    <w:p w14:paraId="17C29BFD" w14:textId="77777777" w:rsidR="00C132F9" w:rsidRPr="00C132F9" w:rsidRDefault="00C132F9" w:rsidP="00C132F9">
      <w:pPr>
        <w:numPr>
          <w:ilvl w:val="2"/>
          <w:numId w:val="2"/>
        </w:numPr>
        <w:spacing w:line="360" w:lineRule="auto"/>
        <w:outlineLvl w:val="2"/>
        <w:rPr>
          <w:b/>
        </w:rPr>
      </w:pPr>
      <w:r w:rsidRPr="00C132F9">
        <w:rPr>
          <w:b/>
        </w:rPr>
        <w:t>The GMS / PMS Contract Regulations</w:t>
      </w:r>
    </w:p>
    <w:p w14:paraId="1FE6F3BB" w14:textId="77777777" w:rsidR="00C132F9" w:rsidRPr="00C132F9" w:rsidRDefault="00C132F9" w:rsidP="00C132F9">
      <w:pPr>
        <w:numPr>
          <w:ilvl w:val="2"/>
          <w:numId w:val="2"/>
        </w:numPr>
        <w:spacing w:line="360" w:lineRule="auto"/>
        <w:outlineLvl w:val="2"/>
      </w:pPr>
      <w:r w:rsidRPr="00C132F9">
        <w:t xml:space="preserve">The National Health Service (General Medical Services Contracts) Regulations 2015 </w:t>
      </w:r>
    </w:p>
    <w:p w14:paraId="7A2116F6" w14:textId="215BA414" w:rsidR="00C132F9" w:rsidRPr="00C132F9" w:rsidRDefault="000B57EE" w:rsidP="006C3DF5">
      <w:pPr>
        <w:numPr>
          <w:ilvl w:val="0"/>
          <w:numId w:val="199"/>
        </w:numPr>
        <w:spacing w:before="120" w:after="120" w:line="360" w:lineRule="auto"/>
        <w:ind w:left="714" w:hanging="357"/>
        <w:contextualSpacing/>
      </w:pPr>
      <w:hyperlink r:id="rId93" w:history="1">
        <w:r w:rsidR="00C132F9" w:rsidRPr="00C132F9">
          <w:rPr>
            <w:color w:val="0000FF"/>
            <w:u w:val="single"/>
          </w:rPr>
          <w:t>The National Health Service (General Medical Services Contracts) Regulations 2015</w:t>
        </w:r>
      </w:hyperlink>
      <w:r w:rsidR="00C132F9" w:rsidRPr="00C132F9">
        <w:t xml:space="preserve"> </w:t>
      </w:r>
    </w:p>
    <w:p w14:paraId="627AC6E3" w14:textId="77777777" w:rsidR="00C132F9" w:rsidRPr="00C132F9" w:rsidRDefault="00C132F9" w:rsidP="00C132F9">
      <w:pPr>
        <w:numPr>
          <w:ilvl w:val="2"/>
          <w:numId w:val="2"/>
        </w:numPr>
        <w:spacing w:line="360" w:lineRule="auto"/>
        <w:outlineLvl w:val="2"/>
      </w:pPr>
      <w:r w:rsidRPr="00C132F9">
        <w:t>The National Health Service (Personal Medical Services Agreements) Regulations 2015 - Schedule 2 – Part 2</w:t>
      </w:r>
    </w:p>
    <w:p w14:paraId="176F624B" w14:textId="33A9CEC5" w:rsidR="00C132F9" w:rsidRPr="00C132F9" w:rsidRDefault="000B57EE" w:rsidP="006C3DF5">
      <w:pPr>
        <w:numPr>
          <w:ilvl w:val="0"/>
          <w:numId w:val="199"/>
        </w:numPr>
        <w:spacing w:before="120" w:after="120" w:line="360" w:lineRule="auto"/>
        <w:ind w:left="714" w:hanging="357"/>
        <w:contextualSpacing/>
      </w:pPr>
      <w:hyperlink r:id="rId94" w:history="1">
        <w:r w:rsidR="00C132F9" w:rsidRPr="00C132F9">
          <w:rPr>
            <w:color w:val="0000FF"/>
            <w:u w:val="single"/>
          </w:rPr>
          <w:t>The National Health Service (Personal Medical Services Agreements) Regulations 2015 - Schedule 2 – Part 2</w:t>
        </w:r>
      </w:hyperlink>
    </w:p>
    <w:p w14:paraId="246C728E" w14:textId="77777777" w:rsidR="00C132F9" w:rsidRPr="00C132F9" w:rsidRDefault="00C132F9" w:rsidP="00C132F9">
      <w:pPr>
        <w:numPr>
          <w:ilvl w:val="2"/>
          <w:numId w:val="2"/>
        </w:numPr>
        <w:spacing w:line="360" w:lineRule="auto"/>
        <w:outlineLvl w:val="2"/>
      </w:pPr>
      <w:r w:rsidRPr="00C132F9">
        <w:t xml:space="preserve">The Primary Medical Services (Directed Enhanced Services) Directions (2016) </w:t>
      </w:r>
    </w:p>
    <w:p w14:paraId="79FB7644" w14:textId="6731666E" w:rsidR="00C132F9" w:rsidRPr="00C132F9" w:rsidRDefault="000B57EE" w:rsidP="006C3DF5">
      <w:pPr>
        <w:numPr>
          <w:ilvl w:val="0"/>
          <w:numId w:val="199"/>
        </w:numPr>
        <w:spacing w:before="120" w:after="120" w:line="360" w:lineRule="auto"/>
        <w:ind w:left="714" w:hanging="357"/>
        <w:contextualSpacing/>
      </w:pPr>
      <w:hyperlink r:id="rId95" w:history="1">
        <w:r w:rsidR="00C132F9" w:rsidRPr="00C132F9">
          <w:rPr>
            <w:color w:val="0000FF"/>
            <w:u w:val="single"/>
          </w:rPr>
          <w:t>The Primary Medical Services (Directed Enhanced Services) Directions (2016)</w:t>
        </w:r>
      </w:hyperlink>
      <w:r w:rsidR="00C132F9" w:rsidRPr="00C132F9">
        <w:t xml:space="preserve"> </w:t>
      </w:r>
    </w:p>
    <w:p w14:paraId="6F738760" w14:textId="6C00E91A" w:rsidR="00C132F9" w:rsidRPr="00C132F9" w:rsidRDefault="00C132F9" w:rsidP="00C132F9">
      <w:pPr>
        <w:widowControl w:val="0"/>
        <w:spacing w:before="200" w:after="60" w:line="276" w:lineRule="auto"/>
        <w:jc w:val="both"/>
        <w:rPr>
          <w:bCs w:val="0"/>
          <w:sz w:val="20"/>
          <w:szCs w:val="20"/>
          <w:lang w:eastAsia="en-GB"/>
        </w:rPr>
      </w:pPr>
    </w:p>
    <w:p w14:paraId="3E1D6D41" w14:textId="77777777" w:rsidR="00C132F9" w:rsidRPr="00C132F9" w:rsidRDefault="00C132F9" w:rsidP="00C132F9">
      <w:pPr>
        <w:numPr>
          <w:ilvl w:val="2"/>
          <w:numId w:val="2"/>
        </w:numPr>
        <w:spacing w:line="360" w:lineRule="auto"/>
        <w:outlineLvl w:val="2"/>
        <w:rPr>
          <w:b/>
        </w:rPr>
      </w:pPr>
      <w:r w:rsidRPr="00C132F9">
        <w:rPr>
          <w:b/>
        </w:rPr>
        <w:t>Police Incident Reporting – The Home Office Counting Rules</w:t>
      </w:r>
    </w:p>
    <w:p w14:paraId="4F4362B8" w14:textId="7DC3057B" w:rsidR="00C132F9" w:rsidRPr="00C132F9" w:rsidRDefault="00C132F9" w:rsidP="00C132F9">
      <w:pPr>
        <w:numPr>
          <w:ilvl w:val="2"/>
          <w:numId w:val="2"/>
        </w:numPr>
        <w:spacing w:line="360" w:lineRule="auto"/>
        <w:outlineLvl w:val="2"/>
      </w:pPr>
      <w:r w:rsidRPr="00C132F9">
        <w:rPr>
          <w:rFonts w:eastAsiaTheme="majorEastAsia"/>
        </w:rPr>
        <w:t>Excerpt from the Home Office Counting Rules (HOCR) For Recorded</w:t>
      </w:r>
      <w:r w:rsidRPr="00C132F9">
        <w:t xml:space="preserve"> Crime and from Her Majesty's Inspectorate of Constabulary</w:t>
      </w:r>
    </w:p>
    <w:p w14:paraId="09F5285D" w14:textId="019493AA" w:rsidR="00C132F9" w:rsidRPr="00C132F9" w:rsidRDefault="000B57EE" w:rsidP="006C3DF5">
      <w:pPr>
        <w:numPr>
          <w:ilvl w:val="0"/>
          <w:numId w:val="199"/>
        </w:numPr>
        <w:spacing w:before="120" w:after="120" w:line="360" w:lineRule="auto"/>
        <w:ind w:left="714" w:hanging="357"/>
        <w:contextualSpacing/>
      </w:pPr>
      <w:hyperlink r:id="rId96" w:history="1">
        <w:r w:rsidR="00C132F9" w:rsidRPr="00C132F9">
          <w:rPr>
            <w:rFonts w:eastAsiaTheme="majorEastAsia"/>
            <w:color w:val="0000FF"/>
            <w:u w:val="single"/>
          </w:rPr>
          <w:t>Excerpt from the Home Office Counting Rules (HOCR) For Recorded</w:t>
        </w:r>
        <w:r w:rsidR="00C132F9" w:rsidRPr="00C132F9">
          <w:rPr>
            <w:color w:val="0000FF"/>
            <w:u w:val="single"/>
          </w:rPr>
          <w:t xml:space="preserve"> Crime and from Her Majesty's Inspectorate of Constabulary</w:t>
        </w:r>
      </w:hyperlink>
      <w:r w:rsidR="00C132F9" w:rsidRPr="00C132F9">
        <w:t xml:space="preserve"> </w:t>
      </w:r>
    </w:p>
    <w:p w14:paraId="1D1A31C8" w14:textId="06DC203E" w:rsidR="00C132F9" w:rsidRPr="00C132F9" w:rsidRDefault="00C132F9" w:rsidP="00C132F9">
      <w:pPr>
        <w:widowControl w:val="0"/>
        <w:spacing w:before="200" w:after="60" w:line="276" w:lineRule="auto"/>
        <w:jc w:val="both"/>
        <w:rPr>
          <w:bCs w:val="0"/>
          <w:sz w:val="20"/>
          <w:szCs w:val="20"/>
          <w:lang w:eastAsia="en-GB"/>
        </w:rPr>
      </w:pPr>
    </w:p>
    <w:p w14:paraId="45CDA14C" w14:textId="05D5E697" w:rsidR="00C132F9" w:rsidRPr="00C132F9" w:rsidRDefault="00C132F9" w:rsidP="00C132F9">
      <w:pPr>
        <w:widowControl w:val="0"/>
        <w:spacing w:before="200" w:after="60" w:line="276" w:lineRule="auto"/>
        <w:jc w:val="both"/>
        <w:rPr>
          <w:bCs w:val="0"/>
          <w:sz w:val="20"/>
          <w:szCs w:val="20"/>
          <w:lang w:eastAsia="en-GB"/>
        </w:rPr>
      </w:pPr>
    </w:p>
    <w:p w14:paraId="10F48FC3" w14:textId="77777777" w:rsidR="00C132F9" w:rsidRPr="00C132F9" w:rsidRDefault="00C132F9" w:rsidP="00C132F9">
      <w:pPr>
        <w:numPr>
          <w:ilvl w:val="2"/>
          <w:numId w:val="2"/>
        </w:numPr>
        <w:spacing w:line="360" w:lineRule="auto"/>
        <w:outlineLvl w:val="2"/>
        <w:rPr>
          <w:b/>
        </w:rPr>
      </w:pPr>
      <w:r w:rsidRPr="00C132F9">
        <w:rPr>
          <w:b/>
        </w:rPr>
        <w:t>Existing Arrangements</w:t>
      </w:r>
    </w:p>
    <w:p w14:paraId="113BF7F8" w14:textId="7498EAA4" w:rsidR="00C132F9" w:rsidRPr="00C132F9" w:rsidRDefault="00C132F9" w:rsidP="00C132F9">
      <w:pPr>
        <w:numPr>
          <w:ilvl w:val="2"/>
          <w:numId w:val="2"/>
        </w:numPr>
        <w:spacing w:line="360" w:lineRule="auto"/>
        <w:outlineLvl w:val="2"/>
      </w:pPr>
      <w:r w:rsidRPr="00C132F9">
        <w:t>The administrative arrangements of the existing SA scheme across England have been disparate and varied. This has created challenges when trying to apply the Regulations consistently and the practical application of SAS through a single delivery partner (Primary Care Support England)</w:t>
      </w:r>
    </w:p>
    <w:p w14:paraId="44A4AD8D" w14:textId="77777777" w:rsidR="00C132F9" w:rsidRPr="00C132F9" w:rsidRDefault="00C132F9" w:rsidP="00C132F9">
      <w:pPr>
        <w:numPr>
          <w:ilvl w:val="2"/>
          <w:numId w:val="2"/>
        </w:numPr>
        <w:spacing w:line="360" w:lineRule="auto"/>
        <w:outlineLvl w:val="2"/>
        <w:rPr>
          <w:b/>
        </w:rPr>
      </w:pPr>
      <w:r w:rsidRPr="00C132F9">
        <w:rPr>
          <w:b/>
        </w:rPr>
        <w:t>Particular issues are as follows.</w:t>
      </w:r>
    </w:p>
    <w:p w14:paraId="7CA2C67F" w14:textId="77777777" w:rsidR="00C132F9" w:rsidRPr="00C132F9" w:rsidRDefault="00C132F9" w:rsidP="00C132F9">
      <w:pPr>
        <w:numPr>
          <w:ilvl w:val="2"/>
          <w:numId w:val="2"/>
        </w:numPr>
        <w:spacing w:line="360" w:lineRule="auto"/>
        <w:outlineLvl w:val="2"/>
      </w:pPr>
      <w:r w:rsidRPr="00C132F9">
        <w:t>First, the Regulations provide for immediate removal of a patient from a practice list on a phone call from the practice, yet some SAS require Commissioner intervention of some sort before a removal is actioned.  This is out with the provisions as set out in the Regulations.</w:t>
      </w:r>
    </w:p>
    <w:p w14:paraId="0BA5F2E5" w14:textId="3EAE973C" w:rsidR="00C132F9" w:rsidRPr="00C132F9" w:rsidRDefault="00C132F9" w:rsidP="00C132F9">
      <w:pPr>
        <w:numPr>
          <w:ilvl w:val="2"/>
          <w:numId w:val="2"/>
        </w:numPr>
        <w:spacing w:line="360" w:lineRule="auto"/>
        <w:outlineLvl w:val="2"/>
      </w:pPr>
      <w:r w:rsidRPr="00C132F9">
        <w:t xml:space="preserve">Secondly, the Regulations require a practice to report an incident to the police but do not mandate the acquisition of a police incident number or crime number before a removal is actioned. NHS England’s stakeholders (including GPC) acknowledge that the provision of an incident number (but not a crime number) is a 'reasonable request for information' in accordance with the contract. However, an incident number should not be a prerequisite to the immediate removal of a patient whose behaviour is such that they meet the criteria for removal. </w:t>
      </w:r>
      <w:r w:rsidRPr="00C132F9">
        <w:br w:type="page"/>
      </w:r>
    </w:p>
    <w:p w14:paraId="3FC3307B" w14:textId="77777777" w:rsidR="00C132F9" w:rsidRPr="00C132F9" w:rsidRDefault="00C132F9" w:rsidP="00C132F9"/>
    <w:p w14:paraId="671FBF2A" w14:textId="74F54634" w:rsidR="00C132F9" w:rsidRPr="00C132F9" w:rsidRDefault="00C132F9" w:rsidP="00C132F9">
      <w:pPr>
        <w:numPr>
          <w:ilvl w:val="1"/>
          <w:numId w:val="2"/>
        </w:numPr>
        <w:spacing w:line="360" w:lineRule="auto"/>
        <w:ind w:left="2561"/>
        <w:outlineLvl w:val="1"/>
        <w:rPr>
          <w:rFonts w:cs="Arial"/>
          <w:b/>
          <w:iCs/>
          <w:color w:val="002060"/>
          <w:sz w:val="28"/>
          <w:szCs w:val="24"/>
        </w:rPr>
      </w:pPr>
      <w:bookmarkStart w:id="543" w:name="_Toc95743441"/>
      <w:r w:rsidRPr="00C132F9">
        <w:rPr>
          <w:b/>
          <w:iCs/>
          <w:color w:val="7C2855" w:themeColor="background2"/>
          <w:sz w:val="28"/>
          <w:szCs w:val="28"/>
        </w:rPr>
        <w:t>Commissioning a robust SAS</w:t>
      </w:r>
      <w:bookmarkEnd w:id="543"/>
    </w:p>
    <w:p w14:paraId="6270BD4B" w14:textId="10931DAF" w:rsidR="00C132F9" w:rsidRPr="00C132F9" w:rsidRDefault="000B57EE" w:rsidP="006C3DF5">
      <w:pPr>
        <w:numPr>
          <w:ilvl w:val="0"/>
          <w:numId w:val="120"/>
        </w:numPr>
        <w:contextualSpacing/>
      </w:pPr>
      <w:hyperlink r:id="rId97" w:history="1">
        <w:r w:rsidR="00C132F9" w:rsidRPr="00C132F9">
          <w:rPr>
            <w:color w:val="0000FF"/>
            <w:u w:val="single"/>
          </w:rPr>
          <w:t>Commissioning a robust SAS</w:t>
        </w:r>
      </w:hyperlink>
    </w:p>
    <w:p w14:paraId="4EACA98B" w14:textId="065EB415" w:rsidR="00C132F9" w:rsidRPr="00C132F9" w:rsidRDefault="00C132F9" w:rsidP="00C132F9"/>
    <w:p w14:paraId="3792E191" w14:textId="1F771081" w:rsidR="00C132F9" w:rsidRPr="00C132F9" w:rsidRDefault="00C132F9" w:rsidP="00C132F9">
      <w:pPr>
        <w:rPr>
          <w:b/>
          <w:iCs/>
          <w:color w:val="7C2855" w:themeColor="background2"/>
          <w:sz w:val="28"/>
          <w:szCs w:val="28"/>
          <w:highlight w:val="lightGray"/>
        </w:rPr>
      </w:pPr>
    </w:p>
    <w:p w14:paraId="4EE3B4DB" w14:textId="4D7C609A" w:rsidR="00C132F9" w:rsidRPr="00C132F9" w:rsidRDefault="00C132F9" w:rsidP="00C132F9">
      <w:pPr>
        <w:numPr>
          <w:ilvl w:val="1"/>
          <w:numId w:val="2"/>
        </w:numPr>
        <w:spacing w:line="360" w:lineRule="auto"/>
        <w:ind w:left="2561"/>
        <w:outlineLvl w:val="1"/>
        <w:rPr>
          <w:b/>
          <w:iCs/>
          <w:color w:val="7C2855" w:themeColor="background2"/>
          <w:sz w:val="28"/>
          <w:szCs w:val="28"/>
        </w:rPr>
      </w:pPr>
      <w:bookmarkStart w:id="544" w:name="_Toc95743442"/>
      <w:r w:rsidRPr="00C132F9">
        <w:rPr>
          <w:b/>
          <w:iCs/>
          <w:color w:val="7C2855" w:themeColor="background2"/>
          <w:sz w:val="28"/>
          <w:szCs w:val="28"/>
        </w:rPr>
        <w:t>When to request a removal of this type under the Regulations  (Information on eligibility for Commissioners and Providers)</w:t>
      </w:r>
      <w:bookmarkEnd w:id="544"/>
    </w:p>
    <w:p w14:paraId="317D9285" w14:textId="77777777" w:rsidR="00C132F9" w:rsidRPr="00C132F9" w:rsidRDefault="00C132F9" w:rsidP="00C132F9"/>
    <w:p w14:paraId="109E2461" w14:textId="626E0332" w:rsidR="00C132F9" w:rsidRPr="00C132F9" w:rsidRDefault="00C132F9" w:rsidP="00C132F9">
      <w:pPr>
        <w:numPr>
          <w:ilvl w:val="2"/>
          <w:numId w:val="2"/>
        </w:numPr>
        <w:spacing w:line="360" w:lineRule="auto"/>
        <w:outlineLvl w:val="2"/>
      </w:pPr>
      <w:r w:rsidRPr="00C132F9">
        <w:rPr>
          <w:b/>
        </w:rPr>
        <w:t>It is important that these regulations are not misused or used lightly but that it is</w:t>
      </w:r>
      <w:r w:rsidRPr="00C132F9">
        <w:t xml:space="preserve"> only reserved for those patients who meet the criteria for removal and resulting in an incident being reported to the police, or for patients who are deemed a future safety risk to themselves or others within the primary care setting.  </w:t>
      </w:r>
    </w:p>
    <w:p w14:paraId="1DE66985" w14:textId="77777777" w:rsidR="00C132F9" w:rsidRPr="00C132F9" w:rsidRDefault="00C132F9" w:rsidP="00C132F9">
      <w:pPr>
        <w:numPr>
          <w:ilvl w:val="2"/>
          <w:numId w:val="2"/>
        </w:numPr>
        <w:spacing w:line="360" w:lineRule="auto"/>
        <w:outlineLvl w:val="2"/>
      </w:pPr>
      <w:r w:rsidRPr="00C132F9">
        <w:t>It is not the intention to encourage a situation where patients are immediately removed for comparatively minor offences (e.g. that have not been reported to the police) or for behaviour that could be ascribed to a health condition and which is capable of being alleviated through careful management, care and treatment.</w:t>
      </w:r>
    </w:p>
    <w:p w14:paraId="2B6AC359" w14:textId="35C0E60D" w:rsidR="00C132F9" w:rsidRPr="00C132F9" w:rsidRDefault="00C132F9" w:rsidP="00C132F9">
      <w:pPr>
        <w:numPr>
          <w:ilvl w:val="2"/>
          <w:numId w:val="2"/>
        </w:numPr>
        <w:spacing w:line="360" w:lineRule="auto"/>
        <w:outlineLvl w:val="2"/>
      </w:pPr>
      <w:r w:rsidRPr="00C132F9">
        <w:t>We therefore provide the following comprehensive guidance that outlines circumstances deemed appropriate to remove a patient from the patient list (although this is a guide and not exhaustive) and emphasises the importance of applying this procedure when strictly necessary. The overarching objectives behind a SAS is to ensure any patient removed under the violent patient regulations have access to essential and additional medical services. Also, to communicate behavioural expectations to patients and educate them to behave responsibly wherever possible, while at the same time minimising the risks to the safety of health professionals and others.</w:t>
      </w:r>
    </w:p>
    <w:p w14:paraId="44465B9C" w14:textId="5A35562C" w:rsidR="00C132F9" w:rsidRPr="00C132F9" w:rsidRDefault="00C132F9" w:rsidP="00C132F9"/>
    <w:p w14:paraId="4B37C268" w14:textId="50773502" w:rsidR="00C132F9" w:rsidRPr="00C132F9" w:rsidRDefault="00C132F9" w:rsidP="00C132F9"/>
    <w:p w14:paraId="08396279" w14:textId="20733BA5" w:rsidR="00C132F9" w:rsidRPr="00C132F9" w:rsidRDefault="00C132F9" w:rsidP="00C132F9"/>
    <w:p w14:paraId="7FC3FDFB" w14:textId="4EF73C45" w:rsidR="00C132F9" w:rsidRPr="00C132F9" w:rsidRDefault="00C132F9" w:rsidP="00C132F9"/>
    <w:p w14:paraId="7DD00824" w14:textId="0AC16A8D" w:rsidR="00C132F9" w:rsidRPr="00C132F9" w:rsidRDefault="00C132F9" w:rsidP="00C132F9"/>
    <w:p w14:paraId="39215175" w14:textId="22E1F227" w:rsidR="00C132F9" w:rsidRPr="00C132F9" w:rsidRDefault="00C132F9" w:rsidP="00C132F9"/>
    <w:p w14:paraId="51137485" w14:textId="20FDBCEF" w:rsidR="00C132F9" w:rsidRPr="00C132F9" w:rsidRDefault="00C132F9" w:rsidP="00C132F9"/>
    <w:p w14:paraId="4145DE9D" w14:textId="68AD4BD5" w:rsidR="00C132F9" w:rsidRPr="00C132F9" w:rsidRDefault="00C132F9" w:rsidP="00C132F9"/>
    <w:p w14:paraId="5B43080A" w14:textId="3C240B09" w:rsidR="00C132F9" w:rsidRPr="00C132F9" w:rsidRDefault="00C132F9" w:rsidP="00C132F9"/>
    <w:p w14:paraId="4DC8303C" w14:textId="77777777" w:rsidR="00C132F9" w:rsidRPr="00C132F9" w:rsidRDefault="00C132F9" w:rsidP="00C132F9"/>
    <w:p w14:paraId="2DAA8A4A" w14:textId="77777777" w:rsidR="00C132F9" w:rsidRPr="00C132F9" w:rsidRDefault="00C132F9" w:rsidP="00C132F9"/>
    <w:p w14:paraId="0288090F" w14:textId="77777777" w:rsidR="00C132F9" w:rsidRPr="00C132F9" w:rsidRDefault="00C132F9" w:rsidP="00C132F9"/>
    <w:p w14:paraId="37D04590" w14:textId="77777777" w:rsidR="00C132F9" w:rsidRPr="00C132F9" w:rsidRDefault="00C132F9" w:rsidP="00C132F9"/>
    <w:p w14:paraId="39D4F15E" w14:textId="77777777" w:rsidR="00C132F9" w:rsidRPr="00C132F9" w:rsidRDefault="00C132F9" w:rsidP="00C132F9">
      <w:pPr>
        <w:numPr>
          <w:ilvl w:val="2"/>
          <w:numId w:val="2"/>
        </w:numPr>
        <w:spacing w:line="360" w:lineRule="auto"/>
        <w:outlineLvl w:val="2"/>
        <w:rPr>
          <w:b/>
        </w:rPr>
      </w:pPr>
      <w:r w:rsidRPr="00C132F9">
        <w:rPr>
          <w:b/>
        </w:rPr>
        <w:t>Types of behaviour covered by this guidance?</w:t>
      </w:r>
    </w:p>
    <w:p w14:paraId="393C7A4A" w14:textId="77777777" w:rsidR="00C132F9" w:rsidRPr="00C132F9" w:rsidRDefault="00C132F9" w:rsidP="00C132F9">
      <w:pPr>
        <w:keepNext/>
        <w:keepLines/>
        <w:numPr>
          <w:ilvl w:val="3"/>
          <w:numId w:val="2"/>
        </w:numPr>
        <w:spacing w:before="200" w:line="360" w:lineRule="auto"/>
        <w:outlineLvl w:val="3"/>
        <w:rPr>
          <w:rFonts w:eastAsiaTheme="majorEastAsia" w:cstheme="majorBidi"/>
          <w:bCs w:val="0"/>
          <w:iCs/>
          <w:color w:val="000000" w:themeColor="text1"/>
          <w:lang w:eastAsia="en-GB"/>
        </w:rPr>
      </w:pPr>
      <w:r w:rsidRPr="00C132F9">
        <w:rPr>
          <w:rFonts w:eastAsiaTheme="majorEastAsia" w:cstheme="majorBidi"/>
          <w:bCs w:val="0"/>
          <w:iCs/>
          <w:color w:val="000000" w:themeColor="text1"/>
          <w:lang w:eastAsia="en-GB"/>
        </w:rPr>
        <w:t>The Health Circular 2000/01 defined violence in the primary care context as:</w:t>
      </w:r>
    </w:p>
    <w:p w14:paraId="602C4C3C" w14:textId="77777777" w:rsidR="00C132F9" w:rsidRPr="00C132F9" w:rsidRDefault="00C132F9" w:rsidP="00C132F9">
      <w:pPr>
        <w:keepNext/>
        <w:keepLines/>
        <w:numPr>
          <w:ilvl w:val="3"/>
          <w:numId w:val="2"/>
        </w:numPr>
        <w:spacing w:before="200" w:line="360" w:lineRule="auto"/>
        <w:outlineLvl w:val="3"/>
        <w:rPr>
          <w:rFonts w:eastAsiaTheme="majorEastAsia" w:cstheme="majorBidi"/>
          <w:bCs w:val="0"/>
          <w:iCs/>
          <w:color w:val="000000" w:themeColor="text1"/>
          <w:lang w:eastAsia="en-GB"/>
        </w:rPr>
      </w:pPr>
      <w:r w:rsidRPr="00C132F9">
        <w:rPr>
          <w:rFonts w:eastAsiaTheme="majorEastAsia" w:cstheme="majorBidi"/>
          <w:bCs w:val="0"/>
          <w:i/>
          <w:iCs/>
          <w:color w:val="000000" w:themeColor="text1"/>
          <w:lang w:eastAsia="en-GB"/>
        </w:rPr>
        <w:t>“Any incident where a GP, or his or her staff, are abused, threatened or assaulted in circumstances related to their work, involving an explicit, or implicit, challenge to their safety, wellbeing, or health”</w:t>
      </w:r>
      <w:r w:rsidRPr="00C132F9">
        <w:rPr>
          <w:rFonts w:eastAsiaTheme="majorEastAsia" w:cstheme="majorBidi"/>
          <w:bCs w:val="0"/>
          <w:iCs/>
          <w:color w:val="000000" w:themeColor="text1"/>
          <w:lang w:eastAsia="en-GB"/>
        </w:rPr>
        <w:t>.</w:t>
      </w:r>
    </w:p>
    <w:p w14:paraId="1E759475" w14:textId="21BF1A99" w:rsidR="00C132F9" w:rsidRPr="00C132F9" w:rsidRDefault="00C132F9" w:rsidP="00C132F9">
      <w:pPr>
        <w:keepNext/>
        <w:keepLines/>
        <w:numPr>
          <w:ilvl w:val="3"/>
          <w:numId w:val="2"/>
        </w:numPr>
        <w:spacing w:before="200" w:line="360" w:lineRule="auto"/>
        <w:outlineLvl w:val="3"/>
        <w:rPr>
          <w:rFonts w:eastAsiaTheme="majorEastAsia" w:cstheme="majorBidi"/>
          <w:bCs w:val="0"/>
          <w:iCs/>
          <w:color w:val="000000" w:themeColor="text1"/>
          <w:lang w:eastAsia="en-GB"/>
        </w:rPr>
      </w:pPr>
      <w:r w:rsidRPr="00C132F9">
        <w:rPr>
          <w:rFonts w:eastAsiaTheme="majorEastAsia" w:cstheme="majorBidi"/>
          <w:bCs w:val="0"/>
          <w:iCs/>
          <w:color w:val="000000" w:themeColor="text1"/>
          <w:spacing w:val="-3"/>
          <w:lang w:eastAsia="en-GB"/>
        </w:rPr>
        <w:t>T</w:t>
      </w:r>
      <w:r w:rsidRPr="00C132F9">
        <w:rPr>
          <w:rFonts w:eastAsiaTheme="majorEastAsia" w:cstheme="majorBidi"/>
          <w:bCs w:val="0"/>
          <w:iCs/>
          <w:color w:val="000000" w:themeColor="text1"/>
          <w:spacing w:val="-6"/>
          <w:lang w:eastAsia="en-GB"/>
        </w:rPr>
        <w:t>h</w:t>
      </w:r>
      <w:r w:rsidRPr="00C132F9">
        <w:rPr>
          <w:rFonts w:eastAsiaTheme="majorEastAsia" w:cstheme="majorBidi"/>
          <w:bCs w:val="0"/>
          <w:iCs/>
          <w:color w:val="000000" w:themeColor="text1"/>
          <w:lang w:eastAsia="en-GB"/>
        </w:rPr>
        <w:t>e</w:t>
      </w:r>
      <w:r w:rsidRPr="00C132F9">
        <w:rPr>
          <w:rFonts w:eastAsiaTheme="majorEastAsia" w:cstheme="majorBidi"/>
          <w:bCs w:val="0"/>
          <w:iCs/>
          <w:color w:val="000000" w:themeColor="text1"/>
          <w:spacing w:val="4"/>
          <w:lang w:eastAsia="en-GB"/>
        </w:rPr>
        <w:t xml:space="preserve"> </w:t>
      </w:r>
      <w:r w:rsidRPr="00C132F9">
        <w:rPr>
          <w:rFonts w:eastAsiaTheme="majorEastAsia" w:cstheme="majorBidi"/>
          <w:bCs w:val="0"/>
          <w:iCs/>
          <w:color w:val="000000" w:themeColor="text1"/>
          <w:spacing w:val="8"/>
          <w:lang w:eastAsia="en-GB"/>
        </w:rPr>
        <w:t>m</w:t>
      </w:r>
      <w:r w:rsidRPr="00C132F9">
        <w:rPr>
          <w:rFonts w:eastAsiaTheme="majorEastAsia" w:cstheme="majorBidi"/>
          <w:bCs w:val="0"/>
          <w:iCs/>
          <w:color w:val="000000" w:themeColor="text1"/>
          <w:spacing w:val="-6"/>
          <w:lang w:eastAsia="en-GB"/>
        </w:rPr>
        <w:t>ai</w:t>
      </w:r>
      <w:r w:rsidRPr="00C132F9">
        <w:rPr>
          <w:rFonts w:eastAsiaTheme="majorEastAsia" w:cstheme="majorBidi"/>
          <w:bCs w:val="0"/>
          <w:iCs/>
          <w:color w:val="000000" w:themeColor="text1"/>
          <w:lang w:eastAsia="en-GB"/>
        </w:rPr>
        <w:t>n</w:t>
      </w:r>
      <w:r w:rsidRPr="00C132F9">
        <w:rPr>
          <w:rFonts w:eastAsiaTheme="majorEastAsia" w:cstheme="majorBidi"/>
          <w:bCs w:val="0"/>
          <w:iCs/>
          <w:color w:val="000000" w:themeColor="text1"/>
          <w:spacing w:val="6"/>
          <w:lang w:eastAsia="en-GB"/>
        </w:rPr>
        <w:t xml:space="preserve"> </w:t>
      </w:r>
      <w:r w:rsidRPr="00C132F9">
        <w:rPr>
          <w:rFonts w:eastAsiaTheme="majorEastAsia" w:cstheme="majorBidi"/>
          <w:bCs w:val="0"/>
          <w:iCs/>
          <w:color w:val="000000" w:themeColor="text1"/>
          <w:spacing w:val="-8"/>
          <w:lang w:eastAsia="en-GB"/>
        </w:rPr>
        <w:t>k</w:t>
      </w:r>
      <w:r w:rsidRPr="00C132F9">
        <w:rPr>
          <w:rFonts w:eastAsiaTheme="majorEastAsia" w:cstheme="majorBidi"/>
          <w:bCs w:val="0"/>
          <w:iCs/>
          <w:color w:val="000000" w:themeColor="text1"/>
          <w:spacing w:val="-6"/>
          <w:lang w:eastAsia="en-GB"/>
        </w:rPr>
        <w:t>ind</w:t>
      </w:r>
      <w:r w:rsidRPr="00C132F9">
        <w:rPr>
          <w:rFonts w:eastAsiaTheme="majorEastAsia" w:cstheme="majorBidi"/>
          <w:bCs w:val="0"/>
          <w:iCs/>
          <w:color w:val="000000" w:themeColor="text1"/>
          <w:lang w:eastAsia="en-GB"/>
        </w:rPr>
        <w:t>s</w:t>
      </w:r>
      <w:r w:rsidRPr="00C132F9">
        <w:rPr>
          <w:rFonts w:eastAsiaTheme="majorEastAsia" w:cstheme="majorBidi"/>
          <w:bCs w:val="0"/>
          <w:iCs/>
          <w:color w:val="000000" w:themeColor="text1"/>
          <w:spacing w:val="19"/>
          <w:lang w:eastAsia="en-GB"/>
        </w:rPr>
        <w:t xml:space="preserve"> </w:t>
      </w:r>
      <w:r w:rsidRPr="00C132F9">
        <w:rPr>
          <w:rFonts w:eastAsiaTheme="majorEastAsia" w:cstheme="majorBidi"/>
          <w:bCs w:val="0"/>
          <w:iCs/>
          <w:color w:val="000000" w:themeColor="text1"/>
          <w:spacing w:val="-6"/>
          <w:lang w:eastAsia="en-GB"/>
        </w:rPr>
        <w:t>o</w:t>
      </w:r>
      <w:r w:rsidRPr="00C132F9">
        <w:rPr>
          <w:rFonts w:eastAsiaTheme="majorEastAsia" w:cstheme="majorBidi"/>
          <w:bCs w:val="0"/>
          <w:iCs/>
          <w:color w:val="000000" w:themeColor="text1"/>
          <w:lang w:eastAsia="en-GB"/>
        </w:rPr>
        <w:t>f</w:t>
      </w:r>
      <w:r w:rsidRPr="00C132F9">
        <w:rPr>
          <w:rFonts w:eastAsiaTheme="majorEastAsia" w:cstheme="majorBidi"/>
          <w:bCs w:val="0"/>
          <w:iCs/>
          <w:color w:val="000000" w:themeColor="text1"/>
          <w:spacing w:val="7"/>
          <w:lang w:eastAsia="en-GB"/>
        </w:rPr>
        <w:t xml:space="preserve"> </w:t>
      </w:r>
      <w:r w:rsidRPr="00C132F9">
        <w:rPr>
          <w:rFonts w:eastAsiaTheme="majorEastAsia" w:cstheme="majorBidi"/>
          <w:bCs w:val="0"/>
          <w:iCs/>
          <w:color w:val="000000" w:themeColor="text1"/>
          <w:spacing w:val="-6"/>
          <w:lang w:eastAsia="en-GB"/>
        </w:rPr>
        <w:t>beha</w:t>
      </w:r>
      <w:r w:rsidRPr="00C132F9">
        <w:rPr>
          <w:rFonts w:eastAsiaTheme="majorEastAsia" w:cstheme="majorBidi"/>
          <w:bCs w:val="0"/>
          <w:iCs/>
          <w:color w:val="000000" w:themeColor="text1"/>
          <w:spacing w:val="-8"/>
          <w:lang w:eastAsia="en-GB"/>
        </w:rPr>
        <w:t>v</w:t>
      </w:r>
      <w:r w:rsidRPr="00C132F9">
        <w:rPr>
          <w:rFonts w:eastAsiaTheme="majorEastAsia" w:cstheme="majorBidi"/>
          <w:bCs w:val="0"/>
          <w:iCs/>
          <w:color w:val="000000" w:themeColor="text1"/>
          <w:spacing w:val="-6"/>
          <w:lang w:eastAsia="en-GB"/>
        </w:rPr>
        <w:t>iou</w:t>
      </w:r>
      <w:r w:rsidRPr="00C132F9">
        <w:rPr>
          <w:rFonts w:eastAsiaTheme="majorEastAsia" w:cstheme="majorBidi"/>
          <w:bCs w:val="0"/>
          <w:iCs/>
          <w:color w:val="000000" w:themeColor="text1"/>
          <w:lang w:eastAsia="en-GB"/>
        </w:rPr>
        <w:t>r</w:t>
      </w:r>
      <w:r w:rsidRPr="00C132F9">
        <w:rPr>
          <w:rFonts w:eastAsiaTheme="majorEastAsia" w:cstheme="majorBidi"/>
          <w:bCs w:val="0"/>
          <w:iCs/>
          <w:color w:val="000000" w:themeColor="text1"/>
          <w:spacing w:val="10"/>
          <w:lang w:eastAsia="en-GB"/>
        </w:rPr>
        <w:t xml:space="preserve"> </w:t>
      </w:r>
      <w:r w:rsidRPr="00C132F9">
        <w:rPr>
          <w:rFonts w:eastAsiaTheme="majorEastAsia" w:cstheme="majorBidi"/>
          <w:bCs w:val="0"/>
          <w:iCs/>
          <w:color w:val="000000" w:themeColor="text1"/>
          <w:spacing w:val="2"/>
          <w:lang w:eastAsia="en-GB"/>
        </w:rPr>
        <w:t>w</w:t>
      </w:r>
      <w:r w:rsidRPr="00C132F9">
        <w:rPr>
          <w:rFonts w:eastAsiaTheme="majorEastAsia" w:cstheme="majorBidi"/>
          <w:bCs w:val="0"/>
          <w:iCs/>
          <w:color w:val="000000" w:themeColor="text1"/>
          <w:spacing w:val="-6"/>
          <w:lang w:eastAsia="en-GB"/>
        </w:rPr>
        <w:t>hi</w:t>
      </w:r>
      <w:r w:rsidRPr="00C132F9">
        <w:rPr>
          <w:rFonts w:eastAsiaTheme="majorEastAsia" w:cstheme="majorBidi"/>
          <w:bCs w:val="0"/>
          <w:iCs/>
          <w:color w:val="000000" w:themeColor="text1"/>
          <w:spacing w:val="7"/>
          <w:lang w:eastAsia="en-GB"/>
        </w:rPr>
        <w:t>c</w:t>
      </w:r>
      <w:r w:rsidRPr="00C132F9">
        <w:rPr>
          <w:rFonts w:eastAsiaTheme="majorEastAsia" w:cstheme="majorBidi"/>
          <w:bCs w:val="0"/>
          <w:iCs/>
          <w:color w:val="000000" w:themeColor="text1"/>
          <w:lang w:eastAsia="en-GB"/>
        </w:rPr>
        <w:t>h</w:t>
      </w:r>
      <w:r w:rsidRPr="00C132F9">
        <w:rPr>
          <w:rFonts w:eastAsiaTheme="majorEastAsia" w:cstheme="majorBidi"/>
          <w:bCs w:val="0"/>
          <w:iCs/>
          <w:color w:val="000000" w:themeColor="text1"/>
          <w:spacing w:val="4"/>
          <w:lang w:eastAsia="en-GB"/>
        </w:rPr>
        <w:t xml:space="preserve"> are considered to </w:t>
      </w:r>
      <w:r w:rsidRPr="00C132F9">
        <w:rPr>
          <w:rFonts w:eastAsiaTheme="majorEastAsia" w:cstheme="majorBidi"/>
          <w:bCs w:val="0"/>
          <w:iCs/>
          <w:color w:val="000000" w:themeColor="text1"/>
          <w:spacing w:val="-6"/>
          <w:lang w:eastAsia="en-GB"/>
        </w:rPr>
        <w:t>b</w:t>
      </w:r>
      <w:r w:rsidRPr="00C132F9">
        <w:rPr>
          <w:rFonts w:eastAsiaTheme="majorEastAsia" w:cstheme="majorBidi"/>
          <w:bCs w:val="0"/>
          <w:iCs/>
          <w:color w:val="000000" w:themeColor="text1"/>
          <w:lang w:eastAsia="en-GB"/>
        </w:rPr>
        <w:t>r</w:t>
      </w:r>
      <w:r w:rsidRPr="00C132F9">
        <w:rPr>
          <w:rFonts w:eastAsiaTheme="majorEastAsia" w:cstheme="majorBidi"/>
          <w:bCs w:val="0"/>
          <w:iCs/>
          <w:color w:val="000000" w:themeColor="text1"/>
          <w:spacing w:val="-6"/>
          <w:lang w:eastAsia="en-GB"/>
        </w:rPr>
        <w:t>in</w:t>
      </w:r>
      <w:r w:rsidRPr="00C132F9">
        <w:rPr>
          <w:rFonts w:eastAsiaTheme="majorEastAsia" w:cstheme="majorBidi"/>
          <w:bCs w:val="0"/>
          <w:iCs/>
          <w:color w:val="000000" w:themeColor="text1"/>
          <w:lang w:eastAsia="en-GB"/>
        </w:rPr>
        <w:t xml:space="preserve">g </w:t>
      </w:r>
      <w:r w:rsidRPr="00C132F9">
        <w:rPr>
          <w:rFonts w:eastAsiaTheme="majorEastAsia" w:cstheme="majorBidi"/>
          <w:bCs w:val="0"/>
          <w:iCs/>
          <w:color w:val="000000" w:themeColor="text1"/>
          <w:spacing w:val="4"/>
          <w:lang w:eastAsia="en-GB"/>
        </w:rPr>
        <w:t>a</w:t>
      </w:r>
      <w:r w:rsidRPr="00C132F9">
        <w:rPr>
          <w:rFonts w:eastAsiaTheme="majorEastAsia" w:cstheme="majorBidi"/>
          <w:bCs w:val="0"/>
          <w:iCs/>
          <w:color w:val="000000" w:themeColor="text1"/>
          <w:spacing w:val="54"/>
          <w:lang w:eastAsia="en-GB"/>
        </w:rPr>
        <w:t xml:space="preserve"> </w:t>
      </w:r>
      <w:r w:rsidRPr="00C132F9">
        <w:rPr>
          <w:rFonts w:eastAsiaTheme="majorEastAsia" w:cstheme="majorBidi"/>
          <w:bCs w:val="0"/>
          <w:iCs/>
          <w:color w:val="000000" w:themeColor="text1"/>
          <w:spacing w:val="-6"/>
          <w:lang w:eastAsia="en-GB"/>
        </w:rPr>
        <w:t>pa</w:t>
      </w:r>
      <w:r w:rsidRPr="00C132F9">
        <w:rPr>
          <w:rFonts w:eastAsiaTheme="majorEastAsia" w:cstheme="majorBidi"/>
          <w:bCs w:val="0"/>
          <w:iCs/>
          <w:color w:val="000000" w:themeColor="text1"/>
          <w:spacing w:val="-3"/>
          <w:lang w:eastAsia="en-GB"/>
        </w:rPr>
        <w:t>t</w:t>
      </w:r>
      <w:r w:rsidRPr="00C132F9">
        <w:rPr>
          <w:rFonts w:eastAsiaTheme="majorEastAsia" w:cstheme="majorBidi"/>
          <w:bCs w:val="0"/>
          <w:iCs/>
          <w:color w:val="000000" w:themeColor="text1"/>
          <w:spacing w:val="-6"/>
          <w:lang w:eastAsia="en-GB"/>
        </w:rPr>
        <w:t>ien</w:t>
      </w:r>
      <w:r w:rsidRPr="00C132F9">
        <w:rPr>
          <w:rFonts w:eastAsiaTheme="majorEastAsia" w:cstheme="majorBidi"/>
          <w:bCs w:val="0"/>
          <w:iCs/>
          <w:color w:val="000000" w:themeColor="text1"/>
          <w:lang w:eastAsia="en-GB"/>
        </w:rPr>
        <w:t>t</w:t>
      </w:r>
      <w:r w:rsidRPr="00C132F9">
        <w:rPr>
          <w:rFonts w:eastAsiaTheme="majorEastAsia" w:cstheme="majorBidi"/>
          <w:bCs w:val="0"/>
          <w:iCs/>
          <w:color w:val="000000" w:themeColor="text1"/>
          <w:spacing w:val="58"/>
          <w:lang w:eastAsia="en-GB"/>
        </w:rPr>
        <w:t xml:space="preserve"> </w:t>
      </w:r>
      <w:r w:rsidRPr="00C132F9">
        <w:rPr>
          <w:rFonts w:eastAsiaTheme="majorEastAsia" w:cstheme="majorBidi"/>
          <w:bCs w:val="0"/>
          <w:iCs/>
          <w:color w:val="000000" w:themeColor="text1"/>
          <w:spacing w:val="2"/>
          <w:lang w:eastAsia="en-GB"/>
        </w:rPr>
        <w:t>w</w:t>
      </w:r>
      <w:r w:rsidRPr="00C132F9">
        <w:rPr>
          <w:rFonts w:eastAsiaTheme="majorEastAsia" w:cstheme="majorBidi"/>
          <w:bCs w:val="0"/>
          <w:iCs/>
          <w:color w:val="000000" w:themeColor="text1"/>
          <w:spacing w:val="-6"/>
          <w:lang w:eastAsia="en-GB"/>
        </w:rPr>
        <w:t>i</w:t>
      </w:r>
      <w:r w:rsidRPr="00C132F9">
        <w:rPr>
          <w:rFonts w:eastAsiaTheme="majorEastAsia" w:cstheme="majorBidi"/>
          <w:bCs w:val="0"/>
          <w:iCs/>
          <w:color w:val="000000" w:themeColor="text1"/>
          <w:spacing w:val="-3"/>
          <w:lang w:eastAsia="en-GB"/>
        </w:rPr>
        <w:t>t</w:t>
      </w:r>
      <w:r w:rsidRPr="00C132F9">
        <w:rPr>
          <w:rFonts w:eastAsiaTheme="majorEastAsia" w:cstheme="majorBidi"/>
          <w:bCs w:val="0"/>
          <w:iCs/>
          <w:color w:val="000000" w:themeColor="text1"/>
          <w:spacing w:val="-6"/>
          <w:lang w:eastAsia="en-GB"/>
        </w:rPr>
        <w:t>hi</w:t>
      </w:r>
      <w:r w:rsidRPr="00C132F9">
        <w:rPr>
          <w:rFonts w:eastAsiaTheme="majorEastAsia" w:cstheme="majorBidi"/>
          <w:bCs w:val="0"/>
          <w:iCs/>
          <w:color w:val="000000" w:themeColor="text1"/>
          <w:lang w:eastAsia="en-GB"/>
        </w:rPr>
        <w:t>n</w:t>
      </w:r>
      <w:r w:rsidRPr="00C132F9">
        <w:rPr>
          <w:rFonts w:eastAsiaTheme="majorEastAsia" w:cstheme="majorBidi"/>
          <w:bCs w:val="0"/>
          <w:iCs/>
          <w:color w:val="000000" w:themeColor="text1"/>
          <w:spacing w:val="55"/>
          <w:lang w:eastAsia="en-GB"/>
        </w:rPr>
        <w:t xml:space="preserve"> </w:t>
      </w:r>
      <w:r w:rsidRPr="00C132F9">
        <w:rPr>
          <w:rFonts w:eastAsiaTheme="majorEastAsia" w:cstheme="majorBidi"/>
          <w:bCs w:val="0"/>
          <w:iCs/>
          <w:color w:val="000000" w:themeColor="text1"/>
          <w:spacing w:val="-3"/>
          <w:lang w:eastAsia="en-GB"/>
        </w:rPr>
        <w:t>t</w:t>
      </w:r>
      <w:r w:rsidRPr="00C132F9">
        <w:rPr>
          <w:rFonts w:eastAsiaTheme="majorEastAsia" w:cstheme="majorBidi"/>
          <w:bCs w:val="0"/>
          <w:iCs/>
          <w:color w:val="000000" w:themeColor="text1"/>
          <w:spacing w:val="-6"/>
          <w:lang w:eastAsia="en-GB"/>
        </w:rPr>
        <w:t>h</w:t>
      </w:r>
      <w:r w:rsidRPr="00C132F9">
        <w:rPr>
          <w:rFonts w:eastAsiaTheme="majorEastAsia" w:cstheme="majorBidi"/>
          <w:bCs w:val="0"/>
          <w:iCs/>
          <w:color w:val="000000" w:themeColor="text1"/>
          <w:lang w:eastAsia="en-GB"/>
        </w:rPr>
        <w:t xml:space="preserve">e regulations covered by this guidance </w:t>
      </w:r>
      <w:r w:rsidRPr="00C132F9">
        <w:rPr>
          <w:rFonts w:eastAsiaTheme="majorEastAsia" w:cstheme="majorBidi"/>
          <w:bCs w:val="0"/>
          <w:iCs/>
          <w:color w:val="000000" w:themeColor="text1"/>
          <w:spacing w:val="-6"/>
          <w:lang w:eastAsia="en-GB"/>
        </w:rPr>
        <w:t>a</w:t>
      </w:r>
      <w:r w:rsidRPr="00C132F9">
        <w:rPr>
          <w:rFonts w:eastAsiaTheme="majorEastAsia" w:cstheme="majorBidi"/>
          <w:bCs w:val="0"/>
          <w:iCs/>
          <w:color w:val="000000" w:themeColor="text1"/>
          <w:lang w:eastAsia="en-GB"/>
        </w:rPr>
        <w:t>r</w:t>
      </w:r>
      <w:r w:rsidRPr="00C132F9">
        <w:rPr>
          <w:rFonts w:eastAsiaTheme="majorEastAsia" w:cstheme="majorBidi"/>
          <w:bCs w:val="0"/>
          <w:iCs/>
          <w:color w:val="000000" w:themeColor="text1"/>
          <w:spacing w:val="-6"/>
          <w:lang w:eastAsia="en-GB"/>
        </w:rPr>
        <w:t>e (the</w:t>
      </w:r>
      <w:r w:rsidRPr="00C132F9">
        <w:rPr>
          <w:rFonts w:eastAsiaTheme="majorEastAsia" w:cstheme="majorBidi"/>
          <w:bCs w:val="0"/>
          <w:iCs/>
          <w:color w:val="000000" w:themeColor="text1"/>
          <w:spacing w:val="7"/>
          <w:lang w:eastAsia="en-GB"/>
        </w:rPr>
        <w:t>s</w:t>
      </w:r>
      <w:r w:rsidRPr="00C132F9">
        <w:rPr>
          <w:rFonts w:eastAsiaTheme="majorEastAsia" w:cstheme="majorBidi"/>
          <w:bCs w:val="0"/>
          <w:iCs/>
          <w:color w:val="000000" w:themeColor="text1"/>
          <w:lang w:eastAsia="en-GB"/>
        </w:rPr>
        <w:t>e</w:t>
      </w:r>
      <w:r w:rsidRPr="00C132F9">
        <w:rPr>
          <w:rFonts w:eastAsiaTheme="majorEastAsia" w:cstheme="majorBidi"/>
          <w:bCs w:val="0"/>
          <w:iCs/>
          <w:color w:val="000000" w:themeColor="text1"/>
          <w:spacing w:val="39"/>
          <w:lang w:eastAsia="en-GB"/>
        </w:rPr>
        <w:t xml:space="preserve"> </w:t>
      </w:r>
      <w:r w:rsidRPr="00C132F9">
        <w:rPr>
          <w:rFonts w:eastAsiaTheme="majorEastAsia" w:cstheme="majorBidi"/>
          <w:bCs w:val="0"/>
          <w:iCs/>
          <w:color w:val="000000" w:themeColor="text1"/>
          <w:spacing w:val="-6"/>
          <w:lang w:eastAsia="en-GB"/>
        </w:rPr>
        <w:t>a</w:t>
      </w:r>
      <w:r w:rsidRPr="00C132F9">
        <w:rPr>
          <w:rFonts w:eastAsiaTheme="majorEastAsia" w:cstheme="majorBidi"/>
          <w:bCs w:val="0"/>
          <w:iCs/>
          <w:color w:val="000000" w:themeColor="text1"/>
          <w:lang w:eastAsia="en-GB"/>
        </w:rPr>
        <w:t>re</w:t>
      </w:r>
      <w:r w:rsidRPr="00C132F9">
        <w:rPr>
          <w:rFonts w:eastAsiaTheme="majorEastAsia" w:cstheme="majorBidi"/>
          <w:bCs w:val="0"/>
          <w:iCs/>
          <w:color w:val="000000" w:themeColor="text1"/>
          <w:spacing w:val="40"/>
          <w:lang w:eastAsia="en-GB"/>
        </w:rPr>
        <w:t xml:space="preserve"> </w:t>
      </w:r>
      <w:r w:rsidRPr="00C132F9">
        <w:rPr>
          <w:rFonts w:eastAsiaTheme="majorEastAsia" w:cstheme="majorBidi"/>
          <w:bCs w:val="0"/>
          <w:iCs/>
          <w:color w:val="000000" w:themeColor="text1"/>
          <w:spacing w:val="-6"/>
          <w:lang w:eastAsia="en-GB"/>
        </w:rPr>
        <w:t>onl</w:t>
      </w:r>
      <w:r w:rsidRPr="00C132F9">
        <w:rPr>
          <w:rFonts w:eastAsiaTheme="majorEastAsia" w:cstheme="majorBidi"/>
          <w:bCs w:val="0"/>
          <w:iCs/>
          <w:color w:val="000000" w:themeColor="text1"/>
          <w:lang w:eastAsia="en-GB"/>
        </w:rPr>
        <w:t>y</w:t>
      </w:r>
      <w:r w:rsidRPr="00C132F9">
        <w:rPr>
          <w:rFonts w:eastAsiaTheme="majorEastAsia" w:cstheme="majorBidi"/>
          <w:bCs w:val="0"/>
          <w:iCs/>
          <w:color w:val="000000" w:themeColor="text1"/>
          <w:spacing w:val="36"/>
          <w:lang w:eastAsia="en-GB"/>
        </w:rPr>
        <w:t xml:space="preserve"> </w:t>
      </w:r>
      <w:r w:rsidRPr="00C132F9">
        <w:rPr>
          <w:rFonts w:eastAsiaTheme="majorEastAsia" w:cstheme="majorBidi"/>
          <w:bCs w:val="0"/>
          <w:iCs/>
          <w:color w:val="000000" w:themeColor="text1"/>
          <w:spacing w:val="-6"/>
          <w:lang w:eastAsia="en-GB"/>
        </w:rPr>
        <w:t>in</w:t>
      </w:r>
      <w:r w:rsidRPr="00C132F9">
        <w:rPr>
          <w:rFonts w:eastAsiaTheme="majorEastAsia" w:cstheme="majorBidi"/>
          <w:bCs w:val="0"/>
          <w:iCs/>
          <w:color w:val="000000" w:themeColor="text1"/>
          <w:spacing w:val="-3"/>
          <w:lang w:eastAsia="en-GB"/>
        </w:rPr>
        <w:t>t</w:t>
      </w:r>
      <w:r w:rsidRPr="00C132F9">
        <w:rPr>
          <w:rFonts w:eastAsiaTheme="majorEastAsia" w:cstheme="majorBidi"/>
          <w:bCs w:val="0"/>
          <w:iCs/>
          <w:color w:val="000000" w:themeColor="text1"/>
          <w:spacing w:val="-6"/>
          <w:lang w:eastAsia="en-GB"/>
        </w:rPr>
        <w:t>ende</w:t>
      </w:r>
      <w:r w:rsidRPr="00C132F9">
        <w:rPr>
          <w:rFonts w:eastAsiaTheme="majorEastAsia" w:cstheme="majorBidi"/>
          <w:bCs w:val="0"/>
          <w:iCs/>
          <w:color w:val="000000" w:themeColor="text1"/>
          <w:lang w:eastAsia="en-GB"/>
        </w:rPr>
        <w:t>d</w:t>
      </w:r>
      <w:r w:rsidRPr="00C132F9">
        <w:rPr>
          <w:rFonts w:eastAsiaTheme="majorEastAsia" w:cstheme="majorBidi"/>
          <w:bCs w:val="0"/>
          <w:iCs/>
          <w:color w:val="000000" w:themeColor="text1"/>
          <w:spacing w:val="39"/>
          <w:lang w:eastAsia="en-GB"/>
        </w:rPr>
        <w:t xml:space="preserve"> </w:t>
      </w:r>
      <w:r w:rsidRPr="00C132F9">
        <w:rPr>
          <w:rFonts w:eastAsiaTheme="majorEastAsia" w:cstheme="majorBidi"/>
          <w:bCs w:val="0"/>
          <w:iCs/>
          <w:color w:val="000000" w:themeColor="text1"/>
          <w:spacing w:val="-3"/>
          <w:lang w:eastAsia="en-GB"/>
        </w:rPr>
        <w:t>t</w:t>
      </w:r>
      <w:r w:rsidRPr="00C132F9">
        <w:rPr>
          <w:rFonts w:eastAsiaTheme="majorEastAsia" w:cstheme="majorBidi"/>
          <w:bCs w:val="0"/>
          <w:iCs/>
          <w:color w:val="000000" w:themeColor="text1"/>
          <w:lang w:eastAsia="en-GB"/>
        </w:rPr>
        <w:t>o</w:t>
      </w:r>
      <w:r w:rsidRPr="00C132F9">
        <w:rPr>
          <w:rFonts w:eastAsiaTheme="majorEastAsia" w:cstheme="majorBidi"/>
          <w:bCs w:val="0"/>
          <w:iCs/>
          <w:color w:val="000000" w:themeColor="text1"/>
          <w:spacing w:val="39"/>
          <w:lang w:eastAsia="en-GB"/>
        </w:rPr>
        <w:t xml:space="preserve"> </w:t>
      </w:r>
      <w:r w:rsidRPr="00C132F9">
        <w:rPr>
          <w:rFonts w:eastAsiaTheme="majorEastAsia" w:cstheme="majorBidi"/>
          <w:bCs w:val="0"/>
          <w:iCs/>
          <w:color w:val="000000" w:themeColor="text1"/>
          <w:spacing w:val="-6"/>
          <w:lang w:eastAsia="en-GB"/>
        </w:rPr>
        <w:t>b</w:t>
      </w:r>
      <w:r w:rsidRPr="00C132F9">
        <w:rPr>
          <w:rFonts w:eastAsiaTheme="majorEastAsia" w:cstheme="majorBidi"/>
          <w:bCs w:val="0"/>
          <w:iCs/>
          <w:color w:val="000000" w:themeColor="text1"/>
          <w:lang w:eastAsia="en-GB"/>
        </w:rPr>
        <w:t>e</w:t>
      </w:r>
      <w:r w:rsidRPr="00C132F9">
        <w:rPr>
          <w:rFonts w:eastAsiaTheme="majorEastAsia" w:cstheme="majorBidi"/>
          <w:bCs w:val="0"/>
          <w:iCs/>
          <w:color w:val="000000" w:themeColor="text1"/>
          <w:spacing w:val="39"/>
          <w:lang w:eastAsia="en-GB"/>
        </w:rPr>
        <w:t xml:space="preserve"> </w:t>
      </w:r>
      <w:r w:rsidRPr="00C132F9">
        <w:rPr>
          <w:rFonts w:eastAsiaTheme="majorEastAsia" w:cstheme="majorBidi"/>
          <w:bCs w:val="0"/>
          <w:iCs/>
          <w:color w:val="000000" w:themeColor="text1"/>
          <w:spacing w:val="-6"/>
          <w:lang w:eastAsia="en-GB"/>
        </w:rPr>
        <w:t>u</w:t>
      </w:r>
      <w:r w:rsidRPr="00C132F9">
        <w:rPr>
          <w:rFonts w:eastAsiaTheme="majorEastAsia" w:cstheme="majorBidi"/>
          <w:bCs w:val="0"/>
          <w:iCs/>
          <w:color w:val="000000" w:themeColor="text1"/>
          <w:spacing w:val="7"/>
          <w:lang w:eastAsia="en-GB"/>
        </w:rPr>
        <w:t>s</w:t>
      </w:r>
      <w:r w:rsidRPr="00C132F9">
        <w:rPr>
          <w:rFonts w:eastAsiaTheme="majorEastAsia" w:cstheme="majorBidi"/>
          <w:bCs w:val="0"/>
          <w:iCs/>
          <w:color w:val="000000" w:themeColor="text1"/>
          <w:spacing w:val="-6"/>
          <w:lang w:eastAsia="en-GB"/>
        </w:rPr>
        <w:t>e</w:t>
      </w:r>
      <w:r w:rsidRPr="00C132F9">
        <w:rPr>
          <w:rFonts w:eastAsiaTheme="majorEastAsia" w:cstheme="majorBidi"/>
          <w:bCs w:val="0"/>
          <w:iCs/>
          <w:color w:val="000000" w:themeColor="text1"/>
          <w:lang w:eastAsia="en-GB"/>
        </w:rPr>
        <w:t>d</w:t>
      </w:r>
      <w:r w:rsidRPr="00C132F9">
        <w:rPr>
          <w:rFonts w:eastAsiaTheme="majorEastAsia" w:cstheme="majorBidi"/>
          <w:bCs w:val="0"/>
          <w:iCs/>
          <w:color w:val="000000" w:themeColor="text1"/>
          <w:spacing w:val="38"/>
          <w:lang w:eastAsia="en-GB"/>
        </w:rPr>
        <w:t xml:space="preserve"> </w:t>
      </w:r>
      <w:r w:rsidRPr="00C132F9">
        <w:rPr>
          <w:rFonts w:eastAsiaTheme="majorEastAsia" w:cstheme="majorBidi"/>
          <w:bCs w:val="0"/>
          <w:iCs/>
          <w:color w:val="000000" w:themeColor="text1"/>
          <w:spacing w:val="-6"/>
          <w:lang w:eastAsia="en-GB"/>
        </w:rPr>
        <w:t>a</w:t>
      </w:r>
      <w:r w:rsidRPr="00C132F9">
        <w:rPr>
          <w:rFonts w:eastAsiaTheme="majorEastAsia" w:cstheme="majorBidi"/>
          <w:bCs w:val="0"/>
          <w:iCs/>
          <w:color w:val="000000" w:themeColor="text1"/>
          <w:lang w:eastAsia="en-GB"/>
        </w:rPr>
        <w:t>s</w:t>
      </w:r>
      <w:r w:rsidRPr="00C132F9">
        <w:rPr>
          <w:rFonts w:eastAsiaTheme="majorEastAsia" w:cstheme="majorBidi"/>
          <w:bCs w:val="0"/>
          <w:iCs/>
          <w:color w:val="000000" w:themeColor="text1"/>
          <w:spacing w:val="53"/>
          <w:lang w:eastAsia="en-GB"/>
        </w:rPr>
        <w:t xml:space="preserve"> </w:t>
      </w:r>
      <w:r w:rsidRPr="00C132F9">
        <w:rPr>
          <w:rFonts w:eastAsiaTheme="majorEastAsia" w:cstheme="majorBidi"/>
          <w:bCs w:val="0"/>
          <w:iCs/>
          <w:color w:val="000000" w:themeColor="text1"/>
          <w:lang w:eastAsia="en-GB"/>
        </w:rPr>
        <w:t>a</w:t>
      </w:r>
      <w:r w:rsidRPr="00C132F9">
        <w:rPr>
          <w:rFonts w:eastAsiaTheme="majorEastAsia" w:cstheme="majorBidi"/>
          <w:bCs w:val="0"/>
          <w:iCs/>
          <w:color w:val="000000" w:themeColor="text1"/>
          <w:spacing w:val="39"/>
          <w:lang w:eastAsia="en-GB"/>
        </w:rPr>
        <w:t xml:space="preserve"> </w:t>
      </w:r>
      <w:r w:rsidRPr="00C132F9">
        <w:rPr>
          <w:rFonts w:eastAsiaTheme="majorEastAsia" w:cstheme="majorBidi"/>
          <w:bCs w:val="0"/>
          <w:iCs/>
          <w:color w:val="000000" w:themeColor="text1"/>
          <w:spacing w:val="-6"/>
          <w:lang w:eastAsia="en-GB"/>
        </w:rPr>
        <w:t>guid</w:t>
      </w:r>
      <w:r w:rsidRPr="00C132F9">
        <w:rPr>
          <w:rFonts w:eastAsiaTheme="majorEastAsia" w:cstheme="majorBidi"/>
          <w:bCs w:val="0"/>
          <w:iCs/>
          <w:color w:val="000000" w:themeColor="text1"/>
          <w:lang w:eastAsia="en-GB"/>
        </w:rPr>
        <w:t>e</w:t>
      </w:r>
      <w:r w:rsidRPr="00C132F9">
        <w:rPr>
          <w:rFonts w:eastAsiaTheme="majorEastAsia" w:cstheme="majorBidi"/>
          <w:bCs w:val="0"/>
          <w:iCs/>
          <w:color w:val="000000" w:themeColor="text1"/>
          <w:spacing w:val="38"/>
          <w:lang w:eastAsia="en-GB"/>
        </w:rPr>
        <w:t xml:space="preserve"> </w:t>
      </w:r>
      <w:r w:rsidRPr="00C132F9">
        <w:rPr>
          <w:rFonts w:eastAsiaTheme="majorEastAsia" w:cstheme="majorBidi"/>
          <w:bCs w:val="0"/>
          <w:iCs/>
          <w:color w:val="000000" w:themeColor="text1"/>
          <w:spacing w:val="-6"/>
          <w:lang w:eastAsia="en-GB"/>
        </w:rPr>
        <w:t>an</w:t>
      </w:r>
      <w:r w:rsidRPr="00C132F9">
        <w:rPr>
          <w:rFonts w:eastAsiaTheme="majorEastAsia" w:cstheme="majorBidi"/>
          <w:bCs w:val="0"/>
          <w:iCs/>
          <w:color w:val="000000" w:themeColor="text1"/>
          <w:lang w:eastAsia="en-GB"/>
        </w:rPr>
        <w:t xml:space="preserve">d </w:t>
      </w:r>
      <w:r w:rsidRPr="00C132F9">
        <w:rPr>
          <w:rFonts w:eastAsiaTheme="majorEastAsia" w:cstheme="majorBidi"/>
          <w:bCs w:val="0"/>
          <w:iCs/>
          <w:color w:val="000000" w:themeColor="text1"/>
          <w:spacing w:val="-3"/>
          <w:lang w:eastAsia="en-GB"/>
        </w:rPr>
        <w:t>t</w:t>
      </w:r>
      <w:r w:rsidRPr="00C132F9">
        <w:rPr>
          <w:rFonts w:eastAsiaTheme="majorEastAsia" w:cstheme="majorBidi"/>
          <w:bCs w:val="0"/>
          <w:iCs/>
          <w:color w:val="000000" w:themeColor="text1"/>
          <w:spacing w:val="-6"/>
          <w:lang w:eastAsia="en-GB"/>
        </w:rPr>
        <w:t>he</w:t>
      </w:r>
      <w:r w:rsidRPr="00C132F9">
        <w:rPr>
          <w:rFonts w:eastAsiaTheme="majorEastAsia" w:cstheme="majorBidi"/>
          <w:bCs w:val="0"/>
          <w:iCs/>
          <w:color w:val="000000" w:themeColor="text1"/>
          <w:lang w:eastAsia="en-GB"/>
        </w:rPr>
        <w:t>r</w:t>
      </w:r>
      <w:r w:rsidRPr="00C132F9">
        <w:rPr>
          <w:rFonts w:eastAsiaTheme="majorEastAsia" w:cstheme="majorBidi"/>
          <w:bCs w:val="0"/>
          <w:iCs/>
          <w:color w:val="000000" w:themeColor="text1"/>
          <w:spacing w:val="-6"/>
          <w:lang w:eastAsia="en-GB"/>
        </w:rPr>
        <w:t>e</w:t>
      </w:r>
      <w:r w:rsidRPr="00C132F9">
        <w:rPr>
          <w:rFonts w:eastAsiaTheme="majorEastAsia" w:cstheme="majorBidi"/>
          <w:bCs w:val="0"/>
          <w:iCs/>
          <w:color w:val="000000" w:themeColor="text1"/>
          <w:spacing w:val="-3"/>
          <w:lang w:eastAsia="en-GB"/>
        </w:rPr>
        <w:t>f</w:t>
      </w:r>
      <w:r w:rsidRPr="00C132F9">
        <w:rPr>
          <w:rFonts w:eastAsiaTheme="majorEastAsia" w:cstheme="majorBidi"/>
          <w:bCs w:val="0"/>
          <w:iCs/>
          <w:color w:val="000000" w:themeColor="text1"/>
          <w:spacing w:val="-6"/>
          <w:lang w:eastAsia="en-GB"/>
        </w:rPr>
        <w:t>o</w:t>
      </w:r>
      <w:r w:rsidRPr="00C132F9">
        <w:rPr>
          <w:rFonts w:eastAsiaTheme="majorEastAsia" w:cstheme="majorBidi"/>
          <w:bCs w:val="0"/>
          <w:iCs/>
          <w:color w:val="000000" w:themeColor="text1"/>
          <w:spacing w:val="1"/>
          <w:lang w:eastAsia="en-GB"/>
        </w:rPr>
        <w:t>r</w:t>
      </w:r>
      <w:r w:rsidRPr="00C132F9">
        <w:rPr>
          <w:rFonts w:eastAsiaTheme="majorEastAsia" w:cstheme="majorBidi"/>
          <w:bCs w:val="0"/>
          <w:iCs/>
          <w:color w:val="000000" w:themeColor="text1"/>
          <w:lang w:eastAsia="en-GB"/>
        </w:rPr>
        <w:t>e</w:t>
      </w:r>
      <w:r w:rsidRPr="00C132F9">
        <w:rPr>
          <w:rFonts w:eastAsiaTheme="majorEastAsia" w:cstheme="majorBidi"/>
          <w:bCs w:val="0"/>
          <w:iCs/>
          <w:color w:val="000000" w:themeColor="text1"/>
          <w:spacing w:val="23"/>
          <w:lang w:eastAsia="en-GB"/>
        </w:rPr>
        <w:t xml:space="preserve"> </w:t>
      </w:r>
      <w:r w:rsidRPr="00C132F9">
        <w:rPr>
          <w:rFonts w:eastAsiaTheme="majorEastAsia" w:cstheme="majorBidi"/>
          <w:bCs w:val="0"/>
          <w:iCs/>
          <w:color w:val="000000" w:themeColor="text1"/>
          <w:spacing w:val="-3"/>
          <w:lang w:eastAsia="en-GB"/>
        </w:rPr>
        <w:t>t</w:t>
      </w:r>
      <w:r w:rsidRPr="00C132F9">
        <w:rPr>
          <w:rFonts w:eastAsiaTheme="majorEastAsia" w:cstheme="majorBidi"/>
          <w:bCs w:val="0"/>
          <w:iCs/>
          <w:color w:val="000000" w:themeColor="text1"/>
          <w:spacing w:val="-6"/>
          <w:lang w:eastAsia="en-GB"/>
        </w:rPr>
        <w:t>h</w:t>
      </w:r>
      <w:r w:rsidRPr="00C132F9">
        <w:rPr>
          <w:rFonts w:eastAsiaTheme="majorEastAsia" w:cstheme="majorBidi"/>
          <w:bCs w:val="0"/>
          <w:iCs/>
          <w:color w:val="000000" w:themeColor="text1"/>
          <w:lang w:eastAsia="en-GB"/>
        </w:rPr>
        <w:t>e</w:t>
      </w:r>
      <w:r w:rsidRPr="00C132F9">
        <w:rPr>
          <w:rFonts w:eastAsiaTheme="majorEastAsia" w:cstheme="majorBidi"/>
          <w:bCs w:val="0"/>
          <w:iCs/>
          <w:color w:val="000000" w:themeColor="text1"/>
          <w:spacing w:val="7"/>
          <w:lang w:eastAsia="en-GB"/>
        </w:rPr>
        <w:t xml:space="preserve"> </w:t>
      </w:r>
      <w:r w:rsidRPr="00C132F9">
        <w:rPr>
          <w:rFonts w:eastAsiaTheme="majorEastAsia" w:cstheme="majorBidi"/>
          <w:bCs w:val="0"/>
          <w:iCs/>
          <w:color w:val="000000" w:themeColor="text1"/>
          <w:spacing w:val="-6"/>
          <w:lang w:eastAsia="en-GB"/>
        </w:rPr>
        <w:t>li</w:t>
      </w:r>
      <w:r w:rsidRPr="00C132F9">
        <w:rPr>
          <w:rFonts w:eastAsiaTheme="majorEastAsia" w:cstheme="majorBidi"/>
          <w:bCs w:val="0"/>
          <w:iCs/>
          <w:color w:val="000000" w:themeColor="text1"/>
          <w:spacing w:val="7"/>
          <w:lang w:eastAsia="en-GB"/>
        </w:rPr>
        <w:t>s</w:t>
      </w:r>
      <w:r w:rsidRPr="00C132F9">
        <w:rPr>
          <w:rFonts w:eastAsiaTheme="majorEastAsia" w:cstheme="majorBidi"/>
          <w:bCs w:val="0"/>
          <w:iCs/>
          <w:color w:val="000000" w:themeColor="text1"/>
          <w:lang w:eastAsia="en-GB"/>
        </w:rPr>
        <w:t>t</w:t>
      </w:r>
      <w:r w:rsidRPr="00C132F9">
        <w:rPr>
          <w:rFonts w:eastAsiaTheme="majorEastAsia" w:cstheme="majorBidi"/>
          <w:bCs w:val="0"/>
          <w:iCs/>
          <w:color w:val="000000" w:themeColor="text1"/>
          <w:spacing w:val="10"/>
          <w:lang w:eastAsia="en-GB"/>
        </w:rPr>
        <w:t xml:space="preserve"> </w:t>
      </w:r>
      <w:r w:rsidRPr="00C132F9">
        <w:rPr>
          <w:rFonts w:eastAsiaTheme="majorEastAsia" w:cstheme="majorBidi"/>
          <w:bCs w:val="0"/>
          <w:iCs/>
          <w:color w:val="000000" w:themeColor="text1"/>
          <w:spacing w:val="-6"/>
          <w:lang w:eastAsia="en-GB"/>
        </w:rPr>
        <w:t>i</w:t>
      </w:r>
      <w:r w:rsidRPr="00C132F9">
        <w:rPr>
          <w:rFonts w:eastAsiaTheme="majorEastAsia" w:cstheme="majorBidi"/>
          <w:bCs w:val="0"/>
          <w:iCs/>
          <w:color w:val="000000" w:themeColor="text1"/>
          <w:lang w:eastAsia="en-GB"/>
        </w:rPr>
        <w:t>s</w:t>
      </w:r>
      <w:r w:rsidRPr="00C132F9">
        <w:rPr>
          <w:rFonts w:eastAsiaTheme="majorEastAsia" w:cstheme="majorBidi"/>
          <w:bCs w:val="0"/>
          <w:iCs/>
          <w:color w:val="000000" w:themeColor="text1"/>
          <w:spacing w:val="5"/>
          <w:lang w:eastAsia="en-GB"/>
        </w:rPr>
        <w:t xml:space="preserve"> </w:t>
      </w:r>
      <w:r w:rsidRPr="00C132F9">
        <w:rPr>
          <w:rFonts w:eastAsiaTheme="majorEastAsia" w:cstheme="majorBidi"/>
          <w:bCs w:val="0"/>
          <w:iCs/>
          <w:color w:val="000000" w:themeColor="text1"/>
          <w:spacing w:val="-6"/>
          <w:lang w:eastAsia="en-GB"/>
        </w:rPr>
        <w:t>no</w:t>
      </w:r>
      <w:r w:rsidRPr="00C132F9">
        <w:rPr>
          <w:rFonts w:eastAsiaTheme="majorEastAsia" w:cstheme="majorBidi"/>
          <w:bCs w:val="0"/>
          <w:iCs/>
          <w:color w:val="000000" w:themeColor="text1"/>
          <w:lang w:eastAsia="en-GB"/>
        </w:rPr>
        <w:t>t</w:t>
      </w:r>
      <w:r w:rsidRPr="00C132F9">
        <w:rPr>
          <w:rFonts w:eastAsiaTheme="majorEastAsia" w:cstheme="majorBidi"/>
          <w:bCs w:val="0"/>
          <w:iCs/>
          <w:color w:val="000000" w:themeColor="text1"/>
          <w:spacing w:val="10"/>
          <w:lang w:eastAsia="en-GB"/>
        </w:rPr>
        <w:t xml:space="preserve"> </w:t>
      </w:r>
      <w:r w:rsidRPr="00C132F9">
        <w:rPr>
          <w:rFonts w:eastAsiaTheme="majorEastAsia" w:cstheme="majorBidi"/>
          <w:bCs w:val="0"/>
          <w:iCs/>
          <w:color w:val="000000" w:themeColor="text1"/>
          <w:spacing w:val="-6"/>
          <w:lang w:eastAsia="en-GB"/>
        </w:rPr>
        <w:t>e</w:t>
      </w:r>
      <w:r w:rsidRPr="00C132F9">
        <w:rPr>
          <w:rFonts w:eastAsiaTheme="majorEastAsia" w:cstheme="majorBidi"/>
          <w:bCs w:val="0"/>
          <w:iCs/>
          <w:color w:val="000000" w:themeColor="text1"/>
          <w:spacing w:val="-8"/>
          <w:lang w:eastAsia="en-GB"/>
        </w:rPr>
        <w:t>x</w:t>
      </w:r>
      <w:r w:rsidRPr="00C132F9">
        <w:rPr>
          <w:rFonts w:eastAsiaTheme="majorEastAsia" w:cstheme="majorBidi"/>
          <w:bCs w:val="0"/>
          <w:iCs/>
          <w:color w:val="000000" w:themeColor="text1"/>
          <w:spacing w:val="-6"/>
          <w:lang w:eastAsia="en-GB"/>
        </w:rPr>
        <w:t>hau</w:t>
      </w:r>
      <w:r w:rsidRPr="00C132F9">
        <w:rPr>
          <w:rFonts w:eastAsiaTheme="majorEastAsia" w:cstheme="majorBidi"/>
          <w:bCs w:val="0"/>
          <w:iCs/>
          <w:color w:val="000000" w:themeColor="text1"/>
          <w:spacing w:val="7"/>
          <w:lang w:eastAsia="en-GB"/>
        </w:rPr>
        <w:t>s</w:t>
      </w:r>
      <w:r w:rsidRPr="00C132F9">
        <w:rPr>
          <w:rFonts w:eastAsiaTheme="majorEastAsia" w:cstheme="majorBidi"/>
          <w:bCs w:val="0"/>
          <w:iCs/>
          <w:color w:val="000000" w:themeColor="text1"/>
          <w:spacing w:val="-3"/>
          <w:lang w:eastAsia="en-GB"/>
        </w:rPr>
        <w:t>t</w:t>
      </w:r>
      <w:r w:rsidRPr="00C132F9">
        <w:rPr>
          <w:rFonts w:eastAsiaTheme="majorEastAsia" w:cstheme="majorBidi"/>
          <w:bCs w:val="0"/>
          <w:iCs/>
          <w:color w:val="000000" w:themeColor="text1"/>
          <w:spacing w:val="-6"/>
          <w:lang w:eastAsia="en-GB"/>
        </w:rPr>
        <w:t>i</w:t>
      </w:r>
      <w:r w:rsidRPr="00C132F9">
        <w:rPr>
          <w:rFonts w:eastAsiaTheme="majorEastAsia" w:cstheme="majorBidi"/>
          <w:bCs w:val="0"/>
          <w:iCs/>
          <w:color w:val="000000" w:themeColor="text1"/>
          <w:spacing w:val="-8"/>
          <w:lang w:eastAsia="en-GB"/>
        </w:rPr>
        <w:t>v</w:t>
      </w:r>
      <w:r w:rsidRPr="00C132F9">
        <w:rPr>
          <w:rFonts w:eastAsiaTheme="majorEastAsia" w:cstheme="majorBidi"/>
          <w:bCs w:val="0"/>
          <w:iCs/>
          <w:color w:val="000000" w:themeColor="text1"/>
          <w:lang w:eastAsia="en-GB"/>
        </w:rPr>
        <w:t xml:space="preserve">e):  </w:t>
      </w:r>
    </w:p>
    <w:p w14:paraId="3B6C30CE" w14:textId="77777777" w:rsidR="00C132F9" w:rsidRPr="00C132F9" w:rsidRDefault="00C132F9" w:rsidP="00C132F9"/>
    <w:p w14:paraId="1FCD0D3F" w14:textId="77777777" w:rsidR="00C132F9" w:rsidRPr="00C132F9" w:rsidRDefault="00C132F9" w:rsidP="00C132F9">
      <w:pPr>
        <w:numPr>
          <w:ilvl w:val="2"/>
          <w:numId w:val="2"/>
        </w:numPr>
        <w:spacing w:line="360" w:lineRule="auto"/>
        <w:outlineLvl w:val="2"/>
        <w:rPr>
          <w:b/>
        </w:rPr>
      </w:pPr>
      <w:r w:rsidRPr="00C132F9">
        <w:rPr>
          <w:b/>
        </w:rPr>
        <w:t xml:space="preserve">Assault </w:t>
      </w:r>
    </w:p>
    <w:p w14:paraId="1881DAF8" w14:textId="619544E2" w:rsidR="00C132F9" w:rsidRPr="00C132F9" w:rsidRDefault="00C132F9" w:rsidP="00C132F9">
      <w:pPr>
        <w:keepNext/>
        <w:keepLines/>
        <w:numPr>
          <w:ilvl w:val="3"/>
          <w:numId w:val="2"/>
        </w:numPr>
        <w:spacing w:before="200" w:line="360" w:lineRule="auto"/>
        <w:outlineLvl w:val="3"/>
        <w:rPr>
          <w:rFonts w:eastAsiaTheme="majorEastAsia" w:cstheme="majorBidi"/>
          <w:bCs w:val="0"/>
          <w:iCs/>
          <w:color w:val="000000" w:themeColor="text1"/>
          <w:lang w:eastAsia="en-GB"/>
        </w:rPr>
      </w:pPr>
      <w:r w:rsidRPr="00C132F9">
        <w:rPr>
          <w:rFonts w:eastAsiaTheme="majorEastAsia" w:cstheme="majorBidi"/>
          <w:bCs w:val="0"/>
          <w:iCs/>
          <w:color w:val="000000" w:themeColor="text1"/>
          <w:lang w:eastAsia="en-GB"/>
        </w:rPr>
        <w:t>For an assault to fall within the scope of  removal from the list, it should involve a person intentionally or recklessly causing another to apprehend the immediate infliction of unlawful force on an individual in a manner which either results in injury or causes that individual to fear injury or some other immediate threat to their safety.</w:t>
      </w:r>
    </w:p>
    <w:p w14:paraId="48BA0E98" w14:textId="77777777" w:rsidR="00C132F9" w:rsidRPr="00C132F9" w:rsidRDefault="00C132F9" w:rsidP="00C132F9">
      <w:pPr>
        <w:numPr>
          <w:ilvl w:val="2"/>
          <w:numId w:val="2"/>
        </w:numPr>
        <w:spacing w:line="360" w:lineRule="auto"/>
        <w:outlineLvl w:val="2"/>
        <w:rPr>
          <w:b/>
        </w:rPr>
      </w:pPr>
      <w:r w:rsidRPr="00C132F9">
        <w:rPr>
          <w:b/>
        </w:rPr>
        <w:t>Threatening behaviour</w:t>
      </w:r>
    </w:p>
    <w:p w14:paraId="24CEC765" w14:textId="4B7CA054" w:rsidR="00C132F9" w:rsidRPr="00C132F9" w:rsidRDefault="00C132F9" w:rsidP="00C132F9">
      <w:pPr>
        <w:keepNext/>
        <w:keepLines/>
        <w:numPr>
          <w:ilvl w:val="3"/>
          <w:numId w:val="2"/>
        </w:numPr>
        <w:spacing w:before="200" w:line="360" w:lineRule="auto"/>
        <w:outlineLvl w:val="3"/>
        <w:rPr>
          <w:rFonts w:eastAsiaTheme="majorEastAsia" w:cstheme="majorBidi"/>
          <w:bCs w:val="0"/>
          <w:iCs/>
          <w:color w:val="000000" w:themeColor="text1"/>
          <w:lang w:eastAsia="en-GB"/>
        </w:rPr>
      </w:pPr>
      <w:r w:rsidRPr="00C132F9">
        <w:rPr>
          <w:rFonts w:eastAsiaTheme="majorEastAsia" w:cstheme="majorBidi"/>
          <w:bCs w:val="0"/>
          <w:iCs/>
          <w:color w:val="000000" w:themeColor="text1"/>
          <w:lang w:eastAsia="en-GB"/>
        </w:rPr>
        <w:t>Any verbally threatened harm towards others, with or without accompanying gestures, will fall within the scope of a removal. Threats of nonviolent acts are unlikely to do so (e.g. use of offensive language without threats).</w:t>
      </w:r>
    </w:p>
    <w:p w14:paraId="2BC42FEE" w14:textId="77777777" w:rsidR="00C132F9" w:rsidRPr="00C132F9" w:rsidRDefault="00C132F9" w:rsidP="00C132F9">
      <w:pPr>
        <w:numPr>
          <w:ilvl w:val="2"/>
          <w:numId w:val="2"/>
        </w:numPr>
        <w:spacing w:line="360" w:lineRule="auto"/>
        <w:outlineLvl w:val="2"/>
        <w:rPr>
          <w:b/>
        </w:rPr>
      </w:pPr>
      <w:r w:rsidRPr="00C132F9">
        <w:rPr>
          <w:b/>
        </w:rPr>
        <w:t>Behaviour resulting in damage to property</w:t>
      </w:r>
    </w:p>
    <w:p w14:paraId="70BE856A" w14:textId="24518559" w:rsidR="00C132F9" w:rsidRPr="00C132F9" w:rsidRDefault="00C132F9" w:rsidP="00C132F9">
      <w:pPr>
        <w:keepNext/>
        <w:keepLines/>
        <w:numPr>
          <w:ilvl w:val="3"/>
          <w:numId w:val="2"/>
        </w:numPr>
        <w:spacing w:before="200" w:line="360" w:lineRule="auto"/>
        <w:outlineLvl w:val="3"/>
        <w:rPr>
          <w:rFonts w:eastAsiaTheme="majorEastAsia" w:cstheme="majorBidi"/>
          <w:bCs w:val="0"/>
          <w:iCs/>
          <w:color w:val="000000" w:themeColor="text1"/>
          <w:lang w:eastAsia="en-GB"/>
        </w:rPr>
      </w:pPr>
      <w:r w:rsidRPr="00C132F9">
        <w:rPr>
          <w:rFonts w:eastAsiaTheme="majorEastAsia" w:cstheme="majorBidi"/>
          <w:bCs w:val="0"/>
          <w:iCs/>
          <w:color w:val="000000" w:themeColor="text1"/>
          <w:lang w:eastAsia="en-GB"/>
        </w:rPr>
        <w:t>Any behaviour resulting in damage to property, whether accompanied by verbal threats or not and whether that damage is intentional or not, is likely to be within the scope of the scheme if the behaviour was intended to terrorise or intimidate individuals or is seen as a precursor to a personal assault.</w:t>
      </w:r>
    </w:p>
    <w:p w14:paraId="667561D9" w14:textId="4037BCB7" w:rsidR="00C132F9" w:rsidRPr="00C132F9" w:rsidRDefault="00C132F9" w:rsidP="00C132F9">
      <w:pPr>
        <w:rPr>
          <w:lang w:eastAsia="en-GB"/>
        </w:rPr>
      </w:pPr>
    </w:p>
    <w:p w14:paraId="354F8E20" w14:textId="480C2CB4" w:rsidR="00C132F9" w:rsidRPr="00C132F9" w:rsidRDefault="00C132F9" w:rsidP="00C132F9">
      <w:pPr>
        <w:rPr>
          <w:lang w:eastAsia="en-GB"/>
        </w:rPr>
      </w:pPr>
    </w:p>
    <w:p w14:paraId="161BCF62" w14:textId="43EF9BD9" w:rsidR="00C132F9" w:rsidRPr="00C132F9" w:rsidRDefault="00C132F9" w:rsidP="00C132F9">
      <w:pPr>
        <w:rPr>
          <w:lang w:eastAsia="en-GB"/>
        </w:rPr>
      </w:pPr>
    </w:p>
    <w:p w14:paraId="5A3AA4FA" w14:textId="16D80029" w:rsidR="00C132F9" w:rsidRPr="00C132F9" w:rsidRDefault="00C132F9" w:rsidP="00C132F9">
      <w:pPr>
        <w:rPr>
          <w:lang w:eastAsia="en-GB"/>
        </w:rPr>
      </w:pPr>
    </w:p>
    <w:p w14:paraId="778AE99A" w14:textId="2730A871" w:rsidR="00C132F9" w:rsidRPr="00C132F9" w:rsidRDefault="00C132F9" w:rsidP="00C132F9">
      <w:pPr>
        <w:rPr>
          <w:lang w:eastAsia="en-GB"/>
        </w:rPr>
      </w:pPr>
    </w:p>
    <w:p w14:paraId="10BAB552" w14:textId="65CABC17" w:rsidR="00C132F9" w:rsidRPr="00C132F9" w:rsidRDefault="00C132F9" w:rsidP="00C132F9">
      <w:pPr>
        <w:rPr>
          <w:lang w:eastAsia="en-GB"/>
        </w:rPr>
      </w:pPr>
    </w:p>
    <w:p w14:paraId="2D9EAC20" w14:textId="3B3E2570" w:rsidR="00C132F9" w:rsidRPr="00C132F9" w:rsidRDefault="00C132F9" w:rsidP="00C132F9">
      <w:pPr>
        <w:rPr>
          <w:lang w:eastAsia="en-GB"/>
        </w:rPr>
      </w:pPr>
    </w:p>
    <w:p w14:paraId="5A2EFD0C" w14:textId="57AE9A83" w:rsidR="00C132F9" w:rsidRPr="00C132F9" w:rsidRDefault="00C132F9" w:rsidP="00C132F9">
      <w:pPr>
        <w:rPr>
          <w:lang w:eastAsia="en-GB"/>
        </w:rPr>
      </w:pPr>
    </w:p>
    <w:p w14:paraId="606A75AB" w14:textId="77777777" w:rsidR="00C132F9" w:rsidRPr="00C132F9" w:rsidRDefault="00C132F9" w:rsidP="00C132F9">
      <w:pPr>
        <w:rPr>
          <w:lang w:eastAsia="en-GB"/>
        </w:rPr>
      </w:pPr>
    </w:p>
    <w:p w14:paraId="24505D97" w14:textId="3A233C6D" w:rsidR="00C132F9" w:rsidRPr="00C132F9" w:rsidRDefault="00C132F9" w:rsidP="00C132F9">
      <w:pPr>
        <w:rPr>
          <w:lang w:eastAsia="en-GB"/>
        </w:rPr>
      </w:pPr>
    </w:p>
    <w:p w14:paraId="698C3A68" w14:textId="77777777" w:rsidR="00C132F9" w:rsidRPr="00C132F9" w:rsidRDefault="00C132F9" w:rsidP="00C132F9">
      <w:pPr>
        <w:rPr>
          <w:lang w:eastAsia="en-GB"/>
        </w:rPr>
      </w:pPr>
    </w:p>
    <w:p w14:paraId="7193D318" w14:textId="7F9656B8" w:rsidR="00C132F9" w:rsidRPr="00C132F9" w:rsidRDefault="00C132F9" w:rsidP="00C132F9">
      <w:pPr>
        <w:numPr>
          <w:ilvl w:val="2"/>
          <w:numId w:val="2"/>
        </w:numPr>
        <w:spacing w:line="360" w:lineRule="auto"/>
        <w:outlineLvl w:val="2"/>
        <w:rPr>
          <w:b/>
        </w:rPr>
      </w:pPr>
      <w:r w:rsidRPr="00C132F9">
        <w:rPr>
          <w:b/>
        </w:rPr>
        <w:t xml:space="preserve">Further considerations in relation to </w:t>
      </w:r>
      <w:r w:rsidR="00F74F76">
        <w:rPr>
          <w:b/>
        </w:rPr>
        <w:t>7</w:t>
      </w:r>
      <w:r w:rsidRPr="00C132F9">
        <w:rPr>
          <w:b/>
        </w:rPr>
        <w:t xml:space="preserve">.4.5 – </w:t>
      </w:r>
      <w:r w:rsidR="00F74F76">
        <w:rPr>
          <w:b/>
        </w:rPr>
        <w:t>7</w:t>
      </w:r>
      <w:r w:rsidRPr="00C132F9">
        <w:rPr>
          <w:b/>
        </w:rPr>
        <w:t>.4.7</w:t>
      </w:r>
    </w:p>
    <w:p w14:paraId="21716B93" w14:textId="77777777" w:rsidR="00C132F9" w:rsidRPr="00C132F9" w:rsidRDefault="00C132F9" w:rsidP="00C132F9">
      <w:pPr>
        <w:keepNext/>
        <w:keepLines/>
        <w:numPr>
          <w:ilvl w:val="3"/>
          <w:numId w:val="2"/>
        </w:numPr>
        <w:spacing w:line="360" w:lineRule="auto"/>
        <w:outlineLvl w:val="3"/>
        <w:rPr>
          <w:rFonts w:eastAsiaTheme="majorEastAsia" w:cs="Arial"/>
          <w:bCs w:val="0"/>
          <w:iCs/>
          <w:szCs w:val="24"/>
          <w:lang w:eastAsia="en-GB"/>
        </w:rPr>
      </w:pPr>
      <w:r w:rsidRPr="00C132F9">
        <w:rPr>
          <w:rFonts w:eastAsiaTheme="majorEastAsia" w:cs="Arial"/>
          <w:bCs w:val="0"/>
          <w:iCs/>
          <w:szCs w:val="24"/>
          <w:lang w:eastAsia="en-GB"/>
        </w:rPr>
        <w:t xml:space="preserve">Examples of the cases referred to above would include any incident in which the patient has: </w:t>
      </w:r>
    </w:p>
    <w:p w14:paraId="17389A41" w14:textId="6EFD8F05" w:rsidR="00C132F9" w:rsidRPr="00C132F9" w:rsidRDefault="00C132F9" w:rsidP="00C132F9">
      <w:pPr>
        <w:keepNext/>
        <w:keepLines/>
        <w:numPr>
          <w:ilvl w:val="4"/>
          <w:numId w:val="2"/>
        </w:numPr>
        <w:spacing w:line="360" w:lineRule="auto"/>
        <w:outlineLvl w:val="4"/>
        <w:rPr>
          <w:rFonts w:eastAsiaTheme="majorEastAsia" w:cs="Arial"/>
          <w:lang w:eastAsia="en-GB"/>
        </w:rPr>
      </w:pPr>
      <w:r w:rsidRPr="00C132F9">
        <w:rPr>
          <w:rFonts w:eastAsiaTheme="majorEastAsia" w:cs="Arial"/>
          <w:lang w:eastAsia="en-GB"/>
        </w:rPr>
        <w:t>struck, grabbed or punched a GP, member of staff or other individuals, either within the practice premises or  elsewhere in a targeted attack</w:t>
      </w:r>
    </w:p>
    <w:p w14:paraId="71827DC3" w14:textId="7F603926" w:rsidR="00C132F9" w:rsidRPr="00C132F9" w:rsidRDefault="00C132F9" w:rsidP="00C132F9">
      <w:pPr>
        <w:keepNext/>
        <w:keepLines/>
        <w:numPr>
          <w:ilvl w:val="4"/>
          <w:numId w:val="2"/>
        </w:numPr>
        <w:spacing w:line="360" w:lineRule="auto"/>
        <w:outlineLvl w:val="4"/>
        <w:rPr>
          <w:rFonts w:eastAsiaTheme="majorEastAsia" w:cs="Arial"/>
          <w:lang w:eastAsia="en-GB"/>
        </w:rPr>
      </w:pPr>
      <w:r w:rsidRPr="00C132F9">
        <w:rPr>
          <w:rFonts w:eastAsiaTheme="majorEastAsia" w:cs="Arial"/>
          <w:lang w:eastAsia="en-GB"/>
        </w:rPr>
        <w:t>thrown an inanimate object at a GP, member of staff either within the practice premises or elsewhere  in a targeted attack</w:t>
      </w:r>
    </w:p>
    <w:p w14:paraId="361F8CFD" w14:textId="77777777" w:rsidR="00C132F9" w:rsidRPr="00C132F9" w:rsidRDefault="00C132F9" w:rsidP="00C132F9">
      <w:pPr>
        <w:keepNext/>
        <w:keepLines/>
        <w:numPr>
          <w:ilvl w:val="4"/>
          <w:numId w:val="2"/>
        </w:numPr>
        <w:spacing w:line="360" w:lineRule="auto"/>
        <w:outlineLvl w:val="4"/>
        <w:rPr>
          <w:rFonts w:eastAsiaTheme="majorEastAsia" w:cs="Arial"/>
          <w:lang w:eastAsia="en-GB"/>
        </w:rPr>
      </w:pPr>
      <w:r w:rsidRPr="00C132F9">
        <w:rPr>
          <w:rFonts w:eastAsiaTheme="majorEastAsia" w:cs="Arial"/>
          <w:lang w:eastAsia="en-GB"/>
        </w:rPr>
        <w:t>struck, grabbed, punched or thrown an inanimate object at another patient(s) within the practice premises</w:t>
      </w:r>
    </w:p>
    <w:p w14:paraId="73709628" w14:textId="77777777" w:rsidR="00C132F9" w:rsidRPr="00C132F9" w:rsidRDefault="00C132F9" w:rsidP="00C132F9">
      <w:pPr>
        <w:keepNext/>
        <w:keepLines/>
        <w:numPr>
          <w:ilvl w:val="4"/>
          <w:numId w:val="2"/>
        </w:numPr>
        <w:spacing w:line="360" w:lineRule="auto"/>
        <w:outlineLvl w:val="4"/>
        <w:rPr>
          <w:rFonts w:eastAsiaTheme="majorEastAsia" w:cs="Arial"/>
          <w:lang w:eastAsia="en-GB"/>
        </w:rPr>
      </w:pPr>
      <w:r w:rsidRPr="00C132F9">
        <w:rPr>
          <w:rFonts w:eastAsiaTheme="majorEastAsia" w:cs="Arial"/>
          <w:lang w:eastAsia="en-GB"/>
        </w:rPr>
        <w:t>wielded a weapon, or used an object as one, in an actual or intended assault or in a manner intended to intimidate or terrorise staff, patients or other persons on the practice premises</w:t>
      </w:r>
    </w:p>
    <w:p w14:paraId="413D6AFA" w14:textId="5E1B9C83" w:rsidR="00C132F9" w:rsidRPr="00C132F9" w:rsidRDefault="00C132F9" w:rsidP="00C132F9">
      <w:pPr>
        <w:keepNext/>
        <w:keepLines/>
        <w:numPr>
          <w:ilvl w:val="4"/>
          <w:numId w:val="2"/>
        </w:numPr>
        <w:spacing w:line="360" w:lineRule="auto"/>
        <w:outlineLvl w:val="4"/>
        <w:rPr>
          <w:rFonts w:eastAsiaTheme="majorEastAsia" w:cs="Arial"/>
          <w:lang w:eastAsia="en-GB"/>
        </w:rPr>
      </w:pPr>
      <w:r w:rsidRPr="00C132F9">
        <w:rPr>
          <w:rFonts w:eastAsiaTheme="majorEastAsia" w:cs="Arial"/>
          <w:lang w:eastAsia="en-GB"/>
        </w:rPr>
        <w:t xml:space="preserve">threatened to assault or physically harm a primary care worker </w:t>
      </w:r>
    </w:p>
    <w:p w14:paraId="6C3DC8C4" w14:textId="64502434" w:rsidR="00C132F9" w:rsidRPr="00C132F9" w:rsidRDefault="00C132F9" w:rsidP="00C132F9">
      <w:pPr>
        <w:keepNext/>
        <w:keepLines/>
        <w:numPr>
          <w:ilvl w:val="4"/>
          <w:numId w:val="2"/>
        </w:numPr>
        <w:spacing w:line="360" w:lineRule="auto"/>
        <w:outlineLvl w:val="4"/>
        <w:rPr>
          <w:rFonts w:eastAsiaTheme="majorEastAsia" w:cs="Arial"/>
          <w:lang w:eastAsia="en-GB"/>
        </w:rPr>
      </w:pPr>
      <w:r w:rsidRPr="00C132F9">
        <w:rPr>
          <w:rFonts w:eastAsiaTheme="majorEastAsia" w:cs="Arial"/>
          <w:lang w:eastAsia="en-GB"/>
        </w:rPr>
        <w:t xml:space="preserve">threatened to damage property or to ‘seek revenge’ in a menacing way </w:t>
      </w:r>
    </w:p>
    <w:p w14:paraId="194C0024" w14:textId="77777777" w:rsidR="00C132F9" w:rsidRPr="00C132F9" w:rsidRDefault="00C132F9" w:rsidP="00C132F9">
      <w:pPr>
        <w:keepNext/>
        <w:keepLines/>
        <w:numPr>
          <w:ilvl w:val="4"/>
          <w:numId w:val="2"/>
        </w:numPr>
        <w:spacing w:line="360" w:lineRule="auto"/>
        <w:outlineLvl w:val="4"/>
        <w:rPr>
          <w:rFonts w:eastAsiaTheme="majorEastAsia" w:cs="Arial"/>
          <w:lang w:eastAsia="en-GB"/>
        </w:rPr>
      </w:pPr>
      <w:r w:rsidRPr="00C132F9">
        <w:rPr>
          <w:rFonts w:eastAsiaTheme="majorEastAsia" w:cs="Arial"/>
          <w:lang w:eastAsia="en-GB"/>
        </w:rPr>
        <w:t>caused damage to property with an intention to intimidate or cause harm.</w:t>
      </w:r>
    </w:p>
    <w:p w14:paraId="69DCF48E" w14:textId="77777777" w:rsidR="00C132F9" w:rsidRPr="00C132F9" w:rsidRDefault="00C132F9" w:rsidP="00C132F9"/>
    <w:p w14:paraId="2F3B52B7" w14:textId="05677DF6" w:rsidR="00C132F9" w:rsidRPr="00C132F9" w:rsidRDefault="00C132F9" w:rsidP="00C132F9">
      <w:pPr>
        <w:ind w:left="720"/>
        <w:rPr>
          <w:b/>
          <w:color w:val="FF0000"/>
        </w:rPr>
      </w:pPr>
      <w:r w:rsidRPr="00C132F9">
        <w:rPr>
          <w:b/>
          <w:color w:val="FF0000"/>
          <w:lang w:eastAsia="en-GB"/>
        </w:rPr>
        <w:t>This list is not exhaustive</w:t>
      </w:r>
    </w:p>
    <w:p w14:paraId="2DE6AC29" w14:textId="77777777" w:rsidR="00C132F9" w:rsidRPr="00C132F9" w:rsidRDefault="00C132F9" w:rsidP="00C132F9"/>
    <w:p w14:paraId="13AE1F27" w14:textId="77777777" w:rsidR="00C132F9" w:rsidRPr="00C132F9" w:rsidRDefault="00C132F9" w:rsidP="00C132F9">
      <w:pPr>
        <w:numPr>
          <w:ilvl w:val="2"/>
          <w:numId w:val="2"/>
        </w:numPr>
        <w:spacing w:line="360" w:lineRule="auto"/>
        <w:outlineLvl w:val="2"/>
        <w:rPr>
          <w:rFonts w:cs="Arial"/>
          <w:b/>
          <w:szCs w:val="24"/>
        </w:rPr>
      </w:pPr>
      <w:r w:rsidRPr="00C132F9">
        <w:rPr>
          <w:rFonts w:cs="Arial"/>
          <w:b/>
          <w:szCs w:val="24"/>
        </w:rPr>
        <w:t>What behaviour this scheme does not ordinarily cover?</w:t>
      </w:r>
    </w:p>
    <w:p w14:paraId="19EDC5E1" w14:textId="3EBEC099" w:rsidR="00C132F9" w:rsidRPr="00C132F9" w:rsidRDefault="00C132F9" w:rsidP="00C132F9">
      <w:pPr>
        <w:numPr>
          <w:ilvl w:val="2"/>
          <w:numId w:val="2"/>
        </w:numPr>
        <w:spacing w:line="360" w:lineRule="auto"/>
        <w:outlineLvl w:val="2"/>
      </w:pPr>
      <w:r w:rsidRPr="00C132F9">
        <w:rPr>
          <w:rFonts w:cs="Arial"/>
          <w:szCs w:val="24"/>
        </w:rPr>
        <w:t>Below are some examples of the types of behaviours that would not ordinarily fall within the scope of the Regulations covered by this guidance.  These are only intended to be used as a guide and therefore the list is not exhaustive.  Any person felt threatened or fearful of their own safety, should still report the incident.  These removal regulations cover all persons on the practice premises</w:t>
      </w:r>
      <w:r w:rsidRPr="00C132F9">
        <w:t xml:space="preserve">. </w:t>
      </w:r>
    </w:p>
    <w:p w14:paraId="3E49FCF4" w14:textId="77777777" w:rsidR="00C132F9" w:rsidRPr="00C132F9" w:rsidRDefault="00C132F9" w:rsidP="00C132F9">
      <w:pPr>
        <w:keepNext/>
        <w:keepLines/>
        <w:numPr>
          <w:ilvl w:val="3"/>
          <w:numId w:val="2"/>
        </w:numPr>
        <w:spacing w:before="200" w:line="360" w:lineRule="auto"/>
        <w:outlineLvl w:val="3"/>
        <w:rPr>
          <w:rFonts w:eastAsiaTheme="majorEastAsia" w:cstheme="majorBidi"/>
          <w:bCs w:val="0"/>
          <w:iCs/>
          <w:color w:val="000000" w:themeColor="text1"/>
          <w:lang w:eastAsia="en-GB"/>
        </w:rPr>
      </w:pPr>
      <w:r w:rsidRPr="00C132F9">
        <w:rPr>
          <w:rFonts w:eastAsiaTheme="majorEastAsia" w:cstheme="majorBidi"/>
          <w:bCs w:val="0"/>
          <w:iCs/>
          <w:color w:val="000000" w:themeColor="text1"/>
          <w:lang w:eastAsia="en-GB"/>
        </w:rPr>
        <w:t>invasion of another person’s personal space, which can be considered threatening.</w:t>
      </w:r>
    </w:p>
    <w:p w14:paraId="2D61851A" w14:textId="77777777" w:rsidR="00C132F9" w:rsidRPr="00C132F9" w:rsidRDefault="00C132F9" w:rsidP="00C132F9">
      <w:pPr>
        <w:keepNext/>
        <w:keepLines/>
        <w:numPr>
          <w:ilvl w:val="3"/>
          <w:numId w:val="2"/>
        </w:numPr>
        <w:spacing w:before="200" w:line="360" w:lineRule="auto"/>
        <w:outlineLvl w:val="3"/>
        <w:rPr>
          <w:rFonts w:eastAsiaTheme="majorEastAsia" w:cstheme="majorBidi"/>
          <w:bCs w:val="0"/>
          <w:iCs/>
          <w:color w:val="000000" w:themeColor="text1"/>
          <w:lang w:eastAsia="en-GB"/>
        </w:rPr>
      </w:pPr>
      <w:r w:rsidRPr="00C132F9">
        <w:rPr>
          <w:rFonts w:eastAsiaTheme="majorEastAsia" w:cstheme="majorBidi"/>
          <w:bCs w:val="0"/>
          <w:iCs/>
          <w:color w:val="000000" w:themeColor="text1"/>
          <w:lang w:eastAsia="en-GB"/>
        </w:rPr>
        <w:t>shouting or banging the reception desk</w:t>
      </w:r>
    </w:p>
    <w:p w14:paraId="113BF83C" w14:textId="4B4E20A3" w:rsidR="00C132F9" w:rsidRPr="00C132F9" w:rsidRDefault="00C132F9" w:rsidP="00C132F9">
      <w:pPr>
        <w:keepNext/>
        <w:keepLines/>
        <w:numPr>
          <w:ilvl w:val="3"/>
          <w:numId w:val="2"/>
        </w:numPr>
        <w:spacing w:before="200" w:line="360" w:lineRule="auto"/>
        <w:outlineLvl w:val="3"/>
        <w:rPr>
          <w:rFonts w:eastAsiaTheme="majorEastAsia" w:cstheme="majorBidi"/>
          <w:bCs w:val="0"/>
          <w:iCs/>
          <w:color w:val="000000" w:themeColor="text1"/>
          <w:lang w:eastAsia="en-GB"/>
        </w:rPr>
      </w:pPr>
      <w:r w:rsidRPr="00C132F9">
        <w:rPr>
          <w:rFonts w:eastAsiaTheme="majorEastAsia" w:cstheme="majorBidi"/>
          <w:bCs w:val="0"/>
          <w:iCs/>
          <w:color w:val="000000" w:themeColor="text1"/>
          <w:lang w:eastAsia="en-GB"/>
        </w:rPr>
        <w:t xml:space="preserve">behaviour that was not appropriate to report to the police (e.g. a patient who has never been aggressive before </w:t>
      </w:r>
      <w:r w:rsidRPr="00C132F9">
        <w:rPr>
          <w:rFonts w:eastAsiaTheme="majorEastAsia" w:cstheme="majorBidi"/>
          <w:bCs w:val="0"/>
          <w:iCs/>
          <w:color w:val="000000" w:themeColor="text1"/>
          <w:u w:val="single"/>
          <w:lang w:eastAsia="en-GB"/>
        </w:rPr>
        <w:t>and/or</w:t>
      </w:r>
      <w:r w:rsidRPr="00C132F9">
        <w:rPr>
          <w:rFonts w:eastAsiaTheme="majorEastAsia" w:cstheme="majorBidi"/>
          <w:bCs w:val="0"/>
          <w:iCs/>
          <w:color w:val="000000" w:themeColor="text1"/>
          <w:lang w:eastAsia="en-GB"/>
        </w:rPr>
        <w:t xml:space="preserve"> who is clearly suffering mental or physical anguish).  In such circumstances, it might be more appropriate to use the standard procedure for a breakdown in practice/patient relationship, usually this is undertaken by writing to them after the event, requesting an explanation or apology and warning that a continuation of such behaviour could result in them being removed from the practice’s list. Practices may also chose to use or agree on a good behaviour contract with the patient to support their continued registration.  Under usual circumstances, patients must not be immediately removed for minor offences not reported to the police, nor should they be removed for behaviour which can be ascribed to a condition capable of being rapidly alleviated by treatment e.g. mental health illness or medical/acute conditions with known behavioural changes (e.g. head injury). Therefore, careful consideration of any mitigating circumstances must be given as to whether a referral to this scheme is in the best interests of the patient. </w:t>
      </w:r>
    </w:p>
    <w:p w14:paraId="44AEDBB4" w14:textId="5EAF87BC" w:rsidR="00C132F9" w:rsidRPr="00C132F9" w:rsidRDefault="00C132F9" w:rsidP="00C132F9">
      <w:pPr>
        <w:numPr>
          <w:ilvl w:val="2"/>
          <w:numId w:val="2"/>
        </w:numPr>
        <w:spacing w:line="360" w:lineRule="auto"/>
        <w:outlineLvl w:val="2"/>
      </w:pPr>
      <w:r w:rsidRPr="00C132F9">
        <w:t>Incidents that occur outside of the primary care setting and have no connection with the practice, such as community or hospital-based incidents. These would ordinarily default to and dealt with by that specific settings policy.</w:t>
      </w:r>
    </w:p>
    <w:p w14:paraId="032F744B" w14:textId="0EF72B5D" w:rsidR="00C132F9" w:rsidRPr="00C132F9" w:rsidRDefault="00C132F9" w:rsidP="00C132F9">
      <w:pPr>
        <w:numPr>
          <w:ilvl w:val="2"/>
          <w:numId w:val="2"/>
        </w:numPr>
        <w:spacing w:line="360" w:lineRule="auto"/>
        <w:outlineLvl w:val="2"/>
      </w:pPr>
      <w:r w:rsidRPr="00C132F9">
        <w:t>It is important to recognise that the SAS does not provide for the ongoing treatment of the families of those patients allocated to the scheme for incidences of violence.  A practice must not unilaterally remove all family members unless they have also behaved in a way as to require allocation to a SAS and each patient must be referred separately. However, careful consideration will need to be given to the ongoing arrangements of any dependants of the family  member who has been removed from the practice.  These should be considered on a case by case basis.</w:t>
      </w:r>
    </w:p>
    <w:p w14:paraId="4E8D03F0" w14:textId="77777777" w:rsidR="00C132F9" w:rsidRPr="00C132F9" w:rsidRDefault="00C132F9" w:rsidP="00C132F9">
      <w:pPr>
        <w:numPr>
          <w:ilvl w:val="2"/>
          <w:numId w:val="2"/>
        </w:numPr>
        <w:spacing w:line="360" w:lineRule="auto"/>
        <w:outlineLvl w:val="2"/>
      </w:pPr>
      <w:r w:rsidRPr="00C132F9">
        <w:t>Where a breakdown in relationship had occurred with non-dependant family members as a result of one family member being placed on the SAS, then they should be removed using a more relevant process e.g. 8 day removal.</w:t>
      </w:r>
      <w:r w:rsidRPr="00C132F9" w:rsidDel="006D1DF9">
        <w:t xml:space="preserve"> </w:t>
      </w:r>
    </w:p>
    <w:p w14:paraId="12DCEBDA" w14:textId="77777777" w:rsidR="00C132F9" w:rsidRPr="00C132F9" w:rsidRDefault="00C132F9" w:rsidP="00C132F9">
      <w:pPr>
        <w:widowControl w:val="0"/>
        <w:spacing w:before="200" w:after="60" w:line="276" w:lineRule="auto"/>
        <w:ind w:left="714"/>
        <w:jc w:val="both"/>
        <w:rPr>
          <w:b/>
          <w:bCs w:val="0"/>
          <w:szCs w:val="20"/>
          <w:lang w:eastAsia="en-GB"/>
        </w:rPr>
      </w:pPr>
      <w:r w:rsidRPr="00C132F9">
        <w:rPr>
          <w:b/>
          <w:bCs w:val="0"/>
          <w:szCs w:val="20"/>
          <w:lang w:eastAsia="en-GB"/>
        </w:rPr>
        <w:t xml:space="preserve">NB – where a practice is unsure how to proceed having read these examples, they can contact the commissioner for support, advice and guidance. The practice may also choose to seek guidance from the Local Medical Committee. </w:t>
      </w:r>
    </w:p>
    <w:p w14:paraId="48864F7D" w14:textId="77777777" w:rsidR="00C132F9" w:rsidRPr="00C132F9" w:rsidRDefault="00C132F9" w:rsidP="00C132F9">
      <w:pPr>
        <w:widowControl w:val="0"/>
        <w:spacing w:before="200" w:after="60" w:line="276" w:lineRule="auto"/>
        <w:ind w:left="714"/>
        <w:jc w:val="both"/>
        <w:rPr>
          <w:b/>
          <w:bCs w:val="0"/>
          <w:szCs w:val="20"/>
          <w:lang w:eastAsia="en-GB"/>
        </w:rPr>
      </w:pPr>
    </w:p>
    <w:p w14:paraId="63A43A16" w14:textId="77777777" w:rsidR="00C132F9" w:rsidRPr="00C132F9" w:rsidRDefault="00C132F9" w:rsidP="00C132F9">
      <w:pPr>
        <w:numPr>
          <w:ilvl w:val="2"/>
          <w:numId w:val="2"/>
        </w:numPr>
        <w:spacing w:line="360" w:lineRule="auto"/>
        <w:outlineLvl w:val="2"/>
      </w:pPr>
      <w:r w:rsidRPr="00C132F9">
        <w:t xml:space="preserve">Please note that within the ‘Managing Patient Lists’ chapter there is sub section ‘Removing a Patient from a Practice List’ which describes a route to be taken in the event of an irrevocable breakdown in GP/patient relationship, which can be the more appropriate route, however, a patient must usually be sent a warning letter within the proceeding rolling twelve month period and given the opportunity to moderate their behaviour.  Removal can only normally be effected if the behaviour is repeated and then the patient can be given 8 days’ notice to find a new GP.  Less serious circumstances are suitable for this method of removal by the contractor. Patients must not be removed using the ’immediate removal’ process unless the matter has resulted in the incident being reported to the police. </w:t>
      </w:r>
    </w:p>
    <w:p w14:paraId="2E55495E" w14:textId="77777777" w:rsidR="00C132F9" w:rsidRPr="00C132F9" w:rsidRDefault="00C132F9" w:rsidP="00C132F9">
      <w:pPr>
        <w:widowControl w:val="0"/>
        <w:spacing w:before="200" w:after="60" w:line="276" w:lineRule="auto"/>
        <w:ind w:left="709"/>
        <w:jc w:val="both"/>
        <w:rPr>
          <w:sz w:val="20"/>
          <w:szCs w:val="24"/>
          <w:lang w:eastAsia="en-GB"/>
        </w:rPr>
      </w:pPr>
      <w:r w:rsidRPr="00C132F9">
        <w:rPr>
          <w:bCs w:val="0"/>
          <w:szCs w:val="24"/>
          <w:lang w:eastAsia="en-GB"/>
        </w:rPr>
        <w:t xml:space="preserve">In circumstances where a patient displays inappropriate or unacceptable behaviour towards staff or other service users short of violence and threatening abuse (eg discrimination, harassment or victimisation) Chapter X refers. </w:t>
      </w:r>
    </w:p>
    <w:p w14:paraId="3E3D6E87" w14:textId="77777777" w:rsidR="00C132F9" w:rsidRPr="00C132F9" w:rsidRDefault="00C132F9" w:rsidP="00C132F9"/>
    <w:p w14:paraId="78467616" w14:textId="0F46EE40" w:rsidR="00C132F9" w:rsidRPr="00C132F9" w:rsidRDefault="00C132F9" w:rsidP="00C132F9">
      <w:pPr>
        <w:numPr>
          <w:ilvl w:val="2"/>
          <w:numId w:val="2"/>
        </w:numPr>
        <w:spacing w:line="360" w:lineRule="auto"/>
        <w:outlineLvl w:val="2"/>
      </w:pPr>
      <w:r w:rsidRPr="00C132F9">
        <w:t>Under the violent patient regulations, once satisfied that a patient's behaviour warrants removal from the practice list, in order to remove a patient immediately, the practice is required under GMS and PMS regulations to:</w:t>
      </w:r>
    </w:p>
    <w:p w14:paraId="4E24CD3E" w14:textId="7D0E386C" w:rsidR="00C132F9" w:rsidRDefault="00C132F9" w:rsidP="00C132F9"/>
    <w:p w14:paraId="63403065" w14:textId="77777777" w:rsidR="003B5077" w:rsidRPr="00C132F9" w:rsidRDefault="003B5077" w:rsidP="00C132F9"/>
    <w:p w14:paraId="422D3283" w14:textId="77777777" w:rsidR="00C132F9" w:rsidRPr="00C132F9" w:rsidRDefault="00C132F9" w:rsidP="00C132F9">
      <w:pPr>
        <w:numPr>
          <w:ilvl w:val="2"/>
          <w:numId w:val="2"/>
        </w:numPr>
        <w:spacing w:line="360" w:lineRule="auto"/>
        <w:outlineLvl w:val="2"/>
        <w:rPr>
          <w:b/>
        </w:rPr>
      </w:pPr>
      <w:r w:rsidRPr="00C132F9">
        <w:rPr>
          <w:b/>
        </w:rPr>
        <w:t>Notify the Police</w:t>
      </w:r>
    </w:p>
    <w:p w14:paraId="5AF7A3A1" w14:textId="77777777" w:rsidR="00C132F9" w:rsidRPr="00C132F9" w:rsidRDefault="00C132F9" w:rsidP="00C132F9">
      <w:pPr>
        <w:keepNext/>
        <w:keepLines/>
        <w:numPr>
          <w:ilvl w:val="3"/>
          <w:numId w:val="2"/>
        </w:numPr>
        <w:spacing w:before="200" w:line="360" w:lineRule="auto"/>
        <w:outlineLvl w:val="3"/>
        <w:rPr>
          <w:rFonts w:eastAsiaTheme="majorEastAsia" w:cstheme="majorBidi"/>
          <w:bCs w:val="0"/>
          <w:iCs/>
          <w:color w:val="000000" w:themeColor="text1"/>
          <w:lang w:eastAsia="en-GB"/>
        </w:rPr>
      </w:pPr>
      <w:r w:rsidRPr="00C132F9">
        <w:rPr>
          <w:rFonts w:eastAsiaTheme="majorEastAsia" w:cstheme="majorBidi"/>
          <w:bCs w:val="0"/>
          <w:iCs/>
          <w:color w:val="000000" w:themeColor="text1"/>
          <w:lang w:eastAsia="en-GB"/>
        </w:rPr>
        <w:t>In order to remove a patient immediately for cases of serious violent assault, threat or damage, the situation has to be serious enough to justify reporting the incident to the police in an appropriate timeframe, due to the incident having left the person feeling sufficiently threatened for their own safety, or that of another.</w:t>
      </w:r>
    </w:p>
    <w:p w14:paraId="694D41BC" w14:textId="150B6342" w:rsidR="00C132F9" w:rsidRPr="00C132F9" w:rsidRDefault="00C132F9" w:rsidP="00C132F9">
      <w:pPr>
        <w:keepNext/>
        <w:keepLines/>
        <w:numPr>
          <w:ilvl w:val="3"/>
          <w:numId w:val="2"/>
        </w:numPr>
        <w:spacing w:before="200" w:line="360" w:lineRule="auto"/>
        <w:outlineLvl w:val="3"/>
        <w:rPr>
          <w:rFonts w:eastAsiaTheme="majorEastAsia" w:cstheme="majorBidi"/>
          <w:bCs w:val="0"/>
          <w:iCs/>
          <w:color w:val="000000" w:themeColor="text1"/>
          <w:lang w:eastAsia="en-GB"/>
        </w:rPr>
      </w:pPr>
      <w:r w:rsidRPr="00C132F9">
        <w:rPr>
          <w:rFonts w:eastAsiaTheme="majorEastAsia" w:cstheme="majorBidi"/>
          <w:bCs w:val="0"/>
          <w:iCs/>
          <w:color w:val="000000" w:themeColor="text1"/>
          <w:lang w:eastAsia="en-GB"/>
        </w:rPr>
        <w:t xml:space="preserve">The practice, where appropriate, should dial 999 on the day of the incident and if necessary, summon police assistance/attendance.  When contacting the police, it is important that the practice makes it clear that an incident has occurred about which the practice wants to make a formal statement as soon as possible, so as to support the situation that is to qualify for immediate removal. </w:t>
      </w:r>
    </w:p>
    <w:p w14:paraId="53DFB8DD" w14:textId="77777777" w:rsidR="00C132F9" w:rsidRPr="00C132F9" w:rsidRDefault="00C132F9" w:rsidP="00C132F9">
      <w:pPr>
        <w:keepNext/>
        <w:keepLines/>
        <w:numPr>
          <w:ilvl w:val="3"/>
          <w:numId w:val="2"/>
        </w:numPr>
        <w:spacing w:before="200" w:line="360" w:lineRule="auto"/>
        <w:outlineLvl w:val="3"/>
        <w:rPr>
          <w:rFonts w:eastAsiaTheme="majorEastAsia" w:cstheme="majorBidi"/>
          <w:bCs w:val="0"/>
          <w:iCs/>
          <w:color w:val="000000" w:themeColor="text1"/>
          <w:lang w:eastAsia="en-GB"/>
        </w:rPr>
      </w:pPr>
      <w:r w:rsidRPr="00C132F9">
        <w:rPr>
          <w:rFonts w:eastAsiaTheme="majorEastAsia" w:cstheme="majorBidi"/>
          <w:bCs w:val="0"/>
          <w:iCs/>
          <w:color w:val="000000" w:themeColor="text1"/>
          <w:lang w:eastAsia="en-GB"/>
        </w:rPr>
        <w:t>Due to the nature of incidents requiring an immediate removal under these regulations, it would not be expected that the practice notify the police days after the incident. A further contact to the police within 7 days may be required if the incident number for the call wasn’t recorded, retained or provided at the time of the call.  The SAS policy is in place for urgent incidences and as such, this information and evidence may be used for local audit purposes.</w:t>
      </w:r>
    </w:p>
    <w:p w14:paraId="48C3E1E2" w14:textId="77777777" w:rsidR="00C132F9" w:rsidRPr="00C132F9" w:rsidRDefault="00C132F9" w:rsidP="00C132F9">
      <w:pPr>
        <w:numPr>
          <w:ilvl w:val="2"/>
          <w:numId w:val="2"/>
        </w:numPr>
        <w:spacing w:line="360" w:lineRule="auto"/>
        <w:outlineLvl w:val="2"/>
        <w:rPr>
          <w:b/>
        </w:rPr>
      </w:pPr>
      <w:r w:rsidRPr="00C132F9">
        <w:rPr>
          <w:b/>
        </w:rPr>
        <w:t>Notify the Commissioner (via PCSE)</w:t>
      </w:r>
    </w:p>
    <w:p w14:paraId="1DBD6EA6" w14:textId="2B423F1D" w:rsidR="00C132F9" w:rsidRPr="00C132F9" w:rsidRDefault="00F36F8F" w:rsidP="00C132F9">
      <w:pPr>
        <w:keepNext/>
        <w:keepLines/>
        <w:numPr>
          <w:ilvl w:val="3"/>
          <w:numId w:val="2"/>
        </w:numPr>
        <w:spacing w:before="200" w:line="360" w:lineRule="auto"/>
        <w:outlineLvl w:val="3"/>
        <w:rPr>
          <w:rFonts w:eastAsiaTheme="majorEastAsia" w:cstheme="majorBidi"/>
          <w:bCs w:val="0"/>
          <w:iCs/>
          <w:color w:val="000000" w:themeColor="text1"/>
          <w:lang w:eastAsia="en-GB"/>
        </w:rPr>
      </w:pPr>
      <w:r w:rsidRPr="002C29ED">
        <w:rPr>
          <w:highlight w:val="yellow"/>
        </w:rPr>
        <w:t>The practice is required to notify the Commissioner via PCSE by using the</w:t>
      </w:r>
      <w:r w:rsidRPr="002C29ED">
        <w:rPr>
          <w:rFonts w:cs="Arial"/>
          <w:i/>
          <w:sz w:val="20"/>
          <w:szCs w:val="20"/>
          <w:highlight w:val="yellow"/>
        </w:rPr>
        <w:t xml:space="preserve"> </w:t>
      </w:r>
      <w:r w:rsidRPr="0078541C">
        <w:rPr>
          <w:rFonts w:cs="Arial"/>
          <w:iCs/>
          <w:szCs w:val="24"/>
          <w:highlight w:val="yellow"/>
        </w:rPr>
        <w:t>online forms via the PCSE website  at</w:t>
      </w:r>
      <w:r w:rsidRPr="002C29ED">
        <w:rPr>
          <w:rFonts w:cs="Arial"/>
          <w:i/>
          <w:sz w:val="20"/>
          <w:szCs w:val="20"/>
          <w:highlight w:val="yellow"/>
        </w:rPr>
        <w:t xml:space="preserve"> </w:t>
      </w:r>
      <w:hyperlink r:id="rId98" w:tgtFrame="_blank" w:history="1">
        <w:r w:rsidRPr="002C29ED">
          <w:rPr>
            <w:rStyle w:val="Hyperlink"/>
            <w:rFonts w:cs="Arial"/>
            <w:i/>
            <w:color w:val="4A6EE0"/>
            <w:sz w:val="20"/>
            <w:szCs w:val="20"/>
            <w:highlight w:val="yellow"/>
          </w:rPr>
          <w:t>Contact us - Primary Care Support England</w:t>
        </w:r>
      </w:hyperlink>
      <w:r>
        <w:rPr>
          <w:rFonts w:cs="Arial"/>
          <w:i/>
          <w:sz w:val="20"/>
          <w:szCs w:val="20"/>
        </w:rPr>
        <w:t xml:space="preserve"> </w:t>
      </w:r>
      <w:r w:rsidRPr="00E54C11" w:rsidDel="00687046">
        <w:t xml:space="preserve"> </w:t>
      </w:r>
      <w:r w:rsidR="00C132F9" w:rsidRPr="00C132F9">
        <w:rPr>
          <w:rFonts w:eastAsiaTheme="majorEastAsia" w:cstheme="majorBidi"/>
          <w:bCs w:val="0"/>
          <w:iCs/>
          <w:color w:val="000000" w:themeColor="text1"/>
          <w:lang w:eastAsia="en-GB"/>
        </w:rPr>
        <w:t xml:space="preserve">At this point there will be a reasonable expectation that practices will be able to evidence contact with the police by passing on details of an incident number or detail why this has not been possible and if possible call back with an incident number as soon as practical. The practice will be required to follow up the call with a written report of the incident (including police incident number), preferably within 24 hours but no more than 7 days after the incident occurring and via email to the Commissioner.  A sample reporting form for recording the incident can be found in Appendix One. </w:t>
      </w:r>
    </w:p>
    <w:p w14:paraId="074A9E17" w14:textId="73230D40" w:rsidR="00C132F9" w:rsidRPr="00C132F9" w:rsidRDefault="00C132F9" w:rsidP="00C132F9">
      <w:pPr>
        <w:keepNext/>
        <w:keepLines/>
        <w:numPr>
          <w:ilvl w:val="3"/>
          <w:numId w:val="2"/>
        </w:numPr>
        <w:spacing w:before="200" w:line="360" w:lineRule="auto"/>
        <w:outlineLvl w:val="3"/>
        <w:rPr>
          <w:rFonts w:eastAsiaTheme="majorEastAsia" w:cstheme="majorBidi"/>
          <w:bCs w:val="0"/>
          <w:iCs/>
          <w:color w:val="000000" w:themeColor="text1"/>
          <w:lang w:eastAsia="en-GB"/>
        </w:rPr>
      </w:pPr>
      <w:r w:rsidRPr="00C132F9">
        <w:rPr>
          <w:rFonts w:eastAsiaTheme="majorEastAsia" w:cstheme="majorBidi"/>
          <w:bCs w:val="0"/>
          <w:iCs/>
          <w:color w:val="000000" w:themeColor="text1"/>
          <w:lang w:eastAsia="en-GB"/>
        </w:rPr>
        <w:t>The practice must notify the patient that it has requested their removal from the patient list, as set out in the regulations, unless an exception applies under the Regulations (see section 2.14).</w:t>
      </w:r>
    </w:p>
    <w:p w14:paraId="549F8C48" w14:textId="77777777" w:rsidR="00C132F9" w:rsidRPr="00C132F9" w:rsidRDefault="00C132F9" w:rsidP="00C132F9">
      <w:pPr>
        <w:keepNext/>
        <w:keepLines/>
        <w:numPr>
          <w:ilvl w:val="3"/>
          <w:numId w:val="2"/>
        </w:numPr>
        <w:spacing w:before="200" w:line="360" w:lineRule="auto"/>
        <w:outlineLvl w:val="3"/>
        <w:rPr>
          <w:rFonts w:eastAsiaTheme="majorEastAsia" w:cstheme="majorBidi"/>
          <w:bCs w:val="0"/>
          <w:iCs/>
          <w:color w:val="000000" w:themeColor="text1"/>
          <w:lang w:eastAsia="en-GB"/>
        </w:rPr>
      </w:pPr>
      <w:r w:rsidRPr="00C132F9">
        <w:rPr>
          <w:rFonts w:eastAsiaTheme="majorEastAsia" w:cstheme="majorBidi"/>
          <w:bCs w:val="0"/>
          <w:iCs/>
          <w:color w:val="000000" w:themeColor="text1"/>
          <w:lang w:eastAsia="en-GB"/>
        </w:rPr>
        <w:t>PCSE will ensure the patient removal process commences. Following the removal and in conjunction with the commissioners as necessary, PCSE will decide on the best arrangement to ensure continuity in primary care service for the patient. This may include allocation to the SAS (but recognises the patient retains the right to choose not to be registered at all). A flag is placed on the patient record which prevents the patient from registering at other GP Practices.</w:t>
      </w:r>
    </w:p>
    <w:p w14:paraId="07D57B47" w14:textId="77777777" w:rsidR="00C132F9" w:rsidRPr="00C132F9" w:rsidRDefault="00C132F9" w:rsidP="00C132F9">
      <w:pPr>
        <w:keepNext/>
        <w:keepLines/>
        <w:numPr>
          <w:ilvl w:val="3"/>
          <w:numId w:val="2"/>
        </w:numPr>
        <w:spacing w:before="200" w:line="360" w:lineRule="auto"/>
        <w:outlineLvl w:val="3"/>
        <w:rPr>
          <w:rFonts w:eastAsiaTheme="majorEastAsia" w:cstheme="majorBidi"/>
          <w:bCs w:val="0"/>
          <w:iCs/>
          <w:color w:val="000000" w:themeColor="text1"/>
          <w:lang w:eastAsia="en-GB"/>
        </w:rPr>
      </w:pPr>
      <w:r w:rsidRPr="00C132F9">
        <w:rPr>
          <w:rFonts w:eastAsiaTheme="majorEastAsia" w:cstheme="majorBidi"/>
          <w:bCs w:val="0"/>
          <w:iCs/>
          <w:color w:val="000000" w:themeColor="text1"/>
          <w:lang w:eastAsia="en-GB"/>
        </w:rPr>
        <w:t xml:space="preserve">PCSE will write to the patient to notify them of the removal and ongoing management arrangements (standardised letter at appendix 7).  It is expected that this process will be completed within a 24 hour working period from the initial notification. </w:t>
      </w:r>
    </w:p>
    <w:p w14:paraId="23E71375" w14:textId="687497DA" w:rsidR="00C132F9" w:rsidRPr="00C132F9" w:rsidRDefault="00C132F9" w:rsidP="00C132F9">
      <w:pPr>
        <w:widowControl w:val="0"/>
        <w:spacing w:before="200" w:after="60" w:line="276" w:lineRule="auto"/>
        <w:jc w:val="both"/>
        <w:rPr>
          <w:b/>
          <w:bCs w:val="0"/>
          <w:szCs w:val="20"/>
          <w:lang w:eastAsia="en-GB"/>
        </w:rPr>
      </w:pPr>
      <w:r w:rsidRPr="00C132F9">
        <w:rPr>
          <w:b/>
          <w:bCs w:val="0"/>
          <w:szCs w:val="20"/>
          <w:lang w:eastAsia="en-GB"/>
        </w:rPr>
        <w:t>NB After removal, all patients must be allocated to and accepted by the CCG</w:t>
      </w:r>
      <w:r w:rsidR="00F222D2">
        <w:rPr>
          <w:b/>
          <w:bCs w:val="0"/>
          <w:szCs w:val="20"/>
          <w:lang w:eastAsia="en-GB"/>
        </w:rPr>
        <w:t>/ICB</w:t>
      </w:r>
      <w:r w:rsidRPr="00C132F9">
        <w:rPr>
          <w:b/>
          <w:bCs w:val="0"/>
          <w:szCs w:val="20"/>
          <w:lang w:eastAsia="en-GB"/>
        </w:rPr>
        <w:t xml:space="preserve"> commissioned SAS. Subsequently, all patients allocated to SAS should be reviewed by a SAS Panel. The panel will monitor the ongoing appropriateness of the patients continued registration with the SAS and their rehabilitation</w:t>
      </w:r>
      <w:r w:rsidRPr="00C132F9">
        <w:rPr>
          <w:rFonts w:cs="Arial"/>
          <w:b/>
          <w:bCs w:val="0"/>
          <w:szCs w:val="20"/>
          <w:lang w:eastAsia="en-GB"/>
        </w:rPr>
        <w:t>.  This is with a view to safely returning choice to the patient in timely way</w:t>
      </w:r>
      <w:r w:rsidRPr="00C132F9">
        <w:rPr>
          <w:b/>
          <w:bCs w:val="0"/>
          <w:szCs w:val="20"/>
          <w:lang w:eastAsia="en-GB"/>
        </w:rPr>
        <w:t xml:space="preserve"> and reintegration to mainstream Primary Care.</w:t>
      </w:r>
    </w:p>
    <w:p w14:paraId="11F57A1D" w14:textId="77777777" w:rsidR="00C132F9" w:rsidRPr="00C132F9" w:rsidRDefault="00C132F9" w:rsidP="00C132F9">
      <w:pPr>
        <w:widowControl w:val="0"/>
        <w:spacing w:before="200" w:after="60" w:line="276" w:lineRule="auto"/>
        <w:jc w:val="both"/>
        <w:rPr>
          <w:b/>
          <w:bCs w:val="0"/>
          <w:szCs w:val="20"/>
          <w:lang w:eastAsia="en-GB"/>
        </w:rPr>
      </w:pPr>
    </w:p>
    <w:p w14:paraId="72E23FF9" w14:textId="328A8045" w:rsidR="00C132F9" w:rsidRPr="00C132F9" w:rsidRDefault="00C132F9" w:rsidP="00C132F9">
      <w:pPr>
        <w:numPr>
          <w:ilvl w:val="2"/>
          <w:numId w:val="2"/>
        </w:numPr>
        <w:spacing w:line="360" w:lineRule="auto"/>
        <w:outlineLvl w:val="2"/>
      </w:pPr>
      <w:r w:rsidRPr="00C132F9">
        <w:t xml:space="preserve">Registered providers and managers of NHS GP and other primary medical services must also comply with their regulatory obligations. For example, to notify CQC about certain incidents that took place “while an activity is actually being provided or as “a consequence of its being provided” (CQC, 2013) and when an incident is reported to or investigated by the police. For more information, </w:t>
      </w:r>
      <w:hyperlink r:id="rId99" w:history="1">
        <w:r w:rsidRPr="00C132F9">
          <w:rPr>
            <w:color w:val="0000FF"/>
            <w:u w:val="single"/>
          </w:rPr>
          <w:t>click here</w:t>
        </w:r>
      </w:hyperlink>
      <w:r w:rsidRPr="00C132F9">
        <w:t>.</w:t>
      </w:r>
    </w:p>
    <w:p w14:paraId="6CBD36CE" w14:textId="77777777" w:rsidR="00C132F9" w:rsidRPr="00C132F9" w:rsidRDefault="00C132F9" w:rsidP="00C132F9">
      <w:pPr>
        <w:numPr>
          <w:ilvl w:val="2"/>
          <w:numId w:val="2"/>
        </w:numPr>
        <w:spacing w:line="360" w:lineRule="auto"/>
        <w:outlineLvl w:val="2"/>
      </w:pPr>
      <w:r w:rsidRPr="00C132F9">
        <w:t>For further information relating to the process following an allocation to the scheme, please refer to Appendix Two.</w:t>
      </w:r>
    </w:p>
    <w:p w14:paraId="31EC66B6" w14:textId="139B3A34" w:rsidR="00C132F9" w:rsidRPr="00C132F9" w:rsidRDefault="00C132F9" w:rsidP="00C132F9">
      <w:pPr>
        <w:numPr>
          <w:ilvl w:val="2"/>
          <w:numId w:val="2"/>
        </w:numPr>
        <w:spacing w:line="360" w:lineRule="auto"/>
        <w:outlineLvl w:val="2"/>
      </w:pPr>
      <w:r w:rsidRPr="00C132F9">
        <w:t>The practice should notify the patient that it has requested their removal from the list unless an exception applies under the Regulations (see section 2.14)</w:t>
      </w:r>
    </w:p>
    <w:p w14:paraId="4514A785" w14:textId="77777777" w:rsidR="00C132F9" w:rsidRPr="00C132F9" w:rsidRDefault="00C132F9" w:rsidP="00C132F9"/>
    <w:p w14:paraId="062CA949" w14:textId="301C3C09" w:rsidR="00C132F9" w:rsidRPr="00C132F9" w:rsidRDefault="00C132F9" w:rsidP="00C132F9">
      <w:pPr>
        <w:numPr>
          <w:ilvl w:val="2"/>
          <w:numId w:val="2"/>
        </w:numPr>
        <w:spacing w:line="360" w:lineRule="auto"/>
        <w:outlineLvl w:val="2"/>
      </w:pPr>
      <w:r w:rsidRPr="00C132F9">
        <w:rPr>
          <w:b/>
        </w:rPr>
        <w:t>Patient Appeals Process</w:t>
      </w:r>
    </w:p>
    <w:p w14:paraId="43CF2ADE" w14:textId="4E6B7A75" w:rsidR="00C132F9" w:rsidRPr="00C132F9" w:rsidRDefault="00C132F9" w:rsidP="00C132F9">
      <w:pPr>
        <w:numPr>
          <w:ilvl w:val="2"/>
          <w:numId w:val="2"/>
        </w:numPr>
        <w:spacing w:line="360" w:lineRule="auto"/>
        <w:outlineLvl w:val="2"/>
      </w:pPr>
      <w:r w:rsidRPr="00C132F9">
        <w:t xml:space="preserve">It is recognised that GP practices report incidents to the police and request  immediate removal where there is due cause and to protect the safety of practice staff, patients and visitors. </w:t>
      </w:r>
    </w:p>
    <w:p w14:paraId="3CB06DEE" w14:textId="687FDDAD" w:rsidR="00C132F9" w:rsidRPr="00C132F9" w:rsidRDefault="00C132F9" w:rsidP="00C132F9">
      <w:pPr>
        <w:numPr>
          <w:ilvl w:val="2"/>
          <w:numId w:val="2"/>
        </w:numPr>
        <w:spacing w:line="360" w:lineRule="auto"/>
        <w:outlineLvl w:val="2"/>
      </w:pPr>
      <w:r w:rsidRPr="00C132F9">
        <w:t>The appeals process must recognise that a practice has already fulfilled its obligation under the Regulations by reporting the incident to the police and notifying the Commissioner.</w:t>
      </w:r>
    </w:p>
    <w:p w14:paraId="257CA2F6" w14:textId="79EC25BC" w:rsidR="00C132F9" w:rsidRPr="00C132F9" w:rsidRDefault="00C132F9" w:rsidP="00C132F9">
      <w:pPr>
        <w:numPr>
          <w:ilvl w:val="2"/>
          <w:numId w:val="2"/>
        </w:numPr>
        <w:spacing w:line="360" w:lineRule="auto"/>
        <w:outlineLvl w:val="2"/>
        <w:rPr>
          <w:b/>
          <w:color w:val="FF0000"/>
        </w:rPr>
      </w:pPr>
      <w:r w:rsidRPr="00C132F9">
        <w:t xml:space="preserve">The patient referred to the SAS has a right of appeal and should they wish to do so, can appeal against the decision by putting this in writing within 28 days of the notification of the referral, addressing it to the Commissioner's SAS Liaison Team.  The Commissioner will contact the practice to notify them of the appeal and invite them to provide any supplementary information in relation to the removal. </w:t>
      </w:r>
    </w:p>
    <w:p w14:paraId="0DCB8722" w14:textId="71E62A49" w:rsidR="00C132F9" w:rsidRPr="00C132F9" w:rsidRDefault="00C132F9" w:rsidP="00C132F9">
      <w:pPr>
        <w:numPr>
          <w:ilvl w:val="2"/>
          <w:numId w:val="2"/>
        </w:numPr>
        <w:spacing w:line="360" w:lineRule="auto"/>
        <w:outlineLvl w:val="2"/>
      </w:pPr>
      <w:r w:rsidRPr="00C132F9">
        <w:rPr>
          <w:b/>
          <w:color w:val="FF0000"/>
        </w:rPr>
        <w:t>The appeals process does not delay the immediate removal of a patient following an incident that has been reported to the police and the commissioner (via PCSE).</w:t>
      </w:r>
    </w:p>
    <w:p w14:paraId="52351292" w14:textId="0C45CB6D" w:rsidR="00C132F9" w:rsidRPr="00C132F9" w:rsidRDefault="00C132F9" w:rsidP="00C132F9">
      <w:pPr>
        <w:numPr>
          <w:ilvl w:val="2"/>
          <w:numId w:val="2"/>
        </w:numPr>
        <w:spacing w:line="360" w:lineRule="auto"/>
        <w:outlineLvl w:val="2"/>
      </w:pPr>
      <w:r w:rsidRPr="00C132F9">
        <w:t xml:space="preserve">The appeal should be reviewed by a panel convened by the Commissioner (a ‘SAS Panel’) within 28 days of receipt of the patient’s appeal. The panel should include appropriate representations (including LMCs and if appropriate, a patient representative or patient representative group, (when requested by or agreed with the patient). A </w:t>
      </w:r>
      <w:r w:rsidRPr="00C132F9">
        <w:rPr>
          <w:b/>
        </w:rPr>
        <w:t>sample</w:t>
      </w:r>
      <w:r w:rsidRPr="00C132F9">
        <w:t xml:space="preserve"> terms of reference for an appeal panel is provided in appendix 8.</w:t>
      </w:r>
    </w:p>
    <w:p w14:paraId="283AFDCB" w14:textId="764410F1" w:rsidR="00C132F9" w:rsidRPr="00C132F9" w:rsidRDefault="00C132F9" w:rsidP="00C132F9">
      <w:pPr>
        <w:numPr>
          <w:ilvl w:val="2"/>
          <w:numId w:val="2"/>
        </w:numPr>
        <w:spacing w:line="360" w:lineRule="auto"/>
        <w:outlineLvl w:val="2"/>
      </w:pPr>
      <w:r w:rsidRPr="00C132F9">
        <w:t xml:space="preserve">The Commissioner will notify the patient of the decision in writing within 14 days of the SAS Panel decision, having first discussed the outcome with the practice from which the patient was removed. </w:t>
      </w:r>
    </w:p>
    <w:p w14:paraId="476F82E9" w14:textId="6113844A" w:rsidR="00C132F9" w:rsidRPr="00C132F9" w:rsidRDefault="00C132F9" w:rsidP="00C132F9">
      <w:pPr>
        <w:numPr>
          <w:ilvl w:val="2"/>
          <w:numId w:val="2"/>
        </w:numPr>
        <w:spacing w:line="360" w:lineRule="auto"/>
        <w:outlineLvl w:val="2"/>
      </w:pPr>
      <w:r w:rsidRPr="00C132F9">
        <w:t>It is the responsibility of the SAS panel to review the evidence provided by the patient in support of their appeal.  The SAS Panel will uphold or reject the appeal where it has reasonably considered if a removal under the regulations was made in error, or inappropriately.</w:t>
      </w:r>
    </w:p>
    <w:p w14:paraId="06F6AB3C" w14:textId="73C58A1F" w:rsidR="00C132F9" w:rsidRPr="00C132F9" w:rsidRDefault="00C132F9" w:rsidP="00C132F9">
      <w:pPr>
        <w:numPr>
          <w:ilvl w:val="2"/>
          <w:numId w:val="2"/>
        </w:numPr>
        <w:spacing w:line="360" w:lineRule="auto"/>
        <w:outlineLvl w:val="2"/>
      </w:pPr>
      <w:r w:rsidRPr="00C132F9">
        <w:t>Pending the outcome of any appeals process, should the patient need to access Primary Medical Care, this would have to be provided by the SAS to which the patient had been allocated</w:t>
      </w:r>
    </w:p>
    <w:p w14:paraId="7C50ADC3" w14:textId="6F49BDB4" w:rsidR="00C132F9" w:rsidRPr="00C132F9" w:rsidRDefault="00C132F9" w:rsidP="00C132F9"/>
    <w:p w14:paraId="7AFF8AC3" w14:textId="193CB5EE" w:rsidR="00C132F9" w:rsidRPr="00C132F9" w:rsidRDefault="00C132F9" w:rsidP="00C132F9">
      <w:pPr>
        <w:numPr>
          <w:ilvl w:val="2"/>
          <w:numId w:val="2"/>
        </w:numPr>
        <w:spacing w:line="360" w:lineRule="auto"/>
        <w:outlineLvl w:val="2"/>
        <w:rPr>
          <w:b/>
        </w:rPr>
      </w:pPr>
      <w:r w:rsidRPr="00C132F9">
        <w:rPr>
          <w:b/>
        </w:rPr>
        <w:t>Patient Appeals – Additional information</w:t>
      </w:r>
    </w:p>
    <w:p w14:paraId="1549CBAA" w14:textId="64041E1A" w:rsidR="00C132F9" w:rsidRPr="00C132F9" w:rsidRDefault="00C132F9" w:rsidP="00C132F9"/>
    <w:p w14:paraId="0D03BF83" w14:textId="44777AF9" w:rsidR="00C132F9" w:rsidRPr="00C132F9" w:rsidRDefault="00C132F9" w:rsidP="00C132F9">
      <w:pPr>
        <w:keepNext/>
        <w:keepLines/>
        <w:numPr>
          <w:ilvl w:val="3"/>
          <w:numId w:val="2"/>
        </w:numPr>
        <w:spacing w:before="200" w:line="360" w:lineRule="auto"/>
        <w:outlineLvl w:val="3"/>
        <w:rPr>
          <w:rFonts w:eastAsiaTheme="majorEastAsia" w:cstheme="majorBidi"/>
          <w:bCs w:val="0"/>
          <w:iCs/>
          <w:color w:val="000000" w:themeColor="text1"/>
          <w:lang w:eastAsia="en-GB"/>
        </w:rPr>
      </w:pPr>
      <w:r w:rsidRPr="00C132F9">
        <w:rPr>
          <w:rFonts w:eastAsiaTheme="majorEastAsia" w:cstheme="majorBidi"/>
          <w:bCs w:val="0"/>
          <w:iCs/>
          <w:color w:val="000000" w:themeColor="text1"/>
          <w:lang w:eastAsia="en-GB"/>
        </w:rPr>
        <w:t>To support appeal panels in their reaching a determination some sample considerations are provided below (these lists are not exhaustive).</w:t>
      </w:r>
    </w:p>
    <w:p w14:paraId="1F6C8C04" w14:textId="077FBA1A" w:rsidR="00C132F9" w:rsidRPr="00C132F9" w:rsidRDefault="00C132F9" w:rsidP="00C132F9">
      <w:pPr>
        <w:keepNext/>
        <w:keepLines/>
        <w:numPr>
          <w:ilvl w:val="4"/>
          <w:numId w:val="2"/>
        </w:numPr>
        <w:spacing w:before="200" w:line="360" w:lineRule="auto"/>
        <w:outlineLvl w:val="4"/>
        <w:rPr>
          <w:rFonts w:eastAsiaTheme="majorEastAsia" w:cs="Arial"/>
          <w:color w:val="000000" w:themeColor="text1"/>
          <w:lang w:eastAsia="en-GB"/>
        </w:rPr>
      </w:pPr>
      <w:r w:rsidRPr="00C132F9">
        <w:rPr>
          <w:rFonts w:eastAsiaTheme="majorEastAsia" w:cs="Arial"/>
          <w:color w:val="000000" w:themeColor="text1"/>
          <w:lang w:eastAsia="en-GB"/>
        </w:rPr>
        <w:t>The panel should be assured that:</w:t>
      </w:r>
    </w:p>
    <w:p w14:paraId="75A91207" w14:textId="77777777" w:rsidR="00C132F9" w:rsidRPr="00C132F9" w:rsidRDefault="00C132F9" w:rsidP="00C132F9">
      <w:pPr>
        <w:spacing w:line="276" w:lineRule="auto"/>
      </w:pPr>
    </w:p>
    <w:p w14:paraId="68F0C465" w14:textId="40EC699E" w:rsidR="00C132F9" w:rsidRPr="00C132F9" w:rsidRDefault="00C132F9" w:rsidP="006C3DF5">
      <w:pPr>
        <w:numPr>
          <w:ilvl w:val="0"/>
          <w:numId w:val="120"/>
        </w:numPr>
        <w:spacing w:line="276" w:lineRule="auto"/>
        <w:contextualSpacing/>
      </w:pPr>
      <w:r w:rsidRPr="00C132F9">
        <w:t>The identity of the removed patient and that of the patient that was involved in the incident should be confirmed as the same and be without any doubt.</w:t>
      </w:r>
    </w:p>
    <w:p w14:paraId="6FB1D14C" w14:textId="34059FBC" w:rsidR="00C132F9" w:rsidRPr="00C132F9" w:rsidRDefault="00C132F9" w:rsidP="006C3DF5">
      <w:pPr>
        <w:numPr>
          <w:ilvl w:val="0"/>
          <w:numId w:val="120"/>
        </w:numPr>
        <w:spacing w:line="276" w:lineRule="auto"/>
        <w:contextualSpacing/>
      </w:pPr>
      <w:r w:rsidRPr="00C132F9">
        <w:t>Where the reported incident occurred during a clinical consultation, the removed patient had an appointment at the practice on the same day.</w:t>
      </w:r>
    </w:p>
    <w:p w14:paraId="56CDC9A9" w14:textId="568245C5" w:rsidR="00C132F9" w:rsidRPr="00C132F9" w:rsidRDefault="00C132F9" w:rsidP="006C3DF5">
      <w:pPr>
        <w:numPr>
          <w:ilvl w:val="0"/>
          <w:numId w:val="120"/>
        </w:numPr>
        <w:spacing w:line="276" w:lineRule="auto"/>
        <w:contextualSpacing/>
      </w:pPr>
      <w:r w:rsidRPr="00C132F9">
        <w:t>A police incident number has been provided, either at the time of the removal or within 7 days as part of the written report.</w:t>
      </w:r>
    </w:p>
    <w:p w14:paraId="5EBB68B0" w14:textId="53922935" w:rsidR="00C132F9" w:rsidRPr="00C132F9" w:rsidRDefault="00C132F9" w:rsidP="006C3DF5">
      <w:pPr>
        <w:numPr>
          <w:ilvl w:val="0"/>
          <w:numId w:val="120"/>
        </w:numPr>
        <w:spacing w:line="276" w:lineRule="auto"/>
        <w:contextualSpacing/>
      </w:pPr>
      <w:r w:rsidRPr="00C132F9">
        <w:t>That a written report has been submitted to the Board (usually via PCSE)</w:t>
      </w:r>
    </w:p>
    <w:p w14:paraId="2943C766" w14:textId="44C6FFD9" w:rsidR="00C132F9" w:rsidRPr="00C132F9" w:rsidRDefault="00C132F9" w:rsidP="006C3DF5">
      <w:pPr>
        <w:numPr>
          <w:ilvl w:val="0"/>
          <w:numId w:val="120"/>
        </w:numPr>
        <w:spacing w:line="276" w:lineRule="auto"/>
        <w:contextualSpacing/>
      </w:pPr>
      <w:r w:rsidRPr="00C132F9">
        <w:t>The information provided in the report is consistent with the requirements for immediate removal, as set out in the GMS/PMS regulations.</w:t>
      </w:r>
    </w:p>
    <w:p w14:paraId="0BCC6F18" w14:textId="34B1FEE9" w:rsidR="00C132F9" w:rsidRPr="00C132F9" w:rsidRDefault="00C132F9" w:rsidP="006C3DF5">
      <w:pPr>
        <w:numPr>
          <w:ilvl w:val="0"/>
          <w:numId w:val="120"/>
        </w:numPr>
        <w:spacing w:line="276" w:lineRule="auto"/>
        <w:contextualSpacing/>
      </w:pPr>
      <w:r w:rsidRPr="00C132F9">
        <w:t>The content and strength of any evidence provided by the removed patient does not wholly support their claim that they should not have been removed (for example – clear and incontrovertible evidence that they were out of the country at the time of the incident or at another location e.g. in-patient in a hospital).</w:t>
      </w:r>
    </w:p>
    <w:p w14:paraId="080F5F6A" w14:textId="77777777" w:rsidR="00C132F9" w:rsidRPr="00C132F9" w:rsidRDefault="00C132F9" w:rsidP="00C132F9">
      <w:pPr>
        <w:spacing w:line="276" w:lineRule="auto"/>
      </w:pPr>
    </w:p>
    <w:p w14:paraId="458022B8" w14:textId="0F772815" w:rsidR="00C132F9" w:rsidRPr="00C132F9" w:rsidRDefault="00C132F9" w:rsidP="00C132F9">
      <w:pPr>
        <w:keepNext/>
        <w:keepLines/>
        <w:numPr>
          <w:ilvl w:val="4"/>
          <w:numId w:val="2"/>
        </w:numPr>
        <w:spacing w:line="276" w:lineRule="auto"/>
        <w:outlineLvl w:val="4"/>
        <w:rPr>
          <w:rFonts w:eastAsiaTheme="majorEastAsia" w:cs="Arial"/>
          <w:color w:val="000000" w:themeColor="text1"/>
          <w:lang w:eastAsia="en-GB"/>
        </w:rPr>
      </w:pPr>
      <w:r w:rsidRPr="00C132F9">
        <w:rPr>
          <w:rFonts w:eastAsiaTheme="majorEastAsia" w:cs="Arial"/>
          <w:color w:val="000000" w:themeColor="text1"/>
          <w:lang w:eastAsia="en-GB"/>
        </w:rPr>
        <w:t xml:space="preserve">The panel should also: </w:t>
      </w:r>
    </w:p>
    <w:p w14:paraId="0198DA4B" w14:textId="4F261F0C" w:rsidR="00C132F9" w:rsidRPr="00C132F9" w:rsidRDefault="00C132F9" w:rsidP="006C3DF5">
      <w:pPr>
        <w:numPr>
          <w:ilvl w:val="0"/>
          <w:numId w:val="120"/>
        </w:numPr>
        <w:spacing w:line="276" w:lineRule="auto"/>
        <w:contextualSpacing/>
      </w:pPr>
      <w:r w:rsidRPr="00C132F9">
        <w:t>Invite the patient to submit any further relevant information or a statement in relation to the alleged incident. This will ensure all parties are considered to have been treated fairly and equally should the matter be escalated to the PHSO or through a legal route.</w:t>
      </w:r>
    </w:p>
    <w:p w14:paraId="64607D96" w14:textId="3C757867" w:rsidR="00C132F9" w:rsidRPr="00C132F9" w:rsidRDefault="00C132F9" w:rsidP="006C3DF5">
      <w:pPr>
        <w:numPr>
          <w:ilvl w:val="0"/>
          <w:numId w:val="120"/>
        </w:numPr>
        <w:spacing w:line="276" w:lineRule="auto"/>
        <w:contextualSpacing/>
      </w:pPr>
      <w:r w:rsidRPr="00C132F9">
        <w:t xml:space="preserve">Seek confirmation from the practice, which member of staff was involved in the incident </w:t>
      </w:r>
    </w:p>
    <w:p w14:paraId="74115307" w14:textId="7C56B5DE" w:rsidR="00C132F9" w:rsidRPr="00C132F9" w:rsidRDefault="00C132F9" w:rsidP="006C3DF5">
      <w:pPr>
        <w:numPr>
          <w:ilvl w:val="0"/>
          <w:numId w:val="120"/>
        </w:numPr>
        <w:spacing w:line="276" w:lineRule="auto"/>
        <w:contextualSpacing/>
      </w:pPr>
      <w:r w:rsidRPr="00C132F9">
        <w:t>Seek confirmation from the practice which member of staff requested the deduction</w:t>
      </w:r>
    </w:p>
    <w:p w14:paraId="258BF106" w14:textId="5194B3A1" w:rsidR="00C132F9" w:rsidRPr="00C132F9" w:rsidRDefault="00C132F9" w:rsidP="006C3DF5">
      <w:pPr>
        <w:numPr>
          <w:ilvl w:val="0"/>
          <w:numId w:val="120"/>
        </w:numPr>
        <w:spacing w:line="276" w:lineRule="auto"/>
        <w:contextualSpacing/>
      </w:pPr>
      <w:r w:rsidRPr="00C132F9">
        <w:t>Discuss the incident with the practice</w:t>
      </w:r>
    </w:p>
    <w:p w14:paraId="0FB5C9A0" w14:textId="2151F011" w:rsidR="00C132F9" w:rsidRPr="00C132F9" w:rsidRDefault="00C132F9" w:rsidP="006C3DF5">
      <w:pPr>
        <w:numPr>
          <w:ilvl w:val="0"/>
          <w:numId w:val="120"/>
        </w:numPr>
        <w:spacing w:line="276" w:lineRule="auto"/>
        <w:contextualSpacing/>
      </w:pPr>
      <w:r w:rsidRPr="00C132F9">
        <w:t>Re-confirm with the practice, the details of the patient involved in the incident and cross-check this with the details of the patient making the appeal.</w:t>
      </w:r>
    </w:p>
    <w:p w14:paraId="505B0989" w14:textId="6B9FDD16" w:rsidR="00C132F9" w:rsidRPr="00C132F9" w:rsidRDefault="00C132F9" w:rsidP="00C132F9">
      <w:pPr>
        <w:spacing w:line="276" w:lineRule="auto"/>
      </w:pPr>
    </w:p>
    <w:p w14:paraId="6EF18A07" w14:textId="05130FC4" w:rsidR="00C132F9" w:rsidRPr="00C132F9" w:rsidRDefault="00C132F9" w:rsidP="00C7504F">
      <w:pPr>
        <w:keepNext/>
        <w:keepLines/>
        <w:numPr>
          <w:ilvl w:val="3"/>
          <w:numId w:val="2"/>
        </w:numPr>
        <w:spacing w:before="200" w:line="360" w:lineRule="auto"/>
        <w:ind w:left="851" w:hanging="851"/>
        <w:outlineLvl w:val="3"/>
        <w:rPr>
          <w:rFonts w:eastAsiaTheme="majorEastAsia" w:cstheme="majorBidi"/>
          <w:bCs w:val="0"/>
          <w:iCs/>
          <w:color w:val="000000" w:themeColor="text1"/>
          <w:lang w:eastAsia="en-GB"/>
        </w:rPr>
      </w:pPr>
      <w:r w:rsidRPr="00C132F9">
        <w:rPr>
          <w:rFonts w:eastAsiaTheme="majorEastAsia" w:cstheme="majorBidi"/>
          <w:bCs w:val="0"/>
          <w:iCs/>
          <w:color w:val="000000" w:themeColor="text1"/>
          <w:lang w:eastAsia="en-GB"/>
        </w:rPr>
        <w:t>In reaching a determination the panel may conclude that the patient appeal should be upheld. In this case, the SAS flag on the patient records should be removed (by the commissioner notifying PCSE) and choice returned to the patient.  This presents a number of options to the panel and the commissioner and will depend entirely on the reason for upholding the appeal.</w:t>
      </w:r>
    </w:p>
    <w:p w14:paraId="71D3583A" w14:textId="52734718" w:rsidR="00C132F9" w:rsidRPr="00C132F9" w:rsidRDefault="00C132F9" w:rsidP="00C7504F">
      <w:pPr>
        <w:keepNext/>
        <w:keepLines/>
        <w:numPr>
          <w:ilvl w:val="3"/>
          <w:numId w:val="2"/>
        </w:numPr>
        <w:spacing w:before="200" w:line="360" w:lineRule="auto"/>
        <w:ind w:left="851" w:hanging="851"/>
        <w:outlineLvl w:val="3"/>
        <w:rPr>
          <w:rFonts w:eastAsiaTheme="majorEastAsia" w:cstheme="majorBidi"/>
          <w:bCs w:val="0"/>
          <w:iCs/>
          <w:color w:val="000000" w:themeColor="text1"/>
          <w:lang w:eastAsia="en-GB"/>
        </w:rPr>
      </w:pPr>
      <w:r w:rsidRPr="00C132F9">
        <w:rPr>
          <w:rFonts w:eastAsiaTheme="majorEastAsia" w:cstheme="majorBidi"/>
          <w:bCs w:val="0"/>
          <w:iCs/>
          <w:color w:val="000000" w:themeColor="text1"/>
          <w:lang w:eastAsia="en-GB"/>
        </w:rPr>
        <w:t>If for example a case of mistaken identity is confirmed, the panel in consultation with the commission may (if agreed in advance with the removing practice) seek to return the patient to the practice they were removed from.</w:t>
      </w:r>
    </w:p>
    <w:p w14:paraId="3B6D7E05" w14:textId="7441C379" w:rsidR="00C132F9" w:rsidRPr="00C132F9" w:rsidRDefault="00C132F9" w:rsidP="00C7504F">
      <w:pPr>
        <w:keepNext/>
        <w:keepLines/>
        <w:numPr>
          <w:ilvl w:val="3"/>
          <w:numId w:val="2"/>
        </w:numPr>
        <w:spacing w:before="200" w:line="360" w:lineRule="auto"/>
        <w:ind w:left="851" w:hanging="851"/>
        <w:outlineLvl w:val="3"/>
        <w:rPr>
          <w:rFonts w:eastAsiaTheme="majorEastAsia" w:cstheme="majorBidi"/>
          <w:bCs w:val="0"/>
          <w:iCs/>
          <w:color w:val="000000" w:themeColor="text1"/>
          <w:lang w:eastAsia="en-GB"/>
        </w:rPr>
      </w:pPr>
      <w:r w:rsidRPr="00C132F9">
        <w:rPr>
          <w:rFonts w:eastAsiaTheme="majorEastAsia" w:cstheme="majorBidi"/>
          <w:bCs w:val="0"/>
          <w:iCs/>
          <w:color w:val="000000" w:themeColor="text1"/>
          <w:lang w:eastAsia="en-GB"/>
        </w:rPr>
        <w:t>Return choice to the patient enabling them to choose another local practice.  This could be an option where the practice that removed the patient under the immediate removal process considers there has also been an irrevocable breakdown in relationship.</w:t>
      </w:r>
    </w:p>
    <w:p w14:paraId="19F500CE" w14:textId="755584C2" w:rsidR="00C132F9" w:rsidRPr="00C132F9" w:rsidRDefault="00C132F9" w:rsidP="00C7504F">
      <w:pPr>
        <w:keepNext/>
        <w:keepLines/>
        <w:numPr>
          <w:ilvl w:val="3"/>
          <w:numId w:val="2"/>
        </w:numPr>
        <w:spacing w:before="200" w:line="360" w:lineRule="auto"/>
        <w:ind w:left="851" w:hanging="851"/>
        <w:outlineLvl w:val="3"/>
        <w:rPr>
          <w:rFonts w:eastAsiaTheme="majorEastAsia" w:cstheme="majorBidi"/>
          <w:bCs w:val="0"/>
          <w:iCs/>
          <w:color w:val="000000" w:themeColor="text1"/>
          <w:lang w:eastAsia="en-GB"/>
        </w:rPr>
      </w:pPr>
      <w:r w:rsidRPr="00C132F9">
        <w:rPr>
          <w:rFonts w:eastAsiaTheme="majorEastAsia" w:cstheme="majorBidi"/>
          <w:bCs w:val="0"/>
          <w:iCs/>
          <w:color w:val="000000" w:themeColor="text1"/>
          <w:lang w:eastAsia="en-GB"/>
        </w:rPr>
        <w:t>In reaching a determination that the patient appeal should be rejected, the patient should remain on the SAS and be reviewed in accordance with policy</w:t>
      </w:r>
    </w:p>
    <w:p w14:paraId="5883D77D" w14:textId="5DAB7472" w:rsidR="00C132F9" w:rsidRPr="00C132F9" w:rsidRDefault="00C132F9" w:rsidP="00C7504F">
      <w:pPr>
        <w:keepNext/>
        <w:keepLines/>
        <w:numPr>
          <w:ilvl w:val="3"/>
          <w:numId w:val="2"/>
        </w:numPr>
        <w:spacing w:before="200" w:line="360" w:lineRule="auto"/>
        <w:ind w:left="851" w:hanging="851"/>
        <w:outlineLvl w:val="3"/>
        <w:rPr>
          <w:rFonts w:eastAsiaTheme="majorEastAsia" w:cstheme="majorBidi"/>
          <w:bCs w:val="0"/>
          <w:iCs/>
          <w:color w:val="000000" w:themeColor="text1"/>
          <w:lang w:eastAsia="en-GB"/>
        </w:rPr>
      </w:pPr>
      <w:r w:rsidRPr="00C132F9">
        <w:rPr>
          <w:rFonts w:eastAsiaTheme="majorEastAsia" w:cstheme="majorBidi"/>
          <w:bCs w:val="0"/>
          <w:iCs/>
          <w:color w:val="000000" w:themeColor="text1"/>
          <w:lang w:eastAsia="en-GB"/>
        </w:rPr>
        <w:t>In all cases the patient must be notified within 14 days of the appeal hearing</w:t>
      </w:r>
    </w:p>
    <w:p w14:paraId="3DFA19F4" w14:textId="569E0AC1" w:rsidR="00C132F9" w:rsidRPr="00C132F9" w:rsidRDefault="00C132F9" w:rsidP="00C132F9">
      <w:pPr>
        <w:keepNext/>
        <w:keepLines/>
        <w:numPr>
          <w:ilvl w:val="3"/>
          <w:numId w:val="2"/>
        </w:numPr>
        <w:spacing w:before="200" w:line="360" w:lineRule="auto"/>
        <w:outlineLvl w:val="3"/>
        <w:rPr>
          <w:rFonts w:eastAsiaTheme="majorEastAsia" w:cstheme="majorBidi"/>
          <w:bCs w:val="0"/>
          <w:iCs/>
          <w:color w:val="000000" w:themeColor="text1"/>
          <w:lang w:eastAsia="en-GB"/>
        </w:rPr>
      </w:pPr>
      <w:r w:rsidRPr="00C132F9">
        <w:rPr>
          <w:rFonts w:eastAsiaTheme="majorEastAsia" w:cstheme="majorBidi"/>
          <w:bCs w:val="0"/>
          <w:iCs/>
          <w:color w:val="000000" w:themeColor="text1"/>
          <w:lang w:eastAsia="en-GB"/>
        </w:rPr>
        <w:br w:type="page"/>
      </w:r>
    </w:p>
    <w:p w14:paraId="5ED094F9" w14:textId="0A30112E" w:rsidR="00C132F9" w:rsidRPr="00C132F9" w:rsidRDefault="00C132F9" w:rsidP="00C132F9">
      <w:pPr>
        <w:spacing w:before="200" w:after="60" w:line="276" w:lineRule="auto"/>
        <w:rPr>
          <w:rFonts w:cs="Arial"/>
          <w:color w:val="002060"/>
          <w:szCs w:val="24"/>
        </w:rPr>
      </w:pPr>
    </w:p>
    <w:p w14:paraId="02EFF1D2" w14:textId="77777777" w:rsidR="00C132F9" w:rsidRPr="00C132F9" w:rsidRDefault="00C132F9" w:rsidP="00C132F9">
      <w:pPr>
        <w:numPr>
          <w:ilvl w:val="1"/>
          <w:numId w:val="2"/>
        </w:numPr>
        <w:spacing w:line="360" w:lineRule="auto"/>
        <w:ind w:left="2561"/>
        <w:outlineLvl w:val="1"/>
        <w:rPr>
          <w:b/>
          <w:iCs/>
          <w:color w:val="7C2855" w:themeColor="background2"/>
          <w:sz w:val="28"/>
          <w:szCs w:val="28"/>
        </w:rPr>
      </w:pPr>
      <w:r w:rsidRPr="00C132F9">
        <w:rPr>
          <w:b/>
          <w:iCs/>
          <w:color w:val="7C2855" w:themeColor="background2"/>
          <w:sz w:val="28"/>
          <w:szCs w:val="28"/>
        </w:rPr>
        <w:t xml:space="preserve"> </w:t>
      </w:r>
      <w:bookmarkStart w:id="545" w:name="_Toc95743443"/>
      <w:r w:rsidRPr="00C132F9">
        <w:rPr>
          <w:b/>
          <w:iCs/>
          <w:color w:val="7C2855" w:themeColor="background2"/>
          <w:sz w:val="28"/>
          <w:szCs w:val="28"/>
        </w:rPr>
        <w:t>Appendices</w:t>
      </w:r>
      <w:bookmarkEnd w:id="545"/>
    </w:p>
    <w:p w14:paraId="4404FD91" w14:textId="37A08C79" w:rsidR="000362C3" w:rsidRDefault="00F222D2" w:rsidP="000362C3">
      <w:bookmarkStart w:id="546" w:name="_Toc483740433"/>
      <w:r w:rsidRPr="00D724A3">
        <w:rPr>
          <w:b/>
        </w:rPr>
        <w:t xml:space="preserve">Appendix </w:t>
      </w:r>
      <w:r w:rsidRPr="000362C3">
        <w:rPr>
          <w:b/>
        </w:rPr>
        <w:t>One – What happens to the patient following allocation?</w:t>
      </w:r>
      <w:bookmarkEnd w:id="546"/>
    </w:p>
    <w:p w14:paraId="720006C3" w14:textId="77777777" w:rsidR="000362C3" w:rsidRPr="00184361" w:rsidRDefault="000362C3" w:rsidP="00184361"/>
    <w:p w14:paraId="59907162" w14:textId="1D8C2623" w:rsidR="00C132F9" w:rsidRPr="000362C3" w:rsidRDefault="00C132F9" w:rsidP="003937E4">
      <w:pPr>
        <w:pStyle w:val="Heading3"/>
        <w:keepNext/>
        <w:keepLines/>
        <w:numPr>
          <w:ilvl w:val="3"/>
          <w:numId w:val="2"/>
        </w:numPr>
        <w:spacing w:before="200"/>
        <w:rPr>
          <w:rFonts w:eastAsiaTheme="majorEastAsia" w:cstheme="majorBidi"/>
          <w:bCs w:val="0"/>
          <w:iCs/>
          <w:color w:val="000000" w:themeColor="text1"/>
          <w:lang w:eastAsia="en-GB"/>
        </w:rPr>
      </w:pPr>
      <w:r w:rsidRPr="00D724A3">
        <w:rPr>
          <w:rFonts w:eastAsiaTheme="majorEastAsia" w:cstheme="majorBidi"/>
          <w:b/>
          <w:iCs/>
          <w:color w:val="000000" w:themeColor="text1"/>
          <w:u w:val="single"/>
          <w:lang w:eastAsia="en-GB"/>
        </w:rPr>
        <w:t>All</w:t>
      </w:r>
      <w:r w:rsidRPr="000362C3">
        <w:rPr>
          <w:rFonts w:eastAsiaTheme="majorEastAsia" w:cstheme="majorBidi"/>
          <w:bCs w:val="0"/>
          <w:iCs/>
          <w:color w:val="000000" w:themeColor="text1"/>
          <w:lang w:eastAsia="en-GB"/>
        </w:rPr>
        <w:t xml:space="preserve"> patients immediately removed from a GP practice </w:t>
      </w:r>
      <w:r w:rsidRPr="000362C3">
        <w:rPr>
          <w:rFonts w:eastAsiaTheme="majorEastAsia" w:cstheme="majorBidi"/>
          <w:b/>
          <w:iCs/>
          <w:color w:val="000000" w:themeColor="text1"/>
          <w:u w:val="single"/>
          <w:lang w:eastAsia="en-GB"/>
        </w:rPr>
        <w:t>must</w:t>
      </w:r>
      <w:r w:rsidRPr="000362C3">
        <w:rPr>
          <w:rFonts w:eastAsiaTheme="majorEastAsia" w:cstheme="majorBidi"/>
          <w:bCs w:val="0"/>
          <w:iCs/>
          <w:color w:val="000000" w:themeColor="text1"/>
          <w:lang w:eastAsia="en-GB"/>
        </w:rPr>
        <w:t xml:space="preserve"> be allocated to and accepted by the SAS service commissioned by the CCG</w:t>
      </w:r>
      <w:r w:rsidR="00F222D2" w:rsidRPr="000362C3">
        <w:rPr>
          <w:rFonts w:eastAsiaTheme="majorEastAsia" w:cstheme="majorBidi"/>
          <w:bCs w:val="0"/>
          <w:iCs/>
          <w:color w:val="000000" w:themeColor="text1"/>
          <w:lang w:eastAsia="en-GB"/>
        </w:rPr>
        <w:t>/ICB</w:t>
      </w:r>
      <w:r w:rsidRPr="000362C3">
        <w:rPr>
          <w:rFonts w:eastAsiaTheme="majorEastAsia" w:cstheme="majorBidi"/>
          <w:bCs w:val="0"/>
          <w:iCs/>
          <w:color w:val="000000" w:themeColor="text1"/>
          <w:lang w:eastAsia="en-GB"/>
        </w:rPr>
        <w:t>.  This is because the regulations allow for a GP practice to remove a patient, if it transpires that they were previously removed under the violent patient regulations from another pracitce, and have either not successfully appealed that allocation, or been allocated to, reviewed and discharged by the SAS.</w:t>
      </w:r>
      <w:r w:rsidRPr="00D724A3">
        <w:rPr>
          <w:rFonts w:eastAsiaTheme="majorEastAsia" w:cstheme="majorBidi"/>
          <w:bCs w:val="0"/>
          <w:iCs/>
          <w:color w:val="000000" w:themeColor="text1"/>
          <w:lang w:eastAsia="en-GB"/>
        </w:rPr>
        <w:t>Once a patient has been allocated onto the SAS and notified, they will usually remain on the scheme for a minimum of 12 months, with the exception of an upheld appeal or the break clause of six months, w</w:t>
      </w:r>
      <w:r w:rsidRPr="000362C3">
        <w:rPr>
          <w:rFonts w:eastAsiaTheme="majorEastAsia" w:cstheme="majorBidi"/>
          <w:bCs w:val="0"/>
          <w:iCs/>
          <w:color w:val="000000" w:themeColor="text1"/>
          <w:lang w:eastAsia="en-GB"/>
        </w:rPr>
        <w:t>hich is considered by the provider, only when the patient has been reviewed on a minimum of three occasions within the previous six months.</w:t>
      </w:r>
    </w:p>
    <w:p w14:paraId="155AA667" w14:textId="77777777" w:rsidR="00C132F9" w:rsidRPr="00C132F9" w:rsidRDefault="00C132F9" w:rsidP="00C132F9">
      <w:pPr>
        <w:keepNext/>
        <w:keepLines/>
        <w:numPr>
          <w:ilvl w:val="3"/>
          <w:numId w:val="2"/>
        </w:numPr>
        <w:spacing w:before="200" w:line="360" w:lineRule="auto"/>
        <w:outlineLvl w:val="3"/>
        <w:rPr>
          <w:rFonts w:eastAsiaTheme="majorEastAsia" w:cstheme="majorBidi"/>
          <w:bCs w:val="0"/>
          <w:iCs/>
          <w:color w:val="000000" w:themeColor="text1"/>
          <w:lang w:eastAsia="en-GB"/>
        </w:rPr>
      </w:pPr>
      <w:r w:rsidRPr="00C132F9">
        <w:rPr>
          <w:rFonts w:eastAsiaTheme="majorEastAsia" w:cstheme="majorBidi"/>
          <w:bCs w:val="0"/>
          <w:iCs/>
          <w:color w:val="000000" w:themeColor="text1"/>
          <w:lang w:eastAsia="en-GB"/>
        </w:rPr>
        <w:t>At this point, the patient could be removed from the scheme if there is clear evidence of changed behaviour, with the aim being to try and tackle the underlying causes of their behaviour, and rehabilitate them, as far as possible, through counselling and/or other forms of treatment.</w:t>
      </w:r>
    </w:p>
    <w:p w14:paraId="7F86ABAF" w14:textId="77777777" w:rsidR="00C132F9" w:rsidRPr="00C132F9" w:rsidRDefault="00C132F9" w:rsidP="00C132F9">
      <w:pPr>
        <w:keepNext/>
        <w:keepLines/>
        <w:numPr>
          <w:ilvl w:val="3"/>
          <w:numId w:val="2"/>
        </w:numPr>
        <w:spacing w:before="200" w:line="360" w:lineRule="auto"/>
        <w:outlineLvl w:val="3"/>
        <w:rPr>
          <w:rFonts w:eastAsiaTheme="majorEastAsia" w:cstheme="majorBidi"/>
          <w:bCs w:val="0"/>
          <w:iCs/>
          <w:color w:val="000000" w:themeColor="text1"/>
          <w:lang w:eastAsia="en-GB"/>
        </w:rPr>
      </w:pPr>
      <w:r w:rsidRPr="00C132F9">
        <w:rPr>
          <w:rFonts w:eastAsiaTheme="majorEastAsia" w:cstheme="majorBidi"/>
          <w:bCs w:val="0"/>
          <w:iCs/>
          <w:color w:val="000000" w:themeColor="text1"/>
          <w:lang w:eastAsia="en-GB"/>
        </w:rPr>
        <w:t xml:space="preserve"> Patients who do not co-operate, or show no signs of change in behaviour, will remain registered with the designated practice for a minimum of 12 months.  This will be the case even if the patient changes address but remains within the commissioning area.  </w:t>
      </w:r>
    </w:p>
    <w:p w14:paraId="51AE832D" w14:textId="68FE3452" w:rsidR="00C132F9" w:rsidRPr="00C132F9" w:rsidRDefault="00C132F9" w:rsidP="00C132F9">
      <w:pPr>
        <w:keepNext/>
        <w:keepLines/>
        <w:numPr>
          <w:ilvl w:val="3"/>
          <w:numId w:val="2"/>
        </w:numPr>
        <w:spacing w:before="200" w:line="360" w:lineRule="auto"/>
        <w:outlineLvl w:val="3"/>
        <w:rPr>
          <w:rFonts w:eastAsiaTheme="majorEastAsia" w:cstheme="majorBidi"/>
          <w:bCs w:val="0"/>
          <w:iCs/>
          <w:color w:val="000000" w:themeColor="text1"/>
          <w:lang w:eastAsia="en-GB"/>
        </w:rPr>
      </w:pPr>
      <w:r w:rsidRPr="00C132F9">
        <w:rPr>
          <w:rFonts w:eastAsiaTheme="majorEastAsia" w:cstheme="majorBidi"/>
          <w:bCs w:val="0"/>
          <w:iCs/>
          <w:color w:val="000000" w:themeColor="text1"/>
          <w:lang w:eastAsia="en-GB"/>
        </w:rPr>
        <w:t>In any case, a patient who has not engaged with the SAS following their immediate removal and allocation to a SAS should remain on the SAS until they do and have been assessed by the SAS provider.  Registration with a SAS prevents the patient from being able to freely register with a meainstream, thus protecting the safety of NHS Staff.</w:t>
      </w:r>
    </w:p>
    <w:p w14:paraId="43AF2B46" w14:textId="56C50448" w:rsidR="00C132F9" w:rsidRPr="00C132F9" w:rsidRDefault="00C132F9" w:rsidP="00C132F9">
      <w:pPr>
        <w:keepNext/>
        <w:keepLines/>
        <w:numPr>
          <w:ilvl w:val="3"/>
          <w:numId w:val="2"/>
        </w:numPr>
        <w:spacing w:before="200" w:line="360" w:lineRule="auto"/>
        <w:outlineLvl w:val="3"/>
        <w:rPr>
          <w:rFonts w:eastAsiaTheme="majorEastAsia" w:cstheme="majorBidi"/>
          <w:bCs w:val="0"/>
          <w:iCs/>
          <w:color w:val="000000" w:themeColor="text1"/>
          <w:lang w:eastAsia="en-GB"/>
        </w:rPr>
      </w:pPr>
      <w:r w:rsidRPr="00C132F9">
        <w:rPr>
          <w:rFonts w:eastAsiaTheme="majorEastAsia" w:cstheme="majorBidi"/>
          <w:bCs w:val="0"/>
          <w:iCs/>
          <w:color w:val="000000" w:themeColor="text1"/>
          <w:lang w:eastAsia="en-GB"/>
        </w:rPr>
        <w:t>Where the patient changes address and moves out of the commissioning area relevant to the practice they were immediately removed from, the patient will be transferred to a provider of the SAS in the area where they have moved into. Commissioners should ensure that their SAS providers are aware that they should notify PCSE if a SAS patient moves outside of the CCG</w:t>
      </w:r>
      <w:r w:rsidR="00F222D2">
        <w:rPr>
          <w:rFonts w:eastAsiaTheme="majorEastAsia" w:cstheme="majorBidi"/>
          <w:bCs w:val="0"/>
          <w:iCs/>
          <w:color w:val="000000" w:themeColor="text1"/>
          <w:lang w:eastAsia="en-GB"/>
        </w:rPr>
        <w:t>/ICB</w:t>
      </w:r>
      <w:r w:rsidRPr="00C132F9">
        <w:rPr>
          <w:rFonts w:eastAsiaTheme="majorEastAsia" w:cstheme="majorBidi"/>
          <w:bCs w:val="0"/>
          <w:iCs/>
          <w:color w:val="000000" w:themeColor="text1"/>
          <w:lang w:eastAsia="en-GB"/>
        </w:rPr>
        <w:t>.</w:t>
      </w:r>
    </w:p>
    <w:p w14:paraId="2EEB334F" w14:textId="16D8E2C1" w:rsidR="00C132F9" w:rsidRPr="00C132F9" w:rsidRDefault="00C132F9" w:rsidP="00C132F9">
      <w:pPr>
        <w:keepNext/>
        <w:keepLines/>
        <w:numPr>
          <w:ilvl w:val="3"/>
          <w:numId w:val="2"/>
        </w:numPr>
        <w:spacing w:before="200" w:line="360" w:lineRule="auto"/>
        <w:outlineLvl w:val="3"/>
        <w:rPr>
          <w:rFonts w:eastAsiaTheme="majorEastAsia" w:cstheme="majorBidi"/>
          <w:bCs w:val="0"/>
          <w:iCs/>
          <w:color w:val="000000" w:themeColor="text1"/>
          <w:lang w:eastAsia="en-GB"/>
        </w:rPr>
      </w:pPr>
      <w:r w:rsidRPr="00C132F9">
        <w:rPr>
          <w:rFonts w:eastAsiaTheme="majorEastAsia" w:cstheme="majorBidi"/>
          <w:bCs w:val="0"/>
          <w:iCs/>
          <w:color w:val="000000" w:themeColor="text1"/>
          <w:lang w:eastAsia="en-GB"/>
        </w:rPr>
        <w:t xml:space="preserve"> SAS providers should be encouraged to support patients (if requested) in finding an alternative GP Practice upon discharge from the scheme.  In doing so, this may help to break a cycle of registration and removal, as patients are supported with the transition.  In addition, the SAS provider can allay any concerns a newly registering practice may have about registering the patient.</w:t>
      </w:r>
    </w:p>
    <w:p w14:paraId="197FC535" w14:textId="55BD337B" w:rsidR="00C132F9" w:rsidRPr="00C132F9" w:rsidRDefault="00C132F9" w:rsidP="00C132F9">
      <w:pPr>
        <w:rPr>
          <w:lang w:eastAsia="en-GB"/>
        </w:rPr>
      </w:pPr>
    </w:p>
    <w:p w14:paraId="566CDC7C" w14:textId="20E62850" w:rsidR="00C132F9" w:rsidRPr="00C132F9" w:rsidRDefault="00C132F9" w:rsidP="00C132F9">
      <w:pPr>
        <w:keepNext/>
        <w:keepLines/>
        <w:numPr>
          <w:ilvl w:val="3"/>
          <w:numId w:val="2"/>
        </w:numPr>
        <w:spacing w:before="200" w:line="360" w:lineRule="auto"/>
        <w:outlineLvl w:val="3"/>
        <w:rPr>
          <w:rFonts w:eastAsiaTheme="majorEastAsia" w:cstheme="majorBidi"/>
          <w:bCs w:val="0"/>
          <w:iCs/>
          <w:color w:val="000000" w:themeColor="text1"/>
          <w:lang w:eastAsia="en-GB"/>
        </w:rPr>
      </w:pPr>
      <w:r w:rsidRPr="00C132F9">
        <w:rPr>
          <w:rFonts w:eastAsiaTheme="majorEastAsia" w:cstheme="majorBidi"/>
          <w:bCs w:val="0"/>
          <w:iCs/>
          <w:color w:val="000000" w:themeColor="text1"/>
          <w:lang w:eastAsia="en-GB"/>
        </w:rPr>
        <w:t xml:space="preserve">SAS patients should not ordinarily be removed from a SAS for non attendance.  In relation to patients that become subject to a term of imprisonment during their SAS registration, currently application of the usual regulations pertaining to the ‘Removal from the list of patients absent from the United Kingdom etc’ should be applied. </w:t>
      </w:r>
    </w:p>
    <w:p w14:paraId="101C2F00" w14:textId="77777777" w:rsidR="00C132F9" w:rsidRPr="00C132F9" w:rsidRDefault="00C132F9" w:rsidP="00C132F9"/>
    <w:p w14:paraId="2443C98D" w14:textId="77777777" w:rsidR="00C132F9" w:rsidRPr="00C132F9" w:rsidRDefault="00C132F9" w:rsidP="00C132F9">
      <w:pPr>
        <w:numPr>
          <w:ilvl w:val="2"/>
          <w:numId w:val="2"/>
        </w:numPr>
        <w:spacing w:line="360" w:lineRule="auto"/>
        <w:outlineLvl w:val="2"/>
        <w:rPr>
          <w:b/>
        </w:rPr>
      </w:pPr>
      <w:r w:rsidRPr="00C132F9">
        <w:rPr>
          <w:b/>
        </w:rPr>
        <w:t>Appendix Three – SAS Sample Good Conduct Guide</w:t>
      </w:r>
    </w:p>
    <w:p w14:paraId="5797E2B0" w14:textId="1198AA9F" w:rsidR="00C132F9" w:rsidRPr="00C132F9" w:rsidRDefault="000B57EE" w:rsidP="006C3DF5">
      <w:pPr>
        <w:numPr>
          <w:ilvl w:val="0"/>
          <w:numId w:val="121"/>
        </w:numPr>
        <w:contextualSpacing/>
      </w:pPr>
      <w:hyperlink r:id="rId100" w:history="1">
        <w:r w:rsidR="00C132F9" w:rsidRPr="00C132F9">
          <w:rPr>
            <w:color w:val="0000FF"/>
            <w:u w:val="single"/>
          </w:rPr>
          <w:t>SAS Sample Good Conduct Guide</w:t>
        </w:r>
      </w:hyperlink>
      <w:r w:rsidR="00C132F9" w:rsidRPr="00C132F9">
        <w:br/>
      </w:r>
    </w:p>
    <w:p w14:paraId="78E06A2D" w14:textId="3D956063" w:rsidR="00C132F9" w:rsidRPr="00C132F9" w:rsidRDefault="00C132F9" w:rsidP="00C132F9">
      <w:pPr>
        <w:numPr>
          <w:ilvl w:val="2"/>
          <w:numId w:val="2"/>
        </w:numPr>
        <w:spacing w:line="360" w:lineRule="auto"/>
        <w:outlineLvl w:val="2"/>
        <w:rPr>
          <w:b/>
        </w:rPr>
      </w:pPr>
      <w:r w:rsidRPr="00C132F9">
        <w:rPr>
          <w:b/>
        </w:rPr>
        <w:t>Appendix Four – Sample Data Sharing Agreement</w:t>
      </w:r>
    </w:p>
    <w:p w14:paraId="00C3BA70" w14:textId="79AB03BC" w:rsidR="00C132F9" w:rsidRPr="00C132F9" w:rsidRDefault="000B57EE" w:rsidP="006C3DF5">
      <w:pPr>
        <w:numPr>
          <w:ilvl w:val="0"/>
          <w:numId w:val="121"/>
        </w:numPr>
        <w:contextualSpacing/>
        <w:rPr>
          <w:color w:val="000000" w:themeColor="text1"/>
        </w:rPr>
      </w:pPr>
      <w:hyperlink r:id="rId101" w:history="1">
        <w:r w:rsidR="00C132F9" w:rsidRPr="00C132F9">
          <w:rPr>
            <w:color w:val="0000FF"/>
            <w:u w:val="single"/>
          </w:rPr>
          <w:t>Sample Data Sharing Agreement</w:t>
        </w:r>
      </w:hyperlink>
      <w:r w:rsidR="00C132F9" w:rsidRPr="00C132F9">
        <w:rPr>
          <w:color w:val="000000" w:themeColor="text1"/>
        </w:rPr>
        <w:t xml:space="preserve"> </w:t>
      </w:r>
    </w:p>
    <w:p w14:paraId="3A4C84B6" w14:textId="500AAE37" w:rsidR="00C132F9" w:rsidRPr="00C132F9" w:rsidRDefault="00C132F9" w:rsidP="00C132F9"/>
    <w:p w14:paraId="44CA46B4" w14:textId="77777777" w:rsidR="00C132F9" w:rsidRPr="00C132F9" w:rsidRDefault="00C132F9" w:rsidP="00C132F9"/>
    <w:p w14:paraId="0C86EC82" w14:textId="53CE86EB" w:rsidR="00C132F9" w:rsidRPr="00C132F9" w:rsidRDefault="00C132F9" w:rsidP="00C132F9">
      <w:pPr>
        <w:numPr>
          <w:ilvl w:val="2"/>
          <w:numId w:val="2"/>
        </w:numPr>
        <w:spacing w:line="360" w:lineRule="auto"/>
        <w:outlineLvl w:val="2"/>
        <w:rPr>
          <w:b/>
        </w:rPr>
      </w:pPr>
      <w:r w:rsidRPr="00C132F9">
        <w:rPr>
          <w:b/>
        </w:rPr>
        <w:t>Appendix Five – Risk Assessment approach</w:t>
      </w:r>
    </w:p>
    <w:p w14:paraId="351AC7C1" w14:textId="0B9E75B3" w:rsidR="00C132F9" w:rsidRPr="00C132F9" w:rsidRDefault="000B57EE" w:rsidP="006C3DF5">
      <w:pPr>
        <w:numPr>
          <w:ilvl w:val="0"/>
          <w:numId w:val="121"/>
        </w:numPr>
        <w:contextualSpacing/>
      </w:pPr>
      <w:hyperlink r:id="rId102" w:history="1">
        <w:r w:rsidR="00C132F9" w:rsidRPr="00C132F9">
          <w:rPr>
            <w:color w:val="0000FF"/>
            <w:u w:val="single"/>
          </w:rPr>
          <w:t>Risk Assessment approach</w:t>
        </w:r>
      </w:hyperlink>
    </w:p>
    <w:p w14:paraId="157A34B3" w14:textId="77777777" w:rsidR="00C132F9" w:rsidRPr="00C132F9" w:rsidRDefault="00C132F9" w:rsidP="00C132F9"/>
    <w:p w14:paraId="61A304C6" w14:textId="77777777" w:rsidR="00C132F9" w:rsidRPr="00C132F9" w:rsidRDefault="00C132F9" w:rsidP="00C132F9">
      <w:pPr>
        <w:rPr>
          <w:b/>
        </w:rPr>
      </w:pPr>
      <w:r w:rsidRPr="00C132F9">
        <w:rPr>
          <w:b/>
        </w:rPr>
        <w:br w:type="page"/>
      </w:r>
    </w:p>
    <w:p w14:paraId="4D3D6EE9" w14:textId="39466B2A" w:rsidR="00C132F9" w:rsidRPr="00C132F9" w:rsidRDefault="00C132F9" w:rsidP="00C132F9">
      <w:pPr>
        <w:spacing w:before="200" w:after="60" w:line="276" w:lineRule="auto"/>
        <w:rPr>
          <w:b/>
        </w:rPr>
      </w:pPr>
      <w:r w:rsidRPr="00C132F9">
        <w:rPr>
          <w:b/>
        </w:rPr>
        <w:t>Appendix Six: SAS Allocation and Appeals Flow Chart</w:t>
      </w:r>
    </w:p>
    <w:p w14:paraId="590D4FF1" w14:textId="77777777" w:rsidR="00C132F9" w:rsidRPr="00C132F9" w:rsidRDefault="00C132F9" w:rsidP="00C132F9">
      <w:pPr>
        <w:spacing w:before="200" w:after="60" w:line="276" w:lineRule="auto"/>
        <w:rPr>
          <w:rFonts w:cs="Arial"/>
          <w:color w:val="002060"/>
          <w:u w:val="single"/>
        </w:rPr>
      </w:pPr>
      <w:r w:rsidRPr="00C132F9">
        <w:rPr>
          <w:noProof/>
          <w:lang w:eastAsia="en-GB"/>
        </w:rPr>
        <w:drawing>
          <wp:inline distT="0" distB="0" distL="0" distR="0" wp14:anchorId="0B6519A1" wp14:editId="4094F82D">
            <wp:extent cx="5759319" cy="7816119"/>
            <wp:effectExtent l="0" t="0" r="0" b="0"/>
            <wp:docPr id="1" name="Picture 1" descr="A flow chat that explain the processes involved in the removal a patients from a GP practice that are placed on a Special Allocation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0458" cy="7817665"/>
                    </a:xfrm>
                    <a:prstGeom prst="rect">
                      <a:avLst/>
                    </a:prstGeom>
                    <a:noFill/>
                    <a:ln>
                      <a:noFill/>
                    </a:ln>
                  </pic:spPr>
                </pic:pic>
              </a:graphicData>
            </a:graphic>
          </wp:inline>
        </w:drawing>
      </w:r>
    </w:p>
    <w:p w14:paraId="6EC0A751" w14:textId="53701EB3" w:rsidR="00C132F9" w:rsidRPr="00C132F9" w:rsidRDefault="00C132F9" w:rsidP="00C132F9">
      <w:pPr>
        <w:spacing w:before="200" w:after="60" w:line="276" w:lineRule="auto"/>
        <w:rPr>
          <w:rFonts w:cs="Arial"/>
          <w:color w:val="002060"/>
          <w:sz w:val="20"/>
          <w:szCs w:val="20"/>
        </w:rPr>
      </w:pPr>
      <w:r w:rsidRPr="00C132F9">
        <w:rPr>
          <w:rFonts w:cs="Arial"/>
          <w:color w:val="002060"/>
          <w:sz w:val="20"/>
          <w:szCs w:val="20"/>
        </w:rPr>
        <w:t xml:space="preserve">Note: Where a patient has been on a SAS for 2 years or more, they should be reviewed by an exceptional discharge panel every 6 months. </w:t>
      </w:r>
      <w:r w:rsidRPr="00C132F9">
        <w:rPr>
          <w:rFonts w:cs="Arial"/>
          <w:b/>
          <w:bCs w:val="0"/>
          <w:color w:val="002060"/>
          <w:sz w:val="20"/>
          <w:szCs w:val="20"/>
          <w:u w:val="single"/>
        </w:rPr>
        <w:t>ALL</w:t>
      </w:r>
      <w:r w:rsidRPr="00C132F9">
        <w:rPr>
          <w:rFonts w:cs="Arial"/>
          <w:color w:val="002060"/>
          <w:sz w:val="20"/>
          <w:szCs w:val="20"/>
        </w:rPr>
        <w:t xml:space="preserve"> patients immediately removed from a GP practice </w:t>
      </w:r>
      <w:r w:rsidRPr="00C132F9">
        <w:rPr>
          <w:rFonts w:cs="Arial"/>
          <w:b/>
          <w:bCs w:val="0"/>
          <w:color w:val="002060"/>
          <w:sz w:val="20"/>
          <w:szCs w:val="20"/>
          <w:u w:val="single"/>
        </w:rPr>
        <w:t>must</w:t>
      </w:r>
      <w:r w:rsidRPr="00C132F9">
        <w:rPr>
          <w:rFonts w:cs="Arial"/>
          <w:color w:val="002060"/>
          <w:sz w:val="20"/>
          <w:szCs w:val="20"/>
        </w:rPr>
        <w:t xml:space="preserve"> be allocated to and accepted by the SAS service commissioned by the CCG</w:t>
      </w:r>
      <w:r w:rsidR="00F222D2">
        <w:rPr>
          <w:rFonts w:cs="Arial"/>
          <w:color w:val="002060"/>
          <w:sz w:val="20"/>
          <w:szCs w:val="20"/>
        </w:rPr>
        <w:t>/ICB</w:t>
      </w:r>
      <w:r w:rsidRPr="00C132F9">
        <w:rPr>
          <w:rFonts w:cs="Arial"/>
          <w:color w:val="002060"/>
          <w:sz w:val="20"/>
          <w:szCs w:val="20"/>
        </w:rPr>
        <w:t xml:space="preserve"> (see </w:t>
      </w:r>
      <w:r w:rsidR="00F74F76">
        <w:rPr>
          <w:rFonts w:cs="Arial"/>
          <w:color w:val="002060"/>
          <w:sz w:val="20"/>
          <w:szCs w:val="20"/>
        </w:rPr>
        <w:t>7</w:t>
      </w:r>
      <w:r w:rsidRPr="00C132F9">
        <w:rPr>
          <w:rFonts w:cs="Arial"/>
          <w:color w:val="002060"/>
          <w:sz w:val="20"/>
          <w:szCs w:val="20"/>
        </w:rPr>
        <w:t>.6.2.1 above).</w:t>
      </w:r>
    </w:p>
    <w:p w14:paraId="65409C21" w14:textId="3C555F0F" w:rsidR="00C132F9" w:rsidRPr="00C132F9" w:rsidRDefault="00C132F9" w:rsidP="00C132F9">
      <w:pPr>
        <w:keepNext/>
        <w:keepLines/>
        <w:numPr>
          <w:ilvl w:val="3"/>
          <w:numId w:val="2"/>
        </w:numPr>
        <w:spacing w:before="200" w:line="360" w:lineRule="auto"/>
        <w:outlineLvl w:val="3"/>
        <w:rPr>
          <w:color w:val="002060"/>
        </w:rPr>
      </w:pPr>
      <w:r w:rsidRPr="00C132F9">
        <w:rPr>
          <w:rFonts w:eastAsiaTheme="majorEastAsia" w:cstheme="majorBidi"/>
          <w:bCs w:val="0"/>
          <w:iCs/>
          <w:color w:val="000000" w:themeColor="text1"/>
          <w:lang w:eastAsia="en-GB"/>
        </w:rPr>
        <w:t>Each Commissioner’s SAS Panel should consider any patient appeal.  The panel’s decision with regard to the removal and SAS allocation does not affect the patient’s right to escalate the matter to NHS England via the customer contact centre (</w:t>
      </w:r>
      <w:hyperlink r:id="rId104" w:history="1">
        <w:r w:rsidRPr="00C132F9">
          <w:rPr>
            <w:rFonts w:eastAsiaTheme="majorEastAsia" w:cstheme="majorBidi"/>
            <w:bCs w:val="0"/>
            <w:iCs/>
            <w:color w:val="000000" w:themeColor="text1"/>
            <w:lang w:eastAsia="en-GB"/>
          </w:rPr>
          <w:t>https://www.england.nhs.uk/contact-us/complaint/</w:t>
        </w:r>
      </w:hyperlink>
      <w:r w:rsidRPr="00C132F9">
        <w:rPr>
          <w:rFonts w:eastAsiaTheme="majorEastAsia" w:cstheme="majorBidi"/>
          <w:bCs w:val="0"/>
          <w:iCs/>
          <w:color w:val="000000" w:themeColor="text1"/>
          <w:lang w:eastAsia="en-GB"/>
        </w:rPr>
        <w:t>) or the Parliamentary and Health Service Ombudsman (PHSO).</w:t>
      </w:r>
    </w:p>
    <w:p w14:paraId="7AB28FBA" w14:textId="6AA04B81" w:rsidR="00C132F9" w:rsidRPr="00C132F9" w:rsidRDefault="00C132F9" w:rsidP="00C132F9">
      <w:pPr>
        <w:spacing w:before="200" w:after="60" w:line="276" w:lineRule="auto"/>
        <w:ind w:left="720"/>
        <w:rPr>
          <w:b/>
        </w:rPr>
      </w:pPr>
      <w:r w:rsidRPr="00C132F9">
        <w:rPr>
          <w:b/>
        </w:rPr>
        <w:t xml:space="preserve">N.B. If a patient’s appeal is upheld, the Commissioner </w:t>
      </w:r>
      <w:r w:rsidRPr="00C132F9">
        <w:rPr>
          <w:b/>
          <w:u w:val="single"/>
        </w:rPr>
        <w:t>MUST</w:t>
      </w:r>
      <w:r w:rsidRPr="00C132F9">
        <w:rPr>
          <w:b/>
        </w:rPr>
        <w:t xml:space="preserve"> notify PCSE via </w:t>
      </w:r>
      <w:hyperlink r:id="rId105" w:history="1">
        <w:r w:rsidRPr="00C132F9">
          <w:rPr>
            <w:b/>
            <w:color w:val="0000FF"/>
            <w:u w:val="single"/>
          </w:rPr>
          <w:t>pcse.patientremovals@nhs.net</w:t>
        </w:r>
      </w:hyperlink>
      <w:r w:rsidRPr="00C132F9">
        <w:rPr>
          <w:b/>
        </w:rPr>
        <w:t xml:space="preserve"> </w:t>
      </w:r>
    </w:p>
    <w:p w14:paraId="2F40C86F" w14:textId="77777777" w:rsidR="00C132F9" w:rsidRPr="00C132F9" w:rsidRDefault="00C132F9" w:rsidP="00C132F9">
      <w:pPr>
        <w:keepNext/>
        <w:keepLines/>
        <w:numPr>
          <w:ilvl w:val="3"/>
          <w:numId w:val="2"/>
        </w:numPr>
        <w:spacing w:before="200" w:line="360" w:lineRule="auto"/>
        <w:outlineLvl w:val="3"/>
        <w:rPr>
          <w:rFonts w:eastAsiaTheme="majorEastAsia" w:cstheme="majorBidi"/>
          <w:bCs w:val="0"/>
          <w:iCs/>
          <w:color w:val="000000" w:themeColor="text1"/>
          <w:lang w:eastAsia="en-GB"/>
        </w:rPr>
      </w:pPr>
      <w:r w:rsidRPr="00C132F9">
        <w:rPr>
          <w:rFonts w:eastAsiaTheme="majorEastAsia" w:cstheme="majorBidi"/>
          <w:bCs w:val="0"/>
          <w:iCs/>
          <w:color w:val="000000" w:themeColor="text1"/>
          <w:lang w:eastAsia="en-GB"/>
        </w:rPr>
        <w:t>The Commissioner should note that when a matter is referred to NHS England for consideration, NHS England will require information regarding the process followed in the patient’s appeal and the reasons for the determination of the panel.</w:t>
      </w:r>
    </w:p>
    <w:p w14:paraId="63561986" w14:textId="77777777" w:rsidR="00C132F9" w:rsidRPr="00C132F9" w:rsidRDefault="00C132F9" w:rsidP="00C132F9">
      <w:pPr>
        <w:spacing w:before="200" w:after="60" w:line="276" w:lineRule="auto"/>
        <w:rPr>
          <w:rFonts w:cs="Arial"/>
          <w:color w:val="002060"/>
        </w:rPr>
      </w:pPr>
      <w:r w:rsidRPr="00C132F9">
        <w:rPr>
          <w:rFonts w:cs="Arial"/>
          <w:color w:val="002060"/>
          <w:szCs w:val="24"/>
        </w:rPr>
        <w:br w:type="textWrapping" w:clear="all"/>
      </w:r>
    </w:p>
    <w:p w14:paraId="791E034A" w14:textId="77777777" w:rsidR="00C132F9" w:rsidRPr="00C132F9" w:rsidRDefault="00C132F9" w:rsidP="00C132F9">
      <w:pPr>
        <w:numPr>
          <w:ilvl w:val="2"/>
          <w:numId w:val="2"/>
        </w:numPr>
        <w:spacing w:line="360" w:lineRule="auto"/>
        <w:outlineLvl w:val="2"/>
        <w:rPr>
          <w:b/>
        </w:rPr>
      </w:pPr>
      <w:r w:rsidRPr="00C132F9">
        <w:rPr>
          <w:b/>
        </w:rPr>
        <w:t>Appendix Seven: Standardised Patient Communication from PCSE</w:t>
      </w:r>
    </w:p>
    <w:p w14:paraId="25AF82B4" w14:textId="5CEE1421" w:rsidR="00C132F9" w:rsidRPr="00C132F9" w:rsidRDefault="000B57EE" w:rsidP="006C3DF5">
      <w:pPr>
        <w:numPr>
          <w:ilvl w:val="0"/>
          <w:numId w:val="121"/>
        </w:numPr>
        <w:contextualSpacing/>
      </w:pPr>
      <w:hyperlink r:id="rId106" w:history="1">
        <w:r w:rsidR="00C132F9" w:rsidRPr="00C132F9">
          <w:rPr>
            <w:color w:val="0000FF"/>
            <w:u w:val="single"/>
          </w:rPr>
          <w:t>Standardised Patient Communication from PCSE</w:t>
        </w:r>
      </w:hyperlink>
    </w:p>
    <w:p w14:paraId="34870AF5" w14:textId="57CCB5E6" w:rsidR="00C132F9" w:rsidRPr="00C132F9" w:rsidRDefault="00C132F9" w:rsidP="00C132F9"/>
    <w:p w14:paraId="3F402476" w14:textId="33238E44" w:rsidR="00C132F9" w:rsidRPr="00C132F9" w:rsidRDefault="00C132F9" w:rsidP="00C132F9">
      <w:pPr>
        <w:spacing w:before="200" w:after="60" w:line="276" w:lineRule="auto"/>
        <w:ind w:left="709"/>
      </w:pPr>
      <w:r w:rsidRPr="00C132F9">
        <w:t>NHS England is committed to working with its partners, patients and patient representative groups to refine and improve this standardised letter further.  We are also committed to making this communication available in alternative languages.</w:t>
      </w:r>
    </w:p>
    <w:p w14:paraId="1AC39511" w14:textId="77777777" w:rsidR="00C132F9" w:rsidRPr="00C132F9" w:rsidRDefault="00C132F9" w:rsidP="00C132F9">
      <w:pPr>
        <w:rPr>
          <w:lang w:eastAsia="en-GB"/>
        </w:rPr>
      </w:pPr>
    </w:p>
    <w:p w14:paraId="5C3A6A9E" w14:textId="4DADAD11" w:rsidR="00C132F9" w:rsidRPr="00C132F9" w:rsidRDefault="00C132F9" w:rsidP="00C132F9">
      <w:pPr>
        <w:numPr>
          <w:ilvl w:val="2"/>
          <w:numId w:val="2"/>
        </w:numPr>
        <w:spacing w:line="360" w:lineRule="auto"/>
        <w:outlineLvl w:val="2"/>
        <w:rPr>
          <w:b/>
        </w:rPr>
      </w:pPr>
      <w:r w:rsidRPr="00C132F9">
        <w:rPr>
          <w:b/>
        </w:rPr>
        <w:t>Appendix Eight – Appeal Panel Terms of Reference (ToR)</w:t>
      </w:r>
    </w:p>
    <w:p w14:paraId="65AA1061" w14:textId="77B4BC74" w:rsidR="00C132F9" w:rsidRPr="00C132F9" w:rsidRDefault="000B57EE" w:rsidP="00C132F9">
      <w:hyperlink r:id="rId107" w:history="1">
        <w:r w:rsidR="00C132F9" w:rsidRPr="00C132F9">
          <w:rPr>
            <w:color w:val="0000FF"/>
            <w:u w:val="single"/>
          </w:rPr>
          <w:t>Appeal Panel Terms of Reference (ToR)</w:t>
        </w:r>
      </w:hyperlink>
    </w:p>
    <w:p w14:paraId="0941CA21" w14:textId="77777777" w:rsidR="00C132F9" w:rsidRPr="00C132F9" w:rsidRDefault="00C132F9" w:rsidP="00C132F9"/>
    <w:p w14:paraId="73DA7951" w14:textId="4F0C71D8" w:rsidR="00C132F9" w:rsidRPr="00C132F9" w:rsidRDefault="00C132F9" w:rsidP="00C132F9">
      <w:pPr>
        <w:rPr>
          <w:b/>
        </w:rPr>
      </w:pPr>
      <w:r w:rsidRPr="00C132F9">
        <w:rPr>
          <w:b/>
        </w:rPr>
        <w:t>Appendix Nine – Sample Patient Letter: Appeal Upheld</w:t>
      </w:r>
    </w:p>
    <w:p w14:paraId="2B784EC0" w14:textId="66591DA2" w:rsidR="00C132F9" w:rsidRPr="00C132F9" w:rsidRDefault="00C132F9" w:rsidP="00C132F9">
      <w:pPr>
        <w:rPr>
          <w:b/>
        </w:rPr>
      </w:pPr>
    </w:p>
    <w:p w14:paraId="03D2B828" w14:textId="3C970826" w:rsidR="00C132F9" w:rsidRPr="00C132F9" w:rsidRDefault="000B57EE" w:rsidP="00C132F9">
      <w:hyperlink r:id="rId108" w:history="1">
        <w:r w:rsidR="00C132F9" w:rsidRPr="00C132F9">
          <w:rPr>
            <w:color w:val="0000FF"/>
            <w:u w:val="single"/>
          </w:rPr>
          <w:t>Sample Patient Letter: Appeal Upheld</w:t>
        </w:r>
      </w:hyperlink>
    </w:p>
    <w:p w14:paraId="3D494838" w14:textId="77777777" w:rsidR="00C132F9" w:rsidRPr="00C132F9" w:rsidRDefault="00C132F9" w:rsidP="00C132F9">
      <w:pPr>
        <w:rPr>
          <w:b/>
        </w:rPr>
      </w:pPr>
    </w:p>
    <w:p w14:paraId="692716BE" w14:textId="3D43ABB2" w:rsidR="00C132F9" w:rsidRPr="00C132F9" w:rsidRDefault="00C132F9" w:rsidP="00C132F9">
      <w:pPr>
        <w:numPr>
          <w:ilvl w:val="2"/>
          <w:numId w:val="2"/>
        </w:numPr>
        <w:spacing w:line="360" w:lineRule="auto"/>
        <w:outlineLvl w:val="2"/>
        <w:rPr>
          <w:b/>
        </w:rPr>
      </w:pPr>
      <w:r w:rsidRPr="00C132F9">
        <w:rPr>
          <w:b/>
        </w:rPr>
        <w:t>Appendix Ten – Sample Patient Letter: Appeal Rejected</w:t>
      </w:r>
    </w:p>
    <w:p w14:paraId="681EAF3E" w14:textId="7C8A49DA" w:rsidR="00C132F9" w:rsidRPr="00C132F9" w:rsidRDefault="000B57EE" w:rsidP="00C132F9">
      <w:pPr>
        <w:rPr>
          <w:color w:val="0000FF"/>
          <w:u w:val="single"/>
        </w:rPr>
      </w:pPr>
      <w:hyperlink r:id="rId109" w:history="1">
        <w:r w:rsidR="00C132F9" w:rsidRPr="00C132F9">
          <w:rPr>
            <w:color w:val="0000FF"/>
            <w:u w:val="single"/>
          </w:rPr>
          <w:t>Sample Patient Letter: Appeal Rejected</w:t>
        </w:r>
      </w:hyperlink>
    </w:p>
    <w:p w14:paraId="01856989" w14:textId="77777777" w:rsidR="00C132F9" w:rsidRPr="00C132F9" w:rsidRDefault="00C132F9" w:rsidP="00C132F9">
      <w:pPr>
        <w:rPr>
          <w:color w:val="0000FF"/>
          <w:u w:val="single"/>
        </w:rPr>
      </w:pPr>
    </w:p>
    <w:p w14:paraId="373616AF" w14:textId="2BB4EBBE" w:rsidR="00C132F9" w:rsidRDefault="00C132F9" w:rsidP="00C132F9">
      <w:pPr>
        <w:pStyle w:val="Heading1"/>
        <w:numPr>
          <w:ilvl w:val="0"/>
          <w:numId w:val="0"/>
        </w:numPr>
        <w:ind w:left="432"/>
      </w:pPr>
    </w:p>
    <w:p w14:paraId="56C495B0" w14:textId="3AE55A8D" w:rsidR="00F222D2" w:rsidRDefault="00F222D2" w:rsidP="00F222D2"/>
    <w:p w14:paraId="0BCF995C" w14:textId="3F091808" w:rsidR="00F222D2" w:rsidRDefault="00F222D2" w:rsidP="00145206"/>
    <w:p w14:paraId="5AEBC1BF" w14:textId="67FDC338" w:rsidR="00C7504F" w:rsidRDefault="00C7504F" w:rsidP="00145206"/>
    <w:p w14:paraId="0D3720E0" w14:textId="4D0B3D26" w:rsidR="00C7504F" w:rsidRDefault="00C7504F" w:rsidP="00145206"/>
    <w:p w14:paraId="4335C0A2" w14:textId="4B0BCB44" w:rsidR="00C7504F" w:rsidRDefault="00C7504F" w:rsidP="00145206"/>
    <w:p w14:paraId="1E81D5D5" w14:textId="77777777" w:rsidR="00C7504F" w:rsidRPr="00F222D2" w:rsidRDefault="00C7504F" w:rsidP="00145206"/>
    <w:p w14:paraId="4D193A84" w14:textId="77777777" w:rsidR="00145206" w:rsidRPr="00683C14" w:rsidRDefault="00145206" w:rsidP="00683C14">
      <w:pPr>
        <w:rPr>
          <w:lang w:eastAsia="en-GB"/>
        </w:rPr>
      </w:pPr>
      <w:bookmarkStart w:id="547" w:name="_Introduction"/>
      <w:bookmarkStart w:id="548" w:name="_bookmark0"/>
      <w:bookmarkStart w:id="549" w:name="_1567147836"/>
      <w:bookmarkStart w:id="550" w:name="_1565094461"/>
      <w:bookmarkStart w:id="551" w:name="_1565094499"/>
      <w:bookmarkStart w:id="552" w:name="_1565094553"/>
      <w:bookmarkStart w:id="553" w:name="_1565094581"/>
      <w:bookmarkStart w:id="554" w:name="2-deciding-if-a-crime-should-be-recorded"/>
      <w:bookmarkStart w:id="555" w:name="_Commissioning_a_robust"/>
      <w:bookmarkStart w:id="556" w:name="_bookmark1"/>
      <w:bookmarkStart w:id="557" w:name="_1570097922"/>
      <w:bookmarkStart w:id="558" w:name="_When_to_use"/>
      <w:bookmarkStart w:id="559" w:name="_bookmark2"/>
      <w:bookmarkStart w:id="560" w:name="_Once_satisfied_that"/>
      <w:bookmarkStart w:id="561" w:name="_bookmark3"/>
      <w:bookmarkStart w:id="562" w:name="_Appendix_One_–"/>
      <w:bookmarkStart w:id="563" w:name="_bookmark4"/>
      <w:bookmarkStart w:id="564" w:name="_1552446984"/>
      <w:bookmarkStart w:id="565" w:name="_1552737528"/>
      <w:bookmarkStart w:id="566" w:name="_Unavoidably_small_and"/>
      <w:bookmarkStart w:id="567" w:name="_Appendix_Six:_Example"/>
      <w:bookmarkStart w:id="568" w:name="_bookmark5"/>
      <w:bookmarkStart w:id="569" w:name="_1567603828"/>
      <w:bookmarkStart w:id="570" w:name="_Hlk6898376"/>
      <w:bookmarkEnd w:id="537"/>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14:paraId="6FCB20EF" w14:textId="2CEC140B" w:rsidR="0015247B" w:rsidRPr="00420DAA" w:rsidRDefault="00202DD3" w:rsidP="00145206">
      <w:pPr>
        <w:pStyle w:val="Heading1"/>
      </w:pPr>
      <w:bookmarkStart w:id="571" w:name="_Toc95129052"/>
      <w:bookmarkStart w:id="572" w:name="_Toc95129323"/>
      <w:bookmarkStart w:id="573" w:name="_Toc95129053"/>
      <w:bookmarkStart w:id="574" w:name="_Toc95129324"/>
      <w:bookmarkStart w:id="575" w:name="_Toc95743444"/>
      <w:bookmarkEnd w:id="571"/>
      <w:bookmarkEnd w:id="572"/>
      <w:bookmarkEnd w:id="573"/>
      <w:bookmarkEnd w:id="574"/>
      <w:r w:rsidRPr="00420DAA">
        <w:t xml:space="preserve">Contract Variations </w:t>
      </w:r>
      <w:bookmarkEnd w:id="570"/>
      <w:r w:rsidRPr="00420DAA">
        <w:t>(templates available)</w:t>
      </w:r>
      <w:bookmarkEnd w:id="575"/>
    </w:p>
    <w:p w14:paraId="2D11A527" w14:textId="77777777" w:rsidR="0015247B" w:rsidRDefault="0015247B" w:rsidP="0015247B">
      <w:pPr>
        <w:rPr>
          <w:lang w:eastAsia="en-GB"/>
        </w:rPr>
      </w:pPr>
    </w:p>
    <w:p w14:paraId="3A614FC7" w14:textId="0BCA7291" w:rsidR="00977693" w:rsidRPr="00CE0885" w:rsidRDefault="00233BD8" w:rsidP="00683C14">
      <w:pPr>
        <w:pStyle w:val="Heading2"/>
        <w:numPr>
          <w:ilvl w:val="0"/>
          <w:numId w:val="0"/>
        </w:numPr>
        <w:ind w:left="1986"/>
        <w:rPr>
          <w:lang w:eastAsia="en-GB"/>
        </w:rPr>
      </w:pPr>
      <w:bookmarkStart w:id="576" w:name="_Toc440981698"/>
      <w:bookmarkStart w:id="577" w:name="_Toc95743445"/>
      <w:r>
        <w:rPr>
          <w:lang w:eastAsia="en-GB"/>
        </w:rPr>
        <w:t>8</w:t>
      </w:r>
      <w:r w:rsidR="00145206">
        <w:rPr>
          <w:lang w:eastAsia="en-GB"/>
        </w:rPr>
        <w:t xml:space="preserve">.1 </w:t>
      </w:r>
      <w:r w:rsidR="00977693" w:rsidRPr="00CE0885">
        <w:rPr>
          <w:lang w:eastAsia="en-GB"/>
        </w:rPr>
        <w:t>Introduction</w:t>
      </w:r>
      <w:bookmarkEnd w:id="576"/>
      <w:bookmarkEnd w:id="577"/>
    </w:p>
    <w:p w14:paraId="423E5AA3" w14:textId="77777777" w:rsidR="00977693" w:rsidRPr="00CE0885" w:rsidRDefault="00977693" w:rsidP="006B781A">
      <w:pPr>
        <w:pStyle w:val="Heading3"/>
        <w:rPr>
          <w:lang w:eastAsia="en-GB"/>
        </w:rPr>
      </w:pPr>
      <w:bookmarkStart w:id="578" w:name="_Toc440981699"/>
      <w:r w:rsidRPr="00CE0885">
        <w:rPr>
          <w:spacing w:val="2"/>
          <w:lang w:eastAsia="en-GB"/>
        </w:rPr>
        <w:t>T</w:t>
      </w:r>
      <w:r w:rsidRPr="00CE0885">
        <w:rPr>
          <w:lang w:eastAsia="en-GB"/>
        </w:rPr>
        <w:t>his</w:t>
      </w:r>
      <w:r w:rsidRPr="00CE0885">
        <w:rPr>
          <w:spacing w:val="-7"/>
          <w:lang w:eastAsia="en-GB"/>
        </w:rPr>
        <w:t xml:space="preserve"> </w:t>
      </w:r>
      <w:r w:rsidRPr="00CE0885">
        <w:rPr>
          <w:lang w:eastAsia="en-GB"/>
        </w:rPr>
        <w:t>policy</w:t>
      </w:r>
      <w:r w:rsidRPr="00CE0885">
        <w:rPr>
          <w:spacing w:val="-12"/>
          <w:lang w:eastAsia="en-GB"/>
        </w:rPr>
        <w:t xml:space="preserve"> </w:t>
      </w:r>
      <w:r w:rsidRPr="00CE0885">
        <w:rPr>
          <w:lang w:eastAsia="en-GB"/>
        </w:rPr>
        <w:t>desc</w:t>
      </w:r>
      <w:r w:rsidRPr="00CE0885">
        <w:rPr>
          <w:spacing w:val="-1"/>
          <w:lang w:eastAsia="en-GB"/>
        </w:rPr>
        <w:t>r</w:t>
      </w:r>
      <w:r w:rsidRPr="00CE0885">
        <w:rPr>
          <w:lang w:eastAsia="en-GB"/>
        </w:rPr>
        <w:t>i</w:t>
      </w:r>
      <w:r w:rsidRPr="00CE0885">
        <w:rPr>
          <w:spacing w:val="-1"/>
          <w:lang w:eastAsia="en-GB"/>
        </w:rPr>
        <w:t>b</w:t>
      </w:r>
      <w:r w:rsidRPr="00CE0885">
        <w:rPr>
          <w:lang w:eastAsia="en-GB"/>
        </w:rPr>
        <w:t>es</w:t>
      </w:r>
      <w:r w:rsidRPr="00CE0885">
        <w:rPr>
          <w:spacing w:val="-10"/>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2"/>
          <w:lang w:eastAsia="en-GB"/>
        </w:rPr>
        <w:t>c</w:t>
      </w:r>
      <w:r w:rsidRPr="00CE0885">
        <w:rPr>
          <w:lang w:eastAsia="en-GB"/>
        </w:rPr>
        <w:t>ess</w:t>
      </w:r>
      <w:r w:rsidRPr="00CE0885">
        <w:rPr>
          <w:spacing w:val="-8"/>
          <w:lang w:eastAsia="en-GB"/>
        </w:rPr>
        <w:t xml:space="preserve"> </w:t>
      </w:r>
      <w:r w:rsidRPr="00CE0885">
        <w:rPr>
          <w:lang w:eastAsia="en-GB"/>
        </w:rPr>
        <w:t>to</w:t>
      </w:r>
      <w:r w:rsidRPr="00CE0885">
        <w:rPr>
          <w:spacing w:val="-3"/>
          <w:lang w:eastAsia="en-GB"/>
        </w:rPr>
        <w:t xml:space="preserve"> </w:t>
      </w:r>
      <w:r w:rsidRPr="00CE0885">
        <w:rPr>
          <w:lang w:eastAsia="en-GB"/>
        </w:rPr>
        <w:t>d</w:t>
      </w:r>
      <w:r w:rsidRPr="00CE0885">
        <w:rPr>
          <w:spacing w:val="-1"/>
          <w:lang w:eastAsia="en-GB"/>
        </w:rPr>
        <w:t>e</w:t>
      </w:r>
      <w:r w:rsidRPr="00CE0885">
        <w:rPr>
          <w:lang w:eastAsia="en-GB"/>
        </w:rPr>
        <w:t>te</w:t>
      </w:r>
      <w:r w:rsidRPr="00CE0885">
        <w:rPr>
          <w:spacing w:val="-3"/>
          <w:lang w:eastAsia="en-GB"/>
        </w:rPr>
        <w:t>r</w:t>
      </w:r>
      <w:r w:rsidRPr="00CE0885">
        <w:rPr>
          <w:spacing w:val="2"/>
          <w:lang w:eastAsia="en-GB"/>
        </w:rPr>
        <w:t>m</w:t>
      </w:r>
      <w:r w:rsidRPr="00CE0885">
        <w:rPr>
          <w:lang w:eastAsia="en-GB"/>
        </w:rPr>
        <w:t>ine</w:t>
      </w:r>
      <w:r w:rsidRPr="00CE0885">
        <w:rPr>
          <w:spacing w:val="-12"/>
          <w:lang w:eastAsia="en-GB"/>
        </w:rPr>
        <w:t xml:space="preserve"> </w:t>
      </w:r>
      <w:r w:rsidRPr="00CE0885">
        <w:rPr>
          <w:lang w:eastAsia="en-GB"/>
        </w:rPr>
        <w:t>any</w:t>
      </w:r>
      <w:r w:rsidRPr="00CE0885">
        <w:rPr>
          <w:spacing w:val="-6"/>
          <w:lang w:eastAsia="en-GB"/>
        </w:rPr>
        <w:t xml:space="preserve"> </w:t>
      </w:r>
      <w:r w:rsidRPr="00CE0885">
        <w:rPr>
          <w:lang w:eastAsia="en-GB"/>
        </w:rPr>
        <w:t>cont</w:t>
      </w:r>
      <w:r w:rsidRPr="00CE0885">
        <w:rPr>
          <w:spacing w:val="-1"/>
          <w:lang w:eastAsia="en-GB"/>
        </w:rPr>
        <w:t>r</w:t>
      </w:r>
      <w:r w:rsidRPr="00CE0885">
        <w:rPr>
          <w:lang w:eastAsia="en-GB"/>
        </w:rPr>
        <w:t>a</w:t>
      </w:r>
      <w:r w:rsidRPr="00CE0885">
        <w:rPr>
          <w:spacing w:val="-2"/>
          <w:lang w:eastAsia="en-GB"/>
        </w:rPr>
        <w:t>c</w:t>
      </w:r>
      <w:r w:rsidRPr="00CE0885">
        <w:rPr>
          <w:lang w:eastAsia="en-GB"/>
        </w:rPr>
        <w:t xml:space="preserve">t </w:t>
      </w:r>
      <w:r w:rsidRPr="00CE0885">
        <w:rPr>
          <w:spacing w:val="-2"/>
          <w:lang w:eastAsia="en-GB"/>
        </w:rPr>
        <w:t>v</w:t>
      </w:r>
      <w:r w:rsidRPr="00CE0885">
        <w:rPr>
          <w:lang w:eastAsia="en-GB"/>
        </w:rPr>
        <w:t>a</w:t>
      </w:r>
      <w:r w:rsidRPr="00CE0885">
        <w:rPr>
          <w:spacing w:val="-1"/>
          <w:lang w:eastAsia="en-GB"/>
        </w:rPr>
        <w:t>r</w:t>
      </w:r>
      <w:r w:rsidRPr="00CE0885">
        <w:rPr>
          <w:lang w:eastAsia="en-GB"/>
        </w:rPr>
        <w:t>iation,</w:t>
      </w:r>
      <w:r w:rsidRPr="00CE0885">
        <w:rPr>
          <w:spacing w:val="-9"/>
          <w:lang w:eastAsia="en-GB"/>
        </w:rPr>
        <w:t xml:space="preserve"> </w:t>
      </w:r>
      <w:r w:rsidRPr="00CE0885">
        <w:rPr>
          <w:spacing w:val="-3"/>
          <w:lang w:eastAsia="en-GB"/>
        </w:rPr>
        <w:t>w</w:t>
      </w:r>
      <w:r w:rsidRPr="00CE0885">
        <w:rPr>
          <w:lang w:eastAsia="en-GB"/>
        </w:rPr>
        <w:t>hether</w:t>
      </w:r>
      <w:r w:rsidRPr="00CE0885">
        <w:rPr>
          <w:spacing w:val="-9"/>
          <w:lang w:eastAsia="en-GB"/>
        </w:rPr>
        <w:t xml:space="preserve"> </w:t>
      </w:r>
      <w:r w:rsidRPr="00CE0885">
        <w:rPr>
          <w:lang w:eastAsia="en-GB"/>
        </w:rPr>
        <w:t>by</w:t>
      </w:r>
      <w:r w:rsidRPr="00CE0885">
        <w:rPr>
          <w:spacing w:val="-5"/>
          <w:lang w:eastAsia="en-GB"/>
        </w:rPr>
        <w:t xml:space="preserve"> </w:t>
      </w:r>
      <w:r w:rsidRPr="00CE0885">
        <w:rPr>
          <w:spacing w:val="2"/>
          <w:lang w:eastAsia="en-GB"/>
        </w:rPr>
        <w:t>m</w:t>
      </w:r>
      <w:r w:rsidRPr="00CE0885">
        <w:rPr>
          <w:lang w:eastAsia="en-GB"/>
        </w:rPr>
        <w:t>u</w:t>
      </w:r>
      <w:r w:rsidRPr="00CE0885">
        <w:rPr>
          <w:spacing w:val="-2"/>
          <w:lang w:eastAsia="en-GB"/>
        </w:rPr>
        <w:t>t</w:t>
      </w:r>
      <w:r w:rsidRPr="00CE0885">
        <w:rPr>
          <w:lang w:eastAsia="en-GB"/>
        </w:rPr>
        <w:t>ual</w:t>
      </w:r>
      <w:r w:rsidRPr="00CE0885">
        <w:rPr>
          <w:spacing w:val="-7"/>
          <w:lang w:eastAsia="en-GB"/>
        </w:rPr>
        <w:t xml:space="preserve"> </w:t>
      </w:r>
      <w:r w:rsidRPr="00CE0885">
        <w:rPr>
          <w:lang w:eastAsia="en-GB"/>
        </w:rPr>
        <w:t>a</w:t>
      </w:r>
      <w:r w:rsidRPr="00CE0885">
        <w:rPr>
          <w:spacing w:val="-1"/>
          <w:lang w:eastAsia="en-GB"/>
        </w:rPr>
        <w:t>gr</w:t>
      </w:r>
      <w:r w:rsidRPr="00CE0885">
        <w:rPr>
          <w:lang w:eastAsia="en-GB"/>
        </w:rPr>
        <w:t>e</w:t>
      </w:r>
      <w:r w:rsidRPr="00CE0885">
        <w:rPr>
          <w:spacing w:val="-1"/>
          <w:lang w:eastAsia="en-GB"/>
        </w:rPr>
        <w:t>e</w:t>
      </w:r>
      <w:r w:rsidRPr="00CE0885">
        <w:rPr>
          <w:spacing w:val="2"/>
          <w:lang w:eastAsia="en-GB"/>
        </w:rPr>
        <w:t>m</w:t>
      </w:r>
      <w:r w:rsidRPr="00CE0885">
        <w:rPr>
          <w:spacing w:val="-1"/>
          <w:lang w:eastAsia="en-GB"/>
        </w:rPr>
        <w:t>e</w:t>
      </w:r>
      <w:r w:rsidRPr="00CE0885">
        <w:rPr>
          <w:lang w:eastAsia="en-GB"/>
        </w:rPr>
        <w:t>nt</w:t>
      </w:r>
      <w:r w:rsidRPr="00CE0885">
        <w:rPr>
          <w:spacing w:val="-12"/>
          <w:lang w:eastAsia="en-GB"/>
        </w:rPr>
        <w:t xml:space="preserve"> </w:t>
      </w:r>
      <w:r w:rsidRPr="00CE0885">
        <w:rPr>
          <w:lang w:eastAsia="en-GB"/>
        </w:rPr>
        <w:t>or</w:t>
      </w:r>
      <w:r w:rsidRPr="00CE0885">
        <w:rPr>
          <w:spacing w:val="-2"/>
          <w:lang w:eastAsia="en-GB"/>
        </w:rPr>
        <w:t xml:space="preserve"> </w:t>
      </w:r>
      <w:r w:rsidRPr="00CE0885">
        <w:rPr>
          <w:spacing w:val="-1"/>
          <w:lang w:eastAsia="en-GB"/>
        </w:rPr>
        <w:t>r</w:t>
      </w:r>
      <w:r w:rsidRPr="00CE0885">
        <w:rPr>
          <w:lang w:eastAsia="en-GB"/>
        </w:rPr>
        <w:t>e</w:t>
      </w:r>
      <w:r w:rsidRPr="00CE0885">
        <w:rPr>
          <w:spacing w:val="-1"/>
          <w:lang w:eastAsia="en-GB"/>
        </w:rPr>
        <w:t>q</w:t>
      </w:r>
      <w:r w:rsidRPr="00CE0885">
        <w:rPr>
          <w:lang w:eastAsia="en-GB"/>
        </w:rPr>
        <w:t>ui</w:t>
      </w:r>
      <w:r w:rsidRPr="00CE0885">
        <w:rPr>
          <w:spacing w:val="-1"/>
          <w:lang w:eastAsia="en-GB"/>
        </w:rPr>
        <w:t>r</w:t>
      </w:r>
      <w:r w:rsidRPr="00CE0885">
        <w:rPr>
          <w:lang w:eastAsia="en-GB"/>
        </w:rPr>
        <w:t>ed</w:t>
      </w:r>
      <w:r w:rsidRPr="00CE0885">
        <w:rPr>
          <w:spacing w:val="-7"/>
          <w:lang w:eastAsia="en-GB"/>
        </w:rPr>
        <w:t xml:space="preserve"> </w:t>
      </w:r>
      <w:r w:rsidRPr="00CE0885">
        <w:rPr>
          <w:lang w:eastAsia="en-GB"/>
        </w:rPr>
        <w:t>by</w:t>
      </w:r>
      <w:r w:rsidRPr="00CE0885">
        <w:rPr>
          <w:spacing w:val="-5"/>
          <w:lang w:eastAsia="en-GB"/>
        </w:rPr>
        <w:t xml:space="preserve"> </w:t>
      </w:r>
      <w:r w:rsidRPr="00CE0885">
        <w:rPr>
          <w:spacing w:val="-1"/>
          <w:lang w:eastAsia="en-GB"/>
        </w:rPr>
        <w:t>r</w:t>
      </w:r>
      <w:r w:rsidRPr="00CE0885">
        <w:rPr>
          <w:lang w:eastAsia="en-GB"/>
        </w:rPr>
        <w:t>e</w:t>
      </w:r>
      <w:r w:rsidRPr="00CE0885">
        <w:rPr>
          <w:spacing w:val="-1"/>
          <w:lang w:eastAsia="en-GB"/>
        </w:rPr>
        <w:t>g</w:t>
      </w:r>
      <w:r w:rsidRPr="00CE0885">
        <w:rPr>
          <w:lang w:eastAsia="en-GB"/>
        </w:rPr>
        <w:t>ulato</w:t>
      </w:r>
      <w:r w:rsidRPr="00CE0885">
        <w:rPr>
          <w:spacing w:val="-1"/>
          <w:lang w:eastAsia="en-GB"/>
        </w:rPr>
        <w:t>r</w:t>
      </w:r>
      <w:r w:rsidRPr="00CE0885">
        <w:rPr>
          <w:lang w:eastAsia="en-GB"/>
        </w:rPr>
        <w:t>y a</w:t>
      </w:r>
      <w:r w:rsidRPr="00CE0885">
        <w:rPr>
          <w:spacing w:val="2"/>
          <w:lang w:eastAsia="en-GB"/>
        </w:rPr>
        <w:t>m</w:t>
      </w:r>
      <w:r w:rsidRPr="00CE0885">
        <w:rPr>
          <w:spacing w:val="-1"/>
          <w:lang w:eastAsia="en-GB"/>
        </w:rPr>
        <w:t>e</w:t>
      </w:r>
      <w:r w:rsidRPr="00CE0885">
        <w:rPr>
          <w:lang w:eastAsia="en-GB"/>
        </w:rPr>
        <w:t>n</w:t>
      </w:r>
      <w:r w:rsidRPr="00CE0885">
        <w:rPr>
          <w:spacing w:val="-1"/>
          <w:lang w:eastAsia="en-GB"/>
        </w:rPr>
        <w:t>d</w:t>
      </w:r>
      <w:r w:rsidRPr="00CE0885">
        <w:rPr>
          <w:spacing w:val="2"/>
          <w:lang w:eastAsia="en-GB"/>
        </w:rPr>
        <w:t>m</w:t>
      </w:r>
      <w:r w:rsidRPr="00CE0885">
        <w:rPr>
          <w:spacing w:val="-1"/>
          <w:lang w:eastAsia="en-GB"/>
        </w:rPr>
        <w:t>e</w:t>
      </w:r>
      <w:r w:rsidRPr="00CE0885">
        <w:rPr>
          <w:lang w:eastAsia="en-GB"/>
        </w:rPr>
        <w:t>nts,</w:t>
      </w:r>
      <w:r w:rsidRPr="00CE0885">
        <w:rPr>
          <w:spacing w:val="-16"/>
          <w:lang w:eastAsia="en-GB"/>
        </w:rPr>
        <w:t xml:space="preserve"> </w:t>
      </w:r>
      <w:r w:rsidRPr="00CE0885">
        <w:rPr>
          <w:lang w:eastAsia="en-GB"/>
        </w:rPr>
        <w:t xml:space="preserve">to </w:t>
      </w:r>
      <w:r w:rsidRPr="00CE0885">
        <w:rPr>
          <w:spacing w:val="-1"/>
          <w:lang w:eastAsia="en-GB"/>
        </w:rPr>
        <w:t>e</w:t>
      </w:r>
      <w:r w:rsidRPr="00CE0885">
        <w:rPr>
          <w:lang w:eastAsia="en-GB"/>
        </w:rPr>
        <w:t>nsu</w:t>
      </w:r>
      <w:r w:rsidRPr="00CE0885">
        <w:rPr>
          <w:spacing w:val="-3"/>
          <w:lang w:eastAsia="en-GB"/>
        </w:rPr>
        <w:t>r</w:t>
      </w:r>
      <w:r w:rsidRPr="00CE0885">
        <w:rPr>
          <w:lang w:eastAsia="en-GB"/>
        </w:rPr>
        <w:t>e</w:t>
      </w:r>
      <w:r w:rsidRPr="00CE0885">
        <w:rPr>
          <w:spacing w:val="-5"/>
          <w:lang w:eastAsia="en-GB"/>
        </w:rPr>
        <w:t xml:space="preserve"> </w:t>
      </w:r>
      <w:r w:rsidRPr="00CE0885">
        <w:rPr>
          <w:lang w:eastAsia="en-GB"/>
        </w:rPr>
        <w:t>t</w:t>
      </w:r>
      <w:r w:rsidRPr="00CE0885">
        <w:rPr>
          <w:spacing w:val="-1"/>
          <w:lang w:eastAsia="en-GB"/>
        </w:rPr>
        <w:t>h</w:t>
      </w:r>
      <w:r w:rsidRPr="00CE0885">
        <w:rPr>
          <w:lang w:eastAsia="en-GB"/>
        </w:rPr>
        <w:t>at</w:t>
      </w:r>
      <w:r w:rsidRPr="00CE0885">
        <w:rPr>
          <w:spacing w:val="-3"/>
          <w:lang w:eastAsia="en-GB"/>
        </w:rPr>
        <w:t xml:space="preserve"> </w:t>
      </w:r>
      <w:r w:rsidRPr="00CE0885">
        <w:rPr>
          <w:spacing w:val="-1"/>
          <w:lang w:eastAsia="en-GB"/>
        </w:rPr>
        <w:t>a</w:t>
      </w:r>
      <w:r w:rsidRPr="00CE0885">
        <w:rPr>
          <w:lang w:eastAsia="en-GB"/>
        </w:rPr>
        <w:t>ny</w:t>
      </w:r>
      <w:r w:rsidRPr="00CE0885">
        <w:rPr>
          <w:spacing w:val="-6"/>
          <w:lang w:eastAsia="en-GB"/>
        </w:rPr>
        <w:t xml:space="preserve"> </w:t>
      </w:r>
      <w:r w:rsidRPr="00CE0885">
        <w:rPr>
          <w:lang w:eastAsia="en-GB"/>
        </w:rPr>
        <w:t>chan</w:t>
      </w:r>
      <w:r w:rsidRPr="00CE0885">
        <w:rPr>
          <w:spacing w:val="-1"/>
          <w:lang w:eastAsia="en-GB"/>
        </w:rPr>
        <w:t>g</w:t>
      </w:r>
      <w:r w:rsidRPr="00CE0885">
        <w:rPr>
          <w:lang w:eastAsia="en-GB"/>
        </w:rPr>
        <w:t>es</w:t>
      </w:r>
      <w:r w:rsidRPr="00CE0885">
        <w:rPr>
          <w:spacing w:val="-9"/>
          <w:lang w:eastAsia="en-GB"/>
        </w:rPr>
        <w:t xml:space="preserve"> </w:t>
      </w:r>
      <w:r w:rsidRPr="00CE0885">
        <w:rPr>
          <w:spacing w:val="-1"/>
          <w:lang w:eastAsia="en-GB"/>
        </w:rPr>
        <w:t>re</w:t>
      </w:r>
      <w:r w:rsidRPr="00CE0885">
        <w:rPr>
          <w:spacing w:val="3"/>
          <w:lang w:eastAsia="en-GB"/>
        </w:rPr>
        <w:t>f</w:t>
      </w:r>
      <w:r w:rsidRPr="00CE0885">
        <w:rPr>
          <w:spacing w:val="-3"/>
          <w:lang w:eastAsia="en-GB"/>
        </w:rPr>
        <w:t>l</w:t>
      </w:r>
      <w:r w:rsidRPr="00CE0885">
        <w:rPr>
          <w:lang w:eastAsia="en-GB"/>
        </w:rPr>
        <w:t>ect</w:t>
      </w:r>
      <w:r w:rsidRPr="00CE0885">
        <w:rPr>
          <w:spacing w:val="-6"/>
          <w:lang w:eastAsia="en-GB"/>
        </w:rPr>
        <w:t xml:space="preserve"> </w:t>
      </w:r>
      <w:r w:rsidRPr="00CE0885">
        <w:rPr>
          <w:spacing w:val="-1"/>
          <w:lang w:eastAsia="en-GB"/>
        </w:rPr>
        <w:t>a</w:t>
      </w:r>
      <w:r w:rsidRPr="00CE0885">
        <w:rPr>
          <w:lang w:eastAsia="en-GB"/>
        </w:rPr>
        <w:t>nd</w:t>
      </w:r>
      <w:r w:rsidRPr="00CE0885">
        <w:rPr>
          <w:spacing w:val="-2"/>
          <w:lang w:eastAsia="en-GB"/>
        </w:rPr>
        <w:t xml:space="preserve"> c</w:t>
      </w:r>
      <w:r w:rsidRPr="00CE0885">
        <w:rPr>
          <w:lang w:eastAsia="en-GB"/>
        </w:rPr>
        <w:t>o</w:t>
      </w:r>
      <w:r w:rsidRPr="00CE0885">
        <w:rPr>
          <w:spacing w:val="-1"/>
          <w:lang w:eastAsia="en-GB"/>
        </w:rPr>
        <w:t>m</w:t>
      </w:r>
      <w:r w:rsidRPr="00CE0885">
        <w:rPr>
          <w:lang w:eastAsia="en-GB"/>
        </w:rPr>
        <w:t>ply</w:t>
      </w:r>
      <w:r w:rsidRPr="00CE0885">
        <w:rPr>
          <w:spacing w:val="-8"/>
          <w:lang w:eastAsia="en-GB"/>
        </w:rPr>
        <w:t xml:space="preserve"> </w:t>
      </w:r>
      <w:r w:rsidRPr="00CE0885">
        <w:rPr>
          <w:spacing w:val="-3"/>
          <w:lang w:eastAsia="en-GB"/>
        </w:rPr>
        <w:t>w</w:t>
      </w:r>
      <w:r w:rsidRPr="00CE0885">
        <w:rPr>
          <w:lang w:eastAsia="en-GB"/>
        </w:rPr>
        <w:t>ith legislation</w:t>
      </w:r>
      <w:r w:rsidRPr="00CE0885">
        <w:rPr>
          <w:spacing w:val="-12"/>
          <w:lang w:eastAsia="en-GB"/>
        </w:rPr>
        <w:t xml:space="preserve"> </w:t>
      </w:r>
      <w:r w:rsidRPr="00CE0885">
        <w:rPr>
          <w:lang w:eastAsia="en-GB"/>
        </w:rPr>
        <w:t>so</w:t>
      </w:r>
      <w:r w:rsidRPr="00CE0885">
        <w:rPr>
          <w:spacing w:val="-4"/>
          <w:lang w:eastAsia="en-GB"/>
        </w:rPr>
        <w:t xml:space="preserve"> </w:t>
      </w:r>
      <w:r w:rsidRPr="00CE0885">
        <w:rPr>
          <w:lang w:eastAsia="en-GB"/>
        </w:rPr>
        <w:t>as</w:t>
      </w:r>
      <w:r w:rsidRPr="00CE0885">
        <w:rPr>
          <w:spacing w:val="-3"/>
          <w:lang w:eastAsia="en-GB"/>
        </w:rPr>
        <w:t xml:space="preserve"> </w:t>
      </w:r>
      <w:r w:rsidRPr="00CE0885">
        <w:rPr>
          <w:lang w:eastAsia="en-GB"/>
        </w:rPr>
        <w:t>to</w:t>
      </w:r>
      <w:r w:rsidRPr="00CE0885">
        <w:rPr>
          <w:spacing w:val="-3"/>
          <w:lang w:eastAsia="en-GB"/>
        </w:rPr>
        <w:t xml:space="preserve"> </w:t>
      </w:r>
      <w:r w:rsidRPr="00CE0885">
        <w:rPr>
          <w:spacing w:val="-1"/>
          <w:lang w:eastAsia="en-GB"/>
        </w:rPr>
        <w:t>m</w:t>
      </w:r>
      <w:r w:rsidRPr="00CE0885">
        <w:rPr>
          <w:lang w:eastAsia="en-GB"/>
        </w:rPr>
        <w:t>ainta</w:t>
      </w:r>
      <w:r w:rsidRPr="00CE0885">
        <w:rPr>
          <w:spacing w:val="-3"/>
          <w:lang w:eastAsia="en-GB"/>
        </w:rPr>
        <w:t>i</w:t>
      </w:r>
      <w:r w:rsidRPr="00CE0885">
        <w:rPr>
          <w:lang w:eastAsia="en-GB"/>
        </w:rPr>
        <w:t>n</w:t>
      </w:r>
      <w:r w:rsidRPr="00CE0885">
        <w:rPr>
          <w:spacing w:val="-7"/>
          <w:lang w:eastAsia="en-GB"/>
        </w:rPr>
        <w:t xml:space="preserve"> </w:t>
      </w:r>
      <w:r w:rsidRPr="00CE0885">
        <w:rPr>
          <w:spacing w:val="-1"/>
          <w:lang w:eastAsia="en-GB"/>
        </w:rPr>
        <w:t>r</w:t>
      </w:r>
      <w:r w:rsidRPr="00CE0885">
        <w:rPr>
          <w:lang w:eastAsia="en-GB"/>
        </w:rPr>
        <w:t>o</w:t>
      </w:r>
      <w:r w:rsidRPr="00CE0885">
        <w:rPr>
          <w:spacing w:val="-1"/>
          <w:lang w:eastAsia="en-GB"/>
        </w:rPr>
        <w:t>b</w:t>
      </w:r>
      <w:r w:rsidRPr="00CE0885">
        <w:rPr>
          <w:lang w:eastAsia="en-GB"/>
        </w:rPr>
        <w:t>ust</w:t>
      </w:r>
      <w:r w:rsidRPr="00CE0885">
        <w:rPr>
          <w:spacing w:val="-8"/>
          <w:lang w:eastAsia="en-GB"/>
        </w:rPr>
        <w:t xml:space="preserve"> </w:t>
      </w:r>
      <w:r w:rsidRPr="00CE0885">
        <w:rPr>
          <w:lang w:eastAsia="en-GB"/>
        </w:rPr>
        <w:t>cont</w:t>
      </w:r>
      <w:r w:rsidRPr="00CE0885">
        <w:rPr>
          <w:spacing w:val="-1"/>
          <w:lang w:eastAsia="en-GB"/>
        </w:rPr>
        <w:t>r</w:t>
      </w:r>
      <w:r w:rsidRPr="00CE0885">
        <w:rPr>
          <w:lang w:eastAsia="en-GB"/>
        </w:rPr>
        <w:t>acts.</w:t>
      </w:r>
      <w:bookmarkEnd w:id="578"/>
    </w:p>
    <w:p w14:paraId="6D27F4C8" w14:textId="4A5AD89F" w:rsidR="00977693" w:rsidRPr="00CE0885" w:rsidRDefault="00977693" w:rsidP="00202DD3">
      <w:pPr>
        <w:pStyle w:val="Heading2"/>
        <w:rPr>
          <w:lang w:eastAsia="en-GB"/>
        </w:rPr>
      </w:pPr>
      <w:bookmarkStart w:id="579" w:name="_Toc440981700"/>
      <w:bookmarkStart w:id="580" w:name="_Toc95743446"/>
      <w:r w:rsidRPr="00CE0885">
        <w:rPr>
          <w:lang w:eastAsia="en-GB"/>
        </w:rPr>
        <w:t>Types of Contract Variation</w:t>
      </w:r>
      <w:bookmarkEnd w:id="579"/>
      <w:bookmarkEnd w:id="580"/>
    </w:p>
    <w:p w14:paraId="30E68721" w14:textId="2EBC9091" w:rsidR="00977693" w:rsidRPr="00CE0885" w:rsidRDefault="00977693" w:rsidP="006B781A">
      <w:pPr>
        <w:pStyle w:val="Heading3"/>
        <w:rPr>
          <w:lang w:eastAsia="en-GB"/>
        </w:rPr>
      </w:pPr>
      <w:bookmarkStart w:id="581" w:name="_Toc440981701"/>
      <w:r w:rsidRPr="00CE0885">
        <w:rPr>
          <w:lang w:eastAsia="en-GB"/>
        </w:rPr>
        <w:t>Va</w:t>
      </w:r>
      <w:r w:rsidRPr="00CE0885">
        <w:rPr>
          <w:spacing w:val="-1"/>
          <w:lang w:eastAsia="en-GB"/>
        </w:rPr>
        <w:t>r</w:t>
      </w:r>
      <w:r w:rsidRPr="00CE0885">
        <w:rPr>
          <w:lang w:eastAsia="en-GB"/>
        </w:rPr>
        <w:t>iations</w:t>
      </w:r>
      <w:r w:rsidRPr="00CE0885">
        <w:rPr>
          <w:spacing w:val="-13"/>
          <w:lang w:eastAsia="en-GB"/>
        </w:rPr>
        <w:t xml:space="preserve"> </w:t>
      </w:r>
      <w:r w:rsidRPr="00CE0885">
        <w:rPr>
          <w:lang w:eastAsia="en-GB"/>
        </w:rPr>
        <w:t xml:space="preserve">to </w:t>
      </w:r>
      <w:r w:rsidRPr="00CE0885">
        <w:rPr>
          <w:spacing w:val="-2"/>
          <w:lang w:eastAsia="en-GB"/>
        </w:rPr>
        <w:t>c</w:t>
      </w:r>
      <w:r w:rsidRPr="00CE0885">
        <w:rPr>
          <w:lang w:eastAsia="en-GB"/>
        </w:rPr>
        <w:t>ont</w:t>
      </w:r>
      <w:r w:rsidRPr="00CE0885">
        <w:rPr>
          <w:spacing w:val="-1"/>
          <w:lang w:eastAsia="en-GB"/>
        </w:rPr>
        <w:t>r</w:t>
      </w:r>
      <w:r w:rsidRPr="00CE0885">
        <w:rPr>
          <w:lang w:eastAsia="en-GB"/>
        </w:rPr>
        <w:t>a</w:t>
      </w:r>
      <w:r w:rsidRPr="00CE0885">
        <w:rPr>
          <w:spacing w:val="-2"/>
          <w:lang w:eastAsia="en-GB"/>
        </w:rPr>
        <w:t>c</w:t>
      </w:r>
      <w:r w:rsidRPr="00CE0885">
        <w:rPr>
          <w:lang w:eastAsia="en-GB"/>
        </w:rPr>
        <w:t>ts</w:t>
      </w:r>
      <w:r w:rsidRPr="00CE0885">
        <w:rPr>
          <w:spacing w:val="-12"/>
          <w:lang w:eastAsia="en-GB"/>
        </w:rPr>
        <w:t xml:space="preserve"> </w:t>
      </w:r>
      <w:r w:rsidRPr="00CE0885">
        <w:rPr>
          <w:lang w:eastAsia="en-GB"/>
        </w:rPr>
        <w:t>fall</w:t>
      </w:r>
      <w:r w:rsidRPr="00CE0885">
        <w:rPr>
          <w:spacing w:val="-3"/>
          <w:lang w:eastAsia="en-GB"/>
        </w:rPr>
        <w:t xml:space="preserve"> </w:t>
      </w:r>
      <w:r w:rsidRPr="00CE0885">
        <w:rPr>
          <w:lang w:eastAsia="en-GB"/>
        </w:rPr>
        <w:t>b</w:t>
      </w:r>
      <w:r w:rsidRPr="00CE0885">
        <w:rPr>
          <w:spacing w:val="-1"/>
          <w:lang w:eastAsia="en-GB"/>
        </w:rPr>
        <w:t>r</w:t>
      </w:r>
      <w:r w:rsidRPr="00CE0885">
        <w:rPr>
          <w:lang w:eastAsia="en-GB"/>
        </w:rPr>
        <w:t>o</w:t>
      </w:r>
      <w:r w:rsidRPr="00CE0885">
        <w:rPr>
          <w:spacing w:val="-1"/>
          <w:lang w:eastAsia="en-GB"/>
        </w:rPr>
        <w:t>a</w:t>
      </w:r>
      <w:r w:rsidRPr="00CE0885">
        <w:rPr>
          <w:lang w:eastAsia="en-GB"/>
        </w:rPr>
        <w:t>dly</w:t>
      </w:r>
      <w:r w:rsidRPr="00CE0885">
        <w:rPr>
          <w:spacing w:val="-8"/>
          <w:lang w:eastAsia="en-GB"/>
        </w:rPr>
        <w:t xml:space="preserve"> </w:t>
      </w:r>
      <w:r w:rsidRPr="00CE0885">
        <w:rPr>
          <w:spacing w:val="-3"/>
          <w:lang w:eastAsia="en-GB"/>
        </w:rPr>
        <w:t>w</w:t>
      </w:r>
      <w:r w:rsidRPr="00CE0885">
        <w:rPr>
          <w:lang w:eastAsia="en-GB"/>
        </w:rPr>
        <w:t>ithin</w:t>
      </w:r>
      <w:r w:rsidRPr="00CE0885">
        <w:rPr>
          <w:spacing w:val="-4"/>
          <w:lang w:eastAsia="en-GB"/>
        </w:rPr>
        <w:t xml:space="preserve"> </w:t>
      </w:r>
      <w:r w:rsidRPr="00CE0885">
        <w:rPr>
          <w:lang w:eastAsia="en-GB"/>
        </w:rPr>
        <w:t>four</w:t>
      </w:r>
      <w:r w:rsidRPr="00CE0885">
        <w:rPr>
          <w:spacing w:val="-6"/>
          <w:lang w:eastAsia="en-GB"/>
        </w:rPr>
        <w:t xml:space="preserve"> </w:t>
      </w:r>
      <w:r w:rsidRPr="00CE0885">
        <w:rPr>
          <w:lang w:eastAsia="en-GB"/>
        </w:rPr>
        <w:t>cate</w:t>
      </w:r>
      <w:r w:rsidRPr="00CE0885">
        <w:rPr>
          <w:spacing w:val="-1"/>
          <w:lang w:eastAsia="en-GB"/>
        </w:rPr>
        <w:t>g</w:t>
      </w:r>
      <w:r w:rsidRPr="00CE0885">
        <w:rPr>
          <w:lang w:eastAsia="en-GB"/>
        </w:rPr>
        <w:t>o</w:t>
      </w:r>
      <w:r w:rsidRPr="00CE0885">
        <w:rPr>
          <w:spacing w:val="-1"/>
          <w:lang w:eastAsia="en-GB"/>
        </w:rPr>
        <w:t>r</w:t>
      </w:r>
      <w:r w:rsidRPr="00CE0885">
        <w:rPr>
          <w:lang w:eastAsia="en-GB"/>
        </w:rPr>
        <w:t>ies:</w:t>
      </w:r>
      <w:bookmarkEnd w:id="581"/>
      <w:r w:rsidRPr="00CE0885">
        <w:rPr>
          <w:spacing w:val="-11"/>
          <w:lang w:eastAsia="en-GB"/>
        </w:rPr>
        <w:t xml:space="preserve"> </w:t>
      </w:r>
    </w:p>
    <w:p w14:paraId="16DADB2D" w14:textId="18453B95" w:rsidR="00977693" w:rsidRPr="006B781A" w:rsidRDefault="00977693" w:rsidP="00FA6A70">
      <w:pPr>
        <w:pStyle w:val="Heading4"/>
      </w:pPr>
      <w:bookmarkStart w:id="582" w:name="_Toc440981702"/>
      <w:r w:rsidRPr="006B781A">
        <w:t>changes due to legislation or regulatory change;</w:t>
      </w:r>
      <w:bookmarkEnd w:id="582"/>
    </w:p>
    <w:p w14:paraId="65170D2F" w14:textId="37239211" w:rsidR="00977693" w:rsidRPr="006B781A" w:rsidRDefault="00977693" w:rsidP="00FA6A70">
      <w:pPr>
        <w:pStyle w:val="Heading4"/>
      </w:pPr>
      <w:bookmarkStart w:id="583" w:name="_Toc440981703"/>
      <w:r w:rsidRPr="006B781A">
        <w:t>changes to the cont</w:t>
      </w:r>
      <w:r w:rsidRPr="006B781A">
        <w:rPr>
          <w:spacing w:val="-1"/>
        </w:rPr>
        <w:t>r</w:t>
      </w:r>
      <w:r w:rsidRPr="006B781A">
        <w:t>acting</w:t>
      </w:r>
      <w:r w:rsidRPr="006B781A">
        <w:rPr>
          <w:spacing w:val="-13"/>
        </w:rPr>
        <w:t xml:space="preserve"> </w:t>
      </w:r>
      <w:r w:rsidRPr="006B781A">
        <w:rPr>
          <w:spacing w:val="-1"/>
        </w:rPr>
        <w:t>p</w:t>
      </w:r>
      <w:r w:rsidRPr="006B781A">
        <w:t>a</w:t>
      </w:r>
      <w:r w:rsidRPr="006B781A">
        <w:rPr>
          <w:spacing w:val="-1"/>
        </w:rPr>
        <w:t>r</w:t>
      </w:r>
      <w:r w:rsidRPr="006B781A">
        <w:t>ty</w:t>
      </w:r>
      <w:r w:rsidRPr="006B781A">
        <w:rPr>
          <w:spacing w:val="-7"/>
        </w:rPr>
        <w:t>;</w:t>
      </w:r>
      <w:bookmarkEnd w:id="583"/>
    </w:p>
    <w:p w14:paraId="4061BAFC" w14:textId="0B8868D3" w:rsidR="00977693" w:rsidRPr="006B781A" w:rsidRDefault="00977693" w:rsidP="00FA6A70">
      <w:pPr>
        <w:pStyle w:val="Heading4"/>
      </w:pPr>
      <w:bookmarkStart w:id="584" w:name="_Toc440981704"/>
      <w:r w:rsidRPr="006B781A">
        <w:t>chan</w:t>
      </w:r>
      <w:r w:rsidRPr="006B781A">
        <w:rPr>
          <w:spacing w:val="-1"/>
        </w:rPr>
        <w:t>g</w:t>
      </w:r>
      <w:r w:rsidRPr="006B781A">
        <w:t>es</w:t>
      </w:r>
      <w:r w:rsidRPr="006B781A">
        <w:rPr>
          <w:spacing w:val="-10"/>
        </w:rPr>
        <w:t xml:space="preserve"> </w:t>
      </w:r>
      <w:r w:rsidRPr="006B781A">
        <w:t>to</w:t>
      </w:r>
      <w:r w:rsidRPr="006B781A">
        <w:rPr>
          <w:spacing w:val="-3"/>
        </w:rPr>
        <w:t xml:space="preserve"> </w:t>
      </w:r>
      <w:r w:rsidRPr="006B781A">
        <w:t>se</w:t>
      </w:r>
      <w:r w:rsidRPr="006B781A">
        <w:rPr>
          <w:spacing w:val="-1"/>
        </w:rPr>
        <w:t>r</w:t>
      </w:r>
      <w:r w:rsidRPr="006B781A">
        <w:t>vices; or</w:t>
      </w:r>
      <w:bookmarkEnd w:id="584"/>
    </w:p>
    <w:p w14:paraId="004F3981" w14:textId="268BC7E3" w:rsidR="00977693" w:rsidRPr="006B781A" w:rsidRDefault="00977693" w:rsidP="00FA6A70">
      <w:pPr>
        <w:pStyle w:val="Heading4"/>
      </w:pPr>
      <w:bookmarkStart w:id="585" w:name="_Toc440981705"/>
      <w:r w:rsidRPr="006B781A">
        <w:t>chan</w:t>
      </w:r>
      <w:r w:rsidRPr="006B781A">
        <w:rPr>
          <w:spacing w:val="-1"/>
        </w:rPr>
        <w:t>g</w:t>
      </w:r>
      <w:r w:rsidRPr="006B781A">
        <w:t>es</w:t>
      </w:r>
      <w:r w:rsidRPr="006B781A">
        <w:rPr>
          <w:spacing w:val="-10"/>
        </w:rPr>
        <w:t xml:space="preserve"> </w:t>
      </w:r>
      <w:r w:rsidRPr="006B781A">
        <w:t>to</w:t>
      </w:r>
      <w:r w:rsidRPr="006B781A">
        <w:rPr>
          <w:spacing w:val="-3"/>
        </w:rPr>
        <w:t xml:space="preserve"> </w:t>
      </w:r>
      <w:r w:rsidRPr="006B781A">
        <w:t>t</w:t>
      </w:r>
      <w:r w:rsidRPr="006B781A">
        <w:rPr>
          <w:spacing w:val="-1"/>
        </w:rPr>
        <w:t>h</w:t>
      </w:r>
      <w:r w:rsidRPr="006B781A">
        <w:t>e</w:t>
      </w:r>
      <w:r w:rsidRPr="006B781A">
        <w:rPr>
          <w:spacing w:val="-1"/>
        </w:rPr>
        <w:t xml:space="preserve"> p</w:t>
      </w:r>
      <w:r w:rsidRPr="006B781A">
        <w:t>ay</w:t>
      </w:r>
      <w:r w:rsidRPr="006B781A">
        <w:rPr>
          <w:spacing w:val="2"/>
        </w:rPr>
        <w:t>m</w:t>
      </w:r>
      <w:r w:rsidRPr="006B781A">
        <w:rPr>
          <w:spacing w:val="-1"/>
        </w:rPr>
        <w:t>e</w:t>
      </w:r>
      <w:r w:rsidRPr="006B781A">
        <w:t>nt</w:t>
      </w:r>
      <w:r w:rsidRPr="006B781A">
        <w:rPr>
          <w:spacing w:val="-8"/>
        </w:rPr>
        <w:t xml:space="preserve"> </w:t>
      </w:r>
      <w:r w:rsidRPr="006B781A">
        <w:t>a</w:t>
      </w:r>
      <w:r w:rsidRPr="006B781A">
        <w:rPr>
          <w:spacing w:val="-1"/>
        </w:rPr>
        <w:t>rr</w:t>
      </w:r>
      <w:r w:rsidRPr="006B781A">
        <w:t>an</w:t>
      </w:r>
      <w:r w:rsidRPr="006B781A">
        <w:rPr>
          <w:spacing w:val="-1"/>
        </w:rPr>
        <w:t>ge</w:t>
      </w:r>
      <w:r w:rsidRPr="006B781A">
        <w:rPr>
          <w:spacing w:val="2"/>
        </w:rPr>
        <w:t>m</w:t>
      </w:r>
      <w:r w:rsidRPr="006B781A">
        <w:rPr>
          <w:spacing w:val="-1"/>
        </w:rPr>
        <w:t>e</w:t>
      </w:r>
      <w:r w:rsidRPr="006B781A">
        <w:t>nts.</w:t>
      </w:r>
      <w:bookmarkEnd w:id="585"/>
    </w:p>
    <w:p w14:paraId="7A5DC92D" w14:textId="1E48456D" w:rsidR="00977693" w:rsidRPr="00CE0885" w:rsidRDefault="00977693" w:rsidP="006B781A">
      <w:pPr>
        <w:pStyle w:val="Heading3"/>
        <w:rPr>
          <w:lang w:eastAsia="en-GB"/>
        </w:rPr>
      </w:pPr>
      <w:bookmarkStart w:id="586" w:name="_Toc440981706"/>
      <w:r w:rsidRPr="00CE0885">
        <w:rPr>
          <w:lang w:eastAsia="en-GB"/>
        </w:rPr>
        <w:t>Where a GMS contract or PMS agreement is varied, the Commissioner is required by the Regulations to notify relevant patients where such variation:</w:t>
      </w:r>
      <w:bookmarkEnd w:id="586"/>
    </w:p>
    <w:p w14:paraId="7AFBAFD8" w14:textId="7B1D5FB8" w:rsidR="00977693" w:rsidRPr="006B781A" w:rsidRDefault="00977693" w:rsidP="00FA6A70">
      <w:pPr>
        <w:pStyle w:val="Heading4"/>
      </w:pPr>
      <w:bookmarkStart w:id="587" w:name="_Toc440981707"/>
      <w:r w:rsidRPr="006B781A">
        <w:t>changes the range of services provided to the contractor's registered patients; or</w:t>
      </w:r>
      <w:bookmarkEnd w:id="587"/>
    </w:p>
    <w:p w14:paraId="2495DA4C" w14:textId="399DCAFB" w:rsidR="00977693" w:rsidRPr="006B781A" w:rsidRDefault="00977693" w:rsidP="00FA6A70">
      <w:pPr>
        <w:pStyle w:val="Heading4"/>
      </w:pPr>
      <w:bookmarkStart w:id="588" w:name="_Toc440981708"/>
      <w:r w:rsidRPr="006B781A">
        <w:t>where patients who are on the contractor's list of patients are to be removed from that list.</w:t>
      </w:r>
      <w:bookmarkEnd w:id="588"/>
    </w:p>
    <w:p w14:paraId="23E44D95" w14:textId="6EA64891" w:rsidR="00977693" w:rsidRPr="00CE0885" w:rsidRDefault="00977693" w:rsidP="006B781A">
      <w:pPr>
        <w:pStyle w:val="Heading3"/>
        <w:rPr>
          <w:lang w:eastAsia="en-GB"/>
        </w:rPr>
      </w:pPr>
      <w:bookmarkStart w:id="589" w:name="_Toc440981709"/>
      <w:r w:rsidRPr="00CE0885">
        <w:rPr>
          <w:lang w:eastAsia="en-GB"/>
        </w:rPr>
        <w:t>The Commissioner must inform those patients of the steps they can take to obtain elsewhere the services in question or register elsewhere for the provision of essential services (or their equivalent).</w:t>
      </w:r>
      <w:bookmarkEnd w:id="589"/>
    </w:p>
    <w:p w14:paraId="08811AE8" w14:textId="465404B7" w:rsidR="00977693" w:rsidRPr="00CE0885" w:rsidRDefault="00977693" w:rsidP="006B781A">
      <w:pPr>
        <w:pStyle w:val="Heading3"/>
        <w:rPr>
          <w:lang w:eastAsia="en-GB"/>
        </w:rPr>
      </w:pPr>
      <w:bookmarkStart w:id="590" w:name="_Toc440981710"/>
      <w:r w:rsidRPr="00CE0885">
        <w:rPr>
          <w:lang w:eastAsia="en-GB"/>
        </w:rPr>
        <w:t>The Commissioner should consider whether any such provision is contained within an</w:t>
      </w:r>
      <w:r w:rsidR="005435D0">
        <w:rPr>
          <w:lang w:eastAsia="en-GB"/>
        </w:rPr>
        <w:t>y</w:t>
      </w:r>
      <w:r w:rsidRPr="00CE0885">
        <w:rPr>
          <w:lang w:eastAsia="en-GB"/>
        </w:rPr>
        <w:t xml:space="preserve"> APMS contract</w:t>
      </w:r>
      <w:r w:rsidR="005435D0">
        <w:rPr>
          <w:lang w:eastAsia="en-GB"/>
        </w:rPr>
        <w:t>s it holds</w:t>
      </w:r>
      <w:r w:rsidRPr="00CE0885">
        <w:rPr>
          <w:lang w:eastAsia="en-GB"/>
        </w:rPr>
        <w:t>.</w:t>
      </w:r>
      <w:bookmarkEnd w:id="590"/>
    </w:p>
    <w:p w14:paraId="5BF1FE96" w14:textId="0D691210" w:rsidR="00977693" w:rsidRPr="00CE0885" w:rsidRDefault="00977693" w:rsidP="00202DD3">
      <w:pPr>
        <w:pStyle w:val="Heading2"/>
        <w:rPr>
          <w:lang w:eastAsia="en-GB"/>
        </w:rPr>
      </w:pPr>
      <w:bookmarkStart w:id="591" w:name="_Toc440981711"/>
      <w:bookmarkStart w:id="592" w:name="_Toc95743447"/>
      <w:r w:rsidRPr="00CE0885">
        <w:rPr>
          <w:lang w:eastAsia="en-GB"/>
        </w:rPr>
        <w:t>Legislation / Regulatory Changes</w:t>
      </w:r>
      <w:bookmarkEnd w:id="591"/>
      <w:bookmarkEnd w:id="592"/>
    </w:p>
    <w:p w14:paraId="6DC0A531" w14:textId="13D995FC" w:rsidR="00977693" w:rsidRPr="00CE0885" w:rsidRDefault="00977693" w:rsidP="006B781A">
      <w:pPr>
        <w:pStyle w:val="Heading3"/>
        <w:rPr>
          <w:lang w:eastAsia="en-GB"/>
        </w:rPr>
      </w:pPr>
      <w:bookmarkStart w:id="593" w:name="_Toc440981712"/>
      <w:r w:rsidRPr="00CE0885">
        <w:rPr>
          <w:lang w:eastAsia="en-GB"/>
        </w:rPr>
        <w:t xml:space="preserve">Usually both parties to a primary medical contract must agree </w:t>
      </w:r>
      <w:r w:rsidR="00E74C43">
        <w:rPr>
          <w:lang w:eastAsia="en-GB"/>
        </w:rPr>
        <w:t xml:space="preserve">on </w:t>
      </w:r>
      <w:r w:rsidRPr="00CE0885">
        <w:rPr>
          <w:lang w:eastAsia="en-GB"/>
        </w:rPr>
        <w:t>a variation in order for it to take effect. The Commissioner</w:t>
      </w:r>
      <w:r w:rsidRPr="00CE0885">
        <w:rPr>
          <w:spacing w:val="-10"/>
          <w:lang w:eastAsia="en-GB"/>
        </w:rPr>
        <w:t xml:space="preserve"> </w:t>
      </w:r>
      <w:r w:rsidRPr="00CE0885">
        <w:rPr>
          <w:spacing w:val="2"/>
          <w:lang w:eastAsia="en-GB"/>
        </w:rPr>
        <w:t>m</w:t>
      </w:r>
      <w:r w:rsidRPr="00CE0885">
        <w:rPr>
          <w:spacing w:val="1"/>
          <w:lang w:eastAsia="en-GB"/>
        </w:rPr>
        <w:t>a</w:t>
      </w:r>
      <w:r w:rsidRPr="00CE0885">
        <w:rPr>
          <w:lang w:eastAsia="en-GB"/>
        </w:rPr>
        <w:t>y, however,</w:t>
      </w:r>
      <w:r w:rsidRPr="00CE0885">
        <w:rPr>
          <w:spacing w:val="-7"/>
          <w:lang w:eastAsia="en-GB"/>
        </w:rPr>
        <w:t xml:space="preserve"> </w:t>
      </w:r>
      <w:r w:rsidRPr="00CE0885">
        <w:rPr>
          <w:spacing w:val="-2"/>
          <w:lang w:eastAsia="en-GB"/>
        </w:rPr>
        <w:t>v</w:t>
      </w:r>
      <w:r w:rsidRPr="00CE0885">
        <w:rPr>
          <w:spacing w:val="1"/>
          <w:lang w:eastAsia="en-GB"/>
        </w:rPr>
        <w:t>a</w:t>
      </w:r>
      <w:r w:rsidRPr="00CE0885">
        <w:rPr>
          <w:spacing w:val="2"/>
          <w:lang w:eastAsia="en-GB"/>
        </w:rPr>
        <w:t>r</w:t>
      </w:r>
      <w:r w:rsidRPr="00CE0885">
        <w:rPr>
          <w:lang w:eastAsia="en-GB"/>
        </w:rPr>
        <w:t>y</w:t>
      </w:r>
      <w:r w:rsidRPr="00CE0885">
        <w:rPr>
          <w:spacing w:val="-7"/>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 xml:space="preserve">ct </w:t>
      </w:r>
      <w:r w:rsidRPr="00CE0885">
        <w:rPr>
          <w:spacing w:val="-3"/>
          <w:lang w:eastAsia="en-GB"/>
        </w:rPr>
        <w:t>w</w:t>
      </w:r>
      <w:r w:rsidRPr="00CE0885">
        <w:rPr>
          <w:lang w:eastAsia="en-GB"/>
        </w:rPr>
        <w:t>i</w:t>
      </w:r>
      <w:r w:rsidRPr="00CE0885">
        <w:rPr>
          <w:spacing w:val="1"/>
          <w:lang w:eastAsia="en-GB"/>
        </w:rPr>
        <w:t>thou</w:t>
      </w:r>
      <w:r w:rsidRPr="00CE0885">
        <w:rPr>
          <w:lang w:eastAsia="en-GB"/>
        </w:rPr>
        <w:t>t</w:t>
      </w:r>
      <w:r w:rsidRPr="00CE0885">
        <w:rPr>
          <w:spacing w:val="-7"/>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spacing w:val="1"/>
          <w:lang w:eastAsia="en-GB"/>
        </w:rPr>
        <w:t>t</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to</w:t>
      </w:r>
      <w:r w:rsidRPr="00CE0885">
        <w:rPr>
          <w:spacing w:val="-1"/>
          <w:lang w:eastAsia="en-GB"/>
        </w:rPr>
        <w:t>r</w:t>
      </w:r>
      <w:r w:rsidRPr="00CE0885">
        <w:rPr>
          <w:spacing w:val="-3"/>
          <w:lang w:eastAsia="en-GB"/>
        </w:rPr>
        <w:t>’</w:t>
      </w:r>
      <w:r w:rsidRPr="00CE0885">
        <w:rPr>
          <w:lang w:eastAsia="en-GB"/>
        </w:rPr>
        <w:t>s</w:t>
      </w:r>
      <w:r w:rsidRPr="00CE0885">
        <w:rPr>
          <w:spacing w:val="-12"/>
          <w:lang w:eastAsia="en-GB"/>
        </w:rPr>
        <w:t xml:space="preserve"> </w:t>
      </w:r>
      <w:r w:rsidRPr="00CE0885">
        <w:rPr>
          <w:lang w:eastAsia="en-GB"/>
        </w:rPr>
        <w:t>c</w:t>
      </w:r>
      <w:r w:rsidRPr="00CE0885">
        <w:rPr>
          <w:spacing w:val="1"/>
          <w:lang w:eastAsia="en-GB"/>
        </w:rPr>
        <w:t>on</w:t>
      </w:r>
      <w:r w:rsidRPr="00CE0885">
        <w:rPr>
          <w:lang w:eastAsia="en-GB"/>
        </w:rPr>
        <w:t>s</w:t>
      </w:r>
      <w:r w:rsidRPr="00CE0885">
        <w:rPr>
          <w:spacing w:val="-1"/>
          <w:lang w:eastAsia="en-GB"/>
        </w:rPr>
        <w:t>e</w:t>
      </w:r>
      <w:r w:rsidRPr="00CE0885">
        <w:rPr>
          <w:spacing w:val="1"/>
          <w:lang w:eastAsia="en-GB"/>
        </w:rPr>
        <w:t>n</w:t>
      </w:r>
      <w:r w:rsidRPr="00CE0885">
        <w:rPr>
          <w:lang w:eastAsia="en-GB"/>
        </w:rPr>
        <w:t>t</w:t>
      </w:r>
      <w:r w:rsidRPr="00CE0885">
        <w:rPr>
          <w:spacing w:val="-7"/>
          <w:lang w:eastAsia="en-GB"/>
        </w:rPr>
        <w:t xml:space="preserve"> </w:t>
      </w:r>
      <w:r w:rsidRPr="00CE0885">
        <w:rPr>
          <w:spacing w:val="-3"/>
          <w:lang w:eastAsia="en-GB"/>
        </w:rPr>
        <w:t>w</w:t>
      </w:r>
      <w:r w:rsidRPr="00CE0885">
        <w:rPr>
          <w:spacing w:val="1"/>
          <w:lang w:eastAsia="en-GB"/>
        </w:rPr>
        <w:t>he</w:t>
      </w:r>
      <w:r w:rsidRPr="00CE0885">
        <w:rPr>
          <w:spacing w:val="-1"/>
          <w:lang w:eastAsia="en-GB"/>
        </w:rPr>
        <w:t>r</w:t>
      </w:r>
      <w:r w:rsidRPr="00CE0885">
        <w:rPr>
          <w:lang w:eastAsia="en-GB"/>
        </w:rPr>
        <w:t>e</w:t>
      </w:r>
      <w:r w:rsidRPr="00CE0885">
        <w:rPr>
          <w:spacing w:val="-5"/>
          <w:lang w:eastAsia="en-GB"/>
        </w:rPr>
        <w:t xml:space="preserve"> </w:t>
      </w:r>
      <w:r w:rsidRPr="00CE0885">
        <w:rPr>
          <w:lang w:eastAsia="en-GB"/>
        </w:rPr>
        <w:t>it is</w:t>
      </w:r>
      <w:r w:rsidRPr="00CE0885">
        <w:rPr>
          <w:spacing w:val="-2"/>
          <w:lang w:eastAsia="en-GB"/>
        </w:rPr>
        <w:t xml:space="preserve"> </w:t>
      </w:r>
      <w:r w:rsidRPr="00CE0885">
        <w:rPr>
          <w:spacing w:val="-1"/>
          <w:lang w:eastAsia="en-GB"/>
        </w:rPr>
        <w:t>re</w:t>
      </w:r>
      <w:r w:rsidRPr="00CE0885">
        <w:rPr>
          <w:spacing w:val="1"/>
          <w:lang w:eastAsia="en-GB"/>
        </w:rPr>
        <w:t>a</w:t>
      </w:r>
      <w:r w:rsidRPr="00CE0885">
        <w:rPr>
          <w:lang w:eastAsia="en-GB"/>
        </w:rPr>
        <w:t>s</w:t>
      </w:r>
      <w:r w:rsidRPr="00CE0885">
        <w:rPr>
          <w:spacing w:val="1"/>
          <w:lang w:eastAsia="en-GB"/>
        </w:rPr>
        <w:t>o</w:t>
      </w:r>
      <w:r w:rsidRPr="00CE0885">
        <w:rPr>
          <w:spacing w:val="-1"/>
          <w:lang w:eastAsia="en-GB"/>
        </w:rPr>
        <w:t>n</w:t>
      </w:r>
      <w:r w:rsidRPr="00CE0885">
        <w:rPr>
          <w:spacing w:val="1"/>
          <w:lang w:eastAsia="en-GB"/>
        </w:rPr>
        <w:t>ab</w:t>
      </w:r>
      <w:r w:rsidRPr="00CE0885">
        <w:rPr>
          <w:lang w:eastAsia="en-GB"/>
        </w:rPr>
        <w:t>ly</w:t>
      </w:r>
      <w:r w:rsidRPr="00CE0885">
        <w:rPr>
          <w:spacing w:val="-14"/>
          <w:lang w:eastAsia="en-GB"/>
        </w:rPr>
        <w:t xml:space="preserve"> </w:t>
      </w:r>
      <w:r w:rsidRPr="00CE0885">
        <w:rPr>
          <w:lang w:eastAsia="en-GB"/>
        </w:rPr>
        <w:t>s</w:t>
      </w:r>
      <w:r w:rsidRPr="00CE0885">
        <w:rPr>
          <w:spacing w:val="1"/>
          <w:lang w:eastAsia="en-GB"/>
        </w:rPr>
        <w:t>at</w:t>
      </w:r>
      <w:r w:rsidRPr="00CE0885">
        <w:rPr>
          <w:lang w:eastAsia="en-GB"/>
        </w:rPr>
        <w:t>is</w:t>
      </w:r>
      <w:r w:rsidRPr="00CE0885">
        <w:rPr>
          <w:spacing w:val="3"/>
          <w:lang w:eastAsia="en-GB"/>
        </w:rPr>
        <w:t>f</w:t>
      </w:r>
      <w:r w:rsidRPr="00CE0885">
        <w:rPr>
          <w:spacing w:val="-3"/>
          <w:lang w:eastAsia="en-GB"/>
        </w:rPr>
        <w:t>i</w:t>
      </w:r>
      <w:r w:rsidRPr="00CE0885">
        <w:rPr>
          <w:spacing w:val="1"/>
          <w:lang w:eastAsia="en-GB"/>
        </w:rPr>
        <w:t>e</w:t>
      </w:r>
      <w:r w:rsidRPr="00CE0885">
        <w:rPr>
          <w:lang w:eastAsia="en-GB"/>
        </w:rPr>
        <w:t>d</w:t>
      </w:r>
      <w:r w:rsidRPr="00CE0885">
        <w:rPr>
          <w:spacing w:val="-7"/>
          <w:lang w:eastAsia="en-GB"/>
        </w:rPr>
        <w:t xml:space="preserve"> </w:t>
      </w:r>
      <w:r w:rsidRPr="00CE0885">
        <w:rPr>
          <w:spacing w:val="-2"/>
          <w:lang w:eastAsia="en-GB"/>
        </w:rPr>
        <w:t>t</w:t>
      </w:r>
      <w:r w:rsidRPr="00CE0885">
        <w:rPr>
          <w:spacing w:val="1"/>
          <w:lang w:eastAsia="en-GB"/>
        </w:rPr>
        <w:t>ha</w:t>
      </w:r>
      <w:r w:rsidRPr="00CE0885">
        <w:rPr>
          <w:lang w:eastAsia="en-GB"/>
        </w:rPr>
        <w:t>t</w:t>
      </w:r>
      <w:r w:rsidRPr="00CE0885">
        <w:rPr>
          <w:spacing w:val="-8"/>
          <w:lang w:eastAsia="en-GB"/>
        </w:rPr>
        <w:t xml:space="preserve"> </w:t>
      </w:r>
      <w:r w:rsidRPr="00CE0885">
        <w:rPr>
          <w:lang w:eastAsia="en-GB"/>
        </w:rPr>
        <w:t xml:space="preserve">it is </w:t>
      </w:r>
      <w:r w:rsidRPr="00CE0885">
        <w:rPr>
          <w:spacing w:val="1"/>
          <w:lang w:eastAsia="en-GB"/>
        </w:rPr>
        <w:t>ne</w:t>
      </w:r>
      <w:r w:rsidRPr="00CE0885">
        <w:rPr>
          <w:lang w:eastAsia="en-GB"/>
        </w:rPr>
        <w:t>c</w:t>
      </w:r>
      <w:r w:rsidRPr="00CE0885">
        <w:rPr>
          <w:spacing w:val="1"/>
          <w:lang w:eastAsia="en-GB"/>
        </w:rPr>
        <w:t>e</w:t>
      </w:r>
      <w:r w:rsidRPr="00CE0885">
        <w:rPr>
          <w:lang w:eastAsia="en-GB"/>
        </w:rPr>
        <w:t>s</w:t>
      </w:r>
      <w:r w:rsidRPr="00CE0885">
        <w:rPr>
          <w:spacing w:val="-2"/>
          <w:lang w:eastAsia="en-GB"/>
        </w:rPr>
        <w:t>s</w:t>
      </w:r>
      <w:r w:rsidRPr="00CE0885">
        <w:rPr>
          <w:spacing w:val="1"/>
          <w:lang w:eastAsia="en-GB"/>
        </w:rPr>
        <w:t>a</w:t>
      </w:r>
      <w:r w:rsidRPr="00CE0885">
        <w:rPr>
          <w:spacing w:val="-1"/>
          <w:lang w:eastAsia="en-GB"/>
        </w:rPr>
        <w:t>r</w:t>
      </w:r>
      <w:r w:rsidRPr="00CE0885">
        <w:rPr>
          <w:lang w:eastAsia="en-GB"/>
        </w:rPr>
        <w:t>y</w:t>
      </w:r>
      <w:r w:rsidRPr="00CE0885">
        <w:rPr>
          <w:spacing w:val="-13"/>
          <w:lang w:eastAsia="en-GB"/>
        </w:rPr>
        <w:t xml:space="preserve"> </w:t>
      </w:r>
      <w:r w:rsidRPr="00CE0885">
        <w:rPr>
          <w:spacing w:val="1"/>
          <w:lang w:eastAsia="en-GB"/>
        </w:rPr>
        <w:t>t</w:t>
      </w:r>
      <w:r w:rsidRPr="00CE0885">
        <w:rPr>
          <w:lang w:eastAsia="en-GB"/>
        </w:rPr>
        <w:t xml:space="preserve">o </w:t>
      </w:r>
      <w:r w:rsidRPr="00CE0885">
        <w:rPr>
          <w:spacing w:val="1"/>
          <w:lang w:eastAsia="en-GB"/>
        </w:rPr>
        <w:t>d</w:t>
      </w:r>
      <w:r w:rsidRPr="00CE0885">
        <w:rPr>
          <w:lang w:eastAsia="en-GB"/>
        </w:rPr>
        <w:t>o</w:t>
      </w:r>
      <w:r w:rsidRPr="00CE0885">
        <w:rPr>
          <w:spacing w:val="-1"/>
          <w:lang w:eastAsia="en-GB"/>
        </w:rPr>
        <w:t xml:space="preserve"> </w:t>
      </w:r>
      <w:r w:rsidRPr="00CE0885">
        <w:rPr>
          <w:spacing w:val="-2"/>
          <w:lang w:eastAsia="en-GB"/>
        </w:rPr>
        <w:t>s</w:t>
      </w:r>
      <w:r w:rsidRPr="00CE0885">
        <w:rPr>
          <w:lang w:eastAsia="en-GB"/>
        </w:rPr>
        <w:t>o</w:t>
      </w:r>
      <w:r w:rsidRPr="00CE0885">
        <w:rPr>
          <w:spacing w:val="-1"/>
          <w:lang w:eastAsia="en-GB"/>
        </w:rPr>
        <w:t xml:space="preserve"> </w:t>
      </w:r>
      <w:r w:rsidRPr="00CE0885">
        <w:rPr>
          <w:spacing w:val="1"/>
          <w:lang w:eastAsia="en-GB"/>
        </w:rPr>
        <w:t>t</w:t>
      </w:r>
      <w:r w:rsidRPr="00CE0885">
        <w:rPr>
          <w:lang w:eastAsia="en-GB"/>
        </w:rPr>
        <w:t>o</w:t>
      </w:r>
      <w:r w:rsidRPr="00CE0885">
        <w:rPr>
          <w:spacing w:val="-5"/>
          <w:lang w:eastAsia="en-GB"/>
        </w:rPr>
        <w:t xml:space="preserve"> </w:t>
      </w:r>
      <w:r w:rsidRPr="00CE0885">
        <w:rPr>
          <w:lang w:eastAsia="en-GB"/>
        </w:rPr>
        <w:t>c</w:t>
      </w:r>
      <w:r w:rsidRPr="00CE0885">
        <w:rPr>
          <w:spacing w:val="1"/>
          <w:lang w:eastAsia="en-GB"/>
        </w:rPr>
        <w:t>o</w:t>
      </w:r>
      <w:r w:rsidRPr="00CE0885">
        <w:rPr>
          <w:spacing w:val="2"/>
          <w:lang w:eastAsia="en-GB"/>
        </w:rPr>
        <w:t>m</w:t>
      </w:r>
      <w:r w:rsidRPr="00CE0885">
        <w:rPr>
          <w:spacing w:val="1"/>
          <w:lang w:eastAsia="en-GB"/>
        </w:rPr>
        <w:t>p</w:t>
      </w:r>
      <w:r w:rsidRPr="00CE0885">
        <w:rPr>
          <w:lang w:eastAsia="en-GB"/>
        </w:rPr>
        <w:t>ly</w:t>
      </w:r>
      <w:r w:rsidRPr="00CE0885">
        <w:rPr>
          <w:spacing w:val="-10"/>
          <w:lang w:eastAsia="en-GB"/>
        </w:rPr>
        <w:t xml:space="preserve"> </w:t>
      </w:r>
      <w:r w:rsidRPr="00CE0885">
        <w:rPr>
          <w:spacing w:val="-3"/>
          <w:lang w:eastAsia="en-GB"/>
        </w:rPr>
        <w:t>w</w:t>
      </w:r>
      <w:r w:rsidRPr="00CE0885">
        <w:rPr>
          <w:lang w:eastAsia="en-GB"/>
        </w:rPr>
        <w:t>i</w:t>
      </w:r>
      <w:r w:rsidRPr="00CE0885">
        <w:rPr>
          <w:spacing w:val="1"/>
          <w:lang w:eastAsia="en-GB"/>
        </w:rPr>
        <w:t>t</w:t>
      </w:r>
      <w:r w:rsidRPr="00CE0885">
        <w:rPr>
          <w:lang w:eastAsia="en-GB"/>
        </w:rPr>
        <w:t>h</w:t>
      </w:r>
      <w:r w:rsidRPr="00CE0885">
        <w:rPr>
          <w:spacing w:val="-2"/>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lang w:eastAsia="en-GB"/>
        </w:rPr>
        <w:t>NHS</w:t>
      </w:r>
      <w:r w:rsidRPr="00CE0885">
        <w:rPr>
          <w:spacing w:val="-4"/>
          <w:lang w:eastAsia="en-GB"/>
        </w:rPr>
        <w:t xml:space="preserve"> </w:t>
      </w:r>
      <w:r w:rsidRPr="00CE0885">
        <w:rPr>
          <w:spacing w:val="-2"/>
          <w:lang w:eastAsia="en-GB"/>
        </w:rPr>
        <w:t>A</w:t>
      </w:r>
      <w:r w:rsidRPr="00CE0885">
        <w:rPr>
          <w:lang w:eastAsia="en-GB"/>
        </w:rPr>
        <w:t>c</w:t>
      </w:r>
      <w:r w:rsidRPr="00CE0885">
        <w:rPr>
          <w:spacing w:val="1"/>
          <w:lang w:eastAsia="en-GB"/>
        </w:rPr>
        <w:t>t</w:t>
      </w:r>
      <w:r w:rsidRPr="00CE0885">
        <w:rPr>
          <w:lang w:eastAsia="en-GB"/>
        </w:rPr>
        <w:t>,</w:t>
      </w:r>
      <w:r w:rsidRPr="00CE0885">
        <w:rPr>
          <w:spacing w:val="-3"/>
          <w:lang w:eastAsia="en-GB"/>
        </w:rPr>
        <w:t xml:space="preserve"> </w:t>
      </w:r>
      <w:r w:rsidRPr="00CE0885">
        <w:rPr>
          <w:spacing w:val="1"/>
          <w:lang w:eastAsia="en-GB"/>
        </w:rPr>
        <w:t>an</w:t>
      </w:r>
      <w:r w:rsidRPr="00CE0885">
        <w:rPr>
          <w:lang w:eastAsia="en-GB"/>
        </w:rPr>
        <w:t>y</w:t>
      </w:r>
      <w:r w:rsidRPr="00CE0885">
        <w:rPr>
          <w:spacing w:val="-6"/>
          <w:lang w:eastAsia="en-GB"/>
        </w:rPr>
        <w:t xml:space="preserve"> </w:t>
      </w:r>
      <w:r w:rsidRPr="00CE0885">
        <w:rPr>
          <w:spacing w:val="-1"/>
          <w:lang w:eastAsia="en-GB"/>
        </w:rPr>
        <w:t>r</w:t>
      </w:r>
      <w:r w:rsidRPr="00CE0885">
        <w:rPr>
          <w:spacing w:val="1"/>
          <w:lang w:eastAsia="en-GB"/>
        </w:rPr>
        <w:t>e</w:t>
      </w:r>
      <w:r w:rsidRPr="00CE0885">
        <w:rPr>
          <w:spacing w:val="-1"/>
          <w:lang w:eastAsia="en-GB"/>
        </w:rPr>
        <w:t>g</w:t>
      </w:r>
      <w:r w:rsidRPr="00CE0885">
        <w:rPr>
          <w:spacing w:val="1"/>
          <w:lang w:eastAsia="en-GB"/>
        </w:rPr>
        <w:t>u</w:t>
      </w:r>
      <w:r w:rsidRPr="00CE0885">
        <w:rPr>
          <w:lang w:eastAsia="en-GB"/>
        </w:rPr>
        <w:t>l</w:t>
      </w:r>
      <w:r w:rsidRPr="00CE0885">
        <w:rPr>
          <w:spacing w:val="1"/>
          <w:lang w:eastAsia="en-GB"/>
        </w:rPr>
        <w:t>ato</w:t>
      </w:r>
      <w:r w:rsidRPr="00CE0885">
        <w:rPr>
          <w:spacing w:val="-1"/>
          <w:lang w:eastAsia="en-GB"/>
        </w:rPr>
        <w:t>r</w:t>
      </w:r>
      <w:r w:rsidRPr="00CE0885">
        <w:rPr>
          <w:lang w:eastAsia="en-GB"/>
        </w:rPr>
        <w:t>y</w:t>
      </w:r>
      <w:r w:rsidRPr="00CE0885">
        <w:rPr>
          <w:spacing w:val="-13"/>
          <w:lang w:eastAsia="en-GB"/>
        </w:rPr>
        <w:t xml:space="preserve"> </w:t>
      </w:r>
      <w:r w:rsidRPr="00CE0885">
        <w:rPr>
          <w:lang w:eastAsia="en-GB"/>
        </w:rPr>
        <w:t>c</w:t>
      </w:r>
      <w:r w:rsidRPr="00CE0885">
        <w:rPr>
          <w:spacing w:val="1"/>
          <w:lang w:eastAsia="en-GB"/>
        </w:rPr>
        <w:t>ha</w:t>
      </w:r>
      <w:r w:rsidRPr="00CE0885">
        <w:rPr>
          <w:spacing w:val="-1"/>
          <w:lang w:eastAsia="en-GB"/>
        </w:rPr>
        <w:t>ng</w:t>
      </w:r>
      <w:r w:rsidRPr="00CE0885">
        <w:rPr>
          <w:spacing w:val="1"/>
          <w:lang w:eastAsia="en-GB"/>
        </w:rPr>
        <w:t>e</w:t>
      </w:r>
      <w:r w:rsidRPr="00CE0885">
        <w:rPr>
          <w:lang w:eastAsia="en-GB"/>
        </w:rPr>
        <w:t xml:space="preserve">s </w:t>
      </w:r>
      <w:r w:rsidRPr="00CE0885">
        <w:rPr>
          <w:spacing w:val="1"/>
          <w:lang w:eastAsia="en-GB"/>
        </w:rPr>
        <w:t>pu</w:t>
      </w:r>
      <w:r w:rsidRPr="00CE0885">
        <w:rPr>
          <w:spacing w:val="-1"/>
          <w:lang w:eastAsia="en-GB"/>
        </w:rPr>
        <w:t>r</w:t>
      </w:r>
      <w:r w:rsidRPr="00CE0885">
        <w:rPr>
          <w:lang w:eastAsia="en-GB"/>
        </w:rPr>
        <w:t>s</w:t>
      </w:r>
      <w:r w:rsidRPr="00CE0885">
        <w:rPr>
          <w:spacing w:val="1"/>
          <w:lang w:eastAsia="en-GB"/>
        </w:rPr>
        <w:t>u</w:t>
      </w:r>
      <w:r w:rsidRPr="00CE0885">
        <w:rPr>
          <w:spacing w:val="-1"/>
          <w:lang w:eastAsia="en-GB"/>
        </w:rPr>
        <w:t>a</w:t>
      </w:r>
      <w:r w:rsidRPr="00CE0885">
        <w:rPr>
          <w:spacing w:val="1"/>
          <w:lang w:eastAsia="en-GB"/>
        </w:rPr>
        <w:t>n</w:t>
      </w:r>
      <w:r w:rsidRPr="00CE0885">
        <w:rPr>
          <w:lang w:eastAsia="en-GB"/>
        </w:rPr>
        <w:t>t</w:t>
      </w:r>
      <w:r w:rsidRPr="00CE0885">
        <w:rPr>
          <w:spacing w:val="-8"/>
          <w:lang w:eastAsia="en-GB"/>
        </w:rPr>
        <w:t xml:space="preserve"> </w:t>
      </w:r>
      <w:r w:rsidRPr="00CE0885">
        <w:rPr>
          <w:spacing w:val="-2"/>
          <w:lang w:eastAsia="en-GB"/>
        </w:rPr>
        <w:t>t</w:t>
      </w:r>
      <w:r w:rsidRPr="00CE0885">
        <w:rPr>
          <w:lang w:eastAsia="en-GB"/>
        </w:rPr>
        <w:t xml:space="preserve">o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NHS </w:t>
      </w:r>
      <w:r w:rsidRPr="00CE0885">
        <w:rPr>
          <w:spacing w:val="1"/>
          <w:lang w:eastAsia="en-GB"/>
        </w:rPr>
        <w:t>A</w:t>
      </w:r>
      <w:r w:rsidRPr="00CE0885">
        <w:rPr>
          <w:spacing w:val="-2"/>
          <w:lang w:eastAsia="en-GB"/>
        </w:rPr>
        <w:t>c</w:t>
      </w:r>
      <w:r w:rsidRPr="00CE0885">
        <w:rPr>
          <w:lang w:eastAsia="en-GB"/>
        </w:rPr>
        <w:t>t</w:t>
      </w:r>
      <w:r w:rsidRPr="00CE0885">
        <w:rPr>
          <w:spacing w:val="-2"/>
          <w:lang w:eastAsia="en-GB"/>
        </w:rPr>
        <w:t xml:space="preserve"> </w:t>
      </w:r>
      <w:r w:rsidRPr="00CE0885">
        <w:rPr>
          <w:spacing w:val="1"/>
          <w:lang w:eastAsia="en-GB"/>
        </w:rPr>
        <w:t>o</w:t>
      </w:r>
      <w:r w:rsidRPr="00CE0885">
        <w:rPr>
          <w:lang w:eastAsia="en-GB"/>
        </w:rPr>
        <w:t>r</w:t>
      </w:r>
      <w:r w:rsidRPr="00CE0885">
        <w:rPr>
          <w:spacing w:val="-5"/>
          <w:lang w:eastAsia="en-GB"/>
        </w:rPr>
        <w:t xml:space="preserve"> </w:t>
      </w:r>
      <w:r w:rsidRPr="00CE0885">
        <w:rPr>
          <w:spacing w:val="1"/>
          <w:lang w:eastAsia="en-GB"/>
        </w:rPr>
        <w:t>an</w:t>
      </w:r>
      <w:r w:rsidRPr="00CE0885">
        <w:rPr>
          <w:lang w:eastAsia="en-GB"/>
        </w:rPr>
        <w:t>y</w:t>
      </w:r>
      <w:r w:rsidRPr="00CE0885">
        <w:rPr>
          <w:spacing w:val="-6"/>
          <w:lang w:eastAsia="en-GB"/>
        </w:rPr>
        <w:t xml:space="preserve"> </w:t>
      </w:r>
      <w:r w:rsidRPr="00CE0885">
        <w:rPr>
          <w:spacing w:val="1"/>
          <w:lang w:eastAsia="en-GB"/>
        </w:rPr>
        <w:t>d</w:t>
      </w:r>
      <w:r w:rsidRPr="00CE0885">
        <w:rPr>
          <w:lang w:eastAsia="en-GB"/>
        </w:rPr>
        <w:t>i</w:t>
      </w:r>
      <w:r w:rsidRPr="00CE0885">
        <w:rPr>
          <w:spacing w:val="-1"/>
          <w:lang w:eastAsia="en-GB"/>
        </w:rPr>
        <w:t>r</w:t>
      </w:r>
      <w:r w:rsidRPr="00CE0885">
        <w:rPr>
          <w:spacing w:val="1"/>
          <w:lang w:eastAsia="en-GB"/>
        </w:rPr>
        <w:t>e</w:t>
      </w:r>
      <w:r w:rsidRPr="00CE0885">
        <w:rPr>
          <w:lang w:eastAsia="en-GB"/>
        </w:rPr>
        <w:t>c</w:t>
      </w:r>
      <w:r w:rsidRPr="00CE0885">
        <w:rPr>
          <w:spacing w:val="1"/>
          <w:lang w:eastAsia="en-GB"/>
        </w:rPr>
        <w:t>t</w:t>
      </w:r>
      <w:r w:rsidRPr="00CE0885">
        <w:rPr>
          <w:lang w:eastAsia="en-GB"/>
        </w:rPr>
        <w:t>i</w:t>
      </w:r>
      <w:r w:rsidRPr="00CE0885">
        <w:rPr>
          <w:spacing w:val="1"/>
          <w:lang w:eastAsia="en-GB"/>
        </w:rPr>
        <w:t>o</w:t>
      </w:r>
      <w:r w:rsidRPr="00CE0885">
        <w:rPr>
          <w:lang w:eastAsia="en-GB"/>
        </w:rPr>
        <w:t>n</w:t>
      </w:r>
      <w:r w:rsidRPr="00CE0885">
        <w:rPr>
          <w:spacing w:val="-7"/>
          <w:lang w:eastAsia="en-GB"/>
        </w:rPr>
        <w:t xml:space="preserve"> </w:t>
      </w:r>
      <w:r w:rsidRPr="00CE0885">
        <w:rPr>
          <w:spacing w:val="-1"/>
          <w:lang w:eastAsia="en-GB"/>
        </w:rPr>
        <w:t>g</w:t>
      </w:r>
      <w:r w:rsidRPr="00CE0885">
        <w:rPr>
          <w:lang w:eastAsia="en-GB"/>
        </w:rPr>
        <w:t>i</w:t>
      </w:r>
      <w:r w:rsidRPr="00CE0885">
        <w:rPr>
          <w:spacing w:val="-2"/>
          <w:lang w:eastAsia="en-GB"/>
        </w:rPr>
        <w:t>v</w:t>
      </w:r>
      <w:r w:rsidRPr="00CE0885">
        <w:rPr>
          <w:spacing w:val="1"/>
          <w:lang w:eastAsia="en-GB"/>
        </w:rPr>
        <w:t>e</w:t>
      </w:r>
      <w:r w:rsidRPr="00CE0885">
        <w:rPr>
          <w:lang w:eastAsia="en-GB"/>
        </w:rPr>
        <w:t>n</w:t>
      </w:r>
      <w:r w:rsidRPr="00CE0885">
        <w:rPr>
          <w:spacing w:val="-4"/>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spacing w:val="-2"/>
          <w:lang w:eastAsia="en-GB"/>
        </w:rPr>
        <w:t>S</w:t>
      </w:r>
      <w:r w:rsidRPr="00CE0885">
        <w:rPr>
          <w:spacing w:val="1"/>
          <w:lang w:eastAsia="en-GB"/>
        </w:rPr>
        <w:t>e</w:t>
      </w:r>
      <w:r w:rsidRPr="00CE0885">
        <w:rPr>
          <w:lang w:eastAsia="en-GB"/>
        </w:rPr>
        <w:t>c</w:t>
      </w:r>
      <w:r w:rsidRPr="00CE0885">
        <w:rPr>
          <w:spacing w:val="-1"/>
          <w:lang w:eastAsia="en-GB"/>
        </w:rPr>
        <w:t>r</w:t>
      </w:r>
      <w:r w:rsidRPr="00CE0885">
        <w:rPr>
          <w:spacing w:val="1"/>
          <w:lang w:eastAsia="en-GB"/>
        </w:rPr>
        <w:t>eta</w:t>
      </w:r>
      <w:r w:rsidRPr="00CE0885">
        <w:rPr>
          <w:spacing w:val="-1"/>
          <w:lang w:eastAsia="en-GB"/>
        </w:rPr>
        <w:t>r</w:t>
      </w:r>
      <w:r w:rsidRPr="00CE0885">
        <w:rPr>
          <w:lang w:eastAsia="en-GB"/>
        </w:rPr>
        <w:t>y</w:t>
      </w:r>
      <w:r w:rsidRPr="00CE0885">
        <w:rPr>
          <w:spacing w:val="-12"/>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2"/>
          <w:lang w:eastAsia="en-GB"/>
        </w:rPr>
        <w:t>S</w:t>
      </w:r>
      <w:r w:rsidRPr="00CE0885">
        <w:rPr>
          <w:spacing w:val="1"/>
          <w:lang w:eastAsia="en-GB"/>
        </w:rPr>
        <w:t>ta</w:t>
      </w:r>
      <w:r w:rsidRPr="00CE0885">
        <w:rPr>
          <w:spacing w:val="-2"/>
          <w:lang w:eastAsia="en-GB"/>
        </w:rPr>
        <w:t>t</w:t>
      </w:r>
      <w:r w:rsidRPr="00CE0885">
        <w:rPr>
          <w:lang w:eastAsia="en-GB"/>
        </w:rPr>
        <w:t xml:space="preserve">e </w:t>
      </w:r>
      <w:r w:rsidRPr="00CE0885">
        <w:rPr>
          <w:spacing w:val="1"/>
          <w:lang w:eastAsia="en-GB"/>
        </w:rPr>
        <w:t>pu</w:t>
      </w:r>
      <w:r w:rsidRPr="00CE0885">
        <w:rPr>
          <w:spacing w:val="-1"/>
          <w:lang w:eastAsia="en-GB"/>
        </w:rPr>
        <w:t>r</w:t>
      </w:r>
      <w:r w:rsidRPr="00CE0885">
        <w:rPr>
          <w:lang w:eastAsia="en-GB"/>
        </w:rPr>
        <w:t>s</w:t>
      </w:r>
      <w:r w:rsidRPr="00CE0885">
        <w:rPr>
          <w:spacing w:val="1"/>
          <w:lang w:eastAsia="en-GB"/>
        </w:rPr>
        <w:t>u</w:t>
      </w:r>
      <w:r w:rsidRPr="00CE0885">
        <w:rPr>
          <w:spacing w:val="-1"/>
          <w:lang w:eastAsia="en-GB"/>
        </w:rPr>
        <w:t>a</w:t>
      </w:r>
      <w:r w:rsidRPr="00CE0885">
        <w:rPr>
          <w:spacing w:val="1"/>
          <w:lang w:eastAsia="en-GB"/>
        </w:rPr>
        <w:t>n</w:t>
      </w:r>
      <w:r w:rsidRPr="00CE0885">
        <w:rPr>
          <w:lang w:eastAsia="en-GB"/>
        </w:rPr>
        <w:t>t</w:t>
      </w:r>
      <w:r w:rsidRPr="00CE0885">
        <w:rPr>
          <w:spacing w:val="-8"/>
          <w:lang w:eastAsia="en-GB"/>
        </w:rPr>
        <w:t xml:space="preserve"> </w:t>
      </w:r>
      <w:r w:rsidRPr="00CE0885">
        <w:rPr>
          <w:spacing w:val="-2"/>
          <w:lang w:eastAsia="en-GB"/>
        </w:rPr>
        <w:t>t</w:t>
      </w:r>
      <w:r w:rsidRPr="00CE0885">
        <w:rPr>
          <w:lang w:eastAsia="en-GB"/>
        </w:rPr>
        <w:t xml:space="preserve">o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NHS </w:t>
      </w:r>
      <w:r w:rsidRPr="00CE0885">
        <w:rPr>
          <w:spacing w:val="1"/>
          <w:lang w:eastAsia="en-GB"/>
        </w:rPr>
        <w:t>A</w:t>
      </w:r>
      <w:r w:rsidRPr="00CE0885">
        <w:rPr>
          <w:spacing w:val="-2"/>
          <w:lang w:eastAsia="en-GB"/>
        </w:rPr>
        <w:t>c</w:t>
      </w:r>
      <w:r w:rsidRPr="00CE0885">
        <w:rPr>
          <w:spacing w:val="1"/>
          <w:lang w:eastAsia="en-GB"/>
        </w:rPr>
        <w:t>t</w:t>
      </w:r>
      <w:r w:rsidRPr="00CE0885">
        <w:rPr>
          <w:lang w:eastAsia="en-GB"/>
        </w:rPr>
        <w:t>. This right is contained within all GMS, PMS, APMS and where appropriate MCP/PACS contracts.</w:t>
      </w:r>
      <w:bookmarkEnd w:id="593"/>
      <w:r w:rsidRPr="00CE0885">
        <w:rPr>
          <w:lang w:eastAsia="en-GB"/>
        </w:rPr>
        <w:t xml:space="preserve"> </w:t>
      </w:r>
    </w:p>
    <w:p w14:paraId="128E4DCD" w14:textId="703F81B5" w:rsidR="00977693" w:rsidRPr="00CE0885" w:rsidRDefault="00977693" w:rsidP="006B781A">
      <w:pPr>
        <w:pStyle w:val="Heading3"/>
        <w:rPr>
          <w:lang w:eastAsia="en-GB"/>
        </w:rPr>
      </w:pPr>
      <w:bookmarkStart w:id="594" w:name="_Toc440981713"/>
      <w:r w:rsidRPr="00CE0885">
        <w:rPr>
          <w:lang w:eastAsia="en-GB"/>
        </w:rPr>
        <w:t>The Commissioner</w:t>
      </w:r>
      <w:r w:rsidRPr="00CE0885">
        <w:rPr>
          <w:spacing w:val="-10"/>
          <w:lang w:eastAsia="en-GB"/>
        </w:rPr>
        <w:t xml:space="preserve"> </w:t>
      </w:r>
      <w:r w:rsidRPr="00CE0885">
        <w:rPr>
          <w:spacing w:val="2"/>
          <w:lang w:eastAsia="en-GB"/>
        </w:rPr>
        <w:t>m</w:t>
      </w:r>
      <w:r w:rsidRPr="00CE0885">
        <w:rPr>
          <w:spacing w:val="1"/>
          <w:lang w:eastAsia="en-GB"/>
        </w:rPr>
        <w:t>u</w:t>
      </w:r>
      <w:r w:rsidRPr="00CE0885">
        <w:rPr>
          <w:spacing w:val="-2"/>
          <w:lang w:eastAsia="en-GB"/>
        </w:rPr>
        <w:t>s</w:t>
      </w:r>
      <w:r w:rsidRPr="00CE0885">
        <w:rPr>
          <w:lang w:eastAsia="en-GB"/>
        </w:rPr>
        <w:t>t</w:t>
      </w:r>
      <w:r w:rsidRPr="00CE0885">
        <w:rPr>
          <w:spacing w:val="-4"/>
          <w:lang w:eastAsia="en-GB"/>
        </w:rPr>
        <w:t xml:space="preserve"> </w:t>
      </w:r>
      <w:r w:rsidRPr="00CE0885">
        <w:rPr>
          <w:spacing w:val="-1"/>
          <w:lang w:eastAsia="en-GB"/>
        </w:rPr>
        <w:t>n</w:t>
      </w:r>
      <w:r w:rsidRPr="00CE0885">
        <w:rPr>
          <w:spacing w:val="1"/>
          <w:lang w:eastAsia="en-GB"/>
        </w:rPr>
        <w:t>o</w:t>
      </w:r>
      <w:r w:rsidRPr="00CE0885">
        <w:rPr>
          <w:spacing w:val="-2"/>
          <w:lang w:eastAsia="en-GB"/>
        </w:rPr>
        <w:t>t</w:t>
      </w:r>
      <w:r w:rsidRPr="00CE0885">
        <w:rPr>
          <w:lang w:eastAsia="en-GB"/>
        </w:rPr>
        <w:t>i</w:t>
      </w:r>
      <w:r w:rsidRPr="00CE0885">
        <w:rPr>
          <w:spacing w:val="3"/>
          <w:lang w:eastAsia="en-GB"/>
        </w:rPr>
        <w:t>f</w:t>
      </w:r>
      <w:r w:rsidRPr="00CE0885">
        <w:rPr>
          <w:lang w:eastAsia="en-GB"/>
        </w:rPr>
        <w:t>y</w:t>
      </w:r>
      <w:r w:rsidRPr="00CE0885">
        <w:rPr>
          <w:spacing w:val="-8"/>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spacing w:val="-2"/>
          <w:lang w:eastAsia="en-GB"/>
        </w:rPr>
        <w:t>c</w:t>
      </w:r>
      <w:r w:rsidRPr="00CE0885">
        <w:rPr>
          <w:spacing w:val="1"/>
          <w:lang w:eastAsia="en-GB"/>
        </w:rPr>
        <w:t>ont</w:t>
      </w:r>
      <w:r w:rsidRPr="00CE0885">
        <w:rPr>
          <w:spacing w:val="-1"/>
          <w:lang w:eastAsia="en-GB"/>
        </w:rPr>
        <w:t>r</w:t>
      </w:r>
      <w:r w:rsidRPr="00CE0885">
        <w:rPr>
          <w:spacing w:val="1"/>
          <w:lang w:eastAsia="en-GB"/>
        </w:rPr>
        <w:t>a</w:t>
      </w:r>
      <w:r w:rsidRPr="00CE0885">
        <w:rPr>
          <w:spacing w:val="-2"/>
          <w:lang w:eastAsia="en-GB"/>
        </w:rPr>
        <w:t>c</w:t>
      </w:r>
      <w:r w:rsidRPr="00CE0885">
        <w:rPr>
          <w:spacing w:val="1"/>
          <w:lang w:eastAsia="en-GB"/>
        </w:rPr>
        <w:t>to</w:t>
      </w:r>
      <w:r w:rsidRPr="00CE0885">
        <w:rPr>
          <w:lang w:eastAsia="en-GB"/>
        </w:rPr>
        <w:t>r</w:t>
      </w:r>
      <w:r w:rsidRPr="00CE0885">
        <w:rPr>
          <w:spacing w:val="-11"/>
          <w:lang w:eastAsia="en-GB"/>
        </w:rPr>
        <w:t xml:space="preserve"> </w:t>
      </w:r>
      <w:r w:rsidRPr="00CE0885">
        <w:rPr>
          <w:lang w:eastAsia="en-GB"/>
        </w:rPr>
        <w:t xml:space="preserve">in </w:t>
      </w:r>
      <w:r w:rsidRPr="00CE0885">
        <w:rPr>
          <w:spacing w:val="-3"/>
          <w:lang w:eastAsia="en-GB"/>
        </w:rPr>
        <w:t>w</w:t>
      </w:r>
      <w:r w:rsidRPr="00CE0885">
        <w:rPr>
          <w:spacing w:val="-1"/>
          <w:lang w:eastAsia="en-GB"/>
        </w:rPr>
        <w:t>r</w:t>
      </w:r>
      <w:r w:rsidRPr="00CE0885">
        <w:rPr>
          <w:lang w:eastAsia="en-GB"/>
        </w:rPr>
        <w:t>i</w:t>
      </w:r>
      <w:r w:rsidRPr="00CE0885">
        <w:rPr>
          <w:spacing w:val="1"/>
          <w:lang w:eastAsia="en-GB"/>
        </w:rPr>
        <w:t>t</w:t>
      </w:r>
      <w:r w:rsidRPr="00CE0885">
        <w:rPr>
          <w:lang w:eastAsia="en-GB"/>
        </w:rPr>
        <w:t>i</w:t>
      </w:r>
      <w:r w:rsidRPr="00CE0885">
        <w:rPr>
          <w:spacing w:val="1"/>
          <w:lang w:eastAsia="en-GB"/>
        </w:rPr>
        <w:t>n</w:t>
      </w:r>
      <w:r w:rsidRPr="00CE0885">
        <w:rPr>
          <w:lang w:eastAsia="en-GB"/>
        </w:rPr>
        <w:t>g</w:t>
      </w:r>
      <w:r w:rsidRPr="00CE0885">
        <w:rPr>
          <w:spacing w:val="-8"/>
          <w:lang w:eastAsia="en-GB"/>
        </w:rPr>
        <w:t xml:space="preserve"> </w:t>
      </w:r>
      <w:r w:rsidRPr="00CE0885">
        <w:rPr>
          <w:spacing w:val="-1"/>
          <w:lang w:eastAsia="en-GB"/>
        </w:rPr>
        <w:t>o</w:t>
      </w:r>
      <w:r w:rsidRPr="00CE0885">
        <w:rPr>
          <w:lang w:eastAsia="en-GB"/>
        </w:rPr>
        <w:t>f</w:t>
      </w:r>
      <w:r w:rsidRPr="00CE0885">
        <w:rPr>
          <w:spacing w:val="1"/>
          <w:lang w:eastAsia="en-GB"/>
        </w:rPr>
        <w:t xml:space="preserve"> t</w:t>
      </w:r>
      <w:r w:rsidRPr="00CE0885">
        <w:rPr>
          <w:spacing w:val="-1"/>
          <w:lang w:eastAsia="en-GB"/>
        </w:rPr>
        <w:t>h</w:t>
      </w:r>
      <w:r w:rsidRPr="00CE0885">
        <w:rPr>
          <w:lang w:eastAsia="en-GB"/>
        </w:rPr>
        <w:t>e</w:t>
      </w:r>
      <w:r w:rsidRPr="00CE0885">
        <w:rPr>
          <w:spacing w:val="-1"/>
          <w:lang w:eastAsia="en-GB"/>
        </w:rPr>
        <w:t xml:space="preserve"> </w:t>
      </w:r>
      <w:r w:rsidRPr="00CE0885">
        <w:rPr>
          <w:spacing w:val="-3"/>
          <w:lang w:eastAsia="en-GB"/>
        </w:rPr>
        <w:t>w</w:t>
      </w:r>
      <w:r w:rsidRPr="00CE0885">
        <w:rPr>
          <w:spacing w:val="1"/>
          <w:lang w:eastAsia="en-GB"/>
        </w:rPr>
        <w:t>o</w:t>
      </w:r>
      <w:r w:rsidRPr="00CE0885">
        <w:rPr>
          <w:spacing w:val="-1"/>
          <w:lang w:eastAsia="en-GB"/>
        </w:rPr>
        <w:t>r</w:t>
      </w:r>
      <w:r w:rsidRPr="00CE0885">
        <w:rPr>
          <w:spacing w:val="1"/>
          <w:lang w:eastAsia="en-GB"/>
        </w:rPr>
        <w:t>d</w:t>
      </w:r>
      <w:r w:rsidRPr="00CE0885">
        <w:rPr>
          <w:lang w:eastAsia="en-GB"/>
        </w:rPr>
        <w:t>i</w:t>
      </w:r>
      <w:r w:rsidRPr="00CE0885">
        <w:rPr>
          <w:spacing w:val="1"/>
          <w:lang w:eastAsia="en-GB"/>
        </w:rPr>
        <w:t>n</w:t>
      </w:r>
      <w:r w:rsidRPr="00CE0885">
        <w:rPr>
          <w:lang w:eastAsia="en-GB"/>
        </w:rPr>
        <w:t>g</w:t>
      </w:r>
      <w:r w:rsidRPr="00CE0885">
        <w:rPr>
          <w:spacing w:val="-9"/>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2"/>
          <w:lang w:eastAsia="en-GB"/>
        </w:rPr>
        <w:t>t</w:t>
      </w:r>
      <w:r w:rsidRPr="00CE0885">
        <w:rPr>
          <w:spacing w:val="1"/>
          <w:lang w:eastAsia="en-GB"/>
        </w:rPr>
        <w:t>h</w:t>
      </w:r>
      <w:r w:rsidRPr="00CE0885">
        <w:rPr>
          <w:lang w:eastAsia="en-GB"/>
        </w:rPr>
        <w:t xml:space="preserve">e </w:t>
      </w:r>
      <w:r w:rsidRPr="00CE0885">
        <w:rPr>
          <w:spacing w:val="-2"/>
          <w:lang w:eastAsia="en-GB"/>
        </w:rPr>
        <w:t>v</w:t>
      </w:r>
      <w:r w:rsidRPr="00CE0885">
        <w:rPr>
          <w:spacing w:val="1"/>
          <w:lang w:eastAsia="en-GB"/>
        </w:rPr>
        <w:t>a</w:t>
      </w:r>
      <w:r w:rsidRPr="00CE0885">
        <w:rPr>
          <w:spacing w:val="-1"/>
          <w:lang w:eastAsia="en-GB"/>
        </w:rPr>
        <w:t>r</w:t>
      </w:r>
      <w:r w:rsidRPr="00CE0885">
        <w:rPr>
          <w:lang w:eastAsia="en-GB"/>
        </w:rPr>
        <w:t>i</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7"/>
          <w:lang w:eastAsia="en-GB"/>
        </w:rPr>
        <w:t xml:space="preserve"> </w:t>
      </w:r>
      <w:r w:rsidRPr="00CE0885">
        <w:rPr>
          <w:spacing w:val="1"/>
          <w:lang w:eastAsia="en-GB"/>
        </w:rPr>
        <w:t>an</w:t>
      </w:r>
      <w:r w:rsidRPr="00CE0885">
        <w:rPr>
          <w:lang w:eastAsia="en-GB"/>
        </w:rPr>
        <w:t>d</w:t>
      </w:r>
      <w:r w:rsidRPr="00CE0885">
        <w:rPr>
          <w:spacing w:val="-5"/>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d</w:t>
      </w:r>
      <w:r w:rsidRPr="00CE0885">
        <w:rPr>
          <w:spacing w:val="1"/>
          <w:lang w:eastAsia="en-GB"/>
        </w:rPr>
        <w:t>at</w:t>
      </w:r>
      <w:r w:rsidRPr="00CE0885">
        <w:rPr>
          <w:lang w:eastAsia="en-GB"/>
        </w:rPr>
        <w:t>e</w:t>
      </w:r>
      <w:r w:rsidRPr="00CE0885">
        <w:rPr>
          <w:spacing w:val="-6"/>
          <w:lang w:eastAsia="en-GB"/>
        </w:rPr>
        <w:t xml:space="preserve"> </w:t>
      </w:r>
      <w:r w:rsidRPr="00CE0885">
        <w:rPr>
          <w:spacing w:val="-1"/>
          <w:lang w:eastAsia="en-GB"/>
        </w:rPr>
        <w:t xml:space="preserve">it will take effect. Where it is reasonably practicable to do so, the date the variation will take effect must not be </w:t>
      </w:r>
      <w:r w:rsidRPr="00CE0885">
        <w:rPr>
          <w:lang w:eastAsia="en-GB"/>
        </w:rPr>
        <w:t>l</w:t>
      </w:r>
      <w:r w:rsidRPr="00CE0885">
        <w:rPr>
          <w:spacing w:val="1"/>
          <w:lang w:eastAsia="en-GB"/>
        </w:rPr>
        <w:t>e</w:t>
      </w:r>
      <w:r w:rsidRPr="00CE0885">
        <w:rPr>
          <w:lang w:eastAsia="en-GB"/>
        </w:rPr>
        <w:t>ss</w:t>
      </w:r>
      <w:r w:rsidRPr="00CE0885">
        <w:rPr>
          <w:spacing w:val="-4"/>
          <w:lang w:eastAsia="en-GB"/>
        </w:rPr>
        <w:t xml:space="preserve"> </w:t>
      </w:r>
      <w:r w:rsidRPr="00CE0885">
        <w:rPr>
          <w:spacing w:val="-2"/>
          <w:lang w:eastAsia="en-GB"/>
        </w:rPr>
        <w:t>t</w:t>
      </w:r>
      <w:r w:rsidRPr="00CE0885">
        <w:rPr>
          <w:spacing w:val="1"/>
          <w:lang w:eastAsia="en-GB"/>
        </w:rPr>
        <w:t>h</w:t>
      </w:r>
      <w:r w:rsidRPr="00CE0885">
        <w:rPr>
          <w:spacing w:val="-1"/>
          <w:lang w:eastAsia="en-GB"/>
        </w:rPr>
        <w:t>a</w:t>
      </w:r>
      <w:r w:rsidRPr="00CE0885">
        <w:rPr>
          <w:lang w:eastAsia="en-GB"/>
        </w:rPr>
        <w:t>n</w:t>
      </w:r>
      <w:r w:rsidRPr="00CE0885">
        <w:rPr>
          <w:spacing w:val="-3"/>
          <w:lang w:eastAsia="en-GB"/>
        </w:rPr>
        <w:t xml:space="preserve"> </w:t>
      </w:r>
      <w:r w:rsidRPr="00CE0885">
        <w:rPr>
          <w:spacing w:val="1"/>
          <w:lang w:eastAsia="en-GB"/>
        </w:rPr>
        <w:t>1</w:t>
      </w:r>
      <w:r w:rsidRPr="00CE0885">
        <w:rPr>
          <w:lang w:eastAsia="en-GB"/>
        </w:rPr>
        <w:t>4</w:t>
      </w:r>
      <w:r w:rsidRPr="00CE0885">
        <w:rPr>
          <w:spacing w:val="-4"/>
          <w:lang w:eastAsia="en-GB"/>
        </w:rPr>
        <w:t xml:space="preserve"> </w:t>
      </w:r>
      <w:r w:rsidRPr="00CE0885">
        <w:rPr>
          <w:spacing w:val="1"/>
          <w:lang w:eastAsia="en-GB"/>
        </w:rPr>
        <w:t>da</w:t>
      </w:r>
      <w:r w:rsidRPr="00CE0885">
        <w:rPr>
          <w:spacing w:val="-2"/>
          <w:lang w:eastAsia="en-GB"/>
        </w:rPr>
        <w:t>y</w:t>
      </w:r>
      <w:r w:rsidRPr="00CE0885">
        <w:rPr>
          <w:lang w:eastAsia="en-GB"/>
        </w:rPr>
        <w:t xml:space="preserve">s </w:t>
      </w:r>
      <w:r w:rsidRPr="00CE0885">
        <w:rPr>
          <w:spacing w:val="-1"/>
          <w:lang w:eastAsia="en-GB"/>
        </w:rPr>
        <w:t>a</w:t>
      </w:r>
      <w:r w:rsidRPr="00CE0885">
        <w:rPr>
          <w:spacing w:val="3"/>
          <w:lang w:eastAsia="en-GB"/>
        </w:rPr>
        <w:t>f</w:t>
      </w:r>
      <w:r w:rsidRPr="00CE0885">
        <w:rPr>
          <w:spacing w:val="1"/>
          <w:lang w:eastAsia="en-GB"/>
        </w:rPr>
        <w:t>te</w:t>
      </w:r>
      <w:r w:rsidRPr="00CE0885">
        <w:rPr>
          <w:lang w:eastAsia="en-GB"/>
        </w:rPr>
        <w:t>r</w:t>
      </w:r>
      <w:r w:rsidRPr="00CE0885">
        <w:rPr>
          <w:spacing w:val="-5"/>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spacing w:val="1"/>
          <w:lang w:eastAsia="en-GB"/>
        </w:rPr>
        <w:t>not</w:t>
      </w:r>
      <w:r w:rsidRPr="00CE0885">
        <w:rPr>
          <w:lang w:eastAsia="en-GB"/>
        </w:rPr>
        <w:t>ice</w:t>
      </w:r>
      <w:r w:rsidRPr="00CE0885">
        <w:rPr>
          <w:spacing w:val="-7"/>
          <w:lang w:eastAsia="en-GB"/>
        </w:rPr>
        <w:t xml:space="preserve"> </w:t>
      </w:r>
      <w:r w:rsidRPr="00CE0885">
        <w:rPr>
          <w:lang w:eastAsia="en-GB"/>
        </w:rPr>
        <w:t>is</w:t>
      </w:r>
      <w:r w:rsidRPr="00CE0885">
        <w:rPr>
          <w:spacing w:val="-2"/>
          <w:lang w:eastAsia="en-GB"/>
        </w:rPr>
        <w:t xml:space="preserve"> </w:t>
      </w:r>
      <w:r w:rsidRPr="00CE0885">
        <w:rPr>
          <w:lang w:eastAsia="en-GB"/>
        </w:rPr>
        <w:t>s</w:t>
      </w:r>
      <w:r w:rsidRPr="00CE0885">
        <w:rPr>
          <w:spacing w:val="1"/>
          <w:lang w:eastAsia="en-GB"/>
        </w:rPr>
        <w:t>e</w:t>
      </w:r>
      <w:r w:rsidRPr="00CE0885">
        <w:rPr>
          <w:spacing w:val="-1"/>
          <w:lang w:eastAsia="en-GB"/>
        </w:rPr>
        <w:t>r</w:t>
      </w:r>
      <w:r w:rsidRPr="00CE0885">
        <w:rPr>
          <w:spacing w:val="-2"/>
          <w:lang w:eastAsia="en-GB"/>
        </w:rPr>
        <w:t>v</w:t>
      </w:r>
      <w:r w:rsidRPr="00CE0885">
        <w:rPr>
          <w:spacing w:val="1"/>
          <w:lang w:eastAsia="en-GB"/>
        </w:rPr>
        <w:t>ed</w:t>
      </w:r>
      <w:r w:rsidRPr="00CE0885">
        <w:rPr>
          <w:lang w:eastAsia="en-GB"/>
        </w:rPr>
        <w:t>.</w:t>
      </w:r>
      <w:bookmarkEnd w:id="594"/>
    </w:p>
    <w:p w14:paraId="784B74D5" w14:textId="3A971B98" w:rsidR="00977693" w:rsidRPr="00CE0885" w:rsidRDefault="00977693" w:rsidP="006B781A">
      <w:pPr>
        <w:pStyle w:val="Heading3"/>
        <w:rPr>
          <w:lang w:eastAsia="en-GB"/>
        </w:rPr>
      </w:pPr>
      <w:bookmarkStart w:id="595" w:name="_Toc440981714"/>
      <w:r w:rsidRPr="00CE0885">
        <w:rPr>
          <w:spacing w:val="2"/>
          <w:lang w:eastAsia="en-GB"/>
        </w:rPr>
        <w:t>T</w:t>
      </w:r>
      <w:r w:rsidRPr="00CE0885">
        <w:rPr>
          <w:spacing w:val="-1"/>
          <w:lang w:eastAsia="en-GB"/>
        </w:rPr>
        <w:t>h</w:t>
      </w:r>
      <w:r w:rsidRPr="00CE0885">
        <w:rPr>
          <w:lang w:eastAsia="en-GB"/>
        </w:rPr>
        <w:t>e</w:t>
      </w:r>
      <w:r w:rsidRPr="00CE0885">
        <w:rPr>
          <w:spacing w:val="-1"/>
          <w:lang w:eastAsia="en-GB"/>
        </w:rPr>
        <w:t>r</w:t>
      </w:r>
      <w:r w:rsidRPr="00CE0885">
        <w:rPr>
          <w:lang w:eastAsia="en-GB"/>
        </w:rPr>
        <w:t>e</w:t>
      </w:r>
      <w:r w:rsidRPr="00CE0885">
        <w:rPr>
          <w:spacing w:val="-4"/>
          <w:lang w:eastAsia="en-GB"/>
        </w:rPr>
        <w:t xml:space="preserve"> </w:t>
      </w:r>
      <w:r w:rsidRPr="00CE0885">
        <w:rPr>
          <w:lang w:eastAsia="en-GB"/>
        </w:rPr>
        <w:t>is</w:t>
      </w:r>
      <w:r w:rsidRPr="00CE0885">
        <w:rPr>
          <w:spacing w:val="-2"/>
          <w:lang w:eastAsia="en-GB"/>
        </w:rPr>
        <w:t xml:space="preserve"> </w:t>
      </w:r>
      <w:r w:rsidRPr="00CE0885">
        <w:rPr>
          <w:lang w:eastAsia="en-GB"/>
        </w:rPr>
        <w:t>no</w:t>
      </w:r>
      <w:r w:rsidRPr="00CE0885">
        <w:rPr>
          <w:spacing w:val="-4"/>
          <w:lang w:eastAsia="en-GB"/>
        </w:rPr>
        <w:t xml:space="preserve"> </w:t>
      </w:r>
      <w:r w:rsidRPr="00CE0885">
        <w:rPr>
          <w:lang w:eastAsia="en-GB"/>
        </w:rPr>
        <w:t>n</w:t>
      </w:r>
      <w:r w:rsidRPr="00CE0885">
        <w:rPr>
          <w:spacing w:val="-1"/>
          <w:lang w:eastAsia="en-GB"/>
        </w:rPr>
        <w:t>e</w:t>
      </w:r>
      <w:r w:rsidRPr="00CE0885">
        <w:rPr>
          <w:lang w:eastAsia="en-GB"/>
        </w:rPr>
        <w:t>ed</w:t>
      </w:r>
      <w:r w:rsidRPr="00CE0885">
        <w:rPr>
          <w:spacing w:val="-6"/>
          <w:lang w:eastAsia="en-GB"/>
        </w:rPr>
        <w:t xml:space="preserve"> </w:t>
      </w:r>
      <w:r w:rsidRPr="00CE0885">
        <w:rPr>
          <w:lang w:eastAsia="en-GB"/>
        </w:rPr>
        <w:t>for</w:t>
      </w:r>
      <w:r w:rsidRPr="00CE0885">
        <w:rPr>
          <w:spacing w:val="-3"/>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spacing w:val="-2"/>
          <w:lang w:eastAsia="en-GB"/>
        </w:rPr>
        <w:t>Commissioner</w:t>
      </w:r>
      <w:r w:rsidRPr="00CE0885">
        <w:rPr>
          <w:spacing w:val="-5"/>
          <w:lang w:eastAsia="en-GB"/>
        </w:rPr>
        <w:t xml:space="preserve"> </w:t>
      </w:r>
      <w:r w:rsidRPr="00CE0885">
        <w:rPr>
          <w:lang w:eastAsia="en-GB"/>
        </w:rPr>
        <w:t>to</w:t>
      </w:r>
      <w:r w:rsidRPr="00CE0885">
        <w:rPr>
          <w:spacing w:val="-3"/>
          <w:lang w:eastAsia="en-GB"/>
        </w:rPr>
        <w:t xml:space="preserve"> </w:t>
      </w:r>
      <w:r w:rsidRPr="00CE0885">
        <w:rPr>
          <w:lang w:eastAsia="en-GB"/>
        </w:rPr>
        <w:t>seek a</w:t>
      </w:r>
      <w:r w:rsidRPr="00CE0885">
        <w:rPr>
          <w:spacing w:val="-1"/>
          <w:lang w:eastAsia="en-GB"/>
        </w:rPr>
        <w:t>gr</w:t>
      </w:r>
      <w:r w:rsidRPr="00CE0885">
        <w:rPr>
          <w:lang w:eastAsia="en-GB"/>
        </w:rPr>
        <w:t>ee</w:t>
      </w:r>
      <w:r w:rsidRPr="00CE0885">
        <w:rPr>
          <w:spacing w:val="2"/>
          <w:lang w:eastAsia="en-GB"/>
        </w:rPr>
        <w:t>m</w:t>
      </w:r>
      <w:r w:rsidRPr="00CE0885">
        <w:rPr>
          <w:spacing w:val="-1"/>
          <w:lang w:eastAsia="en-GB"/>
        </w:rPr>
        <w:t>e</w:t>
      </w:r>
      <w:r w:rsidRPr="00CE0885">
        <w:rPr>
          <w:lang w:eastAsia="en-GB"/>
        </w:rPr>
        <w:t>nt</w:t>
      </w:r>
      <w:r w:rsidRPr="00CE0885">
        <w:rPr>
          <w:spacing w:val="-10"/>
          <w:lang w:eastAsia="en-GB"/>
        </w:rPr>
        <w:t xml:space="preserve"> </w:t>
      </w:r>
      <w:r w:rsidRPr="00CE0885">
        <w:rPr>
          <w:lang w:eastAsia="en-GB"/>
        </w:rPr>
        <w:t>or</w:t>
      </w:r>
      <w:r w:rsidRPr="00CE0885">
        <w:rPr>
          <w:spacing w:val="-2"/>
          <w:lang w:eastAsia="en-GB"/>
        </w:rPr>
        <w:t xml:space="preserve"> </w:t>
      </w:r>
      <w:r w:rsidRPr="00CE0885">
        <w:rPr>
          <w:spacing w:val="-1"/>
          <w:lang w:eastAsia="en-GB"/>
        </w:rPr>
        <w:t>r</w:t>
      </w:r>
      <w:r w:rsidRPr="00CE0885">
        <w:rPr>
          <w:lang w:eastAsia="en-GB"/>
        </w:rPr>
        <w:t>e</w:t>
      </w:r>
      <w:r w:rsidRPr="00CE0885">
        <w:rPr>
          <w:spacing w:val="-1"/>
          <w:lang w:eastAsia="en-GB"/>
        </w:rPr>
        <w:t>q</w:t>
      </w:r>
      <w:r w:rsidRPr="00CE0885">
        <w:rPr>
          <w:lang w:eastAsia="en-GB"/>
        </w:rPr>
        <w:t>ui</w:t>
      </w:r>
      <w:r w:rsidRPr="00CE0885">
        <w:rPr>
          <w:spacing w:val="-1"/>
          <w:lang w:eastAsia="en-GB"/>
        </w:rPr>
        <w:t>r</w:t>
      </w:r>
      <w:r w:rsidRPr="00CE0885">
        <w:rPr>
          <w:lang w:eastAsia="en-GB"/>
        </w:rPr>
        <w:t>e</w:t>
      </w:r>
      <w:r w:rsidRPr="00CE0885">
        <w:rPr>
          <w:spacing w:val="-8"/>
          <w:lang w:eastAsia="en-GB"/>
        </w:rPr>
        <w:t xml:space="preserve"> </w:t>
      </w:r>
      <w:r w:rsidRPr="00CE0885">
        <w:rPr>
          <w:lang w:eastAsia="en-GB"/>
        </w:rPr>
        <w:t>a</w:t>
      </w:r>
      <w:r w:rsidRPr="00CE0885">
        <w:rPr>
          <w:spacing w:val="-2"/>
          <w:lang w:eastAsia="en-GB"/>
        </w:rPr>
        <w:t xml:space="preserve"> </w:t>
      </w:r>
      <w:r w:rsidRPr="00CE0885">
        <w:rPr>
          <w:lang w:eastAsia="en-GB"/>
        </w:rPr>
        <w:t>si</w:t>
      </w:r>
      <w:r w:rsidRPr="00CE0885">
        <w:rPr>
          <w:spacing w:val="-1"/>
          <w:lang w:eastAsia="en-GB"/>
        </w:rPr>
        <w:t>g</w:t>
      </w:r>
      <w:r w:rsidRPr="00CE0885">
        <w:rPr>
          <w:lang w:eastAsia="en-GB"/>
        </w:rPr>
        <w:t>natu</w:t>
      </w:r>
      <w:r w:rsidRPr="00CE0885">
        <w:rPr>
          <w:spacing w:val="-1"/>
          <w:lang w:eastAsia="en-GB"/>
        </w:rPr>
        <w:t>r</w:t>
      </w:r>
      <w:r w:rsidRPr="00CE0885">
        <w:rPr>
          <w:lang w:eastAsia="en-GB"/>
        </w:rPr>
        <w:t>e</w:t>
      </w:r>
      <w:r w:rsidRPr="00CE0885">
        <w:rPr>
          <w:spacing w:val="-8"/>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ac</w:t>
      </w:r>
      <w:r w:rsidRPr="00CE0885">
        <w:rPr>
          <w:spacing w:val="-2"/>
          <w:lang w:eastAsia="en-GB"/>
        </w:rPr>
        <w:t>c</w:t>
      </w:r>
      <w:r w:rsidRPr="00CE0885">
        <w:rPr>
          <w:lang w:eastAsia="en-GB"/>
        </w:rPr>
        <w:t>ep</w:t>
      </w:r>
      <w:r w:rsidRPr="00CE0885">
        <w:rPr>
          <w:spacing w:val="-2"/>
          <w:lang w:eastAsia="en-GB"/>
        </w:rPr>
        <w:t>t</w:t>
      </w:r>
      <w:r w:rsidRPr="00CE0885">
        <w:rPr>
          <w:lang w:eastAsia="en-GB"/>
        </w:rPr>
        <w:t>a</w:t>
      </w:r>
      <w:r w:rsidRPr="00CE0885">
        <w:rPr>
          <w:spacing w:val="-1"/>
          <w:lang w:eastAsia="en-GB"/>
        </w:rPr>
        <w:t>n</w:t>
      </w:r>
      <w:r w:rsidRPr="00CE0885">
        <w:rPr>
          <w:lang w:eastAsia="en-GB"/>
        </w:rPr>
        <w:t>ce</w:t>
      </w:r>
      <w:r w:rsidRPr="00CE0885">
        <w:rPr>
          <w:spacing w:val="-13"/>
          <w:lang w:eastAsia="en-GB"/>
        </w:rPr>
        <w:t xml:space="preserve"> </w:t>
      </w:r>
      <w:r w:rsidRPr="00CE0885">
        <w:rPr>
          <w:spacing w:val="3"/>
          <w:lang w:eastAsia="en-GB"/>
        </w:rPr>
        <w:t>f</w:t>
      </w:r>
      <w:r w:rsidRPr="00CE0885">
        <w:rPr>
          <w:lang w:eastAsia="en-GB"/>
        </w:rPr>
        <w:t>or</w:t>
      </w:r>
      <w:r w:rsidRPr="00CE0885">
        <w:rPr>
          <w:spacing w:val="-3"/>
          <w:lang w:eastAsia="en-GB"/>
        </w:rPr>
        <w:t xml:space="preserve"> </w:t>
      </w:r>
      <w:r w:rsidRPr="00CE0885">
        <w:rPr>
          <w:lang w:eastAsia="en-GB"/>
        </w:rPr>
        <w:t>this type of variation,</w:t>
      </w:r>
      <w:r w:rsidRPr="00CE0885">
        <w:rPr>
          <w:spacing w:val="-8"/>
          <w:lang w:eastAsia="en-GB"/>
        </w:rPr>
        <w:t xml:space="preserve"> </w:t>
      </w:r>
      <w:r w:rsidRPr="00CE0885">
        <w:rPr>
          <w:lang w:eastAsia="en-GB"/>
        </w:rPr>
        <w:t>as</w:t>
      </w:r>
      <w:r w:rsidRPr="00CE0885">
        <w:rPr>
          <w:spacing w:val="-3"/>
          <w:lang w:eastAsia="en-GB"/>
        </w:rPr>
        <w:t xml:space="preserve"> </w:t>
      </w:r>
      <w:r w:rsidRPr="00CE0885">
        <w:rPr>
          <w:spacing w:val="-2"/>
          <w:lang w:eastAsia="en-GB"/>
        </w:rPr>
        <w:t>t</w:t>
      </w:r>
      <w:r w:rsidRPr="00CE0885">
        <w:rPr>
          <w:lang w:eastAsia="en-GB"/>
        </w:rPr>
        <w:t>he</w:t>
      </w:r>
      <w:r w:rsidRPr="00CE0885">
        <w:rPr>
          <w:spacing w:val="-1"/>
          <w:lang w:eastAsia="en-GB"/>
        </w:rPr>
        <w:t>r</w:t>
      </w:r>
      <w:r w:rsidRPr="00CE0885">
        <w:rPr>
          <w:lang w:eastAsia="en-GB"/>
        </w:rPr>
        <w:t>e</w:t>
      </w:r>
      <w:r w:rsidRPr="00CE0885">
        <w:rPr>
          <w:spacing w:val="-3"/>
          <w:lang w:eastAsia="en-GB"/>
        </w:rPr>
        <w:t xml:space="preserve"> </w:t>
      </w:r>
      <w:r w:rsidRPr="00CE0885">
        <w:rPr>
          <w:lang w:eastAsia="en-GB"/>
        </w:rPr>
        <w:t>is</w:t>
      </w:r>
      <w:r w:rsidRPr="00CE0885">
        <w:rPr>
          <w:spacing w:val="-4"/>
          <w:lang w:eastAsia="en-GB"/>
        </w:rPr>
        <w:t xml:space="preserve"> </w:t>
      </w:r>
      <w:r w:rsidRPr="00CE0885">
        <w:rPr>
          <w:lang w:eastAsia="en-GB"/>
        </w:rPr>
        <w:t>no</w:t>
      </w:r>
      <w:r w:rsidRPr="00CE0885">
        <w:rPr>
          <w:spacing w:val="-1"/>
          <w:lang w:eastAsia="en-GB"/>
        </w:rPr>
        <w:t xml:space="preserve"> r</w:t>
      </w:r>
      <w:r w:rsidRPr="00CE0885">
        <w:rPr>
          <w:spacing w:val="-3"/>
          <w:lang w:eastAsia="en-GB"/>
        </w:rPr>
        <w:t>i</w:t>
      </w:r>
      <w:r w:rsidRPr="00CE0885">
        <w:rPr>
          <w:spacing w:val="-1"/>
          <w:lang w:eastAsia="en-GB"/>
        </w:rPr>
        <w:t>g</w:t>
      </w:r>
      <w:r w:rsidRPr="00CE0885">
        <w:rPr>
          <w:lang w:eastAsia="en-GB"/>
        </w:rPr>
        <w:t>ht</w:t>
      </w:r>
      <w:r w:rsidRPr="00CE0885">
        <w:rPr>
          <w:spacing w:val="-4"/>
          <w:lang w:eastAsia="en-GB"/>
        </w:rPr>
        <w:t xml:space="preserve"> </w:t>
      </w:r>
      <w:r w:rsidRPr="00CE0885">
        <w:rPr>
          <w:spacing w:val="-1"/>
          <w:lang w:eastAsia="en-GB"/>
        </w:rPr>
        <w:t>o</w:t>
      </w:r>
      <w:r w:rsidRPr="00CE0885">
        <w:rPr>
          <w:lang w:eastAsia="en-GB"/>
        </w:rPr>
        <w:t xml:space="preserve">f </w:t>
      </w:r>
      <w:r w:rsidRPr="00CE0885">
        <w:rPr>
          <w:spacing w:val="-1"/>
          <w:lang w:eastAsia="en-GB"/>
        </w:rPr>
        <w:t>re</w:t>
      </w:r>
      <w:r w:rsidRPr="00CE0885">
        <w:rPr>
          <w:lang w:eastAsia="en-GB"/>
        </w:rPr>
        <w:t>fusal</w:t>
      </w:r>
      <w:r w:rsidRPr="00CE0885">
        <w:rPr>
          <w:spacing w:val="-7"/>
          <w:lang w:eastAsia="en-GB"/>
        </w:rPr>
        <w:t xml:space="preserve"> </w:t>
      </w:r>
      <w:r w:rsidRPr="00CE0885">
        <w:rPr>
          <w:lang w:eastAsia="en-GB"/>
        </w:rPr>
        <w:t>or</w:t>
      </w:r>
      <w:r w:rsidRPr="00CE0885">
        <w:rPr>
          <w:spacing w:val="-5"/>
          <w:lang w:eastAsia="en-GB"/>
        </w:rPr>
        <w:t xml:space="preserve"> </w:t>
      </w:r>
      <w:r w:rsidRPr="00CE0885">
        <w:rPr>
          <w:lang w:eastAsia="en-GB"/>
        </w:rPr>
        <w:t>ne</w:t>
      </w:r>
      <w:r w:rsidRPr="00CE0885">
        <w:rPr>
          <w:spacing w:val="-1"/>
          <w:lang w:eastAsia="en-GB"/>
        </w:rPr>
        <w:t>g</w:t>
      </w:r>
      <w:r w:rsidRPr="00CE0885">
        <w:rPr>
          <w:lang w:eastAsia="en-GB"/>
        </w:rPr>
        <w:t>oti</w:t>
      </w:r>
      <w:r w:rsidRPr="00CE0885">
        <w:rPr>
          <w:spacing w:val="-1"/>
          <w:lang w:eastAsia="en-GB"/>
        </w:rPr>
        <w:t>a</w:t>
      </w:r>
      <w:r w:rsidRPr="00CE0885">
        <w:rPr>
          <w:lang w:eastAsia="en-GB"/>
        </w:rPr>
        <w:t>tion.</w:t>
      </w:r>
      <w:bookmarkEnd w:id="595"/>
    </w:p>
    <w:p w14:paraId="01CDF489" w14:textId="70640942" w:rsidR="00977693" w:rsidRPr="00CE0885" w:rsidRDefault="00977693" w:rsidP="006B781A">
      <w:pPr>
        <w:pStyle w:val="Heading3"/>
        <w:rPr>
          <w:lang w:eastAsia="en-GB"/>
        </w:rPr>
      </w:pPr>
      <w:bookmarkStart w:id="596" w:name="_Toc440981715"/>
      <w:r w:rsidRPr="00CE0885">
        <w:rPr>
          <w:spacing w:val="1"/>
          <w:lang w:eastAsia="en-GB"/>
        </w:rPr>
        <w:t>The p</w:t>
      </w:r>
      <w:r w:rsidRPr="00CE0885">
        <w:rPr>
          <w:lang w:eastAsia="en-GB"/>
        </w:rPr>
        <w:t>ro</w:t>
      </w:r>
      <w:r w:rsidRPr="00CE0885">
        <w:rPr>
          <w:spacing w:val="1"/>
          <w:lang w:eastAsia="en-GB"/>
        </w:rPr>
        <w:t>ce</w:t>
      </w:r>
      <w:r w:rsidRPr="00CE0885">
        <w:rPr>
          <w:spacing w:val="-1"/>
          <w:lang w:eastAsia="en-GB"/>
        </w:rPr>
        <w:t>s</w:t>
      </w:r>
      <w:r w:rsidRPr="00CE0885">
        <w:rPr>
          <w:lang w:eastAsia="en-GB"/>
        </w:rPr>
        <w:t>s</w:t>
      </w:r>
      <w:r w:rsidRPr="00CE0885">
        <w:rPr>
          <w:spacing w:val="-7"/>
          <w:lang w:eastAsia="en-GB"/>
        </w:rPr>
        <w:t xml:space="preserve"> </w:t>
      </w:r>
      <w:r w:rsidRPr="00CE0885">
        <w:rPr>
          <w:spacing w:val="-1"/>
          <w:lang w:eastAsia="en-GB"/>
        </w:rPr>
        <w:t>f</w:t>
      </w:r>
      <w:r w:rsidRPr="00CE0885">
        <w:rPr>
          <w:lang w:eastAsia="en-GB"/>
        </w:rPr>
        <w:t>or</w:t>
      </w:r>
      <w:r w:rsidRPr="00CE0885">
        <w:rPr>
          <w:spacing w:val="-2"/>
          <w:lang w:eastAsia="en-GB"/>
        </w:rPr>
        <w:t xml:space="preserve"> i</w:t>
      </w:r>
      <w:r w:rsidRPr="00CE0885">
        <w:rPr>
          <w:spacing w:val="1"/>
          <w:lang w:eastAsia="en-GB"/>
        </w:rPr>
        <w:t>ss</w:t>
      </w:r>
      <w:r w:rsidRPr="00CE0885">
        <w:rPr>
          <w:lang w:eastAsia="en-GB"/>
        </w:rPr>
        <w:t>u</w:t>
      </w:r>
      <w:r w:rsidRPr="00CE0885">
        <w:rPr>
          <w:spacing w:val="1"/>
          <w:lang w:eastAsia="en-GB"/>
        </w:rPr>
        <w:t>i</w:t>
      </w:r>
      <w:r w:rsidRPr="00CE0885">
        <w:rPr>
          <w:lang w:eastAsia="en-GB"/>
        </w:rPr>
        <w:t>ng</w:t>
      </w:r>
      <w:r w:rsidRPr="00CE0885">
        <w:rPr>
          <w:spacing w:val="-8"/>
          <w:lang w:eastAsia="en-GB"/>
        </w:rPr>
        <w:t xml:space="preserve"> </w:t>
      </w:r>
      <w:r w:rsidRPr="00CE0885">
        <w:rPr>
          <w:lang w:eastAsia="en-GB"/>
        </w:rPr>
        <w:t>a</w:t>
      </w:r>
      <w:r w:rsidRPr="00CE0885">
        <w:rPr>
          <w:spacing w:val="-2"/>
          <w:lang w:eastAsia="en-GB"/>
        </w:rPr>
        <w:t xml:space="preserve"> </w:t>
      </w:r>
      <w:r w:rsidRPr="00CE0885">
        <w:rPr>
          <w:spacing w:val="-4"/>
          <w:lang w:eastAsia="en-GB"/>
        </w:rPr>
        <w:t>v</w:t>
      </w:r>
      <w:r w:rsidRPr="00CE0885">
        <w:rPr>
          <w:spacing w:val="1"/>
          <w:lang w:eastAsia="en-GB"/>
        </w:rPr>
        <w:t>a</w:t>
      </w:r>
      <w:r w:rsidRPr="00CE0885">
        <w:rPr>
          <w:lang w:eastAsia="en-GB"/>
        </w:rPr>
        <w:t>r</w:t>
      </w:r>
      <w:r w:rsidRPr="00CE0885">
        <w:rPr>
          <w:spacing w:val="1"/>
          <w:lang w:eastAsia="en-GB"/>
        </w:rPr>
        <w:t>ia</w:t>
      </w:r>
      <w:r w:rsidRPr="00CE0885">
        <w:rPr>
          <w:spacing w:val="-1"/>
          <w:lang w:eastAsia="en-GB"/>
        </w:rPr>
        <w:t>t</w:t>
      </w:r>
      <w:r w:rsidRPr="00CE0885">
        <w:rPr>
          <w:spacing w:val="1"/>
          <w:lang w:eastAsia="en-GB"/>
        </w:rPr>
        <w:t>i</w:t>
      </w:r>
      <w:r w:rsidRPr="00CE0885">
        <w:rPr>
          <w:lang w:eastAsia="en-GB"/>
        </w:rPr>
        <w:t>on</w:t>
      </w:r>
      <w:r w:rsidRPr="00CE0885">
        <w:rPr>
          <w:spacing w:val="-10"/>
          <w:lang w:eastAsia="en-GB"/>
        </w:rPr>
        <w:t xml:space="preserve"> </w:t>
      </w:r>
      <w:r w:rsidRPr="00CE0885">
        <w:rPr>
          <w:lang w:eastAsia="en-GB"/>
        </w:rPr>
        <w:t>no</w:t>
      </w:r>
      <w:r w:rsidRPr="00CE0885">
        <w:rPr>
          <w:spacing w:val="-1"/>
          <w:lang w:eastAsia="en-GB"/>
        </w:rPr>
        <w:t>t</w:t>
      </w:r>
      <w:r w:rsidRPr="00CE0885">
        <w:rPr>
          <w:spacing w:val="1"/>
          <w:lang w:eastAsia="en-GB"/>
        </w:rPr>
        <w:t>ic</w:t>
      </w:r>
      <w:r w:rsidRPr="00CE0885">
        <w:rPr>
          <w:lang w:eastAsia="en-GB"/>
        </w:rPr>
        <w:t>e</w:t>
      </w:r>
      <w:r w:rsidRPr="00CE0885">
        <w:rPr>
          <w:spacing w:val="-5"/>
          <w:lang w:eastAsia="en-GB"/>
        </w:rPr>
        <w:t xml:space="preserve"> </w:t>
      </w:r>
      <w:r w:rsidRPr="00CE0885">
        <w:rPr>
          <w:lang w:eastAsia="en-GB"/>
        </w:rPr>
        <w:t>due</w:t>
      </w:r>
      <w:r w:rsidRPr="00CE0885">
        <w:rPr>
          <w:spacing w:val="-5"/>
          <w:lang w:eastAsia="en-GB"/>
        </w:rPr>
        <w:t xml:space="preserve"> </w:t>
      </w:r>
      <w:r w:rsidRPr="00CE0885">
        <w:rPr>
          <w:spacing w:val="-1"/>
          <w:lang w:eastAsia="en-GB"/>
        </w:rPr>
        <w:t>t</w:t>
      </w:r>
      <w:r w:rsidRPr="00CE0885">
        <w:rPr>
          <w:lang w:eastAsia="en-GB"/>
        </w:rPr>
        <w:t>o</w:t>
      </w:r>
      <w:r w:rsidRPr="00CE0885">
        <w:rPr>
          <w:spacing w:val="-2"/>
          <w:lang w:eastAsia="en-GB"/>
        </w:rPr>
        <w:t xml:space="preserve"> legislation / regulatory </w:t>
      </w:r>
      <w:r w:rsidRPr="00CE0885">
        <w:rPr>
          <w:spacing w:val="1"/>
          <w:lang w:eastAsia="en-GB"/>
        </w:rPr>
        <w:t>c</w:t>
      </w:r>
      <w:r w:rsidRPr="00CE0885">
        <w:rPr>
          <w:lang w:eastAsia="en-GB"/>
        </w:rPr>
        <w:t>h</w:t>
      </w:r>
      <w:r w:rsidRPr="00CE0885">
        <w:rPr>
          <w:spacing w:val="1"/>
          <w:lang w:eastAsia="en-GB"/>
        </w:rPr>
        <w:t>a</w:t>
      </w:r>
      <w:r w:rsidRPr="00CE0885">
        <w:rPr>
          <w:lang w:eastAsia="en-GB"/>
        </w:rPr>
        <w:t>ng</w:t>
      </w:r>
      <w:r w:rsidRPr="00CE0885">
        <w:rPr>
          <w:spacing w:val="1"/>
          <w:lang w:eastAsia="en-GB"/>
        </w:rPr>
        <w:t>e</w:t>
      </w:r>
      <w:r w:rsidRPr="00CE0885">
        <w:rPr>
          <w:lang w:eastAsia="en-GB"/>
        </w:rPr>
        <w:t>s</w:t>
      </w:r>
      <w:r w:rsidRPr="00CE0885">
        <w:rPr>
          <w:spacing w:val="-8"/>
          <w:lang w:eastAsia="en-GB"/>
        </w:rPr>
        <w:t xml:space="preserve"> </w:t>
      </w:r>
      <w:r w:rsidRPr="00CE0885">
        <w:rPr>
          <w:spacing w:val="-1"/>
          <w:lang w:eastAsia="en-GB"/>
        </w:rPr>
        <w:t>is:</w:t>
      </w:r>
      <w:bookmarkEnd w:id="596"/>
    </w:p>
    <w:p w14:paraId="552AE7A3" w14:textId="5CC8E1B1" w:rsidR="00977693" w:rsidRPr="00CE0885" w:rsidRDefault="00977693" w:rsidP="00F641EF">
      <w:pPr>
        <w:pStyle w:val="Heading4"/>
      </w:pPr>
      <w:bookmarkStart w:id="597" w:name="_Toc440981716"/>
      <w:r w:rsidRPr="00CE0885">
        <w:rPr>
          <w:spacing w:val="2"/>
        </w:rPr>
        <w:t>a</w:t>
      </w:r>
      <w:r w:rsidRPr="00CE0885">
        <w:t xml:space="preserve"> </w:t>
      </w:r>
      <w:r w:rsidRPr="00CE0885">
        <w:rPr>
          <w:spacing w:val="-3"/>
        </w:rPr>
        <w:t>r</w:t>
      </w:r>
      <w:r w:rsidRPr="00CE0885">
        <w:t>e</w:t>
      </w:r>
      <w:r w:rsidRPr="00CE0885">
        <w:rPr>
          <w:spacing w:val="-1"/>
        </w:rPr>
        <w:t>g</w:t>
      </w:r>
      <w:r w:rsidRPr="00CE0885">
        <w:t>ulato</w:t>
      </w:r>
      <w:r w:rsidRPr="00CE0885">
        <w:rPr>
          <w:spacing w:val="-1"/>
        </w:rPr>
        <w:t>r</w:t>
      </w:r>
      <w:r w:rsidRPr="00CE0885">
        <w:t>y</w:t>
      </w:r>
      <w:r w:rsidRPr="00CE0885">
        <w:rPr>
          <w:spacing w:val="-13"/>
        </w:rPr>
        <w:t xml:space="preserve"> </w:t>
      </w:r>
      <w:r w:rsidRPr="00CE0885">
        <w:t>a</w:t>
      </w:r>
      <w:r w:rsidRPr="00CE0885">
        <w:rPr>
          <w:spacing w:val="2"/>
        </w:rPr>
        <w:t>m</w:t>
      </w:r>
      <w:r w:rsidRPr="00CE0885">
        <w:t>e</w:t>
      </w:r>
      <w:r w:rsidRPr="00CE0885">
        <w:rPr>
          <w:spacing w:val="-1"/>
        </w:rPr>
        <w:t>nd</w:t>
      </w:r>
      <w:r w:rsidRPr="00CE0885">
        <w:rPr>
          <w:spacing w:val="2"/>
        </w:rPr>
        <w:t>m</w:t>
      </w:r>
      <w:r w:rsidRPr="00CE0885">
        <w:t>e</w:t>
      </w:r>
      <w:r w:rsidRPr="00CE0885">
        <w:rPr>
          <w:spacing w:val="-1"/>
        </w:rPr>
        <w:t>n</w:t>
      </w:r>
      <w:r w:rsidRPr="00CE0885">
        <w:t>t to existing Regulations or new Directions are issued un</w:t>
      </w:r>
      <w:r w:rsidRPr="00CE0885">
        <w:rPr>
          <w:spacing w:val="-1"/>
        </w:rPr>
        <w:t>d</w:t>
      </w:r>
      <w:r w:rsidRPr="00CE0885">
        <w:t>er</w:t>
      </w:r>
      <w:r w:rsidRPr="00CE0885">
        <w:rPr>
          <w:spacing w:val="-6"/>
        </w:rPr>
        <w:t xml:space="preserve"> </w:t>
      </w:r>
      <w:r w:rsidRPr="00CE0885">
        <w:t>sta</w:t>
      </w:r>
      <w:r w:rsidRPr="00CE0885">
        <w:rPr>
          <w:spacing w:val="-2"/>
        </w:rPr>
        <w:t>t</w:t>
      </w:r>
      <w:r w:rsidRPr="00CE0885">
        <w:t>uto</w:t>
      </w:r>
      <w:r w:rsidRPr="00CE0885">
        <w:rPr>
          <w:spacing w:val="-1"/>
        </w:rPr>
        <w:t>r</w:t>
      </w:r>
      <w:r w:rsidRPr="00CE0885">
        <w:t>y</w:t>
      </w:r>
      <w:r w:rsidRPr="00CE0885">
        <w:rPr>
          <w:spacing w:val="-11"/>
        </w:rPr>
        <w:t xml:space="preserve"> </w:t>
      </w:r>
      <w:r w:rsidRPr="00CE0885">
        <w:t>inst</w:t>
      </w:r>
      <w:r w:rsidRPr="00CE0885">
        <w:rPr>
          <w:spacing w:val="-1"/>
        </w:rPr>
        <w:t>r</w:t>
      </w:r>
      <w:r w:rsidRPr="00CE0885">
        <w:t>u</w:t>
      </w:r>
      <w:r w:rsidRPr="00CE0885">
        <w:rPr>
          <w:spacing w:val="-1"/>
        </w:rPr>
        <w:t>m</w:t>
      </w:r>
      <w:r w:rsidRPr="00CE0885">
        <w:t>ent</w:t>
      </w:r>
      <w:r w:rsidRPr="00CE0885">
        <w:rPr>
          <w:spacing w:val="-10"/>
        </w:rPr>
        <w:t>.</w:t>
      </w:r>
      <w:r w:rsidRPr="00CE0885">
        <w:rPr>
          <w:spacing w:val="-13"/>
        </w:rPr>
        <w:t xml:space="preserve"> </w:t>
      </w:r>
      <w:r w:rsidRPr="00CE0885">
        <w:rPr>
          <w:spacing w:val="-2"/>
        </w:rPr>
        <w:t>Commissioner</w:t>
      </w:r>
      <w:r w:rsidRPr="00CE0885">
        <w:t>s</w:t>
      </w:r>
      <w:r w:rsidRPr="00CE0885">
        <w:rPr>
          <w:spacing w:val="-6"/>
        </w:rPr>
        <w:t xml:space="preserve"> should ensure arrangements are in place </w:t>
      </w:r>
      <w:r w:rsidRPr="00CE0885">
        <w:rPr>
          <w:spacing w:val="2"/>
        </w:rPr>
        <w:t xml:space="preserve">to </w:t>
      </w:r>
      <w:r w:rsidRPr="00CE0885">
        <w:t>ta</w:t>
      </w:r>
      <w:r w:rsidRPr="00CE0885">
        <w:rPr>
          <w:spacing w:val="-2"/>
        </w:rPr>
        <w:t>k</w:t>
      </w:r>
      <w:r w:rsidRPr="00CE0885">
        <w:t>e</w:t>
      </w:r>
      <w:r w:rsidRPr="00CE0885">
        <w:rPr>
          <w:spacing w:val="-3"/>
        </w:rPr>
        <w:t xml:space="preserve"> </w:t>
      </w:r>
      <w:r w:rsidRPr="00CE0885">
        <w:t>t</w:t>
      </w:r>
      <w:r w:rsidRPr="00CE0885">
        <w:rPr>
          <w:spacing w:val="-1"/>
        </w:rPr>
        <w:t>h</w:t>
      </w:r>
      <w:r w:rsidRPr="00CE0885">
        <w:t>e</w:t>
      </w:r>
      <w:r w:rsidRPr="00CE0885">
        <w:rPr>
          <w:spacing w:val="-1"/>
        </w:rPr>
        <w:t xml:space="preserve"> a</w:t>
      </w:r>
      <w:r w:rsidRPr="00CE0885">
        <w:t>pp</w:t>
      </w:r>
      <w:r w:rsidRPr="00CE0885">
        <w:rPr>
          <w:spacing w:val="-1"/>
        </w:rPr>
        <w:t>r</w:t>
      </w:r>
      <w:r w:rsidRPr="00CE0885">
        <w:t>op</w:t>
      </w:r>
      <w:r w:rsidRPr="00CE0885">
        <w:rPr>
          <w:spacing w:val="-1"/>
        </w:rPr>
        <w:t>r</w:t>
      </w:r>
      <w:r w:rsidRPr="00CE0885">
        <w:t>ia</w:t>
      </w:r>
      <w:r w:rsidRPr="00CE0885">
        <w:rPr>
          <w:spacing w:val="-2"/>
        </w:rPr>
        <w:t>t</w:t>
      </w:r>
      <w:r w:rsidRPr="00CE0885">
        <w:t>e</w:t>
      </w:r>
      <w:r w:rsidRPr="00CE0885">
        <w:rPr>
          <w:spacing w:val="-10"/>
        </w:rPr>
        <w:t xml:space="preserve"> </w:t>
      </w:r>
      <w:r w:rsidRPr="00CE0885">
        <w:t>act</w:t>
      </w:r>
      <w:r w:rsidRPr="00CE0885">
        <w:rPr>
          <w:spacing w:val="-3"/>
        </w:rPr>
        <w:t>i</w:t>
      </w:r>
      <w:r w:rsidRPr="00CE0885">
        <w:t>on</w:t>
      </w:r>
      <w:r w:rsidRPr="00CE0885">
        <w:rPr>
          <w:spacing w:val="-7"/>
        </w:rPr>
        <w:t xml:space="preserve"> </w:t>
      </w:r>
      <w:r w:rsidRPr="00CE0885">
        <w:t>as</w:t>
      </w:r>
      <w:r w:rsidRPr="00CE0885">
        <w:rPr>
          <w:spacing w:val="-3"/>
        </w:rPr>
        <w:t xml:space="preserve"> </w:t>
      </w:r>
      <w:r w:rsidRPr="00CE0885">
        <w:rPr>
          <w:spacing w:val="-1"/>
        </w:rPr>
        <w:t>qu</w:t>
      </w:r>
      <w:r w:rsidRPr="00CE0885">
        <w:t>ickly</w:t>
      </w:r>
      <w:r w:rsidRPr="00CE0885">
        <w:rPr>
          <w:spacing w:val="-9"/>
        </w:rPr>
        <w:t xml:space="preserve"> </w:t>
      </w:r>
      <w:r w:rsidRPr="00CE0885">
        <w:t>as</w:t>
      </w:r>
      <w:r w:rsidRPr="00CE0885">
        <w:rPr>
          <w:spacing w:val="-3"/>
        </w:rPr>
        <w:t xml:space="preserve"> </w:t>
      </w:r>
      <w:r w:rsidRPr="00CE0885">
        <w:t>possible</w:t>
      </w:r>
      <w:r w:rsidRPr="00CE0885">
        <w:rPr>
          <w:spacing w:val="-7"/>
        </w:rPr>
        <w:t xml:space="preserve"> </w:t>
      </w:r>
      <w:r w:rsidRPr="00CE0885">
        <w:rPr>
          <w:spacing w:val="-1"/>
        </w:rPr>
        <w:t>a</w:t>
      </w:r>
      <w:r w:rsidRPr="00CE0885">
        <w:rPr>
          <w:spacing w:val="3"/>
        </w:rPr>
        <w:t>f</w:t>
      </w:r>
      <w:r w:rsidRPr="00CE0885">
        <w:rPr>
          <w:spacing w:val="-2"/>
        </w:rPr>
        <w:t>t</w:t>
      </w:r>
      <w:r w:rsidRPr="00CE0885">
        <w:t>er the</w:t>
      </w:r>
      <w:r w:rsidRPr="00CE0885">
        <w:rPr>
          <w:spacing w:val="-1"/>
        </w:rPr>
        <w:t xml:space="preserve"> </w:t>
      </w:r>
      <w:r w:rsidRPr="00CE0885">
        <w:t>iss</w:t>
      </w:r>
      <w:r w:rsidRPr="00CE0885">
        <w:rPr>
          <w:spacing w:val="-1"/>
        </w:rPr>
        <w:t>u</w:t>
      </w:r>
      <w:r w:rsidRPr="00CE0885">
        <w:t>e</w:t>
      </w:r>
      <w:r w:rsidRPr="00CE0885">
        <w:rPr>
          <w:spacing w:val="-4"/>
        </w:rPr>
        <w:t xml:space="preserve"> </w:t>
      </w:r>
      <w:r w:rsidRPr="00CE0885">
        <w:rPr>
          <w:spacing w:val="-1"/>
        </w:rPr>
        <w:t>o</w:t>
      </w:r>
      <w:r w:rsidRPr="00CE0885">
        <w:t>f</w:t>
      </w:r>
      <w:r w:rsidRPr="00CE0885">
        <w:rPr>
          <w:spacing w:val="-1"/>
        </w:rPr>
        <w:t xml:space="preserve"> a</w:t>
      </w:r>
      <w:r w:rsidRPr="00CE0885">
        <w:t>n</w:t>
      </w:r>
      <w:r w:rsidRPr="00CE0885">
        <w:rPr>
          <w:spacing w:val="-1"/>
        </w:rPr>
        <w:t xml:space="preserve"> a</w:t>
      </w:r>
      <w:r w:rsidRPr="00CE0885">
        <w:rPr>
          <w:spacing w:val="2"/>
        </w:rPr>
        <w:t>m</w:t>
      </w:r>
      <w:r w:rsidRPr="00CE0885">
        <w:rPr>
          <w:spacing w:val="-1"/>
        </w:rPr>
        <w:t>e</w:t>
      </w:r>
      <w:r w:rsidRPr="00CE0885">
        <w:t>n</w:t>
      </w:r>
      <w:r w:rsidRPr="00CE0885">
        <w:rPr>
          <w:spacing w:val="-1"/>
        </w:rPr>
        <w:t>d</w:t>
      </w:r>
      <w:r w:rsidRPr="00CE0885">
        <w:rPr>
          <w:spacing w:val="2"/>
        </w:rPr>
        <w:t>m</w:t>
      </w:r>
      <w:r w:rsidRPr="00CE0885">
        <w:t>e</w:t>
      </w:r>
      <w:r w:rsidRPr="00CE0885">
        <w:rPr>
          <w:spacing w:val="-1"/>
        </w:rPr>
        <w:t>n</w:t>
      </w:r>
      <w:r w:rsidRPr="00CE0885">
        <w:t>t.</w:t>
      </w:r>
      <w:bookmarkEnd w:id="597"/>
      <w:r w:rsidRPr="00CE0885">
        <w:t xml:space="preserve"> </w:t>
      </w:r>
    </w:p>
    <w:p w14:paraId="6A053713" w14:textId="4AFAA53F" w:rsidR="00977693" w:rsidRPr="00CE0885" w:rsidRDefault="00F903D1" w:rsidP="006B781A">
      <w:pPr>
        <w:pStyle w:val="Heading4"/>
      </w:pPr>
      <w:bookmarkStart w:id="598" w:name="_Toc440981717"/>
      <w:r w:rsidRPr="00F903D1">
        <w:rPr>
          <w:spacing w:val="6"/>
        </w:rPr>
        <w:t>Where the GMS regulations, PMS regulations and/or APMS Directions are amended, there may be centrally issued GMS, PMS and APMS variation notices.  These should be used to update the relevant contracts and ensure contractors are informed of the changes</w:t>
      </w:r>
      <w:r w:rsidR="00977693" w:rsidRPr="00CE0885">
        <w:t>.</w:t>
      </w:r>
      <w:bookmarkEnd w:id="598"/>
    </w:p>
    <w:p w14:paraId="651EC318" w14:textId="6513BF35" w:rsidR="00977693" w:rsidRPr="00CE0885" w:rsidRDefault="00977693" w:rsidP="006B781A">
      <w:pPr>
        <w:pStyle w:val="Heading4"/>
      </w:pPr>
      <w:bookmarkStart w:id="599" w:name="_Toc440981718"/>
      <w:r w:rsidRPr="00CE0885">
        <w:t>the Commissioner must</w:t>
      </w:r>
      <w:r w:rsidRPr="00CE0885">
        <w:rPr>
          <w:spacing w:val="-4"/>
        </w:rPr>
        <w:t xml:space="preserve"> </w:t>
      </w:r>
      <w:r w:rsidRPr="00CE0885">
        <w:rPr>
          <w:spacing w:val="-1"/>
        </w:rPr>
        <w:t>n</w:t>
      </w:r>
      <w:r w:rsidRPr="00CE0885">
        <w:t>ot</w:t>
      </w:r>
      <w:r w:rsidRPr="00CE0885">
        <w:rPr>
          <w:spacing w:val="-3"/>
        </w:rPr>
        <w:t>i</w:t>
      </w:r>
      <w:r w:rsidRPr="00CE0885">
        <w:rPr>
          <w:spacing w:val="3"/>
        </w:rPr>
        <w:t>f</w:t>
      </w:r>
      <w:r w:rsidRPr="00CE0885">
        <w:t>y</w:t>
      </w:r>
      <w:r w:rsidRPr="00CE0885">
        <w:rPr>
          <w:spacing w:val="-8"/>
        </w:rPr>
        <w:t xml:space="preserve"> </w:t>
      </w:r>
      <w:r w:rsidRPr="00CE0885">
        <w:rPr>
          <w:spacing w:val="-2"/>
        </w:rPr>
        <w:t>c</w:t>
      </w:r>
      <w:r w:rsidRPr="00CE0885">
        <w:t>ont</w:t>
      </w:r>
      <w:r w:rsidRPr="00CE0885">
        <w:rPr>
          <w:spacing w:val="-1"/>
        </w:rPr>
        <w:t>r</w:t>
      </w:r>
      <w:r w:rsidRPr="00CE0885">
        <w:t>ac</w:t>
      </w:r>
      <w:r w:rsidRPr="00CE0885">
        <w:rPr>
          <w:spacing w:val="-2"/>
        </w:rPr>
        <w:t>t</w:t>
      </w:r>
      <w:r w:rsidRPr="00CE0885">
        <w:t>o</w:t>
      </w:r>
      <w:r w:rsidRPr="00CE0885">
        <w:rPr>
          <w:spacing w:val="-1"/>
        </w:rPr>
        <w:t>r</w:t>
      </w:r>
      <w:r w:rsidRPr="00CE0885">
        <w:t>s</w:t>
      </w:r>
      <w:r w:rsidRPr="00CE0885">
        <w:rPr>
          <w:spacing w:val="-7"/>
        </w:rPr>
        <w:t xml:space="preserve"> </w:t>
      </w:r>
      <w:r w:rsidRPr="00CE0885">
        <w:rPr>
          <w:spacing w:val="-1"/>
        </w:rPr>
        <w:t>o</w:t>
      </w:r>
      <w:r w:rsidRPr="00CE0885">
        <w:t xml:space="preserve">f </w:t>
      </w:r>
      <w:r w:rsidRPr="00CE0885">
        <w:rPr>
          <w:spacing w:val="-2"/>
        </w:rPr>
        <w:t>t</w:t>
      </w:r>
      <w:r w:rsidRPr="00CE0885">
        <w:t>he</w:t>
      </w:r>
      <w:r w:rsidRPr="00CE0885">
        <w:rPr>
          <w:spacing w:val="-1"/>
        </w:rPr>
        <w:t xml:space="preserve"> </w:t>
      </w:r>
      <w:r w:rsidRPr="00CE0885">
        <w:rPr>
          <w:spacing w:val="-2"/>
        </w:rPr>
        <w:t>v</w:t>
      </w:r>
      <w:r w:rsidRPr="00CE0885">
        <w:t>a</w:t>
      </w:r>
      <w:r w:rsidRPr="00CE0885">
        <w:rPr>
          <w:spacing w:val="-1"/>
        </w:rPr>
        <w:t>r</w:t>
      </w:r>
      <w:r w:rsidRPr="00CE0885">
        <w:t>iation</w:t>
      </w:r>
      <w:r w:rsidRPr="00CE0885">
        <w:rPr>
          <w:spacing w:val="-12"/>
        </w:rPr>
        <w:t xml:space="preserve"> </w:t>
      </w:r>
      <w:r w:rsidRPr="00CE0885">
        <w:t>and</w:t>
      </w:r>
      <w:r w:rsidRPr="00CE0885">
        <w:rPr>
          <w:spacing w:val="-2"/>
        </w:rPr>
        <w:t xml:space="preserve"> </w:t>
      </w:r>
      <w:r w:rsidRPr="00CE0885">
        <w:t>its</w:t>
      </w:r>
      <w:r w:rsidRPr="00CE0885">
        <w:rPr>
          <w:spacing w:val="-4"/>
        </w:rPr>
        <w:t xml:space="preserve"> </w:t>
      </w:r>
      <w:r w:rsidRPr="00CE0885">
        <w:rPr>
          <w:spacing w:val="-1"/>
        </w:rPr>
        <w:t>e</w:t>
      </w:r>
      <w:r w:rsidRPr="00CE0885">
        <w:t>ffecti</w:t>
      </w:r>
      <w:r w:rsidRPr="00CE0885">
        <w:rPr>
          <w:spacing w:val="-2"/>
        </w:rPr>
        <w:t>v</w:t>
      </w:r>
      <w:r w:rsidRPr="00CE0885">
        <w:t>e</w:t>
      </w:r>
      <w:r w:rsidRPr="00CE0885">
        <w:rPr>
          <w:spacing w:val="-7"/>
        </w:rPr>
        <w:t xml:space="preserve"> </w:t>
      </w:r>
      <w:r w:rsidRPr="00CE0885">
        <w:t>da</w:t>
      </w:r>
      <w:r w:rsidRPr="00CE0885">
        <w:rPr>
          <w:spacing w:val="-2"/>
        </w:rPr>
        <w:t>t</w:t>
      </w:r>
      <w:r w:rsidRPr="00CE0885">
        <w:t>e. A template variation notice is provided in Annex 1 for GMS contracts and Annex 2 for PMS/APMS contracts.</w:t>
      </w:r>
      <w:bookmarkEnd w:id="599"/>
      <w:r w:rsidRPr="00CE0885">
        <w:t xml:space="preserve"> </w:t>
      </w:r>
    </w:p>
    <w:p w14:paraId="682F5ED6" w14:textId="7EE24934" w:rsidR="00977693" w:rsidRPr="00CE0885" w:rsidRDefault="00977693" w:rsidP="006B781A">
      <w:pPr>
        <w:pStyle w:val="Heading4"/>
      </w:pPr>
      <w:bookmarkStart w:id="600" w:name="_Toc440981719"/>
      <w:r w:rsidRPr="00CE0885">
        <w:t>for GMS contractors, the notification should</w:t>
      </w:r>
      <w:r w:rsidRPr="00CE0885">
        <w:rPr>
          <w:spacing w:val="-4"/>
        </w:rPr>
        <w:t xml:space="preserve"> </w:t>
      </w:r>
      <w:r w:rsidRPr="00CE0885">
        <w:rPr>
          <w:spacing w:val="-3"/>
        </w:rPr>
        <w:t>i</w:t>
      </w:r>
      <w:r w:rsidRPr="00CE0885">
        <w:t>nclude</w:t>
      </w:r>
      <w:r w:rsidRPr="00CE0885">
        <w:rPr>
          <w:spacing w:val="-10"/>
        </w:rPr>
        <w:t xml:space="preserve"> </w:t>
      </w:r>
      <w:r w:rsidRPr="00CE0885">
        <w:t>t</w:t>
      </w:r>
      <w:r w:rsidRPr="00CE0885">
        <w:rPr>
          <w:spacing w:val="-1"/>
        </w:rPr>
        <w:t>h</w:t>
      </w:r>
      <w:r w:rsidRPr="00CE0885">
        <w:t>e</w:t>
      </w:r>
      <w:r w:rsidRPr="00CE0885">
        <w:rPr>
          <w:spacing w:val="-1"/>
        </w:rPr>
        <w:t xml:space="preserve"> GMS variation and the r</w:t>
      </w:r>
      <w:r w:rsidRPr="00CE0885">
        <w:t>ele</w:t>
      </w:r>
      <w:r w:rsidRPr="00CE0885">
        <w:rPr>
          <w:spacing w:val="-2"/>
        </w:rPr>
        <w:t>v</w:t>
      </w:r>
      <w:r w:rsidRPr="00CE0885">
        <w:t>ant pa</w:t>
      </w:r>
      <w:r w:rsidRPr="00CE0885">
        <w:rPr>
          <w:spacing w:val="-1"/>
        </w:rPr>
        <w:t>g</w:t>
      </w:r>
      <w:r w:rsidRPr="00CE0885">
        <w:t>es</w:t>
      </w:r>
      <w:r w:rsidRPr="00CE0885">
        <w:rPr>
          <w:spacing w:val="-7"/>
        </w:rPr>
        <w:t xml:space="preserve"> </w:t>
      </w:r>
      <w:r w:rsidRPr="00CE0885">
        <w:rPr>
          <w:spacing w:val="-1"/>
        </w:rPr>
        <w:t>o</w:t>
      </w:r>
      <w:r w:rsidRPr="00CE0885">
        <w:t>f</w:t>
      </w:r>
      <w:r w:rsidRPr="00CE0885">
        <w:rPr>
          <w:spacing w:val="-1"/>
        </w:rPr>
        <w:t xml:space="preserve"> </w:t>
      </w:r>
      <w:r w:rsidRPr="00CE0885">
        <w:t>t</w:t>
      </w:r>
      <w:r w:rsidRPr="00CE0885">
        <w:rPr>
          <w:spacing w:val="-1"/>
        </w:rPr>
        <w:t>h</w:t>
      </w:r>
      <w:r w:rsidRPr="00CE0885">
        <w:t>e</w:t>
      </w:r>
      <w:r w:rsidRPr="00CE0885">
        <w:rPr>
          <w:spacing w:val="-1"/>
        </w:rPr>
        <w:t xml:space="preserve"> a</w:t>
      </w:r>
      <w:r w:rsidRPr="00CE0885">
        <w:rPr>
          <w:spacing w:val="2"/>
        </w:rPr>
        <w:t>m</w:t>
      </w:r>
      <w:r w:rsidRPr="00CE0885">
        <w:rPr>
          <w:spacing w:val="-1"/>
        </w:rPr>
        <w:t>e</w:t>
      </w:r>
      <w:r w:rsidRPr="00CE0885">
        <w:t>nd</w:t>
      </w:r>
      <w:r w:rsidRPr="00CE0885">
        <w:rPr>
          <w:spacing w:val="-1"/>
        </w:rPr>
        <w:t>e</w:t>
      </w:r>
      <w:r w:rsidRPr="00CE0885">
        <w:t>d</w:t>
      </w:r>
      <w:r w:rsidRPr="00CE0885">
        <w:rPr>
          <w:spacing w:val="-11"/>
        </w:rPr>
        <w:t xml:space="preserve"> </w:t>
      </w:r>
      <w:r w:rsidRPr="00CE0885">
        <w:t>cont</w:t>
      </w:r>
      <w:r w:rsidRPr="00CE0885">
        <w:rPr>
          <w:spacing w:val="-1"/>
        </w:rPr>
        <w:t>r</w:t>
      </w:r>
      <w:r w:rsidRPr="00CE0885">
        <w:t>act</w:t>
      </w:r>
      <w:r w:rsidRPr="00CE0885">
        <w:rPr>
          <w:spacing w:val="-10"/>
        </w:rPr>
        <w:t xml:space="preserve"> </w:t>
      </w:r>
      <w:r w:rsidRPr="00CE0885">
        <w:t>do</w:t>
      </w:r>
      <w:r w:rsidRPr="00CE0885">
        <w:rPr>
          <w:spacing w:val="-2"/>
        </w:rPr>
        <w:t>c</w:t>
      </w:r>
      <w:r w:rsidRPr="00CE0885">
        <w:t>u</w:t>
      </w:r>
      <w:r w:rsidRPr="00CE0885">
        <w:rPr>
          <w:spacing w:val="-1"/>
        </w:rPr>
        <w:t>m</w:t>
      </w:r>
      <w:r w:rsidRPr="00CE0885">
        <w:t>ent</w:t>
      </w:r>
      <w:r w:rsidRPr="00CE0885">
        <w:rPr>
          <w:spacing w:val="-12"/>
        </w:rPr>
        <w:t xml:space="preserve"> </w:t>
      </w:r>
      <w:r w:rsidRPr="00CE0885">
        <w:t>for</w:t>
      </w:r>
      <w:r w:rsidRPr="00CE0885">
        <w:rPr>
          <w:spacing w:val="-6"/>
        </w:rPr>
        <w:t xml:space="preserve"> </w:t>
      </w:r>
      <w:r w:rsidRPr="00CE0885">
        <w:t>co</w:t>
      </w:r>
      <w:r w:rsidRPr="00CE0885">
        <w:rPr>
          <w:spacing w:val="2"/>
        </w:rPr>
        <w:t>m</w:t>
      </w:r>
      <w:r w:rsidRPr="00CE0885">
        <w:t>p</w:t>
      </w:r>
      <w:r w:rsidRPr="00CE0885">
        <w:rPr>
          <w:spacing w:val="-3"/>
        </w:rPr>
        <w:t>l</w:t>
      </w:r>
      <w:r w:rsidRPr="00CE0885">
        <w:t>et</w:t>
      </w:r>
      <w:r w:rsidRPr="00CE0885">
        <w:rPr>
          <w:spacing w:val="-1"/>
        </w:rPr>
        <w:t>e</w:t>
      </w:r>
      <w:r w:rsidRPr="00CE0885">
        <w:t xml:space="preserve">ness. For PMS and APMS contractors, the Commissioner </w:t>
      </w:r>
      <w:r w:rsidRPr="00CE0885">
        <w:rPr>
          <w:spacing w:val="-3"/>
        </w:rPr>
        <w:t>w</w:t>
      </w:r>
      <w:r w:rsidRPr="00CE0885">
        <w:rPr>
          <w:spacing w:val="2"/>
        </w:rPr>
        <w:t>i</w:t>
      </w:r>
      <w:r w:rsidRPr="00CE0885">
        <w:t>ll</w:t>
      </w:r>
      <w:r w:rsidRPr="00CE0885">
        <w:rPr>
          <w:spacing w:val="-3"/>
        </w:rPr>
        <w:t xml:space="preserve"> </w:t>
      </w:r>
      <w:r w:rsidRPr="00CE0885">
        <w:t>be</w:t>
      </w:r>
      <w:r w:rsidRPr="00CE0885">
        <w:rPr>
          <w:spacing w:val="-1"/>
        </w:rPr>
        <w:t xml:space="preserve"> r</w:t>
      </w:r>
      <w:r w:rsidRPr="00CE0885">
        <w:t>e</w:t>
      </w:r>
      <w:r w:rsidRPr="00CE0885">
        <w:rPr>
          <w:spacing w:val="-1"/>
        </w:rPr>
        <w:t>q</w:t>
      </w:r>
      <w:r w:rsidRPr="00CE0885">
        <w:t>ui</w:t>
      </w:r>
      <w:r w:rsidRPr="00CE0885">
        <w:rPr>
          <w:spacing w:val="-1"/>
        </w:rPr>
        <w:t>r</w:t>
      </w:r>
      <w:r w:rsidRPr="00CE0885">
        <w:t>ed</w:t>
      </w:r>
      <w:r w:rsidRPr="00CE0885">
        <w:rPr>
          <w:spacing w:val="-7"/>
        </w:rPr>
        <w:t xml:space="preserve"> </w:t>
      </w:r>
      <w:r w:rsidRPr="00CE0885">
        <w:rPr>
          <w:spacing w:val="-2"/>
        </w:rPr>
        <w:t>t</w:t>
      </w:r>
      <w:r w:rsidRPr="00CE0885">
        <w:t>o ensure</w:t>
      </w:r>
      <w:r w:rsidRPr="00CE0885">
        <w:rPr>
          <w:spacing w:val="-7"/>
        </w:rPr>
        <w:t xml:space="preserve"> </w:t>
      </w:r>
      <w:r w:rsidRPr="00CE0885">
        <w:t>t</w:t>
      </w:r>
      <w:r w:rsidRPr="00CE0885">
        <w:rPr>
          <w:spacing w:val="-1"/>
        </w:rPr>
        <w:t>h</w:t>
      </w:r>
      <w:r w:rsidRPr="00CE0885">
        <w:t>e</w:t>
      </w:r>
      <w:r w:rsidRPr="00CE0885">
        <w:rPr>
          <w:spacing w:val="-1"/>
        </w:rPr>
        <w:t xml:space="preserve"> r</w:t>
      </w:r>
      <w:r w:rsidRPr="00CE0885">
        <w:t>e</w:t>
      </w:r>
      <w:r w:rsidRPr="00CE0885">
        <w:rPr>
          <w:spacing w:val="-1"/>
        </w:rPr>
        <w:t>g</w:t>
      </w:r>
      <w:r w:rsidRPr="00CE0885">
        <w:t>ula</w:t>
      </w:r>
      <w:r w:rsidRPr="00CE0885">
        <w:rPr>
          <w:spacing w:val="-2"/>
        </w:rPr>
        <w:t>t</w:t>
      </w:r>
      <w:r w:rsidRPr="00CE0885">
        <w:t>o</w:t>
      </w:r>
      <w:r w:rsidRPr="00CE0885">
        <w:rPr>
          <w:spacing w:val="-1"/>
        </w:rPr>
        <w:t>r</w:t>
      </w:r>
      <w:r w:rsidRPr="00CE0885">
        <w:t>y a</w:t>
      </w:r>
      <w:r w:rsidRPr="00CE0885">
        <w:rPr>
          <w:spacing w:val="2"/>
        </w:rPr>
        <w:t>m</w:t>
      </w:r>
      <w:r w:rsidRPr="00CE0885">
        <w:rPr>
          <w:spacing w:val="-1"/>
        </w:rPr>
        <w:t>e</w:t>
      </w:r>
      <w:r w:rsidRPr="00CE0885">
        <w:t>n</w:t>
      </w:r>
      <w:r w:rsidRPr="00CE0885">
        <w:rPr>
          <w:spacing w:val="-1"/>
        </w:rPr>
        <w:t>d</w:t>
      </w:r>
      <w:r w:rsidRPr="00CE0885">
        <w:rPr>
          <w:spacing w:val="2"/>
        </w:rPr>
        <w:t>m</w:t>
      </w:r>
      <w:r w:rsidRPr="00CE0885">
        <w:rPr>
          <w:spacing w:val="-1"/>
        </w:rPr>
        <w:t>e</w:t>
      </w:r>
      <w:r w:rsidRPr="00CE0885">
        <w:t>nts</w:t>
      </w:r>
      <w:r w:rsidRPr="00CE0885">
        <w:rPr>
          <w:spacing w:val="-14"/>
        </w:rPr>
        <w:t xml:space="preserve"> </w:t>
      </w:r>
      <w:r w:rsidRPr="00CE0885">
        <w:t>become</w:t>
      </w:r>
      <w:r w:rsidRPr="00CE0885">
        <w:rPr>
          <w:spacing w:val="-2"/>
        </w:rPr>
        <w:t xml:space="preserve"> </w:t>
      </w:r>
      <w:r w:rsidRPr="00CE0885">
        <w:t>a</w:t>
      </w:r>
      <w:r w:rsidRPr="00CE0885">
        <w:rPr>
          <w:spacing w:val="-2"/>
        </w:rPr>
        <w:t xml:space="preserve"> </w:t>
      </w:r>
      <w:r w:rsidRPr="00CE0885">
        <w:t>c</w:t>
      </w:r>
      <w:r w:rsidRPr="00CE0885">
        <w:rPr>
          <w:spacing w:val="-1"/>
        </w:rPr>
        <w:t>o</w:t>
      </w:r>
      <w:r w:rsidRPr="00CE0885">
        <w:t>nt</w:t>
      </w:r>
      <w:r w:rsidRPr="00CE0885">
        <w:rPr>
          <w:spacing w:val="-1"/>
        </w:rPr>
        <w:t>r</w:t>
      </w:r>
      <w:r w:rsidRPr="00CE0885">
        <w:t>act</w:t>
      </w:r>
      <w:r w:rsidRPr="00CE0885">
        <w:rPr>
          <w:spacing w:val="-1"/>
        </w:rPr>
        <w:t>u</w:t>
      </w:r>
      <w:r w:rsidRPr="00CE0885">
        <w:t>al</w:t>
      </w:r>
      <w:r w:rsidRPr="00CE0885">
        <w:rPr>
          <w:spacing w:val="-12"/>
        </w:rPr>
        <w:t xml:space="preserve"> </w:t>
      </w:r>
      <w:r w:rsidRPr="00CE0885">
        <w:rPr>
          <w:spacing w:val="-1"/>
        </w:rPr>
        <w:t>a</w:t>
      </w:r>
      <w:r w:rsidRPr="00CE0885">
        <w:rPr>
          <w:spacing w:val="2"/>
        </w:rPr>
        <w:t>m</w:t>
      </w:r>
      <w:r w:rsidRPr="00CE0885">
        <w:t>e</w:t>
      </w:r>
      <w:r w:rsidRPr="00CE0885">
        <w:rPr>
          <w:spacing w:val="-1"/>
        </w:rPr>
        <w:t>nd</w:t>
      </w:r>
      <w:r w:rsidRPr="00CE0885">
        <w:rPr>
          <w:spacing w:val="2"/>
        </w:rPr>
        <w:t>m</w:t>
      </w:r>
      <w:r w:rsidRPr="00CE0885">
        <w:t>e</w:t>
      </w:r>
      <w:r w:rsidRPr="00CE0885">
        <w:rPr>
          <w:spacing w:val="-1"/>
        </w:rPr>
        <w:t>n</w:t>
      </w:r>
      <w:r w:rsidRPr="00CE0885">
        <w:t>t,</w:t>
      </w:r>
      <w:r w:rsidRPr="00CE0885">
        <w:rPr>
          <w:spacing w:val="-14"/>
        </w:rPr>
        <w:t xml:space="preserve"> </w:t>
      </w:r>
      <w:r w:rsidRPr="00CE0885">
        <w:t>citing</w:t>
      </w:r>
      <w:r w:rsidRPr="00CE0885">
        <w:rPr>
          <w:spacing w:val="-7"/>
        </w:rPr>
        <w:t xml:space="preserve"> </w:t>
      </w:r>
      <w:r w:rsidRPr="00CE0885">
        <w:t>the</w:t>
      </w:r>
      <w:r w:rsidRPr="00CE0885">
        <w:rPr>
          <w:spacing w:val="-1"/>
        </w:rPr>
        <w:t xml:space="preserve"> </w:t>
      </w:r>
      <w:r w:rsidRPr="00CE0885">
        <w:t>co</w:t>
      </w:r>
      <w:r w:rsidRPr="00CE0885">
        <w:rPr>
          <w:spacing w:val="-1"/>
        </w:rPr>
        <w:t>rr</w:t>
      </w:r>
      <w:r w:rsidRPr="00CE0885">
        <w:t>ect clause</w:t>
      </w:r>
      <w:r w:rsidRPr="00CE0885">
        <w:rPr>
          <w:spacing w:val="-8"/>
        </w:rPr>
        <w:t xml:space="preserve"> </w:t>
      </w:r>
      <w:r w:rsidRPr="00CE0885">
        <w:t>n</w:t>
      </w:r>
      <w:r w:rsidRPr="00CE0885">
        <w:rPr>
          <w:spacing w:val="-1"/>
        </w:rPr>
        <w:t>u</w:t>
      </w:r>
      <w:r w:rsidRPr="00CE0885">
        <w:rPr>
          <w:spacing w:val="2"/>
        </w:rPr>
        <w:t>m</w:t>
      </w:r>
      <w:r w:rsidRPr="00CE0885">
        <w:t>be</w:t>
      </w:r>
      <w:r w:rsidRPr="00CE0885">
        <w:rPr>
          <w:spacing w:val="-1"/>
        </w:rPr>
        <w:t>r</w:t>
      </w:r>
      <w:r w:rsidRPr="00CE0885">
        <w:t>s</w:t>
      </w:r>
      <w:r w:rsidRPr="00CE0885">
        <w:rPr>
          <w:spacing w:val="-11"/>
        </w:rPr>
        <w:t xml:space="preserve"> </w:t>
      </w:r>
      <w:r w:rsidRPr="00CE0885">
        <w:rPr>
          <w:spacing w:val="-1"/>
        </w:rPr>
        <w:t>a</w:t>
      </w:r>
      <w:r w:rsidRPr="00CE0885">
        <w:t>f</w:t>
      </w:r>
      <w:r w:rsidRPr="00CE0885">
        <w:rPr>
          <w:spacing w:val="3"/>
        </w:rPr>
        <w:t>f</w:t>
      </w:r>
      <w:r w:rsidRPr="00CE0885">
        <w:t>e</w:t>
      </w:r>
      <w:r w:rsidRPr="00CE0885">
        <w:rPr>
          <w:spacing w:val="-2"/>
        </w:rPr>
        <w:t>ct</w:t>
      </w:r>
      <w:r w:rsidRPr="00CE0885">
        <w:t>ed</w:t>
      </w:r>
      <w:r w:rsidRPr="00CE0885">
        <w:rPr>
          <w:spacing w:val="-7"/>
        </w:rPr>
        <w:t xml:space="preserve"> </w:t>
      </w:r>
      <w:r w:rsidRPr="00CE0885">
        <w:rPr>
          <w:spacing w:val="-3"/>
        </w:rPr>
        <w:t>w</w:t>
      </w:r>
      <w:r w:rsidRPr="00CE0885">
        <w:t>ithin</w:t>
      </w:r>
      <w:r w:rsidRPr="00CE0885">
        <w:rPr>
          <w:spacing w:val="-4"/>
        </w:rPr>
        <w:t xml:space="preserve"> </w:t>
      </w:r>
      <w:r w:rsidRPr="00CE0885">
        <w:t>the</w:t>
      </w:r>
      <w:r w:rsidRPr="00CE0885">
        <w:rPr>
          <w:spacing w:val="-5"/>
        </w:rPr>
        <w:t xml:space="preserve"> </w:t>
      </w:r>
      <w:r w:rsidRPr="00CE0885">
        <w:t>i</w:t>
      </w:r>
      <w:r w:rsidRPr="00CE0885">
        <w:rPr>
          <w:spacing w:val="-1"/>
        </w:rPr>
        <w:t>n</w:t>
      </w:r>
      <w:r w:rsidRPr="00CE0885">
        <w:t>di</w:t>
      </w:r>
      <w:r w:rsidRPr="00CE0885">
        <w:rPr>
          <w:spacing w:val="-2"/>
        </w:rPr>
        <w:t>v</w:t>
      </w:r>
      <w:r w:rsidRPr="00CE0885">
        <w:t>idually</w:t>
      </w:r>
      <w:r w:rsidRPr="00CE0885">
        <w:rPr>
          <w:spacing w:val="-14"/>
        </w:rPr>
        <w:t xml:space="preserve"> </w:t>
      </w:r>
      <w:r w:rsidRPr="00CE0885">
        <w:t>held</w:t>
      </w:r>
      <w:r w:rsidRPr="00CE0885">
        <w:rPr>
          <w:spacing w:val="-3"/>
        </w:rPr>
        <w:t xml:space="preserve"> </w:t>
      </w:r>
      <w:r w:rsidRPr="00CE0885">
        <w:t>contracts</w:t>
      </w:r>
      <w:r w:rsidRPr="00CE0885">
        <w:rPr>
          <w:spacing w:val="-13"/>
        </w:rPr>
        <w:t xml:space="preserve"> </w:t>
      </w:r>
      <w:r w:rsidRPr="00CE0885">
        <w:rPr>
          <w:spacing w:val="-1"/>
        </w:rPr>
        <w:t>a</w:t>
      </w:r>
      <w:r w:rsidRPr="00CE0885">
        <w:t>nd</w:t>
      </w:r>
      <w:r w:rsidRPr="00CE0885">
        <w:rPr>
          <w:spacing w:val="-2"/>
        </w:rPr>
        <w:t xml:space="preserve"> </w:t>
      </w:r>
      <w:r w:rsidRPr="00CE0885">
        <w:rPr>
          <w:spacing w:val="-3"/>
        </w:rPr>
        <w:t>i</w:t>
      </w:r>
      <w:r w:rsidRPr="00CE0885">
        <w:t>nclu</w:t>
      </w:r>
      <w:r w:rsidRPr="00CE0885">
        <w:rPr>
          <w:spacing w:val="-1"/>
        </w:rPr>
        <w:t>d</w:t>
      </w:r>
      <w:r w:rsidRPr="00CE0885">
        <w:t>ing</w:t>
      </w:r>
      <w:r w:rsidRPr="00CE0885">
        <w:rPr>
          <w:spacing w:val="-10"/>
        </w:rPr>
        <w:t xml:space="preserve"> </w:t>
      </w:r>
      <w:r w:rsidRPr="00CE0885">
        <w:t>the</w:t>
      </w:r>
      <w:r w:rsidRPr="00CE0885">
        <w:rPr>
          <w:spacing w:val="-1"/>
        </w:rPr>
        <w:t xml:space="preserve"> r</w:t>
      </w:r>
      <w:r w:rsidRPr="00CE0885">
        <w:t>ele</w:t>
      </w:r>
      <w:r w:rsidRPr="00CE0885">
        <w:rPr>
          <w:spacing w:val="-2"/>
        </w:rPr>
        <w:t>v</w:t>
      </w:r>
      <w:r w:rsidRPr="00CE0885">
        <w:t>ant</w:t>
      </w:r>
      <w:r w:rsidRPr="00CE0885">
        <w:rPr>
          <w:spacing w:val="-10"/>
        </w:rPr>
        <w:t xml:space="preserve"> </w:t>
      </w:r>
      <w:r w:rsidRPr="00CE0885">
        <w:t>pa</w:t>
      </w:r>
      <w:r w:rsidRPr="00CE0885">
        <w:rPr>
          <w:spacing w:val="-1"/>
        </w:rPr>
        <w:t>g</w:t>
      </w:r>
      <w:r w:rsidRPr="00CE0885">
        <w:t>es</w:t>
      </w:r>
      <w:r w:rsidRPr="00CE0885">
        <w:rPr>
          <w:spacing w:val="-9"/>
        </w:rPr>
        <w:t xml:space="preserve"> </w:t>
      </w:r>
      <w:r w:rsidRPr="00CE0885">
        <w:rPr>
          <w:spacing w:val="-1"/>
        </w:rPr>
        <w:t>o</w:t>
      </w:r>
      <w:r w:rsidRPr="00CE0885">
        <w:t>f t</w:t>
      </w:r>
      <w:r w:rsidRPr="00CE0885">
        <w:rPr>
          <w:spacing w:val="-1"/>
        </w:rPr>
        <w:t>h</w:t>
      </w:r>
      <w:r w:rsidRPr="00CE0885">
        <w:t>e</w:t>
      </w:r>
      <w:r w:rsidRPr="00CE0885">
        <w:rPr>
          <w:spacing w:val="-1"/>
        </w:rPr>
        <w:t xml:space="preserve"> d</w:t>
      </w:r>
      <w:r w:rsidRPr="00CE0885">
        <w:t>oc</w:t>
      </w:r>
      <w:r w:rsidRPr="00CE0885">
        <w:rPr>
          <w:spacing w:val="-1"/>
        </w:rPr>
        <w:t>u</w:t>
      </w:r>
      <w:r w:rsidRPr="00CE0885">
        <w:rPr>
          <w:spacing w:val="2"/>
        </w:rPr>
        <w:t>m</w:t>
      </w:r>
      <w:r w:rsidRPr="00CE0885">
        <w:rPr>
          <w:spacing w:val="-1"/>
        </w:rPr>
        <w:t>e</w:t>
      </w:r>
      <w:r w:rsidRPr="00CE0885">
        <w:t>nt</w:t>
      </w:r>
      <w:r w:rsidRPr="00CE0885">
        <w:rPr>
          <w:spacing w:val="-12"/>
        </w:rPr>
        <w:t xml:space="preserve"> </w:t>
      </w:r>
      <w:r w:rsidRPr="00CE0885">
        <w:t>for co</w:t>
      </w:r>
      <w:r w:rsidRPr="00CE0885">
        <w:rPr>
          <w:spacing w:val="2"/>
        </w:rPr>
        <w:t>m</w:t>
      </w:r>
      <w:r w:rsidRPr="00CE0885">
        <w:t>p</w:t>
      </w:r>
      <w:r w:rsidRPr="00CE0885">
        <w:rPr>
          <w:spacing w:val="-3"/>
        </w:rPr>
        <w:t>l</w:t>
      </w:r>
      <w:r w:rsidRPr="00CE0885">
        <w:t>et</w:t>
      </w:r>
      <w:r w:rsidRPr="00CE0885">
        <w:rPr>
          <w:spacing w:val="-1"/>
        </w:rPr>
        <w:t>e</w:t>
      </w:r>
      <w:r w:rsidRPr="00CE0885">
        <w:t>ness.</w:t>
      </w:r>
      <w:bookmarkEnd w:id="600"/>
    </w:p>
    <w:p w14:paraId="7C561FE4" w14:textId="35F7A7E8" w:rsidR="00977693" w:rsidRPr="00CE0885" w:rsidRDefault="00977693" w:rsidP="006B781A">
      <w:pPr>
        <w:pStyle w:val="Heading4"/>
      </w:pPr>
      <w:bookmarkStart w:id="601" w:name="_Toc440981720"/>
      <w:r w:rsidRPr="00CE0885">
        <w:t>all</w:t>
      </w:r>
      <w:r w:rsidRPr="00CE0885">
        <w:rPr>
          <w:spacing w:val="-3"/>
        </w:rPr>
        <w:t xml:space="preserve"> </w:t>
      </w:r>
      <w:r w:rsidRPr="00CE0885">
        <w:t>elect</w:t>
      </w:r>
      <w:r w:rsidRPr="00CE0885">
        <w:rPr>
          <w:spacing w:val="-1"/>
        </w:rPr>
        <w:t>r</w:t>
      </w:r>
      <w:r w:rsidRPr="00CE0885">
        <w:t>onically</w:t>
      </w:r>
      <w:r w:rsidRPr="00CE0885">
        <w:rPr>
          <w:spacing w:val="-16"/>
        </w:rPr>
        <w:t xml:space="preserve"> </w:t>
      </w:r>
      <w:r w:rsidRPr="00CE0885">
        <w:t>held</w:t>
      </w:r>
      <w:r w:rsidRPr="00CE0885">
        <w:rPr>
          <w:spacing w:val="-3"/>
        </w:rPr>
        <w:t xml:space="preserve"> </w:t>
      </w:r>
      <w:r w:rsidRPr="00CE0885">
        <w:rPr>
          <w:spacing w:val="-2"/>
        </w:rPr>
        <w:t>c</w:t>
      </w:r>
      <w:r w:rsidRPr="00CE0885">
        <w:t>ont</w:t>
      </w:r>
      <w:r w:rsidRPr="00CE0885">
        <w:rPr>
          <w:spacing w:val="-1"/>
        </w:rPr>
        <w:t>r</w:t>
      </w:r>
      <w:r w:rsidRPr="00CE0885">
        <w:t>acts</w:t>
      </w:r>
      <w:r w:rsidRPr="00CE0885">
        <w:rPr>
          <w:spacing w:val="-10"/>
        </w:rPr>
        <w:t xml:space="preserve"> </w:t>
      </w:r>
      <w:r w:rsidRPr="00CE0885">
        <w:rPr>
          <w:spacing w:val="-2"/>
        </w:rPr>
        <w:t>s</w:t>
      </w:r>
      <w:r w:rsidRPr="00CE0885">
        <w:t>h</w:t>
      </w:r>
      <w:r w:rsidRPr="00CE0885">
        <w:rPr>
          <w:spacing w:val="-1"/>
        </w:rPr>
        <w:t>o</w:t>
      </w:r>
      <w:r w:rsidRPr="00CE0885">
        <w:t>uld</w:t>
      </w:r>
      <w:r w:rsidRPr="00CE0885">
        <w:rPr>
          <w:spacing w:val="-5"/>
        </w:rPr>
        <w:t xml:space="preserve"> </w:t>
      </w:r>
      <w:r w:rsidRPr="00CE0885">
        <w:rPr>
          <w:spacing w:val="-1"/>
        </w:rPr>
        <w:t>b</w:t>
      </w:r>
      <w:r w:rsidRPr="00CE0885">
        <w:t>e</w:t>
      </w:r>
      <w:r w:rsidRPr="00CE0885">
        <w:rPr>
          <w:spacing w:val="-1"/>
        </w:rPr>
        <w:t xml:space="preserve"> u</w:t>
      </w:r>
      <w:r w:rsidRPr="00CE0885">
        <w:t>p</w:t>
      </w:r>
      <w:r w:rsidRPr="00CE0885">
        <w:rPr>
          <w:spacing w:val="-1"/>
        </w:rPr>
        <w:t>d</w:t>
      </w:r>
      <w:r w:rsidRPr="00CE0885">
        <w:t>ated</w:t>
      </w:r>
      <w:r w:rsidRPr="00CE0885">
        <w:rPr>
          <w:spacing w:val="-10"/>
        </w:rPr>
        <w:t xml:space="preserve"> </w:t>
      </w:r>
      <w:r w:rsidRPr="00CE0885">
        <w:rPr>
          <w:spacing w:val="-3"/>
        </w:rPr>
        <w:t>w</w:t>
      </w:r>
      <w:r w:rsidRPr="00CE0885">
        <w:t>ith</w:t>
      </w:r>
      <w:r w:rsidRPr="00CE0885">
        <w:rPr>
          <w:spacing w:val="-2"/>
        </w:rPr>
        <w:t xml:space="preserve"> </w:t>
      </w:r>
      <w:r w:rsidRPr="00CE0885">
        <w:t xml:space="preserve">the </w:t>
      </w:r>
      <w:r w:rsidRPr="00CE0885">
        <w:rPr>
          <w:spacing w:val="-2"/>
        </w:rPr>
        <w:t>v</w:t>
      </w:r>
      <w:r w:rsidRPr="00CE0885">
        <w:t>a</w:t>
      </w:r>
      <w:r w:rsidRPr="00CE0885">
        <w:rPr>
          <w:spacing w:val="-1"/>
        </w:rPr>
        <w:t>r</w:t>
      </w:r>
      <w:r w:rsidRPr="00CE0885">
        <w:t>iations</w:t>
      </w:r>
      <w:r w:rsidRPr="00CE0885">
        <w:rPr>
          <w:spacing w:val="-10"/>
        </w:rPr>
        <w:t xml:space="preserve"> </w:t>
      </w:r>
      <w:r w:rsidRPr="00CE0885">
        <w:t>at</w:t>
      </w:r>
      <w:r w:rsidRPr="00CE0885">
        <w:rPr>
          <w:spacing w:val="-1"/>
        </w:rPr>
        <w:t xml:space="preserve"> </w:t>
      </w:r>
      <w:r w:rsidRPr="00CE0885">
        <w:rPr>
          <w:spacing w:val="-2"/>
        </w:rPr>
        <w:t>t</w:t>
      </w:r>
      <w:r w:rsidRPr="00CE0885">
        <w:t>his</w:t>
      </w:r>
      <w:r w:rsidRPr="00CE0885">
        <w:rPr>
          <w:spacing w:val="-4"/>
        </w:rPr>
        <w:t xml:space="preserve"> </w:t>
      </w:r>
      <w:r w:rsidRPr="00CE0885">
        <w:t>sta</w:t>
      </w:r>
      <w:r w:rsidRPr="00CE0885">
        <w:rPr>
          <w:spacing w:val="-1"/>
        </w:rPr>
        <w:t>g</w:t>
      </w:r>
      <w:r w:rsidRPr="00CE0885">
        <w:t>e</w:t>
      </w:r>
      <w:r w:rsidRPr="00CE0885">
        <w:rPr>
          <w:spacing w:val="-7"/>
        </w:rPr>
        <w:t xml:space="preserve"> </w:t>
      </w:r>
      <w:r w:rsidRPr="00CE0885">
        <w:t xml:space="preserve">to </w:t>
      </w:r>
      <w:r w:rsidRPr="00CE0885">
        <w:rPr>
          <w:spacing w:val="-1"/>
        </w:rPr>
        <w:t>e</w:t>
      </w:r>
      <w:r w:rsidRPr="00CE0885">
        <w:t>nsu</w:t>
      </w:r>
      <w:r w:rsidRPr="00CE0885">
        <w:rPr>
          <w:spacing w:val="-1"/>
        </w:rPr>
        <w:t>r</w:t>
      </w:r>
      <w:r w:rsidRPr="00CE0885">
        <w:t>e</w:t>
      </w:r>
      <w:r w:rsidRPr="00CE0885">
        <w:rPr>
          <w:spacing w:val="-5"/>
        </w:rPr>
        <w:t xml:space="preserve"> </w:t>
      </w:r>
      <w:r w:rsidRPr="00CE0885">
        <w:rPr>
          <w:spacing w:val="-2"/>
        </w:rPr>
        <w:t>t</w:t>
      </w:r>
      <w:r w:rsidRPr="00CE0885">
        <w:t>hat</w:t>
      </w:r>
      <w:r w:rsidRPr="00CE0885">
        <w:rPr>
          <w:spacing w:val="-5"/>
        </w:rPr>
        <w:t xml:space="preserve"> </w:t>
      </w:r>
      <w:r w:rsidRPr="00CE0885">
        <w:t>t</w:t>
      </w:r>
      <w:r w:rsidRPr="00CE0885">
        <w:rPr>
          <w:spacing w:val="-1"/>
        </w:rPr>
        <w:t>h</w:t>
      </w:r>
      <w:r w:rsidRPr="00CE0885">
        <w:t>e</w:t>
      </w:r>
      <w:r w:rsidRPr="00CE0885">
        <w:rPr>
          <w:spacing w:val="-1"/>
        </w:rPr>
        <w:t xml:space="preserve"> </w:t>
      </w:r>
      <w:r w:rsidRPr="00CE0885">
        <w:t>c</w:t>
      </w:r>
      <w:r w:rsidRPr="00CE0885">
        <w:rPr>
          <w:spacing w:val="-1"/>
        </w:rPr>
        <w:t>e</w:t>
      </w:r>
      <w:r w:rsidRPr="00CE0885">
        <w:t>n</w:t>
      </w:r>
      <w:r w:rsidRPr="00CE0885">
        <w:rPr>
          <w:spacing w:val="-2"/>
        </w:rPr>
        <w:t>t</w:t>
      </w:r>
      <w:r w:rsidRPr="00CE0885">
        <w:rPr>
          <w:spacing w:val="-1"/>
        </w:rPr>
        <w:t>r</w:t>
      </w:r>
      <w:r w:rsidRPr="00CE0885">
        <w:t>ally</w:t>
      </w:r>
      <w:r w:rsidRPr="00CE0885">
        <w:rPr>
          <w:spacing w:val="-11"/>
        </w:rPr>
        <w:t xml:space="preserve"> </w:t>
      </w:r>
      <w:r w:rsidRPr="00CE0885">
        <w:t>held</w:t>
      </w:r>
      <w:r w:rsidRPr="00CE0885">
        <w:rPr>
          <w:spacing w:val="-3"/>
        </w:rPr>
        <w:t xml:space="preserve"> </w:t>
      </w:r>
      <w:r w:rsidRPr="00CE0885">
        <w:t>doc</w:t>
      </w:r>
      <w:r w:rsidRPr="00CE0885">
        <w:rPr>
          <w:spacing w:val="-1"/>
        </w:rPr>
        <w:t>u</w:t>
      </w:r>
      <w:r w:rsidRPr="00CE0885">
        <w:rPr>
          <w:spacing w:val="2"/>
        </w:rPr>
        <w:t>m</w:t>
      </w:r>
      <w:r w:rsidRPr="00CE0885">
        <w:rPr>
          <w:spacing w:val="-1"/>
        </w:rPr>
        <w:t>e</w:t>
      </w:r>
      <w:r w:rsidRPr="00CE0885">
        <w:t xml:space="preserve">nts </w:t>
      </w:r>
      <w:r w:rsidRPr="00CE0885">
        <w:rPr>
          <w:spacing w:val="-1"/>
        </w:rPr>
        <w:t>r</w:t>
      </w:r>
      <w:r w:rsidRPr="00CE0885">
        <w:t>e</w:t>
      </w:r>
      <w:r w:rsidRPr="00CE0885">
        <w:rPr>
          <w:spacing w:val="2"/>
        </w:rPr>
        <w:t>m</w:t>
      </w:r>
      <w:r w:rsidRPr="00CE0885">
        <w:t>ain</w:t>
      </w:r>
      <w:r w:rsidRPr="00CE0885">
        <w:rPr>
          <w:spacing w:val="-8"/>
        </w:rPr>
        <w:t xml:space="preserve"> </w:t>
      </w:r>
      <w:r w:rsidRPr="00CE0885">
        <w:t>up</w:t>
      </w:r>
      <w:r w:rsidRPr="00CE0885">
        <w:rPr>
          <w:spacing w:val="-4"/>
        </w:rPr>
        <w:t xml:space="preserve"> </w:t>
      </w:r>
      <w:r w:rsidRPr="00CE0885">
        <w:t>to</w:t>
      </w:r>
      <w:r w:rsidRPr="00CE0885">
        <w:rPr>
          <w:spacing w:val="-3"/>
        </w:rPr>
        <w:t xml:space="preserve"> </w:t>
      </w:r>
      <w:r w:rsidRPr="00CE0885">
        <w:t>da</w:t>
      </w:r>
      <w:r w:rsidRPr="00CE0885">
        <w:rPr>
          <w:spacing w:val="-2"/>
        </w:rPr>
        <w:t>t</w:t>
      </w:r>
      <w:r w:rsidRPr="00CE0885">
        <w:t>e</w:t>
      </w:r>
      <w:r w:rsidRPr="00CE0885">
        <w:rPr>
          <w:spacing w:val="-3"/>
        </w:rPr>
        <w:t xml:space="preserve"> w</w:t>
      </w:r>
      <w:r w:rsidRPr="00CE0885">
        <w:t>ith</w:t>
      </w:r>
      <w:r w:rsidRPr="00CE0885">
        <w:rPr>
          <w:spacing w:val="-2"/>
        </w:rPr>
        <w:t xml:space="preserve"> </w:t>
      </w:r>
      <w:r w:rsidRPr="00CE0885">
        <w:t>cu</w:t>
      </w:r>
      <w:r w:rsidRPr="00CE0885">
        <w:rPr>
          <w:spacing w:val="-1"/>
        </w:rPr>
        <w:t>rr</w:t>
      </w:r>
      <w:r w:rsidRPr="00CE0885">
        <w:t>ent</w:t>
      </w:r>
      <w:r w:rsidRPr="00CE0885">
        <w:rPr>
          <w:spacing w:val="-6"/>
        </w:rPr>
        <w:t xml:space="preserve"> </w:t>
      </w:r>
      <w:r w:rsidRPr="00CE0885">
        <w:t>le</w:t>
      </w:r>
      <w:r w:rsidRPr="00CE0885">
        <w:rPr>
          <w:spacing w:val="-1"/>
        </w:rPr>
        <w:t>g</w:t>
      </w:r>
      <w:r w:rsidRPr="00CE0885">
        <w:t>islation.</w:t>
      </w:r>
      <w:bookmarkEnd w:id="601"/>
    </w:p>
    <w:p w14:paraId="0F125A1A" w14:textId="2F5575B4" w:rsidR="00977693" w:rsidRDefault="00977693" w:rsidP="006B781A">
      <w:pPr>
        <w:pStyle w:val="Heading4"/>
      </w:pPr>
      <w:bookmarkStart w:id="602" w:name="_Toc440981721"/>
      <w:r w:rsidRPr="00CE0885">
        <w:t>commissioners</w:t>
      </w:r>
      <w:r w:rsidRPr="00CE0885">
        <w:rPr>
          <w:spacing w:val="-4"/>
        </w:rPr>
        <w:t xml:space="preserve"> </w:t>
      </w:r>
      <w:r w:rsidRPr="00CE0885">
        <w:rPr>
          <w:spacing w:val="-2"/>
        </w:rPr>
        <w:t>s</w:t>
      </w:r>
      <w:r w:rsidRPr="00CE0885">
        <w:t>h</w:t>
      </w:r>
      <w:r w:rsidRPr="00CE0885">
        <w:rPr>
          <w:spacing w:val="-1"/>
        </w:rPr>
        <w:t>o</w:t>
      </w:r>
      <w:r w:rsidRPr="00CE0885">
        <w:t>uld</w:t>
      </w:r>
      <w:r w:rsidRPr="00CE0885">
        <w:rPr>
          <w:spacing w:val="-5"/>
        </w:rPr>
        <w:t xml:space="preserve"> </w:t>
      </w:r>
      <w:r w:rsidRPr="00CE0885">
        <w:rPr>
          <w:spacing w:val="-1"/>
        </w:rPr>
        <w:t>r</w:t>
      </w:r>
      <w:r w:rsidRPr="00CE0885">
        <w:t>e</w:t>
      </w:r>
      <w:r w:rsidRPr="00CE0885">
        <w:rPr>
          <w:spacing w:val="-2"/>
        </w:rPr>
        <w:t>t</w:t>
      </w:r>
      <w:r w:rsidRPr="00CE0885">
        <w:t>ain</w:t>
      </w:r>
      <w:r w:rsidRPr="00CE0885">
        <w:rPr>
          <w:spacing w:val="-4"/>
        </w:rPr>
        <w:t xml:space="preserve"> </w:t>
      </w:r>
      <w:r w:rsidRPr="00CE0885">
        <w:t>a</w:t>
      </w:r>
      <w:r w:rsidRPr="00CE0885">
        <w:rPr>
          <w:spacing w:val="-2"/>
        </w:rPr>
        <w:t xml:space="preserve"> </w:t>
      </w:r>
      <w:r w:rsidRPr="00CE0885">
        <w:t>c</w:t>
      </w:r>
      <w:r w:rsidRPr="00CE0885">
        <w:rPr>
          <w:spacing w:val="-1"/>
        </w:rPr>
        <w:t>o</w:t>
      </w:r>
      <w:r w:rsidRPr="00CE0885">
        <w:t>py</w:t>
      </w:r>
      <w:r w:rsidRPr="00CE0885">
        <w:rPr>
          <w:spacing w:val="-7"/>
        </w:rPr>
        <w:t xml:space="preserve"> </w:t>
      </w:r>
      <w:r w:rsidRPr="00CE0885">
        <w:t>of</w:t>
      </w:r>
      <w:r w:rsidRPr="00CE0885">
        <w:rPr>
          <w:spacing w:val="-1"/>
        </w:rPr>
        <w:t xml:space="preserve"> </w:t>
      </w:r>
      <w:r w:rsidRPr="00CE0885">
        <w:t>the</w:t>
      </w:r>
      <w:r w:rsidRPr="00CE0885">
        <w:rPr>
          <w:spacing w:val="-4"/>
        </w:rPr>
        <w:t xml:space="preserve"> </w:t>
      </w:r>
      <w:r w:rsidRPr="00CE0885">
        <w:t>n</w:t>
      </w:r>
      <w:r w:rsidRPr="00CE0885">
        <w:rPr>
          <w:spacing w:val="-1"/>
        </w:rPr>
        <w:t>o</w:t>
      </w:r>
      <w:r w:rsidRPr="00CE0885">
        <w:t>tice</w:t>
      </w:r>
      <w:r w:rsidRPr="00CE0885">
        <w:rPr>
          <w:spacing w:val="-4"/>
        </w:rPr>
        <w:t xml:space="preserve"> </w:t>
      </w:r>
      <w:r w:rsidRPr="00CE0885">
        <w:rPr>
          <w:spacing w:val="-1"/>
        </w:rPr>
        <w:t>o</w:t>
      </w:r>
      <w:r w:rsidRPr="00CE0885">
        <w:t>n</w:t>
      </w:r>
      <w:r w:rsidRPr="00CE0885">
        <w:rPr>
          <w:spacing w:val="-4"/>
        </w:rPr>
        <w:t xml:space="preserve"> </w:t>
      </w:r>
      <w:r w:rsidRPr="00CE0885">
        <w:rPr>
          <w:spacing w:val="3"/>
        </w:rPr>
        <w:t>f</w:t>
      </w:r>
      <w:r w:rsidRPr="00CE0885">
        <w:t>ile</w:t>
      </w:r>
      <w:r w:rsidRPr="00CE0885">
        <w:rPr>
          <w:spacing w:val="-4"/>
        </w:rPr>
        <w:t xml:space="preserve"> </w:t>
      </w:r>
      <w:r w:rsidRPr="00CE0885">
        <w:t>for</w:t>
      </w:r>
      <w:r w:rsidRPr="00CE0885">
        <w:rPr>
          <w:spacing w:val="-3"/>
        </w:rPr>
        <w:t xml:space="preserve"> </w:t>
      </w:r>
      <w:r w:rsidRPr="00CE0885">
        <w:t>c</w:t>
      </w:r>
      <w:r w:rsidRPr="00CE0885">
        <w:rPr>
          <w:spacing w:val="-1"/>
        </w:rPr>
        <w:t>o</w:t>
      </w:r>
      <w:r w:rsidRPr="00CE0885">
        <w:rPr>
          <w:spacing w:val="2"/>
        </w:rPr>
        <w:t>m</w:t>
      </w:r>
      <w:r w:rsidRPr="00CE0885">
        <w:t>ple</w:t>
      </w:r>
      <w:r w:rsidRPr="00CE0885">
        <w:rPr>
          <w:spacing w:val="-2"/>
        </w:rPr>
        <w:t>t</w:t>
      </w:r>
      <w:r w:rsidRPr="00CE0885">
        <w:t>enes</w:t>
      </w:r>
      <w:r w:rsidRPr="00CE0885">
        <w:rPr>
          <w:spacing w:val="-2"/>
        </w:rPr>
        <w:t>s</w:t>
      </w:r>
      <w:r w:rsidRPr="00CE0885">
        <w:t>.</w:t>
      </w:r>
      <w:r w:rsidRPr="00CE0885">
        <w:rPr>
          <w:spacing w:val="1"/>
        </w:rPr>
        <w:t xml:space="preserve"> Ea</w:t>
      </w:r>
      <w:r w:rsidRPr="00CE0885">
        <w:t>ch</w:t>
      </w:r>
      <w:r w:rsidRPr="00CE0885">
        <w:rPr>
          <w:spacing w:val="-3"/>
        </w:rPr>
        <w:t xml:space="preserve"> </w:t>
      </w:r>
      <w:r w:rsidRPr="00CE0885">
        <w:rPr>
          <w:spacing w:val="-2"/>
        </w:rPr>
        <w:t>c</w:t>
      </w:r>
      <w:r w:rsidRPr="00CE0885">
        <w:rPr>
          <w:spacing w:val="1"/>
        </w:rPr>
        <w:t>ont</w:t>
      </w:r>
      <w:r w:rsidRPr="00CE0885">
        <w:rPr>
          <w:spacing w:val="-1"/>
        </w:rPr>
        <w:t>r</w:t>
      </w:r>
      <w:r w:rsidRPr="00CE0885">
        <w:rPr>
          <w:spacing w:val="1"/>
        </w:rPr>
        <w:t>a</w:t>
      </w:r>
      <w:r w:rsidRPr="00CE0885">
        <w:rPr>
          <w:spacing w:val="-2"/>
        </w:rPr>
        <w:t>c</w:t>
      </w:r>
      <w:r w:rsidRPr="00CE0885">
        <w:t>t</w:t>
      </w:r>
      <w:r w:rsidRPr="00CE0885">
        <w:rPr>
          <w:spacing w:val="-10"/>
        </w:rPr>
        <w:t xml:space="preserve"> </w:t>
      </w:r>
      <w:r w:rsidRPr="00CE0885">
        <w:rPr>
          <w:spacing w:val="3"/>
        </w:rPr>
        <w:t>f</w:t>
      </w:r>
      <w:r w:rsidRPr="00CE0885">
        <w:t>ile</w:t>
      </w:r>
      <w:r w:rsidRPr="00CE0885">
        <w:rPr>
          <w:spacing w:val="-1"/>
        </w:rPr>
        <w:t xml:space="preserve"> </w:t>
      </w:r>
      <w:r w:rsidRPr="00CE0885">
        <w:t>s</w:t>
      </w:r>
      <w:r w:rsidRPr="00CE0885">
        <w:rPr>
          <w:spacing w:val="-1"/>
        </w:rPr>
        <w:t>h</w:t>
      </w:r>
      <w:r w:rsidRPr="00CE0885">
        <w:rPr>
          <w:spacing w:val="1"/>
        </w:rPr>
        <w:t>o</w:t>
      </w:r>
      <w:r w:rsidRPr="00CE0885">
        <w:rPr>
          <w:spacing w:val="-1"/>
        </w:rPr>
        <w:t>u</w:t>
      </w:r>
      <w:r w:rsidRPr="00CE0885">
        <w:t>ld</w:t>
      </w:r>
      <w:r w:rsidRPr="00CE0885">
        <w:rPr>
          <w:spacing w:val="-5"/>
        </w:rPr>
        <w:t xml:space="preserve"> </w:t>
      </w:r>
      <w:r w:rsidRPr="00CE0885">
        <w:t>c</w:t>
      </w:r>
      <w:r w:rsidRPr="00CE0885">
        <w:rPr>
          <w:spacing w:val="1"/>
        </w:rPr>
        <w:t>on</w:t>
      </w:r>
      <w:r w:rsidRPr="00CE0885">
        <w:rPr>
          <w:spacing w:val="-2"/>
        </w:rPr>
        <w:t>t</w:t>
      </w:r>
      <w:r w:rsidRPr="00CE0885">
        <w:rPr>
          <w:spacing w:val="1"/>
        </w:rPr>
        <w:t>a</w:t>
      </w:r>
      <w:r w:rsidRPr="00CE0885">
        <w:t>in</w:t>
      </w:r>
      <w:r w:rsidRPr="00CE0885">
        <w:rPr>
          <w:spacing w:val="-6"/>
        </w:rPr>
        <w:t xml:space="preserve"> </w:t>
      </w:r>
      <w:r w:rsidRPr="00CE0885">
        <w:t>a</w:t>
      </w:r>
      <w:r w:rsidRPr="00CE0885">
        <w:rPr>
          <w:spacing w:val="-2"/>
        </w:rPr>
        <w:t xml:space="preserve"> v</w:t>
      </w:r>
      <w:r w:rsidRPr="00CE0885">
        <w:rPr>
          <w:spacing w:val="1"/>
        </w:rPr>
        <w:t>a</w:t>
      </w:r>
      <w:r w:rsidRPr="00CE0885">
        <w:rPr>
          <w:spacing w:val="-1"/>
        </w:rPr>
        <w:t>r</w:t>
      </w:r>
      <w:r w:rsidRPr="00CE0885">
        <w:t>i</w:t>
      </w:r>
      <w:r w:rsidRPr="00CE0885">
        <w:rPr>
          <w:spacing w:val="1"/>
        </w:rPr>
        <w:t>at</w:t>
      </w:r>
      <w:r w:rsidRPr="00CE0885">
        <w:t>i</w:t>
      </w:r>
      <w:r w:rsidRPr="00CE0885">
        <w:rPr>
          <w:spacing w:val="1"/>
        </w:rPr>
        <w:t>o</w:t>
      </w:r>
      <w:r w:rsidRPr="00CE0885">
        <w:t>n</w:t>
      </w:r>
      <w:r w:rsidRPr="00CE0885">
        <w:rPr>
          <w:spacing w:val="-7"/>
        </w:rPr>
        <w:t xml:space="preserve"> </w:t>
      </w:r>
      <w:r w:rsidRPr="00CE0885">
        <w:t>l</w:t>
      </w:r>
      <w:r w:rsidRPr="00CE0885">
        <w:rPr>
          <w:spacing w:val="-1"/>
        </w:rPr>
        <w:t>o</w:t>
      </w:r>
      <w:r w:rsidRPr="00CE0885">
        <w:t>g</w:t>
      </w:r>
      <w:r w:rsidRPr="00CE0885">
        <w:rPr>
          <w:spacing w:val="-4"/>
        </w:rPr>
        <w:t xml:space="preserve"> </w:t>
      </w:r>
      <w:r w:rsidRPr="00CE0885">
        <w:rPr>
          <w:spacing w:val="1"/>
        </w:rPr>
        <w:t>an</w:t>
      </w:r>
      <w:r w:rsidRPr="00CE0885">
        <w:t>d</w:t>
      </w:r>
      <w:r w:rsidRPr="00CE0885">
        <w:rPr>
          <w:spacing w:val="-2"/>
        </w:rPr>
        <w:t xml:space="preserve"> commissioners</w:t>
      </w:r>
      <w:r w:rsidRPr="00CE0885">
        <w:rPr>
          <w:spacing w:val="-4"/>
        </w:rPr>
        <w:t xml:space="preserve"> </w:t>
      </w:r>
      <w:r w:rsidRPr="00CE0885">
        <w:rPr>
          <w:spacing w:val="-2"/>
        </w:rPr>
        <w:t>s</w:t>
      </w:r>
      <w:r w:rsidRPr="00CE0885">
        <w:rPr>
          <w:spacing w:val="1"/>
        </w:rPr>
        <w:t>h</w:t>
      </w:r>
      <w:r w:rsidRPr="00CE0885">
        <w:rPr>
          <w:spacing w:val="-1"/>
        </w:rPr>
        <w:t>o</w:t>
      </w:r>
      <w:r w:rsidRPr="00CE0885">
        <w:rPr>
          <w:spacing w:val="1"/>
        </w:rPr>
        <w:t>u</w:t>
      </w:r>
      <w:r w:rsidRPr="00CE0885">
        <w:t xml:space="preserve">ld </w:t>
      </w:r>
      <w:r w:rsidRPr="00CE0885">
        <w:rPr>
          <w:spacing w:val="1"/>
        </w:rPr>
        <w:t>en</w:t>
      </w:r>
      <w:r w:rsidRPr="00CE0885">
        <w:t>s</w:t>
      </w:r>
      <w:r w:rsidRPr="00CE0885">
        <w:rPr>
          <w:spacing w:val="1"/>
        </w:rPr>
        <w:t>u</w:t>
      </w:r>
      <w:r w:rsidRPr="00CE0885">
        <w:rPr>
          <w:spacing w:val="-1"/>
        </w:rPr>
        <w:t>r</w:t>
      </w:r>
      <w:r w:rsidRPr="00CE0885">
        <w:t>e</w:t>
      </w:r>
      <w:r w:rsidRPr="00CE0885">
        <w:rPr>
          <w:spacing w:val="-8"/>
        </w:rPr>
        <w:t xml:space="preserve"> </w:t>
      </w:r>
      <w:r w:rsidRPr="00CE0885">
        <w:rPr>
          <w:spacing w:val="1"/>
        </w:rPr>
        <w:t>th</w:t>
      </w:r>
      <w:r w:rsidRPr="00CE0885">
        <w:rPr>
          <w:spacing w:val="-1"/>
        </w:rPr>
        <w:t>a</w:t>
      </w:r>
      <w:r w:rsidRPr="00CE0885">
        <w:t>t</w:t>
      </w:r>
      <w:r w:rsidRPr="00CE0885">
        <w:rPr>
          <w:spacing w:val="-3"/>
        </w:rPr>
        <w:t xml:space="preserve"> </w:t>
      </w:r>
      <w:r w:rsidRPr="00CE0885">
        <w:rPr>
          <w:spacing w:val="1"/>
        </w:rPr>
        <w:t>th</w:t>
      </w:r>
      <w:r w:rsidRPr="00CE0885">
        <w:t>is</w:t>
      </w:r>
      <w:r w:rsidRPr="00CE0885">
        <w:rPr>
          <w:spacing w:val="-4"/>
        </w:rPr>
        <w:t xml:space="preserve"> </w:t>
      </w:r>
      <w:r w:rsidRPr="00CE0885">
        <w:t>is</w:t>
      </w:r>
      <w:r w:rsidRPr="00CE0885">
        <w:rPr>
          <w:spacing w:val="-4"/>
        </w:rPr>
        <w:t xml:space="preserve"> </w:t>
      </w:r>
      <w:r w:rsidRPr="00CE0885">
        <w:rPr>
          <w:spacing w:val="1"/>
        </w:rPr>
        <w:t>u</w:t>
      </w:r>
      <w:r w:rsidRPr="00CE0885">
        <w:rPr>
          <w:spacing w:val="-1"/>
        </w:rPr>
        <w:t>pd</w:t>
      </w:r>
      <w:r w:rsidRPr="00CE0885">
        <w:rPr>
          <w:spacing w:val="1"/>
        </w:rPr>
        <w:t>ate</w:t>
      </w:r>
      <w:r w:rsidRPr="00CE0885">
        <w:t>d</w:t>
      </w:r>
      <w:r w:rsidRPr="00CE0885">
        <w:rPr>
          <w:spacing w:val="-10"/>
        </w:rPr>
        <w:t xml:space="preserve"> </w:t>
      </w:r>
      <w:r w:rsidRPr="00CE0885">
        <w:rPr>
          <w:spacing w:val="1"/>
        </w:rPr>
        <w:t>a</w:t>
      </w:r>
      <w:r w:rsidRPr="00CE0885">
        <w:t>cc</w:t>
      </w:r>
      <w:r w:rsidRPr="00CE0885">
        <w:rPr>
          <w:spacing w:val="1"/>
        </w:rPr>
        <w:t>o</w:t>
      </w:r>
      <w:r w:rsidRPr="00CE0885">
        <w:rPr>
          <w:spacing w:val="-1"/>
        </w:rPr>
        <w:t>r</w:t>
      </w:r>
      <w:r w:rsidRPr="00CE0885">
        <w:rPr>
          <w:spacing w:val="1"/>
        </w:rPr>
        <w:t>d</w:t>
      </w:r>
      <w:r w:rsidRPr="00CE0885">
        <w:rPr>
          <w:spacing w:val="-3"/>
        </w:rPr>
        <w:t>i</w:t>
      </w:r>
      <w:r w:rsidRPr="00CE0885">
        <w:rPr>
          <w:spacing w:val="1"/>
        </w:rPr>
        <w:t>n</w:t>
      </w:r>
      <w:r w:rsidRPr="00CE0885">
        <w:rPr>
          <w:spacing w:val="-1"/>
        </w:rPr>
        <w:t>g</w:t>
      </w:r>
      <w:r w:rsidRPr="00CE0885">
        <w:t>l</w:t>
      </w:r>
      <w:r w:rsidRPr="00CE0885">
        <w:rPr>
          <w:spacing w:val="-2"/>
        </w:rPr>
        <w:t>y</w:t>
      </w:r>
      <w:r w:rsidRPr="00CE0885">
        <w:t>.</w:t>
      </w:r>
      <w:bookmarkEnd w:id="602"/>
    </w:p>
    <w:p w14:paraId="3808E470" w14:textId="213B3571" w:rsidR="00671886" w:rsidRDefault="00671886" w:rsidP="00671886">
      <w:pPr>
        <w:rPr>
          <w:lang w:eastAsia="en-GB"/>
        </w:rPr>
      </w:pPr>
    </w:p>
    <w:p w14:paraId="777DF92E" w14:textId="36CD3E57" w:rsidR="00434CAE" w:rsidRDefault="00434CAE" w:rsidP="00671886">
      <w:pPr>
        <w:rPr>
          <w:lang w:eastAsia="en-GB"/>
        </w:rPr>
      </w:pPr>
    </w:p>
    <w:p w14:paraId="7ADD6758" w14:textId="1AD28FB6" w:rsidR="00434CAE" w:rsidRDefault="00434CAE" w:rsidP="00671886">
      <w:pPr>
        <w:rPr>
          <w:lang w:eastAsia="en-GB"/>
        </w:rPr>
      </w:pPr>
    </w:p>
    <w:p w14:paraId="1ADFEC98" w14:textId="1B8454E5" w:rsidR="00434CAE" w:rsidRDefault="00434CAE" w:rsidP="00671886">
      <w:pPr>
        <w:rPr>
          <w:lang w:eastAsia="en-GB"/>
        </w:rPr>
      </w:pPr>
    </w:p>
    <w:p w14:paraId="3EB98838" w14:textId="6EAB9A91" w:rsidR="00434CAE" w:rsidRDefault="00434CAE" w:rsidP="00671886">
      <w:pPr>
        <w:rPr>
          <w:lang w:eastAsia="en-GB"/>
        </w:rPr>
      </w:pPr>
    </w:p>
    <w:p w14:paraId="48559ECB" w14:textId="17B99DCD" w:rsidR="00434CAE" w:rsidRDefault="00434CAE" w:rsidP="00671886">
      <w:pPr>
        <w:rPr>
          <w:lang w:eastAsia="en-GB"/>
        </w:rPr>
      </w:pPr>
    </w:p>
    <w:p w14:paraId="46E782F6" w14:textId="3A97E7C4" w:rsidR="00434CAE" w:rsidRDefault="00434CAE" w:rsidP="00671886">
      <w:pPr>
        <w:rPr>
          <w:lang w:eastAsia="en-GB"/>
        </w:rPr>
      </w:pPr>
    </w:p>
    <w:p w14:paraId="70A32038" w14:textId="3D17F244" w:rsidR="00434CAE" w:rsidRDefault="00434CAE" w:rsidP="00671886">
      <w:pPr>
        <w:rPr>
          <w:lang w:eastAsia="en-GB"/>
        </w:rPr>
      </w:pPr>
    </w:p>
    <w:p w14:paraId="5AB5E029" w14:textId="0E656D59" w:rsidR="00434CAE" w:rsidRDefault="00434CAE" w:rsidP="00671886">
      <w:pPr>
        <w:rPr>
          <w:lang w:eastAsia="en-GB"/>
        </w:rPr>
      </w:pPr>
    </w:p>
    <w:p w14:paraId="6420AAC0" w14:textId="54436329" w:rsidR="00434CAE" w:rsidRDefault="00434CAE" w:rsidP="00671886">
      <w:pPr>
        <w:rPr>
          <w:lang w:eastAsia="en-GB"/>
        </w:rPr>
      </w:pPr>
    </w:p>
    <w:p w14:paraId="38400CD0" w14:textId="77777777" w:rsidR="00434CAE" w:rsidRDefault="00434CAE" w:rsidP="00671886">
      <w:pPr>
        <w:rPr>
          <w:lang w:eastAsia="en-GB"/>
        </w:rPr>
      </w:pPr>
    </w:p>
    <w:p w14:paraId="02D61209" w14:textId="697E891B" w:rsidR="00671886" w:rsidRDefault="00671886" w:rsidP="00671886">
      <w:pPr>
        <w:rPr>
          <w:lang w:eastAsia="en-GB"/>
        </w:rPr>
      </w:pPr>
    </w:p>
    <w:p w14:paraId="7159B21B" w14:textId="77777777" w:rsidR="00977693" w:rsidRPr="00CE0885" w:rsidRDefault="00977693" w:rsidP="00202DD3">
      <w:pPr>
        <w:pStyle w:val="Heading2"/>
        <w:rPr>
          <w:lang w:eastAsia="en-GB"/>
        </w:rPr>
      </w:pPr>
      <w:bookmarkStart w:id="603" w:name="_Toc440981722"/>
      <w:bookmarkStart w:id="604" w:name="_Toc95743448"/>
      <w:r w:rsidRPr="00CE0885">
        <w:rPr>
          <w:lang w:eastAsia="en-GB"/>
        </w:rPr>
        <w:t>Changes to the Contracting Party</w:t>
      </w:r>
      <w:bookmarkEnd w:id="603"/>
      <w:bookmarkEnd w:id="604"/>
    </w:p>
    <w:p w14:paraId="1912B5B7" w14:textId="7B8C3074" w:rsidR="00977693" w:rsidRPr="00CE0885" w:rsidRDefault="00977693" w:rsidP="006B781A">
      <w:pPr>
        <w:pStyle w:val="Heading3"/>
        <w:rPr>
          <w:lang w:eastAsia="en-GB"/>
        </w:rPr>
      </w:pPr>
      <w:bookmarkStart w:id="605" w:name="_Toc440981723"/>
      <w:r w:rsidRPr="00CE0885">
        <w:rPr>
          <w:lang w:eastAsia="en-GB"/>
        </w:rPr>
        <w:t>Changes to the contracting party may be due to:</w:t>
      </w:r>
      <w:bookmarkEnd w:id="605"/>
    </w:p>
    <w:p w14:paraId="7DD1E35A" w14:textId="34E17749" w:rsidR="00977693" w:rsidRPr="006B781A" w:rsidRDefault="00977693" w:rsidP="00FA6A70">
      <w:pPr>
        <w:pStyle w:val="Heading4"/>
      </w:pPr>
      <w:bookmarkStart w:id="606" w:name="_Toc440981724"/>
      <w:r w:rsidRPr="006B781A">
        <w:t>partnership changes;</w:t>
      </w:r>
      <w:bookmarkEnd w:id="606"/>
    </w:p>
    <w:p w14:paraId="780BE489" w14:textId="1B1DFB3F" w:rsidR="00977693" w:rsidRPr="006B781A" w:rsidRDefault="00977693" w:rsidP="00FA6A70">
      <w:pPr>
        <w:pStyle w:val="Heading4"/>
      </w:pPr>
      <w:bookmarkStart w:id="607" w:name="_Toc440981725"/>
      <w:r w:rsidRPr="006B781A">
        <w:t>company changes;</w:t>
      </w:r>
      <w:bookmarkEnd w:id="607"/>
    </w:p>
    <w:p w14:paraId="7B4B4AE3" w14:textId="112BDB56" w:rsidR="00977693" w:rsidRPr="006B781A" w:rsidRDefault="00977693" w:rsidP="00FA6A70">
      <w:pPr>
        <w:pStyle w:val="Heading4"/>
      </w:pPr>
      <w:bookmarkStart w:id="608" w:name="_Toc440981726"/>
      <w:r w:rsidRPr="006B781A">
        <w:t>retirement (including 24-hour retirement);</w:t>
      </w:r>
      <w:bookmarkEnd w:id="608"/>
      <w:r w:rsidRPr="006B781A">
        <w:t xml:space="preserve"> </w:t>
      </w:r>
    </w:p>
    <w:p w14:paraId="1284CEB1" w14:textId="79BD23EF" w:rsidR="00977693" w:rsidRPr="006B781A" w:rsidRDefault="00977693" w:rsidP="00FA6A70">
      <w:pPr>
        <w:pStyle w:val="Heading4"/>
      </w:pPr>
      <w:bookmarkStart w:id="609" w:name="_Toc440981727"/>
      <w:r w:rsidRPr="006B781A">
        <w:t>novations, mergers and splits; and/or</w:t>
      </w:r>
      <w:bookmarkEnd w:id="609"/>
    </w:p>
    <w:p w14:paraId="0BFA2941" w14:textId="77777777" w:rsidR="00977693" w:rsidRPr="006B781A" w:rsidRDefault="00977693" w:rsidP="00FA6A70">
      <w:pPr>
        <w:pStyle w:val="Heading4"/>
      </w:pPr>
      <w:bookmarkStart w:id="610" w:name="_Toc440981728"/>
      <w:r w:rsidRPr="006B781A">
        <w:t>death of a contractor</w:t>
      </w:r>
    </w:p>
    <w:p w14:paraId="170D6AFF" w14:textId="06052A30" w:rsidR="00977693" w:rsidRPr="006B781A" w:rsidRDefault="00977693" w:rsidP="00FA6A70">
      <w:pPr>
        <w:pStyle w:val="Heading4"/>
      </w:pPr>
      <w:r w:rsidRPr="006B781A">
        <w:t>Joining an MCP or PACS</w:t>
      </w:r>
      <w:bookmarkEnd w:id="610"/>
    </w:p>
    <w:p w14:paraId="78CE7DF1" w14:textId="376B58AA" w:rsidR="00977693" w:rsidRPr="00CE0885" w:rsidRDefault="00977693" w:rsidP="006B781A">
      <w:pPr>
        <w:pStyle w:val="Heading3"/>
        <w:rPr>
          <w:lang w:eastAsia="en-GB"/>
        </w:rPr>
      </w:pPr>
      <w:bookmarkStart w:id="611" w:name="_Toc440981729"/>
      <w:r w:rsidRPr="00CE0885">
        <w:rPr>
          <w:lang w:eastAsia="en-GB"/>
        </w:rPr>
        <w:t xml:space="preserve">There are specific processes to follow on the death of a contractor. Please refer to </w:t>
      </w:r>
      <w:r w:rsidR="00965C81">
        <w:rPr>
          <w:lang w:eastAsia="en-GB"/>
        </w:rPr>
        <w:t>the chapter on</w:t>
      </w:r>
      <w:r w:rsidRPr="00CE0885">
        <w:rPr>
          <w:lang w:eastAsia="en-GB"/>
        </w:rPr>
        <w:t xml:space="preserve"> the death of a contractor for further information.</w:t>
      </w:r>
      <w:bookmarkEnd w:id="611"/>
      <w:r w:rsidRPr="00CE0885">
        <w:rPr>
          <w:lang w:eastAsia="en-GB"/>
        </w:rPr>
        <w:t xml:space="preserve"> </w:t>
      </w:r>
    </w:p>
    <w:p w14:paraId="24C2876E" w14:textId="52A2AD67" w:rsidR="00977693" w:rsidRPr="00CE0885" w:rsidRDefault="00977693" w:rsidP="006B781A">
      <w:pPr>
        <w:pStyle w:val="Heading3"/>
        <w:rPr>
          <w:lang w:eastAsia="en-GB"/>
        </w:rPr>
      </w:pPr>
      <w:bookmarkStart w:id="612" w:name="_Toc440981730"/>
      <w:r w:rsidRPr="00CE0885">
        <w:rPr>
          <w:lang w:eastAsia="en-GB"/>
        </w:rPr>
        <w:t>The GMS and PMS Regulations and the APMS Directions contain provisions relating to the remaining scenarios listed above which are considered in more detail below.</w:t>
      </w:r>
      <w:bookmarkEnd w:id="612"/>
    </w:p>
    <w:p w14:paraId="55D24A9F" w14:textId="77777777" w:rsidR="00977693" w:rsidRPr="009055A7" w:rsidRDefault="00977693" w:rsidP="00977693">
      <w:pPr>
        <w:widowControl w:val="0"/>
        <w:spacing w:line="360" w:lineRule="auto"/>
        <w:ind w:left="1414" w:right="-2"/>
        <w:jc w:val="both"/>
        <w:rPr>
          <w:rFonts w:cs="Arial"/>
          <w:bCs w:val="0"/>
          <w:sz w:val="20"/>
          <w:szCs w:val="20"/>
          <w:lang w:eastAsia="en-GB"/>
        </w:rPr>
      </w:pPr>
    </w:p>
    <w:p w14:paraId="7F85906C" w14:textId="77777777" w:rsidR="00977693" w:rsidRPr="00CE5A3A" w:rsidRDefault="00977693" w:rsidP="00CE5A3A">
      <w:pPr>
        <w:pStyle w:val="Heading2"/>
      </w:pPr>
      <w:bookmarkStart w:id="613" w:name="_Toc440981731"/>
      <w:bookmarkStart w:id="614" w:name="_Toc95743449"/>
      <w:r w:rsidRPr="00CE5A3A">
        <w:t>Partnership Changes</w:t>
      </w:r>
      <w:bookmarkEnd w:id="613"/>
      <w:bookmarkEnd w:id="614"/>
    </w:p>
    <w:p w14:paraId="42027732" w14:textId="18EA47F6" w:rsidR="00977693" w:rsidRPr="00CE0885" w:rsidRDefault="00977693" w:rsidP="006B781A">
      <w:pPr>
        <w:pStyle w:val="Heading3"/>
        <w:rPr>
          <w:lang w:eastAsia="en-GB"/>
        </w:rPr>
      </w:pPr>
      <w:bookmarkStart w:id="615" w:name="_Toc440981732"/>
      <w:r w:rsidRPr="00CE0885">
        <w:rPr>
          <w:lang w:eastAsia="en-GB"/>
        </w:rPr>
        <w:t>C</w:t>
      </w:r>
      <w:r w:rsidRPr="00CE0885">
        <w:rPr>
          <w:spacing w:val="1"/>
          <w:lang w:eastAsia="en-GB"/>
        </w:rPr>
        <w:t>han</w:t>
      </w:r>
      <w:r w:rsidRPr="00CE0885">
        <w:rPr>
          <w:spacing w:val="-1"/>
          <w:lang w:eastAsia="en-GB"/>
        </w:rPr>
        <w:t>g</w:t>
      </w:r>
      <w:r w:rsidRPr="00CE0885">
        <w:rPr>
          <w:spacing w:val="1"/>
          <w:lang w:eastAsia="en-GB"/>
        </w:rPr>
        <w:t>e</w:t>
      </w:r>
      <w:r w:rsidRPr="00CE0885">
        <w:rPr>
          <w:lang w:eastAsia="en-GB"/>
        </w:rPr>
        <w:t>s</w:t>
      </w:r>
      <w:r w:rsidRPr="00CE0885">
        <w:rPr>
          <w:spacing w:val="-10"/>
          <w:lang w:eastAsia="en-GB"/>
        </w:rPr>
        <w:t xml:space="preserve"> </w:t>
      </w:r>
      <w:r w:rsidRPr="00CE0885">
        <w:rPr>
          <w:spacing w:val="1"/>
          <w:lang w:eastAsia="en-GB"/>
        </w:rPr>
        <w:t>t</w:t>
      </w:r>
      <w:r w:rsidRPr="00CE0885">
        <w:rPr>
          <w:lang w:eastAsia="en-GB"/>
        </w:rPr>
        <w:t>o</w:t>
      </w:r>
      <w:r w:rsidRPr="00CE0885">
        <w:rPr>
          <w:spacing w:val="-3"/>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spacing w:val="2"/>
          <w:lang w:eastAsia="en-GB"/>
        </w:rPr>
        <w:t>m</w:t>
      </w:r>
      <w:r w:rsidRPr="00CE0885">
        <w:rPr>
          <w:spacing w:val="-1"/>
          <w:lang w:eastAsia="en-GB"/>
        </w:rPr>
        <w:t>po</w:t>
      </w:r>
      <w:r w:rsidRPr="00CE0885">
        <w:rPr>
          <w:lang w:eastAsia="en-GB"/>
        </w:rPr>
        <w:t>si</w:t>
      </w:r>
      <w:r w:rsidRPr="00CE0885">
        <w:rPr>
          <w:spacing w:val="1"/>
          <w:lang w:eastAsia="en-GB"/>
        </w:rPr>
        <w:t>t</w:t>
      </w:r>
      <w:r w:rsidRPr="00CE0885">
        <w:rPr>
          <w:lang w:eastAsia="en-GB"/>
        </w:rPr>
        <w:t>i</w:t>
      </w:r>
      <w:r w:rsidRPr="00CE0885">
        <w:rPr>
          <w:spacing w:val="1"/>
          <w:lang w:eastAsia="en-GB"/>
        </w:rPr>
        <w:t>o</w:t>
      </w:r>
      <w:r w:rsidRPr="00CE0885">
        <w:rPr>
          <w:lang w:eastAsia="en-GB"/>
        </w:rPr>
        <w:t>n</w:t>
      </w:r>
      <w:r w:rsidRPr="00CE0885">
        <w:rPr>
          <w:spacing w:val="-11"/>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a</w:t>
      </w:r>
      <w:r w:rsidRPr="00CE0885">
        <w:rPr>
          <w:spacing w:val="-2"/>
          <w:lang w:eastAsia="en-GB"/>
        </w:rPr>
        <w:t xml:space="preserve"> </w:t>
      </w:r>
      <w:r w:rsidRPr="00CE0885">
        <w:rPr>
          <w:spacing w:val="1"/>
          <w:lang w:eastAsia="en-GB"/>
        </w:rPr>
        <w:t>pa</w:t>
      </w:r>
      <w:r w:rsidRPr="00CE0885">
        <w:rPr>
          <w:spacing w:val="-1"/>
          <w:lang w:eastAsia="en-GB"/>
        </w:rPr>
        <w:t>r</w:t>
      </w:r>
      <w:r w:rsidRPr="00CE0885">
        <w:rPr>
          <w:spacing w:val="1"/>
          <w:lang w:eastAsia="en-GB"/>
        </w:rPr>
        <w:t>t</w:t>
      </w:r>
      <w:r w:rsidRPr="00CE0885">
        <w:rPr>
          <w:spacing w:val="-1"/>
          <w:lang w:eastAsia="en-GB"/>
        </w:rPr>
        <w:t>n</w:t>
      </w:r>
      <w:r w:rsidRPr="00CE0885">
        <w:rPr>
          <w:spacing w:val="1"/>
          <w:lang w:eastAsia="en-GB"/>
        </w:rPr>
        <w:t>e</w:t>
      </w:r>
      <w:r w:rsidRPr="00CE0885">
        <w:rPr>
          <w:spacing w:val="-1"/>
          <w:lang w:eastAsia="en-GB"/>
        </w:rPr>
        <w:t>r</w:t>
      </w:r>
      <w:r w:rsidRPr="00CE0885">
        <w:rPr>
          <w:lang w:eastAsia="en-GB"/>
        </w:rPr>
        <w:t>s</w:t>
      </w:r>
      <w:r w:rsidRPr="00CE0885">
        <w:rPr>
          <w:spacing w:val="1"/>
          <w:lang w:eastAsia="en-GB"/>
        </w:rPr>
        <w:t>h</w:t>
      </w:r>
      <w:r w:rsidRPr="00CE0885">
        <w:rPr>
          <w:lang w:eastAsia="en-GB"/>
        </w:rPr>
        <w:t>ip will require variation to the contract and</w:t>
      </w:r>
      <w:r w:rsidRPr="00CE0885">
        <w:rPr>
          <w:spacing w:val="-13"/>
          <w:lang w:eastAsia="en-GB"/>
        </w:rPr>
        <w:t xml:space="preserve"> </w:t>
      </w:r>
      <w:r w:rsidRPr="00CE0885">
        <w:rPr>
          <w:spacing w:val="2"/>
          <w:lang w:eastAsia="en-GB"/>
        </w:rPr>
        <w:t>m</w:t>
      </w:r>
      <w:r w:rsidRPr="00CE0885">
        <w:rPr>
          <w:spacing w:val="1"/>
          <w:lang w:eastAsia="en-GB"/>
        </w:rPr>
        <w:t>a</w:t>
      </w:r>
      <w:r w:rsidRPr="00CE0885">
        <w:rPr>
          <w:lang w:eastAsia="en-GB"/>
        </w:rPr>
        <w:t>y</w:t>
      </w:r>
      <w:r w:rsidRPr="00CE0885">
        <w:rPr>
          <w:spacing w:val="-7"/>
          <w:lang w:eastAsia="en-GB"/>
        </w:rPr>
        <w:t xml:space="preserve"> </w:t>
      </w:r>
      <w:r w:rsidRPr="00CE0885">
        <w:rPr>
          <w:spacing w:val="-1"/>
          <w:lang w:eastAsia="en-GB"/>
        </w:rPr>
        <w:t>r</w:t>
      </w:r>
      <w:r w:rsidRPr="00CE0885">
        <w:rPr>
          <w:spacing w:val="1"/>
          <w:lang w:eastAsia="en-GB"/>
        </w:rPr>
        <w:t>e</w:t>
      </w:r>
      <w:r w:rsidRPr="00CE0885">
        <w:rPr>
          <w:spacing w:val="-1"/>
          <w:lang w:eastAsia="en-GB"/>
        </w:rPr>
        <w:t>q</w:t>
      </w:r>
      <w:r w:rsidRPr="00CE0885">
        <w:rPr>
          <w:spacing w:val="1"/>
          <w:lang w:eastAsia="en-GB"/>
        </w:rPr>
        <w:t>u</w:t>
      </w:r>
      <w:r w:rsidRPr="00CE0885">
        <w:rPr>
          <w:lang w:eastAsia="en-GB"/>
        </w:rPr>
        <w:t>i</w:t>
      </w:r>
      <w:r w:rsidRPr="00CE0885">
        <w:rPr>
          <w:spacing w:val="-1"/>
          <w:lang w:eastAsia="en-GB"/>
        </w:rPr>
        <w:t>r</w:t>
      </w:r>
      <w:r w:rsidRPr="00CE0885">
        <w:rPr>
          <w:lang w:eastAsia="en-GB"/>
        </w:rPr>
        <w:t>e</w:t>
      </w:r>
      <w:r w:rsidRPr="00CE0885">
        <w:rPr>
          <w:spacing w:val="-5"/>
          <w:lang w:eastAsia="en-GB"/>
        </w:rPr>
        <w:t xml:space="preserve"> </w:t>
      </w:r>
      <w:r w:rsidRPr="00CE0885">
        <w:rPr>
          <w:lang w:eastAsia="en-GB"/>
        </w:rPr>
        <w:t>a</w:t>
      </w:r>
      <w:r w:rsidRPr="00CE0885">
        <w:rPr>
          <w:spacing w:val="1"/>
          <w:lang w:eastAsia="en-GB"/>
        </w:rPr>
        <w:t xml:space="preserve"> </w:t>
      </w:r>
      <w:r w:rsidRPr="00CE0885">
        <w:rPr>
          <w:spacing w:val="-2"/>
          <w:lang w:eastAsia="en-GB"/>
        </w:rPr>
        <w:t>v</w:t>
      </w:r>
      <w:r w:rsidRPr="00CE0885">
        <w:rPr>
          <w:spacing w:val="1"/>
          <w:lang w:eastAsia="en-GB"/>
        </w:rPr>
        <w:t>a</w:t>
      </w:r>
      <w:r w:rsidRPr="00CE0885">
        <w:rPr>
          <w:spacing w:val="-1"/>
          <w:lang w:eastAsia="en-GB"/>
        </w:rPr>
        <w:t>r</w:t>
      </w:r>
      <w:r w:rsidRPr="00CE0885">
        <w:rPr>
          <w:lang w:eastAsia="en-GB"/>
        </w:rPr>
        <w:t>i</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10"/>
          <w:lang w:eastAsia="en-GB"/>
        </w:rPr>
        <w:t xml:space="preserve"> </w:t>
      </w:r>
      <w:r w:rsidRPr="00CE0885">
        <w:rPr>
          <w:spacing w:val="1"/>
          <w:lang w:eastAsia="en-GB"/>
        </w:rPr>
        <w:t>t</w:t>
      </w:r>
      <w:r w:rsidRPr="00CE0885">
        <w:rPr>
          <w:lang w:eastAsia="en-GB"/>
        </w:rPr>
        <w:t xml:space="preserve">o </w:t>
      </w:r>
      <w:r w:rsidRPr="00CE0885">
        <w:rPr>
          <w:spacing w:val="1"/>
          <w:lang w:eastAsia="en-GB"/>
        </w:rPr>
        <w:t>th</w:t>
      </w:r>
      <w:r w:rsidRPr="00CE0885">
        <w:rPr>
          <w:lang w:eastAsia="en-GB"/>
        </w:rPr>
        <w:t>e</w:t>
      </w:r>
      <w:r w:rsidRPr="00CE0885">
        <w:rPr>
          <w:spacing w:val="-1"/>
          <w:lang w:eastAsia="en-GB"/>
        </w:rPr>
        <w:t xml:space="preserve"> </w:t>
      </w:r>
      <w:r w:rsidRPr="00CE0885">
        <w:rPr>
          <w:lang w:eastAsia="en-GB"/>
        </w:rPr>
        <w:t>s</w:t>
      </w:r>
      <w:r w:rsidRPr="00CE0885">
        <w:rPr>
          <w:spacing w:val="-2"/>
          <w:lang w:eastAsia="en-GB"/>
        </w:rPr>
        <w:t>t</w:t>
      </w:r>
      <w:r w:rsidRPr="00CE0885">
        <w:rPr>
          <w:spacing w:val="1"/>
          <w:lang w:eastAsia="en-GB"/>
        </w:rPr>
        <w:t>a</w:t>
      </w:r>
      <w:r w:rsidRPr="00CE0885">
        <w:rPr>
          <w:spacing w:val="-1"/>
          <w:lang w:eastAsia="en-GB"/>
        </w:rPr>
        <w:t>n</w:t>
      </w:r>
      <w:r w:rsidRPr="00CE0885">
        <w:rPr>
          <w:spacing w:val="1"/>
          <w:lang w:eastAsia="en-GB"/>
        </w:rPr>
        <w:t>da</w:t>
      </w:r>
      <w:r w:rsidRPr="00CE0885">
        <w:rPr>
          <w:spacing w:val="-1"/>
          <w:lang w:eastAsia="en-GB"/>
        </w:rPr>
        <w:t>r</w:t>
      </w:r>
      <w:r w:rsidRPr="00CE0885">
        <w:rPr>
          <w:lang w:eastAsia="en-GB"/>
        </w:rPr>
        <w:t>d</w:t>
      </w:r>
      <w:r w:rsidRPr="00CE0885">
        <w:rPr>
          <w:spacing w:val="-7"/>
          <w:lang w:eastAsia="en-GB"/>
        </w:rPr>
        <w:t xml:space="preserve"> </w:t>
      </w:r>
      <w:r w:rsidRPr="00CE0885">
        <w:rPr>
          <w:spacing w:val="-1"/>
          <w:lang w:eastAsia="en-GB"/>
        </w:rPr>
        <w:t>r</w:t>
      </w:r>
      <w:r w:rsidRPr="00CE0885">
        <w:rPr>
          <w:spacing w:val="1"/>
          <w:lang w:eastAsia="en-GB"/>
        </w:rPr>
        <w:t>e</w:t>
      </w:r>
      <w:r w:rsidRPr="00CE0885">
        <w:rPr>
          <w:spacing w:val="-1"/>
          <w:lang w:eastAsia="en-GB"/>
        </w:rPr>
        <w:t>g</w:t>
      </w:r>
      <w:r w:rsidRPr="00CE0885">
        <w:rPr>
          <w:lang w:eastAsia="en-GB"/>
        </w:rPr>
        <w:t>is</w:t>
      </w:r>
      <w:r w:rsidRPr="00CE0885">
        <w:rPr>
          <w:spacing w:val="1"/>
          <w:lang w:eastAsia="en-GB"/>
        </w:rPr>
        <w:t>t</w:t>
      </w:r>
      <w:r w:rsidRPr="00CE0885">
        <w:rPr>
          <w:spacing w:val="-1"/>
          <w:lang w:eastAsia="en-GB"/>
        </w:rPr>
        <w:t>r</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10"/>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spacing w:val="1"/>
          <w:lang w:eastAsia="en-GB"/>
        </w:rPr>
        <w:t>d</w:t>
      </w:r>
      <w:r w:rsidRPr="00CE0885">
        <w:rPr>
          <w:lang w:eastAsia="en-GB"/>
        </w:rPr>
        <w:t>i</w:t>
      </w:r>
      <w:r w:rsidRPr="00CE0885">
        <w:rPr>
          <w:spacing w:val="1"/>
          <w:lang w:eastAsia="en-GB"/>
        </w:rPr>
        <w:t>t</w:t>
      </w:r>
      <w:r w:rsidRPr="00CE0885">
        <w:rPr>
          <w:lang w:eastAsia="en-GB"/>
        </w:rPr>
        <w:t>i</w:t>
      </w:r>
      <w:r w:rsidRPr="00CE0885">
        <w:rPr>
          <w:spacing w:val="1"/>
          <w:lang w:eastAsia="en-GB"/>
        </w:rPr>
        <w:t>on</w:t>
      </w:r>
      <w:r w:rsidRPr="00CE0885">
        <w:rPr>
          <w:lang w:eastAsia="en-GB"/>
        </w:rPr>
        <w:t>s</w:t>
      </w:r>
      <w:r w:rsidRPr="00CE0885">
        <w:rPr>
          <w:spacing w:val="-11"/>
          <w:lang w:eastAsia="en-GB"/>
        </w:rPr>
        <w:t xml:space="preserve"> </w:t>
      </w:r>
      <w:r w:rsidRPr="00CE0885">
        <w:rPr>
          <w:spacing w:val="-3"/>
          <w:lang w:eastAsia="en-GB"/>
        </w:rPr>
        <w:t>w</w:t>
      </w:r>
      <w:r w:rsidRPr="00CE0885">
        <w:rPr>
          <w:lang w:eastAsia="en-GB"/>
        </w:rPr>
        <w:t>i</w:t>
      </w:r>
      <w:r w:rsidRPr="00CE0885">
        <w:rPr>
          <w:spacing w:val="1"/>
          <w:lang w:eastAsia="en-GB"/>
        </w:rPr>
        <w:t>t</w:t>
      </w:r>
      <w:r w:rsidRPr="00CE0885">
        <w:rPr>
          <w:lang w:eastAsia="en-GB"/>
        </w:rPr>
        <w:t>h</w:t>
      </w:r>
      <w:r w:rsidRPr="00CE0885">
        <w:rPr>
          <w:spacing w:val="-2"/>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Q</w:t>
      </w:r>
      <w:r w:rsidRPr="00CE0885">
        <w:rPr>
          <w:lang w:eastAsia="en-GB"/>
        </w:rPr>
        <w:t>C.</w:t>
      </w:r>
      <w:bookmarkEnd w:id="615"/>
    </w:p>
    <w:p w14:paraId="73A38BA8" w14:textId="5B94325B" w:rsidR="00977693" w:rsidRPr="00CE0885" w:rsidRDefault="00977693" w:rsidP="006B781A">
      <w:pPr>
        <w:pStyle w:val="Heading3"/>
        <w:rPr>
          <w:lang w:eastAsia="en-GB"/>
        </w:rPr>
      </w:pPr>
      <w:bookmarkStart w:id="616" w:name="_Toc440981733"/>
      <w:r w:rsidRPr="00CE0885">
        <w:rPr>
          <w:lang w:eastAsia="en-GB"/>
        </w:rPr>
        <w:t>P</w:t>
      </w:r>
      <w:r w:rsidRPr="00CE0885">
        <w:rPr>
          <w:spacing w:val="-1"/>
          <w:lang w:eastAsia="en-GB"/>
        </w:rPr>
        <w:t>r</w:t>
      </w:r>
      <w:r w:rsidRPr="00CE0885">
        <w:rPr>
          <w:lang w:eastAsia="en-GB"/>
        </w:rPr>
        <w:t>ocu</w:t>
      </w:r>
      <w:r w:rsidRPr="00CE0885">
        <w:rPr>
          <w:spacing w:val="-3"/>
          <w:lang w:eastAsia="en-GB"/>
        </w:rPr>
        <w:t>r</w:t>
      </w:r>
      <w:r w:rsidRPr="00CE0885">
        <w:rPr>
          <w:spacing w:val="-1"/>
          <w:lang w:eastAsia="en-GB"/>
        </w:rPr>
        <w:t>e</w:t>
      </w:r>
      <w:r w:rsidRPr="00CE0885">
        <w:rPr>
          <w:spacing w:val="2"/>
          <w:lang w:eastAsia="en-GB"/>
        </w:rPr>
        <w:t>m</w:t>
      </w:r>
      <w:r w:rsidRPr="00CE0885">
        <w:rPr>
          <w:lang w:eastAsia="en-GB"/>
        </w:rPr>
        <w:t>e</w:t>
      </w:r>
      <w:r w:rsidRPr="00CE0885">
        <w:rPr>
          <w:spacing w:val="-1"/>
          <w:lang w:eastAsia="en-GB"/>
        </w:rPr>
        <w:t>n</w:t>
      </w:r>
      <w:r w:rsidRPr="00CE0885">
        <w:rPr>
          <w:lang w:eastAsia="en-GB"/>
        </w:rPr>
        <w:t>t</w:t>
      </w:r>
      <w:r w:rsidRPr="00CE0885">
        <w:rPr>
          <w:spacing w:val="-12"/>
          <w:lang w:eastAsia="en-GB"/>
        </w:rPr>
        <w:t xml:space="preserve"> </w:t>
      </w:r>
      <w:r w:rsidRPr="00CE0885">
        <w:rPr>
          <w:lang w:eastAsia="en-GB"/>
        </w:rPr>
        <w:t>law</w:t>
      </w:r>
      <w:r w:rsidR="00122DEE">
        <w:rPr>
          <w:lang w:eastAsia="en-GB"/>
        </w:rPr>
        <w:t xml:space="preserve">/Provider Selection Regime </w:t>
      </w:r>
      <w:r w:rsidRPr="00CE0885">
        <w:rPr>
          <w:spacing w:val="2"/>
          <w:lang w:eastAsia="en-GB"/>
        </w:rPr>
        <w:t>m</w:t>
      </w:r>
      <w:r w:rsidRPr="00CE0885">
        <w:rPr>
          <w:lang w:eastAsia="en-GB"/>
        </w:rPr>
        <w:t>ay</w:t>
      </w:r>
      <w:r w:rsidRPr="00CE0885">
        <w:rPr>
          <w:spacing w:val="-7"/>
          <w:lang w:eastAsia="en-GB"/>
        </w:rPr>
        <w:t xml:space="preserve"> </w:t>
      </w:r>
      <w:r w:rsidRPr="00CE0885">
        <w:rPr>
          <w:lang w:eastAsia="en-GB"/>
        </w:rPr>
        <w:t>be</w:t>
      </w:r>
      <w:r w:rsidRPr="00CE0885">
        <w:rPr>
          <w:spacing w:val="-1"/>
          <w:lang w:eastAsia="en-GB"/>
        </w:rPr>
        <w:t xml:space="preserve"> r</w:t>
      </w:r>
      <w:r w:rsidRPr="00CE0885">
        <w:rPr>
          <w:lang w:eastAsia="en-GB"/>
        </w:rPr>
        <w:t>e</w:t>
      </w:r>
      <w:r w:rsidRPr="00CE0885">
        <w:rPr>
          <w:spacing w:val="-3"/>
          <w:lang w:eastAsia="en-GB"/>
        </w:rPr>
        <w:t>l</w:t>
      </w:r>
      <w:r w:rsidRPr="00CE0885">
        <w:rPr>
          <w:lang w:eastAsia="en-GB"/>
        </w:rPr>
        <w:t>e</w:t>
      </w:r>
      <w:r w:rsidRPr="00CE0885">
        <w:rPr>
          <w:spacing w:val="-2"/>
          <w:lang w:eastAsia="en-GB"/>
        </w:rPr>
        <w:t>v</w:t>
      </w:r>
      <w:r w:rsidRPr="00CE0885">
        <w:rPr>
          <w:lang w:eastAsia="en-GB"/>
        </w:rPr>
        <w:t>ant</w:t>
      </w:r>
      <w:r w:rsidRPr="00CE0885">
        <w:rPr>
          <w:spacing w:val="-10"/>
          <w:lang w:eastAsia="en-GB"/>
        </w:rPr>
        <w:t xml:space="preserve"> </w:t>
      </w:r>
      <w:r w:rsidRPr="00CE0885">
        <w:rPr>
          <w:lang w:eastAsia="en-GB"/>
        </w:rPr>
        <w:t>as,</w:t>
      </w:r>
      <w:r w:rsidRPr="00CE0885">
        <w:rPr>
          <w:spacing w:val="-2"/>
          <w:lang w:eastAsia="en-GB"/>
        </w:rPr>
        <w:t xml:space="preserve"> </w:t>
      </w:r>
      <w:r w:rsidRPr="00CE0885">
        <w:rPr>
          <w:lang w:eastAsia="en-GB"/>
        </w:rPr>
        <w:t xml:space="preserve">in </w:t>
      </w:r>
      <w:r w:rsidRPr="00CE0885">
        <w:rPr>
          <w:spacing w:val="-2"/>
          <w:lang w:eastAsia="en-GB"/>
        </w:rPr>
        <w:t>s</w:t>
      </w:r>
      <w:r w:rsidRPr="00CE0885">
        <w:rPr>
          <w:lang w:eastAsia="en-GB"/>
        </w:rPr>
        <w:t>o</w:t>
      </w:r>
      <w:r w:rsidRPr="00CE0885">
        <w:rPr>
          <w:spacing w:val="-1"/>
          <w:lang w:eastAsia="en-GB"/>
        </w:rPr>
        <w:t>m</w:t>
      </w:r>
      <w:r w:rsidRPr="00CE0885">
        <w:rPr>
          <w:lang w:eastAsia="en-GB"/>
        </w:rPr>
        <w:t>e ci</w:t>
      </w:r>
      <w:r w:rsidRPr="00CE0885">
        <w:rPr>
          <w:spacing w:val="-1"/>
          <w:lang w:eastAsia="en-GB"/>
        </w:rPr>
        <w:t>r</w:t>
      </w:r>
      <w:r w:rsidRPr="00CE0885">
        <w:rPr>
          <w:lang w:eastAsia="en-GB"/>
        </w:rPr>
        <w:t>cu</w:t>
      </w:r>
      <w:r w:rsidRPr="00CE0885">
        <w:rPr>
          <w:spacing w:val="2"/>
          <w:lang w:eastAsia="en-GB"/>
        </w:rPr>
        <w:t>m</w:t>
      </w:r>
      <w:r w:rsidRPr="00CE0885">
        <w:rPr>
          <w:lang w:eastAsia="en-GB"/>
        </w:rPr>
        <w:t>st</w:t>
      </w:r>
      <w:r w:rsidRPr="00CE0885">
        <w:rPr>
          <w:spacing w:val="-1"/>
          <w:lang w:eastAsia="en-GB"/>
        </w:rPr>
        <w:t>a</w:t>
      </w:r>
      <w:r w:rsidRPr="00CE0885">
        <w:rPr>
          <w:lang w:eastAsia="en-GB"/>
        </w:rPr>
        <w:t>nces,</w:t>
      </w:r>
      <w:r w:rsidRPr="00CE0885">
        <w:rPr>
          <w:spacing w:val="-17"/>
          <w:lang w:eastAsia="en-GB"/>
        </w:rPr>
        <w:t xml:space="preserve"> </w:t>
      </w:r>
      <w:r w:rsidRPr="00CE0885">
        <w:rPr>
          <w:lang w:eastAsia="en-GB"/>
        </w:rPr>
        <w:t>the</w:t>
      </w:r>
      <w:r w:rsidRPr="00CE0885">
        <w:rPr>
          <w:spacing w:val="-4"/>
          <w:lang w:eastAsia="en-GB"/>
        </w:rPr>
        <w:t xml:space="preserve"> </w:t>
      </w:r>
      <w:r w:rsidRPr="00CE0885">
        <w:rPr>
          <w:lang w:eastAsia="en-GB"/>
        </w:rPr>
        <w:t>a</w:t>
      </w:r>
      <w:r w:rsidRPr="00CE0885">
        <w:rPr>
          <w:spacing w:val="-1"/>
          <w:lang w:eastAsia="en-GB"/>
        </w:rPr>
        <w:t>d</w:t>
      </w:r>
      <w:r w:rsidRPr="00CE0885">
        <w:rPr>
          <w:spacing w:val="2"/>
          <w:lang w:eastAsia="en-GB"/>
        </w:rPr>
        <w:t>m</w:t>
      </w:r>
      <w:r w:rsidRPr="00CE0885">
        <w:rPr>
          <w:lang w:eastAsia="en-GB"/>
        </w:rPr>
        <w:t>itt</w:t>
      </w:r>
      <w:r w:rsidRPr="00CE0885">
        <w:rPr>
          <w:spacing w:val="-1"/>
          <w:lang w:eastAsia="en-GB"/>
        </w:rPr>
        <w:t>a</w:t>
      </w:r>
      <w:r w:rsidRPr="00CE0885">
        <w:rPr>
          <w:lang w:eastAsia="en-GB"/>
        </w:rPr>
        <w:t>nce</w:t>
      </w:r>
      <w:r w:rsidRPr="00CE0885">
        <w:rPr>
          <w:spacing w:val="-13"/>
          <w:lang w:eastAsia="en-GB"/>
        </w:rPr>
        <w:t xml:space="preserve"> </w:t>
      </w:r>
      <w:r w:rsidRPr="00CE0885">
        <w:rPr>
          <w:spacing w:val="-1"/>
          <w:lang w:eastAsia="en-GB"/>
        </w:rPr>
        <w:t>o</w:t>
      </w:r>
      <w:r w:rsidRPr="00CE0885">
        <w:rPr>
          <w:lang w:eastAsia="en-GB"/>
        </w:rPr>
        <w:t>f a</w:t>
      </w:r>
      <w:r w:rsidRPr="00CE0885">
        <w:rPr>
          <w:spacing w:val="-2"/>
          <w:lang w:eastAsia="en-GB"/>
        </w:rPr>
        <w:t xml:space="preserve"> </w:t>
      </w:r>
      <w:r w:rsidRPr="00CE0885">
        <w:rPr>
          <w:lang w:eastAsia="en-GB"/>
        </w:rPr>
        <w:t>new</w:t>
      </w:r>
      <w:r w:rsidRPr="00CE0885">
        <w:rPr>
          <w:spacing w:val="-6"/>
          <w:lang w:eastAsia="en-GB"/>
        </w:rPr>
        <w:t xml:space="preserve"> </w:t>
      </w:r>
      <w:r w:rsidRPr="00CE0885">
        <w:rPr>
          <w:lang w:eastAsia="en-GB"/>
        </w:rPr>
        <w:t>con</w:t>
      </w:r>
      <w:r w:rsidRPr="00CE0885">
        <w:rPr>
          <w:spacing w:val="-2"/>
          <w:lang w:eastAsia="en-GB"/>
        </w:rPr>
        <w:t>t</w:t>
      </w:r>
      <w:r w:rsidRPr="00CE0885">
        <w:rPr>
          <w:spacing w:val="-1"/>
          <w:lang w:eastAsia="en-GB"/>
        </w:rPr>
        <w:t>r</w:t>
      </w:r>
      <w:r w:rsidRPr="00CE0885">
        <w:rPr>
          <w:lang w:eastAsia="en-GB"/>
        </w:rPr>
        <w:t>acting</w:t>
      </w:r>
      <w:r w:rsidRPr="00CE0885">
        <w:rPr>
          <w:spacing w:val="-13"/>
          <w:lang w:eastAsia="en-GB"/>
        </w:rPr>
        <w:t xml:space="preserve"> </w:t>
      </w:r>
      <w:r w:rsidRPr="00CE0885">
        <w:rPr>
          <w:lang w:eastAsia="en-GB"/>
        </w:rPr>
        <w:t>pa</w:t>
      </w:r>
      <w:r w:rsidRPr="00CE0885">
        <w:rPr>
          <w:spacing w:val="-1"/>
          <w:lang w:eastAsia="en-GB"/>
        </w:rPr>
        <w:t>r</w:t>
      </w:r>
      <w:r w:rsidRPr="00CE0885">
        <w:rPr>
          <w:lang w:eastAsia="en-GB"/>
        </w:rPr>
        <w:t>ty</w:t>
      </w:r>
      <w:r w:rsidRPr="00CE0885">
        <w:rPr>
          <w:spacing w:val="-7"/>
          <w:lang w:eastAsia="en-GB"/>
        </w:rPr>
        <w:t xml:space="preserve"> </w:t>
      </w:r>
      <w:r w:rsidRPr="00CE0885">
        <w:rPr>
          <w:spacing w:val="2"/>
          <w:lang w:eastAsia="en-GB"/>
        </w:rPr>
        <w:t>m</w:t>
      </w:r>
      <w:r w:rsidRPr="00CE0885">
        <w:rPr>
          <w:lang w:eastAsia="en-GB"/>
        </w:rPr>
        <w:t>ay</w:t>
      </w:r>
      <w:r w:rsidRPr="00CE0885">
        <w:rPr>
          <w:spacing w:val="-7"/>
          <w:lang w:eastAsia="en-GB"/>
        </w:rPr>
        <w:t xml:space="preserve"> </w:t>
      </w:r>
      <w:r w:rsidRPr="00CE0885">
        <w:rPr>
          <w:spacing w:val="-1"/>
          <w:lang w:eastAsia="en-GB"/>
        </w:rPr>
        <w:t>g</w:t>
      </w:r>
      <w:r w:rsidRPr="00CE0885">
        <w:rPr>
          <w:spacing w:val="2"/>
          <w:lang w:eastAsia="en-GB"/>
        </w:rPr>
        <w:t>i</w:t>
      </w:r>
      <w:r w:rsidRPr="00CE0885">
        <w:rPr>
          <w:spacing w:val="-2"/>
          <w:lang w:eastAsia="en-GB"/>
        </w:rPr>
        <w:t>v</w:t>
      </w:r>
      <w:r w:rsidRPr="00CE0885">
        <w:rPr>
          <w:lang w:eastAsia="en-GB"/>
        </w:rPr>
        <w:t>e</w:t>
      </w:r>
      <w:r w:rsidRPr="00CE0885">
        <w:rPr>
          <w:spacing w:val="-2"/>
          <w:lang w:eastAsia="en-GB"/>
        </w:rPr>
        <w:t xml:space="preserve"> </w:t>
      </w:r>
      <w:r w:rsidRPr="00CE0885">
        <w:rPr>
          <w:spacing w:val="-1"/>
          <w:lang w:eastAsia="en-GB"/>
        </w:rPr>
        <w:t>r</w:t>
      </w:r>
      <w:r w:rsidRPr="00CE0885">
        <w:rPr>
          <w:lang w:eastAsia="en-GB"/>
        </w:rPr>
        <w:t xml:space="preserve">ise to </w:t>
      </w:r>
      <w:r w:rsidR="00122DEE">
        <w:rPr>
          <w:lang w:eastAsia="en-GB"/>
        </w:rPr>
        <w:t xml:space="preserve">those </w:t>
      </w:r>
      <w:r w:rsidRPr="00CE0885">
        <w:rPr>
          <w:lang w:eastAsia="en-GB"/>
        </w:rPr>
        <w:t>obli</w:t>
      </w:r>
      <w:r w:rsidRPr="00CE0885">
        <w:rPr>
          <w:spacing w:val="-1"/>
          <w:lang w:eastAsia="en-GB"/>
        </w:rPr>
        <w:t>g</w:t>
      </w:r>
      <w:r w:rsidRPr="00CE0885">
        <w:rPr>
          <w:lang w:eastAsia="en-GB"/>
        </w:rPr>
        <w:t>at</w:t>
      </w:r>
      <w:r w:rsidRPr="00CE0885">
        <w:rPr>
          <w:spacing w:val="-3"/>
          <w:lang w:eastAsia="en-GB"/>
        </w:rPr>
        <w:t>i</w:t>
      </w:r>
      <w:r w:rsidRPr="00CE0885">
        <w:rPr>
          <w:lang w:eastAsia="en-GB"/>
        </w:rPr>
        <w:t>ons.</w:t>
      </w:r>
      <w:r w:rsidRPr="00CE0885">
        <w:rPr>
          <w:spacing w:val="54"/>
          <w:lang w:eastAsia="en-GB"/>
        </w:rPr>
        <w:t xml:space="preserve"> </w:t>
      </w:r>
      <w:r w:rsidRPr="00CE0885">
        <w:rPr>
          <w:spacing w:val="-2"/>
          <w:lang w:eastAsia="en-GB"/>
        </w:rPr>
        <w:t>Commissioner</w:t>
      </w:r>
      <w:r w:rsidRPr="00CE0885">
        <w:rPr>
          <w:lang w:eastAsia="en-GB"/>
        </w:rPr>
        <w:t>s</w:t>
      </w:r>
      <w:r w:rsidRPr="00CE0885">
        <w:rPr>
          <w:spacing w:val="-4"/>
          <w:lang w:eastAsia="en-GB"/>
        </w:rPr>
        <w:t xml:space="preserve"> </w:t>
      </w:r>
      <w:r w:rsidRPr="00CE0885">
        <w:rPr>
          <w:lang w:eastAsia="en-GB"/>
        </w:rPr>
        <w:t>s</w:t>
      </w:r>
      <w:r w:rsidRPr="00CE0885">
        <w:rPr>
          <w:spacing w:val="-1"/>
          <w:lang w:eastAsia="en-GB"/>
        </w:rPr>
        <w:t>h</w:t>
      </w:r>
      <w:r w:rsidRPr="00CE0885">
        <w:rPr>
          <w:lang w:eastAsia="en-GB"/>
        </w:rPr>
        <w:t>ould</w:t>
      </w:r>
      <w:r w:rsidRPr="00CE0885">
        <w:rPr>
          <w:spacing w:val="-5"/>
          <w:lang w:eastAsia="en-GB"/>
        </w:rPr>
        <w:t xml:space="preserve"> </w:t>
      </w:r>
      <w:r w:rsidRPr="00CE0885">
        <w:rPr>
          <w:spacing w:val="-1"/>
          <w:lang w:eastAsia="en-GB"/>
        </w:rPr>
        <w:t>re</w:t>
      </w:r>
      <w:r w:rsidRPr="00CE0885">
        <w:rPr>
          <w:lang w:eastAsia="en-GB"/>
        </w:rPr>
        <w:t>fer</w:t>
      </w:r>
      <w:r w:rsidRPr="00CE0885">
        <w:rPr>
          <w:spacing w:val="-8"/>
          <w:lang w:eastAsia="en-GB"/>
        </w:rPr>
        <w:t xml:space="preserve"> </w:t>
      </w:r>
      <w:r w:rsidRPr="00CE0885">
        <w:rPr>
          <w:lang w:eastAsia="en-GB"/>
        </w:rPr>
        <w:t xml:space="preserve">to </w:t>
      </w:r>
      <w:r w:rsidRPr="00CE0885">
        <w:rPr>
          <w:spacing w:val="-1"/>
          <w:lang w:eastAsia="en-GB"/>
        </w:rPr>
        <w:t>r</w:t>
      </w:r>
      <w:r w:rsidRPr="00CE0885">
        <w:rPr>
          <w:lang w:eastAsia="en-GB"/>
        </w:rPr>
        <w:t>ele</w:t>
      </w:r>
      <w:r w:rsidRPr="00CE0885">
        <w:rPr>
          <w:spacing w:val="-2"/>
          <w:lang w:eastAsia="en-GB"/>
        </w:rPr>
        <w:t>v</w:t>
      </w:r>
      <w:r w:rsidRPr="00CE0885">
        <w:rPr>
          <w:lang w:eastAsia="en-GB"/>
        </w:rPr>
        <w:t>ant</w:t>
      </w:r>
      <w:r w:rsidRPr="00CE0885">
        <w:rPr>
          <w:spacing w:val="-10"/>
          <w:lang w:eastAsia="en-GB"/>
        </w:rPr>
        <w:t xml:space="preserve"> </w:t>
      </w:r>
      <w:r w:rsidRPr="00CE0885">
        <w:rPr>
          <w:lang w:eastAsia="en-GB"/>
        </w:rPr>
        <w:t>publis</w:t>
      </w:r>
      <w:r w:rsidRPr="00CE0885">
        <w:rPr>
          <w:spacing w:val="-1"/>
          <w:lang w:eastAsia="en-GB"/>
        </w:rPr>
        <w:t>h</w:t>
      </w:r>
      <w:r w:rsidRPr="00CE0885">
        <w:rPr>
          <w:lang w:eastAsia="en-GB"/>
        </w:rPr>
        <w:t xml:space="preserve">ed </w:t>
      </w:r>
      <w:r w:rsidRPr="00CE0885">
        <w:rPr>
          <w:spacing w:val="-1"/>
          <w:lang w:eastAsia="en-GB"/>
        </w:rPr>
        <w:t>g</w:t>
      </w:r>
      <w:r w:rsidRPr="00CE0885">
        <w:rPr>
          <w:lang w:eastAsia="en-GB"/>
        </w:rPr>
        <w:t>uidance</w:t>
      </w:r>
      <w:r w:rsidRPr="00CE0885">
        <w:rPr>
          <w:spacing w:val="-11"/>
          <w:lang w:eastAsia="en-GB"/>
        </w:rPr>
        <w:t xml:space="preserve"> </w:t>
      </w:r>
      <w:r w:rsidRPr="00CE0885">
        <w:rPr>
          <w:lang w:eastAsia="en-GB"/>
        </w:rPr>
        <w:t>and</w:t>
      </w:r>
      <w:r w:rsidRPr="00CE0885">
        <w:rPr>
          <w:spacing w:val="-5"/>
          <w:lang w:eastAsia="en-GB"/>
        </w:rPr>
        <w:t xml:space="preserve"> </w:t>
      </w:r>
      <w:r w:rsidRPr="00CE0885">
        <w:rPr>
          <w:lang w:eastAsia="en-GB"/>
        </w:rPr>
        <w:t>sh</w:t>
      </w:r>
      <w:r w:rsidRPr="00CE0885">
        <w:rPr>
          <w:spacing w:val="-1"/>
          <w:lang w:eastAsia="en-GB"/>
        </w:rPr>
        <w:t>o</w:t>
      </w:r>
      <w:r w:rsidRPr="00CE0885">
        <w:rPr>
          <w:lang w:eastAsia="en-GB"/>
        </w:rPr>
        <w:t>uld</w:t>
      </w:r>
      <w:r w:rsidRPr="00CE0885">
        <w:rPr>
          <w:spacing w:val="-5"/>
          <w:lang w:eastAsia="en-GB"/>
        </w:rPr>
        <w:t xml:space="preserve"> </w:t>
      </w:r>
      <w:r w:rsidRPr="00CE0885">
        <w:rPr>
          <w:spacing w:val="-2"/>
          <w:lang w:eastAsia="en-GB"/>
        </w:rPr>
        <w:t>t</w:t>
      </w:r>
      <w:r w:rsidRPr="00CE0885">
        <w:rPr>
          <w:lang w:eastAsia="en-GB"/>
        </w:rPr>
        <w:t>ake</w:t>
      </w:r>
      <w:r w:rsidRPr="00CE0885">
        <w:rPr>
          <w:spacing w:val="-3"/>
          <w:lang w:eastAsia="en-GB"/>
        </w:rPr>
        <w:t xml:space="preserve"> </w:t>
      </w:r>
      <w:r w:rsidRPr="00CE0885">
        <w:rPr>
          <w:spacing w:val="-1"/>
          <w:lang w:eastAsia="en-GB"/>
        </w:rPr>
        <w:t>a</w:t>
      </w:r>
      <w:r w:rsidRPr="00CE0885">
        <w:rPr>
          <w:lang w:eastAsia="en-GB"/>
        </w:rPr>
        <w:t>pp</w:t>
      </w:r>
      <w:r w:rsidRPr="00CE0885">
        <w:rPr>
          <w:spacing w:val="-1"/>
          <w:lang w:eastAsia="en-GB"/>
        </w:rPr>
        <w:t>ro</w:t>
      </w:r>
      <w:r w:rsidRPr="00CE0885">
        <w:rPr>
          <w:lang w:eastAsia="en-GB"/>
        </w:rPr>
        <w:t>p</w:t>
      </w:r>
      <w:r w:rsidRPr="00CE0885">
        <w:rPr>
          <w:spacing w:val="-1"/>
          <w:lang w:eastAsia="en-GB"/>
        </w:rPr>
        <w:t>r</w:t>
      </w:r>
      <w:r w:rsidRPr="00CE0885">
        <w:rPr>
          <w:lang w:eastAsia="en-GB"/>
        </w:rPr>
        <w:t>iate</w:t>
      </w:r>
      <w:r w:rsidRPr="00CE0885">
        <w:rPr>
          <w:spacing w:val="-13"/>
          <w:lang w:eastAsia="en-GB"/>
        </w:rPr>
        <w:t xml:space="preserve"> </w:t>
      </w:r>
      <w:r w:rsidRPr="00CE0885">
        <w:rPr>
          <w:lang w:eastAsia="en-GB"/>
        </w:rPr>
        <w:t>ad</w:t>
      </w:r>
      <w:r w:rsidRPr="00CE0885">
        <w:rPr>
          <w:spacing w:val="-2"/>
          <w:lang w:eastAsia="en-GB"/>
        </w:rPr>
        <w:t>v</w:t>
      </w:r>
      <w:r w:rsidRPr="00CE0885">
        <w:rPr>
          <w:lang w:eastAsia="en-GB"/>
        </w:rPr>
        <w:t>ice</w:t>
      </w:r>
      <w:r w:rsidRPr="00CE0885">
        <w:rPr>
          <w:spacing w:val="-5"/>
          <w:lang w:eastAsia="en-GB"/>
        </w:rPr>
        <w:t xml:space="preserve"> </w:t>
      </w:r>
      <w:r w:rsidRPr="00CE0885">
        <w:rPr>
          <w:lang w:eastAsia="en-GB"/>
        </w:rPr>
        <w:t>at</w:t>
      </w:r>
      <w:r w:rsidRPr="00CE0885">
        <w:rPr>
          <w:spacing w:val="-1"/>
          <w:lang w:eastAsia="en-GB"/>
        </w:rPr>
        <w:t xml:space="preserve"> a</w:t>
      </w:r>
      <w:r w:rsidRPr="00CE0885">
        <w:rPr>
          <w:lang w:eastAsia="en-GB"/>
        </w:rPr>
        <w:t>n</w:t>
      </w:r>
      <w:r w:rsidRPr="00CE0885">
        <w:rPr>
          <w:spacing w:val="-1"/>
          <w:lang w:eastAsia="en-GB"/>
        </w:rPr>
        <w:t xml:space="preserve"> e</w:t>
      </w:r>
      <w:r w:rsidRPr="00CE0885">
        <w:rPr>
          <w:lang w:eastAsia="en-GB"/>
        </w:rPr>
        <w:t>a</w:t>
      </w:r>
      <w:r w:rsidRPr="00CE0885">
        <w:rPr>
          <w:spacing w:val="-1"/>
          <w:lang w:eastAsia="en-GB"/>
        </w:rPr>
        <w:t>r</w:t>
      </w:r>
      <w:r w:rsidRPr="00CE0885">
        <w:rPr>
          <w:lang w:eastAsia="en-GB"/>
        </w:rPr>
        <w:t>ly</w:t>
      </w:r>
      <w:r w:rsidRPr="00CE0885">
        <w:rPr>
          <w:spacing w:val="-7"/>
          <w:lang w:eastAsia="en-GB"/>
        </w:rPr>
        <w:t xml:space="preserve"> </w:t>
      </w:r>
      <w:r w:rsidRPr="00CE0885">
        <w:rPr>
          <w:lang w:eastAsia="en-GB"/>
        </w:rPr>
        <w:t>sta</w:t>
      </w:r>
      <w:r w:rsidRPr="00CE0885">
        <w:rPr>
          <w:spacing w:val="-1"/>
          <w:lang w:eastAsia="en-GB"/>
        </w:rPr>
        <w:t>g</w:t>
      </w:r>
      <w:r w:rsidRPr="00CE0885">
        <w:rPr>
          <w:lang w:eastAsia="en-GB"/>
        </w:rPr>
        <w:t>e. Commissioners must also act in accordance with any procurement protocol issued by NHS England.</w:t>
      </w:r>
      <w:bookmarkEnd w:id="616"/>
    </w:p>
    <w:p w14:paraId="6431ABB5" w14:textId="50F8CB54" w:rsidR="00977693" w:rsidRPr="00CE0885" w:rsidRDefault="00977693" w:rsidP="006B781A">
      <w:pPr>
        <w:pStyle w:val="Heading3"/>
        <w:rPr>
          <w:lang w:eastAsia="en-GB"/>
        </w:rPr>
      </w:pPr>
      <w:bookmarkStart w:id="617" w:name="_Toc440981734"/>
      <w:r w:rsidRPr="00CE0885">
        <w:rPr>
          <w:lang w:eastAsia="en-GB"/>
        </w:rPr>
        <w:t>The GMS Regulations, the PMS Regulations and the APMS Directions</w:t>
      </w:r>
      <w:r w:rsidRPr="00CE0885">
        <w:rPr>
          <w:spacing w:val="-10"/>
          <w:lang w:eastAsia="en-GB"/>
        </w:rPr>
        <w:t xml:space="preserve"> </w:t>
      </w:r>
      <w:r w:rsidRPr="00CE0885">
        <w:rPr>
          <w:lang w:eastAsia="en-GB"/>
        </w:rPr>
        <w:t>pla</w:t>
      </w:r>
      <w:r w:rsidRPr="00CE0885">
        <w:rPr>
          <w:spacing w:val="-2"/>
          <w:lang w:eastAsia="en-GB"/>
        </w:rPr>
        <w:t>c</w:t>
      </w:r>
      <w:r w:rsidRPr="00CE0885">
        <w:rPr>
          <w:lang w:eastAsia="en-GB"/>
        </w:rPr>
        <w:t>e</w:t>
      </w:r>
      <w:r w:rsidRPr="00CE0885">
        <w:rPr>
          <w:spacing w:val="-4"/>
          <w:lang w:eastAsia="en-GB"/>
        </w:rPr>
        <w:t xml:space="preserve"> </w:t>
      </w:r>
      <w:r w:rsidRPr="00CE0885">
        <w:rPr>
          <w:spacing w:val="-1"/>
          <w:lang w:eastAsia="en-GB"/>
        </w:rPr>
        <w:t>r</w:t>
      </w:r>
      <w:r w:rsidRPr="00CE0885">
        <w:rPr>
          <w:lang w:eastAsia="en-GB"/>
        </w:rPr>
        <w:t>est</w:t>
      </w:r>
      <w:r w:rsidRPr="00CE0885">
        <w:rPr>
          <w:spacing w:val="-1"/>
          <w:lang w:eastAsia="en-GB"/>
        </w:rPr>
        <w:t>r</w:t>
      </w:r>
      <w:r w:rsidRPr="00CE0885">
        <w:rPr>
          <w:lang w:eastAsia="en-GB"/>
        </w:rPr>
        <w:t>ictions</w:t>
      </w:r>
      <w:r w:rsidRPr="00CE0885">
        <w:rPr>
          <w:spacing w:val="-16"/>
          <w:lang w:eastAsia="en-GB"/>
        </w:rPr>
        <w:t xml:space="preserve"> </w:t>
      </w:r>
      <w:r w:rsidRPr="00CE0885">
        <w:rPr>
          <w:lang w:eastAsia="en-GB"/>
        </w:rPr>
        <w:t>on</w:t>
      </w:r>
      <w:r w:rsidRPr="00CE0885">
        <w:rPr>
          <w:spacing w:val="-1"/>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o</w:t>
      </w:r>
      <w:r w:rsidRPr="00CE0885">
        <w:rPr>
          <w:spacing w:val="-1"/>
          <w:lang w:eastAsia="en-GB"/>
        </w:rPr>
        <w:t>rg</w:t>
      </w:r>
      <w:r w:rsidRPr="00CE0885">
        <w:rPr>
          <w:lang w:eastAsia="en-GB"/>
        </w:rPr>
        <w:t>anisatio</w:t>
      </w:r>
      <w:r w:rsidRPr="00CE0885">
        <w:rPr>
          <w:spacing w:val="-1"/>
          <w:lang w:eastAsia="en-GB"/>
        </w:rPr>
        <w:t>n</w:t>
      </w:r>
      <w:r w:rsidRPr="00CE0885">
        <w:rPr>
          <w:lang w:eastAsia="en-GB"/>
        </w:rPr>
        <w:t>al st</w:t>
      </w:r>
      <w:r w:rsidRPr="00CE0885">
        <w:rPr>
          <w:spacing w:val="-1"/>
          <w:lang w:eastAsia="en-GB"/>
        </w:rPr>
        <w:t>r</w:t>
      </w:r>
      <w:r w:rsidRPr="00CE0885">
        <w:rPr>
          <w:lang w:eastAsia="en-GB"/>
        </w:rPr>
        <w:t>uctu</w:t>
      </w:r>
      <w:r w:rsidRPr="00CE0885">
        <w:rPr>
          <w:spacing w:val="-1"/>
          <w:lang w:eastAsia="en-GB"/>
        </w:rPr>
        <w:t>r</w:t>
      </w:r>
      <w:r w:rsidRPr="00CE0885">
        <w:rPr>
          <w:lang w:eastAsia="en-GB"/>
        </w:rPr>
        <w:t>es</w:t>
      </w:r>
      <w:r w:rsidRPr="00CE0885">
        <w:rPr>
          <w:spacing w:val="-11"/>
          <w:lang w:eastAsia="en-GB"/>
        </w:rPr>
        <w:t xml:space="preserve"> </w:t>
      </w:r>
      <w:r w:rsidRPr="00CE0885">
        <w:rPr>
          <w:spacing w:val="-2"/>
          <w:lang w:eastAsia="en-GB"/>
        </w:rPr>
        <w:t>t</w:t>
      </w:r>
      <w:r w:rsidRPr="00CE0885">
        <w:rPr>
          <w:lang w:eastAsia="en-GB"/>
        </w:rPr>
        <w:t>hat</w:t>
      </w:r>
      <w:r w:rsidRPr="00CE0885">
        <w:rPr>
          <w:spacing w:val="-5"/>
          <w:lang w:eastAsia="en-GB"/>
        </w:rPr>
        <w:t xml:space="preserve"> </w:t>
      </w:r>
      <w:r w:rsidRPr="00CE0885">
        <w:rPr>
          <w:lang w:eastAsia="en-GB"/>
        </w:rPr>
        <w:t>a</w:t>
      </w:r>
      <w:r w:rsidRPr="00CE0885">
        <w:rPr>
          <w:spacing w:val="-1"/>
          <w:lang w:eastAsia="en-GB"/>
        </w:rPr>
        <w:t>r</w:t>
      </w:r>
      <w:r w:rsidRPr="00CE0885">
        <w:rPr>
          <w:lang w:eastAsia="en-GB"/>
        </w:rPr>
        <w:t>e</w:t>
      </w:r>
      <w:r w:rsidRPr="00CE0885">
        <w:rPr>
          <w:spacing w:val="-4"/>
          <w:lang w:eastAsia="en-GB"/>
        </w:rPr>
        <w:t xml:space="preserve"> </w:t>
      </w:r>
      <w:r w:rsidRPr="00CE0885">
        <w:rPr>
          <w:lang w:eastAsia="en-GB"/>
        </w:rPr>
        <w:t xml:space="preserve">eligible to enter into different types of primary medical contracts. Please refer to </w:t>
      </w:r>
      <w:r w:rsidR="00A114DF">
        <w:rPr>
          <w:lang w:eastAsia="en-GB"/>
        </w:rPr>
        <w:t>the ‘Contracts Described’ chapter</w:t>
      </w:r>
      <w:r w:rsidRPr="00CE0885">
        <w:rPr>
          <w:lang w:eastAsia="en-GB"/>
        </w:rPr>
        <w:t xml:space="preserve"> for details on the eligibility criteria.</w:t>
      </w:r>
      <w:bookmarkEnd w:id="617"/>
      <w:r w:rsidRPr="00CE0885">
        <w:rPr>
          <w:lang w:eastAsia="en-GB"/>
        </w:rPr>
        <w:t xml:space="preserve"> </w:t>
      </w:r>
    </w:p>
    <w:p w14:paraId="60952C5F" w14:textId="1988D721" w:rsidR="00977693" w:rsidRPr="00CE0885" w:rsidRDefault="00977693" w:rsidP="006B781A">
      <w:pPr>
        <w:pStyle w:val="Heading3"/>
        <w:rPr>
          <w:lang w:eastAsia="en-GB"/>
        </w:rPr>
      </w:pPr>
      <w:bookmarkStart w:id="618" w:name="_Toc440981735"/>
      <w:r w:rsidRPr="00CE0885">
        <w:rPr>
          <w:lang w:eastAsia="en-GB"/>
        </w:rPr>
        <w:t>Contracts may be varied in a number of ways with relation to partnership matters, including the following which are looked at in more detail below:</w:t>
      </w:r>
      <w:bookmarkEnd w:id="618"/>
    </w:p>
    <w:p w14:paraId="55D42EBF" w14:textId="250E39FB" w:rsidR="00977693" w:rsidRPr="006B781A" w:rsidRDefault="00977693" w:rsidP="00FA6A70">
      <w:pPr>
        <w:pStyle w:val="Heading4"/>
      </w:pPr>
      <w:bookmarkStart w:id="619" w:name="_Toc440981736"/>
      <w:r w:rsidRPr="006B781A">
        <w:t>individual contractors changing to more than one individual (which may be a partnership which requires a different process depending on whether it is a GMS contract or not); and</w:t>
      </w:r>
      <w:bookmarkEnd w:id="619"/>
    </w:p>
    <w:p w14:paraId="4812475A" w14:textId="6FA332A1" w:rsidR="00977693" w:rsidRPr="006B781A" w:rsidRDefault="00977693" w:rsidP="00FA6A70">
      <w:pPr>
        <w:pStyle w:val="Heading4"/>
      </w:pPr>
      <w:bookmarkStart w:id="620" w:name="_Toc440981737"/>
      <w:r w:rsidRPr="006B781A">
        <w:t>changes to the parties of contracts with more than one individual (which may be from a partnership to an individual contractor or changes to the composition of partnerships).</w:t>
      </w:r>
      <w:bookmarkEnd w:id="620"/>
    </w:p>
    <w:p w14:paraId="00482C1A" w14:textId="2FC0CDCA" w:rsidR="00977693" w:rsidRPr="00CE0885" w:rsidRDefault="00977693" w:rsidP="006B781A">
      <w:pPr>
        <w:pStyle w:val="Heading3"/>
        <w:rPr>
          <w:lang w:eastAsia="en-GB"/>
        </w:rPr>
      </w:pPr>
      <w:bookmarkStart w:id="621" w:name="_Toc440981738"/>
      <w:r w:rsidRPr="00CE0885">
        <w:rPr>
          <w:lang w:eastAsia="en-GB"/>
        </w:rPr>
        <w:t>There may be many reasons for partnership changes including disputes between parties which are considered further below.</w:t>
      </w:r>
      <w:bookmarkEnd w:id="621"/>
    </w:p>
    <w:p w14:paraId="6BD0A434" w14:textId="77777777" w:rsidR="00977693" w:rsidRPr="003F1BA7" w:rsidRDefault="00977693" w:rsidP="00A553BA"/>
    <w:p w14:paraId="3E385907" w14:textId="77777777" w:rsidR="00977693" w:rsidRPr="00CE5A3A" w:rsidRDefault="00977693" w:rsidP="00CE5A3A">
      <w:pPr>
        <w:pStyle w:val="BodyText"/>
        <w:rPr>
          <w:b/>
          <w:sz w:val="24"/>
          <w:szCs w:val="24"/>
        </w:rPr>
      </w:pPr>
      <w:bookmarkStart w:id="622" w:name="_Toc440981739"/>
      <w:r w:rsidRPr="00CE5A3A">
        <w:rPr>
          <w:b/>
          <w:sz w:val="24"/>
          <w:szCs w:val="24"/>
        </w:rPr>
        <w:t>Individual to partnership – GMS contracts</w:t>
      </w:r>
      <w:bookmarkEnd w:id="622"/>
    </w:p>
    <w:p w14:paraId="12BC2641" w14:textId="77777777" w:rsidR="00977693" w:rsidRPr="00CE0885" w:rsidRDefault="00977693" w:rsidP="006B781A">
      <w:pPr>
        <w:pStyle w:val="Heading3"/>
        <w:rPr>
          <w:lang w:eastAsia="en-GB"/>
        </w:rPr>
      </w:pPr>
      <w:bookmarkStart w:id="623" w:name="_Toc440981740"/>
      <w:r w:rsidRPr="00CE0885">
        <w:rPr>
          <w:lang w:eastAsia="en-GB"/>
        </w:rPr>
        <w:t>If a GMS</w:t>
      </w:r>
      <w:r w:rsidRPr="00CE0885">
        <w:rPr>
          <w:spacing w:val="-1"/>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actor</w:t>
      </w:r>
      <w:r w:rsidRPr="00CE0885">
        <w:rPr>
          <w:spacing w:val="-11"/>
          <w:lang w:eastAsia="en-GB"/>
        </w:rPr>
        <w:t xml:space="preserve"> </w:t>
      </w:r>
      <w:r w:rsidRPr="00CE0885">
        <w:rPr>
          <w:lang w:eastAsia="en-GB"/>
        </w:rPr>
        <w:t>is</w:t>
      </w:r>
      <w:r w:rsidRPr="00CE0885">
        <w:rPr>
          <w:spacing w:val="-2"/>
          <w:lang w:eastAsia="en-GB"/>
        </w:rPr>
        <w:t xml:space="preserve"> c</w:t>
      </w:r>
      <w:r w:rsidRPr="00CE0885">
        <w:rPr>
          <w:lang w:eastAsia="en-GB"/>
        </w:rPr>
        <w:t>u</w:t>
      </w:r>
      <w:r w:rsidRPr="00CE0885">
        <w:rPr>
          <w:spacing w:val="-1"/>
          <w:lang w:eastAsia="en-GB"/>
        </w:rPr>
        <w:t>rr</w:t>
      </w:r>
      <w:r w:rsidRPr="00CE0885">
        <w:rPr>
          <w:lang w:eastAsia="en-GB"/>
        </w:rPr>
        <w:t>ently</w:t>
      </w:r>
      <w:r w:rsidRPr="00CE0885">
        <w:rPr>
          <w:spacing w:val="-11"/>
          <w:lang w:eastAsia="en-GB"/>
        </w:rPr>
        <w:t xml:space="preserve"> </w:t>
      </w:r>
      <w:r w:rsidRPr="00CE0885">
        <w:rPr>
          <w:lang w:eastAsia="en-GB"/>
        </w:rPr>
        <w:t>an</w:t>
      </w:r>
      <w:r w:rsidRPr="00CE0885">
        <w:rPr>
          <w:spacing w:val="-1"/>
          <w:lang w:eastAsia="en-GB"/>
        </w:rPr>
        <w:t xml:space="preserve"> </w:t>
      </w:r>
      <w:r w:rsidRPr="00CE0885">
        <w:rPr>
          <w:lang w:eastAsia="en-GB"/>
        </w:rPr>
        <w:t>indi</w:t>
      </w:r>
      <w:r w:rsidRPr="00CE0885">
        <w:rPr>
          <w:spacing w:val="-2"/>
          <w:lang w:eastAsia="en-GB"/>
        </w:rPr>
        <w:t>v</w:t>
      </w:r>
      <w:r w:rsidRPr="00CE0885">
        <w:rPr>
          <w:lang w:eastAsia="en-GB"/>
        </w:rPr>
        <w:t>idual</w:t>
      </w:r>
      <w:r w:rsidRPr="00CE0885">
        <w:rPr>
          <w:spacing w:val="-12"/>
          <w:lang w:eastAsia="en-GB"/>
        </w:rPr>
        <w:t xml:space="preserve"> </w:t>
      </w:r>
      <w:r w:rsidRPr="00CE0885">
        <w:rPr>
          <w:spacing w:val="2"/>
          <w:lang w:eastAsia="en-GB"/>
        </w:rPr>
        <w:t>m</w:t>
      </w:r>
      <w:r w:rsidRPr="00CE0885">
        <w:rPr>
          <w:spacing w:val="-1"/>
          <w:lang w:eastAsia="en-GB"/>
        </w:rPr>
        <w:t>ed</w:t>
      </w:r>
      <w:r w:rsidRPr="00CE0885">
        <w:rPr>
          <w:lang w:eastAsia="en-GB"/>
        </w:rPr>
        <w:t>ical</w:t>
      </w:r>
      <w:r w:rsidRPr="00CE0885">
        <w:rPr>
          <w:spacing w:val="-8"/>
          <w:lang w:eastAsia="en-GB"/>
        </w:rPr>
        <w:t xml:space="preserve"> </w:t>
      </w:r>
      <w:r w:rsidRPr="00CE0885">
        <w:rPr>
          <w:lang w:eastAsia="en-GB"/>
        </w:rPr>
        <w:t>p</w:t>
      </w:r>
      <w:r w:rsidRPr="00CE0885">
        <w:rPr>
          <w:spacing w:val="-1"/>
          <w:lang w:eastAsia="en-GB"/>
        </w:rPr>
        <w:t>r</w:t>
      </w:r>
      <w:r w:rsidRPr="00CE0885">
        <w:rPr>
          <w:lang w:eastAsia="en-GB"/>
        </w:rPr>
        <w:t>actitio</w:t>
      </w:r>
      <w:r w:rsidRPr="00CE0885">
        <w:rPr>
          <w:spacing w:val="-1"/>
          <w:lang w:eastAsia="en-GB"/>
        </w:rPr>
        <w:t>n</w:t>
      </w:r>
      <w:r w:rsidRPr="00CE0885">
        <w:rPr>
          <w:lang w:eastAsia="en-GB"/>
        </w:rPr>
        <w:t>e</w:t>
      </w:r>
      <w:r w:rsidRPr="00CE0885">
        <w:rPr>
          <w:spacing w:val="-1"/>
          <w:lang w:eastAsia="en-GB"/>
        </w:rPr>
        <w:t>r</w:t>
      </w:r>
      <w:r w:rsidRPr="00CE0885">
        <w:rPr>
          <w:lang w:eastAsia="en-GB"/>
        </w:rPr>
        <w:t xml:space="preserve"> </w:t>
      </w:r>
      <w:r w:rsidRPr="00CE0885">
        <w:rPr>
          <w:spacing w:val="-1"/>
          <w:lang w:eastAsia="en-GB"/>
        </w:rPr>
        <w:t>who wishes</w:t>
      </w:r>
      <w:r w:rsidRPr="00CE0885">
        <w:rPr>
          <w:spacing w:val="-3"/>
          <w:lang w:eastAsia="en-GB"/>
        </w:rPr>
        <w:t xml:space="preserve"> </w:t>
      </w:r>
      <w:r w:rsidRPr="00CE0885">
        <w:rPr>
          <w:lang w:eastAsia="en-GB"/>
        </w:rPr>
        <w:t>to en</w:t>
      </w:r>
      <w:r w:rsidRPr="00CE0885">
        <w:rPr>
          <w:spacing w:val="-2"/>
          <w:lang w:eastAsia="en-GB"/>
        </w:rPr>
        <w:t>t</w:t>
      </w:r>
      <w:r w:rsidRPr="00CE0885">
        <w:rPr>
          <w:lang w:eastAsia="en-GB"/>
        </w:rPr>
        <w:t>er</w:t>
      </w:r>
      <w:r w:rsidRPr="00CE0885">
        <w:rPr>
          <w:spacing w:val="-5"/>
          <w:lang w:eastAsia="en-GB"/>
        </w:rPr>
        <w:t xml:space="preserve"> </w:t>
      </w:r>
      <w:r w:rsidRPr="00CE0885">
        <w:rPr>
          <w:lang w:eastAsia="en-GB"/>
        </w:rPr>
        <w:t>into</w:t>
      </w:r>
      <w:r w:rsidRPr="00CE0885">
        <w:rPr>
          <w:spacing w:val="-5"/>
          <w:lang w:eastAsia="en-GB"/>
        </w:rPr>
        <w:t xml:space="preserve"> </w:t>
      </w:r>
      <w:r w:rsidRPr="00CE0885">
        <w:rPr>
          <w:lang w:eastAsia="en-GB"/>
        </w:rPr>
        <w:t>pa</w:t>
      </w:r>
      <w:r w:rsidRPr="00CE0885">
        <w:rPr>
          <w:spacing w:val="-3"/>
          <w:lang w:eastAsia="en-GB"/>
        </w:rPr>
        <w:t>r</w:t>
      </w:r>
      <w:r w:rsidRPr="00CE0885">
        <w:rPr>
          <w:lang w:eastAsia="en-GB"/>
        </w:rPr>
        <w:t>tne</w:t>
      </w:r>
      <w:r w:rsidRPr="00CE0885">
        <w:rPr>
          <w:spacing w:val="-1"/>
          <w:lang w:eastAsia="en-GB"/>
        </w:rPr>
        <w:t>r</w:t>
      </w:r>
      <w:r w:rsidRPr="00CE0885">
        <w:rPr>
          <w:lang w:eastAsia="en-GB"/>
        </w:rPr>
        <w:t>ship</w:t>
      </w:r>
      <w:r w:rsidRPr="00CE0885">
        <w:rPr>
          <w:spacing w:val="-10"/>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spacing w:val="-1"/>
          <w:lang w:eastAsia="en-GB"/>
        </w:rPr>
        <w:t>o</w:t>
      </w:r>
      <w:r w:rsidRPr="00CE0885">
        <w:rPr>
          <w:lang w:eastAsia="en-GB"/>
        </w:rPr>
        <w:t>ne</w:t>
      </w:r>
      <w:r w:rsidRPr="00CE0885">
        <w:rPr>
          <w:spacing w:val="-5"/>
          <w:lang w:eastAsia="en-GB"/>
        </w:rPr>
        <w:t xml:space="preserve"> </w:t>
      </w:r>
      <w:r w:rsidRPr="00CE0885">
        <w:rPr>
          <w:lang w:eastAsia="en-GB"/>
        </w:rPr>
        <w:t>or</w:t>
      </w:r>
      <w:r w:rsidRPr="00CE0885">
        <w:rPr>
          <w:spacing w:val="-2"/>
          <w:lang w:eastAsia="en-GB"/>
        </w:rPr>
        <w:t xml:space="preserve"> </w:t>
      </w:r>
      <w:r w:rsidRPr="00CE0885">
        <w:rPr>
          <w:spacing w:val="-1"/>
          <w:lang w:eastAsia="en-GB"/>
        </w:rPr>
        <w:t>m</w:t>
      </w:r>
      <w:r w:rsidRPr="00CE0885">
        <w:rPr>
          <w:lang w:eastAsia="en-GB"/>
        </w:rPr>
        <w:t>o</w:t>
      </w:r>
      <w:r w:rsidRPr="00CE0885">
        <w:rPr>
          <w:spacing w:val="-1"/>
          <w:lang w:eastAsia="en-GB"/>
        </w:rPr>
        <w:t>r</w:t>
      </w:r>
      <w:r w:rsidRPr="00CE0885">
        <w:rPr>
          <w:lang w:eastAsia="en-GB"/>
        </w:rPr>
        <w:t>e indi</w:t>
      </w:r>
      <w:r w:rsidRPr="00CE0885">
        <w:rPr>
          <w:spacing w:val="-2"/>
          <w:lang w:eastAsia="en-GB"/>
        </w:rPr>
        <w:t>v</w:t>
      </w:r>
      <w:r w:rsidRPr="00CE0885">
        <w:rPr>
          <w:lang w:eastAsia="en-GB"/>
        </w:rPr>
        <w:t>iduals</w:t>
      </w:r>
      <w:r w:rsidRPr="00CE0885">
        <w:rPr>
          <w:spacing w:val="-11"/>
          <w:lang w:eastAsia="en-GB"/>
        </w:rPr>
        <w:t xml:space="preserve"> </w:t>
      </w:r>
      <w:r w:rsidRPr="00CE0885">
        <w:rPr>
          <w:lang w:eastAsia="en-GB"/>
        </w:rPr>
        <w:t>un</w:t>
      </w:r>
      <w:r w:rsidRPr="00CE0885">
        <w:rPr>
          <w:spacing w:val="-1"/>
          <w:lang w:eastAsia="en-GB"/>
        </w:rPr>
        <w:t>d</w:t>
      </w:r>
      <w:r w:rsidRPr="00CE0885">
        <w:rPr>
          <w:lang w:eastAsia="en-GB"/>
        </w:rPr>
        <w:t>er</w:t>
      </w:r>
      <w:r w:rsidRPr="00CE0885">
        <w:rPr>
          <w:spacing w:val="-6"/>
          <w:lang w:eastAsia="en-GB"/>
        </w:rPr>
        <w:t xml:space="preserve"> </w:t>
      </w:r>
      <w:r w:rsidRPr="00CE0885">
        <w:rPr>
          <w:lang w:eastAsia="en-GB"/>
        </w:rPr>
        <w:t>t</w:t>
      </w:r>
      <w:r w:rsidRPr="00CE0885">
        <w:rPr>
          <w:spacing w:val="-1"/>
          <w:lang w:eastAsia="en-GB"/>
        </w:rPr>
        <w:t>h</w:t>
      </w:r>
      <w:r w:rsidRPr="00CE0885">
        <w:rPr>
          <w:lang w:eastAsia="en-GB"/>
        </w:rPr>
        <w:t>at</w:t>
      </w:r>
      <w:r w:rsidRPr="00CE0885">
        <w:rPr>
          <w:spacing w:val="-3"/>
          <w:lang w:eastAsia="en-GB"/>
        </w:rPr>
        <w:t xml:space="preserve"> </w:t>
      </w:r>
      <w:r w:rsidRPr="00CE0885">
        <w:rPr>
          <w:spacing w:val="-2"/>
          <w:lang w:eastAsia="en-GB"/>
        </w:rPr>
        <w:t>c</w:t>
      </w:r>
      <w:r w:rsidRPr="00CE0885">
        <w:rPr>
          <w:lang w:eastAsia="en-GB"/>
        </w:rPr>
        <w:t>ont</w:t>
      </w:r>
      <w:r w:rsidRPr="00CE0885">
        <w:rPr>
          <w:spacing w:val="-1"/>
          <w:lang w:eastAsia="en-GB"/>
        </w:rPr>
        <w:t>r</w:t>
      </w:r>
      <w:r w:rsidRPr="00CE0885">
        <w:rPr>
          <w:lang w:eastAsia="en-GB"/>
        </w:rPr>
        <w:t>act,</w:t>
      </w:r>
      <w:r w:rsidRPr="00CE0885">
        <w:rPr>
          <w:spacing w:val="-10"/>
          <w:lang w:eastAsia="en-GB"/>
        </w:rPr>
        <w:t xml:space="preserve"> </w:t>
      </w:r>
      <w:r w:rsidRPr="00CE0885">
        <w:rPr>
          <w:lang w:eastAsia="en-GB"/>
        </w:rPr>
        <w:t>the contractor is required to not</w:t>
      </w:r>
      <w:r w:rsidRPr="00CE0885">
        <w:rPr>
          <w:spacing w:val="-3"/>
          <w:lang w:eastAsia="en-GB"/>
        </w:rPr>
        <w:t>i</w:t>
      </w:r>
      <w:r w:rsidRPr="00CE0885">
        <w:rPr>
          <w:spacing w:val="3"/>
          <w:lang w:eastAsia="en-GB"/>
        </w:rPr>
        <w:t>f</w:t>
      </w:r>
      <w:r w:rsidRPr="00CE0885">
        <w:rPr>
          <w:lang w:eastAsia="en-GB"/>
        </w:rPr>
        <w:t>y</w:t>
      </w:r>
      <w:r w:rsidRPr="00CE0885">
        <w:rPr>
          <w:spacing w:val="-8"/>
          <w:lang w:eastAsia="en-GB"/>
        </w:rPr>
        <w:t xml:space="preserve"> </w:t>
      </w:r>
      <w:r w:rsidRPr="00CE0885">
        <w:rPr>
          <w:lang w:eastAsia="en-GB"/>
        </w:rPr>
        <w:t>the Commissioner</w:t>
      </w:r>
      <w:r w:rsidRPr="00CE0885">
        <w:rPr>
          <w:spacing w:val="-10"/>
          <w:lang w:eastAsia="en-GB"/>
        </w:rPr>
        <w:t xml:space="preserve"> </w:t>
      </w:r>
      <w:r w:rsidRPr="00CE0885">
        <w:rPr>
          <w:lang w:eastAsia="en-GB"/>
        </w:rPr>
        <w:t>in w</w:t>
      </w:r>
      <w:r w:rsidRPr="00CE0885">
        <w:rPr>
          <w:spacing w:val="-1"/>
          <w:lang w:eastAsia="en-GB"/>
        </w:rPr>
        <w:t>r</w:t>
      </w:r>
      <w:r w:rsidRPr="00CE0885">
        <w:rPr>
          <w:lang w:eastAsia="en-GB"/>
        </w:rPr>
        <w:t>iting</w:t>
      </w:r>
      <w:r w:rsidRPr="00CE0885">
        <w:rPr>
          <w:spacing w:val="15"/>
          <w:position w:val="11"/>
          <w:lang w:eastAsia="en-GB"/>
        </w:rPr>
        <w:t xml:space="preserve"> </w:t>
      </w:r>
      <w:r w:rsidRPr="00CE0885">
        <w:rPr>
          <w:lang w:eastAsia="en-GB"/>
        </w:rPr>
        <w:t>and</w:t>
      </w:r>
      <w:r w:rsidRPr="00CE0885">
        <w:rPr>
          <w:spacing w:val="-5"/>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2"/>
          <w:lang w:eastAsia="en-GB"/>
        </w:rPr>
        <w:t>v</w:t>
      </w:r>
      <w:r w:rsidRPr="00CE0885">
        <w:rPr>
          <w:lang w:eastAsia="en-GB"/>
        </w:rPr>
        <w:t>ide</w:t>
      </w:r>
      <w:r w:rsidRPr="00CE0885">
        <w:rPr>
          <w:spacing w:val="-6"/>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lang w:eastAsia="en-GB"/>
        </w:rPr>
        <w:t>follo</w:t>
      </w:r>
      <w:r w:rsidRPr="00CE0885">
        <w:rPr>
          <w:spacing w:val="-3"/>
          <w:lang w:eastAsia="en-GB"/>
        </w:rPr>
        <w:t>w</w:t>
      </w:r>
      <w:r w:rsidRPr="00CE0885">
        <w:rPr>
          <w:lang w:eastAsia="en-GB"/>
        </w:rPr>
        <w:t>in</w:t>
      </w:r>
      <w:r w:rsidRPr="00CE0885">
        <w:rPr>
          <w:spacing w:val="-1"/>
          <w:lang w:eastAsia="en-GB"/>
        </w:rPr>
        <w:t>g information</w:t>
      </w:r>
      <w:r w:rsidRPr="00CE0885">
        <w:rPr>
          <w:lang w:eastAsia="en-GB"/>
        </w:rPr>
        <w:t>:</w:t>
      </w:r>
      <w:bookmarkEnd w:id="623"/>
    </w:p>
    <w:p w14:paraId="571454BE" w14:textId="59C1F960" w:rsidR="00977693" w:rsidRPr="00CE0885" w:rsidRDefault="00977693" w:rsidP="00FA6A70">
      <w:pPr>
        <w:pStyle w:val="Heading4"/>
      </w:pPr>
      <w:bookmarkStart w:id="624" w:name="_Toc440981741"/>
      <w:r w:rsidRPr="00CE0885">
        <w:t>the name of the person or persons with whom the contractor proposes to practice in partnership;</w:t>
      </w:r>
      <w:bookmarkEnd w:id="624"/>
      <w:r w:rsidRPr="00CE0885">
        <w:t xml:space="preserve"> </w:t>
      </w:r>
    </w:p>
    <w:p w14:paraId="4203E1A7" w14:textId="18AAAD3A" w:rsidR="00977693" w:rsidRPr="00CE0885" w:rsidRDefault="00977693" w:rsidP="00FA6A70">
      <w:pPr>
        <w:pStyle w:val="Heading4"/>
      </w:pPr>
      <w:bookmarkStart w:id="625" w:name="_Toc440981742"/>
      <w:r w:rsidRPr="00CE0885">
        <w:t>confirmation that the person or persons is either a medical practitioner or a person who satisf</w:t>
      </w:r>
      <w:r w:rsidR="00807941">
        <w:t>y</w:t>
      </w:r>
      <w:r w:rsidRPr="00CE0885">
        <w:t xml:space="preserve"> the conditions specified in section 86(2)(b) of the NHS Act;</w:t>
      </w:r>
      <w:bookmarkEnd w:id="625"/>
    </w:p>
    <w:p w14:paraId="29F49B56" w14:textId="0E93C005" w:rsidR="00977693" w:rsidRPr="00CE0885" w:rsidRDefault="00977693" w:rsidP="00FA6A70">
      <w:pPr>
        <w:pStyle w:val="Heading4"/>
      </w:pPr>
      <w:bookmarkStart w:id="626" w:name="_Toc440981743"/>
      <w:r w:rsidRPr="00CE0885">
        <w:t>c</w:t>
      </w:r>
      <w:r w:rsidRPr="00CE0885">
        <w:rPr>
          <w:spacing w:val="1"/>
        </w:rPr>
        <w:t>o</w:t>
      </w:r>
      <w:r w:rsidRPr="00CE0885">
        <w:rPr>
          <w:spacing w:val="-1"/>
        </w:rPr>
        <w:t>n</w:t>
      </w:r>
      <w:r w:rsidRPr="00CE0885">
        <w:rPr>
          <w:spacing w:val="3"/>
        </w:rPr>
        <w:t>f</w:t>
      </w:r>
      <w:r w:rsidRPr="00CE0885">
        <w:t>i</w:t>
      </w:r>
      <w:r w:rsidRPr="00CE0885">
        <w:rPr>
          <w:spacing w:val="-1"/>
        </w:rPr>
        <w:t>r</w:t>
      </w:r>
      <w:r w:rsidRPr="00CE0885">
        <w:t>mation</w:t>
      </w:r>
      <w:r w:rsidRPr="00CE0885">
        <w:rPr>
          <w:spacing w:val="-8"/>
        </w:rPr>
        <w:t xml:space="preserve"> </w:t>
      </w:r>
      <w:r w:rsidRPr="00CE0885">
        <w:rPr>
          <w:spacing w:val="1"/>
        </w:rPr>
        <w:t>th</w:t>
      </w:r>
      <w:r w:rsidRPr="00CE0885">
        <w:rPr>
          <w:spacing w:val="-1"/>
        </w:rPr>
        <w:t>a</w:t>
      </w:r>
      <w:r w:rsidRPr="00CE0885">
        <w:t>t</w:t>
      </w:r>
      <w:r w:rsidRPr="00CE0885">
        <w:rPr>
          <w:spacing w:val="-3"/>
        </w:rPr>
        <w:t xml:space="preserve"> </w:t>
      </w:r>
      <w:r w:rsidRPr="00CE0885">
        <w:rPr>
          <w:spacing w:val="-1"/>
        </w:rPr>
        <w:t xml:space="preserve">the person or persons </w:t>
      </w:r>
      <w:r w:rsidRPr="00CE0885">
        <w:t>s</w:t>
      </w:r>
      <w:r w:rsidRPr="00CE0885">
        <w:rPr>
          <w:spacing w:val="1"/>
        </w:rPr>
        <w:t>at</w:t>
      </w:r>
      <w:r w:rsidRPr="00CE0885">
        <w:t>i</w:t>
      </w:r>
      <w:r w:rsidRPr="00CE0885">
        <w:rPr>
          <w:spacing w:val="-2"/>
        </w:rPr>
        <w:t>s</w:t>
      </w:r>
      <w:r w:rsidRPr="00CE0885">
        <w:rPr>
          <w:spacing w:val="3"/>
        </w:rPr>
        <w:t>f</w:t>
      </w:r>
      <w:r w:rsidRPr="00CE0885">
        <w:t>i</w:t>
      </w:r>
      <w:r w:rsidRPr="00CE0885">
        <w:rPr>
          <w:spacing w:val="1"/>
        </w:rPr>
        <w:t>e</w:t>
      </w:r>
      <w:r w:rsidRPr="00CE0885">
        <w:t>s</w:t>
      </w:r>
      <w:r w:rsidRPr="00CE0885">
        <w:rPr>
          <w:spacing w:val="-11"/>
        </w:rPr>
        <w:t xml:space="preserve"> </w:t>
      </w:r>
      <w:r w:rsidRPr="00CE0885">
        <w:t>t</w:t>
      </w:r>
      <w:r w:rsidRPr="00CE0885">
        <w:rPr>
          <w:spacing w:val="-1"/>
        </w:rPr>
        <w:t>h</w:t>
      </w:r>
      <w:r w:rsidRPr="00CE0885">
        <w:t>e</w:t>
      </w:r>
      <w:r w:rsidRPr="00CE0885">
        <w:rPr>
          <w:spacing w:val="-1"/>
        </w:rPr>
        <w:t xml:space="preserve"> </w:t>
      </w:r>
      <w:r w:rsidRPr="00CE0885">
        <w:rPr>
          <w:spacing w:val="-2"/>
        </w:rPr>
        <w:t>c</w:t>
      </w:r>
      <w:r w:rsidRPr="00CE0885">
        <w:t>onditi</w:t>
      </w:r>
      <w:r w:rsidRPr="00CE0885">
        <w:rPr>
          <w:spacing w:val="-1"/>
        </w:rPr>
        <w:t>o</w:t>
      </w:r>
      <w:r w:rsidRPr="00CE0885">
        <w:t>ns i</w:t>
      </w:r>
      <w:r w:rsidRPr="00CE0885">
        <w:rPr>
          <w:spacing w:val="2"/>
        </w:rPr>
        <w:t>m</w:t>
      </w:r>
      <w:r w:rsidRPr="00CE0885">
        <w:t>po</w:t>
      </w:r>
      <w:r w:rsidRPr="00CE0885">
        <w:rPr>
          <w:spacing w:val="-2"/>
        </w:rPr>
        <w:t>s</w:t>
      </w:r>
      <w:r w:rsidRPr="00CE0885">
        <w:t>ed</w:t>
      </w:r>
      <w:r w:rsidRPr="00CE0885">
        <w:rPr>
          <w:spacing w:val="-10"/>
        </w:rPr>
        <w:t xml:space="preserve"> </w:t>
      </w:r>
      <w:r w:rsidRPr="00CE0885">
        <w:t>by</w:t>
      </w:r>
      <w:r w:rsidRPr="00CE0885">
        <w:rPr>
          <w:spacing w:val="-5"/>
        </w:rPr>
        <w:t xml:space="preserve"> </w:t>
      </w:r>
      <w:r w:rsidRPr="00CE0885">
        <w:rPr>
          <w:spacing w:val="-1"/>
        </w:rPr>
        <w:t>r</w:t>
      </w:r>
      <w:r w:rsidRPr="00CE0885">
        <w:t>e</w:t>
      </w:r>
      <w:r w:rsidRPr="00CE0885">
        <w:rPr>
          <w:spacing w:val="-1"/>
        </w:rPr>
        <w:t>g</w:t>
      </w:r>
      <w:r w:rsidRPr="00CE0885">
        <w:t>ulatio</w:t>
      </w:r>
      <w:r w:rsidRPr="00CE0885">
        <w:rPr>
          <w:spacing w:val="-1"/>
        </w:rPr>
        <w:t>n</w:t>
      </w:r>
      <w:r w:rsidRPr="00CE0885">
        <w:t>s</w:t>
      </w:r>
      <w:r w:rsidRPr="00CE0885">
        <w:rPr>
          <w:spacing w:val="-12"/>
        </w:rPr>
        <w:t xml:space="preserve"> </w:t>
      </w:r>
      <w:r w:rsidRPr="00CE0885">
        <w:t xml:space="preserve">4 </w:t>
      </w:r>
      <w:r w:rsidRPr="00CE0885">
        <w:rPr>
          <w:spacing w:val="-1"/>
        </w:rPr>
        <w:t>a</w:t>
      </w:r>
      <w:r w:rsidRPr="00CE0885">
        <w:t>nd</w:t>
      </w:r>
      <w:r w:rsidRPr="00CE0885">
        <w:rPr>
          <w:spacing w:val="-5"/>
        </w:rPr>
        <w:t xml:space="preserve"> </w:t>
      </w:r>
      <w:r w:rsidRPr="00CE0885">
        <w:t xml:space="preserve">5 </w:t>
      </w:r>
      <w:r w:rsidRPr="00CE0885">
        <w:rPr>
          <w:spacing w:val="-1"/>
        </w:rPr>
        <w:t>o</w:t>
      </w:r>
      <w:r w:rsidRPr="00CE0885">
        <w:t>f</w:t>
      </w:r>
      <w:r w:rsidRPr="00CE0885">
        <w:rPr>
          <w:spacing w:val="-1"/>
        </w:rPr>
        <w:t xml:space="preserve"> </w:t>
      </w:r>
      <w:r w:rsidRPr="00CE0885">
        <w:t>t</w:t>
      </w:r>
      <w:r w:rsidRPr="00CE0885">
        <w:rPr>
          <w:spacing w:val="-1"/>
        </w:rPr>
        <w:t>h</w:t>
      </w:r>
      <w:r w:rsidRPr="00CE0885">
        <w:t>e</w:t>
      </w:r>
      <w:r w:rsidRPr="00CE0885">
        <w:rPr>
          <w:spacing w:val="-1"/>
        </w:rPr>
        <w:t xml:space="preserve"> GMS R</w:t>
      </w:r>
      <w:r w:rsidRPr="00CE0885">
        <w:t>e</w:t>
      </w:r>
      <w:r w:rsidRPr="00CE0885">
        <w:rPr>
          <w:spacing w:val="-1"/>
        </w:rPr>
        <w:t>g</w:t>
      </w:r>
      <w:r w:rsidRPr="00CE0885">
        <w:t>ula</w:t>
      </w:r>
      <w:r w:rsidRPr="00CE0885">
        <w:rPr>
          <w:spacing w:val="-2"/>
        </w:rPr>
        <w:t>t</w:t>
      </w:r>
      <w:r w:rsidRPr="00CE0885">
        <w:t xml:space="preserve">ions </w:t>
      </w:r>
      <w:r w:rsidR="00A114DF">
        <w:t>(p</w:t>
      </w:r>
      <w:r w:rsidR="00A114DF" w:rsidRPr="00CE0885">
        <w:t xml:space="preserve">lease refer to </w:t>
      </w:r>
      <w:r w:rsidR="00A114DF">
        <w:t>the ‘Contracts Described’ chapter</w:t>
      </w:r>
      <w:r w:rsidR="00A114DF" w:rsidRPr="00CE0885">
        <w:t xml:space="preserve"> </w:t>
      </w:r>
      <w:r w:rsidRPr="00CE0885">
        <w:t>for further information);</w:t>
      </w:r>
      <w:bookmarkEnd w:id="626"/>
      <w:r w:rsidRPr="00CE0885">
        <w:t xml:space="preserve"> </w:t>
      </w:r>
    </w:p>
    <w:p w14:paraId="27F7F9A7" w14:textId="14DC3891" w:rsidR="00977693" w:rsidRPr="00CE0885" w:rsidRDefault="00977693" w:rsidP="00FA6A70">
      <w:pPr>
        <w:pStyle w:val="Heading4"/>
      </w:pPr>
      <w:bookmarkStart w:id="627" w:name="_Toc440981744"/>
      <w:r w:rsidRPr="00CE0885">
        <w:rPr>
          <w:spacing w:val="-3"/>
        </w:rPr>
        <w:t>w</w:t>
      </w:r>
      <w:r w:rsidRPr="00CE0885">
        <w:rPr>
          <w:spacing w:val="1"/>
        </w:rPr>
        <w:t>hethe</w:t>
      </w:r>
      <w:r w:rsidRPr="00CE0885">
        <w:t>r</w:t>
      </w:r>
      <w:r w:rsidRPr="00CE0885">
        <w:rPr>
          <w:spacing w:val="-9"/>
        </w:rPr>
        <w:t xml:space="preserve"> </w:t>
      </w:r>
      <w:r w:rsidRPr="00CE0885">
        <w:rPr>
          <w:spacing w:val="1"/>
        </w:rPr>
        <w:t>o</w:t>
      </w:r>
      <w:r w:rsidRPr="00CE0885">
        <w:t>r</w:t>
      </w:r>
      <w:r w:rsidRPr="00CE0885">
        <w:rPr>
          <w:spacing w:val="-2"/>
        </w:rPr>
        <w:t xml:space="preserve"> </w:t>
      </w:r>
      <w:r w:rsidRPr="00CE0885">
        <w:rPr>
          <w:spacing w:val="1"/>
        </w:rPr>
        <w:t>n</w:t>
      </w:r>
      <w:r w:rsidRPr="00CE0885">
        <w:rPr>
          <w:spacing w:val="-1"/>
        </w:rPr>
        <w:t>o</w:t>
      </w:r>
      <w:r w:rsidRPr="00CE0885">
        <w:t>t</w:t>
      </w:r>
      <w:r w:rsidRPr="00CE0885">
        <w:rPr>
          <w:spacing w:val="-2"/>
        </w:rPr>
        <w:t xml:space="preserve"> </w:t>
      </w:r>
      <w:r w:rsidRPr="00CE0885">
        <w:t>the partnership is</w:t>
      </w:r>
      <w:r w:rsidRPr="00CE0885">
        <w:rPr>
          <w:spacing w:val="-2"/>
        </w:rPr>
        <w:t xml:space="preserve"> t</w:t>
      </w:r>
      <w:r w:rsidRPr="00CE0885">
        <w:t xml:space="preserve">o </w:t>
      </w:r>
      <w:r w:rsidRPr="00CE0885">
        <w:rPr>
          <w:spacing w:val="-1"/>
        </w:rPr>
        <w:t>b</w:t>
      </w:r>
      <w:r w:rsidRPr="00CE0885">
        <w:t>e</w:t>
      </w:r>
      <w:r w:rsidRPr="00CE0885">
        <w:rPr>
          <w:spacing w:val="-1"/>
        </w:rPr>
        <w:t xml:space="preserve"> </w:t>
      </w:r>
      <w:r w:rsidRPr="00CE0885">
        <w:t>a</w:t>
      </w:r>
      <w:r w:rsidRPr="00CE0885">
        <w:rPr>
          <w:spacing w:val="1"/>
        </w:rPr>
        <w:t xml:space="preserve"> </w:t>
      </w:r>
      <w:r w:rsidRPr="00CE0885">
        <w:t>li</w:t>
      </w:r>
      <w:r w:rsidRPr="00CE0885">
        <w:rPr>
          <w:spacing w:val="2"/>
        </w:rPr>
        <w:t>m</w:t>
      </w:r>
      <w:r w:rsidRPr="00CE0885">
        <w:t>i</w:t>
      </w:r>
      <w:r w:rsidRPr="00CE0885">
        <w:rPr>
          <w:spacing w:val="-2"/>
        </w:rPr>
        <w:t>t</w:t>
      </w:r>
      <w:r w:rsidRPr="00CE0885">
        <w:rPr>
          <w:spacing w:val="1"/>
        </w:rPr>
        <w:t>e</w:t>
      </w:r>
      <w:r w:rsidRPr="00CE0885">
        <w:t>d</w:t>
      </w:r>
      <w:r w:rsidRPr="00CE0885">
        <w:rPr>
          <w:spacing w:val="-8"/>
        </w:rPr>
        <w:t xml:space="preserve"> </w:t>
      </w:r>
      <w:r w:rsidRPr="00CE0885">
        <w:rPr>
          <w:spacing w:val="1"/>
        </w:rPr>
        <w:t>pa</w:t>
      </w:r>
      <w:r w:rsidRPr="00CE0885">
        <w:rPr>
          <w:spacing w:val="-1"/>
        </w:rPr>
        <w:t>r</w:t>
      </w:r>
      <w:r w:rsidRPr="00CE0885">
        <w:rPr>
          <w:spacing w:val="1"/>
        </w:rPr>
        <w:t>t</w:t>
      </w:r>
      <w:r w:rsidRPr="00CE0885">
        <w:rPr>
          <w:spacing w:val="-1"/>
        </w:rPr>
        <w:t>n</w:t>
      </w:r>
      <w:r w:rsidRPr="00CE0885">
        <w:rPr>
          <w:spacing w:val="1"/>
        </w:rPr>
        <w:t>e</w:t>
      </w:r>
      <w:r w:rsidRPr="00CE0885">
        <w:rPr>
          <w:spacing w:val="-1"/>
        </w:rPr>
        <w:t>r</w:t>
      </w:r>
      <w:r w:rsidRPr="00CE0885">
        <w:t>s</w:t>
      </w:r>
      <w:r w:rsidRPr="00CE0885">
        <w:rPr>
          <w:spacing w:val="1"/>
        </w:rPr>
        <w:t>h</w:t>
      </w:r>
      <w:r w:rsidRPr="00CE0885">
        <w:t>ip</w:t>
      </w:r>
      <w:r w:rsidRPr="00CE0885">
        <w:rPr>
          <w:spacing w:val="-13"/>
        </w:rPr>
        <w:t xml:space="preserve"> </w:t>
      </w:r>
      <w:r w:rsidRPr="00CE0885">
        <w:rPr>
          <w:spacing w:val="1"/>
        </w:rPr>
        <w:t>an</w:t>
      </w:r>
      <w:r w:rsidRPr="00CE0885">
        <w:t>d</w:t>
      </w:r>
      <w:r w:rsidRPr="00CE0885">
        <w:rPr>
          <w:spacing w:val="-2"/>
        </w:rPr>
        <w:t xml:space="preserve"> </w:t>
      </w:r>
      <w:r w:rsidRPr="00CE0885">
        <w:rPr>
          <w:spacing w:val="-3"/>
        </w:rPr>
        <w:t>i</w:t>
      </w:r>
      <w:r w:rsidRPr="00CE0885">
        <w:t>f s</w:t>
      </w:r>
      <w:r w:rsidRPr="00CE0885">
        <w:rPr>
          <w:spacing w:val="1"/>
        </w:rPr>
        <w:t>o</w:t>
      </w:r>
      <w:r w:rsidRPr="00CE0885">
        <w:t xml:space="preserve">, </w:t>
      </w:r>
      <w:r w:rsidRPr="00CE0885">
        <w:rPr>
          <w:spacing w:val="-3"/>
        </w:rPr>
        <w:t>w</w:t>
      </w:r>
      <w:r w:rsidRPr="00CE0885">
        <w:rPr>
          <w:spacing w:val="1"/>
        </w:rPr>
        <w:t>h</w:t>
      </w:r>
      <w:r w:rsidRPr="00CE0885">
        <w:t>o</w:t>
      </w:r>
      <w:r w:rsidRPr="00CE0885">
        <w:rPr>
          <w:spacing w:val="-2"/>
        </w:rPr>
        <w:t xml:space="preserve"> </w:t>
      </w:r>
      <w:r w:rsidRPr="00CE0885">
        <w:t>is</w:t>
      </w:r>
      <w:r w:rsidRPr="00CE0885">
        <w:rPr>
          <w:spacing w:val="-2"/>
        </w:rPr>
        <w:t xml:space="preserve"> </w:t>
      </w:r>
      <w:r w:rsidRPr="00CE0885">
        <w:t>a</w:t>
      </w:r>
      <w:r w:rsidRPr="00CE0885">
        <w:rPr>
          <w:spacing w:val="1"/>
        </w:rPr>
        <w:t xml:space="preserve"> </w:t>
      </w:r>
      <w:r w:rsidRPr="00CE0885">
        <w:t>li</w:t>
      </w:r>
      <w:r w:rsidRPr="00CE0885">
        <w:rPr>
          <w:spacing w:val="2"/>
        </w:rPr>
        <w:t>m</w:t>
      </w:r>
      <w:r w:rsidRPr="00CE0885">
        <w:t>i</w:t>
      </w:r>
      <w:r w:rsidRPr="00CE0885">
        <w:rPr>
          <w:spacing w:val="1"/>
        </w:rPr>
        <w:t>te</w:t>
      </w:r>
      <w:r w:rsidRPr="00CE0885">
        <w:t>d</w:t>
      </w:r>
      <w:r w:rsidRPr="00CE0885">
        <w:rPr>
          <w:spacing w:val="-8"/>
        </w:rPr>
        <w:t xml:space="preserve"> </w:t>
      </w:r>
      <w:r w:rsidRPr="00CE0885">
        <w:rPr>
          <w:spacing w:val="1"/>
        </w:rPr>
        <w:t>a</w:t>
      </w:r>
      <w:r w:rsidRPr="00CE0885">
        <w:rPr>
          <w:spacing w:val="-1"/>
        </w:rPr>
        <w:t>n</w:t>
      </w:r>
      <w:r w:rsidRPr="00CE0885">
        <w:t>d</w:t>
      </w:r>
      <w:r w:rsidRPr="00CE0885">
        <w:rPr>
          <w:spacing w:val="-2"/>
        </w:rPr>
        <w:t xml:space="preserve"> </w:t>
      </w:r>
      <w:r w:rsidRPr="00CE0885">
        <w:rPr>
          <w:spacing w:val="-3"/>
        </w:rPr>
        <w:t>w</w:t>
      </w:r>
      <w:r w:rsidRPr="00CE0885">
        <w:rPr>
          <w:spacing w:val="1"/>
        </w:rPr>
        <w:t>h</w:t>
      </w:r>
      <w:r w:rsidRPr="00CE0885">
        <w:t>o</w:t>
      </w:r>
      <w:r w:rsidRPr="00CE0885">
        <w:rPr>
          <w:spacing w:val="-2"/>
        </w:rPr>
        <w:t xml:space="preserve"> </w:t>
      </w:r>
      <w:r w:rsidRPr="00CE0885">
        <w:t>is</w:t>
      </w:r>
      <w:r w:rsidRPr="00CE0885">
        <w:rPr>
          <w:spacing w:val="-2"/>
        </w:rPr>
        <w:t xml:space="preserve"> </w:t>
      </w:r>
      <w:r w:rsidRPr="00CE0885">
        <w:t>a</w:t>
      </w:r>
      <w:r w:rsidRPr="00CE0885">
        <w:rPr>
          <w:spacing w:val="-2"/>
        </w:rPr>
        <w:t xml:space="preserve"> </w:t>
      </w:r>
      <w:r w:rsidRPr="00CE0885">
        <w:rPr>
          <w:spacing w:val="-1"/>
        </w:rPr>
        <w:t>g</w:t>
      </w:r>
      <w:r w:rsidRPr="00CE0885">
        <w:rPr>
          <w:spacing w:val="1"/>
        </w:rPr>
        <w:t>ene</w:t>
      </w:r>
      <w:r w:rsidRPr="00CE0885">
        <w:rPr>
          <w:spacing w:val="-1"/>
        </w:rPr>
        <w:t>r</w:t>
      </w:r>
      <w:r w:rsidRPr="00CE0885">
        <w:rPr>
          <w:spacing w:val="1"/>
        </w:rPr>
        <w:t>a</w:t>
      </w:r>
      <w:r w:rsidRPr="00CE0885">
        <w:t>l</w:t>
      </w:r>
      <w:r w:rsidRPr="00CE0885">
        <w:rPr>
          <w:spacing w:val="-10"/>
        </w:rPr>
        <w:t xml:space="preserve"> </w:t>
      </w:r>
      <w:r w:rsidRPr="00CE0885">
        <w:rPr>
          <w:spacing w:val="1"/>
        </w:rPr>
        <w:t>pa</w:t>
      </w:r>
      <w:r w:rsidRPr="00CE0885">
        <w:rPr>
          <w:spacing w:val="-1"/>
        </w:rPr>
        <w:t>r</w:t>
      </w:r>
      <w:r w:rsidRPr="00CE0885">
        <w:rPr>
          <w:spacing w:val="1"/>
        </w:rPr>
        <w:t>t</w:t>
      </w:r>
      <w:r w:rsidRPr="00CE0885">
        <w:rPr>
          <w:spacing w:val="-1"/>
        </w:rPr>
        <w:t>n</w:t>
      </w:r>
      <w:r w:rsidRPr="00CE0885">
        <w:rPr>
          <w:spacing w:val="1"/>
        </w:rPr>
        <w:t>e</w:t>
      </w:r>
      <w:r w:rsidRPr="00CE0885">
        <w:rPr>
          <w:spacing w:val="-1"/>
        </w:rPr>
        <w:t>r</w:t>
      </w:r>
      <w:r w:rsidRPr="00CE0885">
        <w:t>; and</w:t>
      </w:r>
      <w:bookmarkEnd w:id="627"/>
    </w:p>
    <w:p w14:paraId="6F31331D" w14:textId="3D101DB8" w:rsidR="00977693" w:rsidRPr="00CE0885" w:rsidRDefault="00977693" w:rsidP="00FA6A70">
      <w:pPr>
        <w:pStyle w:val="Heading4"/>
      </w:pPr>
      <w:bookmarkStart w:id="628" w:name="_Toc440981745"/>
      <w:r w:rsidRPr="00CE0885">
        <w:t>the</w:t>
      </w:r>
      <w:r w:rsidRPr="00CE0885">
        <w:rPr>
          <w:spacing w:val="-4"/>
        </w:rPr>
        <w:t xml:space="preserve"> </w:t>
      </w:r>
      <w:r w:rsidRPr="00CE0885">
        <w:t>d</w:t>
      </w:r>
      <w:r w:rsidRPr="00CE0885">
        <w:rPr>
          <w:spacing w:val="-1"/>
        </w:rPr>
        <w:t>a</w:t>
      </w:r>
      <w:r w:rsidRPr="00CE0885">
        <w:t>te</w:t>
      </w:r>
      <w:r w:rsidRPr="00CE0885">
        <w:rPr>
          <w:spacing w:val="-6"/>
        </w:rPr>
        <w:t xml:space="preserve"> </w:t>
      </w:r>
      <w:r w:rsidRPr="00CE0885">
        <w:t xml:space="preserve">on </w:t>
      </w:r>
      <w:r w:rsidRPr="00CE0885">
        <w:rPr>
          <w:spacing w:val="-3"/>
        </w:rPr>
        <w:t>w</w:t>
      </w:r>
      <w:r w:rsidRPr="00CE0885">
        <w:t>hich</w:t>
      </w:r>
      <w:r w:rsidRPr="00CE0885">
        <w:rPr>
          <w:spacing w:val="-4"/>
        </w:rPr>
        <w:t xml:space="preserve"> </w:t>
      </w:r>
      <w:r w:rsidRPr="00CE0885">
        <w:t>the</w:t>
      </w:r>
      <w:r w:rsidRPr="00CE0885">
        <w:rPr>
          <w:spacing w:val="-1"/>
        </w:rPr>
        <w:t xml:space="preserve"> </w:t>
      </w:r>
      <w:r w:rsidRPr="00CE0885">
        <w:t>co</w:t>
      </w:r>
      <w:r w:rsidRPr="00CE0885">
        <w:rPr>
          <w:spacing w:val="-1"/>
        </w:rPr>
        <w:t>n</w:t>
      </w:r>
      <w:r w:rsidRPr="00CE0885">
        <w:t>t</w:t>
      </w:r>
      <w:r w:rsidRPr="00CE0885">
        <w:rPr>
          <w:spacing w:val="-1"/>
        </w:rPr>
        <w:t>r</w:t>
      </w:r>
      <w:r w:rsidRPr="00CE0885">
        <w:t>actor</w:t>
      </w:r>
      <w:r w:rsidRPr="00CE0885">
        <w:rPr>
          <w:spacing w:val="-11"/>
        </w:rPr>
        <w:t xml:space="preserve"> </w:t>
      </w:r>
      <w:r w:rsidRPr="00CE0885">
        <w:rPr>
          <w:spacing w:val="-3"/>
        </w:rPr>
        <w:t>w</w:t>
      </w:r>
      <w:r w:rsidRPr="00CE0885">
        <w:t>ishes</w:t>
      </w:r>
      <w:r w:rsidRPr="00CE0885">
        <w:rPr>
          <w:spacing w:val="-7"/>
        </w:rPr>
        <w:t xml:space="preserve"> </w:t>
      </w:r>
      <w:r w:rsidRPr="00CE0885">
        <w:rPr>
          <w:spacing w:val="-2"/>
        </w:rPr>
        <w:t>t</w:t>
      </w:r>
      <w:r w:rsidRPr="00CE0885">
        <w:t>o c</w:t>
      </w:r>
      <w:r w:rsidRPr="00CE0885">
        <w:rPr>
          <w:spacing w:val="-1"/>
        </w:rPr>
        <w:t>h</w:t>
      </w:r>
      <w:r w:rsidRPr="00CE0885">
        <w:t>an</w:t>
      </w:r>
      <w:r w:rsidRPr="00CE0885">
        <w:rPr>
          <w:spacing w:val="-1"/>
        </w:rPr>
        <w:t>g</w:t>
      </w:r>
      <w:r w:rsidRPr="00CE0885">
        <w:t>e</w:t>
      </w:r>
      <w:r w:rsidRPr="00CE0885">
        <w:rPr>
          <w:spacing w:val="-6"/>
        </w:rPr>
        <w:t xml:space="preserve"> </w:t>
      </w:r>
      <w:r w:rsidRPr="00CE0885">
        <w:t>its</w:t>
      </w:r>
      <w:r w:rsidRPr="00CE0885">
        <w:rPr>
          <w:spacing w:val="-2"/>
        </w:rPr>
        <w:t xml:space="preserve"> </w:t>
      </w:r>
      <w:r w:rsidRPr="00CE0885">
        <w:t>s</w:t>
      </w:r>
      <w:r w:rsidRPr="00CE0885">
        <w:rPr>
          <w:spacing w:val="-2"/>
        </w:rPr>
        <w:t>t</w:t>
      </w:r>
      <w:r w:rsidRPr="00CE0885">
        <w:t>a</w:t>
      </w:r>
      <w:r w:rsidRPr="00CE0885">
        <w:rPr>
          <w:spacing w:val="-2"/>
        </w:rPr>
        <w:t>t</w:t>
      </w:r>
      <w:r w:rsidRPr="00CE0885">
        <w:t>us</w:t>
      </w:r>
      <w:r w:rsidRPr="00CE0885">
        <w:rPr>
          <w:spacing w:val="-6"/>
        </w:rPr>
        <w:t xml:space="preserve"> (</w:t>
      </w:r>
      <w:r w:rsidRPr="00CE0885">
        <w:rPr>
          <w:spacing w:val="-3"/>
        </w:rPr>
        <w:t>w</w:t>
      </w:r>
      <w:r w:rsidRPr="00CE0885">
        <w:t>hich</w:t>
      </w:r>
      <w:r w:rsidRPr="00CE0885">
        <w:rPr>
          <w:spacing w:val="-4"/>
        </w:rPr>
        <w:t xml:space="preserve"> </w:t>
      </w:r>
      <w:r w:rsidRPr="00CE0885">
        <w:t>shall</w:t>
      </w:r>
      <w:r w:rsidRPr="00CE0885">
        <w:rPr>
          <w:spacing w:val="-5"/>
        </w:rPr>
        <w:t xml:space="preserve"> </w:t>
      </w:r>
      <w:r w:rsidRPr="00CE0885">
        <w:rPr>
          <w:spacing w:val="-1"/>
        </w:rPr>
        <w:t>n</w:t>
      </w:r>
      <w:r w:rsidRPr="00CE0885">
        <w:t>ot be</w:t>
      </w:r>
      <w:r w:rsidRPr="00CE0885">
        <w:rPr>
          <w:spacing w:val="-1"/>
        </w:rPr>
        <w:t xml:space="preserve"> </w:t>
      </w:r>
      <w:r w:rsidRPr="00CE0885">
        <w:t>less</w:t>
      </w:r>
      <w:r w:rsidRPr="00CE0885">
        <w:rPr>
          <w:spacing w:val="-6"/>
        </w:rPr>
        <w:t xml:space="preserve"> </w:t>
      </w:r>
      <w:r w:rsidRPr="00CE0885">
        <w:t>th</w:t>
      </w:r>
      <w:r w:rsidRPr="00CE0885">
        <w:rPr>
          <w:spacing w:val="-1"/>
        </w:rPr>
        <w:t>a</w:t>
      </w:r>
      <w:r w:rsidRPr="00CE0885">
        <w:t>n</w:t>
      </w:r>
      <w:r w:rsidRPr="00CE0885">
        <w:rPr>
          <w:spacing w:val="-3"/>
        </w:rPr>
        <w:t xml:space="preserve"> </w:t>
      </w:r>
      <w:r w:rsidRPr="00CE0885">
        <w:rPr>
          <w:spacing w:val="-1"/>
        </w:rPr>
        <w:t>2</w:t>
      </w:r>
      <w:r w:rsidRPr="00CE0885">
        <w:t>8</w:t>
      </w:r>
      <w:r w:rsidRPr="00CE0885">
        <w:rPr>
          <w:spacing w:val="-1"/>
        </w:rPr>
        <w:t xml:space="preserve"> d</w:t>
      </w:r>
      <w:r w:rsidRPr="00CE0885">
        <w:t>a</w:t>
      </w:r>
      <w:r w:rsidRPr="00CE0885">
        <w:rPr>
          <w:spacing w:val="-2"/>
        </w:rPr>
        <w:t>y</w:t>
      </w:r>
      <w:r w:rsidRPr="00CE0885">
        <w:t>s</w:t>
      </w:r>
      <w:r w:rsidRPr="00CE0885">
        <w:rPr>
          <w:spacing w:val="-5"/>
        </w:rPr>
        <w:t xml:space="preserve"> </w:t>
      </w:r>
      <w:r w:rsidRPr="00CE0885">
        <w:rPr>
          <w:spacing w:val="3"/>
        </w:rPr>
        <w:t>f</w:t>
      </w:r>
      <w:r w:rsidRPr="00CE0885">
        <w:rPr>
          <w:spacing w:val="-3"/>
        </w:rPr>
        <w:t>r</w:t>
      </w:r>
      <w:r w:rsidRPr="00CE0885">
        <w:t>om the date on which the notice was served on the Commissioner).</w:t>
      </w:r>
      <w:bookmarkEnd w:id="628"/>
    </w:p>
    <w:p w14:paraId="4D82C942" w14:textId="576E4B5F" w:rsidR="00977693" w:rsidRPr="00CE0885" w:rsidRDefault="00977693" w:rsidP="006B781A">
      <w:pPr>
        <w:pStyle w:val="Heading3"/>
        <w:rPr>
          <w:lang w:eastAsia="en-GB"/>
        </w:rPr>
      </w:pPr>
      <w:bookmarkStart w:id="629" w:name="_Toc440981746"/>
      <w:r w:rsidRPr="00CE0885">
        <w:rPr>
          <w:lang w:eastAsia="en-GB"/>
        </w:rPr>
        <w:t>The</w:t>
      </w:r>
      <w:r w:rsidRPr="00CE0885">
        <w:rPr>
          <w:spacing w:val="-4"/>
          <w:lang w:eastAsia="en-GB"/>
        </w:rPr>
        <w:t xml:space="preserve"> </w:t>
      </w:r>
      <w:r w:rsidRPr="00CE0885">
        <w:rPr>
          <w:lang w:eastAsia="en-GB"/>
        </w:rPr>
        <w:t>n</w:t>
      </w:r>
      <w:r w:rsidRPr="00CE0885">
        <w:rPr>
          <w:spacing w:val="-1"/>
          <w:lang w:eastAsia="en-GB"/>
        </w:rPr>
        <w:t>o</w:t>
      </w:r>
      <w:r w:rsidRPr="00CE0885">
        <w:rPr>
          <w:lang w:eastAsia="en-GB"/>
        </w:rPr>
        <w:t>tice</w:t>
      </w:r>
      <w:r w:rsidRPr="00CE0885">
        <w:rPr>
          <w:spacing w:val="-7"/>
          <w:lang w:eastAsia="en-GB"/>
        </w:rPr>
        <w:t xml:space="preserve"> </w:t>
      </w:r>
      <w:r w:rsidRPr="00CE0885">
        <w:rPr>
          <w:spacing w:val="2"/>
          <w:lang w:eastAsia="en-GB"/>
        </w:rPr>
        <w:t>m</w:t>
      </w:r>
      <w:r w:rsidRPr="00CE0885">
        <w:rPr>
          <w:lang w:eastAsia="en-GB"/>
        </w:rPr>
        <w:t>ust</w:t>
      </w:r>
      <w:r w:rsidRPr="00CE0885">
        <w:rPr>
          <w:spacing w:val="-6"/>
          <w:lang w:eastAsia="en-GB"/>
        </w:rPr>
        <w:t xml:space="preserve"> </w:t>
      </w:r>
      <w:r w:rsidRPr="00CE0885">
        <w:rPr>
          <w:lang w:eastAsia="en-GB"/>
        </w:rPr>
        <w:t>be</w:t>
      </w:r>
      <w:r w:rsidRPr="00CE0885">
        <w:rPr>
          <w:spacing w:val="-4"/>
          <w:lang w:eastAsia="en-GB"/>
        </w:rPr>
        <w:t xml:space="preserve"> </w:t>
      </w:r>
      <w:r w:rsidRPr="00CE0885">
        <w:rPr>
          <w:lang w:eastAsia="en-GB"/>
        </w:rPr>
        <w:t>si</w:t>
      </w:r>
      <w:r w:rsidRPr="00CE0885">
        <w:rPr>
          <w:spacing w:val="-1"/>
          <w:lang w:eastAsia="en-GB"/>
        </w:rPr>
        <w:t>g</w:t>
      </w:r>
      <w:r w:rsidRPr="00CE0885">
        <w:rPr>
          <w:lang w:eastAsia="en-GB"/>
        </w:rPr>
        <w:t>ned</w:t>
      </w:r>
      <w:r w:rsidRPr="00CE0885">
        <w:rPr>
          <w:spacing w:val="-5"/>
          <w:lang w:eastAsia="en-GB"/>
        </w:rPr>
        <w:t xml:space="preserve"> </w:t>
      </w:r>
      <w:r w:rsidRPr="00CE0885">
        <w:rPr>
          <w:lang w:eastAsia="en-GB"/>
        </w:rPr>
        <w:t>by</w:t>
      </w:r>
      <w:r w:rsidRPr="00CE0885">
        <w:rPr>
          <w:spacing w:val="-5"/>
          <w:lang w:eastAsia="en-GB"/>
        </w:rPr>
        <w:t xml:space="preserve"> </w:t>
      </w:r>
      <w:r w:rsidRPr="00CE0885">
        <w:rPr>
          <w:lang w:eastAsia="en-GB"/>
        </w:rPr>
        <w:t>the</w:t>
      </w:r>
      <w:r w:rsidRPr="00CE0885">
        <w:rPr>
          <w:spacing w:val="-4"/>
          <w:lang w:eastAsia="en-GB"/>
        </w:rPr>
        <w:t xml:space="preserve"> </w:t>
      </w:r>
      <w:r w:rsidRPr="00CE0885">
        <w:rPr>
          <w:lang w:eastAsia="en-GB"/>
        </w:rPr>
        <w:t>indi</w:t>
      </w:r>
      <w:r w:rsidRPr="00CE0885">
        <w:rPr>
          <w:spacing w:val="-2"/>
          <w:lang w:eastAsia="en-GB"/>
        </w:rPr>
        <w:t>v</w:t>
      </w:r>
      <w:r w:rsidRPr="00CE0885">
        <w:rPr>
          <w:lang w:eastAsia="en-GB"/>
        </w:rPr>
        <w:t>idual</w:t>
      </w:r>
      <w:r w:rsidRPr="00CE0885">
        <w:rPr>
          <w:spacing w:val="-10"/>
          <w:lang w:eastAsia="en-GB"/>
        </w:rPr>
        <w:t xml:space="preserve"> </w:t>
      </w:r>
      <w:r w:rsidRPr="00CE0885">
        <w:rPr>
          <w:lang w:eastAsia="en-GB"/>
        </w:rPr>
        <w:t>cont</w:t>
      </w:r>
      <w:r w:rsidRPr="00CE0885">
        <w:rPr>
          <w:spacing w:val="-1"/>
          <w:lang w:eastAsia="en-GB"/>
        </w:rPr>
        <w:t>r</w:t>
      </w:r>
      <w:r w:rsidRPr="00CE0885">
        <w:rPr>
          <w:lang w:eastAsia="en-GB"/>
        </w:rPr>
        <w:t>a</w:t>
      </w:r>
      <w:r w:rsidRPr="00CE0885">
        <w:rPr>
          <w:spacing w:val="-2"/>
          <w:lang w:eastAsia="en-GB"/>
        </w:rPr>
        <w:t>c</w:t>
      </w:r>
      <w:r w:rsidRPr="00CE0885">
        <w:rPr>
          <w:lang w:eastAsia="en-GB"/>
        </w:rPr>
        <w:t>tor</w:t>
      </w:r>
      <w:r w:rsidRPr="00CE0885">
        <w:rPr>
          <w:spacing w:val="-11"/>
          <w:lang w:eastAsia="en-GB"/>
        </w:rPr>
        <w:t xml:space="preserve"> </w:t>
      </w:r>
      <w:r w:rsidRPr="00CE0885">
        <w:rPr>
          <w:spacing w:val="-1"/>
          <w:lang w:eastAsia="en-GB"/>
        </w:rPr>
        <w:t>a</w:t>
      </w:r>
      <w:r w:rsidRPr="00CE0885">
        <w:rPr>
          <w:lang w:eastAsia="en-GB"/>
        </w:rPr>
        <w:t>nd</w:t>
      </w:r>
      <w:r w:rsidRPr="00CE0885">
        <w:rPr>
          <w:spacing w:val="-5"/>
          <w:lang w:eastAsia="en-GB"/>
        </w:rPr>
        <w:t xml:space="preserve"> </w:t>
      </w:r>
      <w:r w:rsidRPr="00CE0885">
        <w:rPr>
          <w:lang w:eastAsia="en-GB"/>
        </w:rPr>
        <w:t>by the</w:t>
      </w:r>
      <w:r w:rsidRPr="00CE0885">
        <w:rPr>
          <w:spacing w:val="-4"/>
          <w:lang w:eastAsia="en-GB"/>
        </w:rPr>
        <w:t xml:space="preserve"> </w:t>
      </w:r>
      <w:r w:rsidRPr="00CE0885">
        <w:rPr>
          <w:lang w:eastAsia="en-GB"/>
        </w:rPr>
        <w:t>pe</w:t>
      </w:r>
      <w:r w:rsidRPr="00CE0885">
        <w:rPr>
          <w:spacing w:val="-1"/>
          <w:lang w:eastAsia="en-GB"/>
        </w:rPr>
        <w:t>r</w:t>
      </w:r>
      <w:r w:rsidRPr="00CE0885">
        <w:rPr>
          <w:lang w:eastAsia="en-GB"/>
        </w:rPr>
        <w:t>son</w:t>
      </w:r>
      <w:r w:rsidRPr="00CE0885">
        <w:rPr>
          <w:spacing w:val="-8"/>
          <w:lang w:eastAsia="en-GB"/>
        </w:rPr>
        <w:t xml:space="preserve"> </w:t>
      </w:r>
      <w:r w:rsidRPr="00CE0885">
        <w:rPr>
          <w:lang w:eastAsia="en-GB"/>
        </w:rPr>
        <w:t>or</w:t>
      </w:r>
      <w:r w:rsidRPr="00CE0885">
        <w:rPr>
          <w:spacing w:val="-2"/>
          <w:lang w:eastAsia="en-GB"/>
        </w:rPr>
        <w:t xml:space="preserve"> </w:t>
      </w:r>
      <w:r w:rsidRPr="00CE0885">
        <w:rPr>
          <w:spacing w:val="-1"/>
          <w:lang w:eastAsia="en-GB"/>
        </w:rPr>
        <w:t xml:space="preserve">persons </w:t>
      </w:r>
      <w:r w:rsidRPr="00CE0885">
        <w:rPr>
          <w:spacing w:val="-3"/>
          <w:lang w:eastAsia="en-GB"/>
        </w:rPr>
        <w:t>w</w:t>
      </w:r>
      <w:r w:rsidRPr="00CE0885">
        <w:rPr>
          <w:lang w:eastAsia="en-GB"/>
        </w:rPr>
        <w:t xml:space="preserve">ith </w:t>
      </w:r>
      <w:r w:rsidRPr="00CE0885">
        <w:rPr>
          <w:spacing w:val="-3"/>
          <w:lang w:eastAsia="en-GB"/>
        </w:rPr>
        <w:t>w</w:t>
      </w:r>
      <w:r w:rsidRPr="00CE0885">
        <w:rPr>
          <w:lang w:eastAsia="en-GB"/>
        </w:rPr>
        <w:t>hom</w:t>
      </w:r>
      <w:r w:rsidRPr="00CE0885">
        <w:rPr>
          <w:spacing w:val="-4"/>
          <w:lang w:eastAsia="en-GB"/>
        </w:rPr>
        <w:t xml:space="preserve"> </w:t>
      </w:r>
      <w:r w:rsidRPr="00CE0885">
        <w:rPr>
          <w:lang w:eastAsia="en-GB"/>
        </w:rPr>
        <w:t>the individual contractor</w:t>
      </w:r>
      <w:r w:rsidRPr="00CE0885">
        <w:rPr>
          <w:spacing w:val="-1"/>
          <w:lang w:eastAsia="en-GB"/>
        </w:rPr>
        <w:t xml:space="preserve"> </w:t>
      </w:r>
      <w:r w:rsidRPr="00CE0885">
        <w:rPr>
          <w:lang w:eastAsia="en-GB"/>
        </w:rPr>
        <w:t>is</w:t>
      </w:r>
      <w:r w:rsidRPr="00CE0885">
        <w:rPr>
          <w:spacing w:val="-4"/>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1"/>
          <w:lang w:eastAsia="en-GB"/>
        </w:rPr>
        <w:t>p</w:t>
      </w:r>
      <w:r w:rsidRPr="00CE0885">
        <w:rPr>
          <w:lang w:eastAsia="en-GB"/>
        </w:rPr>
        <w:t>osing</w:t>
      </w:r>
      <w:r w:rsidRPr="00CE0885">
        <w:rPr>
          <w:spacing w:val="-12"/>
          <w:lang w:eastAsia="en-GB"/>
        </w:rPr>
        <w:t xml:space="preserve"> </w:t>
      </w:r>
      <w:r w:rsidRPr="00CE0885">
        <w:rPr>
          <w:lang w:eastAsia="en-GB"/>
        </w:rPr>
        <w:t>to p</w:t>
      </w:r>
      <w:r w:rsidRPr="00CE0885">
        <w:rPr>
          <w:spacing w:val="-1"/>
          <w:lang w:eastAsia="en-GB"/>
        </w:rPr>
        <w:t>r</w:t>
      </w:r>
      <w:r w:rsidRPr="00CE0885">
        <w:rPr>
          <w:lang w:eastAsia="en-GB"/>
        </w:rPr>
        <w:t>acti</w:t>
      </w:r>
      <w:r w:rsidRPr="00CE0885">
        <w:rPr>
          <w:spacing w:val="-2"/>
          <w:lang w:eastAsia="en-GB"/>
        </w:rPr>
        <w:t>s</w:t>
      </w:r>
      <w:r w:rsidRPr="00CE0885">
        <w:rPr>
          <w:lang w:eastAsia="en-GB"/>
        </w:rPr>
        <w:t>e</w:t>
      </w:r>
      <w:r w:rsidRPr="00CE0885">
        <w:rPr>
          <w:spacing w:val="-6"/>
          <w:lang w:eastAsia="en-GB"/>
        </w:rPr>
        <w:t xml:space="preserve"> </w:t>
      </w:r>
      <w:r w:rsidRPr="00CE0885">
        <w:rPr>
          <w:lang w:eastAsia="en-GB"/>
        </w:rPr>
        <w:t>in</w:t>
      </w:r>
      <w:r w:rsidRPr="00CE0885">
        <w:rPr>
          <w:spacing w:val="-3"/>
          <w:lang w:eastAsia="en-GB"/>
        </w:rPr>
        <w:t xml:space="preserve"> </w:t>
      </w:r>
      <w:r w:rsidRPr="00CE0885">
        <w:rPr>
          <w:lang w:eastAsia="en-GB"/>
        </w:rPr>
        <w:t>pa</w:t>
      </w:r>
      <w:r w:rsidRPr="00CE0885">
        <w:rPr>
          <w:spacing w:val="-1"/>
          <w:lang w:eastAsia="en-GB"/>
        </w:rPr>
        <w:t>r</w:t>
      </w:r>
      <w:r w:rsidRPr="00CE0885">
        <w:rPr>
          <w:lang w:eastAsia="en-GB"/>
        </w:rPr>
        <w:t>t</w:t>
      </w:r>
      <w:r w:rsidRPr="00CE0885">
        <w:rPr>
          <w:spacing w:val="-1"/>
          <w:lang w:eastAsia="en-GB"/>
        </w:rPr>
        <w:t>n</w:t>
      </w:r>
      <w:r w:rsidRPr="00CE0885">
        <w:rPr>
          <w:lang w:eastAsia="en-GB"/>
        </w:rPr>
        <w:t>e</w:t>
      </w:r>
      <w:r w:rsidRPr="00CE0885">
        <w:rPr>
          <w:spacing w:val="-1"/>
          <w:lang w:eastAsia="en-GB"/>
        </w:rPr>
        <w:t>r</w:t>
      </w:r>
      <w:r w:rsidRPr="00CE0885">
        <w:rPr>
          <w:lang w:eastAsia="en-GB"/>
        </w:rPr>
        <w:t>s</w:t>
      </w:r>
      <w:r w:rsidRPr="00CE0885">
        <w:rPr>
          <w:spacing w:val="-1"/>
          <w:lang w:eastAsia="en-GB"/>
        </w:rPr>
        <w:t>h</w:t>
      </w:r>
      <w:r w:rsidRPr="00CE0885">
        <w:rPr>
          <w:lang w:eastAsia="en-GB"/>
        </w:rPr>
        <w:t>ip. Where the contractor contacts the Commissioner about such a change, the Commissioner should send Annex 3A.</w:t>
      </w:r>
      <w:bookmarkEnd w:id="629"/>
    </w:p>
    <w:p w14:paraId="2D6FCE35" w14:textId="4B9A8D20" w:rsidR="00977693" w:rsidRPr="00CE0885" w:rsidRDefault="00977693" w:rsidP="006B781A">
      <w:pPr>
        <w:pStyle w:val="Heading3"/>
        <w:rPr>
          <w:lang w:eastAsia="en-GB"/>
        </w:rPr>
      </w:pPr>
      <w:bookmarkStart w:id="630" w:name="_Toc440981747"/>
      <w:r w:rsidRPr="00CE0885">
        <w:rPr>
          <w:lang w:eastAsia="en-GB"/>
        </w:rPr>
        <w:t>The Commissioner</w:t>
      </w:r>
      <w:r w:rsidRPr="00CE0885">
        <w:rPr>
          <w:spacing w:val="-6"/>
          <w:lang w:eastAsia="en-GB"/>
        </w:rPr>
        <w:t xml:space="preserve"> </w:t>
      </w:r>
      <w:r w:rsidRPr="00CE0885">
        <w:rPr>
          <w:spacing w:val="2"/>
          <w:lang w:eastAsia="en-GB"/>
        </w:rPr>
        <w:t>m</w:t>
      </w:r>
      <w:r w:rsidRPr="00CE0885">
        <w:rPr>
          <w:lang w:eastAsia="en-GB"/>
        </w:rPr>
        <w:t>u</w:t>
      </w:r>
      <w:r w:rsidRPr="00CE0885">
        <w:rPr>
          <w:spacing w:val="-2"/>
          <w:lang w:eastAsia="en-GB"/>
        </w:rPr>
        <w:t>s</w:t>
      </w:r>
      <w:r w:rsidRPr="00CE0885">
        <w:rPr>
          <w:lang w:eastAsia="en-GB"/>
        </w:rPr>
        <w:t>t</w:t>
      </w:r>
      <w:r w:rsidRPr="00CE0885">
        <w:rPr>
          <w:spacing w:val="-4"/>
          <w:lang w:eastAsia="en-GB"/>
        </w:rPr>
        <w:t xml:space="preserve"> </w:t>
      </w:r>
      <w:r w:rsidRPr="00CE0885">
        <w:rPr>
          <w:spacing w:val="-1"/>
          <w:lang w:eastAsia="en-GB"/>
        </w:rPr>
        <w:t>e</w:t>
      </w:r>
      <w:r w:rsidRPr="00CE0885">
        <w:rPr>
          <w:lang w:eastAsia="en-GB"/>
        </w:rPr>
        <w:t>nsu</w:t>
      </w:r>
      <w:r w:rsidRPr="00CE0885">
        <w:rPr>
          <w:spacing w:val="-1"/>
          <w:lang w:eastAsia="en-GB"/>
        </w:rPr>
        <w:t>r</w:t>
      </w:r>
      <w:r w:rsidRPr="00CE0885">
        <w:rPr>
          <w:lang w:eastAsia="en-GB"/>
        </w:rPr>
        <w:t>e</w:t>
      </w:r>
      <w:r w:rsidRPr="00CE0885">
        <w:rPr>
          <w:spacing w:val="-8"/>
          <w:lang w:eastAsia="en-GB"/>
        </w:rPr>
        <w:t xml:space="preserve"> </w:t>
      </w:r>
      <w:r w:rsidRPr="00CE0885">
        <w:rPr>
          <w:lang w:eastAsia="en-GB"/>
        </w:rPr>
        <w:t>the</w:t>
      </w:r>
      <w:r w:rsidRPr="00CE0885">
        <w:rPr>
          <w:spacing w:val="-4"/>
          <w:lang w:eastAsia="en-GB"/>
        </w:rPr>
        <w:t xml:space="preserve"> </w:t>
      </w:r>
      <w:r w:rsidRPr="00CE0885">
        <w:rPr>
          <w:spacing w:val="-1"/>
          <w:lang w:eastAsia="en-GB"/>
        </w:rPr>
        <w:t>a</w:t>
      </w:r>
      <w:r w:rsidRPr="00CE0885">
        <w:rPr>
          <w:lang w:eastAsia="en-GB"/>
        </w:rPr>
        <w:t>ccu</w:t>
      </w:r>
      <w:r w:rsidRPr="00CE0885">
        <w:rPr>
          <w:spacing w:val="-1"/>
          <w:lang w:eastAsia="en-GB"/>
        </w:rPr>
        <w:t>r</w:t>
      </w:r>
      <w:r w:rsidRPr="00CE0885">
        <w:rPr>
          <w:lang w:eastAsia="en-GB"/>
        </w:rPr>
        <w:t>acy</w:t>
      </w:r>
      <w:r w:rsidRPr="00CE0885">
        <w:rPr>
          <w:spacing w:val="-12"/>
          <w:lang w:eastAsia="en-GB"/>
        </w:rPr>
        <w:t xml:space="preserve"> </w:t>
      </w:r>
      <w:r w:rsidRPr="00CE0885">
        <w:rPr>
          <w:lang w:eastAsia="en-GB"/>
        </w:rPr>
        <w:t>of</w:t>
      </w:r>
      <w:r w:rsidRPr="00CE0885">
        <w:rPr>
          <w:spacing w:val="-1"/>
          <w:lang w:eastAsia="en-GB"/>
        </w:rPr>
        <w:t xml:space="preserve"> </w:t>
      </w:r>
      <w:r w:rsidRPr="00CE0885">
        <w:rPr>
          <w:lang w:eastAsia="en-GB"/>
        </w:rPr>
        <w:t>the</w:t>
      </w:r>
      <w:r w:rsidRPr="00CE0885">
        <w:rPr>
          <w:spacing w:val="-4"/>
          <w:lang w:eastAsia="en-GB"/>
        </w:rPr>
        <w:t xml:space="preserve"> </w:t>
      </w:r>
      <w:r w:rsidRPr="00CE0885">
        <w:rPr>
          <w:lang w:eastAsia="en-GB"/>
        </w:rPr>
        <w:t>i</w:t>
      </w:r>
      <w:r w:rsidRPr="00CE0885">
        <w:rPr>
          <w:spacing w:val="-1"/>
          <w:lang w:eastAsia="en-GB"/>
        </w:rPr>
        <w:t>n</w:t>
      </w:r>
      <w:r w:rsidRPr="00CE0885">
        <w:rPr>
          <w:spacing w:val="3"/>
          <w:lang w:eastAsia="en-GB"/>
        </w:rPr>
        <w:t>f</w:t>
      </w:r>
      <w:r w:rsidRPr="00CE0885">
        <w:rPr>
          <w:lang w:eastAsia="en-GB"/>
        </w:rPr>
        <w:t>o</w:t>
      </w:r>
      <w:r w:rsidRPr="00CE0885">
        <w:rPr>
          <w:spacing w:val="-3"/>
          <w:lang w:eastAsia="en-GB"/>
        </w:rPr>
        <w:t>r</w:t>
      </w:r>
      <w:r w:rsidRPr="00CE0885">
        <w:rPr>
          <w:spacing w:val="2"/>
          <w:lang w:eastAsia="en-GB"/>
        </w:rPr>
        <w:t>m</w:t>
      </w:r>
      <w:r w:rsidRPr="00CE0885">
        <w:rPr>
          <w:lang w:eastAsia="en-GB"/>
        </w:rPr>
        <w:t>a</w:t>
      </w:r>
      <w:r w:rsidRPr="00CE0885">
        <w:rPr>
          <w:spacing w:val="-2"/>
          <w:lang w:eastAsia="en-GB"/>
        </w:rPr>
        <w:t>t</w:t>
      </w:r>
      <w:r w:rsidRPr="00CE0885">
        <w:rPr>
          <w:lang w:eastAsia="en-GB"/>
        </w:rPr>
        <w:t>ion</w:t>
      </w:r>
      <w:r w:rsidRPr="00CE0885">
        <w:rPr>
          <w:spacing w:val="-10"/>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2"/>
          <w:lang w:eastAsia="en-GB"/>
        </w:rPr>
        <w:t>v</w:t>
      </w:r>
      <w:r w:rsidRPr="00CE0885">
        <w:rPr>
          <w:lang w:eastAsia="en-GB"/>
        </w:rPr>
        <w:t>ided.</w:t>
      </w:r>
      <w:r w:rsidRPr="00CE0885">
        <w:rPr>
          <w:spacing w:val="57"/>
          <w:lang w:eastAsia="en-GB"/>
        </w:rPr>
        <w:t xml:space="preserve"> </w:t>
      </w:r>
      <w:r w:rsidRPr="00CE0885">
        <w:rPr>
          <w:spacing w:val="2"/>
          <w:lang w:eastAsia="en-GB"/>
        </w:rPr>
        <w:t>T</w:t>
      </w:r>
      <w:r w:rsidRPr="00CE0885">
        <w:rPr>
          <w:lang w:eastAsia="en-GB"/>
        </w:rPr>
        <w:t>his</w:t>
      </w:r>
      <w:r w:rsidRPr="00CE0885">
        <w:rPr>
          <w:spacing w:val="-7"/>
          <w:lang w:eastAsia="en-GB"/>
        </w:rPr>
        <w:t xml:space="preserve"> </w:t>
      </w:r>
      <w:r w:rsidRPr="00CE0885">
        <w:rPr>
          <w:spacing w:val="2"/>
          <w:lang w:eastAsia="en-GB"/>
        </w:rPr>
        <w:t>m</w:t>
      </w:r>
      <w:r w:rsidRPr="00CE0885">
        <w:rPr>
          <w:lang w:eastAsia="en-GB"/>
        </w:rPr>
        <w:t>ay</w:t>
      </w:r>
      <w:r w:rsidRPr="00CE0885">
        <w:rPr>
          <w:spacing w:val="-7"/>
          <w:lang w:eastAsia="en-GB"/>
        </w:rPr>
        <w:t xml:space="preserve"> </w:t>
      </w:r>
      <w:r w:rsidRPr="00CE0885">
        <w:rPr>
          <w:lang w:eastAsia="en-GB"/>
        </w:rPr>
        <w:t>be</w:t>
      </w:r>
      <w:r w:rsidRPr="00CE0885">
        <w:rPr>
          <w:spacing w:val="-4"/>
          <w:lang w:eastAsia="en-GB"/>
        </w:rPr>
        <w:t xml:space="preserve"> </w:t>
      </w:r>
      <w:r w:rsidRPr="00CE0885">
        <w:rPr>
          <w:spacing w:val="-1"/>
          <w:lang w:eastAsia="en-GB"/>
        </w:rPr>
        <w:t>a</w:t>
      </w:r>
      <w:r w:rsidRPr="00CE0885">
        <w:rPr>
          <w:lang w:eastAsia="en-GB"/>
        </w:rPr>
        <w:t>chie</w:t>
      </w:r>
      <w:r w:rsidRPr="00CE0885">
        <w:rPr>
          <w:spacing w:val="-2"/>
          <w:lang w:eastAsia="en-GB"/>
        </w:rPr>
        <w:t>v</w:t>
      </w:r>
      <w:r w:rsidRPr="00CE0885">
        <w:rPr>
          <w:lang w:eastAsia="en-GB"/>
        </w:rPr>
        <w:t>ed,</w:t>
      </w:r>
      <w:r w:rsidRPr="00CE0885">
        <w:rPr>
          <w:spacing w:val="-11"/>
          <w:lang w:eastAsia="en-GB"/>
        </w:rPr>
        <w:t xml:space="preserve"> </w:t>
      </w:r>
      <w:r w:rsidRPr="00CE0885">
        <w:rPr>
          <w:spacing w:val="3"/>
          <w:lang w:eastAsia="en-GB"/>
        </w:rPr>
        <w:t>f</w:t>
      </w:r>
      <w:r w:rsidRPr="00CE0885">
        <w:rPr>
          <w:lang w:eastAsia="en-GB"/>
        </w:rPr>
        <w:t>or</w:t>
      </w:r>
      <w:r w:rsidRPr="00CE0885">
        <w:rPr>
          <w:spacing w:val="-6"/>
          <w:lang w:eastAsia="en-GB"/>
        </w:rPr>
        <w:t xml:space="preserve"> </w:t>
      </w:r>
      <w:r w:rsidRPr="00CE0885">
        <w:rPr>
          <w:lang w:eastAsia="en-GB"/>
        </w:rPr>
        <w:t>e</w:t>
      </w:r>
      <w:r w:rsidRPr="00CE0885">
        <w:rPr>
          <w:spacing w:val="-2"/>
          <w:lang w:eastAsia="en-GB"/>
        </w:rPr>
        <w:t>x</w:t>
      </w:r>
      <w:r w:rsidRPr="00CE0885">
        <w:rPr>
          <w:lang w:eastAsia="en-GB"/>
        </w:rPr>
        <w:t>a</w:t>
      </w:r>
      <w:r w:rsidRPr="00CE0885">
        <w:rPr>
          <w:spacing w:val="2"/>
          <w:lang w:eastAsia="en-GB"/>
        </w:rPr>
        <w:t>m</w:t>
      </w:r>
      <w:r w:rsidRPr="00CE0885">
        <w:rPr>
          <w:lang w:eastAsia="en-GB"/>
        </w:rPr>
        <w:t>ple,</w:t>
      </w:r>
      <w:r w:rsidRPr="00CE0885">
        <w:rPr>
          <w:spacing w:val="-14"/>
          <w:lang w:eastAsia="en-GB"/>
        </w:rPr>
        <w:t xml:space="preserve"> </w:t>
      </w:r>
      <w:r w:rsidRPr="00CE0885">
        <w:rPr>
          <w:lang w:eastAsia="en-GB"/>
        </w:rPr>
        <w:t>by</w:t>
      </w:r>
      <w:r w:rsidRPr="00CE0885">
        <w:rPr>
          <w:spacing w:val="-5"/>
          <w:lang w:eastAsia="en-GB"/>
        </w:rPr>
        <w:t xml:space="preserve"> </w:t>
      </w:r>
      <w:r w:rsidRPr="00CE0885">
        <w:rPr>
          <w:lang w:eastAsia="en-GB"/>
        </w:rPr>
        <w:t>checking</w:t>
      </w:r>
      <w:r w:rsidRPr="00CE0885">
        <w:rPr>
          <w:spacing w:val="-10"/>
          <w:lang w:eastAsia="en-GB"/>
        </w:rPr>
        <w:t xml:space="preserve"> </w:t>
      </w:r>
      <w:r w:rsidRPr="00CE0885">
        <w:rPr>
          <w:lang w:eastAsia="en-GB"/>
        </w:rPr>
        <w:t xml:space="preserve">the </w:t>
      </w:r>
      <w:r w:rsidRPr="00CE0885">
        <w:rPr>
          <w:spacing w:val="-1"/>
          <w:lang w:eastAsia="en-GB"/>
        </w:rPr>
        <w:t>r</w:t>
      </w:r>
      <w:r w:rsidRPr="00CE0885">
        <w:rPr>
          <w:lang w:eastAsia="en-GB"/>
        </w:rPr>
        <w:t>e</w:t>
      </w:r>
      <w:r w:rsidRPr="00CE0885">
        <w:rPr>
          <w:spacing w:val="-1"/>
          <w:lang w:eastAsia="en-GB"/>
        </w:rPr>
        <w:t>g</w:t>
      </w:r>
      <w:r w:rsidRPr="00CE0885">
        <w:rPr>
          <w:lang w:eastAsia="en-GB"/>
        </w:rPr>
        <w:t>ist</w:t>
      </w:r>
      <w:r w:rsidRPr="00CE0885">
        <w:rPr>
          <w:spacing w:val="-1"/>
          <w:lang w:eastAsia="en-GB"/>
        </w:rPr>
        <w:t>r</w:t>
      </w:r>
      <w:r w:rsidRPr="00CE0885">
        <w:rPr>
          <w:lang w:eastAsia="en-GB"/>
        </w:rPr>
        <w:t>ation</w:t>
      </w:r>
      <w:r w:rsidRPr="00CE0885">
        <w:rPr>
          <w:spacing w:val="-10"/>
          <w:lang w:eastAsia="en-GB"/>
        </w:rPr>
        <w:t xml:space="preserve"> </w:t>
      </w:r>
      <w:r w:rsidRPr="00CE0885">
        <w:rPr>
          <w:lang w:eastAsia="en-GB"/>
        </w:rPr>
        <w:t>sta</w:t>
      </w:r>
      <w:r w:rsidRPr="00CE0885">
        <w:rPr>
          <w:spacing w:val="-2"/>
          <w:lang w:eastAsia="en-GB"/>
        </w:rPr>
        <w:t>t</w:t>
      </w:r>
      <w:r w:rsidRPr="00CE0885">
        <w:rPr>
          <w:lang w:eastAsia="en-GB"/>
        </w:rPr>
        <w:t>us</w:t>
      </w:r>
      <w:r w:rsidRPr="00CE0885">
        <w:rPr>
          <w:spacing w:val="-6"/>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1"/>
          <w:lang w:eastAsia="en-GB"/>
        </w:rPr>
        <w:t>p</w:t>
      </w:r>
      <w:r w:rsidRPr="00CE0885">
        <w:rPr>
          <w:lang w:eastAsia="en-GB"/>
        </w:rPr>
        <w:t>os</w:t>
      </w:r>
      <w:r w:rsidRPr="00CE0885">
        <w:rPr>
          <w:spacing w:val="-1"/>
          <w:lang w:eastAsia="en-GB"/>
        </w:rPr>
        <w:t>e</w:t>
      </w:r>
      <w:r w:rsidRPr="00CE0885">
        <w:rPr>
          <w:lang w:eastAsia="en-GB"/>
        </w:rPr>
        <w:t>d</w:t>
      </w:r>
      <w:r w:rsidRPr="00CE0885">
        <w:rPr>
          <w:spacing w:val="-8"/>
          <w:lang w:eastAsia="en-GB"/>
        </w:rPr>
        <w:t xml:space="preserve"> </w:t>
      </w:r>
      <w:r w:rsidRPr="00CE0885">
        <w:rPr>
          <w:spacing w:val="-1"/>
          <w:lang w:eastAsia="en-GB"/>
        </w:rPr>
        <w:t>p</w:t>
      </w:r>
      <w:r w:rsidRPr="00CE0885">
        <w:rPr>
          <w:lang w:eastAsia="en-GB"/>
        </w:rPr>
        <w:t>a</w:t>
      </w:r>
      <w:r w:rsidRPr="00CE0885">
        <w:rPr>
          <w:spacing w:val="-1"/>
          <w:lang w:eastAsia="en-GB"/>
        </w:rPr>
        <w:t>r</w:t>
      </w:r>
      <w:r w:rsidRPr="00CE0885">
        <w:rPr>
          <w:lang w:eastAsia="en-GB"/>
        </w:rPr>
        <w:t>tne</w:t>
      </w:r>
      <w:r w:rsidRPr="00CE0885">
        <w:rPr>
          <w:spacing w:val="-1"/>
          <w:lang w:eastAsia="en-GB"/>
        </w:rPr>
        <w:t>r(</w:t>
      </w:r>
      <w:r w:rsidRPr="00CE0885">
        <w:rPr>
          <w:lang w:eastAsia="en-GB"/>
        </w:rPr>
        <w:t>s)</w:t>
      </w:r>
      <w:r w:rsidRPr="00CE0885">
        <w:rPr>
          <w:spacing w:val="-13"/>
          <w:lang w:eastAsia="en-GB"/>
        </w:rPr>
        <w:t xml:space="preserve"> </w:t>
      </w:r>
      <w:r w:rsidRPr="00CE0885">
        <w:rPr>
          <w:lang w:eastAsia="en-GB"/>
        </w:rPr>
        <w:t>and</w:t>
      </w:r>
      <w:r w:rsidRPr="00CE0885">
        <w:rPr>
          <w:spacing w:val="-5"/>
          <w:lang w:eastAsia="en-GB"/>
        </w:rPr>
        <w:t xml:space="preserve"> </w:t>
      </w:r>
      <w:r w:rsidRPr="00CE0885">
        <w:rPr>
          <w:lang w:eastAsia="en-GB"/>
        </w:rPr>
        <w:t>th</w:t>
      </w:r>
      <w:r w:rsidRPr="00CE0885">
        <w:rPr>
          <w:spacing w:val="-1"/>
          <w:lang w:eastAsia="en-GB"/>
        </w:rPr>
        <w:t>a</w:t>
      </w:r>
      <w:r w:rsidRPr="00CE0885">
        <w:rPr>
          <w:lang w:eastAsia="en-GB"/>
        </w:rPr>
        <w:t>t</w:t>
      </w:r>
      <w:r w:rsidRPr="00CE0885">
        <w:rPr>
          <w:spacing w:val="-3"/>
          <w:lang w:eastAsia="en-GB"/>
        </w:rPr>
        <w:t xml:space="preserve"> </w:t>
      </w:r>
      <w:r w:rsidRPr="00CE0885">
        <w:rPr>
          <w:lang w:eastAsia="en-GB"/>
        </w:rPr>
        <w:t>t</w:t>
      </w:r>
      <w:r w:rsidRPr="00CE0885">
        <w:rPr>
          <w:spacing w:val="-1"/>
          <w:lang w:eastAsia="en-GB"/>
        </w:rPr>
        <w:t>h</w:t>
      </w:r>
      <w:r w:rsidRPr="00CE0885">
        <w:rPr>
          <w:lang w:eastAsia="en-GB"/>
        </w:rPr>
        <w:t>e p</w:t>
      </w:r>
      <w:r w:rsidRPr="00CE0885">
        <w:rPr>
          <w:spacing w:val="-1"/>
          <w:lang w:eastAsia="en-GB"/>
        </w:rPr>
        <w:t>r</w:t>
      </w:r>
      <w:r w:rsidRPr="00CE0885">
        <w:rPr>
          <w:lang w:eastAsia="en-GB"/>
        </w:rPr>
        <w:t>opo</w:t>
      </w:r>
      <w:r w:rsidRPr="00CE0885">
        <w:rPr>
          <w:spacing w:val="-2"/>
          <w:lang w:eastAsia="en-GB"/>
        </w:rPr>
        <w:t>s</w:t>
      </w:r>
      <w:r w:rsidRPr="00CE0885">
        <w:rPr>
          <w:lang w:eastAsia="en-GB"/>
        </w:rPr>
        <w:t>ed</w:t>
      </w:r>
      <w:r w:rsidRPr="00CE0885">
        <w:rPr>
          <w:spacing w:val="-11"/>
          <w:lang w:eastAsia="en-GB"/>
        </w:rPr>
        <w:t xml:space="preserve"> </w:t>
      </w:r>
      <w:r w:rsidRPr="00CE0885">
        <w:rPr>
          <w:lang w:eastAsia="en-GB"/>
        </w:rPr>
        <w:t>pa</w:t>
      </w:r>
      <w:r w:rsidRPr="00CE0885">
        <w:rPr>
          <w:spacing w:val="-1"/>
          <w:lang w:eastAsia="en-GB"/>
        </w:rPr>
        <w:t>r</w:t>
      </w:r>
      <w:r w:rsidRPr="00CE0885">
        <w:rPr>
          <w:lang w:eastAsia="en-GB"/>
        </w:rPr>
        <w:t>t</w:t>
      </w:r>
      <w:r w:rsidRPr="00CE0885">
        <w:rPr>
          <w:spacing w:val="-1"/>
          <w:lang w:eastAsia="en-GB"/>
        </w:rPr>
        <w:t>n</w:t>
      </w:r>
      <w:r w:rsidRPr="00CE0885">
        <w:rPr>
          <w:lang w:eastAsia="en-GB"/>
        </w:rPr>
        <w:t>e</w:t>
      </w:r>
      <w:r w:rsidRPr="00CE0885">
        <w:rPr>
          <w:spacing w:val="-1"/>
          <w:lang w:eastAsia="en-GB"/>
        </w:rPr>
        <w:t>r(</w:t>
      </w:r>
      <w:r w:rsidRPr="00CE0885">
        <w:rPr>
          <w:lang w:eastAsia="en-GB"/>
        </w:rPr>
        <w:t>s)</w:t>
      </w:r>
      <w:r w:rsidRPr="00CE0885">
        <w:rPr>
          <w:spacing w:val="-10"/>
          <w:lang w:eastAsia="en-GB"/>
        </w:rPr>
        <w:t xml:space="preserve"> </w:t>
      </w:r>
      <w:r w:rsidRPr="00CE0885">
        <w:rPr>
          <w:spacing w:val="-1"/>
          <w:lang w:eastAsia="en-GB"/>
        </w:rPr>
        <w:t>m</w:t>
      </w:r>
      <w:r w:rsidRPr="00CE0885">
        <w:rPr>
          <w:lang w:eastAsia="en-GB"/>
        </w:rPr>
        <w:t>eet</w:t>
      </w:r>
      <w:r w:rsidRPr="00CE0885">
        <w:rPr>
          <w:spacing w:val="-4"/>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eli</w:t>
      </w:r>
      <w:r w:rsidRPr="00CE0885">
        <w:rPr>
          <w:spacing w:val="-1"/>
          <w:lang w:eastAsia="en-GB"/>
        </w:rPr>
        <w:t>g</w:t>
      </w:r>
      <w:r w:rsidRPr="00CE0885">
        <w:rPr>
          <w:lang w:eastAsia="en-GB"/>
        </w:rPr>
        <w:t>ibili</w:t>
      </w:r>
      <w:r w:rsidRPr="00CE0885">
        <w:rPr>
          <w:spacing w:val="3"/>
          <w:lang w:eastAsia="en-GB"/>
        </w:rPr>
        <w:t>t</w:t>
      </w:r>
      <w:r w:rsidRPr="00CE0885">
        <w:rPr>
          <w:lang w:eastAsia="en-GB"/>
        </w:rPr>
        <w:t>y</w:t>
      </w:r>
      <w:r w:rsidRPr="00CE0885">
        <w:rPr>
          <w:spacing w:val="-11"/>
          <w:lang w:eastAsia="en-GB"/>
        </w:rPr>
        <w:t xml:space="preserve"> </w:t>
      </w:r>
      <w:r w:rsidRPr="00CE0885">
        <w:rPr>
          <w:lang w:eastAsia="en-GB"/>
        </w:rPr>
        <w:t>c</w:t>
      </w:r>
      <w:r w:rsidRPr="00CE0885">
        <w:rPr>
          <w:spacing w:val="-1"/>
          <w:lang w:eastAsia="en-GB"/>
        </w:rPr>
        <w:t>r</w:t>
      </w:r>
      <w:r w:rsidRPr="00CE0885">
        <w:rPr>
          <w:lang w:eastAsia="en-GB"/>
        </w:rPr>
        <w:t>ite</w:t>
      </w:r>
      <w:r w:rsidRPr="00CE0885">
        <w:rPr>
          <w:spacing w:val="-1"/>
          <w:lang w:eastAsia="en-GB"/>
        </w:rPr>
        <w:t>r</w:t>
      </w:r>
      <w:r w:rsidRPr="00CE0885">
        <w:rPr>
          <w:spacing w:val="2"/>
          <w:lang w:eastAsia="en-GB"/>
        </w:rPr>
        <w:t>i</w:t>
      </w:r>
      <w:r w:rsidRPr="00CE0885">
        <w:rPr>
          <w:lang w:eastAsia="en-GB"/>
        </w:rPr>
        <w:t>a</w:t>
      </w:r>
      <w:r w:rsidRPr="00CE0885">
        <w:rPr>
          <w:spacing w:val="-8"/>
          <w:lang w:eastAsia="en-GB"/>
        </w:rPr>
        <w:t xml:space="preserve"> </w:t>
      </w:r>
      <w:r w:rsidRPr="00CE0885">
        <w:rPr>
          <w:spacing w:val="3"/>
          <w:lang w:eastAsia="en-GB"/>
        </w:rPr>
        <w:t>f</w:t>
      </w:r>
      <w:r w:rsidRPr="00CE0885">
        <w:rPr>
          <w:lang w:eastAsia="en-GB"/>
        </w:rPr>
        <w:t>or</w:t>
      </w:r>
      <w:r w:rsidRPr="00CE0885">
        <w:rPr>
          <w:spacing w:val="-3"/>
          <w:lang w:eastAsia="en-GB"/>
        </w:rPr>
        <w:t xml:space="preserve"> </w:t>
      </w:r>
      <w:r w:rsidRPr="00CE0885">
        <w:rPr>
          <w:spacing w:val="-1"/>
          <w:lang w:eastAsia="en-GB"/>
        </w:rPr>
        <w:t>h</w:t>
      </w:r>
      <w:r w:rsidRPr="00CE0885">
        <w:rPr>
          <w:lang w:eastAsia="en-GB"/>
        </w:rPr>
        <w:t>olding</w:t>
      </w:r>
      <w:r w:rsidRPr="00CE0885">
        <w:rPr>
          <w:spacing w:val="-9"/>
          <w:lang w:eastAsia="en-GB"/>
        </w:rPr>
        <w:t xml:space="preserve"> </w:t>
      </w:r>
      <w:r w:rsidRPr="00CE0885">
        <w:rPr>
          <w:lang w:eastAsia="en-GB"/>
        </w:rPr>
        <w:t>a</w:t>
      </w:r>
      <w:r w:rsidRPr="00CE0885">
        <w:rPr>
          <w:spacing w:val="-2"/>
          <w:lang w:eastAsia="en-GB"/>
        </w:rPr>
        <w:t xml:space="preserve"> </w:t>
      </w:r>
      <w:r w:rsidRPr="00CE0885">
        <w:rPr>
          <w:lang w:eastAsia="en-GB"/>
        </w:rPr>
        <w:t>G</w:t>
      </w:r>
      <w:r w:rsidRPr="00CE0885">
        <w:rPr>
          <w:spacing w:val="-1"/>
          <w:lang w:eastAsia="en-GB"/>
        </w:rPr>
        <w:t>M</w:t>
      </w:r>
      <w:r w:rsidRPr="00CE0885">
        <w:rPr>
          <w:lang w:eastAsia="en-GB"/>
        </w:rPr>
        <w:t>S cont</w:t>
      </w:r>
      <w:r w:rsidRPr="00CE0885">
        <w:rPr>
          <w:spacing w:val="-1"/>
          <w:lang w:eastAsia="en-GB"/>
        </w:rPr>
        <w:t>r</w:t>
      </w:r>
      <w:r w:rsidRPr="00CE0885">
        <w:rPr>
          <w:lang w:eastAsia="en-GB"/>
        </w:rPr>
        <w:t>act</w:t>
      </w:r>
      <w:r w:rsidRPr="00CE0885">
        <w:rPr>
          <w:spacing w:val="-3"/>
          <w:lang w:eastAsia="en-GB"/>
        </w:rPr>
        <w:t>.</w:t>
      </w:r>
      <w:bookmarkEnd w:id="630"/>
    </w:p>
    <w:p w14:paraId="354689F1" w14:textId="7912C8F4" w:rsidR="00977693" w:rsidRPr="00CE0885" w:rsidRDefault="00977693" w:rsidP="006B781A">
      <w:pPr>
        <w:pStyle w:val="Heading3"/>
        <w:rPr>
          <w:lang w:eastAsia="en-GB"/>
        </w:rPr>
      </w:pPr>
      <w:bookmarkStart w:id="631" w:name="_Toc440981748"/>
      <w:r w:rsidRPr="00CE0885">
        <w:rPr>
          <w:lang w:eastAsia="en-GB"/>
        </w:rPr>
        <w:t>Where the change is agreed, the Commissioner</w:t>
      </w:r>
      <w:r w:rsidRPr="00CE0885">
        <w:rPr>
          <w:spacing w:val="-4"/>
          <w:lang w:eastAsia="en-GB"/>
        </w:rPr>
        <w:t xml:space="preserve"> </w:t>
      </w:r>
      <w:r w:rsidRPr="00CE0885">
        <w:rPr>
          <w:lang w:eastAsia="en-GB"/>
        </w:rPr>
        <w:t>will</w:t>
      </w:r>
      <w:r w:rsidRPr="00CE0885">
        <w:rPr>
          <w:spacing w:val="-5"/>
          <w:lang w:eastAsia="en-GB"/>
        </w:rPr>
        <w:t xml:space="preserve"> </w:t>
      </w:r>
      <w:r w:rsidRPr="00CE0885">
        <w:rPr>
          <w:lang w:eastAsia="en-GB"/>
        </w:rPr>
        <w:t>c</w:t>
      </w:r>
      <w:r w:rsidRPr="00CE0885">
        <w:rPr>
          <w:spacing w:val="-1"/>
          <w:lang w:eastAsia="en-GB"/>
        </w:rPr>
        <w:t>on</w:t>
      </w:r>
      <w:r w:rsidRPr="00CE0885">
        <w:rPr>
          <w:spacing w:val="3"/>
          <w:lang w:eastAsia="en-GB"/>
        </w:rPr>
        <w:t>f</w:t>
      </w:r>
      <w:r w:rsidRPr="00CE0885">
        <w:rPr>
          <w:lang w:eastAsia="en-GB"/>
        </w:rPr>
        <w:t>i</w:t>
      </w:r>
      <w:r w:rsidRPr="00CE0885">
        <w:rPr>
          <w:spacing w:val="-1"/>
          <w:lang w:eastAsia="en-GB"/>
        </w:rPr>
        <w:t>r</w:t>
      </w:r>
      <w:r w:rsidRPr="00CE0885">
        <w:rPr>
          <w:lang w:eastAsia="en-GB"/>
        </w:rPr>
        <w:t>m</w:t>
      </w:r>
      <w:r w:rsidRPr="00CE0885">
        <w:rPr>
          <w:spacing w:val="-6"/>
          <w:lang w:eastAsia="en-GB"/>
        </w:rPr>
        <w:t xml:space="preserve"> </w:t>
      </w:r>
      <w:r w:rsidRPr="00CE0885">
        <w:rPr>
          <w:lang w:eastAsia="en-GB"/>
        </w:rPr>
        <w:t>in</w:t>
      </w:r>
      <w:r w:rsidRPr="00CE0885">
        <w:rPr>
          <w:spacing w:val="-3"/>
          <w:lang w:eastAsia="en-GB"/>
        </w:rPr>
        <w:t xml:space="preserve"> w</w:t>
      </w:r>
      <w:r w:rsidRPr="00CE0885">
        <w:rPr>
          <w:spacing w:val="2"/>
          <w:lang w:eastAsia="en-GB"/>
        </w:rPr>
        <w:t>r</w:t>
      </w:r>
      <w:r w:rsidRPr="00CE0885">
        <w:rPr>
          <w:lang w:eastAsia="en-GB"/>
        </w:rPr>
        <w:t>iting</w:t>
      </w:r>
      <w:r w:rsidRPr="00CE0885">
        <w:rPr>
          <w:spacing w:val="-8"/>
          <w:lang w:eastAsia="en-GB"/>
        </w:rPr>
        <w:t xml:space="preserve"> </w:t>
      </w:r>
      <w:r w:rsidRPr="00CE0885">
        <w:rPr>
          <w:lang w:eastAsia="en-GB"/>
        </w:rPr>
        <w:t>that</w:t>
      </w:r>
      <w:r w:rsidRPr="00CE0885">
        <w:rPr>
          <w:spacing w:val="-3"/>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contract will continue with the partnership</w:t>
      </w:r>
      <w:r w:rsidRPr="00CE0885">
        <w:rPr>
          <w:spacing w:val="-10"/>
          <w:lang w:eastAsia="en-GB"/>
        </w:rPr>
        <w:t xml:space="preserve"> </w:t>
      </w:r>
      <w:r w:rsidRPr="00CE0885">
        <w:rPr>
          <w:lang w:eastAsia="en-GB"/>
        </w:rPr>
        <w:t>and</w:t>
      </w:r>
      <w:r w:rsidRPr="00CE0885">
        <w:rPr>
          <w:spacing w:val="-5"/>
          <w:lang w:eastAsia="en-GB"/>
        </w:rPr>
        <w:t xml:space="preserve"> </w:t>
      </w:r>
      <w:r w:rsidRPr="00CE0885">
        <w:rPr>
          <w:lang w:eastAsia="en-GB"/>
        </w:rPr>
        <w:t>issue</w:t>
      </w:r>
      <w:r w:rsidRPr="00CE0885">
        <w:rPr>
          <w:spacing w:val="-7"/>
          <w:lang w:eastAsia="en-GB"/>
        </w:rPr>
        <w:t xml:space="preserve"> </w:t>
      </w:r>
      <w:r w:rsidRPr="00CE0885">
        <w:rPr>
          <w:lang w:eastAsia="en-GB"/>
        </w:rPr>
        <w:t xml:space="preserve">a </w:t>
      </w:r>
      <w:r w:rsidRPr="00CE0885">
        <w:rPr>
          <w:spacing w:val="-2"/>
          <w:lang w:eastAsia="en-GB"/>
        </w:rPr>
        <w:t>v</w:t>
      </w:r>
      <w:r w:rsidRPr="00CE0885">
        <w:rPr>
          <w:lang w:eastAsia="en-GB"/>
        </w:rPr>
        <w:t>a</w:t>
      </w:r>
      <w:r w:rsidRPr="00CE0885">
        <w:rPr>
          <w:spacing w:val="-1"/>
          <w:lang w:eastAsia="en-GB"/>
        </w:rPr>
        <w:t>r</w:t>
      </w:r>
      <w:r w:rsidRPr="00CE0885">
        <w:rPr>
          <w:lang w:eastAsia="en-GB"/>
        </w:rPr>
        <w:t>iation</w:t>
      </w:r>
      <w:r w:rsidRPr="00CE0885">
        <w:rPr>
          <w:spacing w:val="-7"/>
          <w:lang w:eastAsia="en-GB"/>
        </w:rPr>
        <w:t xml:space="preserve"> </w:t>
      </w:r>
      <w:r w:rsidRPr="00CE0885">
        <w:rPr>
          <w:lang w:eastAsia="en-GB"/>
        </w:rPr>
        <w:t>notice</w:t>
      </w:r>
      <w:r w:rsidRPr="00CE0885">
        <w:rPr>
          <w:spacing w:val="-12"/>
          <w:lang w:eastAsia="en-GB"/>
        </w:rPr>
        <w:t xml:space="preserve"> </w:t>
      </w:r>
      <w:r w:rsidRPr="00CE0885">
        <w:rPr>
          <w:lang w:eastAsia="en-GB"/>
        </w:rPr>
        <w:t>acco</w:t>
      </w:r>
      <w:r w:rsidRPr="00CE0885">
        <w:rPr>
          <w:spacing w:val="-1"/>
          <w:lang w:eastAsia="en-GB"/>
        </w:rPr>
        <w:t>r</w:t>
      </w:r>
      <w:r w:rsidRPr="00CE0885">
        <w:rPr>
          <w:lang w:eastAsia="en-GB"/>
        </w:rPr>
        <w:t>d</w:t>
      </w:r>
      <w:r w:rsidRPr="00CE0885">
        <w:rPr>
          <w:spacing w:val="-3"/>
          <w:lang w:eastAsia="en-GB"/>
        </w:rPr>
        <w:t>i</w:t>
      </w:r>
      <w:r w:rsidRPr="00CE0885">
        <w:rPr>
          <w:lang w:eastAsia="en-GB"/>
        </w:rPr>
        <w:t>n</w:t>
      </w:r>
      <w:r w:rsidRPr="00CE0885">
        <w:rPr>
          <w:spacing w:val="-1"/>
          <w:lang w:eastAsia="en-GB"/>
        </w:rPr>
        <w:t>g</w:t>
      </w:r>
      <w:r w:rsidRPr="00CE0885">
        <w:rPr>
          <w:lang w:eastAsia="en-GB"/>
        </w:rPr>
        <w:t>ly</w:t>
      </w:r>
      <w:r w:rsidRPr="00CE0885">
        <w:rPr>
          <w:spacing w:val="-14"/>
          <w:lang w:eastAsia="en-GB"/>
        </w:rPr>
        <w:t xml:space="preserve"> </w:t>
      </w:r>
      <w:r w:rsidRPr="00CE0885">
        <w:rPr>
          <w:lang w:eastAsia="en-GB"/>
        </w:rPr>
        <w:t>to a</w:t>
      </w:r>
      <w:r w:rsidRPr="00CE0885">
        <w:rPr>
          <w:spacing w:val="2"/>
          <w:lang w:eastAsia="en-GB"/>
        </w:rPr>
        <w:t>m</w:t>
      </w:r>
      <w:r w:rsidRPr="00CE0885">
        <w:rPr>
          <w:spacing w:val="-1"/>
          <w:lang w:eastAsia="en-GB"/>
        </w:rPr>
        <w:t>e</w:t>
      </w:r>
      <w:r w:rsidRPr="00CE0885">
        <w:rPr>
          <w:lang w:eastAsia="en-GB"/>
        </w:rPr>
        <w:t>nd</w:t>
      </w:r>
      <w:r w:rsidRPr="00CE0885">
        <w:rPr>
          <w:spacing w:val="-5"/>
          <w:lang w:eastAsia="en-GB"/>
        </w:rPr>
        <w:t xml:space="preserve"> </w:t>
      </w:r>
      <w:r w:rsidRPr="00CE0885">
        <w:rPr>
          <w:spacing w:val="-2"/>
          <w:lang w:eastAsia="en-GB"/>
        </w:rPr>
        <w:t>t</w:t>
      </w:r>
      <w:r w:rsidRPr="00CE0885">
        <w:rPr>
          <w:lang w:eastAsia="en-GB"/>
        </w:rPr>
        <w:t>he</w:t>
      </w:r>
      <w:r w:rsidRPr="00CE0885">
        <w:rPr>
          <w:spacing w:val="-1"/>
          <w:lang w:eastAsia="en-GB"/>
        </w:rPr>
        <w:t xml:space="preserve"> r</w:t>
      </w:r>
      <w:r w:rsidRPr="00CE0885">
        <w:rPr>
          <w:lang w:eastAsia="en-GB"/>
        </w:rPr>
        <w:t>ele</w:t>
      </w:r>
      <w:r w:rsidRPr="00CE0885">
        <w:rPr>
          <w:spacing w:val="-2"/>
          <w:lang w:eastAsia="en-GB"/>
        </w:rPr>
        <w:t>v</w:t>
      </w:r>
      <w:r w:rsidRPr="00CE0885">
        <w:rPr>
          <w:lang w:eastAsia="en-GB"/>
        </w:rPr>
        <w:t>ant sections</w:t>
      </w:r>
      <w:r w:rsidRPr="00CE0885">
        <w:rPr>
          <w:spacing w:val="-11"/>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w:t>
      </w:r>
      <w:r w:rsidRPr="00CE0885">
        <w:rPr>
          <w:spacing w:val="-1"/>
          <w:lang w:eastAsia="en-GB"/>
        </w:rPr>
        <w:t xml:space="preserve"> </w:t>
      </w:r>
      <w:r w:rsidRPr="00CE0885">
        <w:rPr>
          <w:spacing w:val="-2"/>
          <w:lang w:eastAsia="en-GB"/>
        </w:rPr>
        <w:t>c</w:t>
      </w:r>
      <w:r w:rsidRPr="00CE0885">
        <w:rPr>
          <w:lang w:eastAsia="en-GB"/>
        </w:rPr>
        <w:t>ont</w:t>
      </w:r>
      <w:r w:rsidRPr="00CE0885">
        <w:rPr>
          <w:spacing w:val="-1"/>
          <w:lang w:eastAsia="en-GB"/>
        </w:rPr>
        <w:t>r</w:t>
      </w:r>
      <w:r w:rsidRPr="00CE0885">
        <w:rPr>
          <w:lang w:eastAsia="en-GB"/>
        </w:rPr>
        <w:t>a</w:t>
      </w:r>
      <w:r w:rsidRPr="00CE0885">
        <w:rPr>
          <w:spacing w:val="-2"/>
          <w:lang w:eastAsia="en-GB"/>
        </w:rPr>
        <w:t>c</w:t>
      </w:r>
      <w:r w:rsidRPr="00CE0885">
        <w:rPr>
          <w:lang w:eastAsia="en-GB"/>
        </w:rPr>
        <w:t xml:space="preserve">t. </w:t>
      </w:r>
      <w:r w:rsidRPr="00CE0885">
        <w:rPr>
          <w:spacing w:val="2"/>
          <w:lang w:eastAsia="en-GB"/>
        </w:rPr>
        <w:t>T</w:t>
      </w:r>
      <w:r w:rsidRPr="00CE0885">
        <w:rPr>
          <w:spacing w:val="-1"/>
          <w:lang w:eastAsia="en-GB"/>
        </w:rPr>
        <w:t>h</w:t>
      </w:r>
      <w:r w:rsidRPr="00CE0885">
        <w:rPr>
          <w:lang w:eastAsia="en-GB"/>
        </w:rPr>
        <w:t>e</w:t>
      </w:r>
      <w:r w:rsidRPr="00CE0885">
        <w:rPr>
          <w:spacing w:val="-2"/>
          <w:lang w:eastAsia="en-GB"/>
        </w:rPr>
        <w:t xml:space="preserve"> Commissioner</w:t>
      </w:r>
      <w:r w:rsidRPr="00CE0885">
        <w:rPr>
          <w:spacing w:val="-6"/>
          <w:lang w:eastAsia="en-GB"/>
        </w:rPr>
        <w:t xml:space="preserve"> </w:t>
      </w:r>
      <w:r w:rsidRPr="00CE0885">
        <w:rPr>
          <w:spacing w:val="2"/>
          <w:lang w:eastAsia="en-GB"/>
        </w:rPr>
        <w:t>m</w:t>
      </w:r>
      <w:r w:rsidRPr="00CE0885">
        <w:rPr>
          <w:spacing w:val="1"/>
          <w:lang w:eastAsia="en-GB"/>
        </w:rPr>
        <w:t>u</w:t>
      </w:r>
      <w:r w:rsidRPr="00CE0885">
        <w:rPr>
          <w:spacing w:val="-2"/>
          <w:lang w:eastAsia="en-GB"/>
        </w:rPr>
        <w:t>s</w:t>
      </w:r>
      <w:r w:rsidRPr="00CE0885">
        <w:rPr>
          <w:lang w:eastAsia="en-GB"/>
        </w:rPr>
        <w:t>t</w:t>
      </w:r>
      <w:r w:rsidRPr="00CE0885">
        <w:rPr>
          <w:spacing w:val="-4"/>
          <w:lang w:eastAsia="en-GB"/>
        </w:rPr>
        <w:t xml:space="preserve"> </w:t>
      </w:r>
      <w:r w:rsidRPr="00CE0885">
        <w:rPr>
          <w:lang w:eastAsia="en-GB"/>
        </w:rPr>
        <w:t>s</w:t>
      </w:r>
      <w:r w:rsidRPr="00CE0885">
        <w:rPr>
          <w:spacing w:val="-1"/>
          <w:lang w:eastAsia="en-GB"/>
        </w:rPr>
        <w:t>p</w:t>
      </w:r>
      <w:r w:rsidRPr="00CE0885">
        <w:rPr>
          <w:spacing w:val="1"/>
          <w:lang w:eastAsia="en-GB"/>
        </w:rPr>
        <w:t>e</w:t>
      </w:r>
      <w:r w:rsidRPr="00CE0885">
        <w:rPr>
          <w:lang w:eastAsia="en-GB"/>
        </w:rPr>
        <w:t>c</w:t>
      </w:r>
      <w:r w:rsidRPr="00CE0885">
        <w:rPr>
          <w:spacing w:val="-3"/>
          <w:lang w:eastAsia="en-GB"/>
        </w:rPr>
        <w:t>i</w:t>
      </w:r>
      <w:r w:rsidRPr="00CE0885">
        <w:rPr>
          <w:spacing w:val="3"/>
          <w:lang w:eastAsia="en-GB"/>
        </w:rPr>
        <w:t>f</w:t>
      </w:r>
      <w:r w:rsidRPr="00CE0885">
        <w:rPr>
          <w:lang w:eastAsia="en-GB"/>
        </w:rPr>
        <w:t>y</w:t>
      </w:r>
      <w:r w:rsidRPr="00CE0885">
        <w:rPr>
          <w:spacing w:val="-9"/>
          <w:lang w:eastAsia="en-GB"/>
        </w:rPr>
        <w:t xml:space="preserve"> </w:t>
      </w:r>
      <w:r w:rsidRPr="00CE0885">
        <w:rPr>
          <w:lang w:eastAsia="en-GB"/>
        </w:rPr>
        <w:t xml:space="preserve">in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n</w:t>
      </w:r>
      <w:r w:rsidRPr="00CE0885">
        <w:rPr>
          <w:spacing w:val="1"/>
          <w:lang w:eastAsia="en-GB"/>
        </w:rPr>
        <w:t>ot</w:t>
      </w:r>
      <w:r w:rsidRPr="00CE0885">
        <w:rPr>
          <w:lang w:eastAsia="en-GB"/>
        </w:rPr>
        <w:t>ice</w:t>
      </w:r>
      <w:r w:rsidRPr="00CE0885">
        <w:rPr>
          <w:spacing w:val="-4"/>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spacing w:val="1"/>
          <w:lang w:eastAsia="en-GB"/>
        </w:rPr>
        <w:t>da</w:t>
      </w:r>
      <w:r w:rsidRPr="00CE0885">
        <w:rPr>
          <w:spacing w:val="-2"/>
          <w:lang w:eastAsia="en-GB"/>
        </w:rPr>
        <w:t>t</w:t>
      </w:r>
      <w:r w:rsidRPr="00CE0885">
        <w:rPr>
          <w:lang w:eastAsia="en-GB"/>
        </w:rPr>
        <w:t>e</w:t>
      </w:r>
      <w:r w:rsidRPr="00CE0885">
        <w:rPr>
          <w:spacing w:val="-3"/>
          <w:lang w:eastAsia="en-GB"/>
        </w:rPr>
        <w:t xml:space="preserve"> </w:t>
      </w:r>
      <w:r w:rsidRPr="00CE0885">
        <w:rPr>
          <w:spacing w:val="-1"/>
          <w:lang w:eastAsia="en-GB"/>
        </w:rPr>
        <w:t>o</w:t>
      </w:r>
      <w:r w:rsidRPr="00CE0885">
        <w:rPr>
          <w:lang w:eastAsia="en-GB"/>
        </w:rPr>
        <w:t>n</w:t>
      </w:r>
      <w:r w:rsidRPr="00CE0885">
        <w:rPr>
          <w:spacing w:val="-1"/>
          <w:lang w:eastAsia="en-GB"/>
        </w:rPr>
        <w:t xml:space="preserve"> </w:t>
      </w:r>
      <w:r w:rsidRPr="00CE0885">
        <w:rPr>
          <w:spacing w:val="-3"/>
          <w:lang w:eastAsia="en-GB"/>
        </w:rPr>
        <w:t>w</w:t>
      </w:r>
      <w:r w:rsidRPr="00CE0885">
        <w:rPr>
          <w:spacing w:val="1"/>
          <w:lang w:eastAsia="en-GB"/>
        </w:rPr>
        <w:t>h</w:t>
      </w:r>
      <w:r w:rsidRPr="00CE0885">
        <w:rPr>
          <w:lang w:eastAsia="en-GB"/>
        </w:rPr>
        <w:t>ich</w:t>
      </w:r>
      <w:r w:rsidRPr="00CE0885">
        <w:rPr>
          <w:spacing w:val="-4"/>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spacing w:val="-2"/>
          <w:lang w:eastAsia="en-GB"/>
        </w:rPr>
        <w:t>c</w:t>
      </w:r>
      <w:r w:rsidRPr="00CE0885">
        <w:rPr>
          <w:spacing w:val="1"/>
          <w:lang w:eastAsia="en-GB"/>
        </w:rPr>
        <w:t>ont</w:t>
      </w:r>
      <w:r w:rsidRPr="00CE0885">
        <w:rPr>
          <w:spacing w:val="-1"/>
          <w:lang w:eastAsia="en-GB"/>
        </w:rPr>
        <w:t>r</w:t>
      </w:r>
      <w:r w:rsidRPr="00CE0885">
        <w:rPr>
          <w:spacing w:val="1"/>
          <w:lang w:eastAsia="en-GB"/>
        </w:rPr>
        <w:t>a</w:t>
      </w:r>
      <w:r w:rsidRPr="00CE0885">
        <w:rPr>
          <w:spacing w:val="-2"/>
          <w:lang w:eastAsia="en-GB"/>
        </w:rPr>
        <w:t>c</w:t>
      </w:r>
      <w:r w:rsidRPr="00CE0885">
        <w:rPr>
          <w:lang w:eastAsia="en-GB"/>
        </w:rPr>
        <w:t>t</w:t>
      </w:r>
      <w:r w:rsidRPr="00CE0885">
        <w:rPr>
          <w:spacing w:val="-8"/>
          <w:lang w:eastAsia="en-GB"/>
        </w:rPr>
        <w:t xml:space="preserve"> </w:t>
      </w:r>
      <w:r w:rsidRPr="00CE0885">
        <w:rPr>
          <w:spacing w:val="-3"/>
          <w:lang w:eastAsia="en-GB"/>
        </w:rPr>
        <w:t>w</w:t>
      </w:r>
      <w:r w:rsidRPr="00CE0885">
        <w:rPr>
          <w:spacing w:val="2"/>
          <w:lang w:eastAsia="en-GB"/>
        </w:rPr>
        <w:t>i</w:t>
      </w:r>
      <w:r w:rsidRPr="00CE0885">
        <w:rPr>
          <w:lang w:eastAsia="en-GB"/>
        </w:rPr>
        <w:t>ll c</w:t>
      </w:r>
      <w:r w:rsidRPr="00CE0885">
        <w:rPr>
          <w:spacing w:val="1"/>
          <w:lang w:eastAsia="en-GB"/>
        </w:rPr>
        <w:t>ont</w:t>
      </w:r>
      <w:r w:rsidRPr="00CE0885">
        <w:rPr>
          <w:lang w:eastAsia="en-GB"/>
        </w:rPr>
        <w:t>i</w:t>
      </w:r>
      <w:r w:rsidRPr="00CE0885">
        <w:rPr>
          <w:spacing w:val="-1"/>
          <w:lang w:eastAsia="en-GB"/>
        </w:rPr>
        <w:t>n</w:t>
      </w:r>
      <w:r w:rsidRPr="00CE0885">
        <w:rPr>
          <w:spacing w:val="1"/>
          <w:lang w:eastAsia="en-GB"/>
        </w:rPr>
        <w:t>u</w:t>
      </w:r>
      <w:r w:rsidRPr="00CE0885">
        <w:rPr>
          <w:lang w:eastAsia="en-GB"/>
        </w:rPr>
        <w:t>e</w:t>
      </w:r>
      <w:r w:rsidRPr="00CE0885">
        <w:rPr>
          <w:spacing w:val="-7"/>
          <w:lang w:eastAsia="en-GB"/>
        </w:rPr>
        <w:t xml:space="preserve"> </w:t>
      </w:r>
      <w:r w:rsidRPr="00CE0885">
        <w:rPr>
          <w:spacing w:val="1"/>
          <w:lang w:eastAsia="en-GB"/>
        </w:rPr>
        <w:t>a</w:t>
      </w:r>
      <w:r w:rsidRPr="00CE0885">
        <w:rPr>
          <w:lang w:eastAsia="en-GB"/>
        </w:rPr>
        <w:t>s</w:t>
      </w:r>
      <w:r w:rsidRPr="00CE0885">
        <w:rPr>
          <w:spacing w:val="-5"/>
          <w:lang w:eastAsia="en-GB"/>
        </w:rPr>
        <w:t xml:space="preserve"> </w:t>
      </w:r>
      <w:r w:rsidRPr="00CE0885">
        <w:rPr>
          <w:lang w:eastAsia="en-GB"/>
        </w:rPr>
        <w:t>a</w:t>
      </w:r>
      <w:r w:rsidRPr="00CE0885">
        <w:rPr>
          <w:spacing w:val="-2"/>
          <w:lang w:eastAsia="en-GB"/>
        </w:rPr>
        <w:t xml:space="preserve"> </w:t>
      </w:r>
      <w:r w:rsidRPr="00CE0885">
        <w:rPr>
          <w:spacing w:val="1"/>
          <w:lang w:eastAsia="en-GB"/>
        </w:rPr>
        <w:t>pa</w:t>
      </w:r>
      <w:r w:rsidRPr="00CE0885">
        <w:rPr>
          <w:spacing w:val="-1"/>
          <w:lang w:eastAsia="en-GB"/>
        </w:rPr>
        <w:t>r</w:t>
      </w:r>
      <w:r w:rsidRPr="00CE0885">
        <w:rPr>
          <w:spacing w:val="1"/>
          <w:lang w:eastAsia="en-GB"/>
        </w:rPr>
        <w:t>t</w:t>
      </w:r>
      <w:r w:rsidRPr="00CE0885">
        <w:rPr>
          <w:spacing w:val="-1"/>
          <w:lang w:eastAsia="en-GB"/>
        </w:rPr>
        <w:t>n</w:t>
      </w:r>
      <w:r w:rsidRPr="00CE0885">
        <w:rPr>
          <w:spacing w:val="1"/>
          <w:lang w:eastAsia="en-GB"/>
        </w:rPr>
        <w:t>e</w:t>
      </w:r>
      <w:r w:rsidRPr="00CE0885">
        <w:rPr>
          <w:spacing w:val="-1"/>
          <w:lang w:eastAsia="en-GB"/>
        </w:rPr>
        <w:t>r</w:t>
      </w:r>
      <w:r w:rsidRPr="00CE0885">
        <w:rPr>
          <w:lang w:eastAsia="en-GB"/>
        </w:rPr>
        <w:t>s</w:t>
      </w:r>
      <w:r w:rsidRPr="00CE0885">
        <w:rPr>
          <w:spacing w:val="1"/>
          <w:lang w:eastAsia="en-GB"/>
        </w:rPr>
        <w:t>h</w:t>
      </w:r>
      <w:r w:rsidRPr="00CE0885">
        <w:rPr>
          <w:lang w:eastAsia="en-GB"/>
        </w:rPr>
        <w:t>i</w:t>
      </w:r>
      <w:r w:rsidRPr="00CE0885">
        <w:rPr>
          <w:spacing w:val="1"/>
          <w:lang w:eastAsia="en-GB"/>
        </w:rPr>
        <w:t>p</w:t>
      </w:r>
      <w:r w:rsidRPr="00CE0885">
        <w:rPr>
          <w:lang w:eastAsia="en-GB"/>
        </w:rPr>
        <w:t>.</w:t>
      </w:r>
      <w:r w:rsidRPr="00CE0885">
        <w:rPr>
          <w:spacing w:val="-19"/>
          <w:lang w:eastAsia="en-GB"/>
        </w:rPr>
        <w:t xml:space="preserve"> </w:t>
      </w:r>
      <w:r w:rsidRPr="00CE0885">
        <w:rPr>
          <w:spacing w:val="9"/>
          <w:lang w:eastAsia="en-GB"/>
        </w:rPr>
        <w:t>W</w:t>
      </w:r>
      <w:r w:rsidRPr="00CE0885">
        <w:rPr>
          <w:spacing w:val="-1"/>
          <w:lang w:eastAsia="en-GB"/>
        </w:rPr>
        <w:t>h</w:t>
      </w:r>
      <w:r w:rsidRPr="00CE0885">
        <w:rPr>
          <w:spacing w:val="1"/>
          <w:lang w:eastAsia="en-GB"/>
        </w:rPr>
        <w:t>e</w:t>
      </w:r>
      <w:r w:rsidRPr="00CE0885">
        <w:rPr>
          <w:spacing w:val="-1"/>
          <w:lang w:eastAsia="en-GB"/>
        </w:rPr>
        <w:t>r</w:t>
      </w:r>
      <w:r w:rsidRPr="00CE0885">
        <w:rPr>
          <w:lang w:eastAsia="en-GB"/>
        </w:rPr>
        <w:t>e</w:t>
      </w:r>
      <w:r w:rsidRPr="00CE0885">
        <w:rPr>
          <w:spacing w:val="-8"/>
          <w:lang w:eastAsia="en-GB"/>
        </w:rPr>
        <w:t xml:space="preserve"> </w:t>
      </w:r>
      <w:r w:rsidRPr="00CE0885">
        <w:rPr>
          <w:spacing w:val="-1"/>
          <w:lang w:eastAsia="en-GB"/>
        </w:rPr>
        <w:t>r</w:t>
      </w:r>
      <w:r w:rsidRPr="00CE0885">
        <w:rPr>
          <w:spacing w:val="1"/>
          <w:lang w:eastAsia="en-GB"/>
        </w:rPr>
        <w:t>ea</w:t>
      </w:r>
      <w:r w:rsidRPr="00CE0885">
        <w:rPr>
          <w:lang w:eastAsia="en-GB"/>
        </w:rPr>
        <w:t>s</w:t>
      </w:r>
      <w:r w:rsidRPr="00CE0885">
        <w:rPr>
          <w:spacing w:val="-1"/>
          <w:lang w:eastAsia="en-GB"/>
        </w:rPr>
        <w:t>o</w:t>
      </w:r>
      <w:r w:rsidRPr="00CE0885">
        <w:rPr>
          <w:spacing w:val="1"/>
          <w:lang w:eastAsia="en-GB"/>
        </w:rPr>
        <w:t>n</w:t>
      </w:r>
      <w:r w:rsidRPr="00CE0885">
        <w:rPr>
          <w:spacing w:val="-1"/>
          <w:lang w:eastAsia="en-GB"/>
        </w:rPr>
        <w:t>a</w:t>
      </w:r>
      <w:r w:rsidRPr="00CE0885">
        <w:rPr>
          <w:spacing w:val="1"/>
          <w:lang w:eastAsia="en-GB"/>
        </w:rPr>
        <w:t>b</w:t>
      </w:r>
      <w:r w:rsidRPr="00CE0885">
        <w:rPr>
          <w:lang w:eastAsia="en-GB"/>
        </w:rPr>
        <w:t>ly</w:t>
      </w:r>
      <w:r w:rsidRPr="00CE0885">
        <w:rPr>
          <w:spacing w:val="-12"/>
          <w:lang w:eastAsia="en-GB"/>
        </w:rPr>
        <w:t xml:space="preserve"> </w:t>
      </w:r>
      <w:r w:rsidRPr="00CE0885">
        <w:rPr>
          <w:spacing w:val="1"/>
          <w:lang w:eastAsia="en-GB"/>
        </w:rPr>
        <w:t>p</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w:t>
      </w:r>
      <w:r w:rsidRPr="00CE0885">
        <w:rPr>
          <w:lang w:eastAsia="en-GB"/>
        </w:rPr>
        <w:t>ic</w:t>
      </w:r>
      <w:r w:rsidRPr="00CE0885">
        <w:rPr>
          <w:spacing w:val="1"/>
          <w:lang w:eastAsia="en-GB"/>
        </w:rPr>
        <w:t>ab</w:t>
      </w:r>
      <w:r w:rsidRPr="00CE0885">
        <w:rPr>
          <w:spacing w:val="-3"/>
          <w:lang w:eastAsia="en-GB"/>
        </w:rPr>
        <w:t>l</w:t>
      </w:r>
      <w:r w:rsidRPr="00CE0885">
        <w:rPr>
          <w:lang w:eastAsia="en-GB"/>
        </w:rPr>
        <w:t>e</w:t>
      </w:r>
      <w:r w:rsidRPr="00CE0885">
        <w:rPr>
          <w:spacing w:val="-10"/>
          <w:lang w:eastAsia="en-GB"/>
        </w:rPr>
        <w:t xml:space="preserve"> </w:t>
      </w:r>
      <w:r w:rsidRPr="00CE0885">
        <w:rPr>
          <w:spacing w:val="1"/>
          <w:lang w:eastAsia="en-GB"/>
        </w:rPr>
        <w:t>th</w:t>
      </w:r>
      <w:r w:rsidRPr="00CE0885">
        <w:rPr>
          <w:lang w:eastAsia="en-GB"/>
        </w:rPr>
        <w:t>is</w:t>
      </w:r>
      <w:r w:rsidRPr="00CE0885">
        <w:rPr>
          <w:spacing w:val="-4"/>
          <w:lang w:eastAsia="en-GB"/>
        </w:rPr>
        <w:t xml:space="preserve"> </w:t>
      </w:r>
      <w:r w:rsidRPr="00CE0885">
        <w:rPr>
          <w:spacing w:val="-2"/>
          <w:lang w:eastAsia="en-GB"/>
        </w:rPr>
        <w:t>s</w:t>
      </w:r>
      <w:r w:rsidRPr="00CE0885">
        <w:rPr>
          <w:spacing w:val="1"/>
          <w:lang w:eastAsia="en-GB"/>
        </w:rPr>
        <w:t>h</w:t>
      </w:r>
      <w:r w:rsidRPr="00CE0885">
        <w:rPr>
          <w:spacing w:val="-1"/>
          <w:lang w:eastAsia="en-GB"/>
        </w:rPr>
        <w:t>o</w:t>
      </w:r>
      <w:r w:rsidRPr="00CE0885">
        <w:rPr>
          <w:spacing w:val="1"/>
          <w:lang w:eastAsia="en-GB"/>
        </w:rPr>
        <w:t>u</w:t>
      </w:r>
      <w:r w:rsidRPr="00CE0885">
        <w:rPr>
          <w:lang w:eastAsia="en-GB"/>
        </w:rPr>
        <w:t>ld</w:t>
      </w:r>
      <w:r w:rsidRPr="00CE0885">
        <w:rPr>
          <w:spacing w:val="-8"/>
          <w:lang w:eastAsia="en-GB"/>
        </w:rPr>
        <w:t xml:space="preserve"> </w:t>
      </w:r>
      <w:r w:rsidRPr="00CE0885">
        <w:rPr>
          <w:spacing w:val="1"/>
          <w:lang w:eastAsia="en-GB"/>
        </w:rPr>
        <w:t>b</w:t>
      </w:r>
      <w:r w:rsidRPr="00CE0885">
        <w:rPr>
          <w:lang w:eastAsia="en-GB"/>
        </w:rPr>
        <w:t xml:space="preserve">e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da</w:t>
      </w:r>
      <w:r w:rsidRPr="00CE0885">
        <w:rPr>
          <w:spacing w:val="-2"/>
          <w:lang w:eastAsia="en-GB"/>
        </w:rPr>
        <w:t>t</w:t>
      </w:r>
      <w:r w:rsidRPr="00CE0885">
        <w:rPr>
          <w:lang w:eastAsia="en-GB"/>
        </w:rPr>
        <w:t>e</w:t>
      </w:r>
      <w:r w:rsidRPr="00CE0885">
        <w:rPr>
          <w:spacing w:val="-3"/>
          <w:lang w:eastAsia="en-GB"/>
        </w:rPr>
        <w:t xml:space="preserve"> </w:t>
      </w:r>
      <w:r w:rsidRPr="00CE0885">
        <w:rPr>
          <w:spacing w:val="-1"/>
          <w:lang w:eastAsia="en-GB"/>
        </w:rPr>
        <w:t>r</w:t>
      </w:r>
      <w:r w:rsidRPr="00CE0885">
        <w:rPr>
          <w:spacing w:val="1"/>
          <w:lang w:eastAsia="en-GB"/>
        </w:rPr>
        <w:t>e</w:t>
      </w:r>
      <w:r w:rsidRPr="00CE0885">
        <w:rPr>
          <w:spacing w:val="-1"/>
          <w:lang w:eastAsia="en-GB"/>
        </w:rPr>
        <w:t>q</w:t>
      </w:r>
      <w:r w:rsidRPr="00CE0885">
        <w:rPr>
          <w:spacing w:val="1"/>
          <w:lang w:eastAsia="en-GB"/>
        </w:rPr>
        <w:t>ue</w:t>
      </w:r>
      <w:r w:rsidRPr="00CE0885">
        <w:rPr>
          <w:lang w:eastAsia="en-GB"/>
        </w:rPr>
        <w:t>s</w:t>
      </w:r>
      <w:r w:rsidRPr="00CE0885">
        <w:rPr>
          <w:spacing w:val="-2"/>
          <w:lang w:eastAsia="en-GB"/>
        </w:rPr>
        <w:t>t</w:t>
      </w:r>
      <w:r w:rsidRPr="00CE0885">
        <w:rPr>
          <w:spacing w:val="1"/>
          <w:lang w:eastAsia="en-GB"/>
        </w:rPr>
        <w:t>e</w:t>
      </w:r>
      <w:r w:rsidRPr="00CE0885">
        <w:rPr>
          <w:lang w:eastAsia="en-GB"/>
        </w:rPr>
        <w:t>d</w:t>
      </w:r>
      <w:r w:rsidRPr="00CE0885">
        <w:rPr>
          <w:spacing w:val="-12"/>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ctor,</w:t>
      </w:r>
      <w:r w:rsidRPr="00CE0885">
        <w:rPr>
          <w:spacing w:val="-6"/>
          <w:lang w:eastAsia="en-GB"/>
        </w:rPr>
        <w:t xml:space="preserve"> </w:t>
      </w:r>
      <w:r w:rsidRPr="00CE0885">
        <w:rPr>
          <w:spacing w:val="1"/>
          <w:lang w:eastAsia="en-GB"/>
        </w:rPr>
        <w:t>o</w:t>
      </w:r>
      <w:r w:rsidRPr="00CE0885">
        <w:rPr>
          <w:lang w:eastAsia="en-GB"/>
        </w:rPr>
        <w:t>r</w:t>
      </w:r>
      <w:r w:rsidRPr="00CE0885">
        <w:rPr>
          <w:spacing w:val="-2"/>
          <w:lang w:eastAsia="en-GB"/>
        </w:rPr>
        <w:t xml:space="preserve"> t</w:t>
      </w:r>
      <w:r w:rsidRPr="00CE0885">
        <w:rPr>
          <w:spacing w:val="1"/>
          <w:lang w:eastAsia="en-GB"/>
        </w:rPr>
        <w:t>h</w:t>
      </w:r>
      <w:r w:rsidRPr="00CE0885">
        <w:rPr>
          <w:lang w:eastAsia="en-GB"/>
        </w:rPr>
        <w:t xml:space="preserve">e </w:t>
      </w:r>
      <w:r w:rsidRPr="00CE0885">
        <w:rPr>
          <w:spacing w:val="1"/>
          <w:lang w:eastAsia="en-GB"/>
        </w:rPr>
        <w:t>nea</w:t>
      </w:r>
      <w:r w:rsidRPr="00CE0885">
        <w:rPr>
          <w:spacing w:val="-1"/>
          <w:lang w:eastAsia="en-GB"/>
        </w:rPr>
        <w:t>r</w:t>
      </w:r>
      <w:r w:rsidRPr="00CE0885">
        <w:rPr>
          <w:spacing w:val="1"/>
          <w:lang w:eastAsia="en-GB"/>
        </w:rPr>
        <w:t>e</w:t>
      </w:r>
      <w:r w:rsidRPr="00CE0885">
        <w:rPr>
          <w:lang w:eastAsia="en-GB"/>
        </w:rPr>
        <w:t>st</w:t>
      </w:r>
      <w:r w:rsidRPr="00CE0885">
        <w:rPr>
          <w:spacing w:val="-9"/>
          <w:lang w:eastAsia="en-GB"/>
        </w:rPr>
        <w:t xml:space="preserve"> </w:t>
      </w:r>
      <w:r w:rsidRPr="00CE0885">
        <w:rPr>
          <w:spacing w:val="1"/>
          <w:lang w:eastAsia="en-GB"/>
        </w:rPr>
        <w:t>d</w:t>
      </w:r>
      <w:r w:rsidRPr="00CE0885">
        <w:rPr>
          <w:spacing w:val="-1"/>
          <w:lang w:eastAsia="en-GB"/>
        </w:rPr>
        <w:t>a</w:t>
      </w:r>
      <w:r w:rsidRPr="00CE0885">
        <w:rPr>
          <w:spacing w:val="1"/>
          <w:lang w:eastAsia="en-GB"/>
        </w:rPr>
        <w:t>t</w:t>
      </w:r>
      <w:r w:rsidRPr="00CE0885">
        <w:rPr>
          <w:lang w:eastAsia="en-GB"/>
        </w:rPr>
        <w:t>e</w:t>
      </w:r>
      <w:r w:rsidRPr="00CE0885">
        <w:rPr>
          <w:spacing w:val="-3"/>
          <w:lang w:eastAsia="en-GB"/>
        </w:rPr>
        <w:t xml:space="preserve"> </w:t>
      </w:r>
      <w:r w:rsidRPr="00CE0885">
        <w:rPr>
          <w:spacing w:val="-2"/>
          <w:lang w:eastAsia="en-GB"/>
        </w:rPr>
        <w:t>t</w:t>
      </w:r>
      <w:r w:rsidRPr="00CE0885">
        <w:rPr>
          <w:lang w:eastAsia="en-GB"/>
        </w:rPr>
        <w:t>o i</w:t>
      </w:r>
      <w:r w:rsidRPr="00CE0885">
        <w:rPr>
          <w:spacing w:val="1"/>
          <w:lang w:eastAsia="en-GB"/>
        </w:rPr>
        <w:t>t</w:t>
      </w:r>
      <w:r w:rsidRPr="00CE0885">
        <w:rPr>
          <w:lang w:eastAsia="en-GB"/>
        </w:rPr>
        <w:t xml:space="preserve"> (Annex 3B).</w:t>
      </w:r>
      <w:bookmarkEnd w:id="631"/>
    </w:p>
    <w:p w14:paraId="6E26AF5A" w14:textId="76990368" w:rsidR="00977693" w:rsidRPr="00CE0885" w:rsidRDefault="00977693" w:rsidP="006B781A">
      <w:pPr>
        <w:pStyle w:val="Heading3"/>
        <w:rPr>
          <w:lang w:eastAsia="en-GB"/>
        </w:rPr>
      </w:pPr>
      <w:bookmarkStart w:id="632" w:name="_Toc440981749"/>
      <w:r w:rsidRPr="00CE0885">
        <w:rPr>
          <w:lang w:eastAsia="en-GB"/>
        </w:rPr>
        <w:t>A</w:t>
      </w:r>
      <w:r w:rsidRPr="00CE0885">
        <w:rPr>
          <w:spacing w:val="-1"/>
          <w:lang w:eastAsia="en-GB"/>
        </w:rPr>
        <w:t xml:space="preserve"> </w:t>
      </w:r>
      <w:r w:rsidRPr="00CE0885">
        <w:rPr>
          <w:spacing w:val="-2"/>
          <w:lang w:eastAsia="en-GB"/>
        </w:rPr>
        <w:t>v</w:t>
      </w:r>
      <w:r w:rsidRPr="00CE0885">
        <w:rPr>
          <w:lang w:eastAsia="en-GB"/>
        </w:rPr>
        <w:t>a</w:t>
      </w:r>
      <w:r w:rsidRPr="00CE0885">
        <w:rPr>
          <w:spacing w:val="-1"/>
          <w:lang w:eastAsia="en-GB"/>
        </w:rPr>
        <w:t>r</w:t>
      </w:r>
      <w:r w:rsidRPr="00CE0885">
        <w:rPr>
          <w:lang w:eastAsia="en-GB"/>
        </w:rPr>
        <w:t>iation</w:t>
      </w:r>
      <w:r w:rsidRPr="00CE0885">
        <w:rPr>
          <w:spacing w:val="-7"/>
          <w:lang w:eastAsia="en-GB"/>
        </w:rPr>
        <w:t xml:space="preserve"> </w:t>
      </w:r>
      <w:r w:rsidRPr="00CE0885">
        <w:rPr>
          <w:lang w:eastAsia="en-GB"/>
        </w:rPr>
        <w:t>n</w:t>
      </w:r>
      <w:r w:rsidRPr="00CE0885">
        <w:rPr>
          <w:spacing w:val="-1"/>
          <w:lang w:eastAsia="en-GB"/>
        </w:rPr>
        <w:t>o</w:t>
      </w:r>
      <w:r w:rsidRPr="00CE0885">
        <w:rPr>
          <w:lang w:eastAsia="en-GB"/>
        </w:rPr>
        <w:t>tice</w:t>
      </w:r>
      <w:r w:rsidRPr="00CE0885">
        <w:rPr>
          <w:spacing w:val="-4"/>
          <w:lang w:eastAsia="en-GB"/>
        </w:rPr>
        <w:t xml:space="preserve"> </w:t>
      </w:r>
      <w:r w:rsidRPr="00CE0885">
        <w:rPr>
          <w:lang w:eastAsia="en-GB"/>
        </w:rPr>
        <w:t>must</w:t>
      </w:r>
      <w:r w:rsidRPr="00CE0885">
        <w:rPr>
          <w:spacing w:val="-8"/>
          <w:lang w:eastAsia="en-GB"/>
        </w:rPr>
        <w:t xml:space="preserve"> </w:t>
      </w:r>
      <w:r w:rsidRPr="00CE0885">
        <w:rPr>
          <w:lang w:eastAsia="en-GB"/>
        </w:rPr>
        <w:t>include</w:t>
      </w:r>
      <w:r w:rsidRPr="00CE0885">
        <w:rPr>
          <w:spacing w:val="-9"/>
          <w:lang w:eastAsia="en-GB"/>
        </w:rPr>
        <w:t xml:space="preserve"> </w:t>
      </w:r>
      <w:r w:rsidRPr="00CE0885">
        <w:rPr>
          <w:lang w:eastAsia="en-GB"/>
        </w:rPr>
        <w:t>the</w:t>
      </w:r>
      <w:r w:rsidRPr="00CE0885">
        <w:rPr>
          <w:spacing w:val="-4"/>
          <w:lang w:eastAsia="en-GB"/>
        </w:rPr>
        <w:t xml:space="preserve"> wording of the proposed variation </w:t>
      </w:r>
      <w:r w:rsidRPr="00CE0885">
        <w:rPr>
          <w:lang w:eastAsia="en-GB"/>
        </w:rPr>
        <w:t xml:space="preserve">and the date upon which the variation will take effect. </w:t>
      </w:r>
      <w:r w:rsidRPr="00CE0885">
        <w:rPr>
          <w:spacing w:val="2"/>
          <w:lang w:eastAsia="en-GB"/>
        </w:rPr>
        <w:t>T</w:t>
      </w:r>
      <w:r w:rsidRPr="00CE0885">
        <w:rPr>
          <w:spacing w:val="-1"/>
          <w:lang w:eastAsia="en-GB"/>
        </w:rPr>
        <w:t>h</w:t>
      </w:r>
      <w:r w:rsidRPr="00CE0885">
        <w:rPr>
          <w:lang w:eastAsia="en-GB"/>
        </w:rPr>
        <w:t>e</w:t>
      </w:r>
      <w:r w:rsidRPr="00CE0885">
        <w:rPr>
          <w:spacing w:val="-2"/>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w:t>
      </w:r>
      <w:r w:rsidRPr="00CE0885">
        <w:rPr>
          <w:spacing w:val="-2"/>
          <w:lang w:eastAsia="en-GB"/>
        </w:rPr>
        <w:t>t</w:t>
      </w:r>
      <w:r w:rsidRPr="00CE0885">
        <w:rPr>
          <w:lang w:eastAsia="en-GB"/>
        </w:rPr>
        <w:t>or</w:t>
      </w:r>
      <w:r w:rsidRPr="00CE0885">
        <w:rPr>
          <w:spacing w:val="-11"/>
          <w:lang w:eastAsia="en-GB"/>
        </w:rPr>
        <w:t xml:space="preserve"> </w:t>
      </w:r>
      <w:r w:rsidRPr="00CE0885">
        <w:rPr>
          <w:spacing w:val="-3"/>
          <w:lang w:eastAsia="en-GB"/>
        </w:rPr>
        <w:t>w</w:t>
      </w:r>
      <w:r w:rsidRPr="00CE0885">
        <w:rPr>
          <w:lang w:eastAsia="en-GB"/>
        </w:rPr>
        <w:t>ould</w:t>
      </w:r>
      <w:r w:rsidRPr="00CE0885">
        <w:rPr>
          <w:spacing w:val="-4"/>
          <w:lang w:eastAsia="en-GB"/>
        </w:rPr>
        <w:t xml:space="preserve"> </w:t>
      </w:r>
      <w:r w:rsidRPr="00CE0885">
        <w:rPr>
          <w:spacing w:val="-2"/>
          <w:lang w:eastAsia="en-GB"/>
        </w:rPr>
        <w:t>t</w:t>
      </w:r>
      <w:r w:rsidRPr="00CE0885">
        <w:rPr>
          <w:lang w:eastAsia="en-GB"/>
        </w:rPr>
        <w:t>hen</w:t>
      </w:r>
      <w:r w:rsidRPr="00CE0885">
        <w:rPr>
          <w:spacing w:val="-6"/>
          <w:lang w:eastAsia="en-GB"/>
        </w:rPr>
        <w:t xml:space="preserve"> </w:t>
      </w:r>
      <w:r w:rsidRPr="00CE0885">
        <w:rPr>
          <w:lang w:eastAsia="en-GB"/>
        </w:rPr>
        <w:t>be</w:t>
      </w:r>
      <w:r w:rsidRPr="00CE0885">
        <w:rPr>
          <w:spacing w:val="-1"/>
          <w:lang w:eastAsia="en-GB"/>
        </w:rPr>
        <w:t xml:space="preserve"> r</w:t>
      </w:r>
      <w:r w:rsidRPr="00CE0885">
        <w:rPr>
          <w:lang w:eastAsia="en-GB"/>
        </w:rPr>
        <w:t>e</w:t>
      </w:r>
      <w:r w:rsidRPr="00CE0885">
        <w:rPr>
          <w:spacing w:val="-1"/>
          <w:lang w:eastAsia="en-GB"/>
        </w:rPr>
        <w:t>q</w:t>
      </w:r>
      <w:r w:rsidRPr="00CE0885">
        <w:rPr>
          <w:lang w:eastAsia="en-GB"/>
        </w:rPr>
        <w:t>ui</w:t>
      </w:r>
      <w:r w:rsidRPr="00CE0885">
        <w:rPr>
          <w:spacing w:val="-1"/>
          <w:lang w:eastAsia="en-GB"/>
        </w:rPr>
        <w:t>r</w:t>
      </w:r>
      <w:r w:rsidRPr="00CE0885">
        <w:rPr>
          <w:lang w:eastAsia="en-GB"/>
        </w:rPr>
        <w:t>ed</w:t>
      </w:r>
      <w:r w:rsidRPr="00CE0885">
        <w:rPr>
          <w:spacing w:val="-10"/>
          <w:lang w:eastAsia="en-GB"/>
        </w:rPr>
        <w:t xml:space="preserve"> </w:t>
      </w:r>
      <w:r w:rsidRPr="00CE0885">
        <w:rPr>
          <w:lang w:eastAsia="en-GB"/>
        </w:rPr>
        <w:t xml:space="preserve">to </w:t>
      </w:r>
      <w:r w:rsidRPr="00CE0885">
        <w:rPr>
          <w:spacing w:val="-1"/>
          <w:lang w:eastAsia="en-GB"/>
        </w:rPr>
        <w:t>return</w:t>
      </w:r>
      <w:r w:rsidRPr="00CE0885">
        <w:rPr>
          <w:spacing w:val="-4"/>
          <w:lang w:eastAsia="en-GB"/>
        </w:rPr>
        <w:t xml:space="preserve"> </w:t>
      </w:r>
      <w:r w:rsidRPr="00CE0885">
        <w:rPr>
          <w:lang w:eastAsia="en-GB"/>
        </w:rPr>
        <w:t>a si</w:t>
      </w:r>
      <w:r w:rsidRPr="00CE0885">
        <w:rPr>
          <w:spacing w:val="-1"/>
          <w:lang w:eastAsia="en-GB"/>
        </w:rPr>
        <w:t>g</w:t>
      </w:r>
      <w:r w:rsidRPr="00CE0885">
        <w:rPr>
          <w:lang w:eastAsia="en-GB"/>
        </w:rPr>
        <w:t>ned copy</w:t>
      </w:r>
      <w:r w:rsidRPr="00CE0885">
        <w:rPr>
          <w:spacing w:val="-9"/>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w:t>
      </w:r>
      <w:r w:rsidRPr="00CE0885">
        <w:rPr>
          <w:spacing w:val="-1"/>
          <w:lang w:eastAsia="en-GB"/>
        </w:rPr>
        <w:t xml:space="preserve"> </w:t>
      </w:r>
      <w:r w:rsidRPr="00CE0885">
        <w:rPr>
          <w:spacing w:val="-2"/>
          <w:lang w:eastAsia="en-GB"/>
        </w:rPr>
        <w:t>v</w:t>
      </w:r>
      <w:r w:rsidRPr="00CE0885">
        <w:rPr>
          <w:lang w:eastAsia="en-GB"/>
        </w:rPr>
        <w:t>a</w:t>
      </w:r>
      <w:r w:rsidRPr="00CE0885">
        <w:rPr>
          <w:spacing w:val="-1"/>
          <w:lang w:eastAsia="en-GB"/>
        </w:rPr>
        <w:t>r</w:t>
      </w:r>
      <w:r w:rsidRPr="00CE0885">
        <w:rPr>
          <w:lang w:eastAsia="en-GB"/>
        </w:rPr>
        <w:t>iation</w:t>
      </w:r>
      <w:r w:rsidRPr="00CE0885">
        <w:rPr>
          <w:spacing w:val="-7"/>
          <w:lang w:eastAsia="en-GB"/>
        </w:rPr>
        <w:t xml:space="preserve"> </w:t>
      </w:r>
      <w:r w:rsidRPr="00CE0885">
        <w:rPr>
          <w:lang w:eastAsia="en-GB"/>
        </w:rPr>
        <w:t>notice</w:t>
      </w:r>
      <w:r w:rsidRPr="00CE0885">
        <w:rPr>
          <w:spacing w:val="3"/>
          <w:lang w:eastAsia="en-GB"/>
        </w:rPr>
        <w:t>.</w:t>
      </w:r>
      <w:r w:rsidRPr="00CE0885">
        <w:rPr>
          <w:lang w:eastAsia="en-GB"/>
        </w:rPr>
        <w:t xml:space="preserve"> The Commissioner should ensure that the</w:t>
      </w:r>
      <w:r w:rsidRPr="00CE0885">
        <w:rPr>
          <w:spacing w:val="-4"/>
          <w:lang w:eastAsia="en-GB"/>
        </w:rPr>
        <w:t xml:space="preserve"> </w:t>
      </w:r>
      <w:r w:rsidRPr="00CE0885">
        <w:rPr>
          <w:spacing w:val="1"/>
          <w:lang w:eastAsia="en-GB"/>
        </w:rPr>
        <w:t>e</w:t>
      </w:r>
      <w:r w:rsidRPr="00CE0885">
        <w:rPr>
          <w:lang w:eastAsia="en-GB"/>
        </w:rPr>
        <w:t>l</w:t>
      </w:r>
      <w:r w:rsidRPr="00CE0885">
        <w:rPr>
          <w:spacing w:val="1"/>
          <w:lang w:eastAsia="en-GB"/>
        </w:rPr>
        <w:t>e</w:t>
      </w:r>
      <w:r w:rsidRPr="00CE0885">
        <w:rPr>
          <w:lang w:eastAsia="en-GB"/>
        </w:rPr>
        <w:t>c</w:t>
      </w:r>
      <w:r w:rsidRPr="00CE0885">
        <w:rPr>
          <w:spacing w:val="1"/>
          <w:lang w:eastAsia="en-GB"/>
        </w:rPr>
        <w:t>t</w:t>
      </w:r>
      <w:r w:rsidRPr="00CE0885">
        <w:rPr>
          <w:spacing w:val="-1"/>
          <w:lang w:eastAsia="en-GB"/>
        </w:rPr>
        <w:t>ro</w:t>
      </w:r>
      <w:r w:rsidRPr="00CE0885">
        <w:rPr>
          <w:spacing w:val="1"/>
          <w:lang w:eastAsia="en-GB"/>
        </w:rPr>
        <w:t>n</w:t>
      </w:r>
      <w:r w:rsidRPr="00CE0885">
        <w:rPr>
          <w:lang w:eastAsia="en-GB"/>
        </w:rPr>
        <w:t>ic</w:t>
      </w:r>
      <w:r w:rsidRPr="00CE0885">
        <w:rPr>
          <w:spacing w:val="1"/>
          <w:lang w:eastAsia="en-GB"/>
        </w:rPr>
        <w:t>a</w:t>
      </w:r>
      <w:r w:rsidRPr="00CE0885">
        <w:rPr>
          <w:lang w:eastAsia="en-GB"/>
        </w:rPr>
        <w:t>lly</w:t>
      </w:r>
      <w:r w:rsidRPr="00CE0885">
        <w:rPr>
          <w:spacing w:val="-16"/>
          <w:lang w:eastAsia="en-GB"/>
        </w:rPr>
        <w:t xml:space="preserve"> </w:t>
      </w:r>
      <w:r w:rsidRPr="00CE0885">
        <w:rPr>
          <w:spacing w:val="1"/>
          <w:lang w:eastAsia="en-GB"/>
        </w:rPr>
        <w:t>he</w:t>
      </w:r>
      <w:r w:rsidRPr="00CE0885">
        <w:rPr>
          <w:lang w:eastAsia="en-GB"/>
        </w:rPr>
        <w:t>ld</w:t>
      </w:r>
      <w:r w:rsidRPr="00CE0885">
        <w:rPr>
          <w:spacing w:val="-3"/>
          <w:lang w:eastAsia="en-GB"/>
        </w:rPr>
        <w:t xml:space="preserve"> </w:t>
      </w:r>
      <w:r w:rsidRPr="00CE0885">
        <w:rPr>
          <w:spacing w:val="-2"/>
          <w:lang w:eastAsia="en-GB"/>
        </w:rPr>
        <w:t>c</w:t>
      </w:r>
      <w:r w:rsidRPr="00CE0885">
        <w:rPr>
          <w:spacing w:val="1"/>
          <w:lang w:eastAsia="en-GB"/>
        </w:rPr>
        <w:t>ont</w:t>
      </w:r>
      <w:r w:rsidRPr="00CE0885">
        <w:rPr>
          <w:spacing w:val="-1"/>
          <w:lang w:eastAsia="en-GB"/>
        </w:rPr>
        <w:t>r</w:t>
      </w:r>
      <w:r w:rsidRPr="00CE0885">
        <w:rPr>
          <w:spacing w:val="1"/>
          <w:lang w:eastAsia="en-GB"/>
        </w:rPr>
        <w:t>a</w:t>
      </w:r>
      <w:r w:rsidRPr="00CE0885">
        <w:rPr>
          <w:lang w:eastAsia="en-GB"/>
        </w:rPr>
        <w:t>ct</w:t>
      </w:r>
      <w:r w:rsidRPr="00CE0885">
        <w:rPr>
          <w:spacing w:val="-10"/>
          <w:lang w:eastAsia="en-GB"/>
        </w:rPr>
        <w:t xml:space="preserve"> </w:t>
      </w:r>
      <w:r w:rsidRPr="00CE0885">
        <w:rPr>
          <w:spacing w:val="1"/>
          <w:lang w:eastAsia="en-GB"/>
        </w:rPr>
        <w:t>do</w:t>
      </w:r>
      <w:r w:rsidRPr="00CE0885">
        <w:rPr>
          <w:spacing w:val="-2"/>
          <w:lang w:eastAsia="en-GB"/>
        </w:rPr>
        <w:t>c</w:t>
      </w:r>
      <w:r w:rsidRPr="00CE0885">
        <w:rPr>
          <w:spacing w:val="1"/>
          <w:lang w:eastAsia="en-GB"/>
        </w:rPr>
        <w:t>u</w:t>
      </w:r>
      <w:r w:rsidRPr="00CE0885">
        <w:rPr>
          <w:spacing w:val="-1"/>
          <w:lang w:eastAsia="en-GB"/>
        </w:rPr>
        <w:t>m</w:t>
      </w:r>
      <w:r w:rsidRPr="00CE0885">
        <w:rPr>
          <w:spacing w:val="1"/>
          <w:lang w:eastAsia="en-GB"/>
        </w:rPr>
        <w:t>e</w:t>
      </w:r>
      <w:r w:rsidRPr="00CE0885">
        <w:rPr>
          <w:spacing w:val="-1"/>
          <w:lang w:eastAsia="en-GB"/>
        </w:rPr>
        <w:t>n</w:t>
      </w:r>
      <w:r w:rsidRPr="00CE0885">
        <w:rPr>
          <w:lang w:eastAsia="en-GB"/>
        </w:rPr>
        <w:t>tation is</w:t>
      </w:r>
      <w:r w:rsidRPr="00CE0885">
        <w:rPr>
          <w:spacing w:val="-10"/>
          <w:lang w:eastAsia="en-GB"/>
        </w:rPr>
        <w:t xml:space="preserve"> </w:t>
      </w:r>
      <w:r w:rsidRPr="00CE0885">
        <w:rPr>
          <w:spacing w:val="-1"/>
          <w:lang w:eastAsia="en-GB"/>
        </w:rPr>
        <w:t>a</w:t>
      </w:r>
      <w:r w:rsidRPr="00CE0885">
        <w:rPr>
          <w:spacing w:val="2"/>
          <w:lang w:eastAsia="en-GB"/>
        </w:rPr>
        <w:t>m</w:t>
      </w:r>
      <w:r w:rsidRPr="00CE0885">
        <w:rPr>
          <w:spacing w:val="1"/>
          <w:lang w:eastAsia="en-GB"/>
        </w:rPr>
        <w:t>e</w:t>
      </w:r>
      <w:r w:rsidRPr="00CE0885">
        <w:rPr>
          <w:spacing w:val="-1"/>
          <w:lang w:eastAsia="en-GB"/>
        </w:rPr>
        <w:t>n</w:t>
      </w:r>
      <w:r w:rsidRPr="00CE0885">
        <w:rPr>
          <w:spacing w:val="1"/>
          <w:lang w:eastAsia="en-GB"/>
        </w:rPr>
        <w:t>de</w:t>
      </w:r>
      <w:r w:rsidRPr="00CE0885">
        <w:rPr>
          <w:lang w:eastAsia="en-GB"/>
        </w:rPr>
        <w:t xml:space="preserve">d </w:t>
      </w:r>
      <w:r w:rsidRPr="00CE0885">
        <w:rPr>
          <w:spacing w:val="1"/>
          <w:lang w:eastAsia="en-GB"/>
        </w:rPr>
        <w:t>a</w:t>
      </w:r>
      <w:r w:rsidRPr="00CE0885">
        <w:rPr>
          <w:lang w:eastAsia="en-GB"/>
        </w:rPr>
        <w:t>cc</w:t>
      </w:r>
      <w:r w:rsidRPr="00CE0885">
        <w:rPr>
          <w:spacing w:val="1"/>
          <w:lang w:eastAsia="en-GB"/>
        </w:rPr>
        <w:t>o</w:t>
      </w:r>
      <w:r w:rsidRPr="00CE0885">
        <w:rPr>
          <w:spacing w:val="-1"/>
          <w:lang w:eastAsia="en-GB"/>
        </w:rPr>
        <w:t>r</w:t>
      </w:r>
      <w:r w:rsidRPr="00CE0885">
        <w:rPr>
          <w:spacing w:val="1"/>
          <w:lang w:eastAsia="en-GB"/>
        </w:rPr>
        <w:t>d</w:t>
      </w:r>
      <w:r w:rsidRPr="00CE0885">
        <w:rPr>
          <w:lang w:eastAsia="en-GB"/>
        </w:rPr>
        <w:t>i</w:t>
      </w:r>
      <w:r w:rsidRPr="00CE0885">
        <w:rPr>
          <w:spacing w:val="1"/>
          <w:lang w:eastAsia="en-GB"/>
        </w:rPr>
        <w:t>n</w:t>
      </w:r>
      <w:r w:rsidRPr="00CE0885">
        <w:rPr>
          <w:spacing w:val="-1"/>
          <w:lang w:eastAsia="en-GB"/>
        </w:rPr>
        <w:t>g</w:t>
      </w:r>
      <w:r w:rsidRPr="00CE0885">
        <w:rPr>
          <w:lang w:eastAsia="en-GB"/>
        </w:rPr>
        <w:t>l</w:t>
      </w:r>
      <w:r w:rsidRPr="00CE0885">
        <w:rPr>
          <w:spacing w:val="-2"/>
          <w:lang w:eastAsia="en-GB"/>
        </w:rPr>
        <w:t>y</w:t>
      </w:r>
      <w:r w:rsidRPr="00CE0885">
        <w:rPr>
          <w:lang w:eastAsia="en-GB"/>
        </w:rPr>
        <w:t>.</w:t>
      </w:r>
      <w:bookmarkEnd w:id="632"/>
    </w:p>
    <w:p w14:paraId="5D21F080" w14:textId="004AB57D" w:rsidR="00977693" w:rsidRPr="00CE0885" w:rsidRDefault="00977693" w:rsidP="006B781A">
      <w:pPr>
        <w:pStyle w:val="Heading3"/>
        <w:rPr>
          <w:lang w:eastAsia="en-GB"/>
        </w:rPr>
      </w:pPr>
      <w:bookmarkStart w:id="633" w:name="_Toc440981750"/>
      <w:r w:rsidRPr="00CE0885">
        <w:rPr>
          <w:lang w:eastAsia="en-GB"/>
        </w:rPr>
        <w:t>If t</w:t>
      </w:r>
      <w:r w:rsidRPr="00CE0885">
        <w:rPr>
          <w:spacing w:val="-1"/>
          <w:lang w:eastAsia="en-GB"/>
        </w:rPr>
        <w:t>h</w:t>
      </w:r>
      <w:r w:rsidRPr="00CE0885">
        <w:rPr>
          <w:lang w:eastAsia="en-GB"/>
        </w:rPr>
        <w:t>e</w:t>
      </w:r>
      <w:r w:rsidRPr="00CE0885">
        <w:rPr>
          <w:spacing w:val="-1"/>
          <w:lang w:eastAsia="en-GB"/>
        </w:rPr>
        <w:t xml:space="preserve"> n</w:t>
      </w:r>
      <w:r w:rsidRPr="00CE0885">
        <w:rPr>
          <w:lang w:eastAsia="en-GB"/>
        </w:rPr>
        <w:t>ew</w:t>
      </w:r>
      <w:r w:rsidRPr="00CE0885">
        <w:rPr>
          <w:spacing w:val="-6"/>
          <w:lang w:eastAsia="en-GB"/>
        </w:rPr>
        <w:t xml:space="preserve"> </w:t>
      </w:r>
      <w:r w:rsidRPr="00CE0885">
        <w:rPr>
          <w:lang w:eastAsia="en-GB"/>
        </w:rPr>
        <w:t>pa</w:t>
      </w:r>
      <w:r w:rsidRPr="00CE0885">
        <w:rPr>
          <w:spacing w:val="-1"/>
          <w:lang w:eastAsia="en-GB"/>
        </w:rPr>
        <w:t>r</w:t>
      </w:r>
      <w:r w:rsidRPr="00CE0885">
        <w:rPr>
          <w:lang w:eastAsia="en-GB"/>
        </w:rPr>
        <w:t>tner</w:t>
      </w:r>
      <w:r w:rsidRPr="00CE0885">
        <w:rPr>
          <w:spacing w:val="-8"/>
          <w:lang w:eastAsia="en-GB"/>
        </w:rPr>
        <w:t xml:space="preserve"> </w:t>
      </w:r>
      <w:r w:rsidRPr="00CE0885">
        <w:rPr>
          <w:lang w:eastAsia="en-GB"/>
        </w:rPr>
        <w:t>is</w:t>
      </w:r>
      <w:r w:rsidRPr="00CE0885">
        <w:rPr>
          <w:spacing w:val="-2"/>
          <w:lang w:eastAsia="en-GB"/>
        </w:rPr>
        <w:t xml:space="preserve"> </w:t>
      </w:r>
      <w:r w:rsidRPr="00CE0885">
        <w:rPr>
          <w:spacing w:val="-1"/>
          <w:lang w:eastAsia="en-GB"/>
        </w:rPr>
        <w:t>no</w:t>
      </w:r>
      <w:r w:rsidRPr="00CE0885">
        <w:rPr>
          <w:lang w:eastAsia="en-GB"/>
        </w:rPr>
        <w:t>t</w:t>
      </w:r>
      <w:r w:rsidRPr="00CE0885">
        <w:rPr>
          <w:spacing w:val="-2"/>
          <w:lang w:eastAsia="en-GB"/>
        </w:rPr>
        <w:t xml:space="preserve"> </w:t>
      </w:r>
      <w:r w:rsidRPr="00CE0885">
        <w:rPr>
          <w:lang w:eastAsia="en-GB"/>
        </w:rPr>
        <w:t>acc</w:t>
      </w:r>
      <w:r w:rsidRPr="00CE0885">
        <w:rPr>
          <w:spacing w:val="-1"/>
          <w:lang w:eastAsia="en-GB"/>
        </w:rPr>
        <w:t>e</w:t>
      </w:r>
      <w:r w:rsidRPr="00CE0885">
        <w:rPr>
          <w:lang w:eastAsia="en-GB"/>
        </w:rPr>
        <w:t>pt</w:t>
      </w:r>
      <w:r w:rsidRPr="00CE0885">
        <w:rPr>
          <w:spacing w:val="-1"/>
          <w:lang w:eastAsia="en-GB"/>
        </w:rPr>
        <w:t>e</w:t>
      </w:r>
      <w:r w:rsidRPr="00CE0885">
        <w:rPr>
          <w:lang w:eastAsia="en-GB"/>
        </w:rPr>
        <w:t>d</w:t>
      </w:r>
      <w:r w:rsidRPr="00CE0885">
        <w:rPr>
          <w:spacing w:val="-8"/>
          <w:lang w:eastAsia="en-GB"/>
        </w:rPr>
        <w:t xml:space="preserve"> </w:t>
      </w:r>
      <w:r w:rsidRPr="00CE0885">
        <w:rPr>
          <w:lang w:eastAsia="en-GB"/>
        </w:rPr>
        <w:t>as</w:t>
      </w:r>
      <w:r w:rsidRPr="00CE0885">
        <w:rPr>
          <w:spacing w:val="-5"/>
          <w:lang w:eastAsia="en-GB"/>
        </w:rPr>
        <w:t xml:space="preserve"> </w:t>
      </w:r>
      <w:r w:rsidRPr="00CE0885">
        <w:rPr>
          <w:lang w:eastAsia="en-GB"/>
        </w:rPr>
        <w:t>eli</w:t>
      </w:r>
      <w:r w:rsidRPr="00CE0885">
        <w:rPr>
          <w:spacing w:val="-1"/>
          <w:lang w:eastAsia="en-GB"/>
        </w:rPr>
        <w:t>g</w:t>
      </w:r>
      <w:r w:rsidRPr="00CE0885">
        <w:rPr>
          <w:lang w:eastAsia="en-GB"/>
        </w:rPr>
        <w:t>ible</w:t>
      </w:r>
      <w:r w:rsidRPr="00CE0885">
        <w:rPr>
          <w:spacing w:val="-5"/>
          <w:lang w:eastAsia="en-GB"/>
        </w:rPr>
        <w:t xml:space="preserve"> </w:t>
      </w:r>
      <w:r w:rsidRPr="00CE0885">
        <w:rPr>
          <w:lang w:eastAsia="en-GB"/>
        </w:rPr>
        <w:t>the</w:t>
      </w:r>
      <w:r w:rsidRPr="00CE0885">
        <w:rPr>
          <w:spacing w:val="-1"/>
          <w:lang w:eastAsia="en-GB"/>
        </w:rPr>
        <w:t xml:space="preserve"> </w:t>
      </w:r>
      <w:r w:rsidRPr="00CE0885">
        <w:rPr>
          <w:spacing w:val="-2"/>
          <w:lang w:eastAsia="en-GB"/>
        </w:rPr>
        <w:t>Commissioner</w:t>
      </w:r>
      <w:r w:rsidRPr="00CE0885">
        <w:rPr>
          <w:spacing w:val="-3"/>
          <w:lang w:eastAsia="en-GB"/>
        </w:rPr>
        <w:t xml:space="preserve"> </w:t>
      </w:r>
      <w:r w:rsidRPr="00CE0885">
        <w:rPr>
          <w:spacing w:val="2"/>
          <w:lang w:eastAsia="en-GB"/>
        </w:rPr>
        <w:t>should</w:t>
      </w:r>
      <w:r w:rsidRPr="00CE0885">
        <w:rPr>
          <w:spacing w:val="-4"/>
          <w:lang w:eastAsia="en-GB"/>
        </w:rPr>
        <w:t xml:space="preserve"> </w:t>
      </w:r>
      <w:r w:rsidRPr="00CE0885">
        <w:rPr>
          <w:spacing w:val="-1"/>
          <w:lang w:eastAsia="en-GB"/>
        </w:rPr>
        <w:t>a</w:t>
      </w:r>
      <w:r w:rsidRPr="00CE0885">
        <w:rPr>
          <w:lang w:eastAsia="en-GB"/>
        </w:rPr>
        <w:t>d</w:t>
      </w:r>
      <w:r w:rsidRPr="00CE0885">
        <w:rPr>
          <w:spacing w:val="-2"/>
          <w:lang w:eastAsia="en-GB"/>
        </w:rPr>
        <w:t>v</w:t>
      </w:r>
      <w:r w:rsidRPr="00CE0885">
        <w:rPr>
          <w:lang w:eastAsia="en-GB"/>
        </w:rPr>
        <w:t>ise the</w:t>
      </w:r>
      <w:r w:rsidRPr="00CE0885">
        <w:rPr>
          <w:spacing w:val="-1"/>
          <w:lang w:eastAsia="en-GB"/>
        </w:rPr>
        <w:t xml:space="preserve"> </w:t>
      </w:r>
      <w:r w:rsidRPr="00CE0885">
        <w:rPr>
          <w:spacing w:val="-2"/>
          <w:lang w:eastAsia="en-GB"/>
        </w:rPr>
        <w:t>c</w:t>
      </w:r>
      <w:r w:rsidRPr="00CE0885">
        <w:rPr>
          <w:lang w:eastAsia="en-GB"/>
        </w:rPr>
        <w:t>ont</w:t>
      </w:r>
      <w:r w:rsidRPr="00CE0885">
        <w:rPr>
          <w:spacing w:val="-1"/>
          <w:lang w:eastAsia="en-GB"/>
        </w:rPr>
        <w:t>r</w:t>
      </w:r>
      <w:r w:rsidRPr="00CE0885">
        <w:rPr>
          <w:lang w:eastAsia="en-GB"/>
        </w:rPr>
        <w:t>ac</w:t>
      </w:r>
      <w:r w:rsidRPr="00CE0885">
        <w:rPr>
          <w:spacing w:val="-2"/>
          <w:lang w:eastAsia="en-GB"/>
        </w:rPr>
        <w:t>t</w:t>
      </w:r>
      <w:r w:rsidRPr="00CE0885">
        <w:rPr>
          <w:lang w:eastAsia="en-GB"/>
        </w:rPr>
        <w:t>or</w:t>
      </w:r>
      <w:r w:rsidRPr="00CE0885">
        <w:rPr>
          <w:spacing w:val="-11"/>
          <w:lang w:eastAsia="en-GB"/>
        </w:rPr>
        <w:t xml:space="preserve"> </w:t>
      </w:r>
      <w:r w:rsidRPr="00CE0885">
        <w:rPr>
          <w:lang w:eastAsia="en-GB"/>
        </w:rPr>
        <w:t xml:space="preserve">in </w:t>
      </w:r>
      <w:r w:rsidRPr="00CE0885">
        <w:rPr>
          <w:spacing w:val="-3"/>
          <w:lang w:eastAsia="en-GB"/>
        </w:rPr>
        <w:t>w</w:t>
      </w:r>
      <w:r w:rsidRPr="00CE0885">
        <w:rPr>
          <w:spacing w:val="-1"/>
          <w:lang w:eastAsia="en-GB"/>
        </w:rPr>
        <w:t>r</w:t>
      </w:r>
      <w:r w:rsidRPr="00CE0885">
        <w:rPr>
          <w:lang w:eastAsia="en-GB"/>
        </w:rPr>
        <w:t>iting</w:t>
      </w:r>
      <w:r w:rsidRPr="00CE0885">
        <w:rPr>
          <w:spacing w:val="-8"/>
          <w:lang w:eastAsia="en-GB"/>
        </w:rPr>
        <w:t xml:space="preserve"> </w:t>
      </w:r>
      <w:r w:rsidRPr="00CE0885">
        <w:rPr>
          <w:lang w:eastAsia="en-GB"/>
        </w:rPr>
        <w:t>of</w:t>
      </w:r>
      <w:r w:rsidRPr="00CE0885">
        <w:rPr>
          <w:spacing w:val="-1"/>
          <w:lang w:eastAsia="en-GB"/>
        </w:rPr>
        <w:t xml:space="preserve"> </w:t>
      </w:r>
      <w:r w:rsidRPr="00CE0885">
        <w:rPr>
          <w:lang w:eastAsia="en-GB"/>
        </w:rPr>
        <w:t>the</w:t>
      </w:r>
      <w:r w:rsidRPr="00CE0885">
        <w:rPr>
          <w:spacing w:val="-4"/>
          <w:lang w:eastAsia="en-GB"/>
        </w:rPr>
        <w:t xml:space="preserve"> </w:t>
      </w:r>
      <w:r w:rsidRPr="00CE0885">
        <w:rPr>
          <w:spacing w:val="-1"/>
          <w:lang w:eastAsia="en-GB"/>
        </w:rPr>
        <w:t>r</w:t>
      </w:r>
      <w:r w:rsidRPr="00CE0885">
        <w:rPr>
          <w:lang w:eastAsia="en-GB"/>
        </w:rPr>
        <w:t>eas</w:t>
      </w:r>
      <w:r w:rsidRPr="00CE0885">
        <w:rPr>
          <w:spacing w:val="-1"/>
          <w:lang w:eastAsia="en-GB"/>
        </w:rPr>
        <w:t>o</w:t>
      </w:r>
      <w:r w:rsidRPr="00CE0885">
        <w:rPr>
          <w:lang w:eastAsia="en-GB"/>
        </w:rPr>
        <w:t>ns</w:t>
      </w:r>
      <w:r w:rsidRPr="00CE0885">
        <w:rPr>
          <w:spacing w:val="-9"/>
          <w:lang w:eastAsia="en-GB"/>
        </w:rPr>
        <w:t xml:space="preserve"> </w:t>
      </w:r>
      <w:r w:rsidRPr="00CE0885">
        <w:rPr>
          <w:spacing w:val="-2"/>
          <w:lang w:eastAsia="en-GB"/>
        </w:rPr>
        <w:t>t</w:t>
      </w:r>
      <w:r w:rsidRPr="00CE0885">
        <w:rPr>
          <w:lang w:eastAsia="en-GB"/>
        </w:rPr>
        <w:t>hey</w:t>
      </w:r>
      <w:r w:rsidRPr="00CE0885">
        <w:rPr>
          <w:spacing w:val="-7"/>
          <w:lang w:eastAsia="en-GB"/>
        </w:rPr>
        <w:t xml:space="preserve"> </w:t>
      </w:r>
      <w:r w:rsidRPr="00CE0885">
        <w:rPr>
          <w:spacing w:val="-1"/>
          <w:lang w:eastAsia="en-GB"/>
        </w:rPr>
        <w:t>b</w:t>
      </w:r>
      <w:r w:rsidRPr="00CE0885">
        <w:rPr>
          <w:lang w:eastAsia="en-GB"/>
        </w:rPr>
        <w:t>elie</w:t>
      </w:r>
      <w:r w:rsidRPr="00CE0885">
        <w:rPr>
          <w:spacing w:val="-2"/>
          <w:lang w:eastAsia="en-GB"/>
        </w:rPr>
        <w:t>v</w:t>
      </w:r>
      <w:r w:rsidRPr="00CE0885">
        <w:rPr>
          <w:lang w:eastAsia="en-GB"/>
        </w:rPr>
        <w:t>e</w:t>
      </w:r>
      <w:r w:rsidRPr="00CE0885">
        <w:rPr>
          <w:spacing w:val="-6"/>
          <w:lang w:eastAsia="en-GB"/>
        </w:rPr>
        <w:t xml:space="preserve"> </w:t>
      </w:r>
      <w:r w:rsidRPr="00CE0885">
        <w:rPr>
          <w:lang w:eastAsia="en-GB"/>
        </w:rPr>
        <w:t>the</w:t>
      </w:r>
      <w:r w:rsidRPr="00CE0885">
        <w:rPr>
          <w:spacing w:val="-1"/>
          <w:lang w:eastAsia="en-GB"/>
        </w:rPr>
        <w:t xml:space="preserve"> </w:t>
      </w:r>
      <w:r w:rsidRPr="00CE0885">
        <w:rPr>
          <w:lang w:eastAsia="en-GB"/>
        </w:rPr>
        <w:t>p</w:t>
      </w:r>
      <w:r w:rsidRPr="00CE0885">
        <w:rPr>
          <w:spacing w:val="-3"/>
          <w:lang w:eastAsia="en-GB"/>
        </w:rPr>
        <w:t>r</w:t>
      </w:r>
      <w:r w:rsidRPr="00CE0885">
        <w:rPr>
          <w:lang w:eastAsia="en-GB"/>
        </w:rPr>
        <w:t>opo</w:t>
      </w:r>
      <w:r w:rsidRPr="00CE0885">
        <w:rPr>
          <w:spacing w:val="-2"/>
          <w:lang w:eastAsia="en-GB"/>
        </w:rPr>
        <w:t>s</w:t>
      </w:r>
      <w:r w:rsidRPr="00CE0885">
        <w:rPr>
          <w:lang w:eastAsia="en-GB"/>
        </w:rPr>
        <w:t>ed pa</w:t>
      </w:r>
      <w:r w:rsidRPr="00CE0885">
        <w:rPr>
          <w:spacing w:val="-1"/>
          <w:lang w:eastAsia="en-GB"/>
        </w:rPr>
        <w:t>r</w:t>
      </w:r>
      <w:r w:rsidRPr="00CE0885">
        <w:rPr>
          <w:lang w:eastAsia="en-GB"/>
        </w:rPr>
        <w:t>tne</w:t>
      </w:r>
      <w:r w:rsidRPr="00CE0885">
        <w:rPr>
          <w:spacing w:val="-1"/>
          <w:lang w:eastAsia="en-GB"/>
        </w:rPr>
        <w:t>r(</w:t>
      </w:r>
      <w:r w:rsidRPr="00CE0885">
        <w:rPr>
          <w:lang w:eastAsia="en-GB"/>
        </w:rPr>
        <w:t>s)</w:t>
      </w:r>
      <w:r w:rsidRPr="00CE0885">
        <w:rPr>
          <w:spacing w:val="-10"/>
          <w:lang w:eastAsia="en-GB"/>
        </w:rPr>
        <w:t xml:space="preserve"> </w:t>
      </w:r>
      <w:r w:rsidRPr="00CE0885">
        <w:rPr>
          <w:lang w:eastAsia="en-GB"/>
        </w:rPr>
        <w:t>to</w:t>
      </w:r>
      <w:r w:rsidRPr="00CE0885">
        <w:rPr>
          <w:spacing w:val="-3"/>
          <w:lang w:eastAsia="en-GB"/>
        </w:rPr>
        <w:t xml:space="preserve"> </w:t>
      </w:r>
      <w:r w:rsidRPr="00CE0885">
        <w:rPr>
          <w:lang w:eastAsia="en-GB"/>
        </w:rPr>
        <w:t>be</w:t>
      </w:r>
      <w:r w:rsidRPr="00CE0885">
        <w:rPr>
          <w:spacing w:val="-4"/>
          <w:lang w:eastAsia="en-GB"/>
        </w:rPr>
        <w:t xml:space="preserve"> </w:t>
      </w:r>
      <w:r w:rsidRPr="00CE0885">
        <w:rPr>
          <w:lang w:eastAsia="en-GB"/>
        </w:rPr>
        <w:t>ineli</w:t>
      </w:r>
      <w:r w:rsidRPr="00CE0885">
        <w:rPr>
          <w:spacing w:val="-1"/>
          <w:lang w:eastAsia="en-GB"/>
        </w:rPr>
        <w:t>g</w:t>
      </w:r>
      <w:r w:rsidRPr="00CE0885">
        <w:rPr>
          <w:lang w:eastAsia="en-GB"/>
        </w:rPr>
        <w:t>ible</w:t>
      </w:r>
      <w:r w:rsidRPr="00CE0885">
        <w:rPr>
          <w:spacing w:val="-7"/>
          <w:lang w:eastAsia="en-GB"/>
        </w:rPr>
        <w:t xml:space="preserve"> </w:t>
      </w:r>
      <w:r w:rsidRPr="00CE0885">
        <w:rPr>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lang w:eastAsia="en-GB"/>
        </w:rPr>
        <w:t>co</w:t>
      </w:r>
      <w:r w:rsidRPr="00CE0885">
        <w:rPr>
          <w:spacing w:val="-1"/>
          <w:lang w:eastAsia="en-GB"/>
        </w:rPr>
        <w:t>n</w:t>
      </w:r>
      <w:r w:rsidRPr="00CE0885">
        <w:rPr>
          <w:spacing w:val="3"/>
          <w:lang w:eastAsia="en-GB"/>
        </w:rPr>
        <w:t>f</w:t>
      </w:r>
      <w:r w:rsidRPr="00CE0885">
        <w:rPr>
          <w:lang w:eastAsia="en-GB"/>
        </w:rPr>
        <w:t>i</w:t>
      </w:r>
      <w:r w:rsidRPr="00CE0885">
        <w:rPr>
          <w:spacing w:val="-3"/>
          <w:lang w:eastAsia="en-GB"/>
        </w:rPr>
        <w:t>r</w:t>
      </w:r>
      <w:r w:rsidRPr="00CE0885">
        <w:rPr>
          <w:lang w:eastAsia="en-GB"/>
        </w:rPr>
        <w:t>m</w:t>
      </w:r>
      <w:r w:rsidRPr="00CE0885">
        <w:rPr>
          <w:spacing w:val="-6"/>
          <w:lang w:eastAsia="en-GB"/>
        </w:rPr>
        <w:t xml:space="preserve"> </w:t>
      </w:r>
      <w:r w:rsidRPr="00CE0885">
        <w:rPr>
          <w:spacing w:val="-2"/>
          <w:lang w:eastAsia="en-GB"/>
        </w:rPr>
        <w:t>t</w:t>
      </w:r>
      <w:r w:rsidRPr="00CE0885">
        <w:rPr>
          <w:lang w:eastAsia="en-GB"/>
        </w:rPr>
        <w:t>hat</w:t>
      </w:r>
      <w:r w:rsidRPr="00CE0885">
        <w:rPr>
          <w:spacing w:val="-5"/>
          <w:lang w:eastAsia="en-GB"/>
        </w:rPr>
        <w:t xml:space="preserve"> </w:t>
      </w:r>
      <w:r w:rsidRPr="00CE0885">
        <w:rPr>
          <w:lang w:eastAsia="en-GB"/>
        </w:rPr>
        <w:t>the</w:t>
      </w:r>
      <w:r w:rsidRPr="00CE0885">
        <w:rPr>
          <w:spacing w:val="-6"/>
          <w:lang w:eastAsia="en-GB"/>
        </w:rPr>
        <w:t xml:space="preserve"> </w:t>
      </w:r>
      <w:r w:rsidRPr="00CE0885">
        <w:rPr>
          <w:lang w:eastAsia="en-GB"/>
        </w:rPr>
        <w:t>cont</w:t>
      </w:r>
      <w:r w:rsidRPr="00CE0885">
        <w:rPr>
          <w:spacing w:val="-1"/>
          <w:lang w:eastAsia="en-GB"/>
        </w:rPr>
        <w:t>r</w:t>
      </w:r>
      <w:r w:rsidRPr="00CE0885">
        <w:rPr>
          <w:lang w:eastAsia="en-GB"/>
        </w:rPr>
        <w:t>act</w:t>
      </w:r>
      <w:r w:rsidRPr="00CE0885">
        <w:rPr>
          <w:spacing w:val="-8"/>
          <w:lang w:eastAsia="en-GB"/>
        </w:rPr>
        <w:t xml:space="preserve"> </w:t>
      </w:r>
      <w:r w:rsidRPr="00CE0885">
        <w:rPr>
          <w:spacing w:val="-2"/>
          <w:lang w:eastAsia="en-GB"/>
        </w:rPr>
        <w:t>s</w:t>
      </w:r>
      <w:r w:rsidRPr="00CE0885">
        <w:rPr>
          <w:lang w:eastAsia="en-GB"/>
        </w:rPr>
        <w:t>ta</w:t>
      </w:r>
      <w:r w:rsidRPr="00CE0885">
        <w:rPr>
          <w:spacing w:val="-2"/>
          <w:lang w:eastAsia="en-GB"/>
        </w:rPr>
        <w:t>t</w:t>
      </w:r>
      <w:r w:rsidRPr="00CE0885">
        <w:rPr>
          <w:lang w:eastAsia="en-GB"/>
        </w:rPr>
        <w:t>us</w:t>
      </w:r>
      <w:r w:rsidRPr="00CE0885">
        <w:rPr>
          <w:spacing w:val="-6"/>
          <w:lang w:eastAsia="en-GB"/>
        </w:rPr>
        <w:t xml:space="preserve"> </w:t>
      </w:r>
      <w:r w:rsidRPr="00CE0885">
        <w:rPr>
          <w:spacing w:val="-3"/>
          <w:lang w:eastAsia="en-GB"/>
        </w:rPr>
        <w:t>w</w:t>
      </w:r>
      <w:r w:rsidRPr="00CE0885">
        <w:rPr>
          <w:lang w:eastAsia="en-GB"/>
        </w:rPr>
        <w:t xml:space="preserve">ill </w:t>
      </w:r>
      <w:r w:rsidRPr="00CE0885">
        <w:rPr>
          <w:spacing w:val="-1"/>
          <w:lang w:eastAsia="en-GB"/>
        </w:rPr>
        <w:t>r</w:t>
      </w:r>
      <w:r w:rsidRPr="00CE0885">
        <w:rPr>
          <w:lang w:eastAsia="en-GB"/>
        </w:rPr>
        <w:t>e</w:t>
      </w:r>
      <w:r w:rsidRPr="00CE0885">
        <w:rPr>
          <w:spacing w:val="2"/>
          <w:lang w:eastAsia="en-GB"/>
        </w:rPr>
        <w:t>m</w:t>
      </w:r>
      <w:r w:rsidRPr="00CE0885">
        <w:rPr>
          <w:lang w:eastAsia="en-GB"/>
        </w:rPr>
        <w:t>ain</w:t>
      </w:r>
      <w:r w:rsidRPr="00CE0885">
        <w:rPr>
          <w:spacing w:val="-8"/>
          <w:lang w:eastAsia="en-GB"/>
        </w:rPr>
        <w:t xml:space="preserve"> </w:t>
      </w:r>
      <w:r w:rsidRPr="00CE0885">
        <w:rPr>
          <w:lang w:eastAsia="en-GB"/>
        </w:rPr>
        <w:t>sin</w:t>
      </w:r>
      <w:r w:rsidRPr="00CE0885">
        <w:rPr>
          <w:spacing w:val="-1"/>
          <w:lang w:eastAsia="en-GB"/>
        </w:rPr>
        <w:t>g</w:t>
      </w:r>
      <w:r w:rsidRPr="00CE0885">
        <w:rPr>
          <w:lang w:eastAsia="en-GB"/>
        </w:rPr>
        <w:t>le</w:t>
      </w:r>
      <w:r w:rsidRPr="00CE0885">
        <w:rPr>
          <w:spacing w:val="-4"/>
          <w:lang w:eastAsia="en-GB"/>
        </w:rPr>
        <w:t xml:space="preserve"> </w:t>
      </w:r>
      <w:r w:rsidRPr="00CE0885">
        <w:rPr>
          <w:lang w:eastAsia="en-GB"/>
        </w:rPr>
        <w:t>h</w:t>
      </w:r>
      <w:r w:rsidRPr="00CE0885">
        <w:rPr>
          <w:spacing w:val="-1"/>
          <w:lang w:eastAsia="en-GB"/>
        </w:rPr>
        <w:t>a</w:t>
      </w:r>
      <w:r w:rsidRPr="00CE0885">
        <w:rPr>
          <w:lang w:eastAsia="en-GB"/>
        </w:rPr>
        <w:t>nd</w:t>
      </w:r>
      <w:r w:rsidRPr="00CE0885">
        <w:rPr>
          <w:spacing w:val="-1"/>
          <w:lang w:eastAsia="en-GB"/>
        </w:rPr>
        <w:t>e</w:t>
      </w:r>
      <w:r w:rsidRPr="00CE0885">
        <w:rPr>
          <w:lang w:eastAsia="en-GB"/>
        </w:rPr>
        <w:t>d</w:t>
      </w:r>
      <w:r w:rsidRPr="00CE0885">
        <w:rPr>
          <w:spacing w:val="-9"/>
          <w:lang w:eastAsia="en-GB"/>
        </w:rPr>
        <w:t xml:space="preserve"> </w:t>
      </w:r>
      <w:r w:rsidRPr="00CE0885">
        <w:rPr>
          <w:lang w:eastAsia="en-GB"/>
        </w:rPr>
        <w:t>until</w:t>
      </w:r>
      <w:r w:rsidRPr="00CE0885">
        <w:rPr>
          <w:spacing w:val="-4"/>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spacing w:val="2"/>
          <w:lang w:eastAsia="en-GB"/>
        </w:rPr>
        <w:t>m</w:t>
      </w:r>
      <w:r w:rsidRPr="00CE0885">
        <w:rPr>
          <w:lang w:eastAsia="en-GB"/>
        </w:rPr>
        <w:t>at</w:t>
      </w:r>
      <w:r w:rsidRPr="00CE0885">
        <w:rPr>
          <w:spacing w:val="-2"/>
          <w:lang w:eastAsia="en-GB"/>
        </w:rPr>
        <w:t>t</w:t>
      </w:r>
      <w:r w:rsidRPr="00CE0885">
        <w:rPr>
          <w:lang w:eastAsia="en-GB"/>
        </w:rPr>
        <w:t>er</w:t>
      </w:r>
      <w:r w:rsidRPr="00CE0885">
        <w:rPr>
          <w:spacing w:val="-7"/>
          <w:lang w:eastAsia="en-GB"/>
        </w:rPr>
        <w:t xml:space="preserve"> </w:t>
      </w:r>
      <w:r w:rsidRPr="00CE0885">
        <w:rPr>
          <w:lang w:eastAsia="en-GB"/>
        </w:rPr>
        <w:t>can</w:t>
      </w:r>
      <w:r w:rsidRPr="00CE0885">
        <w:rPr>
          <w:spacing w:val="-5"/>
          <w:lang w:eastAsia="en-GB"/>
        </w:rPr>
        <w:t xml:space="preserve"> </w:t>
      </w:r>
      <w:r w:rsidRPr="00CE0885">
        <w:rPr>
          <w:lang w:eastAsia="en-GB"/>
        </w:rPr>
        <w:t>be</w:t>
      </w:r>
      <w:r w:rsidRPr="00CE0885">
        <w:rPr>
          <w:spacing w:val="-6"/>
          <w:lang w:eastAsia="en-GB"/>
        </w:rPr>
        <w:t xml:space="preserve"> </w:t>
      </w:r>
      <w:r w:rsidRPr="00CE0885">
        <w:rPr>
          <w:spacing w:val="-1"/>
          <w:lang w:eastAsia="en-GB"/>
        </w:rPr>
        <w:t>r</w:t>
      </w:r>
      <w:r w:rsidRPr="00CE0885">
        <w:rPr>
          <w:lang w:eastAsia="en-GB"/>
        </w:rPr>
        <w:t>esol</w:t>
      </w:r>
      <w:r w:rsidRPr="00CE0885">
        <w:rPr>
          <w:spacing w:val="-2"/>
          <w:lang w:eastAsia="en-GB"/>
        </w:rPr>
        <w:t>v</w:t>
      </w:r>
      <w:r w:rsidRPr="00CE0885">
        <w:rPr>
          <w:lang w:eastAsia="en-GB"/>
        </w:rPr>
        <w:t>ed</w:t>
      </w:r>
      <w:r w:rsidRPr="00CE0885">
        <w:rPr>
          <w:spacing w:val="-7"/>
          <w:lang w:eastAsia="en-GB"/>
        </w:rPr>
        <w:t xml:space="preserve"> </w:t>
      </w:r>
      <w:r w:rsidRPr="00CE0885">
        <w:rPr>
          <w:lang w:eastAsia="en-GB"/>
        </w:rPr>
        <w:t>or</w:t>
      </w:r>
      <w:r w:rsidRPr="00CE0885">
        <w:rPr>
          <w:spacing w:val="-2"/>
          <w:lang w:eastAsia="en-GB"/>
        </w:rPr>
        <w:t xml:space="preserve"> </w:t>
      </w:r>
      <w:r w:rsidRPr="00CE0885">
        <w:rPr>
          <w:lang w:eastAsia="en-GB"/>
        </w:rPr>
        <w:t>a</w:t>
      </w:r>
      <w:r w:rsidRPr="00CE0885">
        <w:rPr>
          <w:spacing w:val="-2"/>
          <w:lang w:eastAsia="en-GB"/>
        </w:rPr>
        <w:t xml:space="preserve"> </w:t>
      </w:r>
      <w:r w:rsidRPr="00CE0885">
        <w:rPr>
          <w:lang w:eastAsia="en-GB"/>
        </w:rPr>
        <w:t>fu</w:t>
      </w:r>
      <w:r w:rsidRPr="00CE0885">
        <w:rPr>
          <w:spacing w:val="-1"/>
          <w:lang w:eastAsia="en-GB"/>
        </w:rPr>
        <w:t>r</w:t>
      </w:r>
      <w:r w:rsidRPr="00CE0885">
        <w:rPr>
          <w:lang w:eastAsia="en-GB"/>
        </w:rPr>
        <w:t>ther notice</w:t>
      </w:r>
      <w:r w:rsidRPr="00CE0885">
        <w:rPr>
          <w:spacing w:val="-4"/>
          <w:lang w:eastAsia="en-GB"/>
        </w:rPr>
        <w:t xml:space="preserve"> </w:t>
      </w:r>
      <w:r w:rsidRPr="00CE0885">
        <w:rPr>
          <w:lang w:eastAsia="en-GB"/>
        </w:rPr>
        <w:t>is</w:t>
      </w:r>
      <w:r w:rsidRPr="00CE0885">
        <w:rPr>
          <w:spacing w:val="-4"/>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2"/>
          <w:lang w:eastAsia="en-GB"/>
        </w:rPr>
        <w:t>v</w:t>
      </w:r>
      <w:r w:rsidRPr="00CE0885">
        <w:rPr>
          <w:lang w:eastAsia="en-GB"/>
        </w:rPr>
        <w:t>ided</w:t>
      </w:r>
      <w:r w:rsidRPr="00CE0885">
        <w:rPr>
          <w:spacing w:val="-7"/>
          <w:lang w:eastAsia="en-GB"/>
        </w:rPr>
        <w:t xml:space="preserve"> </w:t>
      </w:r>
      <w:r w:rsidRPr="00CE0885">
        <w:rPr>
          <w:lang w:eastAsia="en-GB"/>
        </w:rPr>
        <w:t>by</w:t>
      </w:r>
      <w:r w:rsidRPr="00CE0885">
        <w:rPr>
          <w:spacing w:val="-5"/>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co</w:t>
      </w:r>
      <w:r w:rsidRPr="00CE0885">
        <w:rPr>
          <w:spacing w:val="-1"/>
          <w:lang w:eastAsia="en-GB"/>
        </w:rPr>
        <w:t>n</w:t>
      </w:r>
      <w:r w:rsidRPr="00CE0885">
        <w:rPr>
          <w:lang w:eastAsia="en-GB"/>
        </w:rPr>
        <w:t>t</w:t>
      </w:r>
      <w:r w:rsidRPr="00CE0885">
        <w:rPr>
          <w:spacing w:val="-1"/>
          <w:lang w:eastAsia="en-GB"/>
        </w:rPr>
        <w:t>r</w:t>
      </w:r>
      <w:r w:rsidRPr="00CE0885">
        <w:rPr>
          <w:lang w:eastAsia="en-GB"/>
        </w:rPr>
        <w:t>actor</w:t>
      </w:r>
      <w:r w:rsidRPr="00CE0885">
        <w:rPr>
          <w:spacing w:val="-14"/>
          <w:lang w:eastAsia="en-GB"/>
        </w:rPr>
        <w:t xml:space="preserve"> </w:t>
      </w:r>
      <w:r w:rsidRPr="00CE0885">
        <w:rPr>
          <w:lang w:eastAsia="en-GB"/>
        </w:rPr>
        <w:t>p</w:t>
      </w:r>
      <w:r w:rsidRPr="00CE0885">
        <w:rPr>
          <w:spacing w:val="-1"/>
          <w:lang w:eastAsia="en-GB"/>
        </w:rPr>
        <w:t>r</w:t>
      </w:r>
      <w:r w:rsidRPr="00CE0885">
        <w:rPr>
          <w:lang w:eastAsia="en-GB"/>
        </w:rPr>
        <w:t>opos</w:t>
      </w:r>
      <w:r w:rsidRPr="00CE0885">
        <w:rPr>
          <w:spacing w:val="-3"/>
          <w:lang w:eastAsia="en-GB"/>
        </w:rPr>
        <w:t>i</w:t>
      </w:r>
      <w:r w:rsidRPr="00CE0885">
        <w:rPr>
          <w:lang w:eastAsia="en-GB"/>
        </w:rPr>
        <w:t>ng</w:t>
      </w:r>
      <w:r w:rsidRPr="00CE0885">
        <w:rPr>
          <w:spacing w:val="-12"/>
          <w:lang w:eastAsia="en-GB"/>
        </w:rPr>
        <w:t xml:space="preserve"> </w:t>
      </w:r>
      <w:r w:rsidRPr="00CE0885">
        <w:rPr>
          <w:lang w:eastAsia="en-GB"/>
        </w:rPr>
        <w:t>an</w:t>
      </w:r>
      <w:r w:rsidRPr="00CE0885">
        <w:rPr>
          <w:spacing w:val="-1"/>
          <w:lang w:eastAsia="en-GB"/>
        </w:rPr>
        <w:t xml:space="preserve"> </w:t>
      </w:r>
      <w:r w:rsidRPr="00CE0885">
        <w:rPr>
          <w:lang w:eastAsia="en-GB"/>
        </w:rPr>
        <w:t>al</w:t>
      </w:r>
      <w:r w:rsidRPr="00CE0885">
        <w:rPr>
          <w:spacing w:val="-2"/>
          <w:lang w:eastAsia="en-GB"/>
        </w:rPr>
        <w:t>t</w:t>
      </w:r>
      <w:r w:rsidRPr="00CE0885">
        <w:rPr>
          <w:lang w:eastAsia="en-GB"/>
        </w:rPr>
        <w:t>e</w:t>
      </w:r>
      <w:r w:rsidRPr="00CE0885">
        <w:rPr>
          <w:spacing w:val="-1"/>
          <w:lang w:eastAsia="en-GB"/>
        </w:rPr>
        <w:t>r</w:t>
      </w:r>
      <w:r w:rsidRPr="00CE0885">
        <w:rPr>
          <w:lang w:eastAsia="en-GB"/>
        </w:rPr>
        <w:t>nati</w:t>
      </w:r>
      <w:r w:rsidRPr="00CE0885">
        <w:rPr>
          <w:spacing w:val="-2"/>
          <w:lang w:eastAsia="en-GB"/>
        </w:rPr>
        <w:t>v</w:t>
      </w:r>
      <w:r w:rsidRPr="00CE0885">
        <w:rPr>
          <w:lang w:eastAsia="en-GB"/>
        </w:rPr>
        <w:t>e eli</w:t>
      </w:r>
      <w:r w:rsidRPr="00CE0885">
        <w:rPr>
          <w:spacing w:val="-1"/>
          <w:lang w:eastAsia="en-GB"/>
        </w:rPr>
        <w:t>g</w:t>
      </w:r>
      <w:r w:rsidRPr="00CE0885">
        <w:rPr>
          <w:lang w:eastAsia="en-GB"/>
        </w:rPr>
        <w:t>ible</w:t>
      </w:r>
      <w:r w:rsidRPr="00CE0885">
        <w:rPr>
          <w:spacing w:val="-5"/>
          <w:lang w:eastAsia="en-GB"/>
        </w:rPr>
        <w:t xml:space="preserve"> </w:t>
      </w:r>
      <w:r w:rsidRPr="00CE0885">
        <w:rPr>
          <w:lang w:eastAsia="en-GB"/>
        </w:rPr>
        <w:t>pa</w:t>
      </w:r>
      <w:r w:rsidRPr="00CE0885">
        <w:rPr>
          <w:spacing w:val="-1"/>
          <w:lang w:eastAsia="en-GB"/>
        </w:rPr>
        <w:t>r</w:t>
      </w:r>
      <w:r w:rsidRPr="00CE0885">
        <w:rPr>
          <w:lang w:eastAsia="en-GB"/>
        </w:rPr>
        <w:t>tne</w:t>
      </w:r>
      <w:r w:rsidRPr="00CE0885">
        <w:rPr>
          <w:spacing w:val="-1"/>
          <w:lang w:eastAsia="en-GB"/>
        </w:rPr>
        <w:t>r.</w:t>
      </w:r>
      <w:bookmarkEnd w:id="633"/>
    </w:p>
    <w:p w14:paraId="7A145269" w14:textId="77777777" w:rsidR="00977693" w:rsidRPr="00CE0885" w:rsidRDefault="00977693" w:rsidP="003331F2">
      <w:pPr>
        <w:pStyle w:val="BodyText"/>
      </w:pPr>
    </w:p>
    <w:p w14:paraId="78AA8645" w14:textId="77777777" w:rsidR="00977693" w:rsidRPr="00CE5A3A" w:rsidRDefault="00977693" w:rsidP="00CE5A3A">
      <w:pPr>
        <w:pStyle w:val="BodyText"/>
        <w:rPr>
          <w:b/>
          <w:sz w:val="24"/>
          <w:szCs w:val="24"/>
        </w:rPr>
      </w:pPr>
      <w:bookmarkStart w:id="634" w:name="_Toc440981751"/>
      <w:r w:rsidRPr="00CE5A3A">
        <w:rPr>
          <w:b/>
          <w:sz w:val="24"/>
          <w:szCs w:val="24"/>
        </w:rPr>
        <w:t>Individual to more than one individual – PMS agreement</w:t>
      </w:r>
      <w:bookmarkEnd w:id="634"/>
    </w:p>
    <w:p w14:paraId="40EDF649" w14:textId="77777777" w:rsidR="00977693" w:rsidRPr="00CE0885" w:rsidRDefault="00977693" w:rsidP="006B781A">
      <w:pPr>
        <w:pStyle w:val="Heading3"/>
        <w:rPr>
          <w:lang w:eastAsia="en-GB"/>
        </w:rPr>
      </w:pPr>
      <w:bookmarkStart w:id="635" w:name="_Toc440981752"/>
      <w:r w:rsidRPr="00CE0885">
        <w:rPr>
          <w:lang w:eastAsia="en-GB"/>
        </w:rPr>
        <w:t>The PMS Regulations do not allow PMS agreements to be treated as made with a partnership. Where individuals are practising in partnership, the PMS agreement will be entered into with each individual (which may or may not be in partnership). The individual signatories to a PMS agreement collectively form the contractor.</w:t>
      </w:r>
      <w:bookmarkEnd w:id="635"/>
      <w:r w:rsidRPr="00CE0885">
        <w:rPr>
          <w:lang w:eastAsia="en-GB"/>
        </w:rPr>
        <w:t xml:space="preserve">  </w:t>
      </w:r>
    </w:p>
    <w:p w14:paraId="040E13AF" w14:textId="4141D85C" w:rsidR="00977693" w:rsidRPr="00CE0885" w:rsidRDefault="00977693" w:rsidP="006B781A">
      <w:pPr>
        <w:pStyle w:val="Heading3"/>
        <w:rPr>
          <w:lang w:eastAsia="en-GB"/>
        </w:rPr>
      </w:pPr>
      <w:bookmarkStart w:id="636" w:name="_Ref410394560"/>
      <w:bookmarkStart w:id="637" w:name="_Toc440981753"/>
      <w:r w:rsidRPr="00CE0885">
        <w:rPr>
          <w:lang w:eastAsia="en-GB"/>
        </w:rPr>
        <w:t>The PMS Regulations do not require a PMS agreement to define a specific process for any variation to the signatories. The Commissioner must, therefore, review the relevant PMS agreement to determine whether any provisions have been added relating to this and prior to following any process for variation.</w:t>
      </w:r>
      <w:bookmarkEnd w:id="636"/>
      <w:bookmarkEnd w:id="637"/>
    </w:p>
    <w:p w14:paraId="2B15C6CA" w14:textId="373EE4D5" w:rsidR="00977693" w:rsidRPr="00CE0885" w:rsidRDefault="00977693" w:rsidP="006B781A">
      <w:pPr>
        <w:pStyle w:val="Heading3"/>
        <w:rPr>
          <w:lang w:eastAsia="en-GB"/>
        </w:rPr>
      </w:pPr>
      <w:bookmarkStart w:id="638" w:name="_Toc440981754"/>
      <w:r w:rsidRPr="00CE0885">
        <w:rPr>
          <w:spacing w:val="1"/>
          <w:lang w:eastAsia="en-GB"/>
        </w:rPr>
        <w:t>I</w:t>
      </w:r>
      <w:r w:rsidRPr="00CE0885">
        <w:rPr>
          <w:lang w:eastAsia="en-GB"/>
        </w:rPr>
        <w:t xml:space="preserve">f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to</w:t>
      </w:r>
      <w:r w:rsidRPr="00CE0885">
        <w:rPr>
          <w:lang w:eastAsia="en-GB"/>
        </w:rPr>
        <w:t>r</w:t>
      </w:r>
      <w:r w:rsidRPr="00CE0885">
        <w:rPr>
          <w:spacing w:val="-11"/>
          <w:lang w:eastAsia="en-GB"/>
        </w:rPr>
        <w:t xml:space="preserve"> </w:t>
      </w:r>
      <w:r w:rsidRPr="00CE0885">
        <w:rPr>
          <w:lang w:eastAsia="en-GB"/>
        </w:rPr>
        <w:t>is</w:t>
      </w:r>
      <w:r w:rsidRPr="00CE0885">
        <w:rPr>
          <w:spacing w:val="-2"/>
          <w:lang w:eastAsia="en-GB"/>
        </w:rPr>
        <w:t xml:space="preserve"> c</w:t>
      </w:r>
      <w:r w:rsidRPr="00CE0885">
        <w:rPr>
          <w:spacing w:val="1"/>
          <w:lang w:eastAsia="en-GB"/>
        </w:rPr>
        <w:t>u</w:t>
      </w:r>
      <w:r w:rsidRPr="00CE0885">
        <w:rPr>
          <w:spacing w:val="-1"/>
          <w:lang w:eastAsia="en-GB"/>
        </w:rPr>
        <w:t>rr</w:t>
      </w:r>
      <w:r w:rsidRPr="00CE0885">
        <w:rPr>
          <w:spacing w:val="1"/>
          <w:lang w:eastAsia="en-GB"/>
        </w:rPr>
        <w:t>ent</w:t>
      </w:r>
      <w:r w:rsidRPr="00CE0885">
        <w:rPr>
          <w:lang w:eastAsia="en-GB"/>
        </w:rPr>
        <w:t>ly</w:t>
      </w:r>
      <w:r w:rsidRPr="00CE0885">
        <w:rPr>
          <w:spacing w:val="-11"/>
          <w:lang w:eastAsia="en-GB"/>
        </w:rPr>
        <w:t xml:space="preserve"> </w:t>
      </w:r>
      <w:r w:rsidRPr="00CE0885">
        <w:rPr>
          <w:spacing w:val="1"/>
          <w:lang w:eastAsia="en-GB"/>
        </w:rPr>
        <w:t>a</w:t>
      </w:r>
      <w:r w:rsidRPr="00CE0885">
        <w:rPr>
          <w:lang w:eastAsia="en-GB"/>
        </w:rPr>
        <w:t>n</w:t>
      </w:r>
      <w:r w:rsidRPr="00CE0885">
        <w:rPr>
          <w:spacing w:val="-1"/>
          <w:lang w:eastAsia="en-GB"/>
        </w:rPr>
        <w:t xml:space="preserve"> </w:t>
      </w:r>
      <w:r w:rsidRPr="00CE0885">
        <w:rPr>
          <w:lang w:eastAsia="en-GB"/>
        </w:rPr>
        <w:t>i</w:t>
      </w:r>
      <w:r w:rsidRPr="00CE0885">
        <w:rPr>
          <w:spacing w:val="1"/>
          <w:lang w:eastAsia="en-GB"/>
        </w:rPr>
        <w:t>nd</w:t>
      </w:r>
      <w:r w:rsidRPr="00CE0885">
        <w:rPr>
          <w:lang w:eastAsia="en-GB"/>
        </w:rPr>
        <w:t>i</w:t>
      </w:r>
      <w:r w:rsidRPr="00CE0885">
        <w:rPr>
          <w:spacing w:val="-2"/>
          <w:lang w:eastAsia="en-GB"/>
        </w:rPr>
        <w:t>v</w:t>
      </w:r>
      <w:r w:rsidRPr="00CE0885">
        <w:rPr>
          <w:lang w:eastAsia="en-GB"/>
        </w:rPr>
        <w:t>i</w:t>
      </w:r>
      <w:r w:rsidRPr="00CE0885">
        <w:rPr>
          <w:spacing w:val="1"/>
          <w:lang w:eastAsia="en-GB"/>
        </w:rPr>
        <w:t>dua</w:t>
      </w:r>
      <w:r w:rsidRPr="00CE0885">
        <w:rPr>
          <w:lang w:eastAsia="en-GB"/>
        </w:rPr>
        <w:t>l</w:t>
      </w:r>
      <w:r w:rsidRPr="00CE0885">
        <w:rPr>
          <w:spacing w:val="-12"/>
          <w:lang w:eastAsia="en-GB"/>
        </w:rPr>
        <w:t xml:space="preserve"> </w:t>
      </w:r>
      <w:r w:rsidRPr="00CE0885">
        <w:rPr>
          <w:spacing w:val="2"/>
          <w:lang w:eastAsia="en-GB"/>
        </w:rPr>
        <w:t>m</w:t>
      </w:r>
      <w:r w:rsidRPr="00CE0885">
        <w:rPr>
          <w:spacing w:val="-1"/>
          <w:lang w:eastAsia="en-GB"/>
        </w:rPr>
        <w:t>ed</w:t>
      </w:r>
      <w:r w:rsidRPr="00CE0885">
        <w:rPr>
          <w:lang w:eastAsia="en-GB"/>
        </w:rPr>
        <w:t>ic</w:t>
      </w:r>
      <w:r w:rsidRPr="00CE0885">
        <w:rPr>
          <w:spacing w:val="1"/>
          <w:lang w:eastAsia="en-GB"/>
        </w:rPr>
        <w:t>a</w:t>
      </w:r>
      <w:r w:rsidRPr="00CE0885">
        <w:rPr>
          <w:lang w:eastAsia="en-GB"/>
        </w:rPr>
        <w:t>l</w:t>
      </w:r>
      <w:r w:rsidRPr="00CE0885">
        <w:rPr>
          <w:spacing w:val="-8"/>
          <w:lang w:eastAsia="en-GB"/>
        </w:rPr>
        <w:t xml:space="preserve"> </w:t>
      </w:r>
      <w:r w:rsidRPr="00CE0885">
        <w:rPr>
          <w:spacing w:val="1"/>
          <w:lang w:eastAsia="en-GB"/>
        </w:rPr>
        <w:t>p</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w:t>
      </w:r>
      <w:r w:rsidRPr="00CE0885">
        <w:rPr>
          <w:lang w:eastAsia="en-GB"/>
        </w:rPr>
        <w:t>i</w:t>
      </w:r>
      <w:r w:rsidRPr="00CE0885">
        <w:rPr>
          <w:spacing w:val="1"/>
          <w:lang w:eastAsia="en-GB"/>
        </w:rPr>
        <w:t>t</w:t>
      </w:r>
      <w:r w:rsidRPr="00CE0885">
        <w:rPr>
          <w:lang w:eastAsia="en-GB"/>
        </w:rPr>
        <w:t>i</w:t>
      </w:r>
      <w:r w:rsidRPr="00CE0885">
        <w:rPr>
          <w:spacing w:val="1"/>
          <w:lang w:eastAsia="en-GB"/>
        </w:rPr>
        <w:t>o</w:t>
      </w:r>
      <w:r w:rsidRPr="00CE0885">
        <w:rPr>
          <w:spacing w:val="-1"/>
          <w:lang w:eastAsia="en-GB"/>
        </w:rPr>
        <w:t>n</w:t>
      </w:r>
      <w:r w:rsidRPr="00CE0885">
        <w:rPr>
          <w:spacing w:val="1"/>
          <w:lang w:eastAsia="en-GB"/>
        </w:rPr>
        <w:t>e</w:t>
      </w:r>
      <w:r w:rsidRPr="00CE0885">
        <w:rPr>
          <w:spacing w:val="-1"/>
          <w:lang w:eastAsia="en-GB"/>
        </w:rPr>
        <w:t>r</w:t>
      </w:r>
      <w:r w:rsidRPr="00CE0885">
        <w:rPr>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2"/>
          <w:lang w:eastAsia="en-GB"/>
        </w:rPr>
        <w:t xml:space="preserve"> t</w:t>
      </w:r>
      <w:r w:rsidRPr="00CE0885">
        <w:rPr>
          <w:spacing w:val="1"/>
          <w:lang w:eastAsia="en-GB"/>
        </w:rPr>
        <w:t>he</w:t>
      </w:r>
      <w:r w:rsidRPr="00CE0885">
        <w:rPr>
          <w:lang w:eastAsia="en-GB"/>
        </w:rPr>
        <w:t>y</w:t>
      </w:r>
      <w:r w:rsidRPr="00CE0885">
        <w:rPr>
          <w:spacing w:val="-7"/>
          <w:lang w:eastAsia="en-GB"/>
        </w:rPr>
        <w:t xml:space="preserve"> </w:t>
      </w:r>
      <w:r w:rsidRPr="00CE0885">
        <w:rPr>
          <w:spacing w:val="-3"/>
          <w:lang w:eastAsia="en-GB"/>
        </w:rPr>
        <w:t>w</w:t>
      </w:r>
      <w:r w:rsidRPr="00CE0885">
        <w:rPr>
          <w:lang w:eastAsia="en-GB"/>
        </w:rPr>
        <w:t>ish</w:t>
      </w:r>
      <w:r w:rsidRPr="00CE0885">
        <w:rPr>
          <w:spacing w:val="-3"/>
          <w:lang w:eastAsia="en-GB"/>
        </w:rPr>
        <w:t xml:space="preserve"> </w:t>
      </w:r>
      <w:r w:rsidRPr="00CE0885">
        <w:rPr>
          <w:spacing w:val="1"/>
          <w:lang w:eastAsia="en-GB"/>
        </w:rPr>
        <w:t>t</w:t>
      </w:r>
      <w:r w:rsidRPr="00CE0885">
        <w:rPr>
          <w:lang w:eastAsia="en-GB"/>
        </w:rPr>
        <w:t xml:space="preserve">o </w:t>
      </w:r>
      <w:r w:rsidRPr="00CE0885">
        <w:rPr>
          <w:spacing w:val="1"/>
          <w:lang w:eastAsia="en-GB"/>
        </w:rPr>
        <w:t>ha</w:t>
      </w:r>
      <w:r w:rsidRPr="00CE0885">
        <w:rPr>
          <w:spacing w:val="-2"/>
          <w:lang w:eastAsia="en-GB"/>
        </w:rPr>
        <w:t>v</w:t>
      </w:r>
      <w:r w:rsidRPr="00CE0885">
        <w:rPr>
          <w:lang w:eastAsia="en-GB"/>
        </w:rPr>
        <w:t>e</w:t>
      </w:r>
      <w:r w:rsidRPr="00CE0885">
        <w:rPr>
          <w:spacing w:val="-3"/>
          <w:lang w:eastAsia="en-GB"/>
        </w:rPr>
        <w:t xml:space="preserve"> </w:t>
      </w:r>
      <w:r w:rsidRPr="00CE0885">
        <w:rPr>
          <w:spacing w:val="1"/>
          <w:lang w:eastAsia="en-GB"/>
        </w:rPr>
        <w:t>o</w:t>
      </w:r>
      <w:r w:rsidRPr="00CE0885">
        <w:rPr>
          <w:spacing w:val="-1"/>
          <w:lang w:eastAsia="en-GB"/>
        </w:rPr>
        <w:t>n</w:t>
      </w:r>
      <w:r w:rsidRPr="00CE0885">
        <w:rPr>
          <w:lang w:eastAsia="en-GB"/>
        </w:rPr>
        <w:t>e</w:t>
      </w:r>
      <w:r w:rsidRPr="00CE0885">
        <w:rPr>
          <w:spacing w:val="-2"/>
          <w:lang w:eastAsia="en-GB"/>
        </w:rPr>
        <w:t xml:space="preserve"> </w:t>
      </w:r>
      <w:r w:rsidRPr="00CE0885">
        <w:rPr>
          <w:spacing w:val="1"/>
          <w:lang w:eastAsia="en-GB"/>
        </w:rPr>
        <w:t>o</w:t>
      </w:r>
      <w:r w:rsidRPr="00CE0885">
        <w:rPr>
          <w:lang w:eastAsia="en-GB"/>
        </w:rPr>
        <w:t>r</w:t>
      </w:r>
      <w:r w:rsidRPr="00CE0885">
        <w:rPr>
          <w:spacing w:val="-5"/>
          <w:lang w:eastAsia="en-GB"/>
        </w:rPr>
        <w:t xml:space="preserve"> </w:t>
      </w:r>
      <w:r w:rsidRPr="00CE0885">
        <w:rPr>
          <w:spacing w:val="2"/>
          <w:lang w:eastAsia="en-GB"/>
        </w:rPr>
        <w:t>m</w:t>
      </w:r>
      <w:r w:rsidRPr="00CE0885">
        <w:rPr>
          <w:spacing w:val="1"/>
          <w:lang w:eastAsia="en-GB"/>
        </w:rPr>
        <w:t>o</w:t>
      </w:r>
      <w:r w:rsidRPr="00CE0885">
        <w:rPr>
          <w:spacing w:val="-1"/>
          <w:lang w:eastAsia="en-GB"/>
        </w:rPr>
        <w:t>r</w:t>
      </w:r>
      <w:r w:rsidRPr="00CE0885">
        <w:rPr>
          <w:lang w:eastAsia="en-GB"/>
        </w:rPr>
        <w:t>e</w:t>
      </w:r>
      <w:r w:rsidRPr="00CE0885">
        <w:rPr>
          <w:spacing w:val="-6"/>
          <w:lang w:eastAsia="en-GB"/>
        </w:rPr>
        <w:t xml:space="preserve"> </w:t>
      </w:r>
      <w:r w:rsidRPr="00CE0885">
        <w:rPr>
          <w:lang w:eastAsia="en-GB"/>
        </w:rPr>
        <w:t>i</w:t>
      </w:r>
      <w:r w:rsidRPr="00CE0885">
        <w:rPr>
          <w:spacing w:val="1"/>
          <w:lang w:eastAsia="en-GB"/>
        </w:rPr>
        <w:t>nd</w:t>
      </w:r>
      <w:r w:rsidRPr="00CE0885">
        <w:rPr>
          <w:lang w:eastAsia="en-GB"/>
        </w:rPr>
        <w:t>i</w:t>
      </w:r>
      <w:r w:rsidRPr="00CE0885">
        <w:rPr>
          <w:spacing w:val="-2"/>
          <w:lang w:eastAsia="en-GB"/>
        </w:rPr>
        <w:t>v</w:t>
      </w:r>
      <w:r w:rsidRPr="00CE0885">
        <w:rPr>
          <w:lang w:eastAsia="en-GB"/>
        </w:rPr>
        <w:t>i</w:t>
      </w:r>
      <w:r w:rsidRPr="00CE0885">
        <w:rPr>
          <w:spacing w:val="1"/>
          <w:lang w:eastAsia="en-GB"/>
        </w:rPr>
        <w:t>dua</w:t>
      </w:r>
      <w:r w:rsidRPr="00CE0885">
        <w:rPr>
          <w:lang w:eastAsia="en-GB"/>
        </w:rPr>
        <w:t>ls j</w:t>
      </w:r>
      <w:r w:rsidRPr="00CE0885">
        <w:rPr>
          <w:spacing w:val="1"/>
          <w:lang w:eastAsia="en-GB"/>
        </w:rPr>
        <w:t>o</w:t>
      </w:r>
      <w:r w:rsidRPr="00CE0885">
        <w:rPr>
          <w:lang w:eastAsia="en-GB"/>
        </w:rPr>
        <w:t>in</w:t>
      </w:r>
      <w:r w:rsidRPr="00CE0885">
        <w:rPr>
          <w:spacing w:val="-2"/>
          <w:lang w:eastAsia="en-GB"/>
        </w:rPr>
        <w:t xml:space="preserve"> </w:t>
      </w:r>
      <w:r w:rsidRPr="00CE0885">
        <w:rPr>
          <w:spacing w:val="1"/>
          <w:lang w:eastAsia="en-GB"/>
        </w:rPr>
        <w:t>t</w:t>
      </w:r>
      <w:r w:rsidRPr="00CE0885">
        <w:rPr>
          <w:spacing w:val="-1"/>
          <w:lang w:eastAsia="en-GB"/>
        </w:rPr>
        <w:t>h</w:t>
      </w:r>
      <w:r w:rsidRPr="00CE0885">
        <w:rPr>
          <w:spacing w:val="1"/>
          <w:lang w:eastAsia="en-GB"/>
        </w:rPr>
        <w:t>e</w:t>
      </w:r>
      <w:r w:rsidRPr="00CE0885">
        <w:rPr>
          <w:lang w:eastAsia="en-GB"/>
        </w:rPr>
        <w:t>m</w:t>
      </w:r>
      <w:r w:rsidRPr="00CE0885">
        <w:rPr>
          <w:spacing w:val="-5"/>
          <w:lang w:eastAsia="en-GB"/>
        </w:rPr>
        <w:t xml:space="preserve"> </w:t>
      </w:r>
      <w:r w:rsidRPr="00CE0885">
        <w:rPr>
          <w:spacing w:val="1"/>
          <w:lang w:eastAsia="en-GB"/>
        </w:rPr>
        <w:t>u</w:t>
      </w:r>
      <w:r w:rsidRPr="00CE0885">
        <w:rPr>
          <w:spacing w:val="-1"/>
          <w:lang w:eastAsia="en-GB"/>
        </w:rPr>
        <w:t>n</w:t>
      </w:r>
      <w:r w:rsidRPr="00CE0885">
        <w:rPr>
          <w:spacing w:val="1"/>
          <w:lang w:eastAsia="en-GB"/>
        </w:rPr>
        <w:t>de</w:t>
      </w:r>
      <w:r w:rsidRPr="00CE0885">
        <w:rPr>
          <w:lang w:eastAsia="en-GB"/>
        </w:rPr>
        <w:t>r</w:t>
      </w:r>
      <w:r w:rsidRPr="00CE0885">
        <w:rPr>
          <w:spacing w:val="-6"/>
          <w:lang w:eastAsia="en-GB"/>
        </w:rPr>
        <w:t xml:space="preserve"> </w:t>
      </w:r>
      <w:r w:rsidRPr="00CE0885">
        <w:rPr>
          <w:spacing w:val="1"/>
          <w:lang w:eastAsia="en-GB"/>
        </w:rPr>
        <w:t>t</w:t>
      </w:r>
      <w:r w:rsidRPr="00CE0885">
        <w:rPr>
          <w:spacing w:val="-1"/>
          <w:lang w:eastAsia="en-GB"/>
        </w:rPr>
        <w:t>h</w:t>
      </w:r>
      <w:r w:rsidRPr="00CE0885">
        <w:rPr>
          <w:spacing w:val="1"/>
          <w:lang w:eastAsia="en-GB"/>
        </w:rPr>
        <w:t>a</w:t>
      </w:r>
      <w:r w:rsidRPr="00CE0885">
        <w:rPr>
          <w:lang w:eastAsia="en-GB"/>
        </w:rPr>
        <w:t>t</w:t>
      </w:r>
      <w:r w:rsidRPr="00CE0885">
        <w:rPr>
          <w:spacing w:val="-5"/>
          <w:lang w:eastAsia="en-GB"/>
        </w:rPr>
        <w:t xml:space="preserve"> </w:t>
      </w:r>
      <w:r w:rsidRPr="00CE0885">
        <w:rPr>
          <w:spacing w:val="1"/>
          <w:lang w:eastAsia="en-GB"/>
        </w:rPr>
        <w:t>a</w:t>
      </w:r>
      <w:r w:rsidRPr="00CE0885">
        <w:rPr>
          <w:spacing w:val="-1"/>
          <w:lang w:eastAsia="en-GB"/>
        </w:rPr>
        <w:t>gr</w:t>
      </w:r>
      <w:r w:rsidRPr="00CE0885">
        <w:rPr>
          <w:spacing w:val="1"/>
          <w:lang w:eastAsia="en-GB"/>
        </w:rPr>
        <w:t>ee</w:t>
      </w:r>
      <w:r w:rsidRPr="00CE0885">
        <w:rPr>
          <w:spacing w:val="-1"/>
          <w:lang w:eastAsia="en-GB"/>
        </w:rPr>
        <w:t>m</w:t>
      </w:r>
      <w:r w:rsidRPr="00CE0885">
        <w:rPr>
          <w:spacing w:val="1"/>
          <w:lang w:eastAsia="en-GB"/>
        </w:rPr>
        <w:t>ent</w:t>
      </w:r>
      <w:r w:rsidRPr="00CE0885">
        <w:rPr>
          <w:lang w:eastAsia="en-GB"/>
        </w:rPr>
        <w:t>,</w:t>
      </w:r>
      <w:r w:rsidRPr="00CE0885">
        <w:rPr>
          <w:spacing w:val="-13"/>
          <w:lang w:eastAsia="en-GB"/>
        </w:rPr>
        <w:t xml:space="preserve"> </w:t>
      </w:r>
      <w:r w:rsidRPr="00CE0885">
        <w:rPr>
          <w:spacing w:val="1"/>
          <w:lang w:eastAsia="en-GB"/>
        </w:rPr>
        <w:t>t</w:t>
      </w:r>
      <w:r w:rsidRPr="00CE0885">
        <w:rPr>
          <w:spacing w:val="-1"/>
          <w:lang w:eastAsia="en-GB"/>
        </w:rPr>
        <w:t>h</w:t>
      </w:r>
      <w:r w:rsidRPr="00CE0885">
        <w:rPr>
          <w:spacing w:val="1"/>
          <w:lang w:eastAsia="en-GB"/>
        </w:rPr>
        <w:t>e</w:t>
      </w:r>
      <w:r w:rsidRPr="00CE0885">
        <w:rPr>
          <w:lang w:eastAsia="en-GB"/>
        </w:rPr>
        <w:t>n</w:t>
      </w:r>
      <w:r w:rsidRPr="00CE0885">
        <w:rPr>
          <w:spacing w:val="-3"/>
          <w:lang w:eastAsia="en-GB"/>
        </w:rPr>
        <w:t xml:space="preserve"> </w:t>
      </w:r>
      <w:r w:rsidRPr="00CE0885">
        <w:rPr>
          <w:spacing w:val="-2"/>
          <w:lang w:eastAsia="en-GB"/>
        </w:rPr>
        <w:t>t</w:t>
      </w:r>
      <w:r w:rsidRPr="00CE0885">
        <w:rPr>
          <w:spacing w:val="1"/>
          <w:lang w:eastAsia="en-GB"/>
        </w:rPr>
        <w:t>he</w:t>
      </w:r>
      <w:r w:rsidRPr="00CE0885">
        <w:rPr>
          <w:lang w:eastAsia="en-GB"/>
        </w:rPr>
        <w:t>y</w:t>
      </w:r>
      <w:r w:rsidRPr="00CE0885">
        <w:rPr>
          <w:spacing w:val="-7"/>
          <w:lang w:eastAsia="en-GB"/>
        </w:rPr>
        <w:t xml:space="preserve"> </w:t>
      </w:r>
      <w:r w:rsidRPr="00CE0885">
        <w:rPr>
          <w:spacing w:val="2"/>
          <w:lang w:eastAsia="en-GB"/>
        </w:rPr>
        <w:t>m</w:t>
      </w:r>
      <w:r w:rsidRPr="00CE0885">
        <w:rPr>
          <w:spacing w:val="-1"/>
          <w:lang w:eastAsia="en-GB"/>
        </w:rPr>
        <w:t>u</w:t>
      </w:r>
      <w:r w:rsidRPr="00CE0885">
        <w:rPr>
          <w:lang w:eastAsia="en-GB"/>
        </w:rPr>
        <w:t>st</w:t>
      </w:r>
      <w:r w:rsidRPr="00CE0885">
        <w:rPr>
          <w:spacing w:val="-4"/>
          <w:lang w:eastAsia="en-GB"/>
        </w:rPr>
        <w:t xml:space="preserve"> </w:t>
      </w:r>
      <w:r w:rsidRPr="00CE0885">
        <w:rPr>
          <w:lang w:eastAsia="en-GB"/>
        </w:rPr>
        <w:t>s</w:t>
      </w:r>
      <w:r w:rsidRPr="00CE0885">
        <w:rPr>
          <w:spacing w:val="1"/>
          <w:lang w:eastAsia="en-GB"/>
        </w:rPr>
        <w:t>ee</w:t>
      </w:r>
      <w:r w:rsidRPr="00CE0885">
        <w:rPr>
          <w:lang w:eastAsia="en-GB"/>
        </w:rPr>
        <w:t>k</w:t>
      </w:r>
      <w:r w:rsidRPr="00CE0885">
        <w:rPr>
          <w:spacing w:val="-5"/>
          <w:lang w:eastAsia="en-GB"/>
        </w:rPr>
        <w:t xml:space="preserve"> </w:t>
      </w:r>
      <w:r w:rsidRPr="00CE0885">
        <w:rPr>
          <w:lang w:eastAsia="en-GB"/>
        </w:rPr>
        <w:t>the Commissioner's c</w:t>
      </w:r>
      <w:r w:rsidRPr="00CE0885">
        <w:rPr>
          <w:spacing w:val="1"/>
          <w:lang w:eastAsia="en-GB"/>
        </w:rPr>
        <w:t>on</w:t>
      </w:r>
      <w:r w:rsidRPr="00CE0885">
        <w:rPr>
          <w:lang w:eastAsia="en-GB"/>
        </w:rPr>
        <w:t>s</w:t>
      </w:r>
      <w:r w:rsidRPr="00CE0885">
        <w:rPr>
          <w:spacing w:val="-1"/>
          <w:lang w:eastAsia="en-GB"/>
        </w:rPr>
        <w:t>e</w:t>
      </w:r>
      <w:r w:rsidRPr="00CE0885">
        <w:rPr>
          <w:spacing w:val="1"/>
          <w:lang w:eastAsia="en-GB"/>
        </w:rPr>
        <w:t>n</w:t>
      </w:r>
      <w:r w:rsidRPr="00CE0885">
        <w:rPr>
          <w:lang w:eastAsia="en-GB"/>
        </w:rPr>
        <w:t>t</w:t>
      </w:r>
      <w:r w:rsidRPr="00CE0885">
        <w:rPr>
          <w:spacing w:val="-7"/>
          <w:lang w:eastAsia="en-GB"/>
        </w:rPr>
        <w:t xml:space="preserve"> </w:t>
      </w:r>
      <w:r w:rsidRPr="00CE0885">
        <w:rPr>
          <w:lang w:eastAsia="en-GB"/>
        </w:rPr>
        <w:t xml:space="preserve">in </w:t>
      </w:r>
      <w:r w:rsidRPr="00CE0885">
        <w:rPr>
          <w:spacing w:val="-3"/>
          <w:lang w:eastAsia="en-GB"/>
        </w:rPr>
        <w:t>w</w:t>
      </w:r>
      <w:r w:rsidRPr="00CE0885">
        <w:rPr>
          <w:spacing w:val="-1"/>
          <w:lang w:eastAsia="en-GB"/>
        </w:rPr>
        <w:t>r</w:t>
      </w:r>
      <w:r w:rsidRPr="00CE0885">
        <w:rPr>
          <w:lang w:eastAsia="en-GB"/>
        </w:rPr>
        <w:t>i</w:t>
      </w:r>
      <w:r w:rsidRPr="00CE0885">
        <w:rPr>
          <w:spacing w:val="1"/>
          <w:lang w:eastAsia="en-GB"/>
        </w:rPr>
        <w:t>t</w:t>
      </w:r>
      <w:r w:rsidRPr="00CE0885">
        <w:rPr>
          <w:lang w:eastAsia="en-GB"/>
        </w:rPr>
        <w:t>i</w:t>
      </w:r>
      <w:r w:rsidRPr="00CE0885">
        <w:rPr>
          <w:spacing w:val="1"/>
          <w:lang w:eastAsia="en-GB"/>
        </w:rPr>
        <w:t>n</w:t>
      </w:r>
      <w:r w:rsidRPr="00CE0885">
        <w:rPr>
          <w:lang w:eastAsia="en-GB"/>
        </w:rPr>
        <w:t>g</w:t>
      </w:r>
      <w:r w:rsidRPr="00CE0885">
        <w:rPr>
          <w:spacing w:val="-8"/>
          <w:lang w:eastAsia="en-GB"/>
        </w:rPr>
        <w:t xml:space="preserve"> </w:t>
      </w:r>
      <w:r w:rsidRPr="00CE0885">
        <w:rPr>
          <w:spacing w:val="3"/>
          <w:lang w:eastAsia="en-GB"/>
        </w:rPr>
        <w:t>f</w:t>
      </w:r>
      <w:r w:rsidRPr="00CE0885">
        <w:rPr>
          <w:spacing w:val="1"/>
          <w:lang w:eastAsia="en-GB"/>
        </w:rPr>
        <w:t>o</w:t>
      </w:r>
      <w:r w:rsidRPr="00CE0885">
        <w:rPr>
          <w:lang w:eastAsia="en-GB"/>
        </w:rPr>
        <w:t>r</w:t>
      </w:r>
      <w:r w:rsidRPr="00CE0885">
        <w:rPr>
          <w:spacing w:val="-3"/>
          <w:lang w:eastAsia="en-GB"/>
        </w:rPr>
        <w:t xml:space="preserve"> </w:t>
      </w:r>
      <w:r w:rsidRPr="00CE0885">
        <w:rPr>
          <w:spacing w:val="-1"/>
          <w:lang w:eastAsia="en-GB"/>
        </w:rPr>
        <w:t>a</w:t>
      </w:r>
      <w:r w:rsidRPr="00CE0885">
        <w:rPr>
          <w:spacing w:val="1"/>
          <w:lang w:eastAsia="en-GB"/>
        </w:rPr>
        <w:t>n</w:t>
      </w:r>
      <w:r w:rsidRPr="00CE0885">
        <w:rPr>
          <w:lang w:eastAsia="en-GB"/>
        </w:rPr>
        <w:t>y</w:t>
      </w:r>
      <w:r w:rsidRPr="00CE0885">
        <w:rPr>
          <w:spacing w:val="-6"/>
          <w:lang w:eastAsia="en-GB"/>
        </w:rPr>
        <w:t xml:space="preserve"> </w:t>
      </w:r>
      <w:r w:rsidRPr="00CE0885">
        <w:rPr>
          <w:lang w:eastAsia="en-GB"/>
        </w:rPr>
        <w:t>s</w:t>
      </w:r>
      <w:r w:rsidRPr="00CE0885">
        <w:rPr>
          <w:spacing w:val="1"/>
          <w:lang w:eastAsia="en-GB"/>
        </w:rPr>
        <w:t>u</w:t>
      </w:r>
      <w:r w:rsidRPr="00CE0885">
        <w:rPr>
          <w:lang w:eastAsia="en-GB"/>
        </w:rPr>
        <w:t>ch</w:t>
      </w:r>
      <w:r w:rsidRPr="00CE0885">
        <w:rPr>
          <w:spacing w:val="-3"/>
          <w:lang w:eastAsia="en-GB"/>
        </w:rPr>
        <w:t xml:space="preserve"> </w:t>
      </w:r>
      <w:r w:rsidRPr="00CE0885">
        <w:rPr>
          <w:spacing w:val="-2"/>
          <w:lang w:eastAsia="en-GB"/>
        </w:rPr>
        <w:t>v</w:t>
      </w:r>
      <w:r w:rsidRPr="00CE0885">
        <w:rPr>
          <w:spacing w:val="1"/>
          <w:lang w:eastAsia="en-GB"/>
        </w:rPr>
        <w:t>a</w:t>
      </w:r>
      <w:r w:rsidRPr="00CE0885">
        <w:rPr>
          <w:spacing w:val="-1"/>
          <w:lang w:eastAsia="en-GB"/>
        </w:rPr>
        <w:t>r</w:t>
      </w:r>
      <w:r w:rsidRPr="00CE0885">
        <w:rPr>
          <w:lang w:eastAsia="en-GB"/>
        </w:rPr>
        <w:t>i</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7"/>
          <w:lang w:eastAsia="en-GB"/>
        </w:rPr>
        <w:t xml:space="preserve"> </w:t>
      </w:r>
      <w:r w:rsidRPr="00CE0885">
        <w:rPr>
          <w:spacing w:val="1"/>
          <w:lang w:eastAsia="en-GB"/>
        </w:rPr>
        <w:t>t</w:t>
      </w:r>
      <w:r w:rsidRPr="00CE0885">
        <w:rPr>
          <w:lang w:eastAsia="en-GB"/>
        </w:rPr>
        <w:t>o</w:t>
      </w:r>
      <w:r w:rsidRPr="00CE0885">
        <w:rPr>
          <w:spacing w:val="-3"/>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spacing w:val="1"/>
          <w:lang w:eastAsia="en-GB"/>
        </w:rPr>
        <w:t>t</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w:t>
      </w:r>
      <w:r w:rsidRPr="00CE0885">
        <w:rPr>
          <w:lang w:eastAsia="en-GB"/>
        </w:rPr>
        <w:t xml:space="preserve">. Where the contractor contacts the Commissioner about such a change, the Commissioner should send </w:t>
      </w:r>
      <w:r w:rsidRPr="00CE0885">
        <w:rPr>
          <w:spacing w:val="-8"/>
          <w:lang w:eastAsia="en-GB"/>
        </w:rPr>
        <w:t xml:space="preserve">Annex 4A. </w:t>
      </w:r>
      <w:r w:rsidRPr="00CE0885">
        <w:rPr>
          <w:lang w:eastAsia="en-GB"/>
        </w:rPr>
        <w:t xml:space="preserve">The Commissioner </w:t>
      </w:r>
      <w:r w:rsidRPr="00CE0885">
        <w:rPr>
          <w:spacing w:val="2"/>
          <w:lang w:eastAsia="en-GB"/>
        </w:rPr>
        <w:t>m</w:t>
      </w:r>
      <w:r w:rsidRPr="00CE0885">
        <w:rPr>
          <w:spacing w:val="1"/>
          <w:lang w:eastAsia="en-GB"/>
        </w:rPr>
        <w:t>u</w:t>
      </w:r>
      <w:r w:rsidRPr="00CE0885">
        <w:rPr>
          <w:lang w:eastAsia="en-GB"/>
        </w:rPr>
        <w:t>st</w:t>
      </w:r>
      <w:r w:rsidRPr="00CE0885">
        <w:rPr>
          <w:spacing w:val="-6"/>
          <w:lang w:eastAsia="en-GB"/>
        </w:rPr>
        <w:t xml:space="preserve"> </w:t>
      </w:r>
      <w:r w:rsidRPr="00CE0885">
        <w:rPr>
          <w:spacing w:val="1"/>
          <w:lang w:eastAsia="en-GB"/>
        </w:rPr>
        <w:t>ha</w:t>
      </w:r>
      <w:r w:rsidRPr="00CE0885">
        <w:rPr>
          <w:spacing w:val="-2"/>
          <w:lang w:eastAsia="en-GB"/>
        </w:rPr>
        <w:t>v</w:t>
      </w:r>
      <w:r w:rsidRPr="00CE0885">
        <w:rPr>
          <w:lang w:eastAsia="en-GB"/>
        </w:rPr>
        <w:t>e</w:t>
      </w:r>
      <w:r w:rsidRPr="00CE0885">
        <w:rPr>
          <w:spacing w:val="-3"/>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lang w:eastAsia="en-GB"/>
        </w:rPr>
        <w:t>si</w:t>
      </w:r>
      <w:r w:rsidRPr="00CE0885">
        <w:rPr>
          <w:spacing w:val="1"/>
          <w:lang w:eastAsia="en-GB"/>
        </w:rPr>
        <w:t>de</w:t>
      </w:r>
      <w:r w:rsidRPr="00CE0885">
        <w:rPr>
          <w:spacing w:val="-1"/>
          <w:lang w:eastAsia="en-GB"/>
        </w:rPr>
        <w:t>r</w:t>
      </w:r>
      <w:r w:rsidRPr="00CE0885">
        <w:rPr>
          <w:spacing w:val="1"/>
          <w:lang w:eastAsia="en-GB"/>
        </w:rPr>
        <w:t>at</w:t>
      </w:r>
      <w:r w:rsidRPr="00CE0885">
        <w:rPr>
          <w:spacing w:val="-3"/>
          <w:lang w:eastAsia="en-GB"/>
        </w:rPr>
        <w:t>i</w:t>
      </w:r>
      <w:r w:rsidRPr="00CE0885">
        <w:rPr>
          <w:spacing w:val="1"/>
          <w:lang w:eastAsia="en-GB"/>
        </w:rPr>
        <w:t>o</w:t>
      </w:r>
      <w:r w:rsidRPr="00CE0885">
        <w:rPr>
          <w:lang w:eastAsia="en-GB"/>
        </w:rPr>
        <w:t>n</w:t>
      </w:r>
      <w:r w:rsidRPr="00CE0885">
        <w:rPr>
          <w:spacing w:val="-12"/>
          <w:lang w:eastAsia="en-GB"/>
        </w:rPr>
        <w:t xml:space="preserve"> </w:t>
      </w:r>
      <w:r w:rsidRPr="00CE0885">
        <w:rPr>
          <w:spacing w:val="-1"/>
          <w:lang w:eastAsia="en-GB"/>
        </w:rPr>
        <w:t>o</w:t>
      </w:r>
      <w:r w:rsidRPr="00CE0885">
        <w:rPr>
          <w:lang w:eastAsia="en-GB"/>
        </w:rPr>
        <w:t>f</w:t>
      </w:r>
      <w:r w:rsidRPr="00CE0885">
        <w:rPr>
          <w:spacing w:val="-1"/>
          <w:lang w:eastAsia="en-GB"/>
        </w:rPr>
        <w:t xml:space="preserve"> a</w:t>
      </w:r>
      <w:r w:rsidRPr="00CE0885">
        <w:rPr>
          <w:spacing w:val="1"/>
          <w:lang w:eastAsia="en-GB"/>
        </w:rPr>
        <w:t>n</w:t>
      </w:r>
      <w:r w:rsidRPr="00CE0885">
        <w:rPr>
          <w:lang w:eastAsia="en-GB"/>
        </w:rPr>
        <w:t>y</w:t>
      </w:r>
      <w:r w:rsidRPr="00CE0885">
        <w:rPr>
          <w:spacing w:val="-6"/>
          <w:lang w:eastAsia="en-GB"/>
        </w:rPr>
        <w:t xml:space="preserve"> </w:t>
      </w:r>
      <w:r w:rsidRPr="00CE0885">
        <w:rPr>
          <w:spacing w:val="1"/>
          <w:lang w:eastAsia="en-GB"/>
        </w:rPr>
        <w:t>p</w:t>
      </w:r>
      <w:r w:rsidRPr="00CE0885">
        <w:rPr>
          <w:spacing w:val="-1"/>
          <w:lang w:eastAsia="en-GB"/>
        </w:rPr>
        <w:t>r</w:t>
      </w:r>
      <w:r w:rsidRPr="00CE0885">
        <w:rPr>
          <w:spacing w:val="1"/>
          <w:lang w:eastAsia="en-GB"/>
        </w:rPr>
        <w:t>o</w:t>
      </w:r>
      <w:r w:rsidRPr="00CE0885">
        <w:rPr>
          <w:lang w:eastAsia="en-GB"/>
        </w:rPr>
        <w:t>c</w:t>
      </w:r>
      <w:r w:rsidRPr="00CE0885">
        <w:rPr>
          <w:spacing w:val="1"/>
          <w:lang w:eastAsia="en-GB"/>
        </w:rPr>
        <w:t>u</w:t>
      </w:r>
      <w:r w:rsidRPr="00CE0885">
        <w:rPr>
          <w:spacing w:val="-1"/>
          <w:lang w:eastAsia="en-GB"/>
        </w:rPr>
        <w:t>r</w:t>
      </w:r>
      <w:r w:rsidRPr="00CE0885">
        <w:rPr>
          <w:spacing w:val="1"/>
          <w:lang w:eastAsia="en-GB"/>
        </w:rPr>
        <w:t>e</w:t>
      </w:r>
      <w:r w:rsidRPr="00CE0885">
        <w:rPr>
          <w:spacing w:val="-1"/>
          <w:lang w:eastAsia="en-GB"/>
        </w:rPr>
        <w:t>m</w:t>
      </w:r>
      <w:r w:rsidRPr="00CE0885">
        <w:rPr>
          <w:spacing w:val="1"/>
          <w:lang w:eastAsia="en-GB"/>
        </w:rPr>
        <w:t>en</w:t>
      </w:r>
      <w:r w:rsidRPr="00CE0885">
        <w:rPr>
          <w:lang w:eastAsia="en-GB"/>
        </w:rPr>
        <w:t>t</w:t>
      </w:r>
      <w:r w:rsidRPr="00CE0885">
        <w:rPr>
          <w:spacing w:val="-14"/>
          <w:lang w:eastAsia="en-GB"/>
        </w:rPr>
        <w:t xml:space="preserve"> </w:t>
      </w:r>
      <w:r w:rsidRPr="00CE0885">
        <w:rPr>
          <w:lang w:eastAsia="en-GB"/>
        </w:rPr>
        <w:t>i</w:t>
      </w:r>
      <w:r w:rsidRPr="00CE0885">
        <w:rPr>
          <w:spacing w:val="2"/>
          <w:lang w:eastAsia="en-GB"/>
        </w:rPr>
        <w:t>m</w:t>
      </w:r>
      <w:r w:rsidRPr="00CE0885">
        <w:rPr>
          <w:spacing w:val="1"/>
          <w:lang w:eastAsia="en-GB"/>
        </w:rPr>
        <w:t>p</w:t>
      </w:r>
      <w:r w:rsidRPr="00CE0885">
        <w:rPr>
          <w:lang w:eastAsia="en-GB"/>
        </w:rPr>
        <w:t>lic</w:t>
      </w:r>
      <w:r w:rsidRPr="00CE0885">
        <w:rPr>
          <w:spacing w:val="1"/>
          <w:lang w:eastAsia="en-GB"/>
        </w:rPr>
        <w:t>at</w:t>
      </w:r>
      <w:r w:rsidRPr="00CE0885">
        <w:rPr>
          <w:lang w:eastAsia="en-GB"/>
        </w:rPr>
        <w:t>i</w:t>
      </w:r>
      <w:r w:rsidRPr="00CE0885">
        <w:rPr>
          <w:spacing w:val="-1"/>
          <w:lang w:eastAsia="en-GB"/>
        </w:rPr>
        <w:t>o</w:t>
      </w:r>
      <w:r w:rsidRPr="00CE0885">
        <w:rPr>
          <w:spacing w:val="1"/>
          <w:lang w:eastAsia="en-GB"/>
        </w:rPr>
        <w:t>n</w:t>
      </w:r>
      <w:r w:rsidRPr="00CE0885">
        <w:rPr>
          <w:lang w:eastAsia="en-GB"/>
        </w:rPr>
        <w:t>s,</w:t>
      </w:r>
      <w:r w:rsidRPr="00CE0885">
        <w:rPr>
          <w:spacing w:val="-14"/>
          <w:lang w:eastAsia="en-GB"/>
        </w:rPr>
        <w:t xml:space="preserve"> </w:t>
      </w:r>
      <w:r w:rsidRPr="00CE0885">
        <w:rPr>
          <w:spacing w:val="1"/>
          <w:lang w:eastAsia="en-GB"/>
        </w:rPr>
        <w:t>a</w:t>
      </w:r>
      <w:r w:rsidRPr="00CE0885">
        <w:rPr>
          <w:lang w:eastAsia="en-GB"/>
        </w:rPr>
        <w:t>l</w:t>
      </w:r>
      <w:r w:rsidRPr="00CE0885">
        <w:rPr>
          <w:spacing w:val="1"/>
          <w:lang w:eastAsia="en-GB"/>
        </w:rPr>
        <w:t>on</w:t>
      </w:r>
      <w:r w:rsidRPr="00CE0885">
        <w:rPr>
          <w:lang w:eastAsia="en-GB"/>
        </w:rPr>
        <w:t>g</w:t>
      </w:r>
      <w:r w:rsidRPr="00CE0885">
        <w:rPr>
          <w:spacing w:val="-7"/>
          <w:lang w:eastAsia="en-GB"/>
        </w:rPr>
        <w:t xml:space="preserve"> </w:t>
      </w:r>
      <w:r w:rsidRPr="00CE0885">
        <w:rPr>
          <w:spacing w:val="-3"/>
          <w:lang w:eastAsia="en-GB"/>
        </w:rPr>
        <w:t>w</w:t>
      </w:r>
      <w:r w:rsidRPr="00CE0885">
        <w:rPr>
          <w:lang w:eastAsia="en-GB"/>
        </w:rPr>
        <w:t>i</w:t>
      </w:r>
      <w:r w:rsidRPr="00CE0885">
        <w:rPr>
          <w:spacing w:val="3"/>
          <w:lang w:eastAsia="en-GB"/>
        </w:rPr>
        <w:t>t</w:t>
      </w:r>
      <w:r w:rsidRPr="00CE0885">
        <w:rPr>
          <w:lang w:eastAsia="en-GB"/>
        </w:rPr>
        <w:t xml:space="preserve">h </w:t>
      </w:r>
      <w:r w:rsidRPr="00CE0885">
        <w:rPr>
          <w:spacing w:val="1"/>
          <w:lang w:eastAsia="en-GB"/>
        </w:rPr>
        <w:t>othe</w:t>
      </w:r>
      <w:r w:rsidRPr="00CE0885">
        <w:rPr>
          <w:lang w:eastAsia="en-GB"/>
        </w:rPr>
        <w:t>r</w:t>
      </w:r>
      <w:r w:rsidRPr="00CE0885">
        <w:rPr>
          <w:spacing w:val="-5"/>
          <w:lang w:eastAsia="en-GB"/>
        </w:rPr>
        <w:t xml:space="preserve"> </w:t>
      </w:r>
      <w:r w:rsidRPr="00CE0885">
        <w:rPr>
          <w:lang w:eastAsia="en-GB"/>
        </w:rPr>
        <w:t>i</w:t>
      </w:r>
      <w:r w:rsidRPr="00CE0885">
        <w:rPr>
          <w:spacing w:val="-1"/>
          <w:lang w:eastAsia="en-GB"/>
        </w:rPr>
        <w:t>n</w:t>
      </w:r>
      <w:r w:rsidRPr="00CE0885">
        <w:rPr>
          <w:spacing w:val="3"/>
          <w:lang w:eastAsia="en-GB"/>
        </w:rPr>
        <w:t>f</w:t>
      </w:r>
      <w:r w:rsidRPr="00CE0885">
        <w:rPr>
          <w:spacing w:val="-3"/>
          <w:lang w:eastAsia="en-GB"/>
        </w:rPr>
        <w:t>l</w:t>
      </w:r>
      <w:r w:rsidRPr="00CE0885">
        <w:rPr>
          <w:spacing w:val="1"/>
          <w:lang w:eastAsia="en-GB"/>
        </w:rPr>
        <w:t>u</w:t>
      </w:r>
      <w:r w:rsidRPr="00CE0885">
        <w:rPr>
          <w:spacing w:val="-1"/>
          <w:lang w:eastAsia="en-GB"/>
        </w:rPr>
        <w:t>e</w:t>
      </w:r>
      <w:r w:rsidRPr="00CE0885">
        <w:rPr>
          <w:spacing w:val="1"/>
          <w:lang w:eastAsia="en-GB"/>
        </w:rPr>
        <w:t>n</w:t>
      </w:r>
      <w:r w:rsidRPr="00CE0885">
        <w:rPr>
          <w:lang w:eastAsia="en-GB"/>
        </w:rPr>
        <w:t>ci</w:t>
      </w:r>
      <w:r w:rsidRPr="00CE0885">
        <w:rPr>
          <w:spacing w:val="1"/>
          <w:lang w:eastAsia="en-GB"/>
        </w:rPr>
        <w:t>n</w:t>
      </w:r>
      <w:r w:rsidRPr="00CE0885">
        <w:rPr>
          <w:lang w:eastAsia="en-GB"/>
        </w:rPr>
        <w:t>g</w:t>
      </w:r>
      <w:r w:rsidRPr="00CE0885">
        <w:rPr>
          <w:spacing w:val="-14"/>
          <w:lang w:eastAsia="en-GB"/>
        </w:rPr>
        <w:t xml:space="preserve"> </w:t>
      </w:r>
      <w:r w:rsidRPr="00CE0885">
        <w:rPr>
          <w:spacing w:val="3"/>
          <w:lang w:eastAsia="en-GB"/>
        </w:rPr>
        <w:t>f</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o</w:t>
      </w:r>
      <w:r w:rsidRPr="00CE0885">
        <w:rPr>
          <w:spacing w:val="-1"/>
          <w:lang w:eastAsia="en-GB"/>
        </w:rPr>
        <w:t>r</w:t>
      </w:r>
      <w:r w:rsidRPr="00CE0885">
        <w:rPr>
          <w:lang w:eastAsia="en-GB"/>
        </w:rPr>
        <w:t>s,</w:t>
      </w:r>
      <w:r w:rsidRPr="00CE0885">
        <w:rPr>
          <w:spacing w:val="-7"/>
          <w:lang w:eastAsia="en-GB"/>
        </w:rPr>
        <w:t xml:space="preserve"> </w:t>
      </w:r>
      <w:r w:rsidRPr="00CE0885">
        <w:rPr>
          <w:spacing w:val="-3"/>
          <w:lang w:eastAsia="en-GB"/>
        </w:rPr>
        <w:t>w</w:t>
      </w:r>
      <w:r w:rsidRPr="00CE0885">
        <w:rPr>
          <w:spacing w:val="1"/>
          <w:lang w:eastAsia="en-GB"/>
        </w:rPr>
        <w:t>he</w:t>
      </w:r>
      <w:r w:rsidRPr="00CE0885">
        <w:rPr>
          <w:lang w:eastAsia="en-GB"/>
        </w:rPr>
        <w:t>n</w:t>
      </w:r>
      <w:r w:rsidRPr="00CE0885">
        <w:rPr>
          <w:spacing w:val="-4"/>
          <w:lang w:eastAsia="en-GB"/>
        </w:rPr>
        <w:t xml:space="preserve"> </w:t>
      </w:r>
      <w:r w:rsidRPr="00CE0885">
        <w:rPr>
          <w:lang w:eastAsia="en-GB"/>
        </w:rPr>
        <w:t>c</w:t>
      </w:r>
      <w:r w:rsidRPr="00CE0885">
        <w:rPr>
          <w:spacing w:val="1"/>
          <w:lang w:eastAsia="en-GB"/>
        </w:rPr>
        <w:t>on</w:t>
      </w:r>
      <w:r w:rsidRPr="00CE0885">
        <w:rPr>
          <w:lang w:eastAsia="en-GB"/>
        </w:rPr>
        <w:t>si</w:t>
      </w:r>
      <w:r w:rsidRPr="00CE0885">
        <w:rPr>
          <w:spacing w:val="-1"/>
          <w:lang w:eastAsia="en-GB"/>
        </w:rPr>
        <w:t>d</w:t>
      </w:r>
      <w:r w:rsidRPr="00CE0885">
        <w:rPr>
          <w:spacing w:val="1"/>
          <w:lang w:eastAsia="en-GB"/>
        </w:rPr>
        <w:t>e</w:t>
      </w:r>
      <w:r w:rsidRPr="00CE0885">
        <w:rPr>
          <w:spacing w:val="-1"/>
          <w:lang w:eastAsia="en-GB"/>
        </w:rPr>
        <w:t>r</w:t>
      </w:r>
      <w:r w:rsidRPr="00CE0885">
        <w:rPr>
          <w:lang w:eastAsia="en-GB"/>
        </w:rPr>
        <w:t>i</w:t>
      </w:r>
      <w:r w:rsidRPr="00CE0885">
        <w:rPr>
          <w:spacing w:val="1"/>
          <w:lang w:eastAsia="en-GB"/>
        </w:rPr>
        <w:t>n</w:t>
      </w:r>
      <w:r w:rsidRPr="00CE0885">
        <w:rPr>
          <w:lang w:eastAsia="en-GB"/>
        </w:rPr>
        <w:t>g</w:t>
      </w:r>
      <w:r w:rsidRPr="00CE0885">
        <w:rPr>
          <w:spacing w:val="-13"/>
          <w:lang w:eastAsia="en-GB"/>
        </w:rPr>
        <w:t xml:space="preserve"> </w:t>
      </w:r>
      <w:r w:rsidRPr="00CE0885">
        <w:rPr>
          <w:lang w:eastAsia="en-GB"/>
        </w:rPr>
        <w:t>s</w:t>
      </w:r>
      <w:r w:rsidRPr="00CE0885">
        <w:rPr>
          <w:spacing w:val="-1"/>
          <w:lang w:eastAsia="en-GB"/>
        </w:rPr>
        <w:t>u</w:t>
      </w:r>
      <w:r w:rsidRPr="00CE0885">
        <w:rPr>
          <w:lang w:eastAsia="en-GB"/>
        </w:rPr>
        <w:t>ch</w:t>
      </w:r>
      <w:r w:rsidRPr="00CE0885">
        <w:rPr>
          <w:spacing w:val="-3"/>
          <w:lang w:eastAsia="en-GB"/>
        </w:rPr>
        <w:t xml:space="preserve"> </w:t>
      </w:r>
      <w:r w:rsidRPr="00CE0885">
        <w:rPr>
          <w:spacing w:val="1"/>
          <w:lang w:eastAsia="en-GB"/>
        </w:rPr>
        <w:t>a</w:t>
      </w:r>
      <w:r w:rsidRPr="00CE0885">
        <w:rPr>
          <w:lang w:eastAsia="en-GB"/>
        </w:rPr>
        <w:t>n</w:t>
      </w:r>
      <w:r w:rsidRPr="00CE0885">
        <w:rPr>
          <w:spacing w:val="-4"/>
          <w:lang w:eastAsia="en-GB"/>
        </w:rPr>
        <w:t xml:space="preserve"> </w:t>
      </w:r>
      <w:r w:rsidRPr="00CE0885">
        <w:rPr>
          <w:spacing w:val="1"/>
          <w:lang w:eastAsia="en-GB"/>
        </w:rPr>
        <w:t>a</w:t>
      </w:r>
      <w:r w:rsidRPr="00CE0885">
        <w:rPr>
          <w:spacing w:val="-1"/>
          <w:lang w:eastAsia="en-GB"/>
        </w:rPr>
        <w:t>p</w:t>
      </w:r>
      <w:r w:rsidRPr="00CE0885">
        <w:rPr>
          <w:spacing w:val="1"/>
          <w:lang w:eastAsia="en-GB"/>
        </w:rPr>
        <w:t>p</w:t>
      </w:r>
      <w:r w:rsidRPr="00CE0885">
        <w:rPr>
          <w:lang w:eastAsia="en-GB"/>
        </w:rPr>
        <w:t>lic</w:t>
      </w:r>
      <w:r w:rsidRPr="00CE0885">
        <w:rPr>
          <w:spacing w:val="1"/>
          <w:lang w:eastAsia="en-GB"/>
        </w:rPr>
        <w:t>at</w:t>
      </w:r>
      <w:r w:rsidRPr="00CE0885">
        <w:rPr>
          <w:lang w:eastAsia="en-GB"/>
        </w:rPr>
        <w:t>i</w:t>
      </w:r>
      <w:r w:rsidRPr="00CE0885">
        <w:rPr>
          <w:spacing w:val="1"/>
          <w:lang w:eastAsia="en-GB"/>
        </w:rPr>
        <w:t>o</w:t>
      </w:r>
      <w:r w:rsidRPr="00CE0885">
        <w:rPr>
          <w:spacing w:val="-1"/>
          <w:lang w:eastAsia="en-GB"/>
        </w:rPr>
        <w:t>n</w:t>
      </w:r>
      <w:r w:rsidRPr="00CE0885">
        <w:rPr>
          <w:lang w:eastAsia="en-GB"/>
        </w:rPr>
        <w:t>. commissioners must also act in accordance with any procurement protocol issued by NHS England.</w:t>
      </w:r>
      <w:bookmarkEnd w:id="638"/>
    </w:p>
    <w:p w14:paraId="7D77FF48" w14:textId="3F5BE683" w:rsidR="00977693" w:rsidRPr="00CE0885" w:rsidRDefault="00977693" w:rsidP="006B781A">
      <w:pPr>
        <w:pStyle w:val="Heading3"/>
        <w:rPr>
          <w:lang w:eastAsia="en-GB"/>
        </w:rPr>
      </w:pPr>
      <w:bookmarkStart w:id="639" w:name="_Toc440981755"/>
      <w:r w:rsidRPr="00CE0885">
        <w:rPr>
          <w:lang w:eastAsia="en-GB"/>
        </w:rPr>
        <w:t>The Commissioner must ensure the proposed individual(s) meet the eligibility criteria for holding a PMS agreement (</w:t>
      </w:r>
      <w:r w:rsidR="00A114DF" w:rsidRPr="00CE0885">
        <w:rPr>
          <w:lang w:eastAsia="en-GB"/>
        </w:rPr>
        <w:t xml:space="preserve">Please refer to </w:t>
      </w:r>
      <w:r w:rsidR="00A114DF">
        <w:rPr>
          <w:lang w:eastAsia="en-GB"/>
        </w:rPr>
        <w:t>the ‘Contracts Described’ chapter</w:t>
      </w:r>
      <w:r w:rsidRPr="00CE0885">
        <w:rPr>
          <w:lang w:eastAsia="en-GB"/>
        </w:rPr>
        <w:t xml:space="preserve"> for further information).</w:t>
      </w:r>
      <w:bookmarkEnd w:id="639"/>
    </w:p>
    <w:p w14:paraId="7F896D6E" w14:textId="33C7648F" w:rsidR="00977693" w:rsidRPr="00CE0885" w:rsidRDefault="00977693" w:rsidP="006B781A">
      <w:pPr>
        <w:pStyle w:val="Heading3"/>
        <w:rPr>
          <w:lang w:eastAsia="en-GB"/>
        </w:rPr>
      </w:pPr>
      <w:bookmarkStart w:id="640" w:name="_Toc440981756"/>
      <w:r w:rsidRPr="00CE0885">
        <w:rPr>
          <w:lang w:eastAsia="en-GB"/>
        </w:rPr>
        <w:t>The Commissioner should confirm its decision on the variation in writing to the contractor detailing the reasons for the decision and details of any information that they have relied upon in the process (Annex 4B).</w:t>
      </w:r>
      <w:bookmarkEnd w:id="640"/>
    </w:p>
    <w:p w14:paraId="563813F7" w14:textId="611E291C" w:rsidR="00977693" w:rsidRPr="00CE0885" w:rsidRDefault="00977693" w:rsidP="006B781A">
      <w:pPr>
        <w:pStyle w:val="Heading3"/>
        <w:rPr>
          <w:lang w:eastAsia="en-GB"/>
        </w:rPr>
      </w:pPr>
      <w:bookmarkStart w:id="641" w:name="_Toc440981757"/>
      <w:r w:rsidRPr="00CE0885">
        <w:rPr>
          <w:lang w:eastAsia="en-GB"/>
        </w:rPr>
        <w:t>If the decision is to consent to the variation, then the Commissioner shall issue a variation notice accordingly to amend the relevant sections of the contract. A variation notice should include the wording of the proposed variation and the date upon which the variation will take effect. The contractor would then be required to return a signed copy of the variation notice. The Commissioner should ensure that the electronically held contract documentation is amended accordingly.</w:t>
      </w:r>
      <w:bookmarkEnd w:id="641"/>
    </w:p>
    <w:p w14:paraId="4062C013" w14:textId="14A3CD87" w:rsidR="00977693" w:rsidRPr="00CE0885" w:rsidRDefault="00977693" w:rsidP="006B781A">
      <w:pPr>
        <w:pStyle w:val="Heading3"/>
        <w:rPr>
          <w:lang w:eastAsia="en-GB"/>
        </w:rPr>
      </w:pPr>
      <w:bookmarkStart w:id="642" w:name="_Toc440981758"/>
      <w:r w:rsidRPr="00CE0885">
        <w:rPr>
          <w:lang w:eastAsia="en-GB"/>
        </w:rPr>
        <w:t>If the contractor does not return a signed copy of the variation notice, then no amendment to the agreement can take place.</w:t>
      </w:r>
      <w:bookmarkEnd w:id="642"/>
    </w:p>
    <w:p w14:paraId="276F6E79" w14:textId="2298D5A0" w:rsidR="00977693" w:rsidRPr="00CE0885" w:rsidRDefault="00977693" w:rsidP="006B781A">
      <w:pPr>
        <w:pStyle w:val="Heading3"/>
        <w:rPr>
          <w:lang w:eastAsia="en-GB"/>
        </w:rPr>
      </w:pPr>
      <w:bookmarkStart w:id="643" w:name="_Toc440981759"/>
      <w:r w:rsidRPr="00CE0885">
        <w:rPr>
          <w:lang w:eastAsia="en-GB"/>
        </w:rPr>
        <w:t>If the new partner is not accepted as eligible the Commissioner should advise the contractor in writing of the reasons they believe the proposed partner(s) to be ineligible and confirm that the contract status will remain as it was until the matter can be resolved or a further notice is provided by the contractor proposing an alternative eligible partner.</w:t>
      </w:r>
      <w:bookmarkEnd w:id="643"/>
    </w:p>
    <w:p w14:paraId="78EDDC10" w14:textId="77777777" w:rsidR="00977693" w:rsidRPr="00CE0885" w:rsidRDefault="00977693" w:rsidP="003331F2">
      <w:pPr>
        <w:pStyle w:val="BodyText"/>
      </w:pPr>
    </w:p>
    <w:p w14:paraId="58205649" w14:textId="77777777" w:rsidR="00977693" w:rsidRPr="00CE5A3A" w:rsidRDefault="00977693" w:rsidP="00CE5A3A">
      <w:pPr>
        <w:pStyle w:val="BodyText"/>
        <w:rPr>
          <w:b/>
          <w:sz w:val="24"/>
          <w:szCs w:val="24"/>
        </w:rPr>
      </w:pPr>
      <w:bookmarkStart w:id="644" w:name="_Toc440981760"/>
      <w:r w:rsidRPr="00CE5A3A">
        <w:rPr>
          <w:b/>
          <w:sz w:val="24"/>
          <w:szCs w:val="24"/>
        </w:rPr>
        <w:t>Individual to more than one individual – APMS contract</w:t>
      </w:r>
      <w:bookmarkEnd w:id="644"/>
    </w:p>
    <w:p w14:paraId="6B9B0DC0" w14:textId="77777777" w:rsidR="00977693" w:rsidRPr="00CE0885" w:rsidRDefault="00977693" w:rsidP="006B781A">
      <w:pPr>
        <w:pStyle w:val="Heading3"/>
        <w:rPr>
          <w:lang w:eastAsia="en-GB"/>
        </w:rPr>
      </w:pPr>
      <w:bookmarkStart w:id="645" w:name="_Toc440981761"/>
      <w:r w:rsidRPr="00CE0885">
        <w:rPr>
          <w:lang w:eastAsia="en-GB"/>
        </w:rPr>
        <w:t>APMS contracts can be entered into with a partnership and the Commissioner should consider the wording of the relevant contract to determine whether there are any specific provisions covering a request from the contractor to have one or more individuals join them under the contract. Where there are no such provisions, a similar process to PMS agreements could be followed.</w:t>
      </w:r>
      <w:bookmarkEnd w:id="645"/>
      <w:r w:rsidRPr="00CE0885">
        <w:rPr>
          <w:lang w:eastAsia="en-GB"/>
        </w:rPr>
        <w:t xml:space="preserve"> </w:t>
      </w:r>
    </w:p>
    <w:p w14:paraId="366B79C8" w14:textId="77777777" w:rsidR="00977693" w:rsidRPr="00CE0885" w:rsidRDefault="00977693" w:rsidP="003331F2">
      <w:pPr>
        <w:pStyle w:val="BodyText"/>
      </w:pPr>
    </w:p>
    <w:p w14:paraId="542BD163" w14:textId="77777777" w:rsidR="00977693" w:rsidRPr="00CE5A3A" w:rsidRDefault="00977693" w:rsidP="00CE5A3A">
      <w:pPr>
        <w:pStyle w:val="BodyText"/>
        <w:rPr>
          <w:b/>
          <w:sz w:val="24"/>
          <w:szCs w:val="24"/>
        </w:rPr>
      </w:pPr>
      <w:bookmarkStart w:id="646" w:name="_Toc440981762"/>
      <w:r w:rsidRPr="00CE5A3A">
        <w:rPr>
          <w:b/>
          <w:sz w:val="24"/>
          <w:szCs w:val="24"/>
        </w:rPr>
        <w:t>Changes to contracts with more than one individual – GMS contracts</w:t>
      </w:r>
      <w:bookmarkEnd w:id="646"/>
    </w:p>
    <w:p w14:paraId="300C93BD" w14:textId="77777777" w:rsidR="00977693" w:rsidRPr="00CE0885" w:rsidRDefault="00977693" w:rsidP="006B781A">
      <w:pPr>
        <w:pStyle w:val="Heading3"/>
        <w:rPr>
          <w:lang w:eastAsia="en-GB"/>
        </w:rPr>
      </w:pPr>
      <w:bookmarkStart w:id="647" w:name="_Ref410397872"/>
      <w:bookmarkStart w:id="648" w:name="_Toc440981763"/>
      <w:r w:rsidRPr="00CE0885">
        <w:rPr>
          <w:lang w:eastAsia="en-GB"/>
        </w:rPr>
        <w:t>Changes to the contracting parties may occur where a partnership dissolves or terminates or where the composition of the partnership changes. Both scenarios are explained below.</w:t>
      </w:r>
      <w:bookmarkEnd w:id="647"/>
      <w:bookmarkEnd w:id="648"/>
      <w:r w:rsidRPr="00CE0885">
        <w:rPr>
          <w:lang w:eastAsia="en-GB"/>
        </w:rPr>
        <w:t xml:space="preserve"> </w:t>
      </w:r>
    </w:p>
    <w:p w14:paraId="6D8C8C27" w14:textId="5AA0AE94" w:rsidR="00977693" w:rsidRPr="00CE0885" w:rsidRDefault="00977693" w:rsidP="006B781A">
      <w:pPr>
        <w:pStyle w:val="Heading3"/>
        <w:rPr>
          <w:lang w:eastAsia="en-GB"/>
        </w:rPr>
      </w:pPr>
      <w:bookmarkStart w:id="649" w:name="_Ref410414102"/>
      <w:bookmarkStart w:id="650" w:name="_Toc440981764"/>
      <w:r w:rsidRPr="00CE0885">
        <w:rPr>
          <w:lang w:eastAsia="en-GB"/>
        </w:rPr>
        <w:t>Where a partnership is dissolved or terminated and the contractor consists of two or more individuals practising in partnership, the contract may continue with one of the former partners if the following conditions apply:</w:t>
      </w:r>
      <w:bookmarkEnd w:id="649"/>
      <w:bookmarkEnd w:id="650"/>
    </w:p>
    <w:p w14:paraId="43E9B3D9" w14:textId="5107B91F" w:rsidR="00977693" w:rsidRPr="00CE0885" w:rsidRDefault="00977693" w:rsidP="00FA6A70">
      <w:pPr>
        <w:pStyle w:val="Heading4"/>
      </w:pPr>
      <w:bookmarkStart w:id="651" w:name="_Toc440981765"/>
      <w:r w:rsidRPr="00CE0885">
        <w:t>the former partner must be nominated by the contractor; and</w:t>
      </w:r>
      <w:bookmarkEnd w:id="651"/>
    </w:p>
    <w:p w14:paraId="77A55316" w14:textId="484D3E48" w:rsidR="00977693" w:rsidRPr="00CE0885" w:rsidRDefault="00977693" w:rsidP="00FA6A70">
      <w:pPr>
        <w:pStyle w:val="Heading4"/>
      </w:pPr>
      <w:bookmarkStart w:id="652" w:name="_Toc440981766"/>
      <w:r w:rsidRPr="00CE0885">
        <w:t>the former partner must be a medical practitioner that meets the condition in regulation 4(2)(a) of the GMS Regulations.</w:t>
      </w:r>
      <w:bookmarkEnd w:id="652"/>
      <w:r w:rsidRPr="00CE0885">
        <w:t xml:space="preserve"> </w:t>
      </w:r>
    </w:p>
    <w:p w14:paraId="1C71693B" w14:textId="56FEE53B" w:rsidR="00977693" w:rsidRPr="00CE0885" w:rsidRDefault="00977693" w:rsidP="006B781A">
      <w:pPr>
        <w:pStyle w:val="Heading3"/>
        <w:rPr>
          <w:lang w:eastAsia="en-GB"/>
        </w:rPr>
      </w:pPr>
      <w:bookmarkStart w:id="653" w:name="_Toc440981767"/>
      <w:r w:rsidRPr="00CE0885">
        <w:rPr>
          <w:lang w:eastAsia="en-GB"/>
        </w:rPr>
        <w:t>The nomination of the former partner by the contractor must:</w:t>
      </w:r>
      <w:bookmarkEnd w:id="653"/>
    </w:p>
    <w:p w14:paraId="45DEC830" w14:textId="52905D75" w:rsidR="00977693" w:rsidRPr="00CE0885" w:rsidRDefault="00977693" w:rsidP="00FA6A70">
      <w:pPr>
        <w:pStyle w:val="Heading4"/>
      </w:pPr>
      <w:bookmarkStart w:id="654" w:name="_Toc440981768"/>
      <w:r w:rsidRPr="00CE0885">
        <w:t>be in writing and signed by all of the persons who are practising in partnership. Where the contractor contacts the Commissioner about such a change, the Commissioner should send Annex 5A;</w:t>
      </w:r>
      <w:bookmarkEnd w:id="654"/>
      <w:r w:rsidRPr="00CE0885">
        <w:t xml:space="preserve"> </w:t>
      </w:r>
    </w:p>
    <w:p w14:paraId="0EB2A56B" w14:textId="586C22EF" w:rsidR="00977693" w:rsidRPr="00CE0885" w:rsidRDefault="00977693" w:rsidP="00FA6A70">
      <w:pPr>
        <w:pStyle w:val="Heading4"/>
      </w:pPr>
      <w:bookmarkStart w:id="655" w:name="_Toc440981769"/>
      <w:r w:rsidRPr="00CE0885">
        <w:t>specify the date on which the contractor proposes to change its status from that of a partnership to that of an individual medical practitioner;</w:t>
      </w:r>
      <w:bookmarkEnd w:id="655"/>
      <w:r w:rsidRPr="00CE0885">
        <w:t xml:space="preserve"> </w:t>
      </w:r>
    </w:p>
    <w:p w14:paraId="7680B463" w14:textId="0E48E304" w:rsidR="00977693" w:rsidRPr="00CE0885" w:rsidRDefault="00977693" w:rsidP="00FA6A70">
      <w:pPr>
        <w:pStyle w:val="Heading4"/>
      </w:pPr>
      <w:bookmarkStart w:id="656" w:name="_Toc440981770"/>
      <w:r w:rsidRPr="00CE0885">
        <w:t>be provided to the Commissioner at least 28 days in advance of the date on which the contractor proposes to change its status from that of a partnership to that of an individual medical practitioner; and</w:t>
      </w:r>
      <w:bookmarkEnd w:id="656"/>
    </w:p>
    <w:p w14:paraId="429534D9" w14:textId="2479D5FB" w:rsidR="00977693" w:rsidRPr="00CE0885" w:rsidRDefault="00977693" w:rsidP="00FA6A70">
      <w:pPr>
        <w:pStyle w:val="Heading4"/>
      </w:pPr>
      <w:bookmarkStart w:id="657" w:name="_Toc440981771"/>
      <w:r w:rsidRPr="00CE0885">
        <w:t>specify the name of the medical practitioner with whom the contract will continue, which must be one of the partners.</w:t>
      </w:r>
      <w:bookmarkEnd w:id="657"/>
    </w:p>
    <w:p w14:paraId="71193E79" w14:textId="28D89630" w:rsidR="00977693" w:rsidRPr="00CE0885" w:rsidRDefault="00977693" w:rsidP="006B781A">
      <w:pPr>
        <w:pStyle w:val="Heading3"/>
        <w:rPr>
          <w:lang w:eastAsia="en-GB"/>
        </w:rPr>
      </w:pPr>
      <w:bookmarkStart w:id="658" w:name="_Toc440981772"/>
      <w:r w:rsidRPr="00CE0885">
        <w:rPr>
          <w:lang w:eastAsia="en-GB"/>
        </w:rPr>
        <w:t>Where the Commissioner receives such a nomination, it must acknowledge receipt in writing before the date specified in the nomination as the date on which the contractor proposes to change its status from that of a partnership to that of an individual medical practitioner.</w:t>
      </w:r>
      <w:bookmarkEnd w:id="658"/>
    </w:p>
    <w:p w14:paraId="707E9965" w14:textId="0DF274A0" w:rsidR="00977693" w:rsidRPr="00CE0885" w:rsidRDefault="00977693" w:rsidP="006B781A">
      <w:pPr>
        <w:pStyle w:val="Heading3"/>
        <w:rPr>
          <w:lang w:eastAsia="en-GB"/>
        </w:rPr>
      </w:pPr>
      <w:bookmarkStart w:id="659" w:name="_Toc440981773"/>
      <w:r w:rsidRPr="00CE0885">
        <w:rPr>
          <w:lang w:eastAsia="en-GB"/>
        </w:rPr>
        <w:t>Where the Commissioner agrees the nomination, the Commissioner may vary the contract but only to the extent that it is satisfied it is necessary to reflect the change in status of the contractor from a partnership to an individual medical practitioner. The Commissioner must notify the contractor in writing of the wording of the proposed variation and the date upon which that variation is to take effect.</w:t>
      </w:r>
      <w:bookmarkEnd w:id="659"/>
      <w:r w:rsidRPr="00CE0885">
        <w:rPr>
          <w:lang w:eastAsia="en-GB"/>
        </w:rPr>
        <w:t xml:space="preserve"> </w:t>
      </w:r>
    </w:p>
    <w:p w14:paraId="43CFB832" w14:textId="2C6E716F" w:rsidR="00977693" w:rsidRPr="00CE0885" w:rsidRDefault="00977693" w:rsidP="006B781A">
      <w:pPr>
        <w:pStyle w:val="Heading3"/>
        <w:rPr>
          <w:lang w:eastAsia="en-GB"/>
        </w:rPr>
      </w:pPr>
      <w:bookmarkStart w:id="660" w:name="_Toc440981774"/>
      <w:r w:rsidRPr="00CE0885">
        <w:rPr>
          <w:lang w:eastAsia="en-GB"/>
        </w:rPr>
        <w:t>A template notice is provided at Annex 5B. A variation notice will need to be included with this letter.</w:t>
      </w:r>
      <w:bookmarkEnd w:id="660"/>
    </w:p>
    <w:p w14:paraId="12DA1D6D" w14:textId="4BB68DA9" w:rsidR="00977693" w:rsidRPr="00CE0885" w:rsidRDefault="00977693" w:rsidP="006B781A">
      <w:pPr>
        <w:pStyle w:val="Heading3"/>
        <w:rPr>
          <w:lang w:eastAsia="en-GB"/>
        </w:rPr>
      </w:pPr>
      <w:bookmarkStart w:id="661" w:name="_Toc440981775"/>
      <w:r w:rsidRPr="00CE0885">
        <w:rPr>
          <w:spacing w:val="2"/>
          <w:lang w:eastAsia="en-GB"/>
        </w:rPr>
        <w:t>T</w:t>
      </w:r>
      <w:r w:rsidRPr="00CE0885">
        <w:rPr>
          <w:spacing w:val="-1"/>
          <w:lang w:eastAsia="en-GB"/>
        </w:rPr>
        <w:t>h</w:t>
      </w:r>
      <w:r w:rsidRPr="00CE0885">
        <w:rPr>
          <w:lang w:eastAsia="en-GB"/>
        </w:rPr>
        <w:t>e</w:t>
      </w:r>
      <w:r w:rsidRPr="00CE0885">
        <w:rPr>
          <w:spacing w:val="-2"/>
          <w:lang w:eastAsia="en-GB"/>
        </w:rPr>
        <w:t xml:space="preserve"> Commissioner</w:t>
      </w:r>
      <w:r w:rsidRPr="00CE0885">
        <w:rPr>
          <w:lang w:eastAsia="en-GB"/>
        </w:rPr>
        <w:t xml:space="preserve"> </w:t>
      </w:r>
      <w:r w:rsidRPr="00CE0885">
        <w:rPr>
          <w:spacing w:val="-3"/>
          <w:lang w:eastAsia="en-GB"/>
        </w:rPr>
        <w:t>should be</w:t>
      </w:r>
      <w:r w:rsidRPr="00CE0885">
        <w:rPr>
          <w:spacing w:val="-1"/>
          <w:lang w:eastAsia="en-GB"/>
        </w:rPr>
        <w:t xml:space="preserve"> </w:t>
      </w:r>
      <w:r w:rsidRPr="00CE0885">
        <w:rPr>
          <w:lang w:eastAsia="en-GB"/>
        </w:rPr>
        <w:t>s</w:t>
      </w:r>
      <w:r w:rsidRPr="00CE0885">
        <w:rPr>
          <w:spacing w:val="-1"/>
          <w:lang w:eastAsia="en-GB"/>
        </w:rPr>
        <w:t>a</w:t>
      </w:r>
      <w:r w:rsidRPr="00CE0885">
        <w:rPr>
          <w:lang w:eastAsia="en-GB"/>
        </w:rPr>
        <w:t>ti</w:t>
      </w:r>
      <w:r w:rsidRPr="00CE0885">
        <w:rPr>
          <w:spacing w:val="-2"/>
          <w:lang w:eastAsia="en-GB"/>
        </w:rPr>
        <w:t>s</w:t>
      </w:r>
      <w:r w:rsidRPr="00CE0885">
        <w:rPr>
          <w:spacing w:val="3"/>
          <w:lang w:eastAsia="en-GB"/>
        </w:rPr>
        <w:t>f</w:t>
      </w:r>
      <w:r w:rsidRPr="00CE0885">
        <w:rPr>
          <w:lang w:eastAsia="en-GB"/>
        </w:rPr>
        <w:t>ied</w:t>
      </w:r>
      <w:r w:rsidRPr="00CE0885">
        <w:rPr>
          <w:spacing w:val="-10"/>
          <w:lang w:eastAsia="en-GB"/>
        </w:rPr>
        <w:t xml:space="preserve"> </w:t>
      </w:r>
      <w:r w:rsidRPr="00CE0885">
        <w:rPr>
          <w:lang w:eastAsia="en-GB"/>
        </w:rPr>
        <w:t>th</w:t>
      </w:r>
      <w:r w:rsidRPr="00CE0885">
        <w:rPr>
          <w:spacing w:val="-1"/>
          <w:lang w:eastAsia="en-GB"/>
        </w:rPr>
        <w:t>a</w:t>
      </w:r>
      <w:r w:rsidRPr="00CE0885">
        <w:rPr>
          <w:lang w:eastAsia="en-GB"/>
        </w:rPr>
        <w:t>t</w:t>
      </w:r>
      <w:r w:rsidRPr="00CE0885">
        <w:rPr>
          <w:spacing w:val="-3"/>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a</w:t>
      </w:r>
      <w:r w:rsidRPr="00CE0885">
        <w:rPr>
          <w:spacing w:val="-1"/>
          <w:lang w:eastAsia="en-GB"/>
        </w:rPr>
        <w:t>r</w:t>
      </w:r>
      <w:r w:rsidRPr="00CE0885">
        <w:rPr>
          <w:spacing w:val="-3"/>
          <w:lang w:eastAsia="en-GB"/>
        </w:rPr>
        <w:t>r</w:t>
      </w:r>
      <w:r w:rsidRPr="00CE0885">
        <w:rPr>
          <w:lang w:eastAsia="en-GB"/>
        </w:rPr>
        <w:t>an</w:t>
      </w:r>
      <w:r w:rsidRPr="00CE0885">
        <w:rPr>
          <w:spacing w:val="-1"/>
          <w:lang w:eastAsia="en-GB"/>
        </w:rPr>
        <w:t>g</w:t>
      </w:r>
      <w:r w:rsidRPr="00CE0885">
        <w:rPr>
          <w:lang w:eastAsia="en-GB"/>
        </w:rPr>
        <w:t>e</w:t>
      </w:r>
      <w:r w:rsidRPr="00CE0885">
        <w:rPr>
          <w:spacing w:val="-1"/>
          <w:lang w:eastAsia="en-GB"/>
        </w:rPr>
        <w:t>m</w:t>
      </w:r>
      <w:r w:rsidRPr="00CE0885">
        <w:rPr>
          <w:lang w:eastAsia="en-GB"/>
        </w:rPr>
        <w:t>ents</w:t>
      </w:r>
      <w:r w:rsidRPr="00CE0885">
        <w:rPr>
          <w:spacing w:val="-15"/>
          <w:lang w:eastAsia="en-GB"/>
        </w:rPr>
        <w:t xml:space="preserve"> </w:t>
      </w:r>
      <w:r w:rsidRPr="00CE0885">
        <w:rPr>
          <w:spacing w:val="-3"/>
          <w:lang w:eastAsia="en-GB"/>
        </w:rPr>
        <w:t>i</w:t>
      </w:r>
      <w:r w:rsidRPr="00CE0885">
        <w:rPr>
          <w:lang w:eastAsia="en-GB"/>
        </w:rPr>
        <w:t>n pla</w:t>
      </w:r>
      <w:r w:rsidRPr="00CE0885">
        <w:rPr>
          <w:spacing w:val="-2"/>
          <w:lang w:eastAsia="en-GB"/>
        </w:rPr>
        <w:t>c</w:t>
      </w:r>
      <w:r w:rsidRPr="00CE0885">
        <w:rPr>
          <w:lang w:eastAsia="en-GB"/>
        </w:rPr>
        <w:t>e</w:t>
      </w:r>
      <w:r w:rsidRPr="00CE0885">
        <w:rPr>
          <w:spacing w:val="-7"/>
          <w:lang w:eastAsia="en-GB"/>
        </w:rPr>
        <w:t xml:space="preserve"> </w:t>
      </w:r>
      <w:r w:rsidRPr="00CE0885">
        <w:rPr>
          <w:lang w:eastAsia="en-GB"/>
        </w:rPr>
        <w:t>for conti</w:t>
      </w:r>
      <w:r w:rsidRPr="00CE0885">
        <w:rPr>
          <w:spacing w:val="-1"/>
          <w:lang w:eastAsia="en-GB"/>
        </w:rPr>
        <w:t>n</w:t>
      </w:r>
      <w:r w:rsidRPr="00CE0885">
        <w:rPr>
          <w:lang w:eastAsia="en-GB"/>
        </w:rPr>
        <w:t>uity</w:t>
      </w:r>
      <w:r w:rsidRPr="00CE0885">
        <w:rPr>
          <w:spacing w:val="-12"/>
          <w:lang w:eastAsia="en-GB"/>
        </w:rPr>
        <w:t xml:space="preserve"> </w:t>
      </w:r>
      <w:r w:rsidRPr="00CE0885">
        <w:rPr>
          <w:lang w:eastAsia="en-GB"/>
        </w:rPr>
        <w:t>of</w:t>
      </w:r>
      <w:r w:rsidRPr="00CE0885">
        <w:rPr>
          <w:spacing w:val="-1"/>
          <w:lang w:eastAsia="en-GB"/>
        </w:rPr>
        <w:t xml:space="preserve"> </w:t>
      </w:r>
      <w:r w:rsidRPr="00CE0885">
        <w:rPr>
          <w:lang w:eastAsia="en-GB"/>
        </w:rPr>
        <w:t>se</w:t>
      </w:r>
      <w:r w:rsidRPr="00CE0885">
        <w:rPr>
          <w:spacing w:val="-1"/>
          <w:lang w:eastAsia="en-GB"/>
        </w:rPr>
        <w:t>r</w:t>
      </w:r>
      <w:r w:rsidRPr="00CE0885">
        <w:rPr>
          <w:spacing w:val="-2"/>
          <w:lang w:eastAsia="en-GB"/>
        </w:rPr>
        <w:t>v</w:t>
      </w:r>
      <w:r w:rsidRPr="00CE0885">
        <w:rPr>
          <w:lang w:eastAsia="en-GB"/>
        </w:rPr>
        <w:t>ice</w:t>
      </w:r>
      <w:r w:rsidRPr="00CE0885">
        <w:rPr>
          <w:spacing w:val="-6"/>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2"/>
          <w:lang w:eastAsia="en-GB"/>
        </w:rPr>
        <w:t>v</w:t>
      </w:r>
      <w:r w:rsidRPr="00CE0885">
        <w:rPr>
          <w:lang w:eastAsia="en-GB"/>
        </w:rPr>
        <w:t>ision</w:t>
      </w:r>
      <w:r w:rsidRPr="00CE0885">
        <w:rPr>
          <w:spacing w:val="-8"/>
          <w:lang w:eastAsia="en-GB"/>
        </w:rPr>
        <w:t xml:space="preserve"> </w:t>
      </w:r>
      <w:r w:rsidRPr="00CE0885">
        <w:rPr>
          <w:lang w:eastAsia="en-GB"/>
        </w:rPr>
        <w:t>to 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acts</w:t>
      </w:r>
      <w:r w:rsidRPr="00CE0885">
        <w:rPr>
          <w:spacing w:val="-12"/>
          <w:lang w:eastAsia="en-GB"/>
        </w:rPr>
        <w:t xml:space="preserve"> </w:t>
      </w:r>
      <w:r w:rsidRPr="00CE0885">
        <w:rPr>
          <w:spacing w:val="-1"/>
          <w:lang w:eastAsia="en-GB"/>
        </w:rPr>
        <w:t>r</w:t>
      </w:r>
      <w:r w:rsidRPr="00CE0885">
        <w:rPr>
          <w:lang w:eastAsia="en-GB"/>
        </w:rPr>
        <w:t>e</w:t>
      </w:r>
      <w:r w:rsidRPr="00CE0885">
        <w:rPr>
          <w:spacing w:val="-1"/>
          <w:lang w:eastAsia="en-GB"/>
        </w:rPr>
        <w:t>g</w:t>
      </w:r>
      <w:r w:rsidRPr="00CE0885">
        <w:rPr>
          <w:lang w:eastAsia="en-GB"/>
        </w:rPr>
        <w:t>iste</w:t>
      </w:r>
      <w:r w:rsidRPr="00CE0885">
        <w:rPr>
          <w:spacing w:val="-1"/>
          <w:lang w:eastAsia="en-GB"/>
        </w:rPr>
        <w:t>r</w:t>
      </w:r>
      <w:r w:rsidRPr="00CE0885">
        <w:rPr>
          <w:lang w:eastAsia="en-GB"/>
        </w:rPr>
        <w:t>ed</w:t>
      </w:r>
      <w:r w:rsidRPr="00CE0885">
        <w:rPr>
          <w:spacing w:val="-9"/>
          <w:lang w:eastAsia="en-GB"/>
        </w:rPr>
        <w:t xml:space="preserve"> </w:t>
      </w:r>
      <w:r w:rsidRPr="00CE0885">
        <w:rPr>
          <w:lang w:eastAsia="en-GB"/>
        </w:rPr>
        <w:t>patients</w:t>
      </w:r>
      <w:r w:rsidRPr="00CE0885">
        <w:rPr>
          <w:spacing w:val="-12"/>
          <w:lang w:eastAsia="en-GB"/>
        </w:rPr>
        <w:t xml:space="preserve"> </w:t>
      </w:r>
      <w:r w:rsidRPr="00CE0885">
        <w:rPr>
          <w:lang w:eastAsia="en-GB"/>
        </w:rPr>
        <w:t>a</w:t>
      </w:r>
      <w:r w:rsidRPr="00CE0885">
        <w:rPr>
          <w:spacing w:val="-1"/>
          <w:lang w:eastAsia="en-GB"/>
        </w:rPr>
        <w:t>r</w:t>
      </w:r>
      <w:r w:rsidRPr="00CE0885">
        <w:rPr>
          <w:lang w:eastAsia="en-GB"/>
        </w:rPr>
        <w:t xml:space="preserve">e </w:t>
      </w:r>
      <w:r w:rsidRPr="00CE0885">
        <w:rPr>
          <w:spacing w:val="-1"/>
          <w:lang w:eastAsia="en-GB"/>
        </w:rPr>
        <w:t>r</w:t>
      </w:r>
      <w:r w:rsidRPr="00CE0885">
        <w:rPr>
          <w:lang w:eastAsia="en-GB"/>
        </w:rPr>
        <w:t>obust.</w:t>
      </w:r>
      <w:bookmarkEnd w:id="661"/>
      <w:r w:rsidRPr="00CE0885">
        <w:rPr>
          <w:spacing w:val="-6"/>
          <w:lang w:eastAsia="en-GB"/>
        </w:rPr>
        <w:t xml:space="preserve"> </w:t>
      </w:r>
    </w:p>
    <w:p w14:paraId="54A7881B" w14:textId="63EC364F" w:rsidR="00977693" w:rsidRPr="00CE0885" w:rsidRDefault="00977693" w:rsidP="006B781A">
      <w:pPr>
        <w:pStyle w:val="Heading3"/>
        <w:rPr>
          <w:lang w:eastAsia="en-GB"/>
        </w:rPr>
      </w:pPr>
      <w:bookmarkStart w:id="662" w:name="_Toc440981776"/>
      <w:r w:rsidRPr="00CE0885">
        <w:rPr>
          <w:lang w:eastAsia="en-GB"/>
        </w:rPr>
        <w:t>In ci</w:t>
      </w:r>
      <w:r w:rsidRPr="00CE0885">
        <w:rPr>
          <w:spacing w:val="-1"/>
          <w:lang w:eastAsia="en-GB"/>
        </w:rPr>
        <w:t>r</w:t>
      </w:r>
      <w:r w:rsidRPr="00CE0885">
        <w:rPr>
          <w:lang w:eastAsia="en-GB"/>
        </w:rPr>
        <w:t>cu</w:t>
      </w:r>
      <w:r w:rsidRPr="00CE0885">
        <w:rPr>
          <w:spacing w:val="2"/>
          <w:lang w:eastAsia="en-GB"/>
        </w:rPr>
        <w:t>m</w:t>
      </w:r>
      <w:r w:rsidRPr="00CE0885">
        <w:rPr>
          <w:spacing w:val="-2"/>
          <w:lang w:eastAsia="en-GB"/>
        </w:rPr>
        <w:t>s</w:t>
      </w:r>
      <w:r w:rsidRPr="00CE0885">
        <w:rPr>
          <w:lang w:eastAsia="en-GB"/>
        </w:rPr>
        <w:t>tan</w:t>
      </w:r>
      <w:r w:rsidRPr="00CE0885">
        <w:rPr>
          <w:spacing w:val="-2"/>
          <w:lang w:eastAsia="en-GB"/>
        </w:rPr>
        <w:t>c</w:t>
      </w:r>
      <w:r w:rsidRPr="00CE0885">
        <w:rPr>
          <w:lang w:eastAsia="en-GB"/>
        </w:rPr>
        <w:t>es</w:t>
      </w:r>
      <w:r w:rsidRPr="00CE0885">
        <w:rPr>
          <w:spacing w:val="-15"/>
          <w:lang w:eastAsia="en-GB"/>
        </w:rPr>
        <w:t xml:space="preserve"> </w:t>
      </w:r>
      <w:r w:rsidRPr="00CE0885">
        <w:rPr>
          <w:spacing w:val="-3"/>
          <w:lang w:eastAsia="en-GB"/>
        </w:rPr>
        <w:t>w</w:t>
      </w:r>
      <w:r w:rsidRPr="00CE0885">
        <w:rPr>
          <w:lang w:eastAsia="en-GB"/>
        </w:rPr>
        <w:t>he</w:t>
      </w:r>
      <w:r w:rsidRPr="00CE0885">
        <w:rPr>
          <w:spacing w:val="-1"/>
          <w:lang w:eastAsia="en-GB"/>
        </w:rPr>
        <w:t>r</w:t>
      </w:r>
      <w:r w:rsidRPr="00CE0885">
        <w:rPr>
          <w:lang w:eastAsia="en-GB"/>
        </w:rPr>
        <w:t>e</w:t>
      </w:r>
      <w:r w:rsidRPr="00CE0885">
        <w:rPr>
          <w:spacing w:val="-5"/>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Commissioner</w:t>
      </w:r>
      <w:r w:rsidRPr="00CE0885">
        <w:rPr>
          <w:lang w:eastAsia="en-GB"/>
        </w:rPr>
        <w:t xml:space="preserve"> is</w:t>
      </w:r>
      <w:r w:rsidRPr="00CE0885">
        <w:rPr>
          <w:spacing w:val="-4"/>
          <w:lang w:eastAsia="en-GB"/>
        </w:rPr>
        <w:t xml:space="preserve"> </w:t>
      </w:r>
      <w:r w:rsidRPr="00CE0885">
        <w:rPr>
          <w:lang w:eastAsia="en-GB"/>
        </w:rPr>
        <w:t>not</w:t>
      </w:r>
      <w:r w:rsidRPr="00CE0885">
        <w:rPr>
          <w:spacing w:val="-2"/>
          <w:lang w:eastAsia="en-GB"/>
        </w:rPr>
        <w:t xml:space="preserve"> s</w:t>
      </w:r>
      <w:r w:rsidRPr="00CE0885">
        <w:rPr>
          <w:lang w:eastAsia="en-GB"/>
        </w:rPr>
        <w:t>ati</w:t>
      </w:r>
      <w:r w:rsidRPr="00CE0885">
        <w:rPr>
          <w:spacing w:val="-2"/>
          <w:lang w:eastAsia="en-GB"/>
        </w:rPr>
        <w:t>s</w:t>
      </w:r>
      <w:r w:rsidRPr="00CE0885">
        <w:rPr>
          <w:spacing w:val="3"/>
          <w:lang w:eastAsia="en-GB"/>
        </w:rPr>
        <w:t>f</w:t>
      </w:r>
      <w:r w:rsidRPr="00CE0885">
        <w:rPr>
          <w:lang w:eastAsia="en-GB"/>
        </w:rPr>
        <w:t>i</w:t>
      </w:r>
      <w:r w:rsidRPr="00CE0885">
        <w:rPr>
          <w:spacing w:val="-1"/>
          <w:lang w:eastAsia="en-GB"/>
        </w:rPr>
        <w:t>e</w:t>
      </w:r>
      <w:r w:rsidRPr="00CE0885">
        <w:rPr>
          <w:lang w:eastAsia="en-GB"/>
        </w:rPr>
        <w:t>d</w:t>
      </w:r>
      <w:r w:rsidRPr="00CE0885">
        <w:rPr>
          <w:spacing w:val="-7"/>
          <w:lang w:eastAsia="en-GB"/>
        </w:rPr>
        <w:t xml:space="preserve"> </w:t>
      </w:r>
      <w:r w:rsidRPr="00CE0885">
        <w:rPr>
          <w:lang w:eastAsia="en-GB"/>
        </w:rPr>
        <w:t>t</w:t>
      </w:r>
      <w:r w:rsidRPr="00CE0885">
        <w:rPr>
          <w:spacing w:val="-1"/>
          <w:lang w:eastAsia="en-GB"/>
        </w:rPr>
        <w:t>h</w:t>
      </w:r>
      <w:r w:rsidRPr="00CE0885">
        <w:rPr>
          <w:lang w:eastAsia="en-GB"/>
        </w:rPr>
        <w:t>at</w:t>
      </w:r>
      <w:r w:rsidRPr="00CE0885">
        <w:rPr>
          <w:spacing w:val="-3"/>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n</w:t>
      </w:r>
      <w:r w:rsidRPr="00CE0885">
        <w:rPr>
          <w:spacing w:val="-1"/>
          <w:lang w:eastAsia="en-GB"/>
        </w:rPr>
        <w:t>o</w:t>
      </w:r>
      <w:r w:rsidRPr="00CE0885">
        <w:rPr>
          <w:spacing w:val="2"/>
          <w:lang w:eastAsia="en-GB"/>
        </w:rPr>
        <w:t>m</w:t>
      </w:r>
      <w:r w:rsidRPr="00CE0885">
        <w:rPr>
          <w:lang w:eastAsia="en-GB"/>
        </w:rPr>
        <w:t>ina</w:t>
      </w:r>
      <w:r w:rsidRPr="00CE0885">
        <w:rPr>
          <w:spacing w:val="-2"/>
          <w:lang w:eastAsia="en-GB"/>
        </w:rPr>
        <w:t>t</w:t>
      </w:r>
      <w:r w:rsidRPr="00CE0885">
        <w:rPr>
          <w:lang w:eastAsia="en-GB"/>
        </w:rPr>
        <w:t>ed pa</w:t>
      </w:r>
      <w:r w:rsidRPr="00CE0885">
        <w:rPr>
          <w:spacing w:val="-1"/>
          <w:lang w:eastAsia="en-GB"/>
        </w:rPr>
        <w:t>r</w:t>
      </w:r>
      <w:r w:rsidRPr="00CE0885">
        <w:rPr>
          <w:lang w:eastAsia="en-GB"/>
        </w:rPr>
        <w:t>tner</w:t>
      </w:r>
      <w:r w:rsidRPr="00CE0885">
        <w:rPr>
          <w:spacing w:val="-8"/>
          <w:lang w:eastAsia="en-GB"/>
        </w:rPr>
        <w:t xml:space="preserve"> </w:t>
      </w:r>
      <w:r w:rsidRPr="00CE0885">
        <w:rPr>
          <w:lang w:eastAsia="en-GB"/>
        </w:rPr>
        <w:t>is</w:t>
      </w:r>
      <w:r w:rsidRPr="00CE0885">
        <w:rPr>
          <w:spacing w:val="-4"/>
          <w:lang w:eastAsia="en-GB"/>
        </w:rPr>
        <w:t xml:space="preserve"> </w:t>
      </w:r>
      <w:r w:rsidRPr="00CE0885">
        <w:rPr>
          <w:lang w:eastAsia="en-GB"/>
        </w:rPr>
        <w:t>eli</w:t>
      </w:r>
      <w:r w:rsidRPr="00CE0885">
        <w:rPr>
          <w:spacing w:val="-1"/>
          <w:lang w:eastAsia="en-GB"/>
        </w:rPr>
        <w:t>g</w:t>
      </w:r>
      <w:r w:rsidRPr="00CE0885">
        <w:rPr>
          <w:lang w:eastAsia="en-GB"/>
        </w:rPr>
        <w:t>ible</w:t>
      </w:r>
      <w:r w:rsidRPr="00CE0885">
        <w:rPr>
          <w:spacing w:val="-5"/>
          <w:lang w:eastAsia="en-GB"/>
        </w:rPr>
        <w:t xml:space="preserve"> </w:t>
      </w:r>
      <w:r w:rsidRPr="00CE0885">
        <w:rPr>
          <w:lang w:eastAsia="en-GB"/>
        </w:rPr>
        <w:t xml:space="preserve">to </w:t>
      </w:r>
      <w:r w:rsidRPr="00CE0885">
        <w:rPr>
          <w:spacing w:val="-1"/>
          <w:lang w:eastAsia="en-GB"/>
        </w:rPr>
        <w:t>ho</w:t>
      </w:r>
      <w:r w:rsidRPr="00CE0885">
        <w:rPr>
          <w:lang w:eastAsia="en-GB"/>
        </w:rPr>
        <w:t>ld</w:t>
      </w:r>
      <w:r w:rsidRPr="00CE0885">
        <w:rPr>
          <w:spacing w:val="-3"/>
          <w:lang w:eastAsia="en-GB"/>
        </w:rPr>
        <w:t xml:space="preserve"> </w:t>
      </w:r>
      <w:r w:rsidRPr="00CE0885">
        <w:rPr>
          <w:lang w:eastAsia="en-GB"/>
        </w:rPr>
        <w:t>the</w:t>
      </w:r>
      <w:r w:rsidRPr="00CE0885">
        <w:rPr>
          <w:spacing w:val="-4"/>
          <w:lang w:eastAsia="en-GB"/>
        </w:rPr>
        <w:t xml:space="preserve"> </w:t>
      </w:r>
      <w:r w:rsidRPr="00CE0885">
        <w:rPr>
          <w:lang w:eastAsia="en-GB"/>
        </w:rPr>
        <w:t>co</w:t>
      </w:r>
      <w:r w:rsidRPr="00CE0885">
        <w:rPr>
          <w:spacing w:val="-1"/>
          <w:lang w:eastAsia="en-GB"/>
        </w:rPr>
        <w:t>n</w:t>
      </w:r>
      <w:r w:rsidRPr="00CE0885">
        <w:rPr>
          <w:lang w:eastAsia="en-GB"/>
        </w:rPr>
        <w:t>t</w:t>
      </w:r>
      <w:r w:rsidRPr="00CE0885">
        <w:rPr>
          <w:spacing w:val="-1"/>
          <w:lang w:eastAsia="en-GB"/>
        </w:rPr>
        <w:t>r</w:t>
      </w:r>
      <w:r w:rsidRPr="00CE0885">
        <w:rPr>
          <w:lang w:eastAsia="en-GB"/>
        </w:rPr>
        <w:t>act</w:t>
      </w:r>
      <w:r w:rsidRPr="00CE0885">
        <w:rPr>
          <w:spacing w:val="-8"/>
          <w:lang w:eastAsia="en-GB"/>
        </w:rPr>
        <w:t xml:space="preserve"> </w:t>
      </w:r>
      <w:r w:rsidRPr="00CE0885">
        <w:rPr>
          <w:lang w:eastAsia="en-GB"/>
        </w:rPr>
        <w:t>as</w:t>
      </w:r>
      <w:r w:rsidRPr="00CE0885">
        <w:rPr>
          <w:spacing w:val="-5"/>
          <w:lang w:eastAsia="en-GB"/>
        </w:rPr>
        <w:t xml:space="preserve"> </w:t>
      </w:r>
      <w:r w:rsidRPr="00CE0885">
        <w:rPr>
          <w:lang w:eastAsia="en-GB"/>
        </w:rPr>
        <w:t>an</w:t>
      </w:r>
      <w:r w:rsidRPr="00CE0885">
        <w:rPr>
          <w:spacing w:val="-4"/>
          <w:lang w:eastAsia="en-GB"/>
        </w:rPr>
        <w:t xml:space="preserve"> </w:t>
      </w:r>
      <w:r w:rsidRPr="00CE0885">
        <w:rPr>
          <w:lang w:eastAsia="en-GB"/>
        </w:rPr>
        <w:t>i</w:t>
      </w:r>
      <w:r w:rsidRPr="00CE0885">
        <w:rPr>
          <w:spacing w:val="-1"/>
          <w:lang w:eastAsia="en-GB"/>
        </w:rPr>
        <w:t>n</w:t>
      </w:r>
      <w:r w:rsidRPr="00CE0885">
        <w:rPr>
          <w:lang w:eastAsia="en-GB"/>
        </w:rPr>
        <w:t>di</w:t>
      </w:r>
      <w:r w:rsidRPr="00CE0885">
        <w:rPr>
          <w:spacing w:val="-2"/>
          <w:lang w:eastAsia="en-GB"/>
        </w:rPr>
        <w:t>v</w:t>
      </w:r>
      <w:r w:rsidRPr="00CE0885">
        <w:rPr>
          <w:lang w:eastAsia="en-GB"/>
        </w:rPr>
        <w:t>idual</w:t>
      </w:r>
      <w:r w:rsidRPr="00CE0885">
        <w:rPr>
          <w:spacing w:val="-10"/>
          <w:lang w:eastAsia="en-GB"/>
        </w:rPr>
        <w:t xml:space="preserve"> </w:t>
      </w:r>
      <w:r w:rsidRPr="00CE0885">
        <w:rPr>
          <w:lang w:eastAsia="en-GB"/>
        </w:rPr>
        <w:t>they</w:t>
      </w:r>
      <w:r w:rsidRPr="00CE0885">
        <w:rPr>
          <w:spacing w:val="-7"/>
          <w:lang w:eastAsia="en-GB"/>
        </w:rPr>
        <w:t xml:space="preserve"> </w:t>
      </w:r>
      <w:r w:rsidRPr="00CE0885">
        <w:rPr>
          <w:lang w:eastAsia="en-GB"/>
        </w:rPr>
        <w:t>shou</w:t>
      </w:r>
      <w:r w:rsidRPr="00CE0885">
        <w:rPr>
          <w:spacing w:val="-3"/>
          <w:lang w:eastAsia="en-GB"/>
        </w:rPr>
        <w:t>l</w:t>
      </w:r>
      <w:r w:rsidRPr="00CE0885">
        <w:rPr>
          <w:lang w:eastAsia="en-GB"/>
        </w:rPr>
        <w:t>d</w:t>
      </w:r>
      <w:r w:rsidRPr="00CE0885">
        <w:rPr>
          <w:spacing w:val="-5"/>
          <w:lang w:eastAsia="en-GB"/>
        </w:rPr>
        <w:t xml:space="preserve"> </w:t>
      </w:r>
      <w:r w:rsidRPr="00CE0885">
        <w:rPr>
          <w:spacing w:val="-1"/>
          <w:lang w:eastAsia="en-GB"/>
        </w:rPr>
        <w:t>en</w:t>
      </w:r>
      <w:r w:rsidRPr="00CE0885">
        <w:rPr>
          <w:lang w:eastAsia="en-GB"/>
        </w:rPr>
        <w:t>ter into</w:t>
      </w:r>
      <w:r w:rsidRPr="00CE0885">
        <w:rPr>
          <w:spacing w:val="-2"/>
          <w:lang w:eastAsia="en-GB"/>
        </w:rPr>
        <w:t xml:space="preserve"> </w:t>
      </w:r>
      <w:r w:rsidRPr="00CE0885">
        <w:rPr>
          <w:lang w:eastAsia="en-GB"/>
        </w:rPr>
        <w:t>d</w:t>
      </w:r>
      <w:r w:rsidRPr="00CE0885">
        <w:rPr>
          <w:spacing w:val="-3"/>
          <w:lang w:eastAsia="en-GB"/>
        </w:rPr>
        <w:t>i</w:t>
      </w:r>
      <w:r w:rsidRPr="00CE0885">
        <w:rPr>
          <w:lang w:eastAsia="en-GB"/>
        </w:rPr>
        <w:t>alo</w:t>
      </w:r>
      <w:r w:rsidRPr="00CE0885">
        <w:rPr>
          <w:spacing w:val="-1"/>
          <w:lang w:eastAsia="en-GB"/>
        </w:rPr>
        <w:t>g</w:t>
      </w:r>
      <w:r w:rsidRPr="00CE0885">
        <w:rPr>
          <w:lang w:eastAsia="en-GB"/>
        </w:rPr>
        <w:t>ue</w:t>
      </w:r>
      <w:r w:rsidRPr="00CE0885">
        <w:rPr>
          <w:spacing w:val="-7"/>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all</w:t>
      </w:r>
      <w:r w:rsidRPr="00CE0885">
        <w:rPr>
          <w:spacing w:val="-2"/>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the</w:t>
      </w:r>
      <w:r w:rsidRPr="00CE0885">
        <w:rPr>
          <w:spacing w:val="-4"/>
          <w:lang w:eastAsia="en-GB"/>
        </w:rPr>
        <w:t xml:space="preserve"> </w:t>
      </w:r>
      <w:r w:rsidRPr="00CE0885">
        <w:rPr>
          <w:lang w:eastAsia="en-GB"/>
        </w:rPr>
        <w:t>pa</w:t>
      </w:r>
      <w:r w:rsidRPr="00CE0885">
        <w:rPr>
          <w:spacing w:val="-1"/>
          <w:lang w:eastAsia="en-GB"/>
        </w:rPr>
        <w:t>r</w:t>
      </w:r>
      <w:r w:rsidRPr="00CE0885">
        <w:rPr>
          <w:lang w:eastAsia="en-GB"/>
        </w:rPr>
        <w:t>t</w:t>
      </w:r>
      <w:r w:rsidRPr="00CE0885">
        <w:rPr>
          <w:spacing w:val="-1"/>
          <w:lang w:eastAsia="en-GB"/>
        </w:rPr>
        <w:t>n</w:t>
      </w:r>
      <w:r w:rsidRPr="00CE0885">
        <w:rPr>
          <w:lang w:eastAsia="en-GB"/>
        </w:rPr>
        <w:t>e</w:t>
      </w:r>
      <w:r w:rsidRPr="00CE0885">
        <w:rPr>
          <w:spacing w:val="-1"/>
          <w:lang w:eastAsia="en-GB"/>
        </w:rPr>
        <w:t>r</w:t>
      </w:r>
      <w:r w:rsidRPr="00CE0885">
        <w:rPr>
          <w:lang w:eastAsia="en-GB"/>
        </w:rPr>
        <w:t>s,</w:t>
      </w:r>
      <w:r w:rsidRPr="00CE0885">
        <w:rPr>
          <w:spacing w:val="-8"/>
          <w:lang w:eastAsia="en-GB"/>
        </w:rPr>
        <w:t xml:space="preserve"> </w:t>
      </w:r>
      <w:r w:rsidRPr="00CE0885">
        <w:rPr>
          <w:w w:val="99"/>
          <w:lang w:eastAsia="en-GB"/>
        </w:rPr>
        <w:t>to</w:t>
      </w:r>
      <w:r w:rsidRPr="00CE0885">
        <w:rPr>
          <w:spacing w:val="2"/>
          <w:lang w:eastAsia="en-GB"/>
        </w:rPr>
        <w:t xml:space="preserve"> </w:t>
      </w:r>
      <w:r w:rsidRPr="00CE0885">
        <w:rPr>
          <w:lang w:eastAsia="en-GB"/>
        </w:rPr>
        <w:t>e</w:t>
      </w:r>
      <w:r w:rsidRPr="00CE0885">
        <w:rPr>
          <w:spacing w:val="-2"/>
          <w:lang w:eastAsia="en-GB"/>
        </w:rPr>
        <w:t>x</w:t>
      </w:r>
      <w:r w:rsidRPr="00CE0885">
        <w:rPr>
          <w:lang w:eastAsia="en-GB"/>
        </w:rPr>
        <w:t>plo</w:t>
      </w:r>
      <w:r w:rsidRPr="00CE0885">
        <w:rPr>
          <w:spacing w:val="-1"/>
          <w:lang w:eastAsia="en-GB"/>
        </w:rPr>
        <w:t>r</w:t>
      </w:r>
      <w:r w:rsidRPr="00CE0885">
        <w:rPr>
          <w:lang w:eastAsia="en-GB"/>
        </w:rPr>
        <w:t>e</w:t>
      </w:r>
      <w:r w:rsidRPr="00CE0885">
        <w:rPr>
          <w:spacing w:val="-6"/>
          <w:lang w:eastAsia="en-GB"/>
        </w:rPr>
        <w:t xml:space="preserve"> </w:t>
      </w:r>
      <w:r w:rsidRPr="00CE0885">
        <w:rPr>
          <w:spacing w:val="-1"/>
          <w:lang w:eastAsia="en-GB"/>
        </w:rPr>
        <w:t>p</w:t>
      </w:r>
      <w:r w:rsidRPr="00CE0885">
        <w:rPr>
          <w:lang w:eastAsia="en-GB"/>
        </w:rPr>
        <w:t>ot</w:t>
      </w:r>
      <w:r w:rsidRPr="00CE0885">
        <w:rPr>
          <w:spacing w:val="-1"/>
          <w:lang w:eastAsia="en-GB"/>
        </w:rPr>
        <w:t>e</w:t>
      </w:r>
      <w:r w:rsidRPr="00CE0885">
        <w:rPr>
          <w:lang w:eastAsia="en-GB"/>
        </w:rPr>
        <w:t>ntial</w:t>
      </w:r>
      <w:r w:rsidRPr="00CE0885">
        <w:rPr>
          <w:spacing w:val="-9"/>
          <w:lang w:eastAsia="en-GB"/>
        </w:rPr>
        <w:t xml:space="preserve"> </w:t>
      </w:r>
      <w:r w:rsidRPr="00CE0885">
        <w:rPr>
          <w:spacing w:val="-2"/>
          <w:lang w:eastAsia="en-GB"/>
        </w:rPr>
        <w:t>s</w:t>
      </w:r>
      <w:r w:rsidRPr="00CE0885">
        <w:rPr>
          <w:lang w:eastAsia="en-GB"/>
        </w:rPr>
        <w:t>olutions.</w:t>
      </w:r>
      <w:bookmarkEnd w:id="662"/>
    </w:p>
    <w:p w14:paraId="3A1D65C6" w14:textId="4C753805" w:rsidR="00977693" w:rsidRPr="00CE0885" w:rsidRDefault="00977693" w:rsidP="006B781A">
      <w:pPr>
        <w:pStyle w:val="Heading3"/>
        <w:rPr>
          <w:lang w:eastAsia="en-GB"/>
        </w:rPr>
      </w:pPr>
      <w:bookmarkStart w:id="663" w:name="_Toc440981777"/>
      <w:r w:rsidRPr="00CE0885">
        <w:rPr>
          <w:spacing w:val="2"/>
          <w:lang w:eastAsia="en-GB"/>
        </w:rPr>
        <w:t>T</w:t>
      </w:r>
      <w:r w:rsidRPr="00CE0885">
        <w:rPr>
          <w:spacing w:val="-1"/>
          <w:lang w:eastAsia="en-GB"/>
        </w:rPr>
        <w:t>h</w:t>
      </w:r>
      <w:r w:rsidRPr="00CE0885">
        <w:rPr>
          <w:spacing w:val="1"/>
          <w:lang w:eastAsia="en-GB"/>
        </w:rPr>
        <w:t>e</w:t>
      </w:r>
      <w:r w:rsidRPr="00CE0885">
        <w:rPr>
          <w:lang w:eastAsia="en-GB"/>
        </w:rPr>
        <w:t>se</w:t>
      </w:r>
      <w:r w:rsidRPr="00CE0885">
        <w:rPr>
          <w:spacing w:val="-8"/>
          <w:lang w:eastAsia="en-GB"/>
        </w:rPr>
        <w:t xml:space="preserve"> </w:t>
      </w:r>
      <w:r w:rsidRPr="00CE0885">
        <w:rPr>
          <w:spacing w:val="2"/>
          <w:lang w:eastAsia="en-GB"/>
        </w:rPr>
        <w:t>m</w:t>
      </w:r>
      <w:r w:rsidRPr="00CE0885">
        <w:rPr>
          <w:lang w:eastAsia="en-GB"/>
        </w:rPr>
        <w:t>i</w:t>
      </w:r>
      <w:r w:rsidRPr="00CE0885">
        <w:rPr>
          <w:spacing w:val="-1"/>
          <w:lang w:eastAsia="en-GB"/>
        </w:rPr>
        <w:t>g</w:t>
      </w:r>
      <w:r w:rsidRPr="00CE0885">
        <w:rPr>
          <w:spacing w:val="1"/>
          <w:lang w:eastAsia="en-GB"/>
        </w:rPr>
        <w:t>h</w:t>
      </w:r>
      <w:r w:rsidRPr="00CE0885">
        <w:rPr>
          <w:lang w:eastAsia="en-GB"/>
        </w:rPr>
        <w:t>t</w:t>
      </w:r>
      <w:r w:rsidRPr="00CE0885">
        <w:rPr>
          <w:spacing w:val="-5"/>
          <w:lang w:eastAsia="en-GB"/>
        </w:rPr>
        <w:t xml:space="preserve"> </w:t>
      </w:r>
      <w:r w:rsidRPr="00CE0885">
        <w:rPr>
          <w:lang w:eastAsia="en-GB"/>
        </w:rPr>
        <w:t>i</w:t>
      </w:r>
      <w:r w:rsidRPr="00CE0885">
        <w:rPr>
          <w:spacing w:val="1"/>
          <w:lang w:eastAsia="en-GB"/>
        </w:rPr>
        <w:t>n</w:t>
      </w:r>
      <w:r w:rsidRPr="00CE0885">
        <w:rPr>
          <w:lang w:eastAsia="en-GB"/>
        </w:rPr>
        <w:t>cl</w:t>
      </w:r>
      <w:r w:rsidRPr="00CE0885">
        <w:rPr>
          <w:spacing w:val="-1"/>
          <w:lang w:eastAsia="en-GB"/>
        </w:rPr>
        <w:t>u</w:t>
      </w:r>
      <w:r w:rsidRPr="00CE0885">
        <w:rPr>
          <w:spacing w:val="1"/>
          <w:lang w:eastAsia="en-GB"/>
        </w:rPr>
        <w:t>d</w:t>
      </w:r>
      <w:r w:rsidRPr="00CE0885">
        <w:rPr>
          <w:lang w:eastAsia="en-GB"/>
        </w:rPr>
        <w:t>e</w:t>
      </w:r>
      <w:r w:rsidRPr="00CE0885">
        <w:rPr>
          <w:spacing w:val="-6"/>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1"/>
          <w:lang w:eastAsia="en-GB"/>
        </w:rPr>
        <w:t>pa</w:t>
      </w:r>
      <w:r w:rsidRPr="00CE0885">
        <w:rPr>
          <w:spacing w:val="-1"/>
          <w:lang w:eastAsia="en-GB"/>
        </w:rPr>
        <w:t>r</w:t>
      </w:r>
      <w:r w:rsidRPr="00CE0885">
        <w:rPr>
          <w:spacing w:val="-2"/>
          <w:lang w:eastAsia="en-GB"/>
        </w:rPr>
        <w:t>t</w:t>
      </w:r>
      <w:r w:rsidRPr="00CE0885">
        <w:rPr>
          <w:spacing w:val="1"/>
          <w:lang w:eastAsia="en-GB"/>
        </w:rPr>
        <w:t>ne</w:t>
      </w:r>
      <w:r w:rsidRPr="00CE0885">
        <w:rPr>
          <w:spacing w:val="-1"/>
          <w:lang w:eastAsia="en-GB"/>
        </w:rPr>
        <w:t>r</w:t>
      </w:r>
      <w:r w:rsidRPr="00CE0885">
        <w:rPr>
          <w:lang w:eastAsia="en-GB"/>
        </w:rPr>
        <w:t>s</w:t>
      </w:r>
      <w:r w:rsidRPr="00CE0885">
        <w:rPr>
          <w:spacing w:val="-9"/>
          <w:lang w:eastAsia="en-GB"/>
        </w:rPr>
        <w:t xml:space="preserve"> </w:t>
      </w:r>
      <w:r w:rsidRPr="00CE0885">
        <w:rPr>
          <w:spacing w:val="-1"/>
          <w:lang w:eastAsia="en-GB"/>
        </w:rPr>
        <w:t>n</w:t>
      </w:r>
      <w:r w:rsidRPr="00CE0885">
        <w:rPr>
          <w:spacing w:val="1"/>
          <w:lang w:eastAsia="en-GB"/>
        </w:rPr>
        <w:t>o</w:t>
      </w:r>
      <w:r w:rsidRPr="00CE0885">
        <w:rPr>
          <w:spacing w:val="2"/>
          <w:lang w:eastAsia="en-GB"/>
        </w:rPr>
        <w:t>m</w:t>
      </w:r>
      <w:r w:rsidRPr="00CE0885">
        <w:rPr>
          <w:spacing w:val="-3"/>
          <w:lang w:eastAsia="en-GB"/>
        </w:rPr>
        <w:t>i</w:t>
      </w:r>
      <w:r w:rsidRPr="00CE0885">
        <w:rPr>
          <w:spacing w:val="1"/>
          <w:lang w:eastAsia="en-GB"/>
        </w:rPr>
        <w:t>nat</w:t>
      </w:r>
      <w:r w:rsidRPr="00CE0885">
        <w:rPr>
          <w:lang w:eastAsia="en-GB"/>
        </w:rPr>
        <w:t>i</w:t>
      </w:r>
      <w:r w:rsidRPr="00CE0885">
        <w:rPr>
          <w:spacing w:val="1"/>
          <w:lang w:eastAsia="en-GB"/>
        </w:rPr>
        <w:t>n</w:t>
      </w:r>
      <w:r w:rsidRPr="00CE0885">
        <w:rPr>
          <w:lang w:eastAsia="en-GB"/>
        </w:rPr>
        <w:t>g</w:t>
      </w:r>
      <w:r w:rsidRPr="00CE0885">
        <w:rPr>
          <w:spacing w:val="-15"/>
          <w:lang w:eastAsia="en-GB"/>
        </w:rPr>
        <w:t xml:space="preserve"> </w:t>
      </w:r>
      <w:r w:rsidRPr="00CE0885">
        <w:rPr>
          <w:spacing w:val="1"/>
          <w:lang w:eastAsia="en-GB"/>
        </w:rPr>
        <w:t>a</w:t>
      </w:r>
      <w:r w:rsidRPr="00CE0885">
        <w:rPr>
          <w:lang w:eastAsia="en-GB"/>
        </w:rPr>
        <w:t>n</w:t>
      </w:r>
      <w:r w:rsidRPr="00CE0885">
        <w:rPr>
          <w:spacing w:val="-1"/>
          <w:lang w:eastAsia="en-GB"/>
        </w:rPr>
        <w:t xml:space="preserve"> </w:t>
      </w:r>
      <w:r w:rsidRPr="00CE0885">
        <w:rPr>
          <w:spacing w:val="1"/>
          <w:lang w:eastAsia="en-GB"/>
        </w:rPr>
        <w:t>a</w:t>
      </w:r>
      <w:r w:rsidRPr="00CE0885">
        <w:rPr>
          <w:lang w:eastAsia="en-GB"/>
        </w:rPr>
        <w:t>l</w:t>
      </w:r>
      <w:r w:rsidRPr="00CE0885">
        <w:rPr>
          <w:spacing w:val="-2"/>
          <w:lang w:eastAsia="en-GB"/>
        </w:rPr>
        <w:t>t</w:t>
      </w:r>
      <w:r w:rsidRPr="00CE0885">
        <w:rPr>
          <w:spacing w:val="1"/>
          <w:lang w:eastAsia="en-GB"/>
        </w:rPr>
        <w:t>e</w:t>
      </w:r>
      <w:r w:rsidRPr="00CE0885">
        <w:rPr>
          <w:spacing w:val="-1"/>
          <w:lang w:eastAsia="en-GB"/>
        </w:rPr>
        <w:t>r</w:t>
      </w:r>
      <w:r w:rsidRPr="00CE0885">
        <w:rPr>
          <w:spacing w:val="1"/>
          <w:lang w:eastAsia="en-GB"/>
        </w:rPr>
        <w:t>nat</w:t>
      </w:r>
      <w:r w:rsidRPr="00CE0885">
        <w:rPr>
          <w:lang w:eastAsia="en-GB"/>
        </w:rPr>
        <w:t>i</w:t>
      </w:r>
      <w:r w:rsidRPr="00CE0885">
        <w:rPr>
          <w:spacing w:val="-2"/>
          <w:lang w:eastAsia="en-GB"/>
        </w:rPr>
        <w:t>v</w:t>
      </w:r>
      <w:r w:rsidRPr="00CE0885">
        <w:rPr>
          <w:lang w:eastAsia="en-GB"/>
        </w:rPr>
        <w:t>e</w:t>
      </w:r>
      <w:r w:rsidRPr="00CE0885">
        <w:rPr>
          <w:spacing w:val="-9"/>
          <w:lang w:eastAsia="en-GB"/>
        </w:rPr>
        <w:t xml:space="preserve"> </w:t>
      </w:r>
      <w:r w:rsidRPr="00CE0885">
        <w:rPr>
          <w:spacing w:val="-1"/>
          <w:lang w:eastAsia="en-GB"/>
        </w:rPr>
        <w:t>p</w:t>
      </w:r>
      <w:r w:rsidRPr="00CE0885">
        <w:rPr>
          <w:spacing w:val="1"/>
          <w:lang w:eastAsia="en-GB"/>
        </w:rPr>
        <w:t>a</w:t>
      </w:r>
      <w:r w:rsidRPr="00CE0885">
        <w:rPr>
          <w:spacing w:val="-1"/>
          <w:lang w:eastAsia="en-GB"/>
        </w:rPr>
        <w:t>r</w:t>
      </w:r>
      <w:r w:rsidRPr="00CE0885">
        <w:rPr>
          <w:spacing w:val="1"/>
          <w:lang w:eastAsia="en-GB"/>
        </w:rPr>
        <w:t>tne</w:t>
      </w:r>
      <w:r w:rsidRPr="00CE0885">
        <w:rPr>
          <w:lang w:eastAsia="en-GB"/>
        </w:rPr>
        <w:t>r</w:t>
      </w:r>
      <w:r w:rsidRPr="00CE0885">
        <w:rPr>
          <w:spacing w:val="-8"/>
          <w:lang w:eastAsia="en-GB"/>
        </w:rPr>
        <w:t xml:space="preserve"> </w:t>
      </w:r>
      <w:r w:rsidRPr="00CE0885">
        <w:rPr>
          <w:spacing w:val="-2"/>
          <w:lang w:eastAsia="en-GB"/>
        </w:rPr>
        <w:t>t</w:t>
      </w:r>
      <w:r w:rsidRPr="00CE0885">
        <w:rPr>
          <w:lang w:eastAsia="en-GB"/>
        </w:rPr>
        <w:t>o c</w:t>
      </w:r>
      <w:r w:rsidRPr="00CE0885">
        <w:rPr>
          <w:spacing w:val="1"/>
          <w:lang w:eastAsia="en-GB"/>
        </w:rPr>
        <w:t>ont</w:t>
      </w:r>
      <w:r w:rsidRPr="00CE0885">
        <w:rPr>
          <w:lang w:eastAsia="en-GB"/>
        </w:rPr>
        <w:t>i</w:t>
      </w:r>
      <w:r w:rsidRPr="00CE0885">
        <w:rPr>
          <w:spacing w:val="-1"/>
          <w:lang w:eastAsia="en-GB"/>
        </w:rPr>
        <w:t>n</w:t>
      </w:r>
      <w:r w:rsidRPr="00CE0885">
        <w:rPr>
          <w:spacing w:val="1"/>
          <w:lang w:eastAsia="en-GB"/>
        </w:rPr>
        <w:t>u</w:t>
      </w:r>
      <w:r w:rsidRPr="00CE0885">
        <w:rPr>
          <w:lang w:eastAsia="en-GB"/>
        </w:rPr>
        <w:t>e</w:t>
      </w:r>
      <w:r w:rsidRPr="00CE0885">
        <w:rPr>
          <w:spacing w:val="-7"/>
          <w:lang w:eastAsia="en-GB"/>
        </w:rPr>
        <w:t xml:space="preserve"> </w:t>
      </w:r>
      <w:r w:rsidRPr="00CE0885">
        <w:rPr>
          <w:spacing w:val="-3"/>
          <w:lang w:eastAsia="en-GB"/>
        </w:rPr>
        <w:t>w</w:t>
      </w:r>
      <w:r w:rsidRPr="00CE0885">
        <w:rPr>
          <w:lang w:eastAsia="en-GB"/>
        </w:rPr>
        <w:t>i</w:t>
      </w:r>
      <w:r w:rsidRPr="00CE0885">
        <w:rPr>
          <w:spacing w:val="1"/>
          <w:lang w:eastAsia="en-GB"/>
        </w:rPr>
        <w:t>t</w:t>
      </w:r>
      <w:r w:rsidRPr="00CE0885">
        <w:rPr>
          <w:lang w:eastAsia="en-GB"/>
        </w:rPr>
        <w:t>h</w:t>
      </w:r>
      <w:r w:rsidRPr="00CE0885">
        <w:rPr>
          <w:spacing w:val="-2"/>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spacing w:val="1"/>
          <w:lang w:eastAsia="en-GB"/>
        </w:rPr>
        <w:t>t</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w:t>
      </w:r>
      <w:r w:rsidRPr="00CE0885">
        <w:rPr>
          <w:lang w:eastAsia="en-GB"/>
        </w:rPr>
        <w:t>,</w:t>
      </w:r>
      <w:r w:rsidRPr="00CE0885">
        <w:rPr>
          <w:spacing w:val="-8"/>
          <w:lang w:eastAsia="en-GB"/>
        </w:rPr>
        <w:t xml:space="preserve"> </w:t>
      </w:r>
      <w:r w:rsidRPr="00CE0885">
        <w:rPr>
          <w:lang w:eastAsia="en-GB"/>
        </w:rPr>
        <w:t xml:space="preserve">in </w:t>
      </w:r>
      <w:r w:rsidRPr="00CE0885">
        <w:rPr>
          <w:spacing w:val="-3"/>
          <w:lang w:eastAsia="en-GB"/>
        </w:rPr>
        <w:t>w</w:t>
      </w:r>
      <w:r w:rsidRPr="00CE0885">
        <w:rPr>
          <w:spacing w:val="1"/>
          <w:lang w:eastAsia="en-GB"/>
        </w:rPr>
        <w:t>h</w:t>
      </w:r>
      <w:r w:rsidRPr="00CE0885">
        <w:rPr>
          <w:lang w:eastAsia="en-GB"/>
        </w:rPr>
        <w:t>ich</w:t>
      </w:r>
      <w:r w:rsidRPr="00CE0885">
        <w:rPr>
          <w:spacing w:val="-4"/>
          <w:lang w:eastAsia="en-GB"/>
        </w:rPr>
        <w:t xml:space="preserve"> </w:t>
      </w:r>
      <w:r w:rsidRPr="00CE0885">
        <w:rPr>
          <w:lang w:eastAsia="en-GB"/>
        </w:rPr>
        <w:t>ci</w:t>
      </w:r>
      <w:r w:rsidRPr="00CE0885">
        <w:rPr>
          <w:spacing w:val="-1"/>
          <w:lang w:eastAsia="en-GB"/>
        </w:rPr>
        <w:t>r</w:t>
      </w:r>
      <w:r w:rsidRPr="00CE0885">
        <w:rPr>
          <w:lang w:eastAsia="en-GB"/>
        </w:rPr>
        <w:t>c</w:t>
      </w:r>
      <w:r w:rsidRPr="00CE0885">
        <w:rPr>
          <w:spacing w:val="1"/>
          <w:lang w:eastAsia="en-GB"/>
        </w:rPr>
        <w:t>u</w:t>
      </w:r>
      <w:r w:rsidRPr="00CE0885">
        <w:rPr>
          <w:spacing w:val="2"/>
          <w:lang w:eastAsia="en-GB"/>
        </w:rPr>
        <w:t>m</w:t>
      </w:r>
      <w:r w:rsidRPr="00CE0885">
        <w:rPr>
          <w:spacing w:val="-2"/>
          <w:lang w:eastAsia="en-GB"/>
        </w:rPr>
        <w:t>s</w:t>
      </w:r>
      <w:r w:rsidRPr="00CE0885">
        <w:rPr>
          <w:spacing w:val="1"/>
          <w:lang w:eastAsia="en-GB"/>
        </w:rPr>
        <w:t>t</w:t>
      </w:r>
      <w:r w:rsidRPr="00CE0885">
        <w:rPr>
          <w:spacing w:val="-1"/>
          <w:lang w:eastAsia="en-GB"/>
        </w:rPr>
        <w:t>a</w:t>
      </w:r>
      <w:r w:rsidRPr="00CE0885">
        <w:rPr>
          <w:spacing w:val="1"/>
          <w:lang w:eastAsia="en-GB"/>
        </w:rPr>
        <w:t>n</w:t>
      </w:r>
      <w:r w:rsidRPr="00CE0885">
        <w:rPr>
          <w:lang w:eastAsia="en-GB"/>
        </w:rPr>
        <w:t>c</w:t>
      </w:r>
      <w:r w:rsidRPr="00CE0885">
        <w:rPr>
          <w:spacing w:val="1"/>
          <w:lang w:eastAsia="en-GB"/>
        </w:rPr>
        <w:t>e</w:t>
      </w:r>
      <w:r w:rsidRPr="00CE0885">
        <w:rPr>
          <w:lang w:eastAsia="en-GB"/>
        </w:rPr>
        <w:t>s</w:t>
      </w:r>
      <w:r w:rsidRPr="00CE0885">
        <w:rPr>
          <w:spacing w:val="-15"/>
          <w:lang w:eastAsia="en-GB"/>
        </w:rPr>
        <w:t xml:space="preserve"> </w:t>
      </w:r>
      <w:r w:rsidRPr="00CE0885">
        <w:rPr>
          <w:lang w:eastAsia="en-GB"/>
        </w:rPr>
        <w:t>a</w:t>
      </w:r>
      <w:r w:rsidRPr="00CE0885">
        <w:rPr>
          <w:spacing w:val="-2"/>
          <w:lang w:eastAsia="en-GB"/>
        </w:rPr>
        <w:t xml:space="preserve"> </w:t>
      </w:r>
      <w:r w:rsidRPr="00CE0885">
        <w:rPr>
          <w:spacing w:val="1"/>
          <w:lang w:eastAsia="en-GB"/>
        </w:rPr>
        <w:t>ne</w:t>
      </w:r>
      <w:r w:rsidRPr="00CE0885">
        <w:rPr>
          <w:lang w:eastAsia="en-GB"/>
        </w:rPr>
        <w:t>w</w:t>
      </w:r>
      <w:r w:rsidRPr="00CE0885">
        <w:rPr>
          <w:spacing w:val="-6"/>
          <w:lang w:eastAsia="en-GB"/>
        </w:rPr>
        <w:t xml:space="preserve"> </w:t>
      </w:r>
      <w:r w:rsidRPr="00CE0885">
        <w:rPr>
          <w:spacing w:val="1"/>
          <w:lang w:eastAsia="en-GB"/>
        </w:rPr>
        <w:t>not</w:t>
      </w:r>
      <w:r w:rsidRPr="00CE0885">
        <w:rPr>
          <w:lang w:eastAsia="en-GB"/>
        </w:rPr>
        <w:t>ice</w:t>
      </w:r>
      <w:r w:rsidRPr="00CE0885">
        <w:rPr>
          <w:spacing w:val="-7"/>
          <w:lang w:eastAsia="en-GB"/>
        </w:rPr>
        <w:t xml:space="preserve"> </w:t>
      </w:r>
      <w:r w:rsidRPr="00CE0885">
        <w:rPr>
          <w:lang w:eastAsia="en-GB"/>
        </w:rPr>
        <w:t>s</w:t>
      </w:r>
      <w:r w:rsidRPr="00CE0885">
        <w:rPr>
          <w:spacing w:val="1"/>
          <w:lang w:eastAsia="en-GB"/>
        </w:rPr>
        <w:t>h</w:t>
      </w:r>
      <w:r w:rsidRPr="00CE0885">
        <w:rPr>
          <w:spacing w:val="-1"/>
          <w:lang w:eastAsia="en-GB"/>
        </w:rPr>
        <w:t>o</w:t>
      </w:r>
      <w:r w:rsidRPr="00CE0885">
        <w:rPr>
          <w:spacing w:val="1"/>
          <w:lang w:eastAsia="en-GB"/>
        </w:rPr>
        <w:t>u</w:t>
      </w:r>
      <w:r w:rsidRPr="00CE0885">
        <w:rPr>
          <w:lang w:eastAsia="en-GB"/>
        </w:rPr>
        <w:t xml:space="preserve">ld </w:t>
      </w:r>
      <w:r w:rsidRPr="00CE0885">
        <w:rPr>
          <w:spacing w:val="1"/>
          <w:lang w:eastAsia="en-GB"/>
        </w:rPr>
        <w:t>b</w:t>
      </w:r>
      <w:r w:rsidRPr="00CE0885">
        <w:rPr>
          <w:lang w:eastAsia="en-GB"/>
        </w:rPr>
        <w:t>e</w:t>
      </w:r>
      <w:r w:rsidRPr="00CE0885">
        <w:rPr>
          <w:spacing w:val="-1"/>
          <w:lang w:eastAsia="en-GB"/>
        </w:rPr>
        <w:t xml:space="preserve"> </w:t>
      </w:r>
      <w:r w:rsidRPr="00CE0885">
        <w:rPr>
          <w:lang w:eastAsia="en-GB"/>
        </w:rPr>
        <w:t>iss</w:t>
      </w:r>
      <w:r w:rsidRPr="00CE0885">
        <w:rPr>
          <w:spacing w:val="-1"/>
          <w:lang w:eastAsia="en-GB"/>
        </w:rPr>
        <w:t>u</w:t>
      </w:r>
      <w:r w:rsidRPr="00CE0885">
        <w:rPr>
          <w:spacing w:val="1"/>
          <w:lang w:eastAsia="en-GB"/>
        </w:rPr>
        <w:t>e</w:t>
      </w:r>
      <w:r w:rsidRPr="00CE0885">
        <w:rPr>
          <w:lang w:eastAsia="en-GB"/>
        </w:rPr>
        <w:t>d</w:t>
      </w:r>
      <w:r w:rsidRPr="00CE0885">
        <w:rPr>
          <w:spacing w:val="-5"/>
          <w:lang w:eastAsia="en-GB"/>
        </w:rPr>
        <w:t xml:space="preserve"> </w:t>
      </w:r>
      <w:r w:rsidRPr="00CE0885">
        <w:rPr>
          <w:spacing w:val="-2"/>
          <w:lang w:eastAsia="en-GB"/>
        </w:rPr>
        <w:t>t</w:t>
      </w:r>
      <w:r w:rsidRPr="00CE0885">
        <w:rPr>
          <w:lang w:eastAsia="en-GB"/>
        </w:rPr>
        <w:t>o the Commissioner</w:t>
      </w:r>
      <w:r w:rsidRPr="00CE0885">
        <w:rPr>
          <w:spacing w:val="-10"/>
          <w:lang w:eastAsia="en-GB"/>
        </w:rPr>
        <w:t xml:space="preserve"> </w:t>
      </w:r>
      <w:r w:rsidRPr="00CE0885">
        <w:rPr>
          <w:spacing w:val="1"/>
          <w:lang w:eastAsia="en-GB"/>
        </w:rPr>
        <w:t>t</w:t>
      </w:r>
      <w:r w:rsidRPr="00CE0885">
        <w:rPr>
          <w:lang w:eastAsia="en-GB"/>
        </w:rPr>
        <w:t>o i</w:t>
      </w:r>
      <w:r w:rsidRPr="00CE0885">
        <w:rPr>
          <w:spacing w:val="1"/>
          <w:lang w:eastAsia="en-GB"/>
        </w:rPr>
        <w:t>n</w:t>
      </w:r>
      <w:r w:rsidRPr="00CE0885">
        <w:rPr>
          <w:lang w:eastAsia="en-GB"/>
        </w:rPr>
        <w:t>cl</w:t>
      </w:r>
      <w:r w:rsidRPr="00CE0885">
        <w:rPr>
          <w:spacing w:val="-1"/>
          <w:lang w:eastAsia="en-GB"/>
        </w:rPr>
        <w:t>u</w:t>
      </w:r>
      <w:r w:rsidRPr="00CE0885">
        <w:rPr>
          <w:spacing w:val="1"/>
          <w:lang w:eastAsia="en-GB"/>
        </w:rPr>
        <w:t>d</w:t>
      </w:r>
      <w:r w:rsidRPr="00CE0885">
        <w:rPr>
          <w:lang w:eastAsia="en-GB"/>
        </w:rPr>
        <w:t>e</w:t>
      </w:r>
      <w:r w:rsidRPr="00CE0885">
        <w:rPr>
          <w:spacing w:val="-9"/>
          <w:lang w:eastAsia="en-GB"/>
        </w:rPr>
        <w:t xml:space="preserve"> </w:t>
      </w:r>
      <w:r w:rsidRPr="00CE0885">
        <w:rPr>
          <w:spacing w:val="1"/>
          <w:lang w:eastAsia="en-GB"/>
        </w:rPr>
        <w:t>the</w:t>
      </w:r>
      <w:r w:rsidRPr="00CE0885">
        <w:rPr>
          <w:spacing w:val="-2"/>
          <w:lang w:eastAsia="en-GB"/>
        </w:rPr>
        <w:t>s</w:t>
      </w:r>
      <w:r w:rsidRPr="00CE0885">
        <w:rPr>
          <w:lang w:eastAsia="en-GB"/>
        </w:rPr>
        <w:t>e</w:t>
      </w:r>
      <w:r w:rsidRPr="00CE0885">
        <w:rPr>
          <w:spacing w:val="-4"/>
          <w:lang w:eastAsia="en-GB"/>
        </w:rPr>
        <w:t xml:space="preserve"> </w:t>
      </w:r>
      <w:r w:rsidRPr="00CE0885">
        <w:rPr>
          <w:spacing w:val="-1"/>
          <w:lang w:eastAsia="en-GB"/>
        </w:rPr>
        <w:t>d</w:t>
      </w:r>
      <w:r w:rsidRPr="00CE0885">
        <w:rPr>
          <w:spacing w:val="1"/>
          <w:lang w:eastAsia="en-GB"/>
        </w:rPr>
        <w:t>eta</w:t>
      </w:r>
      <w:r w:rsidRPr="00CE0885">
        <w:rPr>
          <w:lang w:eastAsia="en-GB"/>
        </w:rPr>
        <w:t>ils</w:t>
      </w:r>
      <w:r w:rsidRPr="00CE0885">
        <w:rPr>
          <w:spacing w:val="-7"/>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spacing w:val="1"/>
          <w:lang w:eastAsia="en-GB"/>
        </w:rPr>
        <w:t>p</w:t>
      </w:r>
      <w:r w:rsidRPr="00CE0885">
        <w:rPr>
          <w:spacing w:val="-3"/>
          <w:lang w:eastAsia="en-GB"/>
        </w:rPr>
        <w:t>r</w:t>
      </w:r>
      <w:r w:rsidRPr="00CE0885">
        <w:rPr>
          <w:spacing w:val="1"/>
          <w:lang w:eastAsia="en-GB"/>
        </w:rPr>
        <w:t>opo</w:t>
      </w:r>
      <w:r w:rsidRPr="00CE0885">
        <w:rPr>
          <w:spacing w:val="-2"/>
          <w:lang w:eastAsia="en-GB"/>
        </w:rPr>
        <w:t>s</w:t>
      </w:r>
      <w:r w:rsidRPr="00CE0885">
        <w:rPr>
          <w:lang w:eastAsia="en-GB"/>
        </w:rPr>
        <w:t>e</w:t>
      </w:r>
      <w:r w:rsidRPr="00CE0885">
        <w:rPr>
          <w:spacing w:val="-7"/>
          <w:lang w:eastAsia="en-GB"/>
        </w:rPr>
        <w:t xml:space="preserve"> </w:t>
      </w:r>
      <w:r w:rsidRPr="00CE0885">
        <w:rPr>
          <w:lang w:eastAsia="en-GB"/>
        </w:rPr>
        <w:t>a</w:t>
      </w:r>
      <w:r w:rsidRPr="00CE0885">
        <w:rPr>
          <w:spacing w:val="-2"/>
          <w:lang w:eastAsia="en-GB"/>
        </w:rPr>
        <w:t xml:space="preserve"> </w:t>
      </w:r>
      <w:r w:rsidRPr="00CE0885">
        <w:rPr>
          <w:spacing w:val="-1"/>
          <w:lang w:eastAsia="en-GB"/>
        </w:rPr>
        <w:t>n</w:t>
      </w:r>
      <w:r w:rsidRPr="00CE0885">
        <w:rPr>
          <w:spacing w:val="1"/>
          <w:lang w:eastAsia="en-GB"/>
        </w:rPr>
        <w:t>e</w:t>
      </w:r>
      <w:r w:rsidRPr="00CE0885">
        <w:rPr>
          <w:lang w:eastAsia="en-GB"/>
        </w:rPr>
        <w:t xml:space="preserve">w </w:t>
      </w:r>
      <w:r w:rsidRPr="00CE0885">
        <w:rPr>
          <w:spacing w:val="1"/>
          <w:lang w:eastAsia="en-GB"/>
        </w:rPr>
        <w:t>dat</w:t>
      </w:r>
      <w:r w:rsidRPr="00CE0885">
        <w:rPr>
          <w:lang w:eastAsia="en-GB"/>
        </w:rPr>
        <w:t>e</w:t>
      </w:r>
      <w:r w:rsidRPr="00CE0885">
        <w:rPr>
          <w:spacing w:val="-6"/>
          <w:lang w:eastAsia="en-GB"/>
        </w:rPr>
        <w:t xml:space="preserve"> </w:t>
      </w:r>
      <w:r w:rsidRPr="00CE0885">
        <w:rPr>
          <w:spacing w:val="1"/>
          <w:lang w:eastAsia="en-GB"/>
        </w:rPr>
        <w:t>o</w:t>
      </w:r>
      <w:r w:rsidRPr="00CE0885">
        <w:rPr>
          <w:lang w:eastAsia="en-GB"/>
        </w:rPr>
        <w:t>n</w:t>
      </w:r>
      <w:r w:rsidRPr="00CE0885">
        <w:rPr>
          <w:spacing w:val="-4"/>
          <w:lang w:eastAsia="en-GB"/>
        </w:rPr>
        <w:t xml:space="preserve"> </w:t>
      </w:r>
      <w:r w:rsidRPr="00CE0885">
        <w:rPr>
          <w:spacing w:val="-3"/>
          <w:lang w:eastAsia="en-GB"/>
        </w:rPr>
        <w:t>w</w:t>
      </w:r>
      <w:r w:rsidRPr="00CE0885">
        <w:rPr>
          <w:spacing w:val="1"/>
          <w:lang w:eastAsia="en-GB"/>
        </w:rPr>
        <w:t>h</w:t>
      </w:r>
      <w:r w:rsidRPr="00CE0885">
        <w:rPr>
          <w:lang w:eastAsia="en-GB"/>
        </w:rPr>
        <w:t>ich</w:t>
      </w:r>
      <w:r w:rsidRPr="00CE0885">
        <w:rPr>
          <w:spacing w:val="-4"/>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spacing w:val="-2"/>
          <w:lang w:eastAsia="en-GB"/>
        </w:rPr>
        <w:t>c</w:t>
      </w:r>
      <w:r w:rsidRPr="00CE0885">
        <w:rPr>
          <w:spacing w:val="1"/>
          <w:lang w:eastAsia="en-GB"/>
        </w:rPr>
        <w:t>h</w:t>
      </w:r>
      <w:r w:rsidRPr="00CE0885">
        <w:rPr>
          <w:spacing w:val="-1"/>
          <w:lang w:eastAsia="en-GB"/>
        </w:rPr>
        <w:t>a</w:t>
      </w:r>
      <w:r w:rsidRPr="00CE0885">
        <w:rPr>
          <w:spacing w:val="1"/>
          <w:lang w:eastAsia="en-GB"/>
        </w:rPr>
        <w:t>n</w:t>
      </w:r>
      <w:r w:rsidRPr="00CE0885">
        <w:rPr>
          <w:spacing w:val="-1"/>
          <w:lang w:eastAsia="en-GB"/>
        </w:rPr>
        <w:t>g</w:t>
      </w:r>
      <w:r w:rsidRPr="00CE0885">
        <w:rPr>
          <w:spacing w:val="1"/>
          <w:lang w:eastAsia="en-GB"/>
        </w:rPr>
        <w:t>e</w:t>
      </w:r>
      <w:r w:rsidRPr="00CE0885">
        <w:rPr>
          <w:lang w:eastAsia="en-GB"/>
        </w:rPr>
        <w:t>s</w:t>
      </w:r>
      <w:r w:rsidRPr="00CE0885">
        <w:rPr>
          <w:spacing w:val="-9"/>
          <w:lang w:eastAsia="en-GB"/>
        </w:rPr>
        <w:t xml:space="preserve"> </w:t>
      </w:r>
      <w:r w:rsidRPr="00CE0885">
        <w:rPr>
          <w:spacing w:val="-3"/>
          <w:lang w:eastAsia="en-GB"/>
        </w:rPr>
        <w:t>w</w:t>
      </w:r>
      <w:r w:rsidRPr="00CE0885">
        <w:rPr>
          <w:lang w:eastAsia="en-GB"/>
        </w:rPr>
        <w:t>i</w:t>
      </w:r>
      <w:r w:rsidRPr="00CE0885">
        <w:rPr>
          <w:spacing w:val="2"/>
          <w:lang w:eastAsia="en-GB"/>
        </w:rPr>
        <w:t>l</w:t>
      </w:r>
      <w:r w:rsidRPr="00CE0885">
        <w:rPr>
          <w:lang w:eastAsia="en-GB"/>
        </w:rPr>
        <w:t>l</w:t>
      </w:r>
      <w:r w:rsidRPr="00CE0885">
        <w:rPr>
          <w:spacing w:val="-3"/>
          <w:lang w:eastAsia="en-GB"/>
        </w:rPr>
        <w:t xml:space="preserve"> </w:t>
      </w:r>
      <w:r w:rsidRPr="00CE0885">
        <w:rPr>
          <w:spacing w:val="1"/>
          <w:lang w:eastAsia="en-GB"/>
        </w:rPr>
        <w:t>o</w:t>
      </w:r>
      <w:r w:rsidRPr="00CE0885">
        <w:rPr>
          <w:lang w:eastAsia="en-GB"/>
        </w:rPr>
        <w:t>cc</w:t>
      </w:r>
      <w:r w:rsidRPr="00CE0885">
        <w:rPr>
          <w:spacing w:val="1"/>
          <w:lang w:eastAsia="en-GB"/>
        </w:rPr>
        <w:t>u</w:t>
      </w:r>
      <w:r w:rsidRPr="00CE0885">
        <w:rPr>
          <w:spacing w:val="-1"/>
          <w:lang w:eastAsia="en-GB"/>
        </w:rPr>
        <w:t>r</w:t>
      </w:r>
      <w:r w:rsidRPr="00CE0885">
        <w:rPr>
          <w:lang w:eastAsia="en-GB"/>
        </w:rPr>
        <w:t>.</w:t>
      </w:r>
      <w:bookmarkEnd w:id="663"/>
    </w:p>
    <w:p w14:paraId="14D64156" w14:textId="6A02D10A" w:rsidR="00977693" w:rsidRPr="00CE0885" w:rsidRDefault="00977693" w:rsidP="006B781A">
      <w:pPr>
        <w:pStyle w:val="Heading3"/>
        <w:rPr>
          <w:lang w:eastAsia="en-GB"/>
        </w:rPr>
      </w:pPr>
      <w:bookmarkStart w:id="664" w:name="_Ref410397883"/>
      <w:bookmarkStart w:id="665" w:name="_Toc440981778"/>
      <w:r w:rsidRPr="00CE0885">
        <w:rPr>
          <w:lang w:eastAsia="en-GB"/>
        </w:rPr>
        <w:t>Where the contractor consists of two or more individuals practising in partnership and the composition of the partnership changes, either by a partner leaving (but without the partnership terminating) or a new partner joining, the contract will need to be amended to recognise the new partnership composition. For the variation to have effect, it must be in writing and signed by all parties to the contract.</w:t>
      </w:r>
      <w:bookmarkEnd w:id="664"/>
      <w:bookmarkEnd w:id="665"/>
      <w:r w:rsidRPr="00CE0885">
        <w:rPr>
          <w:lang w:eastAsia="en-GB"/>
        </w:rPr>
        <w:t xml:space="preserve"> </w:t>
      </w:r>
    </w:p>
    <w:p w14:paraId="7A954300" w14:textId="77777777" w:rsidR="00977693" w:rsidRPr="00CE0885" w:rsidRDefault="00977693" w:rsidP="003331F2">
      <w:pPr>
        <w:pStyle w:val="BodyText"/>
      </w:pPr>
    </w:p>
    <w:p w14:paraId="4B385122" w14:textId="77777777" w:rsidR="00977693" w:rsidRPr="00CE5A3A" w:rsidRDefault="00977693" w:rsidP="00CE5A3A">
      <w:pPr>
        <w:pStyle w:val="BodyText"/>
        <w:rPr>
          <w:b/>
          <w:sz w:val="24"/>
          <w:szCs w:val="24"/>
        </w:rPr>
      </w:pPr>
      <w:bookmarkStart w:id="666" w:name="_Toc440981779"/>
      <w:r w:rsidRPr="00CE5A3A">
        <w:rPr>
          <w:b/>
          <w:sz w:val="24"/>
          <w:szCs w:val="24"/>
        </w:rPr>
        <w:t xml:space="preserve">Changes to contracts with more than one individual – </w:t>
      </w:r>
      <w:r w:rsidRPr="00CE5A3A">
        <w:rPr>
          <w:b/>
          <w:spacing w:val="1"/>
          <w:sz w:val="24"/>
          <w:szCs w:val="24"/>
        </w:rPr>
        <w:t>P</w:t>
      </w:r>
      <w:r w:rsidRPr="00CE5A3A">
        <w:rPr>
          <w:b/>
          <w:spacing w:val="-1"/>
          <w:sz w:val="24"/>
          <w:szCs w:val="24"/>
        </w:rPr>
        <w:t>M</w:t>
      </w:r>
      <w:r w:rsidRPr="00CE5A3A">
        <w:rPr>
          <w:b/>
          <w:sz w:val="24"/>
          <w:szCs w:val="24"/>
        </w:rPr>
        <w:t>S</w:t>
      </w:r>
      <w:r w:rsidRPr="00CE5A3A">
        <w:rPr>
          <w:b/>
          <w:spacing w:val="-4"/>
          <w:sz w:val="24"/>
          <w:szCs w:val="24"/>
        </w:rPr>
        <w:t xml:space="preserve"> </w:t>
      </w:r>
      <w:r w:rsidRPr="00CE5A3A">
        <w:rPr>
          <w:b/>
          <w:spacing w:val="1"/>
          <w:sz w:val="24"/>
          <w:szCs w:val="24"/>
        </w:rPr>
        <w:t>a</w:t>
      </w:r>
      <w:r w:rsidRPr="00CE5A3A">
        <w:rPr>
          <w:b/>
          <w:sz w:val="24"/>
          <w:szCs w:val="24"/>
        </w:rPr>
        <w:t>gr</w:t>
      </w:r>
      <w:r w:rsidRPr="00CE5A3A">
        <w:rPr>
          <w:b/>
          <w:spacing w:val="1"/>
          <w:sz w:val="24"/>
          <w:szCs w:val="24"/>
        </w:rPr>
        <w:t>ee</w:t>
      </w:r>
      <w:r w:rsidRPr="00CE5A3A">
        <w:rPr>
          <w:b/>
          <w:spacing w:val="-2"/>
          <w:sz w:val="24"/>
          <w:szCs w:val="24"/>
        </w:rPr>
        <w:t>m</w:t>
      </w:r>
      <w:r w:rsidRPr="00CE5A3A">
        <w:rPr>
          <w:b/>
          <w:spacing w:val="1"/>
          <w:sz w:val="24"/>
          <w:szCs w:val="24"/>
        </w:rPr>
        <w:t>e</w:t>
      </w:r>
      <w:r w:rsidRPr="00CE5A3A">
        <w:rPr>
          <w:b/>
          <w:sz w:val="24"/>
          <w:szCs w:val="24"/>
        </w:rPr>
        <w:t>nts</w:t>
      </w:r>
      <w:bookmarkEnd w:id="666"/>
    </w:p>
    <w:p w14:paraId="4A8D6230" w14:textId="3A75994C" w:rsidR="00977693" w:rsidRPr="00CE0885" w:rsidRDefault="00977693" w:rsidP="006B781A">
      <w:pPr>
        <w:pStyle w:val="Heading3"/>
        <w:rPr>
          <w:lang w:eastAsia="en-GB"/>
        </w:rPr>
      </w:pPr>
      <w:bookmarkStart w:id="667" w:name="_Ref410394717"/>
      <w:bookmarkStart w:id="668" w:name="_Toc440981780"/>
      <w:r w:rsidRPr="00CE0885">
        <w:rPr>
          <w:lang w:eastAsia="en-GB"/>
        </w:rPr>
        <w:t xml:space="preserve">As stated in paragraph </w:t>
      </w:r>
      <w:r w:rsidRPr="00CE0885">
        <w:rPr>
          <w:lang w:eastAsia="en-GB"/>
        </w:rPr>
        <w:fldChar w:fldCharType="begin"/>
      </w:r>
      <w:r w:rsidRPr="00CE0885">
        <w:rPr>
          <w:lang w:eastAsia="en-GB"/>
        </w:rPr>
        <w:instrText xml:space="preserve"> REF _Ref410394560 \r \h  \* MERGEFORMAT </w:instrText>
      </w:r>
      <w:r w:rsidRPr="00CE0885">
        <w:rPr>
          <w:lang w:eastAsia="en-GB"/>
        </w:rPr>
      </w:r>
      <w:r w:rsidRPr="00CE0885">
        <w:rPr>
          <w:lang w:eastAsia="en-GB"/>
        </w:rPr>
        <w:fldChar w:fldCharType="separate"/>
      </w:r>
      <w:r w:rsidR="00054166">
        <w:rPr>
          <w:lang w:eastAsia="en-GB"/>
        </w:rPr>
        <w:t>7.5.13</w:t>
      </w:r>
      <w:r w:rsidRPr="00CE0885">
        <w:rPr>
          <w:lang w:eastAsia="en-GB"/>
        </w:rPr>
        <w:fldChar w:fldCharType="end"/>
      </w:r>
      <w:r w:rsidRPr="00CE0885">
        <w:rPr>
          <w:lang w:eastAsia="en-GB"/>
        </w:rPr>
        <w:t>, the PMS Regulations do not require a PMS agreement to define a specific process for any variation to the signatories. The Commissioner must, therefore, review the relevant PMS agreement to determine whether any provisions have been added relating to this and prior to following any process for variation.</w:t>
      </w:r>
      <w:bookmarkEnd w:id="667"/>
      <w:bookmarkEnd w:id="668"/>
    </w:p>
    <w:p w14:paraId="2CFCA74D" w14:textId="5A956343" w:rsidR="00977693" w:rsidRPr="00CE0885" w:rsidRDefault="00977693" w:rsidP="006B781A">
      <w:pPr>
        <w:pStyle w:val="Heading3"/>
        <w:rPr>
          <w:lang w:eastAsia="en-GB"/>
        </w:rPr>
      </w:pPr>
      <w:bookmarkStart w:id="669" w:name="_Toc440981781"/>
      <w:r w:rsidRPr="00CE0885">
        <w:rPr>
          <w:lang w:eastAsia="en-GB"/>
        </w:rPr>
        <w:t>If the contractor is currently two or more individuals and wish to change to an individual contractor, then they must seek the Commissioner's consent in writing for any such variation to the contract. Where the contractor contacts the Commissioner about such a change, the Commissioner should send Annex 6A. The Commissioner must consider any procurement implications, along with other influencing factors, when considering such an application. commissioners must also act in accordance with any procurement protocol issued by NHS England.</w:t>
      </w:r>
      <w:bookmarkEnd w:id="669"/>
    </w:p>
    <w:p w14:paraId="73AB02F8" w14:textId="211EC631" w:rsidR="00977693" w:rsidRPr="00CE0885" w:rsidRDefault="00977693" w:rsidP="006B781A">
      <w:pPr>
        <w:pStyle w:val="Heading3"/>
        <w:rPr>
          <w:lang w:eastAsia="en-GB"/>
        </w:rPr>
      </w:pPr>
      <w:bookmarkStart w:id="670" w:name="_Toc440981782"/>
      <w:r w:rsidRPr="00CE0885">
        <w:rPr>
          <w:lang w:eastAsia="en-GB"/>
        </w:rPr>
        <w:t>The Commissioner must ensure that the proposed individual(s) meets the eligibility criteria for holding a PMS agreement (</w:t>
      </w:r>
      <w:r w:rsidR="00A114DF" w:rsidRPr="00CE0885">
        <w:rPr>
          <w:lang w:eastAsia="en-GB"/>
        </w:rPr>
        <w:t xml:space="preserve">Please refer to </w:t>
      </w:r>
      <w:r w:rsidR="00A114DF">
        <w:rPr>
          <w:lang w:eastAsia="en-GB"/>
        </w:rPr>
        <w:t>the ‘Contracts Described’ chapter</w:t>
      </w:r>
      <w:r w:rsidRPr="00CE0885">
        <w:rPr>
          <w:lang w:eastAsia="en-GB"/>
        </w:rPr>
        <w:t xml:space="preserve"> for further information).</w:t>
      </w:r>
      <w:bookmarkEnd w:id="670"/>
    </w:p>
    <w:p w14:paraId="029DE7AC" w14:textId="540538F4" w:rsidR="00977693" w:rsidRPr="00CE0885" w:rsidRDefault="00977693" w:rsidP="006B781A">
      <w:pPr>
        <w:pStyle w:val="Heading3"/>
        <w:rPr>
          <w:lang w:eastAsia="en-GB"/>
        </w:rPr>
      </w:pPr>
      <w:bookmarkStart w:id="671" w:name="_Toc440981783"/>
      <w:r w:rsidRPr="00CE0885">
        <w:rPr>
          <w:lang w:eastAsia="en-GB"/>
        </w:rPr>
        <w:t>The Commissioner should confirm its decision on the variation in writing to the contractor detailing the reasons for the decision and details of any information that they have relied upon in the process (Annex 6B).</w:t>
      </w:r>
      <w:bookmarkEnd w:id="671"/>
    </w:p>
    <w:p w14:paraId="7ECD6375" w14:textId="0568F465" w:rsidR="00977693" w:rsidRPr="00CE0885" w:rsidRDefault="00977693" w:rsidP="006B781A">
      <w:pPr>
        <w:pStyle w:val="Heading3"/>
        <w:rPr>
          <w:lang w:eastAsia="en-GB"/>
        </w:rPr>
      </w:pPr>
      <w:bookmarkStart w:id="672" w:name="_Toc440981784"/>
      <w:r w:rsidRPr="00CE0885">
        <w:rPr>
          <w:lang w:eastAsia="en-GB"/>
        </w:rPr>
        <w:t>If the decision is to consent to the variation, then the Commissioner shall issue a variation notice accordingly to amend the relevant sections of the contract. A variation notice should include the wording of the proposed variation and the date upon which the variation will take effect. The contractor would then be required to return a signed copy of the variation notice. The Commissioner should ensure that the electronically held contract documentation is amended accordingly.</w:t>
      </w:r>
      <w:bookmarkEnd w:id="672"/>
    </w:p>
    <w:p w14:paraId="286D85A1" w14:textId="284F3407" w:rsidR="00977693" w:rsidRPr="00CE0885" w:rsidRDefault="00977693" w:rsidP="006B781A">
      <w:pPr>
        <w:pStyle w:val="Heading3"/>
        <w:rPr>
          <w:lang w:eastAsia="en-GB"/>
        </w:rPr>
      </w:pPr>
      <w:bookmarkStart w:id="673" w:name="_Toc440981785"/>
      <w:r w:rsidRPr="00CE0885">
        <w:rPr>
          <w:lang w:eastAsia="en-GB"/>
        </w:rPr>
        <w:t>If the contractor does not return a signed copy of the variation notice, then no amendment to the agreement can take place.</w:t>
      </w:r>
      <w:bookmarkEnd w:id="673"/>
    </w:p>
    <w:p w14:paraId="0CAC414A" w14:textId="10CBC540" w:rsidR="00977693" w:rsidRPr="00CE0885" w:rsidRDefault="00977693" w:rsidP="006B781A">
      <w:pPr>
        <w:pStyle w:val="Heading3"/>
        <w:rPr>
          <w:lang w:eastAsia="en-GB"/>
        </w:rPr>
      </w:pPr>
      <w:bookmarkStart w:id="674" w:name="_Ref410394724"/>
      <w:bookmarkStart w:id="675" w:name="_Toc440981786"/>
      <w:r w:rsidRPr="00CE0885">
        <w:rPr>
          <w:lang w:eastAsia="en-GB"/>
        </w:rPr>
        <w:t>If the new individual is not accepted as eligible the Commissioner should advise the contractor in writing of the reasons they believe the individual is ineligible and confirm that the contract status will remain as it was until the matter can be resolved or a further notice is provided by the contractor proposing an alternative eligible individual.</w:t>
      </w:r>
      <w:bookmarkEnd w:id="674"/>
      <w:bookmarkEnd w:id="675"/>
    </w:p>
    <w:p w14:paraId="47517884" w14:textId="02369896" w:rsidR="00977693" w:rsidRPr="00CE0885" w:rsidRDefault="00977693" w:rsidP="006B781A">
      <w:pPr>
        <w:pStyle w:val="Heading3"/>
        <w:rPr>
          <w:lang w:eastAsia="en-GB"/>
        </w:rPr>
      </w:pPr>
      <w:bookmarkStart w:id="676" w:name="_Toc440981787"/>
      <w:r w:rsidRPr="00CE0885">
        <w:rPr>
          <w:lang w:eastAsia="en-GB"/>
        </w:rPr>
        <w:t xml:space="preserve">The principles outlined in paragraphs </w:t>
      </w:r>
      <w:r w:rsidRPr="00CE0885">
        <w:rPr>
          <w:lang w:eastAsia="en-GB"/>
        </w:rPr>
        <w:fldChar w:fldCharType="begin"/>
      </w:r>
      <w:r w:rsidRPr="00CE0885">
        <w:rPr>
          <w:lang w:eastAsia="en-GB"/>
        </w:rPr>
        <w:instrText xml:space="preserve"> REF _Ref410394717 \r \h  \* MERGEFORMAT </w:instrText>
      </w:r>
      <w:r w:rsidRPr="00CE0885">
        <w:rPr>
          <w:lang w:eastAsia="en-GB"/>
        </w:rPr>
      </w:r>
      <w:r w:rsidRPr="00CE0885">
        <w:rPr>
          <w:lang w:eastAsia="en-GB"/>
        </w:rPr>
        <w:fldChar w:fldCharType="separate"/>
      </w:r>
      <w:r w:rsidR="00054166">
        <w:rPr>
          <w:lang w:eastAsia="en-GB"/>
        </w:rPr>
        <w:t>7.5.31</w:t>
      </w:r>
      <w:r w:rsidRPr="00CE0885">
        <w:rPr>
          <w:lang w:eastAsia="en-GB"/>
        </w:rPr>
        <w:fldChar w:fldCharType="end"/>
      </w:r>
      <w:r w:rsidRPr="00CE0885">
        <w:rPr>
          <w:lang w:eastAsia="en-GB"/>
        </w:rPr>
        <w:t xml:space="preserve"> to </w:t>
      </w:r>
      <w:r w:rsidRPr="00CE0885">
        <w:rPr>
          <w:lang w:eastAsia="en-GB"/>
        </w:rPr>
        <w:fldChar w:fldCharType="begin"/>
      </w:r>
      <w:r w:rsidRPr="00CE0885">
        <w:rPr>
          <w:lang w:eastAsia="en-GB"/>
        </w:rPr>
        <w:instrText xml:space="preserve"> REF _Ref410394724 \r \h  \* MERGEFORMAT </w:instrText>
      </w:r>
      <w:r w:rsidRPr="00CE0885">
        <w:rPr>
          <w:lang w:eastAsia="en-GB"/>
        </w:rPr>
      </w:r>
      <w:r w:rsidRPr="00CE0885">
        <w:rPr>
          <w:lang w:eastAsia="en-GB"/>
        </w:rPr>
        <w:fldChar w:fldCharType="separate"/>
      </w:r>
      <w:r w:rsidR="00054166">
        <w:rPr>
          <w:lang w:eastAsia="en-GB"/>
        </w:rPr>
        <w:t>7.5.37</w:t>
      </w:r>
      <w:r w:rsidRPr="00CE0885">
        <w:rPr>
          <w:lang w:eastAsia="en-GB"/>
        </w:rPr>
        <w:fldChar w:fldCharType="end"/>
      </w:r>
      <w:r w:rsidRPr="00CE0885">
        <w:rPr>
          <w:lang w:eastAsia="en-GB"/>
        </w:rPr>
        <w:t xml:space="preserve"> will also apply where the contractor consists of two or more individuals and the composition of the contractor changes, either by an individual wishing to leave the agreement or a new individual joining the agreement. The contract will need to be varied to recognise the new contractor composition.</w:t>
      </w:r>
      <w:bookmarkEnd w:id="676"/>
      <w:r w:rsidRPr="00CE0885">
        <w:rPr>
          <w:lang w:eastAsia="en-GB"/>
        </w:rPr>
        <w:t xml:space="preserve"> </w:t>
      </w:r>
    </w:p>
    <w:p w14:paraId="1B89487B" w14:textId="7416F227" w:rsidR="00977693" w:rsidRPr="00CE0885" w:rsidRDefault="00977693" w:rsidP="006B781A">
      <w:pPr>
        <w:pStyle w:val="Heading3"/>
        <w:rPr>
          <w:lang w:eastAsia="en-GB"/>
        </w:rPr>
      </w:pPr>
      <w:bookmarkStart w:id="677" w:name="_Toc440981788"/>
      <w:r w:rsidRPr="00CE0885">
        <w:rPr>
          <w:lang w:eastAsia="en-GB"/>
        </w:rPr>
        <w:t>The Commissioner should ensure that it is satisfied that the contractor will remain eligible to hold the agreement after the variation. For the variation to have effect, it must be in writing and signed by all existing (and new) individuals to the contract.</w:t>
      </w:r>
      <w:bookmarkEnd w:id="677"/>
    </w:p>
    <w:p w14:paraId="7CAE5911" w14:textId="2BFDD1A8" w:rsidR="00977693" w:rsidRPr="00CE0885" w:rsidRDefault="00977693" w:rsidP="006B781A">
      <w:pPr>
        <w:pStyle w:val="Heading3"/>
        <w:rPr>
          <w:spacing w:val="-6"/>
          <w:lang w:eastAsia="en-GB"/>
        </w:rPr>
      </w:pPr>
      <w:bookmarkStart w:id="678" w:name="_Ref410398056"/>
      <w:bookmarkStart w:id="679" w:name="_Toc440981789"/>
      <w:r w:rsidRPr="00CE0885">
        <w:rPr>
          <w:lang w:eastAsia="en-GB"/>
        </w:rPr>
        <w:t>The Commissioner</w:t>
      </w:r>
      <w:r w:rsidRPr="00CE0885">
        <w:rPr>
          <w:spacing w:val="-6"/>
          <w:lang w:eastAsia="en-GB"/>
        </w:rPr>
        <w:t xml:space="preserve"> </w:t>
      </w:r>
      <w:r w:rsidRPr="00CE0885">
        <w:rPr>
          <w:spacing w:val="2"/>
          <w:lang w:eastAsia="en-GB"/>
        </w:rPr>
        <w:t>should also</w:t>
      </w:r>
      <w:r w:rsidRPr="00CE0885">
        <w:rPr>
          <w:spacing w:val="-4"/>
          <w:lang w:eastAsia="en-GB"/>
        </w:rPr>
        <w:t xml:space="preserve"> </w:t>
      </w:r>
      <w:r w:rsidRPr="00CE0885">
        <w:rPr>
          <w:spacing w:val="-1"/>
          <w:lang w:eastAsia="en-GB"/>
        </w:rPr>
        <w:t>b</w:t>
      </w:r>
      <w:r w:rsidRPr="00CE0885">
        <w:rPr>
          <w:lang w:eastAsia="en-GB"/>
        </w:rPr>
        <w:t>e</w:t>
      </w:r>
      <w:r w:rsidRPr="00CE0885">
        <w:rPr>
          <w:spacing w:val="-1"/>
          <w:lang w:eastAsia="en-GB"/>
        </w:rPr>
        <w:t xml:space="preserve"> </w:t>
      </w:r>
      <w:r w:rsidRPr="00CE0885">
        <w:rPr>
          <w:lang w:eastAsia="en-GB"/>
        </w:rPr>
        <w:t>sati</w:t>
      </w:r>
      <w:r w:rsidRPr="00CE0885">
        <w:rPr>
          <w:spacing w:val="-2"/>
          <w:lang w:eastAsia="en-GB"/>
        </w:rPr>
        <w:t>s</w:t>
      </w:r>
      <w:r w:rsidRPr="00CE0885">
        <w:rPr>
          <w:spacing w:val="3"/>
          <w:lang w:eastAsia="en-GB"/>
        </w:rPr>
        <w:t>f</w:t>
      </w:r>
      <w:r w:rsidRPr="00CE0885">
        <w:rPr>
          <w:spacing w:val="-3"/>
          <w:lang w:eastAsia="en-GB"/>
        </w:rPr>
        <w:t>i</w:t>
      </w:r>
      <w:r w:rsidRPr="00CE0885">
        <w:rPr>
          <w:lang w:eastAsia="en-GB"/>
        </w:rPr>
        <w:t>ed</w:t>
      </w:r>
      <w:r w:rsidRPr="00CE0885">
        <w:rPr>
          <w:spacing w:val="-7"/>
          <w:lang w:eastAsia="en-GB"/>
        </w:rPr>
        <w:t xml:space="preserve"> </w:t>
      </w:r>
      <w:r w:rsidRPr="00CE0885">
        <w:rPr>
          <w:spacing w:val="-2"/>
          <w:lang w:eastAsia="en-GB"/>
        </w:rPr>
        <w:t>t</w:t>
      </w:r>
      <w:r w:rsidRPr="00CE0885">
        <w:rPr>
          <w:lang w:eastAsia="en-GB"/>
        </w:rPr>
        <w:t>hat</w:t>
      </w:r>
      <w:r w:rsidRPr="00CE0885">
        <w:rPr>
          <w:spacing w:val="-3"/>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a</w:t>
      </w:r>
      <w:r w:rsidRPr="00CE0885">
        <w:rPr>
          <w:spacing w:val="-1"/>
          <w:lang w:eastAsia="en-GB"/>
        </w:rPr>
        <w:t>rr</w:t>
      </w:r>
      <w:r w:rsidRPr="00CE0885">
        <w:rPr>
          <w:lang w:eastAsia="en-GB"/>
        </w:rPr>
        <w:t>an</w:t>
      </w:r>
      <w:r w:rsidRPr="00CE0885">
        <w:rPr>
          <w:spacing w:val="-1"/>
          <w:lang w:eastAsia="en-GB"/>
        </w:rPr>
        <w:t>g</w:t>
      </w:r>
      <w:r w:rsidRPr="00CE0885">
        <w:rPr>
          <w:lang w:eastAsia="en-GB"/>
        </w:rPr>
        <w:t>e</w:t>
      </w:r>
      <w:r w:rsidRPr="00CE0885">
        <w:rPr>
          <w:spacing w:val="-1"/>
          <w:lang w:eastAsia="en-GB"/>
        </w:rPr>
        <w:t>m</w:t>
      </w:r>
      <w:r w:rsidRPr="00CE0885">
        <w:rPr>
          <w:lang w:eastAsia="en-GB"/>
        </w:rPr>
        <w:t>ents</w:t>
      </w:r>
      <w:r w:rsidRPr="00CE0885">
        <w:rPr>
          <w:spacing w:val="-19"/>
          <w:lang w:eastAsia="en-GB"/>
        </w:rPr>
        <w:t xml:space="preserve"> </w:t>
      </w:r>
      <w:r w:rsidRPr="00CE0885">
        <w:rPr>
          <w:lang w:eastAsia="en-GB"/>
        </w:rPr>
        <w:t>for</w:t>
      </w:r>
      <w:r w:rsidRPr="00CE0885">
        <w:rPr>
          <w:spacing w:val="-3"/>
          <w:lang w:eastAsia="en-GB"/>
        </w:rPr>
        <w:t xml:space="preserve"> </w:t>
      </w:r>
      <w:r w:rsidRPr="00CE0885">
        <w:rPr>
          <w:lang w:eastAsia="en-GB"/>
        </w:rPr>
        <w:t>conti</w:t>
      </w:r>
      <w:r w:rsidRPr="00CE0885">
        <w:rPr>
          <w:spacing w:val="-1"/>
          <w:lang w:eastAsia="en-GB"/>
        </w:rPr>
        <w:t>n</w:t>
      </w:r>
      <w:r w:rsidRPr="00CE0885">
        <w:rPr>
          <w:lang w:eastAsia="en-GB"/>
        </w:rPr>
        <w:t>uity</w:t>
      </w:r>
      <w:r w:rsidRPr="00CE0885">
        <w:rPr>
          <w:spacing w:val="-12"/>
          <w:lang w:eastAsia="en-GB"/>
        </w:rPr>
        <w:t xml:space="preserve"> </w:t>
      </w:r>
      <w:r w:rsidRPr="00CE0885">
        <w:rPr>
          <w:spacing w:val="-1"/>
          <w:lang w:eastAsia="en-GB"/>
        </w:rPr>
        <w:t>o</w:t>
      </w:r>
      <w:r w:rsidRPr="00CE0885">
        <w:rPr>
          <w:lang w:eastAsia="en-GB"/>
        </w:rPr>
        <w:t>f se</w:t>
      </w:r>
      <w:r w:rsidRPr="00CE0885">
        <w:rPr>
          <w:spacing w:val="-1"/>
          <w:lang w:eastAsia="en-GB"/>
        </w:rPr>
        <w:t>r</w:t>
      </w:r>
      <w:r w:rsidRPr="00CE0885">
        <w:rPr>
          <w:spacing w:val="-2"/>
          <w:lang w:eastAsia="en-GB"/>
        </w:rPr>
        <w:t>v</w:t>
      </w:r>
      <w:r w:rsidRPr="00CE0885">
        <w:rPr>
          <w:lang w:eastAsia="en-GB"/>
        </w:rPr>
        <w:t>ice p</w:t>
      </w:r>
      <w:r w:rsidRPr="00CE0885">
        <w:rPr>
          <w:spacing w:val="-1"/>
          <w:lang w:eastAsia="en-GB"/>
        </w:rPr>
        <w:t>r</w:t>
      </w:r>
      <w:r w:rsidRPr="00CE0885">
        <w:rPr>
          <w:lang w:eastAsia="en-GB"/>
        </w:rPr>
        <w:t>o</w:t>
      </w:r>
      <w:r w:rsidRPr="00CE0885">
        <w:rPr>
          <w:spacing w:val="-2"/>
          <w:lang w:eastAsia="en-GB"/>
        </w:rPr>
        <w:t>v</w:t>
      </w:r>
      <w:r w:rsidRPr="00CE0885">
        <w:rPr>
          <w:lang w:eastAsia="en-GB"/>
        </w:rPr>
        <w:t>ision</w:t>
      </w:r>
      <w:r w:rsidRPr="00CE0885">
        <w:rPr>
          <w:spacing w:val="-8"/>
          <w:lang w:eastAsia="en-GB"/>
        </w:rPr>
        <w:t xml:space="preserve"> </w:t>
      </w:r>
      <w:r w:rsidRPr="00CE0885">
        <w:rPr>
          <w:lang w:eastAsia="en-GB"/>
        </w:rPr>
        <w:t>to t</w:t>
      </w:r>
      <w:r w:rsidRPr="00CE0885">
        <w:rPr>
          <w:spacing w:val="-1"/>
          <w:lang w:eastAsia="en-GB"/>
        </w:rPr>
        <w:t>h</w:t>
      </w:r>
      <w:r w:rsidRPr="00CE0885">
        <w:rPr>
          <w:lang w:eastAsia="en-GB"/>
        </w:rPr>
        <w:t>e</w:t>
      </w:r>
      <w:r w:rsidRPr="00CE0885">
        <w:rPr>
          <w:spacing w:val="-1"/>
          <w:lang w:eastAsia="en-GB"/>
        </w:rPr>
        <w:t xml:space="preserve"> r</w:t>
      </w:r>
      <w:r w:rsidRPr="00CE0885">
        <w:rPr>
          <w:lang w:eastAsia="en-GB"/>
        </w:rPr>
        <w:t>e</w:t>
      </w:r>
      <w:r w:rsidRPr="00CE0885">
        <w:rPr>
          <w:spacing w:val="-1"/>
          <w:lang w:eastAsia="en-GB"/>
        </w:rPr>
        <w:t>g</w:t>
      </w:r>
      <w:r w:rsidRPr="00CE0885">
        <w:rPr>
          <w:lang w:eastAsia="en-GB"/>
        </w:rPr>
        <w:t>ist</w:t>
      </w:r>
      <w:r w:rsidRPr="00CE0885">
        <w:rPr>
          <w:spacing w:val="-1"/>
          <w:lang w:eastAsia="en-GB"/>
        </w:rPr>
        <w:t>er</w:t>
      </w:r>
      <w:r w:rsidRPr="00CE0885">
        <w:rPr>
          <w:lang w:eastAsia="en-GB"/>
        </w:rPr>
        <w:t>ed</w:t>
      </w:r>
      <w:r w:rsidRPr="00CE0885">
        <w:rPr>
          <w:spacing w:val="-9"/>
          <w:lang w:eastAsia="en-GB"/>
        </w:rPr>
        <w:t xml:space="preserve"> </w:t>
      </w:r>
      <w:r w:rsidRPr="00CE0885">
        <w:rPr>
          <w:lang w:eastAsia="en-GB"/>
        </w:rPr>
        <w:t>p</w:t>
      </w:r>
      <w:r w:rsidRPr="00CE0885">
        <w:rPr>
          <w:spacing w:val="-1"/>
          <w:lang w:eastAsia="en-GB"/>
        </w:rPr>
        <w:t>o</w:t>
      </w:r>
      <w:r w:rsidRPr="00CE0885">
        <w:rPr>
          <w:lang w:eastAsia="en-GB"/>
        </w:rPr>
        <w:t>pul</w:t>
      </w:r>
      <w:r w:rsidRPr="00CE0885">
        <w:rPr>
          <w:spacing w:val="-1"/>
          <w:lang w:eastAsia="en-GB"/>
        </w:rPr>
        <w:t>a</w:t>
      </w:r>
      <w:r w:rsidRPr="00CE0885">
        <w:rPr>
          <w:lang w:eastAsia="en-GB"/>
        </w:rPr>
        <w:t>tion</w:t>
      </w:r>
      <w:r w:rsidRPr="00CE0885">
        <w:rPr>
          <w:spacing w:val="-9"/>
          <w:lang w:eastAsia="en-GB"/>
        </w:rPr>
        <w:t xml:space="preserve"> </w:t>
      </w:r>
      <w:r w:rsidRPr="00CE0885">
        <w:rPr>
          <w:spacing w:val="-2"/>
          <w:lang w:eastAsia="en-GB"/>
        </w:rPr>
        <w:t>c</w:t>
      </w:r>
      <w:r w:rsidRPr="00CE0885">
        <w:rPr>
          <w:lang w:eastAsia="en-GB"/>
        </w:rPr>
        <w:t>o</w:t>
      </w:r>
      <w:r w:rsidRPr="00CE0885">
        <w:rPr>
          <w:spacing w:val="-2"/>
          <w:lang w:eastAsia="en-GB"/>
        </w:rPr>
        <w:t>v</w:t>
      </w:r>
      <w:r w:rsidRPr="00CE0885">
        <w:rPr>
          <w:lang w:eastAsia="en-GB"/>
        </w:rPr>
        <w:t>e</w:t>
      </w:r>
      <w:r w:rsidRPr="00CE0885">
        <w:rPr>
          <w:spacing w:val="-1"/>
          <w:lang w:eastAsia="en-GB"/>
        </w:rPr>
        <w:t>r</w:t>
      </w:r>
      <w:r w:rsidRPr="00CE0885">
        <w:rPr>
          <w:lang w:eastAsia="en-GB"/>
        </w:rPr>
        <w:t>ed</w:t>
      </w:r>
      <w:r w:rsidRPr="00CE0885">
        <w:rPr>
          <w:spacing w:val="-10"/>
          <w:lang w:eastAsia="en-GB"/>
        </w:rPr>
        <w:t xml:space="preserve"> </w:t>
      </w:r>
      <w:r w:rsidRPr="00CE0885">
        <w:rPr>
          <w:spacing w:val="-3"/>
          <w:lang w:eastAsia="en-GB"/>
        </w:rPr>
        <w:t>w</w:t>
      </w:r>
      <w:r w:rsidRPr="00CE0885">
        <w:rPr>
          <w:lang w:eastAsia="en-GB"/>
        </w:rPr>
        <w:t>ithin</w:t>
      </w:r>
      <w:r w:rsidRPr="00CE0885">
        <w:rPr>
          <w:spacing w:val="-4"/>
          <w:lang w:eastAsia="en-GB"/>
        </w:rPr>
        <w:t xml:space="preserve"> </w:t>
      </w:r>
      <w:r w:rsidRPr="00CE0885">
        <w:rPr>
          <w:lang w:eastAsia="en-GB"/>
        </w:rPr>
        <w:t>the</w:t>
      </w:r>
      <w:r w:rsidRPr="00CE0885">
        <w:rPr>
          <w:spacing w:val="-1"/>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act</w:t>
      </w:r>
      <w:r w:rsidRPr="00CE0885">
        <w:rPr>
          <w:spacing w:val="-10"/>
          <w:lang w:eastAsia="en-GB"/>
        </w:rPr>
        <w:t xml:space="preserve"> </w:t>
      </w:r>
      <w:r w:rsidRPr="00CE0885">
        <w:rPr>
          <w:lang w:eastAsia="en-GB"/>
        </w:rPr>
        <w:t>a</w:t>
      </w:r>
      <w:r w:rsidRPr="00CE0885">
        <w:rPr>
          <w:spacing w:val="-1"/>
          <w:lang w:eastAsia="en-GB"/>
        </w:rPr>
        <w:t>r</w:t>
      </w:r>
      <w:r w:rsidRPr="00CE0885">
        <w:rPr>
          <w:lang w:eastAsia="en-GB"/>
        </w:rPr>
        <w:t xml:space="preserve">e </w:t>
      </w:r>
      <w:r w:rsidRPr="00CE0885">
        <w:rPr>
          <w:spacing w:val="-1"/>
          <w:lang w:eastAsia="en-GB"/>
        </w:rPr>
        <w:t>r</w:t>
      </w:r>
      <w:r w:rsidRPr="00CE0885">
        <w:rPr>
          <w:lang w:eastAsia="en-GB"/>
        </w:rPr>
        <w:t>obust</w:t>
      </w:r>
      <w:r w:rsidRPr="00CE0885">
        <w:rPr>
          <w:spacing w:val="-8"/>
          <w:lang w:eastAsia="en-GB"/>
        </w:rPr>
        <w:t xml:space="preserve"> </w:t>
      </w:r>
      <w:r w:rsidRPr="00CE0885">
        <w:rPr>
          <w:lang w:eastAsia="en-GB"/>
        </w:rPr>
        <w:t>and</w:t>
      </w:r>
      <w:r w:rsidRPr="00CE0885">
        <w:rPr>
          <w:spacing w:val="-5"/>
          <w:lang w:eastAsia="en-GB"/>
        </w:rPr>
        <w:t xml:space="preserve"> </w:t>
      </w:r>
      <w:r w:rsidRPr="00CE0885">
        <w:rPr>
          <w:spacing w:val="-1"/>
          <w:lang w:eastAsia="en-GB"/>
        </w:rPr>
        <w:t>m</w:t>
      </w:r>
      <w:r w:rsidRPr="00CE0885">
        <w:rPr>
          <w:lang w:eastAsia="en-GB"/>
        </w:rPr>
        <w:t>ay</w:t>
      </w:r>
      <w:r w:rsidRPr="00CE0885">
        <w:rPr>
          <w:spacing w:val="-7"/>
          <w:lang w:eastAsia="en-GB"/>
        </w:rPr>
        <w:t xml:space="preserve"> </w:t>
      </w:r>
      <w:r w:rsidRPr="00CE0885">
        <w:rPr>
          <w:lang w:eastAsia="en-GB"/>
        </w:rPr>
        <w:t>wish</w:t>
      </w:r>
      <w:r w:rsidRPr="00CE0885">
        <w:rPr>
          <w:spacing w:val="-3"/>
          <w:lang w:eastAsia="en-GB"/>
        </w:rPr>
        <w:t xml:space="preserve"> </w:t>
      </w:r>
      <w:r w:rsidRPr="00CE0885">
        <w:rPr>
          <w:lang w:eastAsia="en-GB"/>
        </w:rPr>
        <w:t>to seek</w:t>
      </w:r>
      <w:r w:rsidRPr="00CE0885">
        <w:rPr>
          <w:spacing w:val="-7"/>
          <w:lang w:eastAsia="en-GB"/>
        </w:rPr>
        <w:t xml:space="preserve"> </w:t>
      </w:r>
      <w:r w:rsidRPr="00CE0885">
        <w:rPr>
          <w:spacing w:val="-3"/>
          <w:lang w:eastAsia="en-GB"/>
        </w:rPr>
        <w:t>w</w:t>
      </w:r>
      <w:r w:rsidRPr="00CE0885">
        <w:rPr>
          <w:spacing w:val="-1"/>
          <w:lang w:eastAsia="en-GB"/>
        </w:rPr>
        <w:t>r</w:t>
      </w:r>
      <w:r w:rsidRPr="00CE0885">
        <w:rPr>
          <w:lang w:eastAsia="en-GB"/>
        </w:rPr>
        <w:t>itten</w:t>
      </w:r>
      <w:r w:rsidRPr="00CE0885">
        <w:rPr>
          <w:spacing w:val="-5"/>
          <w:lang w:eastAsia="en-GB"/>
        </w:rPr>
        <w:t xml:space="preserve"> </w:t>
      </w:r>
      <w:r w:rsidRPr="00CE0885">
        <w:rPr>
          <w:lang w:eastAsia="en-GB"/>
        </w:rPr>
        <w:t>assu</w:t>
      </w:r>
      <w:r w:rsidRPr="00CE0885">
        <w:rPr>
          <w:spacing w:val="-1"/>
          <w:lang w:eastAsia="en-GB"/>
        </w:rPr>
        <w:t>r</w:t>
      </w:r>
      <w:r w:rsidRPr="00CE0885">
        <w:rPr>
          <w:lang w:eastAsia="en-GB"/>
        </w:rPr>
        <w:t>a</w:t>
      </w:r>
      <w:r w:rsidRPr="00CE0885">
        <w:rPr>
          <w:spacing w:val="-1"/>
          <w:lang w:eastAsia="en-GB"/>
        </w:rPr>
        <w:t>n</w:t>
      </w:r>
      <w:r w:rsidRPr="00CE0885">
        <w:rPr>
          <w:lang w:eastAsia="en-GB"/>
        </w:rPr>
        <w:t>ces</w:t>
      </w:r>
      <w:r w:rsidRPr="00CE0885">
        <w:rPr>
          <w:spacing w:val="-12"/>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the</w:t>
      </w:r>
      <w:r w:rsidRPr="00CE0885">
        <w:rPr>
          <w:spacing w:val="-4"/>
          <w:lang w:eastAsia="en-GB"/>
        </w:rPr>
        <w:t xml:space="preserve"> </w:t>
      </w:r>
      <w:r w:rsidRPr="00CE0885">
        <w:rPr>
          <w:spacing w:val="-1"/>
          <w:lang w:eastAsia="en-GB"/>
        </w:rPr>
        <w:t>post-variation contractor's</w:t>
      </w:r>
      <w:r w:rsidRPr="00CE0885">
        <w:rPr>
          <w:spacing w:val="-12"/>
          <w:lang w:eastAsia="en-GB"/>
        </w:rPr>
        <w:t xml:space="preserve"> </w:t>
      </w:r>
      <w:r w:rsidRPr="00CE0885">
        <w:rPr>
          <w:lang w:eastAsia="en-GB"/>
        </w:rPr>
        <w:t>ability</w:t>
      </w:r>
      <w:r w:rsidRPr="00CE0885">
        <w:rPr>
          <w:spacing w:val="-8"/>
          <w:lang w:eastAsia="en-GB"/>
        </w:rPr>
        <w:t xml:space="preserve"> </w:t>
      </w:r>
      <w:r w:rsidRPr="00CE0885">
        <w:rPr>
          <w:lang w:eastAsia="en-GB"/>
        </w:rPr>
        <w:t>and</w:t>
      </w:r>
      <w:r w:rsidRPr="00CE0885">
        <w:rPr>
          <w:spacing w:val="-5"/>
          <w:lang w:eastAsia="en-GB"/>
        </w:rPr>
        <w:t xml:space="preserve"> </w:t>
      </w:r>
      <w:r w:rsidRPr="00CE0885">
        <w:rPr>
          <w:lang w:eastAsia="en-GB"/>
        </w:rPr>
        <w:t>capacity</w:t>
      </w:r>
      <w:r w:rsidRPr="00CE0885">
        <w:rPr>
          <w:spacing w:val="-11"/>
          <w:lang w:eastAsia="en-GB"/>
        </w:rPr>
        <w:t xml:space="preserve"> </w:t>
      </w:r>
      <w:r w:rsidRPr="00CE0885">
        <w:rPr>
          <w:lang w:eastAsia="en-GB"/>
        </w:rPr>
        <w:t>to</w:t>
      </w:r>
      <w:r w:rsidRPr="00CE0885">
        <w:rPr>
          <w:spacing w:val="-3"/>
          <w:lang w:eastAsia="en-GB"/>
        </w:rPr>
        <w:t xml:space="preserve"> </w:t>
      </w:r>
      <w:r w:rsidRPr="00CE0885">
        <w:rPr>
          <w:lang w:eastAsia="en-GB"/>
        </w:rPr>
        <w:t>fu</w:t>
      </w:r>
      <w:r w:rsidRPr="00CE0885">
        <w:rPr>
          <w:spacing w:val="-3"/>
          <w:lang w:eastAsia="en-GB"/>
        </w:rPr>
        <w:t>l</w:t>
      </w:r>
      <w:r w:rsidRPr="00CE0885">
        <w:rPr>
          <w:spacing w:val="3"/>
          <w:lang w:eastAsia="en-GB"/>
        </w:rPr>
        <w:t>f</w:t>
      </w:r>
      <w:r w:rsidRPr="00CE0885">
        <w:rPr>
          <w:lang w:eastAsia="en-GB"/>
        </w:rPr>
        <w:t>il</w:t>
      </w:r>
      <w:r w:rsidRPr="00CE0885">
        <w:rPr>
          <w:spacing w:val="-5"/>
          <w:lang w:eastAsia="en-GB"/>
        </w:rPr>
        <w:t xml:space="preserve"> </w:t>
      </w:r>
      <w:r w:rsidRPr="00CE0885">
        <w:rPr>
          <w:lang w:eastAsia="en-GB"/>
        </w:rPr>
        <w:t>the</w:t>
      </w:r>
      <w:r w:rsidRPr="00CE0885">
        <w:rPr>
          <w:spacing w:val="-4"/>
          <w:lang w:eastAsia="en-GB"/>
        </w:rPr>
        <w:t xml:space="preserve"> </w:t>
      </w:r>
      <w:r w:rsidRPr="00CE0885">
        <w:rPr>
          <w:lang w:eastAsia="en-GB"/>
        </w:rPr>
        <w:t>o</w:t>
      </w:r>
      <w:r w:rsidRPr="00CE0885">
        <w:rPr>
          <w:spacing w:val="-1"/>
          <w:lang w:eastAsia="en-GB"/>
        </w:rPr>
        <w:t>b</w:t>
      </w:r>
      <w:r w:rsidRPr="00CE0885">
        <w:rPr>
          <w:lang w:eastAsia="en-GB"/>
        </w:rPr>
        <w:t>li</w:t>
      </w:r>
      <w:r w:rsidRPr="00CE0885">
        <w:rPr>
          <w:spacing w:val="-1"/>
          <w:lang w:eastAsia="en-GB"/>
        </w:rPr>
        <w:t>g</w:t>
      </w:r>
      <w:r w:rsidRPr="00CE0885">
        <w:rPr>
          <w:lang w:eastAsia="en-GB"/>
        </w:rPr>
        <w:t>ations</w:t>
      </w:r>
      <w:r w:rsidRPr="00CE0885">
        <w:rPr>
          <w:spacing w:val="-11"/>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w:t>
      </w:r>
      <w:r w:rsidRPr="00CE0885">
        <w:rPr>
          <w:spacing w:val="-1"/>
          <w:lang w:eastAsia="en-GB"/>
        </w:rPr>
        <w:t xml:space="preserve"> </w:t>
      </w:r>
      <w:r w:rsidRPr="00CE0885">
        <w:rPr>
          <w:spacing w:val="-2"/>
          <w:lang w:eastAsia="en-GB"/>
        </w:rPr>
        <w:t>c</w:t>
      </w:r>
      <w:r w:rsidRPr="00CE0885">
        <w:rPr>
          <w:lang w:eastAsia="en-GB"/>
        </w:rPr>
        <w:t>ont</w:t>
      </w:r>
      <w:r w:rsidRPr="00CE0885">
        <w:rPr>
          <w:spacing w:val="-1"/>
          <w:lang w:eastAsia="en-GB"/>
        </w:rPr>
        <w:t>r</w:t>
      </w:r>
      <w:r w:rsidRPr="00CE0885">
        <w:rPr>
          <w:lang w:eastAsia="en-GB"/>
        </w:rPr>
        <w:t>a</w:t>
      </w:r>
      <w:r w:rsidRPr="00CE0885">
        <w:rPr>
          <w:spacing w:val="-2"/>
          <w:lang w:eastAsia="en-GB"/>
        </w:rPr>
        <w:t>c</w:t>
      </w:r>
      <w:r w:rsidRPr="00CE0885">
        <w:rPr>
          <w:lang w:eastAsia="en-GB"/>
        </w:rPr>
        <w:t>t and</w:t>
      </w:r>
      <w:r w:rsidRPr="00CE0885">
        <w:rPr>
          <w:spacing w:val="-5"/>
          <w:lang w:eastAsia="en-GB"/>
        </w:rPr>
        <w:t xml:space="preserve"> </w:t>
      </w:r>
      <w:r w:rsidRPr="00CE0885">
        <w:rPr>
          <w:lang w:eastAsia="en-GB"/>
        </w:rPr>
        <w:t>their</w:t>
      </w:r>
      <w:r w:rsidRPr="00CE0885">
        <w:rPr>
          <w:spacing w:val="-5"/>
          <w:lang w:eastAsia="en-GB"/>
        </w:rPr>
        <w:t xml:space="preserve"> </w:t>
      </w:r>
      <w:r w:rsidRPr="00CE0885">
        <w:rPr>
          <w:lang w:eastAsia="en-GB"/>
        </w:rPr>
        <w:t>p</w:t>
      </w:r>
      <w:r w:rsidRPr="00CE0885">
        <w:rPr>
          <w:spacing w:val="-1"/>
          <w:lang w:eastAsia="en-GB"/>
        </w:rPr>
        <w:t>ro</w:t>
      </w:r>
      <w:r w:rsidRPr="00CE0885">
        <w:rPr>
          <w:lang w:eastAsia="en-GB"/>
        </w:rPr>
        <w:t>po</w:t>
      </w:r>
      <w:r w:rsidRPr="00CE0885">
        <w:rPr>
          <w:spacing w:val="-2"/>
          <w:lang w:eastAsia="en-GB"/>
        </w:rPr>
        <w:t>s</w:t>
      </w:r>
      <w:r w:rsidRPr="00CE0885">
        <w:rPr>
          <w:lang w:eastAsia="en-GB"/>
        </w:rPr>
        <w:t>als</w:t>
      </w:r>
      <w:r w:rsidRPr="00CE0885">
        <w:rPr>
          <w:spacing w:val="-12"/>
          <w:lang w:eastAsia="en-GB"/>
        </w:rPr>
        <w:t xml:space="preserve"> </w:t>
      </w:r>
      <w:r w:rsidRPr="00CE0885">
        <w:rPr>
          <w:spacing w:val="3"/>
          <w:lang w:eastAsia="en-GB"/>
        </w:rPr>
        <w:t>f</w:t>
      </w:r>
      <w:r w:rsidRPr="00CE0885">
        <w:rPr>
          <w:lang w:eastAsia="en-GB"/>
        </w:rPr>
        <w:t>or</w:t>
      </w:r>
      <w:r w:rsidRPr="00CE0885">
        <w:rPr>
          <w:spacing w:val="-6"/>
          <w:lang w:eastAsia="en-GB"/>
        </w:rPr>
        <w:t xml:space="preserve"> </w:t>
      </w:r>
      <w:r w:rsidRPr="00CE0885">
        <w:rPr>
          <w:lang w:eastAsia="en-GB"/>
        </w:rPr>
        <w:t>the</w:t>
      </w:r>
      <w:r w:rsidRPr="00CE0885">
        <w:rPr>
          <w:spacing w:val="-4"/>
          <w:lang w:eastAsia="en-GB"/>
        </w:rPr>
        <w:t xml:space="preserve"> </w:t>
      </w:r>
      <w:r w:rsidRPr="00CE0885">
        <w:rPr>
          <w:lang w:eastAsia="en-GB"/>
        </w:rPr>
        <w:t>futu</w:t>
      </w:r>
      <w:r w:rsidRPr="00CE0885">
        <w:rPr>
          <w:spacing w:val="-1"/>
          <w:lang w:eastAsia="en-GB"/>
        </w:rPr>
        <w:t>r</w:t>
      </w:r>
      <w:r w:rsidRPr="00CE0885">
        <w:rPr>
          <w:lang w:eastAsia="en-GB"/>
        </w:rPr>
        <w:t>e</w:t>
      </w:r>
      <w:r w:rsidRPr="00CE0885">
        <w:rPr>
          <w:spacing w:val="-7"/>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the</w:t>
      </w:r>
      <w:r w:rsidRPr="00CE0885">
        <w:rPr>
          <w:spacing w:val="-4"/>
          <w:lang w:eastAsia="en-GB"/>
        </w:rPr>
        <w:t xml:space="preserve"> </w:t>
      </w:r>
      <w:r w:rsidRPr="00CE0885">
        <w:rPr>
          <w:lang w:eastAsia="en-GB"/>
        </w:rPr>
        <w:t>se</w:t>
      </w:r>
      <w:r w:rsidRPr="00CE0885">
        <w:rPr>
          <w:spacing w:val="-1"/>
          <w:lang w:eastAsia="en-GB"/>
        </w:rPr>
        <w:t>r</w:t>
      </w:r>
      <w:r w:rsidRPr="00CE0885">
        <w:rPr>
          <w:spacing w:val="-2"/>
          <w:lang w:eastAsia="en-GB"/>
        </w:rPr>
        <w:t>v</w:t>
      </w:r>
      <w:r w:rsidRPr="00CE0885">
        <w:rPr>
          <w:lang w:eastAsia="en-GB"/>
        </w:rPr>
        <w:t>ice</w:t>
      </w:r>
      <w:r w:rsidRPr="00CE0885">
        <w:rPr>
          <w:spacing w:val="-6"/>
          <w:lang w:eastAsia="en-GB"/>
        </w:rPr>
        <w:t>.</w:t>
      </w:r>
      <w:bookmarkEnd w:id="678"/>
      <w:bookmarkEnd w:id="679"/>
    </w:p>
    <w:p w14:paraId="479BDED5" w14:textId="02C46A1D" w:rsidR="00977693" w:rsidRPr="00CE0885" w:rsidRDefault="00977693" w:rsidP="006B781A">
      <w:pPr>
        <w:pStyle w:val="Heading3"/>
        <w:rPr>
          <w:lang w:eastAsia="en-GB"/>
        </w:rPr>
      </w:pPr>
      <w:bookmarkStart w:id="680" w:name="_Toc440981790"/>
      <w:r w:rsidRPr="00CE0885">
        <w:rPr>
          <w:lang w:eastAsia="en-GB"/>
        </w:rPr>
        <w:t>APMS or PMS contracts are not required to contain a right of termination where one of more persons have left the practice during the existence of the contract. The Commissioner should review the relevant contract to determine whether any such provisions have been included.</w:t>
      </w:r>
      <w:bookmarkEnd w:id="680"/>
      <w:r w:rsidRPr="00CE0885">
        <w:rPr>
          <w:lang w:eastAsia="en-GB"/>
        </w:rPr>
        <w:t xml:space="preserve"> </w:t>
      </w:r>
    </w:p>
    <w:p w14:paraId="41C05C62" w14:textId="77777777" w:rsidR="00977693" w:rsidRPr="00CE0885" w:rsidRDefault="00977693" w:rsidP="00977693">
      <w:pPr>
        <w:widowControl w:val="0"/>
        <w:spacing w:line="360" w:lineRule="auto"/>
        <w:ind w:left="720"/>
        <w:jc w:val="both"/>
        <w:rPr>
          <w:rFonts w:cs="Arial"/>
          <w:bCs w:val="0"/>
          <w:szCs w:val="24"/>
          <w:lang w:eastAsia="en-GB"/>
        </w:rPr>
      </w:pPr>
    </w:p>
    <w:p w14:paraId="0BA4EEA0" w14:textId="77777777" w:rsidR="00977693" w:rsidRPr="00CE0885" w:rsidRDefault="00977693" w:rsidP="00977693">
      <w:pPr>
        <w:widowControl w:val="0"/>
        <w:spacing w:line="360" w:lineRule="auto"/>
        <w:ind w:left="720"/>
        <w:jc w:val="both"/>
        <w:rPr>
          <w:rFonts w:cs="Arial"/>
          <w:bCs w:val="0"/>
          <w:szCs w:val="24"/>
          <w:lang w:eastAsia="en-GB"/>
        </w:rPr>
      </w:pPr>
      <w:r w:rsidRPr="00CE0885">
        <w:rPr>
          <w:rFonts w:cs="Arial"/>
          <w:bCs w:val="0"/>
          <w:szCs w:val="24"/>
          <w:lang w:eastAsia="en-GB"/>
        </w:rPr>
        <w:t>Changes to contracts with more than one individual – APMS contracts</w:t>
      </w:r>
    </w:p>
    <w:p w14:paraId="51632D7E" w14:textId="77777777" w:rsidR="00977693" w:rsidRPr="00CE0885" w:rsidRDefault="00977693" w:rsidP="006B781A">
      <w:pPr>
        <w:pStyle w:val="Heading3"/>
        <w:rPr>
          <w:lang w:eastAsia="en-GB"/>
        </w:rPr>
      </w:pPr>
      <w:bookmarkStart w:id="681" w:name="_Toc440981791"/>
      <w:r w:rsidRPr="00CE0885">
        <w:rPr>
          <w:lang w:eastAsia="en-GB"/>
        </w:rPr>
        <w:t>The Commissioner should consider the wording of the relevant APMS contract to determine whether there are any specific provisions relating to changes to the composition of the contractor. Where there are no such provisions, a similar process to PMS agreements could be followed.</w:t>
      </w:r>
      <w:bookmarkEnd w:id="681"/>
    </w:p>
    <w:p w14:paraId="64D50B8B" w14:textId="77777777" w:rsidR="00977693" w:rsidRPr="003F1BA7" w:rsidRDefault="00977693" w:rsidP="00A553BA"/>
    <w:p w14:paraId="5C28CC5B" w14:textId="77777777" w:rsidR="00977693" w:rsidRPr="00CE5A3A" w:rsidRDefault="00977693" w:rsidP="00CE5A3A">
      <w:pPr>
        <w:pStyle w:val="BodyText"/>
        <w:rPr>
          <w:b/>
          <w:sz w:val="24"/>
          <w:szCs w:val="24"/>
        </w:rPr>
      </w:pPr>
      <w:bookmarkStart w:id="682" w:name="_Toc440981792"/>
      <w:r w:rsidRPr="00CE5A3A">
        <w:rPr>
          <w:b/>
          <w:sz w:val="24"/>
          <w:szCs w:val="24"/>
        </w:rPr>
        <w:t>Partnership splits/members dispute – GMS and PMS</w:t>
      </w:r>
      <w:bookmarkEnd w:id="682"/>
    </w:p>
    <w:p w14:paraId="24349860" w14:textId="2E7A29BE" w:rsidR="00977693" w:rsidRPr="00CE0885" w:rsidRDefault="00977693" w:rsidP="006B781A">
      <w:pPr>
        <w:pStyle w:val="Heading3"/>
        <w:rPr>
          <w:lang w:eastAsia="en-GB"/>
        </w:rPr>
      </w:pPr>
      <w:bookmarkStart w:id="683" w:name="_Toc440981793"/>
      <w:r w:rsidRPr="00CE0885">
        <w:rPr>
          <w:lang w:eastAsia="en-GB"/>
        </w:rPr>
        <w:t xml:space="preserve">Where the contractor to a </w:t>
      </w:r>
      <w:r w:rsidRPr="00CE0885">
        <w:rPr>
          <w:spacing w:val="1"/>
          <w:lang w:eastAsia="en-GB"/>
        </w:rPr>
        <w:t>G</w:t>
      </w:r>
      <w:r w:rsidRPr="00CE0885">
        <w:rPr>
          <w:spacing w:val="-1"/>
          <w:lang w:eastAsia="en-GB"/>
        </w:rPr>
        <w:t>M</w:t>
      </w:r>
      <w:r w:rsidRPr="00CE0885">
        <w:rPr>
          <w:lang w:eastAsia="en-GB"/>
        </w:rPr>
        <w:t>S contract is a partnership and the partnership dissolves due to an internal partnership dispute, the contract</w:t>
      </w:r>
      <w:r w:rsidRPr="00CE0885">
        <w:rPr>
          <w:spacing w:val="-13"/>
          <w:lang w:eastAsia="en-GB"/>
        </w:rPr>
        <w:t xml:space="preserve"> will terminate </w:t>
      </w:r>
      <w:r w:rsidRPr="00CE0885">
        <w:rPr>
          <w:spacing w:val="1"/>
          <w:lang w:eastAsia="en-GB"/>
        </w:rPr>
        <w:t>un</w:t>
      </w:r>
      <w:r w:rsidRPr="00CE0885">
        <w:rPr>
          <w:lang w:eastAsia="en-GB"/>
        </w:rPr>
        <w:t>l</w:t>
      </w:r>
      <w:r w:rsidRPr="00CE0885">
        <w:rPr>
          <w:spacing w:val="1"/>
          <w:lang w:eastAsia="en-GB"/>
        </w:rPr>
        <w:t>e</w:t>
      </w:r>
      <w:r w:rsidRPr="00CE0885">
        <w:rPr>
          <w:lang w:eastAsia="en-GB"/>
        </w:rPr>
        <w:t>ss</w:t>
      </w:r>
      <w:r w:rsidRPr="00CE0885">
        <w:rPr>
          <w:spacing w:val="-9"/>
          <w:lang w:eastAsia="en-GB"/>
        </w:rPr>
        <w:t xml:space="preserve"> </w:t>
      </w:r>
      <w:r w:rsidRPr="00CE0885">
        <w:rPr>
          <w:spacing w:val="1"/>
          <w:lang w:eastAsia="en-GB"/>
        </w:rPr>
        <w:t>the</w:t>
      </w:r>
      <w:r w:rsidRPr="00CE0885">
        <w:rPr>
          <w:spacing w:val="-2"/>
          <w:lang w:eastAsia="en-GB"/>
        </w:rPr>
        <w:t xml:space="preserve"> </w:t>
      </w:r>
      <w:r w:rsidRPr="00CE0885">
        <w:rPr>
          <w:spacing w:val="-1"/>
          <w:lang w:eastAsia="en-GB"/>
        </w:rPr>
        <w:t>p</w:t>
      </w:r>
      <w:r w:rsidRPr="00CE0885">
        <w:rPr>
          <w:spacing w:val="1"/>
          <w:lang w:eastAsia="en-GB"/>
        </w:rPr>
        <w:t>a</w:t>
      </w:r>
      <w:r w:rsidRPr="00CE0885">
        <w:rPr>
          <w:spacing w:val="-1"/>
          <w:lang w:eastAsia="en-GB"/>
        </w:rPr>
        <w:t>r</w:t>
      </w:r>
      <w:r w:rsidRPr="00CE0885">
        <w:rPr>
          <w:spacing w:val="1"/>
          <w:lang w:eastAsia="en-GB"/>
        </w:rPr>
        <w:t>t</w:t>
      </w:r>
      <w:r w:rsidRPr="00CE0885">
        <w:rPr>
          <w:lang w:eastAsia="en-GB"/>
        </w:rPr>
        <w:t>i</w:t>
      </w:r>
      <w:r w:rsidRPr="00CE0885">
        <w:rPr>
          <w:spacing w:val="1"/>
          <w:lang w:eastAsia="en-GB"/>
        </w:rPr>
        <w:t>e</w:t>
      </w:r>
      <w:r w:rsidRPr="00CE0885">
        <w:rPr>
          <w:lang w:eastAsia="en-GB"/>
        </w:rPr>
        <w:t>s</w:t>
      </w:r>
      <w:r w:rsidRPr="00CE0885">
        <w:rPr>
          <w:spacing w:val="-7"/>
          <w:lang w:eastAsia="en-GB"/>
        </w:rPr>
        <w:t xml:space="preserve"> </w:t>
      </w:r>
      <w:r w:rsidRPr="00CE0885">
        <w:rPr>
          <w:spacing w:val="1"/>
          <w:lang w:eastAsia="en-GB"/>
        </w:rPr>
        <w:t>a</w:t>
      </w:r>
      <w:r w:rsidRPr="00CE0885">
        <w:rPr>
          <w:spacing w:val="-1"/>
          <w:lang w:eastAsia="en-GB"/>
        </w:rPr>
        <w:t>gr</w:t>
      </w:r>
      <w:r w:rsidRPr="00CE0885">
        <w:rPr>
          <w:spacing w:val="1"/>
          <w:lang w:eastAsia="en-GB"/>
        </w:rPr>
        <w:t>e</w:t>
      </w:r>
      <w:r w:rsidRPr="00CE0885">
        <w:rPr>
          <w:lang w:eastAsia="en-GB"/>
        </w:rPr>
        <w:t>e</w:t>
      </w:r>
      <w:r w:rsidRPr="00CE0885">
        <w:rPr>
          <w:spacing w:val="-7"/>
          <w:lang w:eastAsia="en-GB"/>
        </w:rPr>
        <w:t xml:space="preserve"> </w:t>
      </w:r>
      <w:r w:rsidRPr="00CE0885">
        <w:rPr>
          <w:spacing w:val="1"/>
          <w:lang w:eastAsia="en-GB"/>
        </w:rPr>
        <w:t>fo</w:t>
      </w:r>
      <w:r w:rsidRPr="00CE0885">
        <w:rPr>
          <w:lang w:eastAsia="en-GB"/>
        </w:rPr>
        <w:t>r</w:t>
      </w:r>
      <w:r w:rsidRPr="00CE0885">
        <w:rPr>
          <w:spacing w:val="-3"/>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spacing w:val="1"/>
          <w:lang w:eastAsia="en-GB"/>
        </w:rPr>
        <w:t>t</w:t>
      </w:r>
      <w:r w:rsidRPr="00CE0885">
        <w:rPr>
          <w:spacing w:val="-1"/>
          <w:lang w:eastAsia="en-GB"/>
        </w:rPr>
        <w:t>r</w:t>
      </w:r>
      <w:r w:rsidRPr="00CE0885">
        <w:rPr>
          <w:spacing w:val="1"/>
          <w:lang w:eastAsia="en-GB"/>
        </w:rPr>
        <w:t>a</w:t>
      </w:r>
      <w:r w:rsidRPr="00CE0885">
        <w:rPr>
          <w:lang w:eastAsia="en-GB"/>
        </w:rPr>
        <w:t>ct</w:t>
      </w:r>
      <w:r w:rsidRPr="00CE0885">
        <w:rPr>
          <w:spacing w:val="-8"/>
          <w:lang w:eastAsia="en-GB"/>
        </w:rPr>
        <w:t xml:space="preserve"> </w:t>
      </w:r>
      <w:r w:rsidRPr="00CE0885">
        <w:rPr>
          <w:spacing w:val="-2"/>
          <w:lang w:eastAsia="en-GB"/>
        </w:rPr>
        <w:t>t</w:t>
      </w:r>
      <w:r w:rsidRPr="00CE0885">
        <w:rPr>
          <w:lang w:eastAsia="en-GB"/>
        </w:rPr>
        <w:t>o c</w:t>
      </w:r>
      <w:r w:rsidRPr="00CE0885">
        <w:rPr>
          <w:spacing w:val="-1"/>
          <w:lang w:eastAsia="en-GB"/>
        </w:rPr>
        <w:t>o</w:t>
      </w:r>
      <w:r w:rsidRPr="00CE0885">
        <w:rPr>
          <w:spacing w:val="1"/>
          <w:lang w:eastAsia="en-GB"/>
        </w:rPr>
        <w:t>nt</w:t>
      </w:r>
      <w:r w:rsidRPr="00CE0885">
        <w:rPr>
          <w:lang w:eastAsia="en-GB"/>
        </w:rPr>
        <w:t>i</w:t>
      </w:r>
      <w:r w:rsidRPr="00CE0885">
        <w:rPr>
          <w:spacing w:val="1"/>
          <w:lang w:eastAsia="en-GB"/>
        </w:rPr>
        <w:t>n</w:t>
      </w:r>
      <w:r w:rsidRPr="00CE0885">
        <w:rPr>
          <w:spacing w:val="-1"/>
          <w:lang w:eastAsia="en-GB"/>
        </w:rPr>
        <w:t>u</w:t>
      </w:r>
      <w:r w:rsidRPr="00CE0885">
        <w:rPr>
          <w:lang w:eastAsia="en-GB"/>
        </w:rPr>
        <w:t>e</w:t>
      </w:r>
      <w:r w:rsidRPr="00CE0885">
        <w:rPr>
          <w:spacing w:val="-10"/>
          <w:lang w:eastAsia="en-GB"/>
        </w:rPr>
        <w:t xml:space="preserve"> </w:t>
      </w:r>
      <w:r w:rsidRPr="00CE0885">
        <w:rPr>
          <w:spacing w:val="-3"/>
          <w:lang w:eastAsia="en-GB"/>
        </w:rPr>
        <w:t>w</w:t>
      </w:r>
      <w:r w:rsidRPr="00CE0885">
        <w:rPr>
          <w:lang w:eastAsia="en-GB"/>
        </w:rPr>
        <w:t>i</w:t>
      </w:r>
      <w:r w:rsidRPr="00CE0885">
        <w:rPr>
          <w:spacing w:val="1"/>
          <w:lang w:eastAsia="en-GB"/>
        </w:rPr>
        <w:t>t</w:t>
      </w:r>
      <w:r w:rsidRPr="00CE0885">
        <w:rPr>
          <w:lang w:eastAsia="en-GB"/>
        </w:rPr>
        <w:t xml:space="preserve">h </w:t>
      </w:r>
      <w:r w:rsidRPr="00CE0885">
        <w:rPr>
          <w:spacing w:val="1"/>
          <w:lang w:eastAsia="en-GB"/>
        </w:rPr>
        <w:t>on</w:t>
      </w:r>
      <w:r w:rsidRPr="00CE0885">
        <w:rPr>
          <w:lang w:eastAsia="en-GB"/>
        </w:rPr>
        <w:t>e</w:t>
      </w:r>
      <w:r w:rsidRPr="00CE0885">
        <w:rPr>
          <w:spacing w:val="-5"/>
          <w:lang w:eastAsia="en-GB"/>
        </w:rPr>
        <w:t xml:space="preserve"> </w:t>
      </w:r>
      <w:r w:rsidRPr="00CE0885">
        <w:rPr>
          <w:spacing w:val="1"/>
          <w:lang w:eastAsia="en-GB"/>
        </w:rPr>
        <w:t>pa</w:t>
      </w:r>
      <w:r w:rsidRPr="00CE0885">
        <w:rPr>
          <w:spacing w:val="-1"/>
          <w:lang w:eastAsia="en-GB"/>
        </w:rPr>
        <w:t>r</w:t>
      </w:r>
      <w:r w:rsidRPr="00CE0885">
        <w:rPr>
          <w:spacing w:val="1"/>
          <w:lang w:eastAsia="en-GB"/>
        </w:rPr>
        <w:t>t</w:t>
      </w:r>
      <w:r w:rsidRPr="00CE0885">
        <w:rPr>
          <w:spacing w:val="-1"/>
          <w:lang w:eastAsia="en-GB"/>
        </w:rPr>
        <w:t>n</w:t>
      </w:r>
      <w:r w:rsidRPr="00CE0885">
        <w:rPr>
          <w:spacing w:val="1"/>
          <w:lang w:eastAsia="en-GB"/>
        </w:rPr>
        <w:t>e</w:t>
      </w:r>
      <w:r w:rsidRPr="00CE0885">
        <w:rPr>
          <w:lang w:eastAsia="en-GB"/>
        </w:rPr>
        <w:t>r</w:t>
      </w:r>
      <w:r w:rsidRPr="00CE0885">
        <w:rPr>
          <w:spacing w:val="-8"/>
          <w:lang w:eastAsia="en-GB"/>
        </w:rPr>
        <w:t xml:space="preserve"> </w:t>
      </w:r>
      <w:r w:rsidRPr="00CE0885">
        <w:rPr>
          <w:spacing w:val="-1"/>
          <w:lang w:eastAsia="en-GB"/>
        </w:rPr>
        <w:t xml:space="preserve">(see paragraph </w:t>
      </w:r>
      <w:r w:rsidRPr="00CE0885">
        <w:rPr>
          <w:lang w:eastAsia="en-GB"/>
        </w:rPr>
        <w:fldChar w:fldCharType="begin"/>
      </w:r>
      <w:r w:rsidRPr="00CE0885">
        <w:rPr>
          <w:spacing w:val="-1"/>
          <w:lang w:eastAsia="en-GB"/>
        </w:rPr>
        <w:instrText xml:space="preserve"> REF _Ref410414102 \r \h </w:instrText>
      </w:r>
      <w:r w:rsidRPr="00CE0885">
        <w:rPr>
          <w:lang w:eastAsia="en-GB"/>
        </w:rPr>
        <w:instrText xml:space="preserve"> \* MERGEFORMAT </w:instrText>
      </w:r>
      <w:r w:rsidRPr="00CE0885">
        <w:rPr>
          <w:lang w:eastAsia="en-GB"/>
        </w:rPr>
      </w:r>
      <w:r w:rsidRPr="00CE0885">
        <w:rPr>
          <w:lang w:eastAsia="en-GB"/>
        </w:rPr>
        <w:fldChar w:fldCharType="separate"/>
      </w:r>
      <w:r w:rsidR="00054166">
        <w:rPr>
          <w:spacing w:val="-1"/>
          <w:lang w:eastAsia="en-GB"/>
        </w:rPr>
        <w:t>7.5.22</w:t>
      </w:r>
      <w:r w:rsidRPr="00CE0885">
        <w:rPr>
          <w:lang w:eastAsia="en-GB"/>
        </w:rPr>
        <w:fldChar w:fldCharType="end"/>
      </w:r>
      <w:r w:rsidRPr="00CE0885">
        <w:rPr>
          <w:lang w:eastAsia="en-GB"/>
        </w:rPr>
        <w:t xml:space="preserve"> </w:t>
      </w:r>
      <w:r w:rsidRPr="00CE0885">
        <w:rPr>
          <w:spacing w:val="-1"/>
          <w:lang w:eastAsia="en-GB"/>
        </w:rPr>
        <w:t>o</w:t>
      </w:r>
      <w:r w:rsidRPr="00CE0885">
        <w:rPr>
          <w:lang w:eastAsia="en-GB"/>
        </w:rPr>
        <w:t>f</w:t>
      </w:r>
      <w:r w:rsidRPr="00CE0885">
        <w:rPr>
          <w:spacing w:val="1"/>
          <w:lang w:eastAsia="en-GB"/>
        </w:rPr>
        <w:t xml:space="preserve"> th</w:t>
      </w:r>
      <w:r w:rsidRPr="00CE0885">
        <w:rPr>
          <w:lang w:eastAsia="en-GB"/>
        </w:rPr>
        <w:t>is policy</w:t>
      </w:r>
      <w:r w:rsidRPr="00CE0885">
        <w:rPr>
          <w:spacing w:val="-1"/>
          <w:lang w:eastAsia="en-GB"/>
        </w:rPr>
        <w:t>)</w:t>
      </w:r>
      <w:r w:rsidRPr="00CE0885">
        <w:rPr>
          <w:lang w:eastAsia="en-GB"/>
        </w:rPr>
        <w:t>. The Commissioner may have little time to make arrangements to ensure service continuity.</w:t>
      </w:r>
      <w:bookmarkEnd w:id="683"/>
      <w:r w:rsidRPr="00CE0885">
        <w:rPr>
          <w:lang w:eastAsia="en-GB"/>
        </w:rPr>
        <w:t xml:space="preserve"> </w:t>
      </w:r>
    </w:p>
    <w:p w14:paraId="10C66223" w14:textId="15988EBC" w:rsidR="00977693" w:rsidRPr="00CE0885" w:rsidRDefault="00977693" w:rsidP="006B781A">
      <w:pPr>
        <w:pStyle w:val="Heading3"/>
        <w:rPr>
          <w:lang w:eastAsia="en-GB"/>
        </w:rPr>
      </w:pPr>
      <w:bookmarkStart w:id="684" w:name="_Toc440981794"/>
      <w:r w:rsidRPr="00CE0885">
        <w:rPr>
          <w:lang w:eastAsia="en-GB"/>
        </w:rPr>
        <w:t>It is,</w:t>
      </w:r>
      <w:r w:rsidRPr="00CE0885">
        <w:rPr>
          <w:spacing w:val="-1"/>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re</w:t>
      </w:r>
      <w:r w:rsidRPr="00CE0885">
        <w:rPr>
          <w:spacing w:val="3"/>
          <w:lang w:eastAsia="en-GB"/>
        </w:rPr>
        <w:t>f</w:t>
      </w:r>
      <w:r w:rsidRPr="00CE0885">
        <w:rPr>
          <w:lang w:eastAsia="en-GB"/>
        </w:rPr>
        <w:t>o</w:t>
      </w:r>
      <w:r w:rsidRPr="00CE0885">
        <w:rPr>
          <w:spacing w:val="-3"/>
          <w:lang w:eastAsia="en-GB"/>
        </w:rPr>
        <w:t>r</w:t>
      </w:r>
      <w:r w:rsidRPr="00CE0885">
        <w:rPr>
          <w:lang w:eastAsia="en-GB"/>
        </w:rPr>
        <w:t>e,</w:t>
      </w:r>
      <w:r w:rsidRPr="00CE0885">
        <w:rPr>
          <w:spacing w:val="-9"/>
          <w:lang w:eastAsia="en-GB"/>
        </w:rPr>
        <w:t xml:space="preserve"> </w:t>
      </w:r>
      <w:r w:rsidRPr="00CE0885">
        <w:rPr>
          <w:spacing w:val="-1"/>
          <w:lang w:eastAsia="en-GB"/>
        </w:rPr>
        <w:t>d</w:t>
      </w:r>
      <w:r w:rsidRPr="00CE0885">
        <w:rPr>
          <w:lang w:eastAsia="en-GB"/>
        </w:rPr>
        <w:t>esi</w:t>
      </w:r>
      <w:r w:rsidRPr="00CE0885">
        <w:rPr>
          <w:spacing w:val="-1"/>
          <w:lang w:eastAsia="en-GB"/>
        </w:rPr>
        <w:t>r</w:t>
      </w:r>
      <w:r w:rsidRPr="00CE0885">
        <w:rPr>
          <w:lang w:eastAsia="en-GB"/>
        </w:rPr>
        <w:t>ab</w:t>
      </w:r>
      <w:r w:rsidRPr="00CE0885">
        <w:rPr>
          <w:spacing w:val="-3"/>
          <w:lang w:eastAsia="en-GB"/>
        </w:rPr>
        <w:t>l</w:t>
      </w:r>
      <w:r w:rsidRPr="00CE0885">
        <w:rPr>
          <w:lang w:eastAsia="en-GB"/>
        </w:rPr>
        <w:t>e</w:t>
      </w:r>
      <w:r w:rsidRPr="00CE0885">
        <w:rPr>
          <w:spacing w:val="-8"/>
          <w:lang w:eastAsia="en-GB"/>
        </w:rPr>
        <w:t xml:space="preserve"> </w:t>
      </w:r>
      <w:r w:rsidRPr="00CE0885">
        <w:rPr>
          <w:lang w:eastAsia="en-GB"/>
        </w:rPr>
        <w:t>t</w:t>
      </w:r>
      <w:r w:rsidRPr="00CE0885">
        <w:rPr>
          <w:spacing w:val="-1"/>
          <w:lang w:eastAsia="en-GB"/>
        </w:rPr>
        <w:t>h</w:t>
      </w:r>
      <w:r w:rsidRPr="00CE0885">
        <w:rPr>
          <w:lang w:eastAsia="en-GB"/>
        </w:rPr>
        <w:t>at</w:t>
      </w:r>
      <w:r w:rsidRPr="00CE0885">
        <w:rPr>
          <w:spacing w:val="-3"/>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pa</w:t>
      </w:r>
      <w:r w:rsidRPr="00CE0885">
        <w:rPr>
          <w:spacing w:val="-1"/>
          <w:lang w:eastAsia="en-GB"/>
        </w:rPr>
        <w:t>r</w:t>
      </w:r>
      <w:r w:rsidRPr="00CE0885">
        <w:rPr>
          <w:lang w:eastAsia="en-GB"/>
        </w:rPr>
        <w:t>t</w:t>
      </w:r>
      <w:r w:rsidRPr="00CE0885">
        <w:rPr>
          <w:spacing w:val="-1"/>
          <w:lang w:eastAsia="en-GB"/>
        </w:rPr>
        <w:t>n</w:t>
      </w:r>
      <w:r w:rsidRPr="00CE0885">
        <w:rPr>
          <w:lang w:eastAsia="en-GB"/>
        </w:rPr>
        <w:t>e</w:t>
      </w:r>
      <w:r w:rsidRPr="00CE0885">
        <w:rPr>
          <w:spacing w:val="-1"/>
          <w:lang w:eastAsia="en-GB"/>
        </w:rPr>
        <w:t>r</w:t>
      </w:r>
      <w:r w:rsidRPr="00CE0885">
        <w:rPr>
          <w:lang w:eastAsia="en-GB"/>
        </w:rPr>
        <w:t>s</w:t>
      </w:r>
      <w:r w:rsidRPr="00CE0885">
        <w:rPr>
          <w:spacing w:val="-9"/>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a</w:t>
      </w:r>
      <w:r w:rsidRPr="00CE0885">
        <w:rPr>
          <w:spacing w:val="-2"/>
          <w:lang w:eastAsia="en-GB"/>
        </w:rPr>
        <w:t xml:space="preserve"> </w:t>
      </w:r>
      <w:r w:rsidRPr="00CE0885">
        <w:rPr>
          <w:lang w:eastAsia="en-GB"/>
        </w:rPr>
        <w:t>G</w:t>
      </w:r>
      <w:r w:rsidRPr="00CE0885">
        <w:rPr>
          <w:spacing w:val="-1"/>
          <w:lang w:eastAsia="en-GB"/>
        </w:rPr>
        <w:t>M</w:t>
      </w:r>
      <w:r w:rsidRPr="00CE0885">
        <w:rPr>
          <w:lang w:eastAsia="en-GB"/>
        </w:rPr>
        <w:t>S</w:t>
      </w:r>
      <w:r w:rsidRPr="00CE0885">
        <w:rPr>
          <w:spacing w:val="-4"/>
          <w:lang w:eastAsia="en-GB"/>
        </w:rPr>
        <w:t xml:space="preserve"> </w:t>
      </w:r>
      <w:r w:rsidRPr="00CE0885">
        <w:rPr>
          <w:lang w:eastAsia="en-GB"/>
        </w:rPr>
        <w:t>co</w:t>
      </w:r>
      <w:r w:rsidRPr="00CE0885">
        <w:rPr>
          <w:spacing w:val="-1"/>
          <w:lang w:eastAsia="en-GB"/>
        </w:rPr>
        <w:t>n</w:t>
      </w:r>
      <w:r w:rsidRPr="00CE0885">
        <w:rPr>
          <w:lang w:eastAsia="en-GB"/>
        </w:rPr>
        <w:t>t</w:t>
      </w:r>
      <w:r w:rsidRPr="00CE0885">
        <w:rPr>
          <w:spacing w:val="-1"/>
          <w:lang w:eastAsia="en-GB"/>
        </w:rPr>
        <w:t>r</w:t>
      </w:r>
      <w:r w:rsidRPr="00CE0885">
        <w:rPr>
          <w:lang w:eastAsia="en-GB"/>
        </w:rPr>
        <w:t>act</w:t>
      </w:r>
      <w:r w:rsidRPr="00CE0885">
        <w:rPr>
          <w:spacing w:val="-8"/>
          <w:lang w:eastAsia="en-GB"/>
        </w:rPr>
        <w:t xml:space="preserve"> </w:t>
      </w:r>
      <w:r w:rsidRPr="00CE0885">
        <w:rPr>
          <w:lang w:eastAsia="en-GB"/>
        </w:rPr>
        <w:t>a</w:t>
      </w:r>
      <w:r w:rsidRPr="00CE0885">
        <w:rPr>
          <w:spacing w:val="-1"/>
          <w:lang w:eastAsia="en-GB"/>
        </w:rPr>
        <w:t>r</w:t>
      </w:r>
      <w:r w:rsidRPr="00CE0885">
        <w:rPr>
          <w:lang w:eastAsia="en-GB"/>
        </w:rPr>
        <w:t>e</w:t>
      </w:r>
      <w:r w:rsidRPr="00CE0885">
        <w:rPr>
          <w:spacing w:val="-4"/>
          <w:lang w:eastAsia="en-GB"/>
        </w:rPr>
        <w:t xml:space="preserve"> </w:t>
      </w:r>
      <w:r w:rsidRPr="00CE0885">
        <w:rPr>
          <w:lang w:eastAsia="en-GB"/>
        </w:rPr>
        <w:t xml:space="preserve">able </w:t>
      </w:r>
      <w:r w:rsidRPr="00CE0885">
        <w:rPr>
          <w:spacing w:val="-2"/>
          <w:lang w:eastAsia="en-GB"/>
        </w:rPr>
        <w:t>t</w:t>
      </w:r>
      <w:r w:rsidRPr="00CE0885">
        <w:rPr>
          <w:lang w:eastAsia="en-GB"/>
        </w:rPr>
        <w:t xml:space="preserve">o </w:t>
      </w:r>
      <w:r w:rsidRPr="00CE0885">
        <w:rPr>
          <w:spacing w:val="-1"/>
          <w:lang w:eastAsia="en-GB"/>
        </w:rPr>
        <w:t>r</w:t>
      </w:r>
      <w:r w:rsidRPr="00CE0885">
        <w:rPr>
          <w:lang w:eastAsia="en-GB"/>
        </w:rPr>
        <w:t>esol</w:t>
      </w:r>
      <w:r w:rsidRPr="00CE0885">
        <w:rPr>
          <w:spacing w:val="-2"/>
          <w:lang w:eastAsia="en-GB"/>
        </w:rPr>
        <w:t>v</w:t>
      </w:r>
      <w:r w:rsidRPr="00CE0885">
        <w:rPr>
          <w:lang w:eastAsia="en-GB"/>
        </w:rPr>
        <w:t>e disp</w:t>
      </w:r>
      <w:r w:rsidRPr="00CE0885">
        <w:rPr>
          <w:spacing w:val="-1"/>
          <w:lang w:eastAsia="en-GB"/>
        </w:rPr>
        <w:t>u</w:t>
      </w:r>
      <w:r w:rsidRPr="00CE0885">
        <w:rPr>
          <w:lang w:eastAsia="en-GB"/>
        </w:rPr>
        <w:t>tes inte</w:t>
      </w:r>
      <w:r w:rsidRPr="00CE0885">
        <w:rPr>
          <w:spacing w:val="-1"/>
          <w:lang w:eastAsia="en-GB"/>
        </w:rPr>
        <w:t>r</w:t>
      </w:r>
      <w:r w:rsidRPr="00CE0885">
        <w:rPr>
          <w:lang w:eastAsia="en-GB"/>
        </w:rPr>
        <w:t>nall</w:t>
      </w:r>
      <w:r w:rsidRPr="00CE0885">
        <w:rPr>
          <w:spacing w:val="-2"/>
          <w:lang w:eastAsia="en-GB"/>
        </w:rPr>
        <w:t>y</w:t>
      </w:r>
      <w:r w:rsidRPr="00CE0885">
        <w:rPr>
          <w:spacing w:val="-9"/>
          <w:lang w:eastAsia="en-GB"/>
        </w:rPr>
        <w:t xml:space="preserve"> </w:t>
      </w:r>
      <w:r w:rsidRPr="00CE0885">
        <w:rPr>
          <w:spacing w:val="-3"/>
          <w:lang w:eastAsia="en-GB"/>
        </w:rPr>
        <w:t>w</w:t>
      </w:r>
      <w:r w:rsidRPr="00CE0885">
        <w:rPr>
          <w:lang w:eastAsia="en-GB"/>
        </w:rPr>
        <w:t>he</w:t>
      </w:r>
      <w:r w:rsidRPr="00CE0885">
        <w:rPr>
          <w:spacing w:val="-1"/>
          <w:lang w:eastAsia="en-GB"/>
        </w:rPr>
        <w:t>r</w:t>
      </w:r>
      <w:r w:rsidRPr="00CE0885">
        <w:rPr>
          <w:lang w:eastAsia="en-GB"/>
        </w:rPr>
        <w:t>e</w:t>
      </w:r>
      <w:r w:rsidRPr="00CE0885">
        <w:rPr>
          <w:spacing w:val="-5"/>
          <w:lang w:eastAsia="en-GB"/>
        </w:rPr>
        <w:t xml:space="preserve"> </w:t>
      </w:r>
      <w:r w:rsidRPr="00CE0885">
        <w:rPr>
          <w:lang w:eastAsia="en-GB"/>
        </w:rPr>
        <w:t>poss</w:t>
      </w:r>
      <w:r w:rsidRPr="00CE0885">
        <w:rPr>
          <w:spacing w:val="-3"/>
          <w:lang w:eastAsia="en-GB"/>
        </w:rPr>
        <w:t>i</w:t>
      </w:r>
      <w:r w:rsidRPr="00CE0885">
        <w:rPr>
          <w:lang w:eastAsia="en-GB"/>
        </w:rPr>
        <w:t>ble,</w:t>
      </w:r>
      <w:r w:rsidRPr="00CE0885">
        <w:rPr>
          <w:spacing w:val="-8"/>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the</w:t>
      </w:r>
      <w:r w:rsidRPr="00CE0885">
        <w:rPr>
          <w:spacing w:val="-4"/>
          <w:lang w:eastAsia="en-GB"/>
        </w:rPr>
        <w:t xml:space="preserve"> </w:t>
      </w:r>
      <w:r w:rsidRPr="00CE0885">
        <w:rPr>
          <w:lang w:eastAsia="en-GB"/>
        </w:rPr>
        <w:t>su</w:t>
      </w:r>
      <w:r w:rsidRPr="00CE0885">
        <w:rPr>
          <w:spacing w:val="-1"/>
          <w:lang w:eastAsia="en-GB"/>
        </w:rPr>
        <w:t>p</w:t>
      </w:r>
      <w:r w:rsidRPr="00CE0885">
        <w:rPr>
          <w:lang w:eastAsia="en-GB"/>
        </w:rPr>
        <w:t>po</w:t>
      </w:r>
      <w:r w:rsidRPr="00CE0885">
        <w:rPr>
          <w:spacing w:val="-1"/>
          <w:lang w:eastAsia="en-GB"/>
        </w:rPr>
        <w:t>r</w:t>
      </w:r>
      <w:r w:rsidRPr="00CE0885">
        <w:rPr>
          <w:lang w:eastAsia="en-GB"/>
        </w:rPr>
        <w:t>t</w:t>
      </w:r>
      <w:r w:rsidRPr="00CE0885">
        <w:rPr>
          <w:spacing w:val="-9"/>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the</w:t>
      </w:r>
      <w:r w:rsidRPr="00CE0885">
        <w:rPr>
          <w:spacing w:val="-4"/>
          <w:lang w:eastAsia="en-GB"/>
        </w:rPr>
        <w:t xml:space="preserve"> </w:t>
      </w:r>
      <w:r w:rsidRPr="00CE0885">
        <w:rPr>
          <w:lang w:eastAsia="en-GB"/>
        </w:rPr>
        <w:t>LMC</w:t>
      </w:r>
      <w:r w:rsidRPr="00CE0885">
        <w:rPr>
          <w:spacing w:val="-10"/>
          <w:lang w:eastAsia="en-GB"/>
        </w:rPr>
        <w:t xml:space="preserve"> </w:t>
      </w:r>
      <w:r w:rsidRPr="00CE0885">
        <w:rPr>
          <w:lang w:eastAsia="en-GB"/>
        </w:rPr>
        <w:t>a</w:t>
      </w:r>
      <w:r w:rsidRPr="00CE0885">
        <w:rPr>
          <w:spacing w:val="-1"/>
          <w:lang w:eastAsia="en-GB"/>
        </w:rPr>
        <w:t>n</w:t>
      </w:r>
      <w:r w:rsidRPr="00CE0885">
        <w:rPr>
          <w:lang w:eastAsia="en-GB"/>
        </w:rPr>
        <w:t>d/or</w:t>
      </w:r>
      <w:r w:rsidRPr="00CE0885">
        <w:rPr>
          <w:spacing w:val="-10"/>
          <w:lang w:eastAsia="en-GB"/>
        </w:rPr>
        <w:t xml:space="preserve"> </w:t>
      </w:r>
      <w:r w:rsidRPr="00CE0885">
        <w:rPr>
          <w:spacing w:val="2"/>
          <w:lang w:eastAsia="en-GB"/>
        </w:rPr>
        <w:t>m</w:t>
      </w:r>
      <w:r w:rsidRPr="00CE0885">
        <w:rPr>
          <w:spacing w:val="-1"/>
          <w:lang w:eastAsia="en-GB"/>
        </w:rPr>
        <w:t>ed</w:t>
      </w:r>
      <w:r w:rsidRPr="00CE0885">
        <w:rPr>
          <w:lang w:eastAsia="en-GB"/>
        </w:rPr>
        <w:t>iation</w:t>
      </w:r>
      <w:r w:rsidRPr="00CE0885">
        <w:rPr>
          <w:spacing w:val="-8"/>
          <w:lang w:eastAsia="en-GB"/>
        </w:rPr>
        <w:t xml:space="preserve"> </w:t>
      </w:r>
      <w:r w:rsidRPr="00CE0885">
        <w:rPr>
          <w:spacing w:val="-2"/>
          <w:lang w:eastAsia="en-GB"/>
        </w:rPr>
        <w:t>s</w:t>
      </w:r>
      <w:r w:rsidRPr="00CE0885">
        <w:rPr>
          <w:lang w:eastAsia="en-GB"/>
        </w:rPr>
        <w:t>e</w:t>
      </w:r>
      <w:r w:rsidRPr="00CE0885">
        <w:rPr>
          <w:spacing w:val="-1"/>
          <w:lang w:eastAsia="en-GB"/>
        </w:rPr>
        <w:t>r</w:t>
      </w:r>
      <w:r w:rsidRPr="00CE0885">
        <w:rPr>
          <w:spacing w:val="-2"/>
          <w:lang w:eastAsia="en-GB"/>
        </w:rPr>
        <w:t>v</w:t>
      </w:r>
      <w:r w:rsidRPr="00CE0885">
        <w:rPr>
          <w:lang w:eastAsia="en-GB"/>
        </w:rPr>
        <w:t>ices.</w:t>
      </w:r>
      <w:bookmarkEnd w:id="684"/>
    </w:p>
    <w:p w14:paraId="25AF823A" w14:textId="6DFF8B15" w:rsidR="00977693" w:rsidRPr="00CE0885" w:rsidRDefault="00977693" w:rsidP="006B781A">
      <w:pPr>
        <w:pStyle w:val="Heading3"/>
        <w:rPr>
          <w:lang w:eastAsia="en-GB"/>
        </w:rPr>
      </w:pPr>
      <w:bookmarkStart w:id="685" w:name="_Toc440981795"/>
      <w:r w:rsidRPr="00CE0885">
        <w:rPr>
          <w:lang w:eastAsia="en-GB"/>
        </w:rPr>
        <w:t>If the partnership holding a GMS contract does not dissolve or terminate but the partnership no longer wishes to be a party to the contract, then the contractor will need to terminate on notice, which must not be less than six months unless agreed by the Commissioner. Failu</w:t>
      </w:r>
      <w:r w:rsidRPr="00CE0885">
        <w:rPr>
          <w:spacing w:val="-1"/>
          <w:lang w:eastAsia="en-GB"/>
        </w:rPr>
        <w:t>r</w:t>
      </w:r>
      <w:r w:rsidRPr="00CE0885">
        <w:rPr>
          <w:lang w:eastAsia="en-GB"/>
        </w:rPr>
        <w:t>e</w:t>
      </w:r>
      <w:r w:rsidRPr="00CE0885">
        <w:rPr>
          <w:spacing w:val="-5"/>
          <w:lang w:eastAsia="en-GB"/>
        </w:rPr>
        <w:t xml:space="preserve"> </w:t>
      </w:r>
      <w:r w:rsidRPr="00CE0885">
        <w:rPr>
          <w:lang w:eastAsia="en-GB"/>
        </w:rPr>
        <w:t xml:space="preserve">to </w:t>
      </w:r>
      <w:r w:rsidRPr="00CE0885">
        <w:rPr>
          <w:spacing w:val="-1"/>
          <w:lang w:eastAsia="en-GB"/>
        </w:rPr>
        <w:t>g</w:t>
      </w:r>
      <w:r w:rsidRPr="00CE0885">
        <w:rPr>
          <w:lang w:eastAsia="en-GB"/>
        </w:rPr>
        <w:t>i</w:t>
      </w:r>
      <w:r w:rsidRPr="00CE0885">
        <w:rPr>
          <w:spacing w:val="-2"/>
          <w:lang w:eastAsia="en-GB"/>
        </w:rPr>
        <w:t>v</w:t>
      </w:r>
      <w:r w:rsidRPr="00CE0885">
        <w:rPr>
          <w:lang w:eastAsia="en-GB"/>
        </w:rPr>
        <w:t>e</w:t>
      </w:r>
      <w:r w:rsidRPr="00CE0885">
        <w:rPr>
          <w:spacing w:val="-2"/>
          <w:lang w:eastAsia="en-GB"/>
        </w:rPr>
        <w:t xml:space="preserve"> </w:t>
      </w:r>
      <w:r w:rsidRPr="00CE0885">
        <w:rPr>
          <w:lang w:eastAsia="en-GB"/>
        </w:rPr>
        <w:t>six</w:t>
      </w:r>
      <w:r w:rsidRPr="00CE0885">
        <w:rPr>
          <w:spacing w:val="-5"/>
          <w:lang w:eastAsia="en-GB"/>
        </w:rPr>
        <w:t xml:space="preserve"> </w:t>
      </w:r>
      <w:r w:rsidRPr="00CE0885">
        <w:rPr>
          <w:spacing w:val="2"/>
          <w:lang w:eastAsia="en-GB"/>
        </w:rPr>
        <w:t>m</w:t>
      </w:r>
      <w:r w:rsidRPr="00CE0885">
        <w:rPr>
          <w:lang w:eastAsia="en-GB"/>
        </w:rPr>
        <w:t>o</w:t>
      </w:r>
      <w:r w:rsidRPr="00CE0885">
        <w:rPr>
          <w:spacing w:val="-1"/>
          <w:lang w:eastAsia="en-GB"/>
        </w:rPr>
        <w:t>n</w:t>
      </w:r>
      <w:r w:rsidRPr="00CE0885">
        <w:rPr>
          <w:lang w:eastAsia="en-GB"/>
        </w:rPr>
        <w:t>ths’</w:t>
      </w:r>
      <w:r w:rsidRPr="00CE0885">
        <w:rPr>
          <w:spacing w:val="-8"/>
          <w:lang w:eastAsia="en-GB"/>
        </w:rPr>
        <w:t xml:space="preserve"> </w:t>
      </w:r>
      <w:r w:rsidRPr="00CE0885">
        <w:rPr>
          <w:lang w:eastAsia="en-GB"/>
        </w:rPr>
        <w:t>n</w:t>
      </w:r>
      <w:r w:rsidRPr="00CE0885">
        <w:rPr>
          <w:spacing w:val="-1"/>
          <w:lang w:eastAsia="en-GB"/>
        </w:rPr>
        <w:t>o</w:t>
      </w:r>
      <w:r w:rsidRPr="00CE0885">
        <w:rPr>
          <w:lang w:eastAsia="en-GB"/>
        </w:rPr>
        <w:t>tice</w:t>
      </w:r>
      <w:r w:rsidRPr="00CE0885">
        <w:rPr>
          <w:spacing w:val="-4"/>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te</w:t>
      </w:r>
      <w:r w:rsidRPr="00CE0885">
        <w:rPr>
          <w:spacing w:val="-3"/>
          <w:lang w:eastAsia="en-GB"/>
        </w:rPr>
        <w:t>r</w:t>
      </w:r>
      <w:r w:rsidRPr="00CE0885">
        <w:rPr>
          <w:spacing w:val="2"/>
          <w:lang w:eastAsia="en-GB"/>
        </w:rPr>
        <w:t>m</w:t>
      </w:r>
      <w:r w:rsidRPr="00CE0885">
        <w:rPr>
          <w:lang w:eastAsia="en-GB"/>
        </w:rPr>
        <w:t>inat</w:t>
      </w:r>
      <w:r w:rsidRPr="00CE0885">
        <w:rPr>
          <w:spacing w:val="-3"/>
          <w:lang w:eastAsia="en-GB"/>
        </w:rPr>
        <w:t>i</w:t>
      </w:r>
      <w:r w:rsidRPr="00CE0885">
        <w:rPr>
          <w:lang w:eastAsia="en-GB"/>
        </w:rPr>
        <w:t>on</w:t>
      </w:r>
      <w:r w:rsidRPr="00CE0885">
        <w:rPr>
          <w:spacing w:val="-10"/>
          <w:lang w:eastAsia="en-GB"/>
        </w:rPr>
        <w:t xml:space="preserve"> </w:t>
      </w:r>
      <w:r w:rsidRPr="00CE0885">
        <w:rPr>
          <w:lang w:eastAsia="en-GB"/>
        </w:rPr>
        <w:t>is</w:t>
      </w:r>
      <w:r w:rsidRPr="00CE0885">
        <w:rPr>
          <w:spacing w:val="-2"/>
          <w:lang w:eastAsia="en-GB"/>
        </w:rPr>
        <w:t xml:space="preserve"> </w:t>
      </w:r>
      <w:r w:rsidRPr="00CE0885">
        <w:rPr>
          <w:lang w:eastAsia="en-GB"/>
        </w:rPr>
        <w:t>a</w:t>
      </w:r>
      <w:r w:rsidRPr="00CE0885">
        <w:rPr>
          <w:spacing w:val="-2"/>
          <w:lang w:eastAsia="en-GB"/>
        </w:rPr>
        <w:t xml:space="preserve"> </w:t>
      </w:r>
      <w:r w:rsidRPr="00CE0885">
        <w:rPr>
          <w:lang w:eastAsia="en-GB"/>
        </w:rPr>
        <w:t>b</w:t>
      </w:r>
      <w:r w:rsidRPr="00CE0885">
        <w:rPr>
          <w:spacing w:val="-1"/>
          <w:lang w:eastAsia="en-GB"/>
        </w:rPr>
        <w:t>r</w:t>
      </w:r>
      <w:r w:rsidRPr="00CE0885">
        <w:rPr>
          <w:lang w:eastAsia="en-GB"/>
        </w:rPr>
        <w:t>ea</w:t>
      </w:r>
      <w:r w:rsidRPr="00CE0885">
        <w:rPr>
          <w:spacing w:val="-2"/>
          <w:lang w:eastAsia="en-GB"/>
        </w:rPr>
        <w:t>c</w:t>
      </w:r>
      <w:r w:rsidRPr="00CE0885">
        <w:rPr>
          <w:lang w:eastAsia="en-GB"/>
        </w:rPr>
        <w:t>h</w:t>
      </w:r>
      <w:r w:rsidRPr="00CE0885">
        <w:rPr>
          <w:spacing w:val="-5"/>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act and</w:t>
      </w:r>
      <w:r w:rsidRPr="00CE0885">
        <w:rPr>
          <w:spacing w:val="-5"/>
          <w:lang w:eastAsia="en-GB"/>
        </w:rPr>
        <w:t xml:space="preserve"> </w:t>
      </w:r>
      <w:r w:rsidRPr="00CE0885">
        <w:rPr>
          <w:lang w:eastAsia="en-GB"/>
        </w:rPr>
        <w:t>the</w:t>
      </w:r>
      <w:r w:rsidRPr="00CE0885">
        <w:rPr>
          <w:spacing w:val="-4"/>
          <w:lang w:eastAsia="en-GB"/>
        </w:rPr>
        <w:t xml:space="preserve"> </w:t>
      </w:r>
      <w:r w:rsidRPr="00CE0885">
        <w:rPr>
          <w:lang w:eastAsia="en-GB"/>
        </w:rPr>
        <w:t>a</w:t>
      </w:r>
      <w:r w:rsidRPr="00CE0885">
        <w:rPr>
          <w:spacing w:val="-1"/>
          <w:lang w:eastAsia="en-GB"/>
        </w:rPr>
        <w:t>p</w:t>
      </w:r>
      <w:r w:rsidRPr="00CE0885">
        <w:rPr>
          <w:lang w:eastAsia="en-GB"/>
        </w:rPr>
        <w:t>p</w:t>
      </w:r>
      <w:r w:rsidRPr="00CE0885">
        <w:rPr>
          <w:spacing w:val="-1"/>
          <w:lang w:eastAsia="en-GB"/>
        </w:rPr>
        <w:t>r</w:t>
      </w:r>
      <w:r w:rsidRPr="00CE0885">
        <w:rPr>
          <w:lang w:eastAsia="en-GB"/>
        </w:rPr>
        <w:t>op</w:t>
      </w:r>
      <w:r w:rsidRPr="00CE0885">
        <w:rPr>
          <w:spacing w:val="-1"/>
          <w:lang w:eastAsia="en-GB"/>
        </w:rPr>
        <w:t>r</w:t>
      </w:r>
      <w:r w:rsidRPr="00CE0885">
        <w:rPr>
          <w:lang w:eastAsia="en-GB"/>
        </w:rPr>
        <w:t>ia</w:t>
      </w:r>
      <w:r w:rsidRPr="00CE0885">
        <w:rPr>
          <w:spacing w:val="-2"/>
          <w:lang w:eastAsia="en-GB"/>
        </w:rPr>
        <w:t>t</w:t>
      </w:r>
      <w:r w:rsidRPr="00CE0885">
        <w:rPr>
          <w:lang w:eastAsia="en-GB"/>
        </w:rPr>
        <w:t>e</w:t>
      </w:r>
      <w:r w:rsidRPr="00CE0885">
        <w:rPr>
          <w:spacing w:val="-10"/>
          <w:lang w:eastAsia="en-GB"/>
        </w:rPr>
        <w:t xml:space="preserve"> </w:t>
      </w:r>
      <w:r w:rsidRPr="00CE0885">
        <w:rPr>
          <w:lang w:eastAsia="en-GB"/>
        </w:rPr>
        <w:t>a</w:t>
      </w:r>
      <w:r w:rsidRPr="00CE0885">
        <w:rPr>
          <w:spacing w:val="-2"/>
          <w:lang w:eastAsia="en-GB"/>
        </w:rPr>
        <w:t>c</w:t>
      </w:r>
      <w:r w:rsidRPr="00CE0885">
        <w:rPr>
          <w:lang w:eastAsia="en-GB"/>
        </w:rPr>
        <w:t>tion</w:t>
      </w:r>
      <w:r w:rsidRPr="00CE0885">
        <w:rPr>
          <w:spacing w:val="-4"/>
          <w:lang w:eastAsia="en-GB"/>
        </w:rPr>
        <w:t xml:space="preserve"> </w:t>
      </w:r>
      <w:r w:rsidRPr="00CE0885">
        <w:rPr>
          <w:spacing w:val="-3"/>
          <w:lang w:eastAsia="en-GB"/>
        </w:rPr>
        <w:t>w</w:t>
      </w:r>
      <w:r w:rsidRPr="00CE0885">
        <w:rPr>
          <w:lang w:eastAsia="en-GB"/>
        </w:rPr>
        <w:t>ill</w:t>
      </w:r>
      <w:r w:rsidRPr="00CE0885">
        <w:rPr>
          <w:spacing w:val="-3"/>
          <w:lang w:eastAsia="en-GB"/>
        </w:rPr>
        <w:t xml:space="preserve"> </w:t>
      </w:r>
      <w:r w:rsidRPr="00CE0885">
        <w:rPr>
          <w:lang w:eastAsia="en-GB"/>
        </w:rPr>
        <w:t>be</w:t>
      </w:r>
      <w:r w:rsidRPr="00CE0885">
        <w:rPr>
          <w:spacing w:val="-1"/>
          <w:lang w:eastAsia="en-GB"/>
        </w:rPr>
        <w:t xml:space="preserve"> </w:t>
      </w:r>
      <w:r w:rsidRPr="00CE0885">
        <w:rPr>
          <w:lang w:eastAsia="en-GB"/>
        </w:rPr>
        <w:t>tak</w:t>
      </w:r>
      <w:r w:rsidRPr="00CE0885">
        <w:rPr>
          <w:spacing w:val="-1"/>
          <w:lang w:eastAsia="en-GB"/>
        </w:rPr>
        <w:t>e</w:t>
      </w:r>
      <w:r w:rsidRPr="00CE0885">
        <w:rPr>
          <w:lang w:eastAsia="en-GB"/>
        </w:rPr>
        <w:t>n</w:t>
      </w:r>
      <w:r w:rsidRPr="00CE0885">
        <w:rPr>
          <w:spacing w:val="-4"/>
          <w:lang w:eastAsia="en-GB"/>
        </w:rPr>
        <w:t xml:space="preserve"> </w:t>
      </w:r>
      <w:r w:rsidRPr="00CE0885">
        <w:rPr>
          <w:lang w:eastAsia="en-GB"/>
        </w:rPr>
        <w:t>in li</w:t>
      </w:r>
      <w:r w:rsidRPr="00CE0885">
        <w:rPr>
          <w:spacing w:val="-1"/>
          <w:lang w:eastAsia="en-GB"/>
        </w:rPr>
        <w:t>n</w:t>
      </w:r>
      <w:r w:rsidRPr="00CE0885">
        <w:rPr>
          <w:lang w:eastAsia="en-GB"/>
        </w:rPr>
        <w:t>e</w:t>
      </w:r>
      <w:r w:rsidRPr="00CE0885">
        <w:rPr>
          <w:spacing w:val="-2"/>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the</w:t>
      </w:r>
      <w:r w:rsidRPr="00CE0885">
        <w:rPr>
          <w:spacing w:val="-4"/>
          <w:lang w:eastAsia="en-GB"/>
        </w:rPr>
        <w:t xml:space="preserve"> </w:t>
      </w:r>
      <w:r w:rsidR="00965C81">
        <w:rPr>
          <w:lang w:eastAsia="en-GB"/>
        </w:rPr>
        <w:t xml:space="preserve">chapter </w:t>
      </w:r>
      <w:r w:rsidRPr="00CE0885">
        <w:rPr>
          <w:w w:val="99"/>
          <w:lang w:eastAsia="en-GB"/>
        </w:rPr>
        <w:t>on cont</w:t>
      </w:r>
      <w:r w:rsidRPr="00CE0885">
        <w:rPr>
          <w:spacing w:val="-1"/>
          <w:w w:val="99"/>
          <w:lang w:eastAsia="en-GB"/>
        </w:rPr>
        <w:t>r</w:t>
      </w:r>
      <w:r w:rsidRPr="00CE0885">
        <w:rPr>
          <w:w w:val="99"/>
          <w:lang w:eastAsia="en-GB"/>
        </w:rPr>
        <w:t>act</w:t>
      </w:r>
      <w:r w:rsidRPr="00CE0885">
        <w:rPr>
          <w:spacing w:val="-1"/>
          <w:lang w:eastAsia="en-GB"/>
        </w:rPr>
        <w:t xml:space="preserve"> </w:t>
      </w:r>
      <w:r w:rsidRPr="00CE0885">
        <w:rPr>
          <w:lang w:eastAsia="en-GB"/>
        </w:rPr>
        <w:t>b</w:t>
      </w:r>
      <w:r w:rsidRPr="00CE0885">
        <w:rPr>
          <w:spacing w:val="-1"/>
          <w:lang w:eastAsia="en-GB"/>
        </w:rPr>
        <w:t>r</w:t>
      </w:r>
      <w:r w:rsidRPr="00CE0885">
        <w:rPr>
          <w:lang w:eastAsia="en-GB"/>
        </w:rPr>
        <w:t>eac</w:t>
      </w:r>
      <w:r w:rsidRPr="00CE0885">
        <w:rPr>
          <w:spacing w:val="-1"/>
          <w:lang w:eastAsia="en-GB"/>
        </w:rPr>
        <w:t>h</w:t>
      </w:r>
      <w:r w:rsidRPr="00CE0885">
        <w:rPr>
          <w:lang w:eastAsia="en-GB"/>
        </w:rPr>
        <w:t>es</w:t>
      </w:r>
      <w:r w:rsidR="00965C81">
        <w:rPr>
          <w:lang w:eastAsia="en-GB"/>
        </w:rPr>
        <w:t>, sanctions</w:t>
      </w:r>
      <w:r w:rsidRPr="00CE0885">
        <w:rPr>
          <w:spacing w:val="-12"/>
          <w:lang w:eastAsia="en-GB"/>
        </w:rPr>
        <w:t xml:space="preserve"> </w:t>
      </w:r>
      <w:r w:rsidRPr="00CE0885">
        <w:rPr>
          <w:lang w:eastAsia="en-GB"/>
        </w:rPr>
        <w:t>and</w:t>
      </w:r>
      <w:r w:rsidRPr="00CE0885">
        <w:rPr>
          <w:spacing w:val="-5"/>
          <w:lang w:eastAsia="en-GB"/>
        </w:rPr>
        <w:t xml:space="preserve"> </w:t>
      </w:r>
      <w:r w:rsidRPr="00CE0885">
        <w:rPr>
          <w:lang w:eastAsia="en-GB"/>
        </w:rPr>
        <w:t>te</w:t>
      </w:r>
      <w:r w:rsidRPr="00CE0885">
        <w:rPr>
          <w:spacing w:val="-1"/>
          <w:lang w:eastAsia="en-GB"/>
        </w:rPr>
        <w:t>r</w:t>
      </w:r>
      <w:r w:rsidRPr="00CE0885">
        <w:rPr>
          <w:spacing w:val="-3"/>
          <w:lang w:eastAsia="en-GB"/>
        </w:rPr>
        <w:t>m</w:t>
      </w:r>
      <w:r w:rsidRPr="00CE0885">
        <w:rPr>
          <w:lang w:eastAsia="en-GB"/>
        </w:rPr>
        <w:t>inati</w:t>
      </w:r>
      <w:r w:rsidRPr="00CE0885">
        <w:rPr>
          <w:spacing w:val="-1"/>
          <w:lang w:eastAsia="en-GB"/>
        </w:rPr>
        <w:t>o</w:t>
      </w:r>
      <w:r w:rsidRPr="00CE0885">
        <w:rPr>
          <w:lang w:eastAsia="en-GB"/>
        </w:rPr>
        <w:t>n</w:t>
      </w:r>
      <w:r w:rsidR="00965C81">
        <w:rPr>
          <w:lang w:eastAsia="en-GB"/>
        </w:rPr>
        <w:t>s</w:t>
      </w:r>
      <w:r w:rsidRPr="00CE0885">
        <w:rPr>
          <w:lang w:eastAsia="en-GB"/>
        </w:rPr>
        <w:t>.</w:t>
      </w:r>
      <w:bookmarkEnd w:id="685"/>
    </w:p>
    <w:p w14:paraId="5923B6AC" w14:textId="0958A57D" w:rsidR="00977693" w:rsidRPr="00CE0885" w:rsidRDefault="00977693" w:rsidP="006B781A">
      <w:pPr>
        <w:pStyle w:val="Heading3"/>
        <w:rPr>
          <w:lang w:eastAsia="en-GB"/>
        </w:rPr>
      </w:pPr>
      <w:bookmarkStart w:id="686" w:name="_Toc440981796"/>
      <w:r w:rsidRPr="00CE0885">
        <w:rPr>
          <w:lang w:eastAsia="en-GB"/>
        </w:rPr>
        <w:t>Under PMS agreements, subject to the terms of the individual agreements, partnership matters (including dissolution or termination of the partnership) do not affect the continuation of the agreement. This is because where the agreement is with two or more individuals that are practising in partnership, the agreement is not entered into with the partnership but instead with the individuals (who collectively make up the contractor).</w:t>
      </w:r>
      <w:bookmarkEnd w:id="686"/>
      <w:r w:rsidRPr="00CE0885">
        <w:rPr>
          <w:lang w:eastAsia="en-GB"/>
        </w:rPr>
        <w:t xml:space="preserve"> </w:t>
      </w:r>
    </w:p>
    <w:p w14:paraId="4A23C8E3" w14:textId="233CB717" w:rsidR="00977693" w:rsidRPr="00CE0885" w:rsidRDefault="00977693" w:rsidP="006B781A">
      <w:pPr>
        <w:pStyle w:val="Heading3"/>
        <w:rPr>
          <w:lang w:eastAsia="en-GB"/>
        </w:rPr>
      </w:pPr>
      <w:bookmarkStart w:id="687" w:name="_Toc440981797"/>
      <w:r w:rsidRPr="00CE0885">
        <w:rPr>
          <w:lang w:eastAsia="en-GB"/>
        </w:rPr>
        <w:t>If a PMS contractor is practising in partnership and, following termination of a partnership, the contractor no longer wishes to be a party to the contract, the contractor will need to give notice to terminate the contract, such notice being a minimum of six months unless agreed with the Contractor.</w:t>
      </w:r>
      <w:bookmarkEnd w:id="687"/>
    </w:p>
    <w:p w14:paraId="59DE9597" w14:textId="79735A3A" w:rsidR="00977693" w:rsidRPr="00CE0885" w:rsidRDefault="00977693" w:rsidP="006B781A">
      <w:pPr>
        <w:pStyle w:val="Heading3"/>
        <w:rPr>
          <w:lang w:eastAsia="en-GB"/>
        </w:rPr>
      </w:pPr>
      <w:bookmarkStart w:id="688" w:name="_Toc440981798"/>
      <w:r w:rsidRPr="00CE0885">
        <w:rPr>
          <w:spacing w:val="6"/>
          <w:lang w:eastAsia="en-GB"/>
        </w:rPr>
        <w:t>W</w:t>
      </w:r>
      <w:r w:rsidRPr="00CE0885">
        <w:rPr>
          <w:spacing w:val="-1"/>
          <w:lang w:eastAsia="en-GB"/>
        </w:rPr>
        <w:t>her</w:t>
      </w:r>
      <w:r w:rsidRPr="00CE0885">
        <w:rPr>
          <w:lang w:eastAsia="en-GB"/>
        </w:rPr>
        <w:t>e</w:t>
      </w:r>
      <w:r w:rsidRPr="00CE0885">
        <w:rPr>
          <w:spacing w:val="-8"/>
          <w:lang w:eastAsia="en-GB"/>
        </w:rPr>
        <w:t xml:space="preserve"> </w:t>
      </w:r>
      <w:r w:rsidRPr="00CE0885">
        <w:rPr>
          <w:lang w:eastAsia="en-GB"/>
        </w:rPr>
        <w:t>pa</w:t>
      </w:r>
      <w:r w:rsidRPr="00CE0885">
        <w:rPr>
          <w:spacing w:val="-1"/>
          <w:lang w:eastAsia="en-GB"/>
        </w:rPr>
        <w:t>r</w:t>
      </w:r>
      <w:r w:rsidRPr="00CE0885">
        <w:rPr>
          <w:spacing w:val="-2"/>
          <w:lang w:eastAsia="en-GB"/>
        </w:rPr>
        <w:t>t</w:t>
      </w:r>
      <w:r w:rsidRPr="00CE0885">
        <w:rPr>
          <w:lang w:eastAsia="en-GB"/>
        </w:rPr>
        <w:t>ne</w:t>
      </w:r>
      <w:r w:rsidRPr="00CE0885">
        <w:rPr>
          <w:spacing w:val="-1"/>
          <w:lang w:eastAsia="en-GB"/>
        </w:rPr>
        <w:t>r</w:t>
      </w:r>
      <w:r w:rsidRPr="00CE0885">
        <w:rPr>
          <w:lang w:eastAsia="en-GB"/>
        </w:rPr>
        <w:t>ships</w:t>
      </w:r>
      <w:r w:rsidRPr="00CE0885">
        <w:rPr>
          <w:spacing w:val="-15"/>
          <w:lang w:eastAsia="en-GB"/>
        </w:rPr>
        <w:t xml:space="preserve"> </w:t>
      </w:r>
      <w:r w:rsidRPr="00CE0885">
        <w:rPr>
          <w:lang w:eastAsia="en-GB"/>
        </w:rPr>
        <w:t>or</w:t>
      </w:r>
      <w:r w:rsidRPr="00CE0885">
        <w:rPr>
          <w:spacing w:val="-5"/>
          <w:lang w:eastAsia="en-GB"/>
        </w:rPr>
        <w:t xml:space="preserve"> </w:t>
      </w:r>
      <w:r w:rsidRPr="00CE0885">
        <w:rPr>
          <w:spacing w:val="2"/>
          <w:lang w:eastAsia="en-GB"/>
        </w:rPr>
        <w:t>m</w:t>
      </w:r>
      <w:r w:rsidRPr="00CE0885">
        <w:rPr>
          <w:spacing w:val="-1"/>
          <w:lang w:eastAsia="en-GB"/>
        </w:rPr>
        <w:t>e</w:t>
      </w:r>
      <w:r w:rsidRPr="00CE0885">
        <w:rPr>
          <w:spacing w:val="2"/>
          <w:lang w:eastAsia="en-GB"/>
        </w:rPr>
        <w:t>m</w:t>
      </w:r>
      <w:r w:rsidRPr="00CE0885">
        <w:rPr>
          <w:spacing w:val="-1"/>
          <w:lang w:eastAsia="en-GB"/>
        </w:rPr>
        <w:t>b</w:t>
      </w:r>
      <w:r w:rsidRPr="00CE0885">
        <w:rPr>
          <w:lang w:eastAsia="en-GB"/>
        </w:rPr>
        <w:t>e</w:t>
      </w:r>
      <w:r w:rsidRPr="00CE0885">
        <w:rPr>
          <w:spacing w:val="-1"/>
          <w:lang w:eastAsia="en-GB"/>
        </w:rPr>
        <w:t>r</w:t>
      </w:r>
      <w:r w:rsidRPr="00CE0885">
        <w:rPr>
          <w:lang w:eastAsia="en-GB"/>
        </w:rPr>
        <w:t>ship</w:t>
      </w:r>
      <w:r w:rsidRPr="00CE0885">
        <w:rPr>
          <w:spacing w:val="-11"/>
          <w:lang w:eastAsia="en-GB"/>
        </w:rPr>
        <w:t xml:space="preserve"> </w:t>
      </w:r>
      <w:r w:rsidRPr="00CE0885">
        <w:rPr>
          <w:lang w:eastAsia="en-GB"/>
        </w:rPr>
        <w:t>a</w:t>
      </w:r>
      <w:r w:rsidRPr="00CE0885">
        <w:rPr>
          <w:spacing w:val="-1"/>
          <w:lang w:eastAsia="en-GB"/>
        </w:rPr>
        <w:t>r</w:t>
      </w:r>
      <w:r w:rsidRPr="00CE0885">
        <w:rPr>
          <w:lang w:eastAsia="en-GB"/>
        </w:rPr>
        <w:t>e</w:t>
      </w:r>
      <w:r w:rsidRPr="00CE0885">
        <w:rPr>
          <w:spacing w:val="-6"/>
          <w:lang w:eastAsia="en-GB"/>
        </w:rPr>
        <w:t xml:space="preserve"> </w:t>
      </w:r>
      <w:r w:rsidRPr="00CE0885">
        <w:rPr>
          <w:spacing w:val="3"/>
          <w:lang w:eastAsia="en-GB"/>
        </w:rPr>
        <w:t>f</w:t>
      </w:r>
      <w:r w:rsidRPr="00CE0885">
        <w:rPr>
          <w:lang w:eastAsia="en-GB"/>
        </w:rPr>
        <w:t>o</w:t>
      </w:r>
      <w:r w:rsidRPr="00CE0885">
        <w:rPr>
          <w:spacing w:val="-3"/>
          <w:lang w:eastAsia="en-GB"/>
        </w:rPr>
        <w:t>r</w:t>
      </w:r>
      <w:r w:rsidRPr="00CE0885">
        <w:rPr>
          <w:spacing w:val="2"/>
          <w:lang w:eastAsia="en-GB"/>
        </w:rPr>
        <w:t>m</w:t>
      </w:r>
      <w:r w:rsidRPr="00CE0885">
        <w:rPr>
          <w:spacing w:val="-1"/>
          <w:lang w:eastAsia="en-GB"/>
        </w:rPr>
        <w:t>a</w:t>
      </w:r>
      <w:r w:rsidRPr="00CE0885">
        <w:rPr>
          <w:lang w:eastAsia="en-GB"/>
        </w:rPr>
        <w:t>lised</w:t>
      </w:r>
      <w:r w:rsidRPr="00CE0885">
        <w:rPr>
          <w:spacing w:val="-9"/>
          <w:lang w:eastAsia="en-GB"/>
        </w:rPr>
        <w:t xml:space="preserve"> </w:t>
      </w:r>
      <w:r w:rsidRPr="00CE0885">
        <w:rPr>
          <w:lang w:eastAsia="en-GB"/>
        </w:rPr>
        <w:t>th</w:t>
      </w:r>
      <w:r w:rsidRPr="00CE0885">
        <w:rPr>
          <w:spacing w:val="-1"/>
          <w:lang w:eastAsia="en-GB"/>
        </w:rPr>
        <w:t>ro</w:t>
      </w:r>
      <w:r w:rsidRPr="00CE0885">
        <w:rPr>
          <w:lang w:eastAsia="en-GB"/>
        </w:rPr>
        <w:t>u</w:t>
      </w:r>
      <w:r w:rsidRPr="00CE0885">
        <w:rPr>
          <w:spacing w:val="-1"/>
          <w:lang w:eastAsia="en-GB"/>
        </w:rPr>
        <w:t>g</w:t>
      </w:r>
      <w:r w:rsidRPr="00CE0885">
        <w:rPr>
          <w:lang w:eastAsia="en-GB"/>
        </w:rPr>
        <w:t>h</w:t>
      </w:r>
      <w:r w:rsidRPr="00CE0885">
        <w:rPr>
          <w:spacing w:val="-6"/>
          <w:lang w:eastAsia="en-GB"/>
        </w:rPr>
        <w:t xml:space="preserve"> </w:t>
      </w:r>
      <w:r w:rsidRPr="00CE0885">
        <w:rPr>
          <w:lang w:eastAsia="en-GB"/>
        </w:rPr>
        <w:t>a pa</w:t>
      </w:r>
      <w:r w:rsidRPr="00CE0885">
        <w:rPr>
          <w:spacing w:val="-1"/>
          <w:lang w:eastAsia="en-GB"/>
        </w:rPr>
        <w:t>r</w:t>
      </w:r>
      <w:r w:rsidRPr="00CE0885">
        <w:rPr>
          <w:lang w:eastAsia="en-GB"/>
        </w:rPr>
        <w:t>tne</w:t>
      </w:r>
      <w:r w:rsidRPr="00CE0885">
        <w:rPr>
          <w:spacing w:val="-1"/>
          <w:lang w:eastAsia="en-GB"/>
        </w:rPr>
        <w:t>r</w:t>
      </w:r>
      <w:r w:rsidRPr="00CE0885">
        <w:rPr>
          <w:spacing w:val="-2"/>
          <w:lang w:eastAsia="en-GB"/>
        </w:rPr>
        <w:t>s</w:t>
      </w:r>
      <w:r w:rsidRPr="00CE0885">
        <w:rPr>
          <w:lang w:eastAsia="en-GB"/>
        </w:rPr>
        <w:t>hip</w:t>
      </w:r>
      <w:r w:rsidRPr="00CE0885">
        <w:rPr>
          <w:spacing w:val="-10"/>
          <w:lang w:eastAsia="en-GB"/>
        </w:rPr>
        <w:t xml:space="preserve"> </w:t>
      </w:r>
      <w:r w:rsidRPr="00CE0885">
        <w:rPr>
          <w:spacing w:val="-1"/>
          <w:lang w:eastAsia="en-GB"/>
        </w:rPr>
        <w:t>agreement</w:t>
      </w:r>
      <w:r w:rsidRPr="00CE0885">
        <w:rPr>
          <w:lang w:eastAsia="en-GB"/>
        </w:rPr>
        <w:t>,</w:t>
      </w:r>
      <w:r w:rsidRPr="00CE0885">
        <w:rPr>
          <w:spacing w:val="-5"/>
          <w:lang w:eastAsia="en-GB"/>
        </w:rPr>
        <w:t xml:space="preserve"> </w:t>
      </w:r>
      <w:r w:rsidRPr="00CE0885">
        <w:rPr>
          <w:lang w:eastAsia="en-GB"/>
        </w:rPr>
        <w:t>it is</w:t>
      </w:r>
      <w:r w:rsidRPr="00CE0885">
        <w:rPr>
          <w:spacing w:val="-4"/>
          <w:lang w:eastAsia="en-GB"/>
        </w:rPr>
        <w:t xml:space="preserve"> </w:t>
      </w:r>
      <w:r w:rsidRPr="00CE0885">
        <w:rPr>
          <w:spacing w:val="-2"/>
          <w:lang w:eastAsia="en-GB"/>
        </w:rPr>
        <w:t>v</w:t>
      </w:r>
      <w:r w:rsidRPr="00CE0885">
        <w:rPr>
          <w:lang w:eastAsia="en-GB"/>
        </w:rPr>
        <w:t>e</w:t>
      </w:r>
      <w:r w:rsidRPr="00CE0885">
        <w:rPr>
          <w:spacing w:val="2"/>
          <w:lang w:eastAsia="en-GB"/>
        </w:rPr>
        <w:t>r</w:t>
      </w:r>
      <w:r w:rsidRPr="00CE0885">
        <w:rPr>
          <w:lang w:eastAsia="en-GB"/>
        </w:rPr>
        <w:t>y</w:t>
      </w:r>
      <w:r w:rsidRPr="00CE0885">
        <w:rPr>
          <w:spacing w:val="-7"/>
          <w:lang w:eastAsia="en-GB"/>
        </w:rPr>
        <w:t xml:space="preserve"> </w:t>
      </w:r>
      <w:r w:rsidRPr="00CE0885">
        <w:rPr>
          <w:lang w:eastAsia="en-GB"/>
        </w:rPr>
        <w:t>helpful</w:t>
      </w:r>
      <w:r w:rsidRPr="00CE0885">
        <w:rPr>
          <w:spacing w:val="-7"/>
          <w:lang w:eastAsia="en-GB"/>
        </w:rPr>
        <w:t xml:space="preserve"> </w:t>
      </w:r>
      <w:r w:rsidRPr="00CE0885">
        <w:rPr>
          <w:spacing w:val="-3"/>
          <w:lang w:eastAsia="en-GB"/>
        </w:rPr>
        <w:t>i</w:t>
      </w:r>
      <w:r w:rsidRPr="00CE0885">
        <w:rPr>
          <w:lang w:eastAsia="en-GB"/>
        </w:rPr>
        <w:t>f</w:t>
      </w:r>
      <w:r w:rsidRPr="00CE0885">
        <w:rPr>
          <w:spacing w:val="2"/>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pa</w:t>
      </w:r>
      <w:r w:rsidRPr="00CE0885">
        <w:rPr>
          <w:spacing w:val="-1"/>
          <w:lang w:eastAsia="en-GB"/>
        </w:rPr>
        <w:t>r</w:t>
      </w:r>
      <w:r w:rsidRPr="00CE0885">
        <w:rPr>
          <w:lang w:eastAsia="en-GB"/>
        </w:rPr>
        <w:t>t</w:t>
      </w:r>
      <w:r w:rsidRPr="00CE0885">
        <w:rPr>
          <w:spacing w:val="-3"/>
          <w:lang w:eastAsia="en-GB"/>
        </w:rPr>
        <w:t>i</w:t>
      </w:r>
      <w:r w:rsidRPr="00CE0885">
        <w:rPr>
          <w:lang w:eastAsia="en-GB"/>
        </w:rPr>
        <w:t>es</w:t>
      </w:r>
      <w:r w:rsidRPr="00CE0885">
        <w:rPr>
          <w:spacing w:val="-7"/>
          <w:lang w:eastAsia="en-GB"/>
        </w:rPr>
        <w:t xml:space="preserve"> </w:t>
      </w:r>
      <w:r w:rsidRPr="00CE0885">
        <w:rPr>
          <w:lang w:eastAsia="en-GB"/>
        </w:rPr>
        <w:t>a</w:t>
      </w:r>
      <w:r w:rsidRPr="00CE0885">
        <w:rPr>
          <w:spacing w:val="-1"/>
          <w:lang w:eastAsia="en-GB"/>
        </w:rPr>
        <w:t>r</w:t>
      </w:r>
      <w:r w:rsidRPr="00CE0885">
        <w:rPr>
          <w:lang w:eastAsia="en-GB"/>
        </w:rPr>
        <w:t>e</w:t>
      </w:r>
      <w:r w:rsidRPr="00CE0885">
        <w:rPr>
          <w:spacing w:val="-4"/>
          <w:lang w:eastAsia="en-GB"/>
        </w:rPr>
        <w:t xml:space="preserve"> </w:t>
      </w:r>
      <w:r w:rsidRPr="00CE0885">
        <w:rPr>
          <w:lang w:eastAsia="en-GB"/>
        </w:rPr>
        <w:t>able</w:t>
      </w:r>
      <w:r w:rsidRPr="00CE0885">
        <w:rPr>
          <w:spacing w:val="-6"/>
          <w:lang w:eastAsia="en-GB"/>
        </w:rPr>
        <w:t xml:space="preserve"> </w:t>
      </w:r>
      <w:r w:rsidRPr="00CE0885">
        <w:rPr>
          <w:lang w:eastAsia="en-GB"/>
        </w:rPr>
        <w:t xml:space="preserve">to </w:t>
      </w:r>
      <w:r w:rsidRPr="00CE0885">
        <w:rPr>
          <w:spacing w:val="-1"/>
          <w:lang w:eastAsia="en-GB"/>
        </w:rPr>
        <w:t>r</w:t>
      </w:r>
      <w:r w:rsidRPr="00CE0885">
        <w:rPr>
          <w:lang w:eastAsia="en-GB"/>
        </w:rPr>
        <w:t>ely</w:t>
      </w:r>
      <w:r w:rsidRPr="00CE0885">
        <w:rPr>
          <w:spacing w:val="-6"/>
          <w:lang w:eastAsia="en-GB"/>
        </w:rPr>
        <w:t xml:space="preserve"> </w:t>
      </w:r>
      <w:r w:rsidRPr="00CE0885">
        <w:rPr>
          <w:lang w:eastAsia="en-GB"/>
        </w:rPr>
        <w:t>on</w:t>
      </w:r>
      <w:r w:rsidRPr="00CE0885">
        <w:rPr>
          <w:spacing w:val="-1"/>
          <w:lang w:eastAsia="en-GB"/>
        </w:rPr>
        <w:t xml:space="preserve"> </w:t>
      </w:r>
      <w:r w:rsidRPr="00CE0885">
        <w:rPr>
          <w:spacing w:val="-2"/>
          <w:lang w:eastAsia="en-GB"/>
        </w:rPr>
        <w:t>t</w:t>
      </w:r>
      <w:r w:rsidRPr="00CE0885">
        <w:rPr>
          <w:lang w:eastAsia="en-GB"/>
        </w:rPr>
        <w:t>he detail</w:t>
      </w:r>
      <w:r w:rsidRPr="00CE0885">
        <w:rPr>
          <w:spacing w:val="-8"/>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hese</w:t>
      </w:r>
      <w:r w:rsidRPr="00CE0885">
        <w:rPr>
          <w:spacing w:val="-7"/>
          <w:lang w:eastAsia="en-GB"/>
        </w:rPr>
        <w:t xml:space="preserve"> </w:t>
      </w:r>
      <w:r w:rsidRPr="00CE0885">
        <w:rPr>
          <w:lang w:eastAsia="en-GB"/>
        </w:rPr>
        <w:t>a</w:t>
      </w:r>
      <w:r w:rsidRPr="00CE0885">
        <w:rPr>
          <w:spacing w:val="-1"/>
          <w:lang w:eastAsia="en-GB"/>
        </w:rPr>
        <w:t>gr</w:t>
      </w:r>
      <w:r w:rsidRPr="00CE0885">
        <w:rPr>
          <w:lang w:eastAsia="en-GB"/>
        </w:rPr>
        <w:t>ee</w:t>
      </w:r>
      <w:r w:rsidRPr="00CE0885">
        <w:rPr>
          <w:spacing w:val="-1"/>
          <w:lang w:eastAsia="en-GB"/>
        </w:rPr>
        <w:t>m</w:t>
      </w:r>
      <w:r w:rsidRPr="00CE0885">
        <w:rPr>
          <w:lang w:eastAsia="en-GB"/>
        </w:rPr>
        <w:t>ents</w:t>
      </w:r>
      <w:r w:rsidRPr="00CE0885">
        <w:rPr>
          <w:spacing w:val="-13"/>
          <w:lang w:eastAsia="en-GB"/>
        </w:rPr>
        <w:t xml:space="preserve"> </w:t>
      </w:r>
      <w:r w:rsidRPr="00CE0885">
        <w:rPr>
          <w:spacing w:val="-2"/>
          <w:lang w:eastAsia="en-GB"/>
        </w:rPr>
        <w:t>t</w:t>
      </w:r>
      <w:r w:rsidRPr="00CE0885">
        <w:rPr>
          <w:lang w:eastAsia="en-GB"/>
        </w:rPr>
        <w:t>o s</w:t>
      </w:r>
      <w:r w:rsidRPr="00CE0885">
        <w:rPr>
          <w:spacing w:val="-1"/>
          <w:lang w:eastAsia="en-GB"/>
        </w:rPr>
        <w:t>u</w:t>
      </w:r>
      <w:r w:rsidRPr="00CE0885">
        <w:rPr>
          <w:lang w:eastAsia="en-GB"/>
        </w:rPr>
        <w:t>p</w:t>
      </w:r>
      <w:r w:rsidRPr="00CE0885">
        <w:rPr>
          <w:spacing w:val="-1"/>
          <w:lang w:eastAsia="en-GB"/>
        </w:rPr>
        <w:t>p</w:t>
      </w:r>
      <w:r w:rsidRPr="00CE0885">
        <w:rPr>
          <w:lang w:eastAsia="en-GB"/>
        </w:rPr>
        <w:t>o</w:t>
      </w:r>
      <w:r w:rsidRPr="00CE0885">
        <w:rPr>
          <w:spacing w:val="-1"/>
          <w:lang w:eastAsia="en-GB"/>
        </w:rPr>
        <w:t>r</w:t>
      </w:r>
      <w:r w:rsidRPr="00CE0885">
        <w:rPr>
          <w:lang w:eastAsia="en-GB"/>
        </w:rPr>
        <w:t>t</w:t>
      </w:r>
      <w:r w:rsidRPr="00CE0885">
        <w:rPr>
          <w:spacing w:val="-7"/>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e</w:t>
      </w:r>
      <w:r w:rsidRPr="00CE0885">
        <w:rPr>
          <w:lang w:eastAsia="en-GB"/>
        </w:rPr>
        <w:t>a</w:t>
      </w:r>
      <w:r w:rsidRPr="00CE0885">
        <w:rPr>
          <w:spacing w:val="-1"/>
          <w:lang w:eastAsia="en-GB"/>
        </w:rPr>
        <w:t>r</w:t>
      </w:r>
      <w:r w:rsidRPr="00CE0885">
        <w:rPr>
          <w:lang w:eastAsia="en-GB"/>
        </w:rPr>
        <w:t>ly</w:t>
      </w:r>
      <w:r w:rsidRPr="00CE0885">
        <w:rPr>
          <w:spacing w:val="-7"/>
          <w:lang w:eastAsia="en-GB"/>
        </w:rPr>
        <w:t xml:space="preserve"> </w:t>
      </w:r>
      <w:r w:rsidRPr="00CE0885">
        <w:rPr>
          <w:spacing w:val="-1"/>
          <w:lang w:eastAsia="en-GB"/>
        </w:rPr>
        <w:t>r</w:t>
      </w:r>
      <w:r w:rsidRPr="00CE0885">
        <w:rPr>
          <w:lang w:eastAsia="en-GB"/>
        </w:rPr>
        <w:t>esolution</w:t>
      </w:r>
      <w:r w:rsidRPr="00CE0885">
        <w:rPr>
          <w:spacing w:val="-8"/>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inte</w:t>
      </w:r>
      <w:r w:rsidRPr="00CE0885">
        <w:rPr>
          <w:spacing w:val="-1"/>
          <w:lang w:eastAsia="en-GB"/>
        </w:rPr>
        <w:t>rn</w:t>
      </w:r>
      <w:r w:rsidRPr="00CE0885">
        <w:rPr>
          <w:lang w:eastAsia="en-GB"/>
        </w:rPr>
        <w:t>al dispu</w:t>
      </w:r>
      <w:r w:rsidRPr="00CE0885">
        <w:rPr>
          <w:spacing w:val="-2"/>
          <w:lang w:eastAsia="en-GB"/>
        </w:rPr>
        <w:t>t</w:t>
      </w:r>
      <w:r w:rsidRPr="00CE0885">
        <w:rPr>
          <w:lang w:eastAsia="en-GB"/>
        </w:rPr>
        <w:t>es</w:t>
      </w:r>
      <w:r w:rsidRPr="00CE0885">
        <w:rPr>
          <w:spacing w:val="-9"/>
          <w:lang w:eastAsia="en-GB"/>
        </w:rPr>
        <w:t xml:space="preserve"> </w:t>
      </w:r>
      <w:r w:rsidRPr="00CE0885">
        <w:rPr>
          <w:lang w:eastAsia="en-GB"/>
        </w:rPr>
        <w:t>a</w:t>
      </w:r>
      <w:r w:rsidRPr="00CE0885">
        <w:rPr>
          <w:spacing w:val="-1"/>
          <w:lang w:eastAsia="en-GB"/>
        </w:rPr>
        <w:t>n</w:t>
      </w:r>
      <w:r w:rsidRPr="00CE0885">
        <w:rPr>
          <w:lang w:eastAsia="en-GB"/>
        </w:rPr>
        <w:t>d</w:t>
      </w:r>
      <w:r w:rsidRPr="00CE0885">
        <w:rPr>
          <w:spacing w:val="-2"/>
          <w:lang w:eastAsia="en-GB"/>
        </w:rPr>
        <w:t xml:space="preserve"> t</w:t>
      </w:r>
      <w:r w:rsidRPr="00CE0885">
        <w:rPr>
          <w:lang w:eastAsia="en-GB"/>
        </w:rPr>
        <w:t xml:space="preserve">o </w:t>
      </w:r>
      <w:r w:rsidRPr="00CE0885">
        <w:rPr>
          <w:spacing w:val="-1"/>
          <w:lang w:eastAsia="en-GB"/>
        </w:rPr>
        <w:t>e</w:t>
      </w:r>
      <w:r w:rsidRPr="00CE0885">
        <w:rPr>
          <w:lang w:eastAsia="en-GB"/>
        </w:rPr>
        <w:t>nsu</w:t>
      </w:r>
      <w:r w:rsidRPr="00CE0885">
        <w:rPr>
          <w:spacing w:val="-1"/>
          <w:lang w:eastAsia="en-GB"/>
        </w:rPr>
        <w:t>r</w:t>
      </w:r>
      <w:r w:rsidRPr="00CE0885">
        <w:rPr>
          <w:lang w:eastAsia="en-GB"/>
        </w:rPr>
        <w:t>e</w:t>
      </w:r>
      <w:r w:rsidRPr="00CE0885">
        <w:rPr>
          <w:spacing w:val="-8"/>
          <w:lang w:eastAsia="en-GB"/>
        </w:rPr>
        <w:t xml:space="preserve"> </w:t>
      </w:r>
      <w:r w:rsidRPr="00CE0885">
        <w:rPr>
          <w:lang w:eastAsia="en-GB"/>
        </w:rPr>
        <w:t>that</w:t>
      </w:r>
      <w:r w:rsidRPr="00CE0885">
        <w:rPr>
          <w:spacing w:val="-5"/>
          <w:lang w:eastAsia="en-GB"/>
        </w:rPr>
        <w:t xml:space="preserve"> </w:t>
      </w:r>
      <w:r w:rsidRPr="00CE0885">
        <w:rPr>
          <w:lang w:eastAsia="en-GB"/>
        </w:rPr>
        <w:t>such</w:t>
      </w:r>
      <w:r w:rsidRPr="00CE0885">
        <w:rPr>
          <w:spacing w:val="-6"/>
          <w:lang w:eastAsia="en-GB"/>
        </w:rPr>
        <w:t xml:space="preserve"> </w:t>
      </w:r>
      <w:r w:rsidRPr="00CE0885">
        <w:rPr>
          <w:lang w:eastAsia="en-GB"/>
        </w:rPr>
        <w:t>a</w:t>
      </w:r>
      <w:r w:rsidRPr="00CE0885">
        <w:rPr>
          <w:spacing w:val="-1"/>
          <w:lang w:eastAsia="en-GB"/>
        </w:rPr>
        <w:t>gr</w:t>
      </w:r>
      <w:r w:rsidRPr="00CE0885">
        <w:rPr>
          <w:lang w:eastAsia="en-GB"/>
        </w:rPr>
        <w:t>ee</w:t>
      </w:r>
      <w:r w:rsidRPr="00CE0885">
        <w:rPr>
          <w:spacing w:val="-1"/>
          <w:lang w:eastAsia="en-GB"/>
        </w:rPr>
        <w:t>m</w:t>
      </w:r>
      <w:r w:rsidRPr="00CE0885">
        <w:rPr>
          <w:lang w:eastAsia="en-GB"/>
        </w:rPr>
        <w:t>ents</w:t>
      </w:r>
      <w:r w:rsidRPr="00CE0885">
        <w:rPr>
          <w:spacing w:val="-17"/>
          <w:lang w:eastAsia="en-GB"/>
        </w:rPr>
        <w:t xml:space="preserve"> </w:t>
      </w:r>
      <w:r w:rsidRPr="00CE0885">
        <w:rPr>
          <w:lang w:eastAsia="en-GB"/>
        </w:rPr>
        <w:t>a</w:t>
      </w:r>
      <w:r w:rsidRPr="00CE0885">
        <w:rPr>
          <w:spacing w:val="-1"/>
          <w:lang w:eastAsia="en-GB"/>
        </w:rPr>
        <w:t>r</w:t>
      </w:r>
      <w:r w:rsidRPr="00CE0885">
        <w:rPr>
          <w:lang w:eastAsia="en-GB"/>
        </w:rPr>
        <w:t>e</w:t>
      </w:r>
      <w:r w:rsidRPr="00CE0885">
        <w:rPr>
          <w:spacing w:val="-1"/>
          <w:lang w:eastAsia="en-GB"/>
        </w:rPr>
        <w:t xml:space="preserve"> r</w:t>
      </w:r>
      <w:r w:rsidRPr="00CE0885">
        <w:rPr>
          <w:lang w:eastAsia="en-GB"/>
        </w:rPr>
        <w:t>e</w:t>
      </w:r>
      <w:r w:rsidRPr="00CE0885">
        <w:rPr>
          <w:spacing w:val="-2"/>
          <w:lang w:eastAsia="en-GB"/>
        </w:rPr>
        <w:t>v</w:t>
      </w:r>
      <w:r w:rsidRPr="00CE0885">
        <w:rPr>
          <w:lang w:eastAsia="en-GB"/>
        </w:rPr>
        <w:t>ie</w:t>
      </w:r>
      <w:r w:rsidRPr="00CE0885">
        <w:rPr>
          <w:spacing w:val="-3"/>
          <w:lang w:eastAsia="en-GB"/>
        </w:rPr>
        <w:t>w</w:t>
      </w:r>
      <w:r w:rsidRPr="00CE0885">
        <w:rPr>
          <w:lang w:eastAsia="en-GB"/>
        </w:rPr>
        <w:t>ed</w:t>
      </w:r>
      <w:r w:rsidRPr="00CE0885">
        <w:rPr>
          <w:spacing w:val="-8"/>
          <w:lang w:eastAsia="en-GB"/>
        </w:rPr>
        <w:t xml:space="preserve"> </w:t>
      </w:r>
      <w:r w:rsidRPr="00CE0885">
        <w:rPr>
          <w:lang w:eastAsia="en-GB"/>
        </w:rPr>
        <w:t xml:space="preserve">and </w:t>
      </w:r>
      <w:r w:rsidRPr="00CE0885">
        <w:rPr>
          <w:spacing w:val="2"/>
          <w:lang w:eastAsia="en-GB"/>
        </w:rPr>
        <w:t>m</w:t>
      </w:r>
      <w:r w:rsidRPr="00CE0885">
        <w:rPr>
          <w:lang w:eastAsia="en-GB"/>
        </w:rPr>
        <w:t>ain</w:t>
      </w:r>
      <w:r w:rsidRPr="00CE0885">
        <w:rPr>
          <w:spacing w:val="-2"/>
          <w:lang w:eastAsia="en-GB"/>
        </w:rPr>
        <w:t>t</w:t>
      </w:r>
      <w:r w:rsidRPr="00CE0885">
        <w:rPr>
          <w:lang w:eastAsia="en-GB"/>
        </w:rPr>
        <w:t>ain</w:t>
      </w:r>
      <w:r w:rsidRPr="00CE0885">
        <w:rPr>
          <w:spacing w:val="-1"/>
          <w:lang w:eastAsia="en-GB"/>
        </w:rPr>
        <w:t>e</w:t>
      </w:r>
      <w:r w:rsidRPr="00CE0885">
        <w:rPr>
          <w:lang w:eastAsia="en-GB"/>
        </w:rPr>
        <w:t>d</w:t>
      </w:r>
      <w:r w:rsidRPr="00CE0885">
        <w:rPr>
          <w:spacing w:val="-10"/>
          <w:lang w:eastAsia="en-GB"/>
        </w:rPr>
        <w:t xml:space="preserve"> </w:t>
      </w:r>
      <w:r w:rsidRPr="00CE0885">
        <w:rPr>
          <w:spacing w:val="-2"/>
          <w:lang w:eastAsia="en-GB"/>
        </w:rPr>
        <w:t>t</w:t>
      </w:r>
      <w:r w:rsidRPr="00CE0885">
        <w:rPr>
          <w:lang w:eastAsia="en-GB"/>
        </w:rPr>
        <w:t xml:space="preserve">o </w:t>
      </w:r>
      <w:r w:rsidRPr="00CE0885">
        <w:rPr>
          <w:spacing w:val="-1"/>
          <w:lang w:eastAsia="en-GB"/>
        </w:rPr>
        <w:t>b</w:t>
      </w:r>
      <w:r w:rsidRPr="00CE0885">
        <w:rPr>
          <w:lang w:eastAsia="en-GB"/>
        </w:rPr>
        <w:t>e</w:t>
      </w:r>
      <w:r w:rsidRPr="00CE0885">
        <w:rPr>
          <w:spacing w:val="-1"/>
          <w:lang w:eastAsia="en-GB"/>
        </w:rPr>
        <w:t xml:space="preserve"> </w:t>
      </w:r>
      <w:r w:rsidRPr="00CE0885">
        <w:rPr>
          <w:lang w:eastAsia="en-GB"/>
        </w:rPr>
        <w:t>cu</w:t>
      </w:r>
      <w:r w:rsidRPr="00CE0885">
        <w:rPr>
          <w:spacing w:val="-1"/>
          <w:lang w:eastAsia="en-GB"/>
        </w:rPr>
        <w:t>rre</w:t>
      </w:r>
      <w:r w:rsidRPr="00CE0885">
        <w:rPr>
          <w:lang w:eastAsia="en-GB"/>
        </w:rPr>
        <w:t>nt</w:t>
      </w:r>
      <w:r w:rsidRPr="00CE0885">
        <w:rPr>
          <w:spacing w:val="-6"/>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associa</w:t>
      </w:r>
      <w:r w:rsidRPr="00CE0885">
        <w:rPr>
          <w:spacing w:val="-2"/>
          <w:lang w:eastAsia="en-GB"/>
        </w:rPr>
        <w:t>t</w:t>
      </w:r>
      <w:r w:rsidRPr="00CE0885">
        <w:rPr>
          <w:lang w:eastAsia="en-GB"/>
        </w:rPr>
        <w:t>ed</w:t>
      </w:r>
      <w:r w:rsidRPr="00CE0885">
        <w:rPr>
          <w:spacing w:val="-9"/>
          <w:lang w:eastAsia="en-GB"/>
        </w:rPr>
        <w:t xml:space="preserve"> </w:t>
      </w:r>
      <w:r w:rsidRPr="00CE0885">
        <w:rPr>
          <w:lang w:eastAsia="en-GB"/>
        </w:rPr>
        <w:t>le</w:t>
      </w:r>
      <w:r w:rsidRPr="00CE0885">
        <w:rPr>
          <w:spacing w:val="-1"/>
          <w:lang w:eastAsia="en-GB"/>
        </w:rPr>
        <w:t>g</w:t>
      </w:r>
      <w:r w:rsidRPr="00CE0885">
        <w:rPr>
          <w:spacing w:val="-3"/>
          <w:lang w:eastAsia="en-GB"/>
        </w:rPr>
        <w:t>i</w:t>
      </w:r>
      <w:r w:rsidRPr="00CE0885">
        <w:rPr>
          <w:lang w:eastAsia="en-GB"/>
        </w:rPr>
        <w:t>slation.</w:t>
      </w:r>
      <w:bookmarkEnd w:id="688"/>
    </w:p>
    <w:p w14:paraId="4B1D95A0" w14:textId="3815A236" w:rsidR="00977693" w:rsidRPr="00CE0885" w:rsidRDefault="00977693" w:rsidP="006B781A">
      <w:pPr>
        <w:pStyle w:val="Heading3"/>
        <w:rPr>
          <w:lang w:eastAsia="en-GB"/>
        </w:rPr>
      </w:pPr>
      <w:bookmarkStart w:id="689" w:name="_Toc440981799"/>
      <w:r w:rsidRPr="00CE0885">
        <w:rPr>
          <w:lang w:eastAsia="en-GB"/>
        </w:rPr>
        <w:t>Unfo</w:t>
      </w:r>
      <w:r w:rsidRPr="00CE0885">
        <w:rPr>
          <w:spacing w:val="-1"/>
          <w:lang w:eastAsia="en-GB"/>
        </w:rPr>
        <w:t>r</w:t>
      </w:r>
      <w:r w:rsidRPr="00CE0885">
        <w:rPr>
          <w:lang w:eastAsia="en-GB"/>
        </w:rPr>
        <w:t>tu</w:t>
      </w:r>
      <w:r w:rsidRPr="00CE0885">
        <w:rPr>
          <w:spacing w:val="-1"/>
          <w:lang w:eastAsia="en-GB"/>
        </w:rPr>
        <w:t>n</w:t>
      </w:r>
      <w:r w:rsidRPr="00CE0885">
        <w:rPr>
          <w:lang w:eastAsia="en-GB"/>
        </w:rPr>
        <w:t>atel</w:t>
      </w:r>
      <w:r w:rsidRPr="00CE0885">
        <w:rPr>
          <w:spacing w:val="-2"/>
          <w:lang w:eastAsia="en-GB"/>
        </w:rPr>
        <w:t>y</w:t>
      </w:r>
      <w:r w:rsidRPr="00CE0885">
        <w:rPr>
          <w:lang w:eastAsia="en-GB"/>
        </w:rPr>
        <w:t>,</w:t>
      </w:r>
      <w:r w:rsidRPr="00CE0885">
        <w:rPr>
          <w:spacing w:val="-14"/>
          <w:lang w:eastAsia="en-GB"/>
        </w:rPr>
        <w:t xml:space="preserve"> </w:t>
      </w:r>
      <w:r w:rsidRPr="00CE0885">
        <w:rPr>
          <w:spacing w:val="-1"/>
          <w:lang w:eastAsia="en-GB"/>
        </w:rPr>
        <w:t>m</w:t>
      </w:r>
      <w:r w:rsidRPr="00CE0885">
        <w:rPr>
          <w:lang w:eastAsia="en-GB"/>
        </w:rPr>
        <w:t>any</w:t>
      </w:r>
      <w:r w:rsidRPr="00CE0885">
        <w:rPr>
          <w:spacing w:val="-8"/>
          <w:lang w:eastAsia="en-GB"/>
        </w:rPr>
        <w:t xml:space="preserve"> </w:t>
      </w:r>
      <w:r w:rsidRPr="00CE0885">
        <w:rPr>
          <w:spacing w:val="-1"/>
          <w:lang w:eastAsia="en-GB"/>
        </w:rPr>
        <w:t>p</w:t>
      </w:r>
      <w:r w:rsidRPr="00CE0885">
        <w:rPr>
          <w:lang w:eastAsia="en-GB"/>
        </w:rPr>
        <w:t>a</w:t>
      </w:r>
      <w:r w:rsidRPr="00CE0885">
        <w:rPr>
          <w:spacing w:val="-1"/>
          <w:lang w:eastAsia="en-GB"/>
        </w:rPr>
        <w:t>r</w:t>
      </w:r>
      <w:r w:rsidRPr="00CE0885">
        <w:rPr>
          <w:lang w:eastAsia="en-GB"/>
        </w:rPr>
        <w:t>tne</w:t>
      </w:r>
      <w:r w:rsidRPr="00CE0885">
        <w:rPr>
          <w:spacing w:val="-1"/>
          <w:lang w:eastAsia="en-GB"/>
        </w:rPr>
        <w:t>r</w:t>
      </w:r>
      <w:r w:rsidRPr="00CE0885">
        <w:rPr>
          <w:lang w:eastAsia="en-GB"/>
        </w:rPr>
        <w:t>ship</w:t>
      </w:r>
      <w:r w:rsidRPr="00CE0885">
        <w:rPr>
          <w:spacing w:val="-13"/>
          <w:lang w:eastAsia="en-GB"/>
        </w:rPr>
        <w:t xml:space="preserve"> </w:t>
      </w:r>
      <w:r w:rsidRPr="00CE0885">
        <w:rPr>
          <w:lang w:eastAsia="en-GB"/>
        </w:rPr>
        <w:t>o</w:t>
      </w:r>
      <w:r w:rsidRPr="00CE0885">
        <w:rPr>
          <w:spacing w:val="-1"/>
          <w:lang w:eastAsia="en-GB"/>
        </w:rPr>
        <w:t>rg</w:t>
      </w:r>
      <w:r w:rsidRPr="00CE0885">
        <w:rPr>
          <w:lang w:eastAsia="en-GB"/>
        </w:rPr>
        <w:t>anisations</w:t>
      </w:r>
      <w:r w:rsidRPr="00CE0885">
        <w:rPr>
          <w:spacing w:val="-16"/>
          <w:lang w:eastAsia="en-GB"/>
        </w:rPr>
        <w:t xml:space="preserve"> </w:t>
      </w:r>
      <w:r w:rsidRPr="00CE0885">
        <w:rPr>
          <w:lang w:eastAsia="en-GB"/>
        </w:rPr>
        <w:t>do</w:t>
      </w:r>
      <w:r w:rsidRPr="00CE0885">
        <w:rPr>
          <w:spacing w:val="-4"/>
          <w:lang w:eastAsia="en-GB"/>
        </w:rPr>
        <w:t xml:space="preserve"> </w:t>
      </w:r>
      <w:r w:rsidRPr="00CE0885">
        <w:rPr>
          <w:lang w:eastAsia="en-GB"/>
        </w:rPr>
        <w:t>not</w:t>
      </w:r>
      <w:r w:rsidRPr="00CE0885">
        <w:rPr>
          <w:spacing w:val="-4"/>
          <w:lang w:eastAsia="en-GB"/>
        </w:rPr>
        <w:t xml:space="preserve"> </w:t>
      </w:r>
      <w:r w:rsidRPr="00CE0885">
        <w:rPr>
          <w:spacing w:val="-1"/>
          <w:lang w:eastAsia="en-GB"/>
        </w:rPr>
        <w:t>h</w:t>
      </w:r>
      <w:r w:rsidRPr="00CE0885">
        <w:rPr>
          <w:lang w:eastAsia="en-GB"/>
        </w:rPr>
        <w:t>a</w:t>
      </w:r>
      <w:r w:rsidRPr="00CE0885">
        <w:rPr>
          <w:spacing w:val="-2"/>
          <w:lang w:eastAsia="en-GB"/>
        </w:rPr>
        <w:t>v</w:t>
      </w:r>
      <w:r w:rsidRPr="00CE0885">
        <w:rPr>
          <w:lang w:eastAsia="en-GB"/>
        </w:rPr>
        <w:t>e agreements</w:t>
      </w:r>
      <w:r w:rsidRPr="00CE0885">
        <w:rPr>
          <w:spacing w:val="-7"/>
          <w:lang w:eastAsia="en-GB"/>
        </w:rPr>
        <w:t xml:space="preserve"> </w:t>
      </w:r>
      <w:r w:rsidRPr="00CE0885">
        <w:rPr>
          <w:lang w:eastAsia="en-GB"/>
        </w:rPr>
        <w:t>in p</w:t>
      </w:r>
      <w:r w:rsidRPr="00CE0885">
        <w:rPr>
          <w:spacing w:val="-3"/>
          <w:lang w:eastAsia="en-GB"/>
        </w:rPr>
        <w:t>l</w:t>
      </w:r>
      <w:r w:rsidRPr="00CE0885">
        <w:rPr>
          <w:lang w:eastAsia="en-GB"/>
        </w:rPr>
        <w:t>ace</w:t>
      </w:r>
      <w:r w:rsidRPr="00CE0885">
        <w:rPr>
          <w:spacing w:val="-7"/>
          <w:lang w:eastAsia="en-GB"/>
        </w:rPr>
        <w:t xml:space="preserve"> </w:t>
      </w:r>
      <w:r w:rsidRPr="00CE0885">
        <w:rPr>
          <w:lang w:eastAsia="en-GB"/>
        </w:rPr>
        <w:t>or</w:t>
      </w:r>
      <w:r w:rsidRPr="00CE0885">
        <w:rPr>
          <w:spacing w:val="-2"/>
          <w:lang w:eastAsia="en-GB"/>
        </w:rPr>
        <w:t xml:space="preserve"> </w:t>
      </w:r>
      <w:r w:rsidRPr="00CE0885">
        <w:rPr>
          <w:spacing w:val="-1"/>
          <w:lang w:eastAsia="en-GB"/>
        </w:rPr>
        <w:t>h</w:t>
      </w:r>
      <w:r w:rsidRPr="00CE0885">
        <w:rPr>
          <w:lang w:eastAsia="en-GB"/>
        </w:rPr>
        <w:t>a</w:t>
      </w:r>
      <w:r w:rsidRPr="00CE0885">
        <w:rPr>
          <w:spacing w:val="-2"/>
          <w:lang w:eastAsia="en-GB"/>
        </w:rPr>
        <w:t>v</w:t>
      </w:r>
      <w:r w:rsidRPr="00CE0885">
        <w:rPr>
          <w:lang w:eastAsia="en-GB"/>
        </w:rPr>
        <w:t>e</w:t>
      </w:r>
      <w:r w:rsidRPr="00CE0885">
        <w:rPr>
          <w:spacing w:val="-3"/>
          <w:lang w:eastAsia="en-GB"/>
        </w:rPr>
        <w:t xml:space="preserve"> </w:t>
      </w:r>
      <w:r w:rsidRPr="00CE0885">
        <w:rPr>
          <w:lang w:eastAsia="en-GB"/>
        </w:rPr>
        <w:t>ins</w:t>
      </w:r>
      <w:r w:rsidRPr="00CE0885">
        <w:rPr>
          <w:spacing w:val="-1"/>
          <w:lang w:eastAsia="en-GB"/>
        </w:rPr>
        <w:t>u</w:t>
      </w:r>
      <w:r w:rsidRPr="00CE0885">
        <w:rPr>
          <w:lang w:eastAsia="en-GB"/>
        </w:rPr>
        <w:t>f</w:t>
      </w:r>
      <w:r w:rsidRPr="00CE0885">
        <w:rPr>
          <w:spacing w:val="3"/>
          <w:lang w:eastAsia="en-GB"/>
        </w:rPr>
        <w:t>f</w:t>
      </w:r>
      <w:r w:rsidRPr="00CE0885">
        <w:rPr>
          <w:lang w:eastAsia="en-GB"/>
        </w:rPr>
        <w:t>ic</w:t>
      </w:r>
      <w:r w:rsidRPr="00CE0885">
        <w:rPr>
          <w:spacing w:val="-3"/>
          <w:lang w:eastAsia="en-GB"/>
        </w:rPr>
        <w:t>i</w:t>
      </w:r>
      <w:r w:rsidRPr="00CE0885">
        <w:rPr>
          <w:lang w:eastAsia="en-GB"/>
        </w:rPr>
        <w:t>ent</w:t>
      </w:r>
      <w:r w:rsidRPr="00CE0885">
        <w:rPr>
          <w:spacing w:val="-12"/>
          <w:lang w:eastAsia="en-GB"/>
        </w:rPr>
        <w:t xml:space="preserve"> </w:t>
      </w:r>
      <w:r w:rsidRPr="00CE0885">
        <w:rPr>
          <w:lang w:eastAsia="en-GB"/>
        </w:rPr>
        <w:t>or</w:t>
      </w:r>
      <w:r w:rsidRPr="00CE0885">
        <w:rPr>
          <w:spacing w:val="-2"/>
          <w:lang w:eastAsia="en-GB"/>
        </w:rPr>
        <w:t xml:space="preserve"> </w:t>
      </w:r>
      <w:r w:rsidRPr="00CE0885">
        <w:rPr>
          <w:lang w:eastAsia="en-GB"/>
        </w:rPr>
        <w:t>o</w:t>
      </w:r>
      <w:r w:rsidRPr="00CE0885">
        <w:rPr>
          <w:spacing w:val="-1"/>
          <w:lang w:eastAsia="en-GB"/>
        </w:rPr>
        <w:t>u</w:t>
      </w:r>
      <w:r w:rsidRPr="00CE0885">
        <w:rPr>
          <w:lang w:eastAsia="en-GB"/>
        </w:rPr>
        <w:t>td</w:t>
      </w:r>
      <w:r w:rsidRPr="00CE0885">
        <w:rPr>
          <w:spacing w:val="-1"/>
          <w:lang w:eastAsia="en-GB"/>
        </w:rPr>
        <w:t>a</w:t>
      </w:r>
      <w:r w:rsidRPr="00CE0885">
        <w:rPr>
          <w:spacing w:val="-2"/>
          <w:lang w:eastAsia="en-GB"/>
        </w:rPr>
        <w:t>t</w:t>
      </w:r>
      <w:r w:rsidRPr="00CE0885">
        <w:rPr>
          <w:lang w:eastAsia="en-GB"/>
        </w:rPr>
        <w:t>ed</w:t>
      </w:r>
      <w:r w:rsidRPr="00CE0885">
        <w:rPr>
          <w:spacing w:val="-7"/>
          <w:lang w:eastAsia="en-GB"/>
        </w:rPr>
        <w:t xml:space="preserve"> </w:t>
      </w:r>
      <w:r w:rsidRPr="00CE0885">
        <w:rPr>
          <w:spacing w:val="-1"/>
          <w:lang w:eastAsia="en-GB"/>
        </w:rPr>
        <w:t>d</w:t>
      </w:r>
      <w:r w:rsidRPr="00CE0885">
        <w:rPr>
          <w:lang w:eastAsia="en-GB"/>
        </w:rPr>
        <w:t>oc</w:t>
      </w:r>
      <w:r w:rsidRPr="00CE0885">
        <w:rPr>
          <w:spacing w:val="-1"/>
          <w:lang w:eastAsia="en-GB"/>
        </w:rPr>
        <w:t>u</w:t>
      </w:r>
      <w:r w:rsidRPr="00CE0885">
        <w:rPr>
          <w:spacing w:val="2"/>
          <w:lang w:eastAsia="en-GB"/>
        </w:rPr>
        <w:t>m</w:t>
      </w:r>
      <w:r w:rsidRPr="00CE0885">
        <w:rPr>
          <w:spacing w:val="-1"/>
          <w:lang w:eastAsia="en-GB"/>
        </w:rPr>
        <w:t>e</w:t>
      </w:r>
      <w:r w:rsidRPr="00CE0885">
        <w:rPr>
          <w:lang w:eastAsia="en-GB"/>
        </w:rPr>
        <w:t xml:space="preserve">nts which can </w:t>
      </w:r>
      <w:r w:rsidRPr="00CE0885">
        <w:rPr>
          <w:spacing w:val="-1"/>
          <w:lang w:eastAsia="en-GB"/>
        </w:rPr>
        <w:t>o</w:t>
      </w:r>
      <w:r w:rsidRPr="00CE0885">
        <w:rPr>
          <w:spacing w:val="3"/>
          <w:lang w:eastAsia="en-GB"/>
        </w:rPr>
        <w:t>f</w:t>
      </w:r>
      <w:r w:rsidRPr="00CE0885">
        <w:rPr>
          <w:lang w:eastAsia="en-GB"/>
        </w:rPr>
        <w:t>t</w:t>
      </w:r>
      <w:r w:rsidRPr="00CE0885">
        <w:rPr>
          <w:spacing w:val="-1"/>
          <w:lang w:eastAsia="en-GB"/>
        </w:rPr>
        <w:t>e</w:t>
      </w:r>
      <w:r w:rsidRPr="00CE0885">
        <w:rPr>
          <w:lang w:eastAsia="en-GB"/>
        </w:rPr>
        <w:t>n</w:t>
      </w:r>
      <w:r w:rsidRPr="00CE0885">
        <w:rPr>
          <w:spacing w:val="-3"/>
          <w:lang w:eastAsia="en-GB"/>
        </w:rPr>
        <w:t xml:space="preserve"> </w:t>
      </w:r>
      <w:r w:rsidRPr="00CE0885">
        <w:rPr>
          <w:lang w:eastAsia="en-GB"/>
        </w:rPr>
        <w:t>le</w:t>
      </w:r>
      <w:r w:rsidRPr="00CE0885">
        <w:rPr>
          <w:spacing w:val="-1"/>
          <w:lang w:eastAsia="en-GB"/>
        </w:rPr>
        <w:t>a</w:t>
      </w:r>
      <w:r w:rsidRPr="00CE0885">
        <w:rPr>
          <w:lang w:eastAsia="en-GB"/>
        </w:rPr>
        <w:t>d</w:t>
      </w:r>
      <w:r w:rsidRPr="00CE0885">
        <w:rPr>
          <w:spacing w:val="-3"/>
          <w:lang w:eastAsia="en-GB"/>
        </w:rPr>
        <w:t xml:space="preserve"> </w:t>
      </w:r>
      <w:r w:rsidRPr="00CE0885">
        <w:rPr>
          <w:spacing w:val="-2"/>
          <w:lang w:eastAsia="en-GB"/>
        </w:rPr>
        <w:t>t</w:t>
      </w:r>
      <w:r w:rsidRPr="00CE0885">
        <w:rPr>
          <w:lang w:eastAsia="en-GB"/>
        </w:rPr>
        <w:t xml:space="preserve">o </w:t>
      </w:r>
      <w:r w:rsidRPr="00CE0885">
        <w:rPr>
          <w:spacing w:val="-2"/>
          <w:lang w:eastAsia="en-GB"/>
        </w:rPr>
        <w:t>v</w:t>
      </w:r>
      <w:r w:rsidRPr="00CE0885">
        <w:rPr>
          <w:lang w:eastAsia="en-GB"/>
        </w:rPr>
        <w:t>e</w:t>
      </w:r>
      <w:r w:rsidRPr="00CE0885">
        <w:rPr>
          <w:spacing w:val="-1"/>
          <w:lang w:eastAsia="en-GB"/>
        </w:rPr>
        <w:t>r</w:t>
      </w:r>
      <w:r w:rsidRPr="00CE0885">
        <w:rPr>
          <w:lang w:eastAsia="en-GB"/>
        </w:rPr>
        <w:t>y</w:t>
      </w:r>
      <w:r w:rsidRPr="00CE0885">
        <w:rPr>
          <w:spacing w:val="-7"/>
          <w:lang w:eastAsia="en-GB"/>
        </w:rPr>
        <w:t xml:space="preserve"> </w:t>
      </w:r>
      <w:r w:rsidRPr="00CE0885">
        <w:rPr>
          <w:lang w:eastAsia="en-GB"/>
        </w:rPr>
        <w:t>p</w:t>
      </w:r>
      <w:r w:rsidRPr="00CE0885">
        <w:rPr>
          <w:spacing w:val="-1"/>
          <w:lang w:eastAsia="en-GB"/>
        </w:rPr>
        <w:t>r</w:t>
      </w:r>
      <w:r w:rsidRPr="00CE0885">
        <w:rPr>
          <w:lang w:eastAsia="en-GB"/>
        </w:rPr>
        <w:t>ot</w:t>
      </w:r>
      <w:r w:rsidRPr="00CE0885">
        <w:rPr>
          <w:spacing w:val="2"/>
          <w:lang w:eastAsia="en-GB"/>
        </w:rPr>
        <w:t>r</w:t>
      </w:r>
      <w:r w:rsidRPr="00CE0885">
        <w:rPr>
          <w:lang w:eastAsia="en-GB"/>
        </w:rPr>
        <w:t>acted</w:t>
      </w:r>
      <w:r w:rsidRPr="00CE0885">
        <w:rPr>
          <w:spacing w:val="-12"/>
          <w:lang w:eastAsia="en-GB"/>
        </w:rPr>
        <w:t xml:space="preserve"> </w:t>
      </w:r>
      <w:r w:rsidRPr="00CE0885">
        <w:rPr>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lang w:eastAsia="en-GB"/>
        </w:rPr>
        <w:t>ac</w:t>
      </w:r>
      <w:r w:rsidRPr="00CE0885">
        <w:rPr>
          <w:spacing w:val="-1"/>
          <w:lang w:eastAsia="en-GB"/>
        </w:rPr>
        <w:t>r</w:t>
      </w:r>
      <w:r w:rsidRPr="00CE0885">
        <w:rPr>
          <w:lang w:eastAsia="en-GB"/>
        </w:rPr>
        <w:t>i</w:t>
      </w:r>
      <w:r w:rsidRPr="00CE0885">
        <w:rPr>
          <w:spacing w:val="-1"/>
          <w:lang w:eastAsia="en-GB"/>
        </w:rPr>
        <w:t>m</w:t>
      </w:r>
      <w:r w:rsidRPr="00CE0885">
        <w:rPr>
          <w:lang w:eastAsia="en-GB"/>
        </w:rPr>
        <w:t>oni</w:t>
      </w:r>
      <w:r w:rsidRPr="00CE0885">
        <w:rPr>
          <w:spacing w:val="-1"/>
          <w:lang w:eastAsia="en-GB"/>
        </w:rPr>
        <w:t>o</w:t>
      </w:r>
      <w:r w:rsidRPr="00CE0885">
        <w:rPr>
          <w:lang w:eastAsia="en-GB"/>
        </w:rPr>
        <w:t>us</w:t>
      </w:r>
      <w:r w:rsidRPr="00CE0885">
        <w:rPr>
          <w:spacing w:val="-15"/>
          <w:lang w:eastAsia="en-GB"/>
        </w:rPr>
        <w:t xml:space="preserve"> </w:t>
      </w:r>
      <w:r w:rsidRPr="00CE0885">
        <w:rPr>
          <w:lang w:eastAsia="en-GB"/>
        </w:rPr>
        <w:t>dispu</w:t>
      </w:r>
      <w:r w:rsidRPr="00CE0885">
        <w:rPr>
          <w:spacing w:val="-2"/>
          <w:lang w:eastAsia="en-GB"/>
        </w:rPr>
        <w:t>t</w:t>
      </w:r>
      <w:r w:rsidRPr="00CE0885">
        <w:rPr>
          <w:lang w:eastAsia="en-GB"/>
        </w:rPr>
        <w:t>es</w:t>
      </w:r>
      <w:r w:rsidRPr="00CE0885">
        <w:rPr>
          <w:spacing w:val="-9"/>
          <w:lang w:eastAsia="en-GB"/>
        </w:rPr>
        <w:t xml:space="preserve"> </w:t>
      </w:r>
      <w:r w:rsidRPr="00CE0885">
        <w:rPr>
          <w:spacing w:val="-1"/>
          <w:lang w:eastAsia="en-GB"/>
        </w:rPr>
        <w:t>b</w:t>
      </w:r>
      <w:r w:rsidRPr="00CE0885">
        <w:rPr>
          <w:lang w:eastAsia="en-GB"/>
        </w:rPr>
        <w:t>et</w:t>
      </w:r>
      <w:r w:rsidRPr="00CE0885">
        <w:rPr>
          <w:spacing w:val="-3"/>
          <w:lang w:eastAsia="en-GB"/>
        </w:rPr>
        <w:t>w</w:t>
      </w:r>
      <w:r w:rsidRPr="00CE0885">
        <w:rPr>
          <w:lang w:eastAsia="en-GB"/>
        </w:rPr>
        <w:t>een</w:t>
      </w:r>
      <w:r w:rsidRPr="00CE0885">
        <w:rPr>
          <w:spacing w:val="-7"/>
          <w:lang w:eastAsia="en-GB"/>
        </w:rPr>
        <w:t xml:space="preserve"> </w:t>
      </w:r>
      <w:r w:rsidRPr="00CE0885">
        <w:rPr>
          <w:spacing w:val="-2"/>
          <w:lang w:eastAsia="en-GB"/>
        </w:rPr>
        <w:t>t</w:t>
      </w:r>
      <w:r w:rsidRPr="00CE0885">
        <w:rPr>
          <w:lang w:eastAsia="en-GB"/>
        </w:rPr>
        <w:t>he pa</w:t>
      </w:r>
      <w:r w:rsidRPr="00CE0885">
        <w:rPr>
          <w:spacing w:val="-1"/>
          <w:lang w:eastAsia="en-GB"/>
        </w:rPr>
        <w:t>r</w:t>
      </w:r>
      <w:r w:rsidRPr="00CE0885">
        <w:rPr>
          <w:lang w:eastAsia="en-GB"/>
        </w:rPr>
        <w:t>tners.</w:t>
      </w:r>
      <w:bookmarkEnd w:id="689"/>
    </w:p>
    <w:p w14:paraId="4901F7D0" w14:textId="50E283B0" w:rsidR="00977693" w:rsidRPr="00CE0885" w:rsidRDefault="00977693" w:rsidP="006B781A">
      <w:pPr>
        <w:pStyle w:val="Heading3"/>
        <w:rPr>
          <w:lang w:eastAsia="en-GB"/>
        </w:rPr>
      </w:pPr>
      <w:bookmarkStart w:id="690" w:name="_Toc440981800"/>
      <w:r w:rsidRPr="00CE0885">
        <w:rPr>
          <w:lang w:eastAsia="en-GB"/>
        </w:rPr>
        <w:t>The Commissioner</w:t>
      </w:r>
      <w:r w:rsidRPr="00CE0885">
        <w:rPr>
          <w:spacing w:val="-7"/>
          <w:lang w:eastAsia="en-GB"/>
        </w:rPr>
        <w:t xml:space="preserve"> </w:t>
      </w:r>
      <w:r w:rsidRPr="00CE0885">
        <w:rPr>
          <w:spacing w:val="-2"/>
          <w:lang w:eastAsia="en-GB"/>
        </w:rPr>
        <w:t>s</w:t>
      </w:r>
      <w:r w:rsidRPr="00CE0885">
        <w:rPr>
          <w:spacing w:val="1"/>
          <w:lang w:eastAsia="en-GB"/>
        </w:rPr>
        <w:t>hou</w:t>
      </w:r>
      <w:r w:rsidRPr="00CE0885">
        <w:rPr>
          <w:spacing w:val="-3"/>
          <w:lang w:eastAsia="en-GB"/>
        </w:rPr>
        <w:t>l</w:t>
      </w:r>
      <w:r w:rsidRPr="00CE0885">
        <w:rPr>
          <w:lang w:eastAsia="en-GB"/>
        </w:rPr>
        <w:t>d</w:t>
      </w:r>
      <w:r w:rsidRPr="00CE0885">
        <w:rPr>
          <w:spacing w:val="-5"/>
          <w:lang w:eastAsia="en-GB"/>
        </w:rPr>
        <w:t xml:space="preserve"> </w:t>
      </w:r>
      <w:r w:rsidRPr="00CE0885">
        <w:rPr>
          <w:spacing w:val="-1"/>
          <w:lang w:eastAsia="en-GB"/>
        </w:rPr>
        <w:t>n</w:t>
      </w:r>
      <w:r w:rsidRPr="00CE0885">
        <w:rPr>
          <w:spacing w:val="1"/>
          <w:lang w:eastAsia="en-GB"/>
        </w:rPr>
        <w:t>o</w:t>
      </w:r>
      <w:r w:rsidRPr="00CE0885">
        <w:rPr>
          <w:lang w:eastAsia="en-GB"/>
        </w:rPr>
        <w:t>t</w:t>
      </w:r>
      <w:r w:rsidRPr="00CE0885">
        <w:rPr>
          <w:spacing w:val="-2"/>
          <w:lang w:eastAsia="en-GB"/>
        </w:rPr>
        <w:t xml:space="preserve"> </w:t>
      </w:r>
      <w:r w:rsidRPr="00CE0885">
        <w:rPr>
          <w:spacing w:val="-1"/>
          <w:lang w:eastAsia="en-GB"/>
        </w:rPr>
        <w:t>g</w:t>
      </w:r>
      <w:r w:rsidRPr="00CE0885">
        <w:rPr>
          <w:spacing w:val="1"/>
          <w:lang w:eastAsia="en-GB"/>
        </w:rPr>
        <w:t>e</w:t>
      </w:r>
      <w:r w:rsidRPr="00CE0885">
        <w:rPr>
          <w:lang w:eastAsia="en-GB"/>
        </w:rPr>
        <w:t>t</w:t>
      </w:r>
      <w:r w:rsidRPr="00CE0885">
        <w:rPr>
          <w:spacing w:val="-2"/>
          <w:lang w:eastAsia="en-GB"/>
        </w:rPr>
        <w:t xml:space="preserve"> </w:t>
      </w:r>
      <w:r w:rsidRPr="00CE0885">
        <w:rPr>
          <w:lang w:eastAsia="en-GB"/>
        </w:rPr>
        <w:t>i</w:t>
      </w:r>
      <w:r w:rsidRPr="00CE0885">
        <w:rPr>
          <w:spacing w:val="1"/>
          <w:lang w:eastAsia="en-GB"/>
        </w:rPr>
        <w:t>n</w:t>
      </w:r>
      <w:r w:rsidRPr="00CE0885">
        <w:rPr>
          <w:spacing w:val="-2"/>
          <w:lang w:eastAsia="en-GB"/>
        </w:rPr>
        <w:t>v</w:t>
      </w:r>
      <w:r w:rsidRPr="00CE0885">
        <w:rPr>
          <w:spacing w:val="1"/>
          <w:lang w:eastAsia="en-GB"/>
        </w:rPr>
        <w:t>o</w:t>
      </w:r>
      <w:r w:rsidRPr="00CE0885">
        <w:rPr>
          <w:lang w:eastAsia="en-GB"/>
        </w:rPr>
        <w:t>l</w:t>
      </w:r>
      <w:r w:rsidRPr="00CE0885">
        <w:rPr>
          <w:spacing w:val="-2"/>
          <w:lang w:eastAsia="en-GB"/>
        </w:rPr>
        <w:t>v</w:t>
      </w:r>
      <w:r w:rsidRPr="00CE0885">
        <w:rPr>
          <w:spacing w:val="1"/>
          <w:lang w:eastAsia="en-GB"/>
        </w:rPr>
        <w:t>e</w:t>
      </w:r>
      <w:r w:rsidRPr="00CE0885">
        <w:rPr>
          <w:lang w:eastAsia="en-GB"/>
        </w:rPr>
        <w:t>d</w:t>
      </w:r>
      <w:r w:rsidRPr="00CE0885">
        <w:rPr>
          <w:spacing w:val="-7"/>
          <w:lang w:eastAsia="en-GB"/>
        </w:rPr>
        <w:t xml:space="preserve"> </w:t>
      </w:r>
      <w:r w:rsidRPr="00CE0885">
        <w:rPr>
          <w:lang w:eastAsia="en-GB"/>
        </w:rPr>
        <w:t xml:space="preserve">in </w:t>
      </w:r>
      <w:r w:rsidRPr="00CE0885">
        <w:rPr>
          <w:spacing w:val="1"/>
          <w:lang w:eastAsia="en-GB"/>
        </w:rPr>
        <w:t>e</w:t>
      </w:r>
      <w:r w:rsidRPr="00CE0885">
        <w:rPr>
          <w:spacing w:val="-1"/>
          <w:lang w:eastAsia="en-GB"/>
        </w:rPr>
        <w:t>n</w:t>
      </w:r>
      <w:r w:rsidRPr="00CE0885">
        <w:rPr>
          <w:spacing w:val="1"/>
          <w:lang w:eastAsia="en-GB"/>
        </w:rPr>
        <w:t>d</w:t>
      </w:r>
      <w:r w:rsidRPr="00CE0885">
        <w:rPr>
          <w:spacing w:val="-1"/>
          <w:lang w:eastAsia="en-GB"/>
        </w:rPr>
        <w:t>e</w:t>
      </w:r>
      <w:r w:rsidRPr="00CE0885">
        <w:rPr>
          <w:spacing w:val="1"/>
          <w:lang w:eastAsia="en-GB"/>
        </w:rPr>
        <w:t>a</w:t>
      </w:r>
      <w:r w:rsidRPr="00CE0885">
        <w:rPr>
          <w:spacing w:val="-2"/>
          <w:lang w:eastAsia="en-GB"/>
        </w:rPr>
        <w:t>v</w:t>
      </w:r>
      <w:r w:rsidRPr="00CE0885">
        <w:rPr>
          <w:spacing w:val="1"/>
          <w:lang w:eastAsia="en-GB"/>
        </w:rPr>
        <w:t>ou</w:t>
      </w:r>
      <w:r w:rsidRPr="00CE0885">
        <w:rPr>
          <w:spacing w:val="-1"/>
          <w:lang w:eastAsia="en-GB"/>
        </w:rPr>
        <w:t>r</w:t>
      </w:r>
      <w:r w:rsidRPr="00CE0885">
        <w:rPr>
          <w:lang w:eastAsia="en-GB"/>
        </w:rPr>
        <w:t>i</w:t>
      </w:r>
      <w:r w:rsidRPr="00CE0885">
        <w:rPr>
          <w:spacing w:val="1"/>
          <w:lang w:eastAsia="en-GB"/>
        </w:rPr>
        <w:t>n</w:t>
      </w:r>
      <w:r w:rsidRPr="00CE0885">
        <w:rPr>
          <w:lang w:eastAsia="en-GB"/>
        </w:rPr>
        <w:t>g</w:t>
      </w:r>
      <w:r w:rsidRPr="00CE0885">
        <w:rPr>
          <w:spacing w:val="-16"/>
          <w:lang w:eastAsia="en-GB"/>
        </w:rPr>
        <w:t xml:space="preserve"> </w:t>
      </w:r>
      <w:r w:rsidRPr="00CE0885">
        <w:rPr>
          <w:spacing w:val="1"/>
          <w:lang w:eastAsia="en-GB"/>
        </w:rPr>
        <w:t>t</w:t>
      </w:r>
      <w:r w:rsidRPr="00CE0885">
        <w:rPr>
          <w:lang w:eastAsia="en-GB"/>
        </w:rPr>
        <w:t xml:space="preserve">o </w:t>
      </w:r>
      <w:r w:rsidRPr="00CE0885">
        <w:rPr>
          <w:spacing w:val="-1"/>
          <w:lang w:eastAsia="en-GB"/>
        </w:rPr>
        <w:t>r</w:t>
      </w:r>
      <w:r w:rsidRPr="00CE0885">
        <w:rPr>
          <w:spacing w:val="1"/>
          <w:lang w:eastAsia="en-GB"/>
        </w:rPr>
        <w:t>e</w:t>
      </w:r>
      <w:r w:rsidRPr="00CE0885">
        <w:rPr>
          <w:lang w:eastAsia="en-GB"/>
        </w:rPr>
        <w:t>s</w:t>
      </w:r>
      <w:r w:rsidRPr="00CE0885">
        <w:rPr>
          <w:spacing w:val="1"/>
          <w:lang w:eastAsia="en-GB"/>
        </w:rPr>
        <w:t>o</w:t>
      </w:r>
      <w:r w:rsidRPr="00CE0885">
        <w:rPr>
          <w:lang w:eastAsia="en-GB"/>
        </w:rPr>
        <w:t>l</w:t>
      </w:r>
      <w:r w:rsidRPr="00CE0885">
        <w:rPr>
          <w:spacing w:val="-2"/>
          <w:lang w:eastAsia="en-GB"/>
        </w:rPr>
        <w:t>v</w:t>
      </w:r>
      <w:r w:rsidRPr="00CE0885">
        <w:rPr>
          <w:lang w:eastAsia="en-GB"/>
        </w:rPr>
        <w:t>e</w:t>
      </w:r>
      <w:r w:rsidRPr="00CE0885">
        <w:rPr>
          <w:spacing w:val="-6"/>
          <w:lang w:eastAsia="en-GB"/>
        </w:rPr>
        <w:t xml:space="preserve"> </w:t>
      </w:r>
      <w:r w:rsidRPr="00CE0885">
        <w:rPr>
          <w:spacing w:val="1"/>
          <w:lang w:eastAsia="en-GB"/>
        </w:rPr>
        <w:t>th</w:t>
      </w:r>
      <w:r w:rsidRPr="00CE0885">
        <w:rPr>
          <w:lang w:eastAsia="en-GB"/>
        </w:rPr>
        <w:t xml:space="preserve">e </w:t>
      </w:r>
      <w:r w:rsidRPr="00CE0885">
        <w:rPr>
          <w:spacing w:val="1"/>
          <w:lang w:eastAsia="en-GB"/>
        </w:rPr>
        <w:t>d</w:t>
      </w:r>
      <w:r w:rsidRPr="00CE0885">
        <w:rPr>
          <w:lang w:eastAsia="en-GB"/>
        </w:rPr>
        <w:t>is</w:t>
      </w:r>
      <w:r w:rsidRPr="00CE0885">
        <w:rPr>
          <w:spacing w:val="1"/>
          <w:lang w:eastAsia="en-GB"/>
        </w:rPr>
        <w:t>pu</w:t>
      </w:r>
      <w:r w:rsidRPr="00CE0885">
        <w:rPr>
          <w:spacing w:val="-2"/>
          <w:lang w:eastAsia="en-GB"/>
        </w:rPr>
        <w:t>t</w:t>
      </w:r>
      <w:r w:rsidRPr="00CE0885">
        <w:rPr>
          <w:lang w:eastAsia="en-GB"/>
        </w:rPr>
        <w:t>e</w:t>
      </w:r>
      <w:r w:rsidRPr="00CE0885">
        <w:rPr>
          <w:spacing w:val="-6"/>
          <w:lang w:eastAsia="en-GB"/>
        </w:rPr>
        <w:t xml:space="preserve"> </w:t>
      </w:r>
      <w:r w:rsidRPr="00CE0885">
        <w:rPr>
          <w:spacing w:val="1"/>
          <w:lang w:eastAsia="en-GB"/>
        </w:rPr>
        <w:t>b</w:t>
      </w:r>
      <w:r w:rsidRPr="00CE0885">
        <w:rPr>
          <w:spacing w:val="-1"/>
          <w:lang w:eastAsia="en-GB"/>
        </w:rPr>
        <w:t>e</w:t>
      </w:r>
      <w:r w:rsidRPr="00CE0885">
        <w:rPr>
          <w:spacing w:val="1"/>
          <w:lang w:eastAsia="en-GB"/>
        </w:rPr>
        <w:t>t</w:t>
      </w:r>
      <w:r w:rsidRPr="00CE0885">
        <w:rPr>
          <w:spacing w:val="-3"/>
          <w:lang w:eastAsia="en-GB"/>
        </w:rPr>
        <w:t>w</w:t>
      </w:r>
      <w:r w:rsidRPr="00CE0885">
        <w:rPr>
          <w:spacing w:val="1"/>
          <w:lang w:eastAsia="en-GB"/>
        </w:rPr>
        <w:t>ee</w:t>
      </w:r>
      <w:r w:rsidRPr="00CE0885">
        <w:rPr>
          <w:lang w:eastAsia="en-GB"/>
        </w:rPr>
        <w:t>n</w:t>
      </w:r>
      <w:r w:rsidRPr="00CE0885">
        <w:rPr>
          <w:spacing w:val="-7"/>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p</w:t>
      </w:r>
      <w:r w:rsidRPr="00CE0885">
        <w:rPr>
          <w:spacing w:val="1"/>
          <w:lang w:eastAsia="en-GB"/>
        </w:rPr>
        <w:t>a</w:t>
      </w:r>
      <w:r w:rsidRPr="00CE0885">
        <w:rPr>
          <w:spacing w:val="-1"/>
          <w:lang w:eastAsia="en-GB"/>
        </w:rPr>
        <w:t>r</w:t>
      </w:r>
      <w:r w:rsidRPr="00CE0885">
        <w:rPr>
          <w:spacing w:val="1"/>
          <w:lang w:eastAsia="en-GB"/>
        </w:rPr>
        <w:t>tne</w:t>
      </w:r>
      <w:r w:rsidRPr="00CE0885">
        <w:rPr>
          <w:spacing w:val="-1"/>
          <w:lang w:eastAsia="en-GB"/>
        </w:rPr>
        <w:t>r</w:t>
      </w:r>
      <w:r w:rsidRPr="00CE0885">
        <w:rPr>
          <w:lang w:eastAsia="en-GB"/>
        </w:rPr>
        <w:t>s,</w:t>
      </w:r>
      <w:r w:rsidRPr="00CE0885">
        <w:rPr>
          <w:spacing w:val="-8"/>
          <w:lang w:eastAsia="en-GB"/>
        </w:rPr>
        <w:t xml:space="preserve"> </w:t>
      </w:r>
      <w:r w:rsidRPr="00CE0885">
        <w:rPr>
          <w:lang w:eastAsia="en-GB"/>
        </w:rPr>
        <w:t>i</w:t>
      </w:r>
      <w:r w:rsidRPr="00CE0885">
        <w:rPr>
          <w:spacing w:val="1"/>
          <w:lang w:eastAsia="en-GB"/>
        </w:rPr>
        <w:t>n</w:t>
      </w:r>
      <w:r w:rsidRPr="00CE0885">
        <w:rPr>
          <w:spacing w:val="-2"/>
          <w:lang w:eastAsia="en-GB"/>
        </w:rPr>
        <w:t>s</w:t>
      </w:r>
      <w:r w:rsidRPr="00CE0885">
        <w:rPr>
          <w:spacing w:val="1"/>
          <w:lang w:eastAsia="en-GB"/>
        </w:rPr>
        <w:t>te</w:t>
      </w:r>
      <w:r w:rsidRPr="00CE0885">
        <w:rPr>
          <w:spacing w:val="-1"/>
          <w:lang w:eastAsia="en-GB"/>
        </w:rPr>
        <w:t>a</w:t>
      </w:r>
      <w:r w:rsidRPr="00CE0885">
        <w:rPr>
          <w:lang w:eastAsia="en-GB"/>
        </w:rPr>
        <w:t>d</w:t>
      </w:r>
      <w:r w:rsidRPr="00CE0885">
        <w:rPr>
          <w:spacing w:val="-6"/>
          <w:lang w:eastAsia="en-GB"/>
        </w:rPr>
        <w:t xml:space="preserve"> </w:t>
      </w:r>
      <w:r w:rsidRPr="00CE0885">
        <w:rPr>
          <w:lang w:eastAsia="en-GB"/>
        </w:rPr>
        <w:t>i</w:t>
      </w:r>
      <w:r w:rsidRPr="00CE0885">
        <w:rPr>
          <w:spacing w:val="1"/>
          <w:lang w:eastAsia="en-GB"/>
        </w:rPr>
        <w:t>n</w:t>
      </w:r>
      <w:r w:rsidRPr="00CE0885">
        <w:rPr>
          <w:lang w:eastAsia="en-GB"/>
        </w:rPr>
        <w:t>sis</w:t>
      </w:r>
      <w:r w:rsidRPr="00CE0885">
        <w:rPr>
          <w:spacing w:val="1"/>
          <w:lang w:eastAsia="en-GB"/>
        </w:rPr>
        <w:t>t</w:t>
      </w:r>
      <w:r w:rsidRPr="00CE0885">
        <w:rPr>
          <w:lang w:eastAsia="en-GB"/>
        </w:rPr>
        <w:t>i</w:t>
      </w:r>
      <w:r w:rsidRPr="00CE0885">
        <w:rPr>
          <w:spacing w:val="-1"/>
          <w:lang w:eastAsia="en-GB"/>
        </w:rPr>
        <w:t>n</w:t>
      </w:r>
      <w:r w:rsidRPr="00CE0885">
        <w:rPr>
          <w:lang w:eastAsia="en-GB"/>
        </w:rPr>
        <w:t>g</w:t>
      </w:r>
      <w:r w:rsidRPr="00CE0885">
        <w:rPr>
          <w:spacing w:val="-10"/>
          <w:lang w:eastAsia="en-GB"/>
        </w:rPr>
        <w:t xml:space="preserve"> </w:t>
      </w:r>
      <w:r w:rsidRPr="00CE0885">
        <w:rPr>
          <w:spacing w:val="1"/>
          <w:lang w:eastAsia="en-GB"/>
        </w:rPr>
        <w:t>tha</w:t>
      </w:r>
      <w:r w:rsidRPr="00CE0885">
        <w:rPr>
          <w:lang w:eastAsia="en-GB"/>
        </w:rPr>
        <w:t>t</w:t>
      </w:r>
      <w:r w:rsidRPr="00CE0885">
        <w:rPr>
          <w:spacing w:val="-3"/>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spacing w:val="1"/>
          <w:lang w:eastAsia="en-GB"/>
        </w:rPr>
        <w:t>pa</w:t>
      </w:r>
      <w:r w:rsidRPr="00CE0885">
        <w:rPr>
          <w:spacing w:val="-1"/>
          <w:lang w:eastAsia="en-GB"/>
        </w:rPr>
        <w:t>r</w:t>
      </w:r>
      <w:r w:rsidRPr="00CE0885">
        <w:rPr>
          <w:spacing w:val="1"/>
          <w:lang w:eastAsia="en-GB"/>
        </w:rPr>
        <w:t>t</w:t>
      </w:r>
      <w:r w:rsidRPr="00CE0885">
        <w:rPr>
          <w:lang w:eastAsia="en-GB"/>
        </w:rPr>
        <w:t>i</w:t>
      </w:r>
      <w:r w:rsidRPr="00CE0885">
        <w:rPr>
          <w:spacing w:val="1"/>
          <w:lang w:eastAsia="en-GB"/>
        </w:rPr>
        <w:t>e</w:t>
      </w:r>
      <w:r w:rsidRPr="00CE0885">
        <w:rPr>
          <w:lang w:eastAsia="en-GB"/>
        </w:rPr>
        <w:t>s</w:t>
      </w:r>
      <w:r w:rsidRPr="00CE0885">
        <w:rPr>
          <w:spacing w:val="-9"/>
          <w:lang w:eastAsia="en-GB"/>
        </w:rPr>
        <w:t xml:space="preserve"> </w:t>
      </w:r>
      <w:r w:rsidRPr="00CE0885">
        <w:rPr>
          <w:spacing w:val="1"/>
          <w:lang w:eastAsia="en-GB"/>
        </w:rPr>
        <w:t>not</w:t>
      </w:r>
      <w:r w:rsidRPr="00CE0885">
        <w:rPr>
          <w:spacing w:val="-3"/>
          <w:lang w:eastAsia="en-GB"/>
        </w:rPr>
        <w:t>i</w:t>
      </w:r>
      <w:r w:rsidRPr="00CE0885">
        <w:rPr>
          <w:spacing w:val="3"/>
          <w:lang w:eastAsia="en-GB"/>
        </w:rPr>
        <w:t>f</w:t>
      </w:r>
      <w:r w:rsidRPr="00CE0885">
        <w:rPr>
          <w:lang w:eastAsia="en-GB"/>
        </w:rPr>
        <w:t>y the Commissioner</w:t>
      </w:r>
      <w:r w:rsidRPr="00CE0885">
        <w:rPr>
          <w:spacing w:val="-10"/>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2"/>
          <w:lang w:eastAsia="en-GB"/>
        </w:rPr>
        <w:t>t</w:t>
      </w:r>
      <w:r w:rsidRPr="00CE0885">
        <w:rPr>
          <w:spacing w:val="1"/>
          <w:lang w:eastAsia="en-GB"/>
        </w:rPr>
        <w:t>he</w:t>
      </w:r>
      <w:r w:rsidRPr="00CE0885">
        <w:rPr>
          <w:lang w:eastAsia="en-GB"/>
        </w:rPr>
        <w:t>ir</w:t>
      </w:r>
      <w:r w:rsidRPr="00CE0885">
        <w:rPr>
          <w:spacing w:val="-8"/>
          <w:lang w:eastAsia="en-GB"/>
        </w:rPr>
        <w:t xml:space="preserve"> </w:t>
      </w:r>
      <w:r w:rsidRPr="00CE0885">
        <w:rPr>
          <w:spacing w:val="3"/>
          <w:lang w:eastAsia="en-GB"/>
        </w:rPr>
        <w:t>f</w:t>
      </w:r>
      <w:r w:rsidRPr="00CE0885">
        <w:rPr>
          <w:spacing w:val="-3"/>
          <w:lang w:eastAsia="en-GB"/>
        </w:rPr>
        <w:t>i</w:t>
      </w:r>
      <w:r w:rsidRPr="00CE0885">
        <w:rPr>
          <w:spacing w:val="1"/>
          <w:lang w:eastAsia="en-GB"/>
        </w:rPr>
        <w:t>na</w:t>
      </w:r>
      <w:r w:rsidRPr="00CE0885">
        <w:rPr>
          <w:lang w:eastAsia="en-GB"/>
        </w:rPr>
        <w:t>l</w:t>
      </w:r>
      <w:r w:rsidRPr="00CE0885">
        <w:rPr>
          <w:spacing w:val="-4"/>
          <w:lang w:eastAsia="en-GB"/>
        </w:rPr>
        <w:t xml:space="preserve"> </w:t>
      </w:r>
      <w:r w:rsidRPr="00CE0885">
        <w:rPr>
          <w:spacing w:val="-1"/>
          <w:lang w:eastAsia="en-GB"/>
        </w:rPr>
        <w:t>d</w:t>
      </w:r>
      <w:r w:rsidRPr="00CE0885">
        <w:rPr>
          <w:spacing w:val="1"/>
          <w:lang w:eastAsia="en-GB"/>
        </w:rPr>
        <w:t>e</w:t>
      </w:r>
      <w:r w:rsidRPr="00CE0885">
        <w:rPr>
          <w:lang w:eastAsia="en-GB"/>
        </w:rPr>
        <w:t>cisi</w:t>
      </w:r>
      <w:r w:rsidRPr="00CE0885">
        <w:rPr>
          <w:spacing w:val="1"/>
          <w:lang w:eastAsia="en-GB"/>
        </w:rPr>
        <w:t>o</w:t>
      </w:r>
      <w:r w:rsidRPr="00CE0885">
        <w:rPr>
          <w:lang w:eastAsia="en-GB"/>
        </w:rPr>
        <w:t>n</w:t>
      </w:r>
      <w:r w:rsidRPr="00CE0885">
        <w:rPr>
          <w:spacing w:val="-7"/>
          <w:lang w:eastAsia="en-GB"/>
        </w:rPr>
        <w:t xml:space="preserve"> </w:t>
      </w:r>
      <w:r w:rsidRPr="00CE0885">
        <w:rPr>
          <w:spacing w:val="-3"/>
          <w:lang w:eastAsia="en-GB"/>
        </w:rPr>
        <w:t>w</w:t>
      </w:r>
      <w:r w:rsidRPr="00CE0885">
        <w:rPr>
          <w:spacing w:val="1"/>
          <w:lang w:eastAsia="en-GB"/>
        </w:rPr>
        <w:t>he</w:t>
      </w:r>
      <w:r w:rsidRPr="00CE0885">
        <w:rPr>
          <w:lang w:eastAsia="en-GB"/>
        </w:rPr>
        <w:t>n</w:t>
      </w:r>
      <w:r w:rsidRPr="00CE0885">
        <w:rPr>
          <w:spacing w:val="-4"/>
          <w:lang w:eastAsia="en-GB"/>
        </w:rPr>
        <w:t xml:space="preserve"> </w:t>
      </w:r>
      <w:r w:rsidRPr="00CE0885">
        <w:rPr>
          <w:lang w:eastAsia="en-GB"/>
        </w:rPr>
        <w:t>it is</w:t>
      </w:r>
      <w:r w:rsidRPr="00CE0885">
        <w:rPr>
          <w:spacing w:val="-4"/>
          <w:lang w:eastAsia="en-GB"/>
        </w:rPr>
        <w:t xml:space="preserve"> </w:t>
      </w:r>
      <w:r w:rsidRPr="00CE0885">
        <w:rPr>
          <w:spacing w:val="-1"/>
          <w:lang w:eastAsia="en-GB"/>
        </w:rPr>
        <w:t>r</w:t>
      </w:r>
      <w:r w:rsidRPr="00CE0885">
        <w:rPr>
          <w:spacing w:val="1"/>
          <w:lang w:eastAsia="en-GB"/>
        </w:rPr>
        <w:t>ea</w:t>
      </w:r>
      <w:r w:rsidRPr="00CE0885">
        <w:rPr>
          <w:lang w:eastAsia="en-GB"/>
        </w:rPr>
        <w:t>c</w:t>
      </w:r>
      <w:r w:rsidRPr="00CE0885">
        <w:rPr>
          <w:spacing w:val="1"/>
          <w:lang w:eastAsia="en-GB"/>
        </w:rPr>
        <w:t>h</w:t>
      </w:r>
      <w:r w:rsidRPr="00CE0885">
        <w:rPr>
          <w:spacing w:val="-1"/>
          <w:lang w:eastAsia="en-GB"/>
        </w:rPr>
        <w:t>e</w:t>
      </w:r>
      <w:r w:rsidRPr="00CE0885">
        <w:rPr>
          <w:spacing w:val="1"/>
          <w:lang w:eastAsia="en-GB"/>
        </w:rPr>
        <w:t>d</w:t>
      </w:r>
      <w:r w:rsidRPr="00CE0885">
        <w:rPr>
          <w:lang w:eastAsia="en-GB"/>
        </w:rPr>
        <w:t>.</w:t>
      </w:r>
      <w:bookmarkEnd w:id="690"/>
    </w:p>
    <w:p w14:paraId="6B8CB47C" w14:textId="3E4C1C32" w:rsidR="00977693" w:rsidRPr="00CE0885" w:rsidRDefault="00977693" w:rsidP="006B781A">
      <w:pPr>
        <w:pStyle w:val="Heading3"/>
        <w:rPr>
          <w:lang w:eastAsia="en-GB"/>
        </w:rPr>
      </w:pPr>
      <w:bookmarkStart w:id="691" w:name="_Toc440981801"/>
      <w:r w:rsidRPr="00CE0885">
        <w:rPr>
          <w:spacing w:val="1"/>
          <w:lang w:eastAsia="en-GB"/>
        </w:rPr>
        <w:t>I</w:t>
      </w:r>
      <w:r w:rsidRPr="00CE0885">
        <w:rPr>
          <w:lang w:eastAsia="en-GB"/>
        </w:rPr>
        <w:t>t is</w:t>
      </w:r>
      <w:r w:rsidRPr="00CE0885">
        <w:rPr>
          <w:spacing w:val="-2"/>
          <w:lang w:eastAsia="en-GB"/>
        </w:rPr>
        <w:t xml:space="preserve"> </w:t>
      </w:r>
      <w:r w:rsidRPr="00CE0885">
        <w:rPr>
          <w:lang w:eastAsia="en-GB"/>
        </w:rPr>
        <w:t>lik</w:t>
      </w:r>
      <w:r w:rsidRPr="00CE0885">
        <w:rPr>
          <w:spacing w:val="1"/>
          <w:lang w:eastAsia="en-GB"/>
        </w:rPr>
        <w:t>e</w:t>
      </w:r>
      <w:r w:rsidRPr="00CE0885">
        <w:rPr>
          <w:lang w:eastAsia="en-GB"/>
        </w:rPr>
        <w:t>ly</w:t>
      </w:r>
      <w:r w:rsidRPr="00CE0885">
        <w:rPr>
          <w:spacing w:val="-7"/>
          <w:lang w:eastAsia="en-GB"/>
        </w:rPr>
        <w:t xml:space="preserve"> </w:t>
      </w:r>
      <w:r w:rsidRPr="00CE0885">
        <w:rPr>
          <w:spacing w:val="1"/>
          <w:lang w:eastAsia="en-GB"/>
        </w:rPr>
        <w:t>tha</w:t>
      </w:r>
      <w:r w:rsidRPr="00CE0885">
        <w:rPr>
          <w:lang w:eastAsia="en-GB"/>
        </w:rPr>
        <w:t>t</w:t>
      </w:r>
      <w:r w:rsidRPr="00CE0885">
        <w:rPr>
          <w:spacing w:val="-3"/>
          <w:lang w:eastAsia="en-GB"/>
        </w:rPr>
        <w:t xml:space="preserve"> </w:t>
      </w:r>
      <w:r w:rsidRPr="00CE0885">
        <w:rPr>
          <w:lang w:eastAsia="en-GB"/>
        </w:rPr>
        <w:t>the Commissioner</w:t>
      </w:r>
      <w:r w:rsidRPr="00CE0885">
        <w:rPr>
          <w:spacing w:val="-7"/>
          <w:lang w:eastAsia="en-GB"/>
        </w:rPr>
        <w:t xml:space="preserve"> </w:t>
      </w:r>
      <w:r w:rsidRPr="00CE0885">
        <w:rPr>
          <w:spacing w:val="-3"/>
          <w:lang w:eastAsia="en-GB"/>
        </w:rPr>
        <w:t>w</w:t>
      </w:r>
      <w:r w:rsidRPr="00CE0885">
        <w:rPr>
          <w:lang w:eastAsia="en-GB"/>
        </w:rPr>
        <w:t>ill</w:t>
      </w:r>
      <w:r w:rsidRPr="00CE0885">
        <w:rPr>
          <w:spacing w:val="-1"/>
          <w:lang w:eastAsia="en-GB"/>
        </w:rPr>
        <w:t xml:space="preserve"> </w:t>
      </w:r>
      <w:r w:rsidRPr="00CE0885">
        <w:rPr>
          <w:spacing w:val="1"/>
          <w:lang w:eastAsia="en-GB"/>
        </w:rPr>
        <w:t>ha</w:t>
      </w:r>
      <w:r w:rsidRPr="00CE0885">
        <w:rPr>
          <w:spacing w:val="-2"/>
          <w:lang w:eastAsia="en-GB"/>
        </w:rPr>
        <w:t>v</w:t>
      </w:r>
      <w:r w:rsidRPr="00CE0885">
        <w:rPr>
          <w:lang w:eastAsia="en-GB"/>
        </w:rPr>
        <w:t>e</w:t>
      </w:r>
      <w:r w:rsidRPr="00CE0885">
        <w:rPr>
          <w:spacing w:val="-3"/>
          <w:lang w:eastAsia="en-GB"/>
        </w:rPr>
        <w:t xml:space="preserve"> </w:t>
      </w:r>
      <w:r w:rsidRPr="00CE0885">
        <w:rPr>
          <w:spacing w:val="1"/>
          <w:lang w:eastAsia="en-GB"/>
        </w:rPr>
        <w:t>n</w:t>
      </w:r>
      <w:r w:rsidRPr="00CE0885">
        <w:rPr>
          <w:spacing w:val="-1"/>
          <w:lang w:eastAsia="en-GB"/>
        </w:rPr>
        <w:t>u</w:t>
      </w:r>
      <w:r w:rsidRPr="00CE0885">
        <w:rPr>
          <w:spacing w:val="2"/>
          <w:lang w:eastAsia="en-GB"/>
        </w:rPr>
        <w:t>m</w:t>
      </w:r>
      <w:r w:rsidRPr="00CE0885">
        <w:rPr>
          <w:spacing w:val="1"/>
          <w:lang w:eastAsia="en-GB"/>
        </w:rPr>
        <w:t>e</w:t>
      </w:r>
      <w:r w:rsidRPr="00CE0885">
        <w:rPr>
          <w:spacing w:val="-1"/>
          <w:lang w:eastAsia="en-GB"/>
        </w:rPr>
        <w:t>ro</w:t>
      </w:r>
      <w:r w:rsidRPr="00CE0885">
        <w:rPr>
          <w:spacing w:val="1"/>
          <w:lang w:eastAsia="en-GB"/>
        </w:rPr>
        <w:t>u</w:t>
      </w:r>
      <w:r w:rsidRPr="00CE0885">
        <w:rPr>
          <w:lang w:eastAsia="en-GB"/>
        </w:rPr>
        <w:t>s</w:t>
      </w:r>
      <w:r w:rsidRPr="00CE0885">
        <w:rPr>
          <w:spacing w:val="-11"/>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a</w:t>
      </w:r>
      <w:r w:rsidRPr="00CE0885">
        <w:rPr>
          <w:lang w:eastAsia="en-GB"/>
        </w:rPr>
        <w:t>c</w:t>
      </w:r>
      <w:r w:rsidRPr="00CE0885">
        <w:rPr>
          <w:spacing w:val="1"/>
          <w:lang w:eastAsia="en-GB"/>
        </w:rPr>
        <w:t>t</w:t>
      </w:r>
      <w:r w:rsidRPr="00CE0885">
        <w:rPr>
          <w:lang w:eastAsia="en-GB"/>
        </w:rPr>
        <w:t xml:space="preserve">s </w:t>
      </w:r>
      <w:r w:rsidRPr="00CE0885">
        <w:rPr>
          <w:spacing w:val="3"/>
          <w:lang w:eastAsia="en-GB"/>
        </w:rPr>
        <w:t>f</w:t>
      </w:r>
      <w:r w:rsidRPr="00CE0885">
        <w:rPr>
          <w:spacing w:val="-1"/>
          <w:lang w:eastAsia="en-GB"/>
        </w:rPr>
        <w:t>ro</w:t>
      </w:r>
      <w:r w:rsidRPr="00CE0885">
        <w:rPr>
          <w:lang w:eastAsia="en-GB"/>
        </w:rPr>
        <w:t>m</w:t>
      </w:r>
      <w:r w:rsidRPr="00CE0885">
        <w:rPr>
          <w:spacing w:val="-5"/>
          <w:lang w:eastAsia="en-GB"/>
        </w:rPr>
        <w:t xml:space="preserve"> </w:t>
      </w:r>
      <w:r w:rsidRPr="00CE0885">
        <w:rPr>
          <w:spacing w:val="1"/>
          <w:lang w:eastAsia="en-GB"/>
        </w:rPr>
        <w:t>d</w:t>
      </w:r>
      <w:r w:rsidRPr="00CE0885">
        <w:rPr>
          <w:spacing w:val="-3"/>
          <w:lang w:eastAsia="en-GB"/>
        </w:rPr>
        <w:t>i</w:t>
      </w:r>
      <w:r w:rsidRPr="00CE0885">
        <w:rPr>
          <w:spacing w:val="1"/>
          <w:lang w:eastAsia="en-GB"/>
        </w:rPr>
        <w:t>f</w:t>
      </w:r>
      <w:r w:rsidRPr="00CE0885">
        <w:rPr>
          <w:spacing w:val="3"/>
          <w:lang w:eastAsia="en-GB"/>
        </w:rPr>
        <w:t>f</w:t>
      </w:r>
      <w:r w:rsidRPr="00CE0885">
        <w:rPr>
          <w:spacing w:val="1"/>
          <w:lang w:eastAsia="en-GB"/>
        </w:rPr>
        <w:t>e</w:t>
      </w:r>
      <w:r w:rsidRPr="00CE0885">
        <w:rPr>
          <w:spacing w:val="-1"/>
          <w:lang w:eastAsia="en-GB"/>
        </w:rPr>
        <w:t>re</w:t>
      </w:r>
      <w:r w:rsidRPr="00CE0885">
        <w:rPr>
          <w:spacing w:val="1"/>
          <w:lang w:eastAsia="en-GB"/>
        </w:rPr>
        <w:t>n</w:t>
      </w:r>
      <w:r w:rsidRPr="00CE0885">
        <w:rPr>
          <w:lang w:eastAsia="en-GB"/>
        </w:rPr>
        <w:t>t</w:t>
      </w:r>
      <w:r w:rsidRPr="00CE0885">
        <w:rPr>
          <w:spacing w:val="-8"/>
          <w:lang w:eastAsia="en-GB"/>
        </w:rPr>
        <w:t xml:space="preserve"> </w:t>
      </w:r>
      <w:r w:rsidRPr="00CE0885">
        <w:rPr>
          <w:spacing w:val="-1"/>
          <w:lang w:eastAsia="en-GB"/>
        </w:rPr>
        <w:t>p</w:t>
      </w:r>
      <w:r w:rsidRPr="00CE0885">
        <w:rPr>
          <w:spacing w:val="1"/>
          <w:lang w:eastAsia="en-GB"/>
        </w:rPr>
        <w:t>a</w:t>
      </w:r>
      <w:r w:rsidRPr="00CE0885">
        <w:rPr>
          <w:spacing w:val="-1"/>
          <w:lang w:eastAsia="en-GB"/>
        </w:rPr>
        <w:t>r</w:t>
      </w:r>
      <w:r w:rsidRPr="00CE0885">
        <w:rPr>
          <w:spacing w:val="1"/>
          <w:lang w:eastAsia="en-GB"/>
        </w:rPr>
        <w:t>tne</w:t>
      </w:r>
      <w:r w:rsidRPr="00CE0885">
        <w:rPr>
          <w:spacing w:val="-1"/>
          <w:lang w:eastAsia="en-GB"/>
        </w:rPr>
        <w:t>r</w:t>
      </w:r>
      <w:r w:rsidRPr="00CE0885">
        <w:rPr>
          <w:lang w:eastAsia="en-GB"/>
        </w:rPr>
        <w:t>s</w:t>
      </w:r>
      <w:r w:rsidRPr="00CE0885">
        <w:rPr>
          <w:spacing w:val="-2"/>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spacing w:val="1"/>
          <w:lang w:eastAsia="en-GB"/>
        </w:rPr>
        <w:t>t</w:t>
      </w:r>
      <w:r w:rsidRPr="00CE0885">
        <w:rPr>
          <w:spacing w:val="-1"/>
          <w:lang w:eastAsia="en-GB"/>
        </w:rPr>
        <w:t>h</w:t>
      </w:r>
      <w:r w:rsidRPr="00CE0885">
        <w:rPr>
          <w:spacing w:val="1"/>
          <w:lang w:eastAsia="en-GB"/>
        </w:rPr>
        <w:t>e</w:t>
      </w:r>
      <w:r w:rsidRPr="00CE0885">
        <w:rPr>
          <w:lang w:eastAsia="en-GB"/>
        </w:rPr>
        <w:t>ir</w:t>
      </w:r>
      <w:r w:rsidRPr="00CE0885">
        <w:rPr>
          <w:spacing w:val="-5"/>
          <w:lang w:eastAsia="en-GB"/>
        </w:rPr>
        <w:t xml:space="preserve"> </w:t>
      </w:r>
      <w:r w:rsidRPr="00CE0885">
        <w:rPr>
          <w:lang w:eastAsia="en-GB"/>
        </w:rPr>
        <w:t>s</w:t>
      </w:r>
      <w:r w:rsidRPr="00CE0885">
        <w:rPr>
          <w:spacing w:val="1"/>
          <w:lang w:eastAsia="en-GB"/>
        </w:rPr>
        <w:t>t</w:t>
      </w:r>
      <w:r w:rsidRPr="00CE0885">
        <w:rPr>
          <w:spacing w:val="-1"/>
          <w:lang w:eastAsia="en-GB"/>
        </w:rPr>
        <w:t>a</w:t>
      </w:r>
      <w:r w:rsidRPr="00CE0885">
        <w:rPr>
          <w:spacing w:val="1"/>
          <w:lang w:eastAsia="en-GB"/>
        </w:rPr>
        <w:t>f</w:t>
      </w:r>
      <w:r w:rsidRPr="00CE0885">
        <w:rPr>
          <w:lang w:eastAsia="en-GB"/>
        </w:rPr>
        <w:t>f</w:t>
      </w:r>
      <w:r w:rsidRPr="00CE0885">
        <w:rPr>
          <w:spacing w:val="-4"/>
          <w:lang w:eastAsia="en-GB"/>
        </w:rPr>
        <w:t xml:space="preserve"> </w:t>
      </w:r>
      <w:r w:rsidRPr="00CE0885">
        <w:rPr>
          <w:spacing w:val="1"/>
          <w:lang w:eastAsia="en-GB"/>
        </w:rPr>
        <w:t>a</w:t>
      </w:r>
      <w:r w:rsidRPr="00CE0885">
        <w:rPr>
          <w:spacing w:val="-1"/>
          <w:lang w:eastAsia="en-GB"/>
        </w:rPr>
        <w:t>b</w:t>
      </w:r>
      <w:r w:rsidRPr="00CE0885">
        <w:rPr>
          <w:spacing w:val="1"/>
          <w:lang w:eastAsia="en-GB"/>
        </w:rPr>
        <w:t>ou</w:t>
      </w:r>
      <w:r w:rsidRPr="00CE0885">
        <w:rPr>
          <w:lang w:eastAsia="en-GB"/>
        </w:rPr>
        <w:t>t</w:t>
      </w:r>
      <w:r w:rsidRPr="00CE0885">
        <w:rPr>
          <w:spacing w:val="-7"/>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d</w:t>
      </w:r>
      <w:r w:rsidRPr="00CE0885">
        <w:rPr>
          <w:lang w:eastAsia="en-GB"/>
        </w:rPr>
        <w:t>is</w:t>
      </w:r>
      <w:r w:rsidRPr="00CE0885">
        <w:rPr>
          <w:spacing w:val="1"/>
          <w:lang w:eastAsia="en-GB"/>
        </w:rPr>
        <w:t>p</w:t>
      </w:r>
      <w:r w:rsidRPr="00CE0885">
        <w:rPr>
          <w:spacing w:val="-1"/>
          <w:lang w:eastAsia="en-GB"/>
        </w:rPr>
        <w:t>u</w:t>
      </w:r>
      <w:r w:rsidRPr="00CE0885">
        <w:rPr>
          <w:spacing w:val="1"/>
          <w:lang w:eastAsia="en-GB"/>
        </w:rPr>
        <w:t>t</w:t>
      </w:r>
      <w:r w:rsidRPr="00CE0885">
        <w:rPr>
          <w:lang w:eastAsia="en-GB"/>
        </w:rPr>
        <w:t>e</w:t>
      </w:r>
      <w:r w:rsidRPr="00CE0885">
        <w:rPr>
          <w:spacing w:val="-9"/>
          <w:lang w:eastAsia="en-GB"/>
        </w:rPr>
        <w:t xml:space="preserve"> </w:t>
      </w:r>
      <w:r w:rsidRPr="00CE0885">
        <w:rPr>
          <w:spacing w:val="1"/>
          <w:lang w:eastAsia="en-GB"/>
        </w:rPr>
        <w:t>bu</w:t>
      </w:r>
      <w:r w:rsidRPr="00CE0885">
        <w:rPr>
          <w:lang w:eastAsia="en-GB"/>
        </w:rPr>
        <w:t>t the Commissioner</w:t>
      </w:r>
      <w:r w:rsidRPr="00CE0885">
        <w:rPr>
          <w:spacing w:val="-7"/>
          <w:lang w:eastAsia="en-GB"/>
        </w:rPr>
        <w:t xml:space="preserve"> </w:t>
      </w:r>
      <w:r w:rsidRPr="00CE0885">
        <w:rPr>
          <w:spacing w:val="-2"/>
          <w:lang w:eastAsia="en-GB"/>
        </w:rPr>
        <w:t>s</w:t>
      </w:r>
      <w:r w:rsidRPr="00CE0885">
        <w:rPr>
          <w:spacing w:val="1"/>
          <w:lang w:eastAsia="en-GB"/>
        </w:rPr>
        <w:t>hou</w:t>
      </w:r>
      <w:r w:rsidRPr="00CE0885">
        <w:rPr>
          <w:spacing w:val="-3"/>
          <w:lang w:eastAsia="en-GB"/>
        </w:rPr>
        <w:t>l</w:t>
      </w:r>
      <w:r w:rsidRPr="00CE0885">
        <w:rPr>
          <w:lang w:eastAsia="en-GB"/>
        </w:rPr>
        <w:t>d</w:t>
      </w:r>
      <w:r w:rsidRPr="00CE0885">
        <w:rPr>
          <w:spacing w:val="-5"/>
          <w:lang w:eastAsia="en-GB"/>
        </w:rPr>
        <w:t xml:space="preserve"> </w:t>
      </w:r>
      <w:r w:rsidRPr="00CE0885">
        <w:rPr>
          <w:spacing w:val="1"/>
          <w:lang w:eastAsia="en-GB"/>
        </w:rPr>
        <w:t>t</w:t>
      </w:r>
      <w:r w:rsidRPr="00CE0885">
        <w:rPr>
          <w:spacing w:val="-3"/>
          <w:lang w:eastAsia="en-GB"/>
        </w:rPr>
        <w:t>r</w:t>
      </w:r>
      <w:r w:rsidRPr="00CE0885">
        <w:rPr>
          <w:lang w:eastAsia="en-GB"/>
        </w:rPr>
        <w:t>y</w:t>
      </w:r>
      <w:r w:rsidRPr="00CE0885">
        <w:rPr>
          <w:spacing w:val="-5"/>
          <w:lang w:eastAsia="en-GB"/>
        </w:rPr>
        <w:t xml:space="preserve"> </w:t>
      </w:r>
      <w:r w:rsidRPr="00CE0885">
        <w:rPr>
          <w:spacing w:val="1"/>
          <w:lang w:eastAsia="en-GB"/>
        </w:rPr>
        <w:t>t</w:t>
      </w:r>
      <w:r w:rsidRPr="00CE0885">
        <w:rPr>
          <w:lang w:eastAsia="en-GB"/>
        </w:rPr>
        <w:t xml:space="preserve">o </w:t>
      </w:r>
      <w:r w:rsidRPr="00CE0885">
        <w:rPr>
          <w:spacing w:val="2"/>
          <w:lang w:eastAsia="en-GB"/>
        </w:rPr>
        <w:t>m</w:t>
      </w:r>
      <w:r w:rsidRPr="00CE0885">
        <w:rPr>
          <w:spacing w:val="1"/>
          <w:lang w:eastAsia="en-GB"/>
        </w:rPr>
        <w:t>a</w:t>
      </w:r>
      <w:r w:rsidRPr="00CE0885">
        <w:rPr>
          <w:lang w:eastAsia="en-GB"/>
        </w:rPr>
        <w:t>i</w:t>
      </w:r>
      <w:r w:rsidRPr="00CE0885">
        <w:rPr>
          <w:spacing w:val="1"/>
          <w:lang w:eastAsia="en-GB"/>
        </w:rPr>
        <w:t>n</w:t>
      </w:r>
      <w:r w:rsidRPr="00CE0885">
        <w:rPr>
          <w:spacing w:val="-2"/>
          <w:lang w:eastAsia="en-GB"/>
        </w:rPr>
        <w:t>t</w:t>
      </w:r>
      <w:r w:rsidRPr="00CE0885">
        <w:rPr>
          <w:spacing w:val="1"/>
          <w:lang w:eastAsia="en-GB"/>
        </w:rPr>
        <w:t>a</w:t>
      </w:r>
      <w:r w:rsidRPr="00CE0885">
        <w:rPr>
          <w:lang w:eastAsia="en-GB"/>
        </w:rPr>
        <w:t>in</w:t>
      </w:r>
      <w:r w:rsidRPr="00CE0885">
        <w:rPr>
          <w:spacing w:val="-10"/>
          <w:lang w:eastAsia="en-GB"/>
        </w:rPr>
        <w:t xml:space="preserve"> </w:t>
      </w:r>
      <w:r w:rsidRPr="00CE0885">
        <w:rPr>
          <w:lang w:eastAsia="en-GB"/>
        </w:rPr>
        <w:t>a</w:t>
      </w:r>
      <w:r w:rsidRPr="00CE0885">
        <w:rPr>
          <w:spacing w:val="1"/>
          <w:lang w:eastAsia="en-GB"/>
        </w:rPr>
        <w:t xml:space="preserve"> </w:t>
      </w:r>
      <w:r w:rsidRPr="00CE0885">
        <w:rPr>
          <w:spacing w:val="-1"/>
          <w:lang w:eastAsia="en-GB"/>
        </w:rPr>
        <w:t>d</w:t>
      </w:r>
      <w:r w:rsidRPr="00CE0885">
        <w:rPr>
          <w:spacing w:val="1"/>
          <w:lang w:eastAsia="en-GB"/>
        </w:rPr>
        <w:t>eta</w:t>
      </w:r>
      <w:r w:rsidRPr="00CE0885">
        <w:rPr>
          <w:spacing w:val="-2"/>
          <w:lang w:eastAsia="en-GB"/>
        </w:rPr>
        <w:t>c</w:t>
      </w:r>
      <w:r w:rsidRPr="00CE0885">
        <w:rPr>
          <w:spacing w:val="-1"/>
          <w:lang w:eastAsia="en-GB"/>
        </w:rPr>
        <w:t>h</w:t>
      </w:r>
      <w:r w:rsidRPr="00CE0885">
        <w:rPr>
          <w:spacing w:val="1"/>
          <w:lang w:eastAsia="en-GB"/>
        </w:rPr>
        <w:t>e</w:t>
      </w:r>
      <w:r w:rsidRPr="00CE0885">
        <w:rPr>
          <w:lang w:eastAsia="en-GB"/>
        </w:rPr>
        <w:t>d</w:t>
      </w:r>
      <w:r w:rsidRPr="00CE0885">
        <w:rPr>
          <w:spacing w:val="-8"/>
          <w:lang w:eastAsia="en-GB"/>
        </w:rPr>
        <w:t xml:space="preserve"> </w:t>
      </w:r>
      <w:r w:rsidRPr="00CE0885">
        <w:rPr>
          <w:spacing w:val="-1"/>
          <w:lang w:eastAsia="en-GB"/>
        </w:rPr>
        <w:t>p</w:t>
      </w:r>
      <w:r w:rsidRPr="00CE0885">
        <w:rPr>
          <w:spacing w:val="1"/>
          <w:lang w:eastAsia="en-GB"/>
        </w:rPr>
        <w:t>o</w:t>
      </w:r>
      <w:r w:rsidRPr="00CE0885">
        <w:rPr>
          <w:lang w:eastAsia="en-GB"/>
        </w:rPr>
        <w:t>si</w:t>
      </w:r>
      <w:r w:rsidRPr="00CE0885">
        <w:rPr>
          <w:spacing w:val="1"/>
          <w:lang w:eastAsia="en-GB"/>
        </w:rPr>
        <w:t>t</w:t>
      </w:r>
      <w:r w:rsidRPr="00CE0885">
        <w:rPr>
          <w:lang w:eastAsia="en-GB"/>
        </w:rPr>
        <w:t>i</w:t>
      </w:r>
      <w:r w:rsidRPr="00CE0885">
        <w:rPr>
          <w:spacing w:val="1"/>
          <w:lang w:eastAsia="en-GB"/>
        </w:rPr>
        <w:t>o</w:t>
      </w:r>
      <w:r w:rsidRPr="00CE0885">
        <w:rPr>
          <w:lang w:eastAsia="en-GB"/>
        </w:rPr>
        <w:t>n</w:t>
      </w:r>
      <w:r w:rsidRPr="00CE0885">
        <w:rPr>
          <w:spacing w:val="-6"/>
          <w:lang w:eastAsia="en-GB"/>
        </w:rPr>
        <w:t xml:space="preserve"> </w:t>
      </w:r>
      <w:r w:rsidRPr="00CE0885">
        <w:rPr>
          <w:spacing w:val="-3"/>
          <w:lang w:eastAsia="en-GB"/>
        </w:rPr>
        <w:t>i</w:t>
      </w:r>
      <w:r w:rsidRPr="00CE0885">
        <w:rPr>
          <w:lang w:eastAsia="en-GB"/>
        </w:rPr>
        <w:t xml:space="preserve">n </w:t>
      </w:r>
      <w:r w:rsidRPr="00CE0885">
        <w:rPr>
          <w:spacing w:val="1"/>
          <w:lang w:eastAsia="en-GB"/>
        </w:rPr>
        <w:t>th</w:t>
      </w:r>
      <w:r w:rsidRPr="00CE0885">
        <w:rPr>
          <w:lang w:eastAsia="en-GB"/>
        </w:rPr>
        <w:t>is</w:t>
      </w:r>
      <w:r w:rsidRPr="00CE0885">
        <w:rPr>
          <w:spacing w:val="-4"/>
          <w:lang w:eastAsia="en-GB"/>
        </w:rPr>
        <w:t xml:space="preserve"> </w:t>
      </w:r>
      <w:r w:rsidRPr="00CE0885">
        <w:rPr>
          <w:spacing w:val="-3"/>
          <w:lang w:eastAsia="en-GB"/>
        </w:rPr>
        <w:t>r</w:t>
      </w:r>
      <w:r w:rsidRPr="00CE0885">
        <w:rPr>
          <w:spacing w:val="1"/>
          <w:lang w:eastAsia="en-GB"/>
        </w:rPr>
        <w:t>e</w:t>
      </w:r>
      <w:r w:rsidRPr="00CE0885">
        <w:rPr>
          <w:lang w:eastAsia="en-GB"/>
        </w:rPr>
        <w:t>s</w:t>
      </w:r>
      <w:r w:rsidRPr="00CE0885">
        <w:rPr>
          <w:spacing w:val="-1"/>
          <w:lang w:eastAsia="en-GB"/>
        </w:rPr>
        <w:t>p</w:t>
      </w:r>
      <w:r w:rsidRPr="00CE0885">
        <w:rPr>
          <w:spacing w:val="1"/>
          <w:lang w:eastAsia="en-GB"/>
        </w:rPr>
        <w:t>e</w:t>
      </w:r>
      <w:r w:rsidRPr="00CE0885">
        <w:rPr>
          <w:lang w:eastAsia="en-GB"/>
        </w:rPr>
        <w:t>c</w:t>
      </w:r>
      <w:r w:rsidRPr="00CE0885">
        <w:rPr>
          <w:spacing w:val="1"/>
          <w:lang w:eastAsia="en-GB"/>
        </w:rPr>
        <w:t>t</w:t>
      </w:r>
      <w:r w:rsidRPr="00CE0885">
        <w:rPr>
          <w:lang w:eastAsia="en-GB"/>
        </w:rPr>
        <w:t xml:space="preserve">. </w:t>
      </w:r>
      <w:r w:rsidRPr="00CE0885">
        <w:rPr>
          <w:spacing w:val="1"/>
          <w:lang w:eastAsia="en-GB"/>
        </w:rPr>
        <w:t>An</w:t>
      </w:r>
      <w:r w:rsidRPr="00CE0885">
        <w:rPr>
          <w:lang w:eastAsia="en-GB"/>
        </w:rPr>
        <w:t>y</w:t>
      </w:r>
      <w:r w:rsidRPr="00CE0885">
        <w:rPr>
          <w:spacing w:val="-6"/>
          <w:lang w:eastAsia="en-GB"/>
        </w:rPr>
        <w:t xml:space="preserve"> </w:t>
      </w:r>
      <w:r w:rsidRPr="00CE0885">
        <w:rPr>
          <w:spacing w:val="1"/>
          <w:lang w:eastAsia="en-GB"/>
        </w:rPr>
        <w:t>a</w:t>
      </w:r>
      <w:r w:rsidRPr="00CE0885">
        <w:rPr>
          <w:lang w:eastAsia="en-GB"/>
        </w:rPr>
        <w:t>cc</w:t>
      </w:r>
      <w:r w:rsidRPr="00CE0885">
        <w:rPr>
          <w:spacing w:val="1"/>
          <w:lang w:eastAsia="en-GB"/>
        </w:rPr>
        <w:t>u</w:t>
      </w:r>
      <w:r w:rsidRPr="00CE0885">
        <w:rPr>
          <w:lang w:eastAsia="en-GB"/>
        </w:rPr>
        <w:t>s</w:t>
      </w:r>
      <w:r w:rsidRPr="00CE0885">
        <w:rPr>
          <w:spacing w:val="1"/>
          <w:lang w:eastAsia="en-GB"/>
        </w:rPr>
        <w:t>a</w:t>
      </w:r>
      <w:r w:rsidRPr="00CE0885">
        <w:rPr>
          <w:spacing w:val="-2"/>
          <w:lang w:eastAsia="en-GB"/>
        </w:rPr>
        <w:t>t</w:t>
      </w:r>
      <w:r w:rsidRPr="00CE0885">
        <w:rPr>
          <w:lang w:eastAsia="en-GB"/>
        </w:rPr>
        <w:t>i</w:t>
      </w:r>
      <w:r w:rsidRPr="00CE0885">
        <w:rPr>
          <w:spacing w:val="1"/>
          <w:lang w:eastAsia="en-GB"/>
        </w:rPr>
        <w:t>on</w:t>
      </w:r>
      <w:r w:rsidRPr="00CE0885">
        <w:rPr>
          <w:lang w:eastAsia="en-GB"/>
        </w:rPr>
        <w:t>s</w:t>
      </w:r>
      <w:r w:rsidRPr="00CE0885">
        <w:rPr>
          <w:spacing w:val="-13"/>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i</w:t>
      </w:r>
      <w:r w:rsidRPr="00CE0885">
        <w:rPr>
          <w:spacing w:val="1"/>
          <w:lang w:eastAsia="en-GB"/>
        </w:rPr>
        <w:t>na</w:t>
      </w:r>
      <w:r w:rsidRPr="00CE0885">
        <w:rPr>
          <w:spacing w:val="-1"/>
          <w:lang w:eastAsia="en-GB"/>
        </w:rPr>
        <w:t>p</w:t>
      </w:r>
      <w:r w:rsidRPr="00CE0885">
        <w:rPr>
          <w:spacing w:val="1"/>
          <w:lang w:eastAsia="en-GB"/>
        </w:rPr>
        <w:t>p</w:t>
      </w:r>
      <w:r w:rsidRPr="00CE0885">
        <w:rPr>
          <w:spacing w:val="-1"/>
          <w:lang w:eastAsia="en-GB"/>
        </w:rPr>
        <w:t>r</w:t>
      </w:r>
      <w:r w:rsidRPr="00CE0885">
        <w:rPr>
          <w:spacing w:val="1"/>
          <w:lang w:eastAsia="en-GB"/>
        </w:rPr>
        <w:t>op</w:t>
      </w:r>
      <w:r w:rsidRPr="00CE0885">
        <w:rPr>
          <w:spacing w:val="-1"/>
          <w:lang w:eastAsia="en-GB"/>
        </w:rPr>
        <w:t>r</w:t>
      </w:r>
      <w:r w:rsidRPr="00CE0885">
        <w:rPr>
          <w:lang w:eastAsia="en-GB"/>
        </w:rPr>
        <w:t>i</w:t>
      </w:r>
      <w:r w:rsidRPr="00CE0885">
        <w:rPr>
          <w:spacing w:val="1"/>
          <w:lang w:eastAsia="en-GB"/>
        </w:rPr>
        <w:t>a</w:t>
      </w:r>
      <w:r w:rsidRPr="00CE0885">
        <w:rPr>
          <w:spacing w:val="-2"/>
          <w:lang w:eastAsia="en-GB"/>
        </w:rPr>
        <w:t>t</w:t>
      </w:r>
      <w:r w:rsidRPr="00CE0885">
        <w:rPr>
          <w:lang w:eastAsia="en-GB"/>
        </w:rPr>
        <w:t>e</w:t>
      </w:r>
      <w:r w:rsidRPr="00CE0885">
        <w:rPr>
          <w:spacing w:val="-12"/>
          <w:lang w:eastAsia="en-GB"/>
        </w:rPr>
        <w:t xml:space="preserve"> </w:t>
      </w:r>
      <w:r w:rsidRPr="00CE0885">
        <w:rPr>
          <w:spacing w:val="-1"/>
          <w:lang w:eastAsia="en-GB"/>
        </w:rPr>
        <w:t>b</w:t>
      </w:r>
      <w:r w:rsidRPr="00CE0885">
        <w:rPr>
          <w:spacing w:val="1"/>
          <w:lang w:eastAsia="en-GB"/>
        </w:rPr>
        <w:t>eha</w:t>
      </w:r>
      <w:r w:rsidRPr="00CE0885">
        <w:rPr>
          <w:spacing w:val="-2"/>
          <w:lang w:eastAsia="en-GB"/>
        </w:rPr>
        <w:t>v</w:t>
      </w:r>
      <w:r w:rsidRPr="00CE0885">
        <w:rPr>
          <w:lang w:eastAsia="en-GB"/>
        </w:rPr>
        <w:t>i</w:t>
      </w:r>
      <w:r w:rsidRPr="00CE0885">
        <w:rPr>
          <w:spacing w:val="1"/>
          <w:lang w:eastAsia="en-GB"/>
        </w:rPr>
        <w:t>o</w:t>
      </w:r>
      <w:r w:rsidRPr="00CE0885">
        <w:rPr>
          <w:lang w:eastAsia="en-GB"/>
        </w:rPr>
        <w:t>ur</w:t>
      </w:r>
      <w:r w:rsidRPr="00CE0885">
        <w:rPr>
          <w:spacing w:val="-9"/>
          <w:lang w:eastAsia="en-GB"/>
        </w:rPr>
        <w:t xml:space="preserve"> </w:t>
      </w:r>
      <w:r w:rsidRPr="00CE0885">
        <w:rPr>
          <w:spacing w:val="1"/>
          <w:lang w:eastAsia="en-GB"/>
        </w:rPr>
        <w:t>o</w:t>
      </w:r>
      <w:r w:rsidRPr="00CE0885">
        <w:rPr>
          <w:lang w:eastAsia="en-GB"/>
        </w:rPr>
        <w:t>r</w:t>
      </w:r>
      <w:r w:rsidRPr="00CE0885">
        <w:rPr>
          <w:spacing w:val="-2"/>
          <w:lang w:eastAsia="en-GB"/>
        </w:rPr>
        <w:t xml:space="preserve"> </w:t>
      </w:r>
      <w:r w:rsidRPr="00CE0885">
        <w:rPr>
          <w:w w:val="99"/>
          <w:lang w:eastAsia="en-GB"/>
        </w:rPr>
        <w:t>c</w:t>
      </w:r>
      <w:r w:rsidRPr="00CE0885">
        <w:rPr>
          <w:spacing w:val="1"/>
          <w:w w:val="99"/>
          <w:lang w:eastAsia="en-GB"/>
        </w:rPr>
        <w:t>on</w:t>
      </w:r>
      <w:r w:rsidRPr="00CE0885">
        <w:rPr>
          <w:spacing w:val="-2"/>
          <w:w w:val="99"/>
          <w:lang w:eastAsia="en-GB"/>
        </w:rPr>
        <w:t>c</w:t>
      </w:r>
      <w:r w:rsidRPr="00CE0885">
        <w:rPr>
          <w:spacing w:val="1"/>
          <w:w w:val="99"/>
          <w:lang w:eastAsia="en-GB"/>
        </w:rPr>
        <w:t>e</w:t>
      </w:r>
      <w:r w:rsidRPr="00CE0885">
        <w:rPr>
          <w:spacing w:val="-1"/>
          <w:w w:val="99"/>
          <w:lang w:eastAsia="en-GB"/>
        </w:rPr>
        <w:t>r</w:t>
      </w:r>
      <w:r w:rsidRPr="00CE0885">
        <w:rPr>
          <w:spacing w:val="1"/>
          <w:w w:val="99"/>
          <w:lang w:eastAsia="en-GB"/>
        </w:rPr>
        <w:t>n</w:t>
      </w:r>
      <w:r w:rsidRPr="00CE0885">
        <w:rPr>
          <w:w w:val="99"/>
          <w:lang w:eastAsia="en-GB"/>
        </w:rPr>
        <w:t>s s</w:t>
      </w:r>
      <w:r w:rsidRPr="00CE0885">
        <w:rPr>
          <w:spacing w:val="1"/>
          <w:w w:val="99"/>
          <w:lang w:eastAsia="en-GB"/>
        </w:rPr>
        <w:t>hou</w:t>
      </w:r>
      <w:r w:rsidRPr="00CE0885">
        <w:rPr>
          <w:w w:val="99"/>
          <w:lang w:eastAsia="en-GB"/>
        </w:rPr>
        <w:t>ld</w:t>
      </w:r>
      <w:r w:rsidRPr="00CE0885">
        <w:rPr>
          <w:spacing w:val="-1"/>
          <w:lang w:eastAsia="en-GB"/>
        </w:rPr>
        <w:t xml:space="preserve"> </w:t>
      </w:r>
      <w:r w:rsidRPr="00CE0885">
        <w:rPr>
          <w:spacing w:val="1"/>
          <w:lang w:eastAsia="en-GB"/>
        </w:rPr>
        <w:t>b</w:t>
      </w:r>
      <w:r w:rsidRPr="00CE0885">
        <w:rPr>
          <w:lang w:eastAsia="en-GB"/>
        </w:rPr>
        <w:t>e</w:t>
      </w:r>
      <w:r w:rsidRPr="00CE0885">
        <w:rPr>
          <w:spacing w:val="-1"/>
          <w:lang w:eastAsia="en-GB"/>
        </w:rPr>
        <w:t xml:space="preserve"> </w:t>
      </w:r>
      <w:r w:rsidRPr="00CE0885">
        <w:rPr>
          <w:spacing w:val="-2"/>
          <w:lang w:eastAsia="en-GB"/>
        </w:rPr>
        <w:t>c</w:t>
      </w:r>
      <w:r w:rsidRPr="00CE0885">
        <w:rPr>
          <w:spacing w:val="1"/>
          <w:lang w:eastAsia="en-GB"/>
        </w:rPr>
        <w:t>on</w:t>
      </w:r>
      <w:r w:rsidRPr="00CE0885">
        <w:rPr>
          <w:lang w:eastAsia="en-GB"/>
        </w:rPr>
        <w:t>si</w:t>
      </w:r>
      <w:r w:rsidRPr="00CE0885">
        <w:rPr>
          <w:spacing w:val="-1"/>
          <w:lang w:eastAsia="en-GB"/>
        </w:rPr>
        <w:t>d</w:t>
      </w:r>
      <w:r w:rsidRPr="00CE0885">
        <w:rPr>
          <w:spacing w:val="1"/>
          <w:lang w:eastAsia="en-GB"/>
        </w:rPr>
        <w:t>e</w:t>
      </w:r>
      <w:r w:rsidRPr="00CE0885">
        <w:rPr>
          <w:spacing w:val="-1"/>
          <w:lang w:eastAsia="en-GB"/>
        </w:rPr>
        <w:t>r</w:t>
      </w:r>
      <w:r w:rsidRPr="00CE0885">
        <w:rPr>
          <w:spacing w:val="1"/>
          <w:lang w:eastAsia="en-GB"/>
        </w:rPr>
        <w:t>e</w:t>
      </w:r>
      <w:r w:rsidRPr="00CE0885">
        <w:rPr>
          <w:lang w:eastAsia="en-GB"/>
        </w:rPr>
        <w:t>d</w:t>
      </w:r>
      <w:r w:rsidRPr="00CE0885">
        <w:rPr>
          <w:spacing w:val="-13"/>
          <w:lang w:eastAsia="en-GB"/>
        </w:rPr>
        <w:t xml:space="preserve">, </w:t>
      </w:r>
      <w:r w:rsidRPr="00CE0885">
        <w:rPr>
          <w:lang w:eastAsia="en-GB"/>
        </w:rPr>
        <w:t>h</w:t>
      </w:r>
      <w:r w:rsidRPr="00CE0885">
        <w:rPr>
          <w:spacing w:val="1"/>
          <w:lang w:eastAsia="en-GB"/>
        </w:rPr>
        <w:t>o</w:t>
      </w:r>
      <w:r w:rsidRPr="00CE0885">
        <w:rPr>
          <w:spacing w:val="-3"/>
          <w:lang w:eastAsia="en-GB"/>
        </w:rPr>
        <w:t>w</w:t>
      </w:r>
      <w:r w:rsidRPr="00CE0885">
        <w:rPr>
          <w:spacing w:val="1"/>
          <w:lang w:eastAsia="en-GB"/>
        </w:rPr>
        <w:t>e</w:t>
      </w:r>
      <w:r w:rsidRPr="00CE0885">
        <w:rPr>
          <w:lang w:eastAsia="en-GB"/>
        </w:rPr>
        <w:t>v</w:t>
      </w:r>
      <w:r w:rsidRPr="00CE0885">
        <w:rPr>
          <w:spacing w:val="1"/>
          <w:lang w:eastAsia="en-GB"/>
        </w:rPr>
        <w:t>e</w:t>
      </w:r>
      <w:r w:rsidRPr="00CE0885">
        <w:rPr>
          <w:spacing w:val="-1"/>
          <w:lang w:eastAsia="en-GB"/>
        </w:rPr>
        <w:t>r</w:t>
      </w:r>
      <w:r w:rsidRPr="00CE0885">
        <w:rPr>
          <w:lang w:eastAsia="en-GB"/>
        </w:rPr>
        <w:t>,</w:t>
      </w:r>
      <w:r w:rsidRPr="00CE0885">
        <w:rPr>
          <w:spacing w:val="-9"/>
          <w:lang w:eastAsia="en-GB"/>
        </w:rPr>
        <w:t xml:space="preserve"> </w:t>
      </w:r>
      <w:r w:rsidRPr="00CE0885">
        <w:rPr>
          <w:spacing w:val="1"/>
          <w:lang w:eastAsia="en-GB"/>
        </w:rPr>
        <w:t>th</w:t>
      </w:r>
      <w:r w:rsidRPr="00CE0885">
        <w:rPr>
          <w:lang w:eastAsia="en-GB"/>
        </w:rPr>
        <w:t>is</w:t>
      </w:r>
      <w:r w:rsidRPr="00CE0885">
        <w:rPr>
          <w:spacing w:val="-4"/>
          <w:lang w:eastAsia="en-GB"/>
        </w:rPr>
        <w:t xml:space="preserve"> </w:t>
      </w:r>
      <w:r w:rsidRPr="00CE0885">
        <w:rPr>
          <w:lang w:eastAsia="en-GB"/>
        </w:rPr>
        <w:t>s</w:t>
      </w:r>
      <w:r w:rsidRPr="00CE0885">
        <w:rPr>
          <w:spacing w:val="-1"/>
          <w:lang w:eastAsia="en-GB"/>
        </w:rPr>
        <w:t>h</w:t>
      </w:r>
      <w:r w:rsidRPr="00CE0885">
        <w:rPr>
          <w:spacing w:val="1"/>
          <w:lang w:eastAsia="en-GB"/>
        </w:rPr>
        <w:t>ou</w:t>
      </w:r>
      <w:r w:rsidRPr="00CE0885">
        <w:rPr>
          <w:lang w:eastAsia="en-GB"/>
        </w:rPr>
        <w:t>ld</w:t>
      </w:r>
      <w:r w:rsidRPr="00CE0885">
        <w:rPr>
          <w:spacing w:val="-8"/>
          <w:lang w:eastAsia="en-GB"/>
        </w:rPr>
        <w:t xml:space="preserve"> </w:t>
      </w:r>
      <w:r w:rsidRPr="00CE0885">
        <w:rPr>
          <w:spacing w:val="1"/>
          <w:lang w:eastAsia="en-GB"/>
        </w:rPr>
        <w:t>n</w:t>
      </w:r>
      <w:r w:rsidRPr="00CE0885">
        <w:rPr>
          <w:spacing w:val="-1"/>
          <w:lang w:eastAsia="en-GB"/>
        </w:rPr>
        <w:t>o</w:t>
      </w:r>
      <w:r w:rsidRPr="00CE0885">
        <w:rPr>
          <w:lang w:eastAsia="en-GB"/>
        </w:rPr>
        <w:t>t</w:t>
      </w:r>
      <w:r w:rsidRPr="00CE0885">
        <w:rPr>
          <w:spacing w:val="-2"/>
          <w:lang w:eastAsia="en-GB"/>
        </w:rPr>
        <w:t xml:space="preserve"> </w:t>
      </w:r>
      <w:r w:rsidRPr="00CE0885">
        <w:rPr>
          <w:spacing w:val="-1"/>
          <w:lang w:eastAsia="en-GB"/>
        </w:rPr>
        <w:t>b</w:t>
      </w:r>
      <w:r w:rsidRPr="00CE0885">
        <w:rPr>
          <w:lang w:eastAsia="en-GB"/>
        </w:rPr>
        <w:t>e</w:t>
      </w:r>
      <w:r w:rsidRPr="00CE0885">
        <w:rPr>
          <w:spacing w:val="-1"/>
          <w:lang w:eastAsia="en-GB"/>
        </w:rPr>
        <w:t xml:space="preserve"> u</w:t>
      </w:r>
      <w:r w:rsidRPr="00CE0885">
        <w:rPr>
          <w:lang w:eastAsia="en-GB"/>
        </w:rPr>
        <w:t>s</w:t>
      </w:r>
      <w:r w:rsidRPr="00CE0885">
        <w:rPr>
          <w:spacing w:val="1"/>
          <w:lang w:eastAsia="en-GB"/>
        </w:rPr>
        <w:t>e</w:t>
      </w:r>
      <w:r w:rsidRPr="00CE0885">
        <w:rPr>
          <w:lang w:eastAsia="en-GB"/>
        </w:rPr>
        <w:t xml:space="preserve">d </w:t>
      </w:r>
      <w:r w:rsidRPr="00CE0885">
        <w:rPr>
          <w:spacing w:val="1"/>
          <w:lang w:eastAsia="en-GB"/>
        </w:rPr>
        <w:t>a</w:t>
      </w:r>
      <w:r w:rsidRPr="00CE0885">
        <w:rPr>
          <w:lang w:eastAsia="en-GB"/>
        </w:rPr>
        <w:t>s</w:t>
      </w:r>
      <w:r w:rsidRPr="00CE0885">
        <w:rPr>
          <w:spacing w:val="-3"/>
          <w:lang w:eastAsia="en-GB"/>
        </w:rPr>
        <w:t xml:space="preserve"> </w:t>
      </w:r>
      <w:r w:rsidRPr="00CE0885">
        <w:rPr>
          <w:lang w:eastAsia="en-GB"/>
        </w:rPr>
        <w:t>a</w:t>
      </w:r>
      <w:r w:rsidRPr="00CE0885">
        <w:rPr>
          <w:spacing w:val="-2"/>
          <w:lang w:eastAsia="en-GB"/>
        </w:rPr>
        <w:t xml:space="preserve"> </w:t>
      </w:r>
      <w:r w:rsidRPr="00CE0885">
        <w:rPr>
          <w:spacing w:val="2"/>
          <w:lang w:eastAsia="en-GB"/>
        </w:rPr>
        <w:t>m</w:t>
      </w:r>
      <w:r w:rsidRPr="00CE0885">
        <w:rPr>
          <w:spacing w:val="-1"/>
          <w:lang w:eastAsia="en-GB"/>
        </w:rPr>
        <w:t>e</w:t>
      </w:r>
      <w:r w:rsidRPr="00CE0885">
        <w:rPr>
          <w:spacing w:val="1"/>
          <w:lang w:eastAsia="en-GB"/>
        </w:rPr>
        <w:t>an</w:t>
      </w:r>
      <w:r w:rsidRPr="00CE0885">
        <w:rPr>
          <w:lang w:eastAsia="en-GB"/>
        </w:rPr>
        <w:t>s</w:t>
      </w:r>
      <w:r w:rsidRPr="00CE0885">
        <w:rPr>
          <w:spacing w:val="-7"/>
          <w:lang w:eastAsia="en-GB"/>
        </w:rPr>
        <w:t xml:space="preserve"> </w:t>
      </w:r>
      <w:r w:rsidRPr="00CE0885">
        <w:rPr>
          <w:spacing w:val="-2"/>
          <w:lang w:eastAsia="en-GB"/>
        </w:rPr>
        <w:t>t</w:t>
      </w:r>
      <w:r w:rsidRPr="00CE0885">
        <w:rPr>
          <w:lang w:eastAsia="en-GB"/>
        </w:rPr>
        <w:t xml:space="preserve">o </w:t>
      </w:r>
      <w:r w:rsidRPr="00CE0885">
        <w:rPr>
          <w:spacing w:val="-1"/>
          <w:lang w:eastAsia="en-GB"/>
        </w:rPr>
        <w:t>e</w:t>
      </w:r>
      <w:r w:rsidRPr="00CE0885">
        <w:rPr>
          <w:spacing w:val="1"/>
          <w:lang w:eastAsia="en-GB"/>
        </w:rPr>
        <w:t>n</w:t>
      </w:r>
      <w:r w:rsidRPr="00CE0885">
        <w:rPr>
          <w:spacing w:val="-1"/>
          <w:lang w:eastAsia="en-GB"/>
        </w:rPr>
        <w:t>d</w:t>
      </w:r>
      <w:r w:rsidRPr="00CE0885">
        <w:rPr>
          <w:spacing w:val="1"/>
          <w:lang w:eastAsia="en-GB"/>
        </w:rPr>
        <w:t>ea</w:t>
      </w:r>
      <w:r w:rsidRPr="00CE0885">
        <w:rPr>
          <w:spacing w:val="-2"/>
          <w:lang w:eastAsia="en-GB"/>
        </w:rPr>
        <w:t>v</w:t>
      </w:r>
      <w:r w:rsidRPr="00CE0885">
        <w:rPr>
          <w:spacing w:val="1"/>
          <w:lang w:eastAsia="en-GB"/>
        </w:rPr>
        <w:t>ou</w:t>
      </w:r>
      <w:r w:rsidRPr="00CE0885">
        <w:rPr>
          <w:lang w:eastAsia="en-GB"/>
        </w:rPr>
        <w:t>r</w:t>
      </w:r>
      <w:r w:rsidRPr="00CE0885">
        <w:rPr>
          <w:spacing w:val="-11"/>
          <w:lang w:eastAsia="en-GB"/>
        </w:rPr>
        <w:t xml:space="preserve"> </w:t>
      </w:r>
      <w:r w:rsidRPr="00CE0885">
        <w:rPr>
          <w:spacing w:val="1"/>
          <w:lang w:eastAsia="en-GB"/>
        </w:rPr>
        <w:t>t</w:t>
      </w:r>
      <w:r w:rsidRPr="00CE0885">
        <w:rPr>
          <w:lang w:eastAsia="en-GB"/>
        </w:rPr>
        <w:t xml:space="preserve">o </w:t>
      </w:r>
      <w:r w:rsidRPr="00CE0885">
        <w:rPr>
          <w:spacing w:val="-3"/>
          <w:lang w:eastAsia="en-GB"/>
        </w:rPr>
        <w:t>r</w:t>
      </w:r>
      <w:r w:rsidRPr="00CE0885">
        <w:rPr>
          <w:spacing w:val="1"/>
          <w:lang w:eastAsia="en-GB"/>
        </w:rPr>
        <w:t>e</w:t>
      </w:r>
      <w:r w:rsidRPr="00CE0885">
        <w:rPr>
          <w:lang w:eastAsia="en-GB"/>
        </w:rPr>
        <w:t>s</w:t>
      </w:r>
      <w:r w:rsidRPr="00CE0885">
        <w:rPr>
          <w:spacing w:val="1"/>
          <w:lang w:eastAsia="en-GB"/>
        </w:rPr>
        <w:t>o</w:t>
      </w:r>
      <w:r w:rsidRPr="00CE0885">
        <w:rPr>
          <w:lang w:eastAsia="en-GB"/>
        </w:rPr>
        <w:t>l</w:t>
      </w:r>
      <w:r w:rsidRPr="00CE0885">
        <w:rPr>
          <w:spacing w:val="-2"/>
          <w:lang w:eastAsia="en-GB"/>
        </w:rPr>
        <w:t>v</w:t>
      </w:r>
      <w:r w:rsidRPr="00CE0885">
        <w:rPr>
          <w:lang w:eastAsia="en-GB"/>
        </w:rPr>
        <w:t>e</w:t>
      </w:r>
      <w:r w:rsidRPr="00CE0885">
        <w:rPr>
          <w:spacing w:val="-6"/>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d</w:t>
      </w:r>
      <w:r w:rsidRPr="00CE0885">
        <w:rPr>
          <w:lang w:eastAsia="en-GB"/>
        </w:rPr>
        <w:t>is</w:t>
      </w:r>
      <w:r w:rsidRPr="00CE0885">
        <w:rPr>
          <w:spacing w:val="-1"/>
          <w:lang w:eastAsia="en-GB"/>
        </w:rPr>
        <w:t>p</w:t>
      </w:r>
      <w:r w:rsidRPr="00CE0885">
        <w:rPr>
          <w:spacing w:val="1"/>
          <w:lang w:eastAsia="en-GB"/>
        </w:rPr>
        <w:t>ute</w:t>
      </w:r>
      <w:r w:rsidRPr="00CE0885">
        <w:rPr>
          <w:lang w:eastAsia="en-GB"/>
        </w:rPr>
        <w:t>.</w:t>
      </w:r>
      <w:bookmarkEnd w:id="691"/>
    </w:p>
    <w:p w14:paraId="0FF4F5A8" w14:textId="45311E38" w:rsidR="00977693" w:rsidRPr="00CE0885" w:rsidRDefault="00977693" w:rsidP="006B781A">
      <w:pPr>
        <w:pStyle w:val="Heading3"/>
        <w:rPr>
          <w:lang w:eastAsia="en-GB"/>
        </w:rPr>
      </w:pPr>
      <w:bookmarkStart w:id="692" w:name="_Toc440981802"/>
      <w:r w:rsidRPr="00CE0885">
        <w:rPr>
          <w:spacing w:val="2"/>
          <w:lang w:eastAsia="en-GB"/>
        </w:rPr>
        <w:t>T</w:t>
      </w:r>
      <w:r w:rsidRPr="00CE0885">
        <w:rPr>
          <w:lang w:eastAsia="en-GB"/>
        </w:rPr>
        <w:t>h</w:t>
      </w:r>
      <w:r w:rsidRPr="00CE0885">
        <w:rPr>
          <w:spacing w:val="-1"/>
          <w:lang w:eastAsia="en-GB"/>
        </w:rPr>
        <w:t>ro</w:t>
      </w:r>
      <w:r w:rsidRPr="00CE0885">
        <w:rPr>
          <w:lang w:eastAsia="en-GB"/>
        </w:rPr>
        <w:t>u</w:t>
      </w:r>
      <w:r w:rsidRPr="00CE0885">
        <w:rPr>
          <w:spacing w:val="-1"/>
          <w:lang w:eastAsia="en-GB"/>
        </w:rPr>
        <w:t>g</w:t>
      </w:r>
      <w:r w:rsidRPr="00CE0885">
        <w:rPr>
          <w:lang w:eastAsia="en-GB"/>
        </w:rPr>
        <w:t>hout</w:t>
      </w:r>
      <w:r w:rsidRPr="00CE0885">
        <w:rPr>
          <w:spacing w:val="-13"/>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dis</w:t>
      </w:r>
      <w:r w:rsidRPr="00CE0885">
        <w:rPr>
          <w:spacing w:val="-1"/>
          <w:lang w:eastAsia="en-GB"/>
        </w:rPr>
        <w:t>p</w:t>
      </w:r>
      <w:r w:rsidRPr="00CE0885">
        <w:rPr>
          <w:lang w:eastAsia="en-GB"/>
        </w:rPr>
        <w:t>u</w:t>
      </w:r>
      <w:r w:rsidRPr="00CE0885">
        <w:rPr>
          <w:spacing w:val="-2"/>
          <w:lang w:eastAsia="en-GB"/>
        </w:rPr>
        <w:t>t</w:t>
      </w:r>
      <w:r w:rsidRPr="00CE0885">
        <w:rPr>
          <w:lang w:eastAsia="en-GB"/>
        </w:rPr>
        <w:t>e</w:t>
      </w:r>
      <w:r w:rsidRPr="00CE0885">
        <w:rPr>
          <w:spacing w:val="-6"/>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commissioners</w:t>
      </w:r>
      <w:r w:rsidRPr="00CE0885">
        <w:rPr>
          <w:spacing w:val="-4"/>
          <w:lang w:eastAsia="en-GB"/>
        </w:rPr>
        <w:t xml:space="preserve"> </w:t>
      </w:r>
      <w:r w:rsidRPr="00CE0885">
        <w:rPr>
          <w:spacing w:val="-2"/>
          <w:lang w:eastAsia="en-GB"/>
        </w:rPr>
        <w:t>s</w:t>
      </w:r>
      <w:r w:rsidRPr="00CE0885">
        <w:rPr>
          <w:lang w:eastAsia="en-GB"/>
        </w:rPr>
        <w:t>hou</w:t>
      </w:r>
      <w:r w:rsidRPr="00CE0885">
        <w:rPr>
          <w:spacing w:val="-3"/>
          <w:lang w:eastAsia="en-GB"/>
        </w:rPr>
        <w:t>l</w:t>
      </w:r>
      <w:r w:rsidRPr="00CE0885">
        <w:rPr>
          <w:lang w:eastAsia="en-GB"/>
        </w:rPr>
        <w:t>d</w:t>
      </w:r>
      <w:r w:rsidRPr="00CE0885">
        <w:rPr>
          <w:spacing w:val="-5"/>
          <w:lang w:eastAsia="en-GB"/>
        </w:rPr>
        <w:t xml:space="preserve"> </w:t>
      </w:r>
      <w:r w:rsidRPr="00CE0885">
        <w:rPr>
          <w:spacing w:val="-1"/>
          <w:lang w:eastAsia="en-GB"/>
        </w:rPr>
        <w:t>m</w:t>
      </w:r>
      <w:r w:rsidRPr="00CE0885">
        <w:rPr>
          <w:lang w:eastAsia="en-GB"/>
        </w:rPr>
        <w:t>ain</w:t>
      </w:r>
      <w:r w:rsidRPr="00CE0885">
        <w:rPr>
          <w:spacing w:val="-2"/>
          <w:lang w:eastAsia="en-GB"/>
        </w:rPr>
        <w:t>t</w:t>
      </w:r>
      <w:r w:rsidRPr="00CE0885">
        <w:rPr>
          <w:lang w:eastAsia="en-GB"/>
        </w:rPr>
        <w:t>ain</w:t>
      </w:r>
      <w:r w:rsidRPr="00CE0885">
        <w:rPr>
          <w:spacing w:val="-7"/>
          <w:lang w:eastAsia="en-GB"/>
        </w:rPr>
        <w:t xml:space="preserve"> </w:t>
      </w:r>
      <w:r w:rsidRPr="00CE0885">
        <w:rPr>
          <w:spacing w:val="-1"/>
          <w:lang w:eastAsia="en-GB"/>
        </w:rPr>
        <w:t>o</w:t>
      </w:r>
      <w:r w:rsidRPr="00CE0885">
        <w:rPr>
          <w:lang w:eastAsia="en-GB"/>
        </w:rPr>
        <w:t>pen</w:t>
      </w:r>
      <w:r w:rsidRPr="00CE0885">
        <w:rPr>
          <w:spacing w:val="-6"/>
          <w:lang w:eastAsia="en-GB"/>
        </w:rPr>
        <w:t xml:space="preserve"> </w:t>
      </w:r>
      <w:r w:rsidRPr="00CE0885">
        <w:rPr>
          <w:lang w:eastAsia="en-GB"/>
        </w:rPr>
        <w:t>dialo</w:t>
      </w:r>
      <w:r w:rsidRPr="00CE0885">
        <w:rPr>
          <w:spacing w:val="-1"/>
          <w:lang w:eastAsia="en-GB"/>
        </w:rPr>
        <w:t>g</w:t>
      </w:r>
      <w:r w:rsidRPr="00CE0885">
        <w:rPr>
          <w:lang w:eastAsia="en-GB"/>
        </w:rPr>
        <w:t>ue</w:t>
      </w:r>
      <w:r w:rsidRPr="00CE0885">
        <w:rPr>
          <w:spacing w:val="-10"/>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the LMC</w:t>
      </w:r>
      <w:r w:rsidRPr="00CE0885">
        <w:rPr>
          <w:spacing w:val="-10"/>
          <w:lang w:eastAsia="en-GB"/>
        </w:rPr>
        <w:t xml:space="preserve"> </w:t>
      </w:r>
      <w:r w:rsidRPr="00CE0885">
        <w:rPr>
          <w:spacing w:val="-1"/>
          <w:lang w:eastAsia="en-GB"/>
        </w:rPr>
        <w:t>a</w:t>
      </w:r>
      <w:r w:rsidRPr="00CE0885">
        <w:rPr>
          <w:lang w:eastAsia="en-GB"/>
        </w:rPr>
        <w:t>nd</w:t>
      </w:r>
      <w:r w:rsidRPr="00CE0885">
        <w:rPr>
          <w:spacing w:val="-2"/>
          <w:lang w:eastAsia="en-GB"/>
        </w:rPr>
        <w:t xml:space="preserve"> </w:t>
      </w:r>
      <w:r w:rsidRPr="00CE0885">
        <w:rPr>
          <w:spacing w:val="-3"/>
          <w:lang w:eastAsia="en-GB"/>
        </w:rPr>
        <w:t>i</w:t>
      </w:r>
      <w:r w:rsidRPr="00CE0885">
        <w:rPr>
          <w:spacing w:val="2"/>
          <w:lang w:eastAsia="en-GB"/>
        </w:rPr>
        <w:t>m</w:t>
      </w:r>
      <w:r w:rsidRPr="00CE0885">
        <w:rPr>
          <w:lang w:eastAsia="en-GB"/>
        </w:rPr>
        <w:t>pl</w:t>
      </w:r>
      <w:r w:rsidRPr="00CE0885">
        <w:rPr>
          <w:spacing w:val="-1"/>
          <w:lang w:eastAsia="en-GB"/>
        </w:rPr>
        <w:t>e</w:t>
      </w:r>
      <w:r w:rsidRPr="00CE0885">
        <w:rPr>
          <w:spacing w:val="2"/>
          <w:lang w:eastAsia="en-GB"/>
        </w:rPr>
        <w:t>m</w:t>
      </w:r>
      <w:r w:rsidRPr="00CE0885">
        <w:rPr>
          <w:spacing w:val="-1"/>
          <w:lang w:eastAsia="en-GB"/>
        </w:rPr>
        <w:t>e</w:t>
      </w:r>
      <w:r w:rsidRPr="00CE0885">
        <w:rPr>
          <w:lang w:eastAsia="en-GB"/>
        </w:rPr>
        <w:t>nt</w:t>
      </w:r>
      <w:r w:rsidRPr="00CE0885">
        <w:rPr>
          <w:spacing w:val="-10"/>
          <w:lang w:eastAsia="en-GB"/>
        </w:rPr>
        <w:t xml:space="preserve"> </w:t>
      </w:r>
      <w:r w:rsidRPr="00CE0885">
        <w:rPr>
          <w:spacing w:val="-2"/>
          <w:lang w:eastAsia="en-GB"/>
        </w:rPr>
        <w:t>c</w:t>
      </w:r>
      <w:r w:rsidRPr="00CE0885">
        <w:rPr>
          <w:lang w:eastAsia="en-GB"/>
        </w:rPr>
        <w:t>on</w:t>
      </w:r>
      <w:r w:rsidRPr="00CE0885">
        <w:rPr>
          <w:spacing w:val="-2"/>
          <w:lang w:eastAsia="en-GB"/>
        </w:rPr>
        <w:t>t</w:t>
      </w:r>
      <w:r w:rsidRPr="00CE0885">
        <w:rPr>
          <w:spacing w:val="-1"/>
          <w:lang w:eastAsia="en-GB"/>
        </w:rPr>
        <w:t>r</w:t>
      </w:r>
      <w:r w:rsidRPr="00CE0885">
        <w:rPr>
          <w:lang w:eastAsia="en-GB"/>
        </w:rPr>
        <w:t>act</w:t>
      </w:r>
      <w:r w:rsidRPr="00CE0885">
        <w:rPr>
          <w:spacing w:val="-8"/>
          <w:lang w:eastAsia="en-GB"/>
        </w:rPr>
        <w:t xml:space="preserve"> </w:t>
      </w:r>
      <w:r w:rsidRPr="00CE0885">
        <w:rPr>
          <w:lang w:eastAsia="en-GB"/>
        </w:rPr>
        <w:t>pe</w:t>
      </w:r>
      <w:r w:rsidRPr="00CE0885">
        <w:rPr>
          <w:spacing w:val="-3"/>
          <w:lang w:eastAsia="en-GB"/>
        </w:rPr>
        <w:t>r</w:t>
      </w:r>
      <w:r w:rsidRPr="00CE0885">
        <w:rPr>
          <w:lang w:eastAsia="en-GB"/>
        </w:rPr>
        <w:t>fo</w:t>
      </w:r>
      <w:r w:rsidRPr="00CE0885">
        <w:rPr>
          <w:spacing w:val="-1"/>
          <w:lang w:eastAsia="en-GB"/>
        </w:rPr>
        <w:t>r</w:t>
      </w:r>
      <w:r w:rsidRPr="00CE0885">
        <w:rPr>
          <w:spacing w:val="2"/>
          <w:lang w:eastAsia="en-GB"/>
        </w:rPr>
        <w:t>m</w:t>
      </w:r>
      <w:r w:rsidRPr="00CE0885">
        <w:rPr>
          <w:spacing w:val="-1"/>
          <w:lang w:eastAsia="en-GB"/>
        </w:rPr>
        <w:t>a</w:t>
      </w:r>
      <w:r w:rsidRPr="00CE0885">
        <w:rPr>
          <w:lang w:eastAsia="en-GB"/>
        </w:rPr>
        <w:t xml:space="preserve">nce </w:t>
      </w:r>
      <w:r w:rsidRPr="00CE0885">
        <w:rPr>
          <w:spacing w:val="2"/>
          <w:lang w:eastAsia="en-GB"/>
        </w:rPr>
        <w:t>m</w:t>
      </w:r>
      <w:r w:rsidRPr="00CE0885">
        <w:rPr>
          <w:lang w:eastAsia="en-GB"/>
        </w:rPr>
        <w:t>a</w:t>
      </w:r>
      <w:r w:rsidRPr="00CE0885">
        <w:rPr>
          <w:spacing w:val="-1"/>
          <w:lang w:eastAsia="en-GB"/>
        </w:rPr>
        <w:t>n</w:t>
      </w:r>
      <w:r w:rsidRPr="00CE0885">
        <w:rPr>
          <w:lang w:eastAsia="en-GB"/>
        </w:rPr>
        <w:t>a</w:t>
      </w:r>
      <w:r w:rsidRPr="00CE0885">
        <w:rPr>
          <w:spacing w:val="-1"/>
          <w:lang w:eastAsia="en-GB"/>
        </w:rPr>
        <w:t>g</w:t>
      </w:r>
      <w:r w:rsidRPr="00CE0885">
        <w:rPr>
          <w:lang w:eastAsia="en-GB"/>
        </w:rPr>
        <w:t>e</w:t>
      </w:r>
      <w:r w:rsidRPr="00CE0885">
        <w:rPr>
          <w:spacing w:val="-1"/>
          <w:lang w:eastAsia="en-GB"/>
        </w:rPr>
        <w:t>m</w:t>
      </w:r>
      <w:r w:rsidRPr="00CE0885">
        <w:rPr>
          <w:lang w:eastAsia="en-GB"/>
        </w:rPr>
        <w:t>ent</w:t>
      </w:r>
      <w:r w:rsidRPr="00CE0885">
        <w:rPr>
          <w:spacing w:val="-15"/>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2"/>
          <w:lang w:eastAsia="en-GB"/>
        </w:rPr>
        <w:t>t</w:t>
      </w:r>
      <w:r w:rsidRPr="00CE0885">
        <w:rPr>
          <w:lang w:eastAsia="en-GB"/>
        </w:rPr>
        <w:t>ocol</w:t>
      </w:r>
      <w:r w:rsidRPr="00CE0885">
        <w:rPr>
          <w:spacing w:val="-2"/>
          <w:lang w:eastAsia="en-GB"/>
        </w:rPr>
        <w:t>s</w:t>
      </w:r>
      <w:r w:rsidRPr="00CE0885">
        <w:rPr>
          <w:lang w:eastAsia="en-GB"/>
        </w:rPr>
        <w:t>,</w:t>
      </w:r>
      <w:r w:rsidRPr="00CE0885">
        <w:rPr>
          <w:spacing w:val="-9"/>
          <w:lang w:eastAsia="en-GB"/>
        </w:rPr>
        <w:t xml:space="preserve"> </w:t>
      </w:r>
      <w:r w:rsidRPr="00CE0885">
        <w:rPr>
          <w:lang w:eastAsia="en-GB"/>
        </w:rPr>
        <w:t>if a</w:t>
      </w:r>
      <w:r w:rsidRPr="00CE0885">
        <w:rPr>
          <w:spacing w:val="-1"/>
          <w:lang w:eastAsia="en-GB"/>
        </w:rPr>
        <w:t>n</w:t>
      </w:r>
      <w:r w:rsidRPr="00CE0885">
        <w:rPr>
          <w:lang w:eastAsia="en-GB"/>
        </w:rPr>
        <w:t>d</w:t>
      </w:r>
      <w:r w:rsidRPr="00CE0885">
        <w:rPr>
          <w:spacing w:val="-2"/>
          <w:lang w:eastAsia="en-GB"/>
        </w:rPr>
        <w:t xml:space="preserve"> </w:t>
      </w:r>
      <w:r w:rsidRPr="00CE0885">
        <w:rPr>
          <w:spacing w:val="-3"/>
          <w:lang w:eastAsia="en-GB"/>
        </w:rPr>
        <w:t>w</w:t>
      </w:r>
      <w:r w:rsidRPr="00CE0885">
        <w:rPr>
          <w:lang w:eastAsia="en-GB"/>
        </w:rPr>
        <w:t>hen</w:t>
      </w:r>
      <w:r w:rsidRPr="00CE0885">
        <w:rPr>
          <w:spacing w:val="-7"/>
          <w:lang w:eastAsia="en-GB"/>
        </w:rPr>
        <w:t xml:space="preserve"> </w:t>
      </w:r>
      <w:r w:rsidRPr="00CE0885">
        <w:rPr>
          <w:lang w:eastAsia="en-GB"/>
        </w:rPr>
        <w:t>neces</w:t>
      </w:r>
      <w:r w:rsidRPr="00CE0885">
        <w:rPr>
          <w:spacing w:val="-2"/>
          <w:lang w:eastAsia="en-GB"/>
        </w:rPr>
        <w:t>s</w:t>
      </w:r>
      <w:r w:rsidRPr="00CE0885">
        <w:rPr>
          <w:lang w:eastAsia="en-GB"/>
        </w:rPr>
        <w:t>a</w:t>
      </w:r>
      <w:r w:rsidRPr="00CE0885">
        <w:rPr>
          <w:spacing w:val="-1"/>
          <w:lang w:eastAsia="en-GB"/>
        </w:rPr>
        <w:t>r</w:t>
      </w:r>
      <w:r w:rsidRPr="00CE0885">
        <w:rPr>
          <w:spacing w:val="-2"/>
          <w:lang w:eastAsia="en-GB"/>
        </w:rPr>
        <w:t>y</w:t>
      </w:r>
      <w:r w:rsidRPr="00CE0885">
        <w:rPr>
          <w:lang w:eastAsia="en-GB"/>
        </w:rPr>
        <w:t>.</w:t>
      </w:r>
      <w:bookmarkEnd w:id="692"/>
    </w:p>
    <w:p w14:paraId="4380E434" w14:textId="77777777" w:rsidR="00977693" w:rsidRPr="009055A7" w:rsidRDefault="00977693" w:rsidP="00977693">
      <w:pPr>
        <w:widowControl w:val="0"/>
        <w:spacing w:line="360" w:lineRule="auto"/>
        <w:ind w:left="1414"/>
        <w:jc w:val="both"/>
        <w:rPr>
          <w:rFonts w:cs="Arial"/>
          <w:bCs w:val="0"/>
          <w:sz w:val="20"/>
          <w:szCs w:val="20"/>
          <w:lang w:eastAsia="en-GB"/>
        </w:rPr>
      </w:pPr>
    </w:p>
    <w:p w14:paraId="42BF853E" w14:textId="77777777" w:rsidR="00977693" w:rsidRPr="00CE0885" w:rsidRDefault="00977693" w:rsidP="00202DD3">
      <w:pPr>
        <w:pStyle w:val="Heading2"/>
        <w:rPr>
          <w:lang w:eastAsia="en-GB"/>
        </w:rPr>
      </w:pPr>
      <w:bookmarkStart w:id="693" w:name="_Toc440981803"/>
      <w:bookmarkStart w:id="694" w:name="_Toc95743450"/>
      <w:r w:rsidRPr="00CE0885">
        <w:rPr>
          <w:lang w:eastAsia="en-GB"/>
        </w:rPr>
        <w:t>Retirement of a Contractor – Single Handed</w:t>
      </w:r>
      <w:bookmarkEnd w:id="693"/>
      <w:bookmarkEnd w:id="694"/>
    </w:p>
    <w:p w14:paraId="48677A02" w14:textId="61047F3F" w:rsidR="00977693" w:rsidRPr="00CE0885" w:rsidRDefault="00977693" w:rsidP="006B781A">
      <w:pPr>
        <w:pStyle w:val="Heading3"/>
        <w:rPr>
          <w:spacing w:val="-12"/>
          <w:lang w:eastAsia="en-GB"/>
        </w:rPr>
      </w:pPr>
      <w:bookmarkStart w:id="695" w:name="_Ref410399433"/>
      <w:bookmarkStart w:id="696" w:name="_Toc440981804"/>
      <w:r w:rsidRPr="00CE0885">
        <w:rPr>
          <w:lang w:eastAsia="en-GB"/>
        </w:rPr>
        <w:t>There is no specific reference to retirement in the GMS Regulations, the PMS Regulations or the APMS Directions. The Commissioner should deal with a request to retire as a request to terminate the contract by the contractor on notice.</w:t>
      </w:r>
      <w:bookmarkEnd w:id="695"/>
      <w:bookmarkEnd w:id="696"/>
      <w:r w:rsidRPr="00CE0885">
        <w:rPr>
          <w:lang w:eastAsia="en-GB"/>
        </w:rPr>
        <w:t xml:space="preserve"> </w:t>
      </w:r>
    </w:p>
    <w:p w14:paraId="44C07A70" w14:textId="2344AA94" w:rsidR="00977693" w:rsidRPr="00CE0885" w:rsidRDefault="00977693" w:rsidP="006B781A">
      <w:pPr>
        <w:pStyle w:val="Heading3"/>
        <w:rPr>
          <w:spacing w:val="-12"/>
          <w:lang w:eastAsia="en-GB"/>
        </w:rPr>
      </w:pPr>
      <w:bookmarkStart w:id="697" w:name="_Toc440981805"/>
      <w:r w:rsidRPr="00CE0885">
        <w:rPr>
          <w:lang w:eastAsia="en-GB"/>
        </w:rPr>
        <w:t>T</w:t>
      </w:r>
      <w:r w:rsidRPr="00CE0885">
        <w:rPr>
          <w:spacing w:val="-1"/>
          <w:lang w:eastAsia="en-GB"/>
        </w:rPr>
        <w:t>h</w:t>
      </w:r>
      <w:r w:rsidRPr="00CE0885">
        <w:rPr>
          <w:lang w:eastAsia="en-GB"/>
        </w:rPr>
        <w:t>e</w:t>
      </w:r>
      <w:r w:rsidRPr="00CE0885">
        <w:rPr>
          <w:spacing w:val="-2"/>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o</w:t>
      </w:r>
      <w:r w:rsidRPr="00CE0885">
        <w:rPr>
          <w:lang w:eastAsia="en-GB"/>
        </w:rPr>
        <w:t>r</w:t>
      </w:r>
      <w:r w:rsidRPr="00CE0885">
        <w:rPr>
          <w:spacing w:val="-11"/>
          <w:lang w:eastAsia="en-GB"/>
        </w:rPr>
        <w:t xml:space="preserve"> </w:t>
      </w:r>
      <w:r w:rsidRPr="00CE0885">
        <w:rPr>
          <w:lang w:eastAsia="en-GB"/>
        </w:rPr>
        <w:t>must</w:t>
      </w:r>
      <w:r w:rsidRPr="00CE0885">
        <w:rPr>
          <w:spacing w:val="-5"/>
          <w:lang w:eastAsia="en-GB"/>
        </w:rPr>
        <w:t xml:space="preserve"> </w:t>
      </w:r>
      <w:r w:rsidRPr="00CE0885">
        <w:rPr>
          <w:spacing w:val="1"/>
          <w:lang w:eastAsia="en-GB"/>
        </w:rPr>
        <w:t>p</w:t>
      </w:r>
      <w:r w:rsidRPr="00CE0885">
        <w:rPr>
          <w:spacing w:val="-3"/>
          <w:lang w:eastAsia="en-GB"/>
        </w:rPr>
        <w:t>r</w:t>
      </w:r>
      <w:r w:rsidRPr="00CE0885">
        <w:rPr>
          <w:spacing w:val="1"/>
          <w:lang w:eastAsia="en-GB"/>
        </w:rPr>
        <w:t>o</w:t>
      </w:r>
      <w:r w:rsidRPr="00CE0885">
        <w:rPr>
          <w:spacing w:val="-2"/>
          <w:lang w:eastAsia="en-GB"/>
        </w:rPr>
        <w:t>v</w:t>
      </w:r>
      <w:r w:rsidRPr="00CE0885">
        <w:rPr>
          <w:lang w:eastAsia="en-GB"/>
        </w:rPr>
        <w:t>i</w:t>
      </w:r>
      <w:r w:rsidRPr="00CE0885">
        <w:rPr>
          <w:spacing w:val="1"/>
          <w:lang w:eastAsia="en-GB"/>
        </w:rPr>
        <w:t>d</w:t>
      </w:r>
      <w:r w:rsidRPr="00CE0885">
        <w:rPr>
          <w:lang w:eastAsia="en-GB"/>
        </w:rPr>
        <w:t>e</w:t>
      </w:r>
      <w:r w:rsidRPr="00CE0885">
        <w:rPr>
          <w:spacing w:val="-6"/>
          <w:lang w:eastAsia="en-GB"/>
        </w:rPr>
        <w:t xml:space="preserve"> </w:t>
      </w:r>
      <w:r w:rsidRPr="00CE0885">
        <w:rPr>
          <w:lang w:eastAsia="en-GB"/>
        </w:rPr>
        <w:t>the Commissioner</w:t>
      </w:r>
      <w:r w:rsidRPr="00CE0885">
        <w:rPr>
          <w:spacing w:val="-7"/>
          <w:lang w:eastAsia="en-GB"/>
        </w:rPr>
        <w:t xml:space="preserve"> </w:t>
      </w:r>
      <w:r w:rsidRPr="00CE0885">
        <w:rPr>
          <w:spacing w:val="-3"/>
          <w:lang w:eastAsia="en-GB"/>
        </w:rPr>
        <w:t>w</w:t>
      </w:r>
      <w:r w:rsidRPr="00CE0885">
        <w:rPr>
          <w:lang w:eastAsia="en-GB"/>
        </w:rPr>
        <w:t>i</w:t>
      </w:r>
      <w:r w:rsidRPr="00CE0885">
        <w:rPr>
          <w:spacing w:val="1"/>
          <w:lang w:eastAsia="en-GB"/>
        </w:rPr>
        <w:t>t</w:t>
      </w:r>
      <w:r w:rsidRPr="00CE0885">
        <w:rPr>
          <w:lang w:eastAsia="en-GB"/>
        </w:rPr>
        <w:t>h</w:t>
      </w:r>
      <w:r w:rsidRPr="00CE0885">
        <w:rPr>
          <w:spacing w:val="-2"/>
          <w:lang w:eastAsia="en-GB"/>
        </w:rPr>
        <w:t xml:space="preserve"> </w:t>
      </w:r>
      <w:r w:rsidRPr="00CE0885">
        <w:rPr>
          <w:lang w:eastAsia="en-GB"/>
        </w:rPr>
        <w:t>a</w:t>
      </w:r>
      <w:r w:rsidRPr="00CE0885">
        <w:rPr>
          <w:spacing w:val="1"/>
          <w:lang w:eastAsia="en-GB"/>
        </w:rPr>
        <w:t xml:space="preserve"> </w:t>
      </w:r>
      <w:r w:rsidRPr="00CE0885">
        <w:rPr>
          <w:spacing w:val="-3"/>
          <w:lang w:eastAsia="en-GB"/>
        </w:rPr>
        <w:t>w</w:t>
      </w:r>
      <w:r w:rsidRPr="00CE0885">
        <w:rPr>
          <w:spacing w:val="-1"/>
          <w:lang w:eastAsia="en-GB"/>
        </w:rPr>
        <w:t>r</w:t>
      </w:r>
      <w:r w:rsidRPr="00CE0885">
        <w:rPr>
          <w:lang w:eastAsia="en-GB"/>
        </w:rPr>
        <w:t>i</w:t>
      </w:r>
      <w:r w:rsidRPr="00CE0885">
        <w:rPr>
          <w:spacing w:val="1"/>
          <w:lang w:eastAsia="en-GB"/>
        </w:rPr>
        <w:t>tte</w:t>
      </w:r>
      <w:r w:rsidRPr="00CE0885">
        <w:rPr>
          <w:lang w:eastAsia="en-GB"/>
        </w:rPr>
        <w:t>n</w:t>
      </w:r>
      <w:r w:rsidRPr="00CE0885">
        <w:rPr>
          <w:spacing w:val="-5"/>
          <w:lang w:eastAsia="en-GB"/>
        </w:rPr>
        <w:t xml:space="preserve"> </w:t>
      </w:r>
      <w:r w:rsidRPr="00CE0885">
        <w:rPr>
          <w:spacing w:val="-1"/>
          <w:lang w:eastAsia="en-GB"/>
        </w:rPr>
        <w:t>n</w:t>
      </w:r>
      <w:r w:rsidRPr="00CE0885">
        <w:rPr>
          <w:spacing w:val="1"/>
          <w:lang w:eastAsia="en-GB"/>
        </w:rPr>
        <w:t>ot</w:t>
      </w:r>
      <w:r w:rsidRPr="00CE0885">
        <w:rPr>
          <w:spacing w:val="-3"/>
          <w:lang w:eastAsia="en-GB"/>
        </w:rPr>
        <w:t>i</w:t>
      </w:r>
      <w:r w:rsidRPr="00CE0885">
        <w:rPr>
          <w:spacing w:val="3"/>
          <w:lang w:eastAsia="en-GB"/>
        </w:rPr>
        <w:t>f</w:t>
      </w:r>
      <w:r w:rsidRPr="00CE0885">
        <w:rPr>
          <w:lang w:eastAsia="en-GB"/>
        </w:rPr>
        <w:t>ic</w:t>
      </w:r>
      <w:r w:rsidRPr="00CE0885">
        <w:rPr>
          <w:spacing w:val="1"/>
          <w:lang w:eastAsia="en-GB"/>
        </w:rPr>
        <w:t>at</w:t>
      </w:r>
      <w:r w:rsidRPr="00CE0885">
        <w:rPr>
          <w:lang w:eastAsia="en-GB"/>
        </w:rPr>
        <w:t>i</w:t>
      </w:r>
      <w:r w:rsidRPr="00CE0885">
        <w:rPr>
          <w:spacing w:val="-1"/>
          <w:lang w:eastAsia="en-GB"/>
        </w:rPr>
        <w:t>o</w:t>
      </w:r>
      <w:r w:rsidRPr="00CE0885">
        <w:rPr>
          <w:lang w:eastAsia="en-GB"/>
        </w:rPr>
        <w:t xml:space="preserve">n </w:t>
      </w:r>
      <w:r w:rsidRPr="00CE0885">
        <w:rPr>
          <w:spacing w:val="-1"/>
          <w:lang w:eastAsia="en-GB"/>
        </w:rPr>
        <w:t>o</w:t>
      </w:r>
      <w:r w:rsidRPr="00CE0885">
        <w:rPr>
          <w:lang w:eastAsia="en-GB"/>
        </w:rPr>
        <w:t>f</w:t>
      </w:r>
      <w:r w:rsidRPr="00CE0885">
        <w:rPr>
          <w:spacing w:val="1"/>
          <w:lang w:eastAsia="en-GB"/>
        </w:rPr>
        <w:t xml:space="preserve"> the</w:t>
      </w:r>
      <w:r w:rsidRPr="00CE0885">
        <w:rPr>
          <w:spacing w:val="-5"/>
          <w:lang w:eastAsia="en-GB"/>
        </w:rPr>
        <w:t xml:space="preserve"> </w:t>
      </w:r>
      <w:r w:rsidRPr="00CE0885">
        <w:rPr>
          <w:lang w:eastAsia="en-GB"/>
        </w:rPr>
        <w:t>i</w:t>
      </w:r>
      <w:r w:rsidRPr="00CE0885">
        <w:rPr>
          <w:spacing w:val="1"/>
          <w:lang w:eastAsia="en-GB"/>
        </w:rPr>
        <w:t>nt</w:t>
      </w:r>
      <w:r w:rsidRPr="00CE0885">
        <w:rPr>
          <w:spacing w:val="-1"/>
          <w:lang w:eastAsia="en-GB"/>
        </w:rPr>
        <w:t>e</w:t>
      </w:r>
      <w:r w:rsidRPr="00CE0885">
        <w:rPr>
          <w:spacing w:val="1"/>
          <w:lang w:eastAsia="en-GB"/>
        </w:rPr>
        <w:t>nd</w:t>
      </w:r>
      <w:r w:rsidRPr="00CE0885">
        <w:rPr>
          <w:spacing w:val="-1"/>
          <w:lang w:eastAsia="en-GB"/>
        </w:rPr>
        <w:t>e</w:t>
      </w:r>
      <w:r w:rsidRPr="00CE0885">
        <w:rPr>
          <w:lang w:eastAsia="en-GB"/>
        </w:rPr>
        <w:t>d</w:t>
      </w:r>
      <w:r w:rsidRPr="00CE0885">
        <w:rPr>
          <w:spacing w:val="-7"/>
          <w:lang w:eastAsia="en-GB"/>
        </w:rPr>
        <w:t xml:space="preserve"> </w:t>
      </w:r>
      <w:r w:rsidRPr="00CE0885">
        <w:rPr>
          <w:spacing w:val="-1"/>
          <w:lang w:eastAsia="en-GB"/>
        </w:rPr>
        <w:t>r</w:t>
      </w:r>
      <w:r w:rsidRPr="00CE0885">
        <w:rPr>
          <w:spacing w:val="1"/>
          <w:lang w:eastAsia="en-GB"/>
        </w:rPr>
        <w:t>et</w:t>
      </w:r>
      <w:r w:rsidRPr="00CE0885">
        <w:rPr>
          <w:lang w:eastAsia="en-GB"/>
        </w:rPr>
        <w:t>i</w:t>
      </w:r>
      <w:r w:rsidRPr="00CE0885">
        <w:rPr>
          <w:spacing w:val="-1"/>
          <w:lang w:eastAsia="en-GB"/>
        </w:rPr>
        <w:t>re</w:t>
      </w:r>
      <w:r w:rsidRPr="00CE0885">
        <w:rPr>
          <w:lang w:eastAsia="en-GB"/>
        </w:rPr>
        <w:t>m</w:t>
      </w:r>
      <w:r w:rsidRPr="00CE0885">
        <w:rPr>
          <w:spacing w:val="1"/>
          <w:lang w:eastAsia="en-GB"/>
        </w:rPr>
        <w:t>e</w:t>
      </w:r>
      <w:r w:rsidRPr="00CE0885">
        <w:rPr>
          <w:spacing w:val="-1"/>
          <w:lang w:eastAsia="en-GB"/>
        </w:rPr>
        <w:t>n</w:t>
      </w:r>
      <w:r w:rsidRPr="00CE0885">
        <w:rPr>
          <w:lang w:eastAsia="en-GB"/>
        </w:rPr>
        <w:t>t date which will be the</w:t>
      </w:r>
      <w:r w:rsidRPr="00CE0885">
        <w:rPr>
          <w:spacing w:val="-8"/>
          <w:lang w:eastAsia="en-GB"/>
        </w:rPr>
        <w:t xml:space="preserve"> </w:t>
      </w:r>
      <w:r w:rsidRPr="00CE0885">
        <w:rPr>
          <w:spacing w:val="-2"/>
          <w:lang w:eastAsia="en-GB"/>
        </w:rPr>
        <w:t>t</w:t>
      </w:r>
      <w:r w:rsidRPr="00CE0885">
        <w:rPr>
          <w:spacing w:val="1"/>
          <w:lang w:eastAsia="en-GB"/>
        </w:rPr>
        <w:t>e</w:t>
      </w:r>
      <w:r w:rsidRPr="00CE0885">
        <w:rPr>
          <w:spacing w:val="-1"/>
          <w:lang w:eastAsia="en-GB"/>
        </w:rPr>
        <w:t>r</w:t>
      </w:r>
      <w:r w:rsidRPr="00CE0885">
        <w:rPr>
          <w:lang w:eastAsia="en-GB"/>
        </w:rPr>
        <w:t>mi</w:t>
      </w:r>
      <w:r w:rsidRPr="00CE0885">
        <w:rPr>
          <w:spacing w:val="1"/>
          <w:lang w:eastAsia="en-GB"/>
        </w:rPr>
        <w:t>nat</w:t>
      </w:r>
      <w:r w:rsidRPr="00CE0885">
        <w:rPr>
          <w:spacing w:val="-3"/>
          <w:lang w:eastAsia="en-GB"/>
        </w:rPr>
        <w:t>i</w:t>
      </w:r>
      <w:r w:rsidRPr="00CE0885">
        <w:rPr>
          <w:spacing w:val="1"/>
          <w:lang w:eastAsia="en-GB"/>
        </w:rPr>
        <w:t>o</w:t>
      </w:r>
      <w:r w:rsidRPr="00CE0885">
        <w:rPr>
          <w:lang w:eastAsia="en-GB"/>
        </w:rPr>
        <w:t>n</w:t>
      </w:r>
      <w:r w:rsidRPr="00CE0885">
        <w:rPr>
          <w:spacing w:val="-13"/>
          <w:lang w:eastAsia="en-GB"/>
        </w:rPr>
        <w:t xml:space="preserve"> </w:t>
      </w:r>
      <w:r w:rsidRPr="00CE0885">
        <w:rPr>
          <w:spacing w:val="1"/>
          <w:lang w:eastAsia="en-GB"/>
        </w:rPr>
        <w:t>da</w:t>
      </w:r>
      <w:r w:rsidRPr="00CE0885">
        <w:rPr>
          <w:spacing w:val="-2"/>
          <w:lang w:eastAsia="en-GB"/>
        </w:rPr>
        <w:t>t</w:t>
      </w:r>
      <w:r w:rsidRPr="00CE0885">
        <w:rPr>
          <w:lang w:eastAsia="en-GB"/>
        </w:rPr>
        <w:t>e</w:t>
      </w:r>
      <w:r w:rsidRPr="00CE0885">
        <w:rPr>
          <w:spacing w:val="-3"/>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t</w:t>
      </w:r>
      <w:r w:rsidRPr="00CE0885">
        <w:rPr>
          <w:spacing w:val="-1"/>
          <w:lang w:eastAsia="en-GB"/>
        </w:rPr>
        <w:t>h</w:t>
      </w:r>
      <w:r w:rsidRPr="00CE0885">
        <w:rPr>
          <w:lang w:eastAsia="en-GB"/>
        </w:rPr>
        <w:t>e c</w:t>
      </w:r>
      <w:r w:rsidRPr="00CE0885">
        <w:rPr>
          <w:spacing w:val="1"/>
          <w:lang w:eastAsia="en-GB"/>
        </w:rPr>
        <w:t>ont</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w:t>
      </w:r>
      <w:r w:rsidRPr="00CE0885">
        <w:rPr>
          <w:lang w:eastAsia="en-GB"/>
        </w:rPr>
        <w:t>.</w:t>
      </w:r>
      <w:r w:rsidRPr="00CE0885">
        <w:rPr>
          <w:spacing w:val="-13"/>
          <w:lang w:eastAsia="en-GB"/>
        </w:rPr>
        <w:t xml:space="preserve"> </w:t>
      </w:r>
      <w:r w:rsidRPr="00CE0885">
        <w:rPr>
          <w:lang w:eastAsia="en-GB"/>
        </w:rPr>
        <w:t>T</w:t>
      </w:r>
      <w:r w:rsidRPr="00CE0885">
        <w:rPr>
          <w:spacing w:val="1"/>
          <w:lang w:eastAsia="en-GB"/>
        </w:rPr>
        <w:t>h</w:t>
      </w:r>
      <w:r w:rsidRPr="00CE0885">
        <w:rPr>
          <w:lang w:eastAsia="en-GB"/>
        </w:rPr>
        <w:t>is</w:t>
      </w:r>
      <w:r w:rsidRPr="00CE0885">
        <w:rPr>
          <w:spacing w:val="-5"/>
          <w:lang w:eastAsia="en-GB"/>
        </w:rPr>
        <w:t xml:space="preserve"> </w:t>
      </w:r>
      <w:r w:rsidRPr="00CE0885">
        <w:rPr>
          <w:spacing w:val="-1"/>
          <w:lang w:eastAsia="en-GB"/>
        </w:rPr>
        <w:t>n</w:t>
      </w:r>
      <w:r w:rsidRPr="00CE0885">
        <w:rPr>
          <w:spacing w:val="1"/>
          <w:lang w:eastAsia="en-GB"/>
        </w:rPr>
        <w:t>ot</w:t>
      </w:r>
      <w:r w:rsidRPr="00CE0885">
        <w:rPr>
          <w:lang w:eastAsia="en-GB"/>
        </w:rPr>
        <w:t>ice</w:t>
      </w:r>
      <w:r w:rsidRPr="00CE0885">
        <w:rPr>
          <w:spacing w:val="-4"/>
          <w:lang w:eastAsia="en-GB"/>
        </w:rPr>
        <w:t xml:space="preserve"> period </w:t>
      </w:r>
      <w:r w:rsidRPr="00CE0885">
        <w:rPr>
          <w:spacing w:val="-2"/>
          <w:lang w:eastAsia="en-GB"/>
        </w:rPr>
        <w:t>must not</w:t>
      </w:r>
      <w:r w:rsidRPr="00CE0885">
        <w:rPr>
          <w:spacing w:val="-8"/>
          <w:lang w:eastAsia="en-GB"/>
        </w:rPr>
        <w:t xml:space="preserve"> </w:t>
      </w:r>
      <w:r w:rsidRPr="00CE0885">
        <w:rPr>
          <w:spacing w:val="1"/>
          <w:lang w:eastAsia="en-GB"/>
        </w:rPr>
        <w:t>b</w:t>
      </w:r>
      <w:r w:rsidRPr="00CE0885">
        <w:rPr>
          <w:lang w:eastAsia="en-GB"/>
        </w:rPr>
        <w:t>e</w:t>
      </w:r>
      <w:r w:rsidRPr="00CE0885">
        <w:rPr>
          <w:spacing w:val="-4"/>
          <w:lang w:eastAsia="en-GB"/>
        </w:rPr>
        <w:t xml:space="preserve"> </w:t>
      </w:r>
      <w:r w:rsidRPr="00CE0885">
        <w:rPr>
          <w:spacing w:val="-2"/>
          <w:lang w:eastAsia="en-GB"/>
        </w:rPr>
        <w:t>less</w:t>
      </w:r>
      <w:r w:rsidRPr="00CE0885">
        <w:rPr>
          <w:spacing w:val="-4"/>
          <w:lang w:eastAsia="en-GB"/>
        </w:rPr>
        <w:t xml:space="preserve"> </w:t>
      </w:r>
      <w:r w:rsidRPr="00CE0885">
        <w:rPr>
          <w:spacing w:val="1"/>
          <w:lang w:eastAsia="en-GB"/>
        </w:rPr>
        <w:t>t</w:t>
      </w:r>
      <w:r w:rsidRPr="00CE0885">
        <w:rPr>
          <w:spacing w:val="-1"/>
          <w:lang w:eastAsia="en-GB"/>
        </w:rPr>
        <w:t>h</w:t>
      </w:r>
      <w:r w:rsidRPr="00CE0885">
        <w:rPr>
          <w:spacing w:val="1"/>
          <w:lang w:eastAsia="en-GB"/>
        </w:rPr>
        <w:t>a</w:t>
      </w:r>
      <w:r w:rsidRPr="00CE0885">
        <w:rPr>
          <w:lang w:eastAsia="en-GB"/>
        </w:rPr>
        <w:t>n</w:t>
      </w:r>
      <w:r w:rsidRPr="00CE0885">
        <w:rPr>
          <w:spacing w:val="-3"/>
          <w:lang w:eastAsia="en-GB"/>
        </w:rPr>
        <w:t xml:space="preserve"> </w:t>
      </w:r>
      <w:r w:rsidRPr="00CE0885">
        <w:rPr>
          <w:spacing w:val="-2"/>
          <w:lang w:eastAsia="en-GB"/>
        </w:rPr>
        <w:t>t</w:t>
      </w:r>
      <w:r w:rsidRPr="00CE0885">
        <w:rPr>
          <w:spacing w:val="1"/>
          <w:lang w:eastAsia="en-GB"/>
        </w:rPr>
        <w:t>h</w:t>
      </w:r>
      <w:r w:rsidRPr="00CE0885">
        <w:rPr>
          <w:spacing w:val="-1"/>
          <w:lang w:eastAsia="en-GB"/>
        </w:rPr>
        <w:t>r</w:t>
      </w:r>
      <w:r w:rsidRPr="00CE0885">
        <w:rPr>
          <w:spacing w:val="1"/>
          <w:lang w:eastAsia="en-GB"/>
        </w:rPr>
        <w:t>e</w:t>
      </w:r>
      <w:r w:rsidRPr="00CE0885">
        <w:rPr>
          <w:lang w:eastAsia="en-GB"/>
        </w:rPr>
        <w:t>e</w:t>
      </w:r>
      <w:r w:rsidRPr="00CE0885">
        <w:rPr>
          <w:spacing w:val="-6"/>
          <w:lang w:eastAsia="en-GB"/>
        </w:rPr>
        <w:t xml:space="preserve"> </w:t>
      </w:r>
      <w:r w:rsidRPr="00CE0885">
        <w:rPr>
          <w:lang w:eastAsia="en-GB"/>
        </w:rPr>
        <w:t>m</w:t>
      </w:r>
      <w:r w:rsidRPr="00CE0885">
        <w:rPr>
          <w:spacing w:val="-1"/>
          <w:lang w:eastAsia="en-GB"/>
        </w:rPr>
        <w:t>o</w:t>
      </w:r>
      <w:r w:rsidRPr="00CE0885">
        <w:rPr>
          <w:spacing w:val="1"/>
          <w:lang w:eastAsia="en-GB"/>
        </w:rPr>
        <w:t>nth</w:t>
      </w:r>
      <w:r w:rsidRPr="00CE0885">
        <w:rPr>
          <w:lang w:eastAsia="en-GB"/>
        </w:rPr>
        <w:t>s</w:t>
      </w:r>
      <w:r w:rsidRPr="00CE0885">
        <w:rPr>
          <w:spacing w:val="-10"/>
          <w:lang w:eastAsia="en-GB"/>
        </w:rPr>
        <w:t xml:space="preserve"> </w:t>
      </w:r>
      <w:r w:rsidRPr="00CE0885">
        <w:rPr>
          <w:spacing w:val="1"/>
          <w:lang w:eastAsia="en-GB"/>
        </w:rPr>
        <w:t>for</w:t>
      </w:r>
      <w:r w:rsidRPr="00CE0885">
        <w:rPr>
          <w:lang w:eastAsia="en-GB"/>
        </w:rPr>
        <w:t xml:space="preserve"> </w:t>
      </w:r>
      <w:r w:rsidRPr="00CE0885">
        <w:rPr>
          <w:spacing w:val="1"/>
          <w:lang w:eastAsia="en-GB"/>
        </w:rPr>
        <w:t>G</w:t>
      </w:r>
      <w:r w:rsidRPr="00CE0885">
        <w:rPr>
          <w:spacing w:val="-1"/>
          <w:lang w:eastAsia="en-GB"/>
        </w:rPr>
        <w:t>M</w:t>
      </w:r>
      <w:r w:rsidRPr="00CE0885">
        <w:rPr>
          <w:lang w:eastAsia="en-GB"/>
        </w:rPr>
        <w:t>S contracts</w:t>
      </w:r>
      <w:r w:rsidRPr="00CE0885">
        <w:rPr>
          <w:spacing w:val="-4"/>
          <w:lang w:eastAsia="en-GB"/>
        </w:rPr>
        <w:t xml:space="preserve"> held by an individual medical practitioner </w:t>
      </w:r>
      <w:r w:rsidRPr="00CE0885">
        <w:rPr>
          <w:spacing w:val="1"/>
          <w:lang w:eastAsia="en-GB"/>
        </w:rPr>
        <w:t>or less than</w:t>
      </w:r>
      <w:r w:rsidRPr="00CE0885">
        <w:rPr>
          <w:spacing w:val="-2"/>
          <w:lang w:eastAsia="en-GB"/>
        </w:rPr>
        <w:t xml:space="preserve"> </w:t>
      </w:r>
      <w:r w:rsidRPr="00CE0885">
        <w:rPr>
          <w:lang w:eastAsia="en-GB"/>
        </w:rPr>
        <w:t>six</w:t>
      </w:r>
      <w:r w:rsidRPr="00CE0885">
        <w:rPr>
          <w:spacing w:val="-5"/>
          <w:lang w:eastAsia="en-GB"/>
        </w:rPr>
        <w:t xml:space="preserve"> </w:t>
      </w:r>
      <w:r w:rsidRPr="00CE0885">
        <w:rPr>
          <w:lang w:eastAsia="en-GB"/>
        </w:rPr>
        <w:t>m</w:t>
      </w:r>
      <w:r w:rsidRPr="00CE0885">
        <w:rPr>
          <w:spacing w:val="1"/>
          <w:lang w:eastAsia="en-GB"/>
        </w:rPr>
        <w:t>o</w:t>
      </w:r>
      <w:r w:rsidRPr="00CE0885">
        <w:rPr>
          <w:spacing w:val="-1"/>
          <w:lang w:eastAsia="en-GB"/>
        </w:rPr>
        <w:t>n</w:t>
      </w:r>
      <w:r w:rsidRPr="00CE0885">
        <w:rPr>
          <w:spacing w:val="1"/>
          <w:lang w:eastAsia="en-GB"/>
        </w:rPr>
        <w:t>th</w:t>
      </w:r>
      <w:r w:rsidRPr="00CE0885">
        <w:rPr>
          <w:lang w:eastAsia="en-GB"/>
        </w:rPr>
        <w:t>s</w:t>
      </w:r>
      <w:r w:rsidRPr="00CE0885">
        <w:rPr>
          <w:spacing w:val="-10"/>
          <w:lang w:eastAsia="en-GB"/>
        </w:rPr>
        <w:t xml:space="preserve"> fo</w:t>
      </w:r>
      <w:r w:rsidRPr="00CE0885">
        <w:rPr>
          <w:lang w:eastAsia="en-GB"/>
        </w:rPr>
        <w:t>r</w:t>
      </w:r>
      <w:r w:rsidRPr="00CE0885">
        <w:rPr>
          <w:spacing w:val="-6"/>
          <w:lang w:eastAsia="en-GB"/>
        </w:rPr>
        <w:t xml:space="preserve"> GMS contracts that are not held by an individual and for </w:t>
      </w:r>
      <w:r w:rsidRPr="00CE0885">
        <w:rPr>
          <w:spacing w:val="-2"/>
          <w:lang w:eastAsia="en-GB"/>
        </w:rPr>
        <w:t>P</w:t>
      </w:r>
      <w:r w:rsidRPr="00CE0885">
        <w:rPr>
          <w:spacing w:val="-1"/>
          <w:lang w:eastAsia="en-GB"/>
        </w:rPr>
        <w:t>M</w:t>
      </w:r>
      <w:r w:rsidRPr="00CE0885">
        <w:rPr>
          <w:spacing w:val="1"/>
          <w:lang w:eastAsia="en-GB"/>
        </w:rPr>
        <w:t>S/AP</w:t>
      </w:r>
      <w:r w:rsidRPr="00CE0885">
        <w:rPr>
          <w:spacing w:val="-1"/>
          <w:lang w:eastAsia="en-GB"/>
        </w:rPr>
        <w:t>M</w:t>
      </w:r>
      <w:r w:rsidRPr="00CE0885">
        <w:rPr>
          <w:spacing w:val="1"/>
          <w:lang w:eastAsia="en-GB"/>
        </w:rPr>
        <w:t>S contracts</w:t>
      </w:r>
      <w:r w:rsidRPr="00CE0885">
        <w:rPr>
          <w:lang w:eastAsia="en-GB"/>
        </w:rPr>
        <w:t>.</w:t>
      </w:r>
      <w:bookmarkEnd w:id="697"/>
      <w:r w:rsidRPr="00CE0885">
        <w:rPr>
          <w:lang w:eastAsia="en-GB"/>
        </w:rPr>
        <w:t xml:space="preserve">  </w:t>
      </w:r>
    </w:p>
    <w:p w14:paraId="2726011E" w14:textId="0423962D" w:rsidR="00977693" w:rsidRPr="00CE0885" w:rsidRDefault="00977693" w:rsidP="006B781A">
      <w:pPr>
        <w:pStyle w:val="Heading3"/>
        <w:rPr>
          <w:lang w:eastAsia="en-GB"/>
        </w:rPr>
      </w:pPr>
      <w:bookmarkStart w:id="698" w:name="_Toc440981806"/>
      <w:r w:rsidRPr="00CE0885">
        <w:rPr>
          <w:lang w:eastAsia="en-GB"/>
        </w:rPr>
        <w:t>F</w:t>
      </w:r>
      <w:r w:rsidRPr="00CE0885">
        <w:rPr>
          <w:spacing w:val="1"/>
          <w:lang w:eastAsia="en-GB"/>
        </w:rPr>
        <w:t>o</w:t>
      </w:r>
      <w:r w:rsidRPr="00CE0885">
        <w:rPr>
          <w:lang w:eastAsia="en-GB"/>
        </w:rPr>
        <w:t>r</w:t>
      </w:r>
      <w:r w:rsidRPr="00CE0885">
        <w:rPr>
          <w:spacing w:val="-4"/>
          <w:lang w:eastAsia="en-GB"/>
        </w:rPr>
        <w:t xml:space="preserve"> </w:t>
      </w:r>
      <w:r w:rsidRPr="00CE0885">
        <w:rPr>
          <w:spacing w:val="1"/>
          <w:lang w:eastAsia="en-GB"/>
        </w:rPr>
        <w:t>G</w:t>
      </w:r>
      <w:r w:rsidRPr="00CE0885">
        <w:rPr>
          <w:spacing w:val="-1"/>
          <w:lang w:eastAsia="en-GB"/>
        </w:rPr>
        <w:t>M</w:t>
      </w:r>
      <w:r w:rsidRPr="00CE0885">
        <w:rPr>
          <w:lang w:eastAsia="en-GB"/>
        </w:rPr>
        <w:t>S</w:t>
      </w:r>
      <w:r w:rsidRPr="00CE0885">
        <w:rPr>
          <w:spacing w:val="-4"/>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spacing w:val="1"/>
          <w:lang w:eastAsia="en-GB"/>
        </w:rPr>
        <w:t>t</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w:t>
      </w:r>
      <w:r w:rsidRPr="00CE0885">
        <w:rPr>
          <w:lang w:eastAsia="en-GB"/>
        </w:rPr>
        <w:t>s,</w:t>
      </w:r>
      <w:r w:rsidRPr="00CE0885">
        <w:rPr>
          <w:spacing w:val="-9"/>
          <w:lang w:eastAsia="en-GB"/>
        </w:rPr>
        <w:t xml:space="preserve"> </w:t>
      </w:r>
      <w:r w:rsidRPr="00CE0885">
        <w:rPr>
          <w:spacing w:val="-3"/>
          <w:lang w:eastAsia="en-GB"/>
        </w:rPr>
        <w:t>i</w:t>
      </w:r>
      <w:r w:rsidRPr="00CE0885">
        <w:rPr>
          <w:lang w:eastAsia="en-GB"/>
        </w:rPr>
        <w:t xml:space="preserve">f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t</w:t>
      </w:r>
      <w:r w:rsidRPr="00CE0885">
        <w:rPr>
          <w:spacing w:val="1"/>
          <w:lang w:eastAsia="en-GB"/>
        </w:rPr>
        <w:t>e</w:t>
      </w:r>
      <w:r w:rsidRPr="00CE0885">
        <w:rPr>
          <w:spacing w:val="-1"/>
          <w:lang w:eastAsia="en-GB"/>
        </w:rPr>
        <w:t>r</w:t>
      </w:r>
      <w:r w:rsidRPr="00CE0885">
        <w:rPr>
          <w:lang w:eastAsia="en-GB"/>
        </w:rPr>
        <w:t>mi</w:t>
      </w:r>
      <w:r w:rsidRPr="00CE0885">
        <w:rPr>
          <w:spacing w:val="-1"/>
          <w:lang w:eastAsia="en-GB"/>
        </w:rPr>
        <w:t>n</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13"/>
          <w:lang w:eastAsia="en-GB"/>
        </w:rPr>
        <w:t xml:space="preserve"> </w:t>
      </w:r>
      <w:r w:rsidRPr="00CE0885">
        <w:rPr>
          <w:spacing w:val="1"/>
          <w:lang w:eastAsia="en-GB"/>
        </w:rPr>
        <w:t>da</w:t>
      </w:r>
      <w:r w:rsidRPr="00CE0885">
        <w:rPr>
          <w:spacing w:val="-2"/>
          <w:lang w:eastAsia="en-GB"/>
        </w:rPr>
        <w:t>t</w:t>
      </w:r>
      <w:r w:rsidRPr="00CE0885">
        <w:rPr>
          <w:lang w:eastAsia="en-GB"/>
        </w:rPr>
        <w:t>e</w:t>
      </w:r>
      <w:r w:rsidRPr="00CE0885">
        <w:rPr>
          <w:spacing w:val="-3"/>
          <w:lang w:eastAsia="en-GB"/>
        </w:rPr>
        <w:t xml:space="preserve"> </w:t>
      </w:r>
      <w:r w:rsidRPr="00CE0885">
        <w:rPr>
          <w:lang w:eastAsia="en-GB"/>
        </w:rPr>
        <w:t>is</w:t>
      </w:r>
      <w:r w:rsidRPr="00CE0885">
        <w:rPr>
          <w:spacing w:val="-4"/>
          <w:lang w:eastAsia="en-GB"/>
        </w:rPr>
        <w:t xml:space="preserve"> </w:t>
      </w:r>
      <w:r w:rsidRPr="00CE0885">
        <w:rPr>
          <w:spacing w:val="1"/>
          <w:lang w:eastAsia="en-GB"/>
        </w:rPr>
        <w:t>no</w:t>
      </w:r>
      <w:r w:rsidRPr="00CE0885">
        <w:rPr>
          <w:lang w:eastAsia="en-GB"/>
        </w:rPr>
        <w:t>t</w:t>
      </w:r>
      <w:r w:rsidRPr="00CE0885">
        <w:rPr>
          <w:spacing w:val="-2"/>
          <w:lang w:eastAsia="en-GB"/>
        </w:rPr>
        <w:t xml:space="preserve"> t</w:t>
      </w:r>
      <w:r w:rsidRPr="00CE0885">
        <w:rPr>
          <w:spacing w:val="1"/>
          <w:lang w:eastAsia="en-GB"/>
        </w:rPr>
        <w:t>h</w:t>
      </w:r>
      <w:r w:rsidRPr="00CE0885">
        <w:rPr>
          <w:lang w:eastAsia="en-GB"/>
        </w:rPr>
        <w:t>e</w:t>
      </w:r>
      <w:r w:rsidRPr="00CE0885">
        <w:rPr>
          <w:spacing w:val="-1"/>
          <w:lang w:eastAsia="en-GB"/>
        </w:rPr>
        <w:t xml:space="preserve"> </w:t>
      </w:r>
      <w:r w:rsidRPr="00CE0885">
        <w:rPr>
          <w:spacing w:val="-3"/>
          <w:lang w:eastAsia="en-GB"/>
        </w:rPr>
        <w:t>l</w:t>
      </w:r>
      <w:r w:rsidRPr="00CE0885">
        <w:rPr>
          <w:spacing w:val="1"/>
          <w:lang w:eastAsia="en-GB"/>
        </w:rPr>
        <w:t>a</w:t>
      </w:r>
      <w:r w:rsidRPr="00CE0885">
        <w:rPr>
          <w:lang w:eastAsia="en-GB"/>
        </w:rPr>
        <w:t>st</w:t>
      </w:r>
      <w:r w:rsidRPr="00CE0885">
        <w:rPr>
          <w:spacing w:val="-3"/>
          <w:lang w:eastAsia="en-GB"/>
        </w:rPr>
        <w:t xml:space="preserve"> </w:t>
      </w:r>
      <w:r w:rsidRPr="00CE0885">
        <w:rPr>
          <w:lang w:eastAsia="en-GB"/>
        </w:rPr>
        <w:t>c</w:t>
      </w:r>
      <w:r w:rsidRPr="00CE0885">
        <w:rPr>
          <w:spacing w:val="1"/>
          <w:lang w:eastAsia="en-GB"/>
        </w:rPr>
        <w:t>a</w:t>
      </w:r>
      <w:r w:rsidRPr="00CE0885">
        <w:rPr>
          <w:spacing w:val="-3"/>
          <w:lang w:eastAsia="en-GB"/>
        </w:rPr>
        <w:t>l</w:t>
      </w:r>
      <w:r w:rsidRPr="00CE0885">
        <w:rPr>
          <w:spacing w:val="1"/>
          <w:lang w:eastAsia="en-GB"/>
        </w:rPr>
        <w:t>en</w:t>
      </w:r>
      <w:r w:rsidRPr="00CE0885">
        <w:rPr>
          <w:spacing w:val="-1"/>
          <w:lang w:eastAsia="en-GB"/>
        </w:rPr>
        <w:t>d</w:t>
      </w:r>
      <w:r w:rsidRPr="00CE0885">
        <w:rPr>
          <w:spacing w:val="1"/>
          <w:lang w:eastAsia="en-GB"/>
        </w:rPr>
        <w:t>a</w:t>
      </w:r>
      <w:r w:rsidRPr="00CE0885">
        <w:rPr>
          <w:lang w:eastAsia="en-GB"/>
        </w:rPr>
        <w:t xml:space="preserve">r </w:t>
      </w:r>
      <w:r w:rsidRPr="00CE0885">
        <w:rPr>
          <w:spacing w:val="1"/>
          <w:lang w:eastAsia="en-GB"/>
        </w:rPr>
        <w:t>da</w:t>
      </w:r>
      <w:r w:rsidRPr="00CE0885">
        <w:rPr>
          <w:lang w:eastAsia="en-GB"/>
        </w:rPr>
        <w:t>y</w:t>
      </w:r>
      <w:r w:rsidRPr="00CE0885">
        <w:rPr>
          <w:spacing w:val="-6"/>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a</w:t>
      </w:r>
      <w:r w:rsidRPr="00CE0885">
        <w:rPr>
          <w:spacing w:val="-2"/>
          <w:lang w:eastAsia="en-GB"/>
        </w:rPr>
        <w:t xml:space="preserve"> </w:t>
      </w:r>
      <w:r w:rsidRPr="00CE0885">
        <w:rPr>
          <w:lang w:eastAsia="en-GB"/>
        </w:rPr>
        <w:t>m</w:t>
      </w:r>
      <w:r w:rsidRPr="00CE0885">
        <w:rPr>
          <w:spacing w:val="-1"/>
          <w:lang w:eastAsia="en-GB"/>
        </w:rPr>
        <w:t>o</w:t>
      </w:r>
      <w:r w:rsidRPr="00CE0885">
        <w:rPr>
          <w:spacing w:val="1"/>
          <w:lang w:eastAsia="en-GB"/>
        </w:rPr>
        <w:t>nt</w:t>
      </w:r>
      <w:r w:rsidRPr="00CE0885">
        <w:rPr>
          <w:spacing w:val="-1"/>
          <w:lang w:eastAsia="en-GB"/>
        </w:rPr>
        <w:t>h</w:t>
      </w:r>
      <w:r w:rsidRPr="00CE0885">
        <w:rPr>
          <w:lang w:eastAsia="en-GB"/>
        </w:rPr>
        <w:t>,</w:t>
      </w:r>
      <w:r w:rsidRPr="00CE0885">
        <w:rPr>
          <w:spacing w:val="-6"/>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ct</w:t>
      </w:r>
      <w:r w:rsidRPr="00CE0885">
        <w:rPr>
          <w:spacing w:val="-8"/>
          <w:lang w:eastAsia="en-GB"/>
        </w:rPr>
        <w:t xml:space="preserve"> </w:t>
      </w:r>
      <w:r w:rsidRPr="00CE0885">
        <w:rPr>
          <w:lang w:eastAsia="en-GB"/>
        </w:rPr>
        <w:t>s</w:t>
      </w:r>
      <w:r w:rsidRPr="00CE0885">
        <w:rPr>
          <w:spacing w:val="-1"/>
          <w:lang w:eastAsia="en-GB"/>
        </w:rPr>
        <w:t>h</w:t>
      </w:r>
      <w:r w:rsidRPr="00CE0885">
        <w:rPr>
          <w:spacing w:val="1"/>
          <w:lang w:eastAsia="en-GB"/>
        </w:rPr>
        <w:t>a</w:t>
      </w:r>
      <w:r w:rsidRPr="00CE0885">
        <w:rPr>
          <w:lang w:eastAsia="en-GB"/>
        </w:rPr>
        <w:t>ll</w:t>
      </w:r>
      <w:r w:rsidRPr="00CE0885">
        <w:rPr>
          <w:spacing w:val="-5"/>
          <w:lang w:eastAsia="en-GB"/>
        </w:rPr>
        <w:t xml:space="preserve"> </w:t>
      </w:r>
      <w:r w:rsidRPr="00CE0885">
        <w:rPr>
          <w:lang w:eastAsia="en-GB"/>
        </w:rPr>
        <w:t>i</w:t>
      </w:r>
      <w:r w:rsidRPr="00CE0885">
        <w:rPr>
          <w:spacing w:val="1"/>
          <w:lang w:eastAsia="en-GB"/>
        </w:rPr>
        <w:t>n</w:t>
      </w:r>
      <w:r w:rsidRPr="00CE0885">
        <w:rPr>
          <w:lang w:eastAsia="en-GB"/>
        </w:rPr>
        <w:t>s</w:t>
      </w:r>
      <w:r w:rsidRPr="00CE0885">
        <w:rPr>
          <w:spacing w:val="1"/>
          <w:lang w:eastAsia="en-GB"/>
        </w:rPr>
        <w:t>t</w:t>
      </w:r>
      <w:r w:rsidRPr="00CE0885">
        <w:rPr>
          <w:spacing w:val="-1"/>
          <w:lang w:eastAsia="en-GB"/>
        </w:rPr>
        <w:t>e</w:t>
      </w:r>
      <w:r w:rsidRPr="00CE0885">
        <w:rPr>
          <w:spacing w:val="1"/>
          <w:lang w:eastAsia="en-GB"/>
        </w:rPr>
        <w:t>a</w:t>
      </w:r>
      <w:r w:rsidRPr="00CE0885">
        <w:rPr>
          <w:lang w:eastAsia="en-GB"/>
        </w:rPr>
        <w:t>d</w:t>
      </w:r>
      <w:r w:rsidRPr="00CE0885">
        <w:rPr>
          <w:spacing w:val="-9"/>
          <w:lang w:eastAsia="en-GB"/>
        </w:rPr>
        <w:t xml:space="preserve"> </w:t>
      </w:r>
      <w:r w:rsidRPr="00CE0885">
        <w:rPr>
          <w:spacing w:val="1"/>
          <w:lang w:eastAsia="en-GB"/>
        </w:rPr>
        <w:t>te</w:t>
      </w:r>
      <w:r w:rsidRPr="00CE0885">
        <w:rPr>
          <w:spacing w:val="-3"/>
          <w:lang w:eastAsia="en-GB"/>
        </w:rPr>
        <w:t>r</w:t>
      </w:r>
      <w:r w:rsidRPr="00CE0885">
        <w:rPr>
          <w:lang w:eastAsia="en-GB"/>
        </w:rPr>
        <w:t>mi</w:t>
      </w:r>
      <w:r w:rsidRPr="00CE0885">
        <w:rPr>
          <w:spacing w:val="1"/>
          <w:lang w:eastAsia="en-GB"/>
        </w:rPr>
        <w:t>na</w:t>
      </w:r>
      <w:r w:rsidRPr="00CE0885">
        <w:rPr>
          <w:spacing w:val="-2"/>
          <w:lang w:eastAsia="en-GB"/>
        </w:rPr>
        <w:t>t</w:t>
      </w:r>
      <w:r w:rsidRPr="00CE0885">
        <w:rPr>
          <w:lang w:eastAsia="en-GB"/>
        </w:rPr>
        <w:t>e</w:t>
      </w:r>
      <w:r w:rsidRPr="00CE0885">
        <w:rPr>
          <w:spacing w:val="-8"/>
          <w:lang w:eastAsia="en-GB"/>
        </w:rPr>
        <w:t xml:space="preserve"> </w:t>
      </w:r>
      <w:r w:rsidRPr="00CE0885">
        <w:rPr>
          <w:spacing w:val="-1"/>
          <w:lang w:eastAsia="en-GB"/>
        </w:rPr>
        <w:t>o</w:t>
      </w:r>
      <w:r w:rsidRPr="00CE0885">
        <w:rPr>
          <w:lang w:eastAsia="en-GB"/>
        </w:rPr>
        <w:t>n</w:t>
      </w:r>
      <w:r w:rsidRPr="00CE0885">
        <w:rPr>
          <w:spacing w:val="-1"/>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l</w:t>
      </w:r>
      <w:r w:rsidRPr="00CE0885">
        <w:rPr>
          <w:spacing w:val="1"/>
          <w:lang w:eastAsia="en-GB"/>
        </w:rPr>
        <w:t>a</w:t>
      </w:r>
      <w:r w:rsidRPr="00CE0885">
        <w:rPr>
          <w:spacing w:val="-2"/>
          <w:lang w:eastAsia="en-GB"/>
        </w:rPr>
        <w:t>s</w:t>
      </w:r>
      <w:r w:rsidRPr="00CE0885">
        <w:rPr>
          <w:lang w:eastAsia="en-GB"/>
        </w:rPr>
        <w:t>t c</w:t>
      </w:r>
      <w:r w:rsidRPr="00CE0885">
        <w:rPr>
          <w:spacing w:val="1"/>
          <w:lang w:eastAsia="en-GB"/>
        </w:rPr>
        <w:t>a</w:t>
      </w:r>
      <w:r w:rsidRPr="00CE0885">
        <w:rPr>
          <w:lang w:eastAsia="en-GB"/>
        </w:rPr>
        <w:t>l</w:t>
      </w:r>
      <w:r w:rsidRPr="00CE0885">
        <w:rPr>
          <w:spacing w:val="1"/>
          <w:lang w:eastAsia="en-GB"/>
        </w:rPr>
        <w:t>en</w:t>
      </w:r>
      <w:r w:rsidRPr="00CE0885">
        <w:rPr>
          <w:spacing w:val="-1"/>
          <w:lang w:eastAsia="en-GB"/>
        </w:rPr>
        <w:t>d</w:t>
      </w:r>
      <w:r w:rsidRPr="00CE0885">
        <w:rPr>
          <w:spacing w:val="1"/>
          <w:lang w:eastAsia="en-GB"/>
        </w:rPr>
        <w:t>a</w:t>
      </w:r>
      <w:r w:rsidRPr="00CE0885">
        <w:rPr>
          <w:lang w:eastAsia="en-GB"/>
        </w:rPr>
        <w:t>r</w:t>
      </w:r>
      <w:r w:rsidRPr="00CE0885">
        <w:rPr>
          <w:spacing w:val="-9"/>
          <w:lang w:eastAsia="en-GB"/>
        </w:rPr>
        <w:t xml:space="preserve"> </w:t>
      </w:r>
      <w:r w:rsidRPr="00CE0885">
        <w:rPr>
          <w:spacing w:val="1"/>
          <w:lang w:eastAsia="en-GB"/>
        </w:rPr>
        <w:t>da</w:t>
      </w:r>
      <w:r w:rsidRPr="00CE0885">
        <w:rPr>
          <w:lang w:eastAsia="en-GB"/>
        </w:rPr>
        <w:t>y</w:t>
      </w:r>
      <w:r w:rsidRPr="00CE0885">
        <w:rPr>
          <w:spacing w:val="-6"/>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mo</w:t>
      </w:r>
      <w:r w:rsidRPr="00CE0885">
        <w:rPr>
          <w:spacing w:val="1"/>
          <w:lang w:eastAsia="en-GB"/>
        </w:rPr>
        <w:t>nt</w:t>
      </w:r>
      <w:r w:rsidRPr="00CE0885">
        <w:rPr>
          <w:lang w:eastAsia="en-GB"/>
        </w:rPr>
        <w:t>h</w:t>
      </w:r>
      <w:r w:rsidRPr="00CE0885">
        <w:rPr>
          <w:spacing w:val="-5"/>
          <w:lang w:eastAsia="en-GB"/>
        </w:rPr>
        <w:t xml:space="preserve"> </w:t>
      </w:r>
      <w:r w:rsidRPr="00CE0885">
        <w:rPr>
          <w:lang w:eastAsia="en-GB"/>
        </w:rPr>
        <w:t>in</w:t>
      </w:r>
      <w:r w:rsidRPr="00CE0885">
        <w:rPr>
          <w:spacing w:val="-3"/>
          <w:lang w:eastAsia="en-GB"/>
        </w:rPr>
        <w:t xml:space="preserve"> w</w:t>
      </w:r>
      <w:r w:rsidRPr="00CE0885">
        <w:rPr>
          <w:spacing w:val="1"/>
          <w:lang w:eastAsia="en-GB"/>
        </w:rPr>
        <w:t>h</w:t>
      </w:r>
      <w:r w:rsidRPr="00CE0885">
        <w:rPr>
          <w:lang w:eastAsia="en-GB"/>
        </w:rPr>
        <w:t>ich</w:t>
      </w:r>
      <w:r w:rsidRPr="00CE0885">
        <w:rPr>
          <w:spacing w:val="-4"/>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te</w:t>
      </w:r>
      <w:r w:rsidRPr="00CE0885">
        <w:rPr>
          <w:spacing w:val="-1"/>
          <w:lang w:eastAsia="en-GB"/>
        </w:rPr>
        <w:t>r</w:t>
      </w:r>
      <w:r w:rsidRPr="00CE0885">
        <w:rPr>
          <w:lang w:eastAsia="en-GB"/>
        </w:rPr>
        <w:t>mi</w:t>
      </w:r>
      <w:r w:rsidRPr="00CE0885">
        <w:rPr>
          <w:spacing w:val="-1"/>
          <w:lang w:eastAsia="en-GB"/>
        </w:rPr>
        <w:t>n</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13"/>
          <w:lang w:eastAsia="en-GB"/>
        </w:rPr>
        <w:t xml:space="preserve"> </w:t>
      </w:r>
      <w:r w:rsidRPr="00CE0885">
        <w:rPr>
          <w:spacing w:val="1"/>
          <w:lang w:eastAsia="en-GB"/>
        </w:rPr>
        <w:t>da</w:t>
      </w:r>
      <w:r w:rsidRPr="00CE0885">
        <w:rPr>
          <w:spacing w:val="-2"/>
          <w:lang w:eastAsia="en-GB"/>
        </w:rPr>
        <w:t>t</w:t>
      </w:r>
      <w:r w:rsidRPr="00CE0885">
        <w:rPr>
          <w:lang w:eastAsia="en-GB"/>
        </w:rPr>
        <w:t>e</w:t>
      </w:r>
      <w:r w:rsidRPr="00CE0885">
        <w:rPr>
          <w:spacing w:val="-6"/>
          <w:lang w:eastAsia="en-GB"/>
        </w:rPr>
        <w:t xml:space="preserve"> </w:t>
      </w:r>
      <w:r w:rsidRPr="00CE0885">
        <w:rPr>
          <w:spacing w:val="1"/>
          <w:lang w:eastAsia="en-GB"/>
        </w:rPr>
        <w:t>fa</w:t>
      </w:r>
      <w:r w:rsidRPr="00CE0885">
        <w:rPr>
          <w:lang w:eastAsia="en-GB"/>
        </w:rPr>
        <w:t>lls.</w:t>
      </w:r>
      <w:bookmarkEnd w:id="698"/>
    </w:p>
    <w:p w14:paraId="78059AFC" w14:textId="39E3837F" w:rsidR="00977693" w:rsidRPr="00CE0885" w:rsidRDefault="00977693" w:rsidP="006B781A">
      <w:pPr>
        <w:pStyle w:val="Heading3"/>
        <w:rPr>
          <w:lang w:eastAsia="en-GB"/>
        </w:rPr>
      </w:pPr>
      <w:bookmarkStart w:id="699" w:name="_Toc440981807"/>
      <w:r w:rsidRPr="00CE0885">
        <w:rPr>
          <w:lang w:eastAsia="en-GB"/>
        </w:rPr>
        <w:t>F</w:t>
      </w:r>
      <w:r w:rsidRPr="00CE0885">
        <w:rPr>
          <w:spacing w:val="1"/>
          <w:lang w:eastAsia="en-GB"/>
        </w:rPr>
        <w:t>o</w:t>
      </w:r>
      <w:r w:rsidRPr="00CE0885">
        <w:rPr>
          <w:lang w:eastAsia="en-GB"/>
        </w:rPr>
        <w:t>r</w:t>
      </w:r>
      <w:r w:rsidRPr="00CE0885">
        <w:rPr>
          <w:spacing w:val="-4"/>
          <w:lang w:eastAsia="en-GB"/>
        </w:rPr>
        <w:t xml:space="preserve"> </w:t>
      </w:r>
      <w:r w:rsidRPr="00CE0885">
        <w:rPr>
          <w:spacing w:val="1"/>
          <w:lang w:eastAsia="en-GB"/>
        </w:rPr>
        <w:t>P</w:t>
      </w:r>
      <w:r w:rsidRPr="00CE0885">
        <w:rPr>
          <w:spacing w:val="-1"/>
          <w:lang w:eastAsia="en-GB"/>
        </w:rPr>
        <w:t>M</w:t>
      </w:r>
      <w:r w:rsidRPr="00CE0885">
        <w:rPr>
          <w:spacing w:val="1"/>
          <w:lang w:eastAsia="en-GB"/>
        </w:rPr>
        <w:t>S/APMS contracts</w:t>
      </w:r>
      <w:r w:rsidRPr="00CE0885">
        <w:rPr>
          <w:lang w:eastAsia="en-GB"/>
        </w:rPr>
        <w:t>,</w:t>
      </w:r>
      <w:r w:rsidRPr="00CE0885">
        <w:rPr>
          <w:spacing w:val="-5"/>
          <w:lang w:eastAsia="en-GB"/>
        </w:rPr>
        <w:t xml:space="preserve"> </w:t>
      </w:r>
      <w:r w:rsidRPr="00CE0885">
        <w:rPr>
          <w:spacing w:val="-2"/>
          <w:lang w:eastAsia="en-GB"/>
        </w:rPr>
        <w:t>t</w:t>
      </w:r>
      <w:r w:rsidRPr="00CE0885">
        <w:rPr>
          <w:spacing w:val="1"/>
          <w:lang w:eastAsia="en-GB"/>
        </w:rPr>
        <w:t>he</w:t>
      </w:r>
      <w:r w:rsidRPr="00CE0885">
        <w:rPr>
          <w:spacing w:val="-1"/>
          <w:lang w:eastAsia="en-GB"/>
        </w:rPr>
        <w:t>r</w:t>
      </w:r>
      <w:r w:rsidRPr="00CE0885">
        <w:rPr>
          <w:lang w:eastAsia="en-GB"/>
        </w:rPr>
        <w:t>e</w:t>
      </w:r>
      <w:r w:rsidRPr="00CE0885">
        <w:rPr>
          <w:spacing w:val="-3"/>
          <w:lang w:eastAsia="en-GB"/>
        </w:rPr>
        <w:t xml:space="preserve"> </w:t>
      </w:r>
      <w:r w:rsidRPr="00CE0885">
        <w:rPr>
          <w:lang w:eastAsia="en-GB"/>
        </w:rPr>
        <w:t>is</w:t>
      </w:r>
      <w:r w:rsidRPr="00CE0885">
        <w:rPr>
          <w:spacing w:val="-4"/>
          <w:lang w:eastAsia="en-GB"/>
        </w:rPr>
        <w:t xml:space="preserve"> </w:t>
      </w:r>
      <w:r w:rsidRPr="00CE0885">
        <w:rPr>
          <w:spacing w:val="1"/>
          <w:lang w:eastAsia="en-GB"/>
        </w:rPr>
        <w:t>n</w:t>
      </w:r>
      <w:r w:rsidRPr="00CE0885">
        <w:rPr>
          <w:lang w:eastAsia="en-GB"/>
        </w:rPr>
        <w:t>o</w:t>
      </w:r>
      <w:r w:rsidRPr="00CE0885">
        <w:rPr>
          <w:spacing w:val="-1"/>
          <w:lang w:eastAsia="en-GB"/>
        </w:rPr>
        <w:t xml:space="preserve"> </w:t>
      </w:r>
      <w:r w:rsidRPr="00CE0885">
        <w:rPr>
          <w:spacing w:val="-2"/>
          <w:lang w:eastAsia="en-GB"/>
        </w:rPr>
        <w:t>s</w:t>
      </w:r>
      <w:r w:rsidRPr="00CE0885">
        <w:rPr>
          <w:spacing w:val="1"/>
          <w:lang w:eastAsia="en-GB"/>
        </w:rPr>
        <w:t>u</w:t>
      </w:r>
      <w:r w:rsidRPr="00CE0885">
        <w:rPr>
          <w:lang w:eastAsia="en-GB"/>
        </w:rPr>
        <w:t>ch</w:t>
      </w:r>
      <w:r w:rsidRPr="00CE0885">
        <w:rPr>
          <w:spacing w:val="-3"/>
          <w:lang w:eastAsia="en-GB"/>
        </w:rPr>
        <w:t xml:space="preserve"> </w:t>
      </w:r>
      <w:r w:rsidRPr="00CE0885">
        <w:rPr>
          <w:spacing w:val="-1"/>
          <w:lang w:eastAsia="en-GB"/>
        </w:rPr>
        <w:t>r</w:t>
      </w:r>
      <w:r w:rsidRPr="00CE0885">
        <w:rPr>
          <w:spacing w:val="1"/>
          <w:lang w:eastAsia="en-GB"/>
        </w:rPr>
        <w:t>e</w:t>
      </w:r>
      <w:r w:rsidRPr="00CE0885">
        <w:rPr>
          <w:spacing w:val="-1"/>
          <w:lang w:eastAsia="en-GB"/>
        </w:rPr>
        <w:t>q</w:t>
      </w:r>
      <w:r w:rsidRPr="00CE0885">
        <w:rPr>
          <w:spacing w:val="1"/>
          <w:lang w:eastAsia="en-GB"/>
        </w:rPr>
        <w:t>u</w:t>
      </w:r>
      <w:r w:rsidRPr="00CE0885">
        <w:rPr>
          <w:lang w:eastAsia="en-GB"/>
        </w:rPr>
        <w:t>i</w:t>
      </w:r>
      <w:r w:rsidRPr="00CE0885">
        <w:rPr>
          <w:spacing w:val="-1"/>
          <w:lang w:eastAsia="en-GB"/>
        </w:rPr>
        <w:t>r</w:t>
      </w:r>
      <w:r w:rsidRPr="00CE0885">
        <w:rPr>
          <w:spacing w:val="1"/>
          <w:lang w:eastAsia="en-GB"/>
        </w:rPr>
        <w:t>e</w:t>
      </w:r>
      <w:r w:rsidRPr="00CE0885">
        <w:rPr>
          <w:spacing w:val="-1"/>
          <w:lang w:eastAsia="en-GB"/>
        </w:rPr>
        <w:t>m</w:t>
      </w:r>
      <w:r w:rsidRPr="00CE0885">
        <w:rPr>
          <w:spacing w:val="1"/>
          <w:lang w:eastAsia="en-GB"/>
        </w:rPr>
        <w:t>en</w:t>
      </w:r>
      <w:r w:rsidRPr="00CE0885">
        <w:rPr>
          <w:spacing w:val="-2"/>
          <w:lang w:eastAsia="en-GB"/>
        </w:rPr>
        <w:t>t</w:t>
      </w:r>
      <w:r w:rsidRPr="00CE0885">
        <w:rPr>
          <w:lang w:eastAsia="en-GB"/>
        </w:rPr>
        <w:t>.</w:t>
      </w:r>
      <w:r w:rsidRPr="00CE0885">
        <w:rPr>
          <w:spacing w:val="-12"/>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Commissioner</w:t>
      </w:r>
      <w:r w:rsidRPr="00CE0885">
        <w:rPr>
          <w:spacing w:val="-3"/>
          <w:lang w:eastAsia="en-GB"/>
        </w:rPr>
        <w:t xml:space="preserve"> </w:t>
      </w:r>
      <w:r w:rsidRPr="00CE0885">
        <w:rPr>
          <w:spacing w:val="-1"/>
          <w:lang w:eastAsia="en-GB"/>
        </w:rPr>
        <w:t>m</w:t>
      </w:r>
      <w:r w:rsidRPr="00CE0885">
        <w:rPr>
          <w:spacing w:val="1"/>
          <w:lang w:eastAsia="en-GB"/>
        </w:rPr>
        <w:t>u</w:t>
      </w:r>
      <w:r w:rsidRPr="00CE0885">
        <w:rPr>
          <w:lang w:eastAsia="en-GB"/>
        </w:rPr>
        <w:t>st c</w:t>
      </w:r>
      <w:r w:rsidRPr="00CE0885">
        <w:rPr>
          <w:spacing w:val="1"/>
          <w:lang w:eastAsia="en-GB"/>
        </w:rPr>
        <w:t>a</w:t>
      </w:r>
      <w:r w:rsidRPr="00CE0885">
        <w:rPr>
          <w:lang w:eastAsia="en-GB"/>
        </w:rPr>
        <w:t>lc</w:t>
      </w:r>
      <w:r w:rsidRPr="00CE0885">
        <w:rPr>
          <w:spacing w:val="1"/>
          <w:lang w:eastAsia="en-GB"/>
        </w:rPr>
        <w:t>u</w:t>
      </w:r>
      <w:r w:rsidRPr="00CE0885">
        <w:rPr>
          <w:lang w:eastAsia="en-GB"/>
        </w:rPr>
        <w:t>l</w:t>
      </w:r>
      <w:r w:rsidRPr="00CE0885">
        <w:rPr>
          <w:spacing w:val="1"/>
          <w:lang w:eastAsia="en-GB"/>
        </w:rPr>
        <w:t>at</w:t>
      </w:r>
      <w:r w:rsidRPr="00CE0885">
        <w:rPr>
          <w:lang w:eastAsia="en-GB"/>
        </w:rPr>
        <w:t>e</w:t>
      </w:r>
      <w:r w:rsidRPr="00CE0885">
        <w:rPr>
          <w:spacing w:val="-10"/>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d</w:t>
      </w:r>
      <w:r w:rsidRPr="00CE0885">
        <w:rPr>
          <w:spacing w:val="-1"/>
          <w:lang w:eastAsia="en-GB"/>
        </w:rPr>
        <w:t>a</w:t>
      </w:r>
      <w:r w:rsidRPr="00CE0885">
        <w:rPr>
          <w:spacing w:val="1"/>
          <w:lang w:eastAsia="en-GB"/>
        </w:rPr>
        <w:t>t</w:t>
      </w:r>
      <w:r w:rsidRPr="00CE0885">
        <w:rPr>
          <w:lang w:eastAsia="en-GB"/>
        </w:rPr>
        <w:t>e</w:t>
      </w:r>
      <w:r w:rsidRPr="00CE0885">
        <w:rPr>
          <w:spacing w:val="-6"/>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2"/>
          <w:lang w:eastAsia="en-GB"/>
        </w:rPr>
        <w:t>t</w:t>
      </w:r>
      <w:r w:rsidRPr="00CE0885">
        <w:rPr>
          <w:spacing w:val="-1"/>
          <w:lang w:eastAsia="en-GB"/>
        </w:rPr>
        <w:t>er</w:t>
      </w:r>
      <w:r w:rsidRPr="00CE0885">
        <w:rPr>
          <w:lang w:eastAsia="en-GB"/>
        </w:rPr>
        <w:t>mi</w:t>
      </w:r>
      <w:r w:rsidRPr="00CE0885">
        <w:rPr>
          <w:spacing w:val="1"/>
          <w:lang w:eastAsia="en-GB"/>
        </w:rPr>
        <w:t>nat</w:t>
      </w:r>
      <w:r w:rsidRPr="00CE0885">
        <w:rPr>
          <w:lang w:eastAsia="en-GB"/>
        </w:rPr>
        <w:t>i</w:t>
      </w:r>
      <w:r w:rsidRPr="00CE0885">
        <w:rPr>
          <w:spacing w:val="-1"/>
          <w:lang w:eastAsia="en-GB"/>
        </w:rPr>
        <w:t>o</w:t>
      </w:r>
      <w:r w:rsidRPr="00CE0885">
        <w:rPr>
          <w:spacing w:val="1"/>
          <w:lang w:eastAsia="en-GB"/>
        </w:rPr>
        <w:t>n</w:t>
      </w:r>
      <w:r w:rsidRPr="00CE0885">
        <w:rPr>
          <w:lang w:eastAsia="en-GB"/>
        </w:rPr>
        <w:t>,</w:t>
      </w:r>
      <w:r w:rsidRPr="00CE0885">
        <w:rPr>
          <w:spacing w:val="-12"/>
          <w:lang w:eastAsia="en-GB"/>
        </w:rPr>
        <w:t xml:space="preserve"> </w:t>
      </w:r>
      <w:r w:rsidRPr="00CE0885">
        <w:rPr>
          <w:spacing w:val="-1"/>
          <w:lang w:eastAsia="en-GB"/>
        </w:rPr>
        <w:t>b</w:t>
      </w:r>
      <w:r w:rsidRPr="00CE0885">
        <w:rPr>
          <w:spacing w:val="1"/>
          <w:lang w:eastAsia="en-GB"/>
        </w:rPr>
        <w:t>a</w:t>
      </w:r>
      <w:r w:rsidRPr="00CE0885">
        <w:rPr>
          <w:lang w:eastAsia="en-GB"/>
        </w:rPr>
        <w:t>s</w:t>
      </w:r>
      <w:r w:rsidRPr="00CE0885">
        <w:rPr>
          <w:spacing w:val="-1"/>
          <w:lang w:eastAsia="en-GB"/>
        </w:rPr>
        <w:t>e</w:t>
      </w:r>
      <w:r w:rsidRPr="00CE0885">
        <w:rPr>
          <w:lang w:eastAsia="en-GB"/>
        </w:rPr>
        <w:t>d</w:t>
      </w:r>
      <w:r w:rsidRPr="00CE0885">
        <w:rPr>
          <w:spacing w:val="-5"/>
          <w:lang w:eastAsia="en-GB"/>
        </w:rPr>
        <w:t xml:space="preserve"> </w:t>
      </w:r>
      <w:r w:rsidRPr="00CE0885">
        <w:rPr>
          <w:spacing w:val="-1"/>
          <w:lang w:eastAsia="en-GB"/>
        </w:rPr>
        <w:t>o</w:t>
      </w:r>
      <w:r w:rsidRPr="00CE0885">
        <w:rPr>
          <w:lang w:eastAsia="en-GB"/>
        </w:rPr>
        <w:t>n</w:t>
      </w:r>
      <w:r w:rsidRPr="00CE0885">
        <w:rPr>
          <w:spacing w:val="-1"/>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1"/>
          <w:lang w:eastAsia="en-GB"/>
        </w:rPr>
        <w:t>te</w:t>
      </w:r>
      <w:r w:rsidRPr="00CE0885">
        <w:rPr>
          <w:spacing w:val="-3"/>
          <w:lang w:eastAsia="en-GB"/>
        </w:rPr>
        <w:t>r</w:t>
      </w:r>
      <w:r w:rsidRPr="00CE0885">
        <w:rPr>
          <w:lang w:eastAsia="en-GB"/>
        </w:rPr>
        <w:t>ms</w:t>
      </w:r>
      <w:r w:rsidRPr="00CE0885">
        <w:rPr>
          <w:spacing w:val="-6"/>
          <w:lang w:eastAsia="en-GB"/>
        </w:rPr>
        <w:t xml:space="preserve"> </w:t>
      </w:r>
      <w:r w:rsidRPr="00CE0885">
        <w:rPr>
          <w:lang w:eastAsia="en-GB"/>
        </w:rPr>
        <w:t xml:space="preserve">in </w:t>
      </w:r>
      <w:r w:rsidRPr="00CE0885">
        <w:rPr>
          <w:spacing w:val="-2"/>
          <w:lang w:eastAsia="en-GB"/>
        </w:rPr>
        <w:t>t</w:t>
      </w:r>
      <w:r w:rsidRPr="00CE0885">
        <w:rPr>
          <w:spacing w:val="1"/>
          <w:lang w:eastAsia="en-GB"/>
        </w:rPr>
        <w:t>h</w:t>
      </w:r>
      <w:r w:rsidRPr="00CE0885">
        <w:rPr>
          <w:lang w:eastAsia="en-GB"/>
        </w:rPr>
        <w:t>e i</w:t>
      </w:r>
      <w:r w:rsidRPr="00CE0885">
        <w:rPr>
          <w:spacing w:val="1"/>
          <w:lang w:eastAsia="en-GB"/>
        </w:rPr>
        <w:t>nd</w:t>
      </w:r>
      <w:r w:rsidRPr="00CE0885">
        <w:rPr>
          <w:lang w:eastAsia="en-GB"/>
        </w:rPr>
        <w:t>i</w:t>
      </w:r>
      <w:r w:rsidRPr="00CE0885">
        <w:rPr>
          <w:spacing w:val="-2"/>
          <w:lang w:eastAsia="en-GB"/>
        </w:rPr>
        <w:t>v</w:t>
      </w:r>
      <w:r w:rsidRPr="00CE0885">
        <w:rPr>
          <w:lang w:eastAsia="en-GB"/>
        </w:rPr>
        <w:t>i</w:t>
      </w:r>
      <w:r w:rsidRPr="00CE0885">
        <w:rPr>
          <w:spacing w:val="1"/>
          <w:lang w:eastAsia="en-GB"/>
        </w:rPr>
        <w:t>dua</w:t>
      </w:r>
      <w:r w:rsidRPr="00CE0885">
        <w:rPr>
          <w:lang w:eastAsia="en-GB"/>
        </w:rPr>
        <w:t>l</w:t>
      </w:r>
      <w:r w:rsidRPr="00CE0885">
        <w:rPr>
          <w:spacing w:val="-10"/>
          <w:lang w:eastAsia="en-GB"/>
        </w:rPr>
        <w:t xml:space="preserve"> </w:t>
      </w:r>
      <w:r w:rsidRPr="00CE0885">
        <w:rPr>
          <w:spacing w:val="1"/>
          <w:lang w:eastAsia="en-GB"/>
        </w:rPr>
        <w:t>contract</w:t>
      </w:r>
      <w:r w:rsidRPr="00CE0885">
        <w:rPr>
          <w:spacing w:val="-10"/>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5"/>
          <w:lang w:eastAsia="en-GB"/>
        </w:rPr>
        <w:t xml:space="preserve"> </w:t>
      </w:r>
      <w:r w:rsidRPr="00CE0885">
        <w:rPr>
          <w:spacing w:val="3"/>
          <w:lang w:eastAsia="en-GB"/>
        </w:rPr>
        <w:t>f</w:t>
      </w:r>
      <w:r w:rsidRPr="00CE0885">
        <w:rPr>
          <w:spacing w:val="-3"/>
          <w:lang w:eastAsia="en-GB"/>
        </w:rPr>
        <w:t>r</w:t>
      </w:r>
      <w:r w:rsidRPr="00CE0885">
        <w:rPr>
          <w:spacing w:val="1"/>
          <w:lang w:eastAsia="en-GB"/>
        </w:rPr>
        <w:t>o</w:t>
      </w:r>
      <w:r w:rsidRPr="00CE0885">
        <w:rPr>
          <w:lang w:eastAsia="en-GB"/>
        </w:rPr>
        <w:t>m</w:t>
      </w:r>
      <w:r w:rsidRPr="00CE0885">
        <w:rPr>
          <w:spacing w:val="-5"/>
          <w:lang w:eastAsia="en-GB"/>
        </w:rPr>
        <w:t xml:space="preserve"> </w:t>
      </w:r>
      <w:r w:rsidRPr="00CE0885">
        <w:rPr>
          <w:spacing w:val="1"/>
          <w:lang w:eastAsia="en-GB"/>
        </w:rPr>
        <w:t>th</w:t>
      </w:r>
      <w:r w:rsidRPr="00CE0885">
        <w:rPr>
          <w:lang w:eastAsia="en-GB"/>
        </w:rPr>
        <w:t>e</w:t>
      </w:r>
      <w:r w:rsidRPr="00CE0885">
        <w:rPr>
          <w:spacing w:val="-6"/>
          <w:lang w:eastAsia="en-GB"/>
        </w:rPr>
        <w:t xml:space="preserve"> </w:t>
      </w:r>
      <w:r w:rsidRPr="00CE0885">
        <w:rPr>
          <w:spacing w:val="1"/>
          <w:lang w:eastAsia="en-GB"/>
        </w:rPr>
        <w:t>dat</w:t>
      </w:r>
      <w:r w:rsidRPr="00CE0885">
        <w:rPr>
          <w:lang w:eastAsia="en-GB"/>
        </w:rPr>
        <w:t>e</w:t>
      </w:r>
      <w:r w:rsidRPr="00CE0885">
        <w:rPr>
          <w:spacing w:val="-6"/>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n</w:t>
      </w:r>
      <w:r w:rsidRPr="00CE0885">
        <w:rPr>
          <w:spacing w:val="-1"/>
          <w:lang w:eastAsia="en-GB"/>
        </w:rPr>
        <w:t>o</w:t>
      </w:r>
      <w:r w:rsidRPr="00CE0885">
        <w:rPr>
          <w:spacing w:val="1"/>
          <w:lang w:eastAsia="en-GB"/>
        </w:rPr>
        <w:t>t</w:t>
      </w:r>
      <w:r w:rsidRPr="00CE0885">
        <w:rPr>
          <w:lang w:eastAsia="en-GB"/>
        </w:rPr>
        <w:t>ic</w:t>
      </w:r>
      <w:r w:rsidRPr="00CE0885">
        <w:rPr>
          <w:spacing w:val="1"/>
          <w:lang w:eastAsia="en-GB"/>
        </w:rPr>
        <w:t>e</w:t>
      </w:r>
      <w:r w:rsidRPr="00CE0885">
        <w:rPr>
          <w:lang w:eastAsia="en-GB"/>
        </w:rPr>
        <w:t>.</w:t>
      </w:r>
      <w:bookmarkEnd w:id="699"/>
    </w:p>
    <w:p w14:paraId="0A17B381" w14:textId="66ABF08E" w:rsidR="00977693" w:rsidRPr="00CE0885" w:rsidRDefault="00977693" w:rsidP="006B781A">
      <w:pPr>
        <w:pStyle w:val="Heading3"/>
        <w:rPr>
          <w:lang w:eastAsia="en-GB"/>
        </w:rPr>
      </w:pPr>
      <w:bookmarkStart w:id="700" w:name="_Toc440981808"/>
      <w:r w:rsidRPr="00CE0885">
        <w:rPr>
          <w:spacing w:val="1"/>
          <w:lang w:eastAsia="en-GB"/>
        </w:rPr>
        <w:t>I</w:t>
      </w:r>
      <w:r w:rsidRPr="00CE0885">
        <w:rPr>
          <w:lang w:eastAsia="en-GB"/>
        </w:rPr>
        <w:t xml:space="preserve">n </w:t>
      </w:r>
      <w:r w:rsidRPr="00CE0885">
        <w:rPr>
          <w:spacing w:val="1"/>
          <w:lang w:eastAsia="en-GB"/>
        </w:rPr>
        <w:t>e</w:t>
      </w:r>
      <w:r w:rsidRPr="00CE0885">
        <w:rPr>
          <w:spacing w:val="-2"/>
          <w:lang w:eastAsia="en-GB"/>
        </w:rPr>
        <w:t>x</w:t>
      </w:r>
      <w:r w:rsidRPr="00CE0885">
        <w:rPr>
          <w:lang w:eastAsia="en-GB"/>
        </w:rPr>
        <w:t>c</w:t>
      </w:r>
      <w:r w:rsidRPr="00CE0885">
        <w:rPr>
          <w:spacing w:val="1"/>
          <w:lang w:eastAsia="en-GB"/>
        </w:rPr>
        <w:t>ept</w:t>
      </w:r>
      <w:r w:rsidRPr="00CE0885">
        <w:rPr>
          <w:lang w:eastAsia="en-GB"/>
        </w:rPr>
        <w:t>i</w:t>
      </w:r>
      <w:r w:rsidRPr="00CE0885">
        <w:rPr>
          <w:spacing w:val="-1"/>
          <w:lang w:eastAsia="en-GB"/>
        </w:rPr>
        <w:t>o</w:t>
      </w:r>
      <w:r w:rsidRPr="00CE0885">
        <w:rPr>
          <w:spacing w:val="1"/>
          <w:lang w:eastAsia="en-GB"/>
        </w:rPr>
        <w:t>na</w:t>
      </w:r>
      <w:r w:rsidRPr="00CE0885">
        <w:rPr>
          <w:lang w:eastAsia="en-GB"/>
        </w:rPr>
        <w:t>l</w:t>
      </w:r>
      <w:r w:rsidRPr="00CE0885">
        <w:rPr>
          <w:spacing w:val="-12"/>
          <w:lang w:eastAsia="en-GB"/>
        </w:rPr>
        <w:t xml:space="preserve"> </w:t>
      </w:r>
      <w:r w:rsidRPr="00CE0885">
        <w:rPr>
          <w:lang w:eastAsia="en-GB"/>
        </w:rPr>
        <w:t>ci</w:t>
      </w:r>
      <w:r w:rsidRPr="00CE0885">
        <w:rPr>
          <w:spacing w:val="-1"/>
          <w:lang w:eastAsia="en-GB"/>
        </w:rPr>
        <w:t>r</w:t>
      </w:r>
      <w:r w:rsidRPr="00CE0885">
        <w:rPr>
          <w:lang w:eastAsia="en-GB"/>
        </w:rPr>
        <w:t>c</w:t>
      </w:r>
      <w:r w:rsidRPr="00CE0885">
        <w:rPr>
          <w:spacing w:val="-1"/>
          <w:lang w:eastAsia="en-GB"/>
        </w:rPr>
        <w:t>u</w:t>
      </w:r>
      <w:r w:rsidRPr="00CE0885">
        <w:rPr>
          <w:lang w:eastAsia="en-GB"/>
        </w:rPr>
        <w:t>ms</w:t>
      </w:r>
      <w:r w:rsidRPr="00CE0885">
        <w:rPr>
          <w:spacing w:val="-2"/>
          <w:lang w:eastAsia="en-GB"/>
        </w:rPr>
        <w:t>t</w:t>
      </w:r>
      <w:r w:rsidRPr="00CE0885">
        <w:rPr>
          <w:spacing w:val="1"/>
          <w:lang w:eastAsia="en-GB"/>
        </w:rPr>
        <w:t>an</w:t>
      </w:r>
      <w:r w:rsidRPr="00CE0885">
        <w:rPr>
          <w:lang w:eastAsia="en-GB"/>
        </w:rPr>
        <w:t>c</w:t>
      </w:r>
      <w:r w:rsidRPr="00CE0885">
        <w:rPr>
          <w:spacing w:val="1"/>
          <w:lang w:eastAsia="en-GB"/>
        </w:rPr>
        <w:t>e</w:t>
      </w:r>
      <w:r w:rsidRPr="00CE0885">
        <w:rPr>
          <w:lang w:eastAsia="en-GB"/>
        </w:rPr>
        <w:t>s,</w:t>
      </w:r>
      <w:r w:rsidRPr="00CE0885">
        <w:rPr>
          <w:spacing w:val="-17"/>
          <w:lang w:eastAsia="en-GB"/>
        </w:rPr>
        <w:t xml:space="preserve"> </w:t>
      </w:r>
      <w:r w:rsidRPr="00CE0885">
        <w:rPr>
          <w:lang w:eastAsia="en-GB"/>
        </w:rPr>
        <w:t>s</w:t>
      </w:r>
      <w:r w:rsidRPr="00CE0885">
        <w:rPr>
          <w:spacing w:val="1"/>
          <w:lang w:eastAsia="en-GB"/>
        </w:rPr>
        <w:t>u</w:t>
      </w:r>
      <w:r w:rsidRPr="00CE0885">
        <w:rPr>
          <w:lang w:eastAsia="en-GB"/>
        </w:rPr>
        <w:t>ch</w:t>
      </w:r>
      <w:r w:rsidRPr="00CE0885">
        <w:rPr>
          <w:spacing w:val="-6"/>
          <w:lang w:eastAsia="en-GB"/>
        </w:rPr>
        <w:t xml:space="preserve"> </w:t>
      </w:r>
      <w:r w:rsidRPr="00CE0885">
        <w:rPr>
          <w:spacing w:val="1"/>
          <w:lang w:eastAsia="en-GB"/>
        </w:rPr>
        <w:t>a</w:t>
      </w:r>
      <w:r w:rsidRPr="00CE0885">
        <w:rPr>
          <w:lang w:eastAsia="en-GB"/>
        </w:rPr>
        <w:t>s</w:t>
      </w:r>
      <w:r w:rsidRPr="00CE0885">
        <w:rPr>
          <w:spacing w:val="-3"/>
          <w:lang w:eastAsia="en-GB"/>
        </w:rPr>
        <w:t xml:space="preserve"> </w:t>
      </w:r>
      <w:r w:rsidRPr="00CE0885">
        <w:rPr>
          <w:lang w:eastAsia="en-GB"/>
        </w:rPr>
        <w:t>ill</w:t>
      </w:r>
      <w:r w:rsidRPr="00CE0885">
        <w:rPr>
          <w:spacing w:val="-2"/>
          <w:lang w:eastAsia="en-GB"/>
        </w:rPr>
        <w:t xml:space="preserve"> </w:t>
      </w:r>
      <w:r w:rsidRPr="00CE0885">
        <w:rPr>
          <w:spacing w:val="1"/>
          <w:lang w:eastAsia="en-GB"/>
        </w:rPr>
        <w:t>h</w:t>
      </w:r>
      <w:r w:rsidRPr="00CE0885">
        <w:rPr>
          <w:spacing w:val="-1"/>
          <w:lang w:eastAsia="en-GB"/>
        </w:rPr>
        <w:t>e</w:t>
      </w:r>
      <w:r w:rsidRPr="00CE0885">
        <w:rPr>
          <w:spacing w:val="1"/>
          <w:lang w:eastAsia="en-GB"/>
        </w:rPr>
        <w:t>a</w:t>
      </w:r>
      <w:r w:rsidRPr="00CE0885">
        <w:rPr>
          <w:lang w:eastAsia="en-GB"/>
        </w:rPr>
        <w:t>l</w:t>
      </w:r>
      <w:r w:rsidRPr="00CE0885">
        <w:rPr>
          <w:spacing w:val="-2"/>
          <w:lang w:eastAsia="en-GB"/>
        </w:rPr>
        <w:t>t</w:t>
      </w:r>
      <w:r w:rsidRPr="00CE0885">
        <w:rPr>
          <w:spacing w:val="1"/>
          <w:lang w:eastAsia="en-GB"/>
        </w:rPr>
        <w:t>h</w:t>
      </w:r>
      <w:r w:rsidRPr="00CE0885">
        <w:rPr>
          <w:lang w:eastAsia="en-GB"/>
        </w:rPr>
        <w:t>,</w:t>
      </w:r>
      <w:r w:rsidRPr="00CE0885">
        <w:rPr>
          <w:spacing w:val="-6"/>
          <w:lang w:eastAsia="en-GB"/>
        </w:rPr>
        <w:t xml:space="preserve"> </w:t>
      </w:r>
      <w:r w:rsidRPr="00CE0885">
        <w:rPr>
          <w:lang w:eastAsia="en-GB"/>
        </w:rPr>
        <w:t>the Commissioner</w:t>
      </w:r>
      <w:r w:rsidRPr="00CE0885">
        <w:rPr>
          <w:spacing w:val="-10"/>
          <w:lang w:eastAsia="en-GB"/>
        </w:rPr>
        <w:t xml:space="preserve"> </w:t>
      </w:r>
      <w:r w:rsidRPr="00CE0885">
        <w:rPr>
          <w:lang w:eastAsia="en-GB"/>
        </w:rPr>
        <w:t>m</w:t>
      </w:r>
      <w:r w:rsidRPr="00CE0885">
        <w:rPr>
          <w:spacing w:val="1"/>
          <w:lang w:eastAsia="en-GB"/>
        </w:rPr>
        <w:t>a</w:t>
      </w:r>
      <w:r w:rsidRPr="00CE0885">
        <w:rPr>
          <w:lang w:eastAsia="en-GB"/>
        </w:rPr>
        <w:t xml:space="preserve">y </w:t>
      </w:r>
      <w:r w:rsidRPr="00CE0885">
        <w:rPr>
          <w:spacing w:val="-3"/>
          <w:lang w:eastAsia="en-GB"/>
        </w:rPr>
        <w:t>w</w:t>
      </w:r>
      <w:r w:rsidRPr="00CE0885">
        <w:rPr>
          <w:lang w:eastAsia="en-GB"/>
        </w:rPr>
        <w:t>ish</w:t>
      </w:r>
      <w:r w:rsidRPr="00CE0885">
        <w:rPr>
          <w:spacing w:val="-3"/>
          <w:lang w:eastAsia="en-GB"/>
        </w:rPr>
        <w:t xml:space="preserve"> </w:t>
      </w:r>
      <w:r w:rsidRPr="00CE0885">
        <w:rPr>
          <w:spacing w:val="1"/>
          <w:lang w:eastAsia="en-GB"/>
        </w:rPr>
        <w:t>t</w:t>
      </w:r>
      <w:r w:rsidRPr="00CE0885">
        <w:rPr>
          <w:lang w:eastAsia="en-GB"/>
        </w:rPr>
        <w:t xml:space="preserve">o </w:t>
      </w:r>
      <w:r w:rsidRPr="00CE0885">
        <w:rPr>
          <w:spacing w:val="-3"/>
          <w:lang w:eastAsia="en-GB"/>
        </w:rPr>
        <w:t>w</w:t>
      </w:r>
      <w:r w:rsidRPr="00CE0885">
        <w:rPr>
          <w:spacing w:val="1"/>
          <w:lang w:eastAsia="en-GB"/>
        </w:rPr>
        <w:t>a</w:t>
      </w:r>
      <w:r w:rsidRPr="00CE0885">
        <w:rPr>
          <w:lang w:eastAsia="en-GB"/>
        </w:rPr>
        <w:t>i</w:t>
      </w:r>
      <w:r w:rsidRPr="00CE0885">
        <w:rPr>
          <w:spacing w:val="-2"/>
          <w:lang w:eastAsia="en-GB"/>
        </w:rPr>
        <w:t>v</w:t>
      </w:r>
      <w:r w:rsidRPr="00CE0885">
        <w:rPr>
          <w:lang w:eastAsia="en-GB"/>
        </w:rPr>
        <w:t>e</w:t>
      </w:r>
      <w:r w:rsidRPr="00CE0885">
        <w:rPr>
          <w:spacing w:val="-4"/>
          <w:lang w:eastAsia="en-GB"/>
        </w:rPr>
        <w:t xml:space="preserve"> </w:t>
      </w:r>
      <w:r w:rsidRPr="00CE0885">
        <w:rPr>
          <w:lang w:eastAsia="en-GB"/>
        </w:rPr>
        <w:t>i</w:t>
      </w:r>
      <w:r w:rsidRPr="00CE0885">
        <w:rPr>
          <w:spacing w:val="1"/>
          <w:lang w:eastAsia="en-GB"/>
        </w:rPr>
        <w:t>t</w:t>
      </w:r>
      <w:r w:rsidRPr="00CE0885">
        <w:rPr>
          <w:lang w:eastAsia="en-GB"/>
        </w:rPr>
        <w:t>s</w:t>
      </w:r>
      <w:r w:rsidRPr="00CE0885">
        <w:rPr>
          <w:spacing w:val="-2"/>
          <w:lang w:eastAsia="en-GB"/>
        </w:rPr>
        <w:t xml:space="preserve"> </w:t>
      </w:r>
      <w:r w:rsidRPr="00CE0885">
        <w:rPr>
          <w:spacing w:val="-1"/>
          <w:lang w:eastAsia="en-GB"/>
        </w:rPr>
        <w:t>r</w:t>
      </w:r>
      <w:r w:rsidRPr="00CE0885">
        <w:rPr>
          <w:lang w:eastAsia="en-GB"/>
        </w:rPr>
        <w:t>i</w:t>
      </w:r>
      <w:r w:rsidRPr="00CE0885">
        <w:rPr>
          <w:spacing w:val="-1"/>
          <w:lang w:eastAsia="en-GB"/>
        </w:rPr>
        <w:t>g</w:t>
      </w:r>
      <w:r w:rsidRPr="00CE0885">
        <w:rPr>
          <w:spacing w:val="1"/>
          <w:lang w:eastAsia="en-GB"/>
        </w:rPr>
        <w:t>h</w:t>
      </w:r>
      <w:r w:rsidRPr="00CE0885">
        <w:rPr>
          <w:lang w:eastAsia="en-GB"/>
        </w:rPr>
        <w:t>t</w:t>
      </w:r>
      <w:r w:rsidRPr="00CE0885">
        <w:rPr>
          <w:spacing w:val="-4"/>
          <w:lang w:eastAsia="en-GB"/>
        </w:rPr>
        <w:t xml:space="preserve"> </w:t>
      </w:r>
      <w:r w:rsidRPr="00CE0885">
        <w:rPr>
          <w:spacing w:val="1"/>
          <w:lang w:eastAsia="en-GB"/>
        </w:rPr>
        <w:t>t</w:t>
      </w:r>
      <w:r w:rsidRPr="00CE0885">
        <w:rPr>
          <w:lang w:eastAsia="en-GB"/>
        </w:rPr>
        <w:t xml:space="preserve">o </w:t>
      </w:r>
      <w:r w:rsidRPr="00CE0885">
        <w:rPr>
          <w:spacing w:val="1"/>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spacing w:val="3"/>
          <w:lang w:eastAsia="en-GB"/>
        </w:rPr>
        <w:t>f</w:t>
      </w:r>
      <w:r w:rsidRPr="00CE0885">
        <w:rPr>
          <w:spacing w:val="1"/>
          <w:lang w:eastAsia="en-GB"/>
        </w:rPr>
        <w:t>u</w:t>
      </w:r>
      <w:r w:rsidRPr="00CE0885">
        <w:rPr>
          <w:lang w:eastAsia="en-GB"/>
        </w:rPr>
        <w:t>ll</w:t>
      </w:r>
      <w:r w:rsidRPr="00CE0885">
        <w:rPr>
          <w:spacing w:val="-5"/>
          <w:lang w:eastAsia="en-GB"/>
        </w:rPr>
        <w:t xml:space="preserve"> </w:t>
      </w:r>
      <w:r w:rsidRPr="00CE0885">
        <w:rPr>
          <w:spacing w:val="1"/>
          <w:lang w:eastAsia="en-GB"/>
        </w:rPr>
        <w:t>not</w:t>
      </w:r>
      <w:r w:rsidRPr="00CE0885">
        <w:rPr>
          <w:lang w:eastAsia="en-GB"/>
        </w:rPr>
        <w:t>ice</w:t>
      </w:r>
      <w:r w:rsidRPr="00CE0885">
        <w:rPr>
          <w:spacing w:val="-7"/>
          <w:lang w:eastAsia="en-GB"/>
        </w:rPr>
        <w:t xml:space="preserve"> </w:t>
      </w:r>
      <w:r w:rsidRPr="00CE0885">
        <w:rPr>
          <w:spacing w:val="1"/>
          <w:lang w:eastAsia="en-GB"/>
        </w:rPr>
        <w:t>pe</w:t>
      </w:r>
      <w:r w:rsidRPr="00CE0885">
        <w:rPr>
          <w:spacing w:val="-1"/>
          <w:lang w:eastAsia="en-GB"/>
        </w:rPr>
        <w:t>r</w:t>
      </w:r>
      <w:r w:rsidRPr="00CE0885">
        <w:rPr>
          <w:lang w:eastAsia="en-GB"/>
        </w:rPr>
        <w:t>i</w:t>
      </w:r>
      <w:r w:rsidRPr="00CE0885">
        <w:rPr>
          <w:spacing w:val="-1"/>
          <w:lang w:eastAsia="en-GB"/>
        </w:rPr>
        <w:t>o</w:t>
      </w:r>
      <w:r w:rsidRPr="00CE0885">
        <w:rPr>
          <w:lang w:eastAsia="en-GB"/>
        </w:rPr>
        <w:t>d</w:t>
      </w:r>
      <w:r w:rsidRPr="00CE0885">
        <w:rPr>
          <w:spacing w:val="-8"/>
          <w:lang w:eastAsia="en-GB"/>
        </w:rPr>
        <w:t xml:space="preserve"> </w:t>
      </w:r>
      <w:r w:rsidRPr="00CE0885">
        <w:rPr>
          <w:spacing w:val="1"/>
          <w:lang w:eastAsia="en-GB"/>
        </w:rPr>
        <w:t>bu</w:t>
      </w:r>
      <w:r w:rsidRPr="00CE0885">
        <w:rPr>
          <w:lang w:eastAsia="en-GB"/>
        </w:rPr>
        <w:t>t</w:t>
      </w:r>
      <w:r w:rsidRPr="00CE0885">
        <w:rPr>
          <w:spacing w:val="-2"/>
          <w:lang w:eastAsia="en-GB"/>
        </w:rPr>
        <w:t xml:space="preserve"> </w:t>
      </w:r>
      <w:r w:rsidRPr="00CE0885">
        <w:rPr>
          <w:lang w:eastAsia="en-GB"/>
        </w:rPr>
        <w:t xml:space="preserve">it </w:t>
      </w:r>
      <w:r w:rsidRPr="00CE0885">
        <w:rPr>
          <w:spacing w:val="-1"/>
          <w:lang w:eastAsia="en-GB"/>
        </w:rPr>
        <w:t>rem</w:t>
      </w:r>
      <w:r w:rsidRPr="00CE0885">
        <w:rPr>
          <w:spacing w:val="1"/>
          <w:lang w:eastAsia="en-GB"/>
        </w:rPr>
        <w:t>a</w:t>
      </w:r>
      <w:r w:rsidRPr="00CE0885">
        <w:rPr>
          <w:lang w:eastAsia="en-GB"/>
        </w:rPr>
        <w:t>i</w:t>
      </w:r>
      <w:r w:rsidRPr="00CE0885">
        <w:rPr>
          <w:spacing w:val="1"/>
          <w:lang w:eastAsia="en-GB"/>
        </w:rPr>
        <w:t>n</w:t>
      </w:r>
      <w:r w:rsidRPr="00CE0885">
        <w:rPr>
          <w:lang w:eastAsia="en-GB"/>
        </w:rPr>
        <w:t>s</w:t>
      </w:r>
      <w:r w:rsidRPr="00CE0885">
        <w:rPr>
          <w:spacing w:val="-9"/>
          <w:lang w:eastAsia="en-GB"/>
        </w:rPr>
        <w:t xml:space="preserve"> </w:t>
      </w:r>
      <w:r w:rsidRPr="00CE0885">
        <w:rPr>
          <w:lang w:eastAsia="en-GB"/>
        </w:rPr>
        <w:t>i</w:t>
      </w:r>
      <w:r w:rsidRPr="00CE0885">
        <w:rPr>
          <w:spacing w:val="1"/>
          <w:lang w:eastAsia="en-GB"/>
        </w:rPr>
        <w:t>t</w:t>
      </w:r>
      <w:r w:rsidRPr="00CE0885">
        <w:rPr>
          <w:lang w:eastAsia="en-GB"/>
        </w:rPr>
        <w:t>s</w:t>
      </w:r>
      <w:r w:rsidRPr="00CE0885">
        <w:rPr>
          <w:spacing w:val="-2"/>
          <w:lang w:eastAsia="en-GB"/>
        </w:rPr>
        <w:t xml:space="preserve"> </w:t>
      </w:r>
      <w:r w:rsidRPr="00CE0885">
        <w:rPr>
          <w:spacing w:val="-1"/>
          <w:lang w:eastAsia="en-GB"/>
        </w:rPr>
        <w:t>r</w:t>
      </w:r>
      <w:r w:rsidRPr="00CE0885">
        <w:rPr>
          <w:lang w:eastAsia="en-GB"/>
        </w:rPr>
        <w:t>i</w:t>
      </w:r>
      <w:r w:rsidRPr="00CE0885">
        <w:rPr>
          <w:spacing w:val="-1"/>
          <w:lang w:eastAsia="en-GB"/>
        </w:rPr>
        <w:t>g</w:t>
      </w:r>
      <w:r w:rsidRPr="00CE0885">
        <w:rPr>
          <w:spacing w:val="1"/>
          <w:lang w:eastAsia="en-GB"/>
        </w:rPr>
        <w:t>h</w:t>
      </w:r>
      <w:r w:rsidRPr="00CE0885">
        <w:rPr>
          <w:lang w:eastAsia="en-GB"/>
        </w:rPr>
        <w:t xml:space="preserve">t </w:t>
      </w:r>
      <w:r w:rsidRPr="00CE0885">
        <w:rPr>
          <w:spacing w:val="1"/>
          <w:lang w:eastAsia="en-GB"/>
        </w:rPr>
        <w:t>a</w:t>
      </w:r>
      <w:r w:rsidRPr="00CE0885">
        <w:rPr>
          <w:lang w:eastAsia="en-GB"/>
        </w:rPr>
        <w:t>l</w:t>
      </w:r>
      <w:r w:rsidRPr="00CE0885">
        <w:rPr>
          <w:spacing w:val="1"/>
          <w:lang w:eastAsia="en-GB"/>
        </w:rPr>
        <w:t>on</w:t>
      </w:r>
      <w:r w:rsidRPr="00CE0885">
        <w:rPr>
          <w:lang w:eastAsia="en-GB"/>
        </w:rPr>
        <w:t>e</w:t>
      </w:r>
      <w:r w:rsidRPr="00CE0885">
        <w:rPr>
          <w:spacing w:val="-7"/>
          <w:lang w:eastAsia="en-GB"/>
        </w:rPr>
        <w:t xml:space="preserve"> </w:t>
      </w:r>
      <w:r w:rsidRPr="00CE0885">
        <w:rPr>
          <w:spacing w:val="1"/>
          <w:lang w:eastAsia="en-GB"/>
        </w:rPr>
        <w:t>t</w:t>
      </w:r>
      <w:r w:rsidRPr="00CE0885">
        <w:rPr>
          <w:lang w:eastAsia="en-GB"/>
        </w:rPr>
        <w:t>o</w:t>
      </w:r>
      <w:r w:rsidRPr="00CE0885">
        <w:rPr>
          <w:spacing w:val="-3"/>
          <w:lang w:eastAsia="en-GB"/>
        </w:rPr>
        <w:t xml:space="preserve"> </w:t>
      </w:r>
      <w:r w:rsidRPr="00CE0885">
        <w:rPr>
          <w:spacing w:val="1"/>
          <w:lang w:eastAsia="en-GB"/>
        </w:rPr>
        <w:t>d</w:t>
      </w:r>
      <w:r w:rsidRPr="00CE0885">
        <w:rPr>
          <w:lang w:eastAsia="en-GB"/>
        </w:rPr>
        <w:t>o</w:t>
      </w:r>
      <w:r w:rsidRPr="00CE0885">
        <w:rPr>
          <w:spacing w:val="-1"/>
          <w:lang w:eastAsia="en-GB"/>
        </w:rPr>
        <w:t xml:space="preserve"> </w:t>
      </w:r>
      <w:r w:rsidRPr="00CE0885">
        <w:rPr>
          <w:spacing w:val="-2"/>
          <w:lang w:eastAsia="en-GB"/>
        </w:rPr>
        <w:t>s</w:t>
      </w:r>
      <w:r w:rsidRPr="00CE0885">
        <w:rPr>
          <w:spacing w:val="1"/>
          <w:lang w:eastAsia="en-GB"/>
        </w:rPr>
        <w:t>o</w:t>
      </w:r>
      <w:r w:rsidRPr="00CE0885">
        <w:rPr>
          <w:lang w:eastAsia="en-GB"/>
        </w:rPr>
        <w:t>.</w:t>
      </w:r>
      <w:r w:rsidRPr="00CE0885">
        <w:rPr>
          <w:spacing w:val="65"/>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lang w:eastAsia="en-GB"/>
        </w:rPr>
        <w:t>si</w:t>
      </w:r>
      <w:r w:rsidRPr="00CE0885">
        <w:rPr>
          <w:spacing w:val="-1"/>
          <w:lang w:eastAsia="en-GB"/>
        </w:rPr>
        <w:t>d</w:t>
      </w:r>
      <w:r w:rsidRPr="00CE0885">
        <w:rPr>
          <w:spacing w:val="1"/>
          <w:lang w:eastAsia="en-GB"/>
        </w:rPr>
        <w:t>e</w:t>
      </w:r>
      <w:r w:rsidRPr="00CE0885">
        <w:rPr>
          <w:spacing w:val="-1"/>
          <w:lang w:eastAsia="en-GB"/>
        </w:rPr>
        <w:t>r</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13"/>
          <w:lang w:eastAsia="en-GB"/>
        </w:rPr>
        <w:t xml:space="preserve"> </w:t>
      </w:r>
      <w:r w:rsidRPr="00CE0885">
        <w:rPr>
          <w:spacing w:val="-2"/>
          <w:lang w:eastAsia="en-GB"/>
        </w:rPr>
        <w:t>s</w:t>
      </w:r>
      <w:r w:rsidRPr="00CE0885">
        <w:rPr>
          <w:spacing w:val="1"/>
          <w:lang w:eastAsia="en-GB"/>
        </w:rPr>
        <w:t>h</w:t>
      </w:r>
      <w:r w:rsidRPr="00CE0885">
        <w:rPr>
          <w:spacing w:val="-1"/>
          <w:lang w:eastAsia="en-GB"/>
        </w:rPr>
        <w:t>o</w:t>
      </w:r>
      <w:r w:rsidRPr="00CE0885">
        <w:rPr>
          <w:spacing w:val="1"/>
          <w:lang w:eastAsia="en-GB"/>
        </w:rPr>
        <w:t>u</w:t>
      </w:r>
      <w:r w:rsidRPr="00CE0885">
        <w:rPr>
          <w:lang w:eastAsia="en-GB"/>
        </w:rPr>
        <w:t>ld</w:t>
      </w:r>
      <w:r w:rsidRPr="00CE0885">
        <w:rPr>
          <w:spacing w:val="-5"/>
          <w:lang w:eastAsia="en-GB"/>
        </w:rPr>
        <w:t xml:space="preserve"> </w:t>
      </w:r>
      <w:r w:rsidRPr="00CE0885">
        <w:rPr>
          <w:spacing w:val="-1"/>
          <w:lang w:eastAsia="en-GB"/>
        </w:rPr>
        <w:t>b</w:t>
      </w:r>
      <w:r w:rsidRPr="00CE0885">
        <w:rPr>
          <w:lang w:eastAsia="en-GB"/>
        </w:rPr>
        <w:t>e</w:t>
      </w:r>
      <w:r w:rsidRPr="00CE0885">
        <w:rPr>
          <w:spacing w:val="-1"/>
          <w:lang w:eastAsia="en-GB"/>
        </w:rPr>
        <w:t xml:space="preserve"> g</w:t>
      </w:r>
      <w:r w:rsidRPr="00CE0885">
        <w:rPr>
          <w:lang w:eastAsia="en-GB"/>
        </w:rPr>
        <w:t>i</w:t>
      </w:r>
      <w:r w:rsidRPr="00CE0885">
        <w:rPr>
          <w:spacing w:val="-2"/>
          <w:lang w:eastAsia="en-GB"/>
        </w:rPr>
        <w:t>v</w:t>
      </w:r>
      <w:r w:rsidRPr="00CE0885">
        <w:rPr>
          <w:spacing w:val="3"/>
          <w:lang w:eastAsia="en-GB"/>
        </w:rPr>
        <w:t>e</w:t>
      </w:r>
      <w:r w:rsidRPr="00CE0885">
        <w:rPr>
          <w:spacing w:val="1"/>
          <w:lang w:eastAsia="en-GB"/>
        </w:rPr>
        <w:t>n</w:t>
      </w:r>
      <w:r w:rsidRPr="00CE0885">
        <w:rPr>
          <w:lang w:eastAsia="en-GB"/>
        </w:rPr>
        <w:t>,</w:t>
      </w:r>
      <w:r w:rsidRPr="00CE0885">
        <w:rPr>
          <w:spacing w:val="-5"/>
          <w:lang w:eastAsia="en-GB"/>
        </w:rPr>
        <w:t xml:space="preserve"> </w:t>
      </w:r>
      <w:r w:rsidRPr="00CE0885">
        <w:rPr>
          <w:spacing w:val="-1"/>
          <w:lang w:eastAsia="en-GB"/>
        </w:rPr>
        <w:t>a</w:t>
      </w:r>
      <w:r w:rsidRPr="00CE0885">
        <w:rPr>
          <w:lang w:eastAsia="en-GB"/>
        </w:rPr>
        <w:t>m</w:t>
      </w:r>
      <w:r w:rsidRPr="00CE0885">
        <w:rPr>
          <w:spacing w:val="-1"/>
          <w:lang w:eastAsia="en-GB"/>
        </w:rPr>
        <w:t>o</w:t>
      </w:r>
      <w:r w:rsidRPr="00CE0885">
        <w:rPr>
          <w:spacing w:val="1"/>
          <w:lang w:eastAsia="en-GB"/>
        </w:rPr>
        <w:t>n</w:t>
      </w:r>
      <w:r w:rsidRPr="00CE0885">
        <w:rPr>
          <w:spacing w:val="-1"/>
          <w:lang w:eastAsia="en-GB"/>
        </w:rPr>
        <w:t>g</w:t>
      </w:r>
      <w:r w:rsidRPr="00CE0885">
        <w:rPr>
          <w:lang w:eastAsia="en-GB"/>
        </w:rPr>
        <w:t>st</w:t>
      </w:r>
      <w:r w:rsidRPr="00CE0885">
        <w:rPr>
          <w:spacing w:val="-8"/>
          <w:lang w:eastAsia="en-GB"/>
        </w:rPr>
        <w:t xml:space="preserve"> </w:t>
      </w:r>
      <w:r w:rsidRPr="00CE0885">
        <w:rPr>
          <w:spacing w:val="1"/>
          <w:lang w:eastAsia="en-GB"/>
        </w:rPr>
        <w:t>ot</w:t>
      </w:r>
      <w:r w:rsidRPr="00CE0885">
        <w:rPr>
          <w:spacing w:val="-1"/>
          <w:lang w:eastAsia="en-GB"/>
        </w:rPr>
        <w:t>h</w:t>
      </w:r>
      <w:r w:rsidRPr="00CE0885">
        <w:rPr>
          <w:spacing w:val="1"/>
          <w:lang w:eastAsia="en-GB"/>
        </w:rPr>
        <w:t>e</w:t>
      </w:r>
      <w:r w:rsidRPr="00CE0885">
        <w:rPr>
          <w:lang w:eastAsia="en-GB"/>
        </w:rPr>
        <w:t>r m</w:t>
      </w:r>
      <w:r w:rsidRPr="00CE0885">
        <w:rPr>
          <w:spacing w:val="1"/>
          <w:lang w:eastAsia="en-GB"/>
        </w:rPr>
        <w:t>a</w:t>
      </w:r>
      <w:r w:rsidRPr="00CE0885">
        <w:rPr>
          <w:spacing w:val="-2"/>
          <w:lang w:eastAsia="en-GB"/>
        </w:rPr>
        <w:t>t</w:t>
      </w:r>
      <w:r w:rsidRPr="00CE0885">
        <w:rPr>
          <w:spacing w:val="1"/>
          <w:lang w:eastAsia="en-GB"/>
        </w:rPr>
        <w:t>te</w:t>
      </w:r>
      <w:r w:rsidRPr="00CE0885">
        <w:rPr>
          <w:spacing w:val="-1"/>
          <w:lang w:eastAsia="en-GB"/>
        </w:rPr>
        <w:t>r</w:t>
      </w:r>
      <w:r w:rsidRPr="00CE0885">
        <w:rPr>
          <w:lang w:eastAsia="en-GB"/>
        </w:rPr>
        <w:t>s,</w:t>
      </w:r>
      <w:r w:rsidRPr="00CE0885">
        <w:rPr>
          <w:spacing w:val="-8"/>
          <w:lang w:eastAsia="en-GB"/>
        </w:rPr>
        <w:t xml:space="preserve"> </w:t>
      </w:r>
      <w:r w:rsidRPr="00CE0885">
        <w:rPr>
          <w:spacing w:val="-2"/>
          <w:lang w:eastAsia="en-GB"/>
        </w:rPr>
        <w:t>t</w:t>
      </w:r>
      <w:r w:rsidRPr="00CE0885">
        <w:rPr>
          <w:lang w:eastAsia="en-GB"/>
        </w:rPr>
        <w:t xml:space="preserve">o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e</w:t>
      </w:r>
      <w:r w:rsidRPr="00CE0885">
        <w:rPr>
          <w:spacing w:val="1"/>
          <w:lang w:eastAsia="en-GB"/>
        </w:rPr>
        <w:t>ffe</w:t>
      </w:r>
      <w:r w:rsidRPr="00CE0885">
        <w:rPr>
          <w:lang w:eastAsia="en-GB"/>
        </w:rPr>
        <w:t>ct</w:t>
      </w:r>
      <w:r w:rsidRPr="00CE0885">
        <w:rPr>
          <w:spacing w:val="-7"/>
          <w:lang w:eastAsia="en-GB"/>
        </w:rPr>
        <w:t xml:space="preserve"> </w:t>
      </w:r>
      <w:r w:rsidRPr="00CE0885">
        <w:rPr>
          <w:spacing w:val="1"/>
          <w:lang w:eastAsia="en-GB"/>
        </w:rPr>
        <w:t>t</w:t>
      </w:r>
      <w:r w:rsidRPr="00CE0885">
        <w:rPr>
          <w:spacing w:val="-1"/>
          <w:lang w:eastAsia="en-GB"/>
        </w:rPr>
        <w:t>h</w:t>
      </w:r>
      <w:r w:rsidRPr="00CE0885">
        <w:rPr>
          <w:spacing w:val="1"/>
          <w:lang w:eastAsia="en-GB"/>
        </w:rPr>
        <w:t>a</w:t>
      </w:r>
      <w:r w:rsidRPr="00CE0885">
        <w:rPr>
          <w:lang w:eastAsia="en-GB"/>
        </w:rPr>
        <w:t>t</w:t>
      </w:r>
      <w:r w:rsidRPr="00CE0885">
        <w:rPr>
          <w:spacing w:val="-3"/>
          <w:lang w:eastAsia="en-GB"/>
        </w:rPr>
        <w:t xml:space="preserve"> </w:t>
      </w:r>
      <w:r w:rsidRPr="00CE0885">
        <w:rPr>
          <w:spacing w:val="-1"/>
          <w:lang w:eastAsia="en-GB"/>
        </w:rPr>
        <w:t>h</w:t>
      </w:r>
      <w:r w:rsidRPr="00CE0885">
        <w:rPr>
          <w:spacing w:val="1"/>
          <w:lang w:eastAsia="en-GB"/>
        </w:rPr>
        <w:t>o</w:t>
      </w:r>
      <w:r w:rsidRPr="00CE0885">
        <w:rPr>
          <w:lang w:eastAsia="en-GB"/>
        </w:rPr>
        <w:t>l</w:t>
      </w:r>
      <w:r w:rsidRPr="00CE0885">
        <w:rPr>
          <w:spacing w:val="1"/>
          <w:lang w:eastAsia="en-GB"/>
        </w:rPr>
        <w:t>d</w:t>
      </w:r>
      <w:r w:rsidRPr="00CE0885">
        <w:rPr>
          <w:lang w:eastAsia="en-GB"/>
        </w:rPr>
        <w:t>i</w:t>
      </w:r>
      <w:r w:rsidRPr="00CE0885">
        <w:rPr>
          <w:spacing w:val="1"/>
          <w:lang w:eastAsia="en-GB"/>
        </w:rPr>
        <w:t>n</w:t>
      </w:r>
      <w:r w:rsidRPr="00CE0885">
        <w:rPr>
          <w:lang w:eastAsia="en-GB"/>
        </w:rPr>
        <w:t>g</w:t>
      </w:r>
      <w:r w:rsidRPr="00CE0885">
        <w:rPr>
          <w:spacing w:val="-9"/>
          <w:lang w:eastAsia="en-GB"/>
        </w:rPr>
        <w:t xml:space="preserve"> </w:t>
      </w:r>
      <w:r w:rsidRPr="00CE0885">
        <w:rPr>
          <w:lang w:eastAsia="en-GB"/>
        </w:rPr>
        <w:t>a</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o</w:t>
      </w:r>
      <w:r w:rsidRPr="00CE0885">
        <w:rPr>
          <w:lang w:eastAsia="en-GB"/>
        </w:rPr>
        <w:t>r</w:t>
      </w:r>
      <w:r w:rsidRPr="00CE0885">
        <w:rPr>
          <w:spacing w:val="-14"/>
          <w:lang w:eastAsia="en-GB"/>
        </w:rPr>
        <w:t xml:space="preserve"> </w:t>
      </w:r>
      <w:r w:rsidRPr="00CE0885">
        <w:rPr>
          <w:spacing w:val="-3"/>
          <w:lang w:eastAsia="en-GB"/>
        </w:rPr>
        <w:t>w</w:t>
      </w:r>
      <w:r w:rsidRPr="00CE0885">
        <w:rPr>
          <w:spacing w:val="1"/>
          <w:lang w:eastAsia="en-GB"/>
        </w:rPr>
        <w:t>ho</w:t>
      </w:r>
      <w:r w:rsidRPr="00CE0885">
        <w:rPr>
          <w:lang w:eastAsia="en-GB"/>
        </w:rPr>
        <w:t xml:space="preserve"> is</w:t>
      </w:r>
      <w:r w:rsidRPr="00CE0885">
        <w:rPr>
          <w:spacing w:val="-6"/>
          <w:lang w:eastAsia="en-GB"/>
        </w:rPr>
        <w:t xml:space="preserve"> </w:t>
      </w:r>
      <w:r w:rsidRPr="00CE0885">
        <w:rPr>
          <w:spacing w:val="1"/>
          <w:lang w:eastAsia="en-GB"/>
        </w:rPr>
        <w:t>un</w:t>
      </w:r>
      <w:r w:rsidRPr="00CE0885">
        <w:rPr>
          <w:spacing w:val="-3"/>
          <w:lang w:eastAsia="en-GB"/>
        </w:rPr>
        <w:t>w</w:t>
      </w:r>
      <w:r w:rsidRPr="00CE0885">
        <w:rPr>
          <w:spacing w:val="1"/>
          <w:lang w:eastAsia="en-GB"/>
        </w:rPr>
        <w:t>e</w:t>
      </w:r>
      <w:r w:rsidRPr="00CE0885">
        <w:rPr>
          <w:lang w:eastAsia="en-GB"/>
        </w:rPr>
        <w:t>ll</w:t>
      </w:r>
      <w:r w:rsidRPr="00CE0885">
        <w:rPr>
          <w:spacing w:val="-7"/>
          <w:lang w:eastAsia="en-GB"/>
        </w:rPr>
        <w:t xml:space="preserve"> </w:t>
      </w:r>
      <w:r w:rsidRPr="00CE0885">
        <w:rPr>
          <w:spacing w:val="1"/>
          <w:lang w:eastAsia="en-GB"/>
        </w:rPr>
        <w:t>t</w:t>
      </w:r>
      <w:r w:rsidRPr="00CE0885">
        <w:rPr>
          <w:lang w:eastAsia="en-GB"/>
        </w:rPr>
        <w:t xml:space="preserve">o </w:t>
      </w:r>
      <w:r w:rsidRPr="00CE0885">
        <w:rPr>
          <w:spacing w:val="1"/>
          <w:lang w:eastAsia="en-GB"/>
        </w:rPr>
        <w:t>th</w:t>
      </w:r>
      <w:r w:rsidRPr="00CE0885">
        <w:rPr>
          <w:lang w:eastAsia="en-GB"/>
        </w:rPr>
        <w:t xml:space="preserve">e </w:t>
      </w:r>
      <w:r w:rsidRPr="00CE0885">
        <w:rPr>
          <w:spacing w:val="1"/>
          <w:lang w:eastAsia="en-GB"/>
        </w:rPr>
        <w:t>fu</w:t>
      </w:r>
      <w:r w:rsidRPr="00CE0885">
        <w:rPr>
          <w:lang w:eastAsia="en-GB"/>
        </w:rPr>
        <w:t>ll</w:t>
      </w:r>
      <w:r w:rsidRPr="00CE0885">
        <w:rPr>
          <w:spacing w:val="-3"/>
          <w:lang w:eastAsia="en-GB"/>
        </w:rPr>
        <w:t xml:space="preserve"> </w:t>
      </w:r>
      <w:r w:rsidRPr="00CE0885">
        <w:rPr>
          <w:spacing w:val="1"/>
          <w:lang w:eastAsia="en-GB"/>
        </w:rPr>
        <w:t>not</w:t>
      </w:r>
      <w:r w:rsidRPr="00CE0885">
        <w:rPr>
          <w:lang w:eastAsia="en-GB"/>
        </w:rPr>
        <w:t>i</w:t>
      </w:r>
      <w:r w:rsidRPr="00CE0885">
        <w:rPr>
          <w:spacing w:val="-2"/>
          <w:lang w:eastAsia="en-GB"/>
        </w:rPr>
        <w:t>c</w:t>
      </w:r>
      <w:r w:rsidRPr="00CE0885">
        <w:rPr>
          <w:lang w:eastAsia="en-GB"/>
        </w:rPr>
        <w:t>e</w:t>
      </w:r>
      <w:r w:rsidRPr="00CE0885">
        <w:rPr>
          <w:spacing w:val="-4"/>
          <w:lang w:eastAsia="en-GB"/>
        </w:rPr>
        <w:t xml:space="preserve"> </w:t>
      </w:r>
      <w:r w:rsidRPr="00CE0885">
        <w:rPr>
          <w:spacing w:val="1"/>
          <w:lang w:eastAsia="en-GB"/>
        </w:rPr>
        <w:t>te</w:t>
      </w:r>
      <w:r w:rsidRPr="00CE0885">
        <w:rPr>
          <w:spacing w:val="-3"/>
          <w:lang w:eastAsia="en-GB"/>
        </w:rPr>
        <w:t>r</w:t>
      </w:r>
      <w:r w:rsidRPr="00CE0885">
        <w:rPr>
          <w:lang w:eastAsia="en-GB"/>
        </w:rPr>
        <w:t>m</w:t>
      </w:r>
      <w:r w:rsidRPr="00CE0885">
        <w:rPr>
          <w:spacing w:val="-5"/>
          <w:lang w:eastAsia="en-GB"/>
        </w:rPr>
        <w:t xml:space="preserve"> </w:t>
      </w:r>
      <w:r w:rsidRPr="00CE0885">
        <w:rPr>
          <w:lang w:eastAsia="en-GB"/>
        </w:rPr>
        <w:t>m</w:t>
      </w:r>
      <w:r w:rsidRPr="00CE0885">
        <w:rPr>
          <w:spacing w:val="1"/>
          <w:lang w:eastAsia="en-GB"/>
        </w:rPr>
        <w:t>a</w:t>
      </w:r>
      <w:r w:rsidRPr="00CE0885">
        <w:rPr>
          <w:lang w:eastAsia="en-GB"/>
        </w:rPr>
        <w:t>y</w:t>
      </w:r>
      <w:r w:rsidRPr="00CE0885">
        <w:rPr>
          <w:spacing w:val="-7"/>
          <w:lang w:eastAsia="en-GB"/>
        </w:rPr>
        <w:t xml:space="preserve"> </w:t>
      </w:r>
      <w:r w:rsidRPr="00CE0885">
        <w:rPr>
          <w:spacing w:val="1"/>
          <w:lang w:eastAsia="en-GB"/>
        </w:rPr>
        <w:t>h</w:t>
      </w:r>
      <w:r w:rsidRPr="00CE0885">
        <w:rPr>
          <w:spacing w:val="-1"/>
          <w:lang w:eastAsia="en-GB"/>
        </w:rPr>
        <w:t>a</w:t>
      </w:r>
      <w:r w:rsidRPr="00CE0885">
        <w:rPr>
          <w:spacing w:val="-2"/>
          <w:lang w:eastAsia="en-GB"/>
        </w:rPr>
        <w:t>v</w:t>
      </w:r>
      <w:r w:rsidRPr="00CE0885">
        <w:rPr>
          <w:lang w:eastAsia="en-GB"/>
        </w:rPr>
        <w:t>e</w:t>
      </w:r>
      <w:r w:rsidRPr="00CE0885">
        <w:rPr>
          <w:spacing w:val="-3"/>
          <w:lang w:eastAsia="en-GB"/>
        </w:rPr>
        <w:t xml:space="preserve"> </w:t>
      </w:r>
      <w:r w:rsidRPr="00CE0885">
        <w:rPr>
          <w:spacing w:val="1"/>
          <w:lang w:eastAsia="en-GB"/>
        </w:rPr>
        <w:t>o</w:t>
      </w:r>
      <w:r w:rsidRPr="00CE0885">
        <w:rPr>
          <w:lang w:eastAsia="en-GB"/>
        </w:rPr>
        <w:t>n</w:t>
      </w:r>
      <w:r w:rsidRPr="00CE0885">
        <w:rPr>
          <w:spacing w:val="-1"/>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1"/>
          <w:lang w:eastAsia="en-GB"/>
        </w:rPr>
        <w:t>contractor, t</w:t>
      </w:r>
      <w:r w:rsidRPr="00CE0885">
        <w:rPr>
          <w:spacing w:val="-1"/>
          <w:lang w:eastAsia="en-GB"/>
        </w:rPr>
        <w:t>h</w:t>
      </w:r>
      <w:r w:rsidRPr="00CE0885">
        <w:rPr>
          <w:lang w:eastAsia="en-GB"/>
        </w:rPr>
        <w:t xml:space="preserve">e </w:t>
      </w:r>
      <w:r w:rsidRPr="00CE0885">
        <w:rPr>
          <w:spacing w:val="1"/>
          <w:lang w:eastAsia="en-GB"/>
        </w:rPr>
        <w:t>p</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w:t>
      </w:r>
      <w:r w:rsidRPr="00CE0885">
        <w:rPr>
          <w:lang w:eastAsia="en-GB"/>
        </w:rPr>
        <w:t>ice's</w:t>
      </w:r>
      <w:r w:rsidRPr="00CE0885">
        <w:rPr>
          <w:spacing w:val="-6"/>
          <w:lang w:eastAsia="en-GB"/>
        </w:rPr>
        <w:t xml:space="preserve"> </w:t>
      </w:r>
      <w:r w:rsidRPr="00CE0885">
        <w:rPr>
          <w:spacing w:val="-1"/>
          <w:lang w:eastAsia="en-GB"/>
        </w:rPr>
        <w:t>p</w:t>
      </w:r>
      <w:r w:rsidRPr="00CE0885">
        <w:rPr>
          <w:spacing w:val="1"/>
          <w:lang w:eastAsia="en-GB"/>
        </w:rPr>
        <w:t>at</w:t>
      </w:r>
      <w:r w:rsidRPr="00CE0885">
        <w:rPr>
          <w:lang w:eastAsia="en-GB"/>
        </w:rPr>
        <w:t>i</w:t>
      </w:r>
      <w:r w:rsidRPr="00CE0885">
        <w:rPr>
          <w:spacing w:val="-1"/>
          <w:lang w:eastAsia="en-GB"/>
        </w:rPr>
        <w:t>e</w:t>
      </w:r>
      <w:r w:rsidRPr="00CE0885">
        <w:rPr>
          <w:spacing w:val="1"/>
          <w:lang w:eastAsia="en-GB"/>
        </w:rPr>
        <w:t>nt</w:t>
      </w:r>
      <w:r w:rsidRPr="00CE0885">
        <w:rPr>
          <w:lang w:eastAsia="en-GB"/>
        </w:rPr>
        <w:t>s</w:t>
      </w:r>
      <w:r w:rsidRPr="00CE0885">
        <w:rPr>
          <w:spacing w:val="-8"/>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2"/>
          <w:lang w:eastAsia="en-GB"/>
        </w:rPr>
        <w:t xml:space="preserve"> c</w:t>
      </w:r>
      <w:r w:rsidRPr="00CE0885">
        <w:rPr>
          <w:spacing w:val="1"/>
          <w:lang w:eastAsia="en-GB"/>
        </w:rPr>
        <w:t>o</w:t>
      </w:r>
      <w:r w:rsidRPr="00CE0885">
        <w:rPr>
          <w:lang w:eastAsia="en-GB"/>
        </w:rPr>
        <w:t>ll</w:t>
      </w:r>
      <w:r w:rsidRPr="00CE0885">
        <w:rPr>
          <w:spacing w:val="1"/>
          <w:lang w:eastAsia="en-GB"/>
        </w:rPr>
        <w:t>ea</w:t>
      </w:r>
      <w:r w:rsidRPr="00CE0885">
        <w:rPr>
          <w:spacing w:val="-1"/>
          <w:lang w:eastAsia="en-GB"/>
        </w:rPr>
        <w:t>g</w:t>
      </w:r>
      <w:r w:rsidRPr="00CE0885">
        <w:rPr>
          <w:spacing w:val="1"/>
          <w:lang w:eastAsia="en-GB"/>
        </w:rPr>
        <w:t>ue</w:t>
      </w:r>
      <w:r w:rsidRPr="00CE0885">
        <w:rPr>
          <w:lang w:eastAsia="en-GB"/>
        </w:rPr>
        <w:t>s.</w:t>
      </w:r>
      <w:bookmarkEnd w:id="700"/>
    </w:p>
    <w:p w14:paraId="4A4E1C60" w14:textId="41AD8AFD" w:rsidR="00977693" w:rsidRPr="00CE0885" w:rsidRDefault="00977693" w:rsidP="006B781A">
      <w:pPr>
        <w:pStyle w:val="Heading3"/>
        <w:rPr>
          <w:lang w:eastAsia="en-GB"/>
        </w:rPr>
      </w:pPr>
      <w:bookmarkStart w:id="701" w:name="_Toc440981809"/>
      <w:r w:rsidRPr="00CE0885">
        <w:rPr>
          <w:lang w:eastAsia="en-GB"/>
        </w:rPr>
        <w:t>In ei</w:t>
      </w:r>
      <w:r w:rsidRPr="00CE0885">
        <w:rPr>
          <w:spacing w:val="-2"/>
          <w:lang w:eastAsia="en-GB"/>
        </w:rPr>
        <w:t>t</w:t>
      </w:r>
      <w:r w:rsidRPr="00CE0885">
        <w:rPr>
          <w:lang w:eastAsia="en-GB"/>
        </w:rPr>
        <w:t>her</w:t>
      </w:r>
      <w:r w:rsidRPr="00CE0885">
        <w:rPr>
          <w:spacing w:val="-6"/>
          <w:lang w:eastAsia="en-GB"/>
        </w:rPr>
        <w:t xml:space="preserve"> </w:t>
      </w:r>
      <w:r w:rsidRPr="00CE0885">
        <w:rPr>
          <w:lang w:eastAsia="en-GB"/>
        </w:rPr>
        <w:t>ca</w:t>
      </w:r>
      <w:r w:rsidRPr="00CE0885">
        <w:rPr>
          <w:spacing w:val="-2"/>
          <w:lang w:eastAsia="en-GB"/>
        </w:rPr>
        <w:t>s</w:t>
      </w:r>
      <w:r w:rsidRPr="00CE0885">
        <w:rPr>
          <w:lang w:eastAsia="en-GB"/>
        </w:rPr>
        <w:t>e</w:t>
      </w:r>
      <w:r w:rsidRPr="00CE0885">
        <w:rPr>
          <w:spacing w:val="-3"/>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Commissioner</w:t>
      </w:r>
      <w:r w:rsidRPr="00CE0885">
        <w:rPr>
          <w:spacing w:val="-3"/>
          <w:lang w:eastAsia="en-GB"/>
        </w:rPr>
        <w:t xml:space="preserve"> </w:t>
      </w:r>
      <w:r w:rsidRPr="00CE0885">
        <w:rPr>
          <w:lang w:eastAsia="en-GB"/>
        </w:rPr>
        <w:t>should</w:t>
      </w:r>
      <w:r w:rsidRPr="00CE0885">
        <w:rPr>
          <w:spacing w:val="-4"/>
          <w:lang w:eastAsia="en-GB"/>
        </w:rPr>
        <w:t xml:space="preserve"> </w:t>
      </w:r>
      <w:r w:rsidRPr="00CE0885">
        <w:rPr>
          <w:spacing w:val="-2"/>
          <w:lang w:eastAsia="en-GB"/>
        </w:rPr>
        <w:t>c</w:t>
      </w:r>
      <w:r w:rsidRPr="00CE0885">
        <w:rPr>
          <w:lang w:eastAsia="en-GB"/>
        </w:rPr>
        <w:t>o</w:t>
      </w:r>
      <w:r w:rsidRPr="00CE0885">
        <w:rPr>
          <w:spacing w:val="-1"/>
          <w:lang w:eastAsia="en-GB"/>
        </w:rPr>
        <w:t>n</w:t>
      </w:r>
      <w:r w:rsidRPr="00CE0885">
        <w:rPr>
          <w:spacing w:val="3"/>
          <w:lang w:eastAsia="en-GB"/>
        </w:rPr>
        <w:t>f</w:t>
      </w:r>
      <w:r w:rsidRPr="00CE0885">
        <w:rPr>
          <w:lang w:eastAsia="en-GB"/>
        </w:rPr>
        <w:t>i</w:t>
      </w:r>
      <w:r w:rsidRPr="00CE0885">
        <w:rPr>
          <w:spacing w:val="-3"/>
          <w:lang w:eastAsia="en-GB"/>
        </w:rPr>
        <w:t>r</w:t>
      </w:r>
      <w:r w:rsidRPr="00CE0885">
        <w:rPr>
          <w:lang w:eastAsia="en-GB"/>
        </w:rPr>
        <w:t>m</w:t>
      </w:r>
      <w:r w:rsidRPr="00CE0885">
        <w:rPr>
          <w:spacing w:val="-6"/>
          <w:lang w:eastAsia="en-GB"/>
        </w:rPr>
        <w:t xml:space="preserve"> </w:t>
      </w:r>
      <w:r w:rsidRPr="00CE0885">
        <w:rPr>
          <w:spacing w:val="-1"/>
          <w:lang w:eastAsia="en-GB"/>
        </w:rPr>
        <w:t>r</w:t>
      </w:r>
      <w:r w:rsidRPr="00CE0885">
        <w:rPr>
          <w:lang w:eastAsia="en-GB"/>
        </w:rPr>
        <w:t>ecei</w:t>
      </w:r>
      <w:r w:rsidRPr="00CE0885">
        <w:rPr>
          <w:spacing w:val="-1"/>
          <w:lang w:eastAsia="en-GB"/>
        </w:rPr>
        <w:t>p</w:t>
      </w:r>
      <w:r w:rsidRPr="00CE0885">
        <w:rPr>
          <w:lang w:eastAsia="en-GB"/>
        </w:rPr>
        <w:t>t</w:t>
      </w:r>
      <w:r w:rsidRPr="00CE0885">
        <w:rPr>
          <w:spacing w:val="-6"/>
          <w:lang w:eastAsia="en-GB"/>
        </w:rPr>
        <w:t xml:space="preserve"> </w:t>
      </w:r>
      <w:r w:rsidRPr="00CE0885">
        <w:rPr>
          <w:spacing w:val="-1"/>
          <w:lang w:eastAsia="en-GB"/>
        </w:rPr>
        <w:t>a</w:t>
      </w:r>
      <w:r w:rsidRPr="00CE0885">
        <w:rPr>
          <w:lang w:eastAsia="en-GB"/>
        </w:rPr>
        <w:t>nd</w:t>
      </w:r>
      <w:r w:rsidRPr="00CE0885">
        <w:rPr>
          <w:spacing w:val="-2"/>
          <w:lang w:eastAsia="en-GB"/>
        </w:rPr>
        <w:t xml:space="preserve"> </w:t>
      </w:r>
      <w:r w:rsidRPr="00CE0885">
        <w:rPr>
          <w:lang w:eastAsia="en-GB"/>
        </w:rPr>
        <w:t>ac</w:t>
      </w:r>
      <w:r w:rsidRPr="00CE0885">
        <w:rPr>
          <w:spacing w:val="-2"/>
          <w:lang w:eastAsia="en-GB"/>
        </w:rPr>
        <w:t>c</w:t>
      </w:r>
      <w:r w:rsidRPr="00CE0885">
        <w:rPr>
          <w:lang w:eastAsia="en-GB"/>
        </w:rPr>
        <w:t>ep</w:t>
      </w:r>
      <w:r w:rsidRPr="00CE0885">
        <w:rPr>
          <w:spacing w:val="-2"/>
          <w:lang w:eastAsia="en-GB"/>
        </w:rPr>
        <w:t>t</w:t>
      </w:r>
      <w:r w:rsidRPr="00CE0885">
        <w:rPr>
          <w:lang w:eastAsia="en-GB"/>
        </w:rPr>
        <w:t>ance</w:t>
      </w:r>
      <w:r w:rsidRPr="00CE0885">
        <w:rPr>
          <w:spacing w:val="-13"/>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 xml:space="preserve">the </w:t>
      </w:r>
      <w:r w:rsidRPr="00CE0885">
        <w:rPr>
          <w:spacing w:val="-1"/>
          <w:lang w:eastAsia="en-GB"/>
        </w:rPr>
        <w:t>r</w:t>
      </w:r>
      <w:r w:rsidRPr="00CE0885">
        <w:rPr>
          <w:lang w:eastAsia="en-GB"/>
        </w:rPr>
        <w:t>eti</w:t>
      </w:r>
      <w:r w:rsidRPr="00CE0885">
        <w:rPr>
          <w:spacing w:val="-1"/>
          <w:lang w:eastAsia="en-GB"/>
        </w:rPr>
        <w:t>r</w:t>
      </w:r>
      <w:r w:rsidRPr="00CE0885">
        <w:rPr>
          <w:lang w:eastAsia="en-GB"/>
        </w:rPr>
        <w:t>em</w:t>
      </w:r>
      <w:r w:rsidRPr="00CE0885">
        <w:rPr>
          <w:spacing w:val="-1"/>
          <w:lang w:eastAsia="en-GB"/>
        </w:rPr>
        <w:t>e</w:t>
      </w:r>
      <w:r w:rsidRPr="00CE0885">
        <w:rPr>
          <w:lang w:eastAsia="en-GB"/>
        </w:rPr>
        <w:t>nt/</w:t>
      </w:r>
      <w:r w:rsidRPr="00CE0885">
        <w:rPr>
          <w:spacing w:val="-2"/>
          <w:lang w:eastAsia="en-GB"/>
        </w:rPr>
        <w:t>t</w:t>
      </w:r>
      <w:r w:rsidRPr="00CE0885">
        <w:rPr>
          <w:lang w:eastAsia="en-GB"/>
        </w:rPr>
        <w:t>e</w:t>
      </w:r>
      <w:r w:rsidRPr="00CE0885">
        <w:rPr>
          <w:spacing w:val="-1"/>
          <w:lang w:eastAsia="en-GB"/>
        </w:rPr>
        <w:t>r</w:t>
      </w:r>
      <w:r w:rsidRPr="00CE0885">
        <w:rPr>
          <w:lang w:eastAsia="en-GB"/>
        </w:rPr>
        <w:t>mi</w:t>
      </w:r>
      <w:r w:rsidRPr="00CE0885">
        <w:rPr>
          <w:spacing w:val="-1"/>
          <w:lang w:eastAsia="en-GB"/>
        </w:rPr>
        <w:t>n</w:t>
      </w:r>
      <w:r w:rsidRPr="00CE0885">
        <w:rPr>
          <w:lang w:eastAsia="en-GB"/>
        </w:rPr>
        <w:t>ation</w:t>
      </w:r>
      <w:r w:rsidRPr="00CE0885">
        <w:rPr>
          <w:spacing w:val="-26"/>
          <w:lang w:eastAsia="en-GB"/>
        </w:rPr>
        <w:t xml:space="preserve"> </w:t>
      </w:r>
      <w:r w:rsidRPr="00CE0885">
        <w:rPr>
          <w:lang w:eastAsia="en-GB"/>
        </w:rPr>
        <w:t>notice</w:t>
      </w:r>
      <w:r w:rsidRPr="00CE0885">
        <w:rPr>
          <w:spacing w:val="-4"/>
          <w:lang w:eastAsia="en-GB"/>
        </w:rPr>
        <w:t xml:space="preserve"> </w:t>
      </w:r>
      <w:r w:rsidRPr="00CE0885">
        <w:rPr>
          <w:spacing w:val="-3"/>
          <w:lang w:eastAsia="en-GB"/>
        </w:rPr>
        <w:t>i</w:t>
      </w:r>
      <w:r w:rsidRPr="00CE0885">
        <w:rPr>
          <w:lang w:eastAsia="en-GB"/>
        </w:rPr>
        <w:t xml:space="preserve">n </w:t>
      </w:r>
      <w:r w:rsidRPr="00CE0885">
        <w:rPr>
          <w:spacing w:val="-3"/>
          <w:lang w:eastAsia="en-GB"/>
        </w:rPr>
        <w:t>w</w:t>
      </w:r>
      <w:r w:rsidRPr="00CE0885">
        <w:rPr>
          <w:spacing w:val="-1"/>
          <w:lang w:eastAsia="en-GB"/>
        </w:rPr>
        <w:t>r</w:t>
      </w:r>
      <w:r w:rsidRPr="00CE0885">
        <w:rPr>
          <w:lang w:eastAsia="en-GB"/>
        </w:rPr>
        <w:t>itin</w:t>
      </w:r>
      <w:r w:rsidRPr="00CE0885">
        <w:rPr>
          <w:spacing w:val="-1"/>
          <w:lang w:eastAsia="en-GB"/>
        </w:rPr>
        <w:t>g</w:t>
      </w:r>
      <w:r w:rsidRPr="00CE0885">
        <w:rPr>
          <w:lang w:eastAsia="en-GB"/>
        </w:rPr>
        <w:t>,</w:t>
      </w:r>
      <w:r w:rsidRPr="00CE0885">
        <w:rPr>
          <w:spacing w:val="-7"/>
          <w:lang w:eastAsia="en-GB"/>
        </w:rPr>
        <w:t xml:space="preserve"> </w:t>
      </w:r>
      <w:r w:rsidRPr="00CE0885">
        <w:rPr>
          <w:lang w:eastAsia="en-GB"/>
        </w:rPr>
        <w:t>the</w:t>
      </w:r>
      <w:r w:rsidRPr="00CE0885">
        <w:rPr>
          <w:spacing w:val="-1"/>
          <w:lang w:eastAsia="en-GB"/>
        </w:rPr>
        <w:t xml:space="preserve"> </w:t>
      </w:r>
      <w:r w:rsidRPr="00CE0885">
        <w:rPr>
          <w:lang w:eastAsia="en-GB"/>
        </w:rPr>
        <w:t>d</w:t>
      </w:r>
      <w:r w:rsidRPr="00CE0885">
        <w:rPr>
          <w:spacing w:val="-1"/>
          <w:lang w:eastAsia="en-GB"/>
        </w:rPr>
        <w:t>a</w:t>
      </w:r>
      <w:r w:rsidRPr="00CE0885">
        <w:rPr>
          <w:lang w:eastAsia="en-GB"/>
        </w:rPr>
        <w:t>te</w:t>
      </w:r>
      <w:r w:rsidRPr="00CE0885">
        <w:rPr>
          <w:spacing w:val="-3"/>
          <w:lang w:eastAsia="en-GB"/>
        </w:rPr>
        <w:t xml:space="preserve"> </w:t>
      </w:r>
      <w:r w:rsidRPr="00CE0885">
        <w:rPr>
          <w:spacing w:val="-1"/>
          <w:lang w:eastAsia="en-GB"/>
        </w:rPr>
        <w:t>o</w:t>
      </w:r>
      <w:r w:rsidRPr="00CE0885">
        <w:rPr>
          <w:lang w:eastAsia="en-GB"/>
        </w:rPr>
        <w:t>n</w:t>
      </w:r>
      <w:r w:rsidRPr="00CE0885">
        <w:rPr>
          <w:spacing w:val="-1"/>
          <w:lang w:eastAsia="en-GB"/>
        </w:rPr>
        <w:t xml:space="preserve"> </w:t>
      </w:r>
      <w:r w:rsidRPr="00CE0885">
        <w:rPr>
          <w:spacing w:val="-3"/>
          <w:lang w:eastAsia="en-GB"/>
        </w:rPr>
        <w:t>w</w:t>
      </w:r>
      <w:r w:rsidRPr="00CE0885">
        <w:rPr>
          <w:lang w:eastAsia="en-GB"/>
        </w:rPr>
        <w:t>hich</w:t>
      </w:r>
      <w:r w:rsidRPr="00CE0885">
        <w:rPr>
          <w:spacing w:val="-4"/>
          <w:lang w:eastAsia="en-GB"/>
        </w:rPr>
        <w:t xml:space="preserve"> </w:t>
      </w:r>
      <w:r w:rsidRPr="00CE0885">
        <w:rPr>
          <w:lang w:eastAsia="en-GB"/>
        </w:rPr>
        <w:t>the cont</w:t>
      </w:r>
      <w:r w:rsidRPr="00CE0885">
        <w:rPr>
          <w:spacing w:val="-1"/>
          <w:lang w:eastAsia="en-GB"/>
        </w:rPr>
        <w:t>r</w:t>
      </w:r>
      <w:r w:rsidRPr="00CE0885">
        <w:rPr>
          <w:lang w:eastAsia="en-GB"/>
        </w:rPr>
        <w:t>act</w:t>
      </w:r>
      <w:r w:rsidRPr="00CE0885">
        <w:rPr>
          <w:spacing w:val="-8"/>
          <w:lang w:eastAsia="en-GB"/>
        </w:rPr>
        <w:t xml:space="preserve"> </w:t>
      </w:r>
      <w:r w:rsidRPr="00CE0885">
        <w:rPr>
          <w:spacing w:val="-3"/>
          <w:lang w:eastAsia="en-GB"/>
        </w:rPr>
        <w:t>w</w:t>
      </w:r>
      <w:r w:rsidRPr="00CE0885">
        <w:rPr>
          <w:lang w:eastAsia="en-GB"/>
        </w:rPr>
        <w:t>ill</w:t>
      </w:r>
      <w:r w:rsidRPr="00CE0885">
        <w:rPr>
          <w:spacing w:val="-3"/>
          <w:lang w:eastAsia="en-GB"/>
        </w:rPr>
        <w:t xml:space="preserve"> </w:t>
      </w:r>
      <w:r w:rsidRPr="00CE0885">
        <w:rPr>
          <w:lang w:eastAsia="en-GB"/>
        </w:rPr>
        <w:t>te</w:t>
      </w:r>
      <w:r w:rsidRPr="00CE0885">
        <w:rPr>
          <w:spacing w:val="-1"/>
          <w:lang w:eastAsia="en-GB"/>
        </w:rPr>
        <w:t>r</w:t>
      </w:r>
      <w:r w:rsidRPr="00CE0885">
        <w:rPr>
          <w:lang w:eastAsia="en-GB"/>
        </w:rPr>
        <w:t>min</w:t>
      </w:r>
      <w:r w:rsidRPr="00CE0885">
        <w:rPr>
          <w:spacing w:val="-1"/>
          <w:lang w:eastAsia="en-GB"/>
        </w:rPr>
        <w:t>a</w:t>
      </w:r>
      <w:r w:rsidRPr="00CE0885">
        <w:rPr>
          <w:lang w:eastAsia="en-GB"/>
        </w:rPr>
        <w:t>te</w:t>
      </w:r>
      <w:r w:rsidRPr="00CE0885">
        <w:rPr>
          <w:spacing w:val="-11"/>
          <w:lang w:eastAsia="en-GB"/>
        </w:rPr>
        <w:t xml:space="preserve"> </w:t>
      </w:r>
      <w:r w:rsidRPr="00CE0885">
        <w:rPr>
          <w:lang w:eastAsia="en-GB"/>
        </w:rPr>
        <w:t>and</w:t>
      </w:r>
      <w:r w:rsidRPr="00CE0885">
        <w:rPr>
          <w:spacing w:val="-5"/>
          <w:lang w:eastAsia="en-GB"/>
        </w:rPr>
        <w:t xml:space="preserve"> </w:t>
      </w:r>
      <w:r w:rsidRPr="00CE0885">
        <w:rPr>
          <w:lang w:eastAsia="en-GB"/>
        </w:rPr>
        <w:t>any</w:t>
      </w:r>
      <w:r w:rsidRPr="00CE0885">
        <w:rPr>
          <w:spacing w:val="-6"/>
          <w:lang w:eastAsia="en-GB"/>
        </w:rPr>
        <w:t xml:space="preserve"> </w:t>
      </w:r>
      <w:r w:rsidRPr="00CE0885">
        <w:rPr>
          <w:lang w:eastAsia="en-GB"/>
        </w:rPr>
        <w:t>conse</w:t>
      </w:r>
      <w:r w:rsidRPr="00CE0885">
        <w:rPr>
          <w:spacing w:val="-1"/>
          <w:lang w:eastAsia="en-GB"/>
        </w:rPr>
        <w:t>qu</w:t>
      </w:r>
      <w:r w:rsidRPr="00CE0885">
        <w:rPr>
          <w:lang w:eastAsia="en-GB"/>
        </w:rPr>
        <w:t>enc</w:t>
      </w:r>
      <w:r w:rsidRPr="00CE0885">
        <w:rPr>
          <w:spacing w:val="-1"/>
          <w:lang w:eastAsia="en-GB"/>
        </w:rPr>
        <w:t>e</w:t>
      </w:r>
      <w:r w:rsidRPr="00CE0885">
        <w:rPr>
          <w:lang w:eastAsia="en-GB"/>
        </w:rPr>
        <w:t>s</w:t>
      </w:r>
      <w:r w:rsidRPr="00CE0885">
        <w:rPr>
          <w:spacing w:val="-15"/>
          <w:lang w:eastAsia="en-GB"/>
        </w:rPr>
        <w:t xml:space="preserve"> </w:t>
      </w:r>
      <w:r w:rsidRPr="00CE0885">
        <w:rPr>
          <w:lang w:eastAsia="en-GB"/>
        </w:rPr>
        <w:t>and</w:t>
      </w:r>
      <w:r w:rsidRPr="00CE0885">
        <w:rPr>
          <w:spacing w:val="-5"/>
          <w:lang w:eastAsia="en-GB"/>
        </w:rPr>
        <w:t xml:space="preserve"> </w:t>
      </w:r>
      <w:r w:rsidRPr="00CE0885">
        <w:rPr>
          <w:lang w:eastAsia="en-GB"/>
        </w:rPr>
        <w:t>acti</w:t>
      </w:r>
      <w:r w:rsidRPr="00CE0885">
        <w:rPr>
          <w:spacing w:val="-1"/>
          <w:lang w:eastAsia="en-GB"/>
        </w:rPr>
        <w:t>o</w:t>
      </w:r>
      <w:r w:rsidRPr="00CE0885">
        <w:rPr>
          <w:lang w:eastAsia="en-GB"/>
        </w:rPr>
        <w:t>ns</w:t>
      </w:r>
      <w:r w:rsidRPr="00CE0885">
        <w:rPr>
          <w:spacing w:val="-8"/>
          <w:lang w:eastAsia="en-GB"/>
        </w:rPr>
        <w:t xml:space="preserve"> </w:t>
      </w:r>
      <w:r w:rsidRPr="00CE0885">
        <w:rPr>
          <w:spacing w:val="-2"/>
          <w:lang w:eastAsia="en-GB"/>
        </w:rPr>
        <w:t>t</w:t>
      </w:r>
      <w:r w:rsidRPr="00CE0885">
        <w:rPr>
          <w:lang w:eastAsia="en-GB"/>
        </w:rPr>
        <w:t>hat</w:t>
      </w:r>
      <w:r w:rsidRPr="00CE0885">
        <w:rPr>
          <w:spacing w:val="-5"/>
          <w:lang w:eastAsia="en-GB"/>
        </w:rPr>
        <w:t xml:space="preserve"> </w:t>
      </w:r>
      <w:r w:rsidRPr="00CE0885">
        <w:rPr>
          <w:lang w:eastAsia="en-GB"/>
        </w:rPr>
        <w:t>the cont</w:t>
      </w:r>
      <w:r w:rsidRPr="00CE0885">
        <w:rPr>
          <w:spacing w:val="-1"/>
          <w:lang w:eastAsia="en-GB"/>
        </w:rPr>
        <w:t>r</w:t>
      </w:r>
      <w:r w:rsidRPr="00CE0885">
        <w:rPr>
          <w:lang w:eastAsia="en-GB"/>
        </w:rPr>
        <w:t>ac</w:t>
      </w:r>
      <w:r w:rsidRPr="00CE0885">
        <w:rPr>
          <w:spacing w:val="-2"/>
          <w:lang w:eastAsia="en-GB"/>
        </w:rPr>
        <w:t>t</w:t>
      </w:r>
      <w:r w:rsidRPr="00CE0885">
        <w:rPr>
          <w:lang w:eastAsia="en-GB"/>
        </w:rPr>
        <w:t>or</w:t>
      </w:r>
      <w:r w:rsidRPr="00CE0885">
        <w:rPr>
          <w:spacing w:val="-11"/>
          <w:lang w:eastAsia="en-GB"/>
        </w:rPr>
        <w:t xml:space="preserve"> </w:t>
      </w:r>
      <w:r w:rsidRPr="00CE0885">
        <w:rPr>
          <w:spacing w:val="-1"/>
          <w:lang w:eastAsia="en-GB"/>
        </w:rPr>
        <w:t>m</w:t>
      </w:r>
      <w:r w:rsidRPr="00CE0885">
        <w:rPr>
          <w:lang w:eastAsia="en-GB"/>
        </w:rPr>
        <w:t>ust</w:t>
      </w:r>
      <w:r w:rsidRPr="00CE0885">
        <w:rPr>
          <w:spacing w:val="-4"/>
          <w:lang w:eastAsia="en-GB"/>
        </w:rPr>
        <w:t xml:space="preserve"> </w:t>
      </w:r>
      <w:r w:rsidRPr="00CE0885">
        <w:rPr>
          <w:spacing w:val="-2"/>
          <w:lang w:eastAsia="en-GB"/>
        </w:rPr>
        <w:t>t</w:t>
      </w:r>
      <w:r w:rsidRPr="00CE0885">
        <w:rPr>
          <w:lang w:eastAsia="en-GB"/>
        </w:rPr>
        <w:t>ake</w:t>
      </w:r>
      <w:r w:rsidRPr="00CE0885">
        <w:rPr>
          <w:spacing w:val="-6"/>
          <w:lang w:eastAsia="en-GB"/>
        </w:rPr>
        <w:t xml:space="preserve"> </w:t>
      </w:r>
      <w:r w:rsidRPr="00CE0885">
        <w:rPr>
          <w:spacing w:val="-1"/>
          <w:lang w:eastAsia="en-GB"/>
        </w:rPr>
        <w:t>a</w:t>
      </w:r>
      <w:r w:rsidRPr="00CE0885">
        <w:rPr>
          <w:lang w:eastAsia="en-GB"/>
        </w:rPr>
        <w:t>s</w:t>
      </w:r>
      <w:r w:rsidRPr="00CE0885">
        <w:rPr>
          <w:spacing w:val="-3"/>
          <w:lang w:eastAsia="en-GB"/>
        </w:rPr>
        <w:t xml:space="preserve"> </w:t>
      </w:r>
      <w:r w:rsidRPr="00CE0885">
        <w:rPr>
          <w:lang w:eastAsia="en-GB"/>
        </w:rPr>
        <w:t xml:space="preserve">a </w:t>
      </w:r>
      <w:r w:rsidRPr="00CE0885">
        <w:rPr>
          <w:spacing w:val="-1"/>
          <w:lang w:eastAsia="en-GB"/>
        </w:rPr>
        <w:t>r</w:t>
      </w:r>
      <w:r w:rsidRPr="00CE0885">
        <w:rPr>
          <w:lang w:eastAsia="en-GB"/>
        </w:rPr>
        <w:t>esult</w:t>
      </w:r>
      <w:r w:rsidRPr="00CE0885">
        <w:rPr>
          <w:spacing w:val="-7"/>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noti</w:t>
      </w:r>
      <w:r w:rsidRPr="00CE0885">
        <w:rPr>
          <w:spacing w:val="-2"/>
          <w:lang w:eastAsia="en-GB"/>
        </w:rPr>
        <w:t>c</w:t>
      </w:r>
      <w:r w:rsidRPr="00CE0885">
        <w:rPr>
          <w:lang w:eastAsia="en-GB"/>
        </w:rPr>
        <w:t>e.</w:t>
      </w:r>
      <w:bookmarkEnd w:id="701"/>
    </w:p>
    <w:p w14:paraId="31A377C7" w14:textId="24C2420C" w:rsidR="00977693" w:rsidRPr="00CE0885" w:rsidRDefault="00977693" w:rsidP="006B781A">
      <w:pPr>
        <w:pStyle w:val="Heading3"/>
        <w:rPr>
          <w:lang w:eastAsia="en-GB"/>
        </w:rPr>
      </w:pPr>
      <w:bookmarkStart w:id="702" w:name="_Toc440981810"/>
      <w:r w:rsidRPr="00CE0885">
        <w:rPr>
          <w:lang w:eastAsia="en-GB"/>
        </w:rPr>
        <w:t>Although not required by the GMS Regulations, t</w:t>
      </w:r>
      <w:r w:rsidRPr="00CE0885">
        <w:rPr>
          <w:spacing w:val="-1"/>
          <w:lang w:eastAsia="en-GB"/>
        </w:rPr>
        <w:t>h</w:t>
      </w:r>
      <w:r w:rsidRPr="00CE0885">
        <w:rPr>
          <w:lang w:eastAsia="en-GB"/>
        </w:rPr>
        <w:t>e Standard</w:t>
      </w:r>
      <w:r w:rsidRPr="00CE0885">
        <w:rPr>
          <w:spacing w:val="-2"/>
          <w:lang w:eastAsia="en-GB"/>
        </w:rPr>
        <w:t xml:space="preserve"> </w:t>
      </w:r>
      <w:r w:rsidRPr="00CE0885">
        <w:rPr>
          <w:lang w:eastAsia="en-GB"/>
        </w:rPr>
        <w:t>G</w:t>
      </w:r>
      <w:r w:rsidRPr="00CE0885">
        <w:rPr>
          <w:spacing w:val="-1"/>
          <w:lang w:eastAsia="en-GB"/>
        </w:rPr>
        <w:t>M</w:t>
      </w:r>
      <w:r w:rsidRPr="00CE0885">
        <w:rPr>
          <w:lang w:eastAsia="en-GB"/>
        </w:rPr>
        <w:t>S</w:t>
      </w:r>
      <w:r w:rsidRPr="00CE0885">
        <w:rPr>
          <w:spacing w:val="-4"/>
          <w:lang w:eastAsia="en-GB"/>
        </w:rPr>
        <w:t xml:space="preserve"> C</w:t>
      </w:r>
      <w:r w:rsidRPr="00CE0885">
        <w:rPr>
          <w:lang w:eastAsia="en-GB"/>
        </w:rPr>
        <w:t>ont</w:t>
      </w:r>
      <w:r w:rsidRPr="00CE0885">
        <w:rPr>
          <w:spacing w:val="-1"/>
          <w:lang w:eastAsia="en-GB"/>
        </w:rPr>
        <w:t>r</w:t>
      </w:r>
      <w:r w:rsidRPr="00CE0885">
        <w:rPr>
          <w:lang w:eastAsia="en-GB"/>
        </w:rPr>
        <w:t>a</w:t>
      </w:r>
      <w:r w:rsidRPr="00CE0885">
        <w:rPr>
          <w:spacing w:val="-2"/>
          <w:lang w:eastAsia="en-GB"/>
        </w:rPr>
        <w:t>c</w:t>
      </w:r>
      <w:r w:rsidRPr="00CE0885">
        <w:rPr>
          <w:lang w:eastAsia="en-GB"/>
        </w:rPr>
        <w:t>t</w:t>
      </w:r>
      <w:r w:rsidRPr="00CE0885">
        <w:rPr>
          <w:spacing w:val="-8"/>
          <w:lang w:eastAsia="en-GB"/>
        </w:rPr>
        <w:t xml:space="preserve"> </w:t>
      </w:r>
      <w:r w:rsidRPr="00CE0885">
        <w:rPr>
          <w:lang w:eastAsia="en-GB"/>
        </w:rPr>
        <w:t>cl</w:t>
      </w:r>
      <w:r w:rsidRPr="00CE0885">
        <w:rPr>
          <w:spacing w:val="-1"/>
          <w:lang w:eastAsia="en-GB"/>
        </w:rPr>
        <w:t>e</w:t>
      </w:r>
      <w:r w:rsidRPr="00CE0885">
        <w:rPr>
          <w:lang w:eastAsia="en-GB"/>
        </w:rPr>
        <w:t>a</w:t>
      </w:r>
      <w:r w:rsidRPr="00CE0885">
        <w:rPr>
          <w:spacing w:val="-1"/>
          <w:lang w:eastAsia="en-GB"/>
        </w:rPr>
        <w:t>r</w:t>
      </w:r>
      <w:r w:rsidRPr="00CE0885">
        <w:rPr>
          <w:lang w:eastAsia="en-GB"/>
        </w:rPr>
        <w:t>ly</w:t>
      </w:r>
      <w:r w:rsidRPr="00CE0885">
        <w:rPr>
          <w:spacing w:val="-9"/>
          <w:lang w:eastAsia="en-GB"/>
        </w:rPr>
        <w:t xml:space="preserve"> </w:t>
      </w:r>
      <w:r w:rsidRPr="00CE0885">
        <w:rPr>
          <w:lang w:eastAsia="en-GB"/>
        </w:rPr>
        <w:t>sets</w:t>
      </w:r>
      <w:r w:rsidRPr="00CE0885">
        <w:rPr>
          <w:spacing w:val="-2"/>
          <w:lang w:eastAsia="en-GB"/>
        </w:rPr>
        <w:t xml:space="preserve"> </w:t>
      </w:r>
      <w:r w:rsidRPr="00CE0885">
        <w:rPr>
          <w:lang w:eastAsia="en-GB"/>
        </w:rPr>
        <w:t>out</w:t>
      </w:r>
      <w:r w:rsidRPr="00CE0885">
        <w:rPr>
          <w:spacing w:val="-4"/>
          <w:lang w:eastAsia="en-GB"/>
        </w:rPr>
        <w:t xml:space="preserve"> </w:t>
      </w:r>
      <w:r w:rsidRPr="00CE0885">
        <w:rPr>
          <w:lang w:eastAsia="en-GB"/>
        </w:rPr>
        <w:t>the</w:t>
      </w:r>
      <w:r w:rsidRPr="00CE0885">
        <w:rPr>
          <w:spacing w:val="-4"/>
          <w:lang w:eastAsia="en-GB"/>
        </w:rPr>
        <w:t xml:space="preserve"> </w:t>
      </w:r>
      <w:r w:rsidRPr="00CE0885">
        <w:rPr>
          <w:lang w:eastAsia="en-GB"/>
        </w:rPr>
        <w:t>a</w:t>
      </w:r>
      <w:r w:rsidRPr="00CE0885">
        <w:rPr>
          <w:spacing w:val="-1"/>
          <w:lang w:eastAsia="en-GB"/>
        </w:rPr>
        <w:t>rr</w:t>
      </w:r>
      <w:r w:rsidRPr="00CE0885">
        <w:rPr>
          <w:lang w:eastAsia="en-GB"/>
        </w:rPr>
        <w:t>an</w:t>
      </w:r>
      <w:r w:rsidRPr="00CE0885">
        <w:rPr>
          <w:spacing w:val="-1"/>
          <w:lang w:eastAsia="en-GB"/>
        </w:rPr>
        <w:t>ge</w:t>
      </w:r>
      <w:r w:rsidRPr="00CE0885">
        <w:rPr>
          <w:lang w:eastAsia="en-GB"/>
        </w:rPr>
        <w:t>me</w:t>
      </w:r>
      <w:r w:rsidRPr="00CE0885">
        <w:rPr>
          <w:spacing w:val="-1"/>
          <w:lang w:eastAsia="en-GB"/>
        </w:rPr>
        <w:t>n</w:t>
      </w:r>
      <w:r w:rsidRPr="00CE0885">
        <w:rPr>
          <w:lang w:eastAsia="en-GB"/>
        </w:rPr>
        <w:t>ts</w:t>
      </w:r>
      <w:r w:rsidRPr="00CE0885">
        <w:rPr>
          <w:spacing w:val="-17"/>
          <w:lang w:eastAsia="en-GB"/>
        </w:rPr>
        <w:t xml:space="preserve"> </w:t>
      </w:r>
      <w:r w:rsidRPr="00CE0885">
        <w:rPr>
          <w:lang w:eastAsia="en-GB"/>
        </w:rPr>
        <w:t>that</w:t>
      </w:r>
      <w:r w:rsidRPr="00CE0885">
        <w:rPr>
          <w:spacing w:val="-5"/>
          <w:lang w:eastAsia="en-GB"/>
        </w:rPr>
        <w:t xml:space="preserve"> </w:t>
      </w:r>
      <w:r w:rsidRPr="00CE0885">
        <w:rPr>
          <w:lang w:eastAsia="en-GB"/>
        </w:rPr>
        <w:t>mu</w:t>
      </w:r>
      <w:r w:rsidRPr="00CE0885">
        <w:rPr>
          <w:spacing w:val="-2"/>
          <w:lang w:eastAsia="en-GB"/>
        </w:rPr>
        <w:t>s</w:t>
      </w:r>
      <w:r w:rsidRPr="00CE0885">
        <w:rPr>
          <w:lang w:eastAsia="en-GB"/>
        </w:rPr>
        <w:t>t</w:t>
      </w:r>
      <w:r w:rsidRPr="00CE0885">
        <w:rPr>
          <w:spacing w:val="-4"/>
          <w:lang w:eastAsia="en-GB"/>
        </w:rPr>
        <w:t xml:space="preserve"> </w:t>
      </w:r>
      <w:r w:rsidRPr="00CE0885">
        <w:rPr>
          <w:spacing w:val="-1"/>
          <w:lang w:eastAsia="en-GB"/>
        </w:rPr>
        <w:t>b</w:t>
      </w:r>
      <w:r w:rsidRPr="00CE0885">
        <w:rPr>
          <w:lang w:eastAsia="en-GB"/>
        </w:rPr>
        <w:t>e</w:t>
      </w:r>
      <w:r w:rsidRPr="00CE0885">
        <w:rPr>
          <w:spacing w:val="-4"/>
          <w:lang w:eastAsia="en-GB"/>
        </w:rPr>
        <w:t xml:space="preserve"> </w:t>
      </w:r>
      <w:r w:rsidRPr="00CE0885">
        <w:rPr>
          <w:lang w:eastAsia="en-GB"/>
        </w:rPr>
        <w:t>ma</w:t>
      </w:r>
      <w:r w:rsidRPr="00CE0885">
        <w:rPr>
          <w:spacing w:val="-1"/>
          <w:lang w:eastAsia="en-GB"/>
        </w:rPr>
        <w:t>d</w:t>
      </w:r>
      <w:r w:rsidRPr="00CE0885">
        <w:rPr>
          <w:lang w:eastAsia="en-GB"/>
        </w:rPr>
        <w:t>e</w:t>
      </w:r>
      <w:r w:rsidRPr="00CE0885">
        <w:rPr>
          <w:spacing w:val="-4"/>
          <w:lang w:eastAsia="en-GB"/>
        </w:rPr>
        <w:t xml:space="preserve"> </w:t>
      </w:r>
      <w:r w:rsidRPr="00CE0885">
        <w:rPr>
          <w:spacing w:val="-1"/>
          <w:lang w:eastAsia="en-GB"/>
        </w:rPr>
        <w:t>o</w:t>
      </w:r>
      <w:r w:rsidRPr="00CE0885">
        <w:rPr>
          <w:lang w:eastAsia="en-GB"/>
        </w:rPr>
        <w:t>n te</w:t>
      </w:r>
      <w:r w:rsidRPr="00CE0885">
        <w:rPr>
          <w:spacing w:val="-1"/>
          <w:lang w:eastAsia="en-GB"/>
        </w:rPr>
        <w:t>r</w:t>
      </w:r>
      <w:r w:rsidRPr="00CE0885">
        <w:rPr>
          <w:lang w:eastAsia="en-GB"/>
        </w:rPr>
        <w:t>mi</w:t>
      </w:r>
      <w:r w:rsidRPr="00CE0885">
        <w:rPr>
          <w:spacing w:val="-1"/>
          <w:lang w:eastAsia="en-GB"/>
        </w:rPr>
        <w:t>n</w:t>
      </w:r>
      <w:r w:rsidRPr="00CE0885">
        <w:rPr>
          <w:lang w:eastAsia="en-GB"/>
        </w:rPr>
        <w:t>ation</w:t>
      </w:r>
      <w:r w:rsidRPr="00CE0885">
        <w:rPr>
          <w:spacing w:val="-13"/>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a c</w:t>
      </w:r>
      <w:r w:rsidRPr="00CE0885">
        <w:rPr>
          <w:spacing w:val="-1"/>
          <w:lang w:eastAsia="en-GB"/>
        </w:rPr>
        <w:t>o</w:t>
      </w:r>
      <w:r w:rsidRPr="00CE0885">
        <w:rPr>
          <w:lang w:eastAsia="en-GB"/>
        </w:rPr>
        <w:t>nt</w:t>
      </w:r>
      <w:r w:rsidRPr="00CE0885">
        <w:rPr>
          <w:spacing w:val="-1"/>
          <w:lang w:eastAsia="en-GB"/>
        </w:rPr>
        <w:t>ra</w:t>
      </w:r>
      <w:r w:rsidRPr="00CE0885">
        <w:rPr>
          <w:lang w:eastAsia="en-GB"/>
        </w:rPr>
        <w:t>ct,</w:t>
      </w:r>
      <w:r w:rsidRPr="00CE0885">
        <w:rPr>
          <w:spacing w:val="-8"/>
          <w:lang w:eastAsia="en-GB"/>
        </w:rPr>
        <w:t xml:space="preserve"> </w:t>
      </w:r>
      <w:r w:rsidRPr="00CE0885">
        <w:rPr>
          <w:spacing w:val="-3"/>
          <w:lang w:eastAsia="en-GB"/>
        </w:rPr>
        <w:t>w</w:t>
      </w:r>
      <w:r w:rsidRPr="00CE0885">
        <w:rPr>
          <w:lang w:eastAsia="en-GB"/>
        </w:rPr>
        <w:t>hich</w:t>
      </w:r>
      <w:r w:rsidRPr="00CE0885">
        <w:rPr>
          <w:spacing w:val="-4"/>
          <w:lang w:eastAsia="en-GB"/>
        </w:rPr>
        <w:t xml:space="preserve"> </w:t>
      </w:r>
      <w:r w:rsidRPr="00CE0885">
        <w:rPr>
          <w:lang w:eastAsia="en-GB"/>
        </w:rPr>
        <w:t>include</w:t>
      </w:r>
      <w:r w:rsidRPr="00CE0885">
        <w:rPr>
          <w:spacing w:val="-6"/>
          <w:lang w:eastAsia="en-GB"/>
        </w:rPr>
        <w:t xml:space="preserve"> </w:t>
      </w:r>
      <w:r w:rsidRPr="00CE0885">
        <w:rPr>
          <w:spacing w:val="-3"/>
          <w:lang w:eastAsia="en-GB"/>
        </w:rPr>
        <w:t>(</w:t>
      </w:r>
      <w:r w:rsidRPr="00CE0885">
        <w:rPr>
          <w:lang w:eastAsia="en-GB"/>
        </w:rPr>
        <w:t>but</w:t>
      </w:r>
      <w:r w:rsidRPr="00CE0885">
        <w:rPr>
          <w:spacing w:val="-5"/>
          <w:lang w:eastAsia="en-GB"/>
        </w:rPr>
        <w:t xml:space="preserve"> </w:t>
      </w:r>
      <w:r w:rsidRPr="00CE0885">
        <w:rPr>
          <w:spacing w:val="-1"/>
          <w:lang w:eastAsia="en-GB"/>
        </w:rPr>
        <w:t>ar</w:t>
      </w:r>
      <w:r w:rsidRPr="00CE0885">
        <w:rPr>
          <w:lang w:eastAsia="en-GB"/>
        </w:rPr>
        <w:t>e</w:t>
      </w:r>
      <w:r w:rsidRPr="00CE0885">
        <w:rPr>
          <w:spacing w:val="-1"/>
          <w:lang w:eastAsia="en-GB"/>
        </w:rPr>
        <w:t xml:space="preserve"> </w:t>
      </w:r>
      <w:r w:rsidRPr="00CE0885">
        <w:rPr>
          <w:lang w:eastAsia="en-GB"/>
        </w:rPr>
        <w:t>not</w:t>
      </w:r>
      <w:r w:rsidRPr="00CE0885">
        <w:rPr>
          <w:spacing w:val="-2"/>
          <w:lang w:eastAsia="en-GB"/>
        </w:rPr>
        <w:t xml:space="preserve"> </w:t>
      </w:r>
      <w:r w:rsidRPr="00CE0885">
        <w:rPr>
          <w:lang w:eastAsia="en-GB"/>
        </w:rPr>
        <w:t>l</w:t>
      </w:r>
      <w:r w:rsidRPr="00CE0885">
        <w:rPr>
          <w:spacing w:val="-3"/>
          <w:lang w:eastAsia="en-GB"/>
        </w:rPr>
        <w:t>i</w:t>
      </w:r>
      <w:r w:rsidRPr="00CE0885">
        <w:rPr>
          <w:lang w:eastAsia="en-GB"/>
        </w:rPr>
        <w:t>mited</w:t>
      </w:r>
      <w:r w:rsidRPr="00CE0885">
        <w:rPr>
          <w:spacing w:val="-8"/>
          <w:lang w:eastAsia="en-GB"/>
        </w:rPr>
        <w:t xml:space="preserve"> </w:t>
      </w:r>
      <w:r w:rsidRPr="00CE0885">
        <w:rPr>
          <w:lang w:eastAsia="en-GB"/>
        </w:rPr>
        <w:t>to)</w:t>
      </w:r>
      <w:r w:rsidRPr="00CE0885">
        <w:rPr>
          <w:spacing w:val="-3"/>
          <w:lang w:eastAsia="en-GB"/>
        </w:rPr>
        <w:t xml:space="preserve"> </w:t>
      </w:r>
      <w:r w:rsidRPr="00CE0885">
        <w:rPr>
          <w:spacing w:val="-2"/>
          <w:lang w:eastAsia="en-GB"/>
        </w:rPr>
        <w:t>t</w:t>
      </w:r>
      <w:r w:rsidRPr="00CE0885">
        <w:rPr>
          <w:lang w:eastAsia="en-GB"/>
        </w:rPr>
        <w:t>he cont</w:t>
      </w:r>
      <w:r w:rsidRPr="00CE0885">
        <w:rPr>
          <w:spacing w:val="-1"/>
          <w:lang w:eastAsia="en-GB"/>
        </w:rPr>
        <w:t>r</w:t>
      </w:r>
      <w:r w:rsidRPr="00CE0885">
        <w:rPr>
          <w:lang w:eastAsia="en-GB"/>
        </w:rPr>
        <w:t>ac</w:t>
      </w:r>
      <w:r w:rsidRPr="00CE0885">
        <w:rPr>
          <w:spacing w:val="-2"/>
          <w:lang w:eastAsia="en-GB"/>
        </w:rPr>
        <w:t>t</w:t>
      </w:r>
      <w:r w:rsidRPr="00CE0885">
        <w:rPr>
          <w:lang w:eastAsia="en-GB"/>
        </w:rPr>
        <w:t>or</w:t>
      </w:r>
      <w:r w:rsidRPr="00CE0885">
        <w:rPr>
          <w:spacing w:val="-11"/>
          <w:lang w:eastAsia="en-GB"/>
        </w:rPr>
        <w:t xml:space="preserve"> </w:t>
      </w:r>
      <w:r w:rsidRPr="00CE0885">
        <w:rPr>
          <w:lang w:eastAsia="en-GB"/>
        </w:rPr>
        <w:t>ha</w:t>
      </w:r>
      <w:r w:rsidRPr="00CE0885">
        <w:rPr>
          <w:spacing w:val="-2"/>
          <w:lang w:eastAsia="en-GB"/>
        </w:rPr>
        <w:t>v</w:t>
      </w:r>
      <w:r w:rsidRPr="00CE0885">
        <w:rPr>
          <w:lang w:eastAsia="en-GB"/>
        </w:rPr>
        <w:t>ing</w:t>
      </w:r>
      <w:r w:rsidRPr="00CE0885">
        <w:rPr>
          <w:spacing w:val="-8"/>
          <w:lang w:eastAsia="en-GB"/>
        </w:rPr>
        <w:t xml:space="preserve"> </w:t>
      </w:r>
      <w:r w:rsidRPr="00CE0885">
        <w:rPr>
          <w:lang w:eastAsia="en-GB"/>
        </w:rPr>
        <w:t>to:</w:t>
      </w:r>
      <w:bookmarkEnd w:id="702"/>
    </w:p>
    <w:p w14:paraId="6736CC28" w14:textId="5359F89D" w:rsidR="00977693" w:rsidRPr="00CE0885" w:rsidRDefault="00977693" w:rsidP="00FA6A70">
      <w:pPr>
        <w:pStyle w:val="Heading4"/>
      </w:pPr>
      <w:bookmarkStart w:id="703" w:name="_Toc440981811"/>
      <w:r w:rsidRPr="00CE0885">
        <w:t>cease</w:t>
      </w:r>
      <w:r w:rsidRPr="00CE0885">
        <w:rPr>
          <w:spacing w:val="-7"/>
        </w:rPr>
        <w:t xml:space="preserve"> </w:t>
      </w:r>
      <w:r w:rsidRPr="00CE0885">
        <w:t>pe</w:t>
      </w:r>
      <w:r w:rsidRPr="00CE0885">
        <w:rPr>
          <w:spacing w:val="-3"/>
        </w:rPr>
        <w:t>r</w:t>
      </w:r>
      <w:r w:rsidRPr="00CE0885">
        <w:rPr>
          <w:spacing w:val="3"/>
        </w:rPr>
        <w:t>f</w:t>
      </w:r>
      <w:r w:rsidRPr="00CE0885">
        <w:t>o</w:t>
      </w:r>
      <w:r w:rsidRPr="00CE0885">
        <w:rPr>
          <w:spacing w:val="-3"/>
        </w:rPr>
        <w:t>r</w:t>
      </w:r>
      <w:r w:rsidRPr="00CE0885">
        <w:rPr>
          <w:spacing w:val="2"/>
        </w:rPr>
        <w:t>m</w:t>
      </w:r>
      <w:r w:rsidRPr="00CE0885">
        <w:t>ing</w:t>
      </w:r>
      <w:r w:rsidRPr="00CE0885">
        <w:rPr>
          <w:spacing w:val="-12"/>
        </w:rPr>
        <w:t xml:space="preserve"> </w:t>
      </w:r>
      <w:r w:rsidRPr="00CE0885">
        <w:t>any</w:t>
      </w:r>
      <w:r w:rsidRPr="00CE0885">
        <w:rPr>
          <w:spacing w:val="-8"/>
        </w:rPr>
        <w:t xml:space="preserve"> </w:t>
      </w:r>
      <w:r w:rsidRPr="00CE0885">
        <w:rPr>
          <w:spacing w:val="-3"/>
        </w:rPr>
        <w:t>w</w:t>
      </w:r>
      <w:r w:rsidRPr="00CE0885">
        <w:t>o</w:t>
      </w:r>
      <w:r w:rsidRPr="00CE0885">
        <w:rPr>
          <w:spacing w:val="-1"/>
        </w:rPr>
        <w:t>r</w:t>
      </w:r>
      <w:r w:rsidRPr="00CE0885">
        <w:t>k</w:t>
      </w:r>
      <w:r w:rsidRPr="00CE0885">
        <w:rPr>
          <w:spacing w:val="-5"/>
        </w:rPr>
        <w:t xml:space="preserve"> </w:t>
      </w:r>
      <w:r w:rsidRPr="00CE0885">
        <w:t>or</w:t>
      </w:r>
      <w:r w:rsidRPr="00CE0885">
        <w:rPr>
          <w:spacing w:val="-2"/>
        </w:rPr>
        <w:t xml:space="preserve"> </w:t>
      </w:r>
      <w:r w:rsidRPr="00CE0885">
        <w:t>ca</w:t>
      </w:r>
      <w:r w:rsidRPr="00CE0885">
        <w:rPr>
          <w:spacing w:val="-1"/>
        </w:rPr>
        <w:t>r</w:t>
      </w:r>
      <w:r w:rsidRPr="00CE0885">
        <w:rPr>
          <w:spacing w:val="2"/>
        </w:rPr>
        <w:t>r</w:t>
      </w:r>
      <w:r w:rsidRPr="00CE0885">
        <w:rPr>
          <w:spacing w:val="-2"/>
        </w:rPr>
        <w:t>y</w:t>
      </w:r>
      <w:r w:rsidRPr="00CE0885">
        <w:t>ing</w:t>
      </w:r>
      <w:r w:rsidRPr="00CE0885">
        <w:rPr>
          <w:spacing w:val="-10"/>
        </w:rPr>
        <w:t xml:space="preserve"> </w:t>
      </w:r>
      <w:r w:rsidRPr="00CE0885">
        <w:t>out</w:t>
      </w:r>
      <w:r w:rsidRPr="00CE0885">
        <w:rPr>
          <w:spacing w:val="-2"/>
        </w:rPr>
        <w:t xml:space="preserve"> </w:t>
      </w:r>
      <w:r w:rsidRPr="00CE0885">
        <w:t>a</w:t>
      </w:r>
      <w:r w:rsidRPr="00CE0885">
        <w:rPr>
          <w:spacing w:val="-1"/>
        </w:rPr>
        <w:t>n</w:t>
      </w:r>
      <w:r w:rsidRPr="00CE0885">
        <w:t>y</w:t>
      </w:r>
      <w:r w:rsidRPr="00CE0885">
        <w:rPr>
          <w:spacing w:val="-6"/>
        </w:rPr>
        <w:t xml:space="preserve"> </w:t>
      </w:r>
      <w:r w:rsidRPr="00CE0885">
        <w:t>obli</w:t>
      </w:r>
      <w:r w:rsidRPr="00CE0885">
        <w:rPr>
          <w:spacing w:val="-1"/>
        </w:rPr>
        <w:t>g</w:t>
      </w:r>
      <w:r w:rsidRPr="00CE0885">
        <w:t>ations un</w:t>
      </w:r>
      <w:r w:rsidRPr="00CE0885">
        <w:rPr>
          <w:spacing w:val="-1"/>
        </w:rPr>
        <w:t>d</w:t>
      </w:r>
      <w:r w:rsidRPr="00CE0885">
        <w:t>er</w:t>
      </w:r>
      <w:r w:rsidRPr="00CE0885">
        <w:rPr>
          <w:spacing w:val="-6"/>
        </w:rPr>
        <w:t xml:space="preserve"> </w:t>
      </w:r>
      <w:r w:rsidRPr="00CE0885">
        <w:t>the</w:t>
      </w:r>
      <w:r w:rsidRPr="00CE0885">
        <w:rPr>
          <w:spacing w:val="-4"/>
        </w:rPr>
        <w:t xml:space="preserve"> </w:t>
      </w:r>
      <w:r w:rsidRPr="00CE0885">
        <w:t>co</w:t>
      </w:r>
      <w:r w:rsidRPr="00CE0885">
        <w:rPr>
          <w:spacing w:val="-1"/>
        </w:rPr>
        <w:t>n</w:t>
      </w:r>
      <w:r w:rsidRPr="00CE0885">
        <w:t>t</w:t>
      </w:r>
      <w:r w:rsidRPr="00CE0885">
        <w:rPr>
          <w:spacing w:val="-1"/>
        </w:rPr>
        <w:t>r</w:t>
      </w:r>
      <w:r w:rsidRPr="00CE0885">
        <w:t>act;</w:t>
      </w:r>
      <w:bookmarkEnd w:id="703"/>
      <w:r w:rsidRPr="00CE0885">
        <w:t xml:space="preserve"> </w:t>
      </w:r>
    </w:p>
    <w:p w14:paraId="3C430395" w14:textId="5D55D733" w:rsidR="00977693" w:rsidRPr="00CE0885" w:rsidRDefault="00977693" w:rsidP="00FA6A70">
      <w:pPr>
        <w:pStyle w:val="Heading4"/>
      </w:pPr>
      <w:bookmarkStart w:id="704" w:name="_Toc440981812"/>
      <w:r w:rsidRPr="00CE0885">
        <w:t>co</w:t>
      </w:r>
      <w:r w:rsidRPr="00CE0885">
        <w:rPr>
          <w:spacing w:val="-1"/>
        </w:rPr>
        <w:t>-</w:t>
      </w:r>
      <w:r w:rsidRPr="00CE0885">
        <w:t>ope</w:t>
      </w:r>
      <w:r w:rsidRPr="00CE0885">
        <w:rPr>
          <w:spacing w:val="-1"/>
        </w:rPr>
        <w:t>ra</w:t>
      </w:r>
      <w:r w:rsidRPr="00CE0885">
        <w:t>te</w:t>
      </w:r>
      <w:r w:rsidRPr="00CE0885">
        <w:rPr>
          <w:spacing w:val="-9"/>
        </w:rPr>
        <w:t xml:space="preserve"> </w:t>
      </w:r>
      <w:r w:rsidRPr="00CE0885">
        <w:rPr>
          <w:spacing w:val="-3"/>
        </w:rPr>
        <w:t>w</w:t>
      </w:r>
      <w:r w:rsidRPr="00CE0885">
        <w:t>ith</w:t>
      </w:r>
      <w:r w:rsidRPr="00CE0885">
        <w:rPr>
          <w:spacing w:val="-2"/>
        </w:rPr>
        <w:t xml:space="preserve"> </w:t>
      </w:r>
      <w:r w:rsidRPr="00CE0885">
        <w:t xml:space="preserve">the </w:t>
      </w:r>
      <w:r w:rsidRPr="00CE0885">
        <w:rPr>
          <w:spacing w:val="-2"/>
        </w:rPr>
        <w:t>Commissioner</w:t>
      </w:r>
      <w:r w:rsidRPr="00CE0885">
        <w:rPr>
          <w:spacing w:val="-3"/>
        </w:rPr>
        <w:t xml:space="preserve"> </w:t>
      </w:r>
      <w:r w:rsidRPr="00CE0885">
        <w:t>to</w:t>
      </w:r>
      <w:r w:rsidRPr="00CE0885">
        <w:rPr>
          <w:spacing w:val="-3"/>
        </w:rPr>
        <w:t xml:space="preserve"> </w:t>
      </w:r>
      <w:r w:rsidRPr="00CE0885">
        <w:t>en</w:t>
      </w:r>
      <w:r w:rsidRPr="00CE0885">
        <w:rPr>
          <w:spacing w:val="-1"/>
        </w:rPr>
        <w:t>a</w:t>
      </w:r>
      <w:r w:rsidRPr="00CE0885">
        <w:t>ble</w:t>
      </w:r>
      <w:r w:rsidRPr="00CE0885">
        <w:rPr>
          <w:spacing w:val="-5"/>
        </w:rPr>
        <w:t xml:space="preserve"> </w:t>
      </w:r>
      <w:r w:rsidRPr="00CE0885">
        <w:rPr>
          <w:spacing w:val="-1"/>
        </w:rPr>
        <w:t>a</w:t>
      </w:r>
      <w:r w:rsidRPr="00CE0885">
        <w:t>ny</w:t>
      </w:r>
      <w:r w:rsidRPr="00CE0885">
        <w:rPr>
          <w:spacing w:val="-6"/>
        </w:rPr>
        <w:t xml:space="preserve"> </w:t>
      </w:r>
      <w:r w:rsidRPr="00CE0885">
        <w:t>outst</w:t>
      </w:r>
      <w:r w:rsidRPr="00CE0885">
        <w:rPr>
          <w:spacing w:val="-1"/>
        </w:rPr>
        <w:t>a</w:t>
      </w:r>
      <w:r w:rsidRPr="00CE0885">
        <w:t xml:space="preserve">nding </w:t>
      </w:r>
      <w:r w:rsidRPr="00CE0885">
        <w:rPr>
          <w:spacing w:val="2"/>
        </w:rPr>
        <w:t>m</w:t>
      </w:r>
      <w:r w:rsidRPr="00CE0885">
        <w:t>a</w:t>
      </w:r>
      <w:r w:rsidRPr="00CE0885">
        <w:rPr>
          <w:spacing w:val="-2"/>
        </w:rPr>
        <w:t>t</w:t>
      </w:r>
      <w:r w:rsidRPr="00CE0885">
        <w:t>te</w:t>
      </w:r>
      <w:r w:rsidRPr="00CE0885">
        <w:rPr>
          <w:spacing w:val="-1"/>
        </w:rPr>
        <w:t>r</w:t>
      </w:r>
      <w:r w:rsidRPr="00CE0885">
        <w:t>s</w:t>
      </w:r>
      <w:r w:rsidRPr="00CE0885">
        <w:rPr>
          <w:spacing w:val="-8"/>
        </w:rPr>
        <w:t xml:space="preserve"> </w:t>
      </w:r>
      <w:r w:rsidRPr="00CE0885">
        <w:rPr>
          <w:spacing w:val="-1"/>
        </w:rPr>
        <w:t>u</w:t>
      </w:r>
      <w:r w:rsidRPr="00CE0885">
        <w:t>nder</w:t>
      </w:r>
      <w:r w:rsidRPr="00CE0885">
        <w:rPr>
          <w:spacing w:val="-6"/>
        </w:rPr>
        <w:t xml:space="preserve"> </w:t>
      </w:r>
      <w:r w:rsidRPr="00CE0885">
        <w:rPr>
          <w:spacing w:val="-2"/>
        </w:rPr>
        <w:t>t</w:t>
      </w:r>
      <w:r w:rsidRPr="00CE0885">
        <w:t>he</w:t>
      </w:r>
      <w:r w:rsidRPr="00CE0885">
        <w:rPr>
          <w:spacing w:val="-1"/>
        </w:rPr>
        <w:t xml:space="preserve"> </w:t>
      </w:r>
      <w:r w:rsidRPr="00CE0885">
        <w:rPr>
          <w:spacing w:val="-2"/>
        </w:rPr>
        <w:t>c</w:t>
      </w:r>
      <w:r w:rsidRPr="00CE0885">
        <w:t>on</w:t>
      </w:r>
      <w:r w:rsidRPr="00CE0885">
        <w:rPr>
          <w:spacing w:val="-2"/>
        </w:rPr>
        <w:t>t</w:t>
      </w:r>
      <w:r w:rsidRPr="00CE0885">
        <w:rPr>
          <w:spacing w:val="-1"/>
        </w:rPr>
        <w:t>r</w:t>
      </w:r>
      <w:r w:rsidRPr="00CE0885">
        <w:t>act</w:t>
      </w:r>
      <w:r w:rsidRPr="00CE0885">
        <w:rPr>
          <w:spacing w:val="-8"/>
        </w:rPr>
        <w:t xml:space="preserve"> </w:t>
      </w:r>
      <w:r w:rsidRPr="00CE0885">
        <w:t>to</w:t>
      </w:r>
      <w:r w:rsidRPr="00CE0885">
        <w:rPr>
          <w:spacing w:val="-3"/>
        </w:rPr>
        <w:t xml:space="preserve"> </w:t>
      </w:r>
      <w:r w:rsidRPr="00CE0885">
        <w:t>be</w:t>
      </w:r>
      <w:r w:rsidRPr="00CE0885">
        <w:rPr>
          <w:spacing w:val="-4"/>
        </w:rPr>
        <w:t xml:space="preserve"> </w:t>
      </w:r>
      <w:r w:rsidRPr="00CE0885">
        <w:t>dealt</w:t>
      </w:r>
      <w:r w:rsidRPr="00CE0885">
        <w:rPr>
          <w:spacing w:val="-6"/>
        </w:rPr>
        <w:t xml:space="preserve"> </w:t>
      </w:r>
      <w:r w:rsidRPr="00CE0885">
        <w:rPr>
          <w:spacing w:val="-3"/>
        </w:rPr>
        <w:t>w</w:t>
      </w:r>
      <w:r w:rsidRPr="00CE0885">
        <w:t>ith</w:t>
      </w:r>
      <w:r w:rsidRPr="00CE0885">
        <w:rPr>
          <w:spacing w:val="-2"/>
        </w:rPr>
        <w:t xml:space="preserve"> </w:t>
      </w:r>
      <w:r w:rsidRPr="00CE0885">
        <w:t>or</w:t>
      </w:r>
      <w:r w:rsidRPr="00CE0885">
        <w:rPr>
          <w:spacing w:val="-2"/>
        </w:rPr>
        <w:t xml:space="preserve"> </w:t>
      </w:r>
      <w:r w:rsidRPr="00CE0885">
        <w:t>conclu</w:t>
      </w:r>
      <w:r w:rsidRPr="00CE0885">
        <w:rPr>
          <w:spacing w:val="-1"/>
        </w:rPr>
        <w:t>d</w:t>
      </w:r>
      <w:r w:rsidRPr="00CE0885">
        <w:t>ed sati</w:t>
      </w:r>
      <w:r w:rsidRPr="00CE0885">
        <w:rPr>
          <w:spacing w:val="-2"/>
        </w:rPr>
        <w:t>s</w:t>
      </w:r>
      <w:r w:rsidRPr="00CE0885">
        <w:rPr>
          <w:spacing w:val="3"/>
        </w:rPr>
        <w:t>f</w:t>
      </w:r>
      <w:r w:rsidRPr="00CE0885">
        <w:t>ac</w:t>
      </w:r>
      <w:r w:rsidRPr="00CE0885">
        <w:rPr>
          <w:spacing w:val="-2"/>
        </w:rPr>
        <w:t>t</w:t>
      </w:r>
      <w:r w:rsidRPr="00CE0885">
        <w:t>o</w:t>
      </w:r>
      <w:r w:rsidRPr="00CE0885">
        <w:rPr>
          <w:spacing w:val="-1"/>
        </w:rPr>
        <w:t>r</w:t>
      </w:r>
      <w:r w:rsidRPr="00CE0885">
        <w:t>il</w:t>
      </w:r>
      <w:r w:rsidRPr="00CE0885">
        <w:rPr>
          <w:spacing w:val="-2"/>
        </w:rPr>
        <w:t>y</w:t>
      </w:r>
      <w:r w:rsidRPr="00CE0885">
        <w:t>;</w:t>
      </w:r>
      <w:bookmarkEnd w:id="704"/>
    </w:p>
    <w:p w14:paraId="71ED37ED" w14:textId="52143DF0" w:rsidR="00977693" w:rsidRPr="00CE0885" w:rsidRDefault="00977693" w:rsidP="00FA6A70">
      <w:pPr>
        <w:pStyle w:val="Heading4"/>
      </w:pPr>
      <w:bookmarkStart w:id="705" w:name="_Toc440981813"/>
      <w:r w:rsidRPr="00CE0885">
        <w:t>co</w:t>
      </w:r>
      <w:r w:rsidRPr="00CE0885">
        <w:rPr>
          <w:spacing w:val="-1"/>
        </w:rPr>
        <w:t>-</w:t>
      </w:r>
      <w:r w:rsidRPr="00CE0885">
        <w:t>ope</w:t>
      </w:r>
      <w:r w:rsidRPr="00CE0885">
        <w:rPr>
          <w:spacing w:val="-1"/>
        </w:rPr>
        <w:t>ra</w:t>
      </w:r>
      <w:r w:rsidRPr="00CE0885">
        <w:t>te</w:t>
      </w:r>
      <w:r w:rsidRPr="00CE0885">
        <w:rPr>
          <w:spacing w:val="-9"/>
        </w:rPr>
        <w:t xml:space="preserve"> </w:t>
      </w:r>
      <w:r w:rsidRPr="00CE0885">
        <w:rPr>
          <w:spacing w:val="-3"/>
        </w:rPr>
        <w:t>w</w:t>
      </w:r>
      <w:r w:rsidRPr="00CE0885">
        <w:t>ith</w:t>
      </w:r>
      <w:r w:rsidRPr="00CE0885">
        <w:rPr>
          <w:spacing w:val="-2"/>
        </w:rPr>
        <w:t xml:space="preserve"> </w:t>
      </w:r>
      <w:r w:rsidRPr="00CE0885">
        <w:t xml:space="preserve">the </w:t>
      </w:r>
      <w:r w:rsidRPr="00CE0885">
        <w:rPr>
          <w:spacing w:val="-2"/>
        </w:rPr>
        <w:t>Commissioner</w:t>
      </w:r>
      <w:r w:rsidRPr="00CE0885">
        <w:rPr>
          <w:spacing w:val="-3"/>
        </w:rPr>
        <w:t xml:space="preserve"> </w:t>
      </w:r>
      <w:r w:rsidRPr="00CE0885">
        <w:t>to</w:t>
      </w:r>
      <w:r w:rsidRPr="00CE0885">
        <w:rPr>
          <w:spacing w:val="-3"/>
        </w:rPr>
        <w:t xml:space="preserve"> </w:t>
      </w:r>
      <w:r w:rsidRPr="00CE0885">
        <w:t>en</w:t>
      </w:r>
      <w:r w:rsidRPr="00CE0885">
        <w:rPr>
          <w:spacing w:val="-1"/>
        </w:rPr>
        <w:t>a</w:t>
      </w:r>
      <w:r w:rsidRPr="00CE0885">
        <w:t>ble</w:t>
      </w:r>
      <w:r w:rsidRPr="00CE0885">
        <w:rPr>
          <w:spacing w:val="-5"/>
        </w:rPr>
        <w:t xml:space="preserve"> </w:t>
      </w:r>
      <w:r w:rsidRPr="00CE0885">
        <w:rPr>
          <w:spacing w:val="-2"/>
        </w:rPr>
        <w:t>t</w:t>
      </w:r>
      <w:r w:rsidRPr="00CE0885">
        <w:rPr>
          <w:spacing w:val="-1"/>
        </w:rPr>
        <w:t>h</w:t>
      </w:r>
      <w:r w:rsidRPr="00CE0885">
        <w:t>e</w:t>
      </w:r>
      <w:r w:rsidRPr="00CE0885">
        <w:rPr>
          <w:spacing w:val="-1"/>
        </w:rPr>
        <w:t xml:space="preserve"> </w:t>
      </w:r>
      <w:r w:rsidRPr="00CE0885">
        <w:t>co</w:t>
      </w:r>
      <w:r w:rsidRPr="00CE0885">
        <w:rPr>
          <w:spacing w:val="-1"/>
        </w:rPr>
        <w:t>n</w:t>
      </w:r>
      <w:r w:rsidRPr="00CE0885">
        <w:t>t</w:t>
      </w:r>
      <w:r w:rsidRPr="00CE0885">
        <w:rPr>
          <w:spacing w:val="-1"/>
        </w:rPr>
        <w:t>r</w:t>
      </w:r>
      <w:r w:rsidRPr="00CE0885">
        <w:t>acto</w:t>
      </w:r>
      <w:r w:rsidRPr="00CE0885">
        <w:rPr>
          <w:spacing w:val="-1"/>
        </w:rPr>
        <w:t>r</w:t>
      </w:r>
      <w:r w:rsidRPr="00CE0885">
        <w:t>’s pati</w:t>
      </w:r>
      <w:r w:rsidRPr="00CE0885">
        <w:rPr>
          <w:spacing w:val="-1"/>
        </w:rPr>
        <w:t>e</w:t>
      </w:r>
      <w:r w:rsidRPr="00CE0885">
        <w:t>nts</w:t>
      </w:r>
      <w:r w:rsidRPr="00CE0885">
        <w:rPr>
          <w:spacing w:val="-8"/>
        </w:rPr>
        <w:t xml:space="preserve"> </w:t>
      </w:r>
      <w:r w:rsidRPr="00CE0885">
        <w:rPr>
          <w:spacing w:val="-2"/>
        </w:rPr>
        <w:t>t</w:t>
      </w:r>
      <w:r w:rsidRPr="00CE0885">
        <w:t xml:space="preserve">o </w:t>
      </w:r>
      <w:r w:rsidRPr="00CE0885">
        <w:rPr>
          <w:spacing w:val="-1"/>
        </w:rPr>
        <w:t>b</w:t>
      </w:r>
      <w:r w:rsidRPr="00CE0885">
        <w:t>e</w:t>
      </w:r>
      <w:r w:rsidRPr="00CE0885">
        <w:rPr>
          <w:spacing w:val="-1"/>
        </w:rPr>
        <w:t xml:space="preserve"> </w:t>
      </w:r>
      <w:r w:rsidRPr="00CE0885">
        <w:t>t</w:t>
      </w:r>
      <w:r w:rsidRPr="00CE0885">
        <w:rPr>
          <w:spacing w:val="-1"/>
        </w:rPr>
        <w:t>r</w:t>
      </w:r>
      <w:r w:rsidRPr="00CE0885">
        <w:t>an</w:t>
      </w:r>
      <w:r w:rsidRPr="00CE0885">
        <w:rPr>
          <w:spacing w:val="-2"/>
        </w:rPr>
        <w:t>s</w:t>
      </w:r>
      <w:r w:rsidRPr="00CE0885">
        <w:t>fe</w:t>
      </w:r>
      <w:r w:rsidRPr="00CE0885">
        <w:rPr>
          <w:spacing w:val="-1"/>
        </w:rPr>
        <w:t>rr</w:t>
      </w:r>
      <w:r w:rsidRPr="00CE0885">
        <w:t>ed</w:t>
      </w:r>
      <w:r w:rsidRPr="00CE0885">
        <w:rPr>
          <w:spacing w:val="-10"/>
        </w:rPr>
        <w:t xml:space="preserve"> </w:t>
      </w:r>
      <w:r w:rsidRPr="00CE0885">
        <w:rPr>
          <w:spacing w:val="-2"/>
        </w:rPr>
        <w:t>t</w:t>
      </w:r>
      <w:r w:rsidRPr="00CE0885">
        <w:t xml:space="preserve">o </w:t>
      </w:r>
      <w:r w:rsidRPr="00CE0885">
        <w:rPr>
          <w:spacing w:val="-1"/>
        </w:rPr>
        <w:t>o</w:t>
      </w:r>
      <w:r w:rsidRPr="00CE0885">
        <w:t>ne</w:t>
      </w:r>
      <w:r w:rsidRPr="00CE0885">
        <w:rPr>
          <w:spacing w:val="-5"/>
        </w:rPr>
        <w:t xml:space="preserve"> </w:t>
      </w:r>
      <w:r w:rsidRPr="00CE0885">
        <w:t>or</w:t>
      </w:r>
      <w:r w:rsidRPr="00CE0885">
        <w:rPr>
          <w:spacing w:val="-2"/>
        </w:rPr>
        <w:t xml:space="preserve"> </w:t>
      </w:r>
      <w:r w:rsidRPr="00CE0885">
        <w:rPr>
          <w:spacing w:val="-1"/>
        </w:rPr>
        <w:t>m</w:t>
      </w:r>
      <w:r w:rsidRPr="00CE0885">
        <w:t>o</w:t>
      </w:r>
      <w:r w:rsidRPr="00CE0885">
        <w:rPr>
          <w:spacing w:val="-1"/>
        </w:rPr>
        <w:t>r</w:t>
      </w:r>
      <w:r w:rsidRPr="00CE0885">
        <w:t>e</w:t>
      </w:r>
      <w:r w:rsidRPr="00CE0885">
        <w:rPr>
          <w:spacing w:val="-3"/>
        </w:rPr>
        <w:t xml:space="preserve"> </w:t>
      </w:r>
      <w:r w:rsidRPr="00CE0885">
        <w:t>o</w:t>
      </w:r>
      <w:r w:rsidRPr="00CE0885">
        <w:rPr>
          <w:spacing w:val="-2"/>
        </w:rPr>
        <w:t>t</w:t>
      </w:r>
      <w:r w:rsidRPr="00CE0885">
        <w:t>h</w:t>
      </w:r>
      <w:r w:rsidRPr="00CE0885">
        <w:rPr>
          <w:spacing w:val="-1"/>
        </w:rPr>
        <w:t>e</w:t>
      </w:r>
      <w:r w:rsidRPr="00CE0885">
        <w:t>r</w:t>
      </w:r>
      <w:r w:rsidRPr="00CE0885">
        <w:rPr>
          <w:spacing w:val="-5"/>
        </w:rPr>
        <w:t xml:space="preserve"> </w:t>
      </w:r>
      <w:r w:rsidRPr="00CE0885">
        <w:t>cont</w:t>
      </w:r>
      <w:r w:rsidRPr="00CE0885">
        <w:rPr>
          <w:spacing w:val="-1"/>
        </w:rPr>
        <w:t>r</w:t>
      </w:r>
      <w:r w:rsidRPr="00CE0885">
        <w:t>ac</w:t>
      </w:r>
      <w:r w:rsidRPr="00CE0885">
        <w:rPr>
          <w:spacing w:val="-2"/>
        </w:rPr>
        <w:t>t</w:t>
      </w:r>
      <w:r w:rsidRPr="00CE0885">
        <w:t>o</w:t>
      </w:r>
      <w:r w:rsidRPr="00CE0885">
        <w:rPr>
          <w:spacing w:val="-1"/>
        </w:rPr>
        <w:t>r</w:t>
      </w:r>
      <w:r w:rsidRPr="00CE0885">
        <w:t>s</w:t>
      </w:r>
      <w:r w:rsidRPr="00CE0885">
        <w:rPr>
          <w:spacing w:val="-12"/>
        </w:rPr>
        <w:t xml:space="preserve"> </w:t>
      </w:r>
      <w:r w:rsidRPr="00CE0885">
        <w:t>or p</w:t>
      </w:r>
      <w:r w:rsidRPr="00CE0885">
        <w:rPr>
          <w:spacing w:val="-1"/>
        </w:rPr>
        <w:t>r</w:t>
      </w:r>
      <w:r w:rsidRPr="00CE0885">
        <w:t>o</w:t>
      </w:r>
      <w:r w:rsidRPr="00CE0885">
        <w:rPr>
          <w:spacing w:val="-2"/>
        </w:rPr>
        <w:t>v</w:t>
      </w:r>
      <w:r w:rsidRPr="00CE0885">
        <w:t>ide</w:t>
      </w:r>
      <w:r w:rsidRPr="00CE0885">
        <w:rPr>
          <w:spacing w:val="-1"/>
        </w:rPr>
        <w:t>r</w:t>
      </w:r>
      <w:r w:rsidRPr="00CE0885">
        <w:t>s</w:t>
      </w:r>
      <w:r w:rsidRPr="00CE0885">
        <w:rPr>
          <w:spacing w:val="-10"/>
        </w:rPr>
        <w:t xml:space="preserve"> </w:t>
      </w:r>
      <w:r w:rsidRPr="00CE0885">
        <w:t>of</w:t>
      </w:r>
      <w:r w:rsidRPr="00CE0885">
        <w:rPr>
          <w:spacing w:val="-1"/>
        </w:rPr>
        <w:t xml:space="preserve"> </w:t>
      </w:r>
      <w:r w:rsidRPr="00CE0885">
        <w:t>ess</w:t>
      </w:r>
      <w:r w:rsidRPr="00CE0885">
        <w:rPr>
          <w:spacing w:val="-1"/>
        </w:rPr>
        <w:t>e</w:t>
      </w:r>
      <w:r w:rsidRPr="00CE0885">
        <w:t>ntial</w:t>
      </w:r>
      <w:r w:rsidRPr="00CE0885">
        <w:rPr>
          <w:spacing w:val="-9"/>
        </w:rPr>
        <w:t xml:space="preserve"> </w:t>
      </w:r>
      <w:r w:rsidRPr="00CE0885">
        <w:rPr>
          <w:spacing w:val="-2"/>
        </w:rPr>
        <w:t>s</w:t>
      </w:r>
      <w:r w:rsidRPr="00CE0885">
        <w:t>e</w:t>
      </w:r>
      <w:r w:rsidRPr="00CE0885">
        <w:rPr>
          <w:spacing w:val="-1"/>
        </w:rPr>
        <w:t>r</w:t>
      </w:r>
      <w:r w:rsidRPr="00CE0885">
        <w:rPr>
          <w:spacing w:val="-2"/>
        </w:rPr>
        <w:t>v</w:t>
      </w:r>
      <w:r w:rsidRPr="00CE0885">
        <w:t>ices</w:t>
      </w:r>
      <w:r w:rsidRPr="00CE0885">
        <w:rPr>
          <w:spacing w:val="-9"/>
        </w:rPr>
        <w:t xml:space="preserve"> </w:t>
      </w:r>
      <w:r w:rsidRPr="00CE0885">
        <w:rPr>
          <w:spacing w:val="-1"/>
        </w:rPr>
        <w:t>(</w:t>
      </w:r>
      <w:r w:rsidRPr="00CE0885">
        <w:t>or</w:t>
      </w:r>
      <w:r w:rsidRPr="00CE0885">
        <w:rPr>
          <w:spacing w:val="-3"/>
        </w:rPr>
        <w:t xml:space="preserve"> </w:t>
      </w:r>
      <w:r w:rsidRPr="00CE0885">
        <w:t>their</w:t>
      </w:r>
      <w:r w:rsidRPr="00CE0885">
        <w:rPr>
          <w:spacing w:val="-5"/>
        </w:rPr>
        <w:t xml:space="preserve"> </w:t>
      </w:r>
      <w:r w:rsidRPr="00CE0885">
        <w:t>e</w:t>
      </w:r>
      <w:r w:rsidRPr="00CE0885">
        <w:rPr>
          <w:spacing w:val="-1"/>
        </w:rPr>
        <w:t>q</w:t>
      </w:r>
      <w:r w:rsidRPr="00CE0885">
        <w:t>ui</w:t>
      </w:r>
      <w:r w:rsidRPr="00CE0885">
        <w:rPr>
          <w:spacing w:val="-2"/>
        </w:rPr>
        <w:t>v</w:t>
      </w:r>
      <w:r w:rsidRPr="00CE0885">
        <w:rPr>
          <w:spacing w:val="3"/>
        </w:rPr>
        <w:t>a</w:t>
      </w:r>
      <w:r w:rsidRPr="00CE0885">
        <w:t>lent</w:t>
      </w:r>
      <w:r w:rsidRPr="00CE0885">
        <w:rPr>
          <w:spacing w:val="-1"/>
        </w:rPr>
        <w:t>)</w:t>
      </w:r>
      <w:r w:rsidRPr="00CE0885">
        <w:t>;</w:t>
      </w:r>
      <w:r w:rsidRPr="00CE0885">
        <w:rPr>
          <w:spacing w:val="-11"/>
        </w:rPr>
        <w:t xml:space="preserve"> </w:t>
      </w:r>
      <w:r w:rsidRPr="00CE0885">
        <w:rPr>
          <w:spacing w:val="-1"/>
        </w:rPr>
        <w:t>a</w:t>
      </w:r>
      <w:r w:rsidRPr="00CE0885">
        <w:t>nd</w:t>
      </w:r>
      <w:bookmarkEnd w:id="705"/>
      <w:r w:rsidRPr="00CE0885">
        <w:t xml:space="preserve"> </w:t>
      </w:r>
    </w:p>
    <w:p w14:paraId="34878645" w14:textId="7B8F5695" w:rsidR="00977693" w:rsidRPr="00CE0885" w:rsidRDefault="00977693" w:rsidP="00FA6A70">
      <w:pPr>
        <w:pStyle w:val="Heading4"/>
      </w:pPr>
      <w:bookmarkStart w:id="706" w:name="_Toc440981814"/>
      <w:r w:rsidRPr="00CE0885">
        <w:t>deli</w:t>
      </w:r>
      <w:r w:rsidRPr="00CE0885">
        <w:rPr>
          <w:spacing w:val="-2"/>
        </w:rPr>
        <w:t>v</w:t>
      </w:r>
      <w:r w:rsidRPr="00CE0885">
        <w:t>er</w:t>
      </w:r>
      <w:r w:rsidRPr="00CE0885">
        <w:rPr>
          <w:spacing w:val="-7"/>
        </w:rPr>
        <w:t xml:space="preserve"> </w:t>
      </w:r>
      <w:r w:rsidRPr="00CE0885">
        <w:t>up</w:t>
      </w:r>
      <w:r w:rsidRPr="00CE0885">
        <w:rPr>
          <w:spacing w:val="-1"/>
        </w:rPr>
        <w:t xml:space="preserve"> </w:t>
      </w:r>
      <w:r w:rsidRPr="00CE0885">
        <w:t>to</w:t>
      </w:r>
      <w:r w:rsidRPr="00CE0885">
        <w:rPr>
          <w:spacing w:val="-3"/>
        </w:rPr>
        <w:t xml:space="preserve"> </w:t>
      </w:r>
      <w:r w:rsidRPr="00CE0885">
        <w:t>the Commissioner</w:t>
      </w:r>
      <w:r w:rsidRPr="00CE0885">
        <w:rPr>
          <w:spacing w:val="-7"/>
        </w:rPr>
        <w:t xml:space="preserve"> </w:t>
      </w:r>
      <w:r w:rsidRPr="00CE0885">
        <w:t>all</w:t>
      </w:r>
      <w:r w:rsidRPr="00CE0885">
        <w:rPr>
          <w:spacing w:val="-2"/>
        </w:rPr>
        <w:t xml:space="preserve"> </w:t>
      </w:r>
      <w:r w:rsidRPr="00CE0885">
        <w:t>p</w:t>
      </w:r>
      <w:r w:rsidRPr="00CE0885">
        <w:rPr>
          <w:spacing w:val="-1"/>
        </w:rPr>
        <w:t>ro</w:t>
      </w:r>
      <w:r w:rsidRPr="00CE0885">
        <w:t>pe</w:t>
      </w:r>
      <w:r w:rsidRPr="00CE0885">
        <w:rPr>
          <w:spacing w:val="-1"/>
        </w:rPr>
        <w:t>r</w:t>
      </w:r>
      <w:r w:rsidRPr="00CE0885">
        <w:rPr>
          <w:spacing w:val="-2"/>
        </w:rPr>
        <w:t>t</w:t>
      </w:r>
      <w:r w:rsidRPr="00CE0885">
        <w:t>y</w:t>
      </w:r>
      <w:r w:rsidRPr="00CE0885">
        <w:rPr>
          <w:spacing w:val="-11"/>
        </w:rPr>
        <w:t xml:space="preserve"> </w:t>
      </w:r>
      <w:r w:rsidRPr="00CE0885">
        <w:t>belon</w:t>
      </w:r>
      <w:r w:rsidRPr="00CE0885">
        <w:rPr>
          <w:spacing w:val="-1"/>
        </w:rPr>
        <w:t>g</w:t>
      </w:r>
      <w:r w:rsidRPr="00CE0885">
        <w:t>ing</w:t>
      </w:r>
      <w:r w:rsidRPr="00CE0885">
        <w:rPr>
          <w:spacing w:val="-11"/>
        </w:rPr>
        <w:t xml:space="preserve"> </w:t>
      </w:r>
      <w:r w:rsidRPr="00CE0885">
        <w:t>to NHS</w:t>
      </w:r>
      <w:r w:rsidRPr="00CE0885">
        <w:rPr>
          <w:spacing w:val="-4"/>
        </w:rPr>
        <w:t xml:space="preserve"> </w:t>
      </w:r>
      <w:r w:rsidRPr="00CE0885">
        <w:t>including</w:t>
      </w:r>
      <w:r w:rsidRPr="00CE0885">
        <w:rPr>
          <w:spacing w:val="-10"/>
        </w:rPr>
        <w:t xml:space="preserve"> </w:t>
      </w:r>
      <w:r w:rsidRPr="00CE0885">
        <w:t>all</w:t>
      </w:r>
      <w:r w:rsidRPr="00CE0885">
        <w:rPr>
          <w:spacing w:val="-2"/>
        </w:rPr>
        <w:t xml:space="preserve"> </w:t>
      </w:r>
      <w:r w:rsidRPr="00CE0885">
        <w:t>do</w:t>
      </w:r>
      <w:r w:rsidRPr="00CE0885">
        <w:rPr>
          <w:spacing w:val="-2"/>
        </w:rPr>
        <w:t>c</w:t>
      </w:r>
      <w:r w:rsidRPr="00CE0885">
        <w:rPr>
          <w:spacing w:val="-1"/>
        </w:rPr>
        <w:t>u</w:t>
      </w:r>
      <w:r w:rsidRPr="00CE0885">
        <w:rPr>
          <w:spacing w:val="2"/>
        </w:rPr>
        <w:t>m</w:t>
      </w:r>
      <w:r w:rsidRPr="00CE0885">
        <w:t>e</w:t>
      </w:r>
      <w:r w:rsidRPr="00CE0885">
        <w:rPr>
          <w:spacing w:val="-1"/>
        </w:rPr>
        <w:t>n</w:t>
      </w:r>
      <w:r w:rsidRPr="00CE0885">
        <w:t>ts,</w:t>
      </w:r>
      <w:r w:rsidRPr="00CE0885">
        <w:rPr>
          <w:spacing w:val="-13"/>
        </w:rPr>
        <w:t xml:space="preserve"> </w:t>
      </w:r>
      <w:r w:rsidRPr="00CE0885">
        <w:t>fo</w:t>
      </w:r>
      <w:r w:rsidRPr="00CE0885">
        <w:rPr>
          <w:spacing w:val="-1"/>
        </w:rPr>
        <w:t>r</w:t>
      </w:r>
      <w:r w:rsidRPr="00CE0885">
        <w:rPr>
          <w:spacing w:val="2"/>
        </w:rPr>
        <w:t>m</w:t>
      </w:r>
      <w:r w:rsidRPr="00CE0885">
        <w:t>s,</w:t>
      </w:r>
      <w:r w:rsidRPr="00CE0885">
        <w:rPr>
          <w:spacing w:val="-8"/>
        </w:rPr>
        <w:t xml:space="preserve"> </w:t>
      </w:r>
      <w:r w:rsidRPr="00CE0885">
        <w:t>c</w:t>
      </w:r>
      <w:r w:rsidRPr="00CE0885">
        <w:rPr>
          <w:spacing w:val="-1"/>
        </w:rPr>
        <w:t>o</w:t>
      </w:r>
      <w:r w:rsidRPr="00CE0885">
        <w:rPr>
          <w:spacing w:val="2"/>
        </w:rPr>
        <w:t>m</w:t>
      </w:r>
      <w:r w:rsidRPr="00CE0885">
        <w:t>p</w:t>
      </w:r>
      <w:r w:rsidRPr="00CE0885">
        <w:rPr>
          <w:spacing w:val="-1"/>
        </w:rPr>
        <w:t>u</w:t>
      </w:r>
      <w:r w:rsidRPr="00CE0885">
        <w:t>t</w:t>
      </w:r>
      <w:r w:rsidRPr="00CE0885">
        <w:rPr>
          <w:spacing w:val="-1"/>
        </w:rPr>
        <w:t>e</w:t>
      </w:r>
      <w:r w:rsidRPr="00CE0885">
        <w:t>r</w:t>
      </w:r>
      <w:r w:rsidRPr="00CE0885">
        <w:rPr>
          <w:spacing w:val="-10"/>
        </w:rPr>
        <w:t xml:space="preserve"> </w:t>
      </w:r>
      <w:r w:rsidRPr="00CE0885">
        <w:t>ha</w:t>
      </w:r>
      <w:r w:rsidRPr="00CE0885">
        <w:rPr>
          <w:spacing w:val="-1"/>
        </w:rPr>
        <w:t>r</w:t>
      </w:r>
      <w:r w:rsidRPr="00CE0885">
        <w:t>d</w:t>
      </w:r>
      <w:r w:rsidRPr="00CE0885">
        <w:rPr>
          <w:spacing w:val="-3"/>
        </w:rPr>
        <w:t>w</w:t>
      </w:r>
      <w:r w:rsidRPr="00CE0885">
        <w:t>a</w:t>
      </w:r>
      <w:r w:rsidRPr="00CE0885">
        <w:rPr>
          <w:spacing w:val="-1"/>
        </w:rPr>
        <w:t>r</w:t>
      </w:r>
      <w:r w:rsidRPr="00CE0885">
        <w:t>e</w:t>
      </w:r>
      <w:r w:rsidRPr="00CE0885">
        <w:rPr>
          <w:spacing w:val="-8"/>
        </w:rPr>
        <w:t xml:space="preserve"> </w:t>
      </w:r>
      <w:r w:rsidRPr="00CE0885">
        <w:t>and s</w:t>
      </w:r>
      <w:r w:rsidRPr="00CE0885">
        <w:rPr>
          <w:spacing w:val="-1"/>
        </w:rPr>
        <w:t>o</w:t>
      </w:r>
      <w:r w:rsidRPr="00CE0885">
        <w:rPr>
          <w:spacing w:val="3"/>
        </w:rPr>
        <w:t>f</w:t>
      </w:r>
      <w:r w:rsidRPr="00CE0885">
        <w:t>t</w:t>
      </w:r>
      <w:r w:rsidRPr="00CE0885">
        <w:rPr>
          <w:spacing w:val="-3"/>
        </w:rPr>
        <w:t>w</w:t>
      </w:r>
      <w:r w:rsidRPr="00CE0885">
        <w:t>a</w:t>
      </w:r>
      <w:r w:rsidRPr="00CE0885">
        <w:rPr>
          <w:spacing w:val="-1"/>
        </w:rPr>
        <w:t>r</w:t>
      </w:r>
      <w:r w:rsidRPr="00CE0885">
        <w:t>e,</w:t>
      </w:r>
      <w:r w:rsidRPr="00CE0885">
        <w:rPr>
          <w:spacing w:val="-9"/>
        </w:rPr>
        <w:t xml:space="preserve"> </w:t>
      </w:r>
      <w:r w:rsidRPr="00CE0885">
        <w:t>d</w:t>
      </w:r>
      <w:r w:rsidRPr="00CE0885">
        <w:rPr>
          <w:spacing w:val="-1"/>
        </w:rPr>
        <w:t>r</w:t>
      </w:r>
      <w:r w:rsidRPr="00CE0885">
        <w:t>u</w:t>
      </w:r>
      <w:r w:rsidRPr="00CE0885">
        <w:rPr>
          <w:spacing w:val="-1"/>
        </w:rPr>
        <w:t>g</w:t>
      </w:r>
      <w:r w:rsidRPr="00CE0885">
        <w:t>s,</w:t>
      </w:r>
      <w:r w:rsidRPr="00CE0885">
        <w:rPr>
          <w:spacing w:val="-6"/>
        </w:rPr>
        <w:t xml:space="preserve"> </w:t>
      </w:r>
      <w:r w:rsidRPr="00CE0885">
        <w:t>a</w:t>
      </w:r>
      <w:r w:rsidRPr="00CE0885">
        <w:rPr>
          <w:spacing w:val="-1"/>
        </w:rPr>
        <w:t>p</w:t>
      </w:r>
      <w:r w:rsidRPr="00CE0885">
        <w:t>pli</w:t>
      </w:r>
      <w:r w:rsidRPr="00CE0885">
        <w:rPr>
          <w:spacing w:val="-1"/>
        </w:rPr>
        <w:t>a</w:t>
      </w:r>
      <w:r w:rsidRPr="00CE0885">
        <w:t>nces</w:t>
      </w:r>
      <w:r w:rsidRPr="00CE0885">
        <w:rPr>
          <w:spacing w:val="-11"/>
        </w:rPr>
        <w:t xml:space="preserve"> </w:t>
      </w:r>
      <w:r w:rsidRPr="00CE0885">
        <w:t>or</w:t>
      </w:r>
      <w:r w:rsidRPr="00CE0885">
        <w:rPr>
          <w:spacing w:val="-5"/>
        </w:rPr>
        <w:t xml:space="preserve"> </w:t>
      </w:r>
      <w:r w:rsidRPr="00CE0885">
        <w:rPr>
          <w:spacing w:val="2"/>
        </w:rPr>
        <w:t>m</w:t>
      </w:r>
      <w:r w:rsidRPr="00CE0885">
        <w:rPr>
          <w:spacing w:val="-1"/>
        </w:rPr>
        <w:t>e</w:t>
      </w:r>
      <w:r w:rsidRPr="00CE0885">
        <w:t>dical</w:t>
      </w:r>
      <w:r w:rsidRPr="00CE0885">
        <w:rPr>
          <w:spacing w:val="-8"/>
        </w:rPr>
        <w:t xml:space="preserve"> </w:t>
      </w:r>
      <w:r w:rsidRPr="00CE0885">
        <w:t>e</w:t>
      </w:r>
      <w:r w:rsidRPr="00CE0885">
        <w:rPr>
          <w:spacing w:val="-1"/>
        </w:rPr>
        <w:t>q</w:t>
      </w:r>
      <w:r w:rsidRPr="00CE0885">
        <w:t>ui</w:t>
      </w:r>
      <w:r w:rsidRPr="00CE0885">
        <w:rPr>
          <w:spacing w:val="-1"/>
        </w:rPr>
        <w:t>p</w:t>
      </w:r>
      <w:r w:rsidRPr="00CE0885">
        <w:rPr>
          <w:spacing w:val="2"/>
        </w:rPr>
        <w:t>m</w:t>
      </w:r>
      <w:r w:rsidRPr="00CE0885">
        <w:t>e</w:t>
      </w:r>
      <w:r w:rsidRPr="00CE0885">
        <w:rPr>
          <w:spacing w:val="-1"/>
        </w:rPr>
        <w:t>n</w:t>
      </w:r>
      <w:r w:rsidRPr="00CE0885">
        <w:t>t</w:t>
      </w:r>
      <w:r w:rsidRPr="00CE0885">
        <w:rPr>
          <w:spacing w:val="-10"/>
        </w:rPr>
        <w:t xml:space="preserve"> </w:t>
      </w:r>
      <w:r w:rsidRPr="00CE0885">
        <w:rPr>
          <w:spacing w:val="-3"/>
        </w:rPr>
        <w:t>w</w:t>
      </w:r>
      <w:r w:rsidRPr="00CE0885">
        <w:t>hich</w:t>
      </w:r>
      <w:r w:rsidRPr="00CE0885">
        <w:rPr>
          <w:spacing w:val="-4"/>
        </w:rPr>
        <w:t xml:space="preserve"> </w:t>
      </w:r>
      <w:r w:rsidRPr="00CE0885">
        <w:rPr>
          <w:spacing w:val="2"/>
        </w:rPr>
        <w:t>m</w:t>
      </w:r>
      <w:r w:rsidRPr="00CE0885">
        <w:t>ay be</w:t>
      </w:r>
      <w:r w:rsidRPr="00CE0885">
        <w:rPr>
          <w:spacing w:val="-1"/>
        </w:rPr>
        <w:t xml:space="preserve"> </w:t>
      </w:r>
      <w:r w:rsidRPr="00CE0885">
        <w:t>in</w:t>
      </w:r>
      <w:r w:rsidRPr="00CE0885">
        <w:rPr>
          <w:spacing w:val="-3"/>
        </w:rPr>
        <w:t xml:space="preserve"> </w:t>
      </w:r>
      <w:r w:rsidRPr="00CE0885">
        <w:t>the</w:t>
      </w:r>
      <w:r w:rsidRPr="00CE0885">
        <w:rPr>
          <w:spacing w:val="-4"/>
        </w:rPr>
        <w:t xml:space="preserve"> </w:t>
      </w:r>
      <w:r w:rsidRPr="00CE0885">
        <w:t>co</w:t>
      </w:r>
      <w:r w:rsidRPr="00CE0885">
        <w:rPr>
          <w:spacing w:val="-1"/>
        </w:rPr>
        <w:t>n</w:t>
      </w:r>
      <w:r w:rsidRPr="00CE0885">
        <w:t>t</w:t>
      </w:r>
      <w:r w:rsidRPr="00CE0885">
        <w:rPr>
          <w:spacing w:val="-1"/>
        </w:rPr>
        <w:t>r</w:t>
      </w:r>
      <w:r w:rsidRPr="00CE0885">
        <w:t>acto</w:t>
      </w:r>
      <w:r w:rsidRPr="00CE0885">
        <w:rPr>
          <w:spacing w:val="-1"/>
        </w:rPr>
        <w:t>r</w:t>
      </w:r>
      <w:r w:rsidRPr="00CE0885">
        <w:t>’s</w:t>
      </w:r>
      <w:r w:rsidRPr="00CE0885">
        <w:rPr>
          <w:spacing w:val="-12"/>
        </w:rPr>
        <w:t xml:space="preserve"> </w:t>
      </w:r>
      <w:r w:rsidRPr="00CE0885">
        <w:rPr>
          <w:spacing w:val="-1"/>
        </w:rPr>
        <w:t>p</w:t>
      </w:r>
      <w:r w:rsidRPr="00CE0885">
        <w:t>ossession</w:t>
      </w:r>
      <w:r w:rsidRPr="00CE0885">
        <w:rPr>
          <w:spacing w:val="-13"/>
        </w:rPr>
        <w:t xml:space="preserve"> </w:t>
      </w:r>
      <w:r w:rsidRPr="00CE0885">
        <w:t>or</w:t>
      </w:r>
      <w:r w:rsidRPr="00CE0885">
        <w:rPr>
          <w:spacing w:val="-2"/>
        </w:rPr>
        <w:t xml:space="preserve"> </w:t>
      </w:r>
      <w:r w:rsidRPr="00CE0885">
        <w:t>c</w:t>
      </w:r>
      <w:r w:rsidRPr="00CE0885">
        <w:rPr>
          <w:spacing w:val="-1"/>
        </w:rPr>
        <w:t>o</w:t>
      </w:r>
      <w:r w:rsidRPr="00CE0885">
        <w:t>nt</w:t>
      </w:r>
      <w:r w:rsidRPr="00CE0885">
        <w:rPr>
          <w:spacing w:val="-1"/>
        </w:rPr>
        <w:t>r</w:t>
      </w:r>
      <w:r w:rsidRPr="00CE0885">
        <w:t>ol.</w:t>
      </w:r>
      <w:bookmarkEnd w:id="706"/>
    </w:p>
    <w:p w14:paraId="4E36D29E" w14:textId="1D56B06A" w:rsidR="00977693" w:rsidRPr="00CE0885" w:rsidRDefault="00977693" w:rsidP="006B781A">
      <w:pPr>
        <w:pStyle w:val="Heading3"/>
        <w:rPr>
          <w:lang w:eastAsia="en-GB"/>
        </w:rPr>
      </w:pPr>
      <w:bookmarkStart w:id="707" w:name="_Toc440981815"/>
      <w:r w:rsidRPr="00CE0885">
        <w:rPr>
          <w:spacing w:val="2"/>
          <w:lang w:eastAsia="en-GB"/>
        </w:rPr>
        <w:t>T</w:t>
      </w:r>
      <w:r w:rsidRPr="00CE0885">
        <w:rPr>
          <w:spacing w:val="-1"/>
          <w:lang w:eastAsia="en-GB"/>
        </w:rPr>
        <w:t>h</w:t>
      </w:r>
      <w:r w:rsidRPr="00CE0885">
        <w:rPr>
          <w:lang w:eastAsia="en-GB"/>
        </w:rPr>
        <w:t>e</w:t>
      </w:r>
      <w:r w:rsidRPr="00CE0885">
        <w:rPr>
          <w:spacing w:val="-2"/>
          <w:lang w:eastAsia="en-GB"/>
        </w:rPr>
        <w:t xml:space="preserve"> Commissioner</w:t>
      </w:r>
      <w:r w:rsidRPr="00CE0885">
        <w:rPr>
          <w:lang w:eastAsia="en-GB"/>
        </w:rPr>
        <w:t xml:space="preserve"> </w:t>
      </w:r>
      <w:r w:rsidRPr="00CE0885">
        <w:rPr>
          <w:spacing w:val="-2"/>
          <w:lang w:eastAsia="en-GB"/>
        </w:rPr>
        <w:t>s</w:t>
      </w:r>
      <w:r w:rsidRPr="00CE0885">
        <w:rPr>
          <w:spacing w:val="1"/>
          <w:lang w:eastAsia="en-GB"/>
        </w:rPr>
        <w:t>ha</w:t>
      </w:r>
      <w:r w:rsidRPr="00CE0885">
        <w:rPr>
          <w:lang w:eastAsia="en-GB"/>
        </w:rPr>
        <w:t>ll</w:t>
      </w:r>
      <w:r w:rsidRPr="00CE0885">
        <w:rPr>
          <w:spacing w:val="-5"/>
          <w:lang w:eastAsia="en-GB"/>
        </w:rPr>
        <w:t xml:space="preserve"> </w:t>
      </w:r>
      <w:r w:rsidRPr="00CE0885">
        <w:rPr>
          <w:spacing w:val="-1"/>
          <w:lang w:eastAsia="en-GB"/>
        </w:rPr>
        <w:t>h</w:t>
      </w:r>
      <w:r w:rsidRPr="00CE0885">
        <w:rPr>
          <w:spacing w:val="1"/>
          <w:lang w:eastAsia="en-GB"/>
        </w:rPr>
        <w:t>a</w:t>
      </w:r>
      <w:r w:rsidRPr="00CE0885">
        <w:rPr>
          <w:spacing w:val="-2"/>
          <w:lang w:eastAsia="en-GB"/>
        </w:rPr>
        <w:t>v</w:t>
      </w:r>
      <w:r w:rsidRPr="00CE0885">
        <w:rPr>
          <w:lang w:eastAsia="en-GB"/>
        </w:rPr>
        <w:t>e</w:t>
      </w:r>
      <w:r w:rsidRPr="00CE0885">
        <w:rPr>
          <w:spacing w:val="-3"/>
          <w:lang w:eastAsia="en-GB"/>
        </w:rPr>
        <w:t xml:space="preserve"> </w:t>
      </w:r>
      <w:r w:rsidRPr="00CE0885">
        <w:rPr>
          <w:lang w:eastAsia="en-GB"/>
        </w:rPr>
        <w:t xml:space="preserve">in </w:t>
      </w:r>
      <w:r w:rsidRPr="00CE0885">
        <w:rPr>
          <w:spacing w:val="1"/>
          <w:lang w:eastAsia="en-GB"/>
        </w:rPr>
        <w:t>p</w:t>
      </w:r>
      <w:r w:rsidRPr="00CE0885">
        <w:rPr>
          <w:spacing w:val="-3"/>
          <w:lang w:eastAsia="en-GB"/>
        </w:rPr>
        <w:t>l</w:t>
      </w:r>
      <w:r w:rsidRPr="00CE0885">
        <w:rPr>
          <w:spacing w:val="1"/>
          <w:lang w:eastAsia="en-GB"/>
        </w:rPr>
        <w:t>a</w:t>
      </w:r>
      <w:r w:rsidRPr="00CE0885">
        <w:rPr>
          <w:lang w:eastAsia="en-GB"/>
        </w:rPr>
        <w:t>ce</w:t>
      </w:r>
      <w:r w:rsidRPr="00CE0885">
        <w:rPr>
          <w:spacing w:val="-4"/>
          <w:lang w:eastAsia="en-GB"/>
        </w:rPr>
        <w:t xml:space="preserve"> </w:t>
      </w:r>
      <w:r w:rsidRPr="00CE0885">
        <w:rPr>
          <w:spacing w:val="1"/>
          <w:lang w:eastAsia="en-GB"/>
        </w:rPr>
        <w:t>a</w:t>
      </w:r>
      <w:r w:rsidRPr="00CE0885">
        <w:rPr>
          <w:spacing w:val="-1"/>
          <w:lang w:eastAsia="en-GB"/>
        </w:rPr>
        <w:t>rra</w:t>
      </w:r>
      <w:r w:rsidRPr="00CE0885">
        <w:rPr>
          <w:spacing w:val="1"/>
          <w:lang w:eastAsia="en-GB"/>
        </w:rPr>
        <w:t>n</w:t>
      </w:r>
      <w:r w:rsidRPr="00CE0885">
        <w:rPr>
          <w:spacing w:val="-1"/>
          <w:lang w:eastAsia="en-GB"/>
        </w:rPr>
        <w:t>g</w:t>
      </w:r>
      <w:r w:rsidRPr="00CE0885">
        <w:rPr>
          <w:spacing w:val="1"/>
          <w:lang w:eastAsia="en-GB"/>
        </w:rPr>
        <w:t>e</w:t>
      </w:r>
      <w:r w:rsidRPr="00CE0885">
        <w:rPr>
          <w:spacing w:val="2"/>
          <w:lang w:eastAsia="en-GB"/>
        </w:rPr>
        <w:t>m</w:t>
      </w:r>
      <w:r w:rsidRPr="00CE0885">
        <w:rPr>
          <w:spacing w:val="-1"/>
          <w:lang w:eastAsia="en-GB"/>
        </w:rPr>
        <w:t>e</w:t>
      </w:r>
      <w:r w:rsidRPr="00CE0885">
        <w:rPr>
          <w:spacing w:val="1"/>
          <w:lang w:eastAsia="en-GB"/>
        </w:rPr>
        <w:t>nt</w:t>
      </w:r>
      <w:r w:rsidRPr="00CE0885">
        <w:rPr>
          <w:lang w:eastAsia="en-GB"/>
        </w:rPr>
        <w:t>s</w:t>
      </w:r>
      <w:r w:rsidRPr="00CE0885">
        <w:rPr>
          <w:spacing w:val="-17"/>
          <w:lang w:eastAsia="en-GB"/>
        </w:rPr>
        <w:t xml:space="preserve"> </w:t>
      </w:r>
      <w:r w:rsidRPr="00CE0885">
        <w:rPr>
          <w:spacing w:val="1"/>
          <w:lang w:eastAsia="en-GB"/>
        </w:rPr>
        <w:t>fo</w:t>
      </w:r>
      <w:r w:rsidRPr="00CE0885">
        <w:rPr>
          <w:lang w:eastAsia="en-GB"/>
        </w:rPr>
        <w:t>r</w:t>
      </w:r>
      <w:r w:rsidRPr="00CE0885">
        <w:rPr>
          <w:spacing w:val="-6"/>
          <w:lang w:eastAsia="en-GB"/>
        </w:rPr>
        <w:t xml:space="preserve"> </w:t>
      </w:r>
      <w:r w:rsidRPr="00CE0885">
        <w:rPr>
          <w:lang w:eastAsia="en-GB"/>
        </w:rPr>
        <w:t>c</w:t>
      </w:r>
      <w:r w:rsidRPr="00CE0885">
        <w:rPr>
          <w:spacing w:val="1"/>
          <w:lang w:eastAsia="en-GB"/>
        </w:rPr>
        <w:t>o</w:t>
      </w:r>
      <w:r w:rsidRPr="00CE0885">
        <w:rPr>
          <w:lang w:eastAsia="en-GB"/>
        </w:rPr>
        <w:t>ll</w:t>
      </w:r>
      <w:r w:rsidRPr="00CE0885">
        <w:rPr>
          <w:spacing w:val="1"/>
          <w:lang w:eastAsia="en-GB"/>
        </w:rPr>
        <w:t>e</w:t>
      </w:r>
      <w:r w:rsidRPr="00CE0885">
        <w:rPr>
          <w:lang w:eastAsia="en-GB"/>
        </w:rPr>
        <w:t>c</w:t>
      </w:r>
      <w:r w:rsidRPr="00CE0885">
        <w:rPr>
          <w:spacing w:val="1"/>
          <w:lang w:eastAsia="en-GB"/>
        </w:rPr>
        <w:t>t</w:t>
      </w:r>
      <w:r w:rsidRPr="00CE0885">
        <w:rPr>
          <w:lang w:eastAsia="en-GB"/>
        </w:rPr>
        <w:t>i</w:t>
      </w:r>
      <w:r w:rsidRPr="00CE0885">
        <w:rPr>
          <w:spacing w:val="1"/>
          <w:lang w:eastAsia="en-GB"/>
        </w:rPr>
        <w:t>n</w:t>
      </w:r>
      <w:r w:rsidRPr="00CE0885">
        <w:rPr>
          <w:lang w:eastAsia="en-GB"/>
        </w:rPr>
        <w:t>g</w:t>
      </w:r>
      <w:r w:rsidRPr="00CE0885">
        <w:rPr>
          <w:spacing w:val="-11"/>
          <w:lang w:eastAsia="en-GB"/>
        </w:rPr>
        <w:t xml:space="preserve"> </w:t>
      </w:r>
      <w:r w:rsidRPr="00CE0885">
        <w:rPr>
          <w:spacing w:val="1"/>
          <w:lang w:eastAsia="en-GB"/>
        </w:rPr>
        <w:t>an</w:t>
      </w:r>
      <w:r w:rsidRPr="00CE0885">
        <w:rPr>
          <w:lang w:eastAsia="en-GB"/>
        </w:rPr>
        <w:t xml:space="preserve">y </w:t>
      </w:r>
      <w:r w:rsidRPr="00CE0885">
        <w:rPr>
          <w:spacing w:val="1"/>
          <w:lang w:eastAsia="en-GB"/>
        </w:rPr>
        <w:t>p</w:t>
      </w:r>
      <w:r w:rsidRPr="00CE0885">
        <w:rPr>
          <w:spacing w:val="-1"/>
          <w:lang w:eastAsia="en-GB"/>
        </w:rPr>
        <w:t>r</w:t>
      </w:r>
      <w:r w:rsidRPr="00CE0885">
        <w:rPr>
          <w:spacing w:val="1"/>
          <w:lang w:eastAsia="en-GB"/>
        </w:rPr>
        <w:t>ope</w:t>
      </w:r>
      <w:r w:rsidRPr="00CE0885">
        <w:rPr>
          <w:spacing w:val="-1"/>
          <w:lang w:eastAsia="en-GB"/>
        </w:rPr>
        <w:t>r</w:t>
      </w:r>
      <w:r w:rsidRPr="00CE0885">
        <w:rPr>
          <w:spacing w:val="1"/>
          <w:lang w:eastAsia="en-GB"/>
        </w:rPr>
        <w:t>t</w:t>
      </w:r>
      <w:r w:rsidRPr="00CE0885">
        <w:rPr>
          <w:lang w:eastAsia="en-GB"/>
        </w:rPr>
        <w:t>y</w:t>
      </w:r>
      <w:r w:rsidRPr="00CE0885">
        <w:rPr>
          <w:spacing w:val="-11"/>
          <w:lang w:eastAsia="en-GB"/>
        </w:rPr>
        <w:t xml:space="preserve"> </w:t>
      </w:r>
      <w:r w:rsidRPr="00CE0885">
        <w:rPr>
          <w:spacing w:val="1"/>
          <w:lang w:eastAsia="en-GB"/>
        </w:rPr>
        <w:t>o</w:t>
      </w:r>
      <w:r w:rsidRPr="00CE0885">
        <w:rPr>
          <w:spacing w:val="-3"/>
          <w:lang w:eastAsia="en-GB"/>
        </w:rPr>
        <w:t>w</w:t>
      </w:r>
      <w:r w:rsidRPr="00CE0885">
        <w:rPr>
          <w:spacing w:val="1"/>
          <w:lang w:eastAsia="en-GB"/>
        </w:rPr>
        <w:t>ne</w:t>
      </w:r>
      <w:r w:rsidRPr="00CE0885">
        <w:rPr>
          <w:lang w:eastAsia="en-GB"/>
        </w:rPr>
        <w:t>d</w:t>
      </w:r>
      <w:r w:rsidRPr="00CE0885">
        <w:rPr>
          <w:spacing w:val="-5"/>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spacing w:val="1"/>
          <w:lang w:eastAsia="en-GB"/>
        </w:rPr>
        <w:t>th</w:t>
      </w:r>
      <w:r w:rsidRPr="00CE0885">
        <w:rPr>
          <w:lang w:eastAsia="en-GB"/>
        </w:rPr>
        <w:t>e</w:t>
      </w:r>
      <w:r w:rsidRPr="00CE0885">
        <w:rPr>
          <w:spacing w:val="-6"/>
          <w:lang w:eastAsia="en-GB"/>
        </w:rPr>
        <w:t xml:space="preserve"> </w:t>
      </w:r>
      <w:r w:rsidRPr="00CE0885">
        <w:rPr>
          <w:lang w:eastAsia="en-GB"/>
        </w:rPr>
        <w:t>NHS</w:t>
      </w:r>
      <w:r w:rsidRPr="00CE0885">
        <w:rPr>
          <w:spacing w:val="-4"/>
          <w:lang w:eastAsia="en-GB"/>
        </w:rPr>
        <w:t xml:space="preserve"> </w:t>
      </w:r>
      <w:r w:rsidRPr="00CE0885">
        <w:rPr>
          <w:spacing w:val="1"/>
          <w:lang w:eastAsia="en-GB"/>
        </w:rPr>
        <w:t>o</w:t>
      </w:r>
      <w:r w:rsidRPr="00CE0885">
        <w:rPr>
          <w:lang w:eastAsia="en-GB"/>
        </w:rPr>
        <w:t>n</w:t>
      </w:r>
      <w:r w:rsidRPr="00CE0885">
        <w:rPr>
          <w:spacing w:val="-1"/>
          <w:lang w:eastAsia="en-GB"/>
        </w:rPr>
        <w:t xml:space="preserve"> </w:t>
      </w:r>
      <w:r w:rsidRPr="00CE0885">
        <w:rPr>
          <w:spacing w:val="1"/>
          <w:lang w:eastAsia="en-GB"/>
        </w:rPr>
        <w:t>o</w:t>
      </w:r>
      <w:r w:rsidRPr="00CE0885">
        <w:rPr>
          <w:lang w:eastAsia="en-GB"/>
        </w:rPr>
        <w:t>r</w:t>
      </w:r>
      <w:r w:rsidRPr="00CE0885">
        <w:rPr>
          <w:spacing w:val="-2"/>
          <w:lang w:eastAsia="en-GB"/>
        </w:rPr>
        <w:t xml:space="preserve"> </w:t>
      </w:r>
      <w:r w:rsidRPr="00CE0885">
        <w:rPr>
          <w:spacing w:val="-3"/>
          <w:lang w:eastAsia="en-GB"/>
        </w:rPr>
        <w:t>i</w:t>
      </w:r>
      <w:r w:rsidRPr="00CE0885">
        <w:rPr>
          <w:spacing w:val="2"/>
          <w:lang w:eastAsia="en-GB"/>
        </w:rPr>
        <w:t>m</w:t>
      </w:r>
      <w:r w:rsidRPr="00CE0885">
        <w:rPr>
          <w:spacing w:val="-1"/>
          <w:lang w:eastAsia="en-GB"/>
        </w:rPr>
        <w:t>m</w:t>
      </w:r>
      <w:r w:rsidRPr="00CE0885">
        <w:rPr>
          <w:spacing w:val="1"/>
          <w:lang w:eastAsia="en-GB"/>
        </w:rPr>
        <w:t>ed</w:t>
      </w:r>
      <w:r w:rsidRPr="00CE0885">
        <w:rPr>
          <w:lang w:eastAsia="en-GB"/>
        </w:rPr>
        <w:t>i</w:t>
      </w:r>
      <w:r w:rsidRPr="00CE0885">
        <w:rPr>
          <w:spacing w:val="-1"/>
          <w:lang w:eastAsia="en-GB"/>
        </w:rPr>
        <w:t>a</w:t>
      </w:r>
      <w:r w:rsidRPr="00CE0885">
        <w:rPr>
          <w:spacing w:val="1"/>
          <w:lang w:eastAsia="en-GB"/>
        </w:rPr>
        <w:t>te</w:t>
      </w:r>
      <w:r w:rsidRPr="00CE0885">
        <w:rPr>
          <w:spacing w:val="-3"/>
          <w:lang w:eastAsia="en-GB"/>
        </w:rPr>
        <w:t>l</w:t>
      </w:r>
      <w:r w:rsidRPr="00CE0885">
        <w:rPr>
          <w:lang w:eastAsia="en-GB"/>
        </w:rPr>
        <w:t>y</w:t>
      </w:r>
      <w:r w:rsidRPr="00CE0885">
        <w:rPr>
          <w:spacing w:val="-15"/>
          <w:lang w:eastAsia="en-GB"/>
        </w:rPr>
        <w:t xml:space="preserve"> </w:t>
      </w:r>
      <w:r w:rsidRPr="00CE0885">
        <w:rPr>
          <w:spacing w:val="1"/>
          <w:lang w:eastAsia="en-GB"/>
        </w:rPr>
        <w:t>a</w:t>
      </w:r>
      <w:r w:rsidRPr="00CE0885">
        <w:rPr>
          <w:spacing w:val="3"/>
          <w:lang w:eastAsia="en-GB"/>
        </w:rPr>
        <w:t>f</w:t>
      </w:r>
      <w:r w:rsidRPr="00CE0885">
        <w:rPr>
          <w:spacing w:val="1"/>
          <w:lang w:eastAsia="en-GB"/>
        </w:rPr>
        <w:t>te</w:t>
      </w:r>
      <w:r w:rsidRPr="00CE0885">
        <w:rPr>
          <w:lang w:eastAsia="en-GB"/>
        </w:rPr>
        <w:t>r</w:t>
      </w:r>
      <w:r w:rsidRPr="00CE0885">
        <w:rPr>
          <w:spacing w:val="-8"/>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te</w:t>
      </w:r>
      <w:r w:rsidRPr="00CE0885">
        <w:rPr>
          <w:spacing w:val="-1"/>
          <w:lang w:eastAsia="en-GB"/>
        </w:rPr>
        <w:t>r</w:t>
      </w:r>
      <w:r w:rsidRPr="00CE0885">
        <w:rPr>
          <w:spacing w:val="2"/>
          <w:lang w:eastAsia="en-GB"/>
        </w:rPr>
        <w:t>m</w:t>
      </w:r>
      <w:r w:rsidRPr="00CE0885">
        <w:rPr>
          <w:spacing w:val="-3"/>
          <w:lang w:eastAsia="en-GB"/>
        </w:rPr>
        <w:t>i</w:t>
      </w:r>
      <w:r w:rsidRPr="00CE0885">
        <w:rPr>
          <w:spacing w:val="1"/>
          <w:lang w:eastAsia="en-GB"/>
        </w:rPr>
        <w:t>nat</w:t>
      </w:r>
      <w:r w:rsidRPr="00CE0885">
        <w:rPr>
          <w:lang w:eastAsia="en-GB"/>
        </w:rPr>
        <w:t>i</w:t>
      </w:r>
      <w:r w:rsidRPr="00CE0885">
        <w:rPr>
          <w:spacing w:val="-1"/>
          <w:lang w:eastAsia="en-GB"/>
        </w:rPr>
        <w:t>o</w:t>
      </w:r>
      <w:r w:rsidRPr="00CE0885">
        <w:rPr>
          <w:lang w:eastAsia="en-GB"/>
        </w:rPr>
        <w:t xml:space="preserve">n </w:t>
      </w:r>
      <w:r w:rsidRPr="00CE0885">
        <w:rPr>
          <w:spacing w:val="1"/>
          <w:lang w:eastAsia="en-GB"/>
        </w:rPr>
        <w:t>dat</w:t>
      </w:r>
      <w:r w:rsidRPr="00CE0885">
        <w:rPr>
          <w:spacing w:val="-1"/>
          <w:lang w:eastAsia="en-GB"/>
        </w:rPr>
        <w:t>e</w:t>
      </w:r>
      <w:r w:rsidRPr="00CE0885">
        <w:rPr>
          <w:lang w:eastAsia="en-GB"/>
        </w:rPr>
        <w:t>,</w:t>
      </w:r>
      <w:r w:rsidRPr="00CE0885">
        <w:rPr>
          <w:spacing w:val="-4"/>
          <w:lang w:eastAsia="en-GB"/>
        </w:rPr>
        <w:t xml:space="preserve"> </w:t>
      </w:r>
      <w:r w:rsidRPr="00CE0885">
        <w:rPr>
          <w:spacing w:val="-3"/>
          <w:lang w:eastAsia="en-GB"/>
        </w:rPr>
        <w:t>w</w:t>
      </w:r>
      <w:r w:rsidRPr="00CE0885">
        <w:rPr>
          <w:spacing w:val="1"/>
          <w:lang w:eastAsia="en-GB"/>
        </w:rPr>
        <w:t>h</w:t>
      </w:r>
      <w:r w:rsidRPr="00CE0885">
        <w:rPr>
          <w:lang w:eastAsia="en-GB"/>
        </w:rPr>
        <w:t>ich</w:t>
      </w:r>
      <w:r w:rsidRPr="00CE0885">
        <w:rPr>
          <w:spacing w:val="-4"/>
          <w:lang w:eastAsia="en-GB"/>
        </w:rPr>
        <w:t xml:space="preserve"> </w:t>
      </w:r>
      <w:r w:rsidRPr="00CE0885">
        <w:rPr>
          <w:lang w:eastAsia="en-GB"/>
        </w:rPr>
        <w:t>s</w:t>
      </w:r>
      <w:r w:rsidRPr="00CE0885">
        <w:rPr>
          <w:spacing w:val="1"/>
          <w:lang w:eastAsia="en-GB"/>
        </w:rPr>
        <w:t>hou</w:t>
      </w:r>
      <w:r w:rsidRPr="00CE0885">
        <w:rPr>
          <w:spacing w:val="-3"/>
          <w:lang w:eastAsia="en-GB"/>
        </w:rPr>
        <w:t>l</w:t>
      </w:r>
      <w:r w:rsidRPr="00CE0885">
        <w:rPr>
          <w:lang w:eastAsia="en-GB"/>
        </w:rPr>
        <w:t>d</w:t>
      </w:r>
      <w:r w:rsidRPr="00CE0885">
        <w:rPr>
          <w:spacing w:val="-5"/>
          <w:lang w:eastAsia="en-GB"/>
        </w:rPr>
        <w:t xml:space="preserve"> </w:t>
      </w:r>
      <w:r w:rsidRPr="00CE0885">
        <w:rPr>
          <w:spacing w:val="-1"/>
          <w:lang w:eastAsia="en-GB"/>
        </w:rPr>
        <w:t>b</w:t>
      </w:r>
      <w:r w:rsidRPr="00CE0885">
        <w:rPr>
          <w:lang w:eastAsia="en-GB"/>
        </w:rPr>
        <w:t>e</w:t>
      </w:r>
      <w:r w:rsidRPr="00CE0885">
        <w:rPr>
          <w:spacing w:val="-1"/>
          <w:lang w:eastAsia="en-GB"/>
        </w:rPr>
        <w:t xml:space="preserve"> </w:t>
      </w:r>
      <w:r w:rsidRPr="00CE0885">
        <w:rPr>
          <w:spacing w:val="-3"/>
          <w:lang w:eastAsia="en-GB"/>
        </w:rPr>
        <w:t>i</w:t>
      </w:r>
      <w:r w:rsidRPr="00CE0885">
        <w:rPr>
          <w:spacing w:val="1"/>
          <w:lang w:eastAsia="en-GB"/>
        </w:rPr>
        <w:t>n</w:t>
      </w:r>
      <w:r w:rsidRPr="00CE0885">
        <w:rPr>
          <w:lang w:eastAsia="en-GB"/>
        </w:rPr>
        <w:t>cl</w:t>
      </w:r>
      <w:r w:rsidRPr="00CE0885">
        <w:rPr>
          <w:spacing w:val="1"/>
          <w:lang w:eastAsia="en-GB"/>
        </w:rPr>
        <w:t>ud</w:t>
      </w:r>
      <w:r w:rsidRPr="00CE0885">
        <w:rPr>
          <w:spacing w:val="-1"/>
          <w:lang w:eastAsia="en-GB"/>
        </w:rPr>
        <w:t>e</w:t>
      </w:r>
      <w:r w:rsidRPr="00CE0885">
        <w:rPr>
          <w:lang w:eastAsia="en-GB"/>
        </w:rPr>
        <w:t>d</w:t>
      </w:r>
      <w:r w:rsidRPr="00CE0885">
        <w:rPr>
          <w:spacing w:val="-7"/>
          <w:lang w:eastAsia="en-GB"/>
        </w:rPr>
        <w:t xml:space="preserve"> </w:t>
      </w:r>
      <w:r w:rsidRPr="00CE0885">
        <w:rPr>
          <w:spacing w:val="-1"/>
          <w:lang w:eastAsia="en-GB"/>
        </w:rPr>
        <w:t>o</w:t>
      </w:r>
      <w:r w:rsidRPr="00CE0885">
        <w:rPr>
          <w:lang w:eastAsia="en-GB"/>
        </w:rPr>
        <w:t>n</w:t>
      </w:r>
      <w:r w:rsidRPr="00CE0885">
        <w:rPr>
          <w:spacing w:val="-1"/>
          <w:lang w:eastAsia="en-GB"/>
        </w:rPr>
        <w:t xml:space="preserve"> </w:t>
      </w:r>
      <w:r w:rsidRPr="00CE0885">
        <w:rPr>
          <w:lang w:eastAsia="en-GB"/>
        </w:rPr>
        <w:t>a</w:t>
      </w:r>
      <w:r w:rsidRPr="00CE0885">
        <w:rPr>
          <w:spacing w:val="1"/>
          <w:lang w:eastAsia="en-GB"/>
        </w:rPr>
        <w:t xml:space="preserve"> </w:t>
      </w:r>
      <w:r w:rsidRPr="00CE0885">
        <w:rPr>
          <w:spacing w:val="-3"/>
          <w:lang w:eastAsia="en-GB"/>
        </w:rPr>
        <w:t>l</w:t>
      </w:r>
      <w:r w:rsidRPr="00CE0885">
        <w:rPr>
          <w:spacing w:val="1"/>
          <w:lang w:eastAsia="en-GB"/>
        </w:rPr>
        <w:t>o</w:t>
      </w:r>
      <w:r w:rsidRPr="00CE0885">
        <w:rPr>
          <w:lang w:eastAsia="en-GB"/>
        </w:rPr>
        <w:t>g</w:t>
      </w:r>
      <w:r w:rsidRPr="00CE0885">
        <w:rPr>
          <w:spacing w:val="-4"/>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c</w:t>
      </w:r>
      <w:r w:rsidRPr="00CE0885">
        <w:rPr>
          <w:spacing w:val="1"/>
          <w:lang w:eastAsia="en-GB"/>
        </w:rPr>
        <w:t>o</w:t>
      </w:r>
      <w:r w:rsidRPr="00CE0885">
        <w:rPr>
          <w:lang w:eastAsia="en-GB"/>
        </w:rPr>
        <w:t>l</w:t>
      </w:r>
      <w:r w:rsidRPr="00CE0885">
        <w:rPr>
          <w:spacing w:val="-3"/>
          <w:lang w:eastAsia="en-GB"/>
        </w:rPr>
        <w:t>l</w:t>
      </w:r>
      <w:r w:rsidRPr="00CE0885">
        <w:rPr>
          <w:spacing w:val="1"/>
          <w:lang w:eastAsia="en-GB"/>
        </w:rPr>
        <w:t>e</w:t>
      </w:r>
      <w:r w:rsidRPr="00CE0885">
        <w:rPr>
          <w:lang w:eastAsia="en-GB"/>
        </w:rPr>
        <w:t>c</w:t>
      </w:r>
      <w:r w:rsidRPr="00CE0885">
        <w:rPr>
          <w:spacing w:val="1"/>
          <w:lang w:eastAsia="en-GB"/>
        </w:rPr>
        <w:t>t</w:t>
      </w:r>
      <w:r w:rsidRPr="00CE0885">
        <w:rPr>
          <w:lang w:eastAsia="en-GB"/>
        </w:rPr>
        <w:t>i</w:t>
      </w:r>
      <w:r w:rsidRPr="00CE0885">
        <w:rPr>
          <w:spacing w:val="1"/>
          <w:lang w:eastAsia="en-GB"/>
        </w:rPr>
        <w:t>on</w:t>
      </w:r>
      <w:r w:rsidRPr="00CE0885">
        <w:rPr>
          <w:lang w:eastAsia="en-GB"/>
        </w:rPr>
        <w:t>,</w:t>
      </w:r>
      <w:r w:rsidRPr="00CE0885">
        <w:rPr>
          <w:spacing w:val="-12"/>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spacing w:val="1"/>
          <w:lang w:eastAsia="en-GB"/>
        </w:rPr>
        <w:t>a</w:t>
      </w:r>
      <w:r w:rsidRPr="00CE0885">
        <w:rPr>
          <w:spacing w:val="-1"/>
          <w:lang w:eastAsia="en-GB"/>
        </w:rPr>
        <w:t>g</w:t>
      </w:r>
      <w:r w:rsidRPr="00CE0885">
        <w:rPr>
          <w:spacing w:val="1"/>
          <w:lang w:eastAsia="en-GB"/>
        </w:rPr>
        <w:t>a</w:t>
      </w:r>
      <w:r w:rsidRPr="00CE0885">
        <w:rPr>
          <w:lang w:eastAsia="en-GB"/>
        </w:rPr>
        <w:t>i</w:t>
      </w:r>
      <w:r w:rsidRPr="00CE0885">
        <w:rPr>
          <w:spacing w:val="1"/>
          <w:lang w:eastAsia="en-GB"/>
        </w:rPr>
        <w:t>n</w:t>
      </w:r>
      <w:r w:rsidRPr="00CE0885">
        <w:rPr>
          <w:lang w:eastAsia="en-GB"/>
        </w:rPr>
        <w:t xml:space="preserve">st </w:t>
      </w:r>
      <w:r w:rsidRPr="00CE0885">
        <w:rPr>
          <w:spacing w:val="1"/>
          <w:lang w:eastAsia="en-GB"/>
        </w:rPr>
        <w:t>an</w:t>
      </w:r>
      <w:r w:rsidRPr="00CE0885">
        <w:rPr>
          <w:lang w:eastAsia="en-GB"/>
        </w:rPr>
        <w:t>y</w:t>
      </w:r>
      <w:r w:rsidRPr="00CE0885">
        <w:rPr>
          <w:spacing w:val="-6"/>
          <w:lang w:eastAsia="en-GB"/>
        </w:rPr>
        <w:t xml:space="preserve"> </w:t>
      </w:r>
      <w:r w:rsidRPr="00CE0885">
        <w:rPr>
          <w:lang w:eastAsia="en-GB"/>
        </w:rPr>
        <w:t>the Commissioner</w:t>
      </w:r>
      <w:r w:rsidRPr="00CE0885">
        <w:rPr>
          <w:spacing w:val="-10"/>
          <w:lang w:eastAsia="en-GB"/>
        </w:rPr>
        <w:t xml:space="preserve"> </w:t>
      </w:r>
      <w:r w:rsidRPr="00CE0885">
        <w:rPr>
          <w:spacing w:val="1"/>
          <w:lang w:eastAsia="en-GB"/>
        </w:rPr>
        <w:t>he</w:t>
      </w:r>
      <w:r w:rsidRPr="00CE0885">
        <w:rPr>
          <w:lang w:eastAsia="en-GB"/>
        </w:rPr>
        <w:t>ld</w:t>
      </w:r>
      <w:r w:rsidRPr="00CE0885">
        <w:rPr>
          <w:spacing w:val="-6"/>
          <w:lang w:eastAsia="en-GB"/>
        </w:rPr>
        <w:t xml:space="preserve"> </w:t>
      </w:r>
      <w:r w:rsidRPr="00CE0885">
        <w:rPr>
          <w:spacing w:val="1"/>
          <w:lang w:eastAsia="en-GB"/>
        </w:rPr>
        <w:t>a</w:t>
      </w:r>
      <w:r w:rsidRPr="00CE0885">
        <w:rPr>
          <w:lang w:eastAsia="en-GB"/>
        </w:rPr>
        <w:t>ss</w:t>
      </w:r>
      <w:r w:rsidRPr="00CE0885">
        <w:rPr>
          <w:spacing w:val="1"/>
          <w:lang w:eastAsia="en-GB"/>
        </w:rPr>
        <w:t>e</w:t>
      </w:r>
      <w:r w:rsidRPr="00CE0885">
        <w:rPr>
          <w:lang w:eastAsia="en-GB"/>
        </w:rPr>
        <w:t>t</w:t>
      </w:r>
      <w:r w:rsidRPr="00CE0885">
        <w:rPr>
          <w:spacing w:val="-5"/>
          <w:lang w:eastAsia="en-GB"/>
        </w:rPr>
        <w:t xml:space="preserve"> </w:t>
      </w:r>
      <w:r w:rsidRPr="00CE0885">
        <w:rPr>
          <w:lang w:eastAsia="en-GB"/>
        </w:rPr>
        <w:t>lis</w:t>
      </w:r>
      <w:r w:rsidRPr="00CE0885">
        <w:rPr>
          <w:spacing w:val="1"/>
          <w:lang w:eastAsia="en-GB"/>
        </w:rPr>
        <w:t>t</w:t>
      </w:r>
      <w:r w:rsidRPr="00CE0885">
        <w:rPr>
          <w:lang w:eastAsia="en-GB"/>
        </w:rPr>
        <w:t>,</w:t>
      </w:r>
      <w:r w:rsidRPr="00CE0885">
        <w:rPr>
          <w:spacing w:val="-5"/>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spacing w:val="-3"/>
          <w:lang w:eastAsia="en-GB"/>
        </w:rPr>
        <w:t>w</w:t>
      </w:r>
      <w:r w:rsidRPr="00CE0885">
        <w:rPr>
          <w:spacing w:val="1"/>
          <w:lang w:eastAsia="en-GB"/>
        </w:rPr>
        <w:t>he</w:t>
      </w:r>
      <w:r w:rsidRPr="00CE0885">
        <w:rPr>
          <w:spacing w:val="-1"/>
          <w:lang w:eastAsia="en-GB"/>
        </w:rPr>
        <w:t>r</w:t>
      </w:r>
      <w:r w:rsidRPr="00CE0885">
        <w:rPr>
          <w:lang w:eastAsia="en-GB"/>
        </w:rPr>
        <w:t>e</w:t>
      </w:r>
      <w:r w:rsidRPr="00CE0885">
        <w:rPr>
          <w:spacing w:val="-5"/>
          <w:lang w:eastAsia="en-GB"/>
        </w:rPr>
        <w:t xml:space="preserve"> </w:t>
      </w:r>
      <w:r w:rsidRPr="00CE0885">
        <w:rPr>
          <w:spacing w:val="-1"/>
          <w:lang w:eastAsia="en-GB"/>
        </w:rPr>
        <w:t>p</w:t>
      </w:r>
      <w:r w:rsidRPr="00CE0885">
        <w:rPr>
          <w:spacing w:val="1"/>
          <w:lang w:eastAsia="en-GB"/>
        </w:rPr>
        <w:t>o</w:t>
      </w:r>
      <w:r w:rsidRPr="00CE0885">
        <w:rPr>
          <w:lang w:eastAsia="en-GB"/>
        </w:rPr>
        <w:t>ssi</w:t>
      </w:r>
      <w:r w:rsidRPr="00CE0885">
        <w:rPr>
          <w:spacing w:val="1"/>
          <w:lang w:eastAsia="en-GB"/>
        </w:rPr>
        <w:t>b</w:t>
      </w:r>
      <w:r w:rsidRPr="00CE0885">
        <w:rPr>
          <w:lang w:eastAsia="en-GB"/>
        </w:rPr>
        <w:t>le</w:t>
      </w:r>
      <w:r w:rsidRPr="00CE0885">
        <w:rPr>
          <w:spacing w:val="-7"/>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o</w:t>
      </w:r>
      <w:r w:rsidRPr="00CE0885">
        <w:rPr>
          <w:lang w:eastAsia="en-GB"/>
        </w:rPr>
        <w:t>r s</w:t>
      </w:r>
      <w:r w:rsidRPr="00CE0885">
        <w:rPr>
          <w:spacing w:val="1"/>
          <w:lang w:eastAsia="en-GB"/>
        </w:rPr>
        <w:t>hou</w:t>
      </w:r>
      <w:r w:rsidRPr="00CE0885">
        <w:rPr>
          <w:lang w:eastAsia="en-GB"/>
        </w:rPr>
        <w:t>ld</w:t>
      </w:r>
      <w:r w:rsidRPr="00CE0885">
        <w:rPr>
          <w:spacing w:val="-8"/>
          <w:lang w:eastAsia="en-GB"/>
        </w:rPr>
        <w:t xml:space="preserve"> </w:t>
      </w:r>
      <w:r w:rsidRPr="00CE0885">
        <w:rPr>
          <w:spacing w:val="1"/>
          <w:lang w:eastAsia="en-GB"/>
        </w:rPr>
        <w:t>b</w:t>
      </w:r>
      <w:r w:rsidRPr="00CE0885">
        <w:rPr>
          <w:lang w:eastAsia="en-GB"/>
        </w:rPr>
        <w:t>e</w:t>
      </w:r>
      <w:r w:rsidRPr="00CE0885">
        <w:rPr>
          <w:spacing w:val="-4"/>
          <w:lang w:eastAsia="en-GB"/>
        </w:rPr>
        <w:t xml:space="preserve"> </w:t>
      </w:r>
      <w:r w:rsidRPr="00CE0885">
        <w:rPr>
          <w:spacing w:val="1"/>
          <w:lang w:eastAsia="en-GB"/>
        </w:rPr>
        <w:t>a</w:t>
      </w:r>
      <w:r w:rsidRPr="00CE0885">
        <w:rPr>
          <w:lang w:eastAsia="en-GB"/>
        </w:rPr>
        <w:t>sk</w:t>
      </w:r>
      <w:r w:rsidRPr="00CE0885">
        <w:rPr>
          <w:spacing w:val="-1"/>
          <w:lang w:eastAsia="en-GB"/>
        </w:rPr>
        <w:t>e</w:t>
      </w:r>
      <w:r w:rsidRPr="00CE0885">
        <w:rPr>
          <w:lang w:eastAsia="en-GB"/>
        </w:rPr>
        <w:t>d</w:t>
      </w:r>
      <w:r w:rsidRPr="00CE0885">
        <w:rPr>
          <w:spacing w:val="-4"/>
          <w:lang w:eastAsia="en-GB"/>
        </w:rPr>
        <w:t xml:space="preserve"> </w:t>
      </w:r>
      <w:r w:rsidRPr="00CE0885">
        <w:rPr>
          <w:spacing w:val="1"/>
          <w:lang w:eastAsia="en-GB"/>
        </w:rPr>
        <w:t>t</w:t>
      </w:r>
      <w:r w:rsidRPr="00CE0885">
        <w:rPr>
          <w:lang w:eastAsia="en-GB"/>
        </w:rPr>
        <w:t>o</w:t>
      </w:r>
      <w:r w:rsidRPr="00CE0885">
        <w:rPr>
          <w:spacing w:val="-3"/>
          <w:lang w:eastAsia="en-GB"/>
        </w:rPr>
        <w:t xml:space="preserve"> </w:t>
      </w:r>
      <w:r w:rsidRPr="00CE0885">
        <w:rPr>
          <w:lang w:eastAsia="en-GB"/>
        </w:rPr>
        <w:t>si</w:t>
      </w:r>
      <w:r w:rsidRPr="00CE0885">
        <w:rPr>
          <w:spacing w:val="-1"/>
          <w:lang w:eastAsia="en-GB"/>
        </w:rPr>
        <w:t>g</w:t>
      </w:r>
      <w:r w:rsidRPr="00CE0885">
        <w:rPr>
          <w:lang w:eastAsia="en-GB"/>
        </w:rPr>
        <w:t>n</w:t>
      </w:r>
      <w:r w:rsidRPr="00CE0885">
        <w:rPr>
          <w:spacing w:val="-2"/>
          <w:lang w:eastAsia="en-GB"/>
        </w:rPr>
        <w:t xml:space="preserve"> </w:t>
      </w:r>
      <w:r w:rsidRPr="00CE0885">
        <w:rPr>
          <w:spacing w:val="1"/>
          <w:lang w:eastAsia="en-GB"/>
        </w:rPr>
        <w:t>t</w:t>
      </w:r>
      <w:r w:rsidRPr="00CE0885">
        <w:rPr>
          <w:lang w:eastAsia="en-GB"/>
        </w:rPr>
        <w:t xml:space="preserve">o </w:t>
      </w:r>
      <w:r w:rsidRPr="00CE0885">
        <w:rPr>
          <w:spacing w:val="-2"/>
          <w:lang w:eastAsia="en-GB"/>
        </w:rPr>
        <w:t>c</w:t>
      </w:r>
      <w:r w:rsidRPr="00CE0885">
        <w:rPr>
          <w:spacing w:val="1"/>
          <w:lang w:eastAsia="en-GB"/>
        </w:rPr>
        <w:t>o</w:t>
      </w:r>
      <w:r w:rsidRPr="00CE0885">
        <w:rPr>
          <w:spacing w:val="-1"/>
          <w:lang w:eastAsia="en-GB"/>
        </w:rPr>
        <w:t>n</w:t>
      </w:r>
      <w:r w:rsidRPr="00CE0885">
        <w:rPr>
          <w:spacing w:val="3"/>
          <w:lang w:eastAsia="en-GB"/>
        </w:rPr>
        <w:t>f</w:t>
      </w:r>
      <w:r w:rsidRPr="00CE0885">
        <w:rPr>
          <w:lang w:eastAsia="en-GB"/>
        </w:rPr>
        <w:t>i</w:t>
      </w:r>
      <w:r w:rsidRPr="00CE0885">
        <w:rPr>
          <w:spacing w:val="-3"/>
          <w:lang w:eastAsia="en-GB"/>
        </w:rPr>
        <w:t>r</w:t>
      </w:r>
      <w:r w:rsidRPr="00CE0885">
        <w:rPr>
          <w:lang w:eastAsia="en-GB"/>
        </w:rPr>
        <w:t>m</w:t>
      </w:r>
      <w:r w:rsidRPr="00CE0885">
        <w:rPr>
          <w:spacing w:val="-6"/>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1"/>
          <w:lang w:eastAsia="en-GB"/>
        </w:rPr>
        <w:t>p</w:t>
      </w:r>
      <w:r w:rsidRPr="00CE0885">
        <w:rPr>
          <w:spacing w:val="-1"/>
          <w:lang w:eastAsia="en-GB"/>
        </w:rPr>
        <w:t>ro</w:t>
      </w:r>
      <w:r w:rsidRPr="00CE0885">
        <w:rPr>
          <w:spacing w:val="1"/>
          <w:lang w:eastAsia="en-GB"/>
        </w:rPr>
        <w:t>pe</w:t>
      </w:r>
      <w:r w:rsidRPr="00CE0885">
        <w:rPr>
          <w:spacing w:val="-3"/>
          <w:lang w:eastAsia="en-GB"/>
        </w:rPr>
        <w:t>r</w:t>
      </w:r>
      <w:r w:rsidRPr="00CE0885">
        <w:rPr>
          <w:spacing w:val="1"/>
          <w:lang w:eastAsia="en-GB"/>
        </w:rPr>
        <w:t>t</w:t>
      </w:r>
      <w:r w:rsidRPr="00CE0885">
        <w:rPr>
          <w:lang w:eastAsia="en-GB"/>
        </w:rPr>
        <w:t>y</w:t>
      </w:r>
      <w:r w:rsidRPr="00CE0885">
        <w:rPr>
          <w:spacing w:val="-11"/>
          <w:lang w:eastAsia="en-GB"/>
        </w:rPr>
        <w:t xml:space="preserve"> </w:t>
      </w:r>
      <w:r w:rsidRPr="00CE0885">
        <w:rPr>
          <w:spacing w:val="1"/>
          <w:lang w:eastAsia="en-GB"/>
        </w:rPr>
        <w:t>tha</w:t>
      </w:r>
      <w:r w:rsidRPr="00CE0885">
        <w:rPr>
          <w:lang w:eastAsia="en-GB"/>
        </w:rPr>
        <w:t>t</w:t>
      </w:r>
      <w:r w:rsidRPr="00CE0885">
        <w:rPr>
          <w:spacing w:val="-3"/>
          <w:lang w:eastAsia="en-GB"/>
        </w:rPr>
        <w:t xml:space="preserve"> </w:t>
      </w:r>
      <w:r w:rsidRPr="00CE0885">
        <w:rPr>
          <w:spacing w:val="-1"/>
          <w:lang w:eastAsia="en-GB"/>
        </w:rPr>
        <w:t>h</w:t>
      </w:r>
      <w:r w:rsidRPr="00CE0885">
        <w:rPr>
          <w:spacing w:val="1"/>
          <w:lang w:eastAsia="en-GB"/>
        </w:rPr>
        <w:t>a</w:t>
      </w:r>
      <w:r w:rsidRPr="00CE0885">
        <w:rPr>
          <w:lang w:eastAsia="en-GB"/>
        </w:rPr>
        <w:t>s</w:t>
      </w:r>
      <w:r w:rsidRPr="00CE0885">
        <w:rPr>
          <w:spacing w:val="-4"/>
          <w:lang w:eastAsia="en-GB"/>
        </w:rPr>
        <w:t xml:space="preserve"> </w:t>
      </w:r>
      <w:r w:rsidRPr="00CE0885">
        <w:rPr>
          <w:spacing w:val="-1"/>
          <w:lang w:eastAsia="en-GB"/>
        </w:rPr>
        <w:t>b</w:t>
      </w:r>
      <w:r w:rsidRPr="00CE0885">
        <w:rPr>
          <w:spacing w:val="1"/>
          <w:lang w:eastAsia="en-GB"/>
        </w:rPr>
        <w:t>ee</w:t>
      </w:r>
      <w:r w:rsidRPr="00CE0885">
        <w:rPr>
          <w:lang w:eastAsia="en-GB"/>
        </w:rPr>
        <w:t xml:space="preserve">n </w:t>
      </w:r>
      <w:r w:rsidRPr="00CE0885">
        <w:rPr>
          <w:spacing w:val="-1"/>
          <w:lang w:eastAsia="en-GB"/>
        </w:rPr>
        <w:t>r</w:t>
      </w:r>
      <w:r w:rsidRPr="00CE0885">
        <w:rPr>
          <w:spacing w:val="1"/>
          <w:lang w:eastAsia="en-GB"/>
        </w:rPr>
        <w:t>e</w:t>
      </w:r>
      <w:r w:rsidRPr="00CE0885">
        <w:rPr>
          <w:spacing w:val="2"/>
          <w:lang w:eastAsia="en-GB"/>
        </w:rPr>
        <w:t>m</w:t>
      </w:r>
      <w:r w:rsidRPr="00CE0885">
        <w:rPr>
          <w:spacing w:val="1"/>
          <w:lang w:eastAsia="en-GB"/>
        </w:rPr>
        <w:t>o</w:t>
      </w:r>
      <w:r w:rsidRPr="00CE0885">
        <w:rPr>
          <w:spacing w:val="-2"/>
          <w:lang w:eastAsia="en-GB"/>
        </w:rPr>
        <w:t>v</w:t>
      </w:r>
      <w:r w:rsidRPr="00CE0885">
        <w:rPr>
          <w:spacing w:val="1"/>
          <w:lang w:eastAsia="en-GB"/>
        </w:rPr>
        <w:t>ed</w:t>
      </w:r>
      <w:r w:rsidRPr="00CE0885">
        <w:rPr>
          <w:lang w:eastAsia="en-GB"/>
        </w:rPr>
        <w:t>,</w:t>
      </w:r>
      <w:r w:rsidRPr="00CE0885">
        <w:rPr>
          <w:spacing w:val="-11"/>
          <w:lang w:eastAsia="en-GB"/>
        </w:rPr>
        <w:t xml:space="preserve"> </w:t>
      </w:r>
      <w:r w:rsidRPr="00CE0885">
        <w:rPr>
          <w:spacing w:val="1"/>
          <w:lang w:eastAsia="en-GB"/>
        </w:rPr>
        <w:t>a</w:t>
      </w:r>
      <w:r w:rsidRPr="00CE0885">
        <w:rPr>
          <w:lang w:eastAsia="en-GB"/>
        </w:rPr>
        <w:t>cc</w:t>
      </w:r>
      <w:r w:rsidRPr="00CE0885">
        <w:rPr>
          <w:spacing w:val="1"/>
          <w:lang w:eastAsia="en-GB"/>
        </w:rPr>
        <w:t>e</w:t>
      </w:r>
      <w:r w:rsidRPr="00CE0885">
        <w:rPr>
          <w:spacing w:val="-1"/>
          <w:lang w:eastAsia="en-GB"/>
        </w:rPr>
        <w:t>p</w:t>
      </w:r>
      <w:r w:rsidRPr="00CE0885">
        <w:rPr>
          <w:spacing w:val="1"/>
          <w:lang w:eastAsia="en-GB"/>
        </w:rPr>
        <w:t>t</w:t>
      </w:r>
      <w:r w:rsidRPr="00CE0885">
        <w:rPr>
          <w:lang w:eastAsia="en-GB"/>
        </w:rPr>
        <w:t>i</w:t>
      </w:r>
      <w:r w:rsidRPr="00CE0885">
        <w:rPr>
          <w:spacing w:val="1"/>
          <w:lang w:eastAsia="en-GB"/>
        </w:rPr>
        <w:t>n</w:t>
      </w:r>
      <w:r w:rsidRPr="00CE0885">
        <w:rPr>
          <w:lang w:eastAsia="en-GB"/>
        </w:rPr>
        <w:t>g</w:t>
      </w:r>
      <w:r w:rsidRPr="00CE0885">
        <w:rPr>
          <w:spacing w:val="-11"/>
          <w:lang w:eastAsia="en-GB"/>
        </w:rPr>
        <w:t xml:space="preserve"> </w:t>
      </w:r>
      <w:r w:rsidRPr="00CE0885">
        <w:rPr>
          <w:spacing w:val="1"/>
          <w:lang w:eastAsia="en-GB"/>
        </w:rPr>
        <w:t>t</w:t>
      </w:r>
      <w:r w:rsidRPr="00CE0885">
        <w:rPr>
          <w:spacing w:val="-1"/>
          <w:lang w:eastAsia="en-GB"/>
        </w:rPr>
        <w:t>h</w:t>
      </w:r>
      <w:r w:rsidRPr="00CE0885">
        <w:rPr>
          <w:spacing w:val="1"/>
          <w:lang w:eastAsia="en-GB"/>
        </w:rPr>
        <w:t>a</w:t>
      </w:r>
      <w:r w:rsidRPr="00CE0885">
        <w:rPr>
          <w:lang w:eastAsia="en-GB"/>
        </w:rPr>
        <w:t>t</w:t>
      </w:r>
      <w:r w:rsidRPr="00CE0885">
        <w:rPr>
          <w:spacing w:val="-3"/>
          <w:lang w:eastAsia="en-GB"/>
        </w:rPr>
        <w:t xml:space="preserve"> </w:t>
      </w:r>
      <w:r w:rsidRPr="00CE0885">
        <w:rPr>
          <w:lang w:eastAsia="en-GB"/>
        </w:rPr>
        <w:t>it is</w:t>
      </w:r>
      <w:r w:rsidRPr="00CE0885">
        <w:rPr>
          <w:spacing w:val="-2"/>
          <w:lang w:eastAsia="en-GB"/>
        </w:rPr>
        <w:t xml:space="preserve"> </w:t>
      </w:r>
      <w:r w:rsidRPr="00CE0885">
        <w:rPr>
          <w:spacing w:val="1"/>
          <w:lang w:eastAsia="en-GB"/>
        </w:rPr>
        <w:t>o</w:t>
      </w:r>
      <w:r w:rsidRPr="00CE0885">
        <w:rPr>
          <w:spacing w:val="-3"/>
          <w:lang w:eastAsia="en-GB"/>
        </w:rPr>
        <w:t>w</w:t>
      </w:r>
      <w:r w:rsidRPr="00CE0885">
        <w:rPr>
          <w:spacing w:val="1"/>
          <w:lang w:eastAsia="en-GB"/>
        </w:rPr>
        <w:t>ne</w:t>
      </w:r>
      <w:r w:rsidRPr="00CE0885">
        <w:rPr>
          <w:lang w:eastAsia="en-GB"/>
        </w:rPr>
        <w:t>d</w:t>
      </w:r>
      <w:r w:rsidRPr="00CE0885">
        <w:rPr>
          <w:spacing w:val="-8"/>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spacing w:val="-3"/>
          <w:lang w:eastAsia="en-GB"/>
        </w:rPr>
        <w:t>N</w:t>
      </w:r>
      <w:r w:rsidRPr="00CE0885">
        <w:rPr>
          <w:lang w:eastAsia="en-GB"/>
        </w:rPr>
        <w:t>H</w:t>
      </w:r>
      <w:r w:rsidRPr="00CE0885">
        <w:rPr>
          <w:spacing w:val="1"/>
          <w:lang w:eastAsia="en-GB"/>
        </w:rPr>
        <w:t>S</w:t>
      </w:r>
      <w:r w:rsidRPr="00CE0885">
        <w:rPr>
          <w:lang w:eastAsia="en-GB"/>
        </w:rPr>
        <w:t>.</w:t>
      </w:r>
      <w:bookmarkEnd w:id="707"/>
    </w:p>
    <w:p w14:paraId="283AD12A" w14:textId="03ADC0EB" w:rsidR="00977693" w:rsidRPr="00CE0885" w:rsidRDefault="00977693" w:rsidP="006B781A">
      <w:pPr>
        <w:pStyle w:val="Heading3"/>
        <w:rPr>
          <w:lang w:eastAsia="en-GB"/>
        </w:rPr>
      </w:pPr>
      <w:bookmarkStart w:id="708" w:name="_Toc440981816"/>
      <w:r w:rsidRPr="00CE0885">
        <w:rPr>
          <w:lang w:eastAsia="en-GB"/>
        </w:rPr>
        <w:t>On</w:t>
      </w:r>
      <w:r w:rsidRPr="00CE0885">
        <w:rPr>
          <w:spacing w:val="-1"/>
          <w:lang w:eastAsia="en-GB"/>
        </w:rPr>
        <w:t xml:space="preserve"> </w:t>
      </w:r>
      <w:r w:rsidRPr="00CE0885">
        <w:rPr>
          <w:lang w:eastAsia="en-GB"/>
        </w:rPr>
        <w:t>te</w:t>
      </w:r>
      <w:r w:rsidRPr="00CE0885">
        <w:rPr>
          <w:spacing w:val="-3"/>
          <w:lang w:eastAsia="en-GB"/>
        </w:rPr>
        <w:t>r</w:t>
      </w:r>
      <w:r w:rsidRPr="00CE0885">
        <w:rPr>
          <w:spacing w:val="2"/>
          <w:lang w:eastAsia="en-GB"/>
        </w:rPr>
        <w:t>m</w:t>
      </w:r>
      <w:r w:rsidRPr="00CE0885">
        <w:rPr>
          <w:lang w:eastAsia="en-GB"/>
        </w:rPr>
        <w:t>in</w:t>
      </w:r>
      <w:r w:rsidRPr="00CE0885">
        <w:rPr>
          <w:spacing w:val="-1"/>
          <w:lang w:eastAsia="en-GB"/>
        </w:rPr>
        <w:t>a</w:t>
      </w:r>
      <w:r w:rsidRPr="00CE0885">
        <w:rPr>
          <w:lang w:eastAsia="en-GB"/>
        </w:rPr>
        <w:t>tion</w:t>
      </w:r>
      <w:r w:rsidRPr="00CE0885">
        <w:rPr>
          <w:spacing w:val="-13"/>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w:t>
      </w:r>
      <w:r w:rsidRPr="00CE0885">
        <w:rPr>
          <w:spacing w:val="-1"/>
          <w:lang w:eastAsia="en-GB"/>
        </w:rPr>
        <w:t xml:space="preserve"> </w:t>
      </w:r>
      <w:r w:rsidRPr="00CE0885">
        <w:rPr>
          <w:spacing w:val="-2"/>
          <w:lang w:eastAsia="en-GB"/>
        </w:rPr>
        <w:t>c</w:t>
      </w:r>
      <w:r w:rsidRPr="00CE0885">
        <w:rPr>
          <w:lang w:eastAsia="en-GB"/>
        </w:rPr>
        <w:t>ont</w:t>
      </w:r>
      <w:r w:rsidRPr="00CE0885">
        <w:rPr>
          <w:spacing w:val="-1"/>
          <w:lang w:eastAsia="en-GB"/>
        </w:rPr>
        <w:t>r</w:t>
      </w:r>
      <w:r w:rsidRPr="00CE0885">
        <w:rPr>
          <w:lang w:eastAsia="en-GB"/>
        </w:rPr>
        <w:t>act,</w:t>
      </w:r>
      <w:r w:rsidRPr="00CE0885">
        <w:rPr>
          <w:spacing w:val="-10"/>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Commissioner</w:t>
      </w:r>
      <w:r w:rsidRPr="00CE0885">
        <w:rPr>
          <w:lang w:eastAsia="en-GB"/>
        </w:rPr>
        <w:t xml:space="preserve"> </w:t>
      </w:r>
      <w:r w:rsidRPr="00CE0885">
        <w:rPr>
          <w:spacing w:val="-2"/>
          <w:lang w:eastAsia="en-GB"/>
        </w:rPr>
        <w:t>s</w:t>
      </w:r>
      <w:r w:rsidRPr="00CE0885">
        <w:rPr>
          <w:lang w:eastAsia="en-GB"/>
        </w:rPr>
        <w:t>hall</w:t>
      </w:r>
      <w:r w:rsidRPr="00CE0885">
        <w:rPr>
          <w:spacing w:val="-5"/>
          <w:lang w:eastAsia="en-GB"/>
        </w:rPr>
        <w:t xml:space="preserve"> </w:t>
      </w:r>
      <w:r w:rsidRPr="00CE0885">
        <w:rPr>
          <w:spacing w:val="-1"/>
          <w:lang w:eastAsia="en-GB"/>
        </w:rPr>
        <w:t>p</w:t>
      </w:r>
      <w:r w:rsidRPr="00CE0885">
        <w:rPr>
          <w:lang w:eastAsia="en-GB"/>
        </w:rPr>
        <w:t>e</w:t>
      </w:r>
      <w:r w:rsidRPr="00CE0885">
        <w:rPr>
          <w:spacing w:val="-1"/>
          <w:lang w:eastAsia="en-GB"/>
        </w:rPr>
        <w:t>r</w:t>
      </w:r>
      <w:r w:rsidRPr="00CE0885">
        <w:rPr>
          <w:lang w:eastAsia="en-GB"/>
        </w:rPr>
        <w:t>fo</w:t>
      </w:r>
      <w:r w:rsidRPr="00CE0885">
        <w:rPr>
          <w:spacing w:val="-1"/>
          <w:lang w:eastAsia="en-GB"/>
        </w:rPr>
        <w:t>r</w:t>
      </w:r>
      <w:r w:rsidRPr="00CE0885">
        <w:rPr>
          <w:lang w:eastAsia="en-GB"/>
        </w:rPr>
        <w:t>m</w:t>
      </w:r>
      <w:r w:rsidRPr="00CE0885">
        <w:rPr>
          <w:spacing w:val="-8"/>
          <w:lang w:eastAsia="en-GB"/>
        </w:rPr>
        <w:t xml:space="preserve"> </w:t>
      </w:r>
      <w:r w:rsidRPr="00CE0885">
        <w:rPr>
          <w:lang w:eastAsia="en-GB"/>
        </w:rPr>
        <w:t xml:space="preserve">a </w:t>
      </w:r>
      <w:r w:rsidRPr="00CE0885">
        <w:rPr>
          <w:spacing w:val="-1"/>
          <w:lang w:eastAsia="en-GB"/>
        </w:rPr>
        <w:t>r</w:t>
      </w:r>
      <w:r w:rsidRPr="00CE0885">
        <w:rPr>
          <w:lang w:eastAsia="en-GB"/>
        </w:rPr>
        <w:t>ec</w:t>
      </w:r>
      <w:r w:rsidRPr="00CE0885">
        <w:rPr>
          <w:spacing w:val="-1"/>
          <w:lang w:eastAsia="en-GB"/>
        </w:rPr>
        <w:t>o</w:t>
      </w:r>
      <w:r w:rsidRPr="00CE0885">
        <w:rPr>
          <w:lang w:eastAsia="en-GB"/>
        </w:rPr>
        <w:t xml:space="preserve">nciliation </w:t>
      </w:r>
      <w:r w:rsidRPr="00CE0885">
        <w:rPr>
          <w:spacing w:val="-1"/>
          <w:lang w:eastAsia="en-GB"/>
        </w:rPr>
        <w:t>o</w:t>
      </w:r>
      <w:r w:rsidRPr="00CE0885">
        <w:rPr>
          <w:lang w:eastAsia="en-GB"/>
        </w:rPr>
        <w:t>f t</w:t>
      </w:r>
      <w:r w:rsidRPr="00CE0885">
        <w:rPr>
          <w:spacing w:val="-1"/>
          <w:lang w:eastAsia="en-GB"/>
        </w:rPr>
        <w:t>h</w:t>
      </w:r>
      <w:r w:rsidRPr="00CE0885">
        <w:rPr>
          <w:lang w:eastAsia="en-GB"/>
        </w:rPr>
        <w:t>e</w:t>
      </w:r>
      <w:r w:rsidRPr="00CE0885">
        <w:rPr>
          <w:spacing w:val="-1"/>
          <w:lang w:eastAsia="en-GB"/>
        </w:rPr>
        <w:t xml:space="preserve"> p</w:t>
      </w:r>
      <w:r w:rsidRPr="00CE0885">
        <w:rPr>
          <w:lang w:eastAsia="en-GB"/>
        </w:rPr>
        <w:t>a</w:t>
      </w:r>
      <w:r w:rsidRPr="00CE0885">
        <w:rPr>
          <w:spacing w:val="-2"/>
          <w:lang w:eastAsia="en-GB"/>
        </w:rPr>
        <w:t>y</w:t>
      </w:r>
      <w:r w:rsidRPr="00CE0885">
        <w:rPr>
          <w:spacing w:val="2"/>
          <w:lang w:eastAsia="en-GB"/>
        </w:rPr>
        <w:t>m</w:t>
      </w:r>
      <w:r w:rsidRPr="00CE0885">
        <w:rPr>
          <w:lang w:eastAsia="en-GB"/>
        </w:rPr>
        <w:t>ents</w:t>
      </w:r>
      <w:r w:rsidRPr="00CE0885">
        <w:rPr>
          <w:spacing w:val="-12"/>
          <w:lang w:eastAsia="en-GB"/>
        </w:rPr>
        <w:t xml:space="preserve"> </w:t>
      </w:r>
      <w:r w:rsidRPr="00CE0885">
        <w:rPr>
          <w:spacing w:val="-1"/>
          <w:lang w:eastAsia="en-GB"/>
        </w:rPr>
        <w:t>m</w:t>
      </w:r>
      <w:r w:rsidRPr="00CE0885">
        <w:rPr>
          <w:lang w:eastAsia="en-GB"/>
        </w:rPr>
        <w:t>ade</w:t>
      </w:r>
      <w:r w:rsidRPr="00CE0885">
        <w:rPr>
          <w:spacing w:val="-9"/>
          <w:lang w:eastAsia="en-GB"/>
        </w:rPr>
        <w:t xml:space="preserve"> </w:t>
      </w:r>
      <w:r w:rsidRPr="00CE0885">
        <w:rPr>
          <w:lang w:eastAsia="en-GB"/>
        </w:rPr>
        <w:t>by</w:t>
      </w:r>
      <w:r w:rsidRPr="00CE0885">
        <w:rPr>
          <w:spacing w:val="-5"/>
          <w:lang w:eastAsia="en-GB"/>
        </w:rPr>
        <w:t xml:space="preserve"> </w:t>
      </w:r>
      <w:r w:rsidRPr="00CE0885">
        <w:rPr>
          <w:lang w:eastAsia="en-GB"/>
        </w:rPr>
        <w:t>the Commissioner</w:t>
      </w:r>
      <w:r w:rsidRPr="00CE0885">
        <w:rPr>
          <w:spacing w:val="-7"/>
          <w:lang w:eastAsia="en-GB"/>
        </w:rPr>
        <w:t xml:space="preserve"> </w:t>
      </w:r>
      <w:r w:rsidRPr="00CE0885">
        <w:rPr>
          <w:lang w:eastAsia="en-GB"/>
        </w:rPr>
        <w:t>to</w:t>
      </w:r>
      <w:r w:rsidRPr="00CE0885">
        <w:rPr>
          <w:spacing w:val="-3"/>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lang w:eastAsia="en-GB"/>
        </w:rPr>
        <w:t>cont</w:t>
      </w:r>
      <w:r w:rsidRPr="00CE0885">
        <w:rPr>
          <w:spacing w:val="-1"/>
          <w:lang w:eastAsia="en-GB"/>
        </w:rPr>
        <w:t>r</w:t>
      </w:r>
      <w:r w:rsidRPr="00CE0885">
        <w:rPr>
          <w:lang w:eastAsia="en-GB"/>
        </w:rPr>
        <w:t>ac</w:t>
      </w:r>
      <w:r w:rsidRPr="00CE0885">
        <w:rPr>
          <w:spacing w:val="-2"/>
          <w:lang w:eastAsia="en-GB"/>
        </w:rPr>
        <w:t>t</w:t>
      </w:r>
      <w:r w:rsidRPr="00CE0885">
        <w:rPr>
          <w:lang w:eastAsia="en-GB"/>
        </w:rPr>
        <w:t>or</w:t>
      </w:r>
      <w:r w:rsidRPr="00CE0885">
        <w:rPr>
          <w:spacing w:val="-11"/>
          <w:lang w:eastAsia="en-GB"/>
        </w:rPr>
        <w:t xml:space="preserve"> </w:t>
      </w:r>
      <w:r w:rsidRPr="00CE0885">
        <w:rPr>
          <w:spacing w:val="-1"/>
          <w:lang w:eastAsia="en-GB"/>
        </w:rPr>
        <w:t>a</w:t>
      </w:r>
      <w:r w:rsidRPr="00CE0885">
        <w:rPr>
          <w:lang w:eastAsia="en-GB"/>
        </w:rPr>
        <w:t>nd</w:t>
      </w:r>
      <w:r w:rsidRPr="00CE0885">
        <w:rPr>
          <w:spacing w:val="-2"/>
          <w:lang w:eastAsia="en-GB"/>
        </w:rPr>
        <w:t xml:space="preserve"> t</w:t>
      </w:r>
      <w:r w:rsidRPr="00CE0885">
        <w:rPr>
          <w:lang w:eastAsia="en-GB"/>
        </w:rPr>
        <w:t xml:space="preserve">he </w:t>
      </w:r>
      <w:r w:rsidRPr="00CE0885">
        <w:rPr>
          <w:spacing w:val="-2"/>
          <w:lang w:eastAsia="en-GB"/>
        </w:rPr>
        <w:t>v</w:t>
      </w:r>
      <w:r w:rsidRPr="00CE0885">
        <w:rPr>
          <w:lang w:eastAsia="en-GB"/>
        </w:rPr>
        <w:t>alue</w:t>
      </w:r>
      <w:r w:rsidRPr="00CE0885">
        <w:rPr>
          <w:spacing w:val="-4"/>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w:t>
      </w:r>
      <w:r w:rsidRPr="00CE0885">
        <w:rPr>
          <w:spacing w:val="-1"/>
          <w:lang w:eastAsia="en-GB"/>
        </w:rPr>
        <w:t xml:space="preserve"> </w:t>
      </w:r>
      <w:r w:rsidRPr="00CE0885">
        <w:rPr>
          <w:spacing w:val="-3"/>
          <w:lang w:eastAsia="en-GB"/>
        </w:rPr>
        <w:t>w</w:t>
      </w:r>
      <w:r w:rsidRPr="00CE0885">
        <w:rPr>
          <w:lang w:eastAsia="en-GB"/>
        </w:rPr>
        <w:t>o</w:t>
      </w:r>
      <w:r w:rsidRPr="00CE0885">
        <w:rPr>
          <w:spacing w:val="-1"/>
          <w:lang w:eastAsia="en-GB"/>
        </w:rPr>
        <w:t>r</w:t>
      </w:r>
      <w:r w:rsidRPr="00CE0885">
        <w:rPr>
          <w:lang w:eastAsia="en-GB"/>
        </w:rPr>
        <w:t>k</w:t>
      </w:r>
      <w:r w:rsidRPr="00CE0885">
        <w:rPr>
          <w:spacing w:val="-5"/>
          <w:lang w:eastAsia="en-GB"/>
        </w:rPr>
        <w:t xml:space="preserve"> </w:t>
      </w:r>
      <w:r w:rsidRPr="00CE0885">
        <w:rPr>
          <w:lang w:eastAsia="en-GB"/>
        </w:rPr>
        <w:t>un</w:t>
      </w:r>
      <w:r w:rsidRPr="00CE0885">
        <w:rPr>
          <w:spacing w:val="-1"/>
          <w:lang w:eastAsia="en-GB"/>
        </w:rPr>
        <w:t>der</w:t>
      </w:r>
      <w:r w:rsidRPr="00CE0885">
        <w:rPr>
          <w:lang w:eastAsia="en-GB"/>
        </w:rPr>
        <w:t>taken</w:t>
      </w:r>
      <w:r w:rsidRPr="00CE0885">
        <w:rPr>
          <w:spacing w:val="-13"/>
          <w:lang w:eastAsia="en-GB"/>
        </w:rPr>
        <w:t xml:space="preserve"> </w:t>
      </w:r>
      <w:r w:rsidRPr="00CE0885">
        <w:rPr>
          <w:lang w:eastAsia="en-GB"/>
        </w:rPr>
        <w:t>by</w:t>
      </w:r>
      <w:r w:rsidRPr="00CE0885">
        <w:rPr>
          <w:spacing w:val="-5"/>
          <w:lang w:eastAsia="en-GB"/>
        </w:rPr>
        <w:t xml:space="preserve"> </w:t>
      </w:r>
      <w:r w:rsidRPr="00CE0885">
        <w:rPr>
          <w:lang w:eastAsia="en-GB"/>
        </w:rPr>
        <w:t>the</w:t>
      </w:r>
      <w:r w:rsidRPr="00CE0885">
        <w:rPr>
          <w:spacing w:val="-1"/>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w:t>
      </w:r>
      <w:r w:rsidRPr="00CE0885">
        <w:rPr>
          <w:spacing w:val="-2"/>
          <w:lang w:eastAsia="en-GB"/>
        </w:rPr>
        <w:t>t</w:t>
      </w:r>
      <w:r w:rsidRPr="00CE0885">
        <w:rPr>
          <w:spacing w:val="-1"/>
          <w:lang w:eastAsia="en-GB"/>
        </w:rPr>
        <w:t>o</w:t>
      </w:r>
      <w:r w:rsidRPr="00CE0885">
        <w:rPr>
          <w:lang w:eastAsia="en-GB"/>
        </w:rPr>
        <w:t>r</w:t>
      </w:r>
      <w:r w:rsidRPr="00CE0885">
        <w:rPr>
          <w:spacing w:val="-11"/>
          <w:lang w:eastAsia="en-GB"/>
        </w:rPr>
        <w:t xml:space="preserve"> </w:t>
      </w:r>
      <w:r w:rsidRPr="00CE0885">
        <w:rPr>
          <w:lang w:eastAsia="en-GB"/>
        </w:rPr>
        <w:t>under</w:t>
      </w:r>
      <w:r w:rsidRPr="00CE0885">
        <w:rPr>
          <w:spacing w:val="-9"/>
          <w:lang w:eastAsia="en-GB"/>
        </w:rPr>
        <w:t xml:space="preserve"> </w:t>
      </w:r>
      <w:r w:rsidRPr="00CE0885">
        <w:rPr>
          <w:lang w:eastAsia="en-GB"/>
        </w:rPr>
        <w:t>the</w:t>
      </w:r>
      <w:r w:rsidRPr="00CE0885">
        <w:rPr>
          <w:spacing w:val="-4"/>
          <w:lang w:eastAsia="en-GB"/>
        </w:rPr>
        <w:t xml:space="preserve"> </w:t>
      </w:r>
      <w:r w:rsidRPr="00CE0885">
        <w:rPr>
          <w:lang w:eastAsia="en-GB"/>
        </w:rPr>
        <w:t>co</w:t>
      </w:r>
      <w:r w:rsidRPr="00CE0885">
        <w:rPr>
          <w:spacing w:val="-1"/>
          <w:lang w:eastAsia="en-GB"/>
        </w:rPr>
        <w:t>n</w:t>
      </w:r>
      <w:r w:rsidRPr="00CE0885">
        <w:rPr>
          <w:lang w:eastAsia="en-GB"/>
        </w:rPr>
        <w:t>t</w:t>
      </w:r>
      <w:r w:rsidRPr="00CE0885">
        <w:rPr>
          <w:spacing w:val="-1"/>
          <w:lang w:eastAsia="en-GB"/>
        </w:rPr>
        <w:t>r</w:t>
      </w:r>
      <w:r w:rsidRPr="00CE0885">
        <w:rPr>
          <w:lang w:eastAsia="en-GB"/>
        </w:rPr>
        <w:t xml:space="preserve">act. </w:t>
      </w:r>
      <w:r w:rsidRPr="00CE0885">
        <w:rPr>
          <w:spacing w:val="2"/>
          <w:lang w:eastAsia="en-GB"/>
        </w:rPr>
        <w:t>T</w:t>
      </w:r>
      <w:r w:rsidRPr="00CE0885">
        <w:rPr>
          <w:spacing w:val="-1"/>
          <w:lang w:eastAsia="en-GB"/>
        </w:rPr>
        <w:t>h</w:t>
      </w:r>
      <w:r w:rsidRPr="00CE0885">
        <w:rPr>
          <w:lang w:eastAsia="en-GB"/>
        </w:rPr>
        <w:t>e</w:t>
      </w:r>
      <w:r w:rsidRPr="00CE0885">
        <w:rPr>
          <w:spacing w:val="-2"/>
          <w:lang w:eastAsia="en-GB"/>
        </w:rPr>
        <w:t xml:space="preserve"> Commissioner</w:t>
      </w:r>
      <w:r w:rsidRPr="00CE0885">
        <w:rPr>
          <w:spacing w:val="-3"/>
          <w:lang w:eastAsia="en-GB"/>
        </w:rPr>
        <w:t xml:space="preserve"> </w:t>
      </w:r>
      <w:r w:rsidRPr="00CE0885">
        <w:rPr>
          <w:spacing w:val="2"/>
          <w:lang w:eastAsia="en-GB"/>
        </w:rPr>
        <w:t>m</w:t>
      </w:r>
      <w:r w:rsidRPr="00CE0885">
        <w:rPr>
          <w:lang w:eastAsia="en-GB"/>
        </w:rPr>
        <w:t>u</w:t>
      </w:r>
      <w:r w:rsidRPr="00CE0885">
        <w:rPr>
          <w:spacing w:val="-2"/>
          <w:lang w:eastAsia="en-GB"/>
        </w:rPr>
        <w:t>s</w:t>
      </w:r>
      <w:r w:rsidRPr="00CE0885">
        <w:rPr>
          <w:lang w:eastAsia="en-GB"/>
        </w:rPr>
        <w:t>t</w:t>
      </w:r>
      <w:r w:rsidRPr="00CE0885">
        <w:rPr>
          <w:spacing w:val="-4"/>
          <w:lang w:eastAsia="en-GB"/>
        </w:rPr>
        <w:t xml:space="preserve"> </w:t>
      </w:r>
      <w:r w:rsidRPr="00CE0885">
        <w:rPr>
          <w:lang w:eastAsia="en-GB"/>
        </w:rPr>
        <w:t>t</w:t>
      </w:r>
      <w:r w:rsidRPr="00CE0885">
        <w:rPr>
          <w:spacing w:val="-1"/>
          <w:lang w:eastAsia="en-GB"/>
        </w:rPr>
        <w:t>h</w:t>
      </w:r>
      <w:r w:rsidRPr="00CE0885">
        <w:rPr>
          <w:lang w:eastAsia="en-GB"/>
        </w:rPr>
        <w:t>en</w:t>
      </w:r>
      <w:r w:rsidRPr="00CE0885">
        <w:rPr>
          <w:spacing w:val="-3"/>
          <w:lang w:eastAsia="en-GB"/>
        </w:rPr>
        <w:t xml:space="preserve"> </w:t>
      </w:r>
      <w:r w:rsidRPr="00CE0885">
        <w:rPr>
          <w:spacing w:val="-2"/>
          <w:lang w:eastAsia="en-GB"/>
        </w:rPr>
        <w:t>s</w:t>
      </w:r>
      <w:r w:rsidRPr="00CE0885">
        <w:rPr>
          <w:lang w:eastAsia="en-GB"/>
        </w:rPr>
        <w:t>e</w:t>
      </w:r>
      <w:r w:rsidRPr="00CE0885">
        <w:rPr>
          <w:spacing w:val="-1"/>
          <w:lang w:eastAsia="en-GB"/>
        </w:rPr>
        <w:t>r</w:t>
      </w:r>
      <w:r w:rsidRPr="00CE0885">
        <w:rPr>
          <w:lang w:eastAsia="en-GB"/>
        </w:rPr>
        <w:t>ve</w:t>
      </w:r>
      <w:r w:rsidRPr="00CE0885">
        <w:rPr>
          <w:spacing w:val="-4"/>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actor</w:t>
      </w:r>
      <w:r w:rsidRPr="00CE0885">
        <w:rPr>
          <w:spacing w:val="-11"/>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w</w:t>
      </w:r>
      <w:r w:rsidRPr="00CE0885">
        <w:rPr>
          <w:spacing w:val="-1"/>
          <w:lang w:eastAsia="en-GB"/>
        </w:rPr>
        <w:t>r</w:t>
      </w:r>
      <w:r w:rsidRPr="00CE0885">
        <w:rPr>
          <w:lang w:eastAsia="en-GB"/>
        </w:rPr>
        <w:t>itten</w:t>
      </w:r>
      <w:r w:rsidRPr="00CE0885">
        <w:rPr>
          <w:spacing w:val="-5"/>
          <w:lang w:eastAsia="en-GB"/>
        </w:rPr>
        <w:t xml:space="preserve"> </w:t>
      </w:r>
      <w:r w:rsidRPr="00CE0885">
        <w:rPr>
          <w:spacing w:val="-1"/>
          <w:lang w:eastAsia="en-GB"/>
        </w:rPr>
        <w:t>d</w:t>
      </w:r>
      <w:r w:rsidRPr="00CE0885">
        <w:rPr>
          <w:lang w:eastAsia="en-GB"/>
        </w:rPr>
        <w:t>etails</w:t>
      </w:r>
      <w:r w:rsidRPr="00CE0885">
        <w:rPr>
          <w:spacing w:val="-7"/>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w:t>
      </w:r>
      <w:r w:rsidRPr="00CE0885">
        <w:rPr>
          <w:spacing w:val="-1"/>
          <w:lang w:eastAsia="en-GB"/>
        </w:rPr>
        <w:t>h</w:t>
      </w:r>
      <w:r w:rsidRPr="00CE0885">
        <w:rPr>
          <w:lang w:eastAsia="en-GB"/>
        </w:rPr>
        <w:t xml:space="preserve">e </w:t>
      </w:r>
      <w:r w:rsidRPr="00CE0885">
        <w:rPr>
          <w:spacing w:val="-1"/>
          <w:lang w:eastAsia="en-GB"/>
        </w:rPr>
        <w:t>r</w:t>
      </w:r>
      <w:r w:rsidRPr="00CE0885">
        <w:rPr>
          <w:lang w:eastAsia="en-GB"/>
        </w:rPr>
        <w:t>econciliation</w:t>
      </w:r>
      <w:r w:rsidRPr="00CE0885">
        <w:rPr>
          <w:spacing w:val="-15"/>
          <w:lang w:eastAsia="en-GB"/>
        </w:rPr>
        <w:t xml:space="preserve"> </w:t>
      </w:r>
      <w:r w:rsidRPr="00CE0885">
        <w:rPr>
          <w:lang w:eastAsia="en-GB"/>
        </w:rPr>
        <w:t>as</w:t>
      </w:r>
      <w:r w:rsidRPr="00CE0885">
        <w:rPr>
          <w:spacing w:val="-3"/>
          <w:lang w:eastAsia="en-GB"/>
        </w:rPr>
        <w:t xml:space="preserve"> </w:t>
      </w:r>
      <w:r w:rsidRPr="00CE0885">
        <w:rPr>
          <w:lang w:eastAsia="en-GB"/>
        </w:rPr>
        <w:t>s</w:t>
      </w:r>
      <w:r w:rsidRPr="00CE0885">
        <w:rPr>
          <w:spacing w:val="-1"/>
          <w:lang w:eastAsia="en-GB"/>
        </w:rPr>
        <w:t>o</w:t>
      </w:r>
      <w:r w:rsidRPr="00CE0885">
        <w:rPr>
          <w:lang w:eastAsia="en-GB"/>
        </w:rPr>
        <w:t>on</w:t>
      </w:r>
      <w:r w:rsidRPr="00CE0885">
        <w:rPr>
          <w:spacing w:val="-6"/>
          <w:lang w:eastAsia="en-GB"/>
        </w:rPr>
        <w:t xml:space="preserve"> </w:t>
      </w:r>
      <w:r w:rsidRPr="00CE0885">
        <w:rPr>
          <w:lang w:eastAsia="en-GB"/>
        </w:rPr>
        <w:t>as</w:t>
      </w:r>
      <w:r w:rsidRPr="00CE0885">
        <w:rPr>
          <w:spacing w:val="-3"/>
          <w:lang w:eastAsia="en-GB"/>
        </w:rPr>
        <w:t xml:space="preserve"> </w:t>
      </w:r>
      <w:r w:rsidRPr="00CE0885">
        <w:rPr>
          <w:spacing w:val="-1"/>
          <w:lang w:eastAsia="en-GB"/>
        </w:rPr>
        <w:t>r</w:t>
      </w:r>
      <w:r w:rsidRPr="00CE0885">
        <w:rPr>
          <w:lang w:eastAsia="en-GB"/>
        </w:rPr>
        <w:t>eas</w:t>
      </w:r>
      <w:r w:rsidRPr="00CE0885">
        <w:rPr>
          <w:spacing w:val="-1"/>
          <w:lang w:eastAsia="en-GB"/>
        </w:rPr>
        <w:t>o</w:t>
      </w:r>
      <w:r w:rsidRPr="00CE0885">
        <w:rPr>
          <w:lang w:eastAsia="en-GB"/>
        </w:rPr>
        <w:t>n</w:t>
      </w:r>
      <w:r w:rsidRPr="00CE0885">
        <w:rPr>
          <w:spacing w:val="-1"/>
          <w:lang w:eastAsia="en-GB"/>
        </w:rPr>
        <w:t>a</w:t>
      </w:r>
      <w:r w:rsidRPr="00CE0885">
        <w:rPr>
          <w:lang w:eastAsia="en-GB"/>
        </w:rPr>
        <w:t>bly</w:t>
      </w:r>
      <w:r w:rsidRPr="00CE0885">
        <w:rPr>
          <w:spacing w:val="-14"/>
          <w:lang w:eastAsia="en-GB"/>
        </w:rPr>
        <w:t xml:space="preserve"> </w:t>
      </w:r>
      <w:r w:rsidRPr="00CE0885">
        <w:rPr>
          <w:lang w:eastAsia="en-GB"/>
        </w:rPr>
        <w:t>p</w:t>
      </w:r>
      <w:r w:rsidRPr="00CE0885">
        <w:rPr>
          <w:spacing w:val="-1"/>
          <w:lang w:eastAsia="en-GB"/>
        </w:rPr>
        <w:t>r</w:t>
      </w:r>
      <w:r w:rsidRPr="00CE0885">
        <w:rPr>
          <w:lang w:eastAsia="en-GB"/>
        </w:rPr>
        <w:t>acticable,</w:t>
      </w:r>
      <w:r w:rsidRPr="00CE0885">
        <w:rPr>
          <w:spacing w:val="-11"/>
          <w:lang w:eastAsia="en-GB"/>
        </w:rPr>
        <w:t xml:space="preserve"> </w:t>
      </w:r>
      <w:r w:rsidRPr="00CE0885">
        <w:rPr>
          <w:spacing w:val="-1"/>
          <w:lang w:eastAsia="en-GB"/>
        </w:rPr>
        <w:t>a</w:t>
      </w:r>
      <w:r w:rsidRPr="00CE0885">
        <w:rPr>
          <w:lang w:eastAsia="en-GB"/>
        </w:rPr>
        <w:t>nd</w:t>
      </w:r>
      <w:r w:rsidRPr="00CE0885">
        <w:rPr>
          <w:spacing w:val="-2"/>
          <w:lang w:eastAsia="en-GB"/>
        </w:rPr>
        <w:t xml:space="preserve"> </w:t>
      </w:r>
      <w:r w:rsidRPr="00CE0885">
        <w:rPr>
          <w:lang w:eastAsia="en-GB"/>
        </w:rPr>
        <w:t>in</w:t>
      </w:r>
      <w:r w:rsidRPr="00CE0885">
        <w:rPr>
          <w:spacing w:val="-3"/>
          <w:lang w:eastAsia="en-GB"/>
        </w:rPr>
        <w:t xml:space="preserve"> </w:t>
      </w:r>
      <w:r w:rsidRPr="00CE0885">
        <w:rPr>
          <w:lang w:eastAsia="en-GB"/>
        </w:rPr>
        <w:t>any</w:t>
      </w:r>
      <w:r w:rsidRPr="00CE0885">
        <w:rPr>
          <w:spacing w:val="-6"/>
          <w:lang w:eastAsia="en-GB"/>
        </w:rPr>
        <w:t xml:space="preserve"> </w:t>
      </w:r>
      <w:r w:rsidRPr="00CE0885">
        <w:rPr>
          <w:lang w:eastAsia="en-GB"/>
        </w:rPr>
        <w:t>e</w:t>
      </w:r>
      <w:r w:rsidRPr="00CE0885">
        <w:rPr>
          <w:spacing w:val="-2"/>
          <w:lang w:eastAsia="en-GB"/>
        </w:rPr>
        <w:t>v</w:t>
      </w:r>
      <w:r w:rsidRPr="00CE0885">
        <w:rPr>
          <w:lang w:eastAsia="en-GB"/>
        </w:rPr>
        <w:t>ent no</w:t>
      </w:r>
      <w:r w:rsidRPr="00CE0885">
        <w:rPr>
          <w:spacing w:val="-1"/>
          <w:lang w:eastAsia="en-GB"/>
        </w:rPr>
        <w:t xml:space="preserve"> </w:t>
      </w:r>
      <w:r w:rsidRPr="00CE0885">
        <w:rPr>
          <w:lang w:eastAsia="en-GB"/>
        </w:rPr>
        <w:t>la</w:t>
      </w:r>
      <w:r w:rsidRPr="00CE0885">
        <w:rPr>
          <w:spacing w:val="-2"/>
          <w:lang w:eastAsia="en-GB"/>
        </w:rPr>
        <w:t>t</w:t>
      </w:r>
      <w:r w:rsidRPr="00CE0885">
        <w:rPr>
          <w:lang w:eastAsia="en-GB"/>
        </w:rPr>
        <w:t>er</w:t>
      </w:r>
      <w:r w:rsidRPr="00CE0885">
        <w:rPr>
          <w:spacing w:val="-5"/>
          <w:lang w:eastAsia="en-GB"/>
        </w:rPr>
        <w:t xml:space="preserve"> </w:t>
      </w:r>
      <w:r w:rsidRPr="00CE0885">
        <w:rPr>
          <w:lang w:eastAsia="en-GB"/>
        </w:rPr>
        <w:t>t</w:t>
      </w:r>
      <w:r w:rsidRPr="00CE0885">
        <w:rPr>
          <w:spacing w:val="-1"/>
          <w:lang w:eastAsia="en-GB"/>
        </w:rPr>
        <w:t>h</w:t>
      </w:r>
      <w:r w:rsidRPr="00CE0885">
        <w:rPr>
          <w:lang w:eastAsia="en-GB"/>
        </w:rPr>
        <w:t>an</w:t>
      </w:r>
      <w:r w:rsidRPr="00CE0885">
        <w:rPr>
          <w:spacing w:val="-6"/>
          <w:lang w:eastAsia="en-GB"/>
        </w:rPr>
        <w:t xml:space="preserve"> </w:t>
      </w:r>
      <w:r w:rsidRPr="00CE0885">
        <w:rPr>
          <w:lang w:eastAsia="en-GB"/>
        </w:rPr>
        <w:t>28</w:t>
      </w:r>
      <w:r w:rsidRPr="00CE0885">
        <w:rPr>
          <w:spacing w:val="-4"/>
          <w:lang w:eastAsia="en-GB"/>
        </w:rPr>
        <w:t xml:space="preserve"> </w:t>
      </w:r>
      <w:r w:rsidRPr="00CE0885">
        <w:rPr>
          <w:lang w:eastAsia="en-GB"/>
        </w:rPr>
        <w:t>da</w:t>
      </w:r>
      <w:r w:rsidRPr="00CE0885">
        <w:rPr>
          <w:spacing w:val="-2"/>
          <w:lang w:eastAsia="en-GB"/>
        </w:rPr>
        <w:t>y</w:t>
      </w:r>
      <w:r w:rsidRPr="00CE0885">
        <w:rPr>
          <w:lang w:eastAsia="en-GB"/>
        </w:rPr>
        <w:t>s</w:t>
      </w:r>
      <w:r w:rsidRPr="00CE0885">
        <w:rPr>
          <w:spacing w:val="-5"/>
          <w:lang w:eastAsia="en-GB"/>
        </w:rPr>
        <w:t xml:space="preserve"> </w:t>
      </w:r>
      <w:r w:rsidRPr="00CE0885">
        <w:rPr>
          <w:spacing w:val="-1"/>
          <w:lang w:eastAsia="en-GB"/>
        </w:rPr>
        <w:t>a</w:t>
      </w:r>
      <w:r w:rsidRPr="00CE0885">
        <w:rPr>
          <w:spacing w:val="3"/>
          <w:lang w:eastAsia="en-GB"/>
        </w:rPr>
        <w:t>f</w:t>
      </w:r>
      <w:r w:rsidRPr="00CE0885">
        <w:rPr>
          <w:spacing w:val="-2"/>
          <w:lang w:eastAsia="en-GB"/>
        </w:rPr>
        <w:t>t</w:t>
      </w:r>
      <w:r w:rsidRPr="00CE0885">
        <w:rPr>
          <w:lang w:eastAsia="en-GB"/>
        </w:rPr>
        <w:t>er</w:t>
      </w:r>
      <w:r w:rsidRPr="00CE0885">
        <w:rPr>
          <w:spacing w:val="-5"/>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t</w:t>
      </w:r>
      <w:r w:rsidRPr="00CE0885">
        <w:rPr>
          <w:lang w:eastAsia="en-GB"/>
        </w:rPr>
        <w:t>e</w:t>
      </w:r>
      <w:r w:rsidRPr="00CE0885">
        <w:rPr>
          <w:spacing w:val="-1"/>
          <w:lang w:eastAsia="en-GB"/>
        </w:rPr>
        <w:t>r</w:t>
      </w:r>
      <w:r w:rsidRPr="00CE0885">
        <w:rPr>
          <w:spacing w:val="2"/>
          <w:lang w:eastAsia="en-GB"/>
        </w:rPr>
        <w:t>m</w:t>
      </w:r>
      <w:r w:rsidRPr="00CE0885">
        <w:rPr>
          <w:lang w:eastAsia="en-GB"/>
        </w:rPr>
        <w:t>in</w:t>
      </w:r>
      <w:r w:rsidRPr="00CE0885">
        <w:rPr>
          <w:spacing w:val="-1"/>
          <w:lang w:eastAsia="en-GB"/>
        </w:rPr>
        <w:t>a</w:t>
      </w:r>
      <w:r w:rsidRPr="00CE0885">
        <w:rPr>
          <w:lang w:eastAsia="en-GB"/>
        </w:rPr>
        <w:t>tion</w:t>
      </w:r>
      <w:r w:rsidRPr="00CE0885">
        <w:rPr>
          <w:spacing w:val="-13"/>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w:t>
      </w:r>
      <w:r w:rsidRPr="00CE0885">
        <w:rPr>
          <w:spacing w:val="-1"/>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act.</w:t>
      </w:r>
      <w:bookmarkEnd w:id="708"/>
    </w:p>
    <w:p w14:paraId="737702F5" w14:textId="66FA10EF" w:rsidR="00977693" w:rsidRPr="00CE0885" w:rsidRDefault="00977693" w:rsidP="006B781A">
      <w:pPr>
        <w:pStyle w:val="Heading3"/>
        <w:rPr>
          <w:lang w:eastAsia="en-GB"/>
        </w:rPr>
      </w:pPr>
      <w:bookmarkStart w:id="709" w:name="_Toc440981817"/>
      <w:r w:rsidRPr="00CE0885">
        <w:rPr>
          <w:lang w:eastAsia="en-GB"/>
        </w:rPr>
        <w:t>Each</w:t>
      </w:r>
      <w:r w:rsidRPr="00CE0885">
        <w:rPr>
          <w:spacing w:val="-6"/>
          <w:lang w:eastAsia="en-GB"/>
        </w:rPr>
        <w:t xml:space="preserve"> </w:t>
      </w:r>
      <w:r w:rsidRPr="00CE0885">
        <w:rPr>
          <w:lang w:eastAsia="en-GB"/>
        </w:rPr>
        <w:t>pa</w:t>
      </w:r>
      <w:r w:rsidRPr="00CE0885">
        <w:rPr>
          <w:spacing w:val="-1"/>
          <w:lang w:eastAsia="en-GB"/>
        </w:rPr>
        <w:t>r</w:t>
      </w:r>
      <w:r w:rsidRPr="00CE0885">
        <w:rPr>
          <w:lang w:eastAsia="en-GB"/>
        </w:rPr>
        <w:t>ty</w:t>
      </w:r>
      <w:r w:rsidRPr="00CE0885">
        <w:rPr>
          <w:spacing w:val="-7"/>
          <w:lang w:eastAsia="en-GB"/>
        </w:rPr>
        <w:t xml:space="preserve"> </w:t>
      </w:r>
      <w:r w:rsidRPr="00CE0885">
        <w:rPr>
          <w:lang w:eastAsia="en-GB"/>
        </w:rPr>
        <w:t>shall</w:t>
      </w:r>
      <w:r w:rsidRPr="00CE0885">
        <w:rPr>
          <w:spacing w:val="-5"/>
          <w:lang w:eastAsia="en-GB"/>
        </w:rPr>
        <w:t xml:space="preserve"> </w:t>
      </w:r>
      <w:r w:rsidRPr="00CE0885">
        <w:rPr>
          <w:lang w:eastAsia="en-GB"/>
        </w:rPr>
        <w:t>pay</w:t>
      </w:r>
      <w:r w:rsidRPr="00CE0885">
        <w:rPr>
          <w:spacing w:val="-6"/>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o</w:t>
      </w:r>
      <w:r w:rsidRPr="00CE0885">
        <w:rPr>
          <w:spacing w:val="-2"/>
          <w:lang w:eastAsia="en-GB"/>
        </w:rPr>
        <w:t>t</w:t>
      </w:r>
      <w:r w:rsidRPr="00CE0885">
        <w:rPr>
          <w:lang w:eastAsia="en-GB"/>
        </w:rPr>
        <w:t>her</w:t>
      </w:r>
      <w:r w:rsidRPr="00CE0885">
        <w:rPr>
          <w:spacing w:val="-5"/>
          <w:lang w:eastAsia="en-GB"/>
        </w:rPr>
        <w:t xml:space="preserve"> </w:t>
      </w:r>
      <w:r w:rsidRPr="00CE0885">
        <w:rPr>
          <w:spacing w:val="-1"/>
          <w:lang w:eastAsia="en-GB"/>
        </w:rPr>
        <w:t>a</w:t>
      </w:r>
      <w:r w:rsidRPr="00CE0885">
        <w:rPr>
          <w:lang w:eastAsia="en-GB"/>
        </w:rPr>
        <w:t>ny</w:t>
      </w:r>
      <w:r w:rsidRPr="00CE0885">
        <w:rPr>
          <w:spacing w:val="-6"/>
          <w:lang w:eastAsia="en-GB"/>
        </w:rPr>
        <w:t xml:space="preserve"> </w:t>
      </w:r>
      <w:r w:rsidRPr="00CE0885">
        <w:rPr>
          <w:spacing w:val="2"/>
          <w:lang w:eastAsia="en-GB"/>
        </w:rPr>
        <w:t>m</w:t>
      </w:r>
      <w:r w:rsidRPr="00CE0885">
        <w:rPr>
          <w:lang w:eastAsia="en-GB"/>
        </w:rPr>
        <w:t>onies</w:t>
      </w:r>
      <w:r w:rsidRPr="00CE0885">
        <w:rPr>
          <w:spacing w:val="-10"/>
          <w:lang w:eastAsia="en-GB"/>
        </w:rPr>
        <w:t xml:space="preserve"> </w:t>
      </w:r>
      <w:r w:rsidRPr="00CE0885">
        <w:rPr>
          <w:lang w:eastAsia="en-GB"/>
        </w:rPr>
        <w:t>d</w:t>
      </w:r>
      <w:r w:rsidRPr="00CE0885">
        <w:rPr>
          <w:spacing w:val="-1"/>
          <w:lang w:eastAsia="en-GB"/>
        </w:rPr>
        <w:t>u</w:t>
      </w:r>
      <w:r w:rsidRPr="00CE0885">
        <w:rPr>
          <w:lang w:eastAsia="en-GB"/>
        </w:rPr>
        <w:t>e</w:t>
      </w:r>
      <w:r w:rsidRPr="00CE0885">
        <w:rPr>
          <w:spacing w:val="-2"/>
          <w:lang w:eastAsia="en-GB"/>
        </w:rPr>
        <w:t xml:space="preserve"> </w:t>
      </w:r>
      <w:r w:rsidRPr="00CE0885">
        <w:rPr>
          <w:spacing w:val="-3"/>
          <w:lang w:eastAsia="en-GB"/>
        </w:rPr>
        <w:t>w</w:t>
      </w:r>
      <w:r w:rsidRPr="00CE0885">
        <w:rPr>
          <w:lang w:eastAsia="en-GB"/>
        </w:rPr>
        <w:t>ithin</w:t>
      </w:r>
      <w:r w:rsidRPr="00CE0885">
        <w:rPr>
          <w:spacing w:val="-4"/>
          <w:lang w:eastAsia="en-GB"/>
        </w:rPr>
        <w:t xml:space="preserve"> </w:t>
      </w:r>
      <w:r w:rsidRPr="00CE0885">
        <w:rPr>
          <w:lang w:eastAsia="en-GB"/>
        </w:rPr>
        <w:t>three</w:t>
      </w:r>
      <w:r w:rsidRPr="00CE0885">
        <w:rPr>
          <w:spacing w:val="-6"/>
          <w:lang w:eastAsia="en-GB"/>
        </w:rPr>
        <w:t xml:space="preserve"> </w:t>
      </w:r>
      <w:r w:rsidRPr="00CE0885">
        <w:rPr>
          <w:spacing w:val="2"/>
          <w:lang w:eastAsia="en-GB"/>
        </w:rPr>
        <w:t>m</w:t>
      </w:r>
      <w:r w:rsidRPr="00CE0885">
        <w:rPr>
          <w:spacing w:val="-1"/>
          <w:lang w:eastAsia="en-GB"/>
        </w:rPr>
        <w:t>o</w:t>
      </w:r>
      <w:r w:rsidRPr="00CE0885">
        <w:rPr>
          <w:lang w:eastAsia="en-GB"/>
        </w:rPr>
        <w:t xml:space="preserve">nths </w:t>
      </w:r>
      <w:r w:rsidRPr="00CE0885">
        <w:rPr>
          <w:spacing w:val="-1"/>
          <w:lang w:eastAsia="en-GB"/>
        </w:rPr>
        <w:t>o</w:t>
      </w:r>
      <w:r w:rsidRPr="00CE0885">
        <w:rPr>
          <w:lang w:eastAsia="en-GB"/>
        </w:rPr>
        <w:t>f t</w:t>
      </w:r>
      <w:r w:rsidRPr="00CE0885">
        <w:rPr>
          <w:spacing w:val="-1"/>
          <w:lang w:eastAsia="en-GB"/>
        </w:rPr>
        <w:t>h</w:t>
      </w:r>
      <w:r w:rsidRPr="00CE0885">
        <w:rPr>
          <w:lang w:eastAsia="en-GB"/>
        </w:rPr>
        <w:t>e</w:t>
      </w:r>
      <w:r w:rsidRPr="00CE0885">
        <w:rPr>
          <w:spacing w:val="-1"/>
          <w:lang w:eastAsia="en-GB"/>
        </w:rPr>
        <w:t xml:space="preserve"> d</w:t>
      </w:r>
      <w:r w:rsidRPr="00CE0885">
        <w:rPr>
          <w:lang w:eastAsia="en-GB"/>
        </w:rPr>
        <w:t>ate</w:t>
      </w:r>
      <w:r w:rsidRPr="00CE0885">
        <w:rPr>
          <w:spacing w:val="-6"/>
          <w:lang w:eastAsia="en-GB"/>
        </w:rPr>
        <w:t xml:space="preserve"> </w:t>
      </w:r>
      <w:r w:rsidRPr="00CE0885">
        <w:rPr>
          <w:lang w:eastAsia="en-GB"/>
        </w:rPr>
        <w:t>on</w:t>
      </w:r>
      <w:r w:rsidRPr="00CE0885">
        <w:rPr>
          <w:spacing w:val="-4"/>
          <w:lang w:eastAsia="en-GB"/>
        </w:rPr>
        <w:t xml:space="preserve"> </w:t>
      </w:r>
      <w:r w:rsidRPr="00CE0885">
        <w:rPr>
          <w:spacing w:val="-3"/>
          <w:lang w:eastAsia="en-GB"/>
        </w:rPr>
        <w:t>w</w:t>
      </w:r>
      <w:r w:rsidRPr="00CE0885">
        <w:rPr>
          <w:lang w:eastAsia="en-GB"/>
        </w:rPr>
        <w:t>hich</w:t>
      </w:r>
      <w:r w:rsidRPr="00CE0885">
        <w:rPr>
          <w:spacing w:val="-4"/>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Commissioner</w:t>
      </w:r>
      <w:r w:rsidRPr="00CE0885">
        <w:rPr>
          <w:lang w:eastAsia="en-GB"/>
        </w:rPr>
        <w:t xml:space="preserve"> se</w:t>
      </w:r>
      <w:r w:rsidRPr="00CE0885">
        <w:rPr>
          <w:spacing w:val="-1"/>
          <w:lang w:eastAsia="en-GB"/>
        </w:rPr>
        <w:t>r</w:t>
      </w:r>
      <w:r w:rsidRPr="00CE0885">
        <w:rPr>
          <w:spacing w:val="-2"/>
          <w:lang w:eastAsia="en-GB"/>
        </w:rPr>
        <w:t>v</w:t>
      </w:r>
      <w:r w:rsidRPr="00CE0885">
        <w:rPr>
          <w:lang w:eastAsia="en-GB"/>
        </w:rPr>
        <w:t>ed</w:t>
      </w:r>
      <w:r w:rsidRPr="00CE0885">
        <w:rPr>
          <w:spacing w:val="-5"/>
          <w:lang w:eastAsia="en-GB"/>
        </w:rPr>
        <w:t xml:space="preserve"> </w:t>
      </w:r>
      <w:r w:rsidRPr="00CE0885">
        <w:rPr>
          <w:spacing w:val="-2"/>
          <w:lang w:eastAsia="en-GB"/>
        </w:rPr>
        <w:t>t</w:t>
      </w:r>
      <w:r w:rsidRPr="00CE0885">
        <w:rPr>
          <w:lang w:eastAsia="en-GB"/>
        </w:rPr>
        <w:t>he</w:t>
      </w:r>
      <w:r w:rsidRPr="00CE0885">
        <w:rPr>
          <w:spacing w:val="-1"/>
          <w:lang w:eastAsia="en-GB"/>
        </w:rPr>
        <w:t xml:space="preserve"> </w:t>
      </w:r>
      <w:r w:rsidRPr="00CE0885">
        <w:rPr>
          <w:spacing w:val="-2"/>
          <w:lang w:eastAsia="en-GB"/>
        </w:rPr>
        <w:t>c</w:t>
      </w:r>
      <w:r w:rsidRPr="00CE0885">
        <w:rPr>
          <w:lang w:eastAsia="en-GB"/>
        </w:rPr>
        <w:t>ont</w:t>
      </w:r>
      <w:r w:rsidRPr="00CE0885">
        <w:rPr>
          <w:spacing w:val="-1"/>
          <w:lang w:eastAsia="en-GB"/>
        </w:rPr>
        <w:t>ra</w:t>
      </w:r>
      <w:r w:rsidRPr="00CE0885">
        <w:rPr>
          <w:lang w:eastAsia="en-GB"/>
        </w:rPr>
        <w:t>ctor</w:t>
      </w:r>
      <w:r w:rsidRPr="00CE0885">
        <w:rPr>
          <w:spacing w:val="-11"/>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w</w:t>
      </w:r>
      <w:r w:rsidRPr="00CE0885">
        <w:rPr>
          <w:spacing w:val="-1"/>
          <w:lang w:eastAsia="en-GB"/>
        </w:rPr>
        <w:t>r</w:t>
      </w:r>
      <w:r w:rsidRPr="00CE0885">
        <w:rPr>
          <w:lang w:eastAsia="en-GB"/>
        </w:rPr>
        <w:t>itten details</w:t>
      </w:r>
      <w:r w:rsidRPr="00CE0885">
        <w:rPr>
          <w:spacing w:val="-9"/>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w:t>
      </w:r>
      <w:r w:rsidRPr="00CE0885">
        <w:rPr>
          <w:spacing w:val="-1"/>
          <w:lang w:eastAsia="en-GB"/>
        </w:rPr>
        <w:t xml:space="preserve"> r</w:t>
      </w:r>
      <w:r w:rsidRPr="00CE0885">
        <w:rPr>
          <w:lang w:eastAsia="en-GB"/>
        </w:rPr>
        <w:t>e</w:t>
      </w:r>
      <w:r w:rsidRPr="00CE0885">
        <w:rPr>
          <w:spacing w:val="-2"/>
          <w:lang w:eastAsia="en-GB"/>
        </w:rPr>
        <w:t>c</w:t>
      </w:r>
      <w:r w:rsidRPr="00CE0885">
        <w:rPr>
          <w:lang w:eastAsia="en-GB"/>
        </w:rPr>
        <w:t>oncili</w:t>
      </w:r>
      <w:r w:rsidRPr="00CE0885">
        <w:rPr>
          <w:spacing w:val="-1"/>
          <w:lang w:eastAsia="en-GB"/>
        </w:rPr>
        <w:t>a</w:t>
      </w:r>
      <w:r w:rsidRPr="00CE0885">
        <w:rPr>
          <w:lang w:eastAsia="en-GB"/>
        </w:rPr>
        <w:t>tion,</w:t>
      </w:r>
      <w:r w:rsidRPr="00CE0885">
        <w:rPr>
          <w:spacing w:val="-16"/>
          <w:lang w:eastAsia="en-GB"/>
        </w:rPr>
        <w:t xml:space="preserve"> </w:t>
      </w:r>
      <w:r w:rsidRPr="00CE0885">
        <w:rPr>
          <w:lang w:eastAsia="en-GB"/>
        </w:rPr>
        <w:t>or</w:t>
      </w:r>
      <w:r w:rsidRPr="00CE0885">
        <w:rPr>
          <w:spacing w:val="-2"/>
          <w:lang w:eastAsia="en-GB"/>
        </w:rPr>
        <w:t xml:space="preserve"> </w:t>
      </w:r>
      <w:r w:rsidRPr="00CE0885">
        <w:rPr>
          <w:lang w:eastAsia="en-GB"/>
        </w:rPr>
        <w:t>the</w:t>
      </w:r>
      <w:r w:rsidRPr="00CE0885">
        <w:rPr>
          <w:spacing w:val="-4"/>
          <w:lang w:eastAsia="en-GB"/>
        </w:rPr>
        <w:t xml:space="preserve"> </w:t>
      </w:r>
      <w:r w:rsidRPr="00CE0885">
        <w:rPr>
          <w:lang w:eastAsia="en-GB"/>
        </w:rPr>
        <w:t>conc</w:t>
      </w:r>
      <w:r w:rsidRPr="00CE0885">
        <w:rPr>
          <w:spacing w:val="-3"/>
          <w:lang w:eastAsia="en-GB"/>
        </w:rPr>
        <w:t>l</w:t>
      </w:r>
      <w:r w:rsidRPr="00CE0885">
        <w:rPr>
          <w:lang w:eastAsia="en-GB"/>
        </w:rPr>
        <w:t>usion</w:t>
      </w:r>
      <w:r w:rsidRPr="00CE0885">
        <w:rPr>
          <w:spacing w:val="-12"/>
          <w:lang w:eastAsia="en-GB"/>
        </w:rPr>
        <w:t xml:space="preserve"> </w:t>
      </w:r>
      <w:r w:rsidRPr="00CE0885">
        <w:rPr>
          <w:spacing w:val="-1"/>
          <w:lang w:eastAsia="en-GB"/>
        </w:rPr>
        <w:t>o</w:t>
      </w:r>
      <w:r w:rsidRPr="00CE0885">
        <w:rPr>
          <w:lang w:eastAsia="en-GB"/>
        </w:rPr>
        <w:t xml:space="preserve">f </w:t>
      </w:r>
      <w:r w:rsidRPr="00CE0885">
        <w:rPr>
          <w:spacing w:val="-1"/>
          <w:lang w:eastAsia="en-GB"/>
        </w:rPr>
        <w:t>a</w:t>
      </w:r>
      <w:r w:rsidRPr="00CE0885">
        <w:rPr>
          <w:lang w:eastAsia="en-GB"/>
        </w:rPr>
        <w:t>ny</w:t>
      </w:r>
      <w:r w:rsidRPr="00CE0885">
        <w:rPr>
          <w:spacing w:val="-6"/>
          <w:lang w:eastAsia="en-GB"/>
        </w:rPr>
        <w:t xml:space="preserve"> </w:t>
      </w:r>
      <w:r w:rsidRPr="00CE0885">
        <w:rPr>
          <w:lang w:eastAsia="en-GB"/>
        </w:rPr>
        <w:t>NHS</w:t>
      </w:r>
      <w:r w:rsidRPr="00CE0885">
        <w:rPr>
          <w:spacing w:val="-4"/>
          <w:lang w:eastAsia="en-GB"/>
        </w:rPr>
        <w:t xml:space="preserve"> </w:t>
      </w:r>
      <w:r w:rsidRPr="00CE0885">
        <w:rPr>
          <w:lang w:eastAsia="en-GB"/>
        </w:rPr>
        <w:t xml:space="preserve">dispute </w:t>
      </w:r>
      <w:r w:rsidRPr="00CE0885">
        <w:rPr>
          <w:spacing w:val="-1"/>
          <w:lang w:eastAsia="en-GB"/>
        </w:rPr>
        <w:t>r</w:t>
      </w:r>
      <w:r w:rsidRPr="00CE0885">
        <w:rPr>
          <w:lang w:eastAsia="en-GB"/>
        </w:rPr>
        <w:t>esolution</w:t>
      </w:r>
      <w:r w:rsidRPr="00CE0885">
        <w:rPr>
          <w:spacing w:val="-11"/>
          <w:lang w:eastAsia="en-GB"/>
        </w:rPr>
        <w:t xml:space="preserve"> </w:t>
      </w:r>
      <w:r w:rsidRPr="00CE0885">
        <w:rPr>
          <w:lang w:eastAsia="en-GB"/>
        </w:rPr>
        <w:t>p</w:t>
      </w:r>
      <w:r w:rsidRPr="00CE0885">
        <w:rPr>
          <w:spacing w:val="-1"/>
          <w:lang w:eastAsia="en-GB"/>
        </w:rPr>
        <w:t>r</w:t>
      </w:r>
      <w:r w:rsidRPr="00CE0885">
        <w:rPr>
          <w:lang w:eastAsia="en-GB"/>
        </w:rPr>
        <w:t>oc</w:t>
      </w:r>
      <w:r w:rsidRPr="00CE0885">
        <w:rPr>
          <w:spacing w:val="-1"/>
          <w:lang w:eastAsia="en-GB"/>
        </w:rPr>
        <w:t>e</w:t>
      </w:r>
      <w:r w:rsidRPr="00CE0885">
        <w:rPr>
          <w:lang w:eastAsia="en-GB"/>
        </w:rPr>
        <w:t>du</w:t>
      </w:r>
      <w:r w:rsidRPr="00CE0885">
        <w:rPr>
          <w:spacing w:val="-1"/>
          <w:lang w:eastAsia="en-GB"/>
        </w:rPr>
        <w:t>r</w:t>
      </w:r>
      <w:r w:rsidRPr="00CE0885">
        <w:rPr>
          <w:lang w:eastAsia="en-GB"/>
        </w:rPr>
        <w:t>e,</w:t>
      </w:r>
      <w:r w:rsidRPr="00CE0885">
        <w:rPr>
          <w:spacing w:val="-12"/>
          <w:lang w:eastAsia="en-GB"/>
        </w:rPr>
        <w:t xml:space="preserve"> </w:t>
      </w:r>
      <w:r w:rsidRPr="00CE0885">
        <w:rPr>
          <w:spacing w:val="-1"/>
          <w:lang w:eastAsia="en-GB"/>
        </w:rPr>
        <w:t>o</w:t>
      </w:r>
      <w:r w:rsidRPr="00CE0885">
        <w:rPr>
          <w:lang w:eastAsia="en-GB"/>
        </w:rPr>
        <w:t>r</w:t>
      </w:r>
      <w:r w:rsidRPr="00CE0885">
        <w:rPr>
          <w:spacing w:val="-2"/>
          <w:lang w:eastAsia="en-GB"/>
        </w:rPr>
        <w:t xml:space="preserve"> </w:t>
      </w:r>
      <w:r w:rsidRPr="00CE0885">
        <w:rPr>
          <w:lang w:eastAsia="en-GB"/>
        </w:rPr>
        <w:t>cou</w:t>
      </w:r>
      <w:r w:rsidRPr="00CE0885">
        <w:rPr>
          <w:spacing w:val="-1"/>
          <w:lang w:eastAsia="en-GB"/>
        </w:rPr>
        <w:t>r</w:t>
      </w:r>
      <w:r w:rsidRPr="00CE0885">
        <w:rPr>
          <w:lang w:eastAsia="en-GB"/>
        </w:rPr>
        <w:t>t</w:t>
      </w:r>
      <w:r w:rsidRPr="00CE0885">
        <w:rPr>
          <w:spacing w:val="-4"/>
          <w:lang w:eastAsia="en-GB"/>
        </w:rPr>
        <w:t xml:space="preserve"> </w:t>
      </w:r>
      <w:r w:rsidRPr="00CE0885">
        <w:rPr>
          <w:lang w:eastAsia="en-GB"/>
        </w:rPr>
        <w:t>act</w:t>
      </w:r>
      <w:r w:rsidRPr="00CE0885">
        <w:rPr>
          <w:spacing w:val="-3"/>
          <w:lang w:eastAsia="en-GB"/>
        </w:rPr>
        <w:t>i</w:t>
      </w:r>
      <w:r w:rsidRPr="00CE0885">
        <w:rPr>
          <w:lang w:eastAsia="en-GB"/>
        </w:rPr>
        <w:t>on</w:t>
      </w:r>
      <w:r w:rsidRPr="00CE0885">
        <w:rPr>
          <w:spacing w:val="-7"/>
          <w:lang w:eastAsia="en-GB"/>
        </w:rPr>
        <w:t xml:space="preserve"> </w:t>
      </w:r>
      <w:r w:rsidRPr="00CE0885">
        <w:rPr>
          <w:lang w:eastAsia="en-GB"/>
        </w:rPr>
        <w:t>as</w:t>
      </w:r>
      <w:r w:rsidRPr="00CE0885">
        <w:rPr>
          <w:spacing w:val="-3"/>
          <w:lang w:eastAsia="en-GB"/>
        </w:rPr>
        <w:t xml:space="preserve"> </w:t>
      </w:r>
      <w:r w:rsidRPr="00CE0885">
        <w:rPr>
          <w:lang w:eastAsia="en-GB"/>
        </w:rPr>
        <w:t>a</w:t>
      </w:r>
      <w:r w:rsidRPr="00CE0885">
        <w:rPr>
          <w:spacing w:val="-1"/>
          <w:lang w:eastAsia="en-GB"/>
        </w:rPr>
        <w:t>p</w:t>
      </w:r>
      <w:r w:rsidRPr="00CE0885">
        <w:rPr>
          <w:lang w:eastAsia="en-GB"/>
        </w:rPr>
        <w:t>p</w:t>
      </w:r>
      <w:r w:rsidRPr="00CE0885">
        <w:rPr>
          <w:spacing w:val="-1"/>
          <w:lang w:eastAsia="en-GB"/>
        </w:rPr>
        <w:t>ro</w:t>
      </w:r>
      <w:r w:rsidRPr="00CE0885">
        <w:rPr>
          <w:lang w:eastAsia="en-GB"/>
        </w:rPr>
        <w:t>p</w:t>
      </w:r>
      <w:r w:rsidRPr="00CE0885">
        <w:rPr>
          <w:spacing w:val="-1"/>
          <w:lang w:eastAsia="en-GB"/>
        </w:rPr>
        <w:t>r</w:t>
      </w:r>
      <w:r w:rsidRPr="00CE0885">
        <w:rPr>
          <w:lang w:eastAsia="en-GB"/>
        </w:rPr>
        <w:t>iate</w:t>
      </w:r>
      <w:r w:rsidRPr="00CE0885">
        <w:rPr>
          <w:spacing w:val="-10"/>
          <w:lang w:eastAsia="en-GB"/>
        </w:rPr>
        <w:t xml:space="preserve"> </w:t>
      </w:r>
      <w:r w:rsidRPr="00CE0885">
        <w:rPr>
          <w:lang w:eastAsia="en-GB"/>
        </w:rPr>
        <w:t>as</w:t>
      </w:r>
      <w:r w:rsidRPr="00CE0885">
        <w:rPr>
          <w:spacing w:val="-5"/>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ca</w:t>
      </w:r>
      <w:r w:rsidRPr="00CE0885">
        <w:rPr>
          <w:spacing w:val="-2"/>
          <w:lang w:eastAsia="en-GB"/>
        </w:rPr>
        <w:t>s</w:t>
      </w:r>
      <w:r w:rsidRPr="00CE0885">
        <w:rPr>
          <w:lang w:eastAsia="en-GB"/>
        </w:rPr>
        <w:t xml:space="preserve">e </w:t>
      </w:r>
      <w:r w:rsidRPr="00CE0885">
        <w:rPr>
          <w:spacing w:val="2"/>
          <w:lang w:eastAsia="en-GB"/>
        </w:rPr>
        <w:t>m</w:t>
      </w:r>
      <w:r w:rsidRPr="00CE0885">
        <w:rPr>
          <w:lang w:eastAsia="en-GB"/>
        </w:rPr>
        <w:t>ay</w:t>
      </w:r>
      <w:r w:rsidRPr="00CE0885">
        <w:rPr>
          <w:spacing w:val="-7"/>
          <w:lang w:eastAsia="en-GB"/>
        </w:rPr>
        <w:t xml:space="preserve"> </w:t>
      </w:r>
      <w:r w:rsidRPr="00CE0885">
        <w:rPr>
          <w:lang w:eastAsia="en-GB"/>
        </w:rPr>
        <w:t>be.</w:t>
      </w:r>
      <w:bookmarkEnd w:id="709"/>
    </w:p>
    <w:p w14:paraId="37B974E1" w14:textId="6DC5FAC3" w:rsidR="00977693" w:rsidRPr="00CE0885" w:rsidRDefault="00977693" w:rsidP="006B781A">
      <w:pPr>
        <w:pStyle w:val="Heading3"/>
        <w:rPr>
          <w:lang w:eastAsia="en-GB"/>
        </w:rPr>
      </w:pPr>
      <w:bookmarkStart w:id="710" w:name="_Toc440981818"/>
      <w:r w:rsidRPr="00CE0885">
        <w:rPr>
          <w:lang w:eastAsia="en-GB"/>
        </w:rPr>
        <w:t>P</w:t>
      </w:r>
      <w:r w:rsidRPr="00CE0885">
        <w:rPr>
          <w:spacing w:val="-1"/>
          <w:lang w:eastAsia="en-GB"/>
        </w:rPr>
        <w:t>M</w:t>
      </w:r>
      <w:r w:rsidRPr="00CE0885">
        <w:rPr>
          <w:lang w:eastAsia="en-GB"/>
        </w:rPr>
        <w:t>S</w:t>
      </w:r>
      <w:r w:rsidRPr="00CE0885">
        <w:rPr>
          <w:spacing w:val="-2"/>
          <w:lang w:eastAsia="en-GB"/>
        </w:rPr>
        <w:t>/</w:t>
      </w:r>
      <w:r w:rsidRPr="00CE0885">
        <w:rPr>
          <w:lang w:eastAsia="en-GB"/>
        </w:rPr>
        <w:t>AP</w:t>
      </w:r>
      <w:r w:rsidRPr="00CE0885">
        <w:rPr>
          <w:spacing w:val="-1"/>
          <w:lang w:eastAsia="en-GB"/>
        </w:rPr>
        <w:t>M</w:t>
      </w:r>
      <w:r w:rsidRPr="00CE0885">
        <w:rPr>
          <w:lang w:eastAsia="en-GB"/>
        </w:rPr>
        <w:t>S</w:t>
      </w:r>
      <w:r w:rsidRPr="00CE0885">
        <w:rPr>
          <w:spacing w:val="-12"/>
          <w:lang w:eastAsia="en-GB"/>
        </w:rPr>
        <w:t xml:space="preserve"> </w:t>
      </w:r>
      <w:r w:rsidRPr="00CE0885">
        <w:rPr>
          <w:lang w:eastAsia="en-GB"/>
        </w:rPr>
        <w:t xml:space="preserve">contracts must </w:t>
      </w:r>
      <w:r w:rsidRPr="00CE0885">
        <w:rPr>
          <w:spacing w:val="2"/>
          <w:lang w:eastAsia="en-GB"/>
        </w:rPr>
        <w:t>m</w:t>
      </w:r>
      <w:r w:rsidRPr="00CE0885">
        <w:rPr>
          <w:lang w:eastAsia="en-GB"/>
        </w:rPr>
        <w:t>ake</w:t>
      </w:r>
      <w:r w:rsidRPr="00CE0885">
        <w:rPr>
          <w:spacing w:val="-7"/>
          <w:lang w:eastAsia="en-GB"/>
        </w:rPr>
        <w:t xml:space="preserve"> </w:t>
      </w:r>
      <w:r w:rsidRPr="00CE0885">
        <w:rPr>
          <w:lang w:eastAsia="en-GB"/>
        </w:rPr>
        <w:t>suit</w:t>
      </w:r>
      <w:r w:rsidRPr="00CE0885">
        <w:rPr>
          <w:spacing w:val="-1"/>
          <w:lang w:eastAsia="en-GB"/>
        </w:rPr>
        <w:t>a</w:t>
      </w:r>
      <w:r w:rsidRPr="00CE0885">
        <w:rPr>
          <w:lang w:eastAsia="en-GB"/>
        </w:rPr>
        <w:t>ble</w:t>
      </w:r>
      <w:r w:rsidRPr="00CE0885">
        <w:rPr>
          <w:spacing w:val="-9"/>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2"/>
          <w:lang w:eastAsia="en-GB"/>
        </w:rPr>
        <w:t>v</w:t>
      </w:r>
      <w:r w:rsidRPr="00CE0885">
        <w:rPr>
          <w:lang w:eastAsia="en-GB"/>
        </w:rPr>
        <w:t>ision</w:t>
      </w:r>
      <w:r w:rsidRPr="00CE0885">
        <w:rPr>
          <w:spacing w:val="-11"/>
          <w:lang w:eastAsia="en-GB"/>
        </w:rPr>
        <w:t xml:space="preserve"> </w:t>
      </w:r>
      <w:r w:rsidRPr="00CE0885">
        <w:rPr>
          <w:spacing w:val="3"/>
          <w:lang w:eastAsia="en-GB"/>
        </w:rPr>
        <w:t>f</w:t>
      </w:r>
      <w:r w:rsidRPr="00CE0885">
        <w:rPr>
          <w:lang w:eastAsia="en-GB"/>
        </w:rPr>
        <w:t>or</w:t>
      </w:r>
      <w:r w:rsidRPr="00CE0885">
        <w:rPr>
          <w:spacing w:val="-3"/>
          <w:lang w:eastAsia="en-GB"/>
        </w:rPr>
        <w:t xml:space="preserve"> </w:t>
      </w:r>
      <w:r w:rsidRPr="00CE0885">
        <w:rPr>
          <w:lang w:eastAsia="en-GB"/>
        </w:rPr>
        <w:t>a</w:t>
      </w:r>
      <w:r w:rsidRPr="00CE0885">
        <w:rPr>
          <w:spacing w:val="-1"/>
          <w:lang w:eastAsia="en-GB"/>
        </w:rPr>
        <w:t>rra</w:t>
      </w:r>
      <w:r w:rsidRPr="00CE0885">
        <w:rPr>
          <w:lang w:eastAsia="en-GB"/>
        </w:rPr>
        <w:t>n</w:t>
      </w:r>
      <w:r w:rsidRPr="00CE0885">
        <w:rPr>
          <w:spacing w:val="-1"/>
          <w:lang w:eastAsia="en-GB"/>
        </w:rPr>
        <w:t>g</w:t>
      </w:r>
      <w:r w:rsidRPr="00CE0885">
        <w:rPr>
          <w:lang w:eastAsia="en-GB"/>
        </w:rPr>
        <w:t>e</w:t>
      </w:r>
      <w:r w:rsidRPr="00CE0885">
        <w:rPr>
          <w:spacing w:val="2"/>
          <w:lang w:eastAsia="en-GB"/>
        </w:rPr>
        <w:t>m</w:t>
      </w:r>
      <w:r w:rsidRPr="00CE0885">
        <w:rPr>
          <w:spacing w:val="-1"/>
          <w:lang w:eastAsia="en-GB"/>
        </w:rPr>
        <w:t>e</w:t>
      </w:r>
      <w:r w:rsidRPr="00CE0885">
        <w:rPr>
          <w:lang w:eastAsia="en-GB"/>
        </w:rPr>
        <w:t>nts</w:t>
      </w:r>
      <w:r w:rsidRPr="00CE0885">
        <w:rPr>
          <w:spacing w:val="-17"/>
          <w:lang w:eastAsia="en-GB"/>
        </w:rPr>
        <w:t xml:space="preserve"> </w:t>
      </w:r>
      <w:r w:rsidRPr="00CE0885">
        <w:rPr>
          <w:lang w:eastAsia="en-GB"/>
        </w:rPr>
        <w:t>on</w:t>
      </w:r>
      <w:r w:rsidRPr="00CE0885">
        <w:rPr>
          <w:spacing w:val="-4"/>
          <w:lang w:eastAsia="en-GB"/>
        </w:rPr>
        <w:t xml:space="preserve"> </w:t>
      </w:r>
      <w:r w:rsidRPr="00CE0885">
        <w:rPr>
          <w:lang w:eastAsia="en-GB"/>
        </w:rPr>
        <w:t>te</w:t>
      </w:r>
      <w:r w:rsidRPr="00CE0885">
        <w:rPr>
          <w:spacing w:val="-1"/>
          <w:lang w:eastAsia="en-GB"/>
        </w:rPr>
        <w:t>r</w:t>
      </w:r>
      <w:r w:rsidRPr="00CE0885">
        <w:rPr>
          <w:spacing w:val="2"/>
          <w:lang w:eastAsia="en-GB"/>
        </w:rPr>
        <w:t>m</w:t>
      </w:r>
      <w:r w:rsidRPr="00CE0885">
        <w:rPr>
          <w:lang w:eastAsia="en-GB"/>
        </w:rPr>
        <w:t>i</w:t>
      </w:r>
      <w:r w:rsidRPr="00CE0885">
        <w:rPr>
          <w:spacing w:val="-1"/>
          <w:lang w:eastAsia="en-GB"/>
        </w:rPr>
        <w:t>n</w:t>
      </w:r>
      <w:r w:rsidRPr="00CE0885">
        <w:rPr>
          <w:lang w:eastAsia="en-GB"/>
        </w:rPr>
        <w:t>ation (or leaving and MCP or PACS),</w:t>
      </w:r>
      <w:r w:rsidRPr="00CE0885">
        <w:rPr>
          <w:spacing w:val="-11"/>
          <w:lang w:eastAsia="en-GB"/>
        </w:rPr>
        <w:t xml:space="preserve"> </w:t>
      </w:r>
      <w:r w:rsidRPr="00CE0885">
        <w:rPr>
          <w:lang w:eastAsia="en-GB"/>
        </w:rPr>
        <w:t>i</w:t>
      </w:r>
      <w:r w:rsidRPr="00CE0885">
        <w:rPr>
          <w:spacing w:val="1"/>
          <w:lang w:eastAsia="en-GB"/>
        </w:rPr>
        <w:t>n</w:t>
      </w:r>
      <w:r w:rsidRPr="00CE0885">
        <w:rPr>
          <w:lang w:eastAsia="en-GB"/>
        </w:rPr>
        <w:t>c</w:t>
      </w:r>
      <w:r w:rsidRPr="00CE0885">
        <w:rPr>
          <w:spacing w:val="-3"/>
          <w:lang w:eastAsia="en-GB"/>
        </w:rPr>
        <w:t>l</w:t>
      </w:r>
      <w:r w:rsidRPr="00CE0885">
        <w:rPr>
          <w:spacing w:val="1"/>
          <w:lang w:eastAsia="en-GB"/>
        </w:rPr>
        <w:t>ud</w:t>
      </w:r>
      <w:r w:rsidRPr="00CE0885">
        <w:rPr>
          <w:lang w:eastAsia="en-GB"/>
        </w:rPr>
        <w:t>i</w:t>
      </w:r>
      <w:r w:rsidRPr="00CE0885">
        <w:rPr>
          <w:spacing w:val="1"/>
          <w:lang w:eastAsia="en-GB"/>
        </w:rPr>
        <w:t>n</w:t>
      </w:r>
      <w:r w:rsidRPr="00CE0885">
        <w:rPr>
          <w:lang w:eastAsia="en-GB"/>
        </w:rPr>
        <w:t>g</w:t>
      </w:r>
      <w:r w:rsidRPr="00CE0885">
        <w:rPr>
          <w:spacing w:val="-10"/>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lang w:eastAsia="en-GB"/>
        </w:rPr>
        <w:t>s</w:t>
      </w:r>
      <w:r w:rsidRPr="00CE0885">
        <w:rPr>
          <w:spacing w:val="1"/>
          <w:lang w:eastAsia="en-GB"/>
        </w:rPr>
        <w:t>e</w:t>
      </w:r>
      <w:r w:rsidRPr="00CE0885">
        <w:rPr>
          <w:spacing w:val="-1"/>
          <w:lang w:eastAsia="en-GB"/>
        </w:rPr>
        <w:t>q</w:t>
      </w:r>
      <w:r w:rsidRPr="00CE0885">
        <w:rPr>
          <w:spacing w:val="1"/>
          <w:lang w:eastAsia="en-GB"/>
        </w:rPr>
        <w:t>u</w:t>
      </w:r>
      <w:r w:rsidRPr="00CE0885">
        <w:rPr>
          <w:spacing w:val="-1"/>
          <w:lang w:eastAsia="en-GB"/>
        </w:rPr>
        <w:t>e</w:t>
      </w:r>
      <w:r w:rsidRPr="00CE0885">
        <w:rPr>
          <w:spacing w:val="1"/>
          <w:lang w:eastAsia="en-GB"/>
        </w:rPr>
        <w:t>n</w:t>
      </w:r>
      <w:r w:rsidRPr="00CE0885">
        <w:rPr>
          <w:lang w:eastAsia="en-GB"/>
        </w:rPr>
        <w:t>c</w:t>
      </w:r>
      <w:r w:rsidRPr="00CE0885">
        <w:rPr>
          <w:spacing w:val="1"/>
          <w:lang w:eastAsia="en-GB"/>
        </w:rPr>
        <w:t>e</w:t>
      </w:r>
      <w:r w:rsidRPr="00CE0885">
        <w:rPr>
          <w:lang w:eastAsia="en-GB"/>
        </w:rPr>
        <w:t>s</w:t>
      </w:r>
      <w:r w:rsidRPr="00CE0885">
        <w:rPr>
          <w:spacing w:val="-15"/>
          <w:lang w:eastAsia="en-GB"/>
        </w:rPr>
        <w:t xml:space="preserve"> </w:t>
      </w:r>
      <w:r w:rsidRPr="00CE0885">
        <w:rPr>
          <w:spacing w:val="-1"/>
          <w:lang w:eastAsia="en-GB"/>
        </w:rPr>
        <w:t>(</w:t>
      </w:r>
      <w:r w:rsidRPr="00CE0885">
        <w:rPr>
          <w:spacing w:val="-3"/>
          <w:lang w:eastAsia="en-GB"/>
        </w:rPr>
        <w:t>w</w:t>
      </w:r>
      <w:r w:rsidRPr="00CE0885">
        <w:rPr>
          <w:spacing w:val="1"/>
          <w:lang w:eastAsia="en-GB"/>
        </w:rPr>
        <w:t>hethe</w:t>
      </w:r>
      <w:r w:rsidRPr="00CE0885">
        <w:rPr>
          <w:lang w:eastAsia="en-GB"/>
        </w:rPr>
        <w:t>r</w:t>
      </w:r>
      <w:r w:rsidRPr="00CE0885">
        <w:rPr>
          <w:spacing w:val="-12"/>
          <w:lang w:eastAsia="en-GB"/>
        </w:rPr>
        <w:t xml:space="preserve"> </w:t>
      </w:r>
      <w:r w:rsidRPr="00CE0885">
        <w:rPr>
          <w:spacing w:val="3"/>
          <w:lang w:eastAsia="en-GB"/>
        </w:rPr>
        <w:t>f</w:t>
      </w:r>
      <w:r w:rsidRPr="00CE0885">
        <w:rPr>
          <w:spacing w:val="-3"/>
          <w:lang w:eastAsia="en-GB"/>
        </w:rPr>
        <w:t>i</w:t>
      </w:r>
      <w:r w:rsidRPr="00CE0885">
        <w:rPr>
          <w:spacing w:val="1"/>
          <w:lang w:eastAsia="en-GB"/>
        </w:rPr>
        <w:t>nan</w:t>
      </w:r>
      <w:r w:rsidRPr="00CE0885">
        <w:rPr>
          <w:lang w:eastAsia="en-GB"/>
        </w:rPr>
        <w:t>c</w:t>
      </w:r>
      <w:r w:rsidRPr="00CE0885">
        <w:rPr>
          <w:spacing w:val="-3"/>
          <w:lang w:eastAsia="en-GB"/>
        </w:rPr>
        <w:t>i</w:t>
      </w:r>
      <w:r w:rsidRPr="00CE0885">
        <w:rPr>
          <w:spacing w:val="1"/>
          <w:lang w:eastAsia="en-GB"/>
        </w:rPr>
        <w:t>a</w:t>
      </w:r>
      <w:r w:rsidRPr="00CE0885">
        <w:rPr>
          <w:lang w:eastAsia="en-GB"/>
        </w:rPr>
        <w:t>l</w:t>
      </w:r>
      <w:r w:rsidRPr="00CE0885">
        <w:rPr>
          <w:spacing w:val="-9"/>
          <w:lang w:eastAsia="en-GB"/>
        </w:rPr>
        <w:t xml:space="preserve"> </w:t>
      </w:r>
      <w:r w:rsidRPr="00CE0885">
        <w:rPr>
          <w:spacing w:val="1"/>
          <w:lang w:eastAsia="en-GB"/>
        </w:rPr>
        <w:t>o</w:t>
      </w:r>
      <w:r w:rsidRPr="00CE0885">
        <w:rPr>
          <w:lang w:eastAsia="en-GB"/>
        </w:rPr>
        <w:t xml:space="preserve">r </w:t>
      </w:r>
      <w:r w:rsidRPr="00CE0885">
        <w:rPr>
          <w:spacing w:val="1"/>
          <w:lang w:eastAsia="en-GB"/>
        </w:rPr>
        <w:t>othe</w:t>
      </w:r>
      <w:r w:rsidRPr="00CE0885">
        <w:rPr>
          <w:spacing w:val="-1"/>
          <w:lang w:eastAsia="en-GB"/>
        </w:rPr>
        <w:t>r</w:t>
      </w:r>
      <w:r w:rsidRPr="00CE0885">
        <w:rPr>
          <w:spacing w:val="-3"/>
          <w:lang w:eastAsia="en-GB"/>
        </w:rPr>
        <w:t>w</w:t>
      </w:r>
      <w:r w:rsidRPr="00CE0885">
        <w:rPr>
          <w:lang w:eastAsia="en-GB"/>
        </w:rPr>
        <w:t>is</w:t>
      </w:r>
      <w:r w:rsidRPr="00CE0885">
        <w:rPr>
          <w:spacing w:val="1"/>
          <w:lang w:eastAsia="en-GB"/>
        </w:rPr>
        <w:t>e</w:t>
      </w:r>
      <w:r w:rsidRPr="00CE0885">
        <w:rPr>
          <w:lang w:eastAsia="en-GB"/>
        </w:rPr>
        <w:t>)</w:t>
      </w:r>
      <w:r w:rsidRPr="00CE0885">
        <w:rPr>
          <w:spacing w:val="-11"/>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1"/>
          <w:lang w:eastAsia="en-GB"/>
        </w:rPr>
        <w:t>contract</w:t>
      </w:r>
      <w:r w:rsidRPr="00CE0885">
        <w:rPr>
          <w:spacing w:val="-10"/>
          <w:lang w:eastAsia="en-GB"/>
        </w:rPr>
        <w:t xml:space="preserve"> </w:t>
      </w:r>
      <w:r w:rsidRPr="00CE0885">
        <w:rPr>
          <w:spacing w:val="-1"/>
          <w:lang w:eastAsia="en-GB"/>
        </w:rPr>
        <w:t>e</w:t>
      </w:r>
      <w:r w:rsidRPr="00CE0885">
        <w:rPr>
          <w:spacing w:val="1"/>
          <w:lang w:eastAsia="en-GB"/>
        </w:rPr>
        <w:t>nd</w:t>
      </w:r>
      <w:r w:rsidRPr="00CE0885">
        <w:rPr>
          <w:lang w:eastAsia="en-GB"/>
        </w:rPr>
        <w:t>i</w:t>
      </w:r>
      <w:r w:rsidRPr="00CE0885">
        <w:rPr>
          <w:spacing w:val="1"/>
          <w:lang w:eastAsia="en-GB"/>
        </w:rPr>
        <w:t>n</w:t>
      </w:r>
      <w:r w:rsidRPr="00CE0885">
        <w:rPr>
          <w:spacing w:val="-1"/>
          <w:lang w:eastAsia="en-GB"/>
        </w:rPr>
        <w:t>g</w:t>
      </w:r>
      <w:r w:rsidRPr="00CE0885">
        <w:rPr>
          <w:lang w:eastAsia="en-GB"/>
        </w:rPr>
        <w:t>,</w:t>
      </w:r>
      <w:r w:rsidRPr="00CE0885">
        <w:rPr>
          <w:spacing w:val="-7"/>
          <w:lang w:eastAsia="en-GB"/>
        </w:rPr>
        <w:t xml:space="preserve"> </w:t>
      </w:r>
      <w:r w:rsidRPr="00CE0885">
        <w:rPr>
          <w:lang w:eastAsia="en-GB"/>
        </w:rPr>
        <w:t>s</w:t>
      </w:r>
      <w:r w:rsidRPr="00CE0885">
        <w:rPr>
          <w:spacing w:val="-1"/>
          <w:lang w:eastAsia="en-GB"/>
        </w:rPr>
        <w:t>u</w:t>
      </w:r>
      <w:r w:rsidRPr="00CE0885">
        <w:rPr>
          <w:spacing w:val="1"/>
          <w:lang w:eastAsia="en-GB"/>
        </w:rPr>
        <w:t>b</w:t>
      </w:r>
      <w:r w:rsidRPr="00CE0885">
        <w:rPr>
          <w:lang w:eastAsia="en-GB"/>
        </w:rPr>
        <w:t>j</w:t>
      </w:r>
      <w:r w:rsidRPr="00CE0885">
        <w:rPr>
          <w:spacing w:val="1"/>
          <w:lang w:eastAsia="en-GB"/>
        </w:rPr>
        <w:t>e</w:t>
      </w:r>
      <w:r w:rsidRPr="00CE0885">
        <w:rPr>
          <w:lang w:eastAsia="en-GB"/>
        </w:rPr>
        <w:t>ct</w:t>
      </w:r>
      <w:r w:rsidRPr="00CE0885">
        <w:rPr>
          <w:spacing w:val="-9"/>
          <w:lang w:eastAsia="en-GB"/>
        </w:rPr>
        <w:t xml:space="preserve"> </w:t>
      </w:r>
      <w:r w:rsidRPr="00CE0885">
        <w:rPr>
          <w:spacing w:val="-2"/>
          <w:lang w:eastAsia="en-GB"/>
        </w:rPr>
        <w:t>t</w:t>
      </w:r>
      <w:r w:rsidRPr="00CE0885">
        <w:rPr>
          <w:lang w:eastAsia="en-GB"/>
        </w:rPr>
        <w:t xml:space="preserve">o </w:t>
      </w:r>
      <w:r w:rsidRPr="00CE0885">
        <w:rPr>
          <w:spacing w:val="1"/>
          <w:lang w:eastAsia="en-GB"/>
        </w:rPr>
        <w:t>an</w:t>
      </w:r>
      <w:r w:rsidRPr="00CE0885">
        <w:rPr>
          <w:lang w:eastAsia="en-GB"/>
        </w:rPr>
        <w:t>y</w:t>
      </w:r>
      <w:r w:rsidRPr="00CE0885">
        <w:rPr>
          <w:spacing w:val="-6"/>
          <w:lang w:eastAsia="en-GB"/>
        </w:rPr>
        <w:t xml:space="preserve"> </w:t>
      </w:r>
      <w:r w:rsidRPr="00CE0885">
        <w:rPr>
          <w:lang w:eastAsia="en-GB"/>
        </w:rPr>
        <w:t>s</w:t>
      </w:r>
      <w:r w:rsidRPr="00CE0885">
        <w:rPr>
          <w:spacing w:val="1"/>
          <w:lang w:eastAsia="en-GB"/>
        </w:rPr>
        <w:t>pe</w:t>
      </w:r>
      <w:r w:rsidRPr="00CE0885">
        <w:rPr>
          <w:lang w:eastAsia="en-GB"/>
        </w:rPr>
        <w:t>c</w:t>
      </w:r>
      <w:r w:rsidRPr="00CE0885">
        <w:rPr>
          <w:spacing w:val="-3"/>
          <w:lang w:eastAsia="en-GB"/>
        </w:rPr>
        <w:t>i</w:t>
      </w:r>
      <w:r w:rsidRPr="00CE0885">
        <w:rPr>
          <w:spacing w:val="3"/>
          <w:lang w:eastAsia="en-GB"/>
        </w:rPr>
        <w:t>f</w:t>
      </w:r>
      <w:r w:rsidRPr="00CE0885">
        <w:rPr>
          <w:lang w:eastAsia="en-GB"/>
        </w:rPr>
        <w:t xml:space="preserve">ic </w:t>
      </w:r>
      <w:r w:rsidRPr="00CE0885">
        <w:rPr>
          <w:spacing w:val="-1"/>
          <w:lang w:eastAsia="en-GB"/>
        </w:rPr>
        <w:t>r</w:t>
      </w:r>
      <w:r w:rsidRPr="00CE0885">
        <w:rPr>
          <w:spacing w:val="1"/>
          <w:lang w:eastAsia="en-GB"/>
        </w:rPr>
        <w:t>e</w:t>
      </w:r>
      <w:r w:rsidRPr="00CE0885">
        <w:rPr>
          <w:spacing w:val="-1"/>
          <w:lang w:eastAsia="en-GB"/>
        </w:rPr>
        <w:t>q</w:t>
      </w:r>
      <w:r w:rsidRPr="00CE0885">
        <w:rPr>
          <w:spacing w:val="1"/>
          <w:lang w:eastAsia="en-GB"/>
        </w:rPr>
        <w:t>u</w:t>
      </w:r>
      <w:r w:rsidRPr="00CE0885">
        <w:rPr>
          <w:lang w:eastAsia="en-GB"/>
        </w:rPr>
        <w:t>i</w:t>
      </w:r>
      <w:r w:rsidRPr="00CE0885">
        <w:rPr>
          <w:spacing w:val="-1"/>
          <w:lang w:eastAsia="en-GB"/>
        </w:rPr>
        <w:t>r</w:t>
      </w:r>
      <w:r w:rsidRPr="00CE0885">
        <w:rPr>
          <w:spacing w:val="1"/>
          <w:lang w:eastAsia="en-GB"/>
        </w:rPr>
        <w:t>e</w:t>
      </w:r>
      <w:r w:rsidRPr="00CE0885">
        <w:rPr>
          <w:spacing w:val="2"/>
          <w:lang w:eastAsia="en-GB"/>
        </w:rPr>
        <w:t>m</w:t>
      </w:r>
      <w:r w:rsidRPr="00CE0885">
        <w:rPr>
          <w:spacing w:val="1"/>
          <w:lang w:eastAsia="en-GB"/>
        </w:rPr>
        <w:t>ent</w:t>
      </w:r>
      <w:r w:rsidRPr="00CE0885">
        <w:rPr>
          <w:lang w:eastAsia="en-GB"/>
        </w:rPr>
        <w:t>s</w:t>
      </w:r>
      <w:r w:rsidRPr="00CE0885">
        <w:rPr>
          <w:spacing w:val="-16"/>
          <w:lang w:eastAsia="en-GB"/>
        </w:rPr>
        <w:t xml:space="preserve"> </w:t>
      </w:r>
      <w:r w:rsidRPr="00CE0885">
        <w:rPr>
          <w:lang w:eastAsia="en-GB"/>
        </w:rPr>
        <w:t xml:space="preserve">in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reg</w:t>
      </w:r>
      <w:r w:rsidRPr="00CE0885">
        <w:rPr>
          <w:spacing w:val="1"/>
          <w:lang w:eastAsia="en-GB"/>
        </w:rPr>
        <w:t>u</w:t>
      </w:r>
      <w:r w:rsidRPr="00CE0885">
        <w:rPr>
          <w:lang w:eastAsia="en-GB"/>
        </w:rPr>
        <w:t>l</w:t>
      </w:r>
      <w:r w:rsidRPr="00CE0885">
        <w:rPr>
          <w:spacing w:val="1"/>
          <w:lang w:eastAsia="en-GB"/>
        </w:rPr>
        <w:t>at</w:t>
      </w:r>
      <w:r w:rsidRPr="00CE0885">
        <w:rPr>
          <w:lang w:eastAsia="en-GB"/>
        </w:rPr>
        <w:t>i</w:t>
      </w:r>
      <w:r w:rsidRPr="00CE0885">
        <w:rPr>
          <w:spacing w:val="1"/>
          <w:lang w:eastAsia="en-GB"/>
        </w:rPr>
        <w:t>on</w:t>
      </w:r>
      <w:r w:rsidRPr="00CE0885">
        <w:rPr>
          <w:lang w:eastAsia="en-GB"/>
        </w:rPr>
        <w:t>s.</w:t>
      </w:r>
      <w:r w:rsidRPr="00CE0885">
        <w:rPr>
          <w:spacing w:val="-18"/>
          <w:lang w:eastAsia="en-GB"/>
        </w:rPr>
        <w:t xml:space="preserve"> </w:t>
      </w:r>
      <w:r w:rsidRPr="00CE0885">
        <w:rPr>
          <w:spacing w:val="9"/>
          <w:lang w:eastAsia="en-GB"/>
        </w:rPr>
        <w:t>W</w:t>
      </w:r>
      <w:r w:rsidRPr="00CE0885">
        <w:rPr>
          <w:spacing w:val="-1"/>
          <w:lang w:eastAsia="en-GB"/>
        </w:rPr>
        <w:t>h</w:t>
      </w:r>
      <w:r w:rsidRPr="00CE0885">
        <w:rPr>
          <w:lang w:eastAsia="en-GB"/>
        </w:rPr>
        <w:t>ile</w:t>
      </w:r>
      <w:r w:rsidRPr="00CE0885">
        <w:rPr>
          <w:spacing w:val="-4"/>
          <w:lang w:eastAsia="en-GB"/>
        </w:rPr>
        <w:t xml:space="preserve"> </w:t>
      </w:r>
      <w:r w:rsidRPr="00CE0885">
        <w:rPr>
          <w:spacing w:val="-2"/>
          <w:lang w:eastAsia="en-GB"/>
        </w:rPr>
        <w:t>t</w:t>
      </w:r>
      <w:r w:rsidRPr="00CE0885">
        <w:rPr>
          <w:spacing w:val="1"/>
          <w:lang w:eastAsia="en-GB"/>
        </w:rPr>
        <w:t>he</w:t>
      </w:r>
      <w:r w:rsidRPr="00CE0885">
        <w:rPr>
          <w:spacing w:val="-2"/>
          <w:lang w:eastAsia="en-GB"/>
        </w:rPr>
        <w:t>s</w:t>
      </w:r>
      <w:r w:rsidRPr="00CE0885">
        <w:rPr>
          <w:lang w:eastAsia="en-GB"/>
        </w:rPr>
        <w:t>e</w:t>
      </w:r>
      <w:r w:rsidRPr="00CE0885">
        <w:rPr>
          <w:spacing w:val="-7"/>
          <w:lang w:eastAsia="en-GB"/>
        </w:rPr>
        <w:t xml:space="preserve"> </w:t>
      </w:r>
      <w:r w:rsidRPr="00CE0885">
        <w:rPr>
          <w:spacing w:val="1"/>
          <w:lang w:eastAsia="en-GB"/>
        </w:rPr>
        <w:t>te</w:t>
      </w:r>
      <w:r w:rsidRPr="00CE0885">
        <w:rPr>
          <w:spacing w:val="-1"/>
          <w:lang w:eastAsia="en-GB"/>
        </w:rPr>
        <w:t>r</w:t>
      </w:r>
      <w:r w:rsidRPr="00CE0885">
        <w:rPr>
          <w:spacing w:val="2"/>
          <w:lang w:eastAsia="en-GB"/>
        </w:rPr>
        <w:t>m</w:t>
      </w:r>
      <w:r w:rsidRPr="00CE0885">
        <w:rPr>
          <w:lang w:eastAsia="en-GB"/>
        </w:rPr>
        <w:t>s</w:t>
      </w:r>
      <w:r w:rsidRPr="00CE0885">
        <w:rPr>
          <w:spacing w:val="-8"/>
          <w:lang w:eastAsia="en-GB"/>
        </w:rPr>
        <w:t xml:space="preserve"> </w:t>
      </w:r>
      <w:r w:rsidRPr="00CE0885">
        <w:rPr>
          <w:spacing w:val="1"/>
          <w:lang w:eastAsia="en-GB"/>
        </w:rPr>
        <w:t>a</w:t>
      </w:r>
      <w:r w:rsidRPr="00CE0885">
        <w:rPr>
          <w:spacing w:val="-1"/>
          <w:lang w:eastAsia="en-GB"/>
        </w:rPr>
        <w:t>r</w:t>
      </w:r>
      <w:r w:rsidRPr="00CE0885">
        <w:rPr>
          <w:lang w:eastAsia="en-GB"/>
        </w:rPr>
        <w:t>e</w:t>
      </w:r>
      <w:r w:rsidRPr="00CE0885">
        <w:rPr>
          <w:spacing w:val="-1"/>
          <w:lang w:eastAsia="en-GB"/>
        </w:rPr>
        <w:t xml:space="preserve"> </w:t>
      </w:r>
      <w:r w:rsidRPr="00CE0885">
        <w:rPr>
          <w:lang w:eastAsia="en-GB"/>
        </w:rPr>
        <w:t>lik</w:t>
      </w:r>
      <w:r w:rsidRPr="00CE0885">
        <w:rPr>
          <w:spacing w:val="1"/>
          <w:lang w:eastAsia="en-GB"/>
        </w:rPr>
        <w:t>e</w:t>
      </w:r>
      <w:r w:rsidRPr="00CE0885">
        <w:rPr>
          <w:lang w:eastAsia="en-GB"/>
        </w:rPr>
        <w:t>ly</w:t>
      </w:r>
      <w:r w:rsidRPr="00CE0885">
        <w:rPr>
          <w:spacing w:val="-7"/>
          <w:lang w:eastAsia="en-GB"/>
        </w:rPr>
        <w:t xml:space="preserve"> </w:t>
      </w:r>
      <w:r w:rsidRPr="00CE0885">
        <w:rPr>
          <w:spacing w:val="1"/>
          <w:lang w:eastAsia="en-GB"/>
        </w:rPr>
        <w:t>t</w:t>
      </w:r>
      <w:r w:rsidRPr="00CE0885">
        <w:rPr>
          <w:lang w:eastAsia="en-GB"/>
        </w:rPr>
        <w:t xml:space="preserve">o </w:t>
      </w:r>
      <w:r w:rsidRPr="00CE0885">
        <w:rPr>
          <w:spacing w:val="2"/>
          <w:lang w:eastAsia="en-GB"/>
        </w:rPr>
        <w:t>m</w:t>
      </w:r>
      <w:r w:rsidRPr="00CE0885">
        <w:rPr>
          <w:lang w:eastAsia="en-GB"/>
        </w:rPr>
        <w:t>i</w:t>
      </w:r>
      <w:r w:rsidRPr="00CE0885">
        <w:rPr>
          <w:spacing w:val="-1"/>
          <w:lang w:eastAsia="en-GB"/>
        </w:rPr>
        <w:t>rr</w:t>
      </w:r>
      <w:r w:rsidRPr="00CE0885">
        <w:rPr>
          <w:spacing w:val="1"/>
          <w:lang w:eastAsia="en-GB"/>
        </w:rPr>
        <w:t>o</w:t>
      </w:r>
      <w:r w:rsidRPr="00CE0885">
        <w:rPr>
          <w:lang w:eastAsia="en-GB"/>
        </w:rPr>
        <w:t>r</w:t>
      </w:r>
      <w:r w:rsidRPr="00CE0885">
        <w:rPr>
          <w:spacing w:val="-6"/>
          <w:lang w:eastAsia="en-GB"/>
        </w:rPr>
        <w:t xml:space="preserve"> </w:t>
      </w:r>
      <w:r w:rsidRPr="00CE0885">
        <w:rPr>
          <w:spacing w:val="1"/>
          <w:lang w:eastAsia="en-GB"/>
        </w:rPr>
        <w:t>tho</w:t>
      </w:r>
      <w:r w:rsidRPr="00CE0885">
        <w:rPr>
          <w:spacing w:val="-2"/>
          <w:lang w:eastAsia="en-GB"/>
        </w:rPr>
        <w:t>s</w:t>
      </w:r>
      <w:r w:rsidRPr="00CE0885">
        <w:rPr>
          <w:lang w:eastAsia="en-GB"/>
        </w:rPr>
        <w:t>e</w:t>
      </w:r>
      <w:r w:rsidRPr="00CE0885">
        <w:rPr>
          <w:spacing w:val="-4"/>
          <w:lang w:eastAsia="en-GB"/>
        </w:rPr>
        <w:t xml:space="preserve"> </w:t>
      </w:r>
      <w:r w:rsidRPr="00CE0885">
        <w:rPr>
          <w:lang w:eastAsia="en-GB"/>
        </w:rPr>
        <w:t>s</w:t>
      </w:r>
      <w:r w:rsidRPr="00CE0885">
        <w:rPr>
          <w:spacing w:val="1"/>
          <w:lang w:eastAsia="en-GB"/>
        </w:rPr>
        <w:t>e</w:t>
      </w:r>
      <w:r w:rsidRPr="00CE0885">
        <w:rPr>
          <w:lang w:eastAsia="en-GB"/>
        </w:rPr>
        <w:t>t</w:t>
      </w:r>
      <w:r w:rsidRPr="00CE0885">
        <w:rPr>
          <w:spacing w:val="-4"/>
          <w:lang w:eastAsia="en-GB"/>
        </w:rPr>
        <w:t xml:space="preserve"> </w:t>
      </w:r>
      <w:r w:rsidRPr="00CE0885">
        <w:rPr>
          <w:spacing w:val="1"/>
          <w:lang w:eastAsia="en-GB"/>
        </w:rPr>
        <w:t>o</w:t>
      </w:r>
      <w:r w:rsidRPr="00CE0885">
        <w:rPr>
          <w:spacing w:val="-1"/>
          <w:lang w:eastAsia="en-GB"/>
        </w:rPr>
        <w:t>u</w:t>
      </w:r>
      <w:r w:rsidRPr="00CE0885">
        <w:rPr>
          <w:lang w:eastAsia="en-GB"/>
        </w:rPr>
        <w:t>t</w:t>
      </w:r>
      <w:r w:rsidRPr="00CE0885">
        <w:rPr>
          <w:spacing w:val="-2"/>
          <w:lang w:eastAsia="en-GB"/>
        </w:rPr>
        <w:t xml:space="preserve"> </w:t>
      </w:r>
      <w:r w:rsidRPr="00CE0885">
        <w:rPr>
          <w:lang w:eastAsia="en-GB"/>
        </w:rPr>
        <w:t>in</w:t>
      </w:r>
      <w:r w:rsidRPr="00CE0885">
        <w:rPr>
          <w:spacing w:val="-3"/>
          <w:lang w:eastAsia="en-GB"/>
        </w:rPr>
        <w:t xml:space="preserve"> </w:t>
      </w:r>
      <w:r w:rsidRPr="00CE0885">
        <w:rPr>
          <w:spacing w:val="1"/>
          <w:lang w:eastAsia="en-GB"/>
        </w:rPr>
        <w:t>G</w:t>
      </w:r>
      <w:r w:rsidRPr="00CE0885">
        <w:rPr>
          <w:spacing w:val="-1"/>
          <w:lang w:eastAsia="en-GB"/>
        </w:rPr>
        <w:t>M</w:t>
      </w:r>
      <w:r w:rsidRPr="00CE0885">
        <w:rPr>
          <w:lang w:eastAsia="en-GB"/>
        </w:rPr>
        <w:t>S</w:t>
      </w:r>
      <w:r w:rsidRPr="00CE0885">
        <w:rPr>
          <w:spacing w:val="-6"/>
          <w:lang w:eastAsia="en-GB"/>
        </w:rPr>
        <w:t xml:space="preserve"> contracts,</w:t>
      </w:r>
      <w:r w:rsidRPr="00CE0885">
        <w:rPr>
          <w:spacing w:val="-14"/>
          <w:lang w:eastAsia="en-GB"/>
        </w:rPr>
        <w:t xml:space="preserve"> </w:t>
      </w:r>
      <w:r w:rsidRPr="00CE0885">
        <w:rPr>
          <w:spacing w:val="1"/>
          <w:lang w:eastAsia="en-GB"/>
        </w:rPr>
        <w:t>t</w:t>
      </w:r>
      <w:r w:rsidRPr="00CE0885">
        <w:rPr>
          <w:spacing w:val="-1"/>
          <w:lang w:eastAsia="en-GB"/>
        </w:rPr>
        <w:t>h</w:t>
      </w:r>
      <w:r w:rsidRPr="00CE0885">
        <w:rPr>
          <w:lang w:eastAsia="en-GB"/>
        </w:rPr>
        <w:t>e i</w:t>
      </w:r>
      <w:r w:rsidRPr="00CE0885">
        <w:rPr>
          <w:spacing w:val="1"/>
          <w:lang w:eastAsia="en-GB"/>
        </w:rPr>
        <w:t>nd</w:t>
      </w:r>
      <w:r w:rsidRPr="00CE0885">
        <w:rPr>
          <w:lang w:eastAsia="en-GB"/>
        </w:rPr>
        <w:t>i</w:t>
      </w:r>
      <w:r w:rsidRPr="00CE0885">
        <w:rPr>
          <w:spacing w:val="-2"/>
          <w:lang w:eastAsia="en-GB"/>
        </w:rPr>
        <w:t>v</w:t>
      </w:r>
      <w:r w:rsidRPr="00CE0885">
        <w:rPr>
          <w:lang w:eastAsia="en-GB"/>
        </w:rPr>
        <w:t>i</w:t>
      </w:r>
      <w:r w:rsidRPr="00CE0885">
        <w:rPr>
          <w:spacing w:val="1"/>
          <w:lang w:eastAsia="en-GB"/>
        </w:rPr>
        <w:t>dua</w:t>
      </w:r>
      <w:r w:rsidRPr="00CE0885">
        <w:rPr>
          <w:lang w:eastAsia="en-GB"/>
        </w:rPr>
        <w:t>l</w:t>
      </w:r>
      <w:r w:rsidRPr="00CE0885">
        <w:rPr>
          <w:spacing w:val="-10"/>
          <w:lang w:eastAsia="en-GB"/>
        </w:rPr>
        <w:t xml:space="preserve"> </w:t>
      </w:r>
      <w:r w:rsidRPr="00CE0885">
        <w:rPr>
          <w:spacing w:val="1"/>
          <w:lang w:eastAsia="en-GB"/>
        </w:rPr>
        <w:t>contracts</w:t>
      </w:r>
      <w:r w:rsidRPr="00CE0885">
        <w:rPr>
          <w:spacing w:val="-15"/>
          <w:lang w:eastAsia="en-GB"/>
        </w:rPr>
        <w:t xml:space="preserve"> </w:t>
      </w:r>
      <w:r w:rsidRPr="00CE0885">
        <w:rPr>
          <w:spacing w:val="2"/>
          <w:lang w:eastAsia="en-GB"/>
        </w:rPr>
        <w:t>m</w:t>
      </w:r>
      <w:r w:rsidRPr="00CE0885">
        <w:rPr>
          <w:spacing w:val="1"/>
          <w:lang w:eastAsia="en-GB"/>
        </w:rPr>
        <w:t>u</w:t>
      </w:r>
      <w:r w:rsidRPr="00CE0885">
        <w:rPr>
          <w:lang w:eastAsia="en-GB"/>
        </w:rPr>
        <w:t>st</w:t>
      </w:r>
      <w:r w:rsidRPr="00CE0885">
        <w:rPr>
          <w:spacing w:val="-6"/>
          <w:lang w:eastAsia="en-GB"/>
        </w:rPr>
        <w:t xml:space="preserve"> </w:t>
      </w:r>
      <w:r w:rsidRPr="00CE0885">
        <w:rPr>
          <w:spacing w:val="1"/>
          <w:lang w:eastAsia="en-GB"/>
        </w:rPr>
        <w:t>b</w:t>
      </w:r>
      <w:r w:rsidRPr="00CE0885">
        <w:rPr>
          <w:lang w:eastAsia="en-GB"/>
        </w:rPr>
        <w:t>e</w:t>
      </w:r>
      <w:r w:rsidRPr="00CE0885">
        <w:rPr>
          <w:spacing w:val="-1"/>
          <w:lang w:eastAsia="en-GB"/>
        </w:rPr>
        <w:t xml:space="preserve"> </w:t>
      </w:r>
      <w:r w:rsidRPr="00CE0885">
        <w:rPr>
          <w:spacing w:val="-2"/>
          <w:lang w:eastAsia="en-GB"/>
        </w:rPr>
        <w:t>c</w:t>
      </w:r>
      <w:r w:rsidRPr="00CE0885">
        <w:rPr>
          <w:spacing w:val="1"/>
          <w:lang w:eastAsia="en-GB"/>
        </w:rPr>
        <w:t>he</w:t>
      </w:r>
      <w:r w:rsidRPr="00CE0885">
        <w:rPr>
          <w:lang w:eastAsia="en-GB"/>
        </w:rPr>
        <w:t>c</w:t>
      </w:r>
      <w:r w:rsidRPr="00CE0885">
        <w:rPr>
          <w:spacing w:val="-2"/>
          <w:lang w:eastAsia="en-GB"/>
        </w:rPr>
        <w:t>k</w:t>
      </w:r>
      <w:r w:rsidRPr="00CE0885">
        <w:rPr>
          <w:spacing w:val="1"/>
          <w:lang w:eastAsia="en-GB"/>
        </w:rPr>
        <w:t>e</w:t>
      </w:r>
      <w:r w:rsidRPr="00CE0885">
        <w:rPr>
          <w:lang w:eastAsia="en-GB"/>
        </w:rPr>
        <w:t>d</w:t>
      </w:r>
      <w:r w:rsidRPr="00CE0885">
        <w:rPr>
          <w:spacing w:val="-10"/>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spacing w:val="-2"/>
          <w:lang w:eastAsia="en-GB"/>
        </w:rPr>
        <w:t>Commissioner</w:t>
      </w:r>
      <w:r w:rsidRPr="00CE0885">
        <w:rPr>
          <w:lang w:eastAsia="en-GB"/>
        </w:rPr>
        <w:t xml:space="preserve"> </w:t>
      </w:r>
      <w:r w:rsidRPr="00CE0885">
        <w:rPr>
          <w:spacing w:val="-2"/>
          <w:lang w:eastAsia="en-GB"/>
        </w:rPr>
        <w:t>t</w:t>
      </w:r>
      <w:r w:rsidRPr="00CE0885">
        <w:rPr>
          <w:lang w:eastAsia="en-GB"/>
        </w:rPr>
        <w:t xml:space="preserve">o </w:t>
      </w:r>
      <w:r w:rsidRPr="00CE0885">
        <w:rPr>
          <w:spacing w:val="-1"/>
          <w:lang w:eastAsia="en-GB"/>
        </w:rPr>
        <w:t>e</w:t>
      </w:r>
      <w:r w:rsidRPr="00CE0885">
        <w:rPr>
          <w:spacing w:val="1"/>
          <w:lang w:eastAsia="en-GB"/>
        </w:rPr>
        <w:t>n</w:t>
      </w:r>
      <w:r w:rsidRPr="00CE0885">
        <w:rPr>
          <w:lang w:eastAsia="en-GB"/>
        </w:rPr>
        <w:t>s</w:t>
      </w:r>
      <w:r w:rsidRPr="00CE0885">
        <w:rPr>
          <w:spacing w:val="1"/>
          <w:lang w:eastAsia="en-GB"/>
        </w:rPr>
        <w:t>u</w:t>
      </w:r>
      <w:r w:rsidRPr="00CE0885">
        <w:rPr>
          <w:spacing w:val="-1"/>
          <w:lang w:eastAsia="en-GB"/>
        </w:rPr>
        <w:t>r</w:t>
      </w:r>
      <w:r w:rsidRPr="00CE0885">
        <w:rPr>
          <w:lang w:eastAsia="en-GB"/>
        </w:rPr>
        <w:t>e</w:t>
      </w:r>
      <w:r w:rsidRPr="00CE0885">
        <w:rPr>
          <w:spacing w:val="-5"/>
          <w:lang w:eastAsia="en-GB"/>
        </w:rPr>
        <w:t xml:space="preserve"> </w:t>
      </w:r>
      <w:r w:rsidRPr="00CE0885">
        <w:rPr>
          <w:spacing w:val="-2"/>
          <w:lang w:eastAsia="en-GB"/>
        </w:rPr>
        <w:t>t</w:t>
      </w:r>
      <w:r w:rsidRPr="00CE0885">
        <w:rPr>
          <w:spacing w:val="1"/>
          <w:lang w:eastAsia="en-GB"/>
        </w:rPr>
        <w:t>ha</w:t>
      </w:r>
      <w:r w:rsidRPr="00CE0885">
        <w:rPr>
          <w:lang w:eastAsia="en-GB"/>
        </w:rPr>
        <w:t xml:space="preserve">t </w:t>
      </w:r>
      <w:r w:rsidRPr="00CE0885">
        <w:rPr>
          <w:spacing w:val="1"/>
          <w:lang w:eastAsia="en-GB"/>
        </w:rPr>
        <w:t>n</w:t>
      </w:r>
      <w:r w:rsidRPr="00CE0885">
        <w:rPr>
          <w:lang w:eastAsia="en-GB"/>
        </w:rPr>
        <w:t>o</w:t>
      </w:r>
      <w:r w:rsidRPr="00CE0885">
        <w:rPr>
          <w:spacing w:val="-1"/>
          <w:lang w:eastAsia="en-GB"/>
        </w:rPr>
        <w:t xml:space="preserve"> a</w:t>
      </w:r>
      <w:r w:rsidRPr="00CE0885">
        <w:rPr>
          <w:spacing w:val="1"/>
          <w:lang w:eastAsia="en-GB"/>
        </w:rPr>
        <w:t>dd</w:t>
      </w:r>
      <w:r w:rsidRPr="00CE0885">
        <w:rPr>
          <w:lang w:eastAsia="en-GB"/>
        </w:rPr>
        <w:t>i</w:t>
      </w:r>
      <w:r w:rsidRPr="00CE0885">
        <w:rPr>
          <w:spacing w:val="1"/>
          <w:lang w:eastAsia="en-GB"/>
        </w:rPr>
        <w:t>t</w:t>
      </w:r>
      <w:r w:rsidRPr="00CE0885">
        <w:rPr>
          <w:lang w:eastAsia="en-GB"/>
        </w:rPr>
        <w:t>i</w:t>
      </w:r>
      <w:r w:rsidRPr="00CE0885">
        <w:rPr>
          <w:spacing w:val="-1"/>
          <w:lang w:eastAsia="en-GB"/>
        </w:rPr>
        <w:t>o</w:t>
      </w:r>
      <w:r w:rsidRPr="00CE0885">
        <w:rPr>
          <w:spacing w:val="1"/>
          <w:lang w:eastAsia="en-GB"/>
        </w:rPr>
        <w:t>na</w:t>
      </w:r>
      <w:r w:rsidRPr="00CE0885">
        <w:rPr>
          <w:lang w:eastAsia="en-GB"/>
        </w:rPr>
        <w:t>l</w:t>
      </w:r>
      <w:r w:rsidRPr="00CE0885">
        <w:rPr>
          <w:spacing w:val="-10"/>
          <w:lang w:eastAsia="en-GB"/>
        </w:rPr>
        <w:t xml:space="preserve"> </w:t>
      </w:r>
      <w:r w:rsidRPr="00CE0885">
        <w:rPr>
          <w:spacing w:val="1"/>
          <w:lang w:eastAsia="en-GB"/>
        </w:rPr>
        <w:t>o</w:t>
      </w:r>
      <w:r w:rsidRPr="00CE0885">
        <w:rPr>
          <w:lang w:eastAsia="en-GB"/>
        </w:rPr>
        <w:t>r</w:t>
      </w:r>
      <w:r w:rsidRPr="00CE0885">
        <w:rPr>
          <w:spacing w:val="-5"/>
          <w:lang w:eastAsia="en-GB"/>
        </w:rPr>
        <w:t xml:space="preserve"> </w:t>
      </w:r>
      <w:r w:rsidRPr="00CE0885">
        <w:rPr>
          <w:spacing w:val="1"/>
          <w:lang w:eastAsia="en-GB"/>
        </w:rPr>
        <w:t>a</w:t>
      </w:r>
      <w:r w:rsidRPr="00CE0885">
        <w:rPr>
          <w:lang w:eastAsia="en-GB"/>
        </w:rPr>
        <w:t>l</w:t>
      </w:r>
      <w:r w:rsidRPr="00CE0885">
        <w:rPr>
          <w:spacing w:val="1"/>
          <w:lang w:eastAsia="en-GB"/>
        </w:rPr>
        <w:t>te</w:t>
      </w:r>
      <w:r w:rsidRPr="00CE0885">
        <w:rPr>
          <w:spacing w:val="-1"/>
          <w:lang w:eastAsia="en-GB"/>
        </w:rPr>
        <w:t>rna</w:t>
      </w:r>
      <w:r w:rsidRPr="00CE0885">
        <w:rPr>
          <w:spacing w:val="1"/>
          <w:lang w:eastAsia="en-GB"/>
        </w:rPr>
        <w:t>t</w:t>
      </w:r>
      <w:r w:rsidRPr="00CE0885">
        <w:rPr>
          <w:lang w:eastAsia="en-GB"/>
        </w:rPr>
        <w:t>i</w:t>
      </w:r>
      <w:r w:rsidRPr="00CE0885">
        <w:rPr>
          <w:spacing w:val="-2"/>
          <w:lang w:eastAsia="en-GB"/>
        </w:rPr>
        <w:t>v</w:t>
      </w:r>
      <w:r w:rsidRPr="00CE0885">
        <w:rPr>
          <w:lang w:eastAsia="en-GB"/>
        </w:rPr>
        <w:t>e</w:t>
      </w:r>
      <w:r w:rsidRPr="00CE0885">
        <w:rPr>
          <w:spacing w:val="-9"/>
          <w:lang w:eastAsia="en-GB"/>
        </w:rPr>
        <w:t xml:space="preserve"> </w:t>
      </w:r>
      <w:r w:rsidRPr="00CE0885">
        <w:rPr>
          <w:spacing w:val="1"/>
          <w:lang w:eastAsia="en-GB"/>
        </w:rPr>
        <w:t>te</w:t>
      </w:r>
      <w:r w:rsidRPr="00CE0885">
        <w:rPr>
          <w:spacing w:val="-1"/>
          <w:lang w:eastAsia="en-GB"/>
        </w:rPr>
        <w:t>r</w:t>
      </w:r>
      <w:r w:rsidRPr="00CE0885">
        <w:rPr>
          <w:spacing w:val="2"/>
          <w:lang w:eastAsia="en-GB"/>
        </w:rPr>
        <w:t>m</w:t>
      </w:r>
      <w:r w:rsidRPr="00CE0885">
        <w:rPr>
          <w:lang w:eastAsia="en-GB"/>
        </w:rPr>
        <w:t>s</w:t>
      </w:r>
      <w:r w:rsidRPr="00CE0885">
        <w:rPr>
          <w:spacing w:val="-6"/>
          <w:lang w:eastAsia="en-GB"/>
        </w:rPr>
        <w:t xml:space="preserve"> </w:t>
      </w:r>
      <w:r w:rsidRPr="00CE0885">
        <w:rPr>
          <w:spacing w:val="-3"/>
          <w:lang w:eastAsia="en-GB"/>
        </w:rPr>
        <w:t>w</w:t>
      </w:r>
      <w:r w:rsidRPr="00CE0885">
        <w:rPr>
          <w:spacing w:val="1"/>
          <w:lang w:eastAsia="en-GB"/>
        </w:rPr>
        <w:t>e</w:t>
      </w:r>
      <w:r w:rsidRPr="00CE0885">
        <w:rPr>
          <w:spacing w:val="-1"/>
          <w:lang w:eastAsia="en-GB"/>
        </w:rPr>
        <w:t>r</w:t>
      </w:r>
      <w:r w:rsidRPr="00CE0885">
        <w:rPr>
          <w:lang w:eastAsia="en-GB"/>
        </w:rPr>
        <w:t>e</w:t>
      </w:r>
      <w:r w:rsidRPr="00CE0885">
        <w:rPr>
          <w:spacing w:val="-3"/>
          <w:lang w:eastAsia="en-GB"/>
        </w:rPr>
        <w:t xml:space="preserve"> </w:t>
      </w:r>
      <w:r w:rsidRPr="00CE0885">
        <w:rPr>
          <w:lang w:eastAsia="en-GB"/>
        </w:rPr>
        <w:t>i</w:t>
      </w:r>
      <w:r w:rsidRPr="00CE0885">
        <w:rPr>
          <w:spacing w:val="1"/>
          <w:lang w:eastAsia="en-GB"/>
        </w:rPr>
        <w:t>n</w:t>
      </w:r>
      <w:r w:rsidRPr="00CE0885">
        <w:rPr>
          <w:lang w:eastAsia="en-GB"/>
        </w:rPr>
        <w:t>cl</w:t>
      </w:r>
      <w:r w:rsidRPr="00CE0885">
        <w:rPr>
          <w:spacing w:val="1"/>
          <w:lang w:eastAsia="en-GB"/>
        </w:rPr>
        <w:t>ud</w:t>
      </w:r>
      <w:r w:rsidRPr="00CE0885">
        <w:rPr>
          <w:spacing w:val="-1"/>
          <w:lang w:eastAsia="en-GB"/>
        </w:rPr>
        <w:t>e</w:t>
      </w:r>
      <w:r w:rsidRPr="00CE0885">
        <w:rPr>
          <w:spacing w:val="1"/>
          <w:lang w:eastAsia="en-GB"/>
        </w:rPr>
        <w:t>d</w:t>
      </w:r>
      <w:r w:rsidRPr="00CE0885">
        <w:rPr>
          <w:lang w:eastAsia="en-GB"/>
        </w:rPr>
        <w:t>.</w:t>
      </w:r>
      <w:r w:rsidRPr="00CE0885">
        <w:rPr>
          <w:spacing w:val="-11"/>
          <w:lang w:eastAsia="en-GB"/>
        </w:rPr>
        <w:t xml:space="preserve"> </w:t>
      </w:r>
      <w:r w:rsidRPr="00CE0885">
        <w:rPr>
          <w:spacing w:val="2"/>
          <w:lang w:eastAsia="en-GB"/>
        </w:rPr>
        <w:t>T</w:t>
      </w:r>
      <w:r w:rsidRPr="00CE0885">
        <w:rPr>
          <w:spacing w:val="1"/>
          <w:lang w:eastAsia="en-GB"/>
        </w:rPr>
        <w:t>h</w:t>
      </w:r>
      <w:r w:rsidRPr="00CE0885">
        <w:rPr>
          <w:lang w:eastAsia="en-GB"/>
        </w:rPr>
        <w:t>is</w:t>
      </w:r>
      <w:r w:rsidRPr="00CE0885">
        <w:rPr>
          <w:spacing w:val="-5"/>
          <w:lang w:eastAsia="en-GB"/>
        </w:rPr>
        <w:t xml:space="preserve"> </w:t>
      </w:r>
      <w:r w:rsidRPr="00CE0885">
        <w:rPr>
          <w:lang w:eastAsia="en-GB"/>
        </w:rPr>
        <w:t>is</w:t>
      </w:r>
      <w:r w:rsidRPr="00CE0885">
        <w:rPr>
          <w:spacing w:val="-2"/>
          <w:lang w:eastAsia="en-GB"/>
        </w:rPr>
        <w:t xml:space="preserve"> </w:t>
      </w:r>
      <w:r w:rsidRPr="00CE0885">
        <w:rPr>
          <w:spacing w:val="1"/>
          <w:lang w:eastAsia="en-GB"/>
        </w:rPr>
        <w:t>e</w:t>
      </w:r>
      <w:r w:rsidRPr="00CE0885">
        <w:rPr>
          <w:spacing w:val="-2"/>
          <w:lang w:eastAsia="en-GB"/>
        </w:rPr>
        <w:t>s</w:t>
      </w:r>
      <w:r w:rsidRPr="00CE0885">
        <w:rPr>
          <w:spacing w:val="1"/>
          <w:lang w:eastAsia="en-GB"/>
        </w:rPr>
        <w:t>pe</w:t>
      </w:r>
      <w:r w:rsidRPr="00CE0885">
        <w:rPr>
          <w:lang w:eastAsia="en-GB"/>
        </w:rPr>
        <w:t>ci</w:t>
      </w:r>
      <w:r w:rsidRPr="00CE0885">
        <w:rPr>
          <w:spacing w:val="1"/>
          <w:lang w:eastAsia="en-GB"/>
        </w:rPr>
        <w:t>a</w:t>
      </w:r>
      <w:r w:rsidRPr="00CE0885">
        <w:rPr>
          <w:lang w:eastAsia="en-GB"/>
        </w:rPr>
        <w:t>lly i</w:t>
      </w:r>
      <w:r w:rsidRPr="00CE0885">
        <w:rPr>
          <w:spacing w:val="2"/>
          <w:lang w:eastAsia="en-GB"/>
        </w:rPr>
        <w:t>m</w:t>
      </w:r>
      <w:r w:rsidRPr="00CE0885">
        <w:rPr>
          <w:spacing w:val="1"/>
          <w:lang w:eastAsia="en-GB"/>
        </w:rPr>
        <w:t>po</w:t>
      </w:r>
      <w:r w:rsidRPr="00CE0885">
        <w:rPr>
          <w:spacing w:val="-1"/>
          <w:lang w:eastAsia="en-GB"/>
        </w:rPr>
        <w:t>r</w:t>
      </w:r>
      <w:r w:rsidRPr="00CE0885">
        <w:rPr>
          <w:spacing w:val="-2"/>
          <w:lang w:eastAsia="en-GB"/>
        </w:rPr>
        <w:t>t</w:t>
      </w:r>
      <w:r w:rsidRPr="00CE0885">
        <w:rPr>
          <w:spacing w:val="1"/>
          <w:lang w:eastAsia="en-GB"/>
        </w:rPr>
        <w:t>an</w:t>
      </w:r>
      <w:r w:rsidRPr="00CE0885">
        <w:rPr>
          <w:lang w:eastAsia="en-GB"/>
        </w:rPr>
        <w:t>t</w:t>
      </w:r>
      <w:r w:rsidRPr="00CE0885">
        <w:rPr>
          <w:spacing w:val="-9"/>
          <w:lang w:eastAsia="en-GB"/>
        </w:rPr>
        <w:t xml:space="preserve"> </w:t>
      </w:r>
      <w:r w:rsidRPr="00CE0885">
        <w:rPr>
          <w:spacing w:val="-3"/>
          <w:lang w:eastAsia="en-GB"/>
        </w:rPr>
        <w:t>w</w:t>
      </w:r>
      <w:r w:rsidRPr="00CE0885">
        <w:rPr>
          <w:spacing w:val="1"/>
          <w:lang w:eastAsia="en-GB"/>
        </w:rPr>
        <w:t>he</w:t>
      </w:r>
      <w:r w:rsidRPr="00CE0885">
        <w:rPr>
          <w:lang w:eastAsia="en-GB"/>
        </w:rPr>
        <w:t>n</w:t>
      </w:r>
      <w:r w:rsidRPr="00CE0885">
        <w:rPr>
          <w:spacing w:val="-4"/>
          <w:lang w:eastAsia="en-GB"/>
        </w:rPr>
        <w:t xml:space="preserve"> </w:t>
      </w:r>
      <w:r w:rsidRPr="00CE0885">
        <w:rPr>
          <w:spacing w:val="-2"/>
          <w:lang w:eastAsia="en-GB"/>
        </w:rPr>
        <w:t>c</w:t>
      </w:r>
      <w:r w:rsidRPr="00CE0885">
        <w:rPr>
          <w:spacing w:val="1"/>
          <w:lang w:eastAsia="en-GB"/>
        </w:rPr>
        <w:t>on</w:t>
      </w:r>
      <w:r w:rsidRPr="00CE0885">
        <w:rPr>
          <w:lang w:eastAsia="en-GB"/>
        </w:rPr>
        <w:t>si</w:t>
      </w:r>
      <w:r w:rsidRPr="00CE0885">
        <w:rPr>
          <w:spacing w:val="-1"/>
          <w:lang w:eastAsia="en-GB"/>
        </w:rPr>
        <w:t>d</w:t>
      </w:r>
      <w:r w:rsidRPr="00CE0885">
        <w:rPr>
          <w:spacing w:val="1"/>
          <w:lang w:eastAsia="en-GB"/>
        </w:rPr>
        <w:t>e</w:t>
      </w:r>
      <w:r w:rsidRPr="00CE0885">
        <w:rPr>
          <w:spacing w:val="-1"/>
          <w:lang w:eastAsia="en-GB"/>
        </w:rPr>
        <w:t>r</w:t>
      </w:r>
      <w:r w:rsidRPr="00CE0885">
        <w:rPr>
          <w:lang w:eastAsia="en-GB"/>
        </w:rPr>
        <w:t>i</w:t>
      </w:r>
      <w:r w:rsidRPr="00CE0885">
        <w:rPr>
          <w:spacing w:val="1"/>
          <w:lang w:eastAsia="en-GB"/>
        </w:rPr>
        <w:t>n</w:t>
      </w:r>
      <w:r w:rsidRPr="00CE0885">
        <w:rPr>
          <w:lang w:eastAsia="en-GB"/>
        </w:rPr>
        <w:t>g</w:t>
      </w:r>
      <w:r w:rsidRPr="00CE0885">
        <w:rPr>
          <w:spacing w:val="-13"/>
          <w:lang w:eastAsia="en-GB"/>
        </w:rPr>
        <w:t xml:space="preserve"> </w:t>
      </w:r>
      <w:r w:rsidRPr="00CE0885">
        <w:rPr>
          <w:spacing w:val="1"/>
          <w:lang w:eastAsia="en-GB"/>
        </w:rPr>
        <w:t>te</w:t>
      </w:r>
      <w:r w:rsidRPr="00CE0885">
        <w:rPr>
          <w:spacing w:val="-1"/>
          <w:lang w:eastAsia="en-GB"/>
        </w:rPr>
        <w:t>r</w:t>
      </w:r>
      <w:r w:rsidRPr="00CE0885">
        <w:rPr>
          <w:spacing w:val="2"/>
          <w:lang w:eastAsia="en-GB"/>
        </w:rPr>
        <w:t>m</w:t>
      </w:r>
      <w:r w:rsidRPr="00CE0885">
        <w:rPr>
          <w:lang w:eastAsia="en-GB"/>
        </w:rPr>
        <w:t>i</w:t>
      </w:r>
      <w:r w:rsidRPr="00CE0885">
        <w:rPr>
          <w:spacing w:val="1"/>
          <w:lang w:eastAsia="en-GB"/>
        </w:rPr>
        <w:t>n</w:t>
      </w:r>
      <w:r w:rsidRPr="00CE0885">
        <w:rPr>
          <w:spacing w:val="-1"/>
          <w:lang w:eastAsia="en-GB"/>
        </w:rPr>
        <w:t>a</w:t>
      </w:r>
      <w:r w:rsidRPr="00CE0885">
        <w:rPr>
          <w:spacing w:val="1"/>
          <w:lang w:eastAsia="en-GB"/>
        </w:rPr>
        <w:t>t</w:t>
      </w:r>
      <w:r w:rsidRPr="00CE0885">
        <w:rPr>
          <w:lang w:eastAsia="en-GB"/>
        </w:rPr>
        <w:t>i</w:t>
      </w:r>
      <w:r w:rsidRPr="00CE0885">
        <w:rPr>
          <w:spacing w:val="1"/>
          <w:lang w:eastAsia="en-GB"/>
        </w:rPr>
        <w:t>o</w:t>
      </w:r>
      <w:r w:rsidRPr="00CE0885">
        <w:rPr>
          <w:lang w:eastAsia="en-GB"/>
        </w:rPr>
        <w:t>n</w:t>
      </w:r>
      <w:r w:rsidRPr="00CE0885">
        <w:rPr>
          <w:spacing w:val="-13"/>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a</w:t>
      </w:r>
      <w:r w:rsidRPr="00CE0885">
        <w:rPr>
          <w:lang w:eastAsia="en-GB"/>
        </w:rPr>
        <w:t>n</w:t>
      </w:r>
      <w:r w:rsidRPr="00CE0885">
        <w:rPr>
          <w:spacing w:val="-4"/>
          <w:lang w:eastAsia="en-GB"/>
        </w:rPr>
        <w:t xml:space="preserve"> </w:t>
      </w:r>
      <w:r w:rsidRPr="00CE0885">
        <w:rPr>
          <w:spacing w:val="1"/>
          <w:lang w:eastAsia="en-GB"/>
        </w:rPr>
        <w:t>AP</w:t>
      </w:r>
      <w:r w:rsidRPr="00CE0885">
        <w:rPr>
          <w:spacing w:val="-1"/>
          <w:lang w:eastAsia="en-GB"/>
        </w:rPr>
        <w:t>M</w:t>
      </w:r>
      <w:r w:rsidRPr="00CE0885">
        <w:rPr>
          <w:lang w:eastAsia="en-GB"/>
        </w:rPr>
        <w:t>S</w:t>
      </w:r>
      <w:r w:rsidRPr="00CE0885">
        <w:rPr>
          <w:spacing w:val="-6"/>
          <w:lang w:eastAsia="en-GB"/>
        </w:rPr>
        <w:t xml:space="preserve"> </w:t>
      </w:r>
      <w:r w:rsidRPr="00CE0885">
        <w:rPr>
          <w:spacing w:val="1"/>
          <w:lang w:eastAsia="en-GB"/>
        </w:rPr>
        <w:t>contract</w:t>
      </w:r>
      <w:r w:rsidRPr="00CE0885">
        <w:rPr>
          <w:lang w:eastAsia="en-GB"/>
        </w:rPr>
        <w:t xml:space="preserve">, </w:t>
      </w:r>
      <w:r w:rsidRPr="00CE0885">
        <w:rPr>
          <w:spacing w:val="-3"/>
          <w:lang w:eastAsia="en-GB"/>
        </w:rPr>
        <w:t>w</w:t>
      </w:r>
      <w:r w:rsidRPr="00CE0885">
        <w:rPr>
          <w:spacing w:val="1"/>
          <w:lang w:eastAsia="en-GB"/>
        </w:rPr>
        <w:t>h</w:t>
      </w:r>
      <w:r w:rsidRPr="00CE0885">
        <w:rPr>
          <w:lang w:eastAsia="en-GB"/>
        </w:rPr>
        <w:t>ich</w:t>
      </w:r>
      <w:r w:rsidRPr="00CE0885">
        <w:rPr>
          <w:spacing w:val="-4"/>
          <w:lang w:eastAsia="en-GB"/>
        </w:rPr>
        <w:t xml:space="preserve"> </w:t>
      </w:r>
      <w:r w:rsidRPr="00CE0885">
        <w:rPr>
          <w:spacing w:val="1"/>
          <w:lang w:eastAsia="en-GB"/>
        </w:rPr>
        <w:t>o</w:t>
      </w:r>
      <w:r w:rsidRPr="00CE0885">
        <w:rPr>
          <w:spacing w:val="3"/>
          <w:lang w:eastAsia="en-GB"/>
        </w:rPr>
        <w:t>f</w:t>
      </w:r>
      <w:r w:rsidRPr="00CE0885">
        <w:rPr>
          <w:spacing w:val="-2"/>
          <w:lang w:eastAsia="en-GB"/>
        </w:rPr>
        <w:t>t</w:t>
      </w:r>
      <w:r w:rsidRPr="00CE0885">
        <w:rPr>
          <w:spacing w:val="1"/>
          <w:lang w:eastAsia="en-GB"/>
        </w:rPr>
        <w:t>e</w:t>
      </w:r>
      <w:r w:rsidRPr="00CE0885">
        <w:rPr>
          <w:lang w:eastAsia="en-GB"/>
        </w:rPr>
        <w:t>n</w:t>
      </w:r>
      <w:r w:rsidRPr="00CE0885">
        <w:rPr>
          <w:spacing w:val="-3"/>
          <w:lang w:eastAsia="en-GB"/>
        </w:rPr>
        <w:t xml:space="preserve"> </w:t>
      </w:r>
      <w:r w:rsidRPr="00CE0885">
        <w:rPr>
          <w:lang w:eastAsia="en-GB"/>
        </w:rPr>
        <w:t>i</w:t>
      </w:r>
      <w:r w:rsidRPr="00CE0885">
        <w:rPr>
          <w:spacing w:val="1"/>
          <w:lang w:eastAsia="en-GB"/>
        </w:rPr>
        <w:t>n</w:t>
      </w:r>
      <w:r w:rsidRPr="00CE0885">
        <w:rPr>
          <w:lang w:eastAsia="en-GB"/>
        </w:rPr>
        <w:t>c</w:t>
      </w:r>
      <w:r w:rsidRPr="00CE0885">
        <w:rPr>
          <w:spacing w:val="-3"/>
          <w:lang w:eastAsia="en-GB"/>
        </w:rPr>
        <w:t>l</w:t>
      </w:r>
      <w:r w:rsidRPr="00CE0885">
        <w:rPr>
          <w:spacing w:val="1"/>
          <w:lang w:eastAsia="en-GB"/>
        </w:rPr>
        <w:t>ud</w:t>
      </w:r>
      <w:r w:rsidRPr="00CE0885">
        <w:rPr>
          <w:spacing w:val="-1"/>
          <w:lang w:eastAsia="en-GB"/>
        </w:rPr>
        <w:t>e</w:t>
      </w:r>
      <w:r w:rsidRPr="00CE0885">
        <w:rPr>
          <w:lang w:eastAsia="en-GB"/>
        </w:rPr>
        <w:t>d</w:t>
      </w:r>
      <w:r w:rsidRPr="00CE0885">
        <w:rPr>
          <w:spacing w:val="-7"/>
          <w:lang w:eastAsia="en-GB"/>
        </w:rPr>
        <w:t xml:space="preserve"> </w:t>
      </w:r>
      <w:r w:rsidRPr="00CE0885">
        <w:rPr>
          <w:spacing w:val="-2"/>
          <w:lang w:eastAsia="en-GB"/>
        </w:rPr>
        <w:t>v</w:t>
      </w:r>
      <w:r w:rsidRPr="00CE0885">
        <w:rPr>
          <w:spacing w:val="1"/>
          <w:lang w:eastAsia="en-GB"/>
        </w:rPr>
        <w:t>e</w:t>
      </w:r>
      <w:r w:rsidRPr="00CE0885">
        <w:rPr>
          <w:spacing w:val="-1"/>
          <w:lang w:eastAsia="en-GB"/>
        </w:rPr>
        <w:t>r</w:t>
      </w:r>
      <w:r w:rsidRPr="00CE0885">
        <w:rPr>
          <w:lang w:eastAsia="en-GB"/>
        </w:rPr>
        <w:t>y</w:t>
      </w:r>
      <w:r w:rsidRPr="00CE0885">
        <w:rPr>
          <w:spacing w:val="-7"/>
          <w:lang w:eastAsia="en-GB"/>
        </w:rPr>
        <w:t xml:space="preserve"> </w:t>
      </w:r>
      <w:r w:rsidRPr="00CE0885">
        <w:rPr>
          <w:lang w:eastAsia="en-GB"/>
        </w:rPr>
        <w:t>s</w:t>
      </w:r>
      <w:r w:rsidRPr="00CE0885">
        <w:rPr>
          <w:spacing w:val="1"/>
          <w:lang w:eastAsia="en-GB"/>
        </w:rPr>
        <w:t>pe</w:t>
      </w:r>
      <w:r w:rsidRPr="00CE0885">
        <w:rPr>
          <w:lang w:eastAsia="en-GB"/>
        </w:rPr>
        <w:t>ci</w:t>
      </w:r>
      <w:r w:rsidRPr="00CE0885">
        <w:rPr>
          <w:spacing w:val="3"/>
          <w:lang w:eastAsia="en-GB"/>
        </w:rPr>
        <w:t>f</w:t>
      </w:r>
      <w:r w:rsidRPr="00CE0885">
        <w:rPr>
          <w:lang w:eastAsia="en-GB"/>
        </w:rPr>
        <w:t>ic</w:t>
      </w:r>
      <w:r w:rsidRPr="00CE0885">
        <w:rPr>
          <w:spacing w:val="-8"/>
          <w:lang w:eastAsia="en-GB"/>
        </w:rPr>
        <w:t xml:space="preserve"> </w:t>
      </w:r>
      <w:r w:rsidRPr="00CE0885">
        <w:rPr>
          <w:spacing w:val="-1"/>
          <w:lang w:eastAsia="en-GB"/>
        </w:rPr>
        <w:t>a</w:t>
      </w:r>
      <w:r w:rsidRPr="00CE0885">
        <w:rPr>
          <w:spacing w:val="1"/>
          <w:lang w:eastAsia="en-GB"/>
        </w:rPr>
        <w:t>dd</w:t>
      </w:r>
      <w:r w:rsidRPr="00CE0885">
        <w:rPr>
          <w:lang w:eastAsia="en-GB"/>
        </w:rPr>
        <w:t>i</w:t>
      </w:r>
      <w:r w:rsidRPr="00CE0885">
        <w:rPr>
          <w:spacing w:val="1"/>
          <w:lang w:eastAsia="en-GB"/>
        </w:rPr>
        <w:t>t</w:t>
      </w:r>
      <w:r w:rsidRPr="00CE0885">
        <w:rPr>
          <w:lang w:eastAsia="en-GB"/>
        </w:rPr>
        <w:t>i</w:t>
      </w:r>
      <w:r w:rsidRPr="00CE0885">
        <w:rPr>
          <w:spacing w:val="-1"/>
          <w:lang w:eastAsia="en-GB"/>
        </w:rPr>
        <w:t>o</w:t>
      </w:r>
      <w:r w:rsidRPr="00CE0885">
        <w:rPr>
          <w:spacing w:val="1"/>
          <w:lang w:eastAsia="en-GB"/>
        </w:rPr>
        <w:t>na</w:t>
      </w:r>
      <w:r w:rsidRPr="00CE0885">
        <w:rPr>
          <w:lang w:eastAsia="en-GB"/>
        </w:rPr>
        <w:t>l</w:t>
      </w:r>
      <w:r w:rsidRPr="00CE0885">
        <w:rPr>
          <w:spacing w:val="-10"/>
          <w:lang w:eastAsia="en-GB"/>
        </w:rPr>
        <w:t xml:space="preserve"> </w:t>
      </w:r>
      <w:r w:rsidRPr="00CE0885">
        <w:rPr>
          <w:spacing w:val="-2"/>
          <w:lang w:eastAsia="en-GB"/>
        </w:rPr>
        <w:t>t</w:t>
      </w:r>
      <w:r w:rsidRPr="00CE0885">
        <w:rPr>
          <w:spacing w:val="1"/>
          <w:lang w:eastAsia="en-GB"/>
        </w:rPr>
        <w:t>e</w:t>
      </w:r>
      <w:r w:rsidRPr="00CE0885">
        <w:rPr>
          <w:spacing w:val="-1"/>
          <w:lang w:eastAsia="en-GB"/>
        </w:rPr>
        <w:t>r</w:t>
      </w:r>
      <w:r w:rsidRPr="00CE0885">
        <w:rPr>
          <w:spacing w:val="2"/>
          <w:lang w:eastAsia="en-GB"/>
        </w:rPr>
        <w:t>m</w:t>
      </w:r>
      <w:r w:rsidRPr="00CE0885">
        <w:rPr>
          <w:lang w:eastAsia="en-GB"/>
        </w:rPr>
        <w:t>s</w:t>
      </w:r>
      <w:r w:rsidRPr="00CE0885">
        <w:rPr>
          <w:spacing w:val="-6"/>
          <w:lang w:eastAsia="en-GB"/>
        </w:rPr>
        <w:t xml:space="preserve"> </w:t>
      </w:r>
      <w:r w:rsidRPr="00CE0885">
        <w:rPr>
          <w:lang w:eastAsia="en-GB"/>
        </w:rPr>
        <w:t>in</w:t>
      </w:r>
      <w:r w:rsidRPr="00CE0885">
        <w:rPr>
          <w:spacing w:val="-3"/>
          <w:lang w:eastAsia="en-GB"/>
        </w:rPr>
        <w:t xml:space="preserve"> </w:t>
      </w:r>
      <w:r w:rsidRPr="00CE0885">
        <w:rPr>
          <w:spacing w:val="1"/>
          <w:lang w:eastAsia="en-GB"/>
        </w:rPr>
        <w:t>th</w:t>
      </w:r>
      <w:r w:rsidRPr="00CE0885">
        <w:rPr>
          <w:lang w:eastAsia="en-GB"/>
        </w:rPr>
        <w:t>is</w:t>
      </w:r>
      <w:r w:rsidRPr="00CE0885">
        <w:rPr>
          <w:spacing w:val="-4"/>
          <w:lang w:eastAsia="en-GB"/>
        </w:rPr>
        <w:t xml:space="preserve"> </w:t>
      </w:r>
      <w:r w:rsidRPr="00CE0885">
        <w:rPr>
          <w:spacing w:val="-1"/>
          <w:lang w:eastAsia="en-GB"/>
        </w:rPr>
        <w:t>r</w:t>
      </w:r>
      <w:r w:rsidRPr="00CE0885">
        <w:rPr>
          <w:spacing w:val="1"/>
          <w:lang w:eastAsia="en-GB"/>
        </w:rPr>
        <w:t>e</w:t>
      </w:r>
      <w:r w:rsidRPr="00CE0885">
        <w:rPr>
          <w:lang w:eastAsia="en-GB"/>
        </w:rPr>
        <w:t>s</w:t>
      </w:r>
      <w:r w:rsidRPr="00CE0885">
        <w:rPr>
          <w:spacing w:val="-1"/>
          <w:lang w:eastAsia="en-GB"/>
        </w:rPr>
        <w:t>p</w:t>
      </w:r>
      <w:r w:rsidRPr="00CE0885">
        <w:rPr>
          <w:spacing w:val="1"/>
          <w:lang w:eastAsia="en-GB"/>
        </w:rPr>
        <w:t>e</w:t>
      </w:r>
      <w:r w:rsidRPr="00CE0885">
        <w:rPr>
          <w:lang w:eastAsia="en-GB"/>
        </w:rPr>
        <w:t>c</w:t>
      </w:r>
      <w:r w:rsidRPr="00CE0885">
        <w:rPr>
          <w:spacing w:val="1"/>
          <w:lang w:eastAsia="en-GB"/>
        </w:rPr>
        <w:t>t</w:t>
      </w:r>
      <w:r w:rsidRPr="00CE0885">
        <w:rPr>
          <w:lang w:eastAsia="en-GB"/>
        </w:rPr>
        <w:t>.</w:t>
      </w:r>
      <w:bookmarkEnd w:id="710"/>
    </w:p>
    <w:p w14:paraId="60C5A996" w14:textId="7599B719" w:rsidR="00977693" w:rsidRPr="00CE0885" w:rsidRDefault="00977693" w:rsidP="006B781A">
      <w:pPr>
        <w:pStyle w:val="Heading3"/>
        <w:rPr>
          <w:lang w:eastAsia="en-GB"/>
        </w:rPr>
      </w:pPr>
      <w:bookmarkStart w:id="711" w:name="_Toc440981819"/>
      <w:r w:rsidRPr="00CE0885">
        <w:rPr>
          <w:lang w:eastAsia="en-GB"/>
        </w:rPr>
        <w:t>The</w:t>
      </w:r>
      <w:r w:rsidRPr="00CE0885">
        <w:rPr>
          <w:spacing w:val="-1"/>
          <w:lang w:eastAsia="en-GB"/>
        </w:rPr>
        <w:t xml:space="preserve"> </w:t>
      </w:r>
      <w:r w:rsidRPr="00CE0885">
        <w:rPr>
          <w:lang w:eastAsia="en-GB"/>
        </w:rPr>
        <w:t>k</w:t>
      </w:r>
      <w:r w:rsidRPr="00CE0885">
        <w:rPr>
          <w:spacing w:val="1"/>
          <w:lang w:eastAsia="en-GB"/>
        </w:rPr>
        <w:t>e</w:t>
      </w:r>
      <w:r w:rsidRPr="00CE0885">
        <w:rPr>
          <w:lang w:eastAsia="en-GB"/>
        </w:rPr>
        <w:t>y</w:t>
      </w:r>
      <w:r w:rsidRPr="00CE0885">
        <w:rPr>
          <w:spacing w:val="-6"/>
          <w:lang w:eastAsia="en-GB"/>
        </w:rPr>
        <w:t xml:space="preserve"> </w:t>
      </w:r>
      <w:r w:rsidRPr="00CE0885">
        <w:rPr>
          <w:spacing w:val="1"/>
          <w:lang w:eastAsia="en-GB"/>
        </w:rPr>
        <w:t>e</w:t>
      </w:r>
      <w:r w:rsidRPr="00CE0885">
        <w:rPr>
          <w:lang w:eastAsia="en-GB"/>
        </w:rPr>
        <w:t>l</w:t>
      </w:r>
      <w:r w:rsidRPr="00CE0885">
        <w:rPr>
          <w:spacing w:val="-1"/>
          <w:lang w:eastAsia="en-GB"/>
        </w:rPr>
        <w:t>em</w:t>
      </w:r>
      <w:r w:rsidRPr="00CE0885">
        <w:rPr>
          <w:spacing w:val="1"/>
          <w:lang w:eastAsia="en-GB"/>
        </w:rPr>
        <w:t>ent</w:t>
      </w:r>
      <w:r w:rsidRPr="00CE0885">
        <w:rPr>
          <w:lang w:eastAsia="en-GB"/>
        </w:rPr>
        <w:t>s</w:t>
      </w:r>
      <w:r w:rsidRPr="00CE0885">
        <w:rPr>
          <w:spacing w:val="-12"/>
          <w:lang w:eastAsia="en-GB"/>
        </w:rPr>
        <w:t xml:space="preserve"> </w:t>
      </w:r>
      <w:r w:rsidRPr="00CE0885">
        <w:rPr>
          <w:spacing w:val="1"/>
          <w:lang w:eastAsia="en-GB"/>
        </w:rPr>
        <w:t>fo</w:t>
      </w:r>
      <w:r w:rsidRPr="00CE0885">
        <w:rPr>
          <w:lang w:eastAsia="en-GB"/>
        </w:rPr>
        <w:t>r</w:t>
      </w:r>
      <w:r w:rsidRPr="00CE0885">
        <w:rPr>
          <w:spacing w:val="-3"/>
          <w:lang w:eastAsia="en-GB"/>
        </w:rPr>
        <w:t xml:space="preserve"> </w:t>
      </w:r>
      <w:r w:rsidRPr="00CE0885">
        <w:rPr>
          <w:lang w:eastAsia="en-GB"/>
        </w:rPr>
        <w:t>c</w:t>
      </w:r>
      <w:r w:rsidRPr="00CE0885">
        <w:rPr>
          <w:spacing w:val="1"/>
          <w:lang w:eastAsia="en-GB"/>
        </w:rPr>
        <w:t>on</w:t>
      </w:r>
      <w:r w:rsidRPr="00CE0885">
        <w:rPr>
          <w:lang w:eastAsia="en-GB"/>
        </w:rPr>
        <w:t>s</w:t>
      </w:r>
      <w:r w:rsidRPr="00CE0885">
        <w:rPr>
          <w:spacing w:val="-3"/>
          <w:lang w:eastAsia="en-GB"/>
        </w:rPr>
        <w:t>i</w:t>
      </w:r>
      <w:r w:rsidRPr="00CE0885">
        <w:rPr>
          <w:spacing w:val="1"/>
          <w:lang w:eastAsia="en-GB"/>
        </w:rPr>
        <w:t>de</w:t>
      </w:r>
      <w:r w:rsidRPr="00CE0885">
        <w:rPr>
          <w:spacing w:val="-1"/>
          <w:lang w:eastAsia="en-GB"/>
        </w:rPr>
        <w:t>r</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12"/>
          <w:lang w:eastAsia="en-GB"/>
        </w:rPr>
        <w:t xml:space="preserve"> </w:t>
      </w:r>
      <w:r w:rsidRPr="00CE0885">
        <w:rPr>
          <w:spacing w:val="-3"/>
          <w:lang w:eastAsia="en-GB"/>
        </w:rPr>
        <w:t>l</w:t>
      </w:r>
      <w:r w:rsidRPr="00CE0885">
        <w:rPr>
          <w:spacing w:val="1"/>
          <w:lang w:eastAsia="en-GB"/>
        </w:rPr>
        <w:t>ead</w:t>
      </w:r>
      <w:r w:rsidRPr="00CE0885">
        <w:rPr>
          <w:lang w:eastAsia="en-GB"/>
        </w:rPr>
        <w:t>i</w:t>
      </w:r>
      <w:r w:rsidRPr="00CE0885">
        <w:rPr>
          <w:spacing w:val="1"/>
          <w:lang w:eastAsia="en-GB"/>
        </w:rPr>
        <w:t>n</w:t>
      </w:r>
      <w:r w:rsidRPr="00CE0885">
        <w:rPr>
          <w:lang w:eastAsia="en-GB"/>
        </w:rPr>
        <w:t>g</w:t>
      </w:r>
      <w:r w:rsidRPr="00CE0885">
        <w:rPr>
          <w:spacing w:val="-9"/>
          <w:lang w:eastAsia="en-GB"/>
        </w:rPr>
        <w:t xml:space="preserve"> </w:t>
      </w:r>
      <w:r w:rsidRPr="00CE0885">
        <w:rPr>
          <w:spacing w:val="-1"/>
          <w:lang w:eastAsia="en-GB"/>
        </w:rPr>
        <w:t>u</w:t>
      </w:r>
      <w:r w:rsidRPr="00CE0885">
        <w:rPr>
          <w:lang w:eastAsia="en-GB"/>
        </w:rPr>
        <w:t>p</w:t>
      </w:r>
      <w:r w:rsidRPr="00CE0885">
        <w:rPr>
          <w:spacing w:val="-1"/>
          <w:lang w:eastAsia="en-GB"/>
        </w:rPr>
        <w:t xml:space="preserve"> </w:t>
      </w:r>
      <w:r w:rsidRPr="00CE0885">
        <w:rPr>
          <w:spacing w:val="1"/>
          <w:lang w:eastAsia="en-GB"/>
        </w:rPr>
        <w:t>t</w:t>
      </w:r>
      <w:r w:rsidRPr="00CE0885">
        <w:rPr>
          <w:lang w:eastAsia="en-GB"/>
        </w:rPr>
        <w:t>o</w:t>
      </w:r>
      <w:r w:rsidRPr="00CE0885">
        <w:rPr>
          <w:spacing w:val="-3"/>
          <w:lang w:eastAsia="en-GB"/>
        </w:rPr>
        <w:t xml:space="preserve"> </w:t>
      </w:r>
      <w:r w:rsidRPr="00CE0885">
        <w:rPr>
          <w:lang w:eastAsia="en-GB"/>
        </w:rPr>
        <w:t xml:space="preserve">a </w:t>
      </w:r>
      <w:r w:rsidRPr="00CE0885">
        <w:rPr>
          <w:spacing w:val="1"/>
          <w:lang w:eastAsia="en-GB"/>
        </w:rPr>
        <w:t>te</w:t>
      </w:r>
      <w:r w:rsidRPr="00CE0885">
        <w:rPr>
          <w:spacing w:val="-1"/>
          <w:lang w:eastAsia="en-GB"/>
        </w:rPr>
        <w:t>r</w:t>
      </w:r>
      <w:r w:rsidRPr="00CE0885">
        <w:rPr>
          <w:spacing w:val="2"/>
          <w:lang w:eastAsia="en-GB"/>
        </w:rPr>
        <w:t>m</w:t>
      </w:r>
      <w:r w:rsidRPr="00CE0885">
        <w:rPr>
          <w:lang w:eastAsia="en-GB"/>
        </w:rPr>
        <w:t>i</w:t>
      </w:r>
      <w:r w:rsidRPr="00CE0885">
        <w:rPr>
          <w:spacing w:val="-1"/>
          <w:lang w:eastAsia="en-GB"/>
        </w:rPr>
        <w:t>n</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10"/>
          <w:lang w:eastAsia="en-GB"/>
        </w:rPr>
        <w:t xml:space="preserve"> </w:t>
      </w:r>
      <w:r w:rsidRPr="00CE0885">
        <w:rPr>
          <w:spacing w:val="-3"/>
          <w:lang w:eastAsia="en-GB"/>
        </w:rPr>
        <w:t>r</w:t>
      </w:r>
      <w:r w:rsidRPr="00CE0885">
        <w:rPr>
          <w:spacing w:val="1"/>
          <w:lang w:eastAsia="en-GB"/>
        </w:rPr>
        <w:t>e</w:t>
      </w:r>
      <w:r w:rsidRPr="00CE0885">
        <w:rPr>
          <w:spacing w:val="-1"/>
          <w:lang w:eastAsia="en-GB"/>
        </w:rPr>
        <w:t>m</w:t>
      </w:r>
      <w:r w:rsidRPr="00CE0885">
        <w:rPr>
          <w:spacing w:val="1"/>
          <w:lang w:eastAsia="en-GB"/>
        </w:rPr>
        <w:t>a</w:t>
      </w:r>
      <w:r w:rsidRPr="00CE0885">
        <w:rPr>
          <w:lang w:eastAsia="en-GB"/>
        </w:rPr>
        <w:t>in</w:t>
      </w:r>
      <w:r w:rsidRPr="00CE0885">
        <w:rPr>
          <w:spacing w:val="-5"/>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lang w:eastAsia="en-GB"/>
        </w:rPr>
        <w:t>s</w:t>
      </w:r>
      <w:r w:rsidRPr="00CE0885">
        <w:rPr>
          <w:spacing w:val="1"/>
          <w:lang w:eastAsia="en-GB"/>
        </w:rPr>
        <w:t>a</w:t>
      </w:r>
      <w:r w:rsidRPr="00CE0885">
        <w:rPr>
          <w:spacing w:val="2"/>
          <w:lang w:eastAsia="en-GB"/>
        </w:rPr>
        <w:t>m</w:t>
      </w:r>
      <w:r w:rsidRPr="00CE0885">
        <w:rPr>
          <w:lang w:eastAsia="en-GB"/>
        </w:rPr>
        <w:t>e</w:t>
      </w:r>
      <w:r w:rsidRPr="00CE0885">
        <w:rPr>
          <w:spacing w:val="-7"/>
          <w:lang w:eastAsia="en-GB"/>
        </w:rPr>
        <w:t xml:space="preserve"> </w:t>
      </w:r>
      <w:r w:rsidRPr="00CE0885">
        <w:rPr>
          <w:lang w:eastAsia="en-GB"/>
        </w:rPr>
        <w:t xml:space="preserve">in </w:t>
      </w:r>
      <w:r w:rsidRPr="00CE0885">
        <w:rPr>
          <w:spacing w:val="-1"/>
          <w:lang w:eastAsia="en-GB"/>
        </w:rPr>
        <w:t>r</w:t>
      </w:r>
      <w:r w:rsidRPr="00CE0885">
        <w:rPr>
          <w:spacing w:val="1"/>
          <w:lang w:eastAsia="en-GB"/>
        </w:rPr>
        <w:t>e</w:t>
      </w:r>
      <w:r w:rsidRPr="00CE0885">
        <w:rPr>
          <w:lang w:eastAsia="en-GB"/>
        </w:rPr>
        <w:t>s</w:t>
      </w:r>
      <w:r w:rsidRPr="00CE0885">
        <w:rPr>
          <w:spacing w:val="-1"/>
          <w:lang w:eastAsia="en-GB"/>
        </w:rPr>
        <w:t>p</w:t>
      </w:r>
      <w:r w:rsidRPr="00CE0885">
        <w:rPr>
          <w:spacing w:val="1"/>
          <w:lang w:eastAsia="en-GB"/>
        </w:rPr>
        <w:t>e</w:t>
      </w:r>
      <w:r w:rsidRPr="00CE0885">
        <w:rPr>
          <w:lang w:eastAsia="en-GB"/>
        </w:rPr>
        <w:t>ct</w:t>
      </w:r>
      <w:r w:rsidRPr="00CE0885">
        <w:rPr>
          <w:spacing w:val="-9"/>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p</w:t>
      </w:r>
      <w:r w:rsidRPr="00CE0885">
        <w:rPr>
          <w:spacing w:val="1"/>
          <w:lang w:eastAsia="en-GB"/>
        </w:rPr>
        <w:t>at</w:t>
      </w:r>
      <w:r w:rsidRPr="00CE0885">
        <w:rPr>
          <w:spacing w:val="-3"/>
          <w:lang w:eastAsia="en-GB"/>
        </w:rPr>
        <w:t>i</w:t>
      </w:r>
      <w:r w:rsidRPr="00CE0885">
        <w:rPr>
          <w:spacing w:val="1"/>
          <w:lang w:eastAsia="en-GB"/>
        </w:rPr>
        <w:t>ent</w:t>
      </w:r>
      <w:r w:rsidRPr="00CE0885">
        <w:rPr>
          <w:lang w:eastAsia="en-GB"/>
        </w:rPr>
        <w:t>s,</w:t>
      </w:r>
      <w:r w:rsidRPr="00CE0885">
        <w:rPr>
          <w:spacing w:val="-10"/>
          <w:lang w:eastAsia="en-GB"/>
        </w:rPr>
        <w:t xml:space="preserve"> </w:t>
      </w:r>
      <w:r w:rsidRPr="00CE0885">
        <w:rPr>
          <w:spacing w:val="1"/>
          <w:lang w:eastAsia="en-GB"/>
        </w:rPr>
        <w:t>p</w:t>
      </w:r>
      <w:r w:rsidRPr="00CE0885">
        <w:rPr>
          <w:spacing w:val="-1"/>
          <w:lang w:eastAsia="en-GB"/>
        </w:rPr>
        <w:t>r</w:t>
      </w:r>
      <w:r w:rsidRPr="00CE0885">
        <w:rPr>
          <w:spacing w:val="1"/>
          <w:lang w:eastAsia="en-GB"/>
        </w:rPr>
        <w:t>o</w:t>
      </w:r>
      <w:r w:rsidRPr="00CE0885">
        <w:rPr>
          <w:spacing w:val="-1"/>
          <w:lang w:eastAsia="en-GB"/>
        </w:rPr>
        <w:t>p</w:t>
      </w:r>
      <w:r w:rsidRPr="00CE0885">
        <w:rPr>
          <w:spacing w:val="1"/>
          <w:lang w:eastAsia="en-GB"/>
        </w:rPr>
        <w:t>e</w:t>
      </w:r>
      <w:r w:rsidRPr="00CE0885">
        <w:rPr>
          <w:spacing w:val="-1"/>
          <w:lang w:eastAsia="en-GB"/>
        </w:rPr>
        <w:t>r</w:t>
      </w:r>
      <w:r w:rsidRPr="00CE0885">
        <w:rPr>
          <w:spacing w:val="1"/>
          <w:lang w:eastAsia="en-GB"/>
        </w:rPr>
        <w:t>t</w:t>
      </w:r>
      <w:r w:rsidRPr="00CE0885">
        <w:rPr>
          <w:lang w:eastAsia="en-GB"/>
        </w:rPr>
        <w:t>y</w:t>
      </w:r>
      <w:r w:rsidRPr="00CE0885">
        <w:rPr>
          <w:spacing w:val="-11"/>
          <w:lang w:eastAsia="en-GB"/>
        </w:rPr>
        <w:t xml:space="preserve"> </w:t>
      </w:r>
      <w:r w:rsidRPr="00CE0885">
        <w:rPr>
          <w:spacing w:val="1"/>
          <w:lang w:eastAsia="en-GB"/>
        </w:rPr>
        <w:t>an</w:t>
      </w:r>
      <w:r w:rsidRPr="00CE0885">
        <w:rPr>
          <w:lang w:eastAsia="en-GB"/>
        </w:rPr>
        <w:t xml:space="preserve">d </w:t>
      </w:r>
      <w:r w:rsidRPr="00CE0885">
        <w:rPr>
          <w:spacing w:val="1"/>
          <w:lang w:eastAsia="en-GB"/>
        </w:rPr>
        <w:t>t</w:t>
      </w:r>
      <w:r w:rsidRPr="00CE0885">
        <w:rPr>
          <w:spacing w:val="-1"/>
          <w:lang w:eastAsia="en-GB"/>
        </w:rPr>
        <w:t>r</w:t>
      </w:r>
      <w:r w:rsidRPr="00CE0885">
        <w:rPr>
          <w:spacing w:val="1"/>
          <w:lang w:eastAsia="en-GB"/>
        </w:rPr>
        <w:t>an</w:t>
      </w:r>
      <w:r w:rsidRPr="00CE0885">
        <w:rPr>
          <w:spacing w:val="-2"/>
          <w:lang w:eastAsia="en-GB"/>
        </w:rPr>
        <w:t>s</w:t>
      </w:r>
      <w:r w:rsidRPr="00CE0885">
        <w:rPr>
          <w:spacing w:val="3"/>
          <w:lang w:eastAsia="en-GB"/>
        </w:rPr>
        <w:t>f</w:t>
      </w:r>
      <w:r w:rsidRPr="00CE0885">
        <w:rPr>
          <w:spacing w:val="1"/>
          <w:lang w:eastAsia="en-GB"/>
        </w:rPr>
        <w:t>e</w:t>
      </w:r>
      <w:r w:rsidRPr="00CE0885">
        <w:rPr>
          <w:lang w:eastAsia="en-GB"/>
        </w:rPr>
        <w:t>r</w:t>
      </w:r>
      <w:r w:rsidRPr="00CE0885">
        <w:rPr>
          <w:spacing w:val="-11"/>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r</w:t>
      </w:r>
      <w:r w:rsidRPr="00CE0885">
        <w:rPr>
          <w:spacing w:val="1"/>
          <w:lang w:eastAsia="en-GB"/>
        </w:rPr>
        <w:t>e</w:t>
      </w:r>
      <w:r w:rsidRPr="00CE0885">
        <w:rPr>
          <w:lang w:eastAsia="en-GB"/>
        </w:rPr>
        <w:t>c</w:t>
      </w:r>
      <w:r w:rsidRPr="00CE0885">
        <w:rPr>
          <w:spacing w:val="1"/>
          <w:lang w:eastAsia="en-GB"/>
        </w:rPr>
        <w:t>o</w:t>
      </w:r>
      <w:r w:rsidRPr="00CE0885">
        <w:rPr>
          <w:spacing w:val="-3"/>
          <w:lang w:eastAsia="en-GB"/>
        </w:rPr>
        <w:t>r</w:t>
      </w:r>
      <w:r w:rsidRPr="00CE0885">
        <w:rPr>
          <w:spacing w:val="1"/>
          <w:lang w:eastAsia="en-GB"/>
        </w:rPr>
        <w:t>d</w:t>
      </w:r>
      <w:r w:rsidRPr="00CE0885">
        <w:rPr>
          <w:lang w:eastAsia="en-GB"/>
        </w:rPr>
        <w:t>s</w:t>
      </w:r>
      <w:r w:rsidRPr="00CE0885">
        <w:rPr>
          <w:spacing w:val="-8"/>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5"/>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spacing w:val="3"/>
          <w:lang w:eastAsia="en-GB"/>
        </w:rPr>
        <w:t>f</w:t>
      </w:r>
      <w:r w:rsidRPr="00CE0885">
        <w:rPr>
          <w:lang w:eastAsia="en-GB"/>
        </w:rPr>
        <w:t>i</w:t>
      </w:r>
      <w:r w:rsidRPr="00CE0885">
        <w:rPr>
          <w:spacing w:val="-1"/>
          <w:lang w:eastAsia="en-GB"/>
        </w:rPr>
        <w:t>d</w:t>
      </w:r>
      <w:r w:rsidRPr="00CE0885">
        <w:rPr>
          <w:spacing w:val="1"/>
          <w:lang w:eastAsia="en-GB"/>
        </w:rPr>
        <w:t>ent</w:t>
      </w:r>
      <w:r w:rsidRPr="00CE0885">
        <w:rPr>
          <w:lang w:eastAsia="en-GB"/>
        </w:rPr>
        <w:t>i</w:t>
      </w:r>
      <w:r w:rsidRPr="00CE0885">
        <w:rPr>
          <w:spacing w:val="1"/>
          <w:lang w:eastAsia="en-GB"/>
        </w:rPr>
        <w:t>a</w:t>
      </w:r>
      <w:r w:rsidRPr="00CE0885">
        <w:rPr>
          <w:lang w:eastAsia="en-GB"/>
        </w:rPr>
        <w:t>l</w:t>
      </w:r>
      <w:r w:rsidRPr="00CE0885">
        <w:rPr>
          <w:spacing w:val="-12"/>
          <w:lang w:eastAsia="en-GB"/>
        </w:rPr>
        <w:t xml:space="preserve"> </w:t>
      </w:r>
      <w:r w:rsidRPr="00CE0885">
        <w:rPr>
          <w:spacing w:val="-3"/>
          <w:lang w:eastAsia="en-GB"/>
        </w:rPr>
        <w:t>i</w:t>
      </w:r>
      <w:r w:rsidRPr="00CE0885">
        <w:rPr>
          <w:spacing w:val="-1"/>
          <w:lang w:eastAsia="en-GB"/>
        </w:rPr>
        <w:t>n</w:t>
      </w:r>
      <w:r w:rsidRPr="00CE0885">
        <w:rPr>
          <w:spacing w:val="3"/>
          <w:lang w:eastAsia="en-GB"/>
        </w:rPr>
        <w:t>f</w:t>
      </w:r>
      <w:r w:rsidRPr="00CE0885">
        <w:rPr>
          <w:spacing w:val="1"/>
          <w:lang w:eastAsia="en-GB"/>
        </w:rPr>
        <w:t>o</w:t>
      </w:r>
      <w:r w:rsidRPr="00CE0885">
        <w:rPr>
          <w:spacing w:val="-3"/>
          <w:lang w:eastAsia="en-GB"/>
        </w:rPr>
        <w:t>r</w:t>
      </w:r>
      <w:r w:rsidRPr="00CE0885">
        <w:rPr>
          <w:spacing w:val="2"/>
          <w:lang w:eastAsia="en-GB"/>
        </w:rPr>
        <w:t>m</w:t>
      </w:r>
      <w:r w:rsidRPr="00CE0885">
        <w:rPr>
          <w:spacing w:val="1"/>
          <w:lang w:eastAsia="en-GB"/>
        </w:rPr>
        <w:t>at</w:t>
      </w:r>
      <w:r w:rsidRPr="00CE0885">
        <w:rPr>
          <w:lang w:eastAsia="en-GB"/>
        </w:rPr>
        <w:t>i</w:t>
      </w:r>
      <w:r w:rsidRPr="00CE0885">
        <w:rPr>
          <w:spacing w:val="-1"/>
          <w:lang w:eastAsia="en-GB"/>
        </w:rPr>
        <w:t>o</w:t>
      </w:r>
      <w:r w:rsidRPr="00CE0885">
        <w:rPr>
          <w:lang w:eastAsia="en-GB"/>
        </w:rPr>
        <w:t>n.</w:t>
      </w:r>
      <w:bookmarkEnd w:id="711"/>
    </w:p>
    <w:p w14:paraId="1A07D522" w14:textId="6BA46F78" w:rsidR="00977693" w:rsidRPr="00CE0885" w:rsidRDefault="00977693" w:rsidP="006B781A">
      <w:pPr>
        <w:pStyle w:val="Heading3"/>
        <w:rPr>
          <w:spacing w:val="2"/>
          <w:lang w:eastAsia="en-GB"/>
        </w:rPr>
      </w:pPr>
      <w:bookmarkStart w:id="712" w:name="_Ref410399444"/>
      <w:bookmarkStart w:id="713" w:name="_Toc440981820"/>
      <w:r w:rsidRPr="00CE0885">
        <w:rPr>
          <w:spacing w:val="2"/>
          <w:lang w:eastAsia="en-GB"/>
        </w:rPr>
        <w:t xml:space="preserve">For a list of considerations relating to termination, please refer to </w:t>
      </w:r>
      <w:r w:rsidR="00965C81">
        <w:rPr>
          <w:spacing w:val="2"/>
          <w:lang w:eastAsia="en-GB"/>
        </w:rPr>
        <w:t>the chapter on</w:t>
      </w:r>
      <w:r w:rsidRPr="00CE0885">
        <w:rPr>
          <w:spacing w:val="2"/>
          <w:lang w:eastAsia="en-GB"/>
        </w:rPr>
        <w:t xml:space="preserve"> contract breaches</w:t>
      </w:r>
      <w:r w:rsidR="00A114DF">
        <w:rPr>
          <w:spacing w:val="2"/>
          <w:lang w:eastAsia="en-GB"/>
        </w:rPr>
        <w:t>, sanctions</w:t>
      </w:r>
      <w:r w:rsidRPr="00CE0885">
        <w:rPr>
          <w:spacing w:val="2"/>
          <w:lang w:eastAsia="en-GB"/>
        </w:rPr>
        <w:t xml:space="preserve"> and termination</w:t>
      </w:r>
      <w:r w:rsidR="00A114DF">
        <w:rPr>
          <w:spacing w:val="2"/>
          <w:lang w:eastAsia="en-GB"/>
        </w:rPr>
        <w:t>s</w:t>
      </w:r>
      <w:r w:rsidRPr="00CE0885">
        <w:rPr>
          <w:spacing w:val="2"/>
          <w:lang w:eastAsia="en-GB"/>
        </w:rPr>
        <w:t>.</w:t>
      </w:r>
      <w:bookmarkEnd w:id="712"/>
      <w:bookmarkEnd w:id="713"/>
    </w:p>
    <w:p w14:paraId="39883392" w14:textId="77777777" w:rsidR="00977693" w:rsidRPr="009055A7" w:rsidRDefault="00977693" w:rsidP="00977693">
      <w:pPr>
        <w:widowControl w:val="0"/>
        <w:spacing w:line="360" w:lineRule="auto"/>
        <w:ind w:left="1414"/>
        <w:jc w:val="both"/>
        <w:rPr>
          <w:rFonts w:cs="Arial"/>
          <w:bCs w:val="0"/>
          <w:sz w:val="20"/>
          <w:szCs w:val="20"/>
          <w:lang w:eastAsia="en-GB"/>
        </w:rPr>
      </w:pPr>
    </w:p>
    <w:p w14:paraId="392F470D" w14:textId="77777777" w:rsidR="00977693" w:rsidRPr="00CE0885" w:rsidRDefault="00977693" w:rsidP="00202DD3">
      <w:pPr>
        <w:pStyle w:val="Heading2"/>
        <w:rPr>
          <w:lang w:eastAsia="en-GB"/>
        </w:rPr>
      </w:pPr>
      <w:bookmarkStart w:id="714" w:name="_Toc440981821"/>
      <w:bookmarkStart w:id="715" w:name="_Toc95743451"/>
      <w:r w:rsidRPr="00CE0885">
        <w:rPr>
          <w:lang w:eastAsia="en-GB"/>
        </w:rPr>
        <w:t>Retirement of a Contractor – Two or More Partners/Individuals</w:t>
      </w:r>
      <w:bookmarkEnd w:id="714"/>
      <w:bookmarkEnd w:id="715"/>
    </w:p>
    <w:p w14:paraId="65C57D7C" w14:textId="0E7D85F0" w:rsidR="00977693" w:rsidRPr="00CE0885" w:rsidRDefault="00977693" w:rsidP="006B781A">
      <w:pPr>
        <w:pStyle w:val="Heading3"/>
        <w:rPr>
          <w:lang w:eastAsia="en-GB"/>
        </w:rPr>
      </w:pPr>
      <w:bookmarkStart w:id="716" w:name="_Toc440981822"/>
      <w:r w:rsidRPr="00CE0885">
        <w:rPr>
          <w:spacing w:val="6"/>
          <w:lang w:eastAsia="en-GB"/>
        </w:rPr>
        <w:t>W</w:t>
      </w:r>
      <w:r w:rsidRPr="00CE0885">
        <w:rPr>
          <w:spacing w:val="-1"/>
          <w:lang w:eastAsia="en-GB"/>
        </w:rPr>
        <w:t>her</w:t>
      </w:r>
      <w:r w:rsidRPr="00CE0885">
        <w:rPr>
          <w:lang w:eastAsia="en-GB"/>
        </w:rPr>
        <w:t>e</w:t>
      </w:r>
      <w:r w:rsidRPr="00CE0885">
        <w:rPr>
          <w:spacing w:val="-8"/>
          <w:lang w:eastAsia="en-GB"/>
        </w:rPr>
        <w:t xml:space="preserve"> </w:t>
      </w:r>
      <w:r w:rsidRPr="00CE0885">
        <w:rPr>
          <w:lang w:eastAsia="en-GB"/>
        </w:rPr>
        <w:t xml:space="preserve">a </w:t>
      </w:r>
      <w:r w:rsidRPr="00CE0885">
        <w:rPr>
          <w:spacing w:val="1"/>
          <w:lang w:eastAsia="en-GB"/>
        </w:rPr>
        <w:t>pa</w:t>
      </w:r>
      <w:r w:rsidRPr="00CE0885">
        <w:rPr>
          <w:spacing w:val="-1"/>
          <w:lang w:eastAsia="en-GB"/>
        </w:rPr>
        <w:t>r</w:t>
      </w:r>
      <w:r w:rsidRPr="00CE0885">
        <w:rPr>
          <w:spacing w:val="1"/>
          <w:lang w:eastAsia="en-GB"/>
        </w:rPr>
        <w:t>t</w:t>
      </w:r>
      <w:r w:rsidRPr="00CE0885">
        <w:rPr>
          <w:spacing w:val="-1"/>
          <w:lang w:eastAsia="en-GB"/>
        </w:rPr>
        <w:t>n</w:t>
      </w:r>
      <w:r w:rsidRPr="00CE0885">
        <w:rPr>
          <w:spacing w:val="1"/>
          <w:lang w:eastAsia="en-GB"/>
        </w:rPr>
        <w:t>e</w:t>
      </w:r>
      <w:r w:rsidRPr="00CE0885">
        <w:rPr>
          <w:lang w:eastAsia="en-GB"/>
        </w:rPr>
        <w:t>r</w:t>
      </w:r>
      <w:r w:rsidRPr="00CE0885">
        <w:rPr>
          <w:spacing w:val="-8"/>
          <w:lang w:eastAsia="en-GB"/>
        </w:rPr>
        <w:t xml:space="preserve"> </w:t>
      </w:r>
      <w:r w:rsidRPr="00CE0885">
        <w:rPr>
          <w:spacing w:val="-3"/>
          <w:lang w:eastAsia="en-GB"/>
        </w:rPr>
        <w:t>w</w:t>
      </w:r>
      <w:r w:rsidRPr="00CE0885">
        <w:rPr>
          <w:lang w:eastAsia="en-GB"/>
        </w:rPr>
        <w:t>is</w:t>
      </w:r>
      <w:r w:rsidRPr="00CE0885">
        <w:rPr>
          <w:spacing w:val="1"/>
          <w:lang w:eastAsia="en-GB"/>
        </w:rPr>
        <w:t>he</w:t>
      </w:r>
      <w:r w:rsidRPr="00CE0885">
        <w:rPr>
          <w:lang w:eastAsia="en-GB"/>
        </w:rPr>
        <w:t>s</w:t>
      </w:r>
      <w:r w:rsidRPr="00CE0885">
        <w:rPr>
          <w:spacing w:val="-7"/>
          <w:lang w:eastAsia="en-GB"/>
        </w:rPr>
        <w:t xml:space="preserve"> </w:t>
      </w:r>
      <w:r w:rsidRPr="00CE0885">
        <w:rPr>
          <w:spacing w:val="1"/>
          <w:lang w:eastAsia="en-GB"/>
        </w:rPr>
        <w:t>t</w:t>
      </w:r>
      <w:r w:rsidRPr="00CE0885">
        <w:rPr>
          <w:lang w:eastAsia="en-GB"/>
        </w:rPr>
        <w:t xml:space="preserve">o </w:t>
      </w:r>
      <w:r w:rsidRPr="00CE0885">
        <w:rPr>
          <w:spacing w:val="-1"/>
          <w:lang w:eastAsia="en-GB"/>
        </w:rPr>
        <w:t>r</w:t>
      </w:r>
      <w:r w:rsidRPr="00CE0885">
        <w:rPr>
          <w:spacing w:val="1"/>
          <w:lang w:eastAsia="en-GB"/>
        </w:rPr>
        <w:t>et</w:t>
      </w:r>
      <w:r w:rsidRPr="00CE0885">
        <w:rPr>
          <w:lang w:eastAsia="en-GB"/>
        </w:rPr>
        <w:t>i</w:t>
      </w:r>
      <w:r w:rsidRPr="00CE0885">
        <w:rPr>
          <w:spacing w:val="-1"/>
          <w:lang w:eastAsia="en-GB"/>
        </w:rPr>
        <w:t>r</w:t>
      </w:r>
      <w:r w:rsidRPr="00CE0885">
        <w:rPr>
          <w:lang w:eastAsia="en-GB"/>
        </w:rPr>
        <w:t>e</w:t>
      </w:r>
      <w:r w:rsidRPr="00CE0885">
        <w:rPr>
          <w:spacing w:val="-6"/>
          <w:lang w:eastAsia="en-GB"/>
        </w:rPr>
        <w:t xml:space="preserve"> </w:t>
      </w:r>
      <w:r w:rsidRPr="00CE0885">
        <w:rPr>
          <w:spacing w:val="3"/>
          <w:lang w:eastAsia="en-GB"/>
        </w:rPr>
        <w:t>f</w:t>
      </w:r>
      <w:r w:rsidRPr="00CE0885">
        <w:rPr>
          <w:spacing w:val="-3"/>
          <w:lang w:eastAsia="en-GB"/>
        </w:rPr>
        <w:t>r</w:t>
      </w:r>
      <w:r w:rsidRPr="00CE0885">
        <w:rPr>
          <w:spacing w:val="1"/>
          <w:lang w:eastAsia="en-GB"/>
        </w:rPr>
        <w:t>o</w:t>
      </w:r>
      <w:r w:rsidRPr="00CE0885">
        <w:rPr>
          <w:lang w:eastAsia="en-GB"/>
        </w:rPr>
        <w:t>m</w:t>
      </w:r>
      <w:r w:rsidRPr="00CE0885">
        <w:rPr>
          <w:spacing w:val="-5"/>
          <w:lang w:eastAsia="en-GB"/>
        </w:rPr>
        <w:t xml:space="preserve"> </w:t>
      </w:r>
      <w:r w:rsidRPr="00CE0885">
        <w:rPr>
          <w:lang w:eastAsia="en-GB"/>
        </w:rPr>
        <w:t>a</w:t>
      </w:r>
      <w:r w:rsidRPr="00CE0885">
        <w:rPr>
          <w:spacing w:val="1"/>
          <w:lang w:eastAsia="en-GB"/>
        </w:rPr>
        <w:t xml:space="preserve"> G</w:t>
      </w:r>
      <w:r w:rsidRPr="00CE0885">
        <w:rPr>
          <w:spacing w:val="-1"/>
          <w:lang w:eastAsia="en-GB"/>
        </w:rPr>
        <w:t>M</w:t>
      </w:r>
      <w:r w:rsidRPr="00CE0885">
        <w:rPr>
          <w:lang w:eastAsia="en-GB"/>
        </w:rPr>
        <w:t>S</w:t>
      </w:r>
      <w:r w:rsidRPr="00CE0885">
        <w:rPr>
          <w:spacing w:val="-9"/>
          <w:lang w:eastAsia="en-GB"/>
        </w:rPr>
        <w:t xml:space="preserve"> </w:t>
      </w:r>
      <w:r w:rsidRPr="00CE0885">
        <w:rPr>
          <w:spacing w:val="1"/>
          <w:lang w:eastAsia="en-GB"/>
        </w:rPr>
        <w:t>pa</w:t>
      </w:r>
      <w:r w:rsidRPr="00CE0885">
        <w:rPr>
          <w:spacing w:val="-1"/>
          <w:lang w:eastAsia="en-GB"/>
        </w:rPr>
        <w:t>r</w:t>
      </w:r>
      <w:r w:rsidRPr="00CE0885">
        <w:rPr>
          <w:spacing w:val="1"/>
          <w:lang w:eastAsia="en-GB"/>
        </w:rPr>
        <w:t>tne</w:t>
      </w:r>
      <w:r w:rsidRPr="00CE0885">
        <w:rPr>
          <w:spacing w:val="-1"/>
          <w:lang w:eastAsia="en-GB"/>
        </w:rPr>
        <w:t>r</w:t>
      </w:r>
      <w:r w:rsidRPr="00CE0885">
        <w:rPr>
          <w:lang w:eastAsia="en-GB"/>
        </w:rPr>
        <w:t>s</w:t>
      </w:r>
      <w:r w:rsidRPr="00CE0885">
        <w:rPr>
          <w:spacing w:val="1"/>
          <w:lang w:eastAsia="en-GB"/>
        </w:rPr>
        <w:t>h</w:t>
      </w:r>
      <w:r w:rsidRPr="00CE0885">
        <w:rPr>
          <w:lang w:eastAsia="en-GB"/>
        </w:rPr>
        <w:t>i</w:t>
      </w:r>
      <w:r w:rsidRPr="00CE0885">
        <w:rPr>
          <w:spacing w:val="1"/>
          <w:lang w:eastAsia="en-GB"/>
        </w:rPr>
        <w:t>p</w:t>
      </w:r>
      <w:r w:rsidRPr="00CE0885">
        <w:rPr>
          <w:lang w:eastAsia="en-GB"/>
        </w:rPr>
        <w:t>,</w:t>
      </w:r>
      <w:r w:rsidRPr="00CE0885">
        <w:rPr>
          <w:spacing w:val="-12"/>
          <w:lang w:eastAsia="en-GB"/>
        </w:rPr>
        <w:t xml:space="preserve"> </w:t>
      </w:r>
      <w:r w:rsidRPr="00CE0885">
        <w:rPr>
          <w:spacing w:val="1"/>
          <w:w w:val="99"/>
          <w:lang w:eastAsia="en-GB"/>
        </w:rPr>
        <w:t>a</w:t>
      </w:r>
      <w:r w:rsidRPr="00CE0885">
        <w:rPr>
          <w:w w:val="99"/>
          <w:lang w:eastAsia="en-GB"/>
        </w:rPr>
        <w:t>s c</w:t>
      </w:r>
      <w:r w:rsidRPr="00CE0885">
        <w:rPr>
          <w:spacing w:val="1"/>
          <w:w w:val="99"/>
          <w:lang w:eastAsia="en-GB"/>
        </w:rPr>
        <w:t>on</w:t>
      </w:r>
      <w:r w:rsidRPr="00CE0885">
        <w:rPr>
          <w:w w:val="99"/>
          <w:lang w:eastAsia="en-GB"/>
        </w:rPr>
        <w:t>s</w:t>
      </w:r>
      <w:r w:rsidRPr="00CE0885">
        <w:rPr>
          <w:spacing w:val="1"/>
          <w:w w:val="99"/>
          <w:lang w:eastAsia="en-GB"/>
        </w:rPr>
        <w:t>t</w:t>
      </w:r>
      <w:r w:rsidRPr="00CE0885">
        <w:rPr>
          <w:w w:val="99"/>
          <w:lang w:eastAsia="en-GB"/>
        </w:rPr>
        <w:t>i</w:t>
      </w:r>
      <w:r w:rsidRPr="00CE0885">
        <w:rPr>
          <w:spacing w:val="1"/>
          <w:w w:val="99"/>
          <w:lang w:eastAsia="en-GB"/>
        </w:rPr>
        <w:t>t</w:t>
      </w:r>
      <w:r w:rsidRPr="00CE0885">
        <w:rPr>
          <w:spacing w:val="-1"/>
          <w:w w:val="99"/>
          <w:lang w:eastAsia="en-GB"/>
        </w:rPr>
        <w:t>u</w:t>
      </w:r>
      <w:r w:rsidRPr="00CE0885">
        <w:rPr>
          <w:spacing w:val="1"/>
          <w:w w:val="99"/>
          <w:lang w:eastAsia="en-GB"/>
        </w:rPr>
        <w:t>te</w:t>
      </w:r>
      <w:r w:rsidRPr="00CE0885">
        <w:rPr>
          <w:w w:val="99"/>
          <w:lang w:eastAsia="en-GB"/>
        </w:rPr>
        <w:t>d</w:t>
      </w:r>
      <w:r w:rsidRPr="00CE0885">
        <w:rPr>
          <w:spacing w:val="-3"/>
          <w:lang w:eastAsia="en-GB"/>
        </w:rPr>
        <w:t xml:space="preserve"> </w:t>
      </w:r>
      <w:r w:rsidRPr="00CE0885">
        <w:rPr>
          <w:spacing w:val="3"/>
          <w:lang w:eastAsia="en-GB"/>
        </w:rPr>
        <w:t>f</w:t>
      </w:r>
      <w:r w:rsidRPr="00CE0885">
        <w:rPr>
          <w:spacing w:val="-1"/>
          <w:lang w:eastAsia="en-GB"/>
        </w:rPr>
        <w:t>ro</w:t>
      </w:r>
      <w:r w:rsidRPr="00CE0885">
        <w:rPr>
          <w:lang w:eastAsia="en-GB"/>
        </w:rPr>
        <w:t>m</w:t>
      </w:r>
      <w:r w:rsidRPr="00CE0885">
        <w:rPr>
          <w:spacing w:val="-3"/>
          <w:lang w:eastAsia="en-GB"/>
        </w:rPr>
        <w:t xml:space="preserve"> </w:t>
      </w:r>
      <w:r w:rsidRPr="00CE0885">
        <w:rPr>
          <w:spacing w:val="1"/>
          <w:lang w:eastAsia="en-GB"/>
        </w:rPr>
        <w:t>t</w:t>
      </w:r>
      <w:r w:rsidRPr="00CE0885">
        <w:rPr>
          <w:lang w:eastAsia="en-GB"/>
        </w:rPr>
        <w:t>i</w:t>
      </w:r>
      <w:r w:rsidRPr="00CE0885">
        <w:rPr>
          <w:spacing w:val="-1"/>
          <w:lang w:eastAsia="en-GB"/>
        </w:rPr>
        <w:t>m</w:t>
      </w:r>
      <w:r w:rsidRPr="00CE0885">
        <w:rPr>
          <w:lang w:eastAsia="en-GB"/>
        </w:rPr>
        <w:t>e</w:t>
      </w:r>
      <w:r w:rsidRPr="00CE0885">
        <w:rPr>
          <w:spacing w:val="-3"/>
          <w:lang w:eastAsia="en-GB"/>
        </w:rPr>
        <w:t xml:space="preserve"> </w:t>
      </w:r>
      <w:r w:rsidRPr="00CE0885">
        <w:rPr>
          <w:lang w:eastAsia="en-GB"/>
        </w:rPr>
        <w:t xml:space="preserve">to </w:t>
      </w:r>
      <w:r w:rsidRPr="00CE0885">
        <w:rPr>
          <w:spacing w:val="1"/>
          <w:lang w:eastAsia="en-GB"/>
        </w:rPr>
        <w:t>t</w:t>
      </w:r>
      <w:r w:rsidRPr="00CE0885">
        <w:rPr>
          <w:lang w:eastAsia="en-GB"/>
        </w:rPr>
        <w:t>i</w:t>
      </w:r>
      <w:r w:rsidRPr="00CE0885">
        <w:rPr>
          <w:spacing w:val="-1"/>
          <w:lang w:eastAsia="en-GB"/>
        </w:rPr>
        <w:t>m</w:t>
      </w:r>
      <w:r w:rsidRPr="00CE0885">
        <w:rPr>
          <w:spacing w:val="1"/>
          <w:lang w:eastAsia="en-GB"/>
        </w:rPr>
        <w:t>e</w:t>
      </w:r>
      <w:r w:rsidRPr="00CE0885">
        <w:rPr>
          <w:lang w:eastAsia="en-GB"/>
        </w:rPr>
        <w:t>,</w:t>
      </w:r>
      <w:r w:rsidRPr="00CE0885">
        <w:rPr>
          <w:spacing w:val="-4"/>
          <w:lang w:eastAsia="en-GB"/>
        </w:rPr>
        <w:t xml:space="preserve"> </w:t>
      </w:r>
      <w:r w:rsidRPr="00CE0885">
        <w:rPr>
          <w:lang w:eastAsia="en-GB"/>
        </w:rPr>
        <w:t xml:space="preserve">the contractor will need to notify the Commissioner that it wishes to vary the contract. The Commissioner should follow the process in paragraphs </w:t>
      </w:r>
      <w:r w:rsidRPr="00CE0885">
        <w:rPr>
          <w:lang w:eastAsia="en-GB"/>
        </w:rPr>
        <w:fldChar w:fldCharType="begin"/>
      </w:r>
      <w:r w:rsidRPr="00CE0885">
        <w:rPr>
          <w:lang w:eastAsia="en-GB"/>
        </w:rPr>
        <w:instrText xml:space="preserve"> REF _Ref410397872 \r \h  \* MERGEFORMAT </w:instrText>
      </w:r>
      <w:r w:rsidRPr="00CE0885">
        <w:rPr>
          <w:lang w:eastAsia="en-GB"/>
        </w:rPr>
      </w:r>
      <w:r w:rsidRPr="00CE0885">
        <w:rPr>
          <w:lang w:eastAsia="en-GB"/>
        </w:rPr>
        <w:fldChar w:fldCharType="separate"/>
      </w:r>
      <w:r w:rsidR="00054166">
        <w:rPr>
          <w:lang w:eastAsia="en-GB"/>
        </w:rPr>
        <w:t>7.5.21</w:t>
      </w:r>
      <w:r w:rsidRPr="00CE0885">
        <w:rPr>
          <w:lang w:eastAsia="en-GB"/>
        </w:rPr>
        <w:fldChar w:fldCharType="end"/>
      </w:r>
      <w:r w:rsidRPr="00CE0885">
        <w:rPr>
          <w:lang w:eastAsia="en-GB"/>
        </w:rPr>
        <w:t xml:space="preserve"> to </w:t>
      </w:r>
      <w:r w:rsidRPr="00CE0885">
        <w:rPr>
          <w:lang w:eastAsia="en-GB"/>
        </w:rPr>
        <w:fldChar w:fldCharType="begin"/>
      </w:r>
      <w:r w:rsidRPr="00CE0885">
        <w:rPr>
          <w:lang w:eastAsia="en-GB"/>
        </w:rPr>
        <w:instrText xml:space="preserve"> REF _Ref410397883 \r \h  \* MERGEFORMAT </w:instrText>
      </w:r>
      <w:r w:rsidRPr="00CE0885">
        <w:rPr>
          <w:lang w:eastAsia="en-GB"/>
        </w:rPr>
      </w:r>
      <w:r w:rsidRPr="00CE0885">
        <w:rPr>
          <w:lang w:eastAsia="en-GB"/>
        </w:rPr>
        <w:fldChar w:fldCharType="separate"/>
      </w:r>
      <w:r w:rsidR="00054166">
        <w:rPr>
          <w:lang w:eastAsia="en-GB"/>
        </w:rPr>
        <w:t>7.5.30</w:t>
      </w:r>
      <w:r w:rsidRPr="00CE0885">
        <w:rPr>
          <w:lang w:eastAsia="en-GB"/>
        </w:rPr>
        <w:fldChar w:fldCharType="end"/>
      </w:r>
      <w:r w:rsidRPr="00CE0885">
        <w:rPr>
          <w:lang w:eastAsia="en-GB"/>
        </w:rPr>
        <w:t xml:space="preserve"> of this policy.</w:t>
      </w:r>
      <w:bookmarkEnd w:id="716"/>
    </w:p>
    <w:p w14:paraId="646BEDFD" w14:textId="54DCE6C0" w:rsidR="00977693" w:rsidRPr="00CE0885" w:rsidRDefault="00977693" w:rsidP="006B781A">
      <w:pPr>
        <w:pStyle w:val="Heading3"/>
        <w:rPr>
          <w:lang w:eastAsia="en-GB"/>
        </w:rPr>
      </w:pPr>
      <w:bookmarkStart w:id="717" w:name="_Toc440981823"/>
      <w:r w:rsidRPr="00CE0885">
        <w:rPr>
          <w:spacing w:val="6"/>
          <w:lang w:eastAsia="en-GB"/>
        </w:rPr>
        <w:t>W</w:t>
      </w:r>
      <w:r w:rsidRPr="00CE0885">
        <w:rPr>
          <w:spacing w:val="-1"/>
          <w:lang w:eastAsia="en-GB"/>
        </w:rPr>
        <w:t>her</w:t>
      </w:r>
      <w:r w:rsidRPr="00CE0885">
        <w:rPr>
          <w:lang w:eastAsia="en-GB"/>
        </w:rPr>
        <w:t>e</w:t>
      </w:r>
      <w:r w:rsidRPr="00CE0885">
        <w:rPr>
          <w:spacing w:val="-8"/>
          <w:lang w:eastAsia="en-GB"/>
        </w:rPr>
        <w:t xml:space="preserve"> </w:t>
      </w:r>
      <w:r w:rsidRPr="00CE0885">
        <w:rPr>
          <w:spacing w:val="1"/>
          <w:lang w:eastAsia="en-GB"/>
        </w:rPr>
        <w:t>a</w:t>
      </w:r>
      <w:r w:rsidRPr="00CE0885">
        <w:rPr>
          <w:lang w:eastAsia="en-GB"/>
        </w:rPr>
        <w:t>n</w:t>
      </w:r>
      <w:r w:rsidRPr="00CE0885">
        <w:rPr>
          <w:spacing w:val="-4"/>
          <w:lang w:eastAsia="en-GB"/>
        </w:rPr>
        <w:t xml:space="preserve"> </w:t>
      </w:r>
      <w:r w:rsidRPr="00CE0885">
        <w:rPr>
          <w:lang w:eastAsia="en-GB"/>
        </w:rPr>
        <w:t>i</w:t>
      </w:r>
      <w:r w:rsidRPr="00CE0885">
        <w:rPr>
          <w:spacing w:val="1"/>
          <w:lang w:eastAsia="en-GB"/>
        </w:rPr>
        <w:t>nd</w:t>
      </w:r>
      <w:r w:rsidRPr="00CE0885">
        <w:rPr>
          <w:lang w:eastAsia="en-GB"/>
        </w:rPr>
        <w:t>ivi</w:t>
      </w:r>
      <w:r w:rsidRPr="00CE0885">
        <w:rPr>
          <w:spacing w:val="1"/>
          <w:lang w:eastAsia="en-GB"/>
        </w:rPr>
        <w:t>dua</w:t>
      </w:r>
      <w:r w:rsidRPr="00CE0885">
        <w:rPr>
          <w:lang w:eastAsia="en-GB"/>
        </w:rPr>
        <w:t>l</w:t>
      </w:r>
      <w:r w:rsidRPr="00CE0885">
        <w:rPr>
          <w:spacing w:val="-10"/>
          <w:lang w:eastAsia="en-GB"/>
        </w:rPr>
        <w:t xml:space="preserve"> </w:t>
      </w:r>
      <w:r w:rsidRPr="00CE0885">
        <w:rPr>
          <w:spacing w:val="-3"/>
          <w:lang w:eastAsia="en-GB"/>
        </w:rPr>
        <w:t>w</w:t>
      </w:r>
      <w:r w:rsidRPr="00CE0885">
        <w:rPr>
          <w:spacing w:val="2"/>
          <w:lang w:eastAsia="en-GB"/>
        </w:rPr>
        <w:t>i</w:t>
      </w:r>
      <w:r w:rsidRPr="00CE0885">
        <w:rPr>
          <w:lang w:eastAsia="en-GB"/>
        </w:rPr>
        <w:t>s</w:t>
      </w:r>
      <w:r w:rsidRPr="00CE0885">
        <w:rPr>
          <w:spacing w:val="1"/>
          <w:lang w:eastAsia="en-GB"/>
        </w:rPr>
        <w:t>he</w:t>
      </w:r>
      <w:r w:rsidRPr="00CE0885">
        <w:rPr>
          <w:lang w:eastAsia="en-GB"/>
        </w:rPr>
        <w:t>s</w:t>
      </w:r>
      <w:r w:rsidRPr="00CE0885">
        <w:rPr>
          <w:spacing w:val="-7"/>
          <w:lang w:eastAsia="en-GB"/>
        </w:rPr>
        <w:t xml:space="preserve"> </w:t>
      </w:r>
      <w:r w:rsidRPr="00CE0885">
        <w:rPr>
          <w:lang w:eastAsia="en-GB"/>
        </w:rPr>
        <w:t xml:space="preserve">to </w:t>
      </w:r>
      <w:r w:rsidRPr="00CE0885">
        <w:rPr>
          <w:spacing w:val="-1"/>
          <w:lang w:eastAsia="en-GB"/>
        </w:rPr>
        <w:t>r</w:t>
      </w:r>
      <w:r w:rsidRPr="00CE0885">
        <w:rPr>
          <w:spacing w:val="1"/>
          <w:lang w:eastAsia="en-GB"/>
        </w:rPr>
        <w:t>et</w:t>
      </w:r>
      <w:r w:rsidRPr="00CE0885">
        <w:rPr>
          <w:lang w:eastAsia="en-GB"/>
        </w:rPr>
        <w:t>i</w:t>
      </w:r>
      <w:r w:rsidRPr="00CE0885">
        <w:rPr>
          <w:spacing w:val="-1"/>
          <w:lang w:eastAsia="en-GB"/>
        </w:rPr>
        <w:t>r</w:t>
      </w:r>
      <w:r w:rsidRPr="00CE0885">
        <w:rPr>
          <w:lang w:eastAsia="en-GB"/>
        </w:rPr>
        <w:t>e</w:t>
      </w:r>
      <w:r w:rsidRPr="00CE0885">
        <w:rPr>
          <w:spacing w:val="-6"/>
          <w:lang w:eastAsia="en-GB"/>
        </w:rPr>
        <w:t xml:space="preserve"> </w:t>
      </w:r>
      <w:r w:rsidRPr="00CE0885">
        <w:rPr>
          <w:spacing w:val="3"/>
          <w:lang w:eastAsia="en-GB"/>
        </w:rPr>
        <w:t>f</w:t>
      </w:r>
      <w:r w:rsidRPr="00CE0885">
        <w:rPr>
          <w:spacing w:val="-1"/>
          <w:lang w:eastAsia="en-GB"/>
        </w:rPr>
        <w:t>ro</w:t>
      </w:r>
      <w:r w:rsidRPr="00CE0885">
        <w:rPr>
          <w:lang w:eastAsia="en-GB"/>
        </w:rPr>
        <w:t>m</w:t>
      </w:r>
      <w:r w:rsidRPr="00CE0885">
        <w:rPr>
          <w:spacing w:val="-5"/>
          <w:lang w:eastAsia="en-GB"/>
        </w:rPr>
        <w:t xml:space="preserve"> </w:t>
      </w:r>
      <w:r w:rsidRPr="00CE0885">
        <w:rPr>
          <w:lang w:eastAsia="en-GB"/>
        </w:rPr>
        <w:t>a</w:t>
      </w:r>
      <w:r w:rsidRPr="00CE0885">
        <w:rPr>
          <w:spacing w:val="1"/>
          <w:lang w:eastAsia="en-GB"/>
        </w:rPr>
        <w:t xml:space="preserve"> </w:t>
      </w:r>
      <w:r w:rsidRPr="00CE0885">
        <w:rPr>
          <w:lang w:eastAsia="en-GB"/>
        </w:rPr>
        <w:t>P</w:t>
      </w:r>
      <w:r w:rsidRPr="00CE0885">
        <w:rPr>
          <w:spacing w:val="-1"/>
          <w:lang w:eastAsia="en-GB"/>
        </w:rPr>
        <w:t>M</w:t>
      </w:r>
      <w:r w:rsidRPr="00CE0885">
        <w:rPr>
          <w:lang w:eastAsia="en-GB"/>
        </w:rPr>
        <w:t>S</w:t>
      </w:r>
      <w:r w:rsidRPr="00CE0885">
        <w:rPr>
          <w:spacing w:val="-4"/>
          <w:lang w:eastAsia="en-GB"/>
        </w:rPr>
        <w:t xml:space="preserve"> </w:t>
      </w:r>
      <w:r w:rsidRPr="00CE0885">
        <w:rPr>
          <w:lang w:eastAsia="en-GB"/>
        </w:rPr>
        <w:t>agreement,</w:t>
      </w:r>
      <w:r w:rsidRPr="00CE0885">
        <w:rPr>
          <w:spacing w:val="-8"/>
          <w:lang w:eastAsia="en-GB"/>
        </w:rPr>
        <w:t xml:space="preserve"> </w:t>
      </w:r>
      <w:r w:rsidRPr="00CE0885">
        <w:rPr>
          <w:spacing w:val="-3"/>
          <w:lang w:eastAsia="en-GB"/>
        </w:rPr>
        <w:t>w</w:t>
      </w:r>
      <w:r w:rsidRPr="00CE0885">
        <w:rPr>
          <w:spacing w:val="1"/>
          <w:lang w:eastAsia="en-GB"/>
        </w:rPr>
        <w:t>he</w:t>
      </w:r>
      <w:r w:rsidRPr="00CE0885">
        <w:rPr>
          <w:spacing w:val="-1"/>
          <w:lang w:eastAsia="en-GB"/>
        </w:rPr>
        <w:t>r</w:t>
      </w:r>
      <w:r w:rsidRPr="00CE0885">
        <w:rPr>
          <w:lang w:eastAsia="en-GB"/>
        </w:rPr>
        <w:t>e</w:t>
      </w:r>
      <w:r w:rsidRPr="00CE0885">
        <w:rPr>
          <w:spacing w:val="-5"/>
          <w:lang w:eastAsia="en-GB"/>
        </w:rPr>
        <w:t xml:space="preserve"> </w:t>
      </w:r>
      <w:r w:rsidRPr="00CE0885">
        <w:rPr>
          <w:spacing w:val="1"/>
          <w:lang w:eastAsia="en-GB"/>
        </w:rPr>
        <w:t>t</w:t>
      </w:r>
      <w:r w:rsidRPr="00CE0885">
        <w:rPr>
          <w:spacing w:val="-1"/>
          <w:lang w:eastAsia="en-GB"/>
        </w:rPr>
        <w:t>h</w:t>
      </w:r>
      <w:r w:rsidRPr="00CE0885">
        <w:rPr>
          <w:spacing w:val="1"/>
          <w:lang w:eastAsia="en-GB"/>
        </w:rPr>
        <w:t>a</w:t>
      </w:r>
      <w:r w:rsidRPr="00CE0885">
        <w:rPr>
          <w:lang w:eastAsia="en-GB"/>
        </w:rPr>
        <w:t>t agreement</w:t>
      </w:r>
      <w:r w:rsidRPr="00CE0885">
        <w:rPr>
          <w:spacing w:val="-8"/>
          <w:lang w:eastAsia="en-GB"/>
        </w:rPr>
        <w:t xml:space="preserve"> </w:t>
      </w:r>
      <w:r w:rsidRPr="00CE0885">
        <w:rPr>
          <w:lang w:eastAsia="en-GB"/>
        </w:rPr>
        <w:t>is</w:t>
      </w:r>
      <w:r w:rsidRPr="00CE0885">
        <w:rPr>
          <w:spacing w:val="-4"/>
          <w:lang w:eastAsia="en-GB"/>
        </w:rPr>
        <w:t xml:space="preserve"> </w:t>
      </w:r>
      <w:r w:rsidRPr="00CE0885">
        <w:rPr>
          <w:spacing w:val="1"/>
          <w:lang w:eastAsia="en-GB"/>
        </w:rPr>
        <w:t>a</w:t>
      </w:r>
      <w:r w:rsidRPr="00CE0885">
        <w:rPr>
          <w:lang w:eastAsia="en-GB"/>
        </w:rPr>
        <w:t>lso</w:t>
      </w:r>
      <w:r w:rsidRPr="00CE0885">
        <w:rPr>
          <w:spacing w:val="-5"/>
          <w:lang w:eastAsia="en-GB"/>
        </w:rPr>
        <w:t xml:space="preserve"> </w:t>
      </w:r>
      <w:r w:rsidRPr="00CE0885">
        <w:rPr>
          <w:spacing w:val="1"/>
          <w:lang w:eastAsia="en-GB"/>
        </w:rPr>
        <w:t>he</w:t>
      </w:r>
      <w:r w:rsidRPr="00CE0885">
        <w:rPr>
          <w:lang w:eastAsia="en-GB"/>
        </w:rPr>
        <w:t>ld</w:t>
      </w:r>
      <w:r w:rsidRPr="00CE0885">
        <w:rPr>
          <w:spacing w:val="-6"/>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spacing w:val="1"/>
          <w:lang w:eastAsia="en-GB"/>
        </w:rPr>
        <w:t>on</w:t>
      </w:r>
      <w:r w:rsidRPr="00CE0885">
        <w:rPr>
          <w:lang w:eastAsia="en-GB"/>
        </w:rPr>
        <w:t>e</w:t>
      </w:r>
      <w:r w:rsidRPr="00CE0885">
        <w:rPr>
          <w:spacing w:val="-5"/>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2"/>
          <w:lang w:eastAsia="en-GB"/>
        </w:rPr>
        <w:t>m</w:t>
      </w:r>
      <w:r w:rsidRPr="00CE0885">
        <w:rPr>
          <w:spacing w:val="1"/>
          <w:lang w:eastAsia="en-GB"/>
        </w:rPr>
        <w:t>o</w:t>
      </w:r>
      <w:r w:rsidRPr="00CE0885">
        <w:rPr>
          <w:spacing w:val="-3"/>
          <w:lang w:eastAsia="en-GB"/>
        </w:rPr>
        <w:t>r</w:t>
      </w:r>
      <w:r w:rsidRPr="00CE0885">
        <w:rPr>
          <w:lang w:eastAsia="en-GB"/>
        </w:rPr>
        <w:t>e</w:t>
      </w:r>
      <w:r w:rsidRPr="00CE0885">
        <w:rPr>
          <w:spacing w:val="-3"/>
          <w:lang w:eastAsia="en-GB"/>
        </w:rPr>
        <w:t xml:space="preserve"> </w:t>
      </w:r>
      <w:r w:rsidRPr="00CE0885">
        <w:rPr>
          <w:spacing w:val="1"/>
          <w:lang w:eastAsia="en-GB"/>
        </w:rPr>
        <w:t>o</w:t>
      </w:r>
      <w:r w:rsidRPr="00CE0885">
        <w:rPr>
          <w:lang w:eastAsia="en-GB"/>
        </w:rPr>
        <w:t>t</w:t>
      </w:r>
      <w:r w:rsidRPr="00CE0885">
        <w:rPr>
          <w:spacing w:val="1"/>
          <w:lang w:eastAsia="en-GB"/>
        </w:rPr>
        <w:t>he</w:t>
      </w:r>
      <w:r w:rsidRPr="00CE0885">
        <w:rPr>
          <w:lang w:eastAsia="en-GB"/>
        </w:rPr>
        <w:t>r</w:t>
      </w:r>
      <w:r w:rsidRPr="00CE0885">
        <w:rPr>
          <w:spacing w:val="-5"/>
          <w:lang w:eastAsia="en-GB"/>
        </w:rPr>
        <w:t xml:space="preserve"> </w:t>
      </w:r>
      <w:r w:rsidRPr="00CE0885">
        <w:rPr>
          <w:lang w:eastAsia="en-GB"/>
        </w:rPr>
        <w:t>i</w:t>
      </w:r>
      <w:r w:rsidRPr="00CE0885">
        <w:rPr>
          <w:spacing w:val="-1"/>
          <w:lang w:eastAsia="en-GB"/>
        </w:rPr>
        <w:t>n</w:t>
      </w:r>
      <w:r w:rsidRPr="00CE0885">
        <w:rPr>
          <w:spacing w:val="1"/>
          <w:lang w:eastAsia="en-GB"/>
        </w:rPr>
        <w:t>d</w:t>
      </w:r>
      <w:r w:rsidRPr="00CE0885">
        <w:rPr>
          <w:lang w:eastAsia="en-GB"/>
        </w:rPr>
        <w:t>ivi</w:t>
      </w:r>
      <w:r w:rsidRPr="00CE0885">
        <w:rPr>
          <w:spacing w:val="1"/>
          <w:lang w:eastAsia="en-GB"/>
        </w:rPr>
        <w:t>dua</w:t>
      </w:r>
      <w:r w:rsidRPr="00CE0885">
        <w:rPr>
          <w:lang w:eastAsia="en-GB"/>
        </w:rPr>
        <w:t xml:space="preserve">ls, </w:t>
      </w:r>
      <w:r w:rsidRPr="00CE0885">
        <w:rPr>
          <w:spacing w:val="-11"/>
          <w:lang w:eastAsia="en-GB"/>
        </w:rPr>
        <w:t xml:space="preserve">the contractor will need to notify the Commissioner that it wishes to vary the agreement.  The </w:t>
      </w:r>
      <w:r w:rsidRPr="00CE0885">
        <w:rPr>
          <w:spacing w:val="1"/>
          <w:lang w:eastAsia="en-GB"/>
        </w:rPr>
        <w:t>Commissioner</w:t>
      </w:r>
      <w:r w:rsidRPr="00CE0885">
        <w:rPr>
          <w:spacing w:val="-6"/>
          <w:lang w:eastAsia="en-GB"/>
        </w:rPr>
        <w:t xml:space="preserve"> </w:t>
      </w:r>
      <w:r w:rsidRPr="00CE0885">
        <w:rPr>
          <w:lang w:eastAsia="en-GB"/>
        </w:rPr>
        <w:t>s</w:t>
      </w:r>
      <w:r w:rsidRPr="00CE0885">
        <w:rPr>
          <w:spacing w:val="1"/>
          <w:lang w:eastAsia="en-GB"/>
        </w:rPr>
        <w:t>h</w:t>
      </w:r>
      <w:r w:rsidRPr="00CE0885">
        <w:rPr>
          <w:spacing w:val="-1"/>
          <w:lang w:eastAsia="en-GB"/>
        </w:rPr>
        <w:t>o</w:t>
      </w:r>
      <w:r w:rsidRPr="00CE0885">
        <w:rPr>
          <w:spacing w:val="1"/>
          <w:lang w:eastAsia="en-GB"/>
        </w:rPr>
        <w:t>u</w:t>
      </w:r>
      <w:r w:rsidRPr="00CE0885">
        <w:rPr>
          <w:lang w:eastAsia="en-GB"/>
        </w:rPr>
        <w:t>ld</w:t>
      </w:r>
      <w:r w:rsidRPr="00CE0885">
        <w:rPr>
          <w:spacing w:val="-5"/>
          <w:lang w:eastAsia="en-GB"/>
        </w:rPr>
        <w:t xml:space="preserve"> </w:t>
      </w:r>
      <w:r w:rsidRPr="00CE0885">
        <w:rPr>
          <w:spacing w:val="1"/>
          <w:lang w:eastAsia="en-GB"/>
        </w:rPr>
        <w:t>fo</w:t>
      </w:r>
      <w:r w:rsidRPr="00CE0885">
        <w:rPr>
          <w:lang w:eastAsia="en-GB"/>
        </w:rPr>
        <w:t>ll</w:t>
      </w:r>
      <w:r w:rsidRPr="00CE0885">
        <w:rPr>
          <w:spacing w:val="1"/>
          <w:lang w:eastAsia="en-GB"/>
        </w:rPr>
        <w:t>o</w:t>
      </w:r>
      <w:r w:rsidRPr="00CE0885">
        <w:rPr>
          <w:lang w:eastAsia="en-GB"/>
        </w:rPr>
        <w:t>w</w:t>
      </w:r>
      <w:r w:rsidRPr="00CE0885">
        <w:rPr>
          <w:spacing w:val="-8"/>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spacing w:val="1"/>
          <w:lang w:eastAsia="en-GB"/>
        </w:rPr>
        <w:t>p</w:t>
      </w:r>
      <w:r w:rsidRPr="00CE0885">
        <w:rPr>
          <w:spacing w:val="-1"/>
          <w:lang w:eastAsia="en-GB"/>
        </w:rPr>
        <w:t>r</w:t>
      </w:r>
      <w:r w:rsidRPr="00CE0885">
        <w:rPr>
          <w:spacing w:val="1"/>
          <w:lang w:eastAsia="en-GB"/>
        </w:rPr>
        <w:t>o</w:t>
      </w:r>
      <w:r w:rsidRPr="00CE0885">
        <w:rPr>
          <w:lang w:eastAsia="en-GB"/>
        </w:rPr>
        <w:t>c</w:t>
      </w:r>
      <w:r w:rsidRPr="00CE0885">
        <w:rPr>
          <w:spacing w:val="1"/>
          <w:lang w:eastAsia="en-GB"/>
        </w:rPr>
        <w:t>e</w:t>
      </w:r>
      <w:r w:rsidRPr="00CE0885">
        <w:rPr>
          <w:lang w:eastAsia="en-GB"/>
        </w:rPr>
        <w:t>ss</w:t>
      </w:r>
      <w:r w:rsidRPr="00CE0885">
        <w:rPr>
          <w:spacing w:val="-8"/>
          <w:lang w:eastAsia="en-GB"/>
        </w:rPr>
        <w:t xml:space="preserve"> </w:t>
      </w:r>
      <w:r w:rsidRPr="00CE0885">
        <w:rPr>
          <w:lang w:eastAsia="en-GB"/>
        </w:rPr>
        <w:t>in paragraphs</w:t>
      </w:r>
      <w:r w:rsidRPr="00CE0885">
        <w:rPr>
          <w:spacing w:val="-9"/>
          <w:lang w:eastAsia="en-GB"/>
        </w:rPr>
        <w:t xml:space="preserve"> </w:t>
      </w:r>
      <w:r w:rsidRPr="00CE0885">
        <w:rPr>
          <w:spacing w:val="1"/>
          <w:highlight w:val="yellow"/>
          <w:lang w:eastAsia="en-GB"/>
        </w:rPr>
        <w:fldChar w:fldCharType="begin"/>
      </w:r>
      <w:r w:rsidRPr="00CE0885">
        <w:rPr>
          <w:spacing w:val="-9"/>
          <w:lang w:eastAsia="en-GB"/>
        </w:rPr>
        <w:instrText xml:space="preserve"> REF _Ref410394717 \r \h </w:instrText>
      </w:r>
      <w:r w:rsidRPr="00CE0885">
        <w:rPr>
          <w:spacing w:val="1"/>
          <w:highlight w:val="yellow"/>
          <w:lang w:eastAsia="en-GB"/>
        </w:rPr>
        <w:instrText xml:space="preserve"> \* MERGEFORMAT </w:instrText>
      </w:r>
      <w:r w:rsidRPr="00CE0885">
        <w:rPr>
          <w:spacing w:val="1"/>
          <w:highlight w:val="yellow"/>
          <w:lang w:eastAsia="en-GB"/>
        </w:rPr>
      </w:r>
      <w:r w:rsidRPr="00CE0885">
        <w:rPr>
          <w:spacing w:val="1"/>
          <w:highlight w:val="yellow"/>
          <w:lang w:eastAsia="en-GB"/>
        </w:rPr>
        <w:fldChar w:fldCharType="separate"/>
      </w:r>
      <w:r w:rsidR="00054166">
        <w:rPr>
          <w:spacing w:val="-9"/>
          <w:lang w:eastAsia="en-GB"/>
        </w:rPr>
        <w:t>7.5.31</w:t>
      </w:r>
      <w:r w:rsidRPr="00CE0885">
        <w:rPr>
          <w:spacing w:val="1"/>
          <w:highlight w:val="yellow"/>
          <w:lang w:eastAsia="en-GB"/>
        </w:rPr>
        <w:fldChar w:fldCharType="end"/>
      </w:r>
      <w:r w:rsidRPr="00CE0885">
        <w:rPr>
          <w:spacing w:val="1"/>
          <w:lang w:eastAsia="en-GB"/>
        </w:rPr>
        <w:t xml:space="preserve"> to </w:t>
      </w:r>
      <w:r w:rsidRPr="00CE0885">
        <w:rPr>
          <w:spacing w:val="1"/>
          <w:highlight w:val="yellow"/>
          <w:lang w:eastAsia="en-GB"/>
        </w:rPr>
        <w:fldChar w:fldCharType="begin"/>
      </w:r>
      <w:r w:rsidRPr="00CE0885">
        <w:rPr>
          <w:spacing w:val="1"/>
          <w:lang w:eastAsia="en-GB"/>
        </w:rPr>
        <w:instrText xml:space="preserve"> REF _Ref410398056 \r \h </w:instrText>
      </w:r>
      <w:r w:rsidRPr="00CE0885">
        <w:rPr>
          <w:spacing w:val="1"/>
          <w:highlight w:val="yellow"/>
          <w:lang w:eastAsia="en-GB"/>
        </w:rPr>
        <w:instrText xml:space="preserve"> \* MERGEFORMAT </w:instrText>
      </w:r>
      <w:r w:rsidRPr="00CE0885">
        <w:rPr>
          <w:spacing w:val="1"/>
          <w:highlight w:val="yellow"/>
          <w:lang w:eastAsia="en-GB"/>
        </w:rPr>
      </w:r>
      <w:r w:rsidRPr="00CE0885">
        <w:rPr>
          <w:spacing w:val="1"/>
          <w:highlight w:val="yellow"/>
          <w:lang w:eastAsia="en-GB"/>
        </w:rPr>
        <w:fldChar w:fldCharType="separate"/>
      </w:r>
      <w:r w:rsidR="00054166">
        <w:rPr>
          <w:spacing w:val="1"/>
          <w:lang w:eastAsia="en-GB"/>
        </w:rPr>
        <w:t>7.5.40</w:t>
      </w:r>
      <w:r w:rsidRPr="00CE0885">
        <w:rPr>
          <w:spacing w:val="1"/>
          <w:highlight w:val="yellow"/>
          <w:lang w:eastAsia="en-GB"/>
        </w:rPr>
        <w:fldChar w:fldCharType="end"/>
      </w:r>
      <w:r w:rsidRPr="00CE0885">
        <w:rPr>
          <w:spacing w:val="1"/>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th</w:t>
      </w:r>
      <w:r w:rsidRPr="00CE0885">
        <w:rPr>
          <w:lang w:eastAsia="en-GB"/>
        </w:rPr>
        <w:t>is</w:t>
      </w:r>
      <w:r w:rsidRPr="00CE0885">
        <w:rPr>
          <w:spacing w:val="-4"/>
          <w:lang w:eastAsia="en-GB"/>
        </w:rPr>
        <w:t xml:space="preserve"> </w:t>
      </w:r>
      <w:r w:rsidRPr="00CE0885">
        <w:rPr>
          <w:lang w:eastAsia="en-GB"/>
        </w:rPr>
        <w:t>policy</w:t>
      </w:r>
      <w:r w:rsidRPr="00CE0885">
        <w:rPr>
          <w:spacing w:val="-6"/>
          <w:lang w:eastAsia="en-GB"/>
        </w:rPr>
        <w:t>.</w:t>
      </w:r>
      <w:bookmarkEnd w:id="717"/>
    </w:p>
    <w:p w14:paraId="1B95EAFD" w14:textId="343D1462" w:rsidR="00977693" w:rsidRPr="00CE0885" w:rsidRDefault="00977693" w:rsidP="006B781A">
      <w:pPr>
        <w:pStyle w:val="Heading3"/>
        <w:rPr>
          <w:lang w:eastAsia="en-GB"/>
        </w:rPr>
      </w:pPr>
      <w:bookmarkStart w:id="718" w:name="_Toc440981824"/>
      <w:r w:rsidRPr="00CE0885">
        <w:rPr>
          <w:spacing w:val="6"/>
          <w:lang w:eastAsia="en-GB"/>
        </w:rPr>
        <w:t>W</w:t>
      </w:r>
      <w:r w:rsidRPr="00CE0885">
        <w:rPr>
          <w:spacing w:val="-1"/>
          <w:lang w:eastAsia="en-GB"/>
        </w:rPr>
        <w:t>her</w:t>
      </w:r>
      <w:r w:rsidRPr="00CE0885">
        <w:rPr>
          <w:lang w:eastAsia="en-GB"/>
        </w:rPr>
        <w:t>e</w:t>
      </w:r>
      <w:r w:rsidRPr="00CE0885">
        <w:rPr>
          <w:spacing w:val="-8"/>
          <w:lang w:eastAsia="en-GB"/>
        </w:rPr>
        <w:t xml:space="preserve"> </w:t>
      </w:r>
      <w:r w:rsidRPr="00CE0885">
        <w:rPr>
          <w:lang w:eastAsia="en-GB"/>
        </w:rPr>
        <w:t>a pa</w:t>
      </w:r>
      <w:r w:rsidRPr="00CE0885">
        <w:rPr>
          <w:spacing w:val="-1"/>
          <w:lang w:eastAsia="en-GB"/>
        </w:rPr>
        <w:t>r</w:t>
      </w:r>
      <w:r w:rsidRPr="00CE0885">
        <w:rPr>
          <w:lang w:eastAsia="en-GB"/>
        </w:rPr>
        <w:t>t</w:t>
      </w:r>
      <w:r w:rsidRPr="00CE0885">
        <w:rPr>
          <w:spacing w:val="-1"/>
          <w:lang w:eastAsia="en-GB"/>
        </w:rPr>
        <w:t>n</w:t>
      </w:r>
      <w:r w:rsidRPr="00CE0885">
        <w:rPr>
          <w:lang w:eastAsia="en-GB"/>
        </w:rPr>
        <w:t>er</w:t>
      </w:r>
      <w:r w:rsidRPr="00CE0885">
        <w:rPr>
          <w:spacing w:val="-8"/>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 xml:space="preserve">a </w:t>
      </w:r>
      <w:r w:rsidRPr="00CE0885">
        <w:rPr>
          <w:spacing w:val="-1"/>
          <w:lang w:eastAsia="en-GB"/>
        </w:rPr>
        <w:t>p</w:t>
      </w:r>
      <w:r w:rsidRPr="00CE0885">
        <w:rPr>
          <w:lang w:eastAsia="en-GB"/>
        </w:rPr>
        <w:t>a</w:t>
      </w:r>
      <w:r w:rsidRPr="00CE0885">
        <w:rPr>
          <w:spacing w:val="-1"/>
          <w:lang w:eastAsia="en-GB"/>
        </w:rPr>
        <w:t>r</w:t>
      </w:r>
      <w:r w:rsidRPr="00CE0885">
        <w:rPr>
          <w:lang w:eastAsia="en-GB"/>
        </w:rPr>
        <w:t>tne</w:t>
      </w:r>
      <w:r w:rsidRPr="00CE0885">
        <w:rPr>
          <w:spacing w:val="-1"/>
          <w:lang w:eastAsia="en-GB"/>
        </w:rPr>
        <w:t>r</w:t>
      </w:r>
      <w:r w:rsidRPr="00CE0885">
        <w:rPr>
          <w:lang w:eastAsia="en-GB"/>
        </w:rPr>
        <w:t>ship</w:t>
      </w:r>
      <w:r w:rsidRPr="00CE0885">
        <w:rPr>
          <w:spacing w:val="-13"/>
          <w:lang w:eastAsia="en-GB"/>
        </w:rPr>
        <w:t xml:space="preserve"> </w:t>
      </w:r>
      <w:r w:rsidRPr="00CE0885">
        <w:rPr>
          <w:lang w:eastAsia="en-GB"/>
        </w:rPr>
        <w:t>hold</w:t>
      </w:r>
      <w:r w:rsidRPr="00CE0885">
        <w:rPr>
          <w:spacing w:val="-3"/>
          <w:lang w:eastAsia="en-GB"/>
        </w:rPr>
        <w:t>i</w:t>
      </w:r>
      <w:r w:rsidRPr="00CE0885">
        <w:rPr>
          <w:lang w:eastAsia="en-GB"/>
        </w:rPr>
        <w:t>ng</w:t>
      </w:r>
      <w:r w:rsidRPr="00CE0885">
        <w:rPr>
          <w:spacing w:val="-9"/>
          <w:lang w:eastAsia="en-GB"/>
        </w:rPr>
        <w:t xml:space="preserve"> </w:t>
      </w:r>
      <w:r w:rsidRPr="00CE0885">
        <w:rPr>
          <w:lang w:eastAsia="en-GB"/>
        </w:rPr>
        <w:t>an</w:t>
      </w:r>
      <w:r w:rsidRPr="00CE0885">
        <w:rPr>
          <w:spacing w:val="-4"/>
          <w:lang w:eastAsia="en-GB"/>
        </w:rPr>
        <w:t xml:space="preserve"> </w:t>
      </w:r>
      <w:r w:rsidRPr="00CE0885">
        <w:rPr>
          <w:lang w:eastAsia="en-GB"/>
        </w:rPr>
        <w:t>AP</w:t>
      </w:r>
      <w:r w:rsidRPr="00CE0885">
        <w:rPr>
          <w:spacing w:val="-1"/>
          <w:lang w:eastAsia="en-GB"/>
        </w:rPr>
        <w:t>M</w:t>
      </w:r>
      <w:r w:rsidRPr="00CE0885">
        <w:rPr>
          <w:lang w:eastAsia="en-GB"/>
        </w:rPr>
        <w:t>S</w:t>
      </w:r>
      <w:r w:rsidRPr="00CE0885">
        <w:rPr>
          <w:spacing w:val="-6"/>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act</w:t>
      </w:r>
      <w:r w:rsidRPr="00CE0885">
        <w:rPr>
          <w:spacing w:val="-8"/>
          <w:lang w:eastAsia="en-GB"/>
        </w:rPr>
        <w:t xml:space="preserve"> </w:t>
      </w:r>
      <w:r w:rsidRPr="00CE0885">
        <w:rPr>
          <w:spacing w:val="-3"/>
          <w:lang w:eastAsia="en-GB"/>
        </w:rPr>
        <w:t>w</w:t>
      </w:r>
      <w:r w:rsidRPr="00CE0885">
        <w:rPr>
          <w:lang w:eastAsia="en-GB"/>
        </w:rPr>
        <w:t>ishes</w:t>
      </w:r>
      <w:r w:rsidRPr="00CE0885">
        <w:rPr>
          <w:spacing w:val="-9"/>
          <w:lang w:eastAsia="en-GB"/>
        </w:rPr>
        <w:t xml:space="preserve"> </w:t>
      </w:r>
      <w:r w:rsidRPr="00CE0885">
        <w:rPr>
          <w:lang w:eastAsia="en-GB"/>
        </w:rPr>
        <w:t xml:space="preserve">to </w:t>
      </w:r>
      <w:r w:rsidRPr="00CE0885">
        <w:rPr>
          <w:spacing w:val="-1"/>
          <w:lang w:eastAsia="en-GB"/>
        </w:rPr>
        <w:t>r</w:t>
      </w:r>
      <w:r w:rsidRPr="00CE0885">
        <w:rPr>
          <w:lang w:eastAsia="en-GB"/>
        </w:rPr>
        <w:t>eti</w:t>
      </w:r>
      <w:r w:rsidRPr="00CE0885">
        <w:rPr>
          <w:spacing w:val="-1"/>
          <w:lang w:eastAsia="en-GB"/>
        </w:rPr>
        <w:t>r</w:t>
      </w:r>
      <w:r w:rsidRPr="00CE0885">
        <w:rPr>
          <w:lang w:eastAsia="en-GB"/>
        </w:rPr>
        <w:t>e,</w:t>
      </w:r>
      <w:r w:rsidRPr="00CE0885">
        <w:rPr>
          <w:spacing w:val="-5"/>
          <w:lang w:eastAsia="en-GB"/>
        </w:rPr>
        <w:t xml:space="preserve"> the </w:t>
      </w:r>
      <w:r w:rsidRPr="00CE0885">
        <w:rPr>
          <w:lang w:eastAsia="en-GB"/>
        </w:rPr>
        <w:t>Commissioner</w:t>
      </w:r>
      <w:r w:rsidRPr="00CE0885">
        <w:rPr>
          <w:spacing w:val="-4"/>
          <w:lang w:eastAsia="en-GB"/>
        </w:rPr>
        <w:t xml:space="preserve"> </w:t>
      </w:r>
      <w:r w:rsidRPr="00CE0885">
        <w:rPr>
          <w:lang w:eastAsia="en-GB"/>
        </w:rPr>
        <w:t>s</w:t>
      </w:r>
      <w:r w:rsidRPr="00CE0885">
        <w:rPr>
          <w:spacing w:val="-1"/>
          <w:lang w:eastAsia="en-GB"/>
        </w:rPr>
        <w:t>h</w:t>
      </w:r>
      <w:r w:rsidRPr="00CE0885">
        <w:rPr>
          <w:lang w:eastAsia="en-GB"/>
        </w:rPr>
        <w:t>ould</w:t>
      </w:r>
      <w:r w:rsidRPr="00CE0885">
        <w:rPr>
          <w:spacing w:val="-10"/>
          <w:lang w:eastAsia="en-GB"/>
        </w:rPr>
        <w:t xml:space="preserve"> </w:t>
      </w:r>
      <w:r w:rsidRPr="00CE0885">
        <w:rPr>
          <w:spacing w:val="3"/>
          <w:lang w:eastAsia="en-GB"/>
        </w:rPr>
        <w:t>f</w:t>
      </w:r>
      <w:r w:rsidRPr="00CE0885">
        <w:rPr>
          <w:lang w:eastAsia="en-GB"/>
        </w:rPr>
        <w:t>oll</w:t>
      </w:r>
      <w:r w:rsidRPr="00CE0885">
        <w:rPr>
          <w:spacing w:val="-1"/>
          <w:lang w:eastAsia="en-GB"/>
        </w:rPr>
        <w:t>o</w:t>
      </w:r>
      <w:r w:rsidRPr="00CE0885">
        <w:rPr>
          <w:lang w:eastAsia="en-GB"/>
        </w:rPr>
        <w:t>w</w:t>
      </w:r>
      <w:r w:rsidRPr="00CE0885">
        <w:rPr>
          <w:spacing w:val="-8"/>
          <w:lang w:eastAsia="en-GB"/>
        </w:rPr>
        <w:t xml:space="preserve"> </w:t>
      </w:r>
      <w:r w:rsidRPr="00CE0885">
        <w:rPr>
          <w:lang w:eastAsia="en-GB"/>
        </w:rPr>
        <w:t>any</w:t>
      </w:r>
      <w:r w:rsidRPr="00CE0885">
        <w:rPr>
          <w:spacing w:val="-6"/>
          <w:lang w:eastAsia="en-GB"/>
        </w:rPr>
        <w:t xml:space="preserve"> </w:t>
      </w:r>
      <w:r w:rsidRPr="00CE0885">
        <w:rPr>
          <w:lang w:eastAsia="en-GB"/>
        </w:rPr>
        <w:t>p</w:t>
      </w:r>
      <w:r w:rsidRPr="00CE0885">
        <w:rPr>
          <w:spacing w:val="-1"/>
          <w:lang w:eastAsia="en-GB"/>
        </w:rPr>
        <w:t>r</w:t>
      </w:r>
      <w:r w:rsidRPr="00CE0885">
        <w:rPr>
          <w:lang w:eastAsia="en-GB"/>
        </w:rPr>
        <w:t>ocess</w:t>
      </w:r>
      <w:r w:rsidRPr="00CE0885">
        <w:rPr>
          <w:spacing w:val="-8"/>
          <w:lang w:eastAsia="en-GB"/>
        </w:rPr>
        <w:t xml:space="preserve"> </w:t>
      </w:r>
      <w:r w:rsidRPr="00CE0885">
        <w:rPr>
          <w:lang w:eastAsia="en-GB"/>
        </w:rPr>
        <w:t>d</w:t>
      </w:r>
      <w:r w:rsidRPr="00CE0885">
        <w:rPr>
          <w:spacing w:val="-1"/>
          <w:lang w:eastAsia="en-GB"/>
        </w:rPr>
        <w:t>e</w:t>
      </w:r>
      <w:r w:rsidRPr="00CE0885">
        <w:rPr>
          <w:spacing w:val="3"/>
          <w:lang w:eastAsia="en-GB"/>
        </w:rPr>
        <w:t>f</w:t>
      </w:r>
      <w:r w:rsidRPr="00CE0885">
        <w:rPr>
          <w:lang w:eastAsia="en-GB"/>
        </w:rPr>
        <w:t>i</w:t>
      </w:r>
      <w:r w:rsidRPr="00CE0885">
        <w:rPr>
          <w:spacing w:val="-1"/>
          <w:lang w:eastAsia="en-GB"/>
        </w:rPr>
        <w:t>n</w:t>
      </w:r>
      <w:r w:rsidRPr="00CE0885">
        <w:rPr>
          <w:lang w:eastAsia="en-GB"/>
        </w:rPr>
        <w:t>ed</w:t>
      </w:r>
      <w:r w:rsidRPr="00CE0885">
        <w:rPr>
          <w:spacing w:val="-9"/>
          <w:lang w:eastAsia="en-GB"/>
        </w:rPr>
        <w:t xml:space="preserve"> </w:t>
      </w:r>
      <w:r w:rsidRPr="00CE0885">
        <w:rPr>
          <w:spacing w:val="-3"/>
          <w:lang w:eastAsia="en-GB"/>
        </w:rPr>
        <w:t>w</w:t>
      </w:r>
      <w:r w:rsidRPr="00CE0885">
        <w:rPr>
          <w:lang w:eastAsia="en-GB"/>
        </w:rPr>
        <w:t>ithin</w:t>
      </w:r>
      <w:r w:rsidRPr="00CE0885">
        <w:rPr>
          <w:spacing w:val="-4"/>
          <w:lang w:eastAsia="en-GB"/>
        </w:rPr>
        <w:t xml:space="preserve"> </w:t>
      </w:r>
      <w:r w:rsidRPr="00CE0885">
        <w:rPr>
          <w:lang w:eastAsia="en-GB"/>
        </w:rPr>
        <w:t>the</w:t>
      </w:r>
      <w:r w:rsidRPr="00CE0885">
        <w:rPr>
          <w:spacing w:val="-1"/>
          <w:lang w:eastAsia="en-GB"/>
        </w:rPr>
        <w:t xml:space="preserve"> </w:t>
      </w:r>
      <w:r w:rsidRPr="00CE0885">
        <w:rPr>
          <w:lang w:eastAsia="en-GB"/>
        </w:rPr>
        <w:t>co</w:t>
      </w:r>
      <w:r w:rsidRPr="00CE0885">
        <w:rPr>
          <w:spacing w:val="-1"/>
          <w:lang w:eastAsia="en-GB"/>
        </w:rPr>
        <w:t>n</w:t>
      </w:r>
      <w:r w:rsidRPr="00CE0885">
        <w:rPr>
          <w:lang w:eastAsia="en-GB"/>
        </w:rPr>
        <w:t>t</w:t>
      </w:r>
      <w:r w:rsidRPr="00CE0885">
        <w:rPr>
          <w:spacing w:val="-1"/>
          <w:lang w:eastAsia="en-GB"/>
        </w:rPr>
        <w:t>r</w:t>
      </w:r>
      <w:r w:rsidRPr="00CE0885">
        <w:rPr>
          <w:lang w:eastAsia="en-GB"/>
        </w:rPr>
        <w:t>act,</w:t>
      </w:r>
      <w:r w:rsidRPr="00CE0885">
        <w:rPr>
          <w:spacing w:val="-10"/>
          <w:lang w:eastAsia="en-GB"/>
        </w:rPr>
        <w:t xml:space="preserve"> </w:t>
      </w:r>
      <w:r w:rsidRPr="00CE0885">
        <w:rPr>
          <w:lang w:eastAsia="en-GB"/>
        </w:rPr>
        <w:t>or in the</w:t>
      </w:r>
      <w:r w:rsidRPr="00CE0885">
        <w:rPr>
          <w:spacing w:val="-4"/>
          <w:lang w:eastAsia="en-GB"/>
        </w:rPr>
        <w:t xml:space="preserve"> </w:t>
      </w:r>
      <w:r w:rsidRPr="00CE0885">
        <w:rPr>
          <w:lang w:eastAsia="en-GB"/>
        </w:rPr>
        <w:t>abs</w:t>
      </w:r>
      <w:r w:rsidRPr="00CE0885">
        <w:rPr>
          <w:spacing w:val="-1"/>
          <w:lang w:eastAsia="en-GB"/>
        </w:rPr>
        <w:t>e</w:t>
      </w:r>
      <w:r w:rsidRPr="00CE0885">
        <w:rPr>
          <w:lang w:eastAsia="en-GB"/>
        </w:rPr>
        <w:t>nce</w:t>
      </w:r>
      <w:r w:rsidRPr="00CE0885">
        <w:rPr>
          <w:spacing w:val="-10"/>
          <w:lang w:eastAsia="en-GB"/>
        </w:rPr>
        <w:t xml:space="preserve"> </w:t>
      </w:r>
      <w:r w:rsidRPr="00CE0885">
        <w:rPr>
          <w:spacing w:val="-1"/>
          <w:lang w:eastAsia="en-GB"/>
        </w:rPr>
        <w:t>o</w:t>
      </w:r>
      <w:r w:rsidRPr="00CE0885">
        <w:rPr>
          <w:lang w:eastAsia="en-GB"/>
        </w:rPr>
        <w:t xml:space="preserve">f </w:t>
      </w:r>
      <w:r w:rsidRPr="00CE0885">
        <w:rPr>
          <w:spacing w:val="-1"/>
          <w:lang w:eastAsia="en-GB"/>
        </w:rPr>
        <w:t>a</w:t>
      </w:r>
      <w:r w:rsidRPr="00CE0885">
        <w:rPr>
          <w:lang w:eastAsia="en-GB"/>
        </w:rPr>
        <w:t>ny</w:t>
      </w:r>
      <w:r w:rsidRPr="00CE0885">
        <w:rPr>
          <w:spacing w:val="-6"/>
          <w:lang w:eastAsia="en-GB"/>
        </w:rPr>
        <w:t xml:space="preserve"> </w:t>
      </w:r>
      <w:r w:rsidRPr="00CE0885">
        <w:rPr>
          <w:lang w:eastAsia="en-GB"/>
        </w:rPr>
        <w:t>d</w:t>
      </w:r>
      <w:r w:rsidRPr="00CE0885">
        <w:rPr>
          <w:spacing w:val="-1"/>
          <w:lang w:eastAsia="en-GB"/>
        </w:rPr>
        <w:t>e</w:t>
      </w:r>
      <w:r w:rsidRPr="00CE0885">
        <w:rPr>
          <w:lang w:eastAsia="en-GB"/>
        </w:rPr>
        <w:t>fined p</w:t>
      </w:r>
      <w:r w:rsidRPr="00CE0885">
        <w:rPr>
          <w:spacing w:val="-1"/>
          <w:lang w:eastAsia="en-GB"/>
        </w:rPr>
        <w:t>r</w:t>
      </w:r>
      <w:r w:rsidRPr="00CE0885">
        <w:rPr>
          <w:lang w:eastAsia="en-GB"/>
        </w:rPr>
        <w:t>ocess</w:t>
      </w:r>
      <w:r w:rsidRPr="00CE0885">
        <w:rPr>
          <w:spacing w:val="-8"/>
          <w:lang w:eastAsia="en-GB"/>
        </w:rPr>
        <w:t xml:space="preserve">, </w:t>
      </w:r>
      <w:r w:rsidRPr="00CE0885">
        <w:rPr>
          <w:lang w:eastAsia="en-GB"/>
        </w:rPr>
        <w:t>the</w:t>
      </w:r>
      <w:r w:rsidRPr="00CE0885">
        <w:rPr>
          <w:spacing w:val="-1"/>
          <w:lang w:eastAsia="en-GB"/>
        </w:rPr>
        <w:t xml:space="preserve"> </w:t>
      </w:r>
      <w:r w:rsidRPr="00CE0885">
        <w:rPr>
          <w:lang w:eastAsia="en-GB"/>
        </w:rPr>
        <w:t>consent</w:t>
      </w:r>
      <w:r w:rsidRPr="00CE0885">
        <w:rPr>
          <w:spacing w:val="-9"/>
          <w:lang w:eastAsia="en-GB"/>
        </w:rPr>
        <w:t xml:space="preserve"> </w:t>
      </w:r>
      <w:r w:rsidRPr="00CE0885">
        <w:rPr>
          <w:spacing w:val="-1"/>
          <w:lang w:eastAsia="en-GB"/>
        </w:rPr>
        <w:t>o</w:t>
      </w:r>
      <w:r w:rsidRPr="00CE0885">
        <w:rPr>
          <w:lang w:eastAsia="en-GB"/>
        </w:rPr>
        <w:t>f the</w:t>
      </w:r>
      <w:r w:rsidRPr="00CE0885">
        <w:rPr>
          <w:spacing w:val="-1"/>
          <w:lang w:eastAsia="en-GB"/>
        </w:rPr>
        <w:t xml:space="preserve"> </w:t>
      </w:r>
      <w:r w:rsidRPr="00CE0885">
        <w:rPr>
          <w:lang w:eastAsia="en-GB"/>
        </w:rPr>
        <w:t>Commissioner</w:t>
      </w:r>
      <w:r w:rsidRPr="00CE0885">
        <w:rPr>
          <w:spacing w:val="-3"/>
          <w:lang w:eastAsia="en-GB"/>
        </w:rPr>
        <w:t xml:space="preserve"> </w:t>
      </w:r>
      <w:r w:rsidRPr="00CE0885">
        <w:rPr>
          <w:spacing w:val="-1"/>
          <w:lang w:eastAsia="en-GB"/>
        </w:rPr>
        <w:t>m</w:t>
      </w:r>
      <w:r w:rsidRPr="00CE0885">
        <w:rPr>
          <w:lang w:eastAsia="en-GB"/>
        </w:rPr>
        <w:t>ust</w:t>
      </w:r>
      <w:r w:rsidRPr="00CE0885">
        <w:rPr>
          <w:spacing w:val="-4"/>
          <w:lang w:eastAsia="en-GB"/>
        </w:rPr>
        <w:t xml:space="preserve"> </w:t>
      </w:r>
      <w:r w:rsidRPr="00CE0885">
        <w:rPr>
          <w:spacing w:val="-1"/>
          <w:lang w:eastAsia="en-GB"/>
        </w:rPr>
        <w:t>b</w:t>
      </w:r>
      <w:r w:rsidRPr="00CE0885">
        <w:rPr>
          <w:lang w:eastAsia="en-GB"/>
        </w:rPr>
        <w:t>e sou</w:t>
      </w:r>
      <w:r w:rsidRPr="00CE0885">
        <w:rPr>
          <w:spacing w:val="-1"/>
          <w:lang w:eastAsia="en-GB"/>
        </w:rPr>
        <w:t>g</w:t>
      </w:r>
      <w:r w:rsidRPr="00CE0885">
        <w:rPr>
          <w:lang w:eastAsia="en-GB"/>
        </w:rPr>
        <w:t>ht</w:t>
      </w:r>
      <w:r w:rsidRPr="00CE0885">
        <w:rPr>
          <w:spacing w:val="-6"/>
          <w:lang w:eastAsia="en-GB"/>
        </w:rPr>
        <w:t xml:space="preserve"> </w:t>
      </w:r>
      <w:r w:rsidRPr="00CE0885">
        <w:rPr>
          <w:lang w:eastAsia="en-GB"/>
        </w:rPr>
        <w:t>th</w:t>
      </w:r>
      <w:r w:rsidRPr="00CE0885">
        <w:rPr>
          <w:spacing w:val="-1"/>
          <w:lang w:eastAsia="en-GB"/>
        </w:rPr>
        <w:t>r</w:t>
      </w:r>
      <w:r w:rsidRPr="00CE0885">
        <w:rPr>
          <w:lang w:eastAsia="en-GB"/>
        </w:rPr>
        <w:t>ou</w:t>
      </w:r>
      <w:r w:rsidRPr="00CE0885">
        <w:rPr>
          <w:spacing w:val="-1"/>
          <w:lang w:eastAsia="en-GB"/>
        </w:rPr>
        <w:t>g</w:t>
      </w:r>
      <w:r w:rsidRPr="00CE0885">
        <w:rPr>
          <w:lang w:eastAsia="en-GB"/>
        </w:rPr>
        <w:t>h</w:t>
      </w:r>
      <w:r w:rsidRPr="00CE0885">
        <w:rPr>
          <w:spacing w:val="-6"/>
          <w:lang w:eastAsia="en-GB"/>
        </w:rPr>
        <w:t xml:space="preserve"> </w:t>
      </w:r>
      <w:r w:rsidRPr="00CE0885">
        <w:rPr>
          <w:lang w:eastAsia="en-GB"/>
        </w:rPr>
        <w:t>a co</w:t>
      </w:r>
      <w:r w:rsidRPr="00CE0885">
        <w:rPr>
          <w:spacing w:val="-1"/>
          <w:lang w:eastAsia="en-GB"/>
        </w:rPr>
        <w:t>n</w:t>
      </w:r>
      <w:r w:rsidRPr="00CE0885">
        <w:rPr>
          <w:lang w:eastAsia="en-GB"/>
        </w:rPr>
        <w:t>t</w:t>
      </w:r>
      <w:r w:rsidRPr="00CE0885">
        <w:rPr>
          <w:spacing w:val="-1"/>
          <w:lang w:eastAsia="en-GB"/>
        </w:rPr>
        <w:t>r</w:t>
      </w:r>
      <w:r w:rsidRPr="00CE0885">
        <w:rPr>
          <w:lang w:eastAsia="en-GB"/>
        </w:rPr>
        <w:t>act</w:t>
      </w:r>
      <w:r w:rsidRPr="00CE0885">
        <w:rPr>
          <w:spacing w:val="-8"/>
          <w:lang w:eastAsia="en-GB"/>
        </w:rPr>
        <w:t xml:space="preserve"> </w:t>
      </w:r>
      <w:r w:rsidRPr="00CE0885">
        <w:rPr>
          <w:lang w:eastAsia="en-GB"/>
        </w:rPr>
        <w:t>va</w:t>
      </w:r>
      <w:r w:rsidRPr="00CE0885">
        <w:rPr>
          <w:spacing w:val="-1"/>
          <w:lang w:eastAsia="en-GB"/>
        </w:rPr>
        <w:t>r</w:t>
      </w:r>
      <w:r w:rsidRPr="00CE0885">
        <w:rPr>
          <w:lang w:eastAsia="en-GB"/>
        </w:rPr>
        <w:t>iation.</w:t>
      </w:r>
      <w:bookmarkEnd w:id="718"/>
    </w:p>
    <w:p w14:paraId="6164AAD9" w14:textId="73BC8C64" w:rsidR="00977693" w:rsidRPr="00CE0885" w:rsidRDefault="00977693" w:rsidP="006B781A">
      <w:pPr>
        <w:pStyle w:val="Heading3"/>
        <w:rPr>
          <w:lang w:eastAsia="en-GB"/>
        </w:rPr>
      </w:pPr>
      <w:bookmarkStart w:id="719" w:name="_Toc440981825"/>
      <w:r w:rsidRPr="00CE0885">
        <w:rPr>
          <w:lang w:eastAsia="en-GB"/>
        </w:rPr>
        <w:t>The Commissioner</w:t>
      </w:r>
      <w:r w:rsidRPr="00CE0885">
        <w:rPr>
          <w:spacing w:val="-4"/>
          <w:lang w:eastAsia="en-GB"/>
        </w:rPr>
        <w:t xml:space="preserve"> </w:t>
      </w:r>
      <w:r w:rsidRPr="00CE0885">
        <w:rPr>
          <w:lang w:eastAsia="en-GB"/>
        </w:rPr>
        <w:t>sh</w:t>
      </w:r>
      <w:r w:rsidRPr="00CE0885">
        <w:rPr>
          <w:spacing w:val="-1"/>
          <w:lang w:eastAsia="en-GB"/>
        </w:rPr>
        <w:t>o</w:t>
      </w:r>
      <w:r w:rsidRPr="00CE0885">
        <w:rPr>
          <w:lang w:eastAsia="en-GB"/>
        </w:rPr>
        <w:t>uld</w:t>
      </w:r>
      <w:r w:rsidRPr="00CE0885">
        <w:rPr>
          <w:spacing w:val="-5"/>
          <w:lang w:eastAsia="en-GB"/>
        </w:rPr>
        <w:t xml:space="preserve"> </w:t>
      </w:r>
      <w:r w:rsidRPr="00CE0885">
        <w:rPr>
          <w:lang w:eastAsia="en-GB"/>
        </w:rPr>
        <w:t>al</w:t>
      </w:r>
      <w:r w:rsidRPr="00CE0885">
        <w:rPr>
          <w:spacing w:val="-3"/>
          <w:lang w:eastAsia="en-GB"/>
        </w:rPr>
        <w:t>w</w:t>
      </w:r>
      <w:r w:rsidRPr="00CE0885">
        <w:rPr>
          <w:lang w:eastAsia="en-GB"/>
        </w:rPr>
        <w:t>ays</w:t>
      </w:r>
      <w:r w:rsidRPr="00CE0885">
        <w:rPr>
          <w:spacing w:val="-7"/>
          <w:lang w:eastAsia="en-GB"/>
        </w:rPr>
        <w:t xml:space="preserve"> </w:t>
      </w:r>
      <w:r w:rsidRPr="00CE0885">
        <w:rPr>
          <w:lang w:eastAsia="en-GB"/>
        </w:rPr>
        <w:t>keep</w:t>
      </w:r>
      <w:r w:rsidRPr="00CE0885">
        <w:rPr>
          <w:spacing w:val="-3"/>
          <w:lang w:eastAsia="en-GB"/>
        </w:rPr>
        <w:t xml:space="preserve"> </w:t>
      </w:r>
      <w:r w:rsidRPr="00CE0885">
        <w:rPr>
          <w:lang w:eastAsia="en-GB"/>
        </w:rPr>
        <w:t>in</w:t>
      </w:r>
      <w:r w:rsidRPr="00CE0885">
        <w:rPr>
          <w:spacing w:val="-3"/>
          <w:lang w:eastAsia="en-GB"/>
        </w:rPr>
        <w:t xml:space="preserve"> </w:t>
      </w:r>
      <w:r w:rsidRPr="00CE0885">
        <w:rPr>
          <w:spacing w:val="2"/>
          <w:lang w:eastAsia="en-GB"/>
        </w:rPr>
        <w:t>m</w:t>
      </w:r>
      <w:r w:rsidRPr="00CE0885">
        <w:rPr>
          <w:lang w:eastAsia="en-GB"/>
        </w:rPr>
        <w:t>ind</w:t>
      </w:r>
      <w:r w:rsidRPr="00CE0885">
        <w:rPr>
          <w:spacing w:val="-6"/>
          <w:lang w:eastAsia="en-GB"/>
        </w:rPr>
        <w:t xml:space="preserve"> </w:t>
      </w:r>
      <w:r w:rsidRPr="00CE0885">
        <w:rPr>
          <w:lang w:eastAsia="en-GB"/>
        </w:rPr>
        <w:t>the</w:t>
      </w:r>
      <w:r w:rsidRPr="00CE0885">
        <w:rPr>
          <w:spacing w:val="-4"/>
          <w:lang w:eastAsia="en-GB"/>
        </w:rPr>
        <w:t xml:space="preserve"> </w:t>
      </w:r>
      <w:r w:rsidRPr="00CE0885">
        <w:rPr>
          <w:lang w:eastAsia="en-GB"/>
        </w:rPr>
        <w:t>poss</w:t>
      </w:r>
      <w:r w:rsidRPr="00CE0885">
        <w:rPr>
          <w:spacing w:val="-3"/>
          <w:lang w:eastAsia="en-GB"/>
        </w:rPr>
        <w:t>i</w:t>
      </w:r>
      <w:r w:rsidRPr="00CE0885">
        <w:rPr>
          <w:lang w:eastAsia="en-GB"/>
        </w:rPr>
        <w:t>ble</w:t>
      </w:r>
      <w:r w:rsidRPr="00CE0885">
        <w:rPr>
          <w:spacing w:val="-7"/>
          <w:lang w:eastAsia="en-GB"/>
        </w:rPr>
        <w:t xml:space="preserve"> </w:t>
      </w:r>
      <w:r w:rsidRPr="00CE0885">
        <w:rPr>
          <w:spacing w:val="-3"/>
          <w:lang w:eastAsia="en-GB"/>
        </w:rPr>
        <w:t>i</w:t>
      </w:r>
      <w:r w:rsidRPr="00CE0885">
        <w:rPr>
          <w:spacing w:val="2"/>
          <w:lang w:eastAsia="en-GB"/>
        </w:rPr>
        <w:t>m</w:t>
      </w:r>
      <w:r w:rsidRPr="00CE0885">
        <w:rPr>
          <w:lang w:eastAsia="en-GB"/>
        </w:rPr>
        <w:t>plicati</w:t>
      </w:r>
      <w:r w:rsidRPr="00CE0885">
        <w:rPr>
          <w:spacing w:val="-1"/>
          <w:lang w:eastAsia="en-GB"/>
        </w:rPr>
        <w:t>o</w:t>
      </w:r>
      <w:r w:rsidRPr="00CE0885">
        <w:rPr>
          <w:lang w:eastAsia="en-GB"/>
        </w:rPr>
        <w:t>ns</w:t>
      </w:r>
      <w:r w:rsidRPr="00CE0885">
        <w:rPr>
          <w:spacing w:val="-13"/>
          <w:lang w:eastAsia="en-GB"/>
        </w:rPr>
        <w:t xml:space="preserve"> </w:t>
      </w:r>
      <w:r w:rsidRPr="00CE0885">
        <w:rPr>
          <w:spacing w:val="-1"/>
          <w:lang w:eastAsia="en-GB"/>
        </w:rPr>
        <w:t>o</w:t>
      </w:r>
      <w:r w:rsidRPr="00CE0885">
        <w:rPr>
          <w:lang w:eastAsia="en-GB"/>
        </w:rPr>
        <w:t>n p</w:t>
      </w:r>
      <w:r w:rsidRPr="00CE0885">
        <w:rPr>
          <w:spacing w:val="-1"/>
          <w:lang w:eastAsia="en-GB"/>
        </w:rPr>
        <w:t>r</w:t>
      </w:r>
      <w:r w:rsidRPr="00CE0885">
        <w:rPr>
          <w:lang w:eastAsia="en-GB"/>
        </w:rPr>
        <w:t>ocu</w:t>
      </w:r>
      <w:r w:rsidRPr="00CE0885">
        <w:rPr>
          <w:spacing w:val="-1"/>
          <w:lang w:eastAsia="en-GB"/>
        </w:rPr>
        <w:t>re</w:t>
      </w:r>
      <w:r w:rsidRPr="00CE0885">
        <w:rPr>
          <w:spacing w:val="2"/>
          <w:lang w:eastAsia="en-GB"/>
        </w:rPr>
        <w:t>m</w:t>
      </w:r>
      <w:r w:rsidRPr="00CE0885">
        <w:rPr>
          <w:lang w:eastAsia="en-GB"/>
        </w:rPr>
        <w:t>e</w:t>
      </w:r>
      <w:r w:rsidRPr="00CE0885">
        <w:rPr>
          <w:spacing w:val="-1"/>
          <w:lang w:eastAsia="en-GB"/>
        </w:rPr>
        <w:t>n</w:t>
      </w:r>
      <w:r w:rsidRPr="00CE0885">
        <w:rPr>
          <w:lang w:eastAsia="en-GB"/>
        </w:rPr>
        <w:t>t</w:t>
      </w:r>
      <w:r w:rsidRPr="00CE0885">
        <w:rPr>
          <w:spacing w:val="-12"/>
          <w:lang w:eastAsia="en-GB"/>
        </w:rPr>
        <w:t xml:space="preserve"> </w:t>
      </w:r>
      <w:r w:rsidRPr="00CE0885">
        <w:rPr>
          <w:spacing w:val="-1"/>
          <w:lang w:eastAsia="en-GB"/>
        </w:rPr>
        <w:t>a</w:t>
      </w:r>
      <w:r w:rsidRPr="00CE0885">
        <w:rPr>
          <w:lang w:eastAsia="en-GB"/>
        </w:rPr>
        <w:t>nd co</w:t>
      </w:r>
      <w:r w:rsidRPr="00CE0885">
        <w:rPr>
          <w:spacing w:val="-1"/>
          <w:lang w:eastAsia="en-GB"/>
        </w:rPr>
        <w:t>m</w:t>
      </w:r>
      <w:r w:rsidRPr="00CE0885">
        <w:rPr>
          <w:lang w:eastAsia="en-GB"/>
        </w:rPr>
        <w:t>petiti</w:t>
      </w:r>
      <w:r w:rsidRPr="00CE0885">
        <w:rPr>
          <w:spacing w:val="-1"/>
          <w:lang w:eastAsia="en-GB"/>
        </w:rPr>
        <w:t>o</w:t>
      </w:r>
      <w:r w:rsidRPr="00CE0885">
        <w:rPr>
          <w:lang w:eastAsia="en-GB"/>
        </w:rPr>
        <w:t>n</w:t>
      </w:r>
      <w:r w:rsidRPr="00CE0885">
        <w:rPr>
          <w:spacing w:val="-10"/>
          <w:lang w:eastAsia="en-GB"/>
        </w:rPr>
        <w:t xml:space="preserve"> </w:t>
      </w:r>
      <w:r w:rsidRPr="00CE0885">
        <w:rPr>
          <w:spacing w:val="-3"/>
          <w:lang w:eastAsia="en-GB"/>
        </w:rPr>
        <w:t>w</w:t>
      </w:r>
      <w:r w:rsidRPr="00CE0885">
        <w:rPr>
          <w:lang w:eastAsia="en-GB"/>
        </w:rPr>
        <w:t>hen</w:t>
      </w:r>
      <w:r w:rsidRPr="00CE0885">
        <w:rPr>
          <w:spacing w:val="-4"/>
          <w:lang w:eastAsia="en-GB"/>
        </w:rPr>
        <w:t xml:space="preserve"> </w:t>
      </w:r>
      <w:r w:rsidRPr="00CE0885">
        <w:rPr>
          <w:spacing w:val="-1"/>
          <w:lang w:eastAsia="en-GB"/>
        </w:rPr>
        <w:t>a</w:t>
      </w:r>
      <w:r w:rsidRPr="00CE0885">
        <w:rPr>
          <w:lang w:eastAsia="en-GB"/>
        </w:rPr>
        <w:t>pplying</w:t>
      </w:r>
      <w:r w:rsidRPr="00CE0885">
        <w:rPr>
          <w:spacing w:val="-10"/>
          <w:lang w:eastAsia="en-GB"/>
        </w:rPr>
        <w:t xml:space="preserve"> </w:t>
      </w:r>
      <w:r w:rsidRPr="00CE0885">
        <w:rPr>
          <w:lang w:eastAsia="en-GB"/>
        </w:rPr>
        <w:t>the</w:t>
      </w:r>
      <w:r w:rsidRPr="00CE0885">
        <w:rPr>
          <w:spacing w:val="-1"/>
          <w:lang w:eastAsia="en-GB"/>
        </w:rPr>
        <w:t xml:space="preserve"> g</w:t>
      </w:r>
      <w:r w:rsidRPr="00CE0885">
        <w:rPr>
          <w:lang w:eastAsia="en-GB"/>
        </w:rPr>
        <w:t>uid</w:t>
      </w:r>
      <w:r w:rsidRPr="00CE0885">
        <w:rPr>
          <w:spacing w:val="-1"/>
          <w:lang w:eastAsia="en-GB"/>
        </w:rPr>
        <w:t>a</w:t>
      </w:r>
      <w:r w:rsidRPr="00CE0885">
        <w:rPr>
          <w:lang w:eastAsia="en-GB"/>
        </w:rPr>
        <w:t>nce</w:t>
      </w:r>
      <w:r w:rsidRPr="00CE0885">
        <w:rPr>
          <w:spacing w:val="-8"/>
          <w:lang w:eastAsia="en-GB"/>
        </w:rPr>
        <w:t xml:space="preserve"> </w:t>
      </w:r>
      <w:r w:rsidRPr="00CE0885">
        <w:rPr>
          <w:spacing w:val="-3"/>
          <w:lang w:eastAsia="en-GB"/>
        </w:rPr>
        <w:t>i</w:t>
      </w:r>
      <w:r w:rsidRPr="00CE0885">
        <w:rPr>
          <w:lang w:eastAsia="en-GB"/>
        </w:rPr>
        <w:t>n this</w:t>
      </w:r>
      <w:r w:rsidRPr="00CE0885">
        <w:rPr>
          <w:spacing w:val="-6"/>
          <w:lang w:eastAsia="en-GB"/>
        </w:rPr>
        <w:t xml:space="preserve"> </w:t>
      </w:r>
      <w:r w:rsidRPr="00CE0885">
        <w:rPr>
          <w:lang w:eastAsia="en-GB"/>
        </w:rPr>
        <w:t>policy.</w:t>
      </w:r>
      <w:bookmarkEnd w:id="719"/>
    </w:p>
    <w:p w14:paraId="6DFB36D9" w14:textId="1FECFFE6" w:rsidR="00977693" w:rsidRPr="00CE0885" w:rsidRDefault="00977693" w:rsidP="006B781A">
      <w:pPr>
        <w:pStyle w:val="Heading3"/>
        <w:rPr>
          <w:lang w:eastAsia="en-GB"/>
        </w:rPr>
      </w:pPr>
      <w:bookmarkStart w:id="720" w:name="_Toc440981826"/>
      <w:r w:rsidRPr="00CE0885">
        <w:rPr>
          <w:spacing w:val="1"/>
          <w:lang w:eastAsia="en-GB"/>
        </w:rPr>
        <w:t>An</w:t>
      </w:r>
      <w:r w:rsidRPr="00CE0885">
        <w:rPr>
          <w:lang w:eastAsia="en-GB"/>
        </w:rPr>
        <w:t>y</w:t>
      </w:r>
      <w:r w:rsidRPr="00CE0885">
        <w:rPr>
          <w:spacing w:val="-6"/>
          <w:lang w:eastAsia="en-GB"/>
        </w:rPr>
        <w:t xml:space="preserve"> </w:t>
      </w:r>
      <w:r w:rsidRPr="00CE0885">
        <w:rPr>
          <w:lang w:eastAsia="en-GB"/>
        </w:rPr>
        <w:t>c</w:t>
      </w:r>
      <w:r w:rsidRPr="00CE0885">
        <w:rPr>
          <w:spacing w:val="1"/>
          <w:lang w:eastAsia="en-GB"/>
        </w:rPr>
        <w:t>han</w:t>
      </w:r>
      <w:r w:rsidRPr="00CE0885">
        <w:rPr>
          <w:spacing w:val="-1"/>
          <w:lang w:eastAsia="en-GB"/>
        </w:rPr>
        <w:t>g</w:t>
      </w:r>
      <w:r w:rsidRPr="00CE0885">
        <w:rPr>
          <w:spacing w:val="1"/>
          <w:lang w:eastAsia="en-GB"/>
        </w:rPr>
        <w:t>e</w:t>
      </w:r>
      <w:r w:rsidRPr="00CE0885">
        <w:rPr>
          <w:lang w:eastAsia="en-GB"/>
        </w:rPr>
        <w:t>s</w:t>
      </w:r>
      <w:r w:rsidRPr="00CE0885">
        <w:rPr>
          <w:spacing w:val="-9"/>
          <w:lang w:eastAsia="en-GB"/>
        </w:rPr>
        <w:t xml:space="preserve"> </w:t>
      </w:r>
      <w:r w:rsidRPr="00CE0885">
        <w:rPr>
          <w:lang w:eastAsia="en-GB"/>
        </w:rPr>
        <w:t xml:space="preserve">to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par</w:t>
      </w:r>
      <w:r w:rsidRPr="00CE0885">
        <w:rPr>
          <w:spacing w:val="1"/>
          <w:lang w:eastAsia="en-GB"/>
        </w:rPr>
        <w:t>tne</w:t>
      </w:r>
      <w:r w:rsidRPr="00CE0885">
        <w:rPr>
          <w:spacing w:val="-1"/>
          <w:lang w:eastAsia="en-GB"/>
        </w:rPr>
        <w:t>r</w:t>
      </w:r>
      <w:r w:rsidRPr="00CE0885">
        <w:rPr>
          <w:lang w:eastAsia="en-GB"/>
        </w:rPr>
        <w:t>s</w:t>
      </w:r>
      <w:r w:rsidRPr="00CE0885">
        <w:rPr>
          <w:spacing w:val="-9"/>
          <w:lang w:eastAsia="en-GB"/>
        </w:rPr>
        <w:t xml:space="preserve"> </w:t>
      </w:r>
      <w:r w:rsidRPr="00CE0885">
        <w:rPr>
          <w:spacing w:val="-3"/>
          <w:lang w:eastAsia="en-GB"/>
        </w:rPr>
        <w:t>w</w:t>
      </w:r>
      <w:r w:rsidRPr="00CE0885">
        <w:rPr>
          <w:lang w:eastAsia="en-GB"/>
        </w:rPr>
        <w:t>i</w:t>
      </w:r>
      <w:r w:rsidRPr="00CE0885">
        <w:rPr>
          <w:spacing w:val="1"/>
          <w:lang w:eastAsia="en-GB"/>
        </w:rPr>
        <w:t>th</w:t>
      </w:r>
      <w:r w:rsidRPr="00CE0885">
        <w:rPr>
          <w:lang w:eastAsia="en-GB"/>
        </w:rPr>
        <w:t>in</w:t>
      </w:r>
      <w:r w:rsidRPr="00CE0885">
        <w:rPr>
          <w:spacing w:val="-4"/>
          <w:lang w:eastAsia="en-GB"/>
        </w:rPr>
        <w:t xml:space="preserve"> </w:t>
      </w:r>
      <w:r w:rsidRPr="00CE0885">
        <w:rPr>
          <w:lang w:eastAsia="en-GB"/>
        </w:rPr>
        <w:t>a</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spacing w:val="1"/>
          <w:lang w:eastAsia="en-GB"/>
        </w:rPr>
        <w:t>t</w:t>
      </w:r>
      <w:r w:rsidRPr="00CE0885">
        <w:rPr>
          <w:spacing w:val="-1"/>
          <w:lang w:eastAsia="en-GB"/>
        </w:rPr>
        <w:t>r</w:t>
      </w:r>
      <w:r w:rsidRPr="00CE0885">
        <w:rPr>
          <w:spacing w:val="1"/>
          <w:lang w:eastAsia="en-GB"/>
        </w:rPr>
        <w:t>a</w:t>
      </w:r>
      <w:r w:rsidRPr="00CE0885">
        <w:rPr>
          <w:lang w:eastAsia="en-GB"/>
        </w:rPr>
        <w:t>ct</w:t>
      </w:r>
      <w:r w:rsidRPr="00CE0885">
        <w:rPr>
          <w:spacing w:val="-10"/>
          <w:lang w:eastAsia="en-GB"/>
        </w:rPr>
        <w:t xml:space="preserve"> </w:t>
      </w:r>
      <w:r w:rsidRPr="00CE0885">
        <w:rPr>
          <w:spacing w:val="-3"/>
          <w:lang w:eastAsia="en-GB"/>
        </w:rPr>
        <w:t xml:space="preserve">may </w:t>
      </w:r>
      <w:r w:rsidRPr="00CE0885">
        <w:rPr>
          <w:spacing w:val="-1"/>
          <w:lang w:eastAsia="en-GB"/>
        </w:rPr>
        <w:t>r</w:t>
      </w:r>
      <w:r w:rsidRPr="00CE0885">
        <w:rPr>
          <w:spacing w:val="1"/>
          <w:lang w:eastAsia="en-GB"/>
        </w:rPr>
        <w:t>e</w:t>
      </w:r>
      <w:r w:rsidRPr="00CE0885">
        <w:rPr>
          <w:spacing w:val="-1"/>
          <w:lang w:eastAsia="en-GB"/>
        </w:rPr>
        <w:t>q</w:t>
      </w:r>
      <w:r w:rsidRPr="00CE0885">
        <w:rPr>
          <w:spacing w:val="1"/>
          <w:lang w:eastAsia="en-GB"/>
        </w:rPr>
        <w:t>u</w:t>
      </w:r>
      <w:r w:rsidRPr="00CE0885">
        <w:rPr>
          <w:lang w:eastAsia="en-GB"/>
        </w:rPr>
        <w:t>i</w:t>
      </w:r>
      <w:r w:rsidRPr="00CE0885">
        <w:rPr>
          <w:spacing w:val="-1"/>
          <w:lang w:eastAsia="en-GB"/>
        </w:rPr>
        <w:t>r</w:t>
      </w:r>
      <w:r w:rsidRPr="00CE0885">
        <w:rPr>
          <w:lang w:eastAsia="en-GB"/>
        </w:rPr>
        <w:t>e</w:t>
      </w:r>
      <w:r w:rsidRPr="00CE0885">
        <w:rPr>
          <w:spacing w:val="-5"/>
          <w:lang w:eastAsia="en-GB"/>
        </w:rPr>
        <w:t xml:space="preserve"> </w:t>
      </w:r>
      <w:r w:rsidRPr="00CE0885">
        <w:rPr>
          <w:lang w:eastAsia="en-GB"/>
        </w:rPr>
        <w:t>a</w:t>
      </w:r>
      <w:r w:rsidRPr="00CE0885">
        <w:rPr>
          <w:spacing w:val="1"/>
          <w:lang w:eastAsia="en-GB"/>
        </w:rPr>
        <w:t xml:space="preserve"> ne</w:t>
      </w:r>
      <w:r w:rsidRPr="00CE0885">
        <w:rPr>
          <w:lang w:eastAsia="en-GB"/>
        </w:rPr>
        <w:t xml:space="preserve">w </w:t>
      </w:r>
      <w:r w:rsidRPr="00CE0885">
        <w:rPr>
          <w:spacing w:val="-1"/>
          <w:lang w:eastAsia="en-GB"/>
        </w:rPr>
        <w:t>r</w:t>
      </w:r>
      <w:r w:rsidRPr="00CE0885">
        <w:rPr>
          <w:spacing w:val="1"/>
          <w:lang w:eastAsia="en-GB"/>
        </w:rPr>
        <w:t>e</w:t>
      </w:r>
      <w:r w:rsidRPr="00CE0885">
        <w:rPr>
          <w:spacing w:val="-1"/>
          <w:lang w:eastAsia="en-GB"/>
        </w:rPr>
        <w:t>g</w:t>
      </w:r>
      <w:r w:rsidRPr="00CE0885">
        <w:rPr>
          <w:lang w:eastAsia="en-GB"/>
        </w:rPr>
        <w:t>is</w:t>
      </w:r>
      <w:r w:rsidRPr="00CE0885">
        <w:rPr>
          <w:spacing w:val="1"/>
          <w:lang w:eastAsia="en-GB"/>
        </w:rPr>
        <w:t>t</w:t>
      </w:r>
      <w:r w:rsidRPr="00CE0885">
        <w:rPr>
          <w:spacing w:val="-1"/>
          <w:lang w:eastAsia="en-GB"/>
        </w:rPr>
        <w:t>r</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10"/>
          <w:lang w:eastAsia="en-GB"/>
        </w:rPr>
        <w:t xml:space="preserve"> </w:t>
      </w:r>
      <w:r w:rsidRPr="00CE0885">
        <w:rPr>
          <w:spacing w:val="-3"/>
          <w:lang w:eastAsia="en-GB"/>
        </w:rPr>
        <w:t>w</w:t>
      </w:r>
      <w:r w:rsidRPr="00CE0885">
        <w:rPr>
          <w:lang w:eastAsia="en-GB"/>
        </w:rPr>
        <w:t>i</w:t>
      </w:r>
      <w:r w:rsidRPr="00CE0885">
        <w:rPr>
          <w:spacing w:val="1"/>
          <w:lang w:eastAsia="en-GB"/>
        </w:rPr>
        <w:t>t</w:t>
      </w:r>
      <w:r w:rsidRPr="00CE0885">
        <w:rPr>
          <w:lang w:eastAsia="en-GB"/>
        </w:rPr>
        <w:t>h the C</w:t>
      </w:r>
      <w:r w:rsidRPr="00CE0885">
        <w:rPr>
          <w:spacing w:val="1"/>
          <w:lang w:eastAsia="en-GB"/>
        </w:rPr>
        <w:t>Q</w:t>
      </w:r>
      <w:r w:rsidRPr="00CE0885">
        <w:rPr>
          <w:lang w:eastAsia="en-GB"/>
        </w:rPr>
        <w:t>C.</w:t>
      </w:r>
      <w:bookmarkEnd w:id="720"/>
    </w:p>
    <w:p w14:paraId="597411E0" w14:textId="77777777" w:rsidR="00977693" w:rsidRPr="009055A7" w:rsidRDefault="00977693" w:rsidP="00977693">
      <w:pPr>
        <w:widowControl w:val="0"/>
        <w:spacing w:line="360" w:lineRule="auto"/>
        <w:ind w:left="1414"/>
        <w:jc w:val="both"/>
        <w:rPr>
          <w:rFonts w:cs="Arial"/>
          <w:bCs w:val="0"/>
          <w:sz w:val="20"/>
          <w:szCs w:val="20"/>
          <w:lang w:eastAsia="en-GB"/>
        </w:rPr>
      </w:pPr>
    </w:p>
    <w:p w14:paraId="54DE9FB5" w14:textId="77777777" w:rsidR="00977693" w:rsidRPr="00CE0885" w:rsidRDefault="00977693" w:rsidP="00202DD3">
      <w:pPr>
        <w:pStyle w:val="Heading2"/>
        <w:rPr>
          <w:lang w:eastAsia="en-GB"/>
        </w:rPr>
      </w:pPr>
      <w:bookmarkStart w:id="721" w:name="_Toc440981827"/>
      <w:bookmarkStart w:id="722" w:name="_Toc95743452"/>
      <w:r w:rsidRPr="00CE0885">
        <w:rPr>
          <w:lang w:eastAsia="en-GB"/>
        </w:rPr>
        <w:t>Twenty-Four Hour Retirement</w:t>
      </w:r>
      <w:bookmarkEnd w:id="721"/>
      <w:bookmarkEnd w:id="722"/>
    </w:p>
    <w:p w14:paraId="7BA1BAB7" w14:textId="0F9E8440" w:rsidR="00977693" w:rsidRPr="00CE0885" w:rsidRDefault="00977693" w:rsidP="006B781A">
      <w:pPr>
        <w:pStyle w:val="Heading3"/>
        <w:rPr>
          <w:lang w:eastAsia="en-GB"/>
        </w:rPr>
      </w:pPr>
      <w:bookmarkStart w:id="723" w:name="_Toc440981828"/>
      <w:r w:rsidRPr="00CE0885">
        <w:rPr>
          <w:spacing w:val="1"/>
          <w:lang w:eastAsia="en-GB"/>
        </w:rPr>
        <w:t>24</w:t>
      </w:r>
      <w:r w:rsidRPr="00CE0885">
        <w:rPr>
          <w:spacing w:val="-1"/>
          <w:lang w:eastAsia="en-GB"/>
        </w:rPr>
        <w:t>-</w:t>
      </w:r>
      <w:r w:rsidRPr="00CE0885">
        <w:rPr>
          <w:spacing w:val="1"/>
          <w:lang w:eastAsia="en-GB"/>
        </w:rPr>
        <w:t>h</w:t>
      </w:r>
      <w:r w:rsidRPr="00CE0885">
        <w:rPr>
          <w:spacing w:val="-1"/>
          <w:lang w:eastAsia="en-GB"/>
        </w:rPr>
        <w:t>o</w:t>
      </w:r>
      <w:r w:rsidRPr="00CE0885">
        <w:rPr>
          <w:spacing w:val="1"/>
          <w:lang w:eastAsia="en-GB"/>
        </w:rPr>
        <w:t>u</w:t>
      </w:r>
      <w:r w:rsidRPr="00CE0885">
        <w:rPr>
          <w:lang w:eastAsia="en-GB"/>
        </w:rPr>
        <w:t>r</w:t>
      </w:r>
      <w:r w:rsidRPr="00CE0885">
        <w:rPr>
          <w:spacing w:val="-8"/>
          <w:lang w:eastAsia="en-GB"/>
        </w:rPr>
        <w:t xml:space="preserve"> </w:t>
      </w:r>
      <w:r w:rsidRPr="00CE0885">
        <w:rPr>
          <w:spacing w:val="-1"/>
          <w:lang w:eastAsia="en-GB"/>
        </w:rPr>
        <w:t>r</w:t>
      </w:r>
      <w:r w:rsidRPr="00CE0885">
        <w:rPr>
          <w:spacing w:val="1"/>
          <w:lang w:eastAsia="en-GB"/>
        </w:rPr>
        <w:t>et</w:t>
      </w:r>
      <w:r w:rsidRPr="00CE0885">
        <w:rPr>
          <w:lang w:eastAsia="en-GB"/>
        </w:rPr>
        <w:t>i</w:t>
      </w:r>
      <w:r w:rsidRPr="00CE0885">
        <w:rPr>
          <w:spacing w:val="-1"/>
          <w:lang w:eastAsia="en-GB"/>
        </w:rPr>
        <w:t>r</w:t>
      </w:r>
      <w:r w:rsidRPr="00CE0885">
        <w:rPr>
          <w:spacing w:val="1"/>
          <w:lang w:eastAsia="en-GB"/>
        </w:rPr>
        <w:t>e</w:t>
      </w:r>
      <w:r w:rsidRPr="00CE0885">
        <w:rPr>
          <w:spacing w:val="-1"/>
          <w:lang w:eastAsia="en-GB"/>
        </w:rPr>
        <w:t>m</w:t>
      </w:r>
      <w:r w:rsidRPr="00CE0885">
        <w:rPr>
          <w:spacing w:val="1"/>
          <w:lang w:eastAsia="en-GB"/>
        </w:rPr>
        <w:t>en</w:t>
      </w:r>
      <w:r w:rsidRPr="00CE0885">
        <w:rPr>
          <w:lang w:eastAsia="en-GB"/>
        </w:rPr>
        <w:t>t</w:t>
      </w:r>
      <w:r w:rsidRPr="00CE0885">
        <w:rPr>
          <w:spacing w:val="-12"/>
          <w:lang w:eastAsia="en-GB"/>
        </w:rPr>
        <w:t xml:space="preserve"> </w:t>
      </w:r>
      <w:r w:rsidRPr="00CE0885">
        <w:rPr>
          <w:lang w:eastAsia="en-GB"/>
        </w:rPr>
        <w:t>is</w:t>
      </w:r>
      <w:r w:rsidRPr="00CE0885">
        <w:rPr>
          <w:spacing w:val="-2"/>
          <w:lang w:eastAsia="en-GB"/>
        </w:rPr>
        <w:t xml:space="preserve"> </w:t>
      </w:r>
      <w:r w:rsidRPr="00CE0885">
        <w:rPr>
          <w:lang w:eastAsia="en-GB"/>
        </w:rPr>
        <w:t>a</w:t>
      </w:r>
      <w:r w:rsidRPr="00CE0885">
        <w:rPr>
          <w:spacing w:val="-2"/>
          <w:lang w:eastAsia="en-GB"/>
        </w:rPr>
        <w:t xml:space="preserve"> </w:t>
      </w:r>
      <w:r w:rsidRPr="00CE0885">
        <w:rPr>
          <w:spacing w:val="1"/>
          <w:lang w:eastAsia="en-GB"/>
        </w:rPr>
        <w:t>p</w:t>
      </w:r>
      <w:r w:rsidRPr="00CE0885">
        <w:rPr>
          <w:spacing w:val="-1"/>
          <w:lang w:eastAsia="en-GB"/>
        </w:rPr>
        <w:t>r</w:t>
      </w:r>
      <w:r w:rsidRPr="00CE0885">
        <w:rPr>
          <w:spacing w:val="1"/>
          <w:lang w:eastAsia="en-GB"/>
        </w:rPr>
        <w:t>o</w:t>
      </w:r>
      <w:r w:rsidRPr="00CE0885">
        <w:rPr>
          <w:lang w:eastAsia="en-GB"/>
        </w:rPr>
        <w:t>c</w:t>
      </w:r>
      <w:r w:rsidRPr="00CE0885">
        <w:rPr>
          <w:spacing w:val="1"/>
          <w:lang w:eastAsia="en-GB"/>
        </w:rPr>
        <w:t>e</w:t>
      </w:r>
      <w:r w:rsidRPr="00CE0885">
        <w:rPr>
          <w:lang w:eastAsia="en-GB"/>
        </w:rPr>
        <w:t>ss</w:t>
      </w:r>
      <w:r w:rsidRPr="00CE0885">
        <w:rPr>
          <w:spacing w:val="-10"/>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spacing w:val="-3"/>
          <w:lang w:eastAsia="en-GB"/>
        </w:rPr>
        <w:t>w</w:t>
      </w:r>
      <w:r w:rsidRPr="00CE0885">
        <w:rPr>
          <w:spacing w:val="1"/>
          <w:lang w:eastAsia="en-GB"/>
        </w:rPr>
        <w:t>h</w:t>
      </w:r>
      <w:r w:rsidRPr="00CE0885">
        <w:rPr>
          <w:lang w:eastAsia="en-GB"/>
        </w:rPr>
        <w:t>ich</w:t>
      </w:r>
      <w:r w:rsidRPr="00CE0885">
        <w:rPr>
          <w:spacing w:val="-4"/>
          <w:lang w:eastAsia="en-GB"/>
        </w:rPr>
        <w:t xml:space="preserve"> </w:t>
      </w:r>
      <w:r w:rsidRPr="00CE0885">
        <w:rPr>
          <w:spacing w:val="2"/>
          <w:lang w:eastAsia="en-GB"/>
        </w:rPr>
        <w:t>m</w:t>
      </w:r>
      <w:r w:rsidRPr="00CE0885">
        <w:rPr>
          <w:spacing w:val="1"/>
          <w:lang w:eastAsia="en-GB"/>
        </w:rPr>
        <w:t>e</w:t>
      </w:r>
      <w:r w:rsidRPr="00CE0885">
        <w:rPr>
          <w:spacing w:val="2"/>
          <w:lang w:eastAsia="en-GB"/>
        </w:rPr>
        <w:t>m</w:t>
      </w:r>
      <w:r w:rsidRPr="00CE0885">
        <w:rPr>
          <w:spacing w:val="1"/>
          <w:lang w:eastAsia="en-GB"/>
        </w:rPr>
        <w:t>be</w:t>
      </w:r>
      <w:r w:rsidRPr="00CE0885">
        <w:rPr>
          <w:spacing w:val="-1"/>
          <w:lang w:eastAsia="en-GB"/>
        </w:rPr>
        <w:t>r</w:t>
      </w:r>
      <w:r w:rsidRPr="00CE0885">
        <w:rPr>
          <w:lang w:eastAsia="en-GB"/>
        </w:rPr>
        <w:t>s</w:t>
      </w:r>
      <w:r w:rsidRPr="00CE0885">
        <w:rPr>
          <w:spacing w:val="-12"/>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NHS</w:t>
      </w:r>
      <w:r w:rsidRPr="00CE0885">
        <w:rPr>
          <w:spacing w:val="-6"/>
          <w:lang w:eastAsia="en-GB"/>
        </w:rPr>
        <w:t xml:space="preserve"> </w:t>
      </w:r>
      <w:r w:rsidRPr="00CE0885">
        <w:rPr>
          <w:spacing w:val="1"/>
          <w:lang w:eastAsia="en-GB"/>
        </w:rPr>
        <w:t>p</w:t>
      </w:r>
      <w:r w:rsidRPr="00CE0885">
        <w:rPr>
          <w:spacing w:val="-1"/>
          <w:lang w:eastAsia="en-GB"/>
        </w:rPr>
        <w:t>en</w:t>
      </w:r>
      <w:r w:rsidRPr="00CE0885">
        <w:rPr>
          <w:lang w:eastAsia="en-GB"/>
        </w:rPr>
        <w:t>si</w:t>
      </w:r>
      <w:r w:rsidRPr="00CE0885">
        <w:rPr>
          <w:spacing w:val="1"/>
          <w:lang w:eastAsia="en-GB"/>
        </w:rPr>
        <w:t>o</w:t>
      </w:r>
      <w:r w:rsidRPr="00CE0885">
        <w:rPr>
          <w:lang w:eastAsia="en-GB"/>
        </w:rPr>
        <w:t>n sc</w:t>
      </w:r>
      <w:r w:rsidRPr="00CE0885">
        <w:rPr>
          <w:spacing w:val="1"/>
          <w:lang w:eastAsia="en-GB"/>
        </w:rPr>
        <w:t>he</w:t>
      </w:r>
      <w:r w:rsidRPr="00CE0885">
        <w:rPr>
          <w:spacing w:val="-1"/>
          <w:lang w:eastAsia="en-GB"/>
        </w:rPr>
        <w:t>m</w:t>
      </w:r>
      <w:r w:rsidRPr="00CE0885">
        <w:rPr>
          <w:lang w:eastAsia="en-GB"/>
        </w:rPr>
        <w:t>e</w:t>
      </w:r>
      <w:r w:rsidRPr="00CE0885">
        <w:rPr>
          <w:spacing w:val="-6"/>
          <w:lang w:eastAsia="en-GB"/>
        </w:rPr>
        <w:t xml:space="preserve"> </w:t>
      </w:r>
      <w:r w:rsidRPr="00CE0885">
        <w:rPr>
          <w:lang w:eastAsia="en-GB"/>
        </w:rPr>
        <w:t>s</w:t>
      </w:r>
      <w:r w:rsidRPr="00CE0885">
        <w:rPr>
          <w:spacing w:val="-1"/>
          <w:lang w:eastAsia="en-GB"/>
        </w:rPr>
        <w:t>e</w:t>
      </w:r>
      <w:r w:rsidRPr="00CE0885">
        <w:rPr>
          <w:spacing w:val="1"/>
          <w:lang w:eastAsia="en-GB"/>
        </w:rPr>
        <w:t>e</w:t>
      </w:r>
      <w:r w:rsidRPr="00CE0885">
        <w:rPr>
          <w:lang w:eastAsia="en-GB"/>
        </w:rPr>
        <w:t>k</w:t>
      </w:r>
      <w:r w:rsidRPr="00CE0885">
        <w:rPr>
          <w:spacing w:val="-5"/>
          <w:lang w:eastAsia="en-GB"/>
        </w:rPr>
        <w:t xml:space="preserve"> </w:t>
      </w:r>
      <w:r w:rsidRPr="00CE0885">
        <w:rPr>
          <w:spacing w:val="-2"/>
          <w:lang w:eastAsia="en-GB"/>
        </w:rPr>
        <w:t>t</w:t>
      </w:r>
      <w:r w:rsidRPr="00CE0885">
        <w:rPr>
          <w:lang w:eastAsia="en-GB"/>
        </w:rPr>
        <w:t xml:space="preserve">o </w:t>
      </w:r>
      <w:r w:rsidRPr="00CE0885">
        <w:rPr>
          <w:spacing w:val="-1"/>
          <w:lang w:eastAsia="en-GB"/>
        </w:rPr>
        <w:t>q</w:t>
      </w:r>
      <w:r w:rsidRPr="00CE0885">
        <w:rPr>
          <w:spacing w:val="1"/>
          <w:lang w:eastAsia="en-GB"/>
        </w:rPr>
        <w:t>ua</w:t>
      </w:r>
      <w:r w:rsidRPr="00CE0885">
        <w:rPr>
          <w:lang w:eastAsia="en-GB"/>
        </w:rPr>
        <w:t>l</w:t>
      </w:r>
      <w:r w:rsidRPr="00CE0885">
        <w:rPr>
          <w:spacing w:val="-3"/>
          <w:lang w:eastAsia="en-GB"/>
        </w:rPr>
        <w:t>i</w:t>
      </w:r>
      <w:r w:rsidRPr="00CE0885">
        <w:rPr>
          <w:spacing w:val="3"/>
          <w:lang w:eastAsia="en-GB"/>
        </w:rPr>
        <w:t>f</w:t>
      </w:r>
      <w:r w:rsidRPr="00CE0885">
        <w:rPr>
          <w:lang w:eastAsia="en-GB"/>
        </w:rPr>
        <w:t>y</w:t>
      </w:r>
      <w:r w:rsidRPr="00CE0885">
        <w:rPr>
          <w:spacing w:val="-9"/>
          <w:lang w:eastAsia="en-GB"/>
        </w:rPr>
        <w:t xml:space="preserve"> </w:t>
      </w:r>
      <w:r w:rsidRPr="00CE0885">
        <w:rPr>
          <w:spacing w:val="1"/>
          <w:lang w:eastAsia="en-GB"/>
        </w:rPr>
        <w:t>fo</w:t>
      </w:r>
      <w:r w:rsidRPr="00CE0885">
        <w:rPr>
          <w:lang w:eastAsia="en-GB"/>
        </w:rPr>
        <w:t>r</w:t>
      </w:r>
      <w:r w:rsidRPr="00CE0885">
        <w:rPr>
          <w:spacing w:val="-3"/>
          <w:lang w:eastAsia="en-GB"/>
        </w:rPr>
        <w:t xml:space="preserve"> </w:t>
      </w:r>
      <w:r w:rsidRPr="00CE0885">
        <w:rPr>
          <w:spacing w:val="1"/>
          <w:lang w:eastAsia="en-GB"/>
        </w:rPr>
        <w:t>t</w:t>
      </w:r>
      <w:r w:rsidRPr="00CE0885">
        <w:rPr>
          <w:spacing w:val="-1"/>
          <w:lang w:eastAsia="en-GB"/>
        </w:rPr>
        <w:t>h</w:t>
      </w:r>
      <w:r w:rsidRPr="00CE0885">
        <w:rPr>
          <w:spacing w:val="1"/>
          <w:lang w:eastAsia="en-GB"/>
        </w:rPr>
        <w:t>e</w:t>
      </w:r>
      <w:r w:rsidRPr="00CE0885">
        <w:rPr>
          <w:lang w:eastAsia="en-GB"/>
        </w:rPr>
        <w:t>ir</w:t>
      </w:r>
      <w:r w:rsidRPr="00CE0885">
        <w:rPr>
          <w:spacing w:val="-5"/>
          <w:lang w:eastAsia="en-GB"/>
        </w:rPr>
        <w:t xml:space="preserve"> </w:t>
      </w:r>
      <w:r w:rsidRPr="00CE0885">
        <w:rPr>
          <w:spacing w:val="-1"/>
          <w:lang w:eastAsia="en-GB"/>
        </w:rPr>
        <w:t>r</w:t>
      </w:r>
      <w:r w:rsidRPr="00CE0885">
        <w:rPr>
          <w:spacing w:val="1"/>
          <w:lang w:eastAsia="en-GB"/>
        </w:rPr>
        <w:t>et</w:t>
      </w:r>
      <w:r w:rsidRPr="00CE0885">
        <w:rPr>
          <w:lang w:eastAsia="en-GB"/>
        </w:rPr>
        <w:t>i</w:t>
      </w:r>
      <w:r w:rsidRPr="00CE0885">
        <w:rPr>
          <w:spacing w:val="-1"/>
          <w:lang w:eastAsia="en-GB"/>
        </w:rPr>
        <w:t>r</w:t>
      </w:r>
      <w:r w:rsidRPr="00CE0885">
        <w:rPr>
          <w:spacing w:val="1"/>
          <w:lang w:eastAsia="en-GB"/>
        </w:rPr>
        <w:t>e</w:t>
      </w:r>
      <w:r w:rsidRPr="00CE0885">
        <w:rPr>
          <w:spacing w:val="-1"/>
          <w:lang w:eastAsia="en-GB"/>
        </w:rPr>
        <w:t>m</w:t>
      </w:r>
      <w:r w:rsidRPr="00CE0885">
        <w:rPr>
          <w:spacing w:val="1"/>
          <w:lang w:eastAsia="en-GB"/>
        </w:rPr>
        <w:t>en</w:t>
      </w:r>
      <w:r w:rsidRPr="00CE0885">
        <w:rPr>
          <w:lang w:eastAsia="en-GB"/>
        </w:rPr>
        <w:t>t</w:t>
      </w:r>
      <w:r w:rsidRPr="00CE0885">
        <w:rPr>
          <w:spacing w:val="-12"/>
          <w:lang w:eastAsia="en-GB"/>
        </w:rPr>
        <w:t xml:space="preserve"> </w:t>
      </w:r>
      <w:r w:rsidRPr="00CE0885">
        <w:rPr>
          <w:spacing w:val="1"/>
          <w:lang w:eastAsia="en-GB"/>
        </w:rPr>
        <w:t>b</w:t>
      </w:r>
      <w:r w:rsidRPr="00CE0885">
        <w:rPr>
          <w:spacing w:val="-1"/>
          <w:lang w:eastAsia="en-GB"/>
        </w:rPr>
        <w:t>e</w:t>
      </w:r>
      <w:r w:rsidRPr="00CE0885">
        <w:rPr>
          <w:spacing w:val="1"/>
          <w:lang w:eastAsia="en-GB"/>
        </w:rPr>
        <w:t>n</w:t>
      </w:r>
      <w:r w:rsidRPr="00CE0885">
        <w:rPr>
          <w:spacing w:val="-1"/>
          <w:lang w:eastAsia="en-GB"/>
        </w:rPr>
        <w:t>e</w:t>
      </w:r>
      <w:r w:rsidRPr="00CE0885">
        <w:rPr>
          <w:spacing w:val="3"/>
          <w:lang w:eastAsia="en-GB"/>
        </w:rPr>
        <w:t>f</w:t>
      </w:r>
      <w:r w:rsidRPr="00CE0885">
        <w:rPr>
          <w:lang w:eastAsia="en-GB"/>
        </w:rPr>
        <w:t>i</w:t>
      </w:r>
      <w:r w:rsidRPr="00CE0885">
        <w:rPr>
          <w:spacing w:val="1"/>
          <w:lang w:eastAsia="en-GB"/>
        </w:rPr>
        <w:t>t</w:t>
      </w:r>
      <w:r w:rsidRPr="00CE0885">
        <w:rPr>
          <w:lang w:eastAsia="en-GB"/>
        </w:rPr>
        <w:t>s</w:t>
      </w:r>
      <w:r w:rsidRPr="00CE0885">
        <w:rPr>
          <w:spacing w:val="-8"/>
          <w:lang w:eastAsia="en-GB"/>
        </w:rPr>
        <w:t xml:space="preserve"> </w:t>
      </w:r>
      <w:r w:rsidRPr="00CE0885">
        <w:rPr>
          <w:spacing w:val="-3"/>
          <w:lang w:eastAsia="en-GB"/>
        </w:rPr>
        <w:t>w</w:t>
      </w:r>
      <w:r w:rsidRPr="00CE0885">
        <w:rPr>
          <w:spacing w:val="1"/>
          <w:lang w:eastAsia="en-GB"/>
        </w:rPr>
        <w:t>h</w:t>
      </w:r>
      <w:r w:rsidRPr="00CE0885">
        <w:rPr>
          <w:lang w:eastAsia="en-GB"/>
        </w:rPr>
        <w:t>ilst</w:t>
      </w:r>
      <w:r w:rsidRPr="00CE0885">
        <w:rPr>
          <w:spacing w:val="-5"/>
          <w:lang w:eastAsia="en-GB"/>
        </w:rPr>
        <w:t xml:space="preserve"> </w:t>
      </w:r>
      <w:r w:rsidRPr="00CE0885">
        <w:rPr>
          <w:lang w:eastAsia="en-GB"/>
        </w:rPr>
        <w:t>c</w:t>
      </w:r>
      <w:r w:rsidRPr="00CE0885">
        <w:rPr>
          <w:spacing w:val="1"/>
          <w:lang w:eastAsia="en-GB"/>
        </w:rPr>
        <w:t>ont</w:t>
      </w:r>
      <w:r w:rsidRPr="00CE0885">
        <w:rPr>
          <w:lang w:eastAsia="en-GB"/>
        </w:rPr>
        <w:t>i</w:t>
      </w:r>
      <w:r w:rsidRPr="00CE0885">
        <w:rPr>
          <w:spacing w:val="-1"/>
          <w:lang w:eastAsia="en-GB"/>
        </w:rPr>
        <w:t>n</w:t>
      </w:r>
      <w:r w:rsidRPr="00CE0885">
        <w:rPr>
          <w:spacing w:val="1"/>
          <w:lang w:eastAsia="en-GB"/>
        </w:rPr>
        <w:t>u</w:t>
      </w:r>
      <w:r w:rsidRPr="00CE0885">
        <w:rPr>
          <w:lang w:eastAsia="en-GB"/>
        </w:rPr>
        <w:t>i</w:t>
      </w:r>
      <w:r w:rsidRPr="00CE0885">
        <w:rPr>
          <w:spacing w:val="1"/>
          <w:lang w:eastAsia="en-GB"/>
        </w:rPr>
        <w:t>n</w:t>
      </w:r>
      <w:r w:rsidRPr="00CE0885">
        <w:rPr>
          <w:lang w:eastAsia="en-GB"/>
        </w:rPr>
        <w:t>g</w:t>
      </w:r>
      <w:r w:rsidRPr="00CE0885">
        <w:rPr>
          <w:spacing w:val="-12"/>
          <w:lang w:eastAsia="en-GB"/>
        </w:rPr>
        <w:t xml:space="preserve"> </w:t>
      </w:r>
      <w:r w:rsidRPr="00CE0885">
        <w:rPr>
          <w:spacing w:val="1"/>
          <w:lang w:eastAsia="en-GB"/>
        </w:rPr>
        <w:t>t</w:t>
      </w:r>
      <w:r w:rsidRPr="00CE0885">
        <w:rPr>
          <w:lang w:eastAsia="en-GB"/>
        </w:rPr>
        <w:t xml:space="preserve">o </w:t>
      </w:r>
      <w:r w:rsidRPr="00CE0885">
        <w:rPr>
          <w:spacing w:val="-3"/>
          <w:lang w:eastAsia="en-GB"/>
        </w:rPr>
        <w:t>w</w:t>
      </w:r>
      <w:r w:rsidRPr="00CE0885">
        <w:rPr>
          <w:spacing w:val="1"/>
          <w:lang w:eastAsia="en-GB"/>
        </w:rPr>
        <w:t>o</w:t>
      </w:r>
      <w:r w:rsidRPr="00CE0885">
        <w:rPr>
          <w:spacing w:val="-1"/>
          <w:lang w:eastAsia="en-GB"/>
        </w:rPr>
        <w:t>r</w:t>
      </w:r>
      <w:r w:rsidRPr="00CE0885">
        <w:rPr>
          <w:lang w:eastAsia="en-GB"/>
        </w:rPr>
        <w:t>k</w:t>
      </w:r>
      <w:r w:rsidRPr="00CE0885">
        <w:rPr>
          <w:spacing w:val="-5"/>
          <w:lang w:eastAsia="en-GB"/>
        </w:rPr>
        <w:t xml:space="preserve"> </w:t>
      </w:r>
      <w:r w:rsidRPr="00CE0885">
        <w:rPr>
          <w:spacing w:val="-1"/>
          <w:lang w:eastAsia="en-GB"/>
        </w:rPr>
        <w:t>(</w:t>
      </w:r>
      <w:r w:rsidRPr="00CE0885">
        <w:rPr>
          <w:spacing w:val="1"/>
          <w:lang w:eastAsia="en-GB"/>
        </w:rPr>
        <w:t>a</w:t>
      </w:r>
      <w:r w:rsidRPr="00CE0885">
        <w:rPr>
          <w:lang w:eastAsia="en-GB"/>
        </w:rPr>
        <w:t>l</w:t>
      </w:r>
      <w:r w:rsidRPr="00CE0885">
        <w:rPr>
          <w:spacing w:val="1"/>
          <w:lang w:eastAsia="en-GB"/>
        </w:rPr>
        <w:t>be</w:t>
      </w:r>
      <w:r w:rsidRPr="00CE0885">
        <w:rPr>
          <w:lang w:eastAsia="en-GB"/>
        </w:rPr>
        <w:t>it</w:t>
      </w:r>
      <w:r w:rsidRPr="00CE0885">
        <w:rPr>
          <w:spacing w:val="-6"/>
          <w:lang w:eastAsia="en-GB"/>
        </w:rPr>
        <w:t xml:space="preserve"> </w:t>
      </w:r>
      <w:r w:rsidRPr="00CE0885">
        <w:rPr>
          <w:lang w:eastAsia="en-GB"/>
        </w:rPr>
        <w:t>wi</w:t>
      </w:r>
      <w:r w:rsidRPr="00CE0885">
        <w:rPr>
          <w:spacing w:val="1"/>
          <w:lang w:eastAsia="en-GB"/>
        </w:rPr>
        <w:t>t</w:t>
      </w:r>
      <w:r w:rsidRPr="00CE0885">
        <w:rPr>
          <w:lang w:eastAsia="en-GB"/>
        </w:rPr>
        <w:t>h</w:t>
      </w:r>
      <w:r w:rsidRPr="00CE0885">
        <w:rPr>
          <w:spacing w:val="-2"/>
          <w:lang w:eastAsia="en-GB"/>
        </w:rPr>
        <w:t xml:space="preserve"> </w:t>
      </w:r>
      <w:r w:rsidRPr="00CE0885">
        <w:rPr>
          <w:lang w:eastAsia="en-GB"/>
        </w:rPr>
        <w:t>a</w:t>
      </w:r>
      <w:r w:rsidRPr="00CE0885">
        <w:rPr>
          <w:spacing w:val="1"/>
          <w:lang w:eastAsia="en-GB"/>
        </w:rPr>
        <w:t xml:space="preserve"> b</w:t>
      </w:r>
      <w:r w:rsidRPr="00CE0885">
        <w:rPr>
          <w:spacing w:val="-1"/>
          <w:lang w:eastAsia="en-GB"/>
        </w:rPr>
        <w:t>re</w:t>
      </w:r>
      <w:r w:rsidRPr="00CE0885">
        <w:rPr>
          <w:spacing w:val="1"/>
          <w:lang w:eastAsia="en-GB"/>
        </w:rPr>
        <w:t>a</w:t>
      </w:r>
      <w:r w:rsidRPr="00CE0885">
        <w:rPr>
          <w:lang w:eastAsia="en-GB"/>
        </w:rPr>
        <w:t>k</w:t>
      </w:r>
      <w:r w:rsidRPr="00CE0885">
        <w:rPr>
          <w:spacing w:val="-1"/>
          <w:lang w:eastAsia="en-GB"/>
        </w:rPr>
        <w:t>)</w:t>
      </w:r>
      <w:r w:rsidRPr="00CE0885">
        <w:rPr>
          <w:lang w:eastAsia="en-GB"/>
        </w:rPr>
        <w:t>.</w:t>
      </w:r>
      <w:bookmarkEnd w:id="723"/>
    </w:p>
    <w:p w14:paraId="06850821" w14:textId="26D60E1F" w:rsidR="00977693" w:rsidRPr="00CE0885" w:rsidRDefault="00977693" w:rsidP="006B781A">
      <w:pPr>
        <w:pStyle w:val="Heading3"/>
        <w:rPr>
          <w:lang w:eastAsia="en-GB"/>
        </w:rPr>
      </w:pPr>
      <w:bookmarkStart w:id="724" w:name="_Toc440981829"/>
      <w:r w:rsidRPr="00CE0885">
        <w:rPr>
          <w:spacing w:val="2"/>
          <w:lang w:eastAsia="en-GB"/>
        </w:rPr>
        <w:t xml:space="preserve">24-hour retirement usually involves </w:t>
      </w:r>
      <w:r w:rsidRPr="00CE0885">
        <w:rPr>
          <w:spacing w:val="-1"/>
          <w:lang w:eastAsia="en-GB"/>
        </w:rPr>
        <w:t>r</w:t>
      </w:r>
      <w:r w:rsidRPr="00CE0885">
        <w:rPr>
          <w:spacing w:val="1"/>
          <w:lang w:eastAsia="en-GB"/>
        </w:rPr>
        <w:t>e</w:t>
      </w:r>
      <w:r w:rsidRPr="00CE0885">
        <w:rPr>
          <w:lang w:eastAsia="en-GB"/>
        </w:rPr>
        <w:t>si</w:t>
      </w:r>
      <w:r w:rsidRPr="00CE0885">
        <w:rPr>
          <w:spacing w:val="-1"/>
          <w:lang w:eastAsia="en-GB"/>
        </w:rPr>
        <w:t>g</w:t>
      </w:r>
      <w:r w:rsidRPr="00CE0885">
        <w:rPr>
          <w:lang w:eastAsia="en-GB"/>
        </w:rPr>
        <w:t>ning</w:t>
      </w:r>
      <w:r w:rsidRPr="00CE0885">
        <w:rPr>
          <w:spacing w:val="-5"/>
          <w:lang w:eastAsia="en-GB"/>
        </w:rPr>
        <w:t xml:space="preserve"> </w:t>
      </w:r>
      <w:r w:rsidRPr="00CE0885">
        <w:rPr>
          <w:spacing w:val="3"/>
          <w:lang w:eastAsia="en-GB"/>
        </w:rPr>
        <w:t>f</w:t>
      </w:r>
      <w:r w:rsidRPr="00CE0885">
        <w:rPr>
          <w:spacing w:val="-1"/>
          <w:lang w:eastAsia="en-GB"/>
        </w:rPr>
        <w:t>ro</w:t>
      </w:r>
      <w:r w:rsidRPr="00CE0885">
        <w:rPr>
          <w:lang w:eastAsia="en-GB"/>
        </w:rPr>
        <w:t>m</w:t>
      </w:r>
      <w:r w:rsidRPr="00CE0885">
        <w:rPr>
          <w:spacing w:val="-3"/>
          <w:lang w:eastAsia="en-GB"/>
        </w:rPr>
        <w:t xml:space="preserve"> </w:t>
      </w:r>
      <w:r w:rsidRPr="00CE0885">
        <w:rPr>
          <w:spacing w:val="1"/>
          <w:lang w:eastAsia="en-GB"/>
        </w:rPr>
        <w:t>a</w:t>
      </w:r>
      <w:r w:rsidRPr="00CE0885">
        <w:rPr>
          <w:lang w:eastAsia="en-GB"/>
        </w:rPr>
        <w:t>ll</w:t>
      </w:r>
      <w:r w:rsidRPr="00CE0885">
        <w:rPr>
          <w:spacing w:val="-2"/>
          <w:lang w:eastAsia="en-GB"/>
        </w:rPr>
        <w:t xml:space="preserve"> </w:t>
      </w:r>
      <w:r w:rsidRPr="00CE0885">
        <w:rPr>
          <w:lang w:eastAsia="en-GB"/>
        </w:rPr>
        <w:t>i</w:t>
      </w:r>
      <w:r w:rsidRPr="00CE0885">
        <w:rPr>
          <w:spacing w:val="1"/>
          <w:lang w:eastAsia="en-GB"/>
        </w:rPr>
        <w:t>n</w:t>
      </w:r>
      <w:r w:rsidRPr="00CE0885">
        <w:rPr>
          <w:spacing w:val="-2"/>
          <w:lang w:eastAsia="en-GB"/>
        </w:rPr>
        <w:t>v</w:t>
      </w:r>
      <w:r w:rsidRPr="00CE0885">
        <w:rPr>
          <w:spacing w:val="1"/>
          <w:lang w:eastAsia="en-GB"/>
        </w:rPr>
        <w:t>o</w:t>
      </w:r>
      <w:r w:rsidRPr="00CE0885">
        <w:rPr>
          <w:lang w:eastAsia="en-GB"/>
        </w:rPr>
        <w:t>l</w:t>
      </w:r>
      <w:r w:rsidRPr="00CE0885">
        <w:rPr>
          <w:spacing w:val="-2"/>
          <w:lang w:eastAsia="en-GB"/>
        </w:rPr>
        <w:t>v</w:t>
      </w:r>
      <w:r w:rsidRPr="00CE0885">
        <w:rPr>
          <w:spacing w:val="1"/>
          <w:lang w:eastAsia="en-GB"/>
        </w:rPr>
        <w:t>e</w:t>
      </w:r>
      <w:r w:rsidRPr="00CE0885">
        <w:rPr>
          <w:spacing w:val="2"/>
          <w:lang w:eastAsia="en-GB"/>
        </w:rPr>
        <w:t>m</w:t>
      </w:r>
      <w:r w:rsidRPr="00CE0885">
        <w:rPr>
          <w:spacing w:val="1"/>
          <w:lang w:eastAsia="en-GB"/>
        </w:rPr>
        <w:t>e</w:t>
      </w:r>
      <w:r w:rsidRPr="00CE0885">
        <w:rPr>
          <w:spacing w:val="-1"/>
          <w:lang w:eastAsia="en-GB"/>
        </w:rPr>
        <w:t>n</w:t>
      </w:r>
      <w:r w:rsidRPr="00CE0885">
        <w:rPr>
          <w:lang w:eastAsia="en-GB"/>
        </w:rPr>
        <w:t>t</w:t>
      </w:r>
      <w:r w:rsidRPr="00CE0885">
        <w:rPr>
          <w:spacing w:val="-12"/>
          <w:lang w:eastAsia="en-GB"/>
        </w:rPr>
        <w:t xml:space="preserve"> </w:t>
      </w:r>
      <w:r w:rsidRPr="00CE0885">
        <w:rPr>
          <w:lang w:eastAsia="en-GB"/>
        </w:rPr>
        <w:t>in</w:t>
      </w:r>
      <w:r w:rsidRPr="00CE0885">
        <w:rPr>
          <w:spacing w:val="-3"/>
          <w:lang w:eastAsia="en-GB"/>
        </w:rPr>
        <w:t xml:space="preserve"> </w:t>
      </w:r>
      <w:r w:rsidRPr="00CE0885">
        <w:rPr>
          <w:spacing w:val="1"/>
          <w:lang w:eastAsia="en-GB"/>
        </w:rPr>
        <w:t>a</w:t>
      </w:r>
      <w:r w:rsidRPr="00CE0885">
        <w:rPr>
          <w:lang w:eastAsia="en-GB"/>
        </w:rPr>
        <w:t>n</w:t>
      </w:r>
      <w:r w:rsidRPr="00CE0885">
        <w:rPr>
          <w:spacing w:val="-1"/>
          <w:lang w:eastAsia="en-GB"/>
        </w:rPr>
        <w:t xml:space="preserve"> </w:t>
      </w:r>
      <w:r w:rsidRPr="00CE0885">
        <w:rPr>
          <w:lang w:eastAsia="en-GB"/>
        </w:rPr>
        <w:t>NHS</w:t>
      </w:r>
      <w:r w:rsidRPr="00CE0885">
        <w:rPr>
          <w:spacing w:val="-4"/>
          <w:lang w:eastAsia="en-GB"/>
        </w:rPr>
        <w:t xml:space="preserve"> </w:t>
      </w:r>
      <w:r w:rsidRPr="00CE0885">
        <w:rPr>
          <w:spacing w:val="-2"/>
          <w:lang w:eastAsia="en-GB"/>
        </w:rPr>
        <w:t>c</w:t>
      </w:r>
      <w:r w:rsidRPr="00CE0885">
        <w:rPr>
          <w:spacing w:val="1"/>
          <w:lang w:eastAsia="en-GB"/>
        </w:rPr>
        <w:t>ont</w:t>
      </w:r>
      <w:r w:rsidRPr="00CE0885">
        <w:rPr>
          <w:spacing w:val="-1"/>
          <w:lang w:eastAsia="en-GB"/>
        </w:rPr>
        <w:t>ra</w:t>
      </w:r>
      <w:r w:rsidRPr="00CE0885">
        <w:rPr>
          <w:lang w:eastAsia="en-GB"/>
        </w:rPr>
        <w:t>ct</w:t>
      </w:r>
      <w:r w:rsidRPr="00CE0885">
        <w:rPr>
          <w:spacing w:val="-8"/>
          <w:lang w:eastAsia="en-GB"/>
        </w:rPr>
        <w:t xml:space="preserve">, </w:t>
      </w:r>
      <w:r w:rsidRPr="00CE0885">
        <w:rPr>
          <w:lang w:eastAsia="en-GB"/>
        </w:rPr>
        <w:t>not</w:t>
      </w:r>
      <w:r w:rsidRPr="00CE0885">
        <w:rPr>
          <w:spacing w:val="-6"/>
          <w:lang w:eastAsia="en-GB"/>
        </w:rPr>
        <w:t xml:space="preserve"> </w:t>
      </w:r>
      <w:r w:rsidRPr="00CE0885">
        <w:rPr>
          <w:spacing w:val="-1"/>
          <w:lang w:eastAsia="en-GB"/>
        </w:rPr>
        <w:t>r</w:t>
      </w:r>
      <w:r w:rsidRPr="00CE0885">
        <w:rPr>
          <w:spacing w:val="1"/>
          <w:lang w:eastAsia="en-GB"/>
        </w:rPr>
        <w:t>etu</w:t>
      </w:r>
      <w:r w:rsidRPr="00CE0885">
        <w:rPr>
          <w:spacing w:val="-1"/>
          <w:lang w:eastAsia="en-GB"/>
        </w:rPr>
        <w:t>r</w:t>
      </w:r>
      <w:r w:rsidRPr="00CE0885">
        <w:rPr>
          <w:lang w:eastAsia="en-GB"/>
        </w:rPr>
        <w:t>ning</w:t>
      </w:r>
      <w:r w:rsidRPr="00CE0885">
        <w:rPr>
          <w:spacing w:val="-7"/>
          <w:lang w:eastAsia="en-GB"/>
        </w:rPr>
        <w:t xml:space="preserve"> </w:t>
      </w:r>
      <w:r w:rsidRPr="00CE0885">
        <w:rPr>
          <w:spacing w:val="1"/>
          <w:lang w:eastAsia="en-GB"/>
        </w:rPr>
        <w:t>t</w:t>
      </w:r>
      <w:r w:rsidRPr="00CE0885">
        <w:rPr>
          <w:lang w:eastAsia="en-GB"/>
        </w:rPr>
        <w:t xml:space="preserve">o </w:t>
      </w:r>
      <w:r w:rsidRPr="00CE0885">
        <w:rPr>
          <w:spacing w:val="1"/>
          <w:lang w:eastAsia="en-GB"/>
        </w:rPr>
        <w:t>th</w:t>
      </w:r>
      <w:r w:rsidRPr="00CE0885">
        <w:rPr>
          <w:lang w:eastAsia="en-GB"/>
        </w:rPr>
        <w:t>e</w:t>
      </w:r>
      <w:r w:rsidRPr="00CE0885">
        <w:rPr>
          <w:spacing w:val="-1"/>
          <w:lang w:eastAsia="en-GB"/>
        </w:rPr>
        <w:t xml:space="preserve"> </w:t>
      </w:r>
      <w:r w:rsidRPr="00CE0885">
        <w:rPr>
          <w:lang w:eastAsia="en-GB"/>
        </w:rPr>
        <w:t>NHS</w:t>
      </w:r>
      <w:r w:rsidRPr="00CE0885">
        <w:rPr>
          <w:spacing w:val="-4"/>
          <w:lang w:eastAsia="en-GB"/>
        </w:rPr>
        <w:t xml:space="preserve"> </w:t>
      </w:r>
      <w:r w:rsidRPr="00CE0885">
        <w:rPr>
          <w:lang w:eastAsia="en-GB"/>
        </w:rPr>
        <w:t>in</w:t>
      </w:r>
      <w:r w:rsidRPr="00CE0885">
        <w:rPr>
          <w:spacing w:val="-3"/>
          <w:lang w:eastAsia="en-GB"/>
        </w:rPr>
        <w:t xml:space="preserve"> </w:t>
      </w:r>
      <w:r w:rsidRPr="00CE0885">
        <w:rPr>
          <w:spacing w:val="1"/>
          <w:lang w:eastAsia="en-GB"/>
        </w:rPr>
        <w:t>an</w:t>
      </w:r>
      <w:r w:rsidRPr="00CE0885">
        <w:rPr>
          <w:lang w:eastAsia="en-GB"/>
        </w:rPr>
        <w:t>y</w:t>
      </w:r>
      <w:r w:rsidRPr="00CE0885">
        <w:rPr>
          <w:spacing w:val="-6"/>
          <w:lang w:eastAsia="en-GB"/>
        </w:rPr>
        <w:t xml:space="preserve"> </w:t>
      </w:r>
      <w:r w:rsidRPr="00CE0885">
        <w:rPr>
          <w:lang w:eastAsia="en-GB"/>
        </w:rPr>
        <w:t>c</w:t>
      </w:r>
      <w:r w:rsidRPr="00CE0885">
        <w:rPr>
          <w:spacing w:val="1"/>
          <w:lang w:eastAsia="en-GB"/>
        </w:rPr>
        <w:t>a</w:t>
      </w:r>
      <w:r w:rsidRPr="00CE0885">
        <w:rPr>
          <w:spacing w:val="-1"/>
          <w:lang w:eastAsia="en-GB"/>
        </w:rPr>
        <w:t>p</w:t>
      </w:r>
      <w:r w:rsidRPr="00CE0885">
        <w:rPr>
          <w:spacing w:val="1"/>
          <w:lang w:eastAsia="en-GB"/>
        </w:rPr>
        <w:t>a</w:t>
      </w:r>
      <w:r w:rsidRPr="00CE0885">
        <w:rPr>
          <w:lang w:eastAsia="en-GB"/>
        </w:rPr>
        <w:t>ci</w:t>
      </w:r>
      <w:r w:rsidRPr="00CE0885">
        <w:rPr>
          <w:spacing w:val="-2"/>
          <w:lang w:eastAsia="en-GB"/>
        </w:rPr>
        <w:t>t</w:t>
      </w:r>
      <w:r w:rsidRPr="00CE0885">
        <w:rPr>
          <w:lang w:eastAsia="en-GB"/>
        </w:rPr>
        <w:t>y</w:t>
      </w:r>
      <w:r w:rsidRPr="00CE0885">
        <w:rPr>
          <w:spacing w:val="-11"/>
          <w:lang w:eastAsia="en-GB"/>
        </w:rPr>
        <w:t xml:space="preserve"> </w:t>
      </w:r>
      <w:r w:rsidRPr="00CE0885">
        <w:rPr>
          <w:spacing w:val="3"/>
          <w:lang w:eastAsia="en-GB"/>
        </w:rPr>
        <w:t>f</w:t>
      </w:r>
      <w:r w:rsidRPr="00CE0885">
        <w:rPr>
          <w:spacing w:val="1"/>
          <w:lang w:eastAsia="en-GB"/>
        </w:rPr>
        <w:t>o</w:t>
      </w:r>
      <w:r w:rsidRPr="00CE0885">
        <w:rPr>
          <w:lang w:eastAsia="en-GB"/>
        </w:rPr>
        <w:t>r</w:t>
      </w:r>
      <w:r w:rsidRPr="00CE0885">
        <w:rPr>
          <w:spacing w:val="-3"/>
          <w:lang w:eastAsia="en-GB"/>
        </w:rPr>
        <w:t xml:space="preserve"> </w:t>
      </w:r>
      <w:r w:rsidRPr="00CE0885">
        <w:rPr>
          <w:spacing w:val="1"/>
          <w:lang w:eastAsia="en-GB"/>
        </w:rPr>
        <w:t>a</w:t>
      </w:r>
      <w:r w:rsidRPr="00CE0885">
        <w:rPr>
          <w:lang w:eastAsia="en-GB"/>
        </w:rPr>
        <w:t>t</w:t>
      </w:r>
      <w:r w:rsidRPr="00CE0885">
        <w:rPr>
          <w:spacing w:val="-3"/>
          <w:lang w:eastAsia="en-GB"/>
        </w:rPr>
        <w:t xml:space="preserve"> </w:t>
      </w:r>
      <w:r w:rsidRPr="00CE0885">
        <w:rPr>
          <w:lang w:eastAsia="en-GB"/>
        </w:rPr>
        <w:t>l</w:t>
      </w:r>
      <w:r w:rsidRPr="00CE0885">
        <w:rPr>
          <w:spacing w:val="1"/>
          <w:lang w:eastAsia="en-GB"/>
        </w:rPr>
        <w:t>ea</w:t>
      </w:r>
      <w:r w:rsidRPr="00CE0885">
        <w:rPr>
          <w:lang w:eastAsia="en-GB"/>
        </w:rPr>
        <w:t>st</w:t>
      </w:r>
      <w:r w:rsidRPr="00CE0885">
        <w:rPr>
          <w:spacing w:val="-6"/>
          <w:lang w:eastAsia="en-GB"/>
        </w:rPr>
        <w:t xml:space="preserve"> </w:t>
      </w:r>
      <w:r w:rsidRPr="00CE0885">
        <w:rPr>
          <w:spacing w:val="1"/>
          <w:lang w:eastAsia="en-GB"/>
        </w:rPr>
        <w:t>2</w:t>
      </w:r>
      <w:r w:rsidRPr="00CE0885">
        <w:rPr>
          <w:lang w:eastAsia="en-GB"/>
        </w:rPr>
        <w:t>4</w:t>
      </w:r>
      <w:r w:rsidRPr="00CE0885">
        <w:rPr>
          <w:spacing w:val="-4"/>
          <w:lang w:eastAsia="en-GB"/>
        </w:rPr>
        <w:t xml:space="preserve"> </w:t>
      </w:r>
      <w:r w:rsidRPr="00CE0885">
        <w:rPr>
          <w:spacing w:val="1"/>
          <w:lang w:eastAsia="en-GB"/>
        </w:rPr>
        <w:t>h</w:t>
      </w:r>
      <w:r w:rsidRPr="00CE0885">
        <w:rPr>
          <w:spacing w:val="-1"/>
          <w:lang w:eastAsia="en-GB"/>
        </w:rPr>
        <w:t>o</w:t>
      </w:r>
      <w:r w:rsidRPr="00CE0885">
        <w:rPr>
          <w:spacing w:val="1"/>
          <w:lang w:eastAsia="en-GB"/>
        </w:rPr>
        <w:t>u</w:t>
      </w:r>
      <w:r w:rsidRPr="00CE0885">
        <w:rPr>
          <w:spacing w:val="-1"/>
          <w:lang w:eastAsia="en-GB"/>
        </w:rPr>
        <w:t>r</w:t>
      </w:r>
      <w:r w:rsidRPr="00CE0885">
        <w:rPr>
          <w:lang w:eastAsia="en-GB"/>
        </w:rPr>
        <w:t>s and</w:t>
      </w:r>
      <w:r w:rsidRPr="00CE0885">
        <w:rPr>
          <w:spacing w:val="1"/>
          <w:lang w:eastAsia="en-GB"/>
        </w:rPr>
        <w:t xml:space="preserve"> no</w:t>
      </w:r>
      <w:r w:rsidRPr="00CE0885">
        <w:rPr>
          <w:lang w:eastAsia="en-GB"/>
        </w:rPr>
        <w:t>t</w:t>
      </w:r>
      <w:r w:rsidRPr="00CE0885">
        <w:rPr>
          <w:spacing w:val="-4"/>
          <w:lang w:eastAsia="en-GB"/>
        </w:rPr>
        <w:t xml:space="preserve"> </w:t>
      </w:r>
      <w:r w:rsidRPr="00CE0885">
        <w:rPr>
          <w:spacing w:val="-3"/>
          <w:lang w:eastAsia="en-GB"/>
        </w:rPr>
        <w:t>w</w:t>
      </w:r>
      <w:r w:rsidRPr="00CE0885">
        <w:rPr>
          <w:spacing w:val="1"/>
          <w:lang w:eastAsia="en-GB"/>
        </w:rPr>
        <w:t>o</w:t>
      </w:r>
      <w:r w:rsidRPr="00CE0885">
        <w:rPr>
          <w:spacing w:val="-1"/>
          <w:lang w:eastAsia="en-GB"/>
        </w:rPr>
        <w:t>r</w:t>
      </w:r>
      <w:r w:rsidRPr="00CE0885">
        <w:rPr>
          <w:lang w:eastAsia="en-GB"/>
        </w:rPr>
        <w:t>king</w:t>
      </w:r>
      <w:r w:rsidRPr="00CE0885">
        <w:rPr>
          <w:spacing w:val="-5"/>
          <w:lang w:eastAsia="en-GB"/>
        </w:rPr>
        <w:t xml:space="preserve"> </w:t>
      </w:r>
      <w:r w:rsidRPr="00CE0885">
        <w:rPr>
          <w:spacing w:val="3"/>
          <w:lang w:eastAsia="en-GB"/>
        </w:rPr>
        <w:t>f</w:t>
      </w:r>
      <w:r w:rsidRPr="00CE0885">
        <w:rPr>
          <w:spacing w:val="1"/>
          <w:lang w:eastAsia="en-GB"/>
        </w:rPr>
        <w:t>o</w:t>
      </w:r>
      <w:r w:rsidRPr="00CE0885">
        <w:rPr>
          <w:lang w:eastAsia="en-GB"/>
        </w:rPr>
        <w:t>r</w:t>
      </w:r>
      <w:r w:rsidRPr="00CE0885">
        <w:rPr>
          <w:spacing w:val="-6"/>
          <w:lang w:eastAsia="en-GB"/>
        </w:rPr>
        <w:t xml:space="preserve"> </w:t>
      </w:r>
      <w:r w:rsidRPr="00CE0885">
        <w:rPr>
          <w:spacing w:val="2"/>
          <w:lang w:eastAsia="en-GB"/>
        </w:rPr>
        <w:t>m</w:t>
      </w:r>
      <w:r w:rsidRPr="00CE0885">
        <w:rPr>
          <w:spacing w:val="1"/>
          <w:lang w:eastAsia="en-GB"/>
        </w:rPr>
        <w:t>o</w:t>
      </w:r>
      <w:r w:rsidRPr="00CE0885">
        <w:rPr>
          <w:spacing w:val="-1"/>
          <w:lang w:eastAsia="en-GB"/>
        </w:rPr>
        <w:t>r</w:t>
      </w:r>
      <w:r w:rsidRPr="00CE0885">
        <w:rPr>
          <w:lang w:eastAsia="en-GB"/>
        </w:rPr>
        <w:t>e</w:t>
      </w:r>
      <w:r w:rsidRPr="00CE0885">
        <w:rPr>
          <w:spacing w:val="-6"/>
          <w:lang w:eastAsia="en-GB"/>
        </w:rPr>
        <w:t xml:space="preserve"> </w:t>
      </w:r>
      <w:r w:rsidRPr="00CE0885">
        <w:rPr>
          <w:spacing w:val="1"/>
          <w:lang w:eastAsia="en-GB"/>
        </w:rPr>
        <w:t>th</w:t>
      </w:r>
      <w:r w:rsidRPr="00CE0885">
        <w:rPr>
          <w:spacing w:val="-1"/>
          <w:lang w:eastAsia="en-GB"/>
        </w:rPr>
        <w:t>a</w:t>
      </w:r>
      <w:r w:rsidRPr="00CE0885">
        <w:rPr>
          <w:lang w:eastAsia="en-GB"/>
        </w:rPr>
        <w:t>n</w:t>
      </w:r>
      <w:r w:rsidRPr="00CE0885">
        <w:rPr>
          <w:spacing w:val="-3"/>
          <w:lang w:eastAsia="en-GB"/>
        </w:rPr>
        <w:t xml:space="preserve"> </w:t>
      </w:r>
      <w:r w:rsidRPr="00CE0885">
        <w:rPr>
          <w:spacing w:val="-1"/>
          <w:lang w:eastAsia="en-GB"/>
        </w:rPr>
        <w:t>1</w:t>
      </w:r>
      <w:r w:rsidRPr="00CE0885">
        <w:rPr>
          <w:lang w:eastAsia="en-GB"/>
        </w:rPr>
        <w:t>6</w:t>
      </w:r>
      <w:r w:rsidRPr="00CE0885">
        <w:rPr>
          <w:spacing w:val="-1"/>
          <w:lang w:eastAsia="en-GB"/>
        </w:rPr>
        <w:t xml:space="preserve"> h</w:t>
      </w:r>
      <w:r w:rsidRPr="00CE0885">
        <w:rPr>
          <w:spacing w:val="1"/>
          <w:lang w:eastAsia="en-GB"/>
        </w:rPr>
        <w:t>ou</w:t>
      </w:r>
      <w:r w:rsidRPr="00CE0885">
        <w:rPr>
          <w:spacing w:val="-1"/>
          <w:lang w:eastAsia="en-GB"/>
        </w:rPr>
        <w:t>r</w:t>
      </w:r>
      <w:r w:rsidRPr="00CE0885">
        <w:rPr>
          <w:lang w:eastAsia="en-GB"/>
        </w:rPr>
        <w:t>s</w:t>
      </w:r>
      <w:r w:rsidRPr="00CE0885">
        <w:rPr>
          <w:spacing w:val="-6"/>
          <w:lang w:eastAsia="en-GB"/>
        </w:rPr>
        <w:t xml:space="preserve"> </w:t>
      </w:r>
      <w:r w:rsidRPr="00CE0885">
        <w:rPr>
          <w:lang w:eastAsia="en-GB"/>
        </w:rPr>
        <w:t>a</w:t>
      </w:r>
      <w:r w:rsidRPr="00CE0885">
        <w:rPr>
          <w:spacing w:val="1"/>
          <w:lang w:eastAsia="en-GB"/>
        </w:rPr>
        <w:t xml:space="preserve"> </w:t>
      </w:r>
      <w:r w:rsidRPr="00CE0885">
        <w:rPr>
          <w:spacing w:val="-3"/>
          <w:lang w:eastAsia="en-GB"/>
        </w:rPr>
        <w:t>w</w:t>
      </w:r>
      <w:r w:rsidRPr="00CE0885">
        <w:rPr>
          <w:spacing w:val="1"/>
          <w:lang w:eastAsia="en-GB"/>
        </w:rPr>
        <w:t>ee</w:t>
      </w:r>
      <w:r w:rsidRPr="00CE0885">
        <w:rPr>
          <w:lang w:eastAsia="en-GB"/>
        </w:rPr>
        <w:t>k</w:t>
      </w:r>
      <w:r w:rsidRPr="00CE0885">
        <w:rPr>
          <w:spacing w:val="-8"/>
          <w:lang w:eastAsia="en-GB"/>
        </w:rPr>
        <w:t xml:space="preserve"> </w:t>
      </w:r>
      <w:r w:rsidRPr="00CE0885">
        <w:rPr>
          <w:lang w:eastAsia="en-GB"/>
        </w:rPr>
        <w:t xml:space="preserve">in </w:t>
      </w:r>
      <w:r w:rsidRPr="00CE0885">
        <w:rPr>
          <w:spacing w:val="1"/>
          <w:lang w:eastAsia="en-GB"/>
        </w:rPr>
        <w:t>th</w:t>
      </w:r>
      <w:r w:rsidRPr="00CE0885">
        <w:rPr>
          <w:lang w:eastAsia="en-GB"/>
        </w:rPr>
        <w:t>e</w:t>
      </w:r>
      <w:r w:rsidRPr="00CE0885">
        <w:rPr>
          <w:spacing w:val="-6"/>
          <w:lang w:eastAsia="en-GB"/>
        </w:rPr>
        <w:t xml:space="preserve"> </w:t>
      </w:r>
      <w:r w:rsidRPr="00CE0885">
        <w:rPr>
          <w:spacing w:val="3"/>
          <w:lang w:eastAsia="en-GB"/>
        </w:rPr>
        <w:t>f</w:t>
      </w:r>
      <w:r w:rsidRPr="00CE0885">
        <w:rPr>
          <w:lang w:eastAsia="en-GB"/>
        </w:rPr>
        <w:t>i</w:t>
      </w:r>
      <w:r w:rsidRPr="00CE0885">
        <w:rPr>
          <w:spacing w:val="-1"/>
          <w:lang w:eastAsia="en-GB"/>
        </w:rPr>
        <w:t>r</w:t>
      </w:r>
      <w:r w:rsidRPr="00CE0885">
        <w:rPr>
          <w:lang w:eastAsia="en-GB"/>
        </w:rPr>
        <w:t>st</w:t>
      </w:r>
      <w:r w:rsidRPr="00CE0885">
        <w:rPr>
          <w:spacing w:val="-3"/>
          <w:lang w:eastAsia="en-GB"/>
        </w:rPr>
        <w:t xml:space="preserve"> </w:t>
      </w:r>
      <w:r w:rsidRPr="00CE0885">
        <w:rPr>
          <w:spacing w:val="-1"/>
          <w:lang w:eastAsia="en-GB"/>
        </w:rPr>
        <w:t>m</w:t>
      </w:r>
      <w:r w:rsidRPr="00CE0885">
        <w:rPr>
          <w:spacing w:val="1"/>
          <w:lang w:eastAsia="en-GB"/>
        </w:rPr>
        <w:t>on</w:t>
      </w:r>
      <w:r w:rsidRPr="00CE0885">
        <w:rPr>
          <w:spacing w:val="-2"/>
          <w:lang w:eastAsia="en-GB"/>
        </w:rPr>
        <w:t>t</w:t>
      </w:r>
      <w:r w:rsidRPr="00CE0885">
        <w:rPr>
          <w:lang w:eastAsia="en-GB"/>
        </w:rPr>
        <w:t>h</w:t>
      </w:r>
      <w:r w:rsidRPr="00CE0885">
        <w:rPr>
          <w:spacing w:val="-5"/>
          <w:lang w:eastAsia="en-GB"/>
        </w:rPr>
        <w:t xml:space="preserve"> </w:t>
      </w:r>
      <w:r w:rsidRPr="00CE0885">
        <w:rPr>
          <w:spacing w:val="-1"/>
          <w:lang w:eastAsia="en-GB"/>
        </w:rPr>
        <w:t>o</w:t>
      </w:r>
      <w:r w:rsidRPr="00CE0885">
        <w:rPr>
          <w:lang w:eastAsia="en-GB"/>
        </w:rPr>
        <w:t xml:space="preserve">f </w:t>
      </w:r>
      <w:r w:rsidRPr="00CE0885">
        <w:rPr>
          <w:spacing w:val="-1"/>
          <w:lang w:eastAsia="en-GB"/>
        </w:rPr>
        <w:t>r</w:t>
      </w:r>
      <w:r w:rsidRPr="00CE0885">
        <w:rPr>
          <w:spacing w:val="1"/>
          <w:lang w:eastAsia="en-GB"/>
        </w:rPr>
        <w:t>et</w:t>
      </w:r>
      <w:r w:rsidRPr="00CE0885">
        <w:rPr>
          <w:lang w:eastAsia="en-GB"/>
        </w:rPr>
        <w:t>i</w:t>
      </w:r>
      <w:r w:rsidRPr="00CE0885">
        <w:rPr>
          <w:spacing w:val="-1"/>
          <w:lang w:eastAsia="en-GB"/>
        </w:rPr>
        <w:t>r</w:t>
      </w:r>
      <w:r w:rsidRPr="00CE0885">
        <w:rPr>
          <w:spacing w:val="1"/>
          <w:lang w:eastAsia="en-GB"/>
        </w:rPr>
        <w:t>e</w:t>
      </w:r>
      <w:r w:rsidRPr="00CE0885">
        <w:rPr>
          <w:spacing w:val="2"/>
          <w:lang w:eastAsia="en-GB"/>
        </w:rPr>
        <w:t>m</w:t>
      </w:r>
      <w:r w:rsidRPr="00CE0885">
        <w:rPr>
          <w:spacing w:val="-1"/>
          <w:lang w:eastAsia="en-GB"/>
        </w:rPr>
        <w:t>e</w:t>
      </w:r>
      <w:r w:rsidRPr="00CE0885">
        <w:rPr>
          <w:spacing w:val="1"/>
          <w:lang w:eastAsia="en-GB"/>
        </w:rPr>
        <w:t>nt. The Commissioner should ensure that it is aware of the current conditions around 24-hour retirement.</w:t>
      </w:r>
      <w:bookmarkEnd w:id="724"/>
    </w:p>
    <w:p w14:paraId="38958107" w14:textId="23E9B782" w:rsidR="00977693" w:rsidRPr="00CE0885" w:rsidRDefault="00977693" w:rsidP="006B781A">
      <w:pPr>
        <w:pStyle w:val="Heading3"/>
        <w:rPr>
          <w:lang w:eastAsia="en-GB"/>
        </w:rPr>
      </w:pPr>
      <w:bookmarkStart w:id="725" w:name="_Toc440981830"/>
      <w:r w:rsidRPr="00CE0885">
        <w:rPr>
          <w:spacing w:val="6"/>
          <w:lang w:eastAsia="en-GB"/>
        </w:rPr>
        <w:t>If</w:t>
      </w:r>
      <w:r w:rsidRPr="00CE0885">
        <w:rPr>
          <w:spacing w:val="-7"/>
          <w:lang w:eastAsia="en-GB"/>
        </w:rPr>
        <w:t xml:space="preserve"> </w:t>
      </w:r>
      <w:r w:rsidRPr="00CE0885">
        <w:rPr>
          <w:lang w:eastAsia="en-GB"/>
        </w:rPr>
        <w:t>the Commissioner</w:t>
      </w:r>
      <w:r w:rsidRPr="00CE0885">
        <w:rPr>
          <w:spacing w:val="-7"/>
          <w:lang w:eastAsia="en-GB"/>
        </w:rPr>
        <w:t xml:space="preserve"> </w:t>
      </w:r>
      <w:r w:rsidRPr="00CE0885">
        <w:rPr>
          <w:lang w:eastAsia="en-GB"/>
        </w:rPr>
        <w:t>is</w:t>
      </w:r>
      <w:r w:rsidRPr="00CE0885">
        <w:rPr>
          <w:spacing w:val="-4"/>
          <w:lang w:eastAsia="en-GB"/>
        </w:rPr>
        <w:t xml:space="preserve"> </w:t>
      </w:r>
      <w:r w:rsidRPr="00CE0885">
        <w:rPr>
          <w:spacing w:val="1"/>
          <w:lang w:eastAsia="en-GB"/>
        </w:rPr>
        <w:t>app</w:t>
      </w:r>
      <w:r w:rsidRPr="00CE0885">
        <w:rPr>
          <w:spacing w:val="-1"/>
          <w:lang w:eastAsia="en-GB"/>
        </w:rPr>
        <w:t>ro</w:t>
      </w:r>
      <w:r w:rsidRPr="00CE0885">
        <w:rPr>
          <w:spacing w:val="1"/>
          <w:lang w:eastAsia="en-GB"/>
        </w:rPr>
        <w:t>a</w:t>
      </w:r>
      <w:r w:rsidRPr="00CE0885">
        <w:rPr>
          <w:lang w:eastAsia="en-GB"/>
        </w:rPr>
        <w:t>c</w:t>
      </w:r>
      <w:r w:rsidRPr="00CE0885">
        <w:rPr>
          <w:spacing w:val="1"/>
          <w:lang w:eastAsia="en-GB"/>
        </w:rPr>
        <w:t>h</w:t>
      </w:r>
      <w:r w:rsidRPr="00CE0885">
        <w:rPr>
          <w:spacing w:val="-1"/>
          <w:lang w:eastAsia="en-GB"/>
        </w:rPr>
        <w:t>e</w:t>
      </w:r>
      <w:r w:rsidRPr="00CE0885">
        <w:rPr>
          <w:lang w:eastAsia="en-GB"/>
        </w:rPr>
        <w:t>d</w:t>
      </w:r>
      <w:r w:rsidRPr="00CE0885">
        <w:rPr>
          <w:spacing w:val="-11"/>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lang w:eastAsia="en-GB"/>
        </w:rPr>
        <w:t>a</w:t>
      </w:r>
      <w:r w:rsidRPr="00CE0885">
        <w:rPr>
          <w:spacing w:val="-2"/>
          <w:lang w:eastAsia="en-GB"/>
        </w:rPr>
        <w:t xml:space="preserve"> contractor </w:t>
      </w:r>
      <w:r w:rsidRPr="00CE0885">
        <w:rPr>
          <w:spacing w:val="-3"/>
          <w:lang w:eastAsia="en-GB"/>
        </w:rPr>
        <w:t>w</w:t>
      </w:r>
      <w:r w:rsidRPr="00CE0885">
        <w:rPr>
          <w:lang w:eastAsia="en-GB"/>
        </w:rPr>
        <w:t>is</w:t>
      </w:r>
      <w:r w:rsidRPr="00CE0885">
        <w:rPr>
          <w:spacing w:val="1"/>
          <w:lang w:eastAsia="en-GB"/>
        </w:rPr>
        <w:t>h</w:t>
      </w:r>
      <w:r w:rsidRPr="00CE0885">
        <w:rPr>
          <w:lang w:eastAsia="en-GB"/>
        </w:rPr>
        <w:t>i</w:t>
      </w:r>
      <w:r w:rsidRPr="00CE0885">
        <w:rPr>
          <w:spacing w:val="3"/>
          <w:lang w:eastAsia="en-GB"/>
        </w:rPr>
        <w:t>n</w:t>
      </w:r>
      <w:r w:rsidRPr="00CE0885">
        <w:rPr>
          <w:lang w:eastAsia="en-GB"/>
        </w:rPr>
        <w:t>g</w:t>
      </w:r>
      <w:r w:rsidRPr="00CE0885">
        <w:rPr>
          <w:spacing w:val="-9"/>
          <w:lang w:eastAsia="en-GB"/>
        </w:rPr>
        <w:t xml:space="preserve"> </w:t>
      </w:r>
      <w:r w:rsidRPr="00CE0885">
        <w:rPr>
          <w:spacing w:val="1"/>
          <w:lang w:eastAsia="en-GB"/>
        </w:rPr>
        <w:t>t</w:t>
      </w:r>
      <w:r w:rsidRPr="00CE0885">
        <w:rPr>
          <w:lang w:eastAsia="en-GB"/>
        </w:rPr>
        <w:t xml:space="preserve">o </w:t>
      </w:r>
      <w:r w:rsidRPr="00CE0885">
        <w:rPr>
          <w:spacing w:val="1"/>
          <w:lang w:eastAsia="en-GB"/>
        </w:rPr>
        <w:t>ta</w:t>
      </w:r>
      <w:r w:rsidRPr="00CE0885">
        <w:rPr>
          <w:lang w:eastAsia="en-GB"/>
        </w:rPr>
        <w:t>ke</w:t>
      </w:r>
      <w:r w:rsidRPr="00CE0885">
        <w:rPr>
          <w:spacing w:val="-6"/>
          <w:lang w:eastAsia="en-GB"/>
        </w:rPr>
        <w:t xml:space="preserve"> </w:t>
      </w:r>
      <w:r w:rsidRPr="00CE0885">
        <w:rPr>
          <w:spacing w:val="1"/>
          <w:lang w:eastAsia="en-GB"/>
        </w:rPr>
        <w:t>24</w:t>
      </w:r>
      <w:r w:rsidRPr="00CE0885">
        <w:rPr>
          <w:spacing w:val="-3"/>
          <w:lang w:eastAsia="en-GB"/>
        </w:rPr>
        <w:t>-</w:t>
      </w:r>
      <w:r w:rsidRPr="00CE0885">
        <w:rPr>
          <w:spacing w:val="1"/>
          <w:lang w:eastAsia="en-GB"/>
        </w:rPr>
        <w:t>ho</w:t>
      </w:r>
      <w:r w:rsidRPr="00CE0885">
        <w:rPr>
          <w:spacing w:val="-1"/>
          <w:lang w:eastAsia="en-GB"/>
        </w:rPr>
        <w:t>u</w:t>
      </w:r>
      <w:r w:rsidRPr="00CE0885">
        <w:rPr>
          <w:lang w:eastAsia="en-GB"/>
        </w:rPr>
        <w:t>r</w:t>
      </w:r>
      <w:r w:rsidRPr="00CE0885">
        <w:rPr>
          <w:spacing w:val="-8"/>
          <w:lang w:eastAsia="en-GB"/>
        </w:rPr>
        <w:t xml:space="preserve"> </w:t>
      </w:r>
      <w:r w:rsidRPr="00CE0885">
        <w:rPr>
          <w:spacing w:val="-1"/>
          <w:lang w:eastAsia="en-GB"/>
        </w:rPr>
        <w:t>r</w:t>
      </w:r>
      <w:r w:rsidRPr="00CE0885">
        <w:rPr>
          <w:spacing w:val="1"/>
          <w:lang w:eastAsia="en-GB"/>
        </w:rPr>
        <w:t>et</w:t>
      </w:r>
      <w:r w:rsidRPr="00CE0885">
        <w:rPr>
          <w:lang w:eastAsia="en-GB"/>
        </w:rPr>
        <w:t>i</w:t>
      </w:r>
      <w:r w:rsidRPr="00CE0885">
        <w:rPr>
          <w:spacing w:val="-1"/>
          <w:lang w:eastAsia="en-GB"/>
        </w:rPr>
        <w:t>r</w:t>
      </w:r>
      <w:r w:rsidRPr="00CE0885">
        <w:rPr>
          <w:spacing w:val="1"/>
          <w:lang w:eastAsia="en-GB"/>
        </w:rPr>
        <w:t>e</w:t>
      </w:r>
      <w:r w:rsidRPr="00CE0885">
        <w:rPr>
          <w:spacing w:val="2"/>
          <w:lang w:eastAsia="en-GB"/>
        </w:rPr>
        <w:t>m</w:t>
      </w:r>
      <w:r w:rsidRPr="00CE0885">
        <w:rPr>
          <w:spacing w:val="-1"/>
          <w:lang w:eastAsia="en-GB"/>
        </w:rPr>
        <w:t>e</w:t>
      </w:r>
      <w:r w:rsidRPr="00CE0885">
        <w:rPr>
          <w:spacing w:val="1"/>
          <w:lang w:eastAsia="en-GB"/>
        </w:rPr>
        <w:t>n</w:t>
      </w:r>
      <w:r w:rsidRPr="00CE0885">
        <w:rPr>
          <w:lang w:eastAsia="en-GB"/>
        </w:rPr>
        <w:t>t</w:t>
      </w:r>
      <w:r w:rsidRPr="00CE0885">
        <w:rPr>
          <w:spacing w:val="-10"/>
          <w:lang w:eastAsia="en-GB"/>
        </w:rPr>
        <w:t xml:space="preserve">, </w:t>
      </w:r>
      <w:r w:rsidRPr="00CE0885">
        <w:rPr>
          <w:lang w:eastAsia="en-GB"/>
        </w:rPr>
        <w:t>it must</w:t>
      </w:r>
      <w:r w:rsidRPr="00CE0885">
        <w:rPr>
          <w:spacing w:val="-3"/>
          <w:lang w:eastAsia="en-GB"/>
        </w:rPr>
        <w:t xml:space="preserve"> </w:t>
      </w:r>
      <w:r w:rsidRPr="00CE0885">
        <w:rPr>
          <w:spacing w:val="1"/>
          <w:lang w:eastAsia="en-GB"/>
        </w:rPr>
        <w:t>no</w:t>
      </w:r>
      <w:r w:rsidRPr="00CE0885">
        <w:rPr>
          <w:lang w:eastAsia="en-GB"/>
        </w:rPr>
        <w:t>t</w:t>
      </w:r>
      <w:r w:rsidRPr="00CE0885">
        <w:rPr>
          <w:spacing w:val="-2"/>
          <w:lang w:eastAsia="en-GB"/>
        </w:rPr>
        <w:t xml:space="preserve"> </w:t>
      </w:r>
      <w:r w:rsidRPr="00CE0885">
        <w:rPr>
          <w:spacing w:val="-1"/>
          <w:lang w:eastAsia="en-GB"/>
        </w:rPr>
        <w:t>o</w:t>
      </w:r>
      <w:r w:rsidRPr="00CE0885">
        <w:rPr>
          <w:spacing w:val="1"/>
          <w:lang w:eastAsia="en-GB"/>
        </w:rPr>
        <w:t>f</w:t>
      </w:r>
      <w:r w:rsidRPr="00CE0885">
        <w:rPr>
          <w:spacing w:val="3"/>
          <w:lang w:eastAsia="en-GB"/>
        </w:rPr>
        <w:t>f</w:t>
      </w:r>
      <w:r w:rsidRPr="00CE0885">
        <w:rPr>
          <w:spacing w:val="1"/>
          <w:lang w:eastAsia="en-GB"/>
        </w:rPr>
        <w:t>e</w:t>
      </w:r>
      <w:r w:rsidRPr="00CE0885">
        <w:rPr>
          <w:lang w:eastAsia="en-GB"/>
        </w:rPr>
        <w:t>r</w:t>
      </w:r>
      <w:r w:rsidRPr="00CE0885">
        <w:rPr>
          <w:spacing w:val="-8"/>
          <w:lang w:eastAsia="en-GB"/>
        </w:rPr>
        <w:t xml:space="preserve"> </w:t>
      </w:r>
      <w:r w:rsidRPr="00CE0885">
        <w:rPr>
          <w:spacing w:val="1"/>
          <w:lang w:eastAsia="en-GB"/>
        </w:rPr>
        <w:t>ad</w:t>
      </w:r>
      <w:r w:rsidRPr="00CE0885">
        <w:rPr>
          <w:spacing w:val="-2"/>
          <w:lang w:eastAsia="en-GB"/>
        </w:rPr>
        <w:t>v</w:t>
      </w:r>
      <w:r w:rsidRPr="00CE0885">
        <w:rPr>
          <w:lang w:eastAsia="en-GB"/>
        </w:rPr>
        <w:t xml:space="preserve">ice </w:t>
      </w:r>
      <w:r w:rsidRPr="00CE0885">
        <w:rPr>
          <w:spacing w:val="-1"/>
          <w:lang w:eastAsia="en-GB"/>
        </w:rPr>
        <w:t>r</w:t>
      </w:r>
      <w:r w:rsidRPr="00CE0885">
        <w:rPr>
          <w:spacing w:val="1"/>
          <w:lang w:eastAsia="en-GB"/>
        </w:rPr>
        <w:t>e</w:t>
      </w:r>
      <w:r w:rsidRPr="00CE0885">
        <w:rPr>
          <w:lang w:eastAsia="en-GB"/>
        </w:rPr>
        <w:t>l</w:t>
      </w:r>
      <w:r w:rsidRPr="00CE0885">
        <w:rPr>
          <w:spacing w:val="1"/>
          <w:lang w:eastAsia="en-GB"/>
        </w:rPr>
        <w:t>at</w:t>
      </w:r>
      <w:r w:rsidRPr="00CE0885">
        <w:rPr>
          <w:lang w:eastAsia="en-GB"/>
        </w:rPr>
        <w:t>i</w:t>
      </w:r>
      <w:r w:rsidRPr="00CE0885">
        <w:rPr>
          <w:spacing w:val="1"/>
          <w:lang w:eastAsia="en-GB"/>
        </w:rPr>
        <w:t>n</w:t>
      </w:r>
      <w:r w:rsidRPr="00CE0885">
        <w:rPr>
          <w:lang w:eastAsia="en-GB"/>
        </w:rPr>
        <w:t>g</w:t>
      </w:r>
      <w:r w:rsidRPr="00CE0885">
        <w:rPr>
          <w:spacing w:val="-9"/>
          <w:lang w:eastAsia="en-GB"/>
        </w:rPr>
        <w:t xml:space="preserve"> </w:t>
      </w:r>
      <w:r w:rsidRPr="00CE0885">
        <w:rPr>
          <w:spacing w:val="1"/>
          <w:lang w:eastAsia="en-GB"/>
        </w:rPr>
        <w:t>t</w:t>
      </w:r>
      <w:r w:rsidRPr="00CE0885">
        <w:rPr>
          <w:lang w:eastAsia="en-GB"/>
        </w:rPr>
        <w:t xml:space="preserve">o </w:t>
      </w:r>
      <w:r w:rsidRPr="00CE0885">
        <w:rPr>
          <w:spacing w:val="1"/>
          <w:lang w:eastAsia="en-GB"/>
        </w:rPr>
        <w:t>pen</w:t>
      </w:r>
      <w:r w:rsidRPr="00CE0885">
        <w:rPr>
          <w:spacing w:val="-2"/>
          <w:lang w:eastAsia="en-GB"/>
        </w:rPr>
        <w:t>s</w:t>
      </w:r>
      <w:r w:rsidRPr="00CE0885">
        <w:rPr>
          <w:lang w:eastAsia="en-GB"/>
        </w:rPr>
        <w:t>i</w:t>
      </w:r>
      <w:r w:rsidRPr="00CE0885">
        <w:rPr>
          <w:spacing w:val="1"/>
          <w:lang w:eastAsia="en-GB"/>
        </w:rPr>
        <w:t>o</w:t>
      </w:r>
      <w:r w:rsidRPr="00CE0885">
        <w:rPr>
          <w:lang w:eastAsia="en-GB"/>
        </w:rPr>
        <w:t>n</w:t>
      </w:r>
      <w:r w:rsidRPr="00CE0885">
        <w:rPr>
          <w:spacing w:val="-6"/>
          <w:lang w:eastAsia="en-GB"/>
        </w:rPr>
        <w:t xml:space="preserve"> </w:t>
      </w:r>
      <w:r w:rsidRPr="00CE0885">
        <w:rPr>
          <w:spacing w:val="1"/>
          <w:lang w:eastAsia="en-GB"/>
        </w:rPr>
        <w:t>a</w:t>
      </w:r>
      <w:r w:rsidRPr="00CE0885">
        <w:rPr>
          <w:spacing w:val="-1"/>
          <w:lang w:eastAsia="en-GB"/>
        </w:rPr>
        <w:t>rr</w:t>
      </w:r>
      <w:r w:rsidRPr="00CE0885">
        <w:rPr>
          <w:spacing w:val="1"/>
          <w:lang w:eastAsia="en-GB"/>
        </w:rPr>
        <w:t>an</w:t>
      </w:r>
      <w:r w:rsidRPr="00CE0885">
        <w:rPr>
          <w:spacing w:val="-1"/>
          <w:lang w:eastAsia="en-GB"/>
        </w:rPr>
        <w:t>ge</w:t>
      </w:r>
      <w:r w:rsidRPr="00CE0885">
        <w:rPr>
          <w:spacing w:val="2"/>
          <w:lang w:eastAsia="en-GB"/>
        </w:rPr>
        <w:t>m</w:t>
      </w:r>
      <w:r w:rsidRPr="00CE0885">
        <w:rPr>
          <w:spacing w:val="-1"/>
          <w:lang w:eastAsia="en-GB"/>
        </w:rPr>
        <w:t>e</w:t>
      </w:r>
      <w:r w:rsidRPr="00CE0885">
        <w:rPr>
          <w:spacing w:val="1"/>
          <w:lang w:eastAsia="en-GB"/>
        </w:rPr>
        <w:t>nt</w:t>
      </w:r>
      <w:r w:rsidRPr="00CE0885">
        <w:rPr>
          <w:lang w:eastAsia="en-GB"/>
        </w:rPr>
        <w:t>s</w:t>
      </w:r>
      <w:r w:rsidRPr="00CE0885">
        <w:rPr>
          <w:spacing w:val="-15"/>
          <w:lang w:eastAsia="en-GB"/>
        </w:rPr>
        <w:t>.</w:t>
      </w:r>
      <w:bookmarkEnd w:id="725"/>
    </w:p>
    <w:p w14:paraId="5A83B55E" w14:textId="265E3370" w:rsidR="00977693" w:rsidRPr="00CE0885" w:rsidRDefault="00977693" w:rsidP="006B781A">
      <w:pPr>
        <w:pStyle w:val="Heading3"/>
        <w:rPr>
          <w:spacing w:val="1"/>
          <w:lang w:eastAsia="en-GB"/>
        </w:rPr>
      </w:pPr>
      <w:bookmarkStart w:id="726" w:name="_Toc440981831"/>
      <w:r w:rsidRPr="00CE0885">
        <w:rPr>
          <w:spacing w:val="1"/>
          <w:lang w:eastAsia="en-GB"/>
        </w:rPr>
        <w:t>Where a contractor confirms that 24-hour retirement requires "resignation" from the contract, steps will need to be taken to ensure that the contractor is removed from the contract, either by:</w:t>
      </w:r>
      <w:bookmarkEnd w:id="726"/>
    </w:p>
    <w:p w14:paraId="09D1D076" w14:textId="4F6C5354" w:rsidR="00977693" w:rsidRPr="00CE0885" w:rsidRDefault="00977693" w:rsidP="00FA6A70">
      <w:pPr>
        <w:pStyle w:val="Heading4"/>
      </w:pPr>
      <w:bookmarkStart w:id="727" w:name="_Toc440981832"/>
      <w:r w:rsidRPr="00CE0885">
        <w:t>termination on notice in the case of a single</w:t>
      </w:r>
      <w:r w:rsidR="00E34BF5">
        <w:t>-</w:t>
      </w:r>
      <w:r w:rsidRPr="00CE0885">
        <w:t>handed contractor; or</w:t>
      </w:r>
      <w:bookmarkEnd w:id="727"/>
      <w:r w:rsidRPr="00CE0885">
        <w:t xml:space="preserve"> </w:t>
      </w:r>
    </w:p>
    <w:p w14:paraId="5136F544" w14:textId="4255BDDA" w:rsidR="00977693" w:rsidRPr="00CE0885" w:rsidRDefault="00977693" w:rsidP="00FA6A70">
      <w:pPr>
        <w:pStyle w:val="Heading4"/>
      </w:pPr>
      <w:bookmarkStart w:id="728" w:name="_Toc440981833"/>
      <w:r w:rsidRPr="00CE0885">
        <w:t>variation of the contracting party in the case of a partnership.</w:t>
      </w:r>
      <w:bookmarkEnd w:id="728"/>
    </w:p>
    <w:p w14:paraId="446C0699" w14:textId="4C04C9AA" w:rsidR="00977693" w:rsidRPr="00CE0885" w:rsidRDefault="00977693" w:rsidP="006B781A">
      <w:pPr>
        <w:pStyle w:val="Heading3"/>
        <w:rPr>
          <w:lang w:eastAsia="en-GB"/>
        </w:rPr>
      </w:pPr>
      <w:bookmarkStart w:id="729" w:name="_Toc440981834"/>
      <w:r w:rsidRPr="00CE0885">
        <w:rPr>
          <w:lang w:eastAsia="en-GB"/>
        </w:rPr>
        <w:t>The Commissioner may wish to suggest sin</w:t>
      </w:r>
      <w:r w:rsidRPr="00CE0885">
        <w:rPr>
          <w:spacing w:val="-1"/>
          <w:lang w:eastAsia="en-GB"/>
        </w:rPr>
        <w:t>g</w:t>
      </w:r>
      <w:r w:rsidRPr="00CE0885">
        <w:rPr>
          <w:lang w:eastAsia="en-GB"/>
        </w:rPr>
        <w:t>le</w:t>
      </w:r>
      <w:r w:rsidRPr="00CE0885">
        <w:rPr>
          <w:spacing w:val="-1"/>
          <w:lang w:eastAsia="en-GB"/>
        </w:rPr>
        <w:t>-</w:t>
      </w:r>
      <w:r w:rsidRPr="00CE0885">
        <w:rPr>
          <w:lang w:eastAsia="en-GB"/>
        </w:rPr>
        <w:t>han</w:t>
      </w:r>
      <w:r w:rsidRPr="00CE0885">
        <w:rPr>
          <w:spacing w:val="-1"/>
          <w:lang w:eastAsia="en-GB"/>
        </w:rPr>
        <w:t>d</w:t>
      </w:r>
      <w:r w:rsidRPr="00CE0885">
        <w:rPr>
          <w:lang w:eastAsia="en-GB"/>
        </w:rPr>
        <w:t>ed</w:t>
      </w:r>
      <w:r w:rsidRPr="00CE0885">
        <w:rPr>
          <w:spacing w:val="-16"/>
          <w:lang w:eastAsia="en-GB"/>
        </w:rPr>
        <w:t xml:space="preserve"> </w:t>
      </w:r>
      <w:r w:rsidRPr="00CE0885">
        <w:rPr>
          <w:lang w:eastAsia="en-GB"/>
        </w:rPr>
        <w:t>p</w:t>
      </w:r>
      <w:r w:rsidRPr="00CE0885">
        <w:rPr>
          <w:spacing w:val="-1"/>
          <w:lang w:eastAsia="en-GB"/>
        </w:rPr>
        <w:t>r</w:t>
      </w:r>
      <w:r w:rsidRPr="00CE0885">
        <w:rPr>
          <w:lang w:eastAsia="en-GB"/>
        </w:rPr>
        <w:t>actiti</w:t>
      </w:r>
      <w:r w:rsidRPr="00CE0885">
        <w:rPr>
          <w:spacing w:val="-1"/>
          <w:lang w:eastAsia="en-GB"/>
        </w:rPr>
        <w:t>o</w:t>
      </w:r>
      <w:r w:rsidRPr="00CE0885">
        <w:rPr>
          <w:lang w:eastAsia="en-GB"/>
        </w:rPr>
        <w:t>ne</w:t>
      </w:r>
      <w:r w:rsidRPr="00CE0885">
        <w:rPr>
          <w:spacing w:val="-1"/>
          <w:lang w:eastAsia="en-GB"/>
        </w:rPr>
        <w:t>r</w:t>
      </w:r>
      <w:r w:rsidRPr="00CE0885">
        <w:rPr>
          <w:lang w:eastAsia="en-GB"/>
        </w:rPr>
        <w:t>s</w:t>
      </w:r>
      <w:r w:rsidRPr="00CE0885">
        <w:rPr>
          <w:spacing w:val="-13"/>
          <w:lang w:eastAsia="en-GB"/>
        </w:rPr>
        <w:t xml:space="preserve"> </w:t>
      </w:r>
      <w:r w:rsidRPr="00CE0885">
        <w:rPr>
          <w:lang w:eastAsia="en-GB"/>
        </w:rPr>
        <w:t>ta</w:t>
      </w:r>
      <w:r w:rsidRPr="00CE0885">
        <w:rPr>
          <w:spacing w:val="-2"/>
          <w:lang w:eastAsia="en-GB"/>
        </w:rPr>
        <w:t>k</w:t>
      </w:r>
      <w:r w:rsidRPr="00CE0885">
        <w:rPr>
          <w:lang w:eastAsia="en-GB"/>
        </w:rPr>
        <w:t>e</w:t>
      </w:r>
      <w:r w:rsidRPr="00CE0885">
        <w:rPr>
          <w:spacing w:val="-3"/>
          <w:lang w:eastAsia="en-GB"/>
        </w:rPr>
        <w:t xml:space="preserve"> independent </w:t>
      </w:r>
      <w:r w:rsidRPr="00CE0885">
        <w:rPr>
          <w:spacing w:val="-1"/>
          <w:lang w:eastAsia="en-GB"/>
        </w:rPr>
        <w:t>a</w:t>
      </w:r>
      <w:r w:rsidRPr="00CE0885">
        <w:rPr>
          <w:lang w:eastAsia="en-GB"/>
        </w:rPr>
        <w:t>d</w:t>
      </w:r>
      <w:r w:rsidRPr="00CE0885">
        <w:rPr>
          <w:spacing w:val="-2"/>
          <w:lang w:eastAsia="en-GB"/>
        </w:rPr>
        <w:t>v</w:t>
      </w:r>
      <w:r w:rsidRPr="00CE0885">
        <w:rPr>
          <w:lang w:eastAsia="en-GB"/>
        </w:rPr>
        <w:t>ice,</w:t>
      </w:r>
      <w:r w:rsidRPr="00CE0885">
        <w:rPr>
          <w:spacing w:val="-7"/>
          <w:lang w:eastAsia="en-GB"/>
        </w:rPr>
        <w:t xml:space="preserve"> </w:t>
      </w:r>
      <w:r w:rsidRPr="00CE0885">
        <w:rPr>
          <w:lang w:eastAsia="en-GB"/>
        </w:rPr>
        <w:t>as</w:t>
      </w:r>
      <w:r w:rsidRPr="00CE0885">
        <w:rPr>
          <w:spacing w:val="-3"/>
          <w:lang w:eastAsia="en-GB"/>
        </w:rPr>
        <w:t xml:space="preserve"> </w:t>
      </w:r>
      <w:r w:rsidRPr="00CE0885">
        <w:rPr>
          <w:lang w:eastAsia="en-GB"/>
        </w:rPr>
        <w:t>24</w:t>
      </w:r>
      <w:r w:rsidRPr="00CE0885">
        <w:rPr>
          <w:spacing w:val="-3"/>
          <w:lang w:eastAsia="en-GB"/>
        </w:rPr>
        <w:t>-</w:t>
      </w:r>
      <w:r w:rsidRPr="00CE0885">
        <w:rPr>
          <w:spacing w:val="-1"/>
          <w:lang w:eastAsia="en-GB"/>
        </w:rPr>
        <w:t>h</w:t>
      </w:r>
      <w:r w:rsidRPr="00CE0885">
        <w:rPr>
          <w:lang w:eastAsia="en-GB"/>
        </w:rPr>
        <w:t xml:space="preserve">our </w:t>
      </w:r>
      <w:r w:rsidRPr="00CE0885">
        <w:rPr>
          <w:spacing w:val="-1"/>
          <w:lang w:eastAsia="en-GB"/>
        </w:rPr>
        <w:t>r</w:t>
      </w:r>
      <w:r w:rsidRPr="00CE0885">
        <w:rPr>
          <w:spacing w:val="1"/>
          <w:lang w:eastAsia="en-GB"/>
        </w:rPr>
        <w:t>et</w:t>
      </w:r>
      <w:r w:rsidRPr="00CE0885">
        <w:rPr>
          <w:lang w:eastAsia="en-GB"/>
        </w:rPr>
        <w:t>i</w:t>
      </w:r>
      <w:r w:rsidRPr="00CE0885">
        <w:rPr>
          <w:spacing w:val="-1"/>
          <w:lang w:eastAsia="en-GB"/>
        </w:rPr>
        <w:t>r</w:t>
      </w:r>
      <w:r w:rsidRPr="00CE0885">
        <w:rPr>
          <w:spacing w:val="1"/>
          <w:lang w:eastAsia="en-GB"/>
        </w:rPr>
        <w:t>e</w:t>
      </w:r>
      <w:r w:rsidRPr="00CE0885">
        <w:rPr>
          <w:spacing w:val="2"/>
          <w:lang w:eastAsia="en-GB"/>
        </w:rPr>
        <w:t>m</w:t>
      </w:r>
      <w:r w:rsidRPr="00CE0885">
        <w:rPr>
          <w:spacing w:val="-1"/>
          <w:lang w:eastAsia="en-GB"/>
        </w:rPr>
        <w:t>e</w:t>
      </w:r>
      <w:r w:rsidRPr="00CE0885">
        <w:rPr>
          <w:spacing w:val="1"/>
          <w:lang w:eastAsia="en-GB"/>
        </w:rPr>
        <w:t>n</w:t>
      </w:r>
      <w:r w:rsidRPr="00CE0885">
        <w:rPr>
          <w:lang w:eastAsia="en-GB"/>
        </w:rPr>
        <w:t>t</w:t>
      </w:r>
      <w:r w:rsidRPr="00CE0885">
        <w:rPr>
          <w:spacing w:val="-10"/>
          <w:lang w:eastAsia="en-GB"/>
        </w:rPr>
        <w:t xml:space="preserve"> </w:t>
      </w:r>
      <w:r w:rsidRPr="00CE0885">
        <w:rPr>
          <w:spacing w:val="1"/>
          <w:lang w:eastAsia="en-GB"/>
        </w:rPr>
        <w:t>u</w:t>
      </w:r>
      <w:r w:rsidRPr="00CE0885">
        <w:rPr>
          <w:lang w:eastAsia="en-GB"/>
        </w:rPr>
        <w:t>s</w:t>
      </w:r>
      <w:r w:rsidRPr="00CE0885">
        <w:rPr>
          <w:spacing w:val="-3"/>
          <w:lang w:eastAsia="en-GB"/>
        </w:rPr>
        <w:t>i</w:t>
      </w:r>
      <w:r w:rsidRPr="00CE0885">
        <w:rPr>
          <w:spacing w:val="1"/>
          <w:lang w:eastAsia="en-GB"/>
        </w:rPr>
        <w:t>n</w:t>
      </w:r>
      <w:r w:rsidRPr="00CE0885">
        <w:rPr>
          <w:lang w:eastAsia="en-GB"/>
        </w:rPr>
        <w:t>g</w:t>
      </w:r>
      <w:r w:rsidRPr="00CE0885">
        <w:rPr>
          <w:spacing w:val="-7"/>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m</w:t>
      </w:r>
      <w:r w:rsidRPr="00CE0885">
        <w:rPr>
          <w:spacing w:val="1"/>
          <w:lang w:eastAsia="en-GB"/>
        </w:rPr>
        <w:t>eth</w:t>
      </w:r>
      <w:r w:rsidRPr="00CE0885">
        <w:rPr>
          <w:spacing w:val="-1"/>
          <w:lang w:eastAsia="en-GB"/>
        </w:rPr>
        <w:t>o</w:t>
      </w:r>
      <w:r w:rsidRPr="00CE0885">
        <w:rPr>
          <w:lang w:eastAsia="en-GB"/>
        </w:rPr>
        <w:t>d</w:t>
      </w:r>
      <w:r w:rsidRPr="00CE0885">
        <w:rPr>
          <w:spacing w:val="-6"/>
          <w:lang w:eastAsia="en-GB"/>
        </w:rPr>
        <w:t xml:space="preserve"> </w:t>
      </w:r>
      <w:r w:rsidRPr="00CE0885">
        <w:rPr>
          <w:spacing w:val="-1"/>
          <w:lang w:eastAsia="en-GB"/>
        </w:rPr>
        <w:t>d</w:t>
      </w:r>
      <w:r w:rsidRPr="00CE0885">
        <w:rPr>
          <w:spacing w:val="1"/>
          <w:lang w:eastAsia="en-GB"/>
        </w:rPr>
        <w:t>e</w:t>
      </w:r>
      <w:r w:rsidRPr="00CE0885">
        <w:rPr>
          <w:lang w:eastAsia="en-GB"/>
        </w:rPr>
        <w:t>sc</w:t>
      </w:r>
      <w:r w:rsidRPr="00CE0885">
        <w:rPr>
          <w:spacing w:val="-1"/>
          <w:lang w:eastAsia="en-GB"/>
        </w:rPr>
        <w:t>r</w:t>
      </w:r>
      <w:r w:rsidRPr="00CE0885">
        <w:rPr>
          <w:lang w:eastAsia="en-GB"/>
        </w:rPr>
        <w:t>i</w:t>
      </w:r>
      <w:r w:rsidRPr="00CE0885">
        <w:rPr>
          <w:spacing w:val="1"/>
          <w:lang w:eastAsia="en-GB"/>
        </w:rPr>
        <w:t>be</w:t>
      </w:r>
      <w:r w:rsidRPr="00CE0885">
        <w:rPr>
          <w:lang w:eastAsia="en-GB"/>
        </w:rPr>
        <w:t>d</w:t>
      </w:r>
      <w:r w:rsidRPr="00CE0885">
        <w:rPr>
          <w:spacing w:val="-11"/>
          <w:lang w:eastAsia="en-GB"/>
        </w:rPr>
        <w:t xml:space="preserve"> </w:t>
      </w:r>
      <w:r w:rsidRPr="00CE0885">
        <w:rPr>
          <w:spacing w:val="1"/>
          <w:lang w:eastAsia="en-GB"/>
        </w:rPr>
        <w:t>a</w:t>
      </w:r>
      <w:r w:rsidRPr="00CE0885">
        <w:rPr>
          <w:spacing w:val="-1"/>
          <w:lang w:eastAsia="en-GB"/>
        </w:rPr>
        <w:t>b</w:t>
      </w:r>
      <w:r w:rsidRPr="00CE0885">
        <w:rPr>
          <w:spacing w:val="1"/>
          <w:lang w:eastAsia="en-GB"/>
        </w:rPr>
        <w:t>o</w:t>
      </w:r>
      <w:r w:rsidRPr="00CE0885">
        <w:rPr>
          <w:spacing w:val="-2"/>
          <w:lang w:eastAsia="en-GB"/>
        </w:rPr>
        <w:t>v</w:t>
      </w:r>
      <w:r w:rsidRPr="00CE0885">
        <w:rPr>
          <w:lang w:eastAsia="en-GB"/>
        </w:rPr>
        <w:t>e</w:t>
      </w:r>
      <w:r w:rsidRPr="00CE0885">
        <w:rPr>
          <w:spacing w:val="-5"/>
          <w:lang w:eastAsia="en-GB"/>
        </w:rPr>
        <w:t xml:space="preserve"> </w:t>
      </w:r>
      <w:r w:rsidRPr="00CE0885">
        <w:rPr>
          <w:spacing w:val="-3"/>
          <w:lang w:eastAsia="en-GB"/>
        </w:rPr>
        <w:t>w</w:t>
      </w:r>
      <w:r w:rsidRPr="00CE0885">
        <w:rPr>
          <w:spacing w:val="1"/>
          <w:lang w:eastAsia="en-GB"/>
        </w:rPr>
        <w:t>ou</w:t>
      </w:r>
      <w:r w:rsidRPr="00CE0885">
        <w:rPr>
          <w:lang w:eastAsia="en-GB"/>
        </w:rPr>
        <w:t>ld</w:t>
      </w:r>
      <w:r w:rsidRPr="00CE0885">
        <w:rPr>
          <w:spacing w:val="-4"/>
          <w:lang w:eastAsia="en-GB"/>
        </w:rPr>
        <w:t xml:space="preserve"> </w:t>
      </w:r>
      <w:r w:rsidRPr="00CE0885">
        <w:rPr>
          <w:spacing w:val="1"/>
          <w:lang w:eastAsia="en-GB"/>
        </w:rPr>
        <w:t>ne</w:t>
      </w:r>
      <w:r w:rsidRPr="00CE0885">
        <w:rPr>
          <w:lang w:eastAsia="en-GB"/>
        </w:rPr>
        <w:t>c</w:t>
      </w:r>
      <w:r w:rsidRPr="00CE0885">
        <w:rPr>
          <w:spacing w:val="1"/>
          <w:lang w:eastAsia="en-GB"/>
        </w:rPr>
        <w:t>e</w:t>
      </w:r>
      <w:r w:rsidRPr="00CE0885">
        <w:rPr>
          <w:lang w:eastAsia="en-GB"/>
        </w:rPr>
        <w:t>ssi</w:t>
      </w:r>
      <w:r w:rsidRPr="00CE0885">
        <w:rPr>
          <w:spacing w:val="-2"/>
          <w:lang w:eastAsia="en-GB"/>
        </w:rPr>
        <w:t>t</w:t>
      </w:r>
      <w:r w:rsidRPr="00CE0885">
        <w:rPr>
          <w:spacing w:val="1"/>
          <w:lang w:eastAsia="en-GB"/>
        </w:rPr>
        <w:t>at</w:t>
      </w:r>
      <w:r w:rsidRPr="00CE0885">
        <w:rPr>
          <w:lang w:eastAsia="en-GB"/>
        </w:rPr>
        <w:t>e</w:t>
      </w:r>
      <w:r w:rsidRPr="00CE0885">
        <w:rPr>
          <w:spacing w:val="-13"/>
          <w:lang w:eastAsia="en-GB"/>
        </w:rPr>
        <w:t xml:space="preserve"> </w:t>
      </w:r>
      <w:r w:rsidRPr="00CE0885">
        <w:rPr>
          <w:spacing w:val="1"/>
          <w:lang w:eastAsia="en-GB"/>
        </w:rPr>
        <w:t>th</w:t>
      </w:r>
      <w:r w:rsidRPr="00CE0885">
        <w:rPr>
          <w:lang w:eastAsia="en-GB"/>
        </w:rPr>
        <w:t xml:space="preserve">e </w:t>
      </w:r>
      <w:r w:rsidRPr="00CE0885">
        <w:rPr>
          <w:spacing w:val="1"/>
          <w:lang w:eastAsia="en-GB"/>
        </w:rPr>
        <w:t>te</w:t>
      </w:r>
      <w:r w:rsidRPr="00CE0885">
        <w:rPr>
          <w:spacing w:val="-1"/>
          <w:lang w:eastAsia="en-GB"/>
        </w:rPr>
        <w:t>r</w:t>
      </w:r>
      <w:r w:rsidRPr="00CE0885">
        <w:rPr>
          <w:spacing w:val="2"/>
          <w:lang w:eastAsia="en-GB"/>
        </w:rPr>
        <w:t>m</w:t>
      </w:r>
      <w:r w:rsidRPr="00CE0885">
        <w:rPr>
          <w:lang w:eastAsia="en-GB"/>
        </w:rPr>
        <w:t>i</w:t>
      </w:r>
      <w:r w:rsidRPr="00CE0885">
        <w:rPr>
          <w:spacing w:val="-1"/>
          <w:lang w:eastAsia="en-GB"/>
        </w:rPr>
        <w:t>n</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13"/>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spacing w:val="-2"/>
          <w:lang w:eastAsia="en-GB"/>
        </w:rPr>
        <w:t>c</w:t>
      </w:r>
      <w:r w:rsidRPr="00CE0885">
        <w:rPr>
          <w:spacing w:val="1"/>
          <w:lang w:eastAsia="en-GB"/>
        </w:rPr>
        <w:t>ont</w:t>
      </w:r>
      <w:r w:rsidRPr="00CE0885">
        <w:rPr>
          <w:spacing w:val="-3"/>
          <w:lang w:eastAsia="en-GB"/>
        </w:rPr>
        <w:t>r</w:t>
      </w:r>
      <w:r w:rsidRPr="00CE0885">
        <w:rPr>
          <w:spacing w:val="1"/>
          <w:lang w:eastAsia="en-GB"/>
        </w:rPr>
        <w:t>a</w:t>
      </w:r>
      <w:r w:rsidRPr="00CE0885">
        <w:rPr>
          <w:lang w:eastAsia="en-GB"/>
        </w:rPr>
        <w:t xml:space="preserve">ct as set out in paragraphs </w:t>
      </w:r>
      <w:r w:rsidRPr="00CE0885">
        <w:rPr>
          <w:lang w:eastAsia="en-GB"/>
        </w:rPr>
        <w:fldChar w:fldCharType="begin"/>
      </w:r>
      <w:r w:rsidRPr="00CE0885">
        <w:rPr>
          <w:lang w:eastAsia="en-GB"/>
        </w:rPr>
        <w:instrText xml:space="preserve"> REF _Ref410399433 \r \h  \* MERGEFORMAT </w:instrText>
      </w:r>
      <w:r w:rsidRPr="00CE0885">
        <w:rPr>
          <w:lang w:eastAsia="en-GB"/>
        </w:rPr>
      </w:r>
      <w:r w:rsidRPr="00CE0885">
        <w:rPr>
          <w:lang w:eastAsia="en-GB"/>
        </w:rPr>
        <w:fldChar w:fldCharType="separate"/>
      </w:r>
      <w:r w:rsidR="00054166">
        <w:rPr>
          <w:lang w:eastAsia="en-GB"/>
        </w:rPr>
        <w:t>7.6.1</w:t>
      </w:r>
      <w:r w:rsidRPr="00CE0885">
        <w:rPr>
          <w:lang w:eastAsia="en-GB"/>
        </w:rPr>
        <w:fldChar w:fldCharType="end"/>
      </w:r>
      <w:r w:rsidRPr="00CE0885">
        <w:rPr>
          <w:lang w:eastAsia="en-GB"/>
        </w:rPr>
        <w:t xml:space="preserve"> to </w:t>
      </w:r>
      <w:r w:rsidRPr="00CE0885">
        <w:rPr>
          <w:lang w:eastAsia="en-GB"/>
        </w:rPr>
        <w:fldChar w:fldCharType="begin"/>
      </w:r>
      <w:r w:rsidRPr="00CE0885">
        <w:rPr>
          <w:lang w:eastAsia="en-GB"/>
        </w:rPr>
        <w:instrText xml:space="preserve"> REF _Ref410399444 \r \h  \* MERGEFORMAT </w:instrText>
      </w:r>
      <w:r w:rsidRPr="00CE0885">
        <w:rPr>
          <w:lang w:eastAsia="en-GB"/>
        </w:rPr>
      </w:r>
      <w:r w:rsidRPr="00CE0885">
        <w:rPr>
          <w:lang w:eastAsia="en-GB"/>
        </w:rPr>
        <w:fldChar w:fldCharType="separate"/>
      </w:r>
      <w:r w:rsidR="00054166">
        <w:rPr>
          <w:lang w:eastAsia="en-GB"/>
        </w:rPr>
        <w:t>7.6.13</w:t>
      </w:r>
      <w:r w:rsidRPr="00CE0885">
        <w:rPr>
          <w:lang w:eastAsia="en-GB"/>
        </w:rPr>
        <w:fldChar w:fldCharType="end"/>
      </w:r>
      <w:r w:rsidRPr="00CE0885">
        <w:rPr>
          <w:spacing w:val="-8"/>
          <w:lang w:eastAsia="en-GB"/>
        </w:rPr>
        <w:t>.</w:t>
      </w:r>
      <w:bookmarkEnd w:id="729"/>
      <w:r w:rsidRPr="00CE0885">
        <w:rPr>
          <w:spacing w:val="-8"/>
          <w:lang w:eastAsia="en-GB"/>
        </w:rPr>
        <w:t xml:space="preserve"> </w:t>
      </w:r>
    </w:p>
    <w:p w14:paraId="7F45EDB3" w14:textId="4CE01AB7" w:rsidR="00977693" w:rsidRPr="00CE0885" w:rsidRDefault="00977693" w:rsidP="006B781A">
      <w:pPr>
        <w:pStyle w:val="Heading3"/>
        <w:rPr>
          <w:lang w:eastAsia="en-GB"/>
        </w:rPr>
      </w:pPr>
      <w:bookmarkStart w:id="730" w:name="_Toc440981835"/>
      <w:r w:rsidRPr="00CE0885">
        <w:rPr>
          <w:spacing w:val="-8"/>
          <w:lang w:eastAsia="en-GB"/>
        </w:rPr>
        <w:t xml:space="preserve">The Commissioner must make clear to the contractor that </w:t>
      </w:r>
      <w:r w:rsidRPr="00CE0885">
        <w:rPr>
          <w:spacing w:val="1"/>
          <w:lang w:eastAsia="en-GB"/>
        </w:rPr>
        <w:t>the</w:t>
      </w:r>
      <w:r w:rsidRPr="00CE0885">
        <w:rPr>
          <w:spacing w:val="-1"/>
          <w:lang w:eastAsia="en-GB"/>
        </w:rPr>
        <w:t>r</w:t>
      </w:r>
      <w:r w:rsidRPr="00CE0885">
        <w:rPr>
          <w:lang w:eastAsia="en-GB"/>
        </w:rPr>
        <w:t>e</w:t>
      </w:r>
      <w:r w:rsidRPr="00CE0885">
        <w:rPr>
          <w:spacing w:val="-6"/>
          <w:lang w:eastAsia="en-GB"/>
        </w:rPr>
        <w:t xml:space="preserve"> </w:t>
      </w:r>
      <w:r w:rsidRPr="00CE0885">
        <w:rPr>
          <w:lang w:eastAsia="en-GB"/>
        </w:rPr>
        <w:t>is</w:t>
      </w:r>
      <w:r w:rsidRPr="00CE0885">
        <w:rPr>
          <w:spacing w:val="-2"/>
          <w:lang w:eastAsia="en-GB"/>
        </w:rPr>
        <w:t xml:space="preserve"> </w:t>
      </w:r>
      <w:r w:rsidRPr="00CE0885">
        <w:rPr>
          <w:spacing w:val="1"/>
          <w:lang w:eastAsia="en-GB"/>
        </w:rPr>
        <w:t>n</w:t>
      </w:r>
      <w:r w:rsidRPr="00CE0885">
        <w:rPr>
          <w:lang w:eastAsia="en-GB"/>
        </w:rPr>
        <w:t>o</w:t>
      </w:r>
      <w:r w:rsidRPr="00CE0885">
        <w:rPr>
          <w:spacing w:val="-1"/>
          <w:lang w:eastAsia="en-GB"/>
        </w:rPr>
        <w:t xml:space="preserve"> g</w:t>
      </w:r>
      <w:r w:rsidRPr="00CE0885">
        <w:rPr>
          <w:spacing w:val="1"/>
          <w:lang w:eastAsia="en-GB"/>
        </w:rPr>
        <w:t>ua</w:t>
      </w:r>
      <w:r w:rsidRPr="00CE0885">
        <w:rPr>
          <w:spacing w:val="-1"/>
          <w:lang w:eastAsia="en-GB"/>
        </w:rPr>
        <w:t>ra</w:t>
      </w:r>
      <w:r w:rsidRPr="00CE0885">
        <w:rPr>
          <w:spacing w:val="1"/>
          <w:lang w:eastAsia="en-GB"/>
        </w:rPr>
        <w:t>nt</w:t>
      </w:r>
      <w:r w:rsidRPr="00CE0885">
        <w:rPr>
          <w:spacing w:val="-1"/>
          <w:lang w:eastAsia="en-GB"/>
        </w:rPr>
        <w:t>e</w:t>
      </w:r>
      <w:r w:rsidRPr="00CE0885">
        <w:rPr>
          <w:lang w:eastAsia="en-GB"/>
        </w:rPr>
        <w:t>e</w:t>
      </w:r>
      <w:r w:rsidRPr="00CE0885">
        <w:rPr>
          <w:spacing w:val="-9"/>
          <w:lang w:eastAsia="en-GB"/>
        </w:rPr>
        <w:t xml:space="preserve"> </w:t>
      </w:r>
      <w:r w:rsidRPr="00CE0885">
        <w:rPr>
          <w:spacing w:val="-2"/>
          <w:lang w:eastAsia="en-GB"/>
        </w:rPr>
        <w:t>t</w:t>
      </w:r>
      <w:r w:rsidRPr="00CE0885">
        <w:rPr>
          <w:spacing w:val="1"/>
          <w:lang w:eastAsia="en-GB"/>
        </w:rPr>
        <w:t>ha</w:t>
      </w:r>
      <w:r w:rsidRPr="00CE0885">
        <w:rPr>
          <w:lang w:eastAsia="en-GB"/>
        </w:rPr>
        <w:t>t</w:t>
      </w:r>
      <w:r w:rsidRPr="00CE0885">
        <w:rPr>
          <w:spacing w:val="-3"/>
          <w:lang w:eastAsia="en-GB"/>
        </w:rPr>
        <w:t xml:space="preserve"> </w:t>
      </w:r>
      <w:r w:rsidRPr="00CE0885">
        <w:rPr>
          <w:lang w:eastAsia="en-GB"/>
        </w:rPr>
        <w:t>the Commissioner</w:t>
      </w:r>
      <w:r w:rsidRPr="00CE0885">
        <w:rPr>
          <w:spacing w:val="-10"/>
          <w:lang w:eastAsia="en-GB"/>
        </w:rPr>
        <w:t xml:space="preserve"> </w:t>
      </w:r>
      <w:r w:rsidRPr="00CE0885">
        <w:rPr>
          <w:spacing w:val="-3"/>
          <w:lang w:eastAsia="en-GB"/>
        </w:rPr>
        <w:t>w</w:t>
      </w:r>
      <w:r w:rsidRPr="00CE0885">
        <w:rPr>
          <w:spacing w:val="1"/>
          <w:lang w:eastAsia="en-GB"/>
        </w:rPr>
        <w:t>ou</w:t>
      </w:r>
      <w:r w:rsidRPr="00CE0885">
        <w:rPr>
          <w:lang w:eastAsia="en-GB"/>
        </w:rPr>
        <w:t>ld c</w:t>
      </w:r>
      <w:r w:rsidRPr="00CE0885">
        <w:rPr>
          <w:spacing w:val="1"/>
          <w:lang w:eastAsia="en-GB"/>
        </w:rPr>
        <w:t>o</w:t>
      </w:r>
      <w:r w:rsidRPr="00CE0885">
        <w:rPr>
          <w:spacing w:val="-1"/>
          <w:lang w:eastAsia="en-GB"/>
        </w:rPr>
        <w:t>m</w:t>
      </w:r>
      <w:r w:rsidRPr="00CE0885">
        <w:rPr>
          <w:spacing w:val="2"/>
          <w:lang w:eastAsia="en-GB"/>
        </w:rPr>
        <w:t>m</w:t>
      </w:r>
      <w:r w:rsidRPr="00CE0885">
        <w:rPr>
          <w:lang w:eastAsia="en-GB"/>
        </w:rPr>
        <w:t>issi</w:t>
      </w:r>
      <w:r w:rsidRPr="00CE0885">
        <w:rPr>
          <w:spacing w:val="1"/>
          <w:lang w:eastAsia="en-GB"/>
        </w:rPr>
        <w:t>o</w:t>
      </w:r>
      <w:r w:rsidRPr="00CE0885">
        <w:rPr>
          <w:lang w:eastAsia="en-GB"/>
        </w:rPr>
        <w:t>n</w:t>
      </w:r>
      <w:r w:rsidRPr="00CE0885">
        <w:rPr>
          <w:spacing w:val="-11"/>
          <w:lang w:eastAsia="en-GB"/>
        </w:rPr>
        <w:t xml:space="preserve"> </w:t>
      </w:r>
      <w:r w:rsidRPr="00CE0885">
        <w:rPr>
          <w:spacing w:val="-2"/>
          <w:lang w:eastAsia="en-GB"/>
        </w:rPr>
        <w:t>s</w:t>
      </w:r>
      <w:r w:rsidRPr="00CE0885">
        <w:rPr>
          <w:spacing w:val="1"/>
          <w:lang w:eastAsia="en-GB"/>
        </w:rPr>
        <w:t>e</w:t>
      </w:r>
      <w:r w:rsidRPr="00CE0885">
        <w:rPr>
          <w:spacing w:val="-1"/>
          <w:lang w:eastAsia="en-GB"/>
        </w:rPr>
        <w:t>r</w:t>
      </w:r>
      <w:r w:rsidRPr="00CE0885">
        <w:rPr>
          <w:spacing w:val="-2"/>
          <w:lang w:eastAsia="en-GB"/>
        </w:rPr>
        <w:t>v</w:t>
      </w:r>
      <w:r w:rsidRPr="00CE0885">
        <w:rPr>
          <w:lang w:eastAsia="en-GB"/>
        </w:rPr>
        <w:t>ic</w:t>
      </w:r>
      <w:r w:rsidRPr="00CE0885">
        <w:rPr>
          <w:spacing w:val="1"/>
          <w:lang w:eastAsia="en-GB"/>
        </w:rPr>
        <w:t>e</w:t>
      </w:r>
      <w:r w:rsidRPr="00CE0885">
        <w:rPr>
          <w:lang w:eastAsia="en-GB"/>
        </w:rPr>
        <w:t>s</w:t>
      </w:r>
      <w:r w:rsidRPr="00CE0885">
        <w:rPr>
          <w:spacing w:val="-9"/>
          <w:lang w:eastAsia="en-GB"/>
        </w:rPr>
        <w:t xml:space="preserve"> </w:t>
      </w:r>
      <w:r w:rsidRPr="00CE0885">
        <w:rPr>
          <w:spacing w:val="3"/>
          <w:lang w:eastAsia="en-GB"/>
        </w:rPr>
        <w:t>f</w:t>
      </w:r>
      <w:r w:rsidRPr="00CE0885">
        <w:rPr>
          <w:spacing w:val="-3"/>
          <w:lang w:eastAsia="en-GB"/>
        </w:rPr>
        <w:t>r</w:t>
      </w:r>
      <w:r w:rsidRPr="00CE0885">
        <w:rPr>
          <w:spacing w:val="1"/>
          <w:lang w:eastAsia="en-GB"/>
        </w:rPr>
        <w:t>o</w:t>
      </w:r>
      <w:r w:rsidRPr="00CE0885">
        <w:rPr>
          <w:lang w:eastAsia="en-GB"/>
        </w:rPr>
        <w:t>m</w:t>
      </w:r>
      <w:r w:rsidRPr="00CE0885">
        <w:rPr>
          <w:spacing w:val="-5"/>
          <w:lang w:eastAsia="en-GB"/>
        </w:rPr>
        <w:t xml:space="preserve"> </w:t>
      </w:r>
      <w:r w:rsidRPr="00CE0885">
        <w:rPr>
          <w:spacing w:val="1"/>
          <w:lang w:eastAsia="en-GB"/>
        </w:rPr>
        <w:t>tha</w:t>
      </w:r>
      <w:r w:rsidRPr="00CE0885">
        <w:rPr>
          <w:lang w:eastAsia="en-GB"/>
        </w:rPr>
        <w:t>t</w:t>
      </w:r>
      <w:r w:rsidRPr="00CE0885">
        <w:rPr>
          <w:spacing w:val="-5"/>
          <w:lang w:eastAsia="en-GB"/>
        </w:rPr>
        <w:t xml:space="preserve"> </w:t>
      </w:r>
      <w:r w:rsidRPr="00CE0885">
        <w:rPr>
          <w:lang w:eastAsia="en-GB"/>
        </w:rPr>
        <w:t>i</w:t>
      </w:r>
      <w:r w:rsidRPr="00CE0885">
        <w:rPr>
          <w:spacing w:val="1"/>
          <w:lang w:eastAsia="en-GB"/>
        </w:rPr>
        <w:t>nd</w:t>
      </w:r>
      <w:r w:rsidRPr="00CE0885">
        <w:rPr>
          <w:lang w:eastAsia="en-GB"/>
        </w:rPr>
        <w:t>i</w:t>
      </w:r>
      <w:r w:rsidRPr="00CE0885">
        <w:rPr>
          <w:spacing w:val="-2"/>
          <w:lang w:eastAsia="en-GB"/>
        </w:rPr>
        <w:t>v</w:t>
      </w:r>
      <w:r w:rsidRPr="00CE0885">
        <w:rPr>
          <w:lang w:eastAsia="en-GB"/>
        </w:rPr>
        <w:t>i</w:t>
      </w:r>
      <w:r w:rsidRPr="00CE0885">
        <w:rPr>
          <w:spacing w:val="1"/>
          <w:lang w:eastAsia="en-GB"/>
        </w:rPr>
        <w:t>dua</w:t>
      </w:r>
      <w:r w:rsidRPr="00CE0885">
        <w:rPr>
          <w:lang w:eastAsia="en-GB"/>
        </w:rPr>
        <w:t>l</w:t>
      </w:r>
      <w:r w:rsidRPr="00CE0885">
        <w:rPr>
          <w:spacing w:val="-12"/>
          <w:lang w:eastAsia="en-GB"/>
        </w:rPr>
        <w:t xml:space="preserve"> </w:t>
      </w:r>
      <w:r w:rsidRPr="00CE0885">
        <w:rPr>
          <w:spacing w:val="1"/>
          <w:lang w:eastAsia="en-GB"/>
        </w:rPr>
        <w:t>fo</w:t>
      </w:r>
      <w:r w:rsidRPr="00CE0885">
        <w:rPr>
          <w:lang w:eastAsia="en-GB"/>
        </w:rPr>
        <w:t>ll</w:t>
      </w:r>
      <w:r w:rsidRPr="00CE0885">
        <w:rPr>
          <w:spacing w:val="1"/>
          <w:lang w:eastAsia="en-GB"/>
        </w:rPr>
        <w:t>o</w:t>
      </w:r>
      <w:r w:rsidRPr="00CE0885">
        <w:rPr>
          <w:spacing w:val="-3"/>
          <w:lang w:eastAsia="en-GB"/>
        </w:rPr>
        <w:t>w</w:t>
      </w:r>
      <w:r w:rsidRPr="00CE0885">
        <w:rPr>
          <w:lang w:eastAsia="en-GB"/>
        </w:rPr>
        <w:t>i</w:t>
      </w:r>
      <w:r w:rsidRPr="00CE0885">
        <w:rPr>
          <w:spacing w:val="3"/>
          <w:lang w:eastAsia="en-GB"/>
        </w:rPr>
        <w:t>n</w:t>
      </w:r>
      <w:r w:rsidRPr="00CE0885">
        <w:rPr>
          <w:lang w:eastAsia="en-GB"/>
        </w:rPr>
        <w:t>g</w:t>
      </w:r>
      <w:r w:rsidRPr="00CE0885">
        <w:rPr>
          <w:spacing w:val="-10"/>
          <w:lang w:eastAsia="en-GB"/>
        </w:rPr>
        <w:t xml:space="preserve"> </w:t>
      </w:r>
      <w:r w:rsidRPr="00CE0885">
        <w:rPr>
          <w:spacing w:val="1"/>
          <w:lang w:eastAsia="en-GB"/>
        </w:rPr>
        <w:t>te</w:t>
      </w:r>
      <w:r w:rsidRPr="00CE0885">
        <w:rPr>
          <w:spacing w:val="-1"/>
          <w:lang w:eastAsia="en-GB"/>
        </w:rPr>
        <w:t>r</w:t>
      </w:r>
      <w:r w:rsidRPr="00CE0885">
        <w:rPr>
          <w:spacing w:val="2"/>
          <w:lang w:eastAsia="en-GB"/>
        </w:rPr>
        <w:t>m</w:t>
      </w:r>
      <w:r w:rsidRPr="00CE0885">
        <w:rPr>
          <w:lang w:eastAsia="en-GB"/>
        </w:rPr>
        <w:t>i</w:t>
      </w:r>
      <w:r w:rsidRPr="00CE0885">
        <w:rPr>
          <w:spacing w:val="1"/>
          <w:lang w:eastAsia="en-GB"/>
        </w:rPr>
        <w:t>nat</w:t>
      </w:r>
      <w:r w:rsidRPr="00CE0885">
        <w:rPr>
          <w:lang w:eastAsia="en-GB"/>
        </w:rPr>
        <w:t>i</w:t>
      </w:r>
      <w:r w:rsidRPr="00CE0885">
        <w:rPr>
          <w:spacing w:val="-1"/>
          <w:lang w:eastAsia="en-GB"/>
        </w:rPr>
        <w:t>o</w:t>
      </w:r>
      <w:r w:rsidRPr="00CE0885">
        <w:rPr>
          <w:spacing w:val="1"/>
          <w:lang w:eastAsia="en-GB"/>
        </w:rPr>
        <w:t>n</w:t>
      </w:r>
      <w:r w:rsidRPr="00CE0885">
        <w:rPr>
          <w:lang w:eastAsia="en-GB"/>
        </w:rPr>
        <w:t>.</w:t>
      </w:r>
      <w:bookmarkEnd w:id="730"/>
    </w:p>
    <w:p w14:paraId="43326002" w14:textId="74700946" w:rsidR="00977693" w:rsidRDefault="00977693" w:rsidP="00912FE4">
      <w:pPr>
        <w:pStyle w:val="Heading3"/>
        <w:rPr>
          <w:rFonts w:cs="Arial"/>
          <w:bCs w:val="0"/>
          <w:sz w:val="20"/>
          <w:szCs w:val="20"/>
          <w:lang w:eastAsia="en-GB"/>
        </w:rPr>
      </w:pPr>
      <w:bookmarkStart w:id="731" w:name="_Toc440981836"/>
      <w:r w:rsidRPr="00CE0885">
        <w:rPr>
          <w:lang w:eastAsia="en-GB"/>
        </w:rPr>
        <w:t>Please refer to the NHS England Legal Team for further information on procurement implications</w:t>
      </w:r>
      <w:r w:rsidR="00A114DF">
        <w:rPr>
          <w:lang w:eastAsia="en-GB"/>
        </w:rPr>
        <w:t xml:space="preserve"> </w:t>
      </w:r>
      <w:hyperlink r:id="rId110" w:history="1">
        <w:r w:rsidR="00A114DF" w:rsidRPr="00CE13A6">
          <w:rPr>
            <w:rStyle w:val="Hyperlink"/>
            <w:lang w:eastAsia="en-GB"/>
          </w:rPr>
          <w:t>england.legal@nhs.net</w:t>
        </w:r>
      </w:hyperlink>
      <w:r w:rsidRPr="00CE0885">
        <w:rPr>
          <w:lang w:eastAsia="en-GB"/>
        </w:rPr>
        <w:t>.</w:t>
      </w:r>
      <w:bookmarkEnd w:id="731"/>
      <w:r w:rsidR="00912FE4" w:rsidRPr="009055A7">
        <w:rPr>
          <w:rFonts w:cs="Arial"/>
          <w:bCs w:val="0"/>
          <w:sz w:val="20"/>
          <w:szCs w:val="20"/>
          <w:lang w:eastAsia="en-GB"/>
        </w:rPr>
        <w:t xml:space="preserve"> </w:t>
      </w:r>
    </w:p>
    <w:p w14:paraId="6873AFCE" w14:textId="392C66BA" w:rsidR="00434CAE" w:rsidRDefault="00434CAE" w:rsidP="00434CAE">
      <w:pPr>
        <w:rPr>
          <w:lang w:eastAsia="en-GB"/>
        </w:rPr>
      </w:pPr>
    </w:p>
    <w:p w14:paraId="776DAED4" w14:textId="77777777" w:rsidR="00434CAE" w:rsidRPr="00434CAE" w:rsidRDefault="00434CAE" w:rsidP="00434CAE">
      <w:pPr>
        <w:rPr>
          <w:lang w:eastAsia="en-GB"/>
        </w:rPr>
      </w:pPr>
    </w:p>
    <w:p w14:paraId="7E9A01B1" w14:textId="77777777" w:rsidR="00977693" w:rsidRPr="00CE0885" w:rsidRDefault="00977693" w:rsidP="001A315E">
      <w:pPr>
        <w:pStyle w:val="Heading2"/>
        <w:rPr>
          <w:rFonts w:cs="Arial"/>
          <w:lang w:eastAsia="en-GB"/>
        </w:rPr>
      </w:pPr>
      <w:bookmarkStart w:id="732" w:name="_Toc440981837"/>
      <w:bookmarkStart w:id="733" w:name="_Toc95743453"/>
      <w:r w:rsidRPr="001A315E">
        <w:t>Variation Provisions Specific to a Contract with a Company Limited</w:t>
      </w:r>
      <w:r w:rsidRPr="00CE0885">
        <w:rPr>
          <w:rFonts w:cs="Arial"/>
          <w:lang w:eastAsia="en-GB"/>
        </w:rPr>
        <w:t xml:space="preserve"> by Shares (GMS) or a Qualifying Body (PMS)</w:t>
      </w:r>
      <w:bookmarkEnd w:id="732"/>
      <w:bookmarkEnd w:id="733"/>
    </w:p>
    <w:p w14:paraId="753FE2C0" w14:textId="3987293F" w:rsidR="00977693" w:rsidRPr="00CE0885" w:rsidRDefault="00977693" w:rsidP="006B781A">
      <w:pPr>
        <w:pStyle w:val="Heading3"/>
        <w:rPr>
          <w:lang w:eastAsia="en-GB"/>
        </w:rPr>
      </w:pPr>
      <w:bookmarkStart w:id="734" w:name="_Toc440981838"/>
      <w:r w:rsidRPr="00CE0885">
        <w:rPr>
          <w:spacing w:val="1"/>
          <w:lang w:eastAsia="en-GB"/>
        </w:rPr>
        <w:t>A G</w:t>
      </w:r>
      <w:r w:rsidRPr="00CE0885">
        <w:rPr>
          <w:spacing w:val="-1"/>
          <w:lang w:eastAsia="en-GB"/>
        </w:rPr>
        <w:t>M</w:t>
      </w:r>
      <w:r w:rsidRPr="00CE0885">
        <w:rPr>
          <w:lang w:eastAsia="en-GB"/>
        </w:rPr>
        <w:t>S</w:t>
      </w:r>
      <w:r w:rsidRPr="00CE0885">
        <w:rPr>
          <w:spacing w:val="-4"/>
          <w:lang w:eastAsia="en-GB"/>
        </w:rPr>
        <w:t xml:space="preserve"> contract </w:t>
      </w:r>
      <w:r w:rsidRPr="00CE0885">
        <w:rPr>
          <w:spacing w:val="2"/>
          <w:lang w:eastAsia="en-GB"/>
        </w:rPr>
        <w:t>m</w:t>
      </w:r>
      <w:r w:rsidRPr="00CE0885">
        <w:rPr>
          <w:spacing w:val="1"/>
          <w:lang w:eastAsia="en-GB"/>
        </w:rPr>
        <w:t>a</w:t>
      </w:r>
      <w:r w:rsidRPr="00CE0885">
        <w:rPr>
          <w:lang w:eastAsia="en-GB"/>
        </w:rPr>
        <w:t>y</w:t>
      </w:r>
      <w:r w:rsidRPr="00CE0885">
        <w:rPr>
          <w:spacing w:val="-7"/>
          <w:lang w:eastAsia="en-GB"/>
        </w:rPr>
        <w:t xml:space="preserve"> </w:t>
      </w:r>
      <w:r w:rsidRPr="00CE0885">
        <w:rPr>
          <w:spacing w:val="1"/>
          <w:lang w:eastAsia="en-GB"/>
        </w:rPr>
        <w:t>b</w:t>
      </w:r>
      <w:r w:rsidRPr="00CE0885">
        <w:rPr>
          <w:lang w:eastAsia="en-GB"/>
        </w:rPr>
        <w:t>e</w:t>
      </w:r>
      <w:r w:rsidRPr="00CE0885">
        <w:rPr>
          <w:spacing w:val="-4"/>
          <w:lang w:eastAsia="en-GB"/>
        </w:rPr>
        <w:t xml:space="preserve"> </w:t>
      </w:r>
      <w:r w:rsidRPr="00CE0885">
        <w:rPr>
          <w:spacing w:val="1"/>
          <w:lang w:eastAsia="en-GB"/>
        </w:rPr>
        <w:t>he</w:t>
      </w:r>
      <w:r w:rsidRPr="00CE0885">
        <w:rPr>
          <w:spacing w:val="-3"/>
          <w:lang w:eastAsia="en-GB"/>
        </w:rPr>
        <w:t>l</w:t>
      </w:r>
      <w:r w:rsidRPr="00CE0885">
        <w:rPr>
          <w:lang w:eastAsia="en-GB"/>
        </w:rPr>
        <w:t>d</w:t>
      </w:r>
      <w:r w:rsidRPr="00CE0885">
        <w:rPr>
          <w:spacing w:val="-3"/>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lang w:eastAsia="en-GB"/>
        </w:rPr>
        <w:t>a</w:t>
      </w:r>
      <w:r w:rsidRPr="00CE0885">
        <w:rPr>
          <w:spacing w:val="-2"/>
          <w:lang w:eastAsia="en-GB"/>
        </w:rPr>
        <w:t xml:space="preserve"> </w:t>
      </w:r>
      <w:r w:rsidRPr="00CE0885">
        <w:rPr>
          <w:lang w:eastAsia="en-GB"/>
        </w:rPr>
        <w:t>c</w:t>
      </w:r>
      <w:r w:rsidRPr="00CE0885">
        <w:rPr>
          <w:spacing w:val="1"/>
          <w:lang w:eastAsia="en-GB"/>
        </w:rPr>
        <w:t>o</w:t>
      </w:r>
      <w:r w:rsidRPr="00CE0885">
        <w:rPr>
          <w:spacing w:val="-1"/>
          <w:lang w:eastAsia="en-GB"/>
        </w:rPr>
        <w:t>m</w:t>
      </w:r>
      <w:r w:rsidRPr="00CE0885">
        <w:rPr>
          <w:spacing w:val="1"/>
          <w:lang w:eastAsia="en-GB"/>
        </w:rPr>
        <w:t>pan</w:t>
      </w:r>
      <w:r w:rsidRPr="00CE0885">
        <w:rPr>
          <w:lang w:eastAsia="en-GB"/>
        </w:rPr>
        <w:t>y</w:t>
      </w:r>
      <w:r w:rsidRPr="00CE0885">
        <w:rPr>
          <w:spacing w:val="-12"/>
          <w:lang w:eastAsia="en-GB"/>
        </w:rPr>
        <w:t xml:space="preserve"> </w:t>
      </w:r>
      <w:r w:rsidRPr="00CE0885">
        <w:rPr>
          <w:lang w:eastAsia="en-GB"/>
        </w:rPr>
        <w:t>li</w:t>
      </w:r>
      <w:r w:rsidRPr="00CE0885">
        <w:rPr>
          <w:spacing w:val="2"/>
          <w:lang w:eastAsia="en-GB"/>
        </w:rPr>
        <w:t>m</w:t>
      </w:r>
      <w:r w:rsidRPr="00CE0885">
        <w:rPr>
          <w:lang w:eastAsia="en-GB"/>
        </w:rPr>
        <w:t>i</w:t>
      </w:r>
      <w:r w:rsidRPr="00CE0885">
        <w:rPr>
          <w:spacing w:val="1"/>
          <w:lang w:eastAsia="en-GB"/>
        </w:rPr>
        <w:t>t</w:t>
      </w:r>
      <w:r w:rsidRPr="00CE0885">
        <w:rPr>
          <w:spacing w:val="-1"/>
          <w:lang w:eastAsia="en-GB"/>
        </w:rPr>
        <w:t>e</w:t>
      </w:r>
      <w:r w:rsidRPr="00CE0885">
        <w:rPr>
          <w:lang w:eastAsia="en-GB"/>
        </w:rPr>
        <w:t>d</w:t>
      </w:r>
      <w:r w:rsidRPr="00CE0885">
        <w:rPr>
          <w:spacing w:val="-5"/>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lang w:eastAsia="en-GB"/>
        </w:rPr>
        <w:t>s</w:t>
      </w:r>
      <w:r w:rsidRPr="00CE0885">
        <w:rPr>
          <w:spacing w:val="-1"/>
          <w:lang w:eastAsia="en-GB"/>
        </w:rPr>
        <w:t>h</w:t>
      </w:r>
      <w:r w:rsidRPr="00CE0885">
        <w:rPr>
          <w:spacing w:val="1"/>
          <w:lang w:eastAsia="en-GB"/>
        </w:rPr>
        <w:t>a</w:t>
      </w:r>
      <w:r w:rsidRPr="00CE0885">
        <w:rPr>
          <w:spacing w:val="-1"/>
          <w:lang w:eastAsia="en-GB"/>
        </w:rPr>
        <w:t>r</w:t>
      </w:r>
      <w:r w:rsidRPr="00CE0885">
        <w:rPr>
          <w:spacing w:val="1"/>
          <w:lang w:eastAsia="en-GB"/>
        </w:rPr>
        <w:t>e</w:t>
      </w:r>
      <w:r w:rsidRPr="00CE0885">
        <w:rPr>
          <w:lang w:eastAsia="en-GB"/>
        </w:rPr>
        <w:t>s</w:t>
      </w:r>
      <w:r w:rsidRPr="00CE0885">
        <w:rPr>
          <w:spacing w:val="-7"/>
          <w:lang w:eastAsia="en-GB"/>
        </w:rPr>
        <w:t xml:space="preserve"> </w:t>
      </w:r>
      <w:r w:rsidRPr="00CE0885">
        <w:rPr>
          <w:spacing w:val="-1"/>
          <w:lang w:eastAsia="en-GB"/>
        </w:rPr>
        <w:t>(</w:t>
      </w:r>
      <w:r w:rsidRPr="00CE0885">
        <w:rPr>
          <w:lang w:eastAsia="en-GB"/>
        </w:rPr>
        <w:t>s</w:t>
      </w:r>
      <w:r w:rsidRPr="00CE0885">
        <w:rPr>
          <w:spacing w:val="1"/>
          <w:lang w:eastAsia="en-GB"/>
        </w:rPr>
        <w:t>ub</w:t>
      </w:r>
      <w:r w:rsidRPr="00CE0885">
        <w:rPr>
          <w:lang w:eastAsia="en-GB"/>
        </w:rPr>
        <w:t>j</w:t>
      </w:r>
      <w:r w:rsidRPr="00CE0885">
        <w:rPr>
          <w:spacing w:val="1"/>
          <w:lang w:eastAsia="en-GB"/>
        </w:rPr>
        <w:t>e</w:t>
      </w:r>
      <w:r w:rsidRPr="00CE0885">
        <w:rPr>
          <w:lang w:eastAsia="en-GB"/>
        </w:rPr>
        <w:t>ct</w:t>
      </w:r>
      <w:r w:rsidRPr="00CE0885">
        <w:rPr>
          <w:spacing w:val="-9"/>
          <w:lang w:eastAsia="en-GB"/>
        </w:rPr>
        <w:t xml:space="preserve"> </w:t>
      </w:r>
      <w:r w:rsidRPr="00CE0885">
        <w:rPr>
          <w:spacing w:val="1"/>
          <w:lang w:eastAsia="en-GB"/>
        </w:rPr>
        <w:t>t</w:t>
      </w:r>
      <w:r w:rsidRPr="00CE0885">
        <w:rPr>
          <w:lang w:eastAsia="en-GB"/>
        </w:rPr>
        <w:t>o</w:t>
      </w:r>
      <w:r w:rsidRPr="00CE0885">
        <w:rPr>
          <w:spacing w:val="-3"/>
          <w:lang w:eastAsia="en-GB"/>
        </w:rPr>
        <w:t xml:space="preserve"> </w:t>
      </w:r>
      <w:r w:rsidRPr="00CE0885">
        <w:rPr>
          <w:lang w:eastAsia="en-GB"/>
        </w:rPr>
        <w:t>c</w:t>
      </w:r>
      <w:r w:rsidRPr="00CE0885">
        <w:rPr>
          <w:spacing w:val="1"/>
          <w:lang w:eastAsia="en-GB"/>
        </w:rPr>
        <w:t>e</w:t>
      </w:r>
      <w:r w:rsidRPr="00CE0885">
        <w:rPr>
          <w:spacing w:val="-1"/>
          <w:lang w:eastAsia="en-GB"/>
        </w:rPr>
        <w:t>r</w:t>
      </w:r>
      <w:r w:rsidRPr="00CE0885">
        <w:rPr>
          <w:spacing w:val="1"/>
          <w:lang w:eastAsia="en-GB"/>
        </w:rPr>
        <w:t>ta</w:t>
      </w:r>
      <w:r w:rsidRPr="00CE0885">
        <w:rPr>
          <w:lang w:eastAsia="en-GB"/>
        </w:rPr>
        <w:t>in c</w:t>
      </w:r>
      <w:r w:rsidRPr="00CE0885">
        <w:rPr>
          <w:spacing w:val="1"/>
          <w:lang w:eastAsia="en-GB"/>
        </w:rPr>
        <w:t>ond</w:t>
      </w:r>
      <w:r w:rsidRPr="00CE0885">
        <w:rPr>
          <w:lang w:eastAsia="en-GB"/>
        </w:rPr>
        <w:t>i</w:t>
      </w:r>
      <w:r w:rsidRPr="00CE0885">
        <w:rPr>
          <w:spacing w:val="1"/>
          <w:lang w:eastAsia="en-GB"/>
        </w:rPr>
        <w:t>t</w:t>
      </w:r>
      <w:r w:rsidRPr="00CE0885">
        <w:rPr>
          <w:lang w:eastAsia="en-GB"/>
        </w:rPr>
        <w:t>i</w:t>
      </w:r>
      <w:r w:rsidRPr="00CE0885">
        <w:rPr>
          <w:spacing w:val="-1"/>
          <w:lang w:eastAsia="en-GB"/>
        </w:rPr>
        <w:t>o</w:t>
      </w:r>
      <w:r w:rsidRPr="00CE0885">
        <w:rPr>
          <w:spacing w:val="1"/>
          <w:lang w:eastAsia="en-GB"/>
        </w:rPr>
        <w:t>n</w:t>
      </w:r>
      <w:r w:rsidRPr="00CE0885">
        <w:rPr>
          <w:lang w:eastAsia="en-GB"/>
        </w:rPr>
        <w:t>s</w:t>
      </w:r>
      <w:r w:rsidRPr="00CE0885">
        <w:rPr>
          <w:spacing w:val="-1"/>
          <w:lang w:eastAsia="en-GB"/>
        </w:rPr>
        <w:t>)</w:t>
      </w:r>
      <w:r w:rsidRPr="00CE0885">
        <w:rPr>
          <w:lang w:eastAsia="en-GB"/>
        </w:rPr>
        <w:t>.</w:t>
      </w:r>
      <w:r w:rsidRPr="00CE0885">
        <w:rPr>
          <w:spacing w:val="55"/>
          <w:lang w:eastAsia="en-GB"/>
        </w:rPr>
        <w:t xml:space="preserve"> </w:t>
      </w:r>
      <w:r w:rsidRPr="00CE0885">
        <w:rPr>
          <w:spacing w:val="1"/>
          <w:lang w:eastAsia="en-GB"/>
        </w:rPr>
        <w:t>P</w:t>
      </w:r>
      <w:r w:rsidRPr="00CE0885">
        <w:rPr>
          <w:spacing w:val="-1"/>
          <w:lang w:eastAsia="en-GB"/>
        </w:rPr>
        <w:t>M</w:t>
      </w:r>
      <w:r w:rsidRPr="00CE0885">
        <w:rPr>
          <w:lang w:eastAsia="en-GB"/>
        </w:rPr>
        <w:t>S</w:t>
      </w:r>
      <w:r w:rsidRPr="00CE0885">
        <w:rPr>
          <w:spacing w:val="-6"/>
          <w:lang w:eastAsia="en-GB"/>
        </w:rPr>
        <w:t xml:space="preserve"> agreements </w:t>
      </w:r>
      <w:r w:rsidRPr="00CE0885">
        <w:rPr>
          <w:spacing w:val="-1"/>
          <w:lang w:eastAsia="en-GB"/>
        </w:rPr>
        <w:t>m</w:t>
      </w:r>
      <w:r w:rsidRPr="00CE0885">
        <w:rPr>
          <w:spacing w:val="1"/>
          <w:lang w:eastAsia="en-GB"/>
        </w:rPr>
        <w:t>a</w:t>
      </w:r>
      <w:r w:rsidRPr="00CE0885">
        <w:rPr>
          <w:lang w:eastAsia="en-GB"/>
        </w:rPr>
        <w:t>y</w:t>
      </w:r>
      <w:r w:rsidRPr="00CE0885">
        <w:rPr>
          <w:spacing w:val="-7"/>
          <w:lang w:eastAsia="en-GB"/>
        </w:rPr>
        <w:t xml:space="preserve"> </w:t>
      </w:r>
      <w:r w:rsidRPr="00CE0885">
        <w:rPr>
          <w:spacing w:val="1"/>
          <w:lang w:eastAsia="en-GB"/>
        </w:rPr>
        <w:t>b</w:t>
      </w:r>
      <w:r w:rsidRPr="00CE0885">
        <w:rPr>
          <w:lang w:eastAsia="en-GB"/>
        </w:rPr>
        <w:t>e</w:t>
      </w:r>
      <w:r w:rsidRPr="00CE0885">
        <w:rPr>
          <w:spacing w:val="-1"/>
          <w:lang w:eastAsia="en-GB"/>
        </w:rPr>
        <w:t xml:space="preserve"> h</w:t>
      </w:r>
      <w:r w:rsidRPr="00CE0885">
        <w:rPr>
          <w:spacing w:val="1"/>
          <w:lang w:eastAsia="en-GB"/>
        </w:rPr>
        <w:t>e</w:t>
      </w:r>
      <w:r w:rsidRPr="00CE0885">
        <w:rPr>
          <w:lang w:eastAsia="en-GB"/>
        </w:rPr>
        <w:t>ld</w:t>
      </w:r>
      <w:r w:rsidRPr="00CE0885">
        <w:rPr>
          <w:spacing w:val="-6"/>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lang w:eastAsia="en-GB"/>
        </w:rPr>
        <w:t>a</w:t>
      </w:r>
      <w:r w:rsidRPr="00CE0885">
        <w:rPr>
          <w:spacing w:val="1"/>
          <w:lang w:eastAsia="en-GB"/>
        </w:rPr>
        <w:t xml:space="preserve"> </w:t>
      </w:r>
      <w:r w:rsidRPr="00CE0885">
        <w:rPr>
          <w:spacing w:val="-1"/>
          <w:lang w:eastAsia="en-GB"/>
        </w:rPr>
        <w:t>q</w:t>
      </w:r>
      <w:r w:rsidRPr="00CE0885">
        <w:rPr>
          <w:spacing w:val="1"/>
          <w:lang w:eastAsia="en-GB"/>
        </w:rPr>
        <w:t>ua</w:t>
      </w:r>
      <w:r w:rsidRPr="00CE0885">
        <w:rPr>
          <w:lang w:eastAsia="en-GB"/>
        </w:rPr>
        <w:t>l</w:t>
      </w:r>
      <w:r w:rsidRPr="00CE0885">
        <w:rPr>
          <w:spacing w:val="-3"/>
          <w:lang w:eastAsia="en-GB"/>
        </w:rPr>
        <w:t>i</w:t>
      </w:r>
      <w:r w:rsidRPr="00CE0885">
        <w:rPr>
          <w:spacing w:val="3"/>
          <w:lang w:eastAsia="en-GB"/>
        </w:rPr>
        <w:t>f</w:t>
      </w:r>
      <w:r w:rsidRPr="00CE0885">
        <w:rPr>
          <w:spacing w:val="-2"/>
          <w:lang w:eastAsia="en-GB"/>
        </w:rPr>
        <w:t>y</w:t>
      </w:r>
      <w:r w:rsidRPr="00CE0885">
        <w:rPr>
          <w:lang w:eastAsia="en-GB"/>
        </w:rPr>
        <w:t>i</w:t>
      </w:r>
      <w:r w:rsidRPr="00CE0885">
        <w:rPr>
          <w:spacing w:val="1"/>
          <w:lang w:eastAsia="en-GB"/>
        </w:rPr>
        <w:t>n</w:t>
      </w:r>
      <w:r w:rsidRPr="00CE0885">
        <w:rPr>
          <w:lang w:eastAsia="en-GB"/>
        </w:rPr>
        <w:t>g</w:t>
      </w:r>
      <w:r w:rsidRPr="00CE0885">
        <w:rPr>
          <w:spacing w:val="-11"/>
          <w:lang w:eastAsia="en-GB"/>
        </w:rPr>
        <w:t xml:space="preserve"> </w:t>
      </w:r>
      <w:r w:rsidRPr="00CE0885">
        <w:rPr>
          <w:spacing w:val="1"/>
          <w:lang w:eastAsia="en-GB"/>
        </w:rPr>
        <w:t>bod</w:t>
      </w:r>
      <w:r w:rsidRPr="00CE0885">
        <w:rPr>
          <w:lang w:eastAsia="en-GB"/>
        </w:rPr>
        <w:t>y</w:t>
      </w:r>
      <w:r w:rsidRPr="00CE0885">
        <w:rPr>
          <w:spacing w:val="-7"/>
          <w:lang w:eastAsia="en-GB"/>
        </w:rPr>
        <w:t xml:space="preserve"> </w:t>
      </w:r>
      <w:r w:rsidRPr="00CE0885">
        <w:rPr>
          <w:spacing w:val="-1"/>
          <w:lang w:eastAsia="en-GB"/>
        </w:rPr>
        <w:t>(</w:t>
      </w:r>
      <w:r w:rsidRPr="00CE0885">
        <w:rPr>
          <w:lang w:eastAsia="en-GB"/>
        </w:rPr>
        <w:t>a c</w:t>
      </w:r>
      <w:r w:rsidRPr="00CE0885">
        <w:rPr>
          <w:spacing w:val="1"/>
          <w:lang w:eastAsia="en-GB"/>
        </w:rPr>
        <w:t>o</w:t>
      </w:r>
      <w:r w:rsidRPr="00CE0885">
        <w:rPr>
          <w:spacing w:val="2"/>
          <w:lang w:eastAsia="en-GB"/>
        </w:rPr>
        <w:t>m</w:t>
      </w:r>
      <w:r w:rsidRPr="00CE0885">
        <w:rPr>
          <w:spacing w:val="-1"/>
          <w:lang w:eastAsia="en-GB"/>
        </w:rPr>
        <w:t>p</w:t>
      </w:r>
      <w:r w:rsidRPr="00CE0885">
        <w:rPr>
          <w:spacing w:val="1"/>
          <w:lang w:eastAsia="en-GB"/>
        </w:rPr>
        <w:t>an</w:t>
      </w:r>
      <w:r w:rsidRPr="00CE0885">
        <w:rPr>
          <w:lang w:eastAsia="en-GB"/>
        </w:rPr>
        <w:t>y</w:t>
      </w:r>
      <w:r w:rsidRPr="00CE0885">
        <w:rPr>
          <w:spacing w:val="-12"/>
          <w:lang w:eastAsia="en-GB"/>
        </w:rPr>
        <w:t xml:space="preserve"> </w:t>
      </w:r>
      <w:r w:rsidRPr="00CE0885">
        <w:rPr>
          <w:lang w:eastAsia="en-GB"/>
        </w:rPr>
        <w:t>li</w:t>
      </w:r>
      <w:r w:rsidRPr="00CE0885">
        <w:rPr>
          <w:spacing w:val="2"/>
          <w:lang w:eastAsia="en-GB"/>
        </w:rPr>
        <w:t>m</w:t>
      </w:r>
      <w:r w:rsidRPr="00CE0885">
        <w:rPr>
          <w:lang w:eastAsia="en-GB"/>
        </w:rPr>
        <w:t>i</w:t>
      </w:r>
      <w:r w:rsidRPr="00CE0885">
        <w:rPr>
          <w:spacing w:val="1"/>
          <w:lang w:eastAsia="en-GB"/>
        </w:rPr>
        <w:t>te</w:t>
      </w:r>
      <w:r w:rsidRPr="00CE0885">
        <w:rPr>
          <w:lang w:eastAsia="en-GB"/>
        </w:rPr>
        <w:t>d</w:t>
      </w:r>
      <w:r w:rsidRPr="00CE0885">
        <w:rPr>
          <w:spacing w:val="-8"/>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lang w:eastAsia="en-GB"/>
        </w:rPr>
        <w:t>s</w:t>
      </w:r>
      <w:r w:rsidRPr="00CE0885">
        <w:rPr>
          <w:spacing w:val="-1"/>
          <w:lang w:eastAsia="en-GB"/>
        </w:rPr>
        <w:t>h</w:t>
      </w:r>
      <w:r w:rsidRPr="00CE0885">
        <w:rPr>
          <w:spacing w:val="1"/>
          <w:lang w:eastAsia="en-GB"/>
        </w:rPr>
        <w:t>a</w:t>
      </w:r>
      <w:r w:rsidRPr="00CE0885">
        <w:rPr>
          <w:spacing w:val="-1"/>
          <w:lang w:eastAsia="en-GB"/>
        </w:rPr>
        <w:t>r</w:t>
      </w:r>
      <w:r w:rsidRPr="00CE0885">
        <w:rPr>
          <w:spacing w:val="1"/>
          <w:lang w:eastAsia="en-GB"/>
        </w:rPr>
        <w:t>e</w:t>
      </w:r>
      <w:r w:rsidRPr="00CE0885">
        <w:rPr>
          <w:lang w:eastAsia="en-GB"/>
        </w:rPr>
        <w:t>s,</w:t>
      </w:r>
      <w:r w:rsidRPr="00CE0885">
        <w:rPr>
          <w:spacing w:val="-7"/>
          <w:lang w:eastAsia="en-GB"/>
        </w:rPr>
        <w:t xml:space="preserve"> </w:t>
      </w:r>
      <w:r w:rsidRPr="00CE0885">
        <w:rPr>
          <w:spacing w:val="1"/>
          <w:lang w:eastAsia="en-GB"/>
        </w:rPr>
        <w:t>a</w:t>
      </w:r>
      <w:r w:rsidRPr="00CE0885">
        <w:rPr>
          <w:lang w:eastAsia="en-GB"/>
        </w:rPr>
        <w:t>ll</w:t>
      </w:r>
      <w:r w:rsidRPr="00CE0885">
        <w:rPr>
          <w:spacing w:val="-2"/>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3"/>
          <w:lang w:eastAsia="en-GB"/>
        </w:rPr>
        <w:t>w</w:t>
      </w:r>
      <w:r w:rsidRPr="00CE0885">
        <w:rPr>
          <w:spacing w:val="1"/>
          <w:lang w:eastAsia="en-GB"/>
        </w:rPr>
        <w:t>h</w:t>
      </w:r>
      <w:r w:rsidRPr="00CE0885">
        <w:rPr>
          <w:lang w:eastAsia="en-GB"/>
        </w:rPr>
        <w:t>ich</w:t>
      </w:r>
      <w:r w:rsidRPr="00CE0885">
        <w:rPr>
          <w:spacing w:val="-4"/>
          <w:lang w:eastAsia="en-GB"/>
        </w:rPr>
        <w:t xml:space="preserve"> </w:t>
      </w:r>
      <w:r w:rsidRPr="00CE0885">
        <w:rPr>
          <w:spacing w:val="1"/>
          <w:lang w:eastAsia="en-GB"/>
        </w:rPr>
        <w:t>a</w:t>
      </w:r>
      <w:r w:rsidRPr="00CE0885">
        <w:rPr>
          <w:spacing w:val="-1"/>
          <w:lang w:eastAsia="en-GB"/>
        </w:rPr>
        <w:t>r</w:t>
      </w:r>
      <w:r w:rsidRPr="00CE0885">
        <w:rPr>
          <w:lang w:eastAsia="en-GB"/>
        </w:rPr>
        <w:t>e</w:t>
      </w:r>
      <w:r w:rsidRPr="00CE0885">
        <w:rPr>
          <w:spacing w:val="-1"/>
          <w:lang w:eastAsia="en-GB"/>
        </w:rPr>
        <w:t xml:space="preserve"> </w:t>
      </w:r>
      <w:r w:rsidRPr="00CE0885">
        <w:rPr>
          <w:lang w:eastAsia="en-GB"/>
        </w:rPr>
        <w:t>l</w:t>
      </w:r>
      <w:r w:rsidRPr="00CE0885">
        <w:rPr>
          <w:spacing w:val="-1"/>
          <w:lang w:eastAsia="en-GB"/>
        </w:rPr>
        <w:t>eg</w:t>
      </w:r>
      <w:r w:rsidRPr="00CE0885">
        <w:rPr>
          <w:spacing w:val="1"/>
          <w:lang w:eastAsia="en-GB"/>
        </w:rPr>
        <w:t>a</w:t>
      </w:r>
      <w:r w:rsidRPr="00CE0885">
        <w:rPr>
          <w:lang w:eastAsia="en-GB"/>
        </w:rPr>
        <w:t>l</w:t>
      </w:r>
      <w:r w:rsidRPr="00CE0885">
        <w:rPr>
          <w:spacing w:val="2"/>
          <w:lang w:eastAsia="en-GB"/>
        </w:rPr>
        <w:t>l</w:t>
      </w:r>
      <w:r w:rsidRPr="00CE0885">
        <w:rPr>
          <w:lang w:eastAsia="en-GB"/>
        </w:rPr>
        <w:t>y</w:t>
      </w:r>
      <w:r w:rsidRPr="00CE0885">
        <w:rPr>
          <w:spacing w:val="-9"/>
          <w:lang w:eastAsia="en-GB"/>
        </w:rPr>
        <w:t xml:space="preserve"> </w:t>
      </w:r>
      <w:r w:rsidRPr="00CE0885">
        <w:rPr>
          <w:spacing w:val="1"/>
          <w:lang w:eastAsia="en-GB"/>
        </w:rPr>
        <w:t>an</w:t>
      </w:r>
      <w:r w:rsidRPr="00CE0885">
        <w:rPr>
          <w:lang w:eastAsia="en-GB"/>
        </w:rPr>
        <w:t>d</w:t>
      </w:r>
      <w:r w:rsidRPr="00CE0885">
        <w:rPr>
          <w:spacing w:val="-2"/>
          <w:lang w:eastAsia="en-GB"/>
        </w:rPr>
        <w:t xml:space="preserve"> </w:t>
      </w:r>
      <w:r w:rsidRPr="00CE0885">
        <w:rPr>
          <w:spacing w:val="-1"/>
          <w:lang w:eastAsia="en-GB"/>
        </w:rPr>
        <w:t>b</w:t>
      </w:r>
      <w:r w:rsidRPr="00CE0885">
        <w:rPr>
          <w:spacing w:val="1"/>
          <w:lang w:eastAsia="en-GB"/>
        </w:rPr>
        <w:t>en</w:t>
      </w:r>
      <w:r w:rsidRPr="00CE0885">
        <w:rPr>
          <w:spacing w:val="-1"/>
          <w:lang w:eastAsia="en-GB"/>
        </w:rPr>
        <w:t>e</w:t>
      </w:r>
      <w:r w:rsidRPr="00CE0885">
        <w:rPr>
          <w:spacing w:val="3"/>
          <w:lang w:eastAsia="en-GB"/>
        </w:rPr>
        <w:t>f</w:t>
      </w:r>
      <w:r w:rsidRPr="00CE0885">
        <w:rPr>
          <w:lang w:eastAsia="en-GB"/>
        </w:rPr>
        <w:t>ic</w:t>
      </w:r>
      <w:r w:rsidRPr="00CE0885">
        <w:rPr>
          <w:spacing w:val="-3"/>
          <w:lang w:eastAsia="en-GB"/>
        </w:rPr>
        <w:t>i</w:t>
      </w:r>
      <w:r w:rsidRPr="00CE0885">
        <w:rPr>
          <w:spacing w:val="1"/>
          <w:lang w:eastAsia="en-GB"/>
        </w:rPr>
        <w:t>a</w:t>
      </w:r>
      <w:r w:rsidRPr="00CE0885">
        <w:rPr>
          <w:lang w:eastAsia="en-GB"/>
        </w:rPr>
        <w:t xml:space="preserve">lly </w:t>
      </w:r>
      <w:r w:rsidRPr="00CE0885">
        <w:rPr>
          <w:spacing w:val="1"/>
          <w:lang w:eastAsia="en-GB"/>
        </w:rPr>
        <w:t>o</w:t>
      </w:r>
      <w:r w:rsidRPr="00CE0885">
        <w:rPr>
          <w:spacing w:val="-3"/>
          <w:lang w:eastAsia="en-GB"/>
        </w:rPr>
        <w:t>w</w:t>
      </w:r>
      <w:r w:rsidRPr="00CE0885">
        <w:rPr>
          <w:spacing w:val="1"/>
          <w:lang w:eastAsia="en-GB"/>
        </w:rPr>
        <w:t>ne</w:t>
      </w:r>
      <w:r w:rsidRPr="00CE0885">
        <w:rPr>
          <w:lang w:eastAsia="en-GB"/>
        </w:rPr>
        <w:t>d</w:t>
      </w:r>
      <w:r w:rsidRPr="00CE0885">
        <w:rPr>
          <w:spacing w:val="-5"/>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spacing w:val="1"/>
          <w:lang w:eastAsia="en-GB"/>
        </w:rPr>
        <w:t>pe</w:t>
      </w:r>
      <w:r w:rsidRPr="00CE0885">
        <w:rPr>
          <w:spacing w:val="-1"/>
          <w:lang w:eastAsia="en-GB"/>
        </w:rPr>
        <w:t>r</w:t>
      </w:r>
      <w:r w:rsidRPr="00CE0885">
        <w:rPr>
          <w:lang w:eastAsia="en-GB"/>
        </w:rPr>
        <w:t>s</w:t>
      </w:r>
      <w:r w:rsidRPr="00CE0885">
        <w:rPr>
          <w:spacing w:val="1"/>
          <w:lang w:eastAsia="en-GB"/>
        </w:rPr>
        <w:t>on</w:t>
      </w:r>
      <w:r w:rsidRPr="00CE0885">
        <w:rPr>
          <w:lang w:eastAsia="en-GB"/>
        </w:rPr>
        <w:t>s</w:t>
      </w:r>
      <w:r w:rsidRPr="00CE0885">
        <w:rPr>
          <w:spacing w:val="-11"/>
          <w:lang w:eastAsia="en-GB"/>
        </w:rPr>
        <w:t xml:space="preserve"> </w:t>
      </w:r>
      <w:r w:rsidRPr="00CE0885">
        <w:rPr>
          <w:spacing w:val="-3"/>
          <w:lang w:eastAsia="en-GB"/>
        </w:rPr>
        <w:t>w</w:t>
      </w:r>
      <w:r w:rsidRPr="00CE0885">
        <w:rPr>
          <w:spacing w:val="1"/>
          <w:lang w:eastAsia="en-GB"/>
        </w:rPr>
        <w:t>h</w:t>
      </w:r>
      <w:r w:rsidRPr="00CE0885">
        <w:rPr>
          <w:lang w:eastAsia="en-GB"/>
        </w:rPr>
        <w:t>o</w:t>
      </w:r>
      <w:r w:rsidRPr="00CE0885">
        <w:rPr>
          <w:spacing w:val="-2"/>
          <w:lang w:eastAsia="en-GB"/>
        </w:rPr>
        <w:t xml:space="preserve"> </w:t>
      </w:r>
      <w:r w:rsidRPr="00CE0885">
        <w:rPr>
          <w:spacing w:val="2"/>
          <w:lang w:eastAsia="en-GB"/>
        </w:rPr>
        <w:t>m</w:t>
      </w:r>
      <w:r w:rsidRPr="00CE0885">
        <w:rPr>
          <w:spacing w:val="1"/>
          <w:lang w:eastAsia="en-GB"/>
        </w:rPr>
        <w:t>a</w:t>
      </w:r>
      <w:r w:rsidRPr="00CE0885">
        <w:rPr>
          <w:lang w:eastAsia="en-GB"/>
        </w:rPr>
        <w:t>y</w:t>
      </w:r>
      <w:r w:rsidRPr="00CE0885">
        <w:rPr>
          <w:spacing w:val="-7"/>
          <w:lang w:eastAsia="en-GB"/>
        </w:rPr>
        <w:t xml:space="preserve"> </w:t>
      </w:r>
      <w:r w:rsidRPr="00CE0885">
        <w:rPr>
          <w:spacing w:val="1"/>
          <w:lang w:eastAsia="en-GB"/>
        </w:rPr>
        <w:t>en</w:t>
      </w:r>
      <w:r w:rsidRPr="00CE0885">
        <w:rPr>
          <w:spacing w:val="-2"/>
          <w:lang w:eastAsia="en-GB"/>
        </w:rPr>
        <w:t>t</w:t>
      </w:r>
      <w:r w:rsidRPr="00CE0885">
        <w:rPr>
          <w:spacing w:val="1"/>
          <w:lang w:eastAsia="en-GB"/>
        </w:rPr>
        <w:t>e</w:t>
      </w:r>
      <w:r w:rsidRPr="00CE0885">
        <w:rPr>
          <w:lang w:eastAsia="en-GB"/>
        </w:rPr>
        <w:t>r</w:t>
      </w:r>
      <w:r w:rsidRPr="00CE0885">
        <w:rPr>
          <w:spacing w:val="-5"/>
          <w:lang w:eastAsia="en-GB"/>
        </w:rPr>
        <w:t xml:space="preserve"> into </w:t>
      </w:r>
      <w:r w:rsidRPr="00CE0885">
        <w:rPr>
          <w:lang w:eastAsia="en-GB"/>
        </w:rPr>
        <w:t>a</w:t>
      </w:r>
      <w:r w:rsidRPr="00CE0885">
        <w:rPr>
          <w:spacing w:val="-2"/>
          <w:lang w:eastAsia="en-GB"/>
        </w:rPr>
        <w:t xml:space="preserve"> </w:t>
      </w:r>
      <w:r w:rsidRPr="00CE0885">
        <w:rPr>
          <w:spacing w:val="1"/>
          <w:lang w:eastAsia="en-GB"/>
        </w:rPr>
        <w:t>P</w:t>
      </w:r>
      <w:r w:rsidRPr="00CE0885">
        <w:rPr>
          <w:spacing w:val="-1"/>
          <w:lang w:eastAsia="en-GB"/>
        </w:rPr>
        <w:t>M</w:t>
      </w:r>
      <w:r w:rsidRPr="00CE0885">
        <w:rPr>
          <w:lang w:eastAsia="en-GB"/>
        </w:rPr>
        <w:t>S</w:t>
      </w:r>
      <w:r w:rsidRPr="00CE0885">
        <w:rPr>
          <w:spacing w:val="-4"/>
          <w:lang w:eastAsia="en-GB"/>
        </w:rPr>
        <w:t xml:space="preserve"> </w:t>
      </w:r>
      <w:r w:rsidRPr="00CE0885">
        <w:rPr>
          <w:spacing w:val="1"/>
          <w:lang w:eastAsia="en-GB"/>
        </w:rPr>
        <w:t>a</w:t>
      </w:r>
      <w:r w:rsidRPr="00CE0885">
        <w:rPr>
          <w:spacing w:val="-1"/>
          <w:lang w:eastAsia="en-GB"/>
        </w:rPr>
        <w:t>gr</w:t>
      </w:r>
      <w:r w:rsidRPr="00CE0885">
        <w:rPr>
          <w:spacing w:val="1"/>
          <w:lang w:eastAsia="en-GB"/>
        </w:rPr>
        <w:t>ee</w:t>
      </w:r>
      <w:r w:rsidRPr="00CE0885">
        <w:rPr>
          <w:spacing w:val="-1"/>
          <w:lang w:eastAsia="en-GB"/>
        </w:rPr>
        <w:t>m</w:t>
      </w:r>
      <w:r w:rsidRPr="00CE0885">
        <w:rPr>
          <w:spacing w:val="1"/>
          <w:lang w:eastAsia="en-GB"/>
        </w:rPr>
        <w:t>ent</w:t>
      </w:r>
      <w:r w:rsidRPr="00CE0885">
        <w:rPr>
          <w:spacing w:val="-1"/>
          <w:lang w:eastAsia="en-GB"/>
        </w:rPr>
        <w:t>)</w:t>
      </w:r>
      <w:r w:rsidRPr="00CE0885">
        <w:rPr>
          <w:lang w:eastAsia="en-GB"/>
        </w:rPr>
        <w:t>.</w:t>
      </w:r>
      <w:bookmarkEnd w:id="734"/>
    </w:p>
    <w:p w14:paraId="2EEADEE8" w14:textId="405BBD75" w:rsidR="00977693" w:rsidRPr="00CE0885" w:rsidRDefault="00977693" w:rsidP="006B781A">
      <w:pPr>
        <w:pStyle w:val="Heading3"/>
        <w:rPr>
          <w:lang w:eastAsia="en-GB"/>
        </w:rPr>
      </w:pPr>
      <w:bookmarkStart w:id="735" w:name="_Toc440981839"/>
      <w:r w:rsidRPr="00CE0885">
        <w:rPr>
          <w:lang w:eastAsia="en-GB"/>
        </w:rPr>
        <w:t>AP</w:t>
      </w:r>
      <w:r w:rsidRPr="00CE0885">
        <w:rPr>
          <w:spacing w:val="-1"/>
          <w:lang w:eastAsia="en-GB"/>
        </w:rPr>
        <w:t>M</w:t>
      </w:r>
      <w:r w:rsidRPr="00CE0885">
        <w:rPr>
          <w:lang w:eastAsia="en-GB"/>
        </w:rPr>
        <w:t>S contracts,</w:t>
      </w:r>
      <w:r w:rsidRPr="00CE0885">
        <w:rPr>
          <w:spacing w:val="-6"/>
          <w:lang w:eastAsia="en-GB"/>
        </w:rPr>
        <w:t xml:space="preserve"> </w:t>
      </w:r>
      <w:r w:rsidRPr="00CE0885">
        <w:rPr>
          <w:lang w:eastAsia="en-GB"/>
        </w:rPr>
        <w:t>in</w:t>
      </w:r>
      <w:r w:rsidRPr="00CE0885">
        <w:rPr>
          <w:spacing w:val="-3"/>
          <w:lang w:eastAsia="en-GB"/>
        </w:rPr>
        <w:t xml:space="preserve"> </w:t>
      </w:r>
      <w:r w:rsidRPr="00CE0885">
        <w:rPr>
          <w:lang w:eastAsia="en-GB"/>
        </w:rPr>
        <w:t>p</w:t>
      </w:r>
      <w:r w:rsidRPr="00CE0885">
        <w:rPr>
          <w:spacing w:val="-1"/>
          <w:lang w:eastAsia="en-GB"/>
        </w:rPr>
        <w:t>r</w:t>
      </w:r>
      <w:r w:rsidRPr="00CE0885">
        <w:rPr>
          <w:lang w:eastAsia="en-GB"/>
        </w:rPr>
        <w:t>inciple,</w:t>
      </w:r>
      <w:r w:rsidRPr="00CE0885">
        <w:rPr>
          <w:spacing w:val="-11"/>
          <w:lang w:eastAsia="en-GB"/>
        </w:rPr>
        <w:t xml:space="preserve"> </w:t>
      </w:r>
      <w:r w:rsidRPr="00CE0885">
        <w:rPr>
          <w:lang w:eastAsia="en-GB"/>
        </w:rPr>
        <w:t>h</w:t>
      </w:r>
      <w:r w:rsidRPr="00CE0885">
        <w:rPr>
          <w:spacing w:val="-1"/>
          <w:lang w:eastAsia="en-GB"/>
        </w:rPr>
        <w:t>ave</w:t>
      </w:r>
      <w:r w:rsidRPr="00CE0885">
        <w:rPr>
          <w:spacing w:val="-4"/>
          <w:lang w:eastAsia="en-GB"/>
        </w:rPr>
        <w:t xml:space="preserve"> </w:t>
      </w:r>
      <w:r w:rsidRPr="00CE0885">
        <w:rPr>
          <w:lang w:eastAsia="en-GB"/>
        </w:rPr>
        <w:t>fe</w:t>
      </w:r>
      <w:r w:rsidRPr="00CE0885">
        <w:rPr>
          <w:spacing w:val="-3"/>
          <w:lang w:eastAsia="en-GB"/>
        </w:rPr>
        <w:t>w</w:t>
      </w:r>
      <w:r w:rsidRPr="00CE0885">
        <w:rPr>
          <w:lang w:eastAsia="en-GB"/>
        </w:rPr>
        <w:t>er</w:t>
      </w:r>
      <w:r w:rsidRPr="00CE0885">
        <w:rPr>
          <w:spacing w:val="-6"/>
          <w:lang w:eastAsia="en-GB"/>
        </w:rPr>
        <w:t xml:space="preserve"> </w:t>
      </w:r>
      <w:r w:rsidRPr="00CE0885">
        <w:rPr>
          <w:spacing w:val="-1"/>
          <w:lang w:eastAsia="en-GB"/>
        </w:rPr>
        <w:t>r</w:t>
      </w:r>
      <w:r w:rsidRPr="00CE0885">
        <w:rPr>
          <w:lang w:eastAsia="en-GB"/>
        </w:rPr>
        <w:t>est</w:t>
      </w:r>
      <w:r w:rsidRPr="00CE0885">
        <w:rPr>
          <w:spacing w:val="-1"/>
          <w:lang w:eastAsia="en-GB"/>
        </w:rPr>
        <w:t>r</w:t>
      </w:r>
      <w:r w:rsidRPr="00CE0885">
        <w:rPr>
          <w:lang w:eastAsia="en-GB"/>
        </w:rPr>
        <w:t>ictions</w:t>
      </w:r>
      <w:r w:rsidRPr="00CE0885">
        <w:rPr>
          <w:spacing w:val="-12"/>
          <w:lang w:eastAsia="en-GB"/>
        </w:rPr>
        <w:t xml:space="preserve"> </w:t>
      </w:r>
      <w:r w:rsidRPr="00CE0885">
        <w:rPr>
          <w:lang w:eastAsia="en-GB"/>
        </w:rPr>
        <w:t>on</w:t>
      </w:r>
      <w:r w:rsidRPr="00CE0885">
        <w:rPr>
          <w:spacing w:val="-6"/>
          <w:lang w:eastAsia="en-GB"/>
        </w:rPr>
        <w:t xml:space="preserve"> </w:t>
      </w:r>
      <w:r w:rsidRPr="00CE0885">
        <w:rPr>
          <w:lang w:eastAsia="en-GB"/>
        </w:rPr>
        <w:t>the</w:t>
      </w:r>
      <w:r w:rsidRPr="00CE0885">
        <w:rPr>
          <w:spacing w:val="-1"/>
          <w:lang w:eastAsia="en-GB"/>
        </w:rPr>
        <w:t xml:space="preserve"> </w:t>
      </w:r>
      <w:r w:rsidRPr="00CE0885">
        <w:rPr>
          <w:lang w:eastAsia="en-GB"/>
        </w:rPr>
        <w:t>t</w:t>
      </w:r>
      <w:r w:rsidRPr="00CE0885">
        <w:rPr>
          <w:spacing w:val="-2"/>
          <w:lang w:eastAsia="en-GB"/>
        </w:rPr>
        <w:t>y</w:t>
      </w:r>
      <w:r w:rsidRPr="00CE0885">
        <w:rPr>
          <w:lang w:eastAsia="en-GB"/>
        </w:rPr>
        <w:t>pes</w:t>
      </w:r>
      <w:r w:rsidRPr="00CE0885">
        <w:rPr>
          <w:spacing w:val="-8"/>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o</w:t>
      </w:r>
      <w:r w:rsidRPr="00CE0885">
        <w:rPr>
          <w:spacing w:val="-1"/>
          <w:lang w:eastAsia="en-GB"/>
        </w:rPr>
        <w:t>rg</w:t>
      </w:r>
      <w:r w:rsidRPr="00CE0885">
        <w:rPr>
          <w:lang w:eastAsia="en-GB"/>
        </w:rPr>
        <w:t>anisat</w:t>
      </w:r>
      <w:r w:rsidRPr="00CE0885">
        <w:rPr>
          <w:spacing w:val="-3"/>
          <w:lang w:eastAsia="en-GB"/>
        </w:rPr>
        <w:t>i</w:t>
      </w:r>
      <w:r w:rsidRPr="00CE0885">
        <w:rPr>
          <w:lang w:eastAsia="en-GB"/>
        </w:rPr>
        <w:t>ons that</w:t>
      </w:r>
      <w:r w:rsidRPr="00CE0885">
        <w:rPr>
          <w:spacing w:val="-5"/>
          <w:lang w:eastAsia="en-GB"/>
        </w:rPr>
        <w:t xml:space="preserve"> </w:t>
      </w:r>
      <w:r w:rsidRPr="00CE0885">
        <w:rPr>
          <w:spacing w:val="2"/>
          <w:lang w:eastAsia="en-GB"/>
        </w:rPr>
        <w:t>m</w:t>
      </w:r>
      <w:r w:rsidRPr="00CE0885">
        <w:rPr>
          <w:lang w:eastAsia="en-GB"/>
        </w:rPr>
        <w:t>ay</w:t>
      </w:r>
      <w:r w:rsidRPr="00CE0885">
        <w:rPr>
          <w:spacing w:val="-7"/>
          <w:lang w:eastAsia="en-GB"/>
        </w:rPr>
        <w:t xml:space="preserve"> </w:t>
      </w:r>
      <w:r w:rsidRPr="00CE0885">
        <w:rPr>
          <w:lang w:eastAsia="en-GB"/>
        </w:rPr>
        <w:t>enter into the</w:t>
      </w:r>
      <w:r w:rsidRPr="00CE0885">
        <w:rPr>
          <w:spacing w:val="-3"/>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w:t>
      </w:r>
      <w:r w:rsidRPr="00CE0885">
        <w:rPr>
          <w:spacing w:val="-2"/>
          <w:lang w:eastAsia="en-GB"/>
        </w:rPr>
        <w:t>t</w:t>
      </w:r>
      <w:r w:rsidRPr="00CE0885">
        <w:rPr>
          <w:lang w:eastAsia="en-GB"/>
        </w:rPr>
        <w:t>s</w:t>
      </w:r>
      <w:r w:rsidRPr="00CE0885">
        <w:rPr>
          <w:spacing w:val="-10"/>
          <w:lang w:eastAsia="en-GB"/>
        </w:rPr>
        <w:t xml:space="preserve"> </w:t>
      </w:r>
      <w:r w:rsidRPr="00CE0885">
        <w:rPr>
          <w:spacing w:val="-1"/>
          <w:lang w:eastAsia="en-GB"/>
        </w:rPr>
        <w:t>a</w:t>
      </w:r>
      <w:r w:rsidRPr="00CE0885">
        <w:rPr>
          <w:lang w:eastAsia="en-GB"/>
        </w:rPr>
        <w:t>nd</w:t>
      </w:r>
      <w:r w:rsidRPr="00CE0885">
        <w:rPr>
          <w:spacing w:val="-2"/>
          <w:lang w:eastAsia="en-GB"/>
        </w:rPr>
        <w:t xml:space="preserve"> t</w:t>
      </w:r>
      <w:r w:rsidRPr="00CE0885">
        <w:rPr>
          <w:lang w:eastAsia="en-GB"/>
        </w:rPr>
        <w:t>he</w:t>
      </w:r>
      <w:r w:rsidRPr="00CE0885">
        <w:rPr>
          <w:spacing w:val="-1"/>
          <w:lang w:eastAsia="en-GB"/>
        </w:rPr>
        <w:t>re</w:t>
      </w:r>
      <w:r w:rsidRPr="00CE0885">
        <w:rPr>
          <w:lang w:eastAsia="en-GB"/>
        </w:rPr>
        <w:t>fo</w:t>
      </w:r>
      <w:r w:rsidRPr="00CE0885">
        <w:rPr>
          <w:spacing w:val="-1"/>
          <w:lang w:eastAsia="en-GB"/>
        </w:rPr>
        <w:t>r</w:t>
      </w:r>
      <w:r w:rsidRPr="00CE0885">
        <w:rPr>
          <w:lang w:eastAsia="en-GB"/>
        </w:rPr>
        <w:t>e</w:t>
      </w:r>
      <w:r w:rsidRPr="00CE0885">
        <w:rPr>
          <w:spacing w:val="-8"/>
          <w:lang w:eastAsia="en-GB"/>
        </w:rPr>
        <w:t xml:space="preserve"> </w:t>
      </w:r>
      <w:r w:rsidRPr="00CE0885">
        <w:rPr>
          <w:spacing w:val="-3"/>
          <w:lang w:eastAsia="en-GB"/>
        </w:rPr>
        <w:t>the Commissioner</w:t>
      </w:r>
      <w:r w:rsidRPr="00CE0885">
        <w:rPr>
          <w:spacing w:val="-7"/>
          <w:lang w:eastAsia="en-GB"/>
        </w:rPr>
        <w:t xml:space="preserve"> </w:t>
      </w:r>
      <w:r w:rsidRPr="00CE0885">
        <w:rPr>
          <w:spacing w:val="-2"/>
          <w:lang w:eastAsia="en-GB"/>
        </w:rPr>
        <w:t>c</w:t>
      </w:r>
      <w:r w:rsidRPr="00CE0885">
        <w:rPr>
          <w:lang w:eastAsia="en-GB"/>
        </w:rPr>
        <w:t>an</w:t>
      </w:r>
      <w:r w:rsidRPr="00CE0885">
        <w:rPr>
          <w:spacing w:val="-5"/>
          <w:lang w:eastAsia="en-GB"/>
        </w:rPr>
        <w:t xml:space="preserve"> </w:t>
      </w:r>
      <w:r w:rsidRPr="00CE0885">
        <w:rPr>
          <w:lang w:eastAsia="en-GB"/>
        </w:rPr>
        <w:t>en</w:t>
      </w:r>
      <w:r w:rsidRPr="00CE0885">
        <w:rPr>
          <w:spacing w:val="-2"/>
          <w:lang w:eastAsia="en-GB"/>
        </w:rPr>
        <w:t>t</w:t>
      </w:r>
      <w:r w:rsidRPr="00CE0885">
        <w:rPr>
          <w:lang w:eastAsia="en-GB"/>
        </w:rPr>
        <w:t>er</w:t>
      </w:r>
      <w:r w:rsidRPr="00CE0885">
        <w:rPr>
          <w:spacing w:val="-5"/>
          <w:lang w:eastAsia="en-GB"/>
        </w:rPr>
        <w:t xml:space="preserve"> into </w:t>
      </w:r>
      <w:r w:rsidRPr="00CE0885">
        <w:rPr>
          <w:lang w:eastAsia="en-GB"/>
        </w:rPr>
        <w:t>A</w:t>
      </w:r>
      <w:r w:rsidRPr="00CE0885">
        <w:rPr>
          <w:spacing w:val="-2"/>
          <w:lang w:eastAsia="en-GB"/>
        </w:rPr>
        <w:t>P</w:t>
      </w:r>
      <w:r w:rsidRPr="00CE0885">
        <w:rPr>
          <w:spacing w:val="-1"/>
          <w:lang w:eastAsia="en-GB"/>
        </w:rPr>
        <w:t>M</w:t>
      </w:r>
      <w:r w:rsidRPr="00CE0885">
        <w:rPr>
          <w:lang w:eastAsia="en-GB"/>
        </w:rPr>
        <w:t>S</w:t>
      </w:r>
      <w:r w:rsidRPr="00CE0885">
        <w:rPr>
          <w:spacing w:val="-6"/>
          <w:lang w:eastAsia="en-GB"/>
        </w:rPr>
        <w:t xml:space="preserve"> </w:t>
      </w:r>
      <w:r w:rsidRPr="00CE0885">
        <w:rPr>
          <w:lang w:eastAsia="en-GB"/>
        </w:rPr>
        <w:t>cont</w:t>
      </w:r>
      <w:r w:rsidRPr="00CE0885">
        <w:rPr>
          <w:spacing w:val="-1"/>
          <w:lang w:eastAsia="en-GB"/>
        </w:rPr>
        <w:t>r</w:t>
      </w:r>
      <w:r w:rsidRPr="00CE0885">
        <w:rPr>
          <w:lang w:eastAsia="en-GB"/>
        </w:rPr>
        <w:t>acts</w:t>
      </w:r>
      <w:r w:rsidRPr="00CE0885">
        <w:rPr>
          <w:spacing w:val="-12"/>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any</w:t>
      </w:r>
      <w:r w:rsidRPr="00CE0885">
        <w:rPr>
          <w:spacing w:val="-6"/>
          <w:lang w:eastAsia="en-GB"/>
        </w:rPr>
        <w:t xml:space="preserve"> </w:t>
      </w:r>
      <w:r w:rsidRPr="00CE0885">
        <w:rPr>
          <w:lang w:eastAsia="en-GB"/>
        </w:rPr>
        <w:t>indi</w:t>
      </w:r>
      <w:r w:rsidRPr="00CE0885">
        <w:rPr>
          <w:spacing w:val="-2"/>
          <w:lang w:eastAsia="en-GB"/>
        </w:rPr>
        <w:t>v</w:t>
      </w:r>
      <w:r w:rsidRPr="00CE0885">
        <w:rPr>
          <w:lang w:eastAsia="en-GB"/>
        </w:rPr>
        <w:t>idual</w:t>
      </w:r>
      <w:r w:rsidRPr="00CE0885">
        <w:rPr>
          <w:spacing w:val="-10"/>
          <w:lang w:eastAsia="en-GB"/>
        </w:rPr>
        <w:t xml:space="preserve"> </w:t>
      </w:r>
      <w:r w:rsidRPr="00CE0885">
        <w:rPr>
          <w:lang w:eastAsia="en-GB"/>
        </w:rPr>
        <w:t>or</w:t>
      </w:r>
      <w:r w:rsidRPr="00CE0885">
        <w:rPr>
          <w:spacing w:val="-2"/>
          <w:lang w:eastAsia="en-GB"/>
        </w:rPr>
        <w:t xml:space="preserve"> </w:t>
      </w:r>
      <w:r w:rsidRPr="00CE0885">
        <w:rPr>
          <w:lang w:eastAsia="en-GB"/>
        </w:rPr>
        <w:t>o</w:t>
      </w:r>
      <w:r w:rsidRPr="00CE0885">
        <w:rPr>
          <w:spacing w:val="-1"/>
          <w:lang w:eastAsia="en-GB"/>
        </w:rPr>
        <w:t>rg</w:t>
      </w:r>
      <w:r w:rsidRPr="00CE0885">
        <w:rPr>
          <w:lang w:eastAsia="en-GB"/>
        </w:rPr>
        <w:t>anisat</w:t>
      </w:r>
      <w:r w:rsidRPr="00CE0885">
        <w:rPr>
          <w:spacing w:val="-3"/>
          <w:lang w:eastAsia="en-GB"/>
        </w:rPr>
        <w:t>i</w:t>
      </w:r>
      <w:r w:rsidRPr="00CE0885">
        <w:rPr>
          <w:lang w:eastAsia="en-GB"/>
        </w:rPr>
        <w:t>on that</w:t>
      </w:r>
      <w:r w:rsidRPr="00CE0885">
        <w:rPr>
          <w:spacing w:val="-5"/>
          <w:lang w:eastAsia="en-GB"/>
        </w:rPr>
        <w:t xml:space="preserve"> </w:t>
      </w:r>
      <w:r w:rsidRPr="00CE0885">
        <w:rPr>
          <w:spacing w:val="2"/>
          <w:lang w:eastAsia="en-GB"/>
        </w:rPr>
        <w:t>m</w:t>
      </w:r>
      <w:r w:rsidRPr="00CE0885">
        <w:rPr>
          <w:spacing w:val="-1"/>
          <w:lang w:eastAsia="en-GB"/>
        </w:rPr>
        <w:t>e</w:t>
      </w:r>
      <w:r w:rsidRPr="00CE0885">
        <w:rPr>
          <w:lang w:eastAsia="en-GB"/>
        </w:rPr>
        <w:t>ets</w:t>
      </w:r>
      <w:r w:rsidRPr="00CE0885">
        <w:rPr>
          <w:spacing w:val="-7"/>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2"/>
          <w:lang w:eastAsia="en-GB"/>
        </w:rPr>
        <w:t>v</w:t>
      </w:r>
      <w:r w:rsidRPr="00CE0885">
        <w:rPr>
          <w:lang w:eastAsia="en-GB"/>
        </w:rPr>
        <w:t>ider</w:t>
      </w:r>
      <w:r w:rsidRPr="00CE0885">
        <w:rPr>
          <w:spacing w:val="-9"/>
          <w:lang w:eastAsia="en-GB"/>
        </w:rPr>
        <w:t xml:space="preserve"> </w:t>
      </w:r>
      <w:r w:rsidRPr="00CE0885">
        <w:rPr>
          <w:lang w:eastAsia="en-GB"/>
        </w:rPr>
        <w:t>condit</w:t>
      </w:r>
      <w:r w:rsidRPr="00CE0885">
        <w:rPr>
          <w:spacing w:val="-3"/>
          <w:lang w:eastAsia="en-GB"/>
        </w:rPr>
        <w:t>i</w:t>
      </w:r>
      <w:r w:rsidRPr="00CE0885">
        <w:rPr>
          <w:lang w:eastAsia="en-GB"/>
        </w:rPr>
        <w:t>ons</w:t>
      </w:r>
      <w:r w:rsidRPr="00CE0885">
        <w:rPr>
          <w:spacing w:val="-11"/>
          <w:lang w:eastAsia="en-GB"/>
        </w:rPr>
        <w:t xml:space="preserve"> </w:t>
      </w:r>
      <w:r w:rsidRPr="00CE0885">
        <w:rPr>
          <w:spacing w:val="-1"/>
          <w:lang w:eastAsia="en-GB"/>
        </w:rPr>
        <w:t>d</w:t>
      </w:r>
      <w:r w:rsidRPr="00CE0885">
        <w:rPr>
          <w:lang w:eastAsia="en-GB"/>
        </w:rPr>
        <w:t>etail</w:t>
      </w:r>
      <w:r w:rsidRPr="00CE0885">
        <w:rPr>
          <w:spacing w:val="-1"/>
          <w:lang w:eastAsia="en-GB"/>
        </w:rPr>
        <w:t>e</w:t>
      </w:r>
      <w:r w:rsidRPr="00CE0885">
        <w:rPr>
          <w:lang w:eastAsia="en-GB"/>
        </w:rPr>
        <w:t>d</w:t>
      </w:r>
      <w:r w:rsidRPr="00CE0885">
        <w:rPr>
          <w:spacing w:val="-6"/>
          <w:lang w:eastAsia="en-GB"/>
        </w:rPr>
        <w:t xml:space="preserve"> </w:t>
      </w:r>
      <w:r w:rsidRPr="00CE0885">
        <w:rPr>
          <w:lang w:eastAsia="en-GB"/>
        </w:rPr>
        <w:t>in</w:t>
      </w:r>
      <w:r w:rsidRPr="00CE0885">
        <w:rPr>
          <w:spacing w:val="-3"/>
          <w:lang w:eastAsia="en-GB"/>
        </w:rPr>
        <w:t xml:space="preserve"> the APMS </w:t>
      </w:r>
      <w:r w:rsidRPr="00CE0885">
        <w:rPr>
          <w:lang w:eastAsia="en-GB"/>
        </w:rPr>
        <w:t>Di</w:t>
      </w:r>
      <w:r w:rsidRPr="00CE0885">
        <w:rPr>
          <w:spacing w:val="-1"/>
          <w:lang w:eastAsia="en-GB"/>
        </w:rPr>
        <w:t>r</w:t>
      </w:r>
      <w:r w:rsidRPr="00CE0885">
        <w:rPr>
          <w:lang w:eastAsia="en-GB"/>
        </w:rPr>
        <w:t>ections.</w:t>
      </w:r>
      <w:bookmarkEnd w:id="735"/>
    </w:p>
    <w:p w14:paraId="03762734" w14:textId="1B90EF83" w:rsidR="00977693" w:rsidRPr="00CE0885" w:rsidRDefault="00977693" w:rsidP="006B781A">
      <w:pPr>
        <w:pStyle w:val="Heading3"/>
        <w:rPr>
          <w:lang w:eastAsia="en-GB"/>
        </w:rPr>
      </w:pPr>
      <w:bookmarkStart w:id="736" w:name="_Toc440981840"/>
      <w:r w:rsidRPr="00CE0885">
        <w:rPr>
          <w:spacing w:val="2"/>
          <w:lang w:eastAsia="en-GB"/>
        </w:rPr>
        <w:t xml:space="preserve">For further information on what types of organisations can enter into the different types of contracts </w:t>
      </w:r>
      <w:r w:rsidR="00A114DF">
        <w:rPr>
          <w:spacing w:val="2"/>
          <w:lang w:eastAsia="en-GB"/>
        </w:rPr>
        <w:t>(p</w:t>
      </w:r>
      <w:r w:rsidR="00A114DF" w:rsidRPr="00CE0885">
        <w:rPr>
          <w:lang w:eastAsia="en-GB"/>
        </w:rPr>
        <w:t xml:space="preserve">lease refer to </w:t>
      </w:r>
      <w:r w:rsidR="00A114DF">
        <w:rPr>
          <w:lang w:eastAsia="en-GB"/>
        </w:rPr>
        <w:t>the ‘Contracts Described’ chapter for further information</w:t>
      </w:r>
      <w:r w:rsidRPr="00CE0885">
        <w:rPr>
          <w:spacing w:val="2"/>
          <w:lang w:eastAsia="en-GB"/>
        </w:rPr>
        <w:t>).</w:t>
      </w:r>
      <w:bookmarkEnd w:id="736"/>
      <w:r w:rsidRPr="00CE0885">
        <w:rPr>
          <w:spacing w:val="2"/>
          <w:lang w:eastAsia="en-GB"/>
        </w:rPr>
        <w:t xml:space="preserve"> </w:t>
      </w:r>
    </w:p>
    <w:p w14:paraId="66CA9CDA" w14:textId="4A6E84CB" w:rsidR="00977693" w:rsidRPr="00CE0885" w:rsidRDefault="00977693" w:rsidP="00F82277">
      <w:pPr>
        <w:pStyle w:val="Heading3"/>
        <w:numPr>
          <w:ilvl w:val="0"/>
          <w:numId w:val="0"/>
        </w:numPr>
        <w:ind w:left="720"/>
        <w:rPr>
          <w:spacing w:val="-9"/>
          <w:lang w:eastAsia="en-GB"/>
        </w:rPr>
      </w:pPr>
    </w:p>
    <w:p w14:paraId="05F0426C" w14:textId="77777777" w:rsidR="00977693" w:rsidRPr="009055A7" w:rsidRDefault="00977693" w:rsidP="00977693">
      <w:pPr>
        <w:widowControl w:val="0"/>
        <w:spacing w:line="360" w:lineRule="auto"/>
        <w:ind w:left="1414"/>
        <w:jc w:val="both"/>
        <w:rPr>
          <w:rFonts w:cs="Arial"/>
          <w:bCs w:val="0"/>
          <w:sz w:val="20"/>
          <w:szCs w:val="20"/>
          <w:lang w:eastAsia="en-GB"/>
        </w:rPr>
      </w:pPr>
    </w:p>
    <w:p w14:paraId="5CAE180F" w14:textId="77777777" w:rsidR="00257269" w:rsidRPr="0044216C" w:rsidRDefault="00257269" w:rsidP="0044216C">
      <w:pPr>
        <w:pStyle w:val="Heading2"/>
        <w:suppressAutoHyphens/>
        <w:autoSpaceDN w:val="0"/>
        <w:textAlignment w:val="baseline"/>
        <w:rPr>
          <w:lang w:eastAsia="en-GB"/>
        </w:rPr>
      </w:pPr>
      <w:bookmarkStart w:id="737" w:name="_Toc22826966"/>
      <w:bookmarkStart w:id="738" w:name="_Toc95743454"/>
      <w:bookmarkStart w:id="739" w:name="_Toc440981842"/>
      <w:r w:rsidRPr="0044216C">
        <w:rPr>
          <w:lang w:eastAsia="en-GB"/>
        </w:rPr>
        <w:t>Contracts and Incorporation/Dis-incorporation</w:t>
      </w:r>
      <w:bookmarkEnd w:id="737"/>
      <w:bookmarkEnd w:id="738"/>
    </w:p>
    <w:p w14:paraId="1DDDDBA1" w14:textId="77777777" w:rsidR="00257269" w:rsidRPr="0044216C" w:rsidRDefault="00257269" w:rsidP="0044216C">
      <w:pPr>
        <w:rPr>
          <w:lang w:eastAsia="en-GB"/>
        </w:rPr>
      </w:pPr>
    </w:p>
    <w:p w14:paraId="633F83B5" w14:textId="27FC9C87" w:rsidR="00257269" w:rsidRPr="0044216C" w:rsidRDefault="00257269" w:rsidP="0044216C">
      <w:pPr>
        <w:pStyle w:val="Heading3"/>
        <w:suppressAutoHyphens/>
        <w:autoSpaceDN w:val="0"/>
        <w:textAlignment w:val="baseline"/>
        <w:rPr>
          <w:spacing w:val="-2"/>
          <w:lang w:eastAsia="en-GB"/>
        </w:rPr>
      </w:pPr>
      <w:r w:rsidRPr="0044216C">
        <w:rPr>
          <w:lang w:eastAsia="en-GB"/>
        </w:rPr>
        <w:t>I</w:t>
      </w:r>
      <w:r w:rsidR="00434909" w:rsidRPr="0044216C">
        <w:rPr>
          <w:lang w:eastAsia="en-GB"/>
        </w:rPr>
        <w:t>t is possible for individual GPs or partnerships holding a GMS</w:t>
      </w:r>
      <w:r w:rsidR="002870D4" w:rsidRPr="0044216C">
        <w:rPr>
          <w:lang w:eastAsia="en-GB"/>
        </w:rPr>
        <w:t xml:space="preserve">, </w:t>
      </w:r>
      <w:r w:rsidR="00434909" w:rsidRPr="0044216C">
        <w:rPr>
          <w:lang w:eastAsia="en-GB"/>
        </w:rPr>
        <w:t xml:space="preserve">PMS </w:t>
      </w:r>
      <w:r w:rsidR="002870D4" w:rsidRPr="0044216C">
        <w:rPr>
          <w:lang w:eastAsia="en-GB"/>
        </w:rPr>
        <w:t xml:space="preserve">or APMS </w:t>
      </w:r>
      <w:r w:rsidR="00434909" w:rsidRPr="0044216C">
        <w:rPr>
          <w:lang w:eastAsia="en-GB"/>
        </w:rPr>
        <w:t>contract to seek commissioner approval to operate and deliver services through a company limited by shares</w:t>
      </w:r>
      <w:r w:rsidR="006D5901" w:rsidRPr="0044216C">
        <w:rPr>
          <w:lang w:eastAsia="en-GB"/>
        </w:rPr>
        <w:t xml:space="preserve"> (</w:t>
      </w:r>
      <w:r w:rsidR="00B47850" w:rsidRPr="0044216C">
        <w:rPr>
          <w:lang w:eastAsia="en-GB"/>
        </w:rPr>
        <w:t xml:space="preserve">called </w:t>
      </w:r>
      <w:r w:rsidR="006D5901" w:rsidRPr="0044216C">
        <w:rPr>
          <w:lang w:eastAsia="en-GB"/>
        </w:rPr>
        <w:t xml:space="preserve">a “qualifying body” </w:t>
      </w:r>
      <w:r w:rsidR="00B47850" w:rsidRPr="0044216C">
        <w:rPr>
          <w:lang w:eastAsia="en-GB"/>
        </w:rPr>
        <w:t>in PMS)</w:t>
      </w:r>
      <w:r w:rsidR="00434909" w:rsidRPr="0044216C">
        <w:rPr>
          <w:lang w:eastAsia="en-GB"/>
        </w:rPr>
        <w:t xml:space="preserve"> - this process is known as “incorporation” </w:t>
      </w:r>
      <w:r w:rsidRPr="0044216C">
        <w:rPr>
          <w:lang w:eastAsia="en-GB"/>
        </w:rPr>
        <w:t xml:space="preserve">. </w:t>
      </w:r>
      <w:r w:rsidR="00B47850" w:rsidRPr="0044216C">
        <w:rPr>
          <w:lang w:eastAsia="en-GB"/>
        </w:rPr>
        <w:t xml:space="preserve"> </w:t>
      </w:r>
      <w:r w:rsidR="00B47850" w:rsidRPr="0044216C">
        <w:rPr>
          <w:spacing w:val="1"/>
          <w:lang w:eastAsia="en-GB"/>
        </w:rPr>
        <w:t xml:space="preserve">A </w:t>
      </w:r>
      <w:r w:rsidR="00B47850" w:rsidRPr="0044216C">
        <w:rPr>
          <w:lang w:eastAsia="en-GB"/>
        </w:rPr>
        <w:t>c</w:t>
      </w:r>
      <w:r w:rsidR="00B47850" w:rsidRPr="0044216C">
        <w:rPr>
          <w:spacing w:val="1"/>
          <w:lang w:eastAsia="en-GB"/>
        </w:rPr>
        <w:t>h</w:t>
      </w:r>
      <w:r w:rsidR="00B47850" w:rsidRPr="0044216C">
        <w:rPr>
          <w:spacing w:val="-1"/>
          <w:lang w:eastAsia="en-GB"/>
        </w:rPr>
        <w:t>a</w:t>
      </w:r>
      <w:r w:rsidR="00B47850" w:rsidRPr="0044216C">
        <w:rPr>
          <w:spacing w:val="1"/>
          <w:lang w:eastAsia="en-GB"/>
        </w:rPr>
        <w:t>n</w:t>
      </w:r>
      <w:r w:rsidR="00B47850" w:rsidRPr="0044216C">
        <w:rPr>
          <w:spacing w:val="-1"/>
          <w:lang w:eastAsia="en-GB"/>
        </w:rPr>
        <w:t>g</w:t>
      </w:r>
      <w:r w:rsidR="00B47850" w:rsidRPr="0044216C">
        <w:rPr>
          <w:lang w:eastAsia="en-GB"/>
        </w:rPr>
        <w:t>e</w:t>
      </w:r>
      <w:r w:rsidR="00B47850" w:rsidRPr="0044216C">
        <w:rPr>
          <w:spacing w:val="-9"/>
          <w:lang w:eastAsia="en-GB"/>
        </w:rPr>
        <w:t xml:space="preserve"> </w:t>
      </w:r>
      <w:r w:rsidR="00B47850" w:rsidRPr="0044216C">
        <w:rPr>
          <w:spacing w:val="3"/>
          <w:lang w:eastAsia="en-GB"/>
        </w:rPr>
        <w:t>f</w:t>
      </w:r>
      <w:r w:rsidR="00B47850" w:rsidRPr="0044216C">
        <w:rPr>
          <w:spacing w:val="-1"/>
          <w:lang w:eastAsia="en-GB"/>
        </w:rPr>
        <w:t>ro</w:t>
      </w:r>
      <w:r w:rsidR="00B47850" w:rsidRPr="0044216C">
        <w:rPr>
          <w:lang w:eastAsia="en-GB"/>
        </w:rPr>
        <w:t>m</w:t>
      </w:r>
      <w:r w:rsidR="00B47850" w:rsidRPr="0044216C">
        <w:rPr>
          <w:spacing w:val="-3"/>
          <w:lang w:eastAsia="en-GB"/>
        </w:rPr>
        <w:t xml:space="preserve"> </w:t>
      </w:r>
      <w:r w:rsidR="00B47850" w:rsidRPr="0044216C">
        <w:rPr>
          <w:lang w:eastAsia="en-GB"/>
        </w:rPr>
        <w:t>a</w:t>
      </w:r>
      <w:r w:rsidR="00B47850" w:rsidRPr="0044216C">
        <w:rPr>
          <w:spacing w:val="-2"/>
          <w:lang w:eastAsia="en-GB"/>
        </w:rPr>
        <w:t xml:space="preserve"> </w:t>
      </w:r>
      <w:r w:rsidR="00B47850" w:rsidRPr="0044216C">
        <w:rPr>
          <w:lang w:eastAsia="en-GB"/>
        </w:rPr>
        <w:t>si</w:t>
      </w:r>
      <w:r w:rsidR="00B47850" w:rsidRPr="0044216C">
        <w:rPr>
          <w:spacing w:val="1"/>
          <w:lang w:eastAsia="en-GB"/>
        </w:rPr>
        <w:t>n</w:t>
      </w:r>
      <w:r w:rsidR="00B47850" w:rsidRPr="0044216C">
        <w:rPr>
          <w:spacing w:val="-1"/>
          <w:lang w:eastAsia="en-GB"/>
        </w:rPr>
        <w:t>g</w:t>
      </w:r>
      <w:r w:rsidR="00B47850" w:rsidRPr="0044216C">
        <w:rPr>
          <w:lang w:eastAsia="en-GB"/>
        </w:rPr>
        <w:t>l</w:t>
      </w:r>
      <w:r w:rsidR="00B47850" w:rsidRPr="0044216C">
        <w:rPr>
          <w:spacing w:val="1"/>
          <w:lang w:eastAsia="en-GB"/>
        </w:rPr>
        <w:t>e</w:t>
      </w:r>
      <w:r w:rsidR="00B47850" w:rsidRPr="0044216C">
        <w:rPr>
          <w:spacing w:val="-1"/>
          <w:lang w:eastAsia="en-GB"/>
        </w:rPr>
        <w:t>-</w:t>
      </w:r>
      <w:r w:rsidR="00B47850" w:rsidRPr="0044216C">
        <w:rPr>
          <w:spacing w:val="1"/>
          <w:lang w:eastAsia="en-GB"/>
        </w:rPr>
        <w:t>han</w:t>
      </w:r>
      <w:r w:rsidR="00B47850" w:rsidRPr="0044216C">
        <w:rPr>
          <w:spacing w:val="-1"/>
          <w:lang w:eastAsia="en-GB"/>
        </w:rPr>
        <w:t>d</w:t>
      </w:r>
      <w:r w:rsidR="00B47850" w:rsidRPr="0044216C">
        <w:rPr>
          <w:spacing w:val="1"/>
          <w:lang w:eastAsia="en-GB"/>
        </w:rPr>
        <w:t>e</w:t>
      </w:r>
      <w:r w:rsidR="00B47850" w:rsidRPr="0044216C">
        <w:rPr>
          <w:lang w:eastAsia="en-GB"/>
        </w:rPr>
        <w:t>d</w:t>
      </w:r>
      <w:r w:rsidR="00B47850" w:rsidRPr="0044216C">
        <w:rPr>
          <w:spacing w:val="-16"/>
          <w:lang w:eastAsia="en-GB"/>
        </w:rPr>
        <w:t xml:space="preserve"> </w:t>
      </w:r>
      <w:r w:rsidR="00B47850" w:rsidRPr="0044216C">
        <w:rPr>
          <w:spacing w:val="1"/>
          <w:lang w:eastAsia="en-GB"/>
        </w:rPr>
        <w:t>o</w:t>
      </w:r>
      <w:r w:rsidR="00B47850" w:rsidRPr="0044216C">
        <w:rPr>
          <w:lang w:eastAsia="en-GB"/>
        </w:rPr>
        <w:t>r</w:t>
      </w:r>
      <w:r w:rsidR="00B47850" w:rsidRPr="0044216C">
        <w:rPr>
          <w:spacing w:val="-2"/>
          <w:lang w:eastAsia="en-GB"/>
        </w:rPr>
        <w:t xml:space="preserve"> </w:t>
      </w:r>
      <w:r w:rsidR="00B47850" w:rsidRPr="0044216C">
        <w:rPr>
          <w:spacing w:val="1"/>
          <w:lang w:eastAsia="en-GB"/>
        </w:rPr>
        <w:t>pa</w:t>
      </w:r>
      <w:r w:rsidR="00B47850" w:rsidRPr="0044216C">
        <w:rPr>
          <w:spacing w:val="-1"/>
          <w:lang w:eastAsia="en-GB"/>
        </w:rPr>
        <w:t>r</w:t>
      </w:r>
      <w:r w:rsidR="00B47850" w:rsidRPr="0044216C">
        <w:rPr>
          <w:spacing w:val="-2"/>
          <w:lang w:eastAsia="en-GB"/>
        </w:rPr>
        <w:t>t</w:t>
      </w:r>
      <w:r w:rsidR="00B47850" w:rsidRPr="0044216C">
        <w:rPr>
          <w:spacing w:val="1"/>
          <w:lang w:eastAsia="en-GB"/>
        </w:rPr>
        <w:t>ne</w:t>
      </w:r>
      <w:r w:rsidR="00B47850" w:rsidRPr="0044216C">
        <w:rPr>
          <w:spacing w:val="-1"/>
          <w:lang w:eastAsia="en-GB"/>
        </w:rPr>
        <w:t>r</w:t>
      </w:r>
      <w:r w:rsidR="00B47850" w:rsidRPr="0044216C">
        <w:rPr>
          <w:lang w:eastAsia="en-GB"/>
        </w:rPr>
        <w:t>s</w:t>
      </w:r>
      <w:r w:rsidR="00B47850" w:rsidRPr="0044216C">
        <w:rPr>
          <w:spacing w:val="1"/>
          <w:lang w:eastAsia="en-GB"/>
        </w:rPr>
        <w:t>h</w:t>
      </w:r>
      <w:r w:rsidR="00B47850" w:rsidRPr="0044216C">
        <w:rPr>
          <w:lang w:eastAsia="en-GB"/>
        </w:rPr>
        <w:t>ip c</w:t>
      </w:r>
      <w:r w:rsidR="00B47850" w:rsidRPr="0044216C">
        <w:rPr>
          <w:spacing w:val="1"/>
          <w:lang w:eastAsia="en-GB"/>
        </w:rPr>
        <w:t>ont</w:t>
      </w:r>
      <w:r w:rsidR="00B47850" w:rsidRPr="0044216C">
        <w:rPr>
          <w:spacing w:val="-1"/>
          <w:lang w:eastAsia="en-GB"/>
        </w:rPr>
        <w:t>r</w:t>
      </w:r>
      <w:r w:rsidR="00B47850" w:rsidRPr="0044216C">
        <w:rPr>
          <w:spacing w:val="1"/>
          <w:lang w:eastAsia="en-GB"/>
        </w:rPr>
        <w:t>a</w:t>
      </w:r>
      <w:r w:rsidR="00B47850" w:rsidRPr="0044216C">
        <w:rPr>
          <w:lang w:eastAsia="en-GB"/>
        </w:rPr>
        <w:t>ct</w:t>
      </w:r>
      <w:r w:rsidR="00B47850" w:rsidRPr="0044216C">
        <w:rPr>
          <w:spacing w:val="-10"/>
          <w:lang w:eastAsia="en-GB"/>
        </w:rPr>
        <w:t xml:space="preserve"> </w:t>
      </w:r>
      <w:r w:rsidR="00B47850" w:rsidRPr="0044216C">
        <w:rPr>
          <w:spacing w:val="1"/>
          <w:lang w:eastAsia="en-GB"/>
        </w:rPr>
        <w:t>t</w:t>
      </w:r>
      <w:r w:rsidR="00B47850" w:rsidRPr="0044216C">
        <w:rPr>
          <w:lang w:eastAsia="en-GB"/>
        </w:rPr>
        <w:t>o</w:t>
      </w:r>
      <w:r w:rsidR="00B47850" w:rsidRPr="0044216C">
        <w:rPr>
          <w:spacing w:val="-3"/>
          <w:lang w:eastAsia="en-GB"/>
        </w:rPr>
        <w:t xml:space="preserve"> </w:t>
      </w:r>
      <w:r w:rsidR="00B47850" w:rsidRPr="0044216C">
        <w:rPr>
          <w:lang w:eastAsia="en-GB"/>
        </w:rPr>
        <w:t>a</w:t>
      </w:r>
      <w:r w:rsidR="00B47850" w:rsidRPr="0044216C">
        <w:rPr>
          <w:spacing w:val="1"/>
          <w:lang w:eastAsia="en-GB"/>
        </w:rPr>
        <w:t xml:space="preserve"> </w:t>
      </w:r>
      <w:r w:rsidR="00B47850" w:rsidRPr="0044216C">
        <w:rPr>
          <w:lang w:eastAsia="en-GB"/>
        </w:rPr>
        <w:t>li</w:t>
      </w:r>
      <w:r w:rsidR="00B47850" w:rsidRPr="0044216C">
        <w:rPr>
          <w:spacing w:val="2"/>
          <w:lang w:eastAsia="en-GB"/>
        </w:rPr>
        <w:t>m</w:t>
      </w:r>
      <w:r w:rsidR="00B47850" w:rsidRPr="0044216C">
        <w:rPr>
          <w:lang w:eastAsia="en-GB"/>
        </w:rPr>
        <w:t>i</w:t>
      </w:r>
      <w:r w:rsidR="00B47850" w:rsidRPr="0044216C">
        <w:rPr>
          <w:spacing w:val="-2"/>
          <w:lang w:eastAsia="en-GB"/>
        </w:rPr>
        <w:t>t</w:t>
      </w:r>
      <w:r w:rsidR="00B47850" w:rsidRPr="0044216C">
        <w:rPr>
          <w:spacing w:val="1"/>
          <w:lang w:eastAsia="en-GB"/>
        </w:rPr>
        <w:t>e</w:t>
      </w:r>
      <w:r w:rsidR="00B47850" w:rsidRPr="0044216C">
        <w:rPr>
          <w:lang w:eastAsia="en-GB"/>
        </w:rPr>
        <w:t>d</w:t>
      </w:r>
      <w:r w:rsidR="00B47850" w:rsidRPr="0044216C">
        <w:rPr>
          <w:spacing w:val="-5"/>
          <w:lang w:eastAsia="en-GB"/>
        </w:rPr>
        <w:t xml:space="preserve"> </w:t>
      </w:r>
      <w:r w:rsidR="00B47850" w:rsidRPr="0044216C">
        <w:rPr>
          <w:lang w:eastAsia="en-GB"/>
        </w:rPr>
        <w:t>c</w:t>
      </w:r>
      <w:r w:rsidR="00B47850" w:rsidRPr="0044216C">
        <w:rPr>
          <w:spacing w:val="-1"/>
          <w:lang w:eastAsia="en-GB"/>
        </w:rPr>
        <w:t>o</w:t>
      </w:r>
      <w:r w:rsidR="00B47850" w:rsidRPr="0044216C">
        <w:rPr>
          <w:spacing w:val="2"/>
          <w:lang w:eastAsia="en-GB"/>
        </w:rPr>
        <w:t>m</w:t>
      </w:r>
      <w:r w:rsidR="00B47850" w:rsidRPr="0044216C">
        <w:rPr>
          <w:spacing w:val="1"/>
          <w:lang w:eastAsia="en-GB"/>
        </w:rPr>
        <w:t>p</w:t>
      </w:r>
      <w:r w:rsidR="00B47850" w:rsidRPr="0044216C">
        <w:rPr>
          <w:spacing w:val="-1"/>
          <w:lang w:eastAsia="en-GB"/>
        </w:rPr>
        <w:t>a</w:t>
      </w:r>
      <w:r w:rsidR="00B47850" w:rsidRPr="0044216C">
        <w:rPr>
          <w:spacing w:val="1"/>
          <w:lang w:eastAsia="en-GB"/>
        </w:rPr>
        <w:t>n</w:t>
      </w:r>
      <w:r w:rsidR="00B47850" w:rsidRPr="0044216C">
        <w:rPr>
          <w:lang w:eastAsia="en-GB"/>
        </w:rPr>
        <w:t>y</w:t>
      </w:r>
      <w:r w:rsidR="00B47850" w:rsidRPr="0044216C">
        <w:rPr>
          <w:spacing w:val="-12"/>
          <w:lang w:eastAsia="en-GB"/>
        </w:rPr>
        <w:t xml:space="preserve"> </w:t>
      </w:r>
      <w:r w:rsidR="00B47850" w:rsidRPr="0044216C">
        <w:rPr>
          <w:lang w:eastAsia="en-GB"/>
        </w:rPr>
        <w:t>is</w:t>
      </w:r>
      <w:r w:rsidR="00B47850" w:rsidRPr="0044216C">
        <w:rPr>
          <w:spacing w:val="-2"/>
          <w:lang w:eastAsia="en-GB"/>
        </w:rPr>
        <w:t xml:space="preserve"> a complete change of the identity of the contracting party, regardless of whether the company is owned and/or run by the original contractors.</w:t>
      </w:r>
    </w:p>
    <w:p w14:paraId="3AFAF749" w14:textId="48ED77CC" w:rsidR="00671886" w:rsidRPr="0044216C" w:rsidRDefault="00671886" w:rsidP="0044216C">
      <w:pPr>
        <w:rPr>
          <w:lang w:eastAsia="en-GB"/>
        </w:rPr>
      </w:pPr>
    </w:p>
    <w:p w14:paraId="5919A380" w14:textId="47A24FE6" w:rsidR="00671886" w:rsidRPr="0044216C" w:rsidRDefault="00671886" w:rsidP="0044216C">
      <w:pPr>
        <w:rPr>
          <w:lang w:eastAsia="en-GB"/>
        </w:rPr>
      </w:pPr>
    </w:p>
    <w:p w14:paraId="38E001B2" w14:textId="04ADED06" w:rsidR="00671886" w:rsidRPr="0044216C" w:rsidRDefault="00671886" w:rsidP="0044216C">
      <w:pPr>
        <w:rPr>
          <w:lang w:eastAsia="en-GB"/>
        </w:rPr>
      </w:pPr>
    </w:p>
    <w:p w14:paraId="1F6AAD1D" w14:textId="77777777" w:rsidR="00671886" w:rsidRPr="0044216C" w:rsidRDefault="00671886" w:rsidP="0044216C">
      <w:pPr>
        <w:rPr>
          <w:lang w:eastAsia="en-GB"/>
        </w:rPr>
      </w:pPr>
    </w:p>
    <w:p w14:paraId="5539EA75" w14:textId="77777777" w:rsidR="007E6CBD" w:rsidRPr="0044216C" w:rsidRDefault="007E6CBD" w:rsidP="0044216C">
      <w:pPr>
        <w:rPr>
          <w:lang w:eastAsia="en-GB"/>
        </w:rPr>
      </w:pPr>
    </w:p>
    <w:p w14:paraId="76255E06" w14:textId="0702EB09" w:rsidR="00257269" w:rsidRPr="0044216C" w:rsidRDefault="00257269" w:rsidP="0044216C">
      <w:pPr>
        <w:pStyle w:val="Heading3"/>
        <w:suppressAutoHyphens/>
        <w:autoSpaceDN w:val="0"/>
        <w:textAlignment w:val="baseline"/>
        <w:rPr>
          <w:lang w:eastAsia="en-GB"/>
        </w:rPr>
      </w:pPr>
      <w:r w:rsidRPr="0044216C">
        <w:rPr>
          <w:lang w:eastAsia="en-GB"/>
        </w:rPr>
        <w:t>Dis-incorporation is the same process in reverse.</w:t>
      </w:r>
    </w:p>
    <w:p w14:paraId="15FF6036" w14:textId="77777777" w:rsidR="007E6CBD" w:rsidRPr="0044216C" w:rsidRDefault="007E6CBD" w:rsidP="0044216C">
      <w:pPr>
        <w:rPr>
          <w:lang w:eastAsia="en-GB"/>
        </w:rPr>
      </w:pPr>
    </w:p>
    <w:p w14:paraId="43B63FDB" w14:textId="46E0CBFB" w:rsidR="007E6CBD" w:rsidRPr="0044216C" w:rsidRDefault="007E6CBD" w:rsidP="0044216C">
      <w:pPr>
        <w:pStyle w:val="Heading3"/>
        <w:suppressAutoHyphens/>
        <w:autoSpaceDN w:val="0"/>
        <w:textAlignment w:val="baseline"/>
        <w:rPr>
          <w:lang w:eastAsia="en-GB"/>
        </w:rPr>
      </w:pPr>
      <w:r w:rsidRPr="0044216C">
        <w:rPr>
          <w:lang w:eastAsia="en-GB"/>
        </w:rPr>
        <w:t>There is no right for a contractor to incorporate or dis-incorporate. They need agreement from the Commissioner, which does not have to be given. In reaching their approval or reject</w:t>
      </w:r>
      <w:r w:rsidR="002870D4" w:rsidRPr="0044216C">
        <w:rPr>
          <w:lang w:eastAsia="en-GB"/>
        </w:rPr>
        <w:t>ion</w:t>
      </w:r>
      <w:r w:rsidRPr="0044216C">
        <w:rPr>
          <w:lang w:eastAsia="en-GB"/>
        </w:rPr>
        <w:t xml:space="preserve"> decision, a commissioner should consider carefully the proposal including assessing the application for its benefits, for example to patients, but also the opportunities including strategic alignment with local priorities to transform services and improve care quality. A commissioner should also consider the risks.</w:t>
      </w:r>
    </w:p>
    <w:p w14:paraId="41BC7A51" w14:textId="77777777" w:rsidR="007E6CBD" w:rsidRPr="0044216C" w:rsidRDefault="007E6CBD" w:rsidP="0044216C">
      <w:pPr>
        <w:spacing w:line="360" w:lineRule="auto"/>
        <w:rPr>
          <w:lang w:eastAsia="en-GB"/>
        </w:rPr>
      </w:pPr>
    </w:p>
    <w:p w14:paraId="76AD5362" w14:textId="77777777" w:rsidR="007E6CBD" w:rsidRPr="0044216C" w:rsidRDefault="007E6CBD" w:rsidP="0044216C">
      <w:pPr>
        <w:pStyle w:val="Heading3"/>
        <w:suppressAutoHyphens/>
        <w:autoSpaceDN w:val="0"/>
        <w:textAlignment w:val="baseline"/>
        <w:rPr>
          <w:lang w:eastAsia="en-GB"/>
        </w:rPr>
      </w:pPr>
      <w:r w:rsidRPr="0044216C">
        <w:rPr>
          <w:lang w:eastAsia="en-GB"/>
        </w:rPr>
        <w:t xml:space="preserve">There are a range of incorporation scenarios that commissioners may be asked to consider. The most straightforward scenario is a request for the existing individual contractor(s) to form a company and continue to run the business themselves as the shareholders and directors of that company (or vice versa on dis-incorporation). There are also scenarios that might seek to change the nature of the contractor: </w:t>
      </w:r>
    </w:p>
    <w:p w14:paraId="7264CE42" w14:textId="77777777" w:rsidR="007E6CBD" w:rsidRPr="0044216C" w:rsidRDefault="007E6CBD" w:rsidP="006C3DF5">
      <w:pPr>
        <w:pStyle w:val="ListParagraph"/>
        <w:numPr>
          <w:ilvl w:val="0"/>
          <w:numId w:val="156"/>
        </w:numPr>
        <w:suppressAutoHyphens/>
        <w:autoSpaceDN w:val="0"/>
        <w:spacing w:line="360" w:lineRule="auto"/>
        <w:contextualSpacing w:val="0"/>
        <w:textAlignment w:val="baseline"/>
        <w:rPr>
          <w:lang w:eastAsia="en-GB"/>
        </w:rPr>
      </w:pPr>
      <w:r w:rsidRPr="0044216C">
        <w:rPr>
          <w:lang w:eastAsia="en-GB"/>
        </w:rPr>
        <w:t>a request to form or become part of a company in which one or more existing contractor(s) will hold some shares but they may not have overall control of that company – this should be carefully assessed for procurement and other risks; and</w:t>
      </w:r>
    </w:p>
    <w:p w14:paraId="2049BD54" w14:textId="77777777" w:rsidR="007E6CBD" w:rsidRPr="0044216C" w:rsidRDefault="007E6CBD" w:rsidP="006C3DF5">
      <w:pPr>
        <w:pStyle w:val="ListParagraph"/>
        <w:numPr>
          <w:ilvl w:val="0"/>
          <w:numId w:val="156"/>
        </w:numPr>
        <w:suppressAutoHyphens/>
        <w:autoSpaceDN w:val="0"/>
        <w:spacing w:line="360" w:lineRule="auto"/>
        <w:contextualSpacing w:val="0"/>
        <w:textAlignment w:val="baseline"/>
        <w:rPr>
          <w:lang w:eastAsia="en-GB"/>
        </w:rPr>
      </w:pPr>
      <w:r w:rsidRPr="0044216C">
        <w:rPr>
          <w:lang w:eastAsia="en-GB"/>
        </w:rPr>
        <w:t>a request to transfer the contract to an existing or new company controlled by completely separate third parties in which the existing contractor(s) hold no interest – this is a request to transfer the contract to an apparently completely unrelated third party and should be carefully assessed for procurement and other risks.</w:t>
      </w:r>
    </w:p>
    <w:p w14:paraId="47F10307" w14:textId="77777777" w:rsidR="007E6CBD" w:rsidRPr="0044216C" w:rsidRDefault="007E6CBD" w:rsidP="0044216C">
      <w:pPr>
        <w:spacing w:line="360" w:lineRule="auto"/>
        <w:ind w:left="1080"/>
        <w:rPr>
          <w:lang w:eastAsia="en-GB"/>
        </w:rPr>
      </w:pPr>
    </w:p>
    <w:p w14:paraId="040DF046" w14:textId="38FE3F3D" w:rsidR="007E6CBD" w:rsidRPr="0044216C" w:rsidRDefault="007E6CBD" w:rsidP="0044216C">
      <w:pPr>
        <w:spacing w:line="360" w:lineRule="auto"/>
        <w:ind w:left="1080"/>
        <w:rPr>
          <w:lang w:eastAsia="en-GB"/>
        </w:rPr>
      </w:pPr>
      <w:r w:rsidRPr="0044216C">
        <w:rPr>
          <w:lang w:eastAsia="en-GB"/>
        </w:rPr>
        <w:t>To note: In scenarios that include a plan to merge practices there are a further set of considerations as set out in paragraph 7.1</w:t>
      </w:r>
      <w:r w:rsidR="005223CB" w:rsidRPr="0044216C">
        <w:rPr>
          <w:lang w:eastAsia="en-GB"/>
        </w:rPr>
        <w:t>1</w:t>
      </w:r>
    </w:p>
    <w:p w14:paraId="38D6620E" w14:textId="77777777" w:rsidR="007E6CBD" w:rsidRPr="0044216C" w:rsidRDefault="007E6CBD" w:rsidP="0044216C">
      <w:pPr>
        <w:pStyle w:val="Heading3"/>
        <w:numPr>
          <w:ilvl w:val="0"/>
          <w:numId w:val="0"/>
        </w:numPr>
        <w:suppressAutoHyphens/>
        <w:autoSpaceDN w:val="0"/>
        <w:ind w:left="720"/>
        <w:textAlignment w:val="baseline"/>
        <w:rPr>
          <w:lang w:eastAsia="en-GB"/>
        </w:rPr>
      </w:pPr>
    </w:p>
    <w:p w14:paraId="3891D5DD" w14:textId="3B187549" w:rsidR="000E751A" w:rsidRPr="0044216C" w:rsidRDefault="000E751A" w:rsidP="0044216C">
      <w:pPr>
        <w:pStyle w:val="Heading3"/>
        <w:rPr>
          <w:lang w:eastAsia="en-GB"/>
        </w:rPr>
      </w:pPr>
      <w:r w:rsidRPr="0044216C">
        <w:rPr>
          <w:lang w:eastAsia="en-GB"/>
        </w:rPr>
        <w:t xml:space="preserve">A commissioner may conclude that a proposal, and the associated benefits, is worth supporting provided that there is alignment with local strategic priorities and identified risk can be mitigated and/or minimised. If so, the contract will need to </w:t>
      </w:r>
      <w:r w:rsidR="002870D4" w:rsidRPr="0044216C">
        <w:rPr>
          <w:lang w:eastAsia="en-GB"/>
        </w:rPr>
        <w:t>transfer</w:t>
      </w:r>
      <w:r w:rsidRPr="0044216C">
        <w:rPr>
          <w:lang w:eastAsia="en-GB"/>
        </w:rPr>
        <w:t xml:space="preserve"> from the old to the new contractor. A legal document called a novation agreement is used - its primary function is to change the parties to the contract. In practice, it ends the contractual relationship between the commissioner and old contractor and creates a contractual relationship between the commissioner and new contractor. The agreement must be signed by each of the three parties. (To note: signing a novation agreement counts as the award of a new contract</w:t>
      </w:r>
      <w:r w:rsidR="002870D4" w:rsidRPr="0044216C">
        <w:rPr>
          <w:lang w:eastAsia="en-GB"/>
        </w:rPr>
        <w:t xml:space="preserve"> for procurement purposes</w:t>
      </w:r>
      <w:r w:rsidRPr="0044216C">
        <w:rPr>
          <w:lang w:eastAsia="en-GB"/>
        </w:rPr>
        <w:t xml:space="preserve"> – as such there may be procurement law implications. Commissioners must also act in accordance with any procurement protocol issued by NHS England). </w:t>
      </w:r>
      <w:r w:rsidR="002870D4" w:rsidRPr="0044216C">
        <w:rPr>
          <w:lang w:eastAsia="en-GB"/>
        </w:rPr>
        <w:t>A contract variation cannot be used in place of a novation agreement.</w:t>
      </w:r>
    </w:p>
    <w:p w14:paraId="4DC654B4" w14:textId="77777777" w:rsidR="000E751A" w:rsidRPr="0044216C" w:rsidRDefault="000E751A" w:rsidP="0044216C">
      <w:pPr>
        <w:pStyle w:val="Heading3"/>
        <w:numPr>
          <w:ilvl w:val="0"/>
          <w:numId w:val="0"/>
        </w:numPr>
        <w:spacing w:line="240" w:lineRule="auto"/>
        <w:ind w:left="720"/>
        <w:rPr>
          <w:lang w:eastAsia="en-GB"/>
        </w:rPr>
      </w:pPr>
    </w:p>
    <w:p w14:paraId="23562CF9" w14:textId="1BBB5E56" w:rsidR="000E751A" w:rsidRPr="0044216C" w:rsidRDefault="000E751A" w:rsidP="0044216C">
      <w:pPr>
        <w:pStyle w:val="Heading3"/>
        <w:suppressAutoHyphens/>
        <w:autoSpaceDN w:val="0"/>
        <w:textAlignment w:val="baseline"/>
        <w:rPr>
          <w:lang w:eastAsia="en-GB"/>
        </w:rPr>
      </w:pPr>
      <w:r w:rsidRPr="0044216C">
        <w:rPr>
          <w:lang w:eastAsia="en-GB"/>
        </w:rPr>
        <w:t>The novation agreement can also capture what has been agreed at the point of novation including the nature of any controls, including pre-conditions to be satisfied, that have been placed upon the contractor.</w:t>
      </w:r>
      <w:r w:rsidR="00B47850" w:rsidRPr="0044216C">
        <w:rPr>
          <w:lang w:eastAsia="en-GB"/>
        </w:rPr>
        <w:t xml:space="preserve"> Any such provisions can be added  to the template novation agreement in Annex 17.  This is likely to require legal advice.</w:t>
      </w:r>
    </w:p>
    <w:p w14:paraId="3F9B756E" w14:textId="77777777" w:rsidR="000E751A" w:rsidRPr="0044216C" w:rsidRDefault="000E751A" w:rsidP="0044216C">
      <w:pPr>
        <w:rPr>
          <w:lang w:eastAsia="en-GB"/>
        </w:rPr>
      </w:pPr>
    </w:p>
    <w:p w14:paraId="14D6E651" w14:textId="53A88008" w:rsidR="000E751A" w:rsidRPr="0044216C" w:rsidRDefault="000E751A" w:rsidP="0044216C">
      <w:pPr>
        <w:pStyle w:val="Heading3"/>
        <w:suppressAutoHyphens/>
        <w:autoSpaceDN w:val="0"/>
        <w:textAlignment w:val="baseline"/>
        <w:rPr>
          <w:lang w:eastAsia="en-GB"/>
        </w:rPr>
      </w:pPr>
      <w:r w:rsidRPr="0044216C">
        <w:rPr>
          <w:lang w:eastAsia="en-GB"/>
        </w:rPr>
        <w:t>In</w:t>
      </w:r>
      <w:r w:rsidR="00257269" w:rsidRPr="0044216C">
        <w:rPr>
          <w:lang w:eastAsia="en-GB"/>
        </w:rPr>
        <w:t xml:space="preserve"> </w:t>
      </w:r>
      <w:r w:rsidRPr="0044216C">
        <w:rPr>
          <w:lang w:eastAsia="en-GB"/>
        </w:rPr>
        <w:t xml:space="preserve">some incorporation scenarios, it may involve a </w:t>
      </w:r>
      <w:r w:rsidR="002870D4" w:rsidRPr="0044216C">
        <w:rPr>
          <w:lang w:eastAsia="en-GB"/>
        </w:rPr>
        <w:t>contractor</w:t>
      </w:r>
      <w:r w:rsidRPr="0044216C">
        <w:rPr>
          <w:lang w:eastAsia="en-GB"/>
        </w:rPr>
        <w:t xml:space="preserve"> selling its business and as part of the sale it is transferring its contracts</w:t>
      </w:r>
      <w:r w:rsidR="002870D4" w:rsidRPr="0044216C">
        <w:rPr>
          <w:lang w:eastAsia="en-GB"/>
        </w:rPr>
        <w:t>, including its list of registered patients,</w:t>
      </w:r>
      <w:r w:rsidRPr="0044216C">
        <w:rPr>
          <w:lang w:eastAsia="en-GB"/>
        </w:rPr>
        <w:t>to the buyer. In the event the request is approved and the contract is novated, the buyer is agreeing to take over the seller’s responsibilities for performing the contract, along with any associated debts and obligations.</w:t>
      </w:r>
    </w:p>
    <w:p w14:paraId="41622503" w14:textId="77777777" w:rsidR="000E751A" w:rsidRPr="0044216C" w:rsidRDefault="000E751A" w:rsidP="0044216C">
      <w:pPr>
        <w:pStyle w:val="Heading3"/>
        <w:numPr>
          <w:ilvl w:val="0"/>
          <w:numId w:val="0"/>
        </w:numPr>
        <w:suppressAutoHyphens/>
        <w:autoSpaceDN w:val="0"/>
        <w:ind w:left="720"/>
        <w:textAlignment w:val="baseline"/>
        <w:rPr>
          <w:lang w:eastAsia="en-GB"/>
        </w:rPr>
      </w:pPr>
    </w:p>
    <w:p w14:paraId="3DE7CC05" w14:textId="77777777" w:rsidR="000E751A" w:rsidRPr="0044216C" w:rsidRDefault="000E751A" w:rsidP="0044216C">
      <w:pPr>
        <w:pStyle w:val="Heading3"/>
        <w:rPr>
          <w:lang w:eastAsia="en-GB"/>
        </w:rPr>
      </w:pPr>
      <w:r w:rsidRPr="0044216C">
        <w:rPr>
          <w:lang w:eastAsia="en-GB"/>
        </w:rPr>
        <w:t>It is anticated that GP practices operating on a PCN footprint may seek to incorporate. The drivers for this may include strengthening their collaboration with their PCN partners to deliver primary medical services, the ‘network’ contract and potentially other locally commissioned services.</w:t>
      </w:r>
    </w:p>
    <w:p w14:paraId="008AB1FD" w14:textId="77777777" w:rsidR="000E751A" w:rsidRPr="0044216C" w:rsidRDefault="000E751A" w:rsidP="0044216C">
      <w:pPr>
        <w:spacing w:line="360" w:lineRule="auto"/>
        <w:rPr>
          <w:lang w:eastAsia="en-GB"/>
        </w:rPr>
      </w:pPr>
    </w:p>
    <w:p w14:paraId="63DAE60A" w14:textId="77777777" w:rsidR="000E751A" w:rsidRPr="0044216C" w:rsidRDefault="000E751A" w:rsidP="0044216C">
      <w:pPr>
        <w:pStyle w:val="Heading3"/>
        <w:rPr>
          <w:lang w:eastAsia="en-GB"/>
        </w:rPr>
      </w:pPr>
      <w:r w:rsidRPr="0044216C">
        <w:rPr>
          <w:lang w:eastAsia="en-GB"/>
        </w:rPr>
        <w:t>Scenarios involving ‘at scale’ providers of primary medical services</w:t>
      </w:r>
      <w:r w:rsidRPr="0044216C">
        <w:rPr>
          <w:rStyle w:val="FootnoteReference"/>
          <w:lang w:eastAsia="en-GB"/>
        </w:rPr>
        <w:footnoteReference w:id="15"/>
      </w:r>
      <w:r w:rsidRPr="0044216C">
        <w:rPr>
          <w:lang w:eastAsia="en-GB"/>
        </w:rPr>
        <w:t xml:space="preserve"> would create systemically important companies if those requests are approved.</w:t>
      </w:r>
    </w:p>
    <w:p w14:paraId="63068889" w14:textId="7CE625E2" w:rsidR="000E751A" w:rsidRPr="0044216C" w:rsidRDefault="000E751A" w:rsidP="0044216C">
      <w:pPr>
        <w:pStyle w:val="Heading3"/>
        <w:numPr>
          <w:ilvl w:val="0"/>
          <w:numId w:val="0"/>
        </w:numPr>
        <w:suppressAutoHyphens/>
        <w:autoSpaceDN w:val="0"/>
        <w:textAlignment w:val="baseline"/>
        <w:rPr>
          <w:lang w:eastAsia="en-GB"/>
        </w:rPr>
      </w:pPr>
    </w:p>
    <w:p w14:paraId="24483D2C" w14:textId="77777777" w:rsidR="00434CAE" w:rsidRPr="0044216C" w:rsidRDefault="00434CAE" w:rsidP="0044216C">
      <w:pPr>
        <w:rPr>
          <w:lang w:eastAsia="en-GB"/>
        </w:rPr>
      </w:pPr>
    </w:p>
    <w:p w14:paraId="78E20CEC" w14:textId="5EF850F2" w:rsidR="000E751A" w:rsidRPr="0044216C" w:rsidRDefault="000E751A" w:rsidP="0044216C">
      <w:pPr>
        <w:pStyle w:val="Heading3"/>
        <w:rPr>
          <w:lang w:eastAsia="en-GB"/>
        </w:rPr>
      </w:pPr>
      <w:r w:rsidRPr="0044216C">
        <w:rPr>
          <w:lang w:eastAsia="en-GB"/>
        </w:rPr>
        <w:t>Incorporation toolkit</w:t>
      </w:r>
    </w:p>
    <w:p w14:paraId="27CC2D73" w14:textId="77777777" w:rsidR="00434CAE" w:rsidRPr="0044216C" w:rsidRDefault="00434CAE" w:rsidP="0044216C">
      <w:pPr>
        <w:rPr>
          <w:i/>
          <w:lang w:eastAsia="en-GB"/>
        </w:rPr>
      </w:pPr>
    </w:p>
    <w:p w14:paraId="28D49093" w14:textId="2C2F6B04" w:rsidR="00257269" w:rsidRPr="0044216C" w:rsidRDefault="00E84DDF" w:rsidP="0044216C">
      <w:pPr>
        <w:pStyle w:val="Heading3"/>
        <w:numPr>
          <w:ilvl w:val="0"/>
          <w:numId w:val="0"/>
        </w:numPr>
        <w:ind w:left="720" w:hanging="720"/>
        <w:rPr>
          <w:lang w:eastAsia="en-GB"/>
        </w:rPr>
      </w:pPr>
      <w:r w:rsidRPr="0044216C">
        <w:rPr>
          <w:lang w:eastAsia="en-GB"/>
        </w:rPr>
        <w:t xml:space="preserve">7.10.11 </w:t>
      </w:r>
      <w:r w:rsidR="00257269" w:rsidRPr="0044216C">
        <w:rPr>
          <w:lang w:eastAsia="en-GB"/>
        </w:rPr>
        <w:t>To support effective decision making in these scenarios, NHS England and Improvement ha</w:t>
      </w:r>
      <w:r w:rsidR="00980793" w:rsidRPr="0044216C">
        <w:rPr>
          <w:lang w:eastAsia="en-GB"/>
        </w:rPr>
        <w:t>s</w:t>
      </w:r>
      <w:r w:rsidR="00257269" w:rsidRPr="0044216C">
        <w:rPr>
          <w:lang w:eastAsia="en-GB"/>
        </w:rPr>
        <w:t xml:space="preserve">, in collaboration with regional and </w:t>
      </w:r>
      <w:r w:rsidR="00807549">
        <w:rPr>
          <w:lang w:eastAsia="en-GB"/>
        </w:rPr>
        <w:t xml:space="preserve">local commissioning </w:t>
      </w:r>
      <w:r w:rsidR="00257269" w:rsidRPr="0044216C">
        <w:rPr>
          <w:lang w:eastAsia="en-GB"/>
        </w:rPr>
        <w:t xml:space="preserve">colleagues, </w:t>
      </w:r>
      <w:r w:rsidR="00980793" w:rsidRPr="0044216C">
        <w:rPr>
          <w:lang w:eastAsia="en-GB"/>
        </w:rPr>
        <w:t>co-developed</w:t>
      </w:r>
      <w:r w:rsidR="00257269" w:rsidRPr="0044216C">
        <w:rPr>
          <w:lang w:eastAsia="en-GB"/>
        </w:rPr>
        <w:t xml:space="preserve"> a toolkit that includes a standardised approach for assessing the requirements and considerations set out in this chapter. The toolkit </w:t>
      </w:r>
      <w:r w:rsidR="008150D0" w:rsidRPr="0044216C">
        <w:rPr>
          <w:lang w:eastAsia="en-GB"/>
        </w:rPr>
        <w:t>includes</w:t>
      </w:r>
      <w:r w:rsidR="00257269" w:rsidRPr="0044216C">
        <w:rPr>
          <w:lang w:eastAsia="en-GB"/>
        </w:rPr>
        <w:t>:</w:t>
      </w:r>
    </w:p>
    <w:p w14:paraId="3202778C" w14:textId="0C5FCFC3" w:rsidR="00D90000" w:rsidRPr="0044216C" w:rsidRDefault="00D90000" w:rsidP="006C3DF5">
      <w:pPr>
        <w:pStyle w:val="Heading3"/>
        <w:numPr>
          <w:ilvl w:val="2"/>
          <w:numId w:val="216"/>
        </w:numPr>
        <w:tabs>
          <w:tab w:val="left" w:pos="1134"/>
        </w:tabs>
        <w:ind w:left="1134"/>
        <w:rPr>
          <w:lang w:eastAsia="en-GB"/>
        </w:rPr>
      </w:pPr>
      <w:r w:rsidRPr="0044216C">
        <w:rPr>
          <w:lang w:eastAsia="en-GB"/>
        </w:rPr>
        <w:t>A standardised assessment framework to support commissioner decision making processes</w:t>
      </w:r>
    </w:p>
    <w:p w14:paraId="56E90815" w14:textId="3DACA855" w:rsidR="00257269" w:rsidRPr="0044216C" w:rsidRDefault="00257269" w:rsidP="006C3DF5">
      <w:pPr>
        <w:pStyle w:val="Heading3"/>
        <w:numPr>
          <w:ilvl w:val="2"/>
          <w:numId w:val="216"/>
        </w:numPr>
        <w:tabs>
          <w:tab w:val="left" w:pos="1134"/>
        </w:tabs>
        <w:ind w:left="1134"/>
        <w:rPr>
          <w:lang w:eastAsia="en-GB"/>
        </w:rPr>
      </w:pPr>
      <w:r w:rsidRPr="0044216C">
        <w:rPr>
          <w:lang w:eastAsia="en-GB"/>
        </w:rPr>
        <w:t>A supporting guidance document to help commissioners apply the framework and consider essential checks and risk mitigations</w:t>
      </w:r>
      <w:r w:rsidR="00D90000" w:rsidRPr="0044216C">
        <w:rPr>
          <w:lang w:eastAsia="en-GB"/>
        </w:rPr>
        <w:t xml:space="preserve"> including for the ‘at scale’ provider of primary medical services scenarios</w:t>
      </w:r>
    </w:p>
    <w:p w14:paraId="44E7EA8A" w14:textId="23C29DD2" w:rsidR="00257269" w:rsidRPr="0044216C" w:rsidRDefault="00483699" w:rsidP="006C3DF5">
      <w:pPr>
        <w:pStyle w:val="Heading3"/>
        <w:numPr>
          <w:ilvl w:val="0"/>
          <w:numId w:val="229"/>
        </w:numPr>
        <w:tabs>
          <w:tab w:val="left" w:pos="1134"/>
        </w:tabs>
        <w:rPr>
          <w:lang w:eastAsia="en-GB"/>
        </w:rPr>
      </w:pPr>
      <w:r w:rsidRPr="0044216C">
        <w:rPr>
          <w:lang w:eastAsia="en-GB"/>
        </w:rPr>
        <w:t xml:space="preserve">      </w:t>
      </w:r>
      <w:r w:rsidR="00D90000" w:rsidRPr="0044216C">
        <w:rPr>
          <w:lang w:eastAsia="en-GB"/>
        </w:rPr>
        <w:t>An a</w:t>
      </w:r>
      <w:r w:rsidR="00257269" w:rsidRPr="0044216C">
        <w:rPr>
          <w:lang w:eastAsia="en-GB"/>
        </w:rPr>
        <w:t>pplication template for providers aligned to this framework</w:t>
      </w:r>
    </w:p>
    <w:p w14:paraId="101D92F7" w14:textId="162A51F2" w:rsidR="00257269" w:rsidRPr="0044216C" w:rsidRDefault="00257269" w:rsidP="006C3DF5">
      <w:pPr>
        <w:pStyle w:val="ListParagraph"/>
        <w:numPr>
          <w:ilvl w:val="0"/>
          <w:numId w:val="216"/>
        </w:numPr>
        <w:ind w:left="1134" w:hanging="720"/>
        <w:rPr>
          <w:lang w:eastAsia="en-GB"/>
        </w:rPr>
      </w:pPr>
      <w:r w:rsidRPr="0044216C">
        <w:rPr>
          <w:lang w:eastAsia="en-GB"/>
        </w:rPr>
        <w:t xml:space="preserve">An example </w:t>
      </w:r>
      <w:r w:rsidR="00D90000" w:rsidRPr="0044216C">
        <w:rPr>
          <w:lang w:eastAsia="en-GB"/>
        </w:rPr>
        <w:t>due diligence</w:t>
      </w:r>
      <w:r w:rsidRPr="0044216C">
        <w:rPr>
          <w:lang w:eastAsia="en-GB"/>
        </w:rPr>
        <w:t xml:space="preserve"> procedure that </w:t>
      </w:r>
      <w:r w:rsidR="00B83042">
        <w:rPr>
          <w:lang w:eastAsia="en-GB"/>
        </w:rPr>
        <w:t>CCGs/ICBs</w:t>
      </w:r>
      <w:r w:rsidR="008B199F" w:rsidRPr="0044216C">
        <w:rPr>
          <w:lang w:eastAsia="en-GB"/>
        </w:rPr>
        <w:t xml:space="preserve"> </w:t>
      </w:r>
      <w:r w:rsidR="00D90000" w:rsidRPr="0044216C">
        <w:rPr>
          <w:lang w:eastAsia="en-GB"/>
        </w:rPr>
        <w:t>can adapt</w:t>
      </w:r>
      <w:r w:rsidRPr="0044216C">
        <w:rPr>
          <w:lang w:eastAsia="en-GB"/>
        </w:rPr>
        <w:t xml:space="preserve"> </w:t>
      </w:r>
      <w:r w:rsidR="00D90000" w:rsidRPr="0044216C">
        <w:rPr>
          <w:lang w:eastAsia="en-GB"/>
        </w:rPr>
        <w:t>and tailor according to local arrangements</w:t>
      </w:r>
      <w:r w:rsidR="008150D0" w:rsidRPr="0044216C">
        <w:rPr>
          <w:lang w:eastAsia="en-GB"/>
        </w:rPr>
        <w:t>.</w:t>
      </w:r>
    </w:p>
    <w:p w14:paraId="4AAB5942" w14:textId="77777777" w:rsidR="00257269" w:rsidRPr="0044216C" w:rsidRDefault="00257269" w:rsidP="00E64FF9">
      <w:pPr>
        <w:pStyle w:val="Heading3"/>
        <w:numPr>
          <w:ilvl w:val="0"/>
          <w:numId w:val="0"/>
        </w:numPr>
        <w:ind w:left="720" w:hanging="720"/>
        <w:rPr>
          <w:lang w:eastAsia="en-GB"/>
        </w:rPr>
      </w:pPr>
    </w:p>
    <w:p w14:paraId="6513E453" w14:textId="791B4D4E" w:rsidR="00D90000" w:rsidRPr="0044216C" w:rsidRDefault="00D90000" w:rsidP="007309BD">
      <w:pPr>
        <w:pStyle w:val="Heading3"/>
        <w:numPr>
          <w:ilvl w:val="0"/>
          <w:numId w:val="0"/>
        </w:numPr>
        <w:ind w:left="720" w:hanging="720"/>
        <w:rPr>
          <w:lang w:eastAsia="en-GB"/>
        </w:rPr>
      </w:pPr>
      <w:r w:rsidRPr="0044216C">
        <w:rPr>
          <w:lang w:eastAsia="en-GB"/>
        </w:rPr>
        <w:t>7.10.1</w:t>
      </w:r>
      <w:r w:rsidR="00E84DDF" w:rsidRPr="0044216C">
        <w:rPr>
          <w:lang w:eastAsia="en-GB"/>
        </w:rPr>
        <w:t>2</w:t>
      </w:r>
      <w:r w:rsidR="00483699" w:rsidRPr="0044216C">
        <w:rPr>
          <w:lang w:eastAsia="en-GB"/>
        </w:rPr>
        <w:t xml:space="preserve"> </w:t>
      </w:r>
      <w:r w:rsidRPr="0044216C">
        <w:rPr>
          <w:lang w:eastAsia="en-GB"/>
        </w:rPr>
        <w:t>The objective of that toolkit is to support commissioners to:</w:t>
      </w:r>
    </w:p>
    <w:p w14:paraId="472B3751" w14:textId="47655F34" w:rsidR="00D90000" w:rsidRPr="0044216C" w:rsidRDefault="00D90000" w:rsidP="006C3DF5">
      <w:pPr>
        <w:pStyle w:val="Heading3"/>
        <w:numPr>
          <w:ilvl w:val="0"/>
          <w:numId w:val="222"/>
        </w:numPr>
        <w:ind w:hanging="720"/>
        <w:rPr>
          <w:lang w:eastAsia="en-GB"/>
        </w:rPr>
      </w:pPr>
      <w:r w:rsidRPr="0044216C">
        <w:rPr>
          <w:lang w:eastAsia="en-GB"/>
        </w:rPr>
        <w:t>undertake their due diligence in a structured and consistent way including a standardised approach for assessing the requirements and considerations set out in this chapter;</w:t>
      </w:r>
    </w:p>
    <w:p w14:paraId="5FF5FF3B" w14:textId="512EA255" w:rsidR="00D90000" w:rsidRPr="0044216C" w:rsidRDefault="00D90000" w:rsidP="006C3DF5">
      <w:pPr>
        <w:pStyle w:val="Heading3"/>
        <w:numPr>
          <w:ilvl w:val="0"/>
          <w:numId w:val="222"/>
        </w:numPr>
        <w:ind w:hanging="720"/>
        <w:rPr>
          <w:lang w:eastAsia="en-GB"/>
        </w:rPr>
      </w:pPr>
      <w:r w:rsidRPr="0044216C">
        <w:rPr>
          <w:lang w:eastAsia="en-GB"/>
        </w:rPr>
        <w:t xml:space="preserve">reach an approval or rejection decision based on assessed levels of risk; and </w:t>
      </w:r>
    </w:p>
    <w:p w14:paraId="735C04EA" w14:textId="2A0D034B" w:rsidR="00D90000" w:rsidRPr="0044216C" w:rsidRDefault="00D90000" w:rsidP="006C3DF5">
      <w:pPr>
        <w:pStyle w:val="Heading3"/>
        <w:numPr>
          <w:ilvl w:val="0"/>
          <w:numId w:val="222"/>
        </w:numPr>
        <w:ind w:hanging="720"/>
        <w:rPr>
          <w:lang w:eastAsia="en-GB"/>
        </w:rPr>
      </w:pPr>
      <w:r w:rsidRPr="0044216C">
        <w:rPr>
          <w:lang w:eastAsia="en-GB"/>
        </w:rPr>
        <w:t>apply approval conditions as necessary to mitigate identified risks and issues</w:t>
      </w:r>
    </w:p>
    <w:p w14:paraId="1B5884F9" w14:textId="77777777" w:rsidR="00D90000" w:rsidRPr="0044216C" w:rsidRDefault="00D90000" w:rsidP="007309BD">
      <w:pPr>
        <w:pStyle w:val="Heading3"/>
        <w:numPr>
          <w:ilvl w:val="0"/>
          <w:numId w:val="0"/>
        </w:numPr>
        <w:ind w:left="1440" w:hanging="720"/>
        <w:rPr>
          <w:lang w:eastAsia="en-GB"/>
        </w:rPr>
      </w:pPr>
    </w:p>
    <w:p w14:paraId="2A8C0DCC" w14:textId="52CA9A0A" w:rsidR="00257269" w:rsidRPr="0044216C" w:rsidRDefault="00E84DDF" w:rsidP="007309BD">
      <w:pPr>
        <w:pStyle w:val="Heading3"/>
        <w:numPr>
          <w:ilvl w:val="0"/>
          <w:numId w:val="0"/>
        </w:numPr>
        <w:ind w:left="851" w:hanging="851"/>
        <w:rPr>
          <w:lang w:eastAsia="en-GB"/>
        </w:rPr>
      </w:pPr>
      <w:r w:rsidRPr="0044216C">
        <w:rPr>
          <w:lang w:eastAsia="en-GB"/>
        </w:rPr>
        <w:t>7.10</w:t>
      </w:r>
      <w:r w:rsidR="00164970" w:rsidRPr="0044216C">
        <w:rPr>
          <w:lang w:eastAsia="en-GB"/>
        </w:rPr>
        <w:t xml:space="preserve">.13 </w:t>
      </w:r>
      <w:r w:rsidR="00257269" w:rsidRPr="0044216C">
        <w:rPr>
          <w:lang w:eastAsia="en-GB"/>
        </w:rPr>
        <w:t xml:space="preserve">The assessment framework has been designed to be comprehensive in scope and to support commissioners to assess </w:t>
      </w:r>
      <w:r w:rsidR="009D7E38" w:rsidRPr="0044216C">
        <w:rPr>
          <w:lang w:eastAsia="en-GB"/>
        </w:rPr>
        <w:t>all</w:t>
      </w:r>
      <w:r w:rsidR="00257269" w:rsidRPr="0044216C">
        <w:rPr>
          <w:lang w:eastAsia="en-GB"/>
        </w:rPr>
        <w:t xml:space="preserve"> incorporation </w:t>
      </w:r>
      <w:r w:rsidR="009D7E38" w:rsidRPr="0044216C">
        <w:rPr>
          <w:lang w:eastAsia="en-GB"/>
        </w:rPr>
        <w:t>scenarios. The framework should be applied in full when assessing ‘complex’ or novel incorporation proposals, for example, those involving</w:t>
      </w:r>
      <w:r w:rsidR="00257269" w:rsidRPr="0044216C">
        <w:rPr>
          <w:lang w:eastAsia="en-GB"/>
        </w:rPr>
        <w:t xml:space="preserve"> ‘at scale’</w:t>
      </w:r>
      <w:r w:rsidR="009D7E38" w:rsidRPr="0044216C">
        <w:rPr>
          <w:lang w:eastAsia="en-GB"/>
        </w:rPr>
        <w:t xml:space="preserve"> providers of primary medical services</w:t>
      </w:r>
      <w:r w:rsidR="00257269" w:rsidRPr="0044216C">
        <w:rPr>
          <w:lang w:eastAsia="en-GB"/>
        </w:rPr>
        <w:t xml:space="preserve">. For more straightforward incorporation applications, commissioners should use their discretion as to whether the assessment framework should be applied in full. For all applications, Commissioners should be able to audit and justify their approval or rejection decision. </w:t>
      </w:r>
    </w:p>
    <w:p w14:paraId="6A34E94B" w14:textId="77777777" w:rsidR="00257269" w:rsidRPr="0044216C" w:rsidRDefault="00257269" w:rsidP="007309BD">
      <w:pPr>
        <w:pStyle w:val="ListParagraph"/>
        <w:rPr>
          <w:lang w:eastAsia="en-GB"/>
        </w:rPr>
      </w:pPr>
    </w:p>
    <w:p w14:paraId="1B326AC3" w14:textId="593A0D0F" w:rsidR="00257E90" w:rsidRDefault="00257269" w:rsidP="006C3DF5">
      <w:pPr>
        <w:pStyle w:val="Heading3"/>
        <w:numPr>
          <w:ilvl w:val="2"/>
          <w:numId w:val="228"/>
        </w:numPr>
        <w:ind w:left="851" w:hanging="851"/>
        <w:rPr>
          <w:lang w:eastAsia="en-GB"/>
        </w:rPr>
      </w:pPr>
      <w:r w:rsidRPr="0044216C">
        <w:rPr>
          <w:lang w:eastAsia="en-GB"/>
        </w:rPr>
        <w:t xml:space="preserve">The toolkit is intended to supplement – not replace - the considerations and guidance set out further in the remainder of thischapter. </w:t>
      </w:r>
      <w:r w:rsidR="009D7E38" w:rsidRPr="0044216C">
        <w:rPr>
          <w:lang w:eastAsia="en-GB"/>
        </w:rPr>
        <w:t xml:space="preserve">improved and refined in light of feedback from commissioners and kept under review by </w:t>
      </w:r>
      <w:r w:rsidRPr="0044216C">
        <w:rPr>
          <w:lang w:eastAsia="en-GB"/>
        </w:rPr>
        <w:t>NHS England and NHS Improvement.</w:t>
      </w:r>
    </w:p>
    <w:p w14:paraId="2313E2A0" w14:textId="3EA3EAE9" w:rsidR="00257E90" w:rsidRDefault="00257E90" w:rsidP="00257E90">
      <w:pPr>
        <w:rPr>
          <w:lang w:eastAsia="en-GB"/>
        </w:rPr>
      </w:pPr>
    </w:p>
    <w:p w14:paraId="3177BE51" w14:textId="77777777" w:rsidR="00257E90" w:rsidRPr="00257E90" w:rsidRDefault="00257E90" w:rsidP="00257E90">
      <w:pPr>
        <w:rPr>
          <w:lang w:eastAsia="en-GB"/>
        </w:rPr>
      </w:pPr>
    </w:p>
    <w:p w14:paraId="20BA839B" w14:textId="04DC6843" w:rsidR="00BE77BF" w:rsidRPr="0044216C" w:rsidRDefault="00BE77BF" w:rsidP="006C3DF5">
      <w:pPr>
        <w:pStyle w:val="Heading3"/>
        <w:numPr>
          <w:ilvl w:val="2"/>
          <w:numId w:val="228"/>
        </w:numPr>
        <w:rPr>
          <w:b/>
          <w:bCs w:val="0"/>
          <w:lang w:eastAsia="en-GB"/>
        </w:rPr>
      </w:pPr>
      <w:r w:rsidRPr="0044216C">
        <w:rPr>
          <w:b/>
          <w:bCs w:val="0"/>
          <w:lang w:eastAsia="en-GB"/>
        </w:rPr>
        <w:t>Annexes</w:t>
      </w:r>
    </w:p>
    <w:p w14:paraId="2D4C0DEB" w14:textId="77777777" w:rsidR="00BE77BF" w:rsidRPr="0044216C" w:rsidRDefault="00BE77BF" w:rsidP="007309BD">
      <w:pPr>
        <w:rPr>
          <w:b/>
          <w:bCs w:val="0"/>
          <w:lang w:eastAsia="en-GB"/>
        </w:rPr>
      </w:pPr>
    </w:p>
    <w:p w14:paraId="4A5E08FF" w14:textId="3D7C9C7B" w:rsidR="00BE77BF" w:rsidRPr="0044216C" w:rsidRDefault="00257E90" w:rsidP="007309BD">
      <w:pPr>
        <w:rPr>
          <w:lang w:eastAsia="en-GB"/>
        </w:rPr>
      </w:pPr>
      <w:bookmarkStart w:id="740" w:name="_Hlk53404804"/>
      <w:r>
        <w:rPr>
          <w:lang w:eastAsia="en-GB"/>
        </w:rPr>
        <w:t>8</w:t>
      </w:r>
      <w:r w:rsidR="00522755" w:rsidRPr="0044216C">
        <w:rPr>
          <w:lang w:eastAsia="en-GB"/>
        </w:rPr>
        <w:t>.10.15.1 Annex 1 The Common Assessment Framework for Incorporation requests: Support and Guide</w:t>
      </w:r>
      <w:r w:rsidR="00BE77BF" w:rsidRPr="0044216C">
        <w:rPr>
          <w:lang w:eastAsia="en-GB"/>
        </w:rPr>
        <w:t xml:space="preserve"> </w:t>
      </w:r>
    </w:p>
    <w:bookmarkEnd w:id="740"/>
    <w:p w14:paraId="58E5C329" w14:textId="017CD60A" w:rsidR="00BE77BF" w:rsidRPr="0044216C" w:rsidRDefault="00BE77BF" w:rsidP="007309BD">
      <w:pPr>
        <w:ind w:left="720"/>
        <w:rPr>
          <w:lang w:eastAsia="en-GB"/>
        </w:rPr>
      </w:pPr>
    </w:p>
    <w:p w14:paraId="2D2BDE74" w14:textId="78E133B2" w:rsidR="00BE77BF" w:rsidRPr="0044216C" w:rsidRDefault="000B57EE" w:rsidP="0044216C">
      <w:pPr>
        <w:ind w:left="720"/>
        <w:rPr>
          <w:lang w:eastAsia="en-GB"/>
        </w:rPr>
      </w:pPr>
      <w:hyperlink r:id="rId111" w:history="1">
        <w:r w:rsidR="00522755" w:rsidRPr="0044216C">
          <w:rPr>
            <w:rStyle w:val="Hyperlink"/>
            <w:lang w:eastAsia="en-GB"/>
          </w:rPr>
          <w:t>The Common Assessment Framework for Incorporation requests: Support and Guide</w:t>
        </w:r>
      </w:hyperlink>
    </w:p>
    <w:p w14:paraId="6BBD9495" w14:textId="1F7ED717" w:rsidR="00BE77BF" w:rsidRPr="0044216C" w:rsidRDefault="00BE77BF" w:rsidP="0044216C">
      <w:pPr>
        <w:ind w:left="720"/>
      </w:pPr>
    </w:p>
    <w:p w14:paraId="58CFACB1" w14:textId="77777777" w:rsidR="00BE77BF" w:rsidRPr="0044216C" w:rsidRDefault="00BE77BF" w:rsidP="0044216C">
      <w:pPr>
        <w:ind w:left="720"/>
      </w:pPr>
    </w:p>
    <w:p w14:paraId="7A3E6FA3" w14:textId="3A1D5AE6" w:rsidR="00BE77BF" w:rsidRPr="0044216C" w:rsidRDefault="00257E90" w:rsidP="0044216C">
      <w:bookmarkStart w:id="741" w:name="_Hlk53404916"/>
      <w:r>
        <w:t>8</w:t>
      </w:r>
      <w:r w:rsidR="00BE77BF" w:rsidRPr="0044216C">
        <w:t xml:space="preserve">.10.15.2 Annex 2 Acknowledgement of requests to incoroporate and incorporation Application – Template and Guide </w:t>
      </w:r>
    </w:p>
    <w:bookmarkEnd w:id="741"/>
    <w:p w14:paraId="7235A43F" w14:textId="7A87AEF9" w:rsidR="00BE77BF" w:rsidRPr="0044216C" w:rsidRDefault="00BE77BF" w:rsidP="0044216C">
      <w:pPr>
        <w:ind w:left="720"/>
        <w:rPr>
          <w:lang w:eastAsia="en-GB"/>
        </w:rPr>
      </w:pPr>
    </w:p>
    <w:p w14:paraId="425077AD" w14:textId="3951B63D" w:rsidR="00BE77BF" w:rsidRPr="0044216C" w:rsidRDefault="000B57EE" w:rsidP="0044216C">
      <w:pPr>
        <w:ind w:left="720"/>
      </w:pPr>
      <w:hyperlink r:id="rId112" w:history="1">
        <w:r w:rsidR="004C07D3" w:rsidRPr="0044216C">
          <w:rPr>
            <w:rStyle w:val="Hyperlink"/>
          </w:rPr>
          <w:t>Acknowledgement of requests to incorporate and Incorporation Application – Template and Guide</w:t>
        </w:r>
      </w:hyperlink>
    </w:p>
    <w:p w14:paraId="33FD27FB" w14:textId="77777777" w:rsidR="00BE77BF" w:rsidRPr="0044216C" w:rsidRDefault="00BE77BF" w:rsidP="0044216C">
      <w:pPr>
        <w:ind w:left="720"/>
      </w:pPr>
    </w:p>
    <w:p w14:paraId="59FCA7DA" w14:textId="6016EC40" w:rsidR="00BE77BF" w:rsidRPr="0044216C" w:rsidRDefault="00257E90" w:rsidP="0044216C">
      <w:bookmarkStart w:id="742" w:name="_Hlk53405059"/>
      <w:r>
        <w:t>8</w:t>
      </w:r>
      <w:r w:rsidR="00BE77BF" w:rsidRPr="0044216C">
        <w:t>.10.15.3 Annex 3 Assessment Framework</w:t>
      </w:r>
    </w:p>
    <w:p w14:paraId="4DF28349" w14:textId="4E97145A" w:rsidR="00522755" w:rsidRPr="0044216C" w:rsidRDefault="00522755" w:rsidP="0044216C"/>
    <w:p w14:paraId="14F4A374" w14:textId="77714CCD" w:rsidR="00522755" w:rsidRPr="0044216C" w:rsidRDefault="00522755" w:rsidP="0044216C">
      <w:r w:rsidRPr="0044216C">
        <w:tab/>
      </w:r>
      <w:r w:rsidRPr="0044216C">
        <w:tab/>
      </w:r>
      <w:hyperlink r:id="rId113" w:history="1">
        <w:r w:rsidRPr="0044216C">
          <w:rPr>
            <w:rStyle w:val="Hyperlink"/>
          </w:rPr>
          <w:t xml:space="preserve">Assessment </w:t>
        </w:r>
        <w:r w:rsidR="004C07D3" w:rsidRPr="0044216C">
          <w:rPr>
            <w:rStyle w:val="Hyperlink"/>
          </w:rPr>
          <w:t>Framework</w:t>
        </w:r>
      </w:hyperlink>
    </w:p>
    <w:bookmarkEnd w:id="742"/>
    <w:p w14:paraId="07BAD7E7" w14:textId="25F95CE3" w:rsidR="00BE77BF" w:rsidRPr="0044216C" w:rsidRDefault="00BE77BF" w:rsidP="0044216C"/>
    <w:p w14:paraId="6A6D2B22" w14:textId="702966A2" w:rsidR="00BE77BF" w:rsidRPr="0044216C" w:rsidRDefault="00483699" w:rsidP="0044216C">
      <w:r w:rsidRPr="0044216C">
        <w:tab/>
      </w:r>
    </w:p>
    <w:p w14:paraId="7890324D" w14:textId="5BF27D1B" w:rsidR="00BE77BF" w:rsidRPr="0044216C" w:rsidRDefault="00483699" w:rsidP="00C84965">
      <w:pPr>
        <w:rPr>
          <w:lang w:eastAsia="en-GB"/>
        </w:rPr>
      </w:pPr>
      <w:r w:rsidRPr="0044216C">
        <w:rPr>
          <w:lang w:eastAsia="en-GB"/>
        </w:rPr>
        <w:tab/>
      </w:r>
    </w:p>
    <w:p w14:paraId="390BEF20" w14:textId="77777777" w:rsidR="00866CA7" w:rsidRPr="0044216C" w:rsidRDefault="00866CA7" w:rsidP="0044216C">
      <w:pPr>
        <w:rPr>
          <w:lang w:eastAsia="en-GB"/>
        </w:rPr>
      </w:pPr>
    </w:p>
    <w:p w14:paraId="34E309E0" w14:textId="77777777" w:rsidR="004A5814" w:rsidRDefault="00507C55" w:rsidP="0044216C">
      <w:pPr>
        <w:rPr>
          <w:b/>
        </w:rPr>
      </w:pPr>
      <w:r w:rsidRPr="0044216C">
        <w:rPr>
          <w:b/>
        </w:rPr>
        <w:t>Procurement considerations</w:t>
      </w:r>
    </w:p>
    <w:p w14:paraId="649A060A" w14:textId="77777777" w:rsidR="004A5814" w:rsidRDefault="004A5814" w:rsidP="004A5814">
      <w:pPr>
        <w:pStyle w:val="Heading3"/>
        <w:numPr>
          <w:ilvl w:val="0"/>
          <w:numId w:val="0"/>
        </w:numPr>
        <w:rPr>
          <w:sz w:val="22"/>
          <w:szCs w:val="24"/>
        </w:rPr>
      </w:pPr>
    </w:p>
    <w:p w14:paraId="27328093" w14:textId="4A03FC8B" w:rsidR="00507C55" w:rsidRPr="0044216C" w:rsidRDefault="004A5814" w:rsidP="0038763E">
      <w:pPr>
        <w:pStyle w:val="Heading3"/>
        <w:numPr>
          <w:ilvl w:val="0"/>
          <w:numId w:val="0"/>
        </w:numPr>
        <w:rPr>
          <w:b/>
        </w:rPr>
      </w:pPr>
      <w:r w:rsidRPr="0038763E">
        <w:rPr>
          <w:sz w:val="22"/>
          <w:szCs w:val="24"/>
          <w:highlight w:val="yellow"/>
        </w:rPr>
        <w:t xml:space="preserve">Readers note: the procurement elements of this chapter are expected to be superceded in 2022/23 by the new NHS Provider Selection Regime and commissioners should </w:t>
      </w:r>
      <w:r w:rsidR="00061D5E" w:rsidRPr="0038763E">
        <w:rPr>
          <w:sz w:val="22"/>
          <w:szCs w:val="24"/>
          <w:highlight w:val="yellow"/>
        </w:rPr>
        <w:t>refer</w:t>
      </w:r>
      <w:r w:rsidRPr="0038763E">
        <w:rPr>
          <w:sz w:val="22"/>
          <w:szCs w:val="24"/>
          <w:highlight w:val="yellow"/>
        </w:rPr>
        <w:t xml:space="preserve"> to published available guidance</w:t>
      </w:r>
      <w:r w:rsidR="00061D5E" w:rsidRPr="0038763E">
        <w:rPr>
          <w:sz w:val="22"/>
          <w:szCs w:val="24"/>
          <w:highlight w:val="yellow"/>
        </w:rPr>
        <w:t xml:space="preserve"> alongside this chapter</w:t>
      </w:r>
      <w:r w:rsidRPr="00DA790E">
        <w:rPr>
          <w:sz w:val="22"/>
          <w:szCs w:val="24"/>
        </w:rPr>
        <w:t xml:space="preserve">. </w:t>
      </w:r>
    </w:p>
    <w:p w14:paraId="445B4CC5" w14:textId="6C8BF76A" w:rsidR="00DD397F" w:rsidRPr="0044216C" w:rsidRDefault="00DD397F" w:rsidP="0044216C">
      <w:pPr>
        <w:rPr>
          <w:b/>
        </w:rPr>
      </w:pPr>
    </w:p>
    <w:p w14:paraId="577B4691" w14:textId="1C80AD96" w:rsidR="00507C55" w:rsidRPr="0044216C" w:rsidRDefault="00507C55" w:rsidP="0044216C">
      <w:pPr>
        <w:pStyle w:val="Heading3"/>
        <w:suppressAutoHyphens/>
        <w:autoSpaceDN w:val="0"/>
        <w:ind w:hanging="851"/>
        <w:textAlignment w:val="baseline"/>
      </w:pPr>
      <w:bookmarkStart w:id="743" w:name="_Ref411549259"/>
      <w:bookmarkStart w:id="744" w:name="_Toc440981849"/>
      <w:r w:rsidRPr="0044216C">
        <w:t>Contractors should be made aware that on incorporation or dis-incorporation the Commissioner could potentially decide to competitively tender any new contract in accordance with procurement law, instead of agreeing to award it to the proposed new contractor. The existing or proposed new contractor may not be successful in winning the new contract.</w:t>
      </w:r>
      <w:bookmarkEnd w:id="743"/>
      <w:bookmarkEnd w:id="744"/>
    </w:p>
    <w:p w14:paraId="6418B376" w14:textId="77777777" w:rsidR="00B412CF" w:rsidRPr="0044216C" w:rsidRDefault="00B412CF" w:rsidP="0044216C">
      <w:pPr>
        <w:ind w:hanging="851"/>
      </w:pPr>
    </w:p>
    <w:p w14:paraId="2F4F073D" w14:textId="78062693" w:rsidR="00507C55" w:rsidRPr="0044216C" w:rsidRDefault="00507C55" w:rsidP="0044216C">
      <w:pPr>
        <w:pStyle w:val="Heading3"/>
        <w:suppressAutoHyphens/>
        <w:autoSpaceDN w:val="0"/>
        <w:ind w:hanging="851"/>
        <w:textAlignment w:val="baseline"/>
      </w:pPr>
      <w:r w:rsidRPr="0044216C">
        <w:t xml:space="preserve">The Public Contracts Regulations 2015 </w:t>
      </w:r>
      <w:r w:rsidR="00257E90">
        <w:t xml:space="preserve"> </w:t>
      </w:r>
      <w:r w:rsidRPr="0044216C">
        <w:t>(PCR</w:t>
      </w:r>
      <w:r w:rsidR="00E55198" w:rsidRPr="0044216C">
        <w:t xml:space="preserve"> </w:t>
      </w:r>
      <w:r w:rsidRPr="0044216C">
        <w:t>2015) provide protection from a procurement challenge in relation to some requests for incorporation or dis-incorporation. The relevant parts of regulation 72 of the PCR 2015 provide that:</w:t>
      </w:r>
    </w:p>
    <w:p w14:paraId="05D56B7B" w14:textId="77777777" w:rsidR="00507C55" w:rsidRPr="0044216C" w:rsidRDefault="00507C55" w:rsidP="0044216C">
      <w:pPr>
        <w:spacing w:line="360" w:lineRule="auto"/>
        <w:ind w:left="720" w:hanging="851"/>
      </w:pPr>
    </w:p>
    <w:p w14:paraId="678909A0" w14:textId="77777777" w:rsidR="00507C55" w:rsidRPr="0044216C" w:rsidRDefault="00507C55" w:rsidP="0044216C">
      <w:pPr>
        <w:spacing w:line="360" w:lineRule="auto"/>
        <w:ind w:left="720"/>
      </w:pPr>
      <w:r w:rsidRPr="0044216C">
        <w:t>Contracts may be modified without a new procurement procedure where a new contractor replaces the one to which the contracting authority had initially awarded the contract as a consequence of –</w:t>
      </w:r>
    </w:p>
    <w:p w14:paraId="0F4324F5" w14:textId="77777777" w:rsidR="00507C55" w:rsidRPr="0044216C" w:rsidRDefault="00507C55" w:rsidP="006C3DF5">
      <w:pPr>
        <w:pStyle w:val="ListParagraph"/>
        <w:numPr>
          <w:ilvl w:val="0"/>
          <w:numId w:val="154"/>
        </w:numPr>
        <w:suppressAutoHyphens/>
        <w:autoSpaceDN w:val="0"/>
        <w:spacing w:line="360" w:lineRule="auto"/>
        <w:contextualSpacing w:val="0"/>
        <w:textAlignment w:val="baseline"/>
      </w:pPr>
      <w:r w:rsidRPr="0044216C">
        <w:t>an unequivocal review clause or option in conformity with the regulations (but note that the standard GMS, PMS and APMS contracts do not provide such a clause or option), or</w:t>
      </w:r>
    </w:p>
    <w:p w14:paraId="1DED78B6" w14:textId="77777777" w:rsidR="00507C55" w:rsidRPr="0044216C" w:rsidRDefault="00507C55" w:rsidP="006C3DF5">
      <w:pPr>
        <w:pStyle w:val="ListParagraph"/>
        <w:numPr>
          <w:ilvl w:val="0"/>
          <w:numId w:val="154"/>
        </w:numPr>
        <w:suppressAutoHyphens/>
        <w:autoSpaceDN w:val="0"/>
        <w:spacing w:line="360" w:lineRule="auto"/>
        <w:contextualSpacing w:val="0"/>
        <w:textAlignment w:val="baseline"/>
      </w:pPr>
      <w:r w:rsidRPr="0044216C">
        <w:t>universal or partial succession into the position of the initial contractor, following corporate restructuring, including takeover, merger, acquisition or insolvency, of another economic operator that fulfils the criteria for qualitative selection initially established, provided that this does not entail other substantial modifications to the contract and is not aimed at circumventing the application of the regulations.</w:t>
      </w:r>
    </w:p>
    <w:p w14:paraId="3A3CB050" w14:textId="77777777" w:rsidR="00507C55" w:rsidRPr="0044216C" w:rsidRDefault="00507C55" w:rsidP="0044216C"/>
    <w:p w14:paraId="4544D0DE" w14:textId="77777777" w:rsidR="00507C55" w:rsidRPr="0044216C" w:rsidRDefault="00507C55" w:rsidP="0044216C">
      <w:pPr>
        <w:pStyle w:val="Heading3"/>
        <w:suppressAutoHyphens/>
        <w:autoSpaceDN w:val="0"/>
        <w:ind w:hanging="851"/>
        <w:textAlignment w:val="baseline"/>
      </w:pPr>
      <w:r w:rsidRPr="0044216C">
        <w:t>Regulation 72 of PCR2015 goes on to confirm that a change of contractor outside of the above exemption is a change that requires a new procurement process.</w:t>
      </w:r>
    </w:p>
    <w:p w14:paraId="7C0DAC63" w14:textId="77777777" w:rsidR="00507C55" w:rsidRPr="0044216C" w:rsidRDefault="00507C55" w:rsidP="0044216C">
      <w:pPr>
        <w:pStyle w:val="Default"/>
        <w:ind w:hanging="851"/>
        <w:rPr>
          <w:color w:val="auto"/>
          <w:sz w:val="23"/>
          <w:szCs w:val="23"/>
        </w:rPr>
      </w:pPr>
    </w:p>
    <w:p w14:paraId="339B46B4" w14:textId="5FEB0688" w:rsidR="00507C55" w:rsidRPr="0044216C" w:rsidRDefault="00507C55" w:rsidP="0044216C">
      <w:pPr>
        <w:pStyle w:val="Heading3"/>
        <w:suppressAutoHyphens/>
        <w:autoSpaceDN w:val="0"/>
        <w:ind w:hanging="851"/>
        <w:textAlignment w:val="baseline"/>
      </w:pPr>
      <w:r w:rsidRPr="0044216C">
        <w:t>This means that the Commissioner should consider whether the proposed incorporation or dis-incorporation</w:t>
      </w:r>
      <w:r w:rsidR="008150D0" w:rsidRPr="0044216C">
        <w:t xml:space="preserve"> of an above-threshold contract</w:t>
      </w:r>
      <w:r w:rsidRPr="0044216C">
        <w:t xml:space="preserve"> falls within the above exemption.  If it does, there would be no requirement for a new procurement and so no risk of procurement challenge if the Commissioner agreed to the request.</w:t>
      </w:r>
    </w:p>
    <w:p w14:paraId="66F4413A" w14:textId="77777777" w:rsidR="00507C55" w:rsidRPr="0044216C" w:rsidRDefault="00507C55" w:rsidP="0044216C">
      <w:pPr>
        <w:ind w:left="720"/>
      </w:pPr>
    </w:p>
    <w:p w14:paraId="4377461B" w14:textId="77777777" w:rsidR="00507C55" w:rsidRPr="0044216C" w:rsidRDefault="00507C55" w:rsidP="0044216C">
      <w:pPr>
        <w:pStyle w:val="Default"/>
        <w:ind w:left="720"/>
        <w:rPr>
          <w:rFonts w:eastAsia="Times New Roman" w:cs="Times New Roman"/>
          <w:bCs/>
          <w:color w:val="auto"/>
          <w:szCs w:val="26"/>
        </w:rPr>
      </w:pPr>
      <w:r w:rsidRPr="0044216C">
        <w:rPr>
          <w:rFonts w:eastAsia="Times New Roman" w:cs="Times New Roman"/>
          <w:bCs/>
          <w:color w:val="auto"/>
          <w:szCs w:val="26"/>
        </w:rPr>
        <w:t xml:space="preserve">For example, if there is a change in structure from a body corporate to a partnership consisting of the directors of the body corporate then this would not require a new procurement as long as the following criteria are met: </w:t>
      </w:r>
    </w:p>
    <w:p w14:paraId="51C95333" w14:textId="77777777" w:rsidR="00507C55" w:rsidRPr="0044216C" w:rsidRDefault="00507C55" w:rsidP="0044216C">
      <w:pPr>
        <w:pStyle w:val="Default"/>
        <w:ind w:left="720"/>
      </w:pPr>
    </w:p>
    <w:p w14:paraId="338999C1" w14:textId="77777777" w:rsidR="00507C55" w:rsidRPr="0044216C" w:rsidRDefault="00507C55" w:rsidP="006C3DF5">
      <w:pPr>
        <w:pStyle w:val="Default"/>
        <w:numPr>
          <w:ilvl w:val="0"/>
          <w:numId w:val="159"/>
        </w:numPr>
        <w:rPr>
          <w:rFonts w:eastAsia="Times New Roman" w:cs="Times New Roman"/>
          <w:bCs/>
          <w:color w:val="auto"/>
          <w:szCs w:val="26"/>
        </w:rPr>
      </w:pPr>
      <w:r w:rsidRPr="0044216C">
        <w:rPr>
          <w:color w:val="auto"/>
        </w:rPr>
        <w:t xml:space="preserve">The </w:t>
      </w:r>
      <w:r w:rsidRPr="0044216C">
        <w:rPr>
          <w:rFonts w:eastAsia="Times New Roman" w:cs="Times New Roman"/>
          <w:color w:val="auto"/>
          <w:szCs w:val="26"/>
        </w:rPr>
        <w:t xml:space="preserve">new contractor fulfils the criteria for qualitative selection initially established. </w:t>
      </w:r>
    </w:p>
    <w:p w14:paraId="40DC4CDE" w14:textId="77777777" w:rsidR="00507C55" w:rsidRPr="0044216C" w:rsidRDefault="00507C55" w:rsidP="006C3DF5">
      <w:pPr>
        <w:pStyle w:val="Default"/>
        <w:numPr>
          <w:ilvl w:val="0"/>
          <w:numId w:val="159"/>
        </w:numPr>
        <w:rPr>
          <w:rFonts w:eastAsia="Times New Roman" w:cs="Times New Roman"/>
          <w:bCs/>
          <w:color w:val="auto"/>
          <w:szCs w:val="26"/>
        </w:rPr>
      </w:pPr>
      <w:r w:rsidRPr="0044216C">
        <w:rPr>
          <w:rFonts w:eastAsia="Times New Roman" w:cs="Times New Roman"/>
          <w:color w:val="auto"/>
          <w:szCs w:val="26"/>
        </w:rPr>
        <w:t xml:space="preserve">The change does not entail other substantial modifications to the contract. </w:t>
      </w:r>
    </w:p>
    <w:p w14:paraId="5E7DACA0" w14:textId="77777777" w:rsidR="00507C55" w:rsidRPr="0044216C" w:rsidRDefault="00507C55" w:rsidP="006C3DF5">
      <w:pPr>
        <w:pStyle w:val="Default"/>
        <w:numPr>
          <w:ilvl w:val="0"/>
          <w:numId w:val="159"/>
        </w:numPr>
        <w:rPr>
          <w:rFonts w:eastAsia="Times New Roman" w:cs="Times New Roman"/>
          <w:bCs/>
          <w:color w:val="auto"/>
          <w:szCs w:val="26"/>
        </w:rPr>
      </w:pPr>
      <w:r w:rsidRPr="0044216C">
        <w:rPr>
          <w:rFonts w:eastAsia="Times New Roman" w:cs="Times New Roman"/>
          <w:color w:val="auto"/>
          <w:szCs w:val="26"/>
        </w:rPr>
        <w:t>The change is not aimed at circumventing the application of the Regulations.</w:t>
      </w:r>
    </w:p>
    <w:p w14:paraId="16545703" w14:textId="77777777" w:rsidR="00507C55" w:rsidRPr="0044216C" w:rsidRDefault="00507C55" w:rsidP="006C3DF5">
      <w:pPr>
        <w:numPr>
          <w:ilvl w:val="0"/>
          <w:numId w:val="158"/>
        </w:numPr>
        <w:autoSpaceDE w:val="0"/>
        <w:autoSpaceDN w:val="0"/>
        <w:adjustRightInd w:val="0"/>
        <w:rPr>
          <w:rFonts w:eastAsia="Calibri"/>
          <w:color w:val="000000"/>
          <w:sz w:val="23"/>
        </w:rPr>
      </w:pPr>
    </w:p>
    <w:p w14:paraId="3C9ABC3F" w14:textId="77777777" w:rsidR="00507C55" w:rsidRPr="0044216C" w:rsidRDefault="00507C55" w:rsidP="0044216C">
      <w:pPr>
        <w:pStyle w:val="Heading3"/>
        <w:suppressAutoHyphens/>
        <w:autoSpaceDN w:val="0"/>
        <w:ind w:left="851" w:hanging="851"/>
        <w:textAlignment w:val="baseline"/>
      </w:pPr>
      <w:r w:rsidRPr="0044216C">
        <w:t>It is important to be aware that the procurement exemption described above covers only a change to the contractor party.  It does not allow for other substantial changes to be made to the contract on novation.  Among other things, extension of the scope of the contract, or altering the economic balance in favour of the contractor, are things which usually require a new procurement, unless they fall within a particular exemption in the PCR2015.  This means that in agreeing a change of contractor, the Commissioner should not ordinarily agree any significant changes to the contract in favour of the contractor.</w:t>
      </w:r>
    </w:p>
    <w:p w14:paraId="17349288" w14:textId="7159BE74" w:rsidR="00507C55" w:rsidRPr="0044216C" w:rsidRDefault="00507C55" w:rsidP="0044216C">
      <w:pPr>
        <w:pStyle w:val="Heading3"/>
        <w:suppressAutoHyphens/>
        <w:autoSpaceDN w:val="0"/>
        <w:ind w:left="851" w:hanging="851"/>
        <w:textAlignment w:val="baseline"/>
      </w:pPr>
      <w:bookmarkStart w:id="745" w:name="_Toc440981850"/>
      <w:r w:rsidRPr="0044216C">
        <w:t>The contractor may be unwilling to relinquish its original contract, unless it receives assurances from the Commissioner that the Commissioner will commission an equivalent (or mutually agreed) level of activity from the proposed new contractor under the new contract. As set out below, there are factors that the Commissioner should consider before providing any such assurance</w:t>
      </w:r>
      <w:bookmarkEnd w:id="745"/>
      <w:r w:rsidRPr="0044216C">
        <w:t xml:space="preserve"> or agreeing to a contract novation.</w:t>
      </w:r>
    </w:p>
    <w:p w14:paraId="56E6367C" w14:textId="77777777" w:rsidR="00507C55" w:rsidRPr="0044216C" w:rsidRDefault="00507C55" w:rsidP="0044216C">
      <w:pPr>
        <w:pStyle w:val="BodyText"/>
      </w:pPr>
    </w:p>
    <w:p w14:paraId="58C50D09" w14:textId="77777777" w:rsidR="00507C55" w:rsidRPr="0044216C" w:rsidRDefault="00507C55" w:rsidP="0044216C">
      <w:pPr>
        <w:pStyle w:val="BodyText"/>
        <w:rPr>
          <w:b/>
        </w:rPr>
      </w:pPr>
      <w:bookmarkStart w:id="746" w:name="_Toc440981851"/>
      <w:r w:rsidRPr="0044216C">
        <w:rPr>
          <w:b/>
          <w:sz w:val="24"/>
        </w:rPr>
        <w:t>Managing a request for Incorporation or Dis-incorporation</w:t>
      </w:r>
      <w:bookmarkEnd w:id="746"/>
    </w:p>
    <w:p w14:paraId="1A91F1E1" w14:textId="20AC9382" w:rsidR="00507C55" w:rsidRPr="0044216C" w:rsidRDefault="00507C55" w:rsidP="0044216C">
      <w:pPr>
        <w:pStyle w:val="Heading3"/>
        <w:suppressAutoHyphens/>
        <w:autoSpaceDN w:val="0"/>
        <w:ind w:hanging="851"/>
        <w:textAlignment w:val="baseline"/>
        <w:rPr>
          <w:lang w:eastAsia="en-GB"/>
        </w:rPr>
      </w:pPr>
      <w:bookmarkStart w:id="747" w:name="_Toc440981852"/>
      <w:r w:rsidRPr="0044216C">
        <w:rPr>
          <w:lang w:eastAsia="en-GB"/>
        </w:rPr>
        <w:t>On receipt of a request from a contractor to incorporate or dis-incorporate, the process below should be followed.</w:t>
      </w:r>
      <w:bookmarkEnd w:id="747"/>
    </w:p>
    <w:p w14:paraId="6BF915E2" w14:textId="17A3B912" w:rsidR="00507C55" w:rsidRPr="0044216C" w:rsidRDefault="00507C55" w:rsidP="0044216C">
      <w:pPr>
        <w:pStyle w:val="Heading4"/>
        <w:suppressAutoHyphens/>
        <w:autoSpaceDN w:val="0"/>
        <w:spacing w:before="0"/>
        <w:ind w:left="851" w:hanging="851"/>
        <w:textAlignment w:val="baseline"/>
      </w:pPr>
      <w:bookmarkStart w:id="748" w:name="_Toc440981853"/>
      <w:r w:rsidRPr="0044216C">
        <w:t>the Commissioner should acknowledge the request and send the contractor an assessment template. A letter and the assessment template for incorporation are provided in Annex 7 with a form for internal Commissioner use provided in Annex 8. A letter and assessment template for dis-incorporation is provided in Annex 9.</w:t>
      </w:r>
      <w:bookmarkEnd w:id="748"/>
    </w:p>
    <w:p w14:paraId="4DC97470" w14:textId="1872B3DD" w:rsidR="00507C55" w:rsidRPr="0044216C" w:rsidRDefault="00507C55" w:rsidP="0044216C">
      <w:pPr>
        <w:pStyle w:val="Heading4"/>
        <w:suppressAutoHyphens/>
        <w:autoSpaceDN w:val="0"/>
        <w:spacing w:before="0"/>
        <w:ind w:left="851" w:hanging="851"/>
        <w:textAlignment w:val="baseline"/>
      </w:pPr>
      <w:bookmarkStart w:id="749" w:name="_Toc440981854"/>
      <w:r w:rsidRPr="0044216C">
        <w:t xml:space="preserve">the Commissioner should make the contractor aware of the potential implications of the incorporation or dis-incorporation as outlined in paragraph </w:t>
      </w:r>
      <w:r w:rsidR="000B57EE">
        <w:fldChar w:fldCharType="begin"/>
      </w:r>
      <w:r w:rsidR="000B57EE">
        <w:instrText xml:space="preserve"> REF _Ref411549259  \* MERGEFORMAT </w:instrText>
      </w:r>
      <w:r w:rsidR="000B57EE">
        <w:fldChar w:fldCharType="separate"/>
      </w:r>
      <w:r w:rsidR="00B412CF" w:rsidRPr="0044216C">
        <w:t>including</w:t>
      </w:r>
      <w:r w:rsidR="00054166" w:rsidRPr="0044216C">
        <w:t xml:space="preserve"> that on incorporation or dis-incorporation the Commissioner could potentially decide to competitively tender any new contract in accordance with procurement law, instead of agreeing to award it to the proposed new contractor. The existing or proposed new contractor may not be successful in winning the new contract.</w:t>
      </w:r>
      <w:r w:rsidR="000B57EE">
        <w:fldChar w:fldCharType="end"/>
      </w:r>
      <w:bookmarkEnd w:id="749"/>
    </w:p>
    <w:p w14:paraId="4484D7E9" w14:textId="3B76FA42" w:rsidR="00507C55" w:rsidRPr="0044216C" w:rsidRDefault="00386E7B" w:rsidP="0044216C">
      <w:pPr>
        <w:pStyle w:val="Heading4"/>
        <w:suppressAutoHyphens/>
        <w:autoSpaceDN w:val="0"/>
        <w:spacing w:before="0"/>
        <w:ind w:left="851" w:hanging="851"/>
        <w:textAlignment w:val="baseline"/>
      </w:pPr>
      <w:bookmarkStart w:id="750" w:name="_Toc440981855"/>
      <w:r w:rsidRPr="0044216C">
        <w:t>O</w:t>
      </w:r>
      <w:r w:rsidR="00507C55" w:rsidRPr="0044216C">
        <w:t xml:space="preserve">n receipt of the information, the Commissioner should review the </w:t>
      </w:r>
      <w:r w:rsidRPr="0044216C">
        <w:t xml:space="preserve">application using the toolkit </w:t>
      </w:r>
      <w:r w:rsidR="00507C55" w:rsidRPr="0044216C">
        <w:t>and decide whether or not to agree the request.</w:t>
      </w:r>
      <w:bookmarkEnd w:id="750"/>
    </w:p>
    <w:p w14:paraId="52973F1A" w14:textId="77777777" w:rsidR="00386E7B" w:rsidRPr="0044216C" w:rsidRDefault="00386E7B" w:rsidP="00E64FF9">
      <w:pPr>
        <w:ind w:hanging="851"/>
        <w:rPr>
          <w:lang w:eastAsia="en-GB"/>
        </w:rPr>
      </w:pPr>
    </w:p>
    <w:p w14:paraId="375BDCB6" w14:textId="0F5CB41F" w:rsidR="00507C55" w:rsidRPr="0044216C" w:rsidRDefault="00507C55" w:rsidP="00E64FF9">
      <w:pPr>
        <w:pStyle w:val="Heading3"/>
        <w:suppressAutoHyphens/>
        <w:autoSpaceDN w:val="0"/>
        <w:textAlignment w:val="baseline"/>
        <w:rPr>
          <w:lang w:eastAsia="en-GB"/>
        </w:rPr>
      </w:pPr>
      <w:bookmarkStart w:id="751" w:name="_Toc440981856"/>
      <w:r w:rsidRPr="0044216C">
        <w:rPr>
          <w:rFonts w:eastAsia="MS Mincho"/>
          <w:lang w:eastAsia="en-GB"/>
        </w:rPr>
        <w:t xml:space="preserve">The Commissioner should first consider whether the proposed new contractor is eligible to enter into the contract. </w:t>
      </w:r>
      <w:r w:rsidRPr="0044216C">
        <w:rPr>
          <w:lang w:eastAsia="en-GB"/>
        </w:rPr>
        <w:t>If it is not eligible, the Commissioner must refuse the request. A template letter of refusal of a request to incorporate is provided at Annex 10 and in respect of dis-incorporation at Annex 11.</w:t>
      </w:r>
      <w:bookmarkEnd w:id="751"/>
    </w:p>
    <w:p w14:paraId="7276BD69" w14:textId="77777777" w:rsidR="00386E7B" w:rsidRPr="0044216C" w:rsidRDefault="00386E7B" w:rsidP="007309BD">
      <w:pPr>
        <w:ind w:hanging="851"/>
        <w:rPr>
          <w:lang w:eastAsia="en-GB"/>
        </w:rPr>
      </w:pPr>
    </w:p>
    <w:p w14:paraId="4AF14716" w14:textId="07474DE4" w:rsidR="00386E7B" w:rsidRPr="0044216C" w:rsidRDefault="00507C55" w:rsidP="007309BD">
      <w:pPr>
        <w:pStyle w:val="Heading3"/>
        <w:suppressAutoHyphens/>
        <w:autoSpaceDN w:val="0"/>
        <w:ind w:hanging="851"/>
        <w:textAlignment w:val="baseline"/>
        <w:rPr>
          <w:lang w:eastAsia="en-GB"/>
        </w:rPr>
      </w:pPr>
      <w:bookmarkStart w:id="752" w:name="_Toc440981857"/>
      <w:r w:rsidRPr="0044216C">
        <w:rPr>
          <w:lang w:eastAsia="en-GB"/>
        </w:rPr>
        <w:t xml:space="preserve">Where the proposed contractor is eligible, the Commissioner should </w:t>
      </w:r>
      <w:r w:rsidR="00386E7B" w:rsidRPr="0044216C">
        <w:rPr>
          <w:lang w:eastAsia="en-GB"/>
        </w:rPr>
        <w:t>undertake further essential checks (including that they are satisfying their own statutory duties) and undertake a risk based assessment when assessing any request.</w:t>
      </w:r>
    </w:p>
    <w:p w14:paraId="5583D13C" w14:textId="77777777" w:rsidR="00386E7B" w:rsidRPr="0044216C" w:rsidRDefault="00386E7B" w:rsidP="007309BD">
      <w:pPr>
        <w:ind w:hanging="851"/>
        <w:rPr>
          <w:rFonts w:eastAsiaTheme="majorEastAsia"/>
          <w:lang w:eastAsia="en-GB"/>
        </w:rPr>
      </w:pPr>
    </w:p>
    <w:p w14:paraId="67E5C831" w14:textId="610427E4" w:rsidR="00386E7B" w:rsidRPr="0044216C" w:rsidRDefault="00386E7B" w:rsidP="007309BD">
      <w:pPr>
        <w:pStyle w:val="Heading3"/>
        <w:suppressAutoHyphens/>
        <w:autoSpaceDN w:val="0"/>
        <w:ind w:hanging="851"/>
        <w:textAlignment w:val="baseline"/>
        <w:rPr>
          <w:rFonts w:eastAsiaTheme="majorEastAsia"/>
        </w:rPr>
      </w:pPr>
      <w:r w:rsidRPr="0044216C">
        <w:rPr>
          <w:lang w:eastAsia="en-GB"/>
        </w:rPr>
        <w:t>These matters are outlined further in this section and detailed in the incorporation toolkit.</w:t>
      </w:r>
      <w:r w:rsidR="00507C55" w:rsidRPr="0044216C">
        <w:rPr>
          <w:lang w:eastAsia="en-GB"/>
        </w:rPr>
        <w:t xml:space="preserve"> In considering these matters, the Commissioner is required to act reasonably and in accordance with </w:t>
      </w:r>
      <w:r w:rsidR="00507C55" w:rsidRPr="0044216C">
        <w:rPr>
          <w:rStyle w:val="Heading4Char"/>
        </w:rPr>
        <w:t>public law</w:t>
      </w:r>
      <w:r w:rsidRPr="0044216C">
        <w:rPr>
          <w:rStyle w:val="Heading4Char"/>
        </w:rPr>
        <w:t xml:space="preserve"> principles.</w:t>
      </w:r>
      <w:bookmarkEnd w:id="752"/>
      <w:r w:rsidR="006D5901" w:rsidRPr="0044216C">
        <w:rPr>
          <w:rStyle w:val="Heading4Char"/>
        </w:rPr>
        <w:t xml:space="preserve"> Matter to consider include:</w:t>
      </w:r>
    </w:p>
    <w:p w14:paraId="641D745B" w14:textId="77777777" w:rsidR="00386E7B" w:rsidRPr="0044216C" w:rsidRDefault="00386E7B" w:rsidP="007309BD">
      <w:pPr>
        <w:ind w:hanging="851"/>
        <w:rPr>
          <w:rFonts w:eastAsiaTheme="majorEastAsia"/>
        </w:rPr>
      </w:pPr>
    </w:p>
    <w:p w14:paraId="18454433" w14:textId="77777777" w:rsidR="00386E7B" w:rsidRPr="0044216C" w:rsidRDefault="00386E7B" w:rsidP="007309BD">
      <w:pPr>
        <w:ind w:hanging="851"/>
        <w:rPr>
          <w:rFonts w:eastAsiaTheme="majorEastAsia"/>
        </w:rPr>
      </w:pPr>
    </w:p>
    <w:p w14:paraId="5A4C4347" w14:textId="4D5BF3B9" w:rsidR="00507C55" w:rsidRPr="0044216C" w:rsidRDefault="00507C55" w:rsidP="007309BD">
      <w:pPr>
        <w:pStyle w:val="Heading4"/>
        <w:suppressAutoHyphens/>
        <w:autoSpaceDN w:val="0"/>
        <w:textAlignment w:val="baseline"/>
      </w:pPr>
      <w:bookmarkStart w:id="753" w:name="_Toc440981858"/>
      <w:r w:rsidRPr="0044216C">
        <w:t xml:space="preserve">the Commissioner's obligations under procurement law to determine whether there is a risk of challenge in agreeing the request and whether a competitive tender process should be carried out to select any new contractor (see also </w:t>
      </w:r>
      <w:r w:rsidR="00A905A1" w:rsidRPr="0044216C">
        <w:t>procurement section above</w:t>
      </w:r>
      <w:r w:rsidRPr="0044216C">
        <w:t>);</w:t>
      </w:r>
      <w:bookmarkEnd w:id="753"/>
      <w:r w:rsidRPr="0044216C">
        <w:t xml:space="preserve">  </w:t>
      </w:r>
    </w:p>
    <w:p w14:paraId="3ABDE185" w14:textId="2BF11014" w:rsidR="00507C55" w:rsidRPr="0044216C" w:rsidRDefault="00507C55" w:rsidP="0044216C">
      <w:pPr>
        <w:pStyle w:val="Heading4"/>
        <w:suppressAutoHyphens/>
        <w:autoSpaceDN w:val="0"/>
        <w:textAlignment w:val="baseline"/>
      </w:pPr>
      <w:bookmarkStart w:id="754" w:name="_Toc440981859"/>
      <w:r w:rsidRPr="0044216C">
        <w:t xml:space="preserve">the effect of the proposal on the statutory duties of NHS England, particularly the involvement duty under section 13Q </w:t>
      </w:r>
      <w:r w:rsidR="00E509C8" w:rsidRPr="0044216C">
        <w:rPr>
          <w:rStyle w:val="FootnoteReference"/>
        </w:rPr>
        <w:footnoteReference w:id="16"/>
      </w:r>
      <w:r w:rsidRPr="0044216C">
        <w:t>of the NHS Act 2006 (although this is not usually triggered by a change solely to the identity of the contractor), duty under section 13K (duty to promote innovation) and section 13P (duty as respects variation in provision of health services) (see chapter 4, general duties);</w:t>
      </w:r>
      <w:bookmarkEnd w:id="754"/>
    </w:p>
    <w:p w14:paraId="21818648" w14:textId="5A028E21" w:rsidR="00507C55" w:rsidRPr="0044216C" w:rsidRDefault="00507C55" w:rsidP="0044216C">
      <w:pPr>
        <w:pStyle w:val="Heading4"/>
        <w:suppressAutoHyphens/>
        <w:autoSpaceDN w:val="0"/>
        <w:textAlignment w:val="baseline"/>
      </w:pPr>
      <w:bookmarkStart w:id="755" w:name="_Toc440981860"/>
      <w:r w:rsidRPr="0044216C">
        <w:t>the value of the contract</w:t>
      </w:r>
      <w:bookmarkEnd w:id="755"/>
      <w:r w:rsidRPr="0044216C">
        <w:t xml:space="preserve"> – both in terms of whether it represents value for money and whether it would a contract of interest to others;</w:t>
      </w:r>
    </w:p>
    <w:p w14:paraId="01093F44" w14:textId="2F13710A" w:rsidR="00507C55" w:rsidRPr="0044216C" w:rsidRDefault="00507C55" w:rsidP="0044216C">
      <w:pPr>
        <w:pStyle w:val="Heading4"/>
        <w:suppressAutoHyphens/>
        <w:autoSpaceDN w:val="0"/>
        <w:textAlignment w:val="baseline"/>
      </w:pPr>
      <w:bookmarkStart w:id="756" w:name="_Toc440981861"/>
      <w:r w:rsidRPr="0044216C">
        <w:t>the likely level of market interest</w:t>
      </w:r>
      <w:bookmarkEnd w:id="756"/>
      <w:r w:rsidRPr="0044216C">
        <w:t xml:space="preserve"> in the contract;</w:t>
      </w:r>
    </w:p>
    <w:p w14:paraId="5ACCD5A4" w14:textId="18330968" w:rsidR="00507C55" w:rsidRPr="0044216C" w:rsidRDefault="00507C55" w:rsidP="0044216C">
      <w:pPr>
        <w:pStyle w:val="Heading4"/>
        <w:suppressAutoHyphens/>
        <w:autoSpaceDN w:val="0"/>
        <w:textAlignment w:val="baseline"/>
      </w:pPr>
      <w:bookmarkStart w:id="757" w:name="_Toc440981862"/>
      <w:r w:rsidRPr="0044216C">
        <w:t>the potential for innovation;</w:t>
      </w:r>
      <w:bookmarkEnd w:id="757"/>
    </w:p>
    <w:p w14:paraId="7F2CC86C" w14:textId="78FCA867" w:rsidR="00507C55" w:rsidRPr="0044216C" w:rsidRDefault="00507C55" w:rsidP="0044216C">
      <w:pPr>
        <w:pStyle w:val="Heading4"/>
        <w:suppressAutoHyphens/>
        <w:autoSpaceDN w:val="0"/>
        <w:textAlignment w:val="baseline"/>
      </w:pPr>
      <w:bookmarkStart w:id="758" w:name="_Toc440981863"/>
      <w:r w:rsidRPr="0044216C">
        <w:t>the need to protect services in the core contract – Commissioners should ensure that if novation goes ahead it will not result in any reduction in services to patients;</w:t>
      </w:r>
      <w:bookmarkEnd w:id="758"/>
    </w:p>
    <w:p w14:paraId="7411C65A" w14:textId="0FD57E84" w:rsidR="00507C55" w:rsidRPr="0044216C" w:rsidRDefault="00507C55" w:rsidP="0044216C">
      <w:pPr>
        <w:pStyle w:val="Heading4"/>
        <w:suppressAutoHyphens/>
        <w:autoSpaceDN w:val="0"/>
        <w:textAlignment w:val="baseline"/>
      </w:pPr>
      <w:r w:rsidRPr="0044216C">
        <w:t xml:space="preserve">whether the Commissioner is satisfied that there will be </w:t>
      </w:r>
      <w:bookmarkStart w:id="759" w:name="_Toc440981864"/>
      <w:r w:rsidRPr="0044216C">
        <w:t>continuity of patient care;</w:t>
      </w:r>
      <w:bookmarkEnd w:id="759"/>
    </w:p>
    <w:p w14:paraId="68F352EB" w14:textId="0C63549D" w:rsidR="00507C55" w:rsidRPr="0044216C" w:rsidRDefault="00507C55" w:rsidP="0044216C">
      <w:pPr>
        <w:pStyle w:val="Heading4"/>
        <w:suppressAutoHyphens/>
        <w:autoSpaceDN w:val="0"/>
        <w:textAlignment w:val="baseline"/>
      </w:pPr>
      <w:bookmarkStart w:id="760" w:name="_Toc440981865"/>
      <w:r w:rsidRPr="0044216C">
        <w:t>the extent to which the original contractor(s) will be controlling and giving instructions to the proposed contractor to comply with contractual obligations;</w:t>
      </w:r>
      <w:bookmarkEnd w:id="760"/>
    </w:p>
    <w:p w14:paraId="59C0F4AF" w14:textId="5BA1D2DA" w:rsidR="00507C55" w:rsidRPr="0044216C" w:rsidRDefault="00507C55" w:rsidP="0044216C">
      <w:pPr>
        <w:pStyle w:val="Heading4"/>
        <w:suppressAutoHyphens/>
        <w:autoSpaceDN w:val="0"/>
        <w:textAlignment w:val="baseline"/>
      </w:pPr>
      <w:bookmarkStart w:id="761" w:name="_Toc440981866"/>
      <w:r w:rsidRPr="0044216C">
        <w:t>the extent of change to the terms of the existing contract (</w:t>
      </w:r>
      <w:r w:rsidR="00144C81" w:rsidRPr="0044216C">
        <w:t>e.g.</w:t>
      </w:r>
      <w:r w:rsidRPr="0044216C">
        <w:t xml:space="preserve"> contract value or services</w:t>
      </w:r>
      <w:bookmarkEnd w:id="761"/>
      <w:r w:rsidRPr="0044216C">
        <w:t xml:space="preserve">) – this is important in assessing both procurement risk (see </w:t>
      </w:r>
      <w:r w:rsidR="00A905A1" w:rsidRPr="0044216C">
        <w:rPr>
          <w:shd w:val="clear" w:color="auto" w:fill="FFFF00"/>
        </w:rPr>
        <w:t>procurement section above</w:t>
      </w:r>
      <w:r w:rsidRPr="0044216C">
        <w:t>) and whether there is a service change requiring patient and public involvement;</w:t>
      </w:r>
    </w:p>
    <w:p w14:paraId="5A77CC51" w14:textId="4193FF07" w:rsidR="00507C55" w:rsidRPr="0044216C" w:rsidRDefault="00507C55" w:rsidP="0044216C">
      <w:pPr>
        <w:pStyle w:val="Heading4"/>
        <w:suppressAutoHyphens/>
        <w:autoSpaceDN w:val="0"/>
        <w:textAlignment w:val="baseline"/>
      </w:pPr>
      <w:bookmarkStart w:id="762" w:name="_Toc440981867"/>
      <w:r w:rsidRPr="0044216C">
        <w:t>payments under the existing contract and value for money;</w:t>
      </w:r>
      <w:bookmarkEnd w:id="762"/>
      <w:r w:rsidRPr="0044216C">
        <w:t xml:space="preserve"> </w:t>
      </w:r>
    </w:p>
    <w:p w14:paraId="40E62B19" w14:textId="69544447" w:rsidR="00507C55" w:rsidRPr="0044216C" w:rsidRDefault="00507C55" w:rsidP="0044216C">
      <w:pPr>
        <w:pStyle w:val="Heading4"/>
        <w:suppressAutoHyphens/>
        <w:autoSpaceDN w:val="0"/>
        <w:textAlignment w:val="baseline"/>
      </w:pPr>
      <w:bookmarkStart w:id="763" w:name="_Toc440981868"/>
      <w:r w:rsidRPr="0044216C">
        <w:t>benefits to patients of the proposal</w:t>
      </w:r>
      <w:bookmarkEnd w:id="763"/>
      <w:r w:rsidRPr="0044216C">
        <w:t xml:space="preserve"> – these should be outlined by the contractor and, as a minimum, there should be no detrimental impact on patients or reduction in services; </w:t>
      </w:r>
    </w:p>
    <w:p w14:paraId="59103898" w14:textId="0195E8BF" w:rsidR="00507C55" w:rsidRPr="0044216C" w:rsidRDefault="00507C55" w:rsidP="0044216C">
      <w:pPr>
        <w:pStyle w:val="Heading4"/>
        <w:suppressAutoHyphens/>
        <w:autoSpaceDN w:val="0"/>
        <w:textAlignment w:val="baseline"/>
      </w:pPr>
      <w:bookmarkStart w:id="764" w:name="_Toc440981869"/>
      <w:r w:rsidRPr="0044216C">
        <w:t xml:space="preserve">opening hours (including evening and weekend) required – note that any reduction may trigger the patient and public involvement duty (see general duties, s13Q) and in any </w:t>
      </w:r>
      <w:r w:rsidR="00144C81" w:rsidRPr="0044216C">
        <w:t>case,</w:t>
      </w:r>
      <w:r w:rsidRPr="0044216C">
        <w:t xml:space="preserve"> is unlikely to be acceptable unless there are exceptional reasons justifying such a change;</w:t>
      </w:r>
      <w:bookmarkEnd w:id="764"/>
    </w:p>
    <w:p w14:paraId="5E58093E" w14:textId="6F0E9D08" w:rsidR="00507C55" w:rsidRPr="0044216C" w:rsidRDefault="00507C55" w:rsidP="0044216C">
      <w:pPr>
        <w:pStyle w:val="Heading4"/>
        <w:suppressAutoHyphens/>
        <w:autoSpaceDN w:val="0"/>
        <w:textAlignment w:val="baseline"/>
      </w:pPr>
      <w:r w:rsidRPr="0044216C">
        <w:t>sustainability – the Commissioner should be assured that the proposed novation will ensure ongoing sustainability of the practice and patient services in the area going forward;</w:t>
      </w:r>
    </w:p>
    <w:p w14:paraId="72676A2F" w14:textId="77777777" w:rsidR="00507C55" w:rsidRPr="0044216C" w:rsidRDefault="00507C55" w:rsidP="0044216C">
      <w:pPr>
        <w:pStyle w:val="Heading4"/>
        <w:suppressAutoHyphens/>
        <w:autoSpaceDN w:val="0"/>
        <w:textAlignment w:val="baseline"/>
      </w:pPr>
      <w:r w:rsidRPr="0044216C">
        <w:t>any impact on patient choice;</w:t>
      </w:r>
    </w:p>
    <w:p w14:paraId="0461850A" w14:textId="6A22DC72" w:rsidR="00507C55" w:rsidRPr="0044216C" w:rsidRDefault="00507C55" w:rsidP="0044216C">
      <w:pPr>
        <w:pStyle w:val="Heading4"/>
        <w:suppressAutoHyphens/>
        <w:autoSpaceDN w:val="0"/>
        <w:textAlignment w:val="baseline"/>
      </w:pPr>
      <w:r w:rsidRPr="0044216C">
        <w:t xml:space="preserve">any impact on competition between providers (see </w:t>
      </w:r>
      <w:r w:rsidR="005821ED" w:rsidRPr="0044216C">
        <w:t>procurement section above</w:t>
      </w:r>
      <w:r w:rsidRPr="0044216C">
        <w:t>);</w:t>
      </w:r>
    </w:p>
    <w:p w14:paraId="2C397CC4" w14:textId="77777777" w:rsidR="00507C55" w:rsidRPr="0044216C" w:rsidRDefault="00507C55" w:rsidP="0044216C">
      <w:pPr>
        <w:pStyle w:val="Heading4"/>
        <w:suppressAutoHyphens/>
        <w:autoSpaceDN w:val="0"/>
        <w:textAlignment w:val="baseline"/>
      </w:pPr>
      <w:bookmarkStart w:id="765" w:name="_Toc440981870"/>
      <w:r w:rsidRPr="0044216C">
        <w:rPr>
          <w:bCs/>
        </w:rPr>
        <w:t>whether the Commissioner requires that the existing contractor guarantees the performance of the proposed contractor (for example, this may be appropriate where on incorporation the new company will not have any assets) – any such requirement must be proportionate to the risks associated with the novation and reasonable with a clear rationale for placing such a responsibility on the existing contractor – legal advice should be sought</w:t>
      </w:r>
      <w:bookmarkEnd w:id="765"/>
      <w:r w:rsidRPr="0044216C">
        <w:rPr>
          <w:bCs/>
        </w:rPr>
        <w:t>;</w:t>
      </w:r>
    </w:p>
    <w:p w14:paraId="34744485" w14:textId="1EAB3E36" w:rsidR="00507C55" w:rsidRPr="0044216C" w:rsidRDefault="00507C55" w:rsidP="0044216C">
      <w:pPr>
        <w:pStyle w:val="Heading4"/>
        <w:suppressAutoHyphens/>
        <w:autoSpaceDN w:val="0"/>
        <w:textAlignment w:val="baseline"/>
      </w:pPr>
      <w:r w:rsidRPr="0044216C">
        <w:t xml:space="preserve">whether the Commissioner has any concerns about the proposed contractor’s financial standing and financial stability – serious concerns are likely to suggest they are unsuitable as a contractor, whereas minor concerns could for example be a factor in deciding to seek a guarantee; </w:t>
      </w:r>
    </w:p>
    <w:p w14:paraId="6B756992" w14:textId="77777777" w:rsidR="00507C55" w:rsidRPr="0044216C" w:rsidRDefault="00507C55" w:rsidP="0044216C">
      <w:pPr>
        <w:pStyle w:val="Heading4"/>
        <w:suppressAutoHyphens/>
        <w:autoSpaceDN w:val="0"/>
        <w:textAlignment w:val="baseline"/>
      </w:pPr>
      <w:r w:rsidRPr="0044216C">
        <w:t>whether the Commissioner is satisfied with the proposed contractor’s plans for managing and operating the practice, including any proposed changes from current arrangements;</w:t>
      </w:r>
    </w:p>
    <w:p w14:paraId="125FFC47" w14:textId="6B82E342" w:rsidR="00507C55" w:rsidRPr="0044216C" w:rsidRDefault="00507C55" w:rsidP="0044216C">
      <w:pPr>
        <w:pStyle w:val="Heading4"/>
        <w:suppressAutoHyphens/>
        <w:autoSpaceDN w:val="0"/>
        <w:textAlignment w:val="baseline"/>
      </w:pPr>
      <w:bookmarkStart w:id="766" w:name="_Toc440981871"/>
      <w:r w:rsidRPr="0044216C">
        <w:t>whether the proposed contractor is a company</w:t>
      </w:r>
      <w:r w:rsidR="00E509C8" w:rsidRPr="0044216C">
        <w:rPr>
          <w:rStyle w:val="FootnoteReference"/>
        </w:rPr>
        <w:footnoteReference w:id="17"/>
      </w:r>
      <w:r w:rsidRPr="0044216C">
        <w:t>:</w:t>
      </w:r>
      <w:bookmarkEnd w:id="766"/>
    </w:p>
    <w:p w14:paraId="075DFB8D" w14:textId="2A7E57D7" w:rsidR="00507C55" w:rsidRPr="0044216C" w:rsidRDefault="00507C55" w:rsidP="006C3DF5">
      <w:pPr>
        <w:pStyle w:val="ListParagraph"/>
        <w:widowControl w:val="0"/>
        <w:numPr>
          <w:ilvl w:val="0"/>
          <w:numId w:val="155"/>
        </w:numPr>
        <w:tabs>
          <w:tab w:val="left" w:pos="3261"/>
        </w:tabs>
        <w:suppressAutoHyphens/>
        <w:autoSpaceDN w:val="0"/>
        <w:spacing w:line="360" w:lineRule="auto"/>
        <w:contextualSpacing w:val="0"/>
        <w:jc w:val="both"/>
        <w:textAlignment w:val="baseline"/>
        <w:rPr>
          <w:rFonts w:cs="Arial"/>
          <w:bCs w:val="0"/>
          <w:szCs w:val="24"/>
          <w:lang w:eastAsia="en-GB"/>
        </w:rPr>
      </w:pPr>
      <w:r w:rsidRPr="0044216C">
        <w:rPr>
          <w:rFonts w:cs="Arial"/>
          <w:bCs w:val="0"/>
          <w:szCs w:val="24"/>
          <w:lang w:eastAsia="en-GB"/>
        </w:rPr>
        <w:t>but is not registered with Companies House (the contractor may take the view that this cannot be finalised until agreement in principle has been given by the Commissioner);</w:t>
      </w:r>
    </w:p>
    <w:p w14:paraId="3B87F5D6" w14:textId="4BFC8BC0" w:rsidR="00507C55" w:rsidRPr="0044216C" w:rsidRDefault="00507C55" w:rsidP="006C3DF5">
      <w:pPr>
        <w:pStyle w:val="ListParagraph"/>
        <w:widowControl w:val="0"/>
        <w:numPr>
          <w:ilvl w:val="0"/>
          <w:numId w:val="155"/>
        </w:numPr>
        <w:tabs>
          <w:tab w:val="left" w:pos="3261"/>
        </w:tabs>
        <w:suppressAutoHyphens/>
        <w:autoSpaceDN w:val="0"/>
        <w:spacing w:line="360" w:lineRule="auto"/>
        <w:contextualSpacing w:val="0"/>
        <w:jc w:val="both"/>
        <w:textAlignment w:val="baseline"/>
        <w:rPr>
          <w:rFonts w:cs="Arial"/>
          <w:bCs w:val="0"/>
          <w:szCs w:val="24"/>
          <w:lang w:eastAsia="en-GB"/>
        </w:rPr>
      </w:pPr>
      <w:r w:rsidRPr="0044216C">
        <w:rPr>
          <w:rFonts w:cs="Arial"/>
          <w:bCs w:val="0"/>
          <w:szCs w:val="24"/>
          <w:lang w:eastAsia="en-GB"/>
        </w:rPr>
        <w:t>and any director of the company has been disqualified from another registered company (check Insolvency Website and Companies House Disqualified Directors);</w:t>
      </w:r>
    </w:p>
    <w:p w14:paraId="69EEF39F" w14:textId="328A2AE1" w:rsidR="00507C55" w:rsidRPr="0044216C" w:rsidRDefault="00507C55" w:rsidP="0044216C">
      <w:pPr>
        <w:pStyle w:val="Heading4"/>
        <w:suppressAutoHyphens/>
        <w:autoSpaceDN w:val="0"/>
        <w:textAlignment w:val="baseline"/>
      </w:pPr>
      <w:bookmarkStart w:id="767" w:name="_Toc440981872"/>
      <w:r w:rsidRPr="0044216C">
        <w:t>an unsatisfactory Disclosure and Barring Scheme;</w:t>
      </w:r>
      <w:bookmarkEnd w:id="767"/>
    </w:p>
    <w:p w14:paraId="0F0515A6" w14:textId="799BC351" w:rsidR="00507C55" w:rsidRPr="0044216C" w:rsidRDefault="00507C55" w:rsidP="0044216C">
      <w:pPr>
        <w:pStyle w:val="Heading4"/>
        <w:suppressAutoHyphens/>
        <w:autoSpaceDN w:val="0"/>
        <w:textAlignment w:val="baseline"/>
      </w:pPr>
      <w:bookmarkStart w:id="768" w:name="_Toc440981873"/>
      <w:r w:rsidRPr="0044216C">
        <w:t>whether the existing contractor has outstanding debts and whether novation is made conditional on repayment being made;</w:t>
      </w:r>
      <w:bookmarkEnd w:id="768"/>
    </w:p>
    <w:p w14:paraId="511C3095" w14:textId="1525BF30" w:rsidR="00507C55" w:rsidRPr="0044216C" w:rsidRDefault="00507C55" w:rsidP="0044216C">
      <w:pPr>
        <w:pStyle w:val="Heading4"/>
        <w:suppressAutoHyphens/>
        <w:autoSpaceDN w:val="0"/>
        <w:textAlignment w:val="baseline"/>
      </w:pPr>
      <w:bookmarkStart w:id="769" w:name="_Toc440981874"/>
      <w:r w:rsidRPr="0044216C">
        <w:t>whether the existing contractor has received any breach or remedial notices or contract sanctions and whether novation is made conditional on the proposed contractor taking on the consequences of the notices, e.g. action the remedial activity; and/or</w:t>
      </w:r>
      <w:bookmarkEnd w:id="769"/>
    </w:p>
    <w:p w14:paraId="4180B592" w14:textId="642463B6" w:rsidR="00507C55" w:rsidRPr="0044216C" w:rsidRDefault="00507C55" w:rsidP="0044216C">
      <w:pPr>
        <w:pStyle w:val="Heading4"/>
        <w:suppressAutoHyphens/>
        <w:autoSpaceDN w:val="0"/>
        <w:textAlignment w:val="baseline"/>
      </w:pPr>
      <w:bookmarkStart w:id="770" w:name="_Toc440981875"/>
      <w:r w:rsidRPr="0044216C">
        <w:t>whether the existing contractor has outstanding issues regarding CQC inspection or practice inspection by the Commissioner and whether the novation should be made conditional on those issues being resolved</w:t>
      </w:r>
      <w:bookmarkEnd w:id="770"/>
      <w:r w:rsidRPr="0044216C">
        <w:t xml:space="preserve"> – or in some circumstances it may not be appropriate to agree to a novation until those issues are resolved. </w:t>
      </w:r>
    </w:p>
    <w:p w14:paraId="01C27C08" w14:textId="7AD2E15C" w:rsidR="00507C55" w:rsidRPr="0044216C" w:rsidRDefault="00507C55" w:rsidP="0044216C">
      <w:pPr>
        <w:rPr>
          <w:b/>
        </w:rPr>
      </w:pPr>
    </w:p>
    <w:p w14:paraId="1D1CF827" w14:textId="23258784" w:rsidR="00507C55" w:rsidRPr="0044216C" w:rsidRDefault="00507C55" w:rsidP="0044216C">
      <w:pPr>
        <w:rPr>
          <w:b/>
        </w:rPr>
      </w:pPr>
      <w:r w:rsidRPr="0044216C">
        <w:rPr>
          <w:b/>
        </w:rPr>
        <w:t>Making a decision</w:t>
      </w:r>
    </w:p>
    <w:p w14:paraId="71CC8BF9" w14:textId="77777777" w:rsidR="00D8206B" w:rsidRPr="0044216C" w:rsidRDefault="00D8206B" w:rsidP="0044216C">
      <w:pPr>
        <w:rPr>
          <w:b/>
          <w:lang w:eastAsia="en-GB"/>
        </w:rPr>
      </w:pPr>
    </w:p>
    <w:p w14:paraId="7B68C150" w14:textId="17B09B35" w:rsidR="00507C55" w:rsidRPr="0044216C" w:rsidRDefault="00507C55" w:rsidP="0044216C">
      <w:pPr>
        <w:pStyle w:val="Heading3"/>
        <w:suppressAutoHyphens/>
        <w:autoSpaceDN w:val="0"/>
        <w:textAlignment w:val="baseline"/>
      </w:pPr>
      <w:r w:rsidRPr="0044216C">
        <w:t>Each of the above factors, along with any other relevant information about the particular request, should be carefully considered in deciding whether or not the Commissioner will consent to the incorporation or dis-incorporation request.  If there are concerns about the level of risk of challenge, legal advice should be sought.</w:t>
      </w:r>
    </w:p>
    <w:p w14:paraId="6D3F07F5" w14:textId="77777777" w:rsidR="00386E7B" w:rsidRPr="0044216C" w:rsidRDefault="00386E7B" w:rsidP="0044216C"/>
    <w:p w14:paraId="7CCD2666" w14:textId="26213BB0" w:rsidR="00507C55" w:rsidRPr="0044216C" w:rsidRDefault="00507C55" w:rsidP="0044216C">
      <w:pPr>
        <w:pStyle w:val="Heading3"/>
        <w:suppressAutoHyphens/>
        <w:autoSpaceDN w:val="0"/>
        <w:textAlignment w:val="baseline"/>
      </w:pPr>
      <w:bookmarkStart w:id="771" w:name="_Toc440981876"/>
      <w:r w:rsidRPr="0044216C">
        <w:t>Requests for incorporation or dis-incorporation should be agreed with or without conditions unless there are concerns that the request will not benefit patients or will create a significant risk of successful procurement law or other challenge.</w:t>
      </w:r>
      <w:bookmarkEnd w:id="771"/>
      <w:r w:rsidRPr="0044216C">
        <w:t xml:space="preserve"> </w:t>
      </w:r>
    </w:p>
    <w:p w14:paraId="63FBA82D" w14:textId="77777777" w:rsidR="00386E7B" w:rsidRPr="0044216C" w:rsidRDefault="00386E7B" w:rsidP="0044216C"/>
    <w:p w14:paraId="65471F7F" w14:textId="5432CA7E" w:rsidR="00507C55" w:rsidRPr="0044216C" w:rsidRDefault="00507C55" w:rsidP="0044216C">
      <w:pPr>
        <w:pStyle w:val="Heading3"/>
        <w:suppressAutoHyphens/>
        <w:autoSpaceDN w:val="0"/>
        <w:textAlignment w:val="baseline"/>
      </w:pPr>
      <w:r w:rsidRPr="0044216C">
        <w:t>In practice, if the Commissioner does not agree to novate the contract, the existing contractor may decide not to incorporate/dis-incorporate but to keep the existing contract in place.  Where this happens, there will be no new contract to put out to procurement</w:t>
      </w:r>
      <w:r w:rsidR="00E509C8" w:rsidRPr="0044216C">
        <w:rPr>
          <w:rStyle w:val="FootnoteReference"/>
        </w:rPr>
        <w:footnoteReference w:id="18"/>
      </w:r>
      <w:r w:rsidRPr="0044216C">
        <w:t xml:space="preserve">. </w:t>
      </w:r>
    </w:p>
    <w:p w14:paraId="7490427F" w14:textId="77777777" w:rsidR="00507C55" w:rsidRPr="0044216C" w:rsidRDefault="00507C55" w:rsidP="0044216C">
      <w:pPr>
        <w:pStyle w:val="BodyText"/>
        <w:rPr>
          <w:b/>
        </w:rPr>
      </w:pPr>
    </w:p>
    <w:p w14:paraId="5D53E989" w14:textId="77777777" w:rsidR="00507C55" w:rsidRPr="0044216C" w:rsidRDefault="00507C55" w:rsidP="0044216C">
      <w:pPr>
        <w:pStyle w:val="BodyText"/>
        <w:rPr>
          <w:b/>
        </w:rPr>
      </w:pPr>
      <w:bookmarkStart w:id="772" w:name="_Toc440981877"/>
      <w:r w:rsidRPr="0044216C">
        <w:rPr>
          <w:b/>
          <w:sz w:val="24"/>
        </w:rPr>
        <w:t>Agreeing the request</w:t>
      </w:r>
      <w:bookmarkEnd w:id="772"/>
    </w:p>
    <w:p w14:paraId="77332015" w14:textId="1DF5CA5F" w:rsidR="00507C55" w:rsidRPr="0044216C" w:rsidRDefault="00507C55" w:rsidP="0044216C">
      <w:pPr>
        <w:pStyle w:val="Heading3"/>
        <w:suppressAutoHyphens/>
        <w:autoSpaceDN w:val="0"/>
        <w:textAlignment w:val="baseline"/>
        <w:rPr>
          <w:lang w:eastAsia="en-GB"/>
        </w:rPr>
      </w:pPr>
      <w:bookmarkStart w:id="773" w:name="_Toc440981878"/>
      <w:r w:rsidRPr="0044216C">
        <w:rPr>
          <w:lang w:eastAsia="en-GB"/>
        </w:rPr>
        <w:t>Where the Commissioner agrees the request, the original contract will be novated. A template letter is provided at Annex</w:t>
      </w:r>
      <w:r w:rsidRPr="0044216C">
        <w:t xml:space="preserve"> 12</w:t>
      </w:r>
      <w:r w:rsidR="00B109CF" w:rsidRPr="0044216C">
        <w:t xml:space="preserve"> and a template novation agreement at annex 17</w:t>
      </w:r>
      <w:r w:rsidRPr="0044216C">
        <w:rPr>
          <w:lang w:eastAsia="en-GB"/>
        </w:rPr>
        <w:t>.</w:t>
      </w:r>
      <w:bookmarkEnd w:id="773"/>
    </w:p>
    <w:p w14:paraId="7F4CACFE" w14:textId="77777777" w:rsidR="00386E7B" w:rsidRPr="0044216C" w:rsidRDefault="00386E7B" w:rsidP="0044216C">
      <w:pPr>
        <w:rPr>
          <w:lang w:eastAsia="en-GB"/>
        </w:rPr>
      </w:pPr>
    </w:p>
    <w:p w14:paraId="7F62B45F" w14:textId="28228B19" w:rsidR="00507C55" w:rsidRPr="0044216C" w:rsidRDefault="00507C55" w:rsidP="0044216C">
      <w:pPr>
        <w:pStyle w:val="Heading3"/>
        <w:suppressAutoHyphens/>
        <w:autoSpaceDN w:val="0"/>
        <w:textAlignment w:val="baseline"/>
        <w:rPr>
          <w:lang w:eastAsia="en-GB"/>
        </w:rPr>
      </w:pPr>
      <w:bookmarkStart w:id="774" w:name="_Toc440981879"/>
      <w:r w:rsidRPr="0044216C">
        <w:rPr>
          <w:lang w:eastAsia="en-GB"/>
        </w:rPr>
        <w:t>As a contract novation is technically termination of the original contract and replacing it with a new contract, the Commissioner must make appropriate arrangements for termination of the contract</w:t>
      </w:r>
      <w:r w:rsidR="006D5901" w:rsidRPr="0044216C">
        <w:rPr>
          <w:lang w:eastAsia="en-GB"/>
        </w:rPr>
        <w:t>ual relationship with the outgoing contractor</w:t>
      </w:r>
      <w:r w:rsidRPr="0044216C">
        <w:rPr>
          <w:lang w:eastAsia="en-GB"/>
        </w:rPr>
        <w:t xml:space="preserve"> including:</w:t>
      </w:r>
      <w:bookmarkEnd w:id="774"/>
    </w:p>
    <w:p w14:paraId="08AE8C56" w14:textId="3B90B512" w:rsidR="00507C55" w:rsidRPr="0044216C" w:rsidRDefault="00507C55" w:rsidP="0044216C">
      <w:pPr>
        <w:pStyle w:val="Heading4"/>
        <w:suppressAutoHyphens/>
        <w:autoSpaceDN w:val="0"/>
        <w:textAlignment w:val="baseline"/>
      </w:pPr>
      <w:bookmarkStart w:id="775" w:name="_Toc440981880"/>
      <w:r w:rsidRPr="0044216C">
        <w:t>carrying out a financial reconciliation; and</w:t>
      </w:r>
      <w:bookmarkEnd w:id="775"/>
    </w:p>
    <w:p w14:paraId="2B4A8168" w14:textId="397F44E9" w:rsidR="00507C55" w:rsidRPr="0044216C" w:rsidRDefault="00507C55" w:rsidP="0044216C">
      <w:pPr>
        <w:pStyle w:val="Heading4"/>
        <w:suppressAutoHyphens/>
        <w:autoSpaceDN w:val="0"/>
        <w:textAlignment w:val="baseline"/>
      </w:pPr>
      <w:bookmarkStart w:id="776" w:name="_Toc440981881"/>
      <w:r w:rsidRPr="0044216C">
        <w:t>any other requirements in the contract relating to termination.</w:t>
      </w:r>
      <w:bookmarkEnd w:id="776"/>
    </w:p>
    <w:p w14:paraId="19C6A9A9" w14:textId="77777777" w:rsidR="00D36129" w:rsidRPr="0044216C" w:rsidRDefault="00D36129" w:rsidP="0044216C">
      <w:pPr>
        <w:pStyle w:val="Heading3"/>
        <w:numPr>
          <w:ilvl w:val="0"/>
          <w:numId w:val="0"/>
        </w:numPr>
        <w:suppressAutoHyphens/>
        <w:autoSpaceDN w:val="0"/>
        <w:ind w:left="720"/>
        <w:textAlignment w:val="baseline"/>
      </w:pPr>
      <w:bookmarkStart w:id="777" w:name="_Toc440981882"/>
    </w:p>
    <w:p w14:paraId="00752B84" w14:textId="167F85AF" w:rsidR="00D36129" w:rsidRPr="0044216C" w:rsidRDefault="00D36129" w:rsidP="0044216C">
      <w:pPr>
        <w:pStyle w:val="Heading3"/>
      </w:pPr>
      <w:r w:rsidRPr="0044216C">
        <w:t>The novation process, and the discretion commissioners have in approving the request, provides an opportunity for commissioners to negotiate and agree a range of controls with the contractor. Those controls can take the following forms (these are not mutually exclusive):</w:t>
      </w:r>
    </w:p>
    <w:p w14:paraId="2A1319C2" w14:textId="159C0F5D" w:rsidR="00D36129" w:rsidRPr="0044216C" w:rsidRDefault="00D36129" w:rsidP="006C3DF5">
      <w:pPr>
        <w:pStyle w:val="Heading3"/>
        <w:numPr>
          <w:ilvl w:val="0"/>
          <w:numId w:val="223"/>
        </w:numPr>
      </w:pPr>
      <w:r w:rsidRPr="0044216C">
        <w:t xml:space="preserve">Contractual requirements: there is some, although limited, scope to agree local contract variations that would bind contractors into a course of action and be enforceable using the core contractual levers.  </w:t>
      </w:r>
    </w:p>
    <w:p w14:paraId="39CFE0CC" w14:textId="547AD0A8" w:rsidR="00D36129" w:rsidRPr="0044216C" w:rsidRDefault="00D36129" w:rsidP="006C3DF5">
      <w:pPr>
        <w:pStyle w:val="Heading3"/>
        <w:numPr>
          <w:ilvl w:val="0"/>
          <w:numId w:val="223"/>
        </w:numPr>
      </w:pPr>
      <w:r w:rsidRPr="0044216C">
        <w:t xml:space="preserve">Non-contractual requirements: these are declarative statements of intent that describe expected behaviours and/or actions but are not enforceable through the core contract </w:t>
      </w:r>
    </w:p>
    <w:p w14:paraId="76EFD5B9" w14:textId="77777777" w:rsidR="00D36129" w:rsidRPr="0044216C" w:rsidRDefault="00D36129" w:rsidP="0044216C">
      <w:pPr>
        <w:pStyle w:val="Heading3"/>
        <w:numPr>
          <w:ilvl w:val="0"/>
          <w:numId w:val="0"/>
        </w:numPr>
        <w:ind w:left="720"/>
      </w:pPr>
    </w:p>
    <w:p w14:paraId="69E71A08" w14:textId="503F04BD" w:rsidR="00D36129" w:rsidRPr="0044216C" w:rsidRDefault="00D36129" w:rsidP="0044216C">
      <w:pPr>
        <w:pStyle w:val="Heading3"/>
      </w:pPr>
      <w:r w:rsidRPr="0044216C">
        <w:t>There are opportunities and limitations in implementing both type of controls. The supporting guidance that forms part of the toolkit set out further advice on how the contract novation process can be used by the commissioner to address identified risks and issues should they wish to approve the request.</w:t>
      </w:r>
    </w:p>
    <w:p w14:paraId="34C47C9B" w14:textId="1AB1AD2A" w:rsidR="00D36129" w:rsidRPr="0044216C" w:rsidRDefault="00D36129" w:rsidP="0044216C">
      <w:pPr>
        <w:pStyle w:val="Heading3"/>
      </w:pPr>
      <w:r w:rsidRPr="0044216C">
        <w:t xml:space="preserve">Contractual requirements are the most binding form of control that can be placed on a contractor. They must be agreed between, and signed by, both parties in line with local contractual variation processes. </w:t>
      </w:r>
    </w:p>
    <w:p w14:paraId="70ED0A6A" w14:textId="77777777" w:rsidR="00D36129" w:rsidRPr="0044216C" w:rsidRDefault="00D36129" w:rsidP="0044216C">
      <w:pPr>
        <w:pStyle w:val="Heading3"/>
        <w:numPr>
          <w:ilvl w:val="0"/>
          <w:numId w:val="0"/>
        </w:numPr>
        <w:ind w:left="720"/>
      </w:pPr>
    </w:p>
    <w:p w14:paraId="50B588FB" w14:textId="7D57A4F0" w:rsidR="00D36129" w:rsidRPr="0044216C" w:rsidRDefault="00D36129" w:rsidP="0044216C">
      <w:pPr>
        <w:pStyle w:val="Heading3"/>
      </w:pPr>
      <w:r w:rsidRPr="0044216C">
        <w:t>As the contractor has to agree to them, negotiating local contract variations at the same time as considering novation puts the commissioner in a good negotiating position. The value of documenting them in the novation agreement is to confirm and emphasise what has been agreed contractually at the point of novation.</w:t>
      </w:r>
    </w:p>
    <w:p w14:paraId="5F54E46A" w14:textId="77777777" w:rsidR="00D36129" w:rsidRPr="0044216C" w:rsidRDefault="00D36129" w:rsidP="0044216C">
      <w:pPr>
        <w:pStyle w:val="Heading3"/>
        <w:numPr>
          <w:ilvl w:val="0"/>
          <w:numId w:val="0"/>
        </w:numPr>
        <w:ind w:left="720"/>
      </w:pPr>
    </w:p>
    <w:p w14:paraId="56CBB18A" w14:textId="265F913C" w:rsidR="00D36129" w:rsidRPr="0044216C" w:rsidRDefault="00D36129" w:rsidP="0044216C">
      <w:pPr>
        <w:pStyle w:val="Heading3"/>
      </w:pPr>
      <w:r w:rsidRPr="0044216C">
        <w:t xml:space="preserve">However, there are rigid national rules and processes governing the core GP (GMS/PMS) contractual framework that limit the scale and nature of what local contractual variations are implementable outside of the national requirements (which cannot be changed). </w:t>
      </w:r>
    </w:p>
    <w:p w14:paraId="5F66DEB6" w14:textId="77777777" w:rsidR="00D36129" w:rsidRPr="0044216C" w:rsidRDefault="00D36129" w:rsidP="0044216C">
      <w:pPr>
        <w:pStyle w:val="Heading3"/>
        <w:numPr>
          <w:ilvl w:val="0"/>
          <w:numId w:val="0"/>
        </w:numPr>
        <w:ind w:left="720"/>
      </w:pPr>
    </w:p>
    <w:p w14:paraId="087AD552" w14:textId="3B5382FD" w:rsidR="00D36129" w:rsidRPr="0044216C" w:rsidRDefault="00D36129" w:rsidP="0044216C">
      <w:pPr>
        <w:pStyle w:val="Heading3"/>
      </w:pPr>
      <w:r w:rsidRPr="0044216C">
        <w:t>The nature of what is permissible when seeking to vary the contract needs to be considered on a case by case basis. In summary, the following broad principles act as parameters as to what might be suitable:</w:t>
      </w:r>
    </w:p>
    <w:p w14:paraId="6B565F29" w14:textId="3DE3EE43" w:rsidR="00D36129" w:rsidRPr="0044216C" w:rsidRDefault="00D36129" w:rsidP="006C3DF5">
      <w:pPr>
        <w:pStyle w:val="Heading3"/>
        <w:numPr>
          <w:ilvl w:val="0"/>
          <w:numId w:val="224"/>
        </w:numPr>
      </w:pPr>
      <w:r w:rsidRPr="0044216C">
        <w:t xml:space="preserve">Variations are targeted, proportionate, and can be justified on reasonable grounds - these can be linked to either contractor performance, their capabilities and contractual management arrangements </w:t>
      </w:r>
    </w:p>
    <w:p w14:paraId="6B8DA6D2" w14:textId="6525E95B" w:rsidR="00D36129" w:rsidRPr="0044216C" w:rsidRDefault="00D36129" w:rsidP="006C3DF5">
      <w:pPr>
        <w:pStyle w:val="Heading3"/>
        <w:numPr>
          <w:ilvl w:val="0"/>
          <w:numId w:val="224"/>
        </w:numPr>
      </w:pPr>
      <w:r w:rsidRPr="0044216C">
        <w:t>Variations must not seek to alter or extend the agreed core GMS service provision requirements - these are negotiated nationally with the BMA and are reflected in the relevant GMS/PMS contract regulations and statement of Financial Entitlements (SFE).</w:t>
      </w:r>
    </w:p>
    <w:p w14:paraId="3445BB1A" w14:textId="77777777" w:rsidR="00D36129" w:rsidRPr="0044216C" w:rsidRDefault="00D36129" w:rsidP="0044216C">
      <w:pPr>
        <w:pStyle w:val="Heading3"/>
        <w:numPr>
          <w:ilvl w:val="0"/>
          <w:numId w:val="0"/>
        </w:numPr>
        <w:ind w:left="720"/>
      </w:pPr>
    </w:p>
    <w:p w14:paraId="672B89E9" w14:textId="1666FA89" w:rsidR="00507C55" w:rsidRPr="0044216C" w:rsidRDefault="00D36129" w:rsidP="0044216C">
      <w:pPr>
        <w:pStyle w:val="Heading3"/>
      </w:pPr>
      <w:r w:rsidRPr="0044216C">
        <w:t xml:space="preserve">There are a practical set of local contract variations that are pre-cautionary, support provider sustainability and can help mitigate for the occurrence and consequences of provider failure in line with good practice. </w:t>
      </w:r>
      <w:r w:rsidR="003254BF" w:rsidRPr="0044216C">
        <w:t>For</w:t>
      </w:r>
      <w:r w:rsidRPr="0044216C">
        <w:t xml:space="preserve"> example, </w:t>
      </w:r>
      <w:r w:rsidR="003254BF" w:rsidRPr="0044216C">
        <w:t xml:space="preserve">as </w:t>
      </w:r>
      <w:bookmarkStart w:id="778" w:name="_Toc440981883"/>
      <w:bookmarkEnd w:id="777"/>
      <w:r w:rsidR="00507C55" w:rsidRPr="0044216C">
        <w:t>the new contractor will be a body corporate</w:t>
      </w:r>
      <w:r w:rsidR="003254BF" w:rsidRPr="0044216C">
        <w:t xml:space="preserve">, </w:t>
      </w:r>
      <w:r w:rsidR="00507C55" w:rsidRPr="0044216C">
        <w:t xml:space="preserve">it </w:t>
      </w:r>
      <w:r w:rsidR="003254BF" w:rsidRPr="0044216C">
        <w:t>will</w:t>
      </w:r>
      <w:r w:rsidR="00507C55" w:rsidRPr="0044216C">
        <w:t xml:space="preserve"> be appropriate to require that the new contract contains a change of control clause. Such a clause requires the contractor to notify the Commissioner where there is a change in ownership or control of the contractor and can include a requirement to obtain the Commissioner’s consent. </w:t>
      </w:r>
      <w:r w:rsidR="003254BF" w:rsidRPr="0044216C">
        <w:t xml:space="preserve">If </w:t>
      </w:r>
      <w:r w:rsidR="00507C55" w:rsidRPr="0044216C">
        <w:t>the Commissioner does not consent to the change but the contractor proceeds anyway, the Commissioner may issue a Remedial Notice.</w:t>
      </w:r>
      <w:bookmarkEnd w:id="778"/>
      <w:r w:rsidR="00507C55" w:rsidRPr="0044216C">
        <w:t xml:space="preserve"> </w:t>
      </w:r>
    </w:p>
    <w:p w14:paraId="02C52B25" w14:textId="77777777" w:rsidR="003254BF" w:rsidRPr="0044216C" w:rsidRDefault="003254BF" w:rsidP="0044216C"/>
    <w:p w14:paraId="1FE43451" w14:textId="1AADECE5" w:rsidR="003254BF" w:rsidRPr="0044216C" w:rsidRDefault="003254BF" w:rsidP="0044216C">
      <w:pPr>
        <w:pStyle w:val="Heading3"/>
        <w:suppressAutoHyphens/>
        <w:autoSpaceDN w:val="0"/>
        <w:textAlignment w:val="baseline"/>
      </w:pPr>
      <w:bookmarkStart w:id="779" w:name="_Toc440981884"/>
      <w:r w:rsidRPr="0044216C">
        <w:t>The supporting guidance that forms part of the toolkit describes the different types of controls in more detail including the circumstances in which they might apply.</w:t>
      </w:r>
    </w:p>
    <w:p w14:paraId="40FB7F0A" w14:textId="45D88E9F" w:rsidR="003254BF" w:rsidRPr="0044216C" w:rsidRDefault="003254BF" w:rsidP="0044216C">
      <w:pPr>
        <w:pStyle w:val="Heading3"/>
        <w:numPr>
          <w:ilvl w:val="0"/>
          <w:numId w:val="0"/>
        </w:numPr>
        <w:suppressAutoHyphens/>
        <w:autoSpaceDN w:val="0"/>
        <w:ind w:left="720"/>
        <w:textAlignment w:val="baseline"/>
      </w:pPr>
      <w:r w:rsidRPr="0044216C">
        <w:t xml:space="preserve"> </w:t>
      </w:r>
    </w:p>
    <w:p w14:paraId="0C56A0F1" w14:textId="4C1AF37A" w:rsidR="00507C55" w:rsidRPr="0044216C" w:rsidRDefault="00507C55" w:rsidP="0044216C">
      <w:pPr>
        <w:pStyle w:val="Heading3"/>
        <w:suppressAutoHyphens/>
        <w:autoSpaceDN w:val="0"/>
        <w:textAlignment w:val="baseline"/>
      </w:pPr>
      <w:r w:rsidRPr="0044216C">
        <w:rPr>
          <w:lang w:eastAsia="en-GB"/>
        </w:rPr>
        <w:t>Commencement of the new contract must be made conditional on the new contractor being CQC registered.  The CQC cannot provide the Notification of Decision until the date of commencement is agreed. The contractor should, however, provide the Commissioner with written confirmation from the CQC that the CQC does not intend to impose any restrictions on registration of the new contractor.</w:t>
      </w:r>
      <w:bookmarkEnd w:id="779"/>
    </w:p>
    <w:p w14:paraId="7268E33D" w14:textId="77777777" w:rsidR="00507C55" w:rsidRPr="0044216C" w:rsidRDefault="00507C55" w:rsidP="0044216C">
      <w:pPr>
        <w:pStyle w:val="BodyText"/>
      </w:pPr>
    </w:p>
    <w:p w14:paraId="3CE28303" w14:textId="77777777" w:rsidR="00507C55" w:rsidRPr="0044216C" w:rsidRDefault="00507C55" w:rsidP="0044216C">
      <w:pPr>
        <w:pStyle w:val="BodyText"/>
        <w:rPr>
          <w:b/>
        </w:rPr>
      </w:pPr>
      <w:bookmarkStart w:id="780" w:name="_Toc440981885"/>
      <w:r w:rsidRPr="0044216C">
        <w:rPr>
          <w:b/>
          <w:sz w:val="24"/>
        </w:rPr>
        <w:t>Disputes</w:t>
      </w:r>
      <w:bookmarkEnd w:id="780"/>
    </w:p>
    <w:p w14:paraId="58C8DAA3" w14:textId="428B6F4D" w:rsidR="00507C55" w:rsidRPr="0044216C" w:rsidRDefault="00507C55" w:rsidP="0044216C">
      <w:pPr>
        <w:pStyle w:val="Heading3"/>
        <w:suppressAutoHyphens/>
        <w:autoSpaceDN w:val="0"/>
        <w:textAlignment w:val="baseline"/>
        <w:rPr>
          <w:lang w:eastAsia="en-GB"/>
        </w:rPr>
      </w:pPr>
      <w:bookmarkStart w:id="781" w:name="_Toc440981886"/>
      <w:r w:rsidRPr="0044216C">
        <w:rPr>
          <w:lang w:eastAsia="en-GB"/>
        </w:rPr>
        <w:t>Where the contractor does not agree with the Commissioner's decision, the contractor may appeal the decision. Please refer to the chapter on managing disputes for further information.</w:t>
      </w:r>
      <w:bookmarkEnd w:id="781"/>
    </w:p>
    <w:p w14:paraId="2C78832C" w14:textId="77777777" w:rsidR="00507C55" w:rsidRPr="0044216C" w:rsidRDefault="00507C55" w:rsidP="0044216C">
      <w:pPr>
        <w:pStyle w:val="BodyText"/>
      </w:pPr>
    </w:p>
    <w:p w14:paraId="264CEE4D" w14:textId="77777777" w:rsidR="00507C55" w:rsidRPr="0044216C" w:rsidRDefault="00507C55" w:rsidP="0044216C">
      <w:pPr>
        <w:pStyle w:val="BodyText"/>
        <w:rPr>
          <w:b/>
        </w:rPr>
      </w:pPr>
      <w:bookmarkStart w:id="782" w:name="_Toc440981887"/>
      <w:r w:rsidRPr="0044216C">
        <w:rPr>
          <w:b/>
          <w:sz w:val="24"/>
        </w:rPr>
        <w:t>Payment system requirements</w:t>
      </w:r>
      <w:bookmarkEnd w:id="782"/>
    </w:p>
    <w:p w14:paraId="705EC61A" w14:textId="797E3EDE" w:rsidR="00507C55" w:rsidRPr="0044216C" w:rsidRDefault="00507C55" w:rsidP="0044216C">
      <w:pPr>
        <w:pStyle w:val="Heading3"/>
        <w:suppressAutoHyphens/>
        <w:autoSpaceDN w:val="0"/>
        <w:textAlignment w:val="baseline"/>
        <w:rPr>
          <w:lang w:eastAsia="en-GB"/>
        </w:rPr>
      </w:pPr>
      <w:bookmarkStart w:id="783" w:name="_Toc440981888"/>
      <w:r w:rsidRPr="0044216C">
        <w:rPr>
          <w:lang w:eastAsia="en-GB"/>
        </w:rPr>
        <w:t>Following the commissioner's decision, any changes to the contracts must be made on the relevant payment and contract management systems.</w:t>
      </w:r>
      <w:bookmarkEnd w:id="783"/>
      <w:r w:rsidRPr="0044216C">
        <w:rPr>
          <w:lang w:eastAsia="en-GB"/>
        </w:rPr>
        <w:t xml:space="preserve"> </w:t>
      </w:r>
    </w:p>
    <w:p w14:paraId="7B3EC9E0" w14:textId="77777777" w:rsidR="00671886" w:rsidRPr="006E22ED" w:rsidRDefault="00671886" w:rsidP="00B6353E">
      <w:pPr>
        <w:rPr>
          <w:lang w:eastAsia="en-GB"/>
        </w:rPr>
      </w:pPr>
    </w:p>
    <w:p w14:paraId="7EE2D43E" w14:textId="77777777" w:rsidR="00507C55" w:rsidRDefault="00507C55" w:rsidP="00507C55">
      <w:pPr>
        <w:rPr>
          <w:lang w:eastAsia="en-GB"/>
        </w:rPr>
      </w:pPr>
    </w:p>
    <w:p w14:paraId="5EF55804" w14:textId="1AE3A5B8" w:rsidR="00507C55" w:rsidRDefault="00507C55" w:rsidP="00A553BA">
      <w:pPr>
        <w:pStyle w:val="Heading2"/>
        <w:suppressAutoHyphens/>
        <w:autoSpaceDN w:val="0"/>
        <w:textAlignment w:val="baseline"/>
        <w:rPr>
          <w:lang w:eastAsia="en-GB"/>
        </w:rPr>
      </w:pPr>
      <w:bookmarkStart w:id="784" w:name="_Toc440981889"/>
      <w:bookmarkStart w:id="785" w:name="_Toc95743455"/>
      <w:r>
        <w:rPr>
          <w:lang w:eastAsia="en-GB"/>
        </w:rPr>
        <w:t>Practice Mergers and/or Contractual Mergers</w:t>
      </w:r>
      <w:bookmarkEnd w:id="784"/>
      <w:bookmarkEnd w:id="785"/>
    </w:p>
    <w:p w14:paraId="5460AB24" w14:textId="10B93F84" w:rsidR="0007775F" w:rsidRPr="00DA790E" w:rsidRDefault="0007775F">
      <w:pPr>
        <w:pStyle w:val="Heading3"/>
        <w:numPr>
          <w:ilvl w:val="0"/>
          <w:numId w:val="0"/>
        </w:numPr>
        <w:rPr>
          <w:sz w:val="22"/>
          <w:szCs w:val="24"/>
        </w:rPr>
      </w:pPr>
      <w:r w:rsidRPr="0038763E">
        <w:rPr>
          <w:sz w:val="22"/>
          <w:szCs w:val="24"/>
          <w:highlight w:val="yellow"/>
        </w:rPr>
        <w:t>Readers note: the procurement elements of this chapter are expected to be superceded in 2022/23 by the new NHS PSR and commissioners should defer to published available guidance.</w:t>
      </w:r>
      <w:r w:rsidRPr="00DA790E">
        <w:rPr>
          <w:sz w:val="22"/>
          <w:szCs w:val="24"/>
        </w:rPr>
        <w:t xml:space="preserve"> </w:t>
      </w:r>
      <w:r w:rsidR="00BA6091" w:rsidRPr="003C21B1">
        <w:rPr>
          <w:sz w:val="22"/>
          <w:szCs w:val="24"/>
          <w:highlight w:val="yellow"/>
        </w:rPr>
        <w:t>This</w:t>
      </w:r>
      <w:r w:rsidR="00466B65" w:rsidRPr="003C21B1">
        <w:rPr>
          <w:sz w:val="22"/>
          <w:szCs w:val="24"/>
          <w:highlight w:val="yellow"/>
        </w:rPr>
        <w:t xml:space="preserve"> section will be upadated </w:t>
      </w:r>
      <w:r w:rsidR="005A1AD1" w:rsidRPr="003C21B1">
        <w:rPr>
          <w:sz w:val="22"/>
          <w:szCs w:val="24"/>
          <w:highlight w:val="yellow"/>
        </w:rPr>
        <w:t xml:space="preserve">integrating the </w:t>
      </w:r>
      <w:r w:rsidR="00680134" w:rsidRPr="003C21B1">
        <w:rPr>
          <w:sz w:val="22"/>
          <w:szCs w:val="24"/>
          <w:highlight w:val="yellow"/>
        </w:rPr>
        <w:t xml:space="preserve">new </w:t>
      </w:r>
      <w:r w:rsidR="005A1AD1" w:rsidRPr="003C21B1">
        <w:rPr>
          <w:sz w:val="22"/>
          <w:szCs w:val="24"/>
          <w:highlight w:val="yellow"/>
        </w:rPr>
        <w:t>NHS PSR</w:t>
      </w:r>
      <w:r w:rsidR="005571C0" w:rsidRPr="003C21B1">
        <w:rPr>
          <w:sz w:val="22"/>
          <w:szCs w:val="24"/>
          <w:highlight w:val="yellow"/>
        </w:rPr>
        <w:t>.</w:t>
      </w:r>
    </w:p>
    <w:p w14:paraId="1B9263EA" w14:textId="77777777" w:rsidR="0007775F" w:rsidRDefault="0007775F" w:rsidP="0007775F">
      <w:pPr>
        <w:pStyle w:val="Heading3"/>
        <w:numPr>
          <w:ilvl w:val="0"/>
          <w:numId w:val="0"/>
        </w:numPr>
        <w:ind w:left="720"/>
      </w:pPr>
    </w:p>
    <w:p w14:paraId="053E7749" w14:textId="77777777" w:rsidR="00507C55" w:rsidRDefault="00507C55" w:rsidP="00507C55">
      <w:pPr>
        <w:rPr>
          <w:lang w:eastAsia="en-GB"/>
        </w:rPr>
      </w:pPr>
    </w:p>
    <w:p w14:paraId="4872D93A" w14:textId="0665A928" w:rsidR="00507C55" w:rsidRDefault="00507C55" w:rsidP="00A553BA">
      <w:pPr>
        <w:pStyle w:val="Heading3"/>
        <w:suppressAutoHyphens/>
        <w:autoSpaceDN w:val="0"/>
        <w:textAlignment w:val="baseline"/>
      </w:pPr>
      <w:r>
        <w:t xml:space="preserve">A GP or partnership may hold more than one form of primary care contract with a Commissioner.  For </w:t>
      </w:r>
      <w:r w:rsidR="00144C81">
        <w:t>example,</w:t>
      </w:r>
      <w:r>
        <w:t xml:space="preserve"> a GMS contractor can also be a party under a PMS agreement and vice versa and/or a company may, for </w:t>
      </w:r>
      <w:r w:rsidR="00144C81">
        <w:t>example, hold</w:t>
      </w:r>
      <w:r>
        <w:t xml:space="preserve"> several GMS contracts.</w:t>
      </w:r>
    </w:p>
    <w:p w14:paraId="79045843" w14:textId="3C0AF232" w:rsidR="00507C55" w:rsidRDefault="00507C55" w:rsidP="00A553BA">
      <w:pPr>
        <w:pStyle w:val="Heading3"/>
        <w:suppressAutoHyphens/>
        <w:autoSpaceDN w:val="0"/>
        <w:textAlignment w:val="baseline"/>
      </w:pPr>
      <w:r>
        <w:t xml:space="preserve">This flexibility has enabled GP practices to come together in varying ways to provide support for each other, expand on the services available and/or resolve premises issues and achieve economies of scale, though each will have their own reasons for coming together. </w:t>
      </w:r>
    </w:p>
    <w:p w14:paraId="36BB0C82" w14:textId="0AFA2CA7" w:rsidR="00507C55" w:rsidRDefault="00507C55" w:rsidP="00A553BA">
      <w:pPr>
        <w:pStyle w:val="Heading3"/>
        <w:suppressAutoHyphens/>
        <w:autoSpaceDN w:val="0"/>
        <w:textAlignment w:val="baseline"/>
      </w:pPr>
      <w:r>
        <w:t>The overarching issues for the Commissioner to consider when any such proposal is made are the benefits to patients and the financial implications of the practice merger.</w:t>
      </w:r>
    </w:p>
    <w:p w14:paraId="21EB8627" w14:textId="77777777" w:rsidR="00DD397F" w:rsidRPr="003F1BA7" w:rsidRDefault="00DD397F" w:rsidP="003F1BA7"/>
    <w:p w14:paraId="40DBAEF8" w14:textId="3B97C044" w:rsidR="00507C55" w:rsidRDefault="00DD397F" w:rsidP="00E509C8">
      <w:pPr>
        <w:pStyle w:val="Heading3"/>
        <w:numPr>
          <w:ilvl w:val="0"/>
          <w:numId w:val="0"/>
        </w:numPr>
        <w:ind w:left="720"/>
      </w:pPr>
      <w:r w:rsidRPr="00E509C8">
        <w:rPr>
          <w:b/>
          <w:u w:val="single"/>
        </w:rPr>
        <w:t>Note:</w:t>
      </w:r>
      <w:r>
        <w:t xml:space="preserve"> </w:t>
      </w:r>
      <w:r w:rsidR="00507C55" w:rsidRPr="007D0D28">
        <w:t>Where a proposed merger involves one or more dispensing practices, contract managers should also refer to the Pharmacy Manual</w:t>
      </w:r>
      <w:r w:rsidR="00507C55">
        <w:t xml:space="preserve"> </w:t>
      </w:r>
      <w:hyperlink r:id="rId114" w:history="1">
        <w:r w:rsidR="00507C55" w:rsidRPr="0026603A">
          <w:rPr>
            <w:rStyle w:val="Hyperlink"/>
          </w:rPr>
          <w:t>https://www.england.nhs.uk/commissioning/primary-care/pharmacy/manual/</w:t>
        </w:r>
      </w:hyperlink>
      <w:r w:rsidR="00507C55">
        <w:t xml:space="preserve"> </w:t>
      </w:r>
    </w:p>
    <w:p w14:paraId="46D42E78" w14:textId="77777777" w:rsidR="00507C55" w:rsidRPr="004A1B30" w:rsidRDefault="00507C55" w:rsidP="00507C55"/>
    <w:p w14:paraId="55078B48" w14:textId="77777777" w:rsidR="00507C55" w:rsidRPr="00A553BA" w:rsidRDefault="00507C55" w:rsidP="00E509C8">
      <w:pPr>
        <w:pStyle w:val="BodyText"/>
        <w:rPr>
          <w:b/>
        </w:rPr>
      </w:pPr>
      <w:r w:rsidRPr="00E509C8">
        <w:rPr>
          <w:b/>
          <w:sz w:val="24"/>
        </w:rPr>
        <w:t>Practice merger models</w:t>
      </w:r>
    </w:p>
    <w:p w14:paraId="1D773342" w14:textId="3A8FB6E5" w:rsidR="00507C55" w:rsidRDefault="00507C55" w:rsidP="00A553BA">
      <w:pPr>
        <w:pStyle w:val="Heading3"/>
        <w:suppressAutoHyphens/>
        <w:autoSpaceDN w:val="0"/>
        <w:textAlignment w:val="baseline"/>
      </w:pPr>
      <w:r>
        <w:t>There are many ways in which practices may seek to come together.  The most common are listed below but Commissioners should recognise that a proposed practice merger may fall into one or more of the models below or may propose a different approach:</w:t>
      </w:r>
    </w:p>
    <w:p w14:paraId="00F62640" w14:textId="366839D2" w:rsidR="00507C55" w:rsidRPr="00A553BA" w:rsidRDefault="00507C55" w:rsidP="00A553BA">
      <w:pPr>
        <w:pStyle w:val="Heading4"/>
        <w:suppressAutoHyphens/>
        <w:autoSpaceDN w:val="0"/>
        <w:textAlignment w:val="baseline"/>
      </w:pPr>
      <w:r w:rsidRPr="00A553BA">
        <w:t xml:space="preserve">Model 1: GP providers agree loose arrangements such as sharing back office functions or management staff or may even create a new legal entity to manage and oversee the delivery of services under the GP contracts. </w:t>
      </w:r>
      <w:bookmarkStart w:id="786" w:name="NHS_England_only_has_to_have_regard_to_t"/>
      <w:bookmarkEnd w:id="786"/>
      <w:r w:rsidRPr="00A553BA">
        <w:t xml:space="preserve"> This is not a formal merger and the contracts with the Commissioner will not change (this model is often referred to as a contractual joint venture).</w:t>
      </w:r>
    </w:p>
    <w:p w14:paraId="7E260C5C" w14:textId="577F03D5" w:rsidR="00507C55" w:rsidRPr="00A553BA" w:rsidRDefault="00507C55" w:rsidP="00A553BA">
      <w:pPr>
        <w:pStyle w:val="Heading4"/>
        <w:suppressAutoHyphens/>
        <w:autoSpaceDN w:val="0"/>
        <w:textAlignment w:val="baseline"/>
      </w:pPr>
      <w:r w:rsidRPr="00A553BA">
        <w:t>Model 2: The GP partners from Practice A may join the partnership of Practice B and vice versa. The new partnership may continue to hold the two separate contracts but will have merged at an operational level.</w:t>
      </w:r>
    </w:p>
    <w:p w14:paraId="14B51E96" w14:textId="3EC2D45A" w:rsidR="00507C55" w:rsidRPr="00A553BA" w:rsidRDefault="00507C55" w:rsidP="00A553BA">
      <w:pPr>
        <w:pStyle w:val="Heading4"/>
        <w:suppressAutoHyphens/>
        <w:autoSpaceDN w:val="0"/>
        <w:textAlignment w:val="baseline"/>
      </w:pPr>
      <w:r w:rsidRPr="00A553BA">
        <w:t>Model 3: GP partners from Practice A join the partnership of Practice B and Practice A ceases trading.  The Commissioner terminates Practice A's contract and varies Practice B's contract to include the services originally provided by Practice A.  This may happen with more than two practices so that the larger partnership holds one larger contract for services originally provided by a number of practices under a number of contracts.  The parties are likely to enter into a business transfer agreement for the transfer of assets and staff.</w:t>
      </w:r>
    </w:p>
    <w:p w14:paraId="03631492" w14:textId="53594F98" w:rsidR="00507C55" w:rsidRPr="00A553BA" w:rsidRDefault="00507C55" w:rsidP="00A553BA">
      <w:pPr>
        <w:pStyle w:val="Heading4"/>
        <w:suppressAutoHyphens/>
        <w:autoSpaceDN w:val="0"/>
        <w:textAlignment w:val="baseline"/>
      </w:pPr>
      <w:r w:rsidRPr="00A553BA">
        <w:t>Model 4: GP providers come together to create a new legal entity (for example, the GP partners become shareholders of a new company limited by shares).  This may involve:</w:t>
      </w:r>
    </w:p>
    <w:p w14:paraId="0B18E1BC" w14:textId="05171D61" w:rsidR="00507C55" w:rsidRDefault="00507C55" w:rsidP="006C3DF5">
      <w:pPr>
        <w:pStyle w:val="Heading5"/>
        <w:numPr>
          <w:ilvl w:val="0"/>
          <w:numId w:val="157"/>
        </w:numPr>
        <w:suppressAutoHyphens/>
        <w:autoSpaceDN w:val="0"/>
        <w:textAlignment w:val="baseline"/>
      </w:pPr>
      <w:r w:rsidRPr="00A553BA">
        <w:rPr>
          <w:color w:val="000000"/>
        </w:rPr>
        <w:t>novating the existing GP contracts to the new entity</w:t>
      </w:r>
      <w:r>
        <w:rPr>
          <w:rFonts w:cs="Times New Roman"/>
          <w:bCs w:val="0"/>
          <w:iCs/>
          <w:color w:val="000000"/>
        </w:rPr>
        <w:t xml:space="preserve"> (see also 7.10 (incorporation))</w:t>
      </w:r>
      <w:r w:rsidRPr="00E509C8">
        <w:rPr>
          <w:rFonts w:cs="Times New Roman"/>
          <w:bCs w:val="0"/>
          <w:iCs/>
          <w:color w:val="000000"/>
        </w:rPr>
        <w:t>;</w:t>
      </w:r>
    </w:p>
    <w:p w14:paraId="5498A1B8" w14:textId="13E26368" w:rsidR="00507C55" w:rsidRPr="00A553BA" w:rsidRDefault="00507C55" w:rsidP="006C3DF5">
      <w:pPr>
        <w:pStyle w:val="Heading5"/>
        <w:numPr>
          <w:ilvl w:val="0"/>
          <w:numId w:val="157"/>
        </w:numPr>
        <w:suppressAutoHyphens/>
        <w:autoSpaceDN w:val="0"/>
        <w:textAlignment w:val="baseline"/>
        <w:rPr>
          <w:color w:val="000000"/>
        </w:rPr>
      </w:pPr>
      <w:r w:rsidRPr="00A553BA">
        <w:rPr>
          <w:color w:val="000000"/>
        </w:rPr>
        <w:t>terminating the majority of the existing GP contracts and varying one to include all existing services; or</w:t>
      </w:r>
    </w:p>
    <w:p w14:paraId="7E80E110" w14:textId="6F0C4AAB" w:rsidR="00507C55" w:rsidRPr="00A553BA" w:rsidRDefault="00507C55" w:rsidP="006C3DF5">
      <w:pPr>
        <w:pStyle w:val="Heading5"/>
        <w:numPr>
          <w:ilvl w:val="0"/>
          <w:numId w:val="157"/>
        </w:numPr>
        <w:suppressAutoHyphens/>
        <w:autoSpaceDN w:val="0"/>
        <w:textAlignment w:val="baseline"/>
        <w:rPr>
          <w:color w:val="000000"/>
        </w:rPr>
      </w:pPr>
      <w:r w:rsidRPr="00A553BA">
        <w:rPr>
          <w:color w:val="000000"/>
        </w:rPr>
        <w:t>terminating the existing GP contracts and directly awarding a new contract to the new entity.</w:t>
      </w:r>
    </w:p>
    <w:p w14:paraId="31471F1F" w14:textId="459983AC" w:rsidR="00507C55" w:rsidRDefault="00507C55" w:rsidP="00A553BA">
      <w:pPr>
        <w:pStyle w:val="Heading3"/>
        <w:suppressAutoHyphens/>
        <w:autoSpaceDN w:val="0"/>
        <w:textAlignment w:val="baseline"/>
      </w:pPr>
      <w:r>
        <w:t>Practice mergers can be complex matters which should not be approached lightly by either the contractors or the Commissioner.  Where a practice merger requires amendments to the practice contracts, the final commissioning decision on whether contracts should be amended to effect the proposed merger, lies with the Commissioner.  The Commissioner does not have to agree to change the existing contracts and there are a number of important issues that would need to be considered, prior to giving consent. An overview of the potential issues is set out below. This is by no means an exhaustive list and the Commissioner should refer to and seek appropriate guidance in each case to ensure that all relevant matters are considered. Some of the factors set out in 7.10 in deciding on whether to agree to a novation are likely to be relevant here too, so please refer to that section for more information.</w:t>
      </w:r>
    </w:p>
    <w:p w14:paraId="1081A8EE" w14:textId="77777777" w:rsidR="00507C55" w:rsidRPr="00A553BA" w:rsidRDefault="00507C55" w:rsidP="00E509C8">
      <w:pPr>
        <w:pStyle w:val="BodyText"/>
        <w:rPr>
          <w:b/>
        </w:rPr>
      </w:pPr>
      <w:r w:rsidRPr="00E509C8">
        <w:rPr>
          <w:b/>
          <w:sz w:val="24"/>
        </w:rPr>
        <w:t xml:space="preserve">Benefits to patients </w:t>
      </w:r>
    </w:p>
    <w:p w14:paraId="593A5C92" w14:textId="2D5D3993" w:rsidR="00507C55" w:rsidRDefault="00507C55" w:rsidP="00A553BA">
      <w:pPr>
        <w:pStyle w:val="Heading3"/>
        <w:suppressAutoHyphens/>
        <w:autoSpaceDN w:val="0"/>
        <w:textAlignment w:val="baseline"/>
      </w:pPr>
      <w:r>
        <w:t xml:space="preserve">The Commissioner should consider the following matters in relation to the effect of the proposed practice merger on patients: </w:t>
      </w:r>
    </w:p>
    <w:p w14:paraId="2EFE2A07" w14:textId="6C7678F1" w:rsidR="00507C55" w:rsidRPr="00A553BA" w:rsidRDefault="00507C55" w:rsidP="00A553BA">
      <w:pPr>
        <w:pStyle w:val="Heading4"/>
        <w:suppressAutoHyphens/>
        <w:autoSpaceDN w:val="0"/>
        <w:textAlignment w:val="baseline"/>
      </w:pPr>
      <w:r w:rsidRPr="00A553BA">
        <w:t>how patients would access a single service;</w:t>
      </w:r>
    </w:p>
    <w:p w14:paraId="679F11FA" w14:textId="180AACC4" w:rsidR="00507C55" w:rsidRPr="00A553BA" w:rsidRDefault="00507C55" w:rsidP="00A553BA">
      <w:pPr>
        <w:pStyle w:val="Heading4"/>
        <w:suppressAutoHyphens/>
        <w:autoSpaceDN w:val="0"/>
        <w:textAlignment w:val="baseline"/>
      </w:pPr>
      <w:r w:rsidRPr="00A553BA">
        <w:t>what would the practice boundary be (inner and outer);</w:t>
      </w:r>
    </w:p>
    <w:p w14:paraId="5C818FF1" w14:textId="6C928E60" w:rsidR="00507C55" w:rsidRPr="00A553BA" w:rsidRDefault="00507C55" w:rsidP="00A553BA">
      <w:pPr>
        <w:pStyle w:val="Heading4"/>
        <w:suppressAutoHyphens/>
        <w:autoSpaceDN w:val="0"/>
        <w:textAlignment w:val="baseline"/>
      </w:pPr>
      <w:r w:rsidRPr="00A553BA">
        <w:t>assurances that all patients will access a single service with consistency across provision, i.e. home visits, booking appointments, essential and additional services, opening hours, extended hours, and so on, single IT and phone system;</w:t>
      </w:r>
    </w:p>
    <w:p w14:paraId="717BEE82" w14:textId="62CECE67" w:rsidR="00507C55" w:rsidRPr="00A553BA" w:rsidRDefault="00507C55" w:rsidP="00A553BA">
      <w:pPr>
        <w:pStyle w:val="Heading4"/>
        <w:suppressAutoHyphens/>
        <w:autoSpaceDN w:val="0"/>
        <w:textAlignment w:val="baseline"/>
      </w:pPr>
      <w:r w:rsidRPr="00A553BA">
        <w:t xml:space="preserve">premises arrangements and accessibility of those premises to patients; </w:t>
      </w:r>
    </w:p>
    <w:p w14:paraId="3A79E8E3" w14:textId="32D14027" w:rsidR="00507C55" w:rsidRPr="00A553BA" w:rsidRDefault="00507C55" w:rsidP="00A553BA">
      <w:pPr>
        <w:pStyle w:val="Heading4"/>
        <w:suppressAutoHyphens/>
        <w:autoSpaceDN w:val="0"/>
        <w:textAlignment w:val="baseline"/>
        <w:rPr>
          <w:b/>
          <w:color w:val="000000"/>
        </w:rPr>
      </w:pPr>
      <w:r w:rsidRPr="00A553BA">
        <w:t>proposed arrangements for involving the patients about the proposed changes, communicating the change to patients and ensuring patient choice throughout</w:t>
      </w:r>
      <w:r>
        <w:t xml:space="preserve">; </w:t>
      </w:r>
    </w:p>
    <w:p w14:paraId="71E82973" w14:textId="77777777" w:rsidR="00507C55" w:rsidRPr="00E509C8" w:rsidRDefault="00507C55" w:rsidP="00E509C8">
      <w:pPr>
        <w:pStyle w:val="Heading4"/>
        <w:suppressAutoHyphens/>
        <w:autoSpaceDN w:val="0"/>
        <w:textAlignment w:val="baseline"/>
        <w:rPr>
          <w:b/>
          <w:color w:val="000000"/>
        </w:rPr>
      </w:pPr>
      <w:r>
        <w:t>the impact on patient choice; and</w:t>
      </w:r>
    </w:p>
    <w:p w14:paraId="728B0A93" w14:textId="77777777" w:rsidR="00507C55" w:rsidRPr="00471553" w:rsidRDefault="00507C55" w:rsidP="00507C55">
      <w:pPr>
        <w:pStyle w:val="Heading4"/>
        <w:suppressAutoHyphens/>
        <w:autoSpaceDN w:val="0"/>
        <w:textAlignment w:val="baseline"/>
        <w:rPr>
          <w:b/>
          <w:szCs w:val="24"/>
        </w:rPr>
      </w:pPr>
      <w:r>
        <w:t>how the proposed merger is intended to benefit patients.</w:t>
      </w:r>
    </w:p>
    <w:p w14:paraId="5B219586" w14:textId="77777777" w:rsidR="00507C55" w:rsidRPr="00A553BA" w:rsidRDefault="00507C55" w:rsidP="00A553BA">
      <w:pPr>
        <w:pStyle w:val="Heading4"/>
        <w:numPr>
          <w:ilvl w:val="0"/>
          <w:numId w:val="0"/>
        </w:numPr>
        <w:rPr>
          <w:b/>
          <w:color w:val="000000"/>
        </w:rPr>
      </w:pPr>
      <w:r w:rsidRPr="00A553BA">
        <w:rPr>
          <w:b/>
          <w:color w:val="000000"/>
        </w:rPr>
        <w:t xml:space="preserve">Costs/value for money </w:t>
      </w:r>
    </w:p>
    <w:p w14:paraId="327213B7" w14:textId="0F1568E0" w:rsidR="00507C55" w:rsidRDefault="00507C55" w:rsidP="00A553BA">
      <w:pPr>
        <w:pStyle w:val="Heading3"/>
        <w:suppressAutoHyphens/>
        <w:autoSpaceDN w:val="0"/>
        <w:textAlignment w:val="baseline"/>
      </w:pPr>
      <w:r>
        <w:t>A contract merger is likely to merge two contracts with differing values, this would have an ‘averaging’ effect, possibly resulting in a higher cost per head of population under a single contract than the Commissioner would have expected. For example:</w:t>
      </w:r>
    </w:p>
    <w:p w14:paraId="5D6B2BBF" w14:textId="158B65CD" w:rsidR="00507C55" w:rsidRPr="00A553BA" w:rsidRDefault="00507C55" w:rsidP="00A553BA">
      <w:pPr>
        <w:pStyle w:val="Heading4"/>
        <w:suppressAutoHyphens/>
        <w:autoSpaceDN w:val="0"/>
        <w:textAlignment w:val="baseline"/>
      </w:pPr>
      <w:r w:rsidRPr="00A553BA">
        <w:t>practice A attracts £120 per patient with a list size is 1,400;</w:t>
      </w:r>
    </w:p>
    <w:p w14:paraId="737A172D" w14:textId="1FCD38F9" w:rsidR="00507C55" w:rsidRPr="00A553BA" w:rsidRDefault="00507C55" w:rsidP="00A553BA">
      <w:pPr>
        <w:pStyle w:val="Heading4"/>
        <w:suppressAutoHyphens/>
        <w:autoSpaceDN w:val="0"/>
        <w:textAlignment w:val="baseline"/>
      </w:pPr>
      <w:r w:rsidRPr="00A553BA">
        <w:t>practice B attracts only £90 per patient but has a list size of 5,000;</w:t>
      </w:r>
    </w:p>
    <w:p w14:paraId="2DD7FC8E" w14:textId="1F0F7795" w:rsidR="00507C55" w:rsidRPr="00A553BA" w:rsidRDefault="00507C55" w:rsidP="00A553BA">
      <w:pPr>
        <w:pStyle w:val="Heading4"/>
        <w:suppressAutoHyphens/>
        <w:autoSpaceDN w:val="0"/>
        <w:textAlignment w:val="baseline"/>
      </w:pPr>
      <w:r w:rsidRPr="00A553BA">
        <w:t>practice A’s contract value by registered population = £168,000;</w:t>
      </w:r>
    </w:p>
    <w:p w14:paraId="520099F1" w14:textId="2F6B61C7" w:rsidR="00507C55" w:rsidRPr="00A553BA" w:rsidRDefault="00507C55" w:rsidP="00A553BA">
      <w:pPr>
        <w:pStyle w:val="Heading4"/>
        <w:suppressAutoHyphens/>
        <w:autoSpaceDN w:val="0"/>
        <w:textAlignment w:val="baseline"/>
      </w:pPr>
      <w:r w:rsidRPr="00A553BA">
        <w:t>practice B’s contract value by registered population = £450,000;</w:t>
      </w:r>
    </w:p>
    <w:p w14:paraId="7C1EA1E4" w14:textId="4592D02E" w:rsidR="00507C55" w:rsidRPr="00A553BA" w:rsidRDefault="00507C55" w:rsidP="00A553BA">
      <w:pPr>
        <w:pStyle w:val="Heading4"/>
        <w:suppressAutoHyphens/>
        <w:autoSpaceDN w:val="0"/>
        <w:textAlignment w:val="baseline"/>
      </w:pPr>
      <w:r w:rsidRPr="00A553BA">
        <w:t>total cost to the Commissioner = £618,000;</w:t>
      </w:r>
    </w:p>
    <w:p w14:paraId="3E35A4E2" w14:textId="2C495A17" w:rsidR="00507C55" w:rsidRPr="00A553BA" w:rsidRDefault="00507C55" w:rsidP="00A553BA">
      <w:pPr>
        <w:pStyle w:val="Heading4"/>
        <w:suppressAutoHyphens/>
        <w:autoSpaceDN w:val="0"/>
        <w:textAlignment w:val="baseline"/>
      </w:pPr>
      <w:r w:rsidRPr="00A553BA">
        <w:t>a merger would result in a list size of 6,400 patients and as result the per patient cost would require renegotiation</w:t>
      </w:r>
      <w:r>
        <w:t>.  From a procurement perspective, the Commissioner should not usually enter into a new contract at a higher value than that covering the existing contracts.</w:t>
      </w:r>
    </w:p>
    <w:p w14:paraId="2B035216" w14:textId="1511F4FB" w:rsidR="00507C55" w:rsidRDefault="00507C55" w:rsidP="00A553BA">
      <w:pPr>
        <w:pStyle w:val="Heading3"/>
        <w:suppressAutoHyphens/>
        <w:autoSpaceDN w:val="0"/>
        <w:textAlignment w:val="baseline"/>
      </w:pPr>
      <w:r>
        <w:t>There may be other financial arrangements that need to be considered including but not limited to:</w:t>
      </w:r>
    </w:p>
    <w:p w14:paraId="3970E39E" w14:textId="6CF005BE" w:rsidR="00507C55" w:rsidRPr="00A553BA" w:rsidRDefault="00507C55" w:rsidP="00A553BA">
      <w:pPr>
        <w:pStyle w:val="Heading4"/>
        <w:suppressAutoHyphens/>
        <w:autoSpaceDN w:val="0"/>
        <w:textAlignment w:val="baseline"/>
      </w:pPr>
      <w:r w:rsidRPr="00A553BA">
        <w:t>the impact of directions under the Statement of Financial Entitlements, or any specific terms included in the individual contracts;</w:t>
      </w:r>
    </w:p>
    <w:p w14:paraId="3AD90522" w14:textId="4F192B94" w:rsidR="00507C55" w:rsidRPr="00A553BA" w:rsidRDefault="00507C55" w:rsidP="00A553BA">
      <w:pPr>
        <w:pStyle w:val="Heading4"/>
        <w:suppressAutoHyphens/>
        <w:autoSpaceDN w:val="0"/>
        <w:textAlignment w:val="baseline"/>
      </w:pPr>
      <w:r w:rsidRPr="00A553BA">
        <w:t>QOF - merging contracts midway through a financial year in respect of QOF achievements and payments is enormously complex and requires significant safeguards to be built in to ensure there is no duplication of payments at year-end. There will also be an averaging of the arrangements and achievements in this respect too. For example:</w:t>
      </w:r>
    </w:p>
    <w:p w14:paraId="32A6AFEF" w14:textId="77777777" w:rsidR="00507C55" w:rsidRDefault="00507C55" w:rsidP="00507C55">
      <w:pPr>
        <w:rPr>
          <w:rFonts w:cs="Arial"/>
          <w:szCs w:val="24"/>
        </w:rPr>
      </w:pPr>
    </w:p>
    <w:p w14:paraId="3FB841B6" w14:textId="13A9B9CA" w:rsidR="00507C55" w:rsidRDefault="00507C55" w:rsidP="00A553BA">
      <w:pPr>
        <w:pStyle w:val="Heading4"/>
        <w:suppressAutoHyphens/>
        <w:autoSpaceDN w:val="0"/>
        <w:textAlignment w:val="baseline"/>
      </w:pPr>
      <w:r>
        <w:t>practice A has always achieved highly against each indicator of QOF;</w:t>
      </w:r>
    </w:p>
    <w:p w14:paraId="1ABDAD73" w14:textId="714938DF" w:rsidR="00507C55" w:rsidRDefault="00507C55" w:rsidP="00A553BA">
      <w:pPr>
        <w:pStyle w:val="Heading4"/>
        <w:suppressAutoHyphens/>
        <w:autoSpaceDN w:val="0"/>
        <w:textAlignment w:val="baseline"/>
      </w:pPr>
      <w:r>
        <w:t>practice B has struggled to meet the criteria under several of the indicators;</w:t>
      </w:r>
    </w:p>
    <w:p w14:paraId="79B3CF71" w14:textId="2117AF96" w:rsidR="00507C55" w:rsidRDefault="00507C55" w:rsidP="00A553BA">
      <w:pPr>
        <w:pStyle w:val="Heading4"/>
        <w:suppressAutoHyphens/>
        <w:autoSpaceDN w:val="0"/>
        <w:textAlignment w:val="baseline"/>
      </w:pPr>
      <w:r>
        <w:t>the results of a merger might be a single practice with mediocre achievement against aspirations and this would affect the aspirational payment that the single contract would attract; and</w:t>
      </w:r>
    </w:p>
    <w:p w14:paraId="022A2AE0" w14:textId="50153CEE" w:rsidR="00507C55" w:rsidRDefault="00507C55" w:rsidP="00A553BA">
      <w:pPr>
        <w:pStyle w:val="Heading4"/>
        <w:suppressAutoHyphens/>
        <w:autoSpaceDN w:val="0"/>
        <w:textAlignment w:val="baseline"/>
      </w:pPr>
      <w:r w:rsidRPr="00A553BA">
        <w:t>premises reimbursements.</w:t>
      </w:r>
    </w:p>
    <w:p w14:paraId="59CF5060" w14:textId="014B4B85" w:rsidR="00EF0AF6" w:rsidRDefault="00EF0AF6" w:rsidP="00EF0AF6">
      <w:pPr>
        <w:rPr>
          <w:lang w:eastAsia="en-GB"/>
        </w:rPr>
      </w:pPr>
    </w:p>
    <w:p w14:paraId="409CDC39" w14:textId="5CB9454E" w:rsidR="00EF0AF6" w:rsidRDefault="00EF0AF6" w:rsidP="00EF0AF6">
      <w:pPr>
        <w:rPr>
          <w:lang w:eastAsia="en-GB"/>
        </w:rPr>
      </w:pPr>
    </w:p>
    <w:p w14:paraId="4AA4BB65" w14:textId="77777777" w:rsidR="00EF0AF6" w:rsidRPr="002B01B5" w:rsidRDefault="00EF0AF6" w:rsidP="002B01B5">
      <w:pPr>
        <w:rPr>
          <w:lang w:eastAsia="en-GB"/>
        </w:rPr>
      </w:pPr>
    </w:p>
    <w:p w14:paraId="26BB7A90" w14:textId="77777777" w:rsidR="00507C55" w:rsidRDefault="00507C55" w:rsidP="00507C55">
      <w:pPr>
        <w:rPr>
          <w:rFonts w:cs="Arial"/>
          <w:szCs w:val="24"/>
        </w:rPr>
      </w:pPr>
    </w:p>
    <w:p w14:paraId="0159C015" w14:textId="77777777" w:rsidR="00507C55" w:rsidRPr="00A553BA" w:rsidRDefault="00507C55" w:rsidP="00E509C8">
      <w:pPr>
        <w:ind w:firstLine="720"/>
        <w:rPr>
          <w:b/>
        </w:rPr>
      </w:pPr>
      <w:r w:rsidRPr="00A553BA">
        <w:rPr>
          <w:b/>
        </w:rPr>
        <w:t>General duties of NHS England</w:t>
      </w:r>
    </w:p>
    <w:p w14:paraId="6B2AA0F8" w14:textId="77777777" w:rsidR="00507C55" w:rsidRDefault="00507C55" w:rsidP="00E509C8">
      <w:pPr>
        <w:ind w:firstLine="720"/>
        <w:rPr>
          <w:rFonts w:cs="Arial"/>
          <w:szCs w:val="24"/>
        </w:rPr>
      </w:pPr>
    </w:p>
    <w:p w14:paraId="5D6E44E7" w14:textId="3997EE93" w:rsidR="00507C55" w:rsidRDefault="00507C55" w:rsidP="00A553BA">
      <w:pPr>
        <w:pStyle w:val="Heading3"/>
        <w:suppressAutoHyphens/>
        <w:autoSpaceDN w:val="0"/>
        <w:textAlignment w:val="baseline"/>
      </w:pPr>
      <w:r>
        <w:t xml:space="preserve">The general duties of NHS England/the Commissioner are likely to be relevant to a decision by the Commissioner to approve a practice merger that results in changes to the way services are delivered. </w:t>
      </w:r>
    </w:p>
    <w:p w14:paraId="6A562C34" w14:textId="54C6FFCD" w:rsidR="00507C55" w:rsidRDefault="00507C55" w:rsidP="00A553BA">
      <w:pPr>
        <w:pStyle w:val="Heading3"/>
        <w:suppressAutoHyphens/>
        <w:autoSpaceDN w:val="0"/>
        <w:textAlignment w:val="baseline"/>
      </w:pPr>
      <w:r>
        <w:t xml:space="preserve">As set out in  chapter 4 on NHS England's general duties, section 13Q of the NHS Act 2006 requires NHS England to make arrangements to involve the public in the commissioning of services (see the box at the end of this section in relation to </w:t>
      </w:r>
      <w:r w:rsidR="00B83042">
        <w:t>CCG/ICB</w:t>
      </w:r>
      <w:r>
        <w:t xml:space="preserve"> duties). The requirements are triggered if there are proposals that mean that patients would experience a change to the range of services available or the manner in which they are delivered (e.g. if a practice is closed following a practice merger).</w:t>
      </w:r>
    </w:p>
    <w:p w14:paraId="06EAC260" w14:textId="081270CF" w:rsidR="00507C55" w:rsidRDefault="00507C55" w:rsidP="00A553BA">
      <w:pPr>
        <w:pStyle w:val="Heading3"/>
        <w:suppressAutoHyphens/>
        <w:autoSpaceDN w:val="0"/>
        <w:textAlignment w:val="baseline"/>
      </w:pPr>
      <w:r>
        <w:t>As set out in the chapter on NHS England's general duties, NHS England has published guidance on section 13Q in the form of "The Statement of Arrangements &amp; Guidance on Patient and Public Participation in Commissioning" (the "Statement").</w:t>
      </w:r>
    </w:p>
    <w:p w14:paraId="772F9D89" w14:textId="467E630E" w:rsidR="00507C55" w:rsidRDefault="00507C55" w:rsidP="00A553BA">
      <w:pPr>
        <w:pStyle w:val="Heading3"/>
        <w:suppressAutoHyphens/>
        <w:autoSpaceDN w:val="0"/>
        <w:textAlignment w:val="baseline"/>
      </w:pPr>
      <w:r>
        <w:t>The Statement sets out that a change in the GP delivering the service is not usually enough to trigger the duty but that care must be taken if a change in personnel makes services less accessible to patient groups (e.g. because patients wish to be treated by someone of the same religion and gender as them). Where a practice merger may result in a change of the personnel delivering the service, the Commissioner should be alert to this.</w:t>
      </w:r>
    </w:p>
    <w:p w14:paraId="78BB879A" w14:textId="79AAF037" w:rsidR="00507C55" w:rsidRDefault="00507C55" w:rsidP="00A553BA">
      <w:pPr>
        <w:pStyle w:val="Heading3"/>
        <w:suppressAutoHyphens/>
        <w:autoSpaceDN w:val="0"/>
        <w:textAlignment w:val="baseline"/>
      </w:pPr>
      <w:r>
        <w:t>In practice, what will be sufficient in terms of patient involvement is very context specific. The extent of the patient engagement activities required will depend on a number of factors including the extent of the impact any changes will have. As a general rule, the greater the extent of changes and number of people affected, the greater the level of activity that is likely to be necessary to achieve an appropriate level of public involvement.</w:t>
      </w:r>
    </w:p>
    <w:p w14:paraId="4D4E2272" w14:textId="2DCE6FE8" w:rsidR="00507C55" w:rsidRDefault="00507C55" w:rsidP="00A553BA">
      <w:pPr>
        <w:pStyle w:val="Heading3"/>
        <w:suppressAutoHyphens/>
        <w:autoSpaceDN w:val="0"/>
        <w:textAlignment w:val="baseline"/>
      </w:pPr>
      <w:r>
        <w:t>Generally speaking, to meet the section 13Q duty, involvement needs to apply to and inform the whole decision making process, but this does not mean that patients need to be actively involved at every moment. Provided involvement is suitably built into the overall process, its timing can be arranged at stages to suit the Commissioner's decision-making processes. In particular, it is not necessary to involve patients immediately at the outset of any planning/consideration/decision making process in relation to any proposals of the commissioning of new services, provided patient involvement is planned for some early stage in the process. The plans for patient involvement should be clearly documented from the outset and the Commissioner should consider liaising with patient representative groups, such as local Healthwatch or the practices' patient participation group.</w:t>
      </w:r>
    </w:p>
    <w:p w14:paraId="498C40DC" w14:textId="63A7EFEB" w:rsidR="00507C55" w:rsidRDefault="00507C55" w:rsidP="00A553BA">
      <w:pPr>
        <w:pStyle w:val="Heading3"/>
        <w:suppressAutoHyphens/>
        <w:autoSpaceDN w:val="0"/>
        <w:textAlignment w:val="baseline"/>
      </w:pPr>
      <w:r>
        <w:t>The timing of public involvement is again a matter of broad discretion for the Commissioner. However, any involvement should be meaningful. As such, the Commissioner should involve patients at the time proposals are developed and considered. Overall, it is helpful to bear in mind the "Gunning" principles (these are used to judge whether or not a consultation exercise has been "fair" but are useful when making arrangements for patient and public involvement), as follows:</w:t>
      </w:r>
    </w:p>
    <w:p w14:paraId="24A122C6" w14:textId="3CAC0601" w:rsidR="00507C55" w:rsidRPr="00A553BA" w:rsidRDefault="00507C55" w:rsidP="00A553BA">
      <w:pPr>
        <w:pStyle w:val="Heading3"/>
        <w:suppressAutoHyphens/>
        <w:autoSpaceDN w:val="0"/>
        <w:textAlignment w:val="baseline"/>
      </w:pPr>
      <w:r w:rsidRPr="00A553BA">
        <w:t>Involvement should take place when the proposal is still at a formative stage;</w:t>
      </w:r>
    </w:p>
    <w:p w14:paraId="54BFBA27" w14:textId="2E6F22F7" w:rsidR="00507C55" w:rsidRPr="00A553BA" w:rsidRDefault="00507C55" w:rsidP="00A553BA">
      <w:pPr>
        <w:pStyle w:val="Heading3"/>
        <w:suppressAutoHyphens/>
        <w:autoSpaceDN w:val="0"/>
        <w:textAlignment w:val="baseline"/>
      </w:pPr>
      <w:r w:rsidRPr="00A553BA">
        <w:t>Sufficient information regarding the proposals should be provided, to allow meaningful involvement;</w:t>
      </w:r>
    </w:p>
    <w:p w14:paraId="5A555B29" w14:textId="789D25F5" w:rsidR="00507C55" w:rsidRPr="00A553BA" w:rsidRDefault="00507C55" w:rsidP="00A553BA">
      <w:pPr>
        <w:pStyle w:val="Heading3"/>
        <w:suppressAutoHyphens/>
        <w:autoSpaceDN w:val="0"/>
        <w:textAlignment w:val="baseline"/>
      </w:pPr>
      <w:r w:rsidRPr="00A553BA">
        <w:t>Adequate time should be given for consideration of the information provided and for response;</w:t>
      </w:r>
    </w:p>
    <w:p w14:paraId="17970A71" w14:textId="3FC62C1A" w:rsidR="00507C55" w:rsidRPr="00A553BA" w:rsidRDefault="00507C55" w:rsidP="00A553BA">
      <w:pPr>
        <w:pStyle w:val="Heading3"/>
        <w:suppressAutoHyphens/>
        <w:autoSpaceDN w:val="0"/>
        <w:textAlignment w:val="baseline"/>
      </w:pPr>
      <w:r w:rsidRPr="00A553BA">
        <w:t>The product of the involvement should be conscientiously taken into account by the decision-maker.</w:t>
      </w:r>
    </w:p>
    <w:p w14:paraId="18783CA9" w14:textId="3096C447" w:rsidR="00507C55" w:rsidRPr="00A553BA" w:rsidRDefault="00507C55" w:rsidP="00A553BA">
      <w:pPr>
        <w:pStyle w:val="Heading3"/>
        <w:suppressAutoHyphens/>
        <w:autoSpaceDN w:val="0"/>
        <w:textAlignment w:val="baseline"/>
      </w:pPr>
      <w:r w:rsidRPr="00A553BA">
        <w:t>Separately, bearing in mind the Commissioner's equalities responsibilities, the Commissioner should consider carrying out an Equality Impact Assessment, to check whether any specific groups of people require specific or enhanced forms of involvement.</w:t>
      </w:r>
    </w:p>
    <w:p w14:paraId="57BBEE4B" w14:textId="77777777" w:rsidR="00507C55" w:rsidRPr="00A553BA" w:rsidRDefault="00507C55" w:rsidP="00E509C8">
      <w:pPr>
        <w:pStyle w:val="BodyText"/>
        <w:rPr>
          <w:b/>
        </w:rPr>
      </w:pPr>
      <w:r w:rsidRPr="00E509C8">
        <w:rPr>
          <w:b/>
          <w:sz w:val="24"/>
        </w:rPr>
        <w:t>Competition</w:t>
      </w:r>
    </w:p>
    <w:p w14:paraId="5FB19759" w14:textId="7184397F" w:rsidR="00507C55" w:rsidRDefault="00507C55" w:rsidP="00A553BA">
      <w:pPr>
        <w:pStyle w:val="Heading3"/>
        <w:suppressAutoHyphens/>
        <w:autoSpaceDN w:val="0"/>
        <w:textAlignment w:val="baseline"/>
      </w:pPr>
      <w:r>
        <w:t>It is important to consider the competition impact of a proposed merger. It is possible that the Competition and Markets Authority ("CMA") may take an interest in merger control, where practices are brought under some form of common ownership or common control. This could happen under certain types of merger model (for example, via a corporate structure), but by no means all.</w:t>
      </w:r>
    </w:p>
    <w:p w14:paraId="3B0824F2" w14:textId="220E4C8E" w:rsidR="00507C55" w:rsidRDefault="00507C55" w:rsidP="00507C55">
      <w:pPr>
        <w:pStyle w:val="Heading3"/>
        <w:suppressAutoHyphens/>
        <w:autoSpaceDN w:val="0"/>
        <w:textAlignment w:val="baseline"/>
      </w:pPr>
      <w:r>
        <w:t>If no one party has a sufficient degree of ownership or control over the practice merger (usually via a shareholding exceeding 25%) then the whole arrangement would remain a contractual one. However, if a party has a 25% or more shareholding, a "relevant merger situation" could be created, meaning that the CMA would then have the right to examine the practice merger, and whether it poses the risk of a substantial lessening of competition in any market in the UK.  Commissioners should be aware that as practice mergers move towards the creation of more and larger “super-practices”, it becomes more likely that the CMA may take an interest in competition in the market for these services.</w:t>
      </w:r>
    </w:p>
    <w:p w14:paraId="427E3C2B" w14:textId="6655B0DA" w:rsidR="00507C55" w:rsidRPr="003F1BA7" w:rsidRDefault="00507C55" w:rsidP="00A553BA"/>
    <w:p w14:paraId="7FD718CE" w14:textId="2DE7CE41" w:rsidR="00507C55" w:rsidRDefault="00507C55" w:rsidP="00A553BA">
      <w:pPr>
        <w:pStyle w:val="Heading3"/>
        <w:suppressAutoHyphens/>
        <w:autoSpaceDN w:val="0"/>
        <w:textAlignment w:val="baseline"/>
      </w:pPr>
      <w:r>
        <w:t>The outcome of any examination by the CMA is not easy to predict. However, in NHS hospital mergers the issue is usually whether, if the CMA identifies a risk of a substantial lessening of competition, that risk is counterbalanced by benefits for patients. Therefore, the commissioner should clearly articulate the benefits of delivering Primary Care at scale in its Primary Care strategy and should always consider whether a proposed merger will benefit patients.  If the Commissioner considers that there will not be any benefit to patients, it may be reasonable to refuse its consent to the merger.</w:t>
      </w:r>
    </w:p>
    <w:p w14:paraId="79DF9935" w14:textId="30E063CA" w:rsidR="00507C55" w:rsidRDefault="00EF433F" w:rsidP="00A553BA">
      <w:pPr>
        <w:pStyle w:val="Heading3"/>
        <w:suppressAutoHyphens/>
        <w:autoSpaceDN w:val="0"/>
        <w:textAlignment w:val="baseline"/>
      </w:pPr>
      <w:r>
        <w:t>Additionally,</w:t>
      </w:r>
      <w:r w:rsidR="00507C55">
        <w:t xml:space="preserve"> there are competition law prohibitions on anti-competitive agreements and practice and the abuse of a dominant position. There is, however, some uncertainty as to how competition law applies in detail to the activities of GPs operating solely within an NHS contractual framework. </w:t>
      </w:r>
    </w:p>
    <w:p w14:paraId="1205888F" w14:textId="4445558A" w:rsidR="00507C55" w:rsidRDefault="00507C55" w:rsidP="00E509C8">
      <w:pPr>
        <w:pStyle w:val="Heading3"/>
        <w:suppressAutoHyphens/>
        <w:autoSpaceDN w:val="0"/>
        <w:textAlignment w:val="baseline"/>
      </w:pPr>
      <w:r>
        <w:t>Commissioners should take advice if they are considering a large scale merger where they are concerned about the potential competition implications.</w:t>
      </w:r>
    </w:p>
    <w:p w14:paraId="795484A0" w14:textId="1E59CBD2" w:rsidR="00507C55" w:rsidRDefault="00507C55" w:rsidP="00A553BA">
      <w:pPr>
        <w:pStyle w:val="Heading3"/>
        <w:suppressAutoHyphens/>
        <w:autoSpaceDN w:val="0"/>
        <w:textAlignment w:val="baseline"/>
      </w:pPr>
      <w:r>
        <w:t xml:space="preserve">The NHS (Procurement, Patient Choice and Competition) Regulations 2013 ("PPCC") (enforced by NHS Improvement) require Commissioners not to engage in "anti-competitive behaviour" when commissioning health care services for the purposes of the NHS, unless to do so is in the interests of people who use the services. This includes where services are provided in an integrated way and when providers co-operate in providing the services to improve their quality. The Commissioner should therefore consider, case by case, whether a merger is likely to improve the quality of the services and record this decision.  </w:t>
      </w:r>
    </w:p>
    <w:p w14:paraId="3A70F48C" w14:textId="74989CFD" w:rsidR="00507C55" w:rsidRDefault="00507C55" w:rsidP="00A553BA">
      <w:pPr>
        <w:pStyle w:val="Heading3"/>
        <w:suppressAutoHyphens/>
        <w:autoSpaceDN w:val="0"/>
        <w:textAlignment w:val="baseline"/>
      </w:pPr>
      <w:r>
        <w:t>"Arrangements" for the provision of health care services for the purposes of the NHS must not include terms or conditions restricting competition which are not necessary to attain outcomes beneficial for the users of services, or to the general objective of procuring high quality health care services. Again, the Commissioner can assure itself that it is not in breach of this by always considering the impact on the quality of the services following a merger and ensuring that any changes to existing contract terms of the merging practices are appropriate and justifiable.  As a minimum, Commissioners should in any case be assured that there will be no detriment to patients if a merger goes ahead.</w:t>
      </w:r>
    </w:p>
    <w:p w14:paraId="1A62739B" w14:textId="1DCB9464" w:rsidR="00507C55" w:rsidRDefault="00507C55" w:rsidP="00A553BA">
      <w:pPr>
        <w:pStyle w:val="Heading3"/>
        <w:suppressAutoHyphens/>
        <w:autoSpaceDN w:val="0"/>
        <w:textAlignment w:val="baseline"/>
      </w:pPr>
      <w:r>
        <w:t xml:space="preserve">The PPCC require the Commissioner to have regard to how it enables providers to compete to provide the services and allow patients a choice of provider of the services. Providing that the Commissioner considers this against the overall duty to improve the quality of services it will satisfy this requirement – this is not an absolute obligation to ensure that patients have a choice of provider.  </w:t>
      </w:r>
    </w:p>
    <w:p w14:paraId="4DF9C57E" w14:textId="439683CA" w:rsidR="00507C55" w:rsidRDefault="00507C55" w:rsidP="00A553BA">
      <w:pPr>
        <w:pStyle w:val="Heading3"/>
        <w:suppressAutoHyphens/>
        <w:autoSpaceDN w:val="0"/>
        <w:textAlignment w:val="baseline"/>
      </w:pPr>
      <w:r>
        <w:t xml:space="preserve">The Commissioner will be aware of its duty to ensure that it maintains a record of any contract award detailing how the award complies with its duties under sections 13D, 13E and 13N (for NHS England) and sections 14Q, 14R and 14Z1 (for </w:t>
      </w:r>
      <w:r w:rsidR="00B83042">
        <w:t>CCGs/ICBs</w:t>
      </w:r>
      <w:r>
        <w:t>) of the NHS Act 2006 (i.e. duties as to effectiveness, efficiency etc., improvement in quality of services and promoting integration). It is essential for the Commissioner to keep an audit trail of decisions made and have a clear approval process for mergers.</w:t>
      </w:r>
    </w:p>
    <w:p w14:paraId="021A57DB" w14:textId="75ECEA76" w:rsidR="00507C55" w:rsidRDefault="00507C55" w:rsidP="00A553BA">
      <w:pPr>
        <w:pStyle w:val="Heading3"/>
        <w:suppressAutoHyphens/>
        <w:autoSpaceDN w:val="0"/>
        <w:textAlignment w:val="baseline"/>
      </w:pPr>
      <w:r>
        <w:t>In addition to considering the changes that GP mergers bring to the provision of core primary care, the Commissioner also needs to consider the (potentially) dominant or strong market position of such GP providers in the market in respect of future opportunities. Currently, core primary care services and locally enhanced services are dominated by GP providers but as new business models ("NBM") (for example, Multispecialty Community Providers (MCP) and Primary and Acute Care Systems (PACS)) are developed and put out to procurement, large GP providers will be in a strong position to bid for these opportunities or partner with Trusts or other potential providers to form joint ventures to hold such contracts, restricting the available opportunities for other providers to provide services in that area.</w:t>
      </w:r>
    </w:p>
    <w:p w14:paraId="47A9214F" w14:textId="58993701" w:rsidR="00507C55" w:rsidRDefault="00507C55" w:rsidP="00A553BA">
      <w:pPr>
        <w:pStyle w:val="Heading3"/>
        <w:suppressAutoHyphens/>
        <w:autoSpaceDN w:val="0"/>
        <w:textAlignment w:val="baseline"/>
      </w:pPr>
      <w:r>
        <w:t>Not only could NBM contract-holders provide the majority of services in an area but they will be able to control the way that services are delivered, appointing subcontractors as required, and changing the scope of services to meet the contractual outcomes. This could put them in strong market positions, possibly creating local situations of dominance or monopoly. Under these circumstances, either NHS Improvement or the CMA may be alert to possible abuses of dominance, like long term exclusivity or discriminatory behaviour. The Commissioner will need to continue to monitor this position.</w:t>
      </w:r>
    </w:p>
    <w:p w14:paraId="6F4A34A0" w14:textId="77777777" w:rsidR="002B01B5" w:rsidRDefault="002B01B5" w:rsidP="002B01B5">
      <w:pPr>
        <w:pStyle w:val="BodyText"/>
        <w:ind w:firstLine="720"/>
        <w:rPr>
          <w:b/>
          <w:sz w:val="24"/>
        </w:rPr>
      </w:pPr>
    </w:p>
    <w:p w14:paraId="3E6FA8BF" w14:textId="0CBDFAC6" w:rsidR="00507C55" w:rsidRDefault="00507C55" w:rsidP="002B01B5">
      <w:pPr>
        <w:pStyle w:val="BodyText"/>
        <w:rPr>
          <w:b/>
          <w:sz w:val="24"/>
        </w:rPr>
      </w:pPr>
      <w:r w:rsidRPr="00E509C8">
        <w:rPr>
          <w:b/>
          <w:sz w:val="24"/>
        </w:rPr>
        <w:t>Procurement</w:t>
      </w:r>
    </w:p>
    <w:p w14:paraId="026662F4" w14:textId="77777777" w:rsidR="003541EE" w:rsidRPr="00DA790E" w:rsidRDefault="003541EE" w:rsidP="003541EE">
      <w:pPr>
        <w:pStyle w:val="Heading3"/>
        <w:numPr>
          <w:ilvl w:val="0"/>
          <w:numId w:val="0"/>
        </w:numPr>
        <w:rPr>
          <w:sz w:val="22"/>
          <w:szCs w:val="24"/>
        </w:rPr>
      </w:pPr>
      <w:r w:rsidRPr="0038763E">
        <w:rPr>
          <w:sz w:val="22"/>
          <w:szCs w:val="24"/>
          <w:highlight w:val="yellow"/>
        </w:rPr>
        <w:t>Readers note: the procurement elements of this chapter are expected to be superceded in 2022/23 by the new NHS PSR and commissioners should defer to published available guidance.</w:t>
      </w:r>
      <w:r w:rsidRPr="00DA790E">
        <w:rPr>
          <w:sz w:val="22"/>
          <w:szCs w:val="24"/>
        </w:rPr>
        <w:t xml:space="preserve"> </w:t>
      </w:r>
      <w:r w:rsidRPr="003C21B1">
        <w:rPr>
          <w:sz w:val="22"/>
          <w:szCs w:val="24"/>
          <w:highlight w:val="yellow"/>
        </w:rPr>
        <w:t>This section will be upadated integrating the new NHS PSR.</w:t>
      </w:r>
    </w:p>
    <w:p w14:paraId="4415272B" w14:textId="77777777" w:rsidR="00FF50BC" w:rsidRDefault="00FF50BC" w:rsidP="00FF50BC">
      <w:pPr>
        <w:pStyle w:val="Heading3"/>
        <w:numPr>
          <w:ilvl w:val="0"/>
          <w:numId w:val="0"/>
        </w:numPr>
        <w:ind w:left="720"/>
      </w:pPr>
    </w:p>
    <w:p w14:paraId="2054B558" w14:textId="77777777" w:rsidR="00FF50BC" w:rsidRPr="00A553BA" w:rsidRDefault="00FF50BC" w:rsidP="00E509C8">
      <w:pPr>
        <w:pStyle w:val="BodyText"/>
        <w:rPr>
          <w:b/>
        </w:rPr>
      </w:pPr>
    </w:p>
    <w:p w14:paraId="5CA97815" w14:textId="08DFFD87" w:rsidR="00507C55" w:rsidRDefault="00507C55" w:rsidP="00A553BA">
      <w:pPr>
        <w:pStyle w:val="Heading3"/>
        <w:suppressAutoHyphens/>
        <w:autoSpaceDN w:val="0"/>
        <w:textAlignment w:val="baseline"/>
      </w:pPr>
      <w:r>
        <w:t>Practice mergers often require the Commissioner to either:</w:t>
      </w:r>
    </w:p>
    <w:p w14:paraId="6C70AF84" w14:textId="140DE78E" w:rsidR="00507C55" w:rsidRPr="00A553BA" w:rsidRDefault="00507C55" w:rsidP="006C3DF5">
      <w:pPr>
        <w:pStyle w:val="ListParagraph"/>
        <w:numPr>
          <w:ilvl w:val="0"/>
          <w:numId w:val="171"/>
        </w:numPr>
        <w:spacing w:line="360" w:lineRule="auto"/>
        <w:ind w:left="714" w:hanging="357"/>
      </w:pPr>
      <w:r w:rsidRPr="00A553BA">
        <w:t>mutually agree the termination of existing contracts and directly award a new contract to a new legal entity; or</w:t>
      </w:r>
    </w:p>
    <w:p w14:paraId="3A0A5EC1" w14:textId="7478FF4F" w:rsidR="00507C55" w:rsidRPr="00A553BA" w:rsidRDefault="00507C55" w:rsidP="006C3DF5">
      <w:pPr>
        <w:pStyle w:val="ListParagraph"/>
        <w:numPr>
          <w:ilvl w:val="0"/>
          <w:numId w:val="171"/>
        </w:numPr>
        <w:spacing w:line="360" w:lineRule="auto"/>
        <w:ind w:left="714" w:hanging="357"/>
      </w:pPr>
      <w:r w:rsidRPr="00A553BA">
        <w:t>terminate existing contracts and then significantly vary one contract to add all of the terminated services.</w:t>
      </w:r>
    </w:p>
    <w:p w14:paraId="3AE1D912" w14:textId="1CEBB365" w:rsidR="00507C55" w:rsidRDefault="00507C55" w:rsidP="00A553BA">
      <w:pPr>
        <w:pStyle w:val="Heading3"/>
        <w:suppressAutoHyphens/>
        <w:autoSpaceDN w:val="0"/>
        <w:textAlignment w:val="baseline"/>
      </w:pPr>
      <w:r>
        <w:t>The Commissioner's consent is required to vary any terms (e.g. the services, performance standards or pricing etc.) of any GP contract.</w:t>
      </w:r>
    </w:p>
    <w:p w14:paraId="055161E8" w14:textId="46EEAE1E" w:rsidR="00507C55" w:rsidRDefault="00507C55" w:rsidP="00A553BA">
      <w:pPr>
        <w:pStyle w:val="Heading3"/>
        <w:suppressAutoHyphens/>
        <w:autoSpaceDN w:val="0"/>
        <w:textAlignment w:val="baseline"/>
      </w:pPr>
      <w:r>
        <w:t xml:space="preserve">The Public Contracts Regulations ("PCR") 2015 are clear that a material variation to a public contract is likely to require a new procurement procedure as the varied contract will be deemed a new contract for procurement purposes. </w:t>
      </w:r>
    </w:p>
    <w:p w14:paraId="1E25B702" w14:textId="4D9A7F01" w:rsidR="00507C55" w:rsidRDefault="00507C55" w:rsidP="00A553BA">
      <w:pPr>
        <w:pStyle w:val="Heading3"/>
        <w:suppressAutoHyphens/>
        <w:autoSpaceDN w:val="0"/>
        <w:textAlignment w:val="baseline"/>
      </w:pPr>
      <w:r>
        <w:t>There are a number of exceptions to the basic principle that a modified contract will be a new contract requiring a procurement process. These are set out in Regulation 72 of the PCR 2015.</w:t>
      </w:r>
    </w:p>
    <w:p w14:paraId="27EA8445" w14:textId="194DED5B" w:rsidR="00507C55" w:rsidRDefault="00507C55" w:rsidP="00A553BA">
      <w:pPr>
        <w:pStyle w:val="Heading3"/>
        <w:suppressAutoHyphens/>
        <w:autoSpaceDN w:val="0"/>
        <w:textAlignment w:val="baseline"/>
      </w:pPr>
      <w:r>
        <w:t>The most relevant exception is at Regulation 72(1)(d) which enables the Commissioner to vary public contracts "where a new contractor replaces the one to which [NHS England] had initially award the contract as a consequence of…universal or partial succession into the position of the initial contractor, following corporate restructuring, including takeover, merger….etc." The new contractor will need to fulfil the criteria for qualitative selection (i.e. the PQQ) initially established (we appreciate that this may not be the case for GP contracts which are not always procured and may have been in place for a considerable number of years)), there must be no other substantial modifications to the contract and this exemption cannot be relied on if the aim is to circumvent the procurement rules.</w:t>
      </w:r>
    </w:p>
    <w:p w14:paraId="6AE11BE9" w14:textId="4050D13D" w:rsidR="00507C55" w:rsidRDefault="00507C55" w:rsidP="00A553BA">
      <w:pPr>
        <w:pStyle w:val="Heading3"/>
        <w:suppressAutoHyphens/>
        <w:autoSpaceDN w:val="0"/>
        <w:textAlignment w:val="baseline"/>
      </w:pPr>
      <w:r>
        <w:t>Where this exemption applies, it means that where the initial contractors (here, the individual GP practice contractors) merge with each other, their contracts can be varied to enable the new entity (which may be a new corporate entity or a wider group of partners) to hold the larger, varied contract and the Commissioner may not need to procure this new / varied contract.</w:t>
      </w:r>
    </w:p>
    <w:p w14:paraId="58F8B979" w14:textId="210FE845" w:rsidR="00507C55" w:rsidRDefault="00507C55" w:rsidP="00A553BA">
      <w:pPr>
        <w:pStyle w:val="Heading3"/>
        <w:suppressAutoHyphens/>
        <w:autoSpaceDN w:val="0"/>
        <w:textAlignment w:val="baseline"/>
      </w:pPr>
      <w:r>
        <w:t>Pursuant to the PPCC, the Commissioner must consider appropriate means of improving the quality and efficiency of services which may include allowing providers to compete and giving patients a choice of provider. When GP practices merge, this may reduce patient choice and can be problematic in small towns where there has been an irrevocable breakdown in the relationship between the patient and contractor. In these circumstances, if all of the local GP practices merge then that contractor will be a provider of all of the available GP services in the locality which may cause an issue for that particular patient.  In considering the application, it is reasonable for the Commissioner to ask the contractors how they propose to address this issue.</w:t>
      </w:r>
    </w:p>
    <w:p w14:paraId="58F02C4D" w14:textId="77777777" w:rsidR="00507C55" w:rsidRPr="00A553BA" w:rsidRDefault="00507C55" w:rsidP="00E509C8">
      <w:pPr>
        <w:pStyle w:val="BodyText"/>
        <w:rPr>
          <w:b/>
        </w:rPr>
      </w:pPr>
      <w:r w:rsidRPr="00E509C8">
        <w:rPr>
          <w:b/>
          <w:sz w:val="24"/>
        </w:rPr>
        <w:t>Other matters</w:t>
      </w:r>
    </w:p>
    <w:p w14:paraId="10E05B8B" w14:textId="7A4E5C0E" w:rsidR="00507C55" w:rsidRDefault="00507C55" w:rsidP="00A553BA">
      <w:pPr>
        <w:pStyle w:val="Heading3"/>
        <w:suppressAutoHyphens/>
        <w:autoSpaceDN w:val="0"/>
        <w:textAlignment w:val="baseline"/>
      </w:pPr>
      <w:r>
        <w:t>This may include but is not limited to the effect of the practice merger on:</w:t>
      </w:r>
    </w:p>
    <w:p w14:paraId="0A24A79C" w14:textId="2B2E7FBF" w:rsidR="00507C55" w:rsidRPr="00A553BA" w:rsidRDefault="00507C55" w:rsidP="006C3DF5">
      <w:pPr>
        <w:pStyle w:val="ListParagraph"/>
        <w:numPr>
          <w:ilvl w:val="0"/>
          <w:numId w:val="172"/>
        </w:numPr>
        <w:spacing w:line="360" w:lineRule="auto"/>
        <w:ind w:left="714" w:hanging="357"/>
      </w:pPr>
      <w:r w:rsidRPr="00A553BA">
        <w:t>the provision and/or contracting of additional services such as locally commissioned services; and</w:t>
      </w:r>
    </w:p>
    <w:p w14:paraId="3B3EC36B" w14:textId="7777E381" w:rsidR="00507C55" w:rsidRPr="00A553BA" w:rsidRDefault="00507C55" w:rsidP="006C3DF5">
      <w:pPr>
        <w:pStyle w:val="ListParagraph"/>
        <w:numPr>
          <w:ilvl w:val="0"/>
          <w:numId w:val="172"/>
        </w:numPr>
        <w:spacing w:line="360" w:lineRule="auto"/>
        <w:ind w:left="714" w:hanging="357"/>
      </w:pPr>
      <w:r w:rsidRPr="00A553BA">
        <w:t>out of hours opt-outs</w:t>
      </w:r>
      <w:r w:rsidRPr="003F1BA7">
        <w:t xml:space="preserve">. </w:t>
      </w:r>
    </w:p>
    <w:p w14:paraId="71DBBF1A" w14:textId="0815FA4A" w:rsidR="00507C55" w:rsidRDefault="00507C55" w:rsidP="00E509C8">
      <w:pPr>
        <w:pStyle w:val="BodyText"/>
      </w:pPr>
    </w:p>
    <w:p w14:paraId="4E2FA49A" w14:textId="14CA78DF" w:rsidR="00DA1C1E" w:rsidRDefault="00DA1C1E" w:rsidP="00E509C8">
      <w:pPr>
        <w:pStyle w:val="BodyText"/>
      </w:pPr>
    </w:p>
    <w:p w14:paraId="368BBD15" w14:textId="77777777" w:rsidR="00DA1C1E" w:rsidRDefault="00DA1C1E" w:rsidP="00E509C8">
      <w:pPr>
        <w:pStyle w:val="BodyText"/>
      </w:pPr>
    </w:p>
    <w:p w14:paraId="163F437B" w14:textId="77777777" w:rsidR="00507C55" w:rsidRPr="00A553BA" w:rsidRDefault="00507C55" w:rsidP="00E509C8">
      <w:pPr>
        <w:pStyle w:val="BodyText"/>
        <w:rPr>
          <w:b/>
        </w:rPr>
      </w:pPr>
      <w:r w:rsidRPr="00E509C8">
        <w:rPr>
          <w:b/>
          <w:sz w:val="24"/>
        </w:rPr>
        <w:t>Mergers generally</w:t>
      </w:r>
    </w:p>
    <w:p w14:paraId="140C830E" w14:textId="77777777" w:rsidR="00507C55" w:rsidRDefault="00507C55" w:rsidP="00507C55"/>
    <w:p w14:paraId="3F0C5A7F" w14:textId="6FFDF502" w:rsidR="00507C55" w:rsidRDefault="00507C55" w:rsidP="00A553BA">
      <w:pPr>
        <w:pStyle w:val="Heading3"/>
        <w:suppressAutoHyphens/>
        <w:autoSpaceDN w:val="0"/>
        <w:textAlignment w:val="baseline"/>
      </w:pPr>
      <w:r>
        <w:t>In general terms contractual mergers should only be considered in cases of like-for-like contracts, i.e. GMS with GMS and PMS with PMS because of the differences in terms and financial arrangements. However, this does not remove the ability of a PMS provider to request to merge its business with a GMS provider and eventually work under one form of contractual terms.</w:t>
      </w:r>
    </w:p>
    <w:p w14:paraId="57F88CA2" w14:textId="7CAD32CD" w:rsidR="00507C55" w:rsidRDefault="00507C55" w:rsidP="00A553BA">
      <w:pPr>
        <w:pStyle w:val="Heading3"/>
        <w:suppressAutoHyphens/>
        <w:autoSpaceDN w:val="0"/>
        <w:textAlignment w:val="baseline"/>
      </w:pPr>
      <w:r>
        <w:t>Commissioners should advise contractors to seek guidance from their representative bodies in this instance to ensure they follow due process and are fully aware of the implications.</w:t>
      </w:r>
    </w:p>
    <w:p w14:paraId="7537FC2A" w14:textId="1B82E407" w:rsidR="00507C55" w:rsidRDefault="00507C55" w:rsidP="00A553BA">
      <w:pPr>
        <w:pStyle w:val="Heading3"/>
        <w:suppressAutoHyphens/>
        <w:autoSpaceDN w:val="0"/>
        <w:textAlignment w:val="baseline"/>
      </w:pPr>
      <w:r>
        <w:t>It is essential that patients from the terminating contract are included under the remaining contract through bulk transfer where possible to avoid additional cost pressure.</w:t>
      </w:r>
    </w:p>
    <w:p w14:paraId="7FD1C4E0" w14:textId="07729645" w:rsidR="00507C55" w:rsidRDefault="00507C55" w:rsidP="00A553BA">
      <w:pPr>
        <w:pStyle w:val="Heading3"/>
        <w:suppressAutoHyphens/>
        <w:autoSpaceDN w:val="0"/>
        <w:textAlignment w:val="baseline"/>
      </w:pPr>
      <w:r>
        <w:t>The Commissioner must bear in mind that even avoiding this additional cost, once patients are under the new contract, the Carr-Hill formula will be applied and may even then increase the cost of the transferring patients based on one of the other factors, such as rurality, when it may not have applied to the terminating contract.</w:t>
      </w:r>
    </w:p>
    <w:p w14:paraId="2D7ABBB0" w14:textId="51FB919C" w:rsidR="00507C55" w:rsidRDefault="00507C55" w:rsidP="00A553BA">
      <w:pPr>
        <w:pStyle w:val="Heading3"/>
        <w:suppressAutoHyphens/>
        <w:autoSpaceDN w:val="0"/>
        <w:textAlignment w:val="baseline"/>
      </w:pPr>
      <w:r>
        <w:t>The Carr-Hill allocation formula is used to adjust the global sum payment for a number of local demographic and other factors, which may affect a practice workload. For example, a practice with a large number of elderly patients may have a higher workload than one that primarily cares for commuters.</w:t>
      </w:r>
    </w:p>
    <w:p w14:paraId="587F2195" w14:textId="3B0DDE85" w:rsidR="00507C55" w:rsidRDefault="00507C55" w:rsidP="00A553BA">
      <w:pPr>
        <w:pStyle w:val="Heading3"/>
        <w:suppressAutoHyphens/>
        <w:autoSpaceDN w:val="0"/>
        <w:textAlignment w:val="baseline"/>
      </w:pPr>
      <w:r>
        <w:t>The factors included in the Carr-Hill formula are:</w:t>
      </w:r>
    </w:p>
    <w:p w14:paraId="20383862" w14:textId="1E1E6DC8" w:rsidR="00507C55" w:rsidRPr="00A553BA" w:rsidRDefault="00507C55" w:rsidP="006C3DF5">
      <w:pPr>
        <w:pStyle w:val="ListParagraph"/>
        <w:numPr>
          <w:ilvl w:val="0"/>
          <w:numId w:val="200"/>
        </w:numPr>
        <w:spacing w:before="120" w:after="120" w:line="360" w:lineRule="auto"/>
        <w:ind w:left="714" w:hanging="357"/>
      </w:pPr>
      <w:r w:rsidRPr="00A553BA">
        <w:t>patient age and gender (used to reflect frequency of home and surgery visits);</w:t>
      </w:r>
    </w:p>
    <w:p w14:paraId="27D7C69E" w14:textId="106666DA" w:rsidR="00507C55" w:rsidRPr="00A553BA" w:rsidRDefault="00507C55" w:rsidP="006C3DF5">
      <w:pPr>
        <w:pStyle w:val="ListParagraph"/>
        <w:numPr>
          <w:ilvl w:val="0"/>
          <w:numId w:val="200"/>
        </w:numPr>
        <w:spacing w:before="120" w:after="120" w:line="360" w:lineRule="auto"/>
        <w:ind w:left="714" w:hanging="357"/>
      </w:pPr>
      <w:r w:rsidRPr="00A553BA">
        <w:t>additional needs: standardised mortality ratio and standardised long-standing Illness for patients under the age of 65 years;</w:t>
      </w:r>
    </w:p>
    <w:p w14:paraId="1BEB6C06" w14:textId="438480D4" w:rsidR="00507C55" w:rsidRPr="00A553BA" w:rsidRDefault="00507C55" w:rsidP="006C3DF5">
      <w:pPr>
        <w:pStyle w:val="ListParagraph"/>
        <w:numPr>
          <w:ilvl w:val="0"/>
          <w:numId w:val="200"/>
        </w:numPr>
        <w:spacing w:before="120" w:after="120" w:line="360" w:lineRule="auto"/>
        <w:ind w:left="714" w:hanging="357"/>
      </w:pPr>
      <w:r w:rsidRPr="00A553BA">
        <w:t>number of newly registered patients (generate 40% of work in first year);</w:t>
      </w:r>
    </w:p>
    <w:p w14:paraId="319BE6BE" w14:textId="4D4F115E" w:rsidR="00507C55" w:rsidRPr="00A553BA" w:rsidRDefault="00507C55" w:rsidP="006C3DF5">
      <w:pPr>
        <w:pStyle w:val="ListParagraph"/>
        <w:numPr>
          <w:ilvl w:val="0"/>
          <w:numId w:val="200"/>
        </w:numPr>
        <w:spacing w:before="120" w:after="120" w:line="360" w:lineRule="auto"/>
        <w:ind w:left="714" w:hanging="357"/>
      </w:pPr>
      <w:r w:rsidRPr="00A553BA">
        <w:t>rurality;</w:t>
      </w:r>
    </w:p>
    <w:p w14:paraId="44EFC238" w14:textId="4D5FBD9B" w:rsidR="00507C55" w:rsidRPr="00A553BA" w:rsidRDefault="00507C55" w:rsidP="006C3DF5">
      <w:pPr>
        <w:pStyle w:val="ListParagraph"/>
        <w:numPr>
          <w:ilvl w:val="0"/>
          <w:numId w:val="200"/>
        </w:numPr>
        <w:spacing w:before="120" w:after="120" w:line="360" w:lineRule="auto"/>
        <w:ind w:left="714" w:hanging="357"/>
      </w:pPr>
      <w:r w:rsidRPr="00A553BA">
        <w:t xml:space="preserve">costs of living in some geographical </w:t>
      </w:r>
      <w:r w:rsidR="00EF433F" w:rsidRPr="00A553BA">
        <w:t>areas;</w:t>
      </w:r>
      <w:r w:rsidRPr="00A553BA">
        <w:t xml:space="preserve"> and</w:t>
      </w:r>
    </w:p>
    <w:p w14:paraId="3CFAA4DA" w14:textId="359E0181" w:rsidR="00507C55" w:rsidRPr="00A553BA" w:rsidRDefault="00507C55" w:rsidP="006C3DF5">
      <w:pPr>
        <w:pStyle w:val="ListParagraph"/>
        <w:numPr>
          <w:ilvl w:val="0"/>
          <w:numId w:val="200"/>
        </w:numPr>
        <w:spacing w:before="120" w:after="120" w:line="360" w:lineRule="auto"/>
        <w:ind w:left="714" w:hanging="357"/>
      </w:pPr>
      <w:r w:rsidRPr="00A553BA">
        <w:t>patient age/gender for nursing/residential consultations.</w:t>
      </w:r>
    </w:p>
    <w:p w14:paraId="7693161C" w14:textId="77777777" w:rsidR="00507C55" w:rsidRDefault="00507C55" w:rsidP="00507C55"/>
    <w:p w14:paraId="03C424FD" w14:textId="09AC8975" w:rsidR="00507C55" w:rsidRDefault="00507C55" w:rsidP="00A553BA">
      <w:pPr>
        <w:pStyle w:val="Heading3"/>
        <w:suppressAutoHyphens/>
        <w:autoSpaceDN w:val="0"/>
        <w:textAlignment w:val="baseline"/>
      </w:pPr>
      <w:r>
        <w:t>The Commissioner may request that practices proposing to merge collectively submit a business case (a sample business case is provided at Annex 12A) which the Commissioner can use to base its decisions on whether to approve the merger and the consequential contract variations. A template mobilisation plan for practices to tailor and submit with their business case is provided at Annex 12B.</w:t>
      </w:r>
    </w:p>
    <w:p w14:paraId="16CBB848" w14:textId="77777777" w:rsidR="00507C55" w:rsidRDefault="00507C55" w:rsidP="00507C55"/>
    <w:p w14:paraId="206968BE" w14:textId="3B220DF1" w:rsidR="00507C55" w:rsidRDefault="00507C55" w:rsidP="00A553BA">
      <w:pPr>
        <w:pStyle w:val="Heading3"/>
        <w:suppressAutoHyphens/>
        <w:autoSpaceDN w:val="0"/>
        <w:textAlignment w:val="baseline"/>
      </w:pPr>
      <w:r>
        <w:t>The Commissioner will need to amend the template business case to ensure it requests all the relevant information in respect of the merger. The Commissioner should therefore seek to engage with the practices early in the development process to shape the business case and to liaise with the practices on any amendments or updates to the business case to enable the business case to be as comprehensive as possible prior to the Commissioner making its decision.</w:t>
      </w:r>
    </w:p>
    <w:p w14:paraId="06E3F88D" w14:textId="32D380B3" w:rsidR="00507C55" w:rsidRDefault="00507C55" w:rsidP="00507C55"/>
    <w:p w14:paraId="76FD2346" w14:textId="683F22DF" w:rsidR="00671886" w:rsidRDefault="00671886" w:rsidP="00507C55"/>
    <w:p w14:paraId="72C2DD2F" w14:textId="44A42A11" w:rsidR="00507C55" w:rsidRDefault="00507C55" w:rsidP="00507C55">
      <w:pPr>
        <w:rPr>
          <w:b/>
        </w:rPr>
      </w:pPr>
      <w:r>
        <w:rPr>
          <w:b/>
        </w:rPr>
        <w:t>“Super-practices”</w:t>
      </w:r>
    </w:p>
    <w:p w14:paraId="68EEB6B3" w14:textId="77777777" w:rsidR="00671886" w:rsidRPr="00E509C8" w:rsidRDefault="00671886" w:rsidP="00507C55">
      <w:pPr>
        <w:rPr>
          <w:b/>
        </w:rPr>
      </w:pPr>
    </w:p>
    <w:p w14:paraId="38AC5B78" w14:textId="10A3A28F" w:rsidR="00507C55" w:rsidRDefault="00507C55" w:rsidP="00E509C8">
      <w:pPr>
        <w:pStyle w:val="Heading3"/>
        <w:suppressAutoHyphens/>
        <w:autoSpaceDN w:val="0"/>
        <w:textAlignment w:val="baseline"/>
      </w:pPr>
      <w:r>
        <w:t xml:space="preserve">Some mergers involve the creation of so-called “super-practices”.  Where such a merger is approved by the Commissioner in accordance with this chapter 7.11, it may be that the merger is bringing together the partners of multiple practices by adding them as partners to each other’s existing contracts.  This will result in a large group of partners holding a number of primary medical contracts.  For this specific scenario, and provided that partners are only being added (with none leaving any of the contracts), commissioners may use the simplified Variation Agreement </w:t>
      </w:r>
      <w:r w:rsidR="00D8206B">
        <w:t>for super-practices at [Annex 16</w:t>
      </w:r>
      <w:r>
        <w:t>].  This allows the various partners to sign a single document so as to effect the addition of all of the partners to all of the contracts.  It can also be used to designate a small number of the partners as authorised signatories in relation to contractual matters going forward.  The document is not for use in any other scenario.</w:t>
      </w:r>
    </w:p>
    <w:p w14:paraId="473DED20" w14:textId="77777777" w:rsidR="00507C55" w:rsidRDefault="00507C55" w:rsidP="00E509C8">
      <w:pPr>
        <w:pStyle w:val="Heading3"/>
        <w:suppressAutoHyphens/>
        <w:autoSpaceDN w:val="0"/>
        <w:textAlignment w:val="baseline"/>
      </w:pPr>
      <w:r>
        <w:t xml:space="preserve">In addition, this Variation Agreement includes agreement for future changes to the partnership to take effect via a single notification to the Commissioner for all of the contracts.  This applies only where the simplified Variation Agreement for super-practices is used and in all other cases a change of partners must be dealt with in accordance with chapter 7.5 of this PGM. </w:t>
      </w:r>
    </w:p>
    <w:p w14:paraId="2DBEB8FF" w14:textId="48E2100D" w:rsidR="00507C55" w:rsidRDefault="007F5245" w:rsidP="007F5245">
      <w:pPr>
        <w:pStyle w:val="Heading3"/>
      </w:pPr>
      <w:bookmarkStart w:id="787" w:name="_Hlk536005118"/>
      <w:r w:rsidRPr="007F5245">
        <w:t xml:space="preserve">The simplified Variation Agreement for super-practices/partnerships at Annex 16] is only for use where multiple contracts will be held by a partnership. Whilst there is no definition or criteria of a super-practice/partnership, to avoid inappropriate use, NHS England require that this variation agreement should only be used where a super-partnership is being formed, usually to cover a large geographical area and registered patient population (min 30k), a minimum of three contracts (at least one must be GMS) and at least </w:t>
      </w:r>
      <w:r w:rsidR="00192970" w:rsidRPr="007F5245">
        <w:t>10 -</w:t>
      </w:r>
      <w:r w:rsidRPr="007F5245">
        <w:t xml:space="preserve"> partners.  For the avoidance of doubt this variation agreement should not be used for example, when merging two PMS contracts, regardless of the number of partners.</w:t>
      </w:r>
    </w:p>
    <w:bookmarkEnd w:id="787"/>
    <w:p w14:paraId="08CBD659" w14:textId="77777777" w:rsidR="00507C55" w:rsidRPr="003F1BA7" w:rsidRDefault="00507C55" w:rsidP="003F1BA7"/>
    <w:p w14:paraId="10389F77" w14:textId="0B23BA77" w:rsidR="00977693" w:rsidRPr="00CE0885" w:rsidRDefault="001A315E" w:rsidP="00977693">
      <w:pPr>
        <w:rPr>
          <w:rFonts w:cs="Arial"/>
          <w:szCs w:val="24"/>
        </w:rPr>
      </w:pPr>
      <w:bookmarkStart w:id="788" w:name="_Toc440981890"/>
      <w:bookmarkEnd w:id="739"/>
      <w:r>
        <w:rPr>
          <w:rFonts w:cs="Arial"/>
          <w:szCs w:val="24"/>
        </w:rPr>
        <w:br w:type="page"/>
      </w:r>
    </w:p>
    <w:tbl>
      <w:tblPr>
        <w:tblStyle w:val="TableGrid"/>
        <w:tblW w:w="0" w:type="auto"/>
        <w:tblLook w:val="04A0" w:firstRow="1" w:lastRow="0" w:firstColumn="1" w:lastColumn="0" w:noHBand="0" w:noVBand="1"/>
        <w:tblCaption w:val="a text box"/>
        <w:tblDescription w:val="a text box"/>
      </w:tblPr>
      <w:tblGrid>
        <w:gridCol w:w="9060"/>
      </w:tblGrid>
      <w:tr w:rsidR="00977693" w:rsidRPr="00CE0885" w14:paraId="321856E1" w14:textId="77777777" w:rsidTr="00E509C8">
        <w:trPr>
          <w:tblHeader/>
        </w:trPr>
        <w:tc>
          <w:tcPr>
            <w:tcW w:w="9286" w:type="dxa"/>
          </w:tcPr>
          <w:p w14:paraId="674A4E07" w14:textId="77777777" w:rsidR="00977693" w:rsidRPr="00CE0885" w:rsidRDefault="00977693" w:rsidP="00213D9D">
            <w:pPr>
              <w:spacing w:before="120" w:after="120"/>
              <w:rPr>
                <w:rFonts w:cs="Arial"/>
                <w:szCs w:val="24"/>
              </w:rPr>
            </w:pPr>
            <w:r w:rsidRPr="00CE0885">
              <w:rPr>
                <w:rFonts w:cs="Arial"/>
                <w:szCs w:val="24"/>
              </w:rPr>
              <w:t>Co-commissioning - delegated commissioning arrangements</w:t>
            </w:r>
          </w:p>
          <w:p w14:paraId="28A04C6B" w14:textId="102B68BF" w:rsidR="00977693" w:rsidRPr="009055A7" w:rsidRDefault="00977693" w:rsidP="00213D9D">
            <w:pPr>
              <w:spacing w:before="120" w:after="120"/>
              <w:ind w:left="720"/>
              <w:rPr>
                <w:rFonts w:cs="Arial"/>
                <w:szCs w:val="24"/>
              </w:rPr>
            </w:pPr>
            <w:r w:rsidRPr="009055A7">
              <w:rPr>
                <w:rFonts w:cs="Arial"/>
                <w:szCs w:val="24"/>
              </w:rPr>
              <w:t xml:space="preserve">A </w:t>
            </w:r>
            <w:r w:rsidR="00B83042">
              <w:rPr>
                <w:rFonts w:cs="Arial"/>
                <w:szCs w:val="24"/>
              </w:rPr>
              <w:t>CCG/ICB</w:t>
            </w:r>
            <w:r w:rsidRPr="009055A7">
              <w:rPr>
                <w:rFonts w:cs="Arial"/>
                <w:szCs w:val="24"/>
              </w:rPr>
              <w:t xml:space="preserve"> that has delegated commissioning arrangements will have entered into a Delegation Agreement with NHS England setting out the scope of those arrangements.</w:t>
            </w:r>
          </w:p>
          <w:p w14:paraId="28A07199" w14:textId="72F85DD8" w:rsidR="00977693" w:rsidRPr="00CE0885" w:rsidRDefault="00977693" w:rsidP="00213D9D">
            <w:pPr>
              <w:spacing w:before="120" w:after="120"/>
              <w:ind w:left="720"/>
              <w:rPr>
                <w:rFonts w:cs="Arial"/>
                <w:szCs w:val="24"/>
              </w:rPr>
            </w:pPr>
            <w:r w:rsidRPr="00CE0885">
              <w:rPr>
                <w:rFonts w:cs="Arial"/>
                <w:szCs w:val="24"/>
              </w:rPr>
              <w:t xml:space="preserve">The Delegation Agreement includes a section on approving GP practice mergers and closures. When carrying out such actions, the </w:t>
            </w:r>
            <w:r w:rsidR="00B83042">
              <w:rPr>
                <w:rFonts w:cs="Arial"/>
                <w:szCs w:val="24"/>
              </w:rPr>
              <w:t>CCG/ICB</w:t>
            </w:r>
            <w:r w:rsidRPr="00CE0885">
              <w:rPr>
                <w:rFonts w:cs="Arial"/>
                <w:szCs w:val="24"/>
              </w:rPr>
              <w:t xml:space="preserve"> is required to act in accordance with the Delegation Agreement which includes but is not limited to:</w:t>
            </w:r>
          </w:p>
          <w:p w14:paraId="2E32D46C" w14:textId="77777777" w:rsidR="00977693" w:rsidRPr="00CE0885" w:rsidRDefault="00977693" w:rsidP="00825050">
            <w:pPr>
              <w:pStyle w:val="ListParagraph"/>
              <w:numPr>
                <w:ilvl w:val="0"/>
                <w:numId w:val="53"/>
              </w:numPr>
              <w:spacing w:before="120" w:after="120"/>
              <w:jc w:val="both"/>
              <w:rPr>
                <w:rFonts w:cs="Arial"/>
                <w:szCs w:val="24"/>
              </w:rPr>
            </w:pPr>
            <w:r w:rsidRPr="00CE0885">
              <w:rPr>
                <w:rFonts w:cs="Arial"/>
                <w:szCs w:val="24"/>
              </w:rPr>
              <w:t>undertaking all necessary consultation when taking any decision in relation to GP practice mergers or GP practice closures, including those set out under section 14Z2 of the NHS Act (duty for public involvement and consultation). The consultation undertaken must be appropriate and proportionate in the circumstances and should include consulting with the LMC;</w:t>
            </w:r>
          </w:p>
          <w:p w14:paraId="6F0C04E7" w14:textId="77777777" w:rsidR="00977693" w:rsidRPr="00CE0885" w:rsidRDefault="00977693" w:rsidP="00213D9D">
            <w:pPr>
              <w:pStyle w:val="ListParagraph"/>
              <w:spacing w:before="120" w:after="120"/>
              <w:ind w:left="1440"/>
              <w:rPr>
                <w:rFonts w:cs="Arial"/>
                <w:szCs w:val="24"/>
              </w:rPr>
            </w:pPr>
          </w:p>
          <w:p w14:paraId="3B2511AC" w14:textId="3A039175" w:rsidR="00977693" w:rsidRPr="00CE0885" w:rsidRDefault="00977693" w:rsidP="00825050">
            <w:pPr>
              <w:pStyle w:val="ListParagraph"/>
              <w:numPr>
                <w:ilvl w:val="0"/>
                <w:numId w:val="53"/>
              </w:numPr>
              <w:spacing w:before="120" w:after="120"/>
              <w:jc w:val="both"/>
              <w:rPr>
                <w:rFonts w:cs="Arial"/>
                <w:szCs w:val="24"/>
              </w:rPr>
            </w:pPr>
            <w:r w:rsidRPr="00CE0885">
              <w:rPr>
                <w:rFonts w:cs="Arial"/>
                <w:szCs w:val="24"/>
              </w:rPr>
              <w:t xml:space="preserve">prior to making any decision, clearly demonstrating the grounds for such a decision and fully considering any impact on the GP practice’s registered population and that of surrounding practices. The </w:t>
            </w:r>
            <w:r w:rsidR="00B83042">
              <w:rPr>
                <w:rFonts w:cs="Arial"/>
                <w:szCs w:val="24"/>
              </w:rPr>
              <w:t>CCG/ICB</w:t>
            </w:r>
            <w:r w:rsidRPr="00CE0885">
              <w:rPr>
                <w:rFonts w:cs="Arial"/>
                <w:szCs w:val="24"/>
              </w:rPr>
              <w:t xml:space="preserve"> must be able to clearly demonstrate that it has considered other options and has entered into dialogue with the GP contractor as to how any closure or merger will be managed; and</w:t>
            </w:r>
          </w:p>
          <w:p w14:paraId="1823C1CA" w14:textId="77777777" w:rsidR="00977693" w:rsidRPr="00CE0885" w:rsidRDefault="00977693" w:rsidP="00213D9D">
            <w:pPr>
              <w:pStyle w:val="ListParagraph"/>
              <w:spacing w:before="120" w:after="120"/>
              <w:ind w:left="1440"/>
              <w:rPr>
                <w:rFonts w:cs="Arial"/>
                <w:szCs w:val="24"/>
              </w:rPr>
            </w:pPr>
          </w:p>
          <w:p w14:paraId="2ECE0EBE" w14:textId="5575558B" w:rsidR="00977693" w:rsidRPr="00CE0885" w:rsidRDefault="00977693" w:rsidP="00825050">
            <w:pPr>
              <w:pStyle w:val="ListParagraph"/>
              <w:numPr>
                <w:ilvl w:val="0"/>
                <w:numId w:val="53"/>
              </w:numPr>
              <w:spacing w:before="120" w:after="120"/>
              <w:jc w:val="both"/>
              <w:rPr>
                <w:rFonts w:cs="Arial"/>
                <w:szCs w:val="24"/>
              </w:rPr>
            </w:pPr>
            <w:r w:rsidRPr="00CE0885">
              <w:rPr>
                <w:rFonts w:cs="Arial"/>
                <w:szCs w:val="24"/>
              </w:rPr>
              <w:t xml:space="preserve">in making any decisions, taking account of the </w:t>
            </w:r>
            <w:r w:rsidR="00B83042">
              <w:rPr>
                <w:rFonts w:cs="Arial"/>
                <w:szCs w:val="24"/>
              </w:rPr>
              <w:t>CCG/ICB</w:t>
            </w:r>
            <w:r w:rsidRPr="00CE0885">
              <w:rPr>
                <w:rFonts w:cs="Arial"/>
                <w:szCs w:val="24"/>
              </w:rPr>
              <w:t>'s obligations as set out in the Delegation Agreement in relation to procurement, where applicable.</w:t>
            </w:r>
          </w:p>
        </w:tc>
      </w:tr>
    </w:tbl>
    <w:p w14:paraId="6AC9D6FE" w14:textId="77777777" w:rsidR="00977693" w:rsidRPr="00CE0885" w:rsidRDefault="00977693" w:rsidP="00977693">
      <w:pPr>
        <w:ind w:firstLine="720"/>
        <w:rPr>
          <w:rFonts w:cs="Arial"/>
          <w:szCs w:val="24"/>
        </w:rPr>
      </w:pPr>
    </w:p>
    <w:p w14:paraId="5C49C5A2" w14:textId="77777777" w:rsidR="00977693" w:rsidRPr="00CE0885" w:rsidRDefault="00977693" w:rsidP="00977693">
      <w:pPr>
        <w:ind w:firstLine="720"/>
        <w:rPr>
          <w:rFonts w:cs="Arial"/>
          <w:szCs w:val="24"/>
        </w:rPr>
      </w:pPr>
    </w:p>
    <w:p w14:paraId="152FBF55" w14:textId="77777777" w:rsidR="00977693" w:rsidRPr="00CE0885" w:rsidRDefault="00977693" w:rsidP="00977693">
      <w:pPr>
        <w:rPr>
          <w:rFonts w:cs="Arial"/>
          <w:szCs w:val="24"/>
        </w:rPr>
      </w:pPr>
      <w:r w:rsidRPr="00CE0885">
        <w:rPr>
          <w:rFonts w:cs="Arial"/>
          <w:szCs w:val="24"/>
        </w:rPr>
        <w:br w:type="page"/>
      </w:r>
    </w:p>
    <w:p w14:paraId="1C1200F7" w14:textId="04D3394C" w:rsidR="00977693" w:rsidRDefault="00977693" w:rsidP="000A529F">
      <w:pPr>
        <w:pStyle w:val="Heading3"/>
        <w:rPr>
          <w:rFonts w:eastAsia="Malgun Gothic"/>
          <w:b/>
        </w:rPr>
      </w:pPr>
      <w:r w:rsidRPr="000A529F">
        <w:rPr>
          <w:b/>
        </w:rPr>
        <w:t>Annex A</w:t>
      </w:r>
      <w:r w:rsidR="001A315E" w:rsidRPr="000A529F">
        <w:rPr>
          <w:b/>
        </w:rPr>
        <w:t xml:space="preserve"> - </w:t>
      </w:r>
      <w:r w:rsidRPr="000A529F">
        <w:rPr>
          <w:rFonts w:eastAsia="Malgun Gothic"/>
          <w:b/>
        </w:rPr>
        <w:t>Template Business Case for Practice Merger</w:t>
      </w:r>
    </w:p>
    <w:p w14:paraId="3649CF88" w14:textId="4CF798B5" w:rsidR="001B6F79" w:rsidRPr="00613C58" w:rsidRDefault="000B57EE" w:rsidP="006C3DF5">
      <w:pPr>
        <w:pStyle w:val="ListParagraph"/>
        <w:numPr>
          <w:ilvl w:val="0"/>
          <w:numId w:val="232"/>
        </w:numPr>
        <w:rPr>
          <w:rFonts w:eastAsia="Malgun Gothic"/>
          <w:b/>
          <w:bCs w:val="0"/>
        </w:rPr>
      </w:pPr>
      <w:hyperlink r:id="rId115" w:history="1">
        <w:r w:rsidR="001B6F79" w:rsidRPr="00613C58">
          <w:rPr>
            <w:rStyle w:val="Hyperlink"/>
            <w:rFonts w:eastAsia="Malgun Gothic"/>
            <w:b/>
            <w:bCs w:val="0"/>
          </w:rPr>
          <w:t>Template Business Case for Practice Merger</w:t>
        </w:r>
      </w:hyperlink>
    </w:p>
    <w:p w14:paraId="13628A42" w14:textId="77777777" w:rsidR="004C3090" w:rsidRPr="00CE0885" w:rsidRDefault="004C3090" w:rsidP="00977693">
      <w:pPr>
        <w:rPr>
          <w:rFonts w:cs="Arial"/>
          <w:szCs w:val="24"/>
        </w:rPr>
      </w:pPr>
    </w:p>
    <w:p w14:paraId="068B3BF3" w14:textId="77777777" w:rsidR="00977693" w:rsidRPr="00CE0885" w:rsidRDefault="00977693" w:rsidP="00977693">
      <w:pPr>
        <w:rPr>
          <w:rFonts w:cs="Arial"/>
          <w:b/>
          <w:szCs w:val="24"/>
        </w:rPr>
      </w:pPr>
      <w:bookmarkStart w:id="789" w:name="_Hlk30585567"/>
      <w:r w:rsidRPr="00CE0885">
        <w:rPr>
          <w:rFonts w:cs="Arial"/>
          <w:b/>
          <w:szCs w:val="24"/>
        </w:rPr>
        <w:t>1. Explanation of the practice merger</w:t>
      </w:r>
    </w:p>
    <w:p w14:paraId="26878EA1" w14:textId="77777777" w:rsidR="00977693" w:rsidRPr="00CE0885" w:rsidRDefault="00977693" w:rsidP="00977693">
      <w:pPr>
        <w:rPr>
          <w:rFonts w:cs="Arial"/>
          <w:b/>
          <w:szCs w:val="24"/>
        </w:rPr>
      </w:pPr>
    </w:p>
    <w:tbl>
      <w:tblPr>
        <w:tblStyle w:val="TableGrid"/>
        <w:tblW w:w="9918" w:type="dxa"/>
        <w:tblLook w:val="04A0" w:firstRow="1" w:lastRow="0" w:firstColumn="1" w:lastColumn="0" w:noHBand="0" w:noVBand="1"/>
        <w:tblCaption w:val="a text box"/>
        <w:tblDescription w:val="a text box"/>
      </w:tblPr>
      <w:tblGrid>
        <w:gridCol w:w="9918"/>
      </w:tblGrid>
      <w:tr w:rsidR="00977693" w:rsidRPr="00CE0885" w14:paraId="370BE4AD" w14:textId="77777777" w:rsidTr="00A8079F">
        <w:trPr>
          <w:tblHeader/>
        </w:trPr>
        <w:tc>
          <w:tcPr>
            <w:tcW w:w="9918" w:type="dxa"/>
          </w:tcPr>
          <w:p w14:paraId="0273ABAB" w14:textId="77777777" w:rsidR="00977693" w:rsidRDefault="00977693" w:rsidP="00213D9D">
            <w:pPr>
              <w:spacing w:before="120" w:after="120"/>
              <w:rPr>
                <w:rFonts w:cs="Arial"/>
                <w:szCs w:val="24"/>
              </w:rPr>
            </w:pPr>
            <w:r w:rsidRPr="00CE0885">
              <w:rPr>
                <w:rFonts w:cs="Arial"/>
                <w:szCs w:val="24"/>
              </w:rPr>
              <w:t>Practices should provide an overview below of how the practices are merging. Paragraph 11.4 of the Contract Variations chapter provides common models of practice mergers and may be helpful here but practices should recognise that mergers are not restricted to one of the models listed and proposed mergers may adopt elements of more than one model or may adopt an entirely different approach.</w:t>
            </w:r>
          </w:p>
          <w:p w14:paraId="0E4A1695" w14:textId="77777777" w:rsidR="007E266F" w:rsidRDefault="007E266F" w:rsidP="00213D9D">
            <w:pPr>
              <w:spacing w:before="120" w:after="120"/>
              <w:rPr>
                <w:rFonts w:cs="Arial"/>
                <w:szCs w:val="24"/>
              </w:rPr>
            </w:pPr>
          </w:p>
          <w:p w14:paraId="3977768D" w14:textId="5C9F29D2" w:rsidR="007E266F" w:rsidRPr="00CE0885" w:rsidRDefault="007E266F" w:rsidP="00213D9D">
            <w:pPr>
              <w:spacing w:before="120" w:after="120"/>
              <w:rPr>
                <w:rFonts w:cs="Arial"/>
                <w:szCs w:val="24"/>
              </w:rPr>
            </w:pPr>
            <w:r w:rsidRPr="007E266F">
              <w:rPr>
                <w:rFonts w:cs="Arial"/>
                <w:szCs w:val="24"/>
              </w:rPr>
              <w:t>If appropriate some context is required here in relation to how and why the arrangements for a merger have come about.</w:t>
            </w:r>
          </w:p>
        </w:tc>
      </w:tr>
      <w:tr w:rsidR="00977693" w:rsidRPr="00CE0885" w14:paraId="02B85AF5" w14:textId="77777777" w:rsidTr="00A8079F">
        <w:tc>
          <w:tcPr>
            <w:tcW w:w="9918" w:type="dxa"/>
          </w:tcPr>
          <w:p w14:paraId="5E509870" w14:textId="77777777" w:rsidR="00977693" w:rsidRPr="00CE0885" w:rsidRDefault="00977693" w:rsidP="00213D9D">
            <w:pPr>
              <w:spacing w:before="120" w:after="120"/>
              <w:rPr>
                <w:rFonts w:cs="Arial"/>
                <w:b/>
                <w:szCs w:val="24"/>
              </w:rPr>
            </w:pPr>
            <w:r w:rsidRPr="00CE0885">
              <w:rPr>
                <w:rFonts w:cs="Arial"/>
                <w:b/>
                <w:szCs w:val="24"/>
              </w:rPr>
              <w:t xml:space="preserve"> </w:t>
            </w:r>
          </w:p>
          <w:p w14:paraId="54F4E77D" w14:textId="77777777" w:rsidR="00977693" w:rsidRPr="00CE0885" w:rsidRDefault="00977693" w:rsidP="00213D9D">
            <w:pPr>
              <w:spacing w:before="120" w:after="120"/>
              <w:rPr>
                <w:rFonts w:cs="Arial"/>
                <w:b/>
                <w:szCs w:val="24"/>
              </w:rPr>
            </w:pPr>
          </w:p>
          <w:p w14:paraId="52618857" w14:textId="77777777" w:rsidR="00977693" w:rsidRPr="00CE0885" w:rsidRDefault="00977693" w:rsidP="00213D9D">
            <w:pPr>
              <w:spacing w:before="120" w:after="120"/>
              <w:rPr>
                <w:rFonts w:cs="Arial"/>
                <w:b/>
                <w:szCs w:val="24"/>
              </w:rPr>
            </w:pPr>
          </w:p>
        </w:tc>
      </w:tr>
    </w:tbl>
    <w:p w14:paraId="75862B50" w14:textId="77777777" w:rsidR="00977693" w:rsidRPr="00CE0885" w:rsidRDefault="00977693" w:rsidP="00977693">
      <w:pPr>
        <w:rPr>
          <w:rFonts w:cs="Arial"/>
          <w:b/>
          <w:szCs w:val="24"/>
        </w:rPr>
      </w:pPr>
    </w:p>
    <w:p w14:paraId="373892C1" w14:textId="77777777" w:rsidR="00977693" w:rsidRPr="00CE0885" w:rsidRDefault="00977693" w:rsidP="00977693">
      <w:pPr>
        <w:rPr>
          <w:rFonts w:cs="Arial"/>
          <w:b/>
          <w:szCs w:val="24"/>
        </w:rPr>
      </w:pPr>
    </w:p>
    <w:p w14:paraId="1062B5E1" w14:textId="77777777" w:rsidR="00977693" w:rsidRPr="00CE0885" w:rsidRDefault="00977693" w:rsidP="00977693">
      <w:pPr>
        <w:rPr>
          <w:rFonts w:cs="Arial"/>
          <w:b/>
          <w:szCs w:val="24"/>
        </w:rPr>
      </w:pPr>
      <w:r w:rsidRPr="00CE0885">
        <w:rPr>
          <w:rFonts w:cs="Arial"/>
          <w:b/>
          <w:szCs w:val="24"/>
        </w:rPr>
        <w:t>2. Practices' characteristics and intentions for the merged practice</w:t>
      </w:r>
    </w:p>
    <w:p w14:paraId="35E84252" w14:textId="77777777" w:rsidR="00977693" w:rsidRPr="00CE0885" w:rsidRDefault="00977693" w:rsidP="00977693">
      <w:pPr>
        <w:rPr>
          <w:rFonts w:cs="Arial"/>
          <w:szCs w:val="24"/>
        </w:rPr>
      </w:pP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604"/>
        <w:gridCol w:w="2604"/>
        <w:gridCol w:w="2605"/>
      </w:tblGrid>
      <w:tr w:rsidR="00977693" w:rsidRPr="00CE0885" w14:paraId="37FE6153" w14:textId="77777777" w:rsidTr="00E509C8">
        <w:tc>
          <w:tcPr>
            <w:tcW w:w="2235" w:type="dxa"/>
          </w:tcPr>
          <w:p w14:paraId="2A450581" w14:textId="77777777" w:rsidR="00977693" w:rsidRPr="00CE0885" w:rsidRDefault="00977693" w:rsidP="00D2123D">
            <w:pPr>
              <w:pStyle w:val="BodyText"/>
            </w:pPr>
          </w:p>
        </w:tc>
        <w:tc>
          <w:tcPr>
            <w:tcW w:w="2604" w:type="dxa"/>
          </w:tcPr>
          <w:p w14:paraId="34F0E4CE" w14:textId="77777777" w:rsidR="00977693" w:rsidRPr="00CE0885" w:rsidRDefault="00977693" w:rsidP="00D2123D">
            <w:pPr>
              <w:pStyle w:val="BodyText"/>
            </w:pPr>
            <w:r w:rsidRPr="00CE0885">
              <w:t>Current Provision – Practice 1</w:t>
            </w:r>
          </w:p>
        </w:tc>
        <w:tc>
          <w:tcPr>
            <w:tcW w:w="2604" w:type="dxa"/>
          </w:tcPr>
          <w:p w14:paraId="18867C7E" w14:textId="77777777" w:rsidR="00977693" w:rsidRPr="00CE0885" w:rsidRDefault="00977693" w:rsidP="00D2123D">
            <w:pPr>
              <w:pStyle w:val="BodyText"/>
            </w:pPr>
            <w:r w:rsidRPr="00CE0885">
              <w:t>Current Provision – Practice 2</w:t>
            </w:r>
          </w:p>
        </w:tc>
        <w:tc>
          <w:tcPr>
            <w:tcW w:w="2605" w:type="dxa"/>
          </w:tcPr>
          <w:p w14:paraId="7A62B673" w14:textId="77777777" w:rsidR="00977693" w:rsidRPr="00CE0885" w:rsidRDefault="00977693" w:rsidP="00D2123D">
            <w:pPr>
              <w:pStyle w:val="BodyText"/>
            </w:pPr>
            <w:r w:rsidRPr="00CE0885">
              <w:t>Merged Practice</w:t>
            </w:r>
          </w:p>
        </w:tc>
      </w:tr>
      <w:tr w:rsidR="00977693" w:rsidRPr="00CE0885" w14:paraId="768493DF" w14:textId="77777777" w:rsidTr="00E509C8">
        <w:tc>
          <w:tcPr>
            <w:tcW w:w="2235" w:type="dxa"/>
          </w:tcPr>
          <w:p w14:paraId="34E87742" w14:textId="77777777" w:rsidR="00977693" w:rsidRPr="00CE0885" w:rsidRDefault="00977693" w:rsidP="00D2123D">
            <w:pPr>
              <w:pStyle w:val="BodyText"/>
            </w:pPr>
            <w:r w:rsidRPr="00CE0885">
              <w:t>Name and address of practice</w:t>
            </w:r>
          </w:p>
          <w:p w14:paraId="5533EB1A" w14:textId="77777777" w:rsidR="00977693" w:rsidRPr="00CE0885" w:rsidRDefault="00977693" w:rsidP="00D2123D">
            <w:pPr>
              <w:pStyle w:val="BodyText"/>
            </w:pPr>
            <w:r w:rsidRPr="00CE0885">
              <w:t>(provide name and address)</w:t>
            </w:r>
          </w:p>
        </w:tc>
        <w:tc>
          <w:tcPr>
            <w:tcW w:w="2604" w:type="dxa"/>
          </w:tcPr>
          <w:p w14:paraId="43CF3344" w14:textId="77777777" w:rsidR="00977693" w:rsidRPr="00CE0885" w:rsidRDefault="00977693" w:rsidP="00D2123D">
            <w:pPr>
              <w:pStyle w:val="BodyText"/>
            </w:pPr>
          </w:p>
        </w:tc>
        <w:tc>
          <w:tcPr>
            <w:tcW w:w="2604" w:type="dxa"/>
          </w:tcPr>
          <w:p w14:paraId="7EEE83FA" w14:textId="77777777" w:rsidR="00977693" w:rsidRPr="00CE0885" w:rsidRDefault="00977693" w:rsidP="00D2123D">
            <w:pPr>
              <w:pStyle w:val="BodyText"/>
            </w:pPr>
          </w:p>
        </w:tc>
        <w:tc>
          <w:tcPr>
            <w:tcW w:w="2605" w:type="dxa"/>
          </w:tcPr>
          <w:p w14:paraId="1F4A0A94" w14:textId="77777777" w:rsidR="00977693" w:rsidRPr="00CE0885" w:rsidRDefault="00977693" w:rsidP="00D2123D">
            <w:pPr>
              <w:pStyle w:val="BodyText"/>
            </w:pPr>
          </w:p>
        </w:tc>
      </w:tr>
      <w:tr w:rsidR="00977693" w:rsidRPr="00CE0885" w14:paraId="1927AF60" w14:textId="77777777" w:rsidTr="00E509C8">
        <w:tc>
          <w:tcPr>
            <w:tcW w:w="2235" w:type="dxa"/>
          </w:tcPr>
          <w:p w14:paraId="5729D67C" w14:textId="77777777" w:rsidR="00977693" w:rsidRPr="00CE0885" w:rsidRDefault="00977693" w:rsidP="00D2123D">
            <w:pPr>
              <w:pStyle w:val="BodyText"/>
            </w:pPr>
            <w:r w:rsidRPr="00CE0885">
              <w:t>Contract type</w:t>
            </w:r>
          </w:p>
          <w:p w14:paraId="7B163247" w14:textId="77777777" w:rsidR="00977693" w:rsidRPr="00CE0885" w:rsidRDefault="00977693" w:rsidP="00D2123D">
            <w:pPr>
              <w:pStyle w:val="BodyText"/>
            </w:pPr>
            <w:r w:rsidRPr="00CE0885">
              <w:t>(GMS, PMS, APMS)</w:t>
            </w:r>
          </w:p>
        </w:tc>
        <w:tc>
          <w:tcPr>
            <w:tcW w:w="2604" w:type="dxa"/>
          </w:tcPr>
          <w:p w14:paraId="1D93C8D4" w14:textId="77777777" w:rsidR="00977693" w:rsidRPr="00CE0885" w:rsidRDefault="00977693" w:rsidP="00D2123D">
            <w:pPr>
              <w:pStyle w:val="BodyText"/>
            </w:pPr>
          </w:p>
        </w:tc>
        <w:tc>
          <w:tcPr>
            <w:tcW w:w="2604" w:type="dxa"/>
          </w:tcPr>
          <w:p w14:paraId="498C2A62" w14:textId="77777777" w:rsidR="00977693" w:rsidRPr="00CE0885" w:rsidRDefault="00977693" w:rsidP="00D2123D">
            <w:pPr>
              <w:pStyle w:val="BodyText"/>
            </w:pPr>
          </w:p>
        </w:tc>
        <w:tc>
          <w:tcPr>
            <w:tcW w:w="2605" w:type="dxa"/>
          </w:tcPr>
          <w:p w14:paraId="2142C260" w14:textId="77777777" w:rsidR="00977693" w:rsidRPr="00CE0885" w:rsidRDefault="00977693" w:rsidP="00D2123D">
            <w:pPr>
              <w:pStyle w:val="BodyText"/>
            </w:pPr>
          </w:p>
        </w:tc>
      </w:tr>
      <w:tr w:rsidR="00977693" w:rsidRPr="00CE0885" w14:paraId="418AE397" w14:textId="77777777" w:rsidTr="00E509C8">
        <w:tc>
          <w:tcPr>
            <w:tcW w:w="2235" w:type="dxa"/>
          </w:tcPr>
          <w:p w14:paraId="227FA8D4" w14:textId="77777777" w:rsidR="00977693" w:rsidRPr="00CE0885" w:rsidRDefault="00977693" w:rsidP="00D2123D">
            <w:pPr>
              <w:pStyle w:val="BodyText"/>
            </w:pPr>
            <w:r w:rsidRPr="00CE0885">
              <w:t>Name of contractor(s)</w:t>
            </w:r>
          </w:p>
        </w:tc>
        <w:tc>
          <w:tcPr>
            <w:tcW w:w="2604" w:type="dxa"/>
          </w:tcPr>
          <w:p w14:paraId="167C9446" w14:textId="77777777" w:rsidR="00977693" w:rsidRPr="00CE0885" w:rsidRDefault="00977693" w:rsidP="00D2123D">
            <w:pPr>
              <w:pStyle w:val="BodyText"/>
            </w:pPr>
          </w:p>
        </w:tc>
        <w:tc>
          <w:tcPr>
            <w:tcW w:w="2604" w:type="dxa"/>
          </w:tcPr>
          <w:p w14:paraId="4451114E" w14:textId="77777777" w:rsidR="00977693" w:rsidRPr="00CE0885" w:rsidRDefault="00977693" w:rsidP="00D2123D">
            <w:pPr>
              <w:pStyle w:val="BodyText"/>
            </w:pPr>
          </w:p>
        </w:tc>
        <w:tc>
          <w:tcPr>
            <w:tcW w:w="2605" w:type="dxa"/>
          </w:tcPr>
          <w:p w14:paraId="7511A8F0" w14:textId="77777777" w:rsidR="00977693" w:rsidRPr="00CE0885" w:rsidRDefault="00977693" w:rsidP="00D2123D">
            <w:pPr>
              <w:pStyle w:val="BodyText"/>
            </w:pPr>
          </w:p>
        </w:tc>
      </w:tr>
      <w:tr w:rsidR="00977693" w:rsidRPr="00CE0885" w14:paraId="01C8BFC9" w14:textId="77777777" w:rsidTr="00E509C8">
        <w:tc>
          <w:tcPr>
            <w:tcW w:w="2235" w:type="dxa"/>
          </w:tcPr>
          <w:p w14:paraId="084A00FC" w14:textId="77777777" w:rsidR="00977693" w:rsidRPr="00CE0885" w:rsidRDefault="00977693" w:rsidP="00D2123D">
            <w:pPr>
              <w:pStyle w:val="BodyText"/>
            </w:pPr>
            <w:r w:rsidRPr="00CE0885">
              <w:t>Location</w:t>
            </w:r>
          </w:p>
          <w:p w14:paraId="1A1470F5" w14:textId="77777777" w:rsidR="00977693" w:rsidRPr="00CE0885" w:rsidRDefault="00977693" w:rsidP="00D2123D">
            <w:pPr>
              <w:pStyle w:val="BodyText"/>
            </w:pPr>
            <w:r w:rsidRPr="00CE0885">
              <w:t>(provide addresses of all premises from which practice services are provided)</w:t>
            </w:r>
          </w:p>
        </w:tc>
        <w:tc>
          <w:tcPr>
            <w:tcW w:w="2604" w:type="dxa"/>
          </w:tcPr>
          <w:p w14:paraId="1D3E1D54" w14:textId="77777777" w:rsidR="00977693" w:rsidRPr="00CE0885" w:rsidRDefault="00977693" w:rsidP="00D2123D">
            <w:pPr>
              <w:pStyle w:val="BodyText"/>
            </w:pPr>
          </w:p>
        </w:tc>
        <w:tc>
          <w:tcPr>
            <w:tcW w:w="2604" w:type="dxa"/>
          </w:tcPr>
          <w:p w14:paraId="72F7ED70" w14:textId="77777777" w:rsidR="00977693" w:rsidRPr="00CE0885" w:rsidRDefault="00977693" w:rsidP="00D2123D">
            <w:pPr>
              <w:pStyle w:val="BodyText"/>
            </w:pPr>
          </w:p>
        </w:tc>
        <w:tc>
          <w:tcPr>
            <w:tcW w:w="2605" w:type="dxa"/>
          </w:tcPr>
          <w:p w14:paraId="2C5CDE4B" w14:textId="77777777" w:rsidR="00977693" w:rsidRPr="00CE0885" w:rsidRDefault="00977693" w:rsidP="00D2123D">
            <w:pPr>
              <w:pStyle w:val="BodyText"/>
            </w:pPr>
          </w:p>
        </w:tc>
      </w:tr>
      <w:tr w:rsidR="00977693" w:rsidRPr="00CE0885" w14:paraId="6832FD18" w14:textId="77777777" w:rsidTr="00E509C8">
        <w:tc>
          <w:tcPr>
            <w:tcW w:w="2235" w:type="dxa"/>
          </w:tcPr>
          <w:p w14:paraId="0D724203" w14:textId="77777777" w:rsidR="00977693" w:rsidRPr="00CE0885" w:rsidRDefault="00977693" w:rsidP="00D2123D">
            <w:pPr>
              <w:pStyle w:val="BodyText"/>
            </w:pPr>
            <w:r w:rsidRPr="00CE0885">
              <w:t>Practice area</w:t>
            </w:r>
          </w:p>
          <w:p w14:paraId="735B2536" w14:textId="42533E11" w:rsidR="00977693" w:rsidRPr="00CE0885" w:rsidRDefault="00977693" w:rsidP="00D2123D">
            <w:pPr>
              <w:pStyle w:val="BodyText"/>
            </w:pPr>
            <w:r w:rsidRPr="00CE0885">
              <w:t xml:space="preserve">(provide map </w:t>
            </w:r>
            <w:r w:rsidR="00EF433F" w:rsidRPr="00CE0885">
              <w:t>of area</w:t>
            </w:r>
            <w:r w:rsidRPr="00CE0885">
              <w:t>)</w:t>
            </w:r>
          </w:p>
        </w:tc>
        <w:tc>
          <w:tcPr>
            <w:tcW w:w="2604" w:type="dxa"/>
          </w:tcPr>
          <w:p w14:paraId="0AAF7B56" w14:textId="77777777" w:rsidR="00977693" w:rsidRPr="00CE0885" w:rsidRDefault="00977693" w:rsidP="00D2123D">
            <w:pPr>
              <w:pStyle w:val="BodyText"/>
            </w:pPr>
          </w:p>
        </w:tc>
        <w:tc>
          <w:tcPr>
            <w:tcW w:w="2604" w:type="dxa"/>
          </w:tcPr>
          <w:p w14:paraId="091B4951" w14:textId="77777777" w:rsidR="00977693" w:rsidRPr="00CE0885" w:rsidRDefault="00977693" w:rsidP="00D2123D">
            <w:pPr>
              <w:pStyle w:val="BodyText"/>
            </w:pPr>
          </w:p>
        </w:tc>
        <w:tc>
          <w:tcPr>
            <w:tcW w:w="2605" w:type="dxa"/>
          </w:tcPr>
          <w:p w14:paraId="76D86F4E" w14:textId="77777777" w:rsidR="00977693" w:rsidRPr="00CE0885" w:rsidRDefault="00977693" w:rsidP="00D2123D">
            <w:pPr>
              <w:pStyle w:val="BodyText"/>
            </w:pPr>
          </w:p>
        </w:tc>
      </w:tr>
      <w:tr w:rsidR="00977693" w:rsidRPr="00CE0885" w14:paraId="09D3F617" w14:textId="77777777" w:rsidTr="00E509C8">
        <w:tc>
          <w:tcPr>
            <w:tcW w:w="2235" w:type="dxa"/>
          </w:tcPr>
          <w:p w14:paraId="07246201" w14:textId="77777777" w:rsidR="00977693" w:rsidRPr="00CE0885" w:rsidRDefault="00977693" w:rsidP="00D2123D">
            <w:pPr>
              <w:pStyle w:val="BodyText"/>
            </w:pPr>
            <w:r w:rsidRPr="00CE0885">
              <w:t>List size</w:t>
            </w:r>
          </w:p>
          <w:p w14:paraId="19D08380" w14:textId="51AA2B99" w:rsidR="00977693" w:rsidRPr="00CE0885" w:rsidRDefault="00977693" w:rsidP="00D2123D">
            <w:pPr>
              <w:pStyle w:val="BodyText"/>
            </w:pPr>
            <w:r w:rsidRPr="00CE0885">
              <w:t>(</w:t>
            </w:r>
            <w:r w:rsidR="007E266F" w:rsidRPr="007E266F">
              <w:t>provide both, raw and weighted list and date provided</w:t>
            </w:r>
            <w:r w:rsidRPr="00CE0885">
              <w:t>)</w:t>
            </w:r>
          </w:p>
        </w:tc>
        <w:tc>
          <w:tcPr>
            <w:tcW w:w="2604" w:type="dxa"/>
          </w:tcPr>
          <w:p w14:paraId="6F5195BF" w14:textId="77777777" w:rsidR="00977693" w:rsidRPr="00CE0885" w:rsidRDefault="00977693" w:rsidP="00D2123D">
            <w:pPr>
              <w:pStyle w:val="BodyText"/>
            </w:pPr>
          </w:p>
        </w:tc>
        <w:tc>
          <w:tcPr>
            <w:tcW w:w="2604" w:type="dxa"/>
          </w:tcPr>
          <w:p w14:paraId="27EAAED5" w14:textId="77777777" w:rsidR="00977693" w:rsidRPr="00CE0885" w:rsidRDefault="00977693" w:rsidP="00D2123D">
            <w:pPr>
              <w:pStyle w:val="BodyText"/>
            </w:pPr>
          </w:p>
        </w:tc>
        <w:tc>
          <w:tcPr>
            <w:tcW w:w="2605" w:type="dxa"/>
          </w:tcPr>
          <w:p w14:paraId="7141F153" w14:textId="77777777" w:rsidR="00977693" w:rsidRPr="00CE0885" w:rsidRDefault="00977693" w:rsidP="00D2123D">
            <w:pPr>
              <w:pStyle w:val="BodyText"/>
            </w:pPr>
          </w:p>
        </w:tc>
      </w:tr>
      <w:tr w:rsidR="00977693" w:rsidRPr="00CE0885" w14:paraId="71976CF6" w14:textId="77777777" w:rsidTr="00E509C8">
        <w:tc>
          <w:tcPr>
            <w:tcW w:w="2235" w:type="dxa"/>
          </w:tcPr>
          <w:p w14:paraId="23948A6D" w14:textId="77777777" w:rsidR="00977693" w:rsidRPr="00CE0885" w:rsidRDefault="00977693" w:rsidP="00D2123D">
            <w:pPr>
              <w:pStyle w:val="BodyText"/>
            </w:pPr>
            <w:r w:rsidRPr="00CE0885">
              <w:t>Number of GPs and clinical sessions</w:t>
            </w:r>
          </w:p>
          <w:p w14:paraId="148F48AC" w14:textId="489A9337" w:rsidR="00977693" w:rsidRPr="00CE0885" w:rsidRDefault="00977693" w:rsidP="00D2123D">
            <w:pPr>
              <w:pStyle w:val="BodyText"/>
            </w:pPr>
            <w:r w:rsidRPr="00CE0885">
              <w:t>(provide breakdown</w:t>
            </w:r>
            <w:r w:rsidR="007E266F">
              <w:t xml:space="preserve"> </w:t>
            </w:r>
            <w:r w:rsidR="007E266F" w:rsidRPr="007E266F">
              <w:t>and the number of wte GPs</w:t>
            </w:r>
            <w:r w:rsidR="007E266F">
              <w:t xml:space="preserve"> </w:t>
            </w:r>
            <w:r w:rsidRPr="00CE0885">
              <w:t>)</w:t>
            </w:r>
          </w:p>
        </w:tc>
        <w:tc>
          <w:tcPr>
            <w:tcW w:w="2604" w:type="dxa"/>
          </w:tcPr>
          <w:p w14:paraId="57E3B67D" w14:textId="77777777" w:rsidR="00977693" w:rsidRPr="00CE0885" w:rsidRDefault="00977693" w:rsidP="00D2123D">
            <w:pPr>
              <w:pStyle w:val="BodyText"/>
            </w:pPr>
          </w:p>
        </w:tc>
        <w:tc>
          <w:tcPr>
            <w:tcW w:w="2604" w:type="dxa"/>
          </w:tcPr>
          <w:p w14:paraId="55DCC89A" w14:textId="77777777" w:rsidR="00977693" w:rsidRPr="00CE0885" w:rsidRDefault="00977693" w:rsidP="00D2123D">
            <w:pPr>
              <w:pStyle w:val="BodyText"/>
            </w:pPr>
          </w:p>
        </w:tc>
        <w:tc>
          <w:tcPr>
            <w:tcW w:w="2605" w:type="dxa"/>
          </w:tcPr>
          <w:p w14:paraId="1208AB11" w14:textId="77777777" w:rsidR="00977693" w:rsidRPr="00CE0885" w:rsidRDefault="00977693" w:rsidP="00D2123D">
            <w:pPr>
              <w:pStyle w:val="BodyText"/>
            </w:pPr>
          </w:p>
        </w:tc>
      </w:tr>
      <w:tr w:rsidR="00977693" w:rsidRPr="00CE0885" w14:paraId="5C622B93" w14:textId="77777777" w:rsidTr="00E509C8">
        <w:tc>
          <w:tcPr>
            <w:tcW w:w="2235" w:type="dxa"/>
          </w:tcPr>
          <w:p w14:paraId="593C05A3" w14:textId="77777777" w:rsidR="00977693" w:rsidRPr="00CE0885" w:rsidRDefault="00977693" w:rsidP="00D2123D">
            <w:pPr>
              <w:pStyle w:val="BodyText"/>
            </w:pPr>
            <w:r w:rsidRPr="00CE0885">
              <w:t>Number of other practice staff</w:t>
            </w:r>
          </w:p>
          <w:p w14:paraId="6EB12A2F" w14:textId="77777777" w:rsidR="00977693" w:rsidRPr="00CE0885" w:rsidRDefault="00977693" w:rsidP="00D2123D">
            <w:pPr>
              <w:pStyle w:val="BodyText"/>
            </w:pPr>
            <w:r w:rsidRPr="00CE0885">
              <w:t>(provide breakdown)</w:t>
            </w:r>
          </w:p>
        </w:tc>
        <w:tc>
          <w:tcPr>
            <w:tcW w:w="2604" w:type="dxa"/>
          </w:tcPr>
          <w:p w14:paraId="1DAC4377" w14:textId="77777777" w:rsidR="00977693" w:rsidRPr="00CE0885" w:rsidRDefault="00977693" w:rsidP="00D2123D">
            <w:pPr>
              <w:pStyle w:val="BodyText"/>
            </w:pPr>
          </w:p>
        </w:tc>
        <w:tc>
          <w:tcPr>
            <w:tcW w:w="2604" w:type="dxa"/>
          </w:tcPr>
          <w:p w14:paraId="74A4DF67" w14:textId="77777777" w:rsidR="00977693" w:rsidRPr="00CE0885" w:rsidRDefault="00977693" w:rsidP="00D2123D">
            <w:pPr>
              <w:pStyle w:val="BodyText"/>
            </w:pPr>
          </w:p>
        </w:tc>
        <w:tc>
          <w:tcPr>
            <w:tcW w:w="2605" w:type="dxa"/>
          </w:tcPr>
          <w:p w14:paraId="741B74F1" w14:textId="77777777" w:rsidR="00977693" w:rsidRPr="00CE0885" w:rsidRDefault="00977693" w:rsidP="00D2123D">
            <w:pPr>
              <w:pStyle w:val="BodyText"/>
            </w:pPr>
          </w:p>
        </w:tc>
      </w:tr>
      <w:tr w:rsidR="00977693" w:rsidRPr="00CE0885" w14:paraId="74855947" w14:textId="77777777" w:rsidTr="00E509C8">
        <w:tc>
          <w:tcPr>
            <w:tcW w:w="2235" w:type="dxa"/>
          </w:tcPr>
          <w:p w14:paraId="3D2E8124" w14:textId="77777777" w:rsidR="00977693" w:rsidRPr="00CE0885" w:rsidRDefault="00977693" w:rsidP="00D2123D">
            <w:pPr>
              <w:pStyle w:val="BodyText"/>
            </w:pPr>
            <w:r w:rsidRPr="00CE0885">
              <w:t>Number of hours of nursing time</w:t>
            </w:r>
          </w:p>
          <w:p w14:paraId="274C91F5" w14:textId="77777777" w:rsidR="00977693" w:rsidRDefault="00977693" w:rsidP="00D2123D">
            <w:pPr>
              <w:pStyle w:val="BodyText"/>
            </w:pPr>
            <w:r w:rsidRPr="00CE0885">
              <w:t>(provide breakdown</w:t>
            </w:r>
            <w:r w:rsidR="007E266F">
              <w:t xml:space="preserve"> </w:t>
            </w:r>
            <w:r w:rsidR="007E266F" w:rsidRPr="007E266F">
              <w:t>and number of wte nurse and nurse practitioner</w:t>
            </w:r>
            <w:r w:rsidRPr="00CE0885">
              <w:t>)</w:t>
            </w:r>
          </w:p>
          <w:p w14:paraId="3C1D1AA5" w14:textId="1559F0C2" w:rsidR="007E266F" w:rsidRPr="00CE0885" w:rsidRDefault="007E266F" w:rsidP="00D2123D">
            <w:pPr>
              <w:pStyle w:val="BodyText"/>
            </w:pPr>
            <w:r w:rsidRPr="007E266F">
              <w:t>Sessions/hours of other health care professionals such as HCA, PA and PCN resources</w:t>
            </w:r>
            <w:r>
              <w:t>.</w:t>
            </w:r>
          </w:p>
        </w:tc>
        <w:tc>
          <w:tcPr>
            <w:tcW w:w="2604" w:type="dxa"/>
          </w:tcPr>
          <w:p w14:paraId="4393FA3E" w14:textId="77777777" w:rsidR="00977693" w:rsidRPr="00CE0885" w:rsidRDefault="00977693" w:rsidP="00D2123D">
            <w:pPr>
              <w:pStyle w:val="BodyText"/>
            </w:pPr>
          </w:p>
        </w:tc>
        <w:tc>
          <w:tcPr>
            <w:tcW w:w="2604" w:type="dxa"/>
          </w:tcPr>
          <w:p w14:paraId="1EF3EF3F" w14:textId="77777777" w:rsidR="00977693" w:rsidRPr="00CE0885" w:rsidRDefault="00977693" w:rsidP="00D2123D">
            <w:pPr>
              <w:pStyle w:val="BodyText"/>
            </w:pPr>
          </w:p>
        </w:tc>
        <w:tc>
          <w:tcPr>
            <w:tcW w:w="2605" w:type="dxa"/>
          </w:tcPr>
          <w:p w14:paraId="0F2E0BBF" w14:textId="77777777" w:rsidR="00977693" w:rsidRPr="00CE0885" w:rsidRDefault="00977693" w:rsidP="00D2123D">
            <w:pPr>
              <w:pStyle w:val="BodyText"/>
            </w:pPr>
          </w:p>
        </w:tc>
      </w:tr>
      <w:tr w:rsidR="00977693" w:rsidRPr="00CE0885" w14:paraId="22D3BD7D" w14:textId="77777777" w:rsidTr="00E509C8">
        <w:tc>
          <w:tcPr>
            <w:tcW w:w="2235" w:type="dxa"/>
          </w:tcPr>
          <w:p w14:paraId="3ABEF028" w14:textId="08E813C3" w:rsidR="00977693" w:rsidRPr="00CE0885" w:rsidRDefault="00B83042" w:rsidP="00D2123D">
            <w:pPr>
              <w:pStyle w:val="BodyText"/>
            </w:pPr>
            <w:r>
              <w:t>CCG/ICB</w:t>
            </w:r>
            <w:r w:rsidR="00977693" w:rsidRPr="00CE0885">
              <w:t xml:space="preserve"> area(s)</w:t>
            </w:r>
          </w:p>
          <w:p w14:paraId="4A0FEFA5" w14:textId="334EDF76" w:rsidR="00977693" w:rsidRPr="00CE0885" w:rsidRDefault="00977693" w:rsidP="00D2123D">
            <w:pPr>
              <w:pStyle w:val="BodyText"/>
            </w:pPr>
            <w:r w:rsidRPr="00CE0885">
              <w:t xml:space="preserve">(list </w:t>
            </w:r>
            <w:r w:rsidR="00B83042">
              <w:t>CCG/ICB</w:t>
            </w:r>
            <w:r w:rsidRPr="00CE0885">
              <w:t>(s) in which practices are located)</w:t>
            </w:r>
          </w:p>
        </w:tc>
        <w:tc>
          <w:tcPr>
            <w:tcW w:w="2604" w:type="dxa"/>
          </w:tcPr>
          <w:p w14:paraId="606960DC" w14:textId="77777777" w:rsidR="00977693" w:rsidRPr="00CE0885" w:rsidRDefault="00977693" w:rsidP="00D2123D">
            <w:pPr>
              <w:pStyle w:val="BodyText"/>
            </w:pPr>
          </w:p>
        </w:tc>
        <w:tc>
          <w:tcPr>
            <w:tcW w:w="2604" w:type="dxa"/>
          </w:tcPr>
          <w:p w14:paraId="45B5C28B" w14:textId="77777777" w:rsidR="00977693" w:rsidRPr="00CE0885" w:rsidRDefault="00977693" w:rsidP="00D2123D">
            <w:pPr>
              <w:pStyle w:val="BodyText"/>
            </w:pPr>
          </w:p>
        </w:tc>
        <w:tc>
          <w:tcPr>
            <w:tcW w:w="2605" w:type="dxa"/>
          </w:tcPr>
          <w:p w14:paraId="68F53A8A" w14:textId="77777777" w:rsidR="00977693" w:rsidRPr="00CE0885" w:rsidRDefault="00977693" w:rsidP="00D2123D">
            <w:pPr>
              <w:pStyle w:val="BodyText"/>
            </w:pPr>
          </w:p>
        </w:tc>
      </w:tr>
      <w:tr w:rsidR="007E266F" w:rsidRPr="00CE0885" w14:paraId="1296801F" w14:textId="77777777" w:rsidTr="00E509C8">
        <w:tc>
          <w:tcPr>
            <w:tcW w:w="2235" w:type="dxa"/>
          </w:tcPr>
          <w:p w14:paraId="591A27EA" w14:textId="77777777" w:rsidR="007067E4" w:rsidRDefault="007E266F" w:rsidP="007E266F">
            <w:pPr>
              <w:pStyle w:val="BodyText"/>
            </w:pPr>
            <w:r w:rsidRPr="00401B7E">
              <w:t>PCN Areas</w:t>
            </w:r>
            <w:r>
              <w:t xml:space="preserve"> </w:t>
            </w:r>
          </w:p>
          <w:p w14:paraId="34FDBA0D" w14:textId="75DE74EA" w:rsidR="007E266F" w:rsidRPr="00CE0885" w:rsidRDefault="007067E4" w:rsidP="007E266F">
            <w:pPr>
              <w:pStyle w:val="BodyText"/>
            </w:pPr>
            <w:r>
              <w:t>L</w:t>
            </w:r>
            <w:r w:rsidR="007E266F" w:rsidRPr="00401B7E">
              <w:t>ist PCN(s) in which practices are located)</w:t>
            </w:r>
          </w:p>
        </w:tc>
        <w:tc>
          <w:tcPr>
            <w:tcW w:w="2604" w:type="dxa"/>
          </w:tcPr>
          <w:p w14:paraId="04D75127" w14:textId="77777777" w:rsidR="007E266F" w:rsidRPr="00CE0885" w:rsidRDefault="007E266F" w:rsidP="007E266F">
            <w:pPr>
              <w:pStyle w:val="BodyText"/>
            </w:pPr>
          </w:p>
        </w:tc>
        <w:tc>
          <w:tcPr>
            <w:tcW w:w="2604" w:type="dxa"/>
          </w:tcPr>
          <w:p w14:paraId="53510322" w14:textId="77777777" w:rsidR="007E266F" w:rsidRPr="00CE0885" w:rsidRDefault="007E266F" w:rsidP="007E266F">
            <w:pPr>
              <w:pStyle w:val="BodyText"/>
            </w:pPr>
          </w:p>
        </w:tc>
        <w:tc>
          <w:tcPr>
            <w:tcW w:w="2605" w:type="dxa"/>
          </w:tcPr>
          <w:p w14:paraId="65F21181" w14:textId="77777777" w:rsidR="007E266F" w:rsidRPr="00CE0885" w:rsidRDefault="007E266F" w:rsidP="007E266F">
            <w:pPr>
              <w:pStyle w:val="BodyText"/>
            </w:pPr>
          </w:p>
        </w:tc>
      </w:tr>
      <w:tr w:rsidR="007E266F" w:rsidRPr="00CE0885" w14:paraId="78620F3F" w14:textId="77777777" w:rsidTr="00E509C8">
        <w:tc>
          <w:tcPr>
            <w:tcW w:w="2235" w:type="dxa"/>
          </w:tcPr>
          <w:p w14:paraId="32BDDB36" w14:textId="2FE23C07" w:rsidR="007E266F" w:rsidRPr="00CE0885" w:rsidRDefault="007067E4" w:rsidP="007E266F">
            <w:pPr>
              <w:pStyle w:val="BodyText"/>
            </w:pPr>
            <w:r w:rsidRPr="007067E4">
              <w:t xml:space="preserve">Please confirm </w:t>
            </w:r>
            <w:r>
              <w:t xml:space="preserve">if </w:t>
            </w:r>
            <w:r w:rsidRPr="007067E4">
              <w:t>current and future agreement to sign up to the PCN Network DES</w:t>
            </w:r>
          </w:p>
        </w:tc>
        <w:tc>
          <w:tcPr>
            <w:tcW w:w="2604" w:type="dxa"/>
          </w:tcPr>
          <w:p w14:paraId="388F7811" w14:textId="77777777" w:rsidR="007E266F" w:rsidRPr="00CE0885" w:rsidRDefault="007E266F" w:rsidP="007E266F">
            <w:pPr>
              <w:pStyle w:val="BodyText"/>
            </w:pPr>
          </w:p>
        </w:tc>
        <w:tc>
          <w:tcPr>
            <w:tcW w:w="2604" w:type="dxa"/>
          </w:tcPr>
          <w:p w14:paraId="72FDE8A8" w14:textId="77777777" w:rsidR="007E266F" w:rsidRPr="00CE0885" w:rsidRDefault="007E266F" w:rsidP="007E266F">
            <w:pPr>
              <w:pStyle w:val="BodyText"/>
            </w:pPr>
          </w:p>
        </w:tc>
        <w:tc>
          <w:tcPr>
            <w:tcW w:w="2605" w:type="dxa"/>
          </w:tcPr>
          <w:p w14:paraId="11D375FC" w14:textId="77777777" w:rsidR="007E266F" w:rsidRPr="00CE0885" w:rsidRDefault="007E266F" w:rsidP="007E266F">
            <w:pPr>
              <w:pStyle w:val="BodyText"/>
            </w:pPr>
          </w:p>
        </w:tc>
      </w:tr>
      <w:tr w:rsidR="00977693" w:rsidRPr="00CE0885" w14:paraId="4E602AC6" w14:textId="77777777" w:rsidTr="00E509C8">
        <w:tc>
          <w:tcPr>
            <w:tcW w:w="2235" w:type="dxa"/>
          </w:tcPr>
          <w:p w14:paraId="301939D4" w14:textId="77777777" w:rsidR="00977693" w:rsidRPr="00CE0885" w:rsidRDefault="00977693" w:rsidP="00D2123D">
            <w:pPr>
              <w:pStyle w:val="BodyText"/>
            </w:pPr>
            <w:r w:rsidRPr="00CE0885">
              <w:t>Which computer system/s</w:t>
            </w:r>
          </w:p>
          <w:p w14:paraId="52CC568D" w14:textId="77777777" w:rsidR="00977693" w:rsidRPr="00CE0885" w:rsidRDefault="00977693" w:rsidP="00D2123D">
            <w:pPr>
              <w:pStyle w:val="BodyText"/>
            </w:pPr>
            <w:r w:rsidRPr="00CE0885">
              <w:t>(list system(s) used)</w:t>
            </w:r>
          </w:p>
        </w:tc>
        <w:tc>
          <w:tcPr>
            <w:tcW w:w="2604" w:type="dxa"/>
          </w:tcPr>
          <w:p w14:paraId="04214594" w14:textId="77777777" w:rsidR="00977693" w:rsidRPr="00CE0885" w:rsidRDefault="00977693" w:rsidP="00D2123D">
            <w:pPr>
              <w:pStyle w:val="BodyText"/>
            </w:pPr>
          </w:p>
        </w:tc>
        <w:tc>
          <w:tcPr>
            <w:tcW w:w="2604" w:type="dxa"/>
          </w:tcPr>
          <w:p w14:paraId="0B76F6E4" w14:textId="77777777" w:rsidR="00977693" w:rsidRPr="00CE0885" w:rsidRDefault="00977693" w:rsidP="00D2123D">
            <w:pPr>
              <w:pStyle w:val="BodyText"/>
            </w:pPr>
          </w:p>
        </w:tc>
        <w:tc>
          <w:tcPr>
            <w:tcW w:w="2605" w:type="dxa"/>
          </w:tcPr>
          <w:p w14:paraId="6DEA3E2D" w14:textId="77777777" w:rsidR="00977693" w:rsidRPr="00CE0885" w:rsidRDefault="00977693" w:rsidP="00D2123D">
            <w:pPr>
              <w:pStyle w:val="BodyText"/>
            </w:pPr>
          </w:p>
        </w:tc>
      </w:tr>
      <w:tr w:rsidR="00977693" w:rsidRPr="00CE0885" w14:paraId="68B157C9" w14:textId="77777777" w:rsidTr="00E509C8">
        <w:tc>
          <w:tcPr>
            <w:tcW w:w="2235" w:type="dxa"/>
          </w:tcPr>
          <w:p w14:paraId="5A55D375" w14:textId="0E80DCBC" w:rsidR="00977693" w:rsidRPr="00CE0885" w:rsidRDefault="00EF433F" w:rsidP="00D2123D">
            <w:pPr>
              <w:pStyle w:val="BodyText"/>
            </w:pPr>
            <w:r w:rsidRPr="00CE0885">
              <w:t>Clinical governance</w:t>
            </w:r>
            <w:r w:rsidR="00977693" w:rsidRPr="00CE0885">
              <w:t>/ complaints lead and systems</w:t>
            </w:r>
          </w:p>
          <w:p w14:paraId="299E0E11" w14:textId="77777777" w:rsidR="00977693" w:rsidRPr="00CE0885" w:rsidRDefault="00977693" w:rsidP="00D2123D">
            <w:pPr>
              <w:pStyle w:val="BodyText"/>
            </w:pPr>
            <w:r w:rsidRPr="00CE0885">
              <w:t>(provide names)</w:t>
            </w:r>
          </w:p>
        </w:tc>
        <w:tc>
          <w:tcPr>
            <w:tcW w:w="2604" w:type="dxa"/>
          </w:tcPr>
          <w:p w14:paraId="2F8E5E7F" w14:textId="77777777" w:rsidR="00977693" w:rsidRPr="00CE0885" w:rsidRDefault="00977693" w:rsidP="00D2123D">
            <w:pPr>
              <w:pStyle w:val="BodyText"/>
            </w:pPr>
          </w:p>
        </w:tc>
        <w:tc>
          <w:tcPr>
            <w:tcW w:w="2604" w:type="dxa"/>
          </w:tcPr>
          <w:p w14:paraId="03CBEA15" w14:textId="77777777" w:rsidR="00977693" w:rsidRPr="00CE0885" w:rsidRDefault="00977693" w:rsidP="00D2123D">
            <w:pPr>
              <w:pStyle w:val="BodyText"/>
            </w:pPr>
          </w:p>
        </w:tc>
        <w:tc>
          <w:tcPr>
            <w:tcW w:w="2605" w:type="dxa"/>
          </w:tcPr>
          <w:p w14:paraId="40DFE718" w14:textId="77777777" w:rsidR="00977693" w:rsidRPr="00CE0885" w:rsidRDefault="00977693" w:rsidP="00D2123D">
            <w:pPr>
              <w:pStyle w:val="BodyText"/>
            </w:pPr>
          </w:p>
        </w:tc>
      </w:tr>
      <w:tr w:rsidR="007067E4" w:rsidRPr="00CE0885" w14:paraId="643A540C" w14:textId="77777777" w:rsidTr="00E509C8">
        <w:tc>
          <w:tcPr>
            <w:tcW w:w="2235" w:type="dxa"/>
          </w:tcPr>
          <w:p w14:paraId="7967299C" w14:textId="01C2BCF1" w:rsidR="007067E4" w:rsidRPr="00CE0885" w:rsidRDefault="007067E4" w:rsidP="00D2123D">
            <w:pPr>
              <w:pStyle w:val="BodyText"/>
            </w:pPr>
            <w:r w:rsidRPr="007067E4">
              <w:t>Provide organisational chart showing roles and responsibilities including workforce, corporate governance and finance</w:t>
            </w:r>
          </w:p>
        </w:tc>
        <w:tc>
          <w:tcPr>
            <w:tcW w:w="2604" w:type="dxa"/>
          </w:tcPr>
          <w:p w14:paraId="05B44C2C" w14:textId="77777777" w:rsidR="007067E4" w:rsidRPr="00CE0885" w:rsidRDefault="007067E4" w:rsidP="00D2123D">
            <w:pPr>
              <w:pStyle w:val="BodyText"/>
            </w:pPr>
          </w:p>
        </w:tc>
        <w:tc>
          <w:tcPr>
            <w:tcW w:w="2604" w:type="dxa"/>
          </w:tcPr>
          <w:p w14:paraId="70DAE941" w14:textId="77777777" w:rsidR="007067E4" w:rsidRPr="00CE0885" w:rsidRDefault="007067E4" w:rsidP="00D2123D">
            <w:pPr>
              <w:pStyle w:val="BodyText"/>
            </w:pPr>
          </w:p>
        </w:tc>
        <w:tc>
          <w:tcPr>
            <w:tcW w:w="2605" w:type="dxa"/>
          </w:tcPr>
          <w:p w14:paraId="19336870" w14:textId="77777777" w:rsidR="007067E4" w:rsidRPr="00CE0885" w:rsidRDefault="007067E4" w:rsidP="00D2123D">
            <w:pPr>
              <w:pStyle w:val="BodyText"/>
            </w:pPr>
          </w:p>
        </w:tc>
      </w:tr>
      <w:tr w:rsidR="00977693" w:rsidRPr="00CE0885" w14:paraId="0B368F52" w14:textId="77777777" w:rsidTr="00E509C8">
        <w:tc>
          <w:tcPr>
            <w:tcW w:w="2235" w:type="dxa"/>
          </w:tcPr>
          <w:p w14:paraId="7681B293" w14:textId="77777777" w:rsidR="00977693" w:rsidRPr="00CE0885" w:rsidRDefault="00977693" w:rsidP="00D2123D">
            <w:pPr>
              <w:pStyle w:val="BodyText"/>
            </w:pPr>
            <w:r w:rsidRPr="00CE0885">
              <w:t>Training practice</w:t>
            </w:r>
          </w:p>
          <w:p w14:paraId="68ACBB91" w14:textId="77777777" w:rsidR="00977693" w:rsidRPr="00CE0885" w:rsidRDefault="00977693" w:rsidP="00D2123D">
            <w:pPr>
              <w:pStyle w:val="BodyText"/>
            </w:pPr>
            <w:r w:rsidRPr="00CE0885">
              <w:t>(yes/no)</w:t>
            </w:r>
          </w:p>
        </w:tc>
        <w:tc>
          <w:tcPr>
            <w:tcW w:w="2604" w:type="dxa"/>
          </w:tcPr>
          <w:p w14:paraId="45A4A7C8" w14:textId="77777777" w:rsidR="00977693" w:rsidRPr="00CE0885" w:rsidRDefault="00977693" w:rsidP="00D2123D">
            <w:pPr>
              <w:pStyle w:val="BodyText"/>
            </w:pPr>
          </w:p>
        </w:tc>
        <w:tc>
          <w:tcPr>
            <w:tcW w:w="2604" w:type="dxa"/>
          </w:tcPr>
          <w:p w14:paraId="58C57208" w14:textId="77777777" w:rsidR="00977693" w:rsidRPr="00CE0885" w:rsidRDefault="00977693" w:rsidP="00D2123D">
            <w:pPr>
              <w:pStyle w:val="BodyText"/>
            </w:pPr>
          </w:p>
        </w:tc>
        <w:tc>
          <w:tcPr>
            <w:tcW w:w="2605" w:type="dxa"/>
          </w:tcPr>
          <w:p w14:paraId="29B47699" w14:textId="77777777" w:rsidR="00977693" w:rsidRPr="00CE0885" w:rsidRDefault="00977693" w:rsidP="00D2123D">
            <w:pPr>
              <w:pStyle w:val="BodyText"/>
            </w:pPr>
          </w:p>
        </w:tc>
      </w:tr>
      <w:tr w:rsidR="00977693" w:rsidRPr="00CE0885" w14:paraId="4509EC1E" w14:textId="77777777" w:rsidTr="00E509C8">
        <w:tc>
          <w:tcPr>
            <w:tcW w:w="2235" w:type="dxa"/>
          </w:tcPr>
          <w:p w14:paraId="4724F80F" w14:textId="77777777" w:rsidR="00977693" w:rsidRPr="00CE0885" w:rsidRDefault="00977693" w:rsidP="00D2123D">
            <w:pPr>
              <w:pStyle w:val="BodyText"/>
            </w:pPr>
            <w:r w:rsidRPr="00CE0885">
              <w:t>Opening hours</w:t>
            </w:r>
          </w:p>
          <w:p w14:paraId="704D24EC" w14:textId="77777777" w:rsidR="00977693" w:rsidRPr="00CE0885" w:rsidRDefault="00977693" w:rsidP="00D2123D">
            <w:pPr>
              <w:pStyle w:val="BodyText"/>
            </w:pPr>
            <w:r w:rsidRPr="00CE0885">
              <w:t>(list days and times)</w:t>
            </w:r>
          </w:p>
        </w:tc>
        <w:tc>
          <w:tcPr>
            <w:tcW w:w="2604" w:type="dxa"/>
          </w:tcPr>
          <w:p w14:paraId="5A8E6AE4" w14:textId="77777777" w:rsidR="00977693" w:rsidRPr="00CE0885" w:rsidRDefault="00977693" w:rsidP="00D2123D">
            <w:pPr>
              <w:pStyle w:val="BodyText"/>
            </w:pPr>
          </w:p>
        </w:tc>
        <w:tc>
          <w:tcPr>
            <w:tcW w:w="2604" w:type="dxa"/>
          </w:tcPr>
          <w:p w14:paraId="24A7A218" w14:textId="77777777" w:rsidR="00977693" w:rsidRPr="00CE0885" w:rsidRDefault="00977693" w:rsidP="00D2123D">
            <w:pPr>
              <w:pStyle w:val="BodyText"/>
            </w:pPr>
          </w:p>
        </w:tc>
        <w:tc>
          <w:tcPr>
            <w:tcW w:w="2605" w:type="dxa"/>
          </w:tcPr>
          <w:p w14:paraId="4E023076" w14:textId="77777777" w:rsidR="00977693" w:rsidRPr="00CE0885" w:rsidRDefault="00977693" w:rsidP="00D2123D">
            <w:pPr>
              <w:pStyle w:val="BodyText"/>
            </w:pPr>
          </w:p>
        </w:tc>
      </w:tr>
      <w:tr w:rsidR="007067E4" w:rsidRPr="00CE0885" w14:paraId="3FE2D871" w14:textId="77777777" w:rsidTr="00E509C8">
        <w:tc>
          <w:tcPr>
            <w:tcW w:w="2235" w:type="dxa"/>
          </w:tcPr>
          <w:p w14:paraId="0DE14345" w14:textId="77777777" w:rsidR="007067E4" w:rsidRDefault="007067E4" w:rsidP="007067E4">
            <w:pPr>
              <w:pStyle w:val="BodyText"/>
            </w:pPr>
            <w:r>
              <w:t>PCN Extended hours delivered by the practices</w:t>
            </w:r>
          </w:p>
          <w:p w14:paraId="55E00C29" w14:textId="15DE5688" w:rsidR="007067E4" w:rsidRPr="00CE0885" w:rsidRDefault="007067E4" w:rsidP="007067E4">
            <w:pPr>
              <w:pStyle w:val="BodyText"/>
            </w:pPr>
            <w:r>
              <w:t>(list days and times)</w:t>
            </w:r>
          </w:p>
        </w:tc>
        <w:tc>
          <w:tcPr>
            <w:tcW w:w="2604" w:type="dxa"/>
          </w:tcPr>
          <w:p w14:paraId="0F3F7509" w14:textId="77777777" w:rsidR="007067E4" w:rsidRPr="00CE0885" w:rsidRDefault="007067E4" w:rsidP="00D2123D">
            <w:pPr>
              <w:pStyle w:val="BodyText"/>
            </w:pPr>
          </w:p>
        </w:tc>
        <w:tc>
          <w:tcPr>
            <w:tcW w:w="2604" w:type="dxa"/>
          </w:tcPr>
          <w:p w14:paraId="1079A294" w14:textId="77777777" w:rsidR="007067E4" w:rsidRPr="00CE0885" w:rsidRDefault="007067E4" w:rsidP="00D2123D">
            <w:pPr>
              <w:pStyle w:val="BodyText"/>
            </w:pPr>
          </w:p>
        </w:tc>
        <w:tc>
          <w:tcPr>
            <w:tcW w:w="2605" w:type="dxa"/>
          </w:tcPr>
          <w:p w14:paraId="255EC61C" w14:textId="77777777" w:rsidR="007067E4" w:rsidRPr="00CE0885" w:rsidRDefault="007067E4" w:rsidP="00D2123D">
            <w:pPr>
              <w:pStyle w:val="BodyText"/>
            </w:pPr>
          </w:p>
        </w:tc>
      </w:tr>
      <w:tr w:rsidR="00977693" w:rsidRPr="00CE0885" w14:paraId="304A47F9" w14:textId="77777777" w:rsidTr="00E509C8">
        <w:tc>
          <w:tcPr>
            <w:tcW w:w="2235" w:type="dxa"/>
          </w:tcPr>
          <w:p w14:paraId="28B41F27" w14:textId="77777777" w:rsidR="00977693" w:rsidRPr="00CE0885" w:rsidRDefault="00977693" w:rsidP="00D2123D">
            <w:pPr>
              <w:pStyle w:val="BodyText"/>
            </w:pPr>
            <w:r w:rsidRPr="00CE0885">
              <w:t>Extended hours</w:t>
            </w:r>
          </w:p>
          <w:p w14:paraId="211BF65C" w14:textId="77777777" w:rsidR="00977693" w:rsidRPr="00CE0885" w:rsidRDefault="00977693" w:rsidP="00D2123D">
            <w:pPr>
              <w:pStyle w:val="BodyText"/>
            </w:pPr>
            <w:r w:rsidRPr="00CE0885">
              <w:t>(list days and times)</w:t>
            </w:r>
          </w:p>
        </w:tc>
        <w:tc>
          <w:tcPr>
            <w:tcW w:w="2604" w:type="dxa"/>
          </w:tcPr>
          <w:p w14:paraId="48C6DD12" w14:textId="77777777" w:rsidR="00977693" w:rsidRPr="00CE0885" w:rsidRDefault="00977693" w:rsidP="00D2123D">
            <w:pPr>
              <w:pStyle w:val="BodyText"/>
            </w:pPr>
          </w:p>
        </w:tc>
        <w:tc>
          <w:tcPr>
            <w:tcW w:w="2604" w:type="dxa"/>
          </w:tcPr>
          <w:p w14:paraId="101BD77B" w14:textId="77777777" w:rsidR="00977693" w:rsidRPr="00CE0885" w:rsidRDefault="00977693" w:rsidP="00D2123D">
            <w:pPr>
              <w:pStyle w:val="BodyText"/>
            </w:pPr>
          </w:p>
        </w:tc>
        <w:tc>
          <w:tcPr>
            <w:tcW w:w="2605" w:type="dxa"/>
          </w:tcPr>
          <w:p w14:paraId="1726384B" w14:textId="77777777" w:rsidR="00977693" w:rsidRPr="00CE0885" w:rsidRDefault="00977693" w:rsidP="00D2123D">
            <w:pPr>
              <w:pStyle w:val="BodyText"/>
            </w:pPr>
          </w:p>
        </w:tc>
      </w:tr>
      <w:tr w:rsidR="007067E4" w:rsidRPr="00CE0885" w14:paraId="772DE771" w14:textId="77777777" w:rsidTr="00E509C8">
        <w:tc>
          <w:tcPr>
            <w:tcW w:w="2235" w:type="dxa"/>
          </w:tcPr>
          <w:p w14:paraId="709FEB70" w14:textId="68AC3495" w:rsidR="007067E4" w:rsidRPr="00CE0885" w:rsidRDefault="007067E4" w:rsidP="00D2123D">
            <w:pPr>
              <w:pStyle w:val="BodyText"/>
            </w:pPr>
            <w:r w:rsidRPr="007067E4">
              <w:t>Other PCN services delivered by the practice</w:t>
            </w:r>
          </w:p>
        </w:tc>
        <w:tc>
          <w:tcPr>
            <w:tcW w:w="2604" w:type="dxa"/>
          </w:tcPr>
          <w:p w14:paraId="4218281D" w14:textId="77777777" w:rsidR="007067E4" w:rsidRPr="00CE0885" w:rsidRDefault="007067E4" w:rsidP="00D2123D">
            <w:pPr>
              <w:pStyle w:val="BodyText"/>
            </w:pPr>
          </w:p>
        </w:tc>
        <w:tc>
          <w:tcPr>
            <w:tcW w:w="2604" w:type="dxa"/>
          </w:tcPr>
          <w:p w14:paraId="33C7C743" w14:textId="77777777" w:rsidR="007067E4" w:rsidRPr="00CE0885" w:rsidRDefault="007067E4" w:rsidP="00D2123D">
            <w:pPr>
              <w:pStyle w:val="BodyText"/>
            </w:pPr>
          </w:p>
        </w:tc>
        <w:tc>
          <w:tcPr>
            <w:tcW w:w="2605" w:type="dxa"/>
          </w:tcPr>
          <w:p w14:paraId="1234304E" w14:textId="77777777" w:rsidR="007067E4" w:rsidRPr="00CE0885" w:rsidRDefault="007067E4" w:rsidP="00D2123D">
            <w:pPr>
              <w:pStyle w:val="BodyText"/>
            </w:pPr>
          </w:p>
        </w:tc>
      </w:tr>
      <w:tr w:rsidR="00977693" w:rsidRPr="00CE0885" w14:paraId="2377F0C5" w14:textId="77777777" w:rsidTr="00E509C8">
        <w:tc>
          <w:tcPr>
            <w:tcW w:w="2235" w:type="dxa"/>
          </w:tcPr>
          <w:p w14:paraId="2CB7F42C" w14:textId="77777777" w:rsidR="00977693" w:rsidRPr="00CE0885" w:rsidRDefault="00977693" w:rsidP="00D2123D">
            <w:pPr>
              <w:pStyle w:val="BodyText"/>
            </w:pPr>
            <w:r w:rsidRPr="00CE0885">
              <w:t xml:space="preserve">Enhanced services </w:t>
            </w:r>
          </w:p>
          <w:p w14:paraId="281F1839" w14:textId="60BD7EE9" w:rsidR="00977693" w:rsidRPr="00CE0885" w:rsidRDefault="00977693" w:rsidP="00D2123D">
            <w:pPr>
              <w:pStyle w:val="BodyText"/>
            </w:pPr>
            <w:r w:rsidRPr="00CE0885">
              <w:t>(list all enhanced services delivered</w:t>
            </w:r>
            <w:r w:rsidR="007067E4">
              <w:t xml:space="preserve"> </w:t>
            </w:r>
            <w:r w:rsidR="007067E4" w:rsidRPr="007067E4">
              <w:t xml:space="preserve">whether they are commissioned by NHSE, </w:t>
            </w:r>
            <w:r w:rsidR="00B83042">
              <w:t>CCG/ICB</w:t>
            </w:r>
            <w:r w:rsidR="007067E4" w:rsidRPr="007067E4">
              <w:t xml:space="preserve"> or LA</w:t>
            </w:r>
            <w:r w:rsidRPr="00CE0885">
              <w:t>)</w:t>
            </w:r>
          </w:p>
        </w:tc>
        <w:tc>
          <w:tcPr>
            <w:tcW w:w="2604" w:type="dxa"/>
          </w:tcPr>
          <w:p w14:paraId="4BF10D2F" w14:textId="77777777" w:rsidR="00977693" w:rsidRPr="00CE0885" w:rsidRDefault="00977693" w:rsidP="00D2123D">
            <w:pPr>
              <w:pStyle w:val="BodyText"/>
            </w:pPr>
          </w:p>
        </w:tc>
        <w:tc>
          <w:tcPr>
            <w:tcW w:w="2604" w:type="dxa"/>
          </w:tcPr>
          <w:p w14:paraId="7993B30A" w14:textId="77777777" w:rsidR="00977693" w:rsidRPr="00CE0885" w:rsidRDefault="00977693" w:rsidP="00D2123D">
            <w:pPr>
              <w:pStyle w:val="BodyText"/>
            </w:pPr>
          </w:p>
        </w:tc>
        <w:tc>
          <w:tcPr>
            <w:tcW w:w="2605" w:type="dxa"/>
          </w:tcPr>
          <w:p w14:paraId="32488736" w14:textId="77777777" w:rsidR="00977693" w:rsidRPr="00CE0885" w:rsidRDefault="00977693" w:rsidP="00D2123D">
            <w:pPr>
              <w:pStyle w:val="BodyText"/>
            </w:pPr>
          </w:p>
        </w:tc>
      </w:tr>
      <w:tr w:rsidR="00977693" w:rsidRPr="00CE0885" w14:paraId="03CDA794" w14:textId="77777777" w:rsidTr="00E509C8">
        <w:tc>
          <w:tcPr>
            <w:tcW w:w="2235" w:type="dxa"/>
          </w:tcPr>
          <w:p w14:paraId="4B5C7A5A" w14:textId="77777777" w:rsidR="00977693" w:rsidRPr="00CE0885" w:rsidRDefault="00977693" w:rsidP="00D2123D">
            <w:pPr>
              <w:pStyle w:val="BodyText"/>
            </w:pPr>
            <w:r w:rsidRPr="00CE0885">
              <w:t>Premises</w:t>
            </w:r>
          </w:p>
          <w:p w14:paraId="35CE9ECB" w14:textId="5DADE359" w:rsidR="00977693" w:rsidRPr="00CE0885" w:rsidRDefault="007067E4" w:rsidP="00D2123D">
            <w:pPr>
              <w:pStyle w:val="BodyText"/>
            </w:pPr>
            <w:r w:rsidRPr="007067E4">
              <w:t>the address for each premises and confirmation of main/branch status</w:t>
            </w:r>
          </w:p>
        </w:tc>
        <w:tc>
          <w:tcPr>
            <w:tcW w:w="2604" w:type="dxa"/>
          </w:tcPr>
          <w:p w14:paraId="52AEB241" w14:textId="77777777" w:rsidR="00977693" w:rsidRPr="00CE0885" w:rsidRDefault="00977693" w:rsidP="00D2123D">
            <w:pPr>
              <w:pStyle w:val="BodyText"/>
            </w:pPr>
          </w:p>
        </w:tc>
        <w:tc>
          <w:tcPr>
            <w:tcW w:w="2604" w:type="dxa"/>
          </w:tcPr>
          <w:p w14:paraId="12F93FA8" w14:textId="77777777" w:rsidR="00977693" w:rsidRPr="00CE0885" w:rsidRDefault="00977693" w:rsidP="00D2123D">
            <w:pPr>
              <w:pStyle w:val="BodyText"/>
            </w:pPr>
          </w:p>
        </w:tc>
        <w:tc>
          <w:tcPr>
            <w:tcW w:w="2605" w:type="dxa"/>
          </w:tcPr>
          <w:p w14:paraId="7F0BD3EA" w14:textId="77777777" w:rsidR="00977693" w:rsidRPr="00CE0885" w:rsidRDefault="00977693" w:rsidP="00D2123D">
            <w:pPr>
              <w:pStyle w:val="BodyText"/>
            </w:pPr>
          </w:p>
        </w:tc>
      </w:tr>
      <w:tr w:rsidR="007067E4" w:rsidRPr="00CE0885" w14:paraId="05648FE9" w14:textId="77777777" w:rsidTr="00E509C8">
        <w:tc>
          <w:tcPr>
            <w:tcW w:w="2235" w:type="dxa"/>
          </w:tcPr>
          <w:p w14:paraId="40378E4C" w14:textId="77777777" w:rsidR="007067E4" w:rsidRDefault="007067E4" w:rsidP="007067E4">
            <w:pPr>
              <w:pStyle w:val="BodyText"/>
            </w:pPr>
            <w:r>
              <w:t>Premises</w:t>
            </w:r>
          </w:p>
          <w:p w14:paraId="0CCDB05A" w14:textId="2E5AC271" w:rsidR="007067E4" w:rsidRPr="00CE0885" w:rsidRDefault="007067E4" w:rsidP="007067E4">
            <w:pPr>
              <w:pStyle w:val="BodyText"/>
            </w:pPr>
            <w:r>
              <w:t>indicate whether premises are owned or leased and when the lease is due to expire</w:t>
            </w:r>
          </w:p>
        </w:tc>
        <w:tc>
          <w:tcPr>
            <w:tcW w:w="2604" w:type="dxa"/>
          </w:tcPr>
          <w:p w14:paraId="49F32172" w14:textId="77777777" w:rsidR="007067E4" w:rsidRPr="00CE0885" w:rsidRDefault="007067E4" w:rsidP="00D2123D">
            <w:pPr>
              <w:pStyle w:val="BodyText"/>
            </w:pPr>
          </w:p>
        </w:tc>
        <w:tc>
          <w:tcPr>
            <w:tcW w:w="2604" w:type="dxa"/>
          </w:tcPr>
          <w:p w14:paraId="0F56E776" w14:textId="77777777" w:rsidR="007067E4" w:rsidRPr="00CE0885" w:rsidRDefault="007067E4" w:rsidP="00D2123D">
            <w:pPr>
              <w:pStyle w:val="BodyText"/>
            </w:pPr>
          </w:p>
        </w:tc>
        <w:tc>
          <w:tcPr>
            <w:tcW w:w="2605" w:type="dxa"/>
          </w:tcPr>
          <w:p w14:paraId="13FA5391" w14:textId="77777777" w:rsidR="007067E4" w:rsidRPr="00CE0885" w:rsidRDefault="007067E4" w:rsidP="00D2123D">
            <w:pPr>
              <w:pStyle w:val="BodyText"/>
            </w:pPr>
          </w:p>
        </w:tc>
      </w:tr>
      <w:tr w:rsidR="007067E4" w:rsidRPr="00CE0885" w14:paraId="2AB22799" w14:textId="77777777" w:rsidTr="00E509C8">
        <w:tc>
          <w:tcPr>
            <w:tcW w:w="2235" w:type="dxa"/>
          </w:tcPr>
          <w:p w14:paraId="00CC11D5" w14:textId="77777777" w:rsidR="007067E4" w:rsidRDefault="007067E4" w:rsidP="00D2123D">
            <w:pPr>
              <w:pStyle w:val="BodyText"/>
            </w:pPr>
            <w:r>
              <w:t>Premises</w:t>
            </w:r>
          </w:p>
          <w:p w14:paraId="22D4CC8D" w14:textId="0B47000D" w:rsidR="007067E4" w:rsidRPr="00CE0885" w:rsidRDefault="007067E4" w:rsidP="00D2123D">
            <w:pPr>
              <w:pStyle w:val="BodyText"/>
            </w:pPr>
            <w:r w:rsidRPr="007067E4">
              <w:t>For leased premises please confirm length of lease remaining including and break clauses.</w:t>
            </w:r>
          </w:p>
        </w:tc>
        <w:tc>
          <w:tcPr>
            <w:tcW w:w="2604" w:type="dxa"/>
          </w:tcPr>
          <w:p w14:paraId="58B80E72" w14:textId="77777777" w:rsidR="007067E4" w:rsidRPr="00CE0885" w:rsidRDefault="007067E4" w:rsidP="00D2123D">
            <w:pPr>
              <w:pStyle w:val="BodyText"/>
            </w:pPr>
          </w:p>
        </w:tc>
        <w:tc>
          <w:tcPr>
            <w:tcW w:w="2604" w:type="dxa"/>
          </w:tcPr>
          <w:p w14:paraId="280F015C" w14:textId="77777777" w:rsidR="007067E4" w:rsidRPr="00CE0885" w:rsidRDefault="007067E4" w:rsidP="00D2123D">
            <w:pPr>
              <w:pStyle w:val="BodyText"/>
            </w:pPr>
          </w:p>
        </w:tc>
        <w:tc>
          <w:tcPr>
            <w:tcW w:w="2605" w:type="dxa"/>
          </w:tcPr>
          <w:p w14:paraId="62B3E702" w14:textId="77777777" w:rsidR="007067E4" w:rsidRPr="00CE0885" w:rsidRDefault="007067E4" w:rsidP="00D2123D">
            <w:pPr>
              <w:pStyle w:val="BodyText"/>
            </w:pPr>
          </w:p>
        </w:tc>
      </w:tr>
    </w:tbl>
    <w:p w14:paraId="03A29E14" w14:textId="77777777" w:rsidR="00977693" w:rsidRPr="00CE0885" w:rsidRDefault="00977693" w:rsidP="00977693">
      <w:pPr>
        <w:rPr>
          <w:rFonts w:cs="Arial"/>
          <w:szCs w:val="24"/>
        </w:rPr>
      </w:pPr>
    </w:p>
    <w:p w14:paraId="1097196B" w14:textId="77777777" w:rsidR="00977693" w:rsidRPr="00CE0885" w:rsidRDefault="00977693" w:rsidP="00977693">
      <w:pPr>
        <w:rPr>
          <w:rFonts w:cs="Arial"/>
          <w:szCs w:val="24"/>
        </w:rPr>
      </w:pPr>
    </w:p>
    <w:p w14:paraId="0FB6E189" w14:textId="77777777" w:rsidR="00977693" w:rsidRPr="00CE0885" w:rsidRDefault="00977693" w:rsidP="00977693">
      <w:pPr>
        <w:rPr>
          <w:rFonts w:cs="Arial"/>
          <w:b/>
          <w:szCs w:val="24"/>
        </w:rPr>
      </w:pPr>
      <w:r w:rsidRPr="00CE0885">
        <w:rPr>
          <w:rFonts w:cs="Arial"/>
          <w:b/>
          <w:szCs w:val="24"/>
        </w:rPr>
        <w:t>2. Patient benefits</w:t>
      </w:r>
    </w:p>
    <w:p w14:paraId="75F6F911" w14:textId="77777777" w:rsidR="00977693" w:rsidRPr="00CE0885" w:rsidRDefault="00977693" w:rsidP="00977693">
      <w:pPr>
        <w:rPr>
          <w:rFonts w:cs="Arial"/>
          <w:b/>
          <w:szCs w:val="24"/>
        </w:rPr>
      </w:pPr>
    </w:p>
    <w:tbl>
      <w:tblPr>
        <w:tblStyle w:val="TableGrid"/>
        <w:tblW w:w="0" w:type="auto"/>
        <w:tblLook w:val="04A0" w:firstRow="1" w:lastRow="0" w:firstColumn="1" w:lastColumn="0" w:noHBand="0" w:noVBand="1"/>
        <w:tblCaption w:val="a text box"/>
        <w:tblDescription w:val="a text box"/>
      </w:tblPr>
      <w:tblGrid>
        <w:gridCol w:w="9060"/>
      </w:tblGrid>
      <w:tr w:rsidR="00977693" w:rsidRPr="00CE0885" w14:paraId="790B8635" w14:textId="77777777" w:rsidTr="00E509C8">
        <w:trPr>
          <w:tblHeader/>
        </w:trPr>
        <w:tc>
          <w:tcPr>
            <w:tcW w:w="9242" w:type="dxa"/>
          </w:tcPr>
          <w:p w14:paraId="1EBDF923" w14:textId="77777777" w:rsidR="00977693" w:rsidRPr="00CE0885" w:rsidRDefault="00977693" w:rsidP="00213D9D">
            <w:pPr>
              <w:spacing w:before="120" w:after="120"/>
              <w:rPr>
                <w:rFonts w:cs="Arial"/>
                <w:szCs w:val="24"/>
              </w:rPr>
            </w:pPr>
            <w:r w:rsidRPr="00CE0885">
              <w:rPr>
                <w:rFonts w:cs="Arial"/>
                <w:szCs w:val="24"/>
              </w:rPr>
              <w:t>Please explain below the consequences of the proposed practice merger for patients. You should include comments on any benefits or adverse effects on patients in relation to matters such as access to services and service delivery arrangements.</w:t>
            </w:r>
          </w:p>
        </w:tc>
      </w:tr>
      <w:tr w:rsidR="00977693" w:rsidRPr="00CE0885" w14:paraId="7660ACA2" w14:textId="77777777" w:rsidTr="00E509C8">
        <w:tc>
          <w:tcPr>
            <w:tcW w:w="9242" w:type="dxa"/>
          </w:tcPr>
          <w:p w14:paraId="4A289EEE" w14:textId="77777777" w:rsidR="00977693" w:rsidRPr="00CE0885" w:rsidRDefault="00977693" w:rsidP="00213D9D">
            <w:pPr>
              <w:spacing w:before="120" w:after="120"/>
              <w:rPr>
                <w:rFonts w:cs="Arial"/>
                <w:b/>
                <w:szCs w:val="24"/>
              </w:rPr>
            </w:pPr>
          </w:p>
          <w:p w14:paraId="1365FE16" w14:textId="77777777" w:rsidR="00977693" w:rsidRPr="00CE0885" w:rsidRDefault="00977693" w:rsidP="00213D9D">
            <w:pPr>
              <w:spacing w:before="120" w:after="120"/>
              <w:rPr>
                <w:rFonts w:cs="Arial"/>
                <w:b/>
                <w:szCs w:val="24"/>
              </w:rPr>
            </w:pPr>
          </w:p>
          <w:p w14:paraId="4AD13B81" w14:textId="77777777" w:rsidR="00977693" w:rsidRPr="00CE0885" w:rsidRDefault="00977693" w:rsidP="00213D9D">
            <w:pPr>
              <w:spacing w:before="120" w:after="120"/>
              <w:rPr>
                <w:rFonts w:cs="Arial"/>
                <w:b/>
                <w:szCs w:val="24"/>
              </w:rPr>
            </w:pPr>
          </w:p>
          <w:p w14:paraId="57E48F77" w14:textId="77777777" w:rsidR="00977693" w:rsidRPr="00CE0885" w:rsidRDefault="00977693" w:rsidP="00213D9D">
            <w:pPr>
              <w:spacing w:before="120" w:after="120"/>
              <w:rPr>
                <w:rFonts w:cs="Arial"/>
                <w:b/>
                <w:szCs w:val="24"/>
              </w:rPr>
            </w:pPr>
          </w:p>
        </w:tc>
      </w:tr>
    </w:tbl>
    <w:p w14:paraId="75CBABF9" w14:textId="77777777" w:rsidR="00977693" w:rsidRPr="00CE0885" w:rsidRDefault="00977693" w:rsidP="00977693">
      <w:pPr>
        <w:rPr>
          <w:rFonts w:cs="Arial"/>
          <w:b/>
          <w:szCs w:val="24"/>
        </w:rPr>
      </w:pPr>
    </w:p>
    <w:p w14:paraId="219169AB" w14:textId="60BA8B62" w:rsidR="00977693" w:rsidRDefault="00977693" w:rsidP="00977693">
      <w:pPr>
        <w:rPr>
          <w:rFonts w:cs="Arial"/>
          <w:b/>
          <w:szCs w:val="24"/>
        </w:rPr>
      </w:pPr>
    </w:p>
    <w:p w14:paraId="6F82072A" w14:textId="6A59CAEB" w:rsidR="00A8079F" w:rsidRDefault="00A8079F" w:rsidP="00977693">
      <w:pPr>
        <w:rPr>
          <w:rFonts w:cs="Arial"/>
          <w:b/>
          <w:szCs w:val="24"/>
        </w:rPr>
      </w:pPr>
    </w:p>
    <w:p w14:paraId="11CA9289" w14:textId="23643A3C" w:rsidR="00A8079F" w:rsidRDefault="00A8079F" w:rsidP="00977693">
      <w:pPr>
        <w:rPr>
          <w:rFonts w:cs="Arial"/>
          <w:b/>
          <w:szCs w:val="24"/>
        </w:rPr>
      </w:pPr>
    </w:p>
    <w:p w14:paraId="571AC692" w14:textId="3940A069" w:rsidR="00A8079F" w:rsidRDefault="00A8079F" w:rsidP="00977693">
      <w:pPr>
        <w:rPr>
          <w:rFonts w:cs="Arial"/>
          <w:b/>
          <w:szCs w:val="24"/>
        </w:rPr>
      </w:pPr>
    </w:p>
    <w:p w14:paraId="7F56C005" w14:textId="3E1184E4" w:rsidR="00A8079F" w:rsidRDefault="00A8079F" w:rsidP="00977693">
      <w:pPr>
        <w:rPr>
          <w:rFonts w:cs="Arial"/>
          <w:b/>
          <w:szCs w:val="24"/>
        </w:rPr>
      </w:pPr>
    </w:p>
    <w:p w14:paraId="4123E915" w14:textId="77777777" w:rsidR="00A8079F" w:rsidRPr="00CE0885" w:rsidRDefault="00A8079F" w:rsidP="00977693">
      <w:pPr>
        <w:rPr>
          <w:rFonts w:cs="Arial"/>
          <w:b/>
          <w:szCs w:val="24"/>
        </w:rPr>
      </w:pPr>
    </w:p>
    <w:p w14:paraId="628F827C" w14:textId="77777777" w:rsidR="00977693" w:rsidRPr="00CE0885" w:rsidRDefault="00977693" w:rsidP="00977693">
      <w:pPr>
        <w:rPr>
          <w:rFonts w:cs="Arial"/>
          <w:b/>
          <w:szCs w:val="24"/>
        </w:rPr>
      </w:pPr>
      <w:r w:rsidRPr="00CE0885">
        <w:rPr>
          <w:rFonts w:cs="Arial"/>
          <w:b/>
          <w:szCs w:val="24"/>
        </w:rPr>
        <w:t xml:space="preserve">3. Financial considerations </w:t>
      </w:r>
    </w:p>
    <w:p w14:paraId="368DC62F" w14:textId="77777777" w:rsidR="00977693" w:rsidRPr="00CE0885" w:rsidRDefault="00977693" w:rsidP="00977693">
      <w:pPr>
        <w:rPr>
          <w:rFonts w:cs="Arial"/>
          <w:b/>
          <w:szCs w:val="24"/>
        </w:rPr>
      </w:pPr>
    </w:p>
    <w:tbl>
      <w:tblPr>
        <w:tblStyle w:val="TableGrid"/>
        <w:tblW w:w="0" w:type="auto"/>
        <w:tblLook w:val="04A0" w:firstRow="1" w:lastRow="0" w:firstColumn="1" w:lastColumn="0" w:noHBand="0" w:noVBand="1"/>
        <w:tblCaption w:val="a text box"/>
        <w:tblDescription w:val="a text box"/>
      </w:tblPr>
      <w:tblGrid>
        <w:gridCol w:w="2648"/>
        <w:gridCol w:w="6412"/>
      </w:tblGrid>
      <w:tr w:rsidR="00977693" w:rsidRPr="00CE0885" w14:paraId="1EA6795B" w14:textId="77777777" w:rsidTr="00E509C8">
        <w:trPr>
          <w:tblHeader/>
        </w:trPr>
        <w:tc>
          <w:tcPr>
            <w:tcW w:w="9242" w:type="dxa"/>
            <w:gridSpan w:val="2"/>
          </w:tcPr>
          <w:p w14:paraId="77F8CB91" w14:textId="77777777" w:rsidR="00977693" w:rsidRPr="00CE0885" w:rsidRDefault="00977693" w:rsidP="00213D9D">
            <w:pPr>
              <w:spacing w:before="120" w:after="120"/>
              <w:rPr>
                <w:rFonts w:cs="Arial"/>
                <w:szCs w:val="24"/>
              </w:rPr>
            </w:pPr>
            <w:r w:rsidRPr="00CE0885">
              <w:rPr>
                <w:rFonts w:cs="Arial"/>
                <w:szCs w:val="24"/>
              </w:rPr>
              <w:t xml:space="preserve">Please provide comments </w:t>
            </w:r>
            <w:r w:rsidRPr="00CE0885">
              <w:rPr>
                <w:rFonts w:cs="Arial"/>
                <w:b/>
                <w:szCs w:val="24"/>
                <w:u w:val="single"/>
              </w:rPr>
              <w:t>from a financial perspective</w:t>
            </w:r>
            <w:r w:rsidRPr="00CE0885">
              <w:rPr>
                <w:rFonts w:cs="Arial"/>
                <w:szCs w:val="24"/>
              </w:rPr>
              <w:t xml:space="preserve"> on the following matters if they are relevant to the proposed practice merger.</w:t>
            </w:r>
          </w:p>
        </w:tc>
      </w:tr>
      <w:tr w:rsidR="00977693" w:rsidRPr="00CE0885" w14:paraId="680233B9" w14:textId="77777777" w:rsidTr="00E509C8">
        <w:tc>
          <w:tcPr>
            <w:tcW w:w="2660" w:type="dxa"/>
          </w:tcPr>
          <w:p w14:paraId="2E2FDCC7" w14:textId="77777777" w:rsidR="00977693" w:rsidRDefault="00977693" w:rsidP="00213D9D">
            <w:pPr>
              <w:spacing w:before="120" w:after="120"/>
              <w:rPr>
                <w:rFonts w:cs="Arial"/>
                <w:b/>
                <w:szCs w:val="24"/>
              </w:rPr>
            </w:pPr>
            <w:r w:rsidRPr="00CE0885">
              <w:rPr>
                <w:rFonts w:cs="Arial"/>
                <w:b/>
                <w:szCs w:val="24"/>
              </w:rPr>
              <w:t>Premises</w:t>
            </w:r>
          </w:p>
          <w:p w14:paraId="1DBD9E13" w14:textId="77777777" w:rsidR="007067E4" w:rsidRPr="00B6353E" w:rsidRDefault="007067E4" w:rsidP="007067E4">
            <w:pPr>
              <w:spacing w:before="120" w:after="120"/>
              <w:rPr>
                <w:rFonts w:cs="Arial"/>
                <w:szCs w:val="24"/>
              </w:rPr>
            </w:pPr>
            <w:r w:rsidRPr="00B6353E">
              <w:rPr>
                <w:rFonts w:cs="Arial"/>
                <w:szCs w:val="24"/>
              </w:rPr>
              <w:t>Business case should consider the following where applicable</w:t>
            </w:r>
          </w:p>
          <w:p w14:paraId="0E660E68" w14:textId="67EE9FDE" w:rsidR="007067E4" w:rsidRPr="00B6353E" w:rsidRDefault="007067E4" w:rsidP="006C3DF5">
            <w:pPr>
              <w:pStyle w:val="ListParagraph"/>
              <w:numPr>
                <w:ilvl w:val="0"/>
                <w:numId w:val="220"/>
              </w:numPr>
              <w:spacing w:before="120" w:after="120"/>
              <w:rPr>
                <w:rFonts w:cs="Arial"/>
                <w:szCs w:val="24"/>
              </w:rPr>
            </w:pPr>
            <w:r w:rsidRPr="00B6353E">
              <w:rPr>
                <w:rFonts w:cs="Arial"/>
                <w:szCs w:val="24"/>
              </w:rPr>
              <w:t xml:space="preserve">Legal fees </w:t>
            </w:r>
          </w:p>
          <w:p w14:paraId="7C43548A" w14:textId="49DBCD2E" w:rsidR="007067E4" w:rsidRPr="00B6353E" w:rsidRDefault="007067E4" w:rsidP="006C3DF5">
            <w:pPr>
              <w:pStyle w:val="ListParagraph"/>
              <w:numPr>
                <w:ilvl w:val="0"/>
                <w:numId w:val="220"/>
              </w:numPr>
              <w:spacing w:before="120" w:after="120"/>
              <w:rPr>
                <w:rFonts w:cs="Arial"/>
                <w:szCs w:val="24"/>
              </w:rPr>
            </w:pPr>
            <w:r w:rsidRPr="00B6353E">
              <w:rPr>
                <w:rFonts w:cs="Arial"/>
                <w:szCs w:val="24"/>
              </w:rPr>
              <w:t xml:space="preserve">SDLT payments </w:t>
            </w:r>
          </w:p>
          <w:p w14:paraId="3E0F2B24" w14:textId="5BF29DA0" w:rsidR="007067E4" w:rsidRPr="00B6353E" w:rsidRDefault="007067E4" w:rsidP="006C3DF5">
            <w:pPr>
              <w:pStyle w:val="ListParagraph"/>
              <w:numPr>
                <w:ilvl w:val="0"/>
                <w:numId w:val="220"/>
              </w:numPr>
              <w:spacing w:before="120" w:after="120"/>
              <w:rPr>
                <w:rFonts w:cs="Arial"/>
                <w:szCs w:val="24"/>
              </w:rPr>
            </w:pPr>
            <w:r w:rsidRPr="00B6353E">
              <w:rPr>
                <w:rFonts w:cs="Arial"/>
                <w:szCs w:val="24"/>
              </w:rPr>
              <w:t xml:space="preserve">Rent reimbursement </w:t>
            </w:r>
          </w:p>
          <w:p w14:paraId="66F6EB67" w14:textId="3BCAB502" w:rsidR="007067E4" w:rsidRPr="00B6353E" w:rsidRDefault="007067E4" w:rsidP="006C3DF5">
            <w:pPr>
              <w:pStyle w:val="ListParagraph"/>
              <w:numPr>
                <w:ilvl w:val="0"/>
                <w:numId w:val="220"/>
              </w:numPr>
              <w:spacing w:before="120" w:after="120"/>
              <w:rPr>
                <w:rFonts w:cs="Arial"/>
                <w:szCs w:val="24"/>
              </w:rPr>
            </w:pPr>
            <w:r w:rsidRPr="00B6353E">
              <w:rPr>
                <w:rFonts w:cs="Arial"/>
                <w:szCs w:val="24"/>
              </w:rPr>
              <w:t xml:space="preserve">Any potential savings due to site closure </w:t>
            </w:r>
          </w:p>
          <w:p w14:paraId="738A5F50" w14:textId="76D33D54" w:rsidR="007067E4" w:rsidRPr="007067E4" w:rsidRDefault="007067E4" w:rsidP="006C3DF5">
            <w:pPr>
              <w:pStyle w:val="ListParagraph"/>
              <w:numPr>
                <w:ilvl w:val="0"/>
                <w:numId w:val="220"/>
              </w:numPr>
              <w:spacing w:before="120" w:after="120"/>
              <w:rPr>
                <w:rFonts w:cs="Arial"/>
                <w:b/>
                <w:szCs w:val="24"/>
              </w:rPr>
            </w:pPr>
            <w:r w:rsidRPr="00B6353E">
              <w:rPr>
                <w:rFonts w:cs="Arial"/>
                <w:szCs w:val="24"/>
              </w:rPr>
              <w:t>Or potential increase in rent reimbursement if the newly merged practice will change premises utilisation</w:t>
            </w:r>
          </w:p>
        </w:tc>
        <w:tc>
          <w:tcPr>
            <w:tcW w:w="6582" w:type="dxa"/>
          </w:tcPr>
          <w:p w14:paraId="1E77764D" w14:textId="77777777" w:rsidR="00977693" w:rsidRPr="00CE0885" w:rsidRDefault="00977693" w:rsidP="00213D9D">
            <w:pPr>
              <w:spacing w:before="120" w:after="120"/>
              <w:rPr>
                <w:rFonts w:cs="Arial"/>
                <w:b/>
                <w:szCs w:val="24"/>
              </w:rPr>
            </w:pPr>
          </w:p>
        </w:tc>
      </w:tr>
      <w:tr w:rsidR="00977693" w:rsidRPr="00CE0885" w14:paraId="34081E8B" w14:textId="77777777" w:rsidTr="00E509C8">
        <w:tc>
          <w:tcPr>
            <w:tcW w:w="2660" w:type="dxa"/>
          </w:tcPr>
          <w:p w14:paraId="36A9253D" w14:textId="77777777" w:rsidR="00977693" w:rsidRDefault="00977693" w:rsidP="007067E4">
            <w:pPr>
              <w:tabs>
                <w:tab w:val="left" w:pos="732"/>
              </w:tabs>
              <w:spacing w:before="120" w:after="120"/>
              <w:rPr>
                <w:rFonts w:cs="Arial"/>
                <w:b/>
                <w:szCs w:val="24"/>
              </w:rPr>
            </w:pPr>
            <w:r w:rsidRPr="00CE0885">
              <w:rPr>
                <w:rFonts w:cs="Arial"/>
                <w:b/>
                <w:szCs w:val="24"/>
              </w:rPr>
              <w:t>IT</w:t>
            </w:r>
            <w:r w:rsidR="007067E4">
              <w:rPr>
                <w:rFonts w:cs="Arial"/>
                <w:b/>
                <w:szCs w:val="24"/>
              </w:rPr>
              <w:tab/>
            </w:r>
          </w:p>
          <w:p w14:paraId="48CC37BC" w14:textId="4DB92018" w:rsidR="007067E4" w:rsidRPr="007067E4" w:rsidRDefault="007067E4" w:rsidP="006C3DF5">
            <w:pPr>
              <w:pStyle w:val="ListParagraph"/>
              <w:numPr>
                <w:ilvl w:val="0"/>
                <w:numId w:val="221"/>
              </w:numPr>
              <w:tabs>
                <w:tab w:val="left" w:pos="732"/>
              </w:tabs>
              <w:spacing w:before="120" w:after="120"/>
              <w:rPr>
                <w:rFonts w:cs="Arial"/>
                <w:szCs w:val="24"/>
              </w:rPr>
            </w:pPr>
            <w:r w:rsidRPr="007067E4">
              <w:rPr>
                <w:rFonts w:cs="Arial"/>
                <w:szCs w:val="24"/>
              </w:rPr>
              <w:t>Cost associated with merging different clinical systems</w:t>
            </w:r>
          </w:p>
          <w:p w14:paraId="5D8306AE" w14:textId="4FD14D59" w:rsidR="007067E4" w:rsidRPr="007067E4" w:rsidRDefault="007067E4" w:rsidP="006C3DF5">
            <w:pPr>
              <w:pStyle w:val="ListParagraph"/>
              <w:numPr>
                <w:ilvl w:val="0"/>
                <w:numId w:val="221"/>
              </w:numPr>
              <w:tabs>
                <w:tab w:val="left" w:pos="732"/>
              </w:tabs>
              <w:spacing w:before="120" w:after="120"/>
              <w:rPr>
                <w:rFonts w:cs="Arial"/>
                <w:szCs w:val="24"/>
              </w:rPr>
            </w:pPr>
            <w:r w:rsidRPr="007067E4">
              <w:rPr>
                <w:rFonts w:cs="Arial"/>
                <w:szCs w:val="24"/>
              </w:rPr>
              <w:t>Moving servers</w:t>
            </w:r>
          </w:p>
          <w:p w14:paraId="3787328C" w14:textId="42926728" w:rsidR="007067E4" w:rsidRPr="00B6353E" w:rsidRDefault="007067E4" w:rsidP="006C3DF5">
            <w:pPr>
              <w:pStyle w:val="ListParagraph"/>
              <w:numPr>
                <w:ilvl w:val="0"/>
                <w:numId w:val="221"/>
              </w:numPr>
              <w:tabs>
                <w:tab w:val="left" w:pos="732"/>
              </w:tabs>
              <w:spacing w:before="120" w:after="120"/>
              <w:rPr>
                <w:rFonts w:cs="Arial"/>
                <w:szCs w:val="24"/>
              </w:rPr>
            </w:pPr>
            <w:r w:rsidRPr="007067E4">
              <w:rPr>
                <w:rFonts w:cs="Arial"/>
                <w:szCs w:val="24"/>
              </w:rPr>
              <w:t>Upgrading telephony system</w:t>
            </w:r>
          </w:p>
        </w:tc>
        <w:tc>
          <w:tcPr>
            <w:tcW w:w="6582" w:type="dxa"/>
          </w:tcPr>
          <w:p w14:paraId="58AB05BE" w14:textId="77777777" w:rsidR="00977693" w:rsidRPr="00CE0885" w:rsidRDefault="00977693" w:rsidP="00213D9D">
            <w:pPr>
              <w:spacing w:before="120" w:after="120"/>
              <w:rPr>
                <w:rFonts w:cs="Arial"/>
                <w:b/>
                <w:szCs w:val="24"/>
              </w:rPr>
            </w:pPr>
          </w:p>
        </w:tc>
      </w:tr>
      <w:tr w:rsidR="00977693" w:rsidRPr="00CE0885" w14:paraId="37575885" w14:textId="77777777" w:rsidTr="00E509C8">
        <w:tc>
          <w:tcPr>
            <w:tcW w:w="2660" w:type="dxa"/>
          </w:tcPr>
          <w:p w14:paraId="36889024" w14:textId="77777777" w:rsidR="00977693" w:rsidRPr="00CE0885" w:rsidRDefault="00977693" w:rsidP="00213D9D">
            <w:pPr>
              <w:spacing w:before="120" w:after="120"/>
              <w:rPr>
                <w:rFonts w:cs="Arial"/>
                <w:b/>
                <w:szCs w:val="24"/>
              </w:rPr>
            </w:pPr>
            <w:r w:rsidRPr="00CE0885">
              <w:rPr>
                <w:rFonts w:cs="Arial"/>
                <w:b/>
                <w:szCs w:val="24"/>
              </w:rPr>
              <w:t>TUPE</w:t>
            </w:r>
          </w:p>
        </w:tc>
        <w:tc>
          <w:tcPr>
            <w:tcW w:w="6582" w:type="dxa"/>
          </w:tcPr>
          <w:p w14:paraId="300E8028" w14:textId="77777777" w:rsidR="00977693" w:rsidRPr="00CE0885" w:rsidRDefault="00977693" w:rsidP="00213D9D">
            <w:pPr>
              <w:spacing w:before="120" w:after="120"/>
              <w:rPr>
                <w:rFonts w:cs="Arial"/>
                <w:b/>
                <w:szCs w:val="24"/>
              </w:rPr>
            </w:pPr>
          </w:p>
        </w:tc>
      </w:tr>
      <w:tr w:rsidR="00977693" w:rsidRPr="00CE0885" w14:paraId="78D1CDDC" w14:textId="77777777" w:rsidTr="00E509C8">
        <w:tc>
          <w:tcPr>
            <w:tcW w:w="2660" w:type="dxa"/>
          </w:tcPr>
          <w:p w14:paraId="2CEBC5ED" w14:textId="77777777" w:rsidR="00977693" w:rsidRPr="00CE0885" w:rsidRDefault="00977693" w:rsidP="00213D9D">
            <w:pPr>
              <w:spacing w:before="120" w:after="120"/>
              <w:rPr>
                <w:rFonts w:cs="Arial"/>
                <w:b/>
                <w:szCs w:val="24"/>
              </w:rPr>
            </w:pPr>
            <w:r w:rsidRPr="00CE0885">
              <w:rPr>
                <w:rFonts w:cs="Arial"/>
                <w:b/>
                <w:szCs w:val="24"/>
              </w:rPr>
              <w:t>Redundancy</w:t>
            </w:r>
          </w:p>
        </w:tc>
        <w:tc>
          <w:tcPr>
            <w:tcW w:w="6582" w:type="dxa"/>
          </w:tcPr>
          <w:p w14:paraId="6C14E63E" w14:textId="77777777" w:rsidR="00977693" w:rsidRPr="00CE0885" w:rsidRDefault="00977693" w:rsidP="00213D9D">
            <w:pPr>
              <w:spacing w:before="120" w:after="120"/>
              <w:rPr>
                <w:rFonts w:cs="Arial"/>
                <w:b/>
                <w:szCs w:val="24"/>
              </w:rPr>
            </w:pPr>
          </w:p>
        </w:tc>
      </w:tr>
      <w:tr w:rsidR="00977693" w:rsidRPr="00CE0885" w14:paraId="7B3C0D7B" w14:textId="77777777" w:rsidTr="00E509C8">
        <w:tc>
          <w:tcPr>
            <w:tcW w:w="2660" w:type="dxa"/>
          </w:tcPr>
          <w:p w14:paraId="23D35C25" w14:textId="77777777" w:rsidR="00977693" w:rsidRPr="00CE0885" w:rsidRDefault="00977693" w:rsidP="00213D9D">
            <w:pPr>
              <w:spacing w:before="120" w:after="120"/>
              <w:rPr>
                <w:rFonts w:cs="Arial"/>
                <w:b/>
                <w:szCs w:val="24"/>
              </w:rPr>
            </w:pPr>
            <w:r w:rsidRPr="00CE0885">
              <w:rPr>
                <w:rFonts w:cs="Arial"/>
                <w:b/>
                <w:szCs w:val="24"/>
              </w:rPr>
              <w:t>QOF</w:t>
            </w:r>
          </w:p>
        </w:tc>
        <w:tc>
          <w:tcPr>
            <w:tcW w:w="6582" w:type="dxa"/>
          </w:tcPr>
          <w:p w14:paraId="7E82CE94" w14:textId="77777777" w:rsidR="00977693" w:rsidRPr="00CE0885" w:rsidRDefault="00977693" w:rsidP="00213D9D">
            <w:pPr>
              <w:spacing w:before="120" w:after="120"/>
              <w:rPr>
                <w:rFonts w:cs="Arial"/>
                <w:b/>
                <w:szCs w:val="24"/>
              </w:rPr>
            </w:pPr>
          </w:p>
        </w:tc>
      </w:tr>
      <w:tr w:rsidR="00977693" w:rsidRPr="00CE0885" w14:paraId="06468CDA" w14:textId="77777777" w:rsidTr="00E509C8">
        <w:tc>
          <w:tcPr>
            <w:tcW w:w="2660" w:type="dxa"/>
          </w:tcPr>
          <w:p w14:paraId="49DE227E" w14:textId="77777777" w:rsidR="00977693" w:rsidRPr="00CE0885" w:rsidRDefault="00977693" w:rsidP="00213D9D">
            <w:pPr>
              <w:spacing w:before="120" w:after="120"/>
              <w:rPr>
                <w:rFonts w:cs="Arial"/>
                <w:b/>
                <w:szCs w:val="24"/>
              </w:rPr>
            </w:pPr>
            <w:r w:rsidRPr="00CE0885">
              <w:rPr>
                <w:rFonts w:cs="Arial"/>
                <w:b/>
                <w:szCs w:val="24"/>
              </w:rPr>
              <w:t xml:space="preserve">Pension/seniority </w:t>
            </w:r>
          </w:p>
        </w:tc>
        <w:tc>
          <w:tcPr>
            <w:tcW w:w="6582" w:type="dxa"/>
          </w:tcPr>
          <w:p w14:paraId="69DE0A85" w14:textId="77777777" w:rsidR="00977693" w:rsidRPr="00CE0885" w:rsidRDefault="00977693" w:rsidP="00213D9D">
            <w:pPr>
              <w:spacing w:before="120" w:after="120"/>
              <w:rPr>
                <w:rFonts w:cs="Arial"/>
                <w:b/>
                <w:szCs w:val="24"/>
              </w:rPr>
            </w:pPr>
          </w:p>
        </w:tc>
      </w:tr>
      <w:tr w:rsidR="00977693" w:rsidRPr="00CE0885" w14:paraId="4E799C43" w14:textId="77777777" w:rsidTr="00E509C8">
        <w:tc>
          <w:tcPr>
            <w:tcW w:w="2660" w:type="dxa"/>
          </w:tcPr>
          <w:p w14:paraId="5B963653" w14:textId="77777777" w:rsidR="00977693" w:rsidRPr="00CE0885" w:rsidRDefault="00977693" w:rsidP="00213D9D">
            <w:pPr>
              <w:spacing w:before="120" w:after="120"/>
              <w:rPr>
                <w:rFonts w:cs="Arial"/>
                <w:b/>
                <w:szCs w:val="24"/>
              </w:rPr>
            </w:pPr>
            <w:r w:rsidRPr="00CE0885">
              <w:rPr>
                <w:rFonts w:cs="Arial"/>
                <w:b/>
                <w:szCs w:val="24"/>
              </w:rPr>
              <w:t xml:space="preserve">MPIG/PMS Premium </w:t>
            </w:r>
          </w:p>
        </w:tc>
        <w:tc>
          <w:tcPr>
            <w:tcW w:w="6582" w:type="dxa"/>
          </w:tcPr>
          <w:p w14:paraId="2CAEF1A9" w14:textId="77777777" w:rsidR="00977693" w:rsidRPr="00CE0885" w:rsidRDefault="00977693" w:rsidP="00213D9D">
            <w:pPr>
              <w:spacing w:before="120" w:after="120"/>
              <w:rPr>
                <w:rFonts w:cs="Arial"/>
                <w:b/>
                <w:szCs w:val="24"/>
              </w:rPr>
            </w:pPr>
          </w:p>
        </w:tc>
      </w:tr>
      <w:tr w:rsidR="00977693" w:rsidRPr="00CE0885" w14:paraId="20436DAB" w14:textId="77777777" w:rsidTr="00E509C8">
        <w:tc>
          <w:tcPr>
            <w:tcW w:w="2660" w:type="dxa"/>
          </w:tcPr>
          <w:p w14:paraId="2A6C9533" w14:textId="77777777" w:rsidR="00977693" w:rsidRPr="00CE0885" w:rsidRDefault="00977693" w:rsidP="00213D9D">
            <w:pPr>
              <w:spacing w:before="120" w:after="120"/>
              <w:rPr>
                <w:rFonts w:cs="Arial"/>
                <w:b/>
                <w:szCs w:val="24"/>
              </w:rPr>
            </w:pPr>
            <w:r w:rsidRPr="00CE0885">
              <w:rPr>
                <w:rFonts w:cs="Arial"/>
                <w:b/>
                <w:szCs w:val="24"/>
              </w:rPr>
              <w:t>Dispensing</w:t>
            </w:r>
          </w:p>
        </w:tc>
        <w:tc>
          <w:tcPr>
            <w:tcW w:w="6582" w:type="dxa"/>
          </w:tcPr>
          <w:p w14:paraId="22A49DB8" w14:textId="77777777" w:rsidR="00977693" w:rsidRPr="00CE0885" w:rsidRDefault="00977693" w:rsidP="00213D9D">
            <w:pPr>
              <w:spacing w:before="120" w:after="120"/>
              <w:rPr>
                <w:rFonts w:cs="Arial"/>
                <w:b/>
                <w:szCs w:val="24"/>
              </w:rPr>
            </w:pPr>
          </w:p>
        </w:tc>
      </w:tr>
    </w:tbl>
    <w:p w14:paraId="55D2FA15" w14:textId="77777777" w:rsidR="00977693" w:rsidRPr="00CE0885" w:rsidRDefault="00977693" w:rsidP="00977693">
      <w:pPr>
        <w:rPr>
          <w:rFonts w:cs="Arial"/>
          <w:b/>
          <w:szCs w:val="24"/>
        </w:rPr>
      </w:pPr>
    </w:p>
    <w:p w14:paraId="19D0E3FA" w14:textId="28E3D9C7" w:rsidR="00977693" w:rsidRDefault="00977693" w:rsidP="00977693">
      <w:pPr>
        <w:rPr>
          <w:rFonts w:cs="Arial"/>
          <w:b/>
          <w:szCs w:val="24"/>
        </w:rPr>
      </w:pPr>
    </w:p>
    <w:p w14:paraId="48267E96" w14:textId="4C1EF423" w:rsidR="00671886" w:rsidRDefault="00671886" w:rsidP="00977693">
      <w:pPr>
        <w:rPr>
          <w:rFonts w:cs="Arial"/>
          <w:b/>
          <w:szCs w:val="24"/>
        </w:rPr>
      </w:pPr>
    </w:p>
    <w:p w14:paraId="5A88CA91" w14:textId="4CCFFB76" w:rsidR="00290051" w:rsidRDefault="00290051" w:rsidP="00977693">
      <w:pPr>
        <w:rPr>
          <w:rFonts w:cs="Arial"/>
          <w:b/>
          <w:szCs w:val="24"/>
        </w:rPr>
      </w:pPr>
    </w:p>
    <w:p w14:paraId="61EEAF16" w14:textId="1CBFDB4D" w:rsidR="00290051" w:rsidRDefault="00290051" w:rsidP="00977693">
      <w:pPr>
        <w:rPr>
          <w:rFonts w:cs="Arial"/>
          <w:b/>
          <w:szCs w:val="24"/>
        </w:rPr>
      </w:pPr>
    </w:p>
    <w:p w14:paraId="074CD991" w14:textId="77777777" w:rsidR="00290051" w:rsidRDefault="00290051" w:rsidP="00977693">
      <w:pPr>
        <w:rPr>
          <w:rFonts w:cs="Arial"/>
          <w:b/>
          <w:szCs w:val="24"/>
        </w:rPr>
      </w:pPr>
    </w:p>
    <w:p w14:paraId="4669FA49" w14:textId="77777777" w:rsidR="00671886" w:rsidRPr="00CE0885" w:rsidRDefault="00671886" w:rsidP="00977693">
      <w:pPr>
        <w:rPr>
          <w:rFonts w:cs="Arial"/>
          <w:b/>
          <w:szCs w:val="24"/>
        </w:rPr>
      </w:pPr>
    </w:p>
    <w:p w14:paraId="7DC6BA52" w14:textId="77777777" w:rsidR="00977693" w:rsidRPr="00CE0885" w:rsidRDefault="00977693" w:rsidP="00977693">
      <w:pPr>
        <w:rPr>
          <w:rFonts w:cs="Arial"/>
          <w:b/>
          <w:szCs w:val="24"/>
        </w:rPr>
      </w:pPr>
      <w:r w:rsidRPr="00CE0885">
        <w:rPr>
          <w:rFonts w:cs="Arial"/>
          <w:b/>
          <w:szCs w:val="24"/>
        </w:rPr>
        <w:t>4. Service delivery</w:t>
      </w:r>
    </w:p>
    <w:p w14:paraId="4BE6C716" w14:textId="77777777" w:rsidR="00977693" w:rsidRPr="00CE0885" w:rsidRDefault="00977693" w:rsidP="00977693">
      <w:pPr>
        <w:rPr>
          <w:rFonts w:cs="Arial"/>
          <w:b/>
          <w:szCs w:val="24"/>
        </w:rPr>
      </w:pPr>
    </w:p>
    <w:tbl>
      <w:tblPr>
        <w:tblStyle w:val="TableGrid"/>
        <w:tblW w:w="0" w:type="auto"/>
        <w:tblLook w:val="04A0" w:firstRow="1" w:lastRow="0" w:firstColumn="1" w:lastColumn="0" w:noHBand="0" w:noVBand="1"/>
        <w:tblCaption w:val="a text box"/>
        <w:tblDescription w:val="a text box"/>
      </w:tblPr>
      <w:tblGrid>
        <w:gridCol w:w="2635"/>
        <w:gridCol w:w="6425"/>
      </w:tblGrid>
      <w:tr w:rsidR="00977693" w:rsidRPr="00CE0885" w14:paraId="484665CF" w14:textId="77777777" w:rsidTr="00E509C8">
        <w:trPr>
          <w:tblHeader/>
        </w:trPr>
        <w:tc>
          <w:tcPr>
            <w:tcW w:w="9242" w:type="dxa"/>
            <w:gridSpan w:val="2"/>
          </w:tcPr>
          <w:p w14:paraId="6F707506" w14:textId="35B719FD" w:rsidR="00977693" w:rsidRPr="00CE0885" w:rsidRDefault="00977693" w:rsidP="00213D9D">
            <w:pPr>
              <w:spacing w:before="120" w:after="120"/>
              <w:rPr>
                <w:rFonts w:cs="Arial"/>
                <w:szCs w:val="24"/>
              </w:rPr>
            </w:pPr>
            <w:r w:rsidRPr="00CE0885">
              <w:rPr>
                <w:rFonts w:cs="Arial"/>
                <w:szCs w:val="24"/>
              </w:rPr>
              <w:t xml:space="preserve">Please provide comments </w:t>
            </w:r>
            <w:r w:rsidRPr="00CE0885">
              <w:rPr>
                <w:rFonts w:cs="Arial"/>
                <w:b/>
                <w:szCs w:val="24"/>
                <w:u w:val="single"/>
              </w:rPr>
              <w:t>from a</w:t>
            </w:r>
            <w:r w:rsidR="007067E4">
              <w:rPr>
                <w:rFonts w:cs="Arial"/>
                <w:b/>
                <w:szCs w:val="24"/>
                <w:u w:val="single"/>
              </w:rPr>
              <w:t>n improving</w:t>
            </w:r>
            <w:r w:rsidRPr="00CE0885">
              <w:rPr>
                <w:rFonts w:cs="Arial"/>
                <w:b/>
                <w:szCs w:val="24"/>
                <w:u w:val="single"/>
              </w:rPr>
              <w:t xml:space="preserve"> service delivery perspective</w:t>
            </w:r>
            <w:r w:rsidRPr="00CE0885">
              <w:rPr>
                <w:rFonts w:cs="Arial"/>
                <w:szCs w:val="24"/>
              </w:rPr>
              <w:t xml:space="preserve"> on the following matters if they are relevant to the proposed practice merger.</w:t>
            </w:r>
          </w:p>
        </w:tc>
      </w:tr>
      <w:tr w:rsidR="00977693" w:rsidRPr="00CE0885" w14:paraId="2562100A" w14:textId="77777777" w:rsidTr="00E509C8">
        <w:tc>
          <w:tcPr>
            <w:tcW w:w="2660" w:type="dxa"/>
          </w:tcPr>
          <w:p w14:paraId="4FBC8F23" w14:textId="77777777" w:rsidR="00977693" w:rsidRPr="00CE0885" w:rsidRDefault="00977693" w:rsidP="00213D9D">
            <w:pPr>
              <w:spacing w:before="120" w:after="120"/>
              <w:rPr>
                <w:rFonts w:cs="Arial"/>
                <w:b/>
                <w:szCs w:val="24"/>
              </w:rPr>
            </w:pPr>
            <w:r w:rsidRPr="00CE0885">
              <w:rPr>
                <w:rFonts w:cs="Arial"/>
                <w:b/>
                <w:szCs w:val="24"/>
              </w:rPr>
              <w:t>QOF</w:t>
            </w:r>
          </w:p>
        </w:tc>
        <w:tc>
          <w:tcPr>
            <w:tcW w:w="6582" w:type="dxa"/>
          </w:tcPr>
          <w:p w14:paraId="0FCC22DC" w14:textId="77777777" w:rsidR="00977693" w:rsidRPr="00CE0885" w:rsidRDefault="00977693" w:rsidP="00213D9D">
            <w:pPr>
              <w:spacing w:before="120" w:after="120"/>
              <w:rPr>
                <w:rFonts w:cs="Arial"/>
                <w:b/>
                <w:szCs w:val="24"/>
              </w:rPr>
            </w:pPr>
          </w:p>
        </w:tc>
      </w:tr>
      <w:tr w:rsidR="00977693" w:rsidRPr="00CE0885" w14:paraId="34B58363" w14:textId="77777777" w:rsidTr="00E509C8">
        <w:tc>
          <w:tcPr>
            <w:tcW w:w="2660" w:type="dxa"/>
          </w:tcPr>
          <w:p w14:paraId="3E0E195D" w14:textId="77777777" w:rsidR="00977693" w:rsidRPr="00CE0885" w:rsidRDefault="00977693" w:rsidP="00213D9D">
            <w:pPr>
              <w:spacing w:before="120" w:after="120"/>
              <w:rPr>
                <w:rFonts w:cs="Arial"/>
                <w:b/>
                <w:szCs w:val="24"/>
              </w:rPr>
            </w:pPr>
            <w:r w:rsidRPr="00CE0885">
              <w:rPr>
                <w:rFonts w:cs="Arial"/>
                <w:b/>
                <w:szCs w:val="24"/>
              </w:rPr>
              <w:t>Access</w:t>
            </w:r>
          </w:p>
        </w:tc>
        <w:tc>
          <w:tcPr>
            <w:tcW w:w="6582" w:type="dxa"/>
          </w:tcPr>
          <w:p w14:paraId="3DEFD46F" w14:textId="77777777" w:rsidR="00977693" w:rsidRPr="00CE0885" w:rsidRDefault="00977693" w:rsidP="00213D9D">
            <w:pPr>
              <w:spacing w:before="120" w:after="120"/>
              <w:rPr>
                <w:rFonts w:cs="Arial"/>
                <w:b/>
                <w:szCs w:val="24"/>
              </w:rPr>
            </w:pPr>
          </w:p>
        </w:tc>
      </w:tr>
      <w:tr w:rsidR="00977693" w:rsidRPr="00CE0885" w14:paraId="52490523" w14:textId="77777777" w:rsidTr="00E509C8">
        <w:tc>
          <w:tcPr>
            <w:tcW w:w="2660" w:type="dxa"/>
          </w:tcPr>
          <w:p w14:paraId="327E375F" w14:textId="77777777" w:rsidR="00977693" w:rsidRPr="00CE0885" w:rsidRDefault="00977693" w:rsidP="00213D9D">
            <w:pPr>
              <w:spacing w:before="120" w:after="120"/>
              <w:rPr>
                <w:rFonts w:cs="Arial"/>
                <w:b/>
                <w:szCs w:val="24"/>
              </w:rPr>
            </w:pPr>
            <w:r w:rsidRPr="00CE0885">
              <w:rPr>
                <w:rFonts w:cs="Arial"/>
                <w:b/>
                <w:szCs w:val="24"/>
              </w:rPr>
              <w:t>Primary Care Web Tool</w:t>
            </w:r>
          </w:p>
        </w:tc>
        <w:tc>
          <w:tcPr>
            <w:tcW w:w="6582" w:type="dxa"/>
          </w:tcPr>
          <w:p w14:paraId="2F1EF926" w14:textId="77777777" w:rsidR="00977693" w:rsidRPr="00CE0885" w:rsidRDefault="00977693" w:rsidP="00213D9D">
            <w:pPr>
              <w:spacing w:before="120" w:after="120"/>
              <w:rPr>
                <w:rFonts w:cs="Arial"/>
                <w:b/>
                <w:szCs w:val="24"/>
              </w:rPr>
            </w:pPr>
          </w:p>
        </w:tc>
      </w:tr>
      <w:tr w:rsidR="00977693" w:rsidRPr="00CE0885" w14:paraId="03FCF2FE" w14:textId="77777777" w:rsidTr="00E509C8">
        <w:tc>
          <w:tcPr>
            <w:tcW w:w="2660" w:type="dxa"/>
          </w:tcPr>
          <w:p w14:paraId="565703DA" w14:textId="72F7A645" w:rsidR="00977693" w:rsidRPr="00CE0885" w:rsidRDefault="00977693" w:rsidP="00213D9D">
            <w:pPr>
              <w:spacing w:before="120" w:after="120"/>
              <w:rPr>
                <w:rFonts w:cs="Arial"/>
                <w:b/>
                <w:szCs w:val="24"/>
              </w:rPr>
            </w:pPr>
            <w:r w:rsidRPr="00CE0885">
              <w:rPr>
                <w:rFonts w:cs="Arial"/>
                <w:b/>
                <w:szCs w:val="24"/>
              </w:rPr>
              <w:t>Recent o</w:t>
            </w:r>
            <w:r w:rsidR="007067E4">
              <w:rPr>
                <w:rFonts w:cs="Arial"/>
                <w:b/>
                <w:szCs w:val="24"/>
              </w:rPr>
              <w:t>r</w:t>
            </w:r>
            <w:r w:rsidRPr="00CE0885">
              <w:rPr>
                <w:rFonts w:cs="Arial"/>
                <w:b/>
                <w:szCs w:val="24"/>
              </w:rPr>
              <w:t xml:space="preserve"> ongoing breaches of contract</w:t>
            </w:r>
          </w:p>
        </w:tc>
        <w:tc>
          <w:tcPr>
            <w:tcW w:w="6582" w:type="dxa"/>
          </w:tcPr>
          <w:p w14:paraId="633BB0DD" w14:textId="77777777" w:rsidR="00977693" w:rsidRPr="00CE0885" w:rsidRDefault="00977693" w:rsidP="00213D9D">
            <w:pPr>
              <w:spacing w:before="120" w:after="120"/>
              <w:rPr>
                <w:rFonts w:cs="Arial"/>
                <w:b/>
                <w:szCs w:val="24"/>
              </w:rPr>
            </w:pPr>
          </w:p>
        </w:tc>
      </w:tr>
      <w:tr w:rsidR="00977693" w:rsidRPr="00CE0885" w14:paraId="301031A1" w14:textId="77777777" w:rsidTr="00E509C8">
        <w:tc>
          <w:tcPr>
            <w:tcW w:w="2660" w:type="dxa"/>
          </w:tcPr>
          <w:p w14:paraId="1A02B28C" w14:textId="77777777" w:rsidR="00977693" w:rsidRPr="00CE0885" w:rsidRDefault="00977693" w:rsidP="00213D9D">
            <w:pPr>
              <w:spacing w:before="120" w:after="120"/>
              <w:rPr>
                <w:rFonts w:cs="Arial"/>
                <w:b/>
                <w:szCs w:val="24"/>
              </w:rPr>
            </w:pPr>
            <w:r w:rsidRPr="00CE0885">
              <w:rPr>
                <w:rFonts w:cs="Arial"/>
                <w:b/>
                <w:szCs w:val="24"/>
              </w:rPr>
              <w:t>Recent or pending CQC matters</w:t>
            </w:r>
          </w:p>
        </w:tc>
        <w:tc>
          <w:tcPr>
            <w:tcW w:w="6582" w:type="dxa"/>
          </w:tcPr>
          <w:p w14:paraId="74886824" w14:textId="77777777" w:rsidR="00977693" w:rsidRPr="00CE0885" w:rsidRDefault="00977693" w:rsidP="00213D9D">
            <w:pPr>
              <w:spacing w:before="120" w:after="120"/>
              <w:rPr>
                <w:rFonts w:cs="Arial"/>
                <w:b/>
                <w:szCs w:val="24"/>
              </w:rPr>
            </w:pPr>
          </w:p>
        </w:tc>
      </w:tr>
      <w:tr w:rsidR="00977693" w:rsidRPr="00CE0885" w14:paraId="49C6F3A8" w14:textId="77777777" w:rsidTr="00E509C8">
        <w:tc>
          <w:tcPr>
            <w:tcW w:w="2660" w:type="dxa"/>
          </w:tcPr>
          <w:p w14:paraId="784CAD66" w14:textId="77777777" w:rsidR="00977693" w:rsidRPr="00CE0885" w:rsidRDefault="00977693" w:rsidP="00213D9D">
            <w:pPr>
              <w:spacing w:before="120" w:after="120"/>
              <w:rPr>
                <w:rFonts w:cs="Arial"/>
                <w:b/>
                <w:szCs w:val="24"/>
              </w:rPr>
            </w:pPr>
            <w:r w:rsidRPr="00CE0885">
              <w:rPr>
                <w:rFonts w:cs="Arial"/>
                <w:b/>
                <w:szCs w:val="24"/>
              </w:rPr>
              <w:t>If one practice's service delivery is of a lower standard, is there a proposal to improve performance</w:t>
            </w:r>
          </w:p>
        </w:tc>
        <w:tc>
          <w:tcPr>
            <w:tcW w:w="6582" w:type="dxa"/>
          </w:tcPr>
          <w:p w14:paraId="30A51FEF" w14:textId="77777777" w:rsidR="00977693" w:rsidRPr="00CE0885" w:rsidRDefault="00977693" w:rsidP="00213D9D">
            <w:pPr>
              <w:spacing w:before="120" w:after="120"/>
              <w:rPr>
                <w:rFonts w:cs="Arial"/>
                <w:b/>
                <w:szCs w:val="24"/>
              </w:rPr>
            </w:pPr>
          </w:p>
        </w:tc>
      </w:tr>
      <w:tr w:rsidR="00977693" w:rsidRPr="00CE0885" w14:paraId="13B3C038" w14:textId="77777777" w:rsidTr="00E509C8">
        <w:tc>
          <w:tcPr>
            <w:tcW w:w="2660" w:type="dxa"/>
          </w:tcPr>
          <w:p w14:paraId="707E5A15" w14:textId="77777777" w:rsidR="00977693" w:rsidRPr="00CE0885" w:rsidRDefault="00977693" w:rsidP="00213D9D">
            <w:pPr>
              <w:spacing w:before="120" w:after="120"/>
              <w:rPr>
                <w:rFonts w:cs="Arial"/>
                <w:b/>
                <w:szCs w:val="24"/>
              </w:rPr>
            </w:pPr>
            <w:r w:rsidRPr="00CE0885">
              <w:rPr>
                <w:rFonts w:cs="Arial"/>
                <w:b/>
                <w:szCs w:val="24"/>
              </w:rPr>
              <w:t>Will there be any cessation of services post-merger?</w:t>
            </w:r>
          </w:p>
        </w:tc>
        <w:tc>
          <w:tcPr>
            <w:tcW w:w="6582" w:type="dxa"/>
          </w:tcPr>
          <w:p w14:paraId="3A52C09B" w14:textId="77777777" w:rsidR="00977693" w:rsidRPr="00CE0885" w:rsidRDefault="00977693" w:rsidP="00213D9D">
            <w:pPr>
              <w:spacing w:before="120" w:after="120"/>
              <w:rPr>
                <w:rFonts w:cs="Arial"/>
                <w:b/>
                <w:szCs w:val="24"/>
              </w:rPr>
            </w:pPr>
          </w:p>
        </w:tc>
      </w:tr>
      <w:tr w:rsidR="00977693" w:rsidRPr="00CE0885" w14:paraId="6C74BA7B" w14:textId="77777777" w:rsidTr="00E509C8">
        <w:tc>
          <w:tcPr>
            <w:tcW w:w="2660" w:type="dxa"/>
          </w:tcPr>
          <w:p w14:paraId="71E1E9E0" w14:textId="77777777" w:rsidR="00977693" w:rsidRPr="00CE0885" w:rsidRDefault="00977693" w:rsidP="00213D9D">
            <w:pPr>
              <w:spacing w:before="120" w:after="120"/>
              <w:rPr>
                <w:rFonts w:cs="Arial"/>
                <w:b/>
                <w:szCs w:val="24"/>
              </w:rPr>
            </w:pPr>
            <w:r w:rsidRPr="00CE0885">
              <w:rPr>
                <w:rFonts w:cs="Arial"/>
                <w:b/>
                <w:szCs w:val="24"/>
              </w:rPr>
              <w:t>Will there be a reduction of hours for which services are provided post-merger?</w:t>
            </w:r>
          </w:p>
        </w:tc>
        <w:tc>
          <w:tcPr>
            <w:tcW w:w="6582" w:type="dxa"/>
          </w:tcPr>
          <w:p w14:paraId="02D625CC" w14:textId="77777777" w:rsidR="00977693" w:rsidRPr="00CE0885" w:rsidRDefault="00977693" w:rsidP="00213D9D">
            <w:pPr>
              <w:spacing w:before="120" w:after="120"/>
              <w:rPr>
                <w:rFonts w:cs="Arial"/>
                <w:b/>
                <w:szCs w:val="24"/>
              </w:rPr>
            </w:pPr>
          </w:p>
        </w:tc>
      </w:tr>
      <w:tr w:rsidR="00977693" w:rsidRPr="00CE0885" w14:paraId="57B19F3D" w14:textId="77777777" w:rsidTr="00E509C8">
        <w:tc>
          <w:tcPr>
            <w:tcW w:w="2660" w:type="dxa"/>
          </w:tcPr>
          <w:p w14:paraId="5522E371" w14:textId="77777777" w:rsidR="00977693" w:rsidRPr="00CE0885" w:rsidRDefault="00977693" w:rsidP="00213D9D">
            <w:pPr>
              <w:spacing w:before="120" w:after="120"/>
              <w:rPr>
                <w:rFonts w:cs="Arial"/>
                <w:b/>
                <w:szCs w:val="24"/>
              </w:rPr>
            </w:pPr>
            <w:r w:rsidRPr="00CE0885">
              <w:rPr>
                <w:rFonts w:cs="Arial"/>
                <w:b/>
                <w:szCs w:val="24"/>
              </w:rPr>
              <w:t>Will there be a change in the hours at which services are provided?</w:t>
            </w:r>
          </w:p>
        </w:tc>
        <w:tc>
          <w:tcPr>
            <w:tcW w:w="6582" w:type="dxa"/>
          </w:tcPr>
          <w:p w14:paraId="367C400A" w14:textId="77777777" w:rsidR="00977693" w:rsidRPr="00CE0885" w:rsidRDefault="00977693" w:rsidP="00213D9D">
            <w:pPr>
              <w:spacing w:before="120" w:after="120"/>
              <w:rPr>
                <w:rFonts w:cs="Arial"/>
                <w:b/>
                <w:szCs w:val="24"/>
              </w:rPr>
            </w:pPr>
          </w:p>
        </w:tc>
      </w:tr>
      <w:tr w:rsidR="00977693" w:rsidRPr="00CE0885" w14:paraId="753AE293" w14:textId="77777777" w:rsidTr="00E509C8">
        <w:tc>
          <w:tcPr>
            <w:tcW w:w="2660" w:type="dxa"/>
          </w:tcPr>
          <w:p w14:paraId="5436DEAB" w14:textId="77777777" w:rsidR="00977693" w:rsidRPr="00CE0885" w:rsidRDefault="00977693" w:rsidP="00213D9D">
            <w:pPr>
              <w:spacing w:before="120" w:after="120"/>
              <w:rPr>
                <w:rFonts w:cs="Arial"/>
                <w:b/>
                <w:szCs w:val="24"/>
              </w:rPr>
            </w:pPr>
            <w:r w:rsidRPr="00CE0885">
              <w:rPr>
                <w:rFonts w:cs="Arial"/>
                <w:b/>
                <w:szCs w:val="24"/>
              </w:rPr>
              <w:t>Will there be a reduction in the number of locations or a change in the location of premises from services are provided?</w:t>
            </w:r>
          </w:p>
        </w:tc>
        <w:tc>
          <w:tcPr>
            <w:tcW w:w="6582" w:type="dxa"/>
          </w:tcPr>
          <w:p w14:paraId="58093B75" w14:textId="77777777" w:rsidR="00977693" w:rsidRPr="00CE0885" w:rsidRDefault="00977693" w:rsidP="00213D9D">
            <w:pPr>
              <w:spacing w:before="120" w:after="120"/>
              <w:rPr>
                <w:rFonts w:cs="Arial"/>
                <w:b/>
                <w:szCs w:val="24"/>
              </w:rPr>
            </w:pPr>
          </w:p>
        </w:tc>
      </w:tr>
      <w:tr w:rsidR="00977693" w:rsidRPr="00CE0885" w14:paraId="35F82108" w14:textId="77777777" w:rsidTr="00E509C8">
        <w:tc>
          <w:tcPr>
            <w:tcW w:w="2660" w:type="dxa"/>
          </w:tcPr>
          <w:p w14:paraId="6F1310E5" w14:textId="77777777" w:rsidR="00977693" w:rsidRPr="00CE0885" w:rsidRDefault="00977693" w:rsidP="00213D9D">
            <w:pPr>
              <w:spacing w:before="120" w:after="120"/>
              <w:rPr>
                <w:rFonts w:cs="Arial"/>
                <w:b/>
                <w:szCs w:val="24"/>
              </w:rPr>
            </w:pPr>
            <w:r w:rsidRPr="00CE0885">
              <w:rPr>
                <w:rFonts w:cs="Arial"/>
                <w:b/>
                <w:szCs w:val="24"/>
              </w:rPr>
              <w:t>Resilience – where the merged patient list is over 10,000, how will the practices ensure resilience to ensure that performance and patient experience is maintained and improved.</w:t>
            </w:r>
          </w:p>
        </w:tc>
        <w:tc>
          <w:tcPr>
            <w:tcW w:w="6582" w:type="dxa"/>
          </w:tcPr>
          <w:p w14:paraId="497C05D2" w14:textId="77777777" w:rsidR="00977693" w:rsidRPr="00CE0885" w:rsidRDefault="00977693" w:rsidP="00213D9D">
            <w:pPr>
              <w:spacing w:before="120" w:after="120"/>
              <w:rPr>
                <w:rFonts w:cs="Arial"/>
                <w:b/>
                <w:szCs w:val="24"/>
              </w:rPr>
            </w:pPr>
          </w:p>
        </w:tc>
      </w:tr>
      <w:tr w:rsidR="007067E4" w:rsidRPr="00CE0885" w14:paraId="5E6D894A" w14:textId="77777777" w:rsidTr="00E509C8">
        <w:tc>
          <w:tcPr>
            <w:tcW w:w="2660" w:type="dxa"/>
          </w:tcPr>
          <w:p w14:paraId="69391F0C" w14:textId="77777777" w:rsidR="007067E4" w:rsidRPr="00B6353E" w:rsidRDefault="007067E4" w:rsidP="007067E4">
            <w:pPr>
              <w:spacing w:before="120" w:after="120"/>
              <w:rPr>
                <w:rFonts w:cs="Arial"/>
                <w:szCs w:val="24"/>
              </w:rPr>
            </w:pPr>
            <w:r w:rsidRPr="00B6353E">
              <w:rPr>
                <w:rFonts w:cs="Arial"/>
                <w:szCs w:val="24"/>
              </w:rPr>
              <w:t>Primary Care Networks (PCN) – what are the benefits of the proposed merger for the PCN?</w:t>
            </w:r>
          </w:p>
          <w:p w14:paraId="4AC35DD2" w14:textId="4F690020" w:rsidR="007067E4" w:rsidRPr="00CE0885" w:rsidRDefault="007067E4" w:rsidP="007067E4">
            <w:pPr>
              <w:spacing w:before="120" w:after="120"/>
              <w:rPr>
                <w:rFonts w:cs="Arial"/>
                <w:b/>
                <w:szCs w:val="24"/>
              </w:rPr>
            </w:pPr>
            <w:r w:rsidRPr="00B6353E">
              <w:rPr>
                <w:rFonts w:cs="Arial"/>
                <w:szCs w:val="24"/>
              </w:rPr>
              <w:t>e.g. offer space for PCN services, taking leadership of delivering services on behalf of the PCN</w:t>
            </w:r>
          </w:p>
        </w:tc>
        <w:tc>
          <w:tcPr>
            <w:tcW w:w="6582" w:type="dxa"/>
          </w:tcPr>
          <w:p w14:paraId="43F30E04" w14:textId="77777777" w:rsidR="007067E4" w:rsidRPr="00CE0885" w:rsidRDefault="007067E4" w:rsidP="00213D9D">
            <w:pPr>
              <w:spacing w:before="120" w:after="120"/>
              <w:rPr>
                <w:rFonts w:cs="Arial"/>
                <w:b/>
                <w:szCs w:val="24"/>
              </w:rPr>
            </w:pPr>
          </w:p>
        </w:tc>
      </w:tr>
      <w:tr w:rsidR="007067E4" w:rsidRPr="00CE0885" w14:paraId="15912384" w14:textId="77777777" w:rsidTr="00E509C8">
        <w:tc>
          <w:tcPr>
            <w:tcW w:w="2660" w:type="dxa"/>
          </w:tcPr>
          <w:p w14:paraId="055E6FEE" w14:textId="77777777" w:rsidR="007067E4" w:rsidRPr="00B6353E" w:rsidRDefault="007067E4" w:rsidP="007067E4">
            <w:pPr>
              <w:spacing w:before="120" w:after="120"/>
              <w:rPr>
                <w:rFonts w:cs="Arial"/>
                <w:szCs w:val="24"/>
              </w:rPr>
            </w:pPr>
            <w:r w:rsidRPr="00B6353E">
              <w:rPr>
                <w:rFonts w:cs="Arial"/>
                <w:szCs w:val="24"/>
              </w:rPr>
              <w:t>Primary Care Networks (PCN) – what are the implication of the proposed merger for the PCN?</w:t>
            </w:r>
          </w:p>
          <w:p w14:paraId="6E648210" w14:textId="12F8C1A6" w:rsidR="007067E4" w:rsidRPr="00CE0885" w:rsidRDefault="007067E4" w:rsidP="007067E4">
            <w:pPr>
              <w:spacing w:before="120" w:after="120"/>
              <w:rPr>
                <w:rFonts w:cs="Arial"/>
                <w:b/>
                <w:szCs w:val="24"/>
              </w:rPr>
            </w:pPr>
            <w:r w:rsidRPr="00B6353E">
              <w:rPr>
                <w:rFonts w:cs="Arial"/>
                <w:szCs w:val="24"/>
              </w:rPr>
              <w:t>e.g. where two practice premises is located in two different PCNs</w:t>
            </w:r>
          </w:p>
        </w:tc>
        <w:tc>
          <w:tcPr>
            <w:tcW w:w="6582" w:type="dxa"/>
          </w:tcPr>
          <w:p w14:paraId="20DE91EE" w14:textId="77777777" w:rsidR="007067E4" w:rsidRPr="00CE0885" w:rsidRDefault="007067E4" w:rsidP="00213D9D">
            <w:pPr>
              <w:spacing w:before="120" w:after="120"/>
              <w:rPr>
                <w:rFonts w:cs="Arial"/>
                <w:b/>
                <w:szCs w:val="24"/>
              </w:rPr>
            </w:pPr>
          </w:p>
        </w:tc>
      </w:tr>
    </w:tbl>
    <w:p w14:paraId="0B17FE49" w14:textId="77777777" w:rsidR="00977693" w:rsidRPr="00CE0885" w:rsidRDefault="00977693" w:rsidP="00977693">
      <w:pPr>
        <w:rPr>
          <w:rFonts w:cs="Arial"/>
          <w:b/>
          <w:szCs w:val="24"/>
        </w:rPr>
      </w:pPr>
    </w:p>
    <w:p w14:paraId="3282E9D9" w14:textId="77777777" w:rsidR="00977693" w:rsidRPr="00CE0885" w:rsidRDefault="00977693" w:rsidP="00977693">
      <w:pPr>
        <w:rPr>
          <w:rFonts w:cs="Arial"/>
          <w:b/>
          <w:szCs w:val="24"/>
        </w:rPr>
      </w:pPr>
    </w:p>
    <w:p w14:paraId="6351ED91" w14:textId="77777777" w:rsidR="00977693" w:rsidRPr="00CE0885" w:rsidRDefault="00977693" w:rsidP="00977693">
      <w:pPr>
        <w:rPr>
          <w:rFonts w:cs="Arial"/>
          <w:b/>
          <w:szCs w:val="24"/>
        </w:rPr>
      </w:pPr>
      <w:r w:rsidRPr="00CE0885">
        <w:rPr>
          <w:rFonts w:cs="Arial"/>
          <w:b/>
          <w:szCs w:val="24"/>
        </w:rPr>
        <w:t>5. Patient and stakeholder engagement</w:t>
      </w:r>
    </w:p>
    <w:p w14:paraId="5913B54E" w14:textId="77777777" w:rsidR="00977693" w:rsidRPr="00CE0885" w:rsidRDefault="00977693" w:rsidP="00977693">
      <w:pPr>
        <w:rPr>
          <w:rFonts w:cs="Arial"/>
          <w:b/>
          <w:szCs w:val="24"/>
        </w:rPr>
      </w:pPr>
    </w:p>
    <w:tbl>
      <w:tblPr>
        <w:tblStyle w:val="TableGrid"/>
        <w:tblW w:w="0" w:type="auto"/>
        <w:tblLook w:val="04A0" w:firstRow="1" w:lastRow="0" w:firstColumn="1" w:lastColumn="0" w:noHBand="0" w:noVBand="1"/>
        <w:tblCaption w:val="a text box"/>
        <w:tblDescription w:val="a text box"/>
      </w:tblPr>
      <w:tblGrid>
        <w:gridCol w:w="2831"/>
        <w:gridCol w:w="6229"/>
      </w:tblGrid>
      <w:tr w:rsidR="00977693" w:rsidRPr="00CE0885" w14:paraId="23794225" w14:textId="77777777" w:rsidTr="00E509C8">
        <w:trPr>
          <w:tblHeader/>
        </w:trPr>
        <w:tc>
          <w:tcPr>
            <w:tcW w:w="9242" w:type="dxa"/>
            <w:gridSpan w:val="2"/>
          </w:tcPr>
          <w:p w14:paraId="641F652C" w14:textId="77777777" w:rsidR="00977693" w:rsidRPr="00CE0885" w:rsidRDefault="00977693" w:rsidP="00213D9D">
            <w:pPr>
              <w:spacing w:before="120" w:after="120"/>
              <w:rPr>
                <w:rFonts w:cs="Arial"/>
                <w:szCs w:val="24"/>
              </w:rPr>
            </w:pPr>
            <w:r w:rsidRPr="00CE0885">
              <w:rPr>
                <w:rFonts w:cs="Arial"/>
                <w:szCs w:val="24"/>
              </w:rPr>
              <w:t>Please provide comments on the following matters.</w:t>
            </w:r>
          </w:p>
        </w:tc>
      </w:tr>
      <w:tr w:rsidR="00977693" w:rsidRPr="00CE0885" w14:paraId="2543B68E" w14:textId="77777777" w:rsidTr="00E509C8">
        <w:tc>
          <w:tcPr>
            <w:tcW w:w="2660" w:type="dxa"/>
          </w:tcPr>
          <w:p w14:paraId="2CF6E5EF" w14:textId="77777777" w:rsidR="00977693" w:rsidRDefault="00977693" w:rsidP="00213D9D">
            <w:pPr>
              <w:spacing w:before="120" w:after="120"/>
              <w:rPr>
                <w:rFonts w:cs="Arial"/>
                <w:b/>
                <w:szCs w:val="24"/>
              </w:rPr>
            </w:pPr>
            <w:r w:rsidRPr="00CE0885">
              <w:rPr>
                <w:rFonts w:cs="Arial"/>
                <w:b/>
                <w:szCs w:val="24"/>
              </w:rPr>
              <w:t>Have the practices engaged with patients and/or stakeholders on the practice merger?</w:t>
            </w:r>
          </w:p>
          <w:p w14:paraId="7DEB5443" w14:textId="0D98DC0B" w:rsidR="00755122" w:rsidRPr="00CE0885" w:rsidRDefault="00755122" w:rsidP="00213D9D">
            <w:pPr>
              <w:spacing w:before="120" w:after="120"/>
              <w:rPr>
                <w:rFonts w:cs="Arial"/>
                <w:b/>
                <w:szCs w:val="24"/>
              </w:rPr>
            </w:pPr>
            <w:r w:rsidRPr="00755122">
              <w:rPr>
                <w:rFonts w:cs="Arial"/>
                <w:b/>
                <w:szCs w:val="24"/>
              </w:rPr>
              <w:t>Stakeholders may include local LMC, Healthwatch, PCN members, Community and voluntary services</w:t>
            </w:r>
          </w:p>
        </w:tc>
        <w:tc>
          <w:tcPr>
            <w:tcW w:w="6582" w:type="dxa"/>
          </w:tcPr>
          <w:p w14:paraId="480C91D7" w14:textId="77777777" w:rsidR="00977693" w:rsidRPr="00CE0885" w:rsidRDefault="00977693" w:rsidP="00213D9D">
            <w:pPr>
              <w:spacing w:before="120" w:after="120"/>
              <w:rPr>
                <w:rFonts w:cs="Arial"/>
                <w:b/>
                <w:szCs w:val="24"/>
              </w:rPr>
            </w:pPr>
          </w:p>
        </w:tc>
      </w:tr>
      <w:tr w:rsidR="00977693" w:rsidRPr="00CE0885" w14:paraId="45BFEF9E" w14:textId="77777777" w:rsidTr="00E509C8">
        <w:tc>
          <w:tcPr>
            <w:tcW w:w="2660" w:type="dxa"/>
          </w:tcPr>
          <w:p w14:paraId="31BF2A12" w14:textId="494938F9" w:rsidR="00977693" w:rsidRPr="00CE0885" w:rsidRDefault="00755122" w:rsidP="00213D9D">
            <w:pPr>
              <w:spacing w:before="120" w:after="120"/>
              <w:rPr>
                <w:rFonts w:cs="Arial"/>
                <w:b/>
                <w:szCs w:val="24"/>
              </w:rPr>
            </w:pPr>
            <w:r>
              <w:rPr>
                <w:rFonts w:cs="Arial"/>
                <w:b/>
                <w:szCs w:val="24"/>
              </w:rPr>
              <w:t>Note: P</w:t>
            </w:r>
            <w:r w:rsidR="00977693" w:rsidRPr="00CE0885">
              <w:rPr>
                <w:rFonts w:cs="Arial"/>
                <w:b/>
                <w:szCs w:val="24"/>
              </w:rPr>
              <w:t xml:space="preserve">ractices </w:t>
            </w:r>
            <w:r>
              <w:rPr>
                <w:rFonts w:cs="Arial"/>
                <w:b/>
                <w:szCs w:val="24"/>
              </w:rPr>
              <w:t xml:space="preserve">must </w:t>
            </w:r>
            <w:r w:rsidR="00977693" w:rsidRPr="00CE0885">
              <w:rPr>
                <w:rFonts w:cs="Arial"/>
                <w:b/>
                <w:szCs w:val="24"/>
              </w:rPr>
              <w:t>engage with patients/stakeholder</w:t>
            </w:r>
            <w:r>
              <w:rPr>
                <w:rFonts w:cs="Arial"/>
                <w:b/>
                <w:szCs w:val="24"/>
              </w:rPr>
              <w:t>s</w:t>
            </w:r>
          </w:p>
        </w:tc>
        <w:tc>
          <w:tcPr>
            <w:tcW w:w="6582" w:type="dxa"/>
          </w:tcPr>
          <w:p w14:paraId="0DBDCF21" w14:textId="77777777" w:rsidR="00977693" w:rsidRPr="00CE0885" w:rsidRDefault="00977693" w:rsidP="00213D9D">
            <w:pPr>
              <w:spacing w:before="120" w:after="120"/>
              <w:rPr>
                <w:rFonts w:cs="Arial"/>
                <w:b/>
                <w:szCs w:val="24"/>
              </w:rPr>
            </w:pPr>
          </w:p>
        </w:tc>
      </w:tr>
      <w:tr w:rsidR="00977693" w:rsidRPr="00CE0885" w14:paraId="0D3B3CBC" w14:textId="77777777" w:rsidTr="00E509C8">
        <w:tc>
          <w:tcPr>
            <w:tcW w:w="2660" w:type="dxa"/>
          </w:tcPr>
          <w:p w14:paraId="6F5856F0" w14:textId="77777777" w:rsidR="00977693" w:rsidRPr="00CE0885" w:rsidRDefault="00977693" w:rsidP="00213D9D">
            <w:pPr>
              <w:spacing w:before="120" w:after="120"/>
              <w:rPr>
                <w:rFonts w:cs="Arial"/>
                <w:b/>
                <w:szCs w:val="24"/>
              </w:rPr>
            </w:pPr>
            <w:r w:rsidRPr="00CE0885">
              <w:rPr>
                <w:rFonts w:cs="Arial"/>
                <w:b/>
                <w:szCs w:val="24"/>
              </w:rPr>
              <w:t>When did/will you engage with patients/stakeholders?</w:t>
            </w:r>
          </w:p>
        </w:tc>
        <w:tc>
          <w:tcPr>
            <w:tcW w:w="6582" w:type="dxa"/>
          </w:tcPr>
          <w:p w14:paraId="2B0C2D86" w14:textId="77777777" w:rsidR="00977693" w:rsidRPr="00CE0885" w:rsidRDefault="00977693" w:rsidP="00213D9D">
            <w:pPr>
              <w:spacing w:before="120" w:after="120"/>
              <w:rPr>
                <w:rFonts w:cs="Arial"/>
                <w:b/>
                <w:szCs w:val="24"/>
              </w:rPr>
            </w:pPr>
          </w:p>
        </w:tc>
      </w:tr>
      <w:tr w:rsidR="00977693" w:rsidRPr="00CE0885" w14:paraId="3BE76C00" w14:textId="77777777" w:rsidTr="00E509C8">
        <w:tc>
          <w:tcPr>
            <w:tcW w:w="2660" w:type="dxa"/>
          </w:tcPr>
          <w:p w14:paraId="34959D9D" w14:textId="77777777" w:rsidR="00977693" w:rsidRPr="00CE0885" w:rsidRDefault="00977693" w:rsidP="00213D9D">
            <w:pPr>
              <w:spacing w:before="120" w:after="120"/>
              <w:rPr>
                <w:rFonts w:cs="Arial"/>
                <w:b/>
                <w:szCs w:val="24"/>
              </w:rPr>
            </w:pPr>
            <w:r w:rsidRPr="00CE0885">
              <w:rPr>
                <w:rFonts w:cs="Arial"/>
                <w:b/>
                <w:szCs w:val="24"/>
              </w:rPr>
              <w:t>In what form did/will you engage with patients/stakeholders?</w:t>
            </w:r>
          </w:p>
        </w:tc>
        <w:tc>
          <w:tcPr>
            <w:tcW w:w="6582" w:type="dxa"/>
          </w:tcPr>
          <w:p w14:paraId="6ACC550B" w14:textId="77777777" w:rsidR="00977693" w:rsidRPr="00CE0885" w:rsidRDefault="00977693" w:rsidP="00213D9D">
            <w:pPr>
              <w:spacing w:before="120" w:after="120"/>
              <w:rPr>
                <w:rFonts w:cs="Arial"/>
                <w:b/>
                <w:szCs w:val="24"/>
              </w:rPr>
            </w:pPr>
          </w:p>
        </w:tc>
      </w:tr>
      <w:tr w:rsidR="00977693" w:rsidRPr="00CE0885" w14:paraId="0925FDFF" w14:textId="77777777" w:rsidTr="00E509C8">
        <w:tc>
          <w:tcPr>
            <w:tcW w:w="2660" w:type="dxa"/>
          </w:tcPr>
          <w:p w14:paraId="38271025" w14:textId="77777777" w:rsidR="00977693" w:rsidRPr="00CE0885" w:rsidRDefault="00977693" w:rsidP="00213D9D">
            <w:pPr>
              <w:spacing w:before="120" w:after="120"/>
              <w:rPr>
                <w:rFonts w:cs="Arial"/>
                <w:b/>
                <w:szCs w:val="24"/>
              </w:rPr>
            </w:pPr>
            <w:r w:rsidRPr="00CE0885">
              <w:rPr>
                <w:rFonts w:cs="Arial"/>
                <w:b/>
                <w:szCs w:val="24"/>
              </w:rPr>
              <w:t>With whom did/will you engage?</w:t>
            </w:r>
          </w:p>
        </w:tc>
        <w:tc>
          <w:tcPr>
            <w:tcW w:w="6582" w:type="dxa"/>
          </w:tcPr>
          <w:p w14:paraId="4DA3349B" w14:textId="77777777" w:rsidR="00977693" w:rsidRPr="00CE0885" w:rsidRDefault="00977693" w:rsidP="00213D9D">
            <w:pPr>
              <w:spacing w:before="120" w:after="120"/>
              <w:rPr>
                <w:rFonts w:cs="Arial"/>
                <w:b/>
                <w:szCs w:val="24"/>
              </w:rPr>
            </w:pPr>
          </w:p>
        </w:tc>
      </w:tr>
      <w:tr w:rsidR="00977693" w:rsidRPr="00CE0885" w14:paraId="7E5B3428" w14:textId="77777777" w:rsidTr="00E509C8">
        <w:tc>
          <w:tcPr>
            <w:tcW w:w="2660" w:type="dxa"/>
          </w:tcPr>
          <w:p w14:paraId="4EB4C863" w14:textId="77777777" w:rsidR="00977693" w:rsidRDefault="00977693" w:rsidP="00213D9D">
            <w:pPr>
              <w:spacing w:before="120" w:after="120"/>
              <w:rPr>
                <w:rFonts w:cs="Arial"/>
                <w:b/>
                <w:szCs w:val="24"/>
              </w:rPr>
            </w:pPr>
            <w:r w:rsidRPr="00CE0885">
              <w:rPr>
                <w:rFonts w:cs="Arial"/>
                <w:b/>
                <w:szCs w:val="24"/>
              </w:rPr>
              <w:t>If you have already carried out engagements, what was the outcome?</w:t>
            </w:r>
          </w:p>
          <w:p w14:paraId="118DD164" w14:textId="30DCE328" w:rsidR="00755122" w:rsidRPr="00CE0885" w:rsidRDefault="00755122" w:rsidP="00213D9D">
            <w:pPr>
              <w:spacing w:before="120" w:after="120"/>
              <w:rPr>
                <w:rFonts w:cs="Arial"/>
                <w:b/>
                <w:szCs w:val="24"/>
              </w:rPr>
            </w:pPr>
            <w:r>
              <w:rPr>
                <w:rFonts w:cs="Arial"/>
                <w:b/>
                <w:szCs w:val="24"/>
              </w:rPr>
              <w:t>Please provide evidence</w:t>
            </w:r>
          </w:p>
        </w:tc>
        <w:tc>
          <w:tcPr>
            <w:tcW w:w="6582" w:type="dxa"/>
          </w:tcPr>
          <w:p w14:paraId="08A6B42F" w14:textId="77777777" w:rsidR="00977693" w:rsidRPr="00CE0885" w:rsidRDefault="00977693" w:rsidP="00213D9D">
            <w:pPr>
              <w:spacing w:before="120" w:after="120"/>
              <w:rPr>
                <w:rFonts w:cs="Arial"/>
                <w:b/>
                <w:szCs w:val="24"/>
              </w:rPr>
            </w:pPr>
          </w:p>
        </w:tc>
      </w:tr>
    </w:tbl>
    <w:p w14:paraId="0BECCE82" w14:textId="77777777" w:rsidR="00977693" w:rsidRPr="00CE0885" w:rsidRDefault="00977693" w:rsidP="00977693">
      <w:pPr>
        <w:rPr>
          <w:rFonts w:cs="Arial"/>
          <w:b/>
          <w:szCs w:val="24"/>
        </w:rPr>
      </w:pPr>
    </w:p>
    <w:p w14:paraId="16BAFAF7" w14:textId="77777777" w:rsidR="00977693" w:rsidRPr="00CE0885" w:rsidRDefault="00977693" w:rsidP="00977693">
      <w:pPr>
        <w:rPr>
          <w:rFonts w:cs="Arial"/>
          <w:b/>
          <w:szCs w:val="24"/>
        </w:rPr>
      </w:pPr>
    </w:p>
    <w:p w14:paraId="1E3A8FE1" w14:textId="77777777" w:rsidR="00977693" w:rsidRPr="00CE0885" w:rsidRDefault="00977693" w:rsidP="00977693">
      <w:pPr>
        <w:rPr>
          <w:rFonts w:cs="Arial"/>
          <w:b/>
          <w:szCs w:val="24"/>
        </w:rPr>
      </w:pPr>
      <w:r w:rsidRPr="00CE0885">
        <w:rPr>
          <w:rFonts w:cs="Arial"/>
          <w:b/>
          <w:szCs w:val="24"/>
        </w:rPr>
        <w:t>6. Contractual actions</w:t>
      </w:r>
    </w:p>
    <w:p w14:paraId="47AE5C6A" w14:textId="77777777" w:rsidR="00977693" w:rsidRPr="00CE0885" w:rsidRDefault="00977693" w:rsidP="00977693">
      <w:pPr>
        <w:rPr>
          <w:rFonts w:cs="Arial"/>
          <w:b/>
          <w:szCs w:val="24"/>
        </w:rPr>
      </w:pPr>
    </w:p>
    <w:tbl>
      <w:tblPr>
        <w:tblStyle w:val="TableGrid"/>
        <w:tblW w:w="0" w:type="auto"/>
        <w:tblLook w:val="04A0" w:firstRow="1" w:lastRow="0" w:firstColumn="1" w:lastColumn="0" w:noHBand="0" w:noVBand="1"/>
        <w:tblCaption w:val="a text box"/>
        <w:tblDescription w:val="a text box"/>
      </w:tblPr>
      <w:tblGrid>
        <w:gridCol w:w="9060"/>
      </w:tblGrid>
      <w:tr w:rsidR="00977693" w:rsidRPr="00CE0885" w14:paraId="60BA33AE" w14:textId="77777777" w:rsidTr="00E509C8">
        <w:trPr>
          <w:tblHeader/>
        </w:trPr>
        <w:tc>
          <w:tcPr>
            <w:tcW w:w="9242" w:type="dxa"/>
          </w:tcPr>
          <w:p w14:paraId="071C38C3" w14:textId="77777777" w:rsidR="00977693" w:rsidRPr="00CE0885" w:rsidRDefault="00977693" w:rsidP="00213D9D">
            <w:pPr>
              <w:spacing w:before="120" w:after="120"/>
              <w:rPr>
                <w:rFonts w:cs="Arial"/>
                <w:szCs w:val="24"/>
              </w:rPr>
            </w:pPr>
            <w:r w:rsidRPr="00CE0885">
              <w:rPr>
                <w:rFonts w:cs="Arial"/>
                <w:szCs w:val="24"/>
              </w:rPr>
              <w:t>Please provide below an explanation of any contractual variations that you consider are necessary to effect the proposed practice merger.</w:t>
            </w:r>
          </w:p>
        </w:tc>
      </w:tr>
      <w:tr w:rsidR="00977693" w:rsidRPr="00CE0885" w14:paraId="1507E7EA" w14:textId="77777777" w:rsidTr="00E509C8">
        <w:tc>
          <w:tcPr>
            <w:tcW w:w="9242" w:type="dxa"/>
          </w:tcPr>
          <w:p w14:paraId="625D85CE" w14:textId="77777777" w:rsidR="00977693" w:rsidRPr="00CE0885" w:rsidRDefault="00977693" w:rsidP="00213D9D">
            <w:pPr>
              <w:spacing w:before="120" w:after="120"/>
              <w:rPr>
                <w:rFonts w:cs="Arial"/>
                <w:b/>
                <w:szCs w:val="24"/>
              </w:rPr>
            </w:pPr>
          </w:p>
          <w:p w14:paraId="38E329BF" w14:textId="77777777" w:rsidR="00977693" w:rsidRPr="00CE0885" w:rsidRDefault="00977693" w:rsidP="00213D9D">
            <w:pPr>
              <w:spacing w:before="120" w:after="120"/>
              <w:rPr>
                <w:rFonts w:cs="Arial"/>
                <w:b/>
                <w:szCs w:val="24"/>
              </w:rPr>
            </w:pPr>
          </w:p>
          <w:p w14:paraId="7DC54C2A" w14:textId="77777777" w:rsidR="00977693" w:rsidRPr="00CE0885" w:rsidRDefault="00977693" w:rsidP="00213D9D">
            <w:pPr>
              <w:spacing w:before="120" w:after="120"/>
              <w:rPr>
                <w:rFonts w:cs="Arial"/>
                <w:b/>
                <w:szCs w:val="24"/>
              </w:rPr>
            </w:pPr>
          </w:p>
        </w:tc>
      </w:tr>
    </w:tbl>
    <w:p w14:paraId="3C7B3C03" w14:textId="77777777" w:rsidR="00977693" w:rsidRPr="00CE0885" w:rsidRDefault="00977693" w:rsidP="00977693">
      <w:pPr>
        <w:rPr>
          <w:rFonts w:cs="Arial"/>
          <w:b/>
          <w:szCs w:val="24"/>
        </w:rPr>
      </w:pPr>
    </w:p>
    <w:p w14:paraId="5EBA1C73" w14:textId="77777777" w:rsidR="00977693" w:rsidRPr="00CE0885" w:rsidRDefault="00977693" w:rsidP="00977693">
      <w:pPr>
        <w:rPr>
          <w:rFonts w:cs="Arial"/>
          <w:b/>
          <w:szCs w:val="24"/>
        </w:rPr>
      </w:pPr>
      <w:r w:rsidRPr="00CE0885">
        <w:rPr>
          <w:rFonts w:cs="Arial"/>
          <w:b/>
          <w:szCs w:val="24"/>
        </w:rPr>
        <w:t>7. Procurement and competition</w:t>
      </w:r>
    </w:p>
    <w:p w14:paraId="24E24E0E" w14:textId="77777777" w:rsidR="00977693" w:rsidRPr="00CE0885" w:rsidRDefault="00977693" w:rsidP="00977693">
      <w:pPr>
        <w:rPr>
          <w:rFonts w:cs="Arial"/>
          <w:b/>
          <w:szCs w:val="24"/>
        </w:rPr>
      </w:pPr>
    </w:p>
    <w:tbl>
      <w:tblPr>
        <w:tblStyle w:val="TableGrid"/>
        <w:tblW w:w="0" w:type="auto"/>
        <w:tblLook w:val="04A0" w:firstRow="1" w:lastRow="0" w:firstColumn="1" w:lastColumn="0" w:noHBand="0" w:noVBand="1"/>
        <w:tblCaption w:val="a text box"/>
        <w:tblDescription w:val="a text box"/>
      </w:tblPr>
      <w:tblGrid>
        <w:gridCol w:w="9060"/>
      </w:tblGrid>
      <w:tr w:rsidR="00977693" w:rsidRPr="00CE0885" w14:paraId="627661C7" w14:textId="77777777" w:rsidTr="00E509C8">
        <w:trPr>
          <w:tblHeader/>
        </w:trPr>
        <w:tc>
          <w:tcPr>
            <w:tcW w:w="9242" w:type="dxa"/>
          </w:tcPr>
          <w:p w14:paraId="18D9469B" w14:textId="77777777" w:rsidR="00977693" w:rsidRPr="00CE0885" w:rsidRDefault="00977693" w:rsidP="00213D9D">
            <w:pPr>
              <w:spacing w:before="120" w:after="120"/>
              <w:rPr>
                <w:rFonts w:cs="Arial"/>
                <w:szCs w:val="24"/>
              </w:rPr>
            </w:pPr>
            <w:r w:rsidRPr="00CE0885">
              <w:rPr>
                <w:rFonts w:cs="Arial"/>
                <w:szCs w:val="24"/>
              </w:rPr>
              <w:t xml:space="preserve">Please provide below any comments on the procurement and/or competition matters that may arise as a result of the proposed contract merger. </w:t>
            </w:r>
          </w:p>
        </w:tc>
      </w:tr>
      <w:tr w:rsidR="00977693" w:rsidRPr="00CE0885" w14:paraId="69C94A2F" w14:textId="77777777" w:rsidTr="00E509C8">
        <w:tc>
          <w:tcPr>
            <w:tcW w:w="9242" w:type="dxa"/>
          </w:tcPr>
          <w:p w14:paraId="7291F558" w14:textId="77777777" w:rsidR="00977693" w:rsidRPr="00CE0885" w:rsidRDefault="00977693" w:rsidP="00213D9D">
            <w:pPr>
              <w:spacing w:before="120" w:after="120"/>
              <w:rPr>
                <w:rFonts w:cs="Arial"/>
                <w:b/>
                <w:szCs w:val="24"/>
              </w:rPr>
            </w:pPr>
          </w:p>
          <w:p w14:paraId="647E19F1" w14:textId="77777777" w:rsidR="00977693" w:rsidRPr="00CE0885" w:rsidRDefault="00977693" w:rsidP="00213D9D">
            <w:pPr>
              <w:spacing w:before="120" w:after="120"/>
              <w:rPr>
                <w:rFonts w:cs="Arial"/>
                <w:b/>
                <w:szCs w:val="24"/>
              </w:rPr>
            </w:pPr>
          </w:p>
          <w:p w14:paraId="54B61ED2" w14:textId="77777777" w:rsidR="00977693" w:rsidRPr="00CE0885" w:rsidRDefault="00977693" w:rsidP="00213D9D">
            <w:pPr>
              <w:spacing w:before="120" w:after="120"/>
              <w:rPr>
                <w:rFonts w:cs="Arial"/>
                <w:b/>
                <w:szCs w:val="24"/>
              </w:rPr>
            </w:pPr>
          </w:p>
        </w:tc>
      </w:tr>
    </w:tbl>
    <w:p w14:paraId="3E38B3E6" w14:textId="77777777" w:rsidR="00912FE4" w:rsidRDefault="00912FE4" w:rsidP="00977693">
      <w:pPr>
        <w:rPr>
          <w:rFonts w:cs="Arial"/>
          <w:b/>
          <w:szCs w:val="24"/>
        </w:rPr>
      </w:pPr>
    </w:p>
    <w:p w14:paraId="46DB16E5" w14:textId="77777777" w:rsidR="00912FE4" w:rsidRDefault="00912FE4">
      <w:pPr>
        <w:rPr>
          <w:rFonts w:cs="Arial"/>
          <w:b/>
          <w:szCs w:val="24"/>
        </w:rPr>
      </w:pPr>
      <w:r>
        <w:rPr>
          <w:rFonts w:cs="Arial"/>
          <w:b/>
          <w:szCs w:val="24"/>
        </w:rPr>
        <w:br w:type="page"/>
      </w:r>
    </w:p>
    <w:p w14:paraId="5D3B2891" w14:textId="205A64D6" w:rsidR="00977693" w:rsidRPr="00CE0885" w:rsidRDefault="00977693" w:rsidP="00977693">
      <w:pPr>
        <w:rPr>
          <w:rFonts w:cs="Arial"/>
          <w:b/>
          <w:szCs w:val="24"/>
        </w:rPr>
      </w:pPr>
      <w:r w:rsidRPr="00CE0885">
        <w:rPr>
          <w:rFonts w:cs="Arial"/>
          <w:b/>
          <w:szCs w:val="24"/>
        </w:rPr>
        <w:t>8. Merger mobilisation</w:t>
      </w:r>
    </w:p>
    <w:p w14:paraId="41902402" w14:textId="77777777" w:rsidR="00977693" w:rsidRPr="00CE0885" w:rsidRDefault="00977693" w:rsidP="00977693">
      <w:pPr>
        <w:rPr>
          <w:rFonts w:cs="Arial"/>
          <w:b/>
          <w:szCs w:val="24"/>
        </w:rPr>
      </w:pPr>
    </w:p>
    <w:tbl>
      <w:tblPr>
        <w:tblStyle w:val="TableGrid"/>
        <w:tblW w:w="0" w:type="auto"/>
        <w:tblLook w:val="04A0" w:firstRow="1" w:lastRow="0" w:firstColumn="1" w:lastColumn="0" w:noHBand="0" w:noVBand="1"/>
        <w:tblCaption w:val="a text box"/>
        <w:tblDescription w:val="a text box"/>
      </w:tblPr>
      <w:tblGrid>
        <w:gridCol w:w="9060"/>
      </w:tblGrid>
      <w:tr w:rsidR="00977693" w:rsidRPr="00CE0885" w14:paraId="2305C195" w14:textId="77777777" w:rsidTr="00E509C8">
        <w:trPr>
          <w:tblHeader/>
        </w:trPr>
        <w:tc>
          <w:tcPr>
            <w:tcW w:w="9242" w:type="dxa"/>
          </w:tcPr>
          <w:p w14:paraId="51C238B1" w14:textId="77777777" w:rsidR="00977693" w:rsidRPr="00CE0885" w:rsidRDefault="00977693" w:rsidP="00213D9D">
            <w:pPr>
              <w:spacing w:before="120" w:after="120"/>
              <w:rPr>
                <w:rFonts w:cs="Arial"/>
                <w:szCs w:val="24"/>
              </w:rPr>
            </w:pPr>
            <w:r w:rsidRPr="00CE0885">
              <w:rPr>
                <w:rFonts w:cs="Arial"/>
                <w:szCs w:val="24"/>
              </w:rPr>
              <w:t xml:space="preserve">Please set out below a step by step plan to the mobilisation of the merger if the business case is approved including what actions are required of the practices and third parties, such as commissioners, the order in which the actions need to be undertaken and timescales for the actions to be completed. A template mobilisation plan that can be used but will need to be amended to fit the proposed practice merger is set out at Annex 12B. </w:t>
            </w:r>
          </w:p>
        </w:tc>
      </w:tr>
      <w:tr w:rsidR="00977693" w:rsidRPr="00CE0885" w14:paraId="6BB48C49" w14:textId="77777777" w:rsidTr="00E509C8">
        <w:tc>
          <w:tcPr>
            <w:tcW w:w="9242" w:type="dxa"/>
          </w:tcPr>
          <w:p w14:paraId="2EE03E75" w14:textId="77777777" w:rsidR="00977693" w:rsidRPr="00CE0885" w:rsidRDefault="00977693" w:rsidP="00213D9D">
            <w:pPr>
              <w:spacing w:before="120" w:after="120"/>
              <w:rPr>
                <w:rFonts w:cs="Arial"/>
                <w:b/>
                <w:szCs w:val="24"/>
              </w:rPr>
            </w:pPr>
          </w:p>
          <w:p w14:paraId="6BC8D35C" w14:textId="77777777" w:rsidR="00977693" w:rsidRPr="00CE0885" w:rsidRDefault="00977693" w:rsidP="00213D9D">
            <w:pPr>
              <w:spacing w:before="120" w:after="120"/>
              <w:rPr>
                <w:rFonts w:cs="Arial"/>
                <w:b/>
                <w:szCs w:val="24"/>
              </w:rPr>
            </w:pPr>
          </w:p>
          <w:p w14:paraId="12616DDB" w14:textId="77777777" w:rsidR="00977693" w:rsidRPr="00CE0885" w:rsidRDefault="00977693" w:rsidP="00213D9D">
            <w:pPr>
              <w:spacing w:before="120" w:after="120"/>
              <w:rPr>
                <w:rFonts w:cs="Arial"/>
                <w:b/>
                <w:szCs w:val="24"/>
              </w:rPr>
            </w:pPr>
          </w:p>
          <w:p w14:paraId="3EC020BB" w14:textId="77777777" w:rsidR="00977693" w:rsidRPr="00CE0885" w:rsidRDefault="00977693" w:rsidP="00213D9D">
            <w:pPr>
              <w:spacing w:before="120" w:after="120"/>
              <w:rPr>
                <w:rFonts w:cs="Arial"/>
                <w:b/>
                <w:szCs w:val="24"/>
              </w:rPr>
            </w:pPr>
          </w:p>
        </w:tc>
      </w:tr>
    </w:tbl>
    <w:p w14:paraId="0876AB02" w14:textId="77777777" w:rsidR="00977693" w:rsidRPr="00CE0885" w:rsidRDefault="00977693" w:rsidP="00977693">
      <w:pPr>
        <w:rPr>
          <w:rFonts w:cs="Arial"/>
          <w:b/>
          <w:szCs w:val="24"/>
        </w:rPr>
      </w:pPr>
    </w:p>
    <w:p w14:paraId="4B8B2126" w14:textId="77777777" w:rsidR="00977693" w:rsidRPr="00CE0885" w:rsidRDefault="00977693" w:rsidP="00977693">
      <w:pPr>
        <w:rPr>
          <w:rFonts w:cs="Arial"/>
          <w:b/>
          <w:szCs w:val="24"/>
        </w:rPr>
      </w:pPr>
    </w:p>
    <w:p w14:paraId="33839C33" w14:textId="77777777" w:rsidR="00977693" w:rsidRPr="00CE0885" w:rsidRDefault="00977693" w:rsidP="00977693">
      <w:pPr>
        <w:rPr>
          <w:rFonts w:cs="Arial"/>
          <w:b/>
          <w:szCs w:val="24"/>
        </w:rPr>
      </w:pPr>
    </w:p>
    <w:p w14:paraId="5B0C31DC" w14:textId="77777777" w:rsidR="00977693" w:rsidRPr="00CE0885" w:rsidRDefault="00977693" w:rsidP="00977693">
      <w:pPr>
        <w:rPr>
          <w:rFonts w:cs="Arial"/>
          <w:b/>
          <w:szCs w:val="24"/>
        </w:rPr>
      </w:pPr>
      <w:r w:rsidRPr="00CE0885">
        <w:rPr>
          <w:rFonts w:cs="Arial"/>
          <w:b/>
          <w:szCs w:val="24"/>
        </w:rPr>
        <w:t>8. Additional information</w:t>
      </w:r>
    </w:p>
    <w:p w14:paraId="7DE19CE2" w14:textId="77777777" w:rsidR="00977693" w:rsidRPr="00CE0885" w:rsidRDefault="00977693" w:rsidP="00977693">
      <w:pPr>
        <w:rPr>
          <w:rFonts w:cs="Arial"/>
          <w:b/>
          <w:szCs w:val="24"/>
        </w:rPr>
      </w:pPr>
    </w:p>
    <w:tbl>
      <w:tblPr>
        <w:tblStyle w:val="TableGrid"/>
        <w:tblW w:w="0" w:type="auto"/>
        <w:tblLook w:val="04A0" w:firstRow="1" w:lastRow="0" w:firstColumn="1" w:lastColumn="0" w:noHBand="0" w:noVBand="1"/>
        <w:tblCaption w:val="a text box"/>
        <w:tblDescription w:val="a text box"/>
      </w:tblPr>
      <w:tblGrid>
        <w:gridCol w:w="9060"/>
      </w:tblGrid>
      <w:tr w:rsidR="00977693" w:rsidRPr="00CE0885" w14:paraId="3BCCD3CA" w14:textId="77777777" w:rsidTr="00E509C8">
        <w:trPr>
          <w:tblHeader/>
        </w:trPr>
        <w:tc>
          <w:tcPr>
            <w:tcW w:w="9242" w:type="dxa"/>
          </w:tcPr>
          <w:p w14:paraId="534C93BE" w14:textId="77777777" w:rsidR="00977693" w:rsidRPr="00CE0885" w:rsidRDefault="00977693" w:rsidP="00213D9D">
            <w:pPr>
              <w:spacing w:before="120" w:after="120"/>
              <w:rPr>
                <w:rFonts w:cs="Arial"/>
                <w:szCs w:val="24"/>
              </w:rPr>
            </w:pPr>
            <w:r w:rsidRPr="00CE0885">
              <w:rPr>
                <w:rFonts w:cs="Arial"/>
                <w:szCs w:val="24"/>
              </w:rPr>
              <w:t>Please provide any additional information that will support the proposed practice merger.</w:t>
            </w:r>
          </w:p>
        </w:tc>
      </w:tr>
      <w:tr w:rsidR="00977693" w:rsidRPr="00CE0885" w14:paraId="28C30CF3" w14:textId="77777777" w:rsidTr="00E509C8">
        <w:tc>
          <w:tcPr>
            <w:tcW w:w="9242" w:type="dxa"/>
          </w:tcPr>
          <w:p w14:paraId="3BE5B836" w14:textId="77777777" w:rsidR="00977693" w:rsidRPr="00CE0885" w:rsidRDefault="00977693" w:rsidP="00213D9D">
            <w:pPr>
              <w:spacing w:before="120" w:after="120"/>
              <w:rPr>
                <w:rFonts w:cs="Arial"/>
                <w:b/>
                <w:szCs w:val="24"/>
              </w:rPr>
            </w:pPr>
          </w:p>
          <w:p w14:paraId="76D8C28F" w14:textId="77777777" w:rsidR="00977693" w:rsidRPr="00CE0885" w:rsidRDefault="00977693" w:rsidP="00213D9D">
            <w:pPr>
              <w:spacing w:before="120" w:after="120"/>
              <w:rPr>
                <w:rFonts w:cs="Arial"/>
                <w:b/>
                <w:szCs w:val="24"/>
              </w:rPr>
            </w:pPr>
          </w:p>
          <w:p w14:paraId="74ACEB12" w14:textId="77777777" w:rsidR="00977693" w:rsidRPr="00CE0885" w:rsidRDefault="00977693" w:rsidP="00213D9D">
            <w:pPr>
              <w:spacing w:before="120" w:after="120"/>
              <w:rPr>
                <w:rFonts w:cs="Arial"/>
                <w:b/>
                <w:szCs w:val="24"/>
              </w:rPr>
            </w:pPr>
          </w:p>
        </w:tc>
      </w:tr>
    </w:tbl>
    <w:p w14:paraId="2AA5613A" w14:textId="77777777" w:rsidR="00977693" w:rsidRPr="00CE0885" w:rsidRDefault="00977693" w:rsidP="00977693">
      <w:pPr>
        <w:rPr>
          <w:rFonts w:cs="Arial"/>
          <w:b/>
          <w:szCs w:val="24"/>
        </w:rPr>
      </w:pPr>
    </w:p>
    <w:p w14:paraId="258FB567" w14:textId="77777777" w:rsidR="00977693" w:rsidRPr="00CE0885" w:rsidRDefault="00977693" w:rsidP="00977693">
      <w:pPr>
        <w:rPr>
          <w:rFonts w:cs="Arial"/>
          <w:b/>
          <w:szCs w:val="24"/>
        </w:rPr>
      </w:pPr>
      <w:r w:rsidRPr="00CE0885">
        <w:rPr>
          <w:rFonts w:cs="Arial"/>
          <w:b/>
          <w:szCs w:val="24"/>
        </w:rPr>
        <w:t>9. Signatures</w:t>
      </w:r>
    </w:p>
    <w:p w14:paraId="152F0743" w14:textId="77777777" w:rsidR="00977693" w:rsidRPr="00CE0885" w:rsidRDefault="00977693" w:rsidP="00977693">
      <w:pPr>
        <w:rPr>
          <w:rFonts w:cs="Arial"/>
          <w:b/>
          <w:szCs w:val="24"/>
        </w:rPr>
      </w:pPr>
    </w:p>
    <w:tbl>
      <w:tblPr>
        <w:tblStyle w:val="TableGrid"/>
        <w:tblW w:w="0" w:type="auto"/>
        <w:tblLook w:val="04A0" w:firstRow="1" w:lastRow="0" w:firstColumn="1" w:lastColumn="0" w:noHBand="0" w:noVBand="1"/>
        <w:tblCaption w:val="a text box"/>
        <w:tblDescription w:val="a text box"/>
      </w:tblPr>
      <w:tblGrid>
        <w:gridCol w:w="2616"/>
        <w:gridCol w:w="6444"/>
      </w:tblGrid>
      <w:tr w:rsidR="00977693" w:rsidRPr="00CE0885" w14:paraId="6893C911" w14:textId="77777777" w:rsidTr="00E509C8">
        <w:trPr>
          <w:tblHeader/>
        </w:trPr>
        <w:tc>
          <w:tcPr>
            <w:tcW w:w="9242" w:type="dxa"/>
            <w:gridSpan w:val="2"/>
          </w:tcPr>
          <w:p w14:paraId="48365CD2" w14:textId="77777777" w:rsidR="00977693" w:rsidRPr="00CE0885" w:rsidRDefault="00977693" w:rsidP="00213D9D">
            <w:pPr>
              <w:spacing w:before="120" w:after="120"/>
              <w:rPr>
                <w:rFonts w:cs="Arial"/>
                <w:szCs w:val="24"/>
              </w:rPr>
            </w:pPr>
            <w:r w:rsidRPr="00CE0885">
              <w:rPr>
                <w:rFonts w:cs="Arial"/>
                <w:szCs w:val="24"/>
              </w:rPr>
              <w:t>Please ensure all Contractors under the current practice contracts sign below to indicate they agree with the information provided in this business case.</w:t>
            </w:r>
          </w:p>
        </w:tc>
      </w:tr>
      <w:tr w:rsidR="00977693" w:rsidRPr="00CE0885" w14:paraId="705277D9" w14:textId="77777777" w:rsidTr="00E509C8">
        <w:tc>
          <w:tcPr>
            <w:tcW w:w="2660" w:type="dxa"/>
          </w:tcPr>
          <w:p w14:paraId="089576C8" w14:textId="77777777" w:rsidR="00977693" w:rsidRPr="00CE0885" w:rsidRDefault="00977693" w:rsidP="00213D9D">
            <w:pPr>
              <w:spacing w:before="120" w:after="120"/>
              <w:rPr>
                <w:rFonts w:cs="Arial"/>
                <w:b/>
                <w:szCs w:val="24"/>
              </w:rPr>
            </w:pPr>
            <w:r w:rsidRPr="00CE0885">
              <w:rPr>
                <w:rFonts w:cs="Arial"/>
                <w:b/>
                <w:szCs w:val="24"/>
              </w:rPr>
              <w:t>[</w:t>
            </w:r>
            <w:r w:rsidRPr="00CE0885">
              <w:rPr>
                <w:rFonts w:cs="Arial"/>
                <w:b/>
                <w:szCs w:val="24"/>
                <w:highlight w:val="yellow"/>
              </w:rPr>
              <w:t>name</w:t>
            </w:r>
            <w:r w:rsidRPr="00CE0885">
              <w:rPr>
                <w:rFonts w:cs="Arial"/>
                <w:b/>
                <w:szCs w:val="24"/>
              </w:rPr>
              <w:t>]</w:t>
            </w:r>
          </w:p>
        </w:tc>
        <w:tc>
          <w:tcPr>
            <w:tcW w:w="6582" w:type="dxa"/>
          </w:tcPr>
          <w:p w14:paraId="68FA95D2" w14:textId="77777777" w:rsidR="00977693" w:rsidRPr="00CE0885" w:rsidRDefault="00977693" w:rsidP="00213D9D">
            <w:pPr>
              <w:spacing w:before="120" w:after="120"/>
              <w:rPr>
                <w:rFonts w:cs="Arial"/>
                <w:szCs w:val="24"/>
              </w:rPr>
            </w:pPr>
            <w:r w:rsidRPr="00CE0885">
              <w:rPr>
                <w:rFonts w:cs="Arial"/>
                <w:szCs w:val="24"/>
              </w:rPr>
              <w:t>[</w:t>
            </w:r>
            <w:r w:rsidRPr="00CE0885">
              <w:rPr>
                <w:rFonts w:cs="Arial"/>
                <w:szCs w:val="24"/>
                <w:highlight w:val="yellow"/>
              </w:rPr>
              <w:t>signature</w:t>
            </w:r>
            <w:r w:rsidRPr="00CE0885">
              <w:rPr>
                <w:rFonts w:cs="Arial"/>
                <w:szCs w:val="24"/>
              </w:rPr>
              <w:t>]</w:t>
            </w:r>
          </w:p>
        </w:tc>
      </w:tr>
      <w:tr w:rsidR="00977693" w:rsidRPr="00CE0885" w14:paraId="31B8DFE4" w14:textId="77777777" w:rsidTr="00E509C8">
        <w:tc>
          <w:tcPr>
            <w:tcW w:w="2660" w:type="dxa"/>
          </w:tcPr>
          <w:p w14:paraId="26CCA284" w14:textId="77777777" w:rsidR="00977693" w:rsidRPr="00CE0885" w:rsidRDefault="00977693" w:rsidP="00213D9D">
            <w:pPr>
              <w:spacing w:before="120" w:after="120"/>
              <w:rPr>
                <w:rFonts w:cs="Arial"/>
                <w:b/>
                <w:szCs w:val="24"/>
              </w:rPr>
            </w:pPr>
            <w:r w:rsidRPr="00CE0885">
              <w:rPr>
                <w:rFonts w:cs="Arial"/>
                <w:b/>
                <w:szCs w:val="24"/>
              </w:rPr>
              <w:t>[</w:t>
            </w:r>
            <w:r w:rsidRPr="00CE0885">
              <w:rPr>
                <w:rFonts w:cs="Arial"/>
                <w:b/>
                <w:szCs w:val="24"/>
                <w:highlight w:val="yellow"/>
              </w:rPr>
              <w:t>name</w:t>
            </w:r>
            <w:r w:rsidRPr="00CE0885">
              <w:rPr>
                <w:rFonts w:cs="Arial"/>
                <w:b/>
                <w:szCs w:val="24"/>
              </w:rPr>
              <w:t>]</w:t>
            </w:r>
          </w:p>
        </w:tc>
        <w:tc>
          <w:tcPr>
            <w:tcW w:w="6582" w:type="dxa"/>
          </w:tcPr>
          <w:p w14:paraId="13835DF9" w14:textId="77777777" w:rsidR="00977693" w:rsidRPr="00CE0885" w:rsidRDefault="00977693" w:rsidP="00213D9D">
            <w:pPr>
              <w:spacing w:before="120" w:after="120"/>
              <w:rPr>
                <w:rFonts w:cs="Arial"/>
                <w:szCs w:val="24"/>
              </w:rPr>
            </w:pPr>
            <w:r w:rsidRPr="00CE0885">
              <w:rPr>
                <w:rFonts w:cs="Arial"/>
                <w:szCs w:val="24"/>
              </w:rPr>
              <w:t>[</w:t>
            </w:r>
            <w:r w:rsidRPr="00CE0885">
              <w:rPr>
                <w:rFonts w:cs="Arial"/>
                <w:szCs w:val="24"/>
                <w:highlight w:val="yellow"/>
              </w:rPr>
              <w:t>signature</w:t>
            </w:r>
            <w:r w:rsidRPr="00CE0885">
              <w:rPr>
                <w:rFonts w:cs="Arial"/>
                <w:szCs w:val="24"/>
              </w:rPr>
              <w:t>]</w:t>
            </w:r>
          </w:p>
        </w:tc>
      </w:tr>
      <w:tr w:rsidR="00977693" w:rsidRPr="00CE0885" w14:paraId="0E4C3792" w14:textId="77777777" w:rsidTr="00E509C8">
        <w:tc>
          <w:tcPr>
            <w:tcW w:w="2660" w:type="dxa"/>
          </w:tcPr>
          <w:p w14:paraId="1C71FDC7" w14:textId="77777777" w:rsidR="00977693" w:rsidRPr="00CE0885" w:rsidRDefault="00977693" w:rsidP="00213D9D">
            <w:pPr>
              <w:spacing w:before="120" w:after="120"/>
              <w:rPr>
                <w:rFonts w:cs="Arial"/>
                <w:b/>
                <w:szCs w:val="24"/>
              </w:rPr>
            </w:pPr>
            <w:r w:rsidRPr="00CE0885">
              <w:rPr>
                <w:rFonts w:cs="Arial"/>
                <w:b/>
                <w:szCs w:val="24"/>
              </w:rPr>
              <w:t>[</w:t>
            </w:r>
            <w:r w:rsidRPr="00CE0885">
              <w:rPr>
                <w:rFonts w:cs="Arial"/>
                <w:b/>
                <w:szCs w:val="24"/>
                <w:highlight w:val="yellow"/>
              </w:rPr>
              <w:t>name</w:t>
            </w:r>
            <w:r w:rsidRPr="00CE0885">
              <w:rPr>
                <w:rFonts w:cs="Arial"/>
                <w:b/>
                <w:szCs w:val="24"/>
              </w:rPr>
              <w:t>]</w:t>
            </w:r>
          </w:p>
        </w:tc>
        <w:tc>
          <w:tcPr>
            <w:tcW w:w="6582" w:type="dxa"/>
          </w:tcPr>
          <w:p w14:paraId="5C218DDD" w14:textId="77777777" w:rsidR="00977693" w:rsidRPr="00CE0885" w:rsidRDefault="00977693" w:rsidP="00213D9D">
            <w:pPr>
              <w:spacing w:before="120" w:after="120"/>
              <w:rPr>
                <w:rFonts w:cs="Arial"/>
                <w:szCs w:val="24"/>
              </w:rPr>
            </w:pPr>
            <w:r w:rsidRPr="00CE0885">
              <w:rPr>
                <w:rFonts w:cs="Arial"/>
                <w:szCs w:val="24"/>
              </w:rPr>
              <w:t>[</w:t>
            </w:r>
            <w:r w:rsidRPr="00CE0885">
              <w:rPr>
                <w:rFonts w:cs="Arial"/>
                <w:szCs w:val="24"/>
                <w:highlight w:val="yellow"/>
              </w:rPr>
              <w:t>signature</w:t>
            </w:r>
            <w:r w:rsidRPr="00CE0885">
              <w:rPr>
                <w:rFonts w:cs="Arial"/>
                <w:szCs w:val="24"/>
              </w:rPr>
              <w:t>]</w:t>
            </w:r>
          </w:p>
        </w:tc>
      </w:tr>
      <w:bookmarkEnd w:id="789"/>
    </w:tbl>
    <w:p w14:paraId="1CFC9F2D" w14:textId="77777777" w:rsidR="00977693" w:rsidRPr="00CE0885" w:rsidRDefault="00977693" w:rsidP="00977693">
      <w:pPr>
        <w:rPr>
          <w:rFonts w:cs="Arial"/>
          <w:b/>
        </w:rPr>
      </w:pPr>
    </w:p>
    <w:p w14:paraId="22735199" w14:textId="77777777" w:rsidR="00977693" w:rsidRPr="00CE0885" w:rsidRDefault="00977693" w:rsidP="00977693">
      <w:pPr>
        <w:rPr>
          <w:rFonts w:cs="Arial"/>
          <w:b/>
        </w:rPr>
      </w:pPr>
    </w:p>
    <w:p w14:paraId="6254A38E" w14:textId="4371527B" w:rsidR="00977693" w:rsidRPr="00CE0885" w:rsidRDefault="00977693" w:rsidP="00977693">
      <w:pPr>
        <w:rPr>
          <w:rFonts w:cs="Arial"/>
          <w:b/>
        </w:rPr>
      </w:pPr>
    </w:p>
    <w:p w14:paraId="64136995" w14:textId="77777777" w:rsidR="00977693" w:rsidRPr="00CE0885" w:rsidRDefault="00977693" w:rsidP="00977693">
      <w:pPr>
        <w:rPr>
          <w:rFonts w:cs="Arial"/>
          <w:b/>
        </w:rPr>
        <w:sectPr w:rsidR="00977693" w:rsidRPr="00CE0885" w:rsidSect="00367377">
          <w:headerReference w:type="even" r:id="rId116"/>
          <w:headerReference w:type="default" r:id="rId117"/>
          <w:footerReference w:type="even" r:id="rId118"/>
          <w:footerReference w:type="default" r:id="rId119"/>
          <w:headerReference w:type="first" r:id="rId120"/>
          <w:footerReference w:type="first" r:id="rId121"/>
          <w:pgSz w:w="11906" w:h="16838"/>
          <w:pgMar w:top="1276" w:right="1418" w:bottom="1418" w:left="1418" w:header="720" w:footer="720" w:gutter="0"/>
          <w:cols w:space="720"/>
          <w:docGrid w:linePitch="272"/>
        </w:sectPr>
      </w:pPr>
    </w:p>
    <w:p w14:paraId="58BDDC29" w14:textId="00A0C183" w:rsidR="00977693" w:rsidRDefault="00977693" w:rsidP="000A529F">
      <w:pPr>
        <w:pStyle w:val="Heading3"/>
        <w:rPr>
          <w:rFonts w:eastAsia="Malgun Gothic"/>
          <w:b/>
        </w:rPr>
      </w:pPr>
      <w:r w:rsidRPr="000A529F">
        <w:rPr>
          <w:b/>
          <w:sz w:val="28"/>
          <w:szCs w:val="28"/>
        </w:rPr>
        <w:t xml:space="preserve">Annex </w:t>
      </w:r>
      <w:r w:rsidR="00EF433F" w:rsidRPr="000A529F">
        <w:rPr>
          <w:b/>
          <w:sz w:val="28"/>
          <w:szCs w:val="28"/>
        </w:rPr>
        <w:t xml:space="preserve">B </w:t>
      </w:r>
      <w:r w:rsidR="00EF433F" w:rsidRPr="00A553BA">
        <w:rPr>
          <w:b/>
          <w:sz w:val="28"/>
        </w:rPr>
        <w:t>Template</w:t>
      </w:r>
      <w:r w:rsidRPr="000A529F">
        <w:rPr>
          <w:rFonts w:eastAsia="Malgun Gothic"/>
          <w:b/>
        </w:rPr>
        <w:t xml:space="preserve"> Mobilisation Plan for Practice Merger </w:t>
      </w:r>
    </w:p>
    <w:p w14:paraId="09764ED2" w14:textId="77777777" w:rsidR="0022238B" w:rsidRDefault="0022238B" w:rsidP="0000534D">
      <w:pPr>
        <w:rPr>
          <w:rFonts w:eastAsia="Malgun Gothic"/>
        </w:rPr>
      </w:pPr>
    </w:p>
    <w:bookmarkStart w:id="790" w:name="_1570168874"/>
    <w:bookmarkEnd w:id="790"/>
    <w:p w14:paraId="7F25587A" w14:textId="0870F83F" w:rsidR="0022238B" w:rsidRPr="004B57CD" w:rsidRDefault="002306F3" w:rsidP="006C3DF5">
      <w:pPr>
        <w:pStyle w:val="ListParagraph"/>
        <w:numPr>
          <w:ilvl w:val="0"/>
          <w:numId w:val="122"/>
        </w:numPr>
        <w:rPr>
          <w:rFonts w:eastAsia="Malgun Gothic"/>
        </w:rPr>
      </w:pPr>
      <w:r>
        <w:fldChar w:fldCharType="begin"/>
      </w:r>
      <w:r>
        <w:instrText xml:space="preserve"> HYPERLINK "https://www.england.nhs.uk/publication/primary-medical-care-policy-and-guidance-manual-practice-mergers-and-or-contractual-mergers-annexes/" </w:instrText>
      </w:r>
      <w:r>
        <w:fldChar w:fldCharType="separate"/>
      </w:r>
      <w:r w:rsidR="004B57CD" w:rsidRPr="007F7DB4">
        <w:rPr>
          <w:rStyle w:val="Hyperlink"/>
          <w:rFonts w:eastAsia="Malgun Gothic"/>
        </w:rPr>
        <w:t>Template Mobilisation Plan for Practice Merger</w:t>
      </w:r>
      <w:r>
        <w:rPr>
          <w:rStyle w:val="Hyperlink"/>
          <w:rFonts w:eastAsia="Malgun Gothic"/>
        </w:rPr>
        <w:fldChar w:fldCharType="end"/>
      </w:r>
    </w:p>
    <w:p w14:paraId="24E88E3E" w14:textId="61F4A3B8" w:rsidR="004C3090" w:rsidRPr="009055A7" w:rsidRDefault="004C3090" w:rsidP="00977693">
      <w:pPr>
        <w:rPr>
          <w:rFonts w:cs="Arial"/>
          <w:b/>
        </w:rPr>
      </w:pPr>
    </w:p>
    <w:p w14:paraId="42C7975C" w14:textId="77777777" w:rsidR="00977693" w:rsidRPr="00CE0885" w:rsidRDefault="00977693" w:rsidP="00977693">
      <w:pPr>
        <w:rPr>
          <w:rFonts w:cs="Arial"/>
          <w:b/>
        </w:rPr>
      </w:pPr>
    </w:p>
    <w:p w14:paraId="6209CB3D" w14:textId="06483896" w:rsidR="00977693" w:rsidRPr="00CE0885" w:rsidRDefault="00977693" w:rsidP="00202DD3">
      <w:pPr>
        <w:pStyle w:val="Heading2"/>
        <w:rPr>
          <w:lang w:eastAsia="en-GB"/>
        </w:rPr>
      </w:pPr>
      <w:bookmarkStart w:id="791" w:name="_Toc440981921"/>
      <w:bookmarkStart w:id="792" w:name="_Toc95743456"/>
      <w:bookmarkEnd w:id="788"/>
      <w:r w:rsidRPr="00CE0885">
        <w:rPr>
          <w:lang w:eastAsia="en-GB"/>
        </w:rPr>
        <w:t>Changes to Services</w:t>
      </w:r>
      <w:bookmarkEnd w:id="791"/>
      <w:bookmarkEnd w:id="792"/>
    </w:p>
    <w:p w14:paraId="2CC6CC10" w14:textId="7A4892A4" w:rsidR="00977693" w:rsidRPr="00CE0885" w:rsidRDefault="006C7855" w:rsidP="00980A75">
      <w:pPr>
        <w:pStyle w:val="Heading3"/>
        <w:rPr>
          <w:lang w:eastAsia="en-GB"/>
        </w:rPr>
      </w:pPr>
      <w:bookmarkStart w:id="793" w:name="_Toc440981922"/>
      <w:r>
        <w:rPr>
          <w:lang w:eastAsia="en-GB"/>
        </w:rPr>
        <w:t>C</w:t>
      </w:r>
      <w:r w:rsidR="00977693" w:rsidRPr="00CE0885">
        <w:rPr>
          <w:lang w:eastAsia="en-GB"/>
        </w:rPr>
        <w:t>ommissioners will need to consider changes to local service provision as a consequence of a health needs assessment of the local community with particular regard to the diverse nature of the community and reducing health inequalities in access and outcomes.</w:t>
      </w:r>
      <w:bookmarkEnd w:id="793"/>
    </w:p>
    <w:p w14:paraId="618F40AD" w14:textId="48B7139A" w:rsidR="00977693" w:rsidRPr="00CE0885" w:rsidRDefault="00977693" w:rsidP="00980A75">
      <w:pPr>
        <w:pStyle w:val="Heading3"/>
        <w:rPr>
          <w:lang w:eastAsia="en-GB"/>
        </w:rPr>
      </w:pPr>
      <w:bookmarkStart w:id="794" w:name="_Toc440981923"/>
      <w:r w:rsidRPr="00CE0885">
        <w:rPr>
          <w:spacing w:val="2"/>
          <w:lang w:eastAsia="en-GB"/>
        </w:rPr>
        <w:t>T</w:t>
      </w:r>
      <w:r w:rsidRPr="00CE0885">
        <w:rPr>
          <w:spacing w:val="-1"/>
          <w:lang w:eastAsia="en-GB"/>
        </w:rPr>
        <w:t>h</w:t>
      </w:r>
      <w:r w:rsidRPr="00CE0885">
        <w:rPr>
          <w:lang w:eastAsia="en-GB"/>
        </w:rPr>
        <w:t>e</w:t>
      </w:r>
      <w:r w:rsidRPr="00CE0885">
        <w:rPr>
          <w:spacing w:val="-2"/>
          <w:lang w:eastAsia="en-GB"/>
        </w:rPr>
        <w:t xml:space="preserve"> </w:t>
      </w:r>
      <w:r w:rsidRPr="00CE0885">
        <w:rPr>
          <w:lang w:eastAsia="en-GB"/>
        </w:rPr>
        <w:t>Commissioner</w:t>
      </w:r>
      <w:r w:rsidRPr="00CE0885">
        <w:rPr>
          <w:spacing w:val="-4"/>
          <w:lang w:eastAsia="en-GB"/>
        </w:rPr>
        <w:t xml:space="preserve"> </w:t>
      </w:r>
      <w:r w:rsidRPr="00CE0885">
        <w:rPr>
          <w:lang w:eastAsia="en-GB"/>
        </w:rPr>
        <w:t>and</w:t>
      </w:r>
      <w:r w:rsidRPr="00CE0885">
        <w:rPr>
          <w:spacing w:val="-5"/>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w:t>
      </w:r>
      <w:r w:rsidRPr="00CE0885">
        <w:rPr>
          <w:lang w:eastAsia="en-GB"/>
        </w:rPr>
        <w:t>ont</w:t>
      </w:r>
      <w:r w:rsidRPr="00CE0885">
        <w:rPr>
          <w:spacing w:val="-1"/>
          <w:lang w:eastAsia="en-GB"/>
        </w:rPr>
        <w:t>r</w:t>
      </w:r>
      <w:r w:rsidRPr="00CE0885">
        <w:rPr>
          <w:lang w:eastAsia="en-GB"/>
        </w:rPr>
        <w:t>ac</w:t>
      </w:r>
      <w:r w:rsidRPr="00CE0885">
        <w:rPr>
          <w:spacing w:val="-2"/>
          <w:lang w:eastAsia="en-GB"/>
        </w:rPr>
        <w:t>t</w:t>
      </w:r>
      <w:r w:rsidRPr="00CE0885">
        <w:rPr>
          <w:lang w:eastAsia="en-GB"/>
        </w:rPr>
        <w:t>or</w:t>
      </w:r>
      <w:r w:rsidRPr="00CE0885">
        <w:rPr>
          <w:spacing w:val="-11"/>
          <w:lang w:eastAsia="en-GB"/>
        </w:rPr>
        <w:t xml:space="preserve"> </w:t>
      </w:r>
      <w:r w:rsidRPr="00CE0885">
        <w:rPr>
          <w:lang w:eastAsia="en-GB"/>
        </w:rPr>
        <w:t>shall</w:t>
      </w:r>
      <w:r w:rsidRPr="00CE0885">
        <w:rPr>
          <w:spacing w:val="-5"/>
          <w:lang w:eastAsia="en-GB"/>
        </w:rPr>
        <w:t xml:space="preserve"> </w:t>
      </w:r>
      <w:r w:rsidRPr="00CE0885">
        <w:rPr>
          <w:spacing w:val="-1"/>
          <w:lang w:eastAsia="en-GB"/>
        </w:rPr>
        <w:t>o</w:t>
      </w:r>
      <w:r w:rsidRPr="00CE0885">
        <w:rPr>
          <w:lang w:eastAsia="en-GB"/>
        </w:rPr>
        <w:t>nly</w:t>
      </w:r>
      <w:r w:rsidRPr="00CE0885">
        <w:rPr>
          <w:spacing w:val="-6"/>
          <w:lang w:eastAsia="en-GB"/>
        </w:rPr>
        <w:t xml:space="preserve"> </w:t>
      </w:r>
      <w:r w:rsidRPr="00CE0885">
        <w:rPr>
          <w:lang w:eastAsia="en-GB"/>
        </w:rPr>
        <w:t>a</w:t>
      </w:r>
      <w:r w:rsidRPr="00CE0885">
        <w:rPr>
          <w:spacing w:val="-1"/>
          <w:lang w:eastAsia="en-GB"/>
        </w:rPr>
        <w:t>g</w:t>
      </w:r>
      <w:r w:rsidRPr="00CE0885">
        <w:rPr>
          <w:spacing w:val="2"/>
          <w:lang w:eastAsia="en-GB"/>
        </w:rPr>
        <w:t>r</w:t>
      </w:r>
      <w:r w:rsidRPr="00CE0885">
        <w:rPr>
          <w:lang w:eastAsia="en-GB"/>
        </w:rPr>
        <w:t>ee</w:t>
      </w:r>
      <w:r w:rsidRPr="00CE0885">
        <w:rPr>
          <w:spacing w:val="-4"/>
          <w:lang w:eastAsia="en-GB"/>
        </w:rPr>
        <w:t xml:space="preserve"> </w:t>
      </w:r>
      <w:r w:rsidRPr="00CE0885">
        <w:rPr>
          <w:spacing w:val="-2"/>
          <w:lang w:eastAsia="en-GB"/>
        </w:rPr>
        <w:t>t</w:t>
      </w:r>
      <w:r w:rsidRPr="00CE0885">
        <w:rPr>
          <w:lang w:eastAsia="en-GB"/>
        </w:rPr>
        <w:t xml:space="preserve">o </w:t>
      </w:r>
      <w:r w:rsidRPr="00CE0885">
        <w:rPr>
          <w:spacing w:val="-1"/>
          <w:lang w:eastAsia="en-GB"/>
        </w:rPr>
        <w:t>a</w:t>
      </w:r>
      <w:r w:rsidRPr="00CE0885">
        <w:rPr>
          <w:lang w:eastAsia="en-GB"/>
        </w:rPr>
        <w:t>ny</w:t>
      </w:r>
      <w:r w:rsidRPr="00CE0885">
        <w:rPr>
          <w:spacing w:val="-6"/>
          <w:lang w:eastAsia="en-GB"/>
        </w:rPr>
        <w:t xml:space="preserve"> </w:t>
      </w:r>
      <w:r w:rsidRPr="00CE0885">
        <w:rPr>
          <w:lang w:eastAsia="en-GB"/>
        </w:rPr>
        <w:t>chan</w:t>
      </w:r>
      <w:r w:rsidRPr="00CE0885">
        <w:rPr>
          <w:spacing w:val="-1"/>
          <w:lang w:eastAsia="en-GB"/>
        </w:rPr>
        <w:t>g</w:t>
      </w:r>
      <w:r w:rsidRPr="00CE0885">
        <w:rPr>
          <w:lang w:eastAsia="en-GB"/>
        </w:rPr>
        <w:t>e</w:t>
      </w:r>
      <w:r w:rsidRPr="00CE0885">
        <w:rPr>
          <w:spacing w:val="-6"/>
          <w:lang w:eastAsia="en-GB"/>
        </w:rPr>
        <w:t xml:space="preserve"> </w:t>
      </w:r>
      <w:r w:rsidRPr="00CE0885">
        <w:rPr>
          <w:lang w:eastAsia="en-GB"/>
        </w:rPr>
        <w:t>to</w:t>
      </w:r>
      <w:r w:rsidRPr="00CE0885">
        <w:rPr>
          <w:spacing w:val="-3"/>
          <w:lang w:eastAsia="en-GB"/>
        </w:rPr>
        <w:t xml:space="preserve"> </w:t>
      </w:r>
      <w:r w:rsidRPr="00CE0885">
        <w:rPr>
          <w:lang w:eastAsia="en-GB"/>
        </w:rPr>
        <w:t>t</w:t>
      </w:r>
      <w:r w:rsidRPr="00CE0885">
        <w:rPr>
          <w:spacing w:val="-1"/>
          <w:lang w:eastAsia="en-GB"/>
        </w:rPr>
        <w:t>h</w:t>
      </w:r>
      <w:r w:rsidRPr="00CE0885">
        <w:rPr>
          <w:lang w:eastAsia="en-GB"/>
        </w:rPr>
        <w:t>e deli</w:t>
      </w:r>
      <w:r w:rsidRPr="00CE0885">
        <w:rPr>
          <w:spacing w:val="-2"/>
          <w:lang w:eastAsia="en-GB"/>
        </w:rPr>
        <w:t>v</w:t>
      </w:r>
      <w:r w:rsidRPr="00CE0885">
        <w:rPr>
          <w:lang w:eastAsia="en-GB"/>
        </w:rPr>
        <w:t>e</w:t>
      </w:r>
      <w:r w:rsidRPr="00CE0885">
        <w:rPr>
          <w:spacing w:val="2"/>
          <w:lang w:eastAsia="en-GB"/>
        </w:rPr>
        <w:t>r</w:t>
      </w:r>
      <w:r w:rsidRPr="00CE0885">
        <w:rPr>
          <w:lang w:eastAsia="en-GB"/>
        </w:rPr>
        <w:t>y</w:t>
      </w:r>
      <w:r w:rsidRPr="00CE0885">
        <w:rPr>
          <w:spacing w:val="-10"/>
          <w:lang w:eastAsia="en-GB"/>
        </w:rPr>
        <w:t xml:space="preserve"> </w:t>
      </w:r>
      <w:r w:rsidRPr="00CE0885">
        <w:rPr>
          <w:lang w:eastAsia="en-GB"/>
        </w:rPr>
        <w:t xml:space="preserve">of </w:t>
      </w:r>
      <w:r w:rsidRPr="00CE0885">
        <w:rPr>
          <w:spacing w:val="-2"/>
          <w:lang w:eastAsia="en-GB"/>
        </w:rPr>
        <w:t>s</w:t>
      </w:r>
      <w:r w:rsidRPr="00CE0885">
        <w:rPr>
          <w:lang w:eastAsia="en-GB"/>
        </w:rPr>
        <w:t>e</w:t>
      </w:r>
      <w:r w:rsidRPr="00CE0885">
        <w:rPr>
          <w:spacing w:val="-1"/>
          <w:lang w:eastAsia="en-GB"/>
        </w:rPr>
        <w:t>r</w:t>
      </w:r>
      <w:r w:rsidRPr="00CE0885">
        <w:rPr>
          <w:spacing w:val="-2"/>
          <w:lang w:eastAsia="en-GB"/>
        </w:rPr>
        <w:t>v</w:t>
      </w:r>
      <w:r w:rsidRPr="00CE0885">
        <w:rPr>
          <w:lang w:eastAsia="en-GB"/>
        </w:rPr>
        <w:t>ices</w:t>
      </w:r>
      <w:r w:rsidRPr="00CE0885">
        <w:rPr>
          <w:spacing w:val="-9"/>
          <w:lang w:eastAsia="en-GB"/>
        </w:rPr>
        <w:t xml:space="preserve"> </w:t>
      </w:r>
      <w:r w:rsidRPr="00CE0885">
        <w:rPr>
          <w:lang w:eastAsia="en-GB"/>
        </w:rPr>
        <w:t>af</w:t>
      </w:r>
      <w:r w:rsidRPr="00CE0885">
        <w:rPr>
          <w:spacing w:val="-2"/>
          <w:lang w:eastAsia="en-GB"/>
        </w:rPr>
        <w:t>t</w:t>
      </w:r>
      <w:r w:rsidRPr="00CE0885">
        <w:rPr>
          <w:lang w:eastAsia="en-GB"/>
        </w:rPr>
        <w:t>er</w:t>
      </w:r>
      <w:r w:rsidRPr="00CE0885">
        <w:rPr>
          <w:spacing w:val="-5"/>
          <w:lang w:eastAsia="en-GB"/>
        </w:rPr>
        <w:t xml:space="preserve"> </w:t>
      </w:r>
      <w:r w:rsidRPr="00CE0885">
        <w:rPr>
          <w:lang w:eastAsia="en-GB"/>
        </w:rPr>
        <w:t>all</w:t>
      </w:r>
      <w:r w:rsidRPr="00CE0885">
        <w:rPr>
          <w:spacing w:val="-2"/>
          <w:lang w:eastAsia="en-GB"/>
        </w:rPr>
        <w:t xml:space="preserve"> </w:t>
      </w:r>
      <w:r w:rsidRPr="00CE0885">
        <w:rPr>
          <w:lang w:eastAsia="en-GB"/>
        </w:rPr>
        <w:t>le</w:t>
      </w:r>
      <w:r w:rsidRPr="00CE0885">
        <w:rPr>
          <w:spacing w:val="-1"/>
          <w:lang w:eastAsia="en-GB"/>
        </w:rPr>
        <w:t>g</w:t>
      </w:r>
      <w:r w:rsidRPr="00CE0885">
        <w:rPr>
          <w:lang w:eastAsia="en-GB"/>
        </w:rPr>
        <w:t>al</w:t>
      </w:r>
      <w:r w:rsidRPr="00CE0885">
        <w:rPr>
          <w:spacing w:val="-5"/>
          <w:lang w:eastAsia="en-GB"/>
        </w:rPr>
        <w:t xml:space="preserve"> </w:t>
      </w:r>
      <w:r w:rsidRPr="00CE0885">
        <w:rPr>
          <w:lang w:eastAsia="en-GB"/>
        </w:rPr>
        <w:t>obli</w:t>
      </w:r>
      <w:r w:rsidRPr="00CE0885">
        <w:rPr>
          <w:spacing w:val="-1"/>
          <w:lang w:eastAsia="en-GB"/>
        </w:rPr>
        <w:t>g</w:t>
      </w:r>
      <w:r w:rsidRPr="00CE0885">
        <w:rPr>
          <w:lang w:eastAsia="en-GB"/>
        </w:rPr>
        <w:t>ations</w:t>
      </w:r>
      <w:r w:rsidRPr="00CE0885">
        <w:rPr>
          <w:spacing w:val="-11"/>
          <w:lang w:eastAsia="en-GB"/>
        </w:rPr>
        <w:t xml:space="preserve"> </w:t>
      </w:r>
      <w:r w:rsidRPr="00CE0885">
        <w:rPr>
          <w:spacing w:val="-3"/>
          <w:lang w:eastAsia="en-GB"/>
        </w:rPr>
        <w:t>i</w:t>
      </w:r>
      <w:r w:rsidRPr="00CE0885">
        <w:rPr>
          <w:lang w:eastAsia="en-GB"/>
        </w:rPr>
        <w:t xml:space="preserve">n </w:t>
      </w:r>
      <w:r w:rsidRPr="00CE0885">
        <w:rPr>
          <w:spacing w:val="-1"/>
          <w:lang w:eastAsia="en-GB"/>
        </w:rPr>
        <w:t>r</w:t>
      </w:r>
      <w:r w:rsidRPr="00CE0885">
        <w:rPr>
          <w:lang w:eastAsia="en-GB"/>
        </w:rPr>
        <w:t>espe</w:t>
      </w:r>
      <w:r w:rsidRPr="00CE0885">
        <w:rPr>
          <w:spacing w:val="-2"/>
          <w:lang w:eastAsia="en-GB"/>
        </w:rPr>
        <w:t>c</w:t>
      </w:r>
      <w:r w:rsidRPr="00CE0885">
        <w:rPr>
          <w:lang w:eastAsia="en-GB"/>
        </w:rPr>
        <w:t>t</w:t>
      </w:r>
      <w:r w:rsidRPr="00CE0885">
        <w:rPr>
          <w:spacing w:val="-7"/>
          <w:lang w:eastAsia="en-GB"/>
        </w:rPr>
        <w:t xml:space="preserve"> </w:t>
      </w:r>
      <w:r w:rsidRPr="00CE0885">
        <w:rPr>
          <w:spacing w:val="-1"/>
          <w:lang w:eastAsia="en-GB"/>
        </w:rPr>
        <w:t>o</w:t>
      </w:r>
      <w:r w:rsidRPr="00CE0885">
        <w:rPr>
          <w:lang w:eastAsia="en-GB"/>
        </w:rPr>
        <w:t>f</w:t>
      </w:r>
      <w:r w:rsidRPr="00CE0885">
        <w:rPr>
          <w:spacing w:val="-1"/>
          <w:lang w:eastAsia="en-GB"/>
        </w:rPr>
        <w:t xml:space="preserve"> consultation, engagement or involvement of the </w:t>
      </w:r>
      <w:r w:rsidRPr="00CE0885">
        <w:rPr>
          <w:lang w:eastAsia="en-GB"/>
        </w:rPr>
        <w:t>p</w:t>
      </w:r>
      <w:r w:rsidRPr="00CE0885">
        <w:rPr>
          <w:spacing w:val="-1"/>
          <w:lang w:eastAsia="en-GB"/>
        </w:rPr>
        <w:t>u</w:t>
      </w:r>
      <w:r w:rsidRPr="00CE0885">
        <w:rPr>
          <w:lang w:eastAsia="en-GB"/>
        </w:rPr>
        <w:t>blic</w:t>
      </w:r>
      <w:r w:rsidRPr="00CE0885">
        <w:rPr>
          <w:spacing w:val="-6"/>
          <w:lang w:eastAsia="en-GB"/>
        </w:rPr>
        <w:t xml:space="preserve">, </w:t>
      </w:r>
      <w:r w:rsidRPr="00CE0885">
        <w:rPr>
          <w:lang w:eastAsia="en-GB"/>
        </w:rPr>
        <w:t>pati</w:t>
      </w:r>
      <w:r w:rsidRPr="00CE0885">
        <w:rPr>
          <w:spacing w:val="-1"/>
          <w:lang w:eastAsia="en-GB"/>
        </w:rPr>
        <w:t>e</w:t>
      </w:r>
      <w:r w:rsidRPr="00CE0885">
        <w:rPr>
          <w:lang w:eastAsia="en-GB"/>
        </w:rPr>
        <w:t>nts</w:t>
      </w:r>
      <w:r w:rsidRPr="00CE0885">
        <w:rPr>
          <w:spacing w:val="-6"/>
          <w:lang w:eastAsia="en-GB"/>
        </w:rPr>
        <w:t xml:space="preserve"> and other organisations </w:t>
      </w:r>
      <w:r w:rsidRPr="00CE0885">
        <w:rPr>
          <w:lang w:eastAsia="en-GB"/>
        </w:rPr>
        <w:t>ha</w:t>
      </w:r>
      <w:r w:rsidRPr="00CE0885">
        <w:rPr>
          <w:spacing w:val="-2"/>
          <w:lang w:eastAsia="en-GB"/>
        </w:rPr>
        <w:t>v</w:t>
      </w:r>
      <w:r w:rsidRPr="00CE0885">
        <w:rPr>
          <w:lang w:eastAsia="en-GB"/>
        </w:rPr>
        <w:t>e</w:t>
      </w:r>
      <w:r w:rsidRPr="00CE0885">
        <w:rPr>
          <w:spacing w:val="-3"/>
          <w:lang w:eastAsia="en-GB"/>
        </w:rPr>
        <w:t xml:space="preserve"> </w:t>
      </w:r>
      <w:r w:rsidRPr="00CE0885">
        <w:rPr>
          <w:spacing w:val="-1"/>
          <w:lang w:eastAsia="en-GB"/>
        </w:rPr>
        <w:t>b</w:t>
      </w:r>
      <w:r w:rsidRPr="00CE0885">
        <w:rPr>
          <w:lang w:eastAsia="en-GB"/>
        </w:rPr>
        <w:t>een</w:t>
      </w:r>
      <w:r w:rsidRPr="00CE0885">
        <w:rPr>
          <w:spacing w:val="-6"/>
          <w:lang w:eastAsia="en-GB"/>
        </w:rPr>
        <w:t xml:space="preserve"> </w:t>
      </w:r>
      <w:r w:rsidRPr="00CE0885">
        <w:rPr>
          <w:lang w:eastAsia="en-GB"/>
        </w:rPr>
        <w:t>fu</w:t>
      </w:r>
      <w:r w:rsidRPr="00CE0885">
        <w:rPr>
          <w:spacing w:val="-3"/>
          <w:lang w:eastAsia="en-GB"/>
        </w:rPr>
        <w:t>l</w:t>
      </w:r>
      <w:r w:rsidRPr="00CE0885">
        <w:rPr>
          <w:spacing w:val="3"/>
          <w:lang w:eastAsia="en-GB"/>
        </w:rPr>
        <w:t>f</w:t>
      </w:r>
      <w:r w:rsidRPr="00CE0885">
        <w:rPr>
          <w:lang w:eastAsia="en-GB"/>
        </w:rPr>
        <w:t>illed.</w:t>
      </w:r>
      <w:bookmarkEnd w:id="794"/>
    </w:p>
    <w:p w14:paraId="4FB115E6" w14:textId="71BAAA51" w:rsidR="00977693" w:rsidRPr="00CE0885" w:rsidRDefault="00977693" w:rsidP="00980A75">
      <w:pPr>
        <w:pStyle w:val="Heading3"/>
        <w:rPr>
          <w:spacing w:val="-10"/>
          <w:lang w:eastAsia="en-GB"/>
        </w:rPr>
      </w:pPr>
      <w:bookmarkStart w:id="795" w:name="_Toc440981924"/>
      <w:r w:rsidRPr="00CE0885">
        <w:rPr>
          <w:spacing w:val="2"/>
          <w:lang w:eastAsia="en-GB"/>
        </w:rPr>
        <w:t>The paragraphs below</w:t>
      </w:r>
      <w:r w:rsidRPr="00CE0885">
        <w:rPr>
          <w:spacing w:val="-11"/>
          <w:lang w:eastAsia="en-GB"/>
        </w:rPr>
        <w:t xml:space="preserve"> </w:t>
      </w:r>
      <w:r w:rsidRPr="00CE0885">
        <w:rPr>
          <w:spacing w:val="1"/>
          <w:lang w:eastAsia="en-GB"/>
        </w:rPr>
        <w:t>o</w:t>
      </w:r>
      <w:r w:rsidRPr="00CE0885">
        <w:rPr>
          <w:spacing w:val="-1"/>
          <w:lang w:eastAsia="en-GB"/>
        </w:rPr>
        <w:t>u</w:t>
      </w:r>
      <w:r w:rsidRPr="00CE0885">
        <w:rPr>
          <w:spacing w:val="1"/>
          <w:lang w:eastAsia="en-GB"/>
        </w:rPr>
        <w:t>t</w:t>
      </w:r>
      <w:r w:rsidRPr="00CE0885">
        <w:rPr>
          <w:lang w:eastAsia="en-GB"/>
        </w:rPr>
        <w:t>li</w:t>
      </w:r>
      <w:r w:rsidRPr="00CE0885">
        <w:rPr>
          <w:spacing w:val="1"/>
          <w:lang w:eastAsia="en-GB"/>
        </w:rPr>
        <w:t>ne</w:t>
      </w:r>
      <w:r w:rsidRPr="00CE0885">
        <w:rPr>
          <w:spacing w:val="-10"/>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p</w:t>
      </w:r>
      <w:r w:rsidRPr="00CE0885">
        <w:rPr>
          <w:spacing w:val="-1"/>
          <w:lang w:eastAsia="en-GB"/>
        </w:rPr>
        <w:t>r</w:t>
      </w:r>
      <w:r w:rsidRPr="00CE0885">
        <w:rPr>
          <w:lang w:eastAsia="en-GB"/>
        </w:rPr>
        <w:t>i</w:t>
      </w:r>
      <w:r w:rsidRPr="00CE0885">
        <w:rPr>
          <w:spacing w:val="1"/>
          <w:lang w:eastAsia="en-GB"/>
        </w:rPr>
        <w:t>n</w:t>
      </w:r>
      <w:r w:rsidRPr="00CE0885">
        <w:rPr>
          <w:lang w:eastAsia="en-GB"/>
        </w:rPr>
        <w:t>ci</w:t>
      </w:r>
      <w:r w:rsidRPr="00CE0885">
        <w:rPr>
          <w:spacing w:val="1"/>
          <w:lang w:eastAsia="en-GB"/>
        </w:rPr>
        <w:t>p</w:t>
      </w:r>
      <w:r w:rsidRPr="00CE0885">
        <w:rPr>
          <w:lang w:eastAsia="en-GB"/>
        </w:rPr>
        <w:t>l</w:t>
      </w:r>
      <w:r w:rsidRPr="00CE0885">
        <w:rPr>
          <w:spacing w:val="1"/>
          <w:lang w:eastAsia="en-GB"/>
        </w:rPr>
        <w:t>e</w:t>
      </w:r>
      <w:r w:rsidRPr="00CE0885">
        <w:rPr>
          <w:lang w:eastAsia="en-GB"/>
        </w:rPr>
        <w:t>s</w:t>
      </w:r>
      <w:r w:rsidRPr="00CE0885">
        <w:rPr>
          <w:spacing w:val="-10"/>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5"/>
          <w:lang w:eastAsia="en-GB"/>
        </w:rPr>
        <w:t xml:space="preserve"> </w:t>
      </w:r>
      <w:r w:rsidRPr="00CE0885">
        <w:rPr>
          <w:lang w:eastAsia="en-GB"/>
        </w:rPr>
        <w:t>s</w:t>
      </w:r>
      <w:r w:rsidRPr="00CE0885">
        <w:rPr>
          <w:spacing w:val="1"/>
          <w:lang w:eastAsia="en-GB"/>
        </w:rPr>
        <w:t>tep</w:t>
      </w:r>
      <w:r w:rsidRPr="00CE0885">
        <w:rPr>
          <w:lang w:eastAsia="en-GB"/>
        </w:rPr>
        <w:t>s</w:t>
      </w:r>
      <w:r w:rsidRPr="00CE0885">
        <w:rPr>
          <w:spacing w:val="-6"/>
          <w:lang w:eastAsia="en-GB"/>
        </w:rPr>
        <w:t xml:space="preserve"> </w:t>
      </w:r>
      <w:r w:rsidRPr="00CE0885">
        <w:rPr>
          <w:spacing w:val="-1"/>
          <w:lang w:eastAsia="en-GB"/>
        </w:rPr>
        <w:t>r</w:t>
      </w:r>
      <w:r w:rsidRPr="00CE0885">
        <w:rPr>
          <w:spacing w:val="1"/>
          <w:lang w:eastAsia="en-GB"/>
        </w:rPr>
        <w:t>e</w:t>
      </w:r>
      <w:r w:rsidRPr="00CE0885">
        <w:rPr>
          <w:spacing w:val="-1"/>
          <w:lang w:eastAsia="en-GB"/>
        </w:rPr>
        <w:t>q</w:t>
      </w:r>
      <w:r w:rsidRPr="00CE0885">
        <w:rPr>
          <w:spacing w:val="1"/>
          <w:lang w:eastAsia="en-GB"/>
        </w:rPr>
        <w:t>u</w:t>
      </w:r>
      <w:r w:rsidRPr="00CE0885">
        <w:rPr>
          <w:lang w:eastAsia="en-GB"/>
        </w:rPr>
        <w:t>i</w:t>
      </w:r>
      <w:r w:rsidRPr="00CE0885">
        <w:rPr>
          <w:spacing w:val="-1"/>
          <w:lang w:eastAsia="en-GB"/>
        </w:rPr>
        <w:t>r</w:t>
      </w:r>
      <w:r w:rsidRPr="00CE0885">
        <w:rPr>
          <w:spacing w:val="1"/>
          <w:lang w:eastAsia="en-GB"/>
        </w:rPr>
        <w:t>e</w:t>
      </w:r>
      <w:r w:rsidRPr="00CE0885">
        <w:rPr>
          <w:lang w:eastAsia="en-GB"/>
        </w:rPr>
        <w:t>d</w:t>
      </w:r>
      <w:r w:rsidRPr="00CE0885">
        <w:rPr>
          <w:spacing w:val="-10"/>
          <w:lang w:eastAsia="en-GB"/>
        </w:rPr>
        <w:t xml:space="preserve"> </w:t>
      </w:r>
      <w:r w:rsidRPr="00CE0885">
        <w:rPr>
          <w:spacing w:val="1"/>
          <w:lang w:eastAsia="en-GB"/>
        </w:rPr>
        <w:t>t</w:t>
      </w:r>
      <w:r w:rsidRPr="00CE0885">
        <w:rPr>
          <w:lang w:eastAsia="en-GB"/>
        </w:rPr>
        <w:t>o</w:t>
      </w:r>
      <w:r w:rsidRPr="00CE0885">
        <w:rPr>
          <w:spacing w:val="-3"/>
          <w:lang w:eastAsia="en-GB"/>
        </w:rPr>
        <w:t xml:space="preserve"> </w:t>
      </w:r>
      <w:r w:rsidRPr="00CE0885">
        <w:rPr>
          <w:spacing w:val="1"/>
          <w:lang w:eastAsia="en-GB"/>
        </w:rPr>
        <w:t>p</w:t>
      </w:r>
      <w:r w:rsidRPr="00CE0885">
        <w:rPr>
          <w:spacing w:val="-1"/>
          <w:lang w:eastAsia="en-GB"/>
        </w:rPr>
        <w:t>r</w:t>
      </w:r>
      <w:r w:rsidRPr="00CE0885">
        <w:rPr>
          <w:spacing w:val="1"/>
          <w:lang w:eastAsia="en-GB"/>
        </w:rPr>
        <w:t>o</w:t>
      </w:r>
      <w:r w:rsidRPr="00CE0885">
        <w:rPr>
          <w:lang w:eastAsia="en-GB"/>
        </w:rPr>
        <w:t>c</w:t>
      </w:r>
      <w:r w:rsidRPr="00CE0885">
        <w:rPr>
          <w:spacing w:val="-1"/>
          <w:lang w:eastAsia="en-GB"/>
        </w:rPr>
        <w:t>e</w:t>
      </w:r>
      <w:r w:rsidRPr="00CE0885">
        <w:rPr>
          <w:lang w:eastAsia="en-GB"/>
        </w:rPr>
        <w:t xml:space="preserve">ss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m</w:t>
      </w:r>
      <w:r w:rsidRPr="00CE0885">
        <w:rPr>
          <w:spacing w:val="1"/>
          <w:lang w:eastAsia="en-GB"/>
        </w:rPr>
        <w:t>o</w:t>
      </w:r>
      <w:r w:rsidRPr="00CE0885">
        <w:rPr>
          <w:lang w:eastAsia="en-GB"/>
        </w:rPr>
        <w:t>st</w:t>
      </w:r>
      <w:r w:rsidRPr="00CE0885">
        <w:rPr>
          <w:spacing w:val="-4"/>
          <w:lang w:eastAsia="en-GB"/>
        </w:rPr>
        <w:t xml:space="preserve"> </w:t>
      </w:r>
      <w:r w:rsidRPr="00CE0885">
        <w:rPr>
          <w:spacing w:val="-2"/>
          <w:lang w:eastAsia="en-GB"/>
        </w:rPr>
        <w:t>c</w:t>
      </w:r>
      <w:r w:rsidRPr="00CE0885">
        <w:rPr>
          <w:spacing w:val="1"/>
          <w:lang w:eastAsia="en-GB"/>
        </w:rPr>
        <w:t>o</w:t>
      </w:r>
      <w:r w:rsidRPr="00CE0885">
        <w:rPr>
          <w:spacing w:val="-1"/>
          <w:lang w:eastAsia="en-GB"/>
        </w:rPr>
        <w:t>m</w:t>
      </w:r>
      <w:r w:rsidRPr="00CE0885">
        <w:rPr>
          <w:spacing w:val="2"/>
          <w:lang w:eastAsia="en-GB"/>
        </w:rPr>
        <w:t>m</w:t>
      </w:r>
      <w:r w:rsidRPr="00CE0885">
        <w:rPr>
          <w:spacing w:val="1"/>
          <w:lang w:eastAsia="en-GB"/>
        </w:rPr>
        <w:t>on</w:t>
      </w:r>
      <w:r w:rsidRPr="00CE0885">
        <w:rPr>
          <w:lang w:eastAsia="en-GB"/>
        </w:rPr>
        <w:t>ly</w:t>
      </w:r>
      <w:r w:rsidRPr="00CE0885">
        <w:rPr>
          <w:spacing w:val="-13"/>
          <w:lang w:eastAsia="en-GB"/>
        </w:rPr>
        <w:t xml:space="preserve"> </w:t>
      </w:r>
      <w:r w:rsidRPr="00CE0885">
        <w:rPr>
          <w:spacing w:val="1"/>
          <w:lang w:eastAsia="en-GB"/>
        </w:rPr>
        <w:t>o</w:t>
      </w:r>
      <w:r w:rsidRPr="00CE0885">
        <w:rPr>
          <w:lang w:eastAsia="en-GB"/>
        </w:rPr>
        <w:t>cc</w:t>
      </w:r>
      <w:r w:rsidRPr="00CE0885">
        <w:rPr>
          <w:spacing w:val="1"/>
          <w:lang w:eastAsia="en-GB"/>
        </w:rPr>
        <w:t>u</w:t>
      </w:r>
      <w:r w:rsidRPr="00CE0885">
        <w:rPr>
          <w:spacing w:val="-1"/>
          <w:lang w:eastAsia="en-GB"/>
        </w:rPr>
        <w:t>rr</w:t>
      </w:r>
      <w:r w:rsidRPr="00CE0885">
        <w:rPr>
          <w:lang w:eastAsia="en-GB"/>
        </w:rPr>
        <w:t>i</w:t>
      </w:r>
      <w:r w:rsidRPr="00CE0885">
        <w:rPr>
          <w:spacing w:val="1"/>
          <w:lang w:eastAsia="en-GB"/>
        </w:rPr>
        <w:t>n</w:t>
      </w:r>
      <w:r w:rsidRPr="00CE0885">
        <w:rPr>
          <w:spacing w:val="-1"/>
          <w:lang w:eastAsia="en-GB"/>
        </w:rPr>
        <w:t>g service changes</w:t>
      </w:r>
      <w:r w:rsidRPr="00CE0885">
        <w:rPr>
          <w:lang w:eastAsia="en-GB"/>
        </w:rPr>
        <w:t>.</w:t>
      </w:r>
      <w:bookmarkEnd w:id="795"/>
      <w:r w:rsidRPr="00CE0885">
        <w:rPr>
          <w:spacing w:val="-10"/>
          <w:lang w:eastAsia="en-GB"/>
        </w:rPr>
        <w:t xml:space="preserve"> </w:t>
      </w:r>
    </w:p>
    <w:p w14:paraId="57A1E55B" w14:textId="77777777" w:rsidR="00977693" w:rsidRPr="009055A7" w:rsidRDefault="00977693" w:rsidP="00977693">
      <w:pPr>
        <w:widowControl w:val="0"/>
        <w:spacing w:line="360" w:lineRule="auto"/>
        <w:ind w:left="1414"/>
        <w:jc w:val="both"/>
        <w:rPr>
          <w:rFonts w:cs="Arial"/>
          <w:bCs w:val="0"/>
          <w:sz w:val="20"/>
          <w:szCs w:val="20"/>
          <w:lang w:eastAsia="en-GB"/>
        </w:rPr>
      </w:pPr>
    </w:p>
    <w:p w14:paraId="78E8B4DD" w14:textId="77777777" w:rsidR="00977693" w:rsidRPr="00CE0885" w:rsidRDefault="00977693" w:rsidP="00202DD3">
      <w:pPr>
        <w:pStyle w:val="Heading2"/>
        <w:rPr>
          <w:lang w:eastAsia="en-GB"/>
        </w:rPr>
      </w:pPr>
      <w:bookmarkStart w:id="796" w:name="_Toc440981925"/>
      <w:bookmarkStart w:id="797" w:name="_Toc95743457"/>
      <w:r w:rsidRPr="00CE0885">
        <w:rPr>
          <w:lang w:eastAsia="en-GB"/>
        </w:rPr>
        <w:t>Open and Closed Lists</w:t>
      </w:r>
      <w:bookmarkEnd w:id="796"/>
      <w:bookmarkEnd w:id="797"/>
    </w:p>
    <w:p w14:paraId="126F7634" w14:textId="4D94E0AA" w:rsidR="00977693" w:rsidRPr="00CE0885" w:rsidRDefault="00977693" w:rsidP="00980A75">
      <w:pPr>
        <w:pStyle w:val="Heading3"/>
        <w:rPr>
          <w:lang w:eastAsia="en-GB"/>
        </w:rPr>
      </w:pPr>
      <w:bookmarkStart w:id="798" w:name="_Toc440981926"/>
      <w:r w:rsidRPr="00CE0885">
        <w:rPr>
          <w:spacing w:val="2"/>
          <w:lang w:eastAsia="en-GB"/>
        </w:rPr>
        <w:t>T</w:t>
      </w:r>
      <w:r w:rsidRPr="00CE0885">
        <w:rPr>
          <w:spacing w:val="-1"/>
          <w:lang w:eastAsia="en-GB"/>
        </w:rPr>
        <w:t>h</w:t>
      </w:r>
      <w:r w:rsidRPr="00CE0885">
        <w:rPr>
          <w:spacing w:val="1"/>
          <w:lang w:eastAsia="en-GB"/>
        </w:rPr>
        <w:t>e</w:t>
      </w:r>
      <w:r w:rsidRPr="00CE0885">
        <w:rPr>
          <w:spacing w:val="-1"/>
          <w:lang w:eastAsia="en-GB"/>
        </w:rPr>
        <w:t>r</w:t>
      </w:r>
      <w:r w:rsidRPr="00CE0885">
        <w:rPr>
          <w:lang w:eastAsia="en-GB"/>
        </w:rPr>
        <w:t>e</w:t>
      </w:r>
      <w:r w:rsidRPr="00CE0885">
        <w:rPr>
          <w:spacing w:val="-4"/>
          <w:lang w:eastAsia="en-GB"/>
        </w:rPr>
        <w:t xml:space="preserve"> </w:t>
      </w:r>
      <w:r w:rsidRPr="00CE0885">
        <w:rPr>
          <w:spacing w:val="1"/>
          <w:lang w:eastAsia="en-GB"/>
        </w:rPr>
        <w:t>a</w:t>
      </w:r>
      <w:r w:rsidRPr="00CE0885">
        <w:rPr>
          <w:spacing w:val="-1"/>
          <w:lang w:eastAsia="en-GB"/>
        </w:rPr>
        <w:t>r</w:t>
      </w:r>
      <w:r w:rsidRPr="00CE0885">
        <w:rPr>
          <w:lang w:eastAsia="en-GB"/>
        </w:rPr>
        <w:t>e</w:t>
      </w:r>
      <w:r w:rsidRPr="00CE0885">
        <w:rPr>
          <w:spacing w:val="-4"/>
          <w:lang w:eastAsia="en-GB"/>
        </w:rPr>
        <w:t xml:space="preserve"> </w:t>
      </w:r>
      <w:r w:rsidRPr="00CE0885">
        <w:rPr>
          <w:lang w:eastAsia="en-GB"/>
        </w:rPr>
        <w:t>ci</w:t>
      </w:r>
      <w:r w:rsidRPr="00CE0885">
        <w:rPr>
          <w:spacing w:val="-1"/>
          <w:lang w:eastAsia="en-GB"/>
        </w:rPr>
        <w:t>r</w:t>
      </w:r>
      <w:r w:rsidRPr="00CE0885">
        <w:rPr>
          <w:lang w:eastAsia="en-GB"/>
        </w:rPr>
        <w:t>c</w:t>
      </w:r>
      <w:r w:rsidRPr="00CE0885">
        <w:rPr>
          <w:spacing w:val="1"/>
          <w:lang w:eastAsia="en-GB"/>
        </w:rPr>
        <w:t>u</w:t>
      </w:r>
      <w:r w:rsidRPr="00CE0885">
        <w:rPr>
          <w:spacing w:val="2"/>
          <w:lang w:eastAsia="en-GB"/>
        </w:rPr>
        <w:t>m</w:t>
      </w:r>
      <w:r w:rsidRPr="00CE0885">
        <w:rPr>
          <w:lang w:eastAsia="en-GB"/>
        </w:rPr>
        <w:t>s</w:t>
      </w:r>
      <w:r w:rsidRPr="00CE0885">
        <w:rPr>
          <w:spacing w:val="-2"/>
          <w:lang w:eastAsia="en-GB"/>
        </w:rPr>
        <w:t>t</w:t>
      </w:r>
      <w:r w:rsidRPr="00CE0885">
        <w:rPr>
          <w:spacing w:val="1"/>
          <w:lang w:eastAsia="en-GB"/>
        </w:rPr>
        <w:t>an</w:t>
      </w:r>
      <w:r w:rsidRPr="00CE0885">
        <w:rPr>
          <w:spacing w:val="-2"/>
          <w:lang w:eastAsia="en-GB"/>
        </w:rPr>
        <w:t>c</w:t>
      </w:r>
      <w:r w:rsidRPr="00CE0885">
        <w:rPr>
          <w:spacing w:val="1"/>
          <w:lang w:eastAsia="en-GB"/>
        </w:rPr>
        <w:t>e</w:t>
      </w:r>
      <w:r w:rsidRPr="00CE0885">
        <w:rPr>
          <w:lang w:eastAsia="en-GB"/>
        </w:rPr>
        <w:t>s</w:t>
      </w:r>
      <w:r w:rsidRPr="00CE0885">
        <w:rPr>
          <w:spacing w:val="-15"/>
          <w:lang w:eastAsia="en-GB"/>
        </w:rPr>
        <w:t xml:space="preserve"> </w:t>
      </w:r>
      <w:r w:rsidRPr="00CE0885">
        <w:rPr>
          <w:spacing w:val="-3"/>
          <w:lang w:eastAsia="en-GB"/>
        </w:rPr>
        <w:t>w</w:t>
      </w:r>
      <w:r w:rsidRPr="00CE0885">
        <w:rPr>
          <w:spacing w:val="1"/>
          <w:lang w:eastAsia="en-GB"/>
        </w:rPr>
        <w:t>he</w:t>
      </w:r>
      <w:r w:rsidRPr="00CE0885">
        <w:rPr>
          <w:spacing w:val="-1"/>
          <w:lang w:eastAsia="en-GB"/>
        </w:rPr>
        <w:t>r</w:t>
      </w:r>
      <w:r w:rsidRPr="00CE0885">
        <w:rPr>
          <w:lang w:eastAsia="en-GB"/>
        </w:rPr>
        <w:t>e</w:t>
      </w:r>
      <w:r w:rsidRPr="00CE0885">
        <w:rPr>
          <w:spacing w:val="-5"/>
          <w:lang w:eastAsia="en-GB"/>
        </w:rPr>
        <w:t xml:space="preserve"> </w:t>
      </w:r>
      <w:r w:rsidRPr="00CE0885">
        <w:rPr>
          <w:lang w:eastAsia="en-GB"/>
        </w:rPr>
        <w:t>a</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o</w:t>
      </w:r>
      <w:r w:rsidRPr="00CE0885">
        <w:rPr>
          <w:lang w:eastAsia="en-GB"/>
        </w:rPr>
        <w:t>r</w:t>
      </w:r>
      <w:r w:rsidRPr="00CE0885">
        <w:rPr>
          <w:spacing w:val="-14"/>
          <w:lang w:eastAsia="en-GB"/>
        </w:rPr>
        <w:t xml:space="preserve"> </w:t>
      </w:r>
      <w:r w:rsidRPr="00CE0885">
        <w:rPr>
          <w:spacing w:val="2"/>
          <w:lang w:eastAsia="en-GB"/>
        </w:rPr>
        <w:t>m</w:t>
      </w:r>
      <w:r w:rsidRPr="00CE0885">
        <w:rPr>
          <w:spacing w:val="1"/>
          <w:lang w:eastAsia="en-GB"/>
        </w:rPr>
        <w:t>a</w:t>
      </w:r>
      <w:r w:rsidRPr="00CE0885">
        <w:rPr>
          <w:lang w:eastAsia="en-GB"/>
        </w:rPr>
        <w:t>y</w:t>
      </w:r>
      <w:r w:rsidRPr="00CE0885">
        <w:rPr>
          <w:spacing w:val="-7"/>
          <w:lang w:eastAsia="en-GB"/>
        </w:rPr>
        <w:t xml:space="preserve"> </w:t>
      </w:r>
      <w:r w:rsidRPr="00CE0885">
        <w:rPr>
          <w:spacing w:val="-3"/>
          <w:lang w:eastAsia="en-GB"/>
        </w:rPr>
        <w:t>w</w:t>
      </w:r>
      <w:r w:rsidRPr="00CE0885">
        <w:rPr>
          <w:lang w:eastAsia="en-GB"/>
        </w:rPr>
        <w:t>ish</w:t>
      </w:r>
      <w:r w:rsidRPr="00CE0885">
        <w:rPr>
          <w:spacing w:val="-3"/>
          <w:lang w:eastAsia="en-GB"/>
        </w:rPr>
        <w:t xml:space="preserve"> </w:t>
      </w:r>
      <w:r w:rsidRPr="00CE0885">
        <w:rPr>
          <w:spacing w:val="1"/>
          <w:lang w:eastAsia="en-GB"/>
        </w:rPr>
        <w:t>t</w:t>
      </w:r>
      <w:r w:rsidRPr="00CE0885">
        <w:rPr>
          <w:lang w:eastAsia="en-GB"/>
        </w:rPr>
        <w:t>o cl</w:t>
      </w:r>
      <w:r w:rsidRPr="00CE0885">
        <w:rPr>
          <w:spacing w:val="1"/>
          <w:lang w:eastAsia="en-GB"/>
        </w:rPr>
        <w:t>o</w:t>
      </w:r>
      <w:r w:rsidRPr="00CE0885">
        <w:rPr>
          <w:lang w:eastAsia="en-GB"/>
        </w:rPr>
        <w:t>se</w:t>
      </w:r>
      <w:r w:rsidRPr="00CE0885">
        <w:rPr>
          <w:spacing w:val="-4"/>
          <w:lang w:eastAsia="en-GB"/>
        </w:rPr>
        <w:t xml:space="preserve"> </w:t>
      </w:r>
      <w:r w:rsidRPr="00CE0885">
        <w:rPr>
          <w:spacing w:val="-2"/>
          <w:lang w:eastAsia="en-GB"/>
        </w:rPr>
        <w:t>t</w:t>
      </w:r>
      <w:r w:rsidRPr="00CE0885">
        <w:rPr>
          <w:spacing w:val="1"/>
          <w:lang w:eastAsia="en-GB"/>
        </w:rPr>
        <w:t>he</w:t>
      </w:r>
      <w:r w:rsidRPr="00CE0885">
        <w:rPr>
          <w:lang w:eastAsia="en-GB"/>
        </w:rPr>
        <w:t>ir</w:t>
      </w:r>
      <w:r w:rsidRPr="00CE0885">
        <w:rPr>
          <w:spacing w:val="-5"/>
          <w:lang w:eastAsia="en-GB"/>
        </w:rPr>
        <w:t xml:space="preserve"> </w:t>
      </w:r>
      <w:r w:rsidRPr="00CE0885">
        <w:rPr>
          <w:lang w:eastAsia="en-GB"/>
        </w:rPr>
        <w:t xml:space="preserve">list </w:t>
      </w:r>
      <w:r w:rsidRPr="00CE0885">
        <w:rPr>
          <w:spacing w:val="1"/>
          <w:lang w:eastAsia="en-GB"/>
        </w:rPr>
        <w:t>t</w:t>
      </w:r>
      <w:r w:rsidRPr="00CE0885">
        <w:rPr>
          <w:lang w:eastAsia="en-GB"/>
        </w:rPr>
        <w:t xml:space="preserve">o </w:t>
      </w:r>
      <w:r w:rsidRPr="00CE0885">
        <w:rPr>
          <w:spacing w:val="-1"/>
          <w:lang w:eastAsia="en-GB"/>
        </w:rPr>
        <w:t>n</w:t>
      </w:r>
      <w:r w:rsidRPr="00CE0885">
        <w:rPr>
          <w:spacing w:val="1"/>
          <w:lang w:eastAsia="en-GB"/>
        </w:rPr>
        <w:t>e</w:t>
      </w:r>
      <w:r w:rsidRPr="00CE0885">
        <w:rPr>
          <w:lang w:eastAsia="en-GB"/>
        </w:rPr>
        <w:t>w</w:t>
      </w:r>
      <w:r w:rsidRPr="00CE0885">
        <w:rPr>
          <w:spacing w:val="-6"/>
          <w:lang w:eastAsia="en-GB"/>
        </w:rPr>
        <w:t xml:space="preserve"> </w:t>
      </w:r>
      <w:r w:rsidRPr="00CE0885">
        <w:rPr>
          <w:spacing w:val="-1"/>
          <w:lang w:eastAsia="en-GB"/>
        </w:rPr>
        <w:t>r</w:t>
      </w:r>
      <w:r w:rsidRPr="00CE0885">
        <w:rPr>
          <w:spacing w:val="1"/>
          <w:lang w:eastAsia="en-GB"/>
        </w:rPr>
        <w:t>e</w:t>
      </w:r>
      <w:r w:rsidRPr="00CE0885">
        <w:rPr>
          <w:spacing w:val="-1"/>
          <w:lang w:eastAsia="en-GB"/>
        </w:rPr>
        <w:t>g</w:t>
      </w:r>
      <w:r w:rsidRPr="00CE0885">
        <w:rPr>
          <w:lang w:eastAsia="en-GB"/>
        </w:rPr>
        <w:t>is</w:t>
      </w:r>
      <w:r w:rsidRPr="00CE0885">
        <w:rPr>
          <w:spacing w:val="1"/>
          <w:lang w:eastAsia="en-GB"/>
        </w:rPr>
        <w:t>t</w:t>
      </w:r>
      <w:r w:rsidRPr="00CE0885">
        <w:rPr>
          <w:spacing w:val="-1"/>
          <w:lang w:eastAsia="en-GB"/>
        </w:rPr>
        <w:t>r</w:t>
      </w:r>
      <w:r w:rsidRPr="00CE0885">
        <w:rPr>
          <w:spacing w:val="1"/>
          <w:lang w:eastAsia="en-GB"/>
        </w:rPr>
        <w:t>at</w:t>
      </w:r>
      <w:r w:rsidRPr="00CE0885">
        <w:rPr>
          <w:lang w:eastAsia="en-GB"/>
        </w:rPr>
        <w:t>i</w:t>
      </w:r>
      <w:r w:rsidRPr="00CE0885">
        <w:rPr>
          <w:spacing w:val="1"/>
          <w:lang w:eastAsia="en-GB"/>
        </w:rPr>
        <w:t>on</w:t>
      </w:r>
      <w:r w:rsidRPr="00CE0885">
        <w:rPr>
          <w:lang w:eastAsia="en-GB"/>
        </w:rPr>
        <w:t>s,</w:t>
      </w:r>
      <w:r w:rsidRPr="00CE0885">
        <w:rPr>
          <w:spacing w:val="-13"/>
          <w:lang w:eastAsia="en-GB"/>
        </w:rPr>
        <w:t xml:space="preserve"> </w:t>
      </w:r>
      <w:r w:rsidRPr="00CE0885">
        <w:rPr>
          <w:spacing w:val="1"/>
          <w:lang w:eastAsia="en-GB"/>
        </w:rPr>
        <w:t>e</w:t>
      </w:r>
      <w:r w:rsidRPr="00CE0885">
        <w:rPr>
          <w:lang w:eastAsia="en-GB"/>
        </w:rPr>
        <w:t>.g.</w:t>
      </w:r>
      <w:r w:rsidRPr="00CE0885">
        <w:rPr>
          <w:spacing w:val="-4"/>
          <w:lang w:eastAsia="en-GB"/>
        </w:rPr>
        <w:t xml:space="preserve"> </w:t>
      </w:r>
      <w:r w:rsidRPr="00CE0885">
        <w:rPr>
          <w:lang w:eastAsia="en-GB"/>
        </w:rPr>
        <w:t>i</w:t>
      </w:r>
      <w:r w:rsidRPr="00CE0885">
        <w:rPr>
          <w:spacing w:val="1"/>
          <w:lang w:eastAsia="en-GB"/>
        </w:rPr>
        <w:t>nte</w:t>
      </w:r>
      <w:r w:rsidRPr="00CE0885">
        <w:rPr>
          <w:spacing w:val="-1"/>
          <w:lang w:eastAsia="en-GB"/>
        </w:rPr>
        <w:t>r</w:t>
      </w:r>
      <w:r w:rsidRPr="00CE0885">
        <w:rPr>
          <w:spacing w:val="1"/>
          <w:lang w:eastAsia="en-GB"/>
        </w:rPr>
        <w:t>na</w:t>
      </w:r>
      <w:r w:rsidRPr="00CE0885">
        <w:rPr>
          <w:lang w:eastAsia="en-GB"/>
        </w:rPr>
        <w:t>l</w:t>
      </w:r>
      <w:r w:rsidRPr="00CE0885">
        <w:rPr>
          <w:spacing w:val="-8"/>
          <w:lang w:eastAsia="en-GB"/>
        </w:rPr>
        <w:t xml:space="preserve"> </w:t>
      </w:r>
      <w:r w:rsidRPr="00CE0885">
        <w:rPr>
          <w:spacing w:val="-2"/>
          <w:lang w:eastAsia="en-GB"/>
        </w:rPr>
        <w:t>c</w:t>
      </w:r>
      <w:r w:rsidRPr="00CE0885">
        <w:rPr>
          <w:spacing w:val="1"/>
          <w:lang w:eastAsia="en-GB"/>
        </w:rPr>
        <w:t>a</w:t>
      </w:r>
      <w:r w:rsidRPr="00CE0885">
        <w:rPr>
          <w:spacing w:val="-1"/>
          <w:lang w:eastAsia="en-GB"/>
        </w:rPr>
        <w:t>p</w:t>
      </w:r>
      <w:r w:rsidRPr="00CE0885">
        <w:rPr>
          <w:spacing w:val="1"/>
          <w:lang w:eastAsia="en-GB"/>
        </w:rPr>
        <w:t>a</w:t>
      </w:r>
      <w:r w:rsidRPr="00CE0885">
        <w:rPr>
          <w:lang w:eastAsia="en-GB"/>
        </w:rPr>
        <w:t>ci</w:t>
      </w:r>
      <w:r w:rsidRPr="00CE0885">
        <w:rPr>
          <w:spacing w:val="1"/>
          <w:lang w:eastAsia="en-GB"/>
        </w:rPr>
        <w:t>t</w:t>
      </w:r>
      <w:r w:rsidRPr="00CE0885">
        <w:rPr>
          <w:lang w:eastAsia="en-GB"/>
        </w:rPr>
        <w:t>y</w:t>
      </w:r>
      <w:r w:rsidRPr="00CE0885">
        <w:rPr>
          <w:spacing w:val="-11"/>
          <w:lang w:eastAsia="en-GB"/>
        </w:rPr>
        <w:t xml:space="preserve"> </w:t>
      </w:r>
      <w:r w:rsidRPr="00CE0885">
        <w:rPr>
          <w:lang w:eastAsia="en-GB"/>
        </w:rPr>
        <w:t>iss</w:t>
      </w:r>
      <w:r w:rsidRPr="00CE0885">
        <w:rPr>
          <w:spacing w:val="1"/>
          <w:lang w:eastAsia="en-GB"/>
        </w:rPr>
        <w:t>ue</w:t>
      </w:r>
      <w:r w:rsidRPr="00CE0885">
        <w:rPr>
          <w:lang w:eastAsia="en-GB"/>
        </w:rPr>
        <w:t>s</w:t>
      </w:r>
      <w:r w:rsidRPr="00CE0885">
        <w:rPr>
          <w:spacing w:val="-7"/>
          <w:lang w:eastAsia="en-GB"/>
        </w:rPr>
        <w:t xml:space="preserve"> </w:t>
      </w:r>
      <w:r w:rsidRPr="00CE0885">
        <w:rPr>
          <w:spacing w:val="1"/>
          <w:lang w:eastAsia="en-GB"/>
        </w:rPr>
        <w:t>o</w:t>
      </w:r>
      <w:r w:rsidRPr="00CE0885">
        <w:rPr>
          <w:lang w:eastAsia="en-GB"/>
        </w:rPr>
        <w:t>r</w:t>
      </w:r>
      <w:r w:rsidRPr="00CE0885">
        <w:rPr>
          <w:spacing w:val="-2"/>
          <w:lang w:eastAsia="en-GB"/>
        </w:rPr>
        <w:t xml:space="preserve"> </w:t>
      </w:r>
      <w:r w:rsidRPr="00CE0885">
        <w:rPr>
          <w:spacing w:val="1"/>
          <w:lang w:eastAsia="en-GB"/>
        </w:rPr>
        <w:t>p</w:t>
      </w:r>
      <w:r w:rsidRPr="00CE0885">
        <w:rPr>
          <w:spacing w:val="-1"/>
          <w:lang w:eastAsia="en-GB"/>
        </w:rPr>
        <w:t>re</w:t>
      </w:r>
      <w:r w:rsidRPr="00CE0885">
        <w:rPr>
          <w:spacing w:val="2"/>
          <w:lang w:eastAsia="en-GB"/>
        </w:rPr>
        <w:t>m</w:t>
      </w:r>
      <w:r w:rsidRPr="00CE0885">
        <w:rPr>
          <w:lang w:eastAsia="en-GB"/>
        </w:rPr>
        <w:t>is</w:t>
      </w:r>
      <w:r w:rsidRPr="00CE0885">
        <w:rPr>
          <w:spacing w:val="1"/>
          <w:lang w:eastAsia="en-GB"/>
        </w:rPr>
        <w:t>e</w:t>
      </w:r>
      <w:r w:rsidRPr="00CE0885">
        <w:rPr>
          <w:lang w:eastAsia="en-GB"/>
        </w:rPr>
        <w:t xml:space="preserve">s </w:t>
      </w:r>
      <w:r w:rsidRPr="00CE0885">
        <w:rPr>
          <w:spacing w:val="-1"/>
          <w:lang w:eastAsia="en-GB"/>
        </w:rPr>
        <w:t>r</w:t>
      </w:r>
      <w:r w:rsidRPr="00CE0885">
        <w:rPr>
          <w:spacing w:val="1"/>
          <w:lang w:eastAsia="en-GB"/>
        </w:rPr>
        <w:t>efu</w:t>
      </w:r>
      <w:r w:rsidRPr="00CE0885">
        <w:rPr>
          <w:spacing w:val="-1"/>
          <w:lang w:eastAsia="en-GB"/>
        </w:rPr>
        <w:t>r</w:t>
      </w:r>
      <w:r w:rsidRPr="00CE0885">
        <w:rPr>
          <w:spacing w:val="1"/>
          <w:lang w:eastAsia="en-GB"/>
        </w:rPr>
        <w:t>b</w:t>
      </w:r>
      <w:r w:rsidRPr="00CE0885">
        <w:rPr>
          <w:lang w:eastAsia="en-GB"/>
        </w:rPr>
        <w:t>is</w:t>
      </w:r>
      <w:r w:rsidRPr="00CE0885">
        <w:rPr>
          <w:spacing w:val="-1"/>
          <w:lang w:eastAsia="en-GB"/>
        </w:rPr>
        <w:t>h</w:t>
      </w:r>
      <w:r w:rsidRPr="00CE0885">
        <w:rPr>
          <w:spacing w:val="2"/>
          <w:lang w:eastAsia="en-GB"/>
        </w:rPr>
        <w:t>m</w:t>
      </w:r>
      <w:r w:rsidRPr="00CE0885">
        <w:rPr>
          <w:spacing w:val="1"/>
          <w:lang w:eastAsia="en-GB"/>
        </w:rPr>
        <w:t>e</w:t>
      </w:r>
      <w:r w:rsidRPr="00CE0885">
        <w:rPr>
          <w:spacing w:val="-1"/>
          <w:lang w:eastAsia="en-GB"/>
        </w:rPr>
        <w:t>n</w:t>
      </w:r>
      <w:r w:rsidRPr="00CE0885">
        <w:rPr>
          <w:spacing w:val="1"/>
          <w:lang w:eastAsia="en-GB"/>
        </w:rPr>
        <w:t>t</w:t>
      </w:r>
      <w:r w:rsidRPr="00CE0885">
        <w:rPr>
          <w:lang w:eastAsia="en-GB"/>
        </w:rPr>
        <w:t>s.</w:t>
      </w:r>
      <w:r w:rsidRPr="00CE0885">
        <w:rPr>
          <w:spacing w:val="-18"/>
          <w:lang w:eastAsia="en-GB"/>
        </w:rPr>
        <w:t xml:space="preserve"> </w:t>
      </w:r>
      <w:r w:rsidRPr="00CE0885">
        <w:rPr>
          <w:lang w:eastAsia="en-GB"/>
        </w:rPr>
        <w:t>A</w:t>
      </w:r>
      <w:r w:rsidRPr="00CE0885">
        <w:rPr>
          <w:spacing w:val="-1"/>
          <w:lang w:eastAsia="en-GB"/>
        </w:rPr>
        <w:t xml:space="preserve"> </w:t>
      </w:r>
      <w:r w:rsidRPr="00CE0885">
        <w:rPr>
          <w:lang w:eastAsia="en-GB"/>
        </w:rPr>
        <w:t>c</w:t>
      </w:r>
      <w:r w:rsidRPr="00CE0885">
        <w:rPr>
          <w:spacing w:val="1"/>
          <w:lang w:eastAsia="en-GB"/>
        </w:rPr>
        <w:t>ont</w:t>
      </w:r>
      <w:r w:rsidRPr="00CE0885">
        <w:rPr>
          <w:spacing w:val="-3"/>
          <w:lang w:eastAsia="en-GB"/>
        </w:rPr>
        <w:t>r</w:t>
      </w:r>
      <w:r w:rsidRPr="00CE0885">
        <w:rPr>
          <w:spacing w:val="1"/>
          <w:lang w:eastAsia="en-GB"/>
        </w:rPr>
        <w:t>a</w:t>
      </w:r>
      <w:r w:rsidRPr="00CE0885">
        <w:rPr>
          <w:lang w:eastAsia="en-GB"/>
        </w:rPr>
        <w:t>c</w:t>
      </w:r>
      <w:r w:rsidRPr="00CE0885">
        <w:rPr>
          <w:spacing w:val="1"/>
          <w:lang w:eastAsia="en-GB"/>
        </w:rPr>
        <w:t>to</w:t>
      </w:r>
      <w:r w:rsidRPr="00CE0885">
        <w:rPr>
          <w:lang w:eastAsia="en-GB"/>
        </w:rPr>
        <w:t>r</w:t>
      </w:r>
      <w:r w:rsidRPr="00CE0885">
        <w:rPr>
          <w:spacing w:val="-14"/>
          <w:lang w:eastAsia="en-GB"/>
        </w:rPr>
        <w:t xml:space="preserve"> </w:t>
      </w:r>
      <w:r w:rsidRPr="00CE0885">
        <w:rPr>
          <w:spacing w:val="2"/>
          <w:lang w:eastAsia="en-GB"/>
        </w:rPr>
        <w:t>m</w:t>
      </w:r>
      <w:r w:rsidRPr="00CE0885">
        <w:rPr>
          <w:spacing w:val="1"/>
          <w:lang w:eastAsia="en-GB"/>
        </w:rPr>
        <w:t>a</w:t>
      </w:r>
      <w:r w:rsidRPr="00CE0885">
        <w:rPr>
          <w:lang w:eastAsia="en-GB"/>
        </w:rPr>
        <w:t>y</w:t>
      </w:r>
      <w:r w:rsidRPr="00CE0885">
        <w:rPr>
          <w:spacing w:val="-7"/>
          <w:lang w:eastAsia="en-GB"/>
        </w:rPr>
        <w:t xml:space="preserve"> </w:t>
      </w:r>
      <w:r w:rsidRPr="00CE0885">
        <w:rPr>
          <w:spacing w:val="1"/>
          <w:lang w:eastAsia="en-GB"/>
        </w:rPr>
        <w:t>a</w:t>
      </w:r>
      <w:r w:rsidRPr="00CE0885">
        <w:rPr>
          <w:lang w:eastAsia="en-GB"/>
        </w:rPr>
        <w:t>lso</w:t>
      </w:r>
      <w:r w:rsidRPr="00CE0885">
        <w:rPr>
          <w:spacing w:val="-5"/>
          <w:lang w:eastAsia="en-GB"/>
        </w:rPr>
        <w:t xml:space="preserve"> </w:t>
      </w:r>
      <w:r w:rsidRPr="00CE0885">
        <w:rPr>
          <w:lang w:eastAsia="en-GB"/>
        </w:rPr>
        <w:t>s</w:t>
      </w:r>
      <w:r w:rsidRPr="00CE0885">
        <w:rPr>
          <w:spacing w:val="1"/>
          <w:lang w:eastAsia="en-GB"/>
        </w:rPr>
        <w:t>ee</w:t>
      </w:r>
      <w:r w:rsidRPr="00CE0885">
        <w:rPr>
          <w:lang w:eastAsia="en-GB"/>
        </w:rPr>
        <w:t>k</w:t>
      </w:r>
      <w:r w:rsidRPr="00CE0885">
        <w:rPr>
          <w:spacing w:val="-5"/>
          <w:lang w:eastAsia="en-GB"/>
        </w:rPr>
        <w:t xml:space="preserve"> </w:t>
      </w:r>
      <w:r w:rsidRPr="00CE0885">
        <w:rPr>
          <w:spacing w:val="-2"/>
          <w:lang w:eastAsia="en-GB"/>
        </w:rPr>
        <w:t>t</w:t>
      </w:r>
      <w:r w:rsidRPr="00CE0885">
        <w:rPr>
          <w:lang w:eastAsia="en-GB"/>
        </w:rPr>
        <w:t xml:space="preserve">o </w:t>
      </w:r>
      <w:r w:rsidRPr="00CE0885">
        <w:rPr>
          <w:spacing w:val="1"/>
          <w:lang w:eastAsia="en-GB"/>
        </w:rPr>
        <w:t>e</w:t>
      </w:r>
      <w:r w:rsidRPr="00CE0885">
        <w:rPr>
          <w:spacing w:val="-2"/>
          <w:lang w:eastAsia="en-GB"/>
        </w:rPr>
        <w:t>x</w:t>
      </w:r>
      <w:r w:rsidRPr="00CE0885">
        <w:rPr>
          <w:spacing w:val="1"/>
          <w:lang w:eastAsia="en-GB"/>
        </w:rPr>
        <w:t>te</w:t>
      </w:r>
      <w:r w:rsidRPr="00CE0885">
        <w:rPr>
          <w:spacing w:val="-1"/>
          <w:lang w:eastAsia="en-GB"/>
        </w:rPr>
        <w:t>n</w:t>
      </w:r>
      <w:r w:rsidRPr="00CE0885">
        <w:rPr>
          <w:lang w:eastAsia="en-GB"/>
        </w:rPr>
        <w:t>d</w:t>
      </w:r>
      <w:r w:rsidRPr="00CE0885">
        <w:rPr>
          <w:spacing w:val="-5"/>
          <w:lang w:eastAsia="en-GB"/>
        </w:rPr>
        <w:t xml:space="preserve"> </w:t>
      </w:r>
      <w:r w:rsidRPr="00CE0885">
        <w:rPr>
          <w:lang w:eastAsia="en-GB"/>
        </w:rPr>
        <w:t>a</w:t>
      </w:r>
      <w:r w:rsidRPr="00CE0885">
        <w:rPr>
          <w:spacing w:val="1"/>
          <w:lang w:eastAsia="en-GB"/>
        </w:rPr>
        <w:t xml:space="preserve"> </w:t>
      </w:r>
      <w:r w:rsidRPr="00CE0885">
        <w:rPr>
          <w:lang w:eastAsia="en-GB"/>
        </w:rPr>
        <w:t>cl</w:t>
      </w:r>
      <w:r w:rsidRPr="00CE0885">
        <w:rPr>
          <w:spacing w:val="1"/>
          <w:lang w:eastAsia="en-GB"/>
        </w:rPr>
        <w:t>o</w:t>
      </w:r>
      <w:r w:rsidRPr="00CE0885">
        <w:rPr>
          <w:spacing w:val="-2"/>
          <w:lang w:eastAsia="en-GB"/>
        </w:rPr>
        <w:t>s</w:t>
      </w:r>
      <w:r w:rsidRPr="00CE0885">
        <w:rPr>
          <w:spacing w:val="-1"/>
          <w:lang w:eastAsia="en-GB"/>
        </w:rPr>
        <w:t>e</w:t>
      </w:r>
      <w:r w:rsidRPr="00CE0885">
        <w:rPr>
          <w:lang w:eastAsia="en-GB"/>
        </w:rPr>
        <w:t>d</w:t>
      </w:r>
      <w:r w:rsidRPr="00CE0885">
        <w:rPr>
          <w:spacing w:val="-5"/>
          <w:lang w:eastAsia="en-GB"/>
        </w:rPr>
        <w:t xml:space="preserve"> </w:t>
      </w:r>
      <w:r w:rsidRPr="00CE0885">
        <w:rPr>
          <w:lang w:eastAsia="en-GB"/>
        </w:rPr>
        <w:t>list</w:t>
      </w:r>
      <w:r w:rsidRPr="00CE0885">
        <w:rPr>
          <w:spacing w:val="-2"/>
          <w:lang w:eastAsia="en-GB"/>
        </w:rPr>
        <w:t xml:space="preserve"> </w:t>
      </w:r>
      <w:r w:rsidRPr="00CE0885">
        <w:rPr>
          <w:spacing w:val="1"/>
          <w:lang w:eastAsia="en-GB"/>
        </w:rPr>
        <w:t>pe</w:t>
      </w:r>
      <w:r w:rsidRPr="00CE0885">
        <w:rPr>
          <w:spacing w:val="-1"/>
          <w:lang w:eastAsia="en-GB"/>
        </w:rPr>
        <w:t>r</w:t>
      </w:r>
      <w:r w:rsidRPr="00CE0885">
        <w:rPr>
          <w:lang w:eastAsia="en-GB"/>
        </w:rPr>
        <w:t>i</w:t>
      </w:r>
      <w:r w:rsidRPr="00CE0885">
        <w:rPr>
          <w:spacing w:val="-1"/>
          <w:lang w:eastAsia="en-GB"/>
        </w:rPr>
        <w:t>o</w:t>
      </w:r>
      <w:r w:rsidRPr="00CE0885">
        <w:rPr>
          <w:lang w:eastAsia="en-GB"/>
        </w:rPr>
        <w:t>d</w:t>
      </w:r>
      <w:r w:rsidRPr="00CE0885">
        <w:rPr>
          <w:spacing w:val="-5"/>
          <w:lang w:eastAsia="en-GB"/>
        </w:rPr>
        <w:t xml:space="preserve"> </w:t>
      </w:r>
      <w:r w:rsidRPr="00CE0885">
        <w:rPr>
          <w:spacing w:val="1"/>
          <w:lang w:eastAsia="en-GB"/>
        </w:rPr>
        <w:t>o</w:t>
      </w:r>
      <w:r w:rsidRPr="00CE0885">
        <w:rPr>
          <w:lang w:eastAsia="en-GB"/>
        </w:rPr>
        <w:t>r</w:t>
      </w:r>
      <w:r w:rsidRPr="00CE0885">
        <w:rPr>
          <w:spacing w:val="-2"/>
          <w:lang w:eastAsia="en-GB"/>
        </w:rPr>
        <w:t xml:space="preserve"> </w:t>
      </w:r>
      <w:r w:rsidRPr="00CE0885">
        <w:rPr>
          <w:spacing w:val="-1"/>
          <w:lang w:eastAsia="en-GB"/>
        </w:rPr>
        <w:t>o</w:t>
      </w:r>
      <w:r w:rsidRPr="00CE0885">
        <w:rPr>
          <w:spacing w:val="1"/>
          <w:lang w:eastAsia="en-GB"/>
        </w:rPr>
        <w:t>p</w:t>
      </w:r>
      <w:r w:rsidRPr="00CE0885">
        <w:rPr>
          <w:spacing w:val="-1"/>
          <w:lang w:eastAsia="en-GB"/>
        </w:rPr>
        <w:t>e</w:t>
      </w:r>
      <w:r w:rsidRPr="00CE0885">
        <w:rPr>
          <w:lang w:eastAsia="en-GB"/>
        </w:rPr>
        <w:t>n</w:t>
      </w:r>
      <w:r w:rsidRPr="00CE0885">
        <w:rPr>
          <w:spacing w:val="-3"/>
          <w:lang w:eastAsia="en-GB"/>
        </w:rPr>
        <w:t xml:space="preserve"> </w:t>
      </w:r>
      <w:r w:rsidRPr="00CE0885">
        <w:rPr>
          <w:spacing w:val="1"/>
          <w:lang w:eastAsia="en-GB"/>
        </w:rPr>
        <w:t>t</w:t>
      </w:r>
      <w:r w:rsidRPr="00CE0885">
        <w:rPr>
          <w:spacing w:val="-1"/>
          <w:lang w:eastAsia="en-GB"/>
        </w:rPr>
        <w:t>h</w:t>
      </w:r>
      <w:r w:rsidRPr="00CE0885">
        <w:rPr>
          <w:spacing w:val="1"/>
          <w:lang w:eastAsia="en-GB"/>
        </w:rPr>
        <w:t>e</w:t>
      </w:r>
      <w:r w:rsidRPr="00CE0885">
        <w:rPr>
          <w:lang w:eastAsia="en-GB"/>
        </w:rPr>
        <w:t>ir list</w:t>
      </w:r>
      <w:r w:rsidRPr="00CE0885">
        <w:rPr>
          <w:spacing w:val="-2"/>
          <w:lang w:eastAsia="en-GB"/>
        </w:rPr>
        <w:t xml:space="preserve"> </w:t>
      </w:r>
      <w:r w:rsidRPr="00CE0885">
        <w:rPr>
          <w:spacing w:val="1"/>
          <w:lang w:eastAsia="en-GB"/>
        </w:rPr>
        <w:t>a</w:t>
      </w:r>
      <w:r w:rsidRPr="00CE0885">
        <w:rPr>
          <w:spacing w:val="-1"/>
          <w:lang w:eastAsia="en-GB"/>
        </w:rPr>
        <w:t>g</w:t>
      </w:r>
      <w:r w:rsidRPr="00CE0885">
        <w:rPr>
          <w:spacing w:val="1"/>
          <w:lang w:eastAsia="en-GB"/>
        </w:rPr>
        <w:t>a</w:t>
      </w:r>
      <w:r w:rsidRPr="00CE0885">
        <w:rPr>
          <w:lang w:eastAsia="en-GB"/>
        </w:rPr>
        <w:t>in</w:t>
      </w:r>
      <w:r w:rsidRPr="00CE0885">
        <w:rPr>
          <w:spacing w:val="-4"/>
          <w:lang w:eastAsia="en-GB"/>
        </w:rPr>
        <w:t xml:space="preserve"> </w:t>
      </w:r>
      <w:r w:rsidRPr="00CE0885">
        <w:rPr>
          <w:spacing w:val="1"/>
          <w:lang w:eastAsia="en-GB"/>
        </w:rPr>
        <w:t>b</w:t>
      </w:r>
      <w:r w:rsidRPr="00CE0885">
        <w:rPr>
          <w:spacing w:val="-1"/>
          <w:lang w:eastAsia="en-GB"/>
        </w:rPr>
        <w:t>e</w:t>
      </w:r>
      <w:r w:rsidRPr="00CE0885">
        <w:rPr>
          <w:spacing w:val="1"/>
          <w:lang w:eastAsia="en-GB"/>
        </w:rPr>
        <w:t>fo</w:t>
      </w:r>
      <w:r w:rsidRPr="00CE0885">
        <w:rPr>
          <w:spacing w:val="-1"/>
          <w:lang w:eastAsia="en-GB"/>
        </w:rPr>
        <w:t>r</w:t>
      </w:r>
      <w:r w:rsidRPr="00CE0885">
        <w:rPr>
          <w:lang w:eastAsia="en-GB"/>
        </w:rPr>
        <w:t>e</w:t>
      </w:r>
      <w:r w:rsidRPr="00CE0885">
        <w:rPr>
          <w:spacing w:val="-5"/>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spacing w:val="1"/>
          <w:lang w:eastAsia="en-GB"/>
        </w:rPr>
        <w:t>e</w:t>
      </w:r>
      <w:r w:rsidRPr="00CE0885">
        <w:rPr>
          <w:spacing w:val="-1"/>
          <w:lang w:eastAsia="en-GB"/>
        </w:rPr>
        <w:t>n</w:t>
      </w:r>
      <w:r w:rsidRPr="00CE0885">
        <w:rPr>
          <w:lang w:eastAsia="en-GB"/>
        </w:rPr>
        <w:t>d</w:t>
      </w:r>
      <w:r w:rsidRPr="00CE0885">
        <w:rPr>
          <w:spacing w:val="-2"/>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a</w:t>
      </w:r>
      <w:r w:rsidRPr="00CE0885">
        <w:rPr>
          <w:lang w:eastAsia="en-GB"/>
        </w:rPr>
        <w:t>n</w:t>
      </w:r>
      <w:r w:rsidRPr="00CE0885">
        <w:rPr>
          <w:spacing w:val="-4"/>
          <w:lang w:eastAsia="en-GB"/>
        </w:rPr>
        <w:t xml:space="preserve"> </w:t>
      </w:r>
      <w:r w:rsidRPr="00CE0885">
        <w:rPr>
          <w:spacing w:val="1"/>
          <w:lang w:eastAsia="en-GB"/>
        </w:rPr>
        <w:t>a</w:t>
      </w:r>
      <w:r w:rsidRPr="00CE0885">
        <w:rPr>
          <w:spacing w:val="-1"/>
          <w:lang w:eastAsia="en-GB"/>
        </w:rPr>
        <w:t>gr</w:t>
      </w:r>
      <w:r w:rsidRPr="00CE0885">
        <w:rPr>
          <w:spacing w:val="1"/>
          <w:lang w:eastAsia="en-GB"/>
        </w:rPr>
        <w:t>ee</w:t>
      </w:r>
      <w:r w:rsidRPr="00CE0885">
        <w:rPr>
          <w:lang w:eastAsia="en-GB"/>
        </w:rPr>
        <w:t>d</w:t>
      </w:r>
      <w:r w:rsidRPr="00CE0885">
        <w:rPr>
          <w:spacing w:val="-8"/>
          <w:lang w:eastAsia="en-GB"/>
        </w:rPr>
        <w:t xml:space="preserve"> </w:t>
      </w:r>
      <w:r w:rsidRPr="00CE0885">
        <w:rPr>
          <w:spacing w:val="1"/>
          <w:lang w:eastAsia="en-GB"/>
        </w:rPr>
        <w:t>pe</w:t>
      </w:r>
      <w:r w:rsidRPr="00CE0885">
        <w:rPr>
          <w:spacing w:val="-1"/>
          <w:lang w:eastAsia="en-GB"/>
        </w:rPr>
        <w:t>r</w:t>
      </w:r>
      <w:r w:rsidRPr="00CE0885">
        <w:rPr>
          <w:lang w:eastAsia="en-GB"/>
        </w:rPr>
        <w:t>i</w:t>
      </w:r>
      <w:r w:rsidRPr="00CE0885">
        <w:rPr>
          <w:spacing w:val="1"/>
          <w:lang w:eastAsia="en-GB"/>
        </w:rPr>
        <w:t>od</w:t>
      </w:r>
      <w:r w:rsidRPr="00CE0885">
        <w:rPr>
          <w:lang w:eastAsia="en-GB"/>
        </w:rPr>
        <w:t>.</w:t>
      </w:r>
      <w:bookmarkEnd w:id="798"/>
      <w:r w:rsidRPr="00CE0885">
        <w:rPr>
          <w:spacing w:val="-11"/>
          <w:lang w:eastAsia="en-GB"/>
        </w:rPr>
        <w:t xml:space="preserve"> </w:t>
      </w:r>
    </w:p>
    <w:p w14:paraId="59165C5D" w14:textId="28F64A64" w:rsidR="00977693" w:rsidRPr="00CE0885" w:rsidRDefault="00977693" w:rsidP="00980A75">
      <w:pPr>
        <w:pStyle w:val="Heading3"/>
        <w:rPr>
          <w:spacing w:val="-6"/>
          <w:lang w:eastAsia="en-GB"/>
        </w:rPr>
      </w:pPr>
      <w:bookmarkStart w:id="799" w:name="_Toc440981927"/>
      <w:r w:rsidRPr="00CE0885">
        <w:rPr>
          <w:lang w:eastAsia="en-GB"/>
        </w:rPr>
        <w:t>F</w:t>
      </w:r>
      <w:r w:rsidRPr="00CE0885">
        <w:rPr>
          <w:spacing w:val="1"/>
          <w:lang w:eastAsia="en-GB"/>
        </w:rPr>
        <w:t>u</w:t>
      </w:r>
      <w:r w:rsidRPr="00CE0885">
        <w:rPr>
          <w:spacing w:val="-1"/>
          <w:lang w:eastAsia="en-GB"/>
        </w:rPr>
        <w:t>r</w:t>
      </w:r>
      <w:r w:rsidRPr="00CE0885">
        <w:rPr>
          <w:spacing w:val="1"/>
          <w:lang w:eastAsia="en-GB"/>
        </w:rPr>
        <w:t>the</w:t>
      </w:r>
      <w:r w:rsidRPr="00CE0885">
        <w:rPr>
          <w:lang w:eastAsia="en-GB"/>
        </w:rPr>
        <w:t>r</w:t>
      </w:r>
      <w:r w:rsidRPr="00CE0885">
        <w:rPr>
          <w:spacing w:val="-8"/>
          <w:lang w:eastAsia="en-GB"/>
        </w:rPr>
        <w:t xml:space="preserve"> </w:t>
      </w:r>
      <w:r w:rsidRPr="00CE0885">
        <w:rPr>
          <w:spacing w:val="-1"/>
          <w:lang w:eastAsia="en-GB"/>
        </w:rPr>
        <w:t>d</w:t>
      </w:r>
      <w:r w:rsidRPr="00CE0885">
        <w:rPr>
          <w:spacing w:val="1"/>
          <w:lang w:eastAsia="en-GB"/>
        </w:rPr>
        <w:t>eta</w:t>
      </w:r>
      <w:r w:rsidRPr="00CE0885">
        <w:rPr>
          <w:lang w:eastAsia="en-GB"/>
        </w:rPr>
        <w:t>ils</w:t>
      </w:r>
      <w:r w:rsidRPr="00CE0885">
        <w:rPr>
          <w:spacing w:val="-7"/>
          <w:lang w:eastAsia="en-GB"/>
        </w:rPr>
        <w:t xml:space="preserve"> </w:t>
      </w:r>
      <w:r w:rsidRPr="00CE0885">
        <w:rPr>
          <w:spacing w:val="-1"/>
          <w:lang w:eastAsia="en-GB"/>
        </w:rPr>
        <w:t>o</w:t>
      </w:r>
      <w:r w:rsidRPr="00CE0885">
        <w:rPr>
          <w:lang w:eastAsia="en-GB"/>
        </w:rPr>
        <w:t>n</w:t>
      </w:r>
      <w:r w:rsidRPr="00CE0885">
        <w:rPr>
          <w:spacing w:val="-1"/>
          <w:lang w:eastAsia="en-GB"/>
        </w:rPr>
        <w:t xml:space="preserve"> h</w:t>
      </w:r>
      <w:r w:rsidRPr="00CE0885">
        <w:rPr>
          <w:spacing w:val="1"/>
          <w:lang w:eastAsia="en-GB"/>
        </w:rPr>
        <w:t>o</w:t>
      </w:r>
      <w:r w:rsidRPr="00CE0885">
        <w:rPr>
          <w:lang w:eastAsia="en-GB"/>
        </w:rPr>
        <w:t>w</w:t>
      </w:r>
      <w:r w:rsidRPr="00CE0885">
        <w:rPr>
          <w:spacing w:val="-6"/>
          <w:lang w:eastAsia="en-GB"/>
        </w:rPr>
        <w:t xml:space="preserve"> </w:t>
      </w:r>
      <w:r w:rsidRPr="00CE0885">
        <w:rPr>
          <w:spacing w:val="1"/>
          <w:lang w:eastAsia="en-GB"/>
        </w:rPr>
        <w:t>t</w:t>
      </w:r>
      <w:r w:rsidRPr="00CE0885">
        <w:rPr>
          <w:lang w:eastAsia="en-GB"/>
        </w:rPr>
        <w:t>o</w:t>
      </w:r>
      <w:r w:rsidRPr="00CE0885">
        <w:rPr>
          <w:spacing w:val="-3"/>
          <w:lang w:eastAsia="en-GB"/>
        </w:rPr>
        <w:t xml:space="preserve"> </w:t>
      </w:r>
      <w:r w:rsidRPr="00CE0885">
        <w:rPr>
          <w:spacing w:val="2"/>
          <w:lang w:eastAsia="en-GB"/>
        </w:rPr>
        <w:t>m</w:t>
      </w:r>
      <w:r w:rsidRPr="00CE0885">
        <w:rPr>
          <w:spacing w:val="1"/>
          <w:lang w:eastAsia="en-GB"/>
        </w:rPr>
        <w:t>a</w:t>
      </w:r>
      <w:r w:rsidRPr="00CE0885">
        <w:rPr>
          <w:spacing w:val="-1"/>
          <w:lang w:eastAsia="en-GB"/>
        </w:rPr>
        <w:t>n</w:t>
      </w:r>
      <w:r w:rsidRPr="00CE0885">
        <w:rPr>
          <w:spacing w:val="1"/>
          <w:lang w:eastAsia="en-GB"/>
        </w:rPr>
        <w:t>a</w:t>
      </w:r>
      <w:r w:rsidRPr="00CE0885">
        <w:rPr>
          <w:spacing w:val="-1"/>
          <w:lang w:eastAsia="en-GB"/>
        </w:rPr>
        <w:t>g</w:t>
      </w:r>
      <w:r w:rsidRPr="00CE0885">
        <w:rPr>
          <w:lang w:eastAsia="en-GB"/>
        </w:rPr>
        <w:t>e</w:t>
      </w:r>
      <w:r w:rsidRPr="00CE0885">
        <w:rPr>
          <w:spacing w:val="-7"/>
          <w:lang w:eastAsia="en-GB"/>
        </w:rPr>
        <w:t xml:space="preserve"> </w:t>
      </w:r>
      <w:r w:rsidRPr="00CE0885">
        <w:rPr>
          <w:lang w:eastAsia="en-GB"/>
        </w:rPr>
        <w:t>patient</w:t>
      </w:r>
      <w:r w:rsidRPr="00CE0885">
        <w:rPr>
          <w:spacing w:val="-5"/>
          <w:lang w:eastAsia="en-GB"/>
        </w:rPr>
        <w:t xml:space="preserve"> </w:t>
      </w:r>
      <w:r w:rsidRPr="00CE0885">
        <w:rPr>
          <w:lang w:eastAsia="en-GB"/>
        </w:rPr>
        <w:t>lists</w:t>
      </w:r>
      <w:r w:rsidRPr="00CE0885">
        <w:rPr>
          <w:spacing w:val="-4"/>
          <w:lang w:eastAsia="en-GB"/>
        </w:rPr>
        <w:t xml:space="preserve"> </w:t>
      </w:r>
      <w:r w:rsidRPr="00CE0885">
        <w:rPr>
          <w:spacing w:val="-1"/>
          <w:lang w:eastAsia="en-GB"/>
        </w:rPr>
        <w:t>ar</w:t>
      </w:r>
      <w:r w:rsidRPr="00CE0885">
        <w:rPr>
          <w:lang w:eastAsia="en-GB"/>
        </w:rPr>
        <w:t>e</w:t>
      </w:r>
      <w:r w:rsidRPr="00CE0885">
        <w:rPr>
          <w:spacing w:val="-1"/>
          <w:lang w:eastAsia="en-GB"/>
        </w:rPr>
        <w:t xml:space="preserve"> </w:t>
      </w:r>
      <w:r w:rsidRPr="00CE0885">
        <w:rPr>
          <w:lang w:eastAsia="en-GB"/>
        </w:rPr>
        <w:t>s</w:t>
      </w:r>
      <w:r w:rsidRPr="00CE0885">
        <w:rPr>
          <w:spacing w:val="1"/>
          <w:lang w:eastAsia="en-GB"/>
        </w:rPr>
        <w:t>e</w:t>
      </w:r>
      <w:r w:rsidRPr="00CE0885">
        <w:rPr>
          <w:lang w:eastAsia="en-GB"/>
        </w:rPr>
        <w:t>t</w:t>
      </w:r>
      <w:r w:rsidRPr="00CE0885">
        <w:rPr>
          <w:spacing w:val="-2"/>
          <w:lang w:eastAsia="en-GB"/>
        </w:rPr>
        <w:t xml:space="preserve"> </w:t>
      </w:r>
      <w:r w:rsidRPr="00CE0885">
        <w:rPr>
          <w:spacing w:val="-1"/>
          <w:lang w:eastAsia="en-GB"/>
        </w:rPr>
        <w:t>o</w:t>
      </w:r>
      <w:r w:rsidRPr="00CE0885">
        <w:rPr>
          <w:spacing w:val="1"/>
          <w:lang w:eastAsia="en-GB"/>
        </w:rPr>
        <w:t>u</w:t>
      </w:r>
      <w:r w:rsidRPr="00CE0885">
        <w:rPr>
          <w:lang w:eastAsia="en-GB"/>
        </w:rPr>
        <w:t>t</w:t>
      </w:r>
      <w:r w:rsidRPr="00CE0885">
        <w:rPr>
          <w:spacing w:val="-2"/>
          <w:lang w:eastAsia="en-GB"/>
        </w:rPr>
        <w:t xml:space="preserve"> </w:t>
      </w:r>
      <w:r w:rsidRPr="00CE0885">
        <w:rPr>
          <w:lang w:eastAsia="en-GB"/>
        </w:rPr>
        <w:t>in</w:t>
      </w:r>
      <w:r w:rsidRPr="00CE0885">
        <w:rPr>
          <w:spacing w:val="-3"/>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00965C81">
        <w:rPr>
          <w:lang w:eastAsia="en-GB"/>
        </w:rPr>
        <w:t>chapter</w:t>
      </w:r>
      <w:r w:rsidR="00965C81" w:rsidRPr="00CE0885">
        <w:rPr>
          <w:spacing w:val="-1"/>
          <w:lang w:eastAsia="en-GB"/>
        </w:rPr>
        <w:t xml:space="preserve"> </w:t>
      </w:r>
      <w:r w:rsidRPr="00CE0885">
        <w:rPr>
          <w:spacing w:val="-1"/>
          <w:lang w:eastAsia="en-GB"/>
        </w:rPr>
        <w:t>on managing patient lists</w:t>
      </w:r>
      <w:r w:rsidRPr="00CE0885">
        <w:rPr>
          <w:spacing w:val="-6"/>
          <w:lang w:eastAsia="en-GB"/>
        </w:rPr>
        <w:t>.</w:t>
      </w:r>
      <w:bookmarkEnd w:id="799"/>
    </w:p>
    <w:p w14:paraId="49E253D2" w14:textId="77777777" w:rsidR="00977693" w:rsidRPr="009055A7" w:rsidRDefault="00977693" w:rsidP="00977693">
      <w:pPr>
        <w:widowControl w:val="0"/>
        <w:spacing w:line="360" w:lineRule="auto"/>
        <w:ind w:left="1414"/>
        <w:jc w:val="both"/>
        <w:rPr>
          <w:rFonts w:cs="Arial"/>
          <w:bCs w:val="0"/>
          <w:sz w:val="20"/>
          <w:szCs w:val="20"/>
          <w:lang w:eastAsia="en-GB"/>
        </w:rPr>
      </w:pPr>
    </w:p>
    <w:p w14:paraId="0AB678AF" w14:textId="77777777" w:rsidR="00977693" w:rsidRPr="00CE0885" w:rsidRDefault="00977693" w:rsidP="00202DD3">
      <w:pPr>
        <w:pStyle w:val="Heading2"/>
        <w:rPr>
          <w:lang w:eastAsia="en-GB"/>
        </w:rPr>
      </w:pPr>
      <w:bookmarkStart w:id="800" w:name="_Toc440981928"/>
      <w:bookmarkStart w:id="801" w:name="_Toc95743458"/>
      <w:r w:rsidRPr="00CE0885">
        <w:rPr>
          <w:lang w:eastAsia="en-GB"/>
        </w:rPr>
        <w:t>Boundary Changes</w:t>
      </w:r>
      <w:bookmarkEnd w:id="800"/>
      <w:bookmarkEnd w:id="801"/>
    </w:p>
    <w:p w14:paraId="15407970" w14:textId="5C2CA38F" w:rsidR="00977693" w:rsidRPr="00CE0885" w:rsidRDefault="00977693" w:rsidP="00980A75">
      <w:pPr>
        <w:pStyle w:val="Heading3"/>
        <w:rPr>
          <w:lang w:eastAsia="en-GB"/>
        </w:rPr>
      </w:pPr>
      <w:bookmarkStart w:id="802" w:name="_Toc440981929"/>
      <w:r w:rsidRPr="00CE0885">
        <w:rPr>
          <w:spacing w:val="2"/>
          <w:lang w:eastAsia="en-GB"/>
        </w:rPr>
        <w:t>T</w:t>
      </w:r>
      <w:r w:rsidRPr="00CE0885">
        <w:rPr>
          <w:spacing w:val="-1"/>
          <w:lang w:eastAsia="en-GB"/>
        </w:rPr>
        <w:t>h</w:t>
      </w:r>
      <w:r w:rsidRPr="00CE0885">
        <w:rPr>
          <w:lang w:eastAsia="en-GB"/>
        </w:rPr>
        <w:t>e</w:t>
      </w:r>
      <w:r w:rsidRPr="00CE0885">
        <w:rPr>
          <w:spacing w:val="-1"/>
          <w:lang w:eastAsia="en-GB"/>
        </w:rPr>
        <w:t>r</w:t>
      </w:r>
      <w:r w:rsidRPr="00CE0885">
        <w:rPr>
          <w:lang w:eastAsia="en-GB"/>
        </w:rPr>
        <w:t>e</w:t>
      </w:r>
      <w:r w:rsidRPr="00CE0885">
        <w:rPr>
          <w:spacing w:val="-7"/>
          <w:lang w:eastAsia="en-GB"/>
        </w:rPr>
        <w:t xml:space="preserve"> </w:t>
      </w:r>
      <w:r w:rsidRPr="00CE0885">
        <w:rPr>
          <w:spacing w:val="2"/>
          <w:lang w:eastAsia="en-GB"/>
        </w:rPr>
        <w:t>m</w:t>
      </w:r>
      <w:r w:rsidRPr="00CE0885">
        <w:rPr>
          <w:lang w:eastAsia="en-GB"/>
        </w:rPr>
        <w:t>ay</w:t>
      </w:r>
      <w:r w:rsidRPr="00CE0885">
        <w:rPr>
          <w:spacing w:val="-7"/>
          <w:lang w:eastAsia="en-GB"/>
        </w:rPr>
        <w:t xml:space="preserve"> </w:t>
      </w:r>
      <w:r w:rsidRPr="00CE0885">
        <w:rPr>
          <w:lang w:eastAsia="en-GB"/>
        </w:rPr>
        <w:t>be</w:t>
      </w:r>
      <w:r w:rsidRPr="00CE0885">
        <w:rPr>
          <w:spacing w:val="-1"/>
          <w:lang w:eastAsia="en-GB"/>
        </w:rPr>
        <w:t xml:space="preserve"> </w:t>
      </w:r>
      <w:r w:rsidRPr="00CE0885">
        <w:rPr>
          <w:lang w:eastAsia="en-GB"/>
        </w:rPr>
        <w:t>ci</w:t>
      </w:r>
      <w:r w:rsidRPr="00CE0885">
        <w:rPr>
          <w:spacing w:val="-1"/>
          <w:lang w:eastAsia="en-GB"/>
        </w:rPr>
        <w:t>r</w:t>
      </w:r>
      <w:r w:rsidRPr="00CE0885">
        <w:rPr>
          <w:lang w:eastAsia="en-GB"/>
        </w:rPr>
        <w:t>c</w:t>
      </w:r>
      <w:r w:rsidRPr="00CE0885">
        <w:rPr>
          <w:spacing w:val="-1"/>
          <w:lang w:eastAsia="en-GB"/>
        </w:rPr>
        <w:t>u</w:t>
      </w:r>
      <w:r w:rsidRPr="00CE0885">
        <w:rPr>
          <w:spacing w:val="2"/>
          <w:lang w:eastAsia="en-GB"/>
        </w:rPr>
        <w:t>m</w:t>
      </w:r>
      <w:r w:rsidRPr="00CE0885">
        <w:rPr>
          <w:lang w:eastAsia="en-GB"/>
        </w:rPr>
        <w:t>s</w:t>
      </w:r>
      <w:r w:rsidRPr="00CE0885">
        <w:rPr>
          <w:spacing w:val="-2"/>
          <w:lang w:eastAsia="en-GB"/>
        </w:rPr>
        <w:t>t</w:t>
      </w:r>
      <w:r w:rsidRPr="00CE0885">
        <w:rPr>
          <w:lang w:eastAsia="en-GB"/>
        </w:rPr>
        <w:t>ances</w:t>
      </w:r>
      <w:r w:rsidRPr="00CE0885">
        <w:rPr>
          <w:spacing w:val="-15"/>
          <w:lang w:eastAsia="en-GB"/>
        </w:rPr>
        <w:t xml:space="preserve"> </w:t>
      </w:r>
      <w:r w:rsidRPr="00CE0885">
        <w:rPr>
          <w:spacing w:val="-3"/>
          <w:lang w:eastAsia="en-GB"/>
        </w:rPr>
        <w:t>w</w:t>
      </w:r>
      <w:r w:rsidRPr="00CE0885">
        <w:rPr>
          <w:lang w:eastAsia="en-GB"/>
        </w:rPr>
        <w:t>hen</w:t>
      </w:r>
      <w:r w:rsidRPr="00CE0885">
        <w:rPr>
          <w:spacing w:val="-7"/>
          <w:lang w:eastAsia="en-GB"/>
        </w:rPr>
        <w:t xml:space="preserve"> </w:t>
      </w:r>
      <w:r w:rsidRPr="00CE0885">
        <w:rPr>
          <w:lang w:eastAsia="en-GB"/>
        </w:rPr>
        <w:t>a c</w:t>
      </w:r>
      <w:r w:rsidRPr="00CE0885">
        <w:rPr>
          <w:spacing w:val="-1"/>
          <w:lang w:eastAsia="en-GB"/>
        </w:rPr>
        <w:t>o</w:t>
      </w:r>
      <w:r w:rsidRPr="00CE0885">
        <w:rPr>
          <w:lang w:eastAsia="en-GB"/>
        </w:rPr>
        <w:t>nt</w:t>
      </w:r>
      <w:r w:rsidRPr="00CE0885">
        <w:rPr>
          <w:spacing w:val="-1"/>
          <w:lang w:eastAsia="en-GB"/>
        </w:rPr>
        <w:t>r</w:t>
      </w:r>
      <w:r w:rsidRPr="00CE0885">
        <w:rPr>
          <w:lang w:eastAsia="en-GB"/>
        </w:rPr>
        <w:t>ac</w:t>
      </w:r>
      <w:r w:rsidRPr="00CE0885">
        <w:rPr>
          <w:spacing w:val="-2"/>
          <w:lang w:eastAsia="en-GB"/>
        </w:rPr>
        <w:t>t</w:t>
      </w:r>
      <w:r w:rsidRPr="00CE0885">
        <w:rPr>
          <w:lang w:eastAsia="en-GB"/>
        </w:rPr>
        <w:t>or</w:t>
      </w:r>
      <w:r w:rsidRPr="00CE0885">
        <w:rPr>
          <w:spacing w:val="-11"/>
          <w:lang w:eastAsia="en-GB"/>
        </w:rPr>
        <w:t xml:space="preserve"> </w:t>
      </w:r>
      <w:r w:rsidRPr="00CE0885">
        <w:rPr>
          <w:spacing w:val="-3"/>
          <w:lang w:eastAsia="en-GB"/>
        </w:rPr>
        <w:t>w</w:t>
      </w:r>
      <w:r w:rsidRPr="00CE0885">
        <w:rPr>
          <w:lang w:eastAsia="en-GB"/>
        </w:rPr>
        <w:t>ishes</w:t>
      </w:r>
      <w:r w:rsidRPr="00CE0885">
        <w:rPr>
          <w:spacing w:val="-7"/>
          <w:lang w:eastAsia="en-GB"/>
        </w:rPr>
        <w:t xml:space="preserve"> </w:t>
      </w:r>
      <w:r w:rsidRPr="00CE0885">
        <w:rPr>
          <w:lang w:eastAsia="en-GB"/>
        </w:rPr>
        <w:t>to ch</w:t>
      </w:r>
      <w:r w:rsidRPr="00CE0885">
        <w:rPr>
          <w:spacing w:val="-1"/>
          <w:lang w:eastAsia="en-GB"/>
        </w:rPr>
        <w:t>a</w:t>
      </w:r>
      <w:r w:rsidRPr="00CE0885">
        <w:rPr>
          <w:lang w:eastAsia="en-GB"/>
        </w:rPr>
        <w:t>n</w:t>
      </w:r>
      <w:r w:rsidRPr="00CE0885">
        <w:rPr>
          <w:spacing w:val="-1"/>
          <w:lang w:eastAsia="en-GB"/>
        </w:rPr>
        <w:t>g</w:t>
      </w:r>
      <w:r w:rsidRPr="00CE0885">
        <w:rPr>
          <w:lang w:eastAsia="en-GB"/>
        </w:rPr>
        <w:t>e</w:t>
      </w:r>
      <w:r w:rsidRPr="00CE0885">
        <w:rPr>
          <w:spacing w:val="-6"/>
          <w:lang w:eastAsia="en-GB"/>
        </w:rPr>
        <w:t xml:space="preserve"> </w:t>
      </w:r>
      <w:r w:rsidRPr="00CE0885">
        <w:rPr>
          <w:lang w:eastAsia="en-GB"/>
        </w:rPr>
        <w:t>t</w:t>
      </w:r>
      <w:r w:rsidRPr="00CE0885">
        <w:rPr>
          <w:spacing w:val="-1"/>
          <w:lang w:eastAsia="en-GB"/>
        </w:rPr>
        <w:t>h</w:t>
      </w:r>
      <w:r w:rsidRPr="00CE0885">
        <w:rPr>
          <w:lang w:eastAsia="en-GB"/>
        </w:rPr>
        <w:t xml:space="preserve">eir </w:t>
      </w:r>
      <w:r w:rsidRPr="00CE0885">
        <w:rPr>
          <w:spacing w:val="2"/>
          <w:lang w:eastAsia="en-GB"/>
        </w:rPr>
        <w:t>m</w:t>
      </w:r>
      <w:r w:rsidRPr="00CE0885">
        <w:rPr>
          <w:lang w:eastAsia="en-GB"/>
        </w:rPr>
        <w:t>ain</w:t>
      </w:r>
      <w:r w:rsidRPr="00CE0885">
        <w:rPr>
          <w:spacing w:val="-6"/>
          <w:lang w:eastAsia="en-GB"/>
        </w:rPr>
        <w:t xml:space="preserve"> </w:t>
      </w:r>
      <w:r w:rsidRPr="00CE0885">
        <w:rPr>
          <w:lang w:eastAsia="en-GB"/>
        </w:rPr>
        <w:t>p</w:t>
      </w:r>
      <w:r w:rsidRPr="00CE0885">
        <w:rPr>
          <w:spacing w:val="-1"/>
          <w:lang w:eastAsia="en-GB"/>
        </w:rPr>
        <w:t>r</w:t>
      </w:r>
      <w:r w:rsidRPr="00CE0885">
        <w:rPr>
          <w:lang w:eastAsia="en-GB"/>
        </w:rPr>
        <w:t>actice</w:t>
      </w:r>
      <w:r w:rsidRPr="00CE0885">
        <w:rPr>
          <w:spacing w:val="-9"/>
          <w:lang w:eastAsia="en-GB"/>
        </w:rPr>
        <w:t xml:space="preserve"> </w:t>
      </w:r>
      <w:r w:rsidRPr="00CE0885">
        <w:rPr>
          <w:lang w:eastAsia="en-GB"/>
        </w:rPr>
        <w:t>b</w:t>
      </w:r>
      <w:r w:rsidRPr="00CE0885">
        <w:rPr>
          <w:spacing w:val="-1"/>
          <w:lang w:eastAsia="en-GB"/>
        </w:rPr>
        <w:t>o</w:t>
      </w:r>
      <w:r w:rsidRPr="00CE0885">
        <w:rPr>
          <w:lang w:eastAsia="en-GB"/>
        </w:rPr>
        <w:t>un</w:t>
      </w:r>
      <w:r w:rsidRPr="00CE0885">
        <w:rPr>
          <w:spacing w:val="-1"/>
          <w:lang w:eastAsia="en-GB"/>
        </w:rPr>
        <w:t>d</w:t>
      </w:r>
      <w:r w:rsidRPr="00CE0885">
        <w:rPr>
          <w:lang w:eastAsia="en-GB"/>
        </w:rPr>
        <w:t>a</w:t>
      </w:r>
      <w:r w:rsidRPr="00CE0885">
        <w:rPr>
          <w:spacing w:val="-1"/>
          <w:lang w:eastAsia="en-GB"/>
        </w:rPr>
        <w:t>r</w:t>
      </w:r>
      <w:r w:rsidRPr="00CE0885">
        <w:rPr>
          <w:lang w:eastAsia="en-GB"/>
        </w:rPr>
        <w:t>y</w:t>
      </w:r>
      <w:r w:rsidRPr="00CE0885">
        <w:rPr>
          <w:spacing w:val="-12"/>
          <w:lang w:eastAsia="en-GB"/>
        </w:rPr>
        <w:t xml:space="preserve"> </w:t>
      </w:r>
      <w:r w:rsidRPr="00CE0885">
        <w:rPr>
          <w:lang w:eastAsia="en-GB"/>
        </w:rPr>
        <w:t>to either</w:t>
      </w:r>
      <w:r w:rsidRPr="00CE0885">
        <w:rPr>
          <w:spacing w:val="-6"/>
          <w:lang w:eastAsia="en-GB"/>
        </w:rPr>
        <w:t xml:space="preserve"> </w:t>
      </w:r>
      <w:r w:rsidRPr="00CE0885">
        <w:rPr>
          <w:lang w:eastAsia="en-GB"/>
        </w:rPr>
        <w:t>e</w:t>
      </w:r>
      <w:r w:rsidRPr="00CE0885">
        <w:rPr>
          <w:spacing w:val="-2"/>
          <w:lang w:eastAsia="en-GB"/>
        </w:rPr>
        <w:t>x</w:t>
      </w:r>
      <w:r w:rsidRPr="00CE0885">
        <w:rPr>
          <w:lang w:eastAsia="en-GB"/>
        </w:rPr>
        <w:t>p</w:t>
      </w:r>
      <w:r w:rsidRPr="00CE0885">
        <w:rPr>
          <w:spacing w:val="-1"/>
          <w:lang w:eastAsia="en-GB"/>
        </w:rPr>
        <w:t>a</w:t>
      </w:r>
      <w:r w:rsidRPr="00CE0885">
        <w:rPr>
          <w:lang w:eastAsia="en-GB"/>
        </w:rPr>
        <w:t>nd</w:t>
      </w:r>
      <w:r w:rsidRPr="00CE0885">
        <w:rPr>
          <w:spacing w:val="-9"/>
          <w:lang w:eastAsia="en-GB"/>
        </w:rPr>
        <w:t xml:space="preserve"> </w:t>
      </w:r>
      <w:r w:rsidRPr="00CE0885">
        <w:rPr>
          <w:lang w:eastAsia="en-GB"/>
        </w:rPr>
        <w:t>or</w:t>
      </w:r>
      <w:r w:rsidRPr="00CE0885">
        <w:rPr>
          <w:spacing w:val="-2"/>
          <w:lang w:eastAsia="en-GB"/>
        </w:rPr>
        <w:t xml:space="preserve"> </w:t>
      </w:r>
      <w:r w:rsidRPr="00CE0885">
        <w:rPr>
          <w:lang w:eastAsia="en-GB"/>
        </w:rPr>
        <w:t>cont</w:t>
      </w:r>
      <w:r w:rsidRPr="00CE0885">
        <w:rPr>
          <w:spacing w:val="-1"/>
          <w:lang w:eastAsia="en-GB"/>
        </w:rPr>
        <w:t>r</w:t>
      </w:r>
      <w:r w:rsidRPr="00CE0885">
        <w:rPr>
          <w:lang w:eastAsia="en-GB"/>
        </w:rPr>
        <w:t>act</w:t>
      </w:r>
      <w:r w:rsidRPr="00CE0885">
        <w:rPr>
          <w:spacing w:val="-10"/>
          <w:lang w:eastAsia="en-GB"/>
        </w:rPr>
        <w:t xml:space="preserve"> </w:t>
      </w:r>
      <w:r w:rsidRPr="00CE0885">
        <w:rPr>
          <w:lang w:eastAsia="en-GB"/>
        </w:rPr>
        <w:t>the</w:t>
      </w:r>
      <w:r w:rsidRPr="00CE0885">
        <w:rPr>
          <w:spacing w:val="-4"/>
          <w:lang w:eastAsia="en-GB"/>
        </w:rPr>
        <w:t xml:space="preserve"> </w:t>
      </w:r>
      <w:r w:rsidRPr="00CE0885">
        <w:rPr>
          <w:lang w:eastAsia="en-GB"/>
        </w:rPr>
        <w:t>p</w:t>
      </w:r>
      <w:r w:rsidRPr="00CE0885">
        <w:rPr>
          <w:spacing w:val="-1"/>
          <w:lang w:eastAsia="en-GB"/>
        </w:rPr>
        <w:t>r</w:t>
      </w:r>
      <w:r w:rsidRPr="00CE0885">
        <w:rPr>
          <w:lang w:eastAsia="en-GB"/>
        </w:rPr>
        <w:t>actice</w:t>
      </w:r>
      <w:r w:rsidRPr="00CE0885">
        <w:rPr>
          <w:spacing w:val="-9"/>
          <w:lang w:eastAsia="en-GB"/>
        </w:rPr>
        <w:t xml:space="preserve"> </w:t>
      </w:r>
      <w:r w:rsidRPr="00CE0885">
        <w:rPr>
          <w:lang w:eastAsia="en-GB"/>
        </w:rPr>
        <w:t>a</w:t>
      </w:r>
      <w:r w:rsidRPr="00CE0885">
        <w:rPr>
          <w:spacing w:val="-1"/>
          <w:lang w:eastAsia="en-GB"/>
        </w:rPr>
        <w:t>re</w:t>
      </w:r>
      <w:r w:rsidRPr="00CE0885">
        <w:rPr>
          <w:lang w:eastAsia="en-GB"/>
        </w:rPr>
        <w:t>a for</w:t>
      </w:r>
      <w:r w:rsidRPr="00CE0885">
        <w:rPr>
          <w:spacing w:val="-3"/>
          <w:lang w:eastAsia="en-GB"/>
        </w:rPr>
        <w:t xml:space="preserve"> </w:t>
      </w:r>
      <w:r w:rsidRPr="00CE0885">
        <w:rPr>
          <w:lang w:eastAsia="en-GB"/>
        </w:rPr>
        <w:t>new</w:t>
      </w:r>
      <w:r w:rsidRPr="00CE0885">
        <w:rPr>
          <w:spacing w:val="-6"/>
          <w:lang w:eastAsia="en-GB"/>
        </w:rPr>
        <w:t xml:space="preserve"> </w:t>
      </w:r>
      <w:r w:rsidRPr="00CE0885">
        <w:rPr>
          <w:spacing w:val="-1"/>
          <w:lang w:eastAsia="en-GB"/>
        </w:rPr>
        <w:t>r</w:t>
      </w:r>
      <w:r w:rsidRPr="00CE0885">
        <w:rPr>
          <w:lang w:eastAsia="en-GB"/>
        </w:rPr>
        <w:t>e</w:t>
      </w:r>
      <w:r w:rsidRPr="00CE0885">
        <w:rPr>
          <w:spacing w:val="-1"/>
          <w:lang w:eastAsia="en-GB"/>
        </w:rPr>
        <w:t>g</w:t>
      </w:r>
      <w:r w:rsidRPr="00CE0885">
        <w:rPr>
          <w:lang w:eastAsia="en-GB"/>
        </w:rPr>
        <w:t>ist</w:t>
      </w:r>
      <w:r w:rsidRPr="00CE0885">
        <w:rPr>
          <w:spacing w:val="-1"/>
          <w:lang w:eastAsia="en-GB"/>
        </w:rPr>
        <w:t>r</w:t>
      </w:r>
      <w:r w:rsidRPr="00CE0885">
        <w:rPr>
          <w:lang w:eastAsia="en-GB"/>
        </w:rPr>
        <w:t>ations</w:t>
      </w:r>
      <w:r w:rsidRPr="00CE0885">
        <w:rPr>
          <w:spacing w:val="-13"/>
          <w:lang w:eastAsia="en-GB"/>
        </w:rPr>
        <w:t xml:space="preserve"> </w:t>
      </w:r>
      <w:r w:rsidRPr="00CE0885">
        <w:rPr>
          <w:spacing w:val="-1"/>
          <w:lang w:eastAsia="en-GB"/>
        </w:rPr>
        <w:t>d</w:t>
      </w:r>
      <w:r w:rsidRPr="00CE0885">
        <w:rPr>
          <w:lang w:eastAsia="en-GB"/>
        </w:rPr>
        <w:t>ue</w:t>
      </w:r>
      <w:r w:rsidRPr="00CE0885">
        <w:rPr>
          <w:spacing w:val="-2"/>
          <w:lang w:eastAsia="en-GB"/>
        </w:rPr>
        <w:t xml:space="preserve"> t</w:t>
      </w:r>
      <w:r w:rsidRPr="00CE0885">
        <w:rPr>
          <w:lang w:eastAsia="en-GB"/>
        </w:rPr>
        <w:t xml:space="preserve">o </w:t>
      </w:r>
      <w:r w:rsidRPr="00CE0885">
        <w:rPr>
          <w:spacing w:val="-1"/>
          <w:lang w:eastAsia="en-GB"/>
        </w:rPr>
        <w:t>n</w:t>
      </w:r>
      <w:r w:rsidRPr="00CE0885">
        <w:rPr>
          <w:lang w:eastAsia="en-GB"/>
        </w:rPr>
        <w:t>ew</w:t>
      </w:r>
      <w:r w:rsidRPr="00CE0885">
        <w:rPr>
          <w:spacing w:val="-6"/>
          <w:lang w:eastAsia="en-GB"/>
        </w:rPr>
        <w:t xml:space="preserve"> </w:t>
      </w:r>
      <w:r w:rsidRPr="00CE0885">
        <w:rPr>
          <w:spacing w:val="-1"/>
          <w:lang w:eastAsia="en-GB"/>
        </w:rPr>
        <w:t>r</w:t>
      </w:r>
      <w:r w:rsidRPr="00CE0885">
        <w:rPr>
          <w:lang w:eastAsia="en-GB"/>
        </w:rPr>
        <w:t>ede</w:t>
      </w:r>
      <w:r w:rsidRPr="00CE0885">
        <w:rPr>
          <w:spacing w:val="-2"/>
          <w:lang w:eastAsia="en-GB"/>
        </w:rPr>
        <w:t>v</w:t>
      </w:r>
      <w:r w:rsidRPr="00CE0885">
        <w:rPr>
          <w:lang w:eastAsia="en-GB"/>
        </w:rPr>
        <w:t>elop</w:t>
      </w:r>
      <w:r w:rsidRPr="00CE0885">
        <w:rPr>
          <w:spacing w:val="-1"/>
          <w:lang w:eastAsia="en-GB"/>
        </w:rPr>
        <w:t>m</w:t>
      </w:r>
      <w:r w:rsidRPr="00CE0885">
        <w:rPr>
          <w:lang w:eastAsia="en-GB"/>
        </w:rPr>
        <w:t>ent,</w:t>
      </w:r>
      <w:r w:rsidRPr="00CE0885">
        <w:rPr>
          <w:spacing w:val="-16"/>
          <w:lang w:eastAsia="en-GB"/>
        </w:rPr>
        <w:t xml:space="preserve"> </w:t>
      </w:r>
      <w:r w:rsidRPr="00CE0885">
        <w:rPr>
          <w:spacing w:val="-3"/>
          <w:lang w:eastAsia="en-GB"/>
        </w:rPr>
        <w:t>l</w:t>
      </w:r>
      <w:r w:rsidRPr="00CE0885">
        <w:rPr>
          <w:lang w:eastAsia="en-GB"/>
        </w:rPr>
        <w:t>ocal</w:t>
      </w:r>
      <w:r w:rsidRPr="00CE0885">
        <w:rPr>
          <w:spacing w:val="-5"/>
          <w:lang w:eastAsia="en-GB"/>
        </w:rPr>
        <w:t xml:space="preserve"> </w:t>
      </w:r>
      <w:r w:rsidRPr="00CE0885">
        <w:rPr>
          <w:spacing w:val="-1"/>
          <w:lang w:eastAsia="en-GB"/>
        </w:rPr>
        <w:t>a</w:t>
      </w:r>
      <w:r w:rsidRPr="00CE0885">
        <w:rPr>
          <w:lang w:eastAsia="en-GB"/>
        </w:rPr>
        <w:t>ut</w:t>
      </w:r>
      <w:r w:rsidRPr="00CE0885">
        <w:rPr>
          <w:spacing w:val="-1"/>
          <w:lang w:eastAsia="en-GB"/>
        </w:rPr>
        <w:t>h</w:t>
      </w:r>
      <w:r w:rsidRPr="00CE0885">
        <w:rPr>
          <w:lang w:eastAsia="en-GB"/>
        </w:rPr>
        <w:t>o</w:t>
      </w:r>
      <w:r w:rsidRPr="00CE0885">
        <w:rPr>
          <w:spacing w:val="-1"/>
          <w:lang w:eastAsia="en-GB"/>
        </w:rPr>
        <w:t>r</w:t>
      </w:r>
      <w:r w:rsidRPr="00CE0885">
        <w:rPr>
          <w:lang w:eastAsia="en-GB"/>
        </w:rPr>
        <w:t>ity co</w:t>
      </w:r>
      <w:r w:rsidRPr="00CE0885">
        <w:rPr>
          <w:spacing w:val="2"/>
          <w:lang w:eastAsia="en-GB"/>
        </w:rPr>
        <w:t>m</w:t>
      </w:r>
      <w:r w:rsidRPr="00CE0885">
        <w:rPr>
          <w:spacing w:val="-1"/>
          <w:lang w:eastAsia="en-GB"/>
        </w:rPr>
        <w:t>p</w:t>
      </w:r>
      <w:r w:rsidRPr="00CE0885">
        <w:rPr>
          <w:lang w:eastAsia="en-GB"/>
        </w:rPr>
        <w:t>ulso</w:t>
      </w:r>
      <w:r w:rsidRPr="00CE0885">
        <w:rPr>
          <w:spacing w:val="-1"/>
          <w:lang w:eastAsia="en-GB"/>
        </w:rPr>
        <w:t>r</w:t>
      </w:r>
      <w:r w:rsidRPr="00CE0885">
        <w:rPr>
          <w:lang w:eastAsia="en-GB"/>
        </w:rPr>
        <w:t>y</w:t>
      </w:r>
      <w:r w:rsidRPr="00CE0885">
        <w:rPr>
          <w:spacing w:val="-14"/>
          <w:lang w:eastAsia="en-GB"/>
        </w:rPr>
        <w:t xml:space="preserve"> </w:t>
      </w:r>
      <w:r w:rsidRPr="00CE0885">
        <w:rPr>
          <w:lang w:eastAsia="en-GB"/>
        </w:rPr>
        <w:t>pu</w:t>
      </w:r>
      <w:r w:rsidRPr="00CE0885">
        <w:rPr>
          <w:spacing w:val="-1"/>
          <w:lang w:eastAsia="en-GB"/>
        </w:rPr>
        <w:t>r</w:t>
      </w:r>
      <w:r w:rsidRPr="00CE0885">
        <w:rPr>
          <w:lang w:eastAsia="en-GB"/>
        </w:rPr>
        <w:t>chase</w:t>
      </w:r>
      <w:r w:rsidRPr="00CE0885">
        <w:rPr>
          <w:spacing w:val="-13"/>
          <w:lang w:eastAsia="en-GB"/>
        </w:rPr>
        <w:t xml:space="preserve"> </w:t>
      </w:r>
      <w:r w:rsidRPr="00CE0885">
        <w:rPr>
          <w:lang w:eastAsia="en-GB"/>
        </w:rPr>
        <w:t>sche</w:t>
      </w:r>
      <w:r w:rsidRPr="00CE0885">
        <w:rPr>
          <w:spacing w:val="-1"/>
          <w:lang w:eastAsia="en-GB"/>
        </w:rPr>
        <w:t>m</w:t>
      </w:r>
      <w:r w:rsidRPr="00CE0885">
        <w:rPr>
          <w:lang w:eastAsia="en-GB"/>
        </w:rPr>
        <w:t>es</w:t>
      </w:r>
      <w:r w:rsidRPr="00CE0885">
        <w:rPr>
          <w:spacing w:val="-10"/>
          <w:lang w:eastAsia="en-GB"/>
        </w:rPr>
        <w:t xml:space="preserve"> </w:t>
      </w:r>
      <w:r w:rsidRPr="00CE0885">
        <w:rPr>
          <w:spacing w:val="-1"/>
          <w:lang w:eastAsia="en-GB"/>
        </w:rPr>
        <w:t>a</w:t>
      </w:r>
      <w:r w:rsidRPr="00CE0885">
        <w:rPr>
          <w:lang w:eastAsia="en-GB"/>
        </w:rPr>
        <w:t>nd</w:t>
      </w:r>
      <w:r w:rsidRPr="00CE0885">
        <w:rPr>
          <w:spacing w:val="-2"/>
          <w:lang w:eastAsia="en-GB"/>
        </w:rPr>
        <w:t>/</w:t>
      </w:r>
      <w:r w:rsidRPr="00CE0885">
        <w:rPr>
          <w:lang w:eastAsia="en-GB"/>
        </w:rPr>
        <w:t>or</w:t>
      </w:r>
      <w:r w:rsidRPr="00CE0885">
        <w:rPr>
          <w:spacing w:val="-7"/>
          <w:lang w:eastAsia="en-GB"/>
        </w:rPr>
        <w:t xml:space="preserve"> </w:t>
      </w:r>
      <w:r w:rsidRPr="00CE0885">
        <w:rPr>
          <w:spacing w:val="-1"/>
          <w:lang w:eastAsia="en-GB"/>
        </w:rPr>
        <w:t>r</w:t>
      </w:r>
      <w:r w:rsidRPr="00CE0885">
        <w:rPr>
          <w:lang w:eastAsia="en-GB"/>
        </w:rPr>
        <w:t>o</w:t>
      </w:r>
      <w:r w:rsidRPr="00CE0885">
        <w:rPr>
          <w:spacing w:val="-1"/>
          <w:lang w:eastAsia="en-GB"/>
        </w:rPr>
        <w:t>a</w:t>
      </w:r>
      <w:r w:rsidRPr="00CE0885">
        <w:rPr>
          <w:lang w:eastAsia="en-GB"/>
        </w:rPr>
        <w:t>d</w:t>
      </w:r>
      <w:r w:rsidRPr="00CE0885">
        <w:rPr>
          <w:spacing w:val="-3"/>
          <w:lang w:eastAsia="en-GB"/>
        </w:rPr>
        <w:t xml:space="preserve"> </w:t>
      </w:r>
      <w:r w:rsidRPr="00CE0885">
        <w:rPr>
          <w:spacing w:val="-1"/>
          <w:lang w:eastAsia="en-GB"/>
        </w:rPr>
        <w:t>d</w:t>
      </w:r>
      <w:r w:rsidRPr="00CE0885">
        <w:rPr>
          <w:lang w:eastAsia="en-GB"/>
        </w:rPr>
        <w:t>e</w:t>
      </w:r>
      <w:r w:rsidRPr="00CE0885">
        <w:rPr>
          <w:spacing w:val="-2"/>
          <w:lang w:eastAsia="en-GB"/>
        </w:rPr>
        <w:t>v</w:t>
      </w:r>
      <w:r w:rsidRPr="00CE0885">
        <w:rPr>
          <w:lang w:eastAsia="en-GB"/>
        </w:rPr>
        <w:t>elop</w:t>
      </w:r>
      <w:r w:rsidRPr="00CE0885">
        <w:rPr>
          <w:spacing w:val="2"/>
          <w:lang w:eastAsia="en-GB"/>
        </w:rPr>
        <w:t>m</w:t>
      </w:r>
      <w:r w:rsidRPr="00CE0885">
        <w:rPr>
          <w:spacing w:val="-1"/>
          <w:lang w:eastAsia="en-GB"/>
        </w:rPr>
        <w:t>e</w:t>
      </w:r>
      <w:r w:rsidRPr="00CE0885">
        <w:rPr>
          <w:lang w:eastAsia="en-GB"/>
        </w:rPr>
        <w:t>nts.</w:t>
      </w:r>
      <w:bookmarkEnd w:id="802"/>
    </w:p>
    <w:p w14:paraId="657F8970" w14:textId="10842FCD" w:rsidR="00977693" w:rsidRPr="00CE0885" w:rsidRDefault="00977693" w:rsidP="00980A75">
      <w:pPr>
        <w:pStyle w:val="Heading3"/>
        <w:rPr>
          <w:lang w:eastAsia="en-GB"/>
        </w:rPr>
      </w:pPr>
      <w:bookmarkStart w:id="803" w:name="_Toc440981930"/>
      <w:r w:rsidRPr="00CE0885">
        <w:rPr>
          <w:spacing w:val="-1"/>
          <w:lang w:eastAsia="en-GB"/>
        </w:rPr>
        <w:t>M</w:t>
      </w:r>
      <w:r w:rsidRPr="00CE0885">
        <w:rPr>
          <w:lang w:eastAsia="en-GB"/>
        </w:rPr>
        <w:t>ost</w:t>
      </w:r>
      <w:r w:rsidRPr="00CE0885">
        <w:rPr>
          <w:spacing w:val="-4"/>
          <w:lang w:eastAsia="en-GB"/>
        </w:rPr>
        <w:t xml:space="preserve"> </w:t>
      </w:r>
      <w:r w:rsidRPr="00CE0885">
        <w:rPr>
          <w:lang w:eastAsia="en-GB"/>
        </w:rPr>
        <w:t>p</w:t>
      </w:r>
      <w:r w:rsidRPr="00CE0885">
        <w:rPr>
          <w:spacing w:val="-1"/>
          <w:lang w:eastAsia="en-GB"/>
        </w:rPr>
        <w:t>r</w:t>
      </w:r>
      <w:r w:rsidRPr="00CE0885">
        <w:rPr>
          <w:lang w:eastAsia="en-GB"/>
        </w:rPr>
        <w:t>actices</w:t>
      </w:r>
      <w:r w:rsidRPr="00CE0885">
        <w:rPr>
          <w:spacing w:val="-12"/>
          <w:lang w:eastAsia="en-GB"/>
        </w:rPr>
        <w:t xml:space="preserve"> </w:t>
      </w:r>
      <w:r w:rsidRPr="00CE0885">
        <w:rPr>
          <w:spacing w:val="-3"/>
          <w:lang w:eastAsia="en-GB"/>
        </w:rPr>
        <w:t>w</w:t>
      </w:r>
      <w:r w:rsidRPr="00CE0885">
        <w:rPr>
          <w:lang w:eastAsia="en-GB"/>
        </w:rPr>
        <w:t>ill</w:t>
      </w:r>
      <w:r w:rsidRPr="00CE0885">
        <w:rPr>
          <w:spacing w:val="-3"/>
          <w:lang w:eastAsia="en-GB"/>
        </w:rPr>
        <w:t xml:space="preserve"> </w:t>
      </w:r>
      <w:r w:rsidRPr="00CE0885">
        <w:rPr>
          <w:lang w:eastAsia="en-GB"/>
        </w:rPr>
        <w:t>also ha</w:t>
      </w:r>
      <w:r w:rsidRPr="00CE0885">
        <w:rPr>
          <w:spacing w:val="-2"/>
          <w:lang w:eastAsia="en-GB"/>
        </w:rPr>
        <w:t>v</w:t>
      </w:r>
      <w:r w:rsidRPr="00CE0885">
        <w:rPr>
          <w:lang w:eastAsia="en-GB"/>
        </w:rPr>
        <w:t>e</w:t>
      </w:r>
      <w:r w:rsidRPr="00CE0885">
        <w:rPr>
          <w:spacing w:val="-3"/>
          <w:lang w:eastAsia="en-GB"/>
        </w:rPr>
        <w:t xml:space="preserve"> w</w:t>
      </w:r>
      <w:r w:rsidRPr="00CE0885">
        <w:rPr>
          <w:lang w:eastAsia="en-GB"/>
        </w:rPr>
        <w:t>ithin</w:t>
      </w:r>
      <w:r w:rsidRPr="00CE0885">
        <w:rPr>
          <w:spacing w:val="-4"/>
          <w:lang w:eastAsia="en-GB"/>
        </w:rPr>
        <w:t xml:space="preserve"> </w:t>
      </w:r>
      <w:r w:rsidRPr="00CE0885">
        <w:rPr>
          <w:lang w:eastAsia="en-GB"/>
        </w:rPr>
        <w:t>their</w:t>
      </w:r>
      <w:r w:rsidRPr="00CE0885">
        <w:rPr>
          <w:spacing w:val="-5"/>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acts</w:t>
      </w:r>
      <w:r w:rsidRPr="00CE0885">
        <w:rPr>
          <w:spacing w:val="-10"/>
          <w:lang w:eastAsia="en-GB"/>
        </w:rPr>
        <w:t xml:space="preserve"> </w:t>
      </w:r>
      <w:r w:rsidRPr="00CE0885">
        <w:rPr>
          <w:lang w:eastAsia="en-GB"/>
        </w:rPr>
        <w:t>a</w:t>
      </w:r>
      <w:r w:rsidRPr="00CE0885">
        <w:rPr>
          <w:spacing w:val="-2"/>
          <w:lang w:eastAsia="en-GB"/>
        </w:rPr>
        <w:t xml:space="preserve"> </w:t>
      </w:r>
      <w:r w:rsidRPr="00CE0885">
        <w:rPr>
          <w:lang w:eastAsia="en-GB"/>
        </w:rPr>
        <w:t>d</w:t>
      </w:r>
      <w:r w:rsidRPr="00CE0885">
        <w:rPr>
          <w:spacing w:val="-1"/>
          <w:lang w:eastAsia="en-GB"/>
        </w:rPr>
        <w:t>e</w:t>
      </w:r>
      <w:r w:rsidRPr="00CE0885">
        <w:rPr>
          <w:spacing w:val="3"/>
          <w:lang w:eastAsia="en-GB"/>
        </w:rPr>
        <w:t>f</w:t>
      </w:r>
      <w:r w:rsidRPr="00CE0885">
        <w:rPr>
          <w:spacing w:val="-3"/>
          <w:lang w:eastAsia="en-GB"/>
        </w:rPr>
        <w:t>i</w:t>
      </w:r>
      <w:r w:rsidRPr="00CE0885">
        <w:rPr>
          <w:lang w:eastAsia="en-GB"/>
        </w:rPr>
        <w:t>ned</w:t>
      </w:r>
      <w:r w:rsidRPr="00CE0885">
        <w:rPr>
          <w:spacing w:val="-9"/>
          <w:lang w:eastAsia="en-GB"/>
        </w:rPr>
        <w:t xml:space="preserve"> </w:t>
      </w:r>
      <w:r w:rsidRPr="00CE0885">
        <w:rPr>
          <w:lang w:eastAsia="en-GB"/>
        </w:rPr>
        <w:t>ou</w:t>
      </w:r>
      <w:r w:rsidRPr="00CE0885">
        <w:rPr>
          <w:spacing w:val="-2"/>
          <w:lang w:eastAsia="en-GB"/>
        </w:rPr>
        <w:t>t</w:t>
      </w:r>
      <w:r w:rsidRPr="00CE0885">
        <w:rPr>
          <w:lang w:eastAsia="en-GB"/>
        </w:rPr>
        <w:t>er bo</w:t>
      </w:r>
      <w:r w:rsidRPr="00CE0885">
        <w:rPr>
          <w:spacing w:val="-1"/>
          <w:lang w:eastAsia="en-GB"/>
        </w:rPr>
        <w:t>u</w:t>
      </w:r>
      <w:r w:rsidRPr="00CE0885">
        <w:rPr>
          <w:lang w:eastAsia="en-GB"/>
        </w:rPr>
        <w:t>nda</w:t>
      </w:r>
      <w:r w:rsidRPr="00CE0885">
        <w:rPr>
          <w:spacing w:val="-1"/>
          <w:lang w:eastAsia="en-GB"/>
        </w:rPr>
        <w:t>r</w:t>
      </w:r>
      <w:r w:rsidRPr="00CE0885">
        <w:rPr>
          <w:spacing w:val="-2"/>
          <w:lang w:eastAsia="en-GB"/>
        </w:rPr>
        <w:t>y</w:t>
      </w:r>
      <w:r w:rsidRPr="00CE0885">
        <w:rPr>
          <w:spacing w:val="-10"/>
          <w:lang w:eastAsia="en-GB"/>
        </w:rPr>
        <w:t xml:space="preserve"> </w:t>
      </w:r>
      <w:r w:rsidRPr="00CE0885">
        <w:rPr>
          <w:lang w:eastAsia="en-GB"/>
        </w:rPr>
        <w:t>to</w:t>
      </w:r>
      <w:r w:rsidRPr="00CE0885">
        <w:rPr>
          <w:spacing w:val="-3"/>
          <w:lang w:eastAsia="en-GB"/>
        </w:rPr>
        <w:t xml:space="preserve"> </w:t>
      </w:r>
      <w:r w:rsidRPr="00CE0885">
        <w:rPr>
          <w:lang w:eastAsia="en-GB"/>
        </w:rPr>
        <w:t>allow</w:t>
      </w:r>
      <w:r w:rsidRPr="00CE0885">
        <w:rPr>
          <w:spacing w:val="-7"/>
          <w:lang w:eastAsia="en-GB"/>
        </w:rPr>
        <w:t xml:space="preserve"> </w:t>
      </w:r>
      <w:r w:rsidRPr="00CE0885">
        <w:rPr>
          <w:lang w:eastAsia="en-GB"/>
        </w:rPr>
        <w:t>th</w:t>
      </w:r>
      <w:r w:rsidRPr="00CE0885">
        <w:rPr>
          <w:spacing w:val="-1"/>
          <w:lang w:eastAsia="en-GB"/>
        </w:rPr>
        <w:t>o</w:t>
      </w:r>
      <w:r w:rsidRPr="00CE0885">
        <w:rPr>
          <w:lang w:eastAsia="en-GB"/>
        </w:rPr>
        <w:t>se</w:t>
      </w:r>
      <w:r w:rsidRPr="00CE0885">
        <w:rPr>
          <w:spacing w:val="-4"/>
          <w:lang w:eastAsia="en-GB"/>
        </w:rPr>
        <w:t xml:space="preserve"> </w:t>
      </w:r>
      <w:r w:rsidRPr="00CE0885">
        <w:rPr>
          <w:lang w:eastAsia="en-GB"/>
        </w:rPr>
        <w:t>p</w:t>
      </w:r>
      <w:r w:rsidRPr="00CE0885">
        <w:rPr>
          <w:spacing w:val="-1"/>
          <w:lang w:eastAsia="en-GB"/>
        </w:rPr>
        <w:t>a</w:t>
      </w:r>
      <w:r w:rsidRPr="00CE0885">
        <w:rPr>
          <w:lang w:eastAsia="en-GB"/>
        </w:rPr>
        <w:t>tients,</w:t>
      </w:r>
      <w:r w:rsidRPr="00CE0885">
        <w:rPr>
          <w:spacing w:val="-10"/>
          <w:lang w:eastAsia="en-GB"/>
        </w:rPr>
        <w:t xml:space="preserve"> </w:t>
      </w:r>
      <w:r w:rsidRPr="00CE0885">
        <w:rPr>
          <w:spacing w:val="-3"/>
          <w:lang w:eastAsia="en-GB"/>
        </w:rPr>
        <w:t>w</w:t>
      </w:r>
      <w:r w:rsidRPr="00CE0885">
        <w:rPr>
          <w:lang w:eastAsia="en-GB"/>
        </w:rPr>
        <w:t>ho</w:t>
      </w:r>
      <w:r w:rsidRPr="00CE0885">
        <w:rPr>
          <w:spacing w:val="-2"/>
          <w:lang w:eastAsia="en-GB"/>
        </w:rPr>
        <w:t xml:space="preserve"> </w:t>
      </w:r>
      <w:r w:rsidRPr="00CE0885">
        <w:rPr>
          <w:spacing w:val="2"/>
          <w:lang w:eastAsia="en-GB"/>
        </w:rPr>
        <w:t>m</w:t>
      </w:r>
      <w:r w:rsidRPr="00CE0885">
        <w:rPr>
          <w:lang w:eastAsia="en-GB"/>
        </w:rPr>
        <w:t>o</w:t>
      </w:r>
      <w:r w:rsidRPr="00CE0885">
        <w:rPr>
          <w:spacing w:val="-2"/>
          <w:lang w:eastAsia="en-GB"/>
        </w:rPr>
        <w:t>v</w:t>
      </w:r>
      <w:r w:rsidRPr="00CE0885">
        <w:rPr>
          <w:lang w:eastAsia="en-GB"/>
        </w:rPr>
        <w:t>e</w:t>
      </w:r>
      <w:r w:rsidRPr="00CE0885">
        <w:rPr>
          <w:spacing w:val="-7"/>
          <w:lang w:eastAsia="en-GB"/>
        </w:rPr>
        <w:t xml:space="preserve"> </w:t>
      </w:r>
      <w:r w:rsidRPr="00CE0885">
        <w:rPr>
          <w:lang w:eastAsia="en-GB"/>
        </w:rPr>
        <w:t>ho</w:t>
      </w:r>
      <w:r w:rsidRPr="00CE0885">
        <w:rPr>
          <w:spacing w:val="-1"/>
          <w:lang w:eastAsia="en-GB"/>
        </w:rPr>
        <w:t>m</w:t>
      </w:r>
      <w:r w:rsidRPr="00CE0885">
        <w:rPr>
          <w:lang w:eastAsia="en-GB"/>
        </w:rPr>
        <w:t>e</w:t>
      </w:r>
      <w:r w:rsidRPr="00CE0885">
        <w:rPr>
          <w:spacing w:val="-4"/>
          <w:lang w:eastAsia="en-GB"/>
        </w:rPr>
        <w:t xml:space="preserve"> </w:t>
      </w:r>
      <w:r w:rsidRPr="00CE0885">
        <w:rPr>
          <w:lang w:eastAsia="en-GB"/>
        </w:rPr>
        <w:t>a</w:t>
      </w:r>
      <w:r w:rsidRPr="00CE0885">
        <w:rPr>
          <w:spacing w:val="-2"/>
          <w:lang w:eastAsia="en-GB"/>
        </w:rPr>
        <w:t xml:space="preserve"> </w:t>
      </w:r>
      <w:r w:rsidRPr="00CE0885">
        <w:rPr>
          <w:spacing w:val="-1"/>
          <w:lang w:eastAsia="en-GB"/>
        </w:rPr>
        <w:t>r</w:t>
      </w:r>
      <w:r w:rsidRPr="00CE0885">
        <w:rPr>
          <w:lang w:eastAsia="en-GB"/>
        </w:rPr>
        <w:t>elati</w:t>
      </w:r>
      <w:r w:rsidRPr="00CE0885">
        <w:rPr>
          <w:spacing w:val="-2"/>
          <w:lang w:eastAsia="en-GB"/>
        </w:rPr>
        <w:t>v</w:t>
      </w:r>
      <w:r w:rsidRPr="00CE0885">
        <w:rPr>
          <w:lang w:eastAsia="en-GB"/>
        </w:rPr>
        <w:t>ely</w:t>
      </w:r>
      <w:r w:rsidRPr="00CE0885">
        <w:rPr>
          <w:spacing w:val="-11"/>
          <w:lang w:eastAsia="en-GB"/>
        </w:rPr>
        <w:t xml:space="preserve"> </w:t>
      </w:r>
      <w:r w:rsidRPr="00CE0885">
        <w:rPr>
          <w:lang w:eastAsia="en-GB"/>
        </w:rPr>
        <w:t>sho</w:t>
      </w:r>
      <w:r w:rsidRPr="00CE0885">
        <w:rPr>
          <w:spacing w:val="-1"/>
          <w:lang w:eastAsia="en-GB"/>
        </w:rPr>
        <w:t>r</w:t>
      </w:r>
      <w:r w:rsidRPr="00CE0885">
        <w:rPr>
          <w:lang w:eastAsia="en-GB"/>
        </w:rPr>
        <w:t>t distan</w:t>
      </w:r>
      <w:r w:rsidRPr="00CE0885">
        <w:rPr>
          <w:spacing w:val="-2"/>
          <w:lang w:eastAsia="en-GB"/>
        </w:rPr>
        <w:t>c</w:t>
      </w:r>
      <w:r w:rsidRPr="00CE0885">
        <w:rPr>
          <w:lang w:eastAsia="en-GB"/>
        </w:rPr>
        <w:t>e</w:t>
      </w:r>
      <w:r w:rsidRPr="00CE0885">
        <w:rPr>
          <w:spacing w:val="-7"/>
          <w:lang w:eastAsia="en-GB"/>
        </w:rPr>
        <w:t xml:space="preserve"> </w:t>
      </w:r>
      <w:r w:rsidRPr="00CE0885">
        <w:rPr>
          <w:lang w:eastAsia="en-GB"/>
        </w:rPr>
        <w:t>o</w:t>
      </w:r>
      <w:r w:rsidRPr="00CE0885">
        <w:rPr>
          <w:spacing w:val="-1"/>
          <w:lang w:eastAsia="en-GB"/>
        </w:rPr>
        <w:t>u</w:t>
      </w:r>
      <w:r w:rsidRPr="00CE0885">
        <w:rPr>
          <w:lang w:eastAsia="en-GB"/>
        </w:rPr>
        <w:t>tside</w:t>
      </w:r>
      <w:r w:rsidRPr="00CE0885">
        <w:rPr>
          <w:spacing w:val="-9"/>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w:t>
      </w:r>
      <w:r w:rsidRPr="00CE0885">
        <w:rPr>
          <w:spacing w:val="-4"/>
          <w:lang w:eastAsia="en-GB"/>
        </w:rPr>
        <w:t xml:space="preserve"> </w:t>
      </w:r>
      <w:r w:rsidRPr="00CE0885">
        <w:rPr>
          <w:spacing w:val="2"/>
          <w:lang w:eastAsia="en-GB"/>
        </w:rPr>
        <w:t>m</w:t>
      </w:r>
      <w:r w:rsidRPr="00CE0885">
        <w:rPr>
          <w:lang w:eastAsia="en-GB"/>
        </w:rPr>
        <w:t>ain</w:t>
      </w:r>
      <w:r w:rsidRPr="00CE0885">
        <w:rPr>
          <w:spacing w:val="-6"/>
          <w:lang w:eastAsia="en-GB"/>
        </w:rPr>
        <w:t xml:space="preserve"> </w:t>
      </w:r>
      <w:r w:rsidRPr="00CE0885">
        <w:rPr>
          <w:lang w:eastAsia="en-GB"/>
        </w:rPr>
        <w:t>b</w:t>
      </w:r>
      <w:r w:rsidRPr="00CE0885">
        <w:rPr>
          <w:spacing w:val="-1"/>
          <w:lang w:eastAsia="en-GB"/>
        </w:rPr>
        <w:t>o</w:t>
      </w:r>
      <w:r w:rsidRPr="00CE0885">
        <w:rPr>
          <w:lang w:eastAsia="en-GB"/>
        </w:rPr>
        <w:t>u</w:t>
      </w:r>
      <w:r w:rsidRPr="00CE0885">
        <w:rPr>
          <w:spacing w:val="-1"/>
          <w:lang w:eastAsia="en-GB"/>
        </w:rPr>
        <w:t>n</w:t>
      </w:r>
      <w:r w:rsidRPr="00CE0885">
        <w:rPr>
          <w:lang w:eastAsia="en-GB"/>
        </w:rPr>
        <w:t>da</w:t>
      </w:r>
      <w:r w:rsidRPr="00CE0885">
        <w:rPr>
          <w:spacing w:val="-1"/>
          <w:lang w:eastAsia="en-GB"/>
        </w:rPr>
        <w:t>r</w:t>
      </w:r>
      <w:r w:rsidRPr="00CE0885">
        <w:rPr>
          <w:spacing w:val="-2"/>
          <w:lang w:eastAsia="en-GB"/>
        </w:rPr>
        <w:t>y</w:t>
      </w:r>
      <w:r w:rsidRPr="00CE0885">
        <w:rPr>
          <w:spacing w:val="-10"/>
          <w:lang w:eastAsia="en-GB"/>
        </w:rPr>
        <w:t xml:space="preserve"> </w:t>
      </w:r>
      <w:r w:rsidRPr="00CE0885">
        <w:rPr>
          <w:lang w:eastAsia="en-GB"/>
        </w:rPr>
        <w:t>and</w:t>
      </w:r>
      <w:r w:rsidRPr="00CE0885">
        <w:rPr>
          <w:spacing w:val="-2"/>
          <w:lang w:eastAsia="en-GB"/>
        </w:rPr>
        <w:t xml:space="preserve"> </w:t>
      </w:r>
      <w:r w:rsidRPr="00CE0885">
        <w:rPr>
          <w:spacing w:val="-3"/>
          <w:lang w:eastAsia="en-GB"/>
        </w:rPr>
        <w:t>w</w:t>
      </w:r>
      <w:r w:rsidRPr="00CE0885">
        <w:rPr>
          <w:lang w:eastAsia="en-GB"/>
        </w:rPr>
        <w:t>ho</w:t>
      </w:r>
      <w:r w:rsidRPr="00CE0885">
        <w:rPr>
          <w:spacing w:val="-2"/>
          <w:lang w:eastAsia="en-GB"/>
        </w:rPr>
        <w:t xml:space="preserve"> </w:t>
      </w:r>
      <w:r w:rsidRPr="00CE0885">
        <w:rPr>
          <w:spacing w:val="-3"/>
          <w:lang w:eastAsia="en-GB"/>
        </w:rPr>
        <w:t>w</w:t>
      </w:r>
      <w:r w:rsidRPr="00CE0885">
        <w:rPr>
          <w:lang w:eastAsia="en-GB"/>
        </w:rPr>
        <w:t>ould</w:t>
      </w:r>
      <w:r w:rsidRPr="00CE0885">
        <w:rPr>
          <w:spacing w:val="-4"/>
          <w:lang w:eastAsia="en-GB"/>
        </w:rPr>
        <w:t xml:space="preserve"> </w:t>
      </w:r>
      <w:r w:rsidRPr="00CE0885">
        <w:rPr>
          <w:lang w:eastAsia="en-GB"/>
        </w:rPr>
        <w:t>p</w:t>
      </w:r>
      <w:r w:rsidRPr="00CE0885">
        <w:rPr>
          <w:spacing w:val="-1"/>
          <w:lang w:eastAsia="en-GB"/>
        </w:rPr>
        <w:t>re</w:t>
      </w:r>
      <w:r w:rsidRPr="00CE0885">
        <w:rPr>
          <w:lang w:eastAsia="en-GB"/>
        </w:rPr>
        <w:t>fer</w:t>
      </w:r>
      <w:r w:rsidRPr="00CE0885">
        <w:rPr>
          <w:spacing w:val="-6"/>
          <w:lang w:eastAsia="en-GB"/>
        </w:rPr>
        <w:t xml:space="preserve"> </w:t>
      </w:r>
      <w:r w:rsidRPr="00CE0885">
        <w:rPr>
          <w:lang w:eastAsia="en-GB"/>
        </w:rPr>
        <w:t>to</w:t>
      </w:r>
      <w:r w:rsidRPr="00CE0885">
        <w:rPr>
          <w:spacing w:val="-3"/>
          <w:lang w:eastAsia="en-GB"/>
        </w:rPr>
        <w:t xml:space="preserve"> </w:t>
      </w:r>
      <w:r w:rsidRPr="00CE0885">
        <w:rPr>
          <w:lang w:eastAsia="en-GB"/>
        </w:rPr>
        <w:t xml:space="preserve">stay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their</w:t>
      </w:r>
      <w:r w:rsidRPr="00CE0885">
        <w:rPr>
          <w:spacing w:val="-5"/>
          <w:lang w:eastAsia="en-GB"/>
        </w:rPr>
        <w:t xml:space="preserve"> </w:t>
      </w:r>
      <w:r w:rsidRPr="00CE0885">
        <w:rPr>
          <w:lang w:eastAsia="en-GB"/>
        </w:rPr>
        <w:t>e</w:t>
      </w:r>
      <w:r w:rsidRPr="00CE0885">
        <w:rPr>
          <w:spacing w:val="-2"/>
          <w:lang w:eastAsia="en-GB"/>
        </w:rPr>
        <w:t>x</w:t>
      </w:r>
      <w:r w:rsidRPr="00CE0885">
        <w:rPr>
          <w:lang w:eastAsia="en-GB"/>
        </w:rPr>
        <w:t>isting</w:t>
      </w:r>
      <w:r w:rsidRPr="00CE0885">
        <w:rPr>
          <w:spacing w:val="-9"/>
          <w:lang w:eastAsia="en-GB"/>
        </w:rPr>
        <w:t xml:space="preserve"> </w:t>
      </w:r>
      <w:r w:rsidRPr="00CE0885">
        <w:rPr>
          <w:lang w:eastAsia="en-GB"/>
        </w:rPr>
        <w:t>p</w:t>
      </w:r>
      <w:r w:rsidRPr="00CE0885">
        <w:rPr>
          <w:spacing w:val="-1"/>
          <w:lang w:eastAsia="en-GB"/>
        </w:rPr>
        <w:t>r</w:t>
      </w:r>
      <w:r w:rsidRPr="00CE0885">
        <w:rPr>
          <w:lang w:eastAsia="en-GB"/>
        </w:rPr>
        <w:t>actice</w:t>
      </w:r>
      <w:r w:rsidRPr="00CE0885">
        <w:rPr>
          <w:spacing w:val="-6"/>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spacing w:val="-3"/>
          <w:lang w:eastAsia="en-GB"/>
        </w:rPr>
        <w:t>w</w:t>
      </w:r>
      <w:r w:rsidRPr="00CE0885">
        <w:rPr>
          <w:lang w:eastAsia="en-GB"/>
        </w:rPr>
        <w:t>hom</w:t>
      </w:r>
      <w:r w:rsidRPr="00CE0885">
        <w:rPr>
          <w:spacing w:val="-4"/>
          <w:lang w:eastAsia="en-GB"/>
        </w:rPr>
        <w:t xml:space="preserve"> </w:t>
      </w:r>
      <w:r w:rsidRPr="00CE0885">
        <w:rPr>
          <w:lang w:eastAsia="en-GB"/>
        </w:rPr>
        <w:t>they</w:t>
      </w:r>
      <w:r w:rsidRPr="00CE0885">
        <w:rPr>
          <w:spacing w:val="-7"/>
          <w:lang w:eastAsia="en-GB"/>
        </w:rPr>
        <w:t xml:space="preserve"> </w:t>
      </w:r>
      <w:r w:rsidRPr="00CE0885">
        <w:rPr>
          <w:spacing w:val="2"/>
          <w:lang w:eastAsia="en-GB"/>
        </w:rPr>
        <w:t>m</w:t>
      </w:r>
      <w:r w:rsidRPr="00CE0885">
        <w:rPr>
          <w:spacing w:val="-1"/>
          <w:lang w:eastAsia="en-GB"/>
        </w:rPr>
        <w:t>a</w:t>
      </w:r>
      <w:r w:rsidRPr="00CE0885">
        <w:rPr>
          <w:lang w:eastAsia="en-GB"/>
        </w:rPr>
        <w:t>y</w:t>
      </w:r>
      <w:r w:rsidRPr="00CE0885">
        <w:rPr>
          <w:spacing w:val="-7"/>
          <w:lang w:eastAsia="en-GB"/>
        </w:rPr>
        <w:t xml:space="preserve"> </w:t>
      </w:r>
      <w:r w:rsidRPr="00CE0885">
        <w:rPr>
          <w:lang w:eastAsia="en-GB"/>
        </w:rPr>
        <w:t>ha</w:t>
      </w:r>
      <w:r w:rsidRPr="00CE0885">
        <w:rPr>
          <w:spacing w:val="-2"/>
          <w:lang w:eastAsia="en-GB"/>
        </w:rPr>
        <w:t>v</w:t>
      </w:r>
      <w:r w:rsidRPr="00CE0885">
        <w:rPr>
          <w:lang w:eastAsia="en-GB"/>
        </w:rPr>
        <w:t>e</w:t>
      </w:r>
      <w:r w:rsidRPr="00CE0885">
        <w:rPr>
          <w:spacing w:val="-3"/>
          <w:lang w:eastAsia="en-GB"/>
        </w:rPr>
        <w:t xml:space="preserve"> </w:t>
      </w:r>
      <w:r w:rsidRPr="00CE0885">
        <w:rPr>
          <w:lang w:eastAsia="en-GB"/>
        </w:rPr>
        <w:t xml:space="preserve">a </w:t>
      </w:r>
      <w:r w:rsidRPr="00CE0885">
        <w:rPr>
          <w:spacing w:val="-3"/>
          <w:lang w:eastAsia="en-GB"/>
        </w:rPr>
        <w:t>w</w:t>
      </w:r>
      <w:r w:rsidRPr="00CE0885">
        <w:rPr>
          <w:lang w:eastAsia="en-GB"/>
        </w:rPr>
        <w:t>ell</w:t>
      </w:r>
      <w:r w:rsidRPr="00CE0885">
        <w:rPr>
          <w:spacing w:val="-1"/>
          <w:lang w:eastAsia="en-GB"/>
        </w:rPr>
        <w:t>-</w:t>
      </w:r>
      <w:r w:rsidRPr="00CE0885">
        <w:rPr>
          <w:lang w:eastAsia="en-GB"/>
        </w:rPr>
        <w:t xml:space="preserve">established </w:t>
      </w:r>
      <w:r w:rsidRPr="00CE0885">
        <w:rPr>
          <w:spacing w:val="-1"/>
          <w:lang w:eastAsia="en-GB"/>
        </w:rPr>
        <w:t>r</w:t>
      </w:r>
      <w:r w:rsidRPr="00CE0885">
        <w:rPr>
          <w:lang w:eastAsia="en-GB"/>
        </w:rPr>
        <w:t>elationsh</w:t>
      </w:r>
      <w:r w:rsidRPr="00CE0885">
        <w:rPr>
          <w:spacing w:val="-3"/>
          <w:lang w:eastAsia="en-GB"/>
        </w:rPr>
        <w:t>i</w:t>
      </w:r>
      <w:r w:rsidRPr="00CE0885">
        <w:rPr>
          <w:lang w:eastAsia="en-GB"/>
        </w:rPr>
        <w:t>p,</w:t>
      </w:r>
      <w:r w:rsidRPr="00CE0885">
        <w:rPr>
          <w:spacing w:val="-12"/>
          <w:lang w:eastAsia="en-GB"/>
        </w:rPr>
        <w:t xml:space="preserve"> </w:t>
      </w:r>
      <w:r w:rsidRPr="00CE0885">
        <w:rPr>
          <w:spacing w:val="-2"/>
          <w:lang w:eastAsia="en-GB"/>
        </w:rPr>
        <w:t>t</w:t>
      </w:r>
      <w:r w:rsidRPr="00CE0885">
        <w:rPr>
          <w:lang w:eastAsia="en-GB"/>
        </w:rPr>
        <w:t xml:space="preserve">o </w:t>
      </w:r>
      <w:r w:rsidRPr="00CE0885">
        <w:rPr>
          <w:spacing w:val="-1"/>
          <w:lang w:eastAsia="en-GB"/>
        </w:rPr>
        <w:t>re</w:t>
      </w:r>
      <w:r w:rsidRPr="00CE0885">
        <w:rPr>
          <w:spacing w:val="2"/>
          <w:lang w:eastAsia="en-GB"/>
        </w:rPr>
        <w:t>m</w:t>
      </w:r>
      <w:r w:rsidRPr="00CE0885">
        <w:rPr>
          <w:lang w:eastAsia="en-GB"/>
        </w:rPr>
        <w:t>ain</w:t>
      </w:r>
      <w:r w:rsidRPr="00CE0885">
        <w:rPr>
          <w:spacing w:val="-8"/>
          <w:lang w:eastAsia="en-GB"/>
        </w:rPr>
        <w:t xml:space="preserve"> </w:t>
      </w:r>
      <w:r w:rsidRPr="00CE0885">
        <w:rPr>
          <w:spacing w:val="-1"/>
          <w:lang w:eastAsia="en-GB"/>
        </w:rPr>
        <w:t>r</w:t>
      </w:r>
      <w:r w:rsidRPr="00CE0885">
        <w:rPr>
          <w:lang w:eastAsia="en-GB"/>
        </w:rPr>
        <w:t>e</w:t>
      </w:r>
      <w:r w:rsidRPr="00CE0885">
        <w:rPr>
          <w:spacing w:val="-1"/>
          <w:lang w:eastAsia="en-GB"/>
        </w:rPr>
        <w:t>g</w:t>
      </w:r>
      <w:r w:rsidRPr="00CE0885">
        <w:rPr>
          <w:lang w:eastAsia="en-GB"/>
        </w:rPr>
        <w:t>iste</w:t>
      </w:r>
      <w:r w:rsidRPr="00CE0885">
        <w:rPr>
          <w:spacing w:val="-1"/>
          <w:lang w:eastAsia="en-GB"/>
        </w:rPr>
        <w:t>r</w:t>
      </w:r>
      <w:r w:rsidRPr="00CE0885">
        <w:rPr>
          <w:lang w:eastAsia="en-GB"/>
        </w:rPr>
        <w:t>ed.</w:t>
      </w:r>
      <w:bookmarkEnd w:id="803"/>
    </w:p>
    <w:p w14:paraId="68C88007" w14:textId="5E0B0BAA" w:rsidR="00977693" w:rsidRPr="00CE0885" w:rsidRDefault="00977693" w:rsidP="00980A75">
      <w:pPr>
        <w:pStyle w:val="Heading3"/>
        <w:rPr>
          <w:lang w:eastAsia="en-GB"/>
        </w:rPr>
      </w:pPr>
      <w:bookmarkStart w:id="804" w:name="_Toc440981931"/>
      <w:r w:rsidRPr="00CE0885">
        <w:rPr>
          <w:lang w:eastAsia="en-GB"/>
        </w:rPr>
        <w:t>For</w:t>
      </w:r>
      <w:r w:rsidRPr="00CE0885">
        <w:rPr>
          <w:spacing w:val="-4"/>
          <w:lang w:eastAsia="en-GB"/>
        </w:rPr>
        <w:t xml:space="preserve"> </w:t>
      </w:r>
      <w:r w:rsidRPr="00CE0885">
        <w:rPr>
          <w:lang w:eastAsia="en-GB"/>
        </w:rPr>
        <w:t>the</w:t>
      </w:r>
      <w:r w:rsidRPr="00CE0885">
        <w:rPr>
          <w:spacing w:val="-4"/>
          <w:lang w:eastAsia="en-GB"/>
        </w:rPr>
        <w:t xml:space="preserve"> </w:t>
      </w:r>
      <w:r w:rsidRPr="00CE0885">
        <w:rPr>
          <w:lang w:eastAsia="en-GB"/>
        </w:rPr>
        <w:t>pu</w:t>
      </w:r>
      <w:r w:rsidRPr="00CE0885">
        <w:rPr>
          <w:spacing w:val="-1"/>
          <w:lang w:eastAsia="en-GB"/>
        </w:rPr>
        <w:t>rp</w:t>
      </w:r>
      <w:r w:rsidRPr="00CE0885">
        <w:rPr>
          <w:lang w:eastAsia="en-GB"/>
        </w:rPr>
        <w:t>oses</w:t>
      </w:r>
      <w:r w:rsidRPr="00CE0885">
        <w:rPr>
          <w:spacing w:val="-12"/>
          <w:lang w:eastAsia="en-GB"/>
        </w:rPr>
        <w:t xml:space="preserve"> </w:t>
      </w:r>
      <w:r w:rsidRPr="00CE0885">
        <w:rPr>
          <w:spacing w:val="-1"/>
          <w:lang w:eastAsia="en-GB"/>
        </w:rPr>
        <w:t>o</w:t>
      </w:r>
      <w:r w:rsidRPr="00CE0885">
        <w:rPr>
          <w:lang w:eastAsia="en-GB"/>
        </w:rPr>
        <w:t>f s</w:t>
      </w:r>
      <w:r w:rsidRPr="00CE0885">
        <w:rPr>
          <w:spacing w:val="-1"/>
          <w:lang w:eastAsia="en-GB"/>
        </w:rPr>
        <w:t>er</w:t>
      </w:r>
      <w:r w:rsidRPr="00CE0885">
        <w:rPr>
          <w:lang w:eastAsia="en-GB"/>
        </w:rPr>
        <w:t>vice</w:t>
      </w:r>
      <w:r w:rsidRPr="00CE0885">
        <w:rPr>
          <w:spacing w:val="-6"/>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2"/>
          <w:lang w:eastAsia="en-GB"/>
        </w:rPr>
        <w:t>v</w:t>
      </w:r>
      <w:r w:rsidRPr="00CE0885">
        <w:rPr>
          <w:lang w:eastAsia="en-GB"/>
        </w:rPr>
        <w:t>ision,</w:t>
      </w:r>
      <w:r w:rsidRPr="00CE0885">
        <w:rPr>
          <w:spacing w:val="-9"/>
          <w:lang w:eastAsia="en-GB"/>
        </w:rPr>
        <w:t xml:space="preserve"> </w:t>
      </w:r>
      <w:r w:rsidRPr="00CE0885">
        <w:rPr>
          <w:lang w:eastAsia="en-GB"/>
        </w:rPr>
        <w:t>the</w:t>
      </w:r>
      <w:r w:rsidRPr="00CE0885">
        <w:rPr>
          <w:spacing w:val="-4"/>
          <w:lang w:eastAsia="en-GB"/>
        </w:rPr>
        <w:t xml:space="preserve"> </w:t>
      </w:r>
      <w:r w:rsidRPr="00CE0885">
        <w:rPr>
          <w:lang w:eastAsia="en-GB"/>
        </w:rPr>
        <w:t>full</w:t>
      </w:r>
      <w:r w:rsidRPr="00CE0885">
        <w:rPr>
          <w:spacing w:val="-5"/>
          <w:lang w:eastAsia="en-GB"/>
        </w:rPr>
        <w:t xml:space="preserve"> </w:t>
      </w:r>
      <w:r w:rsidRPr="00CE0885">
        <w:rPr>
          <w:spacing w:val="-1"/>
          <w:lang w:eastAsia="en-GB"/>
        </w:rPr>
        <w:t>r</w:t>
      </w:r>
      <w:r w:rsidRPr="00CE0885">
        <w:rPr>
          <w:lang w:eastAsia="en-GB"/>
        </w:rPr>
        <w:t>an</w:t>
      </w:r>
      <w:r w:rsidRPr="00CE0885">
        <w:rPr>
          <w:spacing w:val="-1"/>
          <w:lang w:eastAsia="en-GB"/>
        </w:rPr>
        <w:t>g</w:t>
      </w:r>
      <w:r w:rsidRPr="00CE0885">
        <w:rPr>
          <w:lang w:eastAsia="en-GB"/>
        </w:rPr>
        <w:t>e</w:t>
      </w:r>
      <w:r w:rsidRPr="00CE0885">
        <w:rPr>
          <w:spacing w:val="-4"/>
          <w:lang w:eastAsia="en-GB"/>
        </w:rPr>
        <w:t xml:space="preserve"> </w:t>
      </w:r>
      <w:r w:rsidRPr="00CE0885">
        <w:rPr>
          <w:spacing w:val="-1"/>
          <w:lang w:eastAsia="en-GB"/>
        </w:rPr>
        <w:t>o</w:t>
      </w:r>
      <w:r w:rsidRPr="00CE0885">
        <w:rPr>
          <w:lang w:eastAsia="en-GB"/>
        </w:rPr>
        <w:t xml:space="preserve">f </w:t>
      </w:r>
      <w:r w:rsidRPr="00CE0885">
        <w:rPr>
          <w:spacing w:val="-2"/>
          <w:lang w:eastAsia="en-GB"/>
        </w:rPr>
        <w:t>c</w:t>
      </w:r>
      <w:r w:rsidRPr="00CE0885">
        <w:rPr>
          <w:lang w:eastAsia="en-GB"/>
        </w:rPr>
        <w:t>ont</w:t>
      </w:r>
      <w:r w:rsidRPr="00CE0885">
        <w:rPr>
          <w:spacing w:val="-1"/>
          <w:lang w:eastAsia="en-GB"/>
        </w:rPr>
        <w:t>r</w:t>
      </w:r>
      <w:r w:rsidRPr="00CE0885">
        <w:rPr>
          <w:lang w:eastAsia="en-GB"/>
        </w:rPr>
        <w:t>a</w:t>
      </w:r>
      <w:r w:rsidRPr="00CE0885">
        <w:rPr>
          <w:spacing w:val="-2"/>
          <w:lang w:eastAsia="en-GB"/>
        </w:rPr>
        <w:t>c</w:t>
      </w:r>
      <w:r w:rsidRPr="00CE0885">
        <w:rPr>
          <w:lang w:eastAsia="en-GB"/>
        </w:rPr>
        <w:t>tual se</w:t>
      </w:r>
      <w:r w:rsidRPr="00CE0885">
        <w:rPr>
          <w:spacing w:val="-1"/>
          <w:lang w:eastAsia="en-GB"/>
        </w:rPr>
        <w:t>r</w:t>
      </w:r>
      <w:r w:rsidRPr="00CE0885">
        <w:rPr>
          <w:spacing w:val="-2"/>
          <w:lang w:eastAsia="en-GB"/>
        </w:rPr>
        <w:t>v</w:t>
      </w:r>
      <w:r w:rsidRPr="00CE0885">
        <w:rPr>
          <w:lang w:eastAsia="en-GB"/>
        </w:rPr>
        <w:t>ices</w:t>
      </w:r>
      <w:r w:rsidRPr="00CE0885">
        <w:rPr>
          <w:spacing w:val="-9"/>
          <w:lang w:eastAsia="en-GB"/>
        </w:rPr>
        <w:t xml:space="preserve"> </w:t>
      </w:r>
      <w:r w:rsidRPr="00CE0885">
        <w:rPr>
          <w:spacing w:val="2"/>
          <w:lang w:eastAsia="en-GB"/>
        </w:rPr>
        <w:t>m</w:t>
      </w:r>
      <w:r w:rsidRPr="00CE0885">
        <w:rPr>
          <w:lang w:eastAsia="en-GB"/>
        </w:rPr>
        <w:t>ust</w:t>
      </w:r>
      <w:r w:rsidRPr="00CE0885">
        <w:rPr>
          <w:spacing w:val="-4"/>
          <w:lang w:eastAsia="en-GB"/>
        </w:rPr>
        <w:t xml:space="preserve"> </w:t>
      </w:r>
      <w:r w:rsidRPr="00CE0885">
        <w:rPr>
          <w:spacing w:val="-1"/>
          <w:lang w:eastAsia="en-GB"/>
        </w:rPr>
        <w:t>b</w:t>
      </w:r>
      <w:r w:rsidRPr="00CE0885">
        <w:rPr>
          <w:lang w:eastAsia="en-GB"/>
        </w:rPr>
        <w:t>e</w:t>
      </w:r>
      <w:r w:rsidRPr="00CE0885">
        <w:rPr>
          <w:spacing w:val="-4"/>
          <w:lang w:eastAsia="en-GB"/>
        </w:rPr>
        <w:t xml:space="preserve"> </w:t>
      </w:r>
      <w:r w:rsidRPr="00CE0885">
        <w:rPr>
          <w:spacing w:val="2"/>
          <w:lang w:eastAsia="en-GB"/>
        </w:rPr>
        <w:t>m</w:t>
      </w:r>
      <w:r w:rsidRPr="00CE0885">
        <w:rPr>
          <w:lang w:eastAsia="en-GB"/>
        </w:rPr>
        <w:t>a</w:t>
      </w:r>
      <w:r w:rsidRPr="00CE0885">
        <w:rPr>
          <w:spacing w:val="-1"/>
          <w:lang w:eastAsia="en-GB"/>
        </w:rPr>
        <w:t>d</w:t>
      </w:r>
      <w:r w:rsidRPr="00CE0885">
        <w:rPr>
          <w:lang w:eastAsia="en-GB"/>
        </w:rPr>
        <w:t>e</w:t>
      </w:r>
      <w:r w:rsidRPr="00CE0885">
        <w:rPr>
          <w:spacing w:val="-4"/>
          <w:lang w:eastAsia="en-GB"/>
        </w:rPr>
        <w:t xml:space="preserve"> </w:t>
      </w:r>
      <w:r w:rsidRPr="00CE0885">
        <w:rPr>
          <w:lang w:eastAsia="en-GB"/>
        </w:rPr>
        <w:t>a</w:t>
      </w:r>
      <w:r w:rsidRPr="00CE0885">
        <w:rPr>
          <w:spacing w:val="-2"/>
          <w:lang w:eastAsia="en-GB"/>
        </w:rPr>
        <w:t>v</w:t>
      </w:r>
      <w:r w:rsidRPr="00CE0885">
        <w:rPr>
          <w:lang w:eastAsia="en-GB"/>
        </w:rPr>
        <w:t>ailable</w:t>
      </w:r>
      <w:r w:rsidRPr="00CE0885">
        <w:rPr>
          <w:spacing w:val="-7"/>
          <w:lang w:eastAsia="en-GB"/>
        </w:rPr>
        <w:t xml:space="preserve"> </w:t>
      </w:r>
      <w:r w:rsidRPr="00CE0885">
        <w:rPr>
          <w:spacing w:val="-2"/>
          <w:lang w:eastAsia="en-GB"/>
        </w:rPr>
        <w:t>t</w:t>
      </w:r>
      <w:r w:rsidRPr="00CE0885">
        <w:rPr>
          <w:lang w:eastAsia="en-GB"/>
        </w:rPr>
        <w:t>o t</w:t>
      </w:r>
      <w:r w:rsidRPr="00CE0885">
        <w:rPr>
          <w:spacing w:val="-1"/>
          <w:lang w:eastAsia="en-GB"/>
        </w:rPr>
        <w:t>h</w:t>
      </w:r>
      <w:r w:rsidRPr="00CE0885">
        <w:rPr>
          <w:lang w:eastAsia="en-GB"/>
        </w:rPr>
        <w:t>ose</w:t>
      </w:r>
      <w:r w:rsidRPr="00CE0885">
        <w:rPr>
          <w:spacing w:val="-7"/>
          <w:lang w:eastAsia="en-GB"/>
        </w:rPr>
        <w:t xml:space="preserve"> </w:t>
      </w:r>
      <w:r w:rsidRPr="00CE0885">
        <w:rPr>
          <w:lang w:eastAsia="en-GB"/>
        </w:rPr>
        <w:t>p</w:t>
      </w:r>
      <w:r w:rsidRPr="00CE0885">
        <w:rPr>
          <w:spacing w:val="-1"/>
          <w:lang w:eastAsia="en-GB"/>
        </w:rPr>
        <w:t>a</w:t>
      </w:r>
      <w:r w:rsidRPr="00CE0885">
        <w:rPr>
          <w:lang w:eastAsia="en-GB"/>
        </w:rPr>
        <w:t>tients</w:t>
      </w:r>
      <w:r w:rsidRPr="00CE0885">
        <w:rPr>
          <w:spacing w:val="-8"/>
          <w:lang w:eastAsia="en-GB"/>
        </w:rPr>
        <w:t xml:space="preserve"> </w:t>
      </w:r>
      <w:r w:rsidRPr="00CE0885">
        <w:rPr>
          <w:spacing w:val="-1"/>
          <w:lang w:eastAsia="en-GB"/>
        </w:rPr>
        <w:t>r</w:t>
      </w:r>
      <w:r w:rsidRPr="00CE0885">
        <w:rPr>
          <w:lang w:eastAsia="en-GB"/>
        </w:rPr>
        <w:t>e</w:t>
      </w:r>
      <w:r w:rsidRPr="00CE0885">
        <w:rPr>
          <w:spacing w:val="-1"/>
          <w:lang w:eastAsia="en-GB"/>
        </w:rPr>
        <w:t>g</w:t>
      </w:r>
      <w:r w:rsidRPr="00CE0885">
        <w:rPr>
          <w:lang w:eastAsia="en-GB"/>
        </w:rPr>
        <w:t>iste</w:t>
      </w:r>
      <w:r w:rsidRPr="00CE0885">
        <w:rPr>
          <w:spacing w:val="-1"/>
          <w:lang w:eastAsia="en-GB"/>
        </w:rPr>
        <w:t>r</w:t>
      </w:r>
      <w:r w:rsidRPr="00CE0885">
        <w:rPr>
          <w:lang w:eastAsia="en-GB"/>
        </w:rPr>
        <w:t>ed</w:t>
      </w:r>
      <w:r w:rsidRPr="00CE0885">
        <w:rPr>
          <w:spacing w:val="-12"/>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the p</w:t>
      </w:r>
      <w:r w:rsidRPr="00CE0885">
        <w:rPr>
          <w:spacing w:val="-1"/>
          <w:lang w:eastAsia="en-GB"/>
        </w:rPr>
        <w:t>r</w:t>
      </w:r>
      <w:r w:rsidRPr="00CE0885">
        <w:rPr>
          <w:lang w:eastAsia="en-GB"/>
        </w:rPr>
        <w:t>actice</w:t>
      </w:r>
      <w:r w:rsidRPr="00CE0885">
        <w:rPr>
          <w:spacing w:val="-6"/>
          <w:lang w:eastAsia="en-GB"/>
        </w:rPr>
        <w:t xml:space="preserve"> </w:t>
      </w:r>
      <w:r w:rsidRPr="00CE0885">
        <w:rPr>
          <w:spacing w:val="-3"/>
          <w:lang w:eastAsia="en-GB"/>
        </w:rPr>
        <w:t>w</w:t>
      </w:r>
      <w:r w:rsidRPr="00CE0885">
        <w:rPr>
          <w:lang w:eastAsia="en-GB"/>
        </w:rPr>
        <w:t>ithin</w:t>
      </w:r>
      <w:r w:rsidRPr="00CE0885">
        <w:rPr>
          <w:spacing w:val="-4"/>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o</w:t>
      </w:r>
      <w:r w:rsidRPr="00CE0885">
        <w:rPr>
          <w:lang w:eastAsia="en-GB"/>
        </w:rPr>
        <w:t>ut</w:t>
      </w:r>
      <w:r w:rsidRPr="00CE0885">
        <w:rPr>
          <w:spacing w:val="-1"/>
          <w:lang w:eastAsia="en-GB"/>
        </w:rPr>
        <w:t>e</w:t>
      </w:r>
      <w:r w:rsidRPr="00CE0885">
        <w:rPr>
          <w:lang w:eastAsia="en-GB"/>
        </w:rPr>
        <w:t>r</w:t>
      </w:r>
      <w:r w:rsidRPr="00CE0885">
        <w:rPr>
          <w:spacing w:val="-5"/>
          <w:lang w:eastAsia="en-GB"/>
        </w:rPr>
        <w:t xml:space="preserve"> </w:t>
      </w:r>
      <w:r w:rsidRPr="00CE0885">
        <w:rPr>
          <w:lang w:eastAsia="en-GB"/>
        </w:rPr>
        <w:t>bou</w:t>
      </w:r>
      <w:r w:rsidRPr="00CE0885">
        <w:rPr>
          <w:spacing w:val="-1"/>
          <w:lang w:eastAsia="en-GB"/>
        </w:rPr>
        <w:t>n</w:t>
      </w:r>
      <w:r w:rsidRPr="00CE0885">
        <w:rPr>
          <w:lang w:eastAsia="en-GB"/>
        </w:rPr>
        <w:t>da</w:t>
      </w:r>
      <w:r w:rsidRPr="00CE0885">
        <w:rPr>
          <w:spacing w:val="-1"/>
          <w:lang w:eastAsia="en-GB"/>
        </w:rPr>
        <w:t>r</w:t>
      </w:r>
      <w:r w:rsidRPr="00CE0885">
        <w:rPr>
          <w:lang w:eastAsia="en-GB"/>
        </w:rPr>
        <w:t>y</w:t>
      </w:r>
      <w:r w:rsidRPr="00CE0885">
        <w:rPr>
          <w:spacing w:val="-12"/>
          <w:lang w:eastAsia="en-GB"/>
        </w:rPr>
        <w:t xml:space="preserve"> </w:t>
      </w:r>
      <w:r w:rsidRPr="00CE0885">
        <w:rPr>
          <w:lang w:eastAsia="en-GB"/>
        </w:rPr>
        <w:t>and</w:t>
      </w:r>
      <w:r w:rsidRPr="00CE0885">
        <w:rPr>
          <w:spacing w:val="-5"/>
          <w:lang w:eastAsia="en-GB"/>
        </w:rPr>
        <w:t xml:space="preserve"> </w:t>
      </w:r>
      <w:r w:rsidRPr="00CE0885">
        <w:rPr>
          <w:lang w:eastAsia="en-GB"/>
        </w:rPr>
        <w:t>the</w:t>
      </w:r>
      <w:r w:rsidRPr="00CE0885">
        <w:rPr>
          <w:spacing w:val="-4"/>
          <w:lang w:eastAsia="en-GB"/>
        </w:rPr>
        <w:t xml:space="preserve"> </w:t>
      </w:r>
      <w:r w:rsidRPr="00CE0885">
        <w:rPr>
          <w:lang w:eastAsia="en-GB"/>
        </w:rPr>
        <w:t>o</w:t>
      </w:r>
      <w:r w:rsidRPr="00CE0885">
        <w:rPr>
          <w:spacing w:val="-1"/>
          <w:lang w:eastAsia="en-GB"/>
        </w:rPr>
        <w:t>u</w:t>
      </w:r>
      <w:r w:rsidRPr="00CE0885">
        <w:rPr>
          <w:spacing w:val="-2"/>
          <w:lang w:eastAsia="en-GB"/>
        </w:rPr>
        <w:t>t</w:t>
      </w:r>
      <w:r w:rsidRPr="00CE0885">
        <w:rPr>
          <w:lang w:eastAsia="en-GB"/>
        </w:rPr>
        <w:t>er</w:t>
      </w:r>
      <w:r w:rsidRPr="00CE0885">
        <w:rPr>
          <w:spacing w:val="-5"/>
          <w:lang w:eastAsia="en-GB"/>
        </w:rPr>
        <w:t xml:space="preserve"> </w:t>
      </w:r>
      <w:r w:rsidRPr="00CE0885">
        <w:rPr>
          <w:lang w:eastAsia="en-GB"/>
        </w:rPr>
        <w:t>bo</w:t>
      </w:r>
      <w:r w:rsidRPr="00CE0885">
        <w:rPr>
          <w:spacing w:val="-1"/>
          <w:lang w:eastAsia="en-GB"/>
        </w:rPr>
        <w:t>u</w:t>
      </w:r>
      <w:r w:rsidRPr="00CE0885">
        <w:rPr>
          <w:lang w:eastAsia="en-GB"/>
        </w:rPr>
        <w:t>n</w:t>
      </w:r>
      <w:r w:rsidRPr="00CE0885">
        <w:rPr>
          <w:spacing w:val="-1"/>
          <w:lang w:eastAsia="en-GB"/>
        </w:rPr>
        <w:t>d</w:t>
      </w:r>
      <w:r w:rsidRPr="00CE0885">
        <w:rPr>
          <w:lang w:eastAsia="en-GB"/>
        </w:rPr>
        <w:t>a</w:t>
      </w:r>
      <w:r w:rsidRPr="00CE0885">
        <w:rPr>
          <w:spacing w:val="-1"/>
          <w:lang w:eastAsia="en-GB"/>
        </w:rPr>
        <w:t>r</w:t>
      </w:r>
      <w:r w:rsidRPr="00CE0885">
        <w:rPr>
          <w:lang w:eastAsia="en-GB"/>
        </w:rPr>
        <w:t>y</w:t>
      </w:r>
      <w:r w:rsidRPr="00CE0885">
        <w:rPr>
          <w:spacing w:val="-12"/>
          <w:lang w:eastAsia="en-GB"/>
        </w:rPr>
        <w:t xml:space="preserve"> </w:t>
      </w:r>
      <w:r w:rsidRPr="00CE0885">
        <w:rPr>
          <w:lang w:eastAsia="en-GB"/>
        </w:rPr>
        <w:t>a</w:t>
      </w:r>
      <w:r w:rsidRPr="00CE0885">
        <w:rPr>
          <w:spacing w:val="-1"/>
          <w:lang w:eastAsia="en-GB"/>
        </w:rPr>
        <w:t>r</w:t>
      </w:r>
      <w:r w:rsidRPr="00CE0885">
        <w:rPr>
          <w:lang w:eastAsia="en-GB"/>
        </w:rPr>
        <w:t>ea</w:t>
      </w:r>
      <w:r w:rsidRPr="00CE0885">
        <w:rPr>
          <w:spacing w:val="-3"/>
          <w:lang w:eastAsia="en-GB"/>
        </w:rPr>
        <w:t xml:space="preserve"> </w:t>
      </w:r>
      <w:r w:rsidRPr="00CE0885">
        <w:rPr>
          <w:spacing w:val="-1"/>
          <w:lang w:eastAsia="en-GB"/>
        </w:rPr>
        <w:t>m</w:t>
      </w:r>
      <w:r w:rsidRPr="00CE0885">
        <w:rPr>
          <w:lang w:eastAsia="en-GB"/>
        </w:rPr>
        <w:t>ust be</w:t>
      </w:r>
      <w:r w:rsidRPr="00CE0885">
        <w:rPr>
          <w:spacing w:val="-1"/>
          <w:lang w:eastAsia="en-GB"/>
        </w:rPr>
        <w:t xml:space="preserve"> </w:t>
      </w:r>
      <w:r w:rsidRPr="00CE0885">
        <w:rPr>
          <w:lang w:eastAsia="en-GB"/>
        </w:rPr>
        <w:t>t</w:t>
      </w:r>
      <w:r w:rsidRPr="00CE0885">
        <w:rPr>
          <w:spacing w:val="-1"/>
          <w:lang w:eastAsia="en-GB"/>
        </w:rPr>
        <w:t>re</w:t>
      </w:r>
      <w:r w:rsidRPr="00CE0885">
        <w:rPr>
          <w:lang w:eastAsia="en-GB"/>
        </w:rPr>
        <w:t>at</w:t>
      </w:r>
      <w:r w:rsidRPr="00CE0885">
        <w:rPr>
          <w:spacing w:val="-1"/>
          <w:lang w:eastAsia="en-GB"/>
        </w:rPr>
        <w:t>e</w:t>
      </w:r>
      <w:r w:rsidRPr="00CE0885">
        <w:rPr>
          <w:lang w:eastAsia="en-GB"/>
        </w:rPr>
        <w:t>d</w:t>
      </w:r>
      <w:r w:rsidRPr="00CE0885">
        <w:rPr>
          <w:spacing w:val="-5"/>
          <w:lang w:eastAsia="en-GB"/>
        </w:rPr>
        <w:t xml:space="preserve"> </w:t>
      </w:r>
      <w:r w:rsidRPr="00CE0885">
        <w:rPr>
          <w:lang w:eastAsia="en-GB"/>
        </w:rPr>
        <w:t>as</w:t>
      </w:r>
      <w:r w:rsidRPr="00CE0885">
        <w:rPr>
          <w:spacing w:val="-5"/>
          <w:lang w:eastAsia="en-GB"/>
        </w:rPr>
        <w:t xml:space="preserve"> </w:t>
      </w:r>
      <w:r w:rsidRPr="00CE0885">
        <w:rPr>
          <w:lang w:eastAsia="en-GB"/>
        </w:rPr>
        <w:t>pa</w:t>
      </w:r>
      <w:r w:rsidRPr="00CE0885">
        <w:rPr>
          <w:spacing w:val="-1"/>
          <w:lang w:eastAsia="en-GB"/>
        </w:rPr>
        <w:t>r</w:t>
      </w:r>
      <w:r w:rsidRPr="00CE0885">
        <w:rPr>
          <w:lang w:eastAsia="en-GB"/>
        </w:rPr>
        <w:t>t</w:t>
      </w:r>
      <w:r w:rsidRPr="00CE0885">
        <w:rPr>
          <w:spacing w:val="-5"/>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p</w:t>
      </w:r>
      <w:r w:rsidRPr="00CE0885">
        <w:rPr>
          <w:spacing w:val="-1"/>
          <w:lang w:eastAsia="en-GB"/>
        </w:rPr>
        <w:t>r</w:t>
      </w:r>
      <w:r w:rsidRPr="00CE0885">
        <w:rPr>
          <w:lang w:eastAsia="en-GB"/>
        </w:rPr>
        <w:t>actice’s</w:t>
      </w:r>
      <w:r w:rsidRPr="00CE0885">
        <w:rPr>
          <w:spacing w:val="-12"/>
          <w:lang w:eastAsia="en-GB"/>
        </w:rPr>
        <w:t xml:space="preserve"> </w:t>
      </w:r>
      <w:r w:rsidRPr="00CE0885">
        <w:rPr>
          <w:lang w:eastAsia="en-GB"/>
        </w:rPr>
        <w:t>co</w:t>
      </w:r>
      <w:r w:rsidRPr="00CE0885">
        <w:rPr>
          <w:spacing w:val="-1"/>
          <w:lang w:eastAsia="en-GB"/>
        </w:rPr>
        <w:t>n</w:t>
      </w:r>
      <w:r w:rsidRPr="00CE0885">
        <w:rPr>
          <w:lang w:eastAsia="en-GB"/>
        </w:rPr>
        <w:t>t</w:t>
      </w:r>
      <w:r w:rsidRPr="00CE0885">
        <w:rPr>
          <w:spacing w:val="-1"/>
          <w:lang w:eastAsia="en-GB"/>
        </w:rPr>
        <w:t>r</w:t>
      </w:r>
      <w:r w:rsidRPr="00CE0885">
        <w:rPr>
          <w:lang w:eastAsia="en-GB"/>
        </w:rPr>
        <w:t>act</w:t>
      </w:r>
      <w:r w:rsidRPr="00CE0885">
        <w:rPr>
          <w:spacing w:val="-1"/>
          <w:lang w:eastAsia="en-GB"/>
        </w:rPr>
        <w:t>e</w:t>
      </w:r>
      <w:r w:rsidRPr="00CE0885">
        <w:rPr>
          <w:lang w:eastAsia="en-GB"/>
        </w:rPr>
        <w:t>d</w:t>
      </w:r>
      <w:r w:rsidRPr="00CE0885">
        <w:rPr>
          <w:spacing w:val="-12"/>
          <w:lang w:eastAsia="en-GB"/>
        </w:rPr>
        <w:t xml:space="preserve"> </w:t>
      </w:r>
      <w:r w:rsidRPr="00CE0885">
        <w:rPr>
          <w:lang w:eastAsia="en-GB"/>
        </w:rPr>
        <w:t>a</w:t>
      </w:r>
      <w:r w:rsidRPr="00CE0885">
        <w:rPr>
          <w:spacing w:val="-1"/>
          <w:lang w:eastAsia="en-GB"/>
        </w:rPr>
        <w:t>r</w:t>
      </w:r>
      <w:r w:rsidRPr="00CE0885">
        <w:rPr>
          <w:lang w:eastAsia="en-GB"/>
        </w:rPr>
        <w:t>ea.</w:t>
      </w:r>
      <w:bookmarkEnd w:id="804"/>
    </w:p>
    <w:p w14:paraId="6EE46D6C" w14:textId="65BF2F15" w:rsidR="00977693" w:rsidRPr="00CE0885" w:rsidRDefault="00977693" w:rsidP="00980A75">
      <w:pPr>
        <w:pStyle w:val="Heading3"/>
        <w:rPr>
          <w:lang w:eastAsia="en-GB"/>
        </w:rPr>
      </w:pPr>
      <w:bookmarkStart w:id="805" w:name="_Toc440981932"/>
      <w:r w:rsidRPr="00CE0885">
        <w:rPr>
          <w:lang w:eastAsia="en-GB"/>
        </w:rPr>
        <w:t>Any</w:t>
      </w:r>
      <w:r w:rsidRPr="00CE0885">
        <w:rPr>
          <w:spacing w:val="-6"/>
          <w:lang w:eastAsia="en-GB"/>
        </w:rPr>
        <w:t xml:space="preserve"> </w:t>
      </w:r>
      <w:r w:rsidRPr="00CE0885">
        <w:rPr>
          <w:lang w:eastAsia="en-GB"/>
        </w:rPr>
        <w:t>chan</w:t>
      </w:r>
      <w:r w:rsidRPr="00CE0885">
        <w:rPr>
          <w:spacing w:val="-1"/>
          <w:lang w:eastAsia="en-GB"/>
        </w:rPr>
        <w:t>g</w:t>
      </w:r>
      <w:r w:rsidRPr="00CE0885">
        <w:rPr>
          <w:lang w:eastAsia="en-GB"/>
        </w:rPr>
        <w:t>es</w:t>
      </w:r>
      <w:r w:rsidRPr="00CE0885">
        <w:rPr>
          <w:spacing w:val="-9"/>
          <w:lang w:eastAsia="en-GB"/>
        </w:rPr>
        <w:t xml:space="preserve"> </w:t>
      </w:r>
      <w:r w:rsidRPr="00CE0885">
        <w:rPr>
          <w:spacing w:val="-2"/>
          <w:lang w:eastAsia="en-GB"/>
        </w:rPr>
        <w:t>t</w:t>
      </w:r>
      <w:r w:rsidRPr="00CE0885">
        <w:rPr>
          <w:lang w:eastAsia="en-GB"/>
        </w:rPr>
        <w:t>o 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p</w:t>
      </w:r>
      <w:r w:rsidRPr="00CE0885">
        <w:rPr>
          <w:spacing w:val="-3"/>
          <w:lang w:eastAsia="en-GB"/>
        </w:rPr>
        <w:t>r</w:t>
      </w:r>
      <w:r w:rsidRPr="00CE0885">
        <w:rPr>
          <w:lang w:eastAsia="en-GB"/>
        </w:rPr>
        <w:t>actice</w:t>
      </w:r>
      <w:r w:rsidRPr="00CE0885">
        <w:rPr>
          <w:spacing w:val="-6"/>
          <w:lang w:eastAsia="en-GB"/>
        </w:rPr>
        <w:t xml:space="preserve"> </w:t>
      </w:r>
      <w:r w:rsidRPr="00CE0885">
        <w:rPr>
          <w:lang w:eastAsia="en-GB"/>
        </w:rPr>
        <w:t>a</w:t>
      </w:r>
      <w:r w:rsidRPr="00CE0885">
        <w:rPr>
          <w:spacing w:val="-1"/>
          <w:lang w:eastAsia="en-GB"/>
        </w:rPr>
        <w:t>rea</w:t>
      </w:r>
      <w:r w:rsidRPr="00CE0885">
        <w:rPr>
          <w:spacing w:val="17"/>
          <w:position w:val="11"/>
          <w:lang w:eastAsia="en-GB"/>
        </w:rPr>
        <w:t xml:space="preserve"> </w:t>
      </w:r>
      <w:r w:rsidRPr="00CE0885">
        <w:rPr>
          <w:spacing w:val="-1"/>
          <w:lang w:eastAsia="en-GB"/>
        </w:rPr>
        <w:t>(</w:t>
      </w:r>
      <w:r w:rsidRPr="00CE0885">
        <w:rPr>
          <w:spacing w:val="2"/>
          <w:lang w:eastAsia="en-GB"/>
        </w:rPr>
        <w:t>m</w:t>
      </w:r>
      <w:r w:rsidRPr="00CE0885">
        <w:rPr>
          <w:lang w:eastAsia="en-GB"/>
        </w:rPr>
        <w:t>ain</w:t>
      </w:r>
      <w:r w:rsidRPr="00CE0885">
        <w:rPr>
          <w:spacing w:val="-7"/>
          <w:lang w:eastAsia="en-GB"/>
        </w:rPr>
        <w:t xml:space="preserve"> </w:t>
      </w:r>
      <w:r w:rsidRPr="00CE0885">
        <w:rPr>
          <w:lang w:eastAsia="en-GB"/>
        </w:rPr>
        <w:t>and</w:t>
      </w:r>
      <w:r w:rsidRPr="00CE0885">
        <w:rPr>
          <w:spacing w:val="-7"/>
          <w:lang w:eastAsia="en-GB"/>
        </w:rPr>
        <w:t xml:space="preserve"> </w:t>
      </w:r>
      <w:r w:rsidRPr="00CE0885">
        <w:rPr>
          <w:lang w:eastAsia="en-GB"/>
        </w:rPr>
        <w:t>outer</w:t>
      </w:r>
      <w:r w:rsidRPr="00CE0885">
        <w:rPr>
          <w:spacing w:val="-8"/>
          <w:lang w:eastAsia="en-GB"/>
        </w:rPr>
        <w:t xml:space="preserve"> </w:t>
      </w:r>
      <w:r w:rsidRPr="00CE0885">
        <w:rPr>
          <w:lang w:eastAsia="en-GB"/>
        </w:rPr>
        <w:t>bo</w:t>
      </w:r>
      <w:r w:rsidRPr="00CE0885">
        <w:rPr>
          <w:spacing w:val="-1"/>
          <w:lang w:eastAsia="en-GB"/>
        </w:rPr>
        <w:t>u</w:t>
      </w:r>
      <w:r w:rsidRPr="00CE0885">
        <w:rPr>
          <w:lang w:eastAsia="en-GB"/>
        </w:rPr>
        <w:t>n</w:t>
      </w:r>
      <w:r w:rsidRPr="00CE0885">
        <w:rPr>
          <w:spacing w:val="-1"/>
          <w:lang w:eastAsia="en-GB"/>
        </w:rPr>
        <w:t>d</w:t>
      </w:r>
      <w:r w:rsidRPr="00CE0885">
        <w:rPr>
          <w:lang w:eastAsia="en-GB"/>
        </w:rPr>
        <w:t>a</w:t>
      </w:r>
      <w:r w:rsidRPr="00CE0885">
        <w:rPr>
          <w:spacing w:val="-1"/>
          <w:lang w:eastAsia="en-GB"/>
        </w:rPr>
        <w:t>r</w:t>
      </w:r>
      <w:r w:rsidRPr="00CE0885">
        <w:rPr>
          <w:spacing w:val="-2"/>
          <w:lang w:eastAsia="en-GB"/>
        </w:rPr>
        <w:t>y</w:t>
      </w:r>
      <w:r w:rsidRPr="00CE0885">
        <w:rPr>
          <w:lang w:eastAsia="en-GB"/>
        </w:rPr>
        <w:t>)</w:t>
      </w:r>
      <w:r w:rsidRPr="00CE0885">
        <w:rPr>
          <w:spacing w:val="-11"/>
          <w:lang w:eastAsia="en-GB"/>
        </w:rPr>
        <w:t xml:space="preserve"> </w:t>
      </w:r>
      <w:r w:rsidRPr="00CE0885">
        <w:rPr>
          <w:spacing w:val="2"/>
          <w:lang w:eastAsia="en-GB"/>
        </w:rPr>
        <w:t>m</w:t>
      </w:r>
      <w:r w:rsidRPr="00CE0885">
        <w:rPr>
          <w:lang w:eastAsia="en-GB"/>
        </w:rPr>
        <w:t>ust</w:t>
      </w:r>
      <w:r w:rsidRPr="00CE0885">
        <w:rPr>
          <w:spacing w:val="-6"/>
          <w:lang w:eastAsia="en-GB"/>
        </w:rPr>
        <w:t xml:space="preserve"> </w:t>
      </w:r>
      <w:r w:rsidRPr="00CE0885">
        <w:rPr>
          <w:lang w:eastAsia="en-GB"/>
        </w:rPr>
        <w:t>be conside</w:t>
      </w:r>
      <w:r w:rsidRPr="00CE0885">
        <w:rPr>
          <w:spacing w:val="-1"/>
          <w:lang w:eastAsia="en-GB"/>
        </w:rPr>
        <w:t>re</w:t>
      </w:r>
      <w:r w:rsidRPr="00CE0885">
        <w:rPr>
          <w:lang w:eastAsia="en-GB"/>
        </w:rPr>
        <w:t>d</w:t>
      </w:r>
      <w:r w:rsidRPr="00CE0885">
        <w:rPr>
          <w:spacing w:val="-10"/>
          <w:lang w:eastAsia="en-GB"/>
        </w:rPr>
        <w:t xml:space="preserve"> </w:t>
      </w:r>
      <w:r w:rsidRPr="00CE0885">
        <w:rPr>
          <w:lang w:eastAsia="en-GB"/>
        </w:rPr>
        <w:t>a</w:t>
      </w:r>
      <w:r w:rsidRPr="00CE0885">
        <w:rPr>
          <w:spacing w:val="-2"/>
          <w:lang w:eastAsia="en-GB"/>
        </w:rPr>
        <w:t xml:space="preserve"> v</w:t>
      </w:r>
      <w:r w:rsidRPr="00CE0885">
        <w:rPr>
          <w:lang w:eastAsia="en-GB"/>
        </w:rPr>
        <w:t>a</w:t>
      </w:r>
      <w:r w:rsidRPr="00CE0885">
        <w:rPr>
          <w:spacing w:val="-1"/>
          <w:lang w:eastAsia="en-GB"/>
        </w:rPr>
        <w:t>r</w:t>
      </w:r>
      <w:r w:rsidRPr="00CE0885">
        <w:rPr>
          <w:lang w:eastAsia="en-GB"/>
        </w:rPr>
        <w:t>iation</w:t>
      </w:r>
      <w:r w:rsidRPr="00CE0885">
        <w:rPr>
          <w:spacing w:val="-10"/>
          <w:lang w:eastAsia="en-GB"/>
        </w:rPr>
        <w:t xml:space="preserve"> </w:t>
      </w:r>
      <w:r w:rsidRPr="00CE0885">
        <w:rPr>
          <w:lang w:eastAsia="en-GB"/>
        </w:rPr>
        <w:t>to 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act</w:t>
      </w:r>
      <w:r w:rsidRPr="00CE0885">
        <w:rPr>
          <w:spacing w:val="-10"/>
          <w:lang w:eastAsia="en-GB"/>
        </w:rPr>
        <w:t xml:space="preserve"> </w:t>
      </w:r>
      <w:r w:rsidRPr="00CE0885">
        <w:rPr>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lang w:eastAsia="en-GB"/>
        </w:rPr>
        <w:t>d</w:t>
      </w:r>
      <w:r w:rsidRPr="00CE0885">
        <w:rPr>
          <w:spacing w:val="-1"/>
          <w:lang w:eastAsia="en-GB"/>
        </w:rPr>
        <w:t>e</w:t>
      </w:r>
      <w:r w:rsidRPr="00CE0885">
        <w:rPr>
          <w:spacing w:val="3"/>
          <w:lang w:eastAsia="en-GB"/>
        </w:rPr>
        <w:t>f</w:t>
      </w:r>
      <w:r w:rsidRPr="00CE0885">
        <w:rPr>
          <w:lang w:eastAsia="en-GB"/>
        </w:rPr>
        <w:t>initi</w:t>
      </w:r>
      <w:r w:rsidRPr="00CE0885">
        <w:rPr>
          <w:spacing w:val="-1"/>
          <w:lang w:eastAsia="en-GB"/>
        </w:rPr>
        <w:t>o</w:t>
      </w:r>
      <w:r w:rsidRPr="00CE0885">
        <w:rPr>
          <w:lang w:eastAsia="en-GB"/>
        </w:rPr>
        <w:t>ns</w:t>
      </w:r>
      <w:r w:rsidRPr="00CE0885">
        <w:rPr>
          <w:spacing w:val="-11"/>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w:t>
      </w:r>
      <w:r w:rsidRPr="00CE0885">
        <w:rPr>
          <w:spacing w:val="-1"/>
          <w:lang w:eastAsia="en-GB"/>
        </w:rPr>
        <w:t>h</w:t>
      </w:r>
      <w:r w:rsidRPr="00CE0885">
        <w:rPr>
          <w:lang w:eastAsia="en-GB"/>
        </w:rPr>
        <w:t>ese</w:t>
      </w:r>
      <w:r w:rsidRPr="00CE0885">
        <w:rPr>
          <w:spacing w:val="-7"/>
          <w:lang w:eastAsia="en-GB"/>
        </w:rPr>
        <w:t xml:space="preserve"> </w:t>
      </w:r>
      <w:r w:rsidRPr="00CE0885">
        <w:rPr>
          <w:lang w:eastAsia="en-GB"/>
        </w:rPr>
        <w:t>a</w:t>
      </w:r>
      <w:r w:rsidRPr="00CE0885">
        <w:rPr>
          <w:spacing w:val="-1"/>
          <w:lang w:eastAsia="en-GB"/>
        </w:rPr>
        <w:t>re</w:t>
      </w:r>
      <w:r w:rsidRPr="00CE0885">
        <w:rPr>
          <w:lang w:eastAsia="en-GB"/>
        </w:rPr>
        <w:t>as a</w:t>
      </w:r>
      <w:r w:rsidRPr="00CE0885">
        <w:rPr>
          <w:spacing w:val="2"/>
          <w:lang w:eastAsia="en-GB"/>
        </w:rPr>
        <w:t>m</w:t>
      </w:r>
      <w:r w:rsidRPr="00CE0885">
        <w:rPr>
          <w:spacing w:val="-1"/>
          <w:lang w:eastAsia="en-GB"/>
        </w:rPr>
        <w:t>e</w:t>
      </w:r>
      <w:r w:rsidRPr="00CE0885">
        <w:rPr>
          <w:lang w:eastAsia="en-GB"/>
        </w:rPr>
        <w:t>n</w:t>
      </w:r>
      <w:r w:rsidRPr="00CE0885">
        <w:rPr>
          <w:spacing w:val="-1"/>
          <w:lang w:eastAsia="en-GB"/>
        </w:rPr>
        <w:t>d</w:t>
      </w:r>
      <w:r w:rsidRPr="00CE0885">
        <w:rPr>
          <w:lang w:eastAsia="en-GB"/>
        </w:rPr>
        <w:t>ed</w:t>
      </w:r>
      <w:r w:rsidRPr="00CE0885">
        <w:rPr>
          <w:spacing w:val="-11"/>
          <w:lang w:eastAsia="en-GB"/>
        </w:rPr>
        <w:t xml:space="preserve"> </w:t>
      </w:r>
      <w:r w:rsidRPr="00CE0885">
        <w:rPr>
          <w:lang w:eastAsia="en-GB"/>
        </w:rPr>
        <w:t>un</w:t>
      </w:r>
      <w:r w:rsidRPr="00CE0885">
        <w:rPr>
          <w:spacing w:val="-1"/>
          <w:lang w:eastAsia="en-GB"/>
        </w:rPr>
        <w:t>d</w:t>
      </w:r>
      <w:r w:rsidRPr="00CE0885">
        <w:rPr>
          <w:lang w:eastAsia="en-GB"/>
        </w:rPr>
        <w:t>er</w:t>
      </w:r>
      <w:r w:rsidRPr="00CE0885">
        <w:rPr>
          <w:spacing w:val="-6"/>
          <w:lang w:eastAsia="en-GB"/>
        </w:rPr>
        <w:t xml:space="preserve"> </w:t>
      </w:r>
      <w:r w:rsidRPr="00CE0885">
        <w:rPr>
          <w:lang w:eastAsia="en-GB"/>
        </w:rPr>
        <w:t xml:space="preserve">a </w:t>
      </w:r>
      <w:r w:rsidRPr="00CE0885">
        <w:rPr>
          <w:spacing w:val="-2"/>
          <w:lang w:eastAsia="en-GB"/>
        </w:rPr>
        <w:t>v</w:t>
      </w:r>
      <w:r w:rsidRPr="00CE0885">
        <w:rPr>
          <w:lang w:eastAsia="en-GB"/>
        </w:rPr>
        <w:t>a</w:t>
      </w:r>
      <w:r w:rsidRPr="00CE0885">
        <w:rPr>
          <w:spacing w:val="-1"/>
          <w:lang w:eastAsia="en-GB"/>
        </w:rPr>
        <w:t>r</w:t>
      </w:r>
      <w:r w:rsidRPr="00CE0885">
        <w:rPr>
          <w:lang w:eastAsia="en-GB"/>
        </w:rPr>
        <w:t>iation</w:t>
      </w:r>
      <w:r w:rsidRPr="00CE0885">
        <w:rPr>
          <w:spacing w:val="-10"/>
          <w:lang w:eastAsia="en-GB"/>
        </w:rPr>
        <w:t xml:space="preserve"> </w:t>
      </w:r>
      <w:r w:rsidRPr="00CE0885">
        <w:rPr>
          <w:lang w:eastAsia="en-GB"/>
        </w:rPr>
        <w:t>notic</w:t>
      </w:r>
      <w:r w:rsidRPr="00CE0885">
        <w:rPr>
          <w:spacing w:val="-1"/>
          <w:lang w:eastAsia="en-GB"/>
        </w:rPr>
        <w:t>e</w:t>
      </w:r>
      <w:r w:rsidRPr="00CE0885">
        <w:rPr>
          <w:lang w:eastAsia="en-GB"/>
        </w:rPr>
        <w:t>.</w:t>
      </w:r>
      <w:r w:rsidRPr="00CE0885">
        <w:rPr>
          <w:spacing w:val="-8"/>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2"/>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actor</w:t>
      </w:r>
      <w:r w:rsidRPr="00CE0885">
        <w:rPr>
          <w:spacing w:val="-14"/>
          <w:lang w:eastAsia="en-GB"/>
        </w:rPr>
        <w:t xml:space="preserve"> </w:t>
      </w:r>
      <w:r w:rsidRPr="00CE0885">
        <w:rPr>
          <w:spacing w:val="2"/>
          <w:lang w:eastAsia="en-GB"/>
        </w:rPr>
        <w:t>m</w:t>
      </w:r>
      <w:r w:rsidRPr="00CE0885">
        <w:rPr>
          <w:lang w:eastAsia="en-GB"/>
        </w:rPr>
        <w:t>ust</w:t>
      </w:r>
      <w:r w:rsidRPr="00CE0885">
        <w:rPr>
          <w:spacing w:val="-6"/>
          <w:lang w:eastAsia="en-GB"/>
        </w:rPr>
        <w:t xml:space="preserve"> </w:t>
      </w:r>
      <w:r w:rsidRPr="00CE0885">
        <w:rPr>
          <w:lang w:eastAsia="en-GB"/>
        </w:rPr>
        <w:t>not</w:t>
      </w:r>
      <w:r w:rsidRPr="00CE0885">
        <w:rPr>
          <w:spacing w:val="-3"/>
          <w:lang w:eastAsia="en-GB"/>
        </w:rPr>
        <w:t>i</w:t>
      </w:r>
      <w:r w:rsidRPr="00CE0885">
        <w:rPr>
          <w:spacing w:val="3"/>
          <w:lang w:eastAsia="en-GB"/>
        </w:rPr>
        <w:t>f</w:t>
      </w:r>
      <w:r w:rsidRPr="00CE0885">
        <w:rPr>
          <w:lang w:eastAsia="en-GB"/>
        </w:rPr>
        <w:t>y</w:t>
      </w:r>
      <w:r w:rsidRPr="00CE0885">
        <w:rPr>
          <w:spacing w:val="-8"/>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3"/>
          <w:lang w:eastAsia="en-GB"/>
        </w:rPr>
        <w:t>Commissioner</w:t>
      </w:r>
      <w:r w:rsidRPr="00CE0885">
        <w:rPr>
          <w:spacing w:val="-2"/>
          <w:lang w:eastAsia="en-GB"/>
        </w:rPr>
        <w:t xml:space="preserve"> </w:t>
      </w:r>
      <w:r w:rsidRPr="00CE0885">
        <w:rPr>
          <w:spacing w:val="-1"/>
          <w:lang w:eastAsia="en-GB"/>
        </w:rPr>
        <w:t>o</w:t>
      </w:r>
      <w:r w:rsidRPr="00CE0885">
        <w:rPr>
          <w:lang w:eastAsia="en-GB"/>
        </w:rPr>
        <w:t>f its</w:t>
      </w:r>
      <w:r w:rsidRPr="00CE0885">
        <w:rPr>
          <w:spacing w:val="-2"/>
          <w:lang w:eastAsia="en-GB"/>
        </w:rPr>
        <w:t xml:space="preserve"> </w:t>
      </w:r>
      <w:r w:rsidRPr="00CE0885">
        <w:rPr>
          <w:lang w:eastAsia="en-GB"/>
        </w:rPr>
        <w:t>i</w:t>
      </w:r>
      <w:r w:rsidRPr="00CE0885">
        <w:rPr>
          <w:spacing w:val="-1"/>
          <w:lang w:eastAsia="en-GB"/>
        </w:rPr>
        <w:t>n</w:t>
      </w:r>
      <w:r w:rsidRPr="00CE0885">
        <w:rPr>
          <w:lang w:eastAsia="en-GB"/>
        </w:rPr>
        <w:t>te</w:t>
      </w:r>
      <w:r w:rsidRPr="00CE0885">
        <w:rPr>
          <w:spacing w:val="-1"/>
          <w:lang w:eastAsia="en-GB"/>
        </w:rPr>
        <w:t>n</w:t>
      </w:r>
      <w:r w:rsidRPr="00CE0885">
        <w:rPr>
          <w:lang w:eastAsia="en-GB"/>
        </w:rPr>
        <w:t>t</w:t>
      </w:r>
      <w:r w:rsidRPr="00CE0885">
        <w:rPr>
          <w:spacing w:val="-5"/>
          <w:lang w:eastAsia="en-GB"/>
        </w:rPr>
        <w:t xml:space="preserve"> </w:t>
      </w:r>
      <w:r w:rsidRPr="00CE0885">
        <w:rPr>
          <w:lang w:eastAsia="en-GB"/>
        </w:rPr>
        <w:t>to</w:t>
      </w:r>
      <w:r w:rsidRPr="00CE0885">
        <w:rPr>
          <w:spacing w:val="-3"/>
          <w:lang w:eastAsia="en-GB"/>
        </w:rPr>
        <w:t xml:space="preserve"> </w:t>
      </w:r>
      <w:r w:rsidRPr="00CE0885">
        <w:rPr>
          <w:spacing w:val="-2"/>
          <w:lang w:eastAsia="en-GB"/>
        </w:rPr>
        <w:t>v</w:t>
      </w:r>
      <w:r w:rsidRPr="00CE0885">
        <w:rPr>
          <w:lang w:eastAsia="en-GB"/>
        </w:rPr>
        <w:t>a</w:t>
      </w:r>
      <w:r w:rsidRPr="00CE0885">
        <w:rPr>
          <w:spacing w:val="-1"/>
          <w:lang w:eastAsia="en-GB"/>
        </w:rPr>
        <w:t>r</w:t>
      </w:r>
      <w:r w:rsidRPr="00CE0885">
        <w:rPr>
          <w:lang w:eastAsia="en-GB"/>
        </w:rPr>
        <w:t>y</w:t>
      </w:r>
      <w:r w:rsidRPr="00CE0885">
        <w:rPr>
          <w:spacing w:val="-5"/>
          <w:lang w:eastAsia="en-GB"/>
        </w:rPr>
        <w:t xml:space="preserve"> </w:t>
      </w:r>
      <w:r w:rsidRPr="00CE0885">
        <w:rPr>
          <w:lang w:eastAsia="en-GB"/>
        </w:rPr>
        <w:t>its</w:t>
      </w:r>
      <w:r w:rsidRPr="00CE0885">
        <w:rPr>
          <w:spacing w:val="-2"/>
          <w:lang w:eastAsia="en-GB"/>
        </w:rPr>
        <w:t xml:space="preserve"> </w:t>
      </w:r>
      <w:r w:rsidRPr="00CE0885">
        <w:rPr>
          <w:lang w:eastAsia="en-GB"/>
        </w:rPr>
        <w:t>a</w:t>
      </w:r>
      <w:r w:rsidRPr="00CE0885">
        <w:rPr>
          <w:spacing w:val="-1"/>
          <w:lang w:eastAsia="en-GB"/>
        </w:rPr>
        <w:t>r</w:t>
      </w:r>
      <w:r w:rsidRPr="00CE0885">
        <w:rPr>
          <w:lang w:eastAsia="en-GB"/>
        </w:rPr>
        <w:t>ea</w:t>
      </w:r>
      <w:r w:rsidRPr="00CE0885">
        <w:rPr>
          <w:spacing w:val="-3"/>
          <w:lang w:eastAsia="en-GB"/>
        </w:rPr>
        <w:t xml:space="preserve"> </w:t>
      </w:r>
      <w:r w:rsidRPr="00CE0885">
        <w:rPr>
          <w:lang w:eastAsia="en-GB"/>
        </w:rPr>
        <w:t>in</w:t>
      </w:r>
      <w:r w:rsidRPr="00CE0885">
        <w:rPr>
          <w:spacing w:val="-3"/>
          <w:lang w:eastAsia="en-GB"/>
        </w:rPr>
        <w:t xml:space="preserve"> w</w:t>
      </w:r>
      <w:r w:rsidRPr="00CE0885">
        <w:rPr>
          <w:spacing w:val="-1"/>
          <w:lang w:eastAsia="en-GB"/>
        </w:rPr>
        <w:t>r</w:t>
      </w:r>
      <w:r w:rsidRPr="00CE0885">
        <w:rPr>
          <w:lang w:eastAsia="en-GB"/>
        </w:rPr>
        <w:t>iting</w:t>
      </w:r>
      <w:r w:rsidRPr="00CE0885">
        <w:rPr>
          <w:spacing w:val="-8"/>
          <w:lang w:eastAsia="en-GB"/>
        </w:rPr>
        <w:t xml:space="preserve"> </w:t>
      </w:r>
      <w:r w:rsidRPr="00CE0885">
        <w:rPr>
          <w:lang w:eastAsia="en-GB"/>
        </w:rPr>
        <w:t>setting</w:t>
      </w:r>
      <w:r w:rsidRPr="00CE0885">
        <w:rPr>
          <w:spacing w:val="-8"/>
          <w:lang w:eastAsia="en-GB"/>
        </w:rPr>
        <w:t xml:space="preserve"> </w:t>
      </w:r>
      <w:r w:rsidRPr="00CE0885">
        <w:rPr>
          <w:lang w:eastAsia="en-GB"/>
        </w:rPr>
        <w:t>out</w:t>
      </w:r>
      <w:r w:rsidRPr="00CE0885">
        <w:rPr>
          <w:spacing w:val="-2"/>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r</w:t>
      </w:r>
      <w:r w:rsidRPr="00CE0885">
        <w:rPr>
          <w:lang w:eastAsia="en-GB"/>
        </w:rPr>
        <w:t>ea</w:t>
      </w:r>
      <w:r w:rsidRPr="00CE0885">
        <w:rPr>
          <w:spacing w:val="-2"/>
          <w:lang w:eastAsia="en-GB"/>
        </w:rPr>
        <w:t>s</w:t>
      </w:r>
      <w:r w:rsidRPr="00CE0885">
        <w:rPr>
          <w:lang w:eastAsia="en-GB"/>
        </w:rPr>
        <w:t>ons</w:t>
      </w:r>
      <w:r w:rsidRPr="00CE0885">
        <w:rPr>
          <w:spacing w:val="-11"/>
          <w:lang w:eastAsia="en-GB"/>
        </w:rPr>
        <w:t xml:space="preserve"> </w:t>
      </w:r>
      <w:r w:rsidRPr="00CE0885">
        <w:rPr>
          <w:lang w:eastAsia="en-GB"/>
        </w:rPr>
        <w:t>for</w:t>
      </w:r>
      <w:r w:rsidRPr="00CE0885">
        <w:rPr>
          <w:spacing w:val="-3"/>
          <w:lang w:eastAsia="en-GB"/>
        </w:rPr>
        <w:t xml:space="preserve"> </w:t>
      </w:r>
      <w:r w:rsidRPr="00CE0885">
        <w:rPr>
          <w:spacing w:val="-2"/>
          <w:lang w:eastAsia="en-GB"/>
        </w:rPr>
        <w:t>t</w:t>
      </w:r>
      <w:r w:rsidRPr="00CE0885">
        <w:rPr>
          <w:lang w:eastAsia="en-GB"/>
        </w:rPr>
        <w:t>he chan</w:t>
      </w:r>
      <w:r w:rsidRPr="00CE0885">
        <w:rPr>
          <w:spacing w:val="-1"/>
          <w:lang w:eastAsia="en-GB"/>
        </w:rPr>
        <w:t>g</w:t>
      </w:r>
      <w:r w:rsidRPr="00CE0885">
        <w:rPr>
          <w:lang w:eastAsia="en-GB"/>
        </w:rPr>
        <w:t>e</w:t>
      </w:r>
      <w:r w:rsidRPr="00CE0885">
        <w:rPr>
          <w:spacing w:val="-6"/>
          <w:lang w:eastAsia="en-GB"/>
        </w:rPr>
        <w:t xml:space="preserve"> </w:t>
      </w:r>
      <w:r w:rsidRPr="00CE0885">
        <w:rPr>
          <w:spacing w:val="-1"/>
          <w:lang w:eastAsia="en-GB"/>
        </w:rPr>
        <w:t>a</w:t>
      </w:r>
      <w:r w:rsidRPr="00CE0885">
        <w:rPr>
          <w:lang w:eastAsia="en-GB"/>
        </w:rPr>
        <w:t>nd</w:t>
      </w:r>
      <w:r w:rsidRPr="00CE0885">
        <w:rPr>
          <w:spacing w:val="-5"/>
          <w:lang w:eastAsia="en-GB"/>
        </w:rPr>
        <w:t xml:space="preserve"> </w:t>
      </w:r>
      <w:r w:rsidRPr="00CE0885">
        <w:rPr>
          <w:lang w:eastAsia="en-GB"/>
        </w:rPr>
        <w:t>full</w:t>
      </w:r>
      <w:r w:rsidRPr="00CE0885">
        <w:rPr>
          <w:spacing w:val="-3"/>
          <w:lang w:eastAsia="en-GB"/>
        </w:rPr>
        <w:t xml:space="preserve"> </w:t>
      </w:r>
      <w:r w:rsidRPr="00CE0885">
        <w:rPr>
          <w:spacing w:val="-1"/>
          <w:lang w:eastAsia="en-GB"/>
        </w:rPr>
        <w:t>d</w:t>
      </w:r>
      <w:r w:rsidRPr="00CE0885">
        <w:rPr>
          <w:lang w:eastAsia="en-GB"/>
        </w:rPr>
        <w:t>etails</w:t>
      </w:r>
      <w:r w:rsidRPr="00CE0885">
        <w:rPr>
          <w:spacing w:val="-9"/>
          <w:lang w:eastAsia="en-GB"/>
        </w:rPr>
        <w:t xml:space="preserve"> </w:t>
      </w:r>
      <w:r w:rsidRPr="00CE0885">
        <w:rPr>
          <w:spacing w:val="-1"/>
          <w:lang w:eastAsia="en-GB"/>
        </w:rPr>
        <w:t>o</w:t>
      </w:r>
      <w:r w:rsidRPr="00CE0885">
        <w:rPr>
          <w:lang w:eastAsia="en-GB"/>
        </w:rPr>
        <w:t>f 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p</w:t>
      </w:r>
      <w:r w:rsidRPr="00CE0885">
        <w:rPr>
          <w:spacing w:val="-1"/>
          <w:lang w:eastAsia="en-GB"/>
        </w:rPr>
        <w:t>ro</w:t>
      </w:r>
      <w:r w:rsidRPr="00CE0885">
        <w:rPr>
          <w:lang w:eastAsia="en-GB"/>
        </w:rPr>
        <w:t>po</w:t>
      </w:r>
      <w:r w:rsidRPr="00CE0885">
        <w:rPr>
          <w:spacing w:val="-2"/>
          <w:lang w:eastAsia="en-GB"/>
        </w:rPr>
        <w:t>s</w:t>
      </w:r>
      <w:r w:rsidRPr="00CE0885">
        <w:rPr>
          <w:lang w:eastAsia="en-GB"/>
        </w:rPr>
        <w:t>ed</w:t>
      </w:r>
      <w:r w:rsidRPr="00CE0885">
        <w:rPr>
          <w:spacing w:val="-11"/>
          <w:lang w:eastAsia="en-GB"/>
        </w:rPr>
        <w:t xml:space="preserve"> </w:t>
      </w:r>
      <w:r w:rsidRPr="00CE0885">
        <w:rPr>
          <w:lang w:eastAsia="en-GB"/>
        </w:rPr>
        <w:t>p</w:t>
      </w:r>
      <w:r w:rsidRPr="00CE0885">
        <w:rPr>
          <w:spacing w:val="-1"/>
          <w:lang w:eastAsia="en-GB"/>
        </w:rPr>
        <w:t>r</w:t>
      </w:r>
      <w:r w:rsidRPr="00CE0885">
        <w:rPr>
          <w:lang w:eastAsia="en-GB"/>
        </w:rPr>
        <w:t>acti</w:t>
      </w:r>
      <w:r w:rsidRPr="00CE0885">
        <w:rPr>
          <w:spacing w:val="-2"/>
          <w:lang w:eastAsia="en-GB"/>
        </w:rPr>
        <w:t>c</w:t>
      </w:r>
      <w:r w:rsidRPr="00CE0885">
        <w:rPr>
          <w:lang w:eastAsia="en-GB"/>
        </w:rPr>
        <w:t>e</w:t>
      </w:r>
      <w:r w:rsidRPr="00CE0885">
        <w:rPr>
          <w:spacing w:val="-6"/>
          <w:lang w:eastAsia="en-GB"/>
        </w:rPr>
        <w:t xml:space="preserve"> </w:t>
      </w:r>
      <w:r w:rsidRPr="00CE0885">
        <w:rPr>
          <w:lang w:eastAsia="en-GB"/>
        </w:rPr>
        <w:t>a</w:t>
      </w:r>
      <w:r w:rsidRPr="00CE0885">
        <w:rPr>
          <w:spacing w:val="-1"/>
          <w:lang w:eastAsia="en-GB"/>
        </w:rPr>
        <w:t>r</w:t>
      </w:r>
      <w:r w:rsidRPr="00CE0885">
        <w:rPr>
          <w:lang w:eastAsia="en-GB"/>
        </w:rPr>
        <w:t>e</w:t>
      </w:r>
      <w:r w:rsidRPr="00CE0885">
        <w:rPr>
          <w:spacing w:val="-1"/>
          <w:lang w:eastAsia="en-GB"/>
        </w:rPr>
        <w:t>a</w:t>
      </w:r>
      <w:r w:rsidRPr="00CE0885">
        <w:rPr>
          <w:lang w:eastAsia="en-GB"/>
        </w:rPr>
        <w:t>,</w:t>
      </w:r>
      <w:r w:rsidRPr="00CE0885">
        <w:rPr>
          <w:spacing w:val="-4"/>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w w:val="99"/>
          <w:lang w:eastAsia="en-GB"/>
        </w:rPr>
        <w:t>any additi</w:t>
      </w:r>
      <w:r w:rsidRPr="00CE0885">
        <w:rPr>
          <w:spacing w:val="-1"/>
          <w:w w:val="99"/>
          <w:lang w:eastAsia="en-GB"/>
        </w:rPr>
        <w:t>o</w:t>
      </w:r>
      <w:r w:rsidRPr="00CE0885">
        <w:rPr>
          <w:w w:val="99"/>
          <w:lang w:eastAsia="en-GB"/>
        </w:rPr>
        <w:t>nal</w:t>
      </w:r>
      <w:r w:rsidRPr="00CE0885">
        <w:rPr>
          <w:lang w:eastAsia="en-GB"/>
        </w:rPr>
        <w:t xml:space="preserve"> s</w:t>
      </w:r>
      <w:r w:rsidRPr="00CE0885">
        <w:rPr>
          <w:spacing w:val="-1"/>
          <w:lang w:eastAsia="en-GB"/>
        </w:rPr>
        <w:t>u</w:t>
      </w:r>
      <w:r w:rsidRPr="00CE0885">
        <w:rPr>
          <w:lang w:eastAsia="en-GB"/>
        </w:rPr>
        <w:t>p</w:t>
      </w:r>
      <w:r w:rsidRPr="00CE0885">
        <w:rPr>
          <w:spacing w:val="-1"/>
          <w:lang w:eastAsia="en-GB"/>
        </w:rPr>
        <w:t>p</w:t>
      </w:r>
      <w:r w:rsidRPr="00CE0885">
        <w:rPr>
          <w:lang w:eastAsia="en-GB"/>
        </w:rPr>
        <w:t>o</w:t>
      </w:r>
      <w:r w:rsidRPr="00CE0885">
        <w:rPr>
          <w:spacing w:val="-1"/>
          <w:lang w:eastAsia="en-GB"/>
        </w:rPr>
        <w:t>r</w:t>
      </w:r>
      <w:r w:rsidRPr="00CE0885">
        <w:rPr>
          <w:lang w:eastAsia="en-GB"/>
        </w:rPr>
        <w:t>ting</w:t>
      </w:r>
      <w:r w:rsidRPr="00CE0885">
        <w:rPr>
          <w:spacing w:val="-12"/>
          <w:lang w:eastAsia="en-GB"/>
        </w:rPr>
        <w:t xml:space="preserve"> </w:t>
      </w:r>
      <w:r w:rsidRPr="00CE0885">
        <w:rPr>
          <w:spacing w:val="-1"/>
          <w:lang w:eastAsia="en-GB"/>
        </w:rPr>
        <w:t>e</w:t>
      </w:r>
      <w:r w:rsidRPr="00CE0885">
        <w:rPr>
          <w:spacing w:val="-2"/>
          <w:lang w:eastAsia="en-GB"/>
        </w:rPr>
        <w:t>v</w:t>
      </w:r>
      <w:r w:rsidRPr="00CE0885">
        <w:rPr>
          <w:lang w:eastAsia="en-GB"/>
        </w:rPr>
        <w:t>idence</w:t>
      </w:r>
      <w:r w:rsidRPr="00CE0885">
        <w:rPr>
          <w:spacing w:val="-8"/>
          <w:lang w:eastAsia="en-GB"/>
        </w:rPr>
        <w:t xml:space="preserve"> </w:t>
      </w:r>
      <w:r w:rsidRPr="00CE0885">
        <w:rPr>
          <w:lang w:eastAsia="en-GB"/>
        </w:rPr>
        <w:t>th</w:t>
      </w:r>
      <w:r w:rsidRPr="00CE0885">
        <w:rPr>
          <w:spacing w:val="-1"/>
          <w:lang w:eastAsia="en-GB"/>
        </w:rPr>
        <w:t>a</w:t>
      </w:r>
      <w:r w:rsidRPr="00CE0885">
        <w:rPr>
          <w:lang w:eastAsia="en-GB"/>
        </w:rPr>
        <w:t>t</w:t>
      </w:r>
      <w:r w:rsidRPr="00CE0885">
        <w:rPr>
          <w:spacing w:val="-5"/>
          <w:lang w:eastAsia="en-GB"/>
        </w:rPr>
        <w:t xml:space="preserve"> </w:t>
      </w:r>
      <w:r w:rsidRPr="00CE0885">
        <w:rPr>
          <w:spacing w:val="2"/>
          <w:lang w:eastAsia="en-GB"/>
        </w:rPr>
        <w:t>m</w:t>
      </w:r>
      <w:r w:rsidRPr="00CE0885">
        <w:rPr>
          <w:lang w:eastAsia="en-GB"/>
        </w:rPr>
        <w:t>ay</w:t>
      </w:r>
      <w:r w:rsidRPr="00CE0885">
        <w:rPr>
          <w:spacing w:val="-7"/>
          <w:lang w:eastAsia="en-GB"/>
        </w:rPr>
        <w:t xml:space="preserve"> </w:t>
      </w:r>
      <w:r w:rsidRPr="00CE0885">
        <w:rPr>
          <w:lang w:eastAsia="en-GB"/>
        </w:rPr>
        <w:t>assist</w:t>
      </w:r>
      <w:r w:rsidRPr="00CE0885">
        <w:rPr>
          <w:spacing w:val="-5"/>
          <w:lang w:eastAsia="en-GB"/>
        </w:rPr>
        <w:t xml:space="preserve"> </w:t>
      </w:r>
      <w:r w:rsidRPr="00CE0885">
        <w:rPr>
          <w:lang w:eastAsia="en-GB"/>
        </w:rPr>
        <w:t>the</w:t>
      </w:r>
      <w:r w:rsidRPr="00CE0885">
        <w:rPr>
          <w:spacing w:val="-4"/>
          <w:lang w:eastAsia="en-GB"/>
        </w:rPr>
        <w:t xml:space="preserve"> </w:t>
      </w:r>
      <w:r w:rsidRPr="00CE0885">
        <w:rPr>
          <w:lang w:eastAsia="en-GB"/>
        </w:rPr>
        <w:t xml:space="preserve">Commissioner in </w:t>
      </w:r>
      <w:r w:rsidRPr="00CE0885">
        <w:rPr>
          <w:spacing w:val="-1"/>
          <w:lang w:eastAsia="en-GB"/>
        </w:rPr>
        <w:t>re</w:t>
      </w:r>
      <w:r w:rsidRPr="00CE0885">
        <w:rPr>
          <w:lang w:eastAsia="en-GB"/>
        </w:rPr>
        <w:t>ach</w:t>
      </w:r>
      <w:r w:rsidRPr="00CE0885">
        <w:rPr>
          <w:spacing w:val="-3"/>
          <w:lang w:eastAsia="en-GB"/>
        </w:rPr>
        <w:t>i</w:t>
      </w:r>
      <w:r w:rsidRPr="00CE0885">
        <w:rPr>
          <w:lang w:eastAsia="en-GB"/>
        </w:rPr>
        <w:t>ng its</w:t>
      </w:r>
      <w:r w:rsidRPr="00CE0885">
        <w:rPr>
          <w:spacing w:val="-2"/>
          <w:lang w:eastAsia="en-GB"/>
        </w:rPr>
        <w:t xml:space="preserve"> </w:t>
      </w:r>
      <w:r w:rsidRPr="00CE0885">
        <w:rPr>
          <w:lang w:eastAsia="en-GB"/>
        </w:rPr>
        <w:t>decision (a template application notice is set out in Annex 13 A).</w:t>
      </w:r>
      <w:bookmarkEnd w:id="805"/>
    </w:p>
    <w:p w14:paraId="4C46C31E" w14:textId="014C97B2" w:rsidR="00977693" w:rsidRPr="00CE0885" w:rsidRDefault="00977693" w:rsidP="00980A75">
      <w:pPr>
        <w:pStyle w:val="Heading3"/>
        <w:rPr>
          <w:lang w:eastAsia="en-GB"/>
        </w:rPr>
      </w:pPr>
      <w:bookmarkStart w:id="806" w:name="_Toc440981933"/>
      <w:r w:rsidRPr="00CE0885">
        <w:rPr>
          <w:spacing w:val="2"/>
          <w:lang w:eastAsia="en-GB"/>
        </w:rPr>
        <w:t>T</w:t>
      </w:r>
      <w:r w:rsidRPr="00CE0885">
        <w:rPr>
          <w:spacing w:val="-1"/>
          <w:lang w:eastAsia="en-GB"/>
        </w:rPr>
        <w:t>h</w:t>
      </w:r>
      <w:r w:rsidRPr="00CE0885">
        <w:rPr>
          <w:lang w:eastAsia="en-GB"/>
        </w:rPr>
        <w:t>e</w:t>
      </w:r>
      <w:r w:rsidRPr="00CE0885">
        <w:rPr>
          <w:spacing w:val="-2"/>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w:t>
      </w:r>
      <w:r w:rsidRPr="00CE0885">
        <w:rPr>
          <w:spacing w:val="-2"/>
          <w:lang w:eastAsia="en-GB"/>
        </w:rPr>
        <w:t>t</w:t>
      </w:r>
      <w:r w:rsidRPr="00CE0885">
        <w:rPr>
          <w:lang w:eastAsia="en-GB"/>
        </w:rPr>
        <w:t>or</w:t>
      </w:r>
      <w:r w:rsidRPr="00CE0885">
        <w:rPr>
          <w:spacing w:val="-11"/>
          <w:lang w:eastAsia="en-GB"/>
        </w:rPr>
        <w:t xml:space="preserve"> </w:t>
      </w:r>
      <w:r w:rsidRPr="00CE0885">
        <w:rPr>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lang w:eastAsia="en-GB"/>
        </w:rPr>
        <w:t>Commissioner</w:t>
      </w:r>
      <w:r w:rsidRPr="00CE0885">
        <w:rPr>
          <w:spacing w:val="-3"/>
          <w:lang w:eastAsia="en-GB"/>
        </w:rPr>
        <w:t xml:space="preserve"> </w:t>
      </w:r>
      <w:r w:rsidRPr="00CE0885">
        <w:rPr>
          <w:spacing w:val="-1"/>
          <w:lang w:eastAsia="en-GB"/>
        </w:rPr>
        <w:t>m</w:t>
      </w:r>
      <w:r w:rsidRPr="00CE0885">
        <w:rPr>
          <w:lang w:eastAsia="en-GB"/>
        </w:rPr>
        <w:t>ust</w:t>
      </w:r>
      <w:r w:rsidRPr="00CE0885">
        <w:rPr>
          <w:spacing w:val="-6"/>
          <w:lang w:eastAsia="en-GB"/>
        </w:rPr>
        <w:t xml:space="preserve"> </w:t>
      </w:r>
      <w:r w:rsidRPr="00CE0885">
        <w:rPr>
          <w:lang w:eastAsia="en-GB"/>
        </w:rPr>
        <w:t>en</w:t>
      </w:r>
      <w:r w:rsidRPr="00CE0885">
        <w:rPr>
          <w:spacing w:val="-1"/>
          <w:lang w:eastAsia="en-GB"/>
        </w:rPr>
        <w:t>g</w:t>
      </w:r>
      <w:r w:rsidRPr="00CE0885">
        <w:rPr>
          <w:lang w:eastAsia="en-GB"/>
        </w:rPr>
        <w:t>a</w:t>
      </w:r>
      <w:r w:rsidRPr="00CE0885">
        <w:rPr>
          <w:spacing w:val="-1"/>
          <w:lang w:eastAsia="en-GB"/>
        </w:rPr>
        <w:t>g</w:t>
      </w:r>
      <w:r w:rsidRPr="00CE0885">
        <w:rPr>
          <w:lang w:eastAsia="en-GB"/>
        </w:rPr>
        <w:t>e</w:t>
      </w:r>
      <w:r w:rsidRPr="00CE0885">
        <w:rPr>
          <w:spacing w:val="-6"/>
          <w:lang w:eastAsia="en-GB"/>
        </w:rPr>
        <w:t xml:space="preserve"> </w:t>
      </w:r>
      <w:r w:rsidRPr="00CE0885">
        <w:rPr>
          <w:lang w:eastAsia="en-GB"/>
        </w:rPr>
        <w:t xml:space="preserve">in </w:t>
      </w:r>
      <w:r w:rsidRPr="00CE0885">
        <w:rPr>
          <w:spacing w:val="-1"/>
          <w:lang w:eastAsia="en-GB"/>
        </w:rPr>
        <w:t>op</w:t>
      </w:r>
      <w:r w:rsidRPr="00CE0885">
        <w:rPr>
          <w:lang w:eastAsia="en-GB"/>
        </w:rPr>
        <w:t>en</w:t>
      </w:r>
      <w:r w:rsidRPr="00CE0885">
        <w:rPr>
          <w:spacing w:val="-3"/>
          <w:lang w:eastAsia="en-GB"/>
        </w:rPr>
        <w:t xml:space="preserve"> </w:t>
      </w:r>
      <w:r w:rsidRPr="00CE0885">
        <w:rPr>
          <w:lang w:eastAsia="en-GB"/>
        </w:rPr>
        <w:t>d</w:t>
      </w:r>
      <w:r w:rsidRPr="00CE0885">
        <w:rPr>
          <w:spacing w:val="-3"/>
          <w:lang w:eastAsia="en-GB"/>
        </w:rPr>
        <w:t>i</w:t>
      </w:r>
      <w:r w:rsidRPr="00CE0885">
        <w:rPr>
          <w:lang w:eastAsia="en-GB"/>
        </w:rPr>
        <w:t>alo</w:t>
      </w:r>
      <w:r w:rsidRPr="00CE0885">
        <w:rPr>
          <w:spacing w:val="-1"/>
          <w:lang w:eastAsia="en-GB"/>
        </w:rPr>
        <w:t>g</w:t>
      </w:r>
      <w:r w:rsidRPr="00CE0885">
        <w:rPr>
          <w:lang w:eastAsia="en-GB"/>
        </w:rPr>
        <w:t>ue conce</w:t>
      </w:r>
      <w:r w:rsidRPr="00CE0885">
        <w:rPr>
          <w:spacing w:val="-1"/>
          <w:lang w:eastAsia="en-GB"/>
        </w:rPr>
        <w:t>r</w:t>
      </w:r>
      <w:r w:rsidRPr="00CE0885">
        <w:rPr>
          <w:lang w:eastAsia="en-GB"/>
        </w:rPr>
        <w:t>ning</w:t>
      </w:r>
      <w:r w:rsidRPr="00CE0885">
        <w:rPr>
          <w:spacing w:val="-13"/>
          <w:lang w:eastAsia="en-GB"/>
        </w:rPr>
        <w:t xml:space="preserve"> </w:t>
      </w:r>
      <w:r w:rsidRPr="00CE0885">
        <w:rPr>
          <w:spacing w:val="-2"/>
          <w:lang w:eastAsia="en-GB"/>
        </w:rPr>
        <w:t>t</w:t>
      </w:r>
      <w:r w:rsidRPr="00CE0885">
        <w:rPr>
          <w:lang w:eastAsia="en-GB"/>
        </w:rPr>
        <w:t>he</w:t>
      </w:r>
      <w:r w:rsidRPr="00CE0885">
        <w:rPr>
          <w:spacing w:val="-1"/>
          <w:lang w:eastAsia="en-GB"/>
        </w:rPr>
        <w:t xml:space="preserve"> </w:t>
      </w:r>
      <w:r w:rsidRPr="00CE0885">
        <w:rPr>
          <w:lang w:eastAsia="en-GB"/>
        </w:rPr>
        <w:t>ci</w:t>
      </w:r>
      <w:r w:rsidRPr="00CE0885">
        <w:rPr>
          <w:spacing w:val="-1"/>
          <w:lang w:eastAsia="en-GB"/>
        </w:rPr>
        <w:t>r</w:t>
      </w:r>
      <w:r w:rsidRPr="00CE0885">
        <w:rPr>
          <w:lang w:eastAsia="en-GB"/>
        </w:rPr>
        <w:t>c</w:t>
      </w:r>
      <w:r w:rsidRPr="00CE0885">
        <w:rPr>
          <w:spacing w:val="-1"/>
          <w:lang w:eastAsia="en-GB"/>
        </w:rPr>
        <w:t>um</w:t>
      </w:r>
      <w:r w:rsidRPr="00CE0885">
        <w:rPr>
          <w:lang w:eastAsia="en-GB"/>
        </w:rPr>
        <w:t>stances</w:t>
      </w:r>
      <w:r w:rsidRPr="00CE0885">
        <w:rPr>
          <w:spacing w:val="-17"/>
          <w:lang w:eastAsia="en-GB"/>
        </w:rPr>
        <w:t xml:space="preserve"> </w:t>
      </w:r>
      <w:r w:rsidRPr="00CE0885">
        <w:rPr>
          <w:lang w:eastAsia="en-GB"/>
        </w:rPr>
        <w:t>t</w:t>
      </w:r>
      <w:r w:rsidRPr="00CE0885">
        <w:rPr>
          <w:spacing w:val="-1"/>
          <w:lang w:eastAsia="en-GB"/>
        </w:rPr>
        <w:t>h</w:t>
      </w:r>
      <w:r w:rsidRPr="00CE0885">
        <w:rPr>
          <w:lang w:eastAsia="en-GB"/>
        </w:rPr>
        <w:t>at</w:t>
      </w:r>
      <w:r w:rsidRPr="00CE0885">
        <w:rPr>
          <w:spacing w:val="-3"/>
          <w:lang w:eastAsia="en-GB"/>
        </w:rPr>
        <w:t xml:space="preserve"> </w:t>
      </w:r>
      <w:r w:rsidRPr="00CE0885">
        <w:rPr>
          <w:spacing w:val="-1"/>
          <w:lang w:eastAsia="en-GB"/>
        </w:rPr>
        <w:t>h</w:t>
      </w:r>
      <w:r w:rsidRPr="00CE0885">
        <w:rPr>
          <w:lang w:eastAsia="en-GB"/>
        </w:rPr>
        <w:t>a</w:t>
      </w:r>
      <w:r w:rsidRPr="00CE0885">
        <w:rPr>
          <w:spacing w:val="-2"/>
          <w:lang w:eastAsia="en-GB"/>
        </w:rPr>
        <w:t>v</w:t>
      </w:r>
      <w:r w:rsidRPr="00CE0885">
        <w:rPr>
          <w:lang w:eastAsia="en-GB"/>
        </w:rPr>
        <w:t>e</w:t>
      </w:r>
      <w:r w:rsidRPr="00CE0885">
        <w:rPr>
          <w:spacing w:val="-3"/>
          <w:lang w:eastAsia="en-GB"/>
        </w:rPr>
        <w:t xml:space="preserve"> </w:t>
      </w:r>
      <w:r w:rsidRPr="00CE0885">
        <w:rPr>
          <w:lang w:eastAsia="en-GB"/>
        </w:rPr>
        <w:t>led</w:t>
      </w:r>
      <w:r w:rsidRPr="00CE0885">
        <w:rPr>
          <w:spacing w:val="-1"/>
          <w:lang w:eastAsia="en-GB"/>
        </w:rPr>
        <w:t xml:space="preserve"> </w:t>
      </w:r>
      <w:r w:rsidRPr="00CE0885">
        <w:rPr>
          <w:spacing w:val="-2"/>
          <w:lang w:eastAsia="en-GB"/>
        </w:rPr>
        <w:t>t</w:t>
      </w:r>
      <w:r w:rsidRPr="00CE0885">
        <w:rPr>
          <w:lang w:eastAsia="en-GB"/>
        </w:rPr>
        <w:t>o t</w:t>
      </w:r>
      <w:r w:rsidRPr="00CE0885">
        <w:rPr>
          <w:spacing w:val="-1"/>
          <w:lang w:eastAsia="en-GB"/>
        </w:rPr>
        <w:t>h</w:t>
      </w:r>
      <w:r w:rsidRPr="00CE0885">
        <w:rPr>
          <w:lang w:eastAsia="en-GB"/>
        </w:rPr>
        <w:t>e</w:t>
      </w:r>
      <w:r w:rsidRPr="00CE0885">
        <w:rPr>
          <w:spacing w:val="-1"/>
          <w:lang w:eastAsia="en-GB"/>
        </w:rPr>
        <w:t xml:space="preserve"> r</w:t>
      </w:r>
      <w:r w:rsidRPr="00CE0885">
        <w:rPr>
          <w:lang w:eastAsia="en-GB"/>
        </w:rPr>
        <w:t>e</w:t>
      </w:r>
      <w:r w:rsidRPr="00CE0885">
        <w:rPr>
          <w:spacing w:val="-1"/>
          <w:lang w:eastAsia="en-GB"/>
        </w:rPr>
        <w:t>q</w:t>
      </w:r>
      <w:r w:rsidRPr="00CE0885">
        <w:rPr>
          <w:lang w:eastAsia="en-GB"/>
        </w:rPr>
        <w:t>uest</w:t>
      </w:r>
      <w:r w:rsidRPr="00CE0885">
        <w:rPr>
          <w:spacing w:val="-9"/>
          <w:lang w:eastAsia="en-GB"/>
        </w:rPr>
        <w:t xml:space="preserve"> </w:t>
      </w:r>
      <w:r w:rsidRPr="00CE0885">
        <w:rPr>
          <w:lang w:eastAsia="en-GB"/>
        </w:rPr>
        <w:t>to chan</w:t>
      </w:r>
      <w:r w:rsidRPr="00CE0885">
        <w:rPr>
          <w:spacing w:val="-1"/>
          <w:lang w:eastAsia="en-GB"/>
        </w:rPr>
        <w:t>g</w:t>
      </w:r>
      <w:r w:rsidRPr="00CE0885">
        <w:rPr>
          <w:lang w:eastAsia="en-GB"/>
        </w:rPr>
        <w:t>e</w:t>
      </w:r>
      <w:r w:rsidRPr="00CE0885">
        <w:rPr>
          <w:spacing w:val="-6"/>
          <w:lang w:eastAsia="en-GB"/>
        </w:rPr>
        <w:t xml:space="preserve"> </w:t>
      </w:r>
      <w:r w:rsidRPr="00CE0885">
        <w:rPr>
          <w:spacing w:val="-2"/>
          <w:lang w:eastAsia="en-GB"/>
        </w:rPr>
        <w:t>t</w:t>
      </w:r>
      <w:r w:rsidRPr="00CE0885">
        <w:rPr>
          <w:lang w:eastAsia="en-GB"/>
        </w:rPr>
        <w:t>heir</w:t>
      </w:r>
      <w:r w:rsidRPr="00CE0885">
        <w:rPr>
          <w:spacing w:val="-5"/>
          <w:lang w:eastAsia="en-GB"/>
        </w:rPr>
        <w:t xml:space="preserve"> </w:t>
      </w:r>
      <w:r w:rsidRPr="00CE0885">
        <w:rPr>
          <w:spacing w:val="-1"/>
          <w:lang w:eastAsia="en-GB"/>
        </w:rPr>
        <w:t>b</w:t>
      </w:r>
      <w:r w:rsidRPr="00CE0885">
        <w:rPr>
          <w:lang w:eastAsia="en-GB"/>
        </w:rPr>
        <w:t>ou</w:t>
      </w:r>
      <w:r w:rsidRPr="00CE0885">
        <w:rPr>
          <w:spacing w:val="-1"/>
          <w:lang w:eastAsia="en-GB"/>
        </w:rPr>
        <w:t>n</w:t>
      </w:r>
      <w:r w:rsidRPr="00CE0885">
        <w:rPr>
          <w:lang w:eastAsia="en-GB"/>
        </w:rPr>
        <w:t>da</w:t>
      </w:r>
      <w:r w:rsidRPr="00CE0885">
        <w:rPr>
          <w:spacing w:val="-1"/>
          <w:lang w:eastAsia="en-GB"/>
        </w:rPr>
        <w:t>r</w:t>
      </w:r>
      <w:r w:rsidRPr="00CE0885">
        <w:rPr>
          <w:lang w:eastAsia="en-GB"/>
        </w:rPr>
        <w:t>y</w:t>
      </w:r>
      <w:r w:rsidRPr="00CE0885">
        <w:rPr>
          <w:spacing w:val="-12"/>
          <w:lang w:eastAsia="en-GB"/>
        </w:rPr>
        <w:t xml:space="preserve"> </w:t>
      </w:r>
      <w:r w:rsidRPr="00CE0885">
        <w:rPr>
          <w:lang w:eastAsia="en-GB"/>
        </w:rPr>
        <w:t>and</w:t>
      </w:r>
      <w:r w:rsidRPr="00CE0885">
        <w:rPr>
          <w:spacing w:val="-5"/>
          <w:lang w:eastAsia="en-GB"/>
        </w:rPr>
        <w:t xml:space="preserve"> </w:t>
      </w:r>
      <w:r w:rsidRPr="00CE0885">
        <w:rPr>
          <w:lang w:eastAsia="en-GB"/>
        </w:rPr>
        <w:t>discuss</w:t>
      </w:r>
      <w:r w:rsidRPr="00CE0885">
        <w:rPr>
          <w:spacing w:val="-8"/>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possi</w:t>
      </w:r>
      <w:r w:rsidRPr="00CE0885">
        <w:rPr>
          <w:spacing w:val="-1"/>
          <w:lang w:eastAsia="en-GB"/>
        </w:rPr>
        <w:t>b</w:t>
      </w:r>
      <w:r w:rsidRPr="00CE0885">
        <w:rPr>
          <w:lang w:eastAsia="en-GB"/>
        </w:rPr>
        <w:t>le</w:t>
      </w:r>
      <w:r w:rsidRPr="00CE0885">
        <w:rPr>
          <w:spacing w:val="-7"/>
          <w:lang w:eastAsia="en-GB"/>
        </w:rPr>
        <w:t xml:space="preserve"> </w:t>
      </w:r>
      <w:r w:rsidRPr="00CE0885">
        <w:rPr>
          <w:lang w:eastAsia="en-GB"/>
        </w:rPr>
        <w:t>i</w:t>
      </w:r>
      <w:r w:rsidRPr="00CE0885">
        <w:rPr>
          <w:spacing w:val="2"/>
          <w:lang w:eastAsia="en-GB"/>
        </w:rPr>
        <w:t>m</w:t>
      </w:r>
      <w:r w:rsidRPr="00CE0885">
        <w:rPr>
          <w:lang w:eastAsia="en-GB"/>
        </w:rPr>
        <w:t>plicat</w:t>
      </w:r>
      <w:r w:rsidRPr="00CE0885">
        <w:rPr>
          <w:spacing w:val="-3"/>
          <w:lang w:eastAsia="en-GB"/>
        </w:rPr>
        <w:t>i</w:t>
      </w:r>
      <w:r w:rsidRPr="00CE0885">
        <w:rPr>
          <w:lang w:eastAsia="en-GB"/>
        </w:rPr>
        <w:t>ons</w:t>
      </w:r>
      <w:r w:rsidRPr="00CE0885">
        <w:rPr>
          <w:spacing w:val="-15"/>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 action,</w:t>
      </w:r>
      <w:r w:rsidRPr="00CE0885">
        <w:rPr>
          <w:spacing w:val="-8"/>
          <w:lang w:eastAsia="en-GB"/>
        </w:rPr>
        <w:t xml:space="preserve"> </w:t>
      </w:r>
      <w:r w:rsidRPr="00CE0885">
        <w:rPr>
          <w:lang w:eastAsia="en-GB"/>
        </w:rPr>
        <w:t>i.e. a</w:t>
      </w:r>
      <w:r w:rsidRPr="00CE0885">
        <w:rPr>
          <w:spacing w:val="-2"/>
          <w:lang w:eastAsia="en-GB"/>
        </w:rPr>
        <w:t xml:space="preserve"> </w:t>
      </w:r>
      <w:r w:rsidRPr="00CE0885">
        <w:rPr>
          <w:spacing w:val="-1"/>
          <w:lang w:eastAsia="en-GB"/>
        </w:rPr>
        <w:t>r</w:t>
      </w:r>
      <w:r w:rsidRPr="00CE0885">
        <w:rPr>
          <w:lang w:eastAsia="en-GB"/>
        </w:rPr>
        <w:t>educ</w:t>
      </w:r>
      <w:r w:rsidRPr="00CE0885">
        <w:rPr>
          <w:spacing w:val="-3"/>
          <w:lang w:eastAsia="en-GB"/>
        </w:rPr>
        <w:t>i</w:t>
      </w:r>
      <w:r w:rsidRPr="00CE0885">
        <w:rPr>
          <w:lang w:eastAsia="en-GB"/>
        </w:rPr>
        <w:t>ng</w:t>
      </w:r>
      <w:r w:rsidRPr="00CE0885">
        <w:rPr>
          <w:spacing w:val="-10"/>
          <w:lang w:eastAsia="en-GB"/>
        </w:rPr>
        <w:t xml:space="preserve"> </w:t>
      </w:r>
      <w:r w:rsidRPr="00CE0885">
        <w:rPr>
          <w:spacing w:val="-1"/>
          <w:lang w:eastAsia="en-GB"/>
        </w:rPr>
        <w:t>p</w:t>
      </w:r>
      <w:r w:rsidRPr="00CE0885">
        <w:rPr>
          <w:lang w:eastAsia="en-GB"/>
        </w:rPr>
        <w:t>atient</w:t>
      </w:r>
      <w:r w:rsidRPr="00CE0885">
        <w:rPr>
          <w:spacing w:val="-8"/>
          <w:lang w:eastAsia="en-GB"/>
        </w:rPr>
        <w:t xml:space="preserve"> </w:t>
      </w:r>
      <w:r w:rsidRPr="00CE0885">
        <w:rPr>
          <w:spacing w:val="-1"/>
          <w:lang w:eastAsia="en-GB"/>
        </w:rPr>
        <w:t>r</w:t>
      </w:r>
      <w:r w:rsidRPr="00CE0885">
        <w:rPr>
          <w:lang w:eastAsia="en-GB"/>
        </w:rPr>
        <w:t>e</w:t>
      </w:r>
      <w:r w:rsidRPr="00CE0885">
        <w:rPr>
          <w:spacing w:val="-1"/>
          <w:lang w:eastAsia="en-GB"/>
        </w:rPr>
        <w:t>g</w:t>
      </w:r>
      <w:r w:rsidRPr="00CE0885">
        <w:rPr>
          <w:lang w:eastAsia="en-GB"/>
        </w:rPr>
        <w:t>iste</w:t>
      </w:r>
      <w:r w:rsidRPr="00CE0885">
        <w:rPr>
          <w:spacing w:val="-1"/>
          <w:lang w:eastAsia="en-GB"/>
        </w:rPr>
        <w:t>r</w:t>
      </w:r>
      <w:r w:rsidRPr="00CE0885">
        <w:rPr>
          <w:lang w:eastAsia="en-GB"/>
        </w:rPr>
        <w:t>,</w:t>
      </w:r>
      <w:r w:rsidRPr="00CE0885">
        <w:rPr>
          <w:spacing w:val="-8"/>
          <w:lang w:eastAsia="en-GB"/>
        </w:rPr>
        <w:t xml:space="preserve"> </w:t>
      </w:r>
      <w:r w:rsidRPr="00CE0885">
        <w:rPr>
          <w:lang w:eastAsia="en-GB"/>
        </w:rPr>
        <w:t>an</w:t>
      </w:r>
      <w:r w:rsidRPr="00CE0885">
        <w:rPr>
          <w:spacing w:val="-4"/>
          <w:lang w:eastAsia="en-GB"/>
        </w:rPr>
        <w:t xml:space="preserve"> </w:t>
      </w:r>
      <w:r w:rsidRPr="00CE0885">
        <w:rPr>
          <w:lang w:eastAsia="en-GB"/>
        </w:rPr>
        <w:t>e</w:t>
      </w:r>
      <w:r w:rsidRPr="00CE0885">
        <w:rPr>
          <w:spacing w:val="-2"/>
          <w:lang w:eastAsia="en-GB"/>
        </w:rPr>
        <w:t>x</w:t>
      </w:r>
      <w:r w:rsidRPr="00CE0885">
        <w:rPr>
          <w:lang w:eastAsia="en-GB"/>
        </w:rPr>
        <w:t>p</w:t>
      </w:r>
      <w:r w:rsidRPr="00CE0885">
        <w:rPr>
          <w:spacing w:val="-1"/>
          <w:lang w:eastAsia="en-GB"/>
        </w:rPr>
        <w:t>a</w:t>
      </w:r>
      <w:r w:rsidRPr="00CE0885">
        <w:rPr>
          <w:lang w:eastAsia="en-GB"/>
        </w:rPr>
        <w:t>nding</w:t>
      </w:r>
      <w:r w:rsidRPr="00CE0885">
        <w:rPr>
          <w:spacing w:val="-12"/>
          <w:lang w:eastAsia="en-GB"/>
        </w:rPr>
        <w:t xml:space="preserve"> </w:t>
      </w:r>
      <w:r w:rsidRPr="00CE0885">
        <w:rPr>
          <w:lang w:eastAsia="en-GB"/>
        </w:rPr>
        <w:t>pat</w:t>
      </w:r>
      <w:r w:rsidRPr="00CE0885">
        <w:rPr>
          <w:spacing w:val="-3"/>
          <w:lang w:eastAsia="en-GB"/>
        </w:rPr>
        <w:t>i</w:t>
      </w:r>
      <w:r w:rsidRPr="00CE0885">
        <w:rPr>
          <w:lang w:eastAsia="en-GB"/>
        </w:rPr>
        <w:t>ent</w:t>
      </w:r>
      <w:r w:rsidRPr="00CE0885">
        <w:rPr>
          <w:spacing w:val="-6"/>
          <w:lang w:eastAsia="en-GB"/>
        </w:rPr>
        <w:t xml:space="preserve"> </w:t>
      </w:r>
      <w:r w:rsidRPr="00CE0885">
        <w:rPr>
          <w:spacing w:val="-3"/>
          <w:lang w:eastAsia="en-GB"/>
        </w:rPr>
        <w:t>r</w:t>
      </w:r>
      <w:r w:rsidRPr="00CE0885">
        <w:rPr>
          <w:lang w:eastAsia="en-GB"/>
        </w:rPr>
        <w:t>e</w:t>
      </w:r>
      <w:r w:rsidRPr="00CE0885">
        <w:rPr>
          <w:spacing w:val="-1"/>
          <w:lang w:eastAsia="en-GB"/>
        </w:rPr>
        <w:t>g</w:t>
      </w:r>
      <w:r w:rsidRPr="00CE0885">
        <w:rPr>
          <w:lang w:eastAsia="en-GB"/>
        </w:rPr>
        <w:t>iste</w:t>
      </w:r>
      <w:r w:rsidRPr="00CE0885">
        <w:rPr>
          <w:spacing w:val="-1"/>
          <w:lang w:eastAsia="en-GB"/>
        </w:rPr>
        <w:t>r</w:t>
      </w:r>
      <w:r w:rsidRPr="00CE0885">
        <w:rPr>
          <w:lang w:eastAsia="en-GB"/>
        </w:rPr>
        <w:t>, the</w:t>
      </w:r>
      <w:r w:rsidRPr="00CE0885">
        <w:rPr>
          <w:spacing w:val="-4"/>
          <w:lang w:eastAsia="en-GB"/>
        </w:rPr>
        <w:t xml:space="preserve"> </w:t>
      </w:r>
      <w:r w:rsidRPr="00CE0885">
        <w:rPr>
          <w:spacing w:val="3"/>
          <w:lang w:eastAsia="en-GB"/>
        </w:rPr>
        <w:t>f</w:t>
      </w:r>
      <w:r w:rsidRPr="00CE0885">
        <w:rPr>
          <w:spacing w:val="-3"/>
          <w:lang w:eastAsia="en-GB"/>
        </w:rPr>
        <w:t>i</w:t>
      </w:r>
      <w:r w:rsidRPr="00CE0885">
        <w:rPr>
          <w:lang w:eastAsia="en-GB"/>
        </w:rPr>
        <w:t>nancial</w:t>
      </w:r>
      <w:r w:rsidRPr="00CE0885">
        <w:rPr>
          <w:spacing w:val="-9"/>
          <w:lang w:eastAsia="en-GB"/>
        </w:rPr>
        <w:t xml:space="preserve"> </w:t>
      </w:r>
      <w:r w:rsidRPr="00CE0885">
        <w:rPr>
          <w:spacing w:val="-3"/>
          <w:lang w:eastAsia="en-GB"/>
        </w:rPr>
        <w:t>i</w:t>
      </w:r>
      <w:r w:rsidRPr="00CE0885">
        <w:rPr>
          <w:spacing w:val="2"/>
          <w:lang w:eastAsia="en-GB"/>
        </w:rPr>
        <w:t>m</w:t>
      </w:r>
      <w:r w:rsidRPr="00CE0885">
        <w:rPr>
          <w:lang w:eastAsia="en-GB"/>
        </w:rPr>
        <w:t>plicat</w:t>
      </w:r>
      <w:r w:rsidRPr="00CE0885">
        <w:rPr>
          <w:spacing w:val="-3"/>
          <w:lang w:eastAsia="en-GB"/>
        </w:rPr>
        <w:t>i</w:t>
      </w:r>
      <w:r w:rsidRPr="00CE0885">
        <w:rPr>
          <w:spacing w:val="-1"/>
          <w:lang w:eastAsia="en-GB"/>
        </w:rPr>
        <w:t>o</w:t>
      </w:r>
      <w:r w:rsidRPr="00CE0885">
        <w:rPr>
          <w:lang w:eastAsia="en-GB"/>
        </w:rPr>
        <w:t>ns</w:t>
      </w:r>
      <w:r w:rsidRPr="00CE0885">
        <w:rPr>
          <w:spacing w:val="-13"/>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bo</w:t>
      </w:r>
      <w:r w:rsidRPr="00CE0885">
        <w:rPr>
          <w:spacing w:val="-2"/>
          <w:lang w:eastAsia="en-GB"/>
        </w:rPr>
        <w:t>t</w:t>
      </w:r>
      <w:r w:rsidRPr="00CE0885">
        <w:rPr>
          <w:lang w:eastAsia="en-GB"/>
        </w:rPr>
        <w:t>h</w:t>
      </w:r>
      <w:r w:rsidRPr="00CE0885">
        <w:rPr>
          <w:spacing w:val="-3"/>
          <w:lang w:eastAsia="en-GB"/>
        </w:rPr>
        <w:t xml:space="preserve"> </w:t>
      </w:r>
      <w:r w:rsidRPr="00CE0885">
        <w:rPr>
          <w:spacing w:val="-1"/>
          <w:lang w:eastAsia="en-GB"/>
        </w:rPr>
        <w:t>a</w:t>
      </w:r>
      <w:r w:rsidRPr="00CE0885">
        <w:rPr>
          <w:lang w:eastAsia="en-GB"/>
        </w:rPr>
        <w:t>nd</w:t>
      </w:r>
      <w:r w:rsidRPr="00CE0885">
        <w:rPr>
          <w:spacing w:val="-5"/>
          <w:lang w:eastAsia="en-GB"/>
        </w:rPr>
        <w:t xml:space="preserve"> </w:t>
      </w:r>
      <w:r w:rsidRPr="00CE0885">
        <w:rPr>
          <w:lang w:eastAsia="en-GB"/>
        </w:rPr>
        <w:t>any</w:t>
      </w:r>
      <w:r w:rsidRPr="00CE0885">
        <w:rPr>
          <w:spacing w:val="-6"/>
          <w:lang w:eastAsia="en-GB"/>
        </w:rPr>
        <w:t xml:space="preserve"> </w:t>
      </w:r>
      <w:r w:rsidRPr="00CE0885">
        <w:rPr>
          <w:lang w:eastAsia="en-GB"/>
        </w:rPr>
        <w:t>po</w:t>
      </w:r>
      <w:r w:rsidRPr="00CE0885">
        <w:rPr>
          <w:spacing w:val="-2"/>
          <w:lang w:eastAsia="en-GB"/>
        </w:rPr>
        <w:t>s</w:t>
      </w:r>
      <w:r w:rsidRPr="00CE0885">
        <w:rPr>
          <w:lang w:eastAsia="en-GB"/>
        </w:rPr>
        <w:t>sible</w:t>
      </w:r>
      <w:r w:rsidRPr="00CE0885">
        <w:rPr>
          <w:spacing w:val="-7"/>
          <w:lang w:eastAsia="en-GB"/>
        </w:rPr>
        <w:t xml:space="preserve"> </w:t>
      </w:r>
      <w:r w:rsidRPr="00CE0885">
        <w:rPr>
          <w:lang w:eastAsia="en-GB"/>
        </w:rPr>
        <w:t>alte</w:t>
      </w:r>
      <w:r w:rsidRPr="00CE0885">
        <w:rPr>
          <w:spacing w:val="-1"/>
          <w:lang w:eastAsia="en-GB"/>
        </w:rPr>
        <w:t>rn</w:t>
      </w:r>
      <w:r w:rsidRPr="00CE0885">
        <w:rPr>
          <w:lang w:eastAsia="en-GB"/>
        </w:rPr>
        <w:t>ati</w:t>
      </w:r>
      <w:r w:rsidRPr="00CE0885">
        <w:rPr>
          <w:spacing w:val="-2"/>
          <w:lang w:eastAsia="en-GB"/>
        </w:rPr>
        <w:t>v</w:t>
      </w:r>
      <w:r w:rsidRPr="00CE0885">
        <w:rPr>
          <w:lang w:eastAsia="en-GB"/>
        </w:rPr>
        <w:t>e actions</w:t>
      </w:r>
      <w:r w:rsidRPr="00CE0885">
        <w:rPr>
          <w:spacing w:val="-10"/>
          <w:lang w:eastAsia="en-GB"/>
        </w:rPr>
        <w:t xml:space="preserve"> </w:t>
      </w:r>
      <w:r w:rsidRPr="00CE0885">
        <w:rPr>
          <w:lang w:eastAsia="en-GB"/>
        </w:rPr>
        <w:t>th</w:t>
      </w:r>
      <w:r w:rsidRPr="00CE0885">
        <w:rPr>
          <w:spacing w:val="-1"/>
          <w:lang w:eastAsia="en-GB"/>
        </w:rPr>
        <w:t>a</w:t>
      </w:r>
      <w:r w:rsidRPr="00CE0885">
        <w:rPr>
          <w:lang w:eastAsia="en-GB"/>
        </w:rPr>
        <w:t>t</w:t>
      </w:r>
      <w:r w:rsidRPr="00CE0885">
        <w:rPr>
          <w:spacing w:val="-3"/>
          <w:lang w:eastAsia="en-GB"/>
        </w:rPr>
        <w:t xml:space="preserve"> </w:t>
      </w:r>
      <w:r w:rsidRPr="00CE0885">
        <w:rPr>
          <w:spacing w:val="-1"/>
          <w:lang w:eastAsia="en-GB"/>
        </w:rPr>
        <w:t>m</w:t>
      </w:r>
      <w:r w:rsidRPr="00CE0885">
        <w:rPr>
          <w:lang w:eastAsia="en-GB"/>
        </w:rPr>
        <w:t>ay</w:t>
      </w:r>
      <w:r w:rsidRPr="00CE0885">
        <w:rPr>
          <w:spacing w:val="-7"/>
          <w:lang w:eastAsia="en-GB"/>
        </w:rPr>
        <w:t xml:space="preserve"> </w:t>
      </w:r>
      <w:r w:rsidRPr="00CE0885">
        <w:rPr>
          <w:lang w:eastAsia="en-GB"/>
        </w:rPr>
        <w:t>be</w:t>
      </w:r>
      <w:r w:rsidRPr="00CE0885">
        <w:rPr>
          <w:spacing w:val="-1"/>
          <w:lang w:eastAsia="en-GB"/>
        </w:rPr>
        <w:t xml:space="preserve"> </w:t>
      </w:r>
      <w:r w:rsidRPr="00CE0885">
        <w:rPr>
          <w:spacing w:val="-2"/>
          <w:lang w:eastAsia="en-GB"/>
        </w:rPr>
        <w:t>t</w:t>
      </w:r>
      <w:r w:rsidRPr="00CE0885">
        <w:rPr>
          <w:spacing w:val="-1"/>
          <w:lang w:eastAsia="en-GB"/>
        </w:rPr>
        <w:t>a</w:t>
      </w:r>
      <w:r w:rsidRPr="00CE0885">
        <w:rPr>
          <w:lang w:eastAsia="en-GB"/>
        </w:rPr>
        <w:t>ken</w:t>
      </w:r>
      <w:r w:rsidRPr="00CE0885">
        <w:rPr>
          <w:spacing w:val="-4"/>
          <w:lang w:eastAsia="en-GB"/>
        </w:rPr>
        <w:t xml:space="preserve"> </w:t>
      </w:r>
      <w:r w:rsidRPr="00CE0885">
        <w:rPr>
          <w:lang w:eastAsia="en-GB"/>
        </w:rPr>
        <w:t>by</w:t>
      </w:r>
      <w:r w:rsidRPr="00CE0885">
        <w:rPr>
          <w:spacing w:val="-5"/>
          <w:lang w:eastAsia="en-GB"/>
        </w:rPr>
        <w:t xml:space="preserve"> </w:t>
      </w:r>
      <w:r w:rsidRPr="00CE0885">
        <w:rPr>
          <w:lang w:eastAsia="en-GB"/>
        </w:rPr>
        <w:t>eit</w:t>
      </w:r>
      <w:r w:rsidRPr="00CE0885">
        <w:rPr>
          <w:spacing w:val="-1"/>
          <w:lang w:eastAsia="en-GB"/>
        </w:rPr>
        <w:t>h</w:t>
      </w:r>
      <w:r w:rsidRPr="00CE0885">
        <w:rPr>
          <w:lang w:eastAsia="en-GB"/>
        </w:rPr>
        <w:t>er</w:t>
      </w:r>
      <w:r w:rsidRPr="00CE0885">
        <w:rPr>
          <w:spacing w:val="-6"/>
          <w:lang w:eastAsia="en-GB"/>
        </w:rPr>
        <w:t xml:space="preserve"> </w:t>
      </w:r>
      <w:r w:rsidRPr="00CE0885">
        <w:rPr>
          <w:lang w:eastAsia="en-GB"/>
        </w:rPr>
        <w:t>pa</w:t>
      </w:r>
      <w:r w:rsidRPr="00CE0885">
        <w:rPr>
          <w:spacing w:val="-1"/>
          <w:lang w:eastAsia="en-GB"/>
        </w:rPr>
        <w:t>r</w:t>
      </w:r>
      <w:r w:rsidRPr="00CE0885">
        <w:rPr>
          <w:lang w:eastAsia="en-GB"/>
        </w:rPr>
        <w:t>ty</w:t>
      </w:r>
      <w:r w:rsidRPr="00CE0885">
        <w:rPr>
          <w:spacing w:val="-7"/>
          <w:lang w:eastAsia="en-GB"/>
        </w:rPr>
        <w:t xml:space="preserve"> </w:t>
      </w:r>
      <w:r w:rsidRPr="00CE0885">
        <w:rPr>
          <w:lang w:eastAsia="en-GB"/>
        </w:rPr>
        <w:t>to</w:t>
      </w:r>
      <w:r w:rsidRPr="00CE0885">
        <w:rPr>
          <w:spacing w:val="-3"/>
          <w:lang w:eastAsia="en-GB"/>
        </w:rPr>
        <w:t xml:space="preserve"> </w:t>
      </w:r>
      <w:r w:rsidRPr="00CE0885">
        <w:rPr>
          <w:spacing w:val="-1"/>
          <w:lang w:eastAsia="en-GB"/>
        </w:rPr>
        <w:t>e</w:t>
      </w:r>
      <w:r w:rsidRPr="00CE0885">
        <w:rPr>
          <w:lang w:eastAsia="en-GB"/>
        </w:rPr>
        <w:t>nable</w:t>
      </w:r>
      <w:r w:rsidRPr="00CE0885">
        <w:rPr>
          <w:spacing w:val="-8"/>
          <w:lang w:eastAsia="en-GB"/>
        </w:rPr>
        <w:t xml:space="preserve"> </w:t>
      </w:r>
      <w:r w:rsidRPr="00CE0885">
        <w:rPr>
          <w:lang w:eastAsia="en-GB"/>
        </w:rPr>
        <w:t>the</w:t>
      </w:r>
      <w:r w:rsidRPr="00CE0885">
        <w:rPr>
          <w:spacing w:val="-4"/>
          <w:lang w:eastAsia="en-GB"/>
        </w:rPr>
        <w:t xml:space="preserve"> </w:t>
      </w:r>
      <w:r w:rsidRPr="00CE0885">
        <w:rPr>
          <w:lang w:eastAsia="en-GB"/>
        </w:rPr>
        <w:t>p</w:t>
      </w:r>
      <w:r w:rsidRPr="00CE0885">
        <w:rPr>
          <w:spacing w:val="-1"/>
          <w:lang w:eastAsia="en-GB"/>
        </w:rPr>
        <w:t>r</w:t>
      </w:r>
      <w:r w:rsidRPr="00CE0885">
        <w:rPr>
          <w:lang w:eastAsia="en-GB"/>
        </w:rPr>
        <w:t>acti</w:t>
      </w:r>
      <w:r w:rsidRPr="00CE0885">
        <w:rPr>
          <w:spacing w:val="-2"/>
          <w:lang w:eastAsia="en-GB"/>
        </w:rPr>
        <w:t>c</w:t>
      </w:r>
      <w:r w:rsidRPr="00CE0885">
        <w:rPr>
          <w:lang w:eastAsia="en-GB"/>
        </w:rPr>
        <w:t>e</w:t>
      </w:r>
      <w:r w:rsidRPr="00CE0885">
        <w:rPr>
          <w:spacing w:val="-6"/>
          <w:lang w:eastAsia="en-GB"/>
        </w:rPr>
        <w:t xml:space="preserve"> </w:t>
      </w:r>
      <w:r w:rsidRPr="00CE0885">
        <w:rPr>
          <w:lang w:eastAsia="en-GB"/>
        </w:rPr>
        <w:t xml:space="preserve">to </w:t>
      </w:r>
      <w:r w:rsidRPr="00CE0885">
        <w:rPr>
          <w:spacing w:val="2"/>
          <w:lang w:eastAsia="en-GB"/>
        </w:rPr>
        <w:t>m</w:t>
      </w:r>
      <w:r w:rsidRPr="00CE0885">
        <w:rPr>
          <w:lang w:eastAsia="en-GB"/>
        </w:rPr>
        <w:t>ain</w:t>
      </w:r>
      <w:r w:rsidRPr="00CE0885">
        <w:rPr>
          <w:spacing w:val="-2"/>
          <w:lang w:eastAsia="en-GB"/>
        </w:rPr>
        <w:t>t</w:t>
      </w:r>
      <w:r w:rsidRPr="00CE0885">
        <w:rPr>
          <w:lang w:eastAsia="en-GB"/>
        </w:rPr>
        <w:t>ain</w:t>
      </w:r>
      <w:r w:rsidRPr="00CE0885">
        <w:rPr>
          <w:spacing w:val="-7"/>
          <w:lang w:eastAsia="en-GB"/>
        </w:rPr>
        <w:t xml:space="preserve"> </w:t>
      </w:r>
      <w:r w:rsidRPr="00CE0885">
        <w:rPr>
          <w:lang w:eastAsia="en-GB"/>
        </w:rPr>
        <w:t>its</w:t>
      </w:r>
      <w:r w:rsidRPr="00CE0885">
        <w:rPr>
          <w:spacing w:val="-4"/>
          <w:lang w:eastAsia="en-GB"/>
        </w:rPr>
        <w:t xml:space="preserve"> </w:t>
      </w:r>
      <w:r w:rsidRPr="00CE0885">
        <w:rPr>
          <w:lang w:eastAsia="en-GB"/>
        </w:rPr>
        <w:t>e</w:t>
      </w:r>
      <w:r w:rsidRPr="00CE0885">
        <w:rPr>
          <w:spacing w:val="-2"/>
          <w:lang w:eastAsia="en-GB"/>
        </w:rPr>
        <w:t>x</w:t>
      </w:r>
      <w:r w:rsidRPr="00CE0885">
        <w:rPr>
          <w:lang w:eastAsia="en-GB"/>
        </w:rPr>
        <w:t>isting</w:t>
      </w:r>
      <w:r w:rsidRPr="00CE0885">
        <w:rPr>
          <w:spacing w:val="-9"/>
          <w:lang w:eastAsia="en-GB"/>
        </w:rPr>
        <w:t xml:space="preserve"> </w:t>
      </w:r>
      <w:r w:rsidRPr="00CE0885">
        <w:rPr>
          <w:lang w:eastAsia="en-GB"/>
        </w:rPr>
        <w:t>p</w:t>
      </w:r>
      <w:r w:rsidRPr="00CE0885">
        <w:rPr>
          <w:spacing w:val="-1"/>
          <w:lang w:eastAsia="en-GB"/>
        </w:rPr>
        <w:t>r</w:t>
      </w:r>
      <w:r w:rsidRPr="00CE0885">
        <w:rPr>
          <w:lang w:eastAsia="en-GB"/>
        </w:rPr>
        <w:t>actice</w:t>
      </w:r>
      <w:r w:rsidRPr="00CE0885">
        <w:rPr>
          <w:spacing w:val="-6"/>
          <w:lang w:eastAsia="en-GB"/>
        </w:rPr>
        <w:t xml:space="preserve"> </w:t>
      </w:r>
      <w:r w:rsidRPr="00CE0885">
        <w:rPr>
          <w:lang w:eastAsia="en-GB"/>
        </w:rPr>
        <w:t>a</w:t>
      </w:r>
      <w:r w:rsidRPr="00CE0885">
        <w:rPr>
          <w:spacing w:val="-1"/>
          <w:lang w:eastAsia="en-GB"/>
        </w:rPr>
        <w:t>re</w:t>
      </w:r>
      <w:r w:rsidRPr="00CE0885">
        <w:rPr>
          <w:lang w:eastAsia="en-GB"/>
        </w:rPr>
        <w:t>a.</w:t>
      </w:r>
      <w:bookmarkEnd w:id="806"/>
    </w:p>
    <w:p w14:paraId="51B82B8A" w14:textId="306F0792" w:rsidR="00977693" w:rsidRPr="00CE0885" w:rsidRDefault="00977693" w:rsidP="00980A75">
      <w:pPr>
        <w:pStyle w:val="Heading3"/>
        <w:rPr>
          <w:lang w:eastAsia="en-GB"/>
        </w:rPr>
      </w:pPr>
      <w:bookmarkStart w:id="807" w:name="_Toc440981934"/>
      <w:r w:rsidRPr="00CE0885">
        <w:rPr>
          <w:lang w:eastAsia="en-GB"/>
        </w:rPr>
        <w:t>Commissioners</w:t>
      </w:r>
      <w:r w:rsidRPr="00CE0885">
        <w:rPr>
          <w:spacing w:val="-6"/>
          <w:lang w:eastAsia="en-GB"/>
        </w:rPr>
        <w:t xml:space="preserve"> </w:t>
      </w:r>
      <w:r w:rsidRPr="00CE0885">
        <w:rPr>
          <w:spacing w:val="2"/>
          <w:lang w:eastAsia="en-GB"/>
        </w:rPr>
        <w:t>m</w:t>
      </w:r>
      <w:r w:rsidRPr="00CE0885">
        <w:rPr>
          <w:lang w:eastAsia="en-GB"/>
        </w:rPr>
        <w:t>u</w:t>
      </w:r>
      <w:r w:rsidRPr="00CE0885">
        <w:rPr>
          <w:spacing w:val="-2"/>
          <w:lang w:eastAsia="en-GB"/>
        </w:rPr>
        <w:t>s</w:t>
      </w:r>
      <w:r w:rsidRPr="00CE0885">
        <w:rPr>
          <w:lang w:eastAsia="en-GB"/>
        </w:rPr>
        <w:t>t</w:t>
      </w:r>
      <w:r w:rsidRPr="00CE0885">
        <w:rPr>
          <w:spacing w:val="-4"/>
          <w:lang w:eastAsia="en-GB"/>
        </w:rPr>
        <w:t xml:space="preserve"> </w:t>
      </w:r>
      <w:r w:rsidRPr="00CE0885">
        <w:rPr>
          <w:lang w:eastAsia="en-GB"/>
        </w:rPr>
        <w:t>c</w:t>
      </w:r>
      <w:r w:rsidRPr="00CE0885">
        <w:rPr>
          <w:spacing w:val="-1"/>
          <w:lang w:eastAsia="en-GB"/>
        </w:rPr>
        <w:t>o</w:t>
      </w:r>
      <w:r w:rsidRPr="00CE0885">
        <w:rPr>
          <w:lang w:eastAsia="en-GB"/>
        </w:rPr>
        <w:t>nsider</w:t>
      </w:r>
      <w:r w:rsidRPr="00CE0885">
        <w:rPr>
          <w:spacing w:val="-9"/>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applicati</w:t>
      </w:r>
      <w:r w:rsidRPr="00CE0885">
        <w:rPr>
          <w:spacing w:val="-1"/>
          <w:lang w:eastAsia="en-GB"/>
        </w:rPr>
        <w:t>o</w:t>
      </w:r>
      <w:r w:rsidRPr="00CE0885">
        <w:rPr>
          <w:lang w:eastAsia="en-GB"/>
        </w:rPr>
        <w:t>n</w:t>
      </w:r>
      <w:r w:rsidRPr="00CE0885">
        <w:rPr>
          <w:spacing w:val="-9"/>
          <w:lang w:eastAsia="en-GB"/>
        </w:rPr>
        <w:t xml:space="preserve"> </w:t>
      </w:r>
      <w:r w:rsidRPr="00CE0885">
        <w:rPr>
          <w:spacing w:val="-1"/>
          <w:lang w:eastAsia="en-GB"/>
        </w:rPr>
        <w:t>h</w:t>
      </w:r>
      <w:r w:rsidRPr="00CE0885">
        <w:rPr>
          <w:lang w:eastAsia="en-GB"/>
        </w:rPr>
        <w:t>a</w:t>
      </w:r>
      <w:r w:rsidRPr="00CE0885">
        <w:rPr>
          <w:spacing w:val="-2"/>
          <w:lang w:eastAsia="en-GB"/>
        </w:rPr>
        <w:t>v</w:t>
      </w:r>
      <w:r w:rsidRPr="00CE0885">
        <w:rPr>
          <w:lang w:eastAsia="en-GB"/>
        </w:rPr>
        <w:t>ing</w:t>
      </w:r>
      <w:r w:rsidRPr="00CE0885">
        <w:rPr>
          <w:spacing w:val="-8"/>
          <w:lang w:eastAsia="en-GB"/>
        </w:rPr>
        <w:t xml:space="preserve"> </w:t>
      </w:r>
      <w:r w:rsidRPr="00CE0885">
        <w:rPr>
          <w:spacing w:val="-1"/>
          <w:lang w:eastAsia="en-GB"/>
        </w:rPr>
        <w:t>r</w:t>
      </w:r>
      <w:r w:rsidRPr="00CE0885">
        <w:rPr>
          <w:lang w:eastAsia="en-GB"/>
        </w:rPr>
        <w:t>ega</w:t>
      </w:r>
      <w:r w:rsidRPr="00CE0885">
        <w:rPr>
          <w:spacing w:val="-1"/>
          <w:lang w:eastAsia="en-GB"/>
        </w:rPr>
        <w:t>r</w:t>
      </w:r>
      <w:r w:rsidRPr="00CE0885">
        <w:rPr>
          <w:lang w:eastAsia="en-GB"/>
        </w:rPr>
        <w:t>d</w:t>
      </w:r>
      <w:r w:rsidRPr="00CE0885">
        <w:rPr>
          <w:spacing w:val="-5"/>
          <w:lang w:eastAsia="en-GB"/>
        </w:rPr>
        <w:t xml:space="preserve"> </w:t>
      </w:r>
      <w:r w:rsidRPr="00CE0885">
        <w:rPr>
          <w:lang w:eastAsia="en-GB"/>
        </w:rPr>
        <w:t>to</w:t>
      </w:r>
      <w:r w:rsidRPr="00CE0885">
        <w:rPr>
          <w:spacing w:val="-3"/>
          <w:lang w:eastAsia="en-GB"/>
        </w:rPr>
        <w:t xml:space="preserve"> </w:t>
      </w:r>
      <w:r w:rsidRPr="00CE0885">
        <w:rPr>
          <w:lang w:eastAsia="en-GB"/>
        </w:rPr>
        <w:t>ot</w:t>
      </w:r>
      <w:r w:rsidRPr="00CE0885">
        <w:rPr>
          <w:spacing w:val="-1"/>
          <w:lang w:eastAsia="en-GB"/>
        </w:rPr>
        <w:t>h</w:t>
      </w:r>
      <w:r w:rsidRPr="00CE0885">
        <w:rPr>
          <w:lang w:eastAsia="en-GB"/>
        </w:rPr>
        <w:t>er</w:t>
      </w:r>
      <w:r w:rsidRPr="00CE0885">
        <w:rPr>
          <w:spacing w:val="-5"/>
          <w:lang w:eastAsia="en-GB"/>
        </w:rPr>
        <w:t xml:space="preserve"> </w:t>
      </w:r>
      <w:r w:rsidRPr="00CE0885">
        <w:rPr>
          <w:lang w:eastAsia="en-GB"/>
        </w:rPr>
        <w:t>p</w:t>
      </w:r>
      <w:r w:rsidRPr="00CE0885">
        <w:rPr>
          <w:spacing w:val="-1"/>
          <w:lang w:eastAsia="en-GB"/>
        </w:rPr>
        <w:t>r</w:t>
      </w:r>
      <w:r w:rsidRPr="00CE0885">
        <w:rPr>
          <w:lang w:eastAsia="en-GB"/>
        </w:rPr>
        <w:t>acti</w:t>
      </w:r>
      <w:r w:rsidRPr="00CE0885">
        <w:rPr>
          <w:spacing w:val="-2"/>
          <w:lang w:eastAsia="en-GB"/>
        </w:rPr>
        <w:t>c</w:t>
      </w:r>
      <w:r w:rsidRPr="00CE0885">
        <w:rPr>
          <w:lang w:eastAsia="en-GB"/>
        </w:rPr>
        <w:t>es’ bo</w:t>
      </w:r>
      <w:r w:rsidRPr="00CE0885">
        <w:rPr>
          <w:spacing w:val="-1"/>
          <w:lang w:eastAsia="en-GB"/>
        </w:rPr>
        <w:t>u</w:t>
      </w:r>
      <w:r w:rsidRPr="00CE0885">
        <w:rPr>
          <w:lang w:eastAsia="en-GB"/>
        </w:rPr>
        <w:t>nda</w:t>
      </w:r>
      <w:r w:rsidRPr="00CE0885">
        <w:rPr>
          <w:spacing w:val="-1"/>
          <w:lang w:eastAsia="en-GB"/>
        </w:rPr>
        <w:t>r</w:t>
      </w:r>
      <w:r w:rsidRPr="00CE0885">
        <w:rPr>
          <w:lang w:eastAsia="en-GB"/>
        </w:rPr>
        <w:t>ies,</w:t>
      </w:r>
      <w:r w:rsidRPr="00CE0885">
        <w:rPr>
          <w:spacing w:val="-14"/>
          <w:lang w:eastAsia="en-GB"/>
        </w:rPr>
        <w:t xml:space="preserve"> </w:t>
      </w:r>
      <w:r w:rsidRPr="00CE0885">
        <w:rPr>
          <w:lang w:eastAsia="en-GB"/>
        </w:rPr>
        <w:t>p</w:t>
      </w:r>
      <w:r w:rsidRPr="00CE0885">
        <w:rPr>
          <w:spacing w:val="-1"/>
          <w:lang w:eastAsia="en-GB"/>
        </w:rPr>
        <w:t>a</w:t>
      </w:r>
      <w:r w:rsidRPr="00CE0885">
        <w:rPr>
          <w:lang w:eastAsia="en-GB"/>
        </w:rPr>
        <w:t>tient</w:t>
      </w:r>
      <w:r w:rsidRPr="00CE0885">
        <w:rPr>
          <w:spacing w:val="-8"/>
          <w:lang w:eastAsia="en-GB"/>
        </w:rPr>
        <w:t xml:space="preserve"> </w:t>
      </w:r>
      <w:r w:rsidRPr="00CE0885">
        <w:rPr>
          <w:lang w:eastAsia="en-GB"/>
        </w:rPr>
        <w:t>a</w:t>
      </w:r>
      <w:r w:rsidRPr="00CE0885">
        <w:rPr>
          <w:spacing w:val="-2"/>
          <w:lang w:eastAsia="en-GB"/>
        </w:rPr>
        <w:t>c</w:t>
      </w:r>
      <w:r w:rsidRPr="00CE0885">
        <w:rPr>
          <w:lang w:eastAsia="en-GB"/>
        </w:rPr>
        <w:t>cess</w:t>
      </w:r>
      <w:r w:rsidRPr="00CE0885">
        <w:rPr>
          <w:spacing w:val="-7"/>
          <w:lang w:eastAsia="en-GB"/>
        </w:rPr>
        <w:t xml:space="preserve"> </w:t>
      </w:r>
      <w:r w:rsidRPr="00CE0885">
        <w:rPr>
          <w:lang w:eastAsia="en-GB"/>
        </w:rPr>
        <w:t>to</w:t>
      </w:r>
      <w:r w:rsidRPr="00CE0885">
        <w:rPr>
          <w:spacing w:val="-3"/>
          <w:lang w:eastAsia="en-GB"/>
        </w:rPr>
        <w:t xml:space="preserve"> </w:t>
      </w:r>
      <w:r w:rsidRPr="00CE0885">
        <w:rPr>
          <w:lang w:eastAsia="en-GB"/>
        </w:rPr>
        <w:t>ot</w:t>
      </w:r>
      <w:r w:rsidRPr="00CE0885">
        <w:rPr>
          <w:spacing w:val="-1"/>
          <w:lang w:eastAsia="en-GB"/>
        </w:rPr>
        <w:t>h</w:t>
      </w:r>
      <w:r w:rsidRPr="00CE0885">
        <w:rPr>
          <w:lang w:eastAsia="en-GB"/>
        </w:rPr>
        <w:t>er</w:t>
      </w:r>
      <w:r w:rsidRPr="00CE0885">
        <w:rPr>
          <w:spacing w:val="-5"/>
          <w:lang w:eastAsia="en-GB"/>
        </w:rPr>
        <w:t xml:space="preserve"> </w:t>
      </w:r>
      <w:r w:rsidRPr="00CE0885">
        <w:rPr>
          <w:lang w:eastAsia="en-GB"/>
        </w:rPr>
        <w:t>local</w:t>
      </w:r>
      <w:r w:rsidRPr="00CE0885">
        <w:rPr>
          <w:spacing w:val="-5"/>
          <w:lang w:eastAsia="en-GB"/>
        </w:rPr>
        <w:t xml:space="preserve"> </w:t>
      </w:r>
      <w:r w:rsidRPr="00CE0885">
        <w:rPr>
          <w:spacing w:val="-2"/>
          <w:lang w:eastAsia="en-GB"/>
        </w:rPr>
        <w:t>s</w:t>
      </w:r>
      <w:r w:rsidRPr="00CE0885">
        <w:rPr>
          <w:lang w:eastAsia="en-GB"/>
        </w:rPr>
        <w:t>e</w:t>
      </w:r>
      <w:r w:rsidRPr="00CE0885">
        <w:rPr>
          <w:spacing w:val="-1"/>
          <w:lang w:eastAsia="en-GB"/>
        </w:rPr>
        <w:t>r</w:t>
      </w:r>
      <w:r w:rsidRPr="00CE0885">
        <w:rPr>
          <w:lang w:eastAsia="en-GB"/>
        </w:rPr>
        <w:t>vices</w:t>
      </w:r>
      <w:r w:rsidRPr="00CE0885">
        <w:rPr>
          <w:spacing w:val="-9"/>
          <w:lang w:eastAsia="en-GB"/>
        </w:rPr>
        <w:t xml:space="preserve"> </w:t>
      </w:r>
      <w:r w:rsidRPr="00CE0885">
        <w:rPr>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lang w:eastAsia="en-GB"/>
        </w:rPr>
        <w:t>other</w:t>
      </w:r>
      <w:r w:rsidRPr="00CE0885">
        <w:rPr>
          <w:spacing w:val="-8"/>
          <w:lang w:eastAsia="en-GB"/>
        </w:rPr>
        <w:t xml:space="preserve"> </w:t>
      </w:r>
      <w:r w:rsidRPr="00CE0885">
        <w:rPr>
          <w:lang w:eastAsia="en-GB"/>
        </w:rPr>
        <w:t>heal</w:t>
      </w:r>
      <w:r w:rsidRPr="00CE0885">
        <w:rPr>
          <w:spacing w:val="-2"/>
          <w:lang w:eastAsia="en-GB"/>
        </w:rPr>
        <w:t>t</w:t>
      </w:r>
      <w:r w:rsidRPr="00CE0885">
        <w:rPr>
          <w:lang w:eastAsia="en-GB"/>
        </w:rPr>
        <w:t>h</w:t>
      </w:r>
      <w:r w:rsidRPr="00CE0885">
        <w:rPr>
          <w:spacing w:val="-5"/>
          <w:lang w:eastAsia="en-GB"/>
        </w:rPr>
        <w:t xml:space="preserve"> </w:t>
      </w:r>
      <w:r w:rsidRPr="00CE0885">
        <w:rPr>
          <w:lang w:eastAsia="en-GB"/>
        </w:rPr>
        <w:t>se</w:t>
      </w:r>
      <w:r w:rsidRPr="00CE0885">
        <w:rPr>
          <w:spacing w:val="-1"/>
          <w:lang w:eastAsia="en-GB"/>
        </w:rPr>
        <w:t>r</w:t>
      </w:r>
      <w:r w:rsidRPr="00CE0885">
        <w:rPr>
          <w:spacing w:val="-2"/>
          <w:lang w:eastAsia="en-GB"/>
        </w:rPr>
        <w:t>v</w:t>
      </w:r>
      <w:r w:rsidRPr="00CE0885">
        <w:rPr>
          <w:lang w:eastAsia="en-GB"/>
        </w:rPr>
        <w:t>ice</w:t>
      </w:r>
      <w:r w:rsidRPr="00CE0885">
        <w:rPr>
          <w:spacing w:val="-6"/>
          <w:lang w:eastAsia="en-GB"/>
        </w:rPr>
        <w:t xml:space="preserve"> </w:t>
      </w:r>
      <w:r w:rsidRPr="00CE0885">
        <w:rPr>
          <w:lang w:eastAsia="en-GB"/>
        </w:rPr>
        <w:t>c</w:t>
      </w:r>
      <w:r w:rsidRPr="00CE0885">
        <w:rPr>
          <w:spacing w:val="-1"/>
          <w:lang w:eastAsia="en-GB"/>
        </w:rPr>
        <w:t>o</w:t>
      </w:r>
      <w:r w:rsidRPr="00CE0885">
        <w:rPr>
          <w:spacing w:val="-2"/>
          <w:lang w:eastAsia="en-GB"/>
        </w:rPr>
        <w:t>v</w:t>
      </w:r>
      <w:r w:rsidRPr="00CE0885">
        <w:rPr>
          <w:lang w:eastAsia="en-GB"/>
        </w:rPr>
        <w:t>e</w:t>
      </w:r>
      <w:r w:rsidRPr="00CE0885">
        <w:rPr>
          <w:spacing w:val="-1"/>
          <w:lang w:eastAsia="en-GB"/>
        </w:rPr>
        <w:t>r</w:t>
      </w:r>
      <w:r w:rsidRPr="00CE0885">
        <w:rPr>
          <w:lang w:eastAsia="en-GB"/>
        </w:rPr>
        <w:t>a</w:t>
      </w:r>
      <w:r w:rsidRPr="00CE0885">
        <w:rPr>
          <w:spacing w:val="-1"/>
          <w:lang w:eastAsia="en-GB"/>
        </w:rPr>
        <w:t>g</w:t>
      </w:r>
      <w:r w:rsidRPr="00CE0885">
        <w:rPr>
          <w:lang w:eastAsia="en-GB"/>
        </w:rPr>
        <w:t>e</w:t>
      </w:r>
      <w:r w:rsidRPr="00CE0885">
        <w:rPr>
          <w:spacing w:val="-6"/>
          <w:lang w:eastAsia="en-GB"/>
        </w:rPr>
        <w:t xml:space="preserve"> </w:t>
      </w:r>
      <w:r w:rsidRPr="00CE0885">
        <w:rPr>
          <w:spacing w:val="-3"/>
          <w:lang w:eastAsia="en-GB"/>
        </w:rPr>
        <w:t>w</w:t>
      </w:r>
      <w:r w:rsidRPr="00CE0885">
        <w:rPr>
          <w:lang w:eastAsia="en-GB"/>
        </w:rPr>
        <w:t>ithin</w:t>
      </w:r>
      <w:r w:rsidRPr="00CE0885">
        <w:rPr>
          <w:spacing w:val="-4"/>
          <w:lang w:eastAsia="en-GB"/>
        </w:rPr>
        <w:t xml:space="preserve"> </w:t>
      </w:r>
      <w:r w:rsidRPr="00CE0885">
        <w:rPr>
          <w:lang w:eastAsia="en-GB"/>
        </w:rPr>
        <w:t>a locati</w:t>
      </w:r>
      <w:r w:rsidRPr="00CE0885">
        <w:rPr>
          <w:spacing w:val="-1"/>
          <w:lang w:eastAsia="en-GB"/>
        </w:rPr>
        <w:t>o</w:t>
      </w:r>
      <w:r w:rsidRPr="00CE0885">
        <w:rPr>
          <w:lang w:eastAsia="en-GB"/>
        </w:rPr>
        <w:t>n</w:t>
      </w:r>
      <w:r w:rsidRPr="00CE0885">
        <w:rPr>
          <w:spacing w:val="-6"/>
          <w:lang w:eastAsia="en-GB"/>
        </w:rPr>
        <w:t xml:space="preserve"> </w:t>
      </w:r>
      <w:r w:rsidRPr="00CE0885">
        <w:rPr>
          <w:lang w:eastAsia="en-GB"/>
        </w:rPr>
        <w:t>a</w:t>
      </w:r>
      <w:r w:rsidRPr="00CE0885">
        <w:rPr>
          <w:spacing w:val="-1"/>
          <w:lang w:eastAsia="en-GB"/>
        </w:rPr>
        <w:t>n</w:t>
      </w:r>
      <w:r w:rsidRPr="00CE0885">
        <w:rPr>
          <w:lang w:eastAsia="en-GB"/>
        </w:rPr>
        <w:t>d</w:t>
      </w:r>
      <w:r w:rsidRPr="00CE0885">
        <w:rPr>
          <w:spacing w:val="-5"/>
          <w:lang w:eastAsia="en-GB"/>
        </w:rPr>
        <w:t xml:space="preserve"> </w:t>
      </w:r>
      <w:r w:rsidRPr="00CE0885">
        <w:rPr>
          <w:spacing w:val="2"/>
          <w:lang w:eastAsia="en-GB"/>
        </w:rPr>
        <w:t>m</w:t>
      </w:r>
      <w:r w:rsidRPr="00CE0885">
        <w:rPr>
          <w:lang w:eastAsia="en-GB"/>
        </w:rPr>
        <w:t>ay</w:t>
      </w:r>
      <w:r w:rsidRPr="00CE0885">
        <w:rPr>
          <w:spacing w:val="-7"/>
          <w:lang w:eastAsia="en-GB"/>
        </w:rPr>
        <w:t xml:space="preserve"> </w:t>
      </w:r>
      <w:r w:rsidRPr="00CE0885">
        <w:rPr>
          <w:lang w:eastAsia="en-GB"/>
        </w:rPr>
        <w:t>seek</w:t>
      </w:r>
      <w:r w:rsidRPr="00CE0885">
        <w:rPr>
          <w:spacing w:val="-5"/>
          <w:lang w:eastAsia="en-GB"/>
        </w:rPr>
        <w:t xml:space="preserve"> </w:t>
      </w:r>
      <w:r w:rsidRPr="00CE0885">
        <w:rPr>
          <w:spacing w:val="-2"/>
          <w:lang w:eastAsia="en-GB"/>
        </w:rPr>
        <w:t>t</w:t>
      </w:r>
      <w:r w:rsidRPr="00CE0885">
        <w:rPr>
          <w:lang w:eastAsia="en-GB"/>
        </w:rPr>
        <w:t xml:space="preserve">o involve the </w:t>
      </w:r>
      <w:r w:rsidRPr="00CE0885">
        <w:rPr>
          <w:spacing w:val="-1"/>
          <w:lang w:eastAsia="en-GB"/>
        </w:rPr>
        <w:t>p</w:t>
      </w:r>
      <w:r w:rsidRPr="00CE0885">
        <w:rPr>
          <w:lang w:eastAsia="en-GB"/>
        </w:rPr>
        <w:t>ublic</w:t>
      </w:r>
      <w:r w:rsidRPr="00CE0885">
        <w:rPr>
          <w:spacing w:val="-6"/>
          <w:lang w:eastAsia="en-GB"/>
        </w:rPr>
        <w:t xml:space="preserve"> </w:t>
      </w:r>
      <w:r w:rsidRPr="00CE0885">
        <w:rPr>
          <w:lang w:eastAsia="en-GB"/>
        </w:rPr>
        <w:t>to</w:t>
      </w:r>
      <w:r w:rsidRPr="00CE0885">
        <w:rPr>
          <w:spacing w:val="-3"/>
          <w:lang w:eastAsia="en-GB"/>
        </w:rPr>
        <w:t xml:space="preserve"> </w:t>
      </w:r>
      <w:r w:rsidRPr="00CE0885">
        <w:rPr>
          <w:lang w:eastAsia="en-GB"/>
        </w:rPr>
        <w:t>seek</w:t>
      </w:r>
      <w:r w:rsidRPr="00CE0885">
        <w:rPr>
          <w:spacing w:val="-5"/>
          <w:lang w:eastAsia="en-GB"/>
        </w:rPr>
        <w:t xml:space="preserve"> </w:t>
      </w:r>
      <w:r w:rsidRPr="00CE0885">
        <w:rPr>
          <w:spacing w:val="-2"/>
          <w:lang w:eastAsia="en-GB"/>
        </w:rPr>
        <w:t>t</w:t>
      </w:r>
      <w:r w:rsidRPr="00CE0885">
        <w:rPr>
          <w:lang w:eastAsia="en-GB"/>
        </w:rPr>
        <w:t>heir</w:t>
      </w:r>
      <w:r w:rsidRPr="00CE0885">
        <w:rPr>
          <w:spacing w:val="-5"/>
          <w:lang w:eastAsia="en-GB"/>
        </w:rPr>
        <w:t xml:space="preserve"> </w:t>
      </w:r>
      <w:r w:rsidRPr="00CE0885">
        <w:rPr>
          <w:spacing w:val="-2"/>
          <w:lang w:eastAsia="en-GB"/>
        </w:rPr>
        <w:t>v</w:t>
      </w:r>
      <w:r w:rsidRPr="00CE0885">
        <w:rPr>
          <w:lang w:eastAsia="en-GB"/>
        </w:rPr>
        <w:t>ie</w:t>
      </w:r>
      <w:r w:rsidRPr="00CE0885">
        <w:rPr>
          <w:spacing w:val="-3"/>
          <w:lang w:eastAsia="en-GB"/>
        </w:rPr>
        <w:t>w</w:t>
      </w:r>
      <w:r w:rsidRPr="00CE0885">
        <w:rPr>
          <w:lang w:eastAsia="en-GB"/>
        </w:rPr>
        <w:t>s.</w:t>
      </w:r>
      <w:bookmarkEnd w:id="807"/>
    </w:p>
    <w:p w14:paraId="216B3E94" w14:textId="77C11C55" w:rsidR="00977693" w:rsidRPr="00CE0885" w:rsidRDefault="00977693" w:rsidP="00980A75">
      <w:pPr>
        <w:pStyle w:val="Heading3"/>
        <w:rPr>
          <w:lang w:eastAsia="en-GB"/>
        </w:rPr>
      </w:pPr>
      <w:bookmarkStart w:id="808" w:name="_Toc440981935"/>
      <w:r w:rsidRPr="00CE0885">
        <w:rPr>
          <w:spacing w:val="1"/>
          <w:lang w:eastAsia="en-GB"/>
        </w:rPr>
        <w:t>On</w:t>
      </w:r>
      <w:r w:rsidRPr="00CE0885">
        <w:rPr>
          <w:lang w:eastAsia="en-GB"/>
        </w:rPr>
        <w:t>ce</w:t>
      </w:r>
      <w:r w:rsidRPr="00CE0885">
        <w:rPr>
          <w:spacing w:val="-7"/>
          <w:lang w:eastAsia="en-GB"/>
        </w:rPr>
        <w:t xml:space="preserve"> </w:t>
      </w:r>
      <w:r w:rsidRPr="00CE0885">
        <w:rPr>
          <w:lang w:eastAsia="en-GB"/>
        </w:rPr>
        <w:t>a</w:t>
      </w:r>
      <w:r w:rsidRPr="00CE0885">
        <w:rPr>
          <w:spacing w:val="1"/>
          <w:lang w:eastAsia="en-GB"/>
        </w:rPr>
        <w:t xml:space="preserve"> </w:t>
      </w:r>
      <w:r w:rsidRPr="00CE0885">
        <w:rPr>
          <w:spacing w:val="-1"/>
          <w:lang w:eastAsia="en-GB"/>
        </w:rPr>
        <w:t>d</w:t>
      </w:r>
      <w:r w:rsidRPr="00CE0885">
        <w:rPr>
          <w:spacing w:val="1"/>
          <w:lang w:eastAsia="en-GB"/>
        </w:rPr>
        <w:t>e</w:t>
      </w:r>
      <w:r w:rsidRPr="00CE0885">
        <w:rPr>
          <w:lang w:eastAsia="en-GB"/>
        </w:rPr>
        <w:t>cisi</w:t>
      </w:r>
      <w:r w:rsidRPr="00CE0885">
        <w:rPr>
          <w:spacing w:val="1"/>
          <w:lang w:eastAsia="en-GB"/>
        </w:rPr>
        <w:t>o</w:t>
      </w:r>
      <w:r w:rsidRPr="00CE0885">
        <w:rPr>
          <w:lang w:eastAsia="en-GB"/>
        </w:rPr>
        <w:t>n</w:t>
      </w:r>
      <w:r w:rsidRPr="00CE0885">
        <w:rPr>
          <w:spacing w:val="-7"/>
          <w:lang w:eastAsia="en-GB"/>
        </w:rPr>
        <w:t xml:space="preserve"> </w:t>
      </w:r>
      <w:r w:rsidRPr="00CE0885">
        <w:rPr>
          <w:lang w:eastAsia="en-GB"/>
        </w:rPr>
        <w:t>is</w:t>
      </w:r>
      <w:r w:rsidRPr="00CE0885">
        <w:rPr>
          <w:spacing w:val="-2"/>
          <w:lang w:eastAsia="en-GB"/>
        </w:rPr>
        <w:t xml:space="preserve"> </w:t>
      </w:r>
      <w:r w:rsidRPr="00CE0885">
        <w:rPr>
          <w:spacing w:val="-1"/>
          <w:lang w:eastAsia="en-GB"/>
        </w:rPr>
        <w:t>rea</w:t>
      </w:r>
      <w:r w:rsidRPr="00CE0885">
        <w:rPr>
          <w:lang w:eastAsia="en-GB"/>
        </w:rPr>
        <w:t>c</w:t>
      </w:r>
      <w:r w:rsidRPr="00CE0885">
        <w:rPr>
          <w:spacing w:val="1"/>
          <w:lang w:eastAsia="en-GB"/>
        </w:rPr>
        <w:t>he</w:t>
      </w:r>
      <w:r w:rsidRPr="00CE0885">
        <w:rPr>
          <w:lang w:eastAsia="en-GB"/>
        </w:rPr>
        <w:t>d</w:t>
      </w:r>
      <w:r w:rsidRPr="00CE0885">
        <w:rPr>
          <w:spacing w:val="-10"/>
          <w:lang w:eastAsia="en-GB"/>
        </w:rPr>
        <w:t xml:space="preserve"> </w:t>
      </w:r>
      <w:r w:rsidRPr="00CE0885">
        <w:rPr>
          <w:spacing w:val="1"/>
          <w:lang w:eastAsia="en-GB"/>
        </w:rPr>
        <w:t>o</w:t>
      </w:r>
      <w:r w:rsidRPr="00CE0885">
        <w:rPr>
          <w:lang w:eastAsia="en-GB"/>
        </w:rPr>
        <w:t>n</w:t>
      </w:r>
      <w:r w:rsidRPr="00CE0885">
        <w:rPr>
          <w:spacing w:val="-1"/>
          <w:lang w:eastAsia="en-GB"/>
        </w:rPr>
        <w:t xml:space="preserve"> </w:t>
      </w:r>
      <w:r w:rsidRPr="00CE0885">
        <w:rPr>
          <w:spacing w:val="-3"/>
          <w:lang w:eastAsia="en-GB"/>
        </w:rPr>
        <w:t>w</w:t>
      </w:r>
      <w:r w:rsidRPr="00CE0885">
        <w:rPr>
          <w:spacing w:val="1"/>
          <w:lang w:eastAsia="en-GB"/>
        </w:rPr>
        <w:t>het</w:t>
      </w:r>
      <w:r w:rsidRPr="00CE0885">
        <w:rPr>
          <w:spacing w:val="-1"/>
          <w:lang w:eastAsia="en-GB"/>
        </w:rPr>
        <w:t>h</w:t>
      </w:r>
      <w:r w:rsidRPr="00CE0885">
        <w:rPr>
          <w:spacing w:val="1"/>
          <w:lang w:eastAsia="en-GB"/>
        </w:rPr>
        <w:t>e</w:t>
      </w:r>
      <w:r w:rsidRPr="00CE0885">
        <w:rPr>
          <w:lang w:eastAsia="en-GB"/>
        </w:rPr>
        <w:t>r</w:t>
      </w:r>
      <w:r w:rsidRPr="00CE0885">
        <w:rPr>
          <w:spacing w:val="-9"/>
          <w:lang w:eastAsia="en-GB"/>
        </w:rPr>
        <w:t xml:space="preserve"> </w:t>
      </w:r>
      <w:r w:rsidRPr="00CE0885">
        <w:rPr>
          <w:spacing w:val="1"/>
          <w:lang w:eastAsia="en-GB"/>
        </w:rPr>
        <w:t>t</w:t>
      </w:r>
      <w:r w:rsidRPr="00CE0885">
        <w:rPr>
          <w:lang w:eastAsia="en-GB"/>
        </w:rPr>
        <w:t>o</w:t>
      </w:r>
      <w:r w:rsidRPr="00CE0885">
        <w:rPr>
          <w:spacing w:val="-3"/>
          <w:lang w:eastAsia="en-GB"/>
        </w:rPr>
        <w:t xml:space="preserve"> </w:t>
      </w:r>
      <w:r w:rsidRPr="00CE0885">
        <w:rPr>
          <w:spacing w:val="1"/>
          <w:lang w:eastAsia="en-GB"/>
        </w:rPr>
        <w:t>a</w:t>
      </w:r>
      <w:r w:rsidRPr="00CE0885">
        <w:rPr>
          <w:spacing w:val="-2"/>
          <w:lang w:eastAsia="en-GB"/>
        </w:rPr>
        <w:t>c</w:t>
      </w:r>
      <w:r w:rsidRPr="00CE0885">
        <w:rPr>
          <w:lang w:eastAsia="en-GB"/>
        </w:rPr>
        <w:t>c</w:t>
      </w:r>
      <w:r w:rsidRPr="00CE0885">
        <w:rPr>
          <w:spacing w:val="1"/>
          <w:lang w:eastAsia="en-GB"/>
        </w:rPr>
        <w:t>ep</w:t>
      </w:r>
      <w:r w:rsidRPr="00CE0885">
        <w:rPr>
          <w:lang w:eastAsia="en-GB"/>
        </w:rPr>
        <w:t>t</w:t>
      </w:r>
      <w:r w:rsidRPr="00CE0885">
        <w:rPr>
          <w:spacing w:val="-8"/>
          <w:lang w:eastAsia="en-GB"/>
        </w:rPr>
        <w:t xml:space="preserve"> </w:t>
      </w:r>
      <w:r w:rsidRPr="00CE0885">
        <w:rPr>
          <w:spacing w:val="1"/>
          <w:lang w:eastAsia="en-GB"/>
        </w:rPr>
        <w:t>o</w:t>
      </w:r>
      <w:r w:rsidRPr="00CE0885">
        <w:rPr>
          <w:lang w:eastAsia="en-GB"/>
        </w:rPr>
        <w:t>r</w:t>
      </w:r>
      <w:r w:rsidRPr="00CE0885">
        <w:rPr>
          <w:spacing w:val="-2"/>
          <w:lang w:eastAsia="en-GB"/>
        </w:rPr>
        <w:t xml:space="preserve"> </w:t>
      </w:r>
      <w:r w:rsidRPr="00CE0885">
        <w:rPr>
          <w:spacing w:val="-1"/>
          <w:lang w:eastAsia="en-GB"/>
        </w:rPr>
        <w:t>r</w:t>
      </w:r>
      <w:r w:rsidRPr="00CE0885">
        <w:rPr>
          <w:spacing w:val="1"/>
          <w:lang w:eastAsia="en-GB"/>
        </w:rPr>
        <w:t>e</w:t>
      </w:r>
      <w:r w:rsidRPr="00CE0885">
        <w:rPr>
          <w:lang w:eastAsia="en-GB"/>
        </w:rPr>
        <w:t>j</w:t>
      </w:r>
      <w:r w:rsidRPr="00CE0885">
        <w:rPr>
          <w:spacing w:val="1"/>
          <w:lang w:eastAsia="en-GB"/>
        </w:rPr>
        <w:t>e</w:t>
      </w:r>
      <w:r w:rsidRPr="00CE0885">
        <w:rPr>
          <w:lang w:eastAsia="en-GB"/>
        </w:rPr>
        <w:t>ct</w:t>
      </w:r>
      <w:r w:rsidRPr="00CE0885">
        <w:rPr>
          <w:spacing w:val="-5"/>
          <w:lang w:eastAsia="en-GB"/>
        </w:rPr>
        <w:t xml:space="preserve"> </w:t>
      </w:r>
      <w:r w:rsidRPr="00CE0885">
        <w:rPr>
          <w:spacing w:val="-2"/>
          <w:lang w:eastAsia="en-GB"/>
        </w:rPr>
        <w:t>t</w:t>
      </w:r>
      <w:r w:rsidRPr="00CE0885">
        <w:rPr>
          <w:spacing w:val="1"/>
          <w:lang w:eastAsia="en-GB"/>
        </w:rPr>
        <w:t>h</w:t>
      </w:r>
      <w:r w:rsidRPr="00CE0885">
        <w:rPr>
          <w:lang w:eastAsia="en-GB"/>
        </w:rPr>
        <w:t xml:space="preserve">e </w:t>
      </w:r>
      <w:r w:rsidRPr="00CE0885">
        <w:rPr>
          <w:spacing w:val="1"/>
          <w:lang w:eastAsia="en-GB"/>
        </w:rPr>
        <w:t>app</w:t>
      </w:r>
      <w:r w:rsidRPr="00CE0885">
        <w:rPr>
          <w:lang w:eastAsia="en-GB"/>
        </w:rPr>
        <w:t>lic</w:t>
      </w:r>
      <w:r w:rsidRPr="00CE0885">
        <w:rPr>
          <w:spacing w:val="1"/>
          <w:lang w:eastAsia="en-GB"/>
        </w:rPr>
        <w:t>at</w:t>
      </w:r>
      <w:r w:rsidRPr="00CE0885">
        <w:rPr>
          <w:lang w:eastAsia="en-GB"/>
        </w:rPr>
        <w:t>i</w:t>
      </w:r>
      <w:r w:rsidRPr="00CE0885">
        <w:rPr>
          <w:spacing w:val="-1"/>
          <w:lang w:eastAsia="en-GB"/>
        </w:rPr>
        <w:t>o</w:t>
      </w:r>
      <w:r w:rsidRPr="00CE0885">
        <w:rPr>
          <w:spacing w:val="1"/>
          <w:lang w:eastAsia="en-GB"/>
        </w:rPr>
        <w:t>n</w:t>
      </w:r>
      <w:r w:rsidRPr="00CE0885">
        <w:rPr>
          <w:lang w:eastAsia="en-GB"/>
        </w:rPr>
        <w:t>,</w:t>
      </w:r>
      <w:r w:rsidRPr="00CE0885">
        <w:rPr>
          <w:spacing w:val="-11"/>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spacing w:val="-2"/>
          <w:lang w:eastAsia="en-GB"/>
        </w:rPr>
        <w:t>Commissioner</w:t>
      </w:r>
      <w:r w:rsidRPr="00CE0885">
        <w:rPr>
          <w:lang w:eastAsia="en-GB"/>
        </w:rPr>
        <w:t xml:space="preserve"> s</w:t>
      </w:r>
      <w:r w:rsidRPr="00CE0885">
        <w:rPr>
          <w:spacing w:val="-1"/>
          <w:lang w:eastAsia="en-GB"/>
        </w:rPr>
        <w:t>ho</w:t>
      </w:r>
      <w:r w:rsidRPr="00CE0885">
        <w:rPr>
          <w:spacing w:val="1"/>
          <w:lang w:eastAsia="en-GB"/>
        </w:rPr>
        <w:t>u</w:t>
      </w:r>
      <w:r w:rsidRPr="00CE0885">
        <w:rPr>
          <w:lang w:eastAsia="en-GB"/>
        </w:rPr>
        <w:t>ld</w:t>
      </w:r>
      <w:r w:rsidRPr="00CE0885">
        <w:rPr>
          <w:spacing w:val="-5"/>
          <w:lang w:eastAsia="en-GB"/>
        </w:rPr>
        <w:t xml:space="preserve"> </w:t>
      </w:r>
      <w:r w:rsidRPr="00CE0885">
        <w:rPr>
          <w:spacing w:val="-1"/>
          <w:lang w:eastAsia="en-GB"/>
        </w:rPr>
        <w:t>n</w:t>
      </w:r>
      <w:r w:rsidRPr="00CE0885">
        <w:rPr>
          <w:spacing w:val="1"/>
          <w:lang w:eastAsia="en-GB"/>
        </w:rPr>
        <w:t>ot</w:t>
      </w:r>
      <w:r w:rsidRPr="00CE0885">
        <w:rPr>
          <w:spacing w:val="-3"/>
          <w:lang w:eastAsia="en-GB"/>
        </w:rPr>
        <w:t>i</w:t>
      </w:r>
      <w:r w:rsidRPr="00CE0885">
        <w:rPr>
          <w:spacing w:val="3"/>
          <w:lang w:eastAsia="en-GB"/>
        </w:rPr>
        <w:t>f</w:t>
      </w:r>
      <w:r w:rsidRPr="00CE0885">
        <w:rPr>
          <w:lang w:eastAsia="en-GB"/>
        </w:rPr>
        <w:t>y</w:t>
      </w:r>
      <w:r w:rsidRPr="00CE0885">
        <w:rPr>
          <w:spacing w:val="-8"/>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spacing w:val="-2"/>
          <w:lang w:eastAsia="en-GB"/>
        </w:rPr>
        <w:t>c</w:t>
      </w:r>
      <w:r w:rsidRPr="00CE0885">
        <w:rPr>
          <w:spacing w:val="1"/>
          <w:lang w:eastAsia="en-GB"/>
        </w:rPr>
        <w:t>ont</w:t>
      </w:r>
      <w:r w:rsidRPr="00CE0885">
        <w:rPr>
          <w:spacing w:val="-1"/>
          <w:lang w:eastAsia="en-GB"/>
        </w:rPr>
        <w:t>r</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o</w:t>
      </w:r>
      <w:r w:rsidRPr="00CE0885">
        <w:rPr>
          <w:lang w:eastAsia="en-GB"/>
        </w:rPr>
        <w:t>r</w:t>
      </w:r>
      <w:r w:rsidR="00A07ACB">
        <w:rPr>
          <w:lang w:eastAsia="en-GB"/>
        </w:rPr>
        <w:t xml:space="preserve"> of its decision</w:t>
      </w:r>
      <w:r w:rsidRPr="00CE0885">
        <w:rPr>
          <w:spacing w:val="-11"/>
          <w:lang w:eastAsia="en-GB"/>
        </w:rPr>
        <w:t xml:space="preserve"> </w:t>
      </w:r>
      <w:r w:rsidRPr="00CE0885">
        <w:rPr>
          <w:lang w:eastAsia="en-GB"/>
        </w:rPr>
        <w:t xml:space="preserve">in </w:t>
      </w:r>
      <w:r w:rsidRPr="00CE0885">
        <w:rPr>
          <w:spacing w:val="-3"/>
          <w:lang w:eastAsia="en-GB"/>
        </w:rPr>
        <w:t>w</w:t>
      </w:r>
      <w:r w:rsidRPr="00CE0885">
        <w:rPr>
          <w:spacing w:val="-1"/>
          <w:lang w:eastAsia="en-GB"/>
        </w:rPr>
        <w:t>r</w:t>
      </w:r>
      <w:r w:rsidRPr="00CE0885">
        <w:rPr>
          <w:lang w:eastAsia="en-GB"/>
        </w:rPr>
        <w:t>i</w:t>
      </w:r>
      <w:r w:rsidRPr="00CE0885">
        <w:rPr>
          <w:spacing w:val="1"/>
          <w:lang w:eastAsia="en-GB"/>
        </w:rPr>
        <w:t>t</w:t>
      </w:r>
      <w:r w:rsidRPr="00CE0885">
        <w:rPr>
          <w:lang w:eastAsia="en-GB"/>
        </w:rPr>
        <w:t>i</w:t>
      </w:r>
      <w:r w:rsidRPr="00CE0885">
        <w:rPr>
          <w:spacing w:val="3"/>
          <w:lang w:eastAsia="en-GB"/>
        </w:rPr>
        <w:t>n</w:t>
      </w:r>
      <w:r w:rsidRPr="00CE0885">
        <w:rPr>
          <w:lang w:eastAsia="en-GB"/>
        </w:rPr>
        <w:t>g</w:t>
      </w:r>
      <w:r w:rsidRPr="00CE0885">
        <w:rPr>
          <w:spacing w:val="-8"/>
          <w:lang w:eastAsia="en-GB"/>
        </w:rPr>
        <w:t xml:space="preserve"> </w:t>
      </w:r>
      <w:r w:rsidRPr="00CE0885">
        <w:rPr>
          <w:spacing w:val="1"/>
          <w:lang w:eastAsia="en-GB"/>
        </w:rPr>
        <w:t>(a template letter is provided in Annex 13B)</w:t>
      </w:r>
      <w:r w:rsidRPr="00CE0885">
        <w:rPr>
          <w:lang w:eastAsia="en-GB"/>
        </w:rPr>
        <w:t>.</w:t>
      </w:r>
      <w:bookmarkEnd w:id="808"/>
    </w:p>
    <w:p w14:paraId="2A4C6765" w14:textId="41DD6F7E" w:rsidR="00977693" w:rsidRPr="00CE0885" w:rsidRDefault="00977693" w:rsidP="00980A75">
      <w:pPr>
        <w:pStyle w:val="Heading3"/>
        <w:rPr>
          <w:lang w:eastAsia="en-GB"/>
        </w:rPr>
      </w:pPr>
      <w:bookmarkStart w:id="809" w:name="_Toc440981936"/>
      <w:r w:rsidRPr="00CE0885">
        <w:rPr>
          <w:spacing w:val="1"/>
          <w:lang w:eastAsia="en-GB"/>
        </w:rPr>
        <w:t>I</w:t>
      </w:r>
      <w:r w:rsidRPr="00CE0885">
        <w:rPr>
          <w:lang w:eastAsia="en-GB"/>
        </w:rPr>
        <w:t xml:space="preserve">f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Commissioner</w:t>
      </w:r>
      <w:r w:rsidRPr="00CE0885">
        <w:rPr>
          <w:spacing w:val="-3"/>
          <w:lang w:eastAsia="en-GB"/>
        </w:rPr>
        <w:t xml:space="preserve"> </w:t>
      </w:r>
      <w:r w:rsidRPr="00CE0885">
        <w:rPr>
          <w:spacing w:val="1"/>
          <w:lang w:eastAsia="en-GB"/>
        </w:rPr>
        <w:t>a</w:t>
      </w:r>
      <w:r w:rsidRPr="00CE0885">
        <w:rPr>
          <w:lang w:eastAsia="en-GB"/>
        </w:rPr>
        <w:t>cc</w:t>
      </w:r>
      <w:r w:rsidRPr="00CE0885">
        <w:rPr>
          <w:spacing w:val="1"/>
          <w:lang w:eastAsia="en-GB"/>
        </w:rPr>
        <w:t>e</w:t>
      </w:r>
      <w:r w:rsidRPr="00CE0885">
        <w:rPr>
          <w:spacing w:val="-1"/>
          <w:lang w:eastAsia="en-GB"/>
        </w:rPr>
        <w:t>p</w:t>
      </w:r>
      <w:r w:rsidRPr="00CE0885">
        <w:rPr>
          <w:spacing w:val="1"/>
          <w:lang w:eastAsia="en-GB"/>
        </w:rPr>
        <w:t>t</w:t>
      </w:r>
      <w:r w:rsidRPr="00CE0885">
        <w:rPr>
          <w:lang w:eastAsia="en-GB"/>
        </w:rPr>
        <w:t>s</w:t>
      </w:r>
      <w:r w:rsidRPr="00CE0885">
        <w:rPr>
          <w:spacing w:val="-8"/>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pr</w:t>
      </w:r>
      <w:r w:rsidRPr="00CE0885">
        <w:rPr>
          <w:spacing w:val="1"/>
          <w:lang w:eastAsia="en-GB"/>
        </w:rPr>
        <w:t>opo</w:t>
      </w:r>
      <w:r w:rsidRPr="00CE0885">
        <w:rPr>
          <w:lang w:eastAsia="en-GB"/>
        </w:rPr>
        <w:t>s</w:t>
      </w:r>
      <w:r w:rsidRPr="00CE0885">
        <w:rPr>
          <w:spacing w:val="-1"/>
          <w:lang w:eastAsia="en-GB"/>
        </w:rPr>
        <w:t>e</w:t>
      </w:r>
      <w:r w:rsidRPr="00CE0885">
        <w:rPr>
          <w:lang w:eastAsia="en-GB"/>
        </w:rPr>
        <w:t>d</w:t>
      </w:r>
      <w:r w:rsidRPr="00CE0885">
        <w:rPr>
          <w:spacing w:val="-8"/>
          <w:lang w:eastAsia="en-GB"/>
        </w:rPr>
        <w:t xml:space="preserve"> </w:t>
      </w:r>
      <w:r w:rsidRPr="00CE0885">
        <w:rPr>
          <w:lang w:eastAsia="en-GB"/>
        </w:rPr>
        <w:t>c</w:t>
      </w:r>
      <w:r w:rsidRPr="00CE0885">
        <w:rPr>
          <w:spacing w:val="-1"/>
          <w:lang w:eastAsia="en-GB"/>
        </w:rPr>
        <w:t>h</w:t>
      </w:r>
      <w:r w:rsidRPr="00CE0885">
        <w:rPr>
          <w:spacing w:val="1"/>
          <w:lang w:eastAsia="en-GB"/>
        </w:rPr>
        <w:t>an</w:t>
      </w:r>
      <w:r w:rsidRPr="00CE0885">
        <w:rPr>
          <w:spacing w:val="-1"/>
          <w:lang w:eastAsia="en-GB"/>
        </w:rPr>
        <w:t>g</w:t>
      </w:r>
      <w:r w:rsidRPr="00CE0885">
        <w:rPr>
          <w:spacing w:val="1"/>
          <w:lang w:eastAsia="en-GB"/>
        </w:rPr>
        <w:t>e</w:t>
      </w:r>
      <w:r w:rsidRPr="00CE0885">
        <w:rPr>
          <w:lang w:eastAsia="en-GB"/>
        </w:rPr>
        <w:t>s</w:t>
      </w:r>
      <w:r w:rsidRPr="00CE0885">
        <w:rPr>
          <w:spacing w:val="-9"/>
          <w:lang w:eastAsia="en-GB"/>
        </w:rPr>
        <w:t xml:space="preserve"> </w:t>
      </w:r>
      <w:r w:rsidRPr="00CE0885">
        <w:rPr>
          <w:spacing w:val="-2"/>
          <w:lang w:eastAsia="en-GB"/>
        </w:rPr>
        <w:t>t</w:t>
      </w:r>
      <w:r w:rsidRPr="00CE0885">
        <w:rPr>
          <w:lang w:eastAsia="en-GB"/>
        </w:rPr>
        <w:t xml:space="preserve">o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1"/>
          <w:lang w:eastAsia="en-GB"/>
        </w:rPr>
        <w:t>p</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w:t>
      </w:r>
      <w:r w:rsidRPr="00CE0885">
        <w:rPr>
          <w:lang w:eastAsia="en-GB"/>
        </w:rPr>
        <w:t>ice</w:t>
      </w:r>
      <w:r w:rsidRPr="00CE0885">
        <w:rPr>
          <w:spacing w:val="-9"/>
          <w:lang w:eastAsia="en-GB"/>
        </w:rPr>
        <w:t xml:space="preserve"> </w:t>
      </w:r>
      <w:r w:rsidRPr="00CE0885">
        <w:rPr>
          <w:spacing w:val="1"/>
          <w:lang w:eastAsia="en-GB"/>
        </w:rPr>
        <w:t>a</w:t>
      </w:r>
      <w:r w:rsidRPr="00CE0885">
        <w:rPr>
          <w:spacing w:val="-1"/>
          <w:lang w:eastAsia="en-GB"/>
        </w:rPr>
        <w:t>r</w:t>
      </w:r>
      <w:r w:rsidRPr="00CE0885">
        <w:rPr>
          <w:spacing w:val="1"/>
          <w:lang w:eastAsia="en-GB"/>
        </w:rPr>
        <w:t>e</w:t>
      </w:r>
      <w:r w:rsidRPr="00CE0885">
        <w:rPr>
          <w:spacing w:val="-1"/>
          <w:lang w:eastAsia="en-GB"/>
        </w:rPr>
        <w:t>a</w:t>
      </w:r>
      <w:r w:rsidRPr="00CE0885">
        <w:rPr>
          <w:lang w:eastAsia="en-GB"/>
        </w:rPr>
        <w:t>,</w:t>
      </w:r>
      <w:r w:rsidRPr="00CE0885">
        <w:rPr>
          <w:spacing w:val="-4"/>
          <w:lang w:eastAsia="en-GB"/>
        </w:rPr>
        <w:t xml:space="preserve"> </w:t>
      </w:r>
      <w:r w:rsidRPr="00CE0885">
        <w:rPr>
          <w:spacing w:val="1"/>
          <w:lang w:eastAsia="en-GB"/>
        </w:rPr>
        <w:t>t</w:t>
      </w:r>
      <w:r w:rsidRPr="00CE0885">
        <w:rPr>
          <w:spacing w:val="-1"/>
          <w:lang w:eastAsia="en-GB"/>
        </w:rPr>
        <w:t>h</w:t>
      </w:r>
      <w:r w:rsidRPr="00CE0885">
        <w:rPr>
          <w:lang w:eastAsia="en-GB"/>
        </w:rPr>
        <w:t>e c</w:t>
      </w:r>
      <w:r w:rsidRPr="00CE0885">
        <w:rPr>
          <w:spacing w:val="1"/>
          <w:lang w:eastAsia="en-GB"/>
        </w:rPr>
        <w:t>ont</w:t>
      </w:r>
      <w:r w:rsidRPr="00CE0885">
        <w:rPr>
          <w:spacing w:val="-1"/>
          <w:lang w:eastAsia="en-GB"/>
        </w:rPr>
        <w:t>r</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o</w:t>
      </w:r>
      <w:r w:rsidRPr="00CE0885">
        <w:rPr>
          <w:lang w:eastAsia="en-GB"/>
        </w:rPr>
        <w:t>r</w:t>
      </w:r>
      <w:r w:rsidRPr="00CE0885">
        <w:rPr>
          <w:spacing w:val="-11"/>
          <w:lang w:eastAsia="en-GB"/>
        </w:rPr>
        <w:t xml:space="preserve"> </w:t>
      </w:r>
      <w:r w:rsidRPr="00CE0885">
        <w:rPr>
          <w:lang w:eastAsia="en-GB"/>
        </w:rPr>
        <w:t>should</w:t>
      </w:r>
      <w:r w:rsidRPr="00CE0885">
        <w:rPr>
          <w:spacing w:val="-5"/>
          <w:lang w:eastAsia="en-GB"/>
        </w:rPr>
        <w:t xml:space="preserve"> </w:t>
      </w:r>
      <w:r w:rsidRPr="00CE0885">
        <w:rPr>
          <w:spacing w:val="-1"/>
          <w:lang w:eastAsia="en-GB"/>
        </w:rPr>
        <w:t>b</w:t>
      </w:r>
      <w:r w:rsidRPr="00CE0885">
        <w:rPr>
          <w:lang w:eastAsia="en-GB"/>
        </w:rPr>
        <w:t>e</w:t>
      </w:r>
      <w:r w:rsidRPr="00CE0885">
        <w:rPr>
          <w:spacing w:val="-1"/>
          <w:lang w:eastAsia="en-GB"/>
        </w:rPr>
        <w:t xml:space="preserve"> n</w:t>
      </w:r>
      <w:r w:rsidRPr="00CE0885">
        <w:rPr>
          <w:spacing w:val="1"/>
          <w:lang w:eastAsia="en-GB"/>
        </w:rPr>
        <w:t>ot</w:t>
      </w:r>
      <w:r w:rsidRPr="00CE0885">
        <w:rPr>
          <w:spacing w:val="-3"/>
          <w:lang w:eastAsia="en-GB"/>
        </w:rPr>
        <w:t>i</w:t>
      </w:r>
      <w:r w:rsidRPr="00CE0885">
        <w:rPr>
          <w:spacing w:val="3"/>
          <w:lang w:eastAsia="en-GB"/>
        </w:rPr>
        <w:t>f</w:t>
      </w:r>
      <w:r w:rsidRPr="00CE0885">
        <w:rPr>
          <w:lang w:eastAsia="en-GB"/>
        </w:rPr>
        <w:t>i</w:t>
      </w:r>
      <w:r w:rsidRPr="00CE0885">
        <w:rPr>
          <w:spacing w:val="-1"/>
          <w:lang w:eastAsia="en-GB"/>
        </w:rPr>
        <w:t>e</w:t>
      </w:r>
      <w:r w:rsidRPr="00CE0885">
        <w:rPr>
          <w:spacing w:val="1"/>
          <w:lang w:eastAsia="en-GB"/>
        </w:rPr>
        <w:t>d</w:t>
      </w:r>
      <w:r w:rsidRPr="00CE0885">
        <w:rPr>
          <w:lang w:eastAsia="en-GB"/>
        </w:rPr>
        <w:t>,</w:t>
      </w:r>
      <w:r w:rsidRPr="00CE0885">
        <w:rPr>
          <w:spacing w:val="-9"/>
          <w:lang w:eastAsia="en-GB"/>
        </w:rPr>
        <w:t xml:space="preserve"> </w:t>
      </w:r>
      <w:r w:rsidRPr="00CE0885">
        <w:rPr>
          <w:spacing w:val="1"/>
          <w:lang w:eastAsia="en-GB"/>
        </w:rPr>
        <w:t>a</w:t>
      </w:r>
      <w:r w:rsidRPr="00CE0885">
        <w:rPr>
          <w:lang w:eastAsia="en-GB"/>
        </w:rPr>
        <w:t>s</w:t>
      </w:r>
      <w:r w:rsidRPr="00CE0885">
        <w:rPr>
          <w:spacing w:val="-3"/>
          <w:lang w:eastAsia="en-GB"/>
        </w:rPr>
        <w:t xml:space="preserve"> </w:t>
      </w:r>
      <w:r w:rsidRPr="00CE0885">
        <w:rPr>
          <w:lang w:eastAsia="en-GB"/>
        </w:rPr>
        <w:t>s</w:t>
      </w:r>
      <w:r w:rsidRPr="00CE0885">
        <w:rPr>
          <w:spacing w:val="-1"/>
          <w:lang w:eastAsia="en-GB"/>
        </w:rPr>
        <w:t>o</w:t>
      </w:r>
      <w:r w:rsidRPr="00CE0885">
        <w:rPr>
          <w:spacing w:val="1"/>
          <w:lang w:eastAsia="en-GB"/>
        </w:rPr>
        <w:t>o</w:t>
      </w:r>
      <w:r w:rsidRPr="00CE0885">
        <w:rPr>
          <w:lang w:eastAsia="en-GB"/>
        </w:rPr>
        <w:t>n</w:t>
      </w:r>
      <w:r w:rsidRPr="00CE0885">
        <w:rPr>
          <w:spacing w:val="-6"/>
          <w:lang w:eastAsia="en-GB"/>
        </w:rPr>
        <w:t xml:space="preserve"> </w:t>
      </w:r>
      <w:r w:rsidRPr="00CE0885">
        <w:rPr>
          <w:spacing w:val="1"/>
          <w:lang w:eastAsia="en-GB"/>
        </w:rPr>
        <w:t>a</w:t>
      </w:r>
      <w:r w:rsidRPr="00CE0885">
        <w:rPr>
          <w:lang w:eastAsia="en-GB"/>
        </w:rPr>
        <w:t>s</w:t>
      </w:r>
      <w:r w:rsidRPr="00CE0885">
        <w:rPr>
          <w:spacing w:val="-3"/>
          <w:lang w:eastAsia="en-GB"/>
        </w:rPr>
        <w:t xml:space="preserve"> </w:t>
      </w:r>
      <w:r w:rsidRPr="00CE0885">
        <w:rPr>
          <w:spacing w:val="1"/>
          <w:lang w:eastAsia="en-GB"/>
        </w:rPr>
        <w:t>po</w:t>
      </w:r>
      <w:r w:rsidRPr="00CE0885">
        <w:rPr>
          <w:lang w:eastAsia="en-GB"/>
        </w:rPr>
        <w:t>ss</w:t>
      </w:r>
      <w:r w:rsidRPr="00CE0885">
        <w:rPr>
          <w:spacing w:val="-3"/>
          <w:lang w:eastAsia="en-GB"/>
        </w:rPr>
        <w:t>i</w:t>
      </w:r>
      <w:r w:rsidRPr="00CE0885">
        <w:rPr>
          <w:spacing w:val="-1"/>
          <w:lang w:eastAsia="en-GB"/>
        </w:rPr>
        <w:t>b</w:t>
      </w:r>
      <w:r w:rsidRPr="00CE0885">
        <w:rPr>
          <w:lang w:eastAsia="en-GB"/>
        </w:rPr>
        <w:t>l</w:t>
      </w:r>
      <w:r w:rsidRPr="00CE0885">
        <w:rPr>
          <w:spacing w:val="1"/>
          <w:lang w:eastAsia="en-GB"/>
        </w:rPr>
        <w:t>e</w:t>
      </w:r>
      <w:r w:rsidRPr="00CE0885">
        <w:rPr>
          <w:lang w:eastAsia="en-GB"/>
        </w:rPr>
        <w:t>,</w:t>
      </w:r>
      <w:r w:rsidRPr="00CE0885">
        <w:rPr>
          <w:spacing w:val="-8"/>
          <w:lang w:eastAsia="en-GB"/>
        </w:rPr>
        <w:t xml:space="preserve"> </w:t>
      </w:r>
      <w:r w:rsidRPr="00CE0885">
        <w:rPr>
          <w:lang w:eastAsia="en-GB"/>
        </w:rPr>
        <w:t xml:space="preserve">in </w:t>
      </w:r>
      <w:r w:rsidRPr="00CE0885">
        <w:rPr>
          <w:spacing w:val="-3"/>
          <w:lang w:eastAsia="en-GB"/>
        </w:rPr>
        <w:t>w</w:t>
      </w:r>
      <w:r w:rsidRPr="00CE0885">
        <w:rPr>
          <w:spacing w:val="-1"/>
          <w:lang w:eastAsia="en-GB"/>
        </w:rPr>
        <w:t>r</w:t>
      </w:r>
      <w:r w:rsidRPr="00CE0885">
        <w:rPr>
          <w:lang w:eastAsia="en-GB"/>
        </w:rPr>
        <w:t>i</w:t>
      </w:r>
      <w:r w:rsidRPr="00CE0885">
        <w:rPr>
          <w:spacing w:val="1"/>
          <w:lang w:eastAsia="en-GB"/>
        </w:rPr>
        <w:t>t</w:t>
      </w:r>
      <w:r w:rsidRPr="00CE0885">
        <w:rPr>
          <w:lang w:eastAsia="en-GB"/>
        </w:rPr>
        <w:t>i</w:t>
      </w:r>
      <w:r w:rsidRPr="00CE0885">
        <w:rPr>
          <w:spacing w:val="1"/>
          <w:lang w:eastAsia="en-GB"/>
        </w:rPr>
        <w:t>n</w:t>
      </w:r>
      <w:r w:rsidRPr="00CE0885">
        <w:rPr>
          <w:lang w:eastAsia="en-GB"/>
        </w:rPr>
        <w:t>g</w:t>
      </w:r>
      <w:r w:rsidRPr="00CE0885">
        <w:rPr>
          <w:spacing w:val="-8"/>
          <w:lang w:eastAsia="en-GB"/>
        </w:rPr>
        <w:t xml:space="preserve"> </w:t>
      </w:r>
      <w:r w:rsidRPr="00CE0885">
        <w:rPr>
          <w:spacing w:val="1"/>
          <w:lang w:eastAsia="en-GB"/>
        </w:rPr>
        <w:t>o</w:t>
      </w:r>
      <w:r w:rsidRPr="00CE0885">
        <w:rPr>
          <w:spacing w:val="3"/>
          <w:lang w:eastAsia="en-GB"/>
        </w:rPr>
        <w:t>f</w:t>
      </w:r>
      <w:r w:rsidRPr="00CE0885">
        <w:rPr>
          <w:lang w:eastAsia="en-GB"/>
        </w:rPr>
        <w:t>:</w:t>
      </w:r>
      <w:bookmarkEnd w:id="809"/>
    </w:p>
    <w:p w14:paraId="502746F0" w14:textId="4651D0F1" w:rsidR="00977693" w:rsidRPr="00A553BA" w:rsidRDefault="00977693" w:rsidP="006C3DF5">
      <w:pPr>
        <w:pStyle w:val="ListParagraph"/>
        <w:numPr>
          <w:ilvl w:val="0"/>
          <w:numId w:val="122"/>
        </w:numPr>
        <w:spacing w:before="120" w:after="120" w:line="360" w:lineRule="auto"/>
        <w:ind w:left="714" w:hanging="357"/>
      </w:pPr>
      <w:bookmarkStart w:id="810" w:name="_Toc440981937"/>
      <w:r w:rsidRPr="00A553BA">
        <w:t>the acceptance;</w:t>
      </w:r>
      <w:bookmarkEnd w:id="810"/>
    </w:p>
    <w:p w14:paraId="0DD93657" w14:textId="77777777" w:rsidR="00977693" w:rsidRPr="00A553BA" w:rsidRDefault="00977693" w:rsidP="006C3DF5">
      <w:pPr>
        <w:pStyle w:val="ListParagraph"/>
        <w:numPr>
          <w:ilvl w:val="0"/>
          <w:numId w:val="122"/>
        </w:numPr>
        <w:spacing w:before="120" w:after="120" w:line="360" w:lineRule="auto"/>
        <w:ind w:left="714" w:hanging="357"/>
      </w:pPr>
      <w:bookmarkStart w:id="811" w:name="_Toc440981938"/>
      <w:r w:rsidRPr="00A553BA">
        <w:t>the date upon which the changes will take effect; and</w:t>
      </w:r>
      <w:bookmarkEnd w:id="811"/>
    </w:p>
    <w:p w14:paraId="61065037" w14:textId="77777777" w:rsidR="00977693" w:rsidRPr="00A553BA" w:rsidRDefault="00977693" w:rsidP="006C3DF5">
      <w:pPr>
        <w:pStyle w:val="ListParagraph"/>
        <w:numPr>
          <w:ilvl w:val="0"/>
          <w:numId w:val="122"/>
        </w:numPr>
        <w:spacing w:before="120" w:after="120" w:line="360" w:lineRule="auto"/>
        <w:ind w:left="714" w:hanging="357"/>
      </w:pPr>
      <w:bookmarkStart w:id="812" w:name="_Toc440981939"/>
      <w:r w:rsidRPr="00A553BA">
        <w:t>a requirement of the contractor to publish the details of the new practice area within their patient information leaflet and on their website (if they have one).</w:t>
      </w:r>
      <w:bookmarkEnd w:id="812"/>
    </w:p>
    <w:p w14:paraId="4A40390D" w14:textId="77777777" w:rsidR="00977693" w:rsidRPr="00CE0885" w:rsidRDefault="00977693" w:rsidP="00980A75">
      <w:pPr>
        <w:pStyle w:val="Heading3"/>
        <w:rPr>
          <w:lang w:eastAsia="en-GB"/>
        </w:rPr>
      </w:pPr>
      <w:bookmarkStart w:id="813" w:name="_Toc440981940"/>
      <w:r w:rsidRPr="00CE0885">
        <w:rPr>
          <w:spacing w:val="1"/>
          <w:lang w:eastAsia="en-GB"/>
        </w:rPr>
        <w:t>I</w:t>
      </w:r>
      <w:r w:rsidRPr="00CE0885">
        <w:rPr>
          <w:lang w:eastAsia="en-GB"/>
        </w:rPr>
        <w:t xml:space="preserve">f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Commissioner</w:t>
      </w:r>
      <w:r w:rsidRPr="00CE0885">
        <w:rPr>
          <w:spacing w:val="-3"/>
          <w:lang w:eastAsia="en-GB"/>
        </w:rPr>
        <w:t xml:space="preserve"> </w:t>
      </w:r>
      <w:r w:rsidRPr="00CE0885">
        <w:rPr>
          <w:spacing w:val="1"/>
          <w:lang w:eastAsia="en-GB"/>
        </w:rPr>
        <w:t>de</w:t>
      </w:r>
      <w:r w:rsidRPr="00CE0885">
        <w:rPr>
          <w:lang w:eastAsia="en-GB"/>
        </w:rPr>
        <w:t>cli</w:t>
      </w:r>
      <w:r w:rsidRPr="00CE0885">
        <w:rPr>
          <w:spacing w:val="1"/>
          <w:lang w:eastAsia="en-GB"/>
        </w:rPr>
        <w:t>ne</w:t>
      </w:r>
      <w:r w:rsidRPr="00CE0885">
        <w:rPr>
          <w:lang w:eastAsia="en-GB"/>
        </w:rPr>
        <w:t>s</w:t>
      </w:r>
      <w:r w:rsidRPr="00CE0885">
        <w:rPr>
          <w:spacing w:val="-11"/>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pr</w:t>
      </w:r>
      <w:r w:rsidRPr="00CE0885">
        <w:rPr>
          <w:spacing w:val="1"/>
          <w:lang w:eastAsia="en-GB"/>
        </w:rPr>
        <w:t>opo</w:t>
      </w:r>
      <w:r w:rsidRPr="00CE0885">
        <w:rPr>
          <w:lang w:eastAsia="en-GB"/>
        </w:rPr>
        <w:t>s</w:t>
      </w:r>
      <w:r w:rsidRPr="00CE0885">
        <w:rPr>
          <w:spacing w:val="-1"/>
          <w:lang w:eastAsia="en-GB"/>
        </w:rPr>
        <w:t>e</w:t>
      </w:r>
      <w:r w:rsidRPr="00CE0885">
        <w:rPr>
          <w:lang w:eastAsia="en-GB"/>
        </w:rPr>
        <w:t>d</w:t>
      </w:r>
      <w:r w:rsidRPr="00CE0885">
        <w:rPr>
          <w:spacing w:val="-8"/>
          <w:lang w:eastAsia="en-GB"/>
        </w:rPr>
        <w:t xml:space="preserve"> </w:t>
      </w:r>
      <w:r w:rsidRPr="00CE0885">
        <w:rPr>
          <w:lang w:eastAsia="en-GB"/>
        </w:rPr>
        <w:t>c</w:t>
      </w:r>
      <w:r w:rsidRPr="00CE0885">
        <w:rPr>
          <w:spacing w:val="-1"/>
          <w:lang w:eastAsia="en-GB"/>
        </w:rPr>
        <w:t>h</w:t>
      </w:r>
      <w:r w:rsidRPr="00CE0885">
        <w:rPr>
          <w:spacing w:val="1"/>
          <w:lang w:eastAsia="en-GB"/>
        </w:rPr>
        <w:t>an</w:t>
      </w:r>
      <w:r w:rsidRPr="00CE0885">
        <w:rPr>
          <w:spacing w:val="-1"/>
          <w:lang w:eastAsia="en-GB"/>
        </w:rPr>
        <w:t>g</w:t>
      </w:r>
      <w:r w:rsidRPr="00CE0885">
        <w:rPr>
          <w:spacing w:val="1"/>
          <w:lang w:eastAsia="en-GB"/>
        </w:rPr>
        <w:t>e</w:t>
      </w:r>
      <w:r w:rsidRPr="00CE0885">
        <w:rPr>
          <w:lang w:eastAsia="en-GB"/>
        </w:rPr>
        <w:t>s</w:t>
      </w:r>
      <w:r w:rsidRPr="00CE0885">
        <w:rPr>
          <w:spacing w:val="-9"/>
          <w:lang w:eastAsia="en-GB"/>
        </w:rPr>
        <w:t xml:space="preserve"> </w:t>
      </w:r>
      <w:r w:rsidRPr="00CE0885">
        <w:rPr>
          <w:spacing w:val="-2"/>
          <w:lang w:eastAsia="en-GB"/>
        </w:rPr>
        <w:t>t</w:t>
      </w:r>
      <w:r w:rsidRPr="00CE0885">
        <w:rPr>
          <w:lang w:eastAsia="en-GB"/>
        </w:rPr>
        <w:t xml:space="preserve">o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1"/>
          <w:lang w:eastAsia="en-GB"/>
        </w:rPr>
        <w:t>p</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w:t>
      </w:r>
      <w:r w:rsidRPr="00CE0885">
        <w:rPr>
          <w:lang w:eastAsia="en-GB"/>
        </w:rPr>
        <w:t>ice</w:t>
      </w:r>
      <w:r w:rsidRPr="00CE0885">
        <w:rPr>
          <w:spacing w:val="-9"/>
          <w:lang w:eastAsia="en-GB"/>
        </w:rPr>
        <w:t xml:space="preserve"> </w:t>
      </w:r>
      <w:r w:rsidRPr="00CE0885">
        <w:rPr>
          <w:spacing w:val="1"/>
          <w:lang w:eastAsia="en-GB"/>
        </w:rPr>
        <w:t>a</w:t>
      </w:r>
      <w:r w:rsidRPr="00CE0885">
        <w:rPr>
          <w:spacing w:val="-1"/>
          <w:lang w:eastAsia="en-GB"/>
        </w:rPr>
        <w:t>r</w:t>
      </w:r>
      <w:r w:rsidRPr="00CE0885">
        <w:rPr>
          <w:spacing w:val="1"/>
          <w:lang w:eastAsia="en-GB"/>
        </w:rPr>
        <w:t>e</w:t>
      </w:r>
      <w:r w:rsidRPr="00CE0885">
        <w:rPr>
          <w:spacing w:val="-1"/>
          <w:lang w:eastAsia="en-GB"/>
        </w:rPr>
        <w:t>a</w:t>
      </w:r>
      <w:r w:rsidRPr="00CE0885">
        <w:rPr>
          <w:lang w:eastAsia="en-GB"/>
        </w:rPr>
        <w:t>,</w:t>
      </w:r>
      <w:r w:rsidRPr="00CE0885">
        <w:rPr>
          <w:spacing w:val="-4"/>
          <w:lang w:eastAsia="en-GB"/>
        </w:rPr>
        <w:t xml:space="preserve"> </w:t>
      </w:r>
      <w:r w:rsidRPr="00CE0885">
        <w:rPr>
          <w:spacing w:val="1"/>
          <w:lang w:eastAsia="en-GB"/>
        </w:rPr>
        <w:t>t</w:t>
      </w:r>
      <w:r w:rsidRPr="00CE0885">
        <w:rPr>
          <w:spacing w:val="-1"/>
          <w:lang w:eastAsia="en-GB"/>
        </w:rPr>
        <w:t>h</w:t>
      </w:r>
      <w:r w:rsidRPr="00CE0885">
        <w:rPr>
          <w:lang w:eastAsia="en-GB"/>
        </w:rPr>
        <w:t>e c</w:t>
      </w:r>
      <w:r w:rsidRPr="00CE0885">
        <w:rPr>
          <w:spacing w:val="1"/>
          <w:lang w:eastAsia="en-GB"/>
        </w:rPr>
        <w:t>ont</w:t>
      </w:r>
      <w:r w:rsidRPr="00CE0885">
        <w:rPr>
          <w:spacing w:val="-1"/>
          <w:lang w:eastAsia="en-GB"/>
        </w:rPr>
        <w:t>r</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o</w:t>
      </w:r>
      <w:r w:rsidRPr="00CE0885">
        <w:rPr>
          <w:lang w:eastAsia="en-GB"/>
        </w:rPr>
        <w:t>r</w:t>
      </w:r>
      <w:r w:rsidRPr="00CE0885">
        <w:rPr>
          <w:spacing w:val="-11"/>
          <w:lang w:eastAsia="en-GB"/>
        </w:rPr>
        <w:t xml:space="preserve"> </w:t>
      </w:r>
      <w:r w:rsidRPr="00CE0885">
        <w:rPr>
          <w:lang w:eastAsia="en-GB"/>
        </w:rPr>
        <w:t>should</w:t>
      </w:r>
      <w:r w:rsidRPr="00CE0885">
        <w:rPr>
          <w:spacing w:val="-5"/>
          <w:lang w:eastAsia="en-GB"/>
        </w:rPr>
        <w:t xml:space="preserve"> </w:t>
      </w:r>
      <w:r w:rsidRPr="00CE0885">
        <w:rPr>
          <w:spacing w:val="-1"/>
          <w:lang w:eastAsia="en-GB"/>
        </w:rPr>
        <w:t>b</w:t>
      </w:r>
      <w:r w:rsidRPr="00CE0885">
        <w:rPr>
          <w:lang w:eastAsia="en-GB"/>
        </w:rPr>
        <w:t>e</w:t>
      </w:r>
      <w:r w:rsidRPr="00CE0885">
        <w:rPr>
          <w:spacing w:val="-1"/>
          <w:lang w:eastAsia="en-GB"/>
        </w:rPr>
        <w:t xml:space="preserve"> n</w:t>
      </w:r>
      <w:r w:rsidRPr="00CE0885">
        <w:rPr>
          <w:spacing w:val="1"/>
          <w:lang w:eastAsia="en-GB"/>
        </w:rPr>
        <w:t>ot</w:t>
      </w:r>
      <w:r w:rsidRPr="00CE0885">
        <w:rPr>
          <w:spacing w:val="-3"/>
          <w:lang w:eastAsia="en-GB"/>
        </w:rPr>
        <w:t>i</w:t>
      </w:r>
      <w:r w:rsidRPr="00CE0885">
        <w:rPr>
          <w:spacing w:val="3"/>
          <w:lang w:eastAsia="en-GB"/>
        </w:rPr>
        <w:t>f</w:t>
      </w:r>
      <w:r w:rsidRPr="00CE0885">
        <w:rPr>
          <w:lang w:eastAsia="en-GB"/>
        </w:rPr>
        <w:t>i</w:t>
      </w:r>
      <w:r w:rsidRPr="00CE0885">
        <w:rPr>
          <w:spacing w:val="-1"/>
          <w:lang w:eastAsia="en-GB"/>
        </w:rPr>
        <w:t>e</w:t>
      </w:r>
      <w:r w:rsidRPr="00CE0885">
        <w:rPr>
          <w:spacing w:val="1"/>
          <w:lang w:eastAsia="en-GB"/>
        </w:rPr>
        <w:t>d</w:t>
      </w:r>
      <w:r w:rsidRPr="00CE0885">
        <w:rPr>
          <w:lang w:eastAsia="en-GB"/>
        </w:rPr>
        <w:t>,</w:t>
      </w:r>
      <w:r w:rsidRPr="00CE0885">
        <w:rPr>
          <w:spacing w:val="-9"/>
          <w:lang w:eastAsia="en-GB"/>
        </w:rPr>
        <w:t xml:space="preserve"> </w:t>
      </w:r>
      <w:r w:rsidRPr="00CE0885">
        <w:rPr>
          <w:spacing w:val="1"/>
          <w:lang w:eastAsia="en-GB"/>
        </w:rPr>
        <w:t>a</w:t>
      </w:r>
      <w:r w:rsidRPr="00CE0885">
        <w:rPr>
          <w:lang w:eastAsia="en-GB"/>
        </w:rPr>
        <w:t>s</w:t>
      </w:r>
      <w:r w:rsidRPr="00CE0885">
        <w:rPr>
          <w:spacing w:val="-3"/>
          <w:lang w:eastAsia="en-GB"/>
        </w:rPr>
        <w:t xml:space="preserve"> </w:t>
      </w:r>
      <w:r w:rsidRPr="00CE0885">
        <w:rPr>
          <w:lang w:eastAsia="en-GB"/>
        </w:rPr>
        <w:t>s</w:t>
      </w:r>
      <w:r w:rsidRPr="00CE0885">
        <w:rPr>
          <w:spacing w:val="-1"/>
          <w:lang w:eastAsia="en-GB"/>
        </w:rPr>
        <w:t>o</w:t>
      </w:r>
      <w:r w:rsidRPr="00CE0885">
        <w:rPr>
          <w:spacing w:val="1"/>
          <w:lang w:eastAsia="en-GB"/>
        </w:rPr>
        <w:t>o</w:t>
      </w:r>
      <w:r w:rsidRPr="00CE0885">
        <w:rPr>
          <w:lang w:eastAsia="en-GB"/>
        </w:rPr>
        <w:t>n</w:t>
      </w:r>
      <w:r w:rsidRPr="00CE0885">
        <w:rPr>
          <w:spacing w:val="-6"/>
          <w:lang w:eastAsia="en-GB"/>
        </w:rPr>
        <w:t xml:space="preserve"> </w:t>
      </w:r>
      <w:r w:rsidRPr="00CE0885">
        <w:rPr>
          <w:spacing w:val="1"/>
          <w:lang w:eastAsia="en-GB"/>
        </w:rPr>
        <w:t>a</w:t>
      </w:r>
      <w:r w:rsidRPr="00CE0885">
        <w:rPr>
          <w:lang w:eastAsia="en-GB"/>
        </w:rPr>
        <w:t>s</w:t>
      </w:r>
      <w:r w:rsidRPr="00CE0885">
        <w:rPr>
          <w:spacing w:val="-3"/>
          <w:lang w:eastAsia="en-GB"/>
        </w:rPr>
        <w:t xml:space="preserve"> </w:t>
      </w:r>
      <w:r w:rsidRPr="00CE0885">
        <w:rPr>
          <w:spacing w:val="1"/>
          <w:lang w:eastAsia="en-GB"/>
        </w:rPr>
        <w:t>po</w:t>
      </w:r>
      <w:r w:rsidRPr="00CE0885">
        <w:rPr>
          <w:lang w:eastAsia="en-GB"/>
        </w:rPr>
        <w:t>ss</w:t>
      </w:r>
      <w:r w:rsidRPr="00CE0885">
        <w:rPr>
          <w:spacing w:val="-3"/>
          <w:lang w:eastAsia="en-GB"/>
        </w:rPr>
        <w:t>i</w:t>
      </w:r>
      <w:r w:rsidRPr="00CE0885">
        <w:rPr>
          <w:spacing w:val="-1"/>
          <w:lang w:eastAsia="en-GB"/>
        </w:rPr>
        <w:t>b</w:t>
      </w:r>
      <w:r w:rsidRPr="00CE0885">
        <w:rPr>
          <w:lang w:eastAsia="en-GB"/>
        </w:rPr>
        <w:t>l</w:t>
      </w:r>
      <w:r w:rsidRPr="00CE0885">
        <w:rPr>
          <w:spacing w:val="1"/>
          <w:lang w:eastAsia="en-GB"/>
        </w:rPr>
        <w:t>e</w:t>
      </w:r>
      <w:r w:rsidRPr="00CE0885">
        <w:rPr>
          <w:lang w:eastAsia="en-GB"/>
        </w:rPr>
        <w:t>,</w:t>
      </w:r>
      <w:r w:rsidRPr="00CE0885">
        <w:rPr>
          <w:spacing w:val="-8"/>
          <w:lang w:eastAsia="en-GB"/>
        </w:rPr>
        <w:t xml:space="preserve"> </w:t>
      </w:r>
      <w:r w:rsidRPr="00CE0885">
        <w:rPr>
          <w:lang w:eastAsia="en-GB"/>
        </w:rPr>
        <w:t xml:space="preserve">in </w:t>
      </w:r>
      <w:r w:rsidRPr="00CE0885">
        <w:rPr>
          <w:spacing w:val="-3"/>
          <w:lang w:eastAsia="en-GB"/>
        </w:rPr>
        <w:t>w</w:t>
      </w:r>
      <w:r w:rsidRPr="00CE0885">
        <w:rPr>
          <w:spacing w:val="-1"/>
          <w:lang w:eastAsia="en-GB"/>
        </w:rPr>
        <w:t>r</w:t>
      </w:r>
      <w:r w:rsidRPr="00CE0885">
        <w:rPr>
          <w:lang w:eastAsia="en-GB"/>
        </w:rPr>
        <w:t>i</w:t>
      </w:r>
      <w:r w:rsidRPr="00CE0885">
        <w:rPr>
          <w:spacing w:val="1"/>
          <w:lang w:eastAsia="en-GB"/>
        </w:rPr>
        <w:t>t</w:t>
      </w:r>
      <w:r w:rsidRPr="00CE0885">
        <w:rPr>
          <w:lang w:eastAsia="en-GB"/>
        </w:rPr>
        <w:t>i</w:t>
      </w:r>
      <w:r w:rsidRPr="00CE0885">
        <w:rPr>
          <w:spacing w:val="1"/>
          <w:lang w:eastAsia="en-GB"/>
        </w:rPr>
        <w:t>n</w:t>
      </w:r>
      <w:r w:rsidRPr="00CE0885">
        <w:rPr>
          <w:lang w:eastAsia="en-GB"/>
        </w:rPr>
        <w:t>g</w:t>
      </w:r>
      <w:r w:rsidRPr="00CE0885">
        <w:rPr>
          <w:spacing w:val="-8"/>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2"/>
          <w:lang w:eastAsia="en-GB"/>
        </w:rPr>
        <w:t>t</w:t>
      </w:r>
      <w:r w:rsidRPr="00CE0885">
        <w:rPr>
          <w:spacing w:val="1"/>
          <w:lang w:eastAsia="en-GB"/>
        </w:rPr>
        <w:t>ha</w:t>
      </w:r>
      <w:r w:rsidRPr="00CE0885">
        <w:rPr>
          <w:lang w:eastAsia="en-GB"/>
        </w:rPr>
        <w:t xml:space="preserve">t </w:t>
      </w:r>
      <w:r w:rsidRPr="00CE0885">
        <w:rPr>
          <w:spacing w:val="1"/>
          <w:lang w:eastAsia="en-GB"/>
        </w:rPr>
        <w:t>de</w:t>
      </w:r>
      <w:r w:rsidRPr="00CE0885">
        <w:rPr>
          <w:lang w:eastAsia="en-GB"/>
        </w:rPr>
        <w:t>cisi</w:t>
      </w:r>
      <w:r w:rsidRPr="00CE0885">
        <w:rPr>
          <w:spacing w:val="1"/>
          <w:lang w:eastAsia="en-GB"/>
        </w:rPr>
        <w:t>o</w:t>
      </w:r>
      <w:r w:rsidRPr="00CE0885">
        <w:rPr>
          <w:lang w:eastAsia="en-GB"/>
        </w:rPr>
        <w:t>n</w:t>
      </w:r>
      <w:r w:rsidRPr="00CE0885">
        <w:rPr>
          <w:spacing w:val="-10"/>
          <w:lang w:eastAsia="en-GB"/>
        </w:rPr>
        <w:t xml:space="preserve"> </w:t>
      </w:r>
      <w:r w:rsidRPr="00CE0885">
        <w:rPr>
          <w:spacing w:val="1"/>
          <w:lang w:eastAsia="en-GB"/>
        </w:rPr>
        <w:t>an</w:t>
      </w:r>
      <w:r w:rsidRPr="00CE0885">
        <w:rPr>
          <w:lang w:eastAsia="en-GB"/>
        </w:rPr>
        <w:t>d</w:t>
      </w:r>
      <w:r w:rsidRPr="00CE0885">
        <w:rPr>
          <w:spacing w:val="-5"/>
          <w:lang w:eastAsia="en-GB"/>
        </w:rPr>
        <w:t xml:space="preserve"> </w:t>
      </w:r>
      <w:r w:rsidRPr="00CE0885">
        <w:rPr>
          <w:spacing w:val="1"/>
          <w:lang w:eastAsia="en-GB"/>
        </w:rPr>
        <w:t>t</w:t>
      </w:r>
      <w:r w:rsidRPr="00CE0885">
        <w:rPr>
          <w:lang w:eastAsia="en-GB"/>
        </w:rPr>
        <w:t xml:space="preserve">o </w:t>
      </w:r>
      <w:r w:rsidRPr="00CE0885">
        <w:rPr>
          <w:spacing w:val="-3"/>
          <w:lang w:eastAsia="en-GB"/>
        </w:rPr>
        <w:t>i</w:t>
      </w:r>
      <w:r w:rsidRPr="00CE0885">
        <w:rPr>
          <w:spacing w:val="1"/>
          <w:lang w:eastAsia="en-GB"/>
        </w:rPr>
        <w:t>n</w:t>
      </w:r>
      <w:r w:rsidRPr="00CE0885">
        <w:rPr>
          <w:lang w:eastAsia="en-GB"/>
        </w:rPr>
        <w:t>cl</w:t>
      </w:r>
      <w:r w:rsidRPr="00CE0885">
        <w:rPr>
          <w:spacing w:val="1"/>
          <w:lang w:eastAsia="en-GB"/>
        </w:rPr>
        <w:t>u</w:t>
      </w:r>
      <w:r w:rsidRPr="00CE0885">
        <w:rPr>
          <w:spacing w:val="-1"/>
          <w:lang w:eastAsia="en-GB"/>
        </w:rPr>
        <w:t>de</w:t>
      </w:r>
      <w:r w:rsidRPr="00CE0885">
        <w:rPr>
          <w:lang w:eastAsia="en-GB"/>
        </w:rPr>
        <w:t>:</w:t>
      </w:r>
      <w:bookmarkEnd w:id="813"/>
    </w:p>
    <w:p w14:paraId="1CD99738" w14:textId="453986F5" w:rsidR="00977693" w:rsidRPr="00A553BA" w:rsidRDefault="00977693" w:rsidP="006C3DF5">
      <w:pPr>
        <w:pStyle w:val="ListParagraph"/>
        <w:numPr>
          <w:ilvl w:val="0"/>
          <w:numId w:val="122"/>
        </w:numPr>
        <w:spacing w:before="120" w:after="120" w:line="360" w:lineRule="auto"/>
        <w:ind w:left="714" w:hanging="357"/>
      </w:pPr>
      <w:bookmarkStart w:id="814" w:name="_Toc440981941"/>
      <w:r w:rsidRPr="00A553BA">
        <w:t>the reasons for the decision;</w:t>
      </w:r>
      <w:bookmarkEnd w:id="814"/>
    </w:p>
    <w:p w14:paraId="628AFD9B" w14:textId="77777777" w:rsidR="00977693" w:rsidRPr="00A553BA" w:rsidRDefault="00977693" w:rsidP="006C3DF5">
      <w:pPr>
        <w:pStyle w:val="ListParagraph"/>
        <w:numPr>
          <w:ilvl w:val="0"/>
          <w:numId w:val="122"/>
        </w:numPr>
        <w:spacing w:before="120" w:after="120" w:line="360" w:lineRule="auto"/>
        <w:ind w:left="714" w:hanging="357"/>
      </w:pPr>
      <w:bookmarkStart w:id="815" w:name="_Toc440981942"/>
      <w:r w:rsidRPr="00A553BA">
        <w:t>the right of the contractor to appeal and the process for doing so; and</w:t>
      </w:r>
      <w:bookmarkEnd w:id="815"/>
    </w:p>
    <w:p w14:paraId="09302157" w14:textId="77777777" w:rsidR="00977693" w:rsidRPr="00A553BA" w:rsidRDefault="00977693" w:rsidP="006C3DF5">
      <w:pPr>
        <w:pStyle w:val="ListParagraph"/>
        <w:numPr>
          <w:ilvl w:val="0"/>
          <w:numId w:val="122"/>
        </w:numPr>
        <w:spacing w:before="120" w:after="120" w:line="360" w:lineRule="auto"/>
        <w:ind w:left="714" w:hanging="357"/>
      </w:pPr>
      <w:bookmarkStart w:id="816" w:name="_Toc440981943"/>
      <w:r w:rsidRPr="00A553BA">
        <w:t>specify any period within which the Commissioner would not consider a further application from this contractor to vary its practice area.</w:t>
      </w:r>
      <w:bookmarkEnd w:id="816"/>
    </w:p>
    <w:p w14:paraId="167BCE04" w14:textId="6C6C7D4D" w:rsidR="00977693" w:rsidRPr="00B30FA5" w:rsidRDefault="00977693" w:rsidP="00B30FA5">
      <w:pPr>
        <w:pStyle w:val="Heading3"/>
      </w:pPr>
      <w:bookmarkStart w:id="817" w:name="_Toc440981944"/>
      <w:r w:rsidRPr="00B30FA5">
        <w:t>Practices who are intending to reduce their practice area must be advised that registered patients who subsequently fall outside of the new agreed area, but who are within the original practice area (main and outer boundary) can only be removed from the list if one or more of the provisions of the relevant regulations/directions that relate to removal of patients from the practice's patient list apply.</w:t>
      </w:r>
      <w:bookmarkEnd w:id="817"/>
    </w:p>
    <w:p w14:paraId="269B26E7" w14:textId="77777777" w:rsidR="00977693" w:rsidRPr="009055A7" w:rsidRDefault="00977693" w:rsidP="00977693">
      <w:pPr>
        <w:widowControl w:val="0"/>
        <w:spacing w:line="360" w:lineRule="auto"/>
        <w:ind w:left="1414"/>
        <w:jc w:val="both"/>
        <w:rPr>
          <w:rFonts w:cs="Arial"/>
          <w:bCs w:val="0"/>
          <w:sz w:val="20"/>
          <w:szCs w:val="20"/>
          <w:lang w:eastAsia="en-GB"/>
        </w:rPr>
      </w:pPr>
    </w:p>
    <w:p w14:paraId="29302F48" w14:textId="77777777" w:rsidR="00977693" w:rsidRPr="00CE0885" w:rsidRDefault="00977693" w:rsidP="00202DD3">
      <w:pPr>
        <w:pStyle w:val="Heading2"/>
        <w:rPr>
          <w:lang w:eastAsia="en-GB"/>
        </w:rPr>
      </w:pPr>
      <w:bookmarkStart w:id="818" w:name="_Toc440981945"/>
      <w:bookmarkStart w:id="819" w:name="_Toc95743459"/>
      <w:r w:rsidRPr="00CE0885">
        <w:rPr>
          <w:lang w:eastAsia="en-GB"/>
        </w:rPr>
        <w:t>Premises</w:t>
      </w:r>
      <w:bookmarkEnd w:id="818"/>
      <w:bookmarkEnd w:id="819"/>
    </w:p>
    <w:p w14:paraId="38929BF2" w14:textId="6F10DB2A" w:rsidR="00977693" w:rsidRPr="00CE0885" w:rsidRDefault="00977693" w:rsidP="00980A75">
      <w:pPr>
        <w:pStyle w:val="Heading3"/>
        <w:rPr>
          <w:lang w:eastAsia="en-GB"/>
        </w:rPr>
      </w:pPr>
      <w:bookmarkStart w:id="820" w:name="_Toc440981946"/>
      <w:r w:rsidRPr="00CE0885">
        <w:rPr>
          <w:spacing w:val="2"/>
          <w:lang w:eastAsia="en-GB"/>
        </w:rPr>
        <w:t>A</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o</w:t>
      </w:r>
      <w:r w:rsidRPr="00CE0885">
        <w:rPr>
          <w:lang w:eastAsia="en-GB"/>
        </w:rPr>
        <w:t>r</w:t>
      </w:r>
      <w:r w:rsidRPr="00CE0885">
        <w:rPr>
          <w:spacing w:val="-11"/>
          <w:lang w:eastAsia="en-GB"/>
        </w:rPr>
        <w:t xml:space="preserve"> may </w:t>
      </w:r>
      <w:r w:rsidRPr="00CE0885">
        <w:rPr>
          <w:spacing w:val="-3"/>
          <w:lang w:eastAsia="en-GB"/>
        </w:rPr>
        <w:t>w</w:t>
      </w:r>
      <w:r w:rsidRPr="00CE0885">
        <w:rPr>
          <w:lang w:eastAsia="en-GB"/>
        </w:rPr>
        <w:t>is</w:t>
      </w:r>
      <w:r w:rsidRPr="00CE0885">
        <w:rPr>
          <w:spacing w:val="1"/>
          <w:lang w:eastAsia="en-GB"/>
        </w:rPr>
        <w:t>h</w:t>
      </w:r>
      <w:r w:rsidRPr="00CE0885">
        <w:rPr>
          <w:spacing w:val="-7"/>
          <w:lang w:eastAsia="en-GB"/>
        </w:rPr>
        <w:t xml:space="preserve"> </w:t>
      </w:r>
      <w:r w:rsidRPr="00CE0885">
        <w:rPr>
          <w:spacing w:val="1"/>
          <w:lang w:eastAsia="en-GB"/>
        </w:rPr>
        <w:t>t</w:t>
      </w:r>
      <w:r w:rsidRPr="00CE0885">
        <w:rPr>
          <w:lang w:eastAsia="en-GB"/>
        </w:rPr>
        <w:t xml:space="preserve">o </w:t>
      </w:r>
      <w:r w:rsidRPr="00CE0885">
        <w:rPr>
          <w:spacing w:val="-1"/>
          <w:lang w:eastAsia="en-GB"/>
        </w:rPr>
        <w:t>m</w:t>
      </w:r>
      <w:r w:rsidRPr="00CE0885">
        <w:rPr>
          <w:spacing w:val="1"/>
          <w:lang w:eastAsia="en-GB"/>
        </w:rPr>
        <w:t>a</w:t>
      </w:r>
      <w:r w:rsidRPr="00CE0885">
        <w:rPr>
          <w:lang w:eastAsia="en-GB"/>
        </w:rPr>
        <w:t>ke c</w:t>
      </w:r>
      <w:r w:rsidRPr="00CE0885">
        <w:rPr>
          <w:spacing w:val="1"/>
          <w:lang w:eastAsia="en-GB"/>
        </w:rPr>
        <w:t>han</w:t>
      </w:r>
      <w:r w:rsidRPr="00CE0885">
        <w:rPr>
          <w:spacing w:val="-1"/>
          <w:lang w:eastAsia="en-GB"/>
        </w:rPr>
        <w:t>g</w:t>
      </w:r>
      <w:r w:rsidRPr="00CE0885">
        <w:rPr>
          <w:spacing w:val="1"/>
          <w:lang w:eastAsia="en-GB"/>
        </w:rPr>
        <w:t>e</w:t>
      </w:r>
      <w:r w:rsidRPr="00CE0885">
        <w:rPr>
          <w:lang w:eastAsia="en-GB"/>
        </w:rPr>
        <w:t>s</w:t>
      </w:r>
      <w:r w:rsidRPr="00CE0885">
        <w:rPr>
          <w:spacing w:val="-9"/>
          <w:lang w:eastAsia="en-GB"/>
        </w:rPr>
        <w:t xml:space="preserve"> </w:t>
      </w:r>
      <w:r w:rsidRPr="00CE0885">
        <w:rPr>
          <w:spacing w:val="-2"/>
          <w:lang w:eastAsia="en-GB"/>
        </w:rPr>
        <w:t>t</w:t>
      </w:r>
      <w:r w:rsidRPr="00CE0885">
        <w:rPr>
          <w:lang w:eastAsia="en-GB"/>
        </w:rPr>
        <w:t>o i</w:t>
      </w:r>
      <w:r w:rsidRPr="00CE0885">
        <w:rPr>
          <w:spacing w:val="1"/>
          <w:lang w:eastAsia="en-GB"/>
        </w:rPr>
        <w:t>t</w:t>
      </w:r>
      <w:r w:rsidRPr="00CE0885">
        <w:rPr>
          <w:lang w:eastAsia="en-GB"/>
        </w:rPr>
        <w:t>s</w:t>
      </w:r>
      <w:r w:rsidRPr="00CE0885">
        <w:rPr>
          <w:spacing w:val="-2"/>
          <w:lang w:eastAsia="en-GB"/>
        </w:rPr>
        <w:t xml:space="preserve"> c</w:t>
      </w:r>
      <w:r w:rsidRPr="00CE0885">
        <w:rPr>
          <w:spacing w:val="1"/>
          <w:lang w:eastAsia="en-GB"/>
        </w:rPr>
        <w:t>ont</w:t>
      </w:r>
      <w:r w:rsidRPr="00CE0885">
        <w:rPr>
          <w:spacing w:val="-1"/>
          <w:lang w:eastAsia="en-GB"/>
        </w:rPr>
        <w:t>r</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e</w:t>
      </w:r>
      <w:r w:rsidRPr="00CE0885">
        <w:rPr>
          <w:lang w:eastAsia="en-GB"/>
        </w:rPr>
        <w:t>d</w:t>
      </w:r>
      <w:r w:rsidRPr="00CE0885">
        <w:rPr>
          <w:spacing w:val="-9"/>
          <w:lang w:eastAsia="en-GB"/>
        </w:rPr>
        <w:t xml:space="preserve"> </w:t>
      </w:r>
      <w:r w:rsidRPr="00CE0885">
        <w:rPr>
          <w:spacing w:val="1"/>
          <w:lang w:eastAsia="en-GB"/>
        </w:rPr>
        <w:t>p</w:t>
      </w:r>
      <w:r w:rsidRPr="00CE0885">
        <w:rPr>
          <w:spacing w:val="-1"/>
          <w:lang w:eastAsia="en-GB"/>
        </w:rPr>
        <w:t>r</w:t>
      </w:r>
      <w:r w:rsidRPr="00CE0885">
        <w:rPr>
          <w:spacing w:val="1"/>
          <w:lang w:eastAsia="en-GB"/>
        </w:rPr>
        <w:t>a</w:t>
      </w:r>
      <w:r w:rsidRPr="00CE0885">
        <w:rPr>
          <w:spacing w:val="-2"/>
          <w:lang w:eastAsia="en-GB"/>
        </w:rPr>
        <w:t>c</w:t>
      </w:r>
      <w:r w:rsidRPr="00CE0885">
        <w:rPr>
          <w:spacing w:val="1"/>
          <w:lang w:eastAsia="en-GB"/>
        </w:rPr>
        <w:t>t</w:t>
      </w:r>
      <w:r w:rsidRPr="00CE0885">
        <w:rPr>
          <w:lang w:eastAsia="en-GB"/>
        </w:rPr>
        <w:t>ice</w:t>
      </w:r>
      <w:r w:rsidRPr="00CE0885">
        <w:rPr>
          <w:spacing w:val="-6"/>
          <w:lang w:eastAsia="en-GB"/>
        </w:rPr>
        <w:t xml:space="preserve"> </w:t>
      </w:r>
      <w:r w:rsidRPr="00CE0885">
        <w:rPr>
          <w:spacing w:val="1"/>
          <w:lang w:eastAsia="en-GB"/>
        </w:rPr>
        <w:t>p</w:t>
      </w:r>
      <w:r w:rsidRPr="00CE0885">
        <w:rPr>
          <w:spacing w:val="-1"/>
          <w:lang w:eastAsia="en-GB"/>
        </w:rPr>
        <w:t>re</w:t>
      </w:r>
      <w:r w:rsidRPr="00CE0885">
        <w:rPr>
          <w:spacing w:val="2"/>
          <w:lang w:eastAsia="en-GB"/>
        </w:rPr>
        <w:t>m</w:t>
      </w:r>
      <w:r w:rsidRPr="00CE0885">
        <w:rPr>
          <w:lang w:eastAsia="en-GB"/>
        </w:rPr>
        <w:t>is</w:t>
      </w:r>
      <w:r w:rsidRPr="00CE0885">
        <w:rPr>
          <w:spacing w:val="1"/>
          <w:lang w:eastAsia="en-GB"/>
        </w:rPr>
        <w:t>e</w:t>
      </w:r>
      <w:r w:rsidRPr="00CE0885">
        <w:rPr>
          <w:lang w:eastAsia="en-GB"/>
        </w:rPr>
        <w:t>s</w:t>
      </w:r>
      <w:r w:rsidRPr="00CE0885">
        <w:rPr>
          <w:spacing w:val="-12"/>
          <w:lang w:eastAsia="en-GB"/>
        </w:rPr>
        <w:t xml:space="preserve"> </w:t>
      </w:r>
      <w:r w:rsidRPr="00CE0885">
        <w:rPr>
          <w:spacing w:val="-1"/>
          <w:lang w:eastAsia="en-GB"/>
        </w:rPr>
        <w:t>(</w:t>
      </w:r>
      <w:r w:rsidRPr="00CE0885">
        <w:rPr>
          <w:lang w:eastAsia="en-GB"/>
        </w:rPr>
        <w:t>i</w:t>
      </w:r>
      <w:r w:rsidRPr="00CE0885">
        <w:rPr>
          <w:spacing w:val="1"/>
          <w:lang w:eastAsia="en-GB"/>
        </w:rPr>
        <w:t>n</w:t>
      </w:r>
      <w:r w:rsidRPr="00CE0885">
        <w:rPr>
          <w:lang w:eastAsia="en-GB"/>
        </w:rPr>
        <w:t>cl</w:t>
      </w:r>
      <w:r w:rsidRPr="00CE0885">
        <w:rPr>
          <w:spacing w:val="1"/>
          <w:lang w:eastAsia="en-GB"/>
        </w:rPr>
        <w:t>ud</w:t>
      </w:r>
      <w:r w:rsidRPr="00CE0885">
        <w:rPr>
          <w:lang w:eastAsia="en-GB"/>
        </w:rPr>
        <w:t>i</w:t>
      </w:r>
      <w:r w:rsidRPr="00CE0885">
        <w:rPr>
          <w:spacing w:val="1"/>
          <w:lang w:eastAsia="en-GB"/>
        </w:rPr>
        <w:t>n</w:t>
      </w:r>
      <w:r w:rsidRPr="00CE0885">
        <w:rPr>
          <w:lang w:eastAsia="en-GB"/>
        </w:rPr>
        <w:t>g</w:t>
      </w:r>
      <w:r w:rsidRPr="00CE0885">
        <w:rPr>
          <w:spacing w:val="-11"/>
          <w:lang w:eastAsia="en-GB"/>
        </w:rPr>
        <w:t xml:space="preserve"> </w:t>
      </w:r>
      <w:r w:rsidRPr="00CE0885">
        <w:rPr>
          <w:spacing w:val="1"/>
          <w:lang w:eastAsia="en-GB"/>
        </w:rPr>
        <w:t>b</w:t>
      </w:r>
      <w:r w:rsidRPr="00CE0885">
        <w:rPr>
          <w:spacing w:val="-1"/>
          <w:lang w:eastAsia="en-GB"/>
        </w:rPr>
        <w:t>ra</w:t>
      </w:r>
      <w:r w:rsidRPr="00CE0885">
        <w:rPr>
          <w:spacing w:val="1"/>
          <w:lang w:eastAsia="en-GB"/>
        </w:rPr>
        <w:t>n</w:t>
      </w:r>
      <w:r w:rsidRPr="00CE0885">
        <w:rPr>
          <w:lang w:eastAsia="en-GB"/>
        </w:rPr>
        <w:t>ch s</w:t>
      </w:r>
      <w:r w:rsidRPr="00CE0885">
        <w:rPr>
          <w:spacing w:val="1"/>
          <w:lang w:eastAsia="en-GB"/>
        </w:rPr>
        <w:t>u</w:t>
      </w:r>
      <w:r w:rsidRPr="00CE0885">
        <w:rPr>
          <w:spacing w:val="-1"/>
          <w:lang w:eastAsia="en-GB"/>
        </w:rPr>
        <w:t>rg</w:t>
      </w:r>
      <w:r w:rsidRPr="00CE0885">
        <w:rPr>
          <w:spacing w:val="1"/>
          <w:lang w:eastAsia="en-GB"/>
        </w:rPr>
        <w:t>e</w:t>
      </w:r>
      <w:r w:rsidRPr="00CE0885">
        <w:rPr>
          <w:spacing w:val="-1"/>
          <w:lang w:eastAsia="en-GB"/>
        </w:rPr>
        <w:t>r</w:t>
      </w:r>
      <w:r w:rsidRPr="00CE0885">
        <w:rPr>
          <w:lang w:eastAsia="en-GB"/>
        </w:rPr>
        <w:t>i</w:t>
      </w:r>
      <w:r w:rsidRPr="00CE0885">
        <w:rPr>
          <w:spacing w:val="1"/>
          <w:lang w:eastAsia="en-GB"/>
        </w:rPr>
        <w:t>e</w:t>
      </w:r>
      <w:r w:rsidRPr="00CE0885">
        <w:rPr>
          <w:lang w:eastAsia="en-GB"/>
        </w:rPr>
        <w:t xml:space="preserve">s – for further information, see paragraphs </w:t>
      </w:r>
      <w:r w:rsidRPr="00CE0885">
        <w:rPr>
          <w:lang w:eastAsia="en-GB"/>
        </w:rPr>
        <w:fldChar w:fldCharType="begin"/>
      </w:r>
      <w:r w:rsidRPr="00CE0885">
        <w:rPr>
          <w:lang w:eastAsia="en-GB"/>
        </w:rPr>
        <w:instrText xml:space="preserve"> REF _Ref410634689 \r \h  \* MERGEFORMAT </w:instrText>
      </w:r>
      <w:r w:rsidRPr="00CE0885">
        <w:rPr>
          <w:lang w:eastAsia="en-GB"/>
        </w:rPr>
      </w:r>
      <w:r w:rsidRPr="00CE0885">
        <w:rPr>
          <w:lang w:eastAsia="en-GB"/>
        </w:rPr>
        <w:fldChar w:fldCharType="separate"/>
      </w:r>
      <w:r w:rsidR="00054166">
        <w:rPr>
          <w:lang w:eastAsia="en-GB"/>
        </w:rPr>
        <w:t>7.15.10</w:t>
      </w:r>
      <w:r w:rsidRPr="00CE0885">
        <w:rPr>
          <w:lang w:eastAsia="en-GB"/>
        </w:rPr>
        <w:fldChar w:fldCharType="end"/>
      </w:r>
      <w:r w:rsidRPr="00CE0885">
        <w:rPr>
          <w:lang w:eastAsia="en-GB"/>
        </w:rPr>
        <w:t xml:space="preserve"> to </w:t>
      </w:r>
      <w:r w:rsidRPr="00CE0885">
        <w:rPr>
          <w:lang w:eastAsia="en-GB"/>
        </w:rPr>
        <w:fldChar w:fldCharType="begin"/>
      </w:r>
      <w:r w:rsidRPr="00CE0885">
        <w:rPr>
          <w:lang w:eastAsia="en-GB"/>
        </w:rPr>
        <w:instrText xml:space="preserve"> REF _Ref410634700 \r \h  \* MERGEFORMAT </w:instrText>
      </w:r>
      <w:r w:rsidRPr="00CE0885">
        <w:rPr>
          <w:lang w:eastAsia="en-GB"/>
        </w:rPr>
      </w:r>
      <w:r w:rsidRPr="00CE0885">
        <w:rPr>
          <w:lang w:eastAsia="en-GB"/>
        </w:rPr>
        <w:fldChar w:fldCharType="separate"/>
      </w:r>
      <w:r w:rsidR="00054166">
        <w:rPr>
          <w:lang w:eastAsia="en-GB"/>
        </w:rPr>
        <w:t>7.15.28</w:t>
      </w:r>
      <w:r w:rsidRPr="00CE0885">
        <w:rPr>
          <w:lang w:eastAsia="en-GB"/>
        </w:rPr>
        <w:fldChar w:fldCharType="end"/>
      </w:r>
      <w:r w:rsidRPr="00CE0885">
        <w:rPr>
          <w:lang w:eastAsia="en-GB"/>
        </w:rPr>
        <w:t xml:space="preserve"> below)</w:t>
      </w:r>
      <w:r w:rsidRPr="00CE0885">
        <w:rPr>
          <w:spacing w:val="-11"/>
          <w:lang w:eastAsia="en-GB"/>
        </w:rPr>
        <w:t xml:space="preserve"> </w:t>
      </w:r>
      <w:r w:rsidRPr="00CE0885">
        <w:rPr>
          <w:spacing w:val="3"/>
          <w:lang w:eastAsia="en-GB"/>
        </w:rPr>
        <w:t>f</w:t>
      </w:r>
      <w:r w:rsidRPr="00CE0885">
        <w:rPr>
          <w:spacing w:val="-1"/>
          <w:lang w:eastAsia="en-GB"/>
        </w:rPr>
        <w:t>ro</w:t>
      </w:r>
      <w:r w:rsidRPr="00CE0885">
        <w:rPr>
          <w:lang w:eastAsia="en-GB"/>
        </w:rPr>
        <w:t>m</w:t>
      </w:r>
      <w:r w:rsidRPr="00CE0885">
        <w:rPr>
          <w:spacing w:val="-3"/>
          <w:lang w:eastAsia="en-GB"/>
        </w:rPr>
        <w:t xml:space="preserve"> w</w:t>
      </w:r>
      <w:r w:rsidRPr="00CE0885">
        <w:rPr>
          <w:spacing w:val="1"/>
          <w:lang w:eastAsia="en-GB"/>
        </w:rPr>
        <w:t>h</w:t>
      </w:r>
      <w:r w:rsidRPr="00CE0885">
        <w:rPr>
          <w:lang w:eastAsia="en-GB"/>
        </w:rPr>
        <w:t>ich</w:t>
      </w:r>
      <w:r w:rsidRPr="00CE0885">
        <w:rPr>
          <w:spacing w:val="-4"/>
          <w:lang w:eastAsia="en-GB"/>
        </w:rPr>
        <w:t xml:space="preserve"> </w:t>
      </w:r>
      <w:r w:rsidRPr="00CE0885">
        <w:rPr>
          <w:lang w:eastAsia="en-GB"/>
        </w:rPr>
        <w:t>s</w:t>
      </w:r>
      <w:r w:rsidRPr="00CE0885">
        <w:rPr>
          <w:spacing w:val="1"/>
          <w:lang w:eastAsia="en-GB"/>
        </w:rPr>
        <w:t>e</w:t>
      </w:r>
      <w:r w:rsidRPr="00CE0885">
        <w:rPr>
          <w:spacing w:val="-1"/>
          <w:lang w:eastAsia="en-GB"/>
        </w:rPr>
        <w:t>r</w:t>
      </w:r>
      <w:r w:rsidRPr="00CE0885">
        <w:rPr>
          <w:spacing w:val="-2"/>
          <w:lang w:eastAsia="en-GB"/>
        </w:rPr>
        <w:t>v</w:t>
      </w:r>
      <w:r w:rsidRPr="00CE0885">
        <w:rPr>
          <w:lang w:eastAsia="en-GB"/>
        </w:rPr>
        <w:t>ic</w:t>
      </w:r>
      <w:r w:rsidRPr="00CE0885">
        <w:rPr>
          <w:spacing w:val="1"/>
          <w:lang w:eastAsia="en-GB"/>
        </w:rPr>
        <w:t>e</w:t>
      </w:r>
      <w:r w:rsidRPr="00CE0885">
        <w:rPr>
          <w:lang w:eastAsia="en-GB"/>
        </w:rPr>
        <w:t>s</w:t>
      </w:r>
      <w:r w:rsidRPr="00CE0885">
        <w:rPr>
          <w:spacing w:val="-9"/>
          <w:lang w:eastAsia="en-GB"/>
        </w:rPr>
        <w:t xml:space="preserve"> </w:t>
      </w:r>
      <w:r w:rsidRPr="00CE0885">
        <w:rPr>
          <w:spacing w:val="1"/>
          <w:lang w:eastAsia="en-GB"/>
        </w:rPr>
        <w:t>a</w:t>
      </w:r>
      <w:r w:rsidRPr="00CE0885">
        <w:rPr>
          <w:spacing w:val="-1"/>
          <w:lang w:eastAsia="en-GB"/>
        </w:rPr>
        <w:t>r</w:t>
      </w:r>
      <w:r w:rsidRPr="00CE0885">
        <w:rPr>
          <w:lang w:eastAsia="en-GB"/>
        </w:rPr>
        <w:t>e</w:t>
      </w:r>
      <w:r w:rsidRPr="00CE0885">
        <w:rPr>
          <w:spacing w:val="-1"/>
          <w:lang w:eastAsia="en-GB"/>
        </w:rPr>
        <w:t xml:space="preserve"> </w:t>
      </w:r>
      <w:r w:rsidRPr="00CE0885">
        <w:rPr>
          <w:spacing w:val="1"/>
          <w:lang w:eastAsia="en-GB"/>
        </w:rPr>
        <w:t>p</w:t>
      </w:r>
      <w:r w:rsidRPr="00CE0885">
        <w:rPr>
          <w:spacing w:val="-1"/>
          <w:lang w:eastAsia="en-GB"/>
        </w:rPr>
        <w:t>r</w:t>
      </w:r>
      <w:r w:rsidRPr="00CE0885">
        <w:rPr>
          <w:spacing w:val="1"/>
          <w:lang w:eastAsia="en-GB"/>
        </w:rPr>
        <w:t>o</w:t>
      </w:r>
      <w:r w:rsidRPr="00CE0885">
        <w:rPr>
          <w:spacing w:val="-2"/>
          <w:lang w:eastAsia="en-GB"/>
        </w:rPr>
        <w:t>v</w:t>
      </w:r>
      <w:r w:rsidRPr="00CE0885">
        <w:rPr>
          <w:lang w:eastAsia="en-GB"/>
        </w:rPr>
        <w:t>i</w:t>
      </w:r>
      <w:r w:rsidRPr="00CE0885">
        <w:rPr>
          <w:spacing w:val="1"/>
          <w:lang w:eastAsia="en-GB"/>
        </w:rPr>
        <w:t>ded</w:t>
      </w:r>
      <w:r w:rsidRPr="00CE0885">
        <w:rPr>
          <w:lang w:eastAsia="en-GB"/>
        </w:rPr>
        <w:t>.</w:t>
      </w:r>
      <w:bookmarkEnd w:id="820"/>
    </w:p>
    <w:p w14:paraId="6B7574FE" w14:textId="769CFCAF" w:rsidR="00977693" w:rsidRPr="00CE0885" w:rsidRDefault="00977693" w:rsidP="00980A75">
      <w:pPr>
        <w:pStyle w:val="Heading3"/>
        <w:rPr>
          <w:lang w:eastAsia="en-GB"/>
        </w:rPr>
      </w:pPr>
      <w:bookmarkStart w:id="821" w:name="_Toc440981947"/>
      <w:r w:rsidRPr="00CE0885">
        <w:rPr>
          <w:spacing w:val="2"/>
          <w:lang w:eastAsia="en-GB"/>
        </w:rPr>
        <w:t>T</w:t>
      </w:r>
      <w:r w:rsidRPr="00CE0885">
        <w:rPr>
          <w:spacing w:val="1"/>
          <w:lang w:eastAsia="en-GB"/>
        </w:rPr>
        <w:t>h</w:t>
      </w:r>
      <w:r w:rsidRPr="00CE0885">
        <w:rPr>
          <w:lang w:eastAsia="en-GB"/>
        </w:rPr>
        <w:t>is</w:t>
      </w:r>
      <w:r w:rsidRPr="00CE0885">
        <w:rPr>
          <w:spacing w:val="-5"/>
          <w:lang w:eastAsia="en-GB"/>
        </w:rPr>
        <w:t xml:space="preserve"> </w:t>
      </w:r>
      <w:r w:rsidRPr="00CE0885">
        <w:rPr>
          <w:spacing w:val="-3"/>
          <w:lang w:eastAsia="en-GB"/>
        </w:rPr>
        <w:t>w</w:t>
      </w:r>
      <w:r w:rsidRPr="00CE0885">
        <w:rPr>
          <w:spacing w:val="1"/>
          <w:lang w:eastAsia="en-GB"/>
        </w:rPr>
        <w:t>ou</w:t>
      </w:r>
      <w:r w:rsidRPr="00CE0885">
        <w:rPr>
          <w:lang w:eastAsia="en-GB"/>
        </w:rPr>
        <w:t>ld</w:t>
      </w:r>
      <w:r w:rsidRPr="00CE0885">
        <w:rPr>
          <w:spacing w:val="-7"/>
          <w:lang w:eastAsia="en-GB"/>
        </w:rPr>
        <w:t xml:space="preserve"> likely </w:t>
      </w:r>
      <w:r w:rsidRPr="00CE0885">
        <w:rPr>
          <w:spacing w:val="1"/>
          <w:lang w:eastAsia="en-GB"/>
        </w:rPr>
        <w:t>b</w:t>
      </w:r>
      <w:r w:rsidRPr="00CE0885">
        <w:rPr>
          <w:lang w:eastAsia="en-GB"/>
        </w:rPr>
        <w:t>e</w:t>
      </w:r>
      <w:r w:rsidRPr="00CE0885">
        <w:rPr>
          <w:spacing w:val="-4"/>
          <w:lang w:eastAsia="en-GB"/>
        </w:rPr>
        <w:t xml:space="preserve"> </w:t>
      </w:r>
      <w:r w:rsidRPr="00CE0885">
        <w:rPr>
          <w:lang w:eastAsia="en-GB"/>
        </w:rPr>
        <w:t>a</w:t>
      </w:r>
      <w:r w:rsidRPr="00CE0885">
        <w:rPr>
          <w:spacing w:val="1"/>
          <w:lang w:eastAsia="en-GB"/>
        </w:rPr>
        <w:t xml:space="preserve"> </w:t>
      </w:r>
      <w:r w:rsidRPr="00CE0885">
        <w:rPr>
          <w:lang w:eastAsia="en-GB"/>
        </w:rPr>
        <w:t>si</w:t>
      </w:r>
      <w:r w:rsidRPr="00CE0885">
        <w:rPr>
          <w:spacing w:val="-1"/>
          <w:lang w:eastAsia="en-GB"/>
        </w:rPr>
        <w:t>g</w:t>
      </w:r>
      <w:r w:rsidRPr="00CE0885">
        <w:rPr>
          <w:spacing w:val="1"/>
          <w:lang w:eastAsia="en-GB"/>
        </w:rPr>
        <w:t>n</w:t>
      </w:r>
      <w:r w:rsidRPr="00CE0885">
        <w:rPr>
          <w:lang w:eastAsia="en-GB"/>
        </w:rPr>
        <w:t>i</w:t>
      </w:r>
      <w:r w:rsidRPr="00CE0885">
        <w:rPr>
          <w:spacing w:val="3"/>
          <w:lang w:eastAsia="en-GB"/>
        </w:rPr>
        <w:t>f</w:t>
      </w:r>
      <w:r w:rsidRPr="00CE0885">
        <w:rPr>
          <w:spacing w:val="-3"/>
          <w:lang w:eastAsia="en-GB"/>
        </w:rPr>
        <w:t>i</w:t>
      </w:r>
      <w:r w:rsidRPr="00CE0885">
        <w:rPr>
          <w:lang w:eastAsia="en-GB"/>
        </w:rPr>
        <w:t>c</w:t>
      </w:r>
      <w:r w:rsidRPr="00CE0885">
        <w:rPr>
          <w:spacing w:val="1"/>
          <w:lang w:eastAsia="en-GB"/>
        </w:rPr>
        <w:t>an</w:t>
      </w:r>
      <w:r w:rsidRPr="00CE0885">
        <w:rPr>
          <w:lang w:eastAsia="en-GB"/>
        </w:rPr>
        <w:t>t</w:t>
      </w:r>
      <w:r w:rsidRPr="00CE0885">
        <w:rPr>
          <w:spacing w:val="-10"/>
          <w:lang w:eastAsia="en-GB"/>
        </w:rPr>
        <w:t xml:space="preserve"> </w:t>
      </w:r>
      <w:r w:rsidRPr="00CE0885">
        <w:rPr>
          <w:spacing w:val="-2"/>
          <w:lang w:eastAsia="en-GB"/>
        </w:rPr>
        <w:t>c</w:t>
      </w:r>
      <w:r w:rsidRPr="00CE0885">
        <w:rPr>
          <w:spacing w:val="1"/>
          <w:lang w:eastAsia="en-GB"/>
        </w:rPr>
        <w:t>han</w:t>
      </w:r>
      <w:r w:rsidRPr="00CE0885">
        <w:rPr>
          <w:spacing w:val="-1"/>
          <w:lang w:eastAsia="en-GB"/>
        </w:rPr>
        <w:t>g</w:t>
      </w:r>
      <w:r w:rsidRPr="00CE0885">
        <w:rPr>
          <w:lang w:eastAsia="en-GB"/>
        </w:rPr>
        <w:t>e</w:t>
      </w:r>
      <w:r w:rsidRPr="00CE0885">
        <w:rPr>
          <w:spacing w:val="-9"/>
          <w:lang w:eastAsia="en-GB"/>
        </w:rPr>
        <w:t xml:space="preserve"> </w:t>
      </w:r>
      <w:r w:rsidRPr="00CE0885">
        <w:rPr>
          <w:spacing w:val="1"/>
          <w:lang w:eastAsia="en-GB"/>
        </w:rPr>
        <w:t>t</w:t>
      </w:r>
      <w:r w:rsidRPr="00CE0885">
        <w:rPr>
          <w:lang w:eastAsia="en-GB"/>
        </w:rPr>
        <w:t>o s</w:t>
      </w:r>
      <w:r w:rsidRPr="00CE0885">
        <w:rPr>
          <w:spacing w:val="1"/>
          <w:lang w:eastAsia="en-GB"/>
        </w:rPr>
        <w:t>e</w:t>
      </w:r>
      <w:r w:rsidRPr="00CE0885">
        <w:rPr>
          <w:spacing w:val="-1"/>
          <w:lang w:eastAsia="en-GB"/>
        </w:rPr>
        <w:t>r</w:t>
      </w:r>
      <w:r w:rsidRPr="00CE0885">
        <w:rPr>
          <w:spacing w:val="-2"/>
          <w:lang w:eastAsia="en-GB"/>
        </w:rPr>
        <w:t>v</w:t>
      </w:r>
      <w:r w:rsidRPr="00CE0885">
        <w:rPr>
          <w:lang w:eastAsia="en-GB"/>
        </w:rPr>
        <w:t>ic</w:t>
      </w:r>
      <w:r w:rsidRPr="00CE0885">
        <w:rPr>
          <w:spacing w:val="1"/>
          <w:lang w:eastAsia="en-GB"/>
        </w:rPr>
        <w:t>e</w:t>
      </w:r>
      <w:r w:rsidRPr="00CE0885">
        <w:rPr>
          <w:lang w:eastAsia="en-GB"/>
        </w:rPr>
        <w:t>s</w:t>
      </w:r>
      <w:r w:rsidRPr="00CE0885">
        <w:rPr>
          <w:spacing w:val="-9"/>
          <w:lang w:eastAsia="en-GB"/>
        </w:rPr>
        <w:t xml:space="preserve"> </w:t>
      </w:r>
      <w:r w:rsidRPr="00CE0885">
        <w:rPr>
          <w:spacing w:val="1"/>
          <w:lang w:eastAsia="en-GB"/>
        </w:rPr>
        <w:t>fo</w:t>
      </w:r>
      <w:r w:rsidRPr="00CE0885">
        <w:rPr>
          <w:lang w:eastAsia="en-GB"/>
        </w:rPr>
        <w:t>r</w:t>
      </w:r>
      <w:r w:rsidRPr="00CE0885">
        <w:rPr>
          <w:spacing w:val="-3"/>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r</w:t>
      </w:r>
      <w:r w:rsidRPr="00CE0885">
        <w:rPr>
          <w:spacing w:val="1"/>
          <w:lang w:eastAsia="en-GB"/>
        </w:rPr>
        <w:t>e</w:t>
      </w:r>
      <w:r w:rsidRPr="00CE0885">
        <w:rPr>
          <w:spacing w:val="-1"/>
          <w:lang w:eastAsia="en-GB"/>
        </w:rPr>
        <w:t>g</w:t>
      </w:r>
      <w:r w:rsidRPr="00CE0885">
        <w:rPr>
          <w:lang w:eastAsia="en-GB"/>
        </w:rPr>
        <w:t>is</w:t>
      </w:r>
      <w:r w:rsidRPr="00CE0885">
        <w:rPr>
          <w:spacing w:val="1"/>
          <w:lang w:eastAsia="en-GB"/>
        </w:rPr>
        <w:t>te</w:t>
      </w:r>
      <w:r w:rsidRPr="00CE0885">
        <w:rPr>
          <w:spacing w:val="-1"/>
          <w:lang w:eastAsia="en-GB"/>
        </w:rPr>
        <w:t>r</w:t>
      </w:r>
      <w:r w:rsidRPr="00CE0885">
        <w:rPr>
          <w:spacing w:val="1"/>
          <w:lang w:eastAsia="en-GB"/>
        </w:rPr>
        <w:t>e</w:t>
      </w:r>
      <w:r w:rsidRPr="00CE0885">
        <w:rPr>
          <w:lang w:eastAsia="en-GB"/>
        </w:rPr>
        <w:t xml:space="preserve">d </w:t>
      </w:r>
      <w:r w:rsidRPr="00CE0885">
        <w:rPr>
          <w:spacing w:val="1"/>
          <w:lang w:eastAsia="en-GB"/>
        </w:rPr>
        <w:t>po</w:t>
      </w:r>
      <w:r w:rsidRPr="00CE0885">
        <w:rPr>
          <w:spacing w:val="-1"/>
          <w:lang w:eastAsia="en-GB"/>
        </w:rPr>
        <w:t>p</w:t>
      </w:r>
      <w:r w:rsidRPr="00CE0885">
        <w:rPr>
          <w:spacing w:val="1"/>
          <w:lang w:eastAsia="en-GB"/>
        </w:rPr>
        <w:t>u</w:t>
      </w:r>
      <w:r w:rsidRPr="00CE0885">
        <w:rPr>
          <w:lang w:eastAsia="en-GB"/>
        </w:rPr>
        <w:t>l</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12"/>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spacing w:val="1"/>
          <w:lang w:eastAsia="en-GB"/>
        </w:rPr>
        <w:t>a</w:t>
      </w:r>
      <w:r w:rsidRPr="00CE0885">
        <w:rPr>
          <w:lang w:eastAsia="en-GB"/>
        </w:rPr>
        <w:t>s</w:t>
      </w:r>
      <w:r w:rsidRPr="00CE0885">
        <w:rPr>
          <w:spacing w:val="-5"/>
          <w:lang w:eastAsia="en-GB"/>
        </w:rPr>
        <w:t xml:space="preserve"> </w:t>
      </w:r>
      <w:r w:rsidRPr="00CE0885">
        <w:rPr>
          <w:lang w:eastAsia="en-GB"/>
        </w:rPr>
        <w:t>s</w:t>
      </w:r>
      <w:r w:rsidRPr="00CE0885">
        <w:rPr>
          <w:spacing w:val="1"/>
          <w:lang w:eastAsia="en-GB"/>
        </w:rPr>
        <w:t>u</w:t>
      </w:r>
      <w:r w:rsidRPr="00CE0885">
        <w:rPr>
          <w:spacing w:val="-2"/>
          <w:lang w:eastAsia="en-GB"/>
        </w:rPr>
        <w:t>c</w:t>
      </w:r>
      <w:r w:rsidRPr="00CE0885">
        <w:rPr>
          <w:lang w:eastAsia="en-GB"/>
        </w:rPr>
        <w:t>h</w:t>
      </w:r>
      <w:r w:rsidR="00A07ACB">
        <w:rPr>
          <w:lang w:eastAsia="en-GB"/>
        </w:rPr>
        <w:t>,</w:t>
      </w:r>
      <w:r w:rsidRPr="00CE0885">
        <w:rPr>
          <w:spacing w:val="-3"/>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Commissioner</w:t>
      </w:r>
      <w:r w:rsidRPr="00CE0885">
        <w:rPr>
          <w:spacing w:val="-3"/>
          <w:lang w:eastAsia="en-GB"/>
        </w:rPr>
        <w:t xml:space="preserve"> </w:t>
      </w:r>
      <w:r w:rsidRPr="00CE0885">
        <w:rPr>
          <w:spacing w:val="1"/>
          <w:lang w:eastAsia="en-GB"/>
        </w:rPr>
        <w:t>an</w:t>
      </w:r>
      <w:r w:rsidRPr="00CE0885">
        <w:rPr>
          <w:lang w:eastAsia="en-GB"/>
        </w:rPr>
        <w:t>d</w:t>
      </w:r>
      <w:r w:rsidRPr="00CE0885">
        <w:rPr>
          <w:spacing w:val="-5"/>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to</w:t>
      </w:r>
      <w:r w:rsidRPr="00CE0885">
        <w:rPr>
          <w:lang w:eastAsia="en-GB"/>
        </w:rPr>
        <w:t>r</w:t>
      </w:r>
      <w:r w:rsidRPr="00CE0885">
        <w:rPr>
          <w:spacing w:val="-14"/>
          <w:lang w:eastAsia="en-GB"/>
        </w:rPr>
        <w:t xml:space="preserve"> </w:t>
      </w:r>
      <w:r w:rsidRPr="00CE0885">
        <w:rPr>
          <w:spacing w:val="2"/>
          <w:lang w:eastAsia="en-GB"/>
        </w:rPr>
        <w:t>m</w:t>
      </w:r>
      <w:r w:rsidRPr="00CE0885">
        <w:rPr>
          <w:spacing w:val="1"/>
          <w:lang w:eastAsia="en-GB"/>
        </w:rPr>
        <w:t>u</w:t>
      </w:r>
      <w:r w:rsidRPr="00CE0885">
        <w:rPr>
          <w:lang w:eastAsia="en-GB"/>
        </w:rPr>
        <w:t>st</w:t>
      </w:r>
      <w:r w:rsidRPr="00CE0885">
        <w:rPr>
          <w:spacing w:val="-6"/>
          <w:lang w:eastAsia="en-GB"/>
        </w:rPr>
        <w:t xml:space="preserve"> </w:t>
      </w:r>
      <w:r w:rsidRPr="00CE0885">
        <w:rPr>
          <w:spacing w:val="1"/>
          <w:lang w:eastAsia="en-GB"/>
        </w:rPr>
        <w:t>en</w:t>
      </w:r>
      <w:r w:rsidRPr="00CE0885">
        <w:rPr>
          <w:spacing w:val="-1"/>
          <w:lang w:eastAsia="en-GB"/>
        </w:rPr>
        <w:t>g</w:t>
      </w:r>
      <w:r w:rsidRPr="00CE0885">
        <w:rPr>
          <w:spacing w:val="1"/>
          <w:lang w:eastAsia="en-GB"/>
        </w:rPr>
        <w:t>a</w:t>
      </w:r>
      <w:r w:rsidRPr="00CE0885">
        <w:rPr>
          <w:spacing w:val="-1"/>
          <w:lang w:eastAsia="en-GB"/>
        </w:rPr>
        <w:t>g</w:t>
      </w:r>
      <w:r w:rsidRPr="00CE0885">
        <w:rPr>
          <w:lang w:eastAsia="en-GB"/>
        </w:rPr>
        <w:t>e</w:t>
      </w:r>
      <w:r w:rsidRPr="00CE0885">
        <w:rPr>
          <w:spacing w:val="-6"/>
          <w:lang w:eastAsia="en-GB"/>
        </w:rPr>
        <w:t xml:space="preserve"> </w:t>
      </w:r>
      <w:r w:rsidRPr="00CE0885">
        <w:rPr>
          <w:lang w:eastAsia="en-GB"/>
        </w:rPr>
        <w:t>in</w:t>
      </w:r>
      <w:r w:rsidRPr="00CE0885">
        <w:rPr>
          <w:spacing w:val="-3"/>
          <w:lang w:eastAsia="en-GB"/>
        </w:rPr>
        <w:t xml:space="preserve"> </w:t>
      </w:r>
      <w:r w:rsidRPr="00CE0885">
        <w:rPr>
          <w:spacing w:val="-1"/>
          <w:lang w:eastAsia="en-GB"/>
        </w:rPr>
        <w:t>o</w:t>
      </w:r>
      <w:r w:rsidRPr="00CE0885">
        <w:rPr>
          <w:spacing w:val="1"/>
          <w:lang w:eastAsia="en-GB"/>
        </w:rPr>
        <w:t>pe</w:t>
      </w:r>
      <w:r w:rsidRPr="00CE0885">
        <w:rPr>
          <w:lang w:eastAsia="en-GB"/>
        </w:rPr>
        <w:t xml:space="preserve">n </w:t>
      </w:r>
      <w:r w:rsidRPr="00CE0885">
        <w:rPr>
          <w:spacing w:val="1"/>
          <w:lang w:eastAsia="en-GB"/>
        </w:rPr>
        <w:t>d</w:t>
      </w:r>
      <w:r w:rsidRPr="00CE0885">
        <w:rPr>
          <w:lang w:eastAsia="en-GB"/>
        </w:rPr>
        <w:t>i</w:t>
      </w:r>
      <w:r w:rsidRPr="00CE0885">
        <w:rPr>
          <w:spacing w:val="1"/>
          <w:lang w:eastAsia="en-GB"/>
        </w:rPr>
        <w:t>a</w:t>
      </w:r>
      <w:r w:rsidRPr="00CE0885">
        <w:rPr>
          <w:lang w:eastAsia="en-GB"/>
        </w:rPr>
        <w:t>l</w:t>
      </w:r>
      <w:r w:rsidRPr="00CE0885">
        <w:rPr>
          <w:spacing w:val="1"/>
          <w:lang w:eastAsia="en-GB"/>
        </w:rPr>
        <w:t>o</w:t>
      </w:r>
      <w:r w:rsidRPr="00CE0885">
        <w:rPr>
          <w:spacing w:val="-1"/>
          <w:lang w:eastAsia="en-GB"/>
        </w:rPr>
        <w:t>g</w:t>
      </w:r>
      <w:r w:rsidRPr="00CE0885">
        <w:rPr>
          <w:spacing w:val="1"/>
          <w:lang w:eastAsia="en-GB"/>
        </w:rPr>
        <w:t>u</w:t>
      </w:r>
      <w:r w:rsidRPr="00CE0885">
        <w:rPr>
          <w:lang w:eastAsia="en-GB"/>
        </w:rPr>
        <w:t>e</w:t>
      </w:r>
      <w:r w:rsidRPr="00CE0885">
        <w:rPr>
          <w:spacing w:val="-7"/>
          <w:lang w:eastAsia="en-GB"/>
        </w:rPr>
        <w:t xml:space="preserve"> </w:t>
      </w:r>
      <w:r w:rsidRPr="00CE0885">
        <w:rPr>
          <w:lang w:eastAsia="en-GB"/>
        </w:rPr>
        <w:t>in</w:t>
      </w:r>
      <w:r w:rsidRPr="00CE0885">
        <w:rPr>
          <w:spacing w:val="-3"/>
          <w:lang w:eastAsia="en-GB"/>
        </w:rPr>
        <w:t xml:space="preserve"> </w:t>
      </w:r>
      <w:r w:rsidRPr="00CE0885">
        <w:rPr>
          <w:spacing w:val="1"/>
          <w:lang w:eastAsia="en-GB"/>
        </w:rPr>
        <w:t>th</w:t>
      </w:r>
      <w:r w:rsidRPr="00CE0885">
        <w:rPr>
          <w:lang w:eastAsia="en-GB"/>
        </w:rPr>
        <w:t>e</w:t>
      </w:r>
      <w:r w:rsidRPr="00CE0885">
        <w:rPr>
          <w:spacing w:val="-6"/>
          <w:lang w:eastAsia="en-GB"/>
        </w:rPr>
        <w:t xml:space="preserve"> </w:t>
      </w:r>
      <w:r w:rsidRPr="00CE0885">
        <w:rPr>
          <w:spacing w:val="3"/>
          <w:lang w:eastAsia="en-GB"/>
        </w:rPr>
        <w:t>f</w:t>
      </w:r>
      <w:r w:rsidRPr="00CE0885">
        <w:rPr>
          <w:lang w:eastAsia="en-GB"/>
        </w:rPr>
        <w:t>i</w:t>
      </w:r>
      <w:r w:rsidRPr="00CE0885">
        <w:rPr>
          <w:spacing w:val="-1"/>
          <w:lang w:eastAsia="en-GB"/>
        </w:rPr>
        <w:t>r</w:t>
      </w:r>
      <w:r w:rsidRPr="00CE0885">
        <w:rPr>
          <w:lang w:eastAsia="en-GB"/>
        </w:rPr>
        <w:t>st</w:t>
      </w:r>
      <w:r w:rsidRPr="00CE0885">
        <w:rPr>
          <w:spacing w:val="-3"/>
          <w:lang w:eastAsia="en-GB"/>
        </w:rPr>
        <w:t xml:space="preserve"> </w:t>
      </w:r>
      <w:r w:rsidRPr="00CE0885">
        <w:rPr>
          <w:lang w:eastAsia="en-GB"/>
        </w:rPr>
        <w:t>i</w:t>
      </w:r>
      <w:r w:rsidRPr="00CE0885">
        <w:rPr>
          <w:spacing w:val="1"/>
          <w:lang w:eastAsia="en-GB"/>
        </w:rPr>
        <w:t>n</w:t>
      </w:r>
      <w:r w:rsidRPr="00CE0885">
        <w:rPr>
          <w:lang w:eastAsia="en-GB"/>
        </w:rPr>
        <w:t>s</w:t>
      </w:r>
      <w:r w:rsidRPr="00CE0885">
        <w:rPr>
          <w:spacing w:val="-2"/>
          <w:lang w:eastAsia="en-GB"/>
        </w:rPr>
        <w:t>t</w:t>
      </w:r>
      <w:r w:rsidRPr="00CE0885">
        <w:rPr>
          <w:spacing w:val="1"/>
          <w:lang w:eastAsia="en-GB"/>
        </w:rPr>
        <w:t>an</w:t>
      </w:r>
      <w:r w:rsidRPr="00CE0885">
        <w:rPr>
          <w:lang w:eastAsia="en-GB"/>
        </w:rPr>
        <w:t>ce</w:t>
      </w:r>
      <w:r w:rsidRPr="00CE0885">
        <w:rPr>
          <w:spacing w:val="-10"/>
          <w:lang w:eastAsia="en-GB"/>
        </w:rPr>
        <w:t xml:space="preserve"> </w:t>
      </w:r>
      <w:r w:rsidRPr="00CE0885">
        <w:rPr>
          <w:spacing w:val="1"/>
          <w:lang w:eastAsia="en-GB"/>
        </w:rPr>
        <w:t>t</w:t>
      </w:r>
      <w:r w:rsidRPr="00CE0885">
        <w:rPr>
          <w:lang w:eastAsia="en-GB"/>
        </w:rPr>
        <w:t xml:space="preserve">o </w:t>
      </w:r>
      <w:r w:rsidRPr="00CE0885">
        <w:rPr>
          <w:spacing w:val="-2"/>
          <w:lang w:eastAsia="en-GB"/>
        </w:rPr>
        <w:t>c</w:t>
      </w:r>
      <w:r w:rsidRPr="00CE0885">
        <w:rPr>
          <w:spacing w:val="1"/>
          <w:lang w:eastAsia="en-GB"/>
        </w:rPr>
        <w:t>on</w:t>
      </w:r>
      <w:r w:rsidRPr="00CE0885">
        <w:rPr>
          <w:lang w:eastAsia="en-GB"/>
        </w:rPr>
        <w:t>si</w:t>
      </w:r>
      <w:r w:rsidRPr="00CE0885">
        <w:rPr>
          <w:spacing w:val="1"/>
          <w:lang w:eastAsia="en-GB"/>
        </w:rPr>
        <w:t>de</w:t>
      </w:r>
      <w:r w:rsidRPr="00CE0885">
        <w:rPr>
          <w:lang w:eastAsia="en-GB"/>
        </w:rPr>
        <w:t>r</w:t>
      </w:r>
      <w:r w:rsidRPr="00CE0885">
        <w:rPr>
          <w:spacing w:val="-12"/>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spacing w:val="-2"/>
          <w:lang w:eastAsia="en-GB"/>
        </w:rPr>
        <w:t>c</w:t>
      </w:r>
      <w:r w:rsidRPr="00CE0885">
        <w:rPr>
          <w:spacing w:val="1"/>
          <w:lang w:eastAsia="en-GB"/>
        </w:rPr>
        <w:t>on</w:t>
      </w:r>
      <w:r w:rsidRPr="00CE0885">
        <w:rPr>
          <w:lang w:eastAsia="en-GB"/>
        </w:rPr>
        <w:t>s</w:t>
      </w:r>
      <w:r w:rsidRPr="00CE0885">
        <w:rPr>
          <w:spacing w:val="1"/>
          <w:lang w:eastAsia="en-GB"/>
        </w:rPr>
        <w:t>e</w:t>
      </w:r>
      <w:r w:rsidRPr="00CE0885">
        <w:rPr>
          <w:spacing w:val="-1"/>
          <w:lang w:eastAsia="en-GB"/>
        </w:rPr>
        <w:t>q</w:t>
      </w:r>
      <w:r w:rsidRPr="00CE0885">
        <w:rPr>
          <w:spacing w:val="1"/>
          <w:lang w:eastAsia="en-GB"/>
        </w:rPr>
        <w:t>u</w:t>
      </w:r>
      <w:r w:rsidRPr="00CE0885">
        <w:rPr>
          <w:spacing w:val="-1"/>
          <w:lang w:eastAsia="en-GB"/>
        </w:rPr>
        <w:t>e</w:t>
      </w:r>
      <w:r w:rsidRPr="00CE0885">
        <w:rPr>
          <w:spacing w:val="1"/>
          <w:lang w:eastAsia="en-GB"/>
        </w:rPr>
        <w:t>n</w:t>
      </w:r>
      <w:r w:rsidRPr="00CE0885">
        <w:rPr>
          <w:lang w:eastAsia="en-GB"/>
        </w:rPr>
        <w:t>c</w:t>
      </w:r>
      <w:r w:rsidRPr="00CE0885">
        <w:rPr>
          <w:spacing w:val="1"/>
          <w:lang w:eastAsia="en-GB"/>
        </w:rPr>
        <w:t>e</w:t>
      </w:r>
      <w:r w:rsidRPr="00CE0885">
        <w:rPr>
          <w:lang w:eastAsia="en-GB"/>
        </w:rPr>
        <w:t>s</w:t>
      </w:r>
      <w:r w:rsidRPr="00CE0885">
        <w:rPr>
          <w:spacing w:val="-17"/>
          <w:lang w:eastAsia="en-GB"/>
        </w:rPr>
        <w:t xml:space="preserve"> </w:t>
      </w:r>
      <w:r w:rsidRPr="00CE0885">
        <w:rPr>
          <w:spacing w:val="1"/>
          <w:lang w:eastAsia="en-GB"/>
        </w:rPr>
        <w:t>an</w:t>
      </w:r>
      <w:r w:rsidRPr="00CE0885">
        <w:rPr>
          <w:lang w:eastAsia="en-GB"/>
        </w:rPr>
        <w:t>d i</w:t>
      </w:r>
      <w:r w:rsidRPr="00CE0885">
        <w:rPr>
          <w:spacing w:val="2"/>
          <w:lang w:eastAsia="en-GB"/>
        </w:rPr>
        <w:t>m</w:t>
      </w:r>
      <w:r w:rsidRPr="00CE0885">
        <w:rPr>
          <w:spacing w:val="1"/>
          <w:lang w:eastAsia="en-GB"/>
        </w:rPr>
        <w:t>p</w:t>
      </w:r>
      <w:r w:rsidRPr="00CE0885">
        <w:rPr>
          <w:lang w:eastAsia="en-GB"/>
        </w:rPr>
        <w:t>lic</w:t>
      </w:r>
      <w:r w:rsidRPr="00CE0885">
        <w:rPr>
          <w:spacing w:val="1"/>
          <w:lang w:eastAsia="en-GB"/>
        </w:rPr>
        <w:t>at</w:t>
      </w:r>
      <w:r w:rsidRPr="00CE0885">
        <w:rPr>
          <w:lang w:eastAsia="en-GB"/>
        </w:rPr>
        <w:t>i</w:t>
      </w:r>
      <w:r w:rsidRPr="00CE0885">
        <w:rPr>
          <w:spacing w:val="-1"/>
          <w:lang w:eastAsia="en-GB"/>
        </w:rPr>
        <w:t>o</w:t>
      </w:r>
      <w:r w:rsidRPr="00CE0885">
        <w:rPr>
          <w:spacing w:val="1"/>
          <w:lang w:eastAsia="en-GB"/>
        </w:rPr>
        <w:t>n</w:t>
      </w:r>
      <w:r w:rsidRPr="00CE0885">
        <w:rPr>
          <w:lang w:eastAsia="en-GB"/>
        </w:rPr>
        <w:t>s</w:t>
      </w:r>
      <w:r w:rsidRPr="00CE0885">
        <w:rPr>
          <w:spacing w:val="-13"/>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1"/>
          <w:lang w:eastAsia="en-GB"/>
        </w:rPr>
        <w:t>p</w:t>
      </w:r>
      <w:r w:rsidRPr="00CE0885">
        <w:rPr>
          <w:spacing w:val="-1"/>
          <w:lang w:eastAsia="en-GB"/>
        </w:rPr>
        <w:t>ro</w:t>
      </w:r>
      <w:r w:rsidRPr="00CE0885">
        <w:rPr>
          <w:spacing w:val="1"/>
          <w:lang w:eastAsia="en-GB"/>
        </w:rPr>
        <w:t>po</w:t>
      </w:r>
      <w:r w:rsidRPr="00CE0885">
        <w:rPr>
          <w:lang w:eastAsia="en-GB"/>
        </w:rPr>
        <w:t>s</w:t>
      </w:r>
      <w:r w:rsidRPr="00CE0885">
        <w:rPr>
          <w:spacing w:val="-1"/>
          <w:lang w:eastAsia="en-GB"/>
        </w:rPr>
        <w:t>e</w:t>
      </w:r>
      <w:r w:rsidRPr="00CE0885">
        <w:rPr>
          <w:lang w:eastAsia="en-GB"/>
        </w:rPr>
        <w:t>d</w:t>
      </w:r>
      <w:r w:rsidRPr="00CE0885">
        <w:rPr>
          <w:spacing w:val="-8"/>
          <w:lang w:eastAsia="en-GB"/>
        </w:rPr>
        <w:t xml:space="preserve"> </w:t>
      </w:r>
      <w:r w:rsidRPr="00CE0885">
        <w:rPr>
          <w:lang w:eastAsia="en-GB"/>
        </w:rPr>
        <w:t>c</w:t>
      </w:r>
      <w:r w:rsidRPr="00CE0885">
        <w:rPr>
          <w:spacing w:val="1"/>
          <w:lang w:eastAsia="en-GB"/>
        </w:rPr>
        <w:t>h</w:t>
      </w:r>
      <w:r w:rsidRPr="00CE0885">
        <w:rPr>
          <w:spacing w:val="-1"/>
          <w:lang w:eastAsia="en-GB"/>
        </w:rPr>
        <w:t>a</w:t>
      </w:r>
      <w:r w:rsidRPr="00CE0885">
        <w:rPr>
          <w:spacing w:val="1"/>
          <w:lang w:eastAsia="en-GB"/>
        </w:rPr>
        <w:t>n</w:t>
      </w:r>
      <w:r w:rsidRPr="00CE0885">
        <w:rPr>
          <w:spacing w:val="-1"/>
          <w:lang w:eastAsia="en-GB"/>
        </w:rPr>
        <w:t>g</w:t>
      </w:r>
      <w:r w:rsidRPr="00CE0885">
        <w:rPr>
          <w:lang w:eastAsia="en-GB"/>
        </w:rPr>
        <w:t>e</w:t>
      </w:r>
      <w:r w:rsidRPr="00CE0885">
        <w:rPr>
          <w:spacing w:val="-6"/>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5"/>
          <w:lang w:eastAsia="en-GB"/>
        </w:rPr>
        <w:t xml:space="preserve"> </w:t>
      </w:r>
      <w:r w:rsidRPr="00CE0885">
        <w:rPr>
          <w:spacing w:val="1"/>
          <w:lang w:eastAsia="en-GB"/>
        </w:rPr>
        <w:t>d</w:t>
      </w:r>
      <w:r w:rsidRPr="00CE0885">
        <w:rPr>
          <w:lang w:eastAsia="en-GB"/>
        </w:rPr>
        <w:t>isc</w:t>
      </w:r>
      <w:r w:rsidRPr="00CE0885">
        <w:rPr>
          <w:spacing w:val="1"/>
          <w:lang w:eastAsia="en-GB"/>
        </w:rPr>
        <w:t>u</w:t>
      </w:r>
      <w:r w:rsidRPr="00CE0885">
        <w:rPr>
          <w:lang w:eastAsia="en-GB"/>
        </w:rPr>
        <w:t>ss</w:t>
      </w:r>
      <w:r w:rsidRPr="00CE0885">
        <w:rPr>
          <w:spacing w:val="-8"/>
          <w:lang w:eastAsia="en-GB"/>
        </w:rPr>
        <w:t xml:space="preserve"> </w:t>
      </w:r>
      <w:r w:rsidRPr="00CE0885">
        <w:rPr>
          <w:spacing w:val="1"/>
          <w:lang w:eastAsia="en-GB"/>
        </w:rPr>
        <w:t>an</w:t>
      </w:r>
      <w:r w:rsidRPr="00CE0885">
        <w:rPr>
          <w:lang w:eastAsia="en-GB"/>
        </w:rPr>
        <w:t>y</w:t>
      </w:r>
      <w:r w:rsidRPr="00CE0885">
        <w:rPr>
          <w:spacing w:val="-6"/>
          <w:lang w:eastAsia="en-GB"/>
        </w:rPr>
        <w:t xml:space="preserve"> </w:t>
      </w:r>
      <w:r w:rsidRPr="00CE0885">
        <w:rPr>
          <w:spacing w:val="1"/>
          <w:lang w:eastAsia="en-GB"/>
        </w:rPr>
        <w:t>po</w:t>
      </w:r>
      <w:r w:rsidRPr="00CE0885">
        <w:rPr>
          <w:lang w:eastAsia="en-GB"/>
        </w:rPr>
        <w:t>ssi</w:t>
      </w:r>
      <w:r w:rsidRPr="00CE0885">
        <w:rPr>
          <w:spacing w:val="1"/>
          <w:lang w:eastAsia="en-GB"/>
        </w:rPr>
        <w:t>b</w:t>
      </w:r>
      <w:r w:rsidRPr="00CE0885">
        <w:rPr>
          <w:spacing w:val="-3"/>
          <w:lang w:eastAsia="en-GB"/>
        </w:rPr>
        <w:t>l</w:t>
      </w:r>
      <w:r w:rsidRPr="00CE0885">
        <w:rPr>
          <w:lang w:eastAsia="en-GB"/>
        </w:rPr>
        <w:t xml:space="preserve">e </w:t>
      </w:r>
      <w:r w:rsidRPr="00CE0885">
        <w:rPr>
          <w:spacing w:val="1"/>
          <w:lang w:eastAsia="en-GB"/>
        </w:rPr>
        <w:t>a</w:t>
      </w:r>
      <w:r w:rsidRPr="00CE0885">
        <w:rPr>
          <w:lang w:eastAsia="en-GB"/>
        </w:rPr>
        <w:t>l</w:t>
      </w:r>
      <w:r w:rsidRPr="00CE0885">
        <w:rPr>
          <w:spacing w:val="1"/>
          <w:lang w:eastAsia="en-GB"/>
        </w:rPr>
        <w:t>te</w:t>
      </w:r>
      <w:r w:rsidRPr="00CE0885">
        <w:rPr>
          <w:spacing w:val="-1"/>
          <w:lang w:eastAsia="en-GB"/>
        </w:rPr>
        <w:t>r</w:t>
      </w:r>
      <w:r w:rsidRPr="00CE0885">
        <w:rPr>
          <w:spacing w:val="1"/>
          <w:lang w:eastAsia="en-GB"/>
        </w:rPr>
        <w:t>nat</w:t>
      </w:r>
      <w:r w:rsidRPr="00CE0885">
        <w:rPr>
          <w:lang w:eastAsia="en-GB"/>
        </w:rPr>
        <w:t>i</w:t>
      </w:r>
      <w:r w:rsidRPr="00CE0885">
        <w:rPr>
          <w:spacing w:val="-2"/>
          <w:lang w:eastAsia="en-GB"/>
        </w:rPr>
        <w:t>v</w:t>
      </w:r>
      <w:r w:rsidRPr="00CE0885">
        <w:rPr>
          <w:spacing w:val="1"/>
          <w:lang w:eastAsia="en-GB"/>
        </w:rPr>
        <w:t>e</w:t>
      </w:r>
      <w:r w:rsidRPr="00CE0885">
        <w:rPr>
          <w:lang w:eastAsia="en-GB"/>
        </w:rPr>
        <w:t>s</w:t>
      </w:r>
      <w:r w:rsidRPr="00CE0885">
        <w:rPr>
          <w:spacing w:val="-12"/>
          <w:lang w:eastAsia="en-GB"/>
        </w:rPr>
        <w:t xml:space="preserve"> </w:t>
      </w:r>
      <w:r w:rsidRPr="00CE0885">
        <w:rPr>
          <w:spacing w:val="1"/>
          <w:lang w:eastAsia="en-GB"/>
        </w:rPr>
        <w:t>t</w:t>
      </w:r>
      <w:r w:rsidRPr="00CE0885">
        <w:rPr>
          <w:spacing w:val="-1"/>
          <w:lang w:eastAsia="en-GB"/>
        </w:rPr>
        <w:t>h</w:t>
      </w:r>
      <w:r w:rsidRPr="00CE0885">
        <w:rPr>
          <w:spacing w:val="1"/>
          <w:lang w:eastAsia="en-GB"/>
        </w:rPr>
        <w:t>a</w:t>
      </w:r>
      <w:r w:rsidRPr="00CE0885">
        <w:rPr>
          <w:lang w:eastAsia="en-GB"/>
        </w:rPr>
        <w:t>t</w:t>
      </w:r>
      <w:r w:rsidRPr="00CE0885">
        <w:rPr>
          <w:spacing w:val="-5"/>
          <w:lang w:eastAsia="en-GB"/>
        </w:rPr>
        <w:t xml:space="preserve"> </w:t>
      </w:r>
      <w:r w:rsidRPr="00CE0885">
        <w:rPr>
          <w:spacing w:val="2"/>
          <w:lang w:eastAsia="en-GB"/>
        </w:rPr>
        <w:t>m</w:t>
      </w:r>
      <w:r w:rsidRPr="00CE0885">
        <w:rPr>
          <w:spacing w:val="1"/>
          <w:lang w:eastAsia="en-GB"/>
        </w:rPr>
        <w:t>a</w:t>
      </w:r>
      <w:r w:rsidRPr="00CE0885">
        <w:rPr>
          <w:lang w:eastAsia="en-GB"/>
        </w:rPr>
        <w:t>y</w:t>
      </w:r>
      <w:r w:rsidRPr="00CE0885">
        <w:rPr>
          <w:spacing w:val="-7"/>
          <w:lang w:eastAsia="en-GB"/>
        </w:rPr>
        <w:t xml:space="preserve"> </w:t>
      </w:r>
      <w:r w:rsidRPr="00CE0885">
        <w:rPr>
          <w:spacing w:val="-1"/>
          <w:lang w:eastAsia="en-GB"/>
        </w:rPr>
        <w:t>b</w:t>
      </w:r>
      <w:r w:rsidRPr="00CE0885">
        <w:rPr>
          <w:lang w:eastAsia="en-GB"/>
        </w:rPr>
        <w:t>e</w:t>
      </w:r>
      <w:r w:rsidRPr="00CE0885">
        <w:rPr>
          <w:spacing w:val="-1"/>
          <w:lang w:eastAsia="en-GB"/>
        </w:rPr>
        <w:t xml:space="preserve"> </w:t>
      </w:r>
      <w:r w:rsidRPr="00CE0885">
        <w:rPr>
          <w:spacing w:val="1"/>
          <w:lang w:eastAsia="en-GB"/>
        </w:rPr>
        <w:t>a</w:t>
      </w:r>
      <w:r w:rsidRPr="00CE0885">
        <w:rPr>
          <w:spacing w:val="-1"/>
          <w:lang w:eastAsia="en-GB"/>
        </w:rPr>
        <w:t>gr</w:t>
      </w:r>
      <w:r w:rsidRPr="00CE0885">
        <w:rPr>
          <w:spacing w:val="1"/>
          <w:lang w:eastAsia="en-GB"/>
        </w:rPr>
        <w:t>ee</w:t>
      </w:r>
      <w:r w:rsidRPr="00CE0885">
        <w:rPr>
          <w:lang w:eastAsia="en-GB"/>
        </w:rPr>
        <w:t>d</w:t>
      </w:r>
      <w:r w:rsidRPr="00CE0885">
        <w:rPr>
          <w:spacing w:val="-8"/>
          <w:lang w:eastAsia="en-GB"/>
        </w:rPr>
        <w:t xml:space="preserve"> </w:t>
      </w:r>
      <w:r w:rsidRPr="00CE0885">
        <w:rPr>
          <w:spacing w:val="1"/>
          <w:lang w:eastAsia="en-GB"/>
        </w:rPr>
        <w:t>bet</w:t>
      </w:r>
      <w:r w:rsidRPr="00CE0885">
        <w:rPr>
          <w:spacing w:val="-3"/>
          <w:lang w:eastAsia="en-GB"/>
        </w:rPr>
        <w:t>w</w:t>
      </w:r>
      <w:r w:rsidRPr="00CE0885">
        <w:rPr>
          <w:spacing w:val="1"/>
          <w:lang w:eastAsia="en-GB"/>
        </w:rPr>
        <w:t>ee</w:t>
      </w:r>
      <w:r w:rsidRPr="00CE0885">
        <w:rPr>
          <w:lang w:eastAsia="en-GB"/>
        </w:rPr>
        <w:t>n</w:t>
      </w:r>
      <w:r w:rsidRPr="00CE0885">
        <w:rPr>
          <w:spacing w:val="-10"/>
          <w:lang w:eastAsia="en-GB"/>
        </w:rPr>
        <w:t xml:space="preserve"> </w:t>
      </w:r>
      <w:r w:rsidRPr="00CE0885">
        <w:rPr>
          <w:spacing w:val="1"/>
          <w:lang w:eastAsia="en-GB"/>
        </w:rPr>
        <w:t>th</w:t>
      </w:r>
      <w:r w:rsidRPr="00CE0885">
        <w:rPr>
          <w:spacing w:val="-1"/>
          <w:lang w:eastAsia="en-GB"/>
        </w:rPr>
        <w:t>e</w:t>
      </w:r>
      <w:r w:rsidRPr="00CE0885">
        <w:rPr>
          <w:spacing w:val="2"/>
          <w:lang w:eastAsia="en-GB"/>
        </w:rPr>
        <w:t>m</w:t>
      </w:r>
      <w:r w:rsidRPr="00CE0885">
        <w:rPr>
          <w:lang w:eastAsia="en-GB"/>
        </w:rPr>
        <w:t>.</w:t>
      </w:r>
      <w:bookmarkEnd w:id="821"/>
    </w:p>
    <w:p w14:paraId="14162B90" w14:textId="549E29D9" w:rsidR="00977693" w:rsidRPr="00CE0885" w:rsidRDefault="00977693" w:rsidP="00980A75">
      <w:pPr>
        <w:pStyle w:val="Heading3"/>
        <w:rPr>
          <w:lang w:eastAsia="en-GB"/>
        </w:rPr>
      </w:pPr>
      <w:bookmarkStart w:id="822" w:name="_Toc440981948"/>
      <w:r w:rsidRPr="00CE0885">
        <w:rPr>
          <w:spacing w:val="2"/>
          <w:lang w:eastAsia="en-GB"/>
        </w:rPr>
        <w:t>T</w:t>
      </w:r>
      <w:r w:rsidRPr="00CE0885">
        <w:rPr>
          <w:spacing w:val="-1"/>
          <w:lang w:eastAsia="en-GB"/>
        </w:rPr>
        <w:t>h</w:t>
      </w:r>
      <w:r w:rsidRPr="00CE0885">
        <w:rPr>
          <w:lang w:eastAsia="en-GB"/>
        </w:rPr>
        <w:t>e</w:t>
      </w:r>
      <w:r w:rsidRPr="00CE0885">
        <w:rPr>
          <w:spacing w:val="-2"/>
          <w:lang w:eastAsia="en-GB"/>
        </w:rPr>
        <w:t xml:space="preserve"> Commissioner</w:t>
      </w:r>
      <w:r w:rsidRPr="00CE0885">
        <w:rPr>
          <w:spacing w:val="-3"/>
          <w:lang w:eastAsia="en-GB"/>
        </w:rPr>
        <w:t xml:space="preserve"> </w:t>
      </w:r>
      <w:r w:rsidRPr="00CE0885">
        <w:rPr>
          <w:spacing w:val="1"/>
          <w:lang w:eastAsia="en-GB"/>
        </w:rPr>
        <w:t>an</w:t>
      </w:r>
      <w:r w:rsidRPr="00CE0885">
        <w:rPr>
          <w:lang w:eastAsia="en-GB"/>
        </w:rPr>
        <w:t>d</w:t>
      </w:r>
      <w:r w:rsidRPr="00CE0885">
        <w:rPr>
          <w:spacing w:val="-5"/>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spacing w:val="1"/>
          <w:lang w:eastAsia="en-GB"/>
        </w:rPr>
        <w:t>t</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to</w:t>
      </w:r>
      <w:r w:rsidRPr="00CE0885">
        <w:rPr>
          <w:spacing w:val="-1"/>
          <w:lang w:eastAsia="en-GB"/>
        </w:rPr>
        <w:t>r</w:t>
      </w:r>
      <w:r w:rsidRPr="00CE0885">
        <w:rPr>
          <w:lang w:eastAsia="en-GB"/>
        </w:rPr>
        <w:t>,</w:t>
      </w:r>
      <w:r w:rsidRPr="00CE0885">
        <w:rPr>
          <w:spacing w:val="-12"/>
          <w:lang w:eastAsia="en-GB"/>
        </w:rPr>
        <w:t xml:space="preserve"> </w:t>
      </w:r>
      <w:r w:rsidRPr="00CE0885">
        <w:rPr>
          <w:spacing w:val="1"/>
          <w:lang w:eastAsia="en-GB"/>
        </w:rPr>
        <w:t>th</w:t>
      </w:r>
      <w:r w:rsidRPr="00CE0885">
        <w:rPr>
          <w:spacing w:val="-1"/>
          <w:lang w:eastAsia="en-GB"/>
        </w:rPr>
        <w:t>r</w:t>
      </w:r>
      <w:r w:rsidRPr="00CE0885">
        <w:rPr>
          <w:spacing w:val="1"/>
          <w:lang w:eastAsia="en-GB"/>
        </w:rPr>
        <w:t>ou</w:t>
      </w:r>
      <w:r w:rsidRPr="00CE0885">
        <w:rPr>
          <w:spacing w:val="-1"/>
          <w:lang w:eastAsia="en-GB"/>
        </w:rPr>
        <w:t>g</w:t>
      </w:r>
      <w:r w:rsidRPr="00CE0885">
        <w:rPr>
          <w:lang w:eastAsia="en-GB"/>
        </w:rPr>
        <w:t>h</w:t>
      </w:r>
      <w:r w:rsidRPr="00CE0885">
        <w:rPr>
          <w:spacing w:val="-6"/>
          <w:lang w:eastAsia="en-GB"/>
        </w:rPr>
        <w:t xml:space="preserve"> </w:t>
      </w:r>
      <w:r w:rsidRPr="00CE0885">
        <w:rPr>
          <w:spacing w:val="-2"/>
          <w:lang w:eastAsia="en-GB"/>
        </w:rPr>
        <w:t>t</w:t>
      </w:r>
      <w:r w:rsidRPr="00CE0885">
        <w:rPr>
          <w:spacing w:val="1"/>
          <w:lang w:eastAsia="en-GB"/>
        </w:rPr>
        <w:t>he</w:t>
      </w:r>
      <w:r w:rsidRPr="00CE0885">
        <w:rPr>
          <w:lang w:eastAsia="en-GB"/>
        </w:rPr>
        <w:t>ir</w:t>
      </w:r>
      <w:r w:rsidRPr="00CE0885">
        <w:rPr>
          <w:spacing w:val="-5"/>
          <w:lang w:eastAsia="en-GB"/>
        </w:rPr>
        <w:t xml:space="preserve"> </w:t>
      </w:r>
      <w:r w:rsidRPr="00CE0885">
        <w:rPr>
          <w:spacing w:val="1"/>
          <w:lang w:eastAsia="en-GB"/>
        </w:rPr>
        <w:t>d</w:t>
      </w:r>
      <w:r w:rsidRPr="00CE0885">
        <w:rPr>
          <w:lang w:eastAsia="en-GB"/>
        </w:rPr>
        <w:t>i</w:t>
      </w:r>
      <w:r w:rsidRPr="00CE0885">
        <w:rPr>
          <w:spacing w:val="1"/>
          <w:lang w:eastAsia="en-GB"/>
        </w:rPr>
        <w:t>a</w:t>
      </w:r>
      <w:r w:rsidRPr="00CE0885">
        <w:rPr>
          <w:spacing w:val="-3"/>
          <w:lang w:eastAsia="en-GB"/>
        </w:rPr>
        <w:t>l</w:t>
      </w:r>
      <w:r w:rsidRPr="00CE0885">
        <w:rPr>
          <w:spacing w:val="1"/>
          <w:lang w:eastAsia="en-GB"/>
        </w:rPr>
        <w:t>o</w:t>
      </w:r>
      <w:r w:rsidRPr="00CE0885">
        <w:rPr>
          <w:spacing w:val="-1"/>
          <w:lang w:eastAsia="en-GB"/>
        </w:rPr>
        <w:t>g</w:t>
      </w:r>
      <w:r w:rsidRPr="00CE0885">
        <w:rPr>
          <w:spacing w:val="1"/>
          <w:lang w:eastAsia="en-GB"/>
        </w:rPr>
        <w:t>ue</w:t>
      </w:r>
      <w:r w:rsidRPr="00CE0885">
        <w:rPr>
          <w:lang w:eastAsia="en-GB"/>
        </w:rPr>
        <w:t>,</w:t>
      </w:r>
      <w:r w:rsidRPr="00CE0885">
        <w:rPr>
          <w:spacing w:val="-11"/>
          <w:lang w:eastAsia="en-GB"/>
        </w:rPr>
        <w:t xml:space="preserve"> </w:t>
      </w:r>
      <w:r w:rsidRPr="00CE0885">
        <w:rPr>
          <w:spacing w:val="2"/>
          <w:lang w:eastAsia="en-GB"/>
        </w:rPr>
        <w:t>m</w:t>
      </w:r>
      <w:r w:rsidRPr="00CE0885">
        <w:rPr>
          <w:spacing w:val="1"/>
          <w:lang w:eastAsia="en-GB"/>
        </w:rPr>
        <w:t>a</w:t>
      </w:r>
      <w:r w:rsidRPr="00CE0885">
        <w:rPr>
          <w:lang w:eastAsia="en-GB"/>
        </w:rPr>
        <w:t>y</w:t>
      </w:r>
      <w:r w:rsidRPr="00CE0885">
        <w:rPr>
          <w:spacing w:val="-7"/>
          <w:lang w:eastAsia="en-GB"/>
        </w:rPr>
        <w:t xml:space="preserve"> </w:t>
      </w:r>
      <w:r w:rsidRPr="00CE0885">
        <w:rPr>
          <w:spacing w:val="1"/>
          <w:lang w:eastAsia="en-GB"/>
        </w:rPr>
        <w:t>e</w:t>
      </w:r>
      <w:r w:rsidRPr="00CE0885">
        <w:rPr>
          <w:lang w:eastAsia="en-GB"/>
        </w:rPr>
        <w:t>s</w:t>
      </w:r>
      <w:r w:rsidRPr="00CE0885">
        <w:rPr>
          <w:spacing w:val="1"/>
          <w:lang w:eastAsia="en-GB"/>
        </w:rPr>
        <w:t>t</w:t>
      </w:r>
      <w:r w:rsidRPr="00CE0885">
        <w:rPr>
          <w:spacing w:val="-1"/>
          <w:lang w:eastAsia="en-GB"/>
        </w:rPr>
        <w:t>a</w:t>
      </w:r>
      <w:r w:rsidRPr="00CE0885">
        <w:rPr>
          <w:spacing w:val="1"/>
          <w:lang w:eastAsia="en-GB"/>
        </w:rPr>
        <w:t>b</w:t>
      </w:r>
      <w:r w:rsidRPr="00CE0885">
        <w:rPr>
          <w:lang w:eastAsia="en-GB"/>
        </w:rPr>
        <w:t>lish</w:t>
      </w:r>
      <w:r w:rsidRPr="00CE0885">
        <w:rPr>
          <w:spacing w:val="-7"/>
          <w:lang w:eastAsia="en-GB"/>
        </w:rPr>
        <w:t xml:space="preserve"> </w:t>
      </w:r>
      <w:r w:rsidRPr="00CE0885">
        <w:rPr>
          <w:spacing w:val="-2"/>
          <w:lang w:eastAsia="en-GB"/>
        </w:rPr>
        <w:t>t</w:t>
      </w:r>
      <w:r w:rsidRPr="00CE0885">
        <w:rPr>
          <w:spacing w:val="1"/>
          <w:lang w:eastAsia="en-GB"/>
        </w:rPr>
        <w:t>ha</w:t>
      </w:r>
      <w:r w:rsidRPr="00CE0885">
        <w:rPr>
          <w:lang w:eastAsia="en-GB"/>
        </w:rPr>
        <w:t>t</w:t>
      </w:r>
      <w:r w:rsidRPr="00CE0885">
        <w:rPr>
          <w:spacing w:val="-5"/>
          <w:lang w:eastAsia="en-GB"/>
        </w:rPr>
        <w:t xml:space="preserve"> </w:t>
      </w:r>
      <w:r w:rsidRPr="00CE0885">
        <w:rPr>
          <w:spacing w:val="1"/>
          <w:lang w:eastAsia="en-GB"/>
        </w:rPr>
        <w:t>th</w:t>
      </w:r>
      <w:r w:rsidRPr="00CE0885">
        <w:rPr>
          <w:spacing w:val="-1"/>
          <w:lang w:eastAsia="en-GB"/>
        </w:rPr>
        <w:t>er</w:t>
      </w:r>
      <w:r w:rsidRPr="00CE0885">
        <w:rPr>
          <w:lang w:eastAsia="en-GB"/>
        </w:rPr>
        <w:t>e is</w:t>
      </w:r>
      <w:r w:rsidRPr="00CE0885">
        <w:rPr>
          <w:spacing w:val="-2"/>
          <w:lang w:eastAsia="en-GB"/>
        </w:rPr>
        <w:t xml:space="preserve"> </w:t>
      </w:r>
      <w:r w:rsidRPr="00CE0885">
        <w:rPr>
          <w:lang w:eastAsia="en-GB"/>
        </w:rPr>
        <w:t>a</w:t>
      </w:r>
      <w:r w:rsidRPr="00CE0885">
        <w:rPr>
          <w:spacing w:val="1"/>
          <w:lang w:eastAsia="en-GB"/>
        </w:rPr>
        <w:t xml:space="preserve"> n</w:t>
      </w:r>
      <w:r w:rsidRPr="00CE0885">
        <w:rPr>
          <w:spacing w:val="-1"/>
          <w:lang w:eastAsia="en-GB"/>
        </w:rPr>
        <w:t>e</w:t>
      </w:r>
      <w:r w:rsidRPr="00CE0885">
        <w:rPr>
          <w:spacing w:val="1"/>
          <w:lang w:eastAsia="en-GB"/>
        </w:rPr>
        <w:t>e</w:t>
      </w:r>
      <w:r w:rsidRPr="00CE0885">
        <w:rPr>
          <w:lang w:eastAsia="en-GB"/>
        </w:rPr>
        <w:t>d</w:t>
      </w:r>
      <w:r w:rsidRPr="00CE0885">
        <w:rPr>
          <w:spacing w:val="-6"/>
          <w:lang w:eastAsia="en-GB"/>
        </w:rPr>
        <w:t xml:space="preserve"> </w:t>
      </w:r>
      <w:r w:rsidRPr="00CE0885">
        <w:rPr>
          <w:spacing w:val="1"/>
          <w:lang w:eastAsia="en-GB"/>
        </w:rPr>
        <w:t>t</w:t>
      </w:r>
      <w:r w:rsidRPr="00CE0885">
        <w:rPr>
          <w:lang w:eastAsia="en-GB"/>
        </w:rPr>
        <w:t xml:space="preserve">o </w:t>
      </w:r>
      <w:r w:rsidRPr="00CE0885">
        <w:rPr>
          <w:spacing w:val="-1"/>
          <w:lang w:eastAsia="en-GB"/>
        </w:rPr>
        <w:t>r</w:t>
      </w:r>
      <w:r w:rsidRPr="00CE0885">
        <w:rPr>
          <w:spacing w:val="1"/>
          <w:lang w:eastAsia="en-GB"/>
        </w:rPr>
        <w:t>e</w:t>
      </w:r>
      <w:r w:rsidRPr="00CE0885">
        <w:rPr>
          <w:spacing w:val="-2"/>
          <w:lang w:eastAsia="en-GB"/>
        </w:rPr>
        <w:t>t</w:t>
      </w:r>
      <w:r w:rsidRPr="00CE0885">
        <w:rPr>
          <w:spacing w:val="1"/>
          <w:lang w:eastAsia="en-GB"/>
        </w:rPr>
        <w:t>a</w:t>
      </w:r>
      <w:r w:rsidRPr="00CE0885">
        <w:rPr>
          <w:lang w:eastAsia="en-GB"/>
        </w:rPr>
        <w:t>in</w:t>
      </w:r>
      <w:r w:rsidRPr="00CE0885">
        <w:rPr>
          <w:spacing w:val="-7"/>
          <w:lang w:eastAsia="en-GB"/>
        </w:rPr>
        <w:t xml:space="preserve"> </w:t>
      </w:r>
      <w:r w:rsidRPr="00CE0885">
        <w:rPr>
          <w:spacing w:val="2"/>
          <w:lang w:eastAsia="en-GB"/>
        </w:rPr>
        <w:t>m</w:t>
      </w:r>
      <w:r w:rsidRPr="00CE0885">
        <w:rPr>
          <w:spacing w:val="-1"/>
          <w:lang w:eastAsia="en-GB"/>
        </w:rPr>
        <w:t>ed</w:t>
      </w:r>
      <w:r w:rsidRPr="00CE0885">
        <w:rPr>
          <w:lang w:eastAsia="en-GB"/>
        </w:rPr>
        <w:t>ic</w:t>
      </w:r>
      <w:r w:rsidRPr="00CE0885">
        <w:rPr>
          <w:spacing w:val="1"/>
          <w:lang w:eastAsia="en-GB"/>
        </w:rPr>
        <w:t>a</w:t>
      </w:r>
      <w:r w:rsidRPr="00CE0885">
        <w:rPr>
          <w:lang w:eastAsia="en-GB"/>
        </w:rPr>
        <w:t>l</w:t>
      </w:r>
      <w:r w:rsidRPr="00CE0885">
        <w:rPr>
          <w:spacing w:val="-8"/>
          <w:lang w:eastAsia="en-GB"/>
        </w:rPr>
        <w:t xml:space="preserve"> </w:t>
      </w:r>
      <w:r w:rsidRPr="00CE0885">
        <w:rPr>
          <w:lang w:eastAsia="en-GB"/>
        </w:rPr>
        <w:t>s</w:t>
      </w:r>
      <w:r w:rsidRPr="00CE0885">
        <w:rPr>
          <w:spacing w:val="1"/>
          <w:lang w:eastAsia="en-GB"/>
        </w:rPr>
        <w:t>e</w:t>
      </w:r>
      <w:r w:rsidRPr="00CE0885">
        <w:rPr>
          <w:spacing w:val="-1"/>
          <w:lang w:eastAsia="en-GB"/>
        </w:rPr>
        <w:t>r</w:t>
      </w:r>
      <w:r w:rsidRPr="00CE0885">
        <w:rPr>
          <w:spacing w:val="-2"/>
          <w:lang w:eastAsia="en-GB"/>
        </w:rPr>
        <w:t>v</w:t>
      </w:r>
      <w:r w:rsidRPr="00CE0885">
        <w:rPr>
          <w:lang w:eastAsia="en-GB"/>
        </w:rPr>
        <w:t>ice</w:t>
      </w:r>
      <w:r w:rsidRPr="00CE0885">
        <w:rPr>
          <w:spacing w:val="-6"/>
          <w:lang w:eastAsia="en-GB"/>
        </w:rPr>
        <w:t xml:space="preserve"> </w:t>
      </w:r>
      <w:r w:rsidRPr="00CE0885">
        <w:rPr>
          <w:spacing w:val="1"/>
          <w:lang w:eastAsia="en-GB"/>
        </w:rPr>
        <w:t>p</w:t>
      </w:r>
      <w:r w:rsidRPr="00CE0885">
        <w:rPr>
          <w:spacing w:val="-1"/>
          <w:lang w:eastAsia="en-GB"/>
        </w:rPr>
        <w:t>r</w:t>
      </w:r>
      <w:r w:rsidRPr="00CE0885">
        <w:rPr>
          <w:spacing w:val="1"/>
          <w:lang w:eastAsia="en-GB"/>
        </w:rPr>
        <w:t>o</w:t>
      </w:r>
      <w:r w:rsidRPr="00CE0885">
        <w:rPr>
          <w:spacing w:val="-2"/>
          <w:lang w:eastAsia="en-GB"/>
        </w:rPr>
        <w:t>v</w:t>
      </w:r>
      <w:r w:rsidRPr="00CE0885">
        <w:rPr>
          <w:lang w:eastAsia="en-GB"/>
        </w:rPr>
        <w:t>isi</w:t>
      </w:r>
      <w:r w:rsidRPr="00CE0885">
        <w:rPr>
          <w:spacing w:val="1"/>
          <w:lang w:eastAsia="en-GB"/>
        </w:rPr>
        <w:t>o</w:t>
      </w:r>
      <w:r w:rsidRPr="00CE0885">
        <w:rPr>
          <w:lang w:eastAsia="en-GB"/>
        </w:rPr>
        <w:t>n</w:t>
      </w:r>
      <w:r w:rsidRPr="00CE0885">
        <w:rPr>
          <w:spacing w:val="-8"/>
          <w:lang w:eastAsia="en-GB"/>
        </w:rPr>
        <w:t xml:space="preserve"> </w:t>
      </w:r>
      <w:r w:rsidRPr="00CE0885">
        <w:rPr>
          <w:spacing w:val="2"/>
          <w:lang w:eastAsia="en-GB"/>
        </w:rPr>
        <w:t>i</w:t>
      </w:r>
      <w:r w:rsidRPr="00CE0885">
        <w:rPr>
          <w:lang w:eastAsia="en-GB"/>
        </w:rPr>
        <w:t xml:space="preserve">n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l</w:t>
      </w:r>
      <w:r w:rsidRPr="00CE0885">
        <w:rPr>
          <w:spacing w:val="1"/>
          <w:lang w:eastAsia="en-GB"/>
        </w:rPr>
        <w:t>o</w:t>
      </w:r>
      <w:r w:rsidRPr="00CE0885">
        <w:rPr>
          <w:lang w:eastAsia="en-GB"/>
        </w:rPr>
        <w:t>c</w:t>
      </w:r>
      <w:r w:rsidRPr="00CE0885">
        <w:rPr>
          <w:spacing w:val="1"/>
          <w:lang w:eastAsia="en-GB"/>
        </w:rPr>
        <w:t>a</w:t>
      </w:r>
      <w:r w:rsidRPr="00CE0885">
        <w:rPr>
          <w:lang w:eastAsia="en-GB"/>
        </w:rPr>
        <w:t>li</w:t>
      </w:r>
      <w:r w:rsidRPr="00CE0885">
        <w:rPr>
          <w:spacing w:val="1"/>
          <w:lang w:eastAsia="en-GB"/>
        </w:rPr>
        <w:t>t</w:t>
      </w:r>
      <w:r w:rsidRPr="00CE0885">
        <w:rPr>
          <w:lang w:eastAsia="en-GB"/>
        </w:rPr>
        <w:t>y</w:t>
      </w:r>
      <w:r w:rsidRPr="00CE0885">
        <w:rPr>
          <w:spacing w:val="-9"/>
          <w:lang w:eastAsia="en-GB"/>
        </w:rPr>
        <w:t xml:space="preserve"> </w:t>
      </w:r>
      <w:r w:rsidRPr="00CE0885">
        <w:rPr>
          <w:spacing w:val="1"/>
          <w:lang w:eastAsia="en-GB"/>
        </w:rPr>
        <w:t>an</w:t>
      </w:r>
      <w:r w:rsidRPr="00CE0885">
        <w:rPr>
          <w:lang w:eastAsia="en-GB"/>
        </w:rPr>
        <w:t>d</w:t>
      </w:r>
      <w:r w:rsidRPr="00CE0885">
        <w:rPr>
          <w:spacing w:val="-5"/>
          <w:lang w:eastAsia="en-GB"/>
        </w:rPr>
        <w:t xml:space="preserve"> </w:t>
      </w:r>
      <w:r w:rsidRPr="00CE0885">
        <w:rPr>
          <w:spacing w:val="-1"/>
          <w:w w:val="99"/>
          <w:lang w:eastAsia="en-GB"/>
        </w:rPr>
        <w:t>m</w:t>
      </w:r>
      <w:r w:rsidRPr="00CE0885">
        <w:rPr>
          <w:spacing w:val="1"/>
          <w:w w:val="99"/>
          <w:lang w:eastAsia="en-GB"/>
        </w:rPr>
        <w:t>u</w:t>
      </w:r>
      <w:r w:rsidRPr="00CE0885">
        <w:rPr>
          <w:w w:val="99"/>
          <w:lang w:eastAsia="en-GB"/>
        </w:rPr>
        <w:t>st s</w:t>
      </w:r>
      <w:r w:rsidRPr="00CE0885">
        <w:rPr>
          <w:spacing w:val="1"/>
          <w:w w:val="99"/>
          <w:lang w:eastAsia="en-GB"/>
        </w:rPr>
        <w:t>ee</w:t>
      </w:r>
      <w:r w:rsidRPr="00CE0885">
        <w:rPr>
          <w:w w:val="99"/>
          <w:lang w:eastAsia="en-GB"/>
        </w:rPr>
        <w:t>k</w:t>
      </w:r>
      <w:r w:rsidRPr="00CE0885">
        <w:rPr>
          <w:lang w:eastAsia="en-GB"/>
        </w:rPr>
        <w:t xml:space="preserve"> </w:t>
      </w:r>
      <w:r w:rsidRPr="00CE0885">
        <w:rPr>
          <w:spacing w:val="-2"/>
          <w:lang w:eastAsia="en-GB"/>
        </w:rPr>
        <w:t>t</w:t>
      </w:r>
      <w:r w:rsidRPr="00CE0885">
        <w:rPr>
          <w:lang w:eastAsia="en-GB"/>
        </w:rPr>
        <w:t>o</w:t>
      </w:r>
      <w:r w:rsidRPr="00CE0885">
        <w:rPr>
          <w:spacing w:val="-3"/>
          <w:lang w:eastAsia="en-GB"/>
        </w:rPr>
        <w:t xml:space="preserve"> </w:t>
      </w:r>
      <w:r w:rsidRPr="00CE0885">
        <w:rPr>
          <w:spacing w:val="3"/>
          <w:lang w:eastAsia="en-GB"/>
        </w:rPr>
        <w:t>f</w:t>
      </w:r>
      <w:r w:rsidRPr="00CE0885">
        <w:rPr>
          <w:lang w:eastAsia="en-GB"/>
        </w:rPr>
        <w:t>i</w:t>
      </w:r>
      <w:r w:rsidRPr="00CE0885">
        <w:rPr>
          <w:spacing w:val="-1"/>
          <w:lang w:eastAsia="en-GB"/>
        </w:rPr>
        <w:t>n</w:t>
      </w:r>
      <w:r w:rsidRPr="00CE0885">
        <w:rPr>
          <w:lang w:eastAsia="en-GB"/>
        </w:rPr>
        <w:t>d</w:t>
      </w:r>
      <w:r w:rsidRPr="00CE0885">
        <w:rPr>
          <w:spacing w:val="-2"/>
          <w:lang w:eastAsia="en-GB"/>
        </w:rPr>
        <w:t xml:space="preserve"> </w:t>
      </w:r>
      <w:r w:rsidRPr="00CE0885">
        <w:rPr>
          <w:lang w:eastAsia="en-GB"/>
        </w:rPr>
        <w:t>a</w:t>
      </w:r>
      <w:r w:rsidRPr="00CE0885">
        <w:rPr>
          <w:spacing w:val="1"/>
          <w:lang w:eastAsia="en-GB"/>
        </w:rPr>
        <w:t xml:space="preserve"> </w:t>
      </w:r>
      <w:r w:rsidRPr="00CE0885">
        <w:rPr>
          <w:spacing w:val="-2"/>
          <w:lang w:eastAsia="en-GB"/>
        </w:rPr>
        <w:t>s</w:t>
      </w:r>
      <w:r w:rsidRPr="00CE0885">
        <w:rPr>
          <w:spacing w:val="1"/>
          <w:lang w:eastAsia="en-GB"/>
        </w:rPr>
        <w:t>o</w:t>
      </w:r>
      <w:r w:rsidRPr="00CE0885">
        <w:rPr>
          <w:lang w:eastAsia="en-GB"/>
        </w:rPr>
        <w:t>l</w:t>
      </w:r>
      <w:r w:rsidRPr="00CE0885">
        <w:rPr>
          <w:spacing w:val="1"/>
          <w:lang w:eastAsia="en-GB"/>
        </w:rPr>
        <w:t>ut</w:t>
      </w:r>
      <w:r w:rsidRPr="00CE0885">
        <w:rPr>
          <w:lang w:eastAsia="en-GB"/>
        </w:rPr>
        <w:t>i</w:t>
      </w:r>
      <w:r w:rsidRPr="00CE0885">
        <w:rPr>
          <w:spacing w:val="-1"/>
          <w:lang w:eastAsia="en-GB"/>
        </w:rPr>
        <w:t>o</w:t>
      </w:r>
      <w:r w:rsidRPr="00CE0885">
        <w:rPr>
          <w:spacing w:val="1"/>
          <w:lang w:eastAsia="en-GB"/>
        </w:rPr>
        <w:t>n</w:t>
      </w:r>
      <w:r w:rsidRPr="00CE0885">
        <w:rPr>
          <w:lang w:eastAsia="en-GB"/>
        </w:rPr>
        <w:t>,</w:t>
      </w:r>
      <w:r w:rsidRPr="00CE0885">
        <w:rPr>
          <w:spacing w:val="-10"/>
          <w:lang w:eastAsia="en-GB"/>
        </w:rPr>
        <w:t xml:space="preserve"> </w:t>
      </w:r>
      <w:r w:rsidRPr="00CE0885">
        <w:rPr>
          <w:spacing w:val="-3"/>
          <w:lang w:eastAsia="en-GB"/>
        </w:rPr>
        <w:t>w</w:t>
      </w:r>
      <w:r w:rsidRPr="00CE0885">
        <w:rPr>
          <w:spacing w:val="1"/>
          <w:lang w:eastAsia="en-GB"/>
        </w:rPr>
        <w:t>h</w:t>
      </w:r>
      <w:r w:rsidRPr="00CE0885">
        <w:rPr>
          <w:lang w:eastAsia="en-GB"/>
        </w:rPr>
        <w:t>ich</w:t>
      </w:r>
      <w:r w:rsidRPr="00CE0885">
        <w:rPr>
          <w:spacing w:val="-4"/>
          <w:lang w:eastAsia="en-GB"/>
        </w:rPr>
        <w:t xml:space="preserve"> </w:t>
      </w:r>
      <w:r w:rsidRPr="00CE0885">
        <w:rPr>
          <w:lang w:eastAsia="en-GB"/>
        </w:rPr>
        <w:t>c</w:t>
      </w:r>
      <w:r w:rsidRPr="00CE0885">
        <w:rPr>
          <w:spacing w:val="1"/>
          <w:lang w:eastAsia="en-GB"/>
        </w:rPr>
        <w:t>ou</w:t>
      </w:r>
      <w:r w:rsidRPr="00CE0885">
        <w:rPr>
          <w:lang w:eastAsia="en-GB"/>
        </w:rPr>
        <w:t>ld</w:t>
      </w:r>
      <w:r w:rsidRPr="00CE0885">
        <w:rPr>
          <w:spacing w:val="-4"/>
          <w:lang w:eastAsia="en-GB"/>
        </w:rPr>
        <w:t xml:space="preserve"> </w:t>
      </w:r>
      <w:r w:rsidRPr="00CE0885">
        <w:rPr>
          <w:lang w:eastAsia="en-GB"/>
        </w:rPr>
        <w:t>i</w:t>
      </w:r>
      <w:r w:rsidRPr="00CE0885">
        <w:rPr>
          <w:spacing w:val="1"/>
          <w:lang w:eastAsia="en-GB"/>
        </w:rPr>
        <w:t>n</w:t>
      </w:r>
      <w:r w:rsidRPr="00CE0885">
        <w:rPr>
          <w:lang w:eastAsia="en-GB"/>
        </w:rPr>
        <w:t>cl</w:t>
      </w:r>
      <w:r w:rsidRPr="00CE0885">
        <w:rPr>
          <w:spacing w:val="1"/>
          <w:lang w:eastAsia="en-GB"/>
        </w:rPr>
        <w:t>u</w:t>
      </w:r>
      <w:r w:rsidRPr="00CE0885">
        <w:rPr>
          <w:spacing w:val="-1"/>
          <w:lang w:eastAsia="en-GB"/>
        </w:rPr>
        <w:t>d</w:t>
      </w:r>
      <w:r w:rsidRPr="00CE0885">
        <w:rPr>
          <w:lang w:eastAsia="en-GB"/>
        </w:rPr>
        <w:t>e</w:t>
      </w:r>
      <w:r w:rsidRPr="00CE0885">
        <w:rPr>
          <w:spacing w:val="-6"/>
          <w:lang w:eastAsia="en-GB"/>
        </w:rPr>
        <w:t xml:space="preserve"> </w:t>
      </w:r>
      <w:r w:rsidRPr="00CE0885">
        <w:rPr>
          <w:spacing w:val="-2"/>
          <w:lang w:eastAsia="en-GB"/>
        </w:rPr>
        <w:t>t</w:t>
      </w:r>
      <w:r w:rsidRPr="00CE0885">
        <w:rPr>
          <w:spacing w:val="-1"/>
          <w:lang w:eastAsia="en-GB"/>
        </w:rPr>
        <w:t>e</w:t>
      </w:r>
      <w:r w:rsidRPr="00CE0885">
        <w:rPr>
          <w:spacing w:val="1"/>
          <w:lang w:eastAsia="en-GB"/>
        </w:rPr>
        <w:t>nde</w:t>
      </w:r>
      <w:r w:rsidRPr="00CE0885">
        <w:rPr>
          <w:spacing w:val="-1"/>
          <w:lang w:eastAsia="en-GB"/>
        </w:rPr>
        <w:t>r</w:t>
      </w:r>
      <w:r w:rsidRPr="00CE0885">
        <w:rPr>
          <w:lang w:eastAsia="en-GB"/>
        </w:rPr>
        <w:t>i</w:t>
      </w:r>
      <w:r w:rsidRPr="00CE0885">
        <w:rPr>
          <w:spacing w:val="1"/>
          <w:lang w:eastAsia="en-GB"/>
        </w:rPr>
        <w:t>n</w:t>
      </w:r>
      <w:r w:rsidRPr="00CE0885">
        <w:rPr>
          <w:lang w:eastAsia="en-GB"/>
        </w:rPr>
        <w:t>g</w:t>
      </w:r>
      <w:r w:rsidRPr="00CE0885">
        <w:rPr>
          <w:spacing w:val="-13"/>
          <w:lang w:eastAsia="en-GB"/>
        </w:rPr>
        <w:t xml:space="preserve"> </w:t>
      </w:r>
      <w:r w:rsidRPr="00CE0885">
        <w:rPr>
          <w:spacing w:val="3"/>
          <w:lang w:eastAsia="en-GB"/>
        </w:rPr>
        <w:t>f</w:t>
      </w:r>
      <w:r w:rsidRPr="00CE0885">
        <w:rPr>
          <w:spacing w:val="1"/>
          <w:lang w:eastAsia="en-GB"/>
        </w:rPr>
        <w:t>o</w:t>
      </w:r>
      <w:r w:rsidRPr="00CE0885">
        <w:rPr>
          <w:lang w:eastAsia="en-GB"/>
        </w:rPr>
        <w:t>r</w:t>
      </w:r>
      <w:r w:rsidRPr="00CE0885">
        <w:rPr>
          <w:spacing w:val="-3"/>
          <w:lang w:eastAsia="en-GB"/>
        </w:rPr>
        <w:t xml:space="preserve"> </w:t>
      </w:r>
      <w:r w:rsidRPr="00CE0885">
        <w:rPr>
          <w:lang w:eastAsia="en-GB"/>
        </w:rPr>
        <w:t>a</w:t>
      </w:r>
      <w:r w:rsidRPr="00CE0885">
        <w:rPr>
          <w:spacing w:val="-2"/>
          <w:lang w:eastAsia="en-GB"/>
        </w:rPr>
        <w:t xml:space="preserve"> </w:t>
      </w:r>
      <w:r w:rsidRPr="00CE0885">
        <w:rPr>
          <w:spacing w:val="1"/>
          <w:lang w:eastAsia="en-GB"/>
        </w:rPr>
        <w:t>ne</w:t>
      </w:r>
      <w:r w:rsidRPr="00CE0885">
        <w:rPr>
          <w:lang w:eastAsia="en-GB"/>
        </w:rPr>
        <w:t>w</w:t>
      </w:r>
      <w:r w:rsidRPr="00CE0885">
        <w:rPr>
          <w:spacing w:val="-6"/>
          <w:lang w:eastAsia="en-GB"/>
        </w:rPr>
        <w:t xml:space="preserve"> </w:t>
      </w:r>
      <w:r w:rsidRPr="00CE0885">
        <w:rPr>
          <w:spacing w:val="1"/>
          <w:lang w:eastAsia="en-GB"/>
        </w:rPr>
        <w:t>p</w:t>
      </w:r>
      <w:r w:rsidRPr="00CE0885">
        <w:rPr>
          <w:spacing w:val="-1"/>
          <w:lang w:eastAsia="en-GB"/>
        </w:rPr>
        <w:t>r</w:t>
      </w:r>
      <w:r w:rsidRPr="00CE0885">
        <w:rPr>
          <w:spacing w:val="1"/>
          <w:lang w:eastAsia="en-GB"/>
        </w:rPr>
        <w:t>o</w:t>
      </w:r>
      <w:r w:rsidRPr="00CE0885">
        <w:rPr>
          <w:spacing w:val="-2"/>
          <w:lang w:eastAsia="en-GB"/>
        </w:rPr>
        <w:t>v</w:t>
      </w:r>
      <w:r w:rsidRPr="00CE0885">
        <w:rPr>
          <w:lang w:eastAsia="en-GB"/>
        </w:rPr>
        <w:t>i</w:t>
      </w:r>
      <w:r w:rsidRPr="00CE0885">
        <w:rPr>
          <w:spacing w:val="1"/>
          <w:lang w:eastAsia="en-GB"/>
        </w:rPr>
        <w:t>de</w:t>
      </w:r>
      <w:r w:rsidRPr="00CE0885">
        <w:rPr>
          <w:lang w:eastAsia="en-GB"/>
        </w:rPr>
        <w:t xml:space="preserve">r </w:t>
      </w:r>
      <w:r w:rsidRPr="00CE0885">
        <w:rPr>
          <w:spacing w:val="-3"/>
          <w:lang w:eastAsia="en-GB"/>
        </w:rPr>
        <w:t>w</w:t>
      </w:r>
      <w:r w:rsidRPr="00CE0885">
        <w:rPr>
          <w:lang w:eastAsia="en-GB"/>
        </w:rPr>
        <w:t>i</w:t>
      </w:r>
      <w:r w:rsidRPr="00CE0885">
        <w:rPr>
          <w:spacing w:val="1"/>
          <w:lang w:eastAsia="en-GB"/>
        </w:rPr>
        <w:t>th</w:t>
      </w:r>
      <w:r w:rsidRPr="00CE0885">
        <w:rPr>
          <w:lang w:eastAsia="en-GB"/>
        </w:rPr>
        <w:t>in</w:t>
      </w:r>
      <w:r w:rsidRPr="00CE0885">
        <w:rPr>
          <w:spacing w:val="-4"/>
          <w:lang w:eastAsia="en-GB"/>
        </w:rPr>
        <w:t xml:space="preserve"> </w:t>
      </w:r>
      <w:r w:rsidRPr="00CE0885">
        <w:rPr>
          <w:spacing w:val="1"/>
          <w:lang w:eastAsia="en-GB"/>
        </w:rPr>
        <w:t>tha</w:t>
      </w:r>
      <w:r w:rsidRPr="00CE0885">
        <w:rPr>
          <w:lang w:eastAsia="en-GB"/>
        </w:rPr>
        <w:t>t</w:t>
      </w:r>
      <w:r w:rsidRPr="00CE0885">
        <w:rPr>
          <w:spacing w:val="-3"/>
          <w:lang w:eastAsia="en-GB"/>
        </w:rPr>
        <w:t xml:space="preserve"> </w:t>
      </w:r>
      <w:r w:rsidRPr="00CE0885">
        <w:rPr>
          <w:lang w:eastAsia="en-GB"/>
        </w:rPr>
        <w:t>l</w:t>
      </w:r>
      <w:r w:rsidRPr="00CE0885">
        <w:rPr>
          <w:spacing w:val="1"/>
          <w:lang w:eastAsia="en-GB"/>
        </w:rPr>
        <w:t>o</w:t>
      </w:r>
      <w:r w:rsidRPr="00CE0885">
        <w:rPr>
          <w:lang w:eastAsia="en-GB"/>
        </w:rPr>
        <w:t>c</w:t>
      </w:r>
      <w:r w:rsidRPr="00CE0885">
        <w:rPr>
          <w:spacing w:val="1"/>
          <w:lang w:eastAsia="en-GB"/>
        </w:rPr>
        <w:t>a</w:t>
      </w:r>
      <w:r w:rsidRPr="00CE0885">
        <w:rPr>
          <w:lang w:eastAsia="en-GB"/>
        </w:rPr>
        <w:t>li</w:t>
      </w:r>
      <w:r w:rsidRPr="00CE0885">
        <w:rPr>
          <w:spacing w:val="1"/>
          <w:lang w:eastAsia="en-GB"/>
        </w:rPr>
        <w:t>t</w:t>
      </w:r>
      <w:r w:rsidRPr="00CE0885">
        <w:rPr>
          <w:spacing w:val="-2"/>
          <w:lang w:eastAsia="en-GB"/>
        </w:rPr>
        <w:t>y</w:t>
      </w:r>
      <w:r w:rsidRPr="00CE0885">
        <w:rPr>
          <w:lang w:eastAsia="en-GB"/>
        </w:rPr>
        <w:t>,</w:t>
      </w:r>
      <w:r w:rsidRPr="00CE0885">
        <w:rPr>
          <w:spacing w:val="-7"/>
          <w:lang w:eastAsia="en-GB"/>
        </w:rPr>
        <w:t xml:space="preserve"> </w:t>
      </w:r>
      <w:r w:rsidRPr="00CE0885">
        <w:rPr>
          <w:spacing w:val="1"/>
          <w:lang w:eastAsia="en-GB"/>
        </w:rPr>
        <w:t>t</w:t>
      </w:r>
      <w:r w:rsidRPr="00CE0885">
        <w:rPr>
          <w:spacing w:val="-1"/>
          <w:lang w:eastAsia="en-GB"/>
        </w:rPr>
        <w:t>ho</w:t>
      </w:r>
      <w:r w:rsidRPr="00CE0885">
        <w:rPr>
          <w:spacing w:val="1"/>
          <w:lang w:eastAsia="en-GB"/>
        </w:rPr>
        <w:t>u</w:t>
      </w:r>
      <w:r w:rsidRPr="00CE0885">
        <w:rPr>
          <w:spacing w:val="-1"/>
          <w:lang w:eastAsia="en-GB"/>
        </w:rPr>
        <w:t>g</w:t>
      </w:r>
      <w:r w:rsidRPr="00CE0885">
        <w:rPr>
          <w:lang w:eastAsia="en-GB"/>
        </w:rPr>
        <w:t>h</w:t>
      </w:r>
      <w:r w:rsidRPr="00CE0885">
        <w:rPr>
          <w:spacing w:val="-5"/>
          <w:lang w:eastAsia="en-GB"/>
        </w:rPr>
        <w:t xml:space="preserve"> </w:t>
      </w:r>
      <w:r w:rsidRPr="00CE0885">
        <w:rPr>
          <w:spacing w:val="1"/>
          <w:lang w:eastAsia="en-GB"/>
        </w:rPr>
        <w:t>no</w:t>
      </w:r>
      <w:r w:rsidRPr="00CE0885">
        <w:rPr>
          <w:lang w:eastAsia="en-GB"/>
        </w:rPr>
        <w:t>t</w:t>
      </w:r>
      <w:r w:rsidRPr="00CE0885">
        <w:rPr>
          <w:spacing w:val="-4"/>
          <w:lang w:eastAsia="en-GB"/>
        </w:rPr>
        <w:t xml:space="preserve"> </w:t>
      </w:r>
      <w:r w:rsidRPr="00CE0885">
        <w:rPr>
          <w:spacing w:val="1"/>
          <w:lang w:eastAsia="en-GB"/>
        </w:rPr>
        <w:t>ne</w:t>
      </w:r>
      <w:r w:rsidRPr="00CE0885">
        <w:rPr>
          <w:spacing w:val="-2"/>
          <w:lang w:eastAsia="en-GB"/>
        </w:rPr>
        <w:t>c</w:t>
      </w:r>
      <w:r w:rsidRPr="00CE0885">
        <w:rPr>
          <w:spacing w:val="1"/>
          <w:lang w:eastAsia="en-GB"/>
        </w:rPr>
        <w:t>e</w:t>
      </w:r>
      <w:r w:rsidRPr="00CE0885">
        <w:rPr>
          <w:lang w:eastAsia="en-GB"/>
        </w:rPr>
        <w:t>ss</w:t>
      </w:r>
      <w:r w:rsidRPr="00CE0885">
        <w:rPr>
          <w:spacing w:val="1"/>
          <w:lang w:eastAsia="en-GB"/>
        </w:rPr>
        <w:t>a</w:t>
      </w:r>
      <w:r w:rsidRPr="00CE0885">
        <w:rPr>
          <w:spacing w:val="-1"/>
          <w:lang w:eastAsia="en-GB"/>
        </w:rPr>
        <w:t>r</w:t>
      </w:r>
      <w:r w:rsidRPr="00CE0885">
        <w:rPr>
          <w:lang w:eastAsia="en-GB"/>
        </w:rPr>
        <w:t>ily</w:t>
      </w:r>
      <w:r w:rsidRPr="00CE0885">
        <w:rPr>
          <w:spacing w:val="-12"/>
          <w:lang w:eastAsia="en-GB"/>
        </w:rPr>
        <w:t xml:space="preserve"> </w:t>
      </w:r>
      <w:r w:rsidRPr="00CE0885">
        <w:rPr>
          <w:spacing w:val="-3"/>
          <w:lang w:eastAsia="en-GB"/>
        </w:rPr>
        <w:t>w</w:t>
      </w:r>
      <w:r w:rsidRPr="00CE0885">
        <w:rPr>
          <w:lang w:eastAsia="en-GB"/>
        </w:rPr>
        <w:t>i</w:t>
      </w:r>
      <w:r w:rsidRPr="00CE0885">
        <w:rPr>
          <w:spacing w:val="3"/>
          <w:lang w:eastAsia="en-GB"/>
        </w:rPr>
        <w:t>t</w:t>
      </w:r>
      <w:r w:rsidRPr="00CE0885">
        <w:rPr>
          <w:spacing w:val="1"/>
          <w:lang w:eastAsia="en-GB"/>
        </w:rPr>
        <w:t>h</w:t>
      </w:r>
      <w:r w:rsidRPr="00CE0885">
        <w:rPr>
          <w:lang w:eastAsia="en-GB"/>
        </w:rPr>
        <w:t>in</w:t>
      </w:r>
      <w:r w:rsidRPr="00CE0885">
        <w:rPr>
          <w:spacing w:val="-4"/>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s</w:t>
      </w:r>
      <w:r w:rsidRPr="00CE0885">
        <w:rPr>
          <w:spacing w:val="-1"/>
          <w:lang w:eastAsia="en-GB"/>
        </w:rPr>
        <w:t>a</w:t>
      </w:r>
      <w:r w:rsidRPr="00CE0885">
        <w:rPr>
          <w:spacing w:val="2"/>
          <w:lang w:eastAsia="en-GB"/>
        </w:rPr>
        <w:t>m</w:t>
      </w:r>
      <w:r w:rsidRPr="00CE0885">
        <w:rPr>
          <w:lang w:eastAsia="en-GB"/>
        </w:rPr>
        <w:t>e</w:t>
      </w:r>
      <w:r w:rsidRPr="00CE0885">
        <w:rPr>
          <w:spacing w:val="-7"/>
          <w:lang w:eastAsia="en-GB"/>
        </w:rPr>
        <w:t xml:space="preserve"> </w:t>
      </w:r>
      <w:r w:rsidRPr="00CE0885">
        <w:rPr>
          <w:spacing w:val="1"/>
          <w:lang w:eastAsia="en-GB"/>
        </w:rPr>
        <w:t>p</w:t>
      </w:r>
      <w:r w:rsidRPr="00CE0885">
        <w:rPr>
          <w:spacing w:val="-1"/>
          <w:lang w:eastAsia="en-GB"/>
        </w:rPr>
        <w:t>re</w:t>
      </w:r>
      <w:r w:rsidRPr="00CE0885">
        <w:rPr>
          <w:spacing w:val="2"/>
          <w:lang w:eastAsia="en-GB"/>
        </w:rPr>
        <w:t>m</w:t>
      </w:r>
      <w:r w:rsidRPr="00CE0885">
        <w:rPr>
          <w:lang w:eastAsia="en-GB"/>
        </w:rPr>
        <w:t>is</w:t>
      </w:r>
      <w:r w:rsidRPr="00CE0885">
        <w:rPr>
          <w:spacing w:val="1"/>
          <w:lang w:eastAsia="en-GB"/>
        </w:rPr>
        <w:t>e</w:t>
      </w:r>
      <w:r w:rsidRPr="00CE0885">
        <w:rPr>
          <w:spacing w:val="-2"/>
          <w:lang w:eastAsia="en-GB"/>
        </w:rPr>
        <w:t>s</w:t>
      </w:r>
      <w:r w:rsidRPr="00CE0885">
        <w:rPr>
          <w:lang w:eastAsia="en-GB"/>
        </w:rPr>
        <w:t>.</w:t>
      </w:r>
      <w:bookmarkEnd w:id="822"/>
    </w:p>
    <w:p w14:paraId="3191ED62" w14:textId="33B450DB" w:rsidR="00977693" w:rsidRPr="00CE0885" w:rsidRDefault="00977693" w:rsidP="002025D6">
      <w:pPr>
        <w:pStyle w:val="Heading3"/>
        <w:rPr>
          <w:lang w:eastAsia="en-GB"/>
        </w:rPr>
      </w:pPr>
      <w:bookmarkStart w:id="823" w:name="_Toc440981949"/>
      <w:r w:rsidRPr="00CE0885">
        <w:rPr>
          <w:lang w:eastAsia="en-GB"/>
        </w:rPr>
        <w:t>Once,</w:t>
      </w:r>
      <w:r w:rsidRPr="00CE0885">
        <w:rPr>
          <w:spacing w:val="-7"/>
          <w:lang w:eastAsia="en-GB"/>
        </w:rPr>
        <w:t xml:space="preserve"> </w:t>
      </w:r>
      <w:r w:rsidRPr="00CE0885">
        <w:rPr>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spacing w:val="-3"/>
          <w:lang w:eastAsia="en-GB"/>
        </w:rPr>
        <w:t>i</w:t>
      </w:r>
      <w:r w:rsidRPr="00CE0885">
        <w:rPr>
          <w:spacing w:val="3"/>
          <w:lang w:eastAsia="en-GB"/>
        </w:rPr>
        <w:t>f</w:t>
      </w:r>
      <w:r w:rsidRPr="00CE0885">
        <w:rPr>
          <w:lang w:eastAsia="en-GB"/>
        </w:rPr>
        <w:t>,</w:t>
      </w:r>
      <w:r w:rsidRPr="00CE0885">
        <w:rPr>
          <w:spacing w:val="-1"/>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spacing w:val="3"/>
          <w:lang w:eastAsia="en-GB"/>
        </w:rPr>
        <w:t>f</w:t>
      </w:r>
      <w:r w:rsidRPr="00CE0885">
        <w:rPr>
          <w:spacing w:val="-3"/>
          <w:lang w:eastAsia="en-GB"/>
        </w:rPr>
        <w:t>i</w:t>
      </w:r>
      <w:r w:rsidRPr="00CE0885">
        <w:rPr>
          <w:lang w:eastAsia="en-GB"/>
        </w:rPr>
        <w:t>nal</w:t>
      </w:r>
      <w:r w:rsidRPr="00CE0885">
        <w:rPr>
          <w:spacing w:val="-6"/>
          <w:lang w:eastAsia="en-GB"/>
        </w:rPr>
        <w:t xml:space="preserve"> </w:t>
      </w:r>
      <w:r w:rsidRPr="00CE0885">
        <w:rPr>
          <w:lang w:eastAsia="en-GB"/>
        </w:rPr>
        <w:t>date</w:t>
      </w:r>
      <w:r w:rsidRPr="00CE0885">
        <w:rPr>
          <w:spacing w:val="-8"/>
          <w:lang w:eastAsia="en-GB"/>
        </w:rPr>
        <w:t xml:space="preserve"> </w:t>
      </w:r>
      <w:r w:rsidRPr="00CE0885">
        <w:rPr>
          <w:spacing w:val="3"/>
          <w:lang w:eastAsia="en-GB"/>
        </w:rPr>
        <w:t>f</w:t>
      </w:r>
      <w:r w:rsidRPr="00CE0885">
        <w:rPr>
          <w:lang w:eastAsia="en-GB"/>
        </w:rPr>
        <w:t>or</w:t>
      </w:r>
      <w:r w:rsidRPr="00CE0885">
        <w:rPr>
          <w:spacing w:val="-3"/>
          <w:lang w:eastAsia="en-GB"/>
        </w:rPr>
        <w:t xml:space="preserve"> </w:t>
      </w:r>
      <w:r w:rsidRPr="00CE0885">
        <w:rPr>
          <w:lang w:eastAsia="en-GB"/>
        </w:rPr>
        <w:t>clo</w:t>
      </w:r>
      <w:r w:rsidRPr="00CE0885">
        <w:rPr>
          <w:spacing w:val="-2"/>
          <w:lang w:eastAsia="en-GB"/>
        </w:rPr>
        <w:t>s</w:t>
      </w:r>
      <w:r w:rsidRPr="00CE0885">
        <w:rPr>
          <w:lang w:eastAsia="en-GB"/>
        </w:rPr>
        <w:t>u</w:t>
      </w:r>
      <w:r w:rsidRPr="00CE0885">
        <w:rPr>
          <w:spacing w:val="-1"/>
          <w:lang w:eastAsia="en-GB"/>
        </w:rPr>
        <w:t>r</w:t>
      </w:r>
      <w:r w:rsidRPr="00CE0885">
        <w:rPr>
          <w:lang w:eastAsia="en-GB"/>
        </w:rPr>
        <w:t>e</w:t>
      </w:r>
      <w:r w:rsidRPr="00CE0885">
        <w:rPr>
          <w:spacing w:val="-6"/>
          <w:lang w:eastAsia="en-GB"/>
        </w:rPr>
        <w:t xml:space="preserve"> </w:t>
      </w:r>
      <w:r w:rsidRPr="00CE0885">
        <w:rPr>
          <w:lang w:eastAsia="en-GB"/>
        </w:rPr>
        <w:t>is</w:t>
      </w:r>
      <w:r w:rsidRPr="00CE0885">
        <w:rPr>
          <w:spacing w:val="-2"/>
          <w:lang w:eastAsia="en-GB"/>
        </w:rPr>
        <w:t xml:space="preserve"> </w:t>
      </w:r>
      <w:r w:rsidRPr="00CE0885">
        <w:rPr>
          <w:lang w:eastAsia="en-GB"/>
        </w:rPr>
        <w:t>c</w:t>
      </w:r>
      <w:r w:rsidRPr="00CE0885">
        <w:rPr>
          <w:spacing w:val="-1"/>
          <w:lang w:eastAsia="en-GB"/>
        </w:rPr>
        <w:t>on</w:t>
      </w:r>
      <w:r w:rsidRPr="00CE0885">
        <w:rPr>
          <w:lang w:eastAsia="en-GB"/>
        </w:rPr>
        <w:t>fi</w:t>
      </w:r>
      <w:r w:rsidRPr="00CE0885">
        <w:rPr>
          <w:spacing w:val="-1"/>
          <w:lang w:eastAsia="en-GB"/>
        </w:rPr>
        <w:t>r</w:t>
      </w:r>
      <w:r w:rsidRPr="00CE0885">
        <w:rPr>
          <w:spacing w:val="2"/>
          <w:lang w:eastAsia="en-GB"/>
        </w:rPr>
        <w:t>m</w:t>
      </w:r>
      <w:r w:rsidRPr="00CE0885">
        <w:rPr>
          <w:lang w:eastAsia="en-GB"/>
        </w:rPr>
        <w:t>ed,</w:t>
      </w:r>
      <w:r w:rsidRPr="00CE0885">
        <w:rPr>
          <w:spacing w:val="-9"/>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spacing w:val="-2"/>
          <w:lang w:eastAsia="en-GB"/>
        </w:rPr>
        <w:t>Commissioner</w:t>
      </w:r>
      <w:r w:rsidRPr="00CE0885">
        <w:rPr>
          <w:lang w:eastAsia="en-GB"/>
        </w:rPr>
        <w:t xml:space="preserve"> </w:t>
      </w:r>
      <w:r w:rsidRPr="00CE0885">
        <w:rPr>
          <w:spacing w:val="-3"/>
          <w:lang w:eastAsia="en-GB"/>
        </w:rPr>
        <w:t>w</w:t>
      </w:r>
      <w:r w:rsidRPr="00CE0885">
        <w:rPr>
          <w:lang w:eastAsia="en-GB"/>
        </w:rPr>
        <w:t>ill</w:t>
      </w:r>
      <w:r w:rsidRPr="00CE0885">
        <w:rPr>
          <w:spacing w:val="-3"/>
          <w:lang w:eastAsia="en-GB"/>
        </w:rPr>
        <w:t xml:space="preserve"> </w:t>
      </w:r>
      <w:r w:rsidRPr="00CE0885">
        <w:rPr>
          <w:lang w:eastAsia="en-GB"/>
        </w:rPr>
        <w:t>issue</w:t>
      </w:r>
      <w:r w:rsidRPr="00CE0885">
        <w:rPr>
          <w:spacing w:val="-4"/>
          <w:lang w:eastAsia="en-GB"/>
        </w:rPr>
        <w:t xml:space="preserve"> </w:t>
      </w:r>
      <w:r w:rsidRPr="00CE0885">
        <w:rPr>
          <w:lang w:eastAsia="en-GB"/>
        </w:rPr>
        <w:t xml:space="preserve">a </w:t>
      </w:r>
      <w:r w:rsidRPr="00CE0885">
        <w:rPr>
          <w:spacing w:val="-2"/>
          <w:lang w:eastAsia="en-GB"/>
        </w:rPr>
        <w:t>v</w:t>
      </w:r>
      <w:r w:rsidRPr="00CE0885">
        <w:rPr>
          <w:lang w:eastAsia="en-GB"/>
        </w:rPr>
        <w:t>a</w:t>
      </w:r>
      <w:r w:rsidRPr="00CE0885">
        <w:rPr>
          <w:spacing w:val="-1"/>
          <w:lang w:eastAsia="en-GB"/>
        </w:rPr>
        <w:t>r</w:t>
      </w:r>
      <w:r w:rsidRPr="00CE0885">
        <w:rPr>
          <w:lang w:eastAsia="en-GB"/>
        </w:rPr>
        <w:t>iation</w:t>
      </w:r>
      <w:r w:rsidRPr="00CE0885">
        <w:rPr>
          <w:spacing w:val="-7"/>
          <w:lang w:eastAsia="en-GB"/>
        </w:rPr>
        <w:t xml:space="preserve"> </w:t>
      </w:r>
      <w:r w:rsidRPr="00CE0885">
        <w:rPr>
          <w:lang w:eastAsia="en-GB"/>
        </w:rPr>
        <w:t>a</w:t>
      </w:r>
      <w:r w:rsidRPr="00CE0885">
        <w:rPr>
          <w:spacing w:val="-1"/>
          <w:lang w:eastAsia="en-GB"/>
        </w:rPr>
        <w:t>gr</w:t>
      </w:r>
      <w:r w:rsidRPr="00CE0885">
        <w:rPr>
          <w:lang w:eastAsia="en-GB"/>
        </w:rPr>
        <w:t>ee</w:t>
      </w:r>
      <w:r w:rsidRPr="00CE0885">
        <w:rPr>
          <w:spacing w:val="2"/>
          <w:lang w:eastAsia="en-GB"/>
        </w:rPr>
        <w:t>m</w:t>
      </w:r>
      <w:r w:rsidRPr="00CE0885">
        <w:rPr>
          <w:spacing w:val="-1"/>
          <w:lang w:eastAsia="en-GB"/>
        </w:rPr>
        <w:t>e</w:t>
      </w:r>
      <w:r w:rsidRPr="00CE0885">
        <w:rPr>
          <w:lang w:eastAsia="en-GB"/>
        </w:rPr>
        <w:t>nt</w:t>
      </w:r>
      <w:r w:rsidRPr="00CE0885">
        <w:rPr>
          <w:spacing w:val="-12"/>
          <w:lang w:eastAsia="en-GB"/>
        </w:rPr>
        <w:t xml:space="preserve"> </w:t>
      </w:r>
      <w:r w:rsidRPr="00CE0885">
        <w:rPr>
          <w:lang w:eastAsia="en-GB"/>
        </w:rPr>
        <w:t>n</w:t>
      </w:r>
      <w:r w:rsidRPr="00CE0885">
        <w:rPr>
          <w:spacing w:val="-1"/>
          <w:lang w:eastAsia="en-GB"/>
        </w:rPr>
        <w:t>o</w:t>
      </w:r>
      <w:r w:rsidRPr="00CE0885">
        <w:rPr>
          <w:lang w:eastAsia="en-GB"/>
        </w:rPr>
        <w:t>tice</w:t>
      </w:r>
      <w:r w:rsidRPr="00CE0885">
        <w:rPr>
          <w:spacing w:val="-4"/>
          <w:lang w:eastAsia="en-GB"/>
        </w:rPr>
        <w:t xml:space="preserve"> </w:t>
      </w:r>
      <w:r w:rsidRPr="00CE0885">
        <w:rPr>
          <w:lang w:eastAsia="en-GB"/>
        </w:rPr>
        <w:t xml:space="preserve">to </w:t>
      </w:r>
      <w:r w:rsidRPr="00CE0885">
        <w:rPr>
          <w:spacing w:val="-1"/>
          <w:lang w:eastAsia="en-GB"/>
        </w:rPr>
        <w:t>rem</w:t>
      </w:r>
      <w:r w:rsidRPr="00CE0885">
        <w:rPr>
          <w:lang w:eastAsia="en-GB"/>
        </w:rPr>
        <w:t>o</w:t>
      </w:r>
      <w:r w:rsidRPr="00CE0885">
        <w:rPr>
          <w:spacing w:val="-2"/>
          <w:lang w:eastAsia="en-GB"/>
        </w:rPr>
        <w:t>v</w:t>
      </w:r>
      <w:r w:rsidRPr="00CE0885">
        <w:rPr>
          <w:lang w:eastAsia="en-GB"/>
        </w:rPr>
        <w:t>e</w:t>
      </w:r>
      <w:r w:rsidRPr="00CE0885">
        <w:rPr>
          <w:spacing w:val="-6"/>
          <w:lang w:eastAsia="en-GB"/>
        </w:rPr>
        <w:t xml:space="preserve"> </w:t>
      </w:r>
      <w:r w:rsidRPr="00CE0885">
        <w:rPr>
          <w:lang w:eastAsia="en-GB"/>
        </w:rPr>
        <w:t>the</w:t>
      </w:r>
      <w:r w:rsidRPr="00CE0885">
        <w:rPr>
          <w:spacing w:val="-1"/>
          <w:lang w:eastAsia="en-GB"/>
        </w:rPr>
        <w:t xml:space="preserve"> r</w:t>
      </w:r>
      <w:r w:rsidRPr="00CE0885">
        <w:rPr>
          <w:lang w:eastAsia="en-GB"/>
        </w:rPr>
        <w:t>e</w:t>
      </w:r>
      <w:r w:rsidRPr="00CE0885">
        <w:rPr>
          <w:spacing w:val="-1"/>
          <w:lang w:eastAsia="en-GB"/>
        </w:rPr>
        <w:t>g</w:t>
      </w:r>
      <w:r w:rsidRPr="00CE0885">
        <w:rPr>
          <w:spacing w:val="-3"/>
          <w:lang w:eastAsia="en-GB"/>
        </w:rPr>
        <w:t>i</w:t>
      </w:r>
      <w:r w:rsidRPr="00CE0885">
        <w:rPr>
          <w:lang w:eastAsia="en-GB"/>
        </w:rPr>
        <w:t>ste</w:t>
      </w:r>
      <w:r w:rsidRPr="00CE0885">
        <w:rPr>
          <w:spacing w:val="-1"/>
          <w:lang w:eastAsia="en-GB"/>
        </w:rPr>
        <w:t>r</w:t>
      </w:r>
      <w:r w:rsidRPr="00CE0885">
        <w:rPr>
          <w:lang w:eastAsia="en-GB"/>
        </w:rPr>
        <w:t>ed</w:t>
      </w:r>
      <w:r w:rsidRPr="00CE0885">
        <w:rPr>
          <w:spacing w:val="-12"/>
          <w:lang w:eastAsia="en-GB"/>
        </w:rPr>
        <w:t xml:space="preserve"> </w:t>
      </w:r>
      <w:r w:rsidRPr="00CE0885">
        <w:rPr>
          <w:lang w:eastAsia="en-GB"/>
        </w:rPr>
        <w:t>add</w:t>
      </w:r>
      <w:r w:rsidRPr="00CE0885">
        <w:rPr>
          <w:spacing w:val="-1"/>
          <w:lang w:eastAsia="en-GB"/>
        </w:rPr>
        <w:t>r</w:t>
      </w:r>
      <w:r w:rsidRPr="00CE0885">
        <w:rPr>
          <w:lang w:eastAsia="en-GB"/>
        </w:rPr>
        <w:t>ess</w:t>
      </w:r>
      <w:r w:rsidRPr="00CE0885">
        <w:rPr>
          <w:spacing w:val="-11"/>
          <w:lang w:eastAsia="en-GB"/>
        </w:rPr>
        <w:t xml:space="preserve"> </w:t>
      </w:r>
      <w:r w:rsidRPr="00CE0885">
        <w:rPr>
          <w:spacing w:val="3"/>
          <w:lang w:eastAsia="en-GB"/>
        </w:rPr>
        <w:t>f</w:t>
      </w:r>
      <w:r w:rsidRPr="00CE0885">
        <w:rPr>
          <w:spacing w:val="-1"/>
          <w:lang w:eastAsia="en-GB"/>
        </w:rPr>
        <w:t>r</w:t>
      </w:r>
      <w:r w:rsidRPr="00CE0885">
        <w:rPr>
          <w:lang w:eastAsia="en-GB"/>
        </w:rPr>
        <w:t>om</w:t>
      </w:r>
      <w:r w:rsidRPr="00CE0885">
        <w:rPr>
          <w:spacing w:val="-5"/>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co</w:t>
      </w:r>
      <w:r w:rsidRPr="00CE0885">
        <w:rPr>
          <w:spacing w:val="-1"/>
          <w:lang w:eastAsia="en-GB"/>
        </w:rPr>
        <w:t>n</w:t>
      </w:r>
      <w:r w:rsidRPr="00CE0885">
        <w:rPr>
          <w:lang w:eastAsia="en-GB"/>
        </w:rPr>
        <w:t>t</w:t>
      </w:r>
      <w:r w:rsidRPr="00CE0885">
        <w:rPr>
          <w:spacing w:val="-1"/>
          <w:lang w:eastAsia="en-GB"/>
        </w:rPr>
        <w:t>r</w:t>
      </w:r>
      <w:r w:rsidRPr="00CE0885">
        <w:rPr>
          <w:lang w:eastAsia="en-GB"/>
        </w:rPr>
        <w:t>act,</w:t>
      </w:r>
      <w:r w:rsidRPr="00CE0885">
        <w:rPr>
          <w:spacing w:val="-10"/>
          <w:lang w:eastAsia="en-GB"/>
        </w:rPr>
        <w:t xml:space="preserve"> </w:t>
      </w:r>
      <w:r w:rsidRPr="00CE0885">
        <w:rPr>
          <w:lang w:eastAsia="en-GB"/>
        </w:rPr>
        <w:t>and</w:t>
      </w:r>
      <w:r w:rsidRPr="00CE0885">
        <w:rPr>
          <w:spacing w:val="-5"/>
          <w:lang w:eastAsia="en-GB"/>
        </w:rPr>
        <w:t xml:space="preserve"> </w:t>
      </w:r>
      <w:r w:rsidRPr="00CE0885">
        <w:rPr>
          <w:lang w:eastAsia="en-GB"/>
        </w:rPr>
        <w:t>as</w:t>
      </w:r>
      <w:r w:rsidRPr="00CE0885">
        <w:rPr>
          <w:spacing w:val="-3"/>
          <w:lang w:eastAsia="en-GB"/>
        </w:rPr>
        <w:t xml:space="preserve"> </w:t>
      </w:r>
      <w:r w:rsidRPr="00CE0885">
        <w:rPr>
          <w:lang w:eastAsia="en-GB"/>
        </w:rPr>
        <w:t>in</w:t>
      </w:r>
      <w:r w:rsidRPr="00CE0885">
        <w:rPr>
          <w:spacing w:val="-3"/>
          <w:lang w:eastAsia="en-GB"/>
        </w:rPr>
        <w:t xml:space="preserve"> </w:t>
      </w:r>
      <w:r w:rsidRPr="00CE0885">
        <w:rPr>
          <w:lang w:eastAsia="en-GB"/>
        </w:rPr>
        <w:t>o</w:t>
      </w:r>
      <w:r w:rsidRPr="00CE0885">
        <w:rPr>
          <w:spacing w:val="-2"/>
          <w:lang w:eastAsia="en-GB"/>
        </w:rPr>
        <w:t>t</w:t>
      </w:r>
      <w:r w:rsidRPr="00CE0885">
        <w:rPr>
          <w:lang w:eastAsia="en-GB"/>
        </w:rPr>
        <w:t>her</w:t>
      </w:r>
      <w:r w:rsidRPr="00CE0885">
        <w:rPr>
          <w:spacing w:val="-5"/>
          <w:lang w:eastAsia="en-GB"/>
        </w:rPr>
        <w:t xml:space="preserve"> </w:t>
      </w:r>
      <w:r w:rsidRPr="00CE0885">
        <w:rPr>
          <w:spacing w:val="-2"/>
          <w:lang w:eastAsia="en-GB"/>
        </w:rPr>
        <w:t>v</w:t>
      </w:r>
      <w:r w:rsidRPr="00CE0885">
        <w:rPr>
          <w:lang w:eastAsia="en-GB"/>
        </w:rPr>
        <w:t>a</w:t>
      </w:r>
      <w:r w:rsidRPr="00CE0885">
        <w:rPr>
          <w:spacing w:val="-1"/>
          <w:lang w:eastAsia="en-GB"/>
        </w:rPr>
        <w:t>r</w:t>
      </w:r>
      <w:r w:rsidRPr="00CE0885">
        <w:rPr>
          <w:lang w:eastAsia="en-GB"/>
        </w:rPr>
        <w:t>iations</w:t>
      </w:r>
      <w:r w:rsidRPr="00CE0885">
        <w:rPr>
          <w:spacing w:val="-10"/>
          <w:lang w:eastAsia="en-GB"/>
        </w:rPr>
        <w:t xml:space="preserve"> </w:t>
      </w:r>
      <w:r w:rsidRPr="00CE0885">
        <w:rPr>
          <w:spacing w:val="-1"/>
          <w:lang w:eastAsia="en-GB"/>
        </w:rPr>
        <w:t>u</w:t>
      </w:r>
      <w:r w:rsidRPr="00CE0885">
        <w:rPr>
          <w:lang w:eastAsia="en-GB"/>
        </w:rPr>
        <w:t>nder</w:t>
      </w:r>
      <w:r w:rsidRPr="00CE0885">
        <w:rPr>
          <w:spacing w:val="-9"/>
          <w:lang w:eastAsia="en-GB"/>
        </w:rPr>
        <w:t xml:space="preserve"> </w:t>
      </w:r>
      <w:r w:rsidRPr="00CE0885">
        <w:rPr>
          <w:lang w:eastAsia="en-GB"/>
        </w:rPr>
        <w:t>th</w:t>
      </w:r>
      <w:r w:rsidRPr="00CE0885">
        <w:rPr>
          <w:spacing w:val="-3"/>
          <w:lang w:eastAsia="en-GB"/>
        </w:rPr>
        <w:t>i</w:t>
      </w:r>
      <w:r w:rsidRPr="00CE0885">
        <w:rPr>
          <w:lang w:eastAsia="en-GB"/>
        </w:rPr>
        <w:t>s policy,</w:t>
      </w:r>
      <w:r w:rsidRPr="00CE0885">
        <w:rPr>
          <w:spacing w:val="-6"/>
          <w:lang w:eastAsia="en-GB"/>
        </w:rPr>
        <w:t xml:space="preserve"> </w:t>
      </w:r>
      <w:r w:rsidRPr="00CE0885">
        <w:rPr>
          <w:lang w:eastAsia="en-GB"/>
        </w:rPr>
        <w:t>include</w:t>
      </w:r>
      <w:r w:rsidRPr="00CE0885">
        <w:rPr>
          <w:spacing w:val="-6"/>
          <w:lang w:eastAsia="en-GB"/>
        </w:rPr>
        <w:t xml:space="preserve"> </w:t>
      </w:r>
      <w:r w:rsidRPr="00CE0885">
        <w:rPr>
          <w:spacing w:val="-2"/>
          <w:lang w:eastAsia="en-GB"/>
        </w:rPr>
        <w:t>t</w:t>
      </w:r>
      <w:r w:rsidRPr="00CE0885">
        <w:rPr>
          <w:lang w:eastAsia="en-GB"/>
        </w:rPr>
        <w:t>he</w:t>
      </w:r>
      <w:r w:rsidRPr="00CE0885">
        <w:rPr>
          <w:spacing w:val="-4"/>
          <w:lang w:eastAsia="en-GB"/>
        </w:rPr>
        <w:t xml:space="preserve"> wording of the variation and the date on which it will take effect.</w:t>
      </w:r>
      <w:bookmarkEnd w:id="823"/>
      <w:r w:rsidRPr="00CE0885">
        <w:rPr>
          <w:spacing w:val="-4"/>
          <w:lang w:eastAsia="en-GB"/>
        </w:rPr>
        <w:t xml:space="preserve"> </w:t>
      </w:r>
      <w:r w:rsidR="002025D6" w:rsidRPr="002025D6">
        <w:t xml:space="preserve"> </w:t>
      </w:r>
      <w:r w:rsidR="002025D6" w:rsidRPr="002025D6">
        <w:rPr>
          <w:spacing w:val="-4"/>
          <w:lang w:eastAsia="en-GB"/>
        </w:rPr>
        <w:t xml:space="preserve">The commissioner </w:t>
      </w:r>
      <w:r w:rsidR="002025D6">
        <w:rPr>
          <w:spacing w:val="-4"/>
          <w:lang w:eastAsia="en-GB"/>
        </w:rPr>
        <w:t xml:space="preserve">must </w:t>
      </w:r>
      <w:r w:rsidR="002025D6" w:rsidRPr="002025D6">
        <w:rPr>
          <w:spacing w:val="-4"/>
          <w:lang w:eastAsia="en-GB"/>
        </w:rPr>
        <w:t xml:space="preserve">also inform PCSE for changes to </w:t>
      </w:r>
      <w:r w:rsidR="002025D6">
        <w:rPr>
          <w:spacing w:val="-4"/>
          <w:lang w:eastAsia="en-GB"/>
        </w:rPr>
        <w:t xml:space="preserve">the </w:t>
      </w:r>
      <w:r w:rsidR="002025D6" w:rsidRPr="002025D6">
        <w:rPr>
          <w:spacing w:val="-4"/>
          <w:lang w:eastAsia="en-GB"/>
        </w:rPr>
        <w:t>main site location</w:t>
      </w:r>
      <w:r w:rsidR="002025D6">
        <w:rPr>
          <w:spacing w:val="-4"/>
          <w:lang w:eastAsia="en-GB"/>
        </w:rPr>
        <w:t>.</w:t>
      </w:r>
    </w:p>
    <w:p w14:paraId="464C99AD" w14:textId="066726F0" w:rsidR="00977693" w:rsidRPr="00CE0885" w:rsidRDefault="00977693" w:rsidP="00980A75">
      <w:pPr>
        <w:pStyle w:val="Heading3"/>
        <w:rPr>
          <w:lang w:eastAsia="en-GB"/>
        </w:rPr>
      </w:pPr>
      <w:bookmarkStart w:id="824" w:name="_Toc440981950"/>
      <w:r w:rsidRPr="00CE0885">
        <w:rPr>
          <w:spacing w:val="2"/>
          <w:lang w:eastAsia="en-GB"/>
        </w:rPr>
        <w:t>T</w:t>
      </w:r>
      <w:r w:rsidRPr="00CE0885">
        <w:rPr>
          <w:spacing w:val="-1"/>
          <w:lang w:eastAsia="en-GB"/>
        </w:rPr>
        <w:t>h</w:t>
      </w:r>
      <w:r w:rsidRPr="00CE0885">
        <w:rPr>
          <w:lang w:eastAsia="en-GB"/>
        </w:rPr>
        <w:t>e</w:t>
      </w:r>
      <w:r w:rsidRPr="00CE0885">
        <w:rPr>
          <w:spacing w:val="-2"/>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o</w:t>
      </w:r>
      <w:r w:rsidRPr="00CE0885">
        <w:rPr>
          <w:lang w:eastAsia="en-GB"/>
        </w:rPr>
        <w:t>r</w:t>
      </w:r>
      <w:r w:rsidRPr="00CE0885">
        <w:rPr>
          <w:spacing w:val="-11"/>
          <w:lang w:eastAsia="en-GB"/>
        </w:rPr>
        <w:t xml:space="preserve"> </w:t>
      </w:r>
      <w:r w:rsidRPr="00CE0885">
        <w:rPr>
          <w:spacing w:val="-3"/>
          <w:lang w:eastAsia="en-GB"/>
        </w:rPr>
        <w:t>w</w:t>
      </w:r>
      <w:r w:rsidRPr="00CE0885">
        <w:rPr>
          <w:lang w:eastAsia="en-GB"/>
        </w:rPr>
        <w:t>ill</w:t>
      </w:r>
      <w:r w:rsidRPr="00CE0885">
        <w:rPr>
          <w:spacing w:val="-3"/>
          <w:lang w:eastAsia="en-GB"/>
        </w:rPr>
        <w:t xml:space="preserve"> </w:t>
      </w:r>
      <w:r w:rsidRPr="00CE0885">
        <w:rPr>
          <w:spacing w:val="1"/>
          <w:lang w:eastAsia="en-GB"/>
        </w:rPr>
        <w:t>b</w:t>
      </w:r>
      <w:r w:rsidRPr="00CE0885">
        <w:rPr>
          <w:lang w:eastAsia="en-GB"/>
        </w:rPr>
        <w:t>e</w:t>
      </w:r>
      <w:r w:rsidRPr="00CE0885">
        <w:rPr>
          <w:spacing w:val="-1"/>
          <w:lang w:eastAsia="en-GB"/>
        </w:rPr>
        <w:t xml:space="preserve"> </w:t>
      </w:r>
      <w:r w:rsidRPr="00CE0885">
        <w:rPr>
          <w:spacing w:val="1"/>
          <w:lang w:eastAsia="en-GB"/>
        </w:rPr>
        <w:t>fu</w:t>
      </w:r>
      <w:r w:rsidRPr="00CE0885">
        <w:rPr>
          <w:lang w:eastAsia="en-GB"/>
        </w:rPr>
        <w:t>lly</w:t>
      </w:r>
      <w:r w:rsidRPr="00CE0885">
        <w:rPr>
          <w:spacing w:val="-6"/>
          <w:lang w:eastAsia="en-GB"/>
        </w:rPr>
        <w:t xml:space="preserve"> </w:t>
      </w:r>
      <w:r w:rsidRPr="00CE0885">
        <w:rPr>
          <w:spacing w:val="-1"/>
          <w:lang w:eastAsia="en-GB"/>
        </w:rPr>
        <w:t>r</w:t>
      </w:r>
      <w:r w:rsidRPr="00CE0885">
        <w:rPr>
          <w:spacing w:val="1"/>
          <w:lang w:eastAsia="en-GB"/>
        </w:rPr>
        <w:t>e</w:t>
      </w:r>
      <w:r w:rsidRPr="00CE0885">
        <w:rPr>
          <w:lang w:eastAsia="en-GB"/>
        </w:rPr>
        <w:t>s</w:t>
      </w:r>
      <w:r w:rsidRPr="00CE0885">
        <w:rPr>
          <w:spacing w:val="1"/>
          <w:lang w:eastAsia="en-GB"/>
        </w:rPr>
        <w:t>pon</w:t>
      </w:r>
      <w:r w:rsidRPr="00CE0885">
        <w:rPr>
          <w:lang w:eastAsia="en-GB"/>
        </w:rPr>
        <w:t>si</w:t>
      </w:r>
      <w:r w:rsidRPr="00CE0885">
        <w:rPr>
          <w:spacing w:val="1"/>
          <w:lang w:eastAsia="en-GB"/>
        </w:rPr>
        <w:t>b</w:t>
      </w:r>
      <w:r w:rsidRPr="00CE0885">
        <w:rPr>
          <w:lang w:eastAsia="en-GB"/>
        </w:rPr>
        <w:t>le</w:t>
      </w:r>
      <w:r w:rsidRPr="00CE0885">
        <w:rPr>
          <w:spacing w:val="-13"/>
          <w:lang w:eastAsia="en-GB"/>
        </w:rPr>
        <w:t xml:space="preserve"> </w:t>
      </w:r>
      <w:r w:rsidRPr="00CE0885">
        <w:rPr>
          <w:spacing w:val="3"/>
          <w:lang w:eastAsia="en-GB"/>
        </w:rPr>
        <w:t>f</w:t>
      </w:r>
      <w:r w:rsidRPr="00CE0885">
        <w:rPr>
          <w:spacing w:val="1"/>
          <w:lang w:eastAsia="en-GB"/>
        </w:rPr>
        <w:t>o</w:t>
      </w:r>
      <w:r w:rsidRPr="00CE0885">
        <w:rPr>
          <w:lang w:eastAsia="en-GB"/>
        </w:rPr>
        <w:t>r</w:t>
      </w:r>
      <w:r w:rsidRPr="00CE0885">
        <w:rPr>
          <w:spacing w:val="-3"/>
          <w:lang w:eastAsia="en-GB"/>
        </w:rPr>
        <w:t xml:space="preserve"> </w:t>
      </w:r>
      <w:r w:rsidR="00A07ACB">
        <w:rPr>
          <w:spacing w:val="-3"/>
          <w:lang w:eastAsia="en-GB"/>
        </w:rPr>
        <w:t xml:space="preserve">the </w:t>
      </w:r>
      <w:r w:rsidRPr="00CE0885">
        <w:rPr>
          <w:spacing w:val="-2"/>
          <w:lang w:eastAsia="en-GB"/>
        </w:rPr>
        <w:t>c</w:t>
      </w:r>
      <w:r w:rsidRPr="00CE0885">
        <w:rPr>
          <w:spacing w:val="1"/>
          <w:lang w:eastAsia="en-GB"/>
        </w:rPr>
        <w:t>e</w:t>
      </w:r>
      <w:r w:rsidRPr="00CE0885">
        <w:rPr>
          <w:spacing w:val="-2"/>
          <w:lang w:eastAsia="en-GB"/>
        </w:rPr>
        <w:t>s</w:t>
      </w:r>
      <w:r w:rsidRPr="00CE0885">
        <w:rPr>
          <w:lang w:eastAsia="en-GB"/>
        </w:rPr>
        <w:t>s</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11"/>
          <w:lang w:eastAsia="en-GB"/>
        </w:rPr>
        <w:t xml:space="preserve"> </w:t>
      </w:r>
      <w:r w:rsidRPr="00CE0885">
        <w:rPr>
          <w:spacing w:val="1"/>
          <w:lang w:eastAsia="en-GB"/>
        </w:rPr>
        <w:t>o</w:t>
      </w:r>
      <w:r w:rsidRPr="00CE0885">
        <w:rPr>
          <w:lang w:eastAsia="en-GB"/>
        </w:rPr>
        <w:t>r</w:t>
      </w:r>
      <w:r w:rsidRPr="00CE0885">
        <w:rPr>
          <w:spacing w:val="-2"/>
          <w:lang w:eastAsia="en-GB"/>
        </w:rPr>
        <w:t xml:space="preserve"> </w:t>
      </w:r>
      <w:r w:rsidRPr="00CE0885">
        <w:rPr>
          <w:spacing w:val="1"/>
          <w:lang w:eastAsia="en-GB"/>
        </w:rPr>
        <w:t>a</w:t>
      </w:r>
      <w:r w:rsidRPr="00CE0885">
        <w:rPr>
          <w:lang w:eastAsia="en-GB"/>
        </w:rPr>
        <w:t>ssi</w:t>
      </w:r>
      <w:r w:rsidRPr="00CE0885">
        <w:rPr>
          <w:spacing w:val="-1"/>
          <w:lang w:eastAsia="en-GB"/>
        </w:rPr>
        <w:t>g</w:t>
      </w:r>
      <w:r w:rsidRPr="00CE0885">
        <w:rPr>
          <w:spacing w:val="1"/>
          <w:lang w:eastAsia="en-GB"/>
        </w:rPr>
        <w:t>n</w:t>
      </w:r>
      <w:r w:rsidRPr="00CE0885">
        <w:rPr>
          <w:spacing w:val="-1"/>
          <w:lang w:eastAsia="en-GB"/>
        </w:rPr>
        <w:t>m</w:t>
      </w:r>
      <w:r w:rsidRPr="00CE0885">
        <w:rPr>
          <w:spacing w:val="1"/>
          <w:lang w:eastAsia="en-GB"/>
        </w:rPr>
        <w:t>en</w:t>
      </w:r>
      <w:r w:rsidRPr="00CE0885">
        <w:rPr>
          <w:lang w:eastAsia="en-GB"/>
        </w:rPr>
        <w:t>t</w:t>
      </w:r>
      <w:r w:rsidRPr="00CE0885">
        <w:rPr>
          <w:spacing w:val="-13"/>
          <w:lang w:eastAsia="en-GB"/>
        </w:rPr>
        <w:t xml:space="preserve"> </w:t>
      </w:r>
      <w:r w:rsidRPr="00CE0885">
        <w:rPr>
          <w:spacing w:val="-1"/>
          <w:lang w:eastAsia="en-GB"/>
        </w:rPr>
        <w:t>o</w:t>
      </w:r>
      <w:r w:rsidRPr="00CE0885">
        <w:rPr>
          <w:lang w:eastAsia="en-GB"/>
        </w:rPr>
        <w:t xml:space="preserve">f </w:t>
      </w:r>
      <w:r w:rsidRPr="00CE0885">
        <w:rPr>
          <w:spacing w:val="1"/>
          <w:lang w:eastAsia="en-GB"/>
        </w:rPr>
        <w:t>th</w:t>
      </w:r>
      <w:r w:rsidRPr="00CE0885">
        <w:rPr>
          <w:lang w:eastAsia="en-GB"/>
        </w:rPr>
        <w:t>e</w:t>
      </w:r>
      <w:r w:rsidRPr="00CE0885">
        <w:rPr>
          <w:spacing w:val="-1"/>
          <w:lang w:eastAsia="en-GB"/>
        </w:rPr>
        <w:t xml:space="preserve"> </w:t>
      </w:r>
      <w:r w:rsidRPr="00CE0885">
        <w:rPr>
          <w:lang w:eastAsia="en-GB"/>
        </w:rPr>
        <w:t>l</w:t>
      </w:r>
      <w:r w:rsidRPr="00CE0885">
        <w:rPr>
          <w:spacing w:val="-1"/>
          <w:lang w:eastAsia="en-GB"/>
        </w:rPr>
        <w:t>e</w:t>
      </w:r>
      <w:r w:rsidRPr="00CE0885">
        <w:rPr>
          <w:spacing w:val="1"/>
          <w:lang w:eastAsia="en-GB"/>
        </w:rPr>
        <w:t>a</w:t>
      </w:r>
      <w:r w:rsidRPr="00CE0885">
        <w:rPr>
          <w:lang w:eastAsia="en-GB"/>
        </w:rPr>
        <w:t>se</w:t>
      </w:r>
      <w:r w:rsidRPr="00CE0885">
        <w:rPr>
          <w:spacing w:val="-7"/>
          <w:lang w:eastAsia="en-GB"/>
        </w:rPr>
        <w:t xml:space="preserve"> </w:t>
      </w:r>
      <w:r w:rsidRPr="00CE0885">
        <w:rPr>
          <w:spacing w:val="1"/>
          <w:lang w:eastAsia="en-GB"/>
        </w:rPr>
        <w:t>fo</w:t>
      </w:r>
      <w:r w:rsidRPr="00CE0885">
        <w:rPr>
          <w:lang w:eastAsia="en-GB"/>
        </w:rPr>
        <w:t>r</w:t>
      </w:r>
      <w:r w:rsidRPr="00CE0885">
        <w:rPr>
          <w:spacing w:val="-3"/>
          <w:lang w:eastAsia="en-GB"/>
        </w:rPr>
        <w:t xml:space="preserve"> </w:t>
      </w:r>
      <w:r w:rsidRPr="00CE0885">
        <w:rPr>
          <w:spacing w:val="-1"/>
          <w:lang w:eastAsia="en-GB"/>
        </w:rPr>
        <w:t>a</w:t>
      </w:r>
      <w:r w:rsidRPr="00CE0885">
        <w:rPr>
          <w:spacing w:val="1"/>
          <w:lang w:eastAsia="en-GB"/>
        </w:rPr>
        <w:t>n</w:t>
      </w:r>
      <w:r w:rsidRPr="00CE0885">
        <w:rPr>
          <w:lang w:eastAsia="en-GB"/>
        </w:rPr>
        <w:t>y</w:t>
      </w:r>
      <w:r w:rsidRPr="00CE0885">
        <w:rPr>
          <w:spacing w:val="-6"/>
          <w:lang w:eastAsia="en-GB"/>
        </w:rPr>
        <w:t xml:space="preserve"> </w:t>
      </w:r>
      <w:r w:rsidRPr="00CE0885">
        <w:rPr>
          <w:spacing w:val="-1"/>
          <w:lang w:eastAsia="en-GB"/>
        </w:rPr>
        <w:t>r</w:t>
      </w:r>
      <w:r w:rsidRPr="00CE0885">
        <w:rPr>
          <w:spacing w:val="1"/>
          <w:lang w:eastAsia="en-GB"/>
        </w:rPr>
        <w:t>ent</w:t>
      </w:r>
      <w:r w:rsidRPr="00CE0885">
        <w:rPr>
          <w:spacing w:val="-1"/>
          <w:lang w:eastAsia="en-GB"/>
        </w:rPr>
        <w:t>e</w:t>
      </w:r>
      <w:r w:rsidRPr="00CE0885">
        <w:rPr>
          <w:lang w:eastAsia="en-GB"/>
        </w:rPr>
        <w:t>d</w:t>
      </w:r>
      <w:r w:rsidRPr="00CE0885">
        <w:rPr>
          <w:spacing w:val="-5"/>
          <w:lang w:eastAsia="en-GB"/>
        </w:rPr>
        <w:t xml:space="preserve"> </w:t>
      </w:r>
      <w:r w:rsidRPr="00CE0885">
        <w:rPr>
          <w:spacing w:val="1"/>
          <w:lang w:eastAsia="en-GB"/>
        </w:rPr>
        <w:t>p</w:t>
      </w:r>
      <w:r w:rsidRPr="00CE0885">
        <w:rPr>
          <w:spacing w:val="-1"/>
          <w:lang w:eastAsia="en-GB"/>
        </w:rPr>
        <w:t>re</w:t>
      </w:r>
      <w:r w:rsidRPr="00CE0885">
        <w:rPr>
          <w:spacing w:val="2"/>
          <w:lang w:eastAsia="en-GB"/>
        </w:rPr>
        <w:t>m</w:t>
      </w:r>
      <w:r w:rsidRPr="00CE0885">
        <w:rPr>
          <w:lang w:eastAsia="en-GB"/>
        </w:rPr>
        <w:t>is</w:t>
      </w:r>
      <w:r w:rsidRPr="00CE0885">
        <w:rPr>
          <w:spacing w:val="1"/>
          <w:lang w:eastAsia="en-GB"/>
        </w:rPr>
        <w:t>e</w:t>
      </w:r>
      <w:r w:rsidRPr="00CE0885">
        <w:rPr>
          <w:lang w:eastAsia="en-GB"/>
        </w:rPr>
        <w:t>s</w:t>
      </w:r>
      <w:r w:rsidRPr="00CE0885">
        <w:rPr>
          <w:spacing w:val="-10"/>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5"/>
          <w:lang w:eastAsia="en-GB"/>
        </w:rPr>
        <w:t xml:space="preserve"> </w:t>
      </w:r>
      <w:r w:rsidRPr="00CE0885">
        <w:rPr>
          <w:spacing w:val="1"/>
          <w:lang w:eastAsia="en-GB"/>
        </w:rPr>
        <w:t>an</w:t>
      </w:r>
      <w:r w:rsidRPr="00CE0885">
        <w:rPr>
          <w:lang w:eastAsia="en-GB"/>
        </w:rPr>
        <w:t>y</w:t>
      </w:r>
      <w:r w:rsidRPr="00CE0885">
        <w:rPr>
          <w:spacing w:val="-6"/>
          <w:lang w:eastAsia="en-GB"/>
        </w:rPr>
        <w:t xml:space="preserve"> </w:t>
      </w:r>
      <w:r w:rsidRPr="00CE0885">
        <w:rPr>
          <w:spacing w:val="1"/>
          <w:lang w:eastAsia="en-GB"/>
        </w:rPr>
        <w:t>d</w:t>
      </w:r>
      <w:r w:rsidRPr="00CE0885">
        <w:rPr>
          <w:spacing w:val="-3"/>
          <w:lang w:eastAsia="en-GB"/>
        </w:rPr>
        <w:t>i</w:t>
      </w:r>
      <w:r w:rsidRPr="00CE0885">
        <w:rPr>
          <w:lang w:eastAsia="en-GB"/>
        </w:rPr>
        <w:t>s</w:t>
      </w:r>
      <w:r w:rsidRPr="00CE0885">
        <w:rPr>
          <w:spacing w:val="1"/>
          <w:lang w:eastAsia="en-GB"/>
        </w:rPr>
        <w:t>po</w:t>
      </w:r>
      <w:r w:rsidRPr="00CE0885">
        <w:rPr>
          <w:lang w:eastAsia="en-GB"/>
        </w:rPr>
        <w:t>s</w:t>
      </w:r>
      <w:r w:rsidRPr="00CE0885">
        <w:rPr>
          <w:spacing w:val="1"/>
          <w:lang w:eastAsia="en-GB"/>
        </w:rPr>
        <w:t>a</w:t>
      </w:r>
      <w:r w:rsidRPr="00CE0885">
        <w:rPr>
          <w:lang w:eastAsia="en-GB"/>
        </w:rPr>
        <w:t>l</w:t>
      </w:r>
      <w:r w:rsidRPr="00CE0885">
        <w:rPr>
          <w:spacing w:val="-11"/>
          <w:lang w:eastAsia="en-GB"/>
        </w:rPr>
        <w:t xml:space="preserve"> </w:t>
      </w:r>
      <w:r w:rsidRPr="00CE0885">
        <w:rPr>
          <w:spacing w:val="-1"/>
          <w:lang w:eastAsia="en-GB"/>
        </w:rPr>
        <w:t>o</w:t>
      </w:r>
      <w:r w:rsidRPr="00CE0885">
        <w:rPr>
          <w:lang w:eastAsia="en-GB"/>
        </w:rPr>
        <w:t>f</w:t>
      </w:r>
      <w:r w:rsidRPr="00CE0885">
        <w:rPr>
          <w:spacing w:val="1"/>
          <w:lang w:eastAsia="en-GB"/>
        </w:rPr>
        <w:t xml:space="preserve"> o</w:t>
      </w:r>
      <w:r w:rsidRPr="00CE0885">
        <w:rPr>
          <w:spacing w:val="-3"/>
          <w:lang w:eastAsia="en-GB"/>
        </w:rPr>
        <w:t>w</w:t>
      </w:r>
      <w:r w:rsidRPr="00CE0885">
        <w:rPr>
          <w:spacing w:val="1"/>
          <w:lang w:eastAsia="en-GB"/>
        </w:rPr>
        <w:t>ne</w:t>
      </w:r>
      <w:r w:rsidRPr="00CE0885">
        <w:rPr>
          <w:lang w:eastAsia="en-GB"/>
        </w:rPr>
        <w:t>r</w:t>
      </w:r>
      <w:r w:rsidR="00A07ACB">
        <w:rPr>
          <w:spacing w:val="-7"/>
          <w:lang w:eastAsia="en-GB"/>
        </w:rPr>
        <w:t>-</w:t>
      </w:r>
      <w:r w:rsidRPr="00CE0885">
        <w:rPr>
          <w:spacing w:val="1"/>
          <w:lang w:eastAsia="en-GB"/>
        </w:rPr>
        <w:t>o</w:t>
      </w:r>
      <w:r w:rsidRPr="00CE0885">
        <w:rPr>
          <w:lang w:eastAsia="en-GB"/>
        </w:rPr>
        <w:t>c</w:t>
      </w:r>
      <w:r w:rsidRPr="00CE0885">
        <w:rPr>
          <w:spacing w:val="-2"/>
          <w:lang w:eastAsia="en-GB"/>
        </w:rPr>
        <w:t>c</w:t>
      </w:r>
      <w:r w:rsidRPr="00CE0885">
        <w:rPr>
          <w:spacing w:val="1"/>
          <w:lang w:eastAsia="en-GB"/>
        </w:rPr>
        <w:t>up</w:t>
      </w:r>
      <w:r w:rsidRPr="00CE0885">
        <w:rPr>
          <w:spacing w:val="-3"/>
          <w:lang w:eastAsia="en-GB"/>
        </w:rPr>
        <w:t>i</w:t>
      </w:r>
      <w:r w:rsidRPr="00CE0885">
        <w:rPr>
          <w:spacing w:val="1"/>
          <w:lang w:eastAsia="en-GB"/>
        </w:rPr>
        <w:t>e</w:t>
      </w:r>
      <w:r w:rsidRPr="00CE0885">
        <w:rPr>
          <w:lang w:eastAsia="en-GB"/>
        </w:rPr>
        <w:t xml:space="preserve">d </w:t>
      </w:r>
      <w:r w:rsidRPr="00CE0885">
        <w:rPr>
          <w:spacing w:val="1"/>
          <w:lang w:eastAsia="en-GB"/>
        </w:rPr>
        <w:t>p</w:t>
      </w:r>
      <w:r w:rsidRPr="00CE0885">
        <w:rPr>
          <w:spacing w:val="-1"/>
          <w:lang w:eastAsia="en-GB"/>
        </w:rPr>
        <w:t>r</w:t>
      </w:r>
      <w:r w:rsidRPr="00CE0885">
        <w:rPr>
          <w:spacing w:val="1"/>
          <w:lang w:eastAsia="en-GB"/>
        </w:rPr>
        <w:t>e</w:t>
      </w:r>
      <w:r w:rsidRPr="00CE0885">
        <w:rPr>
          <w:spacing w:val="2"/>
          <w:lang w:eastAsia="en-GB"/>
        </w:rPr>
        <w:t>m</w:t>
      </w:r>
      <w:r w:rsidRPr="00CE0885">
        <w:rPr>
          <w:lang w:eastAsia="en-GB"/>
        </w:rPr>
        <w:t>is</w:t>
      </w:r>
      <w:r w:rsidRPr="00CE0885">
        <w:rPr>
          <w:spacing w:val="1"/>
          <w:lang w:eastAsia="en-GB"/>
        </w:rPr>
        <w:t>e</w:t>
      </w:r>
      <w:r w:rsidRPr="00CE0885">
        <w:rPr>
          <w:spacing w:val="-2"/>
          <w:lang w:eastAsia="en-GB"/>
        </w:rPr>
        <w:t>s</w:t>
      </w:r>
      <w:r w:rsidRPr="00CE0885">
        <w:rPr>
          <w:lang w:eastAsia="en-GB"/>
        </w:rPr>
        <w:t>.</w:t>
      </w:r>
      <w:bookmarkEnd w:id="824"/>
      <w:r w:rsidRPr="00CE0885">
        <w:rPr>
          <w:spacing w:val="-9"/>
          <w:lang w:eastAsia="en-GB"/>
        </w:rPr>
        <w:t xml:space="preserve"> </w:t>
      </w:r>
    </w:p>
    <w:p w14:paraId="03B049DC" w14:textId="503DC1DA" w:rsidR="00977693" w:rsidRDefault="00977693" w:rsidP="00980A75">
      <w:pPr>
        <w:pStyle w:val="Heading3"/>
        <w:rPr>
          <w:lang w:eastAsia="en-GB"/>
        </w:rPr>
      </w:pPr>
      <w:bookmarkStart w:id="825" w:name="_Toc440981951"/>
      <w:r w:rsidRPr="00CE0885">
        <w:rPr>
          <w:spacing w:val="6"/>
          <w:lang w:eastAsia="en-GB"/>
        </w:rPr>
        <w:t>W</w:t>
      </w:r>
      <w:r w:rsidRPr="00CE0885">
        <w:rPr>
          <w:spacing w:val="-1"/>
          <w:lang w:eastAsia="en-GB"/>
        </w:rPr>
        <w:t>h</w:t>
      </w:r>
      <w:r w:rsidRPr="00CE0885">
        <w:rPr>
          <w:spacing w:val="-3"/>
          <w:lang w:eastAsia="en-GB"/>
        </w:rPr>
        <w:t>i</w:t>
      </w:r>
      <w:r w:rsidRPr="00CE0885">
        <w:rPr>
          <w:lang w:eastAsia="en-GB"/>
        </w:rPr>
        <w:t>le</w:t>
      </w:r>
      <w:r w:rsidRPr="00CE0885">
        <w:rPr>
          <w:spacing w:val="-4"/>
          <w:lang w:eastAsia="en-GB"/>
        </w:rPr>
        <w:t xml:space="preserve"> </w:t>
      </w:r>
      <w:r w:rsidRPr="00CE0885">
        <w:rPr>
          <w:lang w:eastAsia="en-GB"/>
        </w:rPr>
        <w:t>it is</w:t>
      </w:r>
      <w:r w:rsidRPr="00CE0885">
        <w:rPr>
          <w:spacing w:val="-4"/>
          <w:lang w:eastAsia="en-GB"/>
        </w:rPr>
        <w:t xml:space="preserve"> </w:t>
      </w:r>
      <w:r w:rsidRPr="00CE0885">
        <w:rPr>
          <w:lang w:eastAsia="en-GB"/>
        </w:rPr>
        <w:t>likely</w:t>
      </w:r>
      <w:r w:rsidRPr="00CE0885">
        <w:rPr>
          <w:spacing w:val="-7"/>
          <w:lang w:eastAsia="en-GB"/>
        </w:rPr>
        <w:t xml:space="preserve"> </w:t>
      </w:r>
      <w:r w:rsidRPr="00CE0885">
        <w:rPr>
          <w:lang w:eastAsia="en-GB"/>
        </w:rPr>
        <w:t>that</w:t>
      </w:r>
      <w:r w:rsidRPr="00CE0885">
        <w:rPr>
          <w:spacing w:val="-3"/>
          <w:lang w:eastAsia="en-GB"/>
        </w:rPr>
        <w:t xml:space="preserve"> </w:t>
      </w:r>
      <w:r w:rsidRPr="00CE0885">
        <w:rPr>
          <w:lang w:eastAsia="en-GB"/>
        </w:rPr>
        <w:t>a</w:t>
      </w:r>
      <w:r w:rsidRPr="00CE0885">
        <w:rPr>
          <w:spacing w:val="-2"/>
          <w:lang w:eastAsia="en-GB"/>
        </w:rPr>
        <w:t xml:space="preserve"> </w:t>
      </w:r>
      <w:r w:rsidRPr="00CE0885">
        <w:rPr>
          <w:lang w:eastAsia="en-GB"/>
        </w:rPr>
        <w:t>P</w:t>
      </w:r>
      <w:r w:rsidRPr="00CE0885">
        <w:rPr>
          <w:spacing w:val="-1"/>
          <w:lang w:eastAsia="en-GB"/>
        </w:rPr>
        <w:t>M</w:t>
      </w:r>
      <w:r w:rsidRPr="00CE0885">
        <w:rPr>
          <w:lang w:eastAsia="en-GB"/>
        </w:rPr>
        <w:t>S/APMS</w:t>
      </w:r>
      <w:r w:rsidRPr="00CE0885">
        <w:rPr>
          <w:spacing w:val="-4"/>
          <w:lang w:eastAsia="en-GB"/>
        </w:rPr>
        <w:t xml:space="preserve"> </w:t>
      </w:r>
      <w:r w:rsidRPr="00CE0885">
        <w:rPr>
          <w:lang w:eastAsia="en-GB"/>
        </w:rPr>
        <w:t>contract</w:t>
      </w:r>
      <w:r w:rsidRPr="00CE0885">
        <w:rPr>
          <w:spacing w:val="-10"/>
          <w:lang w:eastAsia="en-GB"/>
        </w:rPr>
        <w:t xml:space="preserve"> </w:t>
      </w:r>
      <w:r w:rsidRPr="00CE0885">
        <w:rPr>
          <w:spacing w:val="-3"/>
          <w:lang w:eastAsia="en-GB"/>
        </w:rPr>
        <w:t>w</w:t>
      </w:r>
      <w:r w:rsidRPr="00CE0885">
        <w:rPr>
          <w:lang w:eastAsia="en-GB"/>
        </w:rPr>
        <w:t>ould</w:t>
      </w:r>
      <w:r w:rsidRPr="00CE0885">
        <w:rPr>
          <w:spacing w:val="-4"/>
          <w:lang w:eastAsia="en-GB"/>
        </w:rPr>
        <w:t xml:space="preserve"> </w:t>
      </w:r>
      <w:r w:rsidRPr="00CE0885">
        <w:rPr>
          <w:spacing w:val="-1"/>
          <w:lang w:eastAsia="en-GB"/>
        </w:rPr>
        <w:t>re</w:t>
      </w:r>
      <w:r w:rsidRPr="00CE0885">
        <w:rPr>
          <w:spacing w:val="3"/>
          <w:lang w:eastAsia="en-GB"/>
        </w:rPr>
        <w:t>f</w:t>
      </w:r>
      <w:r w:rsidRPr="00CE0885">
        <w:rPr>
          <w:lang w:eastAsia="en-GB"/>
        </w:rPr>
        <w:t>lect</w:t>
      </w:r>
      <w:r w:rsidRPr="00CE0885">
        <w:rPr>
          <w:spacing w:val="-8"/>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te</w:t>
      </w:r>
      <w:r w:rsidRPr="00CE0885">
        <w:rPr>
          <w:spacing w:val="-3"/>
          <w:lang w:eastAsia="en-GB"/>
        </w:rPr>
        <w:t>r</w:t>
      </w:r>
      <w:r w:rsidRPr="00CE0885">
        <w:rPr>
          <w:spacing w:val="2"/>
          <w:lang w:eastAsia="en-GB"/>
        </w:rPr>
        <w:t>m</w:t>
      </w:r>
      <w:r w:rsidRPr="00CE0885">
        <w:rPr>
          <w:lang w:eastAsia="en-GB"/>
        </w:rPr>
        <w:t>s as</w:t>
      </w:r>
      <w:r w:rsidRPr="00CE0885">
        <w:rPr>
          <w:spacing w:val="-3"/>
          <w:lang w:eastAsia="en-GB"/>
        </w:rPr>
        <w:t xml:space="preserve"> </w:t>
      </w:r>
      <w:r w:rsidRPr="00CE0885">
        <w:rPr>
          <w:lang w:eastAsia="en-GB"/>
        </w:rPr>
        <w:t>laid</w:t>
      </w:r>
      <w:r w:rsidRPr="00CE0885">
        <w:rPr>
          <w:spacing w:val="-5"/>
          <w:lang w:eastAsia="en-GB"/>
        </w:rPr>
        <w:t xml:space="preserve"> </w:t>
      </w:r>
      <w:r w:rsidRPr="00CE0885">
        <w:rPr>
          <w:lang w:eastAsia="en-GB"/>
        </w:rPr>
        <w:t>out</w:t>
      </w:r>
      <w:r w:rsidRPr="00CE0885">
        <w:rPr>
          <w:spacing w:val="-2"/>
          <w:lang w:eastAsia="en-GB"/>
        </w:rPr>
        <w:t xml:space="preserve"> </w:t>
      </w:r>
      <w:r w:rsidRPr="00CE0885">
        <w:rPr>
          <w:lang w:eastAsia="en-GB"/>
        </w:rPr>
        <w:t>in</w:t>
      </w:r>
      <w:r w:rsidRPr="00CE0885">
        <w:rPr>
          <w:spacing w:val="-3"/>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G</w:t>
      </w:r>
      <w:r w:rsidRPr="00CE0885">
        <w:rPr>
          <w:spacing w:val="-1"/>
          <w:lang w:eastAsia="en-GB"/>
        </w:rPr>
        <w:t>M</w:t>
      </w:r>
      <w:r w:rsidRPr="00CE0885">
        <w:rPr>
          <w:lang w:eastAsia="en-GB"/>
        </w:rPr>
        <w:t>S</w:t>
      </w:r>
      <w:r w:rsidRPr="00CE0885">
        <w:rPr>
          <w:spacing w:val="-6"/>
          <w:lang w:eastAsia="en-GB"/>
        </w:rPr>
        <w:t xml:space="preserve"> contract </w:t>
      </w:r>
      <w:r w:rsidRPr="00CE0885">
        <w:rPr>
          <w:lang w:eastAsia="en-GB"/>
        </w:rPr>
        <w:t>e</w:t>
      </w:r>
      <w:r w:rsidRPr="00CE0885">
        <w:rPr>
          <w:spacing w:val="-2"/>
          <w:lang w:eastAsia="en-GB"/>
        </w:rPr>
        <w:t>x</w:t>
      </w:r>
      <w:r w:rsidRPr="00CE0885">
        <w:rPr>
          <w:lang w:eastAsia="en-GB"/>
        </w:rPr>
        <w:t>a</w:t>
      </w:r>
      <w:r w:rsidRPr="00CE0885">
        <w:rPr>
          <w:spacing w:val="2"/>
          <w:lang w:eastAsia="en-GB"/>
        </w:rPr>
        <w:t>m</w:t>
      </w:r>
      <w:r w:rsidRPr="00CE0885">
        <w:rPr>
          <w:lang w:eastAsia="en-GB"/>
        </w:rPr>
        <w:t>ple</w:t>
      </w:r>
      <w:r w:rsidRPr="00CE0885">
        <w:rPr>
          <w:spacing w:val="-10"/>
          <w:lang w:eastAsia="en-GB"/>
        </w:rPr>
        <w:t xml:space="preserve"> </w:t>
      </w:r>
      <w:r w:rsidRPr="00CE0885">
        <w:rPr>
          <w:lang w:eastAsia="en-GB"/>
        </w:rPr>
        <w:t>abo</w:t>
      </w:r>
      <w:r w:rsidRPr="00CE0885">
        <w:rPr>
          <w:spacing w:val="-2"/>
          <w:lang w:eastAsia="en-GB"/>
        </w:rPr>
        <w:t>v</w:t>
      </w:r>
      <w:r w:rsidRPr="00CE0885">
        <w:rPr>
          <w:lang w:eastAsia="en-GB"/>
        </w:rPr>
        <w:t>e,</w:t>
      </w:r>
      <w:r w:rsidRPr="00CE0885">
        <w:rPr>
          <w:spacing w:val="-6"/>
          <w:lang w:eastAsia="en-GB"/>
        </w:rPr>
        <w:t xml:space="preserve"> </w:t>
      </w:r>
      <w:r w:rsidRPr="00CE0885">
        <w:rPr>
          <w:lang w:eastAsia="en-GB"/>
        </w:rPr>
        <w:t>it is</w:t>
      </w:r>
      <w:r w:rsidRPr="00CE0885">
        <w:rPr>
          <w:spacing w:val="-4"/>
          <w:lang w:eastAsia="en-GB"/>
        </w:rPr>
        <w:t xml:space="preserve"> </w:t>
      </w:r>
      <w:r w:rsidRPr="00CE0885">
        <w:rPr>
          <w:lang w:eastAsia="en-GB"/>
        </w:rPr>
        <w:t>e</w:t>
      </w:r>
      <w:r w:rsidRPr="00CE0885">
        <w:rPr>
          <w:spacing w:val="-2"/>
          <w:lang w:eastAsia="en-GB"/>
        </w:rPr>
        <w:t>s</w:t>
      </w:r>
      <w:r w:rsidRPr="00CE0885">
        <w:rPr>
          <w:lang w:eastAsia="en-GB"/>
        </w:rPr>
        <w:t>sential</w:t>
      </w:r>
      <w:r w:rsidRPr="00CE0885">
        <w:rPr>
          <w:spacing w:val="-9"/>
          <w:lang w:eastAsia="en-GB"/>
        </w:rPr>
        <w:t xml:space="preserve"> </w:t>
      </w:r>
      <w:r w:rsidRPr="00CE0885">
        <w:rPr>
          <w:spacing w:val="-2"/>
          <w:lang w:eastAsia="en-GB"/>
        </w:rPr>
        <w:t>t</w:t>
      </w:r>
      <w:r w:rsidRPr="00CE0885">
        <w:rPr>
          <w:lang w:eastAsia="en-GB"/>
        </w:rPr>
        <w:t>hat</w:t>
      </w:r>
      <w:r w:rsidRPr="00CE0885">
        <w:rPr>
          <w:spacing w:val="-5"/>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Commissioner</w:t>
      </w:r>
      <w:r w:rsidRPr="00CE0885">
        <w:rPr>
          <w:lang w:eastAsia="en-GB"/>
        </w:rPr>
        <w:t xml:space="preserve"> </w:t>
      </w:r>
      <w:r w:rsidRPr="00CE0885">
        <w:rPr>
          <w:spacing w:val="-1"/>
          <w:lang w:eastAsia="en-GB"/>
        </w:rPr>
        <w:t>r</w:t>
      </w:r>
      <w:r w:rsidRPr="00CE0885">
        <w:rPr>
          <w:lang w:eastAsia="en-GB"/>
        </w:rPr>
        <w:t>e</w:t>
      </w:r>
      <w:r w:rsidRPr="00CE0885">
        <w:rPr>
          <w:spacing w:val="-2"/>
          <w:lang w:eastAsia="en-GB"/>
        </w:rPr>
        <w:t>v</w:t>
      </w:r>
      <w:r w:rsidRPr="00CE0885">
        <w:rPr>
          <w:lang w:eastAsia="en-GB"/>
        </w:rPr>
        <w:t>i</w:t>
      </w:r>
      <w:r w:rsidRPr="00CE0885">
        <w:rPr>
          <w:spacing w:val="3"/>
          <w:lang w:eastAsia="en-GB"/>
        </w:rPr>
        <w:t>e</w:t>
      </w:r>
      <w:r w:rsidRPr="00CE0885">
        <w:rPr>
          <w:spacing w:val="-3"/>
          <w:lang w:eastAsia="en-GB"/>
        </w:rPr>
        <w:t>w</w:t>
      </w:r>
      <w:r w:rsidRPr="00CE0885">
        <w:rPr>
          <w:lang w:eastAsia="en-GB"/>
        </w:rPr>
        <w:t>s</w:t>
      </w:r>
      <w:r w:rsidRPr="00CE0885">
        <w:rPr>
          <w:spacing w:val="-8"/>
          <w:lang w:eastAsia="en-GB"/>
        </w:rPr>
        <w:t xml:space="preserve"> </w:t>
      </w:r>
      <w:r w:rsidRPr="00CE0885">
        <w:rPr>
          <w:lang w:eastAsia="en-GB"/>
        </w:rPr>
        <w:t>the</w:t>
      </w:r>
      <w:r w:rsidRPr="00CE0885">
        <w:rPr>
          <w:spacing w:val="-1"/>
          <w:lang w:eastAsia="en-GB"/>
        </w:rPr>
        <w:t xml:space="preserve"> </w:t>
      </w:r>
      <w:r w:rsidRPr="00CE0885">
        <w:rPr>
          <w:lang w:eastAsia="en-GB"/>
        </w:rPr>
        <w:t>indi</w:t>
      </w:r>
      <w:r w:rsidRPr="00CE0885">
        <w:rPr>
          <w:spacing w:val="-2"/>
          <w:lang w:eastAsia="en-GB"/>
        </w:rPr>
        <w:t>v</w:t>
      </w:r>
      <w:r w:rsidRPr="00CE0885">
        <w:rPr>
          <w:lang w:eastAsia="en-GB"/>
        </w:rPr>
        <w:t>idual</w:t>
      </w:r>
      <w:r w:rsidRPr="00CE0885">
        <w:rPr>
          <w:spacing w:val="-12"/>
          <w:lang w:eastAsia="en-GB"/>
        </w:rPr>
        <w:t xml:space="preserve"> </w:t>
      </w:r>
      <w:r w:rsidRPr="00CE0885">
        <w:rPr>
          <w:lang w:eastAsia="en-GB"/>
        </w:rPr>
        <w:t>contract</w:t>
      </w:r>
      <w:r w:rsidRPr="00CE0885">
        <w:rPr>
          <w:spacing w:val="-12"/>
          <w:lang w:eastAsia="en-GB"/>
        </w:rPr>
        <w:t xml:space="preserve"> </w:t>
      </w:r>
      <w:r w:rsidRPr="00CE0885">
        <w:rPr>
          <w:lang w:eastAsia="en-GB"/>
        </w:rPr>
        <w:t>for</w:t>
      </w:r>
      <w:r w:rsidRPr="00CE0885">
        <w:rPr>
          <w:spacing w:val="-3"/>
          <w:lang w:eastAsia="en-GB"/>
        </w:rPr>
        <w:t xml:space="preserve"> </w:t>
      </w:r>
      <w:r w:rsidRPr="00CE0885">
        <w:rPr>
          <w:lang w:eastAsia="en-GB"/>
        </w:rPr>
        <w:t>relevant provisions that relate to</w:t>
      </w:r>
      <w:r w:rsidRPr="00CE0885">
        <w:rPr>
          <w:spacing w:val="-14"/>
          <w:lang w:eastAsia="en-GB"/>
        </w:rPr>
        <w:t xml:space="preserve"> </w:t>
      </w:r>
      <w:r w:rsidRPr="00CE0885">
        <w:rPr>
          <w:spacing w:val="-1"/>
          <w:lang w:eastAsia="en-GB"/>
        </w:rPr>
        <w:t>r</w:t>
      </w:r>
      <w:r w:rsidRPr="00CE0885">
        <w:rPr>
          <w:lang w:eastAsia="en-GB"/>
        </w:rPr>
        <w:t>e</w:t>
      </w:r>
      <w:r w:rsidRPr="00CE0885">
        <w:rPr>
          <w:spacing w:val="2"/>
          <w:lang w:eastAsia="en-GB"/>
        </w:rPr>
        <w:t>m</w:t>
      </w:r>
      <w:r w:rsidRPr="00CE0885">
        <w:rPr>
          <w:lang w:eastAsia="en-GB"/>
        </w:rPr>
        <w:t>o</w:t>
      </w:r>
      <w:r w:rsidRPr="00CE0885">
        <w:rPr>
          <w:spacing w:val="-2"/>
          <w:lang w:eastAsia="en-GB"/>
        </w:rPr>
        <w:t>v</w:t>
      </w:r>
      <w:r w:rsidRPr="00CE0885">
        <w:rPr>
          <w:lang w:eastAsia="en-GB"/>
        </w:rPr>
        <w:t>ing</w:t>
      </w:r>
      <w:r w:rsidRPr="00CE0885">
        <w:rPr>
          <w:spacing w:val="-6"/>
          <w:lang w:eastAsia="en-GB"/>
        </w:rPr>
        <w:t xml:space="preserve"> </w:t>
      </w:r>
      <w:r w:rsidRPr="00CE0885">
        <w:rPr>
          <w:lang w:eastAsia="en-GB"/>
        </w:rPr>
        <w:t>the</w:t>
      </w:r>
      <w:r w:rsidRPr="00CE0885">
        <w:rPr>
          <w:spacing w:val="-1"/>
          <w:lang w:eastAsia="en-GB"/>
        </w:rPr>
        <w:t xml:space="preserve"> </w:t>
      </w:r>
      <w:r w:rsidRPr="00CE0885">
        <w:rPr>
          <w:lang w:eastAsia="en-GB"/>
        </w:rPr>
        <w:t>closi</w:t>
      </w:r>
      <w:r w:rsidRPr="00CE0885">
        <w:rPr>
          <w:spacing w:val="-1"/>
          <w:lang w:eastAsia="en-GB"/>
        </w:rPr>
        <w:t>n</w:t>
      </w:r>
      <w:r w:rsidRPr="00CE0885">
        <w:rPr>
          <w:lang w:eastAsia="en-GB"/>
        </w:rPr>
        <w:t>g p</w:t>
      </w:r>
      <w:r w:rsidRPr="00CE0885">
        <w:rPr>
          <w:spacing w:val="-1"/>
          <w:lang w:eastAsia="en-GB"/>
        </w:rPr>
        <w:t>r</w:t>
      </w:r>
      <w:r w:rsidRPr="00CE0885">
        <w:rPr>
          <w:lang w:eastAsia="en-GB"/>
        </w:rPr>
        <w:t>e</w:t>
      </w:r>
      <w:r w:rsidRPr="00CE0885">
        <w:rPr>
          <w:spacing w:val="2"/>
          <w:lang w:eastAsia="en-GB"/>
        </w:rPr>
        <w:t>m</w:t>
      </w:r>
      <w:r w:rsidRPr="00CE0885">
        <w:rPr>
          <w:lang w:eastAsia="en-GB"/>
        </w:rPr>
        <w:t>ises</w:t>
      </w:r>
      <w:r w:rsidRPr="00CE0885">
        <w:rPr>
          <w:spacing w:val="-12"/>
          <w:lang w:eastAsia="en-GB"/>
        </w:rPr>
        <w:t xml:space="preserve"> </w:t>
      </w:r>
      <w:r w:rsidRPr="00CE0885">
        <w:rPr>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spacing w:val="-1"/>
          <w:lang w:eastAsia="en-GB"/>
        </w:rPr>
        <w:t>a</w:t>
      </w:r>
      <w:r w:rsidRPr="00CE0885">
        <w:rPr>
          <w:lang w:eastAsia="en-GB"/>
        </w:rPr>
        <w:t>ny</w:t>
      </w:r>
      <w:r w:rsidRPr="00CE0885">
        <w:rPr>
          <w:spacing w:val="-6"/>
          <w:lang w:eastAsia="en-GB"/>
        </w:rPr>
        <w:t xml:space="preserve"> </w:t>
      </w:r>
      <w:r w:rsidRPr="00CE0885">
        <w:rPr>
          <w:spacing w:val="-1"/>
          <w:lang w:eastAsia="en-GB"/>
        </w:rPr>
        <w:t>r</w:t>
      </w:r>
      <w:r w:rsidRPr="00CE0885">
        <w:rPr>
          <w:lang w:eastAsia="en-GB"/>
        </w:rPr>
        <w:t>i</w:t>
      </w:r>
      <w:r w:rsidRPr="00CE0885">
        <w:rPr>
          <w:spacing w:val="-1"/>
          <w:lang w:eastAsia="en-GB"/>
        </w:rPr>
        <w:t>g</w:t>
      </w:r>
      <w:r w:rsidRPr="00CE0885">
        <w:rPr>
          <w:lang w:eastAsia="en-GB"/>
        </w:rPr>
        <w:t>h</w:t>
      </w:r>
      <w:r w:rsidRPr="00CE0885">
        <w:rPr>
          <w:spacing w:val="3"/>
          <w:lang w:eastAsia="en-GB"/>
        </w:rPr>
        <w:t>t</w:t>
      </w:r>
      <w:r w:rsidRPr="00CE0885">
        <w:rPr>
          <w:lang w:eastAsia="en-GB"/>
        </w:rPr>
        <w:t>s</w:t>
      </w:r>
      <w:r w:rsidRPr="00CE0885">
        <w:rPr>
          <w:spacing w:val="-6"/>
          <w:lang w:eastAsia="en-GB"/>
        </w:rPr>
        <w:t xml:space="preserve"> </w:t>
      </w:r>
      <w:r w:rsidRPr="00CE0885">
        <w:rPr>
          <w:lang w:eastAsia="en-GB"/>
        </w:rPr>
        <w:t>associa</w:t>
      </w:r>
      <w:r w:rsidRPr="00CE0885">
        <w:rPr>
          <w:spacing w:val="-2"/>
          <w:lang w:eastAsia="en-GB"/>
        </w:rPr>
        <w:t>t</w:t>
      </w:r>
      <w:r w:rsidRPr="00CE0885">
        <w:rPr>
          <w:lang w:eastAsia="en-GB"/>
        </w:rPr>
        <w:t>ed</w:t>
      </w:r>
      <w:r w:rsidRPr="00CE0885">
        <w:rPr>
          <w:spacing w:val="-9"/>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t</w:t>
      </w:r>
      <w:r w:rsidRPr="00CE0885">
        <w:rPr>
          <w:spacing w:val="-1"/>
          <w:lang w:eastAsia="en-GB"/>
        </w:rPr>
        <w:t>h</w:t>
      </w:r>
      <w:r w:rsidRPr="00CE0885">
        <w:rPr>
          <w:lang w:eastAsia="en-GB"/>
        </w:rPr>
        <w:t>at</w:t>
      </w:r>
      <w:r w:rsidRPr="00CE0885">
        <w:rPr>
          <w:spacing w:val="-5"/>
          <w:lang w:eastAsia="en-GB"/>
        </w:rPr>
        <w:t xml:space="preserve"> </w:t>
      </w:r>
      <w:r w:rsidRPr="00CE0885">
        <w:rPr>
          <w:lang w:eastAsia="en-GB"/>
        </w:rPr>
        <w:t>p</w:t>
      </w:r>
      <w:r w:rsidRPr="00CE0885">
        <w:rPr>
          <w:spacing w:val="-1"/>
          <w:lang w:eastAsia="en-GB"/>
        </w:rPr>
        <w:t>r</w:t>
      </w:r>
      <w:r w:rsidRPr="00CE0885">
        <w:rPr>
          <w:lang w:eastAsia="en-GB"/>
        </w:rPr>
        <w:t>e</w:t>
      </w:r>
      <w:r w:rsidRPr="00CE0885">
        <w:rPr>
          <w:spacing w:val="2"/>
          <w:lang w:eastAsia="en-GB"/>
        </w:rPr>
        <w:t>m</w:t>
      </w:r>
      <w:r w:rsidRPr="00CE0885">
        <w:rPr>
          <w:lang w:eastAsia="en-GB"/>
        </w:rPr>
        <w:t>ises.</w:t>
      </w:r>
      <w:bookmarkEnd w:id="825"/>
    </w:p>
    <w:p w14:paraId="220E9BDE" w14:textId="77777777" w:rsidR="003C2372" w:rsidRPr="003C2372" w:rsidRDefault="003C2372" w:rsidP="00E509C8">
      <w:pPr>
        <w:rPr>
          <w:lang w:eastAsia="en-GB"/>
        </w:rPr>
      </w:pPr>
    </w:p>
    <w:p w14:paraId="54C05B71" w14:textId="446DA71C" w:rsidR="003C2372" w:rsidRPr="003C2372" w:rsidRDefault="003C2372" w:rsidP="00912FE4">
      <w:pPr>
        <w:pStyle w:val="Heading3"/>
        <w:rPr>
          <w:lang w:eastAsia="en-GB"/>
        </w:rPr>
      </w:pPr>
      <w:r w:rsidRPr="00E509C8">
        <w:rPr>
          <w:spacing w:val="2"/>
          <w:lang w:eastAsia="en-GB"/>
        </w:rPr>
        <w:t>Where the premises relocation is in relation to a dispensing doctor’s practice, contract managers should also refer to the Pharmacy Manual, as moving the site may have significant implications for which patients are eligible to be dispensed to by the practice.</w:t>
      </w:r>
      <w:r w:rsidR="00912FE4" w:rsidRPr="003C2372">
        <w:rPr>
          <w:lang w:eastAsia="en-GB"/>
        </w:rPr>
        <w:t xml:space="preserve"> </w:t>
      </w:r>
    </w:p>
    <w:p w14:paraId="3180BB8E" w14:textId="077DCE76" w:rsidR="003C2372" w:rsidRDefault="003C2372" w:rsidP="003C2372">
      <w:pPr>
        <w:pStyle w:val="Heading3"/>
        <w:rPr>
          <w:lang w:eastAsia="en-GB"/>
        </w:rPr>
      </w:pPr>
      <w:r w:rsidRPr="00E509C8">
        <w:rPr>
          <w:spacing w:val="2"/>
          <w:lang w:eastAsia="en-GB"/>
        </w:rPr>
        <w:t>The practice should also apply separately for permission to relocate the dispensing rights of the practice elsewhere, and the timeframes involved in getting approval for</w:t>
      </w:r>
      <w:r w:rsidRPr="003C2372">
        <w:rPr>
          <w:lang w:eastAsia="en-GB"/>
        </w:rPr>
        <w:t xml:space="preserve"> that relocation may influence the broader relocation plans and timetable</w:t>
      </w:r>
    </w:p>
    <w:p w14:paraId="006638F2" w14:textId="475FDAE0" w:rsidR="003C2372" w:rsidRDefault="003C2372" w:rsidP="00E509C8">
      <w:pPr>
        <w:rPr>
          <w:lang w:eastAsia="en-GB"/>
        </w:rPr>
      </w:pPr>
    </w:p>
    <w:p w14:paraId="435C96EC" w14:textId="4DADD4BB" w:rsidR="003C2372" w:rsidRDefault="003C2372" w:rsidP="00E509C8">
      <w:pPr>
        <w:rPr>
          <w:b/>
          <w:lang w:eastAsia="en-GB"/>
        </w:rPr>
      </w:pPr>
      <w:r w:rsidRPr="00E509C8">
        <w:rPr>
          <w:b/>
          <w:lang w:eastAsia="en-GB"/>
        </w:rPr>
        <w:t xml:space="preserve">Branch </w:t>
      </w:r>
      <w:r w:rsidR="00A832CB">
        <w:rPr>
          <w:b/>
          <w:lang w:eastAsia="en-GB"/>
        </w:rPr>
        <w:t>Surgeries</w:t>
      </w:r>
      <w:r w:rsidRPr="00E509C8">
        <w:rPr>
          <w:b/>
          <w:lang w:eastAsia="en-GB"/>
        </w:rPr>
        <w:t xml:space="preserve"> </w:t>
      </w:r>
    </w:p>
    <w:p w14:paraId="20C6F947" w14:textId="77777777" w:rsidR="003F1BA7" w:rsidRPr="00A553BA" w:rsidRDefault="003F1BA7" w:rsidP="00A553BA">
      <w:pPr>
        <w:rPr>
          <w:b/>
        </w:rPr>
      </w:pPr>
    </w:p>
    <w:p w14:paraId="509F88C5" w14:textId="73DFA721" w:rsidR="003C2372" w:rsidRDefault="003C2372" w:rsidP="003F1BA7">
      <w:pPr>
        <w:pStyle w:val="Heading3"/>
        <w:rPr>
          <w:lang w:eastAsia="en-GB"/>
        </w:rPr>
      </w:pPr>
      <w:r w:rsidRPr="00E509C8">
        <w:rPr>
          <w:lang w:eastAsia="en-GB"/>
        </w:rPr>
        <w:t>It is important to note that unless there are specific reasons for variation,  branch surgeries should be held to the same standard of service level as a ‘main surgery’, unless there is specific reason for a lesser service provision. An example of this may be in rural areas, where the principle is ensuring local access</w:t>
      </w:r>
      <w:r w:rsidRPr="00002546">
        <w:rPr>
          <w:lang w:eastAsia="en-GB"/>
        </w:rPr>
        <w:t xml:space="preserve"> and</w:t>
      </w:r>
      <w:r w:rsidRPr="00E509C8">
        <w:rPr>
          <w:lang w:eastAsia="en-GB"/>
        </w:rPr>
        <w:t xml:space="preserve"> this would be </w:t>
      </w:r>
      <w:r w:rsidRPr="00002546">
        <w:rPr>
          <w:lang w:eastAsia="en-GB"/>
        </w:rPr>
        <w:t>for</w:t>
      </w:r>
      <w:r w:rsidRPr="00E509C8">
        <w:rPr>
          <w:lang w:eastAsia="en-GB"/>
        </w:rPr>
        <w:t xml:space="preserve"> local commissioning determination. </w:t>
      </w:r>
    </w:p>
    <w:p w14:paraId="661B9FF6" w14:textId="77777777" w:rsidR="00A932E5" w:rsidRPr="00A932E5" w:rsidRDefault="00A932E5" w:rsidP="00A932E5">
      <w:pPr>
        <w:rPr>
          <w:lang w:eastAsia="en-GB"/>
        </w:rPr>
      </w:pPr>
    </w:p>
    <w:p w14:paraId="1D0E1F64" w14:textId="1C169CC1" w:rsidR="00977693" w:rsidRPr="00A932E5" w:rsidRDefault="00977693" w:rsidP="003F1BA7">
      <w:pPr>
        <w:rPr>
          <w:b/>
          <w:bCs w:val="0"/>
        </w:rPr>
      </w:pPr>
      <w:bookmarkStart w:id="826" w:name="_Toc440981952"/>
      <w:r w:rsidRPr="00A932E5">
        <w:rPr>
          <w:b/>
          <w:bCs w:val="0"/>
        </w:rPr>
        <w:t>Branch Closure</w:t>
      </w:r>
      <w:bookmarkEnd w:id="826"/>
    </w:p>
    <w:p w14:paraId="2A923065" w14:textId="77777777" w:rsidR="003F1BA7" w:rsidRPr="00A553BA" w:rsidRDefault="003F1BA7" w:rsidP="00A553BA"/>
    <w:p w14:paraId="41D70815" w14:textId="77777777" w:rsidR="00977693" w:rsidRPr="00CE0885" w:rsidRDefault="00977693" w:rsidP="00980A75">
      <w:pPr>
        <w:pStyle w:val="Heading3"/>
        <w:rPr>
          <w:lang w:eastAsia="en-GB"/>
        </w:rPr>
      </w:pPr>
      <w:bookmarkStart w:id="827" w:name="_Ref410634689"/>
      <w:bookmarkStart w:id="828" w:name="_Toc440981953"/>
      <w:r w:rsidRPr="00CE0885">
        <w:rPr>
          <w:lang w:eastAsia="en-GB"/>
        </w:rPr>
        <w:t>The closure of a branch surgery may be as a result of an application made by the contractor to the Commissioner or due to the Commissioner instigating the closure following full consideration of the impact of such a closure.</w:t>
      </w:r>
      <w:bookmarkEnd w:id="827"/>
      <w:bookmarkEnd w:id="828"/>
    </w:p>
    <w:p w14:paraId="715DF5C7" w14:textId="4EFCD484" w:rsidR="00977693" w:rsidRPr="00CE0885" w:rsidRDefault="00977693" w:rsidP="00980A75">
      <w:pPr>
        <w:pStyle w:val="Heading3"/>
        <w:rPr>
          <w:lang w:eastAsia="en-GB"/>
        </w:rPr>
      </w:pPr>
      <w:bookmarkStart w:id="829" w:name="_Toc440981954"/>
      <w:r w:rsidRPr="00CE0885">
        <w:rPr>
          <w:lang w:eastAsia="en-GB"/>
        </w:rPr>
        <w:t>In the circumstances that the Commissioner is instigating a branch closure, the Commissioner must be able to clearly demonstrate the grounds for such a closure and  fully considered any impact on the contractors registered population and any financial impact on the actual contractor. The Commissioner will be expected to demonstrate that they have considered any other options available prior to instigating a branch closure and entering into a dialogue with the contractor as to how the closure is to be managed.  The Commissioner will need to have complied with the duty (under section 13Q of the NHS Act) to involve patients in decision-making before any final decision to close a branch is made.</w:t>
      </w:r>
      <w:bookmarkEnd w:id="829"/>
    </w:p>
    <w:p w14:paraId="3CAABF91" w14:textId="042974A4" w:rsidR="00977693" w:rsidRPr="00CE0885" w:rsidRDefault="00977693" w:rsidP="00980A75">
      <w:pPr>
        <w:pStyle w:val="Heading3"/>
        <w:rPr>
          <w:lang w:eastAsia="en-GB"/>
        </w:rPr>
      </w:pPr>
      <w:bookmarkStart w:id="830" w:name="_Toc440981955"/>
      <w:r w:rsidRPr="00CE0885">
        <w:rPr>
          <w:lang w:eastAsia="en-GB"/>
        </w:rPr>
        <w:t>Where a contractor wishes to close a branch surgery, the contractor should have preliminary discussions with the Commissioner to determine appropriate and proportionate patient involvement requirements prior to the consideration of such a service provision change.  Even though the closure is being instigated by the contractor, the Commissioner will still need to comply with the section 13Q duty to involve patients in decision-making before any final decision is made.</w:t>
      </w:r>
      <w:bookmarkEnd w:id="830"/>
    </w:p>
    <w:p w14:paraId="7D83E348" w14:textId="3052C19B" w:rsidR="00977693" w:rsidRPr="00CE0885" w:rsidRDefault="00977693" w:rsidP="00980A75">
      <w:pPr>
        <w:pStyle w:val="Heading3"/>
        <w:rPr>
          <w:lang w:eastAsia="en-GB"/>
        </w:rPr>
      </w:pPr>
      <w:bookmarkStart w:id="831" w:name="_Toc440981956"/>
      <w:r w:rsidRPr="00CE0885">
        <w:rPr>
          <w:lang w:eastAsia="en-GB"/>
        </w:rPr>
        <w:t>The closure of a branch surgery would be a significant change to services for the registered population and as such the Commissioner and the contractor should engage in open dialogue in the first instance to consider the consequences and implications of the proposed change and discuss any possible alternatives that may be agreed between them.  At this stage</w:t>
      </w:r>
      <w:r w:rsidR="007D4DCE">
        <w:rPr>
          <w:lang w:eastAsia="en-GB"/>
        </w:rPr>
        <w:t>,</w:t>
      </w:r>
      <w:r w:rsidRPr="00CE0885">
        <w:rPr>
          <w:lang w:eastAsia="en-GB"/>
        </w:rPr>
        <w:t xml:space="preserve"> the duty to involve the public in proposals for change is triggered and the Commissioner and contractor should work together on fair and proportionate ways to achieve this. The Commissioner should ensure clarity on what involvement activities are required by the contractor.</w:t>
      </w:r>
      <w:bookmarkEnd w:id="831"/>
      <w:r w:rsidRPr="00CE0885">
        <w:rPr>
          <w:lang w:eastAsia="en-GB"/>
        </w:rPr>
        <w:t xml:space="preserve"> </w:t>
      </w:r>
    </w:p>
    <w:p w14:paraId="47B3378B" w14:textId="3BB36CCF" w:rsidR="00977693" w:rsidRPr="00A832CB" w:rsidRDefault="00977693" w:rsidP="00B6353E">
      <w:pPr>
        <w:pStyle w:val="BodyText"/>
        <w:ind w:left="720"/>
        <w:rPr>
          <w:sz w:val="24"/>
          <w:szCs w:val="24"/>
        </w:rPr>
      </w:pPr>
      <w:bookmarkStart w:id="832" w:name="_Ref412737059"/>
      <w:bookmarkStart w:id="833" w:name="_Toc440981957"/>
      <w:r w:rsidRPr="00A553BA">
        <w:rPr>
          <w:sz w:val="24"/>
        </w:rPr>
        <w:t xml:space="preserve">Contractor and Commissioner discussions resulting ultimately in a decision about a branch closure will often include consideration of (but not be </w:t>
      </w:r>
      <w:r w:rsidRPr="00A832CB">
        <w:rPr>
          <w:sz w:val="24"/>
          <w:szCs w:val="24"/>
        </w:rPr>
        <w:t>limited to):</w:t>
      </w:r>
      <w:bookmarkEnd w:id="832"/>
      <w:bookmarkEnd w:id="833"/>
    </w:p>
    <w:p w14:paraId="4166A909" w14:textId="77777777" w:rsidR="00977693" w:rsidRPr="003331F2" w:rsidRDefault="00977693" w:rsidP="006C3DF5">
      <w:pPr>
        <w:pStyle w:val="BodyText"/>
        <w:numPr>
          <w:ilvl w:val="0"/>
          <w:numId w:val="109"/>
        </w:numPr>
        <w:rPr>
          <w:rFonts w:cs="Arial"/>
          <w:bCs/>
          <w:sz w:val="24"/>
          <w:szCs w:val="24"/>
        </w:rPr>
      </w:pPr>
      <w:bookmarkStart w:id="834" w:name="_Toc440981958"/>
      <w:r w:rsidRPr="003331F2">
        <w:rPr>
          <w:rFonts w:cs="Arial"/>
          <w:bCs/>
          <w:sz w:val="24"/>
          <w:szCs w:val="24"/>
        </w:rPr>
        <w:t>financial viability;</w:t>
      </w:r>
      <w:bookmarkEnd w:id="834"/>
    </w:p>
    <w:p w14:paraId="1A6F9A6F" w14:textId="77777777" w:rsidR="00977693" w:rsidRPr="003331F2" w:rsidRDefault="00977693" w:rsidP="006C3DF5">
      <w:pPr>
        <w:pStyle w:val="BodyText"/>
        <w:numPr>
          <w:ilvl w:val="0"/>
          <w:numId w:val="109"/>
        </w:numPr>
        <w:rPr>
          <w:rFonts w:cs="Arial"/>
          <w:bCs/>
          <w:sz w:val="24"/>
          <w:szCs w:val="24"/>
        </w:rPr>
      </w:pPr>
      <w:bookmarkStart w:id="835" w:name="_Toc440981959"/>
      <w:r w:rsidRPr="003331F2">
        <w:rPr>
          <w:rFonts w:cs="Arial"/>
          <w:bCs/>
          <w:sz w:val="24"/>
          <w:szCs w:val="24"/>
        </w:rPr>
        <w:t>registered list size and patient demographics;</w:t>
      </w:r>
      <w:bookmarkEnd w:id="835"/>
    </w:p>
    <w:p w14:paraId="468457D6" w14:textId="77777777" w:rsidR="00977693" w:rsidRPr="003331F2" w:rsidRDefault="00977693" w:rsidP="006C3DF5">
      <w:pPr>
        <w:pStyle w:val="BodyText"/>
        <w:numPr>
          <w:ilvl w:val="0"/>
          <w:numId w:val="109"/>
        </w:numPr>
        <w:rPr>
          <w:rFonts w:cs="Arial"/>
          <w:bCs/>
          <w:sz w:val="24"/>
          <w:szCs w:val="24"/>
        </w:rPr>
      </w:pPr>
      <w:bookmarkStart w:id="836" w:name="_Toc440981960"/>
      <w:r w:rsidRPr="003331F2">
        <w:rPr>
          <w:rFonts w:cs="Arial"/>
          <w:bCs/>
          <w:sz w:val="24"/>
          <w:szCs w:val="24"/>
        </w:rPr>
        <w:t>condition, accessibility and compliance to required standards of the premises;</w:t>
      </w:r>
      <w:bookmarkEnd w:id="836"/>
    </w:p>
    <w:p w14:paraId="5E2A7978" w14:textId="77777777" w:rsidR="00977693" w:rsidRPr="003331F2" w:rsidRDefault="00977693" w:rsidP="006C3DF5">
      <w:pPr>
        <w:pStyle w:val="BodyText"/>
        <w:numPr>
          <w:ilvl w:val="0"/>
          <w:numId w:val="109"/>
        </w:numPr>
        <w:rPr>
          <w:rFonts w:cs="Arial"/>
          <w:bCs/>
          <w:sz w:val="24"/>
          <w:szCs w:val="24"/>
        </w:rPr>
      </w:pPr>
      <w:bookmarkStart w:id="837" w:name="_Toc440981961"/>
      <w:r w:rsidRPr="003331F2">
        <w:rPr>
          <w:rFonts w:cs="Arial"/>
          <w:bCs/>
          <w:sz w:val="24"/>
          <w:szCs w:val="24"/>
        </w:rPr>
        <w:t>accessibility of the main surgery premises including transport implications;</w:t>
      </w:r>
      <w:bookmarkEnd w:id="837"/>
      <w:r w:rsidRPr="003331F2">
        <w:rPr>
          <w:rFonts w:cs="Arial"/>
          <w:bCs/>
          <w:sz w:val="24"/>
          <w:szCs w:val="24"/>
        </w:rPr>
        <w:t xml:space="preserve"> </w:t>
      </w:r>
    </w:p>
    <w:p w14:paraId="1E82CA6F" w14:textId="77777777" w:rsidR="00977693" w:rsidRPr="003331F2" w:rsidRDefault="00977693" w:rsidP="006C3DF5">
      <w:pPr>
        <w:pStyle w:val="BodyText"/>
        <w:numPr>
          <w:ilvl w:val="0"/>
          <w:numId w:val="109"/>
        </w:numPr>
        <w:rPr>
          <w:rFonts w:cs="Arial"/>
          <w:bCs/>
          <w:sz w:val="24"/>
          <w:szCs w:val="24"/>
        </w:rPr>
      </w:pPr>
      <w:bookmarkStart w:id="838" w:name="_Toc440981962"/>
      <w:r w:rsidRPr="003331F2">
        <w:rPr>
          <w:rFonts w:cs="Arial"/>
          <w:bCs/>
          <w:sz w:val="24"/>
          <w:szCs w:val="24"/>
        </w:rPr>
        <w:t>the Commissioner’s strategic plans for the area;</w:t>
      </w:r>
      <w:bookmarkEnd w:id="838"/>
    </w:p>
    <w:p w14:paraId="1A9CD600" w14:textId="77777777" w:rsidR="00977693" w:rsidRPr="003331F2" w:rsidRDefault="00977693" w:rsidP="006C3DF5">
      <w:pPr>
        <w:pStyle w:val="BodyText"/>
        <w:numPr>
          <w:ilvl w:val="0"/>
          <w:numId w:val="109"/>
        </w:numPr>
        <w:rPr>
          <w:rFonts w:cs="Arial"/>
          <w:bCs/>
          <w:sz w:val="24"/>
          <w:szCs w:val="24"/>
        </w:rPr>
      </w:pPr>
      <w:bookmarkStart w:id="839" w:name="_Toc440981963"/>
      <w:r w:rsidRPr="003331F2">
        <w:rPr>
          <w:rFonts w:cs="Arial"/>
          <w:bCs/>
          <w:sz w:val="24"/>
          <w:szCs w:val="24"/>
        </w:rPr>
        <w:t>other primary health care provision within the locality (including other providers and their current list provision, accessibility, dispensaries and rural issues);</w:t>
      </w:r>
      <w:bookmarkEnd w:id="839"/>
    </w:p>
    <w:p w14:paraId="0DCA7108" w14:textId="77777777" w:rsidR="00977693" w:rsidRPr="003331F2" w:rsidRDefault="00977693" w:rsidP="006C3DF5">
      <w:pPr>
        <w:pStyle w:val="BodyText"/>
        <w:numPr>
          <w:ilvl w:val="0"/>
          <w:numId w:val="109"/>
        </w:numPr>
        <w:rPr>
          <w:rFonts w:cs="Arial"/>
          <w:bCs/>
          <w:sz w:val="24"/>
          <w:szCs w:val="24"/>
        </w:rPr>
      </w:pPr>
      <w:bookmarkStart w:id="840" w:name="_Toc440981964"/>
      <w:r w:rsidRPr="003331F2">
        <w:rPr>
          <w:rFonts w:cs="Arial"/>
          <w:bCs/>
          <w:sz w:val="24"/>
          <w:szCs w:val="24"/>
        </w:rPr>
        <w:t>dispensing implications (if a dispensing practice);</w:t>
      </w:r>
      <w:bookmarkEnd w:id="840"/>
    </w:p>
    <w:p w14:paraId="2A5EE7C5" w14:textId="77777777" w:rsidR="00977693" w:rsidRPr="003331F2" w:rsidRDefault="00977693" w:rsidP="006C3DF5">
      <w:pPr>
        <w:pStyle w:val="BodyText"/>
        <w:numPr>
          <w:ilvl w:val="0"/>
          <w:numId w:val="109"/>
        </w:numPr>
        <w:rPr>
          <w:rFonts w:cs="Arial"/>
          <w:bCs/>
          <w:sz w:val="24"/>
          <w:szCs w:val="24"/>
        </w:rPr>
      </w:pPr>
      <w:bookmarkStart w:id="841" w:name="_Toc440981965"/>
      <w:r w:rsidRPr="003331F2">
        <w:rPr>
          <w:rFonts w:cs="Arial"/>
          <w:bCs/>
          <w:sz w:val="24"/>
          <w:szCs w:val="24"/>
        </w:rPr>
        <w:t>whether the contractor is currently in receipt of premises costs for the relevant premises;</w:t>
      </w:r>
      <w:bookmarkEnd w:id="841"/>
    </w:p>
    <w:p w14:paraId="15EE3C52" w14:textId="77777777" w:rsidR="00977693" w:rsidRPr="003331F2" w:rsidRDefault="00977693" w:rsidP="006C3DF5">
      <w:pPr>
        <w:pStyle w:val="BodyText"/>
        <w:numPr>
          <w:ilvl w:val="0"/>
          <w:numId w:val="109"/>
        </w:numPr>
        <w:rPr>
          <w:rFonts w:cs="Arial"/>
          <w:bCs/>
          <w:sz w:val="24"/>
          <w:szCs w:val="24"/>
        </w:rPr>
      </w:pPr>
      <w:bookmarkStart w:id="842" w:name="_Toc440981966"/>
      <w:r w:rsidRPr="003331F2">
        <w:rPr>
          <w:rFonts w:cs="Arial"/>
          <w:bCs/>
          <w:sz w:val="24"/>
          <w:szCs w:val="24"/>
        </w:rPr>
        <w:t>other payment amendments;</w:t>
      </w:r>
      <w:bookmarkEnd w:id="842"/>
    </w:p>
    <w:p w14:paraId="6F8CE1C4" w14:textId="77777777" w:rsidR="00977693" w:rsidRPr="003331F2" w:rsidRDefault="00977693" w:rsidP="006C3DF5">
      <w:pPr>
        <w:pStyle w:val="BodyText"/>
        <w:numPr>
          <w:ilvl w:val="0"/>
          <w:numId w:val="109"/>
        </w:numPr>
        <w:rPr>
          <w:rFonts w:cs="Arial"/>
          <w:bCs/>
          <w:sz w:val="24"/>
          <w:szCs w:val="24"/>
        </w:rPr>
      </w:pPr>
      <w:bookmarkStart w:id="843" w:name="_Toc440981967"/>
      <w:r w:rsidRPr="003331F2">
        <w:rPr>
          <w:rFonts w:cs="Arial"/>
          <w:bCs/>
          <w:sz w:val="24"/>
          <w:szCs w:val="24"/>
        </w:rPr>
        <w:t>possible co-location of services;</w:t>
      </w:r>
      <w:bookmarkEnd w:id="843"/>
    </w:p>
    <w:p w14:paraId="0ABDFD17" w14:textId="77777777" w:rsidR="00977693" w:rsidRPr="003331F2" w:rsidRDefault="00977693" w:rsidP="006C3DF5">
      <w:pPr>
        <w:pStyle w:val="BodyText"/>
        <w:numPr>
          <w:ilvl w:val="0"/>
          <w:numId w:val="109"/>
        </w:numPr>
        <w:rPr>
          <w:rFonts w:cs="Arial"/>
          <w:bCs/>
          <w:sz w:val="24"/>
          <w:szCs w:val="24"/>
        </w:rPr>
      </w:pPr>
      <w:bookmarkStart w:id="844" w:name="_Toc440981968"/>
      <w:r w:rsidRPr="003331F2">
        <w:rPr>
          <w:rFonts w:cs="Arial"/>
          <w:bCs/>
          <w:sz w:val="24"/>
          <w:szCs w:val="24"/>
        </w:rPr>
        <w:t>rurality issues;</w:t>
      </w:r>
      <w:bookmarkEnd w:id="844"/>
    </w:p>
    <w:p w14:paraId="35A30996" w14:textId="77777777" w:rsidR="00977693" w:rsidRPr="003331F2" w:rsidRDefault="00977693" w:rsidP="006C3DF5">
      <w:pPr>
        <w:pStyle w:val="BodyText"/>
        <w:numPr>
          <w:ilvl w:val="0"/>
          <w:numId w:val="109"/>
        </w:numPr>
        <w:rPr>
          <w:rFonts w:cs="Arial"/>
          <w:bCs/>
          <w:sz w:val="24"/>
          <w:szCs w:val="24"/>
        </w:rPr>
      </w:pPr>
      <w:bookmarkStart w:id="845" w:name="_Toc440981969"/>
      <w:r w:rsidRPr="003331F2">
        <w:rPr>
          <w:rFonts w:cs="Arial"/>
          <w:bCs/>
          <w:sz w:val="24"/>
          <w:szCs w:val="24"/>
        </w:rPr>
        <w:t>patient feedback;</w:t>
      </w:r>
      <w:bookmarkEnd w:id="845"/>
    </w:p>
    <w:p w14:paraId="4AB39C1A" w14:textId="77777777" w:rsidR="00977693" w:rsidRPr="003331F2" w:rsidRDefault="00977693" w:rsidP="006C3DF5">
      <w:pPr>
        <w:pStyle w:val="BodyText"/>
        <w:numPr>
          <w:ilvl w:val="0"/>
          <w:numId w:val="109"/>
        </w:numPr>
        <w:rPr>
          <w:rFonts w:cs="Arial"/>
          <w:bCs/>
          <w:sz w:val="24"/>
          <w:szCs w:val="24"/>
        </w:rPr>
      </w:pPr>
      <w:bookmarkStart w:id="846" w:name="_Toc440981970"/>
      <w:r w:rsidRPr="003331F2">
        <w:rPr>
          <w:rFonts w:cs="Arial"/>
          <w:bCs/>
          <w:sz w:val="24"/>
          <w:szCs w:val="24"/>
        </w:rPr>
        <w:t>any impact on groups protected by the Equality Act 2010 (for further detail see chapter 4 (General duties of NHS England);</w:t>
      </w:r>
      <w:bookmarkEnd w:id="846"/>
    </w:p>
    <w:p w14:paraId="67787EC3" w14:textId="77777777" w:rsidR="00977693" w:rsidRPr="003331F2" w:rsidRDefault="00977693" w:rsidP="006C3DF5">
      <w:pPr>
        <w:pStyle w:val="BodyText"/>
        <w:numPr>
          <w:ilvl w:val="0"/>
          <w:numId w:val="109"/>
        </w:numPr>
        <w:rPr>
          <w:rFonts w:cs="Arial"/>
          <w:bCs/>
          <w:sz w:val="24"/>
          <w:szCs w:val="24"/>
        </w:rPr>
      </w:pPr>
      <w:bookmarkStart w:id="847" w:name="_Toc440981971"/>
      <w:r w:rsidRPr="003331F2">
        <w:rPr>
          <w:rFonts w:cs="Arial"/>
          <w:bCs/>
          <w:sz w:val="24"/>
          <w:szCs w:val="24"/>
        </w:rPr>
        <w:t>the impact on health and health inequalities; and</w:t>
      </w:r>
      <w:bookmarkEnd w:id="847"/>
    </w:p>
    <w:p w14:paraId="14A3FF92" w14:textId="77777777" w:rsidR="00977693" w:rsidRPr="003331F2" w:rsidRDefault="00977693" w:rsidP="006C3DF5">
      <w:pPr>
        <w:pStyle w:val="BodyText"/>
        <w:numPr>
          <w:ilvl w:val="0"/>
          <w:numId w:val="109"/>
        </w:numPr>
        <w:rPr>
          <w:rFonts w:cs="Arial"/>
          <w:bCs/>
          <w:sz w:val="24"/>
          <w:szCs w:val="24"/>
        </w:rPr>
      </w:pPr>
      <w:bookmarkStart w:id="848" w:name="_Toc440981972"/>
      <w:r w:rsidRPr="003331F2">
        <w:rPr>
          <w:rFonts w:cs="Arial"/>
          <w:bCs/>
          <w:sz w:val="24"/>
          <w:szCs w:val="24"/>
        </w:rPr>
        <w:t>any other relevant duties under Part 2 of the NHS Act (for further detail see chapter 4 (General duties of NHS England).</w:t>
      </w:r>
      <w:bookmarkEnd w:id="848"/>
      <w:r w:rsidRPr="003331F2">
        <w:rPr>
          <w:rFonts w:cs="Arial"/>
          <w:bCs/>
          <w:sz w:val="24"/>
          <w:szCs w:val="24"/>
        </w:rPr>
        <w:t xml:space="preserve"> </w:t>
      </w:r>
    </w:p>
    <w:p w14:paraId="729039C3" w14:textId="77777777" w:rsidR="00977693" w:rsidRPr="00CE0885" w:rsidRDefault="00977693" w:rsidP="00980A75">
      <w:pPr>
        <w:pStyle w:val="Heading3"/>
        <w:rPr>
          <w:lang w:eastAsia="en-GB"/>
        </w:rPr>
      </w:pPr>
      <w:bookmarkStart w:id="849" w:name="_Toc440981973"/>
      <w:r w:rsidRPr="00CE0885">
        <w:rPr>
          <w:lang w:eastAsia="en-GB"/>
        </w:rPr>
        <w:t>The Commissioner and contractor, through their dialogue, may establish that there is a need to retain medical service provision in the locality and must find a solution, which could include tendering for a new provider within that locality though not necessarily within the same premises.  Note that most changes in premises will trigger the commissioner's duties to involve patients in decision-making.</w:t>
      </w:r>
      <w:bookmarkEnd w:id="849"/>
    </w:p>
    <w:p w14:paraId="2204D0BF" w14:textId="403606F4" w:rsidR="00977693" w:rsidRPr="00CE0885" w:rsidRDefault="00977693" w:rsidP="00980A75">
      <w:pPr>
        <w:pStyle w:val="Heading3"/>
        <w:rPr>
          <w:lang w:eastAsia="en-GB"/>
        </w:rPr>
      </w:pPr>
      <w:bookmarkStart w:id="850" w:name="_Toc440981974"/>
      <w:r w:rsidRPr="00CE0885">
        <w:rPr>
          <w:lang w:eastAsia="en-GB"/>
        </w:rPr>
        <w:t>The Commissioner should confirm any such arrangements and agreements in writing to the contractor as soon as is practicably possible after the agreement is reached</w:t>
      </w:r>
      <w:r w:rsidR="002025D6">
        <w:rPr>
          <w:lang w:eastAsia="en-GB"/>
        </w:rPr>
        <w:t xml:space="preserve"> and </w:t>
      </w:r>
      <w:r w:rsidR="002025D6" w:rsidRPr="00B047B4">
        <w:rPr>
          <w:b/>
          <w:lang w:eastAsia="en-GB"/>
        </w:rPr>
        <w:t>must</w:t>
      </w:r>
      <w:r w:rsidR="002025D6">
        <w:rPr>
          <w:lang w:eastAsia="en-GB"/>
        </w:rPr>
        <w:t xml:space="preserve"> notify PCSE of any branch closures.</w:t>
      </w:r>
      <w:bookmarkEnd w:id="850"/>
    </w:p>
    <w:p w14:paraId="2DC9003C" w14:textId="25CE1AFD" w:rsidR="00977693" w:rsidRPr="00CE0885" w:rsidRDefault="00977693" w:rsidP="00980A75">
      <w:pPr>
        <w:pStyle w:val="Heading3"/>
        <w:rPr>
          <w:lang w:eastAsia="en-GB"/>
        </w:rPr>
      </w:pPr>
      <w:bookmarkStart w:id="851" w:name="_Toc440981975"/>
      <w:r w:rsidRPr="00CE0885">
        <w:rPr>
          <w:lang w:eastAsia="en-GB"/>
        </w:rPr>
        <w:t xml:space="preserve">If the Commissioner and the contractor are unable to reach an agreement to keep the branch surgery open, then the contractor, based upon their previous discussions with the Commissioner regarding appropriate and proportionate involvement, </w:t>
      </w:r>
      <w:r w:rsidR="00EF433F" w:rsidRPr="00CE0885">
        <w:rPr>
          <w:lang w:eastAsia="en-GB"/>
        </w:rPr>
        <w:t>will continue</w:t>
      </w:r>
      <w:r w:rsidRPr="00CE0885">
        <w:rPr>
          <w:lang w:eastAsia="en-GB"/>
        </w:rPr>
        <w:t xml:space="preserve"> to involve patients in the proposed changes.</w:t>
      </w:r>
      <w:bookmarkEnd w:id="851"/>
    </w:p>
    <w:p w14:paraId="131AD744" w14:textId="5871E213" w:rsidR="00977693" w:rsidRPr="009055A7" w:rsidRDefault="00977693" w:rsidP="00980A75">
      <w:pPr>
        <w:pStyle w:val="Heading3"/>
        <w:rPr>
          <w:sz w:val="20"/>
          <w:szCs w:val="20"/>
          <w:lang w:eastAsia="en-GB"/>
        </w:rPr>
      </w:pPr>
      <w:bookmarkStart w:id="852" w:name="_Toc440981976"/>
      <w:r w:rsidRPr="00CE0885">
        <w:rPr>
          <w:lang w:eastAsia="en-GB"/>
        </w:rPr>
        <w:t xml:space="preserve">The contractor is required to follow </w:t>
      </w:r>
      <w:hyperlink r:id="rId122" w:history="1">
        <w:r w:rsidRPr="00CE0885">
          <w:rPr>
            <w:u w:val="single"/>
            <w:lang w:eastAsia="en-GB"/>
          </w:rPr>
          <w:t>The Patient and Public Participation Policy</w:t>
        </w:r>
      </w:hyperlink>
      <w:r w:rsidRPr="00CE0885">
        <w:rPr>
          <w:lang w:eastAsia="en-GB"/>
        </w:rPr>
        <w:t xml:space="preserve">, </w:t>
      </w:r>
      <w:hyperlink r:id="rId123" w:history="1">
        <w:r w:rsidRPr="00CE0885">
          <w:rPr>
            <w:u w:val="single"/>
            <w:lang w:eastAsia="en-GB"/>
          </w:rPr>
          <w:t>The Statement of Arrangements &amp; Guidance on Patient and Public Participation in Commissioning</w:t>
        </w:r>
      </w:hyperlink>
      <w:r w:rsidRPr="00CE0885">
        <w:rPr>
          <w:lang w:eastAsia="en-GB"/>
        </w:rPr>
        <w:t xml:space="preserve"> and </w:t>
      </w:r>
      <w:hyperlink r:id="rId124" w:history="1">
        <w:r w:rsidRPr="00CE0885">
          <w:rPr>
            <w:u w:val="single"/>
            <w:lang w:eastAsia="en-GB"/>
          </w:rPr>
          <w:t>The Framework for Patient and Public Participation in Primary Care Commissioning</w:t>
        </w:r>
      </w:hyperlink>
      <w:r w:rsidRPr="00CE0885">
        <w:rPr>
          <w:lang w:eastAsia="en-GB"/>
        </w:rPr>
        <w:t xml:space="preserve"> process as appropriate to the arrangements agreed with the Commissioner, with support and advice as appropriate from the Commissioner.  Adherence to the PPP involvement process will help ensure that an appropriate involvement exercise is carried out, that meets the legal obligations on the Commissioner</w:t>
      </w:r>
      <w:r w:rsidRPr="009055A7">
        <w:rPr>
          <w:sz w:val="20"/>
          <w:szCs w:val="20"/>
          <w:lang w:eastAsia="en-GB"/>
        </w:rPr>
        <w:t>.</w:t>
      </w:r>
      <w:bookmarkEnd w:id="852"/>
      <w:r w:rsidRPr="009055A7">
        <w:rPr>
          <w:sz w:val="20"/>
          <w:szCs w:val="20"/>
          <w:lang w:eastAsia="en-GB"/>
        </w:rPr>
        <w:t xml:space="preserve"> </w:t>
      </w:r>
    </w:p>
    <w:p w14:paraId="07C0FA89" w14:textId="48EF3B51" w:rsidR="00977693" w:rsidRPr="00CE0885" w:rsidRDefault="00977693" w:rsidP="00980A75">
      <w:pPr>
        <w:pStyle w:val="Heading3"/>
        <w:rPr>
          <w:lang w:eastAsia="en-GB"/>
        </w:rPr>
      </w:pPr>
      <w:bookmarkStart w:id="853" w:name="_Toc440981977"/>
      <w:r w:rsidRPr="00CE0885">
        <w:rPr>
          <w:lang w:eastAsia="en-GB"/>
        </w:rPr>
        <w:t>Once this involvement exercise has been undertaken and the results provided to the Commissioner, the contractor would then submit a formal application to close the branch surgery to the Commissioner for consideration (Annex 14A).</w:t>
      </w:r>
      <w:bookmarkEnd w:id="853"/>
    </w:p>
    <w:p w14:paraId="11582167" w14:textId="3F7F5263" w:rsidR="00977693" w:rsidRPr="00CE0885" w:rsidRDefault="00977693" w:rsidP="00980A75">
      <w:pPr>
        <w:pStyle w:val="Heading3"/>
        <w:rPr>
          <w:lang w:eastAsia="en-GB"/>
        </w:rPr>
      </w:pPr>
      <w:bookmarkStart w:id="854" w:name="_Toc440981978"/>
      <w:r w:rsidRPr="00CE0885">
        <w:rPr>
          <w:lang w:eastAsia="en-GB"/>
        </w:rPr>
        <w:t xml:space="preserve">The Commissioner will then assess the application regarding the closure and the outcome of the patient involvement exercise with a view to either accepting or refusing the proposal. These assessments will need to again consider all the relevant factors, including those listed </w:t>
      </w:r>
      <w:r w:rsidR="00DF0867">
        <w:rPr>
          <w:lang w:eastAsia="en-GB"/>
        </w:rPr>
        <w:t>in</w:t>
      </w:r>
      <w:r w:rsidRPr="00CE0885">
        <w:rPr>
          <w:lang w:eastAsia="en-GB"/>
        </w:rPr>
        <w:t xml:space="preserve"> paragraph</w:t>
      </w:r>
      <w:r w:rsidR="007500C5">
        <w:rPr>
          <w:lang w:eastAsia="en-GB"/>
        </w:rPr>
        <w:t xml:space="preserve"> 7.15.13</w:t>
      </w:r>
      <w:r w:rsidRPr="00CE0885">
        <w:rPr>
          <w:lang w:eastAsia="en-GB"/>
        </w:rPr>
        <w:t>.  The Commissioner should document how it has taken the various factors into account.</w:t>
      </w:r>
      <w:bookmarkEnd w:id="854"/>
    </w:p>
    <w:p w14:paraId="7D0638C4" w14:textId="1DD25452" w:rsidR="00977693" w:rsidRPr="00CE0885" w:rsidRDefault="00977693" w:rsidP="00980A75">
      <w:pPr>
        <w:pStyle w:val="Heading3"/>
        <w:rPr>
          <w:lang w:eastAsia="en-GB"/>
        </w:rPr>
      </w:pPr>
      <w:bookmarkStart w:id="855" w:name="_Toc440981979"/>
      <w:r w:rsidRPr="00CE0885">
        <w:rPr>
          <w:lang w:eastAsia="en-GB"/>
        </w:rPr>
        <w:t xml:space="preserve">Either the contractor or the Commissioner may invite the LMC to be </w:t>
      </w:r>
      <w:r w:rsidR="007500C5">
        <w:rPr>
          <w:lang w:eastAsia="en-GB"/>
        </w:rPr>
        <w:t xml:space="preserve">a </w:t>
      </w:r>
      <w:r w:rsidRPr="00CE0885">
        <w:rPr>
          <w:lang w:eastAsia="en-GB"/>
        </w:rPr>
        <w:t>party to these discussions at any time.</w:t>
      </w:r>
      <w:bookmarkEnd w:id="855"/>
    </w:p>
    <w:p w14:paraId="72BCBAED" w14:textId="754C90D8" w:rsidR="00977693" w:rsidRPr="00CE0885" w:rsidRDefault="00977693" w:rsidP="00980A75">
      <w:pPr>
        <w:pStyle w:val="Heading3"/>
        <w:rPr>
          <w:lang w:eastAsia="en-GB"/>
        </w:rPr>
      </w:pPr>
      <w:bookmarkStart w:id="856" w:name="_Toc440981980"/>
      <w:r w:rsidRPr="00CE0885">
        <w:rPr>
          <w:lang w:eastAsia="en-GB"/>
        </w:rPr>
        <w:t>Where the Commissioner refuses the branch closure through its internal assessment procedure, the contractor shall be notified in writing within 28 days following the internal assessment and the contractor may then follow the relevant resolution process as referenced in the contract. Please refer to Annex 14B.</w:t>
      </w:r>
      <w:bookmarkEnd w:id="856"/>
    </w:p>
    <w:p w14:paraId="4D5BFC86" w14:textId="77777777" w:rsidR="00977693" w:rsidRPr="00CE0885" w:rsidRDefault="00977693" w:rsidP="00980A75">
      <w:pPr>
        <w:pStyle w:val="Heading3"/>
        <w:rPr>
          <w:lang w:eastAsia="en-GB"/>
        </w:rPr>
      </w:pPr>
      <w:bookmarkStart w:id="857" w:name="_Toc440981981"/>
      <w:bookmarkStart w:id="858" w:name="OLE_LINK1"/>
      <w:r w:rsidRPr="00CE0885">
        <w:rPr>
          <w:lang w:eastAsia="en-GB"/>
        </w:rPr>
        <w:t>Where the Commissioner approves the branch closure, the Commissioner will need to ensure that it retrieves all NHS owned assets from the premises.</w:t>
      </w:r>
      <w:bookmarkEnd w:id="857"/>
      <w:r w:rsidRPr="00CE0885">
        <w:rPr>
          <w:lang w:eastAsia="en-GB"/>
        </w:rPr>
        <w:t xml:space="preserve"> </w:t>
      </w:r>
    </w:p>
    <w:p w14:paraId="5CF38635" w14:textId="258C615E" w:rsidR="00977693" w:rsidRPr="00CE0885" w:rsidRDefault="00977693" w:rsidP="00980A75">
      <w:pPr>
        <w:pStyle w:val="Heading3"/>
        <w:rPr>
          <w:lang w:eastAsia="en-GB"/>
        </w:rPr>
      </w:pPr>
      <w:bookmarkStart w:id="859" w:name="_Toc440981982"/>
      <w:bookmarkEnd w:id="858"/>
      <w:r w:rsidRPr="00CE0885">
        <w:rPr>
          <w:lang w:eastAsia="en-GB"/>
        </w:rPr>
        <w:t xml:space="preserve">The contractor remains responsible for ensuring the transfer of patient records (electronic and paper Lloyd George notes) and confidential information to the main surgery, having full regard to confidentiality and data protection requirements, Records Management: NHS Code of Practice guidance and any relevant guidance from the </w:t>
      </w:r>
      <w:r w:rsidR="00C7628E">
        <w:rPr>
          <w:lang w:eastAsia="en-GB"/>
        </w:rPr>
        <w:t>NHS Digital</w:t>
      </w:r>
      <w:r w:rsidRPr="00CE0885">
        <w:rPr>
          <w:lang w:eastAsia="en-GB"/>
        </w:rPr>
        <w:t xml:space="preserve"> or the Information Commissioner's Office. Where a third party contractor is being used to handle records, they must be vetted and appropriate contractual arrangements put in place. Further information is contained in Annex 15.</w:t>
      </w:r>
      <w:bookmarkEnd w:id="859"/>
    </w:p>
    <w:p w14:paraId="05707DD1" w14:textId="03E73EF8" w:rsidR="00977693" w:rsidRPr="00CE0885" w:rsidRDefault="00977693" w:rsidP="00980A75">
      <w:pPr>
        <w:pStyle w:val="Heading3"/>
        <w:rPr>
          <w:lang w:eastAsia="en-GB"/>
        </w:rPr>
      </w:pPr>
      <w:bookmarkStart w:id="860" w:name="_Toc440981983"/>
      <w:r w:rsidRPr="00CE0885">
        <w:rPr>
          <w:lang w:eastAsia="en-GB"/>
        </w:rPr>
        <w:t xml:space="preserve">The contractor remains responsible for carrying out public involvement in accordance with the instructions given by the Commissioner and informing the registered patients of the proposed changes. However, ultimately it is the Commissioner's responsibility to ensure that involvement activities have met legal requirements, even if carried out by the contractor.  Further guidance can be found in the NHS England documents </w:t>
      </w:r>
      <w:bookmarkEnd w:id="860"/>
      <w:r w:rsidRPr="002306F3">
        <w:rPr>
          <w:color w:val="005EB8" w:themeColor="text2"/>
        </w:rPr>
        <w:fldChar w:fldCharType="begin"/>
      </w:r>
      <w:r w:rsidRPr="002306F3">
        <w:rPr>
          <w:color w:val="005EB8" w:themeColor="text2"/>
        </w:rPr>
        <w:instrText xml:space="preserve"> HYPERLINK "https://www.england.nhs.uk/wp-content/uploads/2017/04/ppp-policy.pdf" </w:instrText>
      </w:r>
      <w:r w:rsidRPr="002306F3">
        <w:rPr>
          <w:color w:val="005EB8" w:themeColor="text2"/>
        </w:rPr>
        <w:fldChar w:fldCharType="separate"/>
      </w:r>
      <w:r w:rsidRPr="002306F3">
        <w:rPr>
          <w:color w:val="005EB8" w:themeColor="text2"/>
          <w:u w:val="single"/>
        </w:rPr>
        <w:t>The Patient and Public Participation Policy</w:t>
      </w:r>
      <w:r w:rsidRPr="002306F3">
        <w:rPr>
          <w:color w:val="005EB8" w:themeColor="text2"/>
        </w:rPr>
        <w:fldChar w:fldCharType="end"/>
      </w:r>
      <w:r w:rsidRPr="00CE0885">
        <w:rPr>
          <w:lang w:eastAsia="en-GB"/>
        </w:rPr>
        <w:t xml:space="preserve">, </w:t>
      </w:r>
      <w:hyperlink r:id="rId125" w:history="1">
        <w:r w:rsidRPr="002306F3">
          <w:rPr>
            <w:color w:val="005EB8" w:themeColor="text2"/>
            <w:u w:val="single"/>
          </w:rPr>
          <w:t>The Statement of Arrangements &amp; Guidance on Patient and Public Participation in Commissioning</w:t>
        </w:r>
        <w:r w:rsidRPr="00CE0885">
          <w:rPr>
            <w:u w:val="single"/>
            <w:lang w:eastAsia="en-GB"/>
          </w:rPr>
          <w:t>,</w:t>
        </w:r>
      </w:hyperlink>
      <w:r w:rsidRPr="00CE0885">
        <w:rPr>
          <w:lang w:eastAsia="en-GB"/>
        </w:rPr>
        <w:t xml:space="preserve"> and </w:t>
      </w:r>
      <w:hyperlink r:id="rId126" w:history="1">
        <w:r w:rsidRPr="002306F3">
          <w:rPr>
            <w:color w:val="005EB8" w:themeColor="text2"/>
            <w:u w:val="single"/>
          </w:rPr>
          <w:t>The Framework for Patient and Public Participation in Primary Care Commissioning</w:t>
        </w:r>
      </w:hyperlink>
    </w:p>
    <w:p w14:paraId="4797773E" w14:textId="5A3D08D6" w:rsidR="00977693" w:rsidRPr="00CE0885" w:rsidRDefault="00977693" w:rsidP="00980A75">
      <w:pPr>
        <w:pStyle w:val="Heading3"/>
        <w:rPr>
          <w:lang w:eastAsia="en-GB"/>
        </w:rPr>
      </w:pPr>
      <w:bookmarkStart w:id="861" w:name="_Toc440981984"/>
      <w:r w:rsidRPr="00CE0885">
        <w:rPr>
          <w:lang w:eastAsia="en-GB"/>
        </w:rPr>
        <w:t>Once the final date for closure is confirmed</w:t>
      </w:r>
      <w:r w:rsidR="007500C5">
        <w:rPr>
          <w:lang w:eastAsia="en-GB"/>
        </w:rPr>
        <w:t>,</w:t>
      </w:r>
      <w:r w:rsidRPr="00CE0885">
        <w:rPr>
          <w:lang w:eastAsia="en-GB"/>
        </w:rPr>
        <w:t xml:space="preserve"> the Commissioner will issue a standard variation notice to remove the registered address of the branch surgery from the contract, including the amended sections of the contract for completeness.</w:t>
      </w:r>
      <w:bookmarkEnd w:id="861"/>
    </w:p>
    <w:p w14:paraId="18C667D5" w14:textId="382E5A83" w:rsidR="00977693" w:rsidRPr="00CE0885" w:rsidRDefault="00977693" w:rsidP="00980A75">
      <w:pPr>
        <w:pStyle w:val="Heading3"/>
        <w:rPr>
          <w:lang w:eastAsia="en-GB"/>
        </w:rPr>
      </w:pPr>
      <w:bookmarkStart w:id="862" w:name="_Toc440981985"/>
      <w:r w:rsidRPr="00CE0885">
        <w:rPr>
          <w:lang w:eastAsia="en-GB"/>
        </w:rPr>
        <w:t>Where the contractor has previously been granted premises consent to dispense, and these rights are only associated with the closing premises in question (that is listed on the relevant dispensing contractor list), the contractor’s consent to dispense will cease.</w:t>
      </w:r>
      <w:bookmarkEnd w:id="862"/>
    </w:p>
    <w:p w14:paraId="0E8A15D9" w14:textId="060254C3" w:rsidR="00977693" w:rsidRPr="00CE0885" w:rsidRDefault="00977693" w:rsidP="00980A75">
      <w:pPr>
        <w:pStyle w:val="Heading3"/>
        <w:rPr>
          <w:lang w:eastAsia="en-GB"/>
        </w:rPr>
      </w:pPr>
      <w:bookmarkStart w:id="863" w:name="_Toc440981986"/>
      <w:r w:rsidRPr="00CE0885">
        <w:rPr>
          <w:lang w:eastAsia="en-GB"/>
        </w:rPr>
        <w:t>The Commissioner shall update its records and ensure that the relevant dispensing contractor list is updated appropriately to reflect the removal of the premises.</w:t>
      </w:r>
      <w:bookmarkEnd w:id="863"/>
    </w:p>
    <w:p w14:paraId="6274D389" w14:textId="6D83BCC1" w:rsidR="00977693" w:rsidRPr="00CE0885" w:rsidRDefault="00977693" w:rsidP="00980A75">
      <w:pPr>
        <w:pStyle w:val="Heading3"/>
        <w:rPr>
          <w:lang w:eastAsia="en-GB"/>
        </w:rPr>
      </w:pPr>
      <w:bookmarkStart w:id="864" w:name="_Ref410634700"/>
      <w:bookmarkStart w:id="865" w:name="_Toc440981987"/>
      <w:r w:rsidRPr="00CE0885">
        <w:rPr>
          <w:lang w:eastAsia="en-GB"/>
        </w:rPr>
        <w:t>It is possible that a PMS or APMS contract will reflect the terms as set out above. It is however essential that the Commissioner reviews the individual contract for these or any other relevant provisions to allow a variation to effectively remove the closing premises and any rights associated with that premises alone</w:t>
      </w:r>
      <w:bookmarkEnd w:id="864"/>
      <w:r w:rsidRPr="00CE0885">
        <w:rPr>
          <w:lang w:eastAsia="en-GB"/>
        </w:rPr>
        <w:t>.</w:t>
      </w:r>
      <w:bookmarkEnd w:id="865"/>
    </w:p>
    <w:p w14:paraId="36E42754" w14:textId="77777777" w:rsidR="00977693" w:rsidRPr="00CE0885" w:rsidRDefault="00977693" w:rsidP="00980A75">
      <w:pPr>
        <w:pStyle w:val="Heading3"/>
        <w:rPr>
          <w:lang w:eastAsia="en-GB"/>
        </w:rPr>
      </w:pPr>
      <w:r w:rsidRPr="00CE0885">
        <w:rPr>
          <w:lang w:eastAsia="en-GB"/>
        </w:rPr>
        <w:t>Where the commissioner is operating under delegated authority and is considering a branch closure, the commissioner must have regard to the matters set out in the Delegation Agreement as indicated in section 11.14 of this policy.</w:t>
      </w:r>
    </w:p>
    <w:p w14:paraId="69C5A551" w14:textId="77777777" w:rsidR="00977693" w:rsidRPr="009055A7" w:rsidRDefault="00977693" w:rsidP="00977693">
      <w:pPr>
        <w:widowControl w:val="0"/>
        <w:spacing w:line="360" w:lineRule="auto"/>
        <w:ind w:left="1414"/>
        <w:jc w:val="both"/>
        <w:rPr>
          <w:rFonts w:cs="Arial"/>
          <w:bCs w:val="0"/>
          <w:sz w:val="20"/>
          <w:szCs w:val="20"/>
          <w:lang w:eastAsia="en-GB"/>
        </w:rPr>
      </w:pPr>
    </w:p>
    <w:p w14:paraId="5E641287" w14:textId="77777777" w:rsidR="00977693" w:rsidRPr="00CE0885" w:rsidRDefault="00977693" w:rsidP="00977693">
      <w:pPr>
        <w:widowControl w:val="0"/>
        <w:spacing w:line="360" w:lineRule="auto"/>
        <w:jc w:val="both"/>
        <w:rPr>
          <w:rFonts w:cs="Arial"/>
          <w:bCs w:val="0"/>
          <w:sz w:val="20"/>
          <w:szCs w:val="20"/>
          <w:lang w:eastAsia="en-GB"/>
        </w:rPr>
      </w:pPr>
    </w:p>
    <w:p w14:paraId="4027B9C8" w14:textId="77777777" w:rsidR="00977693" w:rsidRPr="00CE0885" w:rsidRDefault="00977693" w:rsidP="00202DD3">
      <w:pPr>
        <w:pStyle w:val="Heading2"/>
        <w:rPr>
          <w:lang w:eastAsia="en-GB"/>
        </w:rPr>
      </w:pPr>
      <w:bookmarkStart w:id="866" w:name="_Toc440981988"/>
      <w:bookmarkStart w:id="867" w:name="_Toc95743460"/>
      <w:r w:rsidRPr="00CE0885">
        <w:rPr>
          <w:lang w:eastAsia="en-GB"/>
        </w:rPr>
        <w:t>Opt Outs</w:t>
      </w:r>
      <w:bookmarkEnd w:id="866"/>
      <w:bookmarkEnd w:id="867"/>
    </w:p>
    <w:p w14:paraId="0875356E" w14:textId="730AB926" w:rsidR="00437B60" w:rsidRPr="00EC7864" w:rsidRDefault="00977693" w:rsidP="00EC7864">
      <w:pPr>
        <w:pStyle w:val="Heading3"/>
      </w:pPr>
      <w:bookmarkStart w:id="868" w:name="_Toc440981989"/>
      <w:r w:rsidRPr="00EC7864">
        <w:rPr>
          <w:spacing w:val="1"/>
          <w:lang w:eastAsia="en-GB"/>
        </w:rPr>
        <w:t>Se</w:t>
      </w:r>
      <w:r w:rsidRPr="00EC7864">
        <w:rPr>
          <w:spacing w:val="-1"/>
          <w:lang w:eastAsia="en-GB"/>
        </w:rPr>
        <w:t>r</w:t>
      </w:r>
      <w:r w:rsidRPr="00EC7864">
        <w:rPr>
          <w:spacing w:val="-2"/>
          <w:lang w:eastAsia="en-GB"/>
        </w:rPr>
        <w:t>v</w:t>
      </w:r>
      <w:r w:rsidRPr="00CE0885">
        <w:rPr>
          <w:lang w:eastAsia="en-GB"/>
        </w:rPr>
        <w:t>ic</w:t>
      </w:r>
      <w:r w:rsidRPr="00EC7864">
        <w:rPr>
          <w:spacing w:val="1"/>
          <w:lang w:eastAsia="en-GB"/>
        </w:rPr>
        <w:t>e</w:t>
      </w:r>
      <w:r w:rsidRPr="00CE0885">
        <w:rPr>
          <w:lang w:eastAsia="en-GB"/>
        </w:rPr>
        <w:t>s</w:t>
      </w:r>
      <w:r w:rsidRPr="00EC7864">
        <w:rPr>
          <w:spacing w:val="-9"/>
          <w:lang w:eastAsia="en-GB"/>
        </w:rPr>
        <w:t xml:space="preserve"> </w:t>
      </w:r>
      <w:r w:rsidRPr="00EC7864">
        <w:rPr>
          <w:spacing w:val="1"/>
          <w:lang w:eastAsia="en-GB"/>
        </w:rPr>
        <w:t>unde</w:t>
      </w:r>
      <w:r w:rsidRPr="00CE0885">
        <w:rPr>
          <w:lang w:eastAsia="en-GB"/>
        </w:rPr>
        <w:t>r</w:t>
      </w:r>
      <w:r w:rsidRPr="00EC7864">
        <w:rPr>
          <w:spacing w:val="-6"/>
          <w:lang w:eastAsia="en-GB"/>
        </w:rPr>
        <w:t xml:space="preserve"> </w:t>
      </w:r>
      <w:r w:rsidRPr="00EC7864">
        <w:rPr>
          <w:spacing w:val="1"/>
          <w:lang w:eastAsia="en-GB"/>
        </w:rPr>
        <w:t>p</w:t>
      </w:r>
      <w:r w:rsidRPr="00EC7864">
        <w:rPr>
          <w:spacing w:val="-1"/>
          <w:lang w:eastAsia="en-GB"/>
        </w:rPr>
        <w:t>r</w:t>
      </w:r>
      <w:r w:rsidRPr="00CE0885">
        <w:rPr>
          <w:lang w:eastAsia="en-GB"/>
        </w:rPr>
        <w:t>i</w:t>
      </w:r>
      <w:r w:rsidRPr="00EC7864">
        <w:rPr>
          <w:spacing w:val="2"/>
          <w:lang w:eastAsia="en-GB"/>
        </w:rPr>
        <w:t>m</w:t>
      </w:r>
      <w:r w:rsidRPr="00EC7864">
        <w:rPr>
          <w:spacing w:val="1"/>
          <w:lang w:eastAsia="en-GB"/>
        </w:rPr>
        <w:t>a</w:t>
      </w:r>
      <w:r w:rsidRPr="00EC7864">
        <w:rPr>
          <w:spacing w:val="-1"/>
          <w:lang w:eastAsia="en-GB"/>
        </w:rPr>
        <w:t>r</w:t>
      </w:r>
      <w:r w:rsidRPr="00CE0885">
        <w:rPr>
          <w:lang w:eastAsia="en-GB"/>
        </w:rPr>
        <w:t>y</w:t>
      </w:r>
      <w:r w:rsidRPr="00EC7864">
        <w:rPr>
          <w:spacing w:val="-10"/>
          <w:lang w:eastAsia="en-GB"/>
        </w:rPr>
        <w:t xml:space="preserve"> </w:t>
      </w:r>
      <w:r w:rsidRPr="00EC7864">
        <w:rPr>
          <w:spacing w:val="2"/>
          <w:lang w:eastAsia="en-GB"/>
        </w:rPr>
        <w:t>m</w:t>
      </w:r>
      <w:r w:rsidRPr="00EC7864">
        <w:rPr>
          <w:spacing w:val="1"/>
          <w:lang w:eastAsia="en-GB"/>
        </w:rPr>
        <w:t>ed</w:t>
      </w:r>
      <w:r w:rsidRPr="00CE0885">
        <w:rPr>
          <w:lang w:eastAsia="en-GB"/>
        </w:rPr>
        <w:t>i</w:t>
      </w:r>
      <w:r w:rsidRPr="00EC7864">
        <w:rPr>
          <w:spacing w:val="-2"/>
          <w:lang w:eastAsia="en-GB"/>
        </w:rPr>
        <w:t>c</w:t>
      </w:r>
      <w:r w:rsidRPr="00EC7864">
        <w:rPr>
          <w:spacing w:val="1"/>
          <w:lang w:eastAsia="en-GB"/>
        </w:rPr>
        <w:t>a</w:t>
      </w:r>
      <w:r w:rsidRPr="00CE0885">
        <w:rPr>
          <w:lang w:eastAsia="en-GB"/>
        </w:rPr>
        <w:t>l</w:t>
      </w:r>
      <w:r w:rsidRPr="00EC7864">
        <w:rPr>
          <w:spacing w:val="-8"/>
          <w:lang w:eastAsia="en-GB"/>
        </w:rPr>
        <w:t xml:space="preserve"> </w:t>
      </w:r>
      <w:r w:rsidRPr="00CE0885">
        <w:rPr>
          <w:lang w:eastAsia="en-GB"/>
        </w:rPr>
        <w:t>contracts</w:t>
      </w:r>
      <w:r w:rsidRPr="00EC7864">
        <w:rPr>
          <w:spacing w:val="-15"/>
          <w:lang w:eastAsia="en-GB"/>
        </w:rPr>
        <w:t xml:space="preserve"> </w:t>
      </w:r>
      <w:r w:rsidRPr="00EC7864">
        <w:rPr>
          <w:spacing w:val="1"/>
          <w:lang w:eastAsia="en-GB"/>
        </w:rPr>
        <w:t>a</w:t>
      </w:r>
      <w:r w:rsidRPr="00EC7864">
        <w:rPr>
          <w:spacing w:val="-1"/>
          <w:lang w:eastAsia="en-GB"/>
        </w:rPr>
        <w:t>r</w:t>
      </w:r>
      <w:r w:rsidRPr="00CE0885">
        <w:rPr>
          <w:lang w:eastAsia="en-GB"/>
        </w:rPr>
        <w:t>e</w:t>
      </w:r>
      <w:r w:rsidRPr="00EC7864">
        <w:rPr>
          <w:spacing w:val="-1"/>
          <w:lang w:eastAsia="en-GB"/>
        </w:rPr>
        <w:t xml:space="preserve"> </w:t>
      </w:r>
      <w:r w:rsidRPr="00EC7864">
        <w:rPr>
          <w:spacing w:val="-2"/>
          <w:lang w:eastAsia="en-GB"/>
        </w:rPr>
        <w:t>categorised as</w:t>
      </w:r>
      <w:r w:rsidRPr="00CE0885">
        <w:rPr>
          <w:lang w:eastAsia="en-GB"/>
        </w:rPr>
        <w:t>:</w:t>
      </w:r>
      <w:bookmarkEnd w:id="868"/>
      <w:r w:rsidRPr="00CE0885">
        <w:rPr>
          <w:lang w:eastAsia="en-GB"/>
        </w:rPr>
        <w:t xml:space="preserve"> </w:t>
      </w:r>
      <w:bookmarkStart w:id="869" w:name="_Toc440981990"/>
    </w:p>
    <w:p w14:paraId="76721BD1" w14:textId="353A2A45" w:rsidR="00437B60" w:rsidRDefault="00977693" w:rsidP="00A553BA">
      <w:pPr>
        <w:pStyle w:val="Heading3"/>
      </w:pPr>
      <w:r w:rsidRPr="00437B60">
        <w:rPr>
          <w:spacing w:val="1"/>
        </w:rPr>
        <w:t>E</w:t>
      </w:r>
      <w:r w:rsidRPr="00CE0885">
        <w:t>ss</w:t>
      </w:r>
      <w:r w:rsidRPr="00437B60">
        <w:rPr>
          <w:spacing w:val="1"/>
        </w:rPr>
        <w:t>ent</w:t>
      </w:r>
      <w:r w:rsidRPr="00CE0885">
        <w:t>i</w:t>
      </w:r>
      <w:r w:rsidRPr="00437B60">
        <w:rPr>
          <w:spacing w:val="1"/>
        </w:rPr>
        <w:t>a</w:t>
      </w:r>
      <w:r w:rsidRPr="00CE0885">
        <w:t>l</w:t>
      </w:r>
      <w:r w:rsidRPr="00437B60">
        <w:rPr>
          <w:spacing w:val="-10"/>
        </w:rPr>
        <w:t xml:space="preserve"> </w:t>
      </w:r>
      <w:r w:rsidRPr="00437B60">
        <w:rPr>
          <w:spacing w:val="-2"/>
        </w:rPr>
        <w:t>s</w:t>
      </w:r>
      <w:r w:rsidRPr="00437B60">
        <w:rPr>
          <w:spacing w:val="1"/>
        </w:rPr>
        <w:t>e</w:t>
      </w:r>
      <w:r w:rsidRPr="00437B60">
        <w:rPr>
          <w:spacing w:val="-1"/>
        </w:rPr>
        <w:t>r</w:t>
      </w:r>
      <w:r w:rsidRPr="00437B60">
        <w:rPr>
          <w:spacing w:val="-2"/>
        </w:rPr>
        <w:t>v</w:t>
      </w:r>
      <w:r w:rsidRPr="00CE0885">
        <w:t>ic</w:t>
      </w:r>
      <w:r w:rsidRPr="00437B60">
        <w:rPr>
          <w:spacing w:val="1"/>
        </w:rPr>
        <w:t>e</w:t>
      </w:r>
      <w:r w:rsidRPr="00CE0885">
        <w:t>s – these are the services described in regulation 15 of the GMS Regulations which a GMS contractor must provide. Essential services are not mandatory for PMS or APMS contractors;</w:t>
      </w:r>
      <w:bookmarkEnd w:id="869"/>
      <w:r w:rsidRPr="00CE0885">
        <w:t xml:space="preserve"> </w:t>
      </w:r>
      <w:bookmarkStart w:id="870" w:name="_Toc440981991"/>
    </w:p>
    <w:p w14:paraId="75D7749C" w14:textId="53C291C6" w:rsidR="00437B60" w:rsidRDefault="00977693" w:rsidP="00A553BA">
      <w:pPr>
        <w:pStyle w:val="Heading3"/>
      </w:pPr>
      <w:r w:rsidRPr="00CE0885">
        <w:t>Additi</w:t>
      </w:r>
      <w:r w:rsidRPr="00437B60">
        <w:rPr>
          <w:spacing w:val="-1"/>
        </w:rPr>
        <w:t>o</w:t>
      </w:r>
      <w:r w:rsidRPr="00CE0885">
        <w:t>nal</w:t>
      </w:r>
      <w:r w:rsidRPr="00437B60">
        <w:rPr>
          <w:spacing w:val="-11"/>
        </w:rPr>
        <w:t xml:space="preserve"> </w:t>
      </w:r>
      <w:r w:rsidRPr="00CE0885">
        <w:t>se</w:t>
      </w:r>
      <w:r w:rsidRPr="00437B60">
        <w:rPr>
          <w:spacing w:val="-1"/>
        </w:rPr>
        <w:t>r</w:t>
      </w:r>
      <w:r w:rsidRPr="00437B60">
        <w:rPr>
          <w:spacing w:val="-2"/>
        </w:rPr>
        <w:t>v</w:t>
      </w:r>
      <w:r w:rsidRPr="00CE0885">
        <w:t>ices</w:t>
      </w:r>
      <w:r w:rsidRPr="00437B60">
        <w:rPr>
          <w:spacing w:val="-1"/>
          <w:position w:val="11"/>
        </w:rPr>
        <w:t xml:space="preserve"> </w:t>
      </w:r>
      <w:r w:rsidRPr="00CE0885">
        <w:t>a</w:t>
      </w:r>
      <w:r w:rsidRPr="00437B60">
        <w:rPr>
          <w:spacing w:val="-1"/>
        </w:rPr>
        <w:t>n</w:t>
      </w:r>
      <w:r w:rsidRPr="00CE0885">
        <w:t>d</w:t>
      </w:r>
      <w:r w:rsidRPr="00437B60">
        <w:rPr>
          <w:spacing w:val="-2"/>
        </w:rPr>
        <w:t xml:space="preserve"> </w:t>
      </w:r>
      <w:r w:rsidRPr="00CE0885">
        <w:t>o</w:t>
      </w:r>
      <w:r w:rsidRPr="00437B60">
        <w:rPr>
          <w:spacing w:val="-1"/>
        </w:rPr>
        <w:t>u</w:t>
      </w:r>
      <w:r w:rsidRPr="00CE0885">
        <w:t>t</w:t>
      </w:r>
      <w:r w:rsidRPr="00437B60">
        <w:rPr>
          <w:spacing w:val="-2"/>
        </w:rPr>
        <w:t xml:space="preserve"> </w:t>
      </w:r>
      <w:r w:rsidRPr="00437B60">
        <w:rPr>
          <w:spacing w:val="-1"/>
        </w:rPr>
        <w:t>o</w:t>
      </w:r>
      <w:r w:rsidRPr="00CE0885">
        <w:t>f</w:t>
      </w:r>
      <w:r w:rsidRPr="00437B60">
        <w:rPr>
          <w:spacing w:val="-1"/>
        </w:rPr>
        <w:t xml:space="preserve"> </w:t>
      </w:r>
      <w:r w:rsidRPr="00CE0885">
        <w:t>h</w:t>
      </w:r>
      <w:r w:rsidRPr="00437B60">
        <w:rPr>
          <w:spacing w:val="-1"/>
        </w:rPr>
        <w:t>o</w:t>
      </w:r>
      <w:r w:rsidRPr="00CE0885">
        <w:t>u</w:t>
      </w:r>
      <w:r w:rsidRPr="00437B60">
        <w:rPr>
          <w:spacing w:val="-1"/>
        </w:rPr>
        <w:t>r</w:t>
      </w:r>
      <w:r w:rsidRPr="00CE0885">
        <w:t>s – these are specific services that are additional to essential services. It is not mandatory for contractors to provide these services but where GMS and PMS contractors provide such services, the contracts must contain terms relating to the procedure for opting out of those services. It is not a requirement that APMS contracts contain such opt out provisions but the Commissioner should review the relevant APMS contract to determine whether any such provisions have been included; or</w:t>
      </w:r>
      <w:bookmarkStart w:id="871" w:name="_Toc440981992"/>
      <w:bookmarkEnd w:id="870"/>
    </w:p>
    <w:p w14:paraId="3A67F8AD" w14:textId="74DCC0C6" w:rsidR="00977693" w:rsidRPr="00CE0885" w:rsidRDefault="00977693" w:rsidP="00A553BA">
      <w:pPr>
        <w:pStyle w:val="Heading3"/>
      </w:pPr>
      <w:r w:rsidRPr="00CE0885">
        <w:t>Enh</w:t>
      </w:r>
      <w:r w:rsidRPr="00437B60">
        <w:rPr>
          <w:spacing w:val="-1"/>
        </w:rPr>
        <w:t>a</w:t>
      </w:r>
      <w:r w:rsidRPr="00CE0885">
        <w:t>nc</w:t>
      </w:r>
      <w:r w:rsidRPr="00437B60">
        <w:rPr>
          <w:spacing w:val="-1"/>
        </w:rPr>
        <w:t>e</w:t>
      </w:r>
      <w:r w:rsidRPr="00CE0885">
        <w:t>d</w:t>
      </w:r>
      <w:r w:rsidRPr="00437B60">
        <w:rPr>
          <w:spacing w:val="-9"/>
        </w:rPr>
        <w:t xml:space="preserve"> </w:t>
      </w:r>
      <w:r w:rsidRPr="00CE0885">
        <w:t>se</w:t>
      </w:r>
      <w:r w:rsidRPr="00437B60">
        <w:rPr>
          <w:spacing w:val="-1"/>
        </w:rPr>
        <w:t>r</w:t>
      </w:r>
      <w:r w:rsidRPr="00437B60">
        <w:rPr>
          <w:spacing w:val="-2"/>
        </w:rPr>
        <w:t>v</w:t>
      </w:r>
      <w:r w:rsidRPr="00CE0885">
        <w:t>ices - t</w:t>
      </w:r>
      <w:r w:rsidRPr="00437B60">
        <w:rPr>
          <w:spacing w:val="-1"/>
        </w:rPr>
        <w:t>h</w:t>
      </w:r>
      <w:r w:rsidRPr="00CE0885">
        <w:t>ese a</w:t>
      </w:r>
      <w:r w:rsidRPr="00437B60">
        <w:rPr>
          <w:spacing w:val="-1"/>
        </w:rPr>
        <w:t>r</w:t>
      </w:r>
      <w:r w:rsidRPr="00CE0885">
        <w:t>e</w:t>
      </w:r>
      <w:r w:rsidRPr="00437B60">
        <w:rPr>
          <w:spacing w:val="-4"/>
        </w:rPr>
        <w:t xml:space="preserve"> any </w:t>
      </w:r>
      <w:r w:rsidRPr="00CE0885">
        <w:t>se</w:t>
      </w:r>
      <w:r w:rsidRPr="00437B60">
        <w:rPr>
          <w:spacing w:val="-1"/>
        </w:rPr>
        <w:t>r</w:t>
      </w:r>
      <w:r w:rsidRPr="00437B60">
        <w:rPr>
          <w:spacing w:val="-2"/>
        </w:rPr>
        <w:t>v</w:t>
      </w:r>
      <w:r w:rsidRPr="00CE0885">
        <w:t>ices</w:t>
      </w:r>
      <w:r w:rsidRPr="00437B60">
        <w:rPr>
          <w:spacing w:val="-9"/>
        </w:rPr>
        <w:t xml:space="preserve"> </w:t>
      </w:r>
      <w:r w:rsidRPr="00CE0885">
        <w:t xml:space="preserve">that go beyond essential, additional or out of hours services that </w:t>
      </w:r>
      <w:r w:rsidRPr="00437B60">
        <w:rPr>
          <w:spacing w:val="-2"/>
        </w:rPr>
        <w:t>t</w:t>
      </w:r>
      <w:r w:rsidRPr="00CE0885">
        <w:t>he</w:t>
      </w:r>
      <w:r w:rsidRPr="00437B60">
        <w:rPr>
          <w:spacing w:val="-1"/>
        </w:rPr>
        <w:t xml:space="preserve"> </w:t>
      </w:r>
      <w:r w:rsidRPr="00CE0885">
        <w:t>c</w:t>
      </w:r>
      <w:r w:rsidRPr="00437B60">
        <w:rPr>
          <w:spacing w:val="-1"/>
        </w:rPr>
        <w:t>o</w:t>
      </w:r>
      <w:r w:rsidRPr="00CE0885">
        <w:t>nt</w:t>
      </w:r>
      <w:r w:rsidRPr="00437B60">
        <w:rPr>
          <w:spacing w:val="-1"/>
        </w:rPr>
        <w:t>r</w:t>
      </w:r>
      <w:r w:rsidRPr="00CE0885">
        <w:t>ac</w:t>
      </w:r>
      <w:r w:rsidRPr="00437B60">
        <w:rPr>
          <w:spacing w:val="-2"/>
        </w:rPr>
        <w:t>t</w:t>
      </w:r>
      <w:r w:rsidRPr="00CE0885">
        <w:t>or</w:t>
      </w:r>
      <w:r w:rsidRPr="00437B60">
        <w:rPr>
          <w:spacing w:val="-11"/>
        </w:rPr>
        <w:t xml:space="preserve"> </w:t>
      </w:r>
      <w:r w:rsidRPr="00437B60">
        <w:rPr>
          <w:spacing w:val="-1"/>
        </w:rPr>
        <w:t>m</w:t>
      </w:r>
      <w:r w:rsidRPr="00CE0885">
        <w:t>ay</w:t>
      </w:r>
      <w:r w:rsidRPr="00437B60">
        <w:rPr>
          <w:spacing w:val="-7"/>
        </w:rPr>
        <w:t xml:space="preserve"> </w:t>
      </w:r>
      <w:r w:rsidRPr="00CE0885">
        <w:t>ha</w:t>
      </w:r>
      <w:r w:rsidRPr="00437B60">
        <w:rPr>
          <w:spacing w:val="-2"/>
        </w:rPr>
        <w:t>v</w:t>
      </w:r>
      <w:r w:rsidRPr="00CE0885">
        <w:t>e a</w:t>
      </w:r>
      <w:r w:rsidRPr="00437B60">
        <w:rPr>
          <w:spacing w:val="-1"/>
        </w:rPr>
        <w:t>gr</w:t>
      </w:r>
      <w:r w:rsidRPr="00CE0885">
        <w:t>eed to</w:t>
      </w:r>
      <w:r w:rsidRPr="00437B60">
        <w:rPr>
          <w:spacing w:val="-3"/>
        </w:rPr>
        <w:t xml:space="preserve"> </w:t>
      </w:r>
      <w:r w:rsidRPr="00CE0885">
        <w:t>be</w:t>
      </w:r>
      <w:r w:rsidRPr="00437B60">
        <w:rPr>
          <w:spacing w:val="-4"/>
        </w:rPr>
        <w:t xml:space="preserve"> </w:t>
      </w:r>
      <w:r w:rsidRPr="00CE0885">
        <w:t>inclu</w:t>
      </w:r>
      <w:r w:rsidRPr="00437B60">
        <w:rPr>
          <w:spacing w:val="-1"/>
        </w:rPr>
        <w:t>d</w:t>
      </w:r>
      <w:r w:rsidRPr="00CE0885">
        <w:t>ed.</w:t>
      </w:r>
      <w:bookmarkEnd w:id="871"/>
    </w:p>
    <w:p w14:paraId="41BBD7A5" w14:textId="3CB4F4B7" w:rsidR="00977693" w:rsidRPr="00CE0885" w:rsidRDefault="00977693" w:rsidP="00E47A71">
      <w:pPr>
        <w:pStyle w:val="Heading3"/>
        <w:rPr>
          <w:lang w:eastAsia="en-GB"/>
        </w:rPr>
      </w:pPr>
      <w:bookmarkStart w:id="872" w:name="_Toc440981993"/>
      <w:r w:rsidRPr="00CE0885">
        <w:rPr>
          <w:spacing w:val="6"/>
          <w:lang w:eastAsia="en-GB"/>
        </w:rPr>
        <w:t>W</w:t>
      </w:r>
      <w:r w:rsidRPr="00CE0885">
        <w:rPr>
          <w:spacing w:val="-1"/>
          <w:lang w:eastAsia="en-GB"/>
        </w:rPr>
        <w:t>h</w:t>
      </w:r>
      <w:r w:rsidRPr="00CE0885">
        <w:rPr>
          <w:spacing w:val="1"/>
          <w:lang w:eastAsia="en-GB"/>
        </w:rPr>
        <w:t>e</w:t>
      </w:r>
      <w:r w:rsidRPr="00CE0885">
        <w:rPr>
          <w:spacing w:val="-1"/>
          <w:lang w:eastAsia="en-GB"/>
        </w:rPr>
        <w:t>r</w:t>
      </w:r>
      <w:r w:rsidRPr="00CE0885">
        <w:rPr>
          <w:lang w:eastAsia="en-GB"/>
        </w:rPr>
        <w:t>e</w:t>
      </w:r>
      <w:r w:rsidRPr="00CE0885">
        <w:rPr>
          <w:spacing w:val="-8"/>
          <w:lang w:eastAsia="en-GB"/>
        </w:rPr>
        <w:t xml:space="preserve"> </w:t>
      </w:r>
      <w:r w:rsidRPr="00CE0885">
        <w:rPr>
          <w:lang w:eastAsia="en-GB"/>
        </w:rPr>
        <w:t>a c</w:t>
      </w:r>
      <w:r w:rsidRPr="00CE0885">
        <w:rPr>
          <w:spacing w:val="1"/>
          <w:lang w:eastAsia="en-GB"/>
        </w:rPr>
        <w:t>ont</w:t>
      </w:r>
      <w:r w:rsidRPr="00CE0885">
        <w:rPr>
          <w:spacing w:val="-1"/>
          <w:lang w:eastAsia="en-GB"/>
        </w:rPr>
        <w:t>r</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o</w:t>
      </w:r>
      <w:r w:rsidRPr="00CE0885">
        <w:rPr>
          <w:lang w:eastAsia="en-GB"/>
        </w:rPr>
        <w:t>r</w:t>
      </w:r>
      <w:r w:rsidRPr="00CE0885">
        <w:rPr>
          <w:spacing w:val="-11"/>
          <w:lang w:eastAsia="en-GB"/>
        </w:rPr>
        <w:t xml:space="preserve"> </w:t>
      </w:r>
      <w:r w:rsidRPr="00CE0885">
        <w:rPr>
          <w:spacing w:val="1"/>
          <w:lang w:eastAsia="en-GB"/>
        </w:rPr>
        <w:t>ha</w:t>
      </w:r>
      <w:r w:rsidRPr="00CE0885">
        <w:rPr>
          <w:lang w:eastAsia="en-GB"/>
        </w:rPr>
        <w:t>s</w:t>
      </w:r>
      <w:r w:rsidRPr="00CE0885">
        <w:rPr>
          <w:spacing w:val="-6"/>
          <w:lang w:eastAsia="en-GB"/>
        </w:rPr>
        <w:t xml:space="preserve"> </w:t>
      </w:r>
      <w:r w:rsidRPr="00CE0885">
        <w:rPr>
          <w:spacing w:val="1"/>
          <w:lang w:eastAsia="en-GB"/>
        </w:rPr>
        <w:t>op</w:t>
      </w:r>
      <w:r w:rsidRPr="00CE0885">
        <w:rPr>
          <w:spacing w:val="-2"/>
          <w:lang w:eastAsia="en-GB"/>
        </w:rPr>
        <w:t>t</w:t>
      </w:r>
      <w:r w:rsidRPr="00CE0885">
        <w:rPr>
          <w:spacing w:val="1"/>
          <w:lang w:eastAsia="en-GB"/>
        </w:rPr>
        <w:t>e</w:t>
      </w:r>
      <w:r w:rsidRPr="00CE0885">
        <w:rPr>
          <w:lang w:eastAsia="en-GB"/>
        </w:rPr>
        <w:t>d</w:t>
      </w:r>
      <w:r w:rsidRPr="00CE0885">
        <w:rPr>
          <w:spacing w:val="-7"/>
          <w:lang w:eastAsia="en-GB"/>
        </w:rPr>
        <w:t xml:space="preserve"> </w:t>
      </w:r>
      <w:r w:rsidRPr="00CE0885">
        <w:rPr>
          <w:spacing w:val="-1"/>
          <w:lang w:eastAsia="en-GB"/>
        </w:rPr>
        <w:t>o</w:t>
      </w:r>
      <w:r w:rsidRPr="00CE0885">
        <w:rPr>
          <w:spacing w:val="1"/>
          <w:lang w:eastAsia="en-GB"/>
        </w:rPr>
        <w:t>u</w:t>
      </w:r>
      <w:r w:rsidRPr="00CE0885">
        <w:rPr>
          <w:lang w:eastAsia="en-GB"/>
        </w:rPr>
        <w:t>t</w:t>
      </w:r>
      <w:r w:rsidRPr="00CE0885">
        <w:rPr>
          <w:spacing w:val="-2"/>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de</w:t>
      </w:r>
      <w:r w:rsidRPr="00CE0885">
        <w:rPr>
          <w:lang w:eastAsia="en-GB"/>
        </w:rPr>
        <w:t>li</w:t>
      </w:r>
      <w:r w:rsidRPr="00CE0885">
        <w:rPr>
          <w:spacing w:val="-2"/>
          <w:lang w:eastAsia="en-GB"/>
        </w:rPr>
        <w:t>v</w:t>
      </w:r>
      <w:r w:rsidRPr="00CE0885">
        <w:rPr>
          <w:spacing w:val="1"/>
          <w:lang w:eastAsia="en-GB"/>
        </w:rPr>
        <w:t>e</w:t>
      </w:r>
      <w:r w:rsidRPr="00CE0885">
        <w:rPr>
          <w:spacing w:val="-1"/>
          <w:lang w:eastAsia="en-GB"/>
        </w:rPr>
        <w:t>r</w:t>
      </w:r>
      <w:r w:rsidRPr="00CE0885">
        <w:rPr>
          <w:lang w:eastAsia="en-GB"/>
        </w:rPr>
        <w:t>i</w:t>
      </w:r>
      <w:r w:rsidRPr="00CE0885">
        <w:rPr>
          <w:spacing w:val="1"/>
          <w:lang w:eastAsia="en-GB"/>
        </w:rPr>
        <w:t>n</w:t>
      </w:r>
      <w:r w:rsidRPr="00CE0885">
        <w:rPr>
          <w:lang w:eastAsia="en-GB"/>
        </w:rPr>
        <w:t>g</w:t>
      </w:r>
      <w:r w:rsidRPr="00CE0885">
        <w:rPr>
          <w:spacing w:val="-11"/>
          <w:lang w:eastAsia="en-GB"/>
        </w:rPr>
        <w:t xml:space="preserve"> </w:t>
      </w:r>
      <w:r w:rsidRPr="00CE0885">
        <w:rPr>
          <w:spacing w:val="1"/>
          <w:lang w:eastAsia="en-GB"/>
        </w:rPr>
        <w:t>an</w:t>
      </w:r>
      <w:r w:rsidRPr="00CE0885">
        <w:rPr>
          <w:lang w:eastAsia="en-GB"/>
        </w:rPr>
        <w:t>y</w:t>
      </w:r>
      <w:r w:rsidRPr="00CE0885">
        <w:rPr>
          <w:spacing w:val="-6"/>
          <w:lang w:eastAsia="en-GB"/>
        </w:rPr>
        <w:t xml:space="preserve"> </w:t>
      </w:r>
      <w:r w:rsidRPr="00CE0885">
        <w:rPr>
          <w:spacing w:val="1"/>
          <w:lang w:eastAsia="en-GB"/>
        </w:rPr>
        <w:t>o</w:t>
      </w:r>
      <w:r w:rsidRPr="00CE0885">
        <w:rPr>
          <w:lang w:eastAsia="en-GB"/>
        </w:rPr>
        <w:t>r</w:t>
      </w:r>
      <w:r w:rsidRPr="00CE0885">
        <w:rPr>
          <w:spacing w:val="-2"/>
          <w:lang w:eastAsia="en-GB"/>
        </w:rPr>
        <w:t xml:space="preserve"> </w:t>
      </w:r>
      <w:r w:rsidRPr="00CE0885">
        <w:rPr>
          <w:spacing w:val="1"/>
          <w:lang w:eastAsia="en-GB"/>
        </w:rPr>
        <w:t>a</w:t>
      </w:r>
      <w:r w:rsidRPr="00CE0885">
        <w:rPr>
          <w:lang w:eastAsia="en-GB"/>
        </w:rPr>
        <w:t>ll</w:t>
      </w:r>
      <w:r w:rsidRPr="00CE0885">
        <w:rPr>
          <w:spacing w:val="-2"/>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spacing w:val="1"/>
          <w:lang w:eastAsia="en-GB"/>
        </w:rPr>
        <w:t>add</w:t>
      </w:r>
      <w:r w:rsidRPr="00CE0885">
        <w:rPr>
          <w:lang w:eastAsia="en-GB"/>
        </w:rPr>
        <w:t>i</w:t>
      </w:r>
      <w:r w:rsidRPr="00CE0885">
        <w:rPr>
          <w:spacing w:val="1"/>
          <w:lang w:eastAsia="en-GB"/>
        </w:rPr>
        <w:t>t</w:t>
      </w:r>
      <w:r w:rsidRPr="00CE0885">
        <w:rPr>
          <w:lang w:eastAsia="en-GB"/>
        </w:rPr>
        <w:t>i</w:t>
      </w:r>
      <w:r w:rsidRPr="00CE0885">
        <w:rPr>
          <w:spacing w:val="-1"/>
          <w:lang w:eastAsia="en-GB"/>
        </w:rPr>
        <w:t>o</w:t>
      </w:r>
      <w:r w:rsidRPr="00CE0885">
        <w:rPr>
          <w:spacing w:val="1"/>
          <w:lang w:eastAsia="en-GB"/>
        </w:rPr>
        <w:t>na</w:t>
      </w:r>
      <w:r w:rsidRPr="00CE0885">
        <w:rPr>
          <w:lang w:eastAsia="en-GB"/>
        </w:rPr>
        <w:t>l or out of hours s</w:t>
      </w:r>
      <w:r w:rsidRPr="00CE0885">
        <w:rPr>
          <w:spacing w:val="1"/>
          <w:lang w:eastAsia="en-GB"/>
        </w:rPr>
        <w:t>e</w:t>
      </w:r>
      <w:r w:rsidRPr="00CE0885">
        <w:rPr>
          <w:spacing w:val="-1"/>
          <w:lang w:eastAsia="en-GB"/>
        </w:rPr>
        <w:t>r</w:t>
      </w:r>
      <w:r w:rsidRPr="00CE0885">
        <w:rPr>
          <w:spacing w:val="-2"/>
          <w:lang w:eastAsia="en-GB"/>
        </w:rPr>
        <w:t>v</w:t>
      </w:r>
      <w:r w:rsidRPr="00CE0885">
        <w:rPr>
          <w:lang w:eastAsia="en-GB"/>
        </w:rPr>
        <w:t>ic</w:t>
      </w:r>
      <w:r w:rsidRPr="00CE0885">
        <w:rPr>
          <w:spacing w:val="1"/>
          <w:lang w:eastAsia="en-GB"/>
        </w:rPr>
        <w:t>e</w:t>
      </w:r>
      <w:r w:rsidRPr="00CE0885">
        <w:rPr>
          <w:lang w:eastAsia="en-GB"/>
        </w:rPr>
        <w:t>s,</w:t>
      </w:r>
      <w:r w:rsidRPr="00CE0885">
        <w:rPr>
          <w:spacing w:val="-8"/>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lang w:eastAsia="en-GB"/>
        </w:rPr>
        <w:t>Commissioner</w:t>
      </w:r>
      <w:r w:rsidRPr="00CE0885">
        <w:rPr>
          <w:spacing w:val="-4"/>
          <w:lang w:eastAsia="en-GB"/>
        </w:rPr>
        <w:t xml:space="preserve"> </w:t>
      </w:r>
      <w:r w:rsidRPr="00CE0885">
        <w:rPr>
          <w:spacing w:val="2"/>
          <w:lang w:eastAsia="en-GB"/>
        </w:rPr>
        <w:t>m</w:t>
      </w:r>
      <w:r w:rsidRPr="00CE0885">
        <w:rPr>
          <w:spacing w:val="1"/>
          <w:lang w:eastAsia="en-GB"/>
        </w:rPr>
        <w:t>u</w:t>
      </w:r>
      <w:r w:rsidRPr="00CE0885">
        <w:rPr>
          <w:lang w:eastAsia="en-GB"/>
        </w:rPr>
        <w:t>st</w:t>
      </w:r>
      <w:r w:rsidRPr="00CE0885">
        <w:rPr>
          <w:spacing w:val="-4"/>
          <w:lang w:eastAsia="en-GB"/>
        </w:rPr>
        <w:t xml:space="preserve"> </w:t>
      </w:r>
      <w:r w:rsidRPr="00CE0885">
        <w:rPr>
          <w:spacing w:val="-2"/>
          <w:lang w:eastAsia="en-GB"/>
        </w:rPr>
        <w:t>c</w:t>
      </w:r>
      <w:r w:rsidRPr="00CE0885">
        <w:rPr>
          <w:spacing w:val="-1"/>
          <w:lang w:eastAsia="en-GB"/>
        </w:rPr>
        <w:t>o</w:t>
      </w:r>
      <w:r w:rsidRPr="00CE0885">
        <w:rPr>
          <w:spacing w:val="2"/>
          <w:lang w:eastAsia="en-GB"/>
        </w:rPr>
        <w:t>mm</w:t>
      </w:r>
      <w:r w:rsidRPr="00CE0885">
        <w:rPr>
          <w:lang w:eastAsia="en-GB"/>
        </w:rPr>
        <w:t>issi</w:t>
      </w:r>
      <w:r w:rsidRPr="00CE0885">
        <w:rPr>
          <w:spacing w:val="-1"/>
          <w:lang w:eastAsia="en-GB"/>
        </w:rPr>
        <w:t>o</w:t>
      </w:r>
      <w:r w:rsidRPr="00CE0885">
        <w:rPr>
          <w:lang w:eastAsia="en-GB"/>
        </w:rPr>
        <w:t>n</w:t>
      </w:r>
      <w:r w:rsidRPr="00CE0885">
        <w:rPr>
          <w:spacing w:val="-11"/>
          <w:lang w:eastAsia="en-GB"/>
        </w:rPr>
        <w:t xml:space="preserve"> </w:t>
      </w:r>
      <w:r w:rsidRPr="00CE0885">
        <w:rPr>
          <w:spacing w:val="1"/>
          <w:lang w:eastAsia="en-GB"/>
        </w:rPr>
        <w:t>t</w:t>
      </w:r>
      <w:r w:rsidRPr="00CE0885">
        <w:rPr>
          <w:spacing w:val="-1"/>
          <w:lang w:eastAsia="en-GB"/>
        </w:rPr>
        <w:t>h</w:t>
      </w:r>
      <w:r w:rsidRPr="00CE0885">
        <w:rPr>
          <w:spacing w:val="1"/>
          <w:lang w:eastAsia="en-GB"/>
        </w:rPr>
        <w:t>e</w:t>
      </w:r>
      <w:r w:rsidRPr="00CE0885">
        <w:rPr>
          <w:spacing w:val="-2"/>
          <w:lang w:eastAsia="en-GB"/>
        </w:rPr>
        <w:t>s</w:t>
      </w:r>
      <w:r w:rsidRPr="00CE0885">
        <w:rPr>
          <w:lang w:eastAsia="en-GB"/>
        </w:rPr>
        <w:t>e</w:t>
      </w:r>
      <w:r w:rsidRPr="00CE0885">
        <w:rPr>
          <w:spacing w:val="-4"/>
          <w:lang w:eastAsia="en-GB"/>
        </w:rPr>
        <w:t xml:space="preserve"> </w:t>
      </w:r>
      <w:r w:rsidRPr="00CE0885">
        <w:rPr>
          <w:lang w:eastAsia="en-GB"/>
        </w:rPr>
        <w:t>s</w:t>
      </w:r>
      <w:r w:rsidRPr="00CE0885">
        <w:rPr>
          <w:spacing w:val="1"/>
          <w:lang w:eastAsia="en-GB"/>
        </w:rPr>
        <w:t>e</w:t>
      </w:r>
      <w:r w:rsidRPr="00CE0885">
        <w:rPr>
          <w:spacing w:val="-1"/>
          <w:lang w:eastAsia="en-GB"/>
        </w:rPr>
        <w:t>r</w:t>
      </w:r>
      <w:r w:rsidRPr="00CE0885">
        <w:rPr>
          <w:spacing w:val="-2"/>
          <w:lang w:eastAsia="en-GB"/>
        </w:rPr>
        <w:t>v</w:t>
      </w:r>
      <w:r w:rsidRPr="00CE0885">
        <w:rPr>
          <w:lang w:eastAsia="en-GB"/>
        </w:rPr>
        <w:t>ic</w:t>
      </w:r>
      <w:r w:rsidRPr="00CE0885">
        <w:rPr>
          <w:spacing w:val="1"/>
          <w:lang w:eastAsia="en-GB"/>
        </w:rPr>
        <w:t>e</w:t>
      </w:r>
      <w:r w:rsidRPr="00CE0885">
        <w:rPr>
          <w:lang w:eastAsia="en-GB"/>
        </w:rPr>
        <w:t>s</w:t>
      </w:r>
      <w:r w:rsidRPr="00CE0885">
        <w:rPr>
          <w:spacing w:val="-9"/>
          <w:lang w:eastAsia="en-GB"/>
        </w:rPr>
        <w:t xml:space="preserve"> </w:t>
      </w:r>
      <w:r w:rsidRPr="00CE0885">
        <w:rPr>
          <w:spacing w:val="3"/>
          <w:lang w:eastAsia="en-GB"/>
        </w:rPr>
        <w:t>f</w:t>
      </w:r>
      <w:r w:rsidRPr="00CE0885">
        <w:rPr>
          <w:spacing w:val="-1"/>
          <w:lang w:eastAsia="en-GB"/>
        </w:rPr>
        <w:t>ro</w:t>
      </w:r>
      <w:r w:rsidRPr="00CE0885">
        <w:rPr>
          <w:lang w:eastAsia="en-GB"/>
        </w:rPr>
        <w:t>m</w:t>
      </w:r>
      <w:r w:rsidRPr="00CE0885">
        <w:rPr>
          <w:spacing w:val="-5"/>
          <w:lang w:eastAsia="en-GB"/>
        </w:rPr>
        <w:t xml:space="preserve"> </w:t>
      </w:r>
      <w:r w:rsidRPr="00CE0885">
        <w:rPr>
          <w:spacing w:val="1"/>
          <w:lang w:eastAsia="en-GB"/>
        </w:rPr>
        <w:t>a</w:t>
      </w:r>
      <w:r w:rsidRPr="00CE0885">
        <w:rPr>
          <w:lang w:eastAsia="en-GB"/>
        </w:rPr>
        <w:t xml:space="preserve">n </w:t>
      </w:r>
      <w:r w:rsidRPr="00CE0885">
        <w:rPr>
          <w:spacing w:val="1"/>
          <w:lang w:eastAsia="en-GB"/>
        </w:rPr>
        <w:t>a</w:t>
      </w:r>
      <w:r w:rsidRPr="00CE0885">
        <w:rPr>
          <w:lang w:eastAsia="en-GB"/>
        </w:rPr>
        <w:t>l</w:t>
      </w:r>
      <w:r w:rsidRPr="00CE0885">
        <w:rPr>
          <w:spacing w:val="1"/>
          <w:lang w:eastAsia="en-GB"/>
        </w:rPr>
        <w:t>te</w:t>
      </w:r>
      <w:r w:rsidRPr="00CE0885">
        <w:rPr>
          <w:spacing w:val="-1"/>
          <w:lang w:eastAsia="en-GB"/>
        </w:rPr>
        <w:t>r</w:t>
      </w:r>
      <w:r w:rsidRPr="00CE0885">
        <w:rPr>
          <w:spacing w:val="1"/>
          <w:lang w:eastAsia="en-GB"/>
        </w:rPr>
        <w:t>nat</w:t>
      </w:r>
      <w:r w:rsidRPr="00CE0885">
        <w:rPr>
          <w:lang w:eastAsia="en-GB"/>
        </w:rPr>
        <w:t>i</w:t>
      </w:r>
      <w:r w:rsidRPr="00CE0885">
        <w:rPr>
          <w:spacing w:val="-2"/>
          <w:lang w:eastAsia="en-GB"/>
        </w:rPr>
        <w:t>v</w:t>
      </w:r>
      <w:r w:rsidRPr="00CE0885">
        <w:rPr>
          <w:lang w:eastAsia="en-GB"/>
        </w:rPr>
        <w:t>e</w:t>
      </w:r>
      <w:r w:rsidRPr="00CE0885">
        <w:rPr>
          <w:spacing w:val="-9"/>
          <w:lang w:eastAsia="en-GB"/>
        </w:rPr>
        <w:t xml:space="preserve"> </w:t>
      </w:r>
      <w:r w:rsidRPr="00CE0885">
        <w:rPr>
          <w:lang w:eastAsia="en-GB"/>
        </w:rPr>
        <w:t>s</w:t>
      </w:r>
      <w:r w:rsidRPr="00CE0885">
        <w:rPr>
          <w:spacing w:val="-1"/>
          <w:lang w:eastAsia="en-GB"/>
        </w:rPr>
        <w:t>o</w:t>
      </w:r>
      <w:r w:rsidRPr="00CE0885">
        <w:rPr>
          <w:spacing w:val="1"/>
          <w:lang w:eastAsia="en-GB"/>
        </w:rPr>
        <w:t>u</w:t>
      </w:r>
      <w:r w:rsidRPr="00CE0885">
        <w:rPr>
          <w:spacing w:val="-1"/>
          <w:lang w:eastAsia="en-GB"/>
        </w:rPr>
        <w:t>r</w:t>
      </w:r>
      <w:r w:rsidRPr="00CE0885">
        <w:rPr>
          <w:lang w:eastAsia="en-GB"/>
        </w:rPr>
        <w:t>ce</w:t>
      </w:r>
      <w:r w:rsidRPr="00CE0885">
        <w:rPr>
          <w:spacing w:val="-8"/>
          <w:lang w:eastAsia="en-GB"/>
        </w:rPr>
        <w:t xml:space="preserve"> </w:t>
      </w:r>
      <w:r w:rsidRPr="00CE0885">
        <w:rPr>
          <w:spacing w:val="3"/>
          <w:lang w:eastAsia="en-GB"/>
        </w:rPr>
        <w:t>f</w:t>
      </w:r>
      <w:r w:rsidRPr="00CE0885">
        <w:rPr>
          <w:spacing w:val="1"/>
          <w:lang w:eastAsia="en-GB"/>
        </w:rPr>
        <w:t>o</w:t>
      </w:r>
      <w:r w:rsidRPr="00CE0885">
        <w:rPr>
          <w:lang w:eastAsia="en-GB"/>
        </w:rPr>
        <w:t>r</w:t>
      </w:r>
      <w:r w:rsidRPr="00CE0885">
        <w:rPr>
          <w:spacing w:val="-6"/>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r</w:t>
      </w:r>
      <w:r w:rsidRPr="00CE0885">
        <w:rPr>
          <w:spacing w:val="1"/>
          <w:lang w:eastAsia="en-GB"/>
        </w:rPr>
        <w:t>e</w:t>
      </w:r>
      <w:r w:rsidRPr="00CE0885">
        <w:rPr>
          <w:spacing w:val="-1"/>
          <w:lang w:eastAsia="en-GB"/>
        </w:rPr>
        <w:t>g</w:t>
      </w:r>
      <w:r w:rsidRPr="00CE0885">
        <w:rPr>
          <w:lang w:eastAsia="en-GB"/>
        </w:rPr>
        <w:t>is</w:t>
      </w:r>
      <w:r w:rsidRPr="00CE0885">
        <w:rPr>
          <w:spacing w:val="1"/>
          <w:lang w:eastAsia="en-GB"/>
        </w:rPr>
        <w:t>te</w:t>
      </w:r>
      <w:r w:rsidRPr="00CE0885">
        <w:rPr>
          <w:spacing w:val="-1"/>
          <w:lang w:eastAsia="en-GB"/>
        </w:rPr>
        <w:t>r</w:t>
      </w:r>
      <w:r w:rsidRPr="00CE0885">
        <w:rPr>
          <w:spacing w:val="1"/>
          <w:lang w:eastAsia="en-GB"/>
        </w:rPr>
        <w:t>e</w:t>
      </w:r>
      <w:r w:rsidRPr="00CE0885">
        <w:rPr>
          <w:lang w:eastAsia="en-GB"/>
        </w:rPr>
        <w:t>d</w:t>
      </w:r>
      <w:r w:rsidRPr="00CE0885">
        <w:rPr>
          <w:spacing w:val="-12"/>
          <w:lang w:eastAsia="en-GB"/>
        </w:rPr>
        <w:t xml:space="preserve"> </w:t>
      </w:r>
      <w:r w:rsidRPr="00CE0885">
        <w:rPr>
          <w:spacing w:val="1"/>
          <w:lang w:eastAsia="en-GB"/>
        </w:rPr>
        <w:t>pat</w:t>
      </w:r>
      <w:r w:rsidRPr="00CE0885">
        <w:rPr>
          <w:spacing w:val="-3"/>
          <w:lang w:eastAsia="en-GB"/>
        </w:rPr>
        <w:t>i</w:t>
      </w:r>
      <w:r w:rsidRPr="00CE0885">
        <w:rPr>
          <w:spacing w:val="1"/>
          <w:lang w:eastAsia="en-GB"/>
        </w:rPr>
        <w:t>ent</w:t>
      </w:r>
      <w:r w:rsidRPr="00CE0885">
        <w:rPr>
          <w:lang w:eastAsia="en-GB"/>
        </w:rPr>
        <w:t>s</w:t>
      </w:r>
      <w:r w:rsidRPr="00CE0885">
        <w:rPr>
          <w:spacing w:val="-10"/>
          <w:lang w:eastAsia="en-GB"/>
        </w:rPr>
        <w:t xml:space="preserve"> </w:t>
      </w:r>
      <w:r w:rsidRPr="00CE0885">
        <w:rPr>
          <w:spacing w:val="1"/>
          <w:lang w:eastAsia="en-GB"/>
        </w:rPr>
        <w:t>un</w:t>
      </w:r>
      <w:r w:rsidRPr="00CE0885">
        <w:rPr>
          <w:spacing w:val="-1"/>
          <w:lang w:eastAsia="en-GB"/>
        </w:rPr>
        <w:t>d</w:t>
      </w:r>
      <w:r w:rsidRPr="00CE0885">
        <w:rPr>
          <w:spacing w:val="1"/>
          <w:lang w:eastAsia="en-GB"/>
        </w:rPr>
        <w:t>e</w:t>
      </w:r>
      <w:r w:rsidRPr="00CE0885">
        <w:rPr>
          <w:lang w:eastAsia="en-GB"/>
        </w:rPr>
        <w:t>r</w:t>
      </w:r>
      <w:r w:rsidRPr="00CE0885">
        <w:rPr>
          <w:spacing w:val="-6"/>
          <w:lang w:eastAsia="en-GB"/>
        </w:rPr>
        <w:t xml:space="preserve"> </w:t>
      </w:r>
      <w:r w:rsidRPr="00CE0885">
        <w:rPr>
          <w:spacing w:val="1"/>
          <w:lang w:eastAsia="en-GB"/>
        </w:rPr>
        <w:t>th</w:t>
      </w:r>
      <w:r w:rsidRPr="00CE0885">
        <w:rPr>
          <w:spacing w:val="-1"/>
          <w:lang w:eastAsia="en-GB"/>
        </w:rPr>
        <w:t>a</w:t>
      </w:r>
      <w:r w:rsidRPr="00CE0885">
        <w:rPr>
          <w:lang w:eastAsia="en-GB"/>
        </w:rPr>
        <w:t>t</w:t>
      </w:r>
      <w:r w:rsidRPr="00CE0885">
        <w:rPr>
          <w:spacing w:val="-3"/>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w:t>
      </w:r>
      <w:r w:rsidRPr="00CE0885">
        <w:rPr>
          <w:lang w:eastAsia="en-GB"/>
        </w:rPr>
        <w:t>.</w:t>
      </w:r>
      <w:bookmarkEnd w:id="872"/>
    </w:p>
    <w:p w14:paraId="5E4CA3C4" w14:textId="6D92F3AE" w:rsidR="00977693" w:rsidRPr="00CE0885" w:rsidRDefault="00977693" w:rsidP="00E47A71">
      <w:pPr>
        <w:pStyle w:val="Heading3"/>
        <w:rPr>
          <w:lang w:eastAsia="en-GB"/>
        </w:rPr>
      </w:pPr>
      <w:bookmarkStart w:id="873" w:name="_Toc440981994"/>
      <w:r w:rsidRPr="00CE0885">
        <w:rPr>
          <w:lang w:eastAsia="en-GB"/>
        </w:rPr>
        <w:t>Prior to any opt out taking effect, the Commissioner and the contractor shall discuss how to inform the contractor's patients of the proposed opt out. The Commissioner can request the contractor to inform its registered patients of an opt out and the arrangements made for them to receive the additional service or out of hours services by either placing a notice in the practice's waiting rooms; or including the information in the practice leaflet.</w:t>
      </w:r>
      <w:bookmarkEnd w:id="873"/>
    </w:p>
    <w:p w14:paraId="3D337357" w14:textId="05A8C642" w:rsidR="00977693" w:rsidRPr="00CE0885" w:rsidRDefault="00977693" w:rsidP="00C5615F">
      <w:pPr>
        <w:pStyle w:val="Heading3"/>
        <w:rPr>
          <w:lang w:eastAsia="en-GB"/>
        </w:rPr>
      </w:pPr>
      <w:bookmarkStart w:id="874" w:name="_Toc440981995"/>
      <w:r w:rsidRPr="00CE0885">
        <w:rPr>
          <w:lang w:eastAsia="en-GB"/>
        </w:rPr>
        <w:t xml:space="preserve">The Regulations do not refer to opt-ins, i.e. where a contractor wishes to provide services which it previously opted out of providing. If the Commissioner receives a request to opt-in, it should refer to their Legal Team </w:t>
      </w:r>
      <w:r w:rsidR="00C5615F">
        <w:rPr>
          <w:lang w:eastAsia="en-GB"/>
        </w:rPr>
        <w:t>(</w:t>
      </w:r>
      <w:hyperlink r:id="rId127" w:history="1">
        <w:r w:rsidR="00C5615F" w:rsidRPr="00CE13A6">
          <w:rPr>
            <w:rStyle w:val="Hyperlink"/>
            <w:lang w:eastAsia="en-GB"/>
          </w:rPr>
          <w:t>england.legal@nhs.net</w:t>
        </w:r>
      </w:hyperlink>
      <w:r w:rsidR="00C5615F">
        <w:rPr>
          <w:lang w:eastAsia="en-GB"/>
        </w:rPr>
        <w:t xml:space="preserve">) </w:t>
      </w:r>
      <w:r w:rsidRPr="00CE0885">
        <w:rPr>
          <w:lang w:eastAsia="en-GB"/>
        </w:rPr>
        <w:t>for consideration of the procurement implications.</w:t>
      </w:r>
      <w:bookmarkEnd w:id="874"/>
      <w:r w:rsidRPr="00CE0885">
        <w:rPr>
          <w:lang w:eastAsia="en-GB"/>
        </w:rPr>
        <w:t xml:space="preserve"> </w:t>
      </w:r>
    </w:p>
    <w:p w14:paraId="2EE5246E" w14:textId="77777777" w:rsidR="005A7DDA" w:rsidRPr="00A553BA" w:rsidRDefault="005A7DDA" w:rsidP="00B30FA5">
      <w:pPr>
        <w:pStyle w:val="BodyText"/>
        <w:rPr>
          <w:b/>
          <w:sz w:val="24"/>
        </w:rPr>
      </w:pPr>
      <w:bookmarkStart w:id="875" w:name="_Toc440981996"/>
    </w:p>
    <w:p w14:paraId="203ED7B4" w14:textId="3D268511" w:rsidR="00977693" w:rsidRPr="00B30FA5" w:rsidRDefault="00977693" w:rsidP="00B30FA5">
      <w:pPr>
        <w:pStyle w:val="BodyText"/>
        <w:rPr>
          <w:b/>
          <w:sz w:val="24"/>
          <w:szCs w:val="24"/>
        </w:rPr>
      </w:pPr>
      <w:r w:rsidRPr="00B30FA5">
        <w:rPr>
          <w:b/>
          <w:sz w:val="24"/>
          <w:szCs w:val="24"/>
        </w:rPr>
        <w:t>Opt out of additional services</w:t>
      </w:r>
      <w:bookmarkEnd w:id="875"/>
    </w:p>
    <w:p w14:paraId="25E5CCD0" w14:textId="77777777" w:rsidR="00977693" w:rsidRPr="00CE0885" w:rsidRDefault="00977693" w:rsidP="00E47A71">
      <w:pPr>
        <w:pStyle w:val="Heading3"/>
        <w:rPr>
          <w:lang w:eastAsia="en-GB"/>
        </w:rPr>
      </w:pPr>
      <w:bookmarkStart w:id="876" w:name="_Toc440981997"/>
      <w:r w:rsidRPr="00CE0885">
        <w:rPr>
          <w:lang w:eastAsia="en-GB"/>
        </w:rPr>
        <w:t>Where a contract wants to opt out of providing additional services, the contractor must</w:t>
      </w:r>
      <w:r w:rsidRPr="00CE0885">
        <w:rPr>
          <w:spacing w:val="-5"/>
          <w:lang w:eastAsia="en-GB"/>
        </w:rPr>
        <w:t xml:space="preserve"> </w:t>
      </w:r>
      <w:r w:rsidRPr="00CE0885">
        <w:rPr>
          <w:spacing w:val="-1"/>
          <w:lang w:eastAsia="en-GB"/>
        </w:rPr>
        <w:t>notify</w:t>
      </w:r>
      <w:r w:rsidRPr="00CE0885">
        <w:rPr>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lang w:eastAsia="en-GB"/>
        </w:rPr>
        <w:t>Commissioner</w:t>
      </w:r>
      <w:r w:rsidRPr="00CE0885">
        <w:rPr>
          <w:spacing w:val="-2"/>
          <w:lang w:eastAsia="en-GB"/>
        </w:rPr>
        <w:t xml:space="preserve"> </w:t>
      </w:r>
      <w:r w:rsidRPr="00CE0885">
        <w:rPr>
          <w:lang w:eastAsia="en-GB"/>
        </w:rPr>
        <w:t xml:space="preserve">in </w:t>
      </w:r>
      <w:r w:rsidRPr="00CE0885">
        <w:rPr>
          <w:spacing w:val="-3"/>
          <w:lang w:eastAsia="en-GB"/>
        </w:rPr>
        <w:t>w</w:t>
      </w:r>
      <w:r w:rsidRPr="00CE0885">
        <w:rPr>
          <w:spacing w:val="-1"/>
          <w:lang w:eastAsia="en-GB"/>
        </w:rPr>
        <w:t>r</w:t>
      </w:r>
      <w:r w:rsidRPr="00CE0885">
        <w:rPr>
          <w:lang w:eastAsia="en-GB"/>
        </w:rPr>
        <w:t>i</w:t>
      </w:r>
      <w:r w:rsidRPr="00CE0885">
        <w:rPr>
          <w:spacing w:val="1"/>
          <w:lang w:eastAsia="en-GB"/>
        </w:rPr>
        <w:t>t</w:t>
      </w:r>
      <w:r w:rsidRPr="00CE0885">
        <w:rPr>
          <w:lang w:eastAsia="en-GB"/>
        </w:rPr>
        <w:t>i</w:t>
      </w:r>
      <w:r w:rsidRPr="00CE0885">
        <w:rPr>
          <w:spacing w:val="1"/>
          <w:lang w:eastAsia="en-GB"/>
        </w:rPr>
        <w:t>n</w:t>
      </w:r>
      <w:r w:rsidRPr="00CE0885">
        <w:rPr>
          <w:lang w:eastAsia="en-GB"/>
        </w:rPr>
        <w:t>g</w:t>
      </w:r>
      <w:r w:rsidRPr="00CE0885">
        <w:rPr>
          <w:spacing w:val="-8"/>
          <w:lang w:eastAsia="en-GB"/>
        </w:rPr>
        <w:t xml:space="preserve"> </w:t>
      </w:r>
      <w:r w:rsidRPr="00CE0885">
        <w:rPr>
          <w:lang w:eastAsia="en-GB"/>
        </w:rPr>
        <w:t>s</w:t>
      </w:r>
      <w:r w:rsidRPr="00CE0885">
        <w:rPr>
          <w:spacing w:val="1"/>
          <w:lang w:eastAsia="en-GB"/>
        </w:rPr>
        <w:t>tat</w:t>
      </w:r>
      <w:r w:rsidRPr="00CE0885">
        <w:rPr>
          <w:lang w:eastAsia="en-GB"/>
        </w:rPr>
        <w:t>ing</w:t>
      </w:r>
      <w:r w:rsidRPr="00CE0885">
        <w:rPr>
          <w:spacing w:val="-6"/>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re</w:t>
      </w:r>
      <w:r w:rsidRPr="00CE0885">
        <w:rPr>
          <w:spacing w:val="1"/>
          <w:lang w:eastAsia="en-GB"/>
        </w:rPr>
        <w:t>a</w:t>
      </w:r>
      <w:r w:rsidRPr="00CE0885">
        <w:rPr>
          <w:lang w:eastAsia="en-GB"/>
        </w:rPr>
        <w:t>s</w:t>
      </w:r>
      <w:r w:rsidRPr="00CE0885">
        <w:rPr>
          <w:spacing w:val="1"/>
          <w:lang w:eastAsia="en-GB"/>
        </w:rPr>
        <w:t>on</w:t>
      </w:r>
      <w:r w:rsidRPr="00CE0885">
        <w:rPr>
          <w:lang w:eastAsia="en-GB"/>
        </w:rPr>
        <w:t>s</w:t>
      </w:r>
      <w:r w:rsidRPr="00CE0885">
        <w:rPr>
          <w:spacing w:val="-11"/>
          <w:lang w:eastAsia="en-GB"/>
        </w:rPr>
        <w:t xml:space="preserve"> </w:t>
      </w:r>
      <w:r w:rsidRPr="00CE0885">
        <w:rPr>
          <w:spacing w:val="1"/>
          <w:lang w:eastAsia="en-GB"/>
        </w:rPr>
        <w:t>fo</w:t>
      </w:r>
      <w:r w:rsidRPr="00CE0885">
        <w:rPr>
          <w:lang w:eastAsia="en-GB"/>
        </w:rPr>
        <w:t>r</w:t>
      </w:r>
      <w:r w:rsidRPr="00CE0885">
        <w:rPr>
          <w:spacing w:val="-3"/>
          <w:lang w:eastAsia="en-GB"/>
        </w:rPr>
        <w:t xml:space="preserve"> w</w:t>
      </w:r>
      <w:r w:rsidRPr="00CE0885">
        <w:rPr>
          <w:lang w:eastAsia="en-GB"/>
        </w:rPr>
        <w:t>is</w:t>
      </w:r>
      <w:r w:rsidRPr="00CE0885">
        <w:rPr>
          <w:spacing w:val="1"/>
          <w:lang w:eastAsia="en-GB"/>
        </w:rPr>
        <w:t>h</w:t>
      </w:r>
      <w:r w:rsidRPr="00CE0885">
        <w:rPr>
          <w:lang w:eastAsia="en-GB"/>
        </w:rPr>
        <w:t>i</w:t>
      </w:r>
      <w:r w:rsidRPr="00CE0885">
        <w:rPr>
          <w:spacing w:val="1"/>
          <w:lang w:eastAsia="en-GB"/>
        </w:rPr>
        <w:t>n</w:t>
      </w:r>
      <w:r w:rsidRPr="00CE0885">
        <w:rPr>
          <w:lang w:eastAsia="en-GB"/>
        </w:rPr>
        <w:t>g</w:t>
      </w:r>
      <w:r w:rsidRPr="00CE0885">
        <w:rPr>
          <w:spacing w:val="-9"/>
          <w:lang w:eastAsia="en-GB"/>
        </w:rPr>
        <w:t xml:space="preserve"> </w:t>
      </w:r>
      <w:r w:rsidRPr="00CE0885">
        <w:rPr>
          <w:spacing w:val="1"/>
          <w:lang w:eastAsia="en-GB"/>
        </w:rPr>
        <w:t>t</w:t>
      </w:r>
      <w:r w:rsidRPr="00CE0885">
        <w:rPr>
          <w:lang w:eastAsia="en-GB"/>
        </w:rPr>
        <w:t xml:space="preserve">o </w:t>
      </w:r>
      <w:r w:rsidRPr="00CE0885">
        <w:rPr>
          <w:spacing w:val="1"/>
          <w:lang w:eastAsia="en-GB"/>
        </w:rPr>
        <w:t>o</w:t>
      </w:r>
      <w:r w:rsidRPr="00CE0885">
        <w:rPr>
          <w:spacing w:val="-1"/>
          <w:lang w:eastAsia="en-GB"/>
        </w:rPr>
        <w:t>p</w:t>
      </w:r>
      <w:r w:rsidRPr="00CE0885">
        <w:rPr>
          <w:lang w:eastAsia="en-GB"/>
        </w:rPr>
        <w:t>t</w:t>
      </w:r>
      <w:r w:rsidRPr="00CE0885">
        <w:rPr>
          <w:spacing w:val="-2"/>
          <w:lang w:eastAsia="en-GB"/>
        </w:rPr>
        <w:t xml:space="preserve"> </w:t>
      </w:r>
      <w:r w:rsidRPr="00CE0885">
        <w:rPr>
          <w:spacing w:val="1"/>
          <w:lang w:eastAsia="en-GB"/>
        </w:rPr>
        <w:t>ou</w:t>
      </w:r>
      <w:r w:rsidRPr="00CE0885">
        <w:rPr>
          <w:spacing w:val="-2"/>
          <w:lang w:eastAsia="en-GB"/>
        </w:rPr>
        <w:t>t. This notice is referred to as</w:t>
      </w:r>
      <w:r w:rsidRPr="00CE0885">
        <w:rPr>
          <w:lang w:eastAsia="en-GB"/>
        </w:rPr>
        <w:t xml:space="preserve"> a</w:t>
      </w:r>
      <w:r w:rsidRPr="00CE0885">
        <w:rPr>
          <w:spacing w:val="1"/>
          <w:lang w:eastAsia="en-GB"/>
        </w:rPr>
        <w:t xml:space="preserve"> p</w:t>
      </w:r>
      <w:r w:rsidRPr="00CE0885">
        <w:rPr>
          <w:spacing w:val="-1"/>
          <w:lang w:eastAsia="en-GB"/>
        </w:rPr>
        <w:t>r</w:t>
      </w:r>
      <w:r w:rsidRPr="00CE0885">
        <w:rPr>
          <w:spacing w:val="1"/>
          <w:lang w:eastAsia="en-GB"/>
        </w:rPr>
        <w:t>e</w:t>
      </w:r>
      <w:r w:rsidRPr="00CE0885">
        <w:rPr>
          <w:lang w:eastAsia="en-GB"/>
        </w:rPr>
        <w:t>li</w:t>
      </w:r>
      <w:r w:rsidRPr="00CE0885">
        <w:rPr>
          <w:spacing w:val="2"/>
          <w:lang w:eastAsia="en-GB"/>
        </w:rPr>
        <w:t>m</w:t>
      </w:r>
      <w:r w:rsidRPr="00CE0885">
        <w:rPr>
          <w:lang w:eastAsia="en-GB"/>
        </w:rPr>
        <w:t>i</w:t>
      </w:r>
      <w:r w:rsidRPr="00CE0885">
        <w:rPr>
          <w:spacing w:val="1"/>
          <w:lang w:eastAsia="en-GB"/>
        </w:rPr>
        <w:t>na</w:t>
      </w:r>
      <w:r w:rsidRPr="00CE0885">
        <w:rPr>
          <w:spacing w:val="-1"/>
          <w:lang w:eastAsia="en-GB"/>
        </w:rPr>
        <w:t>r</w:t>
      </w:r>
      <w:r w:rsidRPr="00CE0885">
        <w:rPr>
          <w:lang w:eastAsia="en-GB"/>
        </w:rPr>
        <w:t>y</w:t>
      </w:r>
      <w:r w:rsidRPr="00CE0885">
        <w:rPr>
          <w:spacing w:val="-14"/>
          <w:lang w:eastAsia="en-GB"/>
        </w:rPr>
        <w:t xml:space="preserve"> </w:t>
      </w:r>
      <w:r w:rsidRPr="00CE0885">
        <w:rPr>
          <w:spacing w:val="1"/>
          <w:lang w:eastAsia="en-GB"/>
        </w:rPr>
        <w:t>opt</w:t>
      </w:r>
      <w:r w:rsidRPr="00CE0885">
        <w:rPr>
          <w:spacing w:val="-1"/>
          <w:lang w:eastAsia="en-GB"/>
        </w:rPr>
        <w:t>-</w:t>
      </w:r>
      <w:r w:rsidRPr="00CE0885">
        <w:rPr>
          <w:spacing w:val="1"/>
          <w:lang w:eastAsia="en-GB"/>
        </w:rPr>
        <w:t>ou</w:t>
      </w:r>
      <w:r w:rsidRPr="00CE0885">
        <w:rPr>
          <w:lang w:eastAsia="en-GB"/>
        </w:rPr>
        <w:t>t</w:t>
      </w:r>
      <w:r w:rsidRPr="00CE0885">
        <w:rPr>
          <w:spacing w:val="-8"/>
          <w:lang w:eastAsia="en-GB"/>
        </w:rPr>
        <w:t xml:space="preserve"> </w:t>
      </w:r>
      <w:r w:rsidRPr="00CE0885">
        <w:rPr>
          <w:spacing w:val="1"/>
          <w:lang w:eastAsia="en-GB"/>
        </w:rPr>
        <w:t>not</w:t>
      </w:r>
      <w:r w:rsidRPr="00CE0885">
        <w:rPr>
          <w:lang w:eastAsia="en-GB"/>
        </w:rPr>
        <w:t>ic</w:t>
      </w:r>
      <w:r w:rsidRPr="00CE0885">
        <w:rPr>
          <w:spacing w:val="1"/>
          <w:lang w:eastAsia="en-GB"/>
        </w:rPr>
        <w:t>e</w:t>
      </w:r>
      <w:r w:rsidRPr="00CE0885">
        <w:rPr>
          <w:lang w:eastAsia="en-GB"/>
        </w:rPr>
        <w:t>.</w:t>
      </w:r>
      <w:bookmarkEnd w:id="876"/>
    </w:p>
    <w:p w14:paraId="7BEF18C8" w14:textId="455AF019" w:rsidR="00977693" w:rsidRPr="00CE0885" w:rsidRDefault="00977693" w:rsidP="00E47A71">
      <w:pPr>
        <w:pStyle w:val="Heading3"/>
        <w:rPr>
          <w:lang w:eastAsia="en-GB"/>
        </w:rPr>
      </w:pPr>
      <w:bookmarkStart w:id="877" w:name="_Toc440981998"/>
      <w:r w:rsidRPr="00CE0885">
        <w:rPr>
          <w:lang w:eastAsia="en-GB"/>
        </w:rPr>
        <w:t>As a next step, the Commissioner must discuss with the contractor what support the Commissioner may give the contractor to enable the contractor to continue to provide the additional service. The parties must also discuss other changes which with party could make to enable the contractor to continue providing the service.  These discussions must be started as</w:t>
      </w:r>
      <w:r w:rsidRPr="00CE0885">
        <w:rPr>
          <w:spacing w:val="-3"/>
          <w:lang w:eastAsia="en-GB"/>
        </w:rPr>
        <w:t xml:space="preserve"> </w:t>
      </w:r>
      <w:r w:rsidRPr="00CE0885">
        <w:rPr>
          <w:lang w:eastAsia="en-GB"/>
        </w:rPr>
        <w:t>so</w:t>
      </w:r>
      <w:r w:rsidRPr="00CE0885">
        <w:rPr>
          <w:spacing w:val="-1"/>
          <w:lang w:eastAsia="en-GB"/>
        </w:rPr>
        <w:t>o</w:t>
      </w:r>
      <w:r w:rsidRPr="00CE0885">
        <w:rPr>
          <w:lang w:eastAsia="en-GB"/>
        </w:rPr>
        <w:t>n</w:t>
      </w:r>
      <w:r w:rsidRPr="00CE0885">
        <w:rPr>
          <w:spacing w:val="-3"/>
          <w:lang w:eastAsia="en-GB"/>
        </w:rPr>
        <w:t xml:space="preserve"> </w:t>
      </w:r>
      <w:r w:rsidRPr="00CE0885">
        <w:rPr>
          <w:lang w:eastAsia="en-GB"/>
        </w:rPr>
        <w:t>as</w:t>
      </w:r>
      <w:r w:rsidRPr="00CE0885">
        <w:rPr>
          <w:spacing w:val="-3"/>
          <w:lang w:eastAsia="en-GB"/>
        </w:rPr>
        <w:t xml:space="preserve"> </w:t>
      </w:r>
      <w:r w:rsidRPr="00CE0885">
        <w:rPr>
          <w:lang w:eastAsia="en-GB"/>
        </w:rPr>
        <w:t>is</w:t>
      </w:r>
      <w:r w:rsidRPr="00CE0885">
        <w:rPr>
          <w:spacing w:val="-2"/>
          <w:lang w:eastAsia="en-GB"/>
        </w:rPr>
        <w:t xml:space="preserve"> </w:t>
      </w:r>
      <w:r w:rsidRPr="00CE0885">
        <w:rPr>
          <w:spacing w:val="-3"/>
          <w:lang w:eastAsia="en-GB"/>
        </w:rPr>
        <w:t>r</w:t>
      </w:r>
      <w:r w:rsidRPr="00CE0885">
        <w:rPr>
          <w:lang w:eastAsia="en-GB"/>
        </w:rPr>
        <w:t>eas</w:t>
      </w:r>
      <w:r w:rsidRPr="00CE0885">
        <w:rPr>
          <w:spacing w:val="-1"/>
          <w:lang w:eastAsia="en-GB"/>
        </w:rPr>
        <w:t>o</w:t>
      </w:r>
      <w:r w:rsidRPr="00CE0885">
        <w:rPr>
          <w:lang w:eastAsia="en-GB"/>
        </w:rPr>
        <w:t>n</w:t>
      </w:r>
      <w:r w:rsidRPr="00CE0885">
        <w:rPr>
          <w:spacing w:val="-1"/>
          <w:lang w:eastAsia="en-GB"/>
        </w:rPr>
        <w:t>a</w:t>
      </w:r>
      <w:r w:rsidRPr="00CE0885">
        <w:rPr>
          <w:lang w:eastAsia="en-GB"/>
        </w:rPr>
        <w:t>bly</w:t>
      </w:r>
      <w:r w:rsidRPr="00CE0885">
        <w:rPr>
          <w:spacing w:val="-14"/>
          <w:lang w:eastAsia="en-GB"/>
        </w:rPr>
        <w:t xml:space="preserve"> </w:t>
      </w:r>
      <w:r w:rsidRPr="00CE0885">
        <w:rPr>
          <w:lang w:eastAsia="en-GB"/>
        </w:rPr>
        <w:t>p</w:t>
      </w:r>
      <w:r w:rsidRPr="00CE0885">
        <w:rPr>
          <w:spacing w:val="-1"/>
          <w:lang w:eastAsia="en-GB"/>
        </w:rPr>
        <w:t>r</w:t>
      </w:r>
      <w:r w:rsidRPr="00CE0885">
        <w:rPr>
          <w:lang w:eastAsia="en-GB"/>
        </w:rPr>
        <w:t>acticable</w:t>
      </w:r>
      <w:r w:rsidRPr="00CE0885">
        <w:rPr>
          <w:spacing w:val="-10"/>
          <w:lang w:eastAsia="en-GB"/>
        </w:rPr>
        <w:t xml:space="preserve"> </w:t>
      </w:r>
      <w:r w:rsidRPr="00CE0885">
        <w:rPr>
          <w:spacing w:val="-1"/>
          <w:lang w:eastAsia="en-GB"/>
        </w:rPr>
        <w:t>a</w:t>
      </w:r>
      <w:r w:rsidRPr="00CE0885">
        <w:rPr>
          <w:lang w:eastAsia="en-GB"/>
        </w:rPr>
        <w:t>nd</w:t>
      </w:r>
      <w:r w:rsidRPr="00CE0885">
        <w:rPr>
          <w:spacing w:val="-2"/>
          <w:lang w:eastAsia="en-GB"/>
        </w:rPr>
        <w:t xml:space="preserve"> </w:t>
      </w:r>
      <w:r w:rsidRPr="00CE0885">
        <w:rPr>
          <w:lang w:eastAsia="en-GB"/>
        </w:rPr>
        <w:t>in</w:t>
      </w:r>
      <w:r w:rsidRPr="00CE0885">
        <w:rPr>
          <w:spacing w:val="-3"/>
          <w:lang w:eastAsia="en-GB"/>
        </w:rPr>
        <w:t xml:space="preserve"> </w:t>
      </w:r>
      <w:r w:rsidRPr="00CE0885">
        <w:rPr>
          <w:spacing w:val="-1"/>
          <w:lang w:eastAsia="en-GB"/>
        </w:rPr>
        <w:t>a</w:t>
      </w:r>
      <w:r w:rsidRPr="00CE0885">
        <w:rPr>
          <w:lang w:eastAsia="en-GB"/>
        </w:rPr>
        <w:t>ny</w:t>
      </w:r>
      <w:r w:rsidRPr="00CE0885">
        <w:rPr>
          <w:spacing w:val="-6"/>
          <w:lang w:eastAsia="en-GB"/>
        </w:rPr>
        <w:t xml:space="preserve"> </w:t>
      </w:r>
      <w:r w:rsidRPr="00CE0885">
        <w:rPr>
          <w:lang w:eastAsia="en-GB"/>
        </w:rPr>
        <w:t>e</w:t>
      </w:r>
      <w:r w:rsidRPr="00CE0885">
        <w:rPr>
          <w:spacing w:val="-2"/>
          <w:lang w:eastAsia="en-GB"/>
        </w:rPr>
        <w:t>v</w:t>
      </w:r>
      <w:r w:rsidRPr="00CE0885">
        <w:rPr>
          <w:lang w:eastAsia="en-GB"/>
        </w:rPr>
        <w:t>ent</w:t>
      </w:r>
      <w:r w:rsidRPr="00CE0885">
        <w:rPr>
          <w:spacing w:val="-5"/>
          <w:lang w:eastAsia="en-GB"/>
        </w:rPr>
        <w:t xml:space="preserve"> </w:t>
      </w:r>
      <w:r w:rsidRPr="00CE0885">
        <w:rPr>
          <w:spacing w:val="-3"/>
          <w:lang w:eastAsia="en-GB"/>
        </w:rPr>
        <w:t>w</w:t>
      </w:r>
      <w:r w:rsidRPr="00CE0885">
        <w:rPr>
          <w:lang w:eastAsia="en-GB"/>
        </w:rPr>
        <w:t>ithin</w:t>
      </w:r>
      <w:r w:rsidRPr="00CE0885">
        <w:rPr>
          <w:spacing w:val="-4"/>
          <w:lang w:eastAsia="en-GB"/>
        </w:rPr>
        <w:t xml:space="preserve"> </w:t>
      </w:r>
      <w:r w:rsidRPr="00CE0885">
        <w:rPr>
          <w:lang w:eastAsia="en-GB"/>
        </w:rPr>
        <w:t>se</w:t>
      </w:r>
      <w:r w:rsidRPr="00CE0885">
        <w:rPr>
          <w:spacing w:val="-2"/>
          <w:lang w:eastAsia="en-GB"/>
        </w:rPr>
        <w:t>v</w:t>
      </w:r>
      <w:r w:rsidRPr="00CE0885">
        <w:rPr>
          <w:lang w:eastAsia="en-GB"/>
        </w:rPr>
        <w:t>en</w:t>
      </w:r>
      <w:r w:rsidRPr="00CE0885">
        <w:rPr>
          <w:spacing w:val="-7"/>
          <w:lang w:eastAsia="en-GB"/>
        </w:rPr>
        <w:t xml:space="preserve"> </w:t>
      </w:r>
      <w:r w:rsidRPr="00CE0885">
        <w:rPr>
          <w:lang w:eastAsia="en-GB"/>
        </w:rPr>
        <w:t>da</w:t>
      </w:r>
      <w:r w:rsidRPr="00CE0885">
        <w:rPr>
          <w:spacing w:val="-2"/>
          <w:lang w:eastAsia="en-GB"/>
        </w:rPr>
        <w:t>y</w:t>
      </w:r>
      <w:r w:rsidRPr="00CE0885">
        <w:rPr>
          <w:lang w:eastAsia="en-GB"/>
        </w:rPr>
        <w:t>s</w:t>
      </w:r>
      <w:r w:rsidRPr="00CE0885">
        <w:rPr>
          <w:spacing w:val="-5"/>
          <w:lang w:eastAsia="en-GB"/>
        </w:rPr>
        <w:t xml:space="preserve"> </w:t>
      </w:r>
      <w:r w:rsidRPr="00CE0885">
        <w:rPr>
          <w:spacing w:val="-1"/>
          <w:lang w:eastAsia="en-GB"/>
        </w:rPr>
        <w:t>b</w:t>
      </w:r>
      <w:r w:rsidRPr="00CE0885">
        <w:rPr>
          <w:lang w:eastAsia="en-GB"/>
        </w:rPr>
        <w:t>e</w:t>
      </w:r>
      <w:r w:rsidRPr="00CE0885">
        <w:rPr>
          <w:spacing w:val="-1"/>
          <w:lang w:eastAsia="en-GB"/>
        </w:rPr>
        <w:t>g</w:t>
      </w:r>
      <w:r w:rsidRPr="00CE0885">
        <w:rPr>
          <w:lang w:eastAsia="en-GB"/>
        </w:rPr>
        <w:t>inning</w:t>
      </w:r>
      <w:r w:rsidRPr="00CE0885">
        <w:rPr>
          <w:spacing w:val="-11"/>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the</w:t>
      </w:r>
      <w:r w:rsidRPr="00CE0885">
        <w:rPr>
          <w:spacing w:val="-1"/>
          <w:lang w:eastAsia="en-GB"/>
        </w:rPr>
        <w:t xml:space="preserve"> r</w:t>
      </w:r>
      <w:r w:rsidRPr="00CE0885">
        <w:rPr>
          <w:lang w:eastAsia="en-GB"/>
        </w:rPr>
        <w:t>ece</w:t>
      </w:r>
      <w:r w:rsidRPr="00CE0885">
        <w:rPr>
          <w:spacing w:val="-3"/>
          <w:lang w:eastAsia="en-GB"/>
        </w:rPr>
        <w:t>i</w:t>
      </w:r>
      <w:r w:rsidRPr="00CE0885">
        <w:rPr>
          <w:lang w:eastAsia="en-GB"/>
        </w:rPr>
        <w:t>pt</w:t>
      </w:r>
      <w:r w:rsidRPr="00CE0885">
        <w:rPr>
          <w:spacing w:val="-6"/>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w:t>
      </w:r>
      <w:r w:rsidRPr="00CE0885">
        <w:rPr>
          <w:spacing w:val="-1"/>
          <w:lang w:eastAsia="en-GB"/>
        </w:rPr>
        <w:t>h</w:t>
      </w:r>
      <w:r w:rsidRPr="00CE0885">
        <w:rPr>
          <w:lang w:eastAsia="en-GB"/>
        </w:rPr>
        <w:t>e p</w:t>
      </w:r>
      <w:r w:rsidRPr="00CE0885">
        <w:rPr>
          <w:spacing w:val="-1"/>
          <w:lang w:eastAsia="en-GB"/>
        </w:rPr>
        <w:t>r</w:t>
      </w:r>
      <w:r w:rsidRPr="00CE0885">
        <w:rPr>
          <w:lang w:eastAsia="en-GB"/>
        </w:rPr>
        <w:t>eli</w:t>
      </w:r>
      <w:r w:rsidRPr="00CE0885">
        <w:rPr>
          <w:spacing w:val="2"/>
          <w:lang w:eastAsia="en-GB"/>
        </w:rPr>
        <w:t>m</w:t>
      </w:r>
      <w:r w:rsidRPr="00CE0885">
        <w:rPr>
          <w:lang w:eastAsia="en-GB"/>
        </w:rPr>
        <w:t>ina</w:t>
      </w:r>
      <w:r w:rsidRPr="00CE0885">
        <w:rPr>
          <w:spacing w:val="-1"/>
          <w:lang w:eastAsia="en-GB"/>
        </w:rPr>
        <w:t>r</w:t>
      </w:r>
      <w:r w:rsidRPr="00CE0885">
        <w:rPr>
          <w:lang w:eastAsia="en-GB"/>
        </w:rPr>
        <w:t>y</w:t>
      </w:r>
      <w:r w:rsidRPr="00CE0885">
        <w:rPr>
          <w:spacing w:val="-14"/>
          <w:lang w:eastAsia="en-GB"/>
        </w:rPr>
        <w:t xml:space="preserve"> </w:t>
      </w:r>
      <w:r w:rsidRPr="00CE0885">
        <w:rPr>
          <w:lang w:eastAsia="en-GB"/>
        </w:rPr>
        <w:t>opt</w:t>
      </w:r>
      <w:r w:rsidRPr="00CE0885">
        <w:rPr>
          <w:spacing w:val="-1"/>
          <w:lang w:eastAsia="en-GB"/>
        </w:rPr>
        <w:t>-o</w:t>
      </w:r>
      <w:r w:rsidRPr="00CE0885">
        <w:rPr>
          <w:lang w:eastAsia="en-GB"/>
        </w:rPr>
        <w:t>ut</w:t>
      </w:r>
      <w:r w:rsidRPr="00CE0885">
        <w:rPr>
          <w:spacing w:val="-6"/>
          <w:lang w:eastAsia="en-GB"/>
        </w:rPr>
        <w:t xml:space="preserve"> </w:t>
      </w:r>
      <w:r w:rsidRPr="00CE0885">
        <w:rPr>
          <w:spacing w:val="-1"/>
          <w:lang w:eastAsia="en-GB"/>
        </w:rPr>
        <w:t>n</w:t>
      </w:r>
      <w:r w:rsidRPr="00CE0885">
        <w:rPr>
          <w:lang w:eastAsia="en-GB"/>
        </w:rPr>
        <w:t>ot</w:t>
      </w:r>
      <w:r w:rsidRPr="00CE0885">
        <w:rPr>
          <w:spacing w:val="-3"/>
          <w:lang w:eastAsia="en-GB"/>
        </w:rPr>
        <w:t>i</w:t>
      </w:r>
      <w:r w:rsidRPr="00CE0885">
        <w:rPr>
          <w:lang w:eastAsia="en-GB"/>
        </w:rPr>
        <w:t>ce</w:t>
      </w:r>
      <w:r w:rsidRPr="00CE0885">
        <w:rPr>
          <w:spacing w:val="-4"/>
          <w:lang w:eastAsia="en-GB"/>
        </w:rPr>
        <w:t xml:space="preserve">. </w:t>
      </w:r>
      <w:r w:rsidRPr="00CE0885">
        <w:rPr>
          <w:lang w:eastAsia="en-GB"/>
        </w:rPr>
        <w:t>The</w:t>
      </w:r>
      <w:r w:rsidRPr="00CE0885">
        <w:rPr>
          <w:spacing w:val="-1"/>
          <w:lang w:eastAsia="en-GB"/>
        </w:rPr>
        <w:t xml:space="preserve"> </w:t>
      </w:r>
      <w:r w:rsidRPr="00CE0885">
        <w:rPr>
          <w:spacing w:val="-2"/>
          <w:lang w:eastAsia="en-GB"/>
        </w:rPr>
        <w:t>Commissioner</w:t>
      </w:r>
      <w:r w:rsidRPr="00CE0885">
        <w:rPr>
          <w:spacing w:val="-3"/>
          <w:lang w:eastAsia="en-GB"/>
        </w:rPr>
        <w:t xml:space="preserve"> </w:t>
      </w:r>
      <w:r w:rsidRPr="00CE0885">
        <w:rPr>
          <w:lang w:eastAsia="en-GB"/>
        </w:rPr>
        <w:t>a</w:t>
      </w:r>
      <w:r w:rsidRPr="00CE0885">
        <w:rPr>
          <w:spacing w:val="-1"/>
          <w:lang w:eastAsia="en-GB"/>
        </w:rPr>
        <w:t>n</w:t>
      </w:r>
      <w:r w:rsidRPr="00CE0885">
        <w:rPr>
          <w:lang w:eastAsia="en-GB"/>
        </w:rPr>
        <w:t>d</w:t>
      </w:r>
      <w:r w:rsidRPr="00CE0885">
        <w:rPr>
          <w:spacing w:val="-2"/>
          <w:lang w:eastAsia="en-GB"/>
        </w:rPr>
        <w:t xml:space="preserve"> t</w:t>
      </w:r>
      <w:r w:rsidRPr="00CE0885">
        <w:rPr>
          <w:lang w:eastAsia="en-GB"/>
        </w:rPr>
        <w:t>he</w:t>
      </w:r>
      <w:r w:rsidRPr="00CE0885">
        <w:rPr>
          <w:spacing w:val="-1"/>
          <w:lang w:eastAsia="en-GB"/>
        </w:rPr>
        <w:t xml:space="preserve"> </w:t>
      </w:r>
      <w:r w:rsidRPr="00CE0885">
        <w:rPr>
          <w:spacing w:val="-2"/>
          <w:lang w:eastAsia="en-GB"/>
        </w:rPr>
        <w:t>c</w:t>
      </w:r>
      <w:r w:rsidRPr="00CE0885">
        <w:rPr>
          <w:lang w:eastAsia="en-GB"/>
        </w:rPr>
        <w:t>ont</w:t>
      </w:r>
      <w:r w:rsidRPr="00CE0885">
        <w:rPr>
          <w:spacing w:val="-1"/>
          <w:lang w:eastAsia="en-GB"/>
        </w:rPr>
        <w:t>r</w:t>
      </w:r>
      <w:r w:rsidRPr="00CE0885">
        <w:rPr>
          <w:lang w:eastAsia="en-GB"/>
        </w:rPr>
        <w:t>a</w:t>
      </w:r>
      <w:r w:rsidRPr="00CE0885">
        <w:rPr>
          <w:spacing w:val="-2"/>
          <w:lang w:eastAsia="en-GB"/>
        </w:rPr>
        <w:t>c</w:t>
      </w:r>
      <w:r w:rsidRPr="00CE0885">
        <w:rPr>
          <w:lang w:eastAsia="en-GB"/>
        </w:rPr>
        <w:t>tor</w:t>
      </w:r>
      <w:r w:rsidRPr="00CE0885">
        <w:rPr>
          <w:spacing w:val="-11"/>
          <w:lang w:eastAsia="en-GB"/>
        </w:rPr>
        <w:t xml:space="preserve"> </w:t>
      </w:r>
      <w:r w:rsidRPr="00CE0885">
        <w:rPr>
          <w:lang w:eastAsia="en-GB"/>
        </w:rPr>
        <w:t>must</w:t>
      </w:r>
      <w:r w:rsidRPr="00CE0885">
        <w:rPr>
          <w:spacing w:val="-5"/>
          <w:lang w:eastAsia="en-GB"/>
        </w:rPr>
        <w:t xml:space="preserve"> </w:t>
      </w:r>
      <w:r w:rsidRPr="00CE0885">
        <w:rPr>
          <w:lang w:eastAsia="en-GB"/>
        </w:rPr>
        <w:t>u</w:t>
      </w:r>
      <w:r w:rsidRPr="00CE0885">
        <w:rPr>
          <w:spacing w:val="-2"/>
          <w:lang w:eastAsia="en-GB"/>
        </w:rPr>
        <w:t>s</w:t>
      </w:r>
      <w:r w:rsidRPr="00CE0885">
        <w:rPr>
          <w:lang w:eastAsia="en-GB"/>
        </w:rPr>
        <w:t>e</w:t>
      </w:r>
      <w:r w:rsidRPr="00CE0885">
        <w:rPr>
          <w:spacing w:val="-2"/>
          <w:lang w:eastAsia="en-GB"/>
        </w:rPr>
        <w:t xml:space="preserve"> </w:t>
      </w:r>
      <w:r w:rsidRPr="00CE0885">
        <w:rPr>
          <w:spacing w:val="-1"/>
          <w:lang w:eastAsia="en-GB"/>
        </w:rPr>
        <w:t>r</w:t>
      </w:r>
      <w:r w:rsidRPr="00CE0885">
        <w:rPr>
          <w:lang w:eastAsia="en-GB"/>
        </w:rPr>
        <w:t>ea</w:t>
      </w:r>
      <w:r w:rsidRPr="00CE0885">
        <w:rPr>
          <w:spacing w:val="-2"/>
          <w:lang w:eastAsia="en-GB"/>
        </w:rPr>
        <w:t>s</w:t>
      </w:r>
      <w:r w:rsidRPr="00CE0885">
        <w:rPr>
          <w:lang w:eastAsia="en-GB"/>
        </w:rPr>
        <w:t>o</w:t>
      </w:r>
      <w:r w:rsidRPr="00CE0885">
        <w:rPr>
          <w:spacing w:val="-1"/>
          <w:lang w:eastAsia="en-GB"/>
        </w:rPr>
        <w:t>n</w:t>
      </w:r>
      <w:r w:rsidRPr="00CE0885">
        <w:rPr>
          <w:lang w:eastAsia="en-GB"/>
        </w:rPr>
        <w:t>ab</w:t>
      </w:r>
      <w:r w:rsidRPr="00CE0885">
        <w:rPr>
          <w:spacing w:val="-3"/>
          <w:lang w:eastAsia="en-GB"/>
        </w:rPr>
        <w:t>l</w:t>
      </w:r>
      <w:r w:rsidRPr="00CE0885">
        <w:rPr>
          <w:lang w:eastAsia="en-GB"/>
        </w:rPr>
        <w:t>e</w:t>
      </w:r>
      <w:r w:rsidRPr="00CE0885">
        <w:rPr>
          <w:spacing w:val="-10"/>
          <w:lang w:eastAsia="en-GB"/>
        </w:rPr>
        <w:t xml:space="preserve"> </w:t>
      </w:r>
      <w:r w:rsidRPr="00CE0885">
        <w:rPr>
          <w:lang w:eastAsia="en-GB"/>
        </w:rPr>
        <w:t>e</w:t>
      </w:r>
      <w:r w:rsidRPr="00CE0885">
        <w:rPr>
          <w:spacing w:val="-1"/>
          <w:lang w:eastAsia="en-GB"/>
        </w:rPr>
        <w:t>n</w:t>
      </w:r>
      <w:r w:rsidRPr="00CE0885">
        <w:rPr>
          <w:lang w:eastAsia="en-GB"/>
        </w:rPr>
        <w:t>dea</w:t>
      </w:r>
      <w:r w:rsidRPr="00CE0885">
        <w:rPr>
          <w:spacing w:val="-2"/>
          <w:lang w:eastAsia="en-GB"/>
        </w:rPr>
        <w:t>v</w:t>
      </w:r>
      <w:r w:rsidRPr="00CE0885">
        <w:rPr>
          <w:lang w:eastAsia="en-GB"/>
        </w:rPr>
        <w:t>ou</w:t>
      </w:r>
      <w:r w:rsidRPr="00CE0885">
        <w:rPr>
          <w:spacing w:val="-1"/>
          <w:lang w:eastAsia="en-GB"/>
        </w:rPr>
        <w:t>r</w:t>
      </w:r>
      <w:r w:rsidRPr="00CE0885">
        <w:rPr>
          <w:lang w:eastAsia="en-GB"/>
        </w:rPr>
        <w:t>s</w:t>
      </w:r>
      <w:r w:rsidRPr="00CE0885">
        <w:rPr>
          <w:spacing w:val="-13"/>
          <w:lang w:eastAsia="en-GB"/>
        </w:rPr>
        <w:t xml:space="preserve"> </w:t>
      </w:r>
      <w:r w:rsidRPr="00CE0885">
        <w:rPr>
          <w:spacing w:val="-2"/>
          <w:lang w:eastAsia="en-GB"/>
        </w:rPr>
        <w:t>t</w:t>
      </w:r>
      <w:r w:rsidRPr="00CE0885">
        <w:rPr>
          <w:lang w:eastAsia="en-GB"/>
        </w:rPr>
        <w:t>o achie</w:t>
      </w:r>
      <w:r w:rsidRPr="00CE0885">
        <w:rPr>
          <w:spacing w:val="-2"/>
          <w:lang w:eastAsia="en-GB"/>
        </w:rPr>
        <w:t>v</w:t>
      </w:r>
      <w:r w:rsidRPr="00CE0885">
        <w:rPr>
          <w:lang w:eastAsia="en-GB"/>
        </w:rPr>
        <w:t>e</w:t>
      </w:r>
      <w:r w:rsidRPr="00CE0885">
        <w:rPr>
          <w:spacing w:val="-6"/>
          <w:lang w:eastAsia="en-GB"/>
        </w:rPr>
        <w:t xml:space="preserve"> </w:t>
      </w:r>
      <w:r w:rsidRPr="00CE0885">
        <w:rPr>
          <w:lang w:eastAsia="en-GB"/>
        </w:rPr>
        <w:t>this</w:t>
      </w:r>
      <w:r w:rsidRPr="00CE0885">
        <w:rPr>
          <w:spacing w:val="-4"/>
          <w:lang w:eastAsia="en-GB"/>
        </w:rPr>
        <w:t xml:space="preserve"> </w:t>
      </w:r>
      <w:r w:rsidRPr="00CE0885">
        <w:rPr>
          <w:lang w:eastAsia="en-GB"/>
        </w:rPr>
        <w:t>a</w:t>
      </w:r>
      <w:r w:rsidRPr="00CE0885">
        <w:rPr>
          <w:spacing w:val="-3"/>
          <w:lang w:eastAsia="en-GB"/>
        </w:rPr>
        <w:t>i</w:t>
      </w:r>
      <w:r w:rsidRPr="00CE0885">
        <w:rPr>
          <w:spacing w:val="2"/>
          <w:lang w:eastAsia="en-GB"/>
        </w:rPr>
        <w:t>m</w:t>
      </w:r>
      <w:r w:rsidRPr="00CE0885">
        <w:rPr>
          <w:lang w:eastAsia="en-GB"/>
        </w:rPr>
        <w:t xml:space="preserve"> of enabling the contractor to continue to provide the additional service.</w:t>
      </w:r>
      <w:bookmarkEnd w:id="877"/>
    </w:p>
    <w:p w14:paraId="1E96ACF7" w14:textId="33ED9EC3" w:rsidR="00977693" w:rsidRPr="00CE0885" w:rsidRDefault="00977693" w:rsidP="00E47A71">
      <w:pPr>
        <w:pStyle w:val="Heading3"/>
        <w:rPr>
          <w:lang w:eastAsia="en-GB"/>
        </w:rPr>
      </w:pPr>
      <w:bookmarkStart w:id="878" w:name="_Toc440981999"/>
      <w:r w:rsidRPr="00CE0885">
        <w:rPr>
          <w:spacing w:val="2"/>
          <w:lang w:eastAsia="en-GB"/>
        </w:rPr>
        <w:t>T</w:t>
      </w:r>
      <w:r w:rsidRPr="00CE0885">
        <w:rPr>
          <w:spacing w:val="-1"/>
          <w:lang w:eastAsia="en-GB"/>
        </w:rPr>
        <w:t>h</w:t>
      </w:r>
      <w:r w:rsidRPr="00CE0885">
        <w:rPr>
          <w:lang w:eastAsia="en-GB"/>
        </w:rPr>
        <w:t>e</w:t>
      </w:r>
      <w:r w:rsidRPr="00CE0885">
        <w:rPr>
          <w:spacing w:val="-2"/>
          <w:lang w:eastAsia="en-GB"/>
        </w:rPr>
        <w:t xml:space="preserve"> </w:t>
      </w:r>
      <w:r w:rsidRPr="00CE0885">
        <w:rPr>
          <w:lang w:eastAsia="en-GB"/>
        </w:rPr>
        <w:t>discuss</w:t>
      </w:r>
      <w:r w:rsidRPr="00CE0885">
        <w:rPr>
          <w:spacing w:val="-3"/>
          <w:lang w:eastAsia="en-GB"/>
        </w:rPr>
        <w:t>i</w:t>
      </w:r>
      <w:r w:rsidRPr="00CE0885">
        <w:rPr>
          <w:lang w:eastAsia="en-GB"/>
        </w:rPr>
        <w:t>ons</w:t>
      </w:r>
      <w:r w:rsidRPr="00CE0885">
        <w:rPr>
          <w:spacing w:val="-12"/>
          <w:lang w:eastAsia="en-GB"/>
        </w:rPr>
        <w:t xml:space="preserve"> </w:t>
      </w:r>
      <w:r w:rsidRPr="00CE0885">
        <w:rPr>
          <w:spacing w:val="-2"/>
          <w:lang w:eastAsia="en-GB"/>
        </w:rPr>
        <w:t>must</w:t>
      </w:r>
      <w:r w:rsidRPr="00CE0885">
        <w:rPr>
          <w:spacing w:val="-7"/>
          <w:lang w:eastAsia="en-GB"/>
        </w:rPr>
        <w:t xml:space="preserve"> </w:t>
      </w:r>
      <w:r w:rsidRPr="00CE0885">
        <w:rPr>
          <w:lang w:eastAsia="en-GB"/>
        </w:rPr>
        <w:t>be</w:t>
      </w:r>
      <w:r w:rsidRPr="00CE0885">
        <w:rPr>
          <w:spacing w:val="-1"/>
          <w:lang w:eastAsia="en-GB"/>
        </w:rPr>
        <w:t xml:space="preserve"> </w:t>
      </w:r>
      <w:r w:rsidRPr="00CE0885">
        <w:rPr>
          <w:lang w:eastAsia="en-GB"/>
        </w:rPr>
        <w:t>c</w:t>
      </w:r>
      <w:r w:rsidRPr="00CE0885">
        <w:rPr>
          <w:spacing w:val="-1"/>
          <w:lang w:eastAsia="en-GB"/>
        </w:rPr>
        <w:t>o</w:t>
      </w:r>
      <w:r w:rsidRPr="00CE0885">
        <w:rPr>
          <w:spacing w:val="2"/>
          <w:lang w:eastAsia="en-GB"/>
        </w:rPr>
        <w:t>m</w:t>
      </w:r>
      <w:r w:rsidRPr="00CE0885">
        <w:rPr>
          <w:lang w:eastAsia="en-GB"/>
        </w:rPr>
        <w:t>p</w:t>
      </w:r>
      <w:r w:rsidRPr="00CE0885">
        <w:rPr>
          <w:spacing w:val="-3"/>
          <w:lang w:eastAsia="en-GB"/>
        </w:rPr>
        <w:t>l</w:t>
      </w:r>
      <w:r w:rsidRPr="00CE0885">
        <w:rPr>
          <w:lang w:eastAsia="en-GB"/>
        </w:rPr>
        <w:t>et</w:t>
      </w:r>
      <w:r w:rsidRPr="00CE0885">
        <w:rPr>
          <w:spacing w:val="-1"/>
          <w:lang w:eastAsia="en-GB"/>
        </w:rPr>
        <w:t>e</w:t>
      </w:r>
      <w:r w:rsidRPr="00CE0885">
        <w:rPr>
          <w:lang w:eastAsia="en-GB"/>
        </w:rPr>
        <w:t>d</w:t>
      </w:r>
      <w:r w:rsidRPr="00CE0885">
        <w:rPr>
          <w:spacing w:val="-9"/>
          <w:lang w:eastAsia="en-GB"/>
        </w:rPr>
        <w:t xml:space="preserve"> </w:t>
      </w:r>
      <w:r w:rsidRPr="00CE0885">
        <w:rPr>
          <w:spacing w:val="-3"/>
          <w:lang w:eastAsia="en-GB"/>
        </w:rPr>
        <w:t>w</w:t>
      </w:r>
      <w:r w:rsidRPr="00CE0885">
        <w:rPr>
          <w:lang w:eastAsia="en-GB"/>
        </w:rPr>
        <w:t>ithin</w:t>
      </w:r>
      <w:r w:rsidRPr="00CE0885">
        <w:rPr>
          <w:spacing w:val="-4"/>
          <w:lang w:eastAsia="en-GB"/>
        </w:rPr>
        <w:t xml:space="preserve"> </w:t>
      </w:r>
      <w:r w:rsidRPr="00CE0885">
        <w:rPr>
          <w:lang w:eastAsia="en-GB"/>
        </w:rPr>
        <w:t>ten da</w:t>
      </w:r>
      <w:r w:rsidRPr="00CE0885">
        <w:rPr>
          <w:spacing w:val="-2"/>
          <w:lang w:eastAsia="en-GB"/>
        </w:rPr>
        <w:t>y</w:t>
      </w:r>
      <w:r w:rsidRPr="00CE0885">
        <w:rPr>
          <w:lang w:eastAsia="en-GB"/>
        </w:rPr>
        <w:t>s</w:t>
      </w:r>
      <w:r w:rsidRPr="00CE0885">
        <w:rPr>
          <w:spacing w:val="-5"/>
          <w:lang w:eastAsia="en-GB"/>
        </w:rPr>
        <w:t xml:space="preserve"> </w:t>
      </w:r>
      <w:r w:rsidRPr="00CE0885">
        <w:rPr>
          <w:lang w:eastAsia="en-GB"/>
        </w:rPr>
        <w:t>be</w:t>
      </w:r>
      <w:r w:rsidRPr="00CE0885">
        <w:rPr>
          <w:spacing w:val="-1"/>
          <w:lang w:eastAsia="en-GB"/>
        </w:rPr>
        <w:t>g</w:t>
      </w:r>
      <w:r w:rsidRPr="00CE0885">
        <w:rPr>
          <w:lang w:eastAsia="en-GB"/>
        </w:rPr>
        <w:t>inning</w:t>
      </w:r>
      <w:r w:rsidRPr="00CE0885">
        <w:rPr>
          <w:spacing w:val="-11"/>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the</w:t>
      </w:r>
      <w:r w:rsidRPr="00CE0885">
        <w:rPr>
          <w:spacing w:val="-1"/>
          <w:lang w:eastAsia="en-GB"/>
        </w:rPr>
        <w:t xml:space="preserve"> </w:t>
      </w:r>
      <w:r w:rsidRPr="00CE0885">
        <w:rPr>
          <w:lang w:eastAsia="en-GB"/>
        </w:rPr>
        <w:t>d</w:t>
      </w:r>
      <w:r w:rsidRPr="00CE0885">
        <w:rPr>
          <w:spacing w:val="-1"/>
          <w:lang w:eastAsia="en-GB"/>
        </w:rPr>
        <w:t>a</w:t>
      </w:r>
      <w:r w:rsidRPr="00CE0885">
        <w:rPr>
          <w:lang w:eastAsia="en-GB"/>
        </w:rPr>
        <w:t>te</w:t>
      </w:r>
      <w:r w:rsidRPr="00CE0885">
        <w:rPr>
          <w:spacing w:val="-6"/>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w:t>
      </w:r>
      <w:r w:rsidRPr="00CE0885">
        <w:rPr>
          <w:spacing w:val="-1"/>
          <w:lang w:eastAsia="en-GB"/>
        </w:rPr>
        <w:t xml:space="preserve"> r</w:t>
      </w:r>
      <w:r w:rsidRPr="00CE0885">
        <w:rPr>
          <w:lang w:eastAsia="en-GB"/>
        </w:rPr>
        <w:t>e</w:t>
      </w:r>
      <w:r w:rsidRPr="00CE0885">
        <w:rPr>
          <w:spacing w:val="-2"/>
          <w:lang w:eastAsia="en-GB"/>
        </w:rPr>
        <w:t>c</w:t>
      </w:r>
      <w:r w:rsidRPr="00CE0885">
        <w:rPr>
          <w:lang w:eastAsia="en-GB"/>
        </w:rPr>
        <w:t>eipt</w:t>
      </w:r>
      <w:r w:rsidRPr="00CE0885">
        <w:rPr>
          <w:spacing w:val="-8"/>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the p</w:t>
      </w:r>
      <w:r w:rsidRPr="00CE0885">
        <w:rPr>
          <w:spacing w:val="-1"/>
          <w:lang w:eastAsia="en-GB"/>
        </w:rPr>
        <w:t>r</w:t>
      </w:r>
      <w:r w:rsidRPr="00CE0885">
        <w:rPr>
          <w:lang w:eastAsia="en-GB"/>
        </w:rPr>
        <w:t>eli</w:t>
      </w:r>
      <w:r w:rsidRPr="00CE0885">
        <w:rPr>
          <w:spacing w:val="2"/>
          <w:lang w:eastAsia="en-GB"/>
        </w:rPr>
        <w:t>m</w:t>
      </w:r>
      <w:r w:rsidRPr="00CE0885">
        <w:rPr>
          <w:lang w:eastAsia="en-GB"/>
        </w:rPr>
        <w:t>ina</w:t>
      </w:r>
      <w:r w:rsidRPr="00CE0885">
        <w:rPr>
          <w:spacing w:val="-1"/>
          <w:lang w:eastAsia="en-GB"/>
        </w:rPr>
        <w:t>r</w:t>
      </w:r>
      <w:r w:rsidRPr="00CE0885">
        <w:rPr>
          <w:lang w:eastAsia="en-GB"/>
        </w:rPr>
        <w:t>y</w:t>
      </w:r>
      <w:r w:rsidRPr="00CE0885">
        <w:rPr>
          <w:spacing w:val="-14"/>
          <w:lang w:eastAsia="en-GB"/>
        </w:rPr>
        <w:t xml:space="preserve"> </w:t>
      </w:r>
      <w:r w:rsidRPr="00CE0885">
        <w:rPr>
          <w:lang w:eastAsia="en-GB"/>
        </w:rPr>
        <w:t>opt</w:t>
      </w:r>
      <w:r w:rsidRPr="00CE0885">
        <w:rPr>
          <w:spacing w:val="-1"/>
          <w:lang w:eastAsia="en-GB"/>
        </w:rPr>
        <w:t>-o</w:t>
      </w:r>
      <w:r w:rsidRPr="00CE0885">
        <w:rPr>
          <w:lang w:eastAsia="en-GB"/>
        </w:rPr>
        <w:t>ut</w:t>
      </w:r>
      <w:r w:rsidRPr="00CE0885">
        <w:rPr>
          <w:spacing w:val="-6"/>
          <w:lang w:eastAsia="en-GB"/>
        </w:rPr>
        <w:t xml:space="preserve"> </w:t>
      </w:r>
      <w:r w:rsidRPr="00CE0885">
        <w:rPr>
          <w:spacing w:val="-1"/>
          <w:lang w:eastAsia="en-GB"/>
        </w:rPr>
        <w:t>n</w:t>
      </w:r>
      <w:r w:rsidRPr="00CE0885">
        <w:rPr>
          <w:lang w:eastAsia="en-GB"/>
        </w:rPr>
        <w:t>ot</w:t>
      </w:r>
      <w:r w:rsidRPr="00CE0885">
        <w:rPr>
          <w:spacing w:val="-3"/>
          <w:lang w:eastAsia="en-GB"/>
        </w:rPr>
        <w:t>i</w:t>
      </w:r>
      <w:r w:rsidRPr="00CE0885">
        <w:rPr>
          <w:lang w:eastAsia="en-GB"/>
        </w:rPr>
        <w:t>ce</w:t>
      </w:r>
      <w:r w:rsidRPr="00CE0885">
        <w:rPr>
          <w:spacing w:val="-4"/>
          <w:lang w:eastAsia="en-GB"/>
        </w:rPr>
        <w:t xml:space="preserve"> </w:t>
      </w:r>
      <w:r w:rsidRPr="00CE0885">
        <w:rPr>
          <w:lang w:eastAsia="en-GB"/>
        </w:rPr>
        <w:t>or</w:t>
      </w:r>
      <w:r w:rsidRPr="00CE0885">
        <w:rPr>
          <w:spacing w:val="-2"/>
          <w:lang w:eastAsia="en-GB"/>
        </w:rPr>
        <w:t xml:space="preserve"> </w:t>
      </w:r>
      <w:r w:rsidRPr="00CE0885">
        <w:rPr>
          <w:spacing w:val="-1"/>
          <w:lang w:eastAsia="en-GB"/>
        </w:rPr>
        <w:t>a</w:t>
      </w:r>
      <w:r w:rsidRPr="00CE0885">
        <w:rPr>
          <w:lang w:eastAsia="en-GB"/>
        </w:rPr>
        <w:t>s</w:t>
      </w:r>
      <w:r w:rsidRPr="00CE0885">
        <w:rPr>
          <w:spacing w:val="-3"/>
          <w:lang w:eastAsia="en-GB"/>
        </w:rPr>
        <w:t xml:space="preserve"> </w:t>
      </w:r>
      <w:r w:rsidRPr="00CE0885">
        <w:rPr>
          <w:lang w:eastAsia="en-GB"/>
        </w:rPr>
        <w:t>soon</w:t>
      </w:r>
      <w:r w:rsidRPr="00CE0885">
        <w:rPr>
          <w:spacing w:val="-6"/>
          <w:lang w:eastAsia="en-GB"/>
        </w:rPr>
        <w:t xml:space="preserve"> </w:t>
      </w:r>
      <w:r w:rsidRPr="00CE0885">
        <w:rPr>
          <w:lang w:eastAsia="en-GB"/>
        </w:rPr>
        <w:t xml:space="preserve">as </w:t>
      </w:r>
      <w:r w:rsidRPr="00CE0885">
        <w:rPr>
          <w:spacing w:val="-1"/>
          <w:lang w:eastAsia="en-GB"/>
        </w:rPr>
        <w:t>r</w:t>
      </w:r>
      <w:r w:rsidRPr="00CE0885">
        <w:rPr>
          <w:lang w:eastAsia="en-GB"/>
        </w:rPr>
        <w:t>easo</w:t>
      </w:r>
      <w:r w:rsidRPr="00CE0885">
        <w:rPr>
          <w:spacing w:val="-1"/>
          <w:lang w:eastAsia="en-GB"/>
        </w:rPr>
        <w:t>n</w:t>
      </w:r>
      <w:r w:rsidRPr="00CE0885">
        <w:rPr>
          <w:lang w:eastAsia="en-GB"/>
        </w:rPr>
        <w:t>ably</w:t>
      </w:r>
      <w:r w:rsidRPr="00CE0885">
        <w:rPr>
          <w:spacing w:val="-14"/>
          <w:lang w:eastAsia="en-GB"/>
        </w:rPr>
        <w:t xml:space="preserve"> </w:t>
      </w:r>
      <w:r w:rsidRPr="00CE0885">
        <w:rPr>
          <w:lang w:eastAsia="en-GB"/>
        </w:rPr>
        <w:t>p</w:t>
      </w:r>
      <w:r w:rsidRPr="00CE0885">
        <w:rPr>
          <w:spacing w:val="-1"/>
          <w:lang w:eastAsia="en-GB"/>
        </w:rPr>
        <w:t>r</w:t>
      </w:r>
      <w:r w:rsidRPr="00CE0885">
        <w:rPr>
          <w:lang w:eastAsia="en-GB"/>
        </w:rPr>
        <w:t>acticable</w:t>
      </w:r>
      <w:r w:rsidRPr="00CE0885">
        <w:rPr>
          <w:spacing w:val="-13"/>
          <w:lang w:eastAsia="en-GB"/>
        </w:rPr>
        <w:t xml:space="preserve"> </w:t>
      </w:r>
      <w:r w:rsidRPr="00CE0885">
        <w:rPr>
          <w:lang w:eastAsia="en-GB"/>
        </w:rPr>
        <w:t>after the ten days.</w:t>
      </w:r>
      <w:bookmarkEnd w:id="878"/>
    </w:p>
    <w:p w14:paraId="15764066" w14:textId="69E5237F" w:rsidR="00977693" w:rsidRPr="00CE0885" w:rsidRDefault="00977693" w:rsidP="00E47A71">
      <w:pPr>
        <w:pStyle w:val="Heading3"/>
        <w:rPr>
          <w:lang w:eastAsia="en-GB"/>
        </w:rPr>
      </w:pPr>
      <w:bookmarkStart w:id="879" w:name="_Toc440982000"/>
      <w:r w:rsidRPr="00CE0885">
        <w:rPr>
          <w:spacing w:val="1"/>
          <w:lang w:eastAsia="en-GB"/>
        </w:rPr>
        <w:t>I</w:t>
      </w:r>
      <w:r w:rsidRPr="00CE0885">
        <w:rPr>
          <w:lang w:eastAsia="en-GB"/>
        </w:rPr>
        <w:t>f,</w:t>
      </w:r>
      <w:r w:rsidRPr="00CE0885">
        <w:rPr>
          <w:spacing w:val="-2"/>
          <w:lang w:eastAsia="en-GB"/>
        </w:rPr>
        <w:t xml:space="preserve"> </w:t>
      </w:r>
      <w:r w:rsidRPr="00CE0885">
        <w:rPr>
          <w:spacing w:val="3"/>
          <w:lang w:eastAsia="en-GB"/>
        </w:rPr>
        <w:t>after</w:t>
      </w:r>
      <w:r w:rsidRPr="00CE0885">
        <w:rPr>
          <w:spacing w:val="-10"/>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spacing w:val="1"/>
          <w:lang w:eastAsia="en-GB"/>
        </w:rPr>
        <w:t>d</w:t>
      </w:r>
      <w:r w:rsidRPr="00CE0885">
        <w:rPr>
          <w:lang w:eastAsia="en-GB"/>
        </w:rPr>
        <w:t>isc</w:t>
      </w:r>
      <w:r w:rsidRPr="00CE0885">
        <w:rPr>
          <w:spacing w:val="1"/>
          <w:lang w:eastAsia="en-GB"/>
        </w:rPr>
        <w:t>u</w:t>
      </w:r>
      <w:r w:rsidRPr="00CE0885">
        <w:rPr>
          <w:lang w:eastAsia="en-GB"/>
        </w:rPr>
        <w:t>ss</w:t>
      </w:r>
      <w:r w:rsidRPr="00CE0885">
        <w:rPr>
          <w:spacing w:val="-3"/>
          <w:lang w:eastAsia="en-GB"/>
        </w:rPr>
        <w:t>i</w:t>
      </w:r>
      <w:r w:rsidRPr="00CE0885">
        <w:rPr>
          <w:spacing w:val="1"/>
          <w:lang w:eastAsia="en-GB"/>
        </w:rPr>
        <w:t>on</w:t>
      </w:r>
      <w:r w:rsidRPr="00CE0885">
        <w:rPr>
          <w:lang w:eastAsia="en-GB"/>
        </w:rPr>
        <w:t>s,</w:t>
      </w:r>
      <w:r w:rsidRPr="00CE0885">
        <w:rPr>
          <w:spacing w:val="-12"/>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w:t>
      </w:r>
      <w:r w:rsidRPr="00CE0885">
        <w:rPr>
          <w:spacing w:val="1"/>
          <w:lang w:eastAsia="en-GB"/>
        </w:rPr>
        <w:t>ont</w:t>
      </w:r>
      <w:r w:rsidRPr="00CE0885">
        <w:rPr>
          <w:spacing w:val="-1"/>
          <w:lang w:eastAsia="en-GB"/>
        </w:rPr>
        <w:t>r</w:t>
      </w:r>
      <w:r w:rsidRPr="00CE0885">
        <w:rPr>
          <w:spacing w:val="1"/>
          <w:lang w:eastAsia="en-GB"/>
        </w:rPr>
        <w:t>a</w:t>
      </w:r>
      <w:r w:rsidRPr="00CE0885">
        <w:rPr>
          <w:spacing w:val="-2"/>
          <w:lang w:eastAsia="en-GB"/>
        </w:rPr>
        <w:t>c</w:t>
      </w:r>
      <w:r w:rsidRPr="00CE0885">
        <w:rPr>
          <w:spacing w:val="1"/>
          <w:lang w:eastAsia="en-GB"/>
        </w:rPr>
        <w:t>to</w:t>
      </w:r>
      <w:r w:rsidRPr="00CE0885">
        <w:rPr>
          <w:lang w:eastAsia="en-GB"/>
        </w:rPr>
        <w:t>r</w:t>
      </w:r>
      <w:r w:rsidRPr="00CE0885">
        <w:rPr>
          <w:spacing w:val="-11"/>
          <w:lang w:eastAsia="en-GB"/>
        </w:rPr>
        <w:t xml:space="preserve"> </w:t>
      </w:r>
      <w:r w:rsidRPr="00CE0885">
        <w:rPr>
          <w:lang w:eastAsia="en-GB"/>
        </w:rPr>
        <w:t>s</w:t>
      </w:r>
      <w:r w:rsidRPr="00CE0885">
        <w:rPr>
          <w:spacing w:val="1"/>
          <w:lang w:eastAsia="en-GB"/>
        </w:rPr>
        <w:t>t</w:t>
      </w:r>
      <w:r w:rsidRPr="00CE0885">
        <w:rPr>
          <w:lang w:eastAsia="en-GB"/>
        </w:rPr>
        <w:t>ill</w:t>
      </w:r>
      <w:r w:rsidRPr="00CE0885">
        <w:rPr>
          <w:spacing w:val="-3"/>
          <w:lang w:eastAsia="en-GB"/>
        </w:rPr>
        <w:t xml:space="preserve"> w</w:t>
      </w:r>
      <w:r w:rsidRPr="00CE0885">
        <w:rPr>
          <w:lang w:eastAsia="en-GB"/>
        </w:rPr>
        <w:t>is</w:t>
      </w:r>
      <w:r w:rsidRPr="00CE0885">
        <w:rPr>
          <w:spacing w:val="1"/>
          <w:lang w:eastAsia="en-GB"/>
        </w:rPr>
        <w:t>he</w:t>
      </w:r>
      <w:r w:rsidRPr="00CE0885">
        <w:rPr>
          <w:lang w:eastAsia="en-GB"/>
        </w:rPr>
        <w:t>s</w:t>
      </w:r>
      <w:r w:rsidRPr="00CE0885">
        <w:rPr>
          <w:spacing w:val="-7"/>
          <w:lang w:eastAsia="en-GB"/>
        </w:rPr>
        <w:t xml:space="preserve"> </w:t>
      </w:r>
      <w:r w:rsidRPr="00CE0885">
        <w:rPr>
          <w:spacing w:val="1"/>
          <w:lang w:eastAsia="en-GB"/>
        </w:rPr>
        <w:t>t</w:t>
      </w:r>
      <w:r w:rsidRPr="00CE0885">
        <w:rPr>
          <w:lang w:eastAsia="en-GB"/>
        </w:rPr>
        <w:t xml:space="preserve">o </w:t>
      </w:r>
      <w:r w:rsidRPr="00CE0885">
        <w:rPr>
          <w:spacing w:val="1"/>
          <w:lang w:eastAsia="en-GB"/>
        </w:rPr>
        <w:t>op</w:t>
      </w:r>
      <w:r w:rsidRPr="00CE0885">
        <w:rPr>
          <w:lang w:eastAsia="en-GB"/>
        </w:rPr>
        <w:t>t</w:t>
      </w:r>
      <w:r w:rsidRPr="00CE0885">
        <w:rPr>
          <w:spacing w:val="-4"/>
          <w:lang w:eastAsia="en-GB"/>
        </w:rPr>
        <w:t xml:space="preserve"> </w:t>
      </w:r>
      <w:r w:rsidRPr="00CE0885">
        <w:rPr>
          <w:spacing w:val="1"/>
          <w:lang w:eastAsia="en-GB"/>
        </w:rPr>
        <w:t>ou</w:t>
      </w:r>
      <w:r w:rsidRPr="00CE0885">
        <w:rPr>
          <w:lang w:eastAsia="en-GB"/>
        </w:rPr>
        <w:t>t,</w:t>
      </w:r>
      <w:r w:rsidRPr="00CE0885">
        <w:rPr>
          <w:spacing w:val="-7"/>
          <w:lang w:eastAsia="en-GB"/>
        </w:rPr>
        <w:t xml:space="preserve"> </w:t>
      </w:r>
      <w:r w:rsidRPr="00CE0885">
        <w:rPr>
          <w:lang w:eastAsia="en-GB"/>
        </w:rPr>
        <w:t>the contractor must s</w:t>
      </w:r>
      <w:r w:rsidRPr="00CE0885">
        <w:rPr>
          <w:spacing w:val="1"/>
          <w:lang w:eastAsia="en-GB"/>
        </w:rPr>
        <w:t>en</w:t>
      </w:r>
      <w:r w:rsidRPr="00CE0885">
        <w:rPr>
          <w:lang w:eastAsia="en-GB"/>
        </w:rPr>
        <w:t>d</w:t>
      </w:r>
      <w:r w:rsidRPr="00CE0885">
        <w:rPr>
          <w:spacing w:val="-6"/>
          <w:lang w:eastAsia="en-GB"/>
        </w:rPr>
        <w:t xml:space="preserve"> </w:t>
      </w:r>
      <w:r w:rsidRPr="00CE0885">
        <w:rPr>
          <w:spacing w:val="1"/>
          <w:lang w:eastAsia="en-GB"/>
        </w:rPr>
        <w:t>a</w:t>
      </w:r>
      <w:r w:rsidRPr="00CE0885">
        <w:rPr>
          <w:lang w:eastAsia="en-GB"/>
        </w:rPr>
        <w:t>n</w:t>
      </w:r>
      <w:r w:rsidRPr="00CE0885">
        <w:rPr>
          <w:spacing w:val="-4"/>
          <w:lang w:eastAsia="en-GB"/>
        </w:rPr>
        <w:t xml:space="preserve"> </w:t>
      </w:r>
      <w:r w:rsidRPr="00CE0885">
        <w:rPr>
          <w:spacing w:val="1"/>
          <w:lang w:eastAsia="en-GB"/>
        </w:rPr>
        <w:t>opt</w:t>
      </w:r>
      <w:r w:rsidRPr="00CE0885">
        <w:rPr>
          <w:spacing w:val="-1"/>
          <w:lang w:eastAsia="en-GB"/>
        </w:rPr>
        <w:t>-o</w:t>
      </w:r>
      <w:r w:rsidRPr="00CE0885">
        <w:rPr>
          <w:spacing w:val="1"/>
          <w:lang w:eastAsia="en-GB"/>
        </w:rPr>
        <w:t>u</w:t>
      </w:r>
      <w:r w:rsidRPr="00CE0885">
        <w:rPr>
          <w:lang w:eastAsia="en-GB"/>
        </w:rPr>
        <w:t>t</w:t>
      </w:r>
      <w:r w:rsidRPr="00CE0885">
        <w:rPr>
          <w:spacing w:val="-8"/>
          <w:lang w:eastAsia="en-GB"/>
        </w:rPr>
        <w:t xml:space="preserve"> </w:t>
      </w:r>
      <w:r w:rsidR="00EF433F" w:rsidRPr="00CE0885">
        <w:rPr>
          <w:spacing w:val="1"/>
          <w:lang w:eastAsia="en-GB"/>
        </w:rPr>
        <w:t>not</w:t>
      </w:r>
      <w:r w:rsidR="00EF433F" w:rsidRPr="00CE0885">
        <w:rPr>
          <w:lang w:eastAsia="en-GB"/>
        </w:rPr>
        <w:t>ice</w:t>
      </w:r>
      <w:r w:rsidR="00EF433F" w:rsidRPr="00CE0885">
        <w:rPr>
          <w:spacing w:val="-9"/>
          <w:lang w:eastAsia="en-GB"/>
        </w:rPr>
        <w:t xml:space="preserve"> </w:t>
      </w:r>
      <w:r w:rsidR="00EF433F" w:rsidRPr="00A553BA">
        <w:rPr>
          <w:spacing w:val="-9"/>
        </w:rPr>
        <w:t>to</w:t>
      </w:r>
      <w:r w:rsidRPr="00CE0885">
        <w:rPr>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Commissioner which must include:</w:t>
      </w:r>
      <w:bookmarkEnd w:id="879"/>
    </w:p>
    <w:p w14:paraId="74913329" w14:textId="7D537A87" w:rsidR="00977693" w:rsidRPr="00CE0885" w:rsidRDefault="00977693" w:rsidP="00E47A71">
      <w:pPr>
        <w:pStyle w:val="Heading4"/>
      </w:pPr>
      <w:bookmarkStart w:id="880" w:name="_Toc440982001"/>
      <w:r w:rsidRPr="00CE0885">
        <w:t>the</w:t>
      </w:r>
      <w:r w:rsidRPr="00CE0885">
        <w:rPr>
          <w:spacing w:val="-4"/>
        </w:rPr>
        <w:t xml:space="preserve"> </w:t>
      </w:r>
      <w:r w:rsidRPr="00CE0885">
        <w:t>additi</w:t>
      </w:r>
      <w:r w:rsidRPr="00CE0885">
        <w:rPr>
          <w:spacing w:val="-1"/>
        </w:rPr>
        <w:t>o</w:t>
      </w:r>
      <w:r w:rsidRPr="00CE0885">
        <w:t>nal</w:t>
      </w:r>
      <w:r w:rsidRPr="00CE0885">
        <w:rPr>
          <w:spacing w:val="-10"/>
        </w:rPr>
        <w:t xml:space="preserve"> </w:t>
      </w:r>
      <w:r w:rsidRPr="00CE0885">
        <w:rPr>
          <w:spacing w:val="-2"/>
        </w:rPr>
        <w:t>s</w:t>
      </w:r>
      <w:r w:rsidRPr="00CE0885">
        <w:t>e</w:t>
      </w:r>
      <w:r w:rsidRPr="00CE0885">
        <w:rPr>
          <w:spacing w:val="-1"/>
        </w:rPr>
        <w:t>r</w:t>
      </w:r>
      <w:r w:rsidRPr="00CE0885">
        <w:rPr>
          <w:spacing w:val="-2"/>
        </w:rPr>
        <w:t>v</w:t>
      </w:r>
      <w:r w:rsidRPr="00CE0885">
        <w:t>ice</w:t>
      </w:r>
      <w:r w:rsidRPr="00CE0885">
        <w:rPr>
          <w:spacing w:val="-6"/>
        </w:rPr>
        <w:t xml:space="preserve"> </w:t>
      </w:r>
      <w:r w:rsidRPr="00CE0885">
        <w:rPr>
          <w:w w:val="99"/>
        </w:rPr>
        <w:t>conce</w:t>
      </w:r>
      <w:r w:rsidRPr="00CE0885">
        <w:rPr>
          <w:spacing w:val="-1"/>
          <w:w w:val="99"/>
        </w:rPr>
        <w:t>rn</w:t>
      </w:r>
      <w:r w:rsidRPr="00CE0885">
        <w:rPr>
          <w:w w:val="99"/>
        </w:rPr>
        <w:t>ed;</w:t>
      </w:r>
      <w:bookmarkEnd w:id="880"/>
    </w:p>
    <w:p w14:paraId="0164AF3F" w14:textId="21132C9D" w:rsidR="00977693" w:rsidRPr="00CE0885" w:rsidRDefault="00977693" w:rsidP="00E47A71">
      <w:pPr>
        <w:pStyle w:val="Heading4"/>
      </w:pPr>
      <w:bookmarkStart w:id="881" w:name="_Toc440982002"/>
      <w:r w:rsidRPr="00CE0885">
        <w:rPr>
          <w:spacing w:val="-3"/>
        </w:rPr>
        <w:t>w</w:t>
      </w:r>
      <w:r w:rsidRPr="00CE0885">
        <w:t>hether</w:t>
      </w:r>
      <w:r w:rsidRPr="00CE0885">
        <w:rPr>
          <w:spacing w:val="-9"/>
        </w:rPr>
        <w:t xml:space="preserve"> </w:t>
      </w:r>
      <w:r w:rsidRPr="00CE0885">
        <w:t>the</w:t>
      </w:r>
      <w:r w:rsidRPr="00CE0885">
        <w:rPr>
          <w:spacing w:val="-4"/>
        </w:rPr>
        <w:t xml:space="preserve"> </w:t>
      </w:r>
      <w:r w:rsidRPr="00CE0885">
        <w:t>co</w:t>
      </w:r>
      <w:r w:rsidRPr="00CE0885">
        <w:rPr>
          <w:spacing w:val="-1"/>
        </w:rPr>
        <w:t>n</w:t>
      </w:r>
      <w:r w:rsidRPr="00CE0885">
        <w:t>t</w:t>
      </w:r>
      <w:r w:rsidRPr="00CE0885">
        <w:rPr>
          <w:spacing w:val="-1"/>
        </w:rPr>
        <w:t>r</w:t>
      </w:r>
      <w:r w:rsidRPr="00CE0885">
        <w:t>actor</w:t>
      </w:r>
      <w:r w:rsidRPr="00CE0885">
        <w:rPr>
          <w:spacing w:val="-14"/>
        </w:rPr>
        <w:t xml:space="preserve"> </w:t>
      </w:r>
      <w:r w:rsidRPr="00CE0885">
        <w:rPr>
          <w:spacing w:val="-3"/>
        </w:rPr>
        <w:t>w</w:t>
      </w:r>
      <w:r w:rsidRPr="00CE0885">
        <w:t>ishes</w:t>
      </w:r>
      <w:r w:rsidRPr="00CE0885">
        <w:rPr>
          <w:spacing w:val="-7"/>
        </w:rPr>
        <w:t xml:space="preserve"> </w:t>
      </w:r>
      <w:r w:rsidRPr="00CE0885">
        <w:t>to te</w:t>
      </w:r>
      <w:r w:rsidRPr="00CE0885">
        <w:rPr>
          <w:spacing w:val="-1"/>
        </w:rPr>
        <w:t>m</w:t>
      </w:r>
      <w:r w:rsidRPr="00CE0885">
        <w:t>po</w:t>
      </w:r>
      <w:r w:rsidRPr="00CE0885">
        <w:rPr>
          <w:spacing w:val="-1"/>
        </w:rPr>
        <w:t>r</w:t>
      </w:r>
      <w:r w:rsidRPr="00CE0885">
        <w:t>a</w:t>
      </w:r>
      <w:r w:rsidRPr="00CE0885">
        <w:rPr>
          <w:spacing w:val="-1"/>
        </w:rPr>
        <w:t>r</w:t>
      </w:r>
      <w:r w:rsidRPr="00CE0885">
        <w:t>ily or pe</w:t>
      </w:r>
      <w:r w:rsidRPr="00CE0885">
        <w:rPr>
          <w:spacing w:val="-1"/>
        </w:rPr>
        <w:t>rm</w:t>
      </w:r>
      <w:r w:rsidRPr="00CE0885">
        <w:t>an</w:t>
      </w:r>
      <w:r w:rsidRPr="00CE0885">
        <w:rPr>
          <w:spacing w:val="-1"/>
        </w:rPr>
        <w:t>e</w:t>
      </w:r>
      <w:r w:rsidRPr="00CE0885">
        <w:t>ntly</w:t>
      </w:r>
      <w:r w:rsidRPr="00CE0885">
        <w:rPr>
          <w:spacing w:val="-15"/>
        </w:rPr>
        <w:t xml:space="preserve"> </w:t>
      </w:r>
      <w:r w:rsidRPr="00CE0885">
        <w:t>opt</w:t>
      </w:r>
      <w:r w:rsidRPr="00CE0885">
        <w:rPr>
          <w:spacing w:val="-2"/>
        </w:rPr>
        <w:t xml:space="preserve"> </w:t>
      </w:r>
      <w:r w:rsidRPr="00CE0885">
        <w:rPr>
          <w:spacing w:val="-1"/>
        </w:rPr>
        <w:t>o</w:t>
      </w:r>
      <w:r w:rsidRPr="00CE0885">
        <w:t>ut;</w:t>
      </w:r>
      <w:bookmarkEnd w:id="881"/>
    </w:p>
    <w:p w14:paraId="0EA3C767" w14:textId="212B8EDD" w:rsidR="00977693" w:rsidRPr="00CE0885" w:rsidRDefault="00977693" w:rsidP="00E47A71">
      <w:pPr>
        <w:pStyle w:val="Heading4"/>
      </w:pPr>
      <w:bookmarkStart w:id="882" w:name="_Toc440982003"/>
      <w:r w:rsidRPr="00CE0885">
        <w:t>the</w:t>
      </w:r>
      <w:r w:rsidRPr="00CE0885">
        <w:rPr>
          <w:spacing w:val="-1"/>
        </w:rPr>
        <w:t xml:space="preserve"> re</w:t>
      </w:r>
      <w:r w:rsidRPr="00CE0885">
        <w:t>asons</w:t>
      </w:r>
      <w:r w:rsidRPr="00CE0885">
        <w:rPr>
          <w:spacing w:val="-13"/>
        </w:rPr>
        <w:t xml:space="preserve"> </w:t>
      </w:r>
      <w:r w:rsidRPr="00CE0885">
        <w:rPr>
          <w:spacing w:val="3"/>
        </w:rPr>
        <w:t>f</w:t>
      </w:r>
      <w:r w:rsidRPr="00CE0885">
        <w:t>or</w:t>
      </w:r>
      <w:r w:rsidRPr="00CE0885">
        <w:rPr>
          <w:spacing w:val="-3"/>
        </w:rPr>
        <w:t xml:space="preserve"> w</w:t>
      </w:r>
      <w:r w:rsidRPr="00CE0885">
        <w:t>ishing</w:t>
      </w:r>
      <w:r w:rsidRPr="00CE0885">
        <w:rPr>
          <w:spacing w:val="-9"/>
        </w:rPr>
        <w:t xml:space="preserve"> </w:t>
      </w:r>
      <w:r w:rsidRPr="00CE0885">
        <w:t>to opt</w:t>
      </w:r>
      <w:r w:rsidRPr="00CE0885">
        <w:rPr>
          <w:spacing w:val="-4"/>
        </w:rPr>
        <w:t xml:space="preserve"> </w:t>
      </w:r>
      <w:r w:rsidRPr="00CE0885">
        <w:t>o</w:t>
      </w:r>
      <w:r w:rsidRPr="00CE0885">
        <w:rPr>
          <w:spacing w:val="-1"/>
        </w:rPr>
        <w:t>u</w:t>
      </w:r>
      <w:r w:rsidRPr="00CE0885">
        <w:t>t;</w:t>
      </w:r>
      <w:bookmarkEnd w:id="882"/>
    </w:p>
    <w:p w14:paraId="3C2560C8" w14:textId="67FA2E39" w:rsidR="00977693" w:rsidRPr="00CE0885" w:rsidRDefault="00977693" w:rsidP="00E47A71">
      <w:pPr>
        <w:pStyle w:val="Heading4"/>
      </w:pPr>
      <w:bookmarkStart w:id="883" w:name="_Toc440982004"/>
      <w:r w:rsidRPr="00CE0885">
        <w:rPr>
          <w:spacing w:val="1"/>
        </w:rPr>
        <w:t>th</w:t>
      </w:r>
      <w:r w:rsidRPr="00CE0885">
        <w:t>e</w:t>
      </w:r>
      <w:r w:rsidRPr="00CE0885">
        <w:rPr>
          <w:spacing w:val="-4"/>
        </w:rPr>
        <w:t xml:space="preserve"> </w:t>
      </w:r>
      <w:r w:rsidRPr="00CE0885">
        <w:rPr>
          <w:spacing w:val="1"/>
        </w:rPr>
        <w:t>da</w:t>
      </w:r>
      <w:r w:rsidRPr="00CE0885">
        <w:rPr>
          <w:spacing w:val="-2"/>
        </w:rPr>
        <w:t>t</w:t>
      </w:r>
      <w:r w:rsidRPr="00CE0885">
        <w:t>e</w:t>
      </w:r>
      <w:r w:rsidRPr="00CE0885">
        <w:rPr>
          <w:spacing w:val="-6"/>
        </w:rPr>
        <w:t xml:space="preserve"> </w:t>
      </w:r>
      <w:r w:rsidRPr="00CE0885">
        <w:rPr>
          <w:spacing w:val="3"/>
        </w:rPr>
        <w:t>f</w:t>
      </w:r>
      <w:r w:rsidRPr="00CE0885">
        <w:rPr>
          <w:spacing w:val="-1"/>
        </w:rPr>
        <w:t>ro</w:t>
      </w:r>
      <w:r w:rsidRPr="00CE0885">
        <w:t>m</w:t>
      </w:r>
      <w:r w:rsidRPr="00CE0885">
        <w:rPr>
          <w:spacing w:val="-3"/>
        </w:rPr>
        <w:t xml:space="preserve"> w</w:t>
      </w:r>
      <w:r w:rsidRPr="00CE0885">
        <w:rPr>
          <w:spacing w:val="1"/>
        </w:rPr>
        <w:t>h</w:t>
      </w:r>
      <w:r w:rsidRPr="00CE0885">
        <w:t>ich</w:t>
      </w:r>
      <w:r w:rsidRPr="00CE0885">
        <w:rPr>
          <w:spacing w:val="-4"/>
        </w:rPr>
        <w:t xml:space="preserve"> </w:t>
      </w:r>
      <w:r w:rsidRPr="00CE0885">
        <w:rPr>
          <w:spacing w:val="1"/>
        </w:rPr>
        <w:t>t</w:t>
      </w:r>
      <w:r w:rsidRPr="00CE0885">
        <w:rPr>
          <w:spacing w:val="-1"/>
        </w:rPr>
        <w:t>h</w:t>
      </w:r>
      <w:r w:rsidRPr="00CE0885">
        <w:t>e</w:t>
      </w:r>
      <w:r w:rsidRPr="00CE0885">
        <w:rPr>
          <w:spacing w:val="-1"/>
        </w:rPr>
        <w:t xml:space="preserve"> </w:t>
      </w:r>
      <w:r w:rsidRPr="00CE0885">
        <w:t>c</w:t>
      </w:r>
      <w:r w:rsidRPr="00CE0885">
        <w:rPr>
          <w:spacing w:val="1"/>
        </w:rPr>
        <w:t>o</w:t>
      </w:r>
      <w:r w:rsidRPr="00CE0885">
        <w:rPr>
          <w:spacing w:val="-1"/>
        </w:rPr>
        <w:t>n</w:t>
      </w:r>
      <w:r w:rsidRPr="00CE0885">
        <w:rPr>
          <w:spacing w:val="1"/>
        </w:rPr>
        <w:t>t</w:t>
      </w:r>
      <w:r w:rsidRPr="00CE0885">
        <w:rPr>
          <w:spacing w:val="-1"/>
        </w:rPr>
        <w:t>r</w:t>
      </w:r>
      <w:r w:rsidRPr="00CE0885">
        <w:rPr>
          <w:spacing w:val="1"/>
        </w:rPr>
        <w:t>a</w:t>
      </w:r>
      <w:r w:rsidRPr="00CE0885">
        <w:t>c</w:t>
      </w:r>
      <w:r w:rsidRPr="00CE0885">
        <w:rPr>
          <w:spacing w:val="1"/>
        </w:rPr>
        <w:t>to</w:t>
      </w:r>
      <w:r w:rsidRPr="00CE0885">
        <w:t>r</w:t>
      </w:r>
      <w:r w:rsidRPr="00CE0885">
        <w:rPr>
          <w:spacing w:val="-11"/>
        </w:rPr>
        <w:t xml:space="preserve"> </w:t>
      </w:r>
      <w:r w:rsidRPr="00CE0885">
        <w:rPr>
          <w:spacing w:val="-3"/>
        </w:rPr>
        <w:t>w</w:t>
      </w:r>
      <w:r w:rsidRPr="00CE0885">
        <w:rPr>
          <w:spacing w:val="1"/>
        </w:rPr>
        <w:t>ou</w:t>
      </w:r>
      <w:r w:rsidRPr="00CE0885">
        <w:t>ld</w:t>
      </w:r>
      <w:r w:rsidRPr="00CE0885">
        <w:rPr>
          <w:spacing w:val="-4"/>
        </w:rPr>
        <w:t xml:space="preserve"> </w:t>
      </w:r>
      <w:r w:rsidRPr="00CE0885">
        <w:t>like</w:t>
      </w:r>
      <w:r w:rsidRPr="00CE0885">
        <w:rPr>
          <w:spacing w:val="-5"/>
        </w:rPr>
        <w:t xml:space="preserve"> </w:t>
      </w:r>
      <w:r w:rsidRPr="00CE0885">
        <w:rPr>
          <w:spacing w:val="1"/>
        </w:rPr>
        <w:t>th</w:t>
      </w:r>
      <w:r w:rsidRPr="00CE0885">
        <w:t xml:space="preserve">e </w:t>
      </w:r>
      <w:r w:rsidRPr="00CE0885">
        <w:rPr>
          <w:spacing w:val="1"/>
        </w:rPr>
        <w:t>op</w:t>
      </w:r>
      <w:r w:rsidRPr="00CE0885">
        <w:t>t</w:t>
      </w:r>
      <w:r w:rsidRPr="00CE0885">
        <w:rPr>
          <w:spacing w:val="-4"/>
        </w:rPr>
        <w:t xml:space="preserve"> </w:t>
      </w:r>
      <w:r w:rsidRPr="00CE0885">
        <w:rPr>
          <w:spacing w:val="1"/>
        </w:rPr>
        <w:t>ou</w:t>
      </w:r>
      <w:r w:rsidRPr="00CE0885">
        <w:t>t</w:t>
      </w:r>
      <w:r w:rsidRPr="00CE0885">
        <w:rPr>
          <w:spacing w:val="-4"/>
        </w:rPr>
        <w:t xml:space="preserve"> </w:t>
      </w:r>
      <w:r w:rsidRPr="00CE0885">
        <w:rPr>
          <w:spacing w:val="1"/>
        </w:rPr>
        <w:t>t</w:t>
      </w:r>
      <w:r w:rsidRPr="00CE0885">
        <w:t xml:space="preserve">o </w:t>
      </w:r>
      <w:r w:rsidRPr="00CE0885">
        <w:rPr>
          <w:spacing w:val="-2"/>
        </w:rPr>
        <w:t>c</w:t>
      </w:r>
      <w:r w:rsidRPr="00CE0885">
        <w:rPr>
          <w:spacing w:val="1"/>
        </w:rPr>
        <w:t>o</w:t>
      </w:r>
      <w:r w:rsidRPr="00CE0885">
        <w:rPr>
          <w:spacing w:val="-1"/>
        </w:rPr>
        <w:t>m</w:t>
      </w:r>
      <w:r w:rsidRPr="00CE0885">
        <w:rPr>
          <w:spacing w:val="2"/>
        </w:rPr>
        <w:t>m</w:t>
      </w:r>
      <w:r w:rsidRPr="00CE0885">
        <w:rPr>
          <w:spacing w:val="-1"/>
        </w:rPr>
        <w:t>e</w:t>
      </w:r>
      <w:r w:rsidRPr="00CE0885">
        <w:rPr>
          <w:spacing w:val="1"/>
        </w:rPr>
        <w:t>n</w:t>
      </w:r>
      <w:r w:rsidRPr="00CE0885">
        <w:t>c</w:t>
      </w:r>
      <w:r w:rsidRPr="00CE0885">
        <w:rPr>
          <w:spacing w:val="1"/>
        </w:rPr>
        <w:t>e</w:t>
      </w:r>
      <w:r w:rsidRPr="00CE0885">
        <w:t>,</w:t>
      </w:r>
      <w:r w:rsidRPr="00CE0885">
        <w:rPr>
          <w:spacing w:val="-16"/>
        </w:rPr>
        <w:t xml:space="preserve"> </w:t>
      </w:r>
      <w:r w:rsidRPr="00CE0885">
        <w:rPr>
          <w:spacing w:val="-3"/>
        </w:rPr>
        <w:t>w</w:t>
      </w:r>
      <w:r w:rsidRPr="00CE0885">
        <w:rPr>
          <w:spacing w:val="1"/>
        </w:rPr>
        <w:t>h</w:t>
      </w:r>
      <w:r w:rsidRPr="00CE0885">
        <w:t>ich</w:t>
      </w:r>
      <w:r w:rsidRPr="00CE0885">
        <w:rPr>
          <w:spacing w:val="-4"/>
        </w:rPr>
        <w:t xml:space="preserve"> </w:t>
      </w:r>
      <w:r w:rsidRPr="00CE0885">
        <w:rPr>
          <w:spacing w:val="2"/>
        </w:rPr>
        <w:t>m</w:t>
      </w:r>
      <w:r w:rsidRPr="00CE0885">
        <w:rPr>
          <w:spacing w:val="1"/>
        </w:rPr>
        <w:t>u</w:t>
      </w:r>
      <w:r w:rsidRPr="00CE0885">
        <w:t>s</w:t>
      </w:r>
      <w:r w:rsidRPr="00CE0885">
        <w:rPr>
          <w:spacing w:val="1"/>
        </w:rPr>
        <w:t>t</w:t>
      </w:r>
      <w:r w:rsidRPr="00CE0885">
        <w:t>:</w:t>
      </w:r>
      <w:bookmarkEnd w:id="883"/>
    </w:p>
    <w:p w14:paraId="00FEBE00" w14:textId="77777777" w:rsidR="00977693" w:rsidRPr="00E47A71" w:rsidRDefault="00977693" w:rsidP="006C3DF5">
      <w:pPr>
        <w:pStyle w:val="ListParagraph"/>
        <w:widowControl w:val="0"/>
        <w:numPr>
          <w:ilvl w:val="0"/>
          <w:numId w:val="87"/>
        </w:numPr>
        <w:tabs>
          <w:tab w:val="left" w:pos="3686"/>
        </w:tabs>
        <w:spacing w:line="360" w:lineRule="auto"/>
        <w:jc w:val="both"/>
        <w:outlineLvl w:val="3"/>
        <w:rPr>
          <w:rFonts w:cs="Arial"/>
          <w:bCs w:val="0"/>
          <w:szCs w:val="24"/>
          <w:lang w:eastAsia="en-GB"/>
        </w:rPr>
      </w:pPr>
      <w:r w:rsidRPr="00E47A71">
        <w:rPr>
          <w:rFonts w:cs="Arial"/>
          <w:bCs w:val="0"/>
          <w:szCs w:val="24"/>
          <w:lang w:eastAsia="en-GB"/>
        </w:rPr>
        <w:t xml:space="preserve">in </w:t>
      </w:r>
      <w:r w:rsidRPr="00E47A71">
        <w:rPr>
          <w:rFonts w:cs="Arial"/>
          <w:bCs w:val="0"/>
          <w:spacing w:val="1"/>
          <w:szCs w:val="24"/>
          <w:lang w:eastAsia="en-GB"/>
        </w:rPr>
        <w:t>th</w:t>
      </w:r>
      <w:r w:rsidRPr="00E47A71">
        <w:rPr>
          <w:rFonts w:cs="Arial"/>
          <w:bCs w:val="0"/>
          <w:szCs w:val="24"/>
          <w:lang w:eastAsia="en-GB"/>
        </w:rPr>
        <w:t>e</w:t>
      </w:r>
      <w:r w:rsidRPr="00E47A71">
        <w:rPr>
          <w:rFonts w:cs="Arial"/>
          <w:bCs w:val="0"/>
          <w:spacing w:val="-4"/>
          <w:szCs w:val="24"/>
          <w:lang w:eastAsia="en-GB"/>
        </w:rPr>
        <w:t xml:space="preserve"> </w:t>
      </w:r>
      <w:r w:rsidRPr="00E47A71">
        <w:rPr>
          <w:rFonts w:cs="Arial"/>
          <w:bCs w:val="0"/>
          <w:szCs w:val="24"/>
          <w:lang w:eastAsia="en-GB"/>
        </w:rPr>
        <w:t>c</w:t>
      </w:r>
      <w:r w:rsidRPr="00E47A71">
        <w:rPr>
          <w:rFonts w:cs="Arial"/>
          <w:bCs w:val="0"/>
          <w:spacing w:val="1"/>
          <w:szCs w:val="24"/>
          <w:lang w:eastAsia="en-GB"/>
        </w:rPr>
        <w:t>a</w:t>
      </w:r>
      <w:r w:rsidRPr="00E47A71">
        <w:rPr>
          <w:rFonts w:cs="Arial"/>
          <w:bCs w:val="0"/>
          <w:szCs w:val="24"/>
          <w:lang w:eastAsia="en-GB"/>
        </w:rPr>
        <w:t>se</w:t>
      </w:r>
      <w:r w:rsidRPr="00E47A71">
        <w:rPr>
          <w:rFonts w:cs="Arial"/>
          <w:bCs w:val="0"/>
          <w:spacing w:val="-6"/>
          <w:szCs w:val="24"/>
          <w:lang w:eastAsia="en-GB"/>
        </w:rPr>
        <w:t xml:space="preserve"> </w:t>
      </w:r>
      <w:r w:rsidRPr="00E47A71">
        <w:rPr>
          <w:rFonts w:cs="Arial"/>
          <w:bCs w:val="0"/>
          <w:spacing w:val="-1"/>
          <w:szCs w:val="24"/>
          <w:lang w:eastAsia="en-GB"/>
        </w:rPr>
        <w:t>o</w:t>
      </w:r>
      <w:r w:rsidRPr="00E47A71">
        <w:rPr>
          <w:rFonts w:cs="Arial"/>
          <w:bCs w:val="0"/>
          <w:szCs w:val="24"/>
          <w:lang w:eastAsia="en-GB"/>
        </w:rPr>
        <w:t>f</w:t>
      </w:r>
      <w:r w:rsidRPr="00E47A71">
        <w:rPr>
          <w:rFonts w:cs="Arial"/>
          <w:bCs w:val="0"/>
          <w:spacing w:val="-1"/>
          <w:szCs w:val="24"/>
          <w:lang w:eastAsia="en-GB"/>
        </w:rPr>
        <w:t xml:space="preserve"> </w:t>
      </w:r>
      <w:r w:rsidRPr="00E47A71">
        <w:rPr>
          <w:rFonts w:cs="Arial"/>
          <w:bCs w:val="0"/>
          <w:szCs w:val="24"/>
          <w:lang w:eastAsia="en-GB"/>
        </w:rPr>
        <w:t>a</w:t>
      </w:r>
      <w:r w:rsidRPr="00E47A71">
        <w:rPr>
          <w:rFonts w:cs="Arial"/>
          <w:bCs w:val="0"/>
          <w:spacing w:val="1"/>
          <w:szCs w:val="24"/>
          <w:lang w:eastAsia="en-GB"/>
        </w:rPr>
        <w:t xml:space="preserve"> </w:t>
      </w:r>
      <w:r w:rsidRPr="00E47A71">
        <w:rPr>
          <w:rFonts w:cs="Arial"/>
          <w:bCs w:val="0"/>
          <w:spacing w:val="-2"/>
          <w:szCs w:val="24"/>
          <w:lang w:eastAsia="en-GB"/>
        </w:rPr>
        <w:t>t</w:t>
      </w:r>
      <w:r w:rsidRPr="00E47A71">
        <w:rPr>
          <w:rFonts w:cs="Arial"/>
          <w:bCs w:val="0"/>
          <w:spacing w:val="1"/>
          <w:szCs w:val="24"/>
          <w:lang w:eastAsia="en-GB"/>
        </w:rPr>
        <w:t>e</w:t>
      </w:r>
      <w:r w:rsidRPr="00E47A71">
        <w:rPr>
          <w:rFonts w:cs="Arial"/>
          <w:bCs w:val="0"/>
          <w:spacing w:val="-1"/>
          <w:szCs w:val="24"/>
          <w:lang w:eastAsia="en-GB"/>
        </w:rPr>
        <w:t>m</w:t>
      </w:r>
      <w:r w:rsidRPr="00E47A71">
        <w:rPr>
          <w:rFonts w:cs="Arial"/>
          <w:bCs w:val="0"/>
          <w:spacing w:val="1"/>
          <w:szCs w:val="24"/>
          <w:lang w:eastAsia="en-GB"/>
        </w:rPr>
        <w:t>po</w:t>
      </w:r>
      <w:r w:rsidRPr="00E47A71">
        <w:rPr>
          <w:rFonts w:cs="Arial"/>
          <w:bCs w:val="0"/>
          <w:spacing w:val="-3"/>
          <w:szCs w:val="24"/>
          <w:lang w:eastAsia="en-GB"/>
        </w:rPr>
        <w:t>r</w:t>
      </w:r>
      <w:r w:rsidRPr="00E47A71">
        <w:rPr>
          <w:rFonts w:cs="Arial"/>
          <w:bCs w:val="0"/>
          <w:spacing w:val="1"/>
          <w:szCs w:val="24"/>
          <w:lang w:eastAsia="en-GB"/>
        </w:rPr>
        <w:t>a</w:t>
      </w:r>
      <w:r w:rsidRPr="00E47A71">
        <w:rPr>
          <w:rFonts w:cs="Arial"/>
          <w:bCs w:val="0"/>
          <w:spacing w:val="-1"/>
          <w:szCs w:val="24"/>
          <w:lang w:eastAsia="en-GB"/>
        </w:rPr>
        <w:t>r</w:t>
      </w:r>
      <w:r w:rsidRPr="00E47A71">
        <w:rPr>
          <w:rFonts w:cs="Arial"/>
          <w:bCs w:val="0"/>
          <w:szCs w:val="24"/>
          <w:lang w:eastAsia="en-GB"/>
        </w:rPr>
        <w:t>y</w:t>
      </w:r>
      <w:r w:rsidRPr="00E47A71">
        <w:rPr>
          <w:rFonts w:cs="Arial"/>
          <w:bCs w:val="0"/>
          <w:spacing w:val="-13"/>
          <w:szCs w:val="24"/>
          <w:lang w:eastAsia="en-GB"/>
        </w:rPr>
        <w:t xml:space="preserve"> </w:t>
      </w:r>
      <w:r w:rsidRPr="00E47A71">
        <w:rPr>
          <w:rFonts w:cs="Arial"/>
          <w:bCs w:val="0"/>
          <w:spacing w:val="1"/>
          <w:szCs w:val="24"/>
          <w:lang w:eastAsia="en-GB"/>
        </w:rPr>
        <w:t>op</w:t>
      </w:r>
      <w:r w:rsidRPr="00E47A71">
        <w:rPr>
          <w:rFonts w:cs="Arial"/>
          <w:bCs w:val="0"/>
          <w:szCs w:val="24"/>
          <w:lang w:eastAsia="en-GB"/>
        </w:rPr>
        <w:t>t</w:t>
      </w:r>
      <w:r w:rsidRPr="00E47A71">
        <w:rPr>
          <w:rFonts w:cs="Arial"/>
          <w:bCs w:val="0"/>
          <w:spacing w:val="-2"/>
          <w:szCs w:val="24"/>
          <w:lang w:eastAsia="en-GB"/>
        </w:rPr>
        <w:t xml:space="preserve"> </w:t>
      </w:r>
      <w:r w:rsidRPr="00E47A71">
        <w:rPr>
          <w:rFonts w:cs="Arial"/>
          <w:bCs w:val="0"/>
          <w:spacing w:val="1"/>
          <w:szCs w:val="24"/>
          <w:lang w:eastAsia="en-GB"/>
        </w:rPr>
        <w:t>ou</w:t>
      </w:r>
      <w:r w:rsidRPr="00E47A71">
        <w:rPr>
          <w:rFonts w:cs="Arial"/>
          <w:bCs w:val="0"/>
          <w:szCs w:val="24"/>
          <w:lang w:eastAsia="en-GB"/>
        </w:rPr>
        <w:t>t,</w:t>
      </w:r>
      <w:r w:rsidRPr="00E47A71">
        <w:rPr>
          <w:rFonts w:cs="Arial"/>
          <w:bCs w:val="0"/>
          <w:spacing w:val="-4"/>
          <w:szCs w:val="24"/>
          <w:lang w:eastAsia="en-GB"/>
        </w:rPr>
        <w:t xml:space="preserve"> </w:t>
      </w:r>
      <w:r w:rsidRPr="00E47A71">
        <w:rPr>
          <w:rFonts w:cs="Arial"/>
          <w:bCs w:val="0"/>
          <w:spacing w:val="1"/>
          <w:szCs w:val="24"/>
          <w:lang w:eastAsia="en-GB"/>
        </w:rPr>
        <w:t>b</w:t>
      </w:r>
      <w:r w:rsidRPr="00E47A71">
        <w:rPr>
          <w:rFonts w:cs="Arial"/>
          <w:bCs w:val="0"/>
          <w:szCs w:val="24"/>
          <w:lang w:eastAsia="en-GB"/>
        </w:rPr>
        <w:t>e</w:t>
      </w:r>
      <w:r w:rsidRPr="00E47A71">
        <w:rPr>
          <w:rFonts w:cs="Arial"/>
          <w:bCs w:val="0"/>
          <w:spacing w:val="-4"/>
          <w:szCs w:val="24"/>
          <w:lang w:eastAsia="en-GB"/>
        </w:rPr>
        <w:t xml:space="preserve"> </w:t>
      </w:r>
      <w:r w:rsidRPr="00E47A71">
        <w:rPr>
          <w:rFonts w:cs="Arial"/>
          <w:bCs w:val="0"/>
          <w:spacing w:val="1"/>
          <w:szCs w:val="24"/>
          <w:lang w:eastAsia="en-GB"/>
        </w:rPr>
        <w:t>a</w:t>
      </w:r>
      <w:r w:rsidRPr="00E47A71">
        <w:rPr>
          <w:rFonts w:cs="Arial"/>
          <w:bCs w:val="0"/>
          <w:szCs w:val="24"/>
          <w:lang w:eastAsia="en-GB"/>
        </w:rPr>
        <w:t>t</w:t>
      </w:r>
      <w:r w:rsidRPr="00E47A71">
        <w:rPr>
          <w:rFonts w:cs="Arial"/>
          <w:bCs w:val="0"/>
          <w:spacing w:val="-1"/>
          <w:szCs w:val="24"/>
          <w:lang w:eastAsia="en-GB"/>
        </w:rPr>
        <w:t xml:space="preserve"> </w:t>
      </w:r>
      <w:r w:rsidRPr="00E47A71">
        <w:rPr>
          <w:rFonts w:cs="Arial"/>
          <w:bCs w:val="0"/>
          <w:spacing w:val="-3"/>
          <w:szCs w:val="24"/>
          <w:lang w:eastAsia="en-GB"/>
        </w:rPr>
        <w:t>l</w:t>
      </w:r>
      <w:r w:rsidRPr="00E47A71">
        <w:rPr>
          <w:rFonts w:cs="Arial"/>
          <w:bCs w:val="0"/>
          <w:spacing w:val="1"/>
          <w:szCs w:val="24"/>
          <w:lang w:eastAsia="en-GB"/>
        </w:rPr>
        <w:t>ea</w:t>
      </w:r>
      <w:r w:rsidRPr="00E47A71">
        <w:rPr>
          <w:rFonts w:cs="Arial"/>
          <w:bCs w:val="0"/>
          <w:szCs w:val="24"/>
          <w:lang w:eastAsia="en-GB"/>
        </w:rPr>
        <w:t>st</w:t>
      </w:r>
      <w:r w:rsidRPr="00E47A71">
        <w:rPr>
          <w:rFonts w:cs="Arial"/>
          <w:bCs w:val="0"/>
          <w:spacing w:val="-6"/>
          <w:szCs w:val="24"/>
          <w:lang w:eastAsia="en-GB"/>
        </w:rPr>
        <w:t xml:space="preserve"> </w:t>
      </w:r>
      <w:r w:rsidRPr="00E47A71">
        <w:rPr>
          <w:rFonts w:cs="Arial"/>
          <w:bCs w:val="0"/>
          <w:spacing w:val="1"/>
          <w:szCs w:val="24"/>
          <w:lang w:eastAsia="en-GB"/>
        </w:rPr>
        <w:t>1</w:t>
      </w:r>
      <w:r w:rsidRPr="00E47A71">
        <w:rPr>
          <w:rFonts w:cs="Arial"/>
          <w:bCs w:val="0"/>
          <w:szCs w:val="24"/>
          <w:lang w:eastAsia="en-GB"/>
        </w:rPr>
        <w:t xml:space="preserve">4 </w:t>
      </w:r>
      <w:r w:rsidRPr="00E47A71">
        <w:rPr>
          <w:rFonts w:cs="Arial"/>
          <w:bCs w:val="0"/>
          <w:spacing w:val="1"/>
          <w:szCs w:val="24"/>
          <w:lang w:eastAsia="en-GB"/>
        </w:rPr>
        <w:t>da</w:t>
      </w:r>
      <w:r w:rsidRPr="00E47A71">
        <w:rPr>
          <w:rFonts w:cs="Arial"/>
          <w:bCs w:val="0"/>
          <w:spacing w:val="-2"/>
          <w:szCs w:val="24"/>
          <w:lang w:eastAsia="en-GB"/>
        </w:rPr>
        <w:t>y</w:t>
      </w:r>
      <w:r w:rsidRPr="00E47A71">
        <w:rPr>
          <w:rFonts w:cs="Arial"/>
          <w:bCs w:val="0"/>
          <w:szCs w:val="24"/>
          <w:lang w:eastAsia="en-GB"/>
        </w:rPr>
        <w:t>s</w:t>
      </w:r>
      <w:r w:rsidRPr="00E47A71">
        <w:rPr>
          <w:rFonts w:cs="Arial"/>
          <w:bCs w:val="0"/>
          <w:spacing w:val="-5"/>
          <w:szCs w:val="24"/>
          <w:lang w:eastAsia="en-GB"/>
        </w:rPr>
        <w:t xml:space="preserve"> </w:t>
      </w:r>
      <w:r w:rsidRPr="00E47A71">
        <w:rPr>
          <w:rFonts w:cs="Arial"/>
          <w:bCs w:val="0"/>
          <w:spacing w:val="-1"/>
          <w:szCs w:val="24"/>
          <w:lang w:eastAsia="en-GB"/>
        </w:rPr>
        <w:t>a</w:t>
      </w:r>
      <w:r w:rsidRPr="00E47A71">
        <w:rPr>
          <w:rFonts w:cs="Arial"/>
          <w:bCs w:val="0"/>
          <w:spacing w:val="3"/>
          <w:szCs w:val="24"/>
          <w:lang w:eastAsia="en-GB"/>
        </w:rPr>
        <w:t>f</w:t>
      </w:r>
      <w:r w:rsidRPr="00E47A71">
        <w:rPr>
          <w:rFonts w:cs="Arial"/>
          <w:bCs w:val="0"/>
          <w:spacing w:val="1"/>
          <w:szCs w:val="24"/>
          <w:lang w:eastAsia="en-GB"/>
        </w:rPr>
        <w:t>te</w:t>
      </w:r>
      <w:r w:rsidRPr="00E47A71">
        <w:rPr>
          <w:rFonts w:cs="Arial"/>
          <w:bCs w:val="0"/>
          <w:szCs w:val="24"/>
          <w:lang w:eastAsia="en-GB"/>
        </w:rPr>
        <w:t>r</w:t>
      </w:r>
      <w:r w:rsidRPr="00E47A71">
        <w:rPr>
          <w:rFonts w:cs="Arial"/>
          <w:bCs w:val="0"/>
          <w:spacing w:val="-5"/>
          <w:szCs w:val="24"/>
          <w:lang w:eastAsia="en-GB"/>
        </w:rPr>
        <w:t xml:space="preserve"> </w:t>
      </w:r>
      <w:r w:rsidRPr="00E47A71">
        <w:rPr>
          <w:rFonts w:cs="Arial"/>
          <w:bCs w:val="0"/>
          <w:spacing w:val="-2"/>
          <w:szCs w:val="24"/>
          <w:lang w:eastAsia="en-GB"/>
        </w:rPr>
        <w:t>t</w:t>
      </w:r>
      <w:r w:rsidRPr="00E47A71">
        <w:rPr>
          <w:rFonts w:cs="Arial"/>
          <w:bCs w:val="0"/>
          <w:spacing w:val="1"/>
          <w:szCs w:val="24"/>
          <w:lang w:eastAsia="en-GB"/>
        </w:rPr>
        <w:t>h</w:t>
      </w:r>
      <w:r w:rsidRPr="00E47A71">
        <w:rPr>
          <w:rFonts w:cs="Arial"/>
          <w:bCs w:val="0"/>
          <w:szCs w:val="24"/>
          <w:lang w:eastAsia="en-GB"/>
        </w:rPr>
        <w:t>e</w:t>
      </w:r>
      <w:r w:rsidRPr="00E47A71">
        <w:rPr>
          <w:rFonts w:cs="Arial"/>
          <w:bCs w:val="0"/>
          <w:spacing w:val="-4"/>
          <w:szCs w:val="24"/>
          <w:lang w:eastAsia="en-GB"/>
        </w:rPr>
        <w:t xml:space="preserve"> </w:t>
      </w:r>
      <w:r w:rsidRPr="00E47A71">
        <w:rPr>
          <w:rFonts w:cs="Arial"/>
          <w:bCs w:val="0"/>
          <w:spacing w:val="1"/>
          <w:szCs w:val="24"/>
          <w:lang w:eastAsia="en-GB"/>
        </w:rPr>
        <w:t>da</w:t>
      </w:r>
      <w:r w:rsidRPr="00E47A71">
        <w:rPr>
          <w:rFonts w:cs="Arial"/>
          <w:bCs w:val="0"/>
          <w:spacing w:val="-2"/>
          <w:szCs w:val="24"/>
          <w:lang w:eastAsia="en-GB"/>
        </w:rPr>
        <w:t>t</w:t>
      </w:r>
      <w:r w:rsidRPr="00E47A71">
        <w:rPr>
          <w:rFonts w:cs="Arial"/>
          <w:bCs w:val="0"/>
          <w:szCs w:val="24"/>
          <w:lang w:eastAsia="en-GB"/>
        </w:rPr>
        <w:t>e</w:t>
      </w:r>
      <w:r w:rsidRPr="00E47A71">
        <w:rPr>
          <w:rFonts w:cs="Arial"/>
          <w:bCs w:val="0"/>
          <w:spacing w:val="-3"/>
          <w:szCs w:val="24"/>
          <w:lang w:eastAsia="en-GB"/>
        </w:rPr>
        <w:t xml:space="preserve"> </w:t>
      </w:r>
      <w:r w:rsidRPr="00E47A71">
        <w:rPr>
          <w:rFonts w:cs="Arial"/>
          <w:bCs w:val="0"/>
          <w:spacing w:val="-1"/>
          <w:szCs w:val="24"/>
          <w:lang w:eastAsia="en-GB"/>
        </w:rPr>
        <w:t>o</w:t>
      </w:r>
      <w:r w:rsidRPr="00E47A71">
        <w:rPr>
          <w:rFonts w:cs="Arial"/>
          <w:bCs w:val="0"/>
          <w:szCs w:val="24"/>
          <w:lang w:eastAsia="en-GB"/>
        </w:rPr>
        <w:t>f</w:t>
      </w:r>
      <w:r w:rsidRPr="00E47A71">
        <w:rPr>
          <w:rFonts w:cs="Arial"/>
          <w:bCs w:val="0"/>
          <w:spacing w:val="-1"/>
          <w:szCs w:val="24"/>
          <w:lang w:eastAsia="en-GB"/>
        </w:rPr>
        <w:t xml:space="preserve"> </w:t>
      </w:r>
      <w:r w:rsidRPr="00E47A71">
        <w:rPr>
          <w:rFonts w:cs="Arial"/>
          <w:bCs w:val="0"/>
          <w:spacing w:val="-2"/>
          <w:szCs w:val="24"/>
          <w:lang w:eastAsia="en-GB"/>
        </w:rPr>
        <w:t>s</w:t>
      </w:r>
      <w:r w:rsidRPr="00E47A71">
        <w:rPr>
          <w:rFonts w:cs="Arial"/>
          <w:bCs w:val="0"/>
          <w:spacing w:val="1"/>
          <w:szCs w:val="24"/>
          <w:lang w:eastAsia="en-GB"/>
        </w:rPr>
        <w:t>e</w:t>
      </w:r>
      <w:r w:rsidRPr="00E47A71">
        <w:rPr>
          <w:rFonts w:cs="Arial"/>
          <w:bCs w:val="0"/>
          <w:spacing w:val="-1"/>
          <w:szCs w:val="24"/>
          <w:lang w:eastAsia="en-GB"/>
        </w:rPr>
        <w:t>r</w:t>
      </w:r>
      <w:r w:rsidRPr="00E47A71">
        <w:rPr>
          <w:rFonts w:cs="Arial"/>
          <w:bCs w:val="0"/>
          <w:spacing w:val="-2"/>
          <w:szCs w:val="24"/>
          <w:lang w:eastAsia="en-GB"/>
        </w:rPr>
        <w:t>v</w:t>
      </w:r>
      <w:r w:rsidRPr="00E47A71">
        <w:rPr>
          <w:rFonts w:cs="Arial"/>
          <w:bCs w:val="0"/>
          <w:szCs w:val="24"/>
          <w:lang w:eastAsia="en-GB"/>
        </w:rPr>
        <w:t>ice</w:t>
      </w:r>
      <w:r w:rsidRPr="00E47A71">
        <w:rPr>
          <w:rFonts w:cs="Arial"/>
          <w:bCs w:val="0"/>
          <w:spacing w:val="-6"/>
          <w:szCs w:val="24"/>
          <w:lang w:eastAsia="en-GB"/>
        </w:rPr>
        <w:t xml:space="preserve"> </w:t>
      </w:r>
      <w:r w:rsidRPr="00E47A71">
        <w:rPr>
          <w:rFonts w:cs="Arial"/>
          <w:bCs w:val="0"/>
          <w:spacing w:val="1"/>
          <w:szCs w:val="24"/>
          <w:lang w:eastAsia="en-GB"/>
        </w:rPr>
        <w:t>o</w:t>
      </w:r>
      <w:r w:rsidRPr="00E47A71">
        <w:rPr>
          <w:rFonts w:cs="Arial"/>
          <w:bCs w:val="0"/>
          <w:szCs w:val="24"/>
          <w:lang w:eastAsia="en-GB"/>
        </w:rPr>
        <w:t>f</w:t>
      </w:r>
      <w:r w:rsidRPr="00E47A71">
        <w:rPr>
          <w:rFonts w:cs="Arial"/>
          <w:bCs w:val="0"/>
          <w:spacing w:val="1"/>
          <w:szCs w:val="24"/>
          <w:lang w:eastAsia="en-GB"/>
        </w:rPr>
        <w:t xml:space="preserve"> </w:t>
      </w:r>
      <w:r w:rsidRPr="00E47A71">
        <w:rPr>
          <w:rFonts w:cs="Arial"/>
          <w:bCs w:val="0"/>
          <w:spacing w:val="-2"/>
          <w:szCs w:val="24"/>
          <w:lang w:eastAsia="en-GB"/>
        </w:rPr>
        <w:t>t</w:t>
      </w:r>
      <w:r w:rsidRPr="00E47A71">
        <w:rPr>
          <w:rFonts w:cs="Arial"/>
          <w:bCs w:val="0"/>
          <w:spacing w:val="1"/>
          <w:szCs w:val="24"/>
          <w:lang w:eastAsia="en-GB"/>
        </w:rPr>
        <w:t>h</w:t>
      </w:r>
      <w:r w:rsidRPr="00E47A71">
        <w:rPr>
          <w:rFonts w:cs="Arial"/>
          <w:bCs w:val="0"/>
          <w:szCs w:val="24"/>
          <w:lang w:eastAsia="en-GB"/>
        </w:rPr>
        <w:t>e</w:t>
      </w:r>
      <w:r w:rsidRPr="00E47A71">
        <w:rPr>
          <w:rFonts w:cs="Arial"/>
          <w:bCs w:val="0"/>
          <w:spacing w:val="-4"/>
          <w:szCs w:val="24"/>
          <w:lang w:eastAsia="en-GB"/>
        </w:rPr>
        <w:t xml:space="preserve"> </w:t>
      </w:r>
      <w:r w:rsidRPr="00E47A71">
        <w:rPr>
          <w:rFonts w:cs="Arial"/>
          <w:bCs w:val="0"/>
          <w:spacing w:val="1"/>
          <w:szCs w:val="24"/>
          <w:lang w:eastAsia="en-GB"/>
        </w:rPr>
        <w:t>op</w:t>
      </w:r>
      <w:r w:rsidRPr="00E47A71">
        <w:rPr>
          <w:rFonts w:cs="Arial"/>
          <w:bCs w:val="0"/>
          <w:szCs w:val="24"/>
          <w:lang w:eastAsia="en-GB"/>
        </w:rPr>
        <w:t>t</w:t>
      </w:r>
      <w:r w:rsidRPr="00E47A71">
        <w:rPr>
          <w:rFonts w:cs="Arial"/>
          <w:bCs w:val="0"/>
          <w:spacing w:val="-4"/>
          <w:szCs w:val="24"/>
          <w:lang w:eastAsia="en-GB"/>
        </w:rPr>
        <w:t>-</w:t>
      </w:r>
      <w:r w:rsidRPr="00E47A71">
        <w:rPr>
          <w:rFonts w:cs="Arial"/>
          <w:bCs w:val="0"/>
          <w:spacing w:val="1"/>
          <w:szCs w:val="24"/>
          <w:lang w:eastAsia="en-GB"/>
        </w:rPr>
        <w:t>o</w:t>
      </w:r>
      <w:r w:rsidRPr="00E47A71">
        <w:rPr>
          <w:rFonts w:cs="Arial"/>
          <w:bCs w:val="0"/>
          <w:spacing w:val="-1"/>
          <w:szCs w:val="24"/>
          <w:lang w:eastAsia="en-GB"/>
        </w:rPr>
        <w:t>u</w:t>
      </w:r>
      <w:r w:rsidRPr="00E47A71">
        <w:rPr>
          <w:rFonts w:cs="Arial"/>
          <w:bCs w:val="0"/>
          <w:szCs w:val="24"/>
          <w:lang w:eastAsia="en-GB"/>
        </w:rPr>
        <w:t>t</w:t>
      </w:r>
      <w:r w:rsidRPr="00E47A71">
        <w:rPr>
          <w:rFonts w:cs="Arial"/>
          <w:bCs w:val="0"/>
          <w:spacing w:val="-2"/>
          <w:szCs w:val="24"/>
          <w:lang w:eastAsia="en-GB"/>
        </w:rPr>
        <w:t xml:space="preserve"> </w:t>
      </w:r>
      <w:r w:rsidRPr="00E47A71">
        <w:rPr>
          <w:rFonts w:cs="Arial"/>
          <w:bCs w:val="0"/>
          <w:spacing w:val="-1"/>
          <w:szCs w:val="24"/>
          <w:lang w:eastAsia="en-GB"/>
        </w:rPr>
        <w:t>no</w:t>
      </w:r>
      <w:r w:rsidRPr="00E47A71">
        <w:rPr>
          <w:rFonts w:cs="Arial"/>
          <w:bCs w:val="0"/>
          <w:spacing w:val="1"/>
          <w:szCs w:val="24"/>
          <w:lang w:eastAsia="en-GB"/>
        </w:rPr>
        <w:t>t</w:t>
      </w:r>
      <w:r w:rsidRPr="00E47A71">
        <w:rPr>
          <w:rFonts w:cs="Arial"/>
          <w:bCs w:val="0"/>
          <w:szCs w:val="24"/>
          <w:lang w:eastAsia="en-GB"/>
        </w:rPr>
        <w:t>ic</w:t>
      </w:r>
      <w:r w:rsidRPr="00E47A71">
        <w:rPr>
          <w:rFonts w:cs="Arial"/>
          <w:bCs w:val="0"/>
          <w:spacing w:val="1"/>
          <w:szCs w:val="24"/>
          <w:lang w:eastAsia="en-GB"/>
        </w:rPr>
        <w:t>e</w:t>
      </w:r>
      <w:r w:rsidRPr="00E47A71">
        <w:rPr>
          <w:rFonts w:cs="Arial"/>
          <w:bCs w:val="0"/>
          <w:szCs w:val="24"/>
          <w:lang w:eastAsia="en-GB"/>
        </w:rPr>
        <w:t xml:space="preserve">; </w:t>
      </w:r>
      <w:r w:rsidRPr="00E47A71">
        <w:rPr>
          <w:rFonts w:cs="Arial"/>
          <w:bCs w:val="0"/>
          <w:spacing w:val="1"/>
          <w:szCs w:val="24"/>
          <w:lang w:eastAsia="en-GB"/>
        </w:rPr>
        <w:t>an</w:t>
      </w:r>
      <w:r w:rsidRPr="00E47A71">
        <w:rPr>
          <w:rFonts w:cs="Arial"/>
          <w:bCs w:val="0"/>
          <w:szCs w:val="24"/>
          <w:lang w:eastAsia="en-GB"/>
        </w:rPr>
        <w:t>d</w:t>
      </w:r>
    </w:p>
    <w:p w14:paraId="47CBBFFF" w14:textId="77777777" w:rsidR="00977693" w:rsidRPr="00E47A71" w:rsidRDefault="00977693" w:rsidP="006C3DF5">
      <w:pPr>
        <w:pStyle w:val="ListParagraph"/>
        <w:widowControl w:val="0"/>
        <w:numPr>
          <w:ilvl w:val="0"/>
          <w:numId w:val="87"/>
        </w:numPr>
        <w:tabs>
          <w:tab w:val="left" w:pos="3686"/>
        </w:tabs>
        <w:spacing w:line="360" w:lineRule="auto"/>
        <w:jc w:val="both"/>
        <w:outlineLvl w:val="3"/>
        <w:rPr>
          <w:rFonts w:cs="Arial"/>
          <w:bCs w:val="0"/>
          <w:szCs w:val="24"/>
          <w:lang w:eastAsia="en-GB"/>
        </w:rPr>
      </w:pPr>
      <w:r w:rsidRPr="00E47A71">
        <w:rPr>
          <w:rFonts w:cs="Arial"/>
          <w:bCs w:val="0"/>
          <w:szCs w:val="24"/>
          <w:lang w:eastAsia="en-GB"/>
        </w:rPr>
        <w:t xml:space="preserve">in </w:t>
      </w:r>
      <w:r w:rsidRPr="00E47A71">
        <w:rPr>
          <w:rFonts w:cs="Arial"/>
          <w:bCs w:val="0"/>
          <w:spacing w:val="1"/>
          <w:szCs w:val="24"/>
          <w:lang w:eastAsia="en-GB"/>
        </w:rPr>
        <w:t>th</w:t>
      </w:r>
      <w:r w:rsidRPr="00E47A71">
        <w:rPr>
          <w:rFonts w:cs="Arial"/>
          <w:bCs w:val="0"/>
          <w:szCs w:val="24"/>
          <w:lang w:eastAsia="en-GB"/>
        </w:rPr>
        <w:t>e</w:t>
      </w:r>
      <w:r w:rsidRPr="00E47A71">
        <w:rPr>
          <w:rFonts w:cs="Arial"/>
          <w:bCs w:val="0"/>
          <w:spacing w:val="-4"/>
          <w:szCs w:val="24"/>
          <w:lang w:eastAsia="en-GB"/>
        </w:rPr>
        <w:t xml:space="preserve"> </w:t>
      </w:r>
      <w:r w:rsidRPr="00E47A71">
        <w:rPr>
          <w:rFonts w:cs="Arial"/>
          <w:bCs w:val="0"/>
          <w:spacing w:val="1"/>
          <w:szCs w:val="24"/>
          <w:lang w:eastAsia="en-GB"/>
        </w:rPr>
        <w:t>case</w:t>
      </w:r>
      <w:r w:rsidRPr="00E47A71">
        <w:rPr>
          <w:rFonts w:cs="Arial"/>
          <w:bCs w:val="0"/>
          <w:spacing w:val="-6"/>
          <w:szCs w:val="24"/>
          <w:lang w:eastAsia="en-GB"/>
        </w:rPr>
        <w:t xml:space="preserve"> </w:t>
      </w:r>
      <w:r w:rsidRPr="00E47A71">
        <w:rPr>
          <w:rFonts w:cs="Arial"/>
          <w:bCs w:val="0"/>
          <w:spacing w:val="-1"/>
          <w:szCs w:val="24"/>
          <w:lang w:eastAsia="en-GB"/>
        </w:rPr>
        <w:t>o</w:t>
      </w:r>
      <w:r w:rsidRPr="00E47A71">
        <w:rPr>
          <w:rFonts w:cs="Arial"/>
          <w:bCs w:val="0"/>
          <w:szCs w:val="24"/>
          <w:lang w:eastAsia="en-GB"/>
        </w:rPr>
        <w:t>f</w:t>
      </w:r>
      <w:r w:rsidRPr="00E47A71">
        <w:rPr>
          <w:rFonts w:cs="Arial"/>
          <w:bCs w:val="0"/>
          <w:spacing w:val="-1"/>
          <w:szCs w:val="24"/>
          <w:lang w:eastAsia="en-GB"/>
        </w:rPr>
        <w:t xml:space="preserve"> </w:t>
      </w:r>
      <w:r w:rsidRPr="00E47A71">
        <w:rPr>
          <w:rFonts w:cs="Arial"/>
          <w:bCs w:val="0"/>
          <w:szCs w:val="24"/>
          <w:lang w:eastAsia="en-GB"/>
        </w:rPr>
        <w:t>a</w:t>
      </w:r>
      <w:r w:rsidRPr="00E47A71">
        <w:rPr>
          <w:rFonts w:cs="Arial"/>
          <w:bCs w:val="0"/>
          <w:spacing w:val="1"/>
          <w:szCs w:val="24"/>
          <w:lang w:eastAsia="en-GB"/>
        </w:rPr>
        <w:t xml:space="preserve"> </w:t>
      </w:r>
      <w:r w:rsidRPr="00E47A71">
        <w:rPr>
          <w:rFonts w:cs="Arial"/>
          <w:bCs w:val="0"/>
          <w:spacing w:val="-1"/>
          <w:szCs w:val="24"/>
          <w:lang w:eastAsia="en-GB"/>
        </w:rPr>
        <w:t>p</w:t>
      </w:r>
      <w:r w:rsidRPr="00E47A71">
        <w:rPr>
          <w:rFonts w:cs="Arial"/>
          <w:bCs w:val="0"/>
          <w:spacing w:val="1"/>
          <w:szCs w:val="24"/>
          <w:lang w:eastAsia="en-GB"/>
        </w:rPr>
        <w:t>e</w:t>
      </w:r>
      <w:r w:rsidRPr="00E47A71">
        <w:rPr>
          <w:rFonts w:cs="Arial"/>
          <w:bCs w:val="0"/>
          <w:spacing w:val="-1"/>
          <w:szCs w:val="24"/>
          <w:lang w:eastAsia="en-GB"/>
        </w:rPr>
        <w:t>r</w:t>
      </w:r>
      <w:r w:rsidRPr="00E47A71">
        <w:rPr>
          <w:rFonts w:cs="Arial"/>
          <w:bCs w:val="0"/>
          <w:spacing w:val="2"/>
          <w:szCs w:val="24"/>
          <w:lang w:eastAsia="en-GB"/>
        </w:rPr>
        <w:t>m</w:t>
      </w:r>
      <w:r w:rsidRPr="00E47A71">
        <w:rPr>
          <w:rFonts w:cs="Arial"/>
          <w:bCs w:val="0"/>
          <w:spacing w:val="-1"/>
          <w:szCs w:val="24"/>
          <w:lang w:eastAsia="en-GB"/>
        </w:rPr>
        <w:t>a</w:t>
      </w:r>
      <w:r w:rsidRPr="00E47A71">
        <w:rPr>
          <w:rFonts w:cs="Arial"/>
          <w:bCs w:val="0"/>
          <w:spacing w:val="1"/>
          <w:szCs w:val="24"/>
          <w:lang w:eastAsia="en-GB"/>
        </w:rPr>
        <w:t>nen</w:t>
      </w:r>
      <w:r w:rsidRPr="00E47A71">
        <w:rPr>
          <w:rFonts w:cs="Arial"/>
          <w:bCs w:val="0"/>
          <w:szCs w:val="24"/>
          <w:lang w:eastAsia="en-GB"/>
        </w:rPr>
        <w:t>t</w:t>
      </w:r>
      <w:r w:rsidRPr="00E47A71">
        <w:rPr>
          <w:rFonts w:cs="Arial"/>
          <w:bCs w:val="0"/>
          <w:spacing w:val="-12"/>
          <w:szCs w:val="24"/>
          <w:lang w:eastAsia="en-GB"/>
        </w:rPr>
        <w:t xml:space="preserve"> </w:t>
      </w:r>
      <w:r w:rsidRPr="00E47A71">
        <w:rPr>
          <w:rFonts w:cs="Arial"/>
          <w:bCs w:val="0"/>
          <w:spacing w:val="1"/>
          <w:szCs w:val="24"/>
          <w:lang w:eastAsia="en-GB"/>
        </w:rPr>
        <w:t>o</w:t>
      </w:r>
      <w:r w:rsidRPr="00E47A71">
        <w:rPr>
          <w:rFonts w:cs="Arial"/>
          <w:bCs w:val="0"/>
          <w:spacing w:val="-1"/>
          <w:szCs w:val="24"/>
          <w:lang w:eastAsia="en-GB"/>
        </w:rPr>
        <w:t>p</w:t>
      </w:r>
      <w:r w:rsidRPr="00E47A71">
        <w:rPr>
          <w:rFonts w:cs="Arial"/>
          <w:bCs w:val="0"/>
          <w:szCs w:val="24"/>
          <w:lang w:eastAsia="en-GB"/>
        </w:rPr>
        <w:t>t</w:t>
      </w:r>
      <w:r w:rsidRPr="00E47A71">
        <w:rPr>
          <w:rFonts w:cs="Arial"/>
          <w:bCs w:val="0"/>
          <w:spacing w:val="-2"/>
          <w:szCs w:val="24"/>
          <w:lang w:eastAsia="en-GB"/>
        </w:rPr>
        <w:t xml:space="preserve"> </w:t>
      </w:r>
      <w:r w:rsidRPr="00E47A71">
        <w:rPr>
          <w:rFonts w:cs="Arial"/>
          <w:bCs w:val="0"/>
          <w:spacing w:val="-1"/>
          <w:szCs w:val="24"/>
          <w:lang w:eastAsia="en-GB"/>
        </w:rPr>
        <w:t>o</w:t>
      </w:r>
      <w:r w:rsidRPr="00E47A71">
        <w:rPr>
          <w:rFonts w:cs="Arial"/>
          <w:bCs w:val="0"/>
          <w:spacing w:val="1"/>
          <w:szCs w:val="24"/>
          <w:lang w:eastAsia="en-GB"/>
        </w:rPr>
        <w:t>u</w:t>
      </w:r>
      <w:r w:rsidRPr="00E47A71">
        <w:rPr>
          <w:rFonts w:cs="Arial"/>
          <w:bCs w:val="0"/>
          <w:szCs w:val="24"/>
          <w:lang w:eastAsia="en-GB"/>
        </w:rPr>
        <w:t>t,</w:t>
      </w:r>
      <w:r w:rsidRPr="00E47A71">
        <w:rPr>
          <w:rFonts w:cs="Arial"/>
          <w:bCs w:val="0"/>
          <w:spacing w:val="-4"/>
          <w:szCs w:val="24"/>
          <w:lang w:eastAsia="en-GB"/>
        </w:rPr>
        <w:t xml:space="preserve"> </w:t>
      </w:r>
      <w:r w:rsidRPr="00E47A71">
        <w:rPr>
          <w:rFonts w:cs="Arial"/>
          <w:bCs w:val="0"/>
          <w:spacing w:val="2"/>
          <w:szCs w:val="24"/>
          <w:lang w:eastAsia="en-GB"/>
        </w:rPr>
        <w:t>m</w:t>
      </w:r>
      <w:r w:rsidRPr="00E47A71">
        <w:rPr>
          <w:rFonts w:cs="Arial"/>
          <w:bCs w:val="0"/>
          <w:spacing w:val="1"/>
          <w:szCs w:val="24"/>
          <w:lang w:eastAsia="en-GB"/>
        </w:rPr>
        <w:t>u</w:t>
      </w:r>
      <w:r w:rsidRPr="00E47A71">
        <w:rPr>
          <w:rFonts w:cs="Arial"/>
          <w:bCs w:val="0"/>
          <w:szCs w:val="24"/>
          <w:lang w:eastAsia="en-GB"/>
        </w:rPr>
        <w:t>st</w:t>
      </w:r>
      <w:r w:rsidRPr="00E47A71">
        <w:rPr>
          <w:rFonts w:cs="Arial"/>
          <w:bCs w:val="0"/>
          <w:spacing w:val="-6"/>
          <w:szCs w:val="24"/>
          <w:lang w:eastAsia="en-GB"/>
        </w:rPr>
        <w:t xml:space="preserve"> </w:t>
      </w:r>
      <w:r w:rsidRPr="00E47A71">
        <w:rPr>
          <w:rFonts w:cs="Arial"/>
          <w:bCs w:val="0"/>
          <w:spacing w:val="1"/>
          <w:szCs w:val="24"/>
          <w:lang w:eastAsia="en-GB"/>
        </w:rPr>
        <w:t>b</w:t>
      </w:r>
      <w:r w:rsidRPr="00E47A71">
        <w:rPr>
          <w:rFonts w:cs="Arial"/>
          <w:bCs w:val="0"/>
          <w:szCs w:val="24"/>
          <w:lang w:eastAsia="en-GB"/>
        </w:rPr>
        <w:t>e</w:t>
      </w:r>
      <w:r w:rsidRPr="00E47A71">
        <w:rPr>
          <w:rFonts w:cs="Arial"/>
          <w:bCs w:val="0"/>
          <w:spacing w:val="-4"/>
          <w:szCs w:val="24"/>
          <w:lang w:eastAsia="en-GB"/>
        </w:rPr>
        <w:t xml:space="preserve"> </w:t>
      </w:r>
      <w:r w:rsidRPr="00E47A71">
        <w:rPr>
          <w:rFonts w:cs="Arial"/>
          <w:bCs w:val="0"/>
          <w:spacing w:val="1"/>
          <w:szCs w:val="24"/>
          <w:lang w:eastAsia="en-GB"/>
        </w:rPr>
        <w:t>t</w:t>
      </w:r>
      <w:r w:rsidRPr="00E47A71">
        <w:rPr>
          <w:rFonts w:cs="Arial"/>
          <w:bCs w:val="0"/>
          <w:spacing w:val="-1"/>
          <w:szCs w:val="24"/>
          <w:lang w:eastAsia="en-GB"/>
        </w:rPr>
        <w:t>h</w:t>
      </w:r>
      <w:r w:rsidRPr="00E47A71">
        <w:rPr>
          <w:rFonts w:cs="Arial"/>
          <w:bCs w:val="0"/>
          <w:szCs w:val="24"/>
          <w:lang w:eastAsia="en-GB"/>
        </w:rPr>
        <w:t>e</w:t>
      </w:r>
      <w:r w:rsidRPr="00E47A71">
        <w:rPr>
          <w:rFonts w:cs="Arial"/>
          <w:bCs w:val="0"/>
          <w:spacing w:val="-1"/>
          <w:szCs w:val="24"/>
          <w:lang w:eastAsia="en-GB"/>
        </w:rPr>
        <w:t xml:space="preserve"> </w:t>
      </w:r>
      <w:r w:rsidRPr="00E47A71">
        <w:rPr>
          <w:rFonts w:cs="Arial"/>
          <w:bCs w:val="0"/>
          <w:spacing w:val="1"/>
          <w:szCs w:val="24"/>
          <w:lang w:eastAsia="en-GB"/>
        </w:rPr>
        <w:t>da</w:t>
      </w:r>
      <w:r w:rsidRPr="00E47A71">
        <w:rPr>
          <w:rFonts w:cs="Arial"/>
          <w:bCs w:val="0"/>
          <w:szCs w:val="24"/>
          <w:lang w:eastAsia="en-GB"/>
        </w:rPr>
        <w:t xml:space="preserve">y </w:t>
      </w:r>
      <w:r w:rsidRPr="00E47A71">
        <w:rPr>
          <w:rFonts w:cs="Arial"/>
          <w:bCs w:val="0"/>
          <w:spacing w:val="1"/>
          <w:szCs w:val="24"/>
          <w:lang w:eastAsia="en-GB"/>
        </w:rPr>
        <w:t>e</w:t>
      </w:r>
      <w:r w:rsidRPr="00E47A71">
        <w:rPr>
          <w:rFonts w:cs="Arial"/>
          <w:bCs w:val="0"/>
          <w:szCs w:val="24"/>
          <w:lang w:eastAsia="en-GB"/>
        </w:rPr>
        <w:t>i</w:t>
      </w:r>
      <w:r w:rsidRPr="00E47A71">
        <w:rPr>
          <w:rFonts w:cs="Arial"/>
          <w:bCs w:val="0"/>
          <w:spacing w:val="1"/>
          <w:szCs w:val="24"/>
          <w:lang w:eastAsia="en-GB"/>
        </w:rPr>
        <w:t>the</w:t>
      </w:r>
      <w:r w:rsidRPr="00E47A71">
        <w:rPr>
          <w:rFonts w:cs="Arial"/>
          <w:bCs w:val="0"/>
          <w:szCs w:val="24"/>
          <w:lang w:eastAsia="en-GB"/>
        </w:rPr>
        <w:t>r</w:t>
      </w:r>
      <w:r w:rsidRPr="00E47A71">
        <w:rPr>
          <w:rFonts w:cs="Arial"/>
          <w:bCs w:val="0"/>
          <w:spacing w:val="-6"/>
          <w:szCs w:val="24"/>
          <w:lang w:eastAsia="en-GB"/>
        </w:rPr>
        <w:t xml:space="preserve"> </w:t>
      </w:r>
      <w:r w:rsidRPr="00E47A71">
        <w:rPr>
          <w:rFonts w:cs="Arial"/>
          <w:bCs w:val="0"/>
          <w:spacing w:val="-2"/>
          <w:szCs w:val="24"/>
          <w:lang w:eastAsia="en-GB"/>
        </w:rPr>
        <w:t>t</w:t>
      </w:r>
      <w:r w:rsidRPr="00E47A71">
        <w:rPr>
          <w:rFonts w:cs="Arial"/>
          <w:bCs w:val="0"/>
          <w:spacing w:val="1"/>
          <w:szCs w:val="24"/>
          <w:lang w:eastAsia="en-GB"/>
        </w:rPr>
        <w:t>h</w:t>
      </w:r>
      <w:r w:rsidRPr="00E47A71">
        <w:rPr>
          <w:rFonts w:cs="Arial"/>
          <w:bCs w:val="0"/>
          <w:spacing w:val="-1"/>
          <w:szCs w:val="24"/>
          <w:lang w:eastAsia="en-GB"/>
        </w:rPr>
        <w:t>r</w:t>
      </w:r>
      <w:r w:rsidRPr="00E47A71">
        <w:rPr>
          <w:rFonts w:cs="Arial"/>
          <w:bCs w:val="0"/>
          <w:spacing w:val="1"/>
          <w:szCs w:val="24"/>
          <w:lang w:eastAsia="en-GB"/>
        </w:rPr>
        <w:t>e</w:t>
      </w:r>
      <w:r w:rsidRPr="00E47A71">
        <w:rPr>
          <w:rFonts w:cs="Arial"/>
          <w:bCs w:val="0"/>
          <w:szCs w:val="24"/>
          <w:lang w:eastAsia="en-GB"/>
        </w:rPr>
        <w:t>e</w:t>
      </w:r>
      <w:r w:rsidRPr="00E47A71">
        <w:rPr>
          <w:rFonts w:cs="Arial"/>
          <w:bCs w:val="0"/>
          <w:spacing w:val="-6"/>
          <w:szCs w:val="24"/>
          <w:lang w:eastAsia="en-GB"/>
        </w:rPr>
        <w:t xml:space="preserve"> </w:t>
      </w:r>
      <w:r w:rsidRPr="00E47A71">
        <w:rPr>
          <w:rFonts w:cs="Arial"/>
          <w:bCs w:val="0"/>
          <w:spacing w:val="1"/>
          <w:szCs w:val="24"/>
          <w:lang w:eastAsia="en-GB"/>
        </w:rPr>
        <w:t>o</w:t>
      </w:r>
      <w:r w:rsidRPr="00E47A71">
        <w:rPr>
          <w:rFonts w:cs="Arial"/>
          <w:bCs w:val="0"/>
          <w:szCs w:val="24"/>
          <w:lang w:eastAsia="en-GB"/>
        </w:rPr>
        <w:t>r</w:t>
      </w:r>
      <w:r w:rsidRPr="00E47A71">
        <w:rPr>
          <w:rFonts w:cs="Arial"/>
          <w:bCs w:val="0"/>
          <w:spacing w:val="-2"/>
          <w:szCs w:val="24"/>
          <w:lang w:eastAsia="en-GB"/>
        </w:rPr>
        <w:t xml:space="preserve"> </w:t>
      </w:r>
      <w:r w:rsidRPr="00E47A71">
        <w:rPr>
          <w:rFonts w:cs="Arial"/>
          <w:bCs w:val="0"/>
          <w:szCs w:val="24"/>
          <w:lang w:eastAsia="en-GB"/>
        </w:rPr>
        <w:t>six</w:t>
      </w:r>
      <w:r w:rsidRPr="00E47A71">
        <w:rPr>
          <w:rFonts w:cs="Arial"/>
          <w:bCs w:val="0"/>
          <w:spacing w:val="-5"/>
          <w:szCs w:val="24"/>
          <w:lang w:eastAsia="en-GB"/>
        </w:rPr>
        <w:t xml:space="preserve"> </w:t>
      </w:r>
      <w:r w:rsidRPr="00E47A71">
        <w:rPr>
          <w:rFonts w:cs="Arial"/>
          <w:bCs w:val="0"/>
          <w:spacing w:val="2"/>
          <w:szCs w:val="24"/>
          <w:lang w:eastAsia="en-GB"/>
        </w:rPr>
        <w:t>m</w:t>
      </w:r>
      <w:r w:rsidRPr="00E47A71">
        <w:rPr>
          <w:rFonts w:cs="Arial"/>
          <w:bCs w:val="0"/>
          <w:spacing w:val="1"/>
          <w:szCs w:val="24"/>
          <w:lang w:eastAsia="en-GB"/>
        </w:rPr>
        <w:t>on</w:t>
      </w:r>
      <w:r w:rsidRPr="00E47A71">
        <w:rPr>
          <w:rFonts w:cs="Arial"/>
          <w:bCs w:val="0"/>
          <w:spacing w:val="-2"/>
          <w:szCs w:val="24"/>
          <w:lang w:eastAsia="en-GB"/>
        </w:rPr>
        <w:t>t</w:t>
      </w:r>
      <w:r w:rsidRPr="00E47A71">
        <w:rPr>
          <w:rFonts w:cs="Arial"/>
          <w:bCs w:val="0"/>
          <w:spacing w:val="1"/>
          <w:szCs w:val="24"/>
          <w:lang w:eastAsia="en-GB"/>
        </w:rPr>
        <w:t>h</w:t>
      </w:r>
      <w:r w:rsidRPr="00E47A71">
        <w:rPr>
          <w:rFonts w:cs="Arial"/>
          <w:bCs w:val="0"/>
          <w:szCs w:val="24"/>
          <w:lang w:eastAsia="en-GB"/>
        </w:rPr>
        <w:t>s</w:t>
      </w:r>
      <w:r w:rsidRPr="00E47A71">
        <w:rPr>
          <w:rFonts w:cs="Arial"/>
          <w:bCs w:val="0"/>
          <w:spacing w:val="-8"/>
          <w:szCs w:val="24"/>
          <w:lang w:eastAsia="en-GB"/>
        </w:rPr>
        <w:t xml:space="preserve"> </w:t>
      </w:r>
      <w:r w:rsidRPr="00E47A71">
        <w:rPr>
          <w:rFonts w:cs="Arial"/>
          <w:bCs w:val="0"/>
          <w:spacing w:val="-1"/>
          <w:szCs w:val="24"/>
          <w:lang w:eastAsia="en-GB"/>
        </w:rPr>
        <w:t>a</w:t>
      </w:r>
      <w:r w:rsidRPr="00E47A71">
        <w:rPr>
          <w:rFonts w:cs="Arial"/>
          <w:bCs w:val="0"/>
          <w:spacing w:val="3"/>
          <w:szCs w:val="24"/>
          <w:lang w:eastAsia="en-GB"/>
        </w:rPr>
        <w:t>f</w:t>
      </w:r>
      <w:r w:rsidRPr="00E47A71">
        <w:rPr>
          <w:rFonts w:cs="Arial"/>
          <w:bCs w:val="0"/>
          <w:spacing w:val="-2"/>
          <w:szCs w:val="24"/>
          <w:lang w:eastAsia="en-GB"/>
        </w:rPr>
        <w:t>t</w:t>
      </w:r>
      <w:r w:rsidRPr="00E47A71">
        <w:rPr>
          <w:rFonts w:cs="Arial"/>
          <w:bCs w:val="0"/>
          <w:spacing w:val="1"/>
          <w:szCs w:val="24"/>
          <w:lang w:eastAsia="en-GB"/>
        </w:rPr>
        <w:t>e</w:t>
      </w:r>
      <w:r w:rsidRPr="00E47A71">
        <w:rPr>
          <w:rFonts w:cs="Arial"/>
          <w:bCs w:val="0"/>
          <w:szCs w:val="24"/>
          <w:lang w:eastAsia="en-GB"/>
        </w:rPr>
        <w:t>r</w:t>
      </w:r>
      <w:r w:rsidRPr="00E47A71">
        <w:rPr>
          <w:rFonts w:cs="Arial"/>
          <w:bCs w:val="0"/>
          <w:spacing w:val="-5"/>
          <w:szCs w:val="24"/>
          <w:lang w:eastAsia="en-GB"/>
        </w:rPr>
        <w:t xml:space="preserve"> </w:t>
      </w:r>
      <w:r w:rsidRPr="00E47A71">
        <w:rPr>
          <w:rFonts w:cs="Arial"/>
          <w:bCs w:val="0"/>
          <w:spacing w:val="1"/>
          <w:szCs w:val="24"/>
          <w:lang w:eastAsia="en-GB"/>
        </w:rPr>
        <w:t>t</w:t>
      </w:r>
      <w:r w:rsidRPr="00E47A71">
        <w:rPr>
          <w:rFonts w:cs="Arial"/>
          <w:bCs w:val="0"/>
          <w:spacing w:val="-1"/>
          <w:szCs w:val="24"/>
          <w:lang w:eastAsia="en-GB"/>
        </w:rPr>
        <w:t>h</w:t>
      </w:r>
      <w:r w:rsidRPr="00E47A71">
        <w:rPr>
          <w:rFonts w:cs="Arial"/>
          <w:bCs w:val="0"/>
          <w:szCs w:val="24"/>
          <w:lang w:eastAsia="en-GB"/>
        </w:rPr>
        <w:t>e</w:t>
      </w:r>
      <w:r w:rsidRPr="00E47A71">
        <w:rPr>
          <w:rFonts w:cs="Arial"/>
          <w:bCs w:val="0"/>
          <w:spacing w:val="-1"/>
          <w:szCs w:val="24"/>
          <w:lang w:eastAsia="en-GB"/>
        </w:rPr>
        <w:t xml:space="preserve"> d</w:t>
      </w:r>
      <w:r w:rsidRPr="00E47A71">
        <w:rPr>
          <w:rFonts w:cs="Arial"/>
          <w:bCs w:val="0"/>
          <w:spacing w:val="1"/>
          <w:szCs w:val="24"/>
          <w:lang w:eastAsia="en-GB"/>
        </w:rPr>
        <w:t>at</w:t>
      </w:r>
      <w:r w:rsidRPr="00E47A71">
        <w:rPr>
          <w:rFonts w:cs="Arial"/>
          <w:bCs w:val="0"/>
          <w:szCs w:val="24"/>
          <w:lang w:eastAsia="en-GB"/>
        </w:rPr>
        <w:t>e</w:t>
      </w:r>
      <w:r w:rsidRPr="00E47A71">
        <w:rPr>
          <w:rFonts w:cs="Arial"/>
          <w:bCs w:val="0"/>
          <w:spacing w:val="-6"/>
          <w:szCs w:val="24"/>
          <w:lang w:eastAsia="en-GB"/>
        </w:rPr>
        <w:t xml:space="preserve"> </w:t>
      </w:r>
      <w:r w:rsidRPr="00E47A71">
        <w:rPr>
          <w:rFonts w:cs="Arial"/>
          <w:bCs w:val="0"/>
          <w:spacing w:val="-1"/>
          <w:szCs w:val="24"/>
          <w:lang w:eastAsia="en-GB"/>
        </w:rPr>
        <w:t>o</w:t>
      </w:r>
      <w:r w:rsidRPr="00E47A71">
        <w:rPr>
          <w:rFonts w:cs="Arial"/>
          <w:bCs w:val="0"/>
          <w:szCs w:val="24"/>
          <w:lang w:eastAsia="en-GB"/>
        </w:rPr>
        <w:t>f</w:t>
      </w:r>
      <w:r w:rsidRPr="00E47A71">
        <w:rPr>
          <w:rFonts w:cs="Arial"/>
          <w:bCs w:val="0"/>
          <w:spacing w:val="1"/>
          <w:szCs w:val="24"/>
          <w:lang w:eastAsia="en-GB"/>
        </w:rPr>
        <w:t xml:space="preserve"> </w:t>
      </w:r>
      <w:r w:rsidRPr="00E47A71">
        <w:rPr>
          <w:rFonts w:cs="Arial"/>
          <w:bCs w:val="0"/>
          <w:spacing w:val="-2"/>
          <w:w w:val="99"/>
          <w:szCs w:val="24"/>
          <w:lang w:eastAsia="en-GB"/>
        </w:rPr>
        <w:t>s</w:t>
      </w:r>
      <w:r w:rsidRPr="00E47A71">
        <w:rPr>
          <w:rFonts w:cs="Arial"/>
          <w:bCs w:val="0"/>
          <w:spacing w:val="1"/>
          <w:w w:val="99"/>
          <w:szCs w:val="24"/>
          <w:lang w:eastAsia="en-GB"/>
        </w:rPr>
        <w:t>e</w:t>
      </w:r>
      <w:r w:rsidRPr="00E47A71">
        <w:rPr>
          <w:rFonts w:cs="Arial"/>
          <w:bCs w:val="0"/>
          <w:spacing w:val="-1"/>
          <w:w w:val="99"/>
          <w:szCs w:val="24"/>
          <w:lang w:eastAsia="en-GB"/>
        </w:rPr>
        <w:t>r</w:t>
      </w:r>
      <w:r w:rsidRPr="00E47A71">
        <w:rPr>
          <w:rFonts w:cs="Arial"/>
          <w:bCs w:val="0"/>
          <w:spacing w:val="-2"/>
          <w:w w:val="99"/>
          <w:szCs w:val="24"/>
          <w:lang w:eastAsia="en-GB"/>
        </w:rPr>
        <w:t>v</w:t>
      </w:r>
      <w:r w:rsidRPr="00E47A71">
        <w:rPr>
          <w:rFonts w:cs="Arial"/>
          <w:bCs w:val="0"/>
          <w:w w:val="99"/>
          <w:szCs w:val="24"/>
          <w:lang w:eastAsia="en-GB"/>
        </w:rPr>
        <w:t xml:space="preserve">ice </w:t>
      </w:r>
      <w:r w:rsidRPr="00E47A71">
        <w:rPr>
          <w:rFonts w:cs="Arial"/>
          <w:bCs w:val="0"/>
          <w:spacing w:val="-1"/>
          <w:w w:val="99"/>
          <w:szCs w:val="24"/>
          <w:lang w:eastAsia="en-GB"/>
        </w:rPr>
        <w:t>o</w:t>
      </w:r>
      <w:r w:rsidRPr="00E47A71">
        <w:rPr>
          <w:rFonts w:cs="Arial"/>
          <w:bCs w:val="0"/>
          <w:w w:val="99"/>
          <w:szCs w:val="24"/>
          <w:lang w:eastAsia="en-GB"/>
        </w:rPr>
        <w:t>f</w:t>
      </w:r>
      <w:r w:rsidRPr="00E47A71">
        <w:rPr>
          <w:rFonts w:cs="Arial"/>
          <w:bCs w:val="0"/>
          <w:spacing w:val="3"/>
          <w:szCs w:val="24"/>
          <w:lang w:eastAsia="en-GB"/>
        </w:rPr>
        <w:t xml:space="preserve"> </w:t>
      </w:r>
      <w:r w:rsidRPr="00E47A71">
        <w:rPr>
          <w:rFonts w:cs="Arial"/>
          <w:bCs w:val="0"/>
          <w:spacing w:val="1"/>
          <w:szCs w:val="24"/>
          <w:lang w:eastAsia="en-GB"/>
        </w:rPr>
        <w:t>t</w:t>
      </w:r>
      <w:r w:rsidRPr="00E47A71">
        <w:rPr>
          <w:rFonts w:cs="Arial"/>
          <w:bCs w:val="0"/>
          <w:spacing w:val="-1"/>
          <w:szCs w:val="24"/>
          <w:lang w:eastAsia="en-GB"/>
        </w:rPr>
        <w:t>h</w:t>
      </w:r>
      <w:r w:rsidRPr="00E47A71">
        <w:rPr>
          <w:rFonts w:cs="Arial"/>
          <w:bCs w:val="0"/>
          <w:szCs w:val="24"/>
          <w:lang w:eastAsia="en-GB"/>
        </w:rPr>
        <w:t>e</w:t>
      </w:r>
      <w:r w:rsidRPr="00E47A71">
        <w:rPr>
          <w:rFonts w:cs="Arial"/>
          <w:bCs w:val="0"/>
          <w:spacing w:val="-1"/>
          <w:szCs w:val="24"/>
          <w:lang w:eastAsia="en-GB"/>
        </w:rPr>
        <w:t xml:space="preserve"> o</w:t>
      </w:r>
      <w:r w:rsidRPr="00E47A71">
        <w:rPr>
          <w:rFonts w:cs="Arial"/>
          <w:bCs w:val="0"/>
          <w:spacing w:val="1"/>
          <w:szCs w:val="24"/>
          <w:lang w:eastAsia="en-GB"/>
        </w:rPr>
        <w:t>pt</w:t>
      </w:r>
      <w:r w:rsidRPr="00E47A71">
        <w:rPr>
          <w:rFonts w:cs="Arial"/>
          <w:bCs w:val="0"/>
          <w:spacing w:val="-1"/>
          <w:szCs w:val="24"/>
          <w:lang w:eastAsia="en-GB"/>
        </w:rPr>
        <w:t>-</w:t>
      </w:r>
      <w:r w:rsidRPr="00E47A71">
        <w:rPr>
          <w:rFonts w:cs="Arial"/>
          <w:bCs w:val="0"/>
          <w:spacing w:val="1"/>
          <w:szCs w:val="24"/>
          <w:lang w:eastAsia="en-GB"/>
        </w:rPr>
        <w:t>o</w:t>
      </w:r>
      <w:r w:rsidRPr="00E47A71">
        <w:rPr>
          <w:rFonts w:cs="Arial"/>
          <w:bCs w:val="0"/>
          <w:spacing w:val="-1"/>
          <w:szCs w:val="24"/>
          <w:lang w:eastAsia="en-GB"/>
        </w:rPr>
        <w:t>u</w:t>
      </w:r>
      <w:r w:rsidRPr="00E47A71">
        <w:rPr>
          <w:rFonts w:cs="Arial"/>
          <w:bCs w:val="0"/>
          <w:szCs w:val="24"/>
          <w:lang w:eastAsia="en-GB"/>
        </w:rPr>
        <w:t>t</w:t>
      </w:r>
      <w:r w:rsidRPr="00E47A71">
        <w:rPr>
          <w:rFonts w:cs="Arial"/>
          <w:bCs w:val="0"/>
          <w:spacing w:val="-6"/>
          <w:szCs w:val="24"/>
          <w:lang w:eastAsia="en-GB"/>
        </w:rPr>
        <w:t xml:space="preserve"> </w:t>
      </w:r>
      <w:r w:rsidRPr="00E47A71">
        <w:rPr>
          <w:rFonts w:cs="Arial"/>
          <w:bCs w:val="0"/>
          <w:spacing w:val="-1"/>
          <w:szCs w:val="24"/>
          <w:lang w:eastAsia="en-GB"/>
        </w:rPr>
        <w:t>n</w:t>
      </w:r>
      <w:r w:rsidRPr="00E47A71">
        <w:rPr>
          <w:rFonts w:cs="Arial"/>
          <w:bCs w:val="0"/>
          <w:spacing w:val="1"/>
          <w:szCs w:val="24"/>
          <w:lang w:eastAsia="en-GB"/>
        </w:rPr>
        <w:t>ot</w:t>
      </w:r>
      <w:r w:rsidRPr="00E47A71">
        <w:rPr>
          <w:rFonts w:cs="Arial"/>
          <w:bCs w:val="0"/>
          <w:szCs w:val="24"/>
          <w:lang w:eastAsia="en-GB"/>
        </w:rPr>
        <w:t>ic</w:t>
      </w:r>
      <w:r w:rsidRPr="00E47A71">
        <w:rPr>
          <w:rFonts w:cs="Arial"/>
          <w:bCs w:val="0"/>
          <w:spacing w:val="1"/>
          <w:szCs w:val="24"/>
          <w:lang w:eastAsia="en-GB"/>
        </w:rPr>
        <w:t>e</w:t>
      </w:r>
      <w:r w:rsidRPr="00E47A71">
        <w:rPr>
          <w:rFonts w:cs="Arial"/>
          <w:bCs w:val="0"/>
          <w:szCs w:val="24"/>
          <w:lang w:eastAsia="en-GB"/>
        </w:rPr>
        <w:t>;</w:t>
      </w:r>
      <w:r w:rsidRPr="00E47A71">
        <w:rPr>
          <w:rFonts w:cs="Arial"/>
          <w:bCs w:val="0"/>
          <w:spacing w:val="-8"/>
          <w:szCs w:val="24"/>
          <w:lang w:eastAsia="en-GB"/>
        </w:rPr>
        <w:t xml:space="preserve"> </w:t>
      </w:r>
      <w:r w:rsidRPr="00E47A71">
        <w:rPr>
          <w:rFonts w:cs="Arial"/>
          <w:bCs w:val="0"/>
          <w:spacing w:val="-1"/>
          <w:szCs w:val="24"/>
          <w:lang w:eastAsia="en-GB"/>
        </w:rPr>
        <w:t>a</w:t>
      </w:r>
      <w:r w:rsidRPr="00E47A71">
        <w:rPr>
          <w:rFonts w:cs="Arial"/>
          <w:bCs w:val="0"/>
          <w:spacing w:val="1"/>
          <w:szCs w:val="24"/>
          <w:lang w:eastAsia="en-GB"/>
        </w:rPr>
        <w:t>n</w:t>
      </w:r>
      <w:r w:rsidRPr="00E47A71">
        <w:rPr>
          <w:rFonts w:cs="Arial"/>
          <w:bCs w:val="0"/>
          <w:szCs w:val="24"/>
          <w:lang w:eastAsia="en-GB"/>
        </w:rPr>
        <w:t>d</w:t>
      </w:r>
    </w:p>
    <w:p w14:paraId="6E9163BD" w14:textId="77777777" w:rsidR="00977693" w:rsidRPr="00CE0885" w:rsidRDefault="00977693" w:rsidP="00E47A71">
      <w:pPr>
        <w:pStyle w:val="Heading4"/>
      </w:pPr>
      <w:bookmarkStart w:id="884" w:name="_Toc440982005"/>
      <w:r w:rsidRPr="00CE0885">
        <w:t xml:space="preserve">in </w:t>
      </w:r>
      <w:r w:rsidRPr="00CE0885">
        <w:rPr>
          <w:spacing w:val="1"/>
        </w:rPr>
        <w:t>th</w:t>
      </w:r>
      <w:r w:rsidRPr="00CE0885">
        <w:t>e</w:t>
      </w:r>
      <w:r w:rsidRPr="00CE0885">
        <w:rPr>
          <w:spacing w:val="-4"/>
        </w:rPr>
        <w:t xml:space="preserve"> </w:t>
      </w:r>
      <w:r w:rsidRPr="00CE0885">
        <w:t>c</w:t>
      </w:r>
      <w:r w:rsidRPr="00CE0885">
        <w:rPr>
          <w:spacing w:val="1"/>
        </w:rPr>
        <w:t>a</w:t>
      </w:r>
      <w:r w:rsidRPr="00CE0885">
        <w:t>se</w:t>
      </w:r>
      <w:r w:rsidRPr="00CE0885">
        <w:rPr>
          <w:spacing w:val="-6"/>
        </w:rPr>
        <w:t xml:space="preserve"> </w:t>
      </w:r>
      <w:r w:rsidRPr="00CE0885">
        <w:rPr>
          <w:spacing w:val="-1"/>
        </w:rPr>
        <w:t>o</w:t>
      </w:r>
      <w:r w:rsidRPr="00CE0885">
        <w:t>f</w:t>
      </w:r>
      <w:r w:rsidRPr="00CE0885">
        <w:rPr>
          <w:spacing w:val="-1"/>
        </w:rPr>
        <w:t xml:space="preserve"> </w:t>
      </w:r>
      <w:r w:rsidRPr="00CE0885">
        <w:t>a</w:t>
      </w:r>
      <w:r w:rsidRPr="00CE0885">
        <w:rPr>
          <w:spacing w:val="1"/>
        </w:rPr>
        <w:t xml:space="preserve"> </w:t>
      </w:r>
      <w:r w:rsidRPr="00CE0885">
        <w:rPr>
          <w:spacing w:val="-2"/>
        </w:rPr>
        <w:t>t</w:t>
      </w:r>
      <w:r w:rsidRPr="00CE0885">
        <w:rPr>
          <w:spacing w:val="1"/>
        </w:rPr>
        <w:t>e</w:t>
      </w:r>
      <w:r w:rsidRPr="00CE0885">
        <w:rPr>
          <w:spacing w:val="-1"/>
        </w:rPr>
        <w:t>m</w:t>
      </w:r>
      <w:r w:rsidRPr="00CE0885">
        <w:rPr>
          <w:spacing w:val="1"/>
        </w:rPr>
        <w:t>po</w:t>
      </w:r>
      <w:r w:rsidRPr="00CE0885">
        <w:rPr>
          <w:spacing w:val="-3"/>
        </w:rPr>
        <w:t>r</w:t>
      </w:r>
      <w:r w:rsidRPr="00CE0885">
        <w:rPr>
          <w:spacing w:val="1"/>
        </w:rPr>
        <w:t>a</w:t>
      </w:r>
      <w:r w:rsidRPr="00CE0885">
        <w:rPr>
          <w:spacing w:val="-1"/>
        </w:rPr>
        <w:t>r</w:t>
      </w:r>
      <w:r w:rsidRPr="00CE0885">
        <w:t>y</w:t>
      </w:r>
      <w:r w:rsidRPr="00CE0885">
        <w:rPr>
          <w:spacing w:val="-13"/>
        </w:rPr>
        <w:t xml:space="preserve"> </w:t>
      </w:r>
      <w:r w:rsidRPr="00CE0885">
        <w:rPr>
          <w:spacing w:val="1"/>
        </w:rPr>
        <w:t>op</w:t>
      </w:r>
      <w:r w:rsidRPr="00CE0885">
        <w:t>t</w:t>
      </w:r>
      <w:r w:rsidRPr="00CE0885">
        <w:rPr>
          <w:spacing w:val="-2"/>
        </w:rPr>
        <w:t xml:space="preserve"> </w:t>
      </w:r>
      <w:r w:rsidRPr="00CE0885">
        <w:rPr>
          <w:spacing w:val="1"/>
        </w:rPr>
        <w:t>ou</w:t>
      </w:r>
      <w:r w:rsidRPr="00CE0885">
        <w:rPr>
          <w:spacing w:val="-2"/>
        </w:rPr>
        <w:t>t</w:t>
      </w:r>
      <w:r w:rsidRPr="00CE0885">
        <w:t>,</w:t>
      </w:r>
      <w:r w:rsidRPr="00CE0885">
        <w:rPr>
          <w:spacing w:val="-3"/>
        </w:rPr>
        <w:t xml:space="preserve"> </w:t>
      </w:r>
      <w:r w:rsidRPr="00CE0885">
        <w:rPr>
          <w:spacing w:val="1"/>
        </w:rPr>
        <w:t>t</w:t>
      </w:r>
      <w:r w:rsidRPr="00CE0885">
        <w:rPr>
          <w:spacing w:val="-1"/>
        </w:rPr>
        <w:t>h</w:t>
      </w:r>
      <w:r w:rsidRPr="00CE0885">
        <w:t>e</w:t>
      </w:r>
      <w:r w:rsidRPr="00CE0885">
        <w:rPr>
          <w:spacing w:val="-1"/>
        </w:rPr>
        <w:t xml:space="preserve"> d</w:t>
      </w:r>
      <w:r w:rsidRPr="00CE0885">
        <w:rPr>
          <w:spacing w:val="1"/>
        </w:rPr>
        <w:t>e</w:t>
      </w:r>
      <w:r w:rsidRPr="00CE0885">
        <w:t>si</w:t>
      </w:r>
      <w:r w:rsidRPr="00CE0885">
        <w:rPr>
          <w:spacing w:val="-1"/>
        </w:rPr>
        <w:t>r</w:t>
      </w:r>
      <w:r w:rsidRPr="00CE0885">
        <w:rPr>
          <w:spacing w:val="1"/>
        </w:rPr>
        <w:t>e</w:t>
      </w:r>
      <w:r w:rsidRPr="00CE0885">
        <w:t xml:space="preserve">d </w:t>
      </w:r>
      <w:r w:rsidRPr="00CE0885">
        <w:rPr>
          <w:spacing w:val="1"/>
        </w:rPr>
        <w:t>du</w:t>
      </w:r>
      <w:r w:rsidRPr="00CE0885">
        <w:rPr>
          <w:spacing w:val="-1"/>
        </w:rPr>
        <w:t>r</w:t>
      </w:r>
      <w:r w:rsidRPr="00CE0885">
        <w:rPr>
          <w:spacing w:val="1"/>
        </w:rPr>
        <w:t>at</w:t>
      </w:r>
      <w:r w:rsidRPr="00CE0885">
        <w:t>i</w:t>
      </w:r>
      <w:r w:rsidRPr="00CE0885">
        <w:rPr>
          <w:spacing w:val="-1"/>
        </w:rPr>
        <w:t>o</w:t>
      </w:r>
      <w:r w:rsidRPr="00CE0885">
        <w:t>n</w:t>
      </w:r>
      <w:r w:rsidRPr="00CE0885">
        <w:rPr>
          <w:spacing w:val="-7"/>
        </w:rPr>
        <w:t xml:space="preserve"> </w:t>
      </w:r>
      <w:r w:rsidRPr="00CE0885">
        <w:rPr>
          <w:spacing w:val="-1"/>
        </w:rPr>
        <w:t>o</w:t>
      </w:r>
      <w:r w:rsidRPr="00CE0885">
        <w:t>f</w:t>
      </w:r>
      <w:r w:rsidRPr="00CE0885">
        <w:rPr>
          <w:spacing w:val="-1"/>
        </w:rPr>
        <w:t xml:space="preserve"> </w:t>
      </w:r>
      <w:r w:rsidRPr="00CE0885">
        <w:rPr>
          <w:spacing w:val="1"/>
        </w:rPr>
        <w:t>t</w:t>
      </w:r>
      <w:r w:rsidRPr="00CE0885">
        <w:rPr>
          <w:spacing w:val="-1"/>
        </w:rPr>
        <w:t>h</w:t>
      </w:r>
      <w:r w:rsidRPr="00CE0885">
        <w:t>e</w:t>
      </w:r>
      <w:r w:rsidRPr="00CE0885">
        <w:rPr>
          <w:spacing w:val="-1"/>
        </w:rPr>
        <w:t xml:space="preserve"> o</w:t>
      </w:r>
      <w:r w:rsidRPr="00CE0885">
        <w:rPr>
          <w:spacing w:val="1"/>
        </w:rPr>
        <w:t>p</w:t>
      </w:r>
      <w:r w:rsidRPr="00CE0885">
        <w:t>t</w:t>
      </w:r>
      <w:r w:rsidRPr="00CE0885">
        <w:rPr>
          <w:spacing w:val="-2"/>
        </w:rPr>
        <w:t xml:space="preserve"> </w:t>
      </w:r>
      <w:r w:rsidRPr="00CE0885">
        <w:rPr>
          <w:spacing w:val="-1"/>
        </w:rPr>
        <w:t>o</w:t>
      </w:r>
      <w:r w:rsidRPr="00CE0885">
        <w:rPr>
          <w:spacing w:val="1"/>
        </w:rPr>
        <w:t>ut</w:t>
      </w:r>
      <w:r w:rsidRPr="00CE0885">
        <w:t>.</w:t>
      </w:r>
      <w:bookmarkEnd w:id="884"/>
    </w:p>
    <w:p w14:paraId="5AAC479D" w14:textId="1C1FBE6E" w:rsidR="00977693" w:rsidRPr="00CE0885" w:rsidRDefault="00977693" w:rsidP="00E47A71">
      <w:pPr>
        <w:pStyle w:val="Heading3"/>
        <w:rPr>
          <w:lang w:eastAsia="en-GB"/>
        </w:rPr>
      </w:pPr>
      <w:bookmarkStart w:id="885" w:name="_Toc440982006"/>
      <w:r w:rsidRPr="00CE0885">
        <w:rPr>
          <w:lang w:eastAsia="en-GB"/>
        </w:rPr>
        <w:t>The Contract Regulations do not allow contractors to temporarily opt out of providing additional services more than twice. W</w:t>
      </w:r>
      <w:r w:rsidRPr="00CE0885">
        <w:rPr>
          <w:spacing w:val="-1"/>
          <w:lang w:eastAsia="en-GB"/>
        </w:rPr>
        <w:t>her</w:t>
      </w:r>
      <w:r w:rsidRPr="00CE0885">
        <w:rPr>
          <w:lang w:eastAsia="en-GB"/>
        </w:rPr>
        <w:t>e</w:t>
      </w:r>
      <w:r w:rsidRPr="00CE0885">
        <w:rPr>
          <w:spacing w:val="-8"/>
          <w:lang w:eastAsia="en-GB"/>
        </w:rPr>
        <w:t xml:space="preserve"> </w:t>
      </w:r>
      <w:r w:rsidRPr="00CE0885">
        <w:rPr>
          <w:lang w:eastAsia="en-GB"/>
        </w:rPr>
        <w:t xml:space="preserve">a </w:t>
      </w:r>
      <w:r w:rsidRPr="00CE0885">
        <w:rPr>
          <w:spacing w:val="-2"/>
          <w:lang w:eastAsia="en-GB"/>
        </w:rPr>
        <w:t>c</w:t>
      </w:r>
      <w:r w:rsidRPr="00CE0885">
        <w:rPr>
          <w:lang w:eastAsia="en-GB"/>
        </w:rPr>
        <w:t>ont</w:t>
      </w:r>
      <w:r w:rsidRPr="00CE0885">
        <w:rPr>
          <w:spacing w:val="-1"/>
          <w:lang w:eastAsia="en-GB"/>
        </w:rPr>
        <w:t>r</w:t>
      </w:r>
      <w:r w:rsidRPr="00CE0885">
        <w:rPr>
          <w:lang w:eastAsia="en-GB"/>
        </w:rPr>
        <w:t>a</w:t>
      </w:r>
      <w:r w:rsidRPr="00CE0885">
        <w:rPr>
          <w:spacing w:val="-2"/>
          <w:lang w:eastAsia="en-GB"/>
        </w:rPr>
        <w:t>c</w:t>
      </w:r>
      <w:r w:rsidRPr="00CE0885">
        <w:rPr>
          <w:lang w:eastAsia="en-GB"/>
        </w:rPr>
        <w:t>tor</w:t>
      </w:r>
      <w:r w:rsidRPr="00CE0885">
        <w:rPr>
          <w:spacing w:val="-11"/>
          <w:lang w:eastAsia="en-GB"/>
        </w:rPr>
        <w:t xml:space="preserve"> </w:t>
      </w:r>
      <w:r w:rsidRPr="00CE0885">
        <w:rPr>
          <w:spacing w:val="-1"/>
          <w:lang w:eastAsia="en-GB"/>
        </w:rPr>
        <w:t>ha</w:t>
      </w:r>
      <w:r w:rsidRPr="00CE0885">
        <w:rPr>
          <w:lang w:eastAsia="en-GB"/>
        </w:rPr>
        <w:t>s</w:t>
      </w:r>
      <w:r w:rsidRPr="00CE0885">
        <w:rPr>
          <w:spacing w:val="-4"/>
          <w:lang w:eastAsia="en-GB"/>
        </w:rPr>
        <w:t xml:space="preserve"> </w:t>
      </w:r>
      <w:r w:rsidRPr="00CE0885">
        <w:rPr>
          <w:spacing w:val="-1"/>
          <w:lang w:eastAsia="en-GB"/>
        </w:rPr>
        <w:t>g</w:t>
      </w:r>
      <w:r w:rsidRPr="00CE0885">
        <w:rPr>
          <w:spacing w:val="2"/>
          <w:lang w:eastAsia="en-GB"/>
        </w:rPr>
        <w:t>i</w:t>
      </w:r>
      <w:r w:rsidRPr="00CE0885">
        <w:rPr>
          <w:spacing w:val="-2"/>
          <w:lang w:eastAsia="en-GB"/>
        </w:rPr>
        <w:t>v</w:t>
      </w:r>
      <w:r w:rsidRPr="00CE0885">
        <w:rPr>
          <w:lang w:eastAsia="en-GB"/>
        </w:rPr>
        <w:t>en</w:t>
      </w:r>
      <w:r w:rsidRPr="00CE0885">
        <w:rPr>
          <w:spacing w:val="-4"/>
          <w:lang w:eastAsia="en-GB"/>
        </w:rPr>
        <w:t xml:space="preserve"> </w:t>
      </w:r>
      <w:r w:rsidRPr="00CE0885">
        <w:rPr>
          <w:lang w:eastAsia="en-GB"/>
        </w:rPr>
        <w:t>t</w:t>
      </w:r>
      <w:r w:rsidRPr="00CE0885">
        <w:rPr>
          <w:spacing w:val="-3"/>
          <w:lang w:eastAsia="en-GB"/>
        </w:rPr>
        <w:t>w</w:t>
      </w:r>
      <w:r w:rsidRPr="00CE0885">
        <w:rPr>
          <w:lang w:eastAsia="en-GB"/>
        </w:rPr>
        <w:t>o</w:t>
      </w:r>
      <w:r w:rsidRPr="00CE0885">
        <w:rPr>
          <w:spacing w:val="-2"/>
          <w:lang w:eastAsia="en-GB"/>
        </w:rPr>
        <w:t xml:space="preserve"> </w:t>
      </w:r>
      <w:r w:rsidRPr="00CE0885">
        <w:rPr>
          <w:lang w:eastAsia="en-GB"/>
        </w:rPr>
        <w:t>p</w:t>
      </w:r>
      <w:r w:rsidRPr="00CE0885">
        <w:rPr>
          <w:spacing w:val="-1"/>
          <w:lang w:eastAsia="en-GB"/>
        </w:rPr>
        <w:t>r</w:t>
      </w:r>
      <w:r w:rsidRPr="00CE0885">
        <w:rPr>
          <w:lang w:eastAsia="en-GB"/>
        </w:rPr>
        <w:t>e</w:t>
      </w:r>
      <w:r w:rsidRPr="00CE0885">
        <w:rPr>
          <w:spacing w:val="-2"/>
          <w:lang w:eastAsia="en-GB"/>
        </w:rPr>
        <w:t>v</w:t>
      </w:r>
      <w:r w:rsidRPr="00CE0885">
        <w:rPr>
          <w:lang w:eastAsia="en-GB"/>
        </w:rPr>
        <w:t>ious</w:t>
      </w:r>
      <w:r w:rsidRPr="00CE0885">
        <w:rPr>
          <w:spacing w:val="-9"/>
          <w:lang w:eastAsia="en-GB"/>
        </w:rPr>
        <w:t xml:space="preserve"> </w:t>
      </w:r>
      <w:r w:rsidRPr="00CE0885">
        <w:rPr>
          <w:lang w:eastAsia="en-GB"/>
        </w:rPr>
        <w:t>t</w:t>
      </w:r>
      <w:r w:rsidRPr="00CE0885">
        <w:rPr>
          <w:spacing w:val="-1"/>
          <w:lang w:eastAsia="en-GB"/>
        </w:rPr>
        <w:t>e</w:t>
      </w:r>
      <w:r w:rsidRPr="00CE0885">
        <w:rPr>
          <w:spacing w:val="2"/>
          <w:lang w:eastAsia="en-GB"/>
        </w:rPr>
        <w:t>m</w:t>
      </w:r>
      <w:r w:rsidRPr="00CE0885">
        <w:rPr>
          <w:lang w:eastAsia="en-GB"/>
        </w:rPr>
        <w:t>po</w:t>
      </w:r>
      <w:r w:rsidRPr="00CE0885">
        <w:rPr>
          <w:spacing w:val="-3"/>
          <w:lang w:eastAsia="en-GB"/>
        </w:rPr>
        <w:t>r</w:t>
      </w:r>
      <w:r w:rsidRPr="00CE0885">
        <w:rPr>
          <w:lang w:eastAsia="en-GB"/>
        </w:rPr>
        <w:t>a</w:t>
      </w:r>
      <w:r w:rsidRPr="00CE0885">
        <w:rPr>
          <w:spacing w:val="-1"/>
          <w:lang w:eastAsia="en-GB"/>
        </w:rPr>
        <w:t>r</w:t>
      </w:r>
      <w:r w:rsidRPr="00CE0885">
        <w:rPr>
          <w:lang w:eastAsia="en-GB"/>
        </w:rPr>
        <w:t>y</w:t>
      </w:r>
      <w:r w:rsidRPr="00CE0885">
        <w:rPr>
          <w:spacing w:val="-13"/>
          <w:lang w:eastAsia="en-GB"/>
        </w:rPr>
        <w:t xml:space="preserve"> </w:t>
      </w:r>
      <w:r w:rsidRPr="00CE0885">
        <w:rPr>
          <w:lang w:eastAsia="en-GB"/>
        </w:rPr>
        <w:t>opt-out</w:t>
      </w:r>
      <w:r w:rsidRPr="00CE0885">
        <w:rPr>
          <w:spacing w:val="-4"/>
          <w:lang w:eastAsia="en-GB"/>
        </w:rPr>
        <w:t xml:space="preserve"> </w:t>
      </w:r>
      <w:r w:rsidRPr="00CE0885">
        <w:rPr>
          <w:lang w:eastAsia="en-GB"/>
        </w:rPr>
        <w:t>notices</w:t>
      </w:r>
      <w:r w:rsidRPr="00CE0885">
        <w:rPr>
          <w:spacing w:val="-10"/>
          <w:lang w:eastAsia="en-GB"/>
        </w:rPr>
        <w:t xml:space="preserve"> </w:t>
      </w:r>
      <w:r w:rsidRPr="00CE0885">
        <w:rPr>
          <w:spacing w:val="-3"/>
          <w:lang w:eastAsia="en-GB"/>
        </w:rPr>
        <w:t>w</w:t>
      </w:r>
      <w:r w:rsidRPr="00CE0885">
        <w:rPr>
          <w:lang w:eastAsia="en-GB"/>
        </w:rPr>
        <w:t>ithin</w:t>
      </w:r>
      <w:r w:rsidRPr="00CE0885">
        <w:rPr>
          <w:spacing w:val="-4"/>
          <w:lang w:eastAsia="en-GB"/>
        </w:rPr>
        <w:t xml:space="preserve"> </w:t>
      </w:r>
      <w:r w:rsidRPr="00CE0885">
        <w:rPr>
          <w:lang w:eastAsia="en-GB"/>
        </w:rPr>
        <w:t>the</w:t>
      </w:r>
      <w:r w:rsidRPr="00CE0885">
        <w:rPr>
          <w:spacing w:val="-4"/>
          <w:lang w:eastAsia="en-GB"/>
        </w:rPr>
        <w:t xml:space="preserve"> </w:t>
      </w:r>
      <w:r w:rsidRPr="00CE0885">
        <w:rPr>
          <w:spacing w:val="-1"/>
          <w:lang w:eastAsia="en-GB"/>
        </w:rPr>
        <w:t>p</w:t>
      </w:r>
      <w:r w:rsidRPr="00CE0885">
        <w:rPr>
          <w:lang w:eastAsia="en-GB"/>
        </w:rPr>
        <w:t>e</w:t>
      </w:r>
      <w:r w:rsidRPr="00CE0885">
        <w:rPr>
          <w:spacing w:val="-1"/>
          <w:lang w:eastAsia="en-GB"/>
        </w:rPr>
        <w:t>r</w:t>
      </w:r>
      <w:r w:rsidRPr="00CE0885">
        <w:rPr>
          <w:lang w:eastAsia="en-GB"/>
        </w:rPr>
        <w:t>iod</w:t>
      </w:r>
      <w:r w:rsidRPr="00CE0885">
        <w:rPr>
          <w:spacing w:val="-5"/>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th</w:t>
      </w:r>
      <w:r w:rsidRPr="00CE0885">
        <w:rPr>
          <w:spacing w:val="-1"/>
          <w:lang w:eastAsia="en-GB"/>
        </w:rPr>
        <w:t>re</w:t>
      </w:r>
      <w:r w:rsidRPr="00CE0885">
        <w:rPr>
          <w:lang w:eastAsia="en-GB"/>
        </w:rPr>
        <w:t>e</w:t>
      </w:r>
      <w:r w:rsidRPr="00CE0885">
        <w:rPr>
          <w:spacing w:val="-3"/>
          <w:lang w:eastAsia="en-GB"/>
        </w:rPr>
        <w:t xml:space="preserve"> </w:t>
      </w:r>
      <w:r w:rsidRPr="00CE0885">
        <w:rPr>
          <w:spacing w:val="-2"/>
          <w:lang w:eastAsia="en-GB"/>
        </w:rPr>
        <w:t>y</w:t>
      </w:r>
      <w:r w:rsidRPr="00CE0885">
        <w:rPr>
          <w:lang w:eastAsia="en-GB"/>
        </w:rPr>
        <w:t>ea</w:t>
      </w:r>
      <w:r w:rsidRPr="00CE0885">
        <w:rPr>
          <w:spacing w:val="-1"/>
          <w:lang w:eastAsia="en-GB"/>
        </w:rPr>
        <w:t>r</w:t>
      </w:r>
      <w:r w:rsidRPr="00CE0885">
        <w:rPr>
          <w:lang w:eastAsia="en-GB"/>
        </w:rPr>
        <w:t>s</w:t>
      </w:r>
      <w:r w:rsidRPr="00CE0885">
        <w:rPr>
          <w:spacing w:val="-6"/>
          <w:lang w:eastAsia="en-GB"/>
        </w:rPr>
        <w:t xml:space="preserve"> </w:t>
      </w:r>
      <w:r w:rsidRPr="00CE0885">
        <w:rPr>
          <w:lang w:eastAsia="en-GB"/>
        </w:rPr>
        <w:t>e</w:t>
      </w:r>
      <w:r w:rsidRPr="00CE0885">
        <w:rPr>
          <w:spacing w:val="-1"/>
          <w:lang w:eastAsia="en-GB"/>
        </w:rPr>
        <w:t>n</w:t>
      </w:r>
      <w:r w:rsidRPr="00CE0885">
        <w:rPr>
          <w:lang w:eastAsia="en-GB"/>
        </w:rPr>
        <w:t>ding</w:t>
      </w:r>
      <w:r w:rsidRPr="00CE0885">
        <w:rPr>
          <w:spacing w:val="-8"/>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the date</w:t>
      </w:r>
      <w:r w:rsidRPr="00CE0885">
        <w:rPr>
          <w:spacing w:val="-6"/>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the</w:t>
      </w:r>
      <w:r w:rsidRPr="00CE0885">
        <w:rPr>
          <w:spacing w:val="-4"/>
          <w:lang w:eastAsia="en-GB"/>
        </w:rPr>
        <w:t xml:space="preserve"> </w:t>
      </w:r>
      <w:r w:rsidRPr="00CE0885">
        <w:rPr>
          <w:lang w:eastAsia="en-GB"/>
        </w:rPr>
        <w:t>se</w:t>
      </w:r>
      <w:r w:rsidRPr="00CE0885">
        <w:rPr>
          <w:spacing w:val="-1"/>
          <w:lang w:eastAsia="en-GB"/>
        </w:rPr>
        <w:t>r</w:t>
      </w:r>
      <w:r w:rsidRPr="00CE0885">
        <w:rPr>
          <w:spacing w:val="-2"/>
          <w:lang w:eastAsia="en-GB"/>
        </w:rPr>
        <w:t>v</w:t>
      </w:r>
      <w:r w:rsidRPr="00CE0885">
        <w:rPr>
          <w:lang w:eastAsia="en-GB"/>
        </w:rPr>
        <w:t>ice</w:t>
      </w:r>
      <w:r w:rsidRPr="00CE0885">
        <w:rPr>
          <w:spacing w:val="-6"/>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w:t>
      </w:r>
      <w:r w:rsidRPr="00CE0885">
        <w:rPr>
          <w:spacing w:val="-1"/>
          <w:lang w:eastAsia="en-GB"/>
        </w:rPr>
        <w:t xml:space="preserve"> </w:t>
      </w:r>
      <w:r w:rsidRPr="00CE0885">
        <w:rPr>
          <w:lang w:eastAsia="en-GB"/>
        </w:rPr>
        <w:t>la</w:t>
      </w:r>
      <w:r w:rsidRPr="00CE0885">
        <w:rPr>
          <w:spacing w:val="-2"/>
          <w:lang w:eastAsia="en-GB"/>
        </w:rPr>
        <w:t>t</w:t>
      </w:r>
      <w:r w:rsidRPr="00CE0885">
        <w:rPr>
          <w:lang w:eastAsia="en-GB"/>
        </w:rPr>
        <w:t>est</w:t>
      </w:r>
      <w:r w:rsidRPr="00CE0885">
        <w:rPr>
          <w:spacing w:val="-7"/>
          <w:lang w:eastAsia="en-GB"/>
        </w:rPr>
        <w:t xml:space="preserve"> </w:t>
      </w:r>
      <w:r w:rsidRPr="00CE0885">
        <w:rPr>
          <w:lang w:eastAsia="en-GB"/>
        </w:rPr>
        <w:t>opt</w:t>
      </w:r>
      <w:r w:rsidRPr="00CE0885">
        <w:rPr>
          <w:spacing w:val="-1"/>
          <w:lang w:eastAsia="en-GB"/>
        </w:rPr>
        <w:t>-o</w:t>
      </w:r>
      <w:r w:rsidRPr="00CE0885">
        <w:rPr>
          <w:lang w:eastAsia="en-GB"/>
        </w:rPr>
        <w:t>ut</w:t>
      </w:r>
      <w:r w:rsidRPr="00CE0885">
        <w:rPr>
          <w:spacing w:val="-6"/>
          <w:lang w:eastAsia="en-GB"/>
        </w:rPr>
        <w:t xml:space="preserve"> </w:t>
      </w:r>
      <w:r w:rsidRPr="00CE0885">
        <w:rPr>
          <w:spacing w:val="-1"/>
          <w:lang w:eastAsia="en-GB"/>
        </w:rPr>
        <w:t>n</w:t>
      </w:r>
      <w:r w:rsidRPr="00CE0885">
        <w:rPr>
          <w:lang w:eastAsia="en-GB"/>
        </w:rPr>
        <w:t>otice</w:t>
      </w:r>
      <w:r w:rsidRPr="00CE0885">
        <w:rPr>
          <w:spacing w:val="-7"/>
          <w:lang w:eastAsia="en-GB"/>
        </w:rPr>
        <w:t xml:space="preserve"> </w:t>
      </w:r>
      <w:r w:rsidRPr="00CE0885">
        <w:rPr>
          <w:spacing w:val="-1"/>
          <w:lang w:eastAsia="en-GB"/>
        </w:rPr>
        <w:t>(</w:t>
      </w:r>
      <w:r w:rsidRPr="00CE0885">
        <w:rPr>
          <w:spacing w:val="-3"/>
          <w:lang w:eastAsia="en-GB"/>
        </w:rPr>
        <w:t>w</w:t>
      </w:r>
      <w:r w:rsidRPr="00CE0885">
        <w:rPr>
          <w:lang w:eastAsia="en-GB"/>
        </w:rPr>
        <w:t>hether</w:t>
      </w:r>
      <w:r w:rsidRPr="00CE0885">
        <w:rPr>
          <w:spacing w:val="-9"/>
          <w:lang w:eastAsia="en-GB"/>
        </w:rPr>
        <w:t xml:space="preserve"> </w:t>
      </w:r>
      <w:r w:rsidRPr="00CE0885">
        <w:rPr>
          <w:lang w:eastAsia="en-GB"/>
        </w:rPr>
        <w:t>or not</w:t>
      </w:r>
      <w:r w:rsidRPr="00CE0885">
        <w:rPr>
          <w:spacing w:val="-2"/>
          <w:lang w:eastAsia="en-GB"/>
        </w:rPr>
        <w:t xml:space="preserve"> t</w:t>
      </w:r>
      <w:r w:rsidRPr="00CE0885">
        <w:rPr>
          <w:lang w:eastAsia="en-GB"/>
        </w:rPr>
        <w:t>he</w:t>
      </w:r>
      <w:r w:rsidRPr="00CE0885">
        <w:rPr>
          <w:spacing w:val="-1"/>
          <w:lang w:eastAsia="en-GB"/>
        </w:rPr>
        <w:t xml:space="preserve"> </w:t>
      </w:r>
      <w:r w:rsidRPr="00CE0885">
        <w:rPr>
          <w:spacing w:val="-2"/>
          <w:lang w:eastAsia="en-GB"/>
        </w:rPr>
        <w:t>s</w:t>
      </w:r>
      <w:r w:rsidRPr="00CE0885">
        <w:rPr>
          <w:lang w:eastAsia="en-GB"/>
        </w:rPr>
        <w:t>a</w:t>
      </w:r>
      <w:r w:rsidRPr="00CE0885">
        <w:rPr>
          <w:spacing w:val="-1"/>
          <w:lang w:eastAsia="en-GB"/>
        </w:rPr>
        <w:t>m</w:t>
      </w:r>
      <w:r w:rsidRPr="00CE0885">
        <w:rPr>
          <w:lang w:eastAsia="en-GB"/>
        </w:rPr>
        <w:t>e</w:t>
      </w:r>
      <w:r w:rsidRPr="00CE0885">
        <w:rPr>
          <w:spacing w:val="-4"/>
          <w:lang w:eastAsia="en-GB"/>
        </w:rPr>
        <w:t xml:space="preserve"> </w:t>
      </w:r>
      <w:r w:rsidRPr="00CE0885">
        <w:rPr>
          <w:spacing w:val="-1"/>
          <w:lang w:eastAsia="en-GB"/>
        </w:rPr>
        <w:t>a</w:t>
      </w:r>
      <w:r w:rsidRPr="00CE0885">
        <w:rPr>
          <w:lang w:eastAsia="en-GB"/>
        </w:rPr>
        <w:t>dditi</w:t>
      </w:r>
      <w:r w:rsidRPr="00CE0885">
        <w:rPr>
          <w:spacing w:val="-1"/>
          <w:lang w:eastAsia="en-GB"/>
        </w:rPr>
        <w:t>o</w:t>
      </w:r>
      <w:r w:rsidRPr="00CE0885">
        <w:rPr>
          <w:lang w:eastAsia="en-GB"/>
        </w:rPr>
        <w:t>n</w:t>
      </w:r>
      <w:r w:rsidRPr="00CE0885">
        <w:rPr>
          <w:spacing w:val="-1"/>
          <w:lang w:eastAsia="en-GB"/>
        </w:rPr>
        <w:t>a</w:t>
      </w:r>
      <w:r w:rsidRPr="00CE0885">
        <w:rPr>
          <w:lang w:eastAsia="en-GB"/>
        </w:rPr>
        <w:t>l</w:t>
      </w:r>
      <w:r w:rsidRPr="00CE0885">
        <w:rPr>
          <w:spacing w:val="-10"/>
          <w:lang w:eastAsia="en-GB"/>
        </w:rPr>
        <w:t xml:space="preserve"> </w:t>
      </w:r>
      <w:r w:rsidRPr="00CE0885">
        <w:rPr>
          <w:lang w:eastAsia="en-GB"/>
        </w:rPr>
        <w:t>se</w:t>
      </w:r>
      <w:r w:rsidRPr="00CE0885">
        <w:rPr>
          <w:spacing w:val="-1"/>
          <w:lang w:eastAsia="en-GB"/>
        </w:rPr>
        <w:t>r</w:t>
      </w:r>
      <w:r w:rsidRPr="00CE0885">
        <w:rPr>
          <w:spacing w:val="-2"/>
          <w:lang w:eastAsia="en-GB"/>
        </w:rPr>
        <w:t>v</w:t>
      </w:r>
      <w:r w:rsidRPr="00CE0885">
        <w:rPr>
          <w:lang w:eastAsia="en-GB"/>
        </w:rPr>
        <w:t>ice</w:t>
      </w:r>
      <w:r w:rsidRPr="00CE0885">
        <w:rPr>
          <w:spacing w:val="-6"/>
          <w:lang w:eastAsia="en-GB"/>
        </w:rPr>
        <w:t xml:space="preserve"> </w:t>
      </w:r>
      <w:r w:rsidRPr="00CE0885">
        <w:rPr>
          <w:lang w:eastAsia="en-GB"/>
        </w:rPr>
        <w:t>is</w:t>
      </w:r>
      <w:r w:rsidRPr="00CE0885">
        <w:rPr>
          <w:spacing w:val="-2"/>
          <w:lang w:eastAsia="en-GB"/>
        </w:rPr>
        <w:t xml:space="preserve"> </w:t>
      </w:r>
      <w:r w:rsidRPr="00CE0885">
        <w:rPr>
          <w:lang w:eastAsia="en-GB"/>
        </w:rPr>
        <w:t>conce</w:t>
      </w:r>
      <w:r w:rsidRPr="00CE0885">
        <w:rPr>
          <w:spacing w:val="-1"/>
          <w:lang w:eastAsia="en-GB"/>
        </w:rPr>
        <w:t>r</w:t>
      </w:r>
      <w:r w:rsidRPr="00CE0885">
        <w:rPr>
          <w:lang w:eastAsia="en-GB"/>
        </w:rPr>
        <w:t>ned</w:t>
      </w:r>
      <w:r w:rsidRPr="00CE0885">
        <w:rPr>
          <w:spacing w:val="-1"/>
          <w:lang w:eastAsia="en-GB"/>
        </w:rPr>
        <w:t>)</w:t>
      </w:r>
      <w:r w:rsidRPr="00CE0885">
        <w:rPr>
          <w:lang w:eastAsia="en-GB"/>
        </w:rPr>
        <w:t>,</w:t>
      </w:r>
      <w:r w:rsidRPr="00CE0885">
        <w:rPr>
          <w:spacing w:val="-14"/>
          <w:lang w:eastAsia="en-GB"/>
        </w:rPr>
        <w:t xml:space="preserve"> </w:t>
      </w:r>
      <w:r w:rsidRPr="00CE0885">
        <w:rPr>
          <w:lang w:eastAsia="en-GB"/>
        </w:rPr>
        <w:t>the</w:t>
      </w:r>
      <w:r w:rsidRPr="00CE0885">
        <w:rPr>
          <w:spacing w:val="-1"/>
          <w:lang w:eastAsia="en-GB"/>
        </w:rPr>
        <w:t xml:space="preserve"> Commissioner must treat the </w:t>
      </w:r>
      <w:r w:rsidRPr="00CE0885">
        <w:rPr>
          <w:spacing w:val="-3"/>
          <w:lang w:eastAsia="en-GB"/>
        </w:rPr>
        <w:t>l</w:t>
      </w:r>
      <w:r w:rsidRPr="00CE0885">
        <w:rPr>
          <w:lang w:eastAsia="en-GB"/>
        </w:rPr>
        <w:t>atest opt</w:t>
      </w:r>
      <w:r w:rsidRPr="00CE0885">
        <w:rPr>
          <w:spacing w:val="-1"/>
          <w:lang w:eastAsia="en-GB"/>
        </w:rPr>
        <w:t>-</w:t>
      </w:r>
      <w:r w:rsidRPr="00CE0885">
        <w:rPr>
          <w:lang w:eastAsia="en-GB"/>
        </w:rPr>
        <w:t>o</w:t>
      </w:r>
      <w:r w:rsidRPr="00CE0885">
        <w:rPr>
          <w:spacing w:val="-1"/>
          <w:lang w:eastAsia="en-GB"/>
        </w:rPr>
        <w:t>u</w:t>
      </w:r>
      <w:r w:rsidRPr="00CE0885">
        <w:rPr>
          <w:lang w:eastAsia="en-GB"/>
        </w:rPr>
        <w:t>t</w:t>
      </w:r>
      <w:r w:rsidRPr="00CE0885">
        <w:rPr>
          <w:spacing w:val="-6"/>
          <w:lang w:eastAsia="en-GB"/>
        </w:rPr>
        <w:t xml:space="preserve"> </w:t>
      </w:r>
      <w:r w:rsidRPr="00CE0885">
        <w:rPr>
          <w:spacing w:val="-1"/>
          <w:lang w:eastAsia="en-GB"/>
        </w:rPr>
        <w:t>n</w:t>
      </w:r>
      <w:r w:rsidRPr="00CE0885">
        <w:rPr>
          <w:lang w:eastAsia="en-GB"/>
        </w:rPr>
        <w:t>otice</w:t>
      </w:r>
      <w:r w:rsidRPr="00CE0885">
        <w:rPr>
          <w:spacing w:val="-4"/>
          <w:lang w:eastAsia="en-GB"/>
        </w:rPr>
        <w:t xml:space="preserve"> as</w:t>
      </w:r>
      <w:r w:rsidRPr="00CE0885">
        <w:rPr>
          <w:spacing w:val="-5"/>
          <w:lang w:eastAsia="en-GB"/>
        </w:rPr>
        <w:t xml:space="preserve"> a </w:t>
      </w:r>
      <w:r w:rsidRPr="00CE0885">
        <w:rPr>
          <w:lang w:eastAsia="en-GB"/>
        </w:rPr>
        <w:t>pe</w:t>
      </w:r>
      <w:r w:rsidRPr="00CE0885">
        <w:rPr>
          <w:spacing w:val="-3"/>
          <w:lang w:eastAsia="en-GB"/>
        </w:rPr>
        <w:t>r</w:t>
      </w:r>
      <w:r w:rsidRPr="00CE0885">
        <w:rPr>
          <w:spacing w:val="2"/>
          <w:lang w:eastAsia="en-GB"/>
        </w:rPr>
        <w:t>m</w:t>
      </w:r>
      <w:r w:rsidRPr="00CE0885">
        <w:rPr>
          <w:lang w:eastAsia="en-GB"/>
        </w:rPr>
        <w:t>a</w:t>
      </w:r>
      <w:r w:rsidRPr="00CE0885">
        <w:rPr>
          <w:spacing w:val="-1"/>
          <w:lang w:eastAsia="en-GB"/>
        </w:rPr>
        <w:t>n</w:t>
      </w:r>
      <w:r w:rsidRPr="00CE0885">
        <w:rPr>
          <w:lang w:eastAsia="en-GB"/>
        </w:rPr>
        <w:t>ent opt out</w:t>
      </w:r>
      <w:r w:rsidRPr="00CE0885">
        <w:rPr>
          <w:spacing w:val="-12"/>
          <w:lang w:eastAsia="en-GB"/>
        </w:rPr>
        <w:t xml:space="preserve"> </w:t>
      </w:r>
      <w:r w:rsidRPr="00CE0885">
        <w:rPr>
          <w:spacing w:val="-1"/>
          <w:lang w:eastAsia="en-GB"/>
        </w:rPr>
        <w:t>(</w:t>
      </w:r>
      <w:r w:rsidRPr="00CE0885">
        <w:rPr>
          <w:lang w:eastAsia="en-GB"/>
        </w:rPr>
        <w:t>e</w:t>
      </w:r>
      <w:r w:rsidRPr="00CE0885">
        <w:rPr>
          <w:spacing w:val="-2"/>
          <w:lang w:eastAsia="en-GB"/>
        </w:rPr>
        <w:t>v</w:t>
      </w:r>
      <w:r w:rsidRPr="00CE0885">
        <w:rPr>
          <w:lang w:eastAsia="en-GB"/>
        </w:rPr>
        <w:t>en</w:t>
      </w:r>
      <w:r w:rsidRPr="00CE0885">
        <w:rPr>
          <w:spacing w:val="-4"/>
          <w:lang w:eastAsia="en-GB"/>
        </w:rPr>
        <w:t xml:space="preserve"> </w:t>
      </w:r>
      <w:r w:rsidRPr="00CE0885">
        <w:rPr>
          <w:lang w:eastAsia="en-GB"/>
        </w:rPr>
        <w:t>if t</w:t>
      </w:r>
      <w:r w:rsidRPr="00CE0885">
        <w:rPr>
          <w:spacing w:val="-1"/>
          <w:lang w:eastAsia="en-GB"/>
        </w:rPr>
        <w:t>h</w:t>
      </w:r>
      <w:r w:rsidRPr="00CE0885">
        <w:rPr>
          <w:lang w:eastAsia="en-GB"/>
        </w:rPr>
        <w:t>e notice</w:t>
      </w:r>
      <w:r w:rsidRPr="00CE0885">
        <w:rPr>
          <w:spacing w:val="-4"/>
          <w:lang w:eastAsia="en-GB"/>
        </w:rPr>
        <w:t xml:space="preserve"> </w:t>
      </w:r>
      <w:r w:rsidRPr="00CE0885">
        <w:rPr>
          <w:spacing w:val="-2"/>
          <w:lang w:eastAsia="en-GB"/>
        </w:rPr>
        <w:t>s</w:t>
      </w:r>
      <w:r w:rsidRPr="00CE0885">
        <w:rPr>
          <w:lang w:eastAsia="en-GB"/>
        </w:rPr>
        <w:t>a</w:t>
      </w:r>
      <w:r w:rsidRPr="00CE0885">
        <w:rPr>
          <w:spacing w:val="-2"/>
          <w:lang w:eastAsia="en-GB"/>
        </w:rPr>
        <w:t>y</w:t>
      </w:r>
      <w:r w:rsidRPr="00CE0885">
        <w:rPr>
          <w:lang w:eastAsia="en-GB"/>
        </w:rPr>
        <w:t>s</w:t>
      </w:r>
      <w:r w:rsidRPr="00CE0885">
        <w:rPr>
          <w:spacing w:val="-5"/>
          <w:lang w:eastAsia="en-GB"/>
        </w:rPr>
        <w:t xml:space="preserve"> </w:t>
      </w:r>
      <w:r w:rsidRPr="00CE0885">
        <w:rPr>
          <w:lang w:eastAsia="en-GB"/>
        </w:rPr>
        <w:t>that</w:t>
      </w:r>
      <w:r w:rsidRPr="00CE0885">
        <w:rPr>
          <w:spacing w:val="-3"/>
          <w:lang w:eastAsia="en-GB"/>
        </w:rPr>
        <w:t xml:space="preserve"> </w:t>
      </w:r>
      <w:r w:rsidRPr="00CE0885">
        <w:rPr>
          <w:lang w:eastAsia="en-GB"/>
        </w:rPr>
        <w:t>it</w:t>
      </w:r>
      <w:r w:rsidRPr="00CE0885">
        <w:rPr>
          <w:spacing w:val="-2"/>
          <w:lang w:eastAsia="en-GB"/>
        </w:rPr>
        <w:t xml:space="preserve"> </w:t>
      </w:r>
      <w:r w:rsidRPr="00CE0885">
        <w:rPr>
          <w:spacing w:val="-3"/>
          <w:lang w:eastAsia="en-GB"/>
        </w:rPr>
        <w:t>w</w:t>
      </w:r>
      <w:r w:rsidRPr="00CE0885">
        <w:rPr>
          <w:lang w:eastAsia="en-GB"/>
        </w:rPr>
        <w:t>is</w:t>
      </w:r>
      <w:r w:rsidRPr="00CE0885">
        <w:rPr>
          <w:spacing w:val="3"/>
          <w:lang w:eastAsia="en-GB"/>
        </w:rPr>
        <w:t>h</w:t>
      </w:r>
      <w:r w:rsidRPr="00CE0885">
        <w:rPr>
          <w:lang w:eastAsia="en-GB"/>
        </w:rPr>
        <w:t>es</w:t>
      </w:r>
      <w:r w:rsidRPr="00CE0885">
        <w:rPr>
          <w:spacing w:val="-7"/>
          <w:lang w:eastAsia="en-GB"/>
        </w:rPr>
        <w:t xml:space="preserve"> </w:t>
      </w:r>
      <w:r w:rsidRPr="00CE0885">
        <w:rPr>
          <w:lang w:eastAsia="en-GB"/>
        </w:rPr>
        <w:t>to</w:t>
      </w:r>
      <w:r w:rsidRPr="00CE0885">
        <w:rPr>
          <w:spacing w:val="-3"/>
          <w:lang w:eastAsia="en-GB"/>
        </w:rPr>
        <w:t xml:space="preserve"> </w:t>
      </w:r>
      <w:r w:rsidRPr="00CE0885">
        <w:rPr>
          <w:lang w:eastAsia="en-GB"/>
        </w:rPr>
        <w:t>t</w:t>
      </w:r>
      <w:r w:rsidRPr="00CE0885">
        <w:rPr>
          <w:spacing w:val="-1"/>
          <w:lang w:eastAsia="en-GB"/>
        </w:rPr>
        <w:t>e</w:t>
      </w:r>
      <w:r w:rsidRPr="00CE0885">
        <w:rPr>
          <w:spacing w:val="2"/>
          <w:lang w:eastAsia="en-GB"/>
        </w:rPr>
        <w:t>m</w:t>
      </w:r>
      <w:r w:rsidRPr="00CE0885">
        <w:rPr>
          <w:lang w:eastAsia="en-GB"/>
        </w:rPr>
        <w:t>po</w:t>
      </w:r>
      <w:r w:rsidRPr="00CE0885">
        <w:rPr>
          <w:spacing w:val="-3"/>
          <w:lang w:eastAsia="en-GB"/>
        </w:rPr>
        <w:t>r</w:t>
      </w:r>
      <w:r w:rsidRPr="00CE0885">
        <w:rPr>
          <w:lang w:eastAsia="en-GB"/>
        </w:rPr>
        <w:t>a</w:t>
      </w:r>
      <w:r w:rsidRPr="00CE0885">
        <w:rPr>
          <w:spacing w:val="-1"/>
          <w:lang w:eastAsia="en-GB"/>
        </w:rPr>
        <w:t>r</w:t>
      </w:r>
      <w:r w:rsidRPr="00CE0885">
        <w:rPr>
          <w:lang w:eastAsia="en-GB"/>
        </w:rPr>
        <w:t>ily</w:t>
      </w:r>
      <w:r w:rsidRPr="00CE0885">
        <w:rPr>
          <w:spacing w:val="-14"/>
          <w:lang w:eastAsia="en-GB"/>
        </w:rPr>
        <w:t xml:space="preserve"> </w:t>
      </w:r>
      <w:r w:rsidRPr="00CE0885">
        <w:rPr>
          <w:lang w:eastAsia="en-GB"/>
        </w:rPr>
        <w:t>opt</w:t>
      </w:r>
      <w:r w:rsidRPr="00CE0885">
        <w:rPr>
          <w:spacing w:val="-2"/>
          <w:lang w:eastAsia="en-GB"/>
        </w:rPr>
        <w:t xml:space="preserve"> </w:t>
      </w:r>
      <w:r w:rsidRPr="00CE0885">
        <w:rPr>
          <w:spacing w:val="-1"/>
          <w:lang w:eastAsia="en-GB"/>
        </w:rPr>
        <w:t>o</w:t>
      </w:r>
      <w:r w:rsidRPr="00CE0885">
        <w:rPr>
          <w:lang w:eastAsia="en-GB"/>
        </w:rPr>
        <w:t>ut</w:t>
      </w:r>
      <w:r w:rsidRPr="00CE0885">
        <w:rPr>
          <w:spacing w:val="-1"/>
          <w:lang w:eastAsia="en-GB"/>
        </w:rPr>
        <w:t>)</w:t>
      </w:r>
      <w:r w:rsidRPr="00CE0885">
        <w:rPr>
          <w:lang w:eastAsia="en-GB"/>
        </w:rPr>
        <w:t>.</w:t>
      </w:r>
      <w:bookmarkEnd w:id="885"/>
    </w:p>
    <w:p w14:paraId="1E4438EA" w14:textId="77777777" w:rsidR="00977693" w:rsidRPr="00CE0885" w:rsidRDefault="00977693" w:rsidP="003331F2">
      <w:pPr>
        <w:pStyle w:val="BodyText"/>
      </w:pPr>
    </w:p>
    <w:p w14:paraId="3A482B8B" w14:textId="77777777" w:rsidR="00977693" w:rsidRPr="00B30FA5" w:rsidRDefault="00977693" w:rsidP="00B30FA5">
      <w:pPr>
        <w:pStyle w:val="BodyText"/>
        <w:rPr>
          <w:b/>
          <w:sz w:val="24"/>
          <w:szCs w:val="24"/>
        </w:rPr>
      </w:pPr>
      <w:bookmarkStart w:id="886" w:name="_Toc440982007"/>
      <w:r w:rsidRPr="00B30FA5">
        <w:rPr>
          <w:b/>
          <w:sz w:val="24"/>
          <w:szCs w:val="24"/>
        </w:rPr>
        <w:t>Temporary opt out of additional services</w:t>
      </w:r>
      <w:bookmarkEnd w:id="886"/>
    </w:p>
    <w:p w14:paraId="62ECF1A7" w14:textId="77777777" w:rsidR="00E47A71" w:rsidRPr="00CE0885" w:rsidRDefault="00E47A71" w:rsidP="003331F2">
      <w:pPr>
        <w:pStyle w:val="BodyText"/>
      </w:pPr>
    </w:p>
    <w:p w14:paraId="7DBB58B9" w14:textId="77777777" w:rsidR="00977693" w:rsidRPr="00CE0885" w:rsidRDefault="00977693" w:rsidP="00E47A71">
      <w:pPr>
        <w:pStyle w:val="Heading3"/>
        <w:rPr>
          <w:lang w:eastAsia="en-GB"/>
        </w:rPr>
      </w:pPr>
      <w:bookmarkStart w:id="887" w:name="_Toc440982008"/>
      <w:r w:rsidRPr="00CE0885">
        <w:rPr>
          <w:lang w:eastAsia="en-GB"/>
        </w:rPr>
        <w:t>Where the contractor has provided a temporary opt-out notice, the Commissioner must follow the process below:</w:t>
      </w:r>
      <w:bookmarkEnd w:id="887"/>
    </w:p>
    <w:p w14:paraId="17479A42" w14:textId="6B939E2A" w:rsidR="00977693" w:rsidRPr="00CE0885" w:rsidRDefault="00977693" w:rsidP="00E47A71">
      <w:pPr>
        <w:pStyle w:val="Heading4"/>
      </w:pPr>
      <w:bookmarkStart w:id="888" w:name="_Toc440982009"/>
      <w:r w:rsidRPr="00CE0885">
        <w:t>The Commissioner must, as soon as is reasonably practicable and in any event within the period of seven days beginning with the date of receipt of a temporary opt-out notice, either:</w:t>
      </w:r>
      <w:bookmarkEnd w:id="888"/>
    </w:p>
    <w:p w14:paraId="30F5A2EE" w14:textId="77777777" w:rsidR="00977693" w:rsidRPr="00E47A71" w:rsidRDefault="00977693" w:rsidP="006C3DF5">
      <w:pPr>
        <w:pStyle w:val="ListParagraph"/>
        <w:widowControl w:val="0"/>
        <w:numPr>
          <w:ilvl w:val="0"/>
          <w:numId w:val="86"/>
        </w:numPr>
        <w:tabs>
          <w:tab w:val="left" w:pos="3686"/>
        </w:tabs>
        <w:spacing w:line="360" w:lineRule="auto"/>
        <w:jc w:val="both"/>
        <w:outlineLvl w:val="3"/>
        <w:rPr>
          <w:rFonts w:cs="Arial"/>
          <w:bCs w:val="0"/>
          <w:szCs w:val="24"/>
          <w:lang w:eastAsia="en-GB"/>
        </w:rPr>
      </w:pPr>
      <w:r w:rsidRPr="00E47A71">
        <w:rPr>
          <w:rFonts w:cs="Arial"/>
          <w:bCs w:val="0"/>
          <w:szCs w:val="24"/>
          <w:lang w:eastAsia="en-GB"/>
        </w:rPr>
        <w:t>approve the opt-out notice and specify both the date on which the temporary opt out is to commence (which wherever reasonably practicable must be the date requested by the contractor in its opt out notice) and the date that it is to come to an end (“the end date”); or</w:t>
      </w:r>
    </w:p>
    <w:p w14:paraId="5A784CD7" w14:textId="77777777" w:rsidR="00977693" w:rsidRPr="00E47A71" w:rsidRDefault="00977693" w:rsidP="006C3DF5">
      <w:pPr>
        <w:pStyle w:val="ListParagraph"/>
        <w:widowControl w:val="0"/>
        <w:numPr>
          <w:ilvl w:val="0"/>
          <w:numId w:val="86"/>
        </w:numPr>
        <w:tabs>
          <w:tab w:val="left" w:pos="3686"/>
        </w:tabs>
        <w:spacing w:line="360" w:lineRule="auto"/>
        <w:jc w:val="both"/>
        <w:outlineLvl w:val="3"/>
        <w:rPr>
          <w:rFonts w:cs="Arial"/>
          <w:bCs w:val="0"/>
          <w:szCs w:val="24"/>
          <w:lang w:eastAsia="en-GB"/>
        </w:rPr>
      </w:pPr>
      <w:r w:rsidRPr="00E47A71">
        <w:rPr>
          <w:rFonts w:cs="Arial"/>
          <w:bCs w:val="0"/>
          <w:szCs w:val="24"/>
          <w:lang w:eastAsia="en-GB"/>
        </w:rPr>
        <w:t>reject the opt-out notice on the ground that the contractor:</w:t>
      </w:r>
    </w:p>
    <w:p w14:paraId="5428BFC7" w14:textId="77777777" w:rsidR="00977693" w:rsidRPr="00E47A71" w:rsidRDefault="00977693" w:rsidP="006C3DF5">
      <w:pPr>
        <w:pStyle w:val="ListParagraph"/>
        <w:widowControl w:val="0"/>
        <w:numPr>
          <w:ilvl w:val="1"/>
          <w:numId w:val="86"/>
        </w:numPr>
        <w:tabs>
          <w:tab w:val="left" w:pos="5103"/>
        </w:tabs>
        <w:spacing w:line="360" w:lineRule="auto"/>
        <w:jc w:val="both"/>
        <w:outlineLvl w:val="4"/>
        <w:rPr>
          <w:rFonts w:cs="Arial"/>
          <w:bCs w:val="0"/>
          <w:szCs w:val="24"/>
          <w:lang w:eastAsia="en-GB"/>
        </w:rPr>
      </w:pPr>
      <w:r w:rsidRPr="00E47A71">
        <w:rPr>
          <w:rFonts w:cs="Arial"/>
          <w:bCs w:val="0"/>
          <w:szCs w:val="24"/>
          <w:lang w:eastAsia="en-GB"/>
        </w:rPr>
        <w:t>is providing additional services to patients other than its own registered patients or enhanced services, or</w:t>
      </w:r>
    </w:p>
    <w:p w14:paraId="3A520FCF" w14:textId="77777777" w:rsidR="00977693" w:rsidRPr="00E47A71" w:rsidRDefault="00977693" w:rsidP="006C3DF5">
      <w:pPr>
        <w:pStyle w:val="ListParagraph"/>
        <w:widowControl w:val="0"/>
        <w:numPr>
          <w:ilvl w:val="1"/>
          <w:numId w:val="86"/>
        </w:numPr>
        <w:tabs>
          <w:tab w:val="left" w:pos="5103"/>
        </w:tabs>
        <w:spacing w:line="360" w:lineRule="auto"/>
        <w:jc w:val="both"/>
        <w:outlineLvl w:val="4"/>
        <w:rPr>
          <w:rFonts w:cs="Arial"/>
          <w:bCs w:val="0"/>
          <w:szCs w:val="24"/>
          <w:lang w:eastAsia="en-GB"/>
        </w:rPr>
      </w:pPr>
      <w:r w:rsidRPr="00E47A71">
        <w:rPr>
          <w:rFonts w:cs="Arial"/>
          <w:bCs w:val="0"/>
          <w:szCs w:val="24"/>
          <w:lang w:eastAsia="en-GB"/>
        </w:rPr>
        <w:t>has no reasonable need temporarily to opt out having regard to its ability to deliver the additional service;</w:t>
      </w:r>
    </w:p>
    <w:p w14:paraId="79353BDB" w14:textId="77777777" w:rsidR="00977693" w:rsidRPr="00CE0885" w:rsidRDefault="00977693" w:rsidP="00E47A71">
      <w:pPr>
        <w:pStyle w:val="Heading4"/>
      </w:pPr>
      <w:bookmarkStart w:id="889" w:name="_Toc440982010"/>
      <w:r w:rsidRPr="00CE0885">
        <w:t>The Commissioner must notify the contractor whether it has approved or rejected the opt-out notice as soon as possible, including reasons for its decision (Annex 7B).</w:t>
      </w:r>
      <w:bookmarkEnd w:id="889"/>
    </w:p>
    <w:p w14:paraId="0A464197" w14:textId="3CB6DC8A" w:rsidR="00977693" w:rsidRPr="00CE0885" w:rsidRDefault="00977693" w:rsidP="00E47A71">
      <w:pPr>
        <w:pStyle w:val="Heading3"/>
        <w:rPr>
          <w:lang w:eastAsia="en-GB"/>
        </w:rPr>
      </w:pPr>
      <w:bookmarkStart w:id="890" w:name="_Toc440982011"/>
      <w:r w:rsidRPr="00CE0885">
        <w:rPr>
          <w:lang w:eastAsia="en-GB"/>
        </w:rPr>
        <w:t>The Commissioner or the contractor may have concerns about the ability of the contractor to provide the services at the end of the temporary opt out. If the Commissioner considers that the contractor will be unable to satisfactorily provide the additional service at the end of the temporary opt out, the Commissioner can agree with the contractor to extend the end date. If such extension is not possible, the Commissioner may notify the contractor in writing at least 28 days before the end date that a permanent opt out shall immediately follow the temporary opt out. Similarly, a contractor who has temporarily opted out may, at least three months prior to the end date, notify the Commissioner in writing that it wishes to permanently opt out of the additional service in question.</w:t>
      </w:r>
      <w:bookmarkEnd w:id="890"/>
    </w:p>
    <w:p w14:paraId="444EE93D" w14:textId="77777777" w:rsidR="00977693" w:rsidRPr="00CE0885" w:rsidRDefault="00977693" w:rsidP="003331F2">
      <w:pPr>
        <w:pStyle w:val="BodyText"/>
      </w:pPr>
    </w:p>
    <w:p w14:paraId="2256A985" w14:textId="77777777" w:rsidR="00977693" w:rsidRPr="00B30FA5" w:rsidRDefault="00977693" w:rsidP="00B30FA5">
      <w:pPr>
        <w:pStyle w:val="BodyText"/>
        <w:rPr>
          <w:b/>
          <w:sz w:val="24"/>
          <w:szCs w:val="24"/>
        </w:rPr>
      </w:pPr>
      <w:bookmarkStart w:id="891" w:name="_Toc440982012"/>
      <w:r w:rsidRPr="00B30FA5">
        <w:rPr>
          <w:b/>
          <w:sz w:val="24"/>
          <w:szCs w:val="24"/>
        </w:rPr>
        <w:t>Permanent opt out of additional services</w:t>
      </w:r>
      <w:bookmarkEnd w:id="891"/>
    </w:p>
    <w:p w14:paraId="3BA5CE6D" w14:textId="77777777" w:rsidR="00E47A71" w:rsidRPr="00CE0885" w:rsidRDefault="00E47A71" w:rsidP="003331F2">
      <w:pPr>
        <w:pStyle w:val="BodyText"/>
      </w:pPr>
    </w:p>
    <w:p w14:paraId="71B21D6B" w14:textId="77777777" w:rsidR="00977693" w:rsidRPr="00CE0885" w:rsidRDefault="00977693" w:rsidP="00E47A71">
      <w:pPr>
        <w:pStyle w:val="Heading3"/>
        <w:rPr>
          <w:lang w:eastAsia="en-GB"/>
        </w:rPr>
      </w:pPr>
      <w:bookmarkStart w:id="892" w:name="_Toc440982013"/>
      <w:r w:rsidRPr="00CE0885">
        <w:rPr>
          <w:lang w:eastAsia="en-GB"/>
        </w:rPr>
        <w:t>Where the contractor has provided a permanent opt-out notice, the Commissioner must approve or reject it. The Commissioner must do so as soon as is reasonably practicable and in any event within the period of 28 days beginning with the date of receipt of a permanent opt-out notice. The only ground on which the Commissioner may reject the notice is that the contractor is providing an additional service to patients other than its registered patients or enhanced services. The Commissioner must notify the contractor of its decision as soon as possible, including reasons for its decision where its decision is to reject the opt-out notice.</w:t>
      </w:r>
      <w:bookmarkEnd w:id="892"/>
    </w:p>
    <w:p w14:paraId="591F845C" w14:textId="24C92530" w:rsidR="00977693" w:rsidRPr="00CE0885" w:rsidRDefault="00977693" w:rsidP="00E47A71">
      <w:pPr>
        <w:pStyle w:val="Heading3"/>
        <w:rPr>
          <w:b/>
          <w:lang w:eastAsia="en-GB"/>
        </w:rPr>
      </w:pPr>
      <w:bookmarkStart w:id="893" w:name="_Toc440982014"/>
      <w:r w:rsidRPr="00CE0885">
        <w:rPr>
          <w:lang w:eastAsia="en-GB"/>
        </w:rPr>
        <w:t>If, after the Commissioner approves a permanent opt-out, the contractor wishes to withdraw the notice, it can only do so if the Commissioner agrees. This is because after approving the opt-out, the Commissioner must use reasonable to make arrangements for the contractor's registered patients to receive the additional service from an alternative provider.</w:t>
      </w:r>
      <w:bookmarkEnd w:id="893"/>
    </w:p>
    <w:p w14:paraId="2925AC3E" w14:textId="1574A162" w:rsidR="00977693" w:rsidRPr="00CE0885" w:rsidRDefault="00977693" w:rsidP="00E47A71">
      <w:pPr>
        <w:pStyle w:val="Heading3"/>
        <w:rPr>
          <w:b/>
          <w:lang w:eastAsia="en-GB"/>
        </w:rPr>
      </w:pPr>
      <w:bookmarkStart w:id="894" w:name="_Ref410639529"/>
      <w:bookmarkStart w:id="895" w:name="_Toc440982015"/>
      <w:r w:rsidRPr="00CE0885">
        <w:rPr>
          <w:lang w:eastAsia="en-GB"/>
        </w:rPr>
        <w:t>It may be difficult for the Commissioner to find an alternative provider to deliver the service from the date on which the contractor proposed to opt out. Where this is the case, the Commissioner must notify the contractor one month before the proposed opt out date requiring the contractor to continue to provide the services for a certain period of time as set out below.</w:t>
      </w:r>
      <w:bookmarkEnd w:id="894"/>
      <w:bookmarkEnd w:id="895"/>
      <w:r w:rsidRPr="00CE0885">
        <w:rPr>
          <w:lang w:eastAsia="en-GB"/>
        </w:rPr>
        <w:t xml:space="preserve"> </w:t>
      </w:r>
    </w:p>
    <w:p w14:paraId="254D92CD" w14:textId="174468E3" w:rsidR="00977693" w:rsidRPr="00CE0885" w:rsidRDefault="00977693" w:rsidP="00E47A71">
      <w:pPr>
        <w:pStyle w:val="Heading3"/>
        <w:rPr>
          <w:lang w:eastAsia="en-GB"/>
        </w:rPr>
      </w:pPr>
      <w:bookmarkStart w:id="896" w:name="_Toc440982016"/>
      <w:r w:rsidRPr="00CE0885">
        <w:rPr>
          <w:lang w:eastAsia="en-GB"/>
        </w:rPr>
        <w:t xml:space="preserve">Where the proposed opt out date is three months after service of the opt-out notice (if six months, see paragraph </w:t>
      </w:r>
      <w:r w:rsidRPr="00CE0885">
        <w:rPr>
          <w:lang w:eastAsia="en-GB"/>
        </w:rPr>
        <w:fldChar w:fldCharType="begin"/>
      </w:r>
      <w:r w:rsidRPr="00CE0885">
        <w:rPr>
          <w:lang w:eastAsia="en-GB"/>
        </w:rPr>
        <w:instrText xml:space="preserve"> REF _Ref410638613 \r \h  \* MERGEFORMAT </w:instrText>
      </w:r>
      <w:r w:rsidRPr="00CE0885">
        <w:rPr>
          <w:lang w:eastAsia="en-GB"/>
        </w:rPr>
      </w:r>
      <w:r w:rsidRPr="00CE0885">
        <w:rPr>
          <w:lang w:eastAsia="en-GB"/>
        </w:rPr>
        <w:fldChar w:fldCharType="separate"/>
      </w:r>
      <w:r w:rsidR="00054166">
        <w:rPr>
          <w:lang w:eastAsia="en-GB"/>
        </w:rPr>
        <w:t>7.16.20</w:t>
      </w:r>
      <w:r w:rsidRPr="00CE0885">
        <w:rPr>
          <w:lang w:eastAsia="en-GB"/>
        </w:rPr>
        <w:fldChar w:fldCharType="end"/>
      </w:r>
      <w:r w:rsidRPr="00CE0885">
        <w:rPr>
          <w:lang w:eastAsia="en-GB"/>
        </w:rPr>
        <w:t>), the contractor shall continue to provide the additional service until the day six months after the service of the opt-out notice. If, during this period, the Commissioner, despite using its reasonable endeavours, is still unable to find an alternative provider, it can provide a further notice to the contractor requiring the contractor to provide the additional service until the day nine months after the date of service of the permanent opt-out notice.</w:t>
      </w:r>
      <w:bookmarkEnd w:id="896"/>
    </w:p>
    <w:p w14:paraId="2C0598DE" w14:textId="19A52DDF" w:rsidR="00977693" w:rsidRPr="00CE0885" w:rsidRDefault="00977693" w:rsidP="00E47A71">
      <w:pPr>
        <w:pStyle w:val="Heading3"/>
        <w:rPr>
          <w:lang w:eastAsia="en-GB"/>
        </w:rPr>
      </w:pPr>
      <w:bookmarkStart w:id="897" w:name="_Toc440982017"/>
      <w:r w:rsidRPr="00CE0885">
        <w:rPr>
          <w:lang w:eastAsia="en-GB"/>
        </w:rPr>
        <w:t>The contractor may find it difficult to continue providing the services for a further nine months. Therefore, as soon as is reasonably practicable and in any event within seven days of the Commissioner serving a further notice to the contractor to continue providing the service until nine months after the date of service of the permanent opt-out notice, the Commissioner must enter into discussions with the contractor. These discussions must consider what support the Commissioner may give to the contractor or other changes which either party may make in relation to the provision of the additional service until the actual opt out date. The requirement to enter into discussions only arises where the Commissioner requires the contractor to provide the services until the date nine months after service of the opt out notice. It does not apply where the Commissioner requires the contractor to provide the services until the day six months after service of the opt-out notice.</w:t>
      </w:r>
      <w:bookmarkEnd w:id="897"/>
      <w:r w:rsidRPr="00CE0885">
        <w:rPr>
          <w:lang w:eastAsia="en-GB"/>
        </w:rPr>
        <w:t xml:space="preserve"> </w:t>
      </w:r>
    </w:p>
    <w:p w14:paraId="6DC640AE" w14:textId="532C0C0E" w:rsidR="00977693" w:rsidRDefault="00977693" w:rsidP="00E47A71">
      <w:pPr>
        <w:pStyle w:val="Heading3"/>
        <w:rPr>
          <w:lang w:eastAsia="en-GB"/>
        </w:rPr>
      </w:pPr>
      <w:bookmarkStart w:id="898" w:name="_Ref410638613"/>
      <w:bookmarkStart w:id="899" w:name="_Toc440982018"/>
      <w:r w:rsidRPr="00CE0885">
        <w:rPr>
          <w:lang w:eastAsia="en-GB"/>
        </w:rPr>
        <w:t>Where the proposed opt out date is six months after service of the opt-out notice, the contractor shall continue to provide the additional service until the day nine months after the service of the opt-out notice</w:t>
      </w:r>
      <w:bookmarkEnd w:id="898"/>
      <w:r w:rsidRPr="00CE0885">
        <w:rPr>
          <w:lang w:eastAsia="en-GB"/>
        </w:rPr>
        <w:t>.</w:t>
      </w:r>
      <w:bookmarkEnd w:id="899"/>
    </w:p>
    <w:p w14:paraId="240E410D" w14:textId="51E245AC" w:rsidR="00E014F2" w:rsidRDefault="00E014F2" w:rsidP="00E014F2">
      <w:pPr>
        <w:rPr>
          <w:lang w:eastAsia="en-GB"/>
        </w:rPr>
      </w:pPr>
    </w:p>
    <w:p w14:paraId="7097A8EE" w14:textId="77777777" w:rsidR="00E014F2" w:rsidRPr="00E014F2" w:rsidRDefault="00E014F2" w:rsidP="00E014F2">
      <w:pPr>
        <w:rPr>
          <w:lang w:eastAsia="en-GB"/>
        </w:rPr>
      </w:pPr>
    </w:p>
    <w:p w14:paraId="12A15FEA" w14:textId="77777777" w:rsidR="00977693" w:rsidRPr="00B30FA5" w:rsidRDefault="00977693" w:rsidP="00B30FA5">
      <w:pPr>
        <w:pStyle w:val="BodyText"/>
        <w:rPr>
          <w:b/>
          <w:sz w:val="24"/>
          <w:szCs w:val="24"/>
        </w:rPr>
      </w:pPr>
      <w:bookmarkStart w:id="900" w:name="_Toc440982019"/>
      <w:r w:rsidRPr="00B30FA5">
        <w:rPr>
          <w:b/>
          <w:sz w:val="24"/>
          <w:szCs w:val="24"/>
        </w:rPr>
        <w:t>Opt out of Out of Hours</w:t>
      </w:r>
      <w:bookmarkEnd w:id="900"/>
    </w:p>
    <w:p w14:paraId="53E948E8" w14:textId="77777777" w:rsidR="00977693" w:rsidRPr="00CE0885" w:rsidRDefault="00977693" w:rsidP="00E47A71">
      <w:pPr>
        <w:pStyle w:val="Heading3"/>
        <w:rPr>
          <w:lang w:eastAsia="en-GB"/>
        </w:rPr>
      </w:pPr>
      <w:bookmarkStart w:id="901" w:name="_Toc440982020"/>
      <w:r w:rsidRPr="00CE0885">
        <w:rPr>
          <w:lang w:eastAsia="en-GB"/>
        </w:rPr>
        <w:t>If a contractor wishes to terminate its obligation to provide out of hours services, it must provide the Commissioner with an out of hours opt-out notice specifying the date from which the contractor would like the opt out to take effect, which must be either three or six months after the date of service of the out of hours opt-out notice.</w:t>
      </w:r>
      <w:bookmarkEnd w:id="901"/>
    </w:p>
    <w:p w14:paraId="379ECF43" w14:textId="141D8141" w:rsidR="00977693" w:rsidRPr="00CE0885" w:rsidRDefault="00977693" w:rsidP="00E47A71">
      <w:pPr>
        <w:pStyle w:val="Heading3"/>
        <w:rPr>
          <w:lang w:eastAsia="en-GB"/>
        </w:rPr>
      </w:pPr>
      <w:bookmarkStart w:id="902" w:name="_Toc440982021"/>
      <w:r w:rsidRPr="00CE0885">
        <w:rPr>
          <w:lang w:eastAsia="en-GB"/>
        </w:rPr>
        <w:t>As soon as is reasonably practicable and in any event within 28 days of receiving the out of hours opt-out notice, the Commissioner shall approve the notice and confirm the date on which the out of hours opt out is to commence. The Commissioner cannot reject an out of hours opt-out notice.</w:t>
      </w:r>
      <w:bookmarkEnd w:id="902"/>
    </w:p>
    <w:p w14:paraId="62821527" w14:textId="73AC80AA" w:rsidR="00977693" w:rsidRPr="00CE0885" w:rsidRDefault="00977693" w:rsidP="00E47A71">
      <w:pPr>
        <w:pStyle w:val="Heading3"/>
        <w:rPr>
          <w:spacing w:val="-10"/>
          <w:lang w:eastAsia="en-GB"/>
        </w:rPr>
      </w:pPr>
      <w:bookmarkStart w:id="903" w:name="_Toc440982022"/>
      <w:r w:rsidRPr="00CE0885">
        <w:rPr>
          <w:lang w:eastAsia="en-GB"/>
        </w:rPr>
        <w:t>If, after the Commissioner approves an out of hours opt-out notice, the contractor wishes to withdraw the notice, it can only do so if the Commissioner agrees. This is because after approving the opt-out, the Commissioner may have made arrangements for the contractor's registered patients to receive the out of hours service from an alternative provider.</w:t>
      </w:r>
      <w:bookmarkEnd w:id="903"/>
    </w:p>
    <w:p w14:paraId="337274E0" w14:textId="73643888" w:rsidR="00977693" w:rsidRPr="00CE0885" w:rsidRDefault="00977693" w:rsidP="00E47A71">
      <w:pPr>
        <w:pStyle w:val="Heading3"/>
        <w:rPr>
          <w:lang w:eastAsia="en-GB"/>
        </w:rPr>
      </w:pPr>
      <w:bookmarkStart w:id="904" w:name="_Toc440982023"/>
      <w:r w:rsidRPr="00CE0885">
        <w:rPr>
          <w:lang w:eastAsia="en-GB"/>
        </w:rPr>
        <w:t xml:space="preserve">If the Commissioner cannot find an alternative provider, paragraphs </w:t>
      </w:r>
      <w:r w:rsidRPr="00CE0885">
        <w:rPr>
          <w:lang w:eastAsia="en-GB"/>
        </w:rPr>
        <w:fldChar w:fldCharType="begin"/>
      </w:r>
      <w:r w:rsidRPr="00CE0885">
        <w:rPr>
          <w:lang w:eastAsia="en-GB"/>
        </w:rPr>
        <w:instrText xml:space="preserve"> REF _Ref410639529 \r \h  \* MERGEFORMAT </w:instrText>
      </w:r>
      <w:r w:rsidRPr="00CE0885">
        <w:rPr>
          <w:lang w:eastAsia="en-GB"/>
        </w:rPr>
      </w:r>
      <w:r w:rsidRPr="00CE0885">
        <w:rPr>
          <w:lang w:eastAsia="en-GB"/>
        </w:rPr>
        <w:fldChar w:fldCharType="separate"/>
      </w:r>
      <w:r w:rsidR="00054166">
        <w:rPr>
          <w:lang w:eastAsia="en-GB"/>
        </w:rPr>
        <w:t>7.16.17</w:t>
      </w:r>
      <w:r w:rsidRPr="00CE0885">
        <w:rPr>
          <w:lang w:eastAsia="en-GB"/>
        </w:rPr>
        <w:fldChar w:fldCharType="end"/>
      </w:r>
      <w:r w:rsidRPr="00CE0885">
        <w:rPr>
          <w:lang w:eastAsia="en-GB"/>
        </w:rPr>
        <w:t xml:space="preserve"> to </w:t>
      </w:r>
      <w:r w:rsidRPr="00CE0885">
        <w:rPr>
          <w:lang w:eastAsia="en-GB"/>
        </w:rPr>
        <w:fldChar w:fldCharType="begin"/>
      </w:r>
      <w:r w:rsidRPr="00CE0885">
        <w:rPr>
          <w:lang w:eastAsia="en-GB"/>
        </w:rPr>
        <w:instrText xml:space="preserve"> REF _Ref410638613 \r \h  \* MERGEFORMAT </w:instrText>
      </w:r>
      <w:r w:rsidRPr="00CE0885">
        <w:rPr>
          <w:lang w:eastAsia="en-GB"/>
        </w:rPr>
      </w:r>
      <w:r w:rsidRPr="00CE0885">
        <w:rPr>
          <w:lang w:eastAsia="en-GB"/>
        </w:rPr>
        <w:fldChar w:fldCharType="separate"/>
      </w:r>
      <w:r w:rsidR="00054166">
        <w:rPr>
          <w:lang w:eastAsia="en-GB"/>
        </w:rPr>
        <w:t>7.16.20</w:t>
      </w:r>
      <w:r w:rsidRPr="00CE0885">
        <w:rPr>
          <w:lang w:eastAsia="en-GB"/>
        </w:rPr>
        <w:fldChar w:fldCharType="end"/>
      </w:r>
      <w:r w:rsidRPr="00CE0885">
        <w:rPr>
          <w:lang w:eastAsia="en-GB"/>
        </w:rPr>
        <w:t xml:space="preserve"> will apply as if the reference to an additional service was a reference to the out of hours service.</w:t>
      </w:r>
      <w:bookmarkEnd w:id="904"/>
    </w:p>
    <w:p w14:paraId="48FA8AF1" w14:textId="5E8A23C3" w:rsidR="00977693" w:rsidRPr="00CE0885" w:rsidRDefault="00977693" w:rsidP="00E47A71">
      <w:pPr>
        <w:pStyle w:val="Heading3"/>
        <w:rPr>
          <w:spacing w:val="-10"/>
          <w:lang w:eastAsia="en-GB"/>
        </w:rPr>
      </w:pPr>
      <w:bookmarkStart w:id="905" w:name="_Toc440982024"/>
      <w:r w:rsidRPr="00CE0885">
        <w:rPr>
          <w:spacing w:val="1"/>
          <w:lang w:eastAsia="en-GB"/>
        </w:rPr>
        <w:t>On</w:t>
      </w:r>
      <w:r w:rsidRPr="00CE0885">
        <w:rPr>
          <w:lang w:eastAsia="en-GB"/>
        </w:rPr>
        <w:t>ce</w:t>
      </w:r>
      <w:r w:rsidRPr="00CE0885">
        <w:rPr>
          <w:spacing w:val="-4"/>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spacing w:val="1"/>
          <w:lang w:eastAsia="en-GB"/>
        </w:rPr>
        <w:t>te</w:t>
      </w:r>
      <w:r w:rsidRPr="00CE0885">
        <w:rPr>
          <w:spacing w:val="-1"/>
          <w:lang w:eastAsia="en-GB"/>
        </w:rPr>
        <w:t>r</w:t>
      </w:r>
      <w:r w:rsidRPr="00CE0885">
        <w:rPr>
          <w:spacing w:val="2"/>
          <w:lang w:eastAsia="en-GB"/>
        </w:rPr>
        <w:t>m</w:t>
      </w:r>
      <w:r w:rsidRPr="00CE0885">
        <w:rPr>
          <w:lang w:eastAsia="en-GB"/>
        </w:rPr>
        <w:t>s</w:t>
      </w:r>
      <w:r w:rsidRPr="00CE0885">
        <w:rPr>
          <w:spacing w:val="-8"/>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an</w:t>
      </w:r>
      <w:r w:rsidRPr="00CE0885">
        <w:rPr>
          <w:lang w:eastAsia="en-GB"/>
        </w:rPr>
        <w:t>y</w:t>
      </w:r>
      <w:r w:rsidRPr="00CE0885">
        <w:rPr>
          <w:spacing w:val="-6"/>
          <w:lang w:eastAsia="en-GB"/>
        </w:rPr>
        <w:t xml:space="preserve"> </w:t>
      </w:r>
      <w:r w:rsidRPr="00CE0885">
        <w:rPr>
          <w:spacing w:val="1"/>
          <w:lang w:eastAsia="en-GB"/>
        </w:rPr>
        <w:t>pe</w:t>
      </w:r>
      <w:r w:rsidRPr="00CE0885">
        <w:rPr>
          <w:spacing w:val="-1"/>
          <w:lang w:eastAsia="en-GB"/>
        </w:rPr>
        <w:t>rm</w:t>
      </w:r>
      <w:r w:rsidRPr="00CE0885">
        <w:rPr>
          <w:spacing w:val="1"/>
          <w:lang w:eastAsia="en-GB"/>
        </w:rPr>
        <w:t>an</w:t>
      </w:r>
      <w:r w:rsidRPr="00CE0885">
        <w:rPr>
          <w:spacing w:val="-1"/>
          <w:lang w:eastAsia="en-GB"/>
        </w:rPr>
        <w:t>e</w:t>
      </w:r>
      <w:r w:rsidRPr="00CE0885">
        <w:rPr>
          <w:spacing w:val="1"/>
          <w:lang w:eastAsia="en-GB"/>
        </w:rPr>
        <w:t>n</w:t>
      </w:r>
      <w:r w:rsidRPr="00CE0885">
        <w:rPr>
          <w:lang w:eastAsia="en-GB"/>
        </w:rPr>
        <w:t>t</w:t>
      </w:r>
      <w:r w:rsidRPr="00CE0885">
        <w:rPr>
          <w:spacing w:val="-10"/>
          <w:lang w:eastAsia="en-GB"/>
        </w:rPr>
        <w:t xml:space="preserve"> </w:t>
      </w:r>
      <w:r w:rsidRPr="00CE0885">
        <w:rPr>
          <w:spacing w:val="1"/>
          <w:lang w:eastAsia="en-GB"/>
        </w:rPr>
        <w:t>o</w:t>
      </w:r>
      <w:r w:rsidRPr="00CE0885">
        <w:rPr>
          <w:lang w:eastAsia="en-GB"/>
        </w:rPr>
        <w:t>r</w:t>
      </w:r>
      <w:r w:rsidRPr="00CE0885">
        <w:rPr>
          <w:spacing w:val="-5"/>
          <w:lang w:eastAsia="en-GB"/>
        </w:rPr>
        <w:t xml:space="preserve"> </w:t>
      </w:r>
      <w:r w:rsidRPr="00CE0885">
        <w:rPr>
          <w:spacing w:val="1"/>
          <w:lang w:eastAsia="en-GB"/>
        </w:rPr>
        <w:t>t</w:t>
      </w:r>
      <w:r w:rsidRPr="00CE0885">
        <w:rPr>
          <w:spacing w:val="-1"/>
          <w:lang w:eastAsia="en-GB"/>
        </w:rPr>
        <w:t>e</w:t>
      </w:r>
      <w:r w:rsidRPr="00CE0885">
        <w:rPr>
          <w:spacing w:val="2"/>
          <w:lang w:eastAsia="en-GB"/>
        </w:rPr>
        <w:t>m</w:t>
      </w:r>
      <w:r w:rsidRPr="00CE0885">
        <w:rPr>
          <w:spacing w:val="1"/>
          <w:lang w:eastAsia="en-GB"/>
        </w:rPr>
        <w:t>po</w:t>
      </w:r>
      <w:r w:rsidRPr="00CE0885">
        <w:rPr>
          <w:spacing w:val="-3"/>
          <w:lang w:eastAsia="en-GB"/>
        </w:rPr>
        <w:t>r</w:t>
      </w:r>
      <w:r w:rsidRPr="00CE0885">
        <w:rPr>
          <w:spacing w:val="1"/>
          <w:lang w:eastAsia="en-GB"/>
        </w:rPr>
        <w:t>a</w:t>
      </w:r>
      <w:r w:rsidRPr="00CE0885">
        <w:rPr>
          <w:spacing w:val="-1"/>
          <w:lang w:eastAsia="en-GB"/>
        </w:rPr>
        <w:t>r</w:t>
      </w:r>
      <w:r w:rsidRPr="00CE0885">
        <w:rPr>
          <w:lang w:eastAsia="en-GB"/>
        </w:rPr>
        <w:t>y</w:t>
      </w:r>
      <w:r w:rsidRPr="00CE0885">
        <w:rPr>
          <w:spacing w:val="-13"/>
          <w:lang w:eastAsia="en-GB"/>
        </w:rPr>
        <w:t xml:space="preserve"> </w:t>
      </w:r>
      <w:r w:rsidRPr="00CE0885">
        <w:rPr>
          <w:spacing w:val="1"/>
          <w:lang w:eastAsia="en-GB"/>
        </w:rPr>
        <w:t>op</w:t>
      </w:r>
      <w:r w:rsidRPr="00CE0885">
        <w:rPr>
          <w:lang w:eastAsia="en-GB"/>
        </w:rPr>
        <w:t>t</w:t>
      </w:r>
      <w:r w:rsidRPr="00CE0885">
        <w:rPr>
          <w:spacing w:val="-2"/>
          <w:lang w:eastAsia="en-GB"/>
        </w:rPr>
        <w:t xml:space="preserve"> </w:t>
      </w:r>
      <w:r w:rsidRPr="00CE0885">
        <w:rPr>
          <w:spacing w:val="1"/>
          <w:lang w:eastAsia="en-GB"/>
        </w:rPr>
        <w:t>ou</w:t>
      </w:r>
      <w:r w:rsidRPr="00CE0885">
        <w:rPr>
          <w:lang w:eastAsia="en-GB"/>
        </w:rPr>
        <w:t>t</w:t>
      </w:r>
      <w:r w:rsidRPr="00CE0885">
        <w:rPr>
          <w:spacing w:val="-4"/>
          <w:lang w:eastAsia="en-GB"/>
        </w:rPr>
        <w:t xml:space="preserve"> </w:t>
      </w:r>
      <w:r w:rsidRPr="00CE0885">
        <w:rPr>
          <w:spacing w:val="1"/>
          <w:lang w:eastAsia="en-GB"/>
        </w:rPr>
        <w:t>a</w:t>
      </w:r>
      <w:r w:rsidRPr="00CE0885">
        <w:rPr>
          <w:spacing w:val="-1"/>
          <w:lang w:eastAsia="en-GB"/>
        </w:rPr>
        <w:t>r</w:t>
      </w:r>
      <w:r w:rsidRPr="00CE0885">
        <w:rPr>
          <w:lang w:eastAsia="en-GB"/>
        </w:rPr>
        <w:t xml:space="preserve">e </w:t>
      </w:r>
      <w:r w:rsidRPr="00CE0885">
        <w:rPr>
          <w:spacing w:val="1"/>
          <w:lang w:eastAsia="en-GB"/>
        </w:rPr>
        <w:t>a</w:t>
      </w:r>
      <w:r w:rsidRPr="00CE0885">
        <w:rPr>
          <w:spacing w:val="-1"/>
          <w:lang w:eastAsia="en-GB"/>
        </w:rPr>
        <w:t>gr</w:t>
      </w:r>
      <w:r w:rsidRPr="00CE0885">
        <w:rPr>
          <w:spacing w:val="1"/>
          <w:lang w:eastAsia="en-GB"/>
        </w:rPr>
        <w:t>ee</w:t>
      </w:r>
      <w:r w:rsidRPr="00CE0885">
        <w:rPr>
          <w:lang w:eastAsia="en-GB"/>
        </w:rPr>
        <w:t>d</w:t>
      </w:r>
      <w:r w:rsidRPr="00CE0885">
        <w:rPr>
          <w:spacing w:val="-5"/>
          <w:lang w:eastAsia="en-GB"/>
        </w:rPr>
        <w:t xml:space="preserve">, </w:t>
      </w:r>
      <w:r w:rsidRPr="00CE0885">
        <w:rPr>
          <w:lang w:eastAsia="en-GB"/>
        </w:rPr>
        <w:t xml:space="preserve">a </w:t>
      </w:r>
      <w:r w:rsidRPr="00CE0885">
        <w:rPr>
          <w:spacing w:val="-2"/>
          <w:lang w:eastAsia="en-GB"/>
        </w:rPr>
        <w:t>v</w:t>
      </w:r>
      <w:r w:rsidRPr="00CE0885">
        <w:rPr>
          <w:spacing w:val="1"/>
          <w:lang w:eastAsia="en-GB"/>
        </w:rPr>
        <w:t>a</w:t>
      </w:r>
      <w:r w:rsidRPr="00CE0885">
        <w:rPr>
          <w:spacing w:val="-1"/>
          <w:lang w:eastAsia="en-GB"/>
        </w:rPr>
        <w:t>r</w:t>
      </w:r>
      <w:r w:rsidRPr="00CE0885">
        <w:rPr>
          <w:lang w:eastAsia="en-GB"/>
        </w:rPr>
        <w:t>i</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7"/>
          <w:lang w:eastAsia="en-GB"/>
        </w:rPr>
        <w:t xml:space="preserve"> </w:t>
      </w:r>
      <w:r w:rsidRPr="00CE0885">
        <w:rPr>
          <w:spacing w:val="1"/>
          <w:lang w:eastAsia="en-GB"/>
        </w:rPr>
        <w:t>not</w:t>
      </w:r>
      <w:r w:rsidRPr="00CE0885">
        <w:rPr>
          <w:lang w:eastAsia="en-GB"/>
        </w:rPr>
        <w:t>ice</w:t>
      </w:r>
      <w:r w:rsidRPr="00CE0885">
        <w:rPr>
          <w:spacing w:val="-7"/>
          <w:lang w:eastAsia="en-GB"/>
        </w:rPr>
        <w:t xml:space="preserve"> </w:t>
      </w:r>
      <w:r w:rsidRPr="00CE0885">
        <w:rPr>
          <w:spacing w:val="-1"/>
          <w:lang w:eastAsia="en-GB"/>
        </w:rPr>
        <w:t>m</w:t>
      </w:r>
      <w:r w:rsidRPr="00CE0885">
        <w:rPr>
          <w:spacing w:val="1"/>
          <w:lang w:eastAsia="en-GB"/>
        </w:rPr>
        <w:t>u</w:t>
      </w:r>
      <w:r w:rsidRPr="00CE0885">
        <w:rPr>
          <w:lang w:eastAsia="en-GB"/>
        </w:rPr>
        <w:t>st</w:t>
      </w:r>
      <w:r w:rsidRPr="00CE0885">
        <w:rPr>
          <w:spacing w:val="-4"/>
          <w:lang w:eastAsia="en-GB"/>
        </w:rPr>
        <w:t xml:space="preserve"> </w:t>
      </w:r>
      <w:r w:rsidRPr="00CE0885">
        <w:rPr>
          <w:spacing w:val="-1"/>
          <w:lang w:eastAsia="en-GB"/>
        </w:rPr>
        <w:t>b</w:t>
      </w:r>
      <w:r w:rsidRPr="00CE0885">
        <w:rPr>
          <w:lang w:eastAsia="en-GB"/>
        </w:rPr>
        <w:t>e</w:t>
      </w:r>
      <w:r w:rsidRPr="00CE0885">
        <w:rPr>
          <w:spacing w:val="-1"/>
          <w:lang w:eastAsia="en-GB"/>
        </w:rPr>
        <w:t xml:space="preserve"> </w:t>
      </w:r>
      <w:r w:rsidRPr="00CE0885">
        <w:rPr>
          <w:lang w:eastAsia="en-GB"/>
        </w:rPr>
        <w:t>iss</w:t>
      </w:r>
      <w:r w:rsidRPr="00CE0885">
        <w:rPr>
          <w:spacing w:val="1"/>
          <w:lang w:eastAsia="en-GB"/>
        </w:rPr>
        <w:t>u</w:t>
      </w:r>
      <w:r w:rsidRPr="00CE0885">
        <w:rPr>
          <w:spacing w:val="-1"/>
          <w:lang w:eastAsia="en-GB"/>
        </w:rPr>
        <w:t>e</w:t>
      </w:r>
      <w:r w:rsidRPr="00CE0885">
        <w:rPr>
          <w:lang w:eastAsia="en-GB"/>
        </w:rPr>
        <w:t>d</w:t>
      </w:r>
      <w:r w:rsidRPr="00CE0885">
        <w:rPr>
          <w:spacing w:val="-5"/>
          <w:lang w:eastAsia="en-GB"/>
        </w:rPr>
        <w:t xml:space="preserve"> </w:t>
      </w:r>
      <w:r w:rsidRPr="00CE0885">
        <w:rPr>
          <w:lang w:eastAsia="en-GB"/>
        </w:rPr>
        <w:t xml:space="preserve">in </w:t>
      </w:r>
      <w:r w:rsidRPr="00CE0885">
        <w:rPr>
          <w:spacing w:val="1"/>
          <w:lang w:eastAsia="en-GB"/>
        </w:rPr>
        <w:t>a</w:t>
      </w:r>
      <w:r w:rsidRPr="00CE0885">
        <w:rPr>
          <w:lang w:eastAsia="en-GB"/>
        </w:rPr>
        <w:t>c</w:t>
      </w:r>
      <w:r w:rsidRPr="00CE0885">
        <w:rPr>
          <w:spacing w:val="-2"/>
          <w:lang w:eastAsia="en-GB"/>
        </w:rPr>
        <w:t>c</w:t>
      </w:r>
      <w:r w:rsidRPr="00CE0885">
        <w:rPr>
          <w:spacing w:val="1"/>
          <w:lang w:eastAsia="en-GB"/>
        </w:rPr>
        <w:t>o</w:t>
      </w:r>
      <w:r w:rsidRPr="00CE0885">
        <w:rPr>
          <w:spacing w:val="-1"/>
          <w:lang w:eastAsia="en-GB"/>
        </w:rPr>
        <w:t>r</w:t>
      </w:r>
      <w:r w:rsidRPr="00CE0885">
        <w:rPr>
          <w:spacing w:val="1"/>
          <w:lang w:eastAsia="en-GB"/>
        </w:rPr>
        <w:t>d</w:t>
      </w:r>
      <w:r w:rsidRPr="00CE0885">
        <w:rPr>
          <w:spacing w:val="-1"/>
          <w:lang w:eastAsia="en-GB"/>
        </w:rPr>
        <w:t>a</w:t>
      </w:r>
      <w:r w:rsidRPr="00CE0885">
        <w:rPr>
          <w:spacing w:val="1"/>
          <w:lang w:eastAsia="en-GB"/>
        </w:rPr>
        <w:t>n</w:t>
      </w:r>
      <w:r w:rsidRPr="00CE0885">
        <w:rPr>
          <w:lang w:eastAsia="en-GB"/>
        </w:rPr>
        <w:t>ce</w:t>
      </w:r>
      <w:r w:rsidRPr="00CE0885">
        <w:rPr>
          <w:spacing w:val="-13"/>
          <w:lang w:eastAsia="en-GB"/>
        </w:rPr>
        <w:t xml:space="preserve"> </w:t>
      </w:r>
      <w:r w:rsidRPr="00CE0885">
        <w:rPr>
          <w:spacing w:val="-3"/>
          <w:lang w:eastAsia="en-GB"/>
        </w:rPr>
        <w:t>w</w:t>
      </w:r>
      <w:r w:rsidRPr="00CE0885">
        <w:rPr>
          <w:lang w:eastAsia="en-GB"/>
        </w:rPr>
        <w:t>i</w:t>
      </w:r>
      <w:r w:rsidRPr="00CE0885">
        <w:rPr>
          <w:spacing w:val="1"/>
          <w:lang w:eastAsia="en-GB"/>
        </w:rPr>
        <w:t>t</w:t>
      </w:r>
      <w:r w:rsidRPr="00CE0885">
        <w:rPr>
          <w:lang w:eastAsia="en-GB"/>
        </w:rPr>
        <w:t>h</w:t>
      </w:r>
      <w:r w:rsidRPr="00CE0885">
        <w:rPr>
          <w:spacing w:val="-2"/>
          <w:lang w:eastAsia="en-GB"/>
        </w:rPr>
        <w:t xml:space="preserve"> </w:t>
      </w:r>
      <w:r w:rsidRPr="00CE0885">
        <w:rPr>
          <w:spacing w:val="1"/>
          <w:lang w:eastAsia="en-GB"/>
        </w:rPr>
        <w:t>th</w:t>
      </w:r>
      <w:r w:rsidRPr="00CE0885">
        <w:rPr>
          <w:lang w:eastAsia="en-GB"/>
        </w:rPr>
        <w:t xml:space="preserve">e </w:t>
      </w:r>
      <w:r w:rsidRPr="00CE0885">
        <w:rPr>
          <w:spacing w:val="1"/>
          <w:lang w:eastAsia="en-GB"/>
        </w:rPr>
        <w:t>p</w:t>
      </w:r>
      <w:r w:rsidRPr="00CE0885">
        <w:rPr>
          <w:spacing w:val="-1"/>
          <w:lang w:eastAsia="en-GB"/>
        </w:rPr>
        <w:t>r</w:t>
      </w:r>
      <w:r w:rsidRPr="00CE0885">
        <w:rPr>
          <w:lang w:eastAsia="en-GB"/>
        </w:rPr>
        <w:t>i</w:t>
      </w:r>
      <w:r w:rsidRPr="00CE0885">
        <w:rPr>
          <w:spacing w:val="1"/>
          <w:lang w:eastAsia="en-GB"/>
        </w:rPr>
        <w:t>n</w:t>
      </w:r>
      <w:r w:rsidRPr="00CE0885">
        <w:rPr>
          <w:lang w:eastAsia="en-GB"/>
        </w:rPr>
        <w:t>ci</w:t>
      </w:r>
      <w:r w:rsidRPr="00CE0885">
        <w:rPr>
          <w:spacing w:val="1"/>
          <w:lang w:eastAsia="en-GB"/>
        </w:rPr>
        <w:t>p</w:t>
      </w:r>
      <w:r w:rsidRPr="00CE0885">
        <w:rPr>
          <w:lang w:eastAsia="en-GB"/>
        </w:rPr>
        <w:t>l</w:t>
      </w:r>
      <w:r w:rsidRPr="00CE0885">
        <w:rPr>
          <w:spacing w:val="1"/>
          <w:lang w:eastAsia="en-GB"/>
        </w:rPr>
        <w:t>e</w:t>
      </w:r>
      <w:r w:rsidRPr="00CE0885">
        <w:rPr>
          <w:lang w:eastAsia="en-GB"/>
        </w:rPr>
        <w:t>s</w:t>
      </w:r>
      <w:r w:rsidRPr="00CE0885">
        <w:rPr>
          <w:spacing w:val="-10"/>
          <w:lang w:eastAsia="en-GB"/>
        </w:rPr>
        <w:t xml:space="preserve"> </w:t>
      </w:r>
      <w:r w:rsidRPr="00CE0885">
        <w:rPr>
          <w:lang w:eastAsia="en-GB"/>
        </w:rPr>
        <w:t>l</w:t>
      </w:r>
      <w:r w:rsidRPr="00CE0885">
        <w:rPr>
          <w:spacing w:val="1"/>
          <w:lang w:eastAsia="en-GB"/>
        </w:rPr>
        <w:t>a</w:t>
      </w:r>
      <w:r w:rsidRPr="00CE0885">
        <w:rPr>
          <w:lang w:eastAsia="en-GB"/>
        </w:rPr>
        <w:t>id</w:t>
      </w:r>
      <w:r w:rsidRPr="00CE0885">
        <w:rPr>
          <w:spacing w:val="-5"/>
          <w:lang w:eastAsia="en-GB"/>
        </w:rPr>
        <w:t xml:space="preserve"> </w:t>
      </w:r>
      <w:r w:rsidRPr="00CE0885">
        <w:rPr>
          <w:spacing w:val="1"/>
          <w:lang w:eastAsia="en-GB"/>
        </w:rPr>
        <w:t>ou</w:t>
      </w:r>
      <w:r w:rsidRPr="00CE0885">
        <w:rPr>
          <w:lang w:eastAsia="en-GB"/>
        </w:rPr>
        <w:t>t</w:t>
      </w:r>
      <w:r w:rsidRPr="00CE0885">
        <w:rPr>
          <w:spacing w:val="-2"/>
          <w:lang w:eastAsia="en-GB"/>
        </w:rPr>
        <w:t xml:space="preserve"> </w:t>
      </w:r>
      <w:r w:rsidRPr="00CE0885">
        <w:rPr>
          <w:spacing w:val="-3"/>
          <w:lang w:eastAsia="en-GB"/>
        </w:rPr>
        <w:t>i</w:t>
      </w:r>
      <w:r w:rsidRPr="00CE0885">
        <w:rPr>
          <w:lang w:eastAsia="en-GB"/>
        </w:rPr>
        <w:t xml:space="preserve">n </w:t>
      </w:r>
      <w:r w:rsidRPr="00CE0885">
        <w:rPr>
          <w:spacing w:val="1"/>
          <w:lang w:eastAsia="en-GB"/>
        </w:rPr>
        <w:t>th</w:t>
      </w:r>
      <w:r w:rsidRPr="00CE0885">
        <w:rPr>
          <w:spacing w:val="-3"/>
          <w:lang w:eastAsia="en-GB"/>
        </w:rPr>
        <w:t>i</w:t>
      </w:r>
      <w:r w:rsidRPr="00CE0885">
        <w:rPr>
          <w:lang w:eastAsia="en-GB"/>
        </w:rPr>
        <w:t>s</w:t>
      </w:r>
      <w:r w:rsidRPr="00CE0885">
        <w:rPr>
          <w:spacing w:val="-4"/>
          <w:lang w:eastAsia="en-GB"/>
        </w:rPr>
        <w:t xml:space="preserve"> </w:t>
      </w:r>
      <w:r w:rsidRPr="00CE0885">
        <w:rPr>
          <w:lang w:eastAsia="en-GB"/>
        </w:rPr>
        <w:t>policy</w:t>
      </w:r>
      <w:r w:rsidRPr="00CE0885">
        <w:rPr>
          <w:spacing w:val="-8"/>
          <w:lang w:eastAsia="en-GB"/>
        </w:rPr>
        <w:t xml:space="preserve"> </w:t>
      </w:r>
      <w:r w:rsidRPr="00CE0885">
        <w:rPr>
          <w:spacing w:val="1"/>
          <w:lang w:eastAsia="en-GB"/>
        </w:rPr>
        <w:t>t</w:t>
      </w:r>
      <w:r w:rsidRPr="00CE0885">
        <w:rPr>
          <w:lang w:eastAsia="en-GB"/>
        </w:rPr>
        <w:t xml:space="preserve">o </w:t>
      </w:r>
      <w:r w:rsidRPr="00CE0885">
        <w:rPr>
          <w:spacing w:val="-1"/>
          <w:lang w:eastAsia="en-GB"/>
        </w:rPr>
        <w:t>a</w:t>
      </w:r>
      <w:r w:rsidRPr="00CE0885">
        <w:rPr>
          <w:spacing w:val="2"/>
          <w:lang w:eastAsia="en-GB"/>
        </w:rPr>
        <w:t>m</w:t>
      </w:r>
      <w:r w:rsidRPr="00CE0885">
        <w:rPr>
          <w:spacing w:val="1"/>
          <w:lang w:eastAsia="en-GB"/>
        </w:rPr>
        <w:t>e</w:t>
      </w:r>
      <w:r w:rsidRPr="00CE0885">
        <w:rPr>
          <w:spacing w:val="-1"/>
          <w:lang w:eastAsia="en-GB"/>
        </w:rPr>
        <w:t>n</w:t>
      </w:r>
      <w:r w:rsidRPr="00CE0885">
        <w:rPr>
          <w:lang w:eastAsia="en-GB"/>
        </w:rPr>
        <w:t>d</w:t>
      </w:r>
      <w:r w:rsidRPr="00CE0885">
        <w:rPr>
          <w:spacing w:val="-5"/>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3"/>
          <w:lang w:eastAsia="en-GB"/>
        </w:rPr>
        <w:t>r</w:t>
      </w:r>
      <w:r w:rsidRPr="00CE0885">
        <w:rPr>
          <w:spacing w:val="1"/>
          <w:lang w:eastAsia="en-GB"/>
        </w:rPr>
        <w:t>e</w:t>
      </w:r>
      <w:r w:rsidRPr="00CE0885">
        <w:rPr>
          <w:lang w:eastAsia="en-GB"/>
        </w:rPr>
        <w:t>l</w:t>
      </w:r>
      <w:r w:rsidRPr="00CE0885">
        <w:rPr>
          <w:spacing w:val="1"/>
          <w:lang w:eastAsia="en-GB"/>
        </w:rPr>
        <w:t>e</w:t>
      </w:r>
      <w:r w:rsidRPr="00CE0885">
        <w:rPr>
          <w:spacing w:val="-2"/>
          <w:lang w:eastAsia="en-GB"/>
        </w:rPr>
        <w:t>v</w:t>
      </w:r>
      <w:r w:rsidRPr="00CE0885">
        <w:rPr>
          <w:spacing w:val="1"/>
          <w:lang w:eastAsia="en-GB"/>
        </w:rPr>
        <w:t>an</w:t>
      </w:r>
      <w:r w:rsidRPr="00CE0885">
        <w:rPr>
          <w:lang w:eastAsia="en-GB"/>
        </w:rPr>
        <w:t>t s</w:t>
      </w:r>
      <w:r w:rsidRPr="00CE0885">
        <w:rPr>
          <w:spacing w:val="1"/>
          <w:lang w:eastAsia="en-GB"/>
        </w:rPr>
        <w:t>e</w:t>
      </w:r>
      <w:r w:rsidRPr="00CE0885">
        <w:rPr>
          <w:lang w:eastAsia="en-GB"/>
        </w:rPr>
        <w:t>c</w:t>
      </w:r>
      <w:r w:rsidRPr="00CE0885">
        <w:rPr>
          <w:spacing w:val="1"/>
          <w:lang w:eastAsia="en-GB"/>
        </w:rPr>
        <w:t>t</w:t>
      </w:r>
      <w:r w:rsidRPr="00CE0885">
        <w:rPr>
          <w:lang w:eastAsia="en-GB"/>
        </w:rPr>
        <w:t>i</w:t>
      </w:r>
      <w:r w:rsidRPr="00CE0885">
        <w:rPr>
          <w:spacing w:val="1"/>
          <w:lang w:eastAsia="en-GB"/>
        </w:rPr>
        <w:t>o</w:t>
      </w:r>
      <w:r w:rsidRPr="00CE0885">
        <w:rPr>
          <w:lang w:eastAsia="en-GB"/>
        </w:rPr>
        <w:t>n</w:t>
      </w:r>
      <w:r w:rsidRPr="00CE0885">
        <w:rPr>
          <w:spacing w:val="-9"/>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w:t>
      </w:r>
      <w:r w:rsidRPr="00CE0885">
        <w:rPr>
          <w:spacing w:val="1"/>
          <w:lang w:eastAsia="en-GB"/>
        </w:rPr>
        <w:t>ont</w:t>
      </w:r>
      <w:r w:rsidRPr="00CE0885">
        <w:rPr>
          <w:spacing w:val="-1"/>
          <w:lang w:eastAsia="en-GB"/>
        </w:rPr>
        <w:t>r</w:t>
      </w:r>
      <w:r w:rsidRPr="00CE0885">
        <w:rPr>
          <w:spacing w:val="1"/>
          <w:lang w:eastAsia="en-GB"/>
        </w:rPr>
        <w:t>a</w:t>
      </w:r>
      <w:r w:rsidRPr="00CE0885">
        <w:rPr>
          <w:spacing w:val="-2"/>
          <w:lang w:eastAsia="en-GB"/>
        </w:rPr>
        <w:t>c</w:t>
      </w:r>
      <w:r w:rsidRPr="00CE0885">
        <w:rPr>
          <w:lang w:eastAsia="en-GB"/>
        </w:rPr>
        <w:t>t</w:t>
      </w:r>
      <w:r w:rsidRPr="00CE0885">
        <w:rPr>
          <w:spacing w:val="-10"/>
          <w:lang w:eastAsia="en-GB"/>
        </w:rPr>
        <w:t>.</w:t>
      </w:r>
      <w:bookmarkEnd w:id="905"/>
    </w:p>
    <w:p w14:paraId="4EB12A06" w14:textId="4258A750" w:rsidR="00977693" w:rsidRPr="00CE0885" w:rsidRDefault="00977693" w:rsidP="00E47A71">
      <w:pPr>
        <w:pStyle w:val="Heading3"/>
        <w:rPr>
          <w:lang w:eastAsia="en-GB"/>
        </w:rPr>
      </w:pPr>
      <w:bookmarkStart w:id="906" w:name="_Toc440982025"/>
      <w:r w:rsidRPr="00CE0885">
        <w:rPr>
          <w:lang w:eastAsia="en-GB"/>
        </w:rPr>
        <w:t>The Commissioner should follow the same process for PMS contractors. For APMS arrangements, the Commissioner should review the contract to determine whether it contains any relevant provisions.</w:t>
      </w:r>
      <w:bookmarkEnd w:id="906"/>
      <w:r w:rsidRPr="00CE0885">
        <w:rPr>
          <w:lang w:eastAsia="en-GB"/>
        </w:rPr>
        <w:t xml:space="preserve"> </w:t>
      </w:r>
    </w:p>
    <w:p w14:paraId="7DA60649" w14:textId="6C3A9E38" w:rsidR="00977693" w:rsidRDefault="00977693" w:rsidP="00977693">
      <w:pPr>
        <w:widowControl w:val="0"/>
        <w:spacing w:line="360" w:lineRule="auto"/>
        <w:ind w:left="1414"/>
        <w:jc w:val="both"/>
        <w:rPr>
          <w:rFonts w:cs="Arial"/>
          <w:bCs w:val="0"/>
          <w:szCs w:val="24"/>
          <w:lang w:eastAsia="en-GB"/>
        </w:rPr>
      </w:pPr>
    </w:p>
    <w:p w14:paraId="1FD4B292" w14:textId="77777777" w:rsidR="00DA1C1E" w:rsidRDefault="00DA1C1E" w:rsidP="00977693">
      <w:pPr>
        <w:widowControl w:val="0"/>
        <w:spacing w:line="360" w:lineRule="auto"/>
        <w:ind w:left="1414"/>
        <w:jc w:val="both"/>
        <w:rPr>
          <w:rFonts w:cs="Arial"/>
          <w:bCs w:val="0"/>
          <w:szCs w:val="24"/>
          <w:lang w:eastAsia="en-GB"/>
        </w:rPr>
      </w:pPr>
    </w:p>
    <w:p w14:paraId="5669BF50" w14:textId="7A5C6A1C" w:rsidR="00671886" w:rsidRDefault="00671886" w:rsidP="00977693">
      <w:pPr>
        <w:widowControl w:val="0"/>
        <w:spacing w:line="360" w:lineRule="auto"/>
        <w:ind w:left="1414"/>
        <w:jc w:val="both"/>
        <w:rPr>
          <w:rFonts w:cs="Arial"/>
          <w:bCs w:val="0"/>
          <w:szCs w:val="24"/>
          <w:lang w:eastAsia="en-GB"/>
        </w:rPr>
      </w:pPr>
    </w:p>
    <w:p w14:paraId="654C241D" w14:textId="77777777" w:rsidR="00977693" w:rsidRPr="00CE0885" w:rsidRDefault="00977693" w:rsidP="00202DD3">
      <w:pPr>
        <w:pStyle w:val="Heading2"/>
        <w:rPr>
          <w:lang w:eastAsia="en-GB"/>
        </w:rPr>
      </w:pPr>
      <w:bookmarkStart w:id="907" w:name="_Toc440982026"/>
      <w:bookmarkStart w:id="908" w:name="_Toc95743461"/>
      <w:r w:rsidRPr="00CE0885">
        <w:rPr>
          <w:lang w:eastAsia="en-GB"/>
        </w:rPr>
        <w:t>Financial Changes – Statement of Financial Entitlements</w:t>
      </w:r>
      <w:bookmarkEnd w:id="907"/>
      <w:bookmarkEnd w:id="908"/>
    </w:p>
    <w:p w14:paraId="351267A5" w14:textId="0EBA6667" w:rsidR="00977693" w:rsidRPr="00CE0885" w:rsidRDefault="00977693" w:rsidP="00E47A71">
      <w:pPr>
        <w:pStyle w:val="Heading3"/>
        <w:rPr>
          <w:lang w:eastAsia="en-GB"/>
        </w:rPr>
      </w:pPr>
      <w:bookmarkStart w:id="909" w:name="_Toc440982027"/>
      <w:r w:rsidRPr="00CE0885">
        <w:rPr>
          <w:lang w:eastAsia="en-GB"/>
        </w:rPr>
        <w:t>The</w:t>
      </w:r>
      <w:r w:rsidRPr="00CE0885">
        <w:rPr>
          <w:spacing w:val="-4"/>
          <w:lang w:eastAsia="en-GB"/>
        </w:rPr>
        <w:t xml:space="preserve"> </w:t>
      </w:r>
      <w:r w:rsidRPr="00CE0885">
        <w:rPr>
          <w:lang w:eastAsia="en-GB"/>
        </w:rPr>
        <w:t>co</w:t>
      </w:r>
      <w:r w:rsidRPr="00CE0885">
        <w:rPr>
          <w:spacing w:val="-1"/>
          <w:lang w:eastAsia="en-GB"/>
        </w:rPr>
        <w:t>n</w:t>
      </w:r>
      <w:r w:rsidRPr="00CE0885">
        <w:rPr>
          <w:lang w:eastAsia="en-GB"/>
        </w:rPr>
        <w:t>t</w:t>
      </w:r>
      <w:r w:rsidRPr="00CE0885">
        <w:rPr>
          <w:spacing w:val="-1"/>
          <w:lang w:eastAsia="en-GB"/>
        </w:rPr>
        <w:t>r</w:t>
      </w:r>
      <w:r w:rsidRPr="00CE0885">
        <w:rPr>
          <w:lang w:eastAsia="en-GB"/>
        </w:rPr>
        <w:t>act</w:t>
      </w:r>
      <w:r w:rsidRPr="00CE0885">
        <w:rPr>
          <w:spacing w:val="-20"/>
          <w:lang w:eastAsia="en-GB"/>
        </w:rPr>
        <w:t xml:space="preserve"> </w:t>
      </w:r>
      <w:r w:rsidRPr="00CE0885">
        <w:rPr>
          <w:spacing w:val="-3"/>
          <w:lang w:eastAsia="en-GB"/>
        </w:rPr>
        <w:t>w</w:t>
      </w:r>
      <w:r w:rsidRPr="00CE0885">
        <w:rPr>
          <w:lang w:eastAsia="en-GB"/>
        </w:rPr>
        <w:t>ill</w:t>
      </w:r>
      <w:r w:rsidRPr="00CE0885">
        <w:rPr>
          <w:spacing w:val="-3"/>
          <w:lang w:eastAsia="en-GB"/>
        </w:rPr>
        <w:t xml:space="preserve"> </w:t>
      </w:r>
      <w:r w:rsidRPr="00CE0885">
        <w:rPr>
          <w:lang w:eastAsia="en-GB"/>
        </w:rPr>
        <w:t>contain</w:t>
      </w:r>
      <w:r w:rsidRPr="00CE0885">
        <w:rPr>
          <w:spacing w:val="-6"/>
          <w:lang w:eastAsia="en-GB"/>
        </w:rPr>
        <w:t xml:space="preserve"> </w:t>
      </w:r>
      <w:r w:rsidRPr="00CE0885">
        <w:rPr>
          <w:spacing w:val="-2"/>
          <w:lang w:eastAsia="en-GB"/>
        </w:rPr>
        <w:t>t</w:t>
      </w:r>
      <w:r w:rsidRPr="00CE0885">
        <w:rPr>
          <w:lang w:eastAsia="en-GB"/>
        </w:rPr>
        <w:t>he</w:t>
      </w:r>
      <w:r w:rsidRPr="00CE0885">
        <w:rPr>
          <w:spacing w:val="-1"/>
          <w:lang w:eastAsia="en-GB"/>
        </w:rPr>
        <w:t xml:space="preserve"> </w:t>
      </w:r>
      <w:r w:rsidRPr="00CE0885">
        <w:rPr>
          <w:spacing w:val="-2"/>
          <w:lang w:eastAsia="en-GB"/>
        </w:rPr>
        <w:t>t</w:t>
      </w:r>
      <w:r w:rsidRPr="00CE0885">
        <w:rPr>
          <w:spacing w:val="-1"/>
          <w:lang w:eastAsia="en-GB"/>
        </w:rPr>
        <w:t>er</w:t>
      </w:r>
      <w:r w:rsidRPr="00CE0885">
        <w:rPr>
          <w:spacing w:val="2"/>
          <w:lang w:eastAsia="en-GB"/>
        </w:rPr>
        <w:t>m</w:t>
      </w:r>
      <w:r w:rsidRPr="00CE0885">
        <w:rPr>
          <w:lang w:eastAsia="en-GB"/>
        </w:rPr>
        <w:t>s</w:t>
      </w:r>
      <w:r w:rsidRPr="00CE0885">
        <w:rPr>
          <w:spacing w:val="-6"/>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any</w:t>
      </w:r>
      <w:r w:rsidRPr="00CE0885">
        <w:rPr>
          <w:spacing w:val="-6"/>
          <w:lang w:eastAsia="en-GB"/>
        </w:rPr>
        <w:t xml:space="preserve"> </w:t>
      </w:r>
      <w:r w:rsidRPr="00CE0885">
        <w:rPr>
          <w:lang w:eastAsia="en-GB"/>
        </w:rPr>
        <w:t>pa</w:t>
      </w:r>
      <w:r w:rsidRPr="00CE0885">
        <w:rPr>
          <w:spacing w:val="-2"/>
          <w:lang w:eastAsia="en-GB"/>
        </w:rPr>
        <w:t>y</w:t>
      </w:r>
      <w:r w:rsidRPr="00CE0885">
        <w:rPr>
          <w:spacing w:val="2"/>
          <w:lang w:eastAsia="en-GB"/>
        </w:rPr>
        <w:t>m</w:t>
      </w:r>
      <w:r w:rsidRPr="00CE0885">
        <w:rPr>
          <w:spacing w:val="-1"/>
          <w:lang w:eastAsia="en-GB"/>
        </w:rPr>
        <w:t>e</w:t>
      </w:r>
      <w:r w:rsidRPr="00CE0885">
        <w:rPr>
          <w:lang w:eastAsia="en-GB"/>
        </w:rPr>
        <w:t>nts</w:t>
      </w:r>
      <w:r w:rsidRPr="00CE0885">
        <w:rPr>
          <w:spacing w:val="-10"/>
          <w:lang w:eastAsia="en-GB"/>
        </w:rPr>
        <w:t xml:space="preserve"> </w:t>
      </w:r>
      <w:r w:rsidRPr="00CE0885">
        <w:rPr>
          <w:spacing w:val="-1"/>
          <w:lang w:eastAsia="en-GB"/>
        </w:rPr>
        <w:t>d</w:t>
      </w:r>
      <w:r w:rsidRPr="00CE0885">
        <w:rPr>
          <w:lang w:eastAsia="en-GB"/>
        </w:rPr>
        <w:t>ue.</w:t>
      </w:r>
      <w:r w:rsidRPr="00CE0885">
        <w:rPr>
          <w:spacing w:val="-10"/>
          <w:lang w:eastAsia="en-GB"/>
        </w:rPr>
        <w:t xml:space="preserve"> </w:t>
      </w:r>
      <w:r w:rsidRPr="00CE0885">
        <w:rPr>
          <w:lang w:eastAsia="en-GB"/>
        </w:rPr>
        <w:t>Any</w:t>
      </w:r>
      <w:r w:rsidRPr="00CE0885">
        <w:rPr>
          <w:spacing w:val="-6"/>
          <w:lang w:eastAsia="en-GB"/>
        </w:rPr>
        <w:t xml:space="preserve"> </w:t>
      </w:r>
      <w:r w:rsidRPr="00CE0885">
        <w:rPr>
          <w:lang w:eastAsia="en-GB"/>
        </w:rPr>
        <w:t>chan</w:t>
      </w:r>
      <w:r w:rsidRPr="00CE0885">
        <w:rPr>
          <w:spacing w:val="-1"/>
          <w:lang w:eastAsia="en-GB"/>
        </w:rPr>
        <w:t>g</w:t>
      </w:r>
      <w:r w:rsidRPr="00CE0885">
        <w:rPr>
          <w:lang w:eastAsia="en-GB"/>
        </w:rPr>
        <w:t>e</w:t>
      </w:r>
      <w:r w:rsidRPr="00CE0885">
        <w:rPr>
          <w:spacing w:val="-9"/>
          <w:lang w:eastAsia="en-GB"/>
        </w:rPr>
        <w:t xml:space="preserve"> </w:t>
      </w:r>
      <w:r w:rsidRPr="00CE0885">
        <w:rPr>
          <w:lang w:eastAsia="en-GB"/>
        </w:rPr>
        <w:t xml:space="preserve">to </w:t>
      </w:r>
      <w:r w:rsidRPr="00CE0885">
        <w:rPr>
          <w:spacing w:val="-2"/>
          <w:lang w:eastAsia="en-GB"/>
        </w:rPr>
        <w:t>t</w:t>
      </w:r>
      <w:r w:rsidRPr="00CE0885">
        <w:rPr>
          <w:lang w:eastAsia="en-GB"/>
        </w:rPr>
        <w:t>hose</w:t>
      </w:r>
      <w:r w:rsidRPr="00CE0885">
        <w:rPr>
          <w:spacing w:val="-7"/>
          <w:lang w:eastAsia="en-GB"/>
        </w:rPr>
        <w:t xml:space="preserve"> </w:t>
      </w:r>
      <w:r w:rsidRPr="00CE0885">
        <w:rPr>
          <w:lang w:eastAsia="en-GB"/>
        </w:rPr>
        <w:t>te</w:t>
      </w:r>
      <w:r w:rsidRPr="00CE0885">
        <w:rPr>
          <w:spacing w:val="-3"/>
          <w:lang w:eastAsia="en-GB"/>
        </w:rPr>
        <w:t>r</w:t>
      </w:r>
      <w:r w:rsidRPr="00CE0885">
        <w:rPr>
          <w:spacing w:val="2"/>
          <w:lang w:eastAsia="en-GB"/>
        </w:rPr>
        <w:t>m</w:t>
      </w:r>
      <w:r w:rsidRPr="00CE0885">
        <w:rPr>
          <w:lang w:eastAsia="en-GB"/>
        </w:rPr>
        <w:t>s</w:t>
      </w:r>
      <w:r w:rsidRPr="00CE0885">
        <w:rPr>
          <w:spacing w:val="-8"/>
          <w:lang w:eastAsia="en-GB"/>
        </w:rPr>
        <w:t xml:space="preserve"> </w:t>
      </w:r>
      <w:r w:rsidRPr="00CE0885">
        <w:rPr>
          <w:spacing w:val="-3"/>
          <w:lang w:eastAsia="en-GB"/>
        </w:rPr>
        <w:t>w</w:t>
      </w:r>
      <w:r w:rsidRPr="00CE0885">
        <w:rPr>
          <w:lang w:eastAsia="en-GB"/>
        </w:rPr>
        <w:t>i</w:t>
      </w:r>
      <w:r w:rsidRPr="00CE0885">
        <w:rPr>
          <w:spacing w:val="2"/>
          <w:lang w:eastAsia="en-GB"/>
        </w:rPr>
        <w:t>l</w:t>
      </w:r>
      <w:r w:rsidRPr="00CE0885">
        <w:rPr>
          <w:lang w:eastAsia="en-GB"/>
        </w:rPr>
        <w:t>l</w:t>
      </w:r>
      <w:r w:rsidRPr="00CE0885">
        <w:rPr>
          <w:spacing w:val="-3"/>
          <w:lang w:eastAsia="en-GB"/>
        </w:rPr>
        <w:t xml:space="preserve"> </w:t>
      </w:r>
      <w:r w:rsidRPr="00CE0885">
        <w:rPr>
          <w:spacing w:val="-1"/>
          <w:lang w:eastAsia="en-GB"/>
        </w:rPr>
        <w:t>r</w:t>
      </w:r>
      <w:r w:rsidRPr="00CE0885">
        <w:rPr>
          <w:lang w:eastAsia="en-GB"/>
        </w:rPr>
        <w:t>e</w:t>
      </w:r>
      <w:r w:rsidRPr="00CE0885">
        <w:rPr>
          <w:spacing w:val="-1"/>
          <w:lang w:eastAsia="en-GB"/>
        </w:rPr>
        <w:t>q</w:t>
      </w:r>
      <w:r w:rsidRPr="00CE0885">
        <w:rPr>
          <w:lang w:eastAsia="en-GB"/>
        </w:rPr>
        <w:t>ui</w:t>
      </w:r>
      <w:r w:rsidRPr="00CE0885">
        <w:rPr>
          <w:spacing w:val="-1"/>
          <w:lang w:eastAsia="en-GB"/>
        </w:rPr>
        <w:t>r</w:t>
      </w:r>
      <w:r w:rsidRPr="00CE0885">
        <w:rPr>
          <w:lang w:eastAsia="en-GB"/>
        </w:rPr>
        <w:t>e</w:t>
      </w:r>
      <w:r w:rsidRPr="00CE0885">
        <w:rPr>
          <w:spacing w:val="-5"/>
          <w:lang w:eastAsia="en-GB"/>
        </w:rPr>
        <w:t xml:space="preserve"> </w:t>
      </w:r>
      <w:r w:rsidRPr="00CE0885">
        <w:rPr>
          <w:lang w:eastAsia="en-GB"/>
        </w:rPr>
        <w:t>a notice</w:t>
      </w:r>
      <w:r w:rsidRPr="00CE0885">
        <w:rPr>
          <w:spacing w:val="-7"/>
          <w:lang w:eastAsia="en-GB"/>
        </w:rPr>
        <w:t xml:space="preserve"> </w:t>
      </w:r>
      <w:r w:rsidRPr="00CE0885">
        <w:rPr>
          <w:spacing w:val="-1"/>
          <w:lang w:eastAsia="en-GB"/>
        </w:rPr>
        <w:t>o</w:t>
      </w:r>
      <w:r w:rsidRPr="00CE0885">
        <w:rPr>
          <w:lang w:eastAsia="en-GB"/>
        </w:rPr>
        <w:t xml:space="preserve">f </w:t>
      </w:r>
      <w:r w:rsidRPr="00CE0885">
        <w:rPr>
          <w:spacing w:val="-2"/>
          <w:lang w:eastAsia="en-GB"/>
        </w:rPr>
        <w:t>v</w:t>
      </w:r>
      <w:r w:rsidRPr="00CE0885">
        <w:rPr>
          <w:lang w:eastAsia="en-GB"/>
        </w:rPr>
        <w:t>a</w:t>
      </w:r>
      <w:r w:rsidRPr="00CE0885">
        <w:rPr>
          <w:spacing w:val="-1"/>
          <w:lang w:eastAsia="en-GB"/>
        </w:rPr>
        <w:t>r</w:t>
      </w:r>
      <w:r w:rsidRPr="00CE0885">
        <w:rPr>
          <w:lang w:eastAsia="en-GB"/>
        </w:rPr>
        <w:t>iation</w:t>
      </w:r>
      <w:r w:rsidRPr="00CE0885">
        <w:rPr>
          <w:spacing w:val="-9"/>
          <w:lang w:eastAsia="en-GB"/>
        </w:rPr>
        <w:t xml:space="preserve"> </w:t>
      </w:r>
      <w:r w:rsidRPr="00CE0885">
        <w:rPr>
          <w:spacing w:val="-3"/>
          <w:lang w:eastAsia="en-GB"/>
        </w:rPr>
        <w:t>w</w:t>
      </w:r>
      <w:r w:rsidRPr="00CE0885">
        <w:rPr>
          <w:lang w:eastAsia="en-GB"/>
        </w:rPr>
        <w:t>hich</w:t>
      </w:r>
      <w:r w:rsidRPr="00CE0885">
        <w:rPr>
          <w:spacing w:val="-4"/>
          <w:lang w:eastAsia="en-GB"/>
        </w:rPr>
        <w:t xml:space="preserve"> </w:t>
      </w:r>
      <w:r w:rsidRPr="00CE0885">
        <w:rPr>
          <w:lang w:eastAsia="en-GB"/>
        </w:rPr>
        <w:t>should</w:t>
      </w:r>
      <w:r w:rsidRPr="00CE0885">
        <w:rPr>
          <w:spacing w:val="-8"/>
          <w:lang w:eastAsia="en-GB"/>
        </w:rPr>
        <w:t xml:space="preserve"> </w:t>
      </w:r>
      <w:r w:rsidRPr="00CE0885">
        <w:rPr>
          <w:lang w:eastAsia="en-GB"/>
        </w:rPr>
        <w:t>be</w:t>
      </w:r>
      <w:r w:rsidRPr="00CE0885">
        <w:rPr>
          <w:spacing w:val="-1"/>
          <w:lang w:eastAsia="en-GB"/>
        </w:rPr>
        <w:t xml:space="preserve"> provided no </w:t>
      </w:r>
      <w:r w:rsidRPr="00CE0885">
        <w:rPr>
          <w:spacing w:val="-3"/>
          <w:lang w:eastAsia="en-GB"/>
        </w:rPr>
        <w:t>l</w:t>
      </w:r>
      <w:r w:rsidRPr="00CE0885">
        <w:rPr>
          <w:lang w:eastAsia="en-GB"/>
        </w:rPr>
        <w:t>ess</w:t>
      </w:r>
      <w:r w:rsidRPr="00CE0885">
        <w:rPr>
          <w:spacing w:val="-4"/>
          <w:lang w:eastAsia="en-GB"/>
        </w:rPr>
        <w:t xml:space="preserve"> </w:t>
      </w:r>
      <w:r w:rsidRPr="00CE0885">
        <w:rPr>
          <w:lang w:eastAsia="en-GB"/>
        </w:rPr>
        <w:t>t</w:t>
      </w:r>
      <w:r w:rsidRPr="00CE0885">
        <w:rPr>
          <w:spacing w:val="-1"/>
          <w:lang w:eastAsia="en-GB"/>
        </w:rPr>
        <w:t>h</w:t>
      </w:r>
      <w:r w:rsidRPr="00CE0885">
        <w:rPr>
          <w:lang w:eastAsia="en-GB"/>
        </w:rPr>
        <w:t>an</w:t>
      </w:r>
      <w:r w:rsidRPr="00CE0885">
        <w:rPr>
          <w:spacing w:val="-6"/>
          <w:lang w:eastAsia="en-GB"/>
        </w:rPr>
        <w:t xml:space="preserve"> </w:t>
      </w:r>
      <w:r w:rsidRPr="00CE0885">
        <w:rPr>
          <w:lang w:eastAsia="en-GB"/>
        </w:rPr>
        <w:t>28</w:t>
      </w:r>
      <w:r w:rsidRPr="00CE0885">
        <w:rPr>
          <w:spacing w:val="-4"/>
          <w:lang w:eastAsia="en-GB"/>
        </w:rPr>
        <w:t xml:space="preserve"> </w:t>
      </w:r>
      <w:r w:rsidRPr="00CE0885">
        <w:rPr>
          <w:lang w:eastAsia="en-GB"/>
        </w:rPr>
        <w:t>d</w:t>
      </w:r>
      <w:r w:rsidRPr="00CE0885">
        <w:rPr>
          <w:spacing w:val="-1"/>
          <w:lang w:eastAsia="en-GB"/>
        </w:rPr>
        <w:t>a</w:t>
      </w:r>
      <w:r w:rsidRPr="00CE0885">
        <w:rPr>
          <w:spacing w:val="-2"/>
          <w:lang w:eastAsia="en-GB"/>
        </w:rPr>
        <w:t>y</w:t>
      </w:r>
      <w:r w:rsidRPr="00CE0885">
        <w:rPr>
          <w:lang w:eastAsia="en-GB"/>
        </w:rPr>
        <w:t>s</w:t>
      </w:r>
      <w:r w:rsidRPr="00CE0885">
        <w:rPr>
          <w:spacing w:val="-5"/>
          <w:lang w:eastAsia="en-GB"/>
        </w:rPr>
        <w:t xml:space="preserve"> </w:t>
      </w:r>
      <w:r w:rsidRPr="00CE0885">
        <w:rPr>
          <w:lang w:eastAsia="en-GB"/>
        </w:rPr>
        <w:t>befo</w:t>
      </w:r>
      <w:r w:rsidRPr="00CE0885">
        <w:rPr>
          <w:spacing w:val="-1"/>
          <w:lang w:eastAsia="en-GB"/>
        </w:rPr>
        <w:t>r</w:t>
      </w:r>
      <w:r w:rsidRPr="00CE0885">
        <w:rPr>
          <w:lang w:eastAsia="en-GB"/>
        </w:rPr>
        <w:t>e</w:t>
      </w:r>
      <w:r w:rsidRPr="00CE0885">
        <w:rPr>
          <w:spacing w:val="-5"/>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p</w:t>
      </w:r>
      <w:r w:rsidRPr="00CE0885">
        <w:rPr>
          <w:spacing w:val="-3"/>
          <w:lang w:eastAsia="en-GB"/>
        </w:rPr>
        <w:t>r</w:t>
      </w:r>
      <w:r w:rsidRPr="00CE0885">
        <w:rPr>
          <w:lang w:eastAsia="en-GB"/>
        </w:rPr>
        <w:t>opo</w:t>
      </w:r>
      <w:r w:rsidRPr="00CE0885">
        <w:rPr>
          <w:spacing w:val="-2"/>
          <w:lang w:eastAsia="en-GB"/>
        </w:rPr>
        <w:t>s</w:t>
      </w:r>
      <w:r w:rsidRPr="00CE0885">
        <w:rPr>
          <w:lang w:eastAsia="en-GB"/>
        </w:rPr>
        <w:t>ed variation takes effect.</w:t>
      </w:r>
      <w:bookmarkEnd w:id="909"/>
    </w:p>
    <w:p w14:paraId="5FFEB580" w14:textId="3BE090A7" w:rsidR="00977693" w:rsidRDefault="00977693" w:rsidP="00EC7864">
      <w:pPr>
        <w:pStyle w:val="Heading3"/>
        <w:rPr>
          <w:lang w:eastAsia="en-GB"/>
        </w:rPr>
      </w:pPr>
      <w:bookmarkStart w:id="910" w:name="_Toc440982028"/>
      <w:r w:rsidRPr="00CE0885">
        <w:rPr>
          <w:lang w:eastAsia="en-GB"/>
        </w:rPr>
        <w:t>For</w:t>
      </w:r>
      <w:r w:rsidRPr="00A553BA">
        <w:t xml:space="preserve"> </w:t>
      </w:r>
      <w:r w:rsidRPr="00CE0885">
        <w:rPr>
          <w:lang w:eastAsia="en-GB"/>
        </w:rPr>
        <w:t>G</w:t>
      </w:r>
      <w:r w:rsidRPr="00A553BA">
        <w:t>M</w:t>
      </w:r>
      <w:r w:rsidRPr="00CE0885">
        <w:rPr>
          <w:lang w:eastAsia="en-GB"/>
        </w:rPr>
        <w:t>S</w:t>
      </w:r>
      <w:r w:rsidRPr="00A553BA">
        <w:t xml:space="preserve"> </w:t>
      </w:r>
      <w:r w:rsidRPr="00CE0885">
        <w:rPr>
          <w:lang w:eastAsia="en-GB"/>
        </w:rPr>
        <w:t>co</w:t>
      </w:r>
      <w:r w:rsidRPr="00A553BA">
        <w:t>n</w:t>
      </w:r>
      <w:r w:rsidRPr="00CE0885">
        <w:rPr>
          <w:lang w:eastAsia="en-GB"/>
        </w:rPr>
        <w:t>t</w:t>
      </w:r>
      <w:r w:rsidRPr="00A553BA">
        <w:t>r</w:t>
      </w:r>
      <w:r w:rsidRPr="00CE0885">
        <w:rPr>
          <w:lang w:eastAsia="en-GB"/>
        </w:rPr>
        <w:t>acts,</w:t>
      </w:r>
      <w:r w:rsidRPr="00A553BA">
        <w:t xml:space="preserve"> </w:t>
      </w:r>
      <w:r w:rsidRPr="00CE0885">
        <w:rPr>
          <w:lang w:eastAsia="en-GB"/>
        </w:rPr>
        <w:t>t</w:t>
      </w:r>
      <w:r w:rsidRPr="00A553BA">
        <w:t>h</w:t>
      </w:r>
      <w:r w:rsidRPr="00CE0885">
        <w:rPr>
          <w:lang w:eastAsia="en-GB"/>
        </w:rPr>
        <w:t>e</w:t>
      </w:r>
      <w:r w:rsidRPr="00A553BA">
        <w:t xml:space="preserve"> f</w:t>
      </w:r>
      <w:r w:rsidRPr="00CE0885">
        <w:rPr>
          <w:lang w:eastAsia="en-GB"/>
        </w:rPr>
        <w:t>in</w:t>
      </w:r>
      <w:r w:rsidRPr="00A553BA">
        <w:t>a</w:t>
      </w:r>
      <w:r w:rsidRPr="00CE0885">
        <w:rPr>
          <w:lang w:eastAsia="en-GB"/>
        </w:rPr>
        <w:t>ncial</w:t>
      </w:r>
      <w:r w:rsidRPr="00A553BA">
        <w:t xml:space="preserve"> </w:t>
      </w:r>
      <w:r w:rsidRPr="00CE0885">
        <w:rPr>
          <w:lang w:eastAsia="en-GB"/>
        </w:rPr>
        <w:t>te</w:t>
      </w:r>
      <w:r w:rsidRPr="00A553BA">
        <w:t>rm</w:t>
      </w:r>
      <w:r w:rsidRPr="00CE0885">
        <w:rPr>
          <w:lang w:eastAsia="en-GB"/>
        </w:rPr>
        <w:t>s</w:t>
      </w:r>
      <w:r w:rsidRPr="00A553BA">
        <w:t xml:space="preserve"> m</w:t>
      </w:r>
      <w:r w:rsidRPr="00CE0885">
        <w:rPr>
          <w:lang w:eastAsia="en-GB"/>
        </w:rPr>
        <w:t>ust</w:t>
      </w:r>
      <w:r w:rsidRPr="00A553BA">
        <w:t xml:space="preserve"> r</w:t>
      </w:r>
      <w:r w:rsidRPr="00CE0885">
        <w:rPr>
          <w:lang w:eastAsia="en-GB"/>
        </w:rPr>
        <w:t>e</w:t>
      </w:r>
      <w:r w:rsidRPr="00A553BA">
        <w:t>f</w:t>
      </w:r>
      <w:r w:rsidRPr="00CE0885">
        <w:rPr>
          <w:lang w:eastAsia="en-GB"/>
        </w:rPr>
        <w:t>le</w:t>
      </w:r>
      <w:r w:rsidRPr="00A553BA">
        <w:t>c</w:t>
      </w:r>
      <w:r w:rsidRPr="00CE0885">
        <w:rPr>
          <w:lang w:eastAsia="en-GB"/>
        </w:rPr>
        <w:t>t</w:t>
      </w:r>
      <w:r w:rsidRPr="00A553BA">
        <w:t xml:space="preserve"> </w:t>
      </w:r>
      <w:r w:rsidRPr="00CE0885">
        <w:rPr>
          <w:lang w:eastAsia="en-GB"/>
        </w:rPr>
        <w:t>t</w:t>
      </w:r>
      <w:r w:rsidRPr="00A553BA">
        <w:t>h</w:t>
      </w:r>
      <w:r w:rsidRPr="00CE0885">
        <w:rPr>
          <w:lang w:eastAsia="en-GB"/>
        </w:rPr>
        <w:t>ose</w:t>
      </w:r>
      <w:r w:rsidRPr="00A553BA">
        <w:t xml:space="preserve"> s</w:t>
      </w:r>
      <w:r w:rsidRPr="00CE0885">
        <w:rPr>
          <w:lang w:eastAsia="en-GB"/>
        </w:rPr>
        <w:t>et</w:t>
      </w:r>
      <w:r w:rsidRPr="00A553BA">
        <w:t xml:space="preserve"> </w:t>
      </w:r>
      <w:r w:rsidRPr="00CE0885">
        <w:rPr>
          <w:lang w:eastAsia="en-GB"/>
        </w:rPr>
        <w:t>out</w:t>
      </w:r>
      <w:r w:rsidRPr="00A553BA">
        <w:t xml:space="preserve"> i</w:t>
      </w:r>
      <w:r w:rsidRPr="00CE0885">
        <w:rPr>
          <w:lang w:eastAsia="en-GB"/>
        </w:rPr>
        <w:t>n the</w:t>
      </w:r>
      <w:r w:rsidRPr="00A553BA">
        <w:t xml:space="preserve"> GMS SFE</w:t>
      </w:r>
      <w:r w:rsidRPr="00CE0885">
        <w:rPr>
          <w:lang w:eastAsia="en-GB"/>
        </w:rPr>
        <w:t>.</w:t>
      </w:r>
      <w:r w:rsidRPr="00A553BA">
        <w:t xml:space="preserve"> </w:t>
      </w:r>
      <w:r w:rsidRPr="00CE0885">
        <w:rPr>
          <w:lang w:eastAsia="en-GB"/>
        </w:rPr>
        <w:t>The</w:t>
      </w:r>
      <w:r w:rsidRPr="00A553BA">
        <w:t>r</w:t>
      </w:r>
      <w:r w:rsidRPr="00CE0885">
        <w:rPr>
          <w:lang w:eastAsia="en-GB"/>
        </w:rPr>
        <w:t>e</w:t>
      </w:r>
      <w:r w:rsidRPr="00A553BA">
        <w:t xml:space="preserve"> </w:t>
      </w:r>
      <w:r w:rsidRPr="00CE0885">
        <w:rPr>
          <w:lang w:eastAsia="en-GB"/>
        </w:rPr>
        <w:t>is</w:t>
      </w:r>
      <w:r w:rsidRPr="00A553BA">
        <w:t xml:space="preserve"> </w:t>
      </w:r>
      <w:r w:rsidRPr="00CE0885">
        <w:rPr>
          <w:lang w:eastAsia="en-GB"/>
        </w:rPr>
        <w:t>no</w:t>
      </w:r>
      <w:r w:rsidRPr="00A553BA">
        <w:t xml:space="preserve"> </w:t>
      </w:r>
      <w:r w:rsidRPr="00CE0885">
        <w:rPr>
          <w:lang w:eastAsia="en-GB"/>
        </w:rPr>
        <w:t>su</w:t>
      </w:r>
      <w:r w:rsidRPr="00A553BA">
        <w:t>c</w:t>
      </w:r>
      <w:r w:rsidRPr="00CE0885">
        <w:rPr>
          <w:lang w:eastAsia="en-GB"/>
        </w:rPr>
        <w:t xml:space="preserve">h </w:t>
      </w:r>
      <w:r w:rsidRPr="00A553BA">
        <w:t>r</w:t>
      </w:r>
      <w:r w:rsidRPr="00CE0885">
        <w:rPr>
          <w:lang w:eastAsia="en-GB"/>
        </w:rPr>
        <w:t>e</w:t>
      </w:r>
      <w:r w:rsidRPr="00A553BA">
        <w:t>q</w:t>
      </w:r>
      <w:r w:rsidRPr="00CE0885">
        <w:rPr>
          <w:lang w:eastAsia="en-GB"/>
        </w:rPr>
        <w:t>ui</w:t>
      </w:r>
      <w:r w:rsidRPr="00A553BA">
        <w:t>r</w:t>
      </w:r>
      <w:r w:rsidRPr="00CE0885">
        <w:rPr>
          <w:lang w:eastAsia="en-GB"/>
        </w:rPr>
        <w:t>e</w:t>
      </w:r>
      <w:r w:rsidRPr="00A553BA">
        <w:t>m</w:t>
      </w:r>
      <w:r w:rsidRPr="00CE0885">
        <w:rPr>
          <w:lang w:eastAsia="en-GB"/>
        </w:rPr>
        <w:t>ent</w:t>
      </w:r>
      <w:r w:rsidRPr="00A553BA">
        <w:t xml:space="preserve"> </w:t>
      </w:r>
      <w:r w:rsidRPr="00CE0885">
        <w:rPr>
          <w:lang w:eastAsia="en-GB"/>
        </w:rPr>
        <w:t>u</w:t>
      </w:r>
      <w:r w:rsidRPr="00A553BA">
        <w:t>n</w:t>
      </w:r>
      <w:r w:rsidRPr="00CE0885">
        <w:rPr>
          <w:lang w:eastAsia="en-GB"/>
        </w:rPr>
        <w:t>der</w:t>
      </w:r>
      <w:r w:rsidRPr="00A553BA">
        <w:t xml:space="preserve"> </w:t>
      </w:r>
      <w:r w:rsidRPr="00CE0885">
        <w:rPr>
          <w:lang w:eastAsia="en-GB"/>
        </w:rPr>
        <w:t>P</w:t>
      </w:r>
      <w:r w:rsidRPr="00A553BA">
        <w:t>M</w:t>
      </w:r>
      <w:r w:rsidRPr="00CE0885">
        <w:rPr>
          <w:lang w:eastAsia="en-GB"/>
        </w:rPr>
        <w:t>S</w:t>
      </w:r>
      <w:r w:rsidRPr="00A553BA">
        <w:t xml:space="preserve"> </w:t>
      </w:r>
      <w:r w:rsidRPr="00CE0885">
        <w:rPr>
          <w:lang w:eastAsia="en-GB"/>
        </w:rPr>
        <w:t>or</w:t>
      </w:r>
      <w:r w:rsidRPr="00A553BA">
        <w:t xml:space="preserve"> </w:t>
      </w:r>
      <w:r w:rsidRPr="00CE0885">
        <w:rPr>
          <w:lang w:eastAsia="en-GB"/>
        </w:rPr>
        <w:t>AP</w:t>
      </w:r>
      <w:r w:rsidRPr="00A553BA">
        <w:t>M</w:t>
      </w:r>
      <w:r w:rsidRPr="00CE0885">
        <w:rPr>
          <w:lang w:eastAsia="en-GB"/>
        </w:rPr>
        <w:t>S</w:t>
      </w:r>
      <w:r w:rsidRPr="00A553BA">
        <w:t xml:space="preserve"> </w:t>
      </w:r>
      <w:r w:rsidRPr="00CE0885">
        <w:rPr>
          <w:lang w:eastAsia="en-GB"/>
        </w:rPr>
        <w:t>contracts which ha</w:t>
      </w:r>
      <w:r w:rsidRPr="00A553BA">
        <w:t>v</w:t>
      </w:r>
      <w:r w:rsidRPr="00CE0885">
        <w:rPr>
          <w:lang w:eastAsia="en-GB"/>
        </w:rPr>
        <w:t>e</w:t>
      </w:r>
      <w:r w:rsidRPr="00A553BA">
        <w:t xml:space="preserve"> </w:t>
      </w:r>
      <w:r w:rsidRPr="00CE0885">
        <w:rPr>
          <w:lang w:eastAsia="en-GB"/>
        </w:rPr>
        <w:t>be</w:t>
      </w:r>
      <w:r w:rsidRPr="00A553BA">
        <w:t>e</w:t>
      </w:r>
      <w:r w:rsidRPr="00CE0885">
        <w:rPr>
          <w:lang w:eastAsia="en-GB"/>
        </w:rPr>
        <w:t>n locally</w:t>
      </w:r>
      <w:r w:rsidRPr="00A553BA">
        <w:t xml:space="preserve"> </w:t>
      </w:r>
      <w:r w:rsidRPr="00CE0885">
        <w:rPr>
          <w:lang w:eastAsia="en-GB"/>
        </w:rPr>
        <w:t>a</w:t>
      </w:r>
      <w:r w:rsidRPr="00A553BA">
        <w:t>gr</w:t>
      </w:r>
      <w:r w:rsidRPr="00CE0885">
        <w:rPr>
          <w:lang w:eastAsia="en-GB"/>
        </w:rPr>
        <w:t>eed</w:t>
      </w:r>
      <w:r w:rsidR="00984F9A">
        <w:rPr>
          <w:lang w:eastAsia="en-GB"/>
        </w:rPr>
        <w:t xml:space="preserve">. </w:t>
      </w:r>
      <w:r w:rsidR="00984F9A" w:rsidRPr="009953FE">
        <w:rPr>
          <w:highlight w:val="yellow"/>
          <w:lang w:eastAsia="en-GB"/>
        </w:rPr>
        <w:t xml:space="preserve">NHS </w:t>
      </w:r>
      <w:r w:rsidR="00C65584" w:rsidRPr="009953FE">
        <w:rPr>
          <w:highlight w:val="yellow"/>
          <w:lang w:eastAsia="en-GB"/>
        </w:rPr>
        <w:t xml:space="preserve">England </w:t>
      </w:r>
      <w:r w:rsidR="00984F9A" w:rsidRPr="009953FE">
        <w:rPr>
          <w:highlight w:val="yellow"/>
          <w:lang w:eastAsia="en-GB"/>
        </w:rPr>
        <w:t xml:space="preserve">does however </w:t>
      </w:r>
      <w:r w:rsidR="00C65584" w:rsidRPr="009953FE">
        <w:rPr>
          <w:highlight w:val="yellow"/>
          <w:lang w:eastAsia="en-GB"/>
        </w:rPr>
        <w:t>ha</w:t>
      </w:r>
      <w:r w:rsidR="00984F9A" w:rsidRPr="009953FE">
        <w:rPr>
          <w:highlight w:val="yellow"/>
          <w:lang w:eastAsia="en-GB"/>
        </w:rPr>
        <w:t>ve</w:t>
      </w:r>
      <w:r w:rsidR="00C65584" w:rsidRPr="009953FE">
        <w:rPr>
          <w:highlight w:val="yellow"/>
          <w:lang w:eastAsia="en-GB"/>
        </w:rPr>
        <w:t xml:space="preserve"> a policy of </w:t>
      </w:r>
      <w:r w:rsidR="00984F9A" w:rsidRPr="009953FE">
        <w:rPr>
          <w:highlight w:val="yellow"/>
          <w:lang w:eastAsia="en-GB"/>
        </w:rPr>
        <w:t xml:space="preserve">equitable funding for the core services expected of all </w:t>
      </w:r>
      <w:r w:rsidR="00E841D8" w:rsidRPr="009953FE">
        <w:rPr>
          <w:highlight w:val="yellow"/>
          <w:lang w:eastAsia="en-GB"/>
        </w:rPr>
        <w:t>GP practices</w:t>
      </w:r>
      <w:r w:rsidRPr="009953FE">
        <w:rPr>
          <w:highlight w:val="yellow"/>
          <w:lang w:eastAsia="en-GB"/>
        </w:rPr>
        <w:t>.</w:t>
      </w:r>
      <w:r w:rsidRPr="00CE0885">
        <w:rPr>
          <w:lang w:eastAsia="en-GB"/>
        </w:rPr>
        <w:t xml:space="preserve"> </w:t>
      </w:r>
      <w:r w:rsidRPr="00A553BA">
        <w:t xml:space="preserve"> </w:t>
      </w:r>
      <w:r w:rsidRPr="00CE0885">
        <w:rPr>
          <w:lang w:eastAsia="en-GB"/>
        </w:rPr>
        <w:t>Any</w:t>
      </w:r>
      <w:r w:rsidRPr="00A553BA">
        <w:t xml:space="preserve"> </w:t>
      </w:r>
      <w:r w:rsidRPr="00CE0885">
        <w:rPr>
          <w:lang w:eastAsia="en-GB"/>
        </w:rPr>
        <w:t>chan</w:t>
      </w:r>
      <w:r w:rsidRPr="00A553BA">
        <w:t>g</w:t>
      </w:r>
      <w:r w:rsidRPr="00CE0885">
        <w:rPr>
          <w:lang w:eastAsia="en-GB"/>
        </w:rPr>
        <w:t>es</w:t>
      </w:r>
      <w:r w:rsidRPr="00A553BA">
        <w:t xml:space="preserve"> </w:t>
      </w:r>
      <w:r w:rsidRPr="00CE0885">
        <w:rPr>
          <w:lang w:eastAsia="en-GB"/>
        </w:rPr>
        <w:t>u</w:t>
      </w:r>
      <w:r w:rsidRPr="00A553BA">
        <w:t>n</w:t>
      </w:r>
      <w:r w:rsidRPr="00CE0885">
        <w:rPr>
          <w:lang w:eastAsia="en-GB"/>
        </w:rPr>
        <w:t>der</w:t>
      </w:r>
      <w:r w:rsidRPr="00A553BA">
        <w:t xml:space="preserve"> </w:t>
      </w:r>
      <w:r w:rsidRPr="00CE0885">
        <w:rPr>
          <w:lang w:eastAsia="en-GB"/>
        </w:rPr>
        <w:t>t</w:t>
      </w:r>
      <w:r w:rsidRPr="00A553BA">
        <w:t>h</w:t>
      </w:r>
      <w:r w:rsidRPr="00CE0885">
        <w:rPr>
          <w:lang w:eastAsia="en-GB"/>
        </w:rPr>
        <w:t>e</w:t>
      </w:r>
      <w:r w:rsidRPr="00A553BA">
        <w:t xml:space="preserve"> GMS </w:t>
      </w:r>
      <w:r w:rsidRPr="00CE0885">
        <w:rPr>
          <w:lang w:eastAsia="en-GB"/>
        </w:rPr>
        <w:t>SFE</w:t>
      </w:r>
      <w:r w:rsidRPr="00A553BA">
        <w:t xml:space="preserve"> </w:t>
      </w:r>
      <w:r w:rsidRPr="00CE0885">
        <w:rPr>
          <w:lang w:eastAsia="en-GB"/>
        </w:rPr>
        <w:t>sh</w:t>
      </w:r>
      <w:r w:rsidRPr="00A553BA">
        <w:t>o</w:t>
      </w:r>
      <w:r w:rsidRPr="00CE0885">
        <w:rPr>
          <w:lang w:eastAsia="en-GB"/>
        </w:rPr>
        <w:t>uld</w:t>
      </w:r>
      <w:r w:rsidRPr="00A553BA">
        <w:t xml:space="preserve"> b</w:t>
      </w:r>
      <w:r w:rsidRPr="00CE0885">
        <w:rPr>
          <w:lang w:eastAsia="en-GB"/>
        </w:rPr>
        <w:t xml:space="preserve">e </w:t>
      </w:r>
      <w:r w:rsidRPr="00A553BA">
        <w:t>r</w:t>
      </w:r>
      <w:r w:rsidRPr="00CE0885">
        <w:rPr>
          <w:lang w:eastAsia="en-GB"/>
        </w:rPr>
        <w:t>e</w:t>
      </w:r>
      <w:r w:rsidRPr="00A553BA">
        <w:t>v</w:t>
      </w:r>
      <w:r w:rsidRPr="00CE0885">
        <w:rPr>
          <w:lang w:eastAsia="en-GB"/>
        </w:rPr>
        <w:t>i</w:t>
      </w:r>
      <w:r w:rsidRPr="00A553BA">
        <w:t>ew</w:t>
      </w:r>
      <w:r w:rsidRPr="00CE0885">
        <w:rPr>
          <w:lang w:eastAsia="en-GB"/>
        </w:rPr>
        <w:t>ed</w:t>
      </w:r>
      <w:r w:rsidRPr="00A553BA">
        <w:t xml:space="preserve"> </w:t>
      </w:r>
      <w:r w:rsidRPr="00CE0885">
        <w:rPr>
          <w:lang w:eastAsia="en-GB"/>
        </w:rPr>
        <w:t>a</w:t>
      </w:r>
      <w:r w:rsidRPr="00A553BA">
        <w:t>g</w:t>
      </w:r>
      <w:r w:rsidRPr="00CE0885">
        <w:rPr>
          <w:lang w:eastAsia="en-GB"/>
        </w:rPr>
        <w:t>ainst</w:t>
      </w:r>
      <w:r w:rsidRPr="00A553BA">
        <w:t xml:space="preserve"> </w:t>
      </w:r>
      <w:r w:rsidRPr="00CE0885">
        <w:rPr>
          <w:lang w:eastAsia="en-GB"/>
        </w:rPr>
        <w:t>t</w:t>
      </w:r>
      <w:r w:rsidRPr="00A553BA">
        <w:t>h</w:t>
      </w:r>
      <w:r w:rsidRPr="00CE0885">
        <w:rPr>
          <w:lang w:eastAsia="en-GB"/>
        </w:rPr>
        <w:t>e</w:t>
      </w:r>
      <w:r w:rsidRPr="00A553BA">
        <w:t xml:space="preserve"> t</w:t>
      </w:r>
      <w:r w:rsidRPr="00CE0885">
        <w:rPr>
          <w:lang w:eastAsia="en-GB"/>
        </w:rPr>
        <w:t>e</w:t>
      </w:r>
      <w:r w:rsidRPr="00A553BA">
        <w:t>rm</w:t>
      </w:r>
      <w:r w:rsidRPr="00CE0885">
        <w:rPr>
          <w:lang w:eastAsia="en-GB"/>
        </w:rPr>
        <w:t>s</w:t>
      </w:r>
      <w:r w:rsidRPr="00A553BA">
        <w:t xml:space="preserve"> o</w:t>
      </w:r>
      <w:r w:rsidRPr="00CE0885">
        <w:rPr>
          <w:lang w:eastAsia="en-GB"/>
        </w:rPr>
        <w:t>f</w:t>
      </w:r>
      <w:r w:rsidRPr="00A553BA">
        <w:t xml:space="preserve"> e</w:t>
      </w:r>
      <w:r w:rsidRPr="00CE0885">
        <w:rPr>
          <w:lang w:eastAsia="en-GB"/>
        </w:rPr>
        <w:t>ach</w:t>
      </w:r>
      <w:r w:rsidRPr="00A553BA">
        <w:t xml:space="preserve"> o</w:t>
      </w:r>
      <w:r w:rsidRPr="00CE0885">
        <w:rPr>
          <w:lang w:eastAsia="en-GB"/>
        </w:rPr>
        <w:t xml:space="preserve">f </w:t>
      </w:r>
      <w:r w:rsidRPr="00A553BA">
        <w:t>t</w:t>
      </w:r>
      <w:r w:rsidRPr="00CE0885">
        <w:rPr>
          <w:lang w:eastAsia="en-GB"/>
        </w:rPr>
        <w:t>he</w:t>
      </w:r>
      <w:r w:rsidRPr="00A553BA">
        <w:t xml:space="preserve"> </w:t>
      </w:r>
      <w:r w:rsidRPr="00CE0885">
        <w:rPr>
          <w:lang w:eastAsia="en-GB"/>
        </w:rPr>
        <w:t>i</w:t>
      </w:r>
      <w:r w:rsidRPr="00A553BA">
        <w:t>nd</w:t>
      </w:r>
      <w:r w:rsidRPr="00CE0885">
        <w:rPr>
          <w:lang w:eastAsia="en-GB"/>
        </w:rPr>
        <w:t>i</w:t>
      </w:r>
      <w:r w:rsidRPr="00A553BA">
        <w:t>v</w:t>
      </w:r>
      <w:r w:rsidRPr="00CE0885">
        <w:rPr>
          <w:lang w:eastAsia="en-GB"/>
        </w:rPr>
        <w:t>idual</w:t>
      </w:r>
      <w:r w:rsidRPr="00A553BA">
        <w:t xml:space="preserve"> </w:t>
      </w:r>
      <w:r w:rsidRPr="00CE0885">
        <w:rPr>
          <w:lang w:eastAsia="en-GB"/>
        </w:rPr>
        <w:t>contracts</w:t>
      </w:r>
      <w:r w:rsidRPr="00A553BA">
        <w:t xml:space="preserve"> </w:t>
      </w:r>
      <w:r w:rsidRPr="00CE0885">
        <w:rPr>
          <w:lang w:eastAsia="en-GB"/>
        </w:rPr>
        <w:t>to asce</w:t>
      </w:r>
      <w:r w:rsidRPr="00A553BA">
        <w:t>r</w:t>
      </w:r>
      <w:r w:rsidRPr="00CE0885">
        <w:rPr>
          <w:lang w:eastAsia="en-GB"/>
        </w:rPr>
        <w:t>tain</w:t>
      </w:r>
      <w:r w:rsidRPr="00A553BA">
        <w:t xml:space="preserve"> w</w:t>
      </w:r>
      <w:r w:rsidRPr="00CE0885">
        <w:rPr>
          <w:lang w:eastAsia="en-GB"/>
        </w:rPr>
        <w:t>hat,</w:t>
      </w:r>
      <w:r w:rsidRPr="00A553BA">
        <w:t xml:space="preserve"> i</w:t>
      </w:r>
      <w:r w:rsidRPr="00CE0885">
        <w:rPr>
          <w:lang w:eastAsia="en-GB"/>
        </w:rPr>
        <w:t>f</w:t>
      </w:r>
      <w:r w:rsidRPr="00A553BA">
        <w:t xml:space="preserve"> a</w:t>
      </w:r>
      <w:r w:rsidRPr="00CE0885">
        <w:rPr>
          <w:lang w:eastAsia="en-GB"/>
        </w:rPr>
        <w:t>n</w:t>
      </w:r>
      <w:r w:rsidRPr="00A553BA">
        <w:t>y</w:t>
      </w:r>
      <w:r w:rsidRPr="00CE0885">
        <w:rPr>
          <w:lang w:eastAsia="en-GB"/>
        </w:rPr>
        <w:t>,</w:t>
      </w:r>
      <w:r w:rsidRPr="00A553BA">
        <w:t xml:space="preserve"> a</w:t>
      </w:r>
      <w:r w:rsidRPr="00CE0885">
        <w:rPr>
          <w:lang w:eastAsia="en-GB"/>
        </w:rPr>
        <w:t>f</w:t>
      </w:r>
      <w:r w:rsidRPr="00A553BA">
        <w:t>f</w:t>
      </w:r>
      <w:r w:rsidRPr="00CE0885">
        <w:rPr>
          <w:lang w:eastAsia="en-GB"/>
        </w:rPr>
        <w:t>ect</w:t>
      </w:r>
      <w:r w:rsidRPr="00A553BA">
        <w:t xml:space="preserve"> </w:t>
      </w:r>
      <w:r w:rsidRPr="00CE0885">
        <w:rPr>
          <w:lang w:eastAsia="en-GB"/>
        </w:rPr>
        <w:t>t</w:t>
      </w:r>
      <w:r w:rsidRPr="00A553BA">
        <w:t>h</w:t>
      </w:r>
      <w:r w:rsidRPr="00CE0885">
        <w:rPr>
          <w:lang w:eastAsia="en-GB"/>
        </w:rPr>
        <w:t>ose</w:t>
      </w:r>
      <w:r w:rsidRPr="00A553BA">
        <w:t xml:space="preserve"> c</w:t>
      </w:r>
      <w:r w:rsidRPr="00CE0885">
        <w:rPr>
          <w:lang w:eastAsia="en-GB"/>
        </w:rPr>
        <w:t>han</w:t>
      </w:r>
      <w:r w:rsidRPr="00A553BA">
        <w:t>g</w:t>
      </w:r>
      <w:r w:rsidRPr="00CE0885">
        <w:rPr>
          <w:lang w:eastAsia="en-GB"/>
        </w:rPr>
        <w:t>es</w:t>
      </w:r>
      <w:r w:rsidRPr="00A553BA">
        <w:t xml:space="preserve"> h</w:t>
      </w:r>
      <w:r w:rsidRPr="00CE0885">
        <w:rPr>
          <w:lang w:eastAsia="en-GB"/>
        </w:rPr>
        <w:t>a</w:t>
      </w:r>
      <w:r w:rsidRPr="00A553BA">
        <w:t>v</w:t>
      </w:r>
      <w:r w:rsidRPr="00CE0885">
        <w:rPr>
          <w:lang w:eastAsia="en-GB"/>
        </w:rPr>
        <w:t>e</w:t>
      </w:r>
      <w:r w:rsidRPr="00A553BA">
        <w:t xml:space="preserve"> </w:t>
      </w:r>
      <w:r w:rsidRPr="00CE0885">
        <w:rPr>
          <w:lang w:eastAsia="en-GB"/>
        </w:rPr>
        <w:t>on</w:t>
      </w:r>
      <w:r w:rsidRPr="00A553BA">
        <w:t xml:space="preserve"> </w:t>
      </w:r>
      <w:r w:rsidRPr="00CE0885">
        <w:rPr>
          <w:lang w:eastAsia="en-GB"/>
        </w:rPr>
        <w:t>local</w:t>
      </w:r>
      <w:r w:rsidRPr="00A553BA">
        <w:t xml:space="preserve"> fi</w:t>
      </w:r>
      <w:r w:rsidRPr="00CE0885">
        <w:rPr>
          <w:lang w:eastAsia="en-GB"/>
        </w:rPr>
        <w:t>n</w:t>
      </w:r>
      <w:r w:rsidRPr="00A553BA">
        <w:t>a</w:t>
      </w:r>
      <w:r w:rsidRPr="00CE0885">
        <w:rPr>
          <w:lang w:eastAsia="en-GB"/>
        </w:rPr>
        <w:t>ncial te</w:t>
      </w:r>
      <w:r w:rsidRPr="00A553BA">
        <w:t>rm</w:t>
      </w:r>
      <w:r w:rsidRPr="00CE0885">
        <w:rPr>
          <w:lang w:eastAsia="en-GB"/>
        </w:rPr>
        <w:t>s.</w:t>
      </w:r>
      <w:bookmarkEnd w:id="910"/>
    </w:p>
    <w:p w14:paraId="3F62F72E" w14:textId="77777777" w:rsidR="00671886" w:rsidRPr="006E22ED" w:rsidRDefault="00671886" w:rsidP="00B6353E">
      <w:pPr>
        <w:rPr>
          <w:lang w:eastAsia="en-GB"/>
        </w:rPr>
      </w:pPr>
    </w:p>
    <w:p w14:paraId="0A37ABD5" w14:textId="77777777" w:rsidR="00197F3F" w:rsidRPr="00850FF9" w:rsidRDefault="00197F3F" w:rsidP="00197F3F">
      <w:pPr>
        <w:pStyle w:val="Heading2"/>
      </w:pPr>
      <w:bookmarkStart w:id="911" w:name="_Toc95743462"/>
      <w:r w:rsidRPr="00850FF9">
        <w:t>Annex 4 Primary Care Support Services Notifications</w:t>
      </w:r>
      <w:bookmarkEnd w:id="911"/>
    </w:p>
    <w:p w14:paraId="14C7B132" w14:textId="77777777" w:rsidR="00197F3F" w:rsidRPr="00850FF9" w:rsidRDefault="00197F3F" w:rsidP="00197F3F">
      <w:pPr>
        <w:pStyle w:val="Body1"/>
        <w:spacing w:before="0" w:after="0" w:line="360" w:lineRule="auto"/>
        <w:jc w:val="center"/>
        <w:rPr>
          <w:rFonts w:cs="Arial"/>
          <w:b/>
          <w:sz w:val="24"/>
          <w:szCs w:val="24"/>
        </w:rPr>
      </w:pPr>
    </w:p>
    <w:p w14:paraId="76595CFC" w14:textId="083B8248" w:rsidR="00197F3F" w:rsidRPr="00850FF9" w:rsidRDefault="00197F3F" w:rsidP="00197F3F">
      <w:pPr>
        <w:pStyle w:val="Heading3"/>
        <w:rPr>
          <w:lang w:eastAsia="en-GB"/>
        </w:rPr>
      </w:pPr>
      <w:r w:rsidRPr="00850FF9">
        <w:t xml:space="preserve">Commissioners should ensure that following any contractual merger, GP performers are informed of their obligation to notify Primary Care Support England (PCSE) using the relevant online portal or forms issued by ‘the Board’ within 28 days.  </w:t>
      </w:r>
    </w:p>
    <w:p w14:paraId="33CAE81F" w14:textId="6E01A87E" w:rsidR="00197F3F" w:rsidRPr="00850FF9" w:rsidRDefault="00197F3F" w:rsidP="00197F3F">
      <w:pPr>
        <w:pStyle w:val="Heading3"/>
      </w:pPr>
      <w:r w:rsidRPr="00850FF9">
        <w:t xml:space="preserve">Additionally and more generally, GP performers and indeed performers in all contractor groups are required to notify </w:t>
      </w:r>
      <w:r w:rsidR="001248AD">
        <w:t>PCSE</w:t>
      </w:r>
      <w:r w:rsidRPr="00850FF9">
        <w:t xml:space="preserve"> of any changes relevant to their entry on the national performers list.  Further information is avaialbe here </w:t>
      </w:r>
      <w:hyperlink r:id="rId128" w:history="1">
        <w:r w:rsidRPr="00850FF9">
          <w:rPr>
            <w:rStyle w:val="Hyperlink"/>
          </w:rPr>
          <w:t>https://pcse.england.nhs.uk/services/performers-lists/gp-performers-list-for-england/</w:t>
        </w:r>
      </w:hyperlink>
    </w:p>
    <w:p w14:paraId="0B09D3E2" w14:textId="77777777" w:rsidR="00197F3F" w:rsidRPr="00B6353E" w:rsidRDefault="00197F3F" w:rsidP="00B6353E"/>
    <w:p w14:paraId="2A6DEC94" w14:textId="77777777" w:rsidR="00EE37F9" w:rsidRPr="00234752" w:rsidRDefault="00EE37F9" w:rsidP="00EC7864">
      <w:pPr>
        <w:pStyle w:val="Heading2"/>
        <w:rPr>
          <w:lang w:eastAsia="en-GB"/>
        </w:rPr>
      </w:pPr>
      <w:bookmarkStart w:id="912" w:name="_Toc5980047"/>
      <w:bookmarkStart w:id="913" w:name="_Toc95743463"/>
      <w:bookmarkEnd w:id="912"/>
      <w:r w:rsidRPr="00EE37F9">
        <w:rPr>
          <w:lang w:eastAsia="en-GB"/>
        </w:rPr>
        <w:t>Annexes</w:t>
      </w:r>
      <w:bookmarkEnd w:id="913"/>
      <w:r w:rsidRPr="00EE37F9">
        <w:rPr>
          <w:lang w:eastAsia="en-GB"/>
        </w:rPr>
        <w:t xml:space="preserve"> </w:t>
      </w:r>
    </w:p>
    <w:p w14:paraId="4985EAE8" w14:textId="727916D5"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r w:rsidRPr="00CE0885">
        <w:rPr>
          <w:rFonts w:cs="Arial"/>
          <w:b/>
          <w:bCs w:val="0"/>
          <w:szCs w:val="24"/>
          <w:lang w:eastAsia="en-GB"/>
        </w:rPr>
        <w:t>Annex 1</w:t>
      </w:r>
      <w:r w:rsidRPr="00CE0885">
        <w:rPr>
          <w:rFonts w:cs="Arial"/>
          <w:bCs w:val="0"/>
          <w:szCs w:val="24"/>
          <w:lang w:eastAsia="en-GB"/>
        </w:rPr>
        <w:t xml:space="preserve"> - Template Variation Notice for Legislation / Regulatory Change – GMS Contracts</w:t>
      </w:r>
    </w:p>
    <w:bookmarkStart w:id="914" w:name="_1556543465"/>
    <w:bookmarkEnd w:id="914"/>
    <w:p w14:paraId="62844F31" w14:textId="3DC7B30A" w:rsidR="004B4770" w:rsidRDefault="002306F3" w:rsidP="006C3DF5">
      <w:pPr>
        <w:pStyle w:val="ListParagraph"/>
        <w:numPr>
          <w:ilvl w:val="0"/>
          <w:numId w:val="123"/>
        </w:numPr>
      </w:pPr>
      <w:r>
        <w:fldChar w:fldCharType="begin"/>
      </w:r>
      <w:r>
        <w:instrText xml:space="preserve"> HYPERLINK "https://www.england.nhs.uk/publication/primary-medical-care-policy-and-guidance-manual-financial-changes-statement-of-financial-entitlements-annexes/" </w:instrText>
      </w:r>
      <w:r>
        <w:fldChar w:fldCharType="separate"/>
      </w:r>
      <w:r w:rsidR="004B4770">
        <w:rPr>
          <w:rStyle w:val="Hyperlink"/>
        </w:rPr>
        <w:t xml:space="preserve">Template Variation Notice for Legislation / </w:t>
      </w:r>
      <w:r w:rsidR="00EF433F">
        <w:rPr>
          <w:rStyle w:val="Hyperlink"/>
        </w:rPr>
        <w:t>Regulatory</w:t>
      </w:r>
      <w:r w:rsidR="004B4770">
        <w:rPr>
          <w:rStyle w:val="Hyperlink"/>
        </w:rPr>
        <w:t xml:space="preserve"> Change – GMS Contracts</w:t>
      </w:r>
      <w:r>
        <w:rPr>
          <w:rStyle w:val="Hyperlink"/>
        </w:rPr>
        <w:fldChar w:fldCharType="end"/>
      </w:r>
    </w:p>
    <w:p w14:paraId="3191A657" w14:textId="448D05D3"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p>
    <w:p w14:paraId="3BA72C33" w14:textId="77777777"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r w:rsidRPr="00CE0885">
        <w:rPr>
          <w:rFonts w:cs="Arial"/>
          <w:b/>
          <w:bCs w:val="0"/>
          <w:szCs w:val="24"/>
          <w:lang w:eastAsia="en-GB"/>
        </w:rPr>
        <w:t>Annex 2</w:t>
      </w:r>
      <w:r w:rsidRPr="00CE0885">
        <w:rPr>
          <w:rFonts w:cs="Arial"/>
          <w:bCs w:val="0"/>
          <w:szCs w:val="24"/>
          <w:lang w:eastAsia="en-GB"/>
        </w:rPr>
        <w:t xml:space="preserve"> Template Variation Notice for Legislation / Regulatory Change – PMS/APMS Contracts</w:t>
      </w:r>
    </w:p>
    <w:bookmarkStart w:id="915" w:name="_1556543616"/>
    <w:bookmarkEnd w:id="915"/>
    <w:p w14:paraId="3FEE5EE4" w14:textId="312C6AAA" w:rsidR="004B4770" w:rsidRDefault="002306F3" w:rsidP="006C3DF5">
      <w:pPr>
        <w:pStyle w:val="ListParagraph"/>
        <w:numPr>
          <w:ilvl w:val="0"/>
          <w:numId w:val="123"/>
        </w:numPr>
      </w:pPr>
      <w:r>
        <w:fldChar w:fldCharType="begin"/>
      </w:r>
      <w:r>
        <w:instrText xml:space="preserve"> HYPERLINK "https://www.england.nhs.uk/publication/primary-medical-care-policy-and-guidance-manual-financial-changes-statement-of-financial-entitlements-annexes/" </w:instrText>
      </w:r>
      <w:r>
        <w:fldChar w:fldCharType="separate"/>
      </w:r>
      <w:r w:rsidR="004B4770">
        <w:rPr>
          <w:rStyle w:val="Hyperlink"/>
        </w:rPr>
        <w:t xml:space="preserve">Template Variation Notice for Legislation / </w:t>
      </w:r>
      <w:r w:rsidR="00EF433F">
        <w:rPr>
          <w:rStyle w:val="Hyperlink"/>
        </w:rPr>
        <w:t>Regulatory</w:t>
      </w:r>
      <w:r w:rsidR="004B4770">
        <w:rPr>
          <w:rStyle w:val="Hyperlink"/>
        </w:rPr>
        <w:t xml:space="preserve"> Change – PMS/APMS Contracts</w:t>
      </w:r>
      <w:r>
        <w:rPr>
          <w:rStyle w:val="Hyperlink"/>
        </w:rPr>
        <w:fldChar w:fldCharType="end"/>
      </w:r>
    </w:p>
    <w:p w14:paraId="4058A1F6" w14:textId="77777777" w:rsidR="004B4770" w:rsidRPr="005A7DDA" w:rsidRDefault="004B4770" w:rsidP="002306F3">
      <w:pPr>
        <w:pStyle w:val="ListParagraph"/>
      </w:pPr>
    </w:p>
    <w:p w14:paraId="1268950A" w14:textId="77777777" w:rsidR="00977693" w:rsidRPr="00D2123D" w:rsidRDefault="00977693" w:rsidP="00D2123D">
      <w:pPr>
        <w:widowControl w:val="0"/>
        <w:tabs>
          <w:tab w:val="left" w:pos="9072"/>
        </w:tabs>
        <w:autoSpaceDE w:val="0"/>
        <w:autoSpaceDN w:val="0"/>
        <w:adjustRightInd w:val="0"/>
        <w:spacing w:line="360" w:lineRule="auto"/>
        <w:ind w:right="-2"/>
        <w:rPr>
          <w:rFonts w:cs="Arial"/>
          <w:b/>
          <w:bCs w:val="0"/>
          <w:szCs w:val="24"/>
          <w:lang w:eastAsia="en-GB"/>
        </w:rPr>
      </w:pPr>
      <w:r w:rsidRPr="00D2123D">
        <w:rPr>
          <w:rFonts w:cs="Arial"/>
          <w:b/>
          <w:bCs w:val="0"/>
          <w:szCs w:val="24"/>
          <w:lang w:eastAsia="en-GB"/>
        </w:rPr>
        <w:t xml:space="preserve">Annexes 3 - 6 </w:t>
      </w:r>
      <w:r w:rsidRPr="00D2123D">
        <w:rPr>
          <w:rFonts w:cs="Arial"/>
          <w:bCs w:val="0"/>
          <w:szCs w:val="24"/>
          <w:lang w:eastAsia="en-GB"/>
        </w:rPr>
        <w:t>Requests for Information – Changes to the Contracting Partie</w:t>
      </w:r>
      <w:r w:rsidRPr="002306F3">
        <w:t>s</w:t>
      </w:r>
    </w:p>
    <w:p w14:paraId="512A54A2" w14:textId="77777777" w:rsidR="00977693" w:rsidRPr="00CE0885" w:rsidRDefault="00977693" w:rsidP="00977693">
      <w:pPr>
        <w:widowControl w:val="0"/>
        <w:autoSpaceDE w:val="0"/>
        <w:autoSpaceDN w:val="0"/>
        <w:adjustRightInd w:val="0"/>
        <w:spacing w:line="360" w:lineRule="auto"/>
        <w:ind w:right="-2"/>
        <w:jc w:val="both"/>
        <w:rPr>
          <w:rFonts w:cs="Arial"/>
          <w:bCs w:val="0"/>
          <w:spacing w:val="2"/>
          <w:szCs w:val="24"/>
          <w:lang w:eastAsia="en-GB"/>
        </w:rPr>
      </w:pPr>
    </w:p>
    <w:p w14:paraId="5FFDA6F0" w14:textId="77777777" w:rsidR="00977693" w:rsidRDefault="00977693" w:rsidP="00977693">
      <w:pPr>
        <w:widowControl w:val="0"/>
        <w:autoSpaceDE w:val="0"/>
        <w:autoSpaceDN w:val="0"/>
        <w:adjustRightInd w:val="0"/>
        <w:spacing w:line="360" w:lineRule="auto"/>
        <w:ind w:right="-2"/>
        <w:jc w:val="both"/>
        <w:rPr>
          <w:rFonts w:cs="Arial"/>
          <w:bCs w:val="0"/>
          <w:spacing w:val="-2"/>
          <w:szCs w:val="24"/>
          <w:lang w:eastAsia="en-GB"/>
        </w:rPr>
      </w:pPr>
      <w:r w:rsidRPr="00CE0885">
        <w:rPr>
          <w:rFonts w:cs="Arial"/>
          <w:bCs w:val="0"/>
          <w:spacing w:val="2"/>
          <w:szCs w:val="24"/>
          <w:lang w:eastAsia="en-GB"/>
        </w:rPr>
        <w:t xml:space="preserve">The following </w:t>
      </w:r>
      <w:r w:rsidRPr="00CE0885">
        <w:rPr>
          <w:rFonts w:cs="Arial"/>
          <w:bCs w:val="0"/>
          <w:spacing w:val="-8"/>
          <w:szCs w:val="24"/>
          <w:lang w:eastAsia="en-GB"/>
        </w:rPr>
        <w:t xml:space="preserve">Annexes contain </w:t>
      </w:r>
      <w:r w:rsidRPr="00CE0885">
        <w:rPr>
          <w:rFonts w:cs="Arial"/>
          <w:bCs w:val="0"/>
          <w:spacing w:val="1"/>
          <w:szCs w:val="24"/>
          <w:lang w:eastAsia="en-GB"/>
        </w:rPr>
        <w:t>requests for information to be sent to</w:t>
      </w:r>
      <w:r w:rsidRPr="00CE0885">
        <w:rPr>
          <w:rFonts w:cs="Arial"/>
          <w:bCs w:val="0"/>
          <w:spacing w:val="-5"/>
          <w:szCs w:val="24"/>
          <w:lang w:eastAsia="en-GB"/>
        </w:rPr>
        <w:t xml:space="preserve"> </w:t>
      </w:r>
      <w:r w:rsidRPr="00CE0885">
        <w:rPr>
          <w:rFonts w:cs="Arial"/>
          <w:bCs w:val="0"/>
          <w:spacing w:val="1"/>
          <w:szCs w:val="24"/>
          <w:lang w:eastAsia="en-GB"/>
        </w:rPr>
        <w:t>th</w:t>
      </w:r>
      <w:r w:rsidRPr="00CE0885">
        <w:rPr>
          <w:rFonts w:cs="Arial"/>
          <w:bCs w:val="0"/>
          <w:szCs w:val="24"/>
          <w:lang w:eastAsia="en-GB"/>
        </w:rPr>
        <w:t>e</w:t>
      </w:r>
      <w:r w:rsidRPr="00CE0885">
        <w:rPr>
          <w:rFonts w:cs="Arial"/>
          <w:bCs w:val="0"/>
          <w:spacing w:val="-1"/>
          <w:szCs w:val="24"/>
          <w:lang w:eastAsia="en-GB"/>
        </w:rPr>
        <w:t xml:space="preserve"> </w:t>
      </w:r>
      <w:r w:rsidRPr="00CE0885">
        <w:rPr>
          <w:rFonts w:cs="Arial"/>
          <w:bCs w:val="0"/>
          <w:szCs w:val="24"/>
          <w:lang w:eastAsia="en-GB"/>
        </w:rPr>
        <w:t>c</w:t>
      </w:r>
      <w:r w:rsidRPr="00CE0885">
        <w:rPr>
          <w:rFonts w:cs="Arial"/>
          <w:bCs w:val="0"/>
          <w:spacing w:val="1"/>
          <w:szCs w:val="24"/>
          <w:lang w:eastAsia="en-GB"/>
        </w:rPr>
        <w:t>ont</w:t>
      </w:r>
      <w:r w:rsidRPr="00CE0885">
        <w:rPr>
          <w:rFonts w:cs="Arial"/>
          <w:bCs w:val="0"/>
          <w:spacing w:val="-1"/>
          <w:szCs w:val="24"/>
          <w:lang w:eastAsia="en-GB"/>
        </w:rPr>
        <w:t>r</w:t>
      </w:r>
      <w:r w:rsidRPr="00CE0885">
        <w:rPr>
          <w:rFonts w:cs="Arial"/>
          <w:bCs w:val="0"/>
          <w:spacing w:val="1"/>
          <w:szCs w:val="24"/>
          <w:lang w:eastAsia="en-GB"/>
        </w:rPr>
        <w:t>a</w:t>
      </w:r>
      <w:r w:rsidRPr="00CE0885">
        <w:rPr>
          <w:rFonts w:cs="Arial"/>
          <w:bCs w:val="0"/>
          <w:szCs w:val="24"/>
          <w:lang w:eastAsia="en-GB"/>
        </w:rPr>
        <w:t>c</w:t>
      </w:r>
      <w:r w:rsidRPr="00CE0885">
        <w:rPr>
          <w:rFonts w:cs="Arial"/>
          <w:bCs w:val="0"/>
          <w:spacing w:val="-2"/>
          <w:szCs w:val="24"/>
          <w:lang w:eastAsia="en-GB"/>
        </w:rPr>
        <w:t>t</w:t>
      </w:r>
      <w:r w:rsidRPr="00CE0885">
        <w:rPr>
          <w:rFonts w:cs="Arial"/>
          <w:bCs w:val="0"/>
          <w:spacing w:val="1"/>
          <w:szCs w:val="24"/>
          <w:lang w:eastAsia="en-GB"/>
        </w:rPr>
        <w:t>o</w:t>
      </w:r>
      <w:r w:rsidRPr="00CE0885">
        <w:rPr>
          <w:rFonts w:cs="Arial"/>
          <w:bCs w:val="0"/>
          <w:szCs w:val="24"/>
          <w:lang w:eastAsia="en-GB"/>
        </w:rPr>
        <w:t xml:space="preserve">r and corresponding </w:t>
      </w:r>
      <w:r w:rsidRPr="00CE0885">
        <w:rPr>
          <w:rFonts w:cs="Arial"/>
          <w:bCs w:val="0"/>
          <w:spacing w:val="-11"/>
          <w:szCs w:val="24"/>
          <w:lang w:eastAsia="en-GB"/>
        </w:rPr>
        <w:t xml:space="preserve">acknowledgements for completion by </w:t>
      </w:r>
      <w:r w:rsidRPr="00CE0885">
        <w:rPr>
          <w:rFonts w:cs="Arial"/>
          <w:bCs w:val="0"/>
          <w:szCs w:val="24"/>
          <w:lang w:eastAsia="en-GB"/>
        </w:rPr>
        <w:t>t</w:t>
      </w:r>
      <w:r w:rsidRPr="00CE0885">
        <w:rPr>
          <w:rFonts w:cs="Arial"/>
          <w:bCs w:val="0"/>
          <w:spacing w:val="1"/>
          <w:szCs w:val="24"/>
          <w:lang w:eastAsia="en-GB"/>
        </w:rPr>
        <w:t>h</w:t>
      </w:r>
      <w:r w:rsidRPr="00CE0885">
        <w:rPr>
          <w:rFonts w:cs="Arial"/>
          <w:bCs w:val="0"/>
          <w:szCs w:val="24"/>
          <w:lang w:eastAsia="en-GB"/>
        </w:rPr>
        <w:t>e</w:t>
      </w:r>
      <w:r w:rsidRPr="00CE0885">
        <w:rPr>
          <w:rFonts w:cs="Arial"/>
          <w:bCs w:val="0"/>
          <w:spacing w:val="-5"/>
          <w:szCs w:val="24"/>
          <w:lang w:eastAsia="en-GB"/>
        </w:rPr>
        <w:t xml:space="preserve"> </w:t>
      </w:r>
      <w:r w:rsidRPr="00CE0885">
        <w:rPr>
          <w:rFonts w:cs="Arial"/>
          <w:bCs w:val="0"/>
          <w:spacing w:val="-2"/>
          <w:szCs w:val="24"/>
          <w:lang w:eastAsia="en-GB"/>
        </w:rPr>
        <w:t>Commissioner. The Annexes include:</w:t>
      </w:r>
    </w:p>
    <w:p w14:paraId="0070BA9F" w14:textId="77777777" w:rsidR="00E47A71" w:rsidRPr="00CE0885" w:rsidRDefault="00E47A71" w:rsidP="00977693">
      <w:pPr>
        <w:widowControl w:val="0"/>
        <w:autoSpaceDE w:val="0"/>
        <w:autoSpaceDN w:val="0"/>
        <w:adjustRightInd w:val="0"/>
        <w:spacing w:line="360" w:lineRule="auto"/>
        <w:ind w:right="-2"/>
        <w:jc w:val="both"/>
        <w:rPr>
          <w:rFonts w:cs="Arial"/>
          <w:bCs w:val="0"/>
          <w:spacing w:val="-2"/>
          <w:szCs w:val="24"/>
          <w:lang w:eastAsia="en-GB"/>
        </w:rPr>
      </w:pPr>
    </w:p>
    <w:p w14:paraId="20FA2818" w14:textId="77777777"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r w:rsidRPr="00CE0885">
        <w:rPr>
          <w:rFonts w:cs="Arial"/>
          <w:b/>
          <w:bCs w:val="0"/>
          <w:szCs w:val="24"/>
          <w:lang w:eastAsia="en-GB"/>
        </w:rPr>
        <w:t>Annex 3A</w:t>
      </w:r>
      <w:r w:rsidRPr="00CE0885">
        <w:rPr>
          <w:rFonts w:cs="Arial"/>
          <w:bCs w:val="0"/>
          <w:szCs w:val="24"/>
          <w:lang w:eastAsia="en-GB"/>
        </w:rPr>
        <w:t xml:space="preserve"> – Request for information relating to change from individual to partnership – GMS contracts</w:t>
      </w:r>
    </w:p>
    <w:bookmarkStart w:id="916" w:name="_1556548388"/>
    <w:bookmarkEnd w:id="916"/>
    <w:p w14:paraId="205AC432" w14:textId="1004C20B" w:rsidR="004B4770" w:rsidRDefault="002306F3" w:rsidP="006C3DF5">
      <w:pPr>
        <w:pStyle w:val="ListParagraph"/>
        <w:numPr>
          <w:ilvl w:val="0"/>
          <w:numId w:val="123"/>
        </w:numPr>
      </w:pPr>
      <w:r>
        <w:fldChar w:fldCharType="begin"/>
      </w:r>
      <w:r>
        <w:instrText xml:space="preserve"> HYPERLINK "https://www.england.nhs.uk/publication/primary-medical-care-policy-and-guidance-manual-financial-changes-statement-of-financial-entitlements-annexes/" </w:instrText>
      </w:r>
      <w:r>
        <w:fldChar w:fldCharType="separate"/>
      </w:r>
      <w:r w:rsidR="004B4770">
        <w:rPr>
          <w:rStyle w:val="Hyperlink"/>
        </w:rPr>
        <w:t xml:space="preserve">Request for information relating to change from </w:t>
      </w:r>
      <w:r w:rsidR="00EF433F">
        <w:rPr>
          <w:rStyle w:val="Hyperlink"/>
        </w:rPr>
        <w:t>individual</w:t>
      </w:r>
      <w:r w:rsidR="004B4770">
        <w:rPr>
          <w:rStyle w:val="Hyperlink"/>
        </w:rPr>
        <w:t xml:space="preserve"> to partnership – GMS contracts</w:t>
      </w:r>
      <w:r>
        <w:rPr>
          <w:rStyle w:val="Hyperlink"/>
        </w:rPr>
        <w:fldChar w:fldCharType="end"/>
      </w:r>
    </w:p>
    <w:p w14:paraId="37E0F191" w14:textId="04D9533B" w:rsidR="00977693" w:rsidRPr="005A7DDA" w:rsidRDefault="005A7DDA" w:rsidP="004B4770">
      <w:pPr>
        <w:pStyle w:val="ListParagraph"/>
      </w:pPr>
      <w:r>
        <w:br/>
      </w:r>
    </w:p>
    <w:p w14:paraId="4BA02124" w14:textId="77777777"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r w:rsidRPr="00CE0885">
        <w:rPr>
          <w:rFonts w:cs="Arial"/>
          <w:b/>
          <w:bCs w:val="0"/>
          <w:szCs w:val="24"/>
          <w:lang w:eastAsia="en-GB"/>
        </w:rPr>
        <w:t>Annex 3B</w:t>
      </w:r>
      <w:r w:rsidRPr="00CE0885">
        <w:rPr>
          <w:rFonts w:cs="Arial"/>
          <w:bCs w:val="0"/>
          <w:szCs w:val="24"/>
          <w:lang w:eastAsia="en-GB"/>
        </w:rPr>
        <w:t xml:space="preserve"> – Acknowledgement of information relating to change from individual to partnership – GMS contracts</w:t>
      </w:r>
    </w:p>
    <w:bookmarkStart w:id="917" w:name="_1556548406"/>
    <w:bookmarkEnd w:id="917"/>
    <w:p w14:paraId="31233272" w14:textId="2194E203" w:rsidR="004B4770" w:rsidRDefault="002306F3" w:rsidP="006C3DF5">
      <w:pPr>
        <w:pStyle w:val="ListParagraph"/>
        <w:numPr>
          <w:ilvl w:val="0"/>
          <w:numId w:val="123"/>
        </w:numPr>
      </w:pPr>
      <w:r>
        <w:fldChar w:fldCharType="begin"/>
      </w:r>
      <w:r>
        <w:instrText xml:space="preserve"> HYPERLINK "https://www.england.nhs.uk/publication/primary-medical-care-policy-and-guidance-manual-financial-changes-statement-of-financial-entitlements-annexes/" </w:instrText>
      </w:r>
      <w:r>
        <w:fldChar w:fldCharType="separate"/>
      </w:r>
      <w:r w:rsidR="004B4770">
        <w:rPr>
          <w:rStyle w:val="Hyperlink"/>
        </w:rPr>
        <w:t xml:space="preserve">Acknowledgement of information relating to changes from </w:t>
      </w:r>
      <w:r w:rsidR="003A5B58">
        <w:rPr>
          <w:rStyle w:val="Hyperlink"/>
        </w:rPr>
        <w:t>individual</w:t>
      </w:r>
      <w:r w:rsidR="004B4770">
        <w:rPr>
          <w:rStyle w:val="Hyperlink"/>
        </w:rPr>
        <w:t xml:space="preserve"> to partnership – GMS contracts</w:t>
      </w:r>
      <w:r>
        <w:rPr>
          <w:rStyle w:val="Hyperlink"/>
        </w:rPr>
        <w:fldChar w:fldCharType="end"/>
      </w:r>
    </w:p>
    <w:p w14:paraId="59243745" w14:textId="3DA9AB73" w:rsidR="00977693" w:rsidRPr="005A7DDA" w:rsidRDefault="005A7DDA" w:rsidP="004B4770">
      <w:pPr>
        <w:pStyle w:val="ListParagraph"/>
      </w:pPr>
      <w:r>
        <w:br/>
      </w:r>
    </w:p>
    <w:p w14:paraId="5D69400F" w14:textId="77777777"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r w:rsidRPr="00CE0885">
        <w:rPr>
          <w:rFonts w:cs="Arial"/>
          <w:b/>
          <w:bCs w:val="0"/>
          <w:szCs w:val="24"/>
          <w:lang w:eastAsia="en-GB"/>
        </w:rPr>
        <w:t>Annex 4A</w:t>
      </w:r>
      <w:r w:rsidRPr="00CE0885">
        <w:rPr>
          <w:rFonts w:cs="Arial"/>
          <w:bCs w:val="0"/>
          <w:szCs w:val="24"/>
          <w:lang w:eastAsia="en-GB"/>
        </w:rPr>
        <w:t xml:space="preserve"> – Request for information relating to change from individual to more than one individual – PMS agreements</w:t>
      </w:r>
    </w:p>
    <w:bookmarkStart w:id="918" w:name="_1556548423"/>
    <w:bookmarkEnd w:id="918"/>
    <w:p w14:paraId="63661EFD" w14:textId="49722AAB" w:rsidR="004B4770" w:rsidRDefault="002306F3" w:rsidP="006C3DF5">
      <w:pPr>
        <w:pStyle w:val="ListParagraph"/>
        <w:numPr>
          <w:ilvl w:val="0"/>
          <w:numId w:val="123"/>
        </w:numPr>
      </w:pPr>
      <w:r>
        <w:fldChar w:fldCharType="begin"/>
      </w:r>
      <w:r>
        <w:instrText xml:space="preserve"> HYPERLINK "https://www.england.nhs.uk/publication/primary-medical-care-policy-and-guidance-manual-financial-changes-statement-of-financial-entitlements-annexes/" </w:instrText>
      </w:r>
      <w:r>
        <w:fldChar w:fldCharType="separate"/>
      </w:r>
      <w:r w:rsidR="004B4770">
        <w:rPr>
          <w:rStyle w:val="Hyperlink"/>
        </w:rPr>
        <w:t xml:space="preserve">Request for information relating to change from </w:t>
      </w:r>
      <w:r w:rsidR="003A5B58">
        <w:rPr>
          <w:rStyle w:val="Hyperlink"/>
        </w:rPr>
        <w:t>individual</w:t>
      </w:r>
      <w:r w:rsidR="004B4770">
        <w:rPr>
          <w:rStyle w:val="Hyperlink"/>
        </w:rPr>
        <w:t xml:space="preserve"> to more than one </w:t>
      </w:r>
      <w:r w:rsidR="003A5B58">
        <w:rPr>
          <w:rStyle w:val="Hyperlink"/>
        </w:rPr>
        <w:t>individual</w:t>
      </w:r>
      <w:r w:rsidR="004B4770">
        <w:rPr>
          <w:rStyle w:val="Hyperlink"/>
        </w:rPr>
        <w:t xml:space="preserve"> – PMS contracts</w:t>
      </w:r>
      <w:r>
        <w:rPr>
          <w:rStyle w:val="Hyperlink"/>
        </w:rPr>
        <w:fldChar w:fldCharType="end"/>
      </w:r>
    </w:p>
    <w:p w14:paraId="29CB722B" w14:textId="5AC56FFD" w:rsidR="00977693" w:rsidRPr="005A7DDA" w:rsidRDefault="005A7DDA" w:rsidP="004B4770">
      <w:pPr>
        <w:pStyle w:val="ListParagraph"/>
      </w:pPr>
      <w:r>
        <w:br/>
      </w:r>
    </w:p>
    <w:p w14:paraId="7CE7929D" w14:textId="77777777"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r w:rsidRPr="00CE0885">
        <w:rPr>
          <w:rFonts w:cs="Arial"/>
          <w:b/>
          <w:bCs w:val="0"/>
          <w:szCs w:val="24"/>
          <w:lang w:eastAsia="en-GB"/>
        </w:rPr>
        <w:t>Annex 4B</w:t>
      </w:r>
      <w:r w:rsidRPr="00CE0885">
        <w:rPr>
          <w:rFonts w:cs="Arial"/>
          <w:bCs w:val="0"/>
          <w:szCs w:val="24"/>
          <w:lang w:eastAsia="en-GB"/>
        </w:rPr>
        <w:t xml:space="preserve"> – Acknowledgement of information relating to change from individual to more than one individual – PMS agreements</w:t>
      </w:r>
    </w:p>
    <w:bookmarkStart w:id="919" w:name="_1556548481"/>
    <w:bookmarkEnd w:id="919"/>
    <w:p w14:paraId="17AADA8D" w14:textId="122D4BE0" w:rsidR="004B4770" w:rsidRDefault="002306F3" w:rsidP="006C3DF5">
      <w:pPr>
        <w:pStyle w:val="ListParagraph"/>
        <w:numPr>
          <w:ilvl w:val="0"/>
          <w:numId w:val="123"/>
        </w:numPr>
      </w:pPr>
      <w:r>
        <w:fldChar w:fldCharType="begin"/>
      </w:r>
      <w:r>
        <w:instrText xml:space="preserve"> HYPERLINK "https://www.england.nhs.uk/publication/primary-medical-care-policy-and-guidance-manual-financial-changes-statement-of-financial-entitlements-annexes/" </w:instrText>
      </w:r>
      <w:r>
        <w:fldChar w:fldCharType="separate"/>
      </w:r>
      <w:r w:rsidR="003A5B58">
        <w:rPr>
          <w:rStyle w:val="Hyperlink"/>
        </w:rPr>
        <w:t>Acknowledgement</w:t>
      </w:r>
      <w:r w:rsidR="004B4770">
        <w:rPr>
          <w:rStyle w:val="Hyperlink"/>
        </w:rPr>
        <w:t xml:space="preserve"> of information relating to change from </w:t>
      </w:r>
      <w:r w:rsidR="003A5B58">
        <w:rPr>
          <w:rStyle w:val="Hyperlink"/>
        </w:rPr>
        <w:t>individual</w:t>
      </w:r>
      <w:r w:rsidR="004B4770">
        <w:rPr>
          <w:rStyle w:val="Hyperlink"/>
        </w:rPr>
        <w:t xml:space="preserve"> to more than one </w:t>
      </w:r>
      <w:r w:rsidR="003A5B58">
        <w:rPr>
          <w:rStyle w:val="Hyperlink"/>
        </w:rPr>
        <w:t>individual</w:t>
      </w:r>
      <w:r w:rsidR="004B4770">
        <w:rPr>
          <w:rStyle w:val="Hyperlink"/>
        </w:rPr>
        <w:t xml:space="preserve"> – PMS contracts</w:t>
      </w:r>
      <w:r>
        <w:rPr>
          <w:rStyle w:val="Hyperlink"/>
        </w:rPr>
        <w:fldChar w:fldCharType="end"/>
      </w:r>
    </w:p>
    <w:p w14:paraId="5AF09DAD" w14:textId="0193A197" w:rsidR="00977693" w:rsidRPr="005A7DDA" w:rsidRDefault="005A7DDA" w:rsidP="004B4770">
      <w:pPr>
        <w:pStyle w:val="ListParagraph"/>
      </w:pPr>
      <w:r>
        <w:br/>
      </w:r>
    </w:p>
    <w:p w14:paraId="5BDDCD70" w14:textId="77777777"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r w:rsidRPr="00CE0885">
        <w:rPr>
          <w:rFonts w:cs="Arial"/>
          <w:b/>
          <w:bCs w:val="0"/>
          <w:szCs w:val="24"/>
          <w:lang w:eastAsia="en-GB"/>
        </w:rPr>
        <w:t>Annex 5A</w:t>
      </w:r>
      <w:r w:rsidRPr="00CE0885">
        <w:rPr>
          <w:rFonts w:cs="Arial"/>
          <w:bCs w:val="0"/>
          <w:szCs w:val="24"/>
          <w:lang w:eastAsia="en-GB"/>
        </w:rPr>
        <w:t xml:space="preserve"> – Request for information relating to change from partnership to individual – GMS contract</w:t>
      </w:r>
    </w:p>
    <w:bookmarkStart w:id="920" w:name="_1556548498"/>
    <w:bookmarkEnd w:id="920"/>
    <w:p w14:paraId="5C807F59" w14:textId="6EC49D06" w:rsidR="004B4770" w:rsidRPr="005A7DDA" w:rsidRDefault="002306F3" w:rsidP="006C3DF5">
      <w:pPr>
        <w:pStyle w:val="ListParagraph"/>
        <w:numPr>
          <w:ilvl w:val="0"/>
          <w:numId w:val="123"/>
        </w:numPr>
      </w:pPr>
      <w:r>
        <w:fldChar w:fldCharType="begin"/>
      </w:r>
      <w:r>
        <w:instrText xml:space="preserve"> HYPERLINK "https://www.england.nhs.uk/publication/primary-medical-care-policy-and-guidance-manual-financial-changes-statement-of-financial-entitlements-annexes/" </w:instrText>
      </w:r>
      <w:r>
        <w:fldChar w:fldCharType="separate"/>
      </w:r>
      <w:r w:rsidR="004B4770">
        <w:rPr>
          <w:rStyle w:val="Hyperlink"/>
        </w:rPr>
        <w:t xml:space="preserve">Request for information relating to change from partnership to </w:t>
      </w:r>
      <w:r w:rsidR="003A5B58">
        <w:rPr>
          <w:rStyle w:val="Hyperlink"/>
        </w:rPr>
        <w:t>individual</w:t>
      </w:r>
      <w:r w:rsidR="004B4770">
        <w:rPr>
          <w:rStyle w:val="Hyperlink"/>
        </w:rPr>
        <w:t xml:space="preserve"> – GMS contracts</w:t>
      </w:r>
      <w:r>
        <w:rPr>
          <w:rStyle w:val="Hyperlink"/>
        </w:rPr>
        <w:fldChar w:fldCharType="end"/>
      </w:r>
    </w:p>
    <w:p w14:paraId="671F287D" w14:textId="58E0166E"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p>
    <w:p w14:paraId="31612558" w14:textId="77777777"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r w:rsidRPr="00CE0885">
        <w:rPr>
          <w:rFonts w:cs="Arial"/>
          <w:b/>
          <w:bCs w:val="0"/>
          <w:szCs w:val="24"/>
          <w:lang w:eastAsia="en-GB"/>
        </w:rPr>
        <w:t>Annex 5B</w:t>
      </w:r>
      <w:r w:rsidRPr="00CE0885">
        <w:rPr>
          <w:rFonts w:cs="Arial"/>
          <w:bCs w:val="0"/>
          <w:szCs w:val="24"/>
          <w:lang w:eastAsia="en-GB"/>
        </w:rPr>
        <w:t xml:space="preserve"> – Acknowledgement of information relating to change from partnership to individual – GMS contract</w:t>
      </w:r>
    </w:p>
    <w:bookmarkStart w:id="921" w:name="_1556548516"/>
    <w:bookmarkEnd w:id="921"/>
    <w:p w14:paraId="7B3DF72C" w14:textId="07C8E86B" w:rsidR="004B4770" w:rsidRPr="005A7DDA" w:rsidRDefault="002306F3" w:rsidP="006C3DF5">
      <w:pPr>
        <w:pStyle w:val="ListParagraph"/>
        <w:numPr>
          <w:ilvl w:val="0"/>
          <w:numId w:val="123"/>
        </w:numPr>
      </w:pPr>
      <w:r>
        <w:fldChar w:fldCharType="begin"/>
      </w:r>
      <w:r>
        <w:instrText xml:space="preserve"> HYPERLINK "https://www.england.nhs.uk/publication/primary-medical-care-policy-and-guidance-manual-financial-changes-statement-of-financial-entitlements-annexes/" </w:instrText>
      </w:r>
      <w:r>
        <w:fldChar w:fldCharType="separate"/>
      </w:r>
      <w:r w:rsidR="004B4770">
        <w:rPr>
          <w:rStyle w:val="Hyperlink"/>
        </w:rPr>
        <w:t xml:space="preserve">Acknowledgement of information relating to change from partnership to </w:t>
      </w:r>
      <w:r w:rsidR="003A5B58">
        <w:rPr>
          <w:rStyle w:val="Hyperlink"/>
        </w:rPr>
        <w:t>individual</w:t>
      </w:r>
      <w:r w:rsidR="004B4770">
        <w:rPr>
          <w:rStyle w:val="Hyperlink"/>
        </w:rPr>
        <w:t xml:space="preserve"> – GMS contracts</w:t>
      </w:r>
      <w:r>
        <w:rPr>
          <w:rStyle w:val="Hyperlink"/>
        </w:rPr>
        <w:fldChar w:fldCharType="end"/>
      </w:r>
    </w:p>
    <w:p w14:paraId="22A05086" w14:textId="77777777" w:rsidR="004B4770" w:rsidRDefault="004B4770" w:rsidP="004B4770">
      <w:pPr>
        <w:pStyle w:val="ListParagraph"/>
      </w:pPr>
    </w:p>
    <w:p w14:paraId="2DBE3491" w14:textId="77777777" w:rsidR="005A7DDA" w:rsidRPr="005A7DDA" w:rsidRDefault="005A7DDA" w:rsidP="002306F3">
      <w:pPr>
        <w:pStyle w:val="ListParagraph"/>
      </w:pPr>
    </w:p>
    <w:p w14:paraId="66217050" w14:textId="77777777"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r w:rsidRPr="00CE0885">
        <w:rPr>
          <w:rFonts w:cs="Arial"/>
          <w:b/>
          <w:bCs w:val="0"/>
          <w:szCs w:val="24"/>
          <w:lang w:eastAsia="en-GB"/>
        </w:rPr>
        <w:t>Annex 6A</w:t>
      </w:r>
      <w:r w:rsidRPr="00CE0885">
        <w:rPr>
          <w:rFonts w:cs="Arial"/>
          <w:bCs w:val="0"/>
          <w:szCs w:val="24"/>
          <w:lang w:eastAsia="en-GB"/>
        </w:rPr>
        <w:t xml:space="preserve"> – Request for information relating to change from more than one individual to an individual - PMS agreement</w:t>
      </w:r>
    </w:p>
    <w:bookmarkStart w:id="922" w:name="_1556548540"/>
    <w:bookmarkEnd w:id="922"/>
    <w:p w14:paraId="6DA36853" w14:textId="41890073" w:rsidR="004B4770" w:rsidRDefault="002306F3" w:rsidP="006C3DF5">
      <w:pPr>
        <w:pStyle w:val="ListParagraph"/>
        <w:numPr>
          <w:ilvl w:val="0"/>
          <w:numId w:val="123"/>
        </w:numPr>
      </w:pPr>
      <w:r>
        <w:fldChar w:fldCharType="begin"/>
      </w:r>
      <w:r>
        <w:instrText xml:space="preserve"> HYPERLINK "https://www.england.nhs.uk/publication/primary-medical-care-policy-and-guidance-manual-financial-changes-statement-of-financial-entitlements-annexes/" </w:instrText>
      </w:r>
      <w:r>
        <w:fldChar w:fldCharType="separate"/>
      </w:r>
      <w:r w:rsidR="004B4770">
        <w:rPr>
          <w:rStyle w:val="Hyperlink"/>
        </w:rPr>
        <w:t xml:space="preserve">Request for information relating to change from more than one </w:t>
      </w:r>
      <w:r w:rsidR="003A5B58">
        <w:rPr>
          <w:rStyle w:val="Hyperlink"/>
        </w:rPr>
        <w:t>individual</w:t>
      </w:r>
      <w:r w:rsidR="004B4770">
        <w:rPr>
          <w:rStyle w:val="Hyperlink"/>
        </w:rPr>
        <w:t xml:space="preserve"> to an individual – PMS contracts</w:t>
      </w:r>
      <w:r>
        <w:rPr>
          <w:rStyle w:val="Hyperlink"/>
        </w:rPr>
        <w:fldChar w:fldCharType="end"/>
      </w:r>
    </w:p>
    <w:p w14:paraId="6BADEDB0" w14:textId="77777777" w:rsidR="005A7DDA" w:rsidRPr="002306F3" w:rsidRDefault="005A7DDA" w:rsidP="00977693">
      <w:pPr>
        <w:widowControl w:val="0"/>
        <w:tabs>
          <w:tab w:val="left" w:pos="9072"/>
        </w:tabs>
        <w:autoSpaceDE w:val="0"/>
        <w:autoSpaceDN w:val="0"/>
        <w:adjustRightInd w:val="0"/>
        <w:spacing w:line="360" w:lineRule="auto"/>
        <w:ind w:right="-2"/>
        <w:rPr>
          <w:b/>
        </w:rPr>
      </w:pPr>
    </w:p>
    <w:p w14:paraId="173FABAC" w14:textId="77777777" w:rsidR="00977693" w:rsidRPr="005A7DDA" w:rsidRDefault="00977693" w:rsidP="002306F3">
      <w:r w:rsidRPr="00CE0885">
        <w:rPr>
          <w:b/>
          <w:lang w:eastAsia="en-GB"/>
        </w:rPr>
        <w:t>Annex 6B</w:t>
      </w:r>
      <w:r w:rsidRPr="00CE0885">
        <w:rPr>
          <w:lang w:eastAsia="en-GB"/>
        </w:rPr>
        <w:t xml:space="preserve"> – Acknowledgement of information relating to change from more than one </w:t>
      </w:r>
      <w:r w:rsidRPr="005A7DDA">
        <w:t>individual to an individual - PMS agreement</w:t>
      </w:r>
    </w:p>
    <w:bookmarkStart w:id="923" w:name="_1556548606"/>
    <w:bookmarkEnd w:id="923"/>
    <w:p w14:paraId="3737A546" w14:textId="07B82971" w:rsidR="004B4770" w:rsidRPr="005A7DDA" w:rsidRDefault="002306F3" w:rsidP="006C3DF5">
      <w:pPr>
        <w:pStyle w:val="ListParagraph"/>
        <w:numPr>
          <w:ilvl w:val="0"/>
          <w:numId w:val="123"/>
        </w:numPr>
      </w:pPr>
      <w:r>
        <w:fldChar w:fldCharType="begin"/>
      </w:r>
      <w:r>
        <w:instrText xml:space="preserve"> HYPERLINK "https://www.england.nhs.uk/publication/primary-medical-care-policy-and-guidance-manual-financial-changes-statement-of-financial-entitlements-annexes/" </w:instrText>
      </w:r>
      <w:r>
        <w:fldChar w:fldCharType="separate"/>
      </w:r>
      <w:r w:rsidR="003A5B58">
        <w:rPr>
          <w:rStyle w:val="Hyperlink"/>
        </w:rPr>
        <w:t>Acknowledgement</w:t>
      </w:r>
      <w:r w:rsidR="004B4770">
        <w:rPr>
          <w:rStyle w:val="Hyperlink"/>
        </w:rPr>
        <w:t xml:space="preserve"> of information relating to change from more than one </w:t>
      </w:r>
      <w:r w:rsidR="003A5B58">
        <w:rPr>
          <w:rStyle w:val="Hyperlink"/>
        </w:rPr>
        <w:t>individual</w:t>
      </w:r>
      <w:r w:rsidR="004B4770">
        <w:rPr>
          <w:rStyle w:val="Hyperlink"/>
        </w:rPr>
        <w:t xml:space="preserve"> to an individual – PMS agreements</w:t>
      </w:r>
      <w:r>
        <w:rPr>
          <w:rStyle w:val="Hyperlink"/>
        </w:rPr>
        <w:fldChar w:fldCharType="end"/>
      </w:r>
    </w:p>
    <w:p w14:paraId="00A9AD0C" w14:textId="6F6956E6" w:rsidR="00977693" w:rsidRPr="005A7DDA" w:rsidRDefault="005A7DDA" w:rsidP="004B4770">
      <w:pPr>
        <w:pStyle w:val="ListParagraph"/>
      </w:pPr>
      <w:r w:rsidRPr="005A7DDA">
        <w:br/>
      </w:r>
    </w:p>
    <w:p w14:paraId="08604462" w14:textId="77777777"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r w:rsidRPr="00CE0885">
        <w:rPr>
          <w:rFonts w:cs="Arial"/>
          <w:b/>
          <w:bCs w:val="0"/>
          <w:szCs w:val="24"/>
          <w:lang w:eastAsia="en-GB"/>
        </w:rPr>
        <w:t>Annex 7</w:t>
      </w:r>
      <w:r w:rsidRPr="00CE0885">
        <w:rPr>
          <w:rFonts w:cs="Arial"/>
          <w:bCs w:val="0"/>
          <w:szCs w:val="24"/>
          <w:lang w:eastAsia="en-GB"/>
        </w:rPr>
        <w:t xml:space="preserve"> Acknowledgement of Request to Incorporate and Medical Incorporation Assessment Template</w:t>
      </w:r>
    </w:p>
    <w:bookmarkStart w:id="924" w:name="_1556548623"/>
    <w:bookmarkEnd w:id="924"/>
    <w:p w14:paraId="7BD4E904" w14:textId="011EC045" w:rsidR="004B4770" w:rsidRPr="005A7DDA" w:rsidRDefault="002306F3" w:rsidP="006C3DF5">
      <w:pPr>
        <w:pStyle w:val="ListParagraph"/>
        <w:numPr>
          <w:ilvl w:val="0"/>
          <w:numId w:val="123"/>
        </w:numPr>
      </w:pPr>
      <w:r>
        <w:fldChar w:fldCharType="begin"/>
      </w:r>
      <w:r>
        <w:instrText xml:space="preserve"> HYPERLINK "https://www.england.nhs.uk/publication/primary-medical-care-policy-and-guidance-manual-financial-changes-statement-of-financial-entitlements-annexes/" </w:instrText>
      </w:r>
      <w:r>
        <w:fldChar w:fldCharType="separate"/>
      </w:r>
      <w:r w:rsidR="003A5B58">
        <w:rPr>
          <w:rStyle w:val="Hyperlink"/>
        </w:rPr>
        <w:t>Acknowledgement</w:t>
      </w:r>
      <w:r w:rsidR="004B4770">
        <w:rPr>
          <w:rStyle w:val="Hyperlink"/>
        </w:rPr>
        <w:t xml:space="preserve"> of request to incorporate and medical </w:t>
      </w:r>
      <w:r w:rsidR="003A5B58">
        <w:rPr>
          <w:rStyle w:val="Hyperlink"/>
        </w:rPr>
        <w:t>incorporation</w:t>
      </w:r>
      <w:r w:rsidR="004B4770">
        <w:rPr>
          <w:rStyle w:val="Hyperlink"/>
        </w:rPr>
        <w:t xml:space="preserve"> assessment template</w:t>
      </w:r>
      <w:r>
        <w:rPr>
          <w:rStyle w:val="Hyperlink"/>
        </w:rPr>
        <w:fldChar w:fldCharType="end"/>
      </w:r>
    </w:p>
    <w:p w14:paraId="702C1EB8" w14:textId="58C90DE2"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p>
    <w:p w14:paraId="67A36A3F" w14:textId="77777777"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r w:rsidRPr="00CE0885">
        <w:rPr>
          <w:rFonts w:cs="Arial"/>
          <w:b/>
          <w:bCs w:val="0"/>
          <w:szCs w:val="24"/>
          <w:lang w:eastAsia="en-GB"/>
        </w:rPr>
        <w:t>Annex 8</w:t>
      </w:r>
      <w:r w:rsidRPr="00CE0885">
        <w:rPr>
          <w:rFonts w:cs="Arial"/>
          <w:bCs w:val="0"/>
          <w:szCs w:val="24"/>
          <w:lang w:eastAsia="en-GB"/>
        </w:rPr>
        <w:t xml:space="preserve"> – Assessment Template for Incorporation for Commissioner</w:t>
      </w:r>
    </w:p>
    <w:bookmarkStart w:id="925" w:name="_1556548643"/>
    <w:bookmarkEnd w:id="925"/>
    <w:p w14:paraId="551E0C70" w14:textId="5C96B794" w:rsidR="004B4770" w:rsidRPr="005A7DDA" w:rsidRDefault="002306F3" w:rsidP="006C3DF5">
      <w:pPr>
        <w:pStyle w:val="ListParagraph"/>
        <w:numPr>
          <w:ilvl w:val="0"/>
          <w:numId w:val="123"/>
        </w:numPr>
      </w:pPr>
      <w:r>
        <w:fldChar w:fldCharType="begin"/>
      </w:r>
      <w:r>
        <w:instrText xml:space="preserve"> HYPERLINK "https://www.england.nhs.uk/publication/primary-medical-care-policy-and-guidance-manual-financial-changes-statement-of-financial-entitlements-annexes/" </w:instrText>
      </w:r>
      <w:r>
        <w:fldChar w:fldCharType="separate"/>
      </w:r>
      <w:r w:rsidR="004B4770">
        <w:rPr>
          <w:rStyle w:val="Hyperlink"/>
        </w:rPr>
        <w:t>Assessment template for Incorporation for Commissioner</w:t>
      </w:r>
      <w:r>
        <w:rPr>
          <w:rStyle w:val="Hyperlink"/>
        </w:rPr>
        <w:fldChar w:fldCharType="end"/>
      </w:r>
    </w:p>
    <w:p w14:paraId="032FDC9D" w14:textId="4A2DABA1" w:rsidR="00977693" w:rsidRPr="005A7DDA" w:rsidRDefault="005A7DDA" w:rsidP="004B4770">
      <w:pPr>
        <w:pStyle w:val="ListParagraph"/>
      </w:pPr>
      <w:r>
        <w:br/>
      </w:r>
    </w:p>
    <w:p w14:paraId="5E2F31D3" w14:textId="77777777" w:rsidR="00977693" w:rsidRPr="00CE0885" w:rsidRDefault="00977693" w:rsidP="00977693">
      <w:pPr>
        <w:widowControl w:val="0"/>
        <w:spacing w:line="360" w:lineRule="auto"/>
        <w:rPr>
          <w:rFonts w:cs="Arial"/>
          <w:bCs w:val="0"/>
          <w:szCs w:val="24"/>
        </w:rPr>
      </w:pPr>
      <w:r w:rsidRPr="00CE0885">
        <w:rPr>
          <w:rFonts w:cs="Arial"/>
          <w:b/>
          <w:bCs w:val="0"/>
          <w:szCs w:val="24"/>
          <w:lang w:eastAsia="en-GB"/>
        </w:rPr>
        <w:t>Annex 9</w:t>
      </w:r>
      <w:r w:rsidRPr="00CE0885">
        <w:rPr>
          <w:rFonts w:cs="Arial"/>
          <w:bCs w:val="0"/>
          <w:szCs w:val="24"/>
          <w:lang w:eastAsia="en-GB"/>
        </w:rPr>
        <w:t xml:space="preserve"> – </w:t>
      </w:r>
      <w:r w:rsidRPr="00CE0885">
        <w:rPr>
          <w:rFonts w:cs="Arial"/>
          <w:bCs w:val="0"/>
          <w:szCs w:val="24"/>
        </w:rPr>
        <w:t>Acknowledgement of Request to Dis-incorporate and Medical Dis-incorporation Assessment Template</w:t>
      </w:r>
    </w:p>
    <w:bookmarkStart w:id="926" w:name="_1556548663"/>
    <w:bookmarkEnd w:id="926"/>
    <w:p w14:paraId="376DFEA0" w14:textId="30DB9F73" w:rsidR="004B4770" w:rsidRPr="005A7DDA" w:rsidRDefault="002306F3" w:rsidP="006C3DF5">
      <w:pPr>
        <w:pStyle w:val="ListParagraph"/>
        <w:numPr>
          <w:ilvl w:val="0"/>
          <w:numId w:val="123"/>
        </w:numPr>
      </w:pPr>
      <w:r>
        <w:fldChar w:fldCharType="begin"/>
      </w:r>
      <w:r>
        <w:instrText xml:space="preserve"> HYPERLINK "https://www.england.nhs.uk/publication/primary-medical-care-policy-and-guidance-manual-financial-changes-statement-of-financial-entitlements-annexes/" </w:instrText>
      </w:r>
      <w:r>
        <w:fldChar w:fldCharType="separate"/>
      </w:r>
      <w:r w:rsidR="003A5B58">
        <w:rPr>
          <w:rStyle w:val="Hyperlink"/>
        </w:rPr>
        <w:t>Acknowledgement</w:t>
      </w:r>
      <w:r w:rsidR="004B4770">
        <w:rPr>
          <w:rStyle w:val="Hyperlink"/>
        </w:rPr>
        <w:t xml:space="preserve"> of request to Dis-</w:t>
      </w:r>
      <w:r w:rsidR="003A5B58">
        <w:rPr>
          <w:rStyle w:val="Hyperlink"/>
        </w:rPr>
        <w:t>incorporate</w:t>
      </w:r>
      <w:r w:rsidR="004B4770">
        <w:rPr>
          <w:rStyle w:val="Hyperlink"/>
        </w:rPr>
        <w:t xml:space="preserve"> and Medical Dis0incorporation assessment template</w:t>
      </w:r>
      <w:r>
        <w:rPr>
          <w:rStyle w:val="Hyperlink"/>
        </w:rPr>
        <w:fldChar w:fldCharType="end"/>
      </w:r>
    </w:p>
    <w:p w14:paraId="53974DBC" w14:textId="2F4FA1EF" w:rsidR="00977693" w:rsidRPr="00CE0885" w:rsidRDefault="00977693" w:rsidP="00977693">
      <w:pPr>
        <w:widowControl w:val="0"/>
        <w:spacing w:line="360" w:lineRule="auto"/>
        <w:rPr>
          <w:rFonts w:cs="Arial"/>
          <w:bCs w:val="0"/>
          <w:szCs w:val="24"/>
        </w:rPr>
      </w:pPr>
    </w:p>
    <w:p w14:paraId="6E8E0D38" w14:textId="77777777" w:rsidR="00977693" w:rsidRPr="00CE0885" w:rsidRDefault="00977693" w:rsidP="00977693">
      <w:pPr>
        <w:widowControl w:val="0"/>
        <w:autoSpaceDE w:val="0"/>
        <w:autoSpaceDN w:val="0"/>
        <w:adjustRightInd w:val="0"/>
        <w:spacing w:line="360" w:lineRule="auto"/>
        <w:ind w:right="-20"/>
        <w:rPr>
          <w:rFonts w:cs="Arial"/>
          <w:bCs w:val="0"/>
          <w:szCs w:val="24"/>
        </w:rPr>
      </w:pPr>
      <w:r w:rsidRPr="00CE0885">
        <w:rPr>
          <w:rFonts w:cs="Arial"/>
          <w:b/>
          <w:bCs w:val="0"/>
          <w:szCs w:val="24"/>
          <w:lang w:eastAsia="en-GB"/>
        </w:rPr>
        <w:t>Annex 10</w:t>
      </w:r>
      <w:r w:rsidRPr="00CE0885">
        <w:rPr>
          <w:rFonts w:cs="Arial"/>
          <w:bCs w:val="0"/>
          <w:szCs w:val="24"/>
          <w:lang w:eastAsia="en-GB"/>
        </w:rPr>
        <w:t xml:space="preserve"> – </w:t>
      </w:r>
      <w:r w:rsidRPr="00CE0885">
        <w:rPr>
          <w:rFonts w:cs="Arial"/>
          <w:bCs w:val="0"/>
          <w:szCs w:val="24"/>
        </w:rPr>
        <w:t>Refusal of Request to [Incorporate / Become a Company Limited by Shares / Qualifying Body]</w:t>
      </w:r>
    </w:p>
    <w:bookmarkStart w:id="927" w:name="_1556548682"/>
    <w:bookmarkEnd w:id="927"/>
    <w:p w14:paraId="5544248C" w14:textId="0D8B22E4" w:rsidR="004B4770" w:rsidRPr="005A7DDA" w:rsidRDefault="002306F3" w:rsidP="006C3DF5">
      <w:pPr>
        <w:pStyle w:val="ListParagraph"/>
        <w:numPr>
          <w:ilvl w:val="0"/>
          <w:numId w:val="123"/>
        </w:numPr>
      </w:pPr>
      <w:r>
        <w:fldChar w:fldCharType="begin"/>
      </w:r>
      <w:r>
        <w:instrText xml:space="preserve"> HYPERLINK "https://www.england.nhs.uk/publication/primary-medical-care-policy-and-guidance-manual-financial-changes-statement-of-financial-entitlements-annexes/" </w:instrText>
      </w:r>
      <w:r>
        <w:fldChar w:fldCharType="separate"/>
      </w:r>
      <w:r w:rsidR="004B4770">
        <w:rPr>
          <w:rStyle w:val="Hyperlink"/>
        </w:rPr>
        <w:t>Refusal of Request to [Incorporate/Become a Company Limited by Shares/Qualifying Body</w:t>
      </w:r>
      <w:r w:rsidR="00DD20E2">
        <w:rPr>
          <w:rStyle w:val="Hyperlink"/>
        </w:rPr>
        <w:t>]</w:t>
      </w:r>
      <w:r>
        <w:rPr>
          <w:rStyle w:val="Hyperlink"/>
        </w:rPr>
        <w:fldChar w:fldCharType="end"/>
      </w:r>
    </w:p>
    <w:p w14:paraId="163B8933" w14:textId="77777777" w:rsidR="006C3892" w:rsidRDefault="006C3892" w:rsidP="005A7DDA"/>
    <w:p w14:paraId="775BBFB3" w14:textId="77777777" w:rsidR="005A7DDA" w:rsidRPr="005A7DDA" w:rsidRDefault="005A7DDA" w:rsidP="002306F3"/>
    <w:p w14:paraId="7E8179F2" w14:textId="77777777" w:rsidR="00977693" w:rsidRPr="00CE0885" w:rsidRDefault="00977693" w:rsidP="00977693">
      <w:pPr>
        <w:widowControl w:val="0"/>
        <w:tabs>
          <w:tab w:val="left" w:pos="426"/>
        </w:tabs>
        <w:autoSpaceDE w:val="0"/>
        <w:autoSpaceDN w:val="0"/>
        <w:adjustRightInd w:val="0"/>
        <w:spacing w:line="360" w:lineRule="auto"/>
        <w:ind w:right="-20"/>
        <w:rPr>
          <w:rFonts w:cs="Arial"/>
          <w:bCs w:val="0"/>
          <w:szCs w:val="24"/>
        </w:rPr>
      </w:pPr>
      <w:r w:rsidRPr="00CE0885">
        <w:rPr>
          <w:rFonts w:cs="Arial"/>
          <w:b/>
          <w:bCs w:val="0"/>
          <w:szCs w:val="24"/>
          <w:lang w:eastAsia="en-GB"/>
        </w:rPr>
        <w:t>Annex 11</w:t>
      </w:r>
      <w:r w:rsidRPr="00CE0885">
        <w:rPr>
          <w:rFonts w:cs="Arial"/>
          <w:bCs w:val="0"/>
          <w:szCs w:val="24"/>
          <w:lang w:eastAsia="en-GB"/>
        </w:rPr>
        <w:t xml:space="preserve"> – </w:t>
      </w:r>
      <w:r w:rsidRPr="00CE0885">
        <w:rPr>
          <w:rFonts w:cs="Arial"/>
          <w:bCs w:val="0"/>
          <w:szCs w:val="24"/>
        </w:rPr>
        <w:t>Refusal of Request to Dis-incorporate</w:t>
      </w:r>
    </w:p>
    <w:bookmarkStart w:id="928" w:name="_1556548700"/>
    <w:bookmarkEnd w:id="928"/>
    <w:p w14:paraId="48303525" w14:textId="458E6CE5" w:rsidR="00977693" w:rsidRPr="00DD20E2" w:rsidRDefault="002306F3" w:rsidP="006C3DF5">
      <w:pPr>
        <w:pStyle w:val="ListParagraph"/>
        <w:widowControl w:val="0"/>
        <w:numPr>
          <w:ilvl w:val="0"/>
          <w:numId w:val="123"/>
        </w:numPr>
        <w:autoSpaceDE w:val="0"/>
        <w:autoSpaceDN w:val="0"/>
        <w:adjustRightInd w:val="0"/>
        <w:spacing w:line="360" w:lineRule="auto"/>
        <w:ind w:right="-20"/>
        <w:rPr>
          <w:rFonts w:cs="Arial"/>
          <w:bCs w:val="0"/>
          <w:szCs w:val="24"/>
        </w:rPr>
      </w:pPr>
      <w:r>
        <w:fldChar w:fldCharType="begin"/>
      </w:r>
      <w:r>
        <w:instrText xml:space="preserve"> HYPERLINK "https://www.england.nhs.uk/publication/primary-medical-care-policy-and-guidance-manual-financial-changes-statement-of-financial-entitlements-annexes/" </w:instrText>
      </w:r>
      <w:r>
        <w:fldChar w:fldCharType="separate"/>
      </w:r>
      <w:r w:rsidR="00DD20E2">
        <w:rPr>
          <w:rStyle w:val="Hyperlink"/>
        </w:rPr>
        <w:t>Refusal of Request to Dis-incorporate</w:t>
      </w:r>
      <w:r>
        <w:rPr>
          <w:rStyle w:val="Hyperlink"/>
        </w:rPr>
        <w:fldChar w:fldCharType="end"/>
      </w:r>
      <w:r w:rsidR="006C3892" w:rsidRPr="00DD20E2">
        <w:rPr>
          <w:rFonts w:cs="Arial"/>
          <w:bCs w:val="0"/>
          <w:szCs w:val="24"/>
        </w:rPr>
        <w:br/>
      </w:r>
    </w:p>
    <w:p w14:paraId="7C73AC92" w14:textId="77777777" w:rsidR="00977693" w:rsidRPr="00CE0885" w:rsidRDefault="00977693" w:rsidP="00977693">
      <w:pPr>
        <w:widowControl w:val="0"/>
        <w:autoSpaceDE w:val="0"/>
        <w:autoSpaceDN w:val="0"/>
        <w:adjustRightInd w:val="0"/>
        <w:spacing w:line="360" w:lineRule="auto"/>
        <w:ind w:right="-20"/>
        <w:rPr>
          <w:rFonts w:cs="Arial"/>
          <w:bCs w:val="0"/>
          <w:szCs w:val="24"/>
        </w:rPr>
      </w:pPr>
      <w:r w:rsidRPr="00CE0885">
        <w:rPr>
          <w:rFonts w:cs="Arial"/>
          <w:b/>
          <w:bCs w:val="0"/>
          <w:szCs w:val="24"/>
          <w:lang w:eastAsia="en-GB"/>
        </w:rPr>
        <w:t>Annex 12</w:t>
      </w:r>
      <w:r w:rsidRPr="00CE0885">
        <w:rPr>
          <w:rFonts w:cs="Arial"/>
          <w:bCs w:val="0"/>
          <w:szCs w:val="24"/>
          <w:lang w:eastAsia="en-GB"/>
        </w:rPr>
        <w:t xml:space="preserve"> – </w:t>
      </w:r>
      <w:r w:rsidRPr="00CE0885">
        <w:rPr>
          <w:rFonts w:cs="Arial"/>
          <w:bCs w:val="0"/>
          <w:szCs w:val="24"/>
        </w:rPr>
        <w:t xml:space="preserve">Template Agreement Letter </w:t>
      </w:r>
    </w:p>
    <w:bookmarkStart w:id="929" w:name="_1556548718"/>
    <w:bookmarkEnd w:id="929"/>
    <w:p w14:paraId="7CB05EF6" w14:textId="18D63281" w:rsidR="00977693" w:rsidRPr="00DD20E2" w:rsidRDefault="002306F3" w:rsidP="006C3DF5">
      <w:pPr>
        <w:pStyle w:val="ListParagraph"/>
        <w:numPr>
          <w:ilvl w:val="0"/>
          <w:numId w:val="123"/>
        </w:numPr>
      </w:pPr>
      <w:r>
        <w:fldChar w:fldCharType="begin"/>
      </w:r>
      <w:r>
        <w:instrText xml:space="preserve"> HYPERLINK "https://www.england.nhs.uk/publication/primary-medical-care-policy-and-guidance-manual-financial-changes-statement-of-financial-entitlements-annexes/" </w:instrText>
      </w:r>
      <w:r>
        <w:fldChar w:fldCharType="separate"/>
      </w:r>
      <w:r w:rsidR="00DD20E2">
        <w:rPr>
          <w:rStyle w:val="Hyperlink"/>
        </w:rPr>
        <w:t>Template Agreement Letter</w:t>
      </w:r>
      <w:r>
        <w:rPr>
          <w:rStyle w:val="Hyperlink"/>
        </w:rPr>
        <w:fldChar w:fldCharType="end"/>
      </w:r>
      <w:r w:rsidR="006C3892" w:rsidRPr="00DD20E2">
        <w:rPr>
          <w:rFonts w:cs="Arial"/>
          <w:bCs w:val="0"/>
          <w:szCs w:val="24"/>
        </w:rPr>
        <w:br/>
      </w:r>
    </w:p>
    <w:p w14:paraId="15380260" w14:textId="7480CA31" w:rsidR="00977693" w:rsidRPr="00CE0885" w:rsidRDefault="00977693" w:rsidP="00977693">
      <w:pPr>
        <w:widowControl w:val="0"/>
        <w:autoSpaceDE w:val="0"/>
        <w:autoSpaceDN w:val="0"/>
        <w:adjustRightInd w:val="0"/>
        <w:spacing w:line="360" w:lineRule="auto"/>
        <w:ind w:right="-23"/>
        <w:rPr>
          <w:rFonts w:cs="Arial"/>
          <w:bCs w:val="0"/>
          <w:szCs w:val="24"/>
          <w:lang w:eastAsia="en-GB"/>
        </w:rPr>
      </w:pPr>
      <w:r w:rsidRPr="00CE0885">
        <w:rPr>
          <w:rFonts w:cs="Arial"/>
          <w:b/>
          <w:bCs w:val="0"/>
          <w:szCs w:val="24"/>
          <w:lang w:eastAsia="en-GB"/>
        </w:rPr>
        <w:t>Annex 13A</w:t>
      </w:r>
      <w:r w:rsidRPr="00CE0885">
        <w:rPr>
          <w:rFonts w:cs="Arial"/>
          <w:bCs w:val="0"/>
          <w:szCs w:val="24"/>
          <w:lang w:eastAsia="en-GB"/>
        </w:rPr>
        <w:t xml:space="preserve"> – Template Application to Change the Practice Area</w:t>
      </w:r>
    </w:p>
    <w:bookmarkStart w:id="930" w:name="_1556548734"/>
    <w:bookmarkEnd w:id="930"/>
    <w:p w14:paraId="1E9733B7" w14:textId="77777777" w:rsidR="00774E4B" w:rsidRPr="006C3892" w:rsidRDefault="00774E4B" w:rsidP="006C3DF5">
      <w:pPr>
        <w:pStyle w:val="ListParagraph"/>
        <w:widowControl w:val="0"/>
        <w:numPr>
          <w:ilvl w:val="0"/>
          <w:numId w:val="123"/>
        </w:numPr>
        <w:autoSpaceDE w:val="0"/>
        <w:autoSpaceDN w:val="0"/>
        <w:adjustRightInd w:val="0"/>
        <w:spacing w:line="360" w:lineRule="auto"/>
        <w:ind w:right="-23"/>
        <w:rPr>
          <w:rFonts w:cs="Arial"/>
          <w:bCs w:val="0"/>
          <w:szCs w:val="24"/>
          <w:lang w:eastAsia="en-GB"/>
        </w:rPr>
      </w:pPr>
      <w:r>
        <w:fldChar w:fldCharType="begin"/>
      </w:r>
      <w:r>
        <w:instrText xml:space="preserve"> HYPERLINK "https://www.england.nhs.uk/publication/primary-medical-care-policy-and-guidance-manual-financial-changes-statement-of-financial-entitlements-annexes/" </w:instrText>
      </w:r>
      <w:r>
        <w:fldChar w:fldCharType="separate"/>
      </w:r>
      <w:r>
        <w:rPr>
          <w:rStyle w:val="Hyperlink"/>
        </w:rPr>
        <w:t>Template Application Notice to Change the Practice Area</w:t>
      </w:r>
      <w:r>
        <w:rPr>
          <w:rStyle w:val="Hyperlink"/>
        </w:rPr>
        <w:fldChar w:fldCharType="end"/>
      </w:r>
    </w:p>
    <w:p w14:paraId="41573501" w14:textId="49993DFB" w:rsidR="00774E4B" w:rsidRDefault="00774E4B" w:rsidP="00774E4B">
      <w:pPr>
        <w:pStyle w:val="ListParagraph"/>
        <w:rPr>
          <w:b/>
          <w:color w:val="FF0000"/>
          <w:highlight w:val="yellow"/>
        </w:rPr>
      </w:pPr>
    </w:p>
    <w:p w14:paraId="78FC6620" w14:textId="77777777" w:rsidR="00977693" w:rsidRPr="00CE0885" w:rsidRDefault="00977693" w:rsidP="00977693">
      <w:pPr>
        <w:widowControl w:val="0"/>
        <w:autoSpaceDE w:val="0"/>
        <w:autoSpaceDN w:val="0"/>
        <w:adjustRightInd w:val="0"/>
        <w:spacing w:line="360" w:lineRule="auto"/>
        <w:ind w:right="-23"/>
        <w:rPr>
          <w:rFonts w:cs="Arial"/>
          <w:bCs w:val="0"/>
          <w:szCs w:val="24"/>
          <w:lang w:eastAsia="en-GB"/>
        </w:rPr>
      </w:pPr>
      <w:r w:rsidRPr="00CE0885">
        <w:rPr>
          <w:rFonts w:cs="Arial"/>
          <w:b/>
          <w:bCs w:val="0"/>
          <w:szCs w:val="24"/>
          <w:lang w:eastAsia="en-GB"/>
        </w:rPr>
        <w:t>Annex 13B</w:t>
      </w:r>
      <w:r w:rsidRPr="00CE0885">
        <w:rPr>
          <w:rFonts w:cs="Arial"/>
          <w:bCs w:val="0"/>
          <w:szCs w:val="24"/>
          <w:lang w:eastAsia="en-GB"/>
        </w:rPr>
        <w:t xml:space="preserve"> – Acknowledgement of Application to Change the Practice Area</w:t>
      </w:r>
    </w:p>
    <w:bookmarkStart w:id="931" w:name="_1556548749"/>
    <w:bookmarkEnd w:id="931"/>
    <w:p w14:paraId="05E6C41A" w14:textId="7C003439" w:rsidR="00977693" w:rsidRPr="00DD20E2" w:rsidRDefault="002306F3" w:rsidP="006C3DF5">
      <w:pPr>
        <w:pStyle w:val="ListParagraph"/>
        <w:widowControl w:val="0"/>
        <w:numPr>
          <w:ilvl w:val="0"/>
          <w:numId w:val="123"/>
        </w:numPr>
        <w:autoSpaceDE w:val="0"/>
        <w:autoSpaceDN w:val="0"/>
        <w:adjustRightInd w:val="0"/>
        <w:spacing w:line="360" w:lineRule="auto"/>
        <w:ind w:right="-23"/>
        <w:rPr>
          <w:rFonts w:cs="Arial"/>
          <w:bCs w:val="0"/>
          <w:szCs w:val="24"/>
          <w:lang w:eastAsia="en-GB"/>
        </w:rPr>
      </w:pPr>
      <w:r>
        <w:fldChar w:fldCharType="begin"/>
      </w:r>
      <w:r>
        <w:instrText xml:space="preserve"> HYPERLINK "https://www.england.nhs.uk/publication/primary-medical-care-policy-and-guidance-manual-financial-changes-statement-of-financial-entitlements-annexes/" </w:instrText>
      </w:r>
      <w:r>
        <w:fldChar w:fldCharType="separate"/>
      </w:r>
      <w:r w:rsidR="00DD20E2">
        <w:rPr>
          <w:rStyle w:val="Hyperlink"/>
        </w:rPr>
        <w:t>Acknowledgment of Application to Change the Practice Area</w:t>
      </w:r>
      <w:r>
        <w:rPr>
          <w:rStyle w:val="Hyperlink"/>
        </w:rPr>
        <w:fldChar w:fldCharType="end"/>
      </w:r>
      <w:r w:rsidR="006C3892" w:rsidRPr="00DD20E2">
        <w:rPr>
          <w:rFonts w:cs="Arial"/>
          <w:bCs w:val="0"/>
          <w:szCs w:val="24"/>
          <w:lang w:eastAsia="en-GB"/>
        </w:rPr>
        <w:br/>
      </w:r>
    </w:p>
    <w:p w14:paraId="00FDD145" w14:textId="77777777" w:rsidR="00977693" w:rsidRPr="00CE0885" w:rsidRDefault="00977693" w:rsidP="00977693">
      <w:pPr>
        <w:widowControl w:val="0"/>
        <w:autoSpaceDE w:val="0"/>
        <w:autoSpaceDN w:val="0"/>
        <w:adjustRightInd w:val="0"/>
        <w:spacing w:line="360" w:lineRule="auto"/>
        <w:ind w:right="-23"/>
        <w:rPr>
          <w:rFonts w:cs="Arial"/>
          <w:bCs w:val="0"/>
          <w:szCs w:val="24"/>
          <w:lang w:eastAsia="en-GB"/>
        </w:rPr>
      </w:pPr>
      <w:r w:rsidRPr="00CE0885">
        <w:rPr>
          <w:rFonts w:cs="Arial"/>
          <w:b/>
          <w:bCs w:val="0"/>
          <w:szCs w:val="24"/>
          <w:lang w:eastAsia="en-GB"/>
        </w:rPr>
        <w:t>Annex 14A</w:t>
      </w:r>
      <w:r w:rsidRPr="00CE0885">
        <w:rPr>
          <w:rFonts w:cs="Arial"/>
          <w:bCs w:val="0"/>
          <w:szCs w:val="24"/>
          <w:lang w:eastAsia="en-GB"/>
        </w:rPr>
        <w:t xml:space="preserve"> – Template Application Notice to Close Branch Premises</w:t>
      </w:r>
    </w:p>
    <w:bookmarkStart w:id="932" w:name="_1556548765"/>
    <w:bookmarkEnd w:id="932"/>
    <w:p w14:paraId="245203E8" w14:textId="7D460796" w:rsidR="00977693" w:rsidRPr="006C3892" w:rsidRDefault="002306F3" w:rsidP="006C3DF5">
      <w:pPr>
        <w:pStyle w:val="ListParagraph"/>
        <w:widowControl w:val="0"/>
        <w:numPr>
          <w:ilvl w:val="0"/>
          <w:numId w:val="123"/>
        </w:numPr>
        <w:autoSpaceDE w:val="0"/>
        <w:autoSpaceDN w:val="0"/>
        <w:adjustRightInd w:val="0"/>
        <w:spacing w:line="360" w:lineRule="auto"/>
        <w:ind w:right="-23"/>
        <w:rPr>
          <w:rFonts w:cs="Arial"/>
          <w:bCs w:val="0"/>
          <w:szCs w:val="24"/>
          <w:lang w:eastAsia="en-GB"/>
        </w:rPr>
      </w:pPr>
      <w:r>
        <w:fldChar w:fldCharType="begin"/>
      </w:r>
      <w:r w:rsidR="00A917CB">
        <w:instrText>HYPERLINK "https://www.england.nhs.uk/publication/primary-medical-care-policy-and-guidance-manual-financial-changes-statement-of-financial-entitlements-annexes/"</w:instrText>
      </w:r>
      <w:r>
        <w:fldChar w:fldCharType="separate"/>
      </w:r>
      <w:r w:rsidR="00A917CB">
        <w:rPr>
          <w:rStyle w:val="Hyperlink"/>
        </w:rPr>
        <w:t>Template Application to Close Branch Premises</w:t>
      </w:r>
      <w:r>
        <w:rPr>
          <w:rStyle w:val="Hyperlink"/>
        </w:rPr>
        <w:fldChar w:fldCharType="end"/>
      </w:r>
      <w:r w:rsidR="006C3892">
        <w:rPr>
          <w:rFonts w:cs="Arial"/>
          <w:bCs w:val="0"/>
          <w:szCs w:val="24"/>
          <w:lang w:eastAsia="en-GB"/>
        </w:rPr>
        <w:br/>
      </w:r>
    </w:p>
    <w:p w14:paraId="796CABD4" w14:textId="77777777" w:rsidR="00977693" w:rsidRPr="00CE0885" w:rsidRDefault="00977693" w:rsidP="00977693">
      <w:pPr>
        <w:widowControl w:val="0"/>
        <w:autoSpaceDE w:val="0"/>
        <w:autoSpaceDN w:val="0"/>
        <w:adjustRightInd w:val="0"/>
        <w:spacing w:line="360" w:lineRule="auto"/>
        <w:ind w:right="-23"/>
        <w:rPr>
          <w:rFonts w:cs="Arial"/>
          <w:bCs w:val="0"/>
          <w:szCs w:val="24"/>
          <w:lang w:eastAsia="en-GB"/>
        </w:rPr>
      </w:pPr>
      <w:r w:rsidRPr="00CE0885">
        <w:rPr>
          <w:rFonts w:cs="Arial"/>
          <w:b/>
          <w:bCs w:val="0"/>
          <w:szCs w:val="24"/>
          <w:lang w:eastAsia="en-GB"/>
        </w:rPr>
        <w:t xml:space="preserve">Annex 14B – </w:t>
      </w:r>
      <w:r w:rsidRPr="00CE0885">
        <w:rPr>
          <w:rFonts w:cs="Arial"/>
          <w:bCs w:val="0"/>
          <w:szCs w:val="24"/>
          <w:lang w:eastAsia="en-GB"/>
        </w:rPr>
        <w:t>Acknowledgement of Application to Close Branch Premises</w:t>
      </w:r>
    </w:p>
    <w:bookmarkStart w:id="933" w:name="_1556548780"/>
    <w:bookmarkEnd w:id="933"/>
    <w:p w14:paraId="5908D378" w14:textId="4E0642D9" w:rsidR="00977693" w:rsidRPr="006C3892" w:rsidRDefault="002306F3" w:rsidP="006C3DF5">
      <w:pPr>
        <w:pStyle w:val="ListParagraph"/>
        <w:widowControl w:val="0"/>
        <w:numPr>
          <w:ilvl w:val="0"/>
          <w:numId w:val="123"/>
        </w:numPr>
        <w:autoSpaceDE w:val="0"/>
        <w:autoSpaceDN w:val="0"/>
        <w:adjustRightInd w:val="0"/>
        <w:spacing w:line="360" w:lineRule="auto"/>
        <w:ind w:right="-23"/>
        <w:rPr>
          <w:rFonts w:cs="Arial"/>
          <w:bCs w:val="0"/>
          <w:szCs w:val="24"/>
          <w:lang w:eastAsia="en-GB"/>
        </w:rPr>
      </w:pPr>
      <w:r>
        <w:fldChar w:fldCharType="begin"/>
      </w:r>
      <w:r>
        <w:instrText xml:space="preserve"> HYPERLINK "https://www.england.nhs.uk/publication/primary-medical-care-policy-and-guidance-manual-financial-changes-statement-of-financial-entitlements-annexes/" </w:instrText>
      </w:r>
      <w:r>
        <w:fldChar w:fldCharType="separate"/>
      </w:r>
      <w:r w:rsidR="00DD20E2">
        <w:rPr>
          <w:rStyle w:val="Hyperlink"/>
        </w:rPr>
        <w:t>Acknowledgment of Application to Close Branch Premises</w:t>
      </w:r>
      <w:r>
        <w:rPr>
          <w:rStyle w:val="Hyperlink"/>
        </w:rPr>
        <w:fldChar w:fldCharType="end"/>
      </w:r>
      <w:r w:rsidR="006C3892">
        <w:rPr>
          <w:rFonts w:cs="Arial"/>
          <w:bCs w:val="0"/>
          <w:szCs w:val="24"/>
          <w:lang w:eastAsia="en-GB"/>
        </w:rPr>
        <w:br/>
      </w:r>
    </w:p>
    <w:p w14:paraId="42A596F5" w14:textId="77777777" w:rsidR="00977693" w:rsidRPr="00CE0885" w:rsidRDefault="00977693" w:rsidP="00977693">
      <w:pPr>
        <w:widowControl w:val="0"/>
        <w:autoSpaceDE w:val="0"/>
        <w:autoSpaceDN w:val="0"/>
        <w:adjustRightInd w:val="0"/>
        <w:spacing w:line="360" w:lineRule="auto"/>
        <w:ind w:right="-23"/>
        <w:rPr>
          <w:rFonts w:cs="Arial"/>
          <w:bCs w:val="0"/>
          <w:szCs w:val="24"/>
          <w:lang w:eastAsia="en-GB"/>
        </w:rPr>
      </w:pPr>
      <w:r w:rsidRPr="00CE0885">
        <w:rPr>
          <w:rFonts w:cs="Arial"/>
          <w:b/>
          <w:bCs w:val="0"/>
          <w:szCs w:val="24"/>
          <w:lang w:eastAsia="en-GB"/>
        </w:rPr>
        <w:t>Annex 15</w:t>
      </w:r>
      <w:r w:rsidRPr="00CE0885">
        <w:rPr>
          <w:rFonts w:cs="Arial"/>
          <w:bCs w:val="0"/>
          <w:szCs w:val="24"/>
          <w:lang w:eastAsia="en-GB"/>
        </w:rPr>
        <w:t xml:space="preserve"> – Records Management: NHS Code of Practice</w:t>
      </w:r>
    </w:p>
    <w:bookmarkStart w:id="934" w:name="_1556548823"/>
    <w:bookmarkEnd w:id="934"/>
    <w:p w14:paraId="5FDA3FD2" w14:textId="57717B3F" w:rsidR="00DD20E2" w:rsidRPr="006C3892" w:rsidRDefault="002306F3" w:rsidP="006C3DF5">
      <w:pPr>
        <w:pStyle w:val="ListParagraph"/>
        <w:widowControl w:val="0"/>
        <w:numPr>
          <w:ilvl w:val="0"/>
          <w:numId w:val="123"/>
        </w:numPr>
        <w:autoSpaceDE w:val="0"/>
        <w:autoSpaceDN w:val="0"/>
        <w:adjustRightInd w:val="0"/>
        <w:spacing w:line="360" w:lineRule="auto"/>
        <w:ind w:right="-23"/>
        <w:rPr>
          <w:rFonts w:cs="Arial"/>
          <w:bCs w:val="0"/>
          <w:szCs w:val="24"/>
          <w:lang w:eastAsia="en-GB"/>
        </w:rPr>
      </w:pPr>
      <w:r>
        <w:fldChar w:fldCharType="begin"/>
      </w:r>
      <w:r>
        <w:instrText xml:space="preserve"> HYPERLINK "https://www.england.nhs.uk/publication/primary-medical-care-policy-and-guidance-manual-financial-changes-statement-of-financial-entitlements-annexes/" </w:instrText>
      </w:r>
      <w:r>
        <w:fldChar w:fldCharType="separate"/>
      </w:r>
      <w:r w:rsidR="00DD20E2">
        <w:rPr>
          <w:rStyle w:val="Hyperlink"/>
        </w:rPr>
        <w:t>Records Management: NHS Code of Practice</w:t>
      </w:r>
      <w:r>
        <w:rPr>
          <w:rStyle w:val="Hyperlink"/>
        </w:rPr>
        <w:fldChar w:fldCharType="end"/>
      </w:r>
    </w:p>
    <w:p w14:paraId="659D1236" w14:textId="4EB9C81C" w:rsidR="00977693" w:rsidRPr="00CE0885" w:rsidRDefault="00977693" w:rsidP="00977693">
      <w:pPr>
        <w:widowControl w:val="0"/>
        <w:autoSpaceDE w:val="0"/>
        <w:autoSpaceDN w:val="0"/>
        <w:adjustRightInd w:val="0"/>
        <w:spacing w:line="360" w:lineRule="auto"/>
        <w:ind w:right="-23"/>
        <w:rPr>
          <w:rFonts w:cs="Arial"/>
          <w:bCs w:val="0"/>
          <w:szCs w:val="24"/>
          <w:lang w:eastAsia="en-GB"/>
        </w:rPr>
      </w:pPr>
    </w:p>
    <w:p w14:paraId="55D0A052" w14:textId="48094840" w:rsidR="00977693" w:rsidRPr="005623C2" w:rsidRDefault="007F5245" w:rsidP="00977693">
      <w:pPr>
        <w:widowControl w:val="0"/>
        <w:spacing w:line="360" w:lineRule="auto"/>
        <w:jc w:val="both"/>
        <w:rPr>
          <w:rFonts w:cs="Arial"/>
          <w:b/>
          <w:bCs w:val="0"/>
          <w:szCs w:val="24"/>
          <w:lang w:eastAsia="en-GB"/>
        </w:rPr>
      </w:pPr>
      <w:bookmarkStart w:id="935" w:name="_Hlk5974818"/>
      <w:r w:rsidRPr="005623C2">
        <w:rPr>
          <w:rFonts w:cs="Arial"/>
          <w:b/>
          <w:bCs w:val="0"/>
          <w:szCs w:val="24"/>
          <w:lang w:eastAsia="en-GB"/>
        </w:rPr>
        <w:t>Annex 16 – Super</w:t>
      </w:r>
      <w:r w:rsidR="000040EB" w:rsidRPr="005623C2">
        <w:rPr>
          <w:rFonts w:cs="Arial"/>
          <w:b/>
          <w:bCs w:val="0"/>
          <w:szCs w:val="24"/>
          <w:lang w:eastAsia="en-GB"/>
        </w:rPr>
        <w:t>-</w:t>
      </w:r>
      <w:r w:rsidRPr="005623C2">
        <w:rPr>
          <w:rFonts w:cs="Arial"/>
          <w:b/>
          <w:bCs w:val="0"/>
          <w:szCs w:val="24"/>
          <w:lang w:eastAsia="en-GB"/>
        </w:rPr>
        <w:t>practice template variation agreement</w:t>
      </w:r>
    </w:p>
    <w:p w14:paraId="301581AC" w14:textId="77777777" w:rsidR="005623C2" w:rsidRDefault="005623C2" w:rsidP="00977693">
      <w:pPr>
        <w:widowControl w:val="0"/>
        <w:spacing w:line="360" w:lineRule="auto"/>
        <w:jc w:val="both"/>
        <w:rPr>
          <w:rFonts w:cs="Arial"/>
          <w:bCs w:val="0"/>
          <w:szCs w:val="24"/>
          <w:lang w:eastAsia="en-GB"/>
        </w:rPr>
      </w:pPr>
    </w:p>
    <w:p w14:paraId="2725A528" w14:textId="19B94BAA" w:rsidR="005623C2" w:rsidRDefault="000B57EE" w:rsidP="00977693">
      <w:pPr>
        <w:widowControl w:val="0"/>
        <w:spacing w:line="360" w:lineRule="auto"/>
        <w:jc w:val="both"/>
        <w:rPr>
          <w:rStyle w:val="Hyperlink"/>
          <w:rFonts w:cs="Arial"/>
          <w:bCs w:val="0"/>
          <w:szCs w:val="24"/>
          <w:lang w:eastAsia="en-GB"/>
        </w:rPr>
      </w:pPr>
      <w:hyperlink r:id="rId129" w:history="1">
        <w:r w:rsidR="005623C2" w:rsidRPr="005623C2">
          <w:rPr>
            <w:rStyle w:val="Hyperlink"/>
            <w:rFonts w:cs="Arial"/>
            <w:bCs w:val="0"/>
            <w:szCs w:val="24"/>
            <w:lang w:eastAsia="en-GB"/>
          </w:rPr>
          <w:t>Super-practice template variation agreement</w:t>
        </w:r>
      </w:hyperlink>
    </w:p>
    <w:p w14:paraId="74987DEA" w14:textId="62A42EB2" w:rsidR="00EE05E4" w:rsidRDefault="00EE05E4" w:rsidP="00977693">
      <w:pPr>
        <w:widowControl w:val="0"/>
        <w:spacing w:line="360" w:lineRule="auto"/>
        <w:jc w:val="both"/>
        <w:rPr>
          <w:rFonts w:cs="Arial"/>
          <w:bCs w:val="0"/>
          <w:szCs w:val="24"/>
          <w:lang w:eastAsia="en-GB"/>
        </w:rPr>
      </w:pPr>
    </w:p>
    <w:p w14:paraId="3B247D7E" w14:textId="6DD0CB74" w:rsidR="00EE05E4" w:rsidRDefault="00EE05E4" w:rsidP="00EE05E4">
      <w:pPr>
        <w:widowControl w:val="0"/>
        <w:spacing w:line="360" w:lineRule="auto"/>
        <w:jc w:val="both"/>
        <w:rPr>
          <w:rFonts w:cs="Arial"/>
          <w:b/>
          <w:bCs w:val="0"/>
          <w:szCs w:val="24"/>
          <w:lang w:eastAsia="en-GB"/>
        </w:rPr>
      </w:pPr>
      <w:r w:rsidRPr="005623C2">
        <w:rPr>
          <w:rFonts w:cs="Arial"/>
          <w:b/>
          <w:bCs w:val="0"/>
          <w:szCs w:val="24"/>
          <w:lang w:eastAsia="en-GB"/>
        </w:rPr>
        <w:t>Annex 1</w:t>
      </w:r>
      <w:r>
        <w:rPr>
          <w:rFonts w:cs="Arial"/>
          <w:b/>
          <w:bCs w:val="0"/>
          <w:szCs w:val="24"/>
          <w:lang w:eastAsia="en-GB"/>
        </w:rPr>
        <w:t>7</w:t>
      </w:r>
      <w:r w:rsidRPr="005623C2">
        <w:rPr>
          <w:rFonts w:cs="Arial"/>
          <w:b/>
          <w:bCs w:val="0"/>
          <w:szCs w:val="24"/>
          <w:lang w:eastAsia="en-GB"/>
        </w:rPr>
        <w:t xml:space="preserve"> –</w:t>
      </w:r>
      <w:r>
        <w:rPr>
          <w:rFonts w:cs="Arial"/>
          <w:b/>
          <w:bCs w:val="0"/>
          <w:szCs w:val="24"/>
          <w:lang w:eastAsia="en-GB"/>
        </w:rPr>
        <w:t xml:space="preserve"> T</w:t>
      </w:r>
      <w:r w:rsidRPr="005623C2">
        <w:rPr>
          <w:rFonts w:cs="Arial"/>
          <w:b/>
          <w:bCs w:val="0"/>
          <w:szCs w:val="24"/>
          <w:lang w:eastAsia="en-GB"/>
        </w:rPr>
        <w:t xml:space="preserve">emplate </w:t>
      </w:r>
      <w:r>
        <w:rPr>
          <w:rFonts w:cs="Arial"/>
          <w:b/>
          <w:bCs w:val="0"/>
          <w:szCs w:val="24"/>
          <w:lang w:eastAsia="en-GB"/>
        </w:rPr>
        <w:t xml:space="preserve">novation </w:t>
      </w:r>
      <w:r w:rsidRPr="005623C2">
        <w:rPr>
          <w:rFonts w:cs="Arial"/>
          <w:b/>
          <w:bCs w:val="0"/>
          <w:szCs w:val="24"/>
          <w:lang w:eastAsia="en-GB"/>
        </w:rPr>
        <w:t>agreement</w:t>
      </w:r>
    </w:p>
    <w:p w14:paraId="461CF016" w14:textId="46995EB6" w:rsidR="001B6F79" w:rsidRPr="00613C58" w:rsidRDefault="000B57EE" w:rsidP="006C3DF5">
      <w:pPr>
        <w:pStyle w:val="ListParagraph"/>
        <w:widowControl w:val="0"/>
        <w:numPr>
          <w:ilvl w:val="0"/>
          <w:numId w:val="123"/>
        </w:numPr>
        <w:spacing w:line="360" w:lineRule="auto"/>
        <w:jc w:val="both"/>
        <w:rPr>
          <w:rFonts w:cs="Arial"/>
          <w:b/>
          <w:bCs w:val="0"/>
          <w:szCs w:val="24"/>
          <w:lang w:eastAsia="en-GB"/>
        </w:rPr>
      </w:pPr>
      <w:hyperlink r:id="rId130" w:history="1">
        <w:r w:rsidR="001B6F79" w:rsidRPr="001B6F79">
          <w:rPr>
            <w:rStyle w:val="Hyperlink"/>
            <w:rFonts w:cs="Arial"/>
            <w:b/>
            <w:bCs w:val="0"/>
            <w:szCs w:val="24"/>
            <w:lang w:eastAsia="en-GB"/>
          </w:rPr>
          <w:t>Template novation agreement</w:t>
        </w:r>
      </w:hyperlink>
    </w:p>
    <w:p w14:paraId="2BA52E36" w14:textId="3D549B0F" w:rsidR="00007B19" w:rsidRDefault="00007B19" w:rsidP="00977693">
      <w:pPr>
        <w:widowControl w:val="0"/>
        <w:spacing w:line="360" w:lineRule="auto"/>
        <w:jc w:val="both"/>
        <w:rPr>
          <w:rFonts w:cs="Arial"/>
          <w:bCs w:val="0"/>
          <w:szCs w:val="24"/>
          <w:lang w:eastAsia="en-GB"/>
        </w:rPr>
      </w:pPr>
    </w:p>
    <w:p w14:paraId="7E977657" w14:textId="35DF6556" w:rsidR="00EE05E4" w:rsidRDefault="00EE05E4" w:rsidP="00977693">
      <w:pPr>
        <w:widowControl w:val="0"/>
        <w:spacing w:line="360" w:lineRule="auto"/>
        <w:jc w:val="both"/>
        <w:rPr>
          <w:rFonts w:cs="Arial"/>
          <w:bCs w:val="0"/>
          <w:szCs w:val="24"/>
          <w:lang w:eastAsia="en-GB"/>
        </w:rPr>
      </w:pPr>
    </w:p>
    <w:bookmarkEnd w:id="935"/>
    <w:p w14:paraId="5EBB63FD" w14:textId="3C7231AF" w:rsidR="0015247B" w:rsidRPr="00446DA6" w:rsidRDefault="00850B0E" w:rsidP="00446DA6">
      <w:pPr>
        <w:pStyle w:val="Heading1"/>
      </w:pPr>
      <w:r>
        <w:br w:type="page"/>
      </w:r>
      <w:bookmarkStart w:id="936" w:name="_Toc95743464"/>
      <w:r w:rsidR="0015247B" w:rsidRPr="00446DA6">
        <w:t>Managing a PMS Contractor’s Right to a GMS Contract</w:t>
      </w:r>
      <w:bookmarkEnd w:id="936"/>
    </w:p>
    <w:p w14:paraId="7D946D56" w14:textId="77777777" w:rsidR="0015247B" w:rsidRDefault="0015247B" w:rsidP="0015247B">
      <w:pPr>
        <w:rPr>
          <w:lang w:eastAsia="en-GB"/>
        </w:rPr>
      </w:pPr>
    </w:p>
    <w:p w14:paraId="72B03F5C" w14:textId="77777777" w:rsidR="00977693" w:rsidRPr="00CE0885" w:rsidRDefault="00977693" w:rsidP="00E47A71">
      <w:pPr>
        <w:pStyle w:val="Heading2"/>
        <w:rPr>
          <w:lang w:eastAsia="en-GB"/>
        </w:rPr>
      </w:pPr>
      <w:bookmarkStart w:id="937" w:name="_Toc440982444"/>
      <w:bookmarkStart w:id="938" w:name="_Toc95743465"/>
      <w:r w:rsidRPr="00CE0885">
        <w:rPr>
          <w:lang w:eastAsia="en-GB"/>
        </w:rPr>
        <w:t>Introduction</w:t>
      </w:r>
      <w:bookmarkEnd w:id="937"/>
      <w:bookmarkEnd w:id="938"/>
    </w:p>
    <w:p w14:paraId="6E7BA6DB" w14:textId="1A1D3C09" w:rsidR="00977693" w:rsidRPr="00CE0885" w:rsidRDefault="00977693" w:rsidP="00E47A71">
      <w:pPr>
        <w:pStyle w:val="Heading3"/>
        <w:rPr>
          <w:lang w:eastAsia="en-GB"/>
        </w:rPr>
      </w:pPr>
      <w:bookmarkStart w:id="939" w:name="_Toc440982445"/>
      <w:r w:rsidRPr="00CE0885">
        <w:rPr>
          <w:lang w:eastAsia="en-GB"/>
        </w:rPr>
        <w:t>The aim of this policy is to ensure that all parties to the contract understand the process and procedures that must be followed when a contractor requests a transfer from a PMS agreement to a GMS contract.</w:t>
      </w:r>
      <w:bookmarkEnd w:id="939"/>
    </w:p>
    <w:p w14:paraId="18BCFF8B" w14:textId="1542FC5B" w:rsidR="00977693" w:rsidRPr="00CE0885" w:rsidRDefault="00977693" w:rsidP="00E47A71">
      <w:pPr>
        <w:pStyle w:val="Heading3"/>
        <w:rPr>
          <w:lang w:eastAsia="en-GB"/>
        </w:rPr>
      </w:pPr>
      <w:bookmarkStart w:id="940" w:name="_Toc440982446"/>
      <w:r w:rsidRPr="00CE0885">
        <w:rPr>
          <w:lang w:eastAsia="en-GB"/>
        </w:rPr>
        <w:t xml:space="preserve">Subject to the contractor's eligibility to hold a GMS contract and the requirement to provide essential services, then </w:t>
      </w:r>
      <w:bookmarkStart w:id="941" w:name="_Hlk30593009"/>
      <w:r w:rsidRPr="00CE0885">
        <w:rPr>
          <w:lang w:eastAsia="en-GB"/>
        </w:rPr>
        <w:t>there should be no variation in the application of this policy</w:t>
      </w:r>
      <w:bookmarkEnd w:id="941"/>
      <w:r w:rsidRPr="00CE0885">
        <w:rPr>
          <w:lang w:eastAsia="en-GB"/>
        </w:rPr>
        <w:t>.</w:t>
      </w:r>
      <w:bookmarkEnd w:id="940"/>
    </w:p>
    <w:p w14:paraId="25A44533" w14:textId="77777777" w:rsidR="00977693" w:rsidRPr="009055A7" w:rsidRDefault="00977693" w:rsidP="00977693">
      <w:pPr>
        <w:widowControl w:val="0"/>
        <w:spacing w:line="360" w:lineRule="auto"/>
        <w:ind w:left="1414"/>
        <w:jc w:val="both"/>
        <w:rPr>
          <w:rFonts w:cs="Arial"/>
          <w:bCs w:val="0"/>
          <w:sz w:val="20"/>
          <w:szCs w:val="20"/>
          <w:lang w:eastAsia="en-GB"/>
        </w:rPr>
      </w:pPr>
    </w:p>
    <w:p w14:paraId="29FF76DE" w14:textId="77777777" w:rsidR="00977693" w:rsidRPr="00CE0885" w:rsidRDefault="00977693" w:rsidP="00E47A71">
      <w:pPr>
        <w:pStyle w:val="Heading2"/>
      </w:pPr>
      <w:bookmarkStart w:id="942" w:name="_Toc440982447"/>
      <w:bookmarkStart w:id="943" w:name="_Toc95743466"/>
      <w:r w:rsidRPr="00CE0885">
        <w:t>Roles and Responsibilities</w:t>
      </w:r>
      <w:bookmarkEnd w:id="942"/>
      <w:bookmarkEnd w:id="943"/>
    </w:p>
    <w:p w14:paraId="487FE51C" w14:textId="0F617716" w:rsidR="00977693" w:rsidRPr="00CE0885" w:rsidRDefault="00977693" w:rsidP="00E47A71">
      <w:pPr>
        <w:pStyle w:val="Heading3"/>
        <w:rPr>
          <w:lang w:eastAsia="en-GB"/>
        </w:rPr>
      </w:pPr>
      <w:bookmarkStart w:id="944" w:name="_Toc440982448"/>
      <w:r w:rsidRPr="00CE0885">
        <w:rPr>
          <w:lang w:eastAsia="en-GB"/>
        </w:rPr>
        <w:t>Commissioners will need to ensure that the finance department and relevant persons are made aware of the change to the contracting arrangements as there will be long term financial implications. A GMS contract is not time limited and exists in perpetuity. Anyone with delegated authority can sign off the transfer.</w:t>
      </w:r>
      <w:bookmarkEnd w:id="944"/>
    </w:p>
    <w:p w14:paraId="6D85416E" w14:textId="3810C8D2" w:rsidR="00977693" w:rsidRPr="00CE0885" w:rsidRDefault="00977693" w:rsidP="00E47A71">
      <w:pPr>
        <w:pStyle w:val="Heading3"/>
        <w:rPr>
          <w:lang w:eastAsia="en-GB"/>
        </w:rPr>
      </w:pPr>
      <w:bookmarkStart w:id="945" w:name="_Toc440982449"/>
      <w:r w:rsidRPr="00CE0885">
        <w:rPr>
          <w:lang w:eastAsia="en-GB"/>
        </w:rPr>
        <w:t>The payment and contract management system must be updated by the officer managing the transfer.</w:t>
      </w:r>
      <w:bookmarkEnd w:id="945"/>
    </w:p>
    <w:p w14:paraId="2C2C0622" w14:textId="77777777" w:rsidR="00977693" w:rsidRPr="009055A7" w:rsidRDefault="00977693" w:rsidP="00977693">
      <w:pPr>
        <w:widowControl w:val="0"/>
        <w:spacing w:line="360" w:lineRule="auto"/>
        <w:ind w:left="1414"/>
        <w:jc w:val="both"/>
        <w:rPr>
          <w:rFonts w:cs="Arial"/>
          <w:bCs w:val="0"/>
          <w:sz w:val="20"/>
          <w:szCs w:val="20"/>
          <w:lang w:eastAsia="en-GB"/>
        </w:rPr>
      </w:pPr>
    </w:p>
    <w:p w14:paraId="2FF412DB" w14:textId="77777777" w:rsidR="00977693" w:rsidRPr="00CE0885" w:rsidRDefault="00977693" w:rsidP="00E47A71">
      <w:pPr>
        <w:pStyle w:val="Heading2"/>
        <w:rPr>
          <w:lang w:eastAsia="en-GB"/>
        </w:rPr>
      </w:pPr>
      <w:bookmarkStart w:id="946" w:name="_Toc440982450"/>
      <w:bookmarkStart w:id="947" w:name="_Toc95743467"/>
      <w:r w:rsidRPr="00CE0885">
        <w:rPr>
          <w:lang w:eastAsia="en-GB"/>
        </w:rPr>
        <w:t>Background</w:t>
      </w:r>
      <w:bookmarkEnd w:id="946"/>
      <w:bookmarkEnd w:id="947"/>
    </w:p>
    <w:p w14:paraId="4184207E" w14:textId="2392E4B7" w:rsidR="00977693" w:rsidRPr="00CE0885" w:rsidRDefault="00977693" w:rsidP="00E47A71">
      <w:pPr>
        <w:pStyle w:val="Heading3"/>
        <w:rPr>
          <w:lang w:eastAsia="en-GB"/>
        </w:rPr>
      </w:pPr>
      <w:bookmarkStart w:id="948" w:name="_Toc440982451"/>
      <w:r w:rsidRPr="00CE0885">
        <w:rPr>
          <w:lang w:eastAsia="en-GB"/>
        </w:rPr>
        <w:t>A contractor holding a PMS agreement which is providing essential services, has the right to a GMS contract in accordance with Regulation 19 of the PMS Regulations which states:</w:t>
      </w:r>
      <w:bookmarkEnd w:id="948"/>
    </w:p>
    <w:p w14:paraId="04DF5FD0" w14:textId="77777777" w:rsidR="00977693" w:rsidRPr="00CE0885" w:rsidRDefault="00977693" w:rsidP="00E47A71">
      <w:pPr>
        <w:pStyle w:val="Heading3"/>
        <w:rPr>
          <w:lang w:eastAsia="en-GB"/>
        </w:rPr>
      </w:pPr>
      <w:r w:rsidRPr="00CE0885">
        <w:rPr>
          <w:lang w:eastAsia="en-GB"/>
        </w:rPr>
        <w:t>"A contractor which is providing essential services and which wishes a general medical services contract to be entered into pursuant to this regulation shall notify [the Commissioner] in writing at least three months before the date on which it wishes the general medical services contract to be entered into."</w:t>
      </w:r>
    </w:p>
    <w:p w14:paraId="086B6078" w14:textId="0F9260B3" w:rsidR="00977693" w:rsidRPr="00CE0885" w:rsidRDefault="00977693" w:rsidP="00E47A71">
      <w:pPr>
        <w:pStyle w:val="Heading3"/>
        <w:rPr>
          <w:lang w:eastAsia="en-GB"/>
        </w:rPr>
      </w:pPr>
      <w:bookmarkStart w:id="949" w:name="_Toc440982452"/>
      <w:r w:rsidRPr="00CE0885">
        <w:rPr>
          <w:lang w:eastAsia="en-GB"/>
        </w:rPr>
        <w:t>This policy sets out the decision making process that the Commissioner will follow, together with refusal (where eligibility is not satisfied), appeal processes and discussions regarding any actions that are required.</w:t>
      </w:r>
      <w:bookmarkEnd w:id="949"/>
      <w:r w:rsidRPr="00CE0885">
        <w:rPr>
          <w:lang w:eastAsia="en-GB"/>
        </w:rPr>
        <w:t xml:space="preserve"> </w:t>
      </w:r>
    </w:p>
    <w:p w14:paraId="1A608E06" w14:textId="52B177C0" w:rsidR="00977693" w:rsidRDefault="00977693" w:rsidP="00977693">
      <w:pPr>
        <w:widowControl w:val="0"/>
        <w:spacing w:line="360" w:lineRule="auto"/>
        <w:ind w:left="1414"/>
        <w:jc w:val="both"/>
        <w:rPr>
          <w:rFonts w:cs="Arial"/>
          <w:bCs w:val="0"/>
          <w:sz w:val="20"/>
          <w:szCs w:val="20"/>
          <w:lang w:eastAsia="en-GB"/>
        </w:rPr>
      </w:pPr>
    </w:p>
    <w:p w14:paraId="7D4BEAFF" w14:textId="1C2EF4D4" w:rsidR="00671886" w:rsidRDefault="00671886" w:rsidP="00977693">
      <w:pPr>
        <w:widowControl w:val="0"/>
        <w:spacing w:line="360" w:lineRule="auto"/>
        <w:ind w:left="1414"/>
        <w:jc w:val="both"/>
        <w:rPr>
          <w:rFonts w:cs="Arial"/>
          <w:bCs w:val="0"/>
          <w:sz w:val="20"/>
          <w:szCs w:val="20"/>
          <w:lang w:eastAsia="en-GB"/>
        </w:rPr>
      </w:pPr>
    </w:p>
    <w:p w14:paraId="50732CAD" w14:textId="77777777" w:rsidR="00671886" w:rsidRPr="009055A7" w:rsidRDefault="00671886" w:rsidP="00977693">
      <w:pPr>
        <w:widowControl w:val="0"/>
        <w:spacing w:line="360" w:lineRule="auto"/>
        <w:ind w:left="1414"/>
        <w:jc w:val="both"/>
        <w:rPr>
          <w:rFonts w:cs="Arial"/>
          <w:bCs w:val="0"/>
          <w:sz w:val="20"/>
          <w:szCs w:val="20"/>
          <w:lang w:eastAsia="en-GB"/>
        </w:rPr>
      </w:pPr>
    </w:p>
    <w:p w14:paraId="05353906" w14:textId="77777777" w:rsidR="00977693" w:rsidRPr="00CE0885" w:rsidRDefault="00977693" w:rsidP="00E47A71">
      <w:pPr>
        <w:pStyle w:val="Heading2"/>
        <w:rPr>
          <w:lang w:eastAsia="en-GB"/>
        </w:rPr>
      </w:pPr>
      <w:bookmarkStart w:id="950" w:name="_Toc440982453"/>
      <w:bookmarkStart w:id="951" w:name="_Toc95743468"/>
      <w:r w:rsidRPr="00CE0885">
        <w:rPr>
          <w:lang w:eastAsia="en-GB"/>
        </w:rPr>
        <w:t>Notification from a Contractor</w:t>
      </w:r>
      <w:bookmarkEnd w:id="950"/>
      <w:bookmarkEnd w:id="951"/>
    </w:p>
    <w:p w14:paraId="65D96189" w14:textId="4A24D0F3" w:rsidR="00977693" w:rsidRPr="00CE0885" w:rsidRDefault="00977693" w:rsidP="00E47A71">
      <w:pPr>
        <w:pStyle w:val="Heading3"/>
        <w:rPr>
          <w:lang w:eastAsia="en-GB"/>
        </w:rPr>
      </w:pPr>
      <w:bookmarkStart w:id="952" w:name="_Toc440982454"/>
      <w:r w:rsidRPr="00CE0885">
        <w:rPr>
          <w:lang w:eastAsia="en-GB"/>
        </w:rPr>
        <w:t>The Commissioner should receive at least three months' notice in writing from the contractor requesting a GMS contract.</w:t>
      </w:r>
      <w:bookmarkEnd w:id="952"/>
      <w:r w:rsidRPr="00CE0885">
        <w:rPr>
          <w:lang w:eastAsia="en-GB"/>
        </w:rPr>
        <w:t xml:space="preserve"> </w:t>
      </w:r>
    </w:p>
    <w:p w14:paraId="5F7FB41D" w14:textId="5DE120CE" w:rsidR="00977693" w:rsidRPr="00CE0885" w:rsidRDefault="00977693" w:rsidP="00E47A71">
      <w:pPr>
        <w:pStyle w:val="Heading3"/>
        <w:rPr>
          <w:lang w:eastAsia="en-GB"/>
        </w:rPr>
      </w:pPr>
      <w:bookmarkStart w:id="953" w:name="_Toc440982455"/>
      <w:r w:rsidRPr="00CE0885">
        <w:rPr>
          <w:lang w:eastAsia="en-GB"/>
        </w:rPr>
        <w:t>The contractor's notice must:</w:t>
      </w:r>
      <w:bookmarkEnd w:id="953"/>
    </w:p>
    <w:p w14:paraId="412D933A" w14:textId="61C2632F" w:rsidR="00977693" w:rsidRPr="00A553BA" w:rsidRDefault="00977693" w:rsidP="006C3DF5">
      <w:pPr>
        <w:pStyle w:val="ListParagraph"/>
        <w:numPr>
          <w:ilvl w:val="0"/>
          <w:numId w:val="122"/>
        </w:numPr>
        <w:spacing w:before="120" w:after="120" w:line="360" w:lineRule="auto"/>
        <w:ind w:left="714" w:hanging="357"/>
      </w:pPr>
      <w:bookmarkStart w:id="954" w:name="_Toc440982456"/>
      <w:r w:rsidRPr="00A553BA">
        <w:t>state that the contractor wishes to terminate the PMS agreement;</w:t>
      </w:r>
      <w:bookmarkEnd w:id="954"/>
    </w:p>
    <w:p w14:paraId="0C75F7FB" w14:textId="77777777" w:rsidR="00977693" w:rsidRPr="00A553BA" w:rsidRDefault="00977693" w:rsidP="006C3DF5">
      <w:pPr>
        <w:pStyle w:val="ListParagraph"/>
        <w:numPr>
          <w:ilvl w:val="0"/>
          <w:numId w:val="122"/>
        </w:numPr>
        <w:spacing w:before="120" w:after="120" w:line="360" w:lineRule="auto"/>
        <w:ind w:left="714" w:hanging="357"/>
      </w:pPr>
      <w:bookmarkStart w:id="955" w:name="_Toc440982457"/>
      <w:r w:rsidRPr="00A553BA">
        <w:t>state the date on which the contractor wishes the PMS agreement to terminate which must be at least three months after the date of service of the notice;</w:t>
      </w:r>
      <w:bookmarkEnd w:id="955"/>
    </w:p>
    <w:p w14:paraId="24B71ED8" w14:textId="77777777" w:rsidR="00977693" w:rsidRPr="00A553BA" w:rsidRDefault="00977693" w:rsidP="006C3DF5">
      <w:pPr>
        <w:pStyle w:val="ListParagraph"/>
        <w:numPr>
          <w:ilvl w:val="0"/>
          <w:numId w:val="122"/>
        </w:numPr>
        <w:spacing w:before="120" w:after="120" w:line="360" w:lineRule="auto"/>
        <w:ind w:left="714" w:hanging="357"/>
      </w:pPr>
      <w:bookmarkStart w:id="956" w:name="_Toc440982458"/>
      <w:r w:rsidRPr="00A553BA">
        <w:t>give the name of the person(s) with whom the contractor wishes the Commissioner to enter into a GMS contract (a person's name may only be given in a notice if that person is a party to the PMS agreement); and</w:t>
      </w:r>
      <w:bookmarkEnd w:id="956"/>
    </w:p>
    <w:p w14:paraId="202702F6" w14:textId="77777777" w:rsidR="00977693" w:rsidRPr="00A553BA" w:rsidRDefault="00977693" w:rsidP="006C3DF5">
      <w:pPr>
        <w:pStyle w:val="ListParagraph"/>
        <w:numPr>
          <w:ilvl w:val="0"/>
          <w:numId w:val="122"/>
        </w:numPr>
        <w:spacing w:before="120" w:after="120" w:line="360" w:lineRule="auto"/>
        <w:ind w:left="714" w:hanging="357"/>
      </w:pPr>
      <w:bookmarkStart w:id="957" w:name="_Toc440982459"/>
      <w:r w:rsidRPr="00A553BA">
        <w:t>confirm that the person(s) named meet the conditions set out in section 86 of the NHS Act (persons eligible to enter into GMS contracts) and regulations 4 and 5 (where applicable) of the GMS Regulations or, where the contractor is not able to confirm, the reason why it is not able to do so and confirmation that the person(s) immediately prior to entering into the GMS contract will meet those conditions.</w:t>
      </w:r>
      <w:bookmarkEnd w:id="957"/>
    </w:p>
    <w:p w14:paraId="13A95D94" w14:textId="77777777" w:rsidR="00977693" w:rsidRPr="009055A7" w:rsidRDefault="00977693" w:rsidP="00977693">
      <w:pPr>
        <w:widowControl w:val="0"/>
        <w:spacing w:line="360" w:lineRule="auto"/>
        <w:ind w:left="2268"/>
        <w:jc w:val="both"/>
        <w:rPr>
          <w:rFonts w:cs="Arial"/>
          <w:bCs w:val="0"/>
          <w:sz w:val="20"/>
          <w:szCs w:val="20"/>
          <w:lang w:eastAsia="en-GB"/>
        </w:rPr>
      </w:pPr>
    </w:p>
    <w:p w14:paraId="6377B1CF" w14:textId="77777777" w:rsidR="00977693" w:rsidRPr="00CE0885" w:rsidRDefault="00977693" w:rsidP="00E47A71">
      <w:pPr>
        <w:pStyle w:val="Heading2"/>
        <w:rPr>
          <w:lang w:eastAsia="en-GB"/>
        </w:rPr>
      </w:pPr>
      <w:bookmarkStart w:id="958" w:name="_Toc440982460"/>
      <w:bookmarkStart w:id="959" w:name="_Toc95743469"/>
      <w:r w:rsidRPr="00CE0885">
        <w:rPr>
          <w:lang w:eastAsia="en-GB"/>
        </w:rPr>
        <w:t>Process for PMS Agreements</w:t>
      </w:r>
      <w:bookmarkEnd w:id="958"/>
      <w:bookmarkEnd w:id="959"/>
    </w:p>
    <w:p w14:paraId="01ED3123" w14:textId="7D8B9A43" w:rsidR="00977693" w:rsidRPr="00CE0885" w:rsidRDefault="00977693" w:rsidP="00E47A71">
      <w:pPr>
        <w:pStyle w:val="Heading3"/>
        <w:rPr>
          <w:lang w:eastAsia="en-GB"/>
        </w:rPr>
      </w:pPr>
      <w:bookmarkStart w:id="960" w:name="_Toc440982461"/>
      <w:r w:rsidRPr="00CE0885">
        <w:rPr>
          <w:lang w:eastAsia="en-GB"/>
        </w:rPr>
        <w:t>The Commissioner must acknowledge receipt of the notice within seven days beginning on the day it received the notice.</w:t>
      </w:r>
      <w:bookmarkEnd w:id="960"/>
      <w:r w:rsidRPr="00CE0885">
        <w:rPr>
          <w:lang w:eastAsia="en-GB"/>
        </w:rPr>
        <w:t xml:space="preserve"> </w:t>
      </w:r>
    </w:p>
    <w:p w14:paraId="0382C484" w14:textId="27664662" w:rsidR="00977693" w:rsidRPr="00CE0885" w:rsidRDefault="00977693" w:rsidP="00E47A71">
      <w:pPr>
        <w:pStyle w:val="Heading3"/>
        <w:rPr>
          <w:lang w:eastAsia="en-GB"/>
        </w:rPr>
      </w:pPr>
      <w:bookmarkStart w:id="961" w:name="_Toc440982462"/>
      <w:r w:rsidRPr="00CE0885">
        <w:rPr>
          <w:lang w:eastAsia="en-GB"/>
        </w:rPr>
        <w:t xml:space="preserve">While it is not a requirement of the PMS Regulations, when the Commissioner receives such a notice it should discuss the full implications of this action with the contractor to ensure the contractor has fully understood the necessary changes to the contractual income streams (see paragraph </w:t>
      </w:r>
      <w:r w:rsidRPr="00CE0885">
        <w:rPr>
          <w:lang w:eastAsia="en-GB"/>
        </w:rPr>
        <w:fldChar w:fldCharType="begin"/>
      </w:r>
      <w:r w:rsidRPr="00CE0885">
        <w:rPr>
          <w:lang w:eastAsia="en-GB"/>
        </w:rPr>
        <w:instrText xml:space="preserve"> REF _Ref411025802 \r \h  \* MERGEFORMAT </w:instrText>
      </w:r>
      <w:r w:rsidRPr="00CE0885">
        <w:rPr>
          <w:lang w:eastAsia="en-GB"/>
        </w:rPr>
      </w:r>
      <w:r w:rsidRPr="00CE0885">
        <w:rPr>
          <w:lang w:eastAsia="en-GB"/>
        </w:rPr>
        <w:fldChar w:fldCharType="separate"/>
      </w:r>
      <w:r w:rsidR="00054166">
        <w:rPr>
          <w:lang w:eastAsia="en-GB"/>
        </w:rPr>
        <w:t>8.5.4</w:t>
      </w:r>
      <w:r w:rsidRPr="00CE0885">
        <w:rPr>
          <w:lang w:eastAsia="en-GB"/>
        </w:rPr>
        <w:fldChar w:fldCharType="end"/>
      </w:r>
      <w:r w:rsidRPr="00CE0885">
        <w:rPr>
          <w:lang w:eastAsia="en-GB"/>
        </w:rPr>
        <w:t>) and should advise the contractor to seek their own independent advice.</w:t>
      </w:r>
      <w:bookmarkEnd w:id="961"/>
    </w:p>
    <w:p w14:paraId="4AB9A34B" w14:textId="31023D67" w:rsidR="00977693" w:rsidRPr="00CE0885" w:rsidRDefault="00977693" w:rsidP="00E47A71">
      <w:pPr>
        <w:pStyle w:val="Heading3"/>
        <w:rPr>
          <w:lang w:eastAsia="en-GB"/>
        </w:rPr>
      </w:pPr>
      <w:bookmarkStart w:id="962" w:name="_Toc440982463"/>
      <w:r w:rsidRPr="00CE0885">
        <w:rPr>
          <w:lang w:eastAsia="en-GB"/>
        </w:rPr>
        <w:t xml:space="preserve">The Commissioner will check that all necessary information has been provided in the contractor's notice and undertake a review of the PMS agreement to establish if the contractor provides essential services; and if they are eligible to hold a GMS contract (as set out in section 86 of the NHS Act (persons eligible to enter into GMS contracts) and regulations 4 and 5 of the GMS Regulations. This information can also be found in </w:t>
      </w:r>
      <w:r w:rsidR="00A114DF">
        <w:rPr>
          <w:lang w:eastAsia="en-GB"/>
        </w:rPr>
        <w:t xml:space="preserve">the ‘Contracts Described’ </w:t>
      </w:r>
      <w:r w:rsidR="00BC5F9C">
        <w:rPr>
          <w:lang w:eastAsia="en-GB"/>
        </w:rPr>
        <w:t>chapter</w:t>
      </w:r>
      <w:r w:rsidRPr="00CE0885">
        <w:rPr>
          <w:b/>
          <w:lang w:eastAsia="en-GB"/>
        </w:rPr>
        <w:t>.</w:t>
      </w:r>
      <w:bookmarkEnd w:id="962"/>
    </w:p>
    <w:p w14:paraId="4EBA4C94" w14:textId="61CC8826" w:rsidR="00977693" w:rsidRPr="00CE0885" w:rsidRDefault="00977693" w:rsidP="00E47A71">
      <w:pPr>
        <w:pStyle w:val="Heading3"/>
        <w:rPr>
          <w:lang w:eastAsia="en-GB"/>
        </w:rPr>
      </w:pPr>
      <w:bookmarkStart w:id="963" w:name="_Ref411025802"/>
      <w:bookmarkStart w:id="964" w:name="_Toc440982464"/>
      <w:r w:rsidRPr="00CE0885">
        <w:rPr>
          <w:lang w:eastAsia="en-GB"/>
        </w:rPr>
        <w:t>The Commissioner must apply the GMS SFE on first setting up a GMS contract and calculating the global sum monthly payment.  Whilst a PMS contractor has the right to a GMS contract, there is no entitlement for the contractor to carry the same funding arrangements it had under the PMS agreement into that GMS contract. GMS contracts are funded according to terms set out in the GMS SFE while PMS agreements are funded through local agreement. There is the discretion to agree additional payments under GMS arrangements outwith the GMS SFE which are not necessarily payable under the GMS SFE. It is essential that the Commissioner has ascertained the financial impact of this decision of the contractor to move to a GMS contract.</w:t>
      </w:r>
      <w:bookmarkEnd w:id="963"/>
      <w:bookmarkEnd w:id="964"/>
    </w:p>
    <w:p w14:paraId="5C189A3D" w14:textId="364EB456" w:rsidR="00977693" w:rsidRPr="00CE0885" w:rsidRDefault="00977693" w:rsidP="00E47A71">
      <w:pPr>
        <w:pStyle w:val="Heading3"/>
        <w:rPr>
          <w:lang w:eastAsia="en-GB"/>
        </w:rPr>
      </w:pPr>
      <w:bookmarkStart w:id="965" w:name="_Toc440982465"/>
      <w:r w:rsidRPr="00CE0885">
        <w:rPr>
          <w:lang w:eastAsia="en-GB"/>
        </w:rPr>
        <w:t>If the contractor does not provide essential services, the Commissioner must notify the contractor that they are not entitled to transfer to a GMS contract. A template letter is provided in Annex 1.</w:t>
      </w:r>
      <w:bookmarkEnd w:id="965"/>
      <w:r w:rsidRPr="00CE0885">
        <w:rPr>
          <w:lang w:eastAsia="en-GB"/>
        </w:rPr>
        <w:t xml:space="preserve">  </w:t>
      </w:r>
    </w:p>
    <w:p w14:paraId="36E1F326" w14:textId="1296155D" w:rsidR="00977693" w:rsidRPr="00CE0885" w:rsidRDefault="00977693" w:rsidP="00E47A71">
      <w:pPr>
        <w:pStyle w:val="Heading3"/>
        <w:rPr>
          <w:lang w:eastAsia="en-GB"/>
        </w:rPr>
      </w:pPr>
      <w:bookmarkStart w:id="966" w:name="_Toc440982466"/>
      <w:r w:rsidRPr="00CE0885">
        <w:rPr>
          <w:lang w:eastAsia="en-GB"/>
        </w:rPr>
        <w:t>If the contractor is not eligible to hold a GMS contract the Commissioner must refuse to enter into a GMS contract. A template letter is provided in Annex 2.</w:t>
      </w:r>
      <w:bookmarkEnd w:id="966"/>
    </w:p>
    <w:p w14:paraId="1539BC3E" w14:textId="758D1D06" w:rsidR="00977693" w:rsidRPr="00CE0885" w:rsidRDefault="00977693" w:rsidP="00E47A71">
      <w:pPr>
        <w:pStyle w:val="Heading3"/>
        <w:rPr>
          <w:lang w:eastAsia="en-GB"/>
        </w:rPr>
      </w:pPr>
      <w:bookmarkStart w:id="967" w:name="_Toc440982467"/>
      <w:r w:rsidRPr="00CE0885">
        <w:rPr>
          <w:lang w:eastAsia="en-GB"/>
        </w:rPr>
        <w:t>If the Commissioner confirms that the contractor provides essential services and is eligible to hold a GMS contract under section 86 of the NHS Act and regulations 4 and 5 of the GMS Regulations, the Commissioner will acknowledge receipt of the notice and outline the next steps within seven days of receipt of the notice. A template letter is provided in Annex 3.</w:t>
      </w:r>
      <w:bookmarkEnd w:id="967"/>
    </w:p>
    <w:p w14:paraId="62F75C48" w14:textId="50933267" w:rsidR="00977693" w:rsidRPr="00CE0885" w:rsidRDefault="00977693" w:rsidP="00E47A71">
      <w:pPr>
        <w:pStyle w:val="Heading3"/>
        <w:rPr>
          <w:lang w:eastAsia="en-GB"/>
        </w:rPr>
      </w:pPr>
      <w:bookmarkStart w:id="968" w:name="_Toc440982468"/>
      <w:r w:rsidRPr="00CE0885">
        <w:rPr>
          <w:lang w:eastAsia="en-GB"/>
        </w:rPr>
        <w:t>The GMS contract will start immediately after the termination of the PMS agreement. The GMS contract start date should be the date set out in the notice to the Commissioner unless a different date is agreed by the parties. The GMS contract will include all the terms required by the GMS Regulations.</w:t>
      </w:r>
      <w:bookmarkEnd w:id="968"/>
      <w:r w:rsidRPr="00CE0885">
        <w:rPr>
          <w:lang w:eastAsia="en-GB"/>
        </w:rPr>
        <w:t xml:space="preserve"> </w:t>
      </w:r>
    </w:p>
    <w:p w14:paraId="469C141E" w14:textId="08703759" w:rsidR="00977693" w:rsidRPr="00CE0885" w:rsidRDefault="00977693" w:rsidP="00E47A71">
      <w:pPr>
        <w:pStyle w:val="Heading3"/>
        <w:rPr>
          <w:lang w:eastAsia="en-GB"/>
        </w:rPr>
      </w:pPr>
      <w:bookmarkStart w:id="969" w:name="_Toc440982469"/>
      <w:r w:rsidRPr="00CE0885">
        <w:rPr>
          <w:lang w:eastAsia="en-GB"/>
        </w:rPr>
        <w:t xml:space="preserve">The new GMS contract must require the provision of the same services that were commissioned </w:t>
      </w:r>
      <w:r w:rsidR="00962DFD">
        <w:rPr>
          <w:lang w:eastAsia="en-GB"/>
        </w:rPr>
        <w:t>t</w:t>
      </w:r>
      <w:r w:rsidRPr="00CE0885">
        <w:rPr>
          <w:lang w:eastAsia="en-GB"/>
        </w:rPr>
        <w:t xml:space="preserve"> under the PMS agreement and were provided by the contractor immediately prior to the PMS agreement terminating, unless the parties otherwise agree.</w:t>
      </w:r>
      <w:bookmarkEnd w:id="969"/>
      <w:r w:rsidRPr="00CE0885">
        <w:rPr>
          <w:lang w:eastAsia="en-GB"/>
        </w:rPr>
        <w:t xml:space="preserve"> </w:t>
      </w:r>
    </w:p>
    <w:p w14:paraId="6CBC9431" w14:textId="47A22724" w:rsidR="00977693" w:rsidRPr="00CE0885" w:rsidRDefault="00977693" w:rsidP="00E47A71">
      <w:pPr>
        <w:pStyle w:val="Heading3"/>
        <w:rPr>
          <w:lang w:eastAsia="en-GB"/>
        </w:rPr>
      </w:pPr>
      <w:bookmarkStart w:id="970" w:name="_Toc440982470"/>
      <w:r w:rsidRPr="00CE0885">
        <w:rPr>
          <w:lang w:eastAsia="en-GB"/>
        </w:rPr>
        <w:t>The names of the patients included in the contractor's list of patients immediately before the PMS agreement termination must be included in the first list of patients prepared and maintained by the Commissioner.</w:t>
      </w:r>
      <w:bookmarkEnd w:id="970"/>
      <w:r w:rsidRPr="00CE0885">
        <w:rPr>
          <w:lang w:eastAsia="en-GB"/>
        </w:rPr>
        <w:t xml:space="preserve"> </w:t>
      </w:r>
    </w:p>
    <w:p w14:paraId="198E1F14" w14:textId="1B043992" w:rsidR="00977693" w:rsidRPr="00CE0885" w:rsidRDefault="00977693" w:rsidP="00E47A71">
      <w:pPr>
        <w:pStyle w:val="Heading3"/>
        <w:rPr>
          <w:lang w:eastAsia="en-GB"/>
        </w:rPr>
      </w:pPr>
      <w:bookmarkStart w:id="971" w:name="_Toc440982471"/>
      <w:r w:rsidRPr="00CE0885">
        <w:rPr>
          <w:lang w:eastAsia="en-GB"/>
        </w:rPr>
        <w:t>The out of hours services must be the same as were provided under the PMS agreement before it terminated.</w:t>
      </w:r>
      <w:bookmarkEnd w:id="971"/>
    </w:p>
    <w:p w14:paraId="7C4AFEBB" w14:textId="13904BAC" w:rsidR="00977693" w:rsidRPr="00CE0885" w:rsidRDefault="00977693" w:rsidP="00E47A71">
      <w:pPr>
        <w:pStyle w:val="Heading3"/>
        <w:rPr>
          <w:lang w:eastAsia="en-GB"/>
        </w:rPr>
      </w:pPr>
      <w:bookmarkStart w:id="972" w:name="_Toc440982472"/>
      <w:r w:rsidRPr="00CE0885">
        <w:rPr>
          <w:lang w:eastAsia="en-GB"/>
        </w:rPr>
        <w:t>The Commissioner must use the current standard GMS contract ensuring that it is amended to the specific contractor.</w:t>
      </w:r>
      <w:bookmarkEnd w:id="972"/>
      <w:r w:rsidRPr="00CE0885">
        <w:rPr>
          <w:lang w:eastAsia="en-GB"/>
        </w:rPr>
        <w:t xml:space="preserve"> </w:t>
      </w:r>
    </w:p>
    <w:p w14:paraId="641B3C2D" w14:textId="6127A807" w:rsidR="00977693" w:rsidRPr="00CE0885" w:rsidRDefault="00977693" w:rsidP="00E47A71">
      <w:pPr>
        <w:pStyle w:val="Heading3"/>
        <w:rPr>
          <w:lang w:eastAsia="en-GB"/>
        </w:rPr>
      </w:pPr>
      <w:bookmarkStart w:id="973" w:name="_Toc440982473"/>
      <w:r w:rsidRPr="00CE0885">
        <w:rPr>
          <w:lang w:eastAsia="en-GB"/>
        </w:rPr>
        <w:t>Once a GMS contract is agreed and entered into and the PMS agreement has terminated, the Commissioner must ensure all nationally held records of the contractor’s status are adjusted appropriately. This must include, but not be limited to, changing the contractor’s status on CQRS, from PMS to GMS, to ensure that the correct quality and outcomes framework calculations are completed at year end and any contractual payment systems used, (i.e. Exeter).</w:t>
      </w:r>
      <w:bookmarkEnd w:id="973"/>
    </w:p>
    <w:p w14:paraId="03E06816" w14:textId="3FB3C157" w:rsidR="00977693" w:rsidRPr="00CE0885" w:rsidRDefault="00977693" w:rsidP="00E47A71">
      <w:pPr>
        <w:pStyle w:val="Heading3"/>
        <w:rPr>
          <w:lang w:eastAsia="en-GB"/>
        </w:rPr>
      </w:pPr>
      <w:bookmarkStart w:id="974" w:name="_Toc440982474"/>
      <w:r w:rsidRPr="00CE0885">
        <w:rPr>
          <w:lang w:eastAsia="en-GB"/>
        </w:rPr>
        <w:t>The calculation of the contractor's first Initial Global Sum Monthly Payment must be made in accordance with Part 1 of the GMS SFE.</w:t>
      </w:r>
      <w:bookmarkEnd w:id="974"/>
    </w:p>
    <w:p w14:paraId="5305D062" w14:textId="77777777" w:rsidR="00977693" w:rsidRPr="009055A7" w:rsidRDefault="00977693" w:rsidP="00977693">
      <w:pPr>
        <w:widowControl w:val="0"/>
        <w:spacing w:line="360" w:lineRule="auto"/>
        <w:ind w:left="1414"/>
        <w:jc w:val="both"/>
        <w:rPr>
          <w:rFonts w:cs="Arial"/>
          <w:bCs w:val="0"/>
          <w:sz w:val="20"/>
          <w:szCs w:val="20"/>
          <w:lang w:eastAsia="en-GB"/>
        </w:rPr>
      </w:pPr>
    </w:p>
    <w:p w14:paraId="211828E1" w14:textId="77777777" w:rsidR="00977693" w:rsidRPr="00CE0885" w:rsidRDefault="00977693" w:rsidP="00E47A71">
      <w:pPr>
        <w:pStyle w:val="Heading2"/>
        <w:rPr>
          <w:lang w:eastAsia="en-GB"/>
        </w:rPr>
      </w:pPr>
      <w:bookmarkStart w:id="975" w:name="_Toc440982475"/>
      <w:bookmarkStart w:id="976" w:name="_Toc95743470"/>
      <w:r w:rsidRPr="00CE0885">
        <w:rPr>
          <w:lang w:eastAsia="en-GB"/>
        </w:rPr>
        <w:t>Disputes</w:t>
      </w:r>
      <w:bookmarkEnd w:id="975"/>
      <w:bookmarkEnd w:id="976"/>
    </w:p>
    <w:p w14:paraId="36E4FB15" w14:textId="060F449F" w:rsidR="00977693" w:rsidRPr="00CE0885" w:rsidRDefault="00977693" w:rsidP="00E47A71">
      <w:pPr>
        <w:pStyle w:val="Heading3"/>
        <w:rPr>
          <w:lang w:eastAsia="en-GB"/>
        </w:rPr>
      </w:pPr>
      <w:bookmarkStart w:id="977" w:name="_Toc440982476"/>
      <w:r w:rsidRPr="00CE0885">
        <w:rPr>
          <w:lang w:eastAsia="en-GB"/>
        </w:rPr>
        <w:t>Where there is a dispute about whether or not a person satisfies the conditions set out in section 86 of the NHS Act or regulations 4 and 5 of the GMS Regulations, the contractor may appeal to the First-Tier Tribunal.</w:t>
      </w:r>
      <w:bookmarkEnd w:id="977"/>
      <w:r w:rsidRPr="00CE0885">
        <w:rPr>
          <w:lang w:eastAsia="en-GB"/>
        </w:rPr>
        <w:t xml:space="preserve"> </w:t>
      </w:r>
    </w:p>
    <w:p w14:paraId="09812914" w14:textId="63BB14D7" w:rsidR="00977693" w:rsidRPr="00CE0885" w:rsidRDefault="00977693" w:rsidP="00E47A71">
      <w:pPr>
        <w:pStyle w:val="Heading3"/>
        <w:rPr>
          <w:lang w:eastAsia="en-GB"/>
        </w:rPr>
      </w:pPr>
      <w:bookmarkStart w:id="978" w:name="_Toc440982477"/>
      <w:r w:rsidRPr="00CE0885">
        <w:rPr>
          <w:lang w:eastAsia="en-GB"/>
        </w:rPr>
        <w:t>Any other dispute about the GMS contract shall be determined by the Secretary of State (</w:t>
      </w:r>
      <w:r w:rsidR="009414F6">
        <w:rPr>
          <w:lang w:eastAsia="en-GB"/>
        </w:rPr>
        <w:t>NHS Resolution (NHSR) – Primary Care Appeals (PCA)</w:t>
      </w:r>
      <w:r w:rsidRPr="00CE0885">
        <w:rPr>
          <w:lang w:eastAsia="en-GB"/>
        </w:rPr>
        <w:t>) in accordance with regulation 9(2) and (3) of the GMS Regulations (pre-contract disputes).</w:t>
      </w:r>
      <w:bookmarkEnd w:id="978"/>
      <w:r w:rsidRPr="00CE0885">
        <w:rPr>
          <w:lang w:eastAsia="en-GB"/>
        </w:rPr>
        <w:t xml:space="preserve"> </w:t>
      </w:r>
    </w:p>
    <w:p w14:paraId="3B118C94" w14:textId="0FC9929B" w:rsidR="00977693" w:rsidRPr="00CE0885" w:rsidRDefault="00977693" w:rsidP="00E47A71">
      <w:pPr>
        <w:pStyle w:val="Heading3"/>
        <w:rPr>
          <w:lang w:eastAsia="en-GB"/>
        </w:rPr>
      </w:pPr>
      <w:bookmarkStart w:id="979" w:name="_Toc440982478"/>
      <w:r w:rsidRPr="00CE0885">
        <w:rPr>
          <w:lang w:eastAsia="en-GB"/>
        </w:rPr>
        <w:t>The Commissioner can identify whether the contract is an NHS contract or not by reviewing the agreement. This will enable the Commissioner to identify whether they can apply for NHS dispute resolution (with or without the need for the written consent of the contractor) if appropriate.</w:t>
      </w:r>
      <w:bookmarkEnd w:id="979"/>
    </w:p>
    <w:p w14:paraId="2B4AD8F7" w14:textId="77777777" w:rsidR="00977693" w:rsidRPr="00CE0885" w:rsidRDefault="00977693" w:rsidP="00977693">
      <w:pPr>
        <w:widowControl w:val="0"/>
        <w:spacing w:line="360" w:lineRule="auto"/>
        <w:jc w:val="both"/>
        <w:rPr>
          <w:rFonts w:cs="Arial"/>
          <w:bCs w:val="0"/>
          <w:szCs w:val="24"/>
          <w:lang w:eastAsia="en-GB"/>
        </w:rPr>
      </w:pPr>
    </w:p>
    <w:p w14:paraId="71725558" w14:textId="77777777" w:rsidR="00977693" w:rsidRPr="00CE0885" w:rsidRDefault="00977693" w:rsidP="00977693">
      <w:pPr>
        <w:widowControl w:val="0"/>
        <w:spacing w:line="360" w:lineRule="auto"/>
        <w:jc w:val="both"/>
        <w:rPr>
          <w:rFonts w:cs="Arial"/>
          <w:bCs w:val="0"/>
          <w:szCs w:val="24"/>
          <w:lang w:eastAsia="en-GB"/>
        </w:rPr>
      </w:pPr>
    </w:p>
    <w:p w14:paraId="4A40F419" w14:textId="77777777" w:rsidR="00977693" w:rsidRPr="00CE0885" w:rsidRDefault="00977693" w:rsidP="00977693">
      <w:pPr>
        <w:widowControl w:val="0"/>
        <w:spacing w:line="360" w:lineRule="auto"/>
        <w:jc w:val="both"/>
        <w:rPr>
          <w:rFonts w:cs="Arial"/>
          <w:bCs w:val="0"/>
          <w:szCs w:val="24"/>
          <w:lang w:eastAsia="en-GB"/>
        </w:rPr>
      </w:pPr>
      <w:r w:rsidRPr="00CE0885">
        <w:rPr>
          <w:rFonts w:cs="Arial"/>
          <w:bCs w:val="0"/>
          <w:szCs w:val="24"/>
          <w:lang w:eastAsia="en-GB"/>
        </w:rPr>
        <w:br w:type="page"/>
      </w:r>
    </w:p>
    <w:p w14:paraId="38E148E9" w14:textId="77777777" w:rsidR="00977693" w:rsidRPr="00CE0885" w:rsidRDefault="00977693" w:rsidP="00977693">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1 - PMS Agreement Transfer to GMS Contract – Template Letter (Essential Services)</w:t>
      </w:r>
    </w:p>
    <w:bookmarkStart w:id="980" w:name="_1557220944"/>
    <w:bookmarkEnd w:id="980"/>
    <w:p w14:paraId="35B6E6B7" w14:textId="415D7474" w:rsidR="00977693" w:rsidRPr="004C2A75" w:rsidRDefault="002306F3" w:rsidP="006C3DF5">
      <w:pPr>
        <w:pStyle w:val="ListParagraph"/>
        <w:widowControl w:val="0"/>
        <w:numPr>
          <w:ilvl w:val="0"/>
          <w:numId w:val="124"/>
        </w:numPr>
        <w:tabs>
          <w:tab w:val="left" w:pos="9072"/>
        </w:tabs>
        <w:autoSpaceDE w:val="0"/>
        <w:autoSpaceDN w:val="0"/>
        <w:adjustRightInd w:val="0"/>
        <w:spacing w:line="360" w:lineRule="auto"/>
        <w:ind w:right="-2"/>
        <w:rPr>
          <w:rFonts w:cs="Arial"/>
          <w:bCs w:val="0"/>
          <w:szCs w:val="24"/>
          <w:lang w:eastAsia="en-GB"/>
        </w:rPr>
      </w:pPr>
      <w:r>
        <w:fldChar w:fldCharType="begin"/>
      </w:r>
      <w:r>
        <w:instrText xml:space="preserve"> HYPERLINK "https://www.england.nhs.uk/publication/primary-medical-care-policy-and-guidance-manual-disputes-annexes/" </w:instrText>
      </w:r>
      <w:r>
        <w:fldChar w:fldCharType="separate"/>
      </w:r>
      <w:r w:rsidR="004C2A75">
        <w:rPr>
          <w:rStyle w:val="Hyperlink"/>
          <w:rFonts w:cs="Arial"/>
          <w:bCs w:val="0"/>
          <w:szCs w:val="24"/>
          <w:lang w:eastAsia="en-GB"/>
        </w:rPr>
        <w:t>PMS Agreement Transfer to GMS Contract – Template Letter (Essential Services)</w:t>
      </w:r>
      <w:r>
        <w:rPr>
          <w:rStyle w:val="Hyperlink"/>
          <w:rFonts w:cs="Arial"/>
          <w:bCs w:val="0"/>
          <w:szCs w:val="24"/>
          <w:lang w:eastAsia="en-GB"/>
        </w:rPr>
        <w:fldChar w:fldCharType="end"/>
      </w:r>
      <w:r w:rsidR="006C3892" w:rsidRPr="004C2A75">
        <w:rPr>
          <w:rFonts w:cs="Arial"/>
          <w:bCs w:val="0"/>
          <w:szCs w:val="24"/>
          <w:lang w:eastAsia="en-GB"/>
        </w:rPr>
        <w:br/>
      </w:r>
    </w:p>
    <w:p w14:paraId="44BDCCAD" w14:textId="2975FAF6" w:rsidR="00977693" w:rsidRPr="00CE0885" w:rsidRDefault="00977693" w:rsidP="00977693">
      <w:pPr>
        <w:widowControl w:val="0"/>
        <w:tabs>
          <w:tab w:val="left" w:pos="9072"/>
        </w:tabs>
        <w:autoSpaceDE w:val="0"/>
        <w:autoSpaceDN w:val="0"/>
        <w:adjustRightInd w:val="0"/>
        <w:spacing w:line="360" w:lineRule="auto"/>
        <w:ind w:right="-2"/>
        <w:rPr>
          <w:rFonts w:cs="Arial"/>
          <w:b/>
          <w:bCs w:val="0"/>
          <w:szCs w:val="24"/>
          <w:lang w:eastAsia="en-GB"/>
        </w:rPr>
      </w:pPr>
      <w:r w:rsidRPr="00CE0885">
        <w:rPr>
          <w:rFonts w:cs="Arial"/>
          <w:b/>
          <w:bCs w:val="0"/>
          <w:szCs w:val="24"/>
          <w:lang w:eastAsia="en-GB"/>
        </w:rPr>
        <w:t xml:space="preserve">Annex 2 </w:t>
      </w:r>
      <w:r w:rsidR="006C3892">
        <w:rPr>
          <w:rFonts w:cs="Arial"/>
          <w:b/>
          <w:bCs w:val="0"/>
          <w:szCs w:val="24"/>
          <w:lang w:eastAsia="en-GB"/>
        </w:rPr>
        <w:t xml:space="preserve">- </w:t>
      </w:r>
      <w:r w:rsidRPr="00CE0885">
        <w:rPr>
          <w:rFonts w:cs="Arial"/>
          <w:b/>
          <w:bCs w:val="0"/>
          <w:szCs w:val="24"/>
          <w:lang w:eastAsia="en-GB"/>
        </w:rPr>
        <w:t>PMS Agreement Transfer to GMS Contract – Template Letter (Eligible Persons)</w:t>
      </w:r>
    </w:p>
    <w:bookmarkStart w:id="981" w:name="_1557220964"/>
    <w:bookmarkEnd w:id="981"/>
    <w:p w14:paraId="6E84D320" w14:textId="434DF990" w:rsidR="004C2A75" w:rsidRPr="006C3892" w:rsidRDefault="002306F3" w:rsidP="006C3DF5">
      <w:pPr>
        <w:pStyle w:val="ListParagraph"/>
        <w:widowControl w:val="0"/>
        <w:numPr>
          <w:ilvl w:val="0"/>
          <w:numId w:val="124"/>
        </w:numPr>
        <w:tabs>
          <w:tab w:val="left" w:pos="9072"/>
        </w:tabs>
        <w:autoSpaceDE w:val="0"/>
        <w:autoSpaceDN w:val="0"/>
        <w:adjustRightInd w:val="0"/>
        <w:spacing w:line="360" w:lineRule="auto"/>
        <w:ind w:right="-2"/>
        <w:rPr>
          <w:rFonts w:cs="Arial"/>
          <w:bCs w:val="0"/>
          <w:szCs w:val="24"/>
          <w:lang w:eastAsia="en-GB"/>
        </w:rPr>
      </w:pPr>
      <w:r>
        <w:fldChar w:fldCharType="begin"/>
      </w:r>
      <w:r>
        <w:instrText xml:space="preserve"> HYPERLINK "https://www.england.nhs.uk/publication/primary-medical-care-policy-and-guidance-manual-disputes-annexes/" </w:instrText>
      </w:r>
      <w:r>
        <w:fldChar w:fldCharType="separate"/>
      </w:r>
      <w:r w:rsidR="004C2A75">
        <w:rPr>
          <w:rStyle w:val="Hyperlink"/>
          <w:rFonts w:cs="Arial"/>
          <w:bCs w:val="0"/>
          <w:szCs w:val="24"/>
          <w:lang w:eastAsia="en-GB"/>
        </w:rPr>
        <w:t>PMS Agreement Transfer to GMS Contract – Template Letter (Eligible Person)</w:t>
      </w:r>
      <w:r>
        <w:rPr>
          <w:rStyle w:val="Hyperlink"/>
          <w:rFonts w:cs="Arial"/>
          <w:bCs w:val="0"/>
          <w:szCs w:val="24"/>
          <w:lang w:eastAsia="en-GB"/>
        </w:rPr>
        <w:fldChar w:fldCharType="end"/>
      </w:r>
    </w:p>
    <w:p w14:paraId="4061ECA7" w14:textId="30E776EF" w:rsidR="00977693" w:rsidRPr="00CE0885" w:rsidRDefault="00977693" w:rsidP="00977693">
      <w:pPr>
        <w:widowControl w:val="0"/>
        <w:tabs>
          <w:tab w:val="left" w:pos="9072"/>
        </w:tabs>
        <w:autoSpaceDE w:val="0"/>
        <w:autoSpaceDN w:val="0"/>
        <w:adjustRightInd w:val="0"/>
        <w:spacing w:line="360" w:lineRule="auto"/>
        <w:ind w:right="-2"/>
        <w:rPr>
          <w:rFonts w:cs="Arial"/>
          <w:b/>
          <w:bCs w:val="0"/>
          <w:szCs w:val="24"/>
          <w:lang w:eastAsia="en-GB"/>
        </w:rPr>
      </w:pPr>
    </w:p>
    <w:p w14:paraId="07C09A6A" w14:textId="7A3DA1D2" w:rsidR="00977693" w:rsidRPr="00CE0885" w:rsidRDefault="006C3892" w:rsidP="00977693">
      <w:pPr>
        <w:widowControl w:val="0"/>
        <w:tabs>
          <w:tab w:val="left" w:pos="9072"/>
        </w:tabs>
        <w:autoSpaceDE w:val="0"/>
        <w:autoSpaceDN w:val="0"/>
        <w:adjustRightInd w:val="0"/>
        <w:spacing w:line="360" w:lineRule="auto"/>
        <w:ind w:right="-2"/>
        <w:rPr>
          <w:rFonts w:cs="Arial"/>
          <w:b/>
          <w:bCs w:val="0"/>
          <w:szCs w:val="24"/>
          <w:lang w:eastAsia="en-GB"/>
        </w:rPr>
      </w:pPr>
      <w:r>
        <w:rPr>
          <w:rFonts w:cs="Arial"/>
          <w:b/>
          <w:bCs w:val="0"/>
          <w:szCs w:val="24"/>
          <w:lang w:eastAsia="en-GB"/>
        </w:rPr>
        <w:t xml:space="preserve">Annex 3 - </w:t>
      </w:r>
      <w:r w:rsidR="00977693" w:rsidRPr="00CE0885">
        <w:rPr>
          <w:rFonts w:cs="Arial"/>
          <w:b/>
          <w:bCs w:val="0"/>
          <w:szCs w:val="24"/>
          <w:lang w:eastAsia="en-GB"/>
        </w:rPr>
        <w:t>PMS Agreement Transfer to GMS Contract – Template Letter</w:t>
      </w:r>
    </w:p>
    <w:p w14:paraId="216BE57A" w14:textId="06060A18" w:rsidR="004C2A75" w:rsidRPr="006C3892" w:rsidRDefault="000B57EE" w:rsidP="006C3DF5">
      <w:pPr>
        <w:pStyle w:val="ListParagraph"/>
        <w:widowControl w:val="0"/>
        <w:numPr>
          <w:ilvl w:val="0"/>
          <w:numId w:val="124"/>
        </w:numPr>
        <w:tabs>
          <w:tab w:val="left" w:pos="9072"/>
        </w:tabs>
        <w:autoSpaceDE w:val="0"/>
        <w:autoSpaceDN w:val="0"/>
        <w:adjustRightInd w:val="0"/>
        <w:spacing w:line="360" w:lineRule="auto"/>
        <w:ind w:right="-2"/>
        <w:rPr>
          <w:rFonts w:cs="Arial"/>
          <w:bCs w:val="0"/>
          <w:szCs w:val="24"/>
          <w:lang w:eastAsia="en-GB"/>
        </w:rPr>
      </w:pPr>
      <w:hyperlink r:id="rId131" w:history="1">
        <w:r w:rsidR="004C2A75">
          <w:rPr>
            <w:rStyle w:val="Hyperlink"/>
            <w:rFonts w:cs="Arial"/>
            <w:bCs w:val="0"/>
            <w:szCs w:val="24"/>
            <w:lang w:eastAsia="en-GB"/>
          </w:rPr>
          <w:t>PMS Agreement Transfer to GMS Contract – Template Letter</w:t>
        </w:r>
      </w:hyperlink>
    </w:p>
    <w:p w14:paraId="32031477" w14:textId="77777777" w:rsidR="00977693" w:rsidRPr="00A553BA" w:rsidRDefault="00977693" w:rsidP="00A553BA">
      <w:pPr>
        <w:spacing w:line="360" w:lineRule="auto"/>
      </w:pPr>
      <w:bookmarkStart w:id="982" w:name="_1557221025"/>
      <w:bookmarkEnd w:id="982"/>
    </w:p>
    <w:p w14:paraId="36529C93" w14:textId="77777777" w:rsidR="00977693" w:rsidRPr="0015247B" w:rsidRDefault="00977693" w:rsidP="00A553BA">
      <w:pPr>
        <w:rPr>
          <w:lang w:eastAsia="en-GB"/>
        </w:rPr>
      </w:pPr>
    </w:p>
    <w:p w14:paraId="1CD25D45" w14:textId="681B4D23" w:rsidR="00A51F6F" w:rsidRPr="00446DA6" w:rsidRDefault="00850B0E" w:rsidP="00A37E23">
      <w:pPr>
        <w:pStyle w:val="Heading1"/>
        <w:numPr>
          <w:ilvl w:val="0"/>
          <w:numId w:val="0"/>
        </w:numPr>
        <w:ind w:left="432"/>
      </w:pPr>
      <w:r>
        <w:br w:type="page"/>
      </w:r>
    </w:p>
    <w:p w14:paraId="5C930183" w14:textId="46086421" w:rsidR="0015247B" w:rsidRDefault="0015247B" w:rsidP="005215BD">
      <w:pPr>
        <w:pStyle w:val="Heading1"/>
        <w:ind w:left="0" w:firstLine="0"/>
        <w:rPr>
          <w:lang w:eastAsia="en-GB"/>
        </w:rPr>
      </w:pPr>
      <w:bookmarkStart w:id="983" w:name="_Toc95743471"/>
      <w:bookmarkStart w:id="984" w:name="_Hlk4159491"/>
      <w:r w:rsidRPr="00446DA6">
        <w:t>Practice Closedown (Planned / Scheduled)</w:t>
      </w:r>
      <w:bookmarkEnd w:id="983"/>
      <w:r w:rsidR="005215BD">
        <w:rPr>
          <w:lang w:eastAsia="en-GB"/>
        </w:rPr>
        <w:t xml:space="preserve"> </w:t>
      </w:r>
    </w:p>
    <w:bookmarkEnd w:id="984"/>
    <w:p w14:paraId="0EADE0D4" w14:textId="77777777" w:rsidR="0015247B" w:rsidRDefault="0015247B" w:rsidP="005215BD">
      <w:pPr>
        <w:rPr>
          <w:lang w:eastAsia="en-GB"/>
        </w:rPr>
      </w:pPr>
    </w:p>
    <w:p w14:paraId="09CB1C30" w14:textId="77777777" w:rsidR="00213D9D" w:rsidRPr="00CE0885" w:rsidRDefault="00213D9D" w:rsidP="005215BD">
      <w:pPr>
        <w:pStyle w:val="Heading2"/>
        <w:ind w:left="0" w:firstLine="0"/>
        <w:rPr>
          <w:lang w:eastAsia="en-GB"/>
        </w:rPr>
      </w:pPr>
      <w:bookmarkStart w:id="985" w:name="_Toc440982858"/>
      <w:bookmarkStart w:id="986" w:name="_Toc95743472"/>
      <w:r w:rsidRPr="00CE0885">
        <w:rPr>
          <w:lang w:eastAsia="en-GB"/>
        </w:rPr>
        <w:t>Introduction</w:t>
      </w:r>
      <w:bookmarkEnd w:id="985"/>
      <w:bookmarkEnd w:id="986"/>
    </w:p>
    <w:p w14:paraId="5005207F" w14:textId="34E6AC58" w:rsidR="00213D9D" w:rsidRPr="00CE0885" w:rsidRDefault="00213D9D" w:rsidP="005215BD">
      <w:pPr>
        <w:pStyle w:val="Heading3"/>
        <w:rPr>
          <w:lang w:eastAsia="en-GB"/>
        </w:rPr>
      </w:pPr>
      <w:r w:rsidRPr="00CE0885">
        <w:rPr>
          <w:lang w:eastAsia="en-GB"/>
        </w:rPr>
        <w:t>This policy outlines the approach to be taken when a time-limited primary medical services contract is coming to an end. Where an urgent contract needs to be put in place</w:t>
      </w:r>
      <w:r w:rsidR="00A114DF">
        <w:rPr>
          <w:lang w:eastAsia="en-GB"/>
        </w:rPr>
        <w:t xml:space="preserve"> </w:t>
      </w:r>
      <w:r w:rsidR="00A114DF">
        <w:rPr>
          <w:spacing w:val="2"/>
          <w:lang w:eastAsia="en-GB"/>
        </w:rPr>
        <w:t>(p</w:t>
      </w:r>
      <w:r w:rsidR="00A114DF" w:rsidRPr="00CE0885">
        <w:rPr>
          <w:lang w:eastAsia="en-GB"/>
        </w:rPr>
        <w:t xml:space="preserve">lease refer to </w:t>
      </w:r>
      <w:r w:rsidR="00A114DF">
        <w:rPr>
          <w:lang w:eastAsia="en-GB"/>
        </w:rPr>
        <w:t>the ‘Contracts Described’ chapter for further information</w:t>
      </w:r>
      <w:r w:rsidR="00A114DF" w:rsidRPr="00CE0885">
        <w:rPr>
          <w:spacing w:val="2"/>
          <w:lang w:eastAsia="en-GB"/>
        </w:rPr>
        <w:t>).</w:t>
      </w:r>
    </w:p>
    <w:p w14:paraId="6FBC97C7" w14:textId="77777777" w:rsidR="00213D9D" w:rsidRPr="00CE0885" w:rsidRDefault="00213D9D" w:rsidP="005215BD">
      <w:pPr>
        <w:widowControl w:val="0"/>
        <w:spacing w:line="360" w:lineRule="auto"/>
        <w:jc w:val="both"/>
        <w:rPr>
          <w:rFonts w:cs="Arial"/>
          <w:bCs w:val="0"/>
          <w:szCs w:val="24"/>
          <w:lang w:eastAsia="en-GB"/>
        </w:rPr>
      </w:pPr>
    </w:p>
    <w:p w14:paraId="31179FDC" w14:textId="77777777" w:rsidR="00213D9D" w:rsidRPr="00CE0885" w:rsidRDefault="00213D9D" w:rsidP="005215BD">
      <w:pPr>
        <w:pStyle w:val="Heading2"/>
        <w:ind w:left="0" w:firstLine="0"/>
        <w:rPr>
          <w:lang w:eastAsia="en-GB"/>
        </w:rPr>
      </w:pPr>
      <w:bookmarkStart w:id="987" w:name="_Toc440982859"/>
      <w:bookmarkStart w:id="988" w:name="_Toc95743473"/>
      <w:r w:rsidRPr="00CE0885">
        <w:rPr>
          <w:lang w:eastAsia="en-GB"/>
        </w:rPr>
        <w:t>Scope</w:t>
      </w:r>
      <w:bookmarkEnd w:id="987"/>
      <w:bookmarkEnd w:id="988"/>
      <w:r w:rsidRPr="00CE0885">
        <w:rPr>
          <w:lang w:eastAsia="en-GB"/>
        </w:rPr>
        <w:t xml:space="preserve"> </w:t>
      </w:r>
    </w:p>
    <w:p w14:paraId="725C8A6B" w14:textId="7FA7493E" w:rsidR="00213D9D" w:rsidRPr="00CE0885" w:rsidRDefault="00213D9D" w:rsidP="005215BD">
      <w:pPr>
        <w:pStyle w:val="Heading3"/>
        <w:rPr>
          <w:lang w:eastAsia="en-GB"/>
        </w:rPr>
      </w:pPr>
      <w:bookmarkStart w:id="989" w:name="_Toc440982860"/>
      <w:r w:rsidRPr="00CE0885">
        <w:rPr>
          <w:lang w:eastAsia="en-GB"/>
        </w:rPr>
        <w:t>Time-limited contracts can be in place regarding GMS, PMS</w:t>
      </w:r>
      <w:r w:rsidR="00DA19BF">
        <w:rPr>
          <w:lang w:eastAsia="en-GB"/>
        </w:rPr>
        <w:t xml:space="preserve"> and </w:t>
      </w:r>
      <w:r w:rsidRPr="00CE0885">
        <w:rPr>
          <w:lang w:eastAsia="en-GB"/>
        </w:rPr>
        <w:t xml:space="preserve">APMS contract types. GMS contracts, however, do not usually have an end date but a temporary GMS contract </w:t>
      </w:r>
      <w:r w:rsidR="00815AEF">
        <w:rPr>
          <w:lang w:eastAsia="en-GB"/>
        </w:rPr>
        <w:t xml:space="preserve">can </w:t>
      </w:r>
      <w:r w:rsidRPr="00CE0885">
        <w:rPr>
          <w:lang w:eastAsia="en-GB"/>
        </w:rPr>
        <w:t>be put in place for a period not exceeding 12 months, for the provision of services to the former patients of a contractor following the termination of that contractor’s contract.</w:t>
      </w:r>
      <w:bookmarkEnd w:id="989"/>
    </w:p>
    <w:p w14:paraId="6337205B" w14:textId="07B1A3A4" w:rsidR="00213D9D" w:rsidRPr="00CE0885" w:rsidRDefault="00213D9D" w:rsidP="005215BD">
      <w:pPr>
        <w:pStyle w:val="Heading3"/>
        <w:rPr>
          <w:lang w:eastAsia="en-GB"/>
        </w:rPr>
      </w:pPr>
      <w:bookmarkStart w:id="990" w:name="_Toc440982861"/>
      <w:r w:rsidRPr="00CE0885">
        <w:rPr>
          <w:lang w:eastAsia="en-GB"/>
        </w:rPr>
        <w:t>PMS agreements may be</w:t>
      </w:r>
      <w:r w:rsidRPr="00CE0885">
        <w:rPr>
          <w:b/>
          <w:lang w:eastAsia="en-GB"/>
        </w:rPr>
        <w:t xml:space="preserve"> </w:t>
      </w:r>
      <w:r w:rsidRPr="00CE0885">
        <w:rPr>
          <w:lang w:eastAsia="en-GB"/>
        </w:rPr>
        <w:t>in perpetuity or for a time limited period. Commissioners should review the relevant PMS agreement to establish if there is a defined end-date.</w:t>
      </w:r>
      <w:bookmarkEnd w:id="990"/>
    </w:p>
    <w:p w14:paraId="54E13C11" w14:textId="7E3E48C0" w:rsidR="00213D9D" w:rsidRPr="009953FE" w:rsidRDefault="00213D9D" w:rsidP="00FA5F94">
      <w:pPr>
        <w:pStyle w:val="Heading3"/>
        <w:rPr>
          <w:highlight w:val="yellow"/>
          <w:lang w:eastAsia="en-GB"/>
        </w:rPr>
      </w:pPr>
      <w:bookmarkStart w:id="991" w:name="_Toc440982862"/>
      <w:r w:rsidRPr="009953FE">
        <w:rPr>
          <w:highlight w:val="yellow"/>
          <w:lang w:eastAsia="en-GB"/>
        </w:rPr>
        <w:t xml:space="preserve">APMS contracts </w:t>
      </w:r>
      <w:r w:rsidR="004D43CD" w:rsidRPr="009953FE">
        <w:rPr>
          <w:highlight w:val="yellow"/>
          <w:lang w:eastAsia="en-GB"/>
        </w:rPr>
        <w:t xml:space="preserve">must </w:t>
      </w:r>
      <w:r w:rsidRPr="009953FE">
        <w:rPr>
          <w:highlight w:val="yellow"/>
          <w:lang w:eastAsia="en-GB"/>
        </w:rPr>
        <w:t>be for a fixed-term period</w:t>
      </w:r>
      <w:r w:rsidR="004D43CD" w:rsidRPr="009953FE">
        <w:rPr>
          <w:highlight w:val="yellow"/>
          <w:lang w:eastAsia="en-GB"/>
        </w:rPr>
        <w:t xml:space="preserve"> </w:t>
      </w:r>
      <w:r w:rsidR="00600419" w:rsidRPr="009953FE">
        <w:rPr>
          <w:highlight w:val="yellow"/>
          <w:lang w:eastAsia="en-GB"/>
        </w:rPr>
        <w:t xml:space="preserve">the duration of which </w:t>
      </w:r>
      <w:r w:rsidR="004D43CD" w:rsidRPr="009953FE">
        <w:rPr>
          <w:highlight w:val="yellow"/>
          <w:lang w:eastAsia="en-GB"/>
        </w:rPr>
        <w:t xml:space="preserve">which </w:t>
      </w:r>
      <w:r w:rsidR="00600419" w:rsidRPr="009953FE">
        <w:rPr>
          <w:highlight w:val="yellow"/>
          <w:lang w:eastAsia="en-GB"/>
        </w:rPr>
        <w:t xml:space="preserve">is </w:t>
      </w:r>
      <w:r w:rsidR="004D43CD" w:rsidRPr="009953FE">
        <w:rPr>
          <w:highlight w:val="yellow"/>
          <w:lang w:eastAsia="en-GB"/>
        </w:rPr>
        <w:t xml:space="preserve">governed by Standing Financial Instructions (e.g NHS England </w:t>
      </w:r>
      <w:r w:rsidR="004D5131" w:rsidRPr="009953FE">
        <w:rPr>
          <w:highlight w:val="yellow"/>
          <w:lang w:eastAsia="en-GB"/>
        </w:rPr>
        <w:t>currently</w:t>
      </w:r>
      <w:r w:rsidR="004D5131" w:rsidRPr="009953FE">
        <w:rPr>
          <w:highlight w:val="yellow"/>
        </w:rPr>
        <w:t xml:space="preserve"> require </w:t>
      </w:r>
      <w:r w:rsidR="004D5131" w:rsidRPr="009953FE">
        <w:rPr>
          <w:highlight w:val="yellow"/>
          <w:lang w:eastAsia="en-GB"/>
        </w:rPr>
        <w:t xml:space="preserve">all clinical contracts of 10 </w:t>
      </w:r>
      <w:r w:rsidR="00FA5F94" w:rsidRPr="009953FE">
        <w:rPr>
          <w:highlight w:val="yellow"/>
          <w:lang w:eastAsia="en-GB"/>
        </w:rPr>
        <w:t>year</w:t>
      </w:r>
      <w:r w:rsidR="00B92D75" w:rsidRPr="009953FE">
        <w:rPr>
          <w:highlight w:val="yellow"/>
          <w:lang w:eastAsia="en-GB"/>
        </w:rPr>
        <w:t>s</w:t>
      </w:r>
      <w:r w:rsidR="00FA5F94" w:rsidRPr="009953FE">
        <w:rPr>
          <w:highlight w:val="yellow"/>
          <w:lang w:eastAsia="en-GB"/>
        </w:rPr>
        <w:t xml:space="preserve"> or more (</w:t>
      </w:r>
      <w:r w:rsidR="004D5131" w:rsidRPr="009953FE">
        <w:rPr>
          <w:highlight w:val="yellow"/>
          <w:lang w:eastAsia="en-GB"/>
        </w:rPr>
        <w:t>or a lifetime contract value of £500m or higher</w:t>
      </w:r>
      <w:r w:rsidR="00FA5F94" w:rsidRPr="009953FE">
        <w:rPr>
          <w:highlight w:val="yellow"/>
          <w:lang w:eastAsia="en-GB"/>
        </w:rPr>
        <w:t xml:space="preserve">) to be submitted for </w:t>
      </w:r>
      <w:r w:rsidR="00B92D75" w:rsidRPr="009953FE">
        <w:rPr>
          <w:highlight w:val="yellow"/>
          <w:lang w:eastAsia="en-GB"/>
        </w:rPr>
        <w:t>commercial business case approval)</w:t>
      </w:r>
      <w:r w:rsidRPr="009953FE">
        <w:rPr>
          <w:highlight w:val="yellow"/>
          <w:lang w:eastAsia="en-GB"/>
        </w:rPr>
        <w:t>. The main purpose o</w:t>
      </w:r>
      <w:r w:rsidR="00BE7AD1" w:rsidRPr="009953FE">
        <w:rPr>
          <w:highlight w:val="yellow"/>
          <w:lang w:eastAsia="en-GB"/>
        </w:rPr>
        <w:t>f</w:t>
      </w:r>
      <w:r w:rsidRPr="009953FE">
        <w:rPr>
          <w:highlight w:val="yellow"/>
          <w:lang w:eastAsia="en-GB"/>
        </w:rPr>
        <w:t xml:space="preserve"> time limiting these contracts was to provide commissioners the scope for testing the market and ensuring value for money</w:t>
      </w:r>
      <w:r w:rsidR="00600419" w:rsidRPr="009953FE">
        <w:rPr>
          <w:highlight w:val="yellow"/>
          <w:lang w:eastAsia="en-GB"/>
        </w:rPr>
        <w:t xml:space="preserve"> as well as</w:t>
      </w:r>
      <w:r w:rsidR="00132346" w:rsidRPr="009953FE">
        <w:rPr>
          <w:highlight w:val="yellow"/>
          <w:lang w:eastAsia="en-GB"/>
        </w:rPr>
        <w:t xml:space="preserve"> providing the opportunity to review service needs</w:t>
      </w:r>
      <w:r w:rsidRPr="009953FE">
        <w:rPr>
          <w:highlight w:val="yellow"/>
          <w:lang w:eastAsia="en-GB"/>
        </w:rPr>
        <w:t>.</w:t>
      </w:r>
      <w:bookmarkEnd w:id="991"/>
    </w:p>
    <w:p w14:paraId="5FCA3F6D" w14:textId="7CC7D878" w:rsidR="00213D9D" w:rsidRPr="00CE0885" w:rsidRDefault="00213D9D" w:rsidP="005215BD">
      <w:pPr>
        <w:pStyle w:val="Heading3"/>
        <w:rPr>
          <w:lang w:eastAsia="en-GB"/>
        </w:rPr>
      </w:pPr>
      <w:bookmarkStart w:id="992" w:name="_Toc440982863"/>
      <w:r w:rsidRPr="00CE0885">
        <w:rPr>
          <w:lang w:eastAsia="en-GB"/>
        </w:rPr>
        <w:t>In each of the cases above there are generic principles that will apply and individual circumstances that will need to be considered. This policy covers the steps to be taken in advance of the end of any contract and will support the Commissioner in planning procurement cycles and future service provision.</w:t>
      </w:r>
      <w:bookmarkEnd w:id="992"/>
    </w:p>
    <w:p w14:paraId="6CF01DF9" w14:textId="7B5957F4" w:rsidR="00213D9D" w:rsidRPr="00CE0885" w:rsidRDefault="00213D9D" w:rsidP="005215BD">
      <w:pPr>
        <w:pStyle w:val="Heading3"/>
        <w:rPr>
          <w:lang w:eastAsia="en-GB"/>
        </w:rPr>
      </w:pPr>
      <w:bookmarkStart w:id="993" w:name="_Toc440982864"/>
      <w:r w:rsidRPr="00CE0885">
        <w:rPr>
          <w:lang w:eastAsia="en-GB"/>
        </w:rPr>
        <w:t>The Commissioner must consider whether the expiring contract contains provisions relating to the end of the contract that impact</w:t>
      </w:r>
      <w:r w:rsidR="00BE7AD1">
        <w:rPr>
          <w:lang w:eastAsia="en-GB"/>
        </w:rPr>
        <w:t>s</w:t>
      </w:r>
      <w:r w:rsidRPr="00CE0885">
        <w:rPr>
          <w:lang w:eastAsia="en-GB"/>
        </w:rPr>
        <w:t xml:space="preserve"> on any practice closedown actions. </w:t>
      </w:r>
      <w:r w:rsidRPr="009953FE">
        <w:rPr>
          <w:highlight w:val="yellow"/>
          <w:lang w:eastAsia="en-GB"/>
        </w:rPr>
        <w:t>The NHS England</w:t>
      </w:r>
      <w:r w:rsidR="008B2E20" w:rsidRPr="009953FE">
        <w:rPr>
          <w:highlight w:val="yellow"/>
          <w:lang w:eastAsia="en-GB"/>
        </w:rPr>
        <w:t>’s standard primary medical service contracts</w:t>
      </w:r>
      <w:r w:rsidRPr="00CE0885">
        <w:rPr>
          <w:lang w:eastAsia="en-GB"/>
        </w:rPr>
        <w:t xml:space="preserve"> contain provisions relating to the consequences of termination including a requirement that the contractor co-operates with the Commissioner and arrangements for a financial reconciliation exercise.</w:t>
      </w:r>
      <w:bookmarkEnd w:id="993"/>
    </w:p>
    <w:p w14:paraId="52BAD071" w14:textId="63F3F417" w:rsidR="00213D9D" w:rsidRPr="00CE0885" w:rsidRDefault="00213D9D" w:rsidP="005215BD">
      <w:pPr>
        <w:pStyle w:val="Heading3"/>
        <w:rPr>
          <w:lang w:eastAsia="en-GB"/>
        </w:rPr>
      </w:pPr>
      <w:bookmarkStart w:id="994" w:name="_Toc440982865"/>
      <w:r w:rsidRPr="00CE0885">
        <w:rPr>
          <w:lang w:eastAsia="en-GB"/>
        </w:rPr>
        <w:t>Contracts may come to an end by reasons other than by expiry including by:</w:t>
      </w:r>
      <w:bookmarkEnd w:id="994"/>
    </w:p>
    <w:p w14:paraId="63DB69F9" w14:textId="5CFB4178" w:rsidR="00213D9D" w:rsidRPr="00CE0885" w:rsidRDefault="00213D9D" w:rsidP="00572F87">
      <w:pPr>
        <w:pStyle w:val="Heading4"/>
      </w:pPr>
      <w:bookmarkStart w:id="995" w:name="_Toc440982866"/>
      <w:r w:rsidRPr="00CE0885">
        <w:t xml:space="preserve">being terminated by either the Commissioner or the contractor (in which case refer to the </w:t>
      </w:r>
      <w:r w:rsidR="00C5615F">
        <w:t>chapter</w:t>
      </w:r>
      <w:r w:rsidRPr="00CE0885">
        <w:t xml:space="preserve"> on contract breaches</w:t>
      </w:r>
      <w:r w:rsidR="00C5615F">
        <w:t>, sanctions</w:t>
      </w:r>
      <w:r w:rsidRPr="00CE0885">
        <w:t xml:space="preserve"> and termination</w:t>
      </w:r>
      <w:r w:rsidR="00C5615F">
        <w:t>s</w:t>
      </w:r>
      <w:r w:rsidRPr="00CE0885">
        <w:t>);</w:t>
      </w:r>
      <w:bookmarkEnd w:id="995"/>
    </w:p>
    <w:p w14:paraId="737D5703" w14:textId="7065CCA5" w:rsidR="00213D9D" w:rsidRPr="00CE0885" w:rsidRDefault="00213D9D" w:rsidP="00572F87">
      <w:pPr>
        <w:pStyle w:val="Heading4"/>
      </w:pPr>
      <w:bookmarkStart w:id="996" w:name="_Toc440982867"/>
      <w:r w:rsidRPr="00CE0885">
        <w:t xml:space="preserve">an adverse event (in which case refer to the </w:t>
      </w:r>
      <w:r w:rsidR="00C5615F">
        <w:t>chapter</w:t>
      </w:r>
      <w:r w:rsidRPr="00CE0885">
        <w:t xml:space="preserve"> on adverse events);</w:t>
      </w:r>
      <w:bookmarkEnd w:id="996"/>
    </w:p>
    <w:p w14:paraId="2A7FFAF6" w14:textId="421B4F97" w:rsidR="00213D9D" w:rsidRPr="00CE0885" w:rsidRDefault="00213D9D" w:rsidP="00572F87">
      <w:pPr>
        <w:pStyle w:val="Heading4"/>
      </w:pPr>
      <w:bookmarkStart w:id="997" w:name="_Toc440982868"/>
      <w:r w:rsidRPr="00CE0885">
        <w:t xml:space="preserve">the death of the contractor (in which case refer to the </w:t>
      </w:r>
      <w:r w:rsidR="00C5615F">
        <w:t>chapter</w:t>
      </w:r>
      <w:r w:rsidRPr="00CE0885">
        <w:t xml:space="preserve"> on the death o</w:t>
      </w:r>
      <w:r w:rsidR="00C5615F">
        <w:t>f a contractor</w:t>
      </w:r>
      <w:r w:rsidRPr="00CE0885">
        <w:t>); or</w:t>
      </w:r>
      <w:bookmarkEnd w:id="997"/>
    </w:p>
    <w:p w14:paraId="0ACB865D" w14:textId="38932F96" w:rsidR="00213D9D" w:rsidRPr="00CE0885" w:rsidRDefault="00213D9D" w:rsidP="00572F87">
      <w:pPr>
        <w:pStyle w:val="Heading4"/>
      </w:pPr>
      <w:bookmarkStart w:id="998" w:name="_Toc440982869"/>
      <w:r w:rsidRPr="00CE0885">
        <w:t xml:space="preserve">retirement of the contractor (in which case refer to the </w:t>
      </w:r>
      <w:r w:rsidR="00C5615F">
        <w:t>chapter on contract variations</w:t>
      </w:r>
      <w:r w:rsidRPr="00CE0885">
        <w:t>).</w:t>
      </w:r>
      <w:bookmarkEnd w:id="998"/>
    </w:p>
    <w:p w14:paraId="3CEE4CD7" w14:textId="77777777" w:rsidR="00213D9D" w:rsidRPr="009055A7" w:rsidRDefault="00213D9D" w:rsidP="005215BD">
      <w:pPr>
        <w:widowControl w:val="0"/>
        <w:spacing w:line="360" w:lineRule="auto"/>
        <w:jc w:val="both"/>
        <w:rPr>
          <w:rFonts w:cs="Arial"/>
          <w:bCs w:val="0"/>
          <w:sz w:val="20"/>
          <w:szCs w:val="20"/>
          <w:lang w:eastAsia="en-GB"/>
        </w:rPr>
      </w:pPr>
    </w:p>
    <w:p w14:paraId="1D06B0A5" w14:textId="77777777" w:rsidR="00213D9D" w:rsidRPr="00CE0885" w:rsidRDefault="00213D9D" w:rsidP="005215BD">
      <w:pPr>
        <w:pStyle w:val="Heading2"/>
        <w:ind w:left="0" w:firstLine="0"/>
        <w:rPr>
          <w:lang w:eastAsia="en-GB"/>
        </w:rPr>
      </w:pPr>
      <w:bookmarkStart w:id="999" w:name="_Toc440982870"/>
      <w:bookmarkStart w:id="1000" w:name="_Toc95743474"/>
      <w:r w:rsidRPr="00CE0885">
        <w:rPr>
          <w:lang w:eastAsia="en-GB"/>
        </w:rPr>
        <w:t>Timetable for Managing Contracts Coming to an End</w:t>
      </w:r>
      <w:bookmarkEnd w:id="999"/>
      <w:bookmarkEnd w:id="1000"/>
    </w:p>
    <w:p w14:paraId="24B369EF" w14:textId="49721473" w:rsidR="00213D9D" w:rsidRPr="00CE0885" w:rsidRDefault="00213D9D" w:rsidP="005215BD">
      <w:pPr>
        <w:pStyle w:val="Heading3"/>
        <w:rPr>
          <w:lang w:eastAsia="en-GB"/>
        </w:rPr>
      </w:pPr>
      <w:bookmarkStart w:id="1001" w:name="_Toc440982871"/>
      <w:r w:rsidRPr="00CE0885">
        <w:rPr>
          <w:lang w:eastAsia="en-GB"/>
        </w:rPr>
        <w:t>The Commissioner needs to be aware of the end dates of all contracts held so that advance planning can be undertaken to ensure both capacity and timescales can be aligned with the key stages outlined below.</w:t>
      </w:r>
      <w:bookmarkEnd w:id="1001"/>
    </w:p>
    <w:p w14:paraId="11F3ADF3" w14:textId="002E792B" w:rsidR="00213D9D" w:rsidRDefault="00213D9D" w:rsidP="005215BD">
      <w:pPr>
        <w:pStyle w:val="Heading3"/>
        <w:rPr>
          <w:lang w:eastAsia="en-GB"/>
        </w:rPr>
      </w:pPr>
      <w:bookmarkStart w:id="1002" w:name="_Toc440982872"/>
      <w:r w:rsidRPr="00CE0885">
        <w:rPr>
          <w:lang w:eastAsia="en-GB"/>
        </w:rPr>
        <w:t>It is essential that the Commissioner ensures continued communication with contractors throughout the stages to enable them to have a clear understanding of the processes, expectations and obligations. Outlined in Annexes 1 and 2 are guides to communications with contractors and a proposed checklist for documentation recording.</w:t>
      </w:r>
      <w:bookmarkEnd w:id="1002"/>
    </w:p>
    <w:p w14:paraId="786C4512" w14:textId="2FDABD75" w:rsidR="008F1F5D" w:rsidRDefault="008F1F5D" w:rsidP="00113248">
      <w:pPr>
        <w:pStyle w:val="Heading3"/>
        <w:rPr>
          <w:lang w:eastAsia="en-GB"/>
        </w:rPr>
      </w:pPr>
      <w:r>
        <w:rPr>
          <w:lang w:eastAsia="en-GB"/>
        </w:rPr>
        <w:t xml:space="preserve">Commissioner should also refer to PCSE practice mergers and closures process. </w:t>
      </w:r>
      <w:r w:rsidR="007E3357" w:rsidRPr="00850FF9">
        <w:rPr>
          <w:highlight w:val="yellow"/>
          <w:lang w:eastAsia="en-GB"/>
        </w:rPr>
        <w:t xml:space="preserve">In the case of a planned closure, the Commissioner should involve PCSE in the process as soon as possible but not later than 14 days of when a closure/merger is </w:t>
      </w:r>
      <w:r w:rsidR="0018181C">
        <w:rPr>
          <w:lang w:eastAsia="en-GB"/>
        </w:rPr>
        <w:t>to take effect</w:t>
      </w:r>
      <w:r w:rsidR="007E3357" w:rsidRPr="00113248">
        <w:rPr>
          <w:lang w:eastAsia="en-GB"/>
        </w:rPr>
        <w:t xml:space="preserve">. </w:t>
      </w:r>
      <w:r>
        <w:rPr>
          <w:lang w:eastAsia="en-GB"/>
        </w:rPr>
        <w:t xml:space="preserve"> Further information is available here </w:t>
      </w:r>
      <w:hyperlink r:id="rId132" w:history="1">
        <w:r w:rsidRPr="00133AE8">
          <w:rPr>
            <w:rStyle w:val="Hyperlink"/>
            <w:lang w:eastAsia="en-GB"/>
          </w:rPr>
          <w:t>https://pcse.england.nhs.uk/services/practice-mergers-and-closures-notifications/</w:t>
        </w:r>
      </w:hyperlink>
    </w:p>
    <w:p w14:paraId="4932545A" w14:textId="77777777" w:rsidR="00113248" w:rsidRPr="00113248" w:rsidRDefault="00113248" w:rsidP="00A41E27">
      <w:pPr>
        <w:rPr>
          <w:lang w:eastAsia="en-GB"/>
        </w:rPr>
      </w:pPr>
    </w:p>
    <w:p w14:paraId="1F2953B3" w14:textId="0D3A0FE9" w:rsidR="00594B38" w:rsidRDefault="00213D9D" w:rsidP="00594B38">
      <w:pPr>
        <w:pStyle w:val="Heading3"/>
        <w:rPr>
          <w:lang w:eastAsia="en-GB"/>
        </w:rPr>
      </w:pPr>
      <w:bookmarkStart w:id="1003" w:name="_Toc440982873"/>
      <w:r w:rsidRPr="00CE0885">
        <w:rPr>
          <w:lang w:eastAsia="en-GB"/>
        </w:rPr>
        <w:t xml:space="preserve">In each of the stages below there </w:t>
      </w:r>
      <w:r w:rsidR="00747BB4">
        <w:rPr>
          <w:lang w:eastAsia="en-GB"/>
        </w:rPr>
        <w:t>is</w:t>
      </w:r>
      <w:r w:rsidR="00747BB4" w:rsidRPr="00CE0885">
        <w:rPr>
          <w:lang w:eastAsia="en-GB"/>
        </w:rPr>
        <w:t xml:space="preserve"> </w:t>
      </w:r>
      <w:r w:rsidRPr="00CE0885">
        <w:rPr>
          <w:lang w:eastAsia="en-GB"/>
        </w:rPr>
        <w:t>a range of activities that may need to be undertaken, depending on the Commissioner’s preferred route, and the Commissioner may usually discuss with the appropriate LMC throughout.</w:t>
      </w:r>
      <w:bookmarkEnd w:id="1003"/>
    </w:p>
    <w:p w14:paraId="07811FBC" w14:textId="77777777" w:rsidR="008616B0" w:rsidRPr="008616B0" w:rsidRDefault="008616B0" w:rsidP="008616B0">
      <w:pPr>
        <w:rPr>
          <w:lang w:eastAsia="en-GB"/>
        </w:rPr>
      </w:pPr>
    </w:p>
    <w:p w14:paraId="58A2F88D" w14:textId="77777777" w:rsidR="00213D9D" w:rsidRPr="009055A7" w:rsidRDefault="00213D9D" w:rsidP="005215BD">
      <w:pPr>
        <w:widowControl w:val="0"/>
        <w:spacing w:line="360" w:lineRule="auto"/>
        <w:jc w:val="both"/>
        <w:rPr>
          <w:rFonts w:cs="Arial"/>
          <w:bCs w:val="0"/>
          <w:sz w:val="20"/>
          <w:szCs w:val="20"/>
          <w:lang w:eastAsia="en-GB"/>
        </w:rPr>
      </w:pPr>
    </w:p>
    <w:p w14:paraId="7F261EAC" w14:textId="77777777" w:rsidR="00213D9D" w:rsidRPr="00CE0885" w:rsidRDefault="00213D9D" w:rsidP="005215BD">
      <w:pPr>
        <w:pStyle w:val="Heading2"/>
        <w:ind w:left="0" w:firstLine="0"/>
        <w:rPr>
          <w:lang w:eastAsia="en-GB"/>
        </w:rPr>
      </w:pPr>
      <w:bookmarkStart w:id="1004" w:name="_Toc440982874"/>
      <w:bookmarkStart w:id="1005" w:name="_Toc95743475"/>
      <w:r w:rsidRPr="00CE0885">
        <w:rPr>
          <w:lang w:eastAsia="en-GB"/>
        </w:rPr>
        <w:t>Summary of Key Stages</w:t>
      </w:r>
      <w:bookmarkEnd w:id="1004"/>
      <w:bookmarkEnd w:id="1005"/>
    </w:p>
    <w:p w14:paraId="7473AA70" w14:textId="2AFB0EBC" w:rsidR="00213D9D" w:rsidRPr="00CE0885" w:rsidRDefault="00213D9D" w:rsidP="00A51F6F">
      <w:pPr>
        <w:pStyle w:val="Heading3"/>
        <w:rPr>
          <w:lang w:eastAsia="en-GB"/>
        </w:rPr>
      </w:pPr>
      <w:bookmarkStart w:id="1006" w:name="_Toc440982875"/>
      <w:r w:rsidRPr="00CE0885">
        <w:rPr>
          <w:lang w:eastAsia="en-GB"/>
        </w:rPr>
        <w:t>There are three key stages:</w:t>
      </w:r>
      <w:bookmarkEnd w:id="1006"/>
    </w:p>
    <w:p w14:paraId="145E7191" w14:textId="27FBB655" w:rsidR="00213D9D" w:rsidRPr="00A51F6F" w:rsidRDefault="00213D9D" w:rsidP="00A51F6F">
      <w:pPr>
        <w:pStyle w:val="Heading3"/>
        <w:rPr>
          <w:rFonts w:cs="Arial"/>
          <w:b/>
          <w:szCs w:val="24"/>
          <w:lang w:eastAsia="en-GB"/>
        </w:rPr>
      </w:pPr>
      <w:bookmarkStart w:id="1007" w:name="_Toc440982876"/>
      <w:r w:rsidRPr="00A51F6F">
        <w:rPr>
          <w:b/>
        </w:rPr>
        <w:t>Stage 1 – minimum 9 to 15 months before contract end (all</w:t>
      </w:r>
      <w:r w:rsidRPr="00A51F6F">
        <w:rPr>
          <w:rFonts w:cs="Arial"/>
          <w:b/>
          <w:szCs w:val="24"/>
          <w:lang w:eastAsia="en-GB"/>
        </w:rPr>
        <w:t xml:space="preserve"> essential):</w:t>
      </w:r>
      <w:bookmarkEnd w:id="1007"/>
    </w:p>
    <w:p w14:paraId="06378A4A" w14:textId="77777777" w:rsidR="00213D9D" w:rsidRPr="00A51F6F" w:rsidRDefault="00213D9D" w:rsidP="00A51F6F">
      <w:pPr>
        <w:pStyle w:val="Heading3"/>
        <w:rPr>
          <w:lang w:eastAsia="en-GB"/>
        </w:rPr>
      </w:pPr>
      <w:r w:rsidRPr="00A51F6F">
        <w:rPr>
          <w:lang w:eastAsia="en-GB"/>
        </w:rPr>
        <w:t>Needs assessment;</w:t>
      </w:r>
    </w:p>
    <w:p w14:paraId="1BC0FEB8" w14:textId="77777777" w:rsidR="00213D9D" w:rsidRPr="00A51F6F" w:rsidRDefault="00213D9D" w:rsidP="00A51F6F">
      <w:pPr>
        <w:pStyle w:val="Heading3"/>
        <w:rPr>
          <w:lang w:eastAsia="en-GB"/>
        </w:rPr>
      </w:pPr>
      <w:r w:rsidRPr="00A51F6F">
        <w:rPr>
          <w:lang w:eastAsia="en-GB"/>
        </w:rPr>
        <w:t>Impact; and</w:t>
      </w:r>
    </w:p>
    <w:p w14:paraId="55F89768" w14:textId="77777777" w:rsidR="00213D9D" w:rsidRPr="00A51F6F" w:rsidRDefault="00213D9D" w:rsidP="00A51F6F">
      <w:pPr>
        <w:pStyle w:val="Heading3"/>
        <w:rPr>
          <w:lang w:eastAsia="en-GB"/>
        </w:rPr>
      </w:pPr>
      <w:r w:rsidRPr="00A51F6F">
        <w:rPr>
          <w:lang w:eastAsia="en-GB"/>
        </w:rPr>
        <w:t>Engagement proposal.</w:t>
      </w:r>
    </w:p>
    <w:p w14:paraId="3CD56452" w14:textId="68D85674" w:rsidR="00213D9D" w:rsidRPr="00A51F6F" w:rsidRDefault="00213D9D" w:rsidP="00A51F6F">
      <w:pPr>
        <w:pStyle w:val="Heading3"/>
        <w:rPr>
          <w:b/>
        </w:rPr>
      </w:pPr>
      <w:bookmarkStart w:id="1008" w:name="_Toc440982877"/>
      <w:r w:rsidRPr="00A51F6F">
        <w:rPr>
          <w:b/>
        </w:rPr>
        <w:t>Stage 2 – 12 months before contract end:</w:t>
      </w:r>
      <w:bookmarkEnd w:id="1008"/>
    </w:p>
    <w:p w14:paraId="61767B13" w14:textId="77777777" w:rsidR="00213D9D" w:rsidRPr="00CE0885" w:rsidRDefault="00213D9D" w:rsidP="00A51F6F">
      <w:pPr>
        <w:pStyle w:val="Heading3"/>
      </w:pPr>
      <w:r w:rsidRPr="00CE0885">
        <w:t>Notice period – exit plan;</w:t>
      </w:r>
    </w:p>
    <w:p w14:paraId="195C6737" w14:textId="77777777" w:rsidR="00213D9D" w:rsidRPr="00CE0885" w:rsidRDefault="00213D9D" w:rsidP="00A51F6F">
      <w:pPr>
        <w:pStyle w:val="Heading3"/>
      </w:pPr>
      <w:r w:rsidRPr="00CE0885">
        <w:t>Commence procurement and either:</w:t>
      </w:r>
    </w:p>
    <w:p w14:paraId="08F05E42" w14:textId="77777777" w:rsidR="00213D9D" w:rsidRPr="00A51F6F" w:rsidRDefault="00213D9D" w:rsidP="00A51F6F">
      <w:pPr>
        <w:pStyle w:val="Heading3"/>
        <w:rPr>
          <w:lang w:eastAsia="en-GB"/>
        </w:rPr>
      </w:pPr>
      <w:r w:rsidRPr="00A51F6F">
        <w:rPr>
          <w:lang w:eastAsia="en-GB"/>
        </w:rPr>
        <w:t>Begin negotiations for continuation with contractor; and</w:t>
      </w:r>
    </w:p>
    <w:p w14:paraId="085CC313" w14:textId="77777777" w:rsidR="00213D9D" w:rsidRPr="00A51F6F" w:rsidRDefault="00213D9D" w:rsidP="00A51F6F">
      <w:pPr>
        <w:pStyle w:val="Heading3"/>
        <w:rPr>
          <w:lang w:eastAsia="en-GB"/>
        </w:rPr>
      </w:pPr>
      <w:r w:rsidRPr="00A51F6F">
        <w:rPr>
          <w:lang w:eastAsia="en-GB"/>
        </w:rPr>
        <w:t>Begin exit arrangements of incumbent provider and mobilisation of any new provider.</w:t>
      </w:r>
    </w:p>
    <w:p w14:paraId="69B4731C" w14:textId="5FD9852F" w:rsidR="00213D9D" w:rsidRPr="00A51F6F" w:rsidRDefault="00213D9D" w:rsidP="00A51F6F">
      <w:pPr>
        <w:pStyle w:val="Heading3"/>
        <w:rPr>
          <w:b/>
          <w:lang w:eastAsia="en-GB"/>
        </w:rPr>
      </w:pPr>
      <w:bookmarkStart w:id="1009" w:name="_Toc440982878"/>
      <w:r w:rsidRPr="00A51F6F">
        <w:rPr>
          <w:b/>
          <w:lang w:eastAsia="en-GB"/>
        </w:rPr>
        <w:t>Stage 3 – at contract end:</w:t>
      </w:r>
      <w:bookmarkEnd w:id="1009"/>
    </w:p>
    <w:p w14:paraId="4AB0F6C0" w14:textId="77777777" w:rsidR="00213D9D" w:rsidRPr="00CE0885" w:rsidRDefault="00213D9D" w:rsidP="00A51F6F">
      <w:pPr>
        <w:pStyle w:val="Heading3"/>
        <w:rPr>
          <w:rFonts w:cs="Arial"/>
          <w:szCs w:val="24"/>
          <w:lang w:eastAsia="en-GB"/>
        </w:rPr>
      </w:pPr>
      <w:r w:rsidRPr="00CE0885">
        <w:rPr>
          <w:rFonts w:cs="Arial"/>
          <w:szCs w:val="24"/>
          <w:lang w:eastAsia="en-GB"/>
        </w:rPr>
        <w:t>Contract end – possible dispersal of patient list:</w:t>
      </w:r>
    </w:p>
    <w:p w14:paraId="01F70E14" w14:textId="77777777" w:rsidR="00213D9D" w:rsidRPr="00CE0885" w:rsidRDefault="00213D9D" w:rsidP="00A51F6F">
      <w:pPr>
        <w:pStyle w:val="Heading3"/>
        <w:rPr>
          <w:rFonts w:cs="Arial"/>
          <w:szCs w:val="24"/>
          <w:lang w:eastAsia="en-GB"/>
        </w:rPr>
      </w:pPr>
      <w:r w:rsidRPr="00CE0885">
        <w:rPr>
          <w:rFonts w:cs="Arial"/>
          <w:szCs w:val="24"/>
          <w:lang w:eastAsia="en-GB"/>
        </w:rPr>
        <w:t>Variation to contract/extension: and</w:t>
      </w:r>
    </w:p>
    <w:p w14:paraId="7DE3BF12" w14:textId="77777777" w:rsidR="00213D9D" w:rsidRPr="00CE0885" w:rsidRDefault="00213D9D" w:rsidP="00A51F6F">
      <w:pPr>
        <w:pStyle w:val="Heading3"/>
        <w:rPr>
          <w:rFonts w:cs="Arial"/>
          <w:szCs w:val="24"/>
          <w:lang w:eastAsia="en-GB"/>
        </w:rPr>
      </w:pPr>
      <w:r w:rsidRPr="00CE0885">
        <w:rPr>
          <w:rFonts w:cs="Arial"/>
          <w:szCs w:val="24"/>
          <w:lang w:eastAsia="en-GB"/>
        </w:rPr>
        <w:t>Commencement of new provider.</w:t>
      </w:r>
    </w:p>
    <w:p w14:paraId="25262362" w14:textId="77777777" w:rsidR="00213D9D" w:rsidRPr="009055A7" w:rsidRDefault="00213D9D" w:rsidP="005215BD">
      <w:pPr>
        <w:widowControl w:val="0"/>
        <w:spacing w:line="360" w:lineRule="auto"/>
        <w:jc w:val="both"/>
        <w:rPr>
          <w:rFonts w:cs="Arial"/>
          <w:bCs w:val="0"/>
          <w:sz w:val="20"/>
          <w:szCs w:val="20"/>
          <w:lang w:eastAsia="en-GB"/>
        </w:rPr>
      </w:pPr>
    </w:p>
    <w:p w14:paraId="43282B29" w14:textId="77777777" w:rsidR="00213D9D" w:rsidRPr="00CE0885" w:rsidRDefault="00213D9D" w:rsidP="005215BD">
      <w:pPr>
        <w:pStyle w:val="Heading2"/>
        <w:ind w:left="0" w:firstLine="0"/>
        <w:rPr>
          <w:lang w:eastAsia="en-GB"/>
        </w:rPr>
      </w:pPr>
      <w:bookmarkStart w:id="1010" w:name="_Toc440982879"/>
      <w:bookmarkStart w:id="1011" w:name="_Toc95743476"/>
      <w:r w:rsidRPr="00CE0885">
        <w:rPr>
          <w:lang w:eastAsia="en-GB"/>
        </w:rPr>
        <w:t>Stage 1 – 9 – 15 Months before Contract End</w:t>
      </w:r>
      <w:bookmarkEnd w:id="1010"/>
      <w:bookmarkEnd w:id="1011"/>
    </w:p>
    <w:p w14:paraId="770CA573" w14:textId="3AEBF1E9" w:rsidR="00213D9D" w:rsidRPr="00CE0885" w:rsidRDefault="00213D9D" w:rsidP="005215BD">
      <w:pPr>
        <w:pStyle w:val="Heading3"/>
        <w:rPr>
          <w:lang w:eastAsia="en-GB"/>
        </w:rPr>
      </w:pPr>
      <w:bookmarkStart w:id="1012" w:name="_Toc440982880"/>
      <w:r w:rsidRPr="00CE0885">
        <w:rPr>
          <w:lang w:eastAsia="en-GB"/>
        </w:rPr>
        <w:t>The considerations that should be given when completing each action are provided below. This list is not exhaustive but does provide a platform for commissioners to fully assess the existing and future service needs of its population. Commissioners should ensure that all appropriate stakeholders are given the opportunity to input into the needs assessment for their population, including but not limited to public health.</w:t>
      </w:r>
      <w:bookmarkEnd w:id="1012"/>
    </w:p>
    <w:p w14:paraId="3B3419A6" w14:textId="1D68C1C2" w:rsidR="00213D9D" w:rsidRPr="00CE0885" w:rsidRDefault="00213D9D" w:rsidP="005215BD">
      <w:pPr>
        <w:pStyle w:val="Heading3"/>
        <w:rPr>
          <w:lang w:eastAsia="en-GB"/>
        </w:rPr>
      </w:pPr>
      <w:bookmarkStart w:id="1013" w:name="_Toc440982881"/>
      <w:r w:rsidRPr="00CE0885">
        <w:rPr>
          <w:lang w:eastAsia="en-GB"/>
        </w:rPr>
        <w:t>Needs assessment</w:t>
      </w:r>
      <w:bookmarkEnd w:id="1013"/>
      <w:r w:rsidR="00620C63">
        <w:rPr>
          <w:lang w:eastAsia="en-GB"/>
        </w:rPr>
        <w:t xml:space="preserve">  </w:t>
      </w:r>
    </w:p>
    <w:p w14:paraId="58C8CC4C" w14:textId="453B4065" w:rsidR="00213D9D" w:rsidRPr="00CE0885" w:rsidRDefault="00213D9D" w:rsidP="005215BD">
      <w:pPr>
        <w:pStyle w:val="Heading3"/>
        <w:rPr>
          <w:lang w:eastAsia="en-GB"/>
        </w:rPr>
      </w:pPr>
      <w:bookmarkStart w:id="1014" w:name="_Toc440982882"/>
      <w:r w:rsidRPr="00CE0885">
        <w:rPr>
          <w:lang w:eastAsia="en-GB"/>
        </w:rPr>
        <w:t xml:space="preserve">Is there still a demand for this service in this locality and a requirement for it to continue?  For </w:t>
      </w:r>
      <w:r w:rsidR="003A5B58" w:rsidRPr="00CE0885">
        <w:rPr>
          <w:lang w:eastAsia="en-GB"/>
        </w:rPr>
        <w:t>example,</w:t>
      </w:r>
      <w:r w:rsidRPr="00CE0885">
        <w:rPr>
          <w:lang w:eastAsia="en-GB"/>
        </w:rPr>
        <w:t xml:space="preserve"> to reduce inequalities in access or health outcomes</w:t>
      </w:r>
      <w:bookmarkEnd w:id="1014"/>
    </w:p>
    <w:p w14:paraId="2A525507" w14:textId="09EC7043" w:rsidR="00213D9D" w:rsidRPr="00CE0885" w:rsidRDefault="00213D9D" w:rsidP="005215BD">
      <w:pPr>
        <w:pStyle w:val="Heading3"/>
        <w:rPr>
          <w:lang w:eastAsia="en-GB"/>
        </w:rPr>
      </w:pPr>
      <w:bookmarkStart w:id="1015" w:name="_Toc440982883"/>
      <w:r w:rsidRPr="00CE0885">
        <w:rPr>
          <w:lang w:eastAsia="en-GB"/>
        </w:rPr>
        <w:t>Does the contract specification still address current local priorities?</w:t>
      </w:r>
      <w:bookmarkEnd w:id="1015"/>
    </w:p>
    <w:p w14:paraId="3394CA15" w14:textId="18CA7724" w:rsidR="00213D9D" w:rsidRPr="00CE0885" w:rsidRDefault="00213D9D" w:rsidP="005215BD">
      <w:pPr>
        <w:pStyle w:val="Heading3"/>
        <w:rPr>
          <w:lang w:eastAsia="en-GB"/>
        </w:rPr>
      </w:pPr>
      <w:bookmarkStart w:id="1016" w:name="_Toc440982884"/>
      <w:r w:rsidRPr="00CE0885">
        <w:rPr>
          <w:lang w:eastAsia="en-GB"/>
        </w:rPr>
        <w:t>Has the contract delivered on the expected outcomes?</w:t>
      </w:r>
      <w:bookmarkEnd w:id="1016"/>
    </w:p>
    <w:p w14:paraId="6E19479D" w14:textId="76ADAC76" w:rsidR="00213D9D" w:rsidRPr="00CE0885" w:rsidRDefault="00213D9D" w:rsidP="005215BD">
      <w:pPr>
        <w:pStyle w:val="Heading3"/>
        <w:rPr>
          <w:lang w:eastAsia="en-GB"/>
        </w:rPr>
      </w:pPr>
      <w:bookmarkStart w:id="1017" w:name="_Toc440982885"/>
      <w:r w:rsidRPr="00CE0885">
        <w:rPr>
          <w:lang w:eastAsia="en-GB"/>
        </w:rPr>
        <w:t>Has it provided added value to the local population and service provision?</w:t>
      </w:r>
      <w:bookmarkEnd w:id="1017"/>
    </w:p>
    <w:p w14:paraId="5ADD56E2" w14:textId="7BBE5EDA" w:rsidR="00213D9D" w:rsidRPr="00CE0885" w:rsidRDefault="00213D9D" w:rsidP="005215BD">
      <w:pPr>
        <w:pStyle w:val="Heading3"/>
        <w:rPr>
          <w:lang w:eastAsia="en-GB"/>
        </w:rPr>
      </w:pPr>
      <w:bookmarkStart w:id="1018" w:name="_Toc440982886"/>
      <w:r w:rsidRPr="00CE0885">
        <w:rPr>
          <w:lang w:eastAsia="en-GB"/>
        </w:rPr>
        <w:t>Have you assessed the potential service needs for any forthcoming new developments?</w:t>
      </w:r>
      <w:bookmarkEnd w:id="1018"/>
    </w:p>
    <w:p w14:paraId="785AF7E3" w14:textId="79A54B46" w:rsidR="00213D9D" w:rsidRPr="00CE0885" w:rsidRDefault="00213D9D" w:rsidP="005215BD">
      <w:pPr>
        <w:pStyle w:val="Heading3"/>
        <w:rPr>
          <w:lang w:eastAsia="en-GB"/>
        </w:rPr>
      </w:pPr>
      <w:bookmarkStart w:id="1019" w:name="_Toc440982887"/>
      <w:r w:rsidRPr="00CE0885">
        <w:rPr>
          <w:lang w:eastAsia="en-GB"/>
        </w:rPr>
        <w:t>What is the capacity of other local providers and the market for other providers to deliver services?</w:t>
      </w:r>
      <w:bookmarkEnd w:id="1019"/>
    </w:p>
    <w:p w14:paraId="54E4ACDC" w14:textId="635CBCCC" w:rsidR="00213D9D" w:rsidRPr="00CE0885" w:rsidRDefault="00213D9D" w:rsidP="005215BD">
      <w:pPr>
        <w:pStyle w:val="Heading3"/>
        <w:rPr>
          <w:lang w:eastAsia="en-GB"/>
        </w:rPr>
      </w:pPr>
      <w:bookmarkStart w:id="1020" w:name="_Toc440982888"/>
      <w:r w:rsidRPr="00CE0885">
        <w:rPr>
          <w:lang w:eastAsia="en-GB"/>
        </w:rPr>
        <w:t>Have you given consideration to any specialist services needs in the locality?</w:t>
      </w:r>
      <w:bookmarkEnd w:id="1020"/>
    </w:p>
    <w:p w14:paraId="63C85540" w14:textId="3338DFEA" w:rsidR="00213D9D" w:rsidRPr="00CE0885" w:rsidRDefault="00213D9D" w:rsidP="005215BD">
      <w:pPr>
        <w:pStyle w:val="Heading3"/>
        <w:rPr>
          <w:lang w:eastAsia="en-GB"/>
        </w:rPr>
      </w:pPr>
      <w:bookmarkStart w:id="1021" w:name="_Toc440982889"/>
      <w:r w:rsidRPr="00CE0885">
        <w:rPr>
          <w:lang w:eastAsia="en-GB"/>
        </w:rPr>
        <w:t xml:space="preserve">Are there any needs </w:t>
      </w:r>
      <w:r w:rsidR="00747BB4">
        <w:rPr>
          <w:lang w:eastAsia="en-GB"/>
        </w:rPr>
        <w:t>that</w:t>
      </w:r>
      <w:r w:rsidR="00747BB4" w:rsidRPr="00CE0885">
        <w:rPr>
          <w:lang w:eastAsia="en-GB"/>
        </w:rPr>
        <w:t xml:space="preserve"> </w:t>
      </w:r>
      <w:r w:rsidRPr="00CE0885">
        <w:rPr>
          <w:lang w:eastAsia="en-GB"/>
        </w:rPr>
        <w:t>are not met by the contract, which could be delivered?</w:t>
      </w:r>
      <w:bookmarkEnd w:id="1021"/>
    </w:p>
    <w:p w14:paraId="177B7695" w14:textId="48247819" w:rsidR="00213D9D" w:rsidRPr="00CE0885" w:rsidRDefault="00213D9D" w:rsidP="005215BD">
      <w:pPr>
        <w:pStyle w:val="Heading3"/>
        <w:rPr>
          <w:lang w:eastAsia="en-GB"/>
        </w:rPr>
      </w:pPr>
      <w:bookmarkStart w:id="1022" w:name="_Toc440982890"/>
      <w:r w:rsidRPr="00CE0885">
        <w:rPr>
          <w:lang w:eastAsia="en-GB"/>
        </w:rPr>
        <w:t>Impact</w:t>
      </w:r>
      <w:bookmarkEnd w:id="1022"/>
      <w:r w:rsidRPr="00CE0885">
        <w:rPr>
          <w:lang w:eastAsia="en-GB"/>
        </w:rPr>
        <w:t xml:space="preserve"> </w:t>
      </w:r>
    </w:p>
    <w:p w14:paraId="7680EF0B" w14:textId="057401A4" w:rsidR="00213D9D" w:rsidRPr="00CE0885" w:rsidRDefault="00213D9D" w:rsidP="005215BD">
      <w:pPr>
        <w:pStyle w:val="Heading3"/>
        <w:rPr>
          <w:lang w:eastAsia="en-GB"/>
        </w:rPr>
      </w:pPr>
      <w:bookmarkStart w:id="1023" w:name="_Toc440982891"/>
      <w:r w:rsidRPr="00CE0885">
        <w:rPr>
          <w:lang w:eastAsia="en-GB"/>
        </w:rPr>
        <w:t>Have you considered available outcome and delivery data held nationally and locally, regarding the current service and impact on other providers?</w:t>
      </w:r>
      <w:bookmarkEnd w:id="1023"/>
    </w:p>
    <w:p w14:paraId="4B5F6CAF" w14:textId="1B43BC7F" w:rsidR="00213D9D" w:rsidRPr="00CE0885" w:rsidRDefault="00213D9D" w:rsidP="005215BD">
      <w:pPr>
        <w:pStyle w:val="Heading3"/>
        <w:rPr>
          <w:lang w:eastAsia="en-GB"/>
        </w:rPr>
      </w:pPr>
      <w:bookmarkStart w:id="1024" w:name="_Toc440982892"/>
      <w:r w:rsidRPr="00CE0885">
        <w:rPr>
          <w:lang w:eastAsia="en-GB"/>
        </w:rPr>
        <w:t>Have you compared the cost of the current service against other providers i.e. cost per head of population whilst taking into account any differences in the scope of the services provided?</w:t>
      </w:r>
      <w:bookmarkEnd w:id="1024"/>
    </w:p>
    <w:p w14:paraId="26D960CC" w14:textId="203DEBF0" w:rsidR="00213D9D" w:rsidRPr="00CE0885" w:rsidRDefault="00213D9D" w:rsidP="005215BD">
      <w:pPr>
        <w:pStyle w:val="Heading3"/>
        <w:rPr>
          <w:lang w:eastAsia="en-GB"/>
        </w:rPr>
      </w:pPr>
      <w:bookmarkStart w:id="1025" w:name="_Toc440982893"/>
      <w:r w:rsidRPr="00CE0885">
        <w:rPr>
          <w:lang w:eastAsia="en-GB"/>
        </w:rPr>
        <w:t>Is the current service still affordable within projected future budgets?</w:t>
      </w:r>
      <w:bookmarkEnd w:id="1025"/>
    </w:p>
    <w:p w14:paraId="7C63492C" w14:textId="20D6968E" w:rsidR="00213D9D" w:rsidRPr="00CE0885" w:rsidRDefault="00213D9D" w:rsidP="005215BD">
      <w:pPr>
        <w:pStyle w:val="Heading3"/>
        <w:rPr>
          <w:lang w:eastAsia="en-GB"/>
        </w:rPr>
      </w:pPr>
      <w:bookmarkStart w:id="1026" w:name="_Toc440982894"/>
      <w:r w:rsidRPr="00CE0885">
        <w:rPr>
          <w:lang w:eastAsia="en-GB"/>
        </w:rPr>
        <w:t>Has the contract delivered on the expected financial outcomes?</w:t>
      </w:r>
      <w:bookmarkEnd w:id="1026"/>
    </w:p>
    <w:p w14:paraId="07FB1FBD" w14:textId="50B93B39" w:rsidR="00213D9D" w:rsidRPr="00CE0885" w:rsidRDefault="00213D9D" w:rsidP="005215BD">
      <w:pPr>
        <w:pStyle w:val="Heading3"/>
        <w:rPr>
          <w:lang w:eastAsia="en-GB"/>
        </w:rPr>
      </w:pPr>
      <w:bookmarkStart w:id="1027" w:name="_Toc440982895"/>
      <w:r w:rsidRPr="00CE0885">
        <w:rPr>
          <w:lang w:eastAsia="en-GB"/>
        </w:rPr>
        <w:t>What other objectives might be set within the existing budget?</w:t>
      </w:r>
      <w:bookmarkEnd w:id="1027"/>
    </w:p>
    <w:p w14:paraId="47FD47C9" w14:textId="42D8F8B0" w:rsidR="00213D9D" w:rsidRPr="00CE0885" w:rsidRDefault="00213D9D" w:rsidP="005215BD">
      <w:pPr>
        <w:pStyle w:val="Heading3"/>
        <w:rPr>
          <w:lang w:eastAsia="en-GB"/>
        </w:rPr>
      </w:pPr>
      <w:bookmarkStart w:id="1028" w:name="_Toc440982896"/>
      <w:r w:rsidRPr="00CE0885">
        <w:rPr>
          <w:lang w:eastAsia="en-GB"/>
        </w:rPr>
        <w:t>Have you considered the potential impact on service users/patients?</w:t>
      </w:r>
      <w:bookmarkEnd w:id="1028"/>
    </w:p>
    <w:p w14:paraId="5AB7D7B7" w14:textId="493DE7F1" w:rsidR="00213D9D" w:rsidRPr="00CE0885" w:rsidRDefault="00213D9D" w:rsidP="005215BD">
      <w:pPr>
        <w:pStyle w:val="Heading3"/>
        <w:rPr>
          <w:lang w:eastAsia="en-GB"/>
        </w:rPr>
      </w:pPr>
      <w:bookmarkStart w:id="1029" w:name="_Toc440982897"/>
      <w:r w:rsidRPr="00CE0885">
        <w:rPr>
          <w:lang w:eastAsia="en-GB"/>
        </w:rPr>
        <w:t>Have you considered the potential impact on other service providers, e.g. GPs, pharmacy, local trust, out of hours, community services?</w:t>
      </w:r>
      <w:bookmarkEnd w:id="1029"/>
    </w:p>
    <w:p w14:paraId="59DB5E52" w14:textId="774F99DB" w:rsidR="00213D9D" w:rsidRPr="00CE0885" w:rsidRDefault="00213D9D" w:rsidP="005215BD">
      <w:pPr>
        <w:pStyle w:val="Heading3"/>
        <w:rPr>
          <w:lang w:eastAsia="en-GB"/>
        </w:rPr>
      </w:pPr>
      <w:bookmarkStart w:id="1030" w:name="_Toc440982898"/>
      <w:r w:rsidRPr="00CE0885">
        <w:rPr>
          <w:lang w:eastAsia="en-GB"/>
        </w:rPr>
        <w:t>Have you considered the potential impact on the current provider, i.e. continued viability within the locality?</w:t>
      </w:r>
      <w:bookmarkEnd w:id="1030"/>
    </w:p>
    <w:p w14:paraId="4FBE5DA2" w14:textId="3EB9C3EB" w:rsidR="00213D9D" w:rsidRPr="00CE0885" w:rsidRDefault="00213D9D" w:rsidP="005215BD">
      <w:pPr>
        <w:pStyle w:val="Heading3"/>
        <w:rPr>
          <w:lang w:eastAsia="en-GB"/>
        </w:rPr>
      </w:pPr>
      <w:bookmarkStart w:id="1031" w:name="_Toc440982899"/>
      <w:r w:rsidRPr="00CE0885">
        <w:rPr>
          <w:lang w:eastAsia="en-GB"/>
        </w:rPr>
        <w:t>Have you considered patient choice and equality?</w:t>
      </w:r>
      <w:bookmarkEnd w:id="1031"/>
    </w:p>
    <w:p w14:paraId="551AF4A1" w14:textId="06D4C2E7" w:rsidR="00213D9D" w:rsidRPr="00CE0885" w:rsidRDefault="00213D9D" w:rsidP="005215BD">
      <w:pPr>
        <w:pStyle w:val="Heading3"/>
        <w:rPr>
          <w:lang w:eastAsia="en-GB"/>
        </w:rPr>
      </w:pPr>
      <w:bookmarkStart w:id="1032" w:name="_Toc440982900"/>
      <w:r w:rsidRPr="00CE0885">
        <w:rPr>
          <w:lang w:eastAsia="en-GB"/>
        </w:rPr>
        <w:t>Have you considered the potential risks i.e. reputational (adverse publicity, Commissioner/provider relationship), market testing, timescales and financial?</w:t>
      </w:r>
      <w:bookmarkEnd w:id="1032"/>
    </w:p>
    <w:p w14:paraId="0627AA18" w14:textId="4D69F278" w:rsidR="00213D9D" w:rsidRPr="00CE0885" w:rsidRDefault="00213D9D" w:rsidP="005215BD">
      <w:pPr>
        <w:pStyle w:val="Heading3"/>
        <w:rPr>
          <w:lang w:eastAsia="en-GB"/>
        </w:rPr>
      </w:pPr>
      <w:bookmarkStart w:id="1033" w:name="_Toc440982901"/>
      <w:r w:rsidRPr="00CE0885">
        <w:rPr>
          <w:lang w:eastAsia="en-GB"/>
        </w:rPr>
        <w:t xml:space="preserve">Have you considered how the expiry of the contract affects compliance with the general duties? For further information, please refer to </w:t>
      </w:r>
      <w:r w:rsidR="00CF37FA">
        <w:rPr>
          <w:lang w:eastAsia="en-GB"/>
        </w:rPr>
        <w:t xml:space="preserve">the chapter covering </w:t>
      </w:r>
      <w:r w:rsidRPr="00CE0885">
        <w:rPr>
          <w:lang w:eastAsia="en-GB"/>
        </w:rPr>
        <w:t>General duties of NHS England.</w:t>
      </w:r>
      <w:bookmarkEnd w:id="1033"/>
      <w:r w:rsidRPr="00CE0885">
        <w:rPr>
          <w:lang w:eastAsia="en-GB"/>
        </w:rPr>
        <w:t xml:space="preserve"> </w:t>
      </w:r>
    </w:p>
    <w:p w14:paraId="3AB519E2" w14:textId="7E4FCEB0" w:rsidR="00213D9D" w:rsidRPr="00CE0885" w:rsidRDefault="00213D9D" w:rsidP="005215BD">
      <w:pPr>
        <w:pStyle w:val="Heading3"/>
        <w:rPr>
          <w:lang w:eastAsia="en-GB"/>
        </w:rPr>
      </w:pPr>
      <w:bookmarkStart w:id="1034" w:name="_Toc440982902"/>
      <w:r w:rsidRPr="00CE0885">
        <w:rPr>
          <w:lang w:eastAsia="en-GB"/>
        </w:rPr>
        <w:t>Engagement proposal</w:t>
      </w:r>
      <w:bookmarkEnd w:id="1034"/>
    </w:p>
    <w:p w14:paraId="50AED1A9" w14:textId="28ABE2D1" w:rsidR="00213D9D" w:rsidRPr="00CE0885" w:rsidRDefault="00213D9D" w:rsidP="005215BD">
      <w:pPr>
        <w:pStyle w:val="Heading3"/>
        <w:rPr>
          <w:lang w:eastAsia="en-GB"/>
        </w:rPr>
      </w:pPr>
      <w:bookmarkStart w:id="1035" w:name="_Toc440982903"/>
      <w:r w:rsidRPr="00CE0885">
        <w:rPr>
          <w:lang w:eastAsia="en-GB"/>
        </w:rPr>
        <w:t>Each situation will need to be managed regarding each individual circumstance and the nature of the procurement process to be followed, if at all. However, where it has been deemed appropriate to complete a form of engagement before taking action, the Commissioner should consider:</w:t>
      </w:r>
      <w:bookmarkEnd w:id="1035"/>
    </w:p>
    <w:p w14:paraId="5DAE2313" w14:textId="7DE751A1" w:rsidR="00213D9D" w:rsidRPr="00CE0885" w:rsidRDefault="00213D9D" w:rsidP="005215BD">
      <w:pPr>
        <w:pStyle w:val="Heading3"/>
        <w:rPr>
          <w:lang w:eastAsia="en-GB"/>
        </w:rPr>
      </w:pPr>
      <w:bookmarkStart w:id="1036" w:name="_Toc440982904"/>
      <w:r w:rsidRPr="00CE0885">
        <w:rPr>
          <w:lang w:eastAsia="en-GB"/>
        </w:rPr>
        <w:t xml:space="preserve">have arrangements </w:t>
      </w:r>
      <w:r w:rsidR="003A5B58" w:rsidRPr="00CE0885">
        <w:rPr>
          <w:lang w:eastAsia="en-GB"/>
        </w:rPr>
        <w:t>been made</w:t>
      </w:r>
      <w:r w:rsidRPr="00CE0885">
        <w:rPr>
          <w:lang w:eastAsia="en-GB"/>
        </w:rPr>
        <w:t xml:space="preserve"> for </w:t>
      </w:r>
      <w:r w:rsidR="004B44DF">
        <w:rPr>
          <w:lang w:eastAsia="en-GB"/>
        </w:rPr>
        <w:t xml:space="preserve">the </w:t>
      </w:r>
      <w:r w:rsidRPr="00CE0885">
        <w:rPr>
          <w:lang w:eastAsia="en-GB"/>
        </w:rPr>
        <w:t xml:space="preserve">involvement of patients and the public (please refer to </w:t>
      </w:r>
      <w:r w:rsidR="00CF37FA">
        <w:rPr>
          <w:lang w:eastAsia="en-GB"/>
        </w:rPr>
        <w:t xml:space="preserve">the </w:t>
      </w:r>
      <w:r w:rsidRPr="00CE0885">
        <w:rPr>
          <w:lang w:eastAsia="en-GB"/>
        </w:rPr>
        <w:t xml:space="preserve">chapter </w:t>
      </w:r>
      <w:r w:rsidR="00CF37FA">
        <w:rPr>
          <w:lang w:eastAsia="en-GB"/>
        </w:rPr>
        <w:t xml:space="preserve">covering </w:t>
      </w:r>
      <w:r w:rsidRPr="00CE0885">
        <w:rPr>
          <w:lang w:eastAsia="en-GB"/>
        </w:rPr>
        <w:t xml:space="preserve">General </w:t>
      </w:r>
      <w:r w:rsidR="00CF37FA">
        <w:rPr>
          <w:lang w:eastAsia="en-GB"/>
        </w:rPr>
        <w:t>duties of NHS England)</w:t>
      </w:r>
      <w:r w:rsidRPr="00CE0885">
        <w:rPr>
          <w:lang w:eastAsia="en-GB"/>
        </w:rPr>
        <w:t xml:space="preserve"> for more information on this requirement)?</w:t>
      </w:r>
      <w:bookmarkEnd w:id="1036"/>
    </w:p>
    <w:p w14:paraId="7C847234" w14:textId="23C6E1C0" w:rsidR="00213D9D" w:rsidRPr="00CE0885" w:rsidRDefault="00213D9D" w:rsidP="005215BD">
      <w:pPr>
        <w:pStyle w:val="Heading3"/>
        <w:rPr>
          <w:lang w:eastAsia="en-GB"/>
        </w:rPr>
      </w:pPr>
      <w:bookmarkStart w:id="1037" w:name="_Toc440982905"/>
      <w:r w:rsidRPr="00CE0885">
        <w:rPr>
          <w:lang w:eastAsia="en-GB"/>
        </w:rPr>
        <w:t>have other local providers and other interested parties i.e. LMC, local members of parliament, review and scrutiny committee, etc been engaged?</w:t>
      </w:r>
      <w:bookmarkEnd w:id="1037"/>
    </w:p>
    <w:p w14:paraId="001E4116" w14:textId="54EF817A" w:rsidR="00213D9D" w:rsidRPr="00CE0885" w:rsidRDefault="00213D9D" w:rsidP="005215BD">
      <w:pPr>
        <w:pStyle w:val="Heading3"/>
        <w:rPr>
          <w:lang w:eastAsia="en-GB"/>
        </w:rPr>
      </w:pPr>
      <w:bookmarkStart w:id="1038" w:name="_Toc440982906"/>
      <w:r w:rsidRPr="00CE0885">
        <w:rPr>
          <w:lang w:eastAsia="en-GB"/>
        </w:rPr>
        <w:t xml:space="preserve">have the local </w:t>
      </w:r>
      <w:r w:rsidR="00B83042">
        <w:rPr>
          <w:lang w:eastAsia="en-GB"/>
        </w:rPr>
        <w:t>CCGs/ICBs</w:t>
      </w:r>
      <w:r w:rsidR="008B199F">
        <w:rPr>
          <w:lang w:eastAsia="en-GB"/>
        </w:rPr>
        <w:t xml:space="preserve"> </w:t>
      </w:r>
      <w:r w:rsidRPr="00CE0885">
        <w:rPr>
          <w:lang w:eastAsia="en-GB"/>
        </w:rPr>
        <w:t>been engaged?</w:t>
      </w:r>
      <w:bookmarkEnd w:id="1038"/>
    </w:p>
    <w:p w14:paraId="23B396C7" w14:textId="106D8FE8" w:rsidR="00213D9D" w:rsidRPr="00CE0885" w:rsidRDefault="00213D9D" w:rsidP="005215BD">
      <w:pPr>
        <w:pStyle w:val="Heading3"/>
        <w:rPr>
          <w:lang w:eastAsia="en-GB"/>
        </w:rPr>
      </w:pPr>
      <w:bookmarkStart w:id="1039" w:name="_Toc440982907"/>
      <w:r w:rsidRPr="00CE0885">
        <w:rPr>
          <w:lang w:eastAsia="en-GB"/>
        </w:rPr>
        <w:t>If the answer is ‘no’ regarding any of the above, the Commissioner should be able to identify the grounds under which they felt engagement was unnecessary and these should be included in the report defined below.</w:t>
      </w:r>
      <w:bookmarkEnd w:id="1039"/>
      <w:r w:rsidRPr="00CE0885">
        <w:rPr>
          <w:lang w:eastAsia="en-GB"/>
        </w:rPr>
        <w:t xml:space="preserve"> </w:t>
      </w:r>
    </w:p>
    <w:p w14:paraId="3BAC0319" w14:textId="5F2E4CAE" w:rsidR="00213D9D" w:rsidRPr="00CE0885" w:rsidRDefault="00213D9D" w:rsidP="005215BD">
      <w:pPr>
        <w:pStyle w:val="Heading3"/>
        <w:rPr>
          <w:lang w:eastAsia="en-GB"/>
        </w:rPr>
      </w:pPr>
      <w:bookmarkStart w:id="1040" w:name="_Toc440982908"/>
      <w:r w:rsidRPr="00CE0885">
        <w:rPr>
          <w:lang w:eastAsia="en-GB"/>
        </w:rPr>
        <w:t>Completion of Stage 1</w:t>
      </w:r>
      <w:bookmarkEnd w:id="1040"/>
    </w:p>
    <w:p w14:paraId="50FF9DCA" w14:textId="697E39A2" w:rsidR="00213D9D" w:rsidRPr="00CE0885" w:rsidRDefault="00213D9D" w:rsidP="005215BD">
      <w:pPr>
        <w:pStyle w:val="Heading3"/>
        <w:rPr>
          <w:lang w:eastAsia="en-GB"/>
        </w:rPr>
      </w:pPr>
      <w:bookmarkStart w:id="1041" w:name="_Toc440982909"/>
      <w:r w:rsidRPr="00CE0885">
        <w:rPr>
          <w:lang w:eastAsia="en-GB"/>
        </w:rPr>
        <w:t>Completion of stage 1 will provide all the information required to enable the Commissioner to make an informed commissioning decision on whether to</w:t>
      </w:r>
      <w:r w:rsidR="004B44DF">
        <w:rPr>
          <w:lang w:eastAsia="en-GB"/>
        </w:rPr>
        <w:t>re</w:t>
      </w:r>
      <w:r w:rsidRPr="00CE0885">
        <w:rPr>
          <w:lang w:eastAsia="en-GB"/>
        </w:rPr>
        <w:t>commission, procure or allow the service to end. At this stage, the Commissioner should develop a detailed report</w:t>
      </w:r>
      <w:r w:rsidRPr="00CE0885">
        <w:rPr>
          <w:b/>
          <w:lang w:eastAsia="en-GB"/>
        </w:rPr>
        <w:t xml:space="preserve"> </w:t>
      </w:r>
      <w:r w:rsidRPr="00CE0885">
        <w:rPr>
          <w:lang w:eastAsia="en-GB"/>
        </w:rPr>
        <w:t>(a template is provided in Annex 3) about the investigations undertaken, engagement and outcomes. This report shall demonstrate that the Commissioner has considered all possible options and the rationale behind the decision taken.</w:t>
      </w:r>
      <w:bookmarkEnd w:id="1041"/>
    </w:p>
    <w:p w14:paraId="795521B3" w14:textId="77777777" w:rsidR="00213D9D" w:rsidRPr="009055A7" w:rsidRDefault="00213D9D" w:rsidP="005215BD">
      <w:pPr>
        <w:widowControl w:val="0"/>
        <w:spacing w:line="360" w:lineRule="auto"/>
        <w:jc w:val="both"/>
        <w:rPr>
          <w:rFonts w:cs="Arial"/>
          <w:bCs w:val="0"/>
          <w:sz w:val="20"/>
          <w:szCs w:val="20"/>
          <w:lang w:eastAsia="en-GB"/>
        </w:rPr>
      </w:pPr>
    </w:p>
    <w:p w14:paraId="51FACFA1" w14:textId="77777777" w:rsidR="00213D9D" w:rsidRPr="00CE0885" w:rsidRDefault="00213D9D" w:rsidP="005215BD">
      <w:pPr>
        <w:pStyle w:val="Heading2"/>
        <w:ind w:left="0" w:firstLine="0"/>
        <w:rPr>
          <w:lang w:eastAsia="en-GB"/>
        </w:rPr>
      </w:pPr>
      <w:bookmarkStart w:id="1042" w:name="_Toc440982910"/>
      <w:bookmarkStart w:id="1043" w:name="_Toc95743477"/>
      <w:r w:rsidRPr="00CE0885">
        <w:rPr>
          <w:lang w:eastAsia="en-GB"/>
        </w:rPr>
        <w:t>Stage 2 - 12 Months before Contract End</w:t>
      </w:r>
      <w:bookmarkEnd w:id="1042"/>
      <w:bookmarkEnd w:id="1043"/>
    </w:p>
    <w:p w14:paraId="1DFC3A38" w14:textId="2EBA4446" w:rsidR="00213D9D" w:rsidRPr="00CE0885" w:rsidRDefault="00213D9D" w:rsidP="005215BD">
      <w:pPr>
        <w:pStyle w:val="Heading3"/>
        <w:rPr>
          <w:lang w:eastAsia="en-GB"/>
        </w:rPr>
      </w:pPr>
      <w:bookmarkStart w:id="1044" w:name="_Toc440982911"/>
      <w:r w:rsidRPr="00CE0885">
        <w:rPr>
          <w:lang w:eastAsia="en-GB"/>
        </w:rPr>
        <w:t>Below are the potential next stages following stage 1 based upon the Commissioner's decision regarding the proposed way forward. It is important to note that where a contract has a duration or an end date specified, and the intention is to allow the contract to naturally expire, there is no requirement to issue a formal termination notice. It would be best practice to issue a formal letter of notice detailing the Commissioner’s intentions and the obligations on the contractor throughout the remainder of the contract period.</w:t>
      </w:r>
      <w:bookmarkEnd w:id="1044"/>
    </w:p>
    <w:p w14:paraId="2D691F9F" w14:textId="77777777" w:rsidR="005215BD" w:rsidRDefault="005215BD" w:rsidP="003331F2">
      <w:pPr>
        <w:pStyle w:val="BodyText"/>
      </w:pPr>
      <w:bookmarkStart w:id="1045" w:name="_Toc440982912"/>
    </w:p>
    <w:p w14:paraId="70522AF1" w14:textId="635308E2" w:rsidR="00213D9D" w:rsidRPr="00552572" w:rsidRDefault="00213D9D" w:rsidP="00552572">
      <w:pPr>
        <w:pStyle w:val="BodyText"/>
        <w:rPr>
          <w:b/>
          <w:sz w:val="24"/>
          <w:szCs w:val="24"/>
        </w:rPr>
      </w:pPr>
      <w:r w:rsidRPr="00552572">
        <w:rPr>
          <w:b/>
          <w:sz w:val="24"/>
          <w:szCs w:val="24"/>
        </w:rPr>
        <w:t>Notice period – exit plan</w:t>
      </w:r>
      <w:bookmarkEnd w:id="1045"/>
    </w:p>
    <w:p w14:paraId="1B464D06" w14:textId="77777777" w:rsidR="00213D9D" w:rsidRPr="00CE0885" w:rsidRDefault="00213D9D" w:rsidP="005215BD">
      <w:pPr>
        <w:pStyle w:val="Heading3"/>
        <w:rPr>
          <w:lang w:eastAsia="en-GB"/>
        </w:rPr>
      </w:pPr>
      <w:bookmarkStart w:id="1046" w:name="_Toc440982913"/>
      <w:r w:rsidRPr="00CE0885">
        <w:rPr>
          <w:lang w:eastAsia="en-GB"/>
        </w:rPr>
        <w:t>Issue a letter of notice of intentions.</w:t>
      </w:r>
      <w:bookmarkEnd w:id="1046"/>
    </w:p>
    <w:p w14:paraId="7305A130" w14:textId="4C5DEF48" w:rsidR="00213D9D" w:rsidRPr="00CE0885" w:rsidRDefault="00213D9D" w:rsidP="005215BD">
      <w:pPr>
        <w:pStyle w:val="Heading3"/>
        <w:rPr>
          <w:lang w:eastAsia="en-GB"/>
        </w:rPr>
      </w:pPr>
      <w:bookmarkStart w:id="1047" w:name="_Toc440982914"/>
      <w:r w:rsidRPr="00CE0885">
        <w:rPr>
          <w:lang w:eastAsia="en-GB"/>
        </w:rPr>
        <w:t>Develop an exit plan (a template is provided in Annex 4) with the contractor with clearly defined Commissioner/contractor responsibilities. This should be developed whether the contract is to cease or transfer to a new provider. Commissioner should review the contract and ensure any exit arrangements detailed in the contract are followed.</w:t>
      </w:r>
      <w:bookmarkEnd w:id="1047"/>
      <w:r w:rsidRPr="00CE0885">
        <w:rPr>
          <w:lang w:eastAsia="en-GB"/>
        </w:rPr>
        <w:t xml:space="preserve"> </w:t>
      </w:r>
    </w:p>
    <w:p w14:paraId="3A05AF9D" w14:textId="41943259" w:rsidR="00213D9D" w:rsidRPr="00CE0885" w:rsidRDefault="00213D9D" w:rsidP="005215BD">
      <w:pPr>
        <w:pStyle w:val="Heading3"/>
        <w:rPr>
          <w:lang w:eastAsia="en-GB"/>
        </w:rPr>
      </w:pPr>
      <w:bookmarkStart w:id="1048" w:name="_Toc440982915"/>
      <w:r w:rsidRPr="00CE0885">
        <w:rPr>
          <w:lang w:eastAsia="en-GB"/>
        </w:rPr>
        <w:t>Procurement</w:t>
      </w:r>
      <w:bookmarkEnd w:id="1048"/>
    </w:p>
    <w:p w14:paraId="072EF993" w14:textId="2EC6E543" w:rsidR="00213D9D" w:rsidRPr="00CE0885" w:rsidRDefault="00213D9D" w:rsidP="005215BD">
      <w:pPr>
        <w:pStyle w:val="Heading3"/>
        <w:rPr>
          <w:lang w:eastAsia="en-GB"/>
        </w:rPr>
      </w:pPr>
      <w:bookmarkStart w:id="1049" w:name="_Toc440982916"/>
      <w:r w:rsidRPr="00CE0885">
        <w:rPr>
          <w:lang w:eastAsia="en-GB"/>
        </w:rPr>
        <w:t xml:space="preserve">Ensure any new contract is procured in accordance with procurement law. </w:t>
      </w:r>
      <w:r w:rsidR="004B44DF">
        <w:rPr>
          <w:lang w:eastAsia="en-GB"/>
        </w:rPr>
        <w:t>C</w:t>
      </w:r>
      <w:r w:rsidRPr="00CE0885">
        <w:rPr>
          <w:lang w:eastAsia="en-GB"/>
        </w:rPr>
        <w:t>ommissioners must also act in accordance with any procurement protocol issued by NHS England.</w:t>
      </w:r>
      <w:bookmarkEnd w:id="1049"/>
    </w:p>
    <w:p w14:paraId="30292038" w14:textId="59869B06" w:rsidR="00213D9D" w:rsidRPr="00CE0885" w:rsidRDefault="00213D9D" w:rsidP="005215BD">
      <w:pPr>
        <w:pStyle w:val="Heading3"/>
        <w:rPr>
          <w:lang w:eastAsia="en-GB"/>
        </w:rPr>
      </w:pPr>
      <w:bookmarkStart w:id="1050" w:name="_Toc440982917"/>
      <w:r w:rsidRPr="00CE0885">
        <w:rPr>
          <w:lang w:eastAsia="en-GB"/>
        </w:rPr>
        <w:t>Once a preferred provider is established, agree an operational management plan (a template is provided in Annex 5 – this template should only be used where the contract does not contain exit arrangements as any such arrangements take precedence over the template).</w:t>
      </w:r>
      <w:bookmarkEnd w:id="1050"/>
    </w:p>
    <w:p w14:paraId="34C5D771" w14:textId="698149EF" w:rsidR="00213D9D" w:rsidRPr="00CE0885" w:rsidRDefault="00213D9D" w:rsidP="005215BD">
      <w:pPr>
        <w:pStyle w:val="Heading3"/>
        <w:rPr>
          <w:lang w:eastAsia="en-GB"/>
        </w:rPr>
      </w:pPr>
      <w:bookmarkStart w:id="1051" w:name="_Toc440982918"/>
      <w:r w:rsidRPr="00CE0885">
        <w:rPr>
          <w:lang w:eastAsia="en-GB"/>
        </w:rPr>
        <w:t>Begin negotiations for continuation of the contract with the existing contractor, if appropriate.</w:t>
      </w:r>
      <w:bookmarkEnd w:id="1051"/>
    </w:p>
    <w:p w14:paraId="24E6CE63" w14:textId="7EEA162D" w:rsidR="00213D9D" w:rsidRPr="00CE0885" w:rsidRDefault="00213D9D" w:rsidP="005215BD">
      <w:pPr>
        <w:pStyle w:val="Heading3"/>
        <w:rPr>
          <w:lang w:eastAsia="en-GB"/>
        </w:rPr>
      </w:pPr>
      <w:bookmarkStart w:id="1052" w:name="_Toc440982919"/>
      <w:r w:rsidRPr="00CE0885">
        <w:rPr>
          <w:lang w:eastAsia="en-GB"/>
        </w:rPr>
        <w:t>Extending any contract beyond a previously agreed end date could be considered a material change to the terms of that contract which could lead to a procurement challenge.</w:t>
      </w:r>
      <w:bookmarkEnd w:id="1052"/>
    </w:p>
    <w:p w14:paraId="4588789E" w14:textId="64B6E022" w:rsidR="00213D9D" w:rsidRPr="00CE0885" w:rsidRDefault="00213D9D" w:rsidP="005215BD">
      <w:pPr>
        <w:pStyle w:val="Heading3"/>
        <w:rPr>
          <w:lang w:eastAsia="en-GB"/>
        </w:rPr>
      </w:pPr>
      <w:bookmarkStart w:id="1053" w:name="_Toc440982920"/>
      <w:r w:rsidRPr="00CE0885">
        <w:rPr>
          <w:lang w:eastAsia="en-GB"/>
        </w:rPr>
        <w:t>If there is no extension period already included in the contract, the Commissioner will need to consider carefully whether such an extension should instead be subject to a full procurement process to ensure best value and mitigate the risk of challenge from previous and/or potential alternative service providers. If the Commissioner's decision is that no procurement process is necessary then it must ensure it is aware of the necessary steps which must be taken to satisfy procurement law and any procurement protocol issued by NHS England.</w:t>
      </w:r>
      <w:bookmarkEnd w:id="1053"/>
    </w:p>
    <w:p w14:paraId="1F881845" w14:textId="2DE37FF7" w:rsidR="00213D9D" w:rsidRPr="00CE0885" w:rsidRDefault="00213D9D" w:rsidP="005215BD">
      <w:pPr>
        <w:pStyle w:val="Heading3"/>
        <w:rPr>
          <w:lang w:eastAsia="en-GB"/>
        </w:rPr>
      </w:pPr>
      <w:bookmarkStart w:id="1054" w:name="_Toc440982921"/>
      <w:r w:rsidRPr="00CE0885">
        <w:rPr>
          <w:lang w:eastAsia="en-GB"/>
        </w:rPr>
        <w:t>Once the decision to extend has been reached and all correct processes have been followed the Commissioner will need to consider:</w:t>
      </w:r>
      <w:bookmarkEnd w:id="1054"/>
    </w:p>
    <w:p w14:paraId="4317E4DC" w14:textId="6373B9A8" w:rsidR="00213D9D" w:rsidRPr="00A553BA" w:rsidRDefault="00213D9D" w:rsidP="006C3DF5">
      <w:pPr>
        <w:pStyle w:val="ListParagraph"/>
        <w:numPr>
          <w:ilvl w:val="0"/>
          <w:numId w:val="122"/>
        </w:numPr>
        <w:spacing w:before="120" w:after="120" w:line="360" w:lineRule="auto"/>
        <w:ind w:left="714" w:hanging="357"/>
      </w:pPr>
      <w:bookmarkStart w:id="1055" w:name="_Toc440982922"/>
      <w:r w:rsidRPr="00A553BA">
        <w:t xml:space="preserve">the length of </w:t>
      </w:r>
      <w:r w:rsidR="004B44DF">
        <w:t xml:space="preserve">the </w:t>
      </w:r>
      <w:r w:rsidRPr="00A553BA">
        <w:t>extension;</w:t>
      </w:r>
      <w:bookmarkEnd w:id="1055"/>
    </w:p>
    <w:p w14:paraId="06B3A4F1" w14:textId="77777777" w:rsidR="00213D9D" w:rsidRPr="00A553BA" w:rsidRDefault="00213D9D" w:rsidP="006C3DF5">
      <w:pPr>
        <w:pStyle w:val="ListParagraph"/>
        <w:numPr>
          <w:ilvl w:val="0"/>
          <w:numId w:val="122"/>
        </w:numPr>
        <w:spacing w:before="120" w:after="120" w:line="360" w:lineRule="auto"/>
        <w:ind w:left="714" w:hanging="357"/>
      </w:pPr>
      <w:bookmarkStart w:id="1056" w:name="_Toc440982923"/>
      <w:r w:rsidRPr="00A553BA">
        <w:t>any alterations to the existing contract (including the financial arrangements); and</w:t>
      </w:r>
      <w:bookmarkEnd w:id="1056"/>
    </w:p>
    <w:p w14:paraId="34CB5CEF" w14:textId="77777777" w:rsidR="00213D9D" w:rsidRPr="00A553BA" w:rsidRDefault="00213D9D" w:rsidP="006C3DF5">
      <w:pPr>
        <w:pStyle w:val="ListParagraph"/>
        <w:numPr>
          <w:ilvl w:val="0"/>
          <w:numId w:val="122"/>
        </w:numPr>
        <w:spacing w:before="120" w:after="120" w:line="360" w:lineRule="auto"/>
        <w:ind w:left="714" w:hanging="357"/>
      </w:pPr>
      <w:bookmarkStart w:id="1057" w:name="_Toc440982924"/>
      <w:r w:rsidRPr="00A553BA">
        <w:t>any agreement of new key performance indicators.</w:t>
      </w:r>
      <w:bookmarkEnd w:id="1057"/>
    </w:p>
    <w:p w14:paraId="78B91D2E" w14:textId="77777777" w:rsidR="00213D9D" w:rsidRPr="0008784C" w:rsidRDefault="00213D9D" w:rsidP="0008784C">
      <w:pPr>
        <w:pStyle w:val="BodyText"/>
        <w:rPr>
          <w:b/>
          <w:sz w:val="24"/>
          <w:szCs w:val="24"/>
        </w:rPr>
      </w:pPr>
      <w:bookmarkStart w:id="1058" w:name="_Toc440982925"/>
      <w:r w:rsidRPr="0008784C">
        <w:rPr>
          <w:b/>
          <w:sz w:val="24"/>
          <w:szCs w:val="24"/>
        </w:rPr>
        <w:t>Completion of stage 2</w:t>
      </w:r>
      <w:bookmarkEnd w:id="1058"/>
    </w:p>
    <w:p w14:paraId="70A15E2D" w14:textId="77777777" w:rsidR="00213D9D" w:rsidRPr="00CE0885" w:rsidRDefault="00213D9D" w:rsidP="005215BD">
      <w:pPr>
        <w:pStyle w:val="Heading3"/>
        <w:rPr>
          <w:lang w:eastAsia="en-GB"/>
        </w:rPr>
      </w:pPr>
      <w:bookmarkStart w:id="1059" w:name="_Toc440982926"/>
      <w:r w:rsidRPr="00CE0885">
        <w:rPr>
          <w:lang w:eastAsia="en-GB"/>
        </w:rPr>
        <w:t>Completion of stage 2 will provide the Commissioner with the firm foundations and detailed preparations ready to manage the end of the contract.</w:t>
      </w:r>
      <w:bookmarkEnd w:id="1059"/>
    </w:p>
    <w:p w14:paraId="79A6D6E9" w14:textId="04B7BD2E" w:rsidR="00213D9D" w:rsidRDefault="00213D9D" w:rsidP="005215BD">
      <w:pPr>
        <w:widowControl w:val="0"/>
        <w:spacing w:line="360" w:lineRule="auto"/>
        <w:jc w:val="both"/>
        <w:rPr>
          <w:rFonts w:cs="Arial"/>
          <w:bCs w:val="0"/>
          <w:sz w:val="20"/>
          <w:szCs w:val="20"/>
          <w:lang w:eastAsia="en-GB"/>
        </w:rPr>
      </w:pPr>
    </w:p>
    <w:p w14:paraId="17E13760" w14:textId="77777777" w:rsidR="000F51C7" w:rsidRPr="009055A7" w:rsidRDefault="000F51C7" w:rsidP="005215BD">
      <w:pPr>
        <w:widowControl w:val="0"/>
        <w:spacing w:line="360" w:lineRule="auto"/>
        <w:jc w:val="both"/>
        <w:rPr>
          <w:rFonts w:cs="Arial"/>
          <w:bCs w:val="0"/>
          <w:sz w:val="20"/>
          <w:szCs w:val="20"/>
          <w:lang w:eastAsia="en-GB"/>
        </w:rPr>
      </w:pPr>
    </w:p>
    <w:p w14:paraId="108F9E83" w14:textId="77777777" w:rsidR="00213D9D" w:rsidRPr="00CE0885" w:rsidRDefault="00213D9D" w:rsidP="005215BD">
      <w:pPr>
        <w:pStyle w:val="Heading2"/>
        <w:ind w:left="0" w:firstLine="0"/>
        <w:rPr>
          <w:lang w:eastAsia="en-GB"/>
        </w:rPr>
      </w:pPr>
      <w:bookmarkStart w:id="1060" w:name="_Toc440982927"/>
      <w:bookmarkStart w:id="1061" w:name="_Toc95743478"/>
      <w:r w:rsidRPr="00CE0885">
        <w:rPr>
          <w:lang w:eastAsia="en-GB"/>
        </w:rPr>
        <w:t>Stage 3 – At Contract End</w:t>
      </w:r>
      <w:bookmarkEnd w:id="1060"/>
      <w:bookmarkEnd w:id="1061"/>
    </w:p>
    <w:p w14:paraId="70C0B06C" w14:textId="5E704832" w:rsidR="00213D9D" w:rsidRPr="00CE0885" w:rsidRDefault="00213D9D" w:rsidP="005215BD">
      <w:pPr>
        <w:pStyle w:val="Heading3"/>
        <w:rPr>
          <w:lang w:eastAsia="en-GB"/>
        </w:rPr>
      </w:pPr>
      <w:bookmarkStart w:id="1062" w:name="_Toc440982928"/>
      <w:r w:rsidRPr="00CE0885">
        <w:rPr>
          <w:lang w:eastAsia="en-GB"/>
        </w:rPr>
        <w:t>Below are the possible outcomes culminating from stages 1 and 2.</w:t>
      </w:r>
      <w:bookmarkEnd w:id="1062"/>
    </w:p>
    <w:p w14:paraId="2B3D1F37" w14:textId="0CC7D73A" w:rsidR="00213D9D" w:rsidRPr="00CE0885" w:rsidRDefault="00213D9D" w:rsidP="005215BD">
      <w:pPr>
        <w:pStyle w:val="Heading3"/>
        <w:rPr>
          <w:lang w:eastAsia="en-GB"/>
        </w:rPr>
      </w:pPr>
      <w:bookmarkStart w:id="1063" w:name="_Toc440982929"/>
      <w:r w:rsidRPr="00CE0885">
        <w:rPr>
          <w:lang w:eastAsia="en-GB"/>
        </w:rPr>
        <w:t>Contract end</w:t>
      </w:r>
      <w:bookmarkEnd w:id="1063"/>
    </w:p>
    <w:p w14:paraId="62E33DBF" w14:textId="7EEDF330" w:rsidR="00213D9D" w:rsidRPr="00CE0885" w:rsidRDefault="00213D9D" w:rsidP="005215BD">
      <w:pPr>
        <w:pStyle w:val="Heading3"/>
        <w:rPr>
          <w:lang w:eastAsia="en-GB"/>
        </w:rPr>
      </w:pPr>
      <w:bookmarkStart w:id="1064" w:name="_Toc440982930"/>
      <w:r w:rsidRPr="00CE0885">
        <w:rPr>
          <w:lang w:eastAsia="en-GB"/>
        </w:rPr>
        <w:t>Service ceases.</w:t>
      </w:r>
      <w:bookmarkEnd w:id="1064"/>
    </w:p>
    <w:p w14:paraId="42C4AE24" w14:textId="503C88E5" w:rsidR="00213D9D" w:rsidRPr="00CE0885" w:rsidRDefault="00213D9D" w:rsidP="005215BD">
      <w:pPr>
        <w:pStyle w:val="Heading3"/>
        <w:rPr>
          <w:lang w:eastAsia="en-GB"/>
        </w:rPr>
      </w:pPr>
      <w:bookmarkStart w:id="1065" w:name="_Toc440982931"/>
      <w:r w:rsidRPr="00CE0885">
        <w:rPr>
          <w:lang w:eastAsia="en-GB"/>
        </w:rPr>
        <w:t xml:space="preserve">Dispersal of list if applicable (please refer to comments on managing patient lists in the termination section of the </w:t>
      </w:r>
      <w:r w:rsidR="00CF37FA">
        <w:rPr>
          <w:lang w:eastAsia="en-GB"/>
        </w:rPr>
        <w:t xml:space="preserve">chapter </w:t>
      </w:r>
      <w:r w:rsidRPr="00CE0885">
        <w:rPr>
          <w:lang w:eastAsia="en-GB"/>
        </w:rPr>
        <w:t>on contract breaches</w:t>
      </w:r>
      <w:r w:rsidR="00CF37FA">
        <w:rPr>
          <w:lang w:eastAsia="en-GB"/>
        </w:rPr>
        <w:t>, sanctions</w:t>
      </w:r>
      <w:r w:rsidRPr="00CE0885">
        <w:rPr>
          <w:lang w:eastAsia="en-GB"/>
        </w:rPr>
        <w:t xml:space="preserve"> and termination</w:t>
      </w:r>
      <w:r w:rsidR="00CF37FA">
        <w:rPr>
          <w:lang w:eastAsia="en-GB"/>
        </w:rPr>
        <w:t>s</w:t>
      </w:r>
      <w:r w:rsidR="001B14F9">
        <w:rPr>
          <w:lang w:eastAsia="en-GB"/>
        </w:rPr>
        <w:t xml:space="preserve"> and </w:t>
      </w:r>
      <w:bookmarkEnd w:id="1065"/>
      <w:r w:rsidR="001B14F9">
        <w:rPr>
          <w:lang w:eastAsia="en-GB"/>
        </w:rPr>
        <w:t xml:space="preserve">section 2.5 of the unplanned closures chapter regarding orphan </w:t>
      </w:r>
      <w:r w:rsidR="00F6537D">
        <w:rPr>
          <w:lang w:eastAsia="en-GB"/>
        </w:rPr>
        <w:t>data</w:t>
      </w:r>
      <w:r w:rsidR="001B14F9">
        <w:rPr>
          <w:lang w:eastAsia="en-GB"/>
        </w:rPr>
        <w:t>.</w:t>
      </w:r>
    </w:p>
    <w:p w14:paraId="0E59682F" w14:textId="7682EBBA" w:rsidR="00213D9D" w:rsidRPr="00CE0885" w:rsidRDefault="00213D9D" w:rsidP="005215BD">
      <w:pPr>
        <w:pStyle w:val="Heading3"/>
        <w:rPr>
          <w:lang w:eastAsia="en-GB"/>
        </w:rPr>
      </w:pPr>
      <w:bookmarkStart w:id="1066" w:name="_Toc440982932"/>
      <w:r w:rsidRPr="00CE0885">
        <w:rPr>
          <w:lang w:eastAsia="en-GB"/>
        </w:rPr>
        <w:t>Communication to be sent out to all those parties involved e.g. management of patient communication working with provider, management of the press, notification of contract end to relevant stakeholders.</w:t>
      </w:r>
      <w:bookmarkEnd w:id="1066"/>
    </w:p>
    <w:p w14:paraId="16FE8308" w14:textId="19F239C7" w:rsidR="00213D9D" w:rsidRPr="00CE0885" w:rsidRDefault="00213D9D" w:rsidP="005215BD">
      <w:pPr>
        <w:pStyle w:val="Heading3"/>
        <w:rPr>
          <w:lang w:eastAsia="en-GB"/>
        </w:rPr>
      </w:pPr>
      <w:bookmarkStart w:id="1067" w:name="_Toc440982933"/>
      <w:r w:rsidRPr="00CE0885">
        <w:rPr>
          <w:lang w:eastAsia="en-GB"/>
        </w:rPr>
        <w:t>Variation to contract – extension</w:t>
      </w:r>
      <w:bookmarkEnd w:id="1067"/>
    </w:p>
    <w:p w14:paraId="3CF586F9" w14:textId="77FE796D" w:rsidR="00213D9D" w:rsidRPr="00CE0885" w:rsidRDefault="00213D9D" w:rsidP="005215BD">
      <w:pPr>
        <w:pStyle w:val="Heading3"/>
        <w:rPr>
          <w:lang w:eastAsia="en-GB"/>
        </w:rPr>
      </w:pPr>
      <w:bookmarkStart w:id="1068" w:name="_Toc440982934"/>
      <w:r w:rsidRPr="00CE0885">
        <w:rPr>
          <w:lang w:eastAsia="en-GB"/>
        </w:rPr>
        <w:t>Contract variation issued and signed off by both parties.</w:t>
      </w:r>
      <w:bookmarkEnd w:id="1068"/>
    </w:p>
    <w:p w14:paraId="3247D9B9" w14:textId="086D1C40" w:rsidR="00213D9D" w:rsidRPr="00CE0885" w:rsidRDefault="00213D9D" w:rsidP="005215BD">
      <w:pPr>
        <w:pStyle w:val="Heading3"/>
        <w:rPr>
          <w:lang w:eastAsia="en-GB"/>
        </w:rPr>
      </w:pPr>
      <w:bookmarkStart w:id="1069" w:name="_Toc440982935"/>
      <w:r w:rsidRPr="00CE0885">
        <w:rPr>
          <w:lang w:eastAsia="en-GB"/>
        </w:rPr>
        <w:t xml:space="preserve">Commencement of </w:t>
      </w:r>
      <w:r w:rsidR="004B44DF">
        <w:rPr>
          <w:lang w:eastAsia="en-GB"/>
        </w:rPr>
        <w:t xml:space="preserve">the </w:t>
      </w:r>
      <w:r w:rsidRPr="00CE0885">
        <w:rPr>
          <w:lang w:eastAsia="en-GB"/>
        </w:rPr>
        <w:t>new provider</w:t>
      </w:r>
      <w:bookmarkEnd w:id="1069"/>
    </w:p>
    <w:p w14:paraId="09784AD4" w14:textId="2DEC9DDB" w:rsidR="00213D9D" w:rsidRPr="00CE0885" w:rsidRDefault="00213D9D" w:rsidP="005215BD">
      <w:pPr>
        <w:pStyle w:val="Heading3"/>
        <w:rPr>
          <w:lang w:eastAsia="en-GB"/>
        </w:rPr>
      </w:pPr>
      <w:bookmarkStart w:id="1070" w:name="_Toc440982936"/>
      <w:r w:rsidRPr="00CE0885">
        <w:rPr>
          <w:lang w:eastAsia="en-GB"/>
        </w:rPr>
        <w:t xml:space="preserve">Issue of </w:t>
      </w:r>
      <w:r w:rsidR="004B44DF">
        <w:rPr>
          <w:lang w:eastAsia="en-GB"/>
        </w:rPr>
        <w:t xml:space="preserve">a </w:t>
      </w:r>
      <w:r w:rsidRPr="00CE0885">
        <w:rPr>
          <w:lang w:eastAsia="en-GB"/>
        </w:rPr>
        <w:t>new contract.</w:t>
      </w:r>
      <w:bookmarkEnd w:id="1070"/>
    </w:p>
    <w:p w14:paraId="66DB5877" w14:textId="083DEAAC" w:rsidR="00213D9D" w:rsidRPr="00CE0885" w:rsidRDefault="00213D9D" w:rsidP="005215BD">
      <w:pPr>
        <w:pStyle w:val="Heading3"/>
        <w:rPr>
          <w:lang w:eastAsia="en-GB"/>
        </w:rPr>
      </w:pPr>
      <w:bookmarkStart w:id="1071" w:name="_Toc440982937"/>
      <w:r w:rsidRPr="00CE0885">
        <w:rPr>
          <w:lang w:eastAsia="en-GB"/>
        </w:rPr>
        <w:t>Operational management plan implemented.</w:t>
      </w:r>
      <w:bookmarkEnd w:id="1071"/>
    </w:p>
    <w:p w14:paraId="07DDC8F1" w14:textId="7A601D13" w:rsidR="00213D9D" w:rsidRPr="00CE0885" w:rsidRDefault="00213D9D" w:rsidP="005215BD">
      <w:pPr>
        <w:pStyle w:val="Heading3"/>
        <w:rPr>
          <w:lang w:eastAsia="en-GB"/>
        </w:rPr>
      </w:pPr>
      <w:bookmarkStart w:id="1072" w:name="_Toc440982938"/>
      <w:r w:rsidRPr="00CE0885">
        <w:rPr>
          <w:lang w:eastAsia="en-GB"/>
        </w:rPr>
        <w:t>Relevant communications undertaken, internally and externally.</w:t>
      </w:r>
      <w:bookmarkEnd w:id="1072"/>
    </w:p>
    <w:p w14:paraId="627274C1" w14:textId="4137A61A" w:rsidR="00213D9D" w:rsidRDefault="00213D9D" w:rsidP="005215BD">
      <w:pPr>
        <w:pStyle w:val="Heading3"/>
        <w:rPr>
          <w:lang w:eastAsia="en-GB"/>
        </w:rPr>
      </w:pPr>
      <w:bookmarkStart w:id="1073" w:name="_Toc440982939"/>
      <w:r w:rsidRPr="00CE0885">
        <w:rPr>
          <w:lang w:eastAsia="en-GB"/>
        </w:rPr>
        <w:t>On completion of stage 3, the Commissioner will have reached an agreed, structured outcome about the management of contract end.</w:t>
      </w:r>
      <w:bookmarkEnd w:id="1073"/>
    </w:p>
    <w:p w14:paraId="2B3E678C" w14:textId="77777777" w:rsidR="008F1F5D" w:rsidRDefault="002B7ABC" w:rsidP="008F1F5D">
      <w:pPr>
        <w:pStyle w:val="Heading3"/>
        <w:rPr>
          <w:lang w:eastAsia="en-GB"/>
        </w:rPr>
      </w:pPr>
      <w:r w:rsidRPr="00A314CB">
        <w:rPr>
          <w:lang w:eastAsia="en-GB"/>
        </w:rPr>
        <w:t xml:space="preserve">As part of any practice close down, </w:t>
      </w:r>
      <w:r>
        <w:rPr>
          <w:lang w:eastAsia="en-GB"/>
        </w:rPr>
        <w:t xml:space="preserve">PCSE </w:t>
      </w:r>
      <w:r w:rsidRPr="00A314CB">
        <w:rPr>
          <w:lang w:eastAsia="en-GB"/>
        </w:rPr>
        <w:t>make</w:t>
      </w:r>
      <w:r w:rsidR="000B6FA5">
        <w:rPr>
          <w:lang w:eastAsia="en-GB"/>
        </w:rPr>
        <w:t>s</w:t>
      </w:r>
      <w:r w:rsidRPr="00A314CB">
        <w:rPr>
          <w:lang w:eastAsia="en-GB"/>
        </w:rPr>
        <w:t xml:space="preserve"> a site visit to remove, store and forward patient records to a new provider(s).  </w:t>
      </w:r>
      <w:r w:rsidR="002025D6" w:rsidRPr="002025D6">
        <w:rPr>
          <w:lang w:eastAsia="en-GB"/>
        </w:rPr>
        <w:t>Patient records should contain reprints of electronic records for patients who have not re-registered at the point of practice closure and will need to be indi</w:t>
      </w:r>
      <w:r w:rsidR="000B6FA5">
        <w:rPr>
          <w:lang w:eastAsia="en-GB"/>
        </w:rPr>
        <w:t>vi</w:t>
      </w:r>
      <w:r w:rsidR="002025D6" w:rsidRPr="002025D6">
        <w:rPr>
          <w:lang w:eastAsia="en-GB"/>
        </w:rPr>
        <w:t>dually placed in transit poly</w:t>
      </w:r>
      <w:r w:rsidR="000B6FA5">
        <w:rPr>
          <w:lang w:eastAsia="en-GB"/>
        </w:rPr>
        <w:t>t</w:t>
      </w:r>
      <w:r w:rsidR="002025D6" w:rsidRPr="002025D6">
        <w:rPr>
          <w:lang w:eastAsia="en-GB"/>
        </w:rPr>
        <w:t>opes. Records will only be collected from the closing practice site.</w:t>
      </w:r>
      <w:r w:rsidR="002025D6">
        <w:rPr>
          <w:lang w:eastAsia="en-GB"/>
        </w:rPr>
        <w:t xml:space="preserve">  </w:t>
      </w:r>
      <w:r w:rsidRPr="00A314CB">
        <w:rPr>
          <w:lang w:eastAsia="en-GB"/>
        </w:rPr>
        <w:t>Records are held in archive until the patient re-registers or the retention period expires and they are securely destroyed.</w:t>
      </w:r>
    </w:p>
    <w:p w14:paraId="16923239" w14:textId="27529B84" w:rsidR="008F1F5D" w:rsidRPr="000A289C" w:rsidRDefault="008F1F5D" w:rsidP="006A438E">
      <w:pPr>
        <w:pStyle w:val="Heading3"/>
        <w:rPr>
          <w:highlight w:val="yellow"/>
          <w:lang w:eastAsia="en-GB"/>
        </w:rPr>
      </w:pPr>
      <w:r w:rsidRPr="000A289C">
        <w:rPr>
          <w:highlight w:val="yellow"/>
          <w:lang w:eastAsia="en-GB"/>
        </w:rPr>
        <w:t xml:space="preserve">Commissioner should ensure that the dispersal of </w:t>
      </w:r>
      <w:r w:rsidR="001D21B4" w:rsidRPr="000A289C">
        <w:rPr>
          <w:highlight w:val="yellow"/>
          <w:u w:val="single"/>
          <w:lang w:eastAsia="en-GB"/>
        </w:rPr>
        <w:t>all</w:t>
      </w:r>
      <w:r w:rsidR="001D21B4" w:rsidRPr="000A289C">
        <w:rPr>
          <w:highlight w:val="yellow"/>
          <w:lang w:eastAsia="en-GB"/>
        </w:rPr>
        <w:t xml:space="preserve"> </w:t>
      </w:r>
      <w:r w:rsidR="00D128D0" w:rsidRPr="000A289C">
        <w:rPr>
          <w:highlight w:val="yellow"/>
          <w:lang w:eastAsia="en-GB"/>
        </w:rPr>
        <w:t xml:space="preserve">registered </w:t>
      </w:r>
      <w:r w:rsidRPr="000A289C">
        <w:rPr>
          <w:highlight w:val="yellow"/>
          <w:lang w:eastAsia="en-GB"/>
        </w:rPr>
        <w:t xml:space="preserve">patients from the closed practice should </w:t>
      </w:r>
      <w:r w:rsidR="00875A52" w:rsidRPr="000A289C">
        <w:rPr>
          <w:highlight w:val="yellow"/>
          <w:lang w:eastAsia="en-GB"/>
        </w:rPr>
        <w:t xml:space="preserve">be completed </w:t>
      </w:r>
      <w:r w:rsidR="00576D3B" w:rsidRPr="000A289C">
        <w:rPr>
          <w:highlight w:val="yellow"/>
          <w:lang w:eastAsia="en-GB"/>
        </w:rPr>
        <w:t>immediately following the contract end date and</w:t>
      </w:r>
      <w:r w:rsidR="00D128D0" w:rsidRPr="005C251F">
        <w:rPr>
          <w:highlight w:val="yellow"/>
          <w:lang w:eastAsia="en-GB"/>
        </w:rPr>
        <w:t xml:space="preserve"> </w:t>
      </w:r>
      <w:r w:rsidR="00AC2572" w:rsidRPr="005C251F">
        <w:rPr>
          <w:highlight w:val="yellow"/>
          <w:lang w:eastAsia="en-GB"/>
        </w:rPr>
        <w:t xml:space="preserve">within </w:t>
      </w:r>
      <w:r w:rsidRPr="00A23A8B">
        <w:rPr>
          <w:highlight w:val="yellow"/>
          <w:lang w:eastAsia="en-GB"/>
        </w:rPr>
        <w:t>six</w:t>
      </w:r>
      <w:r w:rsidRPr="00D76383">
        <w:rPr>
          <w:highlight w:val="yellow"/>
          <w:lang w:eastAsia="en-GB"/>
        </w:rPr>
        <w:t xml:space="preserve"> months a</w:t>
      </w:r>
      <w:r w:rsidR="00D128D0" w:rsidRPr="00D76383">
        <w:rPr>
          <w:highlight w:val="yellow"/>
          <w:lang w:eastAsia="en-GB"/>
        </w:rPr>
        <w:t>t the very latest</w:t>
      </w:r>
      <w:r w:rsidR="000221D4" w:rsidRPr="00D76383">
        <w:rPr>
          <w:highlight w:val="yellow"/>
          <w:lang w:eastAsia="en-GB"/>
        </w:rPr>
        <w:t>.</w:t>
      </w:r>
      <w:r w:rsidR="009716DE" w:rsidRPr="00D76383">
        <w:rPr>
          <w:highlight w:val="yellow"/>
          <w:lang w:eastAsia="en-GB"/>
        </w:rPr>
        <w:t>, including reconciling any</w:t>
      </w:r>
      <w:r w:rsidR="000221D4" w:rsidRPr="00D11C3D">
        <w:rPr>
          <w:highlight w:val="yellow"/>
          <w:lang w:eastAsia="en-GB"/>
        </w:rPr>
        <w:t xml:space="preserve"> patients who may have chosen not to re</w:t>
      </w:r>
      <w:r w:rsidR="000221D4" w:rsidRPr="000A289C">
        <w:rPr>
          <w:highlight w:val="yellow"/>
          <w:lang w:eastAsia="en-GB"/>
        </w:rPr>
        <w:t xml:space="preserve">-register, </w:t>
      </w:r>
      <w:r w:rsidR="009716DE" w:rsidRPr="000A289C">
        <w:rPr>
          <w:highlight w:val="yellow"/>
          <w:lang w:eastAsia="en-GB"/>
        </w:rPr>
        <w:t>ghost patients etc</w:t>
      </w:r>
      <w:r w:rsidR="00D128D0" w:rsidRPr="000A289C">
        <w:rPr>
          <w:highlight w:val="yellow"/>
          <w:lang w:eastAsia="en-GB"/>
        </w:rPr>
        <w:t>.</w:t>
      </w:r>
      <w:r w:rsidRPr="000A289C">
        <w:rPr>
          <w:highlight w:val="yellow"/>
          <w:lang w:eastAsia="en-GB"/>
        </w:rPr>
        <w:t xml:space="preserve"> </w:t>
      </w:r>
    </w:p>
    <w:p w14:paraId="602F6DBF" w14:textId="77777777" w:rsidR="008F1F5D" w:rsidRPr="008F1F5D" w:rsidRDefault="008F1F5D" w:rsidP="006A438E">
      <w:pPr>
        <w:rPr>
          <w:lang w:eastAsia="en-GB"/>
        </w:rPr>
      </w:pPr>
    </w:p>
    <w:p w14:paraId="70DB85B1" w14:textId="30A4CAFE" w:rsidR="00EC1256" w:rsidRDefault="00EC1256" w:rsidP="00EC1256">
      <w:pPr>
        <w:rPr>
          <w:lang w:eastAsia="en-GB"/>
        </w:rPr>
      </w:pPr>
    </w:p>
    <w:p w14:paraId="16101F11" w14:textId="77777777" w:rsidR="00CF7BB1" w:rsidRPr="00CF7BB1" w:rsidRDefault="00CF7BB1" w:rsidP="00FB14EE">
      <w:pPr>
        <w:pStyle w:val="Heading3"/>
        <w:numPr>
          <w:ilvl w:val="0"/>
          <w:numId w:val="0"/>
        </w:numPr>
        <w:rPr>
          <w:lang w:eastAsia="en-GB"/>
        </w:rPr>
      </w:pPr>
    </w:p>
    <w:p w14:paraId="65B1D0B1" w14:textId="77777777" w:rsidR="00CF7BB1" w:rsidRPr="00FB14EE" w:rsidRDefault="00CF7BB1" w:rsidP="00B6353E">
      <w:pPr>
        <w:pStyle w:val="Heading2"/>
        <w:ind w:left="0" w:firstLine="0"/>
        <w:rPr>
          <w:lang w:eastAsia="en-GB"/>
        </w:rPr>
      </w:pPr>
      <w:bookmarkStart w:id="1074" w:name="_Toc95743479"/>
      <w:bookmarkStart w:id="1075" w:name="_Hlk29907801"/>
      <w:r w:rsidRPr="00FB14EE">
        <w:rPr>
          <w:lang w:eastAsia="en-GB"/>
        </w:rPr>
        <w:t>Primary Care Networks</w:t>
      </w:r>
      <w:bookmarkEnd w:id="1074"/>
    </w:p>
    <w:p w14:paraId="71A00FD5" w14:textId="77777777" w:rsidR="00CF7BB1" w:rsidRPr="00FB14EE" w:rsidRDefault="00CF7BB1" w:rsidP="000F51C7">
      <w:pPr>
        <w:ind w:left="851" w:hanging="851"/>
      </w:pPr>
    </w:p>
    <w:p w14:paraId="248C500C" w14:textId="0BC7D298" w:rsidR="00CF7BB1" w:rsidRPr="00FB14EE" w:rsidRDefault="00CF7BB1" w:rsidP="000F51C7">
      <w:pPr>
        <w:pStyle w:val="Heading4"/>
        <w:ind w:left="851" w:hanging="851"/>
      </w:pPr>
      <w:bookmarkStart w:id="1076" w:name="_Hlk45781467"/>
      <w:r w:rsidRPr="00FB14EE">
        <w:t xml:space="preserve">When new services are procured, the commissioner should facilitate a discussion between the incoming contractor and the relevant Primary Care Network, </w:t>
      </w:r>
      <w:r w:rsidR="00EA68DD" w:rsidRPr="00FB14EE">
        <w:t xml:space="preserve">involving the relevant LMC, </w:t>
      </w:r>
      <w:r w:rsidRPr="00FB14EE">
        <w:t>to ensure uninterrupted network services for the incoming contractor’s registered patients.</w:t>
      </w:r>
    </w:p>
    <w:bookmarkEnd w:id="1076"/>
    <w:p w14:paraId="00476EEA" w14:textId="78E165E6" w:rsidR="008627E1" w:rsidRPr="00EC1256" w:rsidRDefault="008627E1" w:rsidP="000F51C7">
      <w:pPr>
        <w:pStyle w:val="Heading4"/>
        <w:ind w:left="851" w:hanging="851"/>
        <w:rPr>
          <w:highlight w:val="yellow"/>
        </w:rPr>
      </w:pPr>
      <w:r w:rsidRPr="00850FF9">
        <w:rPr>
          <w:rFonts w:cs="Arial"/>
          <w:highlight w:val="yellow"/>
        </w:rPr>
        <w:t xml:space="preserve">If the provider is not willing to join the PCN, then the commissioner will work with the existing PCN Core Network Practices to ensure continuity of services to </w:t>
      </w:r>
      <w:r w:rsidR="00EA68DD" w:rsidRPr="00850FF9">
        <w:rPr>
          <w:rFonts w:cs="Arial"/>
          <w:highlight w:val="yellow"/>
        </w:rPr>
        <w:t>the</w:t>
      </w:r>
      <w:r w:rsidRPr="00850FF9">
        <w:rPr>
          <w:rFonts w:cs="Arial"/>
          <w:highlight w:val="yellow"/>
        </w:rPr>
        <w:t xml:space="preserve"> registered patients</w:t>
      </w:r>
      <w:r w:rsidR="00EA68DD" w:rsidRPr="00850FF9">
        <w:rPr>
          <w:rFonts w:cs="Arial"/>
          <w:highlight w:val="yellow"/>
        </w:rPr>
        <w:t xml:space="preserve"> of the practice not signed up to the Network Contract DES</w:t>
      </w:r>
      <w:r w:rsidRPr="00850FF9">
        <w:rPr>
          <w:rFonts w:cs="Arial"/>
          <w:highlight w:val="yellow"/>
        </w:rPr>
        <w:t xml:space="preserve">. </w:t>
      </w:r>
    </w:p>
    <w:p w14:paraId="4F76C6D9" w14:textId="4BBB58A6" w:rsidR="008627E1" w:rsidRPr="00850FF9" w:rsidRDefault="008627E1" w:rsidP="008627E1">
      <w:pPr>
        <w:pStyle w:val="Heading4"/>
        <w:rPr>
          <w:highlight w:val="yellow"/>
        </w:rPr>
      </w:pPr>
      <w:r w:rsidRPr="00850FF9">
        <w:rPr>
          <w:rFonts w:cs="Arial"/>
          <w:highlight w:val="yellow"/>
        </w:rPr>
        <w:t xml:space="preserve">If  the PCN is not prepared to accept the provider as a member, the commissioner </w:t>
      </w:r>
      <w:r w:rsidRPr="00850FF9">
        <w:rPr>
          <w:highlight w:val="yellow"/>
        </w:rPr>
        <w:t>may require a PCN to include the practice as a Core Network Practice of that PCN. Where the commissioner is minded to require a PCN to do so, the commissioner must engage with the relevant LMC and, when making its determination, have regards to the views of the LMC.</w:t>
      </w:r>
      <w:r w:rsidRPr="00850FF9">
        <w:rPr>
          <w:rFonts w:cs="Arial"/>
          <w:highlight w:val="yellow"/>
        </w:rPr>
        <w:t xml:space="preserve">  Section 4.6 of the </w:t>
      </w:r>
      <w:hyperlink r:id="rId133" w:history="1">
        <w:r w:rsidRPr="00850FF9">
          <w:rPr>
            <w:rStyle w:val="Hyperlink"/>
            <w:rFonts w:cs="Arial"/>
            <w:highlight w:val="yellow"/>
          </w:rPr>
          <w:t>Network Contract DES 2021/22 – PCN Requirements and Entitlements</w:t>
        </w:r>
      </w:hyperlink>
      <w:r w:rsidRPr="00850FF9">
        <w:rPr>
          <w:rFonts w:cs="Arial"/>
          <w:highlight w:val="yellow"/>
        </w:rPr>
        <w:t xml:space="preserve"> sets out the process for allocating a practice to a PCN</w:t>
      </w:r>
      <w:r w:rsidRPr="00850FF9">
        <w:rPr>
          <w:rFonts w:asciiTheme="minorHAnsi" w:hAnsiTheme="minorHAnsi" w:cstheme="minorBidi"/>
          <w:highlight w:val="yellow"/>
        </w:rPr>
        <w:t>.</w:t>
      </w:r>
    </w:p>
    <w:p w14:paraId="183E9138" w14:textId="3355C618" w:rsidR="00367377" w:rsidRDefault="00367377" w:rsidP="00367377">
      <w:pPr>
        <w:rPr>
          <w:lang w:eastAsia="en-GB"/>
        </w:rPr>
      </w:pPr>
    </w:p>
    <w:p w14:paraId="7C9D5BC2" w14:textId="3BD627E6" w:rsidR="00367377" w:rsidRDefault="00367377" w:rsidP="00367377">
      <w:pPr>
        <w:rPr>
          <w:lang w:eastAsia="en-GB"/>
        </w:rPr>
      </w:pPr>
    </w:p>
    <w:p w14:paraId="21C5774D" w14:textId="77777777" w:rsidR="00367377" w:rsidRPr="00367377" w:rsidRDefault="00367377" w:rsidP="00367377">
      <w:pPr>
        <w:rPr>
          <w:lang w:eastAsia="en-GB"/>
        </w:rPr>
      </w:pPr>
    </w:p>
    <w:p w14:paraId="32C5D3A3" w14:textId="19FDAD3C" w:rsidR="00ED52FA" w:rsidRDefault="00ED52FA" w:rsidP="00ED52FA">
      <w:pPr>
        <w:rPr>
          <w:lang w:eastAsia="en-GB"/>
        </w:rPr>
      </w:pPr>
    </w:p>
    <w:p w14:paraId="1E8CC4B0" w14:textId="578AC672" w:rsidR="00ED52FA" w:rsidRPr="00ED52FA" w:rsidRDefault="00ED52FA" w:rsidP="00B6353E">
      <w:pPr>
        <w:pStyle w:val="Heading2"/>
        <w:ind w:left="0" w:firstLine="0"/>
        <w:rPr>
          <w:lang w:eastAsia="en-GB"/>
        </w:rPr>
      </w:pPr>
      <w:bookmarkStart w:id="1077" w:name="_Toc95743480"/>
      <w:r w:rsidRPr="00ED52FA">
        <w:rPr>
          <w:lang w:eastAsia="en-GB"/>
        </w:rPr>
        <w:t>Links to relevant PCSS information and documentation</w:t>
      </w:r>
      <w:bookmarkEnd w:id="1077"/>
    </w:p>
    <w:p w14:paraId="1962440C" w14:textId="77777777" w:rsidR="00ED52FA" w:rsidRDefault="00ED52FA" w:rsidP="00ED52FA">
      <w:pPr>
        <w:widowControl w:val="0"/>
        <w:spacing w:line="360" w:lineRule="auto"/>
        <w:jc w:val="both"/>
        <w:rPr>
          <w:rFonts w:cs="Arial"/>
          <w:bCs w:val="0"/>
          <w:szCs w:val="24"/>
          <w:lang w:eastAsia="en-GB"/>
        </w:rPr>
      </w:pPr>
    </w:p>
    <w:p w14:paraId="69D93080" w14:textId="77777777" w:rsidR="00ED52FA" w:rsidRDefault="00ED52FA" w:rsidP="006C3DF5">
      <w:pPr>
        <w:pStyle w:val="ListParagraph"/>
        <w:widowControl w:val="0"/>
        <w:numPr>
          <w:ilvl w:val="0"/>
          <w:numId w:val="123"/>
        </w:numPr>
        <w:spacing w:line="360" w:lineRule="auto"/>
        <w:jc w:val="both"/>
      </w:pPr>
      <w:r w:rsidRPr="006E56A4">
        <w:rPr>
          <w:rFonts w:cs="Arial"/>
          <w:bCs w:val="0"/>
          <w:szCs w:val="24"/>
          <w:lang w:eastAsia="en-GB"/>
        </w:rPr>
        <w:t xml:space="preserve">Performer list </w:t>
      </w:r>
      <w:hyperlink r:id="rId134" w:history="1">
        <w:r>
          <w:rPr>
            <w:rStyle w:val="Hyperlink"/>
          </w:rPr>
          <w:t>https://pcse.england.nhs.uk/services/performers-lists/</w:t>
        </w:r>
      </w:hyperlink>
    </w:p>
    <w:p w14:paraId="33EB9763" w14:textId="1A7FA30C" w:rsidR="00ED52FA" w:rsidRPr="00ED52FA" w:rsidRDefault="00ED52FA" w:rsidP="006C3DF5">
      <w:pPr>
        <w:pStyle w:val="ListParagraph"/>
        <w:widowControl w:val="0"/>
        <w:numPr>
          <w:ilvl w:val="0"/>
          <w:numId w:val="123"/>
        </w:numPr>
        <w:spacing w:line="360" w:lineRule="auto"/>
        <w:jc w:val="both"/>
      </w:pPr>
      <w:r w:rsidRPr="006E56A4">
        <w:rPr>
          <w:rFonts w:cs="Arial"/>
          <w:bCs w:val="0"/>
          <w:szCs w:val="24"/>
          <w:lang w:eastAsia="en-GB"/>
        </w:rPr>
        <w:t xml:space="preserve">Practice Mergers and Closure </w:t>
      </w:r>
      <w:hyperlink r:id="rId135" w:history="1">
        <w:r>
          <w:rPr>
            <w:rStyle w:val="Hyperlink"/>
          </w:rPr>
          <w:t>https://pcse.england.nhs.uk/services/practice-mergers-and-closures-notifications/</w:t>
        </w:r>
      </w:hyperlink>
    </w:p>
    <w:bookmarkEnd w:id="1075"/>
    <w:p w14:paraId="0FBD2143" w14:textId="77777777" w:rsidR="00CF7BB1" w:rsidRPr="00CF7BB1" w:rsidRDefault="00CF7BB1" w:rsidP="00B6353E">
      <w:pPr>
        <w:rPr>
          <w:lang w:eastAsia="en-GB"/>
        </w:rPr>
      </w:pPr>
    </w:p>
    <w:p w14:paraId="403238B9" w14:textId="3BBB1F69" w:rsidR="006C3892" w:rsidRDefault="006C3892" w:rsidP="00213D9D">
      <w:pPr>
        <w:widowControl w:val="0"/>
        <w:autoSpaceDE w:val="0"/>
        <w:autoSpaceDN w:val="0"/>
        <w:adjustRightInd w:val="0"/>
        <w:spacing w:line="360" w:lineRule="auto"/>
        <w:ind w:right="-23"/>
        <w:jc w:val="center"/>
      </w:pPr>
    </w:p>
    <w:p w14:paraId="14B0C61B" w14:textId="5CACADCF" w:rsidR="00DE6C91" w:rsidRDefault="00DE6C91" w:rsidP="00213D9D">
      <w:pPr>
        <w:widowControl w:val="0"/>
        <w:autoSpaceDE w:val="0"/>
        <w:autoSpaceDN w:val="0"/>
        <w:adjustRightInd w:val="0"/>
        <w:spacing w:line="360" w:lineRule="auto"/>
        <w:ind w:right="-23"/>
        <w:jc w:val="center"/>
      </w:pPr>
    </w:p>
    <w:p w14:paraId="6794BA49" w14:textId="4FBB656D" w:rsidR="00DE6C91" w:rsidRDefault="00DE6C91" w:rsidP="00213D9D">
      <w:pPr>
        <w:widowControl w:val="0"/>
        <w:autoSpaceDE w:val="0"/>
        <w:autoSpaceDN w:val="0"/>
        <w:adjustRightInd w:val="0"/>
        <w:spacing w:line="360" w:lineRule="auto"/>
        <w:ind w:right="-23"/>
        <w:jc w:val="center"/>
      </w:pPr>
    </w:p>
    <w:p w14:paraId="632ED772" w14:textId="170C09E2" w:rsidR="00DE6C91" w:rsidRDefault="00DE6C91" w:rsidP="00213D9D">
      <w:pPr>
        <w:widowControl w:val="0"/>
        <w:autoSpaceDE w:val="0"/>
        <w:autoSpaceDN w:val="0"/>
        <w:adjustRightInd w:val="0"/>
        <w:spacing w:line="360" w:lineRule="auto"/>
        <w:ind w:right="-23"/>
        <w:jc w:val="center"/>
      </w:pPr>
    </w:p>
    <w:p w14:paraId="43E3D1EF" w14:textId="15F98575" w:rsidR="00DE6C91" w:rsidRDefault="00DE6C91" w:rsidP="00213D9D">
      <w:pPr>
        <w:widowControl w:val="0"/>
        <w:autoSpaceDE w:val="0"/>
        <w:autoSpaceDN w:val="0"/>
        <w:adjustRightInd w:val="0"/>
        <w:spacing w:line="360" w:lineRule="auto"/>
        <w:ind w:right="-23"/>
        <w:jc w:val="center"/>
      </w:pPr>
    </w:p>
    <w:p w14:paraId="2081A5DC" w14:textId="28C49FEC" w:rsidR="00DE6C91" w:rsidRDefault="00DE6C91" w:rsidP="00213D9D">
      <w:pPr>
        <w:widowControl w:val="0"/>
        <w:autoSpaceDE w:val="0"/>
        <w:autoSpaceDN w:val="0"/>
        <w:adjustRightInd w:val="0"/>
        <w:spacing w:line="360" w:lineRule="auto"/>
        <w:ind w:right="-23"/>
        <w:jc w:val="center"/>
      </w:pPr>
    </w:p>
    <w:p w14:paraId="1A37E0A7" w14:textId="77777777" w:rsidR="00DE6C91" w:rsidRPr="002306F3" w:rsidRDefault="00DE6C91" w:rsidP="00213D9D">
      <w:pPr>
        <w:widowControl w:val="0"/>
        <w:autoSpaceDE w:val="0"/>
        <w:autoSpaceDN w:val="0"/>
        <w:adjustRightInd w:val="0"/>
        <w:spacing w:line="360" w:lineRule="auto"/>
        <w:ind w:right="-23"/>
        <w:jc w:val="center"/>
      </w:pPr>
    </w:p>
    <w:p w14:paraId="069B2A9B" w14:textId="49B48DBF" w:rsidR="00213D9D" w:rsidRPr="006C3892" w:rsidRDefault="00213D9D" w:rsidP="00213D9D">
      <w:pPr>
        <w:widowControl w:val="0"/>
        <w:autoSpaceDE w:val="0"/>
        <w:autoSpaceDN w:val="0"/>
        <w:adjustRightInd w:val="0"/>
        <w:spacing w:line="360" w:lineRule="auto"/>
        <w:ind w:right="-23"/>
        <w:rPr>
          <w:rFonts w:cs="Arial"/>
          <w:b/>
          <w:bCs w:val="0"/>
          <w:szCs w:val="24"/>
          <w:lang w:eastAsia="en-GB"/>
        </w:rPr>
      </w:pPr>
      <w:r w:rsidRPr="006C3892">
        <w:rPr>
          <w:rFonts w:cs="Arial"/>
          <w:b/>
          <w:bCs w:val="0"/>
          <w:szCs w:val="24"/>
          <w:lang w:eastAsia="en-GB"/>
        </w:rPr>
        <w:t>Annex 1</w:t>
      </w:r>
      <w:r w:rsidR="006C3892" w:rsidRPr="006C3892">
        <w:rPr>
          <w:rFonts w:cs="Arial"/>
          <w:b/>
          <w:bCs w:val="0"/>
          <w:sz w:val="28"/>
          <w:szCs w:val="28"/>
          <w:lang w:eastAsia="en-GB"/>
        </w:rPr>
        <w:t xml:space="preserve"> </w:t>
      </w:r>
      <w:r w:rsidRPr="006C3892">
        <w:rPr>
          <w:rFonts w:cs="Arial"/>
          <w:b/>
          <w:bCs w:val="0"/>
          <w:szCs w:val="24"/>
          <w:lang w:eastAsia="en-GB"/>
        </w:rPr>
        <w:t xml:space="preserve">Guide to Communication with Contractors </w:t>
      </w:r>
    </w:p>
    <w:bookmarkStart w:id="1078" w:name="_1557370796"/>
    <w:bookmarkEnd w:id="1078"/>
    <w:p w14:paraId="45BC7FEA" w14:textId="695ED931" w:rsidR="00593024" w:rsidRPr="00593024" w:rsidRDefault="002306F3" w:rsidP="006C3DF5">
      <w:pPr>
        <w:pStyle w:val="ListParagraph"/>
        <w:widowControl w:val="0"/>
        <w:numPr>
          <w:ilvl w:val="0"/>
          <w:numId w:val="125"/>
        </w:numPr>
        <w:autoSpaceDE w:val="0"/>
        <w:autoSpaceDN w:val="0"/>
        <w:adjustRightInd w:val="0"/>
        <w:spacing w:line="360" w:lineRule="auto"/>
        <w:ind w:right="-23"/>
        <w:rPr>
          <w:rFonts w:cs="Arial"/>
          <w:bCs w:val="0"/>
          <w:szCs w:val="24"/>
          <w:lang w:eastAsia="en-GB"/>
        </w:rPr>
      </w:pPr>
      <w:r>
        <w:fldChar w:fldCharType="begin"/>
      </w:r>
      <w:r>
        <w:instrText xml:space="preserve"> HYPERLINK "https://www.england.nhs.uk/publication/primary-medical-care-policy-and-guidance-manual-stage-3-at-contract-end-annexes/" </w:instrText>
      </w:r>
      <w:r>
        <w:fldChar w:fldCharType="separate"/>
      </w:r>
      <w:r w:rsidR="00593024">
        <w:rPr>
          <w:rStyle w:val="Hyperlink"/>
          <w:rFonts w:cs="Arial"/>
          <w:bCs w:val="0"/>
          <w:szCs w:val="24"/>
          <w:lang w:eastAsia="en-GB"/>
        </w:rPr>
        <w:t>Guide to Communication with Contractors</w:t>
      </w:r>
      <w:r>
        <w:rPr>
          <w:rStyle w:val="Hyperlink"/>
          <w:rFonts w:cs="Arial"/>
          <w:bCs w:val="0"/>
          <w:szCs w:val="24"/>
          <w:lang w:eastAsia="en-GB"/>
        </w:rPr>
        <w:fldChar w:fldCharType="end"/>
      </w:r>
    </w:p>
    <w:p w14:paraId="09BE352F" w14:textId="34702ACA" w:rsidR="00213D9D" w:rsidRPr="00CE0885" w:rsidRDefault="00213D9D" w:rsidP="00213D9D">
      <w:pPr>
        <w:widowControl w:val="0"/>
        <w:spacing w:line="360" w:lineRule="auto"/>
        <w:jc w:val="both"/>
        <w:rPr>
          <w:rFonts w:cs="Arial"/>
          <w:bCs w:val="0"/>
          <w:szCs w:val="24"/>
        </w:rPr>
      </w:pPr>
    </w:p>
    <w:p w14:paraId="610AFA61" w14:textId="5AC65386" w:rsidR="00213D9D" w:rsidRPr="00CE0885" w:rsidRDefault="00213D9D" w:rsidP="00213D9D">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2 Checklist for Documentation Recording when Contract Ends</w:t>
      </w:r>
    </w:p>
    <w:bookmarkStart w:id="1079" w:name="_1557371357"/>
    <w:bookmarkEnd w:id="1079"/>
    <w:p w14:paraId="7D343ED1" w14:textId="7D9845A5" w:rsidR="00213D9D" w:rsidRPr="00593024" w:rsidRDefault="002306F3" w:rsidP="006C3DF5">
      <w:pPr>
        <w:pStyle w:val="ListParagraph"/>
        <w:widowControl w:val="0"/>
        <w:numPr>
          <w:ilvl w:val="0"/>
          <w:numId w:val="125"/>
        </w:numPr>
        <w:autoSpaceDE w:val="0"/>
        <w:autoSpaceDN w:val="0"/>
        <w:adjustRightInd w:val="0"/>
        <w:spacing w:line="360" w:lineRule="auto"/>
        <w:ind w:right="-23"/>
        <w:rPr>
          <w:rFonts w:cs="Arial"/>
          <w:bCs w:val="0"/>
          <w:szCs w:val="24"/>
          <w:lang w:eastAsia="en-GB"/>
        </w:rPr>
      </w:pPr>
      <w:r>
        <w:fldChar w:fldCharType="begin"/>
      </w:r>
      <w:r>
        <w:instrText xml:space="preserve"> HYPERLINK "https://www.england.nhs.uk/publication/primary-medical-care-policy-and-guidance-manual-stage-3-at-contract-end-annexes/" </w:instrText>
      </w:r>
      <w:r>
        <w:fldChar w:fldCharType="separate"/>
      </w:r>
      <w:r w:rsidR="00593024">
        <w:rPr>
          <w:rStyle w:val="Hyperlink"/>
          <w:rFonts w:cs="Arial"/>
          <w:bCs w:val="0"/>
          <w:szCs w:val="24"/>
          <w:lang w:eastAsia="en-GB"/>
        </w:rPr>
        <w:t>Checklist for Documentation Recording when Contract Ends</w:t>
      </w:r>
      <w:r>
        <w:rPr>
          <w:rStyle w:val="Hyperlink"/>
          <w:rFonts w:cs="Arial"/>
          <w:bCs w:val="0"/>
          <w:szCs w:val="24"/>
          <w:lang w:eastAsia="en-GB"/>
        </w:rPr>
        <w:fldChar w:fldCharType="end"/>
      </w:r>
      <w:r w:rsidR="006C3892" w:rsidRPr="00593024">
        <w:rPr>
          <w:rFonts w:cs="Arial"/>
          <w:bCs w:val="0"/>
          <w:szCs w:val="24"/>
          <w:lang w:eastAsia="en-GB"/>
        </w:rPr>
        <w:br/>
      </w:r>
    </w:p>
    <w:p w14:paraId="585AC120" w14:textId="77777777" w:rsidR="00213D9D" w:rsidRDefault="00213D9D" w:rsidP="00213D9D">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3 Template Detailed Report</w:t>
      </w:r>
    </w:p>
    <w:bookmarkStart w:id="1080" w:name="_1557371382"/>
    <w:bookmarkEnd w:id="1080"/>
    <w:p w14:paraId="2E3BF524" w14:textId="7FD46910" w:rsidR="00593024" w:rsidRPr="00593024" w:rsidRDefault="002306F3" w:rsidP="006C3DF5">
      <w:pPr>
        <w:pStyle w:val="ListParagraph"/>
        <w:widowControl w:val="0"/>
        <w:numPr>
          <w:ilvl w:val="0"/>
          <w:numId w:val="125"/>
        </w:numPr>
        <w:autoSpaceDE w:val="0"/>
        <w:autoSpaceDN w:val="0"/>
        <w:adjustRightInd w:val="0"/>
        <w:spacing w:line="360" w:lineRule="auto"/>
        <w:ind w:right="-23"/>
        <w:rPr>
          <w:rFonts w:cs="Arial"/>
          <w:bCs w:val="0"/>
          <w:szCs w:val="24"/>
          <w:lang w:eastAsia="en-GB"/>
        </w:rPr>
      </w:pPr>
      <w:r>
        <w:fldChar w:fldCharType="begin"/>
      </w:r>
      <w:r>
        <w:instrText xml:space="preserve"> HYPERLINK "https://www.england.nhs.uk/publication/primary-medical-care-policy-and-guidance-manual-stage-3-at-contract-end-annexes/" </w:instrText>
      </w:r>
      <w:r>
        <w:fldChar w:fldCharType="separate"/>
      </w:r>
      <w:r w:rsidR="00593024">
        <w:rPr>
          <w:rStyle w:val="Hyperlink"/>
          <w:rFonts w:cs="Arial"/>
          <w:bCs w:val="0"/>
          <w:szCs w:val="24"/>
          <w:lang w:eastAsia="en-GB"/>
        </w:rPr>
        <w:t>Template Detailed Report</w:t>
      </w:r>
      <w:r>
        <w:rPr>
          <w:rStyle w:val="Hyperlink"/>
          <w:rFonts w:cs="Arial"/>
          <w:bCs w:val="0"/>
          <w:szCs w:val="24"/>
          <w:lang w:eastAsia="en-GB"/>
        </w:rPr>
        <w:fldChar w:fldCharType="end"/>
      </w:r>
    </w:p>
    <w:p w14:paraId="2CAFC35D" w14:textId="60F95245" w:rsidR="00213D9D" w:rsidRPr="00CE0885" w:rsidRDefault="00213D9D" w:rsidP="00213D9D">
      <w:pPr>
        <w:widowControl w:val="0"/>
        <w:spacing w:line="360" w:lineRule="auto"/>
        <w:jc w:val="both"/>
        <w:rPr>
          <w:rFonts w:cs="Arial"/>
          <w:bCs w:val="0"/>
          <w:szCs w:val="24"/>
        </w:rPr>
      </w:pPr>
    </w:p>
    <w:p w14:paraId="6DE69F59" w14:textId="77777777" w:rsidR="00213D9D" w:rsidRPr="00CE0885" w:rsidRDefault="00213D9D" w:rsidP="00213D9D">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 xml:space="preserve">Annex 4 Template Exit Plan </w:t>
      </w:r>
    </w:p>
    <w:bookmarkStart w:id="1081" w:name="_1557371398"/>
    <w:bookmarkEnd w:id="1081"/>
    <w:p w14:paraId="437C0DFF" w14:textId="156EF094" w:rsidR="00213D9D" w:rsidRPr="00593024" w:rsidRDefault="002306F3" w:rsidP="006C3DF5">
      <w:pPr>
        <w:pStyle w:val="ListParagraph"/>
        <w:widowControl w:val="0"/>
        <w:numPr>
          <w:ilvl w:val="0"/>
          <w:numId w:val="125"/>
        </w:numPr>
        <w:autoSpaceDE w:val="0"/>
        <w:autoSpaceDN w:val="0"/>
        <w:adjustRightInd w:val="0"/>
        <w:spacing w:line="360" w:lineRule="auto"/>
        <w:ind w:right="-23"/>
        <w:rPr>
          <w:rFonts w:cs="Arial"/>
          <w:bCs w:val="0"/>
          <w:szCs w:val="24"/>
          <w:lang w:eastAsia="en-GB"/>
        </w:rPr>
      </w:pPr>
      <w:r>
        <w:fldChar w:fldCharType="begin"/>
      </w:r>
      <w:r>
        <w:instrText xml:space="preserve"> HYPERLINK "https://www.england.nhs.uk/publication/primary-medical-care-policy-and-guidance-manual-stage-3-at-contract-end-annexes/" </w:instrText>
      </w:r>
      <w:r>
        <w:fldChar w:fldCharType="separate"/>
      </w:r>
      <w:r w:rsidR="00593024">
        <w:rPr>
          <w:rStyle w:val="Hyperlink"/>
          <w:rFonts w:cs="Arial"/>
          <w:bCs w:val="0"/>
          <w:szCs w:val="24"/>
          <w:lang w:eastAsia="en-GB"/>
        </w:rPr>
        <w:t>Template Exit Plan</w:t>
      </w:r>
      <w:r>
        <w:rPr>
          <w:rStyle w:val="Hyperlink"/>
          <w:rFonts w:cs="Arial"/>
          <w:bCs w:val="0"/>
          <w:szCs w:val="24"/>
          <w:lang w:eastAsia="en-GB"/>
        </w:rPr>
        <w:fldChar w:fldCharType="end"/>
      </w:r>
      <w:r w:rsidR="006C3892" w:rsidRPr="00593024">
        <w:rPr>
          <w:rFonts w:cs="Arial"/>
          <w:bCs w:val="0"/>
          <w:szCs w:val="24"/>
          <w:lang w:eastAsia="en-GB"/>
        </w:rPr>
        <w:br/>
      </w:r>
    </w:p>
    <w:p w14:paraId="0931C270" w14:textId="77777777" w:rsidR="00213D9D" w:rsidRPr="00CE0885" w:rsidRDefault="00213D9D" w:rsidP="00213D9D">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 xml:space="preserve">Annex 5 Template Operational Management Plan </w:t>
      </w:r>
    </w:p>
    <w:bookmarkStart w:id="1082" w:name="_1557371414"/>
    <w:bookmarkEnd w:id="1082"/>
    <w:p w14:paraId="6D0DA227" w14:textId="129DB754" w:rsidR="00593024" w:rsidRPr="006C3892" w:rsidRDefault="002306F3" w:rsidP="006C3DF5">
      <w:pPr>
        <w:pStyle w:val="ListParagraph"/>
        <w:widowControl w:val="0"/>
        <w:numPr>
          <w:ilvl w:val="0"/>
          <w:numId w:val="125"/>
        </w:numPr>
        <w:spacing w:line="360" w:lineRule="auto"/>
        <w:jc w:val="both"/>
        <w:rPr>
          <w:rFonts w:cs="Arial"/>
          <w:bCs w:val="0"/>
          <w:szCs w:val="24"/>
          <w:lang w:eastAsia="en-GB"/>
        </w:rPr>
      </w:pPr>
      <w:r>
        <w:fldChar w:fldCharType="begin"/>
      </w:r>
      <w:r>
        <w:instrText xml:space="preserve"> HYPERLINK "https://www.england.nhs.uk/publication/primary-medical-care-policy-and-guidance-manual-stage-3-at-contract-end-annexes/" </w:instrText>
      </w:r>
      <w:r>
        <w:fldChar w:fldCharType="separate"/>
      </w:r>
      <w:r w:rsidR="00593024">
        <w:rPr>
          <w:rStyle w:val="Hyperlink"/>
          <w:rFonts w:cs="Arial"/>
          <w:bCs w:val="0"/>
          <w:szCs w:val="24"/>
          <w:lang w:eastAsia="en-GB"/>
        </w:rPr>
        <w:t>Template Operational Management Plan</w:t>
      </w:r>
      <w:r>
        <w:rPr>
          <w:rStyle w:val="Hyperlink"/>
          <w:rFonts w:cs="Arial"/>
          <w:bCs w:val="0"/>
          <w:szCs w:val="24"/>
          <w:lang w:eastAsia="en-GB"/>
        </w:rPr>
        <w:fldChar w:fldCharType="end"/>
      </w:r>
    </w:p>
    <w:p w14:paraId="51722497" w14:textId="77777777" w:rsidR="002025D6" w:rsidRDefault="002025D6" w:rsidP="00213D9D">
      <w:pPr>
        <w:rPr>
          <w:rFonts w:cs="Arial"/>
        </w:rPr>
      </w:pPr>
    </w:p>
    <w:p w14:paraId="09357121" w14:textId="77777777" w:rsidR="002025D6" w:rsidRDefault="002025D6" w:rsidP="00213D9D">
      <w:pPr>
        <w:rPr>
          <w:rFonts w:cs="Arial"/>
        </w:rPr>
      </w:pPr>
      <w:r>
        <w:rPr>
          <w:rFonts w:cs="Arial"/>
        </w:rPr>
        <w:t>Annex 6 PCSE practice mergers and closures notification form</w:t>
      </w:r>
    </w:p>
    <w:p w14:paraId="1B6F3D09" w14:textId="77777777" w:rsidR="002025D6" w:rsidRDefault="002025D6" w:rsidP="00213D9D">
      <w:pPr>
        <w:rPr>
          <w:rFonts w:cs="Arial"/>
        </w:rPr>
      </w:pPr>
    </w:p>
    <w:p w14:paraId="1EEFA63E" w14:textId="24B75D80" w:rsidR="00213D9D" w:rsidRPr="0015247B" w:rsidRDefault="000B57EE" w:rsidP="006C3DF5">
      <w:pPr>
        <w:pStyle w:val="ListParagraph"/>
        <w:numPr>
          <w:ilvl w:val="0"/>
          <w:numId w:val="125"/>
        </w:numPr>
        <w:rPr>
          <w:lang w:eastAsia="en-GB"/>
        </w:rPr>
      </w:pPr>
      <w:hyperlink r:id="rId136" w:history="1">
        <w:r w:rsidR="002025D6">
          <w:rPr>
            <w:rStyle w:val="Hyperlink"/>
            <w:rFonts w:cs="Arial"/>
          </w:rPr>
          <w:t>PCSE Practice Mergers and Closures Notification Form</w:t>
        </w:r>
      </w:hyperlink>
      <w:r w:rsidR="002025D6" w:rsidRPr="002025D6">
        <w:rPr>
          <w:rFonts w:cs="Arial"/>
        </w:rPr>
        <w:t xml:space="preserve"> </w:t>
      </w:r>
      <w:r w:rsidR="00213D9D" w:rsidRPr="002025D6">
        <w:rPr>
          <w:rFonts w:cs="Arial"/>
        </w:rPr>
        <w:br w:type="page"/>
      </w:r>
    </w:p>
    <w:p w14:paraId="21B1075F" w14:textId="77777777" w:rsidR="006036F0" w:rsidRPr="00446DA6" w:rsidRDefault="006036F0" w:rsidP="006036F0">
      <w:pPr>
        <w:pStyle w:val="Heading1"/>
      </w:pPr>
      <w:bookmarkStart w:id="1083" w:name="_Hlk536453517"/>
      <w:r>
        <w:rPr>
          <w:lang w:eastAsia="en-GB"/>
        </w:rPr>
        <w:t> </w:t>
      </w:r>
      <w:bookmarkStart w:id="1084" w:name="_Toc536198938"/>
      <w:bookmarkStart w:id="1085" w:name="_Toc95743481"/>
      <w:r w:rsidRPr="00446DA6">
        <w:t>Discretionary Payments (made under Section 96</w:t>
      </w:r>
      <w:bookmarkEnd w:id="1084"/>
      <w:r>
        <w:t>)</w:t>
      </w:r>
      <w:bookmarkEnd w:id="1085"/>
    </w:p>
    <w:p w14:paraId="1F7485C8" w14:textId="77777777" w:rsidR="006036F0" w:rsidRDefault="006036F0" w:rsidP="006036F0">
      <w:pPr>
        <w:rPr>
          <w:lang w:eastAsia="en-GB"/>
        </w:rPr>
      </w:pPr>
    </w:p>
    <w:p w14:paraId="543CFAF5" w14:textId="77777777" w:rsidR="006036F0" w:rsidRPr="00B66AFA" w:rsidRDefault="006036F0" w:rsidP="006036F0">
      <w:pPr>
        <w:pStyle w:val="Heading2"/>
      </w:pPr>
      <w:bookmarkStart w:id="1086" w:name="_Toc536198939"/>
      <w:bookmarkStart w:id="1087" w:name="_Toc493938684"/>
      <w:bookmarkStart w:id="1088" w:name="_Toc493938777"/>
      <w:bookmarkStart w:id="1089" w:name="_Toc493939126"/>
      <w:bookmarkStart w:id="1090" w:name="_Toc95743482"/>
      <w:r w:rsidRPr="00B66AFA">
        <w:t>Introduction</w:t>
      </w:r>
      <w:bookmarkEnd w:id="1086"/>
      <w:bookmarkEnd w:id="1087"/>
      <w:bookmarkEnd w:id="1088"/>
      <w:bookmarkEnd w:id="1089"/>
      <w:bookmarkEnd w:id="1090"/>
    </w:p>
    <w:p w14:paraId="427476C6" w14:textId="31A08A81" w:rsidR="006036F0" w:rsidRDefault="000B57EE" w:rsidP="006036F0">
      <w:pPr>
        <w:spacing w:before="60" w:after="60"/>
        <w:jc w:val="right"/>
        <w:rPr>
          <w:rStyle w:val="Hyperlink"/>
          <w:rFonts w:eastAsiaTheme="majorEastAsia" w:cs="Arial"/>
          <w:sz w:val="16"/>
          <w:szCs w:val="16"/>
        </w:rPr>
      </w:pPr>
      <w:hyperlink w:anchor="_top" w:history="1">
        <w:r w:rsidR="006036F0" w:rsidRPr="00FA603E">
          <w:rPr>
            <w:rStyle w:val="Hyperlink"/>
            <w:rFonts w:eastAsiaTheme="majorEastAsia" w:cs="Arial"/>
            <w:sz w:val="16"/>
            <w:szCs w:val="16"/>
          </w:rPr>
          <w:t>(return to contents page)</w:t>
        </w:r>
      </w:hyperlink>
    </w:p>
    <w:p w14:paraId="76EE33ED" w14:textId="77777777" w:rsidR="00D819B0" w:rsidRPr="00FA603E" w:rsidRDefault="00D819B0" w:rsidP="006036F0">
      <w:pPr>
        <w:spacing w:before="60" w:after="60"/>
        <w:jc w:val="right"/>
        <w:rPr>
          <w:rFonts w:cs="Arial"/>
          <w:sz w:val="16"/>
          <w:szCs w:val="16"/>
        </w:rPr>
      </w:pPr>
    </w:p>
    <w:p w14:paraId="08FD67BE" w14:textId="77777777" w:rsidR="006036F0" w:rsidRPr="00D819B0" w:rsidRDefault="006036F0" w:rsidP="00A507BE">
      <w:pPr>
        <w:pStyle w:val="Heading3"/>
      </w:pPr>
      <w:r w:rsidRPr="00D819B0">
        <w:t xml:space="preserve">Section 96 of the NHS Act (2006) (as amended) makes provisions for commissioners to provide assistance and support to primary medical services contractors, including financial support:  </w:t>
      </w:r>
    </w:p>
    <w:p w14:paraId="7C81A761" w14:textId="77777777" w:rsidR="006036F0" w:rsidRPr="00BC6461" w:rsidRDefault="006036F0" w:rsidP="006036F0">
      <w:pPr>
        <w:spacing w:before="60" w:after="60"/>
        <w:ind w:left="720"/>
        <w:rPr>
          <w:rFonts w:cs="Arial"/>
          <w:i/>
          <w:szCs w:val="24"/>
        </w:rPr>
      </w:pPr>
      <w:r w:rsidRPr="00BC6461">
        <w:rPr>
          <w:rFonts w:cs="Arial"/>
          <w:i/>
          <w:szCs w:val="24"/>
        </w:rPr>
        <w:t>96 Assistance and support: primary medical services</w:t>
      </w:r>
    </w:p>
    <w:p w14:paraId="14FF3FC2" w14:textId="77777777" w:rsidR="006036F0" w:rsidRPr="00BC6461" w:rsidRDefault="006036F0" w:rsidP="006036F0">
      <w:pPr>
        <w:spacing w:before="60" w:after="60"/>
        <w:ind w:left="1440"/>
        <w:rPr>
          <w:rFonts w:cs="Arial"/>
          <w:i/>
          <w:szCs w:val="24"/>
        </w:rPr>
      </w:pPr>
      <w:r w:rsidRPr="00BC6461">
        <w:rPr>
          <w:rFonts w:cs="Arial"/>
          <w:i/>
          <w:szCs w:val="24"/>
        </w:rPr>
        <w:t>(1) The Board may provide assistance or support to any person providing or proposing to provide–</w:t>
      </w:r>
    </w:p>
    <w:p w14:paraId="1F3DB159" w14:textId="77777777" w:rsidR="006036F0" w:rsidRPr="00BC6461" w:rsidRDefault="006036F0" w:rsidP="006C3DF5">
      <w:pPr>
        <w:pStyle w:val="ListParagraph"/>
        <w:numPr>
          <w:ilvl w:val="0"/>
          <w:numId w:val="70"/>
        </w:numPr>
        <w:spacing w:before="60" w:after="60" w:line="276" w:lineRule="auto"/>
        <w:ind w:left="2520"/>
        <w:rPr>
          <w:rFonts w:cs="Arial"/>
          <w:i/>
          <w:szCs w:val="24"/>
        </w:rPr>
      </w:pPr>
      <w:r w:rsidRPr="00BC6461">
        <w:rPr>
          <w:rFonts w:cs="Arial"/>
          <w:i/>
          <w:szCs w:val="24"/>
        </w:rPr>
        <w:t xml:space="preserve">primary medical services pursuant to section 83(2), </w:t>
      </w:r>
    </w:p>
    <w:p w14:paraId="1CC95BD5" w14:textId="77777777" w:rsidR="006036F0" w:rsidRPr="00BC6461" w:rsidRDefault="006036F0" w:rsidP="006C3DF5">
      <w:pPr>
        <w:pStyle w:val="ListParagraph"/>
        <w:numPr>
          <w:ilvl w:val="0"/>
          <w:numId w:val="70"/>
        </w:numPr>
        <w:spacing w:before="60" w:after="60" w:line="276" w:lineRule="auto"/>
        <w:ind w:left="2520"/>
        <w:rPr>
          <w:rFonts w:cs="Arial"/>
          <w:i/>
          <w:szCs w:val="24"/>
        </w:rPr>
      </w:pPr>
      <w:r w:rsidRPr="00BC6461">
        <w:rPr>
          <w:rFonts w:cs="Arial"/>
          <w:i/>
          <w:szCs w:val="24"/>
        </w:rPr>
        <w:t>primary medical services under a general medical services contract, or</w:t>
      </w:r>
    </w:p>
    <w:p w14:paraId="73D4AC34" w14:textId="77777777" w:rsidR="006036F0" w:rsidRPr="00BC6461" w:rsidRDefault="006036F0" w:rsidP="006C3DF5">
      <w:pPr>
        <w:pStyle w:val="ListParagraph"/>
        <w:numPr>
          <w:ilvl w:val="0"/>
          <w:numId w:val="70"/>
        </w:numPr>
        <w:spacing w:before="60" w:after="60" w:line="276" w:lineRule="auto"/>
        <w:ind w:left="2520"/>
        <w:rPr>
          <w:rFonts w:cs="Arial"/>
          <w:i/>
          <w:szCs w:val="24"/>
        </w:rPr>
      </w:pPr>
      <w:r w:rsidRPr="00BC6461">
        <w:rPr>
          <w:rFonts w:cs="Arial"/>
          <w:i/>
          <w:szCs w:val="24"/>
        </w:rPr>
        <w:t>primary medical services in accordance with section 92 arrangements.</w:t>
      </w:r>
    </w:p>
    <w:p w14:paraId="40DF3F13" w14:textId="298ACF03" w:rsidR="006036F0" w:rsidRPr="00BC6461" w:rsidRDefault="006036F0" w:rsidP="006036F0">
      <w:pPr>
        <w:spacing w:before="60" w:after="60"/>
        <w:ind w:left="1440"/>
        <w:rPr>
          <w:rFonts w:cs="Arial"/>
          <w:i/>
          <w:szCs w:val="24"/>
        </w:rPr>
      </w:pPr>
      <w:r w:rsidRPr="00BC6461">
        <w:rPr>
          <w:rFonts w:cs="Arial"/>
          <w:i/>
          <w:szCs w:val="24"/>
        </w:rPr>
        <w:t xml:space="preserve">(2) Assistance or support provided by the Board under subsection (1) is provided on such terms, including terms as to payment, as the </w:t>
      </w:r>
      <w:r w:rsidR="003A5B58" w:rsidRPr="00BC6461">
        <w:rPr>
          <w:rFonts w:cs="Arial"/>
          <w:i/>
          <w:szCs w:val="24"/>
        </w:rPr>
        <w:t>Board considers</w:t>
      </w:r>
      <w:r w:rsidRPr="00BC6461">
        <w:rPr>
          <w:rFonts w:cs="Arial"/>
          <w:i/>
          <w:szCs w:val="24"/>
        </w:rPr>
        <w:t xml:space="preserve"> appropriate.</w:t>
      </w:r>
    </w:p>
    <w:p w14:paraId="4F83A33A" w14:textId="77777777" w:rsidR="006036F0" w:rsidRPr="00BC6461" w:rsidRDefault="006036F0" w:rsidP="006036F0">
      <w:pPr>
        <w:spacing w:before="60" w:after="60"/>
        <w:ind w:left="1440"/>
        <w:rPr>
          <w:rFonts w:cs="Arial"/>
          <w:i/>
          <w:szCs w:val="24"/>
        </w:rPr>
      </w:pPr>
      <w:r w:rsidRPr="00BC6461">
        <w:rPr>
          <w:rFonts w:cs="Arial"/>
          <w:i/>
          <w:szCs w:val="24"/>
        </w:rPr>
        <w:t>(3) “Assistance” includes financial assistance.</w:t>
      </w:r>
    </w:p>
    <w:p w14:paraId="0819D46C" w14:textId="77777777" w:rsidR="006036F0" w:rsidRPr="00BC6461" w:rsidRDefault="006036F0" w:rsidP="006036F0">
      <w:pPr>
        <w:spacing w:before="60" w:after="60"/>
        <w:ind w:left="1440"/>
        <w:rPr>
          <w:rFonts w:cs="Arial"/>
          <w:szCs w:val="24"/>
        </w:rPr>
      </w:pPr>
    </w:p>
    <w:p w14:paraId="61F6D95F" w14:textId="77777777" w:rsidR="006036F0" w:rsidRPr="00BC6461" w:rsidRDefault="006036F0" w:rsidP="006036F0">
      <w:pPr>
        <w:pStyle w:val="ListParagraph"/>
        <w:spacing w:before="60" w:after="60"/>
        <w:jc w:val="both"/>
        <w:rPr>
          <w:rFonts w:cs="Arial"/>
          <w:szCs w:val="24"/>
        </w:rPr>
      </w:pPr>
      <w:r w:rsidRPr="00BC6461">
        <w:rPr>
          <w:rFonts w:cs="Arial"/>
          <w:szCs w:val="24"/>
        </w:rPr>
        <w:t xml:space="preserve">Full details of Sections 83, 93 and 96 of the National Health Service Act 2006 can be found at </w:t>
      </w:r>
      <w:hyperlink w:anchor="_Appendix_2_–" w:history="1">
        <w:r w:rsidRPr="00BC6461">
          <w:rPr>
            <w:rStyle w:val="Hyperlink"/>
            <w:rFonts w:eastAsiaTheme="majorEastAsia" w:cs="Arial"/>
            <w:szCs w:val="24"/>
          </w:rPr>
          <w:t xml:space="preserve">appendix </w:t>
        </w:r>
        <w:r>
          <w:rPr>
            <w:rStyle w:val="Hyperlink"/>
            <w:rFonts w:eastAsiaTheme="majorEastAsia" w:cs="Arial"/>
            <w:szCs w:val="24"/>
          </w:rPr>
          <w:t>1</w:t>
        </w:r>
      </w:hyperlink>
    </w:p>
    <w:p w14:paraId="55FDFCCF" w14:textId="77777777" w:rsidR="006036F0" w:rsidRPr="00BC6461" w:rsidRDefault="006036F0" w:rsidP="006036F0">
      <w:pPr>
        <w:pStyle w:val="ListParagraph"/>
        <w:spacing w:before="60" w:after="60"/>
        <w:jc w:val="both"/>
        <w:rPr>
          <w:rFonts w:cs="Arial"/>
          <w:szCs w:val="24"/>
        </w:rPr>
      </w:pPr>
    </w:p>
    <w:p w14:paraId="09302911" w14:textId="4DB37DFA" w:rsidR="006036F0" w:rsidRPr="009A7101" w:rsidRDefault="006036F0" w:rsidP="00912FE4">
      <w:pPr>
        <w:pStyle w:val="Heading3"/>
      </w:pPr>
      <w:r w:rsidRPr="00D819B0">
        <w:t>Section 96 expressly states that NHS England may provide financial assistance, on terms as it considers appropriate.  As a result, NHS England has discretion as to the type and level of financial assistance and the payment mechanism that it may choose to employ.</w:t>
      </w:r>
      <w:r w:rsidR="00912FE4" w:rsidRPr="009A7101">
        <w:t xml:space="preserve"> </w:t>
      </w:r>
    </w:p>
    <w:p w14:paraId="2883D487" w14:textId="06D17E5B" w:rsidR="006036F0" w:rsidRPr="00367377" w:rsidRDefault="006036F0" w:rsidP="00367377">
      <w:pPr>
        <w:pStyle w:val="Heading3"/>
      </w:pPr>
      <w:r w:rsidRPr="00D819B0">
        <w:t xml:space="preserve">However, NHS England is increasingly being expected to demonstrate publicly what it is spending its money on, what it is getting for its money and of that funding that is allocated to support initiatives that this is done fairly and in the best interests of the organisation and public funds.  As such when providing any financial </w:t>
      </w:r>
      <w:r w:rsidR="003A5B58" w:rsidRPr="00D819B0">
        <w:t>assistance,</w:t>
      </w:r>
      <w:r w:rsidRPr="00D819B0">
        <w:t xml:space="preserve"> you must be able to demonstrate that you have acted with propriety, that you have understood and complied with any wider financial requirements as set out in the latest NHS England Standing Financial Instructions, that you have followed all steps to provide best value for money and that you have followed requirements in relation to public sector bodies as stipulated in Managing Public Money (January 2015), available at:</w:t>
      </w:r>
      <w:r w:rsidR="00367377">
        <w:t xml:space="preserve"> </w:t>
      </w:r>
      <w:hyperlink r:id="rId137" w:history="1">
        <w:r w:rsidRPr="00367377">
          <w:rPr>
            <w:rFonts w:cs="Arial"/>
            <w:color w:val="0000FF"/>
            <w:szCs w:val="24"/>
            <w:u w:val="single"/>
          </w:rPr>
          <w:t>https://www.gov.uk/government/publications/managing-public-money</w:t>
        </w:r>
      </w:hyperlink>
      <w:r w:rsidRPr="00367377">
        <w:rPr>
          <w:rFonts w:cs="Arial"/>
          <w:color w:val="0000FF"/>
          <w:szCs w:val="24"/>
          <w:u w:val="single"/>
        </w:rPr>
        <w:t xml:space="preserve"> </w:t>
      </w:r>
    </w:p>
    <w:p w14:paraId="2BA9A4E0" w14:textId="2DE91258" w:rsidR="006036F0" w:rsidRPr="00BC6461" w:rsidRDefault="006036F0" w:rsidP="006036F0">
      <w:pPr>
        <w:spacing w:before="60" w:after="60"/>
        <w:rPr>
          <w:rFonts w:cs="Arial"/>
          <w:b/>
          <w:bCs w:val="0"/>
          <w:color w:val="0072C6"/>
          <w:kern w:val="32"/>
          <w:szCs w:val="24"/>
        </w:rPr>
      </w:pPr>
    </w:p>
    <w:p w14:paraId="2626DEEC" w14:textId="77777777" w:rsidR="006036F0" w:rsidRPr="00110449" w:rsidRDefault="006036F0" w:rsidP="006036F0">
      <w:pPr>
        <w:pStyle w:val="Heading2"/>
      </w:pPr>
      <w:bookmarkStart w:id="1091" w:name="_Toc536198940"/>
      <w:bookmarkStart w:id="1092" w:name="_Toc493938685"/>
      <w:bookmarkStart w:id="1093" w:name="_Toc493938778"/>
      <w:bookmarkStart w:id="1094" w:name="_Toc493939127"/>
      <w:bookmarkStart w:id="1095" w:name="_Toc95743483"/>
      <w:r w:rsidRPr="00110449">
        <w:t>Key Principles</w:t>
      </w:r>
      <w:bookmarkEnd w:id="1091"/>
      <w:bookmarkEnd w:id="1092"/>
      <w:bookmarkEnd w:id="1093"/>
      <w:bookmarkEnd w:id="1094"/>
      <w:bookmarkEnd w:id="1095"/>
    </w:p>
    <w:p w14:paraId="3C42CA64" w14:textId="77777777" w:rsidR="006036F0" w:rsidRPr="005E4DE2" w:rsidRDefault="000B57EE" w:rsidP="006036F0">
      <w:pPr>
        <w:spacing w:before="60" w:after="60"/>
        <w:jc w:val="right"/>
        <w:rPr>
          <w:rFonts w:cs="Arial"/>
          <w:sz w:val="16"/>
          <w:szCs w:val="16"/>
        </w:rPr>
      </w:pPr>
      <w:hyperlink w:anchor="_top" w:history="1">
        <w:r w:rsidR="006036F0" w:rsidRPr="005E4DE2">
          <w:rPr>
            <w:rStyle w:val="Hyperlink"/>
            <w:rFonts w:eastAsiaTheme="majorEastAsia" w:cs="Arial"/>
            <w:sz w:val="16"/>
            <w:szCs w:val="16"/>
          </w:rPr>
          <w:t>(return to contents page)</w:t>
        </w:r>
      </w:hyperlink>
    </w:p>
    <w:p w14:paraId="695B432E" w14:textId="77777777" w:rsidR="006036F0" w:rsidRPr="00D819B0" w:rsidRDefault="006036F0" w:rsidP="00A507BE">
      <w:pPr>
        <w:pStyle w:val="Heading3"/>
      </w:pPr>
      <w:r w:rsidRPr="00D819B0">
        <w:t>All financial assistance must be provided within the principles of openness, fairness, probity and accountability.</w:t>
      </w:r>
    </w:p>
    <w:p w14:paraId="6D2D2848" w14:textId="77777777" w:rsidR="006036F0" w:rsidRPr="00D819B0" w:rsidRDefault="006036F0" w:rsidP="00A507BE">
      <w:pPr>
        <w:pStyle w:val="Heading3"/>
      </w:pPr>
      <w:r w:rsidRPr="00D819B0">
        <w:t>The provision of financial assistance should not conflict with UK or EU policies and actions including the rules on bribery, corruption, competition, state aid, or and other equality duties.</w:t>
      </w:r>
    </w:p>
    <w:p w14:paraId="786F338F" w14:textId="77777777" w:rsidR="006036F0" w:rsidRPr="00D819B0" w:rsidRDefault="006036F0" w:rsidP="00A507BE">
      <w:pPr>
        <w:pStyle w:val="Heading3"/>
      </w:pPr>
      <w:r w:rsidRPr="00D819B0">
        <w:t>It must be demonstrated how the financial assistance supports NHS England functions and strategic objectives of NHS England as well as any policy objectives</w:t>
      </w:r>
    </w:p>
    <w:p w14:paraId="5D19FA3F" w14:textId="77777777" w:rsidR="006036F0" w:rsidRPr="00D819B0" w:rsidRDefault="006036F0" w:rsidP="00A507BE">
      <w:pPr>
        <w:pStyle w:val="Heading3"/>
      </w:pPr>
      <w:r w:rsidRPr="00D819B0">
        <w:t>Financial Assistance must demonstrate value for money and be in the best interests of NHS England and the patients.</w:t>
      </w:r>
    </w:p>
    <w:p w14:paraId="48A2221F" w14:textId="77777777" w:rsidR="006036F0" w:rsidRPr="00D819B0" w:rsidRDefault="006036F0" w:rsidP="00A507BE">
      <w:pPr>
        <w:pStyle w:val="Heading3"/>
      </w:pPr>
      <w:r w:rsidRPr="00D819B0">
        <w:t xml:space="preserve">Financial Assistance must be proportionate to the identified need and represent better value for the taxpayer than alternative solutions. </w:t>
      </w:r>
    </w:p>
    <w:p w14:paraId="0F03D3EF" w14:textId="77777777" w:rsidR="006036F0" w:rsidRPr="00D819B0" w:rsidRDefault="006036F0" w:rsidP="00A507BE">
      <w:pPr>
        <w:pStyle w:val="Heading3"/>
      </w:pPr>
      <w:r w:rsidRPr="00D819B0">
        <w:t>Financial Assistance will only be made available in exceptional circumstances.</w:t>
      </w:r>
    </w:p>
    <w:p w14:paraId="20E6350B" w14:textId="77777777" w:rsidR="006036F0" w:rsidRPr="00654FE5" w:rsidRDefault="006036F0" w:rsidP="006036F0">
      <w:pPr>
        <w:spacing w:before="60" w:after="60"/>
        <w:rPr>
          <w:rFonts w:cs="Arial"/>
        </w:rPr>
      </w:pPr>
    </w:p>
    <w:p w14:paraId="3A8DA9D5" w14:textId="77777777" w:rsidR="006036F0" w:rsidRPr="00FA603E" w:rsidRDefault="006036F0" w:rsidP="006036F0">
      <w:pPr>
        <w:pStyle w:val="Heading2"/>
      </w:pPr>
      <w:bookmarkStart w:id="1096" w:name="_Toc536198941"/>
      <w:bookmarkStart w:id="1097" w:name="_Toc493938686"/>
      <w:bookmarkStart w:id="1098" w:name="_Toc493938779"/>
      <w:bookmarkStart w:id="1099" w:name="_Toc493939128"/>
      <w:bookmarkStart w:id="1100" w:name="_Toc95743484"/>
      <w:r w:rsidRPr="00404E8C">
        <w:t>Programme and Non Programme Financial Assistance</w:t>
      </w:r>
      <w:bookmarkEnd w:id="1096"/>
      <w:bookmarkEnd w:id="1097"/>
      <w:bookmarkEnd w:id="1098"/>
      <w:bookmarkEnd w:id="1099"/>
      <w:bookmarkEnd w:id="1100"/>
    </w:p>
    <w:p w14:paraId="67B92B1D" w14:textId="77777777" w:rsidR="006036F0" w:rsidRDefault="006036F0" w:rsidP="006036F0">
      <w:pPr>
        <w:pStyle w:val="ListParagraph"/>
        <w:spacing w:before="60" w:after="60"/>
        <w:jc w:val="both"/>
        <w:rPr>
          <w:rFonts w:cs="Arial"/>
          <w:szCs w:val="24"/>
          <w:lang w:eastAsia="en-GB"/>
        </w:rPr>
      </w:pPr>
    </w:p>
    <w:p w14:paraId="3D770188" w14:textId="2D4EF210" w:rsidR="006036F0" w:rsidRPr="00A553BA" w:rsidRDefault="006036F0" w:rsidP="00912FE4">
      <w:pPr>
        <w:pStyle w:val="Heading3"/>
      </w:pPr>
      <w:r w:rsidRPr="00BC6461">
        <w:rPr>
          <w:lang w:eastAsia="en-GB"/>
        </w:rPr>
        <w:t>S</w:t>
      </w:r>
      <w:r w:rsidR="00AB78C5">
        <w:rPr>
          <w:lang w:eastAsia="en-GB"/>
        </w:rPr>
        <w:t>ection</w:t>
      </w:r>
      <w:r w:rsidRPr="00BC6461">
        <w:rPr>
          <w:lang w:eastAsia="en-GB"/>
        </w:rPr>
        <w:t xml:space="preserve">96 exceptional discretionary funding is </w:t>
      </w:r>
      <w:r>
        <w:rPr>
          <w:lang w:eastAsia="en-GB"/>
        </w:rPr>
        <w:t>generally</w:t>
      </w:r>
      <w:r w:rsidRPr="00BC6461">
        <w:rPr>
          <w:lang w:eastAsia="en-GB"/>
        </w:rPr>
        <w:t xml:space="preserve"> used to safeguard patients’ interests by providing additional funding to support practices facing a crisis situation.</w:t>
      </w:r>
      <w:r w:rsidR="00912FE4" w:rsidRPr="00A553BA">
        <w:t xml:space="preserve"> </w:t>
      </w:r>
    </w:p>
    <w:p w14:paraId="19829121" w14:textId="6E716790" w:rsidR="006036F0" w:rsidRPr="00BC6461" w:rsidRDefault="006036F0" w:rsidP="00A507BE">
      <w:pPr>
        <w:pStyle w:val="Heading3"/>
        <w:rPr>
          <w:lang w:eastAsia="en-GB"/>
        </w:rPr>
      </w:pPr>
      <w:r w:rsidRPr="00BC6461">
        <w:rPr>
          <w:lang w:eastAsia="en-GB"/>
        </w:rPr>
        <w:t>Often</w:t>
      </w:r>
      <w:r w:rsidR="00AB78C5">
        <w:rPr>
          <w:lang w:eastAsia="en-GB"/>
        </w:rPr>
        <w:t>,</w:t>
      </w:r>
      <w:r w:rsidRPr="00BC6461">
        <w:rPr>
          <w:lang w:eastAsia="en-GB"/>
        </w:rPr>
        <w:t xml:space="preserve"> financial assistance </w:t>
      </w:r>
      <w:r w:rsidR="00E5583C">
        <w:rPr>
          <w:lang w:eastAsia="en-GB"/>
        </w:rPr>
        <w:t xml:space="preserve">was </w:t>
      </w:r>
      <w:r w:rsidRPr="00BC6461">
        <w:rPr>
          <w:lang w:eastAsia="en-GB"/>
        </w:rPr>
        <w:t xml:space="preserve">made available through formal programmes such as the </w:t>
      </w:r>
      <w:hyperlink r:id="rId138" w:history="1">
        <w:r w:rsidRPr="00BC6461">
          <w:rPr>
            <w:rStyle w:val="Hyperlink"/>
            <w:rFonts w:eastAsiaTheme="majorEastAsia" w:cs="Arial"/>
            <w:szCs w:val="24"/>
            <w:lang w:eastAsia="en-GB"/>
          </w:rPr>
          <w:t>General Practice Resilience Programme (GPRP)</w:t>
        </w:r>
      </w:hyperlink>
      <w:r w:rsidR="00BA0EE3">
        <w:rPr>
          <w:rStyle w:val="Hyperlink"/>
          <w:rFonts w:eastAsiaTheme="majorEastAsia" w:cs="Arial"/>
          <w:szCs w:val="24"/>
          <w:lang w:eastAsia="en-GB"/>
        </w:rPr>
        <w:t xml:space="preserve"> or the current </w:t>
      </w:r>
      <w:hyperlink r:id="rId139" w:history="1">
        <w:r w:rsidR="00BA0EE3" w:rsidRPr="00BA0EE3">
          <w:rPr>
            <w:rStyle w:val="Hyperlink"/>
            <w:rFonts w:eastAsiaTheme="majorEastAsia" w:cs="Arial"/>
            <w:szCs w:val="24"/>
            <w:lang w:eastAsia="en-GB"/>
          </w:rPr>
          <w:t xml:space="preserve">Covid Support Fund </w:t>
        </w:r>
      </w:hyperlink>
      <w:r w:rsidRPr="00BC6461">
        <w:rPr>
          <w:lang w:eastAsia="en-GB"/>
        </w:rPr>
        <w:t>.</w:t>
      </w:r>
    </w:p>
    <w:p w14:paraId="410666D8" w14:textId="77777777" w:rsidR="006036F0" w:rsidRPr="00A553BA" w:rsidRDefault="006036F0" w:rsidP="00A553BA"/>
    <w:p w14:paraId="2DA44DBA" w14:textId="4FA61B59" w:rsidR="006036F0" w:rsidRPr="00BC6461" w:rsidRDefault="006036F0" w:rsidP="00A507BE">
      <w:pPr>
        <w:pStyle w:val="Heading3"/>
        <w:rPr>
          <w:lang w:eastAsia="en-GB"/>
        </w:rPr>
      </w:pPr>
      <w:r w:rsidRPr="00BC6461">
        <w:rPr>
          <w:lang w:eastAsia="en-GB"/>
        </w:rPr>
        <w:t xml:space="preserve">However, </w:t>
      </w:r>
      <w:r w:rsidR="00BA0EE3">
        <w:rPr>
          <w:lang w:eastAsia="en-GB"/>
        </w:rPr>
        <w:t xml:space="preserve">formal </w:t>
      </w:r>
      <w:r w:rsidR="0098710F">
        <w:rPr>
          <w:lang w:eastAsia="en-GB"/>
        </w:rPr>
        <w:t xml:space="preserve">national </w:t>
      </w:r>
      <w:r w:rsidR="00BA0EE3">
        <w:rPr>
          <w:lang w:eastAsia="en-GB"/>
        </w:rPr>
        <w:t>programmes</w:t>
      </w:r>
      <w:r w:rsidR="0098710F">
        <w:rPr>
          <w:lang w:eastAsia="en-GB"/>
        </w:rPr>
        <w:t xml:space="preserve"> of support</w:t>
      </w:r>
      <w:r w:rsidR="00BA0EE3">
        <w:rPr>
          <w:lang w:eastAsia="en-GB"/>
        </w:rPr>
        <w:t xml:space="preserve"> </w:t>
      </w:r>
      <w:r w:rsidRPr="00BC6461">
        <w:rPr>
          <w:lang w:eastAsia="en-GB"/>
        </w:rPr>
        <w:t>do not cover or replace all circumstances where there is a need for support and agreement on eligibility for funding support from local primary care budgets. Their proposed use - and the amount provided - will still generally need to be managed by individual local commissioners.</w:t>
      </w:r>
    </w:p>
    <w:p w14:paraId="1346A992" w14:textId="77777777" w:rsidR="006036F0" w:rsidRPr="00A553BA" w:rsidRDefault="006036F0" w:rsidP="00A553BA"/>
    <w:p w14:paraId="18E40714" w14:textId="77777777" w:rsidR="006036F0" w:rsidRPr="00BC6461" w:rsidRDefault="006036F0" w:rsidP="00A507BE">
      <w:pPr>
        <w:pStyle w:val="Heading3"/>
        <w:rPr>
          <w:lang w:eastAsia="en-GB"/>
        </w:rPr>
      </w:pPr>
      <w:r w:rsidRPr="00BC6461">
        <w:rPr>
          <w:lang w:eastAsia="en-GB"/>
        </w:rPr>
        <w:t xml:space="preserve">The pressures on general practice mean that requests for support are being received more frequently with a consequent need to have a more structured approach to considering and approving such expenditure outside of formal programmes. </w:t>
      </w:r>
    </w:p>
    <w:p w14:paraId="7EF05737" w14:textId="77777777" w:rsidR="006036F0" w:rsidRPr="00A553BA" w:rsidRDefault="006036F0" w:rsidP="00A553BA"/>
    <w:p w14:paraId="654EC7B9" w14:textId="32740577" w:rsidR="006036F0" w:rsidRDefault="006036F0" w:rsidP="00A507BE">
      <w:pPr>
        <w:pStyle w:val="Heading3"/>
        <w:rPr>
          <w:lang w:eastAsia="en-GB"/>
        </w:rPr>
      </w:pPr>
      <w:r w:rsidRPr="00BC6461">
        <w:rPr>
          <w:lang w:eastAsia="en-GB"/>
        </w:rPr>
        <w:t>It is also important to ensure that ad hoc requests are minimised through pro-active work with practices via appropriate programmes of support</w:t>
      </w:r>
      <w:r w:rsidR="0098710F">
        <w:rPr>
          <w:lang w:eastAsia="en-GB"/>
        </w:rPr>
        <w:t xml:space="preserve"> that may be in place</w:t>
      </w:r>
      <w:r w:rsidRPr="00BC6461">
        <w:rPr>
          <w:lang w:eastAsia="en-GB"/>
        </w:rPr>
        <w:t>.</w:t>
      </w:r>
    </w:p>
    <w:p w14:paraId="1A50F008" w14:textId="77777777" w:rsidR="006036F0" w:rsidRPr="00110449" w:rsidRDefault="006036F0" w:rsidP="006036F0">
      <w:pPr>
        <w:pStyle w:val="ListParagraph"/>
        <w:rPr>
          <w:rFonts w:cs="Arial"/>
          <w:szCs w:val="24"/>
          <w:lang w:eastAsia="en-GB"/>
        </w:rPr>
      </w:pPr>
    </w:p>
    <w:p w14:paraId="2E1524FF" w14:textId="77777777" w:rsidR="006036F0" w:rsidRPr="00BC6461" w:rsidRDefault="006036F0" w:rsidP="006036F0">
      <w:pPr>
        <w:pStyle w:val="ListParagraph"/>
        <w:spacing w:before="60" w:after="60"/>
        <w:jc w:val="both"/>
        <w:rPr>
          <w:rFonts w:cs="Arial"/>
          <w:szCs w:val="24"/>
          <w:lang w:eastAsia="en-GB"/>
        </w:rPr>
      </w:pPr>
    </w:p>
    <w:p w14:paraId="7C39060D" w14:textId="77777777" w:rsidR="006036F0" w:rsidRPr="00110449" w:rsidRDefault="000B57EE" w:rsidP="006036F0">
      <w:pPr>
        <w:spacing w:before="60" w:after="60"/>
        <w:jc w:val="right"/>
        <w:rPr>
          <w:rFonts w:cs="Arial"/>
          <w:sz w:val="16"/>
          <w:szCs w:val="16"/>
        </w:rPr>
      </w:pPr>
      <w:hyperlink w:anchor="_top" w:history="1">
        <w:r w:rsidR="006036F0" w:rsidRPr="00110449">
          <w:rPr>
            <w:rStyle w:val="Hyperlink"/>
            <w:rFonts w:eastAsiaTheme="majorEastAsia" w:cs="Arial"/>
            <w:sz w:val="16"/>
            <w:szCs w:val="16"/>
          </w:rPr>
          <w:t>(return to contents page)</w:t>
        </w:r>
      </w:hyperlink>
    </w:p>
    <w:p w14:paraId="32AA2280" w14:textId="77777777" w:rsidR="006036F0" w:rsidRDefault="006036F0" w:rsidP="006036F0">
      <w:pPr>
        <w:spacing w:before="60" w:after="60"/>
        <w:rPr>
          <w:rFonts w:cs="Arial"/>
          <w:b/>
          <w:bCs w:val="0"/>
          <w:color w:val="0072C6"/>
          <w:kern w:val="32"/>
          <w:sz w:val="32"/>
          <w:szCs w:val="32"/>
        </w:rPr>
      </w:pPr>
      <w:r>
        <w:br w:type="page"/>
      </w:r>
    </w:p>
    <w:p w14:paraId="52B08962" w14:textId="1E72285D" w:rsidR="000D22E7" w:rsidRDefault="006036F0" w:rsidP="000D22E7">
      <w:pPr>
        <w:pStyle w:val="Heading2"/>
      </w:pPr>
      <w:bookmarkStart w:id="1101" w:name="_Toc95743485"/>
      <w:bookmarkStart w:id="1102" w:name="_Toc536198942"/>
      <w:bookmarkStart w:id="1103" w:name="_Toc493938687"/>
      <w:bookmarkStart w:id="1104" w:name="_Toc493938780"/>
      <w:bookmarkStart w:id="1105" w:name="_Toc493939129"/>
      <w:r w:rsidRPr="00404E8C">
        <w:t>Process for Financial Assistance for individual Provider</w:t>
      </w:r>
      <w:bookmarkEnd w:id="1101"/>
      <w:r w:rsidRPr="00404E8C">
        <w:t xml:space="preserve"> </w:t>
      </w:r>
      <w:bookmarkEnd w:id="1102"/>
      <w:bookmarkEnd w:id="1103"/>
      <w:bookmarkEnd w:id="1104"/>
      <w:bookmarkEnd w:id="1105"/>
    </w:p>
    <w:p w14:paraId="1C8332E8" w14:textId="3B0B90E1" w:rsidR="000D22E7" w:rsidRPr="000D22E7" w:rsidRDefault="000D22E7" w:rsidP="005C251F">
      <w:r>
        <w:t xml:space="preserve">Readers note: to be updated for delegated ICB commissioning </w:t>
      </w:r>
    </w:p>
    <w:p w14:paraId="75510FA8" w14:textId="77777777" w:rsidR="006036F0" w:rsidRPr="005E4DE2" w:rsidRDefault="000B57EE" w:rsidP="006036F0">
      <w:pPr>
        <w:spacing w:before="60" w:after="60"/>
        <w:jc w:val="right"/>
        <w:rPr>
          <w:rFonts w:cs="Arial"/>
          <w:sz w:val="16"/>
          <w:szCs w:val="16"/>
        </w:rPr>
      </w:pPr>
      <w:hyperlink w:anchor="_top" w:history="1">
        <w:r w:rsidR="006036F0" w:rsidRPr="005E4DE2">
          <w:rPr>
            <w:rStyle w:val="Hyperlink"/>
            <w:rFonts w:eastAsiaTheme="majorEastAsia" w:cs="Arial"/>
            <w:sz w:val="16"/>
            <w:szCs w:val="16"/>
          </w:rPr>
          <w:t>(return to contents page)</w:t>
        </w:r>
      </w:hyperlink>
    </w:p>
    <w:tbl>
      <w:tblPr>
        <w:tblStyle w:val="TableGrid"/>
        <w:tblW w:w="9209" w:type="dxa"/>
        <w:tblLayout w:type="fixed"/>
        <w:tblLook w:val="04A0" w:firstRow="1" w:lastRow="0" w:firstColumn="1" w:lastColumn="0" w:noHBand="0" w:noVBand="1"/>
        <w:tblCaption w:val="a text box"/>
        <w:tblDescription w:val="a text box"/>
      </w:tblPr>
      <w:tblGrid>
        <w:gridCol w:w="988"/>
        <w:gridCol w:w="8221"/>
      </w:tblGrid>
      <w:tr w:rsidR="005C251F" w:rsidRPr="00BC6461" w14:paraId="0276229A" w14:textId="77777777" w:rsidTr="005C251F">
        <w:trPr>
          <w:tblHeader/>
        </w:trPr>
        <w:tc>
          <w:tcPr>
            <w:tcW w:w="988" w:type="dxa"/>
            <w:shd w:val="clear" w:color="auto" w:fill="BFBFBF" w:themeFill="background1" w:themeFillShade="BF"/>
            <w:vAlign w:val="center"/>
          </w:tcPr>
          <w:p w14:paraId="3386D952" w14:textId="77777777" w:rsidR="005C251F" w:rsidRPr="00BC6461" w:rsidRDefault="005C251F" w:rsidP="006036F0">
            <w:pPr>
              <w:spacing w:before="60" w:after="60" w:line="276" w:lineRule="auto"/>
              <w:jc w:val="center"/>
              <w:rPr>
                <w:rFonts w:cs="Arial"/>
                <w:b/>
                <w:szCs w:val="24"/>
              </w:rPr>
            </w:pPr>
            <w:r w:rsidRPr="00BC6461">
              <w:rPr>
                <w:rFonts w:cs="Arial"/>
                <w:b/>
                <w:szCs w:val="24"/>
              </w:rPr>
              <w:t>Stage</w:t>
            </w:r>
          </w:p>
        </w:tc>
        <w:tc>
          <w:tcPr>
            <w:tcW w:w="8221" w:type="dxa"/>
            <w:shd w:val="clear" w:color="auto" w:fill="BFBFBF" w:themeFill="background1" w:themeFillShade="BF"/>
            <w:vAlign w:val="center"/>
          </w:tcPr>
          <w:p w14:paraId="574BFC86" w14:textId="77777777" w:rsidR="005C251F" w:rsidRPr="00BC6461" w:rsidRDefault="005C251F" w:rsidP="006036F0">
            <w:pPr>
              <w:spacing w:before="60" w:after="60" w:line="276" w:lineRule="auto"/>
              <w:rPr>
                <w:rFonts w:cs="Arial"/>
                <w:b/>
                <w:szCs w:val="24"/>
              </w:rPr>
            </w:pPr>
          </w:p>
        </w:tc>
      </w:tr>
      <w:tr w:rsidR="005C251F" w:rsidRPr="00BC6461" w14:paraId="678F4448" w14:textId="77777777" w:rsidTr="005C251F">
        <w:tc>
          <w:tcPr>
            <w:tcW w:w="988" w:type="dxa"/>
            <w:vAlign w:val="center"/>
          </w:tcPr>
          <w:p w14:paraId="091A294B" w14:textId="77777777" w:rsidR="005C251F" w:rsidRPr="00BC6461" w:rsidRDefault="005C251F" w:rsidP="006036F0">
            <w:pPr>
              <w:spacing w:before="60" w:after="60" w:line="276" w:lineRule="auto"/>
              <w:jc w:val="center"/>
              <w:rPr>
                <w:rFonts w:cs="Arial"/>
                <w:b/>
                <w:szCs w:val="24"/>
              </w:rPr>
            </w:pPr>
            <w:r w:rsidRPr="00BC6461">
              <w:rPr>
                <w:rFonts w:cs="Arial"/>
                <w:b/>
                <w:szCs w:val="24"/>
              </w:rPr>
              <w:t>1</w:t>
            </w:r>
          </w:p>
        </w:tc>
        <w:tc>
          <w:tcPr>
            <w:tcW w:w="8221" w:type="dxa"/>
            <w:vAlign w:val="center"/>
          </w:tcPr>
          <w:p w14:paraId="4BAED054" w14:textId="08CC7711" w:rsidR="005C251F" w:rsidRPr="00BC6461" w:rsidRDefault="005C251F" w:rsidP="006036F0">
            <w:pPr>
              <w:spacing w:before="60" w:after="60" w:line="276" w:lineRule="auto"/>
              <w:rPr>
                <w:rFonts w:cs="Arial"/>
                <w:szCs w:val="24"/>
              </w:rPr>
            </w:pPr>
            <w:r>
              <w:rPr>
                <w:rFonts w:cs="Arial"/>
                <w:szCs w:val="24"/>
              </w:rPr>
              <w:t>The p</w:t>
            </w:r>
            <w:r w:rsidRPr="00BC6461">
              <w:rPr>
                <w:rFonts w:cs="Arial"/>
                <w:szCs w:val="24"/>
              </w:rPr>
              <w:t xml:space="preserve">ractice raises its sustainability issue with its </w:t>
            </w:r>
            <w:r>
              <w:rPr>
                <w:rFonts w:cs="Arial"/>
                <w:szCs w:val="24"/>
              </w:rPr>
              <w:t>CCG/ICB</w:t>
            </w:r>
            <w:r w:rsidRPr="00BC6461">
              <w:rPr>
                <w:rFonts w:cs="Arial"/>
                <w:szCs w:val="24"/>
              </w:rPr>
              <w:t xml:space="preserve"> Contract Officer to discuss issues. Verify contract payments are correct.</w:t>
            </w:r>
          </w:p>
        </w:tc>
      </w:tr>
      <w:tr w:rsidR="005C251F" w:rsidRPr="00BC6461" w14:paraId="7BF20F14" w14:textId="77777777" w:rsidTr="005C251F">
        <w:tc>
          <w:tcPr>
            <w:tcW w:w="988" w:type="dxa"/>
            <w:vAlign w:val="center"/>
          </w:tcPr>
          <w:p w14:paraId="7E3B7CDB" w14:textId="77777777" w:rsidR="005C251F" w:rsidRPr="00BC6461" w:rsidRDefault="005C251F" w:rsidP="006036F0">
            <w:pPr>
              <w:spacing w:before="60" w:after="60" w:line="276" w:lineRule="auto"/>
              <w:jc w:val="center"/>
              <w:rPr>
                <w:rFonts w:cs="Arial"/>
                <w:b/>
                <w:szCs w:val="24"/>
              </w:rPr>
            </w:pPr>
            <w:r w:rsidRPr="00BC6461">
              <w:rPr>
                <w:rFonts w:cs="Arial"/>
                <w:b/>
                <w:szCs w:val="24"/>
              </w:rPr>
              <w:t>2</w:t>
            </w:r>
          </w:p>
        </w:tc>
        <w:tc>
          <w:tcPr>
            <w:tcW w:w="8221" w:type="dxa"/>
            <w:vAlign w:val="center"/>
          </w:tcPr>
          <w:p w14:paraId="4B31E3AE" w14:textId="2766BA39" w:rsidR="005C251F" w:rsidRPr="00BC6461" w:rsidRDefault="005C251F" w:rsidP="006036F0">
            <w:pPr>
              <w:spacing w:before="60" w:after="60" w:line="276" w:lineRule="auto"/>
              <w:rPr>
                <w:rFonts w:cs="Arial"/>
                <w:b/>
                <w:szCs w:val="24"/>
              </w:rPr>
            </w:pPr>
            <w:r w:rsidRPr="00BC6461">
              <w:rPr>
                <w:rFonts w:cs="Arial"/>
                <w:szCs w:val="24"/>
              </w:rPr>
              <w:t>Practice submits Section 96 application (</w:t>
            </w:r>
            <w:hyperlink w:anchor="_Appendix_1_–" w:history="1">
              <w:r w:rsidRPr="00BC6461">
                <w:rPr>
                  <w:rStyle w:val="Hyperlink"/>
                  <w:rFonts w:eastAsiaTheme="majorEastAsia" w:cs="Arial"/>
                  <w:szCs w:val="24"/>
                </w:rPr>
                <w:t>Appendix 1</w:t>
              </w:r>
            </w:hyperlink>
            <w:r w:rsidRPr="00BC6461">
              <w:rPr>
                <w:rFonts w:cs="Arial"/>
                <w:szCs w:val="24"/>
              </w:rPr>
              <w:t xml:space="preserve">) accompanied </w:t>
            </w:r>
            <w:r>
              <w:rPr>
                <w:rFonts w:cs="Arial"/>
                <w:szCs w:val="24"/>
              </w:rPr>
              <w:t>by</w:t>
            </w:r>
            <w:r w:rsidRPr="00BC6461">
              <w:rPr>
                <w:rFonts w:cs="Arial"/>
                <w:szCs w:val="24"/>
              </w:rPr>
              <w:t xml:space="preserve"> </w:t>
            </w:r>
            <w:r>
              <w:rPr>
                <w:rFonts w:cs="Arial"/>
                <w:szCs w:val="24"/>
              </w:rPr>
              <w:t xml:space="preserve">the </w:t>
            </w:r>
            <w:r w:rsidRPr="00BC6461">
              <w:rPr>
                <w:rFonts w:cs="Arial"/>
                <w:szCs w:val="24"/>
              </w:rPr>
              <w:t xml:space="preserve">level of support requested, for what period, and for </w:t>
            </w:r>
            <w:r>
              <w:rPr>
                <w:rFonts w:cs="Arial"/>
                <w:szCs w:val="24"/>
              </w:rPr>
              <w:t xml:space="preserve">the </w:t>
            </w:r>
            <w:r w:rsidRPr="00BC6461">
              <w:rPr>
                <w:rFonts w:cs="Arial"/>
                <w:szCs w:val="24"/>
              </w:rPr>
              <w:t xml:space="preserve">type of expenditure with evidence provided to support application and </w:t>
            </w:r>
            <w:r>
              <w:rPr>
                <w:rFonts w:cs="Arial"/>
                <w:szCs w:val="24"/>
              </w:rPr>
              <w:t>CCG/ICB</w:t>
            </w:r>
            <w:r w:rsidRPr="00BC6461">
              <w:rPr>
                <w:rFonts w:cs="Arial"/>
                <w:szCs w:val="24"/>
              </w:rPr>
              <w:t xml:space="preserve"> support</w:t>
            </w:r>
          </w:p>
        </w:tc>
      </w:tr>
      <w:tr w:rsidR="005C251F" w:rsidRPr="00BC6461" w14:paraId="1CA95C32" w14:textId="77777777" w:rsidTr="005C251F">
        <w:tc>
          <w:tcPr>
            <w:tcW w:w="988" w:type="dxa"/>
            <w:vAlign w:val="center"/>
          </w:tcPr>
          <w:p w14:paraId="10397C36" w14:textId="77777777" w:rsidR="005C251F" w:rsidRPr="00BC6461" w:rsidRDefault="005C251F" w:rsidP="006036F0">
            <w:pPr>
              <w:spacing w:before="60" w:after="60" w:line="276" w:lineRule="auto"/>
              <w:jc w:val="center"/>
              <w:rPr>
                <w:rFonts w:cs="Arial"/>
                <w:b/>
                <w:szCs w:val="24"/>
              </w:rPr>
            </w:pPr>
            <w:r w:rsidRPr="00BC6461">
              <w:rPr>
                <w:rFonts w:cs="Arial"/>
                <w:b/>
                <w:szCs w:val="24"/>
              </w:rPr>
              <w:t>3</w:t>
            </w:r>
          </w:p>
        </w:tc>
        <w:tc>
          <w:tcPr>
            <w:tcW w:w="8221" w:type="dxa"/>
            <w:vAlign w:val="center"/>
          </w:tcPr>
          <w:p w14:paraId="085EE688" w14:textId="77777777" w:rsidR="005C251F" w:rsidRPr="00BC6461" w:rsidRDefault="005C251F" w:rsidP="006036F0">
            <w:pPr>
              <w:spacing w:before="60" w:after="60" w:line="276" w:lineRule="auto"/>
              <w:rPr>
                <w:rFonts w:cs="Arial"/>
                <w:b/>
                <w:szCs w:val="24"/>
              </w:rPr>
            </w:pPr>
            <w:r w:rsidRPr="00BC6461">
              <w:rPr>
                <w:rFonts w:cs="Arial"/>
                <w:szCs w:val="24"/>
              </w:rPr>
              <w:t>Primary Care team review submission and if necessary request for further information / supporting documentation</w:t>
            </w:r>
            <w:r>
              <w:rPr>
                <w:rFonts w:cs="Arial"/>
                <w:szCs w:val="24"/>
              </w:rPr>
              <w:t xml:space="preserve"> in order to produce a Business Case.  </w:t>
            </w:r>
          </w:p>
        </w:tc>
      </w:tr>
      <w:tr w:rsidR="005C251F" w:rsidRPr="00BC6461" w14:paraId="67C4B608" w14:textId="77777777" w:rsidTr="005C251F">
        <w:tc>
          <w:tcPr>
            <w:tcW w:w="988" w:type="dxa"/>
            <w:vAlign w:val="center"/>
          </w:tcPr>
          <w:p w14:paraId="2842B8D7" w14:textId="77777777" w:rsidR="005C251F" w:rsidRPr="00BC6461" w:rsidRDefault="005C251F" w:rsidP="006036F0">
            <w:pPr>
              <w:spacing w:before="60" w:after="60" w:line="276" w:lineRule="auto"/>
              <w:jc w:val="center"/>
              <w:rPr>
                <w:rFonts w:cs="Arial"/>
                <w:b/>
                <w:szCs w:val="24"/>
              </w:rPr>
            </w:pPr>
            <w:r w:rsidRPr="00BC6461">
              <w:rPr>
                <w:rFonts w:cs="Arial"/>
                <w:b/>
                <w:szCs w:val="24"/>
              </w:rPr>
              <w:t>4</w:t>
            </w:r>
          </w:p>
        </w:tc>
        <w:tc>
          <w:tcPr>
            <w:tcW w:w="8221" w:type="dxa"/>
            <w:vAlign w:val="center"/>
          </w:tcPr>
          <w:p w14:paraId="22B9DF4F" w14:textId="44F9009E" w:rsidR="005C251F" w:rsidRPr="00341C61" w:rsidRDefault="005C251F" w:rsidP="006036F0">
            <w:pPr>
              <w:spacing w:before="60" w:after="60" w:line="276" w:lineRule="auto"/>
              <w:rPr>
                <w:rFonts w:cs="Arial"/>
                <w:szCs w:val="24"/>
              </w:rPr>
            </w:pPr>
            <w:bookmarkStart w:id="1106" w:name="_Hlk536541473"/>
            <w:r>
              <w:rPr>
                <w:rFonts w:cs="Arial"/>
                <w:szCs w:val="24"/>
              </w:rPr>
              <w:t>Following review and validation of the practice information, a Business C</w:t>
            </w:r>
            <w:r w:rsidRPr="00341C61">
              <w:rPr>
                <w:rFonts w:cs="Arial"/>
                <w:szCs w:val="24"/>
              </w:rPr>
              <w:t>ase for the proposed financial assistance must be completed</w:t>
            </w:r>
            <w:r>
              <w:rPr>
                <w:rFonts w:cs="Arial"/>
                <w:szCs w:val="24"/>
              </w:rPr>
              <w:t>.  This must confirm:</w:t>
            </w:r>
            <w:r w:rsidRPr="00341C61">
              <w:rPr>
                <w:rFonts w:cs="Arial"/>
                <w:szCs w:val="24"/>
              </w:rPr>
              <w:t xml:space="preserve"> </w:t>
            </w:r>
          </w:p>
          <w:p w14:paraId="4FB88CF3" w14:textId="77777777" w:rsidR="005C251F" w:rsidRPr="00341C61" w:rsidRDefault="005C251F" w:rsidP="006036F0">
            <w:pPr>
              <w:spacing w:before="60" w:after="60" w:line="276" w:lineRule="auto"/>
              <w:rPr>
                <w:rFonts w:cs="Arial"/>
                <w:szCs w:val="24"/>
              </w:rPr>
            </w:pPr>
          </w:p>
          <w:p w14:paraId="76042968" w14:textId="0E219590" w:rsidR="005C251F" w:rsidRDefault="005C251F" w:rsidP="006C3DF5">
            <w:pPr>
              <w:pStyle w:val="ListParagraph"/>
              <w:numPr>
                <w:ilvl w:val="0"/>
                <w:numId w:val="71"/>
              </w:numPr>
              <w:spacing w:before="60" w:after="60" w:line="276" w:lineRule="auto"/>
              <w:rPr>
                <w:rFonts w:cs="Arial"/>
                <w:szCs w:val="24"/>
              </w:rPr>
            </w:pPr>
            <w:r>
              <w:rPr>
                <w:rFonts w:cstheme="minorHAnsi"/>
              </w:rPr>
              <w:t xml:space="preserve">The </w:t>
            </w:r>
            <w:r w:rsidRPr="00590EB7">
              <w:rPr>
                <w:rFonts w:cstheme="minorHAnsi"/>
              </w:rPr>
              <w:t>Name and reference code of practice for whom discretionary payment request is being made</w:t>
            </w:r>
            <w:r>
              <w:rPr>
                <w:rFonts w:cs="Arial"/>
                <w:szCs w:val="24"/>
              </w:rPr>
              <w:t xml:space="preserve"> </w:t>
            </w:r>
          </w:p>
          <w:p w14:paraId="18B56089" w14:textId="77777777" w:rsidR="005C251F" w:rsidRDefault="005C251F" w:rsidP="006C3DF5">
            <w:pPr>
              <w:pStyle w:val="ListParagraph"/>
              <w:numPr>
                <w:ilvl w:val="0"/>
                <w:numId w:val="71"/>
              </w:numPr>
              <w:spacing w:before="60" w:after="60" w:line="276" w:lineRule="auto"/>
              <w:rPr>
                <w:rFonts w:cs="Arial"/>
                <w:szCs w:val="24"/>
              </w:rPr>
            </w:pPr>
            <w:r>
              <w:rPr>
                <w:rFonts w:cs="Arial"/>
                <w:szCs w:val="24"/>
              </w:rPr>
              <w:t>The level of financial assistance being requested and the level being recommended</w:t>
            </w:r>
          </w:p>
          <w:p w14:paraId="01453506" w14:textId="77777777" w:rsidR="005C251F" w:rsidRDefault="005C251F" w:rsidP="006C3DF5">
            <w:pPr>
              <w:pStyle w:val="ListParagraph"/>
              <w:numPr>
                <w:ilvl w:val="0"/>
                <w:numId w:val="71"/>
              </w:numPr>
              <w:spacing w:before="60" w:after="60" w:line="276" w:lineRule="auto"/>
              <w:rPr>
                <w:rFonts w:cs="Arial"/>
                <w:szCs w:val="24"/>
              </w:rPr>
            </w:pPr>
            <w:r>
              <w:rPr>
                <w:rFonts w:cs="Arial"/>
                <w:szCs w:val="24"/>
              </w:rPr>
              <w:t>How the financial assistance will be paid.</w:t>
            </w:r>
          </w:p>
          <w:p w14:paraId="570FE512" w14:textId="1F998BE3" w:rsidR="005C251F" w:rsidRDefault="005C251F" w:rsidP="006C3DF5">
            <w:pPr>
              <w:pStyle w:val="ListParagraph"/>
              <w:numPr>
                <w:ilvl w:val="0"/>
                <w:numId w:val="71"/>
              </w:numPr>
              <w:spacing w:before="60" w:after="60" w:line="276" w:lineRule="auto"/>
              <w:rPr>
                <w:rFonts w:cs="Arial"/>
                <w:szCs w:val="24"/>
              </w:rPr>
            </w:pPr>
            <w:r w:rsidRPr="00590EB7">
              <w:rPr>
                <w:rFonts w:cstheme="minorHAnsi"/>
              </w:rPr>
              <w:t xml:space="preserve">How long is the support anticipated to be needed (either to achieve a resolution or to prepare a business </w:t>
            </w:r>
            <w:r>
              <w:rPr>
                <w:rFonts w:cstheme="minorHAnsi"/>
              </w:rPr>
              <w:t xml:space="preserve">case for long term support) </w:t>
            </w:r>
            <w:r w:rsidRPr="000F7736">
              <w:rPr>
                <w:rFonts w:cstheme="minorHAnsi"/>
              </w:rPr>
              <w:t>generally no more than a maximum</w:t>
            </w:r>
            <w:r>
              <w:rPr>
                <w:rFonts w:cstheme="minorHAnsi"/>
              </w:rPr>
              <w:t xml:space="preserve"> of</w:t>
            </w:r>
            <w:r w:rsidRPr="000F7736">
              <w:rPr>
                <w:rFonts w:cstheme="minorHAnsi"/>
              </w:rPr>
              <w:t xml:space="preserve"> £200,000 or 3 months funding should be considered</w:t>
            </w:r>
            <w:r>
              <w:rPr>
                <w:rFonts w:cstheme="minorHAnsi"/>
              </w:rPr>
              <w:t xml:space="preserve"> (</w:t>
            </w:r>
            <w:r>
              <w:t>apart from in exceptional circumstances).</w:t>
            </w:r>
          </w:p>
          <w:bookmarkEnd w:id="1106"/>
          <w:p w14:paraId="17D3BEBB" w14:textId="609838D0" w:rsidR="005C251F" w:rsidRDefault="005C251F" w:rsidP="006C3DF5">
            <w:pPr>
              <w:pStyle w:val="ListParagraph"/>
              <w:numPr>
                <w:ilvl w:val="0"/>
                <w:numId w:val="71"/>
              </w:numPr>
              <w:spacing w:before="60" w:after="60" w:line="276" w:lineRule="auto"/>
              <w:rPr>
                <w:rFonts w:cs="Arial"/>
                <w:szCs w:val="24"/>
              </w:rPr>
            </w:pPr>
            <w:r w:rsidRPr="00BC6461">
              <w:rPr>
                <w:rFonts w:cs="Arial"/>
                <w:szCs w:val="24"/>
              </w:rPr>
              <w:t xml:space="preserve">The practice need </w:t>
            </w:r>
            <w:r>
              <w:rPr>
                <w:rFonts w:cs="Arial"/>
                <w:szCs w:val="24"/>
              </w:rPr>
              <w:t>for financial assistance has been validated</w:t>
            </w:r>
            <w:r w:rsidRPr="00BC6461">
              <w:rPr>
                <w:rFonts w:cs="Arial"/>
                <w:szCs w:val="24"/>
              </w:rPr>
              <w:t>;</w:t>
            </w:r>
          </w:p>
          <w:p w14:paraId="3148CD0C" w14:textId="7C29D649" w:rsidR="005C251F" w:rsidRPr="00D17445" w:rsidRDefault="005C251F" w:rsidP="006C3DF5">
            <w:pPr>
              <w:pStyle w:val="ListParagraph"/>
              <w:numPr>
                <w:ilvl w:val="0"/>
                <w:numId w:val="71"/>
              </w:numPr>
              <w:spacing w:before="60" w:after="60" w:line="276" w:lineRule="auto"/>
              <w:rPr>
                <w:rFonts w:cs="Arial"/>
                <w:szCs w:val="24"/>
              </w:rPr>
            </w:pPr>
            <w:r>
              <w:rPr>
                <w:rFonts w:cstheme="minorHAnsi"/>
              </w:rPr>
              <w:t>Description of what</w:t>
            </w:r>
            <w:r w:rsidRPr="00590EB7">
              <w:rPr>
                <w:rFonts w:cstheme="minorHAnsi"/>
              </w:rPr>
              <w:t xml:space="preserve"> precipitated the request for discretionary funding</w:t>
            </w:r>
          </w:p>
          <w:p w14:paraId="50EF1947" w14:textId="77777777" w:rsidR="005C251F" w:rsidRPr="006B1D65" w:rsidRDefault="005C251F" w:rsidP="006C3DF5">
            <w:pPr>
              <w:pStyle w:val="ListParagraph"/>
              <w:numPr>
                <w:ilvl w:val="0"/>
                <w:numId w:val="71"/>
              </w:numPr>
              <w:spacing w:before="60" w:after="60" w:line="276" w:lineRule="auto"/>
              <w:rPr>
                <w:rFonts w:cstheme="minorHAnsi"/>
              </w:rPr>
            </w:pPr>
            <w:r>
              <w:rPr>
                <w:rFonts w:cstheme="minorHAnsi"/>
              </w:rPr>
              <w:t>Confirmation of w</w:t>
            </w:r>
            <w:r w:rsidRPr="00590EB7">
              <w:rPr>
                <w:rFonts w:cstheme="minorHAnsi"/>
              </w:rPr>
              <w:t>hat pra</w:t>
            </w:r>
            <w:r>
              <w:rPr>
                <w:rFonts w:cstheme="minorHAnsi"/>
              </w:rPr>
              <w:t>ctical and financial support</w:t>
            </w:r>
            <w:r w:rsidRPr="00590EB7">
              <w:rPr>
                <w:rFonts w:cstheme="minorHAnsi"/>
              </w:rPr>
              <w:t xml:space="preserve"> the </w:t>
            </w:r>
            <w:r w:rsidRPr="00590EB7">
              <w:rPr>
                <w:rFonts w:cstheme="minorHAnsi"/>
                <w:u w:val="single"/>
              </w:rPr>
              <w:t>practice</w:t>
            </w:r>
            <w:r>
              <w:rPr>
                <w:rFonts w:cstheme="minorHAnsi"/>
                <w:u w:val="single"/>
              </w:rPr>
              <w:t xml:space="preserve"> has</w:t>
            </w:r>
            <w:r w:rsidRPr="00590EB7">
              <w:rPr>
                <w:rFonts w:cstheme="minorHAnsi"/>
              </w:rPr>
              <w:t xml:space="preserve"> already i</w:t>
            </w:r>
            <w:r>
              <w:rPr>
                <w:rFonts w:cstheme="minorHAnsi"/>
              </w:rPr>
              <w:t>nvested to resolve these issues</w:t>
            </w:r>
          </w:p>
          <w:p w14:paraId="7FA9A36A" w14:textId="77777777" w:rsidR="005C251F" w:rsidRPr="00BC6461" w:rsidRDefault="005C251F" w:rsidP="006C3DF5">
            <w:pPr>
              <w:pStyle w:val="ListParagraph"/>
              <w:numPr>
                <w:ilvl w:val="0"/>
                <w:numId w:val="71"/>
              </w:numPr>
              <w:spacing w:before="60" w:after="60" w:line="276" w:lineRule="auto"/>
              <w:rPr>
                <w:rFonts w:cs="Arial"/>
                <w:szCs w:val="24"/>
              </w:rPr>
            </w:pPr>
            <w:r>
              <w:rPr>
                <w:rFonts w:cs="Arial"/>
                <w:szCs w:val="24"/>
              </w:rPr>
              <w:t>Confirmation that t</w:t>
            </w:r>
            <w:r w:rsidRPr="00BC6461">
              <w:rPr>
                <w:rFonts w:cs="Arial"/>
                <w:szCs w:val="24"/>
              </w:rPr>
              <w:t>he practice agrees to receiving the support and any conditions placed on the support</w:t>
            </w:r>
            <w:r>
              <w:rPr>
                <w:rFonts w:cs="Arial"/>
                <w:szCs w:val="24"/>
              </w:rPr>
              <w:t xml:space="preserve"> including confirmation of any conditions</w:t>
            </w:r>
            <w:r w:rsidRPr="00BC6461">
              <w:rPr>
                <w:rFonts w:cs="Arial"/>
                <w:szCs w:val="24"/>
              </w:rPr>
              <w:t>;</w:t>
            </w:r>
          </w:p>
          <w:p w14:paraId="29EF058E" w14:textId="0B03F8F0" w:rsidR="005C251F" w:rsidRPr="00BC6461" w:rsidRDefault="005C251F" w:rsidP="006C3DF5">
            <w:pPr>
              <w:pStyle w:val="ListParagraph"/>
              <w:numPr>
                <w:ilvl w:val="0"/>
                <w:numId w:val="71"/>
              </w:numPr>
              <w:spacing w:before="60" w:after="60" w:line="276" w:lineRule="auto"/>
              <w:rPr>
                <w:rFonts w:cs="Arial"/>
                <w:szCs w:val="24"/>
              </w:rPr>
            </w:pPr>
            <w:r w:rsidRPr="00BC6461">
              <w:rPr>
                <w:rFonts w:cs="Arial"/>
                <w:szCs w:val="24"/>
              </w:rPr>
              <w:t xml:space="preserve">details of </w:t>
            </w:r>
            <w:r>
              <w:rPr>
                <w:rFonts w:cs="Arial"/>
                <w:szCs w:val="24"/>
              </w:rPr>
              <w:t>the practices</w:t>
            </w:r>
            <w:r w:rsidRPr="00BC6461">
              <w:rPr>
                <w:rFonts w:cs="Arial"/>
                <w:szCs w:val="24"/>
              </w:rPr>
              <w:t xml:space="preserve"> plan to recover the position and demonstrate that the short term support will deliver a sustainable solution in the long term</w:t>
            </w:r>
            <w:r>
              <w:rPr>
                <w:rFonts w:cs="Arial"/>
                <w:szCs w:val="24"/>
              </w:rPr>
              <w:t xml:space="preserve"> to ensure that the support is non recurrent</w:t>
            </w:r>
            <w:r w:rsidRPr="00BC6461">
              <w:rPr>
                <w:rFonts w:cs="Arial"/>
                <w:szCs w:val="24"/>
              </w:rPr>
              <w:t>.</w:t>
            </w:r>
          </w:p>
          <w:p w14:paraId="51B4EFBA" w14:textId="77777777" w:rsidR="005C251F" w:rsidRPr="00BC6461" w:rsidRDefault="005C251F" w:rsidP="006C3DF5">
            <w:pPr>
              <w:pStyle w:val="ListParagraph"/>
              <w:numPr>
                <w:ilvl w:val="0"/>
                <w:numId w:val="71"/>
              </w:numPr>
              <w:spacing w:before="60" w:after="60" w:line="276" w:lineRule="auto"/>
              <w:rPr>
                <w:rFonts w:cs="Arial"/>
                <w:szCs w:val="24"/>
              </w:rPr>
            </w:pPr>
            <w:r w:rsidRPr="00BC6461">
              <w:rPr>
                <w:rFonts w:cs="Arial"/>
                <w:szCs w:val="24"/>
              </w:rPr>
              <w:t>Performance Management arrangements in respect of the financial assistance</w:t>
            </w:r>
          </w:p>
          <w:p w14:paraId="255D95ED" w14:textId="77777777" w:rsidR="005C251F" w:rsidRPr="00BC6461" w:rsidRDefault="005C251F" w:rsidP="006C3DF5">
            <w:pPr>
              <w:pStyle w:val="ListParagraph"/>
              <w:numPr>
                <w:ilvl w:val="0"/>
                <w:numId w:val="71"/>
              </w:numPr>
              <w:spacing w:before="60" w:after="60" w:line="276" w:lineRule="auto"/>
              <w:rPr>
                <w:rFonts w:cs="Arial"/>
                <w:szCs w:val="24"/>
              </w:rPr>
            </w:pPr>
            <w:r w:rsidRPr="00BC6461">
              <w:rPr>
                <w:rFonts w:cs="Arial"/>
                <w:szCs w:val="24"/>
              </w:rPr>
              <w:t>The case represents value for money;</w:t>
            </w:r>
          </w:p>
          <w:p w14:paraId="124D7965" w14:textId="77777777" w:rsidR="005C251F" w:rsidRPr="00B440A9" w:rsidRDefault="005C251F" w:rsidP="006C3DF5">
            <w:pPr>
              <w:pStyle w:val="ListParagraph"/>
              <w:numPr>
                <w:ilvl w:val="0"/>
                <w:numId w:val="71"/>
              </w:numPr>
              <w:spacing w:before="60" w:after="60" w:line="276" w:lineRule="auto"/>
              <w:rPr>
                <w:rFonts w:cs="Arial"/>
                <w:b/>
                <w:szCs w:val="24"/>
              </w:rPr>
            </w:pPr>
            <w:r w:rsidRPr="00BC6461">
              <w:rPr>
                <w:rFonts w:cs="Arial"/>
                <w:szCs w:val="24"/>
              </w:rPr>
              <w:t>Financial assistance is a better option than any alternatives</w:t>
            </w:r>
          </w:p>
          <w:p w14:paraId="4136D86E" w14:textId="34872BAF" w:rsidR="005C251F" w:rsidRPr="00B440A9" w:rsidRDefault="005C251F" w:rsidP="006C3DF5">
            <w:pPr>
              <w:pStyle w:val="ListParagraph"/>
              <w:numPr>
                <w:ilvl w:val="0"/>
                <w:numId w:val="71"/>
              </w:numPr>
              <w:spacing w:before="60" w:after="60" w:line="276" w:lineRule="auto"/>
              <w:rPr>
                <w:rFonts w:cs="Arial"/>
                <w:b/>
                <w:szCs w:val="24"/>
              </w:rPr>
            </w:pPr>
            <w:r>
              <w:rPr>
                <w:rFonts w:cs="Arial"/>
                <w:szCs w:val="24"/>
              </w:rPr>
              <w:t>Confirmation that the expenditure is in the “normal course of business” for primary medical care.</w:t>
            </w:r>
          </w:p>
          <w:p w14:paraId="7019CB66" w14:textId="77777777" w:rsidR="005C251F" w:rsidRPr="00B440A9" w:rsidRDefault="005C251F" w:rsidP="006C3DF5">
            <w:pPr>
              <w:pStyle w:val="ListParagraph"/>
              <w:numPr>
                <w:ilvl w:val="0"/>
                <w:numId w:val="71"/>
              </w:numPr>
              <w:spacing w:before="60" w:after="60" w:line="276" w:lineRule="auto"/>
              <w:rPr>
                <w:rFonts w:cs="Arial"/>
                <w:b/>
                <w:szCs w:val="24"/>
              </w:rPr>
            </w:pPr>
            <w:r>
              <w:rPr>
                <w:rFonts w:cs="Arial"/>
                <w:szCs w:val="24"/>
              </w:rPr>
              <w:t>Confirmation that there is no reason why greater transparency is required in respect of the payment</w:t>
            </w:r>
          </w:p>
          <w:p w14:paraId="00FF4F1F" w14:textId="77777777" w:rsidR="005C251F" w:rsidRPr="00925E94" w:rsidRDefault="005C251F" w:rsidP="006C3DF5">
            <w:pPr>
              <w:pStyle w:val="ListParagraph"/>
              <w:numPr>
                <w:ilvl w:val="0"/>
                <w:numId w:val="71"/>
              </w:numPr>
              <w:spacing w:before="60" w:after="60" w:line="276" w:lineRule="auto"/>
              <w:rPr>
                <w:rFonts w:cs="Arial"/>
                <w:b/>
                <w:szCs w:val="24"/>
              </w:rPr>
            </w:pPr>
            <w:r>
              <w:t xml:space="preserve">Whether the contractor is </w:t>
            </w:r>
            <w:r w:rsidRPr="00590EB7">
              <w:rPr>
                <w:rFonts w:cstheme="minorHAnsi"/>
              </w:rPr>
              <w:t>already identified under any national or local programme providing support</w:t>
            </w:r>
            <w:r>
              <w:rPr>
                <w:rFonts w:cstheme="minorHAnsi"/>
              </w:rPr>
              <w:t>.</w:t>
            </w:r>
          </w:p>
          <w:p w14:paraId="5D8B0584" w14:textId="2199B263" w:rsidR="005C251F" w:rsidRPr="00B440A9" w:rsidRDefault="005C251F" w:rsidP="006C3DF5">
            <w:pPr>
              <w:pStyle w:val="ListParagraph"/>
              <w:numPr>
                <w:ilvl w:val="0"/>
                <w:numId w:val="71"/>
              </w:numPr>
              <w:spacing w:before="60" w:after="60" w:line="276" w:lineRule="auto"/>
              <w:rPr>
                <w:rFonts w:cs="Arial"/>
                <w:b/>
                <w:szCs w:val="24"/>
              </w:rPr>
            </w:pPr>
            <w:r>
              <w:t xml:space="preserve">Whether the contractor has applied for and/or received any funding (whether from any NHS or government body, or commercially) that relates to same subject matter of the s.96 application. </w:t>
            </w:r>
          </w:p>
          <w:p w14:paraId="2B2D3F7B" w14:textId="516E6BBC" w:rsidR="005C251F" w:rsidRPr="00BC6461" w:rsidRDefault="005C251F" w:rsidP="006C3DF5">
            <w:pPr>
              <w:pStyle w:val="ListParagraph"/>
              <w:numPr>
                <w:ilvl w:val="0"/>
                <w:numId w:val="71"/>
              </w:numPr>
              <w:spacing w:before="60" w:after="60" w:line="276" w:lineRule="auto"/>
              <w:rPr>
                <w:rFonts w:cs="Arial"/>
                <w:b/>
                <w:szCs w:val="24"/>
              </w:rPr>
            </w:pPr>
            <w:r>
              <w:t xml:space="preserve">Confirmation that there is no </w:t>
            </w:r>
            <w:r w:rsidRPr="00341C61">
              <w:t>additional obligation being placed on NHS England</w:t>
            </w:r>
            <w:r>
              <w:t xml:space="preserve"> as a result of the financial assistance</w:t>
            </w:r>
            <w:r w:rsidRPr="00341C61">
              <w:t xml:space="preserve">, </w:t>
            </w:r>
            <w:r>
              <w:t xml:space="preserve">that </w:t>
            </w:r>
            <w:r w:rsidRPr="00341C61">
              <w:t xml:space="preserve">this </w:t>
            </w:r>
            <w:r>
              <w:t xml:space="preserve">financial assistance </w:t>
            </w:r>
            <w:r w:rsidRPr="00341C61">
              <w:t>does not arise out of a dispute or claim nor is there any fault or issue which a court may hold requires a payment must be made.</w:t>
            </w:r>
            <w:r>
              <w:t xml:space="preserve"> </w:t>
            </w:r>
          </w:p>
        </w:tc>
      </w:tr>
      <w:tr w:rsidR="005C251F" w:rsidRPr="00BC6461" w14:paraId="3735F020" w14:textId="77777777" w:rsidTr="005C251F">
        <w:tc>
          <w:tcPr>
            <w:tcW w:w="988" w:type="dxa"/>
            <w:vAlign w:val="center"/>
          </w:tcPr>
          <w:p w14:paraId="00884B32" w14:textId="77777777" w:rsidR="005C251F" w:rsidRPr="00BC6461" w:rsidRDefault="005C251F" w:rsidP="006036F0">
            <w:pPr>
              <w:spacing w:before="60" w:after="60" w:line="276" w:lineRule="auto"/>
              <w:jc w:val="center"/>
              <w:rPr>
                <w:rFonts w:cs="Arial"/>
                <w:b/>
                <w:szCs w:val="24"/>
              </w:rPr>
            </w:pPr>
            <w:r w:rsidRPr="00BC6461">
              <w:rPr>
                <w:rFonts w:cs="Arial"/>
                <w:b/>
                <w:szCs w:val="24"/>
              </w:rPr>
              <w:t>5</w:t>
            </w:r>
          </w:p>
        </w:tc>
        <w:tc>
          <w:tcPr>
            <w:tcW w:w="8221" w:type="dxa"/>
            <w:vAlign w:val="center"/>
          </w:tcPr>
          <w:p w14:paraId="07B97211" w14:textId="77777777" w:rsidR="005C251F" w:rsidRPr="00BC6461" w:rsidRDefault="005C251F" w:rsidP="006036F0">
            <w:pPr>
              <w:spacing w:before="60" w:after="60" w:line="276" w:lineRule="auto"/>
              <w:rPr>
                <w:rFonts w:cs="Arial"/>
                <w:szCs w:val="24"/>
              </w:rPr>
            </w:pPr>
            <w:r w:rsidRPr="00BC6461">
              <w:rPr>
                <w:rFonts w:cs="Arial"/>
                <w:szCs w:val="24"/>
              </w:rPr>
              <w:t>Review of financial evidence</w:t>
            </w:r>
            <w:r>
              <w:rPr>
                <w:rFonts w:cs="Arial"/>
                <w:szCs w:val="24"/>
              </w:rPr>
              <w:t xml:space="preserve"> including certified accounts for the previous year and management</w:t>
            </w:r>
            <w:r w:rsidRPr="00BC6461">
              <w:rPr>
                <w:rFonts w:cs="Arial"/>
                <w:szCs w:val="24"/>
              </w:rPr>
              <w:t xml:space="preserve"> accounts</w:t>
            </w:r>
            <w:r>
              <w:rPr>
                <w:rFonts w:cs="Arial"/>
                <w:szCs w:val="24"/>
              </w:rPr>
              <w:t xml:space="preserve"> for the current year</w:t>
            </w:r>
            <w:r w:rsidRPr="00BC6461">
              <w:rPr>
                <w:rFonts w:cs="Arial"/>
                <w:szCs w:val="24"/>
              </w:rPr>
              <w:t>, cash flow, declared earnings etc.</w:t>
            </w:r>
          </w:p>
          <w:p w14:paraId="7059B2CB" w14:textId="5153BDF0" w:rsidR="005C251F" w:rsidRPr="00BC6461" w:rsidRDefault="005C251F" w:rsidP="006036F0">
            <w:pPr>
              <w:spacing w:before="60" w:after="60" w:line="276" w:lineRule="auto"/>
              <w:rPr>
                <w:rFonts w:cs="Arial"/>
                <w:szCs w:val="24"/>
              </w:rPr>
            </w:pPr>
            <w:r w:rsidRPr="00BC6461">
              <w:rPr>
                <w:rFonts w:cs="Arial"/>
                <w:szCs w:val="24"/>
              </w:rPr>
              <w:t xml:space="preserve">Consideration </w:t>
            </w:r>
            <w:r>
              <w:rPr>
                <w:rFonts w:cs="Arial"/>
                <w:szCs w:val="24"/>
              </w:rPr>
              <w:t xml:space="preserve">of </w:t>
            </w:r>
            <w:r w:rsidRPr="00BC6461">
              <w:rPr>
                <w:rFonts w:cs="Arial"/>
                <w:szCs w:val="24"/>
              </w:rPr>
              <w:t>whether the financial assistance will be sufficient to achieve the objectives.</w:t>
            </w:r>
          </w:p>
          <w:p w14:paraId="3C2CF910" w14:textId="77777777" w:rsidR="005C251F" w:rsidRPr="00BC6461" w:rsidRDefault="005C251F" w:rsidP="006036F0">
            <w:pPr>
              <w:spacing w:before="60" w:after="60" w:line="276" w:lineRule="auto"/>
              <w:rPr>
                <w:rFonts w:cs="Arial"/>
                <w:szCs w:val="24"/>
              </w:rPr>
            </w:pPr>
            <w:r w:rsidRPr="00BC6461">
              <w:rPr>
                <w:rFonts w:cs="Arial"/>
                <w:szCs w:val="24"/>
              </w:rPr>
              <w:t xml:space="preserve">Consideration of value for money vs alternatives </w:t>
            </w:r>
          </w:p>
          <w:p w14:paraId="245BBED8" w14:textId="77777777" w:rsidR="005C251F" w:rsidRPr="00BC6461" w:rsidRDefault="005C251F" w:rsidP="006036F0">
            <w:pPr>
              <w:spacing w:before="60" w:after="60" w:line="276" w:lineRule="auto"/>
              <w:rPr>
                <w:rFonts w:cs="Arial"/>
                <w:szCs w:val="24"/>
              </w:rPr>
            </w:pPr>
            <w:r w:rsidRPr="00BC6461">
              <w:rPr>
                <w:rFonts w:cs="Arial"/>
                <w:szCs w:val="24"/>
              </w:rPr>
              <w:t>Total likely overall financial risk to NHS England.</w:t>
            </w:r>
          </w:p>
        </w:tc>
      </w:tr>
      <w:tr w:rsidR="005C251F" w:rsidRPr="00BC6461" w14:paraId="754E8C0A" w14:textId="77777777" w:rsidTr="005C251F">
        <w:tc>
          <w:tcPr>
            <w:tcW w:w="988" w:type="dxa"/>
            <w:vAlign w:val="center"/>
          </w:tcPr>
          <w:p w14:paraId="2B49D684" w14:textId="77777777" w:rsidR="005C251F" w:rsidRPr="00BC6461" w:rsidRDefault="005C251F" w:rsidP="006036F0">
            <w:pPr>
              <w:spacing w:before="60" w:after="60" w:line="276" w:lineRule="auto"/>
              <w:jc w:val="center"/>
              <w:rPr>
                <w:rFonts w:cs="Arial"/>
                <w:b/>
                <w:szCs w:val="24"/>
              </w:rPr>
            </w:pPr>
            <w:r w:rsidRPr="00BC6461">
              <w:rPr>
                <w:rFonts w:cs="Arial"/>
                <w:b/>
                <w:szCs w:val="24"/>
              </w:rPr>
              <w:t>6</w:t>
            </w:r>
          </w:p>
        </w:tc>
        <w:tc>
          <w:tcPr>
            <w:tcW w:w="8221" w:type="dxa"/>
            <w:vAlign w:val="center"/>
          </w:tcPr>
          <w:p w14:paraId="4AB74617" w14:textId="2D6A56C8" w:rsidR="005C251F" w:rsidRDefault="005C251F" w:rsidP="006036F0">
            <w:pPr>
              <w:spacing w:before="60" w:after="60" w:line="276" w:lineRule="auto"/>
              <w:rPr>
                <w:rFonts w:cs="Arial"/>
                <w:szCs w:val="24"/>
              </w:rPr>
            </w:pPr>
            <w:bookmarkStart w:id="1107" w:name="_Hlk536540792"/>
            <w:r>
              <w:rPr>
                <w:rFonts w:cs="Arial"/>
                <w:szCs w:val="24"/>
                <w:highlight w:val="lightGray"/>
              </w:rPr>
              <w:t>Before the application and Business Case is passed for authorisation the application</w:t>
            </w:r>
            <w:r w:rsidRPr="00A553BA">
              <w:rPr>
                <w:highlight w:val="lightGray"/>
              </w:rPr>
              <w:t xml:space="preserve"> must be </w:t>
            </w:r>
            <w:r>
              <w:rPr>
                <w:rFonts w:cs="Arial"/>
                <w:szCs w:val="24"/>
                <w:highlight w:val="lightGray"/>
              </w:rPr>
              <w:t>considered and recommended by  local</w:t>
            </w:r>
            <w:r w:rsidRPr="00BC6461">
              <w:rPr>
                <w:rFonts w:cs="Arial"/>
                <w:szCs w:val="24"/>
                <w:highlight w:val="lightGray"/>
              </w:rPr>
              <w:t xml:space="preserve"> </w:t>
            </w:r>
            <w:r>
              <w:t>arrangements as required.</w:t>
            </w:r>
          </w:p>
          <w:p w14:paraId="7408CCC6" w14:textId="77630C29" w:rsidR="005C251F" w:rsidRPr="00D17445" w:rsidRDefault="005C251F" w:rsidP="006036F0">
            <w:pPr>
              <w:spacing w:before="60" w:after="60" w:line="276" w:lineRule="auto"/>
              <w:rPr>
                <w:rFonts w:cs="Arial"/>
                <w:szCs w:val="24"/>
              </w:rPr>
            </w:pPr>
            <w:r>
              <w:rPr>
                <w:rFonts w:cs="Arial"/>
                <w:szCs w:val="24"/>
              </w:rPr>
              <w:t>Where</w:t>
            </w:r>
            <w:r w:rsidRPr="00B047B4">
              <w:rPr>
                <w:rFonts w:cs="Arial"/>
                <w:szCs w:val="24"/>
                <w:highlight w:val="yellow"/>
              </w:rPr>
              <w:t>, in exceptional circumstances,</w:t>
            </w:r>
            <w:r>
              <w:rPr>
                <w:rFonts w:cs="Arial"/>
                <w:szCs w:val="24"/>
              </w:rPr>
              <w:t xml:space="preserve"> the financial assistance is above £200,000 t</w:t>
            </w:r>
            <w:r w:rsidRPr="00D17445">
              <w:rPr>
                <w:rFonts w:cs="Arial"/>
                <w:szCs w:val="24"/>
              </w:rPr>
              <w:t>he business case must be endorsed by:</w:t>
            </w:r>
          </w:p>
          <w:p w14:paraId="10A4C1C4" w14:textId="77A50AEC" w:rsidR="005C251F" w:rsidRPr="00D17445" w:rsidRDefault="005C251F" w:rsidP="006036F0">
            <w:pPr>
              <w:spacing w:before="60" w:after="60" w:line="276" w:lineRule="auto"/>
              <w:rPr>
                <w:rFonts w:cs="Arial"/>
                <w:szCs w:val="24"/>
              </w:rPr>
            </w:pPr>
            <w:r>
              <w:rPr>
                <w:rFonts w:cs="Arial"/>
                <w:szCs w:val="24"/>
              </w:rPr>
              <w:t>•</w:t>
            </w:r>
            <w:r w:rsidRPr="00D17445">
              <w:rPr>
                <w:rFonts w:cs="Arial"/>
                <w:szCs w:val="24"/>
              </w:rPr>
              <w:t xml:space="preserve">The Management accounts team </w:t>
            </w:r>
            <w:r>
              <w:rPr>
                <w:rFonts w:cs="Arial"/>
                <w:szCs w:val="24"/>
              </w:rPr>
              <w:t xml:space="preserve">to confirm the </w:t>
            </w:r>
            <w:r w:rsidRPr="00D17445">
              <w:rPr>
                <w:rFonts w:cs="Arial"/>
                <w:szCs w:val="24"/>
              </w:rPr>
              <w:t xml:space="preserve">availability of </w:t>
            </w:r>
            <w:r>
              <w:rPr>
                <w:rFonts w:cs="Arial"/>
                <w:szCs w:val="24"/>
              </w:rPr>
              <w:t>funding within the existing budget.</w:t>
            </w:r>
          </w:p>
          <w:p w14:paraId="1BAA3D2B" w14:textId="4650C9CC" w:rsidR="005C251F" w:rsidRPr="00D17445" w:rsidRDefault="005C251F" w:rsidP="006036F0">
            <w:pPr>
              <w:spacing w:before="60" w:after="60" w:line="276" w:lineRule="auto"/>
              <w:rPr>
                <w:rFonts w:cs="Arial"/>
                <w:szCs w:val="24"/>
              </w:rPr>
            </w:pPr>
            <w:r>
              <w:rPr>
                <w:rFonts w:cs="Arial"/>
                <w:szCs w:val="24"/>
              </w:rPr>
              <w:t>•</w:t>
            </w:r>
            <w:r w:rsidRPr="00D17445">
              <w:rPr>
                <w:rFonts w:cs="Arial"/>
                <w:szCs w:val="24"/>
              </w:rPr>
              <w:t xml:space="preserve">Budget holders for confirmation of </w:t>
            </w:r>
            <w:r>
              <w:rPr>
                <w:rFonts w:cs="Arial"/>
                <w:szCs w:val="24"/>
              </w:rPr>
              <w:t xml:space="preserve">the </w:t>
            </w:r>
            <w:r w:rsidRPr="00D17445">
              <w:rPr>
                <w:rFonts w:cs="Arial"/>
                <w:szCs w:val="24"/>
              </w:rPr>
              <w:t xml:space="preserve">use of this financial assistance, and </w:t>
            </w:r>
          </w:p>
          <w:p w14:paraId="6CF9609A" w14:textId="0E1911AB" w:rsidR="005C251F" w:rsidRPr="00BC6461" w:rsidRDefault="005C251F" w:rsidP="006036F0">
            <w:pPr>
              <w:spacing w:before="60" w:after="60" w:line="276" w:lineRule="auto"/>
              <w:rPr>
                <w:rFonts w:cs="Arial"/>
                <w:szCs w:val="24"/>
                <w:highlight w:val="lightGray"/>
              </w:rPr>
            </w:pPr>
            <w:r>
              <w:rPr>
                <w:rFonts w:cs="Arial"/>
                <w:szCs w:val="24"/>
              </w:rPr>
              <w:t>•</w:t>
            </w:r>
            <w:r w:rsidRPr="00D17445">
              <w:rPr>
                <w:rFonts w:cs="Arial"/>
                <w:szCs w:val="24"/>
              </w:rPr>
              <w:t xml:space="preserve">legal advice to confirm </w:t>
            </w:r>
            <w:r>
              <w:rPr>
                <w:rFonts w:cs="Arial"/>
                <w:szCs w:val="24"/>
              </w:rPr>
              <w:t xml:space="preserve">the </w:t>
            </w:r>
            <w:r w:rsidRPr="00D17445">
              <w:rPr>
                <w:rFonts w:cs="Arial"/>
                <w:szCs w:val="24"/>
              </w:rPr>
              <w:t xml:space="preserve">correct use of </w:t>
            </w:r>
            <w:r>
              <w:rPr>
                <w:rFonts w:cs="Arial"/>
                <w:szCs w:val="24"/>
              </w:rPr>
              <w:t xml:space="preserve">the </w:t>
            </w:r>
            <w:r w:rsidRPr="00D17445">
              <w:rPr>
                <w:rFonts w:cs="Arial"/>
                <w:szCs w:val="24"/>
              </w:rPr>
              <w:t>Financial Assistance power</w:t>
            </w:r>
            <w:r>
              <w:rPr>
                <w:rFonts w:cs="Arial"/>
                <w:szCs w:val="24"/>
              </w:rPr>
              <w:t xml:space="preserve">. </w:t>
            </w:r>
          </w:p>
          <w:bookmarkEnd w:id="1107"/>
          <w:p w14:paraId="35FBE6D0" w14:textId="77777777" w:rsidR="005C251F" w:rsidRPr="00BC6461" w:rsidRDefault="005C251F" w:rsidP="006036F0">
            <w:pPr>
              <w:spacing w:before="60" w:after="60" w:line="276" w:lineRule="auto"/>
              <w:rPr>
                <w:rFonts w:cs="Arial"/>
                <w:szCs w:val="24"/>
              </w:rPr>
            </w:pPr>
          </w:p>
        </w:tc>
      </w:tr>
      <w:tr w:rsidR="005C251F" w:rsidRPr="00BC6461" w14:paraId="69C9D142" w14:textId="77777777" w:rsidTr="005C251F">
        <w:tc>
          <w:tcPr>
            <w:tcW w:w="988" w:type="dxa"/>
            <w:vAlign w:val="center"/>
          </w:tcPr>
          <w:p w14:paraId="615F5624" w14:textId="77777777" w:rsidR="005C251F" w:rsidRPr="00BC6461" w:rsidRDefault="005C251F" w:rsidP="006036F0">
            <w:pPr>
              <w:spacing w:before="60" w:after="60" w:line="276" w:lineRule="auto"/>
              <w:jc w:val="center"/>
              <w:rPr>
                <w:rFonts w:cs="Arial"/>
                <w:b/>
                <w:szCs w:val="24"/>
              </w:rPr>
            </w:pPr>
            <w:r w:rsidRPr="00BC6461">
              <w:rPr>
                <w:rFonts w:cs="Arial"/>
                <w:b/>
                <w:szCs w:val="24"/>
              </w:rPr>
              <w:t>7</w:t>
            </w:r>
          </w:p>
        </w:tc>
        <w:tc>
          <w:tcPr>
            <w:tcW w:w="8221" w:type="dxa"/>
            <w:vAlign w:val="center"/>
          </w:tcPr>
          <w:p w14:paraId="21787C52" w14:textId="638FF9A4" w:rsidR="005C251F" w:rsidRPr="00BC6461" w:rsidRDefault="005C251F" w:rsidP="006036F0">
            <w:pPr>
              <w:spacing w:before="60" w:after="60" w:line="276" w:lineRule="auto"/>
              <w:rPr>
                <w:rFonts w:cs="Arial"/>
                <w:b/>
                <w:szCs w:val="24"/>
                <w:highlight w:val="lightGray"/>
              </w:rPr>
            </w:pPr>
            <w:r w:rsidRPr="00BC6461">
              <w:rPr>
                <w:rFonts w:cs="Arial"/>
                <w:szCs w:val="24"/>
              </w:rPr>
              <w:t>All Financial Assistance provided must be in compliance with NHS England SFIs.  As such</w:t>
            </w:r>
            <w:r>
              <w:rPr>
                <w:rFonts w:cs="Arial"/>
                <w:szCs w:val="24"/>
              </w:rPr>
              <w:t>,</w:t>
            </w:r>
            <w:r w:rsidRPr="00BC6461">
              <w:rPr>
                <w:rFonts w:cs="Arial"/>
                <w:szCs w:val="24"/>
              </w:rPr>
              <w:t xml:space="preserve"> any </w:t>
            </w:r>
            <w:r>
              <w:t>a</w:t>
            </w:r>
            <w:r w:rsidRPr="00A553BA">
              <w:t xml:space="preserve">pplication </w:t>
            </w:r>
            <w:r w:rsidRPr="00BC6461">
              <w:rPr>
                <w:rFonts w:cs="Arial"/>
                <w:szCs w:val="24"/>
              </w:rPr>
              <w:t xml:space="preserve">for </w:t>
            </w:r>
            <w:r w:rsidRPr="00A553BA">
              <w:t xml:space="preserve">financial </w:t>
            </w:r>
            <w:r w:rsidRPr="00BC6461">
              <w:rPr>
                <w:rFonts w:cs="Arial"/>
                <w:szCs w:val="24"/>
              </w:rPr>
              <w:t xml:space="preserve">assistance must </w:t>
            </w:r>
            <w:r>
              <w:rPr>
                <w:rFonts w:cs="Arial"/>
                <w:szCs w:val="24"/>
              </w:rPr>
              <w:t>be authorised</w:t>
            </w:r>
            <w:r w:rsidRPr="00A553BA">
              <w:t xml:space="preserve"> as set out in the </w:t>
            </w:r>
            <w:r>
              <w:rPr>
                <w:rFonts w:cs="Arial"/>
                <w:szCs w:val="24"/>
              </w:rPr>
              <w:t xml:space="preserve">SFIs.  The authority levels should be confirmed at the time the financial assistance is provided. </w:t>
            </w:r>
            <w:r w:rsidRPr="00BC6461">
              <w:rPr>
                <w:rFonts w:cs="Arial"/>
                <w:szCs w:val="24"/>
                <w:highlight w:val="lightGray"/>
              </w:rPr>
              <w:t xml:space="preserve"> </w:t>
            </w:r>
          </w:p>
        </w:tc>
      </w:tr>
      <w:tr w:rsidR="005C251F" w:rsidRPr="00BC6461" w14:paraId="5CEBD11D" w14:textId="77777777" w:rsidTr="005C251F">
        <w:tc>
          <w:tcPr>
            <w:tcW w:w="988" w:type="dxa"/>
            <w:vAlign w:val="center"/>
          </w:tcPr>
          <w:p w14:paraId="7E6DC290" w14:textId="77777777" w:rsidR="005C251F" w:rsidRPr="00BC6461" w:rsidRDefault="005C251F" w:rsidP="006036F0">
            <w:pPr>
              <w:spacing w:before="60" w:after="60" w:line="276" w:lineRule="auto"/>
              <w:jc w:val="center"/>
              <w:rPr>
                <w:rFonts w:cs="Arial"/>
                <w:b/>
                <w:szCs w:val="24"/>
              </w:rPr>
            </w:pPr>
            <w:bookmarkStart w:id="1108" w:name="_Hlk4058968"/>
            <w:r w:rsidRPr="00BC6461">
              <w:rPr>
                <w:rFonts w:cs="Arial"/>
                <w:b/>
                <w:szCs w:val="24"/>
              </w:rPr>
              <w:t>8</w:t>
            </w:r>
          </w:p>
        </w:tc>
        <w:tc>
          <w:tcPr>
            <w:tcW w:w="8221" w:type="dxa"/>
            <w:vAlign w:val="center"/>
          </w:tcPr>
          <w:p w14:paraId="53CE1C9A" w14:textId="0EE49109" w:rsidR="005C251F" w:rsidRPr="00712C65" w:rsidRDefault="005C251F" w:rsidP="006036F0">
            <w:pPr>
              <w:spacing w:before="60" w:after="60" w:line="276" w:lineRule="auto"/>
              <w:rPr>
                <w:rFonts w:cs="Arial"/>
                <w:color w:val="FF0000"/>
                <w:szCs w:val="24"/>
                <w:highlight w:val="yellow"/>
              </w:rPr>
            </w:pPr>
            <w:r w:rsidRPr="00712C65">
              <w:rPr>
                <w:rFonts w:cs="Arial"/>
                <w:szCs w:val="24"/>
                <w:highlight w:val="yellow"/>
              </w:rPr>
              <w:t xml:space="preserve">Following approval from the commissioner, the application from the Provider along with Commissioners business case containing operational and financial reviews set out above will be </w:t>
            </w:r>
            <w:r w:rsidRPr="00712C65">
              <w:rPr>
                <w:rFonts w:cs="Arial"/>
                <w:color w:val="FF0000"/>
                <w:szCs w:val="24"/>
                <w:highlight w:val="yellow"/>
              </w:rPr>
              <w:t>passed to the NHS England officer with delegated authority to approve the financial assistance.</w:t>
            </w:r>
          </w:p>
          <w:p w14:paraId="252C1763" w14:textId="12AB2E70" w:rsidR="005C251F" w:rsidRDefault="005C251F" w:rsidP="006036F0">
            <w:pPr>
              <w:spacing w:before="60" w:after="60" w:line="276" w:lineRule="auto"/>
              <w:rPr>
                <w:rFonts w:cs="Arial"/>
                <w:color w:val="FF0000"/>
                <w:szCs w:val="24"/>
                <w:highlight w:val="lightGray"/>
              </w:rPr>
            </w:pPr>
            <w:r>
              <w:rPr>
                <w:rFonts w:cs="Arial"/>
                <w:color w:val="FF0000"/>
                <w:szCs w:val="24"/>
                <w:highlight w:val="lightGray"/>
              </w:rPr>
              <w:t>At the date of publication any financial assistance must be approved as follows:</w:t>
            </w:r>
          </w:p>
          <w:tbl>
            <w:tblPr>
              <w:tblW w:w="8475" w:type="dxa"/>
              <w:tblLayout w:type="fixed"/>
              <w:tblCellMar>
                <w:left w:w="0" w:type="dxa"/>
                <w:right w:w="0" w:type="dxa"/>
              </w:tblCellMar>
              <w:tblLook w:val="04A0" w:firstRow="1" w:lastRow="0" w:firstColumn="1" w:lastColumn="0" w:noHBand="0" w:noVBand="1"/>
            </w:tblPr>
            <w:tblGrid>
              <w:gridCol w:w="1438"/>
              <w:gridCol w:w="1560"/>
              <w:gridCol w:w="1559"/>
              <w:gridCol w:w="3918"/>
            </w:tblGrid>
            <w:tr w:rsidR="005C251F" w14:paraId="50E9D7EE" w14:textId="77777777" w:rsidTr="00A507BE">
              <w:trPr>
                <w:trHeight w:val="452"/>
              </w:trPr>
              <w:tc>
                <w:tcPr>
                  <w:tcW w:w="1438" w:type="dxa"/>
                  <w:tcBorders>
                    <w:top w:val="single" w:sz="8" w:space="0" w:color="FFFFFF"/>
                    <w:left w:val="single" w:sz="8" w:space="0" w:color="FFFFFF"/>
                    <w:bottom w:val="single" w:sz="8" w:space="0" w:color="FFFFFF"/>
                    <w:right w:val="single" w:sz="8" w:space="0" w:color="FFFFFF"/>
                  </w:tcBorders>
                  <w:shd w:val="clear" w:color="auto" w:fill="F7CAAC"/>
                  <w:tcMar>
                    <w:top w:w="0" w:type="dxa"/>
                    <w:left w:w="108" w:type="dxa"/>
                    <w:bottom w:w="0" w:type="dxa"/>
                    <w:right w:w="108" w:type="dxa"/>
                  </w:tcMar>
                  <w:hideMark/>
                </w:tcPr>
                <w:p w14:paraId="278A09D5" w14:textId="77777777" w:rsidR="005C251F" w:rsidRDefault="005C251F" w:rsidP="006036F0">
                  <w:pPr>
                    <w:autoSpaceDE w:val="0"/>
                    <w:autoSpaceDN w:val="0"/>
                    <w:rPr>
                      <w:b/>
                      <w:bCs w:val="0"/>
                      <w:color w:val="000000"/>
                      <w:sz w:val="23"/>
                      <w:szCs w:val="23"/>
                    </w:rPr>
                  </w:pPr>
                  <w:r>
                    <w:rPr>
                      <w:b/>
                      <w:color w:val="000000"/>
                      <w:sz w:val="23"/>
                      <w:szCs w:val="23"/>
                    </w:rPr>
                    <w:t>Below £50k</w:t>
                  </w:r>
                </w:p>
              </w:tc>
              <w:tc>
                <w:tcPr>
                  <w:tcW w:w="1560" w:type="dxa"/>
                  <w:tcBorders>
                    <w:top w:val="single" w:sz="8" w:space="0" w:color="FFFFFF"/>
                    <w:left w:val="nil"/>
                    <w:bottom w:val="single" w:sz="8" w:space="0" w:color="FFFFFF"/>
                    <w:right w:val="single" w:sz="8" w:space="0" w:color="FFFFFF"/>
                  </w:tcBorders>
                  <w:shd w:val="clear" w:color="auto" w:fill="ED7D31"/>
                  <w:tcMar>
                    <w:top w:w="0" w:type="dxa"/>
                    <w:left w:w="108" w:type="dxa"/>
                    <w:bottom w:w="0" w:type="dxa"/>
                    <w:right w:w="108" w:type="dxa"/>
                  </w:tcMar>
                  <w:hideMark/>
                </w:tcPr>
                <w:p w14:paraId="75A7F430" w14:textId="77777777" w:rsidR="005C251F" w:rsidRDefault="005C251F" w:rsidP="006036F0">
                  <w:pPr>
                    <w:autoSpaceDE w:val="0"/>
                    <w:autoSpaceDN w:val="0"/>
                    <w:rPr>
                      <w:b/>
                      <w:bCs w:val="0"/>
                      <w:color w:val="000000"/>
                      <w:sz w:val="23"/>
                      <w:szCs w:val="23"/>
                    </w:rPr>
                  </w:pPr>
                  <w:r>
                    <w:rPr>
                      <w:color w:val="000000"/>
                      <w:sz w:val="23"/>
                      <w:szCs w:val="23"/>
                    </w:rPr>
                    <w:t>£50k to £200,000k</w:t>
                  </w:r>
                </w:p>
                <w:p w14:paraId="474FBE0A" w14:textId="77777777" w:rsidR="005C251F" w:rsidRDefault="005C251F" w:rsidP="006036F0">
                  <w:pPr>
                    <w:autoSpaceDE w:val="0"/>
                    <w:autoSpaceDN w:val="0"/>
                    <w:rPr>
                      <w:color w:val="000000"/>
                      <w:sz w:val="23"/>
                      <w:szCs w:val="23"/>
                    </w:rPr>
                  </w:pPr>
                </w:p>
              </w:tc>
              <w:tc>
                <w:tcPr>
                  <w:tcW w:w="1559" w:type="dxa"/>
                  <w:tcBorders>
                    <w:top w:val="single" w:sz="8" w:space="0" w:color="FFFFFF"/>
                    <w:left w:val="nil"/>
                    <w:bottom w:val="single" w:sz="8" w:space="0" w:color="FFFFFF"/>
                    <w:right w:val="single" w:sz="8" w:space="0" w:color="FFFFFF"/>
                  </w:tcBorders>
                  <w:shd w:val="clear" w:color="auto" w:fill="ED7D31"/>
                  <w:tcMar>
                    <w:top w:w="0" w:type="dxa"/>
                    <w:left w:w="108" w:type="dxa"/>
                    <w:bottom w:w="0" w:type="dxa"/>
                    <w:right w:w="108" w:type="dxa"/>
                  </w:tcMar>
                  <w:hideMark/>
                </w:tcPr>
                <w:p w14:paraId="593A4EFD" w14:textId="77777777" w:rsidR="005C251F" w:rsidRDefault="005C251F" w:rsidP="006036F0">
                  <w:pPr>
                    <w:autoSpaceDE w:val="0"/>
                    <w:autoSpaceDN w:val="0"/>
                    <w:rPr>
                      <w:color w:val="000000"/>
                      <w:sz w:val="23"/>
                      <w:szCs w:val="23"/>
                    </w:rPr>
                  </w:pPr>
                  <w:r>
                    <w:rPr>
                      <w:color w:val="000000"/>
                      <w:sz w:val="23"/>
                      <w:szCs w:val="23"/>
                    </w:rPr>
                    <w:t xml:space="preserve">&gt;£200,000k to Below £1m </w:t>
                  </w:r>
                </w:p>
              </w:tc>
              <w:tc>
                <w:tcPr>
                  <w:tcW w:w="3918" w:type="dxa"/>
                  <w:tcBorders>
                    <w:top w:val="single" w:sz="8" w:space="0" w:color="FFFFFF"/>
                    <w:left w:val="nil"/>
                    <w:bottom w:val="single" w:sz="8" w:space="0" w:color="FFFFFF"/>
                    <w:right w:val="single" w:sz="8" w:space="0" w:color="FFFFFF"/>
                  </w:tcBorders>
                  <w:shd w:val="clear" w:color="auto" w:fill="ED7D31"/>
                  <w:tcMar>
                    <w:top w:w="0" w:type="dxa"/>
                    <w:left w:w="108" w:type="dxa"/>
                    <w:bottom w:w="0" w:type="dxa"/>
                    <w:right w:w="108" w:type="dxa"/>
                  </w:tcMar>
                  <w:hideMark/>
                </w:tcPr>
                <w:p w14:paraId="2CF51315" w14:textId="77777777" w:rsidR="005C251F" w:rsidRDefault="005C251F" w:rsidP="006036F0">
                  <w:pPr>
                    <w:autoSpaceDE w:val="0"/>
                    <w:autoSpaceDN w:val="0"/>
                    <w:rPr>
                      <w:b/>
                      <w:bCs w:val="0"/>
                      <w:color w:val="000000"/>
                      <w:sz w:val="23"/>
                      <w:szCs w:val="23"/>
                    </w:rPr>
                  </w:pPr>
                  <w:r>
                    <w:rPr>
                      <w:color w:val="000000"/>
                      <w:sz w:val="23"/>
                      <w:szCs w:val="23"/>
                    </w:rPr>
                    <w:t xml:space="preserve">Above £1m  </w:t>
                  </w:r>
                </w:p>
              </w:tc>
            </w:tr>
            <w:tr w:rsidR="005C251F" w14:paraId="4B37BE40" w14:textId="77777777" w:rsidTr="00A507BE">
              <w:trPr>
                <w:trHeight w:val="112"/>
              </w:trPr>
              <w:tc>
                <w:tcPr>
                  <w:tcW w:w="1438" w:type="dxa"/>
                  <w:tcBorders>
                    <w:top w:val="nil"/>
                    <w:left w:val="single" w:sz="8" w:space="0" w:color="FFFFFF"/>
                    <w:bottom w:val="single" w:sz="8" w:space="0" w:color="FFFFFF"/>
                    <w:right w:val="single" w:sz="8" w:space="0" w:color="FFFFFF"/>
                  </w:tcBorders>
                  <w:shd w:val="clear" w:color="auto" w:fill="F7CAAC"/>
                  <w:tcMar>
                    <w:top w:w="0" w:type="dxa"/>
                    <w:left w:w="108" w:type="dxa"/>
                    <w:bottom w:w="0" w:type="dxa"/>
                    <w:right w:w="108" w:type="dxa"/>
                  </w:tcMar>
                  <w:hideMark/>
                </w:tcPr>
                <w:p w14:paraId="360DB45B" w14:textId="63D2D9F4" w:rsidR="005C251F" w:rsidRPr="002329C0" w:rsidRDefault="005C251F" w:rsidP="006036F0">
                  <w:pPr>
                    <w:autoSpaceDE w:val="0"/>
                    <w:autoSpaceDN w:val="0"/>
                    <w:rPr>
                      <w:bCs w:val="0"/>
                      <w:color w:val="000000"/>
                      <w:sz w:val="23"/>
                      <w:szCs w:val="23"/>
                      <w:highlight w:val="yellow"/>
                    </w:rPr>
                  </w:pPr>
                  <w:r w:rsidRPr="008D6827">
                    <w:rPr>
                      <w:color w:val="000000"/>
                      <w:sz w:val="23"/>
                      <w:szCs w:val="23"/>
                    </w:rPr>
                    <w:t xml:space="preserve">Deputy appointed by </w:t>
                  </w:r>
                  <w:r w:rsidRPr="0049020A">
                    <w:rPr>
                      <w:color w:val="000000"/>
                      <w:sz w:val="23"/>
                      <w:szCs w:val="23"/>
                    </w:rPr>
                    <w:t>Director</w:t>
                  </w:r>
                  <w:r w:rsidRPr="00F36E30">
                    <w:rPr>
                      <w:color w:val="000000"/>
                      <w:sz w:val="23"/>
                      <w:szCs w:val="23"/>
                    </w:rPr>
                    <w:t xml:space="preserve"> of Primary Care and System Transformation</w:t>
                  </w:r>
                </w:p>
              </w:tc>
              <w:tc>
                <w:tcPr>
                  <w:tcW w:w="1560" w:type="dxa"/>
                  <w:tcBorders>
                    <w:top w:val="nil"/>
                    <w:left w:val="nil"/>
                    <w:bottom w:val="single" w:sz="8" w:space="0" w:color="FFFFFF"/>
                    <w:right w:val="single" w:sz="8" w:space="0" w:color="FFFFFF"/>
                  </w:tcBorders>
                  <w:shd w:val="clear" w:color="auto" w:fill="F7CAAC"/>
                  <w:tcMar>
                    <w:top w:w="0" w:type="dxa"/>
                    <w:left w:w="108" w:type="dxa"/>
                    <w:bottom w:w="0" w:type="dxa"/>
                    <w:right w:w="108" w:type="dxa"/>
                  </w:tcMar>
                  <w:hideMark/>
                </w:tcPr>
                <w:p w14:paraId="46CCDA4E" w14:textId="2A96098F" w:rsidR="005C251F" w:rsidRDefault="005C251F" w:rsidP="006036F0">
                  <w:pPr>
                    <w:autoSpaceDE w:val="0"/>
                    <w:autoSpaceDN w:val="0"/>
                    <w:rPr>
                      <w:color w:val="000000"/>
                      <w:sz w:val="23"/>
                      <w:szCs w:val="23"/>
                      <w:highlight w:val="yellow"/>
                    </w:rPr>
                  </w:pPr>
                  <w:r w:rsidRPr="00F36E30">
                    <w:rPr>
                      <w:color w:val="000000"/>
                      <w:sz w:val="23"/>
                      <w:szCs w:val="23"/>
                    </w:rPr>
                    <w:t>Director of Primary Care and System Transformation</w:t>
                  </w:r>
                </w:p>
              </w:tc>
              <w:tc>
                <w:tcPr>
                  <w:tcW w:w="1559" w:type="dxa"/>
                  <w:tcBorders>
                    <w:top w:val="nil"/>
                    <w:left w:val="nil"/>
                    <w:bottom w:val="single" w:sz="8" w:space="0" w:color="FFFFFF"/>
                    <w:right w:val="single" w:sz="8" w:space="0" w:color="FFFFFF"/>
                  </w:tcBorders>
                  <w:shd w:val="clear" w:color="auto" w:fill="F7CAAC"/>
                  <w:tcMar>
                    <w:top w:w="0" w:type="dxa"/>
                    <w:left w:w="108" w:type="dxa"/>
                    <w:bottom w:w="0" w:type="dxa"/>
                    <w:right w:w="108" w:type="dxa"/>
                  </w:tcMar>
                  <w:hideMark/>
                </w:tcPr>
                <w:p w14:paraId="3BDFB49C" w14:textId="77777777" w:rsidR="005C251F" w:rsidRDefault="005C251F" w:rsidP="006036F0">
                  <w:pPr>
                    <w:autoSpaceDE w:val="0"/>
                    <w:autoSpaceDN w:val="0"/>
                    <w:rPr>
                      <w:color w:val="000000"/>
                      <w:sz w:val="23"/>
                      <w:szCs w:val="23"/>
                    </w:rPr>
                  </w:pPr>
                  <w:r>
                    <w:rPr>
                      <w:color w:val="000000"/>
                      <w:sz w:val="23"/>
                      <w:szCs w:val="23"/>
                    </w:rPr>
                    <w:t>Chief Financial Officer</w:t>
                  </w:r>
                </w:p>
              </w:tc>
              <w:tc>
                <w:tcPr>
                  <w:tcW w:w="3918" w:type="dxa"/>
                  <w:tcBorders>
                    <w:top w:val="nil"/>
                    <w:left w:val="nil"/>
                    <w:bottom w:val="single" w:sz="8" w:space="0" w:color="FFFFFF"/>
                    <w:right w:val="single" w:sz="8" w:space="0" w:color="FFFFFF"/>
                  </w:tcBorders>
                  <w:shd w:val="clear" w:color="auto" w:fill="F7CAAC"/>
                  <w:tcMar>
                    <w:top w:w="0" w:type="dxa"/>
                    <w:left w:w="108" w:type="dxa"/>
                    <w:bottom w:w="0" w:type="dxa"/>
                    <w:right w:w="108" w:type="dxa"/>
                  </w:tcMar>
                  <w:hideMark/>
                </w:tcPr>
                <w:p w14:paraId="10208916" w14:textId="77777777" w:rsidR="005C251F" w:rsidRDefault="005C251F" w:rsidP="006036F0">
                  <w:pPr>
                    <w:autoSpaceDE w:val="0"/>
                    <w:autoSpaceDN w:val="0"/>
                    <w:rPr>
                      <w:color w:val="000000"/>
                      <w:sz w:val="23"/>
                      <w:szCs w:val="23"/>
                    </w:rPr>
                  </w:pPr>
                  <w:r>
                    <w:rPr>
                      <w:color w:val="000000"/>
                      <w:sz w:val="23"/>
                      <w:szCs w:val="23"/>
                    </w:rPr>
                    <w:t>Department of Health and Social Care/HMT</w:t>
                  </w:r>
                </w:p>
              </w:tc>
            </w:tr>
          </w:tbl>
          <w:p w14:paraId="348A6C00" w14:textId="77777777" w:rsidR="005C251F" w:rsidRPr="00BC6461" w:rsidRDefault="005C251F" w:rsidP="006036F0">
            <w:pPr>
              <w:spacing w:before="60" w:after="60" w:line="276" w:lineRule="auto"/>
              <w:rPr>
                <w:rFonts w:cs="Arial"/>
                <w:szCs w:val="24"/>
                <w:highlight w:val="lightGray"/>
              </w:rPr>
            </w:pPr>
          </w:p>
        </w:tc>
      </w:tr>
      <w:bookmarkEnd w:id="1108"/>
      <w:tr w:rsidR="005C251F" w:rsidRPr="00BC6461" w14:paraId="590F42C8" w14:textId="77777777" w:rsidTr="005C251F">
        <w:tc>
          <w:tcPr>
            <w:tcW w:w="988" w:type="dxa"/>
            <w:vAlign w:val="center"/>
          </w:tcPr>
          <w:p w14:paraId="5DC2290A" w14:textId="77777777" w:rsidR="005C251F" w:rsidRPr="00BC6461" w:rsidRDefault="005C251F" w:rsidP="006036F0">
            <w:pPr>
              <w:spacing w:before="60" w:after="60" w:line="276" w:lineRule="auto"/>
              <w:jc w:val="center"/>
              <w:rPr>
                <w:rFonts w:cs="Arial"/>
                <w:b/>
                <w:szCs w:val="24"/>
              </w:rPr>
            </w:pPr>
            <w:r w:rsidRPr="00BC6461">
              <w:rPr>
                <w:rFonts w:cs="Arial"/>
                <w:b/>
                <w:szCs w:val="24"/>
              </w:rPr>
              <w:t>9</w:t>
            </w:r>
          </w:p>
        </w:tc>
        <w:tc>
          <w:tcPr>
            <w:tcW w:w="8221" w:type="dxa"/>
            <w:vAlign w:val="center"/>
          </w:tcPr>
          <w:p w14:paraId="7CAD46DC" w14:textId="77777777" w:rsidR="005C251F" w:rsidRPr="00BC6461" w:rsidRDefault="005C251F" w:rsidP="006036F0">
            <w:pPr>
              <w:spacing w:before="60" w:after="60" w:line="276" w:lineRule="auto"/>
              <w:rPr>
                <w:rFonts w:cs="Arial"/>
                <w:b/>
                <w:szCs w:val="24"/>
              </w:rPr>
            </w:pPr>
            <w:r w:rsidRPr="00BC6461">
              <w:rPr>
                <w:rFonts w:cs="Arial"/>
                <w:szCs w:val="24"/>
              </w:rPr>
              <w:t>All decisions reported as set out below and logged for central reporting and consistency checking</w:t>
            </w:r>
          </w:p>
        </w:tc>
      </w:tr>
      <w:tr w:rsidR="005C251F" w:rsidRPr="00BC6461" w14:paraId="62B33219" w14:textId="77777777" w:rsidTr="005C251F">
        <w:tc>
          <w:tcPr>
            <w:tcW w:w="988" w:type="dxa"/>
            <w:vAlign w:val="center"/>
          </w:tcPr>
          <w:p w14:paraId="3981D26A" w14:textId="77777777" w:rsidR="005C251F" w:rsidRPr="00BC6461" w:rsidRDefault="005C251F" w:rsidP="006036F0">
            <w:pPr>
              <w:spacing w:before="60" w:after="60" w:line="276" w:lineRule="auto"/>
              <w:jc w:val="center"/>
              <w:rPr>
                <w:rFonts w:cs="Arial"/>
                <w:b/>
                <w:szCs w:val="24"/>
              </w:rPr>
            </w:pPr>
            <w:r w:rsidRPr="00BC6461">
              <w:rPr>
                <w:rFonts w:cs="Arial"/>
                <w:b/>
                <w:szCs w:val="24"/>
              </w:rPr>
              <w:t>10</w:t>
            </w:r>
          </w:p>
        </w:tc>
        <w:tc>
          <w:tcPr>
            <w:tcW w:w="8221" w:type="dxa"/>
            <w:vAlign w:val="center"/>
          </w:tcPr>
          <w:p w14:paraId="44720B98" w14:textId="45FC1AF0" w:rsidR="005C251F" w:rsidRPr="00BC6461" w:rsidRDefault="005C251F" w:rsidP="006036F0">
            <w:pPr>
              <w:spacing w:before="60" w:after="60" w:line="276" w:lineRule="auto"/>
              <w:rPr>
                <w:rFonts w:cs="Arial"/>
                <w:szCs w:val="24"/>
              </w:rPr>
            </w:pPr>
            <w:r>
              <w:rPr>
                <w:rFonts w:cs="Arial"/>
                <w:szCs w:val="24"/>
              </w:rPr>
              <w:t>The p</w:t>
            </w:r>
            <w:r w:rsidRPr="00BC6461">
              <w:rPr>
                <w:rFonts w:cs="Arial"/>
                <w:szCs w:val="24"/>
              </w:rPr>
              <w:t xml:space="preserve">ractice </w:t>
            </w:r>
            <w:r>
              <w:rPr>
                <w:rFonts w:cs="Arial"/>
                <w:szCs w:val="24"/>
              </w:rPr>
              <w:t xml:space="preserve">is </w:t>
            </w:r>
            <w:r w:rsidRPr="00BC6461">
              <w:rPr>
                <w:rFonts w:cs="Arial"/>
                <w:szCs w:val="24"/>
              </w:rPr>
              <w:t>advised of outcome</w:t>
            </w:r>
          </w:p>
        </w:tc>
      </w:tr>
      <w:tr w:rsidR="005C251F" w:rsidRPr="00BC6461" w14:paraId="5A79C12C" w14:textId="77777777" w:rsidTr="005C251F">
        <w:tc>
          <w:tcPr>
            <w:tcW w:w="988" w:type="dxa"/>
            <w:vAlign w:val="center"/>
          </w:tcPr>
          <w:p w14:paraId="0F95D189" w14:textId="77777777" w:rsidR="005C251F" w:rsidRPr="00BC6461" w:rsidRDefault="005C251F" w:rsidP="006036F0">
            <w:pPr>
              <w:spacing w:before="60" w:after="60" w:line="276" w:lineRule="auto"/>
              <w:jc w:val="center"/>
              <w:rPr>
                <w:rFonts w:cs="Arial"/>
                <w:b/>
                <w:szCs w:val="24"/>
              </w:rPr>
            </w:pPr>
            <w:r w:rsidRPr="00BC6461">
              <w:rPr>
                <w:rFonts w:cs="Arial"/>
                <w:b/>
                <w:szCs w:val="24"/>
              </w:rPr>
              <w:t>11</w:t>
            </w:r>
          </w:p>
        </w:tc>
        <w:tc>
          <w:tcPr>
            <w:tcW w:w="8221" w:type="dxa"/>
            <w:vAlign w:val="center"/>
          </w:tcPr>
          <w:p w14:paraId="01943031" w14:textId="55F6DBF6" w:rsidR="005C251F" w:rsidRDefault="005C251F" w:rsidP="006036F0">
            <w:pPr>
              <w:spacing w:before="60" w:after="60" w:line="276" w:lineRule="auto"/>
              <w:rPr>
                <w:rFonts w:cs="Arial"/>
                <w:szCs w:val="24"/>
              </w:rPr>
            </w:pPr>
            <w:r w:rsidRPr="00BC6461">
              <w:rPr>
                <w:rFonts w:cs="Arial"/>
                <w:szCs w:val="24"/>
              </w:rPr>
              <w:t xml:space="preserve">MOU populated and signed by </w:t>
            </w:r>
            <w:r>
              <w:rPr>
                <w:rFonts w:cs="Arial"/>
                <w:szCs w:val="24"/>
              </w:rPr>
              <w:t xml:space="preserve">the </w:t>
            </w:r>
            <w:r w:rsidRPr="00BC6461">
              <w:rPr>
                <w:rFonts w:cs="Arial"/>
                <w:szCs w:val="24"/>
              </w:rPr>
              <w:t xml:space="preserve">practice, </w:t>
            </w:r>
            <w:r>
              <w:rPr>
                <w:rFonts w:cs="Arial"/>
                <w:szCs w:val="24"/>
              </w:rPr>
              <w:t>CCG/ICB</w:t>
            </w:r>
            <w:r w:rsidRPr="00BC6461">
              <w:rPr>
                <w:rFonts w:cs="Arial"/>
                <w:szCs w:val="24"/>
              </w:rPr>
              <w:t xml:space="preserve"> and NHSE</w:t>
            </w:r>
          </w:p>
          <w:p w14:paraId="2D097CDA" w14:textId="77777777" w:rsidR="005C251F" w:rsidRDefault="005C251F" w:rsidP="006036F0">
            <w:pPr>
              <w:spacing w:before="60" w:after="60" w:line="276" w:lineRule="auto"/>
              <w:rPr>
                <w:rFonts w:cs="Arial"/>
                <w:szCs w:val="24"/>
              </w:rPr>
            </w:pPr>
            <w:r>
              <w:rPr>
                <w:rFonts w:cs="Arial"/>
                <w:szCs w:val="24"/>
              </w:rPr>
              <w:t>The MoU must set out:</w:t>
            </w:r>
          </w:p>
          <w:p w14:paraId="600781C0" w14:textId="2C8985BA" w:rsidR="005C251F" w:rsidRPr="00D17445" w:rsidRDefault="005C251F" w:rsidP="006C3DF5">
            <w:pPr>
              <w:numPr>
                <w:ilvl w:val="0"/>
                <w:numId w:val="162"/>
              </w:numPr>
            </w:pPr>
            <w:r w:rsidRPr="00590EB7">
              <w:rPr>
                <w:rFonts w:cstheme="minorHAnsi"/>
              </w:rPr>
              <w:t>Name and reference code of practice</w:t>
            </w:r>
            <w:r>
              <w:rPr>
                <w:rFonts w:cstheme="minorHAnsi"/>
              </w:rPr>
              <w:t xml:space="preserve"> (the “practice code”)</w:t>
            </w:r>
            <w:r w:rsidRPr="00590EB7">
              <w:rPr>
                <w:rFonts w:cstheme="minorHAnsi"/>
              </w:rPr>
              <w:t xml:space="preserve"> for whom discretionary payment request is being made</w:t>
            </w:r>
          </w:p>
          <w:p w14:paraId="1B097DD4" w14:textId="77777777" w:rsidR="005C251F" w:rsidRDefault="005C251F" w:rsidP="006036F0">
            <w:pPr>
              <w:ind w:left="720"/>
            </w:pPr>
          </w:p>
          <w:p w14:paraId="14743DB2" w14:textId="3450B89A" w:rsidR="005C251F" w:rsidRDefault="005C251F" w:rsidP="006C3DF5">
            <w:pPr>
              <w:numPr>
                <w:ilvl w:val="0"/>
                <w:numId w:val="162"/>
              </w:numPr>
            </w:pPr>
            <w:r>
              <w:t>aims and objectives of the funding;</w:t>
            </w:r>
          </w:p>
          <w:p w14:paraId="17C6B767" w14:textId="77777777" w:rsidR="005C251F" w:rsidRDefault="005C251F" w:rsidP="00912FE4"/>
          <w:p w14:paraId="4A6F98F3" w14:textId="73A2383C" w:rsidR="005C251F" w:rsidRDefault="005C251F" w:rsidP="006C3DF5">
            <w:pPr>
              <w:numPr>
                <w:ilvl w:val="0"/>
                <w:numId w:val="162"/>
              </w:numPr>
            </w:pPr>
            <w:r>
              <w:t>outputs agreed and longterm outcomes are defined, wherever possible, to enable active performance management;</w:t>
            </w:r>
          </w:p>
          <w:p w14:paraId="364B8077" w14:textId="77777777" w:rsidR="005C251F" w:rsidRDefault="005C251F" w:rsidP="006036F0">
            <w:pPr>
              <w:pStyle w:val="ListParagraph"/>
            </w:pPr>
          </w:p>
          <w:p w14:paraId="098C1513" w14:textId="77777777" w:rsidR="005C251F" w:rsidRDefault="005C251F" w:rsidP="006C3DF5">
            <w:pPr>
              <w:numPr>
                <w:ilvl w:val="0"/>
                <w:numId w:val="162"/>
              </w:numPr>
            </w:pPr>
            <w:r>
              <w:t>clawback provisions included unless NHSE authorised officer confirms that they are not appropriate;</w:t>
            </w:r>
          </w:p>
          <w:p w14:paraId="5E112416" w14:textId="77777777" w:rsidR="005C251F" w:rsidRDefault="005C251F" w:rsidP="006036F0">
            <w:pPr>
              <w:ind w:left="720"/>
              <w:contextualSpacing/>
            </w:pPr>
          </w:p>
          <w:p w14:paraId="52A243F2" w14:textId="77777777" w:rsidR="005C251F" w:rsidRDefault="005C251F" w:rsidP="006C3DF5">
            <w:pPr>
              <w:numPr>
                <w:ilvl w:val="0"/>
                <w:numId w:val="162"/>
              </w:numPr>
            </w:pPr>
            <w:r>
              <w:t>regular reviews and adjustments are included where deemed necessary;</w:t>
            </w:r>
          </w:p>
          <w:p w14:paraId="36158098" w14:textId="77777777" w:rsidR="005C251F" w:rsidRDefault="005C251F" w:rsidP="006036F0">
            <w:pPr>
              <w:ind w:left="720"/>
              <w:contextualSpacing/>
            </w:pPr>
          </w:p>
          <w:p w14:paraId="71F30D59" w14:textId="77777777" w:rsidR="005C251F" w:rsidRDefault="005C251F" w:rsidP="006C3DF5">
            <w:pPr>
              <w:numPr>
                <w:ilvl w:val="0"/>
                <w:numId w:val="162"/>
              </w:numPr>
            </w:pPr>
            <w:r>
              <w:t>eligible expenditure is stated where necessary;</w:t>
            </w:r>
          </w:p>
          <w:p w14:paraId="14541023" w14:textId="77777777" w:rsidR="005C251F" w:rsidRDefault="005C251F" w:rsidP="006036F0">
            <w:pPr>
              <w:pStyle w:val="ListParagraph"/>
            </w:pPr>
          </w:p>
          <w:p w14:paraId="77FBCB7B" w14:textId="65C818D8" w:rsidR="005C251F" w:rsidRDefault="005C251F" w:rsidP="006C3DF5">
            <w:pPr>
              <w:numPr>
                <w:ilvl w:val="0"/>
                <w:numId w:val="162"/>
              </w:numPr>
            </w:pPr>
            <w:r>
              <w:t>where appropriate, regular checkpoint meetings will be held to discuss progress against pre-agreed schedule; and</w:t>
            </w:r>
          </w:p>
          <w:p w14:paraId="11BA1370" w14:textId="77777777" w:rsidR="005C251F" w:rsidRDefault="005C251F" w:rsidP="006036F0">
            <w:pPr>
              <w:pStyle w:val="ListParagraph"/>
            </w:pPr>
          </w:p>
          <w:p w14:paraId="2A887CF1" w14:textId="5D822C10" w:rsidR="005C251F" w:rsidRDefault="005C251F" w:rsidP="006C3DF5">
            <w:pPr>
              <w:numPr>
                <w:ilvl w:val="0"/>
                <w:numId w:val="162"/>
              </w:numPr>
            </w:pPr>
            <w:r>
              <w:t>supporting documentation and other evidence required to be provided from the recipient as appropriate.</w:t>
            </w:r>
          </w:p>
          <w:p w14:paraId="512DE771" w14:textId="77777777" w:rsidR="005C251F" w:rsidRPr="00BC6461" w:rsidRDefault="005C251F" w:rsidP="006036F0">
            <w:pPr>
              <w:spacing w:before="60" w:after="60" w:line="276" w:lineRule="auto"/>
              <w:rPr>
                <w:rFonts w:cs="Arial"/>
                <w:szCs w:val="24"/>
              </w:rPr>
            </w:pPr>
          </w:p>
        </w:tc>
      </w:tr>
      <w:tr w:rsidR="005C251F" w:rsidRPr="00BC6461" w14:paraId="19CAA367" w14:textId="77777777" w:rsidTr="005C251F">
        <w:tc>
          <w:tcPr>
            <w:tcW w:w="988" w:type="dxa"/>
            <w:vAlign w:val="center"/>
          </w:tcPr>
          <w:p w14:paraId="0BF490ED" w14:textId="77777777" w:rsidR="005C251F" w:rsidRPr="00BC6461" w:rsidRDefault="005C251F" w:rsidP="006036F0">
            <w:pPr>
              <w:spacing w:before="60" w:after="60" w:line="276" w:lineRule="auto"/>
              <w:jc w:val="center"/>
              <w:rPr>
                <w:rFonts w:cs="Arial"/>
                <w:b/>
                <w:szCs w:val="24"/>
              </w:rPr>
            </w:pPr>
            <w:r w:rsidRPr="00BC6461">
              <w:rPr>
                <w:rFonts w:cs="Arial"/>
                <w:b/>
                <w:szCs w:val="24"/>
              </w:rPr>
              <w:t>12</w:t>
            </w:r>
          </w:p>
        </w:tc>
        <w:tc>
          <w:tcPr>
            <w:tcW w:w="8221" w:type="dxa"/>
            <w:vAlign w:val="center"/>
          </w:tcPr>
          <w:p w14:paraId="406882B4" w14:textId="77777777" w:rsidR="005C251F" w:rsidRPr="00BC6461" w:rsidRDefault="005C251F" w:rsidP="006036F0">
            <w:pPr>
              <w:spacing w:before="60" w:after="60" w:line="276" w:lineRule="auto"/>
              <w:rPr>
                <w:rFonts w:cs="Arial"/>
                <w:szCs w:val="24"/>
              </w:rPr>
            </w:pPr>
            <w:r w:rsidRPr="00BC6461">
              <w:rPr>
                <w:rFonts w:cs="Arial"/>
                <w:szCs w:val="24"/>
              </w:rPr>
              <w:t>Payment set-up on a non-recurrent basis</w:t>
            </w:r>
          </w:p>
        </w:tc>
      </w:tr>
      <w:tr w:rsidR="005C251F" w:rsidRPr="00BC6461" w14:paraId="3749EB90" w14:textId="77777777" w:rsidTr="005C251F">
        <w:tc>
          <w:tcPr>
            <w:tcW w:w="988" w:type="dxa"/>
            <w:vAlign w:val="center"/>
          </w:tcPr>
          <w:p w14:paraId="0DEB5C4B" w14:textId="77777777" w:rsidR="005C251F" w:rsidRPr="00BC6461" w:rsidRDefault="005C251F" w:rsidP="006036F0">
            <w:pPr>
              <w:spacing w:before="60" w:after="60" w:line="276" w:lineRule="auto"/>
              <w:jc w:val="center"/>
              <w:rPr>
                <w:rFonts w:cs="Arial"/>
                <w:b/>
                <w:szCs w:val="24"/>
              </w:rPr>
            </w:pPr>
            <w:r w:rsidRPr="00BC6461">
              <w:rPr>
                <w:rFonts w:cs="Arial"/>
                <w:b/>
                <w:szCs w:val="24"/>
              </w:rPr>
              <w:t>13</w:t>
            </w:r>
          </w:p>
        </w:tc>
        <w:tc>
          <w:tcPr>
            <w:tcW w:w="8221" w:type="dxa"/>
            <w:vAlign w:val="center"/>
          </w:tcPr>
          <w:p w14:paraId="194073BA" w14:textId="77777777" w:rsidR="005C251F" w:rsidRPr="00BC6461" w:rsidRDefault="005C251F" w:rsidP="006036F0">
            <w:pPr>
              <w:spacing w:before="60" w:after="60" w:line="276" w:lineRule="auto"/>
              <w:rPr>
                <w:rFonts w:cs="Arial"/>
                <w:szCs w:val="24"/>
              </w:rPr>
            </w:pPr>
            <w:r w:rsidRPr="00BC6461">
              <w:rPr>
                <w:rFonts w:cs="Arial"/>
                <w:szCs w:val="24"/>
              </w:rPr>
              <w:t>Review of MOU objectives mid-way through period of support</w:t>
            </w:r>
          </w:p>
        </w:tc>
      </w:tr>
      <w:tr w:rsidR="005C251F" w:rsidRPr="00BC6461" w14:paraId="2071D5BC" w14:textId="77777777" w:rsidTr="005C251F">
        <w:tc>
          <w:tcPr>
            <w:tcW w:w="988" w:type="dxa"/>
            <w:vAlign w:val="center"/>
          </w:tcPr>
          <w:p w14:paraId="29DEC177" w14:textId="77777777" w:rsidR="005C251F" w:rsidRPr="00BC6461" w:rsidRDefault="005C251F" w:rsidP="006036F0">
            <w:pPr>
              <w:spacing w:before="60" w:after="60" w:line="276" w:lineRule="auto"/>
              <w:jc w:val="center"/>
              <w:rPr>
                <w:rFonts w:cs="Arial"/>
                <w:b/>
                <w:szCs w:val="24"/>
              </w:rPr>
            </w:pPr>
            <w:r w:rsidRPr="00BC6461">
              <w:rPr>
                <w:rFonts w:cs="Arial"/>
                <w:b/>
                <w:szCs w:val="24"/>
              </w:rPr>
              <w:t>14</w:t>
            </w:r>
          </w:p>
        </w:tc>
        <w:tc>
          <w:tcPr>
            <w:tcW w:w="8221" w:type="dxa"/>
            <w:vAlign w:val="center"/>
          </w:tcPr>
          <w:p w14:paraId="61B0B703" w14:textId="2AA99422" w:rsidR="005C251F" w:rsidRPr="00BC6461" w:rsidRDefault="005C251F" w:rsidP="006036F0">
            <w:pPr>
              <w:spacing w:before="60" w:after="60" w:line="276" w:lineRule="auto"/>
              <w:rPr>
                <w:rFonts w:cs="Arial"/>
                <w:szCs w:val="24"/>
                <w:highlight w:val="cyan"/>
              </w:rPr>
            </w:pPr>
            <w:r w:rsidRPr="00B6353E">
              <w:rPr>
                <w:rFonts w:cs="Arial"/>
                <w:szCs w:val="24"/>
              </w:rPr>
              <w:t>Routine reporting via the Primary Care Activity Report (PCAR) and/or National Primary Care Delivery Oversight Group (PCDOG) (see section 7 below)</w:t>
            </w:r>
          </w:p>
        </w:tc>
      </w:tr>
      <w:tr w:rsidR="005C251F" w:rsidRPr="00BC6461" w14:paraId="1F78AAAE" w14:textId="77777777" w:rsidTr="005C251F">
        <w:tc>
          <w:tcPr>
            <w:tcW w:w="988" w:type="dxa"/>
            <w:vAlign w:val="center"/>
          </w:tcPr>
          <w:p w14:paraId="4A213EF9" w14:textId="77777777" w:rsidR="005C251F" w:rsidRPr="00BC6461" w:rsidRDefault="005C251F" w:rsidP="006036F0">
            <w:pPr>
              <w:spacing w:before="60" w:after="60" w:line="276" w:lineRule="auto"/>
              <w:jc w:val="center"/>
              <w:rPr>
                <w:rFonts w:cs="Arial"/>
                <w:b/>
                <w:szCs w:val="24"/>
              </w:rPr>
            </w:pPr>
            <w:r w:rsidRPr="00BC6461">
              <w:rPr>
                <w:rFonts w:cs="Arial"/>
                <w:b/>
                <w:szCs w:val="24"/>
              </w:rPr>
              <w:t>15</w:t>
            </w:r>
          </w:p>
        </w:tc>
        <w:tc>
          <w:tcPr>
            <w:tcW w:w="8221" w:type="dxa"/>
            <w:vAlign w:val="center"/>
          </w:tcPr>
          <w:p w14:paraId="7879C0B4" w14:textId="77777777" w:rsidR="005C251F" w:rsidRPr="00BC6461" w:rsidRDefault="005C251F" w:rsidP="006036F0">
            <w:pPr>
              <w:spacing w:before="60" w:after="60" w:line="276" w:lineRule="auto"/>
              <w:rPr>
                <w:rFonts w:cs="Arial"/>
                <w:szCs w:val="24"/>
              </w:rPr>
            </w:pPr>
            <w:r w:rsidRPr="00BC6461">
              <w:rPr>
                <w:rFonts w:cs="Arial"/>
                <w:szCs w:val="24"/>
              </w:rPr>
              <w:t>Advise practice of continuation or further review of support depending on MOU progress</w:t>
            </w:r>
          </w:p>
        </w:tc>
      </w:tr>
      <w:tr w:rsidR="005C251F" w:rsidRPr="00BC6461" w14:paraId="4B1C8911" w14:textId="77777777" w:rsidTr="005C251F">
        <w:tc>
          <w:tcPr>
            <w:tcW w:w="988" w:type="dxa"/>
            <w:vAlign w:val="center"/>
          </w:tcPr>
          <w:p w14:paraId="7338896F" w14:textId="77777777" w:rsidR="005C251F" w:rsidRPr="00BC6461" w:rsidRDefault="005C251F" w:rsidP="006036F0">
            <w:pPr>
              <w:spacing w:before="60" w:after="60" w:line="276" w:lineRule="auto"/>
              <w:jc w:val="center"/>
              <w:rPr>
                <w:rFonts w:cs="Arial"/>
                <w:b/>
                <w:szCs w:val="24"/>
              </w:rPr>
            </w:pPr>
            <w:r w:rsidRPr="00BC6461">
              <w:rPr>
                <w:rFonts w:cs="Arial"/>
                <w:b/>
                <w:szCs w:val="24"/>
              </w:rPr>
              <w:t>16</w:t>
            </w:r>
          </w:p>
        </w:tc>
        <w:tc>
          <w:tcPr>
            <w:tcW w:w="8221" w:type="dxa"/>
            <w:vAlign w:val="center"/>
          </w:tcPr>
          <w:p w14:paraId="5AFD5851" w14:textId="7F38870E" w:rsidR="005C251F" w:rsidRPr="00BC6461" w:rsidRDefault="005C251F" w:rsidP="006036F0">
            <w:pPr>
              <w:spacing w:before="60" w:after="60" w:line="276" w:lineRule="auto"/>
              <w:rPr>
                <w:rFonts w:cs="Arial"/>
                <w:szCs w:val="24"/>
              </w:rPr>
            </w:pPr>
            <w:r w:rsidRPr="00BC6461">
              <w:rPr>
                <w:rFonts w:cs="Arial"/>
                <w:szCs w:val="24"/>
              </w:rPr>
              <w:t xml:space="preserve">Final Review and reporting </w:t>
            </w:r>
            <w:r w:rsidRPr="00B6353E">
              <w:rPr>
                <w:rFonts w:cs="Arial"/>
                <w:szCs w:val="24"/>
              </w:rPr>
              <w:t xml:space="preserve">to Local </w:t>
            </w:r>
            <w:r>
              <w:rPr>
                <w:rFonts w:cs="Arial"/>
                <w:szCs w:val="24"/>
              </w:rPr>
              <w:t>arrangement (</w:t>
            </w:r>
            <w:r w:rsidRPr="00BC6461">
              <w:rPr>
                <w:rFonts w:cs="Arial"/>
                <w:szCs w:val="24"/>
                <w:highlight w:val="cyan"/>
              </w:rPr>
              <w:t>as required</w:t>
            </w:r>
            <w:r>
              <w:rPr>
                <w:rFonts w:cs="Arial"/>
                <w:szCs w:val="24"/>
              </w:rPr>
              <w:t>)</w:t>
            </w:r>
          </w:p>
        </w:tc>
      </w:tr>
    </w:tbl>
    <w:p w14:paraId="20C32014" w14:textId="77777777" w:rsidR="006036F0" w:rsidRPr="00654FE5" w:rsidRDefault="006036F0" w:rsidP="006036F0">
      <w:pPr>
        <w:spacing w:before="60" w:after="60"/>
        <w:rPr>
          <w:rFonts w:cs="Arial"/>
          <w:b/>
        </w:rPr>
      </w:pPr>
    </w:p>
    <w:p w14:paraId="78B25D01" w14:textId="77777777" w:rsidR="006036F0" w:rsidRPr="005E4DE2" w:rsidRDefault="000B57EE" w:rsidP="006036F0">
      <w:pPr>
        <w:spacing w:before="60" w:after="60"/>
        <w:jc w:val="right"/>
        <w:rPr>
          <w:rFonts w:cs="Arial"/>
          <w:sz w:val="16"/>
          <w:szCs w:val="16"/>
        </w:rPr>
      </w:pPr>
      <w:hyperlink w:anchor="_top" w:history="1">
        <w:r w:rsidR="006036F0" w:rsidRPr="005E4DE2">
          <w:rPr>
            <w:rStyle w:val="Hyperlink"/>
            <w:rFonts w:eastAsiaTheme="majorEastAsia" w:cs="Arial"/>
            <w:sz w:val="16"/>
            <w:szCs w:val="16"/>
          </w:rPr>
          <w:t>(return to contents page)</w:t>
        </w:r>
      </w:hyperlink>
    </w:p>
    <w:p w14:paraId="6DA6E2FA" w14:textId="77777777" w:rsidR="006036F0" w:rsidRDefault="006036F0" w:rsidP="006036F0">
      <w:pPr>
        <w:spacing w:before="60" w:after="60"/>
        <w:rPr>
          <w:rFonts w:cs="Arial"/>
          <w:bCs w:val="0"/>
          <w:color w:val="0072C6"/>
          <w:kern w:val="32"/>
          <w:sz w:val="32"/>
          <w:szCs w:val="32"/>
        </w:rPr>
      </w:pPr>
      <w:r>
        <w:rPr>
          <w:b/>
        </w:rPr>
        <w:br w:type="page"/>
      </w:r>
    </w:p>
    <w:p w14:paraId="365E7526" w14:textId="377B5534" w:rsidR="006036F0" w:rsidRPr="00404E8C" w:rsidRDefault="006036F0" w:rsidP="006036F0">
      <w:pPr>
        <w:pStyle w:val="Heading2"/>
      </w:pPr>
      <w:bookmarkStart w:id="1109" w:name="_Toc536198943"/>
      <w:bookmarkStart w:id="1110" w:name="_Toc493938689"/>
      <w:bookmarkStart w:id="1111" w:name="_Toc493938782"/>
      <w:bookmarkStart w:id="1112" w:name="_Toc493939131"/>
      <w:bookmarkStart w:id="1113" w:name="_Toc95743486"/>
      <w:r w:rsidRPr="00404E8C">
        <w:t xml:space="preserve">Process for </w:t>
      </w:r>
      <w:r w:rsidR="00B83042">
        <w:t>CCG/ICB</w:t>
      </w:r>
      <w:r w:rsidRPr="00404E8C">
        <w:t xml:space="preserve"> and NHS England Proposed Financial Assistance Programmes</w:t>
      </w:r>
      <w:bookmarkEnd w:id="1109"/>
      <w:bookmarkEnd w:id="1110"/>
      <w:bookmarkEnd w:id="1111"/>
      <w:bookmarkEnd w:id="1112"/>
      <w:bookmarkEnd w:id="1113"/>
    </w:p>
    <w:p w14:paraId="60C11509" w14:textId="77777777" w:rsidR="006036F0" w:rsidRPr="005E4DE2" w:rsidRDefault="000B57EE" w:rsidP="006036F0">
      <w:pPr>
        <w:spacing w:before="60" w:after="60"/>
        <w:jc w:val="right"/>
        <w:rPr>
          <w:rFonts w:cs="Arial"/>
          <w:sz w:val="16"/>
          <w:szCs w:val="16"/>
        </w:rPr>
      </w:pPr>
      <w:hyperlink w:anchor="_top" w:history="1">
        <w:r w:rsidR="006036F0" w:rsidRPr="005E4DE2">
          <w:rPr>
            <w:rStyle w:val="Hyperlink"/>
            <w:rFonts w:eastAsiaTheme="majorEastAsia" w:cs="Arial"/>
            <w:sz w:val="16"/>
            <w:szCs w:val="16"/>
          </w:rPr>
          <w:t>(return to contents page)</w:t>
        </w:r>
      </w:hyperlink>
    </w:p>
    <w:p w14:paraId="6A50D920" w14:textId="77777777" w:rsidR="006036F0" w:rsidRPr="00BC6461" w:rsidRDefault="006036F0" w:rsidP="00A553BA">
      <w:pPr>
        <w:pStyle w:val="ListParagraph"/>
        <w:spacing w:before="60" w:after="60"/>
        <w:ind w:left="1440"/>
        <w:rPr>
          <w:rFonts w:cs="Arial"/>
          <w:szCs w:val="24"/>
        </w:rPr>
      </w:pPr>
    </w:p>
    <w:p w14:paraId="7308C953" w14:textId="6C829E63" w:rsidR="006036F0" w:rsidRPr="00D819B0" w:rsidRDefault="00B8066B" w:rsidP="00A507BE">
      <w:pPr>
        <w:pStyle w:val="Heading3"/>
      </w:pPr>
      <w:r>
        <w:t xml:space="preserve">Commissioners </w:t>
      </w:r>
      <w:r w:rsidR="006036F0" w:rsidRPr="00D819B0">
        <w:t>may only enter into contracts within the statutory powers delegated to it by the Secretary of State for Health and must comply with the following:</w:t>
      </w:r>
    </w:p>
    <w:p w14:paraId="3320798D" w14:textId="77777777" w:rsidR="006036F0" w:rsidRPr="00BC6461" w:rsidRDefault="006036F0" w:rsidP="006036F0">
      <w:pPr>
        <w:pStyle w:val="ListParagraph"/>
        <w:spacing w:before="60" w:after="60"/>
        <w:rPr>
          <w:rFonts w:cs="Arial"/>
          <w:szCs w:val="24"/>
        </w:rPr>
      </w:pPr>
    </w:p>
    <w:p w14:paraId="7FE3EE8F" w14:textId="77777777" w:rsidR="006036F0" w:rsidRPr="00D819B0" w:rsidRDefault="006036F0" w:rsidP="006C3DF5">
      <w:pPr>
        <w:pStyle w:val="ListParagraph"/>
        <w:numPr>
          <w:ilvl w:val="0"/>
          <w:numId w:val="163"/>
        </w:numPr>
      </w:pPr>
      <w:r w:rsidRPr="00D819B0">
        <w:t>NHS England Scheme of Delegation and Standing Financial Instructions; and</w:t>
      </w:r>
    </w:p>
    <w:p w14:paraId="6643EA12" w14:textId="77777777" w:rsidR="006036F0" w:rsidRPr="00D819B0" w:rsidRDefault="006036F0" w:rsidP="006C3DF5">
      <w:pPr>
        <w:pStyle w:val="ListParagraph"/>
        <w:numPr>
          <w:ilvl w:val="0"/>
          <w:numId w:val="163"/>
        </w:numPr>
      </w:pPr>
      <w:r w:rsidRPr="00D819B0">
        <w:t>EU Directives and other statutory provisions</w:t>
      </w:r>
    </w:p>
    <w:p w14:paraId="567793C6" w14:textId="77777777" w:rsidR="006036F0" w:rsidRPr="008F526B" w:rsidRDefault="006036F0" w:rsidP="006036F0">
      <w:pPr>
        <w:spacing w:before="60" w:after="60"/>
        <w:rPr>
          <w:rFonts w:cs="Arial"/>
        </w:rPr>
      </w:pPr>
    </w:p>
    <w:p w14:paraId="446CE799" w14:textId="77777777" w:rsidR="006036F0" w:rsidRPr="00404E8C" w:rsidRDefault="006036F0" w:rsidP="006036F0">
      <w:pPr>
        <w:pStyle w:val="Heading2"/>
      </w:pPr>
      <w:bookmarkStart w:id="1114" w:name="_Toc536198945"/>
      <w:bookmarkStart w:id="1115" w:name="_Toc493938691"/>
      <w:bookmarkStart w:id="1116" w:name="_Toc493938784"/>
      <w:bookmarkStart w:id="1117" w:name="_Toc493939133"/>
      <w:bookmarkStart w:id="1118" w:name="_Toc95743487"/>
      <w:r w:rsidRPr="00404E8C">
        <w:t>Reporting</w:t>
      </w:r>
      <w:bookmarkEnd w:id="1114"/>
      <w:bookmarkEnd w:id="1115"/>
      <w:bookmarkEnd w:id="1116"/>
      <w:bookmarkEnd w:id="1117"/>
      <w:bookmarkEnd w:id="1118"/>
    </w:p>
    <w:p w14:paraId="20FDBC2A" w14:textId="77777777" w:rsidR="006036F0" w:rsidRPr="005E4DE2" w:rsidRDefault="000B57EE" w:rsidP="006036F0">
      <w:pPr>
        <w:spacing w:before="60" w:after="60"/>
        <w:jc w:val="right"/>
        <w:rPr>
          <w:rFonts w:cs="Arial"/>
          <w:sz w:val="16"/>
          <w:szCs w:val="16"/>
        </w:rPr>
      </w:pPr>
      <w:hyperlink w:anchor="_top" w:history="1">
        <w:r w:rsidR="006036F0" w:rsidRPr="005E4DE2">
          <w:rPr>
            <w:rStyle w:val="Hyperlink"/>
            <w:rFonts w:eastAsiaTheme="majorEastAsia" w:cs="Arial"/>
            <w:sz w:val="16"/>
            <w:szCs w:val="16"/>
          </w:rPr>
          <w:t>(return to contents page)</w:t>
        </w:r>
      </w:hyperlink>
    </w:p>
    <w:p w14:paraId="09C1AF49" w14:textId="77777777" w:rsidR="000822F1" w:rsidRDefault="006036F0" w:rsidP="00A507BE">
      <w:pPr>
        <w:pStyle w:val="Heading3"/>
      </w:pPr>
      <w:bookmarkStart w:id="1119" w:name="_Toc493938692"/>
      <w:bookmarkStart w:id="1120" w:name="_Toc493938785"/>
      <w:bookmarkStart w:id="1121" w:name="_Toc493939134"/>
      <w:r>
        <w:t>The Primary Care Activity Report</w:t>
      </w:r>
      <w:bookmarkEnd w:id="1119"/>
      <w:bookmarkEnd w:id="1120"/>
      <w:bookmarkEnd w:id="1121"/>
      <w:r w:rsidR="00E11CD3">
        <w:t xml:space="preserve"> </w:t>
      </w:r>
    </w:p>
    <w:p w14:paraId="2EC4B4DA" w14:textId="77777777" w:rsidR="000822F1" w:rsidRDefault="000822F1" w:rsidP="000822F1">
      <w:pPr>
        <w:pStyle w:val="Heading3"/>
        <w:numPr>
          <w:ilvl w:val="0"/>
          <w:numId w:val="0"/>
        </w:numPr>
        <w:ind w:left="720"/>
      </w:pPr>
    </w:p>
    <w:p w14:paraId="41285A18" w14:textId="4B244D80" w:rsidR="006036F0" w:rsidRDefault="00E11CD3" w:rsidP="00A23A8B">
      <w:pPr>
        <w:pStyle w:val="Heading3"/>
        <w:numPr>
          <w:ilvl w:val="0"/>
          <w:numId w:val="0"/>
        </w:numPr>
        <w:ind w:left="720"/>
      </w:pPr>
      <w:r w:rsidRPr="00C6685E">
        <w:rPr>
          <w:highlight w:val="yellow"/>
        </w:rPr>
        <w:t xml:space="preserve">Readers note: </w:t>
      </w:r>
      <w:r w:rsidR="000822F1" w:rsidRPr="00C6685E">
        <w:rPr>
          <w:highlight w:val="yellow"/>
        </w:rPr>
        <w:t xml:space="preserve">PCAR </w:t>
      </w:r>
      <w:r w:rsidRPr="00C6685E">
        <w:rPr>
          <w:highlight w:val="yellow"/>
        </w:rPr>
        <w:t>currently suspended and subject to review as part of commissioning transformation programme</w:t>
      </w:r>
      <w:r w:rsidR="005876BC" w:rsidRPr="00C6685E">
        <w:rPr>
          <w:highlight w:val="yellow"/>
        </w:rPr>
        <w:t>, hence</w:t>
      </w:r>
      <w:r w:rsidR="000822F1" w:rsidRPr="00C6685E">
        <w:rPr>
          <w:highlight w:val="yellow"/>
        </w:rPr>
        <w:t xml:space="preserve"> the section </w:t>
      </w:r>
      <w:r w:rsidR="005876BC" w:rsidRPr="00C6685E">
        <w:rPr>
          <w:highlight w:val="yellow"/>
        </w:rPr>
        <w:t>strikethrough rather than remov</w:t>
      </w:r>
      <w:r w:rsidR="000822F1" w:rsidRPr="00C6685E">
        <w:rPr>
          <w:highlight w:val="yellow"/>
        </w:rPr>
        <w:t>ed.</w:t>
      </w:r>
      <w:r w:rsidR="005876BC">
        <w:t xml:space="preserve"> </w:t>
      </w:r>
    </w:p>
    <w:p w14:paraId="4ABE169E" w14:textId="77777777" w:rsidR="000F51C7" w:rsidRPr="000F51C7" w:rsidRDefault="000F51C7" w:rsidP="000F51C7"/>
    <w:p w14:paraId="20332980" w14:textId="77777777" w:rsidR="000F51C7" w:rsidRPr="000F51C7" w:rsidRDefault="000F51C7" w:rsidP="000F51C7">
      <w:pPr>
        <w:numPr>
          <w:ilvl w:val="2"/>
          <w:numId w:val="2"/>
        </w:numPr>
        <w:spacing w:line="360" w:lineRule="auto"/>
        <w:outlineLvl w:val="2"/>
        <w:rPr>
          <w:strike/>
        </w:rPr>
      </w:pPr>
      <w:r w:rsidRPr="000F51C7">
        <w:rPr>
          <w:strike/>
        </w:rPr>
        <w:t xml:space="preserve">A primary care commissioning activity report (PCAR) was introduced in 2016/17 as a new bi-annual collection to support greater assurance and oversight of NHS England’s primary care commissioning responsibilities. It seeks to replace what have often been variable and ad hoc requests for information with a more systematic approach. </w:t>
      </w:r>
    </w:p>
    <w:p w14:paraId="65CBCFAA" w14:textId="77777777" w:rsidR="000F51C7" w:rsidRPr="000F51C7" w:rsidRDefault="000F51C7" w:rsidP="000F51C7">
      <w:pPr>
        <w:rPr>
          <w:strike/>
        </w:rPr>
      </w:pPr>
    </w:p>
    <w:p w14:paraId="56EAA77D" w14:textId="77777777" w:rsidR="000F51C7" w:rsidRPr="000F51C7" w:rsidRDefault="000F51C7" w:rsidP="000F51C7">
      <w:pPr>
        <w:numPr>
          <w:ilvl w:val="2"/>
          <w:numId w:val="2"/>
        </w:numPr>
        <w:spacing w:line="360" w:lineRule="auto"/>
        <w:outlineLvl w:val="2"/>
        <w:rPr>
          <w:strike/>
        </w:rPr>
      </w:pPr>
      <w:r w:rsidRPr="000F51C7">
        <w:rPr>
          <w:strike/>
        </w:rPr>
        <w:t>The report is managed through UNIFY2 and focuses on key operational areas for commissioned general practice services.  It collects information on local commissioning activity regardless of the commissioning route (e.g. NHS England or CCGs/ICBs with delegated authority) including Financial assistance to providers covered under the section of PCAR ‘Equitable funding‘</w:t>
      </w:r>
    </w:p>
    <w:p w14:paraId="0328547C" w14:textId="77777777" w:rsidR="000F51C7" w:rsidRPr="000F51C7" w:rsidRDefault="000F51C7" w:rsidP="000F51C7">
      <w:pPr>
        <w:rPr>
          <w:strike/>
        </w:rPr>
      </w:pPr>
    </w:p>
    <w:p w14:paraId="3D3DC601" w14:textId="77777777" w:rsidR="000F51C7" w:rsidRPr="000F51C7" w:rsidRDefault="000F51C7" w:rsidP="000F51C7">
      <w:pPr>
        <w:numPr>
          <w:ilvl w:val="2"/>
          <w:numId w:val="2"/>
        </w:numPr>
        <w:spacing w:line="360" w:lineRule="auto"/>
        <w:outlineLvl w:val="2"/>
        <w:rPr>
          <w:strike/>
        </w:rPr>
      </w:pPr>
      <w:bookmarkStart w:id="1122" w:name="_Toc493938693"/>
      <w:bookmarkStart w:id="1123" w:name="_Toc493938786"/>
      <w:bookmarkStart w:id="1124" w:name="_Toc493939135"/>
      <w:r w:rsidRPr="000F51C7">
        <w:rPr>
          <w:strike/>
        </w:rPr>
        <w:t>PCAR – Equitable funding</w:t>
      </w:r>
      <w:bookmarkEnd w:id="1122"/>
      <w:bookmarkEnd w:id="1123"/>
      <w:bookmarkEnd w:id="1124"/>
    </w:p>
    <w:p w14:paraId="05E1ED9C" w14:textId="77777777" w:rsidR="000F51C7" w:rsidRPr="000F51C7" w:rsidRDefault="000F51C7" w:rsidP="000F51C7">
      <w:pPr>
        <w:rPr>
          <w:strike/>
        </w:rPr>
      </w:pPr>
    </w:p>
    <w:p w14:paraId="47652A9A" w14:textId="77777777" w:rsidR="000F51C7" w:rsidRPr="000F51C7" w:rsidRDefault="000F51C7" w:rsidP="000F51C7">
      <w:pPr>
        <w:numPr>
          <w:ilvl w:val="2"/>
          <w:numId w:val="2"/>
        </w:numPr>
        <w:spacing w:line="360" w:lineRule="auto"/>
        <w:outlineLvl w:val="2"/>
        <w:rPr>
          <w:strike/>
        </w:rPr>
      </w:pPr>
      <w:r w:rsidRPr="000F51C7">
        <w:rPr>
          <w:strike/>
        </w:rPr>
        <w:t xml:space="preserve">Section 96 payments (sometimes referred to as discretionary payments or funding locally) are a legacy from the NHS Act 2006, which provided PCTs with the facility to support (including financially) GP practices outside of standard contractual arrangements.  This regulation still stands and was transferred to the NHS Commissioning Board (NHS England) ‘the Board’ under the Health and Social Care Act 2012 and subsequent amendments. </w:t>
      </w:r>
    </w:p>
    <w:p w14:paraId="0F2020E0" w14:textId="77777777" w:rsidR="000F51C7" w:rsidRPr="000F51C7" w:rsidRDefault="000F51C7" w:rsidP="000F51C7">
      <w:pPr>
        <w:numPr>
          <w:ilvl w:val="2"/>
          <w:numId w:val="2"/>
        </w:numPr>
        <w:spacing w:line="360" w:lineRule="auto"/>
        <w:outlineLvl w:val="2"/>
      </w:pPr>
      <w:r w:rsidRPr="000F51C7">
        <w:rPr>
          <w:strike/>
        </w:rPr>
        <w:t>When providing a value for this question please consider all payments that are not covered under standard arrangements such as the global sum, a DES or other enhanced services (ES). Support funded from the Vulnerable Practice Programme and the General Practice Resilience Programme has sometimes been covered under this umbrella by some DCOs (i.e. in previous PCAR return).  However, it is essential that DCO’s DO NOT include payments funded from either fund in their returns as we want to measure genuine discretionary spend by local commissioners. If you are unsure as to whether a payment should be included, CCGs/ICBs should contact their NHS England local team and DCOs should contact the national team</w:t>
      </w:r>
      <w:r w:rsidRPr="000F51C7">
        <w:t>.</w:t>
      </w:r>
    </w:p>
    <w:p w14:paraId="6E247EC5" w14:textId="77777777" w:rsidR="006036F0" w:rsidRPr="00117E40" w:rsidRDefault="006036F0" w:rsidP="006036F0">
      <w:pPr>
        <w:pStyle w:val="ListParagraph"/>
        <w:rPr>
          <w:rFonts w:cs="Arial"/>
        </w:rPr>
      </w:pPr>
    </w:p>
    <w:p w14:paraId="09204CE5" w14:textId="77777777" w:rsidR="006036F0" w:rsidRDefault="006036F0" w:rsidP="006036F0">
      <w:pPr>
        <w:pStyle w:val="Heading2"/>
        <w:spacing w:before="60" w:after="60" w:line="276" w:lineRule="auto"/>
      </w:pPr>
      <w:bookmarkStart w:id="1125" w:name="_Toc536198946"/>
      <w:bookmarkStart w:id="1126" w:name="_Toc493938694"/>
      <w:bookmarkStart w:id="1127" w:name="_Toc493938787"/>
      <w:bookmarkStart w:id="1128" w:name="_Toc493939136"/>
      <w:bookmarkStart w:id="1129" w:name="_Toc95743488"/>
      <w:r>
        <w:t>Maintaining Records</w:t>
      </w:r>
      <w:bookmarkEnd w:id="1125"/>
      <w:bookmarkEnd w:id="1126"/>
      <w:bookmarkEnd w:id="1127"/>
      <w:bookmarkEnd w:id="1128"/>
      <w:bookmarkEnd w:id="1129"/>
    </w:p>
    <w:p w14:paraId="3732B473" w14:textId="77777777" w:rsidR="006036F0" w:rsidRDefault="000B57EE" w:rsidP="006036F0">
      <w:pPr>
        <w:spacing w:before="60" w:after="60"/>
        <w:jc w:val="right"/>
        <w:rPr>
          <w:rFonts w:cs="Arial"/>
          <w:sz w:val="16"/>
          <w:szCs w:val="16"/>
        </w:rPr>
      </w:pPr>
      <w:hyperlink w:anchor="_top" w:history="1">
        <w:r w:rsidR="006036F0" w:rsidRPr="005E4DE2">
          <w:rPr>
            <w:rStyle w:val="Hyperlink"/>
            <w:rFonts w:eastAsiaTheme="majorEastAsia" w:cs="Arial"/>
            <w:sz w:val="16"/>
            <w:szCs w:val="16"/>
          </w:rPr>
          <w:t>(return to contents page)</w:t>
        </w:r>
      </w:hyperlink>
    </w:p>
    <w:p w14:paraId="2F416FA7" w14:textId="77777777" w:rsidR="006036F0" w:rsidRPr="005E4DE2" w:rsidRDefault="006036F0" w:rsidP="006036F0">
      <w:pPr>
        <w:spacing w:before="60" w:after="60"/>
        <w:jc w:val="right"/>
        <w:rPr>
          <w:rFonts w:cs="Arial"/>
          <w:sz w:val="16"/>
          <w:szCs w:val="16"/>
        </w:rPr>
      </w:pPr>
    </w:p>
    <w:p w14:paraId="7C652544" w14:textId="2DD9C0AC" w:rsidR="006036F0" w:rsidRPr="00D819B0" w:rsidRDefault="006036F0" w:rsidP="00A507BE">
      <w:pPr>
        <w:pStyle w:val="Heading3"/>
      </w:pPr>
      <w:r w:rsidRPr="00D819B0">
        <w:t xml:space="preserve">A clear audit trail of all financial assistance authorised, along with any expenditure incurred under this arrangement, must be maintained and reported.  Summary information </w:t>
      </w:r>
      <w:r w:rsidR="00C1164A">
        <w:t xml:space="preserve">may </w:t>
      </w:r>
      <w:r w:rsidRPr="00D819B0">
        <w:t xml:space="preserve">be collected </w:t>
      </w:r>
      <w:r w:rsidR="00C1164A">
        <w:t>by NHS England</w:t>
      </w:r>
      <w:r w:rsidRPr="00D819B0">
        <w:t xml:space="preserve"> but you should also maintain adequate records such that you are able to respond to any other routine financial reporting arrangements.  Please refer to </w:t>
      </w:r>
      <w:hyperlink w:anchor="_Authorisations_and_Sign" w:history="1">
        <w:r w:rsidRPr="00A553BA">
          <w:rPr>
            <w:rStyle w:val="Hyperlink"/>
            <w:rFonts w:eastAsiaTheme="majorEastAsia"/>
            <w:color w:val="auto"/>
            <w:u w:val="none"/>
          </w:rPr>
          <w:t>section 10.6</w:t>
        </w:r>
      </w:hyperlink>
      <w:r w:rsidRPr="00D819B0">
        <w:t xml:space="preserve"> for authorising and recording individual applications. </w:t>
      </w:r>
    </w:p>
    <w:p w14:paraId="580C60B8" w14:textId="00B658C4" w:rsidR="006036F0" w:rsidRPr="007128F9" w:rsidRDefault="006036F0" w:rsidP="007128F9">
      <w:pPr>
        <w:pStyle w:val="Heading3"/>
        <w:rPr>
          <w:rFonts w:cs="Arial"/>
        </w:rPr>
      </w:pPr>
      <w:r w:rsidRPr="00D819B0">
        <w:t>All applications for financial assistance should be recorded using the application (</w:t>
      </w:r>
      <w:hyperlink w:anchor="_Appendix_1_–" w:history="1">
        <w:r w:rsidRPr="00A553BA">
          <w:rPr>
            <w:rStyle w:val="Hyperlink"/>
            <w:rFonts w:eastAsiaTheme="majorEastAsia"/>
            <w:color w:val="auto"/>
            <w:u w:val="none"/>
          </w:rPr>
          <w:t>Appendix 1</w:t>
        </w:r>
      </w:hyperlink>
      <w:r w:rsidRPr="00D819B0">
        <w:t>)and as set out above.</w:t>
      </w:r>
    </w:p>
    <w:p w14:paraId="6DE7469C" w14:textId="408166E0" w:rsidR="006036F0" w:rsidRDefault="006036F0" w:rsidP="0057255E">
      <w:pPr>
        <w:pStyle w:val="Heading2"/>
        <w:numPr>
          <w:ilvl w:val="0"/>
          <w:numId w:val="0"/>
        </w:numPr>
      </w:pPr>
      <w:bookmarkStart w:id="1130" w:name="_Toc536198947"/>
      <w:bookmarkStart w:id="1131" w:name="_Toc95743489"/>
      <w:r>
        <w:t>Addendums</w:t>
      </w:r>
      <w:bookmarkEnd w:id="1130"/>
      <w:bookmarkEnd w:id="1131"/>
    </w:p>
    <w:p w14:paraId="5C8CD1B8" w14:textId="53957A9C" w:rsidR="006036F0" w:rsidRPr="00A553BA" w:rsidRDefault="0057255E" w:rsidP="007128F9">
      <w:pPr>
        <w:tabs>
          <w:tab w:val="left" w:pos="330"/>
          <w:tab w:val="right" w:pos="9026"/>
        </w:tabs>
        <w:spacing w:before="60" w:after="60"/>
        <w:rPr>
          <w:rStyle w:val="Hyperlink"/>
          <w:rFonts w:eastAsiaTheme="majorEastAsia"/>
        </w:rPr>
      </w:pPr>
      <w:r>
        <w:tab/>
      </w:r>
      <w:r>
        <w:tab/>
      </w:r>
      <w:hyperlink w:anchor="_top" w:history="1">
        <w:r w:rsidR="006036F0" w:rsidRPr="005E4DE2">
          <w:rPr>
            <w:rStyle w:val="Hyperlink"/>
            <w:rFonts w:eastAsiaTheme="majorEastAsia" w:cs="Arial"/>
            <w:sz w:val="16"/>
            <w:szCs w:val="16"/>
          </w:rPr>
          <w:t>(return to contents page)</w:t>
        </w:r>
      </w:hyperlink>
    </w:p>
    <w:p w14:paraId="25E91CFD" w14:textId="77777777" w:rsidR="00D819B0" w:rsidRPr="005E4DE2" w:rsidRDefault="00D819B0" w:rsidP="006036F0">
      <w:pPr>
        <w:spacing w:before="60" w:after="60"/>
        <w:jc w:val="right"/>
        <w:rPr>
          <w:rFonts w:cs="Arial"/>
          <w:sz w:val="16"/>
          <w:szCs w:val="16"/>
        </w:rPr>
      </w:pPr>
    </w:p>
    <w:p w14:paraId="21567436" w14:textId="04F3B4C1" w:rsidR="006036F0" w:rsidRDefault="006036F0" w:rsidP="00A507BE">
      <w:pPr>
        <w:pStyle w:val="Heading3"/>
      </w:pPr>
      <w:bookmarkStart w:id="1132" w:name="_Toc493938696"/>
      <w:bookmarkStart w:id="1133" w:name="_Toc493938789"/>
      <w:bookmarkStart w:id="1134" w:name="_Toc493939138"/>
      <w:r w:rsidRPr="00D819B0">
        <w:t>Annex 1 – S.96 Application</w:t>
      </w:r>
      <w:bookmarkEnd w:id="1132"/>
      <w:bookmarkEnd w:id="1133"/>
      <w:bookmarkEnd w:id="1134"/>
    </w:p>
    <w:p w14:paraId="1469F13C" w14:textId="77777777" w:rsidR="00D819B0" w:rsidRPr="00D819B0" w:rsidRDefault="00D819B0" w:rsidP="00A553BA"/>
    <w:p w14:paraId="0CB4F278" w14:textId="77777777" w:rsidR="006036F0" w:rsidRDefault="000B57EE" w:rsidP="006C3DF5">
      <w:pPr>
        <w:pStyle w:val="ListParagraph"/>
        <w:numPr>
          <w:ilvl w:val="0"/>
          <w:numId w:val="126"/>
        </w:numPr>
        <w:spacing w:before="60" w:after="60"/>
        <w:rPr>
          <w:rFonts w:cs="Arial"/>
        </w:rPr>
      </w:pPr>
      <w:hyperlink r:id="rId140" w:history="1">
        <w:r w:rsidR="006036F0">
          <w:rPr>
            <w:rStyle w:val="Hyperlink"/>
            <w:rFonts w:eastAsiaTheme="majorEastAsia" w:cs="Arial"/>
          </w:rPr>
          <w:t>Functional Excel Template Application</w:t>
        </w:r>
      </w:hyperlink>
    </w:p>
    <w:p w14:paraId="14C69793" w14:textId="77777777" w:rsidR="006036F0" w:rsidRPr="00A97ABC" w:rsidRDefault="006036F0" w:rsidP="006036F0">
      <w:pPr>
        <w:pStyle w:val="ListParagraph"/>
        <w:spacing w:before="60" w:after="60"/>
        <w:rPr>
          <w:rFonts w:cs="Arial"/>
        </w:rPr>
      </w:pPr>
    </w:p>
    <w:p w14:paraId="258404E6" w14:textId="77777777" w:rsidR="006036F0" w:rsidRDefault="006036F0" w:rsidP="00FA7B89">
      <w:pPr>
        <w:rPr>
          <w:rFonts w:cs="Arial"/>
        </w:rPr>
        <w:sectPr w:rsidR="006036F0" w:rsidSect="00DA1C1E">
          <w:headerReference w:type="default" r:id="rId141"/>
          <w:footerReference w:type="default" r:id="rId142"/>
          <w:pgSz w:w="11906" w:h="16838"/>
          <w:pgMar w:top="1276" w:right="1440" w:bottom="1440" w:left="1440" w:header="709" w:footer="709" w:gutter="0"/>
          <w:cols w:space="708"/>
          <w:docGrid w:linePitch="360"/>
        </w:sectPr>
      </w:pPr>
    </w:p>
    <w:p w14:paraId="54BCB103" w14:textId="77777777" w:rsidR="006036F0" w:rsidRDefault="006036F0" w:rsidP="006036F0">
      <w:pPr>
        <w:spacing w:before="60" w:after="60"/>
        <w:rPr>
          <w:rFonts w:cs="Arial"/>
        </w:rPr>
      </w:pPr>
      <w:r>
        <w:rPr>
          <w:rFonts w:cs="Arial"/>
        </w:rPr>
        <w:t>Hard Copy of Template Application</w:t>
      </w:r>
    </w:p>
    <w:tbl>
      <w:tblPr>
        <w:tblW w:w="14972" w:type="dxa"/>
        <w:tblInd w:w="93" w:type="dxa"/>
        <w:tblLook w:val="04A0" w:firstRow="1" w:lastRow="0" w:firstColumn="1" w:lastColumn="0" w:noHBand="0" w:noVBand="1"/>
      </w:tblPr>
      <w:tblGrid>
        <w:gridCol w:w="642"/>
        <w:gridCol w:w="6342"/>
        <w:gridCol w:w="2915"/>
        <w:gridCol w:w="547"/>
        <w:gridCol w:w="1765"/>
        <w:gridCol w:w="2824"/>
      </w:tblGrid>
      <w:tr w:rsidR="006036F0" w:rsidRPr="00BB662E" w14:paraId="653DC76B" w14:textId="77777777" w:rsidTr="006036F0">
        <w:trPr>
          <w:trHeight w:val="375"/>
        </w:trPr>
        <w:tc>
          <w:tcPr>
            <w:tcW w:w="6949" w:type="dxa"/>
            <w:gridSpan w:val="2"/>
            <w:tcBorders>
              <w:top w:val="single" w:sz="8" w:space="0" w:color="auto"/>
              <w:left w:val="single" w:sz="8" w:space="0" w:color="auto"/>
              <w:bottom w:val="single" w:sz="8" w:space="0" w:color="auto"/>
              <w:right w:val="single" w:sz="8" w:space="0" w:color="000000"/>
            </w:tcBorders>
            <w:shd w:val="clear" w:color="000000" w:fill="00B050"/>
            <w:vAlign w:val="bottom"/>
            <w:hideMark/>
          </w:tcPr>
          <w:p w14:paraId="65DFA88A" w14:textId="77777777" w:rsidR="006036F0" w:rsidRPr="00BB662E" w:rsidRDefault="006036F0" w:rsidP="006036F0">
            <w:pPr>
              <w:spacing w:before="60" w:after="60"/>
              <w:rPr>
                <w:rFonts w:ascii="Calibri" w:hAnsi="Calibri"/>
                <w:b/>
                <w:bCs w:val="0"/>
                <w:color w:val="000000"/>
                <w:sz w:val="28"/>
                <w:szCs w:val="28"/>
                <w:lang w:eastAsia="en-GB"/>
              </w:rPr>
            </w:pPr>
            <w:r w:rsidRPr="00BB662E">
              <w:rPr>
                <w:rFonts w:ascii="Calibri" w:hAnsi="Calibri"/>
                <w:b/>
                <w:color w:val="000000"/>
                <w:sz w:val="28"/>
                <w:szCs w:val="28"/>
                <w:lang w:eastAsia="en-GB"/>
              </w:rPr>
              <w:t xml:space="preserve">FORM REF:                                     </w:t>
            </w:r>
            <w:r w:rsidRPr="00BB662E">
              <w:rPr>
                <w:rFonts w:ascii="Calibri" w:hAnsi="Calibri"/>
                <w:b/>
                <w:color w:val="000000"/>
                <w:sz w:val="20"/>
                <w:szCs w:val="20"/>
                <w:lang w:eastAsia="en-GB"/>
              </w:rPr>
              <w:t>(NHSE use)</w:t>
            </w:r>
          </w:p>
        </w:tc>
        <w:tc>
          <w:tcPr>
            <w:tcW w:w="8023" w:type="dxa"/>
            <w:gridSpan w:val="4"/>
            <w:tcBorders>
              <w:top w:val="nil"/>
              <w:left w:val="nil"/>
              <w:bottom w:val="nil"/>
              <w:right w:val="nil"/>
            </w:tcBorders>
            <w:shd w:val="clear" w:color="auto" w:fill="auto"/>
            <w:vAlign w:val="bottom"/>
            <w:hideMark/>
          </w:tcPr>
          <w:p w14:paraId="505197EA" w14:textId="4620A15E" w:rsidR="006036F0" w:rsidRPr="00BB662E" w:rsidRDefault="006036F0" w:rsidP="006036F0">
            <w:pPr>
              <w:spacing w:before="60" w:after="60"/>
              <w:jc w:val="center"/>
              <w:rPr>
                <w:rFonts w:ascii="Calibri" w:hAnsi="Calibri"/>
                <w:b/>
                <w:bCs w:val="0"/>
                <w:color w:val="000000"/>
                <w:sz w:val="28"/>
                <w:szCs w:val="28"/>
                <w:lang w:eastAsia="en-GB"/>
              </w:rPr>
            </w:pPr>
            <w:r w:rsidRPr="00BB662E">
              <w:rPr>
                <w:rFonts w:ascii="Calibri" w:hAnsi="Calibri"/>
                <w:b/>
                <w:color w:val="000000"/>
                <w:sz w:val="28"/>
                <w:szCs w:val="28"/>
                <w:lang w:eastAsia="en-GB"/>
              </w:rPr>
              <w:t xml:space="preserve">Commissioner:  </w:t>
            </w:r>
            <w:r w:rsidRPr="00BB662E">
              <w:rPr>
                <w:rFonts w:ascii="Calibri" w:hAnsi="Calibri"/>
                <w:b/>
                <w:color w:val="FF0000"/>
                <w:sz w:val="28"/>
                <w:szCs w:val="28"/>
                <w:lang w:eastAsia="en-GB"/>
              </w:rPr>
              <w:t xml:space="preserve">Insert Delegated </w:t>
            </w:r>
            <w:r w:rsidR="00B83042">
              <w:rPr>
                <w:rFonts w:ascii="Calibri" w:hAnsi="Calibri"/>
                <w:b/>
                <w:color w:val="FF0000"/>
                <w:sz w:val="28"/>
                <w:szCs w:val="28"/>
                <w:lang w:eastAsia="en-GB"/>
              </w:rPr>
              <w:t>CCG/ICB</w:t>
            </w:r>
          </w:p>
        </w:tc>
      </w:tr>
      <w:tr w:rsidR="006036F0" w:rsidRPr="00BB662E" w14:paraId="16113519" w14:textId="77777777" w:rsidTr="006036F0">
        <w:trPr>
          <w:trHeight w:val="375"/>
        </w:trPr>
        <w:tc>
          <w:tcPr>
            <w:tcW w:w="607" w:type="dxa"/>
            <w:tcBorders>
              <w:top w:val="nil"/>
              <w:left w:val="nil"/>
              <w:bottom w:val="nil"/>
              <w:right w:val="nil"/>
            </w:tcBorders>
            <w:shd w:val="clear" w:color="auto" w:fill="auto"/>
            <w:noWrap/>
            <w:hideMark/>
          </w:tcPr>
          <w:p w14:paraId="0E1844CB" w14:textId="77777777" w:rsidR="006036F0" w:rsidRPr="00BB662E" w:rsidRDefault="006036F0" w:rsidP="006036F0">
            <w:pPr>
              <w:spacing w:before="60" w:after="60"/>
              <w:jc w:val="center"/>
              <w:rPr>
                <w:rFonts w:ascii="Calibri" w:hAnsi="Calibri"/>
                <w:color w:val="000000"/>
                <w:lang w:eastAsia="en-GB"/>
              </w:rPr>
            </w:pPr>
          </w:p>
        </w:tc>
        <w:tc>
          <w:tcPr>
            <w:tcW w:w="14365" w:type="dxa"/>
            <w:gridSpan w:val="5"/>
            <w:tcBorders>
              <w:top w:val="nil"/>
              <w:left w:val="nil"/>
              <w:bottom w:val="nil"/>
              <w:right w:val="nil"/>
            </w:tcBorders>
            <w:shd w:val="clear" w:color="000000" w:fill="FFFF00"/>
            <w:vAlign w:val="bottom"/>
            <w:hideMark/>
          </w:tcPr>
          <w:p w14:paraId="5413C8F5" w14:textId="77777777" w:rsidR="006036F0" w:rsidRPr="00BB662E" w:rsidRDefault="006036F0" w:rsidP="006036F0">
            <w:pPr>
              <w:spacing w:before="60" w:after="60"/>
              <w:jc w:val="center"/>
              <w:rPr>
                <w:rFonts w:ascii="Calibri" w:hAnsi="Calibri"/>
                <w:b/>
                <w:bCs w:val="0"/>
                <w:color w:val="000000"/>
                <w:sz w:val="28"/>
                <w:szCs w:val="28"/>
                <w:lang w:eastAsia="en-GB"/>
              </w:rPr>
            </w:pPr>
            <w:r w:rsidRPr="00BB662E">
              <w:rPr>
                <w:rFonts w:ascii="Calibri" w:hAnsi="Calibri"/>
                <w:b/>
                <w:color w:val="000000"/>
                <w:sz w:val="28"/>
                <w:szCs w:val="28"/>
                <w:lang w:eastAsia="en-GB"/>
              </w:rPr>
              <w:t>GP Practice Application for Discretionary Funding Support (Section 96 NHS Act 2006)</w:t>
            </w:r>
          </w:p>
        </w:tc>
      </w:tr>
      <w:tr w:rsidR="006036F0" w:rsidRPr="00BB662E" w14:paraId="5B6D5960" w14:textId="77777777" w:rsidTr="006036F0">
        <w:trPr>
          <w:trHeight w:val="180"/>
        </w:trPr>
        <w:tc>
          <w:tcPr>
            <w:tcW w:w="607" w:type="dxa"/>
            <w:tcBorders>
              <w:top w:val="nil"/>
              <w:left w:val="nil"/>
              <w:bottom w:val="nil"/>
              <w:right w:val="nil"/>
            </w:tcBorders>
            <w:shd w:val="clear" w:color="auto" w:fill="auto"/>
            <w:noWrap/>
            <w:hideMark/>
          </w:tcPr>
          <w:p w14:paraId="2D2ECE9C" w14:textId="77777777" w:rsidR="006036F0" w:rsidRPr="00BB662E" w:rsidRDefault="006036F0" w:rsidP="006036F0">
            <w:pPr>
              <w:spacing w:before="60" w:after="60"/>
              <w:jc w:val="center"/>
              <w:rPr>
                <w:rFonts w:ascii="Calibri" w:hAnsi="Calibri"/>
                <w:color w:val="000000"/>
                <w:lang w:eastAsia="en-GB"/>
              </w:rPr>
            </w:pPr>
          </w:p>
        </w:tc>
        <w:tc>
          <w:tcPr>
            <w:tcW w:w="6342" w:type="dxa"/>
            <w:tcBorders>
              <w:top w:val="nil"/>
              <w:left w:val="nil"/>
              <w:bottom w:val="nil"/>
              <w:right w:val="nil"/>
            </w:tcBorders>
            <w:shd w:val="clear" w:color="auto" w:fill="auto"/>
            <w:vAlign w:val="bottom"/>
            <w:hideMark/>
          </w:tcPr>
          <w:p w14:paraId="77B8F7EE" w14:textId="77777777" w:rsidR="006036F0" w:rsidRPr="00BB662E" w:rsidRDefault="006036F0" w:rsidP="006036F0">
            <w:pPr>
              <w:spacing w:before="60" w:after="60"/>
              <w:rPr>
                <w:rFonts w:ascii="Calibri" w:hAnsi="Calibri"/>
                <w:b/>
                <w:bCs w:val="0"/>
                <w:color w:val="000000"/>
                <w:lang w:eastAsia="en-GB"/>
              </w:rPr>
            </w:pPr>
          </w:p>
        </w:tc>
        <w:tc>
          <w:tcPr>
            <w:tcW w:w="2915" w:type="dxa"/>
            <w:tcBorders>
              <w:top w:val="nil"/>
              <w:left w:val="nil"/>
              <w:bottom w:val="nil"/>
              <w:right w:val="nil"/>
            </w:tcBorders>
            <w:shd w:val="clear" w:color="auto" w:fill="auto"/>
            <w:vAlign w:val="bottom"/>
            <w:hideMark/>
          </w:tcPr>
          <w:p w14:paraId="0E0C6DAF" w14:textId="77777777" w:rsidR="006036F0" w:rsidRPr="00BB662E" w:rsidRDefault="006036F0" w:rsidP="006036F0">
            <w:pPr>
              <w:spacing w:before="60" w:after="60"/>
              <w:rPr>
                <w:rFonts w:ascii="Calibri" w:hAnsi="Calibri"/>
                <w:b/>
                <w:bCs w:val="0"/>
                <w:color w:val="000000"/>
                <w:lang w:eastAsia="en-GB"/>
              </w:rPr>
            </w:pPr>
          </w:p>
        </w:tc>
        <w:tc>
          <w:tcPr>
            <w:tcW w:w="519" w:type="dxa"/>
            <w:tcBorders>
              <w:top w:val="nil"/>
              <w:left w:val="nil"/>
              <w:bottom w:val="nil"/>
              <w:right w:val="nil"/>
            </w:tcBorders>
            <w:shd w:val="clear" w:color="auto" w:fill="auto"/>
            <w:vAlign w:val="bottom"/>
            <w:hideMark/>
          </w:tcPr>
          <w:p w14:paraId="0DD88EBF" w14:textId="77777777" w:rsidR="006036F0" w:rsidRPr="00BB662E" w:rsidRDefault="006036F0" w:rsidP="006036F0">
            <w:pPr>
              <w:spacing w:before="60" w:after="60"/>
              <w:rPr>
                <w:rFonts w:ascii="Calibri" w:hAnsi="Calibri"/>
                <w:b/>
                <w:bCs w:val="0"/>
                <w:color w:val="000000"/>
                <w:lang w:eastAsia="en-GB"/>
              </w:rPr>
            </w:pPr>
          </w:p>
        </w:tc>
        <w:tc>
          <w:tcPr>
            <w:tcW w:w="1765" w:type="dxa"/>
            <w:tcBorders>
              <w:top w:val="nil"/>
              <w:left w:val="nil"/>
              <w:bottom w:val="nil"/>
              <w:right w:val="nil"/>
            </w:tcBorders>
            <w:shd w:val="clear" w:color="auto" w:fill="auto"/>
            <w:vAlign w:val="bottom"/>
            <w:hideMark/>
          </w:tcPr>
          <w:p w14:paraId="47E8E364" w14:textId="77777777" w:rsidR="006036F0" w:rsidRPr="00BB662E" w:rsidRDefault="006036F0" w:rsidP="006036F0">
            <w:pPr>
              <w:spacing w:before="60" w:after="60"/>
              <w:rPr>
                <w:rFonts w:ascii="Calibri" w:hAnsi="Calibri"/>
                <w:b/>
                <w:bCs w:val="0"/>
                <w:color w:val="000000"/>
                <w:lang w:eastAsia="en-GB"/>
              </w:rPr>
            </w:pPr>
          </w:p>
        </w:tc>
        <w:tc>
          <w:tcPr>
            <w:tcW w:w="2824" w:type="dxa"/>
            <w:tcBorders>
              <w:top w:val="nil"/>
              <w:left w:val="nil"/>
              <w:bottom w:val="nil"/>
              <w:right w:val="nil"/>
            </w:tcBorders>
            <w:shd w:val="clear" w:color="auto" w:fill="auto"/>
            <w:noWrap/>
            <w:vAlign w:val="bottom"/>
            <w:hideMark/>
          </w:tcPr>
          <w:p w14:paraId="4C686166" w14:textId="77777777" w:rsidR="006036F0" w:rsidRPr="00BB662E" w:rsidRDefault="006036F0" w:rsidP="006036F0">
            <w:pPr>
              <w:spacing w:before="60" w:after="60"/>
              <w:rPr>
                <w:rFonts w:ascii="Calibri" w:hAnsi="Calibri"/>
                <w:color w:val="000000"/>
                <w:lang w:eastAsia="en-GB"/>
              </w:rPr>
            </w:pPr>
          </w:p>
        </w:tc>
      </w:tr>
      <w:tr w:rsidR="006036F0" w:rsidRPr="00BB662E" w14:paraId="37AFD1C1" w14:textId="77777777" w:rsidTr="006036F0">
        <w:trPr>
          <w:trHeight w:val="300"/>
        </w:trPr>
        <w:tc>
          <w:tcPr>
            <w:tcW w:w="607" w:type="dxa"/>
            <w:tcBorders>
              <w:top w:val="single" w:sz="4" w:space="0" w:color="auto"/>
              <w:left w:val="single" w:sz="4" w:space="0" w:color="auto"/>
              <w:bottom w:val="single" w:sz="4" w:space="0" w:color="auto"/>
              <w:right w:val="single" w:sz="4" w:space="0" w:color="auto"/>
            </w:tcBorders>
            <w:shd w:val="clear" w:color="auto" w:fill="auto"/>
            <w:noWrap/>
            <w:hideMark/>
          </w:tcPr>
          <w:p w14:paraId="0D0A911E"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1</w:t>
            </w:r>
          </w:p>
        </w:tc>
        <w:tc>
          <w:tcPr>
            <w:tcW w:w="6342" w:type="dxa"/>
            <w:tcBorders>
              <w:top w:val="single" w:sz="4" w:space="0" w:color="auto"/>
              <w:left w:val="nil"/>
              <w:bottom w:val="single" w:sz="4" w:space="0" w:color="auto"/>
              <w:right w:val="nil"/>
            </w:tcBorders>
            <w:shd w:val="clear" w:color="000000" w:fill="D9D9D9"/>
            <w:vAlign w:val="bottom"/>
            <w:hideMark/>
          </w:tcPr>
          <w:p w14:paraId="696DEC2F"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Date of application:</w:t>
            </w:r>
          </w:p>
        </w:tc>
        <w:tc>
          <w:tcPr>
            <w:tcW w:w="2915" w:type="dxa"/>
            <w:tcBorders>
              <w:top w:val="single" w:sz="4" w:space="0" w:color="auto"/>
              <w:left w:val="single" w:sz="4" w:space="0" w:color="auto"/>
              <w:bottom w:val="single" w:sz="4" w:space="0" w:color="auto"/>
              <w:right w:val="single" w:sz="4" w:space="0" w:color="auto"/>
            </w:tcBorders>
            <w:shd w:val="clear" w:color="000000" w:fill="F2DCDB"/>
            <w:vAlign w:val="bottom"/>
            <w:hideMark/>
          </w:tcPr>
          <w:p w14:paraId="390AC16F"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 </w:t>
            </w:r>
          </w:p>
        </w:tc>
        <w:tc>
          <w:tcPr>
            <w:tcW w:w="519" w:type="dxa"/>
            <w:tcBorders>
              <w:top w:val="nil"/>
              <w:left w:val="nil"/>
              <w:bottom w:val="nil"/>
              <w:right w:val="nil"/>
            </w:tcBorders>
            <w:shd w:val="clear" w:color="auto" w:fill="auto"/>
            <w:vAlign w:val="bottom"/>
            <w:hideMark/>
          </w:tcPr>
          <w:p w14:paraId="6CAB8A8D" w14:textId="77777777" w:rsidR="006036F0" w:rsidRPr="00BB662E" w:rsidRDefault="006036F0" w:rsidP="006036F0">
            <w:pPr>
              <w:spacing w:before="60" w:after="60"/>
              <w:rPr>
                <w:rFonts w:ascii="Calibri" w:hAnsi="Calibri"/>
                <w:b/>
                <w:bCs w:val="0"/>
                <w:color w:val="000000"/>
                <w:lang w:eastAsia="en-GB"/>
              </w:rPr>
            </w:pPr>
          </w:p>
        </w:tc>
        <w:tc>
          <w:tcPr>
            <w:tcW w:w="1765" w:type="dxa"/>
            <w:tcBorders>
              <w:top w:val="nil"/>
              <w:left w:val="nil"/>
              <w:bottom w:val="nil"/>
              <w:right w:val="nil"/>
            </w:tcBorders>
            <w:shd w:val="clear" w:color="auto" w:fill="auto"/>
            <w:vAlign w:val="bottom"/>
            <w:hideMark/>
          </w:tcPr>
          <w:p w14:paraId="0BEF2B27" w14:textId="77777777" w:rsidR="006036F0" w:rsidRPr="00BB662E" w:rsidRDefault="006036F0" w:rsidP="006036F0">
            <w:pPr>
              <w:spacing w:before="60" w:after="60"/>
              <w:rPr>
                <w:rFonts w:ascii="Calibri" w:hAnsi="Calibri"/>
                <w:b/>
                <w:bCs w:val="0"/>
                <w:color w:val="000000"/>
                <w:lang w:eastAsia="en-GB"/>
              </w:rPr>
            </w:pPr>
          </w:p>
        </w:tc>
        <w:tc>
          <w:tcPr>
            <w:tcW w:w="2824" w:type="dxa"/>
            <w:tcBorders>
              <w:top w:val="nil"/>
              <w:left w:val="nil"/>
              <w:bottom w:val="nil"/>
              <w:right w:val="nil"/>
            </w:tcBorders>
            <w:shd w:val="clear" w:color="auto" w:fill="auto"/>
            <w:noWrap/>
            <w:vAlign w:val="bottom"/>
            <w:hideMark/>
          </w:tcPr>
          <w:p w14:paraId="7157283E" w14:textId="77777777" w:rsidR="006036F0" w:rsidRPr="00BB662E" w:rsidRDefault="006036F0" w:rsidP="006036F0">
            <w:pPr>
              <w:spacing w:before="60" w:after="60"/>
              <w:rPr>
                <w:rFonts w:ascii="Calibri" w:hAnsi="Calibri"/>
                <w:color w:val="000000"/>
                <w:lang w:eastAsia="en-GB"/>
              </w:rPr>
            </w:pPr>
          </w:p>
        </w:tc>
      </w:tr>
      <w:tr w:rsidR="006036F0" w:rsidRPr="00BB662E" w14:paraId="295B9EE7" w14:textId="77777777" w:rsidTr="006036F0">
        <w:trPr>
          <w:trHeight w:val="375"/>
        </w:trPr>
        <w:tc>
          <w:tcPr>
            <w:tcW w:w="607" w:type="dxa"/>
            <w:tcBorders>
              <w:top w:val="nil"/>
              <w:left w:val="single" w:sz="4" w:space="0" w:color="auto"/>
              <w:bottom w:val="single" w:sz="4" w:space="0" w:color="auto"/>
              <w:right w:val="single" w:sz="4" w:space="0" w:color="auto"/>
            </w:tcBorders>
            <w:shd w:val="clear" w:color="auto" w:fill="auto"/>
            <w:noWrap/>
            <w:hideMark/>
          </w:tcPr>
          <w:p w14:paraId="6F0E9D12"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2</w:t>
            </w:r>
          </w:p>
        </w:tc>
        <w:tc>
          <w:tcPr>
            <w:tcW w:w="6342" w:type="dxa"/>
            <w:tcBorders>
              <w:top w:val="nil"/>
              <w:left w:val="nil"/>
              <w:bottom w:val="single" w:sz="4" w:space="0" w:color="auto"/>
              <w:right w:val="nil"/>
            </w:tcBorders>
            <w:shd w:val="clear" w:color="000000" w:fill="D9D9D9"/>
            <w:vAlign w:val="bottom"/>
            <w:hideMark/>
          </w:tcPr>
          <w:p w14:paraId="1EACB214"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Practice Name:</w:t>
            </w:r>
          </w:p>
        </w:tc>
        <w:tc>
          <w:tcPr>
            <w:tcW w:w="8023" w:type="dxa"/>
            <w:gridSpan w:val="4"/>
            <w:tcBorders>
              <w:top w:val="single" w:sz="4" w:space="0" w:color="auto"/>
              <w:left w:val="single" w:sz="4" w:space="0" w:color="auto"/>
              <w:bottom w:val="single" w:sz="4" w:space="0" w:color="auto"/>
              <w:right w:val="single" w:sz="4" w:space="0" w:color="000000"/>
            </w:tcBorders>
            <w:shd w:val="clear" w:color="000000" w:fill="D9D9D9"/>
            <w:vAlign w:val="bottom"/>
            <w:hideMark/>
          </w:tcPr>
          <w:p w14:paraId="62386A87" w14:textId="77777777" w:rsidR="006036F0" w:rsidRPr="00BB662E" w:rsidRDefault="006036F0" w:rsidP="006036F0">
            <w:pPr>
              <w:spacing w:before="60" w:after="60"/>
              <w:jc w:val="center"/>
              <w:rPr>
                <w:rFonts w:ascii="Calibri" w:hAnsi="Calibri"/>
                <w:b/>
                <w:bCs w:val="0"/>
                <w:color w:val="000000"/>
                <w:szCs w:val="24"/>
                <w:lang w:eastAsia="en-GB"/>
              </w:rPr>
            </w:pPr>
            <w:r w:rsidRPr="00BB662E">
              <w:rPr>
                <w:rFonts w:ascii="Calibri" w:hAnsi="Calibri"/>
                <w:b/>
                <w:color w:val="000000"/>
                <w:szCs w:val="24"/>
                <w:lang w:eastAsia="en-GB"/>
              </w:rPr>
              <w:t>ABC practice</w:t>
            </w:r>
          </w:p>
        </w:tc>
      </w:tr>
      <w:tr w:rsidR="006036F0" w:rsidRPr="00BB662E" w14:paraId="23C91F52" w14:textId="77777777" w:rsidTr="006036F0">
        <w:trPr>
          <w:trHeight w:val="360"/>
        </w:trPr>
        <w:tc>
          <w:tcPr>
            <w:tcW w:w="607" w:type="dxa"/>
            <w:tcBorders>
              <w:top w:val="nil"/>
              <w:left w:val="single" w:sz="4" w:space="0" w:color="auto"/>
              <w:bottom w:val="single" w:sz="4" w:space="0" w:color="auto"/>
              <w:right w:val="single" w:sz="4" w:space="0" w:color="auto"/>
            </w:tcBorders>
            <w:shd w:val="clear" w:color="auto" w:fill="auto"/>
            <w:noWrap/>
            <w:hideMark/>
          </w:tcPr>
          <w:p w14:paraId="3AEBBFF0"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3</w:t>
            </w:r>
          </w:p>
        </w:tc>
        <w:tc>
          <w:tcPr>
            <w:tcW w:w="6342" w:type="dxa"/>
            <w:tcBorders>
              <w:top w:val="nil"/>
              <w:left w:val="nil"/>
              <w:bottom w:val="single" w:sz="4" w:space="0" w:color="auto"/>
              <w:right w:val="nil"/>
            </w:tcBorders>
            <w:shd w:val="clear" w:color="000000" w:fill="D9D9D9"/>
            <w:vAlign w:val="bottom"/>
            <w:hideMark/>
          </w:tcPr>
          <w:p w14:paraId="012F20A0"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Practice Identifier Code:</w:t>
            </w:r>
          </w:p>
        </w:tc>
        <w:tc>
          <w:tcPr>
            <w:tcW w:w="2915" w:type="dxa"/>
            <w:tcBorders>
              <w:top w:val="nil"/>
              <w:left w:val="single" w:sz="4" w:space="0" w:color="auto"/>
              <w:bottom w:val="single" w:sz="4" w:space="0" w:color="auto"/>
              <w:right w:val="single" w:sz="4" w:space="0" w:color="auto"/>
            </w:tcBorders>
            <w:shd w:val="clear" w:color="000000" w:fill="F2DCDB"/>
            <w:vAlign w:val="bottom"/>
            <w:hideMark/>
          </w:tcPr>
          <w:p w14:paraId="080343B7"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 </w:t>
            </w:r>
          </w:p>
        </w:tc>
        <w:tc>
          <w:tcPr>
            <w:tcW w:w="519" w:type="dxa"/>
            <w:tcBorders>
              <w:top w:val="nil"/>
              <w:left w:val="nil"/>
              <w:bottom w:val="nil"/>
              <w:right w:val="nil"/>
            </w:tcBorders>
            <w:shd w:val="clear" w:color="auto" w:fill="auto"/>
            <w:vAlign w:val="bottom"/>
            <w:hideMark/>
          </w:tcPr>
          <w:p w14:paraId="00496FB2" w14:textId="77777777" w:rsidR="006036F0" w:rsidRPr="00BB662E" w:rsidRDefault="006036F0" w:rsidP="006036F0">
            <w:pPr>
              <w:spacing w:before="60" w:after="60"/>
              <w:rPr>
                <w:rFonts w:ascii="Calibri" w:hAnsi="Calibri"/>
                <w:b/>
                <w:bCs w:val="0"/>
                <w:color w:val="000000"/>
                <w:lang w:eastAsia="en-GB"/>
              </w:rPr>
            </w:pPr>
          </w:p>
        </w:tc>
        <w:tc>
          <w:tcPr>
            <w:tcW w:w="1765" w:type="dxa"/>
            <w:tcBorders>
              <w:top w:val="nil"/>
              <w:left w:val="nil"/>
              <w:bottom w:val="nil"/>
              <w:right w:val="nil"/>
            </w:tcBorders>
            <w:shd w:val="clear" w:color="auto" w:fill="auto"/>
            <w:vAlign w:val="bottom"/>
            <w:hideMark/>
          </w:tcPr>
          <w:p w14:paraId="1C4E9EB9" w14:textId="77777777" w:rsidR="006036F0" w:rsidRPr="00BB662E" w:rsidRDefault="006036F0" w:rsidP="006036F0">
            <w:pPr>
              <w:spacing w:before="60" w:after="60"/>
              <w:rPr>
                <w:rFonts w:ascii="Calibri" w:hAnsi="Calibri"/>
                <w:b/>
                <w:bCs w:val="0"/>
                <w:color w:val="000000"/>
                <w:lang w:eastAsia="en-GB"/>
              </w:rPr>
            </w:pPr>
          </w:p>
        </w:tc>
        <w:tc>
          <w:tcPr>
            <w:tcW w:w="2824" w:type="dxa"/>
            <w:tcBorders>
              <w:top w:val="nil"/>
              <w:left w:val="nil"/>
              <w:bottom w:val="nil"/>
              <w:right w:val="nil"/>
            </w:tcBorders>
            <w:shd w:val="clear" w:color="auto" w:fill="auto"/>
            <w:noWrap/>
            <w:vAlign w:val="bottom"/>
            <w:hideMark/>
          </w:tcPr>
          <w:p w14:paraId="0F2BF0FF" w14:textId="77777777" w:rsidR="006036F0" w:rsidRPr="00BB662E" w:rsidRDefault="006036F0" w:rsidP="006036F0">
            <w:pPr>
              <w:spacing w:before="60" w:after="60"/>
              <w:rPr>
                <w:rFonts w:ascii="Calibri" w:hAnsi="Calibri"/>
                <w:color w:val="000000"/>
                <w:lang w:eastAsia="en-GB"/>
              </w:rPr>
            </w:pPr>
          </w:p>
        </w:tc>
      </w:tr>
      <w:tr w:rsidR="006036F0" w:rsidRPr="00BB662E" w14:paraId="36B0F9FF" w14:textId="77777777" w:rsidTr="006036F0">
        <w:trPr>
          <w:trHeight w:val="360"/>
        </w:trPr>
        <w:tc>
          <w:tcPr>
            <w:tcW w:w="607" w:type="dxa"/>
            <w:tcBorders>
              <w:top w:val="nil"/>
              <w:left w:val="single" w:sz="4" w:space="0" w:color="auto"/>
              <w:bottom w:val="single" w:sz="4" w:space="0" w:color="auto"/>
              <w:right w:val="single" w:sz="4" w:space="0" w:color="auto"/>
            </w:tcBorders>
            <w:shd w:val="clear" w:color="auto" w:fill="auto"/>
            <w:noWrap/>
            <w:hideMark/>
          </w:tcPr>
          <w:p w14:paraId="75C36337"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4</w:t>
            </w:r>
          </w:p>
        </w:tc>
        <w:tc>
          <w:tcPr>
            <w:tcW w:w="6342" w:type="dxa"/>
            <w:tcBorders>
              <w:top w:val="nil"/>
              <w:left w:val="nil"/>
              <w:bottom w:val="single" w:sz="4" w:space="0" w:color="auto"/>
              <w:right w:val="nil"/>
            </w:tcBorders>
            <w:shd w:val="clear" w:color="000000" w:fill="D9D9D9"/>
            <w:vAlign w:val="bottom"/>
            <w:hideMark/>
          </w:tcPr>
          <w:p w14:paraId="63C2360B"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Contract type: GMS/PMS/APMS</w:t>
            </w:r>
          </w:p>
        </w:tc>
        <w:tc>
          <w:tcPr>
            <w:tcW w:w="2915" w:type="dxa"/>
            <w:tcBorders>
              <w:top w:val="nil"/>
              <w:left w:val="single" w:sz="4" w:space="0" w:color="auto"/>
              <w:bottom w:val="single" w:sz="4" w:space="0" w:color="auto"/>
              <w:right w:val="single" w:sz="4" w:space="0" w:color="auto"/>
            </w:tcBorders>
            <w:shd w:val="clear" w:color="000000" w:fill="F2DCDB"/>
            <w:vAlign w:val="bottom"/>
            <w:hideMark/>
          </w:tcPr>
          <w:p w14:paraId="2CA02C5F"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 </w:t>
            </w:r>
          </w:p>
        </w:tc>
        <w:tc>
          <w:tcPr>
            <w:tcW w:w="519" w:type="dxa"/>
            <w:tcBorders>
              <w:top w:val="nil"/>
              <w:left w:val="nil"/>
              <w:bottom w:val="nil"/>
              <w:right w:val="nil"/>
            </w:tcBorders>
            <w:shd w:val="clear" w:color="auto" w:fill="auto"/>
            <w:vAlign w:val="bottom"/>
            <w:hideMark/>
          </w:tcPr>
          <w:p w14:paraId="17D31354" w14:textId="77777777" w:rsidR="006036F0" w:rsidRPr="00BB662E" w:rsidRDefault="006036F0" w:rsidP="006036F0">
            <w:pPr>
              <w:spacing w:before="60" w:after="60"/>
              <w:rPr>
                <w:rFonts w:ascii="Calibri" w:hAnsi="Calibri"/>
                <w:b/>
                <w:bCs w:val="0"/>
                <w:color w:val="000000"/>
                <w:lang w:eastAsia="en-GB"/>
              </w:rPr>
            </w:pPr>
          </w:p>
        </w:tc>
        <w:tc>
          <w:tcPr>
            <w:tcW w:w="1765" w:type="dxa"/>
            <w:tcBorders>
              <w:top w:val="nil"/>
              <w:left w:val="nil"/>
              <w:bottom w:val="nil"/>
              <w:right w:val="nil"/>
            </w:tcBorders>
            <w:shd w:val="clear" w:color="auto" w:fill="auto"/>
            <w:vAlign w:val="bottom"/>
            <w:hideMark/>
          </w:tcPr>
          <w:p w14:paraId="179936B0" w14:textId="77777777" w:rsidR="006036F0" w:rsidRPr="00BB662E" w:rsidRDefault="006036F0" w:rsidP="006036F0">
            <w:pPr>
              <w:spacing w:before="60" w:after="60"/>
              <w:rPr>
                <w:rFonts w:ascii="Calibri" w:hAnsi="Calibri"/>
                <w:b/>
                <w:bCs w:val="0"/>
                <w:color w:val="000000"/>
                <w:lang w:eastAsia="en-GB"/>
              </w:rPr>
            </w:pPr>
          </w:p>
        </w:tc>
        <w:tc>
          <w:tcPr>
            <w:tcW w:w="2824" w:type="dxa"/>
            <w:tcBorders>
              <w:top w:val="nil"/>
              <w:left w:val="nil"/>
              <w:bottom w:val="nil"/>
              <w:right w:val="nil"/>
            </w:tcBorders>
            <w:shd w:val="clear" w:color="auto" w:fill="auto"/>
            <w:noWrap/>
            <w:vAlign w:val="bottom"/>
            <w:hideMark/>
          </w:tcPr>
          <w:p w14:paraId="6BD3C81D" w14:textId="77777777" w:rsidR="006036F0" w:rsidRPr="00BB662E" w:rsidRDefault="006036F0" w:rsidP="006036F0">
            <w:pPr>
              <w:spacing w:before="60" w:after="60"/>
              <w:rPr>
                <w:rFonts w:ascii="Calibri" w:hAnsi="Calibri"/>
                <w:color w:val="000000"/>
                <w:lang w:eastAsia="en-GB"/>
              </w:rPr>
            </w:pPr>
          </w:p>
        </w:tc>
      </w:tr>
      <w:tr w:rsidR="006036F0" w:rsidRPr="00BB662E" w14:paraId="22543F15" w14:textId="77777777" w:rsidTr="006036F0">
        <w:trPr>
          <w:trHeight w:val="360"/>
        </w:trPr>
        <w:tc>
          <w:tcPr>
            <w:tcW w:w="607" w:type="dxa"/>
            <w:tcBorders>
              <w:top w:val="nil"/>
              <w:left w:val="single" w:sz="4" w:space="0" w:color="auto"/>
              <w:bottom w:val="single" w:sz="4" w:space="0" w:color="auto"/>
              <w:right w:val="single" w:sz="4" w:space="0" w:color="auto"/>
            </w:tcBorders>
            <w:shd w:val="clear" w:color="auto" w:fill="auto"/>
            <w:noWrap/>
            <w:hideMark/>
          </w:tcPr>
          <w:p w14:paraId="3E73700C"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5</w:t>
            </w:r>
          </w:p>
        </w:tc>
        <w:tc>
          <w:tcPr>
            <w:tcW w:w="6342" w:type="dxa"/>
            <w:tcBorders>
              <w:top w:val="nil"/>
              <w:left w:val="nil"/>
              <w:bottom w:val="single" w:sz="4" w:space="0" w:color="auto"/>
              <w:right w:val="nil"/>
            </w:tcBorders>
            <w:shd w:val="clear" w:color="000000" w:fill="D9D9D9"/>
            <w:vAlign w:val="bottom"/>
            <w:hideMark/>
          </w:tcPr>
          <w:p w14:paraId="6D9E4FFA"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Member of GP Federation (formal/informal?)</w:t>
            </w:r>
          </w:p>
        </w:tc>
        <w:tc>
          <w:tcPr>
            <w:tcW w:w="2915" w:type="dxa"/>
            <w:tcBorders>
              <w:top w:val="nil"/>
              <w:left w:val="single" w:sz="4" w:space="0" w:color="auto"/>
              <w:bottom w:val="single" w:sz="4" w:space="0" w:color="auto"/>
              <w:right w:val="nil"/>
            </w:tcBorders>
            <w:shd w:val="clear" w:color="000000" w:fill="F2DCDB"/>
            <w:vAlign w:val="bottom"/>
            <w:hideMark/>
          </w:tcPr>
          <w:p w14:paraId="6D6F1EEE"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Yes   /  No</w:t>
            </w:r>
          </w:p>
        </w:tc>
        <w:tc>
          <w:tcPr>
            <w:tcW w:w="519" w:type="dxa"/>
            <w:tcBorders>
              <w:top w:val="single" w:sz="4" w:space="0" w:color="auto"/>
              <w:left w:val="single" w:sz="4" w:space="0" w:color="auto"/>
              <w:bottom w:val="single" w:sz="4" w:space="0" w:color="auto"/>
              <w:right w:val="nil"/>
            </w:tcBorders>
            <w:shd w:val="clear" w:color="000000" w:fill="D9D9D9"/>
            <w:noWrap/>
            <w:vAlign w:val="bottom"/>
            <w:hideMark/>
          </w:tcPr>
          <w:p w14:paraId="5B028D11"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 </w:t>
            </w:r>
          </w:p>
        </w:tc>
        <w:tc>
          <w:tcPr>
            <w:tcW w:w="1765" w:type="dxa"/>
            <w:tcBorders>
              <w:top w:val="single" w:sz="4" w:space="0" w:color="auto"/>
              <w:left w:val="nil"/>
              <w:bottom w:val="single" w:sz="4" w:space="0" w:color="auto"/>
              <w:right w:val="single" w:sz="4" w:space="0" w:color="auto"/>
            </w:tcBorders>
            <w:shd w:val="clear" w:color="000000" w:fill="D9D9D9"/>
            <w:noWrap/>
            <w:vAlign w:val="bottom"/>
            <w:hideMark/>
          </w:tcPr>
          <w:p w14:paraId="0BEAA1B7" w14:textId="77777777" w:rsidR="006036F0" w:rsidRPr="00BB662E" w:rsidRDefault="006036F0" w:rsidP="006036F0">
            <w:pPr>
              <w:spacing w:before="60" w:after="60"/>
              <w:jc w:val="right"/>
              <w:rPr>
                <w:rFonts w:ascii="Calibri" w:hAnsi="Calibri"/>
                <w:b/>
                <w:bCs w:val="0"/>
                <w:color w:val="000000"/>
                <w:lang w:eastAsia="en-GB"/>
              </w:rPr>
            </w:pPr>
            <w:r w:rsidRPr="00BB662E">
              <w:rPr>
                <w:rFonts w:ascii="Calibri" w:hAnsi="Calibri"/>
                <w:b/>
                <w:color w:val="000000"/>
                <w:lang w:eastAsia="en-GB"/>
              </w:rPr>
              <w:t>Name:</w:t>
            </w:r>
          </w:p>
        </w:tc>
        <w:tc>
          <w:tcPr>
            <w:tcW w:w="2824" w:type="dxa"/>
            <w:tcBorders>
              <w:top w:val="single" w:sz="4" w:space="0" w:color="auto"/>
              <w:left w:val="nil"/>
              <w:bottom w:val="single" w:sz="4" w:space="0" w:color="auto"/>
              <w:right w:val="single" w:sz="4" w:space="0" w:color="auto"/>
            </w:tcBorders>
            <w:shd w:val="clear" w:color="000000" w:fill="F2DCDB"/>
            <w:noWrap/>
            <w:vAlign w:val="bottom"/>
            <w:hideMark/>
          </w:tcPr>
          <w:p w14:paraId="434AA978"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 </w:t>
            </w:r>
          </w:p>
        </w:tc>
      </w:tr>
      <w:tr w:rsidR="006036F0" w:rsidRPr="00BB662E" w14:paraId="4A0C2531" w14:textId="77777777" w:rsidTr="006036F0">
        <w:trPr>
          <w:trHeight w:val="300"/>
        </w:trPr>
        <w:tc>
          <w:tcPr>
            <w:tcW w:w="607" w:type="dxa"/>
            <w:tcBorders>
              <w:top w:val="nil"/>
              <w:left w:val="single" w:sz="4" w:space="0" w:color="auto"/>
              <w:bottom w:val="single" w:sz="4" w:space="0" w:color="auto"/>
              <w:right w:val="single" w:sz="4" w:space="0" w:color="auto"/>
            </w:tcBorders>
            <w:shd w:val="clear" w:color="auto" w:fill="auto"/>
            <w:noWrap/>
            <w:hideMark/>
          </w:tcPr>
          <w:p w14:paraId="1504BDFB"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6</w:t>
            </w:r>
          </w:p>
        </w:tc>
        <w:tc>
          <w:tcPr>
            <w:tcW w:w="6342" w:type="dxa"/>
            <w:tcBorders>
              <w:top w:val="nil"/>
              <w:left w:val="nil"/>
              <w:bottom w:val="single" w:sz="4" w:space="0" w:color="auto"/>
              <w:right w:val="nil"/>
            </w:tcBorders>
            <w:shd w:val="clear" w:color="000000" w:fill="D9D9D9"/>
            <w:vAlign w:val="bottom"/>
            <w:hideMark/>
          </w:tcPr>
          <w:p w14:paraId="71F9063F" w14:textId="3B217E5D" w:rsidR="006036F0" w:rsidRPr="00BB662E" w:rsidRDefault="00B83042" w:rsidP="006036F0">
            <w:pPr>
              <w:spacing w:before="60" w:after="60"/>
              <w:rPr>
                <w:rFonts w:ascii="Calibri" w:hAnsi="Calibri"/>
                <w:b/>
                <w:bCs w:val="0"/>
                <w:color w:val="000000"/>
                <w:lang w:eastAsia="en-GB"/>
              </w:rPr>
            </w:pPr>
            <w:r>
              <w:rPr>
                <w:rFonts w:ascii="Calibri" w:hAnsi="Calibri"/>
                <w:b/>
                <w:color w:val="000000"/>
                <w:lang w:eastAsia="en-GB"/>
              </w:rPr>
              <w:t>CCG/ICB</w:t>
            </w:r>
            <w:r w:rsidR="006036F0" w:rsidRPr="00BB662E">
              <w:rPr>
                <w:rFonts w:ascii="Calibri" w:hAnsi="Calibri"/>
                <w:b/>
                <w:color w:val="000000"/>
                <w:lang w:eastAsia="en-GB"/>
              </w:rPr>
              <w:t xml:space="preserve"> Name:</w:t>
            </w:r>
          </w:p>
        </w:tc>
        <w:tc>
          <w:tcPr>
            <w:tcW w:w="2915" w:type="dxa"/>
            <w:tcBorders>
              <w:top w:val="nil"/>
              <w:left w:val="single" w:sz="4" w:space="0" w:color="auto"/>
              <w:bottom w:val="single" w:sz="4" w:space="0" w:color="auto"/>
              <w:right w:val="nil"/>
            </w:tcBorders>
            <w:shd w:val="clear" w:color="000000" w:fill="F2DCDB"/>
            <w:vAlign w:val="bottom"/>
            <w:hideMark/>
          </w:tcPr>
          <w:p w14:paraId="79718456"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 </w:t>
            </w:r>
          </w:p>
        </w:tc>
        <w:tc>
          <w:tcPr>
            <w:tcW w:w="519" w:type="dxa"/>
            <w:tcBorders>
              <w:top w:val="nil"/>
              <w:left w:val="nil"/>
              <w:bottom w:val="single" w:sz="4" w:space="0" w:color="auto"/>
              <w:right w:val="nil"/>
            </w:tcBorders>
            <w:shd w:val="clear" w:color="000000" w:fill="F2DCDB"/>
            <w:vAlign w:val="bottom"/>
            <w:hideMark/>
          </w:tcPr>
          <w:p w14:paraId="12EED559"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 </w:t>
            </w:r>
          </w:p>
        </w:tc>
        <w:tc>
          <w:tcPr>
            <w:tcW w:w="1765" w:type="dxa"/>
            <w:tcBorders>
              <w:top w:val="nil"/>
              <w:left w:val="nil"/>
              <w:bottom w:val="single" w:sz="4" w:space="0" w:color="auto"/>
              <w:right w:val="nil"/>
            </w:tcBorders>
            <w:shd w:val="clear" w:color="000000" w:fill="F2DCDB"/>
            <w:vAlign w:val="bottom"/>
            <w:hideMark/>
          </w:tcPr>
          <w:p w14:paraId="6F7B85C8"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 </w:t>
            </w:r>
          </w:p>
        </w:tc>
        <w:tc>
          <w:tcPr>
            <w:tcW w:w="2824" w:type="dxa"/>
            <w:tcBorders>
              <w:top w:val="nil"/>
              <w:left w:val="nil"/>
              <w:bottom w:val="single" w:sz="4" w:space="0" w:color="auto"/>
              <w:right w:val="single" w:sz="4" w:space="0" w:color="auto"/>
            </w:tcBorders>
            <w:shd w:val="clear" w:color="000000" w:fill="F2DCDB"/>
            <w:noWrap/>
            <w:vAlign w:val="bottom"/>
            <w:hideMark/>
          </w:tcPr>
          <w:p w14:paraId="70C82A50"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 </w:t>
            </w:r>
          </w:p>
        </w:tc>
      </w:tr>
      <w:tr w:rsidR="006036F0" w:rsidRPr="00BB662E" w14:paraId="2C3FE8C5" w14:textId="77777777" w:rsidTr="006036F0">
        <w:trPr>
          <w:trHeight w:val="300"/>
        </w:trPr>
        <w:tc>
          <w:tcPr>
            <w:tcW w:w="607" w:type="dxa"/>
            <w:tcBorders>
              <w:top w:val="nil"/>
              <w:left w:val="single" w:sz="4" w:space="0" w:color="auto"/>
              <w:bottom w:val="single" w:sz="4" w:space="0" w:color="auto"/>
              <w:right w:val="single" w:sz="4" w:space="0" w:color="auto"/>
            </w:tcBorders>
            <w:shd w:val="clear" w:color="auto" w:fill="auto"/>
            <w:noWrap/>
            <w:hideMark/>
          </w:tcPr>
          <w:p w14:paraId="4EFB9274"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7</w:t>
            </w:r>
          </w:p>
        </w:tc>
        <w:tc>
          <w:tcPr>
            <w:tcW w:w="6342" w:type="dxa"/>
            <w:tcBorders>
              <w:top w:val="nil"/>
              <w:left w:val="nil"/>
              <w:bottom w:val="single" w:sz="4" w:space="0" w:color="auto"/>
              <w:right w:val="nil"/>
            </w:tcBorders>
            <w:shd w:val="clear" w:color="000000" w:fill="D9D9D9"/>
            <w:vAlign w:val="bottom"/>
            <w:hideMark/>
          </w:tcPr>
          <w:p w14:paraId="242E5B30"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Practice Address (of all contract sites)</w:t>
            </w:r>
          </w:p>
        </w:tc>
        <w:tc>
          <w:tcPr>
            <w:tcW w:w="2915" w:type="dxa"/>
            <w:tcBorders>
              <w:top w:val="nil"/>
              <w:left w:val="single" w:sz="4" w:space="0" w:color="auto"/>
              <w:bottom w:val="single" w:sz="4" w:space="0" w:color="auto"/>
              <w:right w:val="nil"/>
            </w:tcBorders>
            <w:shd w:val="clear" w:color="000000" w:fill="F2DCDB"/>
            <w:vAlign w:val="bottom"/>
            <w:hideMark/>
          </w:tcPr>
          <w:p w14:paraId="216CFB42"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1</w:t>
            </w:r>
          </w:p>
        </w:tc>
        <w:tc>
          <w:tcPr>
            <w:tcW w:w="519" w:type="dxa"/>
            <w:tcBorders>
              <w:top w:val="nil"/>
              <w:left w:val="nil"/>
              <w:bottom w:val="single" w:sz="4" w:space="0" w:color="auto"/>
              <w:right w:val="nil"/>
            </w:tcBorders>
            <w:shd w:val="clear" w:color="000000" w:fill="F2DCDB"/>
            <w:vAlign w:val="bottom"/>
            <w:hideMark/>
          </w:tcPr>
          <w:p w14:paraId="6CEFDD01"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 </w:t>
            </w:r>
          </w:p>
        </w:tc>
        <w:tc>
          <w:tcPr>
            <w:tcW w:w="1765" w:type="dxa"/>
            <w:tcBorders>
              <w:top w:val="nil"/>
              <w:left w:val="nil"/>
              <w:bottom w:val="single" w:sz="4" w:space="0" w:color="auto"/>
              <w:right w:val="nil"/>
            </w:tcBorders>
            <w:shd w:val="clear" w:color="000000" w:fill="F2DCDB"/>
            <w:vAlign w:val="bottom"/>
            <w:hideMark/>
          </w:tcPr>
          <w:p w14:paraId="48FE5AE3"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 </w:t>
            </w:r>
          </w:p>
        </w:tc>
        <w:tc>
          <w:tcPr>
            <w:tcW w:w="2824" w:type="dxa"/>
            <w:tcBorders>
              <w:top w:val="nil"/>
              <w:left w:val="nil"/>
              <w:bottom w:val="single" w:sz="4" w:space="0" w:color="auto"/>
              <w:right w:val="single" w:sz="4" w:space="0" w:color="auto"/>
            </w:tcBorders>
            <w:shd w:val="clear" w:color="000000" w:fill="F2DCDB"/>
            <w:noWrap/>
            <w:vAlign w:val="bottom"/>
            <w:hideMark/>
          </w:tcPr>
          <w:p w14:paraId="60F1831D"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 </w:t>
            </w:r>
          </w:p>
        </w:tc>
      </w:tr>
      <w:tr w:rsidR="006036F0" w:rsidRPr="00BB662E" w14:paraId="14F85910" w14:textId="77777777" w:rsidTr="006036F0">
        <w:trPr>
          <w:trHeight w:val="300"/>
        </w:trPr>
        <w:tc>
          <w:tcPr>
            <w:tcW w:w="607" w:type="dxa"/>
            <w:tcBorders>
              <w:top w:val="nil"/>
              <w:left w:val="single" w:sz="4" w:space="0" w:color="auto"/>
              <w:bottom w:val="single" w:sz="4" w:space="0" w:color="auto"/>
              <w:right w:val="single" w:sz="4" w:space="0" w:color="auto"/>
            </w:tcBorders>
            <w:shd w:val="clear" w:color="auto" w:fill="auto"/>
            <w:noWrap/>
            <w:hideMark/>
          </w:tcPr>
          <w:p w14:paraId="2AD1A35C"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 </w:t>
            </w:r>
          </w:p>
        </w:tc>
        <w:tc>
          <w:tcPr>
            <w:tcW w:w="6342" w:type="dxa"/>
            <w:tcBorders>
              <w:top w:val="nil"/>
              <w:left w:val="nil"/>
              <w:bottom w:val="single" w:sz="4" w:space="0" w:color="auto"/>
              <w:right w:val="nil"/>
            </w:tcBorders>
            <w:shd w:val="clear" w:color="auto" w:fill="auto"/>
            <w:vAlign w:val="bottom"/>
            <w:hideMark/>
          </w:tcPr>
          <w:p w14:paraId="4774D970"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 </w:t>
            </w:r>
          </w:p>
        </w:tc>
        <w:tc>
          <w:tcPr>
            <w:tcW w:w="2915" w:type="dxa"/>
            <w:tcBorders>
              <w:top w:val="nil"/>
              <w:left w:val="single" w:sz="4" w:space="0" w:color="auto"/>
              <w:bottom w:val="single" w:sz="4" w:space="0" w:color="auto"/>
              <w:right w:val="nil"/>
            </w:tcBorders>
            <w:shd w:val="clear" w:color="000000" w:fill="F2DCDB"/>
            <w:vAlign w:val="bottom"/>
            <w:hideMark/>
          </w:tcPr>
          <w:p w14:paraId="68C66F6F"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2</w:t>
            </w:r>
          </w:p>
        </w:tc>
        <w:tc>
          <w:tcPr>
            <w:tcW w:w="519" w:type="dxa"/>
            <w:tcBorders>
              <w:top w:val="nil"/>
              <w:left w:val="nil"/>
              <w:bottom w:val="single" w:sz="4" w:space="0" w:color="auto"/>
              <w:right w:val="nil"/>
            </w:tcBorders>
            <w:shd w:val="clear" w:color="000000" w:fill="F2DCDB"/>
            <w:vAlign w:val="bottom"/>
            <w:hideMark/>
          </w:tcPr>
          <w:p w14:paraId="1FADD5AF"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 </w:t>
            </w:r>
          </w:p>
        </w:tc>
        <w:tc>
          <w:tcPr>
            <w:tcW w:w="1765" w:type="dxa"/>
            <w:tcBorders>
              <w:top w:val="nil"/>
              <w:left w:val="nil"/>
              <w:bottom w:val="single" w:sz="4" w:space="0" w:color="auto"/>
              <w:right w:val="nil"/>
            </w:tcBorders>
            <w:shd w:val="clear" w:color="000000" w:fill="F2DCDB"/>
            <w:vAlign w:val="bottom"/>
            <w:hideMark/>
          </w:tcPr>
          <w:p w14:paraId="6AEB64AD"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 </w:t>
            </w:r>
          </w:p>
        </w:tc>
        <w:tc>
          <w:tcPr>
            <w:tcW w:w="2824" w:type="dxa"/>
            <w:tcBorders>
              <w:top w:val="nil"/>
              <w:left w:val="nil"/>
              <w:bottom w:val="single" w:sz="4" w:space="0" w:color="auto"/>
              <w:right w:val="single" w:sz="4" w:space="0" w:color="auto"/>
            </w:tcBorders>
            <w:shd w:val="clear" w:color="000000" w:fill="F2DCDB"/>
            <w:noWrap/>
            <w:vAlign w:val="bottom"/>
            <w:hideMark/>
          </w:tcPr>
          <w:p w14:paraId="63823356"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 </w:t>
            </w:r>
          </w:p>
        </w:tc>
      </w:tr>
      <w:tr w:rsidR="006036F0" w:rsidRPr="00BB662E" w14:paraId="2FF56099" w14:textId="77777777" w:rsidTr="006036F0">
        <w:trPr>
          <w:trHeight w:val="300"/>
        </w:trPr>
        <w:tc>
          <w:tcPr>
            <w:tcW w:w="607" w:type="dxa"/>
            <w:tcBorders>
              <w:top w:val="nil"/>
              <w:left w:val="single" w:sz="4" w:space="0" w:color="auto"/>
              <w:bottom w:val="single" w:sz="4" w:space="0" w:color="auto"/>
              <w:right w:val="single" w:sz="4" w:space="0" w:color="auto"/>
            </w:tcBorders>
            <w:shd w:val="clear" w:color="auto" w:fill="auto"/>
            <w:noWrap/>
            <w:hideMark/>
          </w:tcPr>
          <w:p w14:paraId="167D8718"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 </w:t>
            </w:r>
          </w:p>
        </w:tc>
        <w:tc>
          <w:tcPr>
            <w:tcW w:w="6342" w:type="dxa"/>
            <w:tcBorders>
              <w:top w:val="nil"/>
              <w:left w:val="nil"/>
              <w:bottom w:val="single" w:sz="4" w:space="0" w:color="auto"/>
              <w:right w:val="nil"/>
            </w:tcBorders>
            <w:shd w:val="clear" w:color="auto" w:fill="auto"/>
            <w:vAlign w:val="bottom"/>
            <w:hideMark/>
          </w:tcPr>
          <w:p w14:paraId="68B453BF"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 </w:t>
            </w:r>
          </w:p>
        </w:tc>
        <w:tc>
          <w:tcPr>
            <w:tcW w:w="2915" w:type="dxa"/>
            <w:tcBorders>
              <w:top w:val="nil"/>
              <w:left w:val="single" w:sz="4" w:space="0" w:color="auto"/>
              <w:bottom w:val="single" w:sz="4" w:space="0" w:color="auto"/>
              <w:right w:val="nil"/>
            </w:tcBorders>
            <w:shd w:val="clear" w:color="000000" w:fill="F2DCDB"/>
            <w:vAlign w:val="bottom"/>
            <w:hideMark/>
          </w:tcPr>
          <w:p w14:paraId="68FDB0C8"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3</w:t>
            </w:r>
          </w:p>
        </w:tc>
        <w:tc>
          <w:tcPr>
            <w:tcW w:w="519" w:type="dxa"/>
            <w:tcBorders>
              <w:top w:val="nil"/>
              <w:left w:val="nil"/>
              <w:bottom w:val="single" w:sz="4" w:space="0" w:color="auto"/>
              <w:right w:val="nil"/>
            </w:tcBorders>
            <w:shd w:val="clear" w:color="000000" w:fill="F2DCDB"/>
            <w:vAlign w:val="bottom"/>
            <w:hideMark/>
          </w:tcPr>
          <w:p w14:paraId="6773E629"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 </w:t>
            </w:r>
          </w:p>
        </w:tc>
        <w:tc>
          <w:tcPr>
            <w:tcW w:w="1765" w:type="dxa"/>
            <w:tcBorders>
              <w:top w:val="nil"/>
              <w:left w:val="nil"/>
              <w:bottom w:val="single" w:sz="4" w:space="0" w:color="auto"/>
              <w:right w:val="nil"/>
            </w:tcBorders>
            <w:shd w:val="clear" w:color="000000" w:fill="F2DCDB"/>
            <w:vAlign w:val="bottom"/>
            <w:hideMark/>
          </w:tcPr>
          <w:p w14:paraId="6451963F"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 </w:t>
            </w:r>
          </w:p>
        </w:tc>
        <w:tc>
          <w:tcPr>
            <w:tcW w:w="2824" w:type="dxa"/>
            <w:tcBorders>
              <w:top w:val="nil"/>
              <w:left w:val="nil"/>
              <w:bottom w:val="single" w:sz="4" w:space="0" w:color="auto"/>
              <w:right w:val="single" w:sz="4" w:space="0" w:color="auto"/>
            </w:tcBorders>
            <w:shd w:val="clear" w:color="000000" w:fill="F2DCDB"/>
            <w:noWrap/>
            <w:vAlign w:val="bottom"/>
            <w:hideMark/>
          </w:tcPr>
          <w:p w14:paraId="28FDE98C"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 </w:t>
            </w:r>
          </w:p>
        </w:tc>
      </w:tr>
      <w:tr w:rsidR="006036F0" w:rsidRPr="00BB662E" w14:paraId="3E6C9F5F" w14:textId="77777777" w:rsidTr="006036F0">
        <w:trPr>
          <w:trHeight w:val="300"/>
        </w:trPr>
        <w:tc>
          <w:tcPr>
            <w:tcW w:w="607" w:type="dxa"/>
            <w:tcBorders>
              <w:top w:val="nil"/>
              <w:left w:val="single" w:sz="4" w:space="0" w:color="auto"/>
              <w:bottom w:val="single" w:sz="4" w:space="0" w:color="auto"/>
              <w:right w:val="single" w:sz="4" w:space="0" w:color="auto"/>
            </w:tcBorders>
            <w:shd w:val="clear" w:color="auto" w:fill="auto"/>
            <w:noWrap/>
            <w:hideMark/>
          </w:tcPr>
          <w:p w14:paraId="7387A505"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8</w:t>
            </w:r>
          </w:p>
        </w:tc>
        <w:tc>
          <w:tcPr>
            <w:tcW w:w="6342" w:type="dxa"/>
            <w:tcBorders>
              <w:top w:val="nil"/>
              <w:left w:val="nil"/>
              <w:bottom w:val="single" w:sz="4" w:space="0" w:color="auto"/>
              <w:right w:val="single" w:sz="4" w:space="0" w:color="auto"/>
            </w:tcBorders>
            <w:shd w:val="clear" w:color="000000" w:fill="D9D9D9"/>
            <w:vAlign w:val="bottom"/>
            <w:hideMark/>
          </w:tcPr>
          <w:p w14:paraId="35D2B00C" w14:textId="77777777" w:rsidR="006036F0" w:rsidRPr="00BB662E" w:rsidRDefault="006036F0" w:rsidP="006036F0">
            <w:pPr>
              <w:spacing w:before="60" w:after="60"/>
              <w:jc w:val="right"/>
              <w:rPr>
                <w:rFonts w:ascii="Calibri" w:hAnsi="Calibri"/>
                <w:b/>
                <w:bCs w:val="0"/>
                <w:color w:val="000000"/>
                <w:lang w:eastAsia="en-GB"/>
              </w:rPr>
            </w:pPr>
            <w:r w:rsidRPr="00BB662E">
              <w:rPr>
                <w:rFonts w:ascii="Calibri" w:hAnsi="Calibri"/>
                <w:b/>
                <w:color w:val="000000"/>
                <w:lang w:eastAsia="en-GB"/>
              </w:rPr>
              <w:t>Practice Raw List Size - Last Quarter</w:t>
            </w:r>
          </w:p>
        </w:tc>
        <w:tc>
          <w:tcPr>
            <w:tcW w:w="2915" w:type="dxa"/>
            <w:tcBorders>
              <w:top w:val="nil"/>
              <w:left w:val="nil"/>
              <w:bottom w:val="single" w:sz="4" w:space="0" w:color="auto"/>
              <w:right w:val="single" w:sz="4" w:space="0" w:color="auto"/>
            </w:tcBorders>
            <w:shd w:val="clear" w:color="000000" w:fill="F2DCDB"/>
            <w:vAlign w:val="bottom"/>
            <w:hideMark/>
          </w:tcPr>
          <w:p w14:paraId="6EB88051"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 </w:t>
            </w:r>
          </w:p>
        </w:tc>
        <w:tc>
          <w:tcPr>
            <w:tcW w:w="519" w:type="dxa"/>
            <w:tcBorders>
              <w:top w:val="nil"/>
              <w:left w:val="nil"/>
              <w:bottom w:val="nil"/>
              <w:right w:val="nil"/>
            </w:tcBorders>
            <w:shd w:val="clear" w:color="auto" w:fill="auto"/>
            <w:vAlign w:val="bottom"/>
            <w:hideMark/>
          </w:tcPr>
          <w:p w14:paraId="371F99F7" w14:textId="77777777" w:rsidR="006036F0" w:rsidRPr="00BB662E" w:rsidRDefault="006036F0" w:rsidP="006036F0">
            <w:pPr>
              <w:spacing w:before="60" w:after="60"/>
              <w:rPr>
                <w:rFonts w:ascii="Calibri" w:hAnsi="Calibri"/>
                <w:b/>
                <w:bCs w:val="0"/>
                <w:color w:val="000000"/>
                <w:lang w:eastAsia="en-GB"/>
              </w:rPr>
            </w:pPr>
          </w:p>
        </w:tc>
        <w:tc>
          <w:tcPr>
            <w:tcW w:w="1765" w:type="dxa"/>
            <w:tcBorders>
              <w:top w:val="nil"/>
              <w:left w:val="nil"/>
              <w:bottom w:val="nil"/>
              <w:right w:val="nil"/>
            </w:tcBorders>
            <w:shd w:val="clear" w:color="auto" w:fill="auto"/>
            <w:vAlign w:val="bottom"/>
            <w:hideMark/>
          </w:tcPr>
          <w:p w14:paraId="526259FE" w14:textId="77777777" w:rsidR="006036F0" w:rsidRPr="00BB662E" w:rsidRDefault="006036F0" w:rsidP="006036F0">
            <w:pPr>
              <w:spacing w:before="60" w:after="60"/>
              <w:rPr>
                <w:rFonts w:ascii="Calibri" w:hAnsi="Calibri"/>
                <w:b/>
                <w:bCs w:val="0"/>
                <w:color w:val="000000"/>
                <w:lang w:eastAsia="en-GB"/>
              </w:rPr>
            </w:pPr>
          </w:p>
        </w:tc>
        <w:tc>
          <w:tcPr>
            <w:tcW w:w="2824" w:type="dxa"/>
            <w:tcBorders>
              <w:top w:val="nil"/>
              <w:left w:val="nil"/>
              <w:bottom w:val="nil"/>
              <w:right w:val="nil"/>
            </w:tcBorders>
            <w:shd w:val="clear" w:color="auto" w:fill="auto"/>
            <w:noWrap/>
            <w:vAlign w:val="bottom"/>
            <w:hideMark/>
          </w:tcPr>
          <w:p w14:paraId="22234722" w14:textId="77777777" w:rsidR="006036F0" w:rsidRPr="00BB662E" w:rsidRDefault="006036F0" w:rsidP="006036F0">
            <w:pPr>
              <w:spacing w:before="60" w:after="60"/>
              <w:rPr>
                <w:rFonts w:ascii="Calibri" w:hAnsi="Calibri"/>
                <w:color w:val="000000"/>
                <w:lang w:eastAsia="en-GB"/>
              </w:rPr>
            </w:pPr>
          </w:p>
        </w:tc>
      </w:tr>
      <w:tr w:rsidR="006036F0" w:rsidRPr="00BB662E" w14:paraId="465EFA1B" w14:textId="77777777" w:rsidTr="006036F0">
        <w:trPr>
          <w:trHeight w:val="300"/>
        </w:trPr>
        <w:tc>
          <w:tcPr>
            <w:tcW w:w="607" w:type="dxa"/>
            <w:tcBorders>
              <w:top w:val="nil"/>
              <w:left w:val="single" w:sz="4" w:space="0" w:color="auto"/>
              <w:bottom w:val="single" w:sz="4" w:space="0" w:color="auto"/>
              <w:right w:val="single" w:sz="4" w:space="0" w:color="auto"/>
            </w:tcBorders>
            <w:shd w:val="clear" w:color="auto" w:fill="auto"/>
            <w:noWrap/>
            <w:hideMark/>
          </w:tcPr>
          <w:p w14:paraId="682AC5F1"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9</w:t>
            </w:r>
          </w:p>
        </w:tc>
        <w:tc>
          <w:tcPr>
            <w:tcW w:w="6342" w:type="dxa"/>
            <w:tcBorders>
              <w:top w:val="nil"/>
              <w:left w:val="nil"/>
              <w:bottom w:val="single" w:sz="4" w:space="0" w:color="auto"/>
              <w:right w:val="single" w:sz="4" w:space="0" w:color="auto"/>
            </w:tcBorders>
            <w:shd w:val="clear" w:color="000000" w:fill="D9D9D9"/>
            <w:vAlign w:val="bottom"/>
            <w:hideMark/>
          </w:tcPr>
          <w:p w14:paraId="4BF8A4DD" w14:textId="77777777" w:rsidR="006036F0" w:rsidRPr="00BB662E" w:rsidRDefault="006036F0" w:rsidP="006036F0">
            <w:pPr>
              <w:spacing w:before="60" w:after="60"/>
              <w:jc w:val="right"/>
              <w:rPr>
                <w:rFonts w:ascii="Calibri" w:hAnsi="Calibri"/>
                <w:b/>
                <w:bCs w:val="0"/>
                <w:color w:val="000000"/>
                <w:lang w:eastAsia="en-GB"/>
              </w:rPr>
            </w:pPr>
            <w:r w:rsidRPr="00BB662E">
              <w:rPr>
                <w:rFonts w:ascii="Calibri" w:hAnsi="Calibri"/>
                <w:b/>
                <w:color w:val="000000"/>
                <w:lang w:eastAsia="en-GB"/>
              </w:rPr>
              <w:t>Practice Weighted List Size - Last Quarter</w:t>
            </w:r>
          </w:p>
        </w:tc>
        <w:tc>
          <w:tcPr>
            <w:tcW w:w="2915" w:type="dxa"/>
            <w:tcBorders>
              <w:top w:val="nil"/>
              <w:left w:val="nil"/>
              <w:bottom w:val="single" w:sz="4" w:space="0" w:color="auto"/>
              <w:right w:val="single" w:sz="4" w:space="0" w:color="auto"/>
            </w:tcBorders>
            <w:shd w:val="clear" w:color="000000" w:fill="F2DCDB"/>
            <w:vAlign w:val="bottom"/>
            <w:hideMark/>
          </w:tcPr>
          <w:p w14:paraId="1CD984DC"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 </w:t>
            </w:r>
          </w:p>
        </w:tc>
        <w:tc>
          <w:tcPr>
            <w:tcW w:w="519" w:type="dxa"/>
            <w:tcBorders>
              <w:top w:val="nil"/>
              <w:left w:val="nil"/>
              <w:bottom w:val="nil"/>
              <w:right w:val="nil"/>
            </w:tcBorders>
            <w:shd w:val="clear" w:color="auto" w:fill="auto"/>
            <w:vAlign w:val="bottom"/>
            <w:hideMark/>
          </w:tcPr>
          <w:p w14:paraId="5FCAA5D7" w14:textId="77777777" w:rsidR="006036F0" w:rsidRPr="00BB662E" w:rsidRDefault="006036F0" w:rsidP="006036F0">
            <w:pPr>
              <w:spacing w:before="60" w:after="60"/>
              <w:rPr>
                <w:rFonts w:ascii="Calibri" w:hAnsi="Calibri"/>
                <w:b/>
                <w:bCs w:val="0"/>
                <w:color w:val="000000"/>
                <w:lang w:eastAsia="en-GB"/>
              </w:rPr>
            </w:pPr>
          </w:p>
        </w:tc>
        <w:tc>
          <w:tcPr>
            <w:tcW w:w="1765" w:type="dxa"/>
            <w:tcBorders>
              <w:top w:val="nil"/>
              <w:left w:val="nil"/>
              <w:bottom w:val="nil"/>
              <w:right w:val="nil"/>
            </w:tcBorders>
            <w:shd w:val="clear" w:color="auto" w:fill="auto"/>
            <w:vAlign w:val="bottom"/>
            <w:hideMark/>
          </w:tcPr>
          <w:p w14:paraId="7C49129A" w14:textId="77777777" w:rsidR="006036F0" w:rsidRPr="00BB662E" w:rsidRDefault="006036F0" w:rsidP="006036F0">
            <w:pPr>
              <w:spacing w:before="60" w:after="60"/>
              <w:rPr>
                <w:rFonts w:ascii="Calibri" w:hAnsi="Calibri"/>
                <w:b/>
                <w:bCs w:val="0"/>
                <w:color w:val="000000"/>
                <w:lang w:eastAsia="en-GB"/>
              </w:rPr>
            </w:pPr>
          </w:p>
        </w:tc>
        <w:tc>
          <w:tcPr>
            <w:tcW w:w="2824" w:type="dxa"/>
            <w:tcBorders>
              <w:top w:val="nil"/>
              <w:left w:val="nil"/>
              <w:bottom w:val="nil"/>
              <w:right w:val="nil"/>
            </w:tcBorders>
            <w:shd w:val="clear" w:color="auto" w:fill="auto"/>
            <w:noWrap/>
            <w:vAlign w:val="bottom"/>
            <w:hideMark/>
          </w:tcPr>
          <w:p w14:paraId="1A5B948F" w14:textId="77777777" w:rsidR="006036F0" w:rsidRPr="00BB662E" w:rsidRDefault="006036F0" w:rsidP="006036F0">
            <w:pPr>
              <w:spacing w:before="60" w:after="60"/>
              <w:rPr>
                <w:rFonts w:ascii="Calibri" w:hAnsi="Calibri"/>
                <w:color w:val="000000"/>
                <w:lang w:eastAsia="en-GB"/>
              </w:rPr>
            </w:pPr>
          </w:p>
        </w:tc>
      </w:tr>
      <w:tr w:rsidR="006036F0" w:rsidRPr="00BB662E" w14:paraId="00EC1121" w14:textId="77777777" w:rsidTr="006036F0">
        <w:trPr>
          <w:trHeight w:val="210"/>
        </w:trPr>
        <w:tc>
          <w:tcPr>
            <w:tcW w:w="607" w:type="dxa"/>
            <w:tcBorders>
              <w:top w:val="nil"/>
              <w:left w:val="nil"/>
              <w:bottom w:val="nil"/>
              <w:right w:val="nil"/>
            </w:tcBorders>
            <w:shd w:val="clear" w:color="auto" w:fill="auto"/>
            <w:noWrap/>
            <w:hideMark/>
          </w:tcPr>
          <w:p w14:paraId="44ADB493" w14:textId="77777777" w:rsidR="006036F0" w:rsidRPr="00BB662E" w:rsidRDefault="006036F0" w:rsidP="006036F0">
            <w:pPr>
              <w:spacing w:before="60" w:after="60"/>
              <w:jc w:val="center"/>
              <w:rPr>
                <w:rFonts w:ascii="Calibri" w:hAnsi="Calibri"/>
                <w:color w:val="000000"/>
                <w:lang w:eastAsia="en-GB"/>
              </w:rPr>
            </w:pPr>
          </w:p>
        </w:tc>
        <w:tc>
          <w:tcPr>
            <w:tcW w:w="6342" w:type="dxa"/>
            <w:tcBorders>
              <w:top w:val="nil"/>
              <w:left w:val="nil"/>
              <w:bottom w:val="nil"/>
              <w:right w:val="nil"/>
            </w:tcBorders>
            <w:shd w:val="clear" w:color="auto" w:fill="auto"/>
            <w:vAlign w:val="bottom"/>
            <w:hideMark/>
          </w:tcPr>
          <w:p w14:paraId="56F55247" w14:textId="77777777" w:rsidR="006036F0" w:rsidRPr="00BB662E" w:rsidRDefault="006036F0" w:rsidP="006036F0">
            <w:pPr>
              <w:spacing w:before="60" w:after="60"/>
              <w:rPr>
                <w:rFonts w:ascii="Calibri" w:hAnsi="Calibri"/>
                <w:b/>
                <w:bCs w:val="0"/>
                <w:color w:val="000000"/>
                <w:lang w:eastAsia="en-GB"/>
              </w:rPr>
            </w:pPr>
          </w:p>
        </w:tc>
        <w:tc>
          <w:tcPr>
            <w:tcW w:w="2915" w:type="dxa"/>
            <w:tcBorders>
              <w:top w:val="nil"/>
              <w:left w:val="nil"/>
              <w:bottom w:val="nil"/>
              <w:right w:val="nil"/>
            </w:tcBorders>
            <w:shd w:val="clear" w:color="auto" w:fill="auto"/>
            <w:vAlign w:val="bottom"/>
            <w:hideMark/>
          </w:tcPr>
          <w:p w14:paraId="1C6256B2" w14:textId="77777777" w:rsidR="006036F0" w:rsidRPr="00BB662E" w:rsidRDefault="006036F0" w:rsidP="006036F0">
            <w:pPr>
              <w:spacing w:before="60" w:after="60"/>
              <w:rPr>
                <w:rFonts w:ascii="Calibri" w:hAnsi="Calibri"/>
                <w:b/>
                <w:bCs w:val="0"/>
                <w:color w:val="000000"/>
                <w:lang w:eastAsia="en-GB"/>
              </w:rPr>
            </w:pPr>
          </w:p>
        </w:tc>
        <w:tc>
          <w:tcPr>
            <w:tcW w:w="519" w:type="dxa"/>
            <w:tcBorders>
              <w:top w:val="nil"/>
              <w:left w:val="nil"/>
              <w:bottom w:val="nil"/>
              <w:right w:val="nil"/>
            </w:tcBorders>
            <w:shd w:val="clear" w:color="auto" w:fill="auto"/>
            <w:vAlign w:val="bottom"/>
            <w:hideMark/>
          </w:tcPr>
          <w:p w14:paraId="03A4A988" w14:textId="77777777" w:rsidR="006036F0" w:rsidRPr="00BB662E" w:rsidRDefault="006036F0" w:rsidP="006036F0">
            <w:pPr>
              <w:spacing w:before="60" w:after="60"/>
              <w:rPr>
                <w:rFonts w:ascii="Calibri" w:hAnsi="Calibri"/>
                <w:b/>
                <w:bCs w:val="0"/>
                <w:color w:val="000000"/>
                <w:lang w:eastAsia="en-GB"/>
              </w:rPr>
            </w:pPr>
          </w:p>
        </w:tc>
        <w:tc>
          <w:tcPr>
            <w:tcW w:w="1765" w:type="dxa"/>
            <w:tcBorders>
              <w:top w:val="nil"/>
              <w:left w:val="nil"/>
              <w:bottom w:val="nil"/>
              <w:right w:val="nil"/>
            </w:tcBorders>
            <w:shd w:val="clear" w:color="auto" w:fill="auto"/>
            <w:vAlign w:val="bottom"/>
            <w:hideMark/>
          </w:tcPr>
          <w:p w14:paraId="5F088917" w14:textId="77777777" w:rsidR="006036F0" w:rsidRPr="00BB662E" w:rsidRDefault="006036F0" w:rsidP="006036F0">
            <w:pPr>
              <w:spacing w:before="60" w:after="60"/>
              <w:rPr>
                <w:rFonts w:ascii="Calibri" w:hAnsi="Calibri"/>
                <w:b/>
                <w:bCs w:val="0"/>
                <w:color w:val="000000"/>
                <w:lang w:eastAsia="en-GB"/>
              </w:rPr>
            </w:pPr>
          </w:p>
        </w:tc>
        <w:tc>
          <w:tcPr>
            <w:tcW w:w="2824" w:type="dxa"/>
            <w:tcBorders>
              <w:top w:val="nil"/>
              <w:left w:val="nil"/>
              <w:bottom w:val="nil"/>
              <w:right w:val="nil"/>
            </w:tcBorders>
            <w:shd w:val="clear" w:color="auto" w:fill="auto"/>
            <w:noWrap/>
            <w:vAlign w:val="bottom"/>
            <w:hideMark/>
          </w:tcPr>
          <w:p w14:paraId="65802A85" w14:textId="77777777" w:rsidR="006036F0" w:rsidRPr="00BB662E" w:rsidRDefault="006036F0" w:rsidP="006036F0">
            <w:pPr>
              <w:spacing w:before="60" w:after="60"/>
              <w:rPr>
                <w:rFonts w:ascii="Calibri" w:hAnsi="Calibri"/>
                <w:color w:val="000000"/>
                <w:lang w:eastAsia="en-GB"/>
              </w:rPr>
            </w:pPr>
          </w:p>
        </w:tc>
      </w:tr>
      <w:tr w:rsidR="006036F0" w:rsidRPr="00BB662E" w14:paraId="3469DCC7" w14:textId="77777777" w:rsidTr="006036F0">
        <w:trPr>
          <w:trHeight w:val="300"/>
        </w:trPr>
        <w:tc>
          <w:tcPr>
            <w:tcW w:w="607" w:type="dxa"/>
            <w:tcBorders>
              <w:top w:val="single" w:sz="4" w:space="0" w:color="auto"/>
              <w:left w:val="single" w:sz="4" w:space="0" w:color="auto"/>
              <w:bottom w:val="single" w:sz="4" w:space="0" w:color="auto"/>
              <w:right w:val="single" w:sz="4" w:space="0" w:color="auto"/>
            </w:tcBorders>
            <w:shd w:val="clear" w:color="auto" w:fill="auto"/>
            <w:noWrap/>
            <w:hideMark/>
          </w:tcPr>
          <w:p w14:paraId="7B59C62C"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10</w:t>
            </w:r>
          </w:p>
        </w:tc>
        <w:tc>
          <w:tcPr>
            <w:tcW w:w="14365" w:type="dxa"/>
            <w:gridSpan w:val="5"/>
            <w:tcBorders>
              <w:top w:val="single" w:sz="4" w:space="0" w:color="auto"/>
              <w:left w:val="nil"/>
              <w:bottom w:val="single" w:sz="4" w:space="0" w:color="auto"/>
              <w:right w:val="single" w:sz="4" w:space="0" w:color="000000"/>
            </w:tcBorders>
            <w:shd w:val="clear" w:color="000000" w:fill="D9D9D9"/>
            <w:noWrap/>
            <w:hideMark/>
          </w:tcPr>
          <w:p w14:paraId="3E14861D"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Reason for application (describe the issues to be resolved)</w:t>
            </w:r>
          </w:p>
        </w:tc>
      </w:tr>
      <w:tr w:rsidR="006036F0" w:rsidRPr="00BB662E" w14:paraId="645A93BE" w14:textId="77777777" w:rsidTr="006036F0">
        <w:trPr>
          <w:trHeight w:val="1290"/>
        </w:trPr>
        <w:tc>
          <w:tcPr>
            <w:tcW w:w="607" w:type="dxa"/>
            <w:tcBorders>
              <w:top w:val="nil"/>
              <w:left w:val="single" w:sz="4" w:space="0" w:color="auto"/>
              <w:bottom w:val="single" w:sz="4" w:space="0" w:color="auto"/>
              <w:right w:val="single" w:sz="4" w:space="0" w:color="auto"/>
            </w:tcBorders>
            <w:shd w:val="clear" w:color="auto" w:fill="auto"/>
            <w:noWrap/>
            <w:hideMark/>
          </w:tcPr>
          <w:p w14:paraId="5C479AC1"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 </w:t>
            </w:r>
          </w:p>
        </w:tc>
        <w:tc>
          <w:tcPr>
            <w:tcW w:w="14365" w:type="dxa"/>
            <w:gridSpan w:val="5"/>
            <w:tcBorders>
              <w:top w:val="single" w:sz="4" w:space="0" w:color="auto"/>
              <w:left w:val="nil"/>
              <w:bottom w:val="single" w:sz="4" w:space="0" w:color="auto"/>
              <w:right w:val="single" w:sz="4" w:space="0" w:color="000000"/>
            </w:tcBorders>
            <w:shd w:val="clear" w:color="000000" w:fill="F2DCDB"/>
            <w:hideMark/>
          </w:tcPr>
          <w:p w14:paraId="4208BD7F" w14:textId="77777777" w:rsidR="006036F0" w:rsidRPr="00BB662E" w:rsidRDefault="006036F0" w:rsidP="006036F0">
            <w:pPr>
              <w:spacing w:before="60" w:after="60"/>
              <w:rPr>
                <w:rFonts w:ascii="Calibri" w:hAnsi="Calibri"/>
                <w:i/>
                <w:iCs/>
                <w:color w:val="000000"/>
                <w:lang w:eastAsia="en-GB"/>
              </w:rPr>
            </w:pPr>
            <w:r w:rsidRPr="00BB662E">
              <w:rPr>
                <w:rFonts w:ascii="Calibri" w:hAnsi="Calibri"/>
                <w:i/>
                <w:iCs/>
                <w:color w:val="000000"/>
                <w:lang w:eastAsia="en-GB"/>
              </w:rPr>
              <w:t xml:space="preserve">e.g. May be a GP recruitment issue - IMPACT is high cost of locum support - What are the circumstances that led to the situation? e.g. retirement, partnership split etc. How long has the vacancy existed? Describe recruitment attempts with dates and salary offered. </w:t>
            </w:r>
            <w:r w:rsidRPr="00BB662E">
              <w:rPr>
                <w:rFonts w:ascii="Calibri" w:hAnsi="Calibri"/>
                <w:i/>
                <w:iCs/>
                <w:color w:val="000000"/>
                <w:lang w:eastAsia="en-GB"/>
              </w:rPr>
              <w:br/>
              <w:t>CONSEQUENCES:  describe effect on practice staff, patient services &amp; access</w:t>
            </w:r>
          </w:p>
        </w:tc>
      </w:tr>
      <w:tr w:rsidR="006036F0" w:rsidRPr="00BB662E" w14:paraId="4E73EA35" w14:textId="77777777" w:rsidTr="006036F0">
        <w:trPr>
          <w:trHeight w:val="300"/>
        </w:trPr>
        <w:tc>
          <w:tcPr>
            <w:tcW w:w="607" w:type="dxa"/>
            <w:tcBorders>
              <w:top w:val="nil"/>
              <w:left w:val="single" w:sz="4" w:space="0" w:color="auto"/>
              <w:bottom w:val="single" w:sz="4" w:space="0" w:color="auto"/>
              <w:right w:val="single" w:sz="4" w:space="0" w:color="auto"/>
            </w:tcBorders>
            <w:shd w:val="clear" w:color="auto" w:fill="auto"/>
            <w:noWrap/>
            <w:hideMark/>
          </w:tcPr>
          <w:p w14:paraId="01E2BB5D"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11</w:t>
            </w:r>
          </w:p>
        </w:tc>
        <w:tc>
          <w:tcPr>
            <w:tcW w:w="14365" w:type="dxa"/>
            <w:gridSpan w:val="5"/>
            <w:tcBorders>
              <w:top w:val="nil"/>
              <w:left w:val="nil"/>
              <w:bottom w:val="nil"/>
              <w:right w:val="nil"/>
            </w:tcBorders>
            <w:shd w:val="clear" w:color="000000" w:fill="D9D9D9"/>
            <w:noWrap/>
            <w:vAlign w:val="bottom"/>
            <w:hideMark/>
          </w:tcPr>
          <w:p w14:paraId="723AA25E"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Purpose of support requested and itemised value (non-recurrent) - above the practice budgeted level</w:t>
            </w:r>
          </w:p>
        </w:tc>
      </w:tr>
      <w:tr w:rsidR="006036F0" w:rsidRPr="00BB662E" w14:paraId="74648929" w14:textId="77777777" w:rsidTr="006036F0">
        <w:trPr>
          <w:trHeight w:val="1065"/>
        </w:trPr>
        <w:tc>
          <w:tcPr>
            <w:tcW w:w="607" w:type="dxa"/>
            <w:tcBorders>
              <w:top w:val="nil"/>
              <w:left w:val="single" w:sz="4" w:space="0" w:color="auto"/>
              <w:bottom w:val="single" w:sz="4" w:space="0" w:color="auto"/>
              <w:right w:val="single" w:sz="4" w:space="0" w:color="auto"/>
            </w:tcBorders>
            <w:shd w:val="clear" w:color="auto" w:fill="auto"/>
            <w:noWrap/>
            <w:hideMark/>
          </w:tcPr>
          <w:p w14:paraId="4FECDFF9"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 </w:t>
            </w:r>
          </w:p>
        </w:tc>
        <w:tc>
          <w:tcPr>
            <w:tcW w:w="14365" w:type="dxa"/>
            <w:gridSpan w:val="5"/>
            <w:tcBorders>
              <w:top w:val="single" w:sz="4" w:space="0" w:color="auto"/>
              <w:left w:val="nil"/>
              <w:bottom w:val="single" w:sz="4" w:space="0" w:color="auto"/>
              <w:right w:val="single" w:sz="4" w:space="0" w:color="000000"/>
            </w:tcBorders>
            <w:shd w:val="clear" w:color="000000" w:fill="F2DCDB"/>
            <w:hideMark/>
          </w:tcPr>
          <w:p w14:paraId="4D5942CD" w14:textId="38320DE9" w:rsidR="006036F0" w:rsidRPr="00BB662E" w:rsidRDefault="006036F0" w:rsidP="006036F0">
            <w:pPr>
              <w:spacing w:before="60" w:after="60"/>
              <w:rPr>
                <w:rFonts w:ascii="Calibri" w:hAnsi="Calibri"/>
                <w:i/>
                <w:iCs/>
                <w:color w:val="000000"/>
                <w:lang w:eastAsia="en-GB"/>
              </w:rPr>
            </w:pPr>
            <w:r w:rsidRPr="00BB662E">
              <w:rPr>
                <w:rFonts w:ascii="Calibri" w:hAnsi="Calibri"/>
                <w:i/>
                <w:iCs/>
                <w:color w:val="000000"/>
                <w:lang w:eastAsia="en-GB"/>
              </w:rPr>
              <w:t xml:space="preserve">e.g. Support with cost of locums whilst further recruitment is attempted: </w:t>
            </w:r>
            <w:r w:rsidR="003A5B58" w:rsidRPr="00BB662E">
              <w:rPr>
                <w:rFonts w:ascii="Calibri" w:hAnsi="Calibri"/>
                <w:i/>
                <w:iCs/>
                <w:color w:val="000000"/>
                <w:lang w:eastAsia="en-GB"/>
              </w:rPr>
              <w:t>e.g.</w:t>
            </w:r>
            <w:r w:rsidRPr="00BB662E">
              <w:rPr>
                <w:rFonts w:ascii="Calibri" w:hAnsi="Calibri"/>
                <w:i/>
                <w:iCs/>
                <w:color w:val="000000"/>
                <w:lang w:eastAsia="en-GB"/>
              </w:rPr>
              <w:t xml:space="preserve"> Need X sessions per week covered with a premium of £X per week above budgeted cost of £Y per week. Difference of £Z for X weeks sought initially, TOTAL £X. </w:t>
            </w:r>
            <w:r w:rsidRPr="00BB662E">
              <w:rPr>
                <w:rFonts w:ascii="Calibri" w:hAnsi="Calibri"/>
                <w:i/>
                <w:iCs/>
                <w:color w:val="000000"/>
                <w:lang w:eastAsia="en-GB"/>
              </w:rPr>
              <w:br/>
              <w:t>(Practice has funded X weeks but cannot cover this cost much longer and may need to reduce service provision)</w:t>
            </w:r>
          </w:p>
        </w:tc>
      </w:tr>
      <w:tr w:rsidR="006036F0" w:rsidRPr="00BB662E" w14:paraId="2FCE3592" w14:textId="77777777" w:rsidTr="006036F0">
        <w:trPr>
          <w:trHeight w:val="390"/>
        </w:trPr>
        <w:tc>
          <w:tcPr>
            <w:tcW w:w="607" w:type="dxa"/>
            <w:tcBorders>
              <w:top w:val="nil"/>
              <w:left w:val="single" w:sz="4" w:space="0" w:color="auto"/>
              <w:bottom w:val="single" w:sz="4" w:space="0" w:color="auto"/>
              <w:right w:val="single" w:sz="4" w:space="0" w:color="auto"/>
            </w:tcBorders>
            <w:shd w:val="clear" w:color="auto" w:fill="auto"/>
            <w:noWrap/>
            <w:hideMark/>
          </w:tcPr>
          <w:p w14:paraId="4FEEF02A"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12</w:t>
            </w:r>
          </w:p>
        </w:tc>
        <w:tc>
          <w:tcPr>
            <w:tcW w:w="6342" w:type="dxa"/>
            <w:tcBorders>
              <w:top w:val="nil"/>
              <w:left w:val="nil"/>
              <w:bottom w:val="single" w:sz="4" w:space="0" w:color="auto"/>
              <w:right w:val="nil"/>
            </w:tcBorders>
            <w:shd w:val="clear" w:color="000000" w:fill="D9D9D9"/>
            <w:vAlign w:val="bottom"/>
            <w:hideMark/>
          </w:tcPr>
          <w:p w14:paraId="1C806848"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Period of support and profile of costs (taper-off)</w:t>
            </w:r>
          </w:p>
        </w:tc>
        <w:tc>
          <w:tcPr>
            <w:tcW w:w="2915" w:type="dxa"/>
            <w:tcBorders>
              <w:top w:val="nil"/>
              <w:left w:val="single" w:sz="4" w:space="0" w:color="auto"/>
              <w:bottom w:val="single" w:sz="4" w:space="0" w:color="auto"/>
              <w:right w:val="nil"/>
            </w:tcBorders>
            <w:shd w:val="clear" w:color="000000" w:fill="F2DCDB"/>
            <w:noWrap/>
            <w:vAlign w:val="bottom"/>
            <w:hideMark/>
          </w:tcPr>
          <w:p w14:paraId="052D50A6" w14:textId="77777777" w:rsidR="006036F0" w:rsidRPr="00BB662E" w:rsidRDefault="006036F0" w:rsidP="006036F0">
            <w:pPr>
              <w:spacing w:before="60" w:after="60"/>
              <w:ind w:firstLineChars="100" w:firstLine="240"/>
              <w:rPr>
                <w:rFonts w:ascii="Calibri" w:hAnsi="Calibri"/>
                <w:color w:val="000000"/>
                <w:lang w:eastAsia="en-GB"/>
              </w:rPr>
            </w:pPr>
            <w:r w:rsidRPr="00BB662E">
              <w:rPr>
                <w:rFonts w:ascii="Calibri" w:hAnsi="Calibri"/>
                <w:color w:val="000000"/>
                <w:lang w:eastAsia="en-GB"/>
              </w:rPr>
              <w:t>Period 1</w:t>
            </w:r>
          </w:p>
        </w:tc>
        <w:tc>
          <w:tcPr>
            <w:tcW w:w="2284" w:type="dxa"/>
            <w:gridSpan w:val="2"/>
            <w:tcBorders>
              <w:top w:val="single" w:sz="4" w:space="0" w:color="auto"/>
              <w:left w:val="nil"/>
              <w:bottom w:val="single" w:sz="4" w:space="0" w:color="auto"/>
              <w:right w:val="nil"/>
            </w:tcBorders>
            <w:shd w:val="clear" w:color="000000" w:fill="F2DCDB"/>
            <w:noWrap/>
            <w:vAlign w:val="bottom"/>
            <w:hideMark/>
          </w:tcPr>
          <w:p w14:paraId="367BB683" w14:textId="77777777" w:rsidR="006036F0" w:rsidRPr="00BB662E" w:rsidRDefault="006036F0" w:rsidP="006036F0">
            <w:pPr>
              <w:spacing w:before="60" w:after="60"/>
              <w:rPr>
                <w:rFonts w:ascii="Calibri" w:hAnsi="Calibri"/>
                <w:i/>
                <w:iCs/>
                <w:color w:val="000000"/>
                <w:lang w:eastAsia="en-GB"/>
              </w:rPr>
            </w:pPr>
            <w:r w:rsidRPr="00BB662E">
              <w:rPr>
                <w:rFonts w:ascii="Calibri" w:hAnsi="Calibri"/>
                <w:i/>
                <w:iCs/>
                <w:color w:val="000000"/>
                <w:lang w:eastAsia="en-GB"/>
              </w:rPr>
              <w:t>insert dates</w:t>
            </w:r>
          </w:p>
        </w:tc>
        <w:tc>
          <w:tcPr>
            <w:tcW w:w="2824" w:type="dxa"/>
            <w:tcBorders>
              <w:top w:val="nil"/>
              <w:left w:val="nil"/>
              <w:bottom w:val="single" w:sz="4" w:space="0" w:color="auto"/>
              <w:right w:val="single" w:sz="4" w:space="0" w:color="auto"/>
            </w:tcBorders>
            <w:shd w:val="clear" w:color="000000" w:fill="F2DCDB"/>
            <w:vAlign w:val="bottom"/>
            <w:hideMark/>
          </w:tcPr>
          <w:p w14:paraId="4315A0FF" w14:textId="77777777" w:rsidR="006036F0" w:rsidRPr="00BB662E" w:rsidRDefault="006036F0" w:rsidP="006036F0">
            <w:pPr>
              <w:spacing w:before="60" w:after="60"/>
              <w:ind w:firstLineChars="300" w:firstLine="720"/>
              <w:rPr>
                <w:rFonts w:ascii="Calibri" w:hAnsi="Calibri"/>
                <w:i/>
                <w:iCs/>
                <w:color w:val="000000"/>
                <w:lang w:eastAsia="en-GB"/>
              </w:rPr>
            </w:pPr>
            <w:r w:rsidRPr="00BB662E">
              <w:rPr>
                <w:rFonts w:ascii="Calibri" w:hAnsi="Calibri"/>
                <w:i/>
                <w:iCs/>
                <w:color w:val="000000"/>
                <w:lang w:eastAsia="en-GB"/>
              </w:rPr>
              <w:t>insert £</w:t>
            </w:r>
          </w:p>
        </w:tc>
      </w:tr>
      <w:tr w:rsidR="006036F0" w:rsidRPr="00BB662E" w14:paraId="773DEEA9" w14:textId="77777777" w:rsidTr="006036F0">
        <w:trPr>
          <w:trHeight w:val="300"/>
        </w:trPr>
        <w:tc>
          <w:tcPr>
            <w:tcW w:w="607" w:type="dxa"/>
            <w:tcBorders>
              <w:top w:val="nil"/>
              <w:left w:val="nil"/>
              <w:bottom w:val="nil"/>
              <w:right w:val="nil"/>
            </w:tcBorders>
            <w:shd w:val="clear" w:color="auto" w:fill="auto"/>
            <w:noWrap/>
            <w:hideMark/>
          </w:tcPr>
          <w:p w14:paraId="14EA0133" w14:textId="77777777" w:rsidR="006036F0" w:rsidRPr="00BB662E" w:rsidRDefault="006036F0" w:rsidP="006036F0">
            <w:pPr>
              <w:spacing w:before="60" w:after="60"/>
              <w:jc w:val="center"/>
              <w:rPr>
                <w:rFonts w:ascii="Calibri" w:hAnsi="Calibri"/>
                <w:color w:val="000000"/>
                <w:lang w:eastAsia="en-GB"/>
              </w:rPr>
            </w:pPr>
          </w:p>
        </w:tc>
        <w:tc>
          <w:tcPr>
            <w:tcW w:w="6342" w:type="dxa"/>
            <w:tcBorders>
              <w:top w:val="nil"/>
              <w:left w:val="nil"/>
              <w:bottom w:val="nil"/>
              <w:right w:val="nil"/>
            </w:tcBorders>
            <w:shd w:val="clear" w:color="auto" w:fill="auto"/>
            <w:vAlign w:val="bottom"/>
            <w:hideMark/>
          </w:tcPr>
          <w:p w14:paraId="703CCF3A" w14:textId="77777777" w:rsidR="006036F0" w:rsidRPr="00BB662E" w:rsidRDefault="006036F0" w:rsidP="006036F0">
            <w:pPr>
              <w:spacing w:before="60" w:after="60"/>
              <w:rPr>
                <w:rFonts w:ascii="Calibri" w:hAnsi="Calibri"/>
                <w:b/>
                <w:bCs w:val="0"/>
                <w:color w:val="000000"/>
                <w:lang w:eastAsia="en-GB"/>
              </w:rPr>
            </w:pPr>
          </w:p>
        </w:tc>
        <w:tc>
          <w:tcPr>
            <w:tcW w:w="2915" w:type="dxa"/>
            <w:tcBorders>
              <w:top w:val="nil"/>
              <w:left w:val="single" w:sz="4" w:space="0" w:color="auto"/>
              <w:bottom w:val="single" w:sz="4" w:space="0" w:color="auto"/>
              <w:right w:val="nil"/>
            </w:tcBorders>
            <w:shd w:val="clear" w:color="000000" w:fill="F2DCDB"/>
            <w:vAlign w:val="bottom"/>
            <w:hideMark/>
          </w:tcPr>
          <w:p w14:paraId="67E6CBC5" w14:textId="77777777" w:rsidR="006036F0" w:rsidRPr="00BB662E" w:rsidRDefault="006036F0" w:rsidP="006036F0">
            <w:pPr>
              <w:spacing w:before="60" w:after="60"/>
              <w:ind w:firstLineChars="100" w:firstLine="240"/>
              <w:rPr>
                <w:rFonts w:ascii="Calibri" w:hAnsi="Calibri"/>
                <w:color w:val="000000"/>
                <w:lang w:eastAsia="en-GB"/>
              </w:rPr>
            </w:pPr>
            <w:r w:rsidRPr="00BB662E">
              <w:rPr>
                <w:rFonts w:ascii="Calibri" w:hAnsi="Calibri"/>
                <w:color w:val="000000"/>
                <w:lang w:eastAsia="en-GB"/>
              </w:rPr>
              <w:t>Period 2</w:t>
            </w:r>
          </w:p>
        </w:tc>
        <w:tc>
          <w:tcPr>
            <w:tcW w:w="2284" w:type="dxa"/>
            <w:gridSpan w:val="2"/>
            <w:tcBorders>
              <w:top w:val="single" w:sz="4" w:space="0" w:color="auto"/>
              <w:left w:val="nil"/>
              <w:bottom w:val="single" w:sz="4" w:space="0" w:color="auto"/>
              <w:right w:val="nil"/>
            </w:tcBorders>
            <w:shd w:val="clear" w:color="000000" w:fill="F2DCDB"/>
            <w:noWrap/>
            <w:vAlign w:val="bottom"/>
            <w:hideMark/>
          </w:tcPr>
          <w:p w14:paraId="1C242D65" w14:textId="77777777" w:rsidR="006036F0" w:rsidRPr="00BB662E" w:rsidRDefault="006036F0" w:rsidP="006036F0">
            <w:pPr>
              <w:spacing w:before="60" w:after="60"/>
              <w:rPr>
                <w:rFonts w:ascii="Calibri" w:hAnsi="Calibri"/>
                <w:i/>
                <w:iCs/>
                <w:color w:val="000000"/>
                <w:lang w:eastAsia="en-GB"/>
              </w:rPr>
            </w:pPr>
            <w:r w:rsidRPr="00BB662E">
              <w:rPr>
                <w:rFonts w:ascii="Calibri" w:hAnsi="Calibri"/>
                <w:i/>
                <w:iCs/>
                <w:color w:val="000000"/>
                <w:lang w:eastAsia="en-GB"/>
              </w:rPr>
              <w:t>insert dates</w:t>
            </w:r>
          </w:p>
        </w:tc>
        <w:tc>
          <w:tcPr>
            <w:tcW w:w="2824" w:type="dxa"/>
            <w:tcBorders>
              <w:top w:val="nil"/>
              <w:left w:val="nil"/>
              <w:bottom w:val="single" w:sz="4" w:space="0" w:color="auto"/>
              <w:right w:val="single" w:sz="4" w:space="0" w:color="auto"/>
            </w:tcBorders>
            <w:shd w:val="clear" w:color="000000" w:fill="F2DCDB"/>
            <w:vAlign w:val="bottom"/>
            <w:hideMark/>
          </w:tcPr>
          <w:p w14:paraId="32EE3397" w14:textId="77777777" w:rsidR="006036F0" w:rsidRPr="00BB662E" w:rsidRDefault="006036F0" w:rsidP="006036F0">
            <w:pPr>
              <w:spacing w:before="60" w:after="60"/>
              <w:ind w:firstLineChars="300" w:firstLine="720"/>
              <w:rPr>
                <w:rFonts w:ascii="Calibri" w:hAnsi="Calibri"/>
                <w:i/>
                <w:iCs/>
                <w:color w:val="000000"/>
                <w:lang w:eastAsia="en-GB"/>
              </w:rPr>
            </w:pPr>
            <w:r w:rsidRPr="00BB662E">
              <w:rPr>
                <w:rFonts w:ascii="Calibri" w:hAnsi="Calibri"/>
                <w:i/>
                <w:iCs/>
                <w:color w:val="000000"/>
                <w:lang w:eastAsia="en-GB"/>
              </w:rPr>
              <w:t>insert £</w:t>
            </w:r>
          </w:p>
        </w:tc>
      </w:tr>
      <w:tr w:rsidR="006036F0" w:rsidRPr="00BB662E" w14:paraId="4D252B65" w14:textId="77777777" w:rsidTr="006036F0">
        <w:trPr>
          <w:trHeight w:val="300"/>
        </w:trPr>
        <w:tc>
          <w:tcPr>
            <w:tcW w:w="607" w:type="dxa"/>
            <w:tcBorders>
              <w:top w:val="nil"/>
              <w:left w:val="nil"/>
              <w:bottom w:val="nil"/>
              <w:right w:val="nil"/>
            </w:tcBorders>
            <w:shd w:val="clear" w:color="auto" w:fill="auto"/>
            <w:noWrap/>
            <w:hideMark/>
          </w:tcPr>
          <w:p w14:paraId="1DF9BC30" w14:textId="77777777" w:rsidR="006036F0" w:rsidRPr="00BB662E" w:rsidRDefault="006036F0" w:rsidP="006036F0">
            <w:pPr>
              <w:spacing w:before="60" w:after="60"/>
              <w:jc w:val="center"/>
              <w:rPr>
                <w:rFonts w:ascii="Calibri" w:hAnsi="Calibri"/>
                <w:color w:val="000000"/>
                <w:lang w:eastAsia="en-GB"/>
              </w:rPr>
            </w:pPr>
          </w:p>
        </w:tc>
        <w:tc>
          <w:tcPr>
            <w:tcW w:w="6342" w:type="dxa"/>
            <w:tcBorders>
              <w:top w:val="nil"/>
              <w:left w:val="nil"/>
              <w:bottom w:val="nil"/>
              <w:right w:val="nil"/>
            </w:tcBorders>
            <w:shd w:val="clear" w:color="auto" w:fill="auto"/>
            <w:vAlign w:val="bottom"/>
            <w:hideMark/>
          </w:tcPr>
          <w:p w14:paraId="10B53B68" w14:textId="77777777" w:rsidR="006036F0" w:rsidRPr="00BB662E" w:rsidRDefault="006036F0" w:rsidP="006036F0">
            <w:pPr>
              <w:spacing w:before="60" w:after="60"/>
              <w:rPr>
                <w:rFonts w:ascii="Calibri" w:hAnsi="Calibri"/>
                <w:b/>
                <w:bCs w:val="0"/>
                <w:color w:val="000000"/>
                <w:lang w:eastAsia="en-GB"/>
              </w:rPr>
            </w:pPr>
          </w:p>
        </w:tc>
        <w:tc>
          <w:tcPr>
            <w:tcW w:w="2915" w:type="dxa"/>
            <w:tcBorders>
              <w:top w:val="nil"/>
              <w:left w:val="single" w:sz="4" w:space="0" w:color="auto"/>
              <w:bottom w:val="single" w:sz="4" w:space="0" w:color="auto"/>
              <w:right w:val="nil"/>
            </w:tcBorders>
            <w:shd w:val="clear" w:color="000000" w:fill="F2DCDB"/>
            <w:vAlign w:val="bottom"/>
            <w:hideMark/>
          </w:tcPr>
          <w:p w14:paraId="13B4C094" w14:textId="77777777" w:rsidR="006036F0" w:rsidRPr="00BB662E" w:rsidRDefault="006036F0" w:rsidP="006036F0">
            <w:pPr>
              <w:spacing w:before="60" w:after="60"/>
              <w:ind w:firstLineChars="100" w:firstLine="240"/>
              <w:rPr>
                <w:rFonts w:ascii="Calibri" w:hAnsi="Calibri"/>
                <w:color w:val="000000"/>
                <w:lang w:eastAsia="en-GB"/>
              </w:rPr>
            </w:pPr>
            <w:r w:rsidRPr="00BB662E">
              <w:rPr>
                <w:rFonts w:ascii="Calibri" w:hAnsi="Calibri"/>
                <w:color w:val="000000"/>
                <w:lang w:eastAsia="en-GB"/>
              </w:rPr>
              <w:t>Period 3</w:t>
            </w:r>
          </w:p>
        </w:tc>
        <w:tc>
          <w:tcPr>
            <w:tcW w:w="2284" w:type="dxa"/>
            <w:gridSpan w:val="2"/>
            <w:tcBorders>
              <w:top w:val="single" w:sz="4" w:space="0" w:color="auto"/>
              <w:left w:val="nil"/>
              <w:bottom w:val="single" w:sz="4" w:space="0" w:color="auto"/>
              <w:right w:val="nil"/>
            </w:tcBorders>
            <w:shd w:val="clear" w:color="000000" w:fill="F2DCDB"/>
            <w:noWrap/>
            <w:vAlign w:val="bottom"/>
            <w:hideMark/>
          </w:tcPr>
          <w:p w14:paraId="184C9F4C" w14:textId="77777777" w:rsidR="006036F0" w:rsidRPr="00BB662E" w:rsidRDefault="006036F0" w:rsidP="006036F0">
            <w:pPr>
              <w:spacing w:before="60" w:after="60"/>
              <w:rPr>
                <w:rFonts w:ascii="Calibri" w:hAnsi="Calibri"/>
                <w:i/>
                <w:iCs/>
                <w:color w:val="000000"/>
                <w:lang w:eastAsia="en-GB"/>
              </w:rPr>
            </w:pPr>
            <w:r w:rsidRPr="00BB662E">
              <w:rPr>
                <w:rFonts w:ascii="Calibri" w:hAnsi="Calibri"/>
                <w:i/>
                <w:iCs/>
                <w:color w:val="000000"/>
                <w:lang w:eastAsia="en-GB"/>
              </w:rPr>
              <w:t>insert dates</w:t>
            </w:r>
          </w:p>
        </w:tc>
        <w:tc>
          <w:tcPr>
            <w:tcW w:w="2824" w:type="dxa"/>
            <w:tcBorders>
              <w:top w:val="nil"/>
              <w:left w:val="nil"/>
              <w:bottom w:val="single" w:sz="4" w:space="0" w:color="auto"/>
              <w:right w:val="single" w:sz="4" w:space="0" w:color="auto"/>
            </w:tcBorders>
            <w:shd w:val="clear" w:color="000000" w:fill="F2DCDB"/>
            <w:vAlign w:val="bottom"/>
            <w:hideMark/>
          </w:tcPr>
          <w:p w14:paraId="4E87DC8F" w14:textId="77777777" w:rsidR="006036F0" w:rsidRPr="00BB662E" w:rsidRDefault="006036F0" w:rsidP="006036F0">
            <w:pPr>
              <w:spacing w:before="60" w:after="60"/>
              <w:ind w:firstLineChars="300" w:firstLine="720"/>
              <w:rPr>
                <w:rFonts w:ascii="Calibri" w:hAnsi="Calibri"/>
                <w:i/>
                <w:iCs/>
                <w:color w:val="000000"/>
                <w:lang w:eastAsia="en-GB"/>
              </w:rPr>
            </w:pPr>
            <w:r w:rsidRPr="00BB662E">
              <w:rPr>
                <w:rFonts w:ascii="Calibri" w:hAnsi="Calibri"/>
                <w:i/>
                <w:iCs/>
                <w:color w:val="000000"/>
                <w:lang w:eastAsia="en-GB"/>
              </w:rPr>
              <w:t>insert £</w:t>
            </w:r>
          </w:p>
        </w:tc>
      </w:tr>
      <w:tr w:rsidR="006036F0" w:rsidRPr="00BB662E" w14:paraId="756725D2" w14:textId="77777777" w:rsidTr="006036F0">
        <w:trPr>
          <w:trHeight w:val="300"/>
        </w:trPr>
        <w:tc>
          <w:tcPr>
            <w:tcW w:w="607" w:type="dxa"/>
            <w:tcBorders>
              <w:top w:val="nil"/>
              <w:left w:val="nil"/>
              <w:bottom w:val="nil"/>
              <w:right w:val="nil"/>
            </w:tcBorders>
            <w:shd w:val="clear" w:color="auto" w:fill="auto"/>
            <w:noWrap/>
            <w:hideMark/>
          </w:tcPr>
          <w:p w14:paraId="25FEAC8B" w14:textId="77777777" w:rsidR="006036F0" w:rsidRPr="00BB662E" w:rsidRDefault="006036F0" w:rsidP="006036F0">
            <w:pPr>
              <w:spacing w:before="60" w:after="60"/>
              <w:jc w:val="center"/>
              <w:rPr>
                <w:rFonts w:ascii="Calibri" w:hAnsi="Calibri"/>
                <w:color w:val="000000"/>
                <w:lang w:eastAsia="en-GB"/>
              </w:rPr>
            </w:pPr>
          </w:p>
        </w:tc>
        <w:tc>
          <w:tcPr>
            <w:tcW w:w="6342" w:type="dxa"/>
            <w:tcBorders>
              <w:top w:val="nil"/>
              <w:left w:val="nil"/>
              <w:bottom w:val="nil"/>
              <w:right w:val="nil"/>
            </w:tcBorders>
            <w:shd w:val="clear" w:color="auto" w:fill="auto"/>
            <w:vAlign w:val="bottom"/>
            <w:hideMark/>
          </w:tcPr>
          <w:p w14:paraId="362E04B9" w14:textId="77777777" w:rsidR="006036F0" w:rsidRPr="00BB662E" w:rsidRDefault="006036F0" w:rsidP="006036F0">
            <w:pPr>
              <w:spacing w:before="60" w:after="60"/>
              <w:rPr>
                <w:rFonts w:ascii="Calibri" w:hAnsi="Calibri"/>
                <w:b/>
                <w:bCs w:val="0"/>
                <w:color w:val="000000"/>
                <w:lang w:eastAsia="en-GB"/>
              </w:rPr>
            </w:pPr>
          </w:p>
        </w:tc>
        <w:tc>
          <w:tcPr>
            <w:tcW w:w="2915" w:type="dxa"/>
            <w:tcBorders>
              <w:top w:val="nil"/>
              <w:left w:val="single" w:sz="4" w:space="0" w:color="auto"/>
              <w:bottom w:val="single" w:sz="4" w:space="0" w:color="auto"/>
              <w:right w:val="nil"/>
            </w:tcBorders>
            <w:shd w:val="clear" w:color="000000" w:fill="F2DCDB"/>
            <w:vAlign w:val="bottom"/>
            <w:hideMark/>
          </w:tcPr>
          <w:p w14:paraId="1E77F7D7" w14:textId="77777777" w:rsidR="006036F0" w:rsidRPr="00BB662E" w:rsidRDefault="006036F0" w:rsidP="006036F0">
            <w:pPr>
              <w:spacing w:before="60" w:after="60"/>
              <w:ind w:firstLineChars="100" w:firstLine="240"/>
              <w:rPr>
                <w:rFonts w:ascii="Calibri" w:hAnsi="Calibri"/>
                <w:color w:val="000000"/>
                <w:lang w:eastAsia="en-GB"/>
              </w:rPr>
            </w:pPr>
            <w:r w:rsidRPr="00BB662E">
              <w:rPr>
                <w:rFonts w:ascii="Calibri" w:hAnsi="Calibri"/>
                <w:color w:val="000000"/>
                <w:lang w:eastAsia="en-GB"/>
              </w:rPr>
              <w:t>Period 4</w:t>
            </w:r>
          </w:p>
        </w:tc>
        <w:tc>
          <w:tcPr>
            <w:tcW w:w="2284" w:type="dxa"/>
            <w:gridSpan w:val="2"/>
            <w:tcBorders>
              <w:top w:val="single" w:sz="4" w:space="0" w:color="auto"/>
              <w:left w:val="nil"/>
              <w:bottom w:val="single" w:sz="4" w:space="0" w:color="auto"/>
              <w:right w:val="nil"/>
            </w:tcBorders>
            <w:shd w:val="clear" w:color="000000" w:fill="F2DCDB"/>
            <w:noWrap/>
            <w:vAlign w:val="bottom"/>
            <w:hideMark/>
          </w:tcPr>
          <w:p w14:paraId="7B6BA348" w14:textId="77777777" w:rsidR="006036F0" w:rsidRPr="00BB662E" w:rsidRDefault="006036F0" w:rsidP="006036F0">
            <w:pPr>
              <w:spacing w:before="60" w:after="60"/>
              <w:rPr>
                <w:rFonts w:ascii="Calibri" w:hAnsi="Calibri"/>
                <w:i/>
                <w:iCs/>
                <w:color w:val="000000"/>
                <w:lang w:eastAsia="en-GB"/>
              </w:rPr>
            </w:pPr>
            <w:r w:rsidRPr="00BB662E">
              <w:rPr>
                <w:rFonts w:ascii="Calibri" w:hAnsi="Calibri"/>
                <w:i/>
                <w:iCs/>
                <w:color w:val="000000"/>
                <w:lang w:eastAsia="en-GB"/>
              </w:rPr>
              <w:t>insert dates</w:t>
            </w:r>
          </w:p>
        </w:tc>
        <w:tc>
          <w:tcPr>
            <w:tcW w:w="2824" w:type="dxa"/>
            <w:tcBorders>
              <w:top w:val="nil"/>
              <w:left w:val="nil"/>
              <w:bottom w:val="single" w:sz="4" w:space="0" w:color="auto"/>
              <w:right w:val="single" w:sz="4" w:space="0" w:color="auto"/>
            </w:tcBorders>
            <w:shd w:val="clear" w:color="000000" w:fill="F2DCDB"/>
            <w:vAlign w:val="bottom"/>
            <w:hideMark/>
          </w:tcPr>
          <w:p w14:paraId="6B63F97D" w14:textId="77777777" w:rsidR="006036F0" w:rsidRPr="00BB662E" w:rsidRDefault="006036F0" w:rsidP="006036F0">
            <w:pPr>
              <w:spacing w:before="60" w:after="60"/>
              <w:ind w:firstLineChars="300" w:firstLine="720"/>
              <w:rPr>
                <w:rFonts w:ascii="Calibri" w:hAnsi="Calibri"/>
                <w:i/>
                <w:iCs/>
                <w:color w:val="000000"/>
                <w:lang w:eastAsia="en-GB"/>
              </w:rPr>
            </w:pPr>
            <w:r w:rsidRPr="00BB662E">
              <w:rPr>
                <w:rFonts w:ascii="Calibri" w:hAnsi="Calibri"/>
                <w:i/>
                <w:iCs/>
                <w:color w:val="000000"/>
                <w:lang w:eastAsia="en-GB"/>
              </w:rPr>
              <w:t>insert £</w:t>
            </w:r>
          </w:p>
        </w:tc>
      </w:tr>
      <w:tr w:rsidR="006036F0" w:rsidRPr="00BB662E" w14:paraId="6D0A27D2" w14:textId="77777777" w:rsidTr="006036F0">
        <w:trPr>
          <w:trHeight w:val="300"/>
        </w:trPr>
        <w:tc>
          <w:tcPr>
            <w:tcW w:w="607" w:type="dxa"/>
            <w:tcBorders>
              <w:top w:val="nil"/>
              <w:left w:val="nil"/>
              <w:bottom w:val="nil"/>
              <w:right w:val="nil"/>
            </w:tcBorders>
            <w:shd w:val="clear" w:color="auto" w:fill="auto"/>
            <w:noWrap/>
            <w:hideMark/>
          </w:tcPr>
          <w:p w14:paraId="1122DB68" w14:textId="77777777" w:rsidR="006036F0" w:rsidRPr="00BB662E" w:rsidRDefault="006036F0" w:rsidP="006036F0">
            <w:pPr>
              <w:spacing w:before="60" w:after="60"/>
              <w:jc w:val="center"/>
              <w:rPr>
                <w:rFonts w:ascii="Calibri" w:hAnsi="Calibri"/>
                <w:color w:val="000000"/>
                <w:lang w:eastAsia="en-GB"/>
              </w:rPr>
            </w:pPr>
          </w:p>
        </w:tc>
        <w:tc>
          <w:tcPr>
            <w:tcW w:w="6342" w:type="dxa"/>
            <w:tcBorders>
              <w:top w:val="nil"/>
              <w:left w:val="nil"/>
              <w:bottom w:val="nil"/>
              <w:right w:val="nil"/>
            </w:tcBorders>
            <w:shd w:val="clear" w:color="auto" w:fill="auto"/>
            <w:vAlign w:val="bottom"/>
            <w:hideMark/>
          </w:tcPr>
          <w:p w14:paraId="0147F0D6" w14:textId="77777777" w:rsidR="006036F0" w:rsidRPr="00BB662E" w:rsidRDefault="006036F0" w:rsidP="006036F0">
            <w:pPr>
              <w:spacing w:before="60" w:after="60"/>
              <w:rPr>
                <w:rFonts w:ascii="Calibri" w:hAnsi="Calibri"/>
                <w:b/>
                <w:bCs w:val="0"/>
                <w:color w:val="000000"/>
                <w:lang w:eastAsia="en-GB"/>
              </w:rPr>
            </w:pPr>
          </w:p>
        </w:tc>
        <w:tc>
          <w:tcPr>
            <w:tcW w:w="2915" w:type="dxa"/>
            <w:tcBorders>
              <w:top w:val="nil"/>
              <w:left w:val="single" w:sz="4" w:space="0" w:color="auto"/>
              <w:bottom w:val="single" w:sz="4" w:space="0" w:color="auto"/>
              <w:right w:val="nil"/>
            </w:tcBorders>
            <w:shd w:val="clear" w:color="000000" w:fill="F2DCDB"/>
            <w:vAlign w:val="bottom"/>
            <w:hideMark/>
          </w:tcPr>
          <w:p w14:paraId="3FEF033B" w14:textId="77777777" w:rsidR="006036F0" w:rsidRPr="00BB662E" w:rsidRDefault="006036F0" w:rsidP="006036F0">
            <w:pPr>
              <w:spacing w:before="60" w:after="60"/>
              <w:ind w:firstLineChars="100" w:firstLine="240"/>
              <w:rPr>
                <w:rFonts w:ascii="Calibri" w:hAnsi="Calibri"/>
                <w:color w:val="000000"/>
                <w:lang w:eastAsia="en-GB"/>
              </w:rPr>
            </w:pPr>
            <w:r w:rsidRPr="00BB662E">
              <w:rPr>
                <w:rFonts w:ascii="Calibri" w:hAnsi="Calibri"/>
                <w:color w:val="000000"/>
                <w:lang w:eastAsia="en-GB"/>
              </w:rPr>
              <w:t>Period 5</w:t>
            </w:r>
          </w:p>
        </w:tc>
        <w:tc>
          <w:tcPr>
            <w:tcW w:w="2284" w:type="dxa"/>
            <w:gridSpan w:val="2"/>
            <w:tcBorders>
              <w:top w:val="single" w:sz="4" w:space="0" w:color="auto"/>
              <w:left w:val="nil"/>
              <w:bottom w:val="single" w:sz="4" w:space="0" w:color="auto"/>
              <w:right w:val="nil"/>
            </w:tcBorders>
            <w:shd w:val="clear" w:color="000000" w:fill="F2DCDB"/>
            <w:noWrap/>
            <w:vAlign w:val="bottom"/>
            <w:hideMark/>
          </w:tcPr>
          <w:p w14:paraId="4F5BBED5" w14:textId="77777777" w:rsidR="006036F0" w:rsidRPr="00BB662E" w:rsidRDefault="006036F0" w:rsidP="006036F0">
            <w:pPr>
              <w:spacing w:before="60" w:after="60"/>
              <w:rPr>
                <w:rFonts w:ascii="Calibri" w:hAnsi="Calibri"/>
                <w:i/>
                <w:iCs/>
                <w:color w:val="000000"/>
                <w:lang w:eastAsia="en-GB"/>
              </w:rPr>
            </w:pPr>
            <w:r w:rsidRPr="00BB662E">
              <w:rPr>
                <w:rFonts w:ascii="Calibri" w:hAnsi="Calibri"/>
                <w:i/>
                <w:iCs/>
                <w:color w:val="000000"/>
                <w:lang w:eastAsia="en-GB"/>
              </w:rPr>
              <w:t>insert dates</w:t>
            </w:r>
          </w:p>
        </w:tc>
        <w:tc>
          <w:tcPr>
            <w:tcW w:w="2824" w:type="dxa"/>
            <w:tcBorders>
              <w:top w:val="nil"/>
              <w:left w:val="nil"/>
              <w:bottom w:val="single" w:sz="4" w:space="0" w:color="auto"/>
              <w:right w:val="single" w:sz="4" w:space="0" w:color="auto"/>
            </w:tcBorders>
            <w:shd w:val="clear" w:color="000000" w:fill="F2DCDB"/>
            <w:vAlign w:val="bottom"/>
            <w:hideMark/>
          </w:tcPr>
          <w:p w14:paraId="0DB4D2DD" w14:textId="77777777" w:rsidR="006036F0" w:rsidRPr="00BB662E" w:rsidRDefault="006036F0" w:rsidP="006036F0">
            <w:pPr>
              <w:spacing w:before="60" w:after="60"/>
              <w:ind w:firstLineChars="300" w:firstLine="720"/>
              <w:rPr>
                <w:rFonts w:ascii="Calibri" w:hAnsi="Calibri"/>
                <w:i/>
                <w:iCs/>
                <w:color w:val="000000"/>
                <w:lang w:eastAsia="en-GB"/>
              </w:rPr>
            </w:pPr>
            <w:r w:rsidRPr="00BB662E">
              <w:rPr>
                <w:rFonts w:ascii="Calibri" w:hAnsi="Calibri"/>
                <w:i/>
                <w:iCs/>
                <w:color w:val="000000"/>
                <w:lang w:eastAsia="en-GB"/>
              </w:rPr>
              <w:t>insert £</w:t>
            </w:r>
          </w:p>
        </w:tc>
      </w:tr>
      <w:tr w:rsidR="006036F0" w:rsidRPr="00BB662E" w14:paraId="475DBE78" w14:textId="77777777" w:rsidTr="006036F0">
        <w:trPr>
          <w:trHeight w:val="300"/>
        </w:trPr>
        <w:tc>
          <w:tcPr>
            <w:tcW w:w="607" w:type="dxa"/>
            <w:tcBorders>
              <w:top w:val="nil"/>
              <w:left w:val="nil"/>
              <w:bottom w:val="nil"/>
              <w:right w:val="nil"/>
            </w:tcBorders>
            <w:shd w:val="clear" w:color="auto" w:fill="auto"/>
            <w:noWrap/>
            <w:hideMark/>
          </w:tcPr>
          <w:p w14:paraId="39A6A4B1" w14:textId="77777777" w:rsidR="006036F0" w:rsidRPr="00BB662E" w:rsidRDefault="006036F0" w:rsidP="006036F0">
            <w:pPr>
              <w:spacing w:before="60" w:after="60"/>
              <w:jc w:val="center"/>
              <w:rPr>
                <w:rFonts w:ascii="Calibri" w:hAnsi="Calibri"/>
                <w:color w:val="000000"/>
                <w:lang w:eastAsia="en-GB"/>
              </w:rPr>
            </w:pPr>
          </w:p>
        </w:tc>
        <w:tc>
          <w:tcPr>
            <w:tcW w:w="6342" w:type="dxa"/>
            <w:tcBorders>
              <w:top w:val="nil"/>
              <w:left w:val="nil"/>
              <w:bottom w:val="nil"/>
              <w:right w:val="nil"/>
            </w:tcBorders>
            <w:shd w:val="clear" w:color="auto" w:fill="auto"/>
            <w:vAlign w:val="bottom"/>
            <w:hideMark/>
          </w:tcPr>
          <w:p w14:paraId="4908E873" w14:textId="77777777" w:rsidR="006036F0" w:rsidRPr="00BB662E" w:rsidRDefault="006036F0" w:rsidP="006036F0">
            <w:pPr>
              <w:spacing w:before="60" w:after="60"/>
              <w:rPr>
                <w:rFonts w:ascii="Calibri" w:hAnsi="Calibri"/>
                <w:b/>
                <w:bCs w:val="0"/>
                <w:color w:val="000000"/>
                <w:lang w:eastAsia="en-GB"/>
              </w:rPr>
            </w:pPr>
          </w:p>
        </w:tc>
        <w:tc>
          <w:tcPr>
            <w:tcW w:w="2915" w:type="dxa"/>
            <w:tcBorders>
              <w:top w:val="nil"/>
              <w:left w:val="single" w:sz="4" w:space="0" w:color="auto"/>
              <w:bottom w:val="single" w:sz="4" w:space="0" w:color="auto"/>
              <w:right w:val="nil"/>
            </w:tcBorders>
            <w:shd w:val="clear" w:color="000000" w:fill="F2DCDB"/>
            <w:vAlign w:val="bottom"/>
            <w:hideMark/>
          </w:tcPr>
          <w:p w14:paraId="75CA6EEC" w14:textId="77777777" w:rsidR="006036F0" w:rsidRPr="00BB662E" w:rsidRDefault="006036F0" w:rsidP="006036F0">
            <w:pPr>
              <w:spacing w:before="60" w:after="60"/>
              <w:ind w:firstLineChars="100" w:firstLine="240"/>
              <w:rPr>
                <w:rFonts w:ascii="Calibri" w:hAnsi="Calibri"/>
                <w:color w:val="000000"/>
                <w:lang w:eastAsia="en-GB"/>
              </w:rPr>
            </w:pPr>
            <w:r w:rsidRPr="00BB662E">
              <w:rPr>
                <w:rFonts w:ascii="Calibri" w:hAnsi="Calibri"/>
                <w:color w:val="000000"/>
                <w:lang w:eastAsia="en-GB"/>
              </w:rPr>
              <w:t>Period 6</w:t>
            </w:r>
          </w:p>
        </w:tc>
        <w:tc>
          <w:tcPr>
            <w:tcW w:w="2284" w:type="dxa"/>
            <w:gridSpan w:val="2"/>
            <w:tcBorders>
              <w:top w:val="single" w:sz="4" w:space="0" w:color="auto"/>
              <w:left w:val="nil"/>
              <w:bottom w:val="single" w:sz="4" w:space="0" w:color="auto"/>
              <w:right w:val="nil"/>
            </w:tcBorders>
            <w:shd w:val="clear" w:color="000000" w:fill="F2DCDB"/>
            <w:noWrap/>
            <w:vAlign w:val="bottom"/>
            <w:hideMark/>
          </w:tcPr>
          <w:p w14:paraId="720E4A31" w14:textId="77777777" w:rsidR="006036F0" w:rsidRPr="00BB662E" w:rsidRDefault="006036F0" w:rsidP="006036F0">
            <w:pPr>
              <w:spacing w:before="60" w:after="60"/>
              <w:rPr>
                <w:rFonts w:ascii="Calibri" w:hAnsi="Calibri"/>
                <w:i/>
                <w:iCs/>
                <w:color w:val="000000"/>
                <w:lang w:eastAsia="en-GB"/>
              </w:rPr>
            </w:pPr>
            <w:r w:rsidRPr="00BB662E">
              <w:rPr>
                <w:rFonts w:ascii="Calibri" w:hAnsi="Calibri"/>
                <w:i/>
                <w:iCs/>
                <w:color w:val="000000"/>
                <w:lang w:eastAsia="en-GB"/>
              </w:rPr>
              <w:t>insert dates</w:t>
            </w:r>
          </w:p>
        </w:tc>
        <w:tc>
          <w:tcPr>
            <w:tcW w:w="2824" w:type="dxa"/>
            <w:tcBorders>
              <w:top w:val="nil"/>
              <w:left w:val="nil"/>
              <w:bottom w:val="single" w:sz="4" w:space="0" w:color="auto"/>
              <w:right w:val="single" w:sz="4" w:space="0" w:color="auto"/>
            </w:tcBorders>
            <w:shd w:val="clear" w:color="000000" w:fill="F2DCDB"/>
            <w:vAlign w:val="bottom"/>
            <w:hideMark/>
          </w:tcPr>
          <w:p w14:paraId="294140C0" w14:textId="77777777" w:rsidR="006036F0" w:rsidRPr="00BB662E" w:rsidRDefault="006036F0" w:rsidP="006036F0">
            <w:pPr>
              <w:spacing w:before="60" w:after="60"/>
              <w:ind w:firstLineChars="300" w:firstLine="720"/>
              <w:rPr>
                <w:rFonts w:ascii="Calibri" w:hAnsi="Calibri"/>
                <w:i/>
                <w:iCs/>
                <w:color w:val="000000"/>
                <w:lang w:eastAsia="en-GB"/>
              </w:rPr>
            </w:pPr>
            <w:r w:rsidRPr="00BB662E">
              <w:rPr>
                <w:rFonts w:ascii="Calibri" w:hAnsi="Calibri"/>
                <w:i/>
                <w:iCs/>
                <w:color w:val="000000"/>
                <w:lang w:eastAsia="en-GB"/>
              </w:rPr>
              <w:t>insert £</w:t>
            </w:r>
          </w:p>
        </w:tc>
      </w:tr>
      <w:tr w:rsidR="006036F0" w:rsidRPr="00BB662E" w14:paraId="14B36527" w14:textId="77777777" w:rsidTr="006036F0">
        <w:trPr>
          <w:trHeight w:val="315"/>
        </w:trPr>
        <w:tc>
          <w:tcPr>
            <w:tcW w:w="607" w:type="dxa"/>
            <w:tcBorders>
              <w:top w:val="nil"/>
              <w:left w:val="nil"/>
              <w:bottom w:val="nil"/>
              <w:right w:val="nil"/>
            </w:tcBorders>
            <w:shd w:val="clear" w:color="auto" w:fill="auto"/>
            <w:noWrap/>
            <w:hideMark/>
          </w:tcPr>
          <w:p w14:paraId="7260EEB0" w14:textId="77777777" w:rsidR="006036F0" w:rsidRPr="00BB662E" w:rsidRDefault="006036F0" w:rsidP="006036F0">
            <w:pPr>
              <w:spacing w:before="60" w:after="60"/>
              <w:jc w:val="center"/>
              <w:rPr>
                <w:rFonts w:ascii="Calibri" w:hAnsi="Calibri"/>
                <w:color w:val="000000"/>
                <w:lang w:eastAsia="en-GB"/>
              </w:rPr>
            </w:pPr>
          </w:p>
        </w:tc>
        <w:tc>
          <w:tcPr>
            <w:tcW w:w="6342" w:type="dxa"/>
            <w:tcBorders>
              <w:top w:val="nil"/>
              <w:left w:val="nil"/>
              <w:bottom w:val="nil"/>
              <w:right w:val="nil"/>
            </w:tcBorders>
            <w:shd w:val="clear" w:color="auto" w:fill="auto"/>
            <w:vAlign w:val="bottom"/>
            <w:hideMark/>
          </w:tcPr>
          <w:p w14:paraId="0BB1C1C3" w14:textId="77777777" w:rsidR="006036F0" w:rsidRPr="00BB662E" w:rsidRDefault="006036F0" w:rsidP="006036F0">
            <w:pPr>
              <w:spacing w:before="60" w:after="60"/>
              <w:rPr>
                <w:rFonts w:ascii="Calibri" w:hAnsi="Calibri"/>
                <w:b/>
                <w:bCs w:val="0"/>
                <w:color w:val="000000"/>
                <w:lang w:eastAsia="en-GB"/>
              </w:rPr>
            </w:pPr>
          </w:p>
        </w:tc>
        <w:tc>
          <w:tcPr>
            <w:tcW w:w="2915" w:type="dxa"/>
            <w:tcBorders>
              <w:top w:val="nil"/>
              <w:left w:val="nil"/>
              <w:bottom w:val="nil"/>
              <w:right w:val="nil"/>
            </w:tcBorders>
            <w:shd w:val="clear" w:color="auto" w:fill="auto"/>
            <w:vAlign w:val="bottom"/>
            <w:hideMark/>
          </w:tcPr>
          <w:p w14:paraId="3D631801" w14:textId="77777777" w:rsidR="006036F0" w:rsidRPr="00BB662E" w:rsidRDefault="006036F0" w:rsidP="006036F0">
            <w:pPr>
              <w:spacing w:before="60" w:after="60"/>
              <w:rPr>
                <w:rFonts w:ascii="Calibri" w:hAnsi="Calibri"/>
                <w:b/>
                <w:bCs w:val="0"/>
                <w:color w:val="000000"/>
                <w:lang w:eastAsia="en-GB"/>
              </w:rPr>
            </w:pPr>
          </w:p>
        </w:tc>
        <w:tc>
          <w:tcPr>
            <w:tcW w:w="519" w:type="dxa"/>
            <w:tcBorders>
              <w:top w:val="nil"/>
              <w:left w:val="nil"/>
              <w:bottom w:val="nil"/>
              <w:right w:val="nil"/>
            </w:tcBorders>
            <w:shd w:val="clear" w:color="auto" w:fill="auto"/>
            <w:vAlign w:val="bottom"/>
            <w:hideMark/>
          </w:tcPr>
          <w:p w14:paraId="1D9CA0C1" w14:textId="77777777" w:rsidR="006036F0" w:rsidRPr="00BB662E" w:rsidRDefault="006036F0" w:rsidP="006036F0">
            <w:pPr>
              <w:spacing w:before="60" w:after="60"/>
              <w:rPr>
                <w:rFonts w:ascii="Calibri" w:hAnsi="Calibri"/>
                <w:b/>
                <w:bCs w:val="0"/>
                <w:color w:val="000000"/>
                <w:lang w:eastAsia="en-GB"/>
              </w:rPr>
            </w:pPr>
          </w:p>
        </w:tc>
        <w:tc>
          <w:tcPr>
            <w:tcW w:w="1765" w:type="dxa"/>
            <w:tcBorders>
              <w:top w:val="nil"/>
              <w:left w:val="nil"/>
              <w:bottom w:val="nil"/>
              <w:right w:val="nil"/>
            </w:tcBorders>
            <w:shd w:val="clear" w:color="auto" w:fill="auto"/>
            <w:noWrap/>
            <w:vAlign w:val="bottom"/>
            <w:hideMark/>
          </w:tcPr>
          <w:p w14:paraId="1CCFBD0B" w14:textId="77777777" w:rsidR="006036F0" w:rsidRPr="00BB662E" w:rsidRDefault="006036F0" w:rsidP="006036F0">
            <w:pPr>
              <w:spacing w:before="60" w:after="60"/>
              <w:jc w:val="right"/>
              <w:rPr>
                <w:rFonts w:ascii="Calibri" w:hAnsi="Calibri"/>
                <w:b/>
                <w:bCs w:val="0"/>
                <w:color w:val="000000"/>
                <w:lang w:eastAsia="en-GB"/>
              </w:rPr>
            </w:pPr>
            <w:r w:rsidRPr="00BB662E">
              <w:rPr>
                <w:rFonts w:ascii="Calibri" w:hAnsi="Calibri"/>
                <w:b/>
                <w:color w:val="000000"/>
                <w:lang w:eastAsia="en-GB"/>
              </w:rPr>
              <w:t>TOTAL REQUESTED</w:t>
            </w:r>
          </w:p>
        </w:tc>
        <w:tc>
          <w:tcPr>
            <w:tcW w:w="2824" w:type="dxa"/>
            <w:tcBorders>
              <w:top w:val="nil"/>
              <w:left w:val="single" w:sz="8" w:space="0" w:color="auto"/>
              <w:bottom w:val="nil"/>
              <w:right w:val="single" w:sz="8" w:space="0" w:color="auto"/>
            </w:tcBorders>
            <w:shd w:val="clear" w:color="000000" w:fill="F2DCDB"/>
            <w:vAlign w:val="bottom"/>
            <w:hideMark/>
          </w:tcPr>
          <w:p w14:paraId="689419EC" w14:textId="77777777" w:rsidR="006036F0" w:rsidRPr="00BB662E" w:rsidRDefault="006036F0" w:rsidP="006036F0">
            <w:pPr>
              <w:spacing w:before="60" w:after="60"/>
              <w:ind w:firstLineChars="300" w:firstLine="723"/>
              <w:rPr>
                <w:rFonts w:ascii="Calibri" w:hAnsi="Calibri"/>
                <w:b/>
                <w:bCs w:val="0"/>
                <w:color w:val="000000"/>
                <w:lang w:eastAsia="en-GB"/>
              </w:rPr>
            </w:pPr>
            <w:r w:rsidRPr="00BB662E">
              <w:rPr>
                <w:rFonts w:ascii="Calibri" w:hAnsi="Calibri"/>
                <w:b/>
                <w:color w:val="000000"/>
                <w:lang w:eastAsia="en-GB"/>
              </w:rPr>
              <w:t>£0</w:t>
            </w:r>
          </w:p>
        </w:tc>
      </w:tr>
      <w:tr w:rsidR="006036F0" w:rsidRPr="00BB662E" w14:paraId="7E822542" w14:textId="77777777" w:rsidTr="006036F0">
        <w:trPr>
          <w:trHeight w:val="300"/>
        </w:trPr>
        <w:tc>
          <w:tcPr>
            <w:tcW w:w="607" w:type="dxa"/>
            <w:tcBorders>
              <w:top w:val="single" w:sz="8" w:space="0" w:color="auto"/>
              <w:left w:val="single" w:sz="8" w:space="0" w:color="auto"/>
              <w:bottom w:val="single" w:sz="4" w:space="0" w:color="auto"/>
              <w:right w:val="nil"/>
            </w:tcBorders>
            <w:shd w:val="clear" w:color="auto" w:fill="auto"/>
            <w:noWrap/>
            <w:hideMark/>
          </w:tcPr>
          <w:p w14:paraId="413C4AA8"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13</w:t>
            </w:r>
          </w:p>
        </w:tc>
        <w:tc>
          <w:tcPr>
            <w:tcW w:w="9257" w:type="dxa"/>
            <w:gridSpan w:val="2"/>
            <w:tcBorders>
              <w:top w:val="single" w:sz="8" w:space="0" w:color="auto"/>
              <w:left w:val="single" w:sz="4" w:space="0" w:color="auto"/>
              <w:bottom w:val="single" w:sz="4" w:space="0" w:color="auto"/>
              <w:right w:val="single" w:sz="4" w:space="0" w:color="000000"/>
            </w:tcBorders>
            <w:shd w:val="clear" w:color="000000" w:fill="00B0F0"/>
            <w:noWrap/>
            <w:vAlign w:val="bottom"/>
            <w:hideMark/>
          </w:tcPr>
          <w:p w14:paraId="4108DF6E"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Supporting information - required for ALL applications at the outset</w:t>
            </w:r>
          </w:p>
        </w:tc>
        <w:tc>
          <w:tcPr>
            <w:tcW w:w="519" w:type="dxa"/>
            <w:tcBorders>
              <w:top w:val="single" w:sz="8" w:space="0" w:color="auto"/>
              <w:left w:val="nil"/>
              <w:bottom w:val="nil"/>
              <w:right w:val="nil"/>
            </w:tcBorders>
            <w:shd w:val="clear" w:color="auto" w:fill="auto"/>
            <w:vAlign w:val="bottom"/>
            <w:hideMark/>
          </w:tcPr>
          <w:p w14:paraId="0C7054FB"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 </w:t>
            </w:r>
          </w:p>
        </w:tc>
        <w:tc>
          <w:tcPr>
            <w:tcW w:w="1765" w:type="dxa"/>
            <w:tcBorders>
              <w:top w:val="single" w:sz="8" w:space="0" w:color="auto"/>
              <w:left w:val="nil"/>
              <w:bottom w:val="nil"/>
              <w:right w:val="nil"/>
            </w:tcBorders>
            <w:shd w:val="clear" w:color="auto" w:fill="auto"/>
            <w:vAlign w:val="bottom"/>
            <w:hideMark/>
          </w:tcPr>
          <w:p w14:paraId="4C78E8BD"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 </w:t>
            </w:r>
          </w:p>
        </w:tc>
        <w:tc>
          <w:tcPr>
            <w:tcW w:w="2824" w:type="dxa"/>
            <w:tcBorders>
              <w:top w:val="single" w:sz="8" w:space="0" w:color="auto"/>
              <w:left w:val="nil"/>
              <w:bottom w:val="nil"/>
              <w:right w:val="single" w:sz="8" w:space="0" w:color="auto"/>
            </w:tcBorders>
            <w:shd w:val="clear" w:color="auto" w:fill="auto"/>
            <w:noWrap/>
            <w:vAlign w:val="bottom"/>
            <w:hideMark/>
          </w:tcPr>
          <w:p w14:paraId="55858668"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 </w:t>
            </w:r>
          </w:p>
        </w:tc>
      </w:tr>
      <w:tr w:rsidR="006036F0" w:rsidRPr="00BB662E" w14:paraId="6078AC87" w14:textId="77777777" w:rsidTr="006036F0">
        <w:trPr>
          <w:trHeight w:val="300"/>
        </w:trPr>
        <w:tc>
          <w:tcPr>
            <w:tcW w:w="607" w:type="dxa"/>
            <w:tcBorders>
              <w:top w:val="nil"/>
              <w:left w:val="single" w:sz="8" w:space="0" w:color="auto"/>
              <w:bottom w:val="single" w:sz="4" w:space="0" w:color="auto"/>
              <w:right w:val="nil"/>
            </w:tcBorders>
            <w:shd w:val="clear" w:color="auto" w:fill="auto"/>
            <w:noWrap/>
            <w:hideMark/>
          </w:tcPr>
          <w:p w14:paraId="61DC613E"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13.1</w:t>
            </w:r>
          </w:p>
        </w:tc>
        <w:tc>
          <w:tcPr>
            <w:tcW w:w="9257" w:type="dxa"/>
            <w:gridSpan w:val="2"/>
            <w:tcBorders>
              <w:top w:val="single" w:sz="4" w:space="0" w:color="auto"/>
              <w:left w:val="single" w:sz="4" w:space="0" w:color="auto"/>
              <w:bottom w:val="single" w:sz="4" w:space="0" w:color="auto"/>
              <w:right w:val="single" w:sz="4" w:space="0" w:color="000000"/>
            </w:tcBorders>
            <w:shd w:val="clear" w:color="000000" w:fill="00B0F0"/>
            <w:vAlign w:val="bottom"/>
            <w:hideMark/>
          </w:tcPr>
          <w:p w14:paraId="5E8B628F"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Practice Recovery Plan (with actions and milestones to track success)</w:t>
            </w:r>
          </w:p>
        </w:tc>
        <w:tc>
          <w:tcPr>
            <w:tcW w:w="519" w:type="dxa"/>
            <w:tcBorders>
              <w:top w:val="single" w:sz="4" w:space="0" w:color="auto"/>
              <w:left w:val="nil"/>
              <w:bottom w:val="single" w:sz="4" w:space="0" w:color="auto"/>
              <w:right w:val="single" w:sz="4" w:space="0" w:color="auto"/>
            </w:tcBorders>
            <w:shd w:val="clear" w:color="000000" w:fill="F2DCDB"/>
            <w:hideMark/>
          </w:tcPr>
          <w:p w14:paraId="2450FC64"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single" w:sz="4" w:space="0" w:color="auto"/>
              <w:left w:val="nil"/>
              <w:bottom w:val="single" w:sz="4" w:space="0" w:color="auto"/>
              <w:right w:val="single" w:sz="4" w:space="0" w:color="auto"/>
            </w:tcBorders>
            <w:shd w:val="clear" w:color="000000" w:fill="F2DCDB"/>
            <w:hideMark/>
          </w:tcPr>
          <w:p w14:paraId="51EF4625"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nil"/>
              <w:right w:val="single" w:sz="8" w:space="0" w:color="auto"/>
            </w:tcBorders>
            <w:shd w:val="clear" w:color="auto" w:fill="auto"/>
            <w:vAlign w:val="bottom"/>
            <w:hideMark/>
          </w:tcPr>
          <w:p w14:paraId="6362CDA9"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An MOU will detail agreed actions</w:t>
            </w:r>
          </w:p>
        </w:tc>
      </w:tr>
      <w:tr w:rsidR="006036F0" w:rsidRPr="00BB662E" w14:paraId="2EA71115" w14:textId="77777777" w:rsidTr="006036F0">
        <w:trPr>
          <w:trHeight w:val="300"/>
        </w:trPr>
        <w:tc>
          <w:tcPr>
            <w:tcW w:w="607" w:type="dxa"/>
            <w:tcBorders>
              <w:top w:val="nil"/>
              <w:left w:val="single" w:sz="8" w:space="0" w:color="auto"/>
              <w:bottom w:val="single" w:sz="4" w:space="0" w:color="auto"/>
              <w:right w:val="nil"/>
            </w:tcBorders>
            <w:shd w:val="clear" w:color="auto" w:fill="auto"/>
            <w:noWrap/>
            <w:hideMark/>
          </w:tcPr>
          <w:p w14:paraId="107F929C"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13.2</w:t>
            </w:r>
          </w:p>
        </w:tc>
        <w:tc>
          <w:tcPr>
            <w:tcW w:w="9257" w:type="dxa"/>
            <w:gridSpan w:val="2"/>
            <w:tcBorders>
              <w:top w:val="single" w:sz="4" w:space="0" w:color="auto"/>
              <w:left w:val="single" w:sz="4" w:space="0" w:color="auto"/>
              <w:bottom w:val="single" w:sz="4" w:space="0" w:color="auto"/>
              <w:right w:val="single" w:sz="4" w:space="0" w:color="000000"/>
            </w:tcBorders>
            <w:shd w:val="clear" w:color="000000" w:fill="00B0F0"/>
            <w:vAlign w:val="bottom"/>
            <w:hideMark/>
          </w:tcPr>
          <w:p w14:paraId="09281CCD"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Current AND proposed staff establishment - budgeted with salary &amp; WTE</w:t>
            </w:r>
          </w:p>
        </w:tc>
        <w:tc>
          <w:tcPr>
            <w:tcW w:w="519" w:type="dxa"/>
            <w:tcBorders>
              <w:top w:val="nil"/>
              <w:left w:val="nil"/>
              <w:bottom w:val="single" w:sz="4" w:space="0" w:color="auto"/>
              <w:right w:val="single" w:sz="4" w:space="0" w:color="auto"/>
            </w:tcBorders>
            <w:shd w:val="clear" w:color="000000" w:fill="F2DCDB"/>
            <w:hideMark/>
          </w:tcPr>
          <w:p w14:paraId="62E5ABCD"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1FFCD4AE"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nil"/>
              <w:right w:val="single" w:sz="8" w:space="0" w:color="auto"/>
            </w:tcBorders>
            <w:shd w:val="clear" w:color="auto" w:fill="auto"/>
            <w:noWrap/>
            <w:vAlign w:val="bottom"/>
            <w:hideMark/>
          </w:tcPr>
          <w:p w14:paraId="4177DEB1"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State drawings for partners</w:t>
            </w:r>
          </w:p>
        </w:tc>
      </w:tr>
      <w:tr w:rsidR="006036F0" w:rsidRPr="00BB662E" w14:paraId="64120989" w14:textId="77777777" w:rsidTr="006036F0">
        <w:trPr>
          <w:trHeight w:val="300"/>
        </w:trPr>
        <w:tc>
          <w:tcPr>
            <w:tcW w:w="607" w:type="dxa"/>
            <w:tcBorders>
              <w:top w:val="nil"/>
              <w:left w:val="single" w:sz="8" w:space="0" w:color="auto"/>
              <w:bottom w:val="single" w:sz="4" w:space="0" w:color="auto"/>
              <w:right w:val="nil"/>
            </w:tcBorders>
            <w:shd w:val="clear" w:color="auto" w:fill="auto"/>
            <w:noWrap/>
            <w:hideMark/>
          </w:tcPr>
          <w:p w14:paraId="5A4711DE"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13.3</w:t>
            </w:r>
          </w:p>
        </w:tc>
        <w:tc>
          <w:tcPr>
            <w:tcW w:w="6342" w:type="dxa"/>
            <w:tcBorders>
              <w:top w:val="nil"/>
              <w:left w:val="single" w:sz="4" w:space="0" w:color="auto"/>
              <w:bottom w:val="single" w:sz="4" w:space="0" w:color="auto"/>
              <w:right w:val="nil"/>
            </w:tcBorders>
            <w:shd w:val="clear" w:color="000000" w:fill="00B0F0"/>
            <w:noWrap/>
            <w:vAlign w:val="bottom"/>
            <w:hideMark/>
          </w:tcPr>
          <w:p w14:paraId="7385572C"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Evidence of recruitment attempts</w:t>
            </w:r>
          </w:p>
        </w:tc>
        <w:tc>
          <w:tcPr>
            <w:tcW w:w="2915" w:type="dxa"/>
            <w:tcBorders>
              <w:top w:val="nil"/>
              <w:left w:val="nil"/>
              <w:bottom w:val="single" w:sz="4" w:space="0" w:color="auto"/>
              <w:right w:val="single" w:sz="4" w:space="0" w:color="auto"/>
            </w:tcBorders>
            <w:shd w:val="clear" w:color="000000" w:fill="00B0F0"/>
            <w:vAlign w:val="bottom"/>
            <w:hideMark/>
          </w:tcPr>
          <w:p w14:paraId="5D6E37E8"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 </w:t>
            </w:r>
          </w:p>
        </w:tc>
        <w:tc>
          <w:tcPr>
            <w:tcW w:w="519" w:type="dxa"/>
            <w:tcBorders>
              <w:top w:val="nil"/>
              <w:left w:val="nil"/>
              <w:bottom w:val="single" w:sz="4" w:space="0" w:color="auto"/>
              <w:right w:val="single" w:sz="4" w:space="0" w:color="auto"/>
            </w:tcBorders>
            <w:shd w:val="clear" w:color="000000" w:fill="F2DCDB"/>
            <w:hideMark/>
          </w:tcPr>
          <w:p w14:paraId="6863A21C"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514EFC6A"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nil"/>
              <w:right w:val="single" w:sz="8" w:space="0" w:color="auto"/>
            </w:tcBorders>
            <w:shd w:val="clear" w:color="auto" w:fill="auto"/>
            <w:noWrap/>
            <w:vAlign w:val="bottom"/>
            <w:hideMark/>
          </w:tcPr>
          <w:p w14:paraId="5E364C17"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e.g. advertisement invoices</w:t>
            </w:r>
          </w:p>
        </w:tc>
      </w:tr>
      <w:tr w:rsidR="006036F0" w:rsidRPr="00BB662E" w14:paraId="6B4759DC" w14:textId="77777777" w:rsidTr="006036F0">
        <w:trPr>
          <w:trHeight w:val="300"/>
        </w:trPr>
        <w:tc>
          <w:tcPr>
            <w:tcW w:w="607" w:type="dxa"/>
            <w:tcBorders>
              <w:top w:val="nil"/>
              <w:left w:val="single" w:sz="8" w:space="0" w:color="auto"/>
              <w:bottom w:val="single" w:sz="4" w:space="0" w:color="auto"/>
              <w:right w:val="nil"/>
            </w:tcBorders>
            <w:shd w:val="clear" w:color="auto" w:fill="auto"/>
            <w:noWrap/>
            <w:hideMark/>
          </w:tcPr>
          <w:p w14:paraId="2304BE4A"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13.4</w:t>
            </w:r>
          </w:p>
        </w:tc>
        <w:tc>
          <w:tcPr>
            <w:tcW w:w="9257" w:type="dxa"/>
            <w:gridSpan w:val="2"/>
            <w:tcBorders>
              <w:top w:val="single" w:sz="4" w:space="0" w:color="auto"/>
              <w:left w:val="single" w:sz="4" w:space="0" w:color="auto"/>
              <w:bottom w:val="single" w:sz="4" w:space="0" w:color="auto"/>
              <w:right w:val="single" w:sz="4" w:space="0" w:color="000000"/>
            </w:tcBorders>
            <w:shd w:val="clear" w:color="000000" w:fill="00B0F0"/>
            <w:noWrap/>
            <w:vAlign w:val="bottom"/>
            <w:hideMark/>
          </w:tcPr>
          <w:p w14:paraId="0804D77B"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Annual income (all sources) &amp; expenditure analysis OR Practice Accounts</w:t>
            </w:r>
          </w:p>
        </w:tc>
        <w:tc>
          <w:tcPr>
            <w:tcW w:w="519" w:type="dxa"/>
            <w:tcBorders>
              <w:top w:val="nil"/>
              <w:left w:val="nil"/>
              <w:bottom w:val="single" w:sz="4" w:space="0" w:color="auto"/>
              <w:right w:val="single" w:sz="4" w:space="0" w:color="auto"/>
            </w:tcBorders>
            <w:shd w:val="clear" w:color="000000" w:fill="F2DCDB"/>
            <w:hideMark/>
          </w:tcPr>
          <w:p w14:paraId="3CCB3ECF"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5C355CB8"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nil"/>
              <w:right w:val="single" w:sz="8" w:space="0" w:color="auto"/>
            </w:tcBorders>
            <w:shd w:val="clear" w:color="auto" w:fill="auto"/>
            <w:noWrap/>
            <w:vAlign w:val="bottom"/>
            <w:hideMark/>
          </w:tcPr>
          <w:p w14:paraId="0632F0AA"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to validate sustainability issue</w:t>
            </w:r>
          </w:p>
        </w:tc>
      </w:tr>
      <w:tr w:rsidR="006036F0" w:rsidRPr="00BB662E" w14:paraId="7D3534C4" w14:textId="77777777" w:rsidTr="006036F0">
        <w:trPr>
          <w:trHeight w:val="315"/>
        </w:trPr>
        <w:tc>
          <w:tcPr>
            <w:tcW w:w="607" w:type="dxa"/>
            <w:tcBorders>
              <w:top w:val="nil"/>
              <w:left w:val="single" w:sz="8" w:space="0" w:color="auto"/>
              <w:bottom w:val="single" w:sz="8" w:space="0" w:color="auto"/>
              <w:right w:val="nil"/>
            </w:tcBorders>
            <w:shd w:val="clear" w:color="auto" w:fill="auto"/>
            <w:noWrap/>
            <w:hideMark/>
          </w:tcPr>
          <w:p w14:paraId="2B4F3E4A"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13.5</w:t>
            </w:r>
          </w:p>
        </w:tc>
        <w:tc>
          <w:tcPr>
            <w:tcW w:w="6342" w:type="dxa"/>
            <w:tcBorders>
              <w:top w:val="nil"/>
              <w:left w:val="single" w:sz="4" w:space="0" w:color="auto"/>
              <w:bottom w:val="single" w:sz="8" w:space="0" w:color="auto"/>
              <w:right w:val="nil"/>
            </w:tcBorders>
            <w:shd w:val="clear" w:color="000000" w:fill="00B0F0"/>
            <w:vAlign w:val="bottom"/>
            <w:hideMark/>
          </w:tcPr>
          <w:p w14:paraId="1A156FFB"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Cash flow forecast 12 months ahead</w:t>
            </w:r>
          </w:p>
        </w:tc>
        <w:tc>
          <w:tcPr>
            <w:tcW w:w="2915" w:type="dxa"/>
            <w:tcBorders>
              <w:top w:val="nil"/>
              <w:left w:val="nil"/>
              <w:bottom w:val="single" w:sz="8" w:space="0" w:color="auto"/>
              <w:right w:val="single" w:sz="4" w:space="0" w:color="auto"/>
            </w:tcBorders>
            <w:shd w:val="clear" w:color="000000" w:fill="00B0F0"/>
            <w:vAlign w:val="bottom"/>
            <w:hideMark/>
          </w:tcPr>
          <w:p w14:paraId="4375B485"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 </w:t>
            </w:r>
          </w:p>
        </w:tc>
        <w:tc>
          <w:tcPr>
            <w:tcW w:w="519" w:type="dxa"/>
            <w:tcBorders>
              <w:top w:val="nil"/>
              <w:left w:val="nil"/>
              <w:bottom w:val="single" w:sz="8" w:space="0" w:color="auto"/>
              <w:right w:val="single" w:sz="4" w:space="0" w:color="auto"/>
            </w:tcBorders>
            <w:shd w:val="clear" w:color="000000" w:fill="F2DCDB"/>
            <w:hideMark/>
          </w:tcPr>
          <w:p w14:paraId="159B1EF9"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8" w:space="0" w:color="auto"/>
              <w:right w:val="single" w:sz="4" w:space="0" w:color="auto"/>
            </w:tcBorders>
            <w:shd w:val="clear" w:color="000000" w:fill="F2DCDB"/>
            <w:hideMark/>
          </w:tcPr>
          <w:p w14:paraId="7AFFE2F6"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8" w:space="0" w:color="auto"/>
              <w:right w:val="single" w:sz="8" w:space="0" w:color="auto"/>
            </w:tcBorders>
            <w:shd w:val="clear" w:color="auto" w:fill="auto"/>
            <w:noWrap/>
            <w:vAlign w:val="bottom"/>
            <w:hideMark/>
          </w:tcPr>
          <w:p w14:paraId="45B2F386"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to understand predicted trend</w:t>
            </w:r>
          </w:p>
        </w:tc>
      </w:tr>
      <w:tr w:rsidR="006036F0" w:rsidRPr="00BB662E" w14:paraId="11AB0D40" w14:textId="77777777" w:rsidTr="006036F0">
        <w:trPr>
          <w:trHeight w:val="240"/>
        </w:trPr>
        <w:tc>
          <w:tcPr>
            <w:tcW w:w="607" w:type="dxa"/>
            <w:tcBorders>
              <w:top w:val="nil"/>
              <w:left w:val="nil"/>
              <w:bottom w:val="nil"/>
              <w:right w:val="nil"/>
            </w:tcBorders>
            <w:shd w:val="clear" w:color="auto" w:fill="auto"/>
            <w:noWrap/>
            <w:hideMark/>
          </w:tcPr>
          <w:p w14:paraId="7D364247" w14:textId="77777777" w:rsidR="006036F0" w:rsidRPr="00BB662E" w:rsidRDefault="006036F0" w:rsidP="006036F0">
            <w:pPr>
              <w:spacing w:before="60" w:after="60"/>
              <w:jc w:val="center"/>
              <w:rPr>
                <w:rFonts w:ascii="Calibri" w:hAnsi="Calibri"/>
                <w:color w:val="000000"/>
                <w:lang w:eastAsia="en-GB"/>
              </w:rPr>
            </w:pPr>
          </w:p>
        </w:tc>
        <w:tc>
          <w:tcPr>
            <w:tcW w:w="14365" w:type="dxa"/>
            <w:gridSpan w:val="5"/>
            <w:tcBorders>
              <w:top w:val="nil"/>
              <w:left w:val="nil"/>
              <w:bottom w:val="nil"/>
              <w:right w:val="nil"/>
            </w:tcBorders>
            <w:shd w:val="clear" w:color="auto" w:fill="auto"/>
            <w:vAlign w:val="bottom"/>
            <w:hideMark/>
          </w:tcPr>
          <w:p w14:paraId="2599A065" w14:textId="77777777" w:rsidR="006036F0" w:rsidRPr="00BB662E" w:rsidRDefault="006036F0" w:rsidP="006036F0">
            <w:pPr>
              <w:spacing w:before="60" w:after="60"/>
              <w:jc w:val="center"/>
              <w:rPr>
                <w:rFonts w:ascii="Calibri" w:hAnsi="Calibri"/>
                <w:b/>
                <w:bCs w:val="0"/>
                <w:color w:val="000000"/>
                <w:sz w:val="28"/>
                <w:szCs w:val="28"/>
                <w:lang w:eastAsia="en-GB"/>
              </w:rPr>
            </w:pPr>
          </w:p>
        </w:tc>
      </w:tr>
      <w:tr w:rsidR="006036F0" w:rsidRPr="00BB662E" w14:paraId="5649B03F" w14:textId="77777777" w:rsidTr="006036F0">
        <w:trPr>
          <w:trHeight w:val="315"/>
        </w:trPr>
        <w:tc>
          <w:tcPr>
            <w:tcW w:w="607" w:type="dxa"/>
            <w:tcBorders>
              <w:top w:val="single" w:sz="4" w:space="0" w:color="auto"/>
              <w:left w:val="single" w:sz="4" w:space="0" w:color="auto"/>
              <w:bottom w:val="single" w:sz="4" w:space="0" w:color="auto"/>
              <w:right w:val="single" w:sz="4" w:space="0" w:color="auto"/>
            </w:tcBorders>
            <w:shd w:val="clear" w:color="000000" w:fill="FFC000"/>
            <w:noWrap/>
            <w:hideMark/>
          </w:tcPr>
          <w:p w14:paraId="6A27F975" w14:textId="77777777" w:rsidR="006036F0" w:rsidRPr="00BB662E" w:rsidRDefault="006036F0" w:rsidP="006036F0">
            <w:pPr>
              <w:spacing w:before="60" w:after="60"/>
              <w:jc w:val="center"/>
              <w:rPr>
                <w:rFonts w:ascii="Calibri" w:hAnsi="Calibri"/>
                <w:b/>
                <w:bCs w:val="0"/>
                <w:color w:val="000000"/>
                <w:szCs w:val="24"/>
                <w:lang w:eastAsia="en-GB"/>
              </w:rPr>
            </w:pPr>
            <w:r w:rsidRPr="00BB662E">
              <w:rPr>
                <w:rFonts w:ascii="Calibri" w:hAnsi="Calibri"/>
                <w:b/>
                <w:color w:val="000000"/>
                <w:szCs w:val="24"/>
                <w:lang w:eastAsia="en-GB"/>
              </w:rPr>
              <w:t> </w:t>
            </w:r>
          </w:p>
        </w:tc>
        <w:tc>
          <w:tcPr>
            <w:tcW w:w="6342" w:type="dxa"/>
            <w:tcBorders>
              <w:top w:val="single" w:sz="4" w:space="0" w:color="auto"/>
              <w:left w:val="nil"/>
              <w:bottom w:val="single" w:sz="4" w:space="0" w:color="auto"/>
              <w:right w:val="single" w:sz="4" w:space="0" w:color="auto"/>
            </w:tcBorders>
            <w:shd w:val="clear" w:color="000000" w:fill="FFC000"/>
            <w:vAlign w:val="bottom"/>
            <w:hideMark/>
          </w:tcPr>
          <w:p w14:paraId="1A99F9F6"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Sustainability analysis</w:t>
            </w:r>
          </w:p>
        </w:tc>
        <w:tc>
          <w:tcPr>
            <w:tcW w:w="2915" w:type="dxa"/>
            <w:tcBorders>
              <w:top w:val="single" w:sz="4" w:space="0" w:color="auto"/>
              <w:left w:val="nil"/>
              <w:bottom w:val="single" w:sz="4" w:space="0" w:color="auto"/>
              <w:right w:val="single" w:sz="4" w:space="0" w:color="auto"/>
            </w:tcBorders>
            <w:shd w:val="clear" w:color="000000" w:fill="FFC000"/>
            <w:vAlign w:val="bottom"/>
            <w:hideMark/>
          </w:tcPr>
          <w:p w14:paraId="201720E5"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Support Rationale</w:t>
            </w:r>
          </w:p>
        </w:tc>
        <w:tc>
          <w:tcPr>
            <w:tcW w:w="519" w:type="dxa"/>
            <w:tcBorders>
              <w:top w:val="single" w:sz="4" w:space="0" w:color="auto"/>
              <w:left w:val="nil"/>
              <w:bottom w:val="single" w:sz="4" w:space="0" w:color="auto"/>
              <w:right w:val="single" w:sz="4" w:space="0" w:color="auto"/>
            </w:tcBorders>
            <w:shd w:val="clear" w:color="000000" w:fill="FFC000"/>
            <w:vAlign w:val="bottom"/>
            <w:hideMark/>
          </w:tcPr>
          <w:p w14:paraId="3255B275" w14:textId="77777777" w:rsidR="006036F0" w:rsidRPr="00BB662E" w:rsidRDefault="006036F0" w:rsidP="006036F0">
            <w:pPr>
              <w:spacing w:before="60" w:after="60"/>
              <w:jc w:val="center"/>
              <w:rPr>
                <w:rFonts w:ascii="Calibri" w:hAnsi="Calibri"/>
                <w:b/>
                <w:bCs w:val="0"/>
                <w:color w:val="000000"/>
                <w:lang w:eastAsia="en-GB"/>
              </w:rPr>
            </w:pPr>
            <w:r w:rsidRPr="00BB662E">
              <w:rPr>
                <w:rFonts w:ascii="Calibri" w:hAnsi="Calibri"/>
                <w:b/>
                <w:color w:val="000000"/>
                <w:lang w:eastAsia="en-GB"/>
              </w:rPr>
              <w:t> </w:t>
            </w:r>
          </w:p>
        </w:tc>
        <w:tc>
          <w:tcPr>
            <w:tcW w:w="1765" w:type="dxa"/>
            <w:tcBorders>
              <w:top w:val="single" w:sz="4" w:space="0" w:color="auto"/>
              <w:left w:val="nil"/>
              <w:bottom w:val="single" w:sz="4" w:space="0" w:color="auto"/>
              <w:right w:val="single" w:sz="4" w:space="0" w:color="auto"/>
            </w:tcBorders>
            <w:shd w:val="clear" w:color="000000" w:fill="FFC000"/>
            <w:vAlign w:val="bottom"/>
            <w:hideMark/>
          </w:tcPr>
          <w:p w14:paraId="1CABEE00" w14:textId="77777777" w:rsidR="006036F0" w:rsidRPr="00BB662E" w:rsidRDefault="006036F0" w:rsidP="006036F0">
            <w:pPr>
              <w:spacing w:before="60" w:after="60"/>
              <w:jc w:val="center"/>
              <w:rPr>
                <w:rFonts w:ascii="Calibri" w:hAnsi="Calibri"/>
                <w:b/>
                <w:bCs w:val="0"/>
                <w:color w:val="000000"/>
                <w:lang w:eastAsia="en-GB"/>
              </w:rPr>
            </w:pPr>
            <w:r w:rsidRPr="00BB662E">
              <w:rPr>
                <w:rFonts w:ascii="Calibri" w:hAnsi="Calibri"/>
                <w:b/>
                <w:color w:val="000000"/>
                <w:lang w:eastAsia="en-GB"/>
              </w:rPr>
              <w:t> </w:t>
            </w:r>
          </w:p>
        </w:tc>
        <w:tc>
          <w:tcPr>
            <w:tcW w:w="2824" w:type="dxa"/>
            <w:tcBorders>
              <w:top w:val="single" w:sz="4" w:space="0" w:color="auto"/>
              <w:left w:val="nil"/>
              <w:bottom w:val="single" w:sz="4" w:space="0" w:color="auto"/>
              <w:right w:val="single" w:sz="4" w:space="0" w:color="auto"/>
            </w:tcBorders>
            <w:shd w:val="clear" w:color="000000" w:fill="FFC000"/>
            <w:noWrap/>
            <w:vAlign w:val="bottom"/>
            <w:hideMark/>
          </w:tcPr>
          <w:p w14:paraId="0AD63205" w14:textId="77777777" w:rsidR="006036F0" w:rsidRPr="00BB662E" w:rsidRDefault="006036F0" w:rsidP="006036F0">
            <w:pPr>
              <w:spacing w:before="60" w:after="60"/>
              <w:jc w:val="center"/>
              <w:rPr>
                <w:rFonts w:ascii="Calibri" w:hAnsi="Calibri"/>
                <w:b/>
                <w:bCs w:val="0"/>
                <w:color w:val="000000"/>
                <w:lang w:eastAsia="en-GB"/>
              </w:rPr>
            </w:pPr>
            <w:r w:rsidRPr="00BB662E">
              <w:rPr>
                <w:rFonts w:ascii="Calibri" w:hAnsi="Calibri"/>
                <w:b/>
                <w:color w:val="000000"/>
                <w:lang w:eastAsia="en-GB"/>
              </w:rPr>
              <w:t>Practice Response</w:t>
            </w:r>
          </w:p>
        </w:tc>
      </w:tr>
      <w:tr w:rsidR="006036F0" w:rsidRPr="00BB662E" w14:paraId="7C821F1A" w14:textId="77777777" w:rsidTr="006036F0">
        <w:trPr>
          <w:trHeight w:val="375"/>
        </w:trPr>
        <w:tc>
          <w:tcPr>
            <w:tcW w:w="607" w:type="dxa"/>
            <w:vMerge w:val="restart"/>
            <w:tcBorders>
              <w:top w:val="nil"/>
              <w:left w:val="single" w:sz="4" w:space="0" w:color="auto"/>
              <w:bottom w:val="single" w:sz="4" w:space="0" w:color="000000"/>
              <w:right w:val="single" w:sz="4" w:space="0" w:color="auto"/>
            </w:tcBorders>
            <w:shd w:val="clear" w:color="auto" w:fill="auto"/>
            <w:noWrap/>
            <w:hideMark/>
          </w:tcPr>
          <w:p w14:paraId="63FB5732"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14</w:t>
            </w:r>
          </w:p>
        </w:tc>
        <w:tc>
          <w:tcPr>
            <w:tcW w:w="6342" w:type="dxa"/>
            <w:vMerge w:val="restart"/>
            <w:tcBorders>
              <w:top w:val="nil"/>
              <w:left w:val="single" w:sz="4" w:space="0" w:color="auto"/>
              <w:bottom w:val="single" w:sz="4" w:space="0" w:color="000000"/>
              <w:right w:val="single" w:sz="4" w:space="0" w:color="auto"/>
            </w:tcBorders>
            <w:shd w:val="clear" w:color="000000" w:fill="D9D9D9"/>
            <w:hideMark/>
          </w:tcPr>
          <w:p w14:paraId="3C4D1219"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Negative impact of Carr-Hill formula? (</w:t>
            </w:r>
            <w:r w:rsidRPr="00BB662E">
              <w:rPr>
                <w:rFonts w:ascii="Calibri" w:hAnsi="Calibri"/>
                <w:b/>
                <w:color w:val="000000"/>
                <w:lang w:eastAsia="en-GB"/>
              </w:rPr>
              <w:t>weighted list vs raw list)</w:t>
            </w:r>
          </w:p>
        </w:tc>
        <w:tc>
          <w:tcPr>
            <w:tcW w:w="2915" w:type="dxa"/>
            <w:vMerge w:val="restart"/>
            <w:tcBorders>
              <w:top w:val="nil"/>
              <w:left w:val="single" w:sz="4" w:space="0" w:color="auto"/>
              <w:bottom w:val="single" w:sz="4" w:space="0" w:color="000000"/>
              <w:right w:val="single" w:sz="4" w:space="0" w:color="auto"/>
            </w:tcBorders>
            <w:shd w:val="clear" w:color="auto" w:fill="auto"/>
            <w:vAlign w:val="bottom"/>
            <w:hideMark/>
          </w:tcPr>
          <w:p w14:paraId="73BC295D" w14:textId="77777777" w:rsidR="006036F0" w:rsidRPr="00BB662E" w:rsidRDefault="006036F0" w:rsidP="006036F0">
            <w:pPr>
              <w:spacing w:before="60" w:after="60"/>
              <w:rPr>
                <w:rFonts w:ascii="Calibri" w:hAnsi="Calibri"/>
                <w:color w:val="000000"/>
                <w:sz w:val="20"/>
                <w:szCs w:val="20"/>
                <w:lang w:eastAsia="en-GB"/>
              </w:rPr>
            </w:pPr>
            <w:r w:rsidRPr="00BB662E">
              <w:rPr>
                <w:rFonts w:ascii="Calibri" w:hAnsi="Calibri"/>
                <w:color w:val="000000"/>
                <w:sz w:val="20"/>
                <w:szCs w:val="20"/>
                <w:lang w:eastAsia="en-GB"/>
              </w:rPr>
              <w:t>Atypical population: adverse impact of Carr-Hill</w:t>
            </w:r>
          </w:p>
        </w:tc>
        <w:tc>
          <w:tcPr>
            <w:tcW w:w="519" w:type="dxa"/>
            <w:vMerge w:val="restart"/>
            <w:tcBorders>
              <w:top w:val="nil"/>
              <w:left w:val="single" w:sz="4" w:space="0" w:color="auto"/>
              <w:bottom w:val="single" w:sz="4" w:space="0" w:color="000000"/>
              <w:right w:val="single" w:sz="4" w:space="0" w:color="auto"/>
            </w:tcBorders>
            <w:shd w:val="clear" w:color="000000" w:fill="F2DCDB"/>
            <w:hideMark/>
          </w:tcPr>
          <w:p w14:paraId="148BBE4A"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vMerge w:val="restart"/>
            <w:tcBorders>
              <w:top w:val="nil"/>
              <w:left w:val="single" w:sz="4" w:space="0" w:color="auto"/>
              <w:bottom w:val="single" w:sz="4" w:space="0" w:color="000000"/>
              <w:right w:val="single" w:sz="4" w:space="0" w:color="auto"/>
            </w:tcBorders>
            <w:shd w:val="clear" w:color="000000" w:fill="F2DCDB"/>
            <w:hideMark/>
          </w:tcPr>
          <w:p w14:paraId="500FC6C4"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vMerge w:val="restart"/>
            <w:tcBorders>
              <w:top w:val="nil"/>
              <w:left w:val="single" w:sz="4" w:space="0" w:color="auto"/>
              <w:bottom w:val="single" w:sz="4" w:space="0" w:color="000000"/>
              <w:right w:val="single" w:sz="4" w:space="0" w:color="auto"/>
            </w:tcBorders>
            <w:shd w:val="clear" w:color="000000" w:fill="F2DCDB"/>
            <w:vAlign w:val="bottom"/>
            <w:hideMark/>
          </w:tcPr>
          <w:p w14:paraId="08493BA7" w14:textId="77777777" w:rsidR="006036F0" w:rsidRPr="00BB662E" w:rsidRDefault="006036F0" w:rsidP="006036F0">
            <w:pPr>
              <w:spacing w:before="60" w:after="60"/>
              <w:rPr>
                <w:rFonts w:ascii="Calibri" w:hAnsi="Calibri"/>
                <w:i/>
                <w:iCs/>
                <w:color w:val="000000"/>
                <w:lang w:eastAsia="en-GB"/>
              </w:rPr>
            </w:pPr>
            <w:r w:rsidRPr="00BB662E">
              <w:rPr>
                <w:rFonts w:ascii="Calibri" w:hAnsi="Calibri"/>
                <w:i/>
                <w:iCs/>
                <w:color w:val="000000"/>
                <w:lang w:eastAsia="en-GB"/>
              </w:rPr>
              <w:t>insert any comments</w:t>
            </w:r>
          </w:p>
        </w:tc>
      </w:tr>
      <w:tr w:rsidR="006036F0" w:rsidRPr="00BB662E" w14:paraId="709B74BE" w14:textId="77777777" w:rsidTr="00A553BA">
        <w:trPr>
          <w:trHeight w:val="458"/>
        </w:trPr>
        <w:tc>
          <w:tcPr>
            <w:tcW w:w="607" w:type="dxa"/>
            <w:vMerge/>
            <w:tcBorders>
              <w:top w:val="nil"/>
              <w:left w:val="single" w:sz="4" w:space="0" w:color="auto"/>
              <w:bottom w:val="single" w:sz="4" w:space="0" w:color="000000"/>
              <w:right w:val="single" w:sz="4" w:space="0" w:color="auto"/>
            </w:tcBorders>
            <w:vAlign w:val="center"/>
            <w:hideMark/>
          </w:tcPr>
          <w:p w14:paraId="26F01372" w14:textId="77777777" w:rsidR="006036F0" w:rsidRPr="00BB662E" w:rsidRDefault="006036F0" w:rsidP="006036F0">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6326BE93" w14:textId="77777777" w:rsidR="006036F0" w:rsidRPr="00BB662E" w:rsidRDefault="006036F0" w:rsidP="006036F0">
            <w:pPr>
              <w:spacing w:before="60" w:after="60"/>
              <w:rPr>
                <w:rFonts w:ascii="Calibri" w:hAnsi="Calibri"/>
                <w:color w:val="000000"/>
                <w:lang w:eastAsia="en-GB"/>
              </w:rPr>
            </w:pPr>
          </w:p>
        </w:tc>
        <w:tc>
          <w:tcPr>
            <w:tcW w:w="2915" w:type="dxa"/>
            <w:vMerge/>
            <w:tcBorders>
              <w:top w:val="nil"/>
              <w:left w:val="single" w:sz="4" w:space="0" w:color="auto"/>
              <w:bottom w:val="single" w:sz="4" w:space="0" w:color="000000"/>
              <w:right w:val="single" w:sz="4" w:space="0" w:color="auto"/>
            </w:tcBorders>
            <w:vAlign w:val="center"/>
            <w:hideMark/>
          </w:tcPr>
          <w:p w14:paraId="6069F627" w14:textId="77777777" w:rsidR="006036F0" w:rsidRPr="00BB662E" w:rsidRDefault="006036F0" w:rsidP="006036F0">
            <w:pPr>
              <w:spacing w:before="60" w:after="60"/>
              <w:rPr>
                <w:rFonts w:ascii="Calibri" w:hAnsi="Calibri"/>
                <w:color w:val="000000"/>
                <w:sz w:val="20"/>
                <w:szCs w:val="20"/>
                <w:lang w:eastAsia="en-GB"/>
              </w:rPr>
            </w:pPr>
          </w:p>
        </w:tc>
        <w:tc>
          <w:tcPr>
            <w:tcW w:w="519" w:type="dxa"/>
            <w:vMerge/>
            <w:tcBorders>
              <w:top w:val="nil"/>
              <w:left w:val="single" w:sz="4" w:space="0" w:color="auto"/>
              <w:bottom w:val="single" w:sz="4" w:space="0" w:color="000000"/>
              <w:right w:val="single" w:sz="4" w:space="0" w:color="auto"/>
            </w:tcBorders>
            <w:vAlign w:val="center"/>
            <w:hideMark/>
          </w:tcPr>
          <w:p w14:paraId="5C150D75" w14:textId="77777777" w:rsidR="006036F0" w:rsidRPr="00BB662E" w:rsidRDefault="006036F0" w:rsidP="006036F0">
            <w:pPr>
              <w:spacing w:before="60" w:after="60"/>
              <w:rPr>
                <w:rFonts w:ascii="Calibri" w:hAnsi="Calibri"/>
                <w:color w:val="000000"/>
                <w:lang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2EB232CC" w14:textId="77777777" w:rsidR="006036F0" w:rsidRPr="00BB662E" w:rsidRDefault="006036F0" w:rsidP="006036F0">
            <w:pPr>
              <w:spacing w:before="60" w:after="60"/>
              <w:rPr>
                <w:rFonts w:ascii="Calibri" w:hAnsi="Calibri"/>
                <w:color w:val="000000"/>
                <w:lang w:eastAsia="en-GB"/>
              </w:rPr>
            </w:pPr>
          </w:p>
        </w:tc>
        <w:tc>
          <w:tcPr>
            <w:tcW w:w="2824" w:type="dxa"/>
            <w:vMerge/>
            <w:tcBorders>
              <w:top w:val="nil"/>
              <w:left w:val="single" w:sz="4" w:space="0" w:color="auto"/>
              <w:bottom w:val="single" w:sz="4" w:space="0" w:color="000000"/>
              <w:right w:val="single" w:sz="4" w:space="0" w:color="auto"/>
            </w:tcBorders>
            <w:vAlign w:val="center"/>
            <w:hideMark/>
          </w:tcPr>
          <w:p w14:paraId="0553882A" w14:textId="77777777" w:rsidR="006036F0" w:rsidRPr="00BB662E" w:rsidRDefault="006036F0" w:rsidP="006036F0">
            <w:pPr>
              <w:spacing w:before="60" w:after="60"/>
              <w:rPr>
                <w:rFonts w:ascii="Calibri" w:hAnsi="Calibri"/>
                <w:i/>
                <w:iCs/>
                <w:color w:val="000000"/>
                <w:lang w:eastAsia="en-GB"/>
              </w:rPr>
            </w:pPr>
          </w:p>
        </w:tc>
      </w:tr>
      <w:tr w:rsidR="006036F0" w:rsidRPr="00BB662E" w14:paraId="223D325B" w14:textId="77777777" w:rsidTr="006036F0">
        <w:trPr>
          <w:trHeight w:val="1290"/>
        </w:trPr>
        <w:tc>
          <w:tcPr>
            <w:tcW w:w="607" w:type="dxa"/>
            <w:tcBorders>
              <w:top w:val="nil"/>
              <w:left w:val="single" w:sz="4" w:space="0" w:color="auto"/>
              <w:bottom w:val="single" w:sz="8" w:space="0" w:color="auto"/>
              <w:right w:val="single" w:sz="4" w:space="0" w:color="auto"/>
            </w:tcBorders>
            <w:shd w:val="clear" w:color="auto" w:fill="auto"/>
            <w:noWrap/>
            <w:hideMark/>
          </w:tcPr>
          <w:p w14:paraId="16DA93CA"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15</w:t>
            </w:r>
          </w:p>
        </w:tc>
        <w:tc>
          <w:tcPr>
            <w:tcW w:w="6342" w:type="dxa"/>
            <w:tcBorders>
              <w:top w:val="nil"/>
              <w:left w:val="nil"/>
              <w:bottom w:val="single" w:sz="8" w:space="0" w:color="auto"/>
              <w:right w:val="single" w:sz="4" w:space="0" w:color="auto"/>
            </w:tcBorders>
            <w:shd w:val="clear" w:color="000000" w:fill="D9D9D9"/>
            <w:hideMark/>
          </w:tcPr>
          <w:p w14:paraId="5A645C1C"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Does the practice have an</w:t>
            </w:r>
            <w:r w:rsidRPr="00BB662E">
              <w:rPr>
                <w:rFonts w:ascii="Calibri" w:hAnsi="Calibri"/>
                <w:b/>
                <w:color w:val="000000"/>
                <w:lang w:eastAsia="en-GB"/>
              </w:rPr>
              <w:t xml:space="preserve"> 'atypical'</w:t>
            </w:r>
            <w:r w:rsidRPr="00BB662E">
              <w:rPr>
                <w:rFonts w:ascii="Calibri" w:hAnsi="Calibri"/>
                <w:color w:val="000000"/>
                <w:lang w:eastAsia="en-GB"/>
              </w:rPr>
              <w:t xml:space="preserve"> population e.g. university, rural or new town which is not adequately reflected in the contract payment? </w:t>
            </w:r>
            <w:r w:rsidRPr="00BB662E">
              <w:rPr>
                <w:rFonts w:ascii="Calibri" w:hAnsi="Calibri"/>
                <w:color w:val="000000"/>
                <w:lang w:eastAsia="en-GB"/>
              </w:rPr>
              <w:br/>
              <w:t>Please explain:</w:t>
            </w:r>
          </w:p>
        </w:tc>
        <w:tc>
          <w:tcPr>
            <w:tcW w:w="2915" w:type="dxa"/>
            <w:tcBorders>
              <w:top w:val="nil"/>
              <w:left w:val="nil"/>
              <w:bottom w:val="single" w:sz="8" w:space="0" w:color="auto"/>
              <w:right w:val="single" w:sz="4" w:space="0" w:color="auto"/>
            </w:tcBorders>
            <w:shd w:val="clear" w:color="auto" w:fill="auto"/>
            <w:hideMark/>
          </w:tcPr>
          <w:p w14:paraId="572E930F" w14:textId="77777777" w:rsidR="006036F0" w:rsidRPr="00BB662E" w:rsidRDefault="006036F0" w:rsidP="006036F0">
            <w:pPr>
              <w:spacing w:before="60" w:after="60"/>
              <w:rPr>
                <w:rFonts w:ascii="Calibri" w:hAnsi="Calibri"/>
                <w:color w:val="000000"/>
                <w:sz w:val="20"/>
                <w:szCs w:val="20"/>
                <w:lang w:eastAsia="en-GB"/>
              </w:rPr>
            </w:pPr>
            <w:r w:rsidRPr="00BB662E">
              <w:rPr>
                <w:rFonts w:ascii="Calibri" w:hAnsi="Calibri"/>
                <w:color w:val="000000"/>
                <w:sz w:val="20"/>
                <w:szCs w:val="20"/>
                <w:lang w:eastAsia="en-GB"/>
              </w:rPr>
              <w:t>'Atypical' criteria:</w:t>
            </w:r>
            <w:r w:rsidRPr="00BB662E">
              <w:rPr>
                <w:rFonts w:ascii="Calibri" w:hAnsi="Calibri"/>
                <w:color w:val="000000"/>
                <w:sz w:val="20"/>
                <w:szCs w:val="20"/>
                <w:lang w:eastAsia="en-GB"/>
              </w:rPr>
              <w:br/>
              <w:t>Must evidence that local demographics dictate workload is not adequately reflected in Carr-Hill</w:t>
            </w:r>
          </w:p>
        </w:tc>
        <w:tc>
          <w:tcPr>
            <w:tcW w:w="519" w:type="dxa"/>
            <w:tcBorders>
              <w:top w:val="nil"/>
              <w:left w:val="nil"/>
              <w:bottom w:val="single" w:sz="8" w:space="0" w:color="auto"/>
              <w:right w:val="single" w:sz="4" w:space="0" w:color="auto"/>
            </w:tcBorders>
            <w:shd w:val="clear" w:color="000000" w:fill="F2DCDB"/>
            <w:hideMark/>
          </w:tcPr>
          <w:p w14:paraId="30CC8E14"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8" w:space="0" w:color="auto"/>
              <w:right w:val="single" w:sz="4" w:space="0" w:color="auto"/>
            </w:tcBorders>
            <w:shd w:val="clear" w:color="000000" w:fill="F2DCDB"/>
            <w:hideMark/>
          </w:tcPr>
          <w:p w14:paraId="327350C3"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8" w:space="0" w:color="auto"/>
              <w:right w:val="single" w:sz="4" w:space="0" w:color="auto"/>
            </w:tcBorders>
            <w:shd w:val="clear" w:color="000000" w:fill="F2DCDB"/>
            <w:hideMark/>
          </w:tcPr>
          <w:p w14:paraId="0CEE04DC"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Details required:</w:t>
            </w:r>
          </w:p>
        </w:tc>
      </w:tr>
      <w:tr w:rsidR="006036F0" w:rsidRPr="00BB662E" w14:paraId="3D222052" w14:textId="77777777" w:rsidTr="006036F0">
        <w:trPr>
          <w:trHeight w:val="900"/>
        </w:trPr>
        <w:tc>
          <w:tcPr>
            <w:tcW w:w="607" w:type="dxa"/>
            <w:tcBorders>
              <w:top w:val="single" w:sz="4" w:space="0" w:color="auto"/>
              <w:left w:val="single" w:sz="4" w:space="0" w:color="auto"/>
              <w:bottom w:val="single" w:sz="4" w:space="0" w:color="auto"/>
              <w:right w:val="single" w:sz="4" w:space="0" w:color="auto"/>
            </w:tcBorders>
            <w:shd w:val="clear" w:color="auto" w:fill="auto"/>
            <w:noWrap/>
            <w:hideMark/>
          </w:tcPr>
          <w:p w14:paraId="20C19D02"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16</w:t>
            </w:r>
          </w:p>
        </w:tc>
        <w:tc>
          <w:tcPr>
            <w:tcW w:w="6342" w:type="dxa"/>
            <w:tcBorders>
              <w:top w:val="single" w:sz="4" w:space="0" w:color="auto"/>
              <w:left w:val="nil"/>
              <w:bottom w:val="single" w:sz="4" w:space="0" w:color="auto"/>
              <w:right w:val="single" w:sz="4" w:space="0" w:color="auto"/>
            </w:tcBorders>
            <w:shd w:val="clear" w:color="000000" w:fill="D9D9D9"/>
            <w:hideMark/>
          </w:tcPr>
          <w:p w14:paraId="3EB1284C" w14:textId="1746FBF4"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 xml:space="preserve">Are </w:t>
            </w:r>
            <w:r w:rsidRPr="00BB662E">
              <w:rPr>
                <w:rFonts w:ascii="Calibri" w:hAnsi="Calibri"/>
                <w:b/>
                <w:color w:val="000000"/>
                <w:lang w:eastAsia="en-GB"/>
              </w:rPr>
              <w:t>practice expenses greater than 65%</w:t>
            </w:r>
            <w:r w:rsidRPr="00BB662E">
              <w:rPr>
                <w:rFonts w:ascii="Calibri" w:hAnsi="Calibri"/>
                <w:color w:val="000000"/>
                <w:lang w:eastAsia="en-GB"/>
              </w:rPr>
              <w:t xml:space="preserve"> of primary medical services (including </w:t>
            </w:r>
            <w:r w:rsidR="00345FFE">
              <w:rPr>
                <w:rFonts w:ascii="Calibri" w:hAnsi="Calibri"/>
                <w:color w:val="000000"/>
                <w:lang w:eastAsia="en-GB"/>
              </w:rPr>
              <w:t xml:space="preserve">all </w:t>
            </w:r>
            <w:r w:rsidRPr="00BB662E">
              <w:rPr>
                <w:rFonts w:ascii="Calibri" w:hAnsi="Calibri"/>
                <w:color w:val="000000"/>
                <w:lang w:eastAsia="en-GB"/>
              </w:rPr>
              <w:t>Local Authority/</w:t>
            </w:r>
            <w:r w:rsidR="00B83042">
              <w:rPr>
                <w:rFonts w:ascii="Calibri" w:hAnsi="Calibri"/>
                <w:color w:val="000000"/>
                <w:lang w:eastAsia="en-GB"/>
              </w:rPr>
              <w:t>CCG/ICB</w:t>
            </w:r>
            <w:r w:rsidRPr="00BB662E">
              <w:rPr>
                <w:rFonts w:ascii="Calibri" w:hAnsi="Calibri"/>
                <w:color w:val="000000"/>
                <w:lang w:eastAsia="en-GB"/>
              </w:rPr>
              <w:t xml:space="preserve"> and NHS England) income?</w:t>
            </w:r>
          </w:p>
        </w:tc>
        <w:tc>
          <w:tcPr>
            <w:tcW w:w="2915" w:type="dxa"/>
            <w:tcBorders>
              <w:top w:val="single" w:sz="4" w:space="0" w:color="auto"/>
              <w:left w:val="nil"/>
              <w:bottom w:val="single" w:sz="4" w:space="0" w:color="auto"/>
              <w:right w:val="single" w:sz="4" w:space="0" w:color="auto"/>
            </w:tcBorders>
            <w:shd w:val="clear" w:color="auto" w:fill="auto"/>
            <w:vAlign w:val="bottom"/>
            <w:hideMark/>
          </w:tcPr>
          <w:p w14:paraId="2D63CBE5" w14:textId="734C77A3" w:rsidR="006036F0" w:rsidRPr="00BB662E" w:rsidRDefault="006036F0" w:rsidP="006036F0">
            <w:pPr>
              <w:spacing w:before="60" w:after="60"/>
              <w:rPr>
                <w:rFonts w:ascii="Calibri" w:hAnsi="Calibri"/>
                <w:color w:val="000000"/>
                <w:sz w:val="20"/>
                <w:szCs w:val="20"/>
                <w:lang w:eastAsia="en-GB"/>
              </w:rPr>
            </w:pPr>
            <w:r w:rsidRPr="00BB662E">
              <w:rPr>
                <w:rFonts w:ascii="Calibri" w:hAnsi="Calibri"/>
                <w:color w:val="000000"/>
                <w:sz w:val="20"/>
                <w:szCs w:val="20"/>
                <w:lang w:eastAsia="en-GB"/>
              </w:rPr>
              <w:t xml:space="preserve">South East average ratio of </w:t>
            </w:r>
            <w:r w:rsidR="003A5B58" w:rsidRPr="00BB662E">
              <w:rPr>
                <w:rFonts w:ascii="Calibri" w:hAnsi="Calibri"/>
                <w:color w:val="000000"/>
                <w:sz w:val="20"/>
                <w:szCs w:val="20"/>
                <w:lang w:eastAsia="en-GB"/>
              </w:rPr>
              <w:t>expenses</w:t>
            </w:r>
            <w:r w:rsidR="003A5B58">
              <w:rPr>
                <w:rFonts w:ascii="Calibri" w:hAnsi="Calibri"/>
                <w:color w:val="000000"/>
                <w:sz w:val="20"/>
                <w:szCs w:val="20"/>
                <w:lang w:eastAsia="en-GB"/>
              </w:rPr>
              <w:t>:</w:t>
            </w:r>
            <w:r>
              <w:rPr>
                <w:rFonts w:ascii="Calibri" w:hAnsi="Calibri"/>
                <w:color w:val="000000"/>
                <w:sz w:val="20"/>
                <w:szCs w:val="20"/>
                <w:lang w:eastAsia="en-GB"/>
              </w:rPr>
              <w:t xml:space="preserve"> </w:t>
            </w:r>
            <w:r w:rsidRPr="00BB662E">
              <w:rPr>
                <w:rFonts w:ascii="Calibri" w:hAnsi="Calibri"/>
                <w:color w:val="000000"/>
                <w:sz w:val="20"/>
                <w:szCs w:val="20"/>
                <w:lang w:eastAsia="en-GB"/>
              </w:rPr>
              <w:t>earnings is 65:35</w:t>
            </w:r>
          </w:p>
        </w:tc>
        <w:tc>
          <w:tcPr>
            <w:tcW w:w="519" w:type="dxa"/>
            <w:tcBorders>
              <w:top w:val="single" w:sz="4" w:space="0" w:color="auto"/>
              <w:left w:val="nil"/>
              <w:bottom w:val="single" w:sz="4" w:space="0" w:color="auto"/>
              <w:right w:val="single" w:sz="4" w:space="0" w:color="auto"/>
            </w:tcBorders>
            <w:shd w:val="clear" w:color="000000" w:fill="F2DCDB"/>
            <w:hideMark/>
          </w:tcPr>
          <w:p w14:paraId="6891D353"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single" w:sz="4" w:space="0" w:color="auto"/>
              <w:left w:val="nil"/>
              <w:bottom w:val="single" w:sz="4" w:space="0" w:color="auto"/>
              <w:right w:val="single" w:sz="4" w:space="0" w:color="auto"/>
            </w:tcBorders>
            <w:shd w:val="clear" w:color="000000" w:fill="F2DCDB"/>
            <w:hideMark/>
          </w:tcPr>
          <w:p w14:paraId="3D650DC4"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single" w:sz="4" w:space="0" w:color="auto"/>
              <w:left w:val="nil"/>
              <w:bottom w:val="single" w:sz="4" w:space="0" w:color="auto"/>
              <w:right w:val="single" w:sz="4" w:space="0" w:color="auto"/>
            </w:tcBorders>
            <w:shd w:val="clear" w:color="000000" w:fill="F2DCDB"/>
            <w:vAlign w:val="center"/>
            <w:hideMark/>
          </w:tcPr>
          <w:p w14:paraId="68CDE048"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 xml:space="preserve">Please state expenses: .................% </w:t>
            </w:r>
          </w:p>
        </w:tc>
      </w:tr>
      <w:tr w:rsidR="006036F0" w:rsidRPr="00BB662E" w14:paraId="089B8743" w14:textId="77777777" w:rsidTr="006036F0">
        <w:trPr>
          <w:trHeight w:val="390"/>
        </w:trPr>
        <w:tc>
          <w:tcPr>
            <w:tcW w:w="607" w:type="dxa"/>
            <w:tcBorders>
              <w:top w:val="nil"/>
              <w:left w:val="single" w:sz="4" w:space="0" w:color="auto"/>
              <w:bottom w:val="single" w:sz="4" w:space="0" w:color="auto"/>
              <w:right w:val="single" w:sz="4" w:space="0" w:color="auto"/>
            </w:tcBorders>
            <w:shd w:val="clear" w:color="auto" w:fill="auto"/>
            <w:noWrap/>
            <w:hideMark/>
          </w:tcPr>
          <w:p w14:paraId="613EAE6C"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16b</w:t>
            </w:r>
          </w:p>
        </w:tc>
        <w:tc>
          <w:tcPr>
            <w:tcW w:w="6342" w:type="dxa"/>
            <w:tcBorders>
              <w:top w:val="nil"/>
              <w:left w:val="nil"/>
              <w:bottom w:val="single" w:sz="4" w:space="0" w:color="auto"/>
              <w:right w:val="single" w:sz="4" w:space="0" w:color="auto"/>
            </w:tcBorders>
            <w:shd w:val="clear" w:color="000000" w:fill="D9D9D9"/>
            <w:hideMark/>
          </w:tcPr>
          <w:p w14:paraId="3CB64DC3"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If yes, can this be sufficiently evidenced?</w:t>
            </w:r>
          </w:p>
        </w:tc>
        <w:tc>
          <w:tcPr>
            <w:tcW w:w="2915" w:type="dxa"/>
            <w:tcBorders>
              <w:top w:val="nil"/>
              <w:left w:val="nil"/>
              <w:bottom w:val="single" w:sz="4" w:space="0" w:color="auto"/>
              <w:right w:val="single" w:sz="4" w:space="0" w:color="auto"/>
            </w:tcBorders>
            <w:shd w:val="clear" w:color="auto" w:fill="auto"/>
            <w:vAlign w:val="center"/>
            <w:hideMark/>
          </w:tcPr>
          <w:p w14:paraId="38D1F43A"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 </w:t>
            </w:r>
          </w:p>
        </w:tc>
        <w:tc>
          <w:tcPr>
            <w:tcW w:w="519" w:type="dxa"/>
            <w:tcBorders>
              <w:top w:val="nil"/>
              <w:left w:val="nil"/>
              <w:bottom w:val="single" w:sz="4" w:space="0" w:color="auto"/>
              <w:right w:val="single" w:sz="4" w:space="0" w:color="auto"/>
            </w:tcBorders>
            <w:shd w:val="clear" w:color="000000" w:fill="F2DCDB"/>
            <w:hideMark/>
          </w:tcPr>
          <w:p w14:paraId="69932C5C"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4E19B6B7"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4" w:space="0" w:color="auto"/>
              <w:right w:val="single" w:sz="4" w:space="0" w:color="auto"/>
            </w:tcBorders>
            <w:shd w:val="clear" w:color="000000" w:fill="F2DCDB"/>
            <w:vAlign w:val="bottom"/>
            <w:hideMark/>
          </w:tcPr>
          <w:p w14:paraId="4B835688" w14:textId="77777777" w:rsidR="006036F0" w:rsidRPr="00BB662E" w:rsidRDefault="006036F0" w:rsidP="006036F0">
            <w:pPr>
              <w:spacing w:before="60" w:after="60"/>
              <w:rPr>
                <w:rFonts w:ascii="Calibri" w:hAnsi="Calibri"/>
                <w:i/>
                <w:iCs/>
                <w:color w:val="000000"/>
                <w:lang w:eastAsia="en-GB"/>
              </w:rPr>
            </w:pPr>
            <w:r w:rsidRPr="00BB662E">
              <w:rPr>
                <w:rFonts w:ascii="Calibri" w:hAnsi="Calibri"/>
                <w:i/>
                <w:iCs/>
                <w:color w:val="000000"/>
                <w:lang w:eastAsia="en-GB"/>
              </w:rPr>
              <w:t>insert any comments</w:t>
            </w:r>
          </w:p>
        </w:tc>
      </w:tr>
      <w:tr w:rsidR="006036F0" w:rsidRPr="00BB662E" w14:paraId="6F686C47" w14:textId="77777777" w:rsidTr="006036F0">
        <w:trPr>
          <w:trHeight w:val="300"/>
        </w:trPr>
        <w:tc>
          <w:tcPr>
            <w:tcW w:w="607" w:type="dxa"/>
            <w:vMerge w:val="restart"/>
            <w:tcBorders>
              <w:top w:val="nil"/>
              <w:left w:val="single" w:sz="4" w:space="0" w:color="auto"/>
              <w:bottom w:val="single" w:sz="4" w:space="0" w:color="000000"/>
              <w:right w:val="single" w:sz="4" w:space="0" w:color="auto"/>
            </w:tcBorders>
            <w:shd w:val="clear" w:color="auto" w:fill="auto"/>
            <w:noWrap/>
            <w:hideMark/>
          </w:tcPr>
          <w:p w14:paraId="51A0BF60"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17</w:t>
            </w:r>
          </w:p>
        </w:tc>
        <w:tc>
          <w:tcPr>
            <w:tcW w:w="6342" w:type="dxa"/>
            <w:vMerge w:val="restart"/>
            <w:tcBorders>
              <w:top w:val="nil"/>
              <w:left w:val="single" w:sz="4" w:space="0" w:color="auto"/>
              <w:bottom w:val="single" w:sz="4" w:space="0" w:color="000000"/>
              <w:right w:val="single" w:sz="4" w:space="0" w:color="auto"/>
            </w:tcBorders>
            <w:shd w:val="clear" w:color="000000" w:fill="D9D9D9"/>
            <w:hideMark/>
          </w:tcPr>
          <w:p w14:paraId="1B19973D" w14:textId="75AC0FFE" w:rsidR="00B73497" w:rsidRPr="00D11C3D" w:rsidRDefault="006036F0" w:rsidP="006036F0">
            <w:pPr>
              <w:spacing w:before="60" w:after="60"/>
              <w:rPr>
                <w:rFonts w:ascii="Calibri" w:hAnsi="Calibri"/>
                <w:color w:val="FF0000"/>
                <w:sz w:val="18"/>
                <w:szCs w:val="18"/>
                <w:highlight w:val="yellow"/>
                <w:lang w:eastAsia="en-GB"/>
              </w:rPr>
            </w:pPr>
            <w:r w:rsidRPr="00BB662E">
              <w:rPr>
                <w:rFonts w:ascii="Calibri" w:hAnsi="Calibri"/>
                <w:color w:val="000000"/>
                <w:lang w:eastAsia="en-GB"/>
              </w:rPr>
              <w:t xml:space="preserve">Please state </w:t>
            </w:r>
            <w:r w:rsidRPr="00BB662E">
              <w:rPr>
                <w:rFonts w:ascii="Calibri" w:hAnsi="Calibri"/>
                <w:b/>
                <w:color w:val="000000"/>
                <w:lang w:eastAsia="en-GB"/>
              </w:rPr>
              <w:t xml:space="preserve">individually declared pensionable earnings per GP </w:t>
            </w:r>
            <w:r w:rsidRPr="00BB662E">
              <w:rPr>
                <w:rFonts w:ascii="Calibri" w:hAnsi="Calibri"/>
                <w:color w:val="000000"/>
                <w:lang w:eastAsia="en-GB"/>
              </w:rPr>
              <w:t xml:space="preserve">within the practice </w:t>
            </w:r>
            <w:r w:rsidRPr="00BB662E">
              <w:rPr>
                <w:rFonts w:ascii="Calibri" w:hAnsi="Calibri"/>
                <w:color w:val="FF0000"/>
                <w:lang w:eastAsia="en-GB"/>
              </w:rPr>
              <w:t xml:space="preserve">(pro-rata'd for part time) </w:t>
            </w:r>
            <w:r w:rsidRPr="00BB662E">
              <w:rPr>
                <w:rFonts w:ascii="Calibri" w:hAnsi="Calibri"/>
                <w:b/>
                <w:lang w:eastAsia="en-GB"/>
              </w:rPr>
              <w:t>for the</w:t>
            </w:r>
            <w:r w:rsidR="000828A4">
              <w:rPr>
                <w:rFonts w:ascii="Calibri" w:hAnsi="Calibri"/>
                <w:b/>
                <w:lang w:eastAsia="en-GB"/>
              </w:rPr>
              <w:t xml:space="preserve">  </w:t>
            </w:r>
            <w:r w:rsidRPr="00BB662E">
              <w:rPr>
                <w:rFonts w:ascii="Calibri" w:hAnsi="Calibri"/>
                <w:b/>
                <w:lang w:eastAsia="en-GB"/>
              </w:rPr>
              <w:t xml:space="preserve">YEAR </w:t>
            </w:r>
            <w:r w:rsidRPr="00BB662E">
              <w:rPr>
                <w:rFonts w:ascii="Calibri" w:hAnsi="Calibri"/>
                <w:lang w:eastAsia="en-GB"/>
              </w:rPr>
              <w:t>(It is noted this may include non-GMS/PMS/APMS income &amp; 'non-NHS' income.)</w:t>
            </w:r>
            <w:r w:rsidRPr="00BB662E">
              <w:rPr>
                <w:rFonts w:ascii="Calibri" w:hAnsi="Calibri"/>
                <w:lang w:eastAsia="en-GB"/>
              </w:rPr>
              <w:br/>
            </w:r>
            <w:r w:rsidRPr="00BB662E">
              <w:rPr>
                <w:rFonts w:ascii="Calibri" w:hAnsi="Calibri"/>
                <w:color w:val="FF0000"/>
                <w:lang w:eastAsia="en-GB"/>
              </w:rPr>
              <w:br/>
            </w:r>
            <w:r w:rsidR="00CE2608" w:rsidRPr="00D11C3D">
              <w:rPr>
                <w:rFonts w:ascii="Calibri" w:hAnsi="Calibri"/>
                <w:color w:val="FF0000"/>
                <w:sz w:val="18"/>
                <w:szCs w:val="18"/>
                <w:highlight w:val="yellow"/>
                <w:lang w:eastAsia="en-GB"/>
              </w:rPr>
              <w:t>(</w:t>
            </w:r>
            <w:r w:rsidR="0009742B" w:rsidRPr="00D11C3D">
              <w:rPr>
                <w:rFonts w:ascii="Calibri" w:hAnsi="Calibri"/>
                <w:color w:val="FF0000"/>
                <w:sz w:val="18"/>
                <w:szCs w:val="18"/>
                <w:highlight w:val="yellow"/>
                <w:lang w:eastAsia="en-GB"/>
              </w:rPr>
              <w:t>F</w:t>
            </w:r>
            <w:r w:rsidR="00CE2608" w:rsidRPr="00D11C3D">
              <w:rPr>
                <w:rFonts w:ascii="Calibri" w:hAnsi="Calibri"/>
                <w:color w:val="FF0000"/>
                <w:sz w:val="18"/>
                <w:szCs w:val="18"/>
                <w:highlight w:val="yellow"/>
                <w:lang w:eastAsia="en-GB"/>
              </w:rPr>
              <w:t>igures per NHS Digital GP Earnings and Expenses Estimates 201</w:t>
            </w:r>
            <w:r w:rsidR="000828A4" w:rsidRPr="00D11C3D">
              <w:rPr>
                <w:rFonts w:ascii="Calibri" w:hAnsi="Calibri"/>
                <w:color w:val="FF0000"/>
                <w:sz w:val="18"/>
                <w:szCs w:val="18"/>
                <w:highlight w:val="yellow"/>
                <w:lang w:eastAsia="en-GB"/>
              </w:rPr>
              <w:t>9/20</w:t>
            </w:r>
            <w:r w:rsidR="00CE2608" w:rsidRPr="00D11C3D">
              <w:rPr>
                <w:rFonts w:ascii="Calibri" w:hAnsi="Calibri"/>
                <w:color w:val="FF0000"/>
                <w:sz w:val="18"/>
                <w:szCs w:val="18"/>
                <w:highlight w:val="yellow"/>
                <w:lang w:eastAsia="en-GB"/>
              </w:rPr>
              <w:t xml:space="preserve"> – average income before tax in England Contractor/combined contractor and salaried averages. Add 1%/yr – which for 201</w:t>
            </w:r>
            <w:r w:rsidR="00FC33D2" w:rsidRPr="00D11C3D">
              <w:rPr>
                <w:rFonts w:ascii="Calibri" w:hAnsi="Calibri"/>
                <w:color w:val="FF0000"/>
                <w:sz w:val="18"/>
                <w:szCs w:val="18"/>
                <w:highlight w:val="yellow"/>
                <w:lang w:eastAsia="en-GB"/>
              </w:rPr>
              <w:t>8</w:t>
            </w:r>
            <w:r w:rsidR="00CE2608" w:rsidRPr="00D11C3D">
              <w:rPr>
                <w:rFonts w:ascii="Calibri" w:hAnsi="Calibri"/>
                <w:color w:val="FF0000"/>
                <w:sz w:val="18"/>
                <w:szCs w:val="18"/>
                <w:highlight w:val="yellow"/>
                <w:lang w:eastAsia="en-GB"/>
              </w:rPr>
              <w:t>/1</w:t>
            </w:r>
            <w:r w:rsidR="00FC33D2" w:rsidRPr="00D11C3D">
              <w:rPr>
                <w:rFonts w:ascii="Calibri" w:hAnsi="Calibri"/>
                <w:color w:val="FF0000"/>
                <w:sz w:val="18"/>
                <w:szCs w:val="18"/>
                <w:highlight w:val="yellow"/>
                <w:lang w:eastAsia="en-GB"/>
              </w:rPr>
              <w:t>9</w:t>
            </w:r>
            <w:r w:rsidR="00CE2608" w:rsidRPr="00D11C3D">
              <w:rPr>
                <w:rFonts w:ascii="Calibri" w:hAnsi="Calibri"/>
                <w:color w:val="FF0000"/>
                <w:sz w:val="18"/>
                <w:szCs w:val="18"/>
                <w:highlight w:val="yellow"/>
                <w:lang w:eastAsia="en-GB"/>
              </w:rPr>
              <w:t xml:space="preserve"> earnings would be £11</w:t>
            </w:r>
            <w:r w:rsidR="00FC33D2" w:rsidRPr="00D11C3D">
              <w:rPr>
                <w:rFonts w:ascii="Calibri" w:hAnsi="Calibri"/>
                <w:color w:val="FF0000"/>
                <w:sz w:val="18"/>
                <w:szCs w:val="18"/>
                <w:highlight w:val="yellow"/>
                <w:lang w:eastAsia="en-GB"/>
              </w:rPr>
              <w:t>7,981</w:t>
            </w:r>
            <w:r w:rsidR="00CE2608" w:rsidRPr="00D11C3D">
              <w:rPr>
                <w:rFonts w:ascii="Calibri" w:hAnsi="Calibri"/>
                <w:color w:val="FF0000"/>
                <w:sz w:val="18"/>
                <w:szCs w:val="18"/>
                <w:highlight w:val="yellow"/>
                <w:lang w:eastAsia="en-GB"/>
              </w:rPr>
              <w:t>.k for contractors / £94.6k)</w:t>
            </w:r>
          </w:p>
          <w:p w14:paraId="2832F50E" w14:textId="77777777" w:rsidR="00B73497" w:rsidRPr="00D11C3D" w:rsidRDefault="00B73497" w:rsidP="006036F0">
            <w:pPr>
              <w:spacing w:before="60" w:after="60"/>
              <w:rPr>
                <w:rFonts w:ascii="Calibri" w:hAnsi="Calibri"/>
                <w:color w:val="FF0000"/>
                <w:sz w:val="18"/>
                <w:szCs w:val="18"/>
                <w:highlight w:val="yellow"/>
                <w:lang w:eastAsia="en-GB"/>
              </w:rPr>
            </w:pPr>
          </w:p>
          <w:p w14:paraId="1EDA9BE5" w14:textId="29A49A32" w:rsidR="000E7AB8" w:rsidRPr="00BB662E" w:rsidRDefault="000B57EE" w:rsidP="000E7AB8">
            <w:pPr>
              <w:spacing w:before="60" w:after="60"/>
              <w:rPr>
                <w:rFonts w:ascii="Calibri" w:hAnsi="Calibri"/>
                <w:color w:val="000000"/>
                <w:lang w:eastAsia="en-GB"/>
              </w:rPr>
            </w:pPr>
            <w:hyperlink r:id="rId143" w:history="1">
              <w:r w:rsidR="000E7AB8" w:rsidRPr="00D11C3D">
                <w:rPr>
                  <w:rStyle w:val="Hyperlink"/>
                  <w:rFonts w:ascii="Calibri" w:hAnsi="Calibri"/>
                  <w:sz w:val="18"/>
                  <w:szCs w:val="18"/>
                  <w:highlight w:val="yellow"/>
                  <w:lang w:eastAsia="en-GB"/>
                </w:rPr>
                <w:t>https://digital.nhs.uk/data-and-information/publications/statistical/gp-earnings-and-expenses-estimates/2019-20</w:t>
              </w:r>
            </w:hyperlink>
            <w:r w:rsidR="000E7AB8">
              <w:rPr>
                <w:rFonts w:ascii="Calibri" w:hAnsi="Calibri"/>
                <w:color w:val="FF0000"/>
                <w:sz w:val="18"/>
                <w:szCs w:val="18"/>
                <w:lang w:eastAsia="en-GB"/>
              </w:rPr>
              <w:t xml:space="preserve"> </w:t>
            </w:r>
          </w:p>
        </w:tc>
        <w:tc>
          <w:tcPr>
            <w:tcW w:w="3434"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39B67BF" w14:textId="1095E666" w:rsidR="006036F0" w:rsidRPr="00BB662E" w:rsidRDefault="006036F0" w:rsidP="00A05B04">
            <w:pPr>
              <w:spacing w:before="60" w:after="60"/>
              <w:rPr>
                <w:rFonts w:ascii="Calibri" w:hAnsi="Calibri"/>
                <w:color w:val="000000"/>
                <w:sz w:val="20"/>
                <w:szCs w:val="20"/>
                <w:lang w:eastAsia="en-GB"/>
              </w:rPr>
            </w:pPr>
            <w:r w:rsidRPr="00BB662E">
              <w:rPr>
                <w:rFonts w:ascii="Calibri" w:hAnsi="Calibri"/>
                <w:color w:val="000000"/>
                <w:sz w:val="20"/>
                <w:szCs w:val="20"/>
                <w:lang w:eastAsia="en-GB"/>
              </w:rPr>
              <w:t xml:space="preserve">No doctor in the practice should have declared pensionable earnings in excess of </w:t>
            </w:r>
            <w:r w:rsidRPr="00BB662E">
              <w:rPr>
                <w:rFonts w:ascii="Calibri" w:hAnsi="Calibri"/>
                <w:color w:val="000000"/>
                <w:sz w:val="20"/>
                <w:szCs w:val="20"/>
                <w:lang w:eastAsia="en-GB"/>
              </w:rPr>
              <w:br/>
              <w:t xml:space="preserve">Contractor = </w:t>
            </w:r>
            <w:r w:rsidRPr="00D11C3D">
              <w:rPr>
                <w:rFonts w:ascii="Calibri" w:hAnsi="Calibri"/>
                <w:b/>
                <w:color w:val="FF0000"/>
                <w:sz w:val="20"/>
                <w:szCs w:val="20"/>
                <w:highlight w:val="yellow"/>
                <w:lang w:eastAsia="en-GB"/>
              </w:rPr>
              <w:t>£</w:t>
            </w:r>
            <w:r w:rsidR="00CE2608" w:rsidRPr="00D11C3D">
              <w:rPr>
                <w:rFonts w:ascii="Calibri" w:hAnsi="Calibri"/>
                <w:b/>
                <w:color w:val="FF0000"/>
                <w:sz w:val="20"/>
                <w:szCs w:val="20"/>
                <w:highlight w:val="yellow"/>
                <w:lang w:eastAsia="en-GB"/>
              </w:rPr>
              <w:t>1</w:t>
            </w:r>
            <w:r w:rsidR="0009742B" w:rsidRPr="00D11C3D">
              <w:rPr>
                <w:rFonts w:ascii="Calibri" w:hAnsi="Calibri"/>
                <w:b/>
                <w:color w:val="FF0000"/>
                <w:sz w:val="20"/>
                <w:szCs w:val="20"/>
                <w:highlight w:val="yellow"/>
                <w:lang w:eastAsia="en-GB"/>
              </w:rPr>
              <w:t>2</w:t>
            </w:r>
            <w:r w:rsidR="00CE2608" w:rsidRPr="00D11C3D">
              <w:rPr>
                <w:rFonts w:ascii="Calibri" w:hAnsi="Calibri"/>
                <w:b/>
                <w:color w:val="FF0000"/>
                <w:sz w:val="20"/>
                <w:szCs w:val="20"/>
                <w:highlight w:val="yellow"/>
                <w:lang w:eastAsia="en-GB"/>
              </w:rPr>
              <w:t>1</w:t>
            </w:r>
            <w:r w:rsidR="0009742B" w:rsidRPr="00D11C3D">
              <w:rPr>
                <w:rFonts w:ascii="Calibri" w:hAnsi="Calibri"/>
                <w:b/>
                <w:color w:val="FF0000"/>
                <w:sz w:val="20"/>
                <w:szCs w:val="20"/>
                <w:highlight w:val="yellow"/>
                <w:lang w:eastAsia="en-GB"/>
              </w:rPr>
              <w:t>,800</w:t>
            </w:r>
            <w:r w:rsidRPr="00D11C3D">
              <w:rPr>
                <w:rFonts w:ascii="Calibri" w:hAnsi="Calibri"/>
                <w:color w:val="FF0000"/>
                <w:sz w:val="20"/>
                <w:szCs w:val="20"/>
                <w:highlight w:val="yellow"/>
                <w:lang w:eastAsia="en-GB"/>
              </w:rPr>
              <w:t>.</w:t>
            </w:r>
            <w:r w:rsidRPr="00D11C3D">
              <w:rPr>
                <w:rFonts w:ascii="Calibri" w:hAnsi="Calibri"/>
                <w:color w:val="FF0000"/>
                <w:sz w:val="20"/>
                <w:szCs w:val="20"/>
                <w:highlight w:val="yellow"/>
                <w:lang w:eastAsia="en-GB"/>
              </w:rPr>
              <w:br/>
              <w:t>Or combined contractor &amp; Salaried GP average not in excess of = £</w:t>
            </w:r>
            <w:r w:rsidR="00FC33D2" w:rsidRPr="00D11C3D">
              <w:rPr>
                <w:rFonts w:ascii="Calibri" w:hAnsi="Calibri"/>
                <w:color w:val="FF0000"/>
                <w:sz w:val="20"/>
                <w:szCs w:val="20"/>
                <w:highlight w:val="yellow"/>
                <w:lang w:eastAsia="en-GB"/>
              </w:rPr>
              <w:t>100</w:t>
            </w:r>
            <w:r w:rsidR="00CE2608" w:rsidRPr="00D11C3D">
              <w:rPr>
                <w:rFonts w:ascii="Calibri" w:hAnsi="Calibri"/>
                <w:color w:val="FF0000"/>
                <w:sz w:val="20"/>
                <w:szCs w:val="20"/>
                <w:highlight w:val="yellow"/>
                <w:lang w:eastAsia="en-GB"/>
              </w:rPr>
              <w:t>.</w:t>
            </w:r>
            <w:r w:rsidR="0009742B" w:rsidRPr="00D11C3D">
              <w:rPr>
                <w:rFonts w:ascii="Calibri" w:hAnsi="Calibri"/>
                <w:color w:val="FF0000"/>
                <w:sz w:val="20"/>
                <w:szCs w:val="20"/>
                <w:highlight w:val="yellow"/>
                <w:lang w:eastAsia="en-GB"/>
              </w:rPr>
              <w:t>7</w:t>
            </w:r>
            <w:r w:rsidRPr="00D11C3D">
              <w:rPr>
                <w:rFonts w:ascii="Calibri" w:hAnsi="Calibri"/>
                <w:color w:val="FF0000"/>
                <w:sz w:val="20"/>
                <w:szCs w:val="20"/>
                <w:highlight w:val="yellow"/>
                <w:lang w:eastAsia="en-GB"/>
              </w:rPr>
              <w:t>k</w:t>
            </w:r>
            <w:r w:rsidRPr="00BB662E">
              <w:rPr>
                <w:rFonts w:ascii="Calibri" w:hAnsi="Calibri"/>
                <w:color w:val="FF0000"/>
                <w:sz w:val="20"/>
                <w:szCs w:val="20"/>
                <w:lang w:eastAsia="en-GB"/>
              </w:rPr>
              <w:br/>
            </w:r>
            <w:r w:rsidRPr="00BB662E">
              <w:rPr>
                <w:rFonts w:ascii="Calibri" w:hAnsi="Calibri"/>
                <w:color w:val="000000"/>
                <w:sz w:val="20"/>
                <w:szCs w:val="20"/>
                <w:lang w:eastAsia="en-GB"/>
              </w:rPr>
              <w:t>Support not designed to increase pensionable income.</w:t>
            </w:r>
          </w:p>
        </w:tc>
        <w:tc>
          <w:tcPr>
            <w:tcW w:w="1765" w:type="dxa"/>
            <w:tcBorders>
              <w:top w:val="nil"/>
              <w:left w:val="nil"/>
              <w:bottom w:val="single" w:sz="4" w:space="0" w:color="auto"/>
              <w:right w:val="single" w:sz="4" w:space="0" w:color="auto"/>
            </w:tcBorders>
            <w:shd w:val="clear" w:color="000000" w:fill="F2DCDB"/>
            <w:hideMark/>
          </w:tcPr>
          <w:p w14:paraId="3BE7F622"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1</w:t>
            </w:r>
          </w:p>
        </w:tc>
        <w:tc>
          <w:tcPr>
            <w:tcW w:w="2824" w:type="dxa"/>
            <w:tcBorders>
              <w:top w:val="nil"/>
              <w:left w:val="nil"/>
              <w:bottom w:val="single" w:sz="4" w:space="0" w:color="auto"/>
              <w:right w:val="single" w:sz="4" w:space="0" w:color="auto"/>
            </w:tcBorders>
            <w:shd w:val="clear" w:color="000000" w:fill="F2DCDB"/>
            <w:vAlign w:val="bottom"/>
            <w:hideMark/>
          </w:tcPr>
          <w:p w14:paraId="4CDA57D5" w14:textId="77777777" w:rsidR="006036F0" w:rsidRPr="00BB662E" w:rsidRDefault="006036F0" w:rsidP="006036F0">
            <w:pPr>
              <w:spacing w:before="60" w:after="60"/>
              <w:ind w:firstLineChars="200" w:firstLine="480"/>
              <w:rPr>
                <w:rFonts w:ascii="Calibri" w:hAnsi="Calibri"/>
                <w:i/>
                <w:iCs/>
                <w:color w:val="000000"/>
                <w:lang w:eastAsia="en-GB"/>
              </w:rPr>
            </w:pPr>
            <w:r w:rsidRPr="00BB662E">
              <w:rPr>
                <w:rFonts w:ascii="Calibri" w:hAnsi="Calibri"/>
                <w:i/>
                <w:iCs/>
                <w:color w:val="000000"/>
                <w:lang w:eastAsia="en-GB"/>
              </w:rPr>
              <w:t>insert £</w:t>
            </w:r>
          </w:p>
        </w:tc>
      </w:tr>
      <w:tr w:rsidR="006036F0" w:rsidRPr="00BB662E" w14:paraId="66F79DF3" w14:textId="77777777" w:rsidTr="006036F0">
        <w:trPr>
          <w:trHeight w:val="300"/>
        </w:trPr>
        <w:tc>
          <w:tcPr>
            <w:tcW w:w="607" w:type="dxa"/>
            <w:vMerge/>
            <w:tcBorders>
              <w:top w:val="nil"/>
              <w:left w:val="single" w:sz="4" w:space="0" w:color="auto"/>
              <w:bottom w:val="single" w:sz="4" w:space="0" w:color="000000"/>
              <w:right w:val="single" w:sz="4" w:space="0" w:color="auto"/>
            </w:tcBorders>
            <w:vAlign w:val="center"/>
            <w:hideMark/>
          </w:tcPr>
          <w:p w14:paraId="140EE132" w14:textId="77777777" w:rsidR="006036F0" w:rsidRPr="00BB662E" w:rsidRDefault="006036F0" w:rsidP="006036F0">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19E20951" w14:textId="77777777" w:rsidR="006036F0" w:rsidRPr="00BB662E" w:rsidRDefault="006036F0" w:rsidP="006036F0">
            <w:pPr>
              <w:spacing w:before="60" w:after="60"/>
              <w:rPr>
                <w:rFonts w:ascii="Calibri" w:hAnsi="Calibri"/>
                <w:color w:val="000000"/>
                <w:lang w:eastAsia="en-GB"/>
              </w:rPr>
            </w:pPr>
          </w:p>
        </w:tc>
        <w:tc>
          <w:tcPr>
            <w:tcW w:w="3434" w:type="dxa"/>
            <w:gridSpan w:val="2"/>
            <w:vMerge/>
            <w:tcBorders>
              <w:top w:val="single" w:sz="4" w:space="0" w:color="auto"/>
              <w:left w:val="single" w:sz="4" w:space="0" w:color="auto"/>
              <w:bottom w:val="single" w:sz="4" w:space="0" w:color="000000"/>
              <w:right w:val="single" w:sz="4" w:space="0" w:color="000000"/>
            </w:tcBorders>
            <w:vAlign w:val="center"/>
            <w:hideMark/>
          </w:tcPr>
          <w:p w14:paraId="0F8C2D37" w14:textId="77777777" w:rsidR="006036F0" w:rsidRPr="00BB662E" w:rsidRDefault="006036F0" w:rsidP="006036F0">
            <w:pPr>
              <w:spacing w:before="60" w:after="60"/>
              <w:rPr>
                <w:rFonts w:ascii="Calibri" w:hAnsi="Calibri"/>
                <w:color w:val="000000"/>
                <w:sz w:val="20"/>
                <w:szCs w:val="20"/>
                <w:lang w:eastAsia="en-GB"/>
              </w:rPr>
            </w:pPr>
          </w:p>
        </w:tc>
        <w:tc>
          <w:tcPr>
            <w:tcW w:w="1765" w:type="dxa"/>
            <w:tcBorders>
              <w:top w:val="nil"/>
              <w:left w:val="nil"/>
              <w:bottom w:val="single" w:sz="4" w:space="0" w:color="auto"/>
              <w:right w:val="single" w:sz="4" w:space="0" w:color="auto"/>
            </w:tcBorders>
            <w:shd w:val="clear" w:color="000000" w:fill="F2DCDB"/>
            <w:hideMark/>
          </w:tcPr>
          <w:p w14:paraId="0FAF40B8"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2</w:t>
            </w:r>
          </w:p>
        </w:tc>
        <w:tc>
          <w:tcPr>
            <w:tcW w:w="2824" w:type="dxa"/>
            <w:tcBorders>
              <w:top w:val="nil"/>
              <w:left w:val="nil"/>
              <w:bottom w:val="single" w:sz="4" w:space="0" w:color="auto"/>
              <w:right w:val="single" w:sz="4" w:space="0" w:color="auto"/>
            </w:tcBorders>
            <w:shd w:val="clear" w:color="000000" w:fill="F2DCDB"/>
            <w:vAlign w:val="bottom"/>
            <w:hideMark/>
          </w:tcPr>
          <w:p w14:paraId="51528CFD" w14:textId="77777777" w:rsidR="006036F0" w:rsidRPr="00BB662E" w:rsidRDefault="006036F0" w:rsidP="006036F0">
            <w:pPr>
              <w:spacing w:before="60" w:after="60"/>
              <w:ind w:firstLineChars="200" w:firstLine="480"/>
              <w:rPr>
                <w:rFonts w:ascii="Calibri" w:hAnsi="Calibri"/>
                <w:i/>
                <w:iCs/>
                <w:color w:val="000000"/>
                <w:lang w:eastAsia="en-GB"/>
              </w:rPr>
            </w:pPr>
            <w:r w:rsidRPr="00BB662E">
              <w:rPr>
                <w:rFonts w:ascii="Calibri" w:hAnsi="Calibri"/>
                <w:i/>
                <w:iCs/>
                <w:color w:val="000000"/>
                <w:lang w:eastAsia="en-GB"/>
              </w:rPr>
              <w:t>insert £</w:t>
            </w:r>
          </w:p>
        </w:tc>
      </w:tr>
      <w:tr w:rsidR="006036F0" w:rsidRPr="00BB662E" w14:paraId="609B9E49" w14:textId="77777777" w:rsidTr="006036F0">
        <w:trPr>
          <w:trHeight w:val="300"/>
        </w:trPr>
        <w:tc>
          <w:tcPr>
            <w:tcW w:w="607" w:type="dxa"/>
            <w:vMerge/>
            <w:tcBorders>
              <w:top w:val="nil"/>
              <w:left w:val="single" w:sz="4" w:space="0" w:color="auto"/>
              <w:bottom w:val="single" w:sz="4" w:space="0" w:color="000000"/>
              <w:right w:val="single" w:sz="4" w:space="0" w:color="auto"/>
            </w:tcBorders>
            <w:vAlign w:val="center"/>
            <w:hideMark/>
          </w:tcPr>
          <w:p w14:paraId="44735D87" w14:textId="77777777" w:rsidR="006036F0" w:rsidRPr="00BB662E" w:rsidRDefault="006036F0" w:rsidP="006036F0">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18D7CD40" w14:textId="77777777" w:rsidR="006036F0" w:rsidRPr="00BB662E" w:rsidRDefault="006036F0" w:rsidP="006036F0">
            <w:pPr>
              <w:spacing w:before="60" w:after="60"/>
              <w:rPr>
                <w:rFonts w:ascii="Calibri" w:hAnsi="Calibri"/>
                <w:color w:val="000000"/>
                <w:lang w:eastAsia="en-GB"/>
              </w:rPr>
            </w:pPr>
          </w:p>
        </w:tc>
        <w:tc>
          <w:tcPr>
            <w:tcW w:w="3434" w:type="dxa"/>
            <w:gridSpan w:val="2"/>
            <w:vMerge/>
            <w:tcBorders>
              <w:top w:val="single" w:sz="4" w:space="0" w:color="auto"/>
              <w:left w:val="single" w:sz="4" w:space="0" w:color="auto"/>
              <w:bottom w:val="single" w:sz="4" w:space="0" w:color="000000"/>
              <w:right w:val="single" w:sz="4" w:space="0" w:color="000000"/>
            </w:tcBorders>
            <w:vAlign w:val="center"/>
            <w:hideMark/>
          </w:tcPr>
          <w:p w14:paraId="29E9D57C" w14:textId="77777777" w:rsidR="006036F0" w:rsidRPr="00BB662E" w:rsidRDefault="006036F0" w:rsidP="006036F0">
            <w:pPr>
              <w:spacing w:before="60" w:after="60"/>
              <w:rPr>
                <w:rFonts w:ascii="Calibri" w:hAnsi="Calibri"/>
                <w:color w:val="000000"/>
                <w:sz w:val="20"/>
                <w:szCs w:val="20"/>
                <w:lang w:eastAsia="en-GB"/>
              </w:rPr>
            </w:pPr>
          </w:p>
        </w:tc>
        <w:tc>
          <w:tcPr>
            <w:tcW w:w="1765" w:type="dxa"/>
            <w:tcBorders>
              <w:top w:val="nil"/>
              <w:left w:val="nil"/>
              <w:bottom w:val="single" w:sz="4" w:space="0" w:color="auto"/>
              <w:right w:val="single" w:sz="4" w:space="0" w:color="auto"/>
            </w:tcBorders>
            <w:shd w:val="clear" w:color="000000" w:fill="F2DCDB"/>
            <w:hideMark/>
          </w:tcPr>
          <w:p w14:paraId="0AAFC998"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3</w:t>
            </w:r>
          </w:p>
        </w:tc>
        <w:tc>
          <w:tcPr>
            <w:tcW w:w="2824" w:type="dxa"/>
            <w:tcBorders>
              <w:top w:val="nil"/>
              <w:left w:val="nil"/>
              <w:bottom w:val="single" w:sz="4" w:space="0" w:color="auto"/>
              <w:right w:val="single" w:sz="4" w:space="0" w:color="auto"/>
            </w:tcBorders>
            <w:shd w:val="clear" w:color="000000" w:fill="F2DCDB"/>
            <w:vAlign w:val="bottom"/>
            <w:hideMark/>
          </w:tcPr>
          <w:p w14:paraId="14D59401" w14:textId="77777777" w:rsidR="006036F0" w:rsidRPr="00BB662E" w:rsidRDefault="006036F0" w:rsidP="006036F0">
            <w:pPr>
              <w:spacing w:before="60" w:after="60"/>
              <w:ind w:firstLineChars="200" w:firstLine="480"/>
              <w:rPr>
                <w:rFonts w:ascii="Calibri" w:hAnsi="Calibri"/>
                <w:i/>
                <w:iCs/>
                <w:color w:val="000000"/>
                <w:lang w:eastAsia="en-GB"/>
              </w:rPr>
            </w:pPr>
            <w:r w:rsidRPr="00BB662E">
              <w:rPr>
                <w:rFonts w:ascii="Calibri" w:hAnsi="Calibri"/>
                <w:i/>
                <w:iCs/>
                <w:color w:val="000000"/>
                <w:lang w:eastAsia="en-GB"/>
              </w:rPr>
              <w:t>insert £</w:t>
            </w:r>
          </w:p>
        </w:tc>
      </w:tr>
      <w:tr w:rsidR="006036F0" w:rsidRPr="00BB662E" w14:paraId="4273A32B" w14:textId="77777777" w:rsidTr="006036F0">
        <w:trPr>
          <w:trHeight w:val="300"/>
        </w:trPr>
        <w:tc>
          <w:tcPr>
            <w:tcW w:w="607" w:type="dxa"/>
            <w:vMerge/>
            <w:tcBorders>
              <w:top w:val="nil"/>
              <w:left w:val="single" w:sz="4" w:space="0" w:color="auto"/>
              <w:bottom w:val="single" w:sz="4" w:space="0" w:color="000000"/>
              <w:right w:val="single" w:sz="4" w:space="0" w:color="auto"/>
            </w:tcBorders>
            <w:vAlign w:val="center"/>
            <w:hideMark/>
          </w:tcPr>
          <w:p w14:paraId="4D145200" w14:textId="77777777" w:rsidR="006036F0" w:rsidRPr="00BB662E" w:rsidRDefault="006036F0" w:rsidP="006036F0">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1F9AB107" w14:textId="77777777" w:rsidR="006036F0" w:rsidRPr="00BB662E" w:rsidRDefault="006036F0" w:rsidP="006036F0">
            <w:pPr>
              <w:spacing w:before="60" w:after="60"/>
              <w:rPr>
                <w:rFonts w:ascii="Calibri" w:hAnsi="Calibri"/>
                <w:color w:val="000000"/>
                <w:lang w:eastAsia="en-GB"/>
              </w:rPr>
            </w:pPr>
          </w:p>
        </w:tc>
        <w:tc>
          <w:tcPr>
            <w:tcW w:w="3434" w:type="dxa"/>
            <w:gridSpan w:val="2"/>
            <w:vMerge/>
            <w:tcBorders>
              <w:top w:val="single" w:sz="4" w:space="0" w:color="auto"/>
              <w:left w:val="single" w:sz="4" w:space="0" w:color="auto"/>
              <w:bottom w:val="single" w:sz="4" w:space="0" w:color="000000"/>
              <w:right w:val="single" w:sz="4" w:space="0" w:color="000000"/>
            </w:tcBorders>
            <w:vAlign w:val="center"/>
            <w:hideMark/>
          </w:tcPr>
          <w:p w14:paraId="0C862A05" w14:textId="77777777" w:rsidR="006036F0" w:rsidRPr="00BB662E" w:rsidRDefault="006036F0" w:rsidP="006036F0">
            <w:pPr>
              <w:spacing w:before="60" w:after="60"/>
              <w:rPr>
                <w:rFonts w:ascii="Calibri" w:hAnsi="Calibri"/>
                <w:color w:val="000000"/>
                <w:sz w:val="20"/>
                <w:szCs w:val="20"/>
                <w:lang w:eastAsia="en-GB"/>
              </w:rPr>
            </w:pPr>
          </w:p>
        </w:tc>
        <w:tc>
          <w:tcPr>
            <w:tcW w:w="1765" w:type="dxa"/>
            <w:tcBorders>
              <w:top w:val="nil"/>
              <w:left w:val="nil"/>
              <w:bottom w:val="single" w:sz="4" w:space="0" w:color="auto"/>
              <w:right w:val="single" w:sz="4" w:space="0" w:color="auto"/>
            </w:tcBorders>
            <w:shd w:val="clear" w:color="000000" w:fill="F2DCDB"/>
            <w:hideMark/>
          </w:tcPr>
          <w:p w14:paraId="1206B871"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4</w:t>
            </w:r>
          </w:p>
        </w:tc>
        <w:tc>
          <w:tcPr>
            <w:tcW w:w="2824" w:type="dxa"/>
            <w:tcBorders>
              <w:top w:val="nil"/>
              <w:left w:val="nil"/>
              <w:bottom w:val="single" w:sz="4" w:space="0" w:color="auto"/>
              <w:right w:val="single" w:sz="4" w:space="0" w:color="auto"/>
            </w:tcBorders>
            <w:shd w:val="clear" w:color="000000" w:fill="F2DCDB"/>
            <w:vAlign w:val="bottom"/>
            <w:hideMark/>
          </w:tcPr>
          <w:p w14:paraId="26DE8A7D" w14:textId="77777777" w:rsidR="006036F0" w:rsidRPr="00BB662E" w:rsidRDefault="006036F0" w:rsidP="006036F0">
            <w:pPr>
              <w:spacing w:before="60" w:after="60"/>
              <w:ind w:firstLineChars="200" w:firstLine="480"/>
              <w:rPr>
                <w:rFonts w:ascii="Calibri" w:hAnsi="Calibri"/>
                <w:i/>
                <w:iCs/>
                <w:color w:val="000000"/>
                <w:lang w:eastAsia="en-GB"/>
              </w:rPr>
            </w:pPr>
            <w:r w:rsidRPr="00BB662E">
              <w:rPr>
                <w:rFonts w:ascii="Calibri" w:hAnsi="Calibri"/>
                <w:i/>
                <w:iCs/>
                <w:color w:val="000000"/>
                <w:lang w:eastAsia="en-GB"/>
              </w:rPr>
              <w:t>insert £</w:t>
            </w:r>
          </w:p>
        </w:tc>
      </w:tr>
      <w:tr w:rsidR="006036F0" w:rsidRPr="00BB662E" w14:paraId="088AC41B" w14:textId="77777777" w:rsidTr="006036F0">
        <w:trPr>
          <w:trHeight w:val="300"/>
        </w:trPr>
        <w:tc>
          <w:tcPr>
            <w:tcW w:w="607" w:type="dxa"/>
            <w:vMerge/>
            <w:tcBorders>
              <w:top w:val="nil"/>
              <w:left w:val="single" w:sz="4" w:space="0" w:color="auto"/>
              <w:bottom w:val="single" w:sz="4" w:space="0" w:color="000000"/>
              <w:right w:val="single" w:sz="4" w:space="0" w:color="auto"/>
            </w:tcBorders>
            <w:vAlign w:val="center"/>
            <w:hideMark/>
          </w:tcPr>
          <w:p w14:paraId="69478694" w14:textId="77777777" w:rsidR="006036F0" w:rsidRPr="00BB662E" w:rsidRDefault="006036F0" w:rsidP="006036F0">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7802D36C" w14:textId="77777777" w:rsidR="006036F0" w:rsidRPr="00BB662E" w:rsidRDefault="006036F0" w:rsidP="006036F0">
            <w:pPr>
              <w:spacing w:before="60" w:after="60"/>
              <w:rPr>
                <w:rFonts w:ascii="Calibri" w:hAnsi="Calibri"/>
                <w:color w:val="000000"/>
                <w:lang w:eastAsia="en-GB"/>
              </w:rPr>
            </w:pPr>
          </w:p>
        </w:tc>
        <w:tc>
          <w:tcPr>
            <w:tcW w:w="3434" w:type="dxa"/>
            <w:gridSpan w:val="2"/>
            <w:vMerge/>
            <w:tcBorders>
              <w:top w:val="single" w:sz="4" w:space="0" w:color="auto"/>
              <w:left w:val="single" w:sz="4" w:space="0" w:color="auto"/>
              <w:bottom w:val="single" w:sz="4" w:space="0" w:color="000000"/>
              <w:right w:val="single" w:sz="4" w:space="0" w:color="000000"/>
            </w:tcBorders>
            <w:vAlign w:val="center"/>
            <w:hideMark/>
          </w:tcPr>
          <w:p w14:paraId="1F75D983" w14:textId="77777777" w:rsidR="006036F0" w:rsidRPr="00BB662E" w:rsidRDefault="006036F0" w:rsidP="006036F0">
            <w:pPr>
              <w:spacing w:before="60" w:after="60"/>
              <w:rPr>
                <w:rFonts w:ascii="Calibri" w:hAnsi="Calibri"/>
                <w:color w:val="000000"/>
                <w:sz w:val="20"/>
                <w:szCs w:val="20"/>
                <w:lang w:eastAsia="en-GB"/>
              </w:rPr>
            </w:pPr>
          </w:p>
        </w:tc>
        <w:tc>
          <w:tcPr>
            <w:tcW w:w="1765" w:type="dxa"/>
            <w:tcBorders>
              <w:top w:val="nil"/>
              <w:left w:val="nil"/>
              <w:bottom w:val="single" w:sz="4" w:space="0" w:color="auto"/>
              <w:right w:val="single" w:sz="4" w:space="0" w:color="auto"/>
            </w:tcBorders>
            <w:shd w:val="clear" w:color="000000" w:fill="F2DCDB"/>
            <w:hideMark/>
          </w:tcPr>
          <w:p w14:paraId="07263310"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5</w:t>
            </w:r>
          </w:p>
        </w:tc>
        <w:tc>
          <w:tcPr>
            <w:tcW w:w="2824" w:type="dxa"/>
            <w:tcBorders>
              <w:top w:val="nil"/>
              <w:left w:val="nil"/>
              <w:bottom w:val="single" w:sz="4" w:space="0" w:color="auto"/>
              <w:right w:val="single" w:sz="4" w:space="0" w:color="auto"/>
            </w:tcBorders>
            <w:shd w:val="clear" w:color="000000" w:fill="F2DCDB"/>
            <w:vAlign w:val="bottom"/>
            <w:hideMark/>
          </w:tcPr>
          <w:p w14:paraId="5F819054" w14:textId="77777777" w:rsidR="006036F0" w:rsidRPr="00BB662E" w:rsidRDefault="006036F0" w:rsidP="006036F0">
            <w:pPr>
              <w:spacing w:before="60" w:after="60"/>
              <w:ind w:firstLineChars="200" w:firstLine="480"/>
              <w:rPr>
                <w:rFonts w:ascii="Calibri" w:hAnsi="Calibri"/>
                <w:i/>
                <w:iCs/>
                <w:color w:val="000000"/>
                <w:lang w:eastAsia="en-GB"/>
              </w:rPr>
            </w:pPr>
            <w:r w:rsidRPr="00BB662E">
              <w:rPr>
                <w:rFonts w:ascii="Calibri" w:hAnsi="Calibri"/>
                <w:i/>
                <w:iCs/>
                <w:color w:val="000000"/>
                <w:lang w:eastAsia="en-GB"/>
              </w:rPr>
              <w:t>insert £</w:t>
            </w:r>
          </w:p>
        </w:tc>
      </w:tr>
      <w:tr w:rsidR="006036F0" w:rsidRPr="00BB662E" w14:paraId="3AFE48DB" w14:textId="77777777" w:rsidTr="006036F0">
        <w:trPr>
          <w:trHeight w:val="300"/>
        </w:trPr>
        <w:tc>
          <w:tcPr>
            <w:tcW w:w="607" w:type="dxa"/>
            <w:vMerge/>
            <w:tcBorders>
              <w:top w:val="nil"/>
              <w:left w:val="single" w:sz="4" w:space="0" w:color="auto"/>
              <w:bottom w:val="single" w:sz="4" w:space="0" w:color="000000"/>
              <w:right w:val="single" w:sz="4" w:space="0" w:color="auto"/>
            </w:tcBorders>
            <w:vAlign w:val="center"/>
            <w:hideMark/>
          </w:tcPr>
          <w:p w14:paraId="4E91EE43" w14:textId="77777777" w:rsidR="006036F0" w:rsidRPr="00BB662E" w:rsidRDefault="006036F0" w:rsidP="006036F0">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4F6E71DB" w14:textId="77777777" w:rsidR="006036F0" w:rsidRPr="00BB662E" w:rsidRDefault="006036F0" w:rsidP="006036F0">
            <w:pPr>
              <w:spacing w:before="60" w:after="60"/>
              <w:rPr>
                <w:rFonts w:ascii="Calibri" w:hAnsi="Calibri"/>
                <w:color w:val="000000"/>
                <w:lang w:eastAsia="en-GB"/>
              </w:rPr>
            </w:pPr>
          </w:p>
        </w:tc>
        <w:tc>
          <w:tcPr>
            <w:tcW w:w="3434" w:type="dxa"/>
            <w:gridSpan w:val="2"/>
            <w:vMerge/>
            <w:tcBorders>
              <w:top w:val="single" w:sz="4" w:space="0" w:color="auto"/>
              <w:left w:val="single" w:sz="4" w:space="0" w:color="auto"/>
              <w:bottom w:val="single" w:sz="4" w:space="0" w:color="000000"/>
              <w:right w:val="single" w:sz="4" w:space="0" w:color="000000"/>
            </w:tcBorders>
            <w:vAlign w:val="center"/>
            <w:hideMark/>
          </w:tcPr>
          <w:p w14:paraId="5B12BF84" w14:textId="77777777" w:rsidR="006036F0" w:rsidRPr="00BB662E" w:rsidRDefault="006036F0" w:rsidP="006036F0">
            <w:pPr>
              <w:spacing w:before="60" w:after="60"/>
              <w:rPr>
                <w:rFonts w:ascii="Calibri" w:hAnsi="Calibri"/>
                <w:color w:val="000000"/>
                <w:sz w:val="20"/>
                <w:szCs w:val="20"/>
                <w:lang w:eastAsia="en-GB"/>
              </w:rPr>
            </w:pPr>
          </w:p>
        </w:tc>
        <w:tc>
          <w:tcPr>
            <w:tcW w:w="1765" w:type="dxa"/>
            <w:tcBorders>
              <w:top w:val="nil"/>
              <w:left w:val="nil"/>
              <w:bottom w:val="single" w:sz="4" w:space="0" w:color="auto"/>
              <w:right w:val="single" w:sz="4" w:space="0" w:color="auto"/>
            </w:tcBorders>
            <w:shd w:val="clear" w:color="000000" w:fill="F2DCDB"/>
            <w:hideMark/>
          </w:tcPr>
          <w:p w14:paraId="794A0670"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6</w:t>
            </w:r>
          </w:p>
        </w:tc>
        <w:tc>
          <w:tcPr>
            <w:tcW w:w="2824" w:type="dxa"/>
            <w:tcBorders>
              <w:top w:val="nil"/>
              <w:left w:val="nil"/>
              <w:bottom w:val="single" w:sz="4" w:space="0" w:color="auto"/>
              <w:right w:val="single" w:sz="4" w:space="0" w:color="auto"/>
            </w:tcBorders>
            <w:shd w:val="clear" w:color="000000" w:fill="F2DCDB"/>
            <w:vAlign w:val="bottom"/>
            <w:hideMark/>
          </w:tcPr>
          <w:p w14:paraId="27E5EE93" w14:textId="77777777" w:rsidR="006036F0" w:rsidRPr="00BB662E" w:rsidRDefault="006036F0" w:rsidP="006036F0">
            <w:pPr>
              <w:spacing w:before="60" w:after="60"/>
              <w:ind w:firstLineChars="200" w:firstLine="480"/>
              <w:rPr>
                <w:rFonts w:ascii="Calibri" w:hAnsi="Calibri"/>
                <w:i/>
                <w:iCs/>
                <w:color w:val="000000"/>
                <w:lang w:eastAsia="en-GB"/>
              </w:rPr>
            </w:pPr>
            <w:r w:rsidRPr="00BB662E">
              <w:rPr>
                <w:rFonts w:ascii="Calibri" w:hAnsi="Calibri"/>
                <w:i/>
                <w:iCs/>
                <w:color w:val="000000"/>
                <w:lang w:eastAsia="en-GB"/>
              </w:rPr>
              <w:t>insert £</w:t>
            </w:r>
          </w:p>
        </w:tc>
      </w:tr>
      <w:tr w:rsidR="006036F0" w:rsidRPr="00BB662E" w14:paraId="0131CFCC" w14:textId="77777777" w:rsidTr="006036F0">
        <w:trPr>
          <w:trHeight w:val="300"/>
        </w:trPr>
        <w:tc>
          <w:tcPr>
            <w:tcW w:w="607" w:type="dxa"/>
            <w:vMerge/>
            <w:tcBorders>
              <w:top w:val="nil"/>
              <w:left w:val="single" w:sz="4" w:space="0" w:color="auto"/>
              <w:bottom w:val="single" w:sz="4" w:space="0" w:color="000000"/>
              <w:right w:val="single" w:sz="4" w:space="0" w:color="auto"/>
            </w:tcBorders>
            <w:vAlign w:val="center"/>
            <w:hideMark/>
          </w:tcPr>
          <w:p w14:paraId="483DD007" w14:textId="77777777" w:rsidR="006036F0" w:rsidRPr="00BB662E" w:rsidRDefault="006036F0" w:rsidP="006036F0">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0662678D" w14:textId="77777777" w:rsidR="006036F0" w:rsidRPr="00BB662E" w:rsidRDefault="006036F0" w:rsidP="006036F0">
            <w:pPr>
              <w:spacing w:before="60" w:after="60"/>
              <w:rPr>
                <w:rFonts w:ascii="Calibri" w:hAnsi="Calibri"/>
                <w:color w:val="000000"/>
                <w:lang w:eastAsia="en-GB"/>
              </w:rPr>
            </w:pPr>
          </w:p>
        </w:tc>
        <w:tc>
          <w:tcPr>
            <w:tcW w:w="3434" w:type="dxa"/>
            <w:gridSpan w:val="2"/>
            <w:vMerge/>
            <w:tcBorders>
              <w:top w:val="single" w:sz="4" w:space="0" w:color="auto"/>
              <w:left w:val="single" w:sz="4" w:space="0" w:color="auto"/>
              <w:bottom w:val="single" w:sz="4" w:space="0" w:color="000000"/>
              <w:right w:val="single" w:sz="4" w:space="0" w:color="000000"/>
            </w:tcBorders>
            <w:vAlign w:val="center"/>
            <w:hideMark/>
          </w:tcPr>
          <w:p w14:paraId="082B38E2" w14:textId="77777777" w:rsidR="006036F0" w:rsidRPr="00BB662E" w:rsidRDefault="006036F0" w:rsidP="006036F0">
            <w:pPr>
              <w:spacing w:before="60" w:after="60"/>
              <w:rPr>
                <w:rFonts w:ascii="Calibri" w:hAnsi="Calibri"/>
                <w:color w:val="000000"/>
                <w:sz w:val="20"/>
                <w:szCs w:val="20"/>
                <w:lang w:eastAsia="en-GB"/>
              </w:rPr>
            </w:pPr>
          </w:p>
        </w:tc>
        <w:tc>
          <w:tcPr>
            <w:tcW w:w="1765" w:type="dxa"/>
            <w:tcBorders>
              <w:top w:val="nil"/>
              <w:left w:val="nil"/>
              <w:bottom w:val="single" w:sz="4" w:space="0" w:color="auto"/>
              <w:right w:val="single" w:sz="4" w:space="0" w:color="auto"/>
            </w:tcBorders>
            <w:shd w:val="clear" w:color="000000" w:fill="F2DCDB"/>
            <w:hideMark/>
          </w:tcPr>
          <w:p w14:paraId="7D31F377"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7</w:t>
            </w:r>
          </w:p>
        </w:tc>
        <w:tc>
          <w:tcPr>
            <w:tcW w:w="2824" w:type="dxa"/>
            <w:tcBorders>
              <w:top w:val="nil"/>
              <w:left w:val="nil"/>
              <w:bottom w:val="single" w:sz="4" w:space="0" w:color="auto"/>
              <w:right w:val="single" w:sz="4" w:space="0" w:color="auto"/>
            </w:tcBorders>
            <w:shd w:val="clear" w:color="000000" w:fill="F2DCDB"/>
            <w:vAlign w:val="bottom"/>
            <w:hideMark/>
          </w:tcPr>
          <w:p w14:paraId="0056135F" w14:textId="77777777" w:rsidR="006036F0" w:rsidRPr="00BB662E" w:rsidRDefault="006036F0" w:rsidP="006036F0">
            <w:pPr>
              <w:spacing w:before="60" w:after="60"/>
              <w:ind w:firstLineChars="200" w:firstLine="480"/>
              <w:rPr>
                <w:rFonts w:ascii="Calibri" w:hAnsi="Calibri"/>
                <w:i/>
                <w:iCs/>
                <w:color w:val="000000"/>
                <w:lang w:eastAsia="en-GB"/>
              </w:rPr>
            </w:pPr>
            <w:r w:rsidRPr="00BB662E">
              <w:rPr>
                <w:rFonts w:ascii="Calibri" w:hAnsi="Calibri"/>
                <w:i/>
                <w:iCs/>
                <w:color w:val="000000"/>
                <w:lang w:eastAsia="en-GB"/>
              </w:rPr>
              <w:t>insert £</w:t>
            </w:r>
          </w:p>
        </w:tc>
      </w:tr>
      <w:tr w:rsidR="006036F0" w:rsidRPr="00BB662E" w14:paraId="2AC488E8" w14:textId="77777777" w:rsidTr="006036F0">
        <w:trPr>
          <w:trHeight w:val="300"/>
        </w:trPr>
        <w:tc>
          <w:tcPr>
            <w:tcW w:w="607" w:type="dxa"/>
            <w:vMerge/>
            <w:tcBorders>
              <w:top w:val="nil"/>
              <w:left w:val="single" w:sz="4" w:space="0" w:color="auto"/>
              <w:bottom w:val="single" w:sz="4" w:space="0" w:color="000000"/>
              <w:right w:val="single" w:sz="4" w:space="0" w:color="auto"/>
            </w:tcBorders>
            <w:vAlign w:val="center"/>
            <w:hideMark/>
          </w:tcPr>
          <w:p w14:paraId="6EFD85FF" w14:textId="77777777" w:rsidR="006036F0" w:rsidRPr="00BB662E" w:rsidRDefault="006036F0" w:rsidP="006036F0">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0F0A7B64" w14:textId="77777777" w:rsidR="006036F0" w:rsidRPr="00BB662E" w:rsidRDefault="006036F0" w:rsidP="006036F0">
            <w:pPr>
              <w:spacing w:before="60" w:after="60"/>
              <w:rPr>
                <w:rFonts w:ascii="Calibri" w:hAnsi="Calibri"/>
                <w:color w:val="000000"/>
                <w:lang w:eastAsia="en-GB"/>
              </w:rPr>
            </w:pPr>
          </w:p>
        </w:tc>
        <w:tc>
          <w:tcPr>
            <w:tcW w:w="3434" w:type="dxa"/>
            <w:gridSpan w:val="2"/>
            <w:vMerge/>
            <w:tcBorders>
              <w:top w:val="single" w:sz="4" w:space="0" w:color="auto"/>
              <w:left w:val="single" w:sz="4" w:space="0" w:color="auto"/>
              <w:bottom w:val="single" w:sz="4" w:space="0" w:color="000000"/>
              <w:right w:val="single" w:sz="4" w:space="0" w:color="000000"/>
            </w:tcBorders>
            <w:vAlign w:val="center"/>
            <w:hideMark/>
          </w:tcPr>
          <w:p w14:paraId="202C6BD8" w14:textId="77777777" w:rsidR="006036F0" w:rsidRPr="00BB662E" w:rsidRDefault="006036F0" w:rsidP="006036F0">
            <w:pPr>
              <w:spacing w:before="60" w:after="60"/>
              <w:rPr>
                <w:rFonts w:ascii="Calibri" w:hAnsi="Calibri"/>
                <w:color w:val="000000"/>
                <w:sz w:val="20"/>
                <w:szCs w:val="20"/>
                <w:lang w:eastAsia="en-GB"/>
              </w:rPr>
            </w:pPr>
          </w:p>
        </w:tc>
        <w:tc>
          <w:tcPr>
            <w:tcW w:w="1765" w:type="dxa"/>
            <w:tcBorders>
              <w:top w:val="nil"/>
              <w:left w:val="nil"/>
              <w:bottom w:val="single" w:sz="4" w:space="0" w:color="auto"/>
              <w:right w:val="single" w:sz="4" w:space="0" w:color="auto"/>
            </w:tcBorders>
            <w:shd w:val="clear" w:color="000000" w:fill="F2DCDB"/>
            <w:hideMark/>
          </w:tcPr>
          <w:p w14:paraId="63320001"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8</w:t>
            </w:r>
          </w:p>
        </w:tc>
        <w:tc>
          <w:tcPr>
            <w:tcW w:w="2824" w:type="dxa"/>
            <w:tcBorders>
              <w:top w:val="nil"/>
              <w:left w:val="nil"/>
              <w:bottom w:val="single" w:sz="4" w:space="0" w:color="auto"/>
              <w:right w:val="single" w:sz="4" w:space="0" w:color="auto"/>
            </w:tcBorders>
            <w:shd w:val="clear" w:color="000000" w:fill="F2DCDB"/>
            <w:vAlign w:val="bottom"/>
            <w:hideMark/>
          </w:tcPr>
          <w:p w14:paraId="10370B98" w14:textId="77777777" w:rsidR="006036F0" w:rsidRPr="00BB662E" w:rsidRDefault="006036F0" w:rsidP="006036F0">
            <w:pPr>
              <w:spacing w:before="60" w:after="60"/>
              <w:ind w:firstLineChars="200" w:firstLine="480"/>
              <w:rPr>
                <w:rFonts w:ascii="Calibri" w:hAnsi="Calibri"/>
                <w:i/>
                <w:iCs/>
                <w:color w:val="000000"/>
                <w:lang w:eastAsia="en-GB"/>
              </w:rPr>
            </w:pPr>
            <w:r w:rsidRPr="00BB662E">
              <w:rPr>
                <w:rFonts w:ascii="Calibri" w:hAnsi="Calibri"/>
                <w:i/>
                <w:iCs/>
                <w:color w:val="000000"/>
                <w:lang w:eastAsia="en-GB"/>
              </w:rPr>
              <w:t>insert £</w:t>
            </w:r>
          </w:p>
        </w:tc>
      </w:tr>
      <w:tr w:rsidR="006036F0" w:rsidRPr="00BB662E" w14:paraId="26D7A9BA" w14:textId="77777777" w:rsidTr="006036F0">
        <w:trPr>
          <w:trHeight w:val="300"/>
        </w:trPr>
        <w:tc>
          <w:tcPr>
            <w:tcW w:w="607" w:type="dxa"/>
            <w:vMerge/>
            <w:tcBorders>
              <w:top w:val="nil"/>
              <w:left w:val="single" w:sz="4" w:space="0" w:color="auto"/>
              <w:bottom w:val="single" w:sz="4" w:space="0" w:color="000000"/>
              <w:right w:val="single" w:sz="4" w:space="0" w:color="auto"/>
            </w:tcBorders>
            <w:vAlign w:val="center"/>
            <w:hideMark/>
          </w:tcPr>
          <w:p w14:paraId="50C4F915" w14:textId="77777777" w:rsidR="006036F0" w:rsidRPr="00BB662E" w:rsidRDefault="006036F0" w:rsidP="006036F0">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2F947B70" w14:textId="77777777" w:rsidR="006036F0" w:rsidRPr="00BB662E" w:rsidRDefault="006036F0" w:rsidP="006036F0">
            <w:pPr>
              <w:spacing w:before="60" w:after="60"/>
              <w:rPr>
                <w:rFonts w:ascii="Calibri" w:hAnsi="Calibri"/>
                <w:color w:val="000000"/>
                <w:lang w:eastAsia="en-GB"/>
              </w:rPr>
            </w:pPr>
          </w:p>
        </w:tc>
        <w:tc>
          <w:tcPr>
            <w:tcW w:w="3434" w:type="dxa"/>
            <w:gridSpan w:val="2"/>
            <w:vMerge/>
            <w:tcBorders>
              <w:top w:val="single" w:sz="4" w:space="0" w:color="auto"/>
              <w:left w:val="single" w:sz="4" w:space="0" w:color="auto"/>
              <w:bottom w:val="single" w:sz="4" w:space="0" w:color="000000"/>
              <w:right w:val="single" w:sz="4" w:space="0" w:color="000000"/>
            </w:tcBorders>
            <w:vAlign w:val="center"/>
            <w:hideMark/>
          </w:tcPr>
          <w:p w14:paraId="6E50453C" w14:textId="77777777" w:rsidR="006036F0" w:rsidRPr="00BB662E" w:rsidRDefault="006036F0" w:rsidP="006036F0">
            <w:pPr>
              <w:spacing w:before="60" w:after="60"/>
              <w:rPr>
                <w:rFonts w:ascii="Calibri" w:hAnsi="Calibri"/>
                <w:color w:val="000000"/>
                <w:sz w:val="20"/>
                <w:szCs w:val="20"/>
                <w:lang w:eastAsia="en-GB"/>
              </w:rPr>
            </w:pPr>
          </w:p>
        </w:tc>
        <w:tc>
          <w:tcPr>
            <w:tcW w:w="1765" w:type="dxa"/>
            <w:tcBorders>
              <w:top w:val="nil"/>
              <w:left w:val="nil"/>
              <w:bottom w:val="single" w:sz="4" w:space="0" w:color="auto"/>
              <w:right w:val="single" w:sz="4" w:space="0" w:color="auto"/>
            </w:tcBorders>
            <w:shd w:val="clear" w:color="000000" w:fill="F2DCDB"/>
            <w:hideMark/>
          </w:tcPr>
          <w:p w14:paraId="187D0EED"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9</w:t>
            </w:r>
          </w:p>
        </w:tc>
        <w:tc>
          <w:tcPr>
            <w:tcW w:w="2824" w:type="dxa"/>
            <w:tcBorders>
              <w:top w:val="nil"/>
              <w:left w:val="nil"/>
              <w:bottom w:val="single" w:sz="4" w:space="0" w:color="auto"/>
              <w:right w:val="single" w:sz="4" w:space="0" w:color="auto"/>
            </w:tcBorders>
            <w:shd w:val="clear" w:color="000000" w:fill="F2DCDB"/>
            <w:vAlign w:val="bottom"/>
            <w:hideMark/>
          </w:tcPr>
          <w:p w14:paraId="10B264F4" w14:textId="77777777" w:rsidR="006036F0" w:rsidRPr="00BB662E" w:rsidRDefault="006036F0" w:rsidP="006036F0">
            <w:pPr>
              <w:spacing w:before="60" w:after="60"/>
              <w:ind w:firstLineChars="200" w:firstLine="480"/>
              <w:rPr>
                <w:rFonts w:ascii="Calibri" w:hAnsi="Calibri"/>
                <w:i/>
                <w:iCs/>
                <w:color w:val="000000"/>
                <w:lang w:eastAsia="en-GB"/>
              </w:rPr>
            </w:pPr>
            <w:r w:rsidRPr="00BB662E">
              <w:rPr>
                <w:rFonts w:ascii="Calibri" w:hAnsi="Calibri"/>
                <w:i/>
                <w:iCs/>
                <w:color w:val="000000"/>
                <w:lang w:eastAsia="en-GB"/>
              </w:rPr>
              <w:t>insert £</w:t>
            </w:r>
          </w:p>
        </w:tc>
      </w:tr>
      <w:tr w:rsidR="006036F0" w:rsidRPr="00BB662E" w14:paraId="55F4A6CC" w14:textId="77777777" w:rsidTr="006036F0">
        <w:trPr>
          <w:trHeight w:val="315"/>
        </w:trPr>
        <w:tc>
          <w:tcPr>
            <w:tcW w:w="607" w:type="dxa"/>
            <w:tcBorders>
              <w:top w:val="nil"/>
              <w:left w:val="single" w:sz="4" w:space="0" w:color="auto"/>
              <w:bottom w:val="single" w:sz="4" w:space="0" w:color="auto"/>
              <w:right w:val="single" w:sz="4" w:space="0" w:color="auto"/>
            </w:tcBorders>
            <w:shd w:val="clear" w:color="000000" w:fill="FFC000"/>
            <w:noWrap/>
            <w:hideMark/>
          </w:tcPr>
          <w:p w14:paraId="3A970A2E" w14:textId="77777777" w:rsidR="006036F0" w:rsidRPr="00BB662E" w:rsidRDefault="006036F0" w:rsidP="006036F0">
            <w:pPr>
              <w:spacing w:before="60" w:after="60"/>
              <w:jc w:val="center"/>
              <w:rPr>
                <w:rFonts w:ascii="Calibri" w:hAnsi="Calibri"/>
                <w:b/>
                <w:bCs w:val="0"/>
                <w:color w:val="000000"/>
                <w:szCs w:val="24"/>
                <w:lang w:eastAsia="en-GB"/>
              </w:rPr>
            </w:pPr>
            <w:r w:rsidRPr="00BB662E">
              <w:rPr>
                <w:rFonts w:ascii="Calibri" w:hAnsi="Calibri"/>
                <w:b/>
                <w:color w:val="000000"/>
                <w:szCs w:val="24"/>
                <w:lang w:eastAsia="en-GB"/>
              </w:rPr>
              <w:t> </w:t>
            </w:r>
          </w:p>
        </w:tc>
        <w:tc>
          <w:tcPr>
            <w:tcW w:w="6342" w:type="dxa"/>
            <w:tcBorders>
              <w:top w:val="nil"/>
              <w:left w:val="nil"/>
              <w:bottom w:val="single" w:sz="4" w:space="0" w:color="auto"/>
              <w:right w:val="single" w:sz="4" w:space="0" w:color="auto"/>
            </w:tcBorders>
            <w:shd w:val="clear" w:color="000000" w:fill="FFC000"/>
            <w:hideMark/>
          </w:tcPr>
          <w:p w14:paraId="4F6E56BC"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Local Context Information</w:t>
            </w:r>
          </w:p>
        </w:tc>
        <w:tc>
          <w:tcPr>
            <w:tcW w:w="2915" w:type="dxa"/>
            <w:tcBorders>
              <w:top w:val="nil"/>
              <w:left w:val="nil"/>
              <w:bottom w:val="single" w:sz="4" w:space="0" w:color="auto"/>
              <w:right w:val="single" w:sz="4" w:space="0" w:color="auto"/>
            </w:tcBorders>
            <w:shd w:val="clear" w:color="000000" w:fill="FFC000"/>
            <w:vAlign w:val="bottom"/>
            <w:hideMark/>
          </w:tcPr>
          <w:p w14:paraId="570243D6"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Practice to complete</w:t>
            </w:r>
          </w:p>
        </w:tc>
        <w:tc>
          <w:tcPr>
            <w:tcW w:w="519" w:type="dxa"/>
            <w:tcBorders>
              <w:top w:val="nil"/>
              <w:left w:val="nil"/>
              <w:bottom w:val="single" w:sz="4" w:space="0" w:color="auto"/>
              <w:right w:val="single" w:sz="4" w:space="0" w:color="auto"/>
            </w:tcBorders>
            <w:shd w:val="clear" w:color="000000" w:fill="FFC000"/>
            <w:vAlign w:val="bottom"/>
            <w:hideMark/>
          </w:tcPr>
          <w:p w14:paraId="0CF144E8"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 </w:t>
            </w:r>
          </w:p>
        </w:tc>
        <w:tc>
          <w:tcPr>
            <w:tcW w:w="1765" w:type="dxa"/>
            <w:tcBorders>
              <w:top w:val="nil"/>
              <w:left w:val="nil"/>
              <w:bottom w:val="single" w:sz="4" w:space="0" w:color="auto"/>
              <w:right w:val="single" w:sz="4" w:space="0" w:color="auto"/>
            </w:tcBorders>
            <w:shd w:val="clear" w:color="000000" w:fill="FFC000"/>
            <w:vAlign w:val="bottom"/>
            <w:hideMark/>
          </w:tcPr>
          <w:p w14:paraId="1EED3BCB"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 </w:t>
            </w:r>
          </w:p>
        </w:tc>
        <w:tc>
          <w:tcPr>
            <w:tcW w:w="2824" w:type="dxa"/>
            <w:tcBorders>
              <w:top w:val="nil"/>
              <w:left w:val="nil"/>
              <w:bottom w:val="single" w:sz="4" w:space="0" w:color="auto"/>
              <w:right w:val="single" w:sz="4" w:space="0" w:color="auto"/>
            </w:tcBorders>
            <w:shd w:val="clear" w:color="000000" w:fill="FFC000"/>
            <w:vAlign w:val="bottom"/>
            <w:hideMark/>
          </w:tcPr>
          <w:p w14:paraId="0E1BA77A"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Practice to complete</w:t>
            </w:r>
          </w:p>
        </w:tc>
      </w:tr>
      <w:tr w:rsidR="006036F0" w:rsidRPr="00BB662E" w14:paraId="1039122C" w14:textId="77777777" w:rsidTr="006036F0">
        <w:trPr>
          <w:trHeight w:val="435"/>
        </w:trPr>
        <w:tc>
          <w:tcPr>
            <w:tcW w:w="607" w:type="dxa"/>
            <w:tcBorders>
              <w:top w:val="nil"/>
              <w:left w:val="single" w:sz="4" w:space="0" w:color="auto"/>
              <w:bottom w:val="single" w:sz="4" w:space="0" w:color="auto"/>
              <w:right w:val="single" w:sz="4" w:space="0" w:color="auto"/>
            </w:tcBorders>
            <w:shd w:val="clear" w:color="auto" w:fill="auto"/>
            <w:noWrap/>
            <w:hideMark/>
          </w:tcPr>
          <w:p w14:paraId="25AFB1C8"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18</w:t>
            </w:r>
          </w:p>
        </w:tc>
        <w:tc>
          <w:tcPr>
            <w:tcW w:w="6342" w:type="dxa"/>
            <w:tcBorders>
              <w:top w:val="nil"/>
              <w:left w:val="nil"/>
              <w:bottom w:val="single" w:sz="4" w:space="0" w:color="auto"/>
              <w:right w:val="single" w:sz="4" w:space="0" w:color="auto"/>
            </w:tcBorders>
            <w:shd w:val="clear" w:color="000000" w:fill="D9D9D9"/>
            <w:hideMark/>
          </w:tcPr>
          <w:p w14:paraId="60441F0B" w14:textId="77777777" w:rsidR="006036F0" w:rsidRPr="00BB662E" w:rsidRDefault="006036F0" w:rsidP="006036F0">
            <w:pPr>
              <w:spacing w:before="60" w:after="60"/>
              <w:rPr>
                <w:rFonts w:ascii="Calibri" w:hAnsi="Calibri"/>
                <w:color w:val="000000"/>
                <w:lang w:eastAsia="en-GB"/>
              </w:rPr>
            </w:pPr>
            <w:r w:rsidRPr="00BB662E">
              <w:rPr>
                <w:rFonts w:ascii="Calibri" w:hAnsi="Calibri"/>
                <w:b/>
                <w:color w:val="000000"/>
                <w:lang w:eastAsia="en-GB"/>
              </w:rPr>
              <w:t xml:space="preserve">Practice Total </w:t>
            </w:r>
            <w:r w:rsidRPr="00BB662E">
              <w:rPr>
                <w:rFonts w:ascii="Calibri" w:hAnsi="Calibri"/>
                <w:color w:val="000000"/>
                <w:lang w:eastAsia="en-GB"/>
              </w:rPr>
              <w:t xml:space="preserve">number of </w:t>
            </w:r>
            <w:r w:rsidRPr="00BB662E">
              <w:rPr>
                <w:rFonts w:ascii="Calibri" w:hAnsi="Calibri"/>
                <w:b/>
                <w:color w:val="000000"/>
                <w:lang w:eastAsia="en-GB"/>
              </w:rPr>
              <w:t>GP sessions</w:t>
            </w:r>
            <w:r w:rsidRPr="00BB662E">
              <w:rPr>
                <w:rFonts w:ascii="Calibri" w:hAnsi="Calibri"/>
                <w:color w:val="000000"/>
                <w:lang w:eastAsia="en-GB"/>
              </w:rPr>
              <w:t xml:space="preserve"> worked/week?</w:t>
            </w:r>
          </w:p>
        </w:tc>
        <w:tc>
          <w:tcPr>
            <w:tcW w:w="2915" w:type="dxa"/>
            <w:tcBorders>
              <w:top w:val="nil"/>
              <w:left w:val="nil"/>
              <w:bottom w:val="single" w:sz="4" w:space="0" w:color="auto"/>
              <w:right w:val="single" w:sz="4" w:space="0" w:color="auto"/>
            </w:tcBorders>
            <w:shd w:val="clear" w:color="auto" w:fill="auto"/>
            <w:vAlign w:val="center"/>
            <w:hideMark/>
          </w:tcPr>
          <w:p w14:paraId="3067DD96" w14:textId="77777777" w:rsidR="006036F0" w:rsidRPr="00BB662E" w:rsidRDefault="006036F0" w:rsidP="006036F0">
            <w:pPr>
              <w:spacing w:before="60" w:after="60"/>
              <w:rPr>
                <w:rFonts w:ascii="Calibri" w:hAnsi="Calibri"/>
                <w:color w:val="000000"/>
                <w:sz w:val="20"/>
                <w:szCs w:val="20"/>
                <w:lang w:eastAsia="en-GB"/>
              </w:rPr>
            </w:pPr>
            <w:r w:rsidRPr="00BB662E">
              <w:rPr>
                <w:rFonts w:ascii="Calibri" w:hAnsi="Calibri"/>
                <w:color w:val="000000"/>
                <w:sz w:val="20"/>
                <w:szCs w:val="20"/>
                <w:lang w:eastAsia="en-GB"/>
              </w:rPr>
              <w:t>Understand GP access</w:t>
            </w:r>
          </w:p>
        </w:tc>
        <w:tc>
          <w:tcPr>
            <w:tcW w:w="2284" w:type="dxa"/>
            <w:gridSpan w:val="2"/>
            <w:tcBorders>
              <w:top w:val="single" w:sz="4" w:space="0" w:color="auto"/>
              <w:left w:val="nil"/>
              <w:bottom w:val="single" w:sz="4" w:space="0" w:color="auto"/>
              <w:right w:val="single" w:sz="4" w:space="0" w:color="000000"/>
            </w:tcBorders>
            <w:shd w:val="clear" w:color="auto" w:fill="auto"/>
            <w:vAlign w:val="center"/>
            <w:hideMark/>
          </w:tcPr>
          <w:p w14:paraId="1BAC8F3F" w14:textId="77777777" w:rsidR="006036F0" w:rsidRPr="00BB662E" w:rsidRDefault="006036F0" w:rsidP="006036F0">
            <w:pPr>
              <w:spacing w:before="60" w:after="60"/>
              <w:rPr>
                <w:rFonts w:ascii="Calibri" w:hAnsi="Calibri"/>
                <w:color w:val="000000"/>
                <w:sz w:val="20"/>
                <w:szCs w:val="20"/>
                <w:lang w:eastAsia="en-GB"/>
              </w:rPr>
            </w:pPr>
            <w:r w:rsidRPr="00BB662E">
              <w:rPr>
                <w:rFonts w:ascii="Calibri" w:hAnsi="Calibri"/>
                <w:color w:val="000000"/>
                <w:sz w:val="20"/>
                <w:szCs w:val="20"/>
                <w:lang w:eastAsia="en-GB"/>
              </w:rPr>
              <w:t>GP sessions</w:t>
            </w:r>
          </w:p>
        </w:tc>
        <w:tc>
          <w:tcPr>
            <w:tcW w:w="2824" w:type="dxa"/>
            <w:tcBorders>
              <w:top w:val="nil"/>
              <w:left w:val="nil"/>
              <w:bottom w:val="single" w:sz="4" w:space="0" w:color="auto"/>
              <w:right w:val="single" w:sz="4" w:space="0" w:color="auto"/>
            </w:tcBorders>
            <w:shd w:val="clear" w:color="000000" w:fill="F2DCDB"/>
            <w:vAlign w:val="bottom"/>
            <w:hideMark/>
          </w:tcPr>
          <w:p w14:paraId="46002FDD" w14:textId="77777777" w:rsidR="006036F0" w:rsidRPr="00BB662E" w:rsidRDefault="006036F0" w:rsidP="006036F0">
            <w:pPr>
              <w:spacing w:before="60" w:after="60"/>
              <w:jc w:val="right"/>
              <w:rPr>
                <w:rFonts w:ascii="Calibri" w:hAnsi="Calibri"/>
                <w:color w:val="000000"/>
                <w:lang w:eastAsia="en-GB"/>
              </w:rPr>
            </w:pPr>
            <w:r w:rsidRPr="00BB662E">
              <w:rPr>
                <w:rFonts w:ascii="Calibri" w:hAnsi="Calibri"/>
                <w:color w:val="000000"/>
                <w:lang w:eastAsia="en-GB"/>
              </w:rPr>
              <w:t>X sessions/week</w:t>
            </w:r>
          </w:p>
        </w:tc>
      </w:tr>
      <w:tr w:rsidR="006036F0" w:rsidRPr="00BB662E" w14:paraId="16F9FD18" w14:textId="77777777" w:rsidTr="006036F0">
        <w:trPr>
          <w:trHeight w:val="435"/>
        </w:trPr>
        <w:tc>
          <w:tcPr>
            <w:tcW w:w="607" w:type="dxa"/>
            <w:tcBorders>
              <w:top w:val="nil"/>
              <w:left w:val="single" w:sz="4" w:space="0" w:color="auto"/>
              <w:bottom w:val="single" w:sz="4" w:space="0" w:color="auto"/>
              <w:right w:val="single" w:sz="4" w:space="0" w:color="auto"/>
            </w:tcBorders>
            <w:shd w:val="clear" w:color="auto" w:fill="auto"/>
            <w:noWrap/>
            <w:hideMark/>
          </w:tcPr>
          <w:p w14:paraId="787AD023"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19</w:t>
            </w:r>
          </w:p>
        </w:tc>
        <w:tc>
          <w:tcPr>
            <w:tcW w:w="6342" w:type="dxa"/>
            <w:tcBorders>
              <w:top w:val="nil"/>
              <w:left w:val="nil"/>
              <w:bottom w:val="single" w:sz="4" w:space="0" w:color="auto"/>
              <w:right w:val="single" w:sz="4" w:space="0" w:color="auto"/>
            </w:tcBorders>
            <w:shd w:val="clear" w:color="000000" w:fill="D9D9D9"/>
            <w:hideMark/>
          </w:tcPr>
          <w:p w14:paraId="1A8FCAB9"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 xml:space="preserve">Number of </w:t>
            </w:r>
            <w:r w:rsidRPr="00BB662E">
              <w:rPr>
                <w:rFonts w:ascii="Calibri" w:hAnsi="Calibri"/>
                <w:b/>
                <w:color w:val="000000"/>
                <w:lang w:eastAsia="en-GB"/>
              </w:rPr>
              <w:t>patients per WTE GP</w:t>
            </w:r>
          </w:p>
        </w:tc>
        <w:tc>
          <w:tcPr>
            <w:tcW w:w="2915" w:type="dxa"/>
            <w:tcBorders>
              <w:top w:val="nil"/>
              <w:left w:val="nil"/>
              <w:bottom w:val="single" w:sz="4" w:space="0" w:color="auto"/>
              <w:right w:val="single" w:sz="4" w:space="0" w:color="auto"/>
            </w:tcBorders>
            <w:shd w:val="clear" w:color="auto" w:fill="auto"/>
            <w:vAlign w:val="center"/>
            <w:hideMark/>
          </w:tcPr>
          <w:p w14:paraId="1960E65D" w14:textId="77777777" w:rsidR="006036F0" w:rsidRPr="00BB662E" w:rsidRDefault="006036F0" w:rsidP="006036F0">
            <w:pPr>
              <w:spacing w:before="60" w:after="60"/>
              <w:rPr>
                <w:rFonts w:ascii="Calibri" w:hAnsi="Calibri"/>
                <w:color w:val="000000"/>
                <w:sz w:val="20"/>
                <w:szCs w:val="20"/>
                <w:lang w:eastAsia="en-GB"/>
              </w:rPr>
            </w:pPr>
            <w:r w:rsidRPr="00BB662E">
              <w:rPr>
                <w:rFonts w:ascii="Calibri" w:hAnsi="Calibri"/>
                <w:color w:val="000000"/>
                <w:sz w:val="20"/>
                <w:szCs w:val="20"/>
                <w:lang w:eastAsia="en-GB"/>
              </w:rPr>
              <w:t>Understand GP access</w:t>
            </w:r>
          </w:p>
        </w:tc>
        <w:tc>
          <w:tcPr>
            <w:tcW w:w="2284" w:type="dxa"/>
            <w:gridSpan w:val="2"/>
            <w:tcBorders>
              <w:top w:val="single" w:sz="4" w:space="0" w:color="auto"/>
              <w:left w:val="nil"/>
              <w:bottom w:val="single" w:sz="4" w:space="0" w:color="auto"/>
              <w:right w:val="single" w:sz="4" w:space="0" w:color="000000"/>
            </w:tcBorders>
            <w:shd w:val="clear" w:color="auto" w:fill="auto"/>
            <w:vAlign w:val="center"/>
            <w:hideMark/>
          </w:tcPr>
          <w:p w14:paraId="35723861" w14:textId="77777777" w:rsidR="006036F0" w:rsidRPr="00BB662E" w:rsidRDefault="006036F0" w:rsidP="006036F0">
            <w:pPr>
              <w:spacing w:before="60" w:after="60"/>
              <w:rPr>
                <w:rFonts w:ascii="Calibri" w:hAnsi="Calibri"/>
                <w:color w:val="000000"/>
                <w:sz w:val="20"/>
                <w:szCs w:val="20"/>
                <w:lang w:eastAsia="en-GB"/>
              </w:rPr>
            </w:pPr>
            <w:r w:rsidRPr="00BB662E">
              <w:rPr>
                <w:rFonts w:ascii="Calibri" w:hAnsi="Calibri"/>
                <w:color w:val="000000"/>
                <w:sz w:val="20"/>
                <w:szCs w:val="20"/>
                <w:lang w:eastAsia="en-GB"/>
              </w:rPr>
              <w:t>Patients/GP</w:t>
            </w:r>
          </w:p>
        </w:tc>
        <w:tc>
          <w:tcPr>
            <w:tcW w:w="2824" w:type="dxa"/>
            <w:tcBorders>
              <w:top w:val="nil"/>
              <w:left w:val="nil"/>
              <w:bottom w:val="single" w:sz="4" w:space="0" w:color="auto"/>
              <w:right w:val="single" w:sz="4" w:space="0" w:color="auto"/>
            </w:tcBorders>
            <w:shd w:val="clear" w:color="000000" w:fill="F2DCDB"/>
            <w:vAlign w:val="bottom"/>
            <w:hideMark/>
          </w:tcPr>
          <w:p w14:paraId="79E9BCB9" w14:textId="77777777" w:rsidR="006036F0" w:rsidRPr="00BB662E" w:rsidRDefault="006036F0" w:rsidP="006036F0">
            <w:pPr>
              <w:spacing w:before="60" w:after="60"/>
              <w:jc w:val="right"/>
              <w:rPr>
                <w:rFonts w:ascii="Calibri" w:hAnsi="Calibri"/>
                <w:color w:val="000000"/>
                <w:lang w:eastAsia="en-GB"/>
              </w:rPr>
            </w:pPr>
            <w:r w:rsidRPr="00BB662E">
              <w:rPr>
                <w:rFonts w:ascii="Calibri" w:hAnsi="Calibri"/>
                <w:color w:val="000000"/>
                <w:lang w:eastAsia="en-GB"/>
              </w:rPr>
              <w:t>XXXX patients/WTE GP</w:t>
            </w:r>
          </w:p>
        </w:tc>
      </w:tr>
      <w:tr w:rsidR="006036F0" w:rsidRPr="00BB662E" w14:paraId="2C308E5B" w14:textId="77777777" w:rsidTr="006036F0">
        <w:trPr>
          <w:trHeight w:val="300"/>
        </w:trPr>
        <w:tc>
          <w:tcPr>
            <w:tcW w:w="607" w:type="dxa"/>
            <w:vMerge w:val="restart"/>
            <w:tcBorders>
              <w:top w:val="nil"/>
              <w:left w:val="single" w:sz="4" w:space="0" w:color="auto"/>
              <w:bottom w:val="single" w:sz="4" w:space="0" w:color="000000"/>
              <w:right w:val="single" w:sz="4" w:space="0" w:color="auto"/>
            </w:tcBorders>
            <w:shd w:val="clear" w:color="auto" w:fill="auto"/>
            <w:noWrap/>
            <w:hideMark/>
          </w:tcPr>
          <w:p w14:paraId="0F6F4D2D"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20</w:t>
            </w:r>
          </w:p>
        </w:tc>
        <w:tc>
          <w:tcPr>
            <w:tcW w:w="6342" w:type="dxa"/>
            <w:vMerge w:val="restart"/>
            <w:tcBorders>
              <w:top w:val="nil"/>
              <w:left w:val="single" w:sz="4" w:space="0" w:color="auto"/>
              <w:bottom w:val="single" w:sz="4" w:space="0" w:color="000000"/>
              <w:right w:val="single" w:sz="4" w:space="0" w:color="auto"/>
            </w:tcBorders>
            <w:shd w:val="clear" w:color="000000" w:fill="D9D9D9"/>
            <w:hideMark/>
          </w:tcPr>
          <w:p w14:paraId="3BF06774"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 xml:space="preserve">Total no. of clinical </w:t>
            </w:r>
            <w:r w:rsidRPr="00BB662E">
              <w:rPr>
                <w:rFonts w:ascii="Calibri" w:hAnsi="Calibri"/>
                <w:b/>
                <w:color w:val="000000"/>
                <w:lang w:eastAsia="en-GB"/>
              </w:rPr>
              <w:t>(GP &amp; Qualified Nursing)</w:t>
            </w:r>
            <w:r w:rsidRPr="00BB662E">
              <w:rPr>
                <w:rFonts w:ascii="Calibri" w:hAnsi="Calibri"/>
                <w:color w:val="000000"/>
                <w:lang w:eastAsia="en-GB"/>
              </w:rPr>
              <w:t xml:space="preserve"> hours offered per week (incl. concurrent hours)</w:t>
            </w:r>
          </w:p>
        </w:tc>
        <w:tc>
          <w:tcPr>
            <w:tcW w:w="2915" w:type="dxa"/>
            <w:vMerge w:val="restart"/>
            <w:tcBorders>
              <w:top w:val="nil"/>
              <w:left w:val="single" w:sz="4" w:space="0" w:color="auto"/>
              <w:bottom w:val="single" w:sz="4" w:space="0" w:color="000000"/>
              <w:right w:val="single" w:sz="4" w:space="0" w:color="auto"/>
            </w:tcBorders>
            <w:shd w:val="clear" w:color="auto" w:fill="auto"/>
            <w:vAlign w:val="center"/>
            <w:hideMark/>
          </w:tcPr>
          <w:p w14:paraId="10BD9826" w14:textId="77777777" w:rsidR="006036F0" w:rsidRPr="00BB662E" w:rsidRDefault="006036F0" w:rsidP="006036F0">
            <w:pPr>
              <w:spacing w:before="60" w:after="60"/>
              <w:rPr>
                <w:rFonts w:ascii="Calibri" w:hAnsi="Calibri"/>
                <w:color w:val="000000"/>
                <w:sz w:val="20"/>
                <w:szCs w:val="20"/>
                <w:lang w:eastAsia="en-GB"/>
              </w:rPr>
            </w:pPr>
            <w:r w:rsidRPr="00BB662E">
              <w:rPr>
                <w:rFonts w:ascii="Calibri" w:hAnsi="Calibri"/>
                <w:color w:val="000000"/>
                <w:sz w:val="20"/>
                <w:szCs w:val="20"/>
                <w:lang w:eastAsia="en-GB"/>
              </w:rPr>
              <w:t>Understand total clinical access</w:t>
            </w:r>
          </w:p>
        </w:tc>
        <w:tc>
          <w:tcPr>
            <w:tcW w:w="2284" w:type="dxa"/>
            <w:gridSpan w:val="2"/>
            <w:tcBorders>
              <w:top w:val="single" w:sz="4" w:space="0" w:color="auto"/>
              <w:left w:val="nil"/>
              <w:bottom w:val="single" w:sz="4" w:space="0" w:color="auto"/>
              <w:right w:val="single" w:sz="4" w:space="0" w:color="000000"/>
            </w:tcBorders>
            <w:shd w:val="clear" w:color="auto" w:fill="auto"/>
            <w:vAlign w:val="center"/>
            <w:hideMark/>
          </w:tcPr>
          <w:p w14:paraId="54829676"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a) GP</w:t>
            </w:r>
          </w:p>
        </w:tc>
        <w:tc>
          <w:tcPr>
            <w:tcW w:w="2824" w:type="dxa"/>
            <w:tcBorders>
              <w:top w:val="nil"/>
              <w:left w:val="nil"/>
              <w:bottom w:val="single" w:sz="4" w:space="0" w:color="auto"/>
              <w:right w:val="single" w:sz="4" w:space="0" w:color="auto"/>
            </w:tcBorders>
            <w:shd w:val="clear" w:color="000000" w:fill="F2DCDB"/>
            <w:vAlign w:val="bottom"/>
            <w:hideMark/>
          </w:tcPr>
          <w:p w14:paraId="30D31099" w14:textId="77777777" w:rsidR="006036F0" w:rsidRPr="00BB662E" w:rsidRDefault="006036F0" w:rsidP="006036F0">
            <w:pPr>
              <w:spacing w:before="60" w:after="60"/>
              <w:jc w:val="right"/>
              <w:rPr>
                <w:rFonts w:ascii="Calibri" w:hAnsi="Calibri"/>
                <w:color w:val="000000"/>
                <w:lang w:eastAsia="en-GB"/>
              </w:rPr>
            </w:pPr>
            <w:r w:rsidRPr="00BB662E">
              <w:rPr>
                <w:rFonts w:ascii="Calibri" w:hAnsi="Calibri"/>
                <w:color w:val="000000"/>
                <w:lang w:eastAsia="en-GB"/>
              </w:rPr>
              <w:t>hrs/week</w:t>
            </w:r>
          </w:p>
        </w:tc>
      </w:tr>
      <w:tr w:rsidR="006036F0" w:rsidRPr="00BB662E" w14:paraId="05EC7ED9" w14:textId="77777777" w:rsidTr="006036F0">
        <w:trPr>
          <w:trHeight w:val="300"/>
        </w:trPr>
        <w:tc>
          <w:tcPr>
            <w:tcW w:w="607" w:type="dxa"/>
            <w:vMerge/>
            <w:tcBorders>
              <w:top w:val="nil"/>
              <w:left w:val="single" w:sz="4" w:space="0" w:color="auto"/>
              <w:bottom w:val="single" w:sz="4" w:space="0" w:color="000000"/>
              <w:right w:val="single" w:sz="4" w:space="0" w:color="auto"/>
            </w:tcBorders>
            <w:vAlign w:val="center"/>
            <w:hideMark/>
          </w:tcPr>
          <w:p w14:paraId="5DD20B8E" w14:textId="77777777" w:rsidR="006036F0" w:rsidRPr="00BB662E" w:rsidRDefault="006036F0" w:rsidP="006036F0">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5E121FE6" w14:textId="77777777" w:rsidR="006036F0" w:rsidRPr="00BB662E" w:rsidRDefault="006036F0" w:rsidP="006036F0">
            <w:pPr>
              <w:spacing w:before="60" w:after="60"/>
              <w:rPr>
                <w:rFonts w:ascii="Calibri" w:hAnsi="Calibri"/>
                <w:color w:val="000000"/>
                <w:lang w:eastAsia="en-GB"/>
              </w:rPr>
            </w:pPr>
          </w:p>
        </w:tc>
        <w:tc>
          <w:tcPr>
            <w:tcW w:w="2915" w:type="dxa"/>
            <w:vMerge/>
            <w:tcBorders>
              <w:top w:val="nil"/>
              <w:left w:val="single" w:sz="4" w:space="0" w:color="auto"/>
              <w:bottom w:val="single" w:sz="4" w:space="0" w:color="000000"/>
              <w:right w:val="single" w:sz="4" w:space="0" w:color="auto"/>
            </w:tcBorders>
            <w:vAlign w:val="center"/>
            <w:hideMark/>
          </w:tcPr>
          <w:p w14:paraId="785EA82C" w14:textId="77777777" w:rsidR="006036F0" w:rsidRPr="00BB662E" w:rsidRDefault="006036F0" w:rsidP="006036F0">
            <w:pPr>
              <w:spacing w:before="60" w:after="60"/>
              <w:rPr>
                <w:rFonts w:ascii="Calibri" w:hAnsi="Calibri"/>
                <w:color w:val="000000"/>
                <w:sz w:val="20"/>
                <w:szCs w:val="20"/>
                <w:lang w:eastAsia="en-GB"/>
              </w:rPr>
            </w:pPr>
          </w:p>
        </w:tc>
        <w:tc>
          <w:tcPr>
            <w:tcW w:w="2284" w:type="dxa"/>
            <w:gridSpan w:val="2"/>
            <w:tcBorders>
              <w:top w:val="single" w:sz="4" w:space="0" w:color="auto"/>
              <w:left w:val="nil"/>
              <w:bottom w:val="single" w:sz="4" w:space="0" w:color="auto"/>
              <w:right w:val="single" w:sz="4" w:space="0" w:color="000000"/>
            </w:tcBorders>
            <w:shd w:val="clear" w:color="auto" w:fill="auto"/>
            <w:vAlign w:val="center"/>
            <w:hideMark/>
          </w:tcPr>
          <w:p w14:paraId="62669638"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b) Nurse</w:t>
            </w:r>
          </w:p>
        </w:tc>
        <w:tc>
          <w:tcPr>
            <w:tcW w:w="2824" w:type="dxa"/>
            <w:tcBorders>
              <w:top w:val="nil"/>
              <w:left w:val="nil"/>
              <w:bottom w:val="single" w:sz="4" w:space="0" w:color="auto"/>
              <w:right w:val="single" w:sz="4" w:space="0" w:color="auto"/>
            </w:tcBorders>
            <w:shd w:val="clear" w:color="000000" w:fill="F2DCDB"/>
            <w:vAlign w:val="bottom"/>
            <w:hideMark/>
          </w:tcPr>
          <w:p w14:paraId="149DD476" w14:textId="77777777" w:rsidR="006036F0" w:rsidRPr="00BB662E" w:rsidRDefault="006036F0" w:rsidP="006036F0">
            <w:pPr>
              <w:spacing w:before="60" w:after="60"/>
              <w:jc w:val="right"/>
              <w:rPr>
                <w:rFonts w:ascii="Calibri" w:hAnsi="Calibri"/>
                <w:color w:val="000000"/>
                <w:lang w:eastAsia="en-GB"/>
              </w:rPr>
            </w:pPr>
            <w:r w:rsidRPr="00BB662E">
              <w:rPr>
                <w:rFonts w:ascii="Calibri" w:hAnsi="Calibri"/>
                <w:color w:val="000000"/>
                <w:lang w:eastAsia="en-GB"/>
              </w:rPr>
              <w:t>hrs/week</w:t>
            </w:r>
          </w:p>
        </w:tc>
      </w:tr>
      <w:tr w:rsidR="006036F0" w:rsidRPr="00BB662E" w14:paraId="4490633D" w14:textId="77777777" w:rsidTr="006036F0">
        <w:trPr>
          <w:trHeight w:val="300"/>
        </w:trPr>
        <w:tc>
          <w:tcPr>
            <w:tcW w:w="607" w:type="dxa"/>
            <w:vMerge/>
            <w:tcBorders>
              <w:top w:val="nil"/>
              <w:left w:val="single" w:sz="4" w:space="0" w:color="auto"/>
              <w:bottom w:val="single" w:sz="4" w:space="0" w:color="000000"/>
              <w:right w:val="single" w:sz="4" w:space="0" w:color="auto"/>
            </w:tcBorders>
            <w:vAlign w:val="center"/>
            <w:hideMark/>
          </w:tcPr>
          <w:p w14:paraId="5CCB0559" w14:textId="77777777" w:rsidR="006036F0" w:rsidRPr="00BB662E" w:rsidRDefault="006036F0" w:rsidP="006036F0">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73992236" w14:textId="77777777" w:rsidR="006036F0" w:rsidRPr="00BB662E" w:rsidRDefault="006036F0" w:rsidP="006036F0">
            <w:pPr>
              <w:spacing w:before="60" w:after="60"/>
              <w:rPr>
                <w:rFonts w:ascii="Calibri" w:hAnsi="Calibri"/>
                <w:color w:val="000000"/>
                <w:lang w:eastAsia="en-GB"/>
              </w:rPr>
            </w:pPr>
          </w:p>
        </w:tc>
        <w:tc>
          <w:tcPr>
            <w:tcW w:w="2915" w:type="dxa"/>
            <w:vMerge/>
            <w:tcBorders>
              <w:top w:val="nil"/>
              <w:left w:val="single" w:sz="4" w:space="0" w:color="auto"/>
              <w:bottom w:val="single" w:sz="4" w:space="0" w:color="000000"/>
              <w:right w:val="single" w:sz="4" w:space="0" w:color="auto"/>
            </w:tcBorders>
            <w:vAlign w:val="center"/>
            <w:hideMark/>
          </w:tcPr>
          <w:p w14:paraId="54C26D9F" w14:textId="77777777" w:rsidR="006036F0" w:rsidRPr="00BB662E" w:rsidRDefault="006036F0" w:rsidP="006036F0">
            <w:pPr>
              <w:spacing w:before="60" w:after="60"/>
              <w:rPr>
                <w:rFonts w:ascii="Calibri" w:hAnsi="Calibri"/>
                <w:color w:val="000000"/>
                <w:sz w:val="20"/>
                <w:szCs w:val="20"/>
                <w:lang w:eastAsia="en-GB"/>
              </w:rPr>
            </w:pPr>
          </w:p>
        </w:tc>
        <w:tc>
          <w:tcPr>
            <w:tcW w:w="2284" w:type="dxa"/>
            <w:gridSpan w:val="2"/>
            <w:tcBorders>
              <w:top w:val="single" w:sz="4" w:space="0" w:color="auto"/>
              <w:left w:val="nil"/>
              <w:bottom w:val="single" w:sz="4" w:space="0" w:color="auto"/>
              <w:right w:val="single" w:sz="4" w:space="0" w:color="000000"/>
            </w:tcBorders>
            <w:shd w:val="clear" w:color="auto" w:fill="auto"/>
            <w:vAlign w:val="center"/>
            <w:hideMark/>
          </w:tcPr>
          <w:p w14:paraId="41F45E47"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c) Other</w:t>
            </w:r>
          </w:p>
        </w:tc>
        <w:tc>
          <w:tcPr>
            <w:tcW w:w="2824" w:type="dxa"/>
            <w:tcBorders>
              <w:top w:val="nil"/>
              <w:left w:val="nil"/>
              <w:bottom w:val="single" w:sz="4" w:space="0" w:color="auto"/>
              <w:right w:val="single" w:sz="4" w:space="0" w:color="auto"/>
            </w:tcBorders>
            <w:shd w:val="clear" w:color="000000" w:fill="F2DCDB"/>
            <w:vAlign w:val="bottom"/>
            <w:hideMark/>
          </w:tcPr>
          <w:p w14:paraId="56D1AAC0"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state e</w:t>
            </w:r>
            <w:r>
              <w:rPr>
                <w:rFonts w:ascii="Calibri" w:hAnsi="Calibri"/>
                <w:color w:val="000000"/>
                <w:lang w:eastAsia="en-GB"/>
              </w:rPr>
              <w:t>.</w:t>
            </w:r>
            <w:r w:rsidRPr="00BB662E">
              <w:rPr>
                <w:rFonts w:ascii="Calibri" w:hAnsi="Calibri"/>
                <w:color w:val="000000"/>
                <w:lang w:eastAsia="en-GB"/>
              </w:rPr>
              <w:t>g</w:t>
            </w:r>
            <w:r>
              <w:rPr>
                <w:rFonts w:ascii="Calibri" w:hAnsi="Calibri"/>
                <w:color w:val="000000"/>
                <w:lang w:eastAsia="en-GB"/>
              </w:rPr>
              <w:t>.</w:t>
            </w:r>
            <w:r w:rsidRPr="00BB662E">
              <w:rPr>
                <w:rFonts w:ascii="Calibri" w:hAnsi="Calibri"/>
                <w:color w:val="000000"/>
                <w:lang w:eastAsia="en-GB"/>
              </w:rPr>
              <w:t xml:space="preserve"> Pharmacist hours/week</w:t>
            </w:r>
          </w:p>
        </w:tc>
      </w:tr>
      <w:tr w:rsidR="006036F0" w:rsidRPr="00BB662E" w14:paraId="3A057D7C" w14:textId="77777777" w:rsidTr="006036F0">
        <w:trPr>
          <w:trHeight w:val="300"/>
        </w:trPr>
        <w:tc>
          <w:tcPr>
            <w:tcW w:w="607" w:type="dxa"/>
            <w:vMerge/>
            <w:tcBorders>
              <w:top w:val="nil"/>
              <w:left w:val="single" w:sz="4" w:space="0" w:color="auto"/>
              <w:bottom w:val="single" w:sz="4" w:space="0" w:color="000000"/>
              <w:right w:val="single" w:sz="4" w:space="0" w:color="auto"/>
            </w:tcBorders>
            <w:vAlign w:val="center"/>
            <w:hideMark/>
          </w:tcPr>
          <w:p w14:paraId="723BECAE" w14:textId="77777777" w:rsidR="006036F0" w:rsidRPr="00BB662E" w:rsidRDefault="006036F0" w:rsidP="006036F0">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7FF3C106" w14:textId="77777777" w:rsidR="006036F0" w:rsidRPr="00BB662E" w:rsidRDefault="006036F0" w:rsidP="006036F0">
            <w:pPr>
              <w:spacing w:before="60" w:after="60"/>
              <w:rPr>
                <w:rFonts w:ascii="Calibri" w:hAnsi="Calibri"/>
                <w:color w:val="000000"/>
                <w:lang w:eastAsia="en-GB"/>
              </w:rPr>
            </w:pPr>
          </w:p>
        </w:tc>
        <w:tc>
          <w:tcPr>
            <w:tcW w:w="2915" w:type="dxa"/>
            <w:vMerge/>
            <w:tcBorders>
              <w:top w:val="nil"/>
              <w:left w:val="single" w:sz="4" w:space="0" w:color="auto"/>
              <w:bottom w:val="single" w:sz="4" w:space="0" w:color="000000"/>
              <w:right w:val="single" w:sz="4" w:space="0" w:color="auto"/>
            </w:tcBorders>
            <w:vAlign w:val="center"/>
            <w:hideMark/>
          </w:tcPr>
          <w:p w14:paraId="45410016" w14:textId="77777777" w:rsidR="006036F0" w:rsidRPr="00BB662E" w:rsidRDefault="006036F0" w:rsidP="006036F0">
            <w:pPr>
              <w:spacing w:before="60" w:after="60"/>
              <w:rPr>
                <w:rFonts w:ascii="Calibri" w:hAnsi="Calibri"/>
                <w:color w:val="000000"/>
                <w:sz w:val="20"/>
                <w:szCs w:val="20"/>
                <w:lang w:eastAsia="en-GB"/>
              </w:rPr>
            </w:pPr>
          </w:p>
        </w:tc>
        <w:tc>
          <w:tcPr>
            <w:tcW w:w="2284" w:type="dxa"/>
            <w:gridSpan w:val="2"/>
            <w:tcBorders>
              <w:top w:val="single" w:sz="4" w:space="0" w:color="auto"/>
              <w:left w:val="nil"/>
              <w:bottom w:val="single" w:sz="4" w:space="0" w:color="auto"/>
              <w:right w:val="single" w:sz="4" w:space="0" w:color="000000"/>
            </w:tcBorders>
            <w:shd w:val="clear" w:color="auto" w:fill="auto"/>
            <w:vAlign w:val="center"/>
            <w:hideMark/>
          </w:tcPr>
          <w:p w14:paraId="69AD1E09"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Total</w:t>
            </w:r>
          </w:p>
        </w:tc>
        <w:tc>
          <w:tcPr>
            <w:tcW w:w="2824" w:type="dxa"/>
            <w:tcBorders>
              <w:top w:val="nil"/>
              <w:left w:val="nil"/>
              <w:bottom w:val="single" w:sz="4" w:space="0" w:color="auto"/>
              <w:right w:val="single" w:sz="4" w:space="0" w:color="auto"/>
            </w:tcBorders>
            <w:shd w:val="clear" w:color="000000" w:fill="F2DCDB"/>
            <w:vAlign w:val="bottom"/>
            <w:hideMark/>
          </w:tcPr>
          <w:p w14:paraId="31663B80" w14:textId="77777777" w:rsidR="006036F0" w:rsidRPr="00BB662E" w:rsidRDefault="006036F0" w:rsidP="006036F0">
            <w:pPr>
              <w:spacing w:before="60" w:after="60"/>
              <w:jc w:val="right"/>
              <w:rPr>
                <w:rFonts w:ascii="Calibri" w:hAnsi="Calibri"/>
                <w:color w:val="000000"/>
                <w:lang w:eastAsia="en-GB"/>
              </w:rPr>
            </w:pPr>
            <w:r w:rsidRPr="00BB662E">
              <w:rPr>
                <w:rFonts w:ascii="Calibri" w:hAnsi="Calibri"/>
                <w:color w:val="000000"/>
                <w:lang w:eastAsia="en-GB"/>
              </w:rPr>
              <w:t>hrs/week</w:t>
            </w:r>
          </w:p>
        </w:tc>
      </w:tr>
      <w:tr w:rsidR="006036F0" w:rsidRPr="00BB662E" w14:paraId="7BA95BE1" w14:textId="77777777" w:rsidTr="006036F0">
        <w:trPr>
          <w:trHeight w:val="600"/>
        </w:trPr>
        <w:tc>
          <w:tcPr>
            <w:tcW w:w="607" w:type="dxa"/>
            <w:tcBorders>
              <w:top w:val="nil"/>
              <w:left w:val="single" w:sz="4" w:space="0" w:color="auto"/>
              <w:bottom w:val="single" w:sz="4" w:space="0" w:color="auto"/>
              <w:right w:val="single" w:sz="4" w:space="0" w:color="auto"/>
            </w:tcBorders>
            <w:shd w:val="clear" w:color="auto" w:fill="auto"/>
            <w:noWrap/>
            <w:hideMark/>
          </w:tcPr>
          <w:p w14:paraId="7FABCBAB"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21</w:t>
            </w:r>
          </w:p>
        </w:tc>
        <w:tc>
          <w:tcPr>
            <w:tcW w:w="6342" w:type="dxa"/>
            <w:tcBorders>
              <w:top w:val="nil"/>
              <w:left w:val="nil"/>
              <w:bottom w:val="single" w:sz="4" w:space="0" w:color="auto"/>
              <w:right w:val="single" w:sz="4" w:space="0" w:color="auto"/>
            </w:tcBorders>
            <w:shd w:val="clear" w:color="000000" w:fill="D9D9D9"/>
            <w:hideMark/>
          </w:tcPr>
          <w:p w14:paraId="7CB16637"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 xml:space="preserve">Has the practice received any </w:t>
            </w:r>
            <w:r w:rsidRPr="00BB662E">
              <w:rPr>
                <w:rFonts w:ascii="Calibri" w:hAnsi="Calibri"/>
                <w:b/>
                <w:color w:val="000000"/>
                <w:lang w:eastAsia="en-GB"/>
              </w:rPr>
              <w:t xml:space="preserve">contract breaches </w:t>
            </w:r>
            <w:r w:rsidRPr="00BB662E">
              <w:rPr>
                <w:rFonts w:ascii="Calibri" w:hAnsi="Calibri"/>
                <w:color w:val="000000"/>
                <w:lang w:eastAsia="en-GB"/>
              </w:rPr>
              <w:t>since 1 April 2013?</w:t>
            </w:r>
          </w:p>
        </w:tc>
        <w:tc>
          <w:tcPr>
            <w:tcW w:w="2915" w:type="dxa"/>
            <w:tcBorders>
              <w:top w:val="nil"/>
              <w:left w:val="nil"/>
              <w:bottom w:val="single" w:sz="4" w:space="0" w:color="auto"/>
              <w:right w:val="single" w:sz="4" w:space="0" w:color="auto"/>
            </w:tcBorders>
            <w:shd w:val="clear" w:color="auto" w:fill="auto"/>
            <w:vAlign w:val="bottom"/>
            <w:hideMark/>
          </w:tcPr>
          <w:p w14:paraId="3CAB3900" w14:textId="77777777" w:rsidR="006036F0" w:rsidRPr="00BB662E" w:rsidRDefault="006036F0" w:rsidP="006036F0">
            <w:pPr>
              <w:spacing w:before="60" w:after="60"/>
              <w:rPr>
                <w:rFonts w:ascii="Calibri" w:hAnsi="Calibri"/>
                <w:color w:val="000000"/>
                <w:sz w:val="20"/>
                <w:szCs w:val="20"/>
                <w:lang w:eastAsia="en-GB"/>
              </w:rPr>
            </w:pPr>
            <w:r w:rsidRPr="00BB662E">
              <w:rPr>
                <w:rFonts w:ascii="Calibri" w:hAnsi="Calibri"/>
                <w:color w:val="000000"/>
                <w:sz w:val="20"/>
                <w:szCs w:val="20"/>
                <w:lang w:eastAsia="en-GB"/>
              </w:rPr>
              <w:t>Potential marker of poorer quality practice</w:t>
            </w:r>
          </w:p>
        </w:tc>
        <w:tc>
          <w:tcPr>
            <w:tcW w:w="519" w:type="dxa"/>
            <w:tcBorders>
              <w:top w:val="nil"/>
              <w:left w:val="nil"/>
              <w:bottom w:val="single" w:sz="4" w:space="0" w:color="auto"/>
              <w:right w:val="single" w:sz="4" w:space="0" w:color="auto"/>
            </w:tcBorders>
            <w:shd w:val="clear" w:color="000000" w:fill="F2DCDB"/>
            <w:hideMark/>
          </w:tcPr>
          <w:p w14:paraId="0FB699EF"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6B3C0CA3"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4" w:space="0" w:color="auto"/>
              <w:right w:val="single" w:sz="4" w:space="0" w:color="auto"/>
            </w:tcBorders>
            <w:shd w:val="clear" w:color="auto" w:fill="auto"/>
            <w:vAlign w:val="bottom"/>
            <w:hideMark/>
          </w:tcPr>
          <w:p w14:paraId="79BDA67F" w14:textId="77777777" w:rsidR="006036F0" w:rsidRPr="00BB662E" w:rsidRDefault="006036F0" w:rsidP="006036F0">
            <w:pPr>
              <w:spacing w:before="60" w:after="60"/>
              <w:rPr>
                <w:rFonts w:ascii="Calibri" w:hAnsi="Calibri"/>
                <w:i/>
                <w:iCs/>
                <w:color w:val="000000"/>
                <w:lang w:eastAsia="en-GB"/>
              </w:rPr>
            </w:pPr>
            <w:r w:rsidRPr="00BB662E">
              <w:rPr>
                <w:rFonts w:ascii="Calibri" w:hAnsi="Calibri"/>
                <w:i/>
                <w:iCs/>
                <w:color w:val="000000"/>
                <w:lang w:eastAsia="en-GB"/>
              </w:rPr>
              <w:t>Details not required</w:t>
            </w:r>
          </w:p>
        </w:tc>
      </w:tr>
      <w:tr w:rsidR="006036F0" w:rsidRPr="00BB662E" w14:paraId="50FC1AFD" w14:textId="77777777" w:rsidTr="006036F0">
        <w:trPr>
          <w:trHeight w:val="630"/>
        </w:trPr>
        <w:tc>
          <w:tcPr>
            <w:tcW w:w="607" w:type="dxa"/>
            <w:tcBorders>
              <w:top w:val="nil"/>
              <w:left w:val="single" w:sz="4" w:space="0" w:color="auto"/>
              <w:bottom w:val="single" w:sz="4" w:space="0" w:color="auto"/>
              <w:right w:val="single" w:sz="4" w:space="0" w:color="auto"/>
            </w:tcBorders>
            <w:shd w:val="clear" w:color="auto" w:fill="auto"/>
            <w:noWrap/>
            <w:hideMark/>
          </w:tcPr>
          <w:p w14:paraId="2B36CFC9"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22</w:t>
            </w:r>
          </w:p>
        </w:tc>
        <w:tc>
          <w:tcPr>
            <w:tcW w:w="6342" w:type="dxa"/>
            <w:tcBorders>
              <w:top w:val="nil"/>
              <w:left w:val="nil"/>
              <w:bottom w:val="single" w:sz="4" w:space="0" w:color="auto"/>
              <w:right w:val="single" w:sz="4" w:space="0" w:color="auto"/>
            </w:tcBorders>
            <w:shd w:val="clear" w:color="000000" w:fill="D9D9D9"/>
            <w:hideMark/>
          </w:tcPr>
          <w:p w14:paraId="70CE0E09"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 xml:space="preserve">Are any of the </w:t>
            </w:r>
            <w:r w:rsidRPr="00BB662E">
              <w:rPr>
                <w:rFonts w:ascii="Calibri" w:hAnsi="Calibri"/>
                <w:b/>
                <w:color w:val="000000"/>
                <w:lang w:eastAsia="en-GB"/>
              </w:rPr>
              <w:t xml:space="preserve">GP performers </w:t>
            </w:r>
            <w:r w:rsidRPr="00BB662E">
              <w:rPr>
                <w:rFonts w:ascii="Calibri" w:hAnsi="Calibri"/>
                <w:color w:val="000000"/>
                <w:lang w:eastAsia="en-GB"/>
              </w:rPr>
              <w:t>being investigated by NHS England Medical Directorate or GMC?</w:t>
            </w:r>
          </w:p>
        </w:tc>
        <w:tc>
          <w:tcPr>
            <w:tcW w:w="2915" w:type="dxa"/>
            <w:tcBorders>
              <w:top w:val="nil"/>
              <w:left w:val="nil"/>
              <w:bottom w:val="single" w:sz="4" w:space="0" w:color="auto"/>
              <w:right w:val="single" w:sz="4" w:space="0" w:color="auto"/>
            </w:tcBorders>
            <w:shd w:val="clear" w:color="auto" w:fill="auto"/>
            <w:vAlign w:val="bottom"/>
            <w:hideMark/>
          </w:tcPr>
          <w:p w14:paraId="2BFD5C11" w14:textId="77777777" w:rsidR="006036F0" w:rsidRPr="00BB662E" w:rsidRDefault="006036F0" w:rsidP="006036F0">
            <w:pPr>
              <w:spacing w:before="60" w:after="60"/>
              <w:rPr>
                <w:rFonts w:ascii="Calibri" w:hAnsi="Calibri"/>
                <w:color w:val="000000"/>
                <w:sz w:val="20"/>
                <w:szCs w:val="20"/>
                <w:lang w:eastAsia="en-GB"/>
              </w:rPr>
            </w:pPr>
            <w:r w:rsidRPr="00BB662E">
              <w:rPr>
                <w:rFonts w:ascii="Calibri" w:hAnsi="Calibri"/>
                <w:color w:val="000000"/>
                <w:sz w:val="20"/>
                <w:szCs w:val="20"/>
                <w:lang w:eastAsia="en-GB"/>
              </w:rPr>
              <w:t>Potential marker of poorer quality practice</w:t>
            </w:r>
          </w:p>
        </w:tc>
        <w:tc>
          <w:tcPr>
            <w:tcW w:w="519" w:type="dxa"/>
            <w:tcBorders>
              <w:top w:val="nil"/>
              <w:left w:val="nil"/>
              <w:bottom w:val="single" w:sz="4" w:space="0" w:color="auto"/>
              <w:right w:val="single" w:sz="4" w:space="0" w:color="auto"/>
            </w:tcBorders>
            <w:shd w:val="clear" w:color="000000" w:fill="F2DCDB"/>
            <w:hideMark/>
          </w:tcPr>
          <w:p w14:paraId="31C1C820"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72274631"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4" w:space="0" w:color="auto"/>
              <w:right w:val="single" w:sz="4" w:space="0" w:color="auto"/>
            </w:tcBorders>
            <w:shd w:val="clear" w:color="auto" w:fill="auto"/>
            <w:vAlign w:val="bottom"/>
            <w:hideMark/>
          </w:tcPr>
          <w:p w14:paraId="67BCCC72" w14:textId="77777777" w:rsidR="006036F0" w:rsidRPr="00BB662E" w:rsidRDefault="006036F0" w:rsidP="006036F0">
            <w:pPr>
              <w:spacing w:before="60" w:after="60"/>
              <w:rPr>
                <w:rFonts w:ascii="Calibri" w:hAnsi="Calibri"/>
                <w:i/>
                <w:iCs/>
                <w:color w:val="000000"/>
                <w:lang w:eastAsia="en-GB"/>
              </w:rPr>
            </w:pPr>
            <w:r w:rsidRPr="00BB662E">
              <w:rPr>
                <w:rFonts w:ascii="Calibri" w:hAnsi="Calibri"/>
                <w:i/>
                <w:iCs/>
                <w:color w:val="000000"/>
                <w:lang w:eastAsia="en-GB"/>
              </w:rPr>
              <w:t>Details not required</w:t>
            </w:r>
          </w:p>
        </w:tc>
      </w:tr>
      <w:tr w:rsidR="006036F0" w:rsidRPr="00BB662E" w14:paraId="7CABE23B" w14:textId="77777777" w:rsidTr="006036F0">
        <w:trPr>
          <w:trHeight w:val="675"/>
        </w:trPr>
        <w:tc>
          <w:tcPr>
            <w:tcW w:w="607" w:type="dxa"/>
            <w:tcBorders>
              <w:top w:val="nil"/>
              <w:left w:val="single" w:sz="4" w:space="0" w:color="auto"/>
              <w:bottom w:val="single" w:sz="4" w:space="0" w:color="auto"/>
              <w:right w:val="single" w:sz="4" w:space="0" w:color="auto"/>
            </w:tcBorders>
            <w:shd w:val="clear" w:color="auto" w:fill="auto"/>
            <w:noWrap/>
            <w:hideMark/>
          </w:tcPr>
          <w:p w14:paraId="72A43320"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23</w:t>
            </w:r>
          </w:p>
        </w:tc>
        <w:tc>
          <w:tcPr>
            <w:tcW w:w="6342" w:type="dxa"/>
            <w:tcBorders>
              <w:top w:val="nil"/>
              <w:left w:val="nil"/>
              <w:bottom w:val="single" w:sz="4" w:space="0" w:color="auto"/>
              <w:right w:val="single" w:sz="4" w:space="0" w:color="auto"/>
            </w:tcBorders>
            <w:shd w:val="clear" w:color="000000" w:fill="D9D9D9"/>
            <w:hideMark/>
          </w:tcPr>
          <w:p w14:paraId="204A3CF3"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 xml:space="preserve">What was the Practices published </w:t>
            </w:r>
            <w:r w:rsidRPr="00BB662E">
              <w:rPr>
                <w:rFonts w:ascii="Calibri" w:hAnsi="Calibri"/>
                <w:b/>
                <w:color w:val="000000"/>
                <w:lang w:eastAsia="en-GB"/>
              </w:rPr>
              <w:t>CQC overall rating</w:t>
            </w:r>
            <w:r w:rsidRPr="00BB662E">
              <w:rPr>
                <w:rFonts w:ascii="Calibri" w:hAnsi="Calibri"/>
                <w:color w:val="000000"/>
                <w:lang w:eastAsia="en-GB"/>
              </w:rPr>
              <w:t>?</w:t>
            </w:r>
          </w:p>
        </w:tc>
        <w:tc>
          <w:tcPr>
            <w:tcW w:w="2915" w:type="dxa"/>
            <w:tcBorders>
              <w:top w:val="nil"/>
              <w:left w:val="nil"/>
              <w:bottom w:val="single" w:sz="4" w:space="0" w:color="auto"/>
              <w:right w:val="single" w:sz="4" w:space="0" w:color="auto"/>
            </w:tcBorders>
            <w:shd w:val="clear" w:color="auto" w:fill="auto"/>
            <w:vAlign w:val="center"/>
            <w:hideMark/>
          </w:tcPr>
          <w:p w14:paraId="5B110686" w14:textId="77777777" w:rsidR="006036F0" w:rsidRPr="00BB662E" w:rsidRDefault="006036F0" w:rsidP="006036F0">
            <w:pPr>
              <w:spacing w:before="60" w:after="60"/>
              <w:rPr>
                <w:rFonts w:ascii="Calibri" w:hAnsi="Calibri"/>
                <w:color w:val="000000"/>
                <w:sz w:val="20"/>
                <w:szCs w:val="20"/>
                <w:lang w:eastAsia="en-GB"/>
              </w:rPr>
            </w:pPr>
            <w:r w:rsidRPr="00BB662E">
              <w:rPr>
                <w:rFonts w:ascii="Calibri" w:hAnsi="Calibri"/>
                <w:color w:val="000000"/>
                <w:sz w:val="20"/>
                <w:szCs w:val="20"/>
                <w:lang w:eastAsia="en-GB"/>
              </w:rPr>
              <w:t>Understanding of practice quality issues</w:t>
            </w:r>
          </w:p>
        </w:tc>
        <w:tc>
          <w:tcPr>
            <w:tcW w:w="2284" w:type="dxa"/>
            <w:gridSpan w:val="2"/>
            <w:tcBorders>
              <w:top w:val="single" w:sz="4" w:space="0" w:color="auto"/>
              <w:left w:val="nil"/>
              <w:bottom w:val="single" w:sz="4" w:space="0" w:color="auto"/>
              <w:right w:val="single" w:sz="4" w:space="0" w:color="000000"/>
            </w:tcBorders>
            <w:shd w:val="clear" w:color="auto" w:fill="auto"/>
            <w:vAlign w:val="center"/>
            <w:hideMark/>
          </w:tcPr>
          <w:p w14:paraId="37343120"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Please state</w:t>
            </w:r>
          </w:p>
        </w:tc>
        <w:tc>
          <w:tcPr>
            <w:tcW w:w="2824" w:type="dxa"/>
            <w:tcBorders>
              <w:top w:val="nil"/>
              <w:left w:val="nil"/>
              <w:bottom w:val="single" w:sz="4" w:space="0" w:color="auto"/>
              <w:right w:val="single" w:sz="4" w:space="0" w:color="auto"/>
            </w:tcBorders>
            <w:shd w:val="clear" w:color="000000" w:fill="F2DCDB"/>
            <w:vAlign w:val="center"/>
            <w:hideMark/>
          </w:tcPr>
          <w:p w14:paraId="684D686C"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Outstanding  /  Good  /  Requires Improvement  /  Inadequate?</w:t>
            </w:r>
          </w:p>
        </w:tc>
      </w:tr>
      <w:tr w:rsidR="006036F0" w:rsidRPr="00BB662E" w14:paraId="1B792344" w14:textId="77777777" w:rsidTr="006036F0">
        <w:trPr>
          <w:trHeight w:val="660"/>
        </w:trPr>
        <w:tc>
          <w:tcPr>
            <w:tcW w:w="607" w:type="dxa"/>
            <w:tcBorders>
              <w:top w:val="nil"/>
              <w:left w:val="single" w:sz="4" w:space="0" w:color="auto"/>
              <w:bottom w:val="single" w:sz="4" w:space="0" w:color="auto"/>
              <w:right w:val="single" w:sz="4" w:space="0" w:color="auto"/>
            </w:tcBorders>
            <w:shd w:val="clear" w:color="auto" w:fill="auto"/>
            <w:noWrap/>
            <w:hideMark/>
          </w:tcPr>
          <w:p w14:paraId="6912D9F5"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24</w:t>
            </w:r>
          </w:p>
        </w:tc>
        <w:tc>
          <w:tcPr>
            <w:tcW w:w="6342" w:type="dxa"/>
            <w:tcBorders>
              <w:top w:val="nil"/>
              <w:left w:val="nil"/>
              <w:bottom w:val="single" w:sz="4" w:space="0" w:color="auto"/>
              <w:right w:val="single" w:sz="4" w:space="0" w:color="auto"/>
            </w:tcBorders>
            <w:shd w:val="clear" w:color="000000" w:fill="D9D9D9"/>
            <w:hideMark/>
          </w:tcPr>
          <w:p w14:paraId="134074D5"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Has the practice applied for a</w:t>
            </w:r>
            <w:r w:rsidRPr="00BB662E">
              <w:rPr>
                <w:rFonts w:ascii="Calibri" w:hAnsi="Calibri"/>
                <w:b/>
                <w:color w:val="000000"/>
                <w:lang w:eastAsia="en-GB"/>
              </w:rPr>
              <w:t xml:space="preserve"> formal</w:t>
            </w:r>
            <w:r w:rsidRPr="00BB662E">
              <w:rPr>
                <w:rFonts w:ascii="Calibri" w:hAnsi="Calibri"/>
                <w:color w:val="000000"/>
                <w:lang w:eastAsia="en-GB"/>
              </w:rPr>
              <w:t xml:space="preserve"> </w:t>
            </w:r>
            <w:r w:rsidRPr="00BB662E">
              <w:rPr>
                <w:rFonts w:ascii="Calibri" w:hAnsi="Calibri"/>
                <w:b/>
                <w:color w:val="000000"/>
                <w:lang w:eastAsia="en-GB"/>
              </w:rPr>
              <w:t xml:space="preserve">list closure </w:t>
            </w:r>
            <w:r w:rsidRPr="00BB662E">
              <w:rPr>
                <w:rFonts w:ascii="Calibri" w:hAnsi="Calibri"/>
                <w:color w:val="000000"/>
                <w:lang w:eastAsia="en-GB"/>
              </w:rPr>
              <w:t>at any point since 1 April 2013?</w:t>
            </w:r>
          </w:p>
        </w:tc>
        <w:tc>
          <w:tcPr>
            <w:tcW w:w="2915" w:type="dxa"/>
            <w:tcBorders>
              <w:top w:val="nil"/>
              <w:left w:val="nil"/>
              <w:bottom w:val="single" w:sz="4" w:space="0" w:color="auto"/>
              <w:right w:val="single" w:sz="4" w:space="0" w:color="auto"/>
            </w:tcBorders>
            <w:shd w:val="clear" w:color="auto" w:fill="auto"/>
            <w:vAlign w:val="bottom"/>
            <w:hideMark/>
          </w:tcPr>
          <w:p w14:paraId="2ACEC747" w14:textId="77777777" w:rsidR="006036F0" w:rsidRPr="00BB662E" w:rsidRDefault="006036F0" w:rsidP="006036F0">
            <w:pPr>
              <w:spacing w:before="60" w:after="60"/>
              <w:rPr>
                <w:rFonts w:ascii="Calibri" w:hAnsi="Calibri"/>
                <w:color w:val="000000"/>
                <w:sz w:val="20"/>
                <w:szCs w:val="20"/>
                <w:lang w:eastAsia="en-GB"/>
              </w:rPr>
            </w:pPr>
            <w:r w:rsidRPr="00BB662E">
              <w:rPr>
                <w:rFonts w:ascii="Calibri" w:hAnsi="Calibri"/>
                <w:color w:val="000000"/>
                <w:sz w:val="20"/>
                <w:szCs w:val="20"/>
                <w:lang w:eastAsia="en-GB"/>
              </w:rPr>
              <w:t>Marker of demand/practice issues</w:t>
            </w:r>
          </w:p>
        </w:tc>
        <w:tc>
          <w:tcPr>
            <w:tcW w:w="519" w:type="dxa"/>
            <w:tcBorders>
              <w:top w:val="nil"/>
              <w:left w:val="nil"/>
              <w:bottom w:val="single" w:sz="4" w:space="0" w:color="auto"/>
              <w:right w:val="single" w:sz="4" w:space="0" w:color="auto"/>
            </w:tcBorders>
            <w:shd w:val="clear" w:color="000000" w:fill="F2DCDB"/>
            <w:hideMark/>
          </w:tcPr>
          <w:p w14:paraId="59BFB599"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2AA6A160"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4" w:space="0" w:color="auto"/>
              <w:right w:val="single" w:sz="4" w:space="0" w:color="auto"/>
            </w:tcBorders>
            <w:shd w:val="clear" w:color="auto" w:fill="auto"/>
            <w:vAlign w:val="bottom"/>
            <w:hideMark/>
          </w:tcPr>
          <w:p w14:paraId="55899DD7"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Details not required</w:t>
            </w:r>
          </w:p>
        </w:tc>
      </w:tr>
      <w:tr w:rsidR="006036F0" w:rsidRPr="00BB662E" w14:paraId="328EC5D1" w14:textId="77777777" w:rsidTr="006036F0">
        <w:trPr>
          <w:trHeight w:val="375"/>
        </w:trPr>
        <w:tc>
          <w:tcPr>
            <w:tcW w:w="607" w:type="dxa"/>
            <w:tcBorders>
              <w:top w:val="nil"/>
              <w:left w:val="single" w:sz="4" w:space="0" w:color="auto"/>
              <w:bottom w:val="single" w:sz="4" w:space="0" w:color="auto"/>
              <w:right w:val="single" w:sz="4" w:space="0" w:color="auto"/>
            </w:tcBorders>
            <w:shd w:val="clear" w:color="auto" w:fill="auto"/>
            <w:noWrap/>
            <w:hideMark/>
          </w:tcPr>
          <w:p w14:paraId="114A993C"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24b</w:t>
            </w:r>
          </w:p>
        </w:tc>
        <w:tc>
          <w:tcPr>
            <w:tcW w:w="6342" w:type="dxa"/>
            <w:tcBorders>
              <w:top w:val="nil"/>
              <w:left w:val="nil"/>
              <w:bottom w:val="single" w:sz="4" w:space="0" w:color="auto"/>
              <w:right w:val="single" w:sz="4" w:space="0" w:color="auto"/>
            </w:tcBorders>
            <w:shd w:val="clear" w:color="000000" w:fill="D9D9D9"/>
            <w:hideMark/>
          </w:tcPr>
          <w:p w14:paraId="75E548BE"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 xml:space="preserve">If yes, was this granted?  </w:t>
            </w:r>
          </w:p>
        </w:tc>
        <w:tc>
          <w:tcPr>
            <w:tcW w:w="2915" w:type="dxa"/>
            <w:tcBorders>
              <w:top w:val="nil"/>
              <w:left w:val="nil"/>
              <w:bottom w:val="single" w:sz="4" w:space="0" w:color="auto"/>
              <w:right w:val="single" w:sz="4" w:space="0" w:color="auto"/>
            </w:tcBorders>
            <w:shd w:val="clear" w:color="auto" w:fill="auto"/>
            <w:vAlign w:val="bottom"/>
            <w:hideMark/>
          </w:tcPr>
          <w:p w14:paraId="782498D5"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 </w:t>
            </w:r>
          </w:p>
        </w:tc>
        <w:tc>
          <w:tcPr>
            <w:tcW w:w="519" w:type="dxa"/>
            <w:tcBorders>
              <w:top w:val="nil"/>
              <w:left w:val="nil"/>
              <w:bottom w:val="single" w:sz="4" w:space="0" w:color="auto"/>
              <w:right w:val="single" w:sz="4" w:space="0" w:color="auto"/>
            </w:tcBorders>
            <w:shd w:val="clear" w:color="000000" w:fill="F2DCDB"/>
            <w:hideMark/>
          </w:tcPr>
          <w:p w14:paraId="2F080E4E"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6319819A"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4" w:space="0" w:color="auto"/>
              <w:right w:val="single" w:sz="4" w:space="0" w:color="auto"/>
            </w:tcBorders>
            <w:shd w:val="clear" w:color="auto" w:fill="auto"/>
            <w:vAlign w:val="center"/>
            <w:hideMark/>
          </w:tcPr>
          <w:p w14:paraId="648DE4C8"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 </w:t>
            </w:r>
          </w:p>
        </w:tc>
      </w:tr>
      <w:tr w:rsidR="006036F0" w:rsidRPr="00BB662E" w14:paraId="2EE53B36" w14:textId="77777777" w:rsidTr="006036F0">
        <w:trPr>
          <w:trHeight w:val="600"/>
        </w:trPr>
        <w:tc>
          <w:tcPr>
            <w:tcW w:w="607" w:type="dxa"/>
            <w:tcBorders>
              <w:top w:val="nil"/>
              <w:left w:val="single" w:sz="4" w:space="0" w:color="auto"/>
              <w:bottom w:val="single" w:sz="4" w:space="0" w:color="auto"/>
              <w:right w:val="single" w:sz="4" w:space="0" w:color="auto"/>
            </w:tcBorders>
            <w:shd w:val="clear" w:color="auto" w:fill="auto"/>
            <w:noWrap/>
            <w:hideMark/>
          </w:tcPr>
          <w:p w14:paraId="2A47B1C1"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24c</w:t>
            </w:r>
          </w:p>
        </w:tc>
        <w:tc>
          <w:tcPr>
            <w:tcW w:w="6342" w:type="dxa"/>
            <w:tcBorders>
              <w:top w:val="nil"/>
              <w:left w:val="nil"/>
              <w:bottom w:val="single" w:sz="4" w:space="0" w:color="auto"/>
              <w:right w:val="single" w:sz="4" w:space="0" w:color="auto"/>
            </w:tcBorders>
            <w:shd w:val="clear" w:color="000000" w:fill="D9D9D9"/>
            <w:hideMark/>
          </w:tcPr>
          <w:p w14:paraId="1B7AEFE3"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If application was approved how long was the list closed in total?</w:t>
            </w:r>
          </w:p>
        </w:tc>
        <w:tc>
          <w:tcPr>
            <w:tcW w:w="2915" w:type="dxa"/>
            <w:tcBorders>
              <w:top w:val="nil"/>
              <w:left w:val="nil"/>
              <w:bottom w:val="single" w:sz="4" w:space="0" w:color="auto"/>
              <w:right w:val="single" w:sz="4" w:space="0" w:color="auto"/>
            </w:tcBorders>
            <w:shd w:val="clear" w:color="auto" w:fill="auto"/>
            <w:vAlign w:val="bottom"/>
            <w:hideMark/>
          </w:tcPr>
          <w:p w14:paraId="5651A8D6"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 </w:t>
            </w:r>
          </w:p>
        </w:tc>
        <w:tc>
          <w:tcPr>
            <w:tcW w:w="2284" w:type="dxa"/>
            <w:gridSpan w:val="2"/>
            <w:tcBorders>
              <w:top w:val="single" w:sz="4" w:space="0" w:color="auto"/>
              <w:left w:val="nil"/>
              <w:bottom w:val="single" w:sz="4" w:space="0" w:color="auto"/>
              <w:right w:val="single" w:sz="4" w:space="0" w:color="000000"/>
            </w:tcBorders>
            <w:shd w:val="clear" w:color="auto" w:fill="auto"/>
            <w:vAlign w:val="center"/>
            <w:hideMark/>
          </w:tcPr>
          <w:p w14:paraId="15C6FDA0"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Please state</w:t>
            </w:r>
          </w:p>
        </w:tc>
        <w:tc>
          <w:tcPr>
            <w:tcW w:w="2824" w:type="dxa"/>
            <w:tcBorders>
              <w:top w:val="nil"/>
              <w:left w:val="nil"/>
              <w:bottom w:val="single" w:sz="4" w:space="0" w:color="auto"/>
              <w:right w:val="single" w:sz="4" w:space="0" w:color="auto"/>
            </w:tcBorders>
            <w:shd w:val="clear" w:color="000000" w:fill="F2DCDB"/>
            <w:vAlign w:val="bottom"/>
            <w:hideMark/>
          </w:tcPr>
          <w:p w14:paraId="0DFC9B79"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3 months  /  6 months  /  9 months  /  12 months</w:t>
            </w:r>
          </w:p>
        </w:tc>
      </w:tr>
      <w:tr w:rsidR="006036F0" w:rsidRPr="00BB662E" w14:paraId="785E2E2C" w14:textId="77777777" w:rsidTr="006036F0">
        <w:trPr>
          <w:trHeight w:val="600"/>
        </w:trPr>
        <w:tc>
          <w:tcPr>
            <w:tcW w:w="607" w:type="dxa"/>
            <w:tcBorders>
              <w:top w:val="nil"/>
              <w:left w:val="single" w:sz="4" w:space="0" w:color="auto"/>
              <w:bottom w:val="single" w:sz="4" w:space="0" w:color="auto"/>
              <w:right w:val="single" w:sz="4" w:space="0" w:color="auto"/>
            </w:tcBorders>
            <w:shd w:val="clear" w:color="auto" w:fill="auto"/>
            <w:noWrap/>
            <w:hideMark/>
          </w:tcPr>
          <w:p w14:paraId="2B1D60AF"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25</w:t>
            </w:r>
          </w:p>
        </w:tc>
        <w:tc>
          <w:tcPr>
            <w:tcW w:w="6342" w:type="dxa"/>
            <w:tcBorders>
              <w:top w:val="nil"/>
              <w:left w:val="nil"/>
              <w:bottom w:val="single" w:sz="4" w:space="0" w:color="auto"/>
              <w:right w:val="single" w:sz="4" w:space="0" w:color="auto"/>
            </w:tcBorders>
            <w:shd w:val="clear" w:color="000000" w:fill="D9D9D9"/>
            <w:hideMark/>
          </w:tcPr>
          <w:p w14:paraId="2112D9CA"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Number of practices within a 1-mile radius of practice</w:t>
            </w:r>
          </w:p>
        </w:tc>
        <w:tc>
          <w:tcPr>
            <w:tcW w:w="2915" w:type="dxa"/>
            <w:tcBorders>
              <w:top w:val="nil"/>
              <w:left w:val="nil"/>
              <w:bottom w:val="single" w:sz="4" w:space="0" w:color="auto"/>
              <w:right w:val="single" w:sz="4" w:space="0" w:color="auto"/>
            </w:tcBorders>
            <w:shd w:val="clear" w:color="000000" w:fill="F2DCDB"/>
            <w:vAlign w:val="bottom"/>
            <w:hideMark/>
          </w:tcPr>
          <w:p w14:paraId="6B39E768"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insert number</w:t>
            </w:r>
          </w:p>
        </w:tc>
        <w:tc>
          <w:tcPr>
            <w:tcW w:w="519" w:type="dxa"/>
            <w:tcBorders>
              <w:top w:val="nil"/>
              <w:left w:val="nil"/>
              <w:bottom w:val="nil"/>
              <w:right w:val="nil"/>
            </w:tcBorders>
            <w:shd w:val="clear" w:color="auto" w:fill="auto"/>
            <w:vAlign w:val="center"/>
            <w:hideMark/>
          </w:tcPr>
          <w:p w14:paraId="276F767F" w14:textId="77777777" w:rsidR="006036F0" w:rsidRPr="00BB662E" w:rsidRDefault="006036F0" w:rsidP="006036F0">
            <w:pPr>
              <w:spacing w:before="60" w:after="60"/>
              <w:rPr>
                <w:rFonts w:ascii="Calibri" w:hAnsi="Calibri"/>
                <w:color w:val="000000"/>
                <w:lang w:eastAsia="en-GB"/>
              </w:rPr>
            </w:pPr>
          </w:p>
        </w:tc>
        <w:tc>
          <w:tcPr>
            <w:tcW w:w="1765" w:type="dxa"/>
            <w:tcBorders>
              <w:top w:val="nil"/>
              <w:left w:val="nil"/>
              <w:bottom w:val="nil"/>
              <w:right w:val="nil"/>
            </w:tcBorders>
            <w:shd w:val="clear" w:color="auto" w:fill="auto"/>
            <w:vAlign w:val="center"/>
            <w:hideMark/>
          </w:tcPr>
          <w:p w14:paraId="7A21A765" w14:textId="77777777" w:rsidR="006036F0" w:rsidRPr="00BB662E" w:rsidRDefault="006036F0" w:rsidP="006036F0">
            <w:pPr>
              <w:spacing w:before="60" w:after="60"/>
              <w:rPr>
                <w:rFonts w:ascii="Calibri" w:hAnsi="Calibri"/>
                <w:color w:val="000000"/>
                <w:lang w:eastAsia="en-GB"/>
              </w:rPr>
            </w:pPr>
          </w:p>
        </w:tc>
        <w:tc>
          <w:tcPr>
            <w:tcW w:w="2824" w:type="dxa"/>
            <w:tcBorders>
              <w:top w:val="nil"/>
              <w:left w:val="nil"/>
              <w:bottom w:val="nil"/>
              <w:right w:val="nil"/>
            </w:tcBorders>
            <w:shd w:val="clear" w:color="auto" w:fill="auto"/>
            <w:noWrap/>
            <w:vAlign w:val="bottom"/>
            <w:hideMark/>
          </w:tcPr>
          <w:p w14:paraId="781FD5E8" w14:textId="77777777" w:rsidR="006036F0" w:rsidRPr="00BB662E" w:rsidRDefault="006036F0" w:rsidP="006036F0">
            <w:pPr>
              <w:spacing w:before="60" w:after="60"/>
              <w:rPr>
                <w:rFonts w:ascii="Calibri" w:hAnsi="Calibri"/>
                <w:color w:val="000000"/>
                <w:lang w:eastAsia="en-GB"/>
              </w:rPr>
            </w:pPr>
          </w:p>
        </w:tc>
      </w:tr>
      <w:tr w:rsidR="006036F0" w:rsidRPr="00BB662E" w14:paraId="27CFE2B8" w14:textId="77777777" w:rsidTr="006036F0">
        <w:trPr>
          <w:trHeight w:val="300"/>
        </w:trPr>
        <w:tc>
          <w:tcPr>
            <w:tcW w:w="607" w:type="dxa"/>
            <w:tcBorders>
              <w:top w:val="nil"/>
              <w:left w:val="nil"/>
              <w:bottom w:val="nil"/>
              <w:right w:val="nil"/>
            </w:tcBorders>
            <w:shd w:val="clear" w:color="auto" w:fill="auto"/>
            <w:noWrap/>
            <w:hideMark/>
          </w:tcPr>
          <w:p w14:paraId="501E48CB" w14:textId="77777777" w:rsidR="006036F0" w:rsidRPr="00BB662E" w:rsidRDefault="006036F0" w:rsidP="006036F0">
            <w:pPr>
              <w:spacing w:before="60" w:after="60"/>
              <w:jc w:val="center"/>
              <w:rPr>
                <w:rFonts w:ascii="Calibri" w:hAnsi="Calibri"/>
                <w:color w:val="000000"/>
                <w:lang w:eastAsia="en-GB"/>
              </w:rPr>
            </w:pPr>
          </w:p>
        </w:tc>
        <w:tc>
          <w:tcPr>
            <w:tcW w:w="6342" w:type="dxa"/>
            <w:tcBorders>
              <w:top w:val="nil"/>
              <w:left w:val="nil"/>
              <w:bottom w:val="nil"/>
              <w:right w:val="nil"/>
            </w:tcBorders>
            <w:shd w:val="clear" w:color="auto" w:fill="auto"/>
            <w:vAlign w:val="bottom"/>
            <w:hideMark/>
          </w:tcPr>
          <w:p w14:paraId="34DB627F" w14:textId="77777777" w:rsidR="006036F0" w:rsidRPr="00BB662E" w:rsidRDefault="006036F0" w:rsidP="006036F0">
            <w:pPr>
              <w:spacing w:before="60" w:after="60"/>
              <w:rPr>
                <w:rFonts w:ascii="Calibri" w:hAnsi="Calibri"/>
                <w:color w:val="000000"/>
                <w:lang w:eastAsia="en-GB"/>
              </w:rPr>
            </w:pPr>
          </w:p>
        </w:tc>
        <w:tc>
          <w:tcPr>
            <w:tcW w:w="2915" w:type="dxa"/>
            <w:tcBorders>
              <w:top w:val="nil"/>
              <w:left w:val="nil"/>
              <w:bottom w:val="nil"/>
              <w:right w:val="nil"/>
            </w:tcBorders>
            <w:shd w:val="clear" w:color="auto" w:fill="auto"/>
            <w:vAlign w:val="bottom"/>
            <w:hideMark/>
          </w:tcPr>
          <w:p w14:paraId="5F5E784D" w14:textId="77777777" w:rsidR="006036F0" w:rsidRPr="00BB662E" w:rsidRDefault="006036F0" w:rsidP="006036F0">
            <w:pPr>
              <w:spacing w:before="60" w:after="60"/>
              <w:rPr>
                <w:rFonts w:ascii="Calibri" w:hAnsi="Calibri"/>
                <w:color w:val="000000"/>
                <w:lang w:eastAsia="en-GB"/>
              </w:rPr>
            </w:pPr>
          </w:p>
        </w:tc>
        <w:tc>
          <w:tcPr>
            <w:tcW w:w="519" w:type="dxa"/>
            <w:tcBorders>
              <w:top w:val="nil"/>
              <w:left w:val="nil"/>
              <w:bottom w:val="nil"/>
              <w:right w:val="nil"/>
            </w:tcBorders>
            <w:shd w:val="clear" w:color="auto" w:fill="auto"/>
            <w:vAlign w:val="bottom"/>
            <w:hideMark/>
          </w:tcPr>
          <w:p w14:paraId="463A1DD4" w14:textId="77777777" w:rsidR="006036F0" w:rsidRPr="00BB662E" w:rsidRDefault="006036F0" w:rsidP="006036F0">
            <w:pPr>
              <w:spacing w:before="60" w:after="60"/>
              <w:rPr>
                <w:rFonts w:ascii="Calibri" w:hAnsi="Calibri"/>
                <w:color w:val="000000"/>
                <w:lang w:eastAsia="en-GB"/>
              </w:rPr>
            </w:pPr>
          </w:p>
        </w:tc>
        <w:tc>
          <w:tcPr>
            <w:tcW w:w="1765" w:type="dxa"/>
            <w:tcBorders>
              <w:top w:val="nil"/>
              <w:left w:val="nil"/>
              <w:bottom w:val="nil"/>
              <w:right w:val="nil"/>
            </w:tcBorders>
            <w:shd w:val="clear" w:color="auto" w:fill="auto"/>
            <w:vAlign w:val="bottom"/>
            <w:hideMark/>
          </w:tcPr>
          <w:p w14:paraId="3E973185" w14:textId="77777777" w:rsidR="006036F0" w:rsidRPr="00BB662E" w:rsidRDefault="006036F0" w:rsidP="006036F0">
            <w:pPr>
              <w:spacing w:before="60" w:after="60"/>
              <w:rPr>
                <w:rFonts w:ascii="Calibri" w:hAnsi="Calibri"/>
                <w:color w:val="000000"/>
                <w:lang w:eastAsia="en-GB"/>
              </w:rPr>
            </w:pPr>
          </w:p>
        </w:tc>
        <w:tc>
          <w:tcPr>
            <w:tcW w:w="2824" w:type="dxa"/>
            <w:tcBorders>
              <w:top w:val="nil"/>
              <w:left w:val="nil"/>
              <w:bottom w:val="nil"/>
              <w:right w:val="nil"/>
            </w:tcBorders>
            <w:shd w:val="clear" w:color="auto" w:fill="auto"/>
            <w:noWrap/>
            <w:vAlign w:val="bottom"/>
            <w:hideMark/>
          </w:tcPr>
          <w:p w14:paraId="49539D8C" w14:textId="77777777" w:rsidR="006036F0" w:rsidRPr="00BB662E" w:rsidRDefault="006036F0" w:rsidP="006036F0">
            <w:pPr>
              <w:spacing w:before="60" w:after="60"/>
              <w:rPr>
                <w:rFonts w:ascii="Calibri" w:hAnsi="Calibri"/>
                <w:color w:val="000000"/>
                <w:lang w:eastAsia="en-GB"/>
              </w:rPr>
            </w:pPr>
          </w:p>
        </w:tc>
      </w:tr>
      <w:tr w:rsidR="006036F0" w:rsidRPr="00BB662E" w14:paraId="7DF265AE" w14:textId="77777777" w:rsidTr="006036F0">
        <w:trPr>
          <w:trHeight w:val="375"/>
        </w:trPr>
        <w:tc>
          <w:tcPr>
            <w:tcW w:w="607" w:type="dxa"/>
            <w:tcBorders>
              <w:top w:val="nil"/>
              <w:left w:val="nil"/>
              <w:bottom w:val="nil"/>
              <w:right w:val="nil"/>
            </w:tcBorders>
            <w:shd w:val="clear" w:color="000000" w:fill="00B0F0"/>
            <w:noWrap/>
            <w:hideMark/>
          </w:tcPr>
          <w:p w14:paraId="6D398508"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 </w:t>
            </w:r>
          </w:p>
        </w:tc>
        <w:tc>
          <w:tcPr>
            <w:tcW w:w="14365" w:type="dxa"/>
            <w:gridSpan w:val="5"/>
            <w:tcBorders>
              <w:top w:val="nil"/>
              <w:left w:val="nil"/>
              <w:bottom w:val="nil"/>
              <w:right w:val="nil"/>
            </w:tcBorders>
            <w:shd w:val="clear" w:color="000000" w:fill="00B0F0"/>
            <w:vAlign w:val="bottom"/>
            <w:hideMark/>
          </w:tcPr>
          <w:p w14:paraId="52B17C17" w14:textId="77777777" w:rsidR="006036F0" w:rsidRPr="00BB662E" w:rsidRDefault="006036F0" w:rsidP="006036F0">
            <w:pPr>
              <w:spacing w:before="60" w:after="60"/>
              <w:jc w:val="center"/>
              <w:rPr>
                <w:rFonts w:ascii="Calibri" w:hAnsi="Calibri"/>
                <w:b/>
                <w:bCs w:val="0"/>
                <w:color w:val="000000"/>
                <w:sz w:val="28"/>
                <w:szCs w:val="28"/>
                <w:lang w:eastAsia="en-GB"/>
              </w:rPr>
            </w:pPr>
            <w:r w:rsidRPr="00BB662E">
              <w:rPr>
                <w:rFonts w:ascii="Calibri" w:hAnsi="Calibri"/>
                <w:b/>
                <w:color w:val="000000"/>
                <w:sz w:val="28"/>
                <w:szCs w:val="28"/>
                <w:lang w:eastAsia="en-GB"/>
              </w:rPr>
              <w:t>To be completed by Commissioner - NHS England</w:t>
            </w:r>
          </w:p>
        </w:tc>
      </w:tr>
      <w:tr w:rsidR="006036F0" w:rsidRPr="00BB662E" w14:paraId="5FB9FDC7" w14:textId="77777777" w:rsidTr="006036F0">
        <w:trPr>
          <w:trHeight w:val="315"/>
        </w:trPr>
        <w:tc>
          <w:tcPr>
            <w:tcW w:w="607" w:type="dxa"/>
            <w:tcBorders>
              <w:top w:val="single" w:sz="4" w:space="0" w:color="auto"/>
              <w:left w:val="single" w:sz="4" w:space="0" w:color="auto"/>
              <w:bottom w:val="single" w:sz="4" w:space="0" w:color="auto"/>
              <w:right w:val="single" w:sz="4" w:space="0" w:color="auto"/>
            </w:tcBorders>
            <w:shd w:val="clear" w:color="000000" w:fill="BFBFBF"/>
            <w:noWrap/>
            <w:hideMark/>
          </w:tcPr>
          <w:p w14:paraId="5733B08E" w14:textId="77777777" w:rsidR="006036F0" w:rsidRPr="00BB662E" w:rsidRDefault="006036F0" w:rsidP="006036F0">
            <w:pPr>
              <w:spacing w:before="60" w:after="60"/>
              <w:jc w:val="center"/>
              <w:rPr>
                <w:rFonts w:ascii="Calibri" w:hAnsi="Calibri"/>
                <w:b/>
                <w:bCs w:val="0"/>
                <w:color w:val="000000"/>
                <w:szCs w:val="24"/>
                <w:lang w:eastAsia="en-GB"/>
              </w:rPr>
            </w:pPr>
            <w:r w:rsidRPr="00BB662E">
              <w:rPr>
                <w:rFonts w:ascii="Calibri" w:hAnsi="Calibri"/>
                <w:b/>
                <w:color w:val="000000"/>
                <w:szCs w:val="24"/>
                <w:lang w:eastAsia="en-GB"/>
              </w:rPr>
              <w:t> </w:t>
            </w:r>
          </w:p>
        </w:tc>
        <w:tc>
          <w:tcPr>
            <w:tcW w:w="6342" w:type="dxa"/>
            <w:tcBorders>
              <w:top w:val="single" w:sz="4" w:space="0" w:color="auto"/>
              <w:left w:val="nil"/>
              <w:bottom w:val="single" w:sz="4" w:space="0" w:color="auto"/>
              <w:right w:val="single" w:sz="4" w:space="0" w:color="auto"/>
            </w:tcBorders>
            <w:shd w:val="clear" w:color="000000" w:fill="BFBFBF"/>
            <w:hideMark/>
          </w:tcPr>
          <w:p w14:paraId="75092A99"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Local Context Information</w:t>
            </w:r>
          </w:p>
        </w:tc>
        <w:tc>
          <w:tcPr>
            <w:tcW w:w="2915" w:type="dxa"/>
            <w:tcBorders>
              <w:top w:val="single" w:sz="4" w:space="0" w:color="auto"/>
              <w:left w:val="nil"/>
              <w:bottom w:val="single" w:sz="4" w:space="0" w:color="auto"/>
              <w:right w:val="single" w:sz="4" w:space="0" w:color="auto"/>
            </w:tcBorders>
            <w:shd w:val="clear" w:color="000000" w:fill="BFBFBF"/>
            <w:vAlign w:val="bottom"/>
            <w:hideMark/>
          </w:tcPr>
          <w:p w14:paraId="7BB428D0"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NHS England complete</w:t>
            </w:r>
          </w:p>
        </w:tc>
        <w:tc>
          <w:tcPr>
            <w:tcW w:w="519" w:type="dxa"/>
            <w:tcBorders>
              <w:top w:val="single" w:sz="4" w:space="0" w:color="auto"/>
              <w:left w:val="nil"/>
              <w:bottom w:val="single" w:sz="4" w:space="0" w:color="auto"/>
              <w:right w:val="single" w:sz="4" w:space="0" w:color="auto"/>
            </w:tcBorders>
            <w:shd w:val="clear" w:color="000000" w:fill="BFBFBF"/>
            <w:vAlign w:val="bottom"/>
            <w:hideMark/>
          </w:tcPr>
          <w:p w14:paraId="498EAFDE" w14:textId="77777777" w:rsidR="006036F0" w:rsidRPr="00BB662E" w:rsidRDefault="006036F0" w:rsidP="006036F0">
            <w:pPr>
              <w:spacing w:before="60" w:after="60"/>
              <w:jc w:val="center"/>
              <w:rPr>
                <w:rFonts w:ascii="Calibri" w:hAnsi="Calibri"/>
                <w:b/>
                <w:bCs w:val="0"/>
                <w:color w:val="000000"/>
                <w:lang w:eastAsia="en-GB"/>
              </w:rPr>
            </w:pPr>
            <w:r w:rsidRPr="00BB662E">
              <w:rPr>
                <w:rFonts w:ascii="Calibri" w:hAnsi="Calibri"/>
                <w:b/>
                <w:color w:val="000000"/>
                <w:lang w:eastAsia="en-GB"/>
              </w:rPr>
              <w:t> </w:t>
            </w:r>
          </w:p>
        </w:tc>
        <w:tc>
          <w:tcPr>
            <w:tcW w:w="1765" w:type="dxa"/>
            <w:tcBorders>
              <w:top w:val="single" w:sz="4" w:space="0" w:color="auto"/>
              <w:left w:val="nil"/>
              <w:bottom w:val="single" w:sz="4" w:space="0" w:color="auto"/>
              <w:right w:val="single" w:sz="4" w:space="0" w:color="auto"/>
            </w:tcBorders>
            <w:shd w:val="clear" w:color="000000" w:fill="BFBFBF"/>
            <w:vAlign w:val="bottom"/>
            <w:hideMark/>
          </w:tcPr>
          <w:p w14:paraId="01FDBEAE" w14:textId="77777777" w:rsidR="006036F0" w:rsidRPr="00BB662E" w:rsidRDefault="006036F0" w:rsidP="006036F0">
            <w:pPr>
              <w:spacing w:before="60" w:after="60"/>
              <w:jc w:val="center"/>
              <w:rPr>
                <w:rFonts w:ascii="Calibri" w:hAnsi="Calibri"/>
                <w:b/>
                <w:bCs w:val="0"/>
                <w:color w:val="000000"/>
                <w:lang w:eastAsia="en-GB"/>
              </w:rPr>
            </w:pPr>
            <w:r w:rsidRPr="00BB662E">
              <w:rPr>
                <w:rFonts w:ascii="Calibri" w:hAnsi="Calibri"/>
                <w:b/>
                <w:color w:val="000000"/>
                <w:lang w:eastAsia="en-GB"/>
              </w:rPr>
              <w:t> </w:t>
            </w:r>
          </w:p>
        </w:tc>
        <w:tc>
          <w:tcPr>
            <w:tcW w:w="2824" w:type="dxa"/>
            <w:tcBorders>
              <w:top w:val="single" w:sz="4" w:space="0" w:color="auto"/>
              <w:left w:val="nil"/>
              <w:bottom w:val="single" w:sz="4" w:space="0" w:color="auto"/>
              <w:right w:val="single" w:sz="4" w:space="0" w:color="auto"/>
            </w:tcBorders>
            <w:shd w:val="clear" w:color="000000" w:fill="BFBFBF"/>
            <w:vAlign w:val="bottom"/>
            <w:hideMark/>
          </w:tcPr>
          <w:p w14:paraId="7E88C351"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NHS England complete</w:t>
            </w:r>
          </w:p>
        </w:tc>
      </w:tr>
      <w:tr w:rsidR="006036F0" w:rsidRPr="00BB662E" w14:paraId="29BFE88B" w14:textId="77777777" w:rsidTr="006036F0">
        <w:trPr>
          <w:trHeight w:val="315"/>
        </w:trPr>
        <w:tc>
          <w:tcPr>
            <w:tcW w:w="607" w:type="dxa"/>
            <w:tcBorders>
              <w:top w:val="nil"/>
              <w:left w:val="single" w:sz="4" w:space="0" w:color="auto"/>
              <w:bottom w:val="single" w:sz="4" w:space="0" w:color="auto"/>
              <w:right w:val="single" w:sz="4" w:space="0" w:color="auto"/>
            </w:tcBorders>
            <w:shd w:val="clear" w:color="auto" w:fill="auto"/>
            <w:noWrap/>
            <w:hideMark/>
          </w:tcPr>
          <w:p w14:paraId="7D4995BA"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26</w:t>
            </w:r>
          </w:p>
        </w:tc>
        <w:tc>
          <w:tcPr>
            <w:tcW w:w="6342" w:type="dxa"/>
            <w:tcBorders>
              <w:top w:val="nil"/>
              <w:left w:val="nil"/>
              <w:bottom w:val="single" w:sz="4" w:space="0" w:color="auto"/>
              <w:right w:val="single" w:sz="4" w:space="0" w:color="auto"/>
            </w:tcBorders>
            <w:shd w:val="clear" w:color="auto" w:fill="auto"/>
            <w:hideMark/>
          </w:tcPr>
          <w:p w14:paraId="0B0209FE" w14:textId="77777777" w:rsidR="006036F0" w:rsidRPr="00BB662E" w:rsidRDefault="006036F0" w:rsidP="006036F0">
            <w:pPr>
              <w:spacing w:before="60" w:after="60"/>
              <w:rPr>
                <w:rFonts w:ascii="Calibri" w:hAnsi="Calibri"/>
                <w:color w:val="000000"/>
                <w:szCs w:val="24"/>
                <w:lang w:eastAsia="en-GB"/>
              </w:rPr>
            </w:pPr>
            <w:r w:rsidRPr="00BB662E">
              <w:rPr>
                <w:rFonts w:ascii="Calibri" w:hAnsi="Calibri"/>
                <w:color w:val="000000"/>
                <w:szCs w:val="24"/>
                <w:lang w:eastAsia="en-GB"/>
              </w:rPr>
              <w:t>Any previous S96 support received?</w:t>
            </w:r>
          </w:p>
        </w:tc>
        <w:tc>
          <w:tcPr>
            <w:tcW w:w="2915" w:type="dxa"/>
            <w:tcBorders>
              <w:top w:val="nil"/>
              <w:left w:val="nil"/>
              <w:bottom w:val="single" w:sz="4" w:space="0" w:color="auto"/>
              <w:right w:val="single" w:sz="4" w:space="0" w:color="auto"/>
            </w:tcBorders>
            <w:shd w:val="clear" w:color="auto" w:fill="auto"/>
            <w:vAlign w:val="bottom"/>
            <w:hideMark/>
          </w:tcPr>
          <w:p w14:paraId="68460DD8"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 </w:t>
            </w:r>
          </w:p>
        </w:tc>
        <w:tc>
          <w:tcPr>
            <w:tcW w:w="519" w:type="dxa"/>
            <w:tcBorders>
              <w:top w:val="nil"/>
              <w:left w:val="nil"/>
              <w:bottom w:val="single" w:sz="4" w:space="0" w:color="auto"/>
              <w:right w:val="single" w:sz="4" w:space="0" w:color="auto"/>
            </w:tcBorders>
            <w:shd w:val="clear" w:color="000000" w:fill="F2DCDB"/>
            <w:hideMark/>
          </w:tcPr>
          <w:p w14:paraId="628DF6A0"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7B3B4C30"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4" w:space="0" w:color="auto"/>
              <w:right w:val="single" w:sz="4" w:space="0" w:color="auto"/>
            </w:tcBorders>
            <w:shd w:val="clear" w:color="000000" w:fill="F2DCDB"/>
            <w:vAlign w:val="bottom"/>
            <w:hideMark/>
          </w:tcPr>
          <w:p w14:paraId="2CE6B524"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Detail..</w:t>
            </w:r>
          </w:p>
        </w:tc>
      </w:tr>
      <w:tr w:rsidR="006036F0" w:rsidRPr="00BB662E" w14:paraId="240EF0AD" w14:textId="77777777" w:rsidTr="006036F0">
        <w:trPr>
          <w:trHeight w:val="315"/>
        </w:trPr>
        <w:tc>
          <w:tcPr>
            <w:tcW w:w="607" w:type="dxa"/>
            <w:tcBorders>
              <w:top w:val="nil"/>
              <w:left w:val="single" w:sz="4" w:space="0" w:color="auto"/>
              <w:bottom w:val="single" w:sz="4" w:space="0" w:color="auto"/>
              <w:right w:val="single" w:sz="4" w:space="0" w:color="auto"/>
            </w:tcBorders>
            <w:shd w:val="clear" w:color="auto" w:fill="auto"/>
            <w:noWrap/>
            <w:hideMark/>
          </w:tcPr>
          <w:p w14:paraId="4248D465"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27</w:t>
            </w:r>
          </w:p>
        </w:tc>
        <w:tc>
          <w:tcPr>
            <w:tcW w:w="6342" w:type="dxa"/>
            <w:tcBorders>
              <w:top w:val="nil"/>
              <w:left w:val="nil"/>
              <w:bottom w:val="single" w:sz="4" w:space="0" w:color="auto"/>
              <w:right w:val="single" w:sz="4" w:space="0" w:color="auto"/>
            </w:tcBorders>
            <w:shd w:val="clear" w:color="auto" w:fill="auto"/>
            <w:hideMark/>
          </w:tcPr>
          <w:p w14:paraId="7F08ED7F" w14:textId="77777777" w:rsidR="006036F0" w:rsidRPr="00BB662E" w:rsidRDefault="006036F0" w:rsidP="006036F0">
            <w:pPr>
              <w:spacing w:before="60" w:after="60"/>
              <w:rPr>
                <w:rFonts w:ascii="Calibri" w:hAnsi="Calibri"/>
                <w:color w:val="000000"/>
                <w:szCs w:val="24"/>
                <w:lang w:eastAsia="en-GB"/>
              </w:rPr>
            </w:pPr>
            <w:r w:rsidRPr="00BB662E">
              <w:rPr>
                <w:rFonts w:ascii="Calibri" w:hAnsi="Calibri"/>
                <w:color w:val="000000"/>
                <w:szCs w:val="24"/>
                <w:lang w:eastAsia="en-GB"/>
              </w:rPr>
              <w:t>Any GP Resilience funding received?</w:t>
            </w:r>
          </w:p>
        </w:tc>
        <w:tc>
          <w:tcPr>
            <w:tcW w:w="2915" w:type="dxa"/>
            <w:tcBorders>
              <w:top w:val="nil"/>
              <w:left w:val="nil"/>
              <w:bottom w:val="single" w:sz="4" w:space="0" w:color="auto"/>
              <w:right w:val="single" w:sz="4" w:space="0" w:color="auto"/>
            </w:tcBorders>
            <w:shd w:val="clear" w:color="auto" w:fill="auto"/>
            <w:vAlign w:val="bottom"/>
            <w:hideMark/>
          </w:tcPr>
          <w:p w14:paraId="148C13EE"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 </w:t>
            </w:r>
          </w:p>
        </w:tc>
        <w:tc>
          <w:tcPr>
            <w:tcW w:w="519" w:type="dxa"/>
            <w:tcBorders>
              <w:top w:val="nil"/>
              <w:left w:val="nil"/>
              <w:bottom w:val="single" w:sz="4" w:space="0" w:color="auto"/>
              <w:right w:val="single" w:sz="4" w:space="0" w:color="auto"/>
            </w:tcBorders>
            <w:shd w:val="clear" w:color="000000" w:fill="F2DCDB"/>
            <w:hideMark/>
          </w:tcPr>
          <w:p w14:paraId="5CE54F6D"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6424EAC0"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4" w:space="0" w:color="auto"/>
              <w:right w:val="single" w:sz="4" w:space="0" w:color="auto"/>
            </w:tcBorders>
            <w:shd w:val="clear" w:color="000000" w:fill="F2DCDB"/>
            <w:vAlign w:val="bottom"/>
            <w:hideMark/>
          </w:tcPr>
          <w:p w14:paraId="774EC600"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Detail..</w:t>
            </w:r>
          </w:p>
        </w:tc>
      </w:tr>
      <w:tr w:rsidR="006036F0" w:rsidRPr="00BB662E" w14:paraId="12F2BCE1" w14:textId="77777777" w:rsidTr="006036F0">
        <w:trPr>
          <w:trHeight w:val="1185"/>
        </w:trPr>
        <w:tc>
          <w:tcPr>
            <w:tcW w:w="607" w:type="dxa"/>
            <w:tcBorders>
              <w:top w:val="nil"/>
              <w:left w:val="single" w:sz="4" w:space="0" w:color="auto"/>
              <w:bottom w:val="single" w:sz="4" w:space="0" w:color="auto"/>
              <w:right w:val="single" w:sz="4" w:space="0" w:color="auto"/>
            </w:tcBorders>
            <w:shd w:val="clear" w:color="auto" w:fill="auto"/>
            <w:noWrap/>
            <w:hideMark/>
          </w:tcPr>
          <w:p w14:paraId="6C33EE4B"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28</w:t>
            </w:r>
          </w:p>
        </w:tc>
        <w:tc>
          <w:tcPr>
            <w:tcW w:w="6342" w:type="dxa"/>
            <w:tcBorders>
              <w:top w:val="nil"/>
              <w:left w:val="nil"/>
              <w:bottom w:val="single" w:sz="4" w:space="0" w:color="auto"/>
              <w:right w:val="single" w:sz="4" w:space="0" w:color="auto"/>
            </w:tcBorders>
            <w:shd w:val="clear" w:color="auto" w:fill="auto"/>
            <w:hideMark/>
          </w:tcPr>
          <w:p w14:paraId="1F499E19"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Overview of deprivation - IMD Score?</w:t>
            </w:r>
          </w:p>
        </w:tc>
        <w:tc>
          <w:tcPr>
            <w:tcW w:w="2915" w:type="dxa"/>
            <w:tcBorders>
              <w:top w:val="nil"/>
              <w:left w:val="nil"/>
              <w:bottom w:val="single" w:sz="4" w:space="0" w:color="auto"/>
              <w:right w:val="single" w:sz="4" w:space="0" w:color="auto"/>
            </w:tcBorders>
            <w:shd w:val="clear" w:color="auto" w:fill="auto"/>
            <w:vAlign w:val="center"/>
            <w:hideMark/>
          </w:tcPr>
          <w:p w14:paraId="6642D974"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IMD is a marker of deprivation with consequential impact on workload</w:t>
            </w:r>
          </w:p>
        </w:tc>
        <w:tc>
          <w:tcPr>
            <w:tcW w:w="519" w:type="dxa"/>
            <w:tcBorders>
              <w:top w:val="nil"/>
              <w:left w:val="nil"/>
              <w:bottom w:val="single" w:sz="4" w:space="0" w:color="auto"/>
              <w:right w:val="single" w:sz="4" w:space="0" w:color="auto"/>
            </w:tcBorders>
            <w:shd w:val="clear" w:color="auto" w:fill="auto"/>
            <w:vAlign w:val="center"/>
            <w:hideMark/>
          </w:tcPr>
          <w:p w14:paraId="2D9D3612"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 </w:t>
            </w:r>
          </w:p>
        </w:tc>
        <w:tc>
          <w:tcPr>
            <w:tcW w:w="1765" w:type="dxa"/>
            <w:tcBorders>
              <w:top w:val="nil"/>
              <w:left w:val="nil"/>
              <w:bottom w:val="single" w:sz="4" w:space="0" w:color="auto"/>
              <w:right w:val="single" w:sz="4" w:space="0" w:color="auto"/>
            </w:tcBorders>
            <w:shd w:val="clear" w:color="auto" w:fill="auto"/>
            <w:vAlign w:val="center"/>
            <w:hideMark/>
          </w:tcPr>
          <w:p w14:paraId="03301ED8"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 </w:t>
            </w:r>
          </w:p>
        </w:tc>
        <w:tc>
          <w:tcPr>
            <w:tcW w:w="2824" w:type="dxa"/>
            <w:tcBorders>
              <w:top w:val="nil"/>
              <w:left w:val="nil"/>
              <w:bottom w:val="single" w:sz="4" w:space="0" w:color="auto"/>
              <w:right w:val="single" w:sz="4" w:space="0" w:color="auto"/>
            </w:tcBorders>
            <w:shd w:val="clear" w:color="000000" w:fill="F2DCDB"/>
            <w:vAlign w:val="center"/>
            <w:hideMark/>
          </w:tcPr>
          <w:p w14:paraId="681BF0D3" w14:textId="653F0012"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Practice Area:</w:t>
            </w:r>
            <w:r w:rsidRPr="00BB662E">
              <w:rPr>
                <w:rFonts w:ascii="Calibri" w:hAnsi="Calibri"/>
                <w:color w:val="000000"/>
                <w:lang w:eastAsia="en-GB"/>
              </w:rPr>
              <w:br/>
            </w:r>
            <w:r w:rsidR="00B83042">
              <w:rPr>
                <w:rFonts w:ascii="Calibri" w:hAnsi="Calibri"/>
                <w:color w:val="000000"/>
                <w:lang w:eastAsia="en-GB"/>
              </w:rPr>
              <w:t>CCG/ICB</w:t>
            </w:r>
            <w:r w:rsidRPr="00BB662E">
              <w:rPr>
                <w:rFonts w:ascii="Calibri" w:hAnsi="Calibri"/>
                <w:color w:val="000000"/>
                <w:lang w:eastAsia="en-GB"/>
              </w:rPr>
              <w:t xml:space="preserve"> Area:</w:t>
            </w:r>
            <w:r w:rsidRPr="00BB662E">
              <w:rPr>
                <w:rFonts w:ascii="Calibri" w:hAnsi="Calibri"/>
                <w:color w:val="000000"/>
                <w:lang w:eastAsia="en-GB"/>
              </w:rPr>
              <w:br/>
              <w:t>County Average:</w:t>
            </w:r>
            <w:r w:rsidRPr="00BB662E">
              <w:rPr>
                <w:rFonts w:ascii="Calibri" w:hAnsi="Calibri"/>
                <w:color w:val="000000"/>
                <w:lang w:eastAsia="en-GB"/>
              </w:rPr>
              <w:br/>
              <w:t>England Average:</w:t>
            </w:r>
          </w:p>
        </w:tc>
      </w:tr>
      <w:tr w:rsidR="006036F0" w:rsidRPr="00BB662E" w14:paraId="11610C3F" w14:textId="77777777" w:rsidTr="006036F0">
        <w:trPr>
          <w:trHeight w:val="630"/>
        </w:trPr>
        <w:tc>
          <w:tcPr>
            <w:tcW w:w="607" w:type="dxa"/>
            <w:tcBorders>
              <w:top w:val="nil"/>
              <w:left w:val="single" w:sz="4" w:space="0" w:color="auto"/>
              <w:bottom w:val="single" w:sz="4" w:space="0" w:color="auto"/>
              <w:right w:val="single" w:sz="4" w:space="0" w:color="auto"/>
            </w:tcBorders>
            <w:shd w:val="clear" w:color="auto" w:fill="auto"/>
            <w:noWrap/>
            <w:hideMark/>
          </w:tcPr>
          <w:p w14:paraId="0544AF47"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29</w:t>
            </w:r>
          </w:p>
        </w:tc>
        <w:tc>
          <w:tcPr>
            <w:tcW w:w="6342" w:type="dxa"/>
            <w:tcBorders>
              <w:top w:val="nil"/>
              <w:left w:val="nil"/>
              <w:bottom w:val="single" w:sz="4" w:space="0" w:color="auto"/>
              <w:right w:val="single" w:sz="4" w:space="0" w:color="auto"/>
            </w:tcBorders>
            <w:shd w:val="clear" w:color="auto" w:fill="auto"/>
            <w:hideMark/>
          </w:tcPr>
          <w:p w14:paraId="3704D85D" w14:textId="10C20627" w:rsidR="006036F0" w:rsidRPr="00BB662E" w:rsidRDefault="006036F0" w:rsidP="006036F0">
            <w:pPr>
              <w:spacing w:before="60" w:after="60"/>
              <w:rPr>
                <w:rFonts w:ascii="Calibri" w:hAnsi="Calibri"/>
                <w:color w:val="000000"/>
                <w:lang w:eastAsia="en-GB"/>
              </w:rPr>
            </w:pPr>
            <w:r>
              <w:rPr>
                <w:rFonts w:ascii="Calibri" w:hAnsi="Calibri"/>
                <w:color w:val="000000"/>
                <w:lang w:eastAsia="en-GB"/>
              </w:rPr>
              <w:t>A review of General Practice Indicators used by NHS England to assess quality and safety</w:t>
            </w:r>
          </w:p>
        </w:tc>
        <w:tc>
          <w:tcPr>
            <w:tcW w:w="2915" w:type="dxa"/>
            <w:tcBorders>
              <w:top w:val="nil"/>
              <w:left w:val="nil"/>
              <w:bottom w:val="single" w:sz="4" w:space="0" w:color="auto"/>
              <w:right w:val="single" w:sz="4" w:space="0" w:color="auto"/>
            </w:tcBorders>
            <w:shd w:val="clear" w:color="auto" w:fill="auto"/>
            <w:vAlign w:val="bottom"/>
            <w:hideMark/>
          </w:tcPr>
          <w:p w14:paraId="4FED29A5"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Potential marker of poorer quality practice</w:t>
            </w:r>
          </w:p>
        </w:tc>
        <w:tc>
          <w:tcPr>
            <w:tcW w:w="519" w:type="dxa"/>
            <w:tcBorders>
              <w:top w:val="nil"/>
              <w:left w:val="nil"/>
              <w:bottom w:val="single" w:sz="4" w:space="0" w:color="auto"/>
              <w:right w:val="single" w:sz="4" w:space="0" w:color="auto"/>
            </w:tcBorders>
            <w:shd w:val="clear" w:color="000000" w:fill="F2DCDB"/>
            <w:hideMark/>
          </w:tcPr>
          <w:p w14:paraId="5863922E"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7EEBD67C"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4" w:space="0" w:color="auto"/>
              <w:right w:val="single" w:sz="4" w:space="0" w:color="auto"/>
            </w:tcBorders>
            <w:shd w:val="clear" w:color="auto" w:fill="auto"/>
            <w:vAlign w:val="bottom"/>
            <w:hideMark/>
          </w:tcPr>
          <w:p w14:paraId="389042D7"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 </w:t>
            </w:r>
          </w:p>
        </w:tc>
      </w:tr>
      <w:tr w:rsidR="006036F0" w:rsidRPr="00BB662E" w14:paraId="20D48A07" w14:textId="77777777" w:rsidTr="006036F0">
        <w:trPr>
          <w:trHeight w:val="600"/>
        </w:trPr>
        <w:tc>
          <w:tcPr>
            <w:tcW w:w="607" w:type="dxa"/>
            <w:tcBorders>
              <w:top w:val="nil"/>
              <w:left w:val="single" w:sz="4" w:space="0" w:color="auto"/>
              <w:bottom w:val="single" w:sz="4" w:space="0" w:color="auto"/>
              <w:right w:val="single" w:sz="4" w:space="0" w:color="auto"/>
            </w:tcBorders>
            <w:shd w:val="clear" w:color="auto" w:fill="auto"/>
            <w:noWrap/>
            <w:hideMark/>
          </w:tcPr>
          <w:p w14:paraId="531F9411"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30</w:t>
            </w:r>
          </w:p>
        </w:tc>
        <w:tc>
          <w:tcPr>
            <w:tcW w:w="6342" w:type="dxa"/>
            <w:tcBorders>
              <w:top w:val="nil"/>
              <w:left w:val="nil"/>
              <w:bottom w:val="single" w:sz="4" w:space="0" w:color="auto"/>
              <w:right w:val="single" w:sz="4" w:space="0" w:color="auto"/>
            </w:tcBorders>
            <w:shd w:val="clear" w:color="auto" w:fill="auto"/>
            <w:hideMark/>
          </w:tcPr>
          <w:p w14:paraId="7D803F71"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Annual contractual 'e-declaration' - non-compliance issues?</w:t>
            </w:r>
          </w:p>
        </w:tc>
        <w:tc>
          <w:tcPr>
            <w:tcW w:w="2915" w:type="dxa"/>
            <w:tcBorders>
              <w:top w:val="nil"/>
              <w:left w:val="nil"/>
              <w:bottom w:val="single" w:sz="4" w:space="0" w:color="auto"/>
              <w:right w:val="single" w:sz="4" w:space="0" w:color="auto"/>
            </w:tcBorders>
            <w:shd w:val="clear" w:color="auto" w:fill="auto"/>
            <w:vAlign w:val="bottom"/>
            <w:hideMark/>
          </w:tcPr>
          <w:p w14:paraId="3C0EC823"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Potential marker of poorer quality practice</w:t>
            </w:r>
          </w:p>
        </w:tc>
        <w:tc>
          <w:tcPr>
            <w:tcW w:w="519" w:type="dxa"/>
            <w:tcBorders>
              <w:top w:val="nil"/>
              <w:left w:val="nil"/>
              <w:bottom w:val="single" w:sz="4" w:space="0" w:color="auto"/>
              <w:right w:val="single" w:sz="4" w:space="0" w:color="auto"/>
            </w:tcBorders>
            <w:shd w:val="clear" w:color="000000" w:fill="F2DCDB"/>
            <w:hideMark/>
          </w:tcPr>
          <w:p w14:paraId="1E20CABF"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6B0EC7AB"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4" w:space="0" w:color="auto"/>
              <w:right w:val="single" w:sz="4" w:space="0" w:color="auto"/>
            </w:tcBorders>
            <w:shd w:val="clear" w:color="auto" w:fill="auto"/>
            <w:vAlign w:val="bottom"/>
            <w:hideMark/>
          </w:tcPr>
          <w:p w14:paraId="310ED37F"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 </w:t>
            </w:r>
          </w:p>
        </w:tc>
      </w:tr>
      <w:tr w:rsidR="006036F0" w:rsidRPr="00BB662E" w14:paraId="438004D6" w14:textId="77777777" w:rsidTr="006036F0">
        <w:trPr>
          <w:trHeight w:val="720"/>
        </w:trPr>
        <w:tc>
          <w:tcPr>
            <w:tcW w:w="607" w:type="dxa"/>
            <w:tcBorders>
              <w:top w:val="nil"/>
              <w:left w:val="single" w:sz="4" w:space="0" w:color="auto"/>
              <w:bottom w:val="single" w:sz="4" w:space="0" w:color="auto"/>
              <w:right w:val="single" w:sz="4" w:space="0" w:color="auto"/>
            </w:tcBorders>
            <w:shd w:val="clear" w:color="auto" w:fill="auto"/>
            <w:noWrap/>
            <w:hideMark/>
          </w:tcPr>
          <w:p w14:paraId="14BFEEAF"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31</w:t>
            </w:r>
          </w:p>
        </w:tc>
        <w:tc>
          <w:tcPr>
            <w:tcW w:w="6342" w:type="dxa"/>
            <w:tcBorders>
              <w:top w:val="nil"/>
              <w:left w:val="nil"/>
              <w:bottom w:val="single" w:sz="4" w:space="0" w:color="auto"/>
              <w:right w:val="single" w:sz="4" w:space="0" w:color="auto"/>
            </w:tcBorders>
            <w:shd w:val="clear" w:color="auto" w:fill="auto"/>
            <w:hideMark/>
          </w:tcPr>
          <w:p w14:paraId="223475A2"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Patient satisfaction survey - outlier areas?</w:t>
            </w:r>
          </w:p>
        </w:tc>
        <w:tc>
          <w:tcPr>
            <w:tcW w:w="2915" w:type="dxa"/>
            <w:tcBorders>
              <w:top w:val="nil"/>
              <w:left w:val="nil"/>
              <w:bottom w:val="single" w:sz="4" w:space="0" w:color="auto"/>
              <w:right w:val="single" w:sz="4" w:space="0" w:color="auto"/>
            </w:tcBorders>
            <w:shd w:val="clear" w:color="auto" w:fill="auto"/>
            <w:vAlign w:val="bottom"/>
            <w:hideMark/>
          </w:tcPr>
          <w:p w14:paraId="51919B52"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Potential marker of poorer quality practice</w:t>
            </w:r>
          </w:p>
        </w:tc>
        <w:tc>
          <w:tcPr>
            <w:tcW w:w="519" w:type="dxa"/>
            <w:tcBorders>
              <w:top w:val="nil"/>
              <w:left w:val="nil"/>
              <w:bottom w:val="single" w:sz="4" w:space="0" w:color="auto"/>
              <w:right w:val="single" w:sz="4" w:space="0" w:color="auto"/>
            </w:tcBorders>
            <w:shd w:val="clear" w:color="000000" w:fill="F2DCDB"/>
            <w:hideMark/>
          </w:tcPr>
          <w:p w14:paraId="5A007FF7"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603A0523"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4" w:space="0" w:color="auto"/>
              <w:right w:val="single" w:sz="4" w:space="0" w:color="auto"/>
            </w:tcBorders>
            <w:shd w:val="clear" w:color="auto" w:fill="auto"/>
            <w:vAlign w:val="bottom"/>
            <w:hideMark/>
          </w:tcPr>
          <w:p w14:paraId="2CE40AD3"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Detail issues:</w:t>
            </w:r>
          </w:p>
        </w:tc>
      </w:tr>
      <w:tr w:rsidR="006036F0" w:rsidRPr="00BB662E" w14:paraId="11E511EA" w14:textId="77777777" w:rsidTr="006036F0">
        <w:trPr>
          <w:trHeight w:val="465"/>
        </w:trPr>
        <w:tc>
          <w:tcPr>
            <w:tcW w:w="607" w:type="dxa"/>
            <w:tcBorders>
              <w:top w:val="nil"/>
              <w:left w:val="nil"/>
              <w:bottom w:val="nil"/>
              <w:right w:val="nil"/>
            </w:tcBorders>
            <w:shd w:val="clear" w:color="000000" w:fill="D9D9D9"/>
            <w:noWrap/>
            <w:hideMark/>
          </w:tcPr>
          <w:p w14:paraId="21466AD3"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 </w:t>
            </w:r>
          </w:p>
        </w:tc>
        <w:tc>
          <w:tcPr>
            <w:tcW w:w="9257" w:type="dxa"/>
            <w:gridSpan w:val="2"/>
            <w:tcBorders>
              <w:top w:val="single" w:sz="4" w:space="0" w:color="auto"/>
              <w:left w:val="nil"/>
              <w:bottom w:val="nil"/>
              <w:right w:val="nil"/>
            </w:tcBorders>
            <w:shd w:val="clear" w:color="000000" w:fill="D9D9D9"/>
            <w:noWrap/>
            <w:vAlign w:val="bottom"/>
            <w:hideMark/>
          </w:tcPr>
          <w:p w14:paraId="257CD567" w14:textId="77777777" w:rsidR="006036F0" w:rsidRPr="00BB662E" w:rsidRDefault="006036F0" w:rsidP="006036F0">
            <w:pPr>
              <w:spacing w:before="60" w:after="60"/>
              <w:rPr>
                <w:rFonts w:ascii="Calibri" w:hAnsi="Calibri"/>
                <w:b/>
                <w:bCs w:val="0"/>
                <w:color w:val="000000"/>
                <w:szCs w:val="24"/>
                <w:lang w:eastAsia="en-GB"/>
              </w:rPr>
            </w:pPr>
            <w:r w:rsidRPr="00BB662E">
              <w:rPr>
                <w:rFonts w:ascii="Calibri" w:hAnsi="Calibri"/>
                <w:b/>
                <w:color w:val="000000"/>
                <w:szCs w:val="24"/>
                <w:lang w:eastAsia="en-GB"/>
              </w:rPr>
              <w:t xml:space="preserve">Please return to: </w:t>
            </w:r>
            <w:r w:rsidRPr="00975B2C">
              <w:rPr>
                <w:rFonts w:ascii="Calibri" w:hAnsi="Calibri"/>
                <w:b/>
                <w:color w:val="000000"/>
                <w:szCs w:val="24"/>
                <w:highlight w:val="yellow"/>
                <w:lang w:eastAsia="en-GB"/>
              </w:rPr>
              <w:t>&lt;insert local email&gt;</w:t>
            </w:r>
            <w:r w:rsidRPr="00BB662E">
              <w:rPr>
                <w:rFonts w:ascii="Calibri" w:hAnsi="Calibri"/>
                <w:b/>
                <w:color w:val="000000"/>
                <w:szCs w:val="24"/>
                <w:lang w:eastAsia="en-GB"/>
              </w:rPr>
              <w:t xml:space="preserve"> @nhs.net  (ALL INFORMATION WILL BE HELD SECURELY)</w:t>
            </w:r>
          </w:p>
        </w:tc>
        <w:tc>
          <w:tcPr>
            <w:tcW w:w="519" w:type="dxa"/>
            <w:tcBorders>
              <w:top w:val="nil"/>
              <w:left w:val="nil"/>
              <w:bottom w:val="nil"/>
              <w:right w:val="nil"/>
            </w:tcBorders>
            <w:shd w:val="clear" w:color="000000" w:fill="D9D9D9"/>
            <w:vAlign w:val="bottom"/>
            <w:hideMark/>
          </w:tcPr>
          <w:p w14:paraId="4113A576" w14:textId="77777777" w:rsidR="006036F0" w:rsidRPr="00BB662E" w:rsidRDefault="006036F0" w:rsidP="006036F0">
            <w:pPr>
              <w:spacing w:before="60" w:after="60"/>
              <w:jc w:val="center"/>
              <w:rPr>
                <w:rFonts w:ascii="Calibri" w:hAnsi="Calibri"/>
                <w:b/>
                <w:bCs w:val="0"/>
                <w:color w:val="000000"/>
                <w:szCs w:val="24"/>
                <w:lang w:eastAsia="en-GB"/>
              </w:rPr>
            </w:pPr>
            <w:r w:rsidRPr="00BB662E">
              <w:rPr>
                <w:rFonts w:ascii="Calibri" w:hAnsi="Calibri"/>
                <w:b/>
                <w:color w:val="000000"/>
                <w:szCs w:val="24"/>
                <w:lang w:eastAsia="en-GB"/>
              </w:rPr>
              <w:t> </w:t>
            </w:r>
          </w:p>
        </w:tc>
        <w:tc>
          <w:tcPr>
            <w:tcW w:w="1765" w:type="dxa"/>
            <w:tcBorders>
              <w:top w:val="nil"/>
              <w:left w:val="nil"/>
              <w:bottom w:val="nil"/>
              <w:right w:val="nil"/>
            </w:tcBorders>
            <w:shd w:val="clear" w:color="000000" w:fill="D9D9D9"/>
            <w:vAlign w:val="bottom"/>
            <w:hideMark/>
          </w:tcPr>
          <w:p w14:paraId="29BF7FED" w14:textId="77777777" w:rsidR="006036F0" w:rsidRPr="00BB662E" w:rsidRDefault="006036F0" w:rsidP="006036F0">
            <w:pPr>
              <w:spacing w:before="60" w:after="60"/>
              <w:jc w:val="center"/>
              <w:rPr>
                <w:rFonts w:ascii="Calibri" w:hAnsi="Calibri"/>
                <w:b/>
                <w:bCs w:val="0"/>
                <w:color w:val="000000"/>
                <w:szCs w:val="24"/>
                <w:lang w:eastAsia="en-GB"/>
              </w:rPr>
            </w:pPr>
            <w:r w:rsidRPr="00BB662E">
              <w:rPr>
                <w:rFonts w:ascii="Calibri" w:hAnsi="Calibri"/>
                <w:b/>
                <w:color w:val="000000"/>
                <w:szCs w:val="24"/>
                <w:lang w:eastAsia="en-GB"/>
              </w:rPr>
              <w:t> </w:t>
            </w:r>
          </w:p>
        </w:tc>
        <w:tc>
          <w:tcPr>
            <w:tcW w:w="2824" w:type="dxa"/>
            <w:tcBorders>
              <w:top w:val="nil"/>
              <w:left w:val="nil"/>
              <w:bottom w:val="nil"/>
              <w:right w:val="nil"/>
            </w:tcBorders>
            <w:shd w:val="clear" w:color="000000" w:fill="D9D9D9"/>
            <w:noWrap/>
            <w:vAlign w:val="center"/>
            <w:hideMark/>
          </w:tcPr>
          <w:p w14:paraId="329B7BB1" w14:textId="77777777" w:rsidR="006036F0" w:rsidRPr="00BB662E" w:rsidRDefault="006036F0" w:rsidP="006036F0">
            <w:pPr>
              <w:spacing w:before="60" w:after="60"/>
              <w:rPr>
                <w:rFonts w:ascii="Calibri" w:hAnsi="Calibri"/>
                <w:b/>
                <w:bCs w:val="0"/>
                <w:color w:val="000000"/>
                <w:szCs w:val="24"/>
                <w:lang w:eastAsia="en-GB"/>
              </w:rPr>
            </w:pPr>
            <w:r w:rsidRPr="00BB662E">
              <w:rPr>
                <w:rFonts w:ascii="Calibri" w:hAnsi="Calibri"/>
                <w:b/>
                <w:color w:val="000000"/>
                <w:szCs w:val="24"/>
                <w:lang w:eastAsia="en-GB"/>
              </w:rPr>
              <w:t> </w:t>
            </w:r>
          </w:p>
        </w:tc>
      </w:tr>
      <w:tr w:rsidR="006036F0" w:rsidRPr="00BB662E" w14:paraId="33F6D5B8" w14:textId="77777777" w:rsidTr="006036F0">
        <w:trPr>
          <w:trHeight w:val="315"/>
        </w:trPr>
        <w:tc>
          <w:tcPr>
            <w:tcW w:w="607" w:type="dxa"/>
            <w:tcBorders>
              <w:top w:val="nil"/>
              <w:left w:val="nil"/>
              <w:bottom w:val="nil"/>
              <w:right w:val="nil"/>
            </w:tcBorders>
            <w:shd w:val="clear" w:color="auto" w:fill="auto"/>
            <w:noWrap/>
            <w:hideMark/>
          </w:tcPr>
          <w:p w14:paraId="1BED04F8" w14:textId="77777777" w:rsidR="006036F0" w:rsidRPr="00BB662E" w:rsidRDefault="006036F0" w:rsidP="006036F0">
            <w:pPr>
              <w:spacing w:before="60" w:after="60"/>
              <w:jc w:val="center"/>
              <w:rPr>
                <w:rFonts w:ascii="Calibri" w:hAnsi="Calibri"/>
                <w:color w:val="000000"/>
                <w:lang w:eastAsia="en-GB"/>
              </w:rPr>
            </w:pPr>
          </w:p>
        </w:tc>
        <w:tc>
          <w:tcPr>
            <w:tcW w:w="6342" w:type="dxa"/>
            <w:tcBorders>
              <w:top w:val="nil"/>
              <w:left w:val="nil"/>
              <w:bottom w:val="nil"/>
              <w:right w:val="nil"/>
            </w:tcBorders>
            <w:shd w:val="clear" w:color="auto" w:fill="auto"/>
            <w:vAlign w:val="bottom"/>
            <w:hideMark/>
          </w:tcPr>
          <w:p w14:paraId="6EE45217" w14:textId="77777777" w:rsidR="006036F0" w:rsidRPr="00BB662E" w:rsidRDefault="006036F0" w:rsidP="006036F0">
            <w:pPr>
              <w:spacing w:before="60" w:after="60"/>
              <w:rPr>
                <w:rFonts w:ascii="Calibri" w:hAnsi="Calibri"/>
                <w:color w:val="000000"/>
                <w:lang w:eastAsia="en-GB"/>
              </w:rPr>
            </w:pPr>
          </w:p>
        </w:tc>
        <w:tc>
          <w:tcPr>
            <w:tcW w:w="2915" w:type="dxa"/>
            <w:tcBorders>
              <w:top w:val="nil"/>
              <w:left w:val="nil"/>
              <w:bottom w:val="nil"/>
              <w:right w:val="nil"/>
            </w:tcBorders>
            <w:shd w:val="clear" w:color="auto" w:fill="auto"/>
            <w:vAlign w:val="bottom"/>
            <w:hideMark/>
          </w:tcPr>
          <w:p w14:paraId="482E3ECE" w14:textId="77777777" w:rsidR="006036F0" w:rsidRPr="00BB662E" w:rsidRDefault="006036F0" w:rsidP="006036F0">
            <w:pPr>
              <w:spacing w:before="60" w:after="60"/>
              <w:rPr>
                <w:rFonts w:ascii="Calibri" w:hAnsi="Calibri"/>
                <w:color w:val="000000"/>
                <w:lang w:eastAsia="en-GB"/>
              </w:rPr>
            </w:pPr>
          </w:p>
        </w:tc>
        <w:tc>
          <w:tcPr>
            <w:tcW w:w="519" w:type="dxa"/>
            <w:tcBorders>
              <w:top w:val="nil"/>
              <w:left w:val="nil"/>
              <w:bottom w:val="nil"/>
              <w:right w:val="nil"/>
            </w:tcBorders>
            <w:shd w:val="clear" w:color="auto" w:fill="auto"/>
            <w:vAlign w:val="bottom"/>
            <w:hideMark/>
          </w:tcPr>
          <w:p w14:paraId="312C47D1" w14:textId="77777777" w:rsidR="006036F0" w:rsidRPr="00BB662E" w:rsidRDefault="006036F0" w:rsidP="006036F0">
            <w:pPr>
              <w:spacing w:before="60" w:after="60"/>
              <w:rPr>
                <w:rFonts w:ascii="Calibri" w:hAnsi="Calibri"/>
                <w:color w:val="000000"/>
                <w:lang w:eastAsia="en-GB"/>
              </w:rPr>
            </w:pPr>
          </w:p>
        </w:tc>
        <w:tc>
          <w:tcPr>
            <w:tcW w:w="1765" w:type="dxa"/>
            <w:tcBorders>
              <w:top w:val="nil"/>
              <w:left w:val="nil"/>
              <w:bottom w:val="nil"/>
              <w:right w:val="nil"/>
            </w:tcBorders>
            <w:shd w:val="clear" w:color="auto" w:fill="auto"/>
            <w:vAlign w:val="bottom"/>
            <w:hideMark/>
          </w:tcPr>
          <w:p w14:paraId="0ACBF4BF" w14:textId="77777777" w:rsidR="006036F0" w:rsidRPr="00BB662E" w:rsidRDefault="006036F0" w:rsidP="006036F0">
            <w:pPr>
              <w:spacing w:before="60" w:after="60"/>
              <w:rPr>
                <w:rFonts w:ascii="Calibri" w:hAnsi="Calibri"/>
                <w:color w:val="000000"/>
                <w:lang w:eastAsia="en-GB"/>
              </w:rPr>
            </w:pPr>
          </w:p>
        </w:tc>
        <w:tc>
          <w:tcPr>
            <w:tcW w:w="2824" w:type="dxa"/>
            <w:tcBorders>
              <w:top w:val="nil"/>
              <w:left w:val="nil"/>
              <w:bottom w:val="nil"/>
              <w:right w:val="nil"/>
            </w:tcBorders>
            <w:shd w:val="clear" w:color="auto" w:fill="auto"/>
            <w:noWrap/>
            <w:vAlign w:val="bottom"/>
            <w:hideMark/>
          </w:tcPr>
          <w:p w14:paraId="4D78F25E" w14:textId="77777777" w:rsidR="006036F0" w:rsidRPr="00BB662E" w:rsidRDefault="006036F0" w:rsidP="006036F0">
            <w:pPr>
              <w:spacing w:before="60" w:after="60"/>
              <w:rPr>
                <w:rFonts w:ascii="Calibri" w:hAnsi="Calibri"/>
                <w:color w:val="000000"/>
                <w:lang w:eastAsia="en-GB"/>
              </w:rPr>
            </w:pPr>
          </w:p>
        </w:tc>
      </w:tr>
      <w:tr w:rsidR="006036F0" w:rsidRPr="00BB662E" w14:paraId="092AAAB7" w14:textId="77777777" w:rsidTr="006036F0">
        <w:trPr>
          <w:trHeight w:val="300"/>
        </w:trPr>
        <w:tc>
          <w:tcPr>
            <w:tcW w:w="607" w:type="dxa"/>
            <w:tcBorders>
              <w:top w:val="single" w:sz="8" w:space="0" w:color="auto"/>
              <w:left w:val="single" w:sz="8" w:space="0" w:color="auto"/>
              <w:bottom w:val="nil"/>
              <w:right w:val="nil"/>
            </w:tcBorders>
            <w:shd w:val="clear" w:color="auto" w:fill="auto"/>
            <w:noWrap/>
            <w:hideMark/>
          </w:tcPr>
          <w:p w14:paraId="1F71B7F5"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 </w:t>
            </w:r>
          </w:p>
        </w:tc>
        <w:tc>
          <w:tcPr>
            <w:tcW w:w="6342" w:type="dxa"/>
            <w:tcBorders>
              <w:top w:val="single" w:sz="8" w:space="0" w:color="auto"/>
              <w:left w:val="nil"/>
              <w:bottom w:val="nil"/>
              <w:right w:val="nil"/>
            </w:tcBorders>
            <w:shd w:val="clear" w:color="auto" w:fill="auto"/>
            <w:vAlign w:val="bottom"/>
            <w:hideMark/>
          </w:tcPr>
          <w:p w14:paraId="68AAE9C0" w14:textId="77777777" w:rsidR="006036F0" w:rsidRPr="00BB662E" w:rsidRDefault="006036F0" w:rsidP="006036F0">
            <w:pPr>
              <w:spacing w:before="60" w:after="60"/>
              <w:jc w:val="right"/>
              <w:rPr>
                <w:rFonts w:ascii="Calibri" w:hAnsi="Calibri"/>
                <w:b/>
                <w:bCs w:val="0"/>
                <w:color w:val="000000"/>
                <w:lang w:eastAsia="en-GB"/>
              </w:rPr>
            </w:pPr>
            <w:r w:rsidRPr="00BB662E">
              <w:rPr>
                <w:rFonts w:ascii="Calibri" w:hAnsi="Calibri"/>
                <w:b/>
                <w:color w:val="000000"/>
                <w:lang w:eastAsia="en-GB"/>
              </w:rPr>
              <w:t>Contractor name</w:t>
            </w:r>
          </w:p>
        </w:tc>
        <w:tc>
          <w:tcPr>
            <w:tcW w:w="2915" w:type="dxa"/>
            <w:tcBorders>
              <w:top w:val="single" w:sz="8" w:space="0" w:color="auto"/>
              <w:left w:val="nil"/>
              <w:bottom w:val="nil"/>
              <w:right w:val="nil"/>
            </w:tcBorders>
            <w:shd w:val="clear" w:color="000000" w:fill="E6B8B7"/>
            <w:vAlign w:val="bottom"/>
            <w:hideMark/>
          </w:tcPr>
          <w:p w14:paraId="7FD649FB"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 </w:t>
            </w:r>
          </w:p>
        </w:tc>
        <w:tc>
          <w:tcPr>
            <w:tcW w:w="5108" w:type="dxa"/>
            <w:gridSpan w:val="3"/>
            <w:tcBorders>
              <w:top w:val="single" w:sz="8" w:space="0" w:color="auto"/>
              <w:left w:val="nil"/>
              <w:bottom w:val="nil"/>
              <w:right w:val="single" w:sz="8" w:space="0" w:color="000000"/>
            </w:tcBorders>
            <w:shd w:val="clear" w:color="auto" w:fill="auto"/>
            <w:noWrap/>
            <w:vAlign w:val="bottom"/>
            <w:hideMark/>
          </w:tcPr>
          <w:p w14:paraId="5AE11D37" w14:textId="77777777" w:rsidR="006036F0" w:rsidRPr="00BB662E" w:rsidRDefault="006036F0" w:rsidP="006036F0">
            <w:pPr>
              <w:spacing w:before="60" w:after="60"/>
              <w:rPr>
                <w:rFonts w:ascii="Calibri" w:hAnsi="Calibri"/>
                <w:b/>
                <w:bCs w:val="0"/>
                <w:color w:val="000000"/>
                <w:lang w:eastAsia="en-GB"/>
              </w:rPr>
            </w:pPr>
            <w:r w:rsidRPr="00BB662E">
              <w:rPr>
                <w:rFonts w:ascii="Calibri" w:hAnsi="Calibri"/>
                <w:b/>
                <w:color w:val="000000"/>
                <w:lang w:eastAsia="en-GB"/>
              </w:rPr>
              <w:t>Practice signature (Contractor):</w:t>
            </w:r>
          </w:p>
        </w:tc>
      </w:tr>
      <w:tr w:rsidR="006036F0" w:rsidRPr="00BB662E" w14:paraId="0125567C" w14:textId="77777777" w:rsidTr="006036F0">
        <w:trPr>
          <w:trHeight w:val="480"/>
        </w:trPr>
        <w:tc>
          <w:tcPr>
            <w:tcW w:w="607" w:type="dxa"/>
            <w:tcBorders>
              <w:top w:val="nil"/>
              <w:left w:val="single" w:sz="8" w:space="0" w:color="auto"/>
              <w:bottom w:val="nil"/>
              <w:right w:val="nil"/>
            </w:tcBorders>
            <w:shd w:val="clear" w:color="auto" w:fill="auto"/>
            <w:noWrap/>
            <w:hideMark/>
          </w:tcPr>
          <w:p w14:paraId="44E3D8E4"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 </w:t>
            </w:r>
          </w:p>
        </w:tc>
        <w:tc>
          <w:tcPr>
            <w:tcW w:w="6342" w:type="dxa"/>
            <w:tcBorders>
              <w:top w:val="nil"/>
              <w:left w:val="nil"/>
              <w:bottom w:val="nil"/>
              <w:right w:val="nil"/>
            </w:tcBorders>
            <w:shd w:val="clear" w:color="auto" w:fill="auto"/>
            <w:vAlign w:val="bottom"/>
            <w:hideMark/>
          </w:tcPr>
          <w:p w14:paraId="74047552" w14:textId="77777777" w:rsidR="006036F0" w:rsidRPr="00BB662E" w:rsidRDefault="006036F0" w:rsidP="006036F0">
            <w:pPr>
              <w:spacing w:before="60" w:after="60"/>
              <w:rPr>
                <w:rFonts w:ascii="Calibri" w:hAnsi="Calibri"/>
                <w:color w:val="000000"/>
                <w:lang w:eastAsia="en-GB"/>
              </w:rPr>
            </w:pPr>
          </w:p>
        </w:tc>
        <w:tc>
          <w:tcPr>
            <w:tcW w:w="2915" w:type="dxa"/>
            <w:tcBorders>
              <w:top w:val="nil"/>
              <w:left w:val="nil"/>
              <w:bottom w:val="nil"/>
              <w:right w:val="nil"/>
            </w:tcBorders>
            <w:shd w:val="clear" w:color="000000" w:fill="E6B8B7"/>
            <w:vAlign w:val="bottom"/>
            <w:hideMark/>
          </w:tcPr>
          <w:p w14:paraId="6A15CA77"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insert</w:t>
            </w:r>
          </w:p>
        </w:tc>
        <w:tc>
          <w:tcPr>
            <w:tcW w:w="519" w:type="dxa"/>
            <w:tcBorders>
              <w:top w:val="nil"/>
              <w:left w:val="nil"/>
              <w:bottom w:val="nil"/>
              <w:right w:val="nil"/>
            </w:tcBorders>
            <w:shd w:val="clear" w:color="000000" w:fill="E6B8B7"/>
            <w:vAlign w:val="bottom"/>
            <w:hideMark/>
          </w:tcPr>
          <w:p w14:paraId="610524D9"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 </w:t>
            </w:r>
          </w:p>
        </w:tc>
        <w:tc>
          <w:tcPr>
            <w:tcW w:w="1765" w:type="dxa"/>
            <w:tcBorders>
              <w:top w:val="nil"/>
              <w:left w:val="nil"/>
              <w:bottom w:val="nil"/>
              <w:right w:val="nil"/>
            </w:tcBorders>
            <w:shd w:val="clear" w:color="000000" w:fill="E6B8B7"/>
            <w:vAlign w:val="bottom"/>
            <w:hideMark/>
          </w:tcPr>
          <w:p w14:paraId="1D638F12"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 </w:t>
            </w:r>
          </w:p>
        </w:tc>
        <w:tc>
          <w:tcPr>
            <w:tcW w:w="2824" w:type="dxa"/>
            <w:tcBorders>
              <w:top w:val="nil"/>
              <w:left w:val="nil"/>
              <w:bottom w:val="nil"/>
              <w:right w:val="single" w:sz="8" w:space="0" w:color="auto"/>
            </w:tcBorders>
            <w:shd w:val="clear" w:color="000000" w:fill="E6B8B7"/>
            <w:noWrap/>
            <w:vAlign w:val="bottom"/>
            <w:hideMark/>
          </w:tcPr>
          <w:p w14:paraId="0F747125"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 </w:t>
            </w:r>
          </w:p>
        </w:tc>
      </w:tr>
      <w:tr w:rsidR="006036F0" w:rsidRPr="00BB662E" w14:paraId="1FA67616" w14:textId="77777777" w:rsidTr="006036F0">
        <w:trPr>
          <w:trHeight w:val="300"/>
        </w:trPr>
        <w:tc>
          <w:tcPr>
            <w:tcW w:w="607" w:type="dxa"/>
            <w:tcBorders>
              <w:top w:val="nil"/>
              <w:left w:val="single" w:sz="8" w:space="0" w:color="auto"/>
              <w:bottom w:val="nil"/>
              <w:right w:val="nil"/>
            </w:tcBorders>
            <w:shd w:val="clear" w:color="auto" w:fill="auto"/>
            <w:noWrap/>
            <w:hideMark/>
          </w:tcPr>
          <w:p w14:paraId="107395D0"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 </w:t>
            </w:r>
          </w:p>
        </w:tc>
        <w:tc>
          <w:tcPr>
            <w:tcW w:w="6342" w:type="dxa"/>
            <w:tcBorders>
              <w:top w:val="nil"/>
              <w:left w:val="nil"/>
              <w:bottom w:val="nil"/>
              <w:right w:val="nil"/>
            </w:tcBorders>
            <w:shd w:val="clear" w:color="auto" w:fill="auto"/>
            <w:vAlign w:val="bottom"/>
            <w:hideMark/>
          </w:tcPr>
          <w:p w14:paraId="3D46F9F9" w14:textId="40AF8F06" w:rsidR="006036F0" w:rsidRPr="00BB662E" w:rsidRDefault="00B83042" w:rsidP="006036F0">
            <w:pPr>
              <w:spacing w:before="60" w:after="60"/>
              <w:rPr>
                <w:rFonts w:ascii="Calibri" w:hAnsi="Calibri"/>
                <w:b/>
                <w:bCs w:val="0"/>
                <w:color w:val="000000"/>
                <w:lang w:eastAsia="en-GB"/>
              </w:rPr>
            </w:pPr>
            <w:r>
              <w:rPr>
                <w:rFonts w:ascii="Calibri" w:hAnsi="Calibri"/>
                <w:b/>
                <w:color w:val="000000"/>
                <w:lang w:eastAsia="en-GB"/>
              </w:rPr>
              <w:t>CCG/ICB</w:t>
            </w:r>
            <w:r w:rsidR="006036F0" w:rsidRPr="00BB662E">
              <w:rPr>
                <w:rFonts w:ascii="Calibri" w:hAnsi="Calibri"/>
                <w:b/>
                <w:color w:val="000000"/>
                <w:lang w:eastAsia="en-GB"/>
              </w:rPr>
              <w:t xml:space="preserve"> Support required in all cases:</w:t>
            </w:r>
          </w:p>
        </w:tc>
        <w:tc>
          <w:tcPr>
            <w:tcW w:w="2915" w:type="dxa"/>
            <w:tcBorders>
              <w:top w:val="nil"/>
              <w:left w:val="nil"/>
              <w:bottom w:val="nil"/>
              <w:right w:val="nil"/>
            </w:tcBorders>
            <w:shd w:val="clear" w:color="auto" w:fill="auto"/>
            <w:vAlign w:val="bottom"/>
            <w:hideMark/>
          </w:tcPr>
          <w:p w14:paraId="66F08748" w14:textId="77777777" w:rsidR="006036F0" w:rsidRPr="00BB662E" w:rsidRDefault="006036F0" w:rsidP="006036F0">
            <w:pPr>
              <w:spacing w:before="60" w:after="60"/>
              <w:rPr>
                <w:rFonts w:ascii="Calibri" w:hAnsi="Calibri"/>
                <w:color w:val="000000"/>
                <w:lang w:eastAsia="en-GB"/>
              </w:rPr>
            </w:pPr>
          </w:p>
        </w:tc>
        <w:tc>
          <w:tcPr>
            <w:tcW w:w="519" w:type="dxa"/>
            <w:tcBorders>
              <w:top w:val="nil"/>
              <w:left w:val="nil"/>
              <w:bottom w:val="nil"/>
              <w:right w:val="nil"/>
            </w:tcBorders>
            <w:shd w:val="clear" w:color="auto" w:fill="auto"/>
            <w:vAlign w:val="bottom"/>
            <w:hideMark/>
          </w:tcPr>
          <w:p w14:paraId="3482B1C5" w14:textId="77777777" w:rsidR="006036F0" w:rsidRPr="00BB662E" w:rsidRDefault="006036F0" w:rsidP="006036F0">
            <w:pPr>
              <w:spacing w:before="60" w:after="60"/>
              <w:rPr>
                <w:rFonts w:ascii="Calibri" w:hAnsi="Calibri"/>
                <w:color w:val="000000"/>
                <w:lang w:eastAsia="en-GB"/>
              </w:rPr>
            </w:pPr>
          </w:p>
        </w:tc>
        <w:tc>
          <w:tcPr>
            <w:tcW w:w="1765" w:type="dxa"/>
            <w:tcBorders>
              <w:top w:val="nil"/>
              <w:left w:val="nil"/>
              <w:bottom w:val="nil"/>
              <w:right w:val="nil"/>
            </w:tcBorders>
            <w:shd w:val="clear" w:color="auto" w:fill="auto"/>
            <w:vAlign w:val="bottom"/>
            <w:hideMark/>
          </w:tcPr>
          <w:p w14:paraId="14EA9987" w14:textId="77777777" w:rsidR="006036F0" w:rsidRPr="00BB662E" w:rsidRDefault="006036F0" w:rsidP="006036F0">
            <w:pPr>
              <w:spacing w:before="60" w:after="60"/>
              <w:rPr>
                <w:rFonts w:ascii="Calibri" w:hAnsi="Calibri"/>
                <w:color w:val="000000"/>
                <w:lang w:eastAsia="en-GB"/>
              </w:rPr>
            </w:pPr>
          </w:p>
        </w:tc>
        <w:tc>
          <w:tcPr>
            <w:tcW w:w="2824" w:type="dxa"/>
            <w:tcBorders>
              <w:top w:val="nil"/>
              <w:left w:val="nil"/>
              <w:bottom w:val="nil"/>
              <w:right w:val="single" w:sz="8" w:space="0" w:color="auto"/>
            </w:tcBorders>
            <w:shd w:val="clear" w:color="auto" w:fill="auto"/>
            <w:noWrap/>
            <w:vAlign w:val="bottom"/>
            <w:hideMark/>
          </w:tcPr>
          <w:p w14:paraId="0710840C"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 </w:t>
            </w:r>
          </w:p>
        </w:tc>
      </w:tr>
      <w:tr w:rsidR="006036F0" w:rsidRPr="00BB662E" w14:paraId="23CEBCC8" w14:textId="77777777" w:rsidTr="006036F0">
        <w:trPr>
          <w:trHeight w:val="480"/>
        </w:trPr>
        <w:tc>
          <w:tcPr>
            <w:tcW w:w="607" w:type="dxa"/>
            <w:tcBorders>
              <w:top w:val="nil"/>
              <w:left w:val="single" w:sz="8" w:space="0" w:color="auto"/>
              <w:bottom w:val="single" w:sz="4" w:space="0" w:color="auto"/>
              <w:right w:val="nil"/>
            </w:tcBorders>
            <w:shd w:val="clear" w:color="auto" w:fill="auto"/>
            <w:noWrap/>
            <w:hideMark/>
          </w:tcPr>
          <w:p w14:paraId="500CE689"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 </w:t>
            </w:r>
          </w:p>
        </w:tc>
        <w:tc>
          <w:tcPr>
            <w:tcW w:w="6342" w:type="dxa"/>
            <w:tcBorders>
              <w:top w:val="nil"/>
              <w:left w:val="nil"/>
              <w:bottom w:val="single" w:sz="4" w:space="0" w:color="auto"/>
              <w:right w:val="nil"/>
            </w:tcBorders>
            <w:shd w:val="clear" w:color="auto" w:fill="auto"/>
            <w:vAlign w:val="bottom"/>
            <w:hideMark/>
          </w:tcPr>
          <w:p w14:paraId="19F4E69F" w14:textId="0DB7DDDE" w:rsidR="006036F0" w:rsidRPr="00BB662E" w:rsidRDefault="00B83042" w:rsidP="006036F0">
            <w:pPr>
              <w:spacing w:before="60" w:after="60"/>
              <w:jc w:val="right"/>
              <w:rPr>
                <w:rFonts w:ascii="Calibri" w:hAnsi="Calibri"/>
                <w:b/>
                <w:bCs w:val="0"/>
                <w:color w:val="000000"/>
                <w:sz w:val="20"/>
                <w:szCs w:val="20"/>
                <w:lang w:eastAsia="en-GB"/>
              </w:rPr>
            </w:pPr>
            <w:r>
              <w:rPr>
                <w:rFonts w:ascii="Calibri" w:hAnsi="Calibri"/>
                <w:b/>
                <w:color w:val="000000"/>
                <w:sz w:val="20"/>
                <w:szCs w:val="20"/>
                <w:lang w:eastAsia="en-GB"/>
              </w:rPr>
              <w:t>CCG/ICB</w:t>
            </w:r>
            <w:r w:rsidR="006036F0" w:rsidRPr="00BB662E">
              <w:rPr>
                <w:rFonts w:ascii="Calibri" w:hAnsi="Calibri"/>
                <w:b/>
                <w:color w:val="000000"/>
                <w:sz w:val="20"/>
                <w:szCs w:val="20"/>
                <w:lang w:eastAsia="en-GB"/>
              </w:rPr>
              <w:t xml:space="preserve"> Lead Name</w:t>
            </w:r>
          </w:p>
        </w:tc>
        <w:tc>
          <w:tcPr>
            <w:tcW w:w="2915" w:type="dxa"/>
            <w:tcBorders>
              <w:top w:val="nil"/>
              <w:left w:val="nil"/>
              <w:bottom w:val="single" w:sz="4" w:space="0" w:color="auto"/>
              <w:right w:val="nil"/>
            </w:tcBorders>
            <w:shd w:val="clear" w:color="000000" w:fill="E6B8B7"/>
            <w:vAlign w:val="bottom"/>
            <w:hideMark/>
          </w:tcPr>
          <w:p w14:paraId="634014DC"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insert</w:t>
            </w:r>
          </w:p>
        </w:tc>
        <w:tc>
          <w:tcPr>
            <w:tcW w:w="2284" w:type="dxa"/>
            <w:gridSpan w:val="2"/>
            <w:tcBorders>
              <w:top w:val="nil"/>
              <w:left w:val="nil"/>
              <w:bottom w:val="single" w:sz="4" w:space="0" w:color="auto"/>
              <w:right w:val="nil"/>
            </w:tcBorders>
            <w:shd w:val="clear" w:color="auto" w:fill="auto"/>
            <w:noWrap/>
            <w:vAlign w:val="bottom"/>
            <w:hideMark/>
          </w:tcPr>
          <w:p w14:paraId="2C6D377B" w14:textId="344B1819" w:rsidR="006036F0" w:rsidRPr="00BB662E" w:rsidRDefault="00B83042" w:rsidP="006036F0">
            <w:pPr>
              <w:spacing w:before="60" w:after="60"/>
              <w:rPr>
                <w:rFonts w:ascii="Calibri" w:hAnsi="Calibri"/>
                <w:b/>
                <w:bCs w:val="0"/>
                <w:color w:val="000000"/>
                <w:sz w:val="20"/>
                <w:szCs w:val="20"/>
                <w:lang w:eastAsia="en-GB"/>
              </w:rPr>
            </w:pPr>
            <w:r>
              <w:rPr>
                <w:rFonts w:ascii="Calibri" w:hAnsi="Calibri"/>
                <w:b/>
                <w:color w:val="000000"/>
                <w:sz w:val="20"/>
                <w:szCs w:val="20"/>
                <w:lang w:eastAsia="en-GB"/>
              </w:rPr>
              <w:t>CCG/ICB</w:t>
            </w:r>
            <w:r w:rsidR="006036F0" w:rsidRPr="00BB662E">
              <w:rPr>
                <w:rFonts w:ascii="Calibri" w:hAnsi="Calibri"/>
                <w:b/>
                <w:color w:val="000000"/>
                <w:sz w:val="20"/>
                <w:szCs w:val="20"/>
                <w:lang w:eastAsia="en-GB"/>
              </w:rPr>
              <w:t xml:space="preserve"> signature</w:t>
            </w:r>
          </w:p>
        </w:tc>
        <w:tc>
          <w:tcPr>
            <w:tcW w:w="2824" w:type="dxa"/>
            <w:tcBorders>
              <w:top w:val="nil"/>
              <w:left w:val="nil"/>
              <w:bottom w:val="single" w:sz="4" w:space="0" w:color="auto"/>
              <w:right w:val="single" w:sz="8" w:space="0" w:color="auto"/>
            </w:tcBorders>
            <w:shd w:val="clear" w:color="000000" w:fill="E6B8B7"/>
            <w:noWrap/>
            <w:vAlign w:val="bottom"/>
            <w:hideMark/>
          </w:tcPr>
          <w:p w14:paraId="74F63150" w14:textId="4F63D4AC" w:rsidR="006036F0" w:rsidRPr="00BB662E" w:rsidRDefault="006036F0" w:rsidP="006036F0">
            <w:pPr>
              <w:spacing w:before="60" w:after="60"/>
              <w:rPr>
                <w:rFonts w:ascii="Calibri" w:hAnsi="Calibri"/>
                <w:i/>
                <w:iCs/>
                <w:color w:val="000000"/>
                <w:lang w:eastAsia="en-GB"/>
              </w:rPr>
            </w:pPr>
            <w:r w:rsidRPr="00BB662E">
              <w:rPr>
                <w:rFonts w:ascii="Calibri" w:hAnsi="Calibri"/>
                <w:i/>
                <w:iCs/>
                <w:color w:val="000000"/>
                <w:lang w:eastAsia="en-GB"/>
              </w:rPr>
              <w:t xml:space="preserve"> or attach </w:t>
            </w:r>
            <w:r w:rsidR="00B83042">
              <w:rPr>
                <w:rFonts w:ascii="Calibri" w:hAnsi="Calibri"/>
                <w:i/>
                <w:iCs/>
                <w:color w:val="000000"/>
                <w:lang w:eastAsia="en-GB"/>
              </w:rPr>
              <w:t>CCG/ICB</w:t>
            </w:r>
            <w:r w:rsidRPr="00BB662E">
              <w:rPr>
                <w:rFonts w:ascii="Calibri" w:hAnsi="Calibri"/>
                <w:i/>
                <w:iCs/>
                <w:color w:val="000000"/>
                <w:lang w:eastAsia="en-GB"/>
              </w:rPr>
              <w:t xml:space="preserve"> email of support</w:t>
            </w:r>
          </w:p>
        </w:tc>
      </w:tr>
      <w:tr w:rsidR="006036F0" w:rsidRPr="00BB662E" w14:paraId="5460EAFB" w14:textId="77777777" w:rsidTr="006036F0">
        <w:trPr>
          <w:trHeight w:val="540"/>
        </w:trPr>
        <w:tc>
          <w:tcPr>
            <w:tcW w:w="607" w:type="dxa"/>
            <w:tcBorders>
              <w:top w:val="nil"/>
              <w:left w:val="single" w:sz="8" w:space="0" w:color="auto"/>
              <w:bottom w:val="single" w:sz="8" w:space="0" w:color="auto"/>
              <w:right w:val="nil"/>
            </w:tcBorders>
            <w:shd w:val="clear" w:color="auto" w:fill="auto"/>
            <w:noWrap/>
            <w:hideMark/>
          </w:tcPr>
          <w:p w14:paraId="4D2CFBBA" w14:textId="77777777" w:rsidR="006036F0" w:rsidRPr="00BB662E" w:rsidRDefault="006036F0" w:rsidP="006036F0">
            <w:pPr>
              <w:spacing w:before="60" w:after="60"/>
              <w:jc w:val="center"/>
              <w:rPr>
                <w:rFonts w:ascii="Calibri" w:hAnsi="Calibri"/>
                <w:color w:val="000000"/>
                <w:lang w:eastAsia="en-GB"/>
              </w:rPr>
            </w:pPr>
            <w:r w:rsidRPr="00BB662E">
              <w:rPr>
                <w:rFonts w:ascii="Calibri" w:hAnsi="Calibri"/>
                <w:color w:val="000000"/>
                <w:lang w:eastAsia="en-GB"/>
              </w:rPr>
              <w:t> </w:t>
            </w:r>
          </w:p>
        </w:tc>
        <w:tc>
          <w:tcPr>
            <w:tcW w:w="6342" w:type="dxa"/>
            <w:tcBorders>
              <w:top w:val="nil"/>
              <w:left w:val="nil"/>
              <w:bottom w:val="single" w:sz="8" w:space="0" w:color="auto"/>
              <w:right w:val="nil"/>
            </w:tcBorders>
            <w:shd w:val="clear" w:color="auto" w:fill="auto"/>
            <w:vAlign w:val="bottom"/>
            <w:hideMark/>
          </w:tcPr>
          <w:p w14:paraId="51C1FBD1" w14:textId="43E2A719" w:rsidR="006036F0" w:rsidRPr="00BB662E" w:rsidRDefault="006036F0" w:rsidP="006036F0">
            <w:pPr>
              <w:spacing w:before="60" w:after="60"/>
              <w:rPr>
                <w:rFonts w:ascii="Calibri" w:hAnsi="Calibri"/>
                <w:b/>
                <w:bCs w:val="0"/>
                <w:color w:val="000000"/>
                <w:sz w:val="20"/>
                <w:szCs w:val="20"/>
                <w:lang w:eastAsia="en-GB"/>
              </w:rPr>
            </w:pPr>
            <w:r w:rsidRPr="00BB662E">
              <w:rPr>
                <w:rFonts w:ascii="Calibri" w:hAnsi="Calibri"/>
                <w:b/>
                <w:color w:val="000000"/>
                <w:sz w:val="20"/>
                <w:szCs w:val="20"/>
                <w:lang w:eastAsia="en-GB"/>
              </w:rPr>
              <w:t>NHS England reviewer - NHSE insert name</w:t>
            </w:r>
          </w:p>
        </w:tc>
        <w:tc>
          <w:tcPr>
            <w:tcW w:w="2915" w:type="dxa"/>
            <w:tcBorders>
              <w:top w:val="nil"/>
              <w:left w:val="nil"/>
              <w:bottom w:val="nil"/>
              <w:right w:val="nil"/>
            </w:tcBorders>
            <w:shd w:val="clear" w:color="000000" w:fill="E6B8B7"/>
            <w:vAlign w:val="bottom"/>
            <w:hideMark/>
          </w:tcPr>
          <w:p w14:paraId="19E65453"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insert</w:t>
            </w:r>
          </w:p>
        </w:tc>
        <w:tc>
          <w:tcPr>
            <w:tcW w:w="519" w:type="dxa"/>
            <w:tcBorders>
              <w:top w:val="nil"/>
              <w:left w:val="nil"/>
              <w:bottom w:val="single" w:sz="8" w:space="0" w:color="auto"/>
              <w:right w:val="nil"/>
            </w:tcBorders>
            <w:shd w:val="clear" w:color="auto" w:fill="auto"/>
            <w:vAlign w:val="bottom"/>
            <w:hideMark/>
          </w:tcPr>
          <w:p w14:paraId="343DADFF"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 </w:t>
            </w:r>
          </w:p>
        </w:tc>
        <w:tc>
          <w:tcPr>
            <w:tcW w:w="1765" w:type="dxa"/>
            <w:tcBorders>
              <w:top w:val="nil"/>
              <w:left w:val="nil"/>
              <w:bottom w:val="single" w:sz="8" w:space="0" w:color="auto"/>
              <w:right w:val="nil"/>
            </w:tcBorders>
            <w:shd w:val="clear" w:color="auto" w:fill="auto"/>
            <w:vAlign w:val="bottom"/>
            <w:hideMark/>
          </w:tcPr>
          <w:p w14:paraId="3D48F22B"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 </w:t>
            </w:r>
          </w:p>
        </w:tc>
        <w:tc>
          <w:tcPr>
            <w:tcW w:w="2824" w:type="dxa"/>
            <w:tcBorders>
              <w:top w:val="nil"/>
              <w:left w:val="nil"/>
              <w:bottom w:val="single" w:sz="8" w:space="0" w:color="auto"/>
              <w:right w:val="single" w:sz="8" w:space="0" w:color="auto"/>
            </w:tcBorders>
            <w:shd w:val="clear" w:color="000000" w:fill="E6B8B7"/>
            <w:noWrap/>
            <w:vAlign w:val="bottom"/>
            <w:hideMark/>
          </w:tcPr>
          <w:p w14:paraId="327F2FFE" w14:textId="77777777" w:rsidR="006036F0" w:rsidRPr="00BB662E" w:rsidRDefault="006036F0" w:rsidP="006036F0">
            <w:pPr>
              <w:spacing w:before="60" w:after="60"/>
              <w:rPr>
                <w:rFonts w:ascii="Calibri" w:hAnsi="Calibri"/>
                <w:color w:val="000000"/>
                <w:lang w:eastAsia="en-GB"/>
              </w:rPr>
            </w:pPr>
            <w:r w:rsidRPr="00BB662E">
              <w:rPr>
                <w:rFonts w:ascii="Calibri" w:hAnsi="Calibri"/>
                <w:color w:val="000000"/>
                <w:lang w:eastAsia="en-GB"/>
              </w:rPr>
              <w:t> </w:t>
            </w:r>
          </w:p>
        </w:tc>
      </w:tr>
    </w:tbl>
    <w:p w14:paraId="1E940419" w14:textId="77777777" w:rsidR="006036F0" w:rsidRDefault="006036F0" w:rsidP="006036F0">
      <w:pPr>
        <w:spacing w:before="60" w:after="60"/>
        <w:rPr>
          <w:rFonts w:cs="Arial"/>
        </w:rPr>
        <w:sectPr w:rsidR="006036F0" w:rsidSect="006036F0">
          <w:pgSz w:w="16838" w:h="11906" w:orient="landscape"/>
          <w:pgMar w:top="1440" w:right="1440" w:bottom="1440" w:left="1440" w:header="709" w:footer="709" w:gutter="0"/>
          <w:cols w:space="708"/>
          <w:docGrid w:linePitch="360"/>
        </w:sectPr>
      </w:pPr>
    </w:p>
    <w:p w14:paraId="2F6E0714" w14:textId="77777777" w:rsidR="006036F0" w:rsidRPr="00D819B0" w:rsidRDefault="006036F0" w:rsidP="00A507BE">
      <w:pPr>
        <w:pStyle w:val="Heading3"/>
      </w:pPr>
      <w:bookmarkStart w:id="1135" w:name="_Toc493938697"/>
      <w:bookmarkStart w:id="1136" w:name="_Toc493938790"/>
      <w:bookmarkStart w:id="1137" w:name="_Toc493939139"/>
      <w:r w:rsidRPr="00D819B0">
        <w:t>Appendix 1 – Sections 83, 93 and 96 of the National Health Service Act 2006</w:t>
      </w:r>
      <w:bookmarkEnd w:id="1135"/>
      <w:bookmarkEnd w:id="1136"/>
      <w:bookmarkEnd w:id="1137"/>
    </w:p>
    <w:p w14:paraId="2B12557F" w14:textId="77777777" w:rsidR="006036F0" w:rsidRDefault="000B57EE" w:rsidP="006C3DF5">
      <w:pPr>
        <w:pStyle w:val="ListParagraph"/>
        <w:numPr>
          <w:ilvl w:val="0"/>
          <w:numId w:val="126"/>
        </w:numPr>
      </w:pPr>
      <w:hyperlink r:id="rId144" w:history="1">
        <w:r w:rsidR="006036F0">
          <w:rPr>
            <w:rStyle w:val="Hyperlink"/>
            <w:rFonts w:eastAsiaTheme="majorEastAsia"/>
          </w:rPr>
          <w:t>Sections 83, 93 and 96 of the National Health Service Act 2006</w:t>
        </w:r>
      </w:hyperlink>
    </w:p>
    <w:p w14:paraId="7966AAB2" w14:textId="77777777" w:rsidR="006036F0" w:rsidRPr="00526CB2" w:rsidRDefault="006036F0" w:rsidP="006036F0"/>
    <w:p w14:paraId="72AF6C64" w14:textId="77777777" w:rsidR="006036F0" w:rsidRPr="00C209C0" w:rsidRDefault="000B57EE" w:rsidP="006036F0">
      <w:pPr>
        <w:spacing w:before="60" w:after="60"/>
        <w:jc w:val="right"/>
        <w:rPr>
          <w:rFonts w:cs="Arial"/>
          <w:sz w:val="16"/>
          <w:szCs w:val="16"/>
        </w:rPr>
      </w:pPr>
      <w:hyperlink w:anchor="_top" w:history="1">
        <w:r w:rsidR="006036F0" w:rsidRPr="00C209C0">
          <w:rPr>
            <w:rStyle w:val="Hyperlink"/>
            <w:rFonts w:eastAsiaTheme="majorEastAsia" w:cs="Arial"/>
            <w:sz w:val="16"/>
            <w:szCs w:val="16"/>
          </w:rPr>
          <w:t>(return to contents page)</w:t>
        </w:r>
      </w:hyperlink>
    </w:p>
    <w:p w14:paraId="4EDE30BD" w14:textId="77777777" w:rsidR="006036F0" w:rsidRPr="00C209C0" w:rsidRDefault="006036F0" w:rsidP="006036F0"/>
    <w:p w14:paraId="3D00989A" w14:textId="77777777" w:rsidR="006036F0" w:rsidRDefault="006036F0" w:rsidP="006036F0">
      <w:pPr>
        <w:spacing w:before="60" w:after="60"/>
        <w:rPr>
          <w:rFonts w:cs="Arial"/>
        </w:rPr>
      </w:pPr>
    </w:p>
    <w:p w14:paraId="5AEB32E5" w14:textId="77777777" w:rsidR="006036F0" w:rsidRDefault="006036F0" w:rsidP="006036F0">
      <w:pPr>
        <w:rPr>
          <w:lang w:eastAsia="en-GB"/>
        </w:rPr>
      </w:pPr>
      <w:r>
        <w:rPr>
          <w:lang w:eastAsia="en-GB"/>
        </w:rPr>
        <w:br w:type="page"/>
      </w:r>
    </w:p>
    <w:p w14:paraId="0C0C6B10" w14:textId="77777777" w:rsidR="006036F0" w:rsidRDefault="006036F0" w:rsidP="006036F0"/>
    <w:p w14:paraId="79B5B8B3" w14:textId="1978E462" w:rsidR="00BF1D7D" w:rsidRDefault="00BF1D7D" w:rsidP="006F1CA4">
      <w:pPr>
        <w:pStyle w:val="Heading1"/>
        <w:rPr>
          <w:lang w:eastAsia="en-GB"/>
        </w:rPr>
      </w:pPr>
      <w:bookmarkStart w:id="1138" w:name="_Toc536600462"/>
      <w:bookmarkStart w:id="1139" w:name="_Toc536622460"/>
      <w:bookmarkStart w:id="1140" w:name="_Toc536714139"/>
      <w:bookmarkStart w:id="1141" w:name="_Toc186630"/>
      <w:bookmarkStart w:id="1142" w:name="_Toc187583"/>
      <w:bookmarkStart w:id="1143" w:name="_Toc536600463"/>
      <w:bookmarkStart w:id="1144" w:name="_Toc536622461"/>
      <w:bookmarkStart w:id="1145" w:name="_Toc536714140"/>
      <w:bookmarkStart w:id="1146" w:name="_Toc186631"/>
      <w:bookmarkStart w:id="1147" w:name="_Toc187584"/>
      <w:bookmarkStart w:id="1148" w:name="_Toc536600464"/>
      <w:bookmarkStart w:id="1149" w:name="_Toc536622462"/>
      <w:bookmarkStart w:id="1150" w:name="_Toc536714141"/>
      <w:bookmarkStart w:id="1151" w:name="_Toc186632"/>
      <w:bookmarkStart w:id="1152" w:name="_Toc187585"/>
      <w:bookmarkStart w:id="1153" w:name="_Toc536600465"/>
      <w:bookmarkStart w:id="1154" w:name="_Toc536622463"/>
      <w:bookmarkStart w:id="1155" w:name="_Toc536714142"/>
      <w:bookmarkStart w:id="1156" w:name="_Toc186633"/>
      <w:bookmarkStart w:id="1157" w:name="_Toc187586"/>
      <w:bookmarkStart w:id="1158" w:name="_Toc536600466"/>
      <w:bookmarkStart w:id="1159" w:name="_Toc536622464"/>
      <w:bookmarkStart w:id="1160" w:name="_Toc536714143"/>
      <w:bookmarkStart w:id="1161" w:name="_Toc186634"/>
      <w:bookmarkStart w:id="1162" w:name="_Toc187587"/>
      <w:bookmarkStart w:id="1163" w:name="_Toc536600467"/>
      <w:bookmarkStart w:id="1164" w:name="_Toc536622465"/>
      <w:bookmarkStart w:id="1165" w:name="_Toc536714144"/>
      <w:bookmarkStart w:id="1166" w:name="_Toc186635"/>
      <w:bookmarkStart w:id="1167" w:name="_Toc187588"/>
      <w:bookmarkStart w:id="1168" w:name="_Toc536600468"/>
      <w:bookmarkStart w:id="1169" w:name="_Toc536622466"/>
      <w:bookmarkStart w:id="1170" w:name="_Toc536714145"/>
      <w:bookmarkStart w:id="1171" w:name="_Toc186636"/>
      <w:bookmarkStart w:id="1172" w:name="_Toc187589"/>
      <w:bookmarkStart w:id="1173" w:name="_Toc536600469"/>
      <w:bookmarkStart w:id="1174" w:name="_Toc536622467"/>
      <w:bookmarkStart w:id="1175" w:name="_Toc536714146"/>
      <w:bookmarkStart w:id="1176" w:name="_Toc186637"/>
      <w:bookmarkStart w:id="1177" w:name="_Toc187590"/>
      <w:bookmarkStart w:id="1178" w:name="_Toc536600470"/>
      <w:bookmarkStart w:id="1179" w:name="_Toc536622468"/>
      <w:bookmarkStart w:id="1180" w:name="_Toc536714147"/>
      <w:bookmarkStart w:id="1181" w:name="_Toc186638"/>
      <w:bookmarkStart w:id="1182" w:name="_Toc187591"/>
      <w:bookmarkStart w:id="1183" w:name="_Toc536600471"/>
      <w:bookmarkStart w:id="1184" w:name="_Toc536622469"/>
      <w:bookmarkStart w:id="1185" w:name="_Toc536714148"/>
      <w:bookmarkStart w:id="1186" w:name="_Toc186639"/>
      <w:bookmarkStart w:id="1187" w:name="_Toc187592"/>
      <w:bookmarkStart w:id="1188" w:name="_Toc536600472"/>
      <w:bookmarkStart w:id="1189" w:name="_Toc536622470"/>
      <w:bookmarkStart w:id="1190" w:name="_Toc536714149"/>
      <w:bookmarkStart w:id="1191" w:name="_Toc186640"/>
      <w:bookmarkStart w:id="1192" w:name="_Toc187593"/>
      <w:bookmarkStart w:id="1193" w:name="_Toc536600473"/>
      <w:bookmarkStart w:id="1194" w:name="_Toc536622471"/>
      <w:bookmarkStart w:id="1195" w:name="_Toc536714150"/>
      <w:bookmarkStart w:id="1196" w:name="_Toc186641"/>
      <w:bookmarkStart w:id="1197" w:name="_Toc187594"/>
      <w:bookmarkStart w:id="1198" w:name="_Toc536600474"/>
      <w:bookmarkStart w:id="1199" w:name="_Toc536622472"/>
      <w:bookmarkStart w:id="1200" w:name="_Toc536714151"/>
      <w:bookmarkStart w:id="1201" w:name="_Toc186642"/>
      <w:bookmarkStart w:id="1202" w:name="_Toc187595"/>
      <w:bookmarkStart w:id="1203" w:name="_Toc536600475"/>
      <w:bookmarkStart w:id="1204" w:name="_Toc536622473"/>
      <w:bookmarkStart w:id="1205" w:name="_Toc536714152"/>
      <w:bookmarkStart w:id="1206" w:name="_Toc186643"/>
      <w:bookmarkStart w:id="1207" w:name="_Toc187596"/>
      <w:bookmarkStart w:id="1208" w:name="_Toc536600476"/>
      <w:bookmarkStart w:id="1209" w:name="_Toc536622474"/>
      <w:bookmarkStart w:id="1210" w:name="_Toc536714153"/>
      <w:bookmarkStart w:id="1211" w:name="_Toc186644"/>
      <w:bookmarkStart w:id="1212" w:name="_Toc187597"/>
      <w:bookmarkStart w:id="1213" w:name="_Toc536600477"/>
      <w:bookmarkStart w:id="1214" w:name="_Toc536622475"/>
      <w:bookmarkStart w:id="1215" w:name="_Toc536714154"/>
      <w:bookmarkStart w:id="1216" w:name="_Toc186645"/>
      <w:bookmarkStart w:id="1217" w:name="_Toc187598"/>
      <w:bookmarkStart w:id="1218" w:name="_Toc536600478"/>
      <w:bookmarkStart w:id="1219" w:name="_Toc536622476"/>
      <w:bookmarkStart w:id="1220" w:name="_Toc536714155"/>
      <w:bookmarkStart w:id="1221" w:name="_Toc186646"/>
      <w:bookmarkStart w:id="1222" w:name="_Toc187599"/>
      <w:bookmarkStart w:id="1223" w:name="_Toc536600479"/>
      <w:bookmarkStart w:id="1224" w:name="_Toc536622477"/>
      <w:bookmarkStart w:id="1225" w:name="_Toc536714156"/>
      <w:bookmarkStart w:id="1226" w:name="_Toc186647"/>
      <w:bookmarkStart w:id="1227" w:name="_Toc187600"/>
      <w:bookmarkStart w:id="1228" w:name="_Toc536600480"/>
      <w:bookmarkStart w:id="1229" w:name="_Toc536622478"/>
      <w:bookmarkStart w:id="1230" w:name="_Toc536714157"/>
      <w:bookmarkStart w:id="1231" w:name="_Toc186648"/>
      <w:bookmarkStart w:id="1232" w:name="_Toc187601"/>
      <w:bookmarkStart w:id="1233" w:name="_Toc536600481"/>
      <w:bookmarkStart w:id="1234" w:name="_Toc536622479"/>
      <w:bookmarkStart w:id="1235" w:name="_Toc536714158"/>
      <w:bookmarkStart w:id="1236" w:name="_Toc186649"/>
      <w:bookmarkStart w:id="1237" w:name="_Toc187602"/>
      <w:bookmarkStart w:id="1238" w:name="_Toc536600482"/>
      <w:bookmarkStart w:id="1239" w:name="_Toc536622480"/>
      <w:bookmarkStart w:id="1240" w:name="_Toc536714159"/>
      <w:bookmarkStart w:id="1241" w:name="_Toc186650"/>
      <w:bookmarkStart w:id="1242" w:name="_Toc187603"/>
      <w:bookmarkStart w:id="1243" w:name="_Toc536600483"/>
      <w:bookmarkStart w:id="1244" w:name="_Toc536622481"/>
      <w:bookmarkStart w:id="1245" w:name="_Toc536714160"/>
      <w:bookmarkStart w:id="1246" w:name="_Toc186651"/>
      <w:bookmarkStart w:id="1247" w:name="_Toc187604"/>
      <w:bookmarkStart w:id="1248" w:name="_Toc536600484"/>
      <w:bookmarkStart w:id="1249" w:name="_Toc536622482"/>
      <w:bookmarkStart w:id="1250" w:name="_Toc536714161"/>
      <w:bookmarkStart w:id="1251" w:name="_Toc186652"/>
      <w:bookmarkStart w:id="1252" w:name="_Toc187605"/>
      <w:bookmarkStart w:id="1253" w:name="_Toc536600485"/>
      <w:bookmarkStart w:id="1254" w:name="_Toc536622483"/>
      <w:bookmarkStart w:id="1255" w:name="_Toc536714162"/>
      <w:bookmarkStart w:id="1256" w:name="_Toc186653"/>
      <w:bookmarkStart w:id="1257" w:name="_Toc187606"/>
      <w:bookmarkStart w:id="1258" w:name="_Toc536600486"/>
      <w:bookmarkStart w:id="1259" w:name="_Toc536622484"/>
      <w:bookmarkStart w:id="1260" w:name="_Toc536714163"/>
      <w:bookmarkStart w:id="1261" w:name="_Toc186654"/>
      <w:bookmarkStart w:id="1262" w:name="_Toc187607"/>
      <w:bookmarkStart w:id="1263" w:name="_Toc536600487"/>
      <w:bookmarkStart w:id="1264" w:name="_Toc536622485"/>
      <w:bookmarkStart w:id="1265" w:name="_Toc536714164"/>
      <w:bookmarkStart w:id="1266" w:name="_Toc186655"/>
      <w:bookmarkStart w:id="1267" w:name="_Toc187608"/>
      <w:bookmarkStart w:id="1268" w:name="_Toc536600488"/>
      <w:bookmarkStart w:id="1269" w:name="_Toc536622486"/>
      <w:bookmarkStart w:id="1270" w:name="_Toc536714165"/>
      <w:bookmarkStart w:id="1271" w:name="_Toc186656"/>
      <w:bookmarkStart w:id="1272" w:name="_Toc187609"/>
      <w:bookmarkStart w:id="1273" w:name="_Toc536600489"/>
      <w:bookmarkStart w:id="1274" w:name="_Toc536622487"/>
      <w:bookmarkStart w:id="1275" w:name="_Toc536714166"/>
      <w:bookmarkStart w:id="1276" w:name="_Toc186657"/>
      <w:bookmarkStart w:id="1277" w:name="_Toc187610"/>
      <w:bookmarkStart w:id="1278" w:name="_Toc536600490"/>
      <w:bookmarkStart w:id="1279" w:name="_Toc536622488"/>
      <w:bookmarkStart w:id="1280" w:name="_Toc536714167"/>
      <w:bookmarkStart w:id="1281" w:name="_Toc186658"/>
      <w:bookmarkStart w:id="1282" w:name="_Toc187611"/>
      <w:bookmarkStart w:id="1283" w:name="_Toc536600491"/>
      <w:bookmarkStart w:id="1284" w:name="_Toc536622489"/>
      <w:bookmarkStart w:id="1285" w:name="_Toc536714168"/>
      <w:bookmarkStart w:id="1286" w:name="_Toc186659"/>
      <w:bookmarkStart w:id="1287" w:name="_Toc187612"/>
      <w:bookmarkStart w:id="1288" w:name="_Toc536600492"/>
      <w:bookmarkStart w:id="1289" w:name="_Toc536622490"/>
      <w:bookmarkStart w:id="1290" w:name="_Toc536714169"/>
      <w:bookmarkStart w:id="1291" w:name="_Toc186660"/>
      <w:bookmarkStart w:id="1292" w:name="_Toc187613"/>
      <w:bookmarkStart w:id="1293" w:name="_Toc536600493"/>
      <w:bookmarkStart w:id="1294" w:name="_Toc536622491"/>
      <w:bookmarkStart w:id="1295" w:name="_Toc536714170"/>
      <w:bookmarkStart w:id="1296" w:name="_Toc186661"/>
      <w:bookmarkStart w:id="1297" w:name="_Toc187614"/>
      <w:bookmarkStart w:id="1298" w:name="_Toc536600494"/>
      <w:bookmarkStart w:id="1299" w:name="_Toc536622492"/>
      <w:bookmarkStart w:id="1300" w:name="_Toc536714171"/>
      <w:bookmarkStart w:id="1301" w:name="_Toc186662"/>
      <w:bookmarkStart w:id="1302" w:name="_Toc187615"/>
      <w:bookmarkStart w:id="1303" w:name="_Toc536600495"/>
      <w:bookmarkStart w:id="1304" w:name="_Toc536622493"/>
      <w:bookmarkStart w:id="1305" w:name="_Toc536714172"/>
      <w:bookmarkStart w:id="1306" w:name="_Toc186663"/>
      <w:bookmarkStart w:id="1307" w:name="_Toc187616"/>
      <w:bookmarkStart w:id="1308" w:name="_Toc536600496"/>
      <w:bookmarkStart w:id="1309" w:name="_Toc536622494"/>
      <w:bookmarkStart w:id="1310" w:name="_Toc536714173"/>
      <w:bookmarkStart w:id="1311" w:name="_Toc186664"/>
      <w:bookmarkStart w:id="1312" w:name="_Toc187617"/>
      <w:bookmarkStart w:id="1313" w:name="_Toc536600497"/>
      <w:bookmarkStart w:id="1314" w:name="_Toc536622495"/>
      <w:bookmarkStart w:id="1315" w:name="_Toc536714174"/>
      <w:bookmarkStart w:id="1316" w:name="_Toc186665"/>
      <w:bookmarkStart w:id="1317" w:name="_Toc187618"/>
      <w:bookmarkStart w:id="1318" w:name="_Toc536600498"/>
      <w:bookmarkStart w:id="1319" w:name="_Toc536622496"/>
      <w:bookmarkStart w:id="1320" w:name="_Toc536714175"/>
      <w:bookmarkStart w:id="1321" w:name="_Toc186666"/>
      <w:bookmarkStart w:id="1322" w:name="_Toc187619"/>
      <w:bookmarkStart w:id="1323" w:name="_Toc536600499"/>
      <w:bookmarkStart w:id="1324" w:name="_Toc536622497"/>
      <w:bookmarkStart w:id="1325" w:name="_Toc536714176"/>
      <w:bookmarkStart w:id="1326" w:name="_Toc186667"/>
      <w:bookmarkStart w:id="1327" w:name="_Toc187620"/>
      <w:bookmarkStart w:id="1328" w:name="_Toc536600500"/>
      <w:bookmarkStart w:id="1329" w:name="_Toc536622498"/>
      <w:bookmarkStart w:id="1330" w:name="_Toc536714177"/>
      <w:bookmarkStart w:id="1331" w:name="_Toc186668"/>
      <w:bookmarkStart w:id="1332" w:name="_Toc187621"/>
      <w:bookmarkStart w:id="1333" w:name="_Toc536600501"/>
      <w:bookmarkStart w:id="1334" w:name="_Toc536622499"/>
      <w:bookmarkStart w:id="1335" w:name="_Toc536714178"/>
      <w:bookmarkStart w:id="1336" w:name="_Toc186669"/>
      <w:bookmarkStart w:id="1337" w:name="_Toc187622"/>
      <w:bookmarkStart w:id="1338" w:name="_Toc536600502"/>
      <w:bookmarkStart w:id="1339" w:name="_Toc536622500"/>
      <w:bookmarkStart w:id="1340" w:name="_Toc536714179"/>
      <w:bookmarkStart w:id="1341" w:name="_Toc186670"/>
      <w:bookmarkStart w:id="1342" w:name="_Toc187623"/>
      <w:bookmarkStart w:id="1343" w:name="_Toc536600503"/>
      <w:bookmarkStart w:id="1344" w:name="_Toc536622501"/>
      <w:bookmarkStart w:id="1345" w:name="_Toc536714180"/>
      <w:bookmarkStart w:id="1346" w:name="_Toc186671"/>
      <w:bookmarkStart w:id="1347" w:name="_Toc187624"/>
      <w:bookmarkStart w:id="1348" w:name="_Toc536600504"/>
      <w:bookmarkStart w:id="1349" w:name="_Toc536622502"/>
      <w:bookmarkStart w:id="1350" w:name="_Toc536714181"/>
      <w:bookmarkStart w:id="1351" w:name="_Toc186672"/>
      <w:bookmarkStart w:id="1352" w:name="_Toc187625"/>
      <w:bookmarkStart w:id="1353" w:name="_Toc536600505"/>
      <w:bookmarkStart w:id="1354" w:name="_Toc536622503"/>
      <w:bookmarkStart w:id="1355" w:name="_Toc536714182"/>
      <w:bookmarkStart w:id="1356" w:name="_Toc186673"/>
      <w:bookmarkStart w:id="1357" w:name="_Toc187626"/>
      <w:bookmarkStart w:id="1358" w:name="_Toc536600506"/>
      <w:bookmarkStart w:id="1359" w:name="_Toc536622504"/>
      <w:bookmarkStart w:id="1360" w:name="_Toc536714183"/>
      <w:bookmarkStart w:id="1361" w:name="_Toc186674"/>
      <w:bookmarkStart w:id="1362" w:name="_Toc187627"/>
      <w:bookmarkStart w:id="1363" w:name="_Toc536600507"/>
      <w:bookmarkStart w:id="1364" w:name="_Toc536622505"/>
      <w:bookmarkStart w:id="1365" w:name="_Toc536714184"/>
      <w:bookmarkStart w:id="1366" w:name="_Toc186675"/>
      <w:bookmarkStart w:id="1367" w:name="_Toc187628"/>
      <w:bookmarkStart w:id="1368" w:name="_Toc536600508"/>
      <w:bookmarkStart w:id="1369" w:name="_Toc536622506"/>
      <w:bookmarkStart w:id="1370" w:name="_Toc536714185"/>
      <w:bookmarkStart w:id="1371" w:name="_Toc186676"/>
      <w:bookmarkStart w:id="1372" w:name="_Toc187629"/>
      <w:bookmarkStart w:id="1373" w:name="_Toc536600589"/>
      <w:bookmarkStart w:id="1374" w:name="_Toc536622587"/>
      <w:bookmarkStart w:id="1375" w:name="_Toc536714266"/>
      <w:bookmarkStart w:id="1376" w:name="_Toc186757"/>
      <w:bookmarkStart w:id="1377" w:name="_Toc187710"/>
      <w:bookmarkStart w:id="1378" w:name="_Toc493938108"/>
      <w:bookmarkStart w:id="1379" w:name="_Toc536600590"/>
      <w:bookmarkStart w:id="1380" w:name="_Toc536622588"/>
      <w:bookmarkStart w:id="1381" w:name="_Toc536714267"/>
      <w:bookmarkStart w:id="1382" w:name="_Toc186758"/>
      <w:bookmarkStart w:id="1383" w:name="_Toc187711"/>
      <w:bookmarkStart w:id="1384" w:name="_Toc493938204"/>
      <w:bookmarkStart w:id="1385" w:name="_Toc493938267"/>
      <w:bookmarkStart w:id="1386" w:name="_Toc493938688"/>
      <w:bookmarkStart w:id="1387" w:name="_Toc493938781"/>
      <w:bookmarkStart w:id="1388" w:name="_Toc493939130"/>
      <w:bookmarkStart w:id="1389" w:name="_Toc536600591"/>
      <w:bookmarkStart w:id="1390" w:name="_Toc536622589"/>
      <w:bookmarkStart w:id="1391" w:name="_Toc536714268"/>
      <w:bookmarkStart w:id="1392" w:name="_Toc186759"/>
      <w:bookmarkStart w:id="1393" w:name="_Toc187712"/>
      <w:bookmarkStart w:id="1394" w:name="_Toc536600592"/>
      <w:bookmarkStart w:id="1395" w:name="_Toc536622590"/>
      <w:bookmarkStart w:id="1396" w:name="_Toc536714269"/>
      <w:bookmarkStart w:id="1397" w:name="_Toc186760"/>
      <w:bookmarkStart w:id="1398" w:name="_Toc187713"/>
      <w:bookmarkStart w:id="1399" w:name="_Toc536600593"/>
      <w:bookmarkStart w:id="1400" w:name="_Toc536622591"/>
      <w:bookmarkStart w:id="1401" w:name="_Toc536714270"/>
      <w:bookmarkStart w:id="1402" w:name="_Toc186761"/>
      <w:bookmarkStart w:id="1403" w:name="_Toc187714"/>
      <w:bookmarkStart w:id="1404" w:name="_Toc536600594"/>
      <w:bookmarkStart w:id="1405" w:name="_Toc536622592"/>
      <w:bookmarkStart w:id="1406" w:name="_Toc536714271"/>
      <w:bookmarkStart w:id="1407" w:name="_Toc186762"/>
      <w:bookmarkStart w:id="1408" w:name="_Toc187715"/>
      <w:bookmarkStart w:id="1409" w:name="_Toc536600595"/>
      <w:bookmarkStart w:id="1410" w:name="_Toc536622593"/>
      <w:bookmarkStart w:id="1411" w:name="_Toc536714272"/>
      <w:bookmarkStart w:id="1412" w:name="_Toc186763"/>
      <w:bookmarkStart w:id="1413" w:name="_Toc187716"/>
      <w:bookmarkStart w:id="1414" w:name="_Toc536600596"/>
      <w:bookmarkStart w:id="1415" w:name="_Toc536622594"/>
      <w:bookmarkStart w:id="1416" w:name="_Toc536714273"/>
      <w:bookmarkStart w:id="1417" w:name="_Toc186764"/>
      <w:bookmarkStart w:id="1418" w:name="_Toc187717"/>
      <w:bookmarkStart w:id="1419" w:name="_Toc536600597"/>
      <w:bookmarkStart w:id="1420" w:name="_Toc536622595"/>
      <w:bookmarkStart w:id="1421" w:name="_Toc536714274"/>
      <w:bookmarkStart w:id="1422" w:name="_Toc186765"/>
      <w:bookmarkStart w:id="1423" w:name="_Toc187718"/>
      <w:bookmarkStart w:id="1424" w:name="_Toc536600598"/>
      <w:bookmarkStart w:id="1425" w:name="_Toc536622596"/>
      <w:bookmarkStart w:id="1426" w:name="_Toc536714275"/>
      <w:bookmarkStart w:id="1427" w:name="_Toc186766"/>
      <w:bookmarkStart w:id="1428" w:name="_Toc187719"/>
      <w:bookmarkStart w:id="1429" w:name="_Toc536600599"/>
      <w:bookmarkStart w:id="1430" w:name="_Toc536622597"/>
      <w:bookmarkStart w:id="1431" w:name="_Toc536714276"/>
      <w:bookmarkStart w:id="1432" w:name="_Toc186767"/>
      <w:bookmarkStart w:id="1433" w:name="_Toc187720"/>
      <w:bookmarkStart w:id="1434" w:name="_Toc536600600"/>
      <w:bookmarkStart w:id="1435" w:name="_Toc536622598"/>
      <w:bookmarkStart w:id="1436" w:name="_Toc536714277"/>
      <w:bookmarkStart w:id="1437" w:name="_Toc186768"/>
      <w:bookmarkStart w:id="1438" w:name="_Toc187721"/>
      <w:bookmarkStart w:id="1439" w:name="_Toc536600601"/>
      <w:bookmarkStart w:id="1440" w:name="_Toc536622599"/>
      <w:bookmarkStart w:id="1441" w:name="_Toc536714278"/>
      <w:bookmarkStart w:id="1442" w:name="_Toc186769"/>
      <w:bookmarkStart w:id="1443" w:name="_Toc187722"/>
      <w:bookmarkStart w:id="1444" w:name="_Toc536600602"/>
      <w:bookmarkStart w:id="1445" w:name="_Toc536622600"/>
      <w:bookmarkStart w:id="1446" w:name="_Toc536714279"/>
      <w:bookmarkStart w:id="1447" w:name="_Toc186770"/>
      <w:bookmarkStart w:id="1448" w:name="_Toc187723"/>
      <w:bookmarkStart w:id="1449" w:name="_Toc536600603"/>
      <w:bookmarkStart w:id="1450" w:name="_Toc536622601"/>
      <w:bookmarkStart w:id="1451" w:name="_Toc536714280"/>
      <w:bookmarkStart w:id="1452" w:name="_Toc186771"/>
      <w:bookmarkStart w:id="1453" w:name="_Toc187724"/>
      <w:bookmarkStart w:id="1454" w:name="_Toc536600604"/>
      <w:bookmarkStart w:id="1455" w:name="_Toc536622602"/>
      <w:bookmarkStart w:id="1456" w:name="_Toc536714281"/>
      <w:bookmarkStart w:id="1457" w:name="_Toc186772"/>
      <w:bookmarkStart w:id="1458" w:name="_Toc187725"/>
      <w:bookmarkStart w:id="1459" w:name="_Toc536600605"/>
      <w:bookmarkStart w:id="1460" w:name="_Toc536622603"/>
      <w:bookmarkStart w:id="1461" w:name="_Toc536714282"/>
      <w:bookmarkStart w:id="1462" w:name="_Toc186773"/>
      <w:bookmarkStart w:id="1463" w:name="_Toc187726"/>
      <w:bookmarkStart w:id="1464" w:name="_Authorisations_and_Sign"/>
      <w:bookmarkStart w:id="1465" w:name="_Toc536600606"/>
      <w:bookmarkStart w:id="1466" w:name="_Toc536622604"/>
      <w:bookmarkStart w:id="1467" w:name="_Toc536714283"/>
      <w:bookmarkStart w:id="1468" w:name="_Toc186774"/>
      <w:bookmarkStart w:id="1469" w:name="_Toc187727"/>
      <w:bookmarkStart w:id="1470" w:name="_Toc536600607"/>
      <w:bookmarkStart w:id="1471" w:name="_Toc536622605"/>
      <w:bookmarkStart w:id="1472" w:name="_Toc536714284"/>
      <w:bookmarkStart w:id="1473" w:name="_Toc186775"/>
      <w:bookmarkStart w:id="1474" w:name="_Toc187728"/>
      <w:bookmarkStart w:id="1475" w:name="_Toc536600608"/>
      <w:bookmarkStart w:id="1476" w:name="_Toc536622606"/>
      <w:bookmarkStart w:id="1477" w:name="_Toc536714285"/>
      <w:bookmarkStart w:id="1478" w:name="_Toc186776"/>
      <w:bookmarkStart w:id="1479" w:name="_Toc187729"/>
      <w:bookmarkStart w:id="1480" w:name="_Toc536600609"/>
      <w:bookmarkStart w:id="1481" w:name="_Toc536622607"/>
      <w:bookmarkStart w:id="1482" w:name="_Toc536714286"/>
      <w:bookmarkStart w:id="1483" w:name="_Toc186777"/>
      <w:bookmarkStart w:id="1484" w:name="_Toc187730"/>
      <w:bookmarkStart w:id="1485" w:name="_Toc536600649"/>
      <w:bookmarkStart w:id="1486" w:name="_Toc536622647"/>
      <w:bookmarkStart w:id="1487" w:name="_Toc536714326"/>
      <w:bookmarkStart w:id="1488" w:name="_Toc186817"/>
      <w:bookmarkStart w:id="1489" w:name="_Toc187770"/>
      <w:bookmarkStart w:id="1490" w:name="_Toc536600650"/>
      <w:bookmarkStart w:id="1491" w:name="_Toc536622648"/>
      <w:bookmarkStart w:id="1492" w:name="_Toc536714327"/>
      <w:bookmarkStart w:id="1493" w:name="_Toc186818"/>
      <w:bookmarkStart w:id="1494" w:name="_Toc187771"/>
      <w:bookmarkStart w:id="1495" w:name="_Toc536600651"/>
      <w:bookmarkStart w:id="1496" w:name="_Toc536622649"/>
      <w:bookmarkStart w:id="1497" w:name="_Toc536714328"/>
      <w:bookmarkStart w:id="1498" w:name="_Toc186819"/>
      <w:bookmarkStart w:id="1499" w:name="_Toc187772"/>
      <w:bookmarkStart w:id="1500" w:name="_Toc536600652"/>
      <w:bookmarkStart w:id="1501" w:name="_Toc536622650"/>
      <w:bookmarkStart w:id="1502" w:name="_Toc536714329"/>
      <w:bookmarkStart w:id="1503" w:name="_Toc186820"/>
      <w:bookmarkStart w:id="1504" w:name="_Toc187773"/>
      <w:bookmarkStart w:id="1505" w:name="_Toc536600653"/>
      <w:bookmarkStart w:id="1506" w:name="_Toc536622651"/>
      <w:bookmarkStart w:id="1507" w:name="_Toc536714330"/>
      <w:bookmarkStart w:id="1508" w:name="_Toc186821"/>
      <w:bookmarkStart w:id="1509" w:name="_Toc187774"/>
      <w:bookmarkStart w:id="1510" w:name="_Toc536600654"/>
      <w:bookmarkStart w:id="1511" w:name="_Toc536622652"/>
      <w:bookmarkStart w:id="1512" w:name="_Toc536714331"/>
      <w:bookmarkStart w:id="1513" w:name="_Toc186822"/>
      <w:bookmarkStart w:id="1514" w:name="_Toc187775"/>
      <w:bookmarkStart w:id="1515" w:name="_Toc536600655"/>
      <w:bookmarkStart w:id="1516" w:name="_Toc536622653"/>
      <w:bookmarkStart w:id="1517" w:name="_Toc536714332"/>
      <w:bookmarkStart w:id="1518" w:name="_Toc186823"/>
      <w:bookmarkStart w:id="1519" w:name="_Toc187776"/>
      <w:bookmarkStart w:id="1520" w:name="_Toc536600656"/>
      <w:bookmarkStart w:id="1521" w:name="_Toc536622654"/>
      <w:bookmarkStart w:id="1522" w:name="_Toc536714333"/>
      <w:bookmarkStart w:id="1523" w:name="_Toc186824"/>
      <w:bookmarkStart w:id="1524" w:name="_Toc187777"/>
      <w:bookmarkStart w:id="1525" w:name="_Toc536600657"/>
      <w:bookmarkStart w:id="1526" w:name="_Toc536622655"/>
      <w:bookmarkStart w:id="1527" w:name="_Toc536714334"/>
      <w:bookmarkStart w:id="1528" w:name="_Toc186825"/>
      <w:bookmarkStart w:id="1529" w:name="_Toc187778"/>
      <w:bookmarkStart w:id="1530" w:name="_Toc536600658"/>
      <w:bookmarkStart w:id="1531" w:name="_Toc536622656"/>
      <w:bookmarkStart w:id="1532" w:name="_Toc536714335"/>
      <w:bookmarkStart w:id="1533" w:name="_Toc186826"/>
      <w:bookmarkStart w:id="1534" w:name="_Toc187779"/>
      <w:bookmarkStart w:id="1535" w:name="_Toc536600659"/>
      <w:bookmarkStart w:id="1536" w:name="_Toc536622657"/>
      <w:bookmarkStart w:id="1537" w:name="_Toc536714336"/>
      <w:bookmarkStart w:id="1538" w:name="_Toc186827"/>
      <w:bookmarkStart w:id="1539" w:name="_Toc187780"/>
      <w:bookmarkStart w:id="1540" w:name="_Toc536600660"/>
      <w:bookmarkStart w:id="1541" w:name="_Toc536622658"/>
      <w:bookmarkStart w:id="1542" w:name="_Toc536714337"/>
      <w:bookmarkStart w:id="1543" w:name="_Toc186828"/>
      <w:bookmarkStart w:id="1544" w:name="_Toc187781"/>
      <w:bookmarkStart w:id="1545" w:name="_Toc536600661"/>
      <w:bookmarkStart w:id="1546" w:name="_Toc536622659"/>
      <w:bookmarkStart w:id="1547" w:name="_Toc536714338"/>
      <w:bookmarkStart w:id="1548" w:name="_Toc186829"/>
      <w:bookmarkStart w:id="1549" w:name="_Toc187782"/>
      <w:bookmarkStart w:id="1550" w:name="_Toc536600662"/>
      <w:bookmarkStart w:id="1551" w:name="_Toc536622660"/>
      <w:bookmarkStart w:id="1552" w:name="_Toc536714339"/>
      <w:bookmarkStart w:id="1553" w:name="_Toc186830"/>
      <w:bookmarkStart w:id="1554" w:name="_Toc187783"/>
      <w:bookmarkStart w:id="1555" w:name="_Toc536600663"/>
      <w:bookmarkStart w:id="1556" w:name="_Toc536622661"/>
      <w:bookmarkStart w:id="1557" w:name="_Toc536714340"/>
      <w:bookmarkStart w:id="1558" w:name="_Toc186831"/>
      <w:bookmarkStart w:id="1559" w:name="_Toc187784"/>
      <w:bookmarkStart w:id="1560" w:name="_Toc536600664"/>
      <w:bookmarkStart w:id="1561" w:name="_Toc536622662"/>
      <w:bookmarkStart w:id="1562" w:name="_Toc536714341"/>
      <w:bookmarkStart w:id="1563" w:name="_Toc186832"/>
      <w:bookmarkStart w:id="1564" w:name="_Toc187785"/>
      <w:bookmarkStart w:id="1565" w:name="_Toc536600665"/>
      <w:bookmarkStart w:id="1566" w:name="_Toc536622663"/>
      <w:bookmarkStart w:id="1567" w:name="_Toc536714342"/>
      <w:bookmarkStart w:id="1568" w:name="_Toc186833"/>
      <w:bookmarkStart w:id="1569" w:name="_Toc187786"/>
      <w:bookmarkStart w:id="1570" w:name="_Toc536600666"/>
      <w:bookmarkStart w:id="1571" w:name="_Toc536622664"/>
      <w:bookmarkStart w:id="1572" w:name="_Toc536714343"/>
      <w:bookmarkStart w:id="1573" w:name="_Toc186834"/>
      <w:bookmarkStart w:id="1574" w:name="_Toc187787"/>
      <w:bookmarkStart w:id="1575" w:name="_Toc536600667"/>
      <w:bookmarkStart w:id="1576" w:name="_Toc536622665"/>
      <w:bookmarkStart w:id="1577" w:name="_Toc536714344"/>
      <w:bookmarkStart w:id="1578" w:name="_Toc186835"/>
      <w:bookmarkStart w:id="1579" w:name="_Toc187788"/>
      <w:bookmarkStart w:id="1580" w:name="_Toc536600668"/>
      <w:bookmarkStart w:id="1581" w:name="_Toc536622666"/>
      <w:bookmarkStart w:id="1582" w:name="_Toc536714345"/>
      <w:bookmarkStart w:id="1583" w:name="_Toc186836"/>
      <w:bookmarkStart w:id="1584" w:name="_Toc187789"/>
      <w:bookmarkStart w:id="1585" w:name="_Toc536600669"/>
      <w:bookmarkStart w:id="1586" w:name="_Toc536622667"/>
      <w:bookmarkStart w:id="1587" w:name="_Toc536714346"/>
      <w:bookmarkStart w:id="1588" w:name="_Toc186837"/>
      <w:bookmarkStart w:id="1589" w:name="_Toc187790"/>
      <w:bookmarkStart w:id="1590" w:name="_Toc536600670"/>
      <w:bookmarkStart w:id="1591" w:name="_Toc536622668"/>
      <w:bookmarkStart w:id="1592" w:name="_Toc536714347"/>
      <w:bookmarkStart w:id="1593" w:name="_Toc186838"/>
      <w:bookmarkStart w:id="1594" w:name="_Toc187791"/>
      <w:bookmarkStart w:id="1595" w:name="_Toc536600671"/>
      <w:bookmarkStart w:id="1596" w:name="_Toc536622669"/>
      <w:bookmarkStart w:id="1597" w:name="_Toc536714348"/>
      <w:bookmarkStart w:id="1598" w:name="_Toc186839"/>
      <w:bookmarkStart w:id="1599" w:name="_Toc187792"/>
      <w:bookmarkStart w:id="1600" w:name="_Toc536600672"/>
      <w:bookmarkStart w:id="1601" w:name="_Toc536622670"/>
      <w:bookmarkStart w:id="1602" w:name="_Toc536714349"/>
      <w:bookmarkStart w:id="1603" w:name="_Toc186840"/>
      <w:bookmarkStart w:id="1604" w:name="_Toc187793"/>
      <w:bookmarkStart w:id="1605" w:name="_Toc536600673"/>
      <w:bookmarkStart w:id="1606" w:name="_Toc536622671"/>
      <w:bookmarkStart w:id="1607" w:name="_Toc536714350"/>
      <w:bookmarkStart w:id="1608" w:name="_Toc186841"/>
      <w:bookmarkStart w:id="1609" w:name="_Toc187794"/>
      <w:bookmarkStart w:id="1610" w:name="_Toc536600674"/>
      <w:bookmarkStart w:id="1611" w:name="_Toc536622672"/>
      <w:bookmarkStart w:id="1612" w:name="_Toc536714351"/>
      <w:bookmarkStart w:id="1613" w:name="_Toc186842"/>
      <w:bookmarkStart w:id="1614" w:name="_Toc187795"/>
      <w:bookmarkStart w:id="1615" w:name="_Toc536600675"/>
      <w:bookmarkStart w:id="1616" w:name="_Toc536622673"/>
      <w:bookmarkStart w:id="1617" w:name="_Toc536714352"/>
      <w:bookmarkStart w:id="1618" w:name="_Toc186843"/>
      <w:bookmarkStart w:id="1619" w:name="_Toc187796"/>
      <w:bookmarkStart w:id="1620" w:name="_Toc536600676"/>
      <w:bookmarkStart w:id="1621" w:name="_Toc536622674"/>
      <w:bookmarkStart w:id="1622" w:name="_Toc536714353"/>
      <w:bookmarkStart w:id="1623" w:name="_Toc186844"/>
      <w:bookmarkStart w:id="1624" w:name="_Toc187797"/>
      <w:bookmarkStart w:id="1625" w:name="_Toc536600677"/>
      <w:bookmarkStart w:id="1626" w:name="_Toc536622675"/>
      <w:bookmarkStart w:id="1627" w:name="_Toc536714354"/>
      <w:bookmarkStart w:id="1628" w:name="_Toc186845"/>
      <w:bookmarkStart w:id="1629" w:name="_Toc187798"/>
      <w:bookmarkStart w:id="1630" w:name="_Appendix_1_–"/>
      <w:bookmarkStart w:id="1631" w:name="_Toc536600678"/>
      <w:bookmarkStart w:id="1632" w:name="_Toc536622676"/>
      <w:bookmarkStart w:id="1633" w:name="_Toc536714355"/>
      <w:bookmarkStart w:id="1634" w:name="_Toc186846"/>
      <w:bookmarkStart w:id="1635" w:name="_Toc187799"/>
      <w:bookmarkStart w:id="1636" w:name="_Toc536600679"/>
      <w:bookmarkStart w:id="1637" w:name="_Toc536622677"/>
      <w:bookmarkStart w:id="1638" w:name="_Toc536714356"/>
      <w:bookmarkStart w:id="1639" w:name="_Toc186847"/>
      <w:bookmarkStart w:id="1640" w:name="_Toc187800"/>
      <w:bookmarkStart w:id="1641" w:name="_Toc536600680"/>
      <w:bookmarkStart w:id="1642" w:name="_Toc536622678"/>
      <w:bookmarkStart w:id="1643" w:name="_Toc536714357"/>
      <w:bookmarkStart w:id="1644" w:name="_Toc186848"/>
      <w:bookmarkStart w:id="1645" w:name="_Toc187801"/>
      <w:bookmarkStart w:id="1646" w:name="_Toc536600681"/>
      <w:bookmarkStart w:id="1647" w:name="_Toc536622679"/>
      <w:bookmarkStart w:id="1648" w:name="_Toc536714358"/>
      <w:bookmarkStart w:id="1649" w:name="_Toc186849"/>
      <w:bookmarkStart w:id="1650" w:name="_Toc187802"/>
      <w:bookmarkStart w:id="1651" w:name="_Toc536600682"/>
      <w:bookmarkStart w:id="1652" w:name="_Toc536622680"/>
      <w:bookmarkStart w:id="1653" w:name="_Toc536714359"/>
      <w:bookmarkStart w:id="1654" w:name="_Toc186850"/>
      <w:bookmarkStart w:id="1655" w:name="_Toc187803"/>
      <w:bookmarkStart w:id="1656" w:name="_Toc536600686"/>
      <w:bookmarkStart w:id="1657" w:name="_Toc536622684"/>
      <w:bookmarkStart w:id="1658" w:name="_Toc536714363"/>
      <w:bookmarkStart w:id="1659" w:name="_Toc186854"/>
      <w:bookmarkStart w:id="1660" w:name="_Toc187807"/>
      <w:bookmarkStart w:id="1661" w:name="_Toc536600689"/>
      <w:bookmarkStart w:id="1662" w:name="_Toc536622687"/>
      <w:bookmarkStart w:id="1663" w:name="_Toc536714366"/>
      <w:bookmarkStart w:id="1664" w:name="_Toc186857"/>
      <w:bookmarkStart w:id="1665" w:name="_Toc187810"/>
      <w:bookmarkStart w:id="1666" w:name="_Toc536600770"/>
      <w:bookmarkStart w:id="1667" w:name="_Toc536622768"/>
      <w:bookmarkStart w:id="1668" w:name="_Toc536714447"/>
      <w:bookmarkStart w:id="1669" w:name="_Toc186938"/>
      <w:bookmarkStart w:id="1670" w:name="_Toc187891"/>
      <w:bookmarkStart w:id="1671" w:name="_Toc536600795"/>
      <w:bookmarkStart w:id="1672" w:name="_Toc536622793"/>
      <w:bookmarkStart w:id="1673" w:name="_Toc536714472"/>
      <w:bookmarkStart w:id="1674" w:name="_Toc186963"/>
      <w:bookmarkStart w:id="1675" w:name="_Toc187916"/>
      <w:bookmarkStart w:id="1676" w:name="_Toc536600801"/>
      <w:bookmarkStart w:id="1677" w:name="_Toc536622799"/>
      <w:bookmarkStart w:id="1678" w:name="_Toc536714478"/>
      <w:bookmarkStart w:id="1679" w:name="_Toc186969"/>
      <w:bookmarkStart w:id="1680" w:name="_Toc187922"/>
      <w:bookmarkStart w:id="1681" w:name="_Toc536600807"/>
      <w:bookmarkStart w:id="1682" w:name="_Toc536622805"/>
      <w:bookmarkStart w:id="1683" w:name="_Toc536714484"/>
      <w:bookmarkStart w:id="1684" w:name="_Toc186975"/>
      <w:bookmarkStart w:id="1685" w:name="_Toc187928"/>
      <w:bookmarkStart w:id="1686" w:name="_Toc536600813"/>
      <w:bookmarkStart w:id="1687" w:name="_Toc536622811"/>
      <w:bookmarkStart w:id="1688" w:name="_Toc536714490"/>
      <w:bookmarkStart w:id="1689" w:name="_Toc186981"/>
      <w:bookmarkStart w:id="1690" w:name="_Toc187934"/>
      <w:bookmarkStart w:id="1691" w:name="_Toc536600819"/>
      <w:bookmarkStart w:id="1692" w:name="_Toc536622817"/>
      <w:bookmarkStart w:id="1693" w:name="_Toc536714496"/>
      <w:bookmarkStart w:id="1694" w:name="_Toc186987"/>
      <w:bookmarkStart w:id="1695" w:name="_Toc187940"/>
      <w:bookmarkStart w:id="1696" w:name="_Toc536600825"/>
      <w:bookmarkStart w:id="1697" w:name="_Toc536622823"/>
      <w:bookmarkStart w:id="1698" w:name="_Toc536714502"/>
      <w:bookmarkStart w:id="1699" w:name="_Toc186993"/>
      <w:bookmarkStart w:id="1700" w:name="_Toc187946"/>
      <w:bookmarkStart w:id="1701" w:name="_Toc536600870"/>
      <w:bookmarkStart w:id="1702" w:name="_Toc536622868"/>
      <w:bookmarkStart w:id="1703" w:name="_Toc536714547"/>
      <w:bookmarkStart w:id="1704" w:name="_Toc187038"/>
      <w:bookmarkStart w:id="1705" w:name="_Toc187991"/>
      <w:bookmarkStart w:id="1706" w:name="_Toc536600887"/>
      <w:bookmarkStart w:id="1707" w:name="_Toc536622885"/>
      <w:bookmarkStart w:id="1708" w:name="_Toc536714564"/>
      <w:bookmarkStart w:id="1709" w:name="_Toc187055"/>
      <w:bookmarkStart w:id="1710" w:name="_Toc188008"/>
      <w:bookmarkStart w:id="1711" w:name="_Toc536600921"/>
      <w:bookmarkStart w:id="1712" w:name="_Toc536622919"/>
      <w:bookmarkStart w:id="1713" w:name="_Toc536714598"/>
      <w:bookmarkStart w:id="1714" w:name="_Toc187089"/>
      <w:bookmarkStart w:id="1715" w:name="_Toc188042"/>
      <w:bookmarkStart w:id="1716" w:name="_Toc536600927"/>
      <w:bookmarkStart w:id="1717" w:name="_Toc536622925"/>
      <w:bookmarkStart w:id="1718" w:name="_Toc536714604"/>
      <w:bookmarkStart w:id="1719" w:name="_Toc187095"/>
      <w:bookmarkStart w:id="1720" w:name="_Toc188048"/>
      <w:bookmarkStart w:id="1721" w:name="_Toc536600933"/>
      <w:bookmarkStart w:id="1722" w:name="_Toc536622931"/>
      <w:bookmarkStart w:id="1723" w:name="_Toc536714610"/>
      <w:bookmarkStart w:id="1724" w:name="_Toc187101"/>
      <w:bookmarkStart w:id="1725" w:name="_Toc188054"/>
      <w:bookmarkStart w:id="1726" w:name="_Toc536600939"/>
      <w:bookmarkStart w:id="1727" w:name="_Toc536622937"/>
      <w:bookmarkStart w:id="1728" w:name="_Toc536714616"/>
      <w:bookmarkStart w:id="1729" w:name="_Toc187107"/>
      <w:bookmarkStart w:id="1730" w:name="_Toc188060"/>
      <w:bookmarkStart w:id="1731" w:name="_Toc536600945"/>
      <w:bookmarkStart w:id="1732" w:name="_Toc536622943"/>
      <w:bookmarkStart w:id="1733" w:name="_Toc536714622"/>
      <w:bookmarkStart w:id="1734" w:name="_Toc187113"/>
      <w:bookmarkStart w:id="1735" w:name="_Toc188066"/>
      <w:bookmarkStart w:id="1736" w:name="_Toc536600951"/>
      <w:bookmarkStart w:id="1737" w:name="_Toc536622949"/>
      <w:bookmarkStart w:id="1738" w:name="_Toc536714628"/>
      <w:bookmarkStart w:id="1739" w:name="_Toc187119"/>
      <w:bookmarkStart w:id="1740" w:name="_Toc188072"/>
      <w:bookmarkStart w:id="1741" w:name="_Toc536600957"/>
      <w:bookmarkStart w:id="1742" w:name="_Toc536622955"/>
      <w:bookmarkStart w:id="1743" w:name="_Toc536714634"/>
      <w:bookmarkStart w:id="1744" w:name="_Toc187125"/>
      <w:bookmarkStart w:id="1745" w:name="_Toc188078"/>
      <w:bookmarkStart w:id="1746" w:name="_Toc536600963"/>
      <w:bookmarkStart w:id="1747" w:name="_Toc536622961"/>
      <w:bookmarkStart w:id="1748" w:name="_Toc536714640"/>
      <w:bookmarkStart w:id="1749" w:name="_Toc187131"/>
      <w:bookmarkStart w:id="1750" w:name="_Toc188084"/>
      <w:bookmarkStart w:id="1751" w:name="_Toc536600994"/>
      <w:bookmarkStart w:id="1752" w:name="_Toc536622992"/>
      <w:bookmarkStart w:id="1753" w:name="_Toc536714671"/>
      <w:bookmarkStart w:id="1754" w:name="_Toc187162"/>
      <w:bookmarkStart w:id="1755" w:name="_Toc188115"/>
      <w:bookmarkStart w:id="1756" w:name="_Toc536601000"/>
      <w:bookmarkStart w:id="1757" w:name="_Toc536622998"/>
      <w:bookmarkStart w:id="1758" w:name="_Toc536714677"/>
      <w:bookmarkStart w:id="1759" w:name="_Toc187168"/>
      <w:bookmarkStart w:id="1760" w:name="_Toc188121"/>
      <w:bookmarkStart w:id="1761" w:name="_Toc536601006"/>
      <w:bookmarkStart w:id="1762" w:name="_Toc536623004"/>
      <w:bookmarkStart w:id="1763" w:name="_Toc536714683"/>
      <w:bookmarkStart w:id="1764" w:name="_Toc187174"/>
      <w:bookmarkStart w:id="1765" w:name="_Toc188127"/>
      <w:bookmarkStart w:id="1766" w:name="_Toc536601059"/>
      <w:bookmarkStart w:id="1767" w:name="_Toc536623057"/>
      <w:bookmarkStart w:id="1768" w:name="_Toc536714736"/>
      <w:bookmarkStart w:id="1769" w:name="_Toc187227"/>
      <w:bookmarkStart w:id="1770" w:name="_Toc188180"/>
      <w:bookmarkStart w:id="1771" w:name="_Toc536601124"/>
      <w:bookmarkStart w:id="1772" w:name="_Toc536623122"/>
      <w:bookmarkStart w:id="1773" w:name="_Toc536714801"/>
      <w:bookmarkStart w:id="1774" w:name="_Toc187292"/>
      <w:bookmarkStart w:id="1775" w:name="_Toc188245"/>
      <w:bookmarkStart w:id="1776" w:name="_Toc536601163"/>
      <w:bookmarkStart w:id="1777" w:name="_Toc536623161"/>
      <w:bookmarkStart w:id="1778" w:name="_Toc536714840"/>
      <w:bookmarkStart w:id="1779" w:name="_Toc187331"/>
      <w:bookmarkStart w:id="1780" w:name="_Toc188284"/>
      <w:bookmarkStart w:id="1781" w:name="_Appendix_2_–"/>
      <w:bookmarkStart w:id="1782" w:name="_Toc536601164"/>
      <w:bookmarkStart w:id="1783" w:name="_Toc536623162"/>
      <w:bookmarkStart w:id="1784" w:name="_Toc536714841"/>
      <w:bookmarkStart w:id="1785" w:name="_Toc187332"/>
      <w:bookmarkStart w:id="1786" w:name="_Toc188285"/>
      <w:bookmarkStart w:id="1787" w:name="_Toc536601165"/>
      <w:bookmarkStart w:id="1788" w:name="_Toc536623163"/>
      <w:bookmarkStart w:id="1789" w:name="_Toc536714842"/>
      <w:bookmarkStart w:id="1790" w:name="_Toc187333"/>
      <w:bookmarkStart w:id="1791" w:name="_Toc188286"/>
      <w:bookmarkStart w:id="1792" w:name="_Toc536601166"/>
      <w:bookmarkStart w:id="1793" w:name="_Toc536623164"/>
      <w:bookmarkStart w:id="1794" w:name="_Toc536714843"/>
      <w:bookmarkStart w:id="1795" w:name="_Toc187334"/>
      <w:bookmarkStart w:id="1796" w:name="_Toc188287"/>
      <w:bookmarkStart w:id="1797" w:name="_Toc536601167"/>
      <w:bookmarkStart w:id="1798" w:name="_Toc536623165"/>
      <w:bookmarkStart w:id="1799" w:name="_Toc536714844"/>
      <w:bookmarkStart w:id="1800" w:name="_Toc187335"/>
      <w:bookmarkStart w:id="1801" w:name="_Toc188288"/>
      <w:bookmarkStart w:id="1802" w:name="_Toc536601168"/>
      <w:bookmarkStart w:id="1803" w:name="_Toc536623166"/>
      <w:bookmarkStart w:id="1804" w:name="_Toc536714845"/>
      <w:bookmarkStart w:id="1805" w:name="_Toc187336"/>
      <w:bookmarkStart w:id="1806" w:name="_Toc188289"/>
      <w:bookmarkStart w:id="1807" w:name="_1567679825"/>
      <w:bookmarkStart w:id="1808" w:name="_Toc536601169"/>
      <w:bookmarkStart w:id="1809" w:name="_Toc536623167"/>
      <w:bookmarkStart w:id="1810" w:name="_Toc536714846"/>
      <w:bookmarkStart w:id="1811" w:name="_Toc187337"/>
      <w:bookmarkStart w:id="1812" w:name="_Toc188290"/>
      <w:bookmarkStart w:id="1813" w:name="_Toc95743490"/>
      <w:bookmarkEnd w:id="1083"/>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r>
        <w:rPr>
          <w:lang w:eastAsia="en-GB"/>
        </w:rPr>
        <w:t>NHS England Procurement Support Contract</w:t>
      </w:r>
      <w:r w:rsidR="007D2370">
        <w:rPr>
          <w:lang w:eastAsia="en-GB"/>
        </w:rPr>
        <w:t xml:space="preserve"> and National Procurement Tool</w:t>
      </w:r>
      <w:bookmarkEnd w:id="1813"/>
    </w:p>
    <w:p w14:paraId="4B7BAB28" w14:textId="7E239294" w:rsidR="00BF1D7D" w:rsidRDefault="00BF1D7D" w:rsidP="00BF1D7D">
      <w:pPr>
        <w:rPr>
          <w:lang w:eastAsia="en-GB"/>
        </w:rPr>
      </w:pPr>
    </w:p>
    <w:p w14:paraId="35BB23E3" w14:textId="7133F181" w:rsidR="0050277D" w:rsidRDefault="0050277D" w:rsidP="006F1CA4">
      <w:pPr>
        <w:pStyle w:val="Heading2"/>
        <w:rPr>
          <w:lang w:eastAsia="en-GB"/>
        </w:rPr>
      </w:pPr>
      <w:bookmarkStart w:id="1814" w:name="_Toc95743491"/>
      <w:r>
        <w:rPr>
          <w:lang w:eastAsia="en-GB"/>
        </w:rPr>
        <w:t>Background</w:t>
      </w:r>
      <w:bookmarkEnd w:id="1814"/>
      <w:r>
        <w:rPr>
          <w:lang w:eastAsia="en-GB"/>
        </w:rPr>
        <w:t xml:space="preserve"> </w:t>
      </w:r>
    </w:p>
    <w:p w14:paraId="70C4E609" w14:textId="77777777" w:rsidR="0050277D" w:rsidRDefault="0050277D" w:rsidP="00BF1D7D">
      <w:pPr>
        <w:rPr>
          <w:lang w:eastAsia="en-GB"/>
        </w:rPr>
      </w:pPr>
    </w:p>
    <w:p w14:paraId="6261E862" w14:textId="6650008E" w:rsidR="00BF1D7D" w:rsidRDefault="00BF1D7D" w:rsidP="006F1CA4">
      <w:pPr>
        <w:pStyle w:val="Heading3"/>
        <w:rPr>
          <w:lang w:eastAsia="en-GB"/>
        </w:rPr>
      </w:pPr>
      <w:r>
        <w:rPr>
          <w:lang w:eastAsia="en-GB"/>
        </w:rPr>
        <w:t xml:space="preserve">NHS England holds a contract, which is available for use by its commissioners and </w:t>
      </w:r>
      <w:r w:rsidR="00B83042">
        <w:rPr>
          <w:lang w:eastAsia="en-GB"/>
        </w:rPr>
        <w:t>CCG/ICB</w:t>
      </w:r>
      <w:r>
        <w:rPr>
          <w:lang w:eastAsia="en-GB"/>
        </w:rPr>
        <w:t>, for procurement services with a collaboration of commissioning support units (CSUs) lead by NHS Arden and GEM CSU. The collaboration covers all parts of England as follows:</w:t>
      </w:r>
    </w:p>
    <w:p w14:paraId="611CE30C" w14:textId="77777777" w:rsidR="00BF1D7D" w:rsidRDefault="00BF1D7D" w:rsidP="00BF1D7D">
      <w:pPr>
        <w:rPr>
          <w:lang w:eastAsia="en-GB"/>
        </w:rPr>
      </w:pPr>
    </w:p>
    <w:p w14:paraId="2C3F2F55" w14:textId="5FF3D1C4" w:rsidR="00BF1D7D" w:rsidRDefault="00BF1D7D" w:rsidP="00825050">
      <w:pPr>
        <w:pStyle w:val="ListParagraph"/>
        <w:numPr>
          <w:ilvl w:val="0"/>
          <w:numId w:val="53"/>
        </w:numPr>
        <w:rPr>
          <w:lang w:eastAsia="en-GB"/>
        </w:rPr>
      </w:pPr>
      <w:r>
        <w:rPr>
          <w:lang w:eastAsia="en-GB"/>
        </w:rPr>
        <w:t>Arden and GEM - Midlands and East region</w:t>
      </w:r>
    </w:p>
    <w:p w14:paraId="0F079FE8" w14:textId="02DADA7A" w:rsidR="00BF1D7D" w:rsidRDefault="00BF1D7D" w:rsidP="00825050">
      <w:pPr>
        <w:pStyle w:val="ListParagraph"/>
        <w:numPr>
          <w:ilvl w:val="0"/>
          <w:numId w:val="53"/>
        </w:numPr>
        <w:rPr>
          <w:lang w:eastAsia="en-GB"/>
        </w:rPr>
      </w:pPr>
      <w:r>
        <w:rPr>
          <w:lang w:eastAsia="en-GB"/>
        </w:rPr>
        <w:t>North East London CSU - London region</w:t>
      </w:r>
    </w:p>
    <w:p w14:paraId="328E3A75" w14:textId="4BB310BE" w:rsidR="00BF1D7D" w:rsidRDefault="00BF1D7D" w:rsidP="00825050">
      <w:pPr>
        <w:pStyle w:val="ListParagraph"/>
        <w:numPr>
          <w:ilvl w:val="0"/>
          <w:numId w:val="53"/>
        </w:numPr>
        <w:rPr>
          <w:lang w:eastAsia="en-GB"/>
        </w:rPr>
      </w:pPr>
      <w:r>
        <w:rPr>
          <w:lang w:eastAsia="en-GB"/>
        </w:rPr>
        <w:t>South Central and West CSU - South region</w:t>
      </w:r>
    </w:p>
    <w:p w14:paraId="156576AB" w14:textId="600D69F4" w:rsidR="00BF1D7D" w:rsidRDefault="00BF1D7D" w:rsidP="00825050">
      <w:pPr>
        <w:pStyle w:val="ListParagraph"/>
        <w:numPr>
          <w:ilvl w:val="0"/>
          <w:numId w:val="53"/>
        </w:numPr>
        <w:rPr>
          <w:lang w:eastAsia="en-GB"/>
        </w:rPr>
      </w:pPr>
      <w:r>
        <w:rPr>
          <w:lang w:eastAsia="en-GB"/>
        </w:rPr>
        <w:t>North of England CSU – North region</w:t>
      </w:r>
    </w:p>
    <w:p w14:paraId="708641A1" w14:textId="77777777" w:rsidR="00BF1D7D" w:rsidRDefault="00BF1D7D" w:rsidP="00BF1D7D">
      <w:pPr>
        <w:rPr>
          <w:lang w:eastAsia="en-GB"/>
        </w:rPr>
      </w:pPr>
    </w:p>
    <w:p w14:paraId="6990B093" w14:textId="77777777" w:rsidR="00BF1D7D" w:rsidRDefault="00BF1D7D" w:rsidP="006F1CA4">
      <w:pPr>
        <w:pStyle w:val="Heading3"/>
        <w:rPr>
          <w:lang w:eastAsia="en-GB"/>
        </w:rPr>
      </w:pPr>
      <w:r>
        <w:rPr>
          <w:lang w:eastAsia="en-GB"/>
        </w:rPr>
        <w:t xml:space="preserve">The collaboration deploys over 40 procurement staff as dedicated resource to the contract and has access to over 100 more from its activities across the commissioning landscape. The knowledge and experience of the teams deployed is built on undertaking 80 to 100 primary care procurements each year utilising a strategic 7 step process that provides a framework to support commissioners from identification of need to contract award and mobilisation. </w:t>
      </w:r>
    </w:p>
    <w:p w14:paraId="6ED2F79A" w14:textId="38BBF3AA" w:rsidR="00BF1D7D" w:rsidRPr="00A553BA" w:rsidRDefault="00BF1D7D" w:rsidP="00A553BA"/>
    <w:p w14:paraId="1D7F93C8" w14:textId="11597FBC" w:rsidR="0050277D" w:rsidRPr="0050277D" w:rsidRDefault="0050277D" w:rsidP="006F1CA4">
      <w:pPr>
        <w:pStyle w:val="Heading2"/>
        <w:rPr>
          <w:lang w:eastAsia="en-GB"/>
        </w:rPr>
      </w:pPr>
      <w:bookmarkStart w:id="1815" w:name="_Toc95743492"/>
      <w:r>
        <w:rPr>
          <w:lang w:eastAsia="en-GB"/>
        </w:rPr>
        <w:t>The Offer</w:t>
      </w:r>
      <w:bookmarkEnd w:id="1815"/>
    </w:p>
    <w:p w14:paraId="5A819775" w14:textId="77777777" w:rsidR="0050277D" w:rsidRPr="003C1755" w:rsidRDefault="0050277D" w:rsidP="006F1CA4">
      <w:pPr>
        <w:rPr>
          <w:lang w:eastAsia="en-GB"/>
        </w:rPr>
      </w:pPr>
    </w:p>
    <w:p w14:paraId="5DEB64B9" w14:textId="7DEF32A8" w:rsidR="00BF1D7D" w:rsidRDefault="00BF1D7D" w:rsidP="006F1CA4">
      <w:pPr>
        <w:pStyle w:val="Heading3"/>
        <w:rPr>
          <w:lang w:eastAsia="en-GB"/>
        </w:rPr>
      </w:pPr>
      <w:r>
        <w:rPr>
          <w:lang w:eastAsia="en-GB"/>
        </w:rPr>
        <w:t>This service provides standard process guidance and expertise ensuring best practice and sustainable outcomes through the following phases.</w:t>
      </w:r>
    </w:p>
    <w:p w14:paraId="2A83E95F" w14:textId="77777777" w:rsidR="00BF1D7D" w:rsidRDefault="00BF1D7D" w:rsidP="00BF1D7D">
      <w:pPr>
        <w:rPr>
          <w:lang w:eastAsia="en-GB"/>
        </w:rPr>
      </w:pPr>
    </w:p>
    <w:p w14:paraId="219CA506" w14:textId="1E70E962" w:rsidR="00BF1D7D" w:rsidRDefault="00BF1D7D" w:rsidP="006F1CA4">
      <w:pPr>
        <w:pStyle w:val="Heading3"/>
      </w:pPr>
      <w:r>
        <w:t>Pre-Procurement activity – Including baselining, project initiation, market analysis and engagement, development of procurement or market intervention strategies ensuring compliance with the regulatory framework(s) and guidance on the production of business cases to meet with the requirements set out in NHS England the Standing Financial Instructions.</w:t>
      </w:r>
    </w:p>
    <w:p w14:paraId="1173A3E9" w14:textId="77777777" w:rsidR="00BF1D7D" w:rsidRPr="009A7101" w:rsidRDefault="00BF1D7D" w:rsidP="00A553BA"/>
    <w:p w14:paraId="1C63D51F" w14:textId="67D7E2FA" w:rsidR="00BF1D7D" w:rsidRDefault="00BF1D7D" w:rsidP="006F1CA4">
      <w:pPr>
        <w:pStyle w:val="Heading3"/>
      </w:pPr>
      <w:r>
        <w:t>Procurement facilitation – working alongside commissioners, we provide a full auditable solution that is compliant with the regulatory framework(s) and includes e- commerce solutions for all aspects of the procurement process, from advert, to invitation to tender, evaluation and award.</w:t>
      </w:r>
    </w:p>
    <w:p w14:paraId="3CF3D7EF" w14:textId="77777777" w:rsidR="00BF1D7D" w:rsidRPr="009A7101" w:rsidRDefault="00BF1D7D" w:rsidP="00A553BA"/>
    <w:p w14:paraId="71AFC536" w14:textId="4CA2E8B0" w:rsidR="00BF1D7D" w:rsidRDefault="00BF1D7D" w:rsidP="006F1CA4">
      <w:pPr>
        <w:pStyle w:val="Heading3"/>
      </w:pPr>
      <w:r>
        <w:t>Mobilisation support – we provide a full mobilisation support or advice and guidance throughout the process. We have procurement professionals on hand to support the mobilisation of the contract and ensure a seamless transition to a new contract.</w:t>
      </w:r>
    </w:p>
    <w:p w14:paraId="7F2D9D34" w14:textId="1D0D1716" w:rsidR="00BF1D7D" w:rsidRDefault="00BF1D7D" w:rsidP="00BF1D7D">
      <w:pPr>
        <w:rPr>
          <w:lang w:eastAsia="en-GB"/>
        </w:rPr>
      </w:pPr>
    </w:p>
    <w:p w14:paraId="13552931" w14:textId="09792620" w:rsidR="0050277D" w:rsidRDefault="0050277D" w:rsidP="006F1CA4">
      <w:pPr>
        <w:pStyle w:val="Heading2"/>
        <w:rPr>
          <w:lang w:eastAsia="en-GB"/>
        </w:rPr>
      </w:pPr>
      <w:bookmarkStart w:id="1816" w:name="_Toc95743493"/>
      <w:r>
        <w:rPr>
          <w:lang w:eastAsia="en-GB"/>
        </w:rPr>
        <w:t>Contacts</w:t>
      </w:r>
      <w:bookmarkEnd w:id="1816"/>
    </w:p>
    <w:p w14:paraId="2444F0FC" w14:textId="77777777" w:rsidR="0050277D" w:rsidRDefault="0050277D" w:rsidP="00BF1D7D">
      <w:pPr>
        <w:rPr>
          <w:lang w:eastAsia="en-GB"/>
        </w:rPr>
      </w:pPr>
    </w:p>
    <w:p w14:paraId="13F4C602" w14:textId="77777777" w:rsidR="00BF1D7D" w:rsidRDefault="00BF1D7D" w:rsidP="006F1CA4">
      <w:pPr>
        <w:pStyle w:val="Heading3"/>
        <w:rPr>
          <w:lang w:eastAsia="en-GB"/>
        </w:rPr>
      </w:pPr>
      <w:r>
        <w:rPr>
          <w:lang w:eastAsia="en-GB"/>
        </w:rPr>
        <w:t xml:space="preserve">For Primary Care requirements please use the contacts below: </w:t>
      </w:r>
    </w:p>
    <w:p w14:paraId="305D06C8" w14:textId="77777777" w:rsidR="00BF1D7D" w:rsidRDefault="00BF1D7D" w:rsidP="00BF1D7D">
      <w:pPr>
        <w:rPr>
          <w:lang w:eastAsia="en-GB"/>
        </w:rPr>
      </w:pPr>
    </w:p>
    <w:p w14:paraId="7BD9E824" w14:textId="2193D071" w:rsidR="00BF1D7D" w:rsidRDefault="00BF1D7D" w:rsidP="00BF1D7D">
      <w:pPr>
        <w:rPr>
          <w:sz w:val="22"/>
          <w:szCs w:val="22"/>
          <w:lang w:eastAsia="en-GB"/>
        </w:rPr>
      </w:pPr>
      <w:r w:rsidRPr="006F1CA4">
        <w:rPr>
          <w:sz w:val="22"/>
          <w:szCs w:val="22"/>
          <w:lang w:eastAsia="en-GB"/>
        </w:rPr>
        <w:t>CSU</w:t>
      </w:r>
      <w:r w:rsidRPr="006F1CA4">
        <w:rPr>
          <w:sz w:val="22"/>
          <w:szCs w:val="22"/>
          <w:lang w:eastAsia="en-GB"/>
        </w:rPr>
        <w:tab/>
      </w:r>
      <w:r w:rsidR="007376E6" w:rsidRPr="007376E6">
        <w:rPr>
          <w:sz w:val="22"/>
          <w:szCs w:val="22"/>
          <w:lang w:eastAsia="en-GB"/>
        </w:rPr>
        <w:tab/>
      </w:r>
      <w:r w:rsidR="007376E6" w:rsidRPr="007376E6">
        <w:rPr>
          <w:sz w:val="22"/>
          <w:szCs w:val="22"/>
          <w:lang w:eastAsia="en-GB"/>
        </w:rPr>
        <w:tab/>
      </w:r>
      <w:r w:rsidR="007376E6" w:rsidRPr="007376E6">
        <w:rPr>
          <w:sz w:val="22"/>
          <w:szCs w:val="22"/>
          <w:lang w:eastAsia="en-GB"/>
        </w:rPr>
        <w:tab/>
      </w:r>
      <w:r w:rsidR="007376E6" w:rsidRPr="007376E6">
        <w:rPr>
          <w:sz w:val="22"/>
          <w:szCs w:val="22"/>
          <w:lang w:eastAsia="en-GB"/>
        </w:rPr>
        <w:tab/>
      </w:r>
      <w:r w:rsidRPr="006F1CA4">
        <w:rPr>
          <w:sz w:val="22"/>
          <w:szCs w:val="22"/>
          <w:lang w:eastAsia="en-GB"/>
        </w:rPr>
        <w:t>Contact</w:t>
      </w:r>
      <w:r w:rsidRPr="006F1CA4">
        <w:rPr>
          <w:sz w:val="22"/>
          <w:szCs w:val="22"/>
          <w:lang w:eastAsia="en-GB"/>
        </w:rPr>
        <w:tab/>
      </w:r>
      <w:r w:rsidR="007376E6" w:rsidRPr="007376E6">
        <w:rPr>
          <w:sz w:val="22"/>
          <w:szCs w:val="22"/>
          <w:lang w:eastAsia="en-GB"/>
        </w:rPr>
        <w:tab/>
      </w:r>
      <w:r w:rsidRPr="006F1CA4">
        <w:rPr>
          <w:sz w:val="22"/>
          <w:szCs w:val="22"/>
          <w:lang w:eastAsia="en-GB"/>
        </w:rPr>
        <w:t>Email</w:t>
      </w:r>
    </w:p>
    <w:p w14:paraId="3EB037D9" w14:textId="77777777" w:rsidR="007376E6" w:rsidRPr="006F1CA4" w:rsidRDefault="007376E6" w:rsidP="00BF1D7D">
      <w:pPr>
        <w:rPr>
          <w:sz w:val="22"/>
          <w:szCs w:val="22"/>
          <w:lang w:eastAsia="en-GB"/>
        </w:rPr>
      </w:pPr>
    </w:p>
    <w:p w14:paraId="71ABA3D6" w14:textId="7E4E3227" w:rsidR="00BF1D7D" w:rsidRPr="006F1CA4" w:rsidRDefault="00BF1D7D" w:rsidP="00BF1D7D">
      <w:pPr>
        <w:rPr>
          <w:sz w:val="22"/>
          <w:szCs w:val="22"/>
          <w:lang w:eastAsia="en-GB"/>
        </w:rPr>
      </w:pPr>
      <w:r w:rsidRPr="006F1CA4">
        <w:rPr>
          <w:sz w:val="22"/>
          <w:szCs w:val="22"/>
          <w:lang w:eastAsia="en-GB"/>
        </w:rPr>
        <w:t>NHS Arden and GEM CSU</w:t>
      </w:r>
      <w:r w:rsidRPr="006F1CA4">
        <w:rPr>
          <w:sz w:val="22"/>
          <w:szCs w:val="22"/>
          <w:lang w:eastAsia="en-GB"/>
        </w:rPr>
        <w:tab/>
      </w:r>
      <w:r w:rsidR="007376E6" w:rsidRPr="006F1CA4">
        <w:rPr>
          <w:sz w:val="22"/>
          <w:szCs w:val="22"/>
          <w:lang w:eastAsia="en-GB"/>
        </w:rPr>
        <w:tab/>
      </w:r>
      <w:r w:rsidRPr="006F1CA4">
        <w:rPr>
          <w:sz w:val="22"/>
          <w:szCs w:val="22"/>
          <w:lang w:eastAsia="en-GB"/>
        </w:rPr>
        <w:t>Gavin Bennett</w:t>
      </w:r>
      <w:r w:rsidRPr="006F1CA4">
        <w:rPr>
          <w:sz w:val="22"/>
          <w:szCs w:val="22"/>
          <w:lang w:eastAsia="en-GB"/>
        </w:rPr>
        <w:tab/>
      </w:r>
      <w:r w:rsidR="007376E6" w:rsidRPr="006F1CA4">
        <w:rPr>
          <w:sz w:val="22"/>
          <w:szCs w:val="22"/>
          <w:lang w:eastAsia="en-GB"/>
        </w:rPr>
        <w:tab/>
      </w:r>
      <w:hyperlink r:id="rId145" w:history="1">
        <w:r w:rsidR="0050277D" w:rsidRPr="006F1CA4">
          <w:rPr>
            <w:rStyle w:val="Hyperlink"/>
            <w:sz w:val="22"/>
            <w:szCs w:val="22"/>
            <w:lang w:eastAsia="en-GB"/>
          </w:rPr>
          <w:t>Gavin.Bennett2@nhs.net</w:t>
        </w:r>
      </w:hyperlink>
      <w:r w:rsidR="0050277D">
        <w:rPr>
          <w:sz w:val="22"/>
          <w:szCs w:val="22"/>
          <w:lang w:eastAsia="en-GB"/>
        </w:rPr>
        <w:t xml:space="preserve"> </w:t>
      </w:r>
    </w:p>
    <w:p w14:paraId="60B94532" w14:textId="6E5C8017" w:rsidR="00BF1D7D" w:rsidRPr="006F1CA4" w:rsidRDefault="00BF1D7D" w:rsidP="00BF1D7D">
      <w:pPr>
        <w:rPr>
          <w:sz w:val="22"/>
          <w:szCs w:val="22"/>
          <w:lang w:eastAsia="en-GB"/>
        </w:rPr>
      </w:pPr>
      <w:r w:rsidRPr="006F1CA4">
        <w:rPr>
          <w:sz w:val="22"/>
          <w:szCs w:val="22"/>
          <w:lang w:eastAsia="en-GB"/>
        </w:rPr>
        <w:t>NHS South Central and West CSU</w:t>
      </w:r>
      <w:r w:rsidRPr="006F1CA4">
        <w:rPr>
          <w:sz w:val="22"/>
          <w:szCs w:val="22"/>
          <w:lang w:eastAsia="en-GB"/>
        </w:rPr>
        <w:tab/>
        <w:t>Chris Fuller</w:t>
      </w:r>
      <w:r w:rsidRPr="006F1CA4">
        <w:rPr>
          <w:sz w:val="22"/>
          <w:szCs w:val="22"/>
          <w:lang w:eastAsia="en-GB"/>
        </w:rPr>
        <w:tab/>
      </w:r>
      <w:r w:rsidR="007376E6" w:rsidRPr="006F1CA4">
        <w:rPr>
          <w:sz w:val="22"/>
          <w:szCs w:val="22"/>
          <w:lang w:eastAsia="en-GB"/>
        </w:rPr>
        <w:tab/>
      </w:r>
      <w:hyperlink r:id="rId146" w:history="1">
        <w:r w:rsidR="0050277D" w:rsidRPr="006F1CA4">
          <w:rPr>
            <w:rStyle w:val="Hyperlink"/>
            <w:sz w:val="22"/>
            <w:szCs w:val="22"/>
            <w:lang w:eastAsia="en-GB"/>
          </w:rPr>
          <w:t>chris.fuller1@nhs.net</w:t>
        </w:r>
      </w:hyperlink>
      <w:r w:rsidR="0050277D">
        <w:rPr>
          <w:sz w:val="22"/>
          <w:szCs w:val="22"/>
          <w:lang w:eastAsia="en-GB"/>
        </w:rPr>
        <w:t xml:space="preserve"> </w:t>
      </w:r>
    </w:p>
    <w:p w14:paraId="3EA08421" w14:textId="254A53A3" w:rsidR="00BF1D7D" w:rsidRPr="006F1CA4" w:rsidRDefault="00BF1D7D" w:rsidP="00BF1D7D">
      <w:pPr>
        <w:rPr>
          <w:sz w:val="22"/>
          <w:szCs w:val="22"/>
          <w:lang w:eastAsia="en-GB"/>
        </w:rPr>
      </w:pPr>
      <w:r w:rsidRPr="006F1CA4">
        <w:rPr>
          <w:sz w:val="22"/>
          <w:szCs w:val="22"/>
          <w:lang w:eastAsia="en-GB"/>
        </w:rPr>
        <w:t>NHS North East London CSU</w:t>
      </w:r>
      <w:r w:rsidRPr="006F1CA4">
        <w:rPr>
          <w:sz w:val="22"/>
          <w:szCs w:val="22"/>
          <w:lang w:eastAsia="en-GB"/>
        </w:rPr>
        <w:tab/>
        <w:t>Barend Henning</w:t>
      </w:r>
      <w:r w:rsidRPr="006F1CA4">
        <w:rPr>
          <w:sz w:val="22"/>
          <w:szCs w:val="22"/>
          <w:lang w:eastAsia="en-GB"/>
        </w:rPr>
        <w:tab/>
      </w:r>
      <w:hyperlink r:id="rId147" w:history="1">
        <w:r w:rsidR="0050277D" w:rsidRPr="006F1CA4">
          <w:rPr>
            <w:rStyle w:val="Hyperlink"/>
            <w:sz w:val="22"/>
            <w:szCs w:val="22"/>
            <w:lang w:eastAsia="en-GB"/>
          </w:rPr>
          <w:t>barend.henning@nhs.net</w:t>
        </w:r>
      </w:hyperlink>
      <w:r w:rsidR="0050277D">
        <w:rPr>
          <w:sz w:val="22"/>
          <w:szCs w:val="22"/>
          <w:lang w:eastAsia="en-GB"/>
        </w:rPr>
        <w:t xml:space="preserve"> </w:t>
      </w:r>
    </w:p>
    <w:p w14:paraId="2EF9AE38" w14:textId="40897DEC" w:rsidR="00BF1D7D" w:rsidRPr="006F1CA4" w:rsidRDefault="00BF1D7D" w:rsidP="00BF1D7D">
      <w:pPr>
        <w:rPr>
          <w:sz w:val="22"/>
          <w:szCs w:val="22"/>
          <w:lang w:eastAsia="en-GB"/>
        </w:rPr>
      </w:pPr>
      <w:r w:rsidRPr="006F1CA4">
        <w:rPr>
          <w:sz w:val="22"/>
          <w:szCs w:val="22"/>
          <w:lang w:eastAsia="en-GB"/>
        </w:rPr>
        <w:t>NHS North of England CSU</w:t>
      </w:r>
      <w:r w:rsidRPr="006F1CA4">
        <w:rPr>
          <w:sz w:val="22"/>
          <w:szCs w:val="22"/>
          <w:lang w:eastAsia="en-GB"/>
        </w:rPr>
        <w:tab/>
      </w:r>
      <w:r w:rsidR="007376E6" w:rsidRPr="006F1CA4">
        <w:rPr>
          <w:sz w:val="22"/>
          <w:szCs w:val="22"/>
          <w:lang w:eastAsia="en-GB"/>
        </w:rPr>
        <w:tab/>
      </w:r>
      <w:r w:rsidRPr="006F1CA4">
        <w:rPr>
          <w:sz w:val="22"/>
          <w:szCs w:val="22"/>
          <w:lang w:eastAsia="en-GB"/>
        </w:rPr>
        <w:t>Julie Parkinson</w:t>
      </w:r>
      <w:r w:rsidRPr="006F1CA4">
        <w:rPr>
          <w:sz w:val="22"/>
          <w:szCs w:val="22"/>
          <w:lang w:eastAsia="en-GB"/>
        </w:rPr>
        <w:tab/>
      </w:r>
      <w:hyperlink r:id="rId148" w:history="1">
        <w:r w:rsidR="0050277D" w:rsidRPr="006F1CA4">
          <w:rPr>
            <w:rStyle w:val="Hyperlink"/>
            <w:sz w:val="22"/>
            <w:szCs w:val="22"/>
            <w:lang w:eastAsia="en-GB"/>
          </w:rPr>
          <w:t>julie.parkinson5@nhs.net</w:t>
        </w:r>
      </w:hyperlink>
      <w:r w:rsidR="0050277D">
        <w:rPr>
          <w:sz w:val="22"/>
          <w:szCs w:val="22"/>
          <w:lang w:eastAsia="en-GB"/>
        </w:rPr>
        <w:t xml:space="preserve"> </w:t>
      </w:r>
    </w:p>
    <w:p w14:paraId="3B9D7814" w14:textId="77777777" w:rsidR="00BF1D7D" w:rsidRDefault="00BF1D7D" w:rsidP="00BF1D7D">
      <w:pPr>
        <w:rPr>
          <w:lang w:eastAsia="en-GB"/>
        </w:rPr>
      </w:pPr>
    </w:p>
    <w:p w14:paraId="23147A06" w14:textId="77777777" w:rsidR="00BF1D7D" w:rsidRDefault="00BF1D7D" w:rsidP="006F1CA4">
      <w:pPr>
        <w:pStyle w:val="Heading3"/>
        <w:rPr>
          <w:lang w:eastAsia="en-GB"/>
        </w:rPr>
      </w:pPr>
      <w:r>
        <w:rPr>
          <w:lang w:eastAsia="en-GB"/>
        </w:rPr>
        <w:t>Further commissioning support services can be provided by CSU’s to support processes. Should you require further information contact your local CSU Procurement lead.</w:t>
      </w:r>
    </w:p>
    <w:p w14:paraId="19D2741E" w14:textId="1A936F58" w:rsidR="00CE351C" w:rsidRDefault="00CE351C" w:rsidP="00472858">
      <w:pPr>
        <w:rPr>
          <w:lang w:eastAsia="en-GB"/>
        </w:rPr>
      </w:pPr>
    </w:p>
    <w:p w14:paraId="25233972" w14:textId="77777777" w:rsidR="0085749A" w:rsidRDefault="0085749A" w:rsidP="00472858">
      <w:pPr>
        <w:rPr>
          <w:lang w:eastAsia="en-GB"/>
        </w:rPr>
      </w:pPr>
    </w:p>
    <w:p w14:paraId="58D11C71" w14:textId="74AB8C1D" w:rsidR="007F12C0" w:rsidRPr="00A90C0B" w:rsidRDefault="0098710F" w:rsidP="007F12C0">
      <w:pPr>
        <w:pStyle w:val="Heading2"/>
        <w:rPr>
          <w:lang w:eastAsia="en-GB"/>
        </w:rPr>
      </w:pPr>
      <w:bookmarkStart w:id="1817" w:name="_Toc95743494"/>
      <w:bookmarkStart w:id="1818" w:name="_Hlk33174349"/>
      <w:r w:rsidRPr="00A90C0B">
        <w:rPr>
          <w:lang w:eastAsia="en-GB"/>
        </w:rPr>
        <w:t>APMS Purchasing System - n</w:t>
      </w:r>
      <w:r w:rsidR="007F12C0" w:rsidRPr="00A90C0B">
        <w:rPr>
          <w:lang w:eastAsia="en-GB"/>
        </w:rPr>
        <w:t xml:space="preserve">ational </w:t>
      </w:r>
      <w:r w:rsidRPr="00A90C0B">
        <w:rPr>
          <w:lang w:eastAsia="en-GB"/>
        </w:rPr>
        <w:t>p</w:t>
      </w:r>
      <w:r w:rsidR="007F12C0" w:rsidRPr="00A90C0B">
        <w:rPr>
          <w:lang w:eastAsia="en-GB"/>
        </w:rPr>
        <w:t xml:space="preserve">rocurement </w:t>
      </w:r>
      <w:r w:rsidRPr="00A90C0B">
        <w:rPr>
          <w:lang w:eastAsia="en-GB"/>
        </w:rPr>
        <w:t>t</w:t>
      </w:r>
      <w:r w:rsidR="007F12C0" w:rsidRPr="00A90C0B">
        <w:rPr>
          <w:lang w:eastAsia="en-GB"/>
        </w:rPr>
        <w:t>ool for APMS and Caretaker GP services</w:t>
      </w:r>
      <w:bookmarkEnd w:id="1817"/>
    </w:p>
    <w:bookmarkEnd w:id="1818"/>
    <w:p w14:paraId="7C5F3804" w14:textId="77777777" w:rsidR="007D2370" w:rsidRPr="00A90C0B" w:rsidRDefault="007D2370" w:rsidP="007D2370">
      <w:pPr>
        <w:rPr>
          <w:lang w:eastAsia="en-GB"/>
        </w:rPr>
      </w:pPr>
    </w:p>
    <w:p w14:paraId="693D0632" w14:textId="742B314A" w:rsidR="007F12C0" w:rsidRPr="00A90C0B" w:rsidRDefault="007F12C0" w:rsidP="00B6353E">
      <w:pPr>
        <w:pStyle w:val="Heading3"/>
        <w:rPr>
          <w:lang w:eastAsia="en-GB"/>
        </w:rPr>
      </w:pPr>
      <w:r w:rsidRPr="00A90C0B">
        <w:rPr>
          <w:lang w:eastAsia="en-GB"/>
        </w:rPr>
        <w:t xml:space="preserve">Building on the primary care procurement services that are available to commissioners from the collaboration of Commissioning Support Units (CSUs), NHS England and Improvement has </w:t>
      </w:r>
      <w:bookmarkStart w:id="1819" w:name="_Hlk30086369"/>
      <w:r w:rsidRPr="00A90C0B">
        <w:rPr>
          <w:lang w:eastAsia="en-GB"/>
        </w:rPr>
        <w:t xml:space="preserve">worked with the CSUs to introduce a new online procurement tool to support more streamlined approach to the procurement of GP services, including caretaker services. </w:t>
      </w:r>
    </w:p>
    <w:bookmarkEnd w:id="1819"/>
    <w:p w14:paraId="6523A2A0" w14:textId="380ECE5B" w:rsidR="007F12C0" w:rsidRPr="00A90C0B" w:rsidRDefault="007F12C0" w:rsidP="00B6353E">
      <w:pPr>
        <w:pStyle w:val="Heading3"/>
        <w:rPr>
          <w:lang w:eastAsia="en-GB"/>
        </w:rPr>
      </w:pPr>
      <w:r w:rsidRPr="00A90C0B">
        <w:rPr>
          <w:lang w:eastAsia="en-GB"/>
        </w:rPr>
        <w:t xml:space="preserve">The </w:t>
      </w:r>
      <w:r w:rsidR="0098710F" w:rsidRPr="00A90C0B">
        <w:rPr>
          <w:lang w:eastAsia="en-GB"/>
        </w:rPr>
        <w:t xml:space="preserve">APMS Purchasing System </w:t>
      </w:r>
      <w:r w:rsidRPr="00A90C0B">
        <w:rPr>
          <w:lang w:eastAsia="en-GB"/>
        </w:rPr>
        <w:t>is mirroring many of the elements of a Dynamic Purchasing System. Key features include:</w:t>
      </w:r>
    </w:p>
    <w:p w14:paraId="2322B4A2" w14:textId="77777777" w:rsidR="007F12C0" w:rsidRPr="00A90C0B" w:rsidRDefault="007F12C0" w:rsidP="006C3DF5">
      <w:pPr>
        <w:pStyle w:val="ListParagraph"/>
        <w:numPr>
          <w:ilvl w:val="0"/>
          <w:numId w:val="219"/>
        </w:numPr>
        <w:spacing w:after="160" w:line="259" w:lineRule="auto"/>
      </w:pPr>
      <w:r w:rsidRPr="00A90C0B">
        <w:t>Building over the next four years an electronically held list of pre-approved providers of GP services</w:t>
      </w:r>
    </w:p>
    <w:p w14:paraId="057882E5" w14:textId="77777777" w:rsidR="007F12C0" w:rsidRPr="00A90C0B" w:rsidRDefault="007F12C0" w:rsidP="006C3DF5">
      <w:pPr>
        <w:pStyle w:val="ListParagraph"/>
        <w:numPr>
          <w:ilvl w:val="0"/>
          <w:numId w:val="219"/>
        </w:numPr>
        <w:spacing w:after="160" w:line="259" w:lineRule="auto"/>
      </w:pPr>
      <w:r w:rsidRPr="00A90C0B">
        <w:t>Providers able to apply join this list almost at any time (unlike a traditional procurement framework)</w:t>
      </w:r>
    </w:p>
    <w:p w14:paraId="7B424F13" w14:textId="77777777" w:rsidR="007F12C0" w:rsidRPr="00A90C0B" w:rsidRDefault="007F12C0" w:rsidP="006C3DF5">
      <w:pPr>
        <w:pStyle w:val="ListParagraph"/>
        <w:numPr>
          <w:ilvl w:val="0"/>
          <w:numId w:val="219"/>
        </w:numPr>
        <w:spacing w:after="160" w:line="259" w:lineRule="auto"/>
      </w:pPr>
      <w:r w:rsidRPr="00A90C0B">
        <w:t xml:space="preserve">Providers able to join for substantive and/or caretaker service, and in the areas they wish to operate in </w:t>
      </w:r>
    </w:p>
    <w:p w14:paraId="39E07B79" w14:textId="77777777" w:rsidR="007F12C0" w:rsidRPr="00A90C0B" w:rsidRDefault="007F12C0" w:rsidP="006C3DF5">
      <w:pPr>
        <w:pStyle w:val="ListParagraph"/>
        <w:numPr>
          <w:ilvl w:val="0"/>
          <w:numId w:val="219"/>
        </w:numPr>
        <w:spacing w:after="160" w:line="259" w:lineRule="auto"/>
      </w:pPr>
      <w:r w:rsidRPr="00A90C0B">
        <w:t>An online “call off” process where listed providers will be invited to bid to deliver commissioners local contracting needs.</w:t>
      </w:r>
    </w:p>
    <w:p w14:paraId="73ED9643" w14:textId="77777777" w:rsidR="007F12C0" w:rsidRPr="00A90C0B" w:rsidRDefault="007F12C0" w:rsidP="00B6353E">
      <w:pPr>
        <w:pStyle w:val="Heading3"/>
        <w:rPr>
          <w:lang w:eastAsia="en-GB"/>
        </w:rPr>
      </w:pPr>
      <w:r w:rsidRPr="00A90C0B">
        <w:rPr>
          <w:lang w:eastAsia="en-GB"/>
        </w:rPr>
        <w:t xml:space="preserve">North and East London (NEL) Commissioning Support Unit (CSU) has established the new system and are running the process including managing application rounds to join the list. </w:t>
      </w:r>
    </w:p>
    <w:p w14:paraId="7E20060F" w14:textId="4B97E2B5" w:rsidR="007D2370" w:rsidRPr="00A90C0B" w:rsidRDefault="007F12C0" w:rsidP="007D2370">
      <w:pPr>
        <w:pStyle w:val="Heading3"/>
        <w:rPr>
          <w:lang w:eastAsia="en-GB"/>
        </w:rPr>
      </w:pPr>
      <w:r w:rsidRPr="00A90C0B">
        <w:rPr>
          <w:lang w:eastAsia="en-GB"/>
        </w:rPr>
        <w:t xml:space="preserve">You can find out more </w:t>
      </w:r>
      <w:r w:rsidR="000464B2" w:rsidRPr="00A10E78">
        <w:rPr>
          <w:highlight w:val="yellow"/>
          <w:lang w:eastAsia="en-GB"/>
        </w:rPr>
        <w:t xml:space="preserve">from </w:t>
      </w:r>
      <w:r w:rsidR="00B15842" w:rsidRPr="00A10E78">
        <w:rPr>
          <w:highlight w:val="yellow"/>
          <w:lang w:eastAsia="en-GB"/>
        </w:rPr>
        <w:t>https://nelcsu.nhs.uk/our-solutions/pdps/</w:t>
      </w:r>
      <w:r w:rsidR="00B15842" w:rsidRPr="00B15842">
        <w:rPr>
          <w:lang w:eastAsia="en-GB"/>
        </w:rPr>
        <w:t xml:space="preserve"> </w:t>
      </w:r>
      <w:bookmarkStart w:id="1820" w:name="_Hlk53396290"/>
    </w:p>
    <w:bookmarkEnd w:id="1820"/>
    <w:p w14:paraId="1E357DA3" w14:textId="6C4C09B8" w:rsidR="00982806" w:rsidRPr="00A90C0B" w:rsidRDefault="00982806" w:rsidP="00982806">
      <w:pPr>
        <w:rPr>
          <w:lang w:eastAsia="en-GB"/>
        </w:rPr>
      </w:pPr>
    </w:p>
    <w:p w14:paraId="147D0ED7" w14:textId="57793FF3" w:rsidR="00982806" w:rsidRPr="00A90C0B" w:rsidRDefault="00982806" w:rsidP="00B6353E">
      <w:pPr>
        <w:pStyle w:val="Heading3"/>
        <w:rPr>
          <w:lang w:eastAsia="en-GB"/>
        </w:rPr>
      </w:pPr>
      <w:r w:rsidRPr="00A90C0B">
        <w:rPr>
          <w:lang w:eastAsia="en-GB"/>
        </w:rPr>
        <w:t xml:space="preserve">Commissioners are free to use the system but application will be dependent on the list of </w:t>
      </w:r>
      <w:r w:rsidR="001442F8">
        <w:rPr>
          <w:lang w:eastAsia="en-GB"/>
        </w:rPr>
        <w:t>accredited</w:t>
      </w:r>
      <w:r w:rsidRPr="00A90C0B">
        <w:rPr>
          <w:lang w:eastAsia="en-GB"/>
        </w:rPr>
        <w:t xml:space="preserve"> GP providers</w:t>
      </w:r>
      <w:r w:rsidR="00273FCD">
        <w:rPr>
          <w:lang w:eastAsia="en-GB"/>
        </w:rPr>
        <w:t xml:space="preserve"> available to them</w:t>
      </w:r>
      <w:r w:rsidR="001442F8">
        <w:rPr>
          <w:lang w:eastAsia="en-GB"/>
        </w:rPr>
        <w:t xml:space="preserve"> details of which are available from the web link above </w:t>
      </w:r>
      <w:r w:rsidRPr="00A90C0B">
        <w:rPr>
          <w:lang w:eastAsia="en-GB"/>
        </w:rPr>
        <w:t>Equally GP providers application to join the system may be dependent on commissioners use of the system. Commissioners can support the system by:</w:t>
      </w:r>
    </w:p>
    <w:p w14:paraId="1CAF1B82" w14:textId="77777777" w:rsidR="00982806" w:rsidRPr="00A90C0B" w:rsidRDefault="00982806" w:rsidP="00982806"/>
    <w:p w14:paraId="04BF160F" w14:textId="77777777" w:rsidR="00982806" w:rsidRPr="00A90C0B" w:rsidRDefault="00982806" w:rsidP="006C3DF5">
      <w:pPr>
        <w:pStyle w:val="ListParagraph"/>
        <w:numPr>
          <w:ilvl w:val="0"/>
          <w:numId w:val="219"/>
        </w:numPr>
        <w:spacing w:after="160" w:line="259" w:lineRule="auto"/>
      </w:pPr>
      <w:r w:rsidRPr="00A90C0B">
        <w:t>Signalling to the GP provider market intentions to use the system – this could include on individual procurement basis as and until there is a developed provider base to adopt it use routinely.</w:t>
      </w:r>
    </w:p>
    <w:p w14:paraId="31BDEA08" w14:textId="77777777" w:rsidR="00982806" w:rsidRPr="00A90C0B" w:rsidRDefault="00982806" w:rsidP="00B6353E">
      <w:pPr>
        <w:pStyle w:val="ListParagraph"/>
        <w:spacing w:after="160" w:line="259" w:lineRule="auto"/>
        <w:ind w:left="1080"/>
      </w:pPr>
    </w:p>
    <w:p w14:paraId="5DC811AA" w14:textId="01A68402" w:rsidR="00982806" w:rsidRDefault="00982806" w:rsidP="006C3DF5">
      <w:pPr>
        <w:pStyle w:val="ListParagraph"/>
        <w:numPr>
          <w:ilvl w:val="0"/>
          <w:numId w:val="219"/>
        </w:numPr>
        <w:spacing w:after="160" w:line="259" w:lineRule="auto"/>
      </w:pPr>
      <w:r w:rsidRPr="00A90C0B">
        <w:t>Sharing details of substantive APMS contracts/procurement pipelines with their CSU so that there is transparency for prospective GP providers on possible future opportunities: this information would be made available to providers through the system.</w:t>
      </w:r>
    </w:p>
    <w:p w14:paraId="08FE83BC" w14:textId="119EDD5D" w:rsidR="00C1140D" w:rsidRDefault="00C1140D">
      <w:pPr>
        <w:rPr>
          <w:lang w:eastAsia="en-GB"/>
        </w:rPr>
      </w:pPr>
      <w:r>
        <w:rPr>
          <w:lang w:eastAsia="en-GB"/>
        </w:rPr>
        <w:br w:type="page"/>
      </w:r>
    </w:p>
    <w:p w14:paraId="526C1B5B" w14:textId="77777777" w:rsidR="00A93485" w:rsidRDefault="00A93485" w:rsidP="006F1CA4">
      <w:pPr>
        <w:pStyle w:val="Heading1"/>
      </w:pPr>
      <w:bookmarkStart w:id="1821" w:name="_Toc95743495"/>
      <w:r>
        <w:t>Premises Running Costs and Service Charges</w:t>
      </w:r>
      <w:bookmarkEnd w:id="1821"/>
    </w:p>
    <w:p w14:paraId="4E844F30" w14:textId="77777777" w:rsidR="00A93485" w:rsidRPr="00B578F2" w:rsidRDefault="00A93485" w:rsidP="006F1CA4"/>
    <w:p w14:paraId="16D03301" w14:textId="152F3155" w:rsidR="00B95520" w:rsidRPr="006F1CA4" w:rsidRDefault="00B95520" w:rsidP="00912FE4">
      <w:pPr>
        <w:spacing w:line="360" w:lineRule="auto"/>
      </w:pPr>
      <w:r w:rsidRPr="006F1CA4">
        <w:t>POLICY FOR CONSIDERATION OF APPLICATIONS FROM GP CONTRACTORS FOR FINANCIAL ASSISTANCE TOWARDS PREMISES RUNNING COSTS &amp; SERVICE CHARGES</w:t>
      </w:r>
    </w:p>
    <w:p w14:paraId="4C417286" w14:textId="77777777" w:rsidR="00B95520" w:rsidRDefault="00B95520" w:rsidP="00912FE4">
      <w:pPr>
        <w:spacing w:after="240" w:line="360" w:lineRule="auto"/>
        <w:ind w:left="2880" w:hanging="2880"/>
        <w:jc w:val="both"/>
        <w:rPr>
          <w:rFonts w:cs="Arial"/>
          <w:b/>
        </w:rPr>
      </w:pPr>
    </w:p>
    <w:p w14:paraId="05D34B43" w14:textId="630523F3" w:rsidR="00B95520" w:rsidRDefault="00B95520" w:rsidP="00912FE4">
      <w:pPr>
        <w:spacing w:after="240" w:line="360" w:lineRule="auto"/>
        <w:ind w:left="3600" w:hanging="3600"/>
        <w:jc w:val="both"/>
        <w:rPr>
          <w:rFonts w:cs="Arial"/>
        </w:rPr>
      </w:pPr>
      <w:r w:rsidRPr="00757B03">
        <w:rPr>
          <w:rFonts w:cs="Arial"/>
          <w:b/>
        </w:rPr>
        <w:t xml:space="preserve">PURPOSE OF </w:t>
      </w:r>
      <w:r>
        <w:rPr>
          <w:rFonts w:cs="Arial"/>
          <w:b/>
        </w:rPr>
        <w:t>THE POLICY</w:t>
      </w:r>
      <w:r w:rsidRPr="00757B03">
        <w:rPr>
          <w:rFonts w:cs="Arial"/>
        </w:rPr>
        <w:t>:</w:t>
      </w:r>
      <w:r>
        <w:rPr>
          <w:rFonts w:cs="Arial"/>
        </w:rPr>
        <w:tab/>
      </w:r>
      <w:r w:rsidRPr="00757B03">
        <w:rPr>
          <w:rFonts w:cs="Arial"/>
        </w:rPr>
        <w:t xml:space="preserve">To </w:t>
      </w:r>
      <w:r>
        <w:rPr>
          <w:rFonts w:cs="Arial"/>
        </w:rPr>
        <w:t>provide a consistent methodology that is fair, transparent and equitable, for primary care commissioners to consider formal applications for financial assistance towards premises running costs and service charges in line with the NHS (GMS – Premises Costs) Directions 2013, Part 5 Directions 46 and 47.</w:t>
      </w:r>
    </w:p>
    <w:p w14:paraId="56D43C58" w14:textId="3B813F63" w:rsidR="00B95520" w:rsidRDefault="00F847DA" w:rsidP="006F1CA4">
      <w:pPr>
        <w:pStyle w:val="Heading2"/>
      </w:pPr>
      <w:bookmarkStart w:id="1822" w:name="_Toc95743496"/>
      <w:r>
        <w:t>Introduction</w:t>
      </w:r>
      <w:bookmarkEnd w:id="1822"/>
    </w:p>
    <w:p w14:paraId="271BDD27" w14:textId="77777777" w:rsidR="00B95520" w:rsidRDefault="00B95520" w:rsidP="00B95520">
      <w:pPr>
        <w:rPr>
          <w:rFonts w:cs="Arial"/>
        </w:rPr>
      </w:pPr>
    </w:p>
    <w:p w14:paraId="72FFEB32" w14:textId="77777777" w:rsidR="00B95520" w:rsidRDefault="00B95520" w:rsidP="006F1CA4">
      <w:pPr>
        <w:pStyle w:val="Heading3"/>
      </w:pPr>
      <w:r>
        <w:t>The NHS (GMS – Premises Costs) Directions 2013, dated 28 March 2013, Part 5 Directions 46 and 47 enable GP contractors to request financial assistance from the Commissioner towards premises running costs and service charges that are not reimbursable elsewhere under the Directions. The Commissioner is required to consider such applications and, subject to budgetary targets, to approve them.</w:t>
      </w:r>
    </w:p>
    <w:p w14:paraId="5EEEC8AF" w14:textId="77777777" w:rsidR="00B95520" w:rsidRDefault="00B95520" w:rsidP="006F1CA4">
      <w:pPr>
        <w:pStyle w:val="Heading3"/>
      </w:pPr>
      <w:r>
        <w:t xml:space="preserve">Applications for financial assistance, under direction 46, in respect of premises running costs, may include costs relating to fuel and electricity charges, building insurance costs, costs of internal or external repairs and/or plant, building and grounds maintenance costs. </w:t>
      </w:r>
    </w:p>
    <w:p w14:paraId="0995D498" w14:textId="77777777" w:rsidR="00B95520" w:rsidRDefault="00B95520" w:rsidP="006F1CA4">
      <w:pPr>
        <w:pStyle w:val="Heading3"/>
      </w:pPr>
      <w:r>
        <w:t>Direction 47 offers two methods for calculating the amount of financial assistance towards service charges that the Commissioner may consider:</w:t>
      </w:r>
    </w:p>
    <w:p w14:paraId="540977BA" w14:textId="77777777" w:rsidR="00B95520" w:rsidRDefault="00B95520" w:rsidP="006F1CA4">
      <w:pPr>
        <w:pStyle w:val="Heading3"/>
      </w:pPr>
      <w:r w:rsidRPr="007D60F9">
        <w:t>GP contractor</w:t>
      </w:r>
      <w:r>
        <w:t xml:space="preserve">s are required </w:t>
      </w:r>
      <w:r w:rsidRPr="007D60F9">
        <w:t xml:space="preserve">to declare their previous year’s average premises running costs (for the same period for which service charge support is applied for), which are then deducted from the financial assistance to be paid by </w:t>
      </w:r>
      <w:r>
        <w:t>the Commissioner</w:t>
      </w:r>
      <w:r w:rsidRPr="007D60F9">
        <w:t xml:space="preserve"> towards service charges. </w:t>
      </w:r>
    </w:p>
    <w:p w14:paraId="0A42F05E" w14:textId="77777777" w:rsidR="00B95520" w:rsidRPr="007D60F9" w:rsidRDefault="00B95520" w:rsidP="006F1CA4">
      <w:pPr>
        <w:pStyle w:val="Heading3"/>
      </w:pPr>
      <w:r w:rsidRPr="007D60F9">
        <w:t>The</w:t>
      </w:r>
      <w:r>
        <w:t xml:space="preserve">re’s </w:t>
      </w:r>
      <w:r w:rsidRPr="007D60F9">
        <w:t xml:space="preserve">a 40% deduction, where information regarding the previous year’s average premises running costs is not given/available, from the service charge costs otherwise payable by </w:t>
      </w:r>
      <w:r>
        <w:t>the Commissioner</w:t>
      </w:r>
      <w:r w:rsidRPr="007D60F9">
        <w:t xml:space="preserve">. </w:t>
      </w:r>
    </w:p>
    <w:p w14:paraId="450BF8CD" w14:textId="77777777" w:rsidR="00B95520" w:rsidRDefault="00B95520" w:rsidP="006F1CA4">
      <w:pPr>
        <w:pStyle w:val="Heading3"/>
      </w:pPr>
      <w:r>
        <w:t xml:space="preserve">Directions 46 and 47 are produced in full at </w:t>
      </w:r>
      <w:r w:rsidRPr="00851F47">
        <w:t>Annex 1.</w:t>
      </w:r>
    </w:p>
    <w:p w14:paraId="7754A237" w14:textId="77777777" w:rsidR="00B95520" w:rsidRDefault="00B95520" w:rsidP="006F1CA4">
      <w:pPr>
        <w:pStyle w:val="Heading3"/>
      </w:pPr>
      <w:r>
        <w:t xml:space="preserve">What the above provisions take no account of is the period in which financial assistance should be provided; what the trigger(s) for a review might be; applications that the Commissioner might prioritise over others in light of other budgetary targets; or whether the financial assistance being requested can be mitigated. </w:t>
      </w:r>
    </w:p>
    <w:p w14:paraId="04E01EB5" w14:textId="3A47C406" w:rsidR="00B95520" w:rsidRDefault="00B95520" w:rsidP="006F1CA4">
      <w:pPr>
        <w:pStyle w:val="Heading3"/>
      </w:pPr>
      <w:r>
        <w:t>This policy seeks to address these issues.</w:t>
      </w:r>
    </w:p>
    <w:p w14:paraId="6E37F2E4" w14:textId="77777777" w:rsidR="00B95520" w:rsidRPr="00B578F2" w:rsidRDefault="00B95520" w:rsidP="006F1CA4"/>
    <w:p w14:paraId="2506A9A6" w14:textId="3309E5AF" w:rsidR="00B95520" w:rsidRDefault="00F847DA" w:rsidP="006F1CA4">
      <w:pPr>
        <w:pStyle w:val="Heading2"/>
      </w:pPr>
      <w:bookmarkStart w:id="1823" w:name="_Toc95743497"/>
      <w:r>
        <w:t>Principles</w:t>
      </w:r>
      <w:bookmarkEnd w:id="1823"/>
    </w:p>
    <w:p w14:paraId="0BA6F902" w14:textId="77777777" w:rsidR="00B95520" w:rsidRDefault="00B95520" w:rsidP="00B95520">
      <w:pPr>
        <w:spacing w:after="240"/>
        <w:contextualSpacing/>
        <w:jc w:val="both"/>
        <w:rPr>
          <w:rFonts w:cs="Arial"/>
        </w:rPr>
      </w:pPr>
    </w:p>
    <w:p w14:paraId="1FAB81F1" w14:textId="77777777" w:rsidR="00B95520" w:rsidRDefault="00B95520" w:rsidP="006F1CA4">
      <w:pPr>
        <w:pStyle w:val="Heading3"/>
      </w:pPr>
      <w:r>
        <w:t>In order for an application for financial assistance to be considered by a primary medical care commissioning organisation, the following principles need to be accepted and adopted by specified stakeholders:</w:t>
      </w:r>
    </w:p>
    <w:p w14:paraId="7989481D" w14:textId="4EAE9997" w:rsidR="00B95520" w:rsidRDefault="00B95520" w:rsidP="006F1CA4">
      <w:pPr>
        <w:pStyle w:val="Heading3"/>
        <w:rPr>
          <w:b/>
        </w:rPr>
      </w:pPr>
      <w:bookmarkStart w:id="1824" w:name="_Toc494715243"/>
      <w:r w:rsidRPr="00A507BE">
        <w:rPr>
          <w:b/>
        </w:rPr>
        <w:t>Commissioners will:</w:t>
      </w:r>
      <w:bookmarkEnd w:id="1824"/>
    </w:p>
    <w:p w14:paraId="4417C75B" w14:textId="77777777" w:rsidR="007128F9" w:rsidRPr="006F1CA4" w:rsidRDefault="007128F9" w:rsidP="007128F9">
      <w:pPr>
        <w:pStyle w:val="Heading4"/>
      </w:pPr>
      <w:r w:rsidRPr="00B578F2">
        <w:t xml:space="preserve">Prioritise formal applications from </w:t>
      </w:r>
      <w:r w:rsidRPr="006F1CA4">
        <w:t>GP contractors that have already been made or those from practices proposing to occupy LIFT, NHS PS (Property Services), or NHS Trust buildings on a head or sub/under lease basis, in recognition of the Commissioner’s budgetary targets. This does not preclude GP contractors in other tenancy arrangements or those considering entering into new tenancy arrangements making an application to primary care commissioners for financial assistance towards their premises running costs or service charges, but recognises that higher service charge costs are more typically evidenced by practices occupying or proposing to occupy NHS owned or head leased premises. This prioritisation is further evidenced within the local estate</w:t>
      </w:r>
      <w:r>
        <w:t>’</w:t>
      </w:r>
      <w:r w:rsidRPr="006F1CA4">
        <w:t xml:space="preserve">s strategies, developed by </w:t>
      </w:r>
      <w:r>
        <w:t xml:space="preserve">CCGs/ICBs </w:t>
      </w:r>
      <w:r w:rsidRPr="006F1CA4">
        <w:t xml:space="preserve">with a wide range of local stakeholders, which seek to </w:t>
      </w:r>
      <w:r>
        <w:t xml:space="preserve">the </w:t>
      </w:r>
      <w:r w:rsidRPr="006F1CA4">
        <w:t xml:space="preserve">maximise use of </w:t>
      </w:r>
      <w:r>
        <w:t xml:space="preserve">the </w:t>
      </w:r>
      <w:r w:rsidRPr="006F1CA4">
        <w:t>existing public estate.</w:t>
      </w:r>
    </w:p>
    <w:p w14:paraId="51BF7720" w14:textId="1004B274" w:rsidR="007128F9" w:rsidRPr="006F1CA4" w:rsidRDefault="007128F9" w:rsidP="007128F9">
      <w:pPr>
        <w:pStyle w:val="Heading4"/>
      </w:pPr>
      <w:r w:rsidRPr="006F1CA4">
        <w:t xml:space="preserve">Only consider applications that pass through the eligibility criteria check gateway (section </w:t>
      </w:r>
      <w:r>
        <w:t>1</w:t>
      </w:r>
      <w:r w:rsidR="005E3342">
        <w:t>3</w:t>
      </w:r>
      <w:r w:rsidRPr="006F1CA4">
        <w:t>.</w:t>
      </w:r>
      <w:r>
        <w:t>3.</w:t>
      </w:r>
      <w:r w:rsidRPr="006F1CA4">
        <w:t>1 refers). This enables primary care commissioners to prioritise applications that demonstrate they have the greatest need, which in turn ensures that a GP contractor does not waste their time on completing and providing information when ultimately, primary care commissioners are unable to support their application.</w:t>
      </w:r>
    </w:p>
    <w:p w14:paraId="2C16B16B" w14:textId="77777777" w:rsidR="007128F9" w:rsidRPr="009C5D6E" w:rsidRDefault="007128F9" w:rsidP="009C5D6E"/>
    <w:p w14:paraId="0A6FD3FC" w14:textId="5741C7B8" w:rsidR="00B95520" w:rsidRPr="006F1CA4" w:rsidRDefault="00B95520" w:rsidP="00EE37F9">
      <w:pPr>
        <w:pStyle w:val="Heading4"/>
      </w:pPr>
      <w:r w:rsidRPr="006F1CA4">
        <w:t xml:space="preserve">Make recommendations on applications that have passed through all gateways (please refer to section </w:t>
      </w:r>
      <w:r w:rsidR="00112134">
        <w:t>1</w:t>
      </w:r>
      <w:r w:rsidR="009C5D6E">
        <w:t>3</w:t>
      </w:r>
      <w:r w:rsidRPr="006F1CA4">
        <w:t>.3</w:t>
      </w:r>
      <w:r w:rsidR="00112134">
        <w:t>.3</w:t>
      </w:r>
      <w:r w:rsidRPr="006F1CA4">
        <w:t xml:space="preserve"> below) to the relevant </w:t>
      </w:r>
      <w:r w:rsidR="007527D4">
        <w:t>commissioner</w:t>
      </w:r>
      <w:r w:rsidRPr="006F1CA4">
        <w:t>. Applications can take a considerable time to process, should they be subsequently approved, back claims will be with effect from the date that the original application was made.</w:t>
      </w:r>
    </w:p>
    <w:p w14:paraId="7F242882" w14:textId="19C56529" w:rsidR="00B95520" w:rsidRPr="006F1CA4" w:rsidRDefault="00B95520" w:rsidP="00EC7864">
      <w:pPr>
        <w:pStyle w:val="Heading4"/>
        <w:spacing w:before="0"/>
      </w:pPr>
      <w:r w:rsidRPr="006F1CA4">
        <w:t xml:space="preserve">Offer short term financial support towards premises running costs and/or service charges to GP contractors where there is evidence that their practice expenses are significantly higher than the latest published averages, as a result of high service charge costs and other practice expenses. In this eventuality, a GP contractor must be prepared to put in place a clear action plan, demonstrating that over the next 12 months, it will optimise its income and reduce its expenditure.  A further assessment as to whether a GP contractor should remain entitled to further financial support will be undertaken one year on by re-running the financial assistance model, subject to a GP contractor’s wish to continue to request such support. </w:t>
      </w:r>
    </w:p>
    <w:p w14:paraId="29330BBF" w14:textId="0720B07E" w:rsidR="00B95520" w:rsidRPr="006F1CA4" w:rsidRDefault="00B95520" w:rsidP="00EC7864">
      <w:pPr>
        <w:pStyle w:val="Heading4"/>
        <w:spacing w:before="0"/>
      </w:pPr>
      <w:r w:rsidRPr="006F1CA4">
        <w:t>Discontinue financial support to GP contractors towards premises running costs and/or service charges after a 12 month period, where the true cost pressure does not relate to service charge expenses. GP Contractors can apply for further support under Section 96 of the National Health Services Act 2006.</w:t>
      </w:r>
      <w:r w:rsidR="00642DFD">
        <w:rPr>
          <w:rStyle w:val="CommentReference"/>
          <w:rFonts w:eastAsia="Times New Roman" w:cs="Times New Roman"/>
          <w:bCs/>
          <w:iCs w:val="0"/>
          <w:color w:val="auto"/>
          <w:lang w:eastAsia="en-US"/>
        </w:rPr>
        <w:t xml:space="preserve"> </w:t>
      </w:r>
    </w:p>
    <w:p w14:paraId="2656766E" w14:textId="49131DC9" w:rsidR="00B95520" w:rsidRPr="006F1CA4" w:rsidRDefault="00B95520" w:rsidP="00EC7864">
      <w:pPr>
        <w:pStyle w:val="Heading4"/>
        <w:spacing w:before="0"/>
      </w:pPr>
      <w:r w:rsidRPr="006F1CA4">
        <w:t>Have no direct involvement in managing service charge costs but will require evidence that GP contractors and landlords/head leaseholders have taken appropriate steps to mitigate costs. Steps taken by the incumbents may include, but are not limited to: a formal meeting or correspondence with the landlord or head leaseholder during which the service charge costs were explained and justified. GP contractors should also seek assurance from the landlord/head leaseholder that the service charge costs demonstrate value for money and deliver soft and hard maintenance, in the interests of good estate management and following the principles within the RICS’ Code of Practice – Service charges in commercial property. The current GP contractor should also show that they have analysed their own service expenditure to identify areas where costs can be reduced.</w:t>
      </w:r>
    </w:p>
    <w:p w14:paraId="5E0A1DD8" w14:textId="77777777" w:rsidR="00B95520" w:rsidRPr="006F1CA4" w:rsidRDefault="00B95520" w:rsidP="00EC7864">
      <w:pPr>
        <w:pStyle w:val="Heading4"/>
        <w:spacing w:before="0"/>
      </w:pPr>
      <w:r w:rsidRPr="00B578F2">
        <w:t>Have interest both in maintaining the viability of its practices and</w:t>
      </w:r>
      <w:r w:rsidRPr="006F1CA4">
        <w:t xml:space="preserve"> safeguarding tax payer’s monies to ensure value for money is delivered.</w:t>
      </w:r>
    </w:p>
    <w:p w14:paraId="4527D709" w14:textId="50A41F77" w:rsidR="00B95520" w:rsidRPr="006F1CA4" w:rsidRDefault="00B95520" w:rsidP="00EC7864">
      <w:pPr>
        <w:pStyle w:val="Heading4"/>
        <w:spacing w:before="0"/>
      </w:pPr>
      <w:r w:rsidRPr="00B578F2">
        <w:t>Use the latest available GP Earnings and Expenses report currently published by NHS Digital</w:t>
      </w:r>
      <w:r w:rsidR="00407DB5">
        <w:rPr>
          <w:rStyle w:val="FootnoteReference"/>
        </w:rPr>
        <w:footnoteReference w:id="19"/>
      </w:r>
      <w:r w:rsidRPr="006F1CA4">
        <w:t xml:space="preserve"> to benchmark average PMS/GMS GP contractor’s earnings to expenses ratios, which are used as a yardstick to ensure fair and reasonable application. </w:t>
      </w:r>
    </w:p>
    <w:p w14:paraId="24715FDE" w14:textId="2E9304C5" w:rsidR="00B95520" w:rsidRPr="00B578F2" w:rsidRDefault="00B95520" w:rsidP="00EC7864">
      <w:pPr>
        <w:pStyle w:val="Heading4"/>
        <w:spacing w:before="0"/>
      </w:pPr>
      <w:r w:rsidRPr="006F1CA4">
        <w:t>Take into account changes in income and expenditure, advising GP contractors about any outlying (based on the above NHS Digita</w:t>
      </w:r>
      <w:r w:rsidR="00642DFD">
        <w:t>l</w:t>
      </w:r>
      <w:r w:rsidRPr="00B578F2">
        <w:t xml:space="preserve"> report) costs in the process.</w:t>
      </w:r>
    </w:p>
    <w:p w14:paraId="2C779B32" w14:textId="7DFCC663" w:rsidR="00B95520" w:rsidRPr="006F1CA4" w:rsidRDefault="00B95520" w:rsidP="00EC7864">
      <w:pPr>
        <w:pStyle w:val="Heading4"/>
        <w:spacing w:before="0"/>
      </w:pPr>
      <w:r w:rsidRPr="006F1CA4">
        <w:t xml:space="preserve">Always use the average previous year’s annual service charge costs (where applicable) as the practice’s starting contribution to new service charge costs, should a case be made for service charge support. Whilst there is a provision to assume 40% of service charge cost is paid by a GP Contractor in the event where no historical information is available, the model </w:t>
      </w:r>
      <w:r w:rsidR="00192970" w:rsidRPr="006F1CA4">
        <w:t>assesses financial</w:t>
      </w:r>
      <w:r w:rsidRPr="006F1CA4">
        <w:t xml:space="preserve"> assistance required by the GP Contractor based on actual cost projections and Expenses and Income ratios.</w:t>
      </w:r>
    </w:p>
    <w:p w14:paraId="038994F3" w14:textId="77777777" w:rsidR="00B95520" w:rsidRPr="006F1CA4" w:rsidRDefault="00B95520" w:rsidP="00EC7864">
      <w:pPr>
        <w:pStyle w:val="Heading4"/>
        <w:spacing w:before="0"/>
      </w:pPr>
      <w:r w:rsidRPr="00B578F2">
        <w:t>Test a range of alternative inputs to its model to establis</w:t>
      </w:r>
      <w:r w:rsidRPr="006F1CA4">
        <w:t>h which variables provide the best match to enable the GP contractor to attain average PMS/GMS contract earnings.</w:t>
      </w:r>
    </w:p>
    <w:p w14:paraId="5023E234" w14:textId="4126A661" w:rsidR="00B95520" w:rsidRDefault="00B95520" w:rsidP="006F1CA4">
      <w:pPr>
        <w:pStyle w:val="Heading3"/>
      </w:pPr>
      <w:r w:rsidRPr="00D6736B">
        <w:t xml:space="preserve">In light of the number of variables that can impact upon a GP contractor’s ongoing need for financial support towards </w:t>
      </w:r>
      <w:r>
        <w:t xml:space="preserve">premises </w:t>
      </w:r>
      <w:r w:rsidRPr="00D6736B">
        <w:t xml:space="preserve">running costs and service charges, these would normally be reviewed on an annual basis, when the relevant information is available, reconciling costs back to the last review period.  </w:t>
      </w:r>
    </w:p>
    <w:p w14:paraId="02C99EB9" w14:textId="77777777" w:rsidR="00AD6E31" w:rsidRPr="00AD6E31" w:rsidRDefault="00AD6E31" w:rsidP="00B6353E"/>
    <w:p w14:paraId="0BA9BA03" w14:textId="77777777" w:rsidR="00B95520" w:rsidRPr="00A507BE" w:rsidRDefault="00B95520" w:rsidP="006F1CA4">
      <w:pPr>
        <w:pStyle w:val="Heading3"/>
        <w:rPr>
          <w:b/>
        </w:rPr>
      </w:pPr>
      <w:bookmarkStart w:id="1825" w:name="_Toc494715244"/>
      <w:r w:rsidRPr="00A507BE">
        <w:rPr>
          <w:b/>
        </w:rPr>
        <w:t>GP Contractors will:</w:t>
      </w:r>
      <w:bookmarkEnd w:id="1825"/>
      <w:r w:rsidRPr="00A507BE">
        <w:rPr>
          <w:b/>
        </w:rPr>
        <w:t xml:space="preserve"> </w:t>
      </w:r>
    </w:p>
    <w:p w14:paraId="0951C5C2" w14:textId="0692CBBB" w:rsidR="00B95520" w:rsidRPr="00610D6E" w:rsidRDefault="00B95520" w:rsidP="00EC7864">
      <w:pPr>
        <w:pStyle w:val="Heading4"/>
        <w:spacing w:before="0"/>
      </w:pPr>
      <w:r w:rsidRPr="00610D6E">
        <w:t xml:space="preserve">Agree to </w:t>
      </w:r>
      <w:r>
        <w:t xml:space="preserve">full disclosure </w:t>
      </w:r>
      <w:r w:rsidRPr="00610D6E">
        <w:t xml:space="preserve">of income and expenditure on an open book and annual basis. Should GP contractors not wish to be </w:t>
      </w:r>
      <w:r w:rsidR="00AD6E31">
        <w:t xml:space="preserve">a </w:t>
      </w:r>
      <w:r w:rsidRPr="00610D6E">
        <w:t>party to an annual review, they will need to propose a one</w:t>
      </w:r>
      <w:r w:rsidR="00AD6E31">
        <w:t>-</w:t>
      </w:r>
      <w:r w:rsidRPr="00610D6E">
        <w:t xml:space="preserve">off fixed </w:t>
      </w:r>
      <w:r>
        <w:t xml:space="preserve">term </w:t>
      </w:r>
      <w:r w:rsidRPr="00610D6E">
        <w:t xml:space="preserve">support package, which demonstrates a phasing out of financial assistance, taking into account the known variables. </w:t>
      </w:r>
    </w:p>
    <w:p w14:paraId="211C4D97" w14:textId="77777777" w:rsidR="00B95520" w:rsidRPr="00610D6E" w:rsidRDefault="00B95520" w:rsidP="00EC7864">
      <w:pPr>
        <w:pStyle w:val="Heading4"/>
        <w:spacing w:before="0"/>
      </w:pPr>
      <w:r w:rsidRPr="00610D6E">
        <w:t xml:space="preserve">Not seek to occupy an unreasonable amount of space, taking into account their potential list size; and undertake to share space to mitigate costs, wherever this is practicable.  </w:t>
      </w:r>
    </w:p>
    <w:p w14:paraId="55D9507A" w14:textId="523BB1EA" w:rsidR="00B95520" w:rsidRPr="00610D6E" w:rsidRDefault="00B95520" w:rsidP="00EC7864">
      <w:pPr>
        <w:pStyle w:val="Heading4"/>
        <w:spacing w:before="0"/>
      </w:pPr>
      <w:r w:rsidRPr="00610D6E">
        <w:t xml:space="preserve">Take responsibility for assessing the potential for growing their practice list and develop the associated trajectory over the relevant time period. </w:t>
      </w:r>
    </w:p>
    <w:p w14:paraId="0CF1421F" w14:textId="46668C8C" w:rsidR="00B95520" w:rsidRPr="00BE3AA8" w:rsidRDefault="00B95520" w:rsidP="00EC7864">
      <w:pPr>
        <w:pStyle w:val="Heading4"/>
        <w:spacing w:before="0"/>
      </w:pPr>
      <w:r w:rsidRPr="00BE3AA8">
        <w:t>Agree to negotiate and sign a lease at the earliest opportunity, whilst seeking assurance from the landlord/head leaseholder that the service charge costs being levied are fair and reasonable, in compliance with section 1</w:t>
      </w:r>
      <w:r w:rsidR="009C5D6E">
        <w:t>3</w:t>
      </w:r>
      <w:r w:rsidR="00112134">
        <w:t>.2.2.6.</w:t>
      </w:r>
    </w:p>
    <w:p w14:paraId="1E826506" w14:textId="77777777" w:rsidR="00B95520" w:rsidRPr="00610D6E" w:rsidRDefault="00B95520" w:rsidP="00EC7864">
      <w:pPr>
        <w:pStyle w:val="Heading4"/>
        <w:spacing w:before="0"/>
      </w:pPr>
      <w:r w:rsidRPr="00610D6E">
        <w:t xml:space="preserve">Take responsibility for maximising their NHS income by providing GP services commissioned by local and national </w:t>
      </w:r>
      <w:r>
        <w:t xml:space="preserve">NHS and Local authority </w:t>
      </w:r>
      <w:r w:rsidRPr="00610D6E">
        <w:t>commissioners within their sphere of competence</w:t>
      </w:r>
      <w:r>
        <w:t xml:space="preserve">, </w:t>
      </w:r>
      <w:r w:rsidRPr="00866E42">
        <w:t>resources and affordability, so that</w:t>
      </w:r>
      <w:r w:rsidRPr="00610D6E">
        <w:t xml:space="preserve"> the burden of use of public monies for service charge assistance is reduced.</w:t>
      </w:r>
    </w:p>
    <w:p w14:paraId="0B6A4EC8" w14:textId="77777777" w:rsidR="00B95520" w:rsidRDefault="00B95520" w:rsidP="00EC7864">
      <w:pPr>
        <w:pStyle w:val="Heading4"/>
        <w:spacing w:before="0"/>
      </w:pPr>
      <w:r w:rsidRPr="00610D6E">
        <w:t>Take responsibility for minimising their practice expenditure by ensuring cost effectiveness and value for money spend.</w:t>
      </w:r>
    </w:p>
    <w:p w14:paraId="085CF998" w14:textId="373C9437" w:rsidR="00B95520" w:rsidRDefault="00B95520" w:rsidP="00EC7864">
      <w:pPr>
        <w:pStyle w:val="Heading4"/>
        <w:spacing w:before="0"/>
      </w:pPr>
      <w:r>
        <w:t>D</w:t>
      </w:r>
      <w:r w:rsidRPr="004C6EB7">
        <w:t xml:space="preserve">emonstrate through a clear action plan </w:t>
      </w:r>
      <w:r>
        <w:t xml:space="preserve">agreed with support from the LMC (as necessary), </w:t>
      </w:r>
      <w:r w:rsidRPr="004C6EB7">
        <w:t xml:space="preserve">how </w:t>
      </w:r>
      <w:r>
        <w:t>they</w:t>
      </w:r>
      <w:r w:rsidRPr="004C6EB7">
        <w:t xml:space="preserve"> intend, over a reasonable period of time</w:t>
      </w:r>
      <w:r>
        <w:t xml:space="preserve"> (deemed to be 12 months)</w:t>
      </w:r>
      <w:r w:rsidRPr="004C6EB7">
        <w:t xml:space="preserve">, to optimise </w:t>
      </w:r>
      <w:r>
        <w:t>their</w:t>
      </w:r>
      <w:r w:rsidRPr="004C6EB7">
        <w:t xml:space="preserve"> income and reduce expenditure, where </w:t>
      </w:r>
      <w:r w:rsidRPr="00BD56F5">
        <w:t xml:space="preserve">there </w:t>
      </w:r>
      <w:r>
        <w:t>is</w:t>
      </w:r>
      <w:r w:rsidRPr="00BD56F5">
        <w:t xml:space="preserve"> evidence that their practice expenses </w:t>
      </w:r>
      <w:r>
        <w:t>are</w:t>
      </w:r>
      <w:r w:rsidRPr="00BD56F5">
        <w:t xml:space="preserve"> significantly higher than the </w:t>
      </w:r>
      <w:r>
        <w:t>latest published averages.</w:t>
      </w:r>
    </w:p>
    <w:p w14:paraId="2A0EC08C" w14:textId="12FD880A" w:rsidR="007E152B" w:rsidRDefault="007E152B" w:rsidP="007E152B">
      <w:pPr>
        <w:rPr>
          <w:lang w:eastAsia="en-GB"/>
        </w:rPr>
      </w:pPr>
    </w:p>
    <w:p w14:paraId="6479E787" w14:textId="09F2A8B1" w:rsidR="007E152B" w:rsidRDefault="007E152B" w:rsidP="00B6353E"/>
    <w:p w14:paraId="3D3E34BD" w14:textId="167A1778" w:rsidR="00F0595C" w:rsidRDefault="00F0595C" w:rsidP="00B6353E"/>
    <w:p w14:paraId="64E32425" w14:textId="4107F8F7" w:rsidR="00F0595C" w:rsidRDefault="00F0595C" w:rsidP="00B6353E"/>
    <w:p w14:paraId="6B23A313" w14:textId="5133F7E7" w:rsidR="00F026CC" w:rsidRDefault="00F026CC" w:rsidP="00B6353E"/>
    <w:p w14:paraId="51BA3740" w14:textId="6FE68663" w:rsidR="00F026CC" w:rsidRDefault="00F026CC" w:rsidP="00B6353E"/>
    <w:p w14:paraId="79BE72A1" w14:textId="1A4095A2" w:rsidR="00F026CC" w:rsidRDefault="00F026CC" w:rsidP="00B6353E"/>
    <w:p w14:paraId="3AB9272B" w14:textId="6C2062C0" w:rsidR="00F026CC" w:rsidRDefault="00F026CC" w:rsidP="00B6353E"/>
    <w:p w14:paraId="3179608E" w14:textId="77777777" w:rsidR="00F026CC" w:rsidRDefault="00F026CC" w:rsidP="00B6353E"/>
    <w:p w14:paraId="5FF679BC" w14:textId="77777777" w:rsidR="009C5D6E" w:rsidRDefault="009C5D6E" w:rsidP="00B6353E"/>
    <w:p w14:paraId="54A469C0" w14:textId="444A437F" w:rsidR="00F0595C" w:rsidRDefault="00F0595C" w:rsidP="00B6353E"/>
    <w:p w14:paraId="700C341A" w14:textId="660EC73E" w:rsidR="00F026CC" w:rsidRDefault="00F026CC" w:rsidP="00B6353E"/>
    <w:p w14:paraId="5FFE7428" w14:textId="77777777" w:rsidR="00734192" w:rsidRDefault="00734192" w:rsidP="00B6353E"/>
    <w:p w14:paraId="3A22F858" w14:textId="67C59FBB" w:rsidR="00F026CC" w:rsidRDefault="00F026CC" w:rsidP="00B6353E"/>
    <w:p w14:paraId="238DC5FE" w14:textId="2E6958C5" w:rsidR="00F026CC" w:rsidRDefault="00F026CC" w:rsidP="00B6353E"/>
    <w:p w14:paraId="1A7F43C7" w14:textId="77777777" w:rsidR="00F026CC" w:rsidRPr="00392313" w:rsidRDefault="00F026CC" w:rsidP="00B6353E"/>
    <w:p w14:paraId="71DFF2C4" w14:textId="70E3F96C" w:rsidR="00B95520" w:rsidRPr="00A507BE" w:rsidRDefault="00B95520" w:rsidP="00921A1A">
      <w:pPr>
        <w:pStyle w:val="Heading3"/>
        <w:rPr>
          <w:b/>
        </w:rPr>
      </w:pPr>
      <w:bookmarkStart w:id="1826" w:name="_Toc494715245"/>
      <w:r w:rsidRPr="00A507BE">
        <w:rPr>
          <w:b/>
        </w:rPr>
        <w:t>Landlords/Head Leaseholders will be expected to:</w:t>
      </w:r>
      <w:bookmarkEnd w:id="1826"/>
    </w:p>
    <w:p w14:paraId="37712C09" w14:textId="77777777" w:rsidR="00B95520" w:rsidRPr="00610D6E" w:rsidRDefault="00B95520" w:rsidP="006F1CA4">
      <w:pPr>
        <w:pStyle w:val="Heading4"/>
      </w:pPr>
      <w:r w:rsidRPr="00610D6E">
        <w:t>Ensure the proposed service charge costs being levied are fair and reasonable, and they have a clear strategy to drive down service costs; and provide associated evidence to their prospective tenant/occupier</w:t>
      </w:r>
      <w:r>
        <w:t xml:space="preserve"> in accordance with the RICS’ Code of Practice – Service charges in commercial property.</w:t>
      </w:r>
    </w:p>
    <w:p w14:paraId="0BB31F3A" w14:textId="77777777" w:rsidR="00B95520" w:rsidRPr="00610D6E" w:rsidRDefault="00B95520" w:rsidP="006F1CA4">
      <w:pPr>
        <w:pStyle w:val="Heading4"/>
      </w:pPr>
      <w:r w:rsidRPr="00610D6E">
        <w:t>Enable space to be used flexibly to enable GP contractors to mitigate costs, where possible.</w:t>
      </w:r>
    </w:p>
    <w:p w14:paraId="71C1B242" w14:textId="77777777" w:rsidR="00B95520" w:rsidRDefault="00B95520" w:rsidP="006F1CA4">
      <w:pPr>
        <w:pStyle w:val="Heading4"/>
      </w:pPr>
      <w:r w:rsidRPr="00610D6E">
        <w:t xml:space="preserve">Allow GP contractors to procure their own services (such as cleaning) where it is practicable to do so, subject to the former providing assurance that their specification will comply with life cycle requirements.  </w:t>
      </w:r>
    </w:p>
    <w:p w14:paraId="2EE0850A" w14:textId="4178A7FA" w:rsidR="00B95520" w:rsidRPr="00A507BE" w:rsidRDefault="00B95520" w:rsidP="006F1CA4">
      <w:pPr>
        <w:pStyle w:val="Heading3"/>
        <w:rPr>
          <w:b/>
        </w:rPr>
      </w:pPr>
      <w:bookmarkStart w:id="1827" w:name="_Toc494715246"/>
      <w:r w:rsidRPr="00A507BE">
        <w:rPr>
          <w:b/>
        </w:rPr>
        <w:t>Expectation management:</w:t>
      </w:r>
      <w:bookmarkEnd w:id="1827"/>
    </w:p>
    <w:p w14:paraId="765C9C3C" w14:textId="486C9990" w:rsidR="00B95520" w:rsidRPr="00BE3AA8" w:rsidRDefault="00B95520" w:rsidP="006F1CA4">
      <w:pPr>
        <w:pStyle w:val="Heading4"/>
      </w:pPr>
      <w:r w:rsidRPr="00BE3AA8">
        <w:t xml:space="preserve">Should there be evidence that a landlord is not prepared to fulfil the expectations detailed in </w:t>
      </w:r>
      <w:r w:rsidR="00671775">
        <w:t>1</w:t>
      </w:r>
      <w:r w:rsidR="009C5D6E">
        <w:t>3</w:t>
      </w:r>
      <w:r w:rsidR="00671775">
        <w:t>.2.5.1</w:t>
      </w:r>
      <w:r w:rsidRPr="00BE3AA8">
        <w:t xml:space="preserve"> to </w:t>
      </w:r>
      <w:r w:rsidR="00671775">
        <w:t>1</w:t>
      </w:r>
      <w:r w:rsidR="009C5D6E">
        <w:t>3</w:t>
      </w:r>
      <w:r w:rsidR="00671775">
        <w:t>.2.5.3</w:t>
      </w:r>
      <w:r w:rsidRPr="00BE3AA8">
        <w:t>, this will not – in principle - prejudice a GP contractor’s application for financial support towards premises running costs and service charges. However, it is likely to delay the processing of an application until the information required to complete it is available.</w:t>
      </w:r>
    </w:p>
    <w:p w14:paraId="59E28E33" w14:textId="31CE2C78" w:rsidR="00B95520" w:rsidRPr="00A507BE" w:rsidRDefault="00B95520" w:rsidP="006F1CA4">
      <w:pPr>
        <w:pStyle w:val="Heading3"/>
        <w:rPr>
          <w:b/>
        </w:rPr>
      </w:pPr>
      <w:bookmarkStart w:id="1828" w:name="_Toc494715247"/>
      <w:r w:rsidRPr="00A507BE">
        <w:rPr>
          <w:b/>
        </w:rPr>
        <w:t>Evidence required to demonstrate application of Principles:</w:t>
      </w:r>
      <w:bookmarkEnd w:id="1828"/>
    </w:p>
    <w:p w14:paraId="637623A6" w14:textId="6B179502" w:rsidR="00B95520" w:rsidRPr="00B578F2" w:rsidRDefault="00B95520" w:rsidP="006F1CA4">
      <w:pPr>
        <w:pStyle w:val="Heading4"/>
      </w:pPr>
      <w:r w:rsidRPr="00B578F2">
        <w:t xml:space="preserve">An expression of interest or application shall normally be considered when the steps identified in </w:t>
      </w:r>
      <w:r w:rsidR="00671775">
        <w:t>1</w:t>
      </w:r>
      <w:r w:rsidR="009C5D6E">
        <w:t>3</w:t>
      </w:r>
      <w:r w:rsidR="00671775">
        <w:t>.2.7.1.1</w:t>
      </w:r>
      <w:r w:rsidRPr="00B578F2">
        <w:t xml:space="preserve"> to </w:t>
      </w:r>
      <w:r w:rsidR="00671775">
        <w:t>1</w:t>
      </w:r>
      <w:r w:rsidR="009C5D6E">
        <w:t>3</w:t>
      </w:r>
      <w:r w:rsidR="00671775">
        <w:t>.2.7.1.4</w:t>
      </w:r>
      <w:r w:rsidR="00671775" w:rsidRPr="00B578F2">
        <w:t xml:space="preserve"> </w:t>
      </w:r>
      <w:r w:rsidRPr="00B578F2">
        <w:t>have been evidenced:</w:t>
      </w:r>
    </w:p>
    <w:p w14:paraId="46429170" w14:textId="77777777" w:rsidR="00B95520" w:rsidRPr="006F1CA4" w:rsidRDefault="00B95520" w:rsidP="00A507BE">
      <w:pPr>
        <w:pStyle w:val="Heading5"/>
      </w:pPr>
      <w:r w:rsidRPr="006F1CA4">
        <w:t xml:space="preserve">Meetings and/or correspondence between the landlord/head leaseholder and the GP contractor which include full disclosure of soft FM costs backed up with supporting evidence </w:t>
      </w:r>
    </w:p>
    <w:p w14:paraId="02D25261" w14:textId="77777777" w:rsidR="00B95520" w:rsidRPr="006F1CA4" w:rsidRDefault="00B95520" w:rsidP="00A507BE">
      <w:pPr>
        <w:pStyle w:val="Heading5"/>
      </w:pPr>
      <w:r w:rsidRPr="006F1CA4">
        <w:t>Agreement that the footprint that the GP contractor occupies or wishes to occupy is sufficient to meet their current service provision and future potential provision</w:t>
      </w:r>
    </w:p>
    <w:p w14:paraId="59AEFACD" w14:textId="77777777" w:rsidR="00B95520" w:rsidRPr="006F1CA4" w:rsidRDefault="00B95520" w:rsidP="00A507BE">
      <w:pPr>
        <w:pStyle w:val="Heading5"/>
      </w:pPr>
      <w:r w:rsidRPr="006F1CA4">
        <w:t xml:space="preserve">Confirmation that key support service related matters such as cleaning services have been discussed and agreed </w:t>
      </w:r>
    </w:p>
    <w:p w14:paraId="3ED7A3DD" w14:textId="6A780E7F" w:rsidR="00B95520" w:rsidRDefault="00B95520" w:rsidP="00070A05">
      <w:pPr>
        <w:pStyle w:val="Heading5"/>
      </w:pPr>
      <w:r w:rsidRPr="006F1CA4">
        <w:t>Evidence that the impact of procured soft FM services has been discussed in the context of value for money</w:t>
      </w:r>
    </w:p>
    <w:p w14:paraId="1AD0FDBF" w14:textId="5EA35988" w:rsidR="00070A05" w:rsidRDefault="00070A05">
      <w:pPr>
        <w:rPr>
          <w:lang w:eastAsia="en-GB"/>
        </w:rPr>
      </w:pPr>
      <w:r>
        <w:rPr>
          <w:lang w:eastAsia="en-GB"/>
        </w:rPr>
        <w:br w:type="page"/>
      </w:r>
    </w:p>
    <w:p w14:paraId="71B6308C" w14:textId="736E4E41" w:rsidR="00B95520" w:rsidRPr="00BE073F" w:rsidRDefault="00B95520" w:rsidP="006F1CA4">
      <w:pPr>
        <w:pStyle w:val="Heading2"/>
      </w:pPr>
      <w:bookmarkStart w:id="1829" w:name="_Toc494715248"/>
      <w:bookmarkStart w:id="1830" w:name="_Toc95743498"/>
      <w:r w:rsidRPr="00BE073F">
        <w:t>T</w:t>
      </w:r>
      <w:bookmarkEnd w:id="1829"/>
      <w:r w:rsidR="00F847DA" w:rsidRPr="00BE073F">
        <w:t>he Model</w:t>
      </w:r>
      <w:bookmarkEnd w:id="1830"/>
    </w:p>
    <w:p w14:paraId="75714DD6" w14:textId="77777777" w:rsidR="00B95520" w:rsidRPr="00BE073F" w:rsidRDefault="00B95520" w:rsidP="00EC7864">
      <w:pPr>
        <w:contextualSpacing/>
        <w:jc w:val="both"/>
        <w:rPr>
          <w:rFonts w:cs="Arial"/>
          <w:b/>
        </w:rPr>
      </w:pPr>
    </w:p>
    <w:p w14:paraId="60CEFC7F" w14:textId="2DC01614" w:rsidR="00EE37F9" w:rsidRDefault="00B95520" w:rsidP="00EC7864">
      <w:pPr>
        <w:pStyle w:val="Heading3"/>
        <w:rPr>
          <w:b/>
        </w:rPr>
      </w:pPr>
      <w:r w:rsidRPr="00BE073F">
        <w:rPr>
          <w:b/>
        </w:rPr>
        <w:t>Eligibility criteria:</w:t>
      </w:r>
    </w:p>
    <w:p w14:paraId="52CFE685" w14:textId="77777777" w:rsidR="007128F9" w:rsidRPr="00BE073F" w:rsidRDefault="007128F9" w:rsidP="007128F9">
      <w:pPr>
        <w:pStyle w:val="Heading4"/>
      </w:pPr>
      <w:r w:rsidRPr="00BE073F">
        <w:t>Questions to help establish eligibility should be answered on Tab 2 in Annex 2 of the FMT (Financial Model Template).</w:t>
      </w:r>
    </w:p>
    <w:p w14:paraId="0CCB6B97" w14:textId="77777777" w:rsidR="007128F9" w:rsidRPr="00BE073F" w:rsidRDefault="007128F9" w:rsidP="007128F9">
      <w:pPr>
        <w:pStyle w:val="Heading4"/>
        <w:spacing w:before="0"/>
      </w:pPr>
      <w:r w:rsidRPr="00BE073F">
        <w:t>Total practice expenses to total practice income (expressed as a percentage) for the most recent financial year must be greater than the published average 2017/18 Expenses to Earnings ratios for GP Contractors in the UK for a similar contract type (see FMT, Annex 2, Tab 5). It is reasonable to recognise that the average Expenses to Earnings ratios for GP Contractors in London are higher than those for the UK. “The expenses to earnings ratio is a measure of the proportion of an individual’s gross earnings that is consumed by business expenses. For ease of understanding it is expressed as a percentage throughout this report.”  Note: “Full time and part time GPs are included. Figures are irrespective of working hours except in Chapter 3 - Earnings and Expenses Estimates by Weekly Working Hours and Gender for GPs in England’.”  “Earnings and expenses results relate to both NHS and private work. It is not possible to provide an NHS/private split using HMRC as a data source as most GPs submit a Self-Assessment tax return which contains information on all of their self-employment earnings while practising as a GP, but which cannot differentiate between NHS and private earnings. GPs can perform both NHS and private work both inside and outside of practice, including the NHS Out of Hours service.”  Private income is identified as a very small percentage of average GP income – based on the England data collection “As a guide to NHS/private earning proportions, the average NHS superannuable income for GPMS contractor GPs was 94 per cent of income before tax in 2014/15 which is the latest year for which pensions data are available.”  If the value of work being undertaken by a GP partner outside of their contractual commitment affects the total practice expenses to total practice income ratio, such that it is significantly greater than the relevant GMS, PMS or APMS benchmark ratio (as appropriate), The Commissioner reserves the right to exclude additional practice expenses relating to this (e.g. locum costs to cover GP partner’s practice sessions). The value of outside clinical work/advice should be included in the expenditure incurred by the practice. Primary Care commissioners recognise that there may be circumstances that impact on the expenses/income ratio that could exclude a practice’s application for consideration for financial assistance towards service charges; these issues will always be evaluated on a case for case basis.</w:t>
      </w:r>
    </w:p>
    <w:p w14:paraId="3D1BD3E2" w14:textId="77777777" w:rsidR="007128F9" w:rsidRPr="007128F9" w:rsidRDefault="007128F9" w:rsidP="009C5D6E"/>
    <w:p w14:paraId="4AE6EB0B" w14:textId="77777777" w:rsidR="00EE37F9" w:rsidRPr="00BE073F" w:rsidRDefault="00B95520" w:rsidP="00EC7864">
      <w:pPr>
        <w:pStyle w:val="Heading4"/>
        <w:spacing w:before="0"/>
      </w:pPr>
      <w:r w:rsidRPr="00BE073F">
        <w:t>The practice should have had no serious contract breaches for any reason since 1 April 2013. The practice can make a statement for mitigation if they have had any serious contract breaches since 1 April 2013.</w:t>
      </w:r>
    </w:p>
    <w:p w14:paraId="74FF0CE0" w14:textId="2D98DAF2" w:rsidR="00B95520" w:rsidRPr="00BE073F" w:rsidRDefault="00B95520" w:rsidP="00EC7864">
      <w:pPr>
        <w:pStyle w:val="Heading4"/>
        <w:spacing w:before="0"/>
      </w:pPr>
      <w:r w:rsidRPr="00BE073F">
        <w:t>Should the above criteria not be met, or the practice has not yet provided acceptable explanations for mitigation, an application will not be considered any further.</w:t>
      </w:r>
    </w:p>
    <w:p w14:paraId="5C1449FB" w14:textId="77777777" w:rsidR="00434CAE" w:rsidRPr="00BE073F" w:rsidRDefault="00434CAE" w:rsidP="00434CAE">
      <w:pPr>
        <w:rPr>
          <w:lang w:eastAsia="en-GB"/>
        </w:rPr>
      </w:pPr>
    </w:p>
    <w:p w14:paraId="779DDAD8" w14:textId="11671ABF" w:rsidR="00B95520" w:rsidRPr="00BE073F" w:rsidRDefault="00B95520" w:rsidP="006F1CA4">
      <w:pPr>
        <w:pStyle w:val="Heading3"/>
        <w:rPr>
          <w:b/>
        </w:rPr>
      </w:pPr>
      <w:bookmarkStart w:id="1831" w:name="_Toc494715250"/>
      <w:r w:rsidRPr="00BE073F">
        <w:rPr>
          <w:b/>
        </w:rPr>
        <w:t>Financial Model template:</w:t>
      </w:r>
      <w:bookmarkEnd w:id="1831"/>
      <w:r w:rsidRPr="00BE073F">
        <w:rPr>
          <w:b/>
        </w:rPr>
        <w:t xml:space="preserve"> </w:t>
      </w:r>
    </w:p>
    <w:p w14:paraId="3B79CED4" w14:textId="77777777" w:rsidR="00434CAE" w:rsidRPr="00BE073F" w:rsidRDefault="00434CAE" w:rsidP="00434CAE"/>
    <w:p w14:paraId="48846606" w14:textId="7733CA0F" w:rsidR="0000295E" w:rsidRPr="00BE073F" w:rsidRDefault="0000295E" w:rsidP="0000295E">
      <w:pPr>
        <w:pStyle w:val="Heading3"/>
        <w:rPr>
          <w:rFonts w:eastAsiaTheme="majorEastAsia" w:cstheme="majorBidi"/>
          <w:bCs w:val="0"/>
          <w:iCs/>
          <w:color w:val="000000" w:themeColor="text1"/>
          <w:lang w:eastAsia="en-GB"/>
        </w:rPr>
      </w:pPr>
      <w:r w:rsidRPr="00BE073F">
        <w:rPr>
          <w:rFonts w:eastAsiaTheme="majorEastAsia" w:cstheme="majorBidi"/>
          <w:bCs w:val="0"/>
          <w:iCs/>
          <w:color w:val="000000" w:themeColor="text1"/>
          <w:lang w:eastAsia="en-GB"/>
        </w:rPr>
        <w:t>Notes for completion of the template file can be found in Tab 1 in the Financial Model Template (FMT, Annex 2).</w:t>
      </w:r>
    </w:p>
    <w:p w14:paraId="1A4ADEA8" w14:textId="25475D81" w:rsidR="0000295E" w:rsidRPr="00BE073F" w:rsidRDefault="0000295E" w:rsidP="0000295E">
      <w:pPr>
        <w:pStyle w:val="Heading3"/>
        <w:rPr>
          <w:rFonts w:eastAsiaTheme="majorEastAsia" w:cstheme="majorBidi"/>
          <w:bCs w:val="0"/>
          <w:iCs/>
          <w:color w:val="000000" w:themeColor="text1"/>
          <w:lang w:eastAsia="en-GB"/>
        </w:rPr>
      </w:pPr>
      <w:r w:rsidRPr="00BE073F">
        <w:rPr>
          <w:rFonts w:eastAsiaTheme="majorEastAsia" w:cstheme="majorBidi"/>
          <w:bCs w:val="0"/>
          <w:iCs/>
          <w:color w:val="000000" w:themeColor="text1"/>
          <w:lang w:eastAsia="en-GB"/>
        </w:rPr>
        <w:t>For the purpose of this exercise, a contract is considered as a whole. In other words, where a practice operates from more than one site, the combined income and expenses should be entered on the template. Similarly, where two or more practices are merging, the estimated combined income and expenses of the new practice should be entered on the template.</w:t>
      </w:r>
    </w:p>
    <w:p w14:paraId="454C8AC7" w14:textId="625F1207" w:rsidR="0000295E" w:rsidRPr="00BE073F" w:rsidRDefault="0000295E" w:rsidP="0000295E">
      <w:pPr>
        <w:pStyle w:val="Heading3"/>
        <w:rPr>
          <w:rFonts w:eastAsiaTheme="majorEastAsia" w:cstheme="majorBidi"/>
          <w:bCs w:val="0"/>
          <w:iCs/>
          <w:color w:val="000000" w:themeColor="text1"/>
          <w:lang w:eastAsia="en-GB"/>
        </w:rPr>
      </w:pPr>
      <w:r w:rsidRPr="00BE073F">
        <w:rPr>
          <w:rFonts w:eastAsiaTheme="majorEastAsia" w:cstheme="majorBidi"/>
          <w:bCs w:val="0"/>
          <w:iCs/>
          <w:color w:val="000000" w:themeColor="text1"/>
          <w:lang w:eastAsia="en-GB"/>
        </w:rPr>
        <w:t>The practice is required to populate the attached “I&amp;E” template (Tab 3 in the FMT) declaring their income and expenditure for the most recent financial year, including full disclosure of service charge cost paid during the most recent financial year. Evidence of payment of service charges must be provided. If no service charges were paid, a statement is required stating the reasons why no service charge costs were paid during the most recent financial year. Applications where this applies will be evaluated on a case by case basis.</w:t>
      </w:r>
    </w:p>
    <w:p w14:paraId="2474D387" w14:textId="2369E7EC" w:rsidR="0000295E" w:rsidRPr="00BE073F" w:rsidRDefault="0000295E" w:rsidP="0000295E">
      <w:pPr>
        <w:pStyle w:val="Heading3"/>
        <w:rPr>
          <w:rFonts w:eastAsiaTheme="majorEastAsia" w:cstheme="majorBidi"/>
          <w:bCs w:val="0"/>
          <w:iCs/>
          <w:color w:val="000000" w:themeColor="text1"/>
          <w:lang w:eastAsia="en-GB"/>
        </w:rPr>
      </w:pPr>
      <w:r w:rsidRPr="00BE073F">
        <w:rPr>
          <w:rFonts w:eastAsiaTheme="majorEastAsia" w:cstheme="majorBidi"/>
          <w:bCs w:val="0"/>
          <w:iCs/>
          <w:color w:val="000000" w:themeColor="text1"/>
          <w:lang w:eastAsia="en-GB"/>
        </w:rPr>
        <w:t>The practice must show baseline income separate from other income such as income received from QOF, Enhanced Services, non-NHS organisations, reimbursements, etc.</w:t>
      </w:r>
    </w:p>
    <w:p w14:paraId="30E3B6B7" w14:textId="3BBC5365" w:rsidR="0000295E" w:rsidRPr="00BE073F" w:rsidRDefault="0000295E" w:rsidP="0000295E">
      <w:pPr>
        <w:pStyle w:val="Heading3"/>
        <w:rPr>
          <w:rFonts w:eastAsiaTheme="majorEastAsia" w:cstheme="majorBidi"/>
          <w:bCs w:val="0"/>
          <w:iCs/>
          <w:color w:val="000000" w:themeColor="text1"/>
          <w:lang w:eastAsia="en-GB"/>
        </w:rPr>
      </w:pPr>
      <w:r w:rsidRPr="00BE073F">
        <w:rPr>
          <w:rFonts w:eastAsiaTheme="majorEastAsia" w:cstheme="majorBidi"/>
          <w:bCs w:val="0"/>
          <w:iCs/>
          <w:color w:val="000000" w:themeColor="text1"/>
          <w:lang w:eastAsia="en-GB"/>
        </w:rPr>
        <w:t>The practice income and expenditure will be compared with the published 2017/18 (or later when available) UK/London averages (Tab 5 in the FMT) for GMS and PMS practices to determine if the practice is performing broadly in line with these averages. An adjustment may be made for service charges based on the information provided by the practice since the UK/London average for service charge cost is not available.</w:t>
      </w:r>
    </w:p>
    <w:p w14:paraId="2AE547B3" w14:textId="2E72AD42" w:rsidR="0000295E" w:rsidRPr="00BE073F" w:rsidRDefault="0000295E" w:rsidP="0000295E">
      <w:pPr>
        <w:pStyle w:val="Heading3"/>
        <w:rPr>
          <w:rFonts w:eastAsiaTheme="majorEastAsia" w:cstheme="majorBidi"/>
          <w:bCs w:val="0"/>
          <w:iCs/>
          <w:color w:val="000000" w:themeColor="text1"/>
          <w:lang w:eastAsia="en-GB"/>
        </w:rPr>
      </w:pPr>
      <w:r w:rsidRPr="00BE073F">
        <w:rPr>
          <w:rFonts w:eastAsiaTheme="majorEastAsia" w:cstheme="majorBidi"/>
          <w:bCs w:val="0"/>
          <w:iCs/>
          <w:color w:val="000000" w:themeColor="text1"/>
          <w:lang w:eastAsia="en-GB"/>
        </w:rPr>
        <w:t>On the “I&amp;E” template (Tab 3 in the FMT), the practice should demonstrate through a clear action plan how it intends, over a reasonable period of time, as agreed with the commissioner, to optimise its income and reduce its expenditure, where applicable, to align broadly with the published UK/London averages for 2017/16 (Tab 5 in the FMT) (or more recent when available).</w:t>
      </w:r>
    </w:p>
    <w:p w14:paraId="38FC60DD" w14:textId="31032308" w:rsidR="0000295E" w:rsidRPr="00BE073F" w:rsidRDefault="0000295E" w:rsidP="0000295E">
      <w:pPr>
        <w:pStyle w:val="Heading3"/>
        <w:rPr>
          <w:rFonts w:eastAsiaTheme="majorEastAsia" w:cstheme="majorBidi"/>
          <w:bCs w:val="0"/>
          <w:iCs/>
          <w:color w:val="000000" w:themeColor="text1"/>
          <w:lang w:eastAsia="en-GB"/>
        </w:rPr>
      </w:pPr>
      <w:r w:rsidRPr="00BE073F">
        <w:rPr>
          <w:rFonts w:eastAsiaTheme="majorEastAsia" w:cstheme="majorBidi"/>
          <w:bCs w:val="0"/>
          <w:iCs/>
          <w:color w:val="000000" w:themeColor="text1"/>
          <w:lang w:eastAsia="en-GB"/>
        </w:rPr>
        <w:t>On the Service Charge template (Tab 4 in the FMT), the practice should further demonstrate how it plans to increase its share of the service charge cost and reduce the liability of the primary care commissioner to provide financial assistance. This can be done in fixed percentage/value increments each year or based on list growth or another plan tailored for the practice. The practice is advised to note the impact of its projections on its Expenses to Earnings ratios. Where a practice cannot increase its share of the service charge cost, it must give reasons why this is not possible. Note that the primary care commissioner’s liability for financial assistance for Service Charge support can never be higher than the total Service Charge cost to the practice.</w:t>
      </w:r>
    </w:p>
    <w:p w14:paraId="451CD906" w14:textId="7CD13058" w:rsidR="0000295E" w:rsidRPr="00BE073F" w:rsidRDefault="0000295E" w:rsidP="0000295E">
      <w:pPr>
        <w:pStyle w:val="Heading3"/>
        <w:rPr>
          <w:rFonts w:eastAsiaTheme="majorEastAsia" w:cstheme="majorBidi"/>
          <w:bCs w:val="0"/>
          <w:iCs/>
          <w:color w:val="000000" w:themeColor="text1"/>
          <w:lang w:eastAsia="en-GB"/>
        </w:rPr>
      </w:pPr>
      <w:r w:rsidRPr="00BE073F">
        <w:rPr>
          <w:rFonts w:eastAsiaTheme="majorEastAsia" w:cstheme="majorBidi"/>
          <w:bCs w:val="0"/>
          <w:iCs/>
          <w:color w:val="000000" w:themeColor="text1"/>
          <w:lang w:eastAsia="en-GB"/>
        </w:rPr>
        <w:t>The figures mentioned above will be reviewed on an annual basis in the interest of the practice, primary care commissioner as well as the taxpayer. This includes the income and expenditure, service charge cost as well as the comparison with UK/London averages where applicable. The projected reduction in primary care commissioner’s liability for financial assistance for service charge cost will also be assessed annually to evaluate whether it is viable or not for the practice to be responsible for a larger share, and ultimately 100%, of the total service charge cost. The practice should notify the primary care commissioner of any significant changes and provide and updated FMT to enable the re-evaluation of financial assistance for service charge cost. If there are no significant changes, the practice must provide the primary care commissioner with proof of payment of the most recent years’ service charge costs in order to compare that with the FMT submitted previously. Primary care commissioners will reconsider financial assistance for service charge cost support to a practice if there are significant changes to the FMT as well as actual service charge costs.</w:t>
      </w:r>
    </w:p>
    <w:p w14:paraId="0D82D9F8" w14:textId="015C8511" w:rsidR="00B95520" w:rsidRPr="00BE073F" w:rsidRDefault="0000295E" w:rsidP="001C7ED0">
      <w:pPr>
        <w:pStyle w:val="Heading3"/>
        <w:rPr>
          <w:rFonts w:eastAsiaTheme="majorEastAsia" w:cstheme="majorBidi"/>
          <w:bCs w:val="0"/>
          <w:iCs/>
          <w:color w:val="000000" w:themeColor="text1"/>
          <w:lang w:eastAsia="en-GB"/>
        </w:rPr>
      </w:pPr>
      <w:r w:rsidRPr="00BE073F">
        <w:rPr>
          <w:rFonts w:eastAsiaTheme="majorEastAsia" w:cstheme="majorBidi"/>
          <w:bCs w:val="0"/>
          <w:iCs/>
          <w:color w:val="000000" w:themeColor="text1"/>
          <w:lang w:eastAsia="en-GB"/>
        </w:rPr>
        <w:t>Where a practice chooses not to disclose its income and expenditure information on an annual basis, it will need to propose a fixed term financial assistance package for service charge costs. The practice will still be required – in the first instance – to demonstrate that it meets the eligibility criteria to access financial assistance, and must also provide  proof of payment of the most recent years’ service charge costs (where applicable).  The practice will need to demonstrate a reduction in required service charge support taking into account known variables such as changes in weighted list size, baseline price, other income, actual service charge costs, other expenditure, national averages and other variables that may impact the financial viability of the proposal. At the start of each financial year and while financial assistance is required, the practice must provide proof of payment of the most recent years’ service charge costs to the commissioner in order to compare that with the proposed financial assistance package, regardless of its agreement to a fixed term package. The commissioner will reconsider its financial assistance for service charge costs to the practice if there are significant changes to the proposed package and actual service charge costs. Financial assistance towards service charge costs will only be reimbursed based on actual service charge cost paid by the practice and not while there is a dispute between the practice and the landlord, and/or there is no lease in place and/or the service charge costs have not been agreed with the landlord following an increase in this cost.</w:t>
      </w:r>
    </w:p>
    <w:p w14:paraId="6FF0AC33" w14:textId="77777777" w:rsidR="00B95520" w:rsidRDefault="00B95520" w:rsidP="006F1CA4">
      <w:pPr>
        <w:pStyle w:val="Heading4"/>
      </w:pPr>
      <w:r>
        <w:br w:type="page"/>
      </w:r>
    </w:p>
    <w:p w14:paraId="7F0B07B3" w14:textId="420CF142" w:rsidR="00B95520" w:rsidRPr="006F1CA4" w:rsidRDefault="00B95520" w:rsidP="006F1CA4">
      <w:pPr>
        <w:pStyle w:val="Heading2"/>
      </w:pPr>
      <w:bookmarkStart w:id="1832" w:name="_Toc494715251"/>
      <w:bookmarkStart w:id="1833" w:name="_Toc95743499"/>
      <w:r w:rsidRPr="00B578F2">
        <w:t>Process flowchart</w:t>
      </w:r>
      <w:bookmarkEnd w:id="1832"/>
      <w:bookmarkEnd w:id="1833"/>
    </w:p>
    <w:p w14:paraId="653362E0" w14:textId="77777777" w:rsidR="00B95520" w:rsidRDefault="00B95520" w:rsidP="00B95520">
      <w:pPr>
        <w:spacing w:after="240"/>
        <w:contextualSpacing/>
        <w:jc w:val="both"/>
        <w:rPr>
          <w:rFonts w:cs="Arial"/>
          <w:b/>
        </w:rPr>
      </w:pPr>
    </w:p>
    <w:p w14:paraId="7F650729" w14:textId="77777777" w:rsidR="00B95520" w:rsidRDefault="00B95520" w:rsidP="00B95520">
      <w:pPr>
        <w:spacing w:after="240"/>
        <w:contextualSpacing/>
        <w:jc w:val="both"/>
        <w:rPr>
          <w:rFonts w:cs="Arial"/>
          <w:b/>
        </w:rPr>
      </w:pPr>
    </w:p>
    <w:p w14:paraId="61D09D4A" w14:textId="77777777" w:rsidR="00B95520" w:rsidRPr="00BE3AA8" w:rsidRDefault="00B95520" w:rsidP="00B95520">
      <w:pPr>
        <w:spacing w:after="240"/>
        <w:contextualSpacing/>
        <w:jc w:val="both"/>
        <w:rPr>
          <w:rFonts w:cs="Arial"/>
          <w:b/>
          <w:szCs w:val="24"/>
          <w:u w:val="single"/>
        </w:rPr>
      </w:pPr>
      <w:r w:rsidRPr="00BE3AA8">
        <w:rPr>
          <w:rFonts w:cs="Arial"/>
          <w:b/>
          <w:szCs w:val="24"/>
          <w:u w:val="single"/>
        </w:rPr>
        <w:t>GATEWAY 1</w:t>
      </w:r>
    </w:p>
    <w:p w14:paraId="1B2F0138" w14:textId="77777777" w:rsidR="00B95520" w:rsidRDefault="00B95520" w:rsidP="00B95520">
      <w:pPr>
        <w:spacing w:after="240"/>
        <w:contextualSpacing/>
        <w:jc w:val="both"/>
        <w:rPr>
          <w:rFonts w:cs="Arial"/>
          <w:b/>
        </w:rPr>
      </w:pPr>
      <w:r>
        <w:rPr>
          <w:rFonts w:cs="Arial"/>
          <w:b/>
          <w:noProof/>
          <w:lang w:eastAsia="en-GB"/>
        </w:rPr>
        <mc:AlternateContent>
          <mc:Choice Requires="wps">
            <w:drawing>
              <wp:anchor distT="0" distB="0" distL="114300" distR="114300" simplePos="0" relativeHeight="251658247" behindDoc="0" locked="0" layoutInCell="1" allowOverlap="1" wp14:anchorId="5BFB56C8" wp14:editId="247232B3">
                <wp:simplePos x="0" y="0"/>
                <wp:positionH relativeFrom="column">
                  <wp:posOffset>4285404</wp:posOffset>
                </wp:positionH>
                <wp:positionV relativeFrom="paragraph">
                  <wp:posOffset>148379</wp:posOffset>
                </wp:positionV>
                <wp:extent cx="1476375" cy="1042670"/>
                <wp:effectExtent l="0" t="0" r="28575" b="24130"/>
                <wp:wrapNone/>
                <wp:docPr id="244" name="Rounded Rectangle 4"/>
                <wp:cNvGraphicFramePr/>
                <a:graphic xmlns:a="http://schemas.openxmlformats.org/drawingml/2006/main">
                  <a:graphicData uri="http://schemas.microsoft.com/office/word/2010/wordprocessingShape">
                    <wps:wsp>
                      <wps:cNvSpPr/>
                      <wps:spPr>
                        <a:xfrm>
                          <a:off x="0" y="0"/>
                          <a:ext cx="1476375" cy="104267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20C54B" w14:textId="77777777" w:rsidR="00942266" w:rsidRPr="00507A00" w:rsidRDefault="00942266" w:rsidP="00B95520">
                            <w:pPr>
                              <w:jc w:val="center"/>
                              <w:rPr>
                                <w:color w:val="000000" w:themeColor="text1"/>
                                <w:sz w:val="18"/>
                                <w:szCs w:val="18"/>
                              </w:rPr>
                            </w:pPr>
                            <w:r>
                              <w:rPr>
                                <w:color w:val="000000" w:themeColor="text1"/>
                                <w:sz w:val="18"/>
                                <w:szCs w:val="18"/>
                              </w:rPr>
                              <w:t>Practice’s</w:t>
                            </w:r>
                            <w:r w:rsidRPr="00507A00">
                              <w:rPr>
                                <w:color w:val="000000" w:themeColor="text1"/>
                                <w:sz w:val="18"/>
                                <w:szCs w:val="18"/>
                              </w:rPr>
                              <w:t xml:space="preserve"> application for financial assistance towards service charge cost support will not be considered</w:t>
                            </w:r>
                            <w:r>
                              <w:rPr>
                                <w:color w:val="000000" w:themeColor="text1"/>
                                <w:sz w:val="18"/>
                                <w:szCs w:val="18"/>
                              </w:rPr>
                              <w:t xml:space="preserve"> further</w:t>
                            </w:r>
                            <w:r w:rsidRPr="00507A00">
                              <w:rPr>
                                <w:color w:val="000000" w:themeColor="text1"/>
                                <w:sz w:val="18"/>
                                <w:szCs w:val="18"/>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FB56C8" id="Rounded Rectangle 4" o:spid="_x0000_s1033" style="position:absolute;left:0;text-align:left;margin-left:337.45pt;margin-top:11.7pt;width:116.25pt;height:82.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" fillcolor="#699dff [1300]" strokecolor="#001743 [1604]" strokeweight="2pt">
                <v:textbox inset="1mm,1mm,1mm,1mm">
                  <w:txbxContent>
                    <w:p w14:paraId="2F20C54B" w14:textId="77777777" w:rsidR="00942266" w:rsidRPr="00507A00" w:rsidRDefault="00942266" w:rsidP="00B95520">
                      <w:pPr>
                        <w:jc w:val="center"/>
                        <w:rPr>
                          <w:color w:val="000000" w:themeColor="text1"/>
                          <w:sz w:val="18"/>
                          <w:szCs w:val="18"/>
                        </w:rPr>
                      </w:pPr>
                      <w:r>
                        <w:rPr>
                          <w:color w:val="000000" w:themeColor="text1"/>
                          <w:sz w:val="18"/>
                          <w:szCs w:val="18"/>
                        </w:rPr>
                        <w:t>Practice’s</w:t>
                      </w:r>
                      <w:r w:rsidRPr="00507A00">
                        <w:rPr>
                          <w:color w:val="000000" w:themeColor="text1"/>
                          <w:sz w:val="18"/>
                          <w:szCs w:val="18"/>
                        </w:rPr>
                        <w:t xml:space="preserve"> application for financial assistance towards service charge cost support will not be considered</w:t>
                      </w:r>
                      <w:r>
                        <w:rPr>
                          <w:color w:val="000000" w:themeColor="text1"/>
                          <w:sz w:val="18"/>
                          <w:szCs w:val="18"/>
                        </w:rPr>
                        <w:t xml:space="preserve"> further</w:t>
                      </w:r>
                      <w:r w:rsidRPr="00507A00">
                        <w:rPr>
                          <w:color w:val="000000" w:themeColor="text1"/>
                          <w:sz w:val="18"/>
                          <w:szCs w:val="18"/>
                        </w:rPr>
                        <w:t>.</w:t>
                      </w:r>
                    </w:p>
                  </w:txbxContent>
                </v:textbox>
              </v:roundrect>
            </w:pict>
          </mc:Fallback>
        </mc:AlternateContent>
      </w:r>
      <w:r w:rsidRPr="00103162">
        <w:rPr>
          <w:rFonts w:cs="Arial"/>
          <w:b/>
          <w:noProof/>
          <w:lang w:eastAsia="en-GB"/>
        </w:rPr>
        <mc:AlternateContent>
          <mc:Choice Requires="wps">
            <w:drawing>
              <wp:anchor distT="0" distB="0" distL="114300" distR="114300" simplePos="0" relativeHeight="251658245" behindDoc="0" locked="0" layoutInCell="1" allowOverlap="1" wp14:anchorId="499CBC8B" wp14:editId="39C81CEE">
                <wp:simplePos x="0" y="0"/>
                <wp:positionH relativeFrom="column">
                  <wp:posOffset>438150</wp:posOffset>
                </wp:positionH>
                <wp:positionV relativeFrom="paragraph">
                  <wp:posOffset>147320</wp:posOffset>
                </wp:positionV>
                <wp:extent cx="3387725" cy="952500"/>
                <wp:effectExtent l="0" t="0" r="22225" b="19050"/>
                <wp:wrapNone/>
                <wp:docPr id="245" name="Oval 245">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387725" cy="952500"/>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B3C22C" w14:textId="77777777" w:rsidR="00942266" w:rsidRPr="00507A00" w:rsidRDefault="00942266" w:rsidP="00B95520">
                            <w:pPr>
                              <w:jc w:val="center"/>
                              <w:rPr>
                                <w:color w:val="000000" w:themeColor="text1"/>
                                <w:sz w:val="18"/>
                                <w:szCs w:val="18"/>
                              </w:rPr>
                            </w:pPr>
                            <w:r w:rsidRPr="00507A00">
                              <w:rPr>
                                <w:color w:val="000000" w:themeColor="text1"/>
                                <w:sz w:val="18"/>
                                <w:szCs w:val="18"/>
                              </w:rPr>
                              <w:t xml:space="preserve">Does the </w:t>
                            </w:r>
                            <w:r>
                              <w:rPr>
                                <w:color w:val="000000" w:themeColor="text1"/>
                                <w:sz w:val="18"/>
                                <w:szCs w:val="18"/>
                              </w:rPr>
                              <w:t>practice</w:t>
                            </w:r>
                            <w:r w:rsidRPr="00507A00">
                              <w:rPr>
                                <w:color w:val="000000" w:themeColor="text1"/>
                                <w:sz w:val="18"/>
                                <w:szCs w:val="18"/>
                              </w:rPr>
                              <w:t xml:space="preserve"> pass all the </w:t>
                            </w:r>
                            <w:r>
                              <w:rPr>
                                <w:color w:val="000000" w:themeColor="text1"/>
                                <w:sz w:val="18"/>
                                <w:szCs w:val="18"/>
                              </w:rPr>
                              <w:t>e</w:t>
                            </w:r>
                            <w:r w:rsidRPr="00507A00">
                              <w:rPr>
                                <w:color w:val="000000" w:themeColor="text1"/>
                                <w:sz w:val="18"/>
                                <w:szCs w:val="18"/>
                              </w:rPr>
                              <w:t xml:space="preserve">ligibility </w:t>
                            </w:r>
                            <w:r>
                              <w:rPr>
                                <w:color w:val="000000" w:themeColor="text1"/>
                                <w:sz w:val="18"/>
                                <w:szCs w:val="18"/>
                              </w:rPr>
                              <w:t>c</w:t>
                            </w:r>
                            <w:r w:rsidRPr="00507A00">
                              <w:rPr>
                                <w:color w:val="000000" w:themeColor="text1"/>
                                <w:sz w:val="18"/>
                                <w:szCs w:val="18"/>
                              </w:rPr>
                              <w:t>riteria</w:t>
                            </w:r>
                            <w:r>
                              <w:rPr>
                                <w:color w:val="000000" w:themeColor="text1"/>
                                <w:sz w:val="18"/>
                                <w:szCs w:val="18"/>
                              </w:rPr>
                              <w:t>, taking into account any exceptional circumstances</w:t>
                            </w:r>
                            <w:r w:rsidRPr="00507A00">
                              <w:rPr>
                                <w:color w:val="000000" w:themeColor="text1"/>
                                <w:sz w:val="18"/>
                                <w:szCs w:val="18"/>
                              </w:rPr>
                              <w:t xml:space="preserve"> (refer to Tab 2 in the FMT)?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9CBC8B" id="Oval 245" o:spid="_x0000_s1034" style="position:absolute;left:0;text-align:left;margin-left:34.5pt;margin-top:11.6pt;width:266.75pt;height: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" fillcolor="#c8ced3 [1305]" strokecolor="#001743 [1604]" strokeweight="2pt">
                <v:textbox>
                  <w:txbxContent>
                    <w:p w14:paraId="33B3C22C" w14:textId="77777777" w:rsidR="00942266" w:rsidRPr="00507A00" w:rsidRDefault="00942266" w:rsidP="00B95520">
                      <w:pPr>
                        <w:jc w:val="center"/>
                        <w:rPr>
                          <w:color w:val="000000" w:themeColor="text1"/>
                          <w:sz w:val="18"/>
                          <w:szCs w:val="18"/>
                        </w:rPr>
                      </w:pPr>
                      <w:r w:rsidRPr="00507A00">
                        <w:rPr>
                          <w:color w:val="000000" w:themeColor="text1"/>
                          <w:sz w:val="18"/>
                          <w:szCs w:val="18"/>
                        </w:rPr>
                        <w:t xml:space="preserve">Does the </w:t>
                      </w:r>
                      <w:r>
                        <w:rPr>
                          <w:color w:val="000000" w:themeColor="text1"/>
                          <w:sz w:val="18"/>
                          <w:szCs w:val="18"/>
                        </w:rPr>
                        <w:t>practice</w:t>
                      </w:r>
                      <w:r w:rsidRPr="00507A00">
                        <w:rPr>
                          <w:color w:val="000000" w:themeColor="text1"/>
                          <w:sz w:val="18"/>
                          <w:szCs w:val="18"/>
                        </w:rPr>
                        <w:t xml:space="preserve"> pass all the </w:t>
                      </w:r>
                      <w:r>
                        <w:rPr>
                          <w:color w:val="000000" w:themeColor="text1"/>
                          <w:sz w:val="18"/>
                          <w:szCs w:val="18"/>
                        </w:rPr>
                        <w:t>e</w:t>
                      </w:r>
                      <w:r w:rsidRPr="00507A00">
                        <w:rPr>
                          <w:color w:val="000000" w:themeColor="text1"/>
                          <w:sz w:val="18"/>
                          <w:szCs w:val="18"/>
                        </w:rPr>
                        <w:t xml:space="preserve">ligibility </w:t>
                      </w:r>
                      <w:r>
                        <w:rPr>
                          <w:color w:val="000000" w:themeColor="text1"/>
                          <w:sz w:val="18"/>
                          <w:szCs w:val="18"/>
                        </w:rPr>
                        <w:t>c</w:t>
                      </w:r>
                      <w:r w:rsidRPr="00507A00">
                        <w:rPr>
                          <w:color w:val="000000" w:themeColor="text1"/>
                          <w:sz w:val="18"/>
                          <w:szCs w:val="18"/>
                        </w:rPr>
                        <w:t>riteria</w:t>
                      </w:r>
                      <w:r>
                        <w:rPr>
                          <w:color w:val="000000" w:themeColor="text1"/>
                          <w:sz w:val="18"/>
                          <w:szCs w:val="18"/>
                        </w:rPr>
                        <w:t xml:space="preserve">, </w:t>
                      </w:r>
                      <w:proofErr w:type="gramStart"/>
                      <w:r>
                        <w:rPr>
                          <w:color w:val="000000" w:themeColor="text1"/>
                          <w:sz w:val="18"/>
                          <w:szCs w:val="18"/>
                        </w:rPr>
                        <w:t>taking into account</w:t>
                      </w:r>
                      <w:proofErr w:type="gramEnd"/>
                      <w:r>
                        <w:rPr>
                          <w:color w:val="000000" w:themeColor="text1"/>
                          <w:sz w:val="18"/>
                          <w:szCs w:val="18"/>
                        </w:rPr>
                        <w:t xml:space="preserve"> any exceptional circumstances</w:t>
                      </w:r>
                      <w:r w:rsidRPr="00507A00">
                        <w:rPr>
                          <w:color w:val="000000" w:themeColor="text1"/>
                          <w:sz w:val="18"/>
                          <w:szCs w:val="18"/>
                        </w:rPr>
                        <w:t xml:space="preserve"> (refer to Tab 2 in the FMT)?</w:t>
                      </w:r>
                    </w:p>
                  </w:txbxContent>
                </v:textbox>
              </v:oval>
            </w:pict>
          </mc:Fallback>
        </mc:AlternateContent>
      </w:r>
    </w:p>
    <w:p w14:paraId="754E72F1" w14:textId="77777777" w:rsidR="00B95520" w:rsidRDefault="00B95520" w:rsidP="00B95520">
      <w:pPr>
        <w:spacing w:after="240"/>
        <w:contextualSpacing/>
        <w:jc w:val="both"/>
        <w:rPr>
          <w:rFonts w:cs="Arial"/>
          <w:b/>
        </w:rPr>
      </w:pPr>
    </w:p>
    <w:p w14:paraId="5D9C9131" w14:textId="77777777" w:rsidR="00B95520" w:rsidRDefault="00B95520" w:rsidP="00B95520">
      <w:pPr>
        <w:spacing w:after="240"/>
        <w:contextualSpacing/>
        <w:jc w:val="both"/>
        <w:rPr>
          <w:rFonts w:cs="Arial"/>
          <w:b/>
        </w:rPr>
      </w:pPr>
      <w:r>
        <w:rPr>
          <w:rFonts w:cs="Arial"/>
          <w:b/>
          <w:noProof/>
          <w:lang w:eastAsia="en-GB"/>
        </w:rPr>
        <mc:AlternateContent>
          <mc:Choice Requires="wps">
            <w:drawing>
              <wp:anchor distT="0" distB="0" distL="114300" distR="114300" simplePos="0" relativeHeight="251658249" behindDoc="0" locked="0" layoutInCell="1" allowOverlap="1" wp14:anchorId="3F446D0D" wp14:editId="147951F5">
                <wp:simplePos x="0" y="0"/>
                <wp:positionH relativeFrom="column">
                  <wp:posOffset>3877733</wp:posOffset>
                </wp:positionH>
                <wp:positionV relativeFrom="paragraph">
                  <wp:posOffset>13970</wp:posOffset>
                </wp:positionV>
                <wp:extent cx="407459" cy="290195"/>
                <wp:effectExtent l="0" t="0" r="0" b="0"/>
                <wp:wrapNone/>
                <wp:docPr id="246" name="Text Box 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7459" cy="290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E12981" w14:textId="77777777" w:rsidR="00942266" w:rsidRPr="00C455D0" w:rsidRDefault="00942266" w:rsidP="00B95520">
                            <w:pPr>
                              <w:rPr>
                                <w:b/>
                                <w:szCs w:val="24"/>
                              </w:rPr>
                            </w:pPr>
                            <w:r w:rsidRPr="00C455D0">
                              <w:rPr>
                                <w:b/>
                                <w:szCs w:val="24"/>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46D0D" id="Text Box 246" o:spid="_x0000_s1035" type="#_x0000_t202" alt="&quot;&quot;" style="position:absolute;left:0;text-align:left;margin-left:305.35pt;margin-top:1.1pt;width:32.1pt;height:22.8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" filled="f" stroked="f" strokeweight=".5pt">
                <v:textbox>
                  <w:txbxContent>
                    <w:p w14:paraId="60E12981" w14:textId="77777777" w:rsidR="00942266" w:rsidRPr="00C455D0" w:rsidRDefault="00942266" w:rsidP="00B95520">
                      <w:pPr>
                        <w:rPr>
                          <w:b/>
                          <w:szCs w:val="24"/>
                        </w:rPr>
                      </w:pPr>
                      <w:r w:rsidRPr="00C455D0">
                        <w:rPr>
                          <w:b/>
                          <w:szCs w:val="24"/>
                        </w:rPr>
                        <w:t>No</w:t>
                      </w:r>
                    </w:p>
                  </w:txbxContent>
                </v:textbox>
              </v:shape>
            </w:pict>
          </mc:Fallback>
        </mc:AlternateContent>
      </w:r>
    </w:p>
    <w:p w14:paraId="5A7AF890" w14:textId="77777777" w:rsidR="00B95520" w:rsidRDefault="00B95520" w:rsidP="00B95520">
      <w:pPr>
        <w:spacing w:after="240"/>
        <w:contextualSpacing/>
        <w:jc w:val="both"/>
        <w:rPr>
          <w:rFonts w:cs="Arial"/>
          <w:b/>
        </w:rPr>
      </w:pPr>
      <w:r>
        <w:rPr>
          <w:rFonts w:cs="Arial"/>
          <w:b/>
          <w:noProof/>
          <w:lang w:eastAsia="en-GB"/>
        </w:rPr>
        <mc:AlternateContent>
          <mc:Choice Requires="wps">
            <w:drawing>
              <wp:anchor distT="0" distB="0" distL="114300" distR="114300" simplePos="0" relativeHeight="251658248" behindDoc="0" locked="0" layoutInCell="1" allowOverlap="1" wp14:anchorId="2322F7D6" wp14:editId="13DB1006">
                <wp:simplePos x="0" y="0"/>
                <wp:positionH relativeFrom="column">
                  <wp:posOffset>3824605</wp:posOffset>
                </wp:positionH>
                <wp:positionV relativeFrom="paragraph">
                  <wp:posOffset>67945</wp:posOffset>
                </wp:positionV>
                <wp:extent cx="445135" cy="0"/>
                <wp:effectExtent l="0" t="76200" r="12065" b="114300"/>
                <wp:wrapNone/>
                <wp:docPr id="247" name="Straight Arrow Connector 2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13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4B8DD527" id="_x0000_t32" coordsize="21600,21600" o:spt="32" o:oned="t" path="m,l21600,21600e" filled="f">
                <v:path arrowok="t" fillok="f" o:connecttype="none"/>
                <o:lock v:ext="edit" shapetype="t"/>
              </v:shapetype>
              <v:shape id="Straight Arrow Connector 247" o:spid="_x0000_s1026" type="#_x0000_t32" alt="&quot;&quot;" style="position:absolute;margin-left:301.15pt;margin-top:5.35pt;width:35.05pt;height:0;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" strokecolor="#002d80 [3044]">
                <v:stroke endarrow="open"/>
              </v:shape>
            </w:pict>
          </mc:Fallback>
        </mc:AlternateContent>
      </w:r>
    </w:p>
    <w:p w14:paraId="3A9E9E81" w14:textId="77777777" w:rsidR="00B95520" w:rsidRPr="004A2F7E" w:rsidRDefault="00B95520" w:rsidP="00B95520">
      <w:pPr>
        <w:spacing w:after="240"/>
        <w:contextualSpacing/>
        <w:jc w:val="both"/>
        <w:rPr>
          <w:rFonts w:cs="Arial"/>
          <w:b/>
          <w:color w:val="FF0000"/>
        </w:rPr>
      </w:pPr>
    </w:p>
    <w:p w14:paraId="72338DCE" w14:textId="2D4AE145" w:rsidR="00B95520" w:rsidRDefault="00B95520" w:rsidP="00B95520">
      <w:pPr>
        <w:spacing w:after="240"/>
        <w:contextualSpacing/>
        <w:jc w:val="both"/>
        <w:rPr>
          <w:rFonts w:cs="Arial"/>
          <w:b/>
        </w:rPr>
      </w:pPr>
    </w:p>
    <w:p w14:paraId="3ED41AF6" w14:textId="2CB0D87A" w:rsidR="00B95520" w:rsidRDefault="00645D74" w:rsidP="00B95520">
      <w:pPr>
        <w:spacing w:after="240"/>
        <w:contextualSpacing/>
        <w:jc w:val="both"/>
        <w:rPr>
          <w:rFonts w:cs="Arial"/>
          <w:b/>
        </w:rPr>
      </w:pPr>
      <w:r>
        <w:rPr>
          <w:rFonts w:cs="Arial"/>
          <w:b/>
          <w:noProof/>
          <w:lang w:eastAsia="en-GB"/>
        </w:rPr>
        <mc:AlternateContent>
          <mc:Choice Requires="wps">
            <w:drawing>
              <wp:anchor distT="0" distB="0" distL="114300" distR="114300" simplePos="0" relativeHeight="251658250" behindDoc="0" locked="0" layoutInCell="1" allowOverlap="1" wp14:anchorId="50F823E9" wp14:editId="176D93F1">
                <wp:simplePos x="0" y="0"/>
                <wp:positionH relativeFrom="column">
                  <wp:posOffset>1956436</wp:posOffset>
                </wp:positionH>
                <wp:positionV relativeFrom="paragraph">
                  <wp:posOffset>6349</wp:posOffset>
                </wp:positionV>
                <wp:extent cx="45719" cy="714375"/>
                <wp:effectExtent l="57150" t="0" r="107315" b="66675"/>
                <wp:wrapNone/>
                <wp:docPr id="248" name="Straight Arrow Connector 2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719" cy="714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A41B7C" id="Straight Arrow Connector 248" o:spid="_x0000_s1026" type="#_x0000_t32" alt="&quot;&quot;" style="position:absolute;margin-left:154.05pt;margin-top:.5pt;width:3.6pt;height:56.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" strokecolor="#002d80 [3044]">
                <v:stroke endarrow="open"/>
              </v:shape>
            </w:pict>
          </mc:Fallback>
        </mc:AlternateContent>
      </w:r>
    </w:p>
    <w:p w14:paraId="2E50B034" w14:textId="739B3F3E" w:rsidR="00B95520" w:rsidRDefault="00B95520" w:rsidP="00070A05">
      <w:pPr>
        <w:spacing w:after="240"/>
        <w:contextualSpacing/>
        <w:jc w:val="both"/>
        <w:rPr>
          <w:rFonts w:cs="Arial"/>
          <w:b/>
        </w:rPr>
      </w:pPr>
      <w:r>
        <w:rPr>
          <w:rFonts w:cs="Arial"/>
          <w:b/>
          <w:noProof/>
          <w:lang w:eastAsia="en-GB"/>
        </w:rPr>
        <mc:AlternateContent>
          <mc:Choice Requires="wps">
            <w:drawing>
              <wp:anchor distT="0" distB="0" distL="114300" distR="114300" simplePos="0" relativeHeight="251658251" behindDoc="0" locked="0" layoutInCell="1" allowOverlap="1" wp14:anchorId="73F15914" wp14:editId="0CF34C14">
                <wp:simplePos x="0" y="0"/>
                <wp:positionH relativeFrom="column">
                  <wp:posOffset>1566333</wp:posOffset>
                </wp:positionH>
                <wp:positionV relativeFrom="paragraph">
                  <wp:posOffset>56727</wp:posOffset>
                </wp:positionV>
                <wp:extent cx="486410" cy="308610"/>
                <wp:effectExtent l="0" t="0" r="0" b="0"/>
                <wp:wrapNone/>
                <wp:docPr id="249" name="Text Box 249"/>
                <wp:cNvGraphicFramePr/>
                <a:graphic xmlns:a="http://schemas.openxmlformats.org/drawingml/2006/main">
                  <a:graphicData uri="http://schemas.microsoft.com/office/word/2010/wordprocessingShape">
                    <wps:wsp>
                      <wps:cNvSpPr txBox="1"/>
                      <wps:spPr>
                        <a:xfrm>
                          <a:off x="0" y="0"/>
                          <a:ext cx="486410" cy="30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9DC7D9" w14:textId="77777777" w:rsidR="00942266" w:rsidRPr="00C455D0" w:rsidRDefault="00942266" w:rsidP="00B95520">
                            <w:pPr>
                              <w:rPr>
                                <w:b/>
                                <w:szCs w:val="24"/>
                              </w:rPr>
                            </w:pPr>
                            <w:r w:rsidRPr="00C455D0">
                              <w:rPr>
                                <w:b/>
                                <w:szCs w:val="24"/>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15914" id="Text Box 249" o:spid="_x0000_s1036" type="#_x0000_t202" style="position:absolute;left:0;text-align:left;margin-left:123.35pt;margin-top:4.45pt;width:38.3pt;height:24.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" filled="f" stroked="f" strokeweight=".5pt">
                <v:textbox>
                  <w:txbxContent>
                    <w:p w14:paraId="209DC7D9" w14:textId="77777777" w:rsidR="00942266" w:rsidRPr="00C455D0" w:rsidRDefault="00942266" w:rsidP="00B95520">
                      <w:pPr>
                        <w:rPr>
                          <w:b/>
                          <w:szCs w:val="24"/>
                        </w:rPr>
                      </w:pPr>
                      <w:r w:rsidRPr="00C455D0">
                        <w:rPr>
                          <w:b/>
                          <w:szCs w:val="24"/>
                        </w:rPr>
                        <w:t>Yes</w:t>
                      </w:r>
                    </w:p>
                  </w:txbxContent>
                </v:textbox>
              </v:shape>
            </w:pict>
          </mc:Fallback>
        </mc:AlternateContent>
      </w:r>
      <w:r>
        <w:rPr>
          <w:rFonts w:cs="Arial"/>
          <w:b/>
        </w:rPr>
        <w:t xml:space="preserve"> </w:t>
      </w:r>
    </w:p>
    <w:p w14:paraId="2451C513" w14:textId="77777777" w:rsidR="00070A05" w:rsidRDefault="00070A05" w:rsidP="00B95520">
      <w:pPr>
        <w:spacing w:after="240"/>
        <w:contextualSpacing/>
        <w:jc w:val="both"/>
        <w:rPr>
          <w:rFonts w:cs="Arial"/>
          <w:b/>
          <w:szCs w:val="24"/>
          <w:u w:val="single"/>
        </w:rPr>
      </w:pPr>
    </w:p>
    <w:p w14:paraId="68848F7C" w14:textId="25D62B8F" w:rsidR="00B95520" w:rsidRPr="00BE3AA8" w:rsidRDefault="00B95520" w:rsidP="00B95520">
      <w:pPr>
        <w:spacing w:after="240"/>
        <w:contextualSpacing/>
        <w:jc w:val="both"/>
        <w:rPr>
          <w:rFonts w:cs="Arial"/>
          <w:b/>
          <w:szCs w:val="24"/>
          <w:u w:val="single"/>
        </w:rPr>
      </w:pPr>
      <w:r w:rsidRPr="00BE3AA8">
        <w:rPr>
          <w:rFonts w:cs="Arial"/>
          <w:b/>
          <w:szCs w:val="24"/>
          <w:u w:val="single"/>
        </w:rPr>
        <w:t>GATEWAY 2</w:t>
      </w:r>
    </w:p>
    <w:p w14:paraId="408164A9" w14:textId="77777777" w:rsidR="00B95520" w:rsidRDefault="00B95520" w:rsidP="00B95520">
      <w:pPr>
        <w:spacing w:after="240"/>
        <w:contextualSpacing/>
        <w:jc w:val="both"/>
        <w:rPr>
          <w:rFonts w:cs="Arial"/>
          <w:b/>
        </w:rPr>
      </w:pPr>
      <w:r>
        <w:rPr>
          <w:rFonts w:cs="Arial"/>
          <w:b/>
          <w:noProof/>
          <w:lang w:eastAsia="en-GB"/>
        </w:rPr>
        <mc:AlternateContent>
          <mc:Choice Requires="wps">
            <w:drawing>
              <wp:anchor distT="0" distB="0" distL="114300" distR="114300" simplePos="0" relativeHeight="251658246" behindDoc="0" locked="0" layoutInCell="1" allowOverlap="1" wp14:anchorId="6CBA5FD3" wp14:editId="12C53581">
                <wp:simplePos x="0" y="0"/>
                <wp:positionH relativeFrom="column">
                  <wp:posOffset>373380</wp:posOffset>
                </wp:positionH>
                <wp:positionV relativeFrom="paragraph">
                  <wp:posOffset>99060</wp:posOffset>
                </wp:positionV>
                <wp:extent cx="5274945" cy="1031240"/>
                <wp:effectExtent l="0" t="0" r="20955" b="16510"/>
                <wp:wrapNone/>
                <wp:docPr id="250" name="Rounded Rectangle 3"/>
                <wp:cNvGraphicFramePr/>
                <a:graphic xmlns:a="http://schemas.openxmlformats.org/drawingml/2006/main">
                  <a:graphicData uri="http://schemas.microsoft.com/office/word/2010/wordprocessingShape">
                    <wps:wsp>
                      <wps:cNvSpPr/>
                      <wps:spPr>
                        <a:xfrm>
                          <a:off x="0" y="0"/>
                          <a:ext cx="5274945" cy="1031240"/>
                        </a:xfrm>
                        <a:prstGeom prst="roundRect">
                          <a:avLst/>
                        </a:prstGeom>
                        <a:solidFill>
                          <a:schemeClr val="bg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84FE22" w14:textId="77777777" w:rsidR="00942266" w:rsidRPr="00CA58A7" w:rsidRDefault="00942266" w:rsidP="00B95520">
                            <w:pPr>
                              <w:rPr>
                                <w:color w:val="000000" w:themeColor="text1"/>
                                <w:sz w:val="18"/>
                                <w:szCs w:val="18"/>
                                <w:u w:val="single"/>
                              </w:rPr>
                            </w:pPr>
                            <w:r w:rsidRPr="00CA58A7">
                              <w:rPr>
                                <w:color w:val="000000" w:themeColor="text1"/>
                                <w:sz w:val="18"/>
                                <w:szCs w:val="18"/>
                                <w:u w:val="single"/>
                              </w:rPr>
                              <w:t>Continue to next gateway (Practice):</w:t>
                            </w:r>
                          </w:p>
                          <w:p w14:paraId="3D1646CD" w14:textId="77777777" w:rsidR="00942266" w:rsidRPr="00CA58A7" w:rsidRDefault="00942266" w:rsidP="006C3DF5">
                            <w:pPr>
                              <w:pStyle w:val="ListParagraph"/>
                              <w:numPr>
                                <w:ilvl w:val="0"/>
                                <w:numId w:val="160"/>
                              </w:numPr>
                              <w:spacing w:after="200"/>
                              <w:rPr>
                                <w:color w:val="000000" w:themeColor="text1"/>
                                <w:sz w:val="18"/>
                                <w:szCs w:val="18"/>
                              </w:rPr>
                            </w:pPr>
                            <w:r w:rsidRPr="00CA58A7">
                              <w:rPr>
                                <w:color w:val="000000" w:themeColor="text1"/>
                                <w:sz w:val="18"/>
                                <w:szCs w:val="18"/>
                              </w:rPr>
                              <w:t>Input on Tab 3 of the FMT Income &amp; Expenditure for last financial year and future (Year 1) known or estimated.</w:t>
                            </w:r>
                          </w:p>
                          <w:p w14:paraId="1AA70842" w14:textId="77777777" w:rsidR="00942266" w:rsidRPr="00CA58A7" w:rsidRDefault="00942266" w:rsidP="006C3DF5">
                            <w:pPr>
                              <w:pStyle w:val="ListParagraph"/>
                              <w:numPr>
                                <w:ilvl w:val="0"/>
                                <w:numId w:val="160"/>
                              </w:numPr>
                              <w:spacing w:after="200"/>
                              <w:rPr>
                                <w:color w:val="000000" w:themeColor="text1"/>
                                <w:sz w:val="18"/>
                                <w:szCs w:val="18"/>
                              </w:rPr>
                            </w:pPr>
                            <w:r w:rsidRPr="00CA58A7">
                              <w:rPr>
                                <w:color w:val="000000" w:themeColor="text1"/>
                                <w:sz w:val="18"/>
                                <w:szCs w:val="18"/>
                              </w:rPr>
                              <w:t xml:space="preserve">Input on Tab 4 service charge cost for last financial year (where applicable) and future (Year 1) known or estimated. </w:t>
                            </w:r>
                          </w:p>
                          <w:p w14:paraId="14F48107" w14:textId="77777777" w:rsidR="00942266" w:rsidRPr="00CA58A7" w:rsidRDefault="00942266" w:rsidP="00B95520">
                            <w:pP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A5FD3" id="Rounded Rectangle 3" o:spid="_x0000_s1037" style="position:absolute;left:0;text-align:left;margin-left:29.4pt;margin-top:7.8pt;width:415.35pt;height:81.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" fillcolor="#dd96bc [1310]" strokecolor="#001743 [1604]" strokeweight="2pt">
                <v:textbox>
                  <w:txbxContent>
                    <w:p w14:paraId="4484FE22" w14:textId="77777777" w:rsidR="00942266" w:rsidRPr="00CA58A7" w:rsidRDefault="00942266" w:rsidP="00B95520">
                      <w:pPr>
                        <w:rPr>
                          <w:color w:val="000000" w:themeColor="text1"/>
                          <w:sz w:val="18"/>
                          <w:szCs w:val="18"/>
                          <w:u w:val="single"/>
                        </w:rPr>
                      </w:pPr>
                      <w:r w:rsidRPr="00CA58A7">
                        <w:rPr>
                          <w:color w:val="000000" w:themeColor="text1"/>
                          <w:sz w:val="18"/>
                          <w:szCs w:val="18"/>
                          <w:u w:val="single"/>
                        </w:rPr>
                        <w:t>Continue to next gateway (Practice):</w:t>
                      </w:r>
                    </w:p>
                    <w:p w14:paraId="3D1646CD" w14:textId="77777777" w:rsidR="00942266" w:rsidRPr="00CA58A7" w:rsidRDefault="00942266" w:rsidP="006C3DF5">
                      <w:pPr>
                        <w:pStyle w:val="ListParagraph"/>
                        <w:numPr>
                          <w:ilvl w:val="0"/>
                          <w:numId w:val="160"/>
                        </w:numPr>
                        <w:spacing w:after="200"/>
                        <w:rPr>
                          <w:color w:val="000000" w:themeColor="text1"/>
                          <w:sz w:val="18"/>
                          <w:szCs w:val="18"/>
                        </w:rPr>
                      </w:pPr>
                      <w:r w:rsidRPr="00CA58A7">
                        <w:rPr>
                          <w:color w:val="000000" w:themeColor="text1"/>
                          <w:sz w:val="18"/>
                          <w:szCs w:val="18"/>
                        </w:rPr>
                        <w:t>Input on Tab 3 of the FMT Income &amp; Expenditure for last financial year and future (Year 1) known or estimated.</w:t>
                      </w:r>
                    </w:p>
                    <w:p w14:paraId="1AA70842" w14:textId="77777777" w:rsidR="00942266" w:rsidRPr="00CA58A7" w:rsidRDefault="00942266" w:rsidP="006C3DF5">
                      <w:pPr>
                        <w:pStyle w:val="ListParagraph"/>
                        <w:numPr>
                          <w:ilvl w:val="0"/>
                          <w:numId w:val="160"/>
                        </w:numPr>
                        <w:spacing w:after="200"/>
                        <w:rPr>
                          <w:color w:val="000000" w:themeColor="text1"/>
                          <w:sz w:val="18"/>
                          <w:szCs w:val="18"/>
                        </w:rPr>
                      </w:pPr>
                      <w:r w:rsidRPr="00CA58A7">
                        <w:rPr>
                          <w:color w:val="000000" w:themeColor="text1"/>
                          <w:sz w:val="18"/>
                          <w:szCs w:val="18"/>
                        </w:rPr>
                        <w:t xml:space="preserve">Input on Tab 4 service charge cost for last financial year (where applicable) and future (Year 1) known or estimated. </w:t>
                      </w:r>
                    </w:p>
                    <w:p w14:paraId="14F48107" w14:textId="77777777" w:rsidR="00942266" w:rsidRPr="00CA58A7" w:rsidRDefault="00942266" w:rsidP="00B95520">
                      <w:pPr>
                        <w:rPr>
                          <w:color w:val="000000" w:themeColor="text1"/>
                          <w:sz w:val="18"/>
                          <w:szCs w:val="18"/>
                        </w:rPr>
                      </w:pPr>
                    </w:p>
                  </w:txbxContent>
                </v:textbox>
              </v:roundrect>
            </w:pict>
          </mc:Fallback>
        </mc:AlternateContent>
      </w:r>
    </w:p>
    <w:p w14:paraId="3EFF6E5A" w14:textId="77777777" w:rsidR="00B95520" w:rsidRDefault="00B95520" w:rsidP="00B95520">
      <w:pPr>
        <w:spacing w:after="240"/>
        <w:contextualSpacing/>
        <w:jc w:val="both"/>
        <w:rPr>
          <w:rFonts w:cs="Arial"/>
          <w:b/>
        </w:rPr>
      </w:pPr>
    </w:p>
    <w:p w14:paraId="68394D0F" w14:textId="77777777" w:rsidR="00B95520" w:rsidRDefault="00B95520" w:rsidP="00B95520">
      <w:pPr>
        <w:spacing w:after="240"/>
        <w:contextualSpacing/>
        <w:jc w:val="both"/>
        <w:rPr>
          <w:rFonts w:cs="Arial"/>
          <w:b/>
        </w:rPr>
      </w:pPr>
    </w:p>
    <w:p w14:paraId="794E1488" w14:textId="77777777" w:rsidR="00B95520" w:rsidRDefault="00B95520" w:rsidP="00B95520">
      <w:pPr>
        <w:spacing w:after="240"/>
        <w:contextualSpacing/>
        <w:jc w:val="both"/>
        <w:rPr>
          <w:rFonts w:cs="Arial"/>
          <w:b/>
        </w:rPr>
      </w:pPr>
    </w:p>
    <w:p w14:paraId="4376AEAD" w14:textId="77777777" w:rsidR="00B95520" w:rsidRDefault="00B95520" w:rsidP="00B95520">
      <w:pPr>
        <w:spacing w:after="240"/>
        <w:contextualSpacing/>
        <w:jc w:val="both"/>
        <w:rPr>
          <w:rFonts w:cs="Arial"/>
          <w:b/>
        </w:rPr>
      </w:pPr>
    </w:p>
    <w:p w14:paraId="3B17F3B2" w14:textId="77777777" w:rsidR="00B95520" w:rsidRDefault="00B95520" w:rsidP="00B95520">
      <w:pPr>
        <w:spacing w:after="240"/>
        <w:contextualSpacing/>
        <w:jc w:val="both"/>
        <w:rPr>
          <w:rFonts w:cs="Arial"/>
          <w:b/>
        </w:rPr>
      </w:pPr>
    </w:p>
    <w:p w14:paraId="20ECCD21" w14:textId="77777777" w:rsidR="00B95520" w:rsidRDefault="00B95520" w:rsidP="00B95520">
      <w:pPr>
        <w:spacing w:after="240"/>
        <w:contextualSpacing/>
        <w:jc w:val="both"/>
        <w:rPr>
          <w:rFonts w:cs="Arial"/>
          <w:b/>
        </w:rPr>
      </w:pPr>
      <w:r>
        <w:rPr>
          <w:rFonts w:cs="Arial"/>
          <w:b/>
          <w:noProof/>
          <w:lang w:eastAsia="en-GB"/>
        </w:rPr>
        <mc:AlternateContent>
          <mc:Choice Requires="wps">
            <w:drawing>
              <wp:anchor distT="0" distB="0" distL="114300" distR="114300" simplePos="0" relativeHeight="251658253" behindDoc="0" locked="0" layoutInCell="1" allowOverlap="1" wp14:anchorId="6CB6F546" wp14:editId="61D1534C">
                <wp:simplePos x="0" y="0"/>
                <wp:positionH relativeFrom="column">
                  <wp:posOffset>1949450</wp:posOffset>
                </wp:positionH>
                <wp:positionV relativeFrom="paragraph">
                  <wp:posOffset>19050</wp:posOffset>
                </wp:positionV>
                <wp:extent cx="0" cy="488950"/>
                <wp:effectExtent l="95250" t="0" r="57150" b="63500"/>
                <wp:wrapNone/>
                <wp:docPr id="251" name="Straight Arrow Connector 2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488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74820FA" id="Straight Arrow Connector 251" o:spid="_x0000_s1026" type="#_x0000_t32" alt="&quot;&quot;" style="position:absolute;margin-left:153.5pt;margin-top:1.5pt;width:0;height:38.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" strokecolor="#002d80 [3044]">
                <v:stroke endarrow="open"/>
              </v:shape>
            </w:pict>
          </mc:Fallback>
        </mc:AlternateContent>
      </w:r>
    </w:p>
    <w:p w14:paraId="3786402F" w14:textId="77777777" w:rsidR="00B95520" w:rsidRDefault="00B95520" w:rsidP="00B95520">
      <w:pPr>
        <w:spacing w:after="240"/>
        <w:contextualSpacing/>
        <w:jc w:val="both"/>
        <w:rPr>
          <w:rFonts w:cs="Arial"/>
          <w:b/>
        </w:rPr>
      </w:pPr>
    </w:p>
    <w:p w14:paraId="345912B5" w14:textId="77777777" w:rsidR="00B95520" w:rsidRDefault="00B95520" w:rsidP="00B95520">
      <w:pPr>
        <w:spacing w:after="240"/>
        <w:contextualSpacing/>
        <w:jc w:val="both"/>
        <w:rPr>
          <w:rFonts w:cs="Arial"/>
          <w:b/>
        </w:rPr>
      </w:pPr>
      <w:r>
        <w:rPr>
          <w:rFonts w:cs="Arial"/>
          <w:b/>
          <w:noProof/>
          <w:lang w:eastAsia="en-GB"/>
        </w:rPr>
        <mc:AlternateContent>
          <mc:Choice Requires="wps">
            <w:drawing>
              <wp:anchor distT="0" distB="0" distL="114300" distR="114300" simplePos="0" relativeHeight="251658252" behindDoc="0" locked="0" layoutInCell="1" allowOverlap="1" wp14:anchorId="24A9ADE1" wp14:editId="1C8059B9">
                <wp:simplePos x="0" y="0"/>
                <wp:positionH relativeFrom="column">
                  <wp:posOffset>287655</wp:posOffset>
                </wp:positionH>
                <wp:positionV relativeFrom="paragraph">
                  <wp:posOffset>142875</wp:posOffset>
                </wp:positionV>
                <wp:extent cx="5216525" cy="1834515"/>
                <wp:effectExtent l="0" t="0" r="22225" b="13335"/>
                <wp:wrapNone/>
                <wp:docPr id="252" name="Rounded Rectangle 10"/>
                <wp:cNvGraphicFramePr/>
                <a:graphic xmlns:a="http://schemas.openxmlformats.org/drawingml/2006/main">
                  <a:graphicData uri="http://schemas.microsoft.com/office/word/2010/wordprocessingShape">
                    <wps:wsp>
                      <wps:cNvSpPr/>
                      <wps:spPr>
                        <a:xfrm>
                          <a:off x="0" y="0"/>
                          <a:ext cx="5216525" cy="1834515"/>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37F2A8" w14:textId="77777777" w:rsidR="00942266" w:rsidRPr="00507A00" w:rsidRDefault="00942266" w:rsidP="00B95520">
                            <w:pPr>
                              <w:rPr>
                                <w:color w:val="000000" w:themeColor="text1"/>
                                <w:sz w:val="18"/>
                                <w:szCs w:val="18"/>
                                <w:u w:val="single"/>
                              </w:rPr>
                            </w:pPr>
                            <w:r w:rsidRPr="00507A00">
                              <w:rPr>
                                <w:color w:val="000000" w:themeColor="text1"/>
                                <w:sz w:val="18"/>
                                <w:szCs w:val="18"/>
                                <w:u w:val="single"/>
                              </w:rPr>
                              <w:t>Accuracy check (Commissioners):</w:t>
                            </w:r>
                          </w:p>
                          <w:p w14:paraId="0464ED21" w14:textId="77777777" w:rsidR="00942266" w:rsidRPr="00507A00" w:rsidRDefault="00942266" w:rsidP="006C3DF5">
                            <w:pPr>
                              <w:pStyle w:val="ListParagraph"/>
                              <w:numPr>
                                <w:ilvl w:val="0"/>
                                <w:numId w:val="161"/>
                              </w:numPr>
                              <w:spacing w:after="200" w:line="276" w:lineRule="auto"/>
                              <w:rPr>
                                <w:color w:val="000000" w:themeColor="text1"/>
                                <w:sz w:val="18"/>
                                <w:szCs w:val="18"/>
                              </w:rPr>
                            </w:pPr>
                            <w:r w:rsidRPr="00507A00">
                              <w:rPr>
                                <w:color w:val="000000" w:themeColor="text1"/>
                                <w:sz w:val="18"/>
                                <w:szCs w:val="18"/>
                              </w:rPr>
                              <w:t xml:space="preserve">Check that financial assistance is required for service charge costs rather than for </w:t>
                            </w:r>
                            <w:r>
                              <w:rPr>
                                <w:color w:val="000000" w:themeColor="text1"/>
                                <w:sz w:val="18"/>
                                <w:szCs w:val="18"/>
                              </w:rPr>
                              <w:t xml:space="preserve">any </w:t>
                            </w:r>
                            <w:r w:rsidRPr="00507A00">
                              <w:rPr>
                                <w:color w:val="000000" w:themeColor="text1"/>
                                <w:sz w:val="18"/>
                                <w:szCs w:val="18"/>
                              </w:rPr>
                              <w:t>other reason/s.</w:t>
                            </w:r>
                          </w:p>
                          <w:p w14:paraId="2EE9CA27" w14:textId="77777777" w:rsidR="00942266" w:rsidRPr="00507A00" w:rsidRDefault="00942266" w:rsidP="006C3DF5">
                            <w:pPr>
                              <w:pStyle w:val="ListParagraph"/>
                              <w:numPr>
                                <w:ilvl w:val="0"/>
                                <w:numId w:val="161"/>
                              </w:numPr>
                              <w:spacing w:after="200" w:line="276" w:lineRule="auto"/>
                              <w:rPr>
                                <w:color w:val="000000" w:themeColor="text1"/>
                                <w:sz w:val="18"/>
                                <w:szCs w:val="18"/>
                              </w:rPr>
                            </w:pPr>
                            <w:r w:rsidRPr="00507A00">
                              <w:rPr>
                                <w:color w:val="000000" w:themeColor="text1"/>
                                <w:sz w:val="18"/>
                                <w:szCs w:val="18"/>
                              </w:rPr>
                              <w:t>Check accuracy and reasonableness of costs.</w:t>
                            </w:r>
                          </w:p>
                          <w:p w14:paraId="59FD18BA" w14:textId="77777777" w:rsidR="00942266" w:rsidRPr="00507A00" w:rsidRDefault="00942266" w:rsidP="006C3DF5">
                            <w:pPr>
                              <w:pStyle w:val="ListParagraph"/>
                              <w:numPr>
                                <w:ilvl w:val="0"/>
                                <w:numId w:val="161"/>
                              </w:numPr>
                              <w:spacing w:after="200" w:line="276" w:lineRule="auto"/>
                              <w:rPr>
                                <w:color w:val="000000" w:themeColor="text1"/>
                                <w:sz w:val="18"/>
                                <w:szCs w:val="18"/>
                              </w:rPr>
                            </w:pPr>
                            <w:r w:rsidRPr="00507A00">
                              <w:rPr>
                                <w:color w:val="000000" w:themeColor="text1"/>
                                <w:sz w:val="18"/>
                                <w:szCs w:val="18"/>
                              </w:rPr>
                              <w:t xml:space="preserve">Establish whether </w:t>
                            </w:r>
                            <w:r>
                              <w:rPr>
                                <w:color w:val="000000" w:themeColor="text1"/>
                                <w:sz w:val="18"/>
                                <w:szCs w:val="18"/>
                              </w:rPr>
                              <w:t xml:space="preserve">practice </w:t>
                            </w:r>
                            <w:r w:rsidRPr="00507A00">
                              <w:rPr>
                                <w:color w:val="000000" w:themeColor="text1"/>
                                <w:sz w:val="18"/>
                                <w:szCs w:val="18"/>
                              </w:rPr>
                              <w:t>wishes to apply for fixed term or annual review financial support.</w:t>
                            </w:r>
                          </w:p>
                          <w:p w14:paraId="5DAA7A40" w14:textId="77777777" w:rsidR="00942266" w:rsidRDefault="00942266" w:rsidP="006C3DF5">
                            <w:pPr>
                              <w:pStyle w:val="ListParagraph"/>
                              <w:numPr>
                                <w:ilvl w:val="0"/>
                                <w:numId w:val="161"/>
                              </w:numPr>
                              <w:spacing w:after="200" w:line="276" w:lineRule="auto"/>
                              <w:rPr>
                                <w:color w:val="000000" w:themeColor="text1"/>
                                <w:sz w:val="18"/>
                                <w:szCs w:val="18"/>
                              </w:rPr>
                            </w:pPr>
                            <w:r w:rsidRPr="00BE3AA8">
                              <w:rPr>
                                <w:color w:val="000000" w:themeColor="text1"/>
                                <w:sz w:val="18"/>
                                <w:szCs w:val="18"/>
                              </w:rPr>
                              <w:t xml:space="preserve">Clarify potential Year 1 financial assistance </w:t>
                            </w:r>
                            <w:r w:rsidRPr="00507A00">
                              <w:rPr>
                                <w:color w:val="000000" w:themeColor="text1"/>
                                <w:sz w:val="18"/>
                                <w:szCs w:val="18"/>
                              </w:rPr>
                              <w:t>affordability.</w:t>
                            </w:r>
                            <w:r w:rsidRPr="00627472">
                              <w:rPr>
                                <w:color w:val="000000" w:themeColor="text1"/>
                                <w:sz w:val="18"/>
                                <w:szCs w:val="18"/>
                              </w:rPr>
                              <w:t xml:space="preserve"> </w:t>
                            </w:r>
                          </w:p>
                          <w:p w14:paraId="7020CB8E" w14:textId="77777777" w:rsidR="00942266" w:rsidRPr="00C974C9" w:rsidRDefault="00942266" w:rsidP="006C3DF5">
                            <w:pPr>
                              <w:pStyle w:val="ListParagraph"/>
                              <w:numPr>
                                <w:ilvl w:val="0"/>
                                <w:numId w:val="161"/>
                              </w:numPr>
                              <w:spacing w:after="200" w:line="276" w:lineRule="auto"/>
                              <w:rPr>
                                <w:color w:val="000000" w:themeColor="text1"/>
                                <w:sz w:val="18"/>
                                <w:szCs w:val="18"/>
                              </w:rPr>
                            </w:pPr>
                            <w:r w:rsidRPr="00C974C9">
                              <w:rPr>
                                <w:color w:val="000000" w:themeColor="text1"/>
                                <w:sz w:val="18"/>
                                <w:szCs w:val="18"/>
                              </w:rPr>
                              <w:t>Confirm level of financial support for Year 1.</w:t>
                            </w:r>
                          </w:p>
                          <w:p w14:paraId="352DEC6A" w14:textId="77777777" w:rsidR="00942266" w:rsidRPr="00507A00" w:rsidRDefault="00942266" w:rsidP="00B6353E">
                            <w:pPr>
                              <w:pStyle w:val="ListParagraph"/>
                              <w:spacing w:after="200" w:line="276" w:lineRule="auto"/>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A9ADE1" id="Rounded Rectangle 10" o:spid="_x0000_s1038" style="position:absolute;left:0;text-align:left;margin-left:22.65pt;margin-top:11.25pt;width:410.75pt;height:144.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" fillcolor="#b3e1f5 [1303]" strokecolor="#001743 [1604]" strokeweight="2pt">
                <v:textbox>
                  <w:txbxContent>
                    <w:p w14:paraId="3337F2A8" w14:textId="77777777" w:rsidR="00942266" w:rsidRPr="00507A00" w:rsidRDefault="00942266" w:rsidP="00B95520">
                      <w:pPr>
                        <w:rPr>
                          <w:color w:val="000000" w:themeColor="text1"/>
                          <w:sz w:val="18"/>
                          <w:szCs w:val="18"/>
                          <w:u w:val="single"/>
                        </w:rPr>
                      </w:pPr>
                      <w:r w:rsidRPr="00507A00">
                        <w:rPr>
                          <w:color w:val="000000" w:themeColor="text1"/>
                          <w:sz w:val="18"/>
                          <w:szCs w:val="18"/>
                          <w:u w:val="single"/>
                        </w:rPr>
                        <w:t>Accuracy check (Commissioners):</w:t>
                      </w:r>
                    </w:p>
                    <w:p w14:paraId="0464ED21" w14:textId="77777777" w:rsidR="00942266" w:rsidRPr="00507A00" w:rsidRDefault="00942266" w:rsidP="006C3DF5">
                      <w:pPr>
                        <w:pStyle w:val="ListParagraph"/>
                        <w:numPr>
                          <w:ilvl w:val="0"/>
                          <w:numId w:val="161"/>
                        </w:numPr>
                        <w:spacing w:after="200" w:line="276" w:lineRule="auto"/>
                        <w:rPr>
                          <w:color w:val="000000" w:themeColor="text1"/>
                          <w:sz w:val="18"/>
                          <w:szCs w:val="18"/>
                        </w:rPr>
                      </w:pPr>
                      <w:r w:rsidRPr="00507A00">
                        <w:rPr>
                          <w:color w:val="000000" w:themeColor="text1"/>
                          <w:sz w:val="18"/>
                          <w:szCs w:val="18"/>
                        </w:rPr>
                        <w:t xml:space="preserve">Check that financial assistance is required for service charge costs rather than for </w:t>
                      </w:r>
                      <w:r>
                        <w:rPr>
                          <w:color w:val="000000" w:themeColor="text1"/>
                          <w:sz w:val="18"/>
                          <w:szCs w:val="18"/>
                        </w:rPr>
                        <w:t xml:space="preserve">any </w:t>
                      </w:r>
                      <w:r w:rsidRPr="00507A00">
                        <w:rPr>
                          <w:color w:val="000000" w:themeColor="text1"/>
                          <w:sz w:val="18"/>
                          <w:szCs w:val="18"/>
                        </w:rPr>
                        <w:t>other reason/s.</w:t>
                      </w:r>
                    </w:p>
                    <w:p w14:paraId="2EE9CA27" w14:textId="77777777" w:rsidR="00942266" w:rsidRPr="00507A00" w:rsidRDefault="00942266" w:rsidP="006C3DF5">
                      <w:pPr>
                        <w:pStyle w:val="ListParagraph"/>
                        <w:numPr>
                          <w:ilvl w:val="0"/>
                          <w:numId w:val="161"/>
                        </w:numPr>
                        <w:spacing w:after="200" w:line="276" w:lineRule="auto"/>
                        <w:rPr>
                          <w:color w:val="000000" w:themeColor="text1"/>
                          <w:sz w:val="18"/>
                          <w:szCs w:val="18"/>
                        </w:rPr>
                      </w:pPr>
                      <w:r w:rsidRPr="00507A00">
                        <w:rPr>
                          <w:color w:val="000000" w:themeColor="text1"/>
                          <w:sz w:val="18"/>
                          <w:szCs w:val="18"/>
                        </w:rPr>
                        <w:t>Check accuracy and reasonableness of costs.</w:t>
                      </w:r>
                    </w:p>
                    <w:p w14:paraId="59FD18BA" w14:textId="77777777" w:rsidR="00942266" w:rsidRPr="00507A00" w:rsidRDefault="00942266" w:rsidP="006C3DF5">
                      <w:pPr>
                        <w:pStyle w:val="ListParagraph"/>
                        <w:numPr>
                          <w:ilvl w:val="0"/>
                          <w:numId w:val="161"/>
                        </w:numPr>
                        <w:spacing w:after="200" w:line="276" w:lineRule="auto"/>
                        <w:rPr>
                          <w:color w:val="000000" w:themeColor="text1"/>
                          <w:sz w:val="18"/>
                          <w:szCs w:val="18"/>
                        </w:rPr>
                      </w:pPr>
                      <w:r w:rsidRPr="00507A00">
                        <w:rPr>
                          <w:color w:val="000000" w:themeColor="text1"/>
                          <w:sz w:val="18"/>
                          <w:szCs w:val="18"/>
                        </w:rPr>
                        <w:t xml:space="preserve">Establish whether </w:t>
                      </w:r>
                      <w:r>
                        <w:rPr>
                          <w:color w:val="000000" w:themeColor="text1"/>
                          <w:sz w:val="18"/>
                          <w:szCs w:val="18"/>
                        </w:rPr>
                        <w:t xml:space="preserve">practice </w:t>
                      </w:r>
                      <w:r w:rsidRPr="00507A00">
                        <w:rPr>
                          <w:color w:val="000000" w:themeColor="text1"/>
                          <w:sz w:val="18"/>
                          <w:szCs w:val="18"/>
                        </w:rPr>
                        <w:t>wishes to apply for fixed term or annual review financial support.</w:t>
                      </w:r>
                    </w:p>
                    <w:p w14:paraId="5DAA7A40" w14:textId="77777777" w:rsidR="00942266" w:rsidRDefault="00942266" w:rsidP="006C3DF5">
                      <w:pPr>
                        <w:pStyle w:val="ListParagraph"/>
                        <w:numPr>
                          <w:ilvl w:val="0"/>
                          <w:numId w:val="161"/>
                        </w:numPr>
                        <w:spacing w:after="200" w:line="276" w:lineRule="auto"/>
                        <w:rPr>
                          <w:color w:val="000000" w:themeColor="text1"/>
                          <w:sz w:val="18"/>
                          <w:szCs w:val="18"/>
                        </w:rPr>
                      </w:pPr>
                      <w:r w:rsidRPr="00BE3AA8">
                        <w:rPr>
                          <w:color w:val="000000" w:themeColor="text1"/>
                          <w:sz w:val="18"/>
                          <w:szCs w:val="18"/>
                        </w:rPr>
                        <w:t xml:space="preserve">Clarify potential Year 1 financial assistance </w:t>
                      </w:r>
                      <w:r w:rsidRPr="00507A00">
                        <w:rPr>
                          <w:color w:val="000000" w:themeColor="text1"/>
                          <w:sz w:val="18"/>
                          <w:szCs w:val="18"/>
                        </w:rPr>
                        <w:t>affordability.</w:t>
                      </w:r>
                      <w:r w:rsidRPr="00627472">
                        <w:rPr>
                          <w:color w:val="000000" w:themeColor="text1"/>
                          <w:sz w:val="18"/>
                          <w:szCs w:val="18"/>
                        </w:rPr>
                        <w:t xml:space="preserve"> </w:t>
                      </w:r>
                    </w:p>
                    <w:p w14:paraId="7020CB8E" w14:textId="77777777" w:rsidR="00942266" w:rsidRPr="00C974C9" w:rsidRDefault="00942266" w:rsidP="006C3DF5">
                      <w:pPr>
                        <w:pStyle w:val="ListParagraph"/>
                        <w:numPr>
                          <w:ilvl w:val="0"/>
                          <w:numId w:val="161"/>
                        </w:numPr>
                        <w:spacing w:after="200" w:line="276" w:lineRule="auto"/>
                        <w:rPr>
                          <w:color w:val="000000" w:themeColor="text1"/>
                          <w:sz w:val="18"/>
                          <w:szCs w:val="18"/>
                        </w:rPr>
                      </w:pPr>
                      <w:r w:rsidRPr="00C974C9">
                        <w:rPr>
                          <w:color w:val="000000" w:themeColor="text1"/>
                          <w:sz w:val="18"/>
                          <w:szCs w:val="18"/>
                        </w:rPr>
                        <w:t>Confirm level of financial support for Year 1.</w:t>
                      </w:r>
                    </w:p>
                    <w:p w14:paraId="352DEC6A" w14:textId="77777777" w:rsidR="00942266" w:rsidRPr="00507A00" w:rsidRDefault="00942266" w:rsidP="00B6353E">
                      <w:pPr>
                        <w:pStyle w:val="ListParagraph"/>
                        <w:spacing w:after="200" w:line="276" w:lineRule="auto"/>
                        <w:rPr>
                          <w:color w:val="000000" w:themeColor="text1"/>
                          <w:sz w:val="18"/>
                          <w:szCs w:val="18"/>
                        </w:rPr>
                      </w:pPr>
                    </w:p>
                  </w:txbxContent>
                </v:textbox>
              </v:roundrect>
            </w:pict>
          </mc:Fallback>
        </mc:AlternateContent>
      </w:r>
    </w:p>
    <w:p w14:paraId="582F761B" w14:textId="77777777" w:rsidR="00B95520" w:rsidRDefault="00B95520" w:rsidP="00B95520">
      <w:pPr>
        <w:spacing w:after="240"/>
        <w:contextualSpacing/>
        <w:jc w:val="both"/>
        <w:rPr>
          <w:rFonts w:cs="Arial"/>
          <w:b/>
        </w:rPr>
      </w:pPr>
    </w:p>
    <w:p w14:paraId="2FD2C72C" w14:textId="77777777" w:rsidR="00B95520" w:rsidRDefault="00B95520" w:rsidP="00B95520">
      <w:pPr>
        <w:spacing w:after="240"/>
        <w:contextualSpacing/>
        <w:jc w:val="both"/>
        <w:rPr>
          <w:rFonts w:cs="Arial"/>
          <w:b/>
        </w:rPr>
      </w:pPr>
    </w:p>
    <w:p w14:paraId="442FA2E6" w14:textId="77777777" w:rsidR="00B95520" w:rsidRDefault="00B95520" w:rsidP="00B95520">
      <w:pPr>
        <w:spacing w:after="240"/>
        <w:contextualSpacing/>
        <w:jc w:val="both"/>
        <w:rPr>
          <w:rFonts w:cs="Arial"/>
          <w:b/>
        </w:rPr>
      </w:pPr>
    </w:p>
    <w:p w14:paraId="72892911" w14:textId="77777777" w:rsidR="00B95520" w:rsidRDefault="00B95520" w:rsidP="00B95520">
      <w:pPr>
        <w:spacing w:after="240"/>
        <w:contextualSpacing/>
        <w:jc w:val="both"/>
        <w:rPr>
          <w:rFonts w:cs="Arial"/>
          <w:b/>
        </w:rPr>
      </w:pPr>
    </w:p>
    <w:p w14:paraId="12F97760" w14:textId="77777777" w:rsidR="00B95520" w:rsidRDefault="00B95520" w:rsidP="00B95520">
      <w:pPr>
        <w:spacing w:after="240"/>
        <w:contextualSpacing/>
        <w:jc w:val="both"/>
        <w:rPr>
          <w:rFonts w:cs="Arial"/>
          <w:b/>
        </w:rPr>
      </w:pPr>
    </w:p>
    <w:p w14:paraId="07655DA5" w14:textId="77777777" w:rsidR="00B95520" w:rsidRDefault="00B95520" w:rsidP="00B95520">
      <w:pPr>
        <w:spacing w:after="240"/>
        <w:contextualSpacing/>
        <w:jc w:val="both"/>
        <w:rPr>
          <w:rFonts w:cs="Arial"/>
          <w:b/>
        </w:rPr>
      </w:pPr>
    </w:p>
    <w:p w14:paraId="56C62628" w14:textId="77777777" w:rsidR="00B95520" w:rsidRDefault="00B95520" w:rsidP="00B95520">
      <w:pPr>
        <w:spacing w:after="240"/>
        <w:contextualSpacing/>
        <w:jc w:val="both"/>
        <w:rPr>
          <w:rFonts w:cs="Arial"/>
          <w:b/>
        </w:rPr>
      </w:pPr>
    </w:p>
    <w:p w14:paraId="0AB2B49C" w14:textId="77777777" w:rsidR="00B95520" w:rsidRDefault="00B95520" w:rsidP="00B95520">
      <w:pPr>
        <w:spacing w:after="240"/>
        <w:contextualSpacing/>
        <w:jc w:val="both"/>
        <w:rPr>
          <w:rFonts w:cs="Arial"/>
          <w:b/>
        </w:rPr>
      </w:pPr>
    </w:p>
    <w:p w14:paraId="04C7839E" w14:textId="77777777" w:rsidR="00B95520" w:rsidRDefault="00B95520" w:rsidP="00B95520">
      <w:pPr>
        <w:spacing w:after="240"/>
        <w:contextualSpacing/>
        <w:jc w:val="both"/>
        <w:rPr>
          <w:rFonts w:cs="Arial"/>
          <w:b/>
        </w:rPr>
      </w:pPr>
    </w:p>
    <w:p w14:paraId="7510E7B0" w14:textId="2BD40FF3" w:rsidR="00B95520" w:rsidRDefault="00B95520" w:rsidP="00B95520">
      <w:pPr>
        <w:spacing w:after="240"/>
        <w:contextualSpacing/>
        <w:jc w:val="both"/>
        <w:rPr>
          <w:rFonts w:cs="Arial"/>
          <w:b/>
        </w:rPr>
      </w:pPr>
    </w:p>
    <w:p w14:paraId="249539FC" w14:textId="0174B699" w:rsidR="00B95520" w:rsidRDefault="00645D74" w:rsidP="00B95520">
      <w:pPr>
        <w:spacing w:after="240"/>
        <w:contextualSpacing/>
        <w:jc w:val="both"/>
        <w:rPr>
          <w:rFonts w:cs="Arial"/>
          <w:b/>
        </w:rPr>
      </w:pPr>
      <w:r>
        <w:rPr>
          <w:rFonts w:cs="Arial"/>
          <w:b/>
          <w:noProof/>
          <w:lang w:eastAsia="en-GB"/>
        </w:rPr>
        <mc:AlternateContent>
          <mc:Choice Requires="wps">
            <w:drawing>
              <wp:anchor distT="0" distB="0" distL="114300" distR="114300" simplePos="0" relativeHeight="251658275" behindDoc="0" locked="0" layoutInCell="1" allowOverlap="1" wp14:anchorId="02FEBE8A" wp14:editId="36758724">
                <wp:simplePos x="0" y="0"/>
                <wp:positionH relativeFrom="column">
                  <wp:posOffset>1929765</wp:posOffset>
                </wp:positionH>
                <wp:positionV relativeFrom="paragraph">
                  <wp:posOffset>50165</wp:posOffset>
                </wp:positionV>
                <wp:extent cx="0" cy="216535"/>
                <wp:effectExtent l="95250" t="0" r="76200" b="50165"/>
                <wp:wrapNone/>
                <wp:docPr id="253" name="Straight Arrow Connector 2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165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B2B678" id="Straight Arrow Connector 253" o:spid="_x0000_s1026" type="#_x0000_t32" alt="&quot;&quot;" style="position:absolute;margin-left:151.95pt;margin-top:3.95pt;width:0;height:17.0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" strokecolor="#002d80 [3044]">
                <v:stroke endarrow="open"/>
              </v:shape>
            </w:pict>
          </mc:Fallback>
        </mc:AlternateContent>
      </w:r>
    </w:p>
    <w:p w14:paraId="0BDE3385" w14:textId="77777777" w:rsidR="00B95520" w:rsidRDefault="00B95520" w:rsidP="00B95520">
      <w:pPr>
        <w:spacing w:after="240"/>
        <w:contextualSpacing/>
        <w:jc w:val="both"/>
        <w:rPr>
          <w:rFonts w:cs="Arial"/>
          <w:b/>
        </w:rPr>
      </w:pPr>
      <w:r>
        <w:rPr>
          <w:rFonts w:cs="Arial"/>
          <w:b/>
          <w:noProof/>
          <w:lang w:eastAsia="en-GB"/>
        </w:rPr>
        <mc:AlternateContent>
          <mc:Choice Requires="wps">
            <w:drawing>
              <wp:anchor distT="0" distB="0" distL="114300" distR="114300" simplePos="0" relativeHeight="251658266" behindDoc="0" locked="0" layoutInCell="1" allowOverlap="1" wp14:anchorId="19DC72E0" wp14:editId="392FAA80">
                <wp:simplePos x="0" y="0"/>
                <wp:positionH relativeFrom="column">
                  <wp:posOffset>290195</wp:posOffset>
                </wp:positionH>
                <wp:positionV relativeFrom="paragraph">
                  <wp:posOffset>164465</wp:posOffset>
                </wp:positionV>
                <wp:extent cx="3322955" cy="1257300"/>
                <wp:effectExtent l="0" t="0" r="10795" b="19050"/>
                <wp:wrapNone/>
                <wp:docPr id="254" name="Oval 254"/>
                <wp:cNvGraphicFramePr/>
                <a:graphic xmlns:a="http://schemas.openxmlformats.org/drawingml/2006/main">
                  <a:graphicData uri="http://schemas.microsoft.com/office/word/2010/wordprocessingShape">
                    <wps:wsp>
                      <wps:cNvSpPr/>
                      <wps:spPr>
                        <a:xfrm>
                          <a:off x="0" y="0"/>
                          <a:ext cx="3322955" cy="1257300"/>
                        </a:xfrm>
                        <a:prstGeom prst="ellipse">
                          <a:avLst/>
                        </a:prstGeom>
                        <a:solidFill>
                          <a:schemeClr val="accent6">
                            <a:lumMod val="40000"/>
                            <a:lumOff val="60000"/>
                          </a:schemeClr>
                        </a:solidFill>
                        <a:ln w="25400" cap="flat" cmpd="sng" algn="ctr">
                          <a:solidFill>
                            <a:srgbClr val="4F81BD">
                              <a:shade val="50000"/>
                            </a:srgbClr>
                          </a:solidFill>
                          <a:prstDash val="solid"/>
                        </a:ln>
                        <a:effectLst/>
                      </wps:spPr>
                      <wps:txbx>
                        <w:txbxContent>
                          <w:p w14:paraId="73E249D4" w14:textId="77777777" w:rsidR="00942266" w:rsidRPr="004B45D4" w:rsidRDefault="00942266" w:rsidP="00B95520">
                            <w:pPr>
                              <w:jc w:val="center"/>
                            </w:pPr>
                            <w:r>
                              <w:rPr>
                                <w:sz w:val="18"/>
                                <w:szCs w:val="18"/>
                              </w:rPr>
                              <w:t xml:space="preserve">Following clarification, as necessary between commissioner and </w:t>
                            </w:r>
                            <w:r w:rsidRPr="004B45D4">
                              <w:rPr>
                                <w:sz w:val="18"/>
                                <w:szCs w:val="18"/>
                              </w:rPr>
                              <w:t xml:space="preserve">the </w:t>
                            </w:r>
                            <w:r>
                              <w:rPr>
                                <w:sz w:val="18"/>
                                <w:szCs w:val="18"/>
                              </w:rPr>
                              <w:t>practice, does the</w:t>
                            </w:r>
                            <w:r w:rsidRPr="00507A00">
                              <w:rPr>
                                <w:sz w:val="18"/>
                                <w:szCs w:val="18"/>
                              </w:rPr>
                              <w:t xml:space="preserve"> application pass the </w:t>
                            </w:r>
                            <w:r w:rsidRPr="004B45D4">
                              <w:rPr>
                                <w:sz w:val="18"/>
                                <w:szCs w:val="18"/>
                              </w:rPr>
                              <w:t>above</w:t>
                            </w:r>
                            <w:r>
                              <w:rPr>
                                <w:sz w:val="18"/>
                                <w:szCs w:val="18"/>
                              </w:rPr>
                              <w:t xml:space="preserve"> </w:t>
                            </w:r>
                            <w:r w:rsidRPr="004B45D4">
                              <w:rPr>
                                <w:sz w:val="18"/>
                                <w:szCs w:val="18"/>
                              </w:rPr>
                              <w:t xml:space="preserve">mentioned </w:t>
                            </w:r>
                            <w:r>
                              <w:rPr>
                                <w:sz w:val="18"/>
                                <w:szCs w:val="18"/>
                              </w:rPr>
                              <w:t xml:space="preserve">number </w:t>
                            </w:r>
                            <w:r w:rsidRPr="004B45D4">
                              <w:rPr>
                                <w:sz w:val="18"/>
                                <w:szCs w:val="18"/>
                              </w:rPr>
                              <w:t xml:space="preserve">checks for </w:t>
                            </w:r>
                            <w:r w:rsidRPr="00CF7A2C">
                              <w:rPr>
                                <w:sz w:val="18"/>
                                <w:szCs w:val="18"/>
                              </w:rPr>
                              <w:t>Year 1</w:t>
                            </w:r>
                            <w:r w:rsidRPr="00507A00">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DC72E0" id="Oval 254" o:spid="_x0000_s1039" style="position:absolute;left:0;text-align:left;margin-left:22.85pt;margin-top:12.95pt;width:261.65pt;height:99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" fillcolor="#c8ced3 [1305]" strokecolor="#385d8a" strokeweight="2pt">
                <v:textbox>
                  <w:txbxContent>
                    <w:p w14:paraId="73E249D4" w14:textId="77777777" w:rsidR="00942266" w:rsidRPr="004B45D4" w:rsidRDefault="00942266" w:rsidP="00B95520">
                      <w:pPr>
                        <w:jc w:val="center"/>
                      </w:pPr>
                      <w:r>
                        <w:rPr>
                          <w:sz w:val="18"/>
                          <w:szCs w:val="18"/>
                        </w:rPr>
                        <w:t xml:space="preserve">Following clarification, as necessary between commissioner and </w:t>
                      </w:r>
                      <w:r w:rsidRPr="004B45D4">
                        <w:rPr>
                          <w:sz w:val="18"/>
                          <w:szCs w:val="18"/>
                        </w:rPr>
                        <w:t xml:space="preserve">the </w:t>
                      </w:r>
                      <w:r>
                        <w:rPr>
                          <w:sz w:val="18"/>
                          <w:szCs w:val="18"/>
                        </w:rPr>
                        <w:t>practice, does the</w:t>
                      </w:r>
                      <w:r w:rsidRPr="00507A00">
                        <w:rPr>
                          <w:sz w:val="18"/>
                          <w:szCs w:val="18"/>
                        </w:rPr>
                        <w:t xml:space="preserve"> application pass the </w:t>
                      </w:r>
                      <w:proofErr w:type="gramStart"/>
                      <w:r w:rsidRPr="004B45D4">
                        <w:rPr>
                          <w:sz w:val="18"/>
                          <w:szCs w:val="18"/>
                        </w:rPr>
                        <w:t>above</w:t>
                      </w:r>
                      <w:r>
                        <w:rPr>
                          <w:sz w:val="18"/>
                          <w:szCs w:val="18"/>
                        </w:rPr>
                        <w:t xml:space="preserve"> </w:t>
                      </w:r>
                      <w:r w:rsidRPr="004B45D4">
                        <w:rPr>
                          <w:sz w:val="18"/>
                          <w:szCs w:val="18"/>
                        </w:rPr>
                        <w:t>mentioned</w:t>
                      </w:r>
                      <w:proofErr w:type="gramEnd"/>
                      <w:r w:rsidRPr="004B45D4">
                        <w:rPr>
                          <w:sz w:val="18"/>
                          <w:szCs w:val="18"/>
                        </w:rPr>
                        <w:t xml:space="preserve"> </w:t>
                      </w:r>
                      <w:r>
                        <w:rPr>
                          <w:sz w:val="18"/>
                          <w:szCs w:val="18"/>
                        </w:rPr>
                        <w:t xml:space="preserve">number </w:t>
                      </w:r>
                      <w:r w:rsidRPr="004B45D4">
                        <w:rPr>
                          <w:sz w:val="18"/>
                          <w:szCs w:val="18"/>
                        </w:rPr>
                        <w:t xml:space="preserve">checks for </w:t>
                      </w:r>
                      <w:r w:rsidRPr="00CF7A2C">
                        <w:rPr>
                          <w:sz w:val="18"/>
                          <w:szCs w:val="18"/>
                        </w:rPr>
                        <w:t>Year 1</w:t>
                      </w:r>
                      <w:r w:rsidRPr="00507A00">
                        <w:rPr>
                          <w:sz w:val="18"/>
                          <w:szCs w:val="18"/>
                        </w:rPr>
                        <w:t>?</w:t>
                      </w:r>
                    </w:p>
                  </w:txbxContent>
                </v:textbox>
              </v:oval>
            </w:pict>
          </mc:Fallback>
        </mc:AlternateContent>
      </w:r>
    </w:p>
    <w:p w14:paraId="666B26EB" w14:textId="77777777" w:rsidR="00B95520" w:rsidRDefault="00B95520" w:rsidP="00B95520">
      <w:pPr>
        <w:spacing w:after="240"/>
        <w:contextualSpacing/>
        <w:jc w:val="both"/>
        <w:rPr>
          <w:rFonts w:cs="Arial"/>
          <w:b/>
          <w:color w:val="FF0000"/>
        </w:rPr>
      </w:pPr>
      <w:r>
        <w:rPr>
          <w:rFonts w:cs="Arial"/>
          <w:b/>
          <w:noProof/>
          <w:lang w:eastAsia="en-GB"/>
        </w:rPr>
        <mc:AlternateContent>
          <mc:Choice Requires="wps">
            <w:drawing>
              <wp:anchor distT="0" distB="0" distL="114300" distR="114300" simplePos="0" relativeHeight="251658254" behindDoc="0" locked="0" layoutInCell="1" allowOverlap="1" wp14:anchorId="74ACCC61" wp14:editId="242991BD">
                <wp:simplePos x="0" y="0"/>
                <wp:positionH relativeFrom="column">
                  <wp:posOffset>4281170</wp:posOffset>
                </wp:positionH>
                <wp:positionV relativeFrom="paragraph">
                  <wp:posOffset>109855</wp:posOffset>
                </wp:positionV>
                <wp:extent cx="1575435" cy="1049020"/>
                <wp:effectExtent l="0" t="0" r="24765" b="17780"/>
                <wp:wrapNone/>
                <wp:docPr id="255" name="Rounded Rectangle 12"/>
                <wp:cNvGraphicFramePr/>
                <a:graphic xmlns:a="http://schemas.openxmlformats.org/drawingml/2006/main">
                  <a:graphicData uri="http://schemas.microsoft.com/office/word/2010/wordprocessingShape">
                    <wps:wsp>
                      <wps:cNvSpPr/>
                      <wps:spPr>
                        <a:xfrm>
                          <a:off x="0" y="0"/>
                          <a:ext cx="1575435" cy="104902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074E01" w14:textId="77777777" w:rsidR="00942266" w:rsidRPr="00507A00" w:rsidRDefault="00942266" w:rsidP="00B95520">
                            <w:pPr>
                              <w:jc w:val="center"/>
                              <w:rPr>
                                <w:color w:val="000000" w:themeColor="text1"/>
                                <w:sz w:val="18"/>
                                <w:szCs w:val="18"/>
                              </w:rPr>
                            </w:pPr>
                            <w:r>
                              <w:rPr>
                                <w:color w:val="000000" w:themeColor="text1"/>
                                <w:sz w:val="18"/>
                                <w:szCs w:val="18"/>
                              </w:rPr>
                              <w:t>Practice</w:t>
                            </w:r>
                            <w:r w:rsidRPr="00507A00">
                              <w:rPr>
                                <w:color w:val="000000" w:themeColor="text1"/>
                                <w:sz w:val="18"/>
                                <w:szCs w:val="18"/>
                              </w:rPr>
                              <w:t xml:space="preserve"> is not eligible for financial assistance towards service charge costs based on numbers </w:t>
                            </w:r>
                            <w:r>
                              <w:rPr>
                                <w:color w:val="000000" w:themeColor="text1"/>
                                <w:sz w:val="18"/>
                                <w:szCs w:val="18"/>
                              </w:rPr>
                              <w:t>provided</w:t>
                            </w:r>
                            <w:r w:rsidRPr="00507A00">
                              <w:rPr>
                                <w:color w:val="000000" w:themeColor="text1"/>
                                <w:sz w:val="18"/>
                                <w:szCs w:val="18"/>
                              </w:rPr>
                              <w:t xml:space="preserve"> for Year 1.</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CCC61" id="Rounded Rectangle 12" o:spid="_x0000_s1040" style="position:absolute;left:0;text-align:left;margin-left:337.1pt;margin-top:8.65pt;width:124.05pt;height:82.6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" fillcolor="#699dff [1300]" strokecolor="#001743 [1604]" strokeweight="2pt">
                <v:textbox inset="1mm,1mm,1mm,1mm">
                  <w:txbxContent>
                    <w:p w14:paraId="24074E01" w14:textId="77777777" w:rsidR="00942266" w:rsidRPr="00507A00" w:rsidRDefault="00942266" w:rsidP="00B95520">
                      <w:pPr>
                        <w:jc w:val="center"/>
                        <w:rPr>
                          <w:color w:val="000000" w:themeColor="text1"/>
                          <w:sz w:val="18"/>
                          <w:szCs w:val="18"/>
                        </w:rPr>
                      </w:pPr>
                      <w:r>
                        <w:rPr>
                          <w:color w:val="000000" w:themeColor="text1"/>
                          <w:sz w:val="18"/>
                          <w:szCs w:val="18"/>
                        </w:rPr>
                        <w:t>Practice</w:t>
                      </w:r>
                      <w:r w:rsidRPr="00507A00">
                        <w:rPr>
                          <w:color w:val="000000" w:themeColor="text1"/>
                          <w:sz w:val="18"/>
                          <w:szCs w:val="18"/>
                        </w:rPr>
                        <w:t xml:space="preserve"> is not eligible for financial assistance towards service charge costs based on numbers </w:t>
                      </w:r>
                      <w:r>
                        <w:rPr>
                          <w:color w:val="000000" w:themeColor="text1"/>
                          <w:sz w:val="18"/>
                          <w:szCs w:val="18"/>
                        </w:rPr>
                        <w:t>provided</w:t>
                      </w:r>
                      <w:r w:rsidRPr="00507A00">
                        <w:rPr>
                          <w:color w:val="000000" w:themeColor="text1"/>
                          <w:sz w:val="18"/>
                          <w:szCs w:val="18"/>
                        </w:rPr>
                        <w:t xml:space="preserve"> for Year 1.</w:t>
                      </w:r>
                    </w:p>
                  </w:txbxContent>
                </v:textbox>
              </v:roundrect>
            </w:pict>
          </mc:Fallback>
        </mc:AlternateContent>
      </w:r>
    </w:p>
    <w:p w14:paraId="37C0E8A7" w14:textId="77777777" w:rsidR="00B95520" w:rsidRDefault="00B95520" w:rsidP="00B95520">
      <w:pPr>
        <w:spacing w:after="240"/>
        <w:contextualSpacing/>
        <w:jc w:val="both"/>
        <w:rPr>
          <w:rFonts w:cs="Arial"/>
          <w:b/>
          <w:color w:val="FF0000"/>
        </w:rPr>
      </w:pPr>
      <w:r>
        <w:rPr>
          <w:rFonts w:cs="Arial"/>
          <w:b/>
          <w:noProof/>
          <w:lang w:eastAsia="en-GB"/>
        </w:rPr>
        <mc:AlternateContent>
          <mc:Choice Requires="wps">
            <w:drawing>
              <wp:anchor distT="0" distB="0" distL="114300" distR="114300" simplePos="0" relativeHeight="251658257" behindDoc="0" locked="0" layoutInCell="1" allowOverlap="1" wp14:anchorId="69C8B3BC" wp14:editId="53A4165A">
                <wp:simplePos x="0" y="0"/>
                <wp:positionH relativeFrom="column">
                  <wp:posOffset>3738880</wp:posOffset>
                </wp:positionH>
                <wp:positionV relativeFrom="paragraph">
                  <wp:posOffset>45209</wp:posOffset>
                </wp:positionV>
                <wp:extent cx="438785" cy="346526"/>
                <wp:effectExtent l="0" t="0" r="0" b="0"/>
                <wp:wrapNone/>
                <wp:docPr id="2048" name="Text Box 2048"/>
                <wp:cNvGraphicFramePr/>
                <a:graphic xmlns:a="http://schemas.openxmlformats.org/drawingml/2006/main">
                  <a:graphicData uri="http://schemas.microsoft.com/office/word/2010/wordprocessingShape">
                    <wps:wsp>
                      <wps:cNvSpPr txBox="1"/>
                      <wps:spPr>
                        <a:xfrm>
                          <a:off x="0" y="0"/>
                          <a:ext cx="438785" cy="3465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EC4867" w14:textId="77777777" w:rsidR="00942266" w:rsidRPr="00C455D0" w:rsidRDefault="00942266" w:rsidP="00B95520">
                            <w:pPr>
                              <w:rPr>
                                <w:b/>
                                <w:szCs w:val="24"/>
                              </w:rPr>
                            </w:pPr>
                            <w:r w:rsidRPr="00C455D0">
                              <w:rPr>
                                <w:b/>
                                <w:szCs w:val="24"/>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C8B3BC" id="Text Box 2048" o:spid="_x0000_s1041" type="#_x0000_t202" style="position:absolute;left:0;text-align:left;margin-left:294.4pt;margin-top:3.55pt;width:34.55pt;height:27.3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" filled="f" stroked="f" strokeweight=".5pt">
                <v:textbox>
                  <w:txbxContent>
                    <w:p w14:paraId="3BEC4867" w14:textId="77777777" w:rsidR="00942266" w:rsidRPr="00C455D0" w:rsidRDefault="00942266" w:rsidP="00B95520">
                      <w:pPr>
                        <w:rPr>
                          <w:b/>
                          <w:szCs w:val="24"/>
                        </w:rPr>
                      </w:pPr>
                      <w:r w:rsidRPr="00C455D0">
                        <w:rPr>
                          <w:b/>
                          <w:szCs w:val="24"/>
                        </w:rPr>
                        <w:t>No</w:t>
                      </w:r>
                    </w:p>
                  </w:txbxContent>
                </v:textbox>
              </v:shape>
            </w:pict>
          </mc:Fallback>
        </mc:AlternateContent>
      </w:r>
    </w:p>
    <w:p w14:paraId="7EAA1BFE" w14:textId="77777777" w:rsidR="00B95520" w:rsidRDefault="00B95520" w:rsidP="00B95520">
      <w:pPr>
        <w:spacing w:after="240"/>
        <w:contextualSpacing/>
        <w:jc w:val="both"/>
        <w:rPr>
          <w:rFonts w:cs="Arial"/>
          <w:b/>
          <w:color w:val="FF0000"/>
        </w:rPr>
      </w:pPr>
      <w:r>
        <w:rPr>
          <w:rFonts w:cs="Arial"/>
          <w:b/>
          <w:noProof/>
          <w:lang w:eastAsia="en-GB"/>
        </w:rPr>
        <mc:AlternateContent>
          <mc:Choice Requires="wps">
            <w:drawing>
              <wp:anchor distT="0" distB="0" distL="114300" distR="114300" simplePos="0" relativeHeight="251658256" behindDoc="0" locked="0" layoutInCell="1" allowOverlap="1" wp14:anchorId="58FA597A" wp14:editId="55CE4592">
                <wp:simplePos x="0" y="0"/>
                <wp:positionH relativeFrom="column">
                  <wp:posOffset>3568065</wp:posOffset>
                </wp:positionH>
                <wp:positionV relativeFrom="paragraph">
                  <wp:posOffset>119380</wp:posOffset>
                </wp:positionV>
                <wp:extent cx="720725" cy="0"/>
                <wp:effectExtent l="0" t="76200" r="22225" b="114300"/>
                <wp:wrapNone/>
                <wp:docPr id="2049" name="Straight Arrow Connector 20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207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D230E2" id="Straight Arrow Connector 2049" o:spid="_x0000_s1026" type="#_x0000_t32" alt="&quot;&quot;" style="position:absolute;margin-left:280.95pt;margin-top:9.4pt;width:56.75pt;height:0;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" strokecolor="#002d80 [3044]">
                <v:stroke endarrow="open"/>
              </v:shape>
            </w:pict>
          </mc:Fallback>
        </mc:AlternateContent>
      </w:r>
    </w:p>
    <w:p w14:paraId="5F00CA7F" w14:textId="77777777" w:rsidR="00B95520" w:rsidRDefault="00B95520" w:rsidP="00B95520">
      <w:pPr>
        <w:spacing w:after="240"/>
        <w:contextualSpacing/>
        <w:jc w:val="both"/>
        <w:rPr>
          <w:rFonts w:cs="Arial"/>
          <w:b/>
          <w:color w:val="FF0000"/>
        </w:rPr>
      </w:pPr>
    </w:p>
    <w:p w14:paraId="3C654147" w14:textId="77777777" w:rsidR="00B95520" w:rsidRDefault="00B95520" w:rsidP="00B95520">
      <w:pPr>
        <w:spacing w:after="240"/>
        <w:contextualSpacing/>
        <w:jc w:val="both"/>
        <w:rPr>
          <w:rFonts w:cs="Arial"/>
          <w:b/>
          <w:color w:val="FF0000"/>
        </w:rPr>
      </w:pPr>
    </w:p>
    <w:p w14:paraId="13862427" w14:textId="77777777" w:rsidR="00B95520" w:rsidRDefault="00B95520" w:rsidP="00B95520">
      <w:pPr>
        <w:spacing w:after="240"/>
        <w:contextualSpacing/>
        <w:jc w:val="both"/>
        <w:rPr>
          <w:rFonts w:cs="Arial"/>
          <w:b/>
          <w:color w:val="FF0000"/>
        </w:rPr>
      </w:pPr>
    </w:p>
    <w:p w14:paraId="1C259A1A" w14:textId="77777777" w:rsidR="00B95520" w:rsidRDefault="00B95520" w:rsidP="00B95520">
      <w:pPr>
        <w:spacing w:after="240"/>
        <w:contextualSpacing/>
        <w:jc w:val="both"/>
        <w:rPr>
          <w:rFonts w:cs="Arial"/>
          <w:b/>
          <w:color w:val="FF0000"/>
        </w:rPr>
      </w:pPr>
      <w:r>
        <w:rPr>
          <w:rFonts w:cs="Arial"/>
          <w:b/>
          <w:noProof/>
          <w:lang w:eastAsia="en-GB"/>
        </w:rPr>
        <mc:AlternateContent>
          <mc:Choice Requires="wps">
            <w:drawing>
              <wp:anchor distT="0" distB="0" distL="114300" distR="114300" simplePos="0" relativeHeight="251658259" behindDoc="0" locked="0" layoutInCell="1" allowOverlap="1" wp14:anchorId="30285E3A" wp14:editId="654FD58B">
                <wp:simplePos x="0" y="0"/>
                <wp:positionH relativeFrom="column">
                  <wp:posOffset>1913467</wp:posOffset>
                </wp:positionH>
                <wp:positionV relativeFrom="paragraph">
                  <wp:posOffset>59055</wp:posOffset>
                </wp:positionV>
                <wp:extent cx="0" cy="897467"/>
                <wp:effectExtent l="95250" t="0" r="57150" b="55245"/>
                <wp:wrapNone/>
                <wp:docPr id="2050" name="Straight Arrow Connector 20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8974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3891EF8" id="Straight Arrow Connector 2050" o:spid="_x0000_s1026" type="#_x0000_t32" alt="&quot;&quot;" style="position:absolute;margin-left:150.65pt;margin-top:4.65pt;width:0;height:70.65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" strokecolor="#002d80 [3044]">
                <v:stroke endarrow="open"/>
              </v:shape>
            </w:pict>
          </mc:Fallback>
        </mc:AlternateContent>
      </w:r>
    </w:p>
    <w:p w14:paraId="6995982E" w14:textId="77777777" w:rsidR="00B95520" w:rsidRDefault="00B95520" w:rsidP="00B95520">
      <w:pPr>
        <w:spacing w:after="240"/>
        <w:contextualSpacing/>
        <w:jc w:val="both"/>
        <w:rPr>
          <w:rFonts w:cs="Arial"/>
          <w:b/>
          <w:color w:val="FF0000"/>
        </w:rPr>
      </w:pPr>
    </w:p>
    <w:p w14:paraId="2AFC1A84" w14:textId="77777777" w:rsidR="00B95520" w:rsidRDefault="00B95520" w:rsidP="00B95520">
      <w:pPr>
        <w:spacing w:after="240"/>
        <w:contextualSpacing/>
        <w:jc w:val="both"/>
        <w:rPr>
          <w:rFonts w:cs="Arial"/>
          <w:b/>
          <w:szCs w:val="24"/>
          <w:u w:val="single"/>
        </w:rPr>
      </w:pPr>
      <w:r w:rsidRPr="00BE3AA8">
        <w:rPr>
          <w:rFonts w:cs="Arial"/>
          <w:b/>
          <w:noProof/>
          <w:szCs w:val="24"/>
          <w:u w:val="single"/>
          <w:lang w:eastAsia="en-GB"/>
        </w:rPr>
        <mc:AlternateContent>
          <mc:Choice Requires="wps">
            <w:drawing>
              <wp:anchor distT="0" distB="0" distL="114300" distR="114300" simplePos="0" relativeHeight="251658261" behindDoc="0" locked="0" layoutInCell="1" allowOverlap="1" wp14:anchorId="5FCDF7E6" wp14:editId="7BAC13A9">
                <wp:simplePos x="0" y="0"/>
                <wp:positionH relativeFrom="column">
                  <wp:posOffset>2001520</wp:posOffset>
                </wp:positionH>
                <wp:positionV relativeFrom="paragraph">
                  <wp:posOffset>10795</wp:posOffset>
                </wp:positionV>
                <wp:extent cx="521335" cy="330200"/>
                <wp:effectExtent l="0" t="0" r="0" b="0"/>
                <wp:wrapNone/>
                <wp:docPr id="2051" name="Text Box 2051"/>
                <wp:cNvGraphicFramePr/>
                <a:graphic xmlns:a="http://schemas.openxmlformats.org/drawingml/2006/main">
                  <a:graphicData uri="http://schemas.microsoft.com/office/word/2010/wordprocessingShape">
                    <wps:wsp>
                      <wps:cNvSpPr txBox="1"/>
                      <wps:spPr>
                        <a:xfrm>
                          <a:off x="0" y="0"/>
                          <a:ext cx="521335"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E604EB" w14:textId="77777777" w:rsidR="00942266" w:rsidRPr="00C455D0" w:rsidRDefault="00942266" w:rsidP="00B95520">
                            <w:pPr>
                              <w:rPr>
                                <w:b/>
                                <w:szCs w:val="24"/>
                              </w:rPr>
                            </w:pPr>
                            <w:r w:rsidRPr="00C455D0">
                              <w:rPr>
                                <w:b/>
                                <w:szCs w:val="24"/>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CDF7E6" id="Text Box 2051" o:spid="_x0000_s1042" type="#_x0000_t202" style="position:absolute;left:0;text-align:left;margin-left:157.6pt;margin-top:.85pt;width:41.05pt;height:26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" filled="f" stroked="f" strokeweight=".5pt">
                <v:textbox>
                  <w:txbxContent>
                    <w:p w14:paraId="59E604EB" w14:textId="77777777" w:rsidR="00942266" w:rsidRPr="00C455D0" w:rsidRDefault="00942266" w:rsidP="00B95520">
                      <w:pPr>
                        <w:rPr>
                          <w:b/>
                          <w:szCs w:val="24"/>
                        </w:rPr>
                      </w:pPr>
                      <w:r w:rsidRPr="00C455D0">
                        <w:rPr>
                          <w:b/>
                          <w:szCs w:val="24"/>
                        </w:rPr>
                        <w:t>Yes</w:t>
                      </w:r>
                    </w:p>
                  </w:txbxContent>
                </v:textbox>
              </v:shape>
            </w:pict>
          </mc:Fallback>
        </mc:AlternateContent>
      </w:r>
      <w:r>
        <w:rPr>
          <w:rFonts w:cs="Arial"/>
          <w:b/>
          <w:szCs w:val="24"/>
          <w:u w:val="single"/>
        </w:rPr>
        <w:br w:type="page"/>
      </w:r>
    </w:p>
    <w:p w14:paraId="249212D2" w14:textId="77777777" w:rsidR="00B95520" w:rsidRPr="00BE3AA8" w:rsidRDefault="00B95520" w:rsidP="00B95520">
      <w:pPr>
        <w:spacing w:after="240"/>
        <w:contextualSpacing/>
        <w:jc w:val="both"/>
        <w:rPr>
          <w:rFonts w:cs="Arial"/>
          <w:b/>
          <w:szCs w:val="24"/>
          <w:u w:val="single"/>
        </w:rPr>
      </w:pPr>
      <w:r>
        <w:rPr>
          <w:rFonts w:cs="Arial"/>
          <w:b/>
          <w:noProof/>
          <w:szCs w:val="24"/>
          <w:u w:val="single"/>
          <w:lang w:eastAsia="en-GB"/>
        </w:rPr>
        <mc:AlternateContent>
          <mc:Choice Requires="wps">
            <w:drawing>
              <wp:anchor distT="0" distB="0" distL="114300" distR="114300" simplePos="0" relativeHeight="251658276" behindDoc="0" locked="0" layoutInCell="1" allowOverlap="1" wp14:anchorId="137B23D2" wp14:editId="42C017BA">
                <wp:simplePos x="0" y="0"/>
                <wp:positionH relativeFrom="column">
                  <wp:posOffset>1945965</wp:posOffset>
                </wp:positionH>
                <wp:positionV relativeFrom="paragraph">
                  <wp:posOffset>64135</wp:posOffset>
                </wp:positionV>
                <wp:extent cx="21265" cy="520995"/>
                <wp:effectExtent l="76200" t="0" r="74295" b="50800"/>
                <wp:wrapNone/>
                <wp:docPr id="2052" name="Straight Arrow Connector 20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1265" cy="5209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CC1BC5" id="Straight Arrow Connector 2052" o:spid="_x0000_s1026" type="#_x0000_t32" alt="&quot;&quot;" style="position:absolute;margin-left:153.25pt;margin-top:5.05pt;width:1.65pt;height:41pt;z-index:2516582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" strokecolor="#002d80 [3044]">
                <v:stroke endarrow="open"/>
              </v:shape>
            </w:pict>
          </mc:Fallback>
        </mc:AlternateContent>
      </w:r>
      <w:r w:rsidRPr="00BE3AA8">
        <w:rPr>
          <w:rFonts w:cs="Arial"/>
          <w:b/>
          <w:szCs w:val="24"/>
          <w:u w:val="single"/>
        </w:rPr>
        <w:t>GATEWAY 3</w:t>
      </w:r>
    </w:p>
    <w:p w14:paraId="12E8C61A" w14:textId="77777777" w:rsidR="00B95520" w:rsidRDefault="00B95520" w:rsidP="00B95520">
      <w:pPr>
        <w:spacing w:after="240"/>
        <w:contextualSpacing/>
        <w:jc w:val="both"/>
        <w:rPr>
          <w:rFonts w:cs="Arial"/>
          <w:b/>
          <w:color w:val="FF0000"/>
        </w:rPr>
      </w:pPr>
    </w:p>
    <w:p w14:paraId="070495B0" w14:textId="77777777" w:rsidR="00B95520" w:rsidRDefault="00B95520" w:rsidP="00B95520">
      <w:pPr>
        <w:spacing w:after="240"/>
        <w:contextualSpacing/>
        <w:jc w:val="both"/>
        <w:rPr>
          <w:rFonts w:cs="Arial"/>
          <w:b/>
        </w:rPr>
      </w:pPr>
    </w:p>
    <w:p w14:paraId="55EF23EE" w14:textId="77777777" w:rsidR="00B95520" w:rsidRDefault="00B95520" w:rsidP="00B95520">
      <w:pPr>
        <w:spacing w:after="240"/>
        <w:contextualSpacing/>
        <w:jc w:val="both"/>
        <w:rPr>
          <w:rFonts w:cs="Arial"/>
          <w:b/>
        </w:rPr>
      </w:pPr>
      <w:r w:rsidRPr="002C168E">
        <w:rPr>
          <w:rFonts w:cs="Arial"/>
          <w:b/>
          <w:noProof/>
          <w:lang w:eastAsia="en-GB"/>
        </w:rPr>
        <mc:AlternateContent>
          <mc:Choice Requires="wps">
            <w:drawing>
              <wp:anchor distT="0" distB="0" distL="114300" distR="114300" simplePos="0" relativeHeight="251658258" behindDoc="0" locked="0" layoutInCell="1" allowOverlap="1" wp14:anchorId="5D64A51C" wp14:editId="11FB12D0">
                <wp:simplePos x="0" y="0"/>
                <wp:positionH relativeFrom="column">
                  <wp:posOffset>311785</wp:posOffset>
                </wp:positionH>
                <wp:positionV relativeFrom="paragraph">
                  <wp:posOffset>18666</wp:posOffset>
                </wp:positionV>
                <wp:extent cx="5486400" cy="779145"/>
                <wp:effectExtent l="0" t="0" r="19050" b="20955"/>
                <wp:wrapNone/>
                <wp:docPr id="2053" name="Rounded Rectangle 17"/>
                <wp:cNvGraphicFramePr/>
                <a:graphic xmlns:a="http://schemas.openxmlformats.org/drawingml/2006/main">
                  <a:graphicData uri="http://schemas.microsoft.com/office/word/2010/wordprocessingShape">
                    <wps:wsp>
                      <wps:cNvSpPr/>
                      <wps:spPr>
                        <a:xfrm>
                          <a:off x="0" y="0"/>
                          <a:ext cx="5486400" cy="779145"/>
                        </a:xfrm>
                        <a:prstGeom prst="roundRect">
                          <a:avLst/>
                        </a:prstGeom>
                        <a:solidFill>
                          <a:schemeClr val="bg2">
                            <a:lumMod val="40000"/>
                            <a:lumOff val="60000"/>
                          </a:schemeClr>
                        </a:solidFill>
                        <a:ln w="25400" cap="flat" cmpd="sng" algn="ctr">
                          <a:solidFill>
                            <a:srgbClr val="4F81BD">
                              <a:shade val="50000"/>
                            </a:srgbClr>
                          </a:solidFill>
                          <a:prstDash val="solid"/>
                        </a:ln>
                        <a:effectLst/>
                      </wps:spPr>
                      <wps:txbx>
                        <w:txbxContent>
                          <w:p w14:paraId="033EDC08" w14:textId="77777777" w:rsidR="00942266" w:rsidRPr="00507A00" w:rsidRDefault="00942266" w:rsidP="00B95520">
                            <w:pPr>
                              <w:rPr>
                                <w:sz w:val="18"/>
                                <w:szCs w:val="18"/>
                                <w:u w:val="single"/>
                              </w:rPr>
                            </w:pPr>
                            <w:r w:rsidRPr="00507A00">
                              <w:rPr>
                                <w:sz w:val="18"/>
                                <w:szCs w:val="18"/>
                                <w:u w:val="single"/>
                              </w:rPr>
                              <w:t xml:space="preserve">Continue to next </w:t>
                            </w:r>
                            <w:r>
                              <w:rPr>
                                <w:sz w:val="18"/>
                                <w:szCs w:val="18"/>
                                <w:u w:val="single"/>
                              </w:rPr>
                              <w:t xml:space="preserve">gateway </w:t>
                            </w:r>
                            <w:r w:rsidRPr="00507A00">
                              <w:rPr>
                                <w:sz w:val="18"/>
                                <w:szCs w:val="18"/>
                                <w:u w:val="single"/>
                              </w:rPr>
                              <w:t>(</w:t>
                            </w:r>
                            <w:r>
                              <w:rPr>
                                <w:sz w:val="18"/>
                                <w:szCs w:val="18"/>
                                <w:u w:val="single"/>
                              </w:rPr>
                              <w:t>Practice</w:t>
                            </w:r>
                            <w:r w:rsidRPr="00507A00">
                              <w:rPr>
                                <w:sz w:val="18"/>
                                <w:szCs w:val="18"/>
                                <w:u w:val="single"/>
                              </w:rPr>
                              <w:t>):</w:t>
                            </w:r>
                          </w:p>
                          <w:p w14:paraId="1D8BCCB1" w14:textId="77777777" w:rsidR="00942266" w:rsidRPr="00507A00" w:rsidRDefault="00942266" w:rsidP="006C3DF5">
                            <w:pPr>
                              <w:pStyle w:val="ListParagraph"/>
                              <w:numPr>
                                <w:ilvl w:val="0"/>
                                <w:numId w:val="160"/>
                              </w:numPr>
                              <w:spacing w:after="200"/>
                              <w:rPr>
                                <w:sz w:val="18"/>
                                <w:szCs w:val="18"/>
                              </w:rPr>
                            </w:pPr>
                            <w:r w:rsidRPr="004B45D4">
                              <w:rPr>
                                <w:sz w:val="18"/>
                                <w:szCs w:val="18"/>
                              </w:rPr>
                              <w:t xml:space="preserve">To complete Tabs </w:t>
                            </w:r>
                            <w:r>
                              <w:rPr>
                                <w:sz w:val="18"/>
                                <w:szCs w:val="18"/>
                              </w:rPr>
                              <w:t>3</w:t>
                            </w:r>
                            <w:r w:rsidRPr="004B45D4">
                              <w:rPr>
                                <w:sz w:val="18"/>
                                <w:szCs w:val="18"/>
                              </w:rPr>
                              <w:t xml:space="preserve"> &amp; </w:t>
                            </w:r>
                            <w:r>
                              <w:rPr>
                                <w:sz w:val="18"/>
                                <w:szCs w:val="18"/>
                              </w:rPr>
                              <w:t>4</w:t>
                            </w:r>
                            <w:r w:rsidRPr="004B45D4">
                              <w:rPr>
                                <w:sz w:val="18"/>
                                <w:szCs w:val="18"/>
                              </w:rPr>
                              <w:t xml:space="preserve"> with projections post Year 1 based on eith</w:t>
                            </w:r>
                            <w:r w:rsidRPr="00CF7A2C">
                              <w:rPr>
                                <w:sz w:val="18"/>
                                <w:szCs w:val="18"/>
                              </w:rPr>
                              <w:t>er fixed term or annual review request for financial assistance towards service charge support.</w:t>
                            </w:r>
                          </w:p>
                          <w:p w14:paraId="1738551B" w14:textId="77777777" w:rsidR="00942266" w:rsidRPr="00507A00" w:rsidRDefault="00942266" w:rsidP="00B95520">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64A51C" id="Rounded Rectangle 17" o:spid="_x0000_s1043" style="position:absolute;left:0;text-align:left;margin-left:24.55pt;margin-top:1.45pt;width:6in;height:61.3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" fillcolor="#dd96bc [1310]" strokecolor="#385d8a" strokeweight="2pt">
                <v:textbox>
                  <w:txbxContent>
                    <w:p w14:paraId="033EDC08" w14:textId="77777777" w:rsidR="00942266" w:rsidRPr="00507A00" w:rsidRDefault="00942266" w:rsidP="00B95520">
                      <w:pPr>
                        <w:rPr>
                          <w:sz w:val="18"/>
                          <w:szCs w:val="18"/>
                          <w:u w:val="single"/>
                        </w:rPr>
                      </w:pPr>
                      <w:r w:rsidRPr="00507A00">
                        <w:rPr>
                          <w:sz w:val="18"/>
                          <w:szCs w:val="18"/>
                          <w:u w:val="single"/>
                        </w:rPr>
                        <w:t xml:space="preserve">Continue to next </w:t>
                      </w:r>
                      <w:r>
                        <w:rPr>
                          <w:sz w:val="18"/>
                          <w:szCs w:val="18"/>
                          <w:u w:val="single"/>
                        </w:rPr>
                        <w:t xml:space="preserve">gateway </w:t>
                      </w:r>
                      <w:r w:rsidRPr="00507A00">
                        <w:rPr>
                          <w:sz w:val="18"/>
                          <w:szCs w:val="18"/>
                          <w:u w:val="single"/>
                        </w:rPr>
                        <w:t>(</w:t>
                      </w:r>
                      <w:r>
                        <w:rPr>
                          <w:sz w:val="18"/>
                          <w:szCs w:val="18"/>
                          <w:u w:val="single"/>
                        </w:rPr>
                        <w:t>Practice</w:t>
                      </w:r>
                      <w:r w:rsidRPr="00507A00">
                        <w:rPr>
                          <w:sz w:val="18"/>
                          <w:szCs w:val="18"/>
                          <w:u w:val="single"/>
                        </w:rPr>
                        <w:t>):</w:t>
                      </w:r>
                    </w:p>
                    <w:p w14:paraId="1D8BCCB1" w14:textId="77777777" w:rsidR="00942266" w:rsidRPr="00507A00" w:rsidRDefault="00942266" w:rsidP="006C3DF5">
                      <w:pPr>
                        <w:pStyle w:val="ListParagraph"/>
                        <w:numPr>
                          <w:ilvl w:val="0"/>
                          <w:numId w:val="160"/>
                        </w:numPr>
                        <w:spacing w:after="200"/>
                        <w:rPr>
                          <w:sz w:val="18"/>
                          <w:szCs w:val="18"/>
                        </w:rPr>
                      </w:pPr>
                      <w:r w:rsidRPr="004B45D4">
                        <w:rPr>
                          <w:sz w:val="18"/>
                          <w:szCs w:val="18"/>
                        </w:rPr>
                        <w:t xml:space="preserve">To complete Tabs </w:t>
                      </w:r>
                      <w:r>
                        <w:rPr>
                          <w:sz w:val="18"/>
                          <w:szCs w:val="18"/>
                        </w:rPr>
                        <w:t>3</w:t>
                      </w:r>
                      <w:r w:rsidRPr="004B45D4">
                        <w:rPr>
                          <w:sz w:val="18"/>
                          <w:szCs w:val="18"/>
                        </w:rPr>
                        <w:t xml:space="preserve"> &amp; </w:t>
                      </w:r>
                      <w:r>
                        <w:rPr>
                          <w:sz w:val="18"/>
                          <w:szCs w:val="18"/>
                        </w:rPr>
                        <w:t>4</w:t>
                      </w:r>
                      <w:r w:rsidRPr="004B45D4">
                        <w:rPr>
                          <w:sz w:val="18"/>
                          <w:szCs w:val="18"/>
                        </w:rPr>
                        <w:t xml:space="preserve"> with projections post Year 1 based on eith</w:t>
                      </w:r>
                      <w:r w:rsidRPr="00CF7A2C">
                        <w:rPr>
                          <w:sz w:val="18"/>
                          <w:szCs w:val="18"/>
                        </w:rPr>
                        <w:t>er fixed term or annual review request for financial assistance towards service charge support.</w:t>
                      </w:r>
                    </w:p>
                    <w:p w14:paraId="1738551B" w14:textId="77777777" w:rsidR="00942266" w:rsidRPr="00507A00" w:rsidRDefault="00942266" w:rsidP="00B95520">
                      <w:pPr>
                        <w:rPr>
                          <w:sz w:val="18"/>
                          <w:szCs w:val="18"/>
                        </w:rPr>
                      </w:pPr>
                    </w:p>
                  </w:txbxContent>
                </v:textbox>
              </v:roundrect>
            </w:pict>
          </mc:Fallback>
        </mc:AlternateContent>
      </w:r>
    </w:p>
    <w:p w14:paraId="524234A1" w14:textId="77777777" w:rsidR="00B95520" w:rsidRDefault="00B95520" w:rsidP="00B95520">
      <w:pPr>
        <w:spacing w:after="240"/>
        <w:contextualSpacing/>
        <w:jc w:val="both"/>
        <w:rPr>
          <w:rFonts w:cs="Arial"/>
          <w:b/>
        </w:rPr>
      </w:pPr>
    </w:p>
    <w:p w14:paraId="50E9F627" w14:textId="77777777" w:rsidR="00B95520" w:rsidRDefault="00B95520" w:rsidP="00B95520">
      <w:pPr>
        <w:spacing w:after="240"/>
        <w:contextualSpacing/>
        <w:jc w:val="both"/>
        <w:rPr>
          <w:rFonts w:cs="Arial"/>
          <w:b/>
        </w:rPr>
      </w:pPr>
    </w:p>
    <w:p w14:paraId="3A952510" w14:textId="77777777" w:rsidR="00B95520" w:rsidRDefault="00B95520" w:rsidP="00B95520">
      <w:pPr>
        <w:spacing w:after="240"/>
        <w:contextualSpacing/>
        <w:jc w:val="both"/>
        <w:rPr>
          <w:rFonts w:cs="Arial"/>
          <w:b/>
        </w:rPr>
      </w:pPr>
    </w:p>
    <w:p w14:paraId="06BBAA10" w14:textId="77777777" w:rsidR="00B95520" w:rsidRDefault="00B95520" w:rsidP="00B95520">
      <w:pPr>
        <w:spacing w:after="240"/>
        <w:contextualSpacing/>
        <w:jc w:val="both"/>
        <w:rPr>
          <w:rFonts w:cs="Arial"/>
          <w:b/>
        </w:rPr>
      </w:pPr>
      <w:r>
        <w:rPr>
          <w:rFonts w:cs="Arial"/>
          <w:b/>
          <w:noProof/>
          <w:lang w:eastAsia="en-GB"/>
        </w:rPr>
        <mc:AlternateContent>
          <mc:Choice Requires="wps">
            <w:drawing>
              <wp:anchor distT="0" distB="0" distL="114300" distR="114300" simplePos="0" relativeHeight="251658264" behindDoc="0" locked="0" layoutInCell="1" allowOverlap="1" wp14:anchorId="38750461" wp14:editId="5E5B196E">
                <wp:simplePos x="0" y="0"/>
                <wp:positionH relativeFrom="column">
                  <wp:posOffset>1969770</wp:posOffset>
                </wp:positionH>
                <wp:positionV relativeFrom="paragraph">
                  <wp:posOffset>94615</wp:posOffset>
                </wp:positionV>
                <wp:extent cx="0" cy="234315"/>
                <wp:effectExtent l="95250" t="0" r="57150" b="51435"/>
                <wp:wrapNone/>
                <wp:docPr id="2054" name="Straight Arrow Connector 20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343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E7AAB8" id="Straight Arrow Connector 2054" o:spid="_x0000_s1026" type="#_x0000_t32" alt="&quot;&quot;" style="position:absolute;margin-left:155.1pt;margin-top:7.45pt;width:0;height:18.4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" strokecolor="#002d80 [3044]">
                <v:stroke endarrow="open"/>
              </v:shape>
            </w:pict>
          </mc:Fallback>
        </mc:AlternateContent>
      </w:r>
    </w:p>
    <w:p w14:paraId="6877D3B8" w14:textId="77777777" w:rsidR="00B95520" w:rsidRDefault="00B95520" w:rsidP="00B95520">
      <w:pPr>
        <w:spacing w:after="240"/>
        <w:contextualSpacing/>
        <w:jc w:val="both"/>
        <w:rPr>
          <w:rFonts w:cs="Arial"/>
          <w:b/>
        </w:rPr>
      </w:pPr>
      <w:r w:rsidRPr="002C168E">
        <w:rPr>
          <w:rFonts w:cs="Arial"/>
          <w:b/>
          <w:noProof/>
          <w:lang w:eastAsia="en-GB"/>
        </w:rPr>
        <mc:AlternateContent>
          <mc:Choice Requires="wps">
            <w:drawing>
              <wp:anchor distT="0" distB="0" distL="114300" distR="114300" simplePos="0" relativeHeight="251658262" behindDoc="0" locked="0" layoutInCell="1" allowOverlap="1" wp14:anchorId="36558549" wp14:editId="09E71D29">
                <wp:simplePos x="0" y="0"/>
                <wp:positionH relativeFrom="column">
                  <wp:posOffset>389890</wp:posOffset>
                </wp:positionH>
                <wp:positionV relativeFrom="paragraph">
                  <wp:posOffset>145415</wp:posOffset>
                </wp:positionV>
                <wp:extent cx="5520690" cy="1629410"/>
                <wp:effectExtent l="0" t="0" r="22860" b="27940"/>
                <wp:wrapNone/>
                <wp:docPr id="2055" name="Rounded Rectangle 20"/>
                <wp:cNvGraphicFramePr/>
                <a:graphic xmlns:a="http://schemas.openxmlformats.org/drawingml/2006/main">
                  <a:graphicData uri="http://schemas.microsoft.com/office/word/2010/wordprocessingShape">
                    <wps:wsp>
                      <wps:cNvSpPr/>
                      <wps:spPr>
                        <a:xfrm>
                          <a:off x="0" y="0"/>
                          <a:ext cx="5520690" cy="1629410"/>
                        </a:xfrm>
                        <a:prstGeom prst="roundRect">
                          <a:avLst/>
                        </a:prstGeom>
                        <a:solidFill>
                          <a:schemeClr val="accent4">
                            <a:lumMod val="40000"/>
                            <a:lumOff val="60000"/>
                          </a:schemeClr>
                        </a:solidFill>
                        <a:ln w="25400" cap="flat" cmpd="sng" algn="ctr">
                          <a:solidFill>
                            <a:srgbClr val="4F81BD">
                              <a:shade val="50000"/>
                            </a:srgbClr>
                          </a:solidFill>
                          <a:prstDash val="solid"/>
                        </a:ln>
                        <a:effectLst/>
                      </wps:spPr>
                      <wps:txbx>
                        <w:txbxContent>
                          <w:p w14:paraId="2DD59067" w14:textId="10BCF1B4" w:rsidR="00942266" w:rsidRPr="00507A00" w:rsidRDefault="00942266" w:rsidP="00B95520">
                            <w:pPr>
                              <w:rPr>
                                <w:sz w:val="18"/>
                                <w:szCs w:val="18"/>
                                <w:u w:val="single"/>
                              </w:rPr>
                            </w:pPr>
                            <w:r w:rsidRPr="00507A00">
                              <w:rPr>
                                <w:sz w:val="18"/>
                                <w:szCs w:val="18"/>
                                <w:u w:val="single"/>
                              </w:rPr>
                              <w:t>Accuracy check</w:t>
                            </w:r>
                            <w:r>
                              <w:rPr>
                                <w:sz w:val="18"/>
                                <w:szCs w:val="18"/>
                                <w:u w:val="single"/>
                              </w:rPr>
                              <w:t>s</w:t>
                            </w:r>
                            <w:r w:rsidRPr="00507A00">
                              <w:rPr>
                                <w:sz w:val="18"/>
                                <w:szCs w:val="18"/>
                                <w:u w:val="single"/>
                              </w:rPr>
                              <w:t xml:space="preserve"> (Commissioners):</w:t>
                            </w:r>
                          </w:p>
                          <w:p w14:paraId="75118B18" w14:textId="77777777" w:rsidR="00942266" w:rsidRPr="00A879B7" w:rsidRDefault="00942266" w:rsidP="006C3DF5">
                            <w:pPr>
                              <w:pStyle w:val="ListParagraph"/>
                              <w:numPr>
                                <w:ilvl w:val="0"/>
                                <w:numId w:val="161"/>
                              </w:numPr>
                              <w:spacing w:after="200" w:line="276" w:lineRule="auto"/>
                              <w:rPr>
                                <w:sz w:val="18"/>
                                <w:szCs w:val="18"/>
                              </w:rPr>
                            </w:pPr>
                            <w:r w:rsidRPr="00A879B7">
                              <w:rPr>
                                <w:sz w:val="18"/>
                                <w:szCs w:val="18"/>
                              </w:rPr>
                              <w:t>Check that financial assistance is required for service charge costs rather than for other reason/s.</w:t>
                            </w:r>
                          </w:p>
                          <w:p w14:paraId="3D120317" w14:textId="77777777" w:rsidR="00942266" w:rsidRPr="002C168E" w:rsidRDefault="00942266" w:rsidP="006C3DF5">
                            <w:pPr>
                              <w:pStyle w:val="ListParagraph"/>
                              <w:numPr>
                                <w:ilvl w:val="0"/>
                                <w:numId w:val="161"/>
                              </w:numPr>
                              <w:spacing w:after="200" w:line="276" w:lineRule="auto"/>
                              <w:rPr>
                                <w:sz w:val="18"/>
                                <w:szCs w:val="18"/>
                              </w:rPr>
                            </w:pPr>
                            <w:r w:rsidRPr="002C168E">
                              <w:rPr>
                                <w:sz w:val="18"/>
                                <w:szCs w:val="18"/>
                              </w:rPr>
                              <w:t>Check accuracy and reasonableness of costs.</w:t>
                            </w:r>
                          </w:p>
                          <w:p w14:paraId="770D6E6E" w14:textId="77777777" w:rsidR="00942266" w:rsidRPr="002C168E" w:rsidRDefault="00942266" w:rsidP="006C3DF5">
                            <w:pPr>
                              <w:pStyle w:val="ListParagraph"/>
                              <w:numPr>
                                <w:ilvl w:val="0"/>
                                <w:numId w:val="161"/>
                              </w:numPr>
                              <w:spacing w:after="200" w:line="276" w:lineRule="auto"/>
                              <w:rPr>
                                <w:sz w:val="18"/>
                                <w:szCs w:val="18"/>
                              </w:rPr>
                            </w:pPr>
                            <w:r>
                              <w:rPr>
                                <w:sz w:val="18"/>
                                <w:szCs w:val="18"/>
                              </w:rPr>
                              <w:t xml:space="preserve">Confirm again </w:t>
                            </w:r>
                            <w:r w:rsidRPr="002C168E">
                              <w:rPr>
                                <w:sz w:val="18"/>
                                <w:szCs w:val="18"/>
                              </w:rPr>
                              <w:t xml:space="preserve">whether </w:t>
                            </w:r>
                            <w:r>
                              <w:rPr>
                                <w:sz w:val="18"/>
                                <w:szCs w:val="18"/>
                              </w:rPr>
                              <w:t>practice w</w:t>
                            </w:r>
                            <w:r w:rsidRPr="002C168E">
                              <w:rPr>
                                <w:sz w:val="18"/>
                                <w:szCs w:val="18"/>
                              </w:rPr>
                              <w:t>ishes to apply for fixed term or annual review financial support.</w:t>
                            </w:r>
                          </w:p>
                          <w:p w14:paraId="59527370" w14:textId="77777777" w:rsidR="00942266" w:rsidRDefault="00942266" w:rsidP="006C3DF5">
                            <w:pPr>
                              <w:pStyle w:val="ListParagraph"/>
                              <w:numPr>
                                <w:ilvl w:val="0"/>
                                <w:numId w:val="161"/>
                              </w:numPr>
                              <w:spacing w:after="200" w:line="276" w:lineRule="auto"/>
                              <w:rPr>
                                <w:sz w:val="18"/>
                                <w:szCs w:val="18"/>
                              </w:rPr>
                            </w:pPr>
                            <w:r w:rsidRPr="00BE3AA8">
                              <w:rPr>
                                <w:sz w:val="18"/>
                                <w:szCs w:val="18"/>
                              </w:rPr>
                              <w:t xml:space="preserve">Clarify potential </w:t>
                            </w:r>
                            <w:r w:rsidRPr="002C168E">
                              <w:rPr>
                                <w:sz w:val="18"/>
                                <w:szCs w:val="18"/>
                              </w:rPr>
                              <w:t>affordability</w:t>
                            </w:r>
                            <w:r>
                              <w:rPr>
                                <w:sz w:val="18"/>
                                <w:szCs w:val="18"/>
                              </w:rPr>
                              <w:t xml:space="preserve"> of financial assistance post Year 1</w:t>
                            </w:r>
                            <w:r w:rsidRPr="002C168E">
                              <w:rPr>
                                <w:sz w:val="18"/>
                                <w:szCs w:val="18"/>
                              </w:rPr>
                              <w:t>.</w:t>
                            </w:r>
                          </w:p>
                          <w:p w14:paraId="4B2364BB" w14:textId="77777777" w:rsidR="00942266" w:rsidRPr="005264AB" w:rsidRDefault="00942266" w:rsidP="006C3DF5">
                            <w:pPr>
                              <w:pStyle w:val="ListParagraph"/>
                              <w:numPr>
                                <w:ilvl w:val="0"/>
                                <w:numId w:val="161"/>
                              </w:numPr>
                              <w:spacing w:after="200" w:line="276" w:lineRule="auto"/>
                              <w:rPr>
                                <w:sz w:val="18"/>
                                <w:szCs w:val="18"/>
                              </w:rPr>
                            </w:pPr>
                            <w:r w:rsidRPr="005264AB">
                              <w:rPr>
                                <w:sz w:val="18"/>
                                <w:szCs w:val="18"/>
                              </w:rPr>
                              <w:t>Confirm level of financial support for after Year 1.</w:t>
                            </w:r>
                          </w:p>
                          <w:p w14:paraId="27DC39FE" w14:textId="77777777" w:rsidR="00942266" w:rsidRPr="00507A00" w:rsidRDefault="00942266" w:rsidP="00B6353E">
                            <w:pPr>
                              <w:pStyle w:val="ListParagraph"/>
                              <w:spacing w:after="200" w:line="276"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558549" id="Rounded Rectangle 20" o:spid="_x0000_s1044" style="position:absolute;left:0;text-align:left;margin-left:30.7pt;margin-top:11.45pt;width:434.7pt;height:128.3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" fillcolor="#b3e1f5 [1303]" strokecolor="#385d8a" strokeweight="2pt">
                <v:textbox>
                  <w:txbxContent>
                    <w:p w14:paraId="2DD59067" w14:textId="10BCF1B4" w:rsidR="00942266" w:rsidRPr="00507A00" w:rsidRDefault="00942266" w:rsidP="00B95520">
                      <w:pPr>
                        <w:rPr>
                          <w:sz w:val="18"/>
                          <w:szCs w:val="18"/>
                          <w:u w:val="single"/>
                        </w:rPr>
                      </w:pPr>
                      <w:r w:rsidRPr="00507A00">
                        <w:rPr>
                          <w:sz w:val="18"/>
                          <w:szCs w:val="18"/>
                          <w:u w:val="single"/>
                        </w:rPr>
                        <w:t>Accuracy check</w:t>
                      </w:r>
                      <w:r>
                        <w:rPr>
                          <w:sz w:val="18"/>
                          <w:szCs w:val="18"/>
                          <w:u w:val="single"/>
                        </w:rPr>
                        <w:t>s</w:t>
                      </w:r>
                      <w:r w:rsidRPr="00507A00">
                        <w:rPr>
                          <w:sz w:val="18"/>
                          <w:szCs w:val="18"/>
                          <w:u w:val="single"/>
                        </w:rPr>
                        <w:t xml:space="preserve"> (Commissioners):</w:t>
                      </w:r>
                    </w:p>
                    <w:p w14:paraId="75118B18" w14:textId="77777777" w:rsidR="00942266" w:rsidRPr="00A879B7" w:rsidRDefault="00942266" w:rsidP="006C3DF5">
                      <w:pPr>
                        <w:pStyle w:val="ListParagraph"/>
                        <w:numPr>
                          <w:ilvl w:val="0"/>
                          <w:numId w:val="161"/>
                        </w:numPr>
                        <w:spacing w:after="200" w:line="276" w:lineRule="auto"/>
                        <w:rPr>
                          <w:sz w:val="18"/>
                          <w:szCs w:val="18"/>
                        </w:rPr>
                      </w:pPr>
                      <w:r w:rsidRPr="00A879B7">
                        <w:rPr>
                          <w:sz w:val="18"/>
                          <w:szCs w:val="18"/>
                        </w:rPr>
                        <w:t>Check that financial assistance is required for service charge costs rather than for other reason/s.</w:t>
                      </w:r>
                    </w:p>
                    <w:p w14:paraId="3D120317" w14:textId="77777777" w:rsidR="00942266" w:rsidRPr="002C168E" w:rsidRDefault="00942266" w:rsidP="006C3DF5">
                      <w:pPr>
                        <w:pStyle w:val="ListParagraph"/>
                        <w:numPr>
                          <w:ilvl w:val="0"/>
                          <w:numId w:val="161"/>
                        </w:numPr>
                        <w:spacing w:after="200" w:line="276" w:lineRule="auto"/>
                        <w:rPr>
                          <w:sz w:val="18"/>
                          <w:szCs w:val="18"/>
                        </w:rPr>
                      </w:pPr>
                      <w:r w:rsidRPr="002C168E">
                        <w:rPr>
                          <w:sz w:val="18"/>
                          <w:szCs w:val="18"/>
                        </w:rPr>
                        <w:t>Check accuracy and reasonableness of costs.</w:t>
                      </w:r>
                    </w:p>
                    <w:p w14:paraId="770D6E6E" w14:textId="77777777" w:rsidR="00942266" w:rsidRPr="002C168E" w:rsidRDefault="00942266" w:rsidP="006C3DF5">
                      <w:pPr>
                        <w:pStyle w:val="ListParagraph"/>
                        <w:numPr>
                          <w:ilvl w:val="0"/>
                          <w:numId w:val="161"/>
                        </w:numPr>
                        <w:spacing w:after="200" w:line="276" w:lineRule="auto"/>
                        <w:rPr>
                          <w:sz w:val="18"/>
                          <w:szCs w:val="18"/>
                        </w:rPr>
                      </w:pPr>
                      <w:r>
                        <w:rPr>
                          <w:sz w:val="18"/>
                          <w:szCs w:val="18"/>
                        </w:rPr>
                        <w:t xml:space="preserve">Confirm again </w:t>
                      </w:r>
                      <w:r w:rsidRPr="002C168E">
                        <w:rPr>
                          <w:sz w:val="18"/>
                          <w:szCs w:val="18"/>
                        </w:rPr>
                        <w:t xml:space="preserve">whether </w:t>
                      </w:r>
                      <w:r>
                        <w:rPr>
                          <w:sz w:val="18"/>
                          <w:szCs w:val="18"/>
                        </w:rPr>
                        <w:t>practice w</w:t>
                      </w:r>
                      <w:r w:rsidRPr="002C168E">
                        <w:rPr>
                          <w:sz w:val="18"/>
                          <w:szCs w:val="18"/>
                        </w:rPr>
                        <w:t>ishes to apply for fixed term or annual review financial support.</w:t>
                      </w:r>
                    </w:p>
                    <w:p w14:paraId="59527370" w14:textId="77777777" w:rsidR="00942266" w:rsidRDefault="00942266" w:rsidP="006C3DF5">
                      <w:pPr>
                        <w:pStyle w:val="ListParagraph"/>
                        <w:numPr>
                          <w:ilvl w:val="0"/>
                          <w:numId w:val="161"/>
                        </w:numPr>
                        <w:spacing w:after="200" w:line="276" w:lineRule="auto"/>
                        <w:rPr>
                          <w:sz w:val="18"/>
                          <w:szCs w:val="18"/>
                        </w:rPr>
                      </w:pPr>
                      <w:r w:rsidRPr="00BE3AA8">
                        <w:rPr>
                          <w:sz w:val="18"/>
                          <w:szCs w:val="18"/>
                        </w:rPr>
                        <w:t xml:space="preserve">Clarify potential </w:t>
                      </w:r>
                      <w:r w:rsidRPr="002C168E">
                        <w:rPr>
                          <w:sz w:val="18"/>
                          <w:szCs w:val="18"/>
                        </w:rPr>
                        <w:t>affordability</w:t>
                      </w:r>
                      <w:r>
                        <w:rPr>
                          <w:sz w:val="18"/>
                          <w:szCs w:val="18"/>
                        </w:rPr>
                        <w:t xml:space="preserve"> of financial assistance post Year 1</w:t>
                      </w:r>
                      <w:r w:rsidRPr="002C168E">
                        <w:rPr>
                          <w:sz w:val="18"/>
                          <w:szCs w:val="18"/>
                        </w:rPr>
                        <w:t>.</w:t>
                      </w:r>
                    </w:p>
                    <w:p w14:paraId="4B2364BB" w14:textId="77777777" w:rsidR="00942266" w:rsidRPr="005264AB" w:rsidRDefault="00942266" w:rsidP="006C3DF5">
                      <w:pPr>
                        <w:pStyle w:val="ListParagraph"/>
                        <w:numPr>
                          <w:ilvl w:val="0"/>
                          <w:numId w:val="161"/>
                        </w:numPr>
                        <w:spacing w:after="200" w:line="276" w:lineRule="auto"/>
                        <w:rPr>
                          <w:sz w:val="18"/>
                          <w:szCs w:val="18"/>
                        </w:rPr>
                      </w:pPr>
                      <w:r w:rsidRPr="005264AB">
                        <w:rPr>
                          <w:sz w:val="18"/>
                          <w:szCs w:val="18"/>
                        </w:rPr>
                        <w:t>Confirm level of financial support for after Year 1.</w:t>
                      </w:r>
                    </w:p>
                    <w:p w14:paraId="27DC39FE" w14:textId="77777777" w:rsidR="00942266" w:rsidRPr="00507A00" w:rsidRDefault="00942266" w:rsidP="00B6353E">
                      <w:pPr>
                        <w:pStyle w:val="ListParagraph"/>
                        <w:spacing w:after="200" w:line="276" w:lineRule="auto"/>
                        <w:rPr>
                          <w:sz w:val="18"/>
                          <w:szCs w:val="18"/>
                        </w:rPr>
                      </w:pPr>
                    </w:p>
                  </w:txbxContent>
                </v:textbox>
              </v:roundrect>
            </w:pict>
          </mc:Fallback>
        </mc:AlternateContent>
      </w:r>
    </w:p>
    <w:p w14:paraId="5802249E" w14:textId="77777777" w:rsidR="00B95520" w:rsidRDefault="00B95520" w:rsidP="00B95520">
      <w:pPr>
        <w:spacing w:after="240"/>
        <w:contextualSpacing/>
        <w:jc w:val="both"/>
        <w:rPr>
          <w:rFonts w:cs="Arial"/>
          <w:b/>
        </w:rPr>
      </w:pPr>
    </w:p>
    <w:p w14:paraId="65439504" w14:textId="77777777" w:rsidR="00B95520" w:rsidRDefault="00B95520" w:rsidP="00B95520">
      <w:pPr>
        <w:spacing w:after="240"/>
        <w:contextualSpacing/>
        <w:jc w:val="both"/>
        <w:rPr>
          <w:rFonts w:cs="Arial"/>
          <w:b/>
        </w:rPr>
      </w:pPr>
    </w:p>
    <w:p w14:paraId="6CB8AF90" w14:textId="77777777" w:rsidR="00B95520" w:rsidRDefault="00B95520" w:rsidP="00B95520">
      <w:pPr>
        <w:spacing w:after="240"/>
        <w:contextualSpacing/>
        <w:jc w:val="both"/>
        <w:rPr>
          <w:rFonts w:cs="Arial"/>
          <w:b/>
        </w:rPr>
      </w:pPr>
    </w:p>
    <w:p w14:paraId="043423D9" w14:textId="77777777" w:rsidR="00B95520" w:rsidRDefault="00B95520" w:rsidP="00B95520">
      <w:pPr>
        <w:spacing w:after="240"/>
        <w:contextualSpacing/>
        <w:jc w:val="both"/>
        <w:rPr>
          <w:rFonts w:cs="Arial"/>
          <w:b/>
        </w:rPr>
      </w:pPr>
    </w:p>
    <w:p w14:paraId="5F4FEB1C" w14:textId="77777777" w:rsidR="00B95520" w:rsidRDefault="00B95520" w:rsidP="00B95520">
      <w:pPr>
        <w:spacing w:after="240"/>
        <w:contextualSpacing/>
        <w:jc w:val="both"/>
        <w:rPr>
          <w:rFonts w:cs="Arial"/>
          <w:b/>
        </w:rPr>
      </w:pPr>
    </w:p>
    <w:p w14:paraId="17FB829E" w14:textId="77777777" w:rsidR="00B95520" w:rsidRDefault="00B95520" w:rsidP="00B95520">
      <w:pPr>
        <w:spacing w:after="240"/>
        <w:contextualSpacing/>
        <w:jc w:val="both"/>
        <w:rPr>
          <w:rFonts w:cs="Arial"/>
          <w:b/>
        </w:rPr>
      </w:pPr>
    </w:p>
    <w:p w14:paraId="26CE9B07" w14:textId="77777777" w:rsidR="00B95520" w:rsidRDefault="00B95520" w:rsidP="00B95520">
      <w:pPr>
        <w:spacing w:after="240"/>
        <w:contextualSpacing/>
        <w:jc w:val="both"/>
        <w:rPr>
          <w:rFonts w:cs="Arial"/>
          <w:b/>
        </w:rPr>
      </w:pPr>
    </w:p>
    <w:p w14:paraId="5F1E14C9" w14:textId="77777777" w:rsidR="00B95520" w:rsidRDefault="00B95520" w:rsidP="00B95520">
      <w:pPr>
        <w:spacing w:after="240"/>
        <w:contextualSpacing/>
        <w:jc w:val="both"/>
        <w:rPr>
          <w:rFonts w:cs="Arial"/>
          <w:b/>
        </w:rPr>
      </w:pPr>
    </w:p>
    <w:p w14:paraId="20105A88" w14:textId="77777777" w:rsidR="00B95520" w:rsidRDefault="00B95520" w:rsidP="00B95520">
      <w:pPr>
        <w:spacing w:after="240"/>
        <w:contextualSpacing/>
        <w:jc w:val="both"/>
        <w:rPr>
          <w:rFonts w:cs="Arial"/>
          <w:b/>
        </w:rPr>
      </w:pPr>
      <w:r>
        <w:rPr>
          <w:rFonts w:cs="Arial"/>
          <w:b/>
          <w:noProof/>
          <w:lang w:eastAsia="en-GB"/>
        </w:rPr>
        <mc:AlternateContent>
          <mc:Choice Requires="wps">
            <w:drawing>
              <wp:anchor distT="0" distB="0" distL="114300" distR="114300" simplePos="0" relativeHeight="251658271" behindDoc="0" locked="0" layoutInCell="1" allowOverlap="1" wp14:anchorId="025666FE" wp14:editId="67EB6926">
                <wp:simplePos x="0" y="0"/>
                <wp:positionH relativeFrom="column">
                  <wp:posOffset>2014220</wp:posOffset>
                </wp:positionH>
                <wp:positionV relativeFrom="paragraph">
                  <wp:posOffset>111125</wp:posOffset>
                </wp:positionV>
                <wp:extent cx="0" cy="210820"/>
                <wp:effectExtent l="95250" t="0" r="57150" b="55880"/>
                <wp:wrapNone/>
                <wp:docPr id="2056" name="Straight Arrow Connector 20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108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B2A0E3C" id="Straight Arrow Connector 2056" o:spid="_x0000_s1026" type="#_x0000_t32" alt="&quot;&quot;" style="position:absolute;margin-left:158.6pt;margin-top:8.75pt;width:0;height:16.6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" strokecolor="#002d80 [3044]">
                <v:stroke endarrow="open"/>
              </v:shape>
            </w:pict>
          </mc:Fallback>
        </mc:AlternateContent>
      </w:r>
    </w:p>
    <w:p w14:paraId="2E6DE262" w14:textId="77777777" w:rsidR="00B95520" w:rsidRDefault="00B95520" w:rsidP="00B95520">
      <w:pPr>
        <w:spacing w:after="240"/>
        <w:contextualSpacing/>
        <w:jc w:val="both"/>
        <w:rPr>
          <w:rFonts w:cs="Arial"/>
          <w:b/>
        </w:rPr>
      </w:pPr>
      <w:r>
        <w:rPr>
          <w:rFonts w:cs="Arial"/>
          <w:b/>
          <w:noProof/>
          <w:lang w:eastAsia="en-GB"/>
        </w:rPr>
        <mc:AlternateContent>
          <mc:Choice Requires="wps">
            <w:drawing>
              <wp:anchor distT="0" distB="0" distL="114300" distR="114300" simplePos="0" relativeHeight="251658255" behindDoc="0" locked="0" layoutInCell="1" allowOverlap="1" wp14:anchorId="410C2944" wp14:editId="0A97F0AB">
                <wp:simplePos x="0" y="0"/>
                <wp:positionH relativeFrom="column">
                  <wp:posOffset>392430</wp:posOffset>
                </wp:positionH>
                <wp:positionV relativeFrom="paragraph">
                  <wp:posOffset>136525</wp:posOffset>
                </wp:positionV>
                <wp:extent cx="3064510" cy="1256030"/>
                <wp:effectExtent l="0" t="0" r="21590" b="20320"/>
                <wp:wrapNone/>
                <wp:docPr id="2057" name="Oval 2057"/>
                <wp:cNvGraphicFramePr/>
                <a:graphic xmlns:a="http://schemas.openxmlformats.org/drawingml/2006/main">
                  <a:graphicData uri="http://schemas.microsoft.com/office/word/2010/wordprocessingShape">
                    <wps:wsp>
                      <wps:cNvSpPr/>
                      <wps:spPr>
                        <a:xfrm>
                          <a:off x="0" y="0"/>
                          <a:ext cx="3064510" cy="1256030"/>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80B642" w14:textId="77777777" w:rsidR="00942266" w:rsidRPr="00507A00" w:rsidRDefault="00942266" w:rsidP="00B95520">
                            <w:pPr>
                              <w:jc w:val="center"/>
                              <w:rPr>
                                <w:color w:val="000000" w:themeColor="text1"/>
                              </w:rPr>
                            </w:pPr>
                            <w:r w:rsidRPr="005264AB">
                              <w:rPr>
                                <w:color w:val="000000" w:themeColor="text1"/>
                                <w:sz w:val="18"/>
                                <w:szCs w:val="18"/>
                              </w:rPr>
                              <w:t xml:space="preserve">Following clarification, as necessary between commissioner and the </w:t>
                            </w:r>
                            <w:r>
                              <w:rPr>
                                <w:color w:val="000000" w:themeColor="text1"/>
                                <w:sz w:val="18"/>
                                <w:szCs w:val="18"/>
                              </w:rPr>
                              <w:t>practice</w:t>
                            </w:r>
                            <w:r w:rsidRPr="005264AB">
                              <w:rPr>
                                <w:color w:val="000000" w:themeColor="text1"/>
                                <w:sz w:val="18"/>
                                <w:szCs w:val="18"/>
                              </w:rPr>
                              <w:t xml:space="preserve">, </w:t>
                            </w:r>
                            <w:r>
                              <w:rPr>
                                <w:color w:val="000000" w:themeColor="text1"/>
                                <w:sz w:val="18"/>
                                <w:szCs w:val="18"/>
                              </w:rPr>
                              <w:t>d</w:t>
                            </w:r>
                            <w:r w:rsidRPr="00507A00">
                              <w:rPr>
                                <w:color w:val="000000" w:themeColor="text1"/>
                                <w:sz w:val="18"/>
                                <w:szCs w:val="18"/>
                              </w:rPr>
                              <w:t>oes the application pass the above</w:t>
                            </w:r>
                            <w:r>
                              <w:rPr>
                                <w:color w:val="000000" w:themeColor="text1"/>
                                <w:sz w:val="18"/>
                                <w:szCs w:val="18"/>
                              </w:rPr>
                              <w:t xml:space="preserve"> </w:t>
                            </w:r>
                            <w:r w:rsidRPr="00507A00">
                              <w:rPr>
                                <w:color w:val="000000" w:themeColor="text1"/>
                                <w:sz w:val="18"/>
                                <w:szCs w:val="18"/>
                              </w:rPr>
                              <w:t>mentioned checks on projected numbers after Year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0C2944" id="Oval 2057" o:spid="_x0000_s1045" style="position:absolute;left:0;text-align:left;margin-left:30.9pt;margin-top:10.75pt;width:241.3pt;height:98.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" fillcolor="#c8ced3 [1305]" strokecolor="#001743 [1604]" strokeweight="2pt">
                <v:textbox>
                  <w:txbxContent>
                    <w:p w14:paraId="7380B642" w14:textId="77777777" w:rsidR="00942266" w:rsidRPr="00507A00" w:rsidRDefault="00942266" w:rsidP="00B95520">
                      <w:pPr>
                        <w:jc w:val="center"/>
                        <w:rPr>
                          <w:color w:val="000000" w:themeColor="text1"/>
                        </w:rPr>
                      </w:pPr>
                      <w:r w:rsidRPr="005264AB">
                        <w:rPr>
                          <w:color w:val="000000" w:themeColor="text1"/>
                          <w:sz w:val="18"/>
                          <w:szCs w:val="18"/>
                        </w:rPr>
                        <w:t xml:space="preserve">Following clarification, as necessary between commissioner and the </w:t>
                      </w:r>
                      <w:r>
                        <w:rPr>
                          <w:color w:val="000000" w:themeColor="text1"/>
                          <w:sz w:val="18"/>
                          <w:szCs w:val="18"/>
                        </w:rPr>
                        <w:t>practice</w:t>
                      </w:r>
                      <w:r w:rsidRPr="005264AB">
                        <w:rPr>
                          <w:color w:val="000000" w:themeColor="text1"/>
                          <w:sz w:val="18"/>
                          <w:szCs w:val="18"/>
                        </w:rPr>
                        <w:t xml:space="preserve">, </w:t>
                      </w:r>
                      <w:r>
                        <w:rPr>
                          <w:color w:val="000000" w:themeColor="text1"/>
                          <w:sz w:val="18"/>
                          <w:szCs w:val="18"/>
                        </w:rPr>
                        <w:t>d</w:t>
                      </w:r>
                      <w:r w:rsidRPr="00507A00">
                        <w:rPr>
                          <w:color w:val="000000" w:themeColor="text1"/>
                          <w:sz w:val="18"/>
                          <w:szCs w:val="18"/>
                        </w:rPr>
                        <w:t xml:space="preserve">oes the application pass the </w:t>
                      </w:r>
                      <w:proofErr w:type="gramStart"/>
                      <w:r w:rsidRPr="00507A00">
                        <w:rPr>
                          <w:color w:val="000000" w:themeColor="text1"/>
                          <w:sz w:val="18"/>
                          <w:szCs w:val="18"/>
                        </w:rPr>
                        <w:t>above</w:t>
                      </w:r>
                      <w:r>
                        <w:rPr>
                          <w:color w:val="000000" w:themeColor="text1"/>
                          <w:sz w:val="18"/>
                          <w:szCs w:val="18"/>
                        </w:rPr>
                        <w:t xml:space="preserve"> </w:t>
                      </w:r>
                      <w:r w:rsidRPr="00507A00">
                        <w:rPr>
                          <w:color w:val="000000" w:themeColor="text1"/>
                          <w:sz w:val="18"/>
                          <w:szCs w:val="18"/>
                        </w:rPr>
                        <w:t>mentioned</w:t>
                      </w:r>
                      <w:proofErr w:type="gramEnd"/>
                      <w:r w:rsidRPr="00507A00">
                        <w:rPr>
                          <w:color w:val="000000" w:themeColor="text1"/>
                          <w:sz w:val="18"/>
                          <w:szCs w:val="18"/>
                        </w:rPr>
                        <w:t xml:space="preserve"> checks on projected numbers after Year 1?</w:t>
                      </w:r>
                    </w:p>
                  </w:txbxContent>
                </v:textbox>
              </v:oval>
            </w:pict>
          </mc:Fallback>
        </mc:AlternateContent>
      </w:r>
    </w:p>
    <w:p w14:paraId="48928E50" w14:textId="77777777" w:rsidR="00B95520" w:rsidRDefault="00B95520" w:rsidP="00B95520">
      <w:pPr>
        <w:spacing w:after="240"/>
        <w:contextualSpacing/>
        <w:jc w:val="both"/>
        <w:rPr>
          <w:rFonts w:cs="Arial"/>
          <w:b/>
        </w:rPr>
      </w:pPr>
      <w:r>
        <w:rPr>
          <w:rFonts w:cs="Arial"/>
          <w:b/>
          <w:noProof/>
          <w:lang w:eastAsia="en-GB"/>
        </w:rPr>
        <mc:AlternateContent>
          <mc:Choice Requires="wps">
            <w:drawing>
              <wp:anchor distT="0" distB="0" distL="114300" distR="114300" simplePos="0" relativeHeight="251658268" behindDoc="0" locked="0" layoutInCell="1" allowOverlap="1" wp14:anchorId="01F8973B" wp14:editId="38CE745F">
                <wp:simplePos x="0" y="0"/>
                <wp:positionH relativeFrom="column">
                  <wp:posOffset>4084955</wp:posOffset>
                </wp:positionH>
                <wp:positionV relativeFrom="paragraph">
                  <wp:posOffset>67945</wp:posOffset>
                </wp:positionV>
                <wp:extent cx="1769745" cy="890905"/>
                <wp:effectExtent l="0" t="0" r="20955" b="23495"/>
                <wp:wrapNone/>
                <wp:docPr id="2058" name="Rounded Rectangle 24"/>
                <wp:cNvGraphicFramePr/>
                <a:graphic xmlns:a="http://schemas.openxmlformats.org/drawingml/2006/main">
                  <a:graphicData uri="http://schemas.microsoft.com/office/word/2010/wordprocessingShape">
                    <wps:wsp>
                      <wps:cNvSpPr/>
                      <wps:spPr>
                        <a:xfrm>
                          <a:off x="0" y="0"/>
                          <a:ext cx="1769745" cy="89090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D5110C" w14:textId="77777777" w:rsidR="00942266" w:rsidRPr="00507A00" w:rsidRDefault="00942266" w:rsidP="00B95520">
                            <w:pPr>
                              <w:jc w:val="center"/>
                              <w:rPr>
                                <w:color w:val="000000" w:themeColor="text1"/>
                              </w:rPr>
                            </w:pPr>
                            <w:r>
                              <w:rPr>
                                <w:color w:val="000000" w:themeColor="text1"/>
                                <w:sz w:val="18"/>
                                <w:szCs w:val="18"/>
                              </w:rPr>
                              <w:t>Practice</w:t>
                            </w:r>
                            <w:r w:rsidRPr="00507A00">
                              <w:rPr>
                                <w:color w:val="000000" w:themeColor="text1"/>
                                <w:sz w:val="18"/>
                                <w:szCs w:val="18"/>
                              </w:rPr>
                              <w:t xml:space="preserve"> is not eligible for financial assistance towards service charge costs based on current projections</w:t>
                            </w:r>
                            <w:r w:rsidRPr="00507A00">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8973B" id="Rounded Rectangle 24" o:spid="_x0000_s1046" style="position:absolute;left:0;text-align:left;margin-left:321.65pt;margin-top:5.35pt;width:139.35pt;height:70.1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" fillcolor="#699dff [1300]" strokecolor="#001743 [1604]" strokeweight="2pt">
                <v:textbox>
                  <w:txbxContent>
                    <w:p w14:paraId="55D5110C" w14:textId="77777777" w:rsidR="00942266" w:rsidRPr="00507A00" w:rsidRDefault="00942266" w:rsidP="00B95520">
                      <w:pPr>
                        <w:jc w:val="center"/>
                        <w:rPr>
                          <w:color w:val="000000" w:themeColor="text1"/>
                        </w:rPr>
                      </w:pPr>
                      <w:r>
                        <w:rPr>
                          <w:color w:val="000000" w:themeColor="text1"/>
                          <w:sz w:val="18"/>
                          <w:szCs w:val="18"/>
                        </w:rPr>
                        <w:t>Practice</w:t>
                      </w:r>
                      <w:r w:rsidRPr="00507A00">
                        <w:rPr>
                          <w:color w:val="000000" w:themeColor="text1"/>
                          <w:sz w:val="18"/>
                          <w:szCs w:val="18"/>
                        </w:rPr>
                        <w:t xml:space="preserve"> is not eligible for financial assistance towards service charge costs based on current projections</w:t>
                      </w:r>
                      <w:r w:rsidRPr="00507A00">
                        <w:rPr>
                          <w:color w:val="000000" w:themeColor="text1"/>
                        </w:rPr>
                        <w:t>.</w:t>
                      </w:r>
                    </w:p>
                  </w:txbxContent>
                </v:textbox>
              </v:roundrect>
            </w:pict>
          </mc:Fallback>
        </mc:AlternateContent>
      </w:r>
    </w:p>
    <w:p w14:paraId="396A5C31" w14:textId="77777777" w:rsidR="00B95520" w:rsidRDefault="00B95520" w:rsidP="00B95520">
      <w:pPr>
        <w:spacing w:after="240"/>
        <w:contextualSpacing/>
        <w:jc w:val="both"/>
        <w:rPr>
          <w:rFonts w:cs="Arial"/>
          <w:b/>
        </w:rPr>
      </w:pPr>
      <w:r>
        <w:rPr>
          <w:rFonts w:cs="Arial"/>
          <w:b/>
          <w:noProof/>
          <w:lang w:eastAsia="en-GB"/>
        </w:rPr>
        <mc:AlternateContent>
          <mc:Choice Requires="wps">
            <w:drawing>
              <wp:anchor distT="0" distB="0" distL="114300" distR="114300" simplePos="0" relativeHeight="251658270" behindDoc="0" locked="0" layoutInCell="1" allowOverlap="1" wp14:anchorId="6353345B" wp14:editId="0A0C81B8">
                <wp:simplePos x="0" y="0"/>
                <wp:positionH relativeFrom="column">
                  <wp:posOffset>3555999</wp:posOffset>
                </wp:positionH>
                <wp:positionV relativeFrom="paragraph">
                  <wp:posOffset>98848</wp:posOffset>
                </wp:positionV>
                <wp:extent cx="423333" cy="315595"/>
                <wp:effectExtent l="0" t="0" r="0" b="0"/>
                <wp:wrapNone/>
                <wp:docPr id="2059" name="Text Box 2059"/>
                <wp:cNvGraphicFramePr/>
                <a:graphic xmlns:a="http://schemas.openxmlformats.org/drawingml/2006/main">
                  <a:graphicData uri="http://schemas.microsoft.com/office/word/2010/wordprocessingShape">
                    <wps:wsp>
                      <wps:cNvSpPr txBox="1"/>
                      <wps:spPr>
                        <a:xfrm>
                          <a:off x="0" y="0"/>
                          <a:ext cx="423333"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43AD4A" w14:textId="77777777" w:rsidR="00942266" w:rsidRPr="00C455D0" w:rsidRDefault="00942266" w:rsidP="00B95520">
                            <w:pPr>
                              <w:rPr>
                                <w:b/>
                                <w:szCs w:val="24"/>
                              </w:rPr>
                            </w:pPr>
                            <w:r w:rsidRPr="00C455D0">
                              <w:rPr>
                                <w:b/>
                                <w:szCs w:val="24"/>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3345B" id="Text Box 2059" o:spid="_x0000_s1047" type="#_x0000_t202" style="position:absolute;left:0;text-align:left;margin-left:280pt;margin-top:7.8pt;width:33.35pt;height:24.8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" filled="f" stroked="f" strokeweight=".5pt">
                <v:textbox>
                  <w:txbxContent>
                    <w:p w14:paraId="7E43AD4A" w14:textId="77777777" w:rsidR="00942266" w:rsidRPr="00C455D0" w:rsidRDefault="00942266" w:rsidP="00B95520">
                      <w:pPr>
                        <w:rPr>
                          <w:b/>
                          <w:szCs w:val="24"/>
                        </w:rPr>
                      </w:pPr>
                      <w:r w:rsidRPr="00C455D0">
                        <w:rPr>
                          <w:b/>
                          <w:szCs w:val="24"/>
                        </w:rPr>
                        <w:t>No</w:t>
                      </w:r>
                    </w:p>
                  </w:txbxContent>
                </v:textbox>
              </v:shape>
            </w:pict>
          </mc:Fallback>
        </mc:AlternateContent>
      </w:r>
    </w:p>
    <w:p w14:paraId="405FA86E" w14:textId="77777777" w:rsidR="00B95520" w:rsidRDefault="00B95520" w:rsidP="00B95520">
      <w:pPr>
        <w:spacing w:after="240"/>
        <w:contextualSpacing/>
        <w:jc w:val="both"/>
        <w:rPr>
          <w:rFonts w:cs="Arial"/>
          <w:b/>
        </w:rPr>
      </w:pPr>
    </w:p>
    <w:p w14:paraId="30CD5BA1" w14:textId="77777777" w:rsidR="00B95520" w:rsidRDefault="00B95520" w:rsidP="00B95520">
      <w:pPr>
        <w:spacing w:after="240"/>
        <w:contextualSpacing/>
        <w:jc w:val="both"/>
        <w:rPr>
          <w:rFonts w:cs="Arial"/>
          <w:b/>
        </w:rPr>
      </w:pPr>
      <w:r>
        <w:rPr>
          <w:rFonts w:cs="Arial"/>
          <w:b/>
          <w:noProof/>
          <w:lang w:eastAsia="en-GB"/>
        </w:rPr>
        <mc:AlternateContent>
          <mc:Choice Requires="wps">
            <w:drawing>
              <wp:anchor distT="0" distB="0" distL="114300" distR="114300" simplePos="0" relativeHeight="251658269" behindDoc="0" locked="0" layoutInCell="1" allowOverlap="1" wp14:anchorId="1CD93096" wp14:editId="4D2DCEFD">
                <wp:simplePos x="0" y="0"/>
                <wp:positionH relativeFrom="column">
                  <wp:posOffset>3456940</wp:posOffset>
                </wp:positionH>
                <wp:positionV relativeFrom="paragraph">
                  <wp:posOffset>40005</wp:posOffset>
                </wp:positionV>
                <wp:extent cx="626745" cy="0"/>
                <wp:effectExtent l="0" t="76200" r="20955" b="114300"/>
                <wp:wrapNone/>
                <wp:docPr id="2060" name="Straight Arrow Connector 20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674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AA383A" id="Straight Arrow Connector 2060" o:spid="_x0000_s1026" type="#_x0000_t32" alt="&quot;&quot;" style="position:absolute;margin-left:272.2pt;margin-top:3.15pt;width:49.35pt;height:0;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" strokecolor="#002d80 [3044]">
                <v:stroke endarrow="open"/>
              </v:shape>
            </w:pict>
          </mc:Fallback>
        </mc:AlternateContent>
      </w:r>
    </w:p>
    <w:p w14:paraId="5140F6E5" w14:textId="77777777" w:rsidR="00B95520" w:rsidRDefault="00B95520" w:rsidP="00B95520">
      <w:pPr>
        <w:spacing w:after="240"/>
        <w:contextualSpacing/>
        <w:jc w:val="both"/>
        <w:rPr>
          <w:rFonts w:cs="Arial"/>
          <w:b/>
        </w:rPr>
      </w:pPr>
    </w:p>
    <w:p w14:paraId="444C8D00" w14:textId="77777777" w:rsidR="00B95520" w:rsidRDefault="00B95520" w:rsidP="00B95520">
      <w:pPr>
        <w:spacing w:after="240"/>
        <w:contextualSpacing/>
        <w:jc w:val="both"/>
        <w:rPr>
          <w:rFonts w:cs="Arial"/>
          <w:b/>
        </w:rPr>
      </w:pPr>
    </w:p>
    <w:p w14:paraId="47CA22B9" w14:textId="77777777" w:rsidR="00B95520" w:rsidRPr="004A2F7E" w:rsidRDefault="00B95520" w:rsidP="00B95520">
      <w:pPr>
        <w:spacing w:after="240"/>
        <w:contextualSpacing/>
        <w:jc w:val="both"/>
        <w:rPr>
          <w:rFonts w:cs="Arial"/>
          <w:b/>
          <w:color w:val="FF0000"/>
        </w:rPr>
      </w:pPr>
      <w:r w:rsidRPr="004A2F7E">
        <w:rPr>
          <w:rFonts w:cs="Arial"/>
          <w:b/>
          <w:noProof/>
          <w:color w:val="FF0000"/>
          <w:lang w:eastAsia="en-GB"/>
        </w:rPr>
        <mc:AlternateContent>
          <mc:Choice Requires="wps">
            <w:drawing>
              <wp:anchor distT="0" distB="0" distL="114300" distR="114300" simplePos="0" relativeHeight="251658273" behindDoc="0" locked="0" layoutInCell="1" allowOverlap="1" wp14:anchorId="7E4208E7" wp14:editId="716AA73C">
                <wp:simplePos x="0" y="0"/>
                <wp:positionH relativeFrom="column">
                  <wp:posOffset>2015067</wp:posOffset>
                </wp:positionH>
                <wp:positionV relativeFrom="paragraph">
                  <wp:posOffset>106257</wp:posOffset>
                </wp:positionV>
                <wp:extent cx="5926" cy="838200"/>
                <wp:effectExtent l="76200" t="0" r="70485" b="57150"/>
                <wp:wrapNone/>
                <wp:docPr id="2061" name="Straight Arrow Connector 20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26" cy="838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F27C60" id="Straight Arrow Connector 2061" o:spid="_x0000_s1026" type="#_x0000_t32" alt="&quot;&quot;" style="position:absolute;margin-left:158.65pt;margin-top:8.35pt;width:.45pt;height:66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" strokecolor="#002d80 [3044]">
                <v:stroke endarrow="open"/>
              </v:shape>
            </w:pict>
          </mc:Fallback>
        </mc:AlternateContent>
      </w:r>
    </w:p>
    <w:p w14:paraId="30A2F85D" w14:textId="77777777" w:rsidR="00B95520" w:rsidRDefault="00B95520" w:rsidP="00B95520">
      <w:pPr>
        <w:spacing w:after="240"/>
        <w:contextualSpacing/>
        <w:jc w:val="both"/>
        <w:rPr>
          <w:rFonts w:cs="Arial"/>
          <w:b/>
        </w:rPr>
      </w:pPr>
      <w:r>
        <w:rPr>
          <w:rFonts w:cs="Arial"/>
          <w:b/>
        </w:rPr>
        <w:t xml:space="preserve">                   </w:t>
      </w:r>
    </w:p>
    <w:p w14:paraId="771EC380" w14:textId="77777777" w:rsidR="00B95520" w:rsidRDefault="00B95520" w:rsidP="00B95520">
      <w:pPr>
        <w:spacing w:after="240"/>
        <w:contextualSpacing/>
        <w:jc w:val="both"/>
        <w:rPr>
          <w:rFonts w:cs="Arial"/>
          <w:b/>
        </w:rPr>
      </w:pPr>
      <w:r w:rsidRPr="004A2F7E">
        <w:rPr>
          <w:rFonts w:cs="Arial"/>
          <w:b/>
          <w:noProof/>
          <w:color w:val="FF0000"/>
          <w:lang w:eastAsia="en-GB"/>
        </w:rPr>
        <mc:AlternateContent>
          <mc:Choice Requires="wps">
            <w:drawing>
              <wp:anchor distT="0" distB="0" distL="114300" distR="114300" simplePos="0" relativeHeight="251658274" behindDoc="0" locked="0" layoutInCell="1" allowOverlap="1" wp14:anchorId="63450B07" wp14:editId="6AC5023A">
                <wp:simplePos x="0" y="0"/>
                <wp:positionH relativeFrom="column">
                  <wp:posOffset>1684867</wp:posOffset>
                </wp:positionH>
                <wp:positionV relativeFrom="paragraph">
                  <wp:posOffset>49953</wp:posOffset>
                </wp:positionV>
                <wp:extent cx="558800" cy="263525"/>
                <wp:effectExtent l="0" t="0" r="0" b="3175"/>
                <wp:wrapNone/>
                <wp:docPr id="2062" name="Text Box 2062"/>
                <wp:cNvGraphicFramePr/>
                <a:graphic xmlns:a="http://schemas.openxmlformats.org/drawingml/2006/main">
                  <a:graphicData uri="http://schemas.microsoft.com/office/word/2010/wordprocessingShape">
                    <wps:wsp>
                      <wps:cNvSpPr txBox="1"/>
                      <wps:spPr>
                        <a:xfrm>
                          <a:off x="0" y="0"/>
                          <a:ext cx="558800"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CBBC8A" w14:textId="77777777" w:rsidR="00942266" w:rsidRPr="00C455D0" w:rsidRDefault="00942266" w:rsidP="00B95520">
                            <w:pPr>
                              <w:rPr>
                                <w:b/>
                                <w:szCs w:val="24"/>
                              </w:rPr>
                            </w:pPr>
                            <w:r w:rsidRPr="00C455D0">
                              <w:rPr>
                                <w:b/>
                                <w:szCs w:val="24"/>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450B07" id="Text Box 2062" o:spid="_x0000_s1048" type="#_x0000_t202" style="position:absolute;left:0;text-align:left;margin-left:132.65pt;margin-top:3.95pt;width:44pt;height:20.75pt;z-index:2516582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" filled="f" stroked="f" strokeweight=".5pt">
                <v:textbox>
                  <w:txbxContent>
                    <w:p w14:paraId="31CBBC8A" w14:textId="77777777" w:rsidR="00942266" w:rsidRPr="00C455D0" w:rsidRDefault="00942266" w:rsidP="00B95520">
                      <w:pPr>
                        <w:rPr>
                          <w:b/>
                          <w:szCs w:val="24"/>
                        </w:rPr>
                      </w:pPr>
                      <w:r w:rsidRPr="00C455D0">
                        <w:rPr>
                          <w:b/>
                          <w:szCs w:val="24"/>
                        </w:rPr>
                        <w:t>Yes</w:t>
                      </w:r>
                    </w:p>
                  </w:txbxContent>
                </v:textbox>
              </v:shape>
            </w:pict>
          </mc:Fallback>
        </mc:AlternateContent>
      </w:r>
    </w:p>
    <w:p w14:paraId="723EFCC8" w14:textId="77777777" w:rsidR="00B95520" w:rsidRPr="00AD1EF3" w:rsidRDefault="00B95520" w:rsidP="00B95520">
      <w:pPr>
        <w:spacing w:after="240"/>
        <w:contextualSpacing/>
        <w:jc w:val="both"/>
        <w:rPr>
          <w:rFonts w:cs="Arial"/>
          <w:b/>
          <w:szCs w:val="24"/>
          <w:u w:val="single"/>
        </w:rPr>
      </w:pPr>
      <w:r>
        <w:rPr>
          <w:rFonts w:cs="Arial"/>
          <w:b/>
        </w:rPr>
        <w:t xml:space="preserve">     </w:t>
      </w:r>
      <w:r w:rsidRPr="00BE3AA8">
        <w:rPr>
          <w:rFonts w:cs="Arial"/>
          <w:b/>
          <w:szCs w:val="24"/>
          <w:u w:val="single"/>
        </w:rPr>
        <w:t>GATEWAY 4</w:t>
      </w:r>
      <w:r w:rsidRPr="00AD1EF3">
        <w:rPr>
          <w:rFonts w:cs="Arial"/>
          <w:b/>
          <w:szCs w:val="24"/>
          <w:u w:val="single"/>
        </w:rPr>
        <w:t xml:space="preserve">                                                                                   </w:t>
      </w:r>
    </w:p>
    <w:p w14:paraId="75748B73" w14:textId="67939576" w:rsidR="00B95520" w:rsidRDefault="00B95520" w:rsidP="006F1CA4">
      <w:pPr>
        <w:rPr>
          <w:rFonts w:cs="Arial"/>
        </w:rPr>
      </w:pPr>
    </w:p>
    <w:p w14:paraId="1316B24B" w14:textId="6CBD58F4" w:rsidR="00B95520" w:rsidRPr="00AD1EF3" w:rsidRDefault="00A93485" w:rsidP="00B95520">
      <w:r>
        <w:rPr>
          <w:noProof/>
          <w:lang w:eastAsia="en-GB"/>
        </w:rPr>
        <mc:AlternateContent>
          <mc:Choice Requires="wps">
            <w:drawing>
              <wp:anchor distT="0" distB="0" distL="114300" distR="114300" simplePos="0" relativeHeight="251658272" behindDoc="0" locked="0" layoutInCell="1" allowOverlap="1" wp14:anchorId="22F3607C" wp14:editId="420A82DE">
                <wp:simplePos x="0" y="0"/>
                <wp:positionH relativeFrom="margin">
                  <wp:align>left</wp:align>
                </wp:positionH>
                <wp:positionV relativeFrom="paragraph">
                  <wp:posOffset>91122</wp:posOffset>
                </wp:positionV>
                <wp:extent cx="5396865" cy="850265"/>
                <wp:effectExtent l="0" t="0" r="13335" b="26035"/>
                <wp:wrapNone/>
                <wp:docPr id="2063" name="Rounded Rectangle 28"/>
                <wp:cNvGraphicFramePr/>
                <a:graphic xmlns:a="http://schemas.openxmlformats.org/drawingml/2006/main">
                  <a:graphicData uri="http://schemas.microsoft.com/office/word/2010/wordprocessingShape">
                    <wps:wsp>
                      <wps:cNvSpPr/>
                      <wps:spPr>
                        <a:xfrm>
                          <a:off x="0" y="0"/>
                          <a:ext cx="5396865" cy="850265"/>
                        </a:xfrm>
                        <a:prstGeom prst="round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6414B6" w14:textId="0F1BB389" w:rsidR="00942266" w:rsidRPr="00C455D0" w:rsidRDefault="00942266" w:rsidP="00B95520">
                            <w:pPr>
                              <w:jc w:val="center"/>
                              <w:rPr>
                                <w:color w:val="000000" w:themeColor="text1"/>
                                <w:sz w:val="18"/>
                                <w:szCs w:val="18"/>
                              </w:rPr>
                            </w:pPr>
                            <w:r w:rsidRPr="00BE3AA8">
                              <w:rPr>
                                <w:color w:val="000000" w:themeColor="text1"/>
                                <w:sz w:val="18"/>
                                <w:szCs w:val="18"/>
                              </w:rPr>
                              <w:t xml:space="preserve">Recommendation to the relevant </w:t>
                            </w:r>
                            <w:r>
                              <w:rPr>
                                <w:color w:val="000000" w:themeColor="text1"/>
                                <w:sz w:val="18"/>
                                <w:szCs w:val="18"/>
                              </w:rPr>
                              <w:t>commissioner committee</w:t>
                            </w:r>
                            <w:r w:rsidRPr="00BE3AA8">
                              <w:rPr>
                                <w:color w:val="000000" w:themeColor="text1"/>
                                <w:sz w:val="18"/>
                                <w:szCs w:val="18"/>
                              </w:rPr>
                              <w:t xml:space="preserve"> should be made. Subject to </w:t>
                            </w:r>
                            <w:r>
                              <w:rPr>
                                <w:color w:val="000000" w:themeColor="text1"/>
                                <w:sz w:val="18"/>
                                <w:szCs w:val="18"/>
                              </w:rPr>
                              <w:t>commissioner</w:t>
                            </w:r>
                            <w:r w:rsidRPr="00BE3AA8">
                              <w:rPr>
                                <w:color w:val="000000" w:themeColor="text1"/>
                                <w:sz w:val="18"/>
                                <w:szCs w:val="18"/>
                              </w:rPr>
                              <w:t xml:space="preserve"> endorsement, </w:t>
                            </w:r>
                            <w:r w:rsidRPr="00C455D0">
                              <w:rPr>
                                <w:color w:val="000000" w:themeColor="text1"/>
                                <w:sz w:val="18"/>
                                <w:szCs w:val="18"/>
                              </w:rPr>
                              <w:t xml:space="preserve">a formal agreement must be signed between Commissioner and the practice, which will be subject to annual financial review of figures as applicable.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F3607C" id="Rounded Rectangle 28" o:spid="_x0000_s1049" style="position:absolute;margin-left:0;margin-top:7.15pt;width:424.95pt;height:66.95pt;z-index:25165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" fillcolor="#d8d8d8 [2732]" strokecolor="#001743 [1604]" strokeweight="2pt">
                <v:textbox>
                  <w:txbxContent>
                    <w:p w14:paraId="336414B6" w14:textId="0F1BB389" w:rsidR="00942266" w:rsidRPr="00C455D0" w:rsidRDefault="00942266" w:rsidP="00B95520">
                      <w:pPr>
                        <w:jc w:val="center"/>
                        <w:rPr>
                          <w:color w:val="000000" w:themeColor="text1"/>
                          <w:sz w:val="18"/>
                          <w:szCs w:val="18"/>
                        </w:rPr>
                      </w:pPr>
                      <w:r w:rsidRPr="00BE3AA8">
                        <w:rPr>
                          <w:color w:val="000000" w:themeColor="text1"/>
                          <w:sz w:val="18"/>
                          <w:szCs w:val="18"/>
                        </w:rPr>
                        <w:t xml:space="preserve">Recommendation to the relevant </w:t>
                      </w:r>
                      <w:r>
                        <w:rPr>
                          <w:color w:val="000000" w:themeColor="text1"/>
                          <w:sz w:val="18"/>
                          <w:szCs w:val="18"/>
                        </w:rPr>
                        <w:t>commissioner committee</w:t>
                      </w:r>
                      <w:r w:rsidRPr="00BE3AA8">
                        <w:rPr>
                          <w:color w:val="000000" w:themeColor="text1"/>
                          <w:sz w:val="18"/>
                          <w:szCs w:val="18"/>
                        </w:rPr>
                        <w:t xml:space="preserve"> should be made. Subject to </w:t>
                      </w:r>
                      <w:r>
                        <w:rPr>
                          <w:color w:val="000000" w:themeColor="text1"/>
                          <w:sz w:val="18"/>
                          <w:szCs w:val="18"/>
                        </w:rPr>
                        <w:t>commissioner</w:t>
                      </w:r>
                      <w:r w:rsidRPr="00BE3AA8">
                        <w:rPr>
                          <w:color w:val="000000" w:themeColor="text1"/>
                          <w:sz w:val="18"/>
                          <w:szCs w:val="18"/>
                        </w:rPr>
                        <w:t xml:space="preserve"> endorsement, </w:t>
                      </w:r>
                      <w:r w:rsidRPr="00C455D0">
                        <w:rPr>
                          <w:color w:val="000000" w:themeColor="text1"/>
                          <w:sz w:val="18"/>
                          <w:szCs w:val="18"/>
                        </w:rPr>
                        <w:t xml:space="preserve">a formal agreement must be signed between Commissioner and the practice, which will be subject to annual financial review of figures as applicable. </w:t>
                      </w:r>
                    </w:p>
                  </w:txbxContent>
                </v:textbox>
                <w10:wrap anchorx="margin"/>
              </v:roundrect>
            </w:pict>
          </mc:Fallback>
        </mc:AlternateContent>
      </w:r>
    </w:p>
    <w:p w14:paraId="68C28FEE" w14:textId="4780EB67" w:rsidR="00B95520" w:rsidRDefault="00B95520" w:rsidP="006F1CA4"/>
    <w:p w14:paraId="0B188F81" w14:textId="34A497A6" w:rsidR="00B95520" w:rsidRPr="00207F34" w:rsidRDefault="00B95520" w:rsidP="00B95520"/>
    <w:p w14:paraId="48460CDF" w14:textId="3A3A618E" w:rsidR="00B95520" w:rsidRDefault="00B95520" w:rsidP="006F1CA4">
      <w:r>
        <w:br w:type="page"/>
      </w:r>
    </w:p>
    <w:p w14:paraId="434344DF" w14:textId="752749E4" w:rsidR="00F847DA" w:rsidRDefault="00B95520" w:rsidP="006F1CA4">
      <w:pPr>
        <w:pStyle w:val="Heading2"/>
      </w:pPr>
      <w:bookmarkStart w:id="1834" w:name="_Toc95743500"/>
      <w:bookmarkStart w:id="1835" w:name="_Toc494715252"/>
      <w:r w:rsidRPr="00A153A3">
        <w:t>A</w:t>
      </w:r>
      <w:r w:rsidR="00F847DA">
        <w:t>nnexes</w:t>
      </w:r>
      <w:bookmarkEnd w:id="1834"/>
    </w:p>
    <w:p w14:paraId="129B5161" w14:textId="77777777" w:rsidR="00F847DA" w:rsidRPr="00B578F2" w:rsidRDefault="00F847DA" w:rsidP="006F1CA4"/>
    <w:p w14:paraId="4268AC04" w14:textId="403B25A3" w:rsidR="00B95520" w:rsidRPr="00070A05" w:rsidRDefault="00B95520" w:rsidP="006F1CA4">
      <w:pPr>
        <w:pStyle w:val="Heading3"/>
        <w:rPr>
          <w:szCs w:val="24"/>
        </w:rPr>
      </w:pPr>
      <w:r w:rsidRPr="00070A05">
        <w:rPr>
          <w:szCs w:val="24"/>
        </w:rPr>
        <w:t xml:space="preserve"> </w:t>
      </w:r>
      <w:r w:rsidR="00517F00" w:rsidRPr="00070A05">
        <w:rPr>
          <w:szCs w:val="24"/>
        </w:rPr>
        <w:t>Annex</w:t>
      </w:r>
      <w:r w:rsidR="00F847DA" w:rsidRPr="00070A05">
        <w:rPr>
          <w:szCs w:val="24"/>
        </w:rPr>
        <w:t xml:space="preserve"> </w:t>
      </w:r>
      <w:r w:rsidRPr="00070A05">
        <w:rPr>
          <w:szCs w:val="24"/>
        </w:rPr>
        <w:t>1 - Directions</w:t>
      </w:r>
      <w:bookmarkEnd w:id="1835"/>
    </w:p>
    <w:p w14:paraId="449BE999" w14:textId="77777777" w:rsidR="00B95520" w:rsidRPr="00070A05" w:rsidRDefault="00B95520" w:rsidP="00B95520">
      <w:pPr>
        <w:autoSpaceDE w:val="0"/>
        <w:autoSpaceDN w:val="0"/>
        <w:adjustRightInd w:val="0"/>
        <w:rPr>
          <w:rFonts w:ascii="Times New Roman" w:hAnsi="Times New Roman"/>
          <w:b/>
          <w:bCs w:val="0"/>
          <w:iCs/>
          <w:szCs w:val="24"/>
        </w:rPr>
      </w:pPr>
    </w:p>
    <w:p w14:paraId="2C5D6BC0" w14:textId="77777777" w:rsidR="00B95520" w:rsidRPr="00070A05" w:rsidRDefault="00B95520" w:rsidP="00070A05">
      <w:pPr>
        <w:autoSpaceDE w:val="0"/>
        <w:autoSpaceDN w:val="0"/>
        <w:adjustRightInd w:val="0"/>
        <w:spacing w:line="360" w:lineRule="auto"/>
        <w:rPr>
          <w:rFonts w:cs="Arial"/>
          <w:b/>
          <w:bCs w:val="0"/>
          <w:iCs/>
          <w:szCs w:val="24"/>
        </w:rPr>
      </w:pPr>
      <w:r w:rsidRPr="00070A05">
        <w:rPr>
          <w:rFonts w:cs="Arial"/>
          <w:b/>
          <w:iCs/>
          <w:szCs w:val="24"/>
        </w:rPr>
        <w:t>Extract from NHS (GMS – Premises Costs) Directions 2013, dated 28 March 2013</w:t>
      </w:r>
    </w:p>
    <w:p w14:paraId="16FB5E13" w14:textId="77777777" w:rsidR="00B95520" w:rsidRPr="00070A05" w:rsidRDefault="00B95520" w:rsidP="00070A05">
      <w:pPr>
        <w:autoSpaceDE w:val="0"/>
        <w:autoSpaceDN w:val="0"/>
        <w:adjustRightInd w:val="0"/>
        <w:spacing w:line="360" w:lineRule="auto"/>
        <w:rPr>
          <w:rFonts w:cs="Arial"/>
          <w:b/>
          <w:bCs w:val="0"/>
          <w:i/>
          <w:iCs/>
          <w:szCs w:val="24"/>
        </w:rPr>
      </w:pPr>
    </w:p>
    <w:p w14:paraId="4454B0A8" w14:textId="77777777" w:rsidR="00B95520" w:rsidRPr="00070A05" w:rsidRDefault="00B95520" w:rsidP="00070A05">
      <w:pPr>
        <w:autoSpaceDE w:val="0"/>
        <w:autoSpaceDN w:val="0"/>
        <w:adjustRightInd w:val="0"/>
        <w:spacing w:line="360" w:lineRule="auto"/>
        <w:rPr>
          <w:rFonts w:cs="Arial"/>
          <w:b/>
          <w:bCs w:val="0"/>
          <w:i/>
          <w:iCs/>
          <w:szCs w:val="24"/>
        </w:rPr>
      </w:pPr>
      <w:r w:rsidRPr="00070A05">
        <w:rPr>
          <w:rFonts w:cs="Arial"/>
          <w:b/>
          <w:i/>
          <w:iCs/>
          <w:szCs w:val="24"/>
        </w:rPr>
        <w:t>Payments in respect of running costs</w:t>
      </w:r>
    </w:p>
    <w:p w14:paraId="0009E7E4" w14:textId="77777777" w:rsidR="00B95520" w:rsidRPr="00070A05" w:rsidRDefault="00B95520" w:rsidP="00070A05">
      <w:pPr>
        <w:autoSpaceDE w:val="0"/>
        <w:autoSpaceDN w:val="0"/>
        <w:adjustRightInd w:val="0"/>
        <w:spacing w:line="360" w:lineRule="auto"/>
        <w:rPr>
          <w:rFonts w:cs="Arial"/>
          <w:b/>
          <w:bCs w:val="0"/>
          <w:szCs w:val="24"/>
        </w:rPr>
      </w:pPr>
    </w:p>
    <w:p w14:paraId="1711B48D" w14:textId="77777777" w:rsidR="00B95520" w:rsidRPr="00070A05" w:rsidRDefault="00B95520" w:rsidP="00070A05">
      <w:pPr>
        <w:autoSpaceDE w:val="0"/>
        <w:autoSpaceDN w:val="0"/>
        <w:adjustRightInd w:val="0"/>
        <w:spacing w:line="360" w:lineRule="auto"/>
        <w:rPr>
          <w:rFonts w:cs="Arial"/>
          <w:szCs w:val="24"/>
        </w:rPr>
      </w:pPr>
      <w:r w:rsidRPr="00070A05">
        <w:rPr>
          <w:rFonts w:cs="Arial"/>
          <w:b/>
          <w:szCs w:val="24"/>
        </w:rPr>
        <w:t xml:space="preserve">46. – (1) </w:t>
      </w:r>
      <w:r w:rsidRPr="00070A05">
        <w:rPr>
          <w:rFonts w:cs="Arial"/>
          <w:szCs w:val="24"/>
        </w:rPr>
        <w:t>Where–</w:t>
      </w:r>
    </w:p>
    <w:p w14:paraId="1D484AD6" w14:textId="77777777" w:rsidR="00B95520" w:rsidRPr="00070A05" w:rsidRDefault="00B95520" w:rsidP="00070A05">
      <w:pPr>
        <w:autoSpaceDE w:val="0"/>
        <w:autoSpaceDN w:val="0"/>
        <w:adjustRightInd w:val="0"/>
        <w:spacing w:line="360" w:lineRule="auto"/>
        <w:ind w:left="720"/>
        <w:rPr>
          <w:rFonts w:cs="Arial"/>
          <w:szCs w:val="24"/>
        </w:rPr>
      </w:pPr>
      <w:r w:rsidRPr="00070A05">
        <w:rPr>
          <w:rFonts w:cs="Arial"/>
          <w:szCs w:val="24"/>
        </w:rPr>
        <w:t>(a) a contractor is in receipt of payments pursuant to this Part in respect of leasehold rental costs or borrowing costs, or by way of notional rent payments;</w:t>
      </w:r>
    </w:p>
    <w:p w14:paraId="796BAB0E" w14:textId="77777777" w:rsidR="00B95520" w:rsidRPr="00070A05" w:rsidRDefault="00B95520" w:rsidP="00070A05">
      <w:pPr>
        <w:autoSpaceDE w:val="0"/>
        <w:autoSpaceDN w:val="0"/>
        <w:adjustRightInd w:val="0"/>
        <w:spacing w:line="360" w:lineRule="auto"/>
        <w:ind w:firstLine="720"/>
        <w:rPr>
          <w:rFonts w:cs="Arial"/>
          <w:szCs w:val="24"/>
        </w:rPr>
      </w:pPr>
      <w:r w:rsidRPr="00070A05">
        <w:rPr>
          <w:rFonts w:cs="Arial"/>
          <w:szCs w:val="24"/>
        </w:rPr>
        <w:t>(b) the contractor actually and properly incurs the costs which are or relate to–</w:t>
      </w:r>
    </w:p>
    <w:p w14:paraId="328E325F" w14:textId="77777777" w:rsidR="00B95520" w:rsidRPr="00070A05" w:rsidRDefault="00B95520" w:rsidP="00070A05">
      <w:pPr>
        <w:autoSpaceDE w:val="0"/>
        <w:autoSpaceDN w:val="0"/>
        <w:adjustRightInd w:val="0"/>
        <w:spacing w:line="360" w:lineRule="auto"/>
        <w:ind w:left="720" w:firstLine="720"/>
        <w:rPr>
          <w:rFonts w:cs="Arial"/>
          <w:szCs w:val="24"/>
        </w:rPr>
      </w:pPr>
      <w:r w:rsidRPr="00070A05">
        <w:rPr>
          <w:rFonts w:cs="Arial"/>
          <w:szCs w:val="24"/>
        </w:rPr>
        <w:t>(i) business rates,</w:t>
      </w:r>
    </w:p>
    <w:p w14:paraId="142F2AC6" w14:textId="77777777" w:rsidR="00B95520" w:rsidRPr="00070A05" w:rsidRDefault="00B95520" w:rsidP="00070A05">
      <w:pPr>
        <w:autoSpaceDE w:val="0"/>
        <w:autoSpaceDN w:val="0"/>
        <w:adjustRightInd w:val="0"/>
        <w:spacing w:line="360" w:lineRule="auto"/>
        <w:ind w:left="720" w:firstLine="720"/>
        <w:rPr>
          <w:rFonts w:cs="Arial"/>
          <w:szCs w:val="24"/>
        </w:rPr>
      </w:pPr>
      <w:r w:rsidRPr="00070A05">
        <w:rPr>
          <w:rFonts w:cs="Arial"/>
          <w:szCs w:val="24"/>
        </w:rPr>
        <w:t>(ii) water and sewage charges,</w:t>
      </w:r>
    </w:p>
    <w:p w14:paraId="7088B39C" w14:textId="77777777" w:rsidR="00B95520" w:rsidRPr="00070A05" w:rsidRDefault="00B95520" w:rsidP="00070A05">
      <w:pPr>
        <w:autoSpaceDE w:val="0"/>
        <w:autoSpaceDN w:val="0"/>
        <w:adjustRightInd w:val="0"/>
        <w:spacing w:line="360" w:lineRule="auto"/>
        <w:ind w:left="720" w:firstLine="720"/>
        <w:rPr>
          <w:rFonts w:cs="Arial"/>
          <w:szCs w:val="24"/>
        </w:rPr>
      </w:pPr>
      <w:r w:rsidRPr="00070A05">
        <w:rPr>
          <w:rFonts w:cs="Arial"/>
          <w:szCs w:val="24"/>
        </w:rPr>
        <w:t>(iii) charges in respect of the collection and disposal of clinical waste, or</w:t>
      </w:r>
    </w:p>
    <w:p w14:paraId="475F6507" w14:textId="77777777" w:rsidR="00B95520" w:rsidRPr="00070A05" w:rsidRDefault="00B95520" w:rsidP="00070A05">
      <w:pPr>
        <w:autoSpaceDE w:val="0"/>
        <w:autoSpaceDN w:val="0"/>
        <w:adjustRightInd w:val="0"/>
        <w:spacing w:line="360" w:lineRule="auto"/>
        <w:ind w:left="720" w:firstLine="720"/>
        <w:rPr>
          <w:rFonts w:cs="Arial"/>
          <w:szCs w:val="24"/>
        </w:rPr>
      </w:pPr>
      <w:r w:rsidRPr="00070A05">
        <w:rPr>
          <w:rFonts w:cs="Arial"/>
          <w:szCs w:val="24"/>
        </w:rPr>
        <w:t>(iv) a utilities and services charge which covers the matters in paragraph (2);</w:t>
      </w:r>
    </w:p>
    <w:p w14:paraId="31B3930A" w14:textId="77777777" w:rsidR="00B95520" w:rsidRPr="00070A05" w:rsidRDefault="00B95520" w:rsidP="00070A05">
      <w:pPr>
        <w:autoSpaceDE w:val="0"/>
        <w:autoSpaceDN w:val="0"/>
        <w:adjustRightInd w:val="0"/>
        <w:spacing w:line="360" w:lineRule="auto"/>
        <w:rPr>
          <w:rFonts w:cs="Arial"/>
          <w:szCs w:val="24"/>
        </w:rPr>
      </w:pPr>
      <w:r w:rsidRPr="00070A05">
        <w:rPr>
          <w:rFonts w:cs="Arial"/>
          <w:szCs w:val="24"/>
        </w:rPr>
        <w:t xml:space="preserve">(c) those costs are not covered in other payments that the contractor is receiving pursuant to these Directions, and </w:t>
      </w:r>
    </w:p>
    <w:p w14:paraId="511CA3C6" w14:textId="77777777" w:rsidR="00B95520" w:rsidRPr="00070A05" w:rsidRDefault="00B95520" w:rsidP="00070A05">
      <w:pPr>
        <w:autoSpaceDE w:val="0"/>
        <w:autoSpaceDN w:val="0"/>
        <w:adjustRightInd w:val="0"/>
        <w:spacing w:line="360" w:lineRule="auto"/>
        <w:rPr>
          <w:rFonts w:cs="Arial"/>
          <w:szCs w:val="24"/>
        </w:rPr>
      </w:pPr>
      <w:r w:rsidRPr="00070A05">
        <w:rPr>
          <w:rFonts w:cs="Arial"/>
          <w:szCs w:val="24"/>
        </w:rPr>
        <w:t>the contractor makes an application to the Board for financial assistance towards meeting any or all of these costs, subject to direction 47, the Board must consider that application and, in appropriate cases (having regard, amongst other matters, to the budgetary targets it has set for</w:t>
      </w:r>
    </w:p>
    <w:p w14:paraId="52C3C529" w14:textId="63D7CA0C" w:rsidR="00070A05" w:rsidRPr="00070A05" w:rsidRDefault="00B95520" w:rsidP="00070A05">
      <w:pPr>
        <w:autoSpaceDE w:val="0"/>
        <w:autoSpaceDN w:val="0"/>
        <w:adjustRightInd w:val="0"/>
        <w:spacing w:line="360" w:lineRule="auto"/>
        <w:rPr>
          <w:rFonts w:cs="Arial"/>
          <w:b/>
          <w:szCs w:val="24"/>
        </w:rPr>
      </w:pPr>
      <w:r w:rsidRPr="00070A05">
        <w:rPr>
          <w:rFonts w:cs="Arial"/>
          <w:szCs w:val="24"/>
        </w:rPr>
        <w:t>itself), grant that application.</w:t>
      </w:r>
    </w:p>
    <w:p w14:paraId="42AA884E" w14:textId="4B8025E1" w:rsidR="00B95520" w:rsidRPr="00070A05" w:rsidRDefault="00B95520" w:rsidP="00070A05">
      <w:pPr>
        <w:autoSpaceDE w:val="0"/>
        <w:autoSpaceDN w:val="0"/>
        <w:adjustRightInd w:val="0"/>
        <w:spacing w:line="360" w:lineRule="auto"/>
        <w:rPr>
          <w:rFonts w:cs="Arial"/>
          <w:szCs w:val="24"/>
        </w:rPr>
      </w:pPr>
      <w:r w:rsidRPr="00070A05">
        <w:rPr>
          <w:rFonts w:cs="Arial"/>
          <w:b/>
          <w:szCs w:val="24"/>
        </w:rPr>
        <w:t xml:space="preserve"> (2) </w:t>
      </w:r>
      <w:r w:rsidRPr="00070A05">
        <w:rPr>
          <w:rFonts w:cs="Arial"/>
          <w:szCs w:val="24"/>
        </w:rPr>
        <w:t>The utilities and service charges in paragraph (1)(b)(iv)-</w:t>
      </w:r>
    </w:p>
    <w:p w14:paraId="233BEA29" w14:textId="77777777" w:rsidR="00B95520" w:rsidRPr="00070A05" w:rsidRDefault="00B95520" w:rsidP="00070A05">
      <w:pPr>
        <w:autoSpaceDE w:val="0"/>
        <w:autoSpaceDN w:val="0"/>
        <w:adjustRightInd w:val="0"/>
        <w:spacing w:line="360" w:lineRule="auto"/>
        <w:ind w:left="720"/>
        <w:rPr>
          <w:rFonts w:cs="Arial"/>
          <w:szCs w:val="24"/>
        </w:rPr>
      </w:pPr>
      <w:r w:rsidRPr="00070A05">
        <w:rPr>
          <w:rFonts w:cs="Arial"/>
          <w:szCs w:val="24"/>
        </w:rPr>
        <w:t xml:space="preserve">(a) may include a service charge under a lease or a charge levied under separate arrangements made by a contractor which is an owner-occupier, </w:t>
      </w:r>
    </w:p>
    <w:p w14:paraId="4C92E7DB" w14:textId="77777777" w:rsidR="00B95520" w:rsidRPr="00070A05" w:rsidRDefault="00B95520" w:rsidP="00070A05">
      <w:pPr>
        <w:autoSpaceDE w:val="0"/>
        <w:autoSpaceDN w:val="0"/>
        <w:adjustRightInd w:val="0"/>
        <w:spacing w:line="360" w:lineRule="auto"/>
        <w:ind w:firstLine="720"/>
        <w:rPr>
          <w:rFonts w:cs="Arial"/>
          <w:szCs w:val="24"/>
        </w:rPr>
      </w:pPr>
      <w:r w:rsidRPr="00070A05">
        <w:rPr>
          <w:rFonts w:cs="Arial"/>
          <w:szCs w:val="24"/>
        </w:rPr>
        <w:t>(b) must cover–</w:t>
      </w:r>
    </w:p>
    <w:p w14:paraId="3AD5A8E8" w14:textId="77777777" w:rsidR="00B95520" w:rsidRPr="00070A05" w:rsidRDefault="00B95520" w:rsidP="00070A05">
      <w:pPr>
        <w:autoSpaceDE w:val="0"/>
        <w:autoSpaceDN w:val="0"/>
        <w:adjustRightInd w:val="0"/>
        <w:spacing w:line="360" w:lineRule="auto"/>
        <w:ind w:left="720" w:firstLine="720"/>
        <w:rPr>
          <w:rFonts w:cs="Arial"/>
          <w:szCs w:val="24"/>
        </w:rPr>
      </w:pPr>
      <w:r w:rsidRPr="00070A05">
        <w:rPr>
          <w:rFonts w:cs="Arial"/>
          <w:szCs w:val="24"/>
        </w:rPr>
        <w:t>(i) fuel and electricity charges,</w:t>
      </w:r>
    </w:p>
    <w:p w14:paraId="31BD98C9" w14:textId="77777777" w:rsidR="00B95520" w:rsidRPr="00070A05" w:rsidRDefault="00B95520" w:rsidP="00070A05">
      <w:pPr>
        <w:autoSpaceDE w:val="0"/>
        <w:autoSpaceDN w:val="0"/>
        <w:adjustRightInd w:val="0"/>
        <w:spacing w:line="360" w:lineRule="auto"/>
        <w:ind w:left="720" w:firstLine="720"/>
        <w:rPr>
          <w:rFonts w:cs="Arial"/>
          <w:szCs w:val="24"/>
        </w:rPr>
      </w:pPr>
      <w:r w:rsidRPr="00070A05">
        <w:rPr>
          <w:rFonts w:cs="Arial"/>
          <w:szCs w:val="24"/>
        </w:rPr>
        <w:t>(ii) building insurance costs,</w:t>
      </w:r>
    </w:p>
    <w:p w14:paraId="519B1BF4" w14:textId="77777777" w:rsidR="00B95520" w:rsidRPr="00070A05" w:rsidRDefault="00B95520" w:rsidP="00070A05">
      <w:pPr>
        <w:autoSpaceDE w:val="0"/>
        <w:autoSpaceDN w:val="0"/>
        <w:adjustRightInd w:val="0"/>
        <w:spacing w:line="360" w:lineRule="auto"/>
        <w:ind w:left="720" w:firstLine="720"/>
        <w:rPr>
          <w:rFonts w:cs="Arial"/>
          <w:szCs w:val="24"/>
        </w:rPr>
      </w:pPr>
      <w:r w:rsidRPr="00070A05">
        <w:rPr>
          <w:rFonts w:cs="Arial"/>
          <w:szCs w:val="24"/>
        </w:rPr>
        <w:t>(iii) costs of internal or external repairs, and</w:t>
      </w:r>
    </w:p>
    <w:p w14:paraId="468C3DAD" w14:textId="77777777" w:rsidR="00B95520" w:rsidRPr="00070A05" w:rsidRDefault="00B95520" w:rsidP="00070A05">
      <w:pPr>
        <w:autoSpaceDE w:val="0"/>
        <w:autoSpaceDN w:val="0"/>
        <w:adjustRightInd w:val="0"/>
        <w:spacing w:line="360" w:lineRule="auto"/>
        <w:ind w:left="720" w:firstLine="720"/>
        <w:rPr>
          <w:rFonts w:cs="Arial"/>
          <w:szCs w:val="24"/>
        </w:rPr>
      </w:pPr>
      <w:r w:rsidRPr="00070A05">
        <w:rPr>
          <w:rFonts w:cs="Arial"/>
          <w:szCs w:val="24"/>
        </w:rPr>
        <w:t>(iv) plant, building and grounds maintenance costs.</w:t>
      </w:r>
    </w:p>
    <w:p w14:paraId="0D26EE1E" w14:textId="7D56A727" w:rsidR="00B95520" w:rsidRDefault="00B95520" w:rsidP="00070A05">
      <w:pPr>
        <w:autoSpaceDE w:val="0"/>
        <w:autoSpaceDN w:val="0"/>
        <w:adjustRightInd w:val="0"/>
        <w:spacing w:line="360" w:lineRule="auto"/>
        <w:rPr>
          <w:rFonts w:cs="Arial"/>
          <w:szCs w:val="24"/>
        </w:rPr>
      </w:pPr>
      <w:r w:rsidRPr="00070A05">
        <w:rPr>
          <w:rFonts w:cs="Arial"/>
          <w:szCs w:val="24"/>
        </w:rPr>
        <w:t xml:space="preserve"> </w:t>
      </w:r>
    </w:p>
    <w:p w14:paraId="00578699" w14:textId="38D33FC6" w:rsidR="00075EF7" w:rsidRDefault="00075EF7" w:rsidP="00070A05">
      <w:pPr>
        <w:autoSpaceDE w:val="0"/>
        <w:autoSpaceDN w:val="0"/>
        <w:adjustRightInd w:val="0"/>
        <w:spacing w:line="360" w:lineRule="auto"/>
        <w:rPr>
          <w:rFonts w:cs="Arial"/>
          <w:szCs w:val="24"/>
        </w:rPr>
      </w:pPr>
    </w:p>
    <w:p w14:paraId="1B425E82" w14:textId="4B0072C2" w:rsidR="00075EF7" w:rsidRDefault="00075EF7" w:rsidP="00070A05">
      <w:pPr>
        <w:autoSpaceDE w:val="0"/>
        <w:autoSpaceDN w:val="0"/>
        <w:adjustRightInd w:val="0"/>
        <w:spacing w:line="360" w:lineRule="auto"/>
        <w:rPr>
          <w:rFonts w:cs="Arial"/>
          <w:szCs w:val="24"/>
        </w:rPr>
      </w:pPr>
    </w:p>
    <w:p w14:paraId="6B3F4AD9" w14:textId="77777777" w:rsidR="00434CAE" w:rsidRDefault="00434CAE" w:rsidP="00070A05">
      <w:pPr>
        <w:autoSpaceDE w:val="0"/>
        <w:autoSpaceDN w:val="0"/>
        <w:adjustRightInd w:val="0"/>
        <w:spacing w:line="360" w:lineRule="auto"/>
        <w:rPr>
          <w:rFonts w:cs="Arial"/>
          <w:szCs w:val="24"/>
        </w:rPr>
      </w:pPr>
    </w:p>
    <w:p w14:paraId="46C67CB3" w14:textId="77777777" w:rsidR="00075EF7" w:rsidRPr="00070A05" w:rsidRDefault="00075EF7" w:rsidP="00070A05">
      <w:pPr>
        <w:autoSpaceDE w:val="0"/>
        <w:autoSpaceDN w:val="0"/>
        <w:adjustRightInd w:val="0"/>
        <w:spacing w:line="360" w:lineRule="auto"/>
        <w:rPr>
          <w:rFonts w:cs="Arial"/>
          <w:szCs w:val="24"/>
        </w:rPr>
      </w:pPr>
    </w:p>
    <w:p w14:paraId="2989A754" w14:textId="77777777" w:rsidR="00B95520" w:rsidRPr="00070A05" w:rsidRDefault="00B95520" w:rsidP="00070A05">
      <w:pPr>
        <w:autoSpaceDE w:val="0"/>
        <w:autoSpaceDN w:val="0"/>
        <w:adjustRightInd w:val="0"/>
        <w:spacing w:line="360" w:lineRule="auto"/>
        <w:rPr>
          <w:rFonts w:cs="Arial"/>
          <w:b/>
          <w:bCs w:val="0"/>
          <w:i/>
          <w:iCs/>
          <w:szCs w:val="24"/>
        </w:rPr>
      </w:pPr>
      <w:r w:rsidRPr="00070A05">
        <w:rPr>
          <w:rFonts w:cs="Arial"/>
          <w:b/>
          <w:i/>
          <w:iCs/>
          <w:szCs w:val="24"/>
        </w:rPr>
        <w:t>Financial assistance towards service charges</w:t>
      </w:r>
    </w:p>
    <w:p w14:paraId="20E4FE5C" w14:textId="77777777" w:rsidR="00B95520" w:rsidRPr="00070A05" w:rsidRDefault="00B95520" w:rsidP="00070A05">
      <w:pPr>
        <w:autoSpaceDE w:val="0"/>
        <w:autoSpaceDN w:val="0"/>
        <w:adjustRightInd w:val="0"/>
        <w:spacing w:line="360" w:lineRule="auto"/>
        <w:rPr>
          <w:rFonts w:cs="Arial"/>
          <w:b/>
          <w:bCs w:val="0"/>
          <w:szCs w:val="24"/>
        </w:rPr>
      </w:pPr>
    </w:p>
    <w:p w14:paraId="0BFED5C8" w14:textId="77777777" w:rsidR="00B95520" w:rsidRPr="00070A05" w:rsidRDefault="00B95520" w:rsidP="00070A05">
      <w:pPr>
        <w:autoSpaceDE w:val="0"/>
        <w:autoSpaceDN w:val="0"/>
        <w:adjustRightInd w:val="0"/>
        <w:spacing w:line="360" w:lineRule="auto"/>
        <w:rPr>
          <w:rFonts w:cs="Arial"/>
          <w:szCs w:val="24"/>
        </w:rPr>
      </w:pPr>
      <w:r w:rsidRPr="00070A05">
        <w:rPr>
          <w:rFonts w:cs="Arial"/>
          <w:b/>
          <w:szCs w:val="24"/>
        </w:rPr>
        <w:t xml:space="preserve">47. </w:t>
      </w:r>
      <w:r w:rsidRPr="00070A05">
        <w:rPr>
          <w:rFonts w:cs="Arial"/>
          <w:szCs w:val="24"/>
        </w:rPr>
        <w:t>The Board must deduct from any amount that it would otherwise be required to pay in respect of a service charge pursuant to an application of the type mentioned in</w:t>
      </w:r>
    </w:p>
    <w:p w14:paraId="4A5C22A3" w14:textId="77777777" w:rsidR="00B95520" w:rsidRPr="00070A05" w:rsidRDefault="00B95520" w:rsidP="00070A05">
      <w:pPr>
        <w:autoSpaceDE w:val="0"/>
        <w:autoSpaceDN w:val="0"/>
        <w:adjustRightInd w:val="0"/>
        <w:spacing w:line="360" w:lineRule="auto"/>
        <w:rPr>
          <w:rFonts w:cs="Arial"/>
          <w:szCs w:val="24"/>
        </w:rPr>
      </w:pPr>
      <w:r w:rsidRPr="00070A05">
        <w:rPr>
          <w:rFonts w:cs="Arial"/>
          <w:szCs w:val="24"/>
        </w:rPr>
        <w:t>direction 46–</w:t>
      </w:r>
    </w:p>
    <w:p w14:paraId="4BA99DE8" w14:textId="77777777" w:rsidR="00B95520" w:rsidRPr="00070A05" w:rsidRDefault="00B95520" w:rsidP="00070A05">
      <w:pPr>
        <w:autoSpaceDE w:val="0"/>
        <w:autoSpaceDN w:val="0"/>
        <w:adjustRightInd w:val="0"/>
        <w:spacing w:line="360" w:lineRule="auto"/>
        <w:ind w:left="720"/>
        <w:rPr>
          <w:rFonts w:cs="Arial"/>
          <w:szCs w:val="24"/>
        </w:rPr>
      </w:pPr>
      <w:r w:rsidRPr="00070A05">
        <w:rPr>
          <w:rFonts w:cs="Arial"/>
          <w:szCs w:val="24"/>
        </w:rPr>
        <w:t>(a) an average (calculated on the basis of the previous year’s costs) amount that the contractor paid in respect of–</w:t>
      </w:r>
    </w:p>
    <w:p w14:paraId="451BAD31" w14:textId="77777777" w:rsidR="00B95520" w:rsidRPr="00070A05" w:rsidRDefault="00B95520" w:rsidP="00070A05">
      <w:pPr>
        <w:autoSpaceDE w:val="0"/>
        <w:autoSpaceDN w:val="0"/>
        <w:adjustRightInd w:val="0"/>
        <w:spacing w:line="360" w:lineRule="auto"/>
        <w:ind w:left="720" w:firstLine="720"/>
        <w:rPr>
          <w:rFonts w:cs="Arial"/>
          <w:szCs w:val="24"/>
        </w:rPr>
      </w:pPr>
      <w:r w:rsidRPr="00070A05">
        <w:rPr>
          <w:rFonts w:cs="Arial"/>
          <w:szCs w:val="24"/>
        </w:rPr>
        <w:t>(i) fuel and electricity charges,</w:t>
      </w:r>
    </w:p>
    <w:p w14:paraId="51CFF775" w14:textId="77777777" w:rsidR="00B95520" w:rsidRPr="00070A05" w:rsidRDefault="00B95520" w:rsidP="00070A05">
      <w:pPr>
        <w:autoSpaceDE w:val="0"/>
        <w:autoSpaceDN w:val="0"/>
        <w:adjustRightInd w:val="0"/>
        <w:spacing w:line="360" w:lineRule="auto"/>
        <w:ind w:left="720" w:firstLine="720"/>
        <w:rPr>
          <w:rFonts w:cs="Arial"/>
          <w:szCs w:val="24"/>
        </w:rPr>
      </w:pPr>
      <w:r w:rsidRPr="00070A05">
        <w:rPr>
          <w:rFonts w:cs="Arial"/>
          <w:szCs w:val="24"/>
        </w:rPr>
        <w:t>(ii) insurance costs,</w:t>
      </w:r>
    </w:p>
    <w:p w14:paraId="3255285C" w14:textId="77777777" w:rsidR="00B95520" w:rsidRPr="00070A05" w:rsidRDefault="00B95520" w:rsidP="00070A05">
      <w:pPr>
        <w:autoSpaceDE w:val="0"/>
        <w:autoSpaceDN w:val="0"/>
        <w:adjustRightInd w:val="0"/>
        <w:spacing w:line="360" w:lineRule="auto"/>
        <w:ind w:left="720" w:firstLine="720"/>
        <w:rPr>
          <w:rFonts w:cs="Arial"/>
          <w:szCs w:val="24"/>
        </w:rPr>
      </w:pPr>
      <w:r w:rsidRPr="00070A05">
        <w:rPr>
          <w:rFonts w:cs="Arial"/>
          <w:szCs w:val="24"/>
        </w:rPr>
        <w:t>(iii) costs of internal or external repairs, and</w:t>
      </w:r>
    </w:p>
    <w:p w14:paraId="07FA17A2" w14:textId="77777777" w:rsidR="00B95520" w:rsidRPr="00070A05" w:rsidRDefault="00B95520" w:rsidP="00070A05">
      <w:pPr>
        <w:autoSpaceDE w:val="0"/>
        <w:autoSpaceDN w:val="0"/>
        <w:adjustRightInd w:val="0"/>
        <w:spacing w:line="360" w:lineRule="auto"/>
        <w:ind w:left="720" w:firstLine="720"/>
        <w:rPr>
          <w:rFonts w:cs="Arial"/>
          <w:szCs w:val="24"/>
        </w:rPr>
      </w:pPr>
      <w:r w:rsidRPr="00070A05">
        <w:rPr>
          <w:rFonts w:cs="Arial"/>
          <w:szCs w:val="24"/>
        </w:rPr>
        <w:t>(iv) building and grounds maintenance costs,</w:t>
      </w:r>
    </w:p>
    <w:p w14:paraId="20695CE6" w14:textId="77777777" w:rsidR="00B95520" w:rsidRPr="00070A05" w:rsidRDefault="00B95520" w:rsidP="00070A05">
      <w:pPr>
        <w:autoSpaceDE w:val="0"/>
        <w:autoSpaceDN w:val="0"/>
        <w:adjustRightInd w:val="0"/>
        <w:spacing w:line="360" w:lineRule="auto"/>
        <w:ind w:left="1440"/>
        <w:rPr>
          <w:rFonts w:cs="Arial"/>
          <w:szCs w:val="24"/>
        </w:rPr>
      </w:pPr>
      <w:r w:rsidRPr="00070A05">
        <w:rPr>
          <w:rFonts w:cs="Arial"/>
          <w:szCs w:val="24"/>
        </w:rPr>
        <w:t>calculated by reference to the same time period as the period in respect of which the service charge is payable; or</w:t>
      </w:r>
    </w:p>
    <w:p w14:paraId="051D9C21" w14:textId="32EEDB95" w:rsidR="00B95520" w:rsidRPr="005623C2" w:rsidRDefault="00B95520" w:rsidP="006C3DF5">
      <w:pPr>
        <w:pStyle w:val="ListParagraph"/>
        <w:numPr>
          <w:ilvl w:val="0"/>
          <w:numId w:val="205"/>
        </w:numPr>
        <w:autoSpaceDE w:val="0"/>
        <w:autoSpaceDN w:val="0"/>
        <w:adjustRightInd w:val="0"/>
        <w:spacing w:line="360" w:lineRule="auto"/>
        <w:rPr>
          <w:rFonts w:cs="Arial"/>
          <w:szCs w:val="24"/>
        </w:rPr>
      </w:pPr>
      <w:r w:rsidRPr="005623C2">
        <w:rPr>
          <w:rFonts w:cs="Arial"/>
          <w:szCs w:val="24"/>
        </w:rPr>
        <w:t>if suitable and sufficient information is not (or does not become) available to calculate the average referred to in paragraph (a), 40% of the amount otherwise payable.</w:t>
      </w:r>
    </w:p>
    <w:p w14:paraId="4F9219A6" w14:textId="77777777" w:rsidR="005623C2" w:rsidRPr="005623C2" w:rsidRDefault="005623C2" w:rsidP="005623C2">
      <w:pPr>
        <w:pStyle w:val="ListParagraph"/>
        <w:autoSpaceDE w:val="0"/>
        <w:autoSpaceDN w:val="0"/>
        <w:adjustRightInd w:val="0"/>
        <w:spacing w:line="360" w:lineRule="auto"/>
        <w:ind w:left="1080"/>
        <w:rPr>
          <w:rFonts w:cs="Arial"/>
          <w:szCs w:val="24"/>
        </w:rPr>
      </w:pPr>
    </w:p>
    <w:p w14:paraId="0C45E7AF" w14:textId="562F626C" w:rsidR="00472858" w:rsidRPr="005623C2" w:rsidRDefault="00F847DA" w:rsidP="00070A05">
      <w:pPr>
        <w:pStyle w:val="Heading3"/>
        <w:rPr>
          <w:b/>
          <w:szCs w:val="24"/>
        </w:rPr>
      </w:pPr>
      <w:bookmarkStart w:id="1836" w:name="_Hlk29999173"/>
      <w:bookmarkStart w:id="1837" w:name="_Hlk29999162"/>
      <w:bookmarkStart w:id="1838" w:name="_Hlk5975000"/>
      <w:r w:rsidRPr="005623C2">
        <w:rPr>
          <w:b/>
          <w:szCs w:val="24"/>
        </w:rPr>
        <w:t>Annex 2 –</w:t>
      </w:r>
      <w:r w:rsidR="00517F00" w:rsidRPr="005623C2">
        <w:rPr>
          <w:b/>
          <w:szCs w:val="24"/>
        </w:rPr>
        <w:t xml:space="preserve"> FMT Service Charge Support </w:t>
      </w:r>
      <w:r w:rsidR="00C1422B">
        <w:rPr>
          <w:b/>
          <w:szCs w:val="24"/>
        </w:rPr>
        <w:t>17-18</w:t>
      </w:r>
    </w:p>
    <w:bookmarkEnd w:id="1836"/>
    <w:p w14:paraId="66577D58" w14:textId="2C9A0B24" w:rsidR="00F847DA" w:rsidRDefault="00F847DA" w:rsidP="00472858">
      <w:pPr>
        <w:rPr>
          <w:lang w:eastAsia="en-GB"/>
        </w:rPr>
      </w:pPr>
    </w:p>
    <w:bookmarkStart w:id="1839" w:name="_Hlk29999224"/>
    <w:p w14:paraId="2CAA3AC6" w14:textId="72DFAE29" w:rsidR="005623C2" w:rsidRDefault="00DE77D1" w:rsidP="00472858">
      <w:pPr>
        <w:rPr>
          <w:lang w:eastAsia="en-GB"/>
        </w:rPr>
      </w:pPr>
      <w:r>
        <w:rPr>
          <w:rStyle w:val="Hyperlink"/>
          <w:lang w:eastAsia="en-GB"/>
        </w:rPr>
        <w:fldChar w:fldCharType="begin"/>
      </w:r>
      <w:r>
        <w:rPr>
          <w:rStyle w:val="Hyperlink"/>
          <w:lang w:eastAsia="en-GB"/>
        </w:rPr>
        <w:instrText xml:space="preserve"> HYPERLINK "https://www.england.nhs.uk/publication/pgm-annex-2-fmt-service-charge-support-16-17/" </w:instrText>
      </w:r>
      <w:r>
        <w:rPr>
          <w:rStyle w:val="Hyperlink"/>
          <w:lang w:eastAsia="en-GB"/>
        </w:rPr>
        <w:fldChar w:fldCharType="separate"/>
      </w:r>
      <w:r w:rsidR="005623C2" w:rsidRPr="005623C2">
        <w:rPr>
          <w:rStyle w:val="Hyperlink"/>
          <w:lang w:eastAsia="en-GB"/>
        </w:rPr>
        <w:t>FMT Service Charge Support 17</w:t>
      </w:r>
      <w:r>
        <w:rPr>
          <w:rStyle w:val="Hyperlink"/>
          <w:lang w:eastAsia="en-GB"/>
        </w:rPr>
        <w:fldChar w:fldCharType="end"/>
      </w:r>
      <w:r w:rsidR="001F5A70">
        <w:rPr>
          <w:rStyle w:val="Hyperlink"/>
          <w:lang w:eastAsia="en-GB"/>
        </w:rPr>
        <w:t>-18</w:t>
      </w:r>
      <w:r w:rsidR="003501B2">
        <w:rPr>
          <w:rStyle w:val="Hyperlink"/>
          <w:lang w:eastAsia="en-GB"/>
        </w:rPr>
        <w:t xml:space="preserve"> Application v2</w:t>
      </w:r>
    </w:p>
    <w:bookmarkEnd w:id="1839"/>
    <w:p w14:paraId="195826F8" w14:textId="4C71CB09" w:rsidR="005623C2" w:rsidRDefault="005623C2" w:rsidP="00472858">
      <w:pPr>
        <w:rPr>
          <w:lang w:eastAsia="en-GB"/>
        </w:rPr>
      </w:pPr>
    </w:p>
    <w:p w14:paraId="29D0D530" w14:textId="77777777" w:rsidR="00EF6684" w:rsidRDefault="00EF6684" w:rsidP="00472858">
      <w:pPr>
        <w:rPr>
          <w:lang w:eastAsia="en-GB"/>
        </w:rPr>
      </w:pPr>
    </w:p>
    <w:p w14:paraId="3FDAF410" w14:textId="0A294E70" w:rsidR="00F847DA" w:rsidRPr="005623C2" w:rsidRDefault="00F847DA" w:rsidP="00070A05">
      <w:pPr>
        <w:pStyle w:val="Heading3"/>
        <w:rPr>
          <w:b/>
          <w:szCs w:val="24"/>
        </w:rPr>
      </w:pPr>
      <w:bookmarkStart w:id="1840" w:name="_Hlk29999189"/>
      <w:r w:rsidRPr="005623C2">
        <w:rPr>
          <w:b/>
          <w:szCs w:val="24"/>
        </w:rPr>
        <w:t xml:space="preserve">Annex </w:t>
      </w:r>
      <w:r w:rsidR="00517F00" w:rsidRPr="005623C2">
        <w:rPr>
          <w:b/>
          <w:szCs w:val="24"/>
        </w:rPr>
        <w:t>2A</w:t>
      </w:r>
      <w:r w:rsidRPr="005623C2">
        <w:rPr>
          <w:b/>
          <w:szCs w:val="24"/>
        </w:rPr>
        <w:t xml:space="preserve"> – </w:t>
      </w:r>
      <w:bookmarkStart w:id="1841" w:name="_Hlk6899481"/>
      <w:r w:rsidR="00517F00" w:rsidRPr="005623C2">
        <w:rPr>
          <w:b/>
          <w:szCs w:val="24"/>
        </w:rPr>
        <w:t>FMT Service Charge Support 17</w:t>
      </w:r>
      <w:r w:rsidR="0024070C">
        <w:rPr>
          <w:b/>
          <w:szCs w:val="24"/>
        </w:rPr>
        <w:t>-18</w:t>
      </w:r>
      <w:r w:rsidR="00517F00" w:rsidRPr="005623C2">
        <w:rPr>
          <w:b/>
          <w:szCs w:val="24"/>
        </w:rPr>
        <w:t xml:space="preserve"> (GUIDE)</w:t>
      </w:r>
      <w:bookmarkEnd w:id="1841"/>
    </w:p>
    <w:bookmarkEnd w:id="1840"/>
    <w:p w14:paraId="17FF0D88" w14:textId="0E5F4253" w:rsidR="00F847DA" w:rsidRDefault="00F847DA" w:rsidP="00472858">
      <w:pPr>
        <w:rPr>
          <w:lang w:eastAsia="en-GB"/>
        </w:rPr>
      </w:pPr>
    </w:p>
    <w:bookmarkStart w:id="1842" w:name="_Hlk29999245"/>
    <w:p w14:paraId="77802425" w14:textId="6DB2D5C2" w:rsidR="005623C2" w:rsidRDefault="00DE77D1" w:rsidP="00472858">
      <w:pPr>
        <w:rPr>
          <w:lang w:eastAsia="en-GB"/>
        </w:rPr>
      </w:pPr>
      <w:r>
        <w:rPr>
          <w:rStyle w:val="Hyperlink"/>
          <w:lang w:eastAsia="en-GB"/>
        </w:rPr>
        <w:fldChar w:fldCharType="begin"/>
      </w:r>
      <w:r>
        <w:rPr>
          <w:rStyle w:val="Hyperlink"/>
          <w:lang w:eastAsia="en-GB"/>
        </w:rPr>
        <w:instrText xml:space="preserve"> HYPERLINK "https://www.england.nhs.uk/publication/pgm-manual-annex-2a-fmt-service-charge-support-16-17-guide/" </w:instrText>
      </w:r>
      <w:r>
        <w:rPr>
          <w:rStyle w:val="Hyperlink"/>
          <w:lang w:eastAsia="en-GB"/>
        </w:rPr>
        <w:fldChar w:fldCharType="separate"/>
      </w:r>
      <w:r w:rsidR="005623C2" w:rsidRPr="005623C2">
        <w:rPr>
          <w:rStyle w:val="Hyperlink"/>
          <w:lang w:eastAsia="en-GB"/>
        </w:rPr>
        <w:t xml:space="preserve">FMT Service Charge Support </w:t>
      </w:r>
      <w:r w:rsidR="001F5A70">
        <w:rPr>
          <w:rStyle w:val="Hyperlink"/>
          <w:lang w:eastAsia="en-GB"/>
        </w:rPr>
        <w:t>17-18</w:t>
      </w:r>
      <w:r w:rsidR="005623C2" w:rsidRPr="005623C2">
        <w:rPr>
          <w:rStyle w:val="Hyperlink"/>
          <w:lang w:eastAsia="en-GB"/>
        </w:rPr>
        <w:t xml:space="preserve"> (GUIDE)</w:t>
      </w:r>
      <w:r>
        <w:rPr>
          <w:rStyle w:val="Hyperlink"/>
          <w:lang w:eastAsia="en-GB"/>
        </w:rPr>
        <w:fldChar w:fldCharType="end"/>
      </w:r>
    </w:p>
    <w:bookmarkEnd w:id="1842"/>
    <w:p w14:paraId="3197CF73" w14:textId="20392027" w:rsidR="00517F00" w:rsidRDefault="00517F00" w:rsidP="00472858">
      <w:pPr>
        <w:rPr>
          <w:lang w:eastAsia="en-GB"/>
        </w:rPr>
      </w:pPr>
    </w:p>
    <w:p w14:paraId="05CD7CFE" w14:textId="00BF60BA" w:rsidR="005623C2" w:rsidRDefault="001F5A70" w:rsidP="00472858">
      <w:pPr>
        <w:rPr>
          <w:lang w:eastAsia="en-GB"/>
        </w:rPr>
      </w:pPr>
      <w:r w:rsidDel="001F5A70">
        <w:rPr>
          <w:lang w:eastAsia="en-GB"/>
        </w:rPr>
        <w:t xml:space="preserve"> </w:t>
      </w:r>
    </w:p>
    <w:p w14:paraId="32F7FC98" w14:textId="0153D9BE" w:rsidR="00F847DA" w:rsidRPr="005623C2" w:rsidRDefault="00517F00" w:rsidP="00070A05">
      <w:pPr>
        <w:pStyle w:val="Heading3"/>
        <w:rPr>
          <w:b/>
          <w:szCs w:val="24"/>
        </w:rPr>
      </w:pPr>
      <w:bookmarkStart w:id="1843" w:name="_Hlk29999200"/>
      <w:r w:rsidRPr="005623C2">
        <w:rPr>
          <w:b/>
          <w:szCs w:val="24"/>
        </w:rPr>
        <w:t>Annex 2B</w:t>
      </w:r>
      <w:r w:rsidR="00F847DA" w:rsidRPr="005623C2">
        <w:rPr>
          <w:b/>
          <w:szCs w:val="24"/>
        </w:rPr>
        <w:t xml:space="preserve"> – </w:t>
      </w:r>
      <w:r w:rsidRPr="005623C2">
        <w:rPr>
          <w:b/>
          <w:szCs w:val="24"/>
        </w:rPr>
        <w:t>Commissioners and Finance Officers Guide to Tab 2 of FMT</w:t>
      </w:r>
    </w:p>
    <w:bookmarkEnd w:id="1843"/>
    <w:p w14:paraId="3D2DE8CE" w14:textId="77777777" w:rsidR="00E507B7" w:rsidRDefault="00E507B7" w:rsidP="00472858">
      <w:pPr>
        <w:rPr>
          <w:lang w:eastAsia="en-GB"/>
        </w:rPr>
      </w:pPr>
    </w:p>
    <w:bookmarkStart w:id="1844" w:name="_Hlk29999256"/>
    <w:p w14:paraId="1160B681" w14:textId="3DCDF081" w:rsidR="00F847DA" w:rsidRDefault="00DE77D1" w:rsidP="00472858">
      <w:pPr>
        <w:rPr>
          <w:lang w:eastAsia="en-GB"/>
        </w:rPr>
      </w:pPr>
      <w:r>
        <w:rPr>
          <w:rStyle w:val="Hyperlink"/>
          <w:lang w:eastAsia="en-GB"/>
        </w:rPr>
        <w:fldChar w:fldCharType="begin"/>
      </w:r>
      <w:r>
        <w:rPr>
          <w:rStyle w:val="Hyperlink"/>
          <w:lang w:eastAsia="en-GB"/>
        </w:rPr>
        <w:instrText xml:space="preserve"> HYPERLINK "https://www.england.nhs.uk/publication/pgm-annex-2b-commissioners-and-finance-officers-guide-to-tab-2-of-fmt/" </w:instrText>
      </w:r>
      <w:r>
        <w:rPr>
          <w:rStyle w:val="Hyperlink"/>
          <w:lang w:eastAsia="en-GB"/>
        </w:rPr>
        <w:fldChar w:fldCharType="separate"/>
      </w:r>
      <w:r w:rsidR="00E507B7" w:rsidRPr="00E507B7">
        <w:rPr>
          <w:rStyle w:val="Hyperlink"/>
          <w:lang w:eastAsia="en-GB"/>
        </w:rPr>
        <w:t>Commissioners and Finance Officers Guide to Tab 2 of FMT</w:t>
      </w:r>
      <w:r>
        <w:rPr>
          <w:rStyle w:val="Hyperlink"/>
          <w:lang w:eastAsia="en-GB"/>
        </w:rPr>
        <w:fldChar w:fldCharType="end"/>
      </w:r>
    </w:p>
    <w:bookmarkEnd w:id="1844"/>
    <w:p w14:paraId="1BD83237" w14:textId="5B3BB656" w:rsidR="00517F00" w:rsidRDefault="00517F00" w:rsidP="00472858">
      <w:pPr>
        <w:rPr>
          <w:lang w:eastAsia="en-GB"/>
        </w:rPr>
      </w:pPr>
    </w:p>
    <w:p w14:paraId="0A4BCBCF" w14:textId="734B9D82" w:rsidR="00862E4D" w:rsidRDefault="00862E4D" w:rsidP="00472858">
      <w:pPr>
        <w:rPr>
          <w:lang w:eastAsia="en-GB"/>
        </w:rPr>
      </w:pPr>
    </w:p>
    <w:p w14:paraId="23905992" w14:textId="009F0291" w:rsidR="00F847DA" w:rsidRPr="005623C2" w:rsidRDefault="00517F00" w:rsidP="00070A05">
      <w:pPr>
        <w:pStyle w:val="Heading3"/>
        <w:rPr>
          <w:b/>
          <w:szCs w:val="24"/>
        </w:rPr>
      </w:pPr>
      <w:bookmarkStart w:id="1845" w:name="_Hlk29999215"/>
      <w:r w:rsidRPr="005623C2">
        <w:rPr>
          <w:b/>
          <w:szCs w:val="24"/>
        </w:rPr>
        <w:t>Annex 3</w:t>
      </w:r>
      <w:r w:rsidR="00F847DA" w:rsidRPr="005623C2">
        <w:rPr>
          <w:b/>
          <w:szCs w:val="24"/>
        </w:rPr>
        <w:t xml:space="preserve"> - </w:t>
      </w:r>
      <w:r w:rsidRPr="005623C2">
        <w:rPr>
          <w:b/>
          <w:szCs w:val="24"/>
        </w:rPr>
        <w:t>Commissioner-GP Formal Agreement</w:t>
      </w:r>
    </w:p>
    <w:bookmarkEnd w:id="1845"/>
    <w:p w14:paraId="776302D7" w14:textId="7B3FCEF3" w:rsidR="00517F00" w:rsidRDefault="00517F00" w:rsidP="00472858"/>
    <w:bookmarkStart w:id="1846" w:name="_Hlk29999271"/>
    <w:p w14:paraId="12C32AD7" w14:textId="48EE6CC0" w:rsidR="008339DB" w:rsidRDefault="00DE77D1" w:rsidP="00472858">
      <w:r>
        <w:rPr>
          <w:rStyle w:val="Hyperlink"/>
        </w:rPr>
        <w:fldChar w:fldCharType="begin"/>
      </w:r>
      <w:r>
        <w:rPr>
          <w:rStyle w:val="Hyperlink"/>
        </w:rPr>
        <w:instrText xml:space="preserve"> HYPERLINK "https://www.england.nhs.uk/publication/pgm-annex-3-commissioner-gp-formal-agreement/" </w:instrText>
      </w:r>
      <w:r>
        <w:rPr>
          <w:rStyle w:val="Hyperlink"/>
        </w:rPr>
        <w:fldChar w:fldCharType="separate"/>
      </w:r>
      <w:r w:rsidR="00E507B7" w:rsidRPr="00E507B7">
        <w:rPr>
          <w:rStyle w:val="Hyperlink"/>
        </w:rPr>
        <w:t>Commissioner-GP Formal Agreement</w:t>
      </w:r>
      <w:r>
        <w:rPr>
          <w:rStyle w:val="Hyperlink"/>
        </w:rPr>
        <w:fldChar w:fldCharType="end"/>
      </w:r>
    </w:p>
    <w:p w14:paraId="66166B9B" w14:textId="36E677C4" w:rsidR="008339DB" w:rsidRDefault="008339DB" w:rsidP="00472858"/>
    <w:p w14:paraId="428D77A4" w14:textId="6BC133C0" w:rsidR="00613C58" w:rsidRDefault="00613C58" w:rsidP="00472858"/>
    <w:p w14:paraId="6DEB3D5D" w14:textId="6D487C06" w:rsidR="00367377" w:rsidRDefault="00367377" w:rsidP="00472858"/>
    <w:p w14:paraId="10CAEB31" w14:textId="53AD77C3" w:rsidR="00367377" w:rsidRDefault="00367377" w:rsidP="00472858"/>
    <w:p w14:paraId="40D86030" w14:textId="04E35D99" w:rsidR="00367377" w:rsidRDefault="00367377" w:rsidP="00472858"/>
    <w:p w14:paraId="218A5A8D" w14:textId="53C08DE4" w:rsidR="00A6102A" w:rsidRDefault="00A6102A" w:rsidP="00472858"/>
    <w:p w14:paraId="1D104649" w14:textId="77777777" w:rsidR="00A6102A" w:rsidRDefault="00A6102A" w:rsidP="00472858"/>
    <w:p w14:paraId="2C88DA64" w14:textId="77777777" w:rsidR="00613C58" w:rsidRDefault="00613C58" w:rsidP="00472858"/>
    <w:p w14:paraId="05B24892" w14:textId="32B5E298" w:rsidR="008339DB" w:rsidRPr="00BE073F" w:rsidRDefault="008339DB" w:rsidP="008339DB">
      <w:pPr>
        <w:pStyle w:val="Heading2"/>
      </w:pPr>
      <w:bookmarkStart w:id="1847" w:name="_Toc95743501"/>
      <w:bookmarkEnd w:id="1837"/>
      <w:bookmarkEnd w:id="1846"/>
      <w:r w:rsidRPr="00BE073F">
        <w:t>NHS Resolution guidance note on Premises costs (Current Market Rent) disputes</w:t>
      </w:r>
      <w:bookmarkEnd w:id="1847"/>
    </w:p>
    <w:p w14:paraId="22F8EEF5" w14:textId="77777777" w:rsidR="008339DB" w:rsidRPr="00BE073F" w:rsidRDefault="008339DB"/>
    <w:p w14:paraId="2B94FE80" w14:textId="3E465D11" w:rsidR="008339DB" w:rsidRPr="00BE073F" w:rsidRDefault="008339DB" w:rsidP="00A6102A">
      <w:pPr>
        <w:pStyle w:val="Heading3"/>
        <w:rPr>
          <w:rFonts w:eastAsiaTheme="majorEastAsia" w:cstheme="majorBidi"/>
          <w:bCs w:val="0"/>
          <w:iCs/>
          <w:color w:val="000000" w:themeColor="text1"/>
          <w:lang w:eastAsia="en-GB"/>
        </w:rPr>
      </w:pPr>
      <w:r w:rsidRPr="00BE073F">
        <w:rPr>
          <w:rFonts w:eastAsiaTheme="majorEastAsia" w:cstheme="majorBidi"/>
          <w:bCs w:val="0"/>
          <w:iCs/>
          <w:color w:val="000000" w:themeColor="text1"/>
          <w:lang w:eastAsia="en-GB"/>
        </w:rPr>
        <w:t>The aim of this guidance note (link below) is to provide information which should be used in conjunction with the Regulations, Directions, Protocol, Determinations and Guidance Note for Parties Involved in Dispute Resolution (see paragraph 11). It is not its function to summarise these documents, which should be referred to before making any referral to Primary Care Appeals in relation to CMR reimbursement.</w:t>
      </w:r>
    </w:p>
    <w:p w14:paraId="3EEBF6E8" w14:textId="77777777" w:rsidR="000052D3" w:rsidRPr="00BE073F" w:rsidRDefault="000B57EE">
      <w:pPr>
        <w:ind w:left="720"/>
      </w:pPr>
      <w:hyperlink r:id="rId149" w:history="1">
        <w:r w:rsidR="008339DB" w:rsidRPr="003E5564">
          <w:rPr>
            <w:rStyle w:val="Hyperlink"/>
          </w:rPr>
          <w:t>https://resolution.nhs.uk/resources/guidance-note-on-premises-costs-current-market-rent-disputes/</w:t>
        </w:r>
      </w:hyperlink>
    </w:p>
    <w:p w14:paraId="03B7C793" w14:textId="77777777" w:rsidR="00951D33" w:rsidRPr="00BE073F" w:rsidRDefault="00951D33">
      <w:pPr>
        <w:ind w:left="720"/>
        <w:rPr>
          <w:rFonts w:eastAsiaTheme="majorEastAsia"/>
        </w:rPr>
      </w:pPr>
    </w:p>
    <w:p w14:paraId="5B9B899A" w14:textId="29DC5143" w:rsidR="00951D33" w:rsidRPr="00BE073F" w:rsidRDefault="00951D33" w:rsidP="00B6353E">
      <w:pPr>
        <w:pStyle w:val="Heading2"/>
        <w:rPr>
          <w:rFonts w:eastAsiaTheme="majorEastAsia"/>
        </w:rPr>
      </w:pPr>
      <w:bookmarkStart w:id="1848" w:name="_Toc95743502"/>
      <w:r w:rsidRPr="00BE073F">
        <w:rPr>
          <w:rFonts w:eastAsiaTheme="majorEastAsia"/>
        </w:rPr>
        <w:t>PCN Workforce and Estates Guidance</w:t>
      </w:r>
      <w:bookmarkEnd w:id="1848"/>
      <w:r w:rsidRPr="00BE073F">
        <w:rPr>
          <w:rFonts w:eastAsiaTheme="majorEastAsia"/>
        </w:rPr>
        <w:t> </w:t>
      </w:r>
    </w:p>
    <w:p w14:paraId="44D49C46" w14:textId="2BDA323D" w:rsidR="00951D33" w:rsidRPr="00BE073F" w:rsidRDefault="00951D33" w:rsidP="00951D33">
      <w:pPr>
        <w:pStyle w:val="Heading3"/>
      </w:pPr>
      <w:r w:rsidRPr="00BE073F">
        <w:t xml:space="preserve">The Network Contract Directed Enhanced Service (DES) Contract Specification 2020/21 – PCN Entitlements and Requirements (‘the Contract’) paves the way for around seven additional new full-time clinical support staff for an average PCN in 2020/21. This figure rises to 20 full-time staff by April 2024. It is predicted that the introduction of these new staff, under the Additional Roles Reimbursement Scheme (ARRS), will transform service delivery for patients, and ease the mounting pressures on existing clinical staff, including GPs and practice nurses. </w:t>
      </w:r>
    </w:p>
    <w:p w14:paraId="6CC60874" w14:textId="77777777" w:rsidR="00951D33" w:rsidRPr="00BE073F" w:rsidRDefault="00951D33" w:rsidP="00951D33"/>
    <w:p w14:paraId="36A56E14" w14:textId="043F301F" w:rsidR="00951D33" w:rsidRPr="00BE073F" w:rsidRDefault="00951D33" w:rsidP="00951D33">
      <w:pPr>
        <w:pStyle w:val="Heading3"/>
      </w:pPr>
      <w:r w:rsidRPr="00BE073F">
        <w:t xml:space="preserve">The ‘Update to the GP Contract Agreement 2020/21 – 2023/24’ (published 6th February 2020) makes reference to ensuring sufficient space is available for additional staff employed under the ARRS (paragraph 1.34). </w:t>
      </w:r>
    </w:p>
    <w:p w14:paraId="0725D0FC" w14:textId="77777777" w:rsidR="00951D33" w:rsidRPr="00BE073F" w:rsidRDefault="00951D33" w:rsidP="00951D33"/>
    <w:p w14:paraId="15092826" w14:textId="6C74F4EE" w:rsidR="00951D33" w:rsidRPr="00BE073F" w:rsidRDefault="00951D33" w:rsidP="00B6353E">
      <w:pPr>
        <w:pStyle w:val="Heading3"/>
      </w:pPr>
      <w:r w:rsidRPr="00BE073F">
        <w:t xml:space="preserve">These documents offer advice and guidance to providers (PCNs and constituent practices), as well as to commissioners in receipt of applications for additional funding to accommodate additional staff.  The documents are set out below and can be accessed </w:t>
      </w:r>
      <w:hyperlink r:id="rId150" w:history="1">
        <w:r w:rsidRPr="00BE073F">
          <w:rPr>
            <w:rStyle w:val="Hyperlink"/>
            <w:rFonts w:cs="Arial"/>
            <w:szCs w:val="24"/>
          </w:rPr>
          <w:t>here:</w:t>
        </w:r>
      </w:hyperlink>
    </w:p>
    <w:p w14:paraId="769FD32A" w14:textId="77777777" w:rsidR="00951D33" w:rsidRPr="00BE073F" w:rsidRDefault="00951D33" w:rsidP="00B6353E">
      <w:pPr>
        <w:ind w:left="360"/>
        <w:rPr>
          <w:rFonts w:cs="Arial"/>
          <w:szCs w:val="24"/>
        </w:rPr>
      </w:pPr>
    </w:p>
    <w:p w14:paraId="31200AB8" w14:textId="1FDFD7AB" w:rsidR="00007B19" w:rsidRPr="00BE073F" w:rsidRDefault="00007B19" w:rsidP="00A6102A">
      <w:pPr>
        <w:spacing w:after="160" w:line="252" w:lineRule="auto"/>
        <w:ind w:firstLine="720"/>
        <w:rPr>
          <w:rFonts w:cs="Arial"/>
          <w:b/>
          <w:bCs w:val="0"/>
          <w:szCs w:val="24"/>
        </w:rPr>
      </w:pPr>
      <w:r w:rsidRPr="00BE073F">
        <w:rPr>
          <w:rFonts w:cs="Arial"/>
          <w:b/>
          <w:bCs w:val="0"/>
          <w:szCs w:val="24"/>
        </w:rPr>
        <w:t>Annex 1</w:t>
      </w:r>
      <w:r w:rsidR="009C242A" w:rsidRPr="00BE073F">
        <w:rPr>
          <w:rFonts w:cs="Arial"/>
          <w:b/>
          <w:bCs w:val="0"/>
          <w:szCs w:val="24"/>
        </w:rPr>
        <w:t xml:space="preserve"> Advice note for providers</w:t>
      </w:r>
    </w:p>
    <w:p w14:paraId="07114C2D" w14:textId="77777777" w:rsidR="00007B19" w:rsidRPr="00BE073F" w:rsidRDefault="000B57EE" w:rsidP="00007B19">
      <w:pPr>
        <w:pStyle w:val="ListParagraph"/>
        <w:spacing w:after="160" w:line="252" w:lineRule="auto"/>
        <w:ind w:left="1440"/>
        <w:rPr>
          <w:rFonts w:cs="Arial"/>
          <w:b/>
          <w:bCs w:val="0"/>
          <w:szCs w:val="24"/>
        </w:rPr>
      </w:pPr>
      <w:hyperlink r:id="rId151" w:history="1">
        <w:r w:rsidR="00951D33" w:rsidRPr="00BE073F">
          <w:rPr>
            <w:rStyle w:val="Hyperlink"/>
            <w:rFonts w:cs="Arial"/>
            <w:b/>
            <w:bCs w:val="0"/>
            <w:szCs w:val="24"/>
          </w:rPr>
          <w:t>Advice note for providers</w:t>
        </w:r>
      </w:hyperlink>
    </w:p>
    <w:p w14:paraId="246C9882" w14:textId="77777777" w:rsidR="00007B19" w:rsidRPr="00BE073F" w:rsidRDefault="00007B19" w:rsidP="00007B19">
      <w:pPr>
        <w:pStyle w:val="ListParagraph"/>
        <w:spacing w:after="160" w:line="252" w:lineRule="auto"/>
        <w:ind w:left="1440"/>
        <w:rPr>
          <w:rFonts w:cs="Arial"/>
          <w:szCs w:val="24"/>
        </w:rPr>
      </w:pPr>
    </w:p>
    <w:p w14:paraId="549F9FB4" w14:textId="4C2799D8" w:rsidR="00007B19" w:rsidRPr="00BE073F" w:rsidRDefault="00007B19" w:rsidP="00A6102A">
      <w:pPr>
        <w:spacing w:after="160" w:line="252" w:lineRule="auto"/>
        <w:ind w:firstLine="720"/>
        <w:rPr>
          <w:rFonts w:cs="Arial"/>
          <w:b/>
          <w:bCs w:val="0"/>
          <w:szCs w:val="24"/>
        </w:rPr>
      </w:pPr>
      <w:r w:rsidRPr="00BE073F">
        <w:rPr>
          <w:rFonts w:cs="Arial"/>
          <w:b/>
          <w:bCs w:val="0"/>
          <w:szCs w:val="24"/>
        </w:rPr>
        <w:t>Annexx 2</w:t>
      </w:r>
      <w:r w:rsidR="00951D33" w:rsidRPr="00BE073F">
        <w:rPr>
          <w:rFonts w:cs="Arial"/>
          <w:b/>
          <w:bCs w:val="0"/>
          <w:szCs w:val="24"/>
        </w:rPr>
        <w:t xml:space="preserve"> </w:t>
      </w:r>
      <w:r w:rsidR="009C242A" w:rsidRPr="00BE073F">
        <w:rPr>
          <w:rFonts w:cs="Arial"/>
          <w:b/>
          <w:bCs w:val="0"/>
          <w:szCs w:val="24"/>
        </w:rPr>
        <w:t>Supplementary guidance for providers</w:t>
      </w:r>
    </w:p>
    <w:p w14:paraId="38CB48F1" w14:textId="77777777" w:rsidR="00007B19" w:rsidRPr="00BE073F" w:rsidRDefault="00007B19" w:rsidP="00007B19">
      <w:pPr>
        <w:pStyle w:val="ListParagraph"/>
        <w:spacing w:after="160" w:line="252" w:lineRule="auto"/>
        <w:ind w:left="1440"/>
        <w:rPr>
          <w:rFonts w:cs="Arial"/>
          <w:szCs w:val="24"/>
        </w:rPr>
      </w:pPr>
    </w:p>
    <w:p w14:paraId="4CBB9AF6" w14:textId="3619A827" w:rsidR="00951D33" w:rsidRPr="00BE073F" w:rsidRDefault="000B57EE" w:rsidP="00007B19">
      <w:pPr>
        <w:pStyle w:val="ListParagraph"/>
        <w:spacing w:after="160" w:line="252" w:lineRule="auto"/>
        <w:ind w:left="1440"/>
        <w:rPr>
          <w:rFonts w:cs="Arial"/>
          <w:b/>
          <w:bCs w:val="0"/>
          <w:szCs w:val="24"/>
        </w:rPr>
      </w:pPr>
      <w:hyperlink r:id="rId152" w:history="1">
        <w:r w:rsidR="00951D33" w:rsidRPr="00BE073F">
          <w:rPr>
            <w:rStyle w:val="Hyperlink"/>
            <w:rFonts w:cs="Arial"/>
            <w:b/>
            <w:bCs w:val="0"/>
            <w:szCs w:val="24"/>
          </w:rPr>
          <w:t>Supplementary guidance for providers</w:t>
        </w:r>
      </w:hyperlink>
      <w:r w:rsidR="00951D33" w:rsidRPr="00BE073F">
        <w:rPr>
          <w:rFonts w:cs="Arial"/>
          <w:b/>
          <w:bCs w:val="0"/>
          <w:szCs w:val="24"/>
        </w:rPr>
        <w:t xml:space="preserve"> </w:t>
      </w:r>
    </w:p>
    <w:p w14:paraId="1154BEE1" w14:textId="7B2B87FD" w:rsidR="00A6102A" w:rsidRPr="00BE073F" w:rsidRDefault="00A6102A" w:rsidP="00007B19">
      <w:pPr>
        <w:pStyle w:val="ListParagraph"/>
        <w:spacing w:after="160" w:line="252" w:lineRule="auto"/>
        <w:ind w:left="1440"/>
        <w:rPr>
          <w:rFonts w:cs="Arial"/>
          <w:b/>
          <w:bCs w:val="0"/>
          <w:szCs w:val="24"/>
        </w:rPr>
      </w:pPr>
    </w:p>
    <w:p w14:paraId="500CF556" w14:textId="1C2CCAF9" w:rsidR="00A6102A" w:rsidRPr="00BE073F" w:rsidRDefault="00A6102A" w:rsidP="00007B19">
      <w:pPr>
        <w:pStyle w:val="ListParagraph"/>
        <w:spacing w:after="160" w:line="252" w:lineRule="auto"/>
        <w:ind w:left="1440"/>
        <w:rPr>
          <w:rFonts w:cs="Arial"/>
          <w:b/>
          <w:bCs w:val="0"/>
          <w:szCs w:val="24"/>
        </w:rPr>
      </w:pPr>
    </w:p>
    <w:p w14:paraId="7D73670E" w14:textId="4F45718E" w:rsidR="00A6102A" w:rsidRPr="00BE073F" w:rsidRDefault="00A6102A" w:rsidP="00007B19">
      <w:pPr>
        <w:pStyle w:val="ListParagraph"/>
        <w:spacing w:after="160" w:line="252" w:lineRule="auto"/>
        <w:ind w:left="1440"/>
        <w:rPr>
          <w:rFonts w:cs="Arial"/>
          <w:b/>
          <w:bCs w:val="0"/>
          <w:szCs w:val="24"/>
        </w:rPr>
      </w:pPr>
    </w:p>
    <w:p w14:paraId="36223CF6" w14:textId="33532CEA" w:rsidR="00A6102A" w:rsidRPr="00BE073F" w:rsidRDefault="00A6102A" w:rsidP="00007B19">
      <w:pPr>
        <w:pStyle w:val="ListParagraph"/>
        <w:spacing w:after="160" w:line="252" w:lineRule="auto"/>
        <w:ind w:left="1440"/>
        <w:rPr>
          <w:rFonts w:cs="Arial"/>
          <w:b/>
          <w:bCs w:val="0"/>
          <w:szCs w:val="24"/>
        </w:rPr>
      </w:pPr>
      <w:r w:rsidRPr="00BE073F">
        <w:rPr>
          <w:rFonts w:cs="Arial"/>
          <w:b/>
          <w:bCs w:val="0"/>
          <w:szCs w:val="24"/>
        </w:rPr>
        <w:t xml:space="preserve">Annex </w:t>
      </w:r>
      <w:r w:rsidR="007F74CD" w:rsidRPr="00BE073F">
        <w:rPr>
          <w:rFonts w:cs="Arial"/>
          <w:b/>
          <w:bCs w:val="0"/>
          <w:szCs w:val="24"/>
        </w:rPr>
        <w:t>3 Guidance for commissioners in receipt of an application for funds (including annexes 1-4)</w:t>
      </w:r>
    </w:p>
    <w:p w14:paraId="53AF1982" w14:textId="77777777" w:rsidR="00007B19" w:rsidRPr="00BE073F" w:rsidRDefault="00007B19" w:rsidP="00007B19">
      <w:pPr>
        <w:pStyle w:val="ListParagraph"/>
        <w:spacing w:after="160" w:line="252" w:lineRule="auto"/>
        <w:ind w:left="1440"/>
        <w:rPr>
          <w:rFonts w:cs="Arial"/>
          <w:szCs w:val="24"/>
        </w:rPr>
      </w:pPr>
    </w:p>
    <w:p w14:paraId="7A0CE252" w14:textId="18EECF66" w:rsidR="00951D33" w:rsidRPr="00BE073F" w:rsidRDefault="000B57EE" w:rsidP="006C3DF5">
      <w:pPr>
        <w:pStyle w:val="ListParagraph"/>
        <w:numPr>
          <w:ilvl w:val="0"/>
          <w:numId w:val="231"/>
        </w:numPr>
        <w:spacing w:after="160" w:line="252" w:lineRule="auto"/>
        <w:rPr>
          <w:rFonts w:cs="Arial"/>
          <w:b/>
          <w:bCs w:val="0"/>
          <w:szCs w:val="24"/>
        </w:rPr>
      </w:pPr>
      <w:hyperlink r:id="rId153" w:history="1">
        <w:r w:rsidR="00951D33" w:rsidRPr="00BE073F">
          <w:rPr>
            <w:rStyle w:val="Hyperlink"/>
            <w:rFonts w:cs="Arial"/>
            <w:b/>
            <w:bCs w:val="0"/>
            <w:szCs w:val="24"/>
          </w:rPr>
          <w:t>Guidance for commissioners in receipt of an application for funds (including annexes 1–4)</w:t>
        </w:r>
      </w:hyperlink>
    </w:p>
    <w:p w14:paraId="1C972CFC" w14:textId="0967F77B" w:rsidR="007F74CD" w:rsidRDefault="007F74CD" w:rsidP="007F74CD">
      <w:pPr>
        <w:spacing w:after="160" w:line="252" w:lineRule="auto"/>
        <w:rPr>
          <w:rFonts w:cs="Arial"/>
          <w:b/>
          <w:bCs w:val="0"/>
          <w:szCs w:val="24"/>
        </w:rPr>
      </w:pPr>
    </w:p>
    <w:p w14:paraId="748DEB8B" w14:textId="039226BD" w:rsidR="007F74CD" w:rsidRDefault="007F74CD" w:rsidP="007F74CD">
      <w:pPr>
        <w:spacing w:after="160" w:line="252" w:lineRule="auto"/>
        <w:rPr>
          <w:rFonts w:cs="Arial"/>
          <w:b/>
          <w:bCs w:val="0"/>
          <w:szCs w:val="24"/>
        </w:rPr>
      </w:pPr>
    </w:p>
    <w:p w14:paraId="18E4E23A" w14:textId="1FC77C13" w:rsidR="007F74CD" w:rsidRDefault="007F74CD" w:rsidP="007F74CD">
      <w:pPr>
        <w:spacing w:after="160" w:line="252" w:lineRule="auto"/>
        <w:rPr>
          <w:rFonts w:cs="Arial"/>
          <w:b/>
          <w:bCs w:val="0"/>
          <w:szCs w:val="24"/>
        </w:rPr>
      </w:pPr>
    </w:p>
    <w:p w14:paraId="42EFB6CD" w14:textId="01449E68" w:rsidR="007F74CD" w:rsidRDefault="007F74CD" w:rsidP="007F74CD">
      <w:pPr>
        <w:spacing w:after="160" w:line="252" w:lineRule="auto"/>
        <w:rPr>
          <w:rFonts w:cs="Arial"/>
          <w:b/>
          <w:bCs w:val="0"/>
          <w:szCs w:val="24"/>
        </w:rPr>
      </w:pPr>
    </w:p>
    <w:p w14:paraId="407DBDA5" w14:textId="32E12FD2" w:rsidR="007F74CD" w:rsidRDefault="007F74CD" w:rsidP="007F74CD">
      <w:pPr>
        <w:spacing w:after="160" w:line="252" w:lineRule="auto"/>
        <w:rPr>
          <w:rFonts w:cs="Arial"/>
          <w:b/>
          <w:bCs w:val="0"/>
          <w:szCs w:val="24"/>
        </w:rPr>
      </w:pPr>
    </w:p>
    <w:p w14:paraId="03F4582B" w14:textId="4FE72B08" w:rsidR="007F74CD" w:rsidRDefault="007F74CD" w:rsidP="007F74CD">
      <w:pPr>
        <w:spacing w:after="160" w:line="252" w:lineRule="auto"/>
        <w:rPr>
          <w:rFonts w:cs="Arial"/>
          <w:b/>
          <w:bCs w:val="0"/>
          <w:szCs w:val="24"/>
        </w:rPr>
      </w:pPr>
    </w:p>
    <w:p w14:paraId="726AC1B2" w14:textId="0495CA2C" w:rsidR="007F74CD" w:rsidRDefault="007F74CD" w:rsidP="007F74CD">
      <w:pPr>
        <w:spacing w:after="160" w:line="252" w:lineRule="auto"/>
        <w:rPr>
          <w:rFonts w:cs="Arial"/>
          <w:b/>
          <w:bCs w:val="0"/>
          <w:szCs w:val="24"/>
        </w:rPr>
      </w:pPr>
    </w:p>
    <w:p w14:paraId="01799AE2" w14:textId="3137799D" w:rsidR="007F74CD" w:rsidRDefault="007F74CD" w:rsidP="007F74CD">
      <w:pPr>
        <w:spacing w:after="160" w:line="252" w:lineRule="auto"/>
        <w:rPr>
          <w:rFonts w:cs="Arial"/>
          <w:b/>
          <w:bCs w:val="0"/>
          <w:szCs w:val="24"/>
        </w:rPr>
      </w:pPr>
    </w:p>
    <w:p w14:paraId="384147A4" w14:textId="3B66281F" w:rsidR="007F74CD" w:rsidRDefault="007F74CD" w:rsidP="007F74CD">
      <w:pPr>
        <w:spacing w:after="160" w:line="252" w:lineRule="auto"/>
        <w:rPr>
          <w:rFonts w:cs="Arial"/>
          <w:b/>
          <w:bCs w:val="0"/>
          <w:szCs w:val="24"/>
        </w:rPr>
      </w:pPr>
    </w:p>
    <w:p w14:paraId="591DFEA2" w14:textId="6EBE70BA" w:rsidR="007F74CD" w:rsidRDefault="007F74CD" w:rsidP="007F74CD">
      <w:pPr>
        <w:spacing w:after="160" w:line="252" w:lineRule="auto"/>
        <w:rPr>
          <w:rFonts w:cs="Arial"/>
          <w:b/>
          <w:bCs w:val="0"/>
          <w:szCs w:val="24"/>
        </w:rPr>
      </w:pPr>
    </w:p>
    <w:p w14:paraId="1AF794A5" w14:textId="270E4832" w:rsidR="007F74CD" w:rsidRDefault="007F74CD" w:rsidP="007F74CD">
      <w:pPr>
        <w:spacing w:after="160" w:line="252" w:lineRule="auto"/>
        <w:rPr>
          <w:rFonts w:cs="Arial"/>
          <w:b/>
          <w:bCs w:val="0"/>
          <w:szCs w:val="24"/>
        </w:rPr>
      </w:pPr>
    </w:p>
    <w:p w14:paraId="69F4803A" w14:textId="63E817A5" w:rsidR="007F74CD" w:rsidRDefault="007F74CD" w:rsidP="007F74CD">
      <w:pPr>
        <w:spacing w:after="160" w:line="252" w:lineRule="auto"/>
        <w:rPr>
          <w:rFonts w:cs="Arial"/>
          <w:b/>
          <w:bCs w:val="0"/>
          <w:szCs w:val="24"/>
        </w:rPr>
      </w:pPr>
    </w:p>
    <w:p w14:paraId="59E00854" w14:textId="02AC743B" w:rsidR="007F74CD" w:rsidRDefault="007F74CD" w:rsidP="007F74CD">
      <w:pPr>
        <w:spacing w:after="160" w:line="252" w:lineRule="auto"/>
        <w:rPr>
          <w:rFonts w:cs="Arial"/>
          <w:b/>
          <w:bCs w:val="0"/>
          <w:szCs w:val="24"/>
        </w:rPr>
      </w:pPr>
    </w:p>
    <w:p w14:paraId="2CF3BC9F" w14:textId="1D97FAA8" w:rsidR="007F74CD" w:rsidRDefault="007F74CD" w:rsidP="007F74CD">
      <w:pPr>
        <w:spacing w:after="160" w:line="252" w:lineRule="auto"/>
        <w:rPr>
          <w:rFonts w:cs="Arial"/>
          <w:b/>
          <w:bCs w:val="0"/>
          <w:szCs w:val="24"/>
        </w:rPr>
      </w:pPr>
    </w:p>
    <w:p w14:paraId="6A77AFCF" w14:textId="0CA07B8F" w:rsidR="007F74CD" w:rsidRDefault="007F74CD" w:rsidP="007F74CD">
      <w:pPr>
        <w:spacing w:after="160" w:line="252" w:lineRule="auto"/>
        <w:rPr>
          <w:rFonts w:cs="Arial"/>
          <w:b/>
          <w:bCs w:val="0"/>
          <w:szCs w:val="24"/>
        </w:rPr>
      </w:pPr>
    </w:p>
    <w:p w14:paraId="03B0CAE2" w14:textId="306400D7" w:rsidR="007F74CD" w:rsidRDefault="007F74CD" w:rsidP="007F74CD">
      <w:pPr>
        <w:spacing w:after="160" w:line="252" w:lineRule="auto"/>
        <w:rPr>
          <w:rFonts w:cs="Arial"/>
          <w:b/>
          <w:bCs w:val="0"/>
          <w:szCs w:val="24"/>
        </w:rPr>
      </w:pPr>
    </w:p>
    <w:p w14:paraId="07810F8D" w14:textId="7D3E46B9" w:rsidR="007F74CD" w:rsidRDefault="007F74CD" w:rsidP="007F74CD">
      <w:pPr>
        <w:spacing w:after="160" w:line="252" w:lineRule="auto"/>
        <w:rPr>
          <w:rFonts w:cs="Arial"/>
          <w:b/>
          <w:bCs w:val="0"/>
          <w:szCs w:val="24"/>
        </w:rPr>
      </w:pPr>
    </w:p>
    <w:p w14:paraId="592C1161" w14:textId="0AA39EEB" w:rsidR="007F74CD" w:rsidRDefault="007F74CD" w:rsidP="007F74CD">
      <w:pPr>
        <w:spacing w:after="160" w:line="252" w:lineRule="auto"/>
        <w:rPr>
          <w:rFonts w:cs="Arial"/>
          <w:b/>
          <w:bCs w:val="0"/>
          <w:szCs w:val="24"/>
        </w:rPr>
      </w:pPr>
    </w:p>
    <w:p w14:paraId="42144755" w14:textId="1F0156EE" w:rsidR="007F74CD" w:rsidRDefault="007F74CD" w:rsidP="007F74CD">
      <w:pPr>
        <w:spacing w:after="160" w:line="252" w:lineRule="auto"/>
        <w:rPr>
          <w:rFonts w:cs="Arial"/>
          <w:b/>
          <w:bCs w:val="0"/>
          <w:szCs w:val="24"/>
        </w:rPr>
      </w:pPr>
    </w:p>
    <w:p w14:paraId="1170B424" w14:textId="2BBB8E17" w:rsidR="007F74CD" w:rsidRDefault="007F74CD" w:rsidP="007F74CD">
      <w:pPr>
        <w:spacing w:after="160" w:line="252" w:lineRule="auto"/>
        <w:rPr>
          <w:rFonts w:cs="Arial"/>
          <w:b/>
          <w:bCs w:val="0"/>
          <w:szCs w:val="24"/>
        </w:rPr>
      </w:pPr>
    </w:p>
    <w:p w14:paraId="5546C6FF" w14:textId="174CF8C9" w:rsidR="007F74CD" w:rsidRDefault="007F74CD" w:rsidP="007F74CD">
      <w:pPr>
        <w:spacing w:after="160" w:line="252" w:lineRule="auto"/>
        <w:rPr>
          <w:rFonts w:cs="Arial"/>
          <w:b/>
          <w:bCs w:val="0"/>
          <w:szCs w:val="24"/>
        </w:rPr>
      </w:pPr>
    </w:p>
    <w:p w14:paraId="7EF0E9D1" w14:textId="7B46FCF8" w:rsidR="007F74CD" w:rsidRDefault="007F74CD" w:rsidP="007F74CD">
      <w:pPr>
        <w:spacing w:after="160" w:line="252" w:lineRule="auto"/>
        <w:rPr>
          <w:rFonts w:cs="Arial"/>
          <w:b/>
          <w:bCs w:val="0"/>
          <w:szCs w:val="24"/>
        </w:rPr>
      </w:pPr>
    </w:p>
    <w:p w14:paraId="6D63B4A5" w14:textId="25161634" w:rsidR="007F74CD" w:rsidRDefault="007F74CD" w:rsidP="007F74CD">
      <w:pPr>
        <w:spacing w:after="160" w:line="252" w:lineRule="auto"/>
        <w:rPr>
          <w:rFonts w:cs="Arial"/>
          <w:b/>
          <w:bCs w:val="0"/>
          <w:szCs w:val="24"/>
        </w:rPr>
      </w:pPr>
    </w:p>
    <w:p w14:paraId="5B5E90E5" w14:textId="55E99062" w:rsidR="007F74CD" w:rsidRDefault="007F74CD" w:rsidP="007F74CD">
      <w:pPr>
        <w:spacing w:after="160" w:line="252" w:lineRule="auto"/>
        <w:rPr>
          <w:rFonts w:cs="Arial"/>
          <w:b/>
          <w:bCs w:val="0"/>
          <w:szCs w:val="24"/>
        </w:rPr>
      </w:pPr>
    </w:p>
    <w:p w14:paraId="7C54EEB8" w14:textId="6156F0FE" w:rsidR="007F74CD" w:rsidRDefault="007F74CD" w:rsidP="007F74CD">
      <w:pPr>
        <w:spacing w:after="160" w:line="252" w:lineRule="auto"/>
        <w:rPr>
          <w:rFonts w:cs="Arial"/>
          <w:b/>
          <w:bCs w:val="0"/>
          <w:szCs w:val="24"/>
        </w:rPr>
      </w:pPr>
    </w:p>
    <w:p w14:paraId="5F682CB1" w14:textId="3A877C23" w:rsidR="007F74CD" w:rsidRDefault="007F74CD" w:rsidP="007F74CD">
      <w:pPr>
        <w:spacing w:after="160" w:line="252" w:lineRule="auto"/>
        <w:rPr>
          <w:rFonts w:cs="Arial"/>
          <w:b/>
          <w:bCs w:val="0"/>
          <w:szCs w:val="24"/>
        </w:rPr>
      </w:pPr>
    </w:p>
    <w:p w14:paraId="7AB20B86" w14:textId="1B711875" w:rsidR="007F74CD" w:rsidRDefault="007F74CD" w:rsidP="007F74CD">
      <w:pPr>
        <w:spacing w:after="160" w:line="252" w:lineRule="auto"/>
        <w:rPr>
          <w:rFonts w:cs="Arial"/>
          <w:b/>
          <w:bCs w:val="0"/>
          <w:szCs w:val="24"/>
        </w:rPr>
      </w:pPr>
    </w:p>
    <w:p w14:paraId="5CC3EEE2" w14:textId="63B03EA6" w:rsidR="007F74CD" w:rsidRDefault="007F74CD" w:rsidP="007F74CD">
      <w:pPr>
        <w:spacing w:after="160" w:line="252" w:lineRule="auto"/>
        <w:rPr>
          <w:rFonts w:cs="Arial"/>
          <w:b/>
          <w:bCs w:val="0"/>
          <w:szCs w:val="24"/>
        </w:rPr>
      </w:pPr>
    </w:p>
    <w:p w14:paraId="7B604B61" w14:textId="77777777" w:rsidR="007F74CD" w:rsidRPr="007F74CD" w:rsidRDefault="007F74CD" w:rsidP="007F74CD">
      <w:pPr>
        <w:spacing w:after="160" w:line="252" w:lineRule="auto"/>
        <w:rPr>
          <w:rFonts w:cs="Arial"/>
          <w:b/>
          <w:bCs w:val="0"/>
          <w:szCs w:val="24"/>
        </w:rPr>
      </w:pPr>
    </w:p>
    <w:p w14:paraId="15B046C3" w14:textId="5A8BF84F" w:rsidR="00A7454C" w:rsidRDefault="00A7454C" w:rsidP="00F56C9E">
      <w:pPr>
        <w:ind w:left="720"/>
        <w:rPr>
          <w:rFonts w:eastAsiaTheme="majorEastAsia"/>
        </w:rPr>
      </w:pPr>
    </w:p>
    <w:p w14:paraId="46C1CB3C" w14:textId="139EA327" w:rsidR="007F74CD" w:rsidRDefault="007F74CD" w:rsidP="00F56C9E">
      <w:pPr>
        <w:ind w:left="720"/>
        <w:rPr>
          <w:rFonts w:eastAsiaTheme="majorEastAsia"/>
        </w:rPr>
      </w:pPr>
    </w:p>
    <w:p w14:paraId="47E5C74A" w14:textId="77777777" w:rsidR="007F74CD" w:rsidRPr="00B6353E" w:rsidRDefault="007F74CD" w:rsidP="003E5564">
      <w:pPr>
        <w:ind w:left="720"/>
        <w:rPr>
          <w:rFonts w:eastAsiaTheme="majorEastAsia"/>
        </w:rPr>
      </w:pPr>
    </w:p>
    <w:p w14:paraId="271EBD03" w14:textId="40B979AC" w:rsidR="00A7454C" w:rsidRPr="00EE4F11" w:rsidRDefault="00FE19E3" w:rsidP="003E5564">
      <w:pPr>
        <w:pStyle w:val="Heading1"/>
      </w:pPr>
      <w:bookmarkStart w:id="1849" w:name="page1"/>
      <w:bookmarkStart w:id="1850" w:name="_Toc95743503"/>
      <w:bookmarkEnd w:id="1849"/>
      <w:r w:rsidRPr="00EE4F11">
        <w:t>Sub-contracting of Clinical Services</w:t>
      </w:r>
      <w:r w:rsidR="00C0548D">
        <w:t>: Assurance Framework</w:t>
      </w:r>
      <w:bookmarkEnd w:id="1850"/>
    </w:p>
    <w:p w14:paraId="6145D542" w14:textId="5D9B41D3" w:rsidR="00A7454C" w:rsidRPr="003E5564" w:rsidRDefault="00A7454C" w:rsidP="003E5564">
      <w:pPr>
        <w:spacing w:line="20" w:lineRule="exact"/>
        <w:rPr>
          <w:rFonts w:cs="Arial"/>
          <w:szCs w:val="24"/>
        </w:rPr>
      </w:pPr>
      <w:r w:rsidRPr="003E5564">
        <w:rPr>
          <w:rFonts w:cs="Arial"/>
          <w:noProof/>
          <w:szCs w:val="24"/>
          <w:lang w:eastAsia="en-GB"/>
        </w:rPr>
        <w:drawing>
          <wp:anchor distT="0" distB="0" distL="114300" distR="114300" simplePos="0" relativeHeight="251658260" behindDoc="1" locked="0" layoutInCell="0" allowOverlap="1" wp14:anchorId="0BC42462" wp14:editId="53AAE18A">
            <wp:simplePos x="0" y="0"/>
            <wp:positionH relativeFrom="column">
              <wp:posOffset>-18415</wp:posOffset>
            </wp:positionH>
            <wp:positionV relativeFrom="paragraph">
              <wp:posOffset>172085</wp:posOffset>
            </wp:positionV>
            <wp:extent cx="6014720" cy="88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014720" cy="8890"/>
                    </a:xfrm>
                    <a:prstGeom prst="rect">
                      <a:avLst/>
                    </a:prstGeom>
                    <a:noFill/>
                  </pic:spPr>
                </pic:pic>
              </a:graphicData>
            </a:graphic>
            <wp14:sizeRelH relativeFrom="page">
              <wp14:pctWidth>0</wp14:pctWidth>
            </wp14:sizeRelH>
            <wp14:sizeRelV relativeFrom="page">
              <wp14:pctHeight>0</wp14:pctHeight>
            </wp14:sizeRelV>
          </wp:anchor>
        </w:drawing>
      </w:r>
    </w:p>
    <w:p w14:paraId="4F134105" w14:textId="77777777" w:rsidR="00A7454C" w:rsidRPr="003E5564" w:rsidRDefault="00A7454C" w:rsidP="003E5564">
      <w:pPr>
        <w:spacing w:line="200" w:lineRule="exact"/>
        <w:rPr>
          <w:rFonts w:cs="Arial"/>
          <w:szCs w:val="24"/>
        </w:rPr>
      </w:pPr>
    </w:p>
    <w:p w14:paraId="5726E876" w14:textId="77777777" w:rsidR="008B3B00" w:rsidRDefault="008B3B00" w:rsidP="00EE4F11">
      <w:pPr>
        <w:pStyle w:val="Heading2"/>
        <w:numPr>
          <w:ilvl w:val="0"/>
          <w:numId w:val="0"/>
        </w:numPr>
        <w:ind w:left="2420"/>
        <w:rPr>
          <w:rFonts w:eastAsia="Arial" w:cs="Arial"/>
          <w:sz w:val="24"/>
          <w:szCs w:val="24"/>
        </w:rPr>
      </w:pPr>
    </w:p>
    <w:p w14:paraId="64D976AD" w14:textId="77777777" w:rsidR="00C0548D" w:rsidRPr="00C0548D" w:rsidRDefault="00C0548D" w:rsidP="00EE4F11">
      <w:pPr>
        <w:rPr>
          <w:rFonts w:eastAsia="Arial"/>
        </w:rPr>
      </w:pPr>
    </w:p>
    <w:p w14:paraId="41156F20" w14:textId="21A3C376" w:rsidR="00A7454C" w:rsidRPr="00C0548D" w:rsidRDefault="00A7454C" w:rsidP="00C0548D">
      <w:pPr>
        <w:pStyle w:val="Heading2"/>
        <w:rPr>
          <w:rFonts w:cs="Arial"/>
          <w:sz w:val="24"/>
          <w:szCs w:val="24"/>
        </w:rPr>
      </w:pPr>
      <w:bookmarkStart w:id="1851" w:name="_Toc95743504"/>
      <w:r w:rsidRPr="00C0548D">
        <w:rPr>
          <w:rFonts w:eastAsia="Arial" w:cs="Arial"/>
          <w:sz w:val="24"/>
          <w:szCs w:val="24"/>
        </w:rPr>
        <w:t>Introduction</w:t>
      </w:r>
      <w:bookmarkEnd w:id="1851"/>
    </w:p>
    <w:p w14:paraId="6E54ED4C" w14:textId="77777777" w:rsidR="00A7454C" w:rsidRPr="003E5564" w:rsidRDefault="00A7454C" w:rsidP="003E5564">
      <w:pPr>
        <w:spacing w:line="259" w:lineRule="exact"/>
        <w:rPr>
          <w:rFonts w:cs="Arial"/>
          <w:szCs w:val="24"/>
        </w:rPr>
      </w:pPr>
    </w:p>
    <w:p w14:paraId="36C8DBAD" w14:textId="77777777" w:rsidR="00A7454C" w:rsidRPr="003E5564" w:rsidRDefault="00A7454C" w:rsidP="003E5564">
      <w:pPr>
        <w:spacing w:line="263" w:lineRule="exact"/>
        <w:rPr>
          <w:rFonts w:cs="Arial"/>
          <w:szCs w:val="24"/>
        </w:rPr>
      </w:pPr>
    </w:p>
    <w:p w14:paraId="52A03F95" w14:textId="3601028A" w:rsidR="00A7454C" w:rsidRPr="003E5564" w:rsidRDefault="00A7454C" w:rsidP="003E5564">
      <w:pPr>
        <w:pStyle w:val="Heading3"/>
        <w:rPr>
          <w:rFonts w:eastAsiaTheme="majorEastAsia" w:cs="Arial"/>
          <w:szCs w:val="24"/>
        </w:rPr>
      </w:pPr>
      <w:r w:rsidRPr="003E5564">
        <w:rPr>
          <w:rFonts w:eastAsiaTheme="majorEastAsia" w:cs="Arial"/>
          <w:szCs w:val="24"/>
        </w:rPr>
        <w:t>Th</w:t>
      </w:r>
      <w:r w:rsidR="000F14AF" w:rsidRPr="003E5564">
        <w:rPr>
          <w:rFonts w:eastAsiaTheme="majorEastAsia" w:cs="Arial"/>
          <w:szCs w:val="24"/>
        </w:rPr>
        <w:t>is</w:t>
      </w:r>
      <w:r w:rsidRPr="003E5564">
        <w:rPr>
          <w:rFonts w:eastAsiaTheme="majorEastAsia" w:cs="Arial"/>
          <w:szCs w:val="24"/>
        </w:rPr>
        <w:t xml:space="preserve"> framework </w:t>
      </w:r>
      <w:r w:rsidR="0098710F" w:rsidRPr="003E5564">
        <w:rPr>
          <w:rFonts w:eastAsiaTheme="majorEastAsia" w:cs="Arial"/>
          <w:szCs w:val="24"/>
        </w:rPr>
        <w:t>was</w:t>
      </w:r>
      <w:r w:rsidRPr="003E5564">
        <w:rPr>
          <w:rFonts w:eastAsiaTheme="majorEastAsia" w:cs="Arial"/>
          <w:szCs w:val="24"/>
        </w:rPr>
        <w:t xml:space="preserve"> primarily developed to </w:t>
      </w:r>
      <w:r w:rsidR="000F14AF" w:rsidRPr="003E5564">
        <w:rPr>
          <w:rFonts w:eastAsiaTheme="majorEastAsia" w:cs="Arial"/>
          <w:szCs w:val="24"/>
        </w:rPr>
        <w:t xml:space="preserve">support commissioners assurance of </w:t>
      </w:r>
      <w:r w:rsidRPr="003E5564">
        <w:rPr>
          <w:rFonts w:eastAsiaTheme="majorEastAsia" w:cs="Arial"/>
          <w:szCs w:val="24"/>
        </w:rPr>
        <w:t xml:space="preserve">proposals by a GMS contractor to expand into new areas across the country by sub-contracting clinical services to a separate company </w:t>
      </w:r>
      <w:r w:rsidR="000F14AF" w:rsidRPr="003E5564">
        <w:rPr>
          <w:rFonts w:eastAsiaTheme="majorEastAsia" w:cs="Arial"/>
          <w:szCs w:val="24"/>
        </w:rPr>
        <w:t xml:space="preserve">to </w:t>
      </w:r>
      <w:r w:rsidRPr="003E5564">
        <w:rPr>
          <w:rFonts w:eastAsiaTheme="majorEastAsia" w:cs="Arial"/>
          <w:szCs w:val="24"/>
        </w:rPr>
        <w:t>deliver services to ‘out of area’ patients, both through the provision of ‘digital-first’ services and face-to-face consultations in sub-contractor’s premises located outside of the practice’s area.</w:t>
      </w:r>
    </w:p>
    <w:p w14:paraId="68B418C2" w14:textId="77777777" w:rsidR="00A7454C" w:rsidRPr="003E5564" w:rsidRDefault="00A7454C" w:rsidP="003E5564">
      <w:pPr>
        <w:pStyle w:val="Heading3"/>
        <w:numPr>
          <w:ilvl w:val="0"/>
          <w:numId w:val="0"/>
        </w:numPr>
        <w:ind w:left="720"/>
        <w:rPr>
          <w:rFonts w:eastAsiaTheme="majorEastAsia" w:cs="Arial"/>
          <w:szCs w:val="24"/>
        </w:rPr>
      </w:pPr>
    </w:p>
    <w:p w14:paraId="6026BE50" w14:textId="13BD1E7C" w:rsidR="00A7454C" w:rsidRPr="003E5564" w:rsidRDefault="00A7454C" w:rsidP="003E5564">
      <w:pPr>
        <w:pStyle w:val="Heading3"/>
        <w:rPr>
          <w:rFonts w:eastAsiaTheme="majorEastAsia" w:cs="Arial"/>
          <w:szCs w:val="24"/>
        </w:rPr>
      </w:pPr>
      <w:r w:rsidRPr="003E5564">
        <w:rPr>
          <w:rFonts w:eastAsiaTheme="majorEastAsia" w:cs="Arial"/>
          <w:szCs w:val="24"/>
        </w:rPr>
        <w:t xml:space="preserve">The framework </w:t>
      </w:r>
      <w:r w:rsidR="0098710F" w:rsidRPr="003E5564">
        <w:rPr>
          <w:rFonts w:eastAsiaTheme="majorEastAsia" w:cs="Arial"/>
          <w:szCs w:val="24"/>
        </w:rPr>
        <w:t>is</w:t>
      </w:r>
      <w:r w:rsidRPr="003E5564">
        <w:rPr>
          <w:rFonts w:eastAsiaTheme="majorEastAsia" w:cs="Arial"/>
          <w:szCs w:val="24"/>
        </w:rPr>
        <w:t xml:space="preserve"> particularly useful to commissioners when considering such proposals; however it can be of use in relation to any proposal by a contractor to sub-contract clinical services.</w:t>
      </w:r>
    </w:p>
    <w:p w14:paraId="495FFC39" w14:textId="77777777" w:rsidR="00A7454C" w:rsidRPr="003E5564" w:rsidRDefault="00A7454C" w:rsidP="003E5564">
      <w:pPr>
        <w:pStyle w:val="Heading3"/>
        <w:numPr>
          <w:ilvl w:val="0"/>
          <w:numId w:val="0"/>
        </w:numPr>
        <w:ind w:left="720"/>
        <w:rPr>
          <w:rFonts w:eastAsiaTheme="majorEastAsia" w:cs="Arial"/>
          <w:szCs w:val="24"/>
        </w:rPr>
      </w:pPr>
    </w:p>
    <w:p w14:paraId="24785788" w14:textId="1F171DED" w:rsidR="00A7454C" w:rsidRPr="003E5564" w:rsidRDefault="00A7454C" w:rsidP="003E5564">
      <w:pPr>
        <w:pStyle w:val="Heading3"/>
        <w:rPr>
          <w:rFonts w:eastAsiaTheme="majorEastAsia" w:cs="Arial"/>
          <w:szCs w:val="24"/>
        </w:rPr>
      </w:pPr>
      <w:r w:rsidRPr="003E5564">
        <w:rPr>
          <w:rFonts w:eastAsiaTheme="majorEastAsia" w:cs="Arial"/>
          <w:szCs w:val="24"/>
        </w:rPr>
        <w:t>Th</w:t>
      </w:r>
      <w:r w:rsidR="0098710F" w:rsidRPr="003E5564">
        <w:rPr>
          <w:rFonts w:eastAsiaTheme="majorEastAsia" w:cs="Arial"/>
          <w:szCs w:val="24"/>
        </w:rPr>
        <w:t>e</w:t>
      </w:r>
      <w:r w:rsidRPr="003E5564">
        <w:rPr>
          <w:rFonts w:eastAsiaTheme="majorEastAsia" w:cs="Arial"/>
          <w:szCs w:val="24"/>
        </w:rPr>
        <w:t xml:space="preserve"> framework is provided as a resource to support commissioners</w:t>
      </w:r>
      <w:r w:rsidR="000F14AF" w:rsidRPr="003E5564">
        <w:rPr>
          <w:rFonts w:eastAsiaTheme="majorEastAsia" w:cs="Arial"/>
          <w:szCs w:val="24"/>
        </w:rPr>
        <w:t xml:space="preserve"> and </w:t>
      </w:r>
      <w:r w:rsidRPr="003E5564">
        <w:rPr>
          <w:rFonts w:eastAsiaTheme="majorEastAsia" w:cs="Arial"/>
          <w:szCs w:val="24"/>
        </w:rPr>
        <w:t xml:space="preserve"> consists of:</w:t>
      </w:r>
    </w:p>
    <w:p w14:paraId="37C2D20D" w14:textId="77777777" w:rsidR="00A7454C" w:rsidRPr="003E5564" w:rsidRDefault="00A7454C" w:rsidP="003E5564">
      <w:pPr>
        <w:spacing w:line="136" w:lineRule="exact"/>
        <w:rPr>
          <w:rFonts w:cs="Arial"/>
          <w:szCs w:val="24"/>
        </w:rPr>
      </w:pPr>
    </w:p>
    <w:p w14:paraId="480107CD" w14:textId="77777777" w:rsidR="00A7454C" w:rsidRPr="003E5564" w:rsidRDefault="00A7454C" w:rsidP="006C3DF5">
      <w:pPr>
        <w:pStyle w:val="ListParagraph"/>
        <w:numPr>
          <w:ilvl w:val="0"/>
          <w:numId w:val="126"/>
        </w:numPr>
        <w:tabs>
          <w:tab w:val="left" w:pos="700"/>
        </w:tabs>
        <w:rPr>
          <w:rFonts w:eastAsia="Arial" w:cs="Arial"/>
          <w:szCs w:val="24"/>
        </w:rPr>
      </w:pPr>
      <w:r w:rsidRPr="003E5564">
        <w:rPr>
          <w:rFonts w:eastAsia="Arial" w:cs="Arial"/>
          <w:szCs w:val="24"/>
        </w:rPr>
        <w:t>Guidance on assuring sub-contracting of clinical services under GMS contracts;</w:t>
      </w:r>
    </w:p>
    <w:p w14:paraId="6A951D76" w14:textId="77777777" w:rsidR="00A7454C" w:rsidRPr="003E5564" w:rsidRDefault="00A7454C" w:rsidP="003E5564">
      <w:pPr>
        <w:spacing w:line="135" w:lineRule="exact"/>
        <w:rPr>
          <w:rFonts w:eastAsia="Arial" w:cs="Arial"/>
          <w:szCs w:val="24"/>
        </w:rPr>
      </w:pPr>
    </w:p>
    <w:p w14:paraId="75981779" w14:textId="77777777" w:rsidR="00A7454C" w:rsidRPr="003E5564" w:rsidRDefault="00A7454C" w:rsidP="006C3DF5">
      <w:pPr>
        <w:pStyle w:val="ListParagraph"/>
        <w:numPr>
          <w:ilvl w:val="0"/>
          <w:numId w:val="126"/>
        </w:numPr>
        <w:tabs>
          <w:tab w:val="left" w:pos="700"/>
        </w:tabs>
        <w:rPr>
          <w:rFonts w:eastAsia="Arial" w:cs="Arial"/>
          <w:szCs w:val="24"/>
        </w:rPr>
      </w:pPr>
      <w:r w:rsidRPr="003E5564">
        <w:rPr>
          <w:rFonts w:eastAsia="Arial" w:cs="Arial"/>
          <w:szCs w:val="24"/>
        </w:rPr>
        <w:t>Annex A – Assurance Checklist;</w:t>
      </w:r>
    </w:p>
    <w:p w14:paraId="66C97477" w14:textId="77777777" w:rsidR="00A7454C" w:rsidRPr="003E5564" w:rsidRDefault="00A7454C" w:rsidP="003E5564">
      <w:pPr>
        <w:spacing w:line="133" w:lineRule="exact"/>
        <w:rPr>
          <w:rFonts w:eastAsia="Arial" w:cs="Arial"/>
          <w:szCs w:val="24"/>
        </w:rPr>
      </w:pPr>
    </w:p>
    <w:p w14:paraId="5985EEA4" w14:textId="77777777" w:rsidR="00A7454C" w:rsidRPr="003E5564" w:rsidRDefault="00A7454C" w:rsidP="006C3DF5">
      <w:pPr>
        <w:pStyle w:val="ListParagraph"/>
        <w:numPr>
          <w:ilvl w:val="0"/>
          <w:numId w:val="126"/>
        </w:numPr>
        <w:tabs>
          <w:tab w:val="left" w:pos="700"/>
        </w:tabs>
        <w:rPr>
          <w:rFonts w:eastAsia="Arial" w:cs="Arial"/>
          <w:szCs w:val="24"/>
        </w:rPr>
      </w:pPr>
      <w:r w:rsidRPr="003E5564">
        <w:rPr>
          <w:rFonts w:eastAsia="Arial" w:cs="Arial"/>
          <w:szCs w:val="24"/>
        </w:rPr>
        <w:t>Annex B – Mandatory contract terms regarding sub-contracting.</w:t>
      </w:r>
    </w:p>
    <w:p w14:paraId="0220FBA0" w14:textId="77777777" w:rsidR="00A7454C" w:rsidRPr="003E5564" w:rsidRDefault="00A7454C" w:rsidP="003E5564">
      <w:pPr>
        <w:spacing w:line="251" w:lineRule="exact"/>
        <w:rPr>
          <w:rFonts w:eastAsiaTheme="minorEastAsia" w:cs="Arial"/>
          <w:szCs w:val="24"/>
        </w:rPr>
      </w:pPr>
    </w:p>
    <w:p w14:paraId="4661C7C5" w14:textId="77777777" w:rsidR="00A7454C" w:rsidRPr="003E5564" w:rsidRDefault="00A7454C" w:rsidP="003E5564">
      <w:pPr>
        <w:rPr>
          <w:rFonts w:cs="Arial"/>
          <w:szCs w:val="24"/>
        </w:rPr>
      </w:pPr>
      <w:r w:rsidRPr="003E5564">
        <w:rPr>
          <w:rFonts w:eastAsia="Arial" w:cs="Arial"/>
          <w:szCs w:val="24"/>
        </w:rPr>
        <w:t>The following are outside the scope of this framework:</w:t>
      </w:r>
    </w:p>
    <w:p w14:paraId="3039B593" w14:textId="77777777" w:rsidR="00A7454C" w:rsidRPr="003E5564" w:rsidRDefault="00A7454C" w:rsidP="003E5564">
      <w:pPr>
        <w:spacing w:line="138" w:lineRule="exact"/>
        <w:rPr>
          <w:rFonts w:cs="Arial"/>
          <w:szCs w:val="24"/>
        </w:rPr>
      </w:pPr>
    </w:p>
    <w:p w14:paraId="30F78D30" w14:textId="77777777" w:rsidR="00A7454C" w:rsidRPr="003E5564" w:rsidRDefault="00A7454C" w:rsidP="006C3DF5">
      <w:pPr>
        <w:pStyle w:val="ListParagraph"/>
        <w:numPr>
          <w:ilvl w:val="0"/>
          <w:numId w:val="126"/>
        </w:numPr>
        <w:tabs>
          <w:tab w:val="left" w:pos="700"/>
        </w:tabs>
        <w:rPr>
          <w:rFonts w:eastAsia="Arial" w:cs="Arial"/>
          <w:szCs w:val="24"/>
        </w:rPr>
      </w:pPr>
      <w:r w:rsidRPr="003E5564">
        <w:rPr>
          <w:rFonts w:eastAsia="Arial" w:cs="Arial"/>
          <w:szCs w:val="24"/>
        </w:rPr>
        <w:t>sub-contracting of non-clinical matters;</w:t>
      </w:r>
    </w:p>
    <w:p w14:paraId="52027A47" w14:textId="77777777" w:rsidR="00A7454C" w:rsidRPr="003E5564" w:rsidRDefault="00A7454C" w:rsidP="006C3DF5">
      <w:pPr>
        <w:pStyle w:val="ListParagraph"/>
        <w:numPr>
          <w:ilvl w:val="0"/>
          <w:numId w:val="126"/>
        </w:numPr>
        <w:tabs>
          <w:tab w:val="left" w:pos="700"/>
        </w:tabs>
        <w:rPr>
          <w:rFonts w:eastAsia="Arial" w:cs="Arial"/>
          <w:szCs w:val="24"/>
        </w:rPr>
      </w:pPr>
      <w:r w:rsidRPr="003E5564">
        <w:rPr>
          <w:rFonts w:eastAsia="Arial" w:cs="Arial"/>
          <w:szCs w:val="24"/>
        </w:rPr>
        <w:t>sub-contracting of out of hours services;</w:t>
      </w:r>
    </w:p>
    <w:p w14:paraId="2CFA4EA1" w14:textId="77777777" w:rsidR="00A7454C" w:rsidRPr="003E5564" w:rsidRDefault="00A7454C" w:rsidP="006C3DF5">
      <w:pPr>
        <w:pStyle w:val="ListParagraph"/>
        <w:numPr>
          <w:ilvl w:val="0"/>
          <w:numId w:val="126"/>
        </w:numPr>
        <w:tabs>
          <w:tab w:val="left" w:pos="700"/>
        </w:tabs>
        <w:rPr>
          <w:rFonts w:eastAsia="Arial" w:cs="Arial"/>
          <w:szCs w:val="24"/>
        </w:rPr>
      </w:pPr>
      <w:r w:rsidRPr="003E5564">
        <w:rPr>
          <w:rFonts w:eastAsia="Arial" w:cs="Arial"/>
          <w:szCs w:val="24"/>
        </w:rPr>
        <w:t>entering into a contract for services with a health care professional for the provision by that professional personally of clinical services.</w:t>
      </w:r>
    </w:p>
    <w:p w14:paraId="19A73FB2" w14:textId="48126F07" w:rsidR="00A7454C" w:rsidRPr="003E5564" w:rsidRDefault="00A7454C" w:rsidP="003E5564">
      <w:pPr>
        <w:spacing w:line="20" w:lineRule="exact"/>
        <w:rPr>
          <w:rFonts w:eastAsiaTheme="minorEastAsia" w:cs="Arial"/>
          <w:szCs w:val="24"/>
        </w:rPr>
      </w:pPr>
      <w:r w:rsidRPr="003E5564">
        <w:rPr>
          <w:rFonts w:eastAsiaTheme="minorEastAsia" w:cs="Arial"/>
          <w:noProof/>
          <w:szCs w:val="24"/>
          <w:lang w:eastAsia="en-GB"/>
        </w:rPr>
        <mc:AlternateContent>
          <mc:Choice Requires="wps">
            <w:drawing>
              <wp:anchor distT="0" distB="0" distL="114300" distR="114300" simplePos="0" relativeHeight="251658263" behindDoc="1" locked="0" layoutInCell="0" allowOverlap="1" wp14:anchorId="6B4C1751" wp14:editId="25330B25">
                <wp:simplePos x="0" y="0"/>
                <wp:positionH relativeFrom="column">
                  <wp:posOffset>-5715</wp:posOffset>
                </wp:positionH>
                <wp:positionV relativeFrom="paragraph">
                  <wp:posOffset>1511300</wp:posOffset>
                </wp:positionV>
                <wp:extent cx="4338955" cy="0"/>
                <wp:effectExtent l="0" t="0" r="0"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38955" cy="0"/>
                        </a:xfrm>
                        <a:prstGeom prst="line">
                          <a:avLst/>
                        </a:prstGeom>
                        <a:solidFill>
                          <a:srgbClr val="FFFFFF"/>
                        </a:solid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0542EBB" id="Straight Connector 14" o:spid="_x0000_s1026" style="position:absolute;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19pt" to="341.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" o:allowincell="f" filled="t">
                <v:stroke joinstyle="miter"/>
                <o:lock v:ext="edit" shapetype="f"/>
              </v:line>
            </w:pict>
          </mc:Fallback>
        </mc:AlternateContent>
      </w:r>
      <w:r w:rsidRPr="003E5564">
        <w:rPr>
          <w:rFonts w:eastAsiaTheme="minorEastAsia" w:cs="Arial"/>
          <w:noProof/>
          <w:szCs w:val="24"/>
          <w:lang w:eastAsia="en-GB"/>
        </w:rPr>
        <mc:AlternateContent>
          <mc:Choice Requires="wps">
            <w:drawing>
              <wp:anchor distT="0" distB="0" distL="114300" distR="114300" simplePos="0" relativeHeight="251658265" behindDoc="1" locked="0" layoutInCell="0" allowOverlap="1" wp14:anchorId="61276959" wp14:editId="2570F96E">
                <wp:simplePos x="0" y="0"/>
                <wp:positionH relativeFrom="column">
                  <wp:posOffset>-635</wp:posOffset>
                </wp:positionH>
                <wp:positionV relativeFrom="paragraph">
                  <wp:posOffset>1506220</wp:posOffset>
                </wp:positionV>
                <wp:extent cx="0" cy="753110"/>
                <wp:effectExtent l="0" t="0" r="38100" b="2794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53110"/>
                        </a:xfrm>
                        <a:prstGeom prst="line">
                          <a:avLst/>
                        </a:prstGeom>
                        <a:solidFill>
                          <a:srgbClr val="FFFFFF"/>
                        </a:solid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58255AC" id="Straight Connector 13" o:spid="_x0000_s1026" style="position:absolute;z-index:-25165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18.6pt" to="-.05pt,1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" o:allowincell="f" filled="t">
                <v:stroke joinstyle="miter"/>
                <o:lock v:ext="edit" shapetype="f"/>
              </v:line>
            </w:pict>
          </mc:Fallback>
        </mc:AlternateContent>
      </w:r>
      <w:r w:rsidRPr="003E5564">
        <w:rPr>
          <w:rFonts w:eastAsiaTheme="minorEastAsia" w:cs="Arial"/>
          <w:noProof/>
          <w:szCs w:val="24"/>
          <w:lang w:eastAsia="en-GB"/>
        </w:rPr>
        <mc:AlternateContent>
          <mc:Choice Requires="wps">
            <w:drawing>
              <wp:anchor distT="0" distB="0" distL="114300" distR="114300" simplePos="0" relativeHeight="251658267" behindDoc="1" locked="0" layoutInCell="0" allowOverlap="1" wp14:anchorId="40015CF7" wp14:editId="04842196">
                <wp:simplePos x="0" y="0"/>
                <wp:positionH relativeFrom="column">
                  <wp:posOffset>-5715</wp:posOffset>
                </wp:positionH>
                <wp:positionV relativeFrom="paragraph">
                  <wp:posOffset>2254885</wp:posOffset>
                </wp:positionV>
                <wp:extent cx="4338955"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38955" cy="0"/>
                        </a:xfrm>
                        <a:prstGeom prst="line">
                          <a:avLst/>
                        </a:prstGeom>
                        <a:solidFill>
                          <a:srgbClr val="FFFFFF"/>
                        </a:solid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5534524" id="Straight Connector 12" o:spid="_x0000_s1026" style="position:absolute;z-index:-251658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77.55pt" to="341.2pt,1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" o:allowincell="f" filled="t">
                <v:stroke joinstyle="miter"/>
                <o:lock v:ext="edit" shapetype="f"/>
              </v:line>
            </w:pict>
          </mc:Fallback>
        </mc:AlternateContent>
      </w:r>
    </w:p>
    <w:p w14:paraId="404354E6" w14:textId="5344EBFB" w:rsidR="00A7454C" w:rsidRPr="003E5564" w:rsidRDefault="00A7454C" w:rsidP="003E5564">
      <w:pPr>
        <w:spacing w:line="200" w:lineRule="exact"/>
        <w:rPr>
          <w:rFonts w:cs="Arial"/>
          <w:szCs w:val="24"/>
        </w:rPr>
      </w:pPr>
    </w:p>
    <w:p w14:paraId="161DE1CA" w14:textId="136BC18D" w:rsidR="00A6102A" w:rsidRPr="003E5564" w:rsidRDefault="00A6102A" w:rsidP="003E5564">
      <w:pPr>
        <w:spacing w:line="200" w:lineRule="exact"/>
        <w:rPr>
          <w:rFonts w:cs="Arial"/>
          <w:szCs w:val="24"/>
        </w:rPr>
      </w:pPr>
    </w:p>
    <w:p w14:paraId="27ECF66C" w14:textId="48B6498D" w:rsidR="00A6102A" w:rsidRPr="003E5564" w:rsidRDefault="00A6102A" w:rsidP="003E5564">
      <w:pPr>
        <w:spacing w:line="200" w:lineRule="exact"/>
        <w:rPr>
          <w:rFonts w:cs="Arial"/>
          <w:szCs w:val="24"/>
        </w:rPr>
      </w:pPr>
    </w:p>
    <w:p w14:paraId="14308888" w14:textId="24F288DF" w:rsidR="00A6102A" w:rsidRPr="003E5564" w:rsidRDefault="00A6102A" w:rsidP="003E5564">
      <w:pPr>
        <w:spacing w:line="200" w:lineRule="exact"/>
        <w:rPr>
          <w:rFonts w:cs="Arial"/>
          <w:szCs w:val="24"/>
        </w:rPr>
      </w:pPr>
    </w:p>
    <w:p w14:paraId="0779A716" w14:textId="610BA2D3" w:rsidR="00A6102A" w:rsidRPr="003E5564" w:rsidRDefault="00A6102A" w:rsidP="003E5564">
      <w:pPr>
        <w:spacing w:line="200" w:lineRule="exact"/>
        <w:rPr>
          <w:rFonts w:cs="Arial"/>
          <w:szCs w:val="24"/>
        </w:rPr>
      </w:pPr>
    </w:p>
    <w:p w14:paraId="16725C76" w14:textId="3C51CC3F" w:rsidR="00A6102A" w:rsidRPr="003E5564" w:rsidRDefault="00A6102A" w:rsidP="003E5564">
      <w:pPr>
        <w:spacing w:line="200" w:lineRule="exact"/>
        <w:rPr>
          <w:rFonts w:cs="Arial"/>
          <w:szCs w:val="24"/>
        </w:rPr>
      </w:pPr>
    </w:p>
    <w:p w14:paraId="29155B43" w14:textId="335AF308" w:rsidR="00A6102A" w:rsidRPr="003E5564" w:rsidRDefault="00A6102A" w:rsidP="003E5564">
      <w:pPr>
        <w:spacing w:line="200" w:lineRule="exact"/>
        <w:rPr>
          <w:rFonts w:cs="Arial"/>
          <w:szCs w:val="24"/>
        </w:rPr>
      </w:pPr>
    </w:p>
    <w:p w14:paraId="432A3DA4" w14:textId="468B9E36" w:rsidR="00A6102A" w:rsidRPr="003E5564" w:rsidRDefault="00A6102A" w:rsidP="003E5564">
      <w:pPr>
        <w:spacing w:line="200" w:lineRule="exact"/>
        <w:rPr>
          <w:rFonts w:cs="Arial"/>
          <w:szCs w:val="24"/>
        </w:rPr>
      </w:pPr>
    </w:p>
    <w:p w14:paraId="75414B17" w14:textId="5C00009A" w:rsidR="00A6102A" w:rsidRDefault="00A6102A" w:rsidP="003E5564">
      <w:pPr>
        <w:spacing w:line="200" w:lineRule="exact"/>
        <w:rPr>
          <w:rFonts w:cs="Arial"/>
          <w:szCs w:val="24"/>
        </w:rPr>
      </w:pPr>
    </w:p>
    <w:p w14:paraId="072404B7" w14:textId="77777777" w:rsidR="000F51C7" w:rsidRDefault="000F51C7" w:rsidP="003E5564">
      <w:pPr>
        <w:spacing w:line="200" w:lineRule="exact"/>
        <w:rPr>
          <w:rFonts w:cs="Arial"/>
          <w:szCs w:val="24"/>
        </w:rPr>
      </w:pPr>
    </w:p>
    <w:p w14:paraId="767476F7" w14:textId="6D04E574" w:rsidR="00410EBC" w:rsidRDefault="00410EBC" w:rsidP="003E5564">
      <w:pPr>
        <w:spacing w:line="200" w:lineRule="exact"/>
        <w:rPr>
          <w:rFonts w:cs="Arial"/>
          <w:szCs w:val="24"/>
        </w:rPr>
      </w:pPr>
    </w:p>
    <w:p w14:paraId="6FE37991" w14:textId="04BB9535" w:rsidR="00410EBC" w:rsidRDefault="00410EBC" w:rsidP="003E5564">
      <w:pPr>
        <w:spacing w:line="200" w:lineRule="exact"/>
        <w:rPr>
          <w:rFonts w:cs="Arial"/>
          <w:szCs w:val="24"/>
        </w:rPr>
      </w:pPr>
    </w:p>
    <w:p w14:paraId="2B57CA87" w14:textId="77777777" w:rsidR="00410EBC" w:rsidRPr="003E5564" w:rsidRDefault="00410EBC" w:rsidP="003E5564">
      <w:pPr>
        <w:spacing w:line="200" w:lineRule="exact"/>
        <w:rPr>
          <w:rFonts w:cs="Arial"/>
          <w:szCs w:val="24"/>
        </w:rPr>
      </w:pPr>
    </w:p>
    <w:p w14:paraId="199C58DB" w14:textId="3344B0D1" w:rsidR="00A6102A" w:rsidRPr="003E5564" w:rsidRDefault="00A6102A" w:rsidP="003E5564">
      <w:pPr>
        <w:spacing w:line="200" w:lineRule="exact"/>
        <w:rPr>
          <w:rFonts w:cs="Arial"/>
          <w:szCs w:val="24"/>
        </w:rPr>
      </w:pPr>
    </w:p>
    <w:p w14:paraId="6E986239" w14:textId="0A64620E" w:rsidR="00A6102A" w:rsidRPr="003E5564" w:rsidRDefault="00A6102A" w:rsidP="003E5564">
      <w:pPr>
        <w:spacing w:line="200" w:lineRule="exact"/>
        <w:rPr>
          <w:rFonts w:cs="Arial"/>
          <w:szCs w:val="24"/>
        </w:rPr>
      </w:pPr>
    </w:p>
    <w:p w14:paraId="721CCF19" w14:textId="77777777" w:rsidR="00A7454C" w:rsidRPr="003E5564" w:rsidRDefault="00A7454C" w:rsidP="003E5564">
      <w:pPr>
        <w:spacing w:line="200" w:lineRule="exact"/>
        <w:rPr>
          <w:rFonts w:cs="Arial"/>
          <w:szCs w:val="24"/>
        </w:rPr>
      </w:pPr>
    </w:p>
    <w:p w14:paraId="534B8FE6" w14:textId="77777777" w:rsidR="00A7454C" w:rsidRPr="003E5564" w:rsidRDefault="00A7454C" w:rsidP="003E5564">
      <w:pPr>
        <w:pStyle w:val="Heading2"/>
        <w:rPr>
          <w:rFonts w:cs="Arial"/>
          <w:sz w:val="24"/>
          <w:szCs w:val="24"/>
        </w:rPr>
      </w:pPr>
      <w:bookmarkStart w:id="1852" w:name="page2"/>
      <w:bookmarkStart w:id="1853" w:name="_Toc95743505"/>
      <w:bookmarkEnd w:id="1852"/>
      <w:r w:rsidRPr="003E5564">
        <w:rPr>
          <w:rFonts w:eastAsia="Arial" w:cs="Arial"/>
          <w:sz w:val="24"/>
          <w:szCs w:val="24"/>
        </w:rPr>
        <w:t>Guidance on assuring sub-contracting proposals</w:t>
      </w:r>
      <w:bookmarkEnd w:id="1853"/>
    </w:p>
    <w:p w14:paraId="14DC3B41" w14:textId="77777777" w:rsidR="00A7454C" w:rsidRPr="003E5564" w:rsidRDefault="00A7454C" w:rsidP="003E5564">
      <w:pPr>
        <w:spacing w:line="253" w:lineRule="exact"/>
        <w:rPr>
          <w:rFonts w:cs="Arial"/>
          <w:szCs w:val="24"/>
        </w:rPr>
      </w:pPr>
    </w:p>
    <w:p w14:paraId="5FD9F824" w14:textId="77777777" w:rsidR="00A7454C" w:rsidRPr="003E5564" w:rsidRDefault="00A7454C" w:rsidP="003E5564">
      <w:pPr>
        <w:pStyle w:val="Heading3"/>
        <w:rPr>
          <w:rFonts w:cs="Arial"/>
          <w:szCs w:val="24"/>
        </w:rPr>
      </w:pPr>
      <w:r w:rsidRPr="003E5564">
        <w:rPr>
          <w:rFonts w:eastAsia="Arial" w:cs="Arial"/>
          <w:szCs w:val="24"/>
        </w:rPr>
        <w:t>Preliminary discussion and co-operation</w:t>
      </w:r>
    </w:p>
    <w:p w14:paraId="48115A83" w14:textId="77777777" w:rsidR="00A7454C" w:rsidRPr="003E5564" w:rsidRDefault="00A7454C" w:rsidP="003E5564">
      <w:pPr>
        <w:spacing w:line="262" w:lineRule="exact"/>
        <w:rPr>
          <w:rFonts w:cs="Arial"/>
          <w:szCs w:val="24"/>
        </w:rPr>
      </w:pPr>
    </w:p>
    <w:p w14:paraId="5CCA40D5" w14:textId="77777777" w:rsidR="00A7454C" w:rsidRPr="003E5564" w:rsidRDefault="00A7454C" w:rsidP="003E5564">
      <w:pPr>
        <w:pStyle w:val="Heading4"/>
        <w:rPr>
          <w:rFonts w:cs="Arial"/>
          <w:szCs w:val="24"/>
        </w:rPr>
      </w:pPr>
      <w:r w:rsidRPr="003E5564">
        <w:rPr>
          <w:rFonts w:cs="Arial"/>
          <w:szCs w:val="24"/>
        </w:rPr>
        <w:t>It can assist both commissioners in assuring proposals for sub-contracting, and providers in developing their proposals and addressing potential issues, to enter into preliminary discussions and co-operate with one another, prior to formally serving a notice of sub-contracting.</w:t>
      </w:r>
    </w:p>
    <w:p w14:paraId="106B8FED" w14:textId="54E3E237" w:rsidR="00A7454C" w:rsidRPr="003E5564" w:rsidRDefault="00A7454C" w:rsidP="003E5564">
      <w:pPr>
        <w:pStyle w:val="Heading4"/>
        <w:rPr>
          <w:rFonts w:cs="Arial"/>
          <w:szCs w:val="24"/>
        </w:rPr>
      </w:pPr>
      <w:r w:rsidRPr="003E5564">
        <w:rPr>
          <w:rFonts w:cs="Arial"/>
          <w:szCs w:val="24"/>
        </w:rPr>
        <w:t xml:space="preserve">Doing so avoids the considerable time pressures associated with the 28 day period for </w:t>
      </w:r>
      <w:r w:rsidR="000F14AF" w:rsidRPr="003E5564">
        <w:rPr>
          <w:rFonts w:cs="Arial"/>
          <w:szCs w:val="24"/>
        </w:rPr>
        <w:t>commissioners</w:t>
      </w:r>
      <w:r w:rsidRPr="003E5564">
        <w:rPr>
          <w:rFonts w:cs="Arial"/>
          <w:szCs w:val="24"/>
        </w:rPr>
        <w:t xml:space="preserve"> to formally to object to a notice of sub-contracting under a GMS contract.</w:t>
      </w:r>
    </w:p>
    <w:p w14:paraId="23248C13" w14:textId="77777777" w:rsidR="00A7454C" w:rsidRPr="003E5564" w:rsidRDefault="00A7454C" w:rsidP="003E5564">
      <w:pPr>
        <w:pStyle w:val="Heading4"/>
        <w:rPr>
          <w:rFonts w:cs="Arial"/>
          <w:szCs w:val="24"/>
        </w:rPr>
      </w:pPr>
      <w:r w:rsidRPr="003E5564">
        <w:rPr>
          <w:rFonts w:cs="Arial"/>
          <w:szCs w:val="24"/>
        </w:rPr>
        <w:t>However, under the GMS contract, the contractor has the right to serve a notice of sub-contracting at any time. Where a contractor does so, commissioners must act rapidly to undertake assurance of the proposals and (where appropriate) serve any notice of objection within a 28 day period.</w:t>
      </w:r>
    </w:p>
    <w:p w14:paraId="4C1E7C9C" w14:textId="77777777" w:rsidR="00A7454C" w:rsidRPr="003E5564" w:rsidRDefault="00A7454C" w:rsidP="003E5564">
      <w:pPr>
        <w:spacing w:line="256" w:lineRule="exact"/>
        <w:rPr>
          <w:rFonts w:cs="Arial"/>
          <w:szCs w:val="24"/>
        </w:rPr>
      </w:pPr>
    </w:p>
    <w:p w14:paraId="489F3FFE" w14:textId="77777777" w:rsidR="00A7454C" w:rsidRPr="003E5564" w:rsidRDefault="00A7454C" w:rsidP="003E5564">
      <w:pPr>
        <w:pStyle w:val="Heading3"/>
        <w:rPr>
          <w:rFonts w:cs="Arial"/>
          <w:b/>
          <w:szCs w:val="24"/>
        </w:rPr>
      </w:pPr>
      <w:r w:rsidRPr="003E5564">
        <w:rPr>
          <w:rFonts w:eastAsia="Arial" w:cs="Arial"/>
          <w:b/>
          <w:szCs w:val="24"/>
        </w:rPr>
        <w:t>Step 1 – identify the relevant contract and terms</w:t>
      </w:r>
    </w:p>
    <w:p w14:paraId="2066CC84" w14:textId="77777777" w:rsidR="00A7454C" w:rsidRPr="003E5564" w:rsidRDefault="00A7454C" w:rsidP="003E5564">
      <w:pPr>
        <w:spacing w:line="259" w:lineRule="exact"/>
        <w:rPr>
          <w:rFonts w:cs="Arial"/>
          <w:szCs w:val="24"/>
        </w:rPr>
      </w:pPr>
    </w:p>
    <w:p w14:paraId="22C0A43E" w14:textId="77777777" w:rsidR="00A7454C" w:rsidRPr="003E5564" w:rsidRDefault="00A7454C" w:rsidP="003E5564">
      <w:pPr>
        <w:pStyle w:val="Heading4"/>
        <w:rPr>
          <w:rFonts w:cs="Arial"/>
          <w:szCs w:val="24"/>
        </w:rPr>
      </w:pPr>
      <w:r w:rsidRPr="003E5564">
        <w:rPr>
          <w:rFonts w:cs="Arial"/>
          <w:szCs w:val="24"/>
        </w:rPr>
        <w:t>In all cases the commissioner should identify the relevant primary medical services contract in place with the contractor and review its terms regarding sub-contracting. These terms set out the respective rights and obligations of the parties in relation to sub-contracting and must be adhered to by both parties.</w:t>
      </w:r>
    </w:p>
    <w:p w14:paraId="18F2638C" w14:textId="77777777" w:rsidR="00A7454C" w:rsidRPr="003E5564" w:rsidRDefault="00A7454C" w:rsidP="003E5564">
      <w:pPr>
        <w:pStyle w:val="Heading4"/>
        <w:rPr>
          <w:rFonts w:cs="Arial"/>
          <w:szCs w:val="24"/>
        </w:rPr>
      </w:pPr>
      <w:r w:rsidRPr="003E5564">
        <w:rPr>
          <w:rFonts w:cs="Arial"/>
          <w:szCs w:val="24"/>
        </w:rPr>
        <w:t>This guidance and the checklist focus upon GMS contracts only and reflect the mandatory terms regarding sub-contracts that must be included in all GMS contracts.</w:t>
      </w:r>
    </w:p>
    <w:p w14:paraId="5EAD0D99" w14:textId="54A6B353" w:rsidR="00A7454C" w:rsidRDefault="00A7454C" w:rsidP="003E5564">
      <w:pPr>
        <w:pStyle w:val="Heading4"/>
        <w:rPr>
          <w:rFonts w:cs="Arial"/>
          <w:szCs w:val="24"/>
        </w:rPr>
      </w:pPr>
      <w:r w:rsidRPr="003E5564">
        <w:rPr>
          <w:rFonts w:cs="Arial"/>
          <w:szCs w:val="24"/>
        </w:rPr>
        <w:t xml:space="preserve">PMS and APMS contracts have fewer mandatory terms regarding sub-contracting, and may also have bespoke sub-contracting arrangements agreed within the contract. Therefore not all aspects of this guidance and checklist will apply to such contracts. See </w:t>
      </w:r>
      <w:r w:rsidRPr="003E5564">
        <w:rPr>
          <w:rFonts w:cs="Arial"/>
          <w:b/>
          <w:bCs/>
          <w:szCs w:val="24"/>
        </w:rPr>
        <w:t>Annex B</w:t>
      </w:r>
      <w:r w:rsidRPr="003E5564">
        <w:rPr>
          <w:rFonts w:cs="Arial"/>
          <w:szCs w:val="24"/>
        </w:rPr>
        <w:t xml:space="preserve"> for a summary of the mandatory terms for each type of contract and seek legal advice where required.</w:t>
      </w:r>
    </w:p>
    <w:p w14:paraId="1A3A6A9F" w14:textId="4E1905B7" w:rsidR="00071563" w:rsidRDefault="00071563" w:rsidP="00071563">
      <w:pPr>
        <w:rPr>
          <w:lang w:eastAsia="en-GB"/>
        </w:rPr>
      </w:pPr>
    </w:p>
    <w:p w14:paraId="30FD20E9" w14:textId="79E465E7" w:rsidR="00071563" w:rsidRDefault="00071563" w:rsidP="00071563">
      <w:pPr>
        <w:rPr>
          <w:lang w:eastAsia="en-GB"/>
        </w:rPr>
      </w:pPr>
    </w:p>
    <w:p w14:paraId="4A265843" w14:textId="3C14DA3B" w:rsidR="00071563" w:rsidRDefault="00071563" w:rsidP="00071563">
      <w:pPr>
        <w:rPr>
          <w:lang w:eastAsia="en-GB"/>
        </w:rPr>
      </w:pPr>
    </w:p>
    <w:p w14:paraId="0704E5C0" w14:textId="61EEA1D5" w:rsidR="00071563" w:rsidRDefault="00071563" w:rsidP="00071563">
      <w:pPr>
        <w:rPr>
          <w:lang w:eastAsia="en-GB"/>
        </w:rPr>
      </w:pPr>
    </w:p>
    <w:p w14:paraId="1AC3533B" w14:textId="3B62E8D5" w:rsidR="00071563" w:rsidRDefault="00071563" w:rsidP="000F51C7">
      <w:pPr>
        <w:rPr>
          <w:lang w:eastAsia="en-GB"/>
        </w:rPr>
      </w:pPr>
    </w:p>
    <w:p w14:paraId="5C8B0307" w14:textId="77777777" w:rsidR="000F51C7" w:rsidRDefault="000F51C7" w:rsidP="00071563">
      <w:pPr>
        <w:rPr>
          <w:lang w:eastAsia="en-GB"/>
        </w:rPr>
      </w:pPr>
    </w:p>
    <w:p w14:paraId="0D00DF2F" w14:textId="757EB69C" w:rsidR="00071563" w:rsidRDefault="00071563" w:rsidP="00071563">
      <w:pPr>
        <w:rPr>
          <w:lang w:eastAsia="en-GB"/>
        </w:rPr>
      </w:pPr>
    </w:p>
    <w:p w14:paraId="193062C7" w14:textId="77777777" w:rsidR="00071563" w:rsidRPr="009C5D6E" w:rsidRDefault="00071563" w:rsidP="009C5D6E">
      <w:pPr>
        <w:rPr>
          <w:lang w:eastAsia="en-GB"/>
        </w:rPr>
      </w:pPr>
    </w:p>
    <w:p w14:paraId="16AD8C67" w14:textId="77777777" w:rsidR="00A7454C" w:rsidRPr="003E5564" w:rsidRDefault="00A7454C" w:rsidP="003E5564">
      <w:pPr>
        <w:pStyle w:val="Heading3"/>
        <w:rPr>
          <w:rFonts w:cs="Arial"/>
          <w:b/>
          <w:szCs w:val="24"/>
        </w:rPr>
      </w:pPr>
      <w:r w:rsidRPr="003E5564">
        <w:rPr>
          <w:rFonts w:eastAsia="Arial" w:cs="Arial"/>
          <w:b/>
          <w:szCs w:val="24"/>
        </w:rPr>
        <w:t>Step 2 – notice of sub-contracting</w:t>
      </w:r>
    </w:p>
    <w:p w14:paraId="1AF00D48" w14:textId="77777777" w:rsidR="00A7454C" w:rsidRPr="003E5564" w:rsidRDefault="00A7454C" w:rsidP="003E5564">
      <w:pPr>
        <w:spacing w:line="259" w:lineRule="exact"/>
        <w:rPr>
          <w:rFonts w:cs="Arial"/>
          <w:szCs w:val="24"/>
        </w:rPr>
      </w:pPr>
    </w:p>
    <w:p w14:paraId="063A5009" w14:textId="77777777" w:rsidR="00A7454C" w:rsidRPr="003E5564" w:rsidRDefault="00A7454C" w:rsidP="003E5564">
      <w:pPr>
        <w:pStyle w:val="Heading4"/>
        <w:rPr>
          <w:rFonts w:cs="Arial"/>
          <w:szCs w:val="24"/>
        </w:rPr>
      </w:pPr>
      <w:r w:rsidRPr="003E5564">
        <w:rPr>
          <w:rFonts w:cs="Arial"/>
          <w:szCs w:val="24"/>
        </w:rPr>
        <w:t>The contractor must give notice in writing of its intention to sub-contract as soon as reasonably practicable before the date on which the proposed sub-contract is intended to come into effect (‘</w:t>
      </w:r>
      <w:r w:rsidRPr="003E5564">
        <w:rPr>
          <w:rFonts w:cs="Arial"/>
          <w:b/>
          <w:bCs/>
          <w:szCs w:val="24"/>
        </w:rPr>
        <w:t>notice of sub-contracting</w:t>
      </w:r>
      <w:r w:rsidRPr="003E5564">
        <w:rPr>
          <w:rFonts w:cs="Arial"/>
          <w:szCs w:val="24"/>
        </w:rPr>
        <w:t>’).</w:t>
      </w:r>
    </w:p>
    <w:p w14:paraId="6D931180" w14:textId="3DC61727" w:rsidR="00A7454C" w:rsidRPr="003E5564" w:rsidRDefault="00A7454C" w:rsidP="003E5564">
      <w:pPr>
        <w:pStyle w:val="Heading4"/>
        <w:rPr>
          <w:rFonts w:cs="Arial"/>
          <w:szCs w:val="24"/>
        </w:rPr>
      </w:pPr>
      <w:r w:rsidRPr="003E5564">
        <w:rPr>
          <w:rFonts w:cs="Arial"/>
          <w:szCs w:val="24"/>
        </w:rPr>
        <w:t>Upon receipt of such a notice, the commissioner should check if it is valid. A valid notice must include:</w:t>
      </w:r>
    </w:p>
    <w:p w14:paraId="3E13490C" w14:textId="77777777" w:rsidR="00A7454C" w:rsidRPr="003E5564" w:rsidRDefault="00A7454C" w:rsidP="006C3DF5">
      <w:pPr>
        <w:pStyle w:val="ListParagraph"/>
        <w:numPr>
          <w:ilvl w:val="0"/>
          <w:numId w:val="213"/>
        </w:numPr>
        <w:tabs>
          <w:tab w:val="left" w:pos="700"/>
        </w:tabs>
        <w:rPr>
          <w:rFonts w:eastAsia="Arial" w:cs="Arial"/>
          <w:szCs w:val="24"/>
        </w:rPr>
      </w:pPr>
      <w:r w:rsidRPr="003E5564">
        <w:rPr>
          <w:rFonts w:eastAsia="Arial" w:cs="Arial"/>
          <w:szCs w:val="24"/>
        </w:rPr>
        <w:t>the name and address of the proposed sub-contractor;</w:t>
      </w:r>
    </w:p>
    <w:p w14:paraId="04E61A6B" w14:textId="77777777" w:rsidR="00A7454C" w:rsidRPr="003E5564" w:rsidRDefault="00A7454C" w:rsidP="003E5564">
      <w:pPr>
        <w:spacing w:line="133" w:lineRule="exact"/>
        <w:rPr>
          <w:rFonts w:eastAsia="Arial" w:cs="Arial"/>
          <w:szCs w:val="24"/>
        </w:rPr>
      </w:pPr>
    </w:p>
    <w:p w14:paraId="0A90322C" w14:textId="77777777" w:rsidR="00A7454C" w:rsidRPr="003E5564" w:rsidRDefault="00A7454C" w:rsidP="006C3DF5">
      <w:pPr>
        <w:pStyle w:val="ListParagraph"/>
        <w:numPr>
          <w:ilvl w:val="0"/>
          <w:numId w:val="213"/>
        </w:numPr>
        <w:tabs>
          <w:tab w:val="left" w:pos="700"/>
        </w:tabs>
        <w:rPr>
          <w:rFonts w:eastAsia="Arial" w:cs="Arial"/>
          <w:szCs w:val="24"/>
        </w:rPr>
      </w:pPr>
      <w:r w:rsidRPr="003E5564">
        <w:rPr>
          <w:rFonts w:eastAsia="Arial" w:cs="Arial"/>
          <w:szCs w:val="24"/>
        </w:rPr>
        <w:t>the duration of the proposed sub-contract;</w:t>
      </w:r>
    </w:p>
    <w:p w14:paraId="58E17768" w14:textId="77777777" w:rsidR="00A7454C" w:rsidRPr="003E5564" w:rsidRDefault="00A7454C" w:rsidP="003E5564">
      <w:pPr>
        <w:spacing w:line="135" w:lineRule="exact"/>
        <w:rPr>
          <w:rFonts w:eastAsia="Arial" w:cs="Arial"/>
          <w:szCs w:val="24"/>
        </w:rPr>
      </w:pPr>
    </w:p>
    <w:p w14:paraId="5CAEBE2D" w14:textId="77777777" w:rsidR="00A7454C" w:rsidRPr="003E5564" w:rsidRDefault="00A7454C" w:rsidP="006C3DF5">
      <w:pPr>
        <w:pStyle w:val="ListParagraph"/>
        <w:numPr>
          <w:ilvl w:val="0"/>
          <w:numId w:val="213"/>
        </w:numPr>
        <w:tabs>
          <w:tab w:val="left" w:pos="700"/>
        </w:tabs>
        <w:rPr>
          <w:rFonts w:eastAsia="Arial" w:cs="Arial"/>
          <w:szCs w:val="24"/>
        </w:rPr>
      </w:pPr>
      <w:r w:rsidRPr="003E5564">
        <w:rPr>
          <w:rFonts w:eastAsia="Arial" w:cs="Arial"/>
          <w:szCs w:val="24"/>
        </w:rPr>
        <w:t>the services to be covered by the proposed sub-contract; and</w:t>
      </w:r>
    </w:p>
    <w:p w14:paraId="36C2A5AE" w14:textId="77777777" w:rsidR="00A7454C" w:rsidRPr="003E5564" w:rsidRDefault="00A7454C" w:rsidP="003E5564">
      <w:pPr>
        <w:spacing w:line="141" w:lineRule="exact"/>
        <w:rPr>
          <w:rFonts w:eastAsia="Arial" w:cs="Arial"/>
          <w:szCs w:val="24"/>
        </w:rPr>
      </w:pPr>
    </w:p>
    <w:p w14:paraId="645ADC2D" w14:textId="77777777" w:rsidR="00A7454C" w:rsidRPr="003E5564" w:rsidRDefault="00A7454C" w:rsidP="006C3DF5">
      <w:pPr>
        <w:pStyle w:val="ListParagraph"/>
        <w:numPr>
          <w:ilvl w:val="0"/>
          <w:numId w:val="213"/>
        </w:numPr>
        <w:tabs>
          <w:tab w:val="left" w:pos="708"/>
        </w:tabs>
        <w:spacing w:line="232" w:lineRule="auto"/>
        <w:ind w:right="100"/>
        <w:rPr>
          <w:rFonts w:eastAsia="Arial" w:cs="Arial"/>
          <w:szCs w:val="24"/>
        </w:rPr>
      </w:pPr>
      <w:r w:rsidRPr="003E5564">
        <w:rPr>
          <w:rFonts w:eastAsia="Arial" w:cs="Arial"/>
          <w:szCs w:val="24"/>
        </w:rPr>
        <w:t>the address of any premises to be used for the provision of services under the proposed sub-contract.</w:t>
      </w:r>
    </w:p>
    <w:p w14:paraId="0CBD8DA2" w14:textId="77777777" w:rsidR="00A7454C" w:rsidRPr="003E5564" w:rsidRDefault="00A7454C" w:rsidP="003E5564">
      <w:pPr>
        <w:spacing w:line="263" w:lineRule="exact"/>
        <w:rPr>
          <w:rFonts w:eastAsiaTheme="minorEastAsia" w:cs="Arial"/>
          <w:szCs w:val="24"/>
        </w:rPr>
      </w:pPr>
    </w:p>
    <w:p w14:paraId="5EEF26D0" w14:textId="77777777" w:rsidR="00A7454C" w:rsidRPr="003E5564" w:rsidRDefault="00A7454C" w:rsidP="003E5564">
      <w:pPr>
        <w:pStyle w:val="Heading4"/>
        <w:rPr>
          <w:rFonts w:cs="Arial"/>
          <w:szCs w:val="24"/>
        </w:rPr>
      </w:pPr>
      <w:r w:rsidRPr="003E5564">
        <w:rPr>
          <w:rFonts w:cs="Arial"/>
          <w:szCs w:val="24"/>
        </w:rPr>
        <w:t>If the notice is valid, the commissioner should then calculate a period of 28 days beginning with the date on which the notice of sub-contracting was received. The last day of that 28 day period is the last date upon which the commissioner may serve a notice of objection (see Step 5). The commissioner should take into account the notice provisions of the contract to ensure that the date is correctly calculated and any such notice is served in time.</w:t>
      </w:r>
    </w:p>
    <w:p w14:paraId="09445B8D" w14:textId="4157F29E" w:rsidR="00A7454C" w:rsidRPr="003E5564" w:rsidRDefault="00A7454C" w:rsidP="003E5564">
      <w:pPr>
        <w:pStyle w:val="Heading4"/>
        <w:rPr>
          <w:rFonts w:cs="Arial"/>
          <w:szCs w:val="24"/>
        </w:rPr>
      </w:pPr>
      <w:r w:rsidRPr="003E5564">
        <w:rPr>
          <w:rFonts w:cs="Arial"/>
          <w:szCs w:val="24"/>
        </w:rPr>
        <w:t>If the notice is invalid, the commissioner should advise the contractor of this and that the proposed sub-contract will be unlawful unless and until a valid notice of sub-contracting has</w:t>
      </w:r>
      <w:bookmarkStart w:id="1854" w:name="page3"/>
      <w:bookmarkEnd w:id="1854"/>
    </w:p>
    <w:p w14:paraId="1E78DCCF" w14:textId="77777777" w:rsidR="00A7454C" w:rsidRPr="003E5564" w:rsidRDefault="00A7454C" w:rsidP="003E5564">
      <w:pPr>
        <w:pStyle w:val="Heading4"/>
        <w:rPr>
          <w:rFonts w:cs="Arial"/>
          <w:szCs w:val="24"/>
        </w:rPr>
      </w:pPr>
      <w:r w:rsidRPr="003E5564">
        <w:rPr>
          <w:rFonts w:cs="Arial"/>
          <w:szCs w:val="24"/>
        </w:rPr>
        <w:t>been served. Upon receipt of a valid notice, the commissioner has a further 28 days to object starting on the date it was received.</w:t>
      </w:r>
    </w:p>
    <w:p w14:paraId="1DBBA799" w14:textId="77777777" w:rsidR="00A7454C" w:rsidRPr="003E5564" w:rsidRDefault="00A7454C" w:rsidP="003E5564">
      <w:pPr>
        <w:spacing w:line="255" w:lineRule="exact"/>
        <w:rPr>
          <w:rFonts w:cs="Arial"/>
          <w:szCs w:val="24"/>
        </w:rPr>
      </w:pPr>
    </w:p>
    <w:p w14:paraId="43196D7A" w14:textId="77777777" w:rsidR="00A7454C" w:rsidRPr="003E5564" w:rsidRDefault="00A7454C" w:rsidP="003E5564">
      <w:pPr>
        <w:pStyle w:val="Heading3"/>
        <w:rPr>
          <w:rFonts w:cs="Arial"/>
          <w:b/>
          <w:szCs w:val="24"/>
        </w:rPr>
      </w:pPr>
      <w:r w:rsidRPr="003E5564">
        <w:rPr>
          <w:rFonts w:eastAsia="Arial" w:cs="Arial"/>
          <w:b/>
          <w:szCs w:val="24"/>
        </w:rPr>
        <w:t>Step 3 – notification of novel, contentious or repercussive proposals</w:t>
      </w:r>
    </w:p>
    <w:p w14:paraId="4189B371" w14:textId="77777777" w:rsidR="00A7454C" w:rsidRPr="003E5564" w:rsidRDefault="00A7454C" w:rsidP="003E5564">
      <w:pPr>
        <w:spacing w:line="253" w:lineRule="exact"/>
        <w:rPr>
          <w:rFonts w:cs="Arial"/>
          <w:szCs w:val="24"/>
        </w:rPr>
      </w:pPr>
    </w:p>
    <w:p w14:paraId="5AB5D2E3" w14:textId="77777777" w:rsidR="00A7454C" w:rsidRPr="003E5564" w:rsidRDefault="00A7454C" w:rsidP="003E5564">
      <w:pPr>
        <w:pStyle w:val="Heading4"/>
        <w:rPr>
          <w:rFonts w:cs="Arial"/>
          <w:szCs w:val="24"/>
        </w:rPr>
      </w:pPr>
      <w:r w:rsidRPr="003E5564">
        <w:rPr>
          <w:rFonts w:cs="Arial"/>
          <w:szCs w:val="24"/>
        </w:rPr>
        <w:t>The commissioner should take an initial view upon whether any of the following criteria are met:</w:t>
      </w:r>
    </w:p>
    <w:p w14:paraId="0C682A55" w14:textId="77777777" w:rsidR="00A7454C" w:rsidRPr="003E5564" w:rsidRDefault="00A7454C" w:rsidP="003E5564">
      <w:pPr>
        <w:spacing w:line="144" w:lineRule="exact"/>
        <w:rPr>
          <w:rFonts w:cs="Arial"/>
          <w:szCs w:val="24"/>
        </w:rPr>
      </w:pPr>
    </w:p>
    <w:p w14:paraId="132CA685" w14:textId="77777777" w:rsidR="00A7454C" w:rsidRPr="003E5564" w:rsidRDefault="00A7454C" w:rsidP="003434C8">
      <w:pPr>
        <w:numPr>
          <w:ilvl w:val="0"/>
          <w:numId w:val="206"/>
        </w:numPr>
        <w:tabs>
          <w:tab w:val="left" w:pos="708"/>
        </w:tabs>
        <w:spacing w:line="360" w:lineRule="auto"/>
        <w:ind w:left="720" w:right="220" w:hanging="361"/>
        <w:rPr>
          <w:rFonts w:eastAsia="Arial" w:cs="Arial"/>
          <w:szCs w:val="24"/>
        </w:rPr>
      </w:pPr>
      <w:r w:rsidRPr="003E5564">
        <w:rPr>
          <w:rFonts w:eastAsia="Arial" w:cs="Arial"/>
          <w:szCs w:val="24"/>
        </w:rPr>
        <w:t>the sub-contracted services will be delivered wholly or partly via a ‘digital-first’ service (i.e. care delivery models through which a patient can receive the advice and treatment they need via online symptom checking and remote consultation);</w:t>
      </w:r>
    </w:p>
    <w:p w14:paraId="32FCF32A" w14:textId="77777777" w:rsidR="00A7454C" w:rsidRPr="003E5564" w:rsidRDefault="00A7454C" w:rsidP="003434C8">
      <w:pPr>
        <w:spacing w:line="360" w:lineRule="auto"/>
        <w:rPr>
          <w:rFonts w:eastAsia="Arial" w:cs="Arial"/>
          <w:szCs w:val="24"/>
        </w:rPr>
      </w:pPr>
    </w:p>
    <w:p w14:paraId="34E0F48D" w14:textId="0F3642F6" w:rsidR="00D357C9" w:rsidRPr="00D357C9" w:rsidRDefault="00A7454C" w:rsidP="00D357C9">
      <w:pPr>
        <w:numPr>
          <w:ilvl w:val="0"/>
          <w:numId w:val="206"/>
        </w:numPr>
        <w:tabs>
          <w:tab w:val="left" w:pos="708"/>
        </w:tabs>
        <w:spacing w:line="360" w:lineRule="auto"/>
        <w:ind w:left="720" w:right="420" w:hanging="361"/>
        <w:rPr>
          <w:rFonts w:eastAsia="Arial" w:cs="Arial"/>
          <w:szCs w:val="24"/>
        </w:rPr>
      </w:pPr>
      <w:r w:rsidRPr="003E5564">
        <w:rPr>
          <w:rFonts w:eastAsia="Arial" w:cs="Arial"/>
          <w:szCs w:val="24"/>
        </w:rPr>
        <w:t>the sub-contracted services will be provided to ‘out of area’ patients (i.e. patients who reside outside of the practice area);</w:t>
      </w:r>
    </w:p>
    <w:p w14:paraId="16749C09" w14:textId="64C82F98" w:rsidR="00A7454C" w:rsidRPr="00D357C9" w:rsidRDefault="00A7454C" w:rsidP="003434C8">
      <w:pPr>
        <w:numPr>
          <w:ilvl w:val="0"/>
          <w:numId w:val="206"/>
        </w:numPr>
        <w:tabs>
          <w:tab w:val="left" w:pos="708"/>
        </w:tabs>
        <w:spacing w:line="360" w:lineRule="auto"/>
        <w:ind w:left="720" w:right="360" w:hanging="361"/>
        <w:rPr>
          <w:rFonts w:eastAsia="Arial" w:cs="Arial"/>
          <w:szCs w:val="24"/>
        </w:rPr>
      </w:pPr>
      <w:r w:rsidRPr="003E5564">
        <w:rPr>
          <w:rFonts w:eastAsia="Arial" w:cs="Arial"/>
          <w:szCs w:val="24"/>
        </w:rPr>
        <w:t>the premises to be used for the provision of services under the proposed sub-contract are outside of the contractor’s practice area; or</w:t>
      </w:r>
    </w:p>
    <w:p w14:paraId="1292CABB" w14:textId="77777777" w:rsidR="00A7454C" w:rsidRPr="003E5564" w:rsidRDefault="00A7454C" w:rsidP="003434C8">
      <w:pPr>
        <w:numPr>
          <w:ilvl w:val="0"/>
          <w:numId w:val="206"/>
        </w:numPr>
        <w:tabs>
          <w:tab w:val="left" w:pos="708"/>
        </w:tabs>
        <w:spacing w:line="360" w:lineRule="auto"/>
        <w:ind w:left="720" w:right="1140" w:hanging="361"/>
        <w:rPr>
          <w:rFonts w:eastAsia="Arial" w:cs="Arial"/>
          <w:szCs w:val="24"/>
        </w:rPr>
      </w:pPr>
      <w:r w:rsidRPr="003E5564">
        <w:rPr>
          <w:rFonts w:eastAsia="Arial" w:cs="Arial"/>
          <w:szCs w:val="24"/>
        </w:rPr>
        <w:t>the proposed sub-contract is otherwise considered to be novel, contentious or repercussive.</w:t>
      </w:r>
    </w:p>
    <w:p w14:paraId="24782A06" w14:textId="77777777" w:rsidR="00A7454C" w:rsidRPr="003E5564" w:rsidRDefault="00A7454C" w:rsidP="003E5564">
      <w:pPr>
        <w:spacing w:line="263" w:lineRule="exact"/>
        <w:rPr>
          <w:rFonts w:eastAsiaTheme="minorEastAsia" w:cs="Arial"/>
          <w:szCs w:val="24"/>
        </w:rPr>
      </w:pPr>
    </w:p>
    <w:p w14:paraId="30F0E399" w14:textId="53148183" w:rsidR="00A7454C" w:rsidRPr="003E5564" w:rsidRDefault="00A7454C" w:rsidP="003E5564">
      <w:pPr>
        <w:pStyle w:val="Heading4"/>
        <w:rPr>
          <w:rFonts w:cs="Arial"/>
          <w:szCs w:val="24"/>
        </w:rPr>
      </w:pPr>
      <w:r w:rsidRPr="003E5564">
        <w:rPr>
          <w:rFonts w:cs="Arial"/>
          <w:szCs w:val="24"/>
        </w:rPr>
        <w:t xml:space="preserve">Where any of the above criteria are met, the commissioner should immediately notify </w:t>
      </w:r>
      <w:r w:rsidR="00D43823" w:rsidRPr="003E5564">
        <w:rPr>
          <w:rFonts w:cs="Arial"/>
          <w:szCs w:val="24"/>
        </w:rPr>
        <w:t>its regional NHS England and Improvement primary care team</w:t>
      </w:r>
      <w:r w:rsidRPr="003E5564">
        <w:rPr>
          <w:rFonts w:cs="Arial"/>
          <w:szCs w:val="24"/>
        </w:rPr>
        <w:t>. The purpose of this notification is to enable:</w:t>
      </w:r>
    </w:p>
    <w:p w14:paraId="24583FFF" w14:textId="77777777" w:rsidR="00A7454C" w:rsidRPr="003E5564" w:rsidRDefault="00A7454C" w:rsidP="003E5564">
      <w:pPr>
        <w:spacing w:line="137" w:lineRule="exact"/>
        <w:rPr>
          <w:rFonts w:cs="Arial"/>
          <w:szCs w:val="24"/>
        </w:rPr>
      </w:pPr>
    </w:p>
    <w:p w14:paraId="3F8DFB60" w14:textId="44135174" w:rsidR="00A7454C" w:rsidRPr="000135D2" w:rsidRDefault="00A7454C" w:rsidP="000135D2">
      <w:pPr>
        <w:numPr>
          <w:ilvl w:val="0"/>
          <w:numId w:val="207"/>
        </w:numPr>
        <w:tabs>
          <w:tab w:val="left" w:pos="700"/>
        </w:tabs>
        <w:spacing w:line="360" w:lineRule="auto"/>
        <w:ind w:left="700" w:hanging="341"/>
        <w:rPr>
          <w:rFonts w:eastAsia="Arial" w:cs="Arial"/>
          <w:szCs w:val="24"/>
        </w:rPr>
      </w:pPr>
      <w:r w:rsidRPr="003E5564">
        <w:rPr>
          <w:rFonts w:eastAsia="Arial" w:cs="Arial"/>
          <w:szCs w:val="24"/>
        </w:rPr>
        <w:t>monitoring of the rollout of such sub-contracting arrangements;</w:t>
      </w:r>
    </w:p>
    <w:p w14:paraId="7C2E639E" w14:textId="28600173" w:rsidR="00A7454C" w:rsidRPr="000135D2" w:rsidRDefault="00A7454C" w:rsidP="000135D2">
      <w:pPr>
        <w:numPr>
          <w:ilvl w:val="0"/>
          <w:numId w:val="207"/>
        </w:numPr>
        <w:tabs>
          <w:tab w:val="left" w:pos="700"/>
        </w:tabs>
        <w:spacing w:line="360" w:lineRule="auto"/>
        <w:ind w:left="700" w:hanging="341"/>
        <w:rPr>
          <w:rFonts w:eastAsia="Arial" w:cs="Arial"/>
          <w:szCs w:val="24"/>
        </w:rPr>
      </w:pPr>
      <w:r w:rsidRPr="003E5564">
        <w:rPr>
          <w:rFonts w:eastAsia="Arial" w:cs="Arial"/>
          <w:szCs w:val="24"/>
        </w:rPr>
        <w:t>notification of  commissioners affected by the proposed sub-contract;</w:t>
      </w:r>
    </w:p>
    <w:p w14:paraId="01F8A41D" w14:textId="3DC74286" w:rsidR="00A7454C" w:rsidRPr="000135D2" w:rsidRDefault="00A7454C" w:rsidP="000135D2">
      <w:pPr>
        <w:numPr>
          <w:ilvl w:val="0"/>
          <w:numId w:val="207"/>
        </w:numPr>
        <w:tabs>
          <w:tab w:val="left" w:pos="708"/>
        </w:tabs>
        <w:spacing w:line="360" w:lineRule="auto"/>
        <w:ind w:left="720" w:right="400" w:hanging="361"/>
        <w:rPr>
          <w:rFonts w:eastAsia="Arial" w:cs="Arial"/>
          <w:szCs w:val="24"/>
        </w:rPr>
      </w:pPr>
      <w:r w:rsidRPr="003E5564">
        <w:rPr>
          <w:rFonts w:eastAsia="Arial" w:cs="Arial"/>
          <w:szCs w:val="24"/>
        </w:rPr>
        <w:t>provision of additional guidance and support to the commissioner, where appropriate; and</w:t>
      </w:r>
    </w:p>
    <w:p w14:paraId="3ABCAF86" w14:textId="72AB1D9A" w:rsidR="00A7454C" w:rsidRPr="003E5564" w:rsidRDefault="00A7454C" w:rsidP="000135D2">
      <w:pPr>
        <w:numPr>
          <w:ilvl w:val="0"/>
          <w:numId w:val="207"/>
        </w:numPr>
        <w:tabs>
          <w:tab w:val="left" w:pos="708"/>
        </w:tabs>
        <w:spacing w:line="360" w:lineRule="auto"/>
        <w:ind w:left="720" w:right="260" w:hanging="361"/>
        <w:rPr>
          <w:rFonts w:eastAsia="Arial" w:cs="Arial"/>
          <w:szCs w:val="24"/>
        </w:rPr>
      </w:pPr>
      <w:r w:rsidRPr="003E5564">
        <w:rPr>
          <w:rFonts w:eastAsia="Arial" w:cs="Arial"/>
          <w:szCs w:val="24"/>
        </w:rPr>
        <w:t xml:space="preserve">in the case of a </w:t>
      </w:r>
      <w:r w:rsidR="00B83042">
        <w:rPr>
          <w:rFonts w:eastAsia="Arial" w:cs="Arial"/>
          <w:szCs w:val="24"/>
        </w:rPr>
        <w:t>CCG/ICB</w:t>
      </w:r>
      <w:r w:rsidRPr="003E5564">
        <w:rPr>
          <w:rFonts w:eastAsia="Arial" w:cs="Arial"/>
          <w:szCs w:val="24"/>
        </w:rPr>
        <w:t xml:space="preserve"> commissioning primary medical services under delegated arrangements with NHS England, determining whether the decision requires additional approval by NHS England.</w:t>
      </w:r>
    </w:p>
    <w:p w14:paraId="73A669FE" w14:textId="77777777" w:rsidR="00A7454C" w:rsidRPr="003E5564" w:rsidRDefault="00A7454C" w:rsidP="003E5564">
      <w:pPr>
        <w:spacing w:line="264" w:lineRule="exact"/>
        <w:rPr>
          <w:rFonts w:eastAsiaTheme="minorEastAsia" w:cs="Arial"/>
          <w:szCs w:val="24"/>
        </w:rPr>
      </w:pPr>
    </w:p>
    <w:p w14:paraId="523D1C99" w14:textId="67E68A16" w:rsidR="00A7454C" w:rsidRPr="003E5564" w:rsidRDefault="00A7454C" w:rsidP="003E5564">
      <w:pPr>
        <w:pStyle w:val="Heading4"/>
        <w:rPr>
          <w:rFonts w:cs="Arial"/>
          <w:szCs w:val="24"/>
        </w:rPr>
      </w:pPr>
      <w:r w:rsidRPr="003E5564">
        <w:rPr>
          <w:rFonts w:cs="Arial"/>
          <w:szCs w:val="24"/>
        </w:rPr>
        <w:t>In such cases, NHS England</w:t>
      </w:r>
      <w:r w:rsidR="00D43823" w:rsidRPr="003E5564">
        <w:rPr>
          <w:rFonts w:cs="Arial"/>
          <w:szCs w:val="24"/>
        </w:rPr>
        <w:t xml:space="preserve"> and Improvement regoinal team </w:t>
      </w:r>
      <w:r w:rsidRPr="003E5564">
        <w:rPr>
          <w:rFonts w:cs="Arial"/>
          <w:szCs w:val="24"/>
        </w:rPr>
        <w:t>will advise</w:t>
      </w:r>
      <w:r w:rsidR="00D43823" w:rsidRPr="003E5564">
        <w:rPr>
          <w:rFonts w:cs="Arial"/>
          <w:szCs w:val="24"/>
        </w:rPr>
        <w:t xml:space="preserve">, having consulted with NHS Enland and Improvement national primary care team, </w:t>
      </w:r>
      <w:r w:rsidRPr="003E5564">
        <w:rPr>
          <w:rFonts w:cs="Arial"/>
          <w:szCs w:val="24"/>
        </w:rPr>
        <w:t>the commissioner of any additional procedures to be followed.</w:t>
      </w:r>
    </w:p>
    <w:p w14:paraId="0D7F0602" w14:textId="77777777" w:rsidR="00A7454C" w:rsidRPr="003E5564" w:rsidRDefault="00A7454C" w:rsidP="00E64FF9">
      <w:pPr>
        <w:spacing w:line="255" w:lineRule="exact"/>
        <w:rPr>
          <w:rFonts w:cs="Arial"/>
          <w:szCs w:val="24"/>
        </w:rPr>
      </w:pPr>
    </w:p>
    <w:p w14:paraId="3602FD8E" w14:textId="60F1C15D" w:rsidR="00A7454C" w:rsidRPr="003E5564" w:rsidRDefault="00A7454C" w:rsidP="00E64FF9">
      <w:pPr>
        <w:pStyle w:val="Heading3"/>
        <w:spacing w:line="253" w:lineRule="exact"/>
        <w:rPr>
          <w:rFonts w:cs="Arial"/>
          <w:b/>
          <w:szCs w:val="24"/>
        </w:rPr>
      </w:pPr>
      <w:r w:rsidRPr="003E5564">
        <w:rPr>
          <w:rFonts w:eastAsia="Arial" w:cs="Arial"/>
          <w:b/>
          <w:szCs w:val="24"/>
        </w:rPr>
        <w:t>Step 4 – assurance of the proposed sub-contract</w:t>
      </w:r>
    </w:p>
    <w:p w14:paraId="2BC60EFF" w14:textId="77777777" w:rsidR="00A7454C" w:rsidRPr="003E5564" w:rsidRDefault="00A7454C" w:rsidP="007309BD">
      <w:pPr>
        <w:pStyle w:val="Heading4"/>
        <w:rPr>
          <w:rFonts w:cs="Arial"/>
          <w:szCs w:val="24"/>
        </w:rPr>
      </w:pPr>
      <w:r w:rsidRPr="003E5564">
        <w:rPr>
          <w:rFonts w:cs="Arial"/>
          <w:szCs w:val="24"/>
        </w:rPr>
        <w:t>The commissioner must then assure the proposed sub-contract and decide:</w:t>
      </w:r>
    </w:p>
    <w:p w14:paraId="683A2161" w14:textId="77777777" w:rsidR="00A7454C" w:rsidRPr="003E5564" w:rsidRDefault="00A7454C" w:rsidP="007309BD">
      <w:pPr>
        <w:spacing w:line="145" w:lineRule="exact"/>
        <w:rPr>
          <w:rFonts w:cs="Arial"/>
          <w:szCs w:val="24"/>
        </w:rPr>
      </w:pPr>
    </w:p>
    <w:p w14:paraId="191F70CA" w14:textId="77777777" w:rsidR="00A7454C" w:rsidRPr="003E5564" w:rsidRDefault="00A7454C" w:rsidP="006C3DF5">
      <w:pPr>
        <w:numPr>
          <w:ilvl w:val="0"/>
          <w:numId w:val="208"/>
        </w:numPr>
        <w:tabs>
          <w:tab w:val="left" w:pos="708"/>
        </w:tabs>
        <w:spacing w:line="232" w:lineRule="auto"/>
        <w:ind w:left="720" w:right="880" w:hanging="361"/>
        <w:rPr>
          <w:rFonts w:eastAsia="Arial" w:cs="Arial"/>
          <w:szCs w:val="24"/>
        </w:rPr>
      </w:pPr>
      <w:r w:rsidRPr="003E5564">
        <w:rPr>
          <w:rFonts w:eastAsia="Arial" w:cs="Arial"/>
          <w:szCs w:val="24"/>
        </w:rPr>
        <w:t>whether the proposed sub-contract is unlawful (i.e. not permitted under the GMS contract);</w:t>
      </w:r>
    </w:p>
    <w:p w14:paraId="6636B419" w14:textId="77777777" w:rsidR="00A7454C" w:rsidRPr="003E5564" w:rsidRDefault="00A7454C" w:rsidP="007309BD">
      <w:pPr>
        <w:spacing w:line="136" w:lineRule="exact"/>
        <w:rPr>
          <w:rFonts w:eastAsia="Arial" w:cs="Arial"/>
          <w:szCs w:val="24"/>
        </w:rPr>
      </w:pPr>
    </w:p>
    <w:p w14:paraId="56CF9935" w14:textId="492D47E6" w:rsidR="00A7454C" w:rsidRPr="003E5564" w:rsidRDefault="00A7454C" w:rsidP="006C3DF5">
      <w:pPr>
        <w:numPr>
          <w:ilvl w:val="0"/>
          <w:numId w:val="208"/>
        </w:numPr>
        <w:tabs>
          <w:tab w:val="left" w:pos="700"/>
        </w:tabs>
        <w:spacing w:line="259" w:lineRule="exact"/>
        <w:ind w:left="700" w:hanging="341"/>
        <w:rPr>
          <w:rFonts w:eastAsiaTheme="minorEastAsia" w:cs="Arial"/>
          <w:szCs w:val="24"/>
        </w:rPr>
      </w:pPr>
      <w:r w:rsidRPr="003E5564">
        <w:rPr>
          <w:rFonts w:eastAsia="Arial" w:cs="Arial"/>
          <w:szCs w:val="24"/>
        </w:rPr>
        <w:t>whether there are any safety or financial grounds to object to the proposed sub-contract.</w:t>
      </w:r>
    </w:p>
    <w:p w14:paraId="7535664F" w14:textId="77777777" w:rsidR="00A7454C" w:rsidRPr="003E5564" w:rsidRDefault="00A7454C" w:rsidP="007309BD">
      <w:pPr>
        <w:pStyle w:val="Heading4"/>
        <w:rPr>
          <w:rFonts w:cs="Arial"/>
          <w:szCs w:val="24"/>
        </w:rPr>
      </w:pPr>
      <w:r w:rsidRPr="003E5564">
        <w:rPr>
          <w:rFonts w:cs="Arial"/>
          <w:szCs w:val="24"/>
        </w:rPr>
        <w:t>Where the contractor has served a valid notice of sub-contracting, it is essential that this process is completed (and any notice of objection given) before the 28 day period ends (see Step 2).</w:t>
      </w:r>
    </w:p>
    <w:p w14:paraId="2F6B0CB8" w14:textId="77777777" w:rsidR="00A7454C" w:rsidRPr="003E5564" w:rsidRDefault="00A7454C" w:rsidP="007309BD">
      <w:pPr>
        <w:pStyle w:val="Heading4"/>
        <w:rPr>
          <w:rFonts w:cs="Arial"/>
          <w:szCs w:val="24"/>
        </w:rPr>
      </w:pPr>
      <w:r w:rsidRPr="003E5564">
        <w:rPr>
          <w:rFonts w:cs="Arial"/>
          <w:szCs w:val="24"/>
          <w:u w:val="single"/>
        </w:rPr>
        <w:t>Unlawful sub-contracting</w:t>
      </w:r>
    </w:p>
    <w:p w14:paraId="2DFDA7CF" w14:textId="77777777" w:rsidR="00A7454C" w:rsidRPr="003E5564" w:rsidRDefault="00A7454C" w:rsidP="000135D2">
      <w:pPr>
        <w:pStyle w:val="Heading4"/>
        <w:rPr>
          <w:rFonts w:cs="Arial"/>
          <w:szCs w:val="24"/>
        </w:rPr>
      </w:pPr>
      <w:r w:rsidRPr="003E5564">
        <w:rPr>
          <w:rFonts w:cs="Arial"/>
          <w:szCs w:val="24"/>
        </w:rPr>
        <w:t>The contractor is not permitted to sub-contract clinical services unless:</w:t>
      </w:r>
    </w:p>
    <w:p w14:paraId="771B8CA8" w14:textId="77777777" w:rsidR="00A7454C" w:rsidRPr="003E5564" w:rsidRDefault="00A7454C" w:rsidP="000135D2">
      <w:pPr>
        <w:spacing w:line="360" w:lineRule="auto"/>
        <w:rPr>
          <w:rFonts w:cs="Arial"/>
          <w:szCs w:val="24"/>
        </w:rPr>
      </w:pPr>
    </w:p>
    <w:p w14:paraId="7273CAF9" w14:textId="1F923EA8" w:rsidR="00A7454C" w:rsidRPr="000135D2" w:rsidRDefault="00A7454C" w:rsidP="000135D2">
      <w:pPr>
        <w:numPr>
          <w:ilvl w:val="0"/>
          <w:numId w:val="209"/>
        </w:numPr>
        <w:tabs>
          <w:tab w:val="left" w:pos="708"/>
        </w:tabs>
        <w:spacing w:line="360" w:lineRule="auto"/>
        <w:ind w:left="720" w:right="200" w:hanging="361"/>
        <w:rPr>
          <w:rFonts w:eastAsia="Arial" w:cs="Arial"/>
          <w:szCs w:val="24"/>
        </w:rPr>
      </w:pPr>
      <w:r w:rsidRPr="003E5564">
        <w:rPr>
          <w:rFonts w:eastAsia="Arial" w:cs="Arial"/>
          <w:szCs w:val="24"/>
        </w:rPr>
        <w:t>it has given notice in writing to the commissioner of its intention to sub-contract as soon as reasonably practicable before the date on which the proposed sub-contract is intended to come into effect (see Step 2, above);</w:t>
      </w:r>
    </w:p>
    <w:p w14:paraId="7EE0C29C" w14:textId="3CA1CA3B" w:rsidR="00A7454C" w:rsidRPr="000135D2" w:rsidRDefault="00A7454C" w:rsidP="000135D2">
      <w:pPr>
        <w:numPr>
          <w:ilvl w:val="0"/>
          <w:numId w:val="209"/>
        </w:numPr>
        <w:tabs>
          <w:tab w:val="left" w:pos="708"/>
        </w:tabs>
        <w:spacing w:line="360" w:lineRule="auto"/>
        <w:ind w:left="720" w:right="1300" w:hanging="361"/>
        <w:rPr>
          <w:rFonts w:eastAsia="Arial" w:cs="Arial"/>
          <w:szCs w:val="24"/>
        </w:rPr>
      </w:pPr>
      <w:r w:rsidRPr="003E5564">
        <w:rPr>
          <w:rFonts w:eastAsia="Arial" w:cs="Arial"/>
          <w:szCs w:val="24"/>
        </w:rPr>
        <w:t>it is satisfied that the sub-contractor has in force in relation to it an indemnity arrangement which provides appropriate cover;</w:t>
      </w:r>
    </w:p>
    <w:p w14:paraId="5343A503" w14:textId="3DAA9885" w:rsidR="00A7454C" w:rsidRPr="003E5564" w:rsidRDefault="00A7454C" w:rsidP="000135D2">
      <w:pPr>
        <w:spacing w:line="360" w:lineRule="auto"/>
        <w:ind w:right="-19"/>
        <w:rPr>
          <w:rFonts w:cs="Arial"/>
          <w:szCs w:val="24"/>
        </w:rPr>
      </w:pPr>
      <w:r w:rsidRPr="003E5564">
        <w:rPr>
          <w:rFonts w:eastAsia="Arial" w:cs="Arial"/>
          <w:szCs w:val="24"/>
        </w:rPr>
        <w:t>it has taken reasonable steps to satisfy itself that:</w:t>
      </w:r>
    </w:p>
    <w:p w14:paraId="651E4A11" w14:textId="77777777" w:rsidR="00A7454C" w:rsidRPr="003E5564" w:rsidRDefault="00A7454C" w:rsidP="007309BD">
      <w:pPr>
        <w:rPr>
          <w:rFonts w:cs="Arial"/>
          <w:szCs w:val="24"/>
        </w:rPr>
        <w:sectPr w:rsidR="00A7454C" w:rsidRPr="003E5564" w:rsidSect="00A6102A">
          <w:pgSz w:w="11900" w:h="16841"/>
          <w:pgMar w:top="993" w:right="1086" w:bottom="407" w:left="1420" w:header="0" w:footer="0" w:gutter="0"/>
          <w:cols w:space="720"/>
        </w:sectPr>
      </w:pPr>
    </w:p>
    <w:p w14:paraId="560C502E" w14:textId="77777777" w:rsidR="00A7454C" w:rsidRPr="003E5564" w:rsidRDefault="00A7454C" w:rsidP="006C3DF5">
      <w:pPr>
        <w:numPr>
          <w:ilvl w:val="0"/>
          <w:numId w:val="210"/>
        </w:numPr>
        <w:tabs>
          <w:tab w:val="left" w:pos="1420"/>
        </w:tabs>
        <w:ind w:left="1420" w:hanging="341"/>
        <w:rPr>
          <w:rFonts w:eastAsia="Courier New" w:cs="Arial"/>
          <w:szCs w:val="24"/>
        </w:rPr>
      </w:pPr>
      <w:r w:rsidRPr="003E5564">
        <w:rPr>
          <w:rFonts w:eastAsia="Arial" w:cs="Arial"/>
          <w:szCs w:val="24"/>
        </w:rPr>
        <w:t>it is reasonable in all the circumstances to sub-contract clinical matters; and</w:t>
      </w:r>
    </w:p>
    <w:p w14:paraId="316CE508" w14:textId="77777777" w:rsidR="00A7454C" w:rsidRPr="003E5564" w:rsidRDefault="00A7454C" w:rsidP="007309BD">
      <w:pPr>
        <w:spacing w:line="127" w:lineRule="exact"/>
        <w:rPr>
          <w:rFonts w:eastAsiaTheme="minorEastAsia" w:cs="Arial"/>
          <w:szCs w:val="24"/>
        </w:rPr>
      </w:pPr>
    </w:p>
    <w:p w14:paraId="399B2219" w14:textId="77777777" w:rsidR="00A7454C" w:rsidRPr="003E5564" w:rsidRDefault="00A7454C" w:rsidP="006C3DF5">
      <w:pPr>
        <w:numPr>
          <w:ilvl w:val="1"/>
          <w:numId w:val="211"/>
        </w:numPr>
        <w:tabs>
          <w:tab w:val="left" w:pos="1418"/>
        </w:tabs>
        <w:spacing w:line="225" w:lineRule="auto"/>
        <w:ind w:left="1440" w:hanging="361"/>
        <w:rPr>
          <w:rFonts w:eastAsia="Courier New" w:cs="Arial"/>
          <w:szCs w:val="24"/>
        </w:rPr>
      </w:pPr>
      <w:r w:rsidRPr="003E5564">
        <w:rPr>
          <w:rFonts w:eastAsia="Arial" w:cs="Arial"/>
          <w:szCs w:val="24"/>
        </w:rPr>
        <w:t>the person to whom clinical matters are sub-contracted is qualified and competent to provide the service;</w:t>
      </w:r>
    </w:p>
    <w:p w14:paraId="0F77E9C8" w14:textId="77777777" w:rsidR="00A7454C" w:rsidRPr="003E5564" w:rsidRDefault="00A7454C" w:rsidP="007309BD">
      <w:pPr>
        <w:spacing w:line="137" w:lineRule="exact"/>
        <w:rPr>
          <w:rFonts w:eastAsia="Courier New" w:cs="Arial"/>
          <w:szCs w:val="24"/>
        </w:rPr>
      </w:pPr>
    </w:p>
    <w:p w14:paraId="06506930" w14:textId="77777777" w:rsidR="00A7454C" w:rsidRPr="003E5564" w:rsidRDefault="00A7454C" w:rsidP="000135D2">
      <w:pPr>
        <w:numPr>
          <w:ilvl w:val="0"/>
          <w:numId w:val="211"/>
        </w:numPr>
        <w:tabs>
          <w:tab w:val="left" w:pos="700"/>
        </w:tabs>
        <w:spacing w:line="360" w:lineRule="auto"/>
        <w:ind w:left="700" w:hanging="341"/>
        <w:rPr>
          <w:rFonts w:eastAsia="Arial" w:cs="Arial"/>
          <w:szCs w:val="24"/>
        </w:rPr>
      </w:pPr>
      <w:r w:rsidRPr="003E5564">
        <w:rPr>
          <w:rFonts w:eastAsia="Arial" w:cs="Arial"/>
          <w:szCs w:val="24"/>
        </w:rPr>
        <w:t>the sub-contractor would be able to meet the contractor’s obligations under the contract;</w:t>
      </w:r>
    </w:p>
    <w:p w14:paraId="55E00D82" w14:textId="77777777" w:rsidR="00A7454C" w:rsidRPr="003E5564" w:rsidRDefault="00A7454C" w:rsidP="000135D2">
      <w:pPr>
        <w:spacing w:line="360" w:lineRule="auto"/>
        <w:rPr>
          <w:rFonts w:eastAsia="Arial" w:cs="Arial"/>
          <w:szCs w:val="24"/>
        </w:rPr>
      </w:pPr>
    </w:p>
    <w:p w14:paraId="0F73217A" w14:textId="77777777" w:rsidR="00A7454C" w:rsidRPr="003E5564" w:rsidRDefault="00A7454C" w:rsidP="000135D2">
      <w:pPr>
        <w:numPr>
          <w:ilvl w:val="0"/>
          <w:numId w:val="211"/>
        </w:numPr>
        <w:tabs>
          <w:tab w:val="left" w:pos="708"/>
        </w:tabs>
        <w:spacing w:line="360" w:lineRule="auto"/>
        <w:ind w:left="720" w:right="560" w:hanging="361"/>
        <w:rPr>
          <w:rFonts w:eastAsia="Arial" w:cs="Arial"/>
          <w:szCs w:val="24"/>
        </w:rPr>
      </w:pPr>
      <w:r w:rsidRPr="003E5564">
        <w:rPr>
          <w:rFonts w:eastAsia="Arial" w:cs="Arial"/>
          <w:szCs w:val="24"/>
        </w:rPr>
        <w:t>the sub-contract prohibits the sub-contractor from sub-contracting any of the clinical services that it has agreed with the contractor to provide under the sub-contract.</w:t>
      </w:r>
    </w:p>
    <w:p w14:paraId="4ED7F25A" w14:textId="77777777" w:rsidR="00A7454C" w:rsidRPr="003E5564" w:rsidRDefault="00A7454C" w:rsidP="007309BD">
      <w:pPr>
        <w:spacing w:line="249" w:lineRule="exact"/>
        <w:rPr>
          <w:rFonts w:eastAsiaTheme="minorEastAsia" w:cs="Arial"/>
          <w:szCs w:val="24"/>
        </w:rPr>
      </w:pPr>
    </w:p>
    <w:p w14:paraId="4D7946E7" w14:textId="77777777" w:rsidR="00A7454C" w:rsidRPr="003E5564" w:rsidRDefault="00A7454C" w:rsidP="007309BD">
      <w:pPr>
        <w:pStyle w:val="Heading4"/>
        <w:rPr>
          <w:rFonts w:cs="Arial"/>
          <w:szCs w:val="24"/>
        </w:rPr>
      </w:pPr>
      <w:r w:rsidRPr="003E5564">
        <w:rPr>
          <w:rFonts w:cs="Arial"/>
          <w:szCs w:val="24"/>
        </w:rPr>
        <w:t>The proposed sub-contract will also be unlawful if it involves the sub-contracting of essential services to a company or firm which is or was formed wholly or partly for the purpose of avoiding the restrictions on the sale of goodwill of a medical practice. Seek legal advice if this is a concern.</w:t>
      </w:r>
    </w:p>
    <w:p w14:paraId="1F458626" w14:textId="77777777" w:rsidR="00A7454C" w:rsidRPr="003E5564" w:rsidRDefault="00A7454C" w:rsidP="007309BD">
      <w:pPr>
        <w:pStyle w:val="Heading4"/>
        <w:rPr>
          <w:rFonts w:cs="Arial"/>
          <w:szCs w:val="24"/>
        </w:rPr>
      </w:pPr>
      <w:r w:rsidRPr="003E5564">
        <w:rPr>
          <w:rFonts w:cs="Arial"/>
          <w:szCs w:val="24"/>
        </w:rPr>
        <w:t>Objections on safety or financial grounds</w:t>
      </w:r>
    </w:p>
    <w:p w14:paraId="0A509FEA" w14:textId="77777777" w:rsidR="00A7454C" w:rsidRPr="003E5564" w:rsidRDefault="00A7454C" w:rsidP="007309BD">
      <w:pPr>
        <w:pStyle w:val="Heading4"/>
        <w:rPr>
          <w:rFonts w:cs="Arial"/>
          <w:szCs w:val="24"/>
        </w:rPr>
      </w:pPr>
      <w:r w:rsidRPr="003E5564">
        <w:rPr>
          <w:rFonts w:cs="Arial"/>
          <w:szCs w:val="24"/>
        </w:rPr>
        <w:t>The grounds of objection are that the sub-contract would:</w:t>
      </w:r>
    </w:p>
    <w:p w14:paraId="521386E2" w14:textId="77777777" w:rsidR="00A7454C" w:rsidRPr="003E5564" w:rsidRDefault="00A7454C" w:rsidP="007309BD">
      <w:pPr>
        <w:spacing w:line="136" w:lineRule="exact"/>
        <w:rPr>
          <w:rFonts w:cs="Arial"/>
          <w:szCs w:val="24"/>
        </w:rPr>
      </w:pPr>
    </w:p>
    <w:p w14:paraId="522A72C1" w14:textId="77777777" w:rsidR="00A7454C" w:rsidRPr="003E5564" w:rsidRDefault="00A7454C" w:rsidP="006C3DF5">
      <w:pPr>
        <w:numPr>
          <w:ilvl w:val="0"/>
          <w:numId w:val="212"/>
        </w:numPr>
        <w:tabs>
          <w:tab w:val="left" w:pos="700"/>
        </w:tabs>
        <w:ind w:left="700" w:hanging="341"/>
        <w:rPr>
          <w:rFonts w:eastAsia="Arial" w:cs="Arial"/>
          <w:szCs w:val="24"/>
        </w:rPr>
      </w:pPr>
      <w:r w:rsidRPr="003E5564">
        <w:rPr>
          <w:rFonts w:eastAsia="Arial" w:cs="Arial"/>
          <w:szCs w:val="24"/>
        </w:rPr>
        <w:t>put the safety of the contractor's patients at serious risk; or</w:t>
      </w:r>
    </w:p>
    <w:p w14:paraId="41812A1C" w14:textId="77777777" w:rsidR="00A7454C" w:rsidRPr="003E5564" w:rsidRDefault="00A7454C" w:rsidP="007309BD">
      <w:pPr>
        <w:spacing w:line="135" w:lineRule="exact"/>
        <w:rPr>
          <w:rFonts w:eastAsia="Arial" w:cs="Arial"/>
          <w:szCs w:val="24"/>
        </w:rPr>
      </w:pPr>
    </w:p>
    <w:p w14:paraId="13393F67" w14:textId="77777777" w:rsidR="00A7454C" w:rsidRPr="003E5564" w:rsidRDefault="00A7454C" w:rsidP="006C3DF5">
      <w:pPr>
        <w:numPr>
          <w:ilvl w:val="0"/>
          <w:numId w:val="212"/>
        </w:numPr>
        <w:tabs>
          <w:tab w:val="left" w:pos="700"/>
        </w:tabs>
        <w:ind w:left="700" w:hanging="341"/>
        <w:rPr>
          <w:rFonts w:eastAsia="Arial" w:cs="Arial"/>
          <w:szCs w:val="24"/>
        </w:rPr>
      </w:pPr>
      <w:r w:rsidRPr="003E5564">
        <w:rPr>
          <w:rFonts w:eastAsia="Arial" w:cs="Arial"/>
          <w:szCs w:val="24"/>
        </w:rPr>
        <w:t>put NHS England at risk of material financial loss.</w:t>
      </w:r>
    </w:p>
    <w:p w14:paraId="164213FC" w14:textId="77777777" w:rsidR="00A7454C" w:rsidRPr="003E5564" w:rsidRDefault="00A7454C" w:rsidP="007309BD">
      <w:pPr>
        <w:spacing w:line="251" w:lineRule="exact"/>
        <w:rPr>
          <w:rFonts w:eastAsiaTheme="minorEastAsia" w:cs="Arial"/>
          <w:szCs w:val="24"/>
        </w:rPr>
      </w:pPr>
    </w:p>
    <w:p w14:paraId="6896021E" w14:textId="6FB61753" w:rsidR="00A7454C" w:rsidRPr="003E5564" w:rsidRDefault="00A7454C" w:rsidP="007309BD">
      <w:pPr>
        <w:pStyle w:val="Heading4"/>
        <w:spacing w:line="253" w:lineRule="exact"/>
        <w:rPr>
          <w:rFonts w:cs="Arial"/>
          <w:szCs w:val="24"/>
        </w:rPr>
      </w:pPr>
      <w:r w:rsidRPr="003E5564">
        <w:rPr>
          <w:rFonts w:cs="Arial"/>
          <w:szCs w:val="24"/>
        </w:rPr>
        <w:t>These are the only grounds of objection available.</w:t>
      </w:r>
    </w:p>
    <w:p w14:paraId="61D878E3" w14:textId="2353598D" w:rsidR="00A7454C" w:rsidRPr="003E5564" w:rsidRDefault="00A7454C" w:rsidP="007309BD">
      <w:pPr>
        <w:pStyle w:val="Heading4"/>
        <w:spacing w:line="254" w:lineRule="exact"/>
        <w:rPr>
          <w:rFonts w:cs="Arial"/>
          <w:szCs w:val="24"/>
        </w:rPr>
      </w:pPr>
      <w:r w:rsidRPr="003E5564">
        <w:rPr>
          <w:rFonts w:eastAsia="Arial" w:cs="Arial"/>
          <w:szCs w:val="24"/>
        </w:rPr>
        <w:t>Assurance process</w:t>
      </w:r>
    </w:p>
    <w:p w14:paraId="48A2807E" w14:textId="4A19EDBE" w:rsidR="00A7454C" w:rsidRPr="003E5564" w:rsidRDefault="00A7454C" w:rsidP="007309BD">
      <w:pPr>
        <w:pStyle w:val="Heading4"/>
        <w:rPr>
          <w:rFonts w:cs="Arial"/>
          <w:szCs w:val="24"/>
        </w:rPr>
      </w:pPr>
      <w:r w:rsidRPr="003E5564">
        <w:rPr>
          <w:rFonts w:cs="Arial"/>
          <w:szCs w:val="24"/>
        </w:rPr>
        <w:t>The assurance of the proposed sub-contract is at the discretion of the commissioner.</w:t>
      </w:r>
    </w:p>
    <w:p w14:paraId="2E55473F" w14:textId="77777777" w:rsidR="00A7454C" w:rsidRPr="003E5564" w:rsidRDefault="00A7454C" w:rsidP="007309BD">
      <w:pPr>
        <w:pStyle w:val="Heading4"/>
        <w:rPr>
          <w:rFonts w:cs="Arial"/>
          <w:szCs w:val="24"/>
        </w:rPr>
      </w:pPr>
      <w:r w:rsidRPr="003E5564">
        <w:rPr>
          <w:rFonts w:cs="Arial"/>
          <w:szCs w:val="24"/>
        </w:rPr>
        <w:t>The assurance process should be proportionate and undertaken within the 28 day period to enable objections to be served if necessary.</w:t>
      </w:r>
    </w:p>
    <w:p w14:paraId="10C2B090" w14:textId="77777777" w:rsidR="00A7454C" w:rsidRPr="003E5564" w:rsidRDefault="00A7454C" w:rsidP="007309BD">
      <w:pPr>
        <w:pStyle w:val="Heading4"/>
        <w:rPr>
          <w:rFonts w:cs="Arial"/>
          <w:szCs w:val="24"/>
        </w:rPr>
      </w:pPr>
      <w:r w:rsidRPr="003E5564">
        <w:rPr>
          <w:rFonts w:cs="Arial"/>
          <w:szCs w:val="24"/>
        </w:rPr>
        <w:t>What is proportionate in any particular case will depend upon the circumstances and the commissioner’s assessment of the potential safety, financial and compliance risks associated with the proposal. Proposals that have been identified as novel, contentious or repercussive under Step 3 are likely to require the most detailed level of assurance.</w:t>
      </w:r>
    </w:p>
    <w:p w14:paraId="455C0ADE" w14:textId="77777777" w:rsidR="00A7454C" w:rsidRPr="003E5564" w:rsidRDefault="00A7454C" w:rsidP="007309BD">
      <w:pPr>
        <w:pStyle w:val="Heading4"/>
        <w:rPr>
          <w:rFonts w:cs="Arial"/>
          <w:szCs w:val="24"/>
        </w:rPr>
      </w:pPr>
      <w:r w:rsidRPr="003E5564">
        <w:rPr>
          <w:rFonts w:cs="Arial"/>
          <w:szCs w:val="24"/>
        </w:rPr>
        <w:t xml:space="preserve">Without prejudice to the discretion of commissioners, NHS England has prepared an Assurance Checklist which sets out a series of matters which could be interrogated as part of such an assurance process – see </w:t>
      </w:r>
      <w:r w:rsidRPr="003E5564">
        <w:rPr>
          <w:rFonts w:cs="Arial"/>
          <w:b/>
          <w:bCs/>
          <w:szCs w:val="24"/>
        </w:rPr>
        <w:t>Annex A</w:t>
      </w:r>
      <w:r w:rsidRPr="003E5564">
        <w:rPr>
          <w:rFonts w:cs="Arial"/>
          <w:szCs w:val="24"/>
        </w:rPr>
        <w:t>.</w:t>
      </w:r>
    </w:p>
    <w:p w14:paraId="7719D158" w14:textId="77777777" w:rsidR="00A7454C" w:rsidRPr="003E5564" w:rsidRDefault="00A7454C" w:rsidP="007309BD">
      <w:pPr>
        <w:spacing w:line="253" w:lineRule="exact"/>
        <w:rPr>
          <w:rFonts w:cs="Arial"/>
          <w:szCs w:val="24"/>
        </w:rPr>
      </w:pPr>
    </w:p>
    <w:p w14:paraId="34810FFC" w14:textId="77777777" w:rsidR="00A7454C" w:rsidRPr="003E5564" w:rsidRDefault="00A7454C" w:rsidP="007309BD">
      <w:pPr>
        <w:pStyle w:val="Heading4"/>
        <w:rPr>
          <w:rFonts w:cs="Arial"/>
          <w:szCs w:val="24"/>
        </w:rPr>
      </w:pPr>
      <w:r w:rsidRPr="003E5564">
        <w:rPr>
          <w:rFonts w:cs="Arial"/>
          <w:szCs w:val="24"/>
        </w:rPr>
        <w:t>Additional information</w:t>
      </w:r>
    </w:p>
    <w:p w14:paraId="564F097E" w14:textId="77777777" w:rsidR="00A7454C" w:rsidRPr="003E5564" w:rsidRDefault="00A7454C" w:rsidP="007309BD">
      <w:pPr>
        <w:spacing w:line="262" w:lineRule="exact"/>
        <w:rPr>
          <w:rFonts w:cs="Arial"/>
          <w:szCs w:val="24"/>
        </w:rPr>
      </w:pPr>
    </w:p>
    <w:p w14:paraId="312C0389" w14:textId="77777777" w:rsidR="00A7454C" w:rsidRPr="003E5564" w:rsidRDefault="00A7454C" w:rsidP="007309BD">
      <w:pPr>
        <w:pStyle w:val="Heading4"/>
        <w:rPr>
          <w:rFonts w:cs="Arial"/>
          <w:szCs w:val="24"/>
        </w:rPr>
      </w:pPr>
      <w:r w:rsidRPr="003E5564">
        <w:rPr>
          <w:rFonts w:cs="Arial"/>
          <w:szCs w:val="24"/>
        </w:rPr>
        <w:t>The commissioner may request further information relating to the proposed sub-contract as appears to it to be reasonable and the contractor must supply such information to the commissioner promptly.</w:t>
      </w:r>
    </w:p>
    <w:p w14:paraId="40B212E1" w14:textId="77777777" w:rsidR="00A7454C" w:rsidRPr="003E5564" w:rsidRDefault="00A7454C" w:rsidP="007309BD">
      <w:pPr>
        <w:pStyle w:val="Heading4"/>
        <w:rPr>
          <w:rFonts w:cs="Arial"/>
          <w:szCs w:val="24"/>
        </w:rPr>
      </w:pPr>
      <w:r w:rsidRPr="003E5564">
        <w:rPr>
          <w:rFonts w:cs="Arial"/>
          <w:szCs w:val="24"/>
        </w:rPr>
        <w:t>This is particularly likely to apply where the contractor has not engaged with the commissioner in advance of giving notice of sub-contracting, as the commissioner is unlikely to have all of the information required to undertake an appropriate assurance exercise.</w:t>
      </w:r>
    </w:p>
    <w:p w14:paraId="1620D4BB" w14:textId="77777777" w:rsidR="00A7454C" w:rsidRPr="003E5564" w:rsidRDefault="00A7454C" w:rsidP="007309BD">
      <w:pPr>
        <w:pStyle w:val="Heading4"/>
        <w:rPr>
          <w:rFonts w:cs="Arial"/>
          <w:szCs w:val="24"/>
        </w:rPr>
      </w:pPr>
      <w:r w:rsidRPr="003E5564">
        <w:rPr>
          <w:rFonts w:cs="Arial"/>
          <w:szCs w:val="24"/>
        </w:rPr>
        <w:t xml:space="preserve">The 28 day period is </w:t>
      </w:r>
      <w:r w:rsidRPr="003E5564">
        <w:rPr>
          <w:rFonts w:cs="Arial"/>
          <w:szCs w:val="24"/>
          <w:u w:val="single"/>
        </w:rPr>
        <w:t>not</w:t>
      </w:r>
      <w:r w:rsidRPr="003E5564">
        <w:rPr>
          <w:rFonts w:cs="Arial"/>
          <w:szCs w:val="24"/>
        </w:rPr>
        <w:t xml:space="preserve"> ‘paused’ when requests for information are made, therefore any requests for information should be made promptly to allow sufficient time to receive and scrutinise such information.</w:t>
      </w:r>
    </w:p>
    <w:p w14:paraId="4F6E36DF" w14:textId="77777777" w:rsidR="00A7454C" w:rsidRPr="003E5564" w:rsidRDefault="00A7454C" w:rsidP="007309BD">
      <w:pPr>
        <w:pStyle w:val="Heading4"/>
        <w:rPr>
          <w:rFonts w:cs="Arial"/>
          <w:szCs w:val="24"/>
        </w:rPr>
      </w:pPr>
      <w:r w:rsidRPr="003E5564">
        <w:rPr>
          <w:rFonts w:cs="Arial"/>
          <w:szCs w:val="24"/>
        </w:rPr>
        <w:t>Decision</w:t>
      </w:r>
    </w:p>
    <w:p w14:paraId="636B7D48" w14:textId="77777777" w:rsidR="00A7454C" w:rsidRPr="003E5564" w:rsidRDefault="00A7454C" w:rsidP="007309BD">
      <w:pPr>
        <w:pStyle w:val="Heading4"/>
        <w:rPr>
          <w:rFonts w:cs="Arial"/>
          <w:szCs w:val="24"/>
        </w:rPr>
      </w:pPr>
      <w:r w:rsidRPr="003E5564">
        <w:rPr>
          <w:rFonts w:cs="Arial"/>
          <w:szCs w:val="24"/>
        </w:rPr>
        <w:t>A decision on the above matters must be taken within the 28 day period based upon the information available at that time.</w:t>
      </w:r>
    </w:p>
    <w:p w14:paraId="2760ADFE" w14:textId="29422908" w:rsidR="00A7454C" w:rsidRPr="003E5564" w:rsidRDefault="00A7454C" w:rsidP="007309BD">
      <w:pPr>
        <w:pStyle w:val="Heading4"/>
        <w:rPr>
          <w:rFonts w:cs="Arial"/>
          <w:szCs w:val="24"/>
        </w:rPr>
      </w:pPr>
      <w:r w:rsidRPr="003E5564">
        <w:rPr>
          <w:rFonts w:cs="Arial"/>
          <w:szCs w:val="24"/>
        </w:rPr>
        <w:t xml:space="preserve">The decision should be taken in accordance with relevant decision-making processes and (in the case of a </w:t>
      </w:r>
      <w:r w:rsidR="00B83042">
        <w:rPr>
          <w:rFonts w:cs="Arial"/>
          <w:szCs w:val="24"/>
        </w:rPr>
        <w:t>CCG/ICB</w:t>
      </w:r>
      <w:r w:rsidRPr="003E5564">
        <w:rPr>
          <w:rFonts w:cs="Arial"/>
          <w:szCs w:val="24"/>
        </w:rPr>
        <w:t xml:space="preserve"> commissioning primary medical services under delegated arrangements with NHS England) in accordance with the relevant delegation agreement.</w:t>
      </w:r>
    </w:p>
    <w:p w14:paraId="42FFBE2B" w14:textId="77777777" w:rsidR="00A7454C" w:rsidRPr="003E5564" w:rsidRDefault="00A7454C" w:rsidP="007309BD">
      <w:pPr>
        <w:spacing w:line="255" w:lineRule="exact"/>
        <w:rPr>
          <w:rFonts w:cs="Arial"/>
          <w:szCs w:val="24"/>
        </w:rPr>
      </w:pPr>
    </w:p>
    <w:p w14:paraId="682F49BE" w14:textId="77777777" w:rsidR="00A7454C" w:rsidRPr="003E5564" w:rsidRDefault="00A7454C" w:rsidP="007309BD">
      <w:pPr>
        <w:pStyle w:val="Heading3"/>
        <w:rPr>
          <w:rFonts w:cs="Arial"/>
          <w:b/>
          <w:szCs w:val="24"/>
        </w:rPr>
      </w:pPr>
      <w:r w:rsidRPr="003E5564">
        <w:rPr>
          <w:rFonts w:eastAsia="Arial" w:cs="Arial"/>
          <w:b/>
          <w:szCs w:val="24"/>
        </w:rPr>
        <w:t>Step 5 – implementation</w:t>
      </w:r>
    </w:p>
    <w:p w14:paraId="792CDADB" w14:textId="77777777" w:rsidR="00A7454C" w:rsidRPr="003E5564" w:rsidRDefault="00A7454C" w:rsidP="007309BD">
      <w:pPr>
        <w:spacing w:line="253" w:lineRule="exact"/>
        <w:rPr>
          <w:rFonts w:cs="Arial"/>
          <w:szCs w:val="24"/>
        </w:rPr>
      </w:pPr>
    </w:p>
    <w:p w14:paraId="48D505C9" w14:textId="77777777" w:rsidR="00A7454C" w:rsidRPr="003E5564" w:rsidRDefault="00A7454C" w:rsidP="007309BD">
      <w:pPr>
        <w:pStyle w:val="Heading4"/>
        <w:rPr>
          <w:rFonts w:cs="Arial"/>
          <w:szCs w:val="24"/>
        </w:rPr>
      </w:pPr>
      <w:r w:rsidRPr="003E5564">
        <w:rPr>
          <w:rFonts w:cs="Arial"/>
          <w:szCs w:val="24"/>
        </w:rPr>
        <w:t>No objections</w:t>
      </w:r>
    </w:p>
    <w:p w14:paraId="2F4BBE2C" w14:textId="77777777" w:rsidR="00A7454C" w:rsidRPr="003E5564" w:rsidRDefault="00A7454C" w:rsidP="007309BD">
      <w:pPr>
        <w:spacing w:line="259" w:lineRule="exact"/>
        <w:rPr>
          <w:rFonts w:cs="Arial"/>
          <w:szCs w:val="24"/>
        </w:rPr>
      </w:pPr>
    </w:p>
    <w:p w14:paraId="07CB62C6" w14:textId="77777777" w:rsidR="00A7454C" w:rsidRPr="003E5564" w:rsidRDefault="00A7454C" w:rsidP="007309BD">
      <w:pPr>
        <w:pStyle w:val="Heading4"/>
        <w:rPr>
          <w:rFonts w:cs="Arial"/>
          <w:szCs w:val="24"/>
        </w:rPr>
      </w:pPr>
      <w:r w:rsidRPr="003E5564">
        <w:rPr>
          <w:rFonts w:cs="Arial"/>
          <w:szCs w:val="24"/>
        </w:rPr>
        <w:t>If the commissioner considers that that the proposed sub-contract is permitted under the terms of the contract, and that there are no safety or financial grounds to object, no further formal steps are necessary. The contractor will be permitted to proceed with the sub-contracting once the 28 day has expired.</w:t>
      </w:r>
    </w:p>
    <w:p w14:paraId="2098EFAB" w14:textId="77777777" w:rsidR="00A7454C" w:rsidRPr="003E5564" w:rsidRDefault="00A7454C" w:rsidP="007309BD">
      <w:pPr>
        <w:spacing w:line="264" w:lineRule="exact"/>
        <w:rPr>
          <w:rFonts w:cs="Arial"/>
          <w:szCs w:val="24"/>
        </w:rPr>
      </w:pPr>
    </w:p>
    <w:p w14:paraId="262F2D44" w14:textId="77777777" w:rsidR="00A7454C" w:rsidRPr="003E5564" w:rsidRDefault="00A7454C" w:rsidP="007309BD">
      <w:pPr>
        <w:pStyle w:val="Heading4"/>
        <w:rPr>
          <w:rFonts w:cs="Arial"/>
          <w:szCs w:val="24"/>
        </w:rPr>
      </w:pPr>
      <w:r w:rsidRPr="003E5564">
        <w:rPr>
          <w:rFonts w:cs="Arial"/>
          <w:szCs w:val="24"/>
        </w:rPr>
        <w:t>In these circumstances, the commissioner may indicate to the contractor that it does not presently have any objections, however it is recommended that the commissioner states that this is without prejudice to its rights under the contract, including to object to the sub-contract in future, where appropriate.</w:t>
      </w:r>
    </w:p>
    <w:p w14:paraId="7AE861BE" w14:textId="77777777" w:rsidR="00A7454C" w:rsidRPr="003E5564" w:rsidRDefault="00A7454C" w:rsidP="007309BD">
      <w:pPr>
        <w:spacing w:line="257" w:lineRule="exact"/>
        <w:rPr>
          <w:rFonts w:cs="Arial"/>
          <w:szCs w:val="24"/>
        </w:rPr>
      </w:pPr>
    </w:p>
    <w:p w14:paraId="0CE366CA" w14:textId="50AC43A8" w:rsidR="00A7454C" w:rsidRPr="003E5564" w:rsidRDefault="00A7454C" w:rsidP="007309BD">
      <w:pPr>
        <w:pStyle w:val="Heading4"/>
        <w:spacing w:line="259" w:lineRule="exact"/>
        <w:rPr>
          <w:rFonts w:cs="Arial"/>
          <w:szCs w:val="24"/>
        </w:rPr>
      </w:pPr>
      <w:r w:rsidRPr="003E5564">
        <w:rPr>
          <w:rFonts w:eastAsia="Arial" w:cs="Arial"/>
          <w:szCs w:val="24"/>
        </w:rPr>
        <w:t>Unlawful sub-contracting</w:t>
      </w:r>
    </w:p>
    <w:p w14:paraId="0AEB0032" w14:textId="77777777" w:rsidR="00A7454C" w:rsidRPr="003E5564" w:rsidRDefault="00A7454C" w:rsidP="007309BD">
      <w:pPr>
        <w:pStyle w:val="Heading4"/>
        <w:rPr>
          <w:rFonts w:cs="Arial"/>
          <w:szCs w:val="24"/>
        </w:rPr>
      </w:pPr>
      <w:r w:rsidRPr="003E5564">
        <w:rPr>
          <w:rFonts w:cs="Arial"/>
          <w:szCs w:val="24"/>
        </w:rPr>
        <w:t>If the commissioner considers that the proposed sub-contract is unlawful (i.e. not permitted under the terms of the contract), it should notify the contractor of this in writing.</w:t>
      </w:r>
    </w:p>
    <w:p w14:paraId="00168B58" w14:textId="77777777" w:rsidR="00A7454C" w:rsidRPr="003E5564" w:rsidRDefault="00A7454C" w:rsidP="007309BD">
      <w:pPr>
        <w:pStyle w:val="Heading4"/>
        <w:rPr>
          <w:rFonts w:cs="Arial"/>
          <w:szCs w:val="24"/>
        </w:rPr>
      </w:pPr>
      <w:r w:rsidRPr="003E5564">
        <w:rPr>
          <w:rFonts w:cs="Arial"/>
          <w:szCs w:val="24"/>
        </w:rPr>
        <w:t>If the contractor nonetheless proceeds with the sub-contract, this should be treated as a breach of contract and appropriate contractual action should be taken. What action is appropriate will depend upon the circumstances and legal advice should be obtained if necessary.</w:t>
      </w:r>
    </w:p>
    <w:p w14:paraId="7BEC5BD9" w14:textId="77777777" w:rsidR="00A7454C" w:rsidRPr="003E5564" w:rsidRDefault="00A7454C" w:rsidP="007309BD">
      <w:pPr>
        <w:spacing w:line="256" w:lineRule="exact"/>
        <w:rPr>
          <w:rFonts w:cs="Arial"/>
          <w:szCs w:val="24"/>
        </w:rPr>
      </w:pPr>
    </w:p>
    <w:p w14:paraId="358C8C78" w14:textId="77777777" w:rsidR="00A7454C" w:rsidRPr="003E5564" w:rsidRDefault="00A7454C" w:rsidP="007309BD">
      <w:pPr>
        <w:pStyle w:val="Heading4"/>
        <w:rPr>
          <w:rFonts w:cs="Arial"/>
          <w:szCs w:val="24"/>
        </w:rPr>
      </w:pPr>
      <w:r w:rsidRPr="003E5564">
        <w:rPr>
          <w:rFonts w:cs="Arial"/>
          <w:szCs w:val="24"/>
        </w:rPr>
        <w:t>Objection on safety or financial grounds</w:t>
      </w:r>
    </w:p>
    <w:p w14:paraId="4A7F8E30" w14:textId="77777777" w:rsidR="00A7454C" w:rsidRPr="003E5564" w:rsidRDefault="00A7454C" w:rsidP="007309BD">
      <w:pPr>
        <w:pStyle w:val="Heading4"/>
        <w:rPr>
          <w:rFonts w:cs="Arial"/>
          <w:szCs w:val="24"/>
        </w:rPr>
      </w:pPr>
      <w:r w:rsidRPr="003E5564">
        <w:rPr>
          <w:rFonts w:cs="Arial"/>
          <w:szCs w:val="24"/>
        </w:rPr>
        <w:t>Where NHS England is satisfied that there are grounds to object on safety or financial grounds, the commissioner must give notice in writing of its objection to the sub-contract within the 28 day period (‘</w:t>
      </w:r>
      <w:r w:rsidRPr="003E5564">
        <w:rPr>
          <w:rFonts w:cs="Arial"/>
          <w:b/>
          <w:bCs/>
          <w:szCs w:val="24"/>
        </w:rPr>
        <w:t>notice of objection</w:t>
      </w:r>
      <w:r w:rsidRPr="003E5564">
        <w:rPr>
          <w:rFonts w:cs="Arial"/>
          <w:szCs w:val="24"/>
        </w:rPr>
        <w:t>’).</w:t>
      </w:r>
    </w:p>
    <w:p w14:paraId="06AD7617" w14:textId="77777777" w:rsidR="00A7454C" w:rsidRPr="003E5564" w:rsidRDefault="00A7454C" w:rsidP="007309BD">
      <w:pPr>
        <w:pStyle w:val="Heading4"/>
        <w:rPr>
          <w:rFonts w:cs="Arial"/>
          <w:szCs w:val="24"/>
        </w:rPr>
      </w:pPr>
      <w:r w:rsidRPr="003E5564">
        <w:rPr>
          <w:rFonts w:cs="Arial"/>
          <w:szCs w:val="24"/>
        </w:rPr>
        <w:t>The notice must specify the specific grounds relied upon (see Step 4) and include a statement of reasons for NHS England’s objections.</w:t>
      </w:r>
    </w:p>
    <w:p w14:paraId="2DD21450" w14:textId="77777777" w:rsidR="00A7454C" w:rsidRPr="003E5564" w:rsidRDefault="00A7454C" w:rsidP="007309BD">
      <w:pPr>
        <w:pStyle w:val="Heading4"/>
        <w:rPr>
          <w:rFonts w:cs="Arial"/>
          <w:szCs w:val="24"/>
        </w:rPr>
      </w:pPr>
      <w:r w:rsidRPr="003E5564">
        <w:rPr>
          <w:rFonts w:cs="Arial"/>
          <w:szCs w:val="24"/>
        </w:rPr>
        <w:t>Where a valid notice of objection has been served on the contractor within the 28 day period, the contractor must not proceed with the sub-contract. If the contractor disagrees with the notice of objection, it must follow usual dispute resolution procedures.</w:t>
      </w:r>
    </w:p>
    <w:p w14:paraId="02C270E0" w14:textId="4BBBD1BE" w:rsidR="007F74CD" w:rsidRDefault="00A7454C" w:rsidP="007309BD">
      <w:pPr>
        <w:pStyle w:val="Heading4"/>
        <w:rPr>
          <w:rFonts w:cs="Arial"/>
          <w:szCs w:val="24"/>
        </w:rPr>
      </w:pPr>
      <w:r w:rsidRPr="003E5564">
        <w:rPr>
          <w:rFonts w:cs="Arial"/>
          <w:szCs w:val="24"/>
        </w:rPr>
        <w:t>If the contractor nonetheless proceeds with the sub-contract, this should be treated as a breach of contract and appropriate contractual action should be taken. What action is appropriate will depend upon the circumstances and legal advice should be obtained if necessary.</w:t>
      </w:r>
    </w:p>
    <w:p w14:paraId="7F6A32F9" w14:textId="28326934" w:rsidR="000135D2" w:rsidRDefault="000135D2" w:rsidP="000135D2">
      <w:pPr>
        <w:rPr>
          <w:lang w:eastAsia="en-GB"/>
        </w:rPr>
      </w:pPr>
    </w:p>
    <w:p w14:paraId="30FAB55A" w14:textId="1D0BFFC9" w:rsidR="000135D2" w:rsidRDefault="000135D2" w:rsidP="000135D2">
      <w:pPr>
        <w:rPr>
          <w:lang w:eastAsia="en-GB"/>
        </w:rPr>
      </w:pPr>
    </w:p>
    <w:p w14:paraId="70607D6F" w14:textId="40B90D1A" w:rsidR="000135D2" w:rsidRDefault="000135D2" w:rsidP="000135D2">
      <w:pPr>
        <w:rPr>
          <w:lang w:eastAsia="en-GB"/>
        </w:rPr>
      </w:pPr>
    </w:p>
    <w:p w14:paraId="16386900" w14:textId="0D20F494" w:rsidR="000135D2" w:rsidRDefault="000135D2" w:rsidP="000135D2">
      <w:pPr>
        <w:rPr>
          <w:lang w:eastAsia="en-GB"/>
        </w:rPr>
      </w:pPr>
    </w:p>
    <w:p w14:paraId="4453817F" w14:textId="529BB3A9" w:rsidR="000135D2" w:rsidRDefault="000135D2" w:rsidP="000135D2">
      <w:pPr>
        <w:rPr>
          <w:lang w:eastAsia="en-GB"/>
        </w:rPr>
      </w:pPr>
    </w:p>
    <w:p w14:paraId="3A484205" w14:textId="01199BAD" w:rsidR="000135D2" w:rsidRDefault="000135D2" w:rsidP="000135D2">
      <w:pPr>
        <w:rPr>
          <w:lang w:eastAsia="en-GB"/>
        </w:rPr>
      </w:pPr>
    </w:p>
    <w:p w14:paraId="4E75F7DD" w14:textId="1EB2C616" w:rsidR="000135D2" w:rsidRDefault="000135D2" w:rsidP="000135D2">
      <w:pPr>
        <w:rPr>
          <w:lang w:eastAsia="en-GB"/>
        </w:rPr>
      </w:pPr>
    </w:p>
    <w:p w14:paraId="4B65EF0B" w14:textId="2090438D" w:rsidR="000135D2" w:rsidRDefault="000135D2" w:rsidP="000135D2">
      <w:pPr>
        <w:rPr>
          <w:lang w:eastAsia="en-GB"/>
        </w:rPr>
      </w:pPr>
    </w:p>
    <w:p w14:paraId="597C47CC" w14:textId="0FDB3335" w:rsidR="000135D2" w:rsidRDefault="000135D2" w:rsidP="000135D2">
      <w:pPr>
        <w:rPr>
          <w:lang w:eastAsia="en-GB"/>
        </w:rPr>
      </w:pPr>
    </w:p>
    <w:p w14:paraId="6748206A" w14:textId="55106A22" w:rsidR="000135D2" w:rsidRDefault="000135D2" w:rsidP="000135D2">
      <w:pPr>
        <w:rPr>
          <w:lang w:eastAsia="en-GB"/>
        </w:rPr>
      </w:pPr>
    </w:p>
    <w:p w14:paraId="71C47C35" w14:textId="77777777" w:rsidR="000135D2" w:rsidRPr="000135D2" w:rsidRDefault="000135D2" w:rsidP="000135D2">
      <w:pPr>
        <w:rPr>
          <w:lang w:eastAsia="en-GB"/>
        </w:rPr>
      </w:pPr>
    </w:p>
    <w:p w14:paraId="0CD87402" w14:textId="77777777" w:rsidR="00A7454C" w:rsidRPr="003E5564" w:rsidRDefault="00A7454C" w:rsidP="007309BD">
      <w:pPr>
        <w:spacing w:line="256" w:lineRule="exact"/>
        <w:rPr>
          <w:rFonts w:cs="Arial"/>
          <w:szCs w:val="24"/>
        </w:rPr>
      </w:pPr>
    </w:p>
    <w:p w14:paraId="66E7271F" w14:textId="77777777" w:rsidR="00A7454C" w:rsidRPr="003E5564" w:rsidRDefault="00A7454C" w:rsidP="007309BD">
      <w:pPr>
        <w:pStyle w:val="Heading3"/>
        <w:rPr>
          <w:rFonts w:cs="Arial"/>
          <w:b/>
          <w:szCs w:val="24"/>
        </w:rPr>
      </w:pPr>
      <w:r w:rsidRPr="003E5564">
        <w:rPr>
          <w:rFonts w:eastAsia="Arial" w:cs="Arial"/>
          <w:b/>
          <w:szCs w:val="24"/>
        </w:rPr>
        <w:t>Step 6 – review</w:t>
      </w:r>
    </w:p>
    <w:p w14:paraId="4CD4CB85" w14:textId="77777777" w:rsidR="00A7454C" w:rsidRPr="003E5564" w:rsidRDefault="00A7454C" w:rsidP="007309BD">
      <w:pPr>
        <w:spacing w:line="262" w:lineRule="exact"/>
        <w:rPr>
          <w:rFonts w:cs="Arial"/>
          <w:szCs w:val="24"/>
        </w:rPr>
      </w:pPr>
    </w:p>
    <w:p w14:paraId="1A907F71" w14:textId="77777777" w:rsidR="00A7454C" w:rsidRPr="003E5564" w:rsidRDefault="00A7454C" w:rsidP="007309BD">
      <w:pPr>
        <w:pStyle w:val="Heading4"/>
        <w:rPr>
          <w:rFonts w:cs="Arial"/>
          <w:szCs w:val="24"/>
        </w:rPr>
      </w:pPr>
      <w:r w:rsidRPr="003E5564">
        <w:rPr>
          <w:rFonts w:cs="Arial"/>
          <w:szCs w:val="24"/>
        </w:rPr>
        <w:t>Where sub-contacting proceeds, commissioners should continue to monitor the arrangements. Where issues arise, appropriate contractual action should be taken. What action is appropriate will depend upon the circumstances and legal advice should be obtained if necessary.</w:t>
      </w:r>
    </w:p>
    <w:p w14:paraId="6A3208C1" w14:textId="7ABBD44C" w:rsidR="00A7454C" w:rsidRPr="003E5564" w:rsidRDefault="00A7454C" w:rsidP="007309BD">
      <w:pPr>
        <w:pStyle w:val="Heading4"/>
        <w:rPr>
          <w:rFonts w:cs="Arial"/>
          <w:szCs w:val="24"/>
        </w:rPr>
      </w:pPr>
      <w:r w:rsidRPr="003E5564">
        <w:rPr>
          <w:rFonts w:cs="Arial"/>
          <w:szCs w:val="24"/>
        </w:rPr>
        <w:t>In some cases a proposed sub-contract may be unlawful or objected to on safety or financial grounds within the 28 day period, but is capable of being permitted following a further period of</w:t>
      </w:r>
      <w:r w:rsidR="00622C13" w:rsidRPr="003E5564">
        <w:rPr>
          <w:rFonts w:cs="Arial"/>
          <w:szCs w:val="24"/>
        </w:rPr>
        <w:t xml:space="preserve"> </w:t>
      </w:r>
      <w:r w:rsidRPr="003E5564">
        <w:rPr>
          <w:rFonts w:cs="Arial"/>
          <w:szCs w:val="24"/>
        </w:rPr>
        <w:t>development and assurance of the proposal. If so, the commissioner may wish to schedule a future review of the decision to assess if any objections can be lifted.</w:t>
      </w:r>
    </w:p>
    <w:p w14:paraId="1C86CF26" w14:textId="77777777" w:rsidR="00A7454C" w:rsidRPr="003E5564" w:rsidRDefault="00A7454C" w:rsidP="007309BD">
      <w:pPr>
        <w:spacing w:line="200" w:lineRule="exact"/>
        <w:rPr>
          <w:rFonts w:cs="Arial"/>
          <w:szCs w:val="24"/>
        </w:rPr>
      </w:pPr>
    </w:p>
    <w:p w14:paraId="7AC5A205" w14:textId="77777777" w:rsidR="00A7454C" w:rsidRPr="003E5564" w:rsidRDefault="00A7454C" w:rsidP="007309BD">
      <w:pPr>
        <w:spacing w:line="200" w:lineRule="exact"/>
        <w:rPr>
          <w:rFonts w:cs="Arial"/>
          <w:szCs w:val="24"/>
        </w:rPr>
      </w:pPr>
    </w:p>
    <w:p w14:paraId="6664D97A" w14:textId="4DB607C7" w:rsidR="00A7454C" w:rsidRPr="003E5564" w:rsidRDefault="00A7454C" w:rsidP="007309BD">
      <w:pPr>
        <w:pStyle w:val="Heading2"/>
        <w:rPr>
          <w:rFonts w:eastAsia="Arial" w:cs="Arial"/>
          <w:sz w:val="24"/>
          <w:szCs w:val="24"/>
        </w:rPr>
      </w:pPr>
      <w:bookmarkStart w:id="1855" w:name="page7"/>
      <w:bookmarkStart w:id="1856" w:name="_Toc95743506"/>
      <w:bookmarkStart w:id="1857" w:name="_Hlk22723701"/>
      <w:bookmarkEnd w:id="1855"/>
      <w:r w:rsidRPr="003E5564">
        <w:rPr>
          <w:rFonts w:eastAsia="Arial" w:cs="Arial"/>
          <w:sz w:val="24"/>
          <w:szCs w:val="24"/>
        </w:rPr>
        <w:t>Annex A – Assurance Checklist</w:t>
      </w:r>
      <w:bookmarkEnd w:id="1856"/>
    </w:p>
    <w:bookmarkEnd w:id="1857"/>
    <w:p w14:paraId="39F85AEA" w14:textId="63CD1546" w:rsidR="00FE19E3" w:rsidRPr="003E5564" w:rsidRDefault="004C07D3" w:rsidP="003E5564">
      <w:pPr>
        <w:ind w:left="1985"/>
        <w:rPr>
          <w:rFonts w:eastAsia="Arial" w:cs="Arial"/>
          <w:b/>
          <w:bCs w:val="0"/>
          <w:szCs w:val="24"/>
        </w:rPr>
      </w:pPr>
      <w:r w:rsidRPr="003E5564">
        <w:rPr>
          <w:rFonts w:eastAsia="Arial" w:cs="Arial"/>
          <w:b/>
          <w:bCs w:val="0"/>
          <w:szCs w:val="24"/>
        </w:rPr>
        <w:fldChar w:fldCharType="begin"/>
      </w:r>
      <w:r w:rsidRPr="003E5564">
        <w:rPr>
          <w:rFonts w:eastAsia="Arial" w:cs="Arial"/>
          <w:b/>
          <w:bCs w:val="0"/>
          <w:szCs w:val="24"/>
        </w:rPr>
        <w:instrText xml:space="preserve"> HYPERLINK "https://www.england.nhs.uk/publication/primary-medical-care-policy-and-guidance-manual-annex-a-sub-contracting-of-clinical-services-under-gms-contracts/" </w:instrText>
      </w:r>
      <w:r w:rsidRPr="003E5564">
        <w:rPr>
          <w:rFonts w:eastAsia="Arial" w:cs="Arial"/>
          <w:b/>
          <w:bCs w:val="0"/>
          <w:szCs w:val="24"/>
        </w:rPr>
        <w:fldChar w:fldCharType="separate"/>
      </w:r>
      <w:r w:rsidRPr="003E5564">
        <w:rPr>
          <w:rStyle w:val="Hyperlink"/>
          <w:rFonts w:eastAsia="Arial" w:cs="Arial"/>
          <w:b/>
          <w:bCs w:val="0"/>
          <w:szCs w:val="24"/>
        </w:rPr>
        <w:t>Assessment Checklist</w:t>
      </w:r>
      <w:r w:rsidRPr="003E5564">
        <w:rPr>
          <w:rFonts w:eastAsia="Arial" w:cs="Arial"/>
          <w:b/>
          <w:bCs w:val="0"/>
          <w:szCs w:val="24"/>
        </w:rPr>
        <w:fldChar w:fldCharType="end"/>
      </w:r>
      <w:r w:rsidRPr="003E5564">
        <w:rPr>
          <w:rFonts w:eastAsia="Arial" w:cs="Arial"/>
          <w:b/>
          <w:bCs w:val="0"/>
          <w:szCs w:val="24"/>
        </w:rPr>
        <w:t xml:space="preserve"> </w:t>
      </w:r>
    </w:p>
    <w:p w14:paraId="0F73428E" w14:textId="77777777" w:rsidR="001135A5" w:rsidRPr="003E5564" w:rsidRDefault="001135A5" w:rsidP="003E5564">
      <w:pPr>
        <w:rPr>
          <w:rFonts w:eastAsia="Arial" w:cs="Arial"/>
          <w:b/>
          <w:bCs w:val="0"/>
          <w:szCs w:val="24"/>
        </w:rPr>
      </w:pPr>
    </w:p>
    <w:p w14:paraId="1CCE4366" w14:textId="166C3122" w:rsidR="00A7454C" w:rsidRPr="003E5564" w:rsidRDefault="00A7454C" w:rsidP="003E5564">
      <w:pPr>
        <w:pStyle w:val="Heading2"/>
        <w:rPr>
          <w:rFonts w:eastAsia="Arial" w:cs="Arial"/>
          <w:sz w:val="24"/>
          <w:szCs w:val="24"/>
        </w:rPr>
      </w:pPr>
      <w:bookmarkStart w:id="1858" w:name="_Toc95743507"/>
      <w:bookmarkStart w:id="1859" w:name="_Hlk53477627"/>
      <w:r w:rsidRPr="003E5564">
        <w:rPr>
          <w:rFonts w:eastAsia="Arial" w:cs="Arial"/>
          <w:sz w:val="24"/>
          <w:szCs w:val="24"/>
        </w:rPr>
        <w:t>Annex B – Mandatory terms regarding sub-contracting</w:t>
      </w:r>
      <w:bookmarkEnd w:id="1858"/>
    </w:p>
    <w:p w14:paraId="4FA5929C" w14:textId="77777777" w:rsidR="00613C58" w:rsidRPr="003E5564" w:rsidRDefault="00613C58" w:rsidP="00E64FF9">
      <w:pPr>
        <w:rPr>
          <w:rFonts w:eastAsia="Arial" w:cs="Arial"/>
          <w:szCs w:val="24"/>
        </w:rPr>
      </w:pPr>
    </w:p>
    <w:p w14:paraId="686044C9" w14:textId="05203C63" w:rsidR="00964707" w:rsidRPr="000A087D" w:rsidRDefault="000B57EE" w:rsidP="003E5564">
      <w:pPr>
        <w:ind w:left="1265" w:firstLine="720"/>
        <w:rPr>
          <w:rFonts w:eastAsia="Arial" w:cs="Arial"/>
          <w:b/>
          <w:bCs w:val="0"/>
          <w:szCs w:val="24"/>
        </w:rPr>
      </w:pPr>
      <w:hyperlink r:id="rId155" w:history="1">
        <w:r w:rsidR="00613C58" w:rsidRPr="003E5564">
          <w:rPr>
            <w:rStyle w:val="Hyperlink"/>
            <w:rFonts w:eastAsia="Arial" w:cs="Arial"/>
            <w:b/>
            <w:bCs w:val="0"/>
            <w:szCs w:val="24"/>
          </w:rPr>
          <w:t>Mandatory terms regarding sub-contracting</w:t>
        </w:r>
      </w:hyperlink>
    </w:p>
    <w:bookmarkEnd w:id="1859"/>
    <w:p w14:paraId="0260175E" w14:textId="3B6D285F" w:rsidR="001135A5" w:rsidRPr="000A087D" w:rsidRDefault="001135A5" w:rsidP="003E5564">
      <w:pPr>
        <w:rPr>
          <w:rFonts w:eastAsia="Arial" w:cs="Arial"/>
          <w:szCs w:val="24"/>
        </w:rPr>
      </w:pPr>
    </w:p>
    <w:p w14:paraId="65B29955" w14:textId="2B9B18BC" w:rsidR="001135A5" w:rsidRPr="000A087D" w:rsidRDefault="001135A5" w:rsidP="003E5564">
      <w:pPr>
        <w:rPr>
          <w:rFonts w:eastAsia="Arial" w:cs="Arial"/>
          <w:szCs w:val="24"/>
        </w:rPr>
      </w:pPr>
    </w:p>
    <w:p w14:paraId="3DC22E9B" w14:textId="5D82B790" w:rsidR="00FE19E3" w:rsidRPr="000A087D" w:rsidRDefault="00FE19E3" w:rsidP="003E5564">
      <w:pPr>
        <w:rPr>
          <w:rFonts w:cs="Arial"/>
          <w:szCs w:val="24"/>
        </w:rPr>
      </w:pPr>
    </w:p>
    <w:p w14:paraId="28F862DE" w14:textId="77777777" w:rsidR="00A874DB" w:rsidRPr="000A087D" w:rsidRDefault="00A874DB" w:rsidP="007309BD">
      <w:pPr>
        <w:rPr>
          <w:rFonts w:cs="Arial"/>
          <w:szCs w:val="24"/>
        </w:rPr>
      </w:pPr>
      <w:r w:rsidRPr="000A087D">
        <w:rPr>
          <w:rFonts w:cs="Arial"/>
          <w:szCs w:val="24"/>
        </w:rPr>
        <w:br w:type="page"/>
      </w:r>
    </w:p>
    <w:p w14:paraId="5BF5ABE6" w14:textId="4DC1CCB6" w:rsidR="00A874DB" w:rsidRPr="009C5D6E" w:rsidRDefault="00A874DB" w:rsidP="007309BD">
      <w:pPr>
        <w:pStyle w:val="Heading2"/>
        <w:rPr>
          <w:rFonts w:eastAsia="Arial" w:cs="Arial"/>
          <w:b w:val="0"/>
        </w:rPr>
      </w:pPr>
      <w:bookmarkStart w:id="1860" w:name="_Toc95743508"/>
      <w:bookmarkStart w:id="1861" w:name="_Hlk33185681"/>
      <w:r w:rsidRPr="009C5D6E">
        <w:rPr>
          <w:rFonts w:eastAsia="Arial" w:cs="Arial"/>
        </w:rPr>
        <w:t xml:space="preserve">GP and NHS provider </w:t>
      </w:r>
      <w:r w:rsidR="00054166" w:rsidRPr="009C5D6E">
        <w:rPr>
          <w:rFonts w:eastAsia="Arial" w:cs="Arial"/>
        </w:rPr>
        <w:t>(</w:t>
      </w:r>
      <w:r w:rsidR="00054166" w:rsidRPr="009C5D6E">
        <w:rPr>
          <w:rFonts w:cs="Arial"/>
        </w:rPr>
        <w:t xml:space="preserve">NHS trusts or FTs) </w:t>
      </w:r>
      <w:r w:rsidRPr="009C5D6E">
        <w:rPr>
          <w:rFonts w:eastAsia="Arial" w:cs="Arial"/>
        </w:rPr>
        <w:t>sub-contracting checklist</w:t>
      </w:r>
      <w:bookmarkEnd w:id="1860"/>
    </w:p>
    <w:bookmarkEnd w:id="1861"/>
    <w:p w14:paraId="3A4034E5" w14:textId="77777777" w:rsidR="003071D7" w:rsidRPr="000A087D" w:rsidRDefault="003071D7" w:rsidP="007309BD">
      <w:pPr>
        <w:pStyle w:val="Heading3"/>
        <w:numPr>
          <w:ilvl w:val="0"/>
          <w:numId w:val="0"/>
        </w:numPr>
        <w:ind w:left="720"/>
        <w:rPr>
          <w:rFonts w:cs="Arial"/>
          <w:szCs w:val="24"/>
        </w:rPr>
      </w:pPr>
    </w:p>
    <w:p w14:paraId="7AD07ACE" w14:textId="7BA60BAE" w:rsidR="00A874DB" w:rsidRPr="000A087D" w:rsidRDefault="00A874DB" w:rsidP="007309BD">
      <w:pPr>
        <w:pStyle w:val="Heading3"/>
        <w:rPr>
          <w:rFonts w:cs="Arial"/>
          <w:szCs w:val="24"/>
        </w:rPr>
      </w:pPr>
      <w:r w:rsidRPr="000A087D">
        <w:rPr>
          <w:rFonts w:cs="Arial"/>
          <w:szCs w:val="24"/>
        </w:rPr>
        <w:t xml:space="preserve">There are </w:t>
      </w:r>
      <w:r w:rsidR="009038A5" w:rsidRPr="000A087D">
        <w:rPr>
          <w:rFonts w:cs="Arial"/>
          <w:szCs w:val="24"/>
        </w:rPr>
        <w:t xml:space="preserve">also </w:t>
      </w:r>
      <w:r w:rsidRPr="000A087D">
        <w:rPr>
          <w:rFonts w:cs="Arial"/>
          <w:szCs w:val="24"/>
        </w:rPr>
        <w:t>various emerging arrangements in which NHS trusts or FTs</w:t>
      </w:r>
      <w:r w:rsidR="003254BF" w:rsidRPr="000A087D">
        <w:rPr>
          <w:rFonts w:cs="Arial"/>
          <w:szCs w:val="24"/>
        </w:rPr>
        <w:t xml:space="preserve"> (or their subsidiary companies)</w:t>
      </w:r>
      <w:r w:rsidRPr="000A087D">
        <w:rPr>
          <w:rFonts w:cs="Arial"/>
          <w:szCs w:val="24"/>
        </w:rPr>
        <w:t xml:space="preserve"> are becoming involved in primary medical services contracts (including GMS contracts)</w:t>
      </w:r>
      <w:r w:rsidR="00442283" w:rsidRPr="000A087D">
        <w:rPr>
          <w:rFonts w:cs="Arial"/>
          <w:szCs w:val="24"/>
        </w:rPr>
        <w:t xml:space="preserve"> through either</w:t>
      </w:r>
      <w:r w:rsidRPr="000A087D">
        <w:rPr>
          <w:rFonts w:cs="Arial"/>
          <w:szCs w:val="24"/>
        </w:rPr>
        <w:t>:</w:t>
      </w:r>
    </w:p>
    <w:p w14:paraId="2B043263" w14:textId="0B2FEBF7" w:rsidR="00A874DB" w:rsidRPr="000A087D" w:rsidRDefault="00A874DB" w:rsidP="006C3DF5">
      <w:pPr>
        <w:pStyle w:val="ListParagraph"/>
        <w:numPr>
          <w:ilvl w:val="0"/>
          <w:numId w:val="214"/>
        </w:numPr>
        <w:spacing w:after="200" w:line="276" w:lineRule="auto"/>
        <w:rPr>
          <w:rFonts w:cs="Arial"/>
          <w:szCs w:val="24"/>
        </w:rPr>
      </w:pPr>
      <w:r w:rsidRPr="000A087D">
        <w:rPr>
          <w:rFonts w:cs="Arial"/>
          <w:szCs w:val="24"/>
        </w:rPr>
        <w:t xml:space="preserve">subcontracting of services </w:t>
      </w:r>
    </w:p>
    <w:p w14:paraId="5B0DDC0D" w14:textId="77777777" w:rsidR="00A874DB" w:rsidRPr="000A087D" w:rsidRDefault="00A874DB" w:rsidP="006C3DF5">
      <w:pPr>
        <w:pStyle w:val="ListParagraph"/>
        <w:numPr>
          <w:ilvl w:val="0"/>
          <w:numId w:val="214"/>
        </w:numPr>
        <w:spacing w:after="200" w:line="276" w:lineRule="auto"/>
        <w:rPr>
          <w:rFonts w:cs="Arial"/>
          <w:szCs w:val="24"/>
        </w:rPr>
      </w:pPr>
      <w:r w:rsidRPr="000A087D">
        <w:rPr>
          <w:rFonts w:cs="Arial"/>
          <w:szCs w:val="24"/>
        </w:rPr>
        <w:t>contract award (PMS agreements and APMS contracts).</w:t>
      </w:r>
    </w:p>
    <w:p w14:paraId="3DBFC1A1" w14:textId="0F8743DB" w:rsidR="00A874DB" w:rsidRPr="000A087D" w:rsidRDefault="00A874DB" w:rsidP="007309BD">
      <w:pPr>
        <w:pStyle w:val="Heading3"/>
        <w:rPr>
          <w:rFonts w:cs="Arial"/>
          <w:szCs w:val="24"/>
        </w:rPr>
      </w:pPr>
      <w:r w:rsidRPr="000A087D">
        <w:rPr>
          <w:rFonts w:cs="Arial"/>
          <w:szCs w:val="24"/>
        </w:rPr>
        <w:t xml:space="preserve">This </w:t>
      </w:r>
      <w:r w:rsidR="00442283" w:rsidRPr="000A087D">
        <w:rPr>
          <w:rFonts w:cs="Arial"/>
          <w:szCs w:val="24"/>
        </w:rPr>
        <w:t>(sub) section</w:t>
      </w:r>
      <w:r w:rsidRPr="000A087D">
        <w:rPr>
          <w:rFonts w:cs="Arial"/>
          <w:szCs w:val="24"/>
        </w:rPr>
        <w:t xml:space="preserve"> provides an overview of some key and emerging issues </w:t>
      </w:r>
      <w:r w:rsidR="00442283" w:rsidRPr="000A087D">
        <w:rPr>
          <w:rFonts w:cs="Arial"/>
          <w:szCs w:val="24"/>
        </w:rPr>
        <w:t>that</w:t>
      </w:r>
      <w:r w:rsidRPr="000A087D">
        <w:rPr>
          <w:rFonts w:cs="Arial"/>
          <w:szCs w:val="24"/>
        </w:rPr>
        <w:t xml:space="preserve"> commissioners may wish to assure themselves where such arrangements are proposed. </w:t>
      </w:r>
      <w:r w:rsidR="00442283" w:rsidRPr="000A087D">
        <w:rPr>
          <w:rFonts w:cs="Arial"/>
          <w:szCs w:val="24"/>
        </w:rPr>
        <w:t>It is structured into four parts:</w:t>
      </w:r>
    </w:p>
    <w:p w14:paraId="663C0C57" w14:textId="4D5CB4A5" w:rsidR="00A874DB" w:rsidRPr="000A087D" w:rsidRDefault="00A874DB" w:rsidP="006C3DF5">
      <w:pPr>
        <w:pStyle w:val="Heading3"/>
        <w:numPr>
          <w:ilvl w:val="0"/>
          <w:numId w:val="225"/>
        </w:numPr>
        <w:rPr>
          <w:rFonts w:cs="Arial"/>
          <w:bCs w:val="0"/>
          <w:szCs w:val="24"/>
        </w:rPr>
      </w:pPr>
      <w:r w:rsidRPr="000A087D">
        <w:rPr>
          <w:rFonts w:cs="Arial"/>
          <w:szCs w:val="24"/>
        </w:rPr>
        <w:t>Part A – issues that the NHS England</w:t>
      </w:r>
      <w:r w:rsidR="00442283" w:rsidRPr="000A087D">
        <w:rPr>
          <w:rFonts w:cs="Arial"/>
          <w:szCs w:val="24"/>
        </w:rPr>
        <w:t xml:space="preserve"> and </w:t>
      </w:r>
      <w:r w:rsidRPr="000A087D">
        <w:rPr>
          <w:rFonts w:cs="Arial"/>
          <w:szCs w:val="24"/>
        </w:rPr>
        <w:t>Improvement regional team</w:t>
      </w:r>
      <w:r w:rsidR="00442283" w:rsidRPr="000A087D">
        <w:rPr>
          <w:rFonts w:cs="Arial"/>
          <w:szCs w:val="24"/>
        </w:rPr>
        <w:t>s</w:t>
      </w:r>
      <w:r w:rsidRPr="000A087D">
        <w:rPr>
          <w:rFonts w:cs="Arial"/>
          <w:szCs w:val="24"/>
        </w:rPr>
        <w:t xml:space="preserve"> will need to consider, to ensure that its own statutory responsibilities are upheld</w:t>
      </w:r>
    </w:p>
    <w:p w14:paraId="28B25AB8" w14:textId="5485F4A2" w:rsidR="00A874DB" w:rsidRPr="000A087D" w:rsidRDefault="00A874DB" w:rsidP="006C3DF5">
      <w:pPr>
        <w:pStyle w:val="ListParagraph"/>
        <w:numPr>
          <w:ilvl w:val="0"/>
          <w:numId w:val="215"/>
        </w:numPr>
        <w:spacing w:after="200" w:line="276" w:lineRule="auto"/>
        <w:rPr>
          <w:rFonts w:cs="Arial"/>
          <w:bCs w:val="0"/>
          <w:szCs w:val="24"/>
        </w:rPr>
      </w:pPr>
      <w:r w:rsidRPr="000A087D">
        <w:rPr>
          <w:rFonts w:cs="Arial"/>
          <w:szCs w:val="24"/>
        </w:rPr>
        <w:t xml:space="preserve">Part B – issues that a </w:t>
      </w:r>
      <w:r w:rsidR="00B83042">
        <w:rPr>
          <w:rFonts w:cs="Arial"/>
          <w:szCs w:val="24"/>
        </w:rPr>
        <w:t>CCG/ICB</w:t>
      </w:r>
      <w:r w:rsidRPr="000A087D">
        <w:rPr>
          <w:rFonts w:cs="Arial"/>
          <w:szCs w:val="24"/>
        </w:rPr>
        <w:t xml:space="preserve"> would need to consider to meet its responsibilities</w:t>
      </w:r>
    </w:p>
    <w:p w14:paraId="5D4F1B03" w14:textId="4A8BF6C3" w:rsidR="00A874DB" w:rsidRPr="000A087D" w:rsidRDefault="00A874DB" w:rsidP="006C3DF5">
      <w:pPr>
        <w:pStyle w:val="ListParagraph"/>
        <w:numPr>
          <w:ilvl w:val="0"/>
          <w:numId w:val="215"/>
        </w:numPr>
        <w:spacing w:after="200" w:line="276" w:lineRule="auto"/>
        <w:rPr>
          <w:rFonts w:cs="Arial"/>
          <w:bCs w:val="0"/>
          <w:szCs w:val="24"/>
        </w:rPr>
      </w:pPr>
      <w:r w:rsidRPr="000A087D">
        <w:rPr>
          <w:rFonts w:cs="Arial"/>
          <w:szCs w:val="24"/>
        </w:rPr>
        <w:t>Part C – issues that would need to be considered by the NHS England</w:t>
      </w:r>
      <w:r w:rsidR="00442283" w:rsidRPr="000A087D">
        <w:rPr>
          <w:rFonts w:cs="Arial"/>
          <w:szCs w:val="24"/>
        </w:rPr>
        <w:t xml:space="preserve"> and </w:t>
      </w:r>
      <w:r w:rsidRPr="000A087D">
        <w:rPr>
          <w:rFonts w:cs="Arial"/>
          <w:szCs w:val="24"/>
        </w:rPr>
        <w:t xml:space="preserve">Improvement regional team or the </w:t>
      </w:r>
      <w:r w:rsidR="00B83042">
        <w:rPr>
          <w:rFonts w:cs="Arial"/>
          <w:szCs w:val="24"/>
        </w:rPr>
        <w:t>CCG/ICB</w:t>
      </w:r>
      <w:r w:rsidRPr="000A087D">
        <w:rPr>
          <w:rFonts w:cs="Arial"/>
          <w:szCs w:val="24"/>
        </w:rPr>
        <w:t>, depending on whether primary care commissioning responsibilities are delegated</w:t>
      </w:r>
    </w:p>
    <w:p w14:paraId="3ECC1795" w14:textId="77777777" w:rsidR="00A874DB" w:rsidRPr="000A087D" w:rsidRDefault="00A874DB" w:rsidP="006C3DF5">
      <w:pPr>
        <w:pStyle w:val="ListParagraph"/>
        <w:numPr>
          <w:ilvl w:val="0"/>
          <w:numId w:val="215"/>
        </w:numPr>
        <w:spacing w:after="200" w:line="276" w:lineRule="auto"/>
        <w:rPr>
          <w:rFonts w:cs="Arial"/>
          <w:bCs w:val="0"/>
          <w:szCs w:val="24"/>
        </w:rPr>
      </w:pPr>
      <w:r w:rsidRPr="000A087D">
        <w:rPr>
          <w:rFonts w:cs="Arial"/>
          <w:szCs w:val="24"/>
        </w:rPr>
        <w:t>Part D – issues on which the commissioner may need to seek assurance that the provider has considered.</w:t>
      </w:r>
    </w:p>
    <w:p w14:paraId="36B192A2" w14:textId="0744DA57" w:rsidR="00A874DB" w:rsidRPr="000A087D" w:rsidRDefault="00A874DB" w:rsidP="007309BD">
      <w:pPr>
        <w:pStyle w:val="Heading3"/>
        <w:rPr>
          <w:rFonts w:cs="Arial"/>
          <w:szCs w:val="24"/>
        </w:rPr>
      </w:pPr>
      <w:r w:rsidRPr="000A087D">
        <w:rPr>
          <w:rFonts w:cs="Arial"/>
          <w:szCs w:val="24"/>
        </w:rPr>
        <w:t>Part A: Issues for consideration by the NHS England</w:t>
      </w:r>
      <w:r w:rsidR="00442283" w:rsidRPr="000A087D">
        <w:rPr>
          <w:rFonts w:cs="Arial"/>
          <w:szCs w:val="24"/>
        </w:rPr>
        <w:t xml:space="preserve"> and </w:t>
      </w:r>
      <w:r w:rsidRPr="000A087D">
        <w:rPr>
          <w:rFonts w:cs="Arial"/>
          <w:szCs w:val="24"/>
        </w:rPr>
        <w:t>Improvement regional team</w:t>
      </w:r>
      <w:r w:rsidR="00442283" w:rsidRPr="000A087D">
        <w:rPr>
          <w:rFonts w:cs="Arial"/>
          <w:szCs w:val="24"/>
        </w:rPr>
        <w:t>s:</w:t>
      </w:r>
    </w:p>
    <w:p w14:paraId="03500B31" w14:textId="30CA1991" w:rsidR="00442283" w:rsidRPr="000A087D" w:rsidRDefault="00442283" w:rsidP="007309BD">
      <w:pPr>
        <w:rPr>
          <w:rFonts w:cs="Arial"/>
          <w:szCs w:val="24"/>
        </w:rPr>
      </w:pPr>
    </w:p>
    <w:p w14:paraId="5E4C4EA7" w14:textId="77777777" w:rsidR="00442283" w:rsidRPr="000A087D" w:rsidRDefault="00442283" w:rsidP="007309BD">
      <w:pPr>
        <w:rPr>
          <w:rFonts w:cs="Arial"/>
          <w:i/>
          <w:szCs w:val="24"/>
        </w:rPr>
      </w:pPr>
      <w:r w:rsidRPr="000A087D">
        <w:rPr>
          <w:rFonts w:cs="Arial"/>
          <w:i/>
          <w:szCs w:val="24"/>
        </w:rPr>
        <w:t>Issue: Responsible officers (RO)</w:t>
      </w:r>
    </w:p>
    <w:p w14:paraId="307243B2" w14:textId="77777777" w:rsidR="00442283" w:rsidRPr="000A087D" w:rsidRDefault="00442283" w:rsidP="007309BD">
      <w:pPr>
        <w:rPr>
          <w:rFonts w:cs="Arial"/>
          <w:szCs w:val="24"/>
        </w:rPr>
      </w:pPr>
    </w:p>
    <w:p w14:paraId="2A9BD424" w14:textId="77777777" w:rsidR="00442283" w:rsidRPr="000A087D" w:rsidRDefault="00442283" w:rsidP="00B81AC5">
      <w:pPr>
        <w:spacing w:line="360" w:lineRule="auto"/>
        <w:rPr>
          <w:rFonts w:cs="Arial"/>
          <w:szCs w:val="24"/>
        </w:rPr>
      </w:pPr>
      <w:r w:rsidRPr="000A087D">
        <w:rPr>
          <w:rFonts w:cs="Arial"/>
          <w:szCs w:val="24"/>
        </w:rPr>
        <w:t xml:space="preserve">The Medical Profession (Responsible Officers) Regulations 2010 establish the role of the ‘Responsible Officer’. Organisations with a responsibility to appoint a responsible officer include NHS England (for example, for an individual on the Performers List) and organisations ‘designated’ under the regulations. </w:t>
      </w:r>
    </w:p>
    <w:p w14:paraId="37261FB4" w14:textId="77777777" w:rsidR="00442283" w:rsidRPr="000A087D" w:rsidRDefault="00442283" w:rsidP="00B81AC5">
      <w:pPr>
        <w:spacing w:line="360" w:lineRule="auto"/>
        <w:rPr>
          <w:rFonts w:cs="Arial"/>
          <w:szCs w:val="24"/>
        </w:rPr>
      </w:pPr>
    </w:p>
    <w:p w14:paraId="4C9AFFD3" w14:textId="7712F7B0" w:rsidR="00442283" w:rsidRPr="000A087D" w:rsidRDefault="00442283" w:rsidP="00B81AC5">
      <w:pPr>
        <w:spacing w:line="360" w:lineRule="auto"/>
        <w:rPr>
          <w:rFonts w:cs="Arial"/>
          <w:szCs w:val="24"/>
        </w:rPr>
      </w:pPr>
      <w:r w:rsidRPr="000A087D">
        <w:rPr>
          <w:rFonts w:cs="Arial"/>
          <w:szCs w:val="24"/>
        </w:rPr>
        <w:t xml:space="preserve">Those who wish to perform primary medical services on behalf of the NHS must generally be included in the national performers list (except in certain specified circumstances), and NHS England has </w:t>
      </w:r>
      <w:r w:rsidR="000D067B" w:rsidRPr="000A087D">
        <w:rPr>
          <w:rFonts w:cs="Arial"/>
          <w:szCs w:val="24"/>
        </w:rPr>
        <w:t xml:space="preserve">a </w:t>
      </w:r>
      <w:r w:rsidRPr="000A087D">
        <w:rPr>
          <w:rFonts w:cs="Arial"/>
          <w:szCs w:val="24"/>
        </w:rPr>
        <w:t xml:space="preserve">responsibility to provide a Responsible Officer for those on the Performer’s List – this includes in instances where that person(s) on the performers list are employed by another organisation (such as a NHS trust or FT) – this is likely to encapsulate the types of arrangements described given that they are performed under a GMS (sub)contract.  </w:t>
      </w:r>
    </w:p>
    <w:p w14:paraId="71552DC5" w14:textId="77777777" w:rsidR="00442283" w:rsidRPr="000A087D" w:rsidRDefault="00442283" w:rsidP="00B81AC5">
      <w:pPr>
        <w:spacing w:line="360" w:lineRule="auto"/>
        <w:rPr>
          <w:rFonts w:cs="Arial"/>
          <w:szCs w:val="24"/>
        </w:rPr>
      </w:pPr>
    </w:p>
    <w:p w14:paraId="6BC9E2E3" w14:textId="77777777" w:rsidR="00442283" w:rsidRPr="000A087D" w:rsidRDefault="00442283" w:rsidP="00B81AC5">
      <w:pPr>
        <w:spacing w:line="360" w:lineRule="auto"/>
        <w:rPr>
          <w:rFonts w:cs="Arial"/>
          <w:szCs w:val="24"/>
        </w:rPr>
      </w:pPr>
      <w:r w:rsidRPr="000A087D">
        <w:rPr>
          <w:rFonts w:cs="Arial"/>
          <w:szCs w:val="24"/>
        </w:rPr>
        <w:t>There may be circumstances in which it is appropriate for the NHS trust/FT to provide a RO for someone providing primary medical services – for example, if they have employed an overseas GP who is not required to be on the performers list.</w:t>
      </w:r>
    </w:p>
    <w:p w14:paraId="3B121647" w14:textId="77777777" w:rsidR="00442283" w:rsidRPr="000A087D" w:rsidRDefault="00442283" w:rsidP="007309BD">
      <w:pPr>
        <w:rPr>
          <w:rFonts w:cs="Arial"/>
          <w:szCs w:val="24"/>
        </w:rPr>
      </w:pPr>
    </w:p>
    <w:p w14:paraId="3FED665A" w14:textId="77777777" w:rsidR="00442283" w:rsidRPr="000A087D" w:rsidRDefault="00442283" w:rsidP="00B81AC5">
      <w:pPr>
        <w:spacing w:line="360" w:lineRule="auto"/>
        <w:rPr>
          <w:rFonts w:cs="Arial"/>
          <w:i/>
          <w:szCs w:val="24"/>
        </w:rPr>
      </w:pPr>
      <w:r w:rsidRPr="000A087D">
        <w:rPr>
          <w:rFonts w:cs="Arial"/>
          <w:i/>
          <w:szCs w:val="24"/>
        </w:rPr>
        <w:t xml:space="preserve">Considerations </w:t>
      </w:r>
    </w:p>
    <w:p w14:paraId="117C6C41" w14:textId="77777777" w:rsidR="00442283" w:rsidRPr="000A087D" w:rsidRDefault="00442283" w:rsidP="00B81AC5">
      <w:pPr>
        <w:spacing w:line="360" w:lineRule="auto"/>
        <w:rPr>
          <w:rFonts w:cs="Arial"/>
          <w:szCs w:val="24"/>
        </w:rPr>
      </w:pPr>
    </w:p>
    <w:p w14:paraId="6D51C01E" w14:textId="77777777" w:rsidR="00442283" w:rsidRPr="000A087D" w:rsidRDefault="00442283" w:rsidP="00B81AC5">
      <w:pPr>
        <w:spacing w:line="360" w:lineRule="auto"/>
        <w:rPr>
          <w:rFonts w:cs="Arial"/>
          <w:szCs w:val="24"/>
        </w:rPr>
      </w:pPr>
      <w:r w:rsidRPr="000A087D">
        <w:rPr>
          <w:rFonts w:cs="Arial"/>
          <w:szCs w:val="24"/>
        </w:rPr>
        <w:t>There may be a risk of either:</w:t>
      </w:r>
    </w:p>
    <w:p w14:paraId="74443C2D" w14:textId="3FB4ABA9" w:rsidR="00442283" w:rsidRPr="000A087D" w:rsidRDefault="00442283" w:rsidP="00B81AC5">
      <w:pPr>
        <w:pStyle w:val="ListParagraph"/>
        <w:numPr>
          <w:ilvl w:val="0"/>
          <w:numId w:val="226"/>
        </w:numPr>
        <w:spacing w:line="360" w:lineRule="auto"/>
        <w:rPr>
          <w:rFonts w:cs="Arial"/>
          <w:szCs w:val="24"/>
        </w:rPr>
      </w:pPr>
      <w:r w:rsidRPr="000A087D">
        <w:rPr>
          <w:rFonts w:cs="Arial"/>
          <w:szCs w:val="24"/>
        </w:rPr>
        <w:t>potential duplication between NHSE and providers – ie that both may provide a RO inappropriately; or</w:t>
      </w:r>
    </w:p>
    <w:p w14:paraId="78C57F28" w14:textId="09A622D1" w:rsidR="00442283" w:rsidRPr="000A087D" w:rsidRDefault="00442283" w:rsidP="00B81AC5">
      <w:pPr>
        <w:pStyle w:val="ListParagraph"/>
        <w:numPr>
          <w:ilvl w:val="0"/>
          <w:numId w:val="226"/>
        </w:numPr>
        <w:spacing w:line="360" w:lineRule="auto"/>
        <w:rPr>
          <w:rFonts w:cs="Arial"/>
          <w:szCs w:val="24"/>
        </w:rPr>
      </w:pPr>
      <w:r w:rsidRPr="000A087D">
        <w:rPr>
          <w:rFonts w:cs="Arial"/>
          <w:szCs w:val="24"/>
        </w:rPr>
        <w:t>that both the provider and NHSE may assume that the other party is providing the role.</w:t>
      </w:r>
    </w:p>
    <w:p w14:paraId="4BAC28A0" w14:textId="77777777" w:rsidR="00442283" w:rsidRPr="000A087D" w:rsidRDefault="00442283" w:rsidP="00B81AC5">
      <w:pPr>
        <w:spacing w:line="360" w:lineRule="auto"/>
        <w:rPr>
          <w:rFonts w:cs="Arial"/>
          <w:szCs w:val="24"/>
        </w:rPr>
      </w:pPr>
    </w:p>
    <w:p w14:paraId="269F6F26" w14:textId="77777777" w:rsidR="00442283" w:rsidRPr="000A087D" w:rsidRDefault="00442283" w:rsidP="00B81AC5">
      <w:pPr>
        <w:spacing w:line="360" w:lineRule="auto"/>
        <w:rPr>
          <w:rFonts w:cs="Arial"/>
          <w:i/>
          <w:szCs w:val="24"/>
        </w:rPr>
      </w:pPr>
      <w:r w:rsidRPr="000A087D">
        <w:rPr>
          <w:rFonts w:cs="Arial"/>
          <w:i/>
          <w:szCs w:val="24"/>
        </w:rPr>
        <w:t>Action required</w:t>
      </w:r>
    </w:p>
    <w:p w14:paraId="4D77C34B" w14:textId="77777777" w:rsidR="00442283" w:rsidRPr="000A087D" w:rsidRDefault="00442283" w:rsidP="00B81AC5">
      <w:pPr>
        <w:spacing w:line="360" w:lineRule="auto"/>
        <w:rPr>
          <w:rFonts w:cs="Arial"/>
          <w:szCs w:val="24"/>
        </w:rPr>
      </w:pPr>
    </w:p>
    <w:p w14:paraId="54439414" w14:textId="74A9D39C" w:rsidR="00442283" w:rsidRPr="000A087D" w:rsidRDefault="00442283" w:rsidP="00B81AC5">
      <w:pPr>
        <w:spacing w:line="360" w:lineRule="auto"/>
        <w:rPr>
          <w:rFonts w:cs="Arial"/>
          <w:szCs w:val="24"/>
        </w:rPr>
      </w:pPr>
      <w:r w:rsidRPr="000A087D">
        <w:rPr>
          <w:rFonts w:cs="Arial"/>
          <w:szCs w:val="24"/>
        </w:rPr>
        <w:t>NHS England should ensure its responsible officer (RO) responsibilities are upheld. In practice, NHS England regional/local teams should confirm which organisation is taking responsibility for appointing a responsible RO and check that each GP employed/operating the subcontract has a RO appointed.</w:t>
      </w:r>
    </w:p>
    <w:p w14:paraId="2A8EA61D" w14:textId="3D876DCB" w:rsidR="00442283" w:rsidRPr="000A087D" w:rsidRDefault="00442283" w:rsidP="007309BD">
      <w:pPr>
        <w:rPr>
          <w:rFonts w:cs="Arial"/>
          <w:szCs w:val="24"/>
        </w:rPr>
      </w:pPr>
    </w:p>
    <w:p w14:paraId="67615080" w14:textId="20BFBC50" w:rsidR="00A874DB" w:rsidRPr="000A087D" w:rsidRDefault="00A874DB" w:rsidP="007309BD">
      <w:pPr>
        <w:pStyle w:val="Heading3"/>
        <w:rPr>
          <w:rFonts w:cs="Arial"/>
          <w:szCs w:val="24"/>
        </w:rPr>
      </w:pPr>
      <w:r w:rsidRPr="000A087D">
        <w:rPr>
          <w:rFonts w:cs="Arial"/>
          <w:szCs w:val="24"/>
        </w:rPr>
        <w:t xml:space="preserve">Part B: Issues for consideration by the </w:t>
      </w:r>
      <w:r w:rsidR="00B83042">
        <w:rPr>
          <w:rFonts w:cs="Arial"/>
          <w:szCs w:val="24"/>
        </w:rPr>
        <w:t>CCG/ICB</w:t>
      </w:r>
    </w:p>
    <w:p w14:paraId="71899B09" w14:textId="470D966A" w:rsidR="00442283" w:rsidRPr="000A087D" w:rsidRDefault="00442283" w:rsidP="007309BD">
      <w:pPr>
        <w:rPr>
          <w:rFonts w:cs="Arial"/>
          <w:szCs w:val="24"/>
        </w:rPr>
      </w:pPr>
    </w:p>
    <w:p w14:paraId="05C93557" w14:textId="77777777" w:rsidR="00442283" w:rsidRPr="000A087D" w:rsidRDefault="00442283" w:rsidP="00B81AC5">
      <w:pPr>
        <w:spacing w:line="360" w:lineRule="auto"/>
        <w:rPr>
          <w:rFonts w:cs="Arial"/>
          <w:i/>
          <w:szCs w:val="24"/>
        </w:rPr>
      </w:pPr>
      <w:r w:rsidRPr="000A087D">
        <w:rPr>
          <w:rFonts w:cs="Arial"/>
          <w:i/>
          <w:szCs w:val="24"/>
        </w:rPr>
        <w:t>Issue: Potential conflicts of interest</w:t>
      </w:r>
    </w:p>
    <w:p w14:paraId="130FEFA0" w14:textId="77777777" w:rsidR="00442283" w:rsidRPr="000A087D" w:rsidRDefault="00442283" w:rsidP="00B81AC5">
      <w:pPr>
        <w:spacing w:line="360" w:lineRule="auto"/>
        <w:rPr>
          <w:rFonts w:cs="Arial"/>
          <w:szCs w:val="24"/>
        </w:rPr>
      </w:pPr>
    </w:p>
    <w:p w14:paraId="65687642" w14:textId="00F8157B" w:rsidR="00442283" w:rsidRPr="000A087D" w:rsidRDefault="005A0411" w:rsidP="00B81AC5">
      <w:pPr>
        <w:spacing w:line="360" w:lineRule="auto"/>
        <w:rPr>
          <w:rFonts w:cs="Arial"/>
          <w:szCs w:val="24"/>
        </w:rPr>
      </w:pPr>
      <w:r>
        <w:rPr>
          <w:rFonts w:cs="Arial"/>
          <w:szCs w:val="24"/>
        </w:rPr>
        <w:t xml:space="preserve">Commissioners </w:t>
      </w:r>
      <w:r w:rsidR="00442283" w:rsidRPr="000A087D">
        <w:rPr>
          <w:rFonts w:cs="Arial"/>
          <w:szCs w:val="24"/>
        </w:rPr>
        <w:t>are expected to manage any conflicts that may arise in relation to membership and decision-making.</w:t>
      </w:r>
    </w:p>
    <w:p w14:paraId="738DB776" w14:textId="77777777" w:rsidR="00442283" w:rsidRPr="000A087D" w:rsidRDefault="00442283" w:rsidP="00B81AC5">
      <w:pPr>
        <w:spacing w:line="360" w:lineRule="auto"/>
        <w:rPr>
          <w:rFonts w:cs="Arial"/>
          <w:szCs w:val="24"/>
        </w:rPr>
      </w:pPr>
    </w:p>
    <w:p w14:paraId="1EC422E1" w14:textId="77777777" w:rsidR="00442283" w:rsidRPr="000A087D" w:rsidRDefault="00442283" w:rsidP="00B81AC5">
      <w:pPr>
        <w:spacing w:line="360" w:lineRule="auto"/>
        <w:rPr>
          <w:rFonts w:cs="Arial"/>
          <w:i/>
          <w:szCs w:val="24"/>
        </w:rPr>
      </w:pPr>
      <w:r w:rsidRPr="000A087D">
        <w:rPr>
          <w:rFonts w:cs="Arial"/>
          <w:i/>
          <w:szCs w:val="24"/>
        </w:rPr>
        <w:t>Considerations</w:t>
      </w:r>
    </w:p>
    <w:p w14:paraId="657AD2B3" w14:textId="77777777" w:rsidR="00442283" w:rsidRPr="000A087D" w:rsidRDefault="00442283" w:rsidP="00B81AC5">
      <w:pPr>
        <w:spacing w:line="360" w:lineRule="auto"/>
        <w:rPr>
          <w:rFonts w:cs="Arial"/>
          <w:szCs w:val="24"/>
        </w:rPr>
      </w:pPr>
    </w:p>
    <w:p w14:paraId="33F20960" w14:textId="71755D59" w:rsidR="00442283" w:rsidRPr="000A087D" w:rsidRDefault="00442283" w:rsidP="00B81AC5">
      <w:pPr>
        <w:spacing w:line="360" w:lineRule="auto"/>
        <w:rPr>
          <w:rFonts w:cs="Arial"/>
          <w:szCs w:val="24"/>
        </w:rPr>
      </w:pPr>
      <w:r w:rsidRPr="000A087D">
        <w:rPr>
          <w:rFonts w:cs="Arial"/>
          <w:szCs w:val="24"/>
        </w:rPr>
        <w:t xml:space="preserve">There is potential that a direct relationship between GPs and trusts/FTs may raise additional conflicts of interest for decision-making. In particular, it is possible that GP practices affiliated with one NHS trust/FT could become dominant within a </w:t>
      </w:r>
      <w:r w:rsidR="004B01B2">
        <w:rPr>
          <w:rFonts w:cs="Arial"/>
          <w:szCs w:val="24"/>
        </w:rPr>
        <w:t>CCG</w:t>
      </w:r>
      <w:r w:rsidRPr="000A087D">
        <w:rPr>
          <w:rFonts w:cs="Arial"/>
          <w:szCs w:val="24"/>
        </w:rPr>
        <w:t xml:space="preserve">’s membership, and then potentially (dependant on its constitution), have an ability to influence other aspects of </w:t>
      </w:r>
      <w:r w:rsidR="004B01B2">
        <w:rPr>
          <w:rFonts w:cs="Arial"/>
          <w:szCs w:val="24"/>
        </w:rPr>
        <w:t>CCG</w:t>
      </w:r>
      <w:r w:rsidRPr="000A087D">
        <w:rPr>
          <w:rFonts w:cs="Arial"/>
          <w:szCs w:val="24"/>
        </w:rPr>
        <w:t xml:space="preserve"> policy which may benefit that trust.</w:t>
      </w:r>
      <w:r w:rsidR="00316B83">
        <w:rPr>
          <w:rFonts w:cs="Arial"/>
          <w:szCs w:val="24"/>
        </w:rPr>
        <w:t xml:space="preserve"> </w:t>
      </w:r>
      <w:r w:rsidR="00316B83" w:rsidRPr="00DF669A">
        <w:rPr>
          <w:rFonts w:cs="Arial"/>
          <w:szCs w:val="24"/>
          <w:highlight w:val="yellow"/>
        </w:rPr>
        <w:t>ICB may also need to consider and manage potential conflicts of interest in its governance and decision making arrangements.</w:t>
      </w:r>
    </w:p>
    <w:p w14:paraId="675E7460" w14:textId="77777777" w:rsidR="00442283" w:rsidRPr="000A087D" w:rsidRDefault="00442283" w:rsidP="007309BD">
      <w:pPr>
        <w:rPr>
          <w:rFonts w:cs="Arial"/>
          <w:szCs w:val="24"/>
        </w:rPr>
      </w:pPr>
    </w:p>
    <w:p w14:paraId="5D8737DA" w14:textId="77777777" w:rsidR="00B81AC5" w:rsidRDefault="00B81AC5" w:rsidP="007309BD">
      <w:pPr>
        <w:rPr>
          <w:rFonts w:cs="Arial"/>
          <w:i/>
          <w:szCs w:val="24"/>
        </w:rPr>
      </w:pPr>
    </w:p>
    <w:p w14:paraId="2DA3722C" w14:textId="40C8418B" w:rsidR="00442283" w:rsidRPr="000A087D" w:rsidRDefault="00442283" w:rsidP="00B81AC5">
      <w:pPr>
        <w:spacing w:line="360" w:lineRule="auto"/>
        <w:rPr>
          <w:rFonts w:cs="Arial"/>
          <w:i/>
          <w:szCs w:val="24"/>
        </w:rPr>
      </w:pPr>
      <w:r w:rsidRPr="000A087D">
        <w:rPr>
          <w:rFonts w:cs="Arial"/>
          <w:i/>
          <w:szCs w:val="24"/>
        </w:rPr>
        <w:t>Action required</w:t>
      </w:r>
    </w:p>
    <w:p w14:paraId="725FE004" w14:textId="77777777" w:rsidR="00442283" w:rsidRPr="000A087D" w:rsidRDefault="00442283" w:rsidP="00B81AC5">
      <w:pPr>
        <w:spacing w:line="360" w:lineRule="auto"/>
        <w:rPr>
          <w:rFonts w:cs="Arial"/>
          <w:szCs w:val="24"/>
        </w:rPr>
      </w:pPr>
    </w:p>
    <w:p w14:paraId="6F503AF2" w14:textId="1AFF1979" w:rsidR="00442283" w:rsidRPr="000A087D" w:rsidRDefault="00442283" w:rsidP="00B81AC5">
      <w:pPr>
        <w:spacing w:line="360" w:lineRule="auto"/>
        <w:rPr>
          <w:rFonts w:cs="Arial"/>
          <w:szCs w:val="24"/>
        </w:rPr>
      </w:pPr>
      <w:r w:rsidRPr="000A087D">
        <w:rPr>
          <w:rFonts w:cs="Arial"/>
          <w:szCs w:val="24"/>
        </w:rPr>
        <w:t>Commimssioners should consider this issue and refer to NHSE’s Managing Conflicts of Interest guidance.</w:t>
      </w:r>
    </w:p>
    <w:p w14:paraId="2908B515" w14:textId="77777777" w:rsidR="00442283" w:rsidRPr="000A087D" w:rsidRDefault="00442283" w:rsidP="00B81AC5">
      <w:pPr>
        <w:spacing w:line="360" w:lineRule="auto"/>
        <w:rPr>
          <w:rFonts w:cs="Arial"/>
          <w:b/>
          <w:szCs w:val="24"/>
        </w:rPr>
      </w:pPr>
    </w:p>
    <w:p w14:paraId="41033638" w14:textId="014B5279" w:rsidR="00442283" w:rsidRPr="000A087D" w:rsidRDefault="00442283" w:rsidP="00B81AC5">
      <w:pPr>
        <w:spacing w:line="360" w:lineRule="auto"/>
        <w:rPr>
          <w:rFonts w:cs="Arial"/>
          <w:szCs w:val="24"/>
        </w:rPr>
      </w:pPr>
      <w:r w:rsidRPr="000A087D">
        <w:rPr>
          <w:rFonts w:cs="Arial"/>
          <w:szCs w:val="24"/>
        </w:rPr>
        <w:t>13.6.5</w:t>
      </w:r>
      <w:r w:rsidRPr="000A087D">
        <w:rPr>
          <w:rFonts w:cs="Arial"/>
          <w:szCs w:val="24"/>
        </w:rPr>
        <w:tab/>
        <w:t>Part C: issues on which the commissioner may need to seek assurance that the provider has considered</w:t>
      </w:r>
    </w:p>
    <w:p w14:paraId="588DA5DB" w14:textId="77777777" w:rsidR="004E4B80" w:rsidRDefault="004E4B80" w:rsidP="00B81AC5">
      <w:pPr>
        <w:spacing w:line="360" w:lineRule="auto"/>
        <w:rPr>
          <w:rFonts w:cs="Arial"/>
          <w:i/>
          <w:szCs w:val="24"/>
        </w:rPr>
      </w:pPr>
    </w:p>
    <w:p w14:paraId="50321A10" w14:textId="45473A20" w:rsidR="00442283" w:rsidRPr="000A087D" w:rsidRDefault="00442283" w:rsidP="00B81AC5">
      <w:pPr>
        <w:spacing w:line="360" w:lineRule="auto"/>
        <w:rPr>
          <w:rFonts w:cs="Arial"/>
          <w:i/>
          <w:szCs w:val="24"/>
        </w:rPr>
      </w:pPr>
      <w:r w:rsidRPr="000A087D">
        <w:rPr>
          <w:rFonts w:cs="Arial"/>
          <w:i/>
          <w:szCs w:val="24"/>
        </w:rPr>
        <w:t xml:space="preserve">Issue: Following due process  </w:t>
      </w:r>
    </w:p>
    <w:p w14:paraId="2D1EB087" w14:textId="77777777" w:rsidR="00442283" w:rsidRPr="000A087D" w:rsidRDefault="00442283" w:rsidP="00B81AC5">
      <w:pPr>
        <w:spacing w:line="360" w:lineRule="auto"/>
        <w:rPr>
          <w:rFonts w:cs="Arial"/>
          <w:szCs w:val="24"/>
        </w:rPr>
      </w:pPr>
    </w:p>
    <w:p w14:paraId="0D670748" w14:textId="4780FA05" w:rsidR="00442283" w:rsidRPr="000A087D" w:rsidRDefault="00442283" w:rsidP="00B81AC5">
      <w:pPr>
        <w:spacing w:line="360" w:lineRule="auto"/>
        <w:rPr>
          <w:rFonts w:cs="Arial"/>
          <w:szCs w:val="24"/>
        </w:rPr>
      </w:pPr>
      <w:r w:rsidRPr="000A087D">
        <w:rPr>
          <w:rFonts w:cs="Arial"/>
          <w:szCs w:val="24"/>
        </w:rPr>
        <w:t xml:space="preserve">There are set rules that govern the nature and circumstances in which primary medical services can be sub-contracted. It is worth noting that those rules differ slightly between GMS, PMS and APMS contractual frameworks. Further guidance on assuring sub-contracting arrangements is covered </w:t>
      </w:r>
      <w:r w:rsidR="00CF425B">
        <w:rPr>
          <w:rFonts w:cs="Arial"/>
          <w:szCs w:val="24"/>
        </w:rPr>
        <w:t>earlier in this chapter.</w:t>
      </w:r>
    </w:p>
    <w:p w14:paraId="448F1FA3" w14:textId="77777777" w:rsidR="00442283" w:rsidRPr="000A087D" w:rsidRDefault="00442283" w:rsidP="00B81AC5">
      <w:pPr>
        <w:spacing w:line="360" w:lineRule="auto"/>
        <w:rPr>
          <w:rFonts w:cs="Arial"/>
          <w:szCs w:val="24"/>
        </w:rPr>
      </w:pPr>
    </w:p>
    <w:p w14:paraId="41BD78D2" w14:textId="0EBD50B7" w:rsidR="00442283" w:rsidRPr="000A087D" w:rsidRDefault="00442283" w:rsidP="00B81AC5">
      <w:pPr>
        <w:spacing w:line="360" w:lineRule="auto"/>
        <w:rPr>
          <w:rFonts w:cs="Arial"/>
          <w:szCs w:val="24"/>
        </w:rPr>
      </w:pPr>
      <w:r w:rsidRPr="000A087D">
        <w:rPr>
          <w:rFonts w:cs="Arial"/>
          <w:szCs w:val="24"/>
        </w:rPr>
        <w:t>Those rules specify that where a GMS contractor wishes to subcontract clinical matters, they must give notice in writing to NHS England of its intention to subcontract as soon as is reasonably practicable before the date on which the proposed subcontract is intended to come into effect (note that there is an exception in relation to sub-contracting out of hours services).</w:t>
      </w:r>
    </w:p>
    <w:p w14:paraId="1CD0EA81" w14:textId="77777777" w:rsidR="00442283" w:rsidRPr="000A087D" w:rsidRDefault="00442283" w:rsidP="00B81AC5">
      <w:pPr>
        <w:spacing w:line="360" w:lineRule="auto"/>
        <w:rPr>
          <w:rFonts w:cs="Arial"/>
          <w:szCs w:val="24"/>
        </w:rPr>
      </w:pPr>
    </w:p>
    <w:p w14:paraId="15C12504" w14:textId="77777777" w:rsidR="00442283" w:rsidRPr="000A087D" w:rsidRDefault="00442283" w:rsidP="00B81AC5">
      <w:pPr>
        <w:spacing w:line="360" w:lineRule="auto"/>
        <w:rPr>
          <w:rFonts w:cs="Arial"/>
          <w:szCs w:val="24"/>
        </w:rPr>
      </w:pPr>
      <w:r w:rsidRPr="000A087D">
        <w:rPr>
          <w:rFonts w:cs="Arial"/>
          <w:szCs w:val="24"/>
        </w:rPr>
        <w:t>The contractor must not proceed with a subcontract or, if the subcontract has already taken effect, the Contractor must take steps to terminate it, where:</w:t>
      </w:r>
    </w:p>
    <w:p w14:paraId="2DB5CF3D" w14:textId="0EF0A8CA" w:rsidR="00442283" w:rsidRPr="000A087D" w:rsidRDefault="003071D7" w:rsidP="00B81AC5">
      <w:pPr>
        <w:numPr>
          <w:ilvl w:val="0"/>
          <w:numId w:val="227"/>
        </w:numPr>
        <w:spacing w:line="360" w:lineRule="auto"/>
        <w:ind w:left="709" w:hanging="283"/>
        <w:contextualSpacing/>
        <w:rPr>
          <w:rFonts w:cs="Arial"/>
          <w:szCs w:val="24"/>
        </w:rPr>
      </w:pPr>
      <w:r w:rsidRPr="000A087D">
        <w:rPr>
          <w:rFonts w:cs="Arial"/>
          <w:szCs w:val="24"/>
        </w:rPr>
        <w:t>NHS England</w:t>
      </w:r>
      <w:r w:rsidR="00442283" w:rsidRPr="000A087D">
        <w:rPr>
          <w:rFonts w:cs="Arial"/>
          <w:szCs w:val="24"/>
        </w:rPr>
        <w:t xml:space="preserve"> gives notice in writing of its objection to the subcontract on the grounds that the sub-contract would:</w:t>
      </w:r>
    </w:p>
    <w:p w14:paraId="32DC2742" w14:textId="77777777" w:rsidR="00442283" w:rsidRPr="000A087D" w:rsidRDefault="00442283" w:rsidP="00B81AC5">
      <w:pPr>
        <w:spacing w:line="360" w:lineRule="auto"/>
        <w:ind w:left="993" w:hanging="284"/>
        <w:rPr>
          <w:rFonts w:cs="Arial"/>
          <w:szCs w:val="24"/>
        </w:rPr>
      </w:pPr>
      <w:r w:rsidRPr="000A087D">
        <w:rPr>
          <w:rFonts w:cs="Arial"/>
          <w:szCs w:val="24"/>
        </w:rPr>
        <w:t>(i) put the safety of patients at serious risk, or</w:t>
      </w:r>
    </w:p>
    <w:p w14:paraId="42DAEF7C" w14:textId="73EBF4FA" w:rsidR="00442283" w:rsidRPr="000A087D" w:rsidRDefault="00442283" w:rsidP="00B81AC5">
      <w:pPr>
        <w:spacing w:line="360" w:lineRule="auto"/>
        <w:ind w:left="993" w:hanging="284"/>
        <w:rPr>
          <w:rFonts w:cs="Arial"/>
          <w:szCs w:val="24"/>
        </w:rPr>
      </w:pPr>
      <w:r w:rsidRPr="000A087D">
        <w:rPr>
          <w:rFonts w:cs="Arial"/>
          <w:szCs w:val="24"/>
        </w:rPr>
        <w:t xml:space="preserve">(ii) put </w:t>
      </w:r>
      <w:r w:rsidR="003071D7" w:rsidRPr="000A087D">
        <w:rPr>
          <w:rFonts w:cs="Arial"/>
          <w:szCs w:val="24"/>
        </w:rPr>
        <w:t>NHS England</w:t>
      </w:r>
      <w:r w:rsidRPr="000A087D">
        <w:rPr>
          <w:rFonts w:cs="Arial"/>
          <w:szCs w:val="24"/>
        </w:rPr>
        <w:t xml:space="preserve"> at risk of material financial loss;</w:t>
      </w:r>
    </w:p>
    <w:p w14:paraId="64224016" w14:textId="32DE1275" w:rsidR="00442283" w:rsidRPr="000A087D" w:rsidRDefault="00442283" w:rsidP="00B81AC5">
      <w:pPr>
        <w:spacing w:line="360" w:lineRule="auto"/>
        <w:ind w:left="709"/>
        <w:rPr>
          <w:rFonts w:cs="Arial"/>
          <w:szCs w:val="24"/>
        </w:rPr>
      </w:pPr>
      <w:r w:rsidRPr="000A087D">
        <w:rPr>
          <w:rFonts w:cs="Arial"/>
          <w:szCs w:val="24"/>
        </w:rPr>
        <w:t xml:space="preserve">and notice is given by the </w:t>
      </w:r>
      <w:r w:rsidR="003071D7" w:rsidRPr="000A087D">
        <w:rPr>
          <w:rFonts w:cs="Arial"/>
          <w:szCs w:val="24"/>
        </w:rPr>
        <w:t>NHS England</w:t>
      </w:r>
      <w:r w:rsidRPr="000A087D">
        <w:rPr>
          <w:rFonts w:cs="Arial"/>
          <w:szCs w:val="24"/>
        </w:rPr>
        <w:t xml:space="preserve"> before the end of the period of 28 days beginning with the date on which the </w:t>
      </w:r>
      <w:r w:rsidR="003071D7" w:rsidRPr="000A087D">
        <w:rPr>
          <w:rFonts w:cs="Arial"/>
          <w:szCs w:val="24"/>
        </w:rPr>
        <w:t>NHS England</w:t>
      </w:r>
      <w:r w:rsidRPr="000A087D">
        <w:rPr>
          <w:rFonts w:cs="Arial"/>
          <w:szCs w:val="24"/>
        </w:rPr>
        <w:t xml:space="preserve"> received a notice from the Contractor, or</w:t>
      </w:r>
    </w:p>
    <w:p w14:paraId="1101763E" w14:textId="77777777" w:rsidR="00442283" w:rsidRPr="000A087D" w:rsidRDefault="00442283" w:rsidP="00B81AC5">
      <w:pPr>
        <w:spacing w:line="360" w:lineRule="auto"/>
        <w:ind w:left="709" w:hanging="283"/>
        <w:rPr>
          <w:rFonts w:cs="Arial"/>
          <w:szCs w:val="24"/>
        </w:rPr>
      </w:pPr>
      <w:r w:rsidRPr="000A087D">
        <w:rPr>
          <w:rFonts w:cs="Arial"/>
          <w:szCs w:val="24"/>
        </w:rPr>
        <w:t>•</w:t>
      </w:r>
      <w:r w:rsidRPr="000A087D">
        <w:rPr>
          <w:rFonts w:cs="Arial"/>
          <w:szCs w:val="24"/>
        </w:rPr>
        <w:tab/>
        <w:t>the subcontractor would be unable to meet the Contractor’s obligations under the Contract.</w:t>
      </w:r>
    </w:p>
    <w:p w14:paraId="0021F1BC" w14:textId="77777777" w:rsidR="00442283" w:rsidRPr="000A087D" w:rsidRDefault="00442283" w:rsidP="00B81AC5">
      <w:pPr>
        <w:spacing w:line="360" w:lineRule="auto"/>
        <w:rPr>
          <w:rFonts w:cs="Arial"/>
          <w:szCs w:val="24"/>
        </w:rPr>
      </w:pPr>
    </w:p>
    <w:p w14:paraId="3143582B" w14:textId="77777777" w:rsidR="00442283" w:rsidRPr="000A087D" w:rsidRDefault="00442283" w:rsidP="00B81AC5">
      <w:pPr>
        <w:spacing w:line="360" w:lineRule="auto"/>
        <w:rPr>
          <w:rFonts w:cs="Arial"/>
          <w:szCs w:val="24"/>
        </w:rPr>
      </w:pPr>
      <w:r w:rsidRPr="000A087D">
        <w:rPr>
          <w:rFonts w:cs="Arial"/>
          <w:szCs w:val="24"/>
        </w:rPr>
        <w:t>A statement of reasons for an objection must be provided and should set out a clear rationale for the decision.</w:t>
      </w:r>
    </w:p>
    <w:p w14:paraId="7F9A3D2A" w14:textId="77777777" w:rsidR="00442283" w:rsidRPr="000A087D" w:rsidRDefault="00442283" w:rsidP="00B81AC5">
      <w:pPr>
        <w:spacing w:line="360" w:lineRule="auto"/>
        <w:rPr>
          <w:rFonts w:cs="Arial"/>
          <w:szCs w:val="24"/>
        </w:rPr>
      </w:pPr>
    </w:p>
    <w:p w14:paraId="5B2970CA" w14:textId="77777777" w:rsidR="00442283" w:rsidRPr="000A087D" w:rsidRDefault="00442283" w:rsidP="00B81AC5">
      <w:pPr>
        <w:spacing w:line="360" w:lineRule="auto"/>
        <w:rPr>
          <w:rFonts w:cs="Arial"/>
          <w:i/>
          <w:szCs w:val="24"/>
        </w:rPr>
      </w:pPr>
      <w:r w:rsidRPr="000A087D">
        <w:rPr>
          <w:rFonts w:cs="Arial"/>
          <w:i/>
          <w:szCs w:val="24"/>
        </w:rPr>
        <w:t>Considerations</w:t>
      </w:r>
    </w:p>
    <w:p w14:paraId="5FD8CB06" w14:textId="77777777" w:rsidR="00442283" w:rsidRPr="000A087D" w:rsidRDefault="00442283" w:rsidP="00B81AC5">
      <w:pPr>
        <w:spacing w:line="360" w:lineRule="auto"/>
        <w:rPr>
          <w:rFonts w:cs="Arial"/>
          <w:szCs w:val="24"/>
        </w:rPr>
      </w:pPr>
    </w:p>
    <w:p w14:paraId="1AF196A0" w14:textId="77777777" w:rsidR="00442283" w:rsidRPr="000A087D" w:rsidRDefault="00442283" w:rsidP="00B81AC5">
      <w:pPr>
        <w:spacing w:line="360" w:lineRule="auto"/>
        <w:rPr>
          <w:rFonts w:cs="Arial"/>
          <w:szCs w:val="24"/>
        </w:rPr>
      </w:pPr>
      <w:r w:rsidRPr="000A087D">
        <w:rPr>
          <w:rFonts w:cs="Arial"/>
          <w:szCs w:val="24"/>
        </w:rPr>
        <w:t xml:space="preserve">Commissioners must ensure that commissioned services continue to be delivered in accordance with the GMS contract.  </w:t>
      </w:r>
    </w:p>
    <w:p w14:paraId="412C2BC0" w14:textId="77777777" w:rsidR="00442283" w:rsidRPr="000A087D" w:rsidRDefault="00442283" w:rsidP="00B81AC5">
      <w:pPr>
        <w:spacing w:line="360" w:lineRule="auto"/>
        <w:rPr>
          <w:rFonts w:cs="Arial"/>
          <w:szCs w:val="24"/>
        </w:rPr>
      </w:pPr>
    </w:p>
    <w:p w14:paraId="5697445C" w14:textId="77777777" w:rsidR="00442283" w:rsidRPr="000A087D" w:rsidRDefault="00442283" w:rsidP="00B81AC5">
      <w:pPr>
        <w:spacing w:line="360" w:lineRule="auto"/>
        <w:rPr>
          <w:rFonts w:cs="Arial"/>
          <w:szCs w:val="24"/>
        </w:rPr>
      </w:pPr>
      <w:r w:rsidRPr="000A087D">
        <w:rPr>
          <w:rFonts w:cs="Arial"/>
          <w:szCs w:val="24"/>
        </w:rPr>
        <w:t xml:space="preserve">In considering any such proposals to subcontract, commissioners will wish to consider whether the GMS contract will continue to be delivered to the nationally agreed terms and requirements. This may include seeking assurance of, for example, matters such as how services will be delivered in accordance with the GMS Contract and quality of care will be ensured. </w:t>
      </w:r>
    </w:p>
    <w:p w14:paraId="04264E93" w14:textId="77777777" w:rsidR="00442283" w:rsidRPr="000A087D" w:rsidRDefault="00442283" w:rsidP="00B81AC5">
      <w:pPr>
        <w:spacing w:line="360" w:lineRule="auto"/>
        <w:rPr>
          <w:rFonts w:cs="Arial"/>
          <w:szCs w:val="24"/>
        </w:rPr>
      </w:pPr>
    </w:p>
    <w:p w14:paraId="4CA10603" w14:textId="77777777" w:rsidR="00442283" w:rsidRPr="000A087D" w:rsidRDefault="00442283" w:rsidP="00B81AC5">
      <w:pPr>
        <w:spacing w:line="360" w:lineRule="auto"/>
        <w:rPr>
          <w:rFonts w:cs="Arial"/>
          <w:i/>
          <w:szCs w:val="24"/>
        </w:rPr>
      </w:pPr>
      <w:r w:rsidRPr="000A087D">
        <w:rPr>
          <w:rFonts w:cs="Arial"/>
          <w:i/>
          <w:szCs w:val="24"/>
        </w:rPr>
        <w:t>Action required</w:t>
      </w:r>
    </w:p>
    <w:p w14:paraId="58708C29" w14:textId="77777777" w:rsidR="00442283" w:rsidRPr="000A087D" w:rsidRDefault="00442283" w:rsidP="00B81AC5">
      <w:pPr>
        <w:spacing w:line="360" w:lineRule="auto"/>
        <w:rPr>
          <w:rFonts w:cs="Arial"/>
          <w:i/>
          <w:szCs w:val="24"/>
        </w:rPr>
      </w:pPr>
    </w:p>
    <w:p w14:paraId="70BDF063" w14:textId="77777777" w:rsidR="00442283" w:rsidRPr="000A087D" w:rsidRDefault="00442283" w:rsidP="00B81AC5">
      <w:pPr>
        <w:spacing w:line="360" w:lineRule="auto"/>
        <w:rPr>
          <w:rFonts w:cs="Arial"/>
          <w:szCs w:val="24"/>
        </w:rPr>
      </w:pPr>
      <w:r w:rsidRPr="000A087D">
        <w:rPr>
          <w:rFonts w:cs="Arial"/>
          <w:szCs w:val="24"/>
        </w:rPr>
        <w:t>Commissioners should consider whether the GMS contract, under sub-contract, will continue to be delivered to the nationally agreed requirements. This may include seeking assurance of, for example, matters such as how services will be delivered in accordance with the GMS Contract and quality of care will be ensured.</w:t>
      </w:r>
    </w:p>
    <w:p w14:paraId="41BBEA98" w14:textId="77777777" w:rsidR="00442283" w:rsidRPr="000A087D" w:rsidRDefault="00442283" w:rsidP="00B81AC5">
      <w:pPr>
        <w:spacing w:line="360" w:lineRule="auto"/>
        <w:rPr>
          <w:rFonts w:cs="Arial"/>
          <w:szCs w:val="24"/>
        </w:rPr>
      </w:pPr>
    </w:p>
    <w:p w14:paraId="6123A0F5" w14:textId="54279A48" w:rsidR="00442283" w:rsidRPr="000A087D" w:rsidRDefault="00442283" w:rsidP="00B81AC5">
      <w:pPr>
        <w:spacing w:line="360" w:lineRule="auto"/>
        <w:rPr>
          <w:rFonts w:cs="Arial"/>
          <w:szCs w:val="24"/>
        </w:rPr>
      </w:pPr>
      <w:r w:rsidRPr="000A087D">
        <w:rPr>
          <w:rFonts w:cs="Arial"/>
          <w:szCs w:val="24"/>
        </w:rPr>
        <w:t xml:space="preserve">Commissioners should also identify whether, because of the particular delivery model, the GMS contract holder – and therefore the person to whom the </w:t>
      </w:r>
      <w:r w:rsidR="00B83042">
        <w:rPr>
          <w:rFonts w:cs="Arial"/>
          <w:szCs w:val="24"/>
        </w:rPr>
        <w:t>CCG/ICB</w:t>
      </w:r>
      <w:r w:rsidRPr="000A087D">
        <w:rPr>
          <w:rFonts w:cs="Arial"/>
          <w:szCs w:val="24"/>
        </w:rPr>
        <w:t xml:space="preserve"> should be escalating performance management concerns – could have a conflict of interest with their responsibilities to the NHS trust/FT. If any conflict is identified, the commissioner should ensure that measures are in place to manage them. </w:t>
      </w:r>
    </w:p>
    <w:p w14:paraId="2EE2CBBE" w14:textId="77777777" w:rsidR="00442283" w:rsidRPr="000A087D" w:rsidRDefault="00442283" w:rsidP="00B81AC5">
      <w:pPr>
        <w:spacing w:line="360" w:lineRule="auto"/>
        <w:rPr>
          <w:rFonts w:cs="Arial"/>
          <w:szCs w:val="24"/>
        </w:rPr>
      </w:pPr>
    </w:p>
    <w:p w14:paraId="4DAF11B6" w14:textId="77777777" w:rsidR="00442283" w:rsidRPr="000A087D" w:rsidRDefault="00442283" w:rsidP="00B81AC5">
      <w:pPr>
        <w:spacing w:line="360" w:lineRule="auto"/>
        <w:rPr>
          <w:rFonts w:cs="Arial"/>
          <w:szCs w:val="24"/>
        </w:rPr>
      </w:pPr>
      <w:r w:rsidRPr="000A087D">
        <w:rPr>
          <w:rFonts w:cs="Arial"/>
          <w:szCs w:val="24"/>
        </w:rPr>
        <w:t>As part of the assurance process, commissioners may wish to seek confirmation from the contractor that they have updated their CQC registration, and to understand the detail of this registration.</w:t>
      </w:r>
    </w:p>
    <w:p w14:paraId="50475D37" w14:textId="77777777" w:rsidR="00442283" w:rsidRPr="000A087D" w:rsidRDefault="00442283" w:rsidP="00B81AC5">
      <w:pPr>
        <w:spacing w:line="360" w:lineRule="auto"/>
        <w:rPr>
          <w:rFonts w:cs="Arial"/>
          <w:szCs w:val="24"/>
        </w:rPr>
      </w:pPr>
    </w:p>
    <w:p w14:paraId="5CCFE89C" w14:textId="79B550E8" w:rsidR="00442283" w:rsidRPr="000A087D" w:rsidRDefault="00442283" w:rsidP="00B81AC5">
      <w:pPr>
        <w:spacing w:line="360" w:lineRule="auto"/>
        <w:rPr>
          <w:rFonts w:cs="Arial"/>
          <w:szCs w:val="24"/>
        </w:rPr>
      </w:pPr>
      <w:r w:rsidRPr="000A087D">
        <w:rPr>
          <w:rFonts w:cs="Arial"/>
          <w:szCs w:val="24"/>
        </w:rPr>
        <w:t>Throughout the duration of any subcontracting arrangements, commissioners should continue to seek assurance about the delivery of the GMS Contract through the lead contractor.</w:t>
      </w:r>
    </w:p>
    <w:p w14:paraId="3BEDD648" w14:textId="0B2AAD4F" w:rsidR="003071D7" w:rsidRPr="000A087D" w:rsidRDefault="003071D7" w:rsidP="00B81AC5">
      <w:pPr>
        <w:spacing w:line="360" w:lineRule="auto"/>
        <w:rPr>
          <w:rFonts w:cs="Arial"/>
          <w:szCs w:val="24"/>
        </w:rPr>
      </w:pPr>
    </w:p>
    <w:p w14:paraId="2CC5A6C8" w14:textId="3905D304" w:rsidR="003071D7" w:rsidRPr="000A087D" w:rsidRDefault="003071D7" w:rsidP="00B81AC5">
      <w:pPr>
        <w:spacing w:line="360" w:lineRule="auto"/>
        <w:rPr>
          <w:rFonts w:cs="Arial"/>
          <w:szCs w:val="24"/>
        </w:rPr>
      </w:pPr>
      <w:r w:rsidRPr="000A087D">
        <w:rPr>
          <w:rFonts w:cs="Arial"/>
          <w:szCs w:val="24"/>
        </w:rPr>
        <w:t>13.6.6</w:t>
      </w:r>
      <w:r w:rsidRPr="000A087D">
        <w:rPr>
          <w:rFonts w:cs="Arial"/>
          <w:szCs w:val="24"/>
        </w:rPr>
        <w:tab/>
        <w:t>Part D: issues on which the commissioner may need to seek assurance that the provider has considered:</w:t>
      </w:r>
    </w:p>
    <w:p w14:paraId="359C1C00" w14:textId="77777777" w:rsidR="003071D7" w:rsidRPr="000A087D" w:rsidRDefault="003071D7" w:rsidP="00B81AC5">
      <w:pPr>
        <w:spacing w:line="360" w:lineRule="auto"/>
        <w:rPr>
          <w:rFonts w:cs="Arial"/>
          <w:szCs w:val="24"/>
        </w:rPr>
      </w:pPr>
    </w:p>
    <w:p w14:paraId="40EB0192" w14:textId="65EF5241" w:rsidR="003071D7" w:rsidRDefault="003071D7" w:rsidP="00B81AC5">
      <w:pPr>
        <w:spacing w:line="360" w:lineRule="auto"/>
        <w:rPr>
          <w:rFonts w:cs="Arial"/>
          <w:szCs w:val="24"/>
        </w:rPr>
      </w:pPr>
      <w:r w:rsidRPr="000A087D">
        <w:rPr>
          <w:rFonts w:cs="Arial"/>
          <w:szCs w:val="24"/>
        </w:rPr>
        <w:t xml:space="preserve">There </w:t>
      </w:r>
      <w:r w:rsidR="00FB4610" w:rsidRPr="000A087D">
        <w:rPr>
          <w:rFonts w:cs="Arial"/>
          <w:szCs w:val="24"/>
        </w:rPr>
        <w:t>is</w:t>
      </w:r>
      <w:r w:rsidRPr="000A087D">
        <w:rPr>
          <w:rFonts w:cs="Arial"/>
          <w:szCs w:val="24"/>
        </w:rPr>
        <w:t xml:space="preserve"> a range of issues </w:t>
      </w:r>
      <w:r w:rsidR="00FB4610" w:rsidRPr="000A087D">
        <w:rPr>
          <w:rFonts w:cs="Arial"/>
          <w:szCs w:val="24"/>
        </w:rPr>
        <w:t>that</w:t>
      </w:r>
      <w:r w:rsidRPr="000A087D">
        <w:rPr>
          <w:rFonts w:cs="Arial"/>
          <w:szCs w:val="24"/>
        </w:rPr>
        <w:t xml:space="preserve"> contractors will need to properly consider and seek appropriate advice. These include but are not limited to:</w:t>
      </w:r>
    </w:p>
    <w:p w14:paraId="2933753C" w14:textId="77777777" w:rsidR="00D878CB" w:rsidRPr="000A087D" w:rsidRDefault="00D878CB" w:rsidP="00B81AC5">
      <w:pPr>
        <w:spacing w:line="360" w:lineRule="auto"/>
        <w:rPr>
          <w:rFonts w:cs="Arial"/>
          <w:szCs w:val="24"/>
        </w:rPr>
      </w:pPr>
    </w:p>
    <w:p w14:paraId="12A80227" w14:textId="0497E05F" w:rsidR="003071D7" w:rsidRPr="000A087D" w:rsidRDefault="003071D7" w:rsidP="00B81AC5">
      <w:pPr>
        <w:pStyle w:val="ListParagraph"/>
        <w:numPr>
          <w:ilvl w:val="0"/>
          <w:numId w:val="227"/>
        </w:numPr>
        <w:spacing w:line="360" w:lineRule="auto"/>
        <w:rPr>
          <w:rFonts w:cs="Arial"/>
          <w:szCs w:val="24"/>
        </w:rPr>
      </w:pPr>
      <w:r w:rsidRPr="000A087D">
        <w:rPr>
          <w:rFonts w:cs="Arial"/>
          <w:szCs w:val="24"/>
        </w:rPr>
        <w:t>indemnity – for example, whether there is appropriate indemnity coverage for flexible use of workforce in the delivery of more integrated services</w:t>
      </w:r>
    </w:p>
    <w:p w14:paraId="526749EA" w14:textId="3DF55539" w:rsidR="003071D7" w:rsidRPr="000A087D" w:rsidRDefault="003071D7" w:rsidP="00B81AC5">
      <w:pPr>
        <w:pStyle w:val="ListParagraph"/>
        <w:numPr>
          <w:ilvl w:val="0"/>
          <w:numId w:val="227"/>
        </w:numPr>
        <w:spacing w:line="360" w:lineRule="auto"/>
        <w:rPr>
          <w:rFonts w:cs="Arial"/>
          <w:szCs w:val="24"/>
        </w:rPr>
      </w:pPr>
      <w:r w:rsidRPr="000A087D">
        <w:rPr>
          <w:rFonts w:cs="Arial"/>
          <w:szCs w:val="24"/>
        </w:rPr>
        <w:t>implications for regulation – for example, to ensure that the provider’s registration with the Care Quality Commission has been appropriately updated where applicable</w:t>
      </w:r>
    </w:p>
    <w:p w14:paraId="7F475383" w14:textId="6281DA2D" w:rsidR="003071D7" w:rsidRPr="000A087D" w:rsidRDefault="003071D7" w:rsidP="00B81AC5">
      <w:pPr>
        <w:pStyle w:val="ListParagraph"/>
        <w:numPr>
          <w:ilvl w:val="0"/>
          <w:numId w:val="227"/>
        </w:numPr>
        <w:spacing w:line="360" w:lineRule="auto"/>
        <w:rPr>
          <w:rFonts w:cs="Arial"/>
          <w:szCs w:val="24"/>
        </w:rPr>
      </w:pPr>
      <w:r w:rsidRPr="000A087D">
        <w:rPr>
          <w:rFonts w:cs="Arial"/>
          <w:szCs w:val="24"/>
        </w:rPr>
        <w:t>pensions – in particular, staff employed by subcontractors are not able to access the NHS Pension Scheme (unless otherwise eligible in their own right e.g. employees of Trust/FT). This is particularly an issue where primary care contracts are subcontracted to subsidiary companies with individuals becoming employed by the subsidiary rather than the Trust / FT directly.</w:t>
      </w:r>
    </w:p>
    <w:p w14:paraId="2F1B9C83" w14:textId="312F6AA1" w:rsidR="00442283" w:rsidRDefault="00442283" w:rsidP="00B81AC5">
      <w:pPr>
        <w:spacing w:line="360" w:lineRule="auto"/>
        <w:rPr>
          <w:sz w:val="20"/>
          <w:szCs w:val="20"/>
        </w:rPr>
      </w:pPr>
    </w:p>
    <w:p w14:paraId="68DCCF62" w14:textId="4F718CA0" w:rsidR="00C90D87" w:rsidRPr="00C90D87" w:rsidRDefault="00071563" w:rsidP="00B81AC5">
      <w:pPr>
        <w:spacing w:line="360" w:lineRule="auto"/>
        <w:rPr>
          <w:rFonts w:cs="Arial"/>
          <w:bCs w:val="0"/>
          <w:color w:val="FF0000"/>
          <w:szCs w:val="24"/>
          <w:lang w:eastAsia="en-GB"/>
        </w:rPr>
      </w:pPr>
      <w:r w:rsidRPr="00C90D87">
        <w:rPr>
          <w:rFonts w:cs="Arial"/>
          <w:bCs w:val="0"/>
          <w:szCs w:val="24"/>
          <w:lang w:eastAsia="en-GB"/>
        </w:rPr>
        <w:t>A</w:t>
      </w:r>
      <w:r w:rsidR="000E6E7C" w:rsidRPr="00C90D87">
        <w:rPr>
          <w:rFonts w:cs="Arial"/>
          <w:bCs w:val="0"/>
          <w:szCs w:val="24"/>
          <w:lang w:eastAsia="en-GB"/>
        </w:rPr>
        <w:t xml:space="preserve"> sub-contractor does not automatically have access to the same digital services and support available to the practice. The practice will need to make a request to the </w:t>
      </w:r>
      <w:r w:rsidR="00B83042" w:rsidRPr="00C90D87">
        <w:rPr>
          <w:rFonts w:cs="Arial"/>
          <w:bCs w:val="0"/>
          <w:szCs w:val="24"/>
          <w:lang w:eastAsia="en-GB"/>
        </w:rPr>
        <w:t>CCG/ICB</w:t>
      </w:r>
      <w:r w:rsidR="000E6E7C" w:rsidRPr="00C90D87">
        <w:rPr>
          <w:rFonts w:cs="Arial"/>
          <w:bCs w:val="0"/>
          <w:szCs w:val="24"/>
          <w:lang w:eastAsia="en-GB"/>
        </w:rPr>
        <w:t xml:space="preserve"> who will follow the guidelines in the </w:t>
      </w:r>
      <w:hyperlink r:id="rId156" w:history="1">
        <w:r w:rsidR="00C90D87" w:rsidRPr="00C90D87">
          <w:rPr>
            <w:rStyle w:val="Hyperlink"/>
            <w:rFonts w:cs="Arial"/>
            <w:bCs w:val="0"/>
            <w:szCs w:val="24"/>
            <w:lang w:eastAsia="en-GB"/>
          </w:rPr>
          <w:t>GP IT Operating Model</w:t>
        </w:r>
      </w:hyperlink>
      <w:r w:rsidR="00C90D87" w:rsidRPr="00C90D87">
        <w:rPr>
          <w:rFonts w:cs="Arial"/>
          <w:bCs w:val="0"/>
          <w:color w:val="FF0000"/>
          <w:szCs w:val="24"/>
          <w:lang w:eastAsia="en-GB"/>
        </w:rPr>
        <w:t>.</w:t>
      </w:r>
    </w:p>
    <w:p w14:paraId="431C2B5A" w14:textId="7A0CC0EF" w:rsidR="000E6E7C" w:rsidRPr="00A41E27" w:rsidRDefault="00CC2AE0" w:rsidP="00B81AC5">
      <w:pPr>
        <w:spacing w:line="360" w:lineRule="auto"/>
        <w:rPr>
          <w:rFonts w:ascii="Times New Roman" w:hAnsi="Times New Roman"/>
          <w:bCs w:val="0"/>
          <w:color w:val="FF0000"/>
          <w:szCs w:val="24"/>
          <w:lang w:eastAsia="en-GB"/>
        </w:rPr>
      </w:pPr>
      <w:r w:rsidRPr="00A41E27" w:rsidDel="00CC2AE0">
        <w:rPr>
          <w:rFonts w:ascii="Times New Roman" w:hAnsi="Times New Roman"/>
          <w:bCs w:val="0"/>
          <w:color w:val="FF0000"/>
          <w:szCs w:val="24"/>
          <w:lang w:eastAsia="en-GB"/>
        </w:rPr>
        <w:t xml:space="preserve"> </w:t>
      </w:r>
    </w:p>
    <w:p w14:paraId="031A6D45" w14:textId="77777777" w:rsidR="000E6E7C" w:rsidRPr="00442283" w:rsidRDefault="000E6E7C" w:rsidP="00442283">
      <w:pPr>
        <w:rPr>
          <w:sz w:val="20"/>
          <w:szCs w:val="20"/>
        </w:rPr>
      </w:pPr>
    </w:p>
    <w:p w14:paraId="7FD04D72" w14:textId="77777777" w:rsidR="00442283" w:rsidRDefault="00442283" w:rsidP="00472858">
      <w:pPr>
        <w:rPr>
          <w:lang w:eastAsia="en-GB"/>
        </w:rPr>
      </w:pPr>
    </w:p>
    <w:p w14:paraId="560B7960" w14:textId="77777777" w:rsidR="00442283" w:rsidRDefault="00442283" w:rsidP="00472858">
      <w:pPr>
        <w:rPr>
          <w:lang w:eastAsia="en-GB"/>
        </w:rPr>
      </w:pPr>
    </w:p>
    <w:bookmarkEnd w:id="1838"/>
    <w:p w14:paraId="1C26152A" w14:textId="3E8648AF" w:rsidR="001135A5" w:rsidRPr="002F2E02" w:rsidRDefault="00FE19E3" w:rsidP="002F2E02">
      <w:r>
        <w:rPr>
          <w:sz w:val="96"/>
          <w:szCs w:val="96"/>
          <w:lang w:eastAsia="en-GB"/>
        </w:rPr>
        <w:br w:type="page"/>
      </w:r>
    </w:p>
    <w:p w14:paraId="25899CB4" w14:textId="77777777" w:rsidR="001135A5" w:rsidRPr="002F2E02" w:rsidRDefault="001135A5" w:rsidP="002F2E02"/>
    <w:p w14:paraId="53E670D5" w14:textId="77777777" w:rsidR="001135A5" w:rsidRPr="002F2E02" w:rsidRDefault="001135A5" w:rsidP="002F2E02"/>
    <w:p w14:paraId="330ED62B" w14:textId="77777777" w:rsidR="001135A5" w:rsidRPr="002F2E02" w:rsidRDefault="001135A5" w:rsidP="002F2E02"/>
    <w:p w14:paraId="0131D933" w14:textId="77777777" w:rsidR="001135A5" w:rsidRPr="002F2E02" w:rsidRDefault="001135A5" w:rsidP="002F2E02"/>
    <w:p w14:paraId="22C61A23" w14:textId="5B3AFE12" w:rsidR="0015247B" w:rsidRPr="00FB5221" w:rsidRDefault="0015247B" w:rsidP="00FB5221">
      <w:pPr>
        <w:pStyle w:val="Heading1"/>
        <w:numPr>
          <w:ilvl w:val="0"/>
          <w:numId w:val="0"/>
        </w:numPr>
        <w:ind w:left="432"/>
        <w:rPr>
          <w:sz w:val="96"/>
          <w:szCs w:val="96"/>
          <w:lang w:eastAsia="en-GB"/>
        </w:rPr>
      </w:pPr>
      <w:bookmarkStart w:id="1862" w:name="_Toc95743509"/>
      <w:r w:rsidRPr="00FB5221">
        <w:rPr>
          <w:sz w:val="96"/>
          <w:szCs w:val="96"/>
          <w:lang w:eastAsia="en-GB"/>
        </w:rPr>
        <w:t>Part C – When things go wrong</w:t>
      </w:r>
      <w:bookmarkEnd w:id="1862"/>
    </w:p>
    <w:p w14:paraId="24E569F6" w14:textId="77777777" w:rsidR="0015247B" w:rsidRDefault="0015247B" w:rsidP="0015247B">
      <w:pPr>
        <w:rPr>
          <w:lang w:eastAsia="en-GB"/>
        </w:rPr>
      </w:pPr>
      <w:r>
        <w:rPr>
          <w:lang w:eastAsia="en-GB"/>
        </w:rPr>
        <w:t> </w:t>
      </w:r>
    </w:p>
    <w:p w14:paraId="101ED385" w14:textId="433D2548" w:rsidR="0015247B" w:rsidRDefault="00FB5221" w:rsidP="003331F2">
      <w:pPr>
        <w:pStyle w:val="Heading1"/>
        <w:numPr>
          <w:ilvl w:val="0"/>
          <w:numId w:val="4"/>
        </w:numPr>
        <w:rPr>
          <w:lang w:eastAsia="en-GB"/>
        </w:rPr>
      </w:pPr>
      <w:r>
        <w:rPr>
          <w:lang w:eastAsia="en-GB"/>
        </w:rPr>
        <w:br w:type="page"/>
      </w:r>
      <w:bookmarkStart w:id="1863" w:name="_Toc95743510"/>
      <w:r w:rsidR="0015247B">
        <w:rPr>
          <w:lang w:eastAsia="en-GB"/>
        </w:rPr>
        <w:t>Contract Breaches</w:t>
      </w:r>
      <w:r w:rsidR="00DD7D4A">
        <w:rPr>
          <w:lang w:eastAsia="en-GB"/>
        </w:rPr>
        <w:t>,</w:t>
      </w:r>
      <w:r w:rsidR="0015247B">
        <w:rPr>
          <w:lang w:eastAsia="en-GB"/>
        </w:rPr>
        <w:t xml:space="preserve"> </w:t>
      </w:r>
      <w:r w:rsidR="00DD7D4A">
        <w:rPr>
          <w:lang w:eastAsia="en-GB"/>
        </w:rPr>
        <w:t xml:space="preserve">Sanctions </w:t>
      </w:r>
      <w:r w:rsidR="0015247B">
        <w:rPr>
          <w:lang w:eastAsia="en-GB"/>
        </w:rPr>
        <w:t>and Termination</w:t>
      </w:r>
      <w:r w:rsidR="00DD7D4A">
        <w:rPr>
          <w:lang w:eastAsia="en-GB"/>
        </w:rPr>
        <w:t>s</w:t>
      </w:r>
      <w:bookmarkEnd w:id="1863"/>
    </w:p>
    <w:p w14:paraId="35817645" w14:textId="77777777" w:rsidR="00445ECA" w:rsidRPr="00445ECA" w:rsidRDefault="00445ECA" w:rsidP="00445ECA">
      <w:pPr>
        <w:rPr>
          <w:lang w:eastAsia="en-GB"/>
        </w:rPr>
      </w:pPr>
    </w:p>
    <w:p w14:paraId="53DE2729" w14:textId="77777777" w:rsidR="00144CDA" w:rsidRPr="003C18BC" w:rsidRDefault="00144CDA" w:rsidP="00144CDA">
      <w:pPr>
        <w:pStyle w:val="Heading2"/>
      </w:pPr>
      <w:bookmarkStart w:id="1864" w:name="_Toc440982155"/>
      <w:bookmarkStart w:id="1865" w:name="_Toc95743511"/>
      <w:r w:rsidRPr="003C18BC">
        <w:t>Introduction</w:t>
      </w:r>
      <w:bookmarkEnd w:id="1864"/>
      <w:bookmarkEnd w:id="1865"/>
    </w:p>
    <w:p w14:paraId="6444208B" w14:textId="6DC7973B" w:rsidR="00F80073" w:rsidRPr="00F80073" w:rsidRDefault="00144CDA">
      <w:pPr>
        <w:pStyle w:val="Heading3"/>
      </w:pPr>
      <w:bookmarkStart w:id="1866" w:name="_Toc440982156"/>
      <w:r w:rsidRPr="003C18BC">
        <w:t xml:space="preserve">This policy chapter outlines the approach to be taken by the Commissioner when a contract is considered to have been breached. Where processes differ with regards </w:t>
      </w:r>
      <w:r w:rsidR="003C1371">
        <w:t xml:space="preserve">to </w:t>
      </w:r>
      <w:r w:rsidRPr="003C18BC">
        <w:t>GMS, PMS and APMS contracts, these are highlighted.</w:t>
      </w:r>
      <w:bookmarkEnd w:id="1866"/>
    </w:p>
    <w:p w14:paraId="35E0EAA1" w14:textId="455C26C9" w:rsidR="00F80073" w:rsidRDefault="00F80073" w:rsidP="00F80073">
      <w:pPr>
        <w:pStyle w:val="Heading3"/>
        <w:numPr>
          <w:ilvl w:val="0"/>
          <w:numId w:val="0"/>
        </w:numPr>
        <w:ind w:left="720"/>
      </w:pPr>
      <w:bookmarkStart w:id="1867" w:name="_Toc440982157"/>
    </w:p>
    <w:tbl>
      <w:tblPr>
        <w:tblStyle w:val="TableGrid"/>
        <w:tblW w:w="0" w:type="auto"/>
        <w:tblInd w:w="1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C6CB4"/>
        <w:tblCellMar>
          <w:top w:w="227" w:type="dxa"/>
          <w:left w:w="227" w:type="dxa"/>
          <w:bottom w:w="227" w:type="dxa"/>
          <w:right w:w="227" w:type="dxa"/>
        </w:tblCellMar>
        <w:tblLook w:val="04A0" w:firstRow="1" w:lastRow="0" w:firstColumn="1" w:lastColumn="0" w:noHBand="0" w:noVBand="1"/>
      </w:tblPr>
      <w:tblGrid>
        <w:gridCol w:w="7654"/>
      </w:tblGrid>
      <w:tr w:rsidR="00F80073" w:rsidRPr="00552572" w14:paraId="74008CC9" w14:textId="77777777" w:rsidTr="009A4EC5">
        <w:trPr>
          <w:tblHeader/>
        </w:trPr>
        <w:tc>
          <w:tcPr>
            <w:tcW w:w="7654" w:type="dxa"/>
            <w:shd w:val="clear" w:color="auto" w:fill="1C6CB4"/>
          </w:tcPr>
          <w:p w14:paraId="0A033292" w14:textId="37B7B620" w:rsidR="00F80073" w:rsidRDefault="00F80073" w:rsidP="009A4EC5">
            <w:pPr>
              <w:pStyle w:val="BodyText"/>
              <w:rPr>
                <w:color w:val="FFFFFF" w:themeColor="background1"/>
                <w:sz w:val="24"/>
                <w:szCs w:val="24"/>
              </w:rPr>
            </w:pPr>
            <w:r>
              <w:rPr>
                <w:color w:val="FFFFFF" w:themeColor="background1"/>
                <w:sz w:val="24"/>
                <w:szCs w:val="24"/>
              </w:rPr>
              <w:t>Primary Care Networks</w:t>
            </w:r>
          </w:p>
          <w:p w14:paraId="238E8B1C" w14:textId="66BE144D" w:rsidR="00F80073" w:rsidRDefault="00F80073" w:rsidP="009A4EC5">
            <w:pPr>
              <w:pStyle w:val="BodyText"/>
              <w:rPr>
                <w:color w:val="FFFFFF" w:themeColor="background1"/>
                <w:sz w:val="24"/>
                <w:szCs w:val="24"/>
              </w:rPr>
            </w:pPr>
            <w:r>
              <w:rPr>
                <w:color w:val="FFFFFF" w:themeColor="background1"/>
                <w:sz w:val="24"/>
                <w:szCs w:val="24"/>
              </w:rPr>
              <w:t xml:space="preserve">While </w:t>
            </w:r>
            <w:r w:rsidR="00C67657">
              <w:rPr>
                <w:color w:val="FFFFFF" w:themeColor="background1"/>
                <w:sz w:val="24"/>
                <w:szCs w:val="24"/>
              </w:rPr>
              <w:t xml:space="preserve">network </w:t>
            </w:r>
            <w:r>
              <w:rPr>
                <w:color w:val="FFFFFF" w:themeColor="background1"/>
                <w:sz w:val="24"/>
                <w:szCs w:val="24"/>
              </w:rPr>
              <w:t xml:space="preserve">services are delivered by the </w:t>
            </w:r>
            <w:r w:rsidR="00C67657">
              <w:rPr>
                <w:color w:val="FFFFFF" w:themeColor="background1"/>
                <w:sz w:val="24"/>
                <w:szCs w:val="24"/>
              </w:rPr>
              <w:t>member practices</w:t>
            </w:r>
            <w:r>
              <w:rPr>
                <w:color w:val="FFFFFF" w:themeColor="background1"/>
                <w:sz w:val="24"/>
                <w:szCs w:val="24"/>
              </w:rPr>
              <w:t xml:space="preserve"> they are commissioned from the individual member practices</w:t>
            </w:r>
          </w:p>
          <w:p w14:paraId="03BC9082" w14:textId="3CB62452" w:rsidR="00F80073" w:rsidRPr="00552572" w:rsidRDefault="00F80073">
            <w:pPr>
              <w:pStyle w:val="BodyText"/>
              <w:rPr>
                <w:color w:val="FFFFFF" w:themeColor="background1"/>
              </w:rPr>
            </w:pPr>
            <w:r w:rsidRPr="00552572">
              <w:rPr>
                <w:color w:val="FFFFFF" w:themeColor="background1"/>
                <w:sz w:val="24"/>
                <w:szCs w:val="24"/>
              </w:rPr>
              <w:t xml:space="preserve">Circumstances </w:t>
            </w:r>
            <w:r>
              <w:rPr>
                <w:color w:val="FFFFFF" w:themeColor="background1"/>
                <w:sz w:val="24"/>
                <w:szCs w:val="24"/>
              </w:rPr>
              <w:t xml:space="preserve">of non delivery of </w:t>
            </w:r>
            <w:r w:rsidR="00C67657">
              <w:rPr>
                <w:color w:val="FFFFFF" w:themeColor="background1"/>
                <w:sz w:val="24"/>
                <w:szCs w:val="24"/>
              </w:rPr>
              <w:t xml:space="preserve">network </w:t>
            </w:r>
            <w:r>
              <w:rPr>
                <w:color w:val="FFFFFF" w:themeColor="background1"/>
                <w:sz w:val="24"/>
                <w:szCs w:val="24"/>
              </w:rPr>
              <w:t xml:space="preserve">services </w:t>
            </w:r>
            <w:r w:rsidRPr="00552572">
              <w:rPr>
                <w:color w:val="FFFFFF" w:themeColor="background1"/>
                <w:sz w:val="24"/>
                <w:szCs w:val="24"/>
              </w:rPr>
              <w:t>may result in the issue of a Breach Notice, a Remedial Notice</w:t>
            </w:r>
            <w:r w:rsidR="00C67657">
              <w:rPr>
                <w:color w:val="FFFFFF" w:themeColor="background1"/>
                <w:sz w:val="24"/>
                <w:szCs w:val="24"/>
              </w:rPr>
              <w:t xml:space="preserve">, </w:t>
            </w:r>
            <w:r w:rsidRPr="00552572">
              <w:rPr>
                <w:color w:val="FFFFFF" w:themeColor="background1"/>
                <w:sz w:val="24"/>
                <w:szCs w:val="24"/>
              </w:rPr>
              <w:t>Contract Sanction</w:t>
            </w:r>
            <w:r w:rsidR="00C67657">
              <w:rPr>
                <w:color w:val="FFFFFF" w:themeColor="background1"/>
                <w:sz w:val="24"/>
                <w:szCs w:val="24"/>
              </w:rPr>
              <w:t>, or exceptionally lead the Commissioner to consider termination and will be applied to individual member practices as those circumstances dictate or are clear eg. breach at network or practice population level.</w:t>
            </w:r>
          </w:p>
        </w:tc>
      </w:tr>
    </w:tbl>
    <w:p w14:paraId="0D2B685B" w14:textId="554F1EFC" w:rsidR="00F80073" w:rsidRDefault="00F80073" w:rsidP="00F80073"/>
    <w:p w14:paraId="57647EAA" w14:textId="77777777" w:rsidR="00F80073" w:rsidRPr="00F80073" w:rsidRDefault="00F80073" w:rsidP="002F2E02"/>
    <w:p w14:paraId="37F5233A" w14:textId="4E6843FF" w:rsidR="00144CDA" w:rsidRPr="003C18BC" w:rsidRDefault="00144CDA" w:rsidP="00445ECA">
      <w:pPr>
        <w:pStyle w:val="Heading3"/>
      </w:pPr>
      <w:r w:rsidRPr="003C18BC">
        <w:t>Given that any decision to issue a Breach or Remedial Notice, apply sanctions or terminate a contract or agreement can be challenged by the contractor under appeal, it is essential that the Commissioner follows, and can demonstrate that it has followed, due process in investigating, communicating and implementing actions in this respect and that the Commissioner has acted fairly and reasonably throughout.</w:t>
      </w:r>
      <w:bookmarkEnd w:id="1867"/>
      <w:r w:rsidRPr="003C18BC">
        <w:t xml:space="preserve"> </w:t>
      </w:r>
    </w:p>
    <w:p w14:paraId="525549B3" w14:textId="08034C94" w:rsidR="00144CDA" w:rsidRPr="003C18BC" w:rsidRDefault="00144CDA" w:rsidP="00445ECA">
      <w:pPr>
        <w:pStyle w:val="Heading3"/>
      </w:pPr>
      <w:bookmarkStart w:id="1868" w:name="_Toc440982158"/>
      <w:r w:rsidRPr="003C18BC">
        <w:t>It is essential that the Commissioner maintains thorough and accurate records of all communications and discussions in respect of all notices under this policy.</w:t>
      </w:r>
      <w:bookmarkEnd w:id="1868"/>
    </w:p>
    <w:p w14:paraId="2CF94BDE" w14:textId="726BFE41" w:rsidR="00144CDA" w:rsidRDefault="00144CDA" w:rsidP="00445ECA">
      <w:pPr>
        <w:pStyle w:val="Heading3"/>
      </w:pPr>
      <w:r w:rsidRPr="003C18BC">
        <w:t>Commissioners should maintain accurate records of all breaches sanctions and terminations and will be required to demonstrate if requested, evidence of compliance, or otherwise support oversight of primary medical care commissioning arrangements</w:t>
      </w:r>
      <w:r w:rsidR="00B30BFC">
        <w:t>.</w:t>
      </w:r>
      <w:r w:rsidRPr="003C18BC">
        <w:t xml:space="preserve">This may be for example, via NHS England’s </w:t>
      </w:r>
      <w:r w:rsidR="00DB260F">
        <w:t xml:space="preserve">assurance arrangements </w:t>
      </w:r>
      <w:r w:rsidRPr="003C18BC">
        <w:t>or internal and external audit functions.</w:t>
      </w:r>
    </w:p>
    <w:p w14:paraId="34060371" w14:textId="77777777" w:rsidR="00E870D3" w:rsidRPr="00E870D3" w:rsidRDefault="00E870D3" w:rsidP="00E870D3"/>
    <w:p w14:paraId="72E05671" w14:textId="0B0122ED" w:rsidR="00144CDA" w:rsidRPr="003C18BC" w:rsidRDefault="00144CDA" w:rsidP="00E870D3">
      <w:pPr>
        <w:pStyle w:val="Heading2"/>
      </w:pPr>
      <w:bookmarkStart w:id="1869" w:name="_Toc440982159"/>
      <w:bookmarkStart w:id="1870" w:name="_Toc95743512"/>
      <w:r w:rsidRPr="003C18BC">
        <w:t>Contract Breaches</w:t>
      </w:r>
      <w:bookmarkEnd w:id="1869"/>
      <w:bookmarkEnd w:id="1870"/>
      <w:r w:rsidRPr="003C18BC">
        <w:t xml:space="preserve"> </w:t>
      </w:r>
    </w:p>
    <w:p w14:paraId="2361223E" w14:textId="3ED285B8" w:rsidR="00144CDA" w:rsidRDefault="00144CDA" w:rsidP="00E870D3">
      <w:pPr>
        <w:pStyle w:val="ListParagraph"/>
        <w:spacing w:line="360" w:lineRule="auto"/>
      </w:pPr>
      <w:bookmarkStart w:id="1871" w:name="_Toc440982160"/>
      <w:r w:rsidRPr="003C18BC">
        <w:t xml:space="preserve">Where the Commissioner considers that a breach has occurred, there are a number </w:t>
      </w:r>
      <w:r w:rsidRPr="009A7101">
        <w:t>of options on how to proceed. The Commissioner can:</w:t>
      </w:r>
      <w:bookmarkEnd w:id="1871"/>
    </w:p>
    <w:p w14:paraId="5DE24D8C" w14:textId="77777777" w:rsidR="00B10334" w:rsidRPr="009A7101" w:rsidRDefault="00B10334" w:rsidP="00E870D3">
      <w:pPr>
        <w:pStyle w:val="ListParagraph"/>
        <w:spacing w:line="360" w:lineRule="auto"/>
      </w:pPr>
    </w:p>
    <w:p w14:paraId="606B5B4B" w14:textId="77777777" w:rsidR="00144CDA" w:rsidRPr="009A7101" w:rsidRDefault="00144CDA" w:rsidP="00E870D3">
      <w:pPr>
        <w:pStyle w:val="ListParagraph"/>
        <w:numPr>
          <w:ilvl w:val="0"/>
          <w:numId w:val="126"/>
        </w:numPr>
        <w:spacing w:line="360" w:lineRule="auto"/>
      </w:pPr>
      <w:bookmarkStart w:id="1872" w:name="_Toc440982161"/>
      <w:r w:rsidRPr="009A7101">
        <w:t>take no action;</w:t>
      </w:r>
      <w:bookmarkEnd w:id="1872"/>
    </w:p>
    <w:p w14:paraId="119A43FC" w14:textId="288CBE22" w:rsidR="00144CDA" w:rsidRPr="009A7101" w:rsidRDefault="00144CDA" w:rsidP="00E870D3">
      <w:pPr>
        <w:pStyle w:val="ListParagraph"/>
        <w:numPr>
          <w:ilvl w:val="0"/>
          <w:numId w:val="126"/>
        </w:numPr>
        <w:spacing w:line="360" w:lineRule="auto"/>
      </w:pPr>
      <w:bookmarkStart w:id="1873" w:name="_Toc440982162"/>
      <w:r w:rsidRPr="009A7101">
        <w:t xml:space="preserve">agree </w:t>
      </w:r>
      <w:r w:rsidR="00B10334">
        <w:t xml:space="preserve">on </w:t>
      </w:r>
      <w:r w:rsidRPr="009A7101">
        <w:t>an action with the contractor;</w:t>
      </w:r>
      <w:bookmarkEnd w:id="1873"/>
    </w:p>
    <w:p w14:paraId="662ED810" w14:textId="77777777" w:rsidR="00144CDA" w:rsidRPr="007A3AF8" w:rsidRDefault="00144CDA" w:rsidP="00E870D3">
      <w:pPr>
        <w:pStyle w:val="ListParagraph"/>
        <w:numPr>
          <w:ilvl w:val="0"/>
          <w:numId w:val="126"/>
        </w:numPr>
        <w:spacing w:line="360" w:lineRule="auto"/>
      </w:pPr>
      <w:bookmarkStart w:id="1874" w:name="_Toc440982163"/>
      <w:r w:rsidRPr="009A7101">
        <w:t>issue a Remedial Notice;</w:t>
      </w:r>
      <w:bookmarkEnd w:id="1874"/>
    </w:p>
    <w:p w14:paraId="2E23BC86" w14:textId="77777777" w:rsidR="00144CDA" w:rsidRPr="0020637B" w:rsidRDefault="00144CDA" w:rsidP="00E870D3">
      <w:pPr>
        <w:pStyle w:val="ListParagraph"/>
        <w:numPr>
          <w:ilvl w:val="0"/>
          <w:numId w:val="126"/>
        </w:numPr>
        <w:spacing w:line="360" w:lineRule="auto"/>
      </w:pPr>
      <w:bookmarkStart w:id="1875" w:name="_Toc440982164"/>
      <w:r w:rsidRPr="0020637B">
        <w:t>issue a Breach Notice;</w:t>
      </w:r>
      <w:bookmarkEnd w:id="1875"/>
    </w:p>
    <w:p w14:paraId="2C042AEF" w14:textId="77777777" w:rsidR="00144CDA" w:rsidRPr="001F7167" w:rsidRDefault="00144CDA" w:rsidP="00E870D3">
      <w:pPr>
        <w:pStyle w:val="ListParagraph"/>
        <w:numPr>
          <w:ilvl w:val="0"/>
          <w:numId w:val="126"/>
        </w:numPr>
        <w:spacing w:line="360" w:lineRule="auto"/>
      </w:pPr>
      <w:bookmarkStart w:id="1876" w:name="_Toc440982165"/>
      <w:r w:rsidRPr="001F7167">
        <w:t>apply a Contract Sanction; or</w:t>
      </w:r>
      <w:bookmarkEnd w:id="1876"/>
    </w:p>
    <w:p w14:paraId="36EFECE4" w14:textId="7080D901" w:rsidR="00144CDA" w:rsidRDefault="00144CDA" w:rsidP="00E870D3">
      <w:pPr>
        <w:pStyle w:val="ListParagraph"/>
        <w:numPr>
          <w:ilvl w:val="0"/>
          <w:numId w:val="126"/>
        </w:numPr>
        <w:spacing w:line="360" w:lineRule="auto"/>
      </w:pPr>
      <w:bookmarkStart w:id="1877" w:name="_Toc440982166"/>
      <w:r w:rsidRPr="00C70CC1">
        <w:t>terminate the contract.</w:t>
      </w:r>
      <w:bookmarkEnd w:id="1877"/>
    </w:p>
    <w:p w14:paraId="1A11EAEF" w14:textId="77777777" w:rsidR="009A7101" w:rsidRPr="009A7101" w:rsidRDefault="009A7101" w:rsidP="00A553BA">
      <w:pPr>
        <w:pStyle w:val="ListParagraph"/>
      </w:pPr>
    </w:p>
    <w:p w14:paraId="27DC080D" w14:textId="762D1423" w:rsidR="003C1755" w:rsidRDefault="003C1755" w:rsidP="00445ECA">
      <w:pPr>
        <w:pStyle w:val="Heading3"/>
      </w:pPr>
      <w:bookmarkStart w:id="1878" w:name="_Toc440982167"/>
      <w:r w:rsidRPr="003C1755">
        <w:t>In many cases, it will be appropriate as a minimum</w:t>
      </w:r>
      <w:r w:rsidR="00B10334">
        <w:t>,</w:t>
      </w:r>
      <w:r w:rsidRPr="003C1755">
        <w:t xml:space="preserve"> to serve a breach or remedial notice to formally document a breach as part of routine contract management.  Where issues with a contractor then escalate, it is helpful if the pattern of breaches to date is already evidenced by appropriate breach and/or remedial notices.  However, doing nothing or informally agreeing </w:t>
      </w:r>
      <w:r w:rsidR="00B10334">
        <w:t xml:space="preserve">on </w:t>
      </w:r>
      <w:r w:rsidRPr="003C1755">
        <w:t xml:space="preserve">an action with the contractor are options that the Commissioner may consider appropriate for a very minor or technical breach.  The Commissioner should be aware of the implications of this decision, in that there will be no formal record of the breach to rely on as part of future contract management.  </w:t>
      </w:r>
    </w:p>
    <w:p w14:paraId="49981E06" w14:textId="5D7803F2" w:rsidR="00144CDA" w:rsidRPr="003C18BC" w:rsidRDefault="00144CDA" w:rsidP="00445ECA">
      <w:pPr>
        <w:pStyle w:val="Heading3"/>
      </w:pPr>
      <w:bookmarkStart w:id="1879" w:name="_Toc440982168"/>
      <w:bookmarkEnd w:id="1878"/>
      <w:r w:rsidRPr="003C18BC">
        <w:t>The following paragraphs set out the circumstances in which a Remedial Notice or a Breach Notice may be issued, a Contract Sanction may be applied or the contract may be terminated with an explanation of the relevant process that the Commissioner must follow.</w:t>
      </w:r>
      <w:bookmarkEnd w:id="1879"/>
      <w:r w:rsidRPr="003C18BC">
        <w:t xml:space="preserve"> </w:t>
      </w:r>
    </w:p>
    <w:p w14:paraId="6BC49B87" w14:textId="30575D9B" w:rsidR="00144CDA" w:rsidRPr="003C18BC" w:rsidRDefault="00144CDA" w:rsidP="00445ECA">
      <w:pPr>
        <w:pStyle w:val="Heading3"/>
      </w:pPr>
      <w:bookmarkStart w:id="1880" w:name="_Toc440982169"/>
      <w:r w:rsidRPr="003C18BC">
        <w:t xml:space="preserve">The Commissioner must ensure that, when issuing a Remedial or Breach Notice, applying a Contract Sanction or terminating a contract, it follows the proper internal processes around </w:t>
      </w:r>
      <w:r w:rsidR="00B10334">
        <w:t xml:space="preserve">the </w:t>
      </w:r>
      <w:r w:rsidRPr="003C18BC">
        <w:t>approval of the action, compliance with any standing orders and due consideration of all relevant factors in the decision making process.</w:t>
      </w:r>
      <w:bookmarkEnd w:id="1880"/>
    </w:p>
    <w:p w14:paraId="708F7197" w14:textId="77777777" w:rsidR="00144CDA" w:rsidRPr="003C18BC" w:rsidRDefault="00144CDA" w:rsidP="003331F2">
      <w:pPr>
        <w:pStyle w:val="BodyText"/>
      </w:pPr>
    </w:p>
    <w:tbl>
      <w:tblPr>
        <w:tblStyle w:val="TableGrid"/>
        <w:tblW w:w="0" w:type="auto"/>
        <w:tblInd w:w="1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C6CB4"/>
        <w:tblCellMar>
          <w:top w:w="227" w:type="dxa"/>
          <w:left w:w="227" w:type="dxa"/>
          <w:bottom w:w="227" w:type="dxa"/>
          <w:right w:w="227" w:type="dxa"/>
        </w:tblCellMar>
        <w:tblLook w:val="04A0" w:firstRow="1" w:lastRow="0" w:firstColumn="1" w:lastColumn="0" w:noHBand="0" w:noVBand="1"/>
        <w:tblCaption w:val="a text box"/>
        <w:tblDescription w:val="a text box"/>
      </w:tblPr>
      <w:tblGrid>
        <w:gridCol w:w="7654"/>
      </w:tblGrid>
      <w:tr w:rsidR="00552572" w:rsidRPr="00552572" w14:paraId="7F15269E" w14:textId="77777777" w:rsidTr="00E509C8">
        <w:trPr>
          <w:tblHeader/>
        </w:trPr>
        <w:tc>
          <w:tcPr>
            <w:tcW w:w="7654" w:type="dxa"/>
            <w:shd w:val="clear" w:color="auto" w:fill="1C6CB4"/>
          </w:tcPr>
          <w:p w14:paraId="4A05AF1B" w14:textId="58397DAB" w:rsidR="00144CDA" w:rsidRPr="00552572" w:rsidRDefault="00BD352E" w:rsidP="00552572">
            <w:pPr>
              <w:pStyle w:val="BodyText"/>
              <w:rPr>
                <w:color w:val="FFFFFF" w:themeColor="background1"/>
                <w:sz w:val="24"/>
                <w:szCs w:val="24"/>
              </w:rPr>
            </w:pPr>
            <w:bookmarkStart w:id="1881" w:name="_Toc440982170"/>
            <w:bookmarkStart w:id="1882" w:name="_Hlk53137993"/>
            <w:r>
              <w:rPr>
                <w:color w:val="FFFFFF" w:themeColor="background1"/>
                <w:sz w:val="24"/>
                <w:szCs w:val="24"/>
              </w:rPr>
              <w:t>D</w:t>
            </w:r>
            <w:r w:rsidR="00144CDA" w:rsidRPr="00552572">
              <w:rPr>
                <w:color w:val="FFFFFF" w:themeColor="background1"/>
                <w:sz w:val="24"/>
                <w:szCs w:val="24"/>
              </w:rPr>
              <w:t>elegated commissioning arrangements</w:t>
            </w:r>
            <w:bookmarkEnd w:id="1881"/>
          </w:p>
          <w:p w14:paraId="55D8F3FD" w14:textId="34EE585E" w:rsidR="00144CDA" w:rsidRPr="00552572" w:rsidRDefault="00144CDA" w:rsidP="00552572">
            <w:pPr>
              <w:pStyle w:val="BodyText"/>
              <w:rPr>
                <w:color w:val="FFFFFF" w:themeColor="background1"/>
              </w:rPr>
            </w:pPr>
            <w:bookmarkStart w:id="1883" w:name="_Toc440982171"/>
            <w:r w:rsidRPr="00552572">
              <w:rPr>
                <w:color w:val="FFFFFF" w:themeColor="background1"/>
                <w:sz w:val="24"/>
                <w:szCs w:val="24"/>
              </w:rPr>
              <w:t xml:space="preserve">The Delegation Agreement reserves primary medical services functions that relate to performers lists to NHS England. Circumstances that may result in the issue of a Breach Notice, a Remedial Notice, a Contract Sanction or may lead the Commissioner to consider termination may relate to or include reference to performers lists matters. Where this is the case, the Delegation Agreement requires the </w:t>
            </w:r>
            <w:r w:rsidR="00B83042">
              <w:rPr>
                <w:color w:val="FFFFFF" w:themeColor="background1"/>
                <w:sz w:val="24"/>
                <w:szCs w:val="24"/>
              </w:rPr>
              <w:t>CCG/ICB</w:t>
            </w:r>
            <w:r w:rsidRPr="00552572">
              <w:rPr>
                <w:color w:val="FFFFFF" w:themeColor="background1"/>
                <w:sz w:val="24"/>
                <w:szCs w:val="24"/>
              </w:rPr>
              <w:t xml:space="preserve"> to work collaboratively with NHS England and support and assist NHS England to carry out its performers lists functions.</w:t>
            </w:r>
            <w:bookmarkEnd w:id="1883"/>
          </w:p>
        </w:tc>
      </w:tr>
      <w:bookmarkEnd w:id="1882"/>
    </w:tbl>
    <w:p w14:paraId="6977894F" w14:textId="77777777" w:rsidR="00144CDA" w:rsidRPr="003C18BC" w:rsidRDefault="00144CDA" w:rsidP="00144CDA">
      <w:pPr>
        <w:pStyle w:val="Body3"/>
        <w:spacing w:before="120" w:after="120" w:line="276" w:lineRule="auto"/>
        <w:ind w:left="0"/>
        <w:rPr>
          <w:rFonts w:cs="Arial"/>
          <w:sz w:val="24"/>
          <w:szCs w:val="24"/>
        </w:rPr>
      </w:pPr>
    </w:p>
    <w:p w14:paraId="29DB9CF4" w14:textId="77777777" w:rsidR="00144CDA" w:rsidRPr="003C18BC" w:rsidRDefault="00144CDA" w:rsidP="00144CDA">
      <w:pPr>
        <w:pStyle w:val="Heading2"/>
      </w:pPr>
      <w:bookmarkStart w:id="1884" w:name="_Toc440982172"/>
      <w:bookmarkStart w:id="1885" w:name="_Toc95743513"/>
      <w:r w:rsidRPr="003C18BC">
        <w:t>Remedial Notices and Breach Notices</w:t>
      </w:r>
      <w:bookmarkEnd w:id="1884"/>
      <w:bookmarkEnd w:id="1885"/>
    </w:p>
    <w:p w14:paraId="6920FCC7" w14:textId="4DCD1FE2" w:rsidR="00144CDA" w:rsidRPr="003C18BC" w:rsidRDefault="00144CDA" w:rsidP="00445ECA">
      <w:pPr>
        <w:pStyle w:val="Heading3"/>
      </w:pPr>
      <w:bookmarkStart w:id="1886" w:name="_Toc440982173"/>
      <w:r w:rsidRPr="003C18BC">
        <w:t>The GMS Regulations, the PMS Regulations and the APMS Directions make a clear distinction between the process to be followed where a breach is capable of remedy and the process where a breach is not capable of remedy.</w:t>
      </w:r>
      <w:bookmarkEnd w:id="1886"/>
    </w:p>
    <w:p w14:paraId="318E4AB7" w14:textId="1B2B08B0" w:rsidR="00144CDA" w:rsidRPr="003C18BC" w:rsidRDefault="00144CDA" w:rsidP="00445ECA">
      <w:pPr>
        <w:pStyle w:val="Heading3"/>
        <w:rPr>
          <w:b/>
        </w:rPr>
      </w:pPr>
      <w:bookmarkStart w:id="1887" w:name="_Toc440982174"/>
      <w:r w:rsidRPr="003C18BC">
        <w:rPr>
          <w:b/>
        </w:rPr>
        <w:t>GMS/PMS</w:t>
      </w:r>
      <w:r w:rsidRPr="003C18BC">
        <w:t xml:space="preserve"> - Where a breach is capable of remedy, a Remedial Notice must be issued before the Commissioner takes any other action under the contract (such as termination). Where a breach is not capable of remedy, a Breach Notice must be issued before the Commissioner takes any other action under the contract (such as termination).</w:t>
      </w:r>
      <w:bookmarkEnd w:id="1887"/>
      <w:r w:rsidRPr="003C18BC">
        <w:rPr>
          <w:b/>
        </w:rPr>
        <w:t xml:space="preserve"> </w:t>
      </w:r>
    </w:p>
    <w:p w14:paraId="3AD521F4" w14:textId="23C95A57" w:rsidR="00144CDA" w:rsidRPr="003C18BC" w:rsidRDefault="00144CDA" w:rsidP="00445ECA">
      <w:pPr>
        <w:pStyle w:val="Heading3"/>
      </w:pPr>
      <w:bookmarkStart w:id="1888" w:name="_Toc440982175"/>
      <w:r w:rsidRPr="003C18BC">
        <w:rPr>
          <w:b/>
        </w:rPr>
        <w:t>APMS</w:t>
      </w:r>
      <w:r w:rsidRPr="003C18BC">
        <w:t xml:space="preserve"> - Contracts are not required to contain provisions relating to Remedial or Breach Notices. The NHS England Standard Alternative Provider Medical Services Contract does, however, contain these provisions. Where there is a potential breach of an APMS contract, the Commissioner should always review the actual wording of the contract to ensure the right process is followed.</w:t>
      </w:r>
      <w:bookmarkEnd w:id="1888"/>
      <w:r w:rsidRPr="003C18BC">
        <w:t xml:space="preserve"> </w:t>
      </w:r>
    </w:p>
    <w:p w14:paraId="1D844E75" w14:textId="77777777" w:rsidR="00144CDA" w:rsidRPr="006B5D10" w:rsidRDefault="00144CDA" w:rsidP="00144CDA">
      <w:pPr>
        <w:pStyle w:val="Body1"/>
        <w:spacing w:before="120" w:after="120" w:line="276" w:lineRule="auto"/>
        <w:rPr>
          <w:rFonts w:cs="Arial"/>
          <w:b/>
          <w:bCs/>
          <w:sz w:val="24"/>
          <w:szCs w:val="24"/>
        </w:rPr>
      </w:pPr>
      <w:r w:rsidRPr="003C18BC">
        <w:rPr>
          <w:rFonts w:cs="Arial"/>
          <w:sz w:val="24"/>
          <w:szCs w:val="24"/>
        </w:rPr>
        <w:br/>
      </w:r>
      <w:r w:rsidRPr="006B5D10">
        <w:rPr>
          <w:rFonts w:cs="Arial"/>
          <w:b/>
          <w:bCs/>
          <w:sz w:val="24"/>
          <w:szCs w:val="24"/>
        </w:rPr>
        <w:t>Remedial Notice</w:t>
      </w:r>
    </w:p>
    <w:p w14:paraId="77C2968C" w14:textId="77777777" w:rsidR="00144CDA" w:rsidRPr="003C18BC" w:rsidRDefault="00144CDA" w:rsidP="00445ECA">
      <w:pPr>
        <w:pStyle w:val="Heading3"/>
      </w:pPr>
      <w:bookmarkStart w:id="1889" w:name="_Toc440982176"/>
      <w:r w:rsidRPr="003C18BC">
        <w:t>Where a contractor has breached the contract and the breach is determined to be capable of remedy, the Commissioner may issue a Remedial Notice to the contractor setting out the actions that must be taken to remedy the breach.</w:t>
      </w:r>
      <w:bookmarkEnd w:id="1889"/>
    </w:p>
    <w:p w14:paraId="7F1673F7" w14:textId="555AAB9B" w:rsidR="00144CDA" w:rsidRPr="003C18BC" w:rsidRDefault="00144CDA" w:rsidP="00445ECA">
      <w:pPr>
        <w:pStyle w:val="Heading3"/>
      </w:pPr>
      <w:bookmarkStart w:id="1890" w:name="_Toc440982177"/>
      <w:r w:rsidRPr="003C18BC">
        <w:t>A flowchart highlighting the main steps that the Commissioner should take when issuing a Remedial Notice is set out in Annex 1.</w:t>
      </w:r>
      <w:bookmarkEnd w:id="1890"/>
    </w:p>
    <w:p w14:paraId="1B6BB55B" w14:textId="5284A294" w:rsidR="00144CDA" w:rsidRPr="003C18BC" w:rsidRDefault="00144CDA" w:rsidP="00445ECA">
      <w:pPr>
        <w:pStyle w:val="Heading3"/>
      </w:pPr>
      <w:bookmarkStart w:id="1891" w:name="_Toc440982178"/>
      <w:r w:rsidRPr="003C18BC">
        <w:t xml:space="preserve">The Commissioner must issue a Remedial Notice before it takes any other action it is entitled to take under the contract, except where the breach relates to the rights of termination set out below. This is because the Commissioner has a right to terminate the contract immediately for a breach of any of the circumstances set out below. These rights of termination are explained in more detail in paragraph </w:t>
      </w:r>
      <w:r w:rsidRPr="003C18BC">
        <w:fldChar w:fldCharType="begin"/>
      </w:r>
      <w:r w:rsidRPr="003C18BC">
        <w:instrText xml:space="preserve"> REF _Ref409600317 \r \h  \* MERGEFORMAT </w:instrText>
      </w:r>
      <w:r w:rsidRPr="003C18BC">
        <w:fldChar w:fldCharType="separate"/>
      </w:r>
      <w:r w:rsidR="00054166">
        <w:t>1.7</w:t>
      </w:r>
      <w:r w:rsidRPr="003C18BC">
        <w:fldChar w:fldCharType="end"/>
      </w:r>
      <w:r w:rsidRPr="003C18BC">
        <w:t xml:space="preserve"> of this policy:</w:t>
      </w:r>
      <w:bookmarkEnd w:id="1891"/>
    </w:p>
    <w:p w14:paraId="0E1929D2" w14:textId="340879B4" w:rsidR="00144CDA" w:rsidRPr="009A7101" w:rsidRDefault="00144CDA" w:rsidP="006C3DF5">
      <w:pPr>
        <w:pStyle w:val="ListParagraph"/>
        <w:numPr>
          <w:ilvl w:val="0"/>
          <w:numId w:val="180"/>
        </w:numPr>
        <w:spacing w:before="120" w:after="120" w:line="360" w:lineRule="auto"/>
        <w:ind w:left="1077" w:hanging="357"/>
      </w:pPr>
      <w:bookmarkStart w:id="1892" w:name="_Toc440982179"/>
      <w:r w:rsidRPr="009A7101">
        <w:t>provision of untrue information;</w:t>
      </w:r>
      <w:bookmarkEnd w:id="1892"/>
    </w:p>
    <w:p w14:paraId="766614E2" w14:textId="41B8A6CD" w:rsidR="00144CDA" w:rsidRPr="009A7101" w:rsidRDefault="00144CDA" w:rsidP="006C3DF5">
      <w:pPr>
        <w:pStyle w:val="ListParagraph"/>
        <w:numPr>
          <w:ilvl w:val="0"/>
          <w:numId w:val="180"/>
        </w:numPr>
        <w:spacing w:before="120" w:after="120" w:line="360" w:lineRule="auto"/>
        <w:ind w:left="1077" w:hanging="357"/>
      </w:pPr>
      <w:bookmarkStart w:id="1893" w:name="_Toc440982180"/>
      <w:r w:rsidRPr="009A7101">
        <w:t>fitness to practi</w:t>
      </w:r>
      <w:r w:rsidR="001B14F9" w:rsidRPr="009A7101">
        <w:t>s</w:t>
      </w:r>
      <w:r w:rsidRPr="009A7101">
        <w:t>e matters;</w:t>
      </w:r>
      <w:bookmarkEnd w:id="1893"/>
    </w:p>
    <w:p w14:paraId="453C19C3" w14:textId="77777777" w:rsidR="00144CDA" w:rsidRPr="009A7101" w:rsidRDefault="00144CDA" w:rsidP="006C3DF5">
      <w:pPr>
        <w:pStyle w:val="ListParagraph"/>
        <w:numPr>
          <w:ilvl w:val="0"/>
          <w:numId w:val="180"/>
        </w:numPr>
        <w:spacing w:before="120" w:after="120" w:line="360" w:lineRule="auto"/>
        <w:ind w:left="1077" w:hanging="357"/>
      </w:pPr>
      <w:bookmarkStart w:id="1894" w:name="_Toc440982181"/>
      <w:r w:rsidRPr="009A7101">
        <w:t>a serious risk to patient safety or risk of financial loss to NHS England;</w:t>
      </w:r>
      <w:bookmarkEnd w:id="1894"/>
    </w:p>
    <w:p w14:paraId="2DB52AD4" w14:textId="77777777" w:rsidR="00144CDA" w:rsidRPr="009A7101" w:rsidRDefault="00144CDA" w:rsidP="006C3DF5">
      <w:pPr>
        <w:pStyle w:val="ListParagraph"/>
        <w:numPr>
          <w:ilvl w:val="0"/>
          <w:numId w:val="180"/>
        </w:numPr>
        <w:spacing w:before="120" w:after="120" w:line="360" w:lineRule="auto"/>
        <w:ind w:left="1077" w:hanging="357"/>
      </w:pPr>
      <w:bookmarkStart w:id="1895" w:name="_Toc440982182"/>
      <w:r w:rsidRPr="009A7101">
        <w:t>unlawful sub-contracting; and</w:t>
      </w:r>
      <w:bookmarkEnd w:id="1895"/>
    </w:p>
    <w:p w14:paraId="1A38CA74" w14:textId="77777777" w:rsidR="00144CDA" w:rsidRPr="009A7101" w:rsidRDefault="00144CDA" w:rsidP="006C3DF5">
      <w:pPr>
        <w:pStyle w:val="ListParagraph"/>
        <w:numPr>
          <w:ilvl w:val="0"/>
          <w:numId w:val="180"/>
        </w:numPr>
        <w:spacing w:before="120" w:after="120" w:line="360" w:lineRule="auto"/>
        <w:ind w:left="1077" w:hanging="357"/>
      </w:pPr>
      <w:bookmarkStart w:id="1896" w:name="_Toc440982183"/>
      <w:r w:rsidRPr="009A7101">
        <w:t>in the case of a GMS contract, issues relating to the contractor's eligibility to hold the contract.</w:t>
      </w:r>
      <w:bookmarkEnd w:id="1896"/>
    </w:p>
    <w:p w14:paraId="0FBB89E7" w14:textId="77777777" w:rsidR="00144CDA" w:rsidRPr="003C18BC" w:rsidRDefault="00144CDA" w:rsidP="00445ECA">
      <w:pPr>
        <w:pStyle w:val="Heading3"/>
        <w:ind w:left="1080"/>
      </w:pPr>
      <w:bookmarkStart w:id="1897" w:name="_Toc440982184"/>
      <w:r w:rsidRPr="003C18BC">
        <w:t>A breach capable of remedy is where the breach continues but the contractor could take action to stop the breach. Examples of breaches that may be capable of remedy include:</w:t>
      </w:r>
      <w:bookmarkEnd w:id="1897"/>
    </w:p>
    <w:p w14:paraId="28A61A84" w14:textId="1A77C24A" w:rsidR="00144CDA" w:rsidRPr="009A7101" w:rsidRDefault="00144CDA" w:rsidP="006C3DF5">
      <w:pPr>
        <w:pStyle w:val="ListParagraph"/>
        <w:numPr>
          <w:ilvl w:val="0"/>
          <w:numId w:val="181"/>
        </w:numPr>
      </w:pPr>
      <w:bookmarkStart w:id="1898" w:name="_Toc440982185"/>
      <w:r w:rsidRPr="009A7101">
        <w:t>failure to compile a practice leaflet; or</w:t>
      </w:r>
      <w:bookmarkEnd w:id="1898"/>
    </w:p>
    <w:p w14:paraId="07540B41" w14:textId="40EA8E70" w:rsidR="00144CDA" w:rsidRDefault="00144CDA" w:rsidP="006C3DF5">
      <w:pPr>
        <w:pStyle w:val="ListParagraph"/>
        <w:numPr>
          <w:ilvl w:val="0"/>
          <w:numId w:val="181"/>
        </w:numPr>
      </w:pPr>
      <w:bookmarkStart w:id="1899" w:name="_Toc440982186"/>
      <w:r w:rsidRPr="009A7101">
        <w:t>failure to provide information to the Commissioner.</w:t>
      </w:r>
      <w:bookmarkEnd w:id="1899"/>
    </w:p>
    <w:p w14:paraId="01673A07" w14:textId="77777777" w:rsidR="009A7101" w:rsidRPr="009A7101" w:rsidRDefault="009A7101" w:rsidP="00A553BA">
      <w:pPr>
        <w:pStyle w:val="ListParagraph"/>
      </w:pPr>
    </w:p>
    <w:p w14:paraId="3E407329" w14:textId="63E3CB41" w:rsidR="00144CDA" w:rsidRPr="003C18BC" w:rsidRDefault="00144CDA" w:rsidP="00445ECA">
      <w:pPr>
        <w:pStyle w:val="Heading3"/>
      </w:pPr>
      <w:bookmarkStart w:id="1900" w:name="_Toc440982187"/>
      <w:r w:rsidRPr="003C18BC">
        <w:t xml:space="preserve">Where the breach creates a serious risk to patient safety, the Commissioner can take more immediate action, regardless of whether the breach is capable of remedy or not. For further information on this, please refer to paragraph </w:t>
      </w:r>
      <w:r w:rsidR="008D23C2">
        <w:t>1.7.32</w:t>
      </w:r>
      <w:r w:rsidRPr="003C18BC">
        <w:t xml:space="preserve"> of this policy.</w:t>
      </w:r>
      <w:bookmarkEnd w:id="1900"/>
    </w:p>
    <w:p w14:paraId="71FAE950" w14:textId="77777777" w:rsidR="00BA5AD7" w:rsidRPr="00BA5AD7" w:rsidRDefault="00BA5AD7" w:rsidP="00BA5AD7">
      <w:pPr>
        <w:pStyle w:val="Heading3"/>
      </w:pPr>
      <w:bookmarkStart w:id="1901" w:name="_Toc440982188"/>
      <w:bookmarkStart w:id="1902" w:name="_Ref409796260"/>
      <w:bookmarkStart w:id="1903" w:name="_Toc440982194"/>
      <w:r w:rsidRPr="00BA5AD7">
        <w:t>Where the Commissioner has determined that a breach is capable of remedy, the Commissioner may, depending on the nature and circumstances of a breach take the following steps.  These steps do not prejudice or delay a Commissioners right to issue a Remedial Notice at any point before or during any of these steps being taken where the Commissioner reasonably considers it is appropriate to do so:</w:t>
      </w:r>
      <w:bookmarkEnd w:id="1901"/>
    </w:p>
    <w:p w14:paraId="41D5A8B5" w14:textId="25290CA7" w:rsidR="00BA5AD7" w:rsidRPr="003C18BC" w:rsidRDefault="00BA5AD7" w:rsidP="00BA5AD7">
      <w:pPr>
        <w:pStyle w:val="Heading4"/>
      </w:pPr>
      <w:bookmarkStart w:id="1904" w:name="_Toc440982189"/>
      <w:r>
        <w:t>T</w:t>
      </w:r>
      <w:r w:rsidRPr="003C18BC">
        <w:t>he Commissioner should contact the contractor to discuss the breach and the action that they may be entitled to take, i.e. the issue of a Remedial Notice.</w:t>
      </w:r>
      <w:bookmarkEnd w:id="1904"/>
    </w:p>
    <w:p w14:paraId="3CB61154" w14:textId="32D72B0D" w:rsidR="00BA5AD7" w:rsidRPr="003C18BC" w:rsidRDefault="00BA5AD7" w:rsidP="00BA5AD7">
      <w:pPr>
        <w:pStyle w:val="Heading4"/>
      </w:pPr>
      <w:bookmarkStart w:id="1905" w:name="_Toc440982190"/>
      <w:r>
        <w:t xml:space="preserve">This discussion should provide the contractor with an </w:t>
      </w:r>
      <w:r w:rsidRPr="00183DE1">
        <w:t>opportunity to provide an explanation as to the circumstances that led to the breach</w:t>
      </w:r>
      <w:r>
        <w:t xml:space="preserve">.  An accurate minute of any discussions should be </w:t>
      </w:r>
      <w:bookmarkEnd w:id="1905"/>
      <w:r w:rsidR="009F1EC8">
        <w:t>retained</w:t>
      </w:r>
      <w:r w:rsidR="009F1EC8" w:rsidRPr="00183DE1" w:rsidDel="00BE75CD">
        <w:t>.</w:t>
      </w:r>
    </w:p>
    <w:p w14:paraId="2FC39ABC" w14:textId="7966A86B" w:rsidR="00BA5AD7" w:rsidRPr="007C5009" w:rsidRDefault="00BA5AD7" w:rsidP="00BA5AD7">
      <w:pPr>
        <w:pStyle w:val="Heading4"/>
        <w:rPr>
          <w:rFonts w:cs="Times New Roman"/>
          <w:sz w:val="20"/>
          <w:szCs w:val="20"/>
        </w:rPr>
      </w:pPr>
      <w:bookmarkStart w:id="1906" w:name="_Toc440982191"/>
      <w:r w:rsidRPr="00183DE1">
        <w:t xml:space="preserve">The Commissioner </w:t>
      </w:r>
      <w:r w:rsidR="009F1EC8" w:rsidRPr="00183DE1">
        <w:t xml:space="preserve">should </w:t>
      </w:r>
      <w:r w:rsidR="009F1EC8">
        <w:t>review</w:t>
      </w:r>
      <w:r>
        <w:t xml:space="preserve"> the evidence related to the breach including any information received during the discussion or in </w:t>
      </w:r>
      <w:bookmarkEnd w:id="1906"/>
      <w:r w:rsidR="009F1EC8">
        <w:t>representations.</w:t>
      </w:r>
    </w:p>
    <w:p w14:paraId="7E13E241" w14:textId="77777777" w:rsidR="00BA5AD7" w:rsidRPr="00183DE1" w:rsidRDefault="00BA5AD7" w:rsidP="00BA5AD7">
      <w:pPr>
        <w:pStyle w:val="Heading4"/>
      </w:pPr>
      <w:bookmarkStart w:id="1907" w:name="_Toc440982192"/>
      <w:r w:rsidRPr="00183DE1">
        <w:t>If the Commissioner is satisfied that the matter is a breach which is capable of remedy, then the Commissioner may issue a Remedial Notice to the contractor, requiring the contractor to remedy the breach.</w:t>
      </w:r>
      <w:bookmarkEnd w:id="1907"/>
    </w:p>
    <w:p w14:paraId="5BDBCE26" w14:textId="7D87F48D" w:rsidR="00BA5AD7" w:rsidRPr="003C18BC" w:rsidRDefault="00BA5AD7" w:rsidP="00BA5AD7">
      <w:pPr>
        <w:pStyle w:val="Heading4"/>
      </w:pPr>
      <w:bookmarkStart w:id="1908" w:name="_Toc440982193"/>
      <w:r w:rsidRPr="003C18BC">
        <w:t>It is important that when the steps above are undertaken, this is completed as quickly as is reasonably possible as long delays between the breach occurring, or the Commissioner becoming aware of the breach, and the Remedial Notice being issued, could lead to an argument that the Commissioner has accepted the breach and waived its right to take action.</w:t>
      </w:r>
      <w:bookmarkEnd w:id="1908"/>
      <w:r>
        <w:t xml:space="preserve"> The Commissioner will need to decide what action it considers would be reasonable to take before issuing a Remedial Notice taking into account the circumstances of an individual breach. </w:t>
      </w:r>
    </w:p>
    <w:p w14:paraId="17D32A24" w14:textId="3ED4389D" w:rsidR="00144CDA" w:rsidRPr="003C18BC" w:rsidRDefault="00144CDA" w:rsidP="00445ECA">
      <w:pPr>
        <w:pStyle w:val="Heading3"/>
      </w:pPr>
      <w:r w:rsidRPr="003C18BC">
        <w:t>A Remedial Notice must specify:</w:t>
      </w:r>
      <w:bookmarkEnd w:id="1902"/>
      <w:bookmarkEnd w:id="1903"/>
    </w:p>
    <w:p w14:paraId="1B04789A" w14:textId="5DA5EB63" w:rsidR="00144CDA" w:rsidRPr="003C18BC" w:rsidRDefault="00144CDA" w:rsidP="00825050">
      <w:pPr>
        <w:pStyle w:val="Heading3"/>
        <w:numPr>
          <w:ilvl w:val="2"/>
          <w:numId w:val="32"/>
        </w:numPr>
        <w:tabs>
          <w:tab w:val="clear" w:pos="0"/>
          <w:tab w:val="num" w:pos="2393"/>
        </w:tabs>
        <w:spacing w:before="120" w:after="120" w:line="276" w:lineRule="auto"/>
        <w:ind w:left="2393" w:hanging="953"/>
        <w:jc w:val="both"/>
        <w:rPr>
          <w:rFonts w:cs="Arial"/>
          <w:szCs w:val="24"/>
        </w:rPr>
      </w:pPr>
      <w:bookmarkStart w:id="1909" w:name="_Toc440982195"/>
      <w:r w:rsidRPr="003C18BC">
        <w:rPr>
          <w:rFonts w:cs="Arial"/>
          <w:szCs w:val="24"/>
        </w:rPr>
        <w:t>details of the breach, which led to the Remedial Notice being issued and any evidence gathered in respect of the breach;</w:t>
      </w:r>
      <w:bookmarkEnd w:id="1909"/>
    </w:p>
    <w:p w14:paraId="15937767" w14:textId="77777777" w:rsidR="00144CDA" w:rsidRPr="003C18BC" w:rsidRDefault="00144CDA" w:rsidP="00825050">
      <w:pPr>
        <w:pStyle w:val="Heading3"/>
        <w:numPr>
          <w:ilvl w:val="2"/>
          <w:numId w:val="32"/>
        </w:numPr>
        <w:tabs>
          <w:tab w:val="clear" w:pos="0"/>
          <w:tab w:val="num" w:pos="2393"/>
        </w:tabs>
        <w:spacing w:before="120" w:after="120" w:line="276" w:lineRule="auto"/>
        <w:ind w:left="2393" w:hanging="953"/>
        <w:jc w:val="both"/>
        <w:rPr>
          <w:rFonts w:cs="Arial"/>
          <w:szCs w:val="24"/>
        </w:rPr>
      </w:pPr>
      <w:bookmarkStart w:id="1910" w:name="_Toc440982196"/>
      <w:r w:rsidRPr="003C18BC">
        <w:rPr>
          <w:rFonts w:cs="Arial"/>
          <w:szCs w:val="24"/>
        </w:rPr>
        <w:t>the steps the contractor must take in order to remedy the breach to the Commissioner's satisfaction;</w:t>
      </w:r>
      <w:bookmarkEnd w:id="1910"/>
    </w:p>
    <w:p w14:paraId="55585A85" w14:textId="77777777" w:rsidR="00144CDA" w:rsidRPr="003C18BC" w:rsidRDefault="00144CDA" w:rsidP="00825050">
      <w:pPr>
        <w:pStyle w:val="Heading3"/>
        <w:numPr>
          <w:ilvl w:val="2"/>
          <w:numId w:val="32"/>
        </w:numPr>
        <w:tabs>
          <w:tab w:val="clear" w:pos="0"/>
          <w:tab w:val="num" w:pos="2393"/>
        </w:tabs>
        <w:spacing w:before="120" w:after="120" w:line="276" w:lineRule="auto"/>
        <w:ind w:left="2393" w:hanging="953"/>
        <w:jc w:val="both"/>
        <w:rPr>
          <w:rFonts w:cs="Arial"/>
          <w:szCs w:val="24"/>
        </w:rPr>
      </w:pPr>
      <w:bookmarkStart w:id="1911" w:name="_Toc440982197"/>
      <w:r w:rsidRPr="003C18BC">
        <w:rPr>
          <w:rFonts w:cs="Arial"/>
          <w:szCs w:val="24"/>
        </w:rPr>
        <w:t>the period in which the steps must be taken;</w:t>
      </w:r>
      <w:bookmarkEnd w:id="1911"/>
    </w:p>
    <w:p w14:paraId="399591AF" w14:textId="77777777" w:rsidR="00144CDA" w:rsidRPr="003C18BC" w:rsidRDefault="00144CDA" w:rsidP="00825050">
      <w:pPr>
        <w:pStyle w:val="Heading3"/>
        <w:numPr>
          <w:ilvl w:val="2"/>
          <w:numId w:val="32"/>
        </w:numPr>
        <w:tabs>
          <w:tab w:val="clear" w:pos="0"/>
          <w:tab w:val="num" w:pos="2393"/>
        </w:tabs>
        <w:spacing w:before="120" w:after="120" w:line="276" w:lineRule="auto"/>
        <w:ind w:left="2393" w:hanging="953"/>
        <w:jc w:val="both"/>
        <w:rPr>
          <w:rFonts w:cs="Arial"/>
          <w:szCs w:val="24"/>
        </w:rPr>
      </w:pPr>
      <w:bookmarkStart w:id="1912" w:name="_Toc440982198"/>
      <w:r w:rsidRPr="003C18BC">
        <w:rPr>
          <w:rFonts w:cs="Arial"/>
          <w:szCs w:val="24"/>
        </w:rPr>
        <w:t>any arrangements for reviewing the matter to ensure that the requirements of the Remedial Notice have been met; and</w:t>
      </w:r>
      <w:bookmarkEnd w:id="1912"/>
    </w:p>
    <w:p w14:paraId="3A02B998" w14:textId="77777777" w:rsidR="00144CDA" w:rsidRPr="003C18BC" w:rsidRDefault="00144CDA" w:rsidP="00825050">
      <w:pPr>
        <w:pStyle w:val="Heading3"/>
        <w:numPr>
          <w:ilvl w:val="2"/>
          <w:numId w:val="32"/>
        </w:numPr>
        <w:tabs>
          <w:tab w:val="clear" w:pos="0"/>
          <w:tab w:val="num" w:pos="2393"/>
        </w:tabs>
        <w:spacing w:before="120" w:after="120" w:line="276" w:lineRule="auto"/>
        <w:ind w:left="2393" w:hanging="953"/>
        <w:jc w:val="both"/>
        <w:rPr>
          <w:rFonts w:cs="Arial"/>
          <w:szCs w:val="24"/>
        </w:rPr>
      </w:pPr>
      <w:bookmarkStart w:id="1913" w:name="_Toc440982199"/>
      <w:r w:rsidRPr="003C18BC">
        <w:rPr>
          <w:rFonts w:cs="Arial"/>
          <w:szCs w:val="24"/>
        </w:rPr>
        <w:t>the actions that the Commissioner shall take if the contractor fails to satisfactorily remedy the breach.</w:t>
      </w:r>
      <w:bookmarkEnd w:id="1913"/>
    </w:p>
    <w:p w14:paraId="1596DFF4" w14:textId="77777777" w:rsidR="00144CDA" w:rsidRPr="003C18BC" w:rsidRDefault="00144CDA" w:rsidP="00445ECA">
      <w:pPr>
        <w:pStyle w:val="Heading3"/>
      </w:pPr>
      <w:bookmarkStart w:id="1914" w:name="_Toc440982200"/>
      <w:r w:rsidRPr="003C18BC">
        <w:t>The Commissioner may wish to include in the Remedial Notice how the contractor may appeal against the decision to issue a Remedial Notice.</w:t>
      </w:r>
      <w:bookmarkEnd w:id="1914"/>
      <w:r w:rsidRPr="003C18BC">
        <w:t xml:space="preserve"> </w:t>
      </w:r>
    </w:p>
    <w:p w14:paraId="581A3E0D" w14:textId="2B565E8D" w:rsidR="00144CDA" w:rsidRPr="003C18BC" w:rsidRDefault="00144CDA" w:rsidP="00445ECA">
      <w:pPr>
        <w:pStyle w:val="Heading3"/>
      </w:pPr>
      <w:bookmarkStart w:id="1915" w:name="_Toc440982201"/>
      <w:r w:rsidRPr="003C18BC">
        <w:t xml:space="preserve">A template Remedial Notice is provided in Annex 2. Where NHS England is the Commissioner, the finalised Remedial Notice should be signed off by the Head of Commissioning or their nominated deputy. Where the Commissioner is a </w:t>
      </w:r>
      <w:r w:rsidR="008B199F">
        <w:t>CCG/IC</w:t>
      </w:r>
      <w:r w:rsidR="00DA60A5">
        <w:t>B</w:t>
      </w:r>
      <w:r w:rsidRPr="003C18BC">
        <w:t xml:space="preserve"> operating under delegated commissioning arrangements, the </w:t>
      </w:r>
      <w:r w:rsidR="008B199F">
        <w:t>S</w:t>
      </w:r>
      <w:r w:rsidR="00B83042">
        <w:t>CCG/ICB</w:t>
      </w:r>
      <w:r w:rsidRPr="003C18BC">
        <w:t xml:space="preserve"> should ensure the finalised Remedial Notice is signed off by </w:t>
      </w:r>
      <w:r w:rsidR="0078150C">
        <w:t xml:space="preserve">the Chief Operating Officer (COO) or </w:t>
      </w:r>
      <w:r w:rsidRPr="003C18BC">
        <w:t>an individual</w:t>
      </w:r>
      <w:r w:rsidR="0078150C">
        <w:t xml:space="preserve"> </w:t>
      </w:r>
      <w:r w:rsidR="0078150C" w:rsidRPr="003C18BC">
        <w:t>authorised</w:t>
      </w:r>
      <w:r w:rsidR="0078150C">
        <w:t xml:space="preserve"> by the COO</w:t>
      </w:r>
      <w:r w:rsidRPr="003C18BC">
        <w:t>.</w:t>
      </w:r>
      <w:bookmarkEnd w:id="1915"/>
    </w:p>
    <w:p w14:paraId="5B27754E" w14:textId="45DBE33C" w:rsidR="00A80864" w:rsidRPr="003C18BC" w:rsidRDefault="00144CDA" w:rsidP="00A80864">
      <w:pPr>
        <w:pStyle w:val="Heading3"/>
      </w:pPr>
      <w:bookmarkStart w:id="1916" w:name="_Toc440982202"/>
      <w:r w:rsidRPr="003C18BC">
        <w:t>The period during which the steps to remedy the breach must be taken must not be less than 28 days from the date that notice is given, unless the Commissioner is satisfied that a shorter period is necessary to protect the safety of the contractor's patients or protect from material financial loss.</w:t>
      </w:r>
      <w:bookmarkEnd w:id="1916"/>
      <w:r w:rsidRPr="003C18BC">
        <w:t xml:space="preserve"> </w:t>
      </w:r>
      <w:r w:rsidR="00A80864">
        <w:t>In setting an appropriate remedial period, the Commissioner should ensure that it would be possible for the breach to remedied within that timescale.  For example, if a premises breach required major building works to remedy the issue, 28 days will not be reasonable if it seems likely that it would be impossible to meet this deadline.</w:t>
      </w:r>
    </w:p>
    <w:p w14:paraId="01CB4B39" w14:textId="77777777" w:rsidR="00144CDA" w:rsidRPr="009A7101" w:rsidRDefault="00144CDA" w:rsidP="00A553BA"/>
    <w:p w14:paraId="6F117CA8" w14:textId="4981BCCF" w:rsidR="00144CDA" w:rsidRPr="003C18BC" w:rsidRDefault="00144CDA" w:rsidP="00445ECA">
      <w:pPr>
        <w:pStyle w:val="Heading3"/>
      </w:pPr>
      <w:bookmarkStart w:id="1917" w:name="_Toc440982203"/>
      <w:r w:rsidRPr="003C18BC">
        <w:t>The Remedial Notice must be delivered to the contractor in accordance with the notice provisions of the contract. This usually requires hand delivery or postal delivery (first class or registered post). Delivery of a notice by email may be permissible. The Commissioner should review the relevant provisions to the contract to ensure proper delivery. Where the notice is hand delivered, the template Receipt Notice in Annex 3 can be used.</w:t>
      </w:r>
      <w:bookmarkEnd w:id="1917"/>
      <w:r w:rsidRPr="003C18BC">
        <w:t xml:space="preserve"> </w:t>
      </w:r>
    </w:p>
    <w:p w14:paraId="0CE826A8" w14:textId="74411AF3" w:rsidR="00144CDA" w:rsidRPr="003C18BC" w:rsidRDefault="00144CDA" w:rsidP="00445ECA">
      <w:pPr>
        <w:pStyle w:val="Heading3"/>
      </w:pPr>
      <w:bookmarkStart w:id="1918" w:name="_Toc440982204"/>
      <w:r w:rsidRPr="003C18BC">
        <w:t>The Commissioner should ensure that arrangements are in place to follow up a Remedial Notice appropriately and in a timely fashion.</w:t>
      </w:r>
      <w:bookmarkEnd w:id="1918"/>
    </w:p>
    <w:p w14:paraId="411FBB8B" w14:textId="47D8CBBD" w:rsidR="00144CDA" w:rsidRPr="003C18BC" w:rsidRDefault="00144CDA" w:rsidP="00445ECA">
      <w:pPr>
        <w:pStyle w:val="Heading3"/>
      </w:pPr>
      <w:bookmarkStart w:id="1919" w:name="_Toc440982205"/>
      <w:r w:rsidRPr="003C18BC">
        <w:t>Where the Commissioner is satisfied that the contractor has taken the required steps to remedy the breach within the required period, a letter should be issued to the contractor informing them that the terms of the Remedial Notice have been satisfied and that no further action will be taken at this stage. A template Remedial Notice Satisfaction letter is provided in Annex 4.</w:t>
      </w:r>
      <w:bookmarkEnd w:id="1919"/>
    </w:p>
    <w:p w14:paraId="796AAC64" w14:textId="5F058B5C" w:rsidR="00144CDA" w:rsidRPr="003C18BC" w:rsidRDefault="00144CDA" w:rsidP="00445ECA">
      <w:pPr>
        <w:pStyle w:val="Heading3"/>
      </w:pPr>
      <w:bookmarkStart w:id="1920" w:name="_Toc440982206"/>
      <w:r w:rsidRPr="003C18BC">
        <w:t>Where the Commissioner is satisfied that the contractor has not taken the required steps to remedy the breach by the end of the required notice period, the Commissioner may inform the contractor that they have failed to meet the terms of the Remedial Notice and that the Commissioner may terminate the contract with effect from such date as the Commissioner may specify in a further notice to the contractor.</w:t>
      </w:r>
      <w:bookmarkEnd w:id="1920"/>
    </w:p>
    <w:p w14:paraId="0C6483EC" w14:textId="52010E27" w:rsidR="00144CDA" w:rsidRPr="003C18BC" w:rsidRDefault="00144CDA" w:rsidP="00445ECA">
      <w:pPr>
        <w:pStyle w:val="Heading3"/>
      </w:pPr>
      <w:bookmarkStart w:id="1921" w:name="_Toc440982207"/>
      <w:r w:rsidRPr="003C18BC">
        <w:t xml:space="preserve">Where the Commissioner intends to terminate the contract, please refer to paragraphs </w:t>
      </w:r>
      <w:r w:rsidR="00C279FA">
        <w:t xml:space="preserve">1.5 to 1.7 </w:t>
      </w:r>
      <w:r w:rsidRPr="003C18BC">
        <w:t>of this policy.</w:t>
      </w:r>
      <w:bookmarkEnd w:id="1921"/>
    </w:p>
    <w:p w14:paraId="0725B780" w14:textId="5DAE17D3" w:rsidR="00144CDA" w:rsidRPr="003C18BC" w:rsidRDefault="00144CDA" w:rsidP="00445ECA">
      <w:pPr>
        <w:pStyle w:val="Heading3"/>
      </w:pPr>
      <w:bookmarkStart w:id="1922" w:name="_Ref409601152"/>
      <w:bookmarkStart w:id="1923" w:name="_Toc440982208"/>
      <w:r w:rsidRPr="003C18BC">
        <w:t>If, following the issue of a Remedial Notice, a contractor either repeats a breach that was the subject of a Remedial Notice or otherwise breaches the contract that results in a further Remedial Notice or a Breach Notice, then the Commissioner has the right to terminate the contract by serving notice on the contractor.</w:t>
      </w:r>
      <w:bookmarkEnd w:id="1922"/>
      <w:bookmarkEnd w:id="1923"/>
      <w:r w:rsidRPr="003C18BC">
        <w:t xml:space="preserve"> </w:t>
      </w:r>
    </w:p>
    <w:p w14:paraId="69771229" w14:textId="3440FDEE" w:rsidR="00A80864" w:rsidRPr="00A80864" w:rsidRDefault="00A80864" w:rsidP="00A80864">
      <w:pPr>
        <w:pStyle w:val="Heading3"/>
      </w:pPr>
      <w:bookmarkStart w:id="1924" w:name="_Toc440982209"/>
      <w:r w:rsidRPr="00A80864">
        <w:t xml:space="preserve">For GMS and PMS, </w:t>
      </w:r>
      <w:r w:rsidR="009F1EC8" w:rsidRPr="00A80864">
        <w:t>the</w:t>
      </w:r>
      <w:r w:rsidRPr="00A80864">
        <w:t xml:space="preserve"> right to terminate in paragraph 1.3.19 above must only be used where the Commissioner is satisfied that the cumulative effect of the breaches is such that the Commissioner considers that to allow the contract to continue would be prejudicial to the efficiency of the services to be provided under the contract. The Commissioner does not usually have to establish this when terminating an APMS contract, although check the contract wording. Where the Commissioner intends to terminate the contract under this right, please refer to paragraph 1.7.46 of this policy.</w:t>
      </w:r>
    </w:p>
    <w:p w14:paraId="2DFBDEF8" w14:textId="733040C3" w:rsidR="00144CDA" w:rsidRPr="003C18BC" w:rsidRDefault="00144CDA" w:rsidP="00445ECA">
      <w:pPr>
        <w:pStyle w:val="Heading3"/>
      </w:pPr>
      <w:bookmarkStart w:id="1925" w:name="_Toc440982210"/>
      <w:bookmarkEnd w:id="1924"/>
      <w:r w:rsidRPr="003C18BC">
        <w:t xml:space="preserve">If the contractor is in breach of any obligation and a Remedial Notice in respect of that default has been given to the contractor, the Commissioner may withhold or deduct monies </w:t>
      </w:r>
      <w:r w:rsidR="00BE5E83">
        <w:t>that</w:t>
      </w:r>
      <w:r w:rsidRPr="003C18BC">
        <w:t xml:space="preserve"> would otherwise be payable under the contract in respect of that obligation which is the subject of the default.</w:t>
      </w:r>
      <w:bookmarkEnd w:id="1925"/>
    </w:p>
    <w:p w14:paraId="7ABE28DE" w14:textId="77777777" w:rsidR="007F74CD" w:rsidRDefault="007F74CD" w:rsidP="00D75573">
      <w:pPr>
        <w:pStyle w:val="BodyText"/>
        <w:ind w:left="720"/>
      </w:pPr>
      <w:bookmarkStart w:id="1926" w:name="_Toc440982212"/>
    </w:p>
    <w:p w14:paraId="35219716" w14:textId="65BEDB64" w:rsidR="0076563F" w:rsidRDefault="0076563F" w:rsidP="00EB02C1">
      <w:pPr>
        <w:pStyle w:val="BodyText"/>
        <w:rPr>
          <w:b/>
          <w:color w:val="0070C0"/>
          <w:sz w:val="24"/>
          <w:szCs w:val="24"/>
        </w:rPr>
      </w:pPr>
    </w:p>
    <w:p w14:paraId="65F38742" w14:textId="3E0B59B3" w:rsidR="00E870D3" w:rsidRDefault="00E870D3" w:rsidP="00EB02C1">
      <w:pPr>
        <w:pStyle w:val="BodyText"/>
        <w:rPr>
          <w:b/>
          <w:color w:val="0070C0"/>
          <w:sz w:val="24"/>
          <w:szCs w:val="24"/>
        </w:rPr>
      </w:pPr>
    </w:p>
    <w:p w14:paraId="547CFCB2" w14:textId="59F71C3E" w:rsidR="00E870D3" w:rsidRDefault="00E870D3" w:rsidP="00EB02C1">
      <w:pPr>
        <w:pStyle w:val="BodyText"/>
        <w:rPr>
          <w:b/>
          <w:color w:val="0070C0"/>
          <w:sz w:val="24"/>
          <w:szCs w:val="24"/>
        </w:rPr>
      </w:pPr>
    </w:p>
    <w:p w14:paraId="78035FB8" w14:textId="77777777" w:rsidR="00E870D3" w:rsidRDefault="00E870D3" w:rsidP="00EB02C1">
      <w:pPr>
        <w:pStyle w:val="BodyText"/>
        <w:rPr>
          <w:b/>
          <w:color w:val="0070C0"/>
          <w:sz w:val="24"/>
          <w:szCs w:val="24"/>
        </w:rPr>
      </w:pPr>
    </w:p>
    <w:p w14:paraId="16ABFC10" w14:textId="2F96FAE3" w:rsidR="00144CDA" w:rsidRDefault="00144CDA" w:rsidP="00D75573">
      <w:pPr>
        <w:pStyle w:val="BodyText"/>
        <w:ind w:left="720"/>
        <w:rPr>
          <w:b/>
          <w:color w:val="0070C0"/>
          <w:sz w:val="24"/>
          <w:szCs w:val="24"/>
        </w:rPr>
      </w:pPr>
      <w:r w:rsidRPr="00D75573">
        <w:rPr>
          <w:b/>
          <w:color w:val="0070C0"/>
          <w:sz w:val="24"/>
          <w:szCs w:val="24"/>
        </w:rPr>
        <w:t>Breach Notice</w:t>
      </w:r>
      <w:bookmarkEnd w:id="1926"/>
    </w:p>
    <w:p w14:paraId="662D9637" w14:textId="77777777" w:rsidR="00D75573" w:rsidRPr="00D75573" w:rsidRDefault="00D75573" w:rsidP="00D75573">
      <w:pPr>
        <w:pStyle w:val="BodyText"/>
        <w:ind w:left="720"/>
        <w:rPr>
          <w:b/>
          <w:color w:val="0070C0"/>
          <w:sz w:val="24"/>
          <w:szCs w:val="24"/>
        </w:rPr>
      </w:pPr>
    </w:p>
    <w:p w14:paraId="5EF1A7E9" w14:textId="77777777" w:rsidR="00144CDA" w:rsidRPr="003C18BC" w:rsidRDefault="00144CDA" w:rsidP="00445ECA">
      <w:pPr>
        <w:pStyle w:val="Heading3"/>
      </w:pPr>
      <w:bookmarkStart w:id="1927" w:name="_Toc440982213"/>
      <w:r w:rsidRPr="003C18BC">
        <w:t>Where the contractor has breached the contract and that breach is not capable of remedy, the Commissioner may serve a Breach Notice on the contractor requiring the contractor not to repeat the breach.</w:t>
      </w:r>
      <w:bookmarkEnd w:id="1927"/>
    </w:p>
    <w:p w14:paraId="77C37506" w14:textId="60D476C7" w:rsidR="00144CDA" w:rsidRPr="003C18BC" w:rsidRDefault="00144CDA" w:rsidP="00445ECA">
      <w:pPr>
        <w:pStyle w:val="Heading3"/>
      </w:pPr>
      <w:bookmarkStart w:id="1928" w:name="_Toc440982214"/>
      <w:r w:rsidRPr="003C18BC">
        <w:t>A flowchart highlighting the main steps that the Commissioner should take when issuing a Breach Notice is set out in Annex 5.</w:t>
      </w:r>
      <w:bookmarkEnd w:id="1928"/>
    </w:p>
    <w:p w14:paraId="206D7027" w14:textId="5022A079" w:rsidR="00144CDA" w:rsidRPr="003C18BC" w:rsidRDefault="00144CDA" w:rsidP="00445ECA">
      <w:pPr>
        <w:pStyle w:val="Heading3"/>
      </w:pPr>
      <w:bookmarkStart w:id="1929" w:name="_Toc440982215"/>
      <w:r w:rsidRPr="003C18BC">
        <w:t>Breach Notices cannot be issued where the breach relates to the following rights of termination:</w:t>
      </w:r>
      <w:bookmarkEnd w:id="1929"/>
    </w:p>
    <w:p w14:paraId="21743D25" w14:textId="6BD204B6" w:rsidR="00144CDA" w:rsidRPr="009A7101" w:rsidRDefault="00144CDA" w:rsidP="006C3DF5">
      <w:pPr>
        <w:pStyle w:val="ListParagraph"/>
        <w:numPr>
          <w:ilvl w:val="0"/>
          <w:numId w:val="182"/>
        </w:numPr>
        <w:spacing w:line="360" w:lineRule="auto"/>
        <w:ind w:left="714" w:hanging="357"/>
      </w:pPr>
      <w:bookmarkStart w:id="1930" w:name="_Toc440982216"/>
      <w:r w:rsidRPr="009A7101">
        <w:t>provision of untrue information;</w:t>
      </w:r>
      <w:bookmarkEnd w:id="1930"/>
    </w:p>
    <w:p w14:paraId="035A7808" w14:textId="77777777" w:rsidR="00144CDA" w:rsidRPr="009A7101" w:rsidRDefault="00144CDA" w:rsidP="006C3DF5">
      <w:pPr>
        <w:pStyle w:val="ListParagraph"/>
        <w:numPr>
          <w:ilvl w:val="0"/>
          <w:numId w:val="182"/>
        </w:numPr>
        <w:spacing w:line="360" w:lineRule="auto"/>
        <w:ind w:left="714" w:hanging="357"/>
      </w:pPr>
      <w:bookmarkStart w:id="1931" w:name="_Toc440982217"/>
      <w:r w:rsidRPr="009A7101">
        <w:t>fitness to practice matters;</w:t>
      </w:r>
      <w:bookmarkEnd w:id="1931"/>
    </w:p>
    <w:p w14:paraId="40BB783D" w14:textId="77777777" w:rsidR="00144CDA" w:rsidRPr="009A7101" w:rsidRDefault="00144CDA" w:rsidP="006C3DF5">
      <w:pPr>
        <w:pStyle w:val="ListParagraph"/>
        <w:numPr>
          <w:ilvl w:val="0"/>
          <w:numId w:val="182"/>
        </w:numPr>
        <w:spacing w:line="360" w:lineRule="auto"/>
        <w:ind w:left="714" w:hanging="357"/>
      </w:pPr>
      <w:bookmarkStart w:id="1932" w:name="_Toc440982218"/>
      <w:r w:rsidRPr="009A7101">
        <w:t>a serious risk to patient safety or risk of financial loss to NHS England;</w:t>
      </w:r>
      <w:bookmarkEnd w:id="1932"/>
    </w:p>
    <w:p w14:paraId="730091E0" w14:textId="77777777" w:rsidR="00144CDA" w:rsidRPr="009A7101" w:rsidRDefault="00144CDA" w:rsidP="006C3DF5">
      <w:pPr>
        <w:pStyle w:val="ListParagraph"/>
        <w:numPr>
          <w:ilvl w:val="0"/>
          <w:numId w:val="182"/>
        </w:numPr>
        <w:spacing w:line="360" w:lineRule="auto"/>
        <w:ind w:left="714" w:hanging="357"/>
      </w:pPr>
      <w:bookmarkStart w:id="1933" w:name="_Toc440982219"/>
      <w:r w:rsidRPr="009A7101">
        <w:t>unlawful sub-contracting; and</w:t>
      </w:r>
      <w:bookmarkEnd w:id="1933"/>
    </w:p>
    <w:p w14:paraId="77E936C8" w14:textId="77777777" w:rsidR="00144CDA" w:rsidRPr="009A7101" w:rsidRDefault="00144CDA" w:rsidP="006C3DF5">
      <w:pPr>
        <w:pStyle w:val="ListParagraph"/>
        <w:numPr>
          <w:ilvl w:val="0"/>
          <w:numId w:val="182"/>
        </w:numPr>
        <w:spacing w:line="360" w:lineRule="auto"/>
        <w:ind w:left="714" w:hanging="357"/>
      </w:pPr>
      <w:bookmarkStart w:id="1934" w:name="_Toc440982220"/>
      <w:r w:rsidRPr="009A7101">
        <w:t>in the case of a GMS contract, issues relating to the contractor's eligibility to hold the contract.</w:t>
      </w:r>
      <w:bookmarkEnd w:id="1934"/>
    </w:p>
    <w:p w14:paraId="48E792F6" w14:textId="431E04A8" w:rsidR="00144CDA" w:rsidRDefault="00144CDA" w:rsidP="00A553BA">
      <w:bookmarkStart w:id="1935" w:name="_Toc440982221"/>
      <w:r w:rsidRPr="003C18BC">
        <w:t xml:space="preserve">For further information on these rights of termination, please refer to </w:t>
      </w:r>
      <w:r w:rsidRPr="00445ECA">
        <w:t xml:space="preserve">paragraph </w:t>
      </w:r>
      <w:r w:rsidR="008D23C2">
        <w:t>1.7</w:t>
      </w:r>
      <w:r w:rsidRPr="00445ECA">
        <w:t>.</w:t>
      </w:r>
      <w:bookmarkEnd w:id="1935"/>
    </w:p>
    <w:p w14:paraId="5BBB24D9" w14:textId="77777777" w:rsidR="00445ECA" w:rsidRPr="00445ECA" w:rsidRDefault="00445ECA" w:rsidP="00445ECA"/>
    <w:p w14:paraId="76FDCE64" w14:textId="77777777" w:rsidR="00144CDA" w:rsidRPr="003C18BC" w:rsidRDefault="00144CDA" w:rsidP="00445ECA">
      <w:pPr>
        <w:pStyle w:val="Heading3"/>
      </w:pPr>
      <w:bookmarkStart w:id="1936" w:name="_Toc440982222"/>
      <w:r w:rsidRPr="003C18BC">
        <w:t>A breach that is not capable of remedy is where a breach occurs but either does not continue prior to a notice being issued or there is no action that can be taken to remedy the breach.</w:t>
      </w:r>
      <w:bookmarkEnd w:id="1936"/>
    </w:p>
    <w:p w14:paraId="01E3C92B" w14:textId="6DE41617" w:rsidR="00144CDA" w:rsidRPr="003C18BC" w:rsidRDefault="00144CDA" w:rsidP="00445ECA">
      <w:pPr>
        <w:pStyle w:val="Heading3"/>
      </w:pPr>
      <w:bookmarkStart w:id="1937" w:name="_Toc440982223"/>
      <w:r w:rsidRPr="003C18BC">
        <w:t>Examples of breaches that are not capable of remedy include:</w:t>
      </w:r>
      <w:bookmarkEnd w:id="1937"/>
    </w:p>
    <w:p w14:paraId="1AA92D3F" w14:textId="494E3B9D" w:rsidR="00144CDA" w:rsidRPr="003C18BC" w:rsidRDefault="00144CDA" w:rsidP="006C3DF5">
      <w:pPr>
        <w:pStyle w:val="Heading3"/>
        <w:numPr>
          <w:ilvl w:val="0"/>
          <w:numId w:val="85"/>
        </w:numPr>
        <w:spacing w:before="120" w:after="120"/>
        <w:jc w:val="both"/>
        <w:rPr>
          <w:rFonts w:cs="Arial"/>
          <w:szCs w:val="24"/>
        </w:rPr>
      </w:pPr>
      <w:bookmarkStart w:id="1938" w:name="_Toc440982224"/>
      <w:r w:rsidRPr="003C18BC">
        <w:rPr>
          <w:rFonts w:cs="Arial"/>
          <w:szCs w:val="24"/>
        </w:rPr>
        <w:t>a practice closing during its contracted opening times in the previous week with no access for the contractor's registered patients to access essential services; or</w:t>
      </w:r>
      <w:bookmarkEnd w:id="1938"/>
    </w:p>
    <w:p w14:paraId="67398D53" w14:textId="77777777" w:rsidR="00144CDA" w:rsidRPr="003C18BC" w:rsidRDefault="00144CDA" w:rsidP="006C3DF5">
      <w:pPr>
        <w:pStyle w:val="Heading3"/>
        <w:numPr>
          <w:ilvl w:val="0"/>
          <w:numId w:val="85"/>
        </w:numPr>
        <w:spacing w:before="120" w:after="120"/>
        <w:jc w:val="both"/>
        <w:rPr>
          <w:rFonts w:cs="Arial"/>
          <w:szCs w:val="24"/>
        </w:rPr>
      </w:pPr>
      <w:bookmarkStart w:id="1939" w:name="_Toc440982225"/>
      <w:r w:rsidRPr="003C18BC">
        <w:rPr>
          <w:rFonts w:cs="Arial"/>
          <w:szCs w:val="24"/>
        </w:rPr>
        <w:t>failure to store vaccines correctly and such vaccines have already been provided to patients.</w:t>
      </w:r>
      <w:bookmarkEnd w:id="1939"/>
      <w:r w:rsidRPr="003C18BC">
        <w:rPr>
          <w:rFonts w:cs="Arial"/>
          <w:szCs w:val="24"/>
        </w:rPr>
        <w:t xml:space="preserve"> </w:t>
      </w:r>
    </w:p>
    <w:p w14:paraId="25EF85EA" w14:textId="71A57493" w:rsidR="00144CDA" w:rsidRPr="003C18BC" w:rsidRDefault="00144CDA" w:rsidP="00445ECA">
      <w:pPr>
        <w:pStyle w:val="Heading3"/>
      </w:pPr>
      <w:bookmarkStart w:id="1940" w:name="_Toc440982226"/>
      <w:r w:rsidRPr="003C18BC">
        <w:t xml:space="preserve">Where the breach creates a serious risk to patient safety, the Commissioner can take more immediate action, regardless of whether the breach is capable of remedy or not. For further information on this, please refer to paragraph </w:t>
      </w:r>
      <w:r w:rsidR="008D23C2">
        <w:t>1.7.32</w:t>
      </w:r>
      <w:r w:rsidRPr="003C18BC">
        <w:t xml:space="preserve"> of this policy.</w:t>
      </w:r>
      <w:bookmarkEnd w:id="1940"/>
    </w:p>
    <w:p w14:paraId="5FE5A0F1" w14:textId="3522AF86" w:rsidR="00BA5AD7" w:rsidRPr="00BA5AD7" w:rsidRDefault="00BA5AD7" w:rsidP="00BA5AD7">
      <w:pPr>
        <w:pStyle w:val="Heading3"/>
      </w:pPr>
      <w:bookmarkStart w:id="1941" w:name="_Toc440982227"/>
      <w:r w:rsidRPr="00BA5AD7">
        <w:t>Where the Commissioner has determined that a breach is not capable of remedy, the Commissioner may, depending on the nature and circumstances of a breach take the following steps.  These steps do not prejudice or delay a Commissioners right to issue a Breach notice at any point before or during any of these steps being taken where the Commissioner reasonably considers it is appropriate to do so:</w:t>
      </w:r>
      <w:bookmarkEnd w:id="1941"/>
    </w:p>
    <w:p w14:paraId="075C2F39" w14:textId="3ACF2B4A" w:rsidR="00BA5AD7" w:rsidRPr="003C18BC" w:rsidRDefault="00BA5AD7" w:rsidP="00BA5AD7">
      <w:pPr>
        <w:pStyle w:val="Heading4"/>
      </w:pPr>
      <w:bookmarkStart w:id="1942" w:name="_Toc440982228"/>
      <w:r w:rsidRPr="003C18BC">
        <w:t>Initially the Commissioner should contact the contractor to discuss the breach and the action that they may be entitled to take, i.e. the issue of a Breach Notice.</w:t>
      </w:r>
      <w:bookmarkEnd w:id="1942"/>
      <w:r w:rsidRPr="003C18BC">
        <w:t xml:space="preserve"> This does not prejudice or delay a Commissioner</w:t>
      </w:r>
      <w:r w:rsidR="00BE5E83">
        <w:t>’</w:t>
      </w:r>
      <w:r w:rsidRPr="003C18BC">
        <w:t xml:space="preserve">s right to issue a </w:t>
      </w:r>
      <w:r>
        <w:t>B</w:t>
      </w:r>
      <w:r w:rsidRPr="003C18BC">
        <w:t xml:space="preserve">reach </w:t>
      </w:r>
      <w:r w:rsidR="00BE5E83">
        <w:t>N</w:t>
      </w:r>
      <w:r w:rsidRPr="003C18BC">
        <w:t>otice</w:t>
      </w:r>
      <w:r>
        <w:t>.</w:t>
      </w:r>
    </w:p>
    <w:p w14:paraId="768C3FDF" w14:textId="2D2D4F71" w:rsidR="00BA5AD7" w:rsidRPr="003C18BC" w:rsidRDefault="00BA5AD7" w:rsidP="00BA5AD7">
      <w:pPr>
        <w:pStyle w:val="Heading4"/>
      </w:pPr>
      <w:bookmarkStart w:id="1943" w:name="_Toc440982229"/>
      <w:r>
        <w:t>The discussion will afford the</w:t>
      </w:r>
      <w:r w:rsidRPr="003C18BC">
        <w:t xml:space="preserve"> </w:t>
      </w:r>
      <w:r w:rsidR="009F1EC8" w:rsidRPr="003C18BC">
        <w:t>contractor the</w:t>
      </w:r>
      <w:r w:rsidRPr="003C18BC">
        <w:t xml:space="preserve"> opportunity to provide an explanation as to the circumstances that led to the breach and this discussion should be recorded accurately in writing.</w:t>
      </w:r>
      <w:bookmarkEnd w:id="1943"/>
      <w:r w:rsidRPr="003C18BC">
        <w:t xml:space="preserve"> </w:t>
      </w:r>
    </w:p>
    <w:p w14:paraId="7D7B479E" w14:textId="20A59B0A" w:rsidR="00BA5AD7" w:rsidRPr="003C18BC" w:rsidRDefault="00BA5AD7" w:rsidP="00BA5AD7">
      <w:pPr>
        <w:pStyle w:val="Heading4"/>
      </w:pPr>
      <w:bookmarkStart w:id="1944" w:name="_Toc440982230"/>
      <w:r w:rsidRPr="003C18BC">
        <w:t xml:space="preserve">The Commissioner should </w:t>
      </w:r>
      <w:r>
        <w:t>review the evidence related to the breach including any information received during the discussion or in representations</w:t>
      </w:r>
      <w:bookmarkEnd w:id="1944"/>
      <w:r>
        <w:t>.</w:t>
      </w:r>
    </w:p>
    <w:p w14:paraId="7D77711B" w14:textId="550E50B6" w:rsidR="00BA5AD7" w:rsidRPr="003C18BC" w:rsidRDefault="00BA5AD7" w:rsidP="00BA5AD7">
      <w:pPr>
        <w:pStyle w:val="Heading4"/>
      </w:pPr>
      <w:bookmarkStart w:id="1945" w:name="_Toc440982231"/>
      <w:r w:rsidRPr="003C18BC">
        <w:t>If the Commissioner is satisfied that the matter is a breach which is not capable of remedy, then the Commissioner may issue a Breach Notice to the contractor, requiring the contractor not to repeat the breach.</w:t>
      </w:r>
      <w:bookmarkEnd w:id="1945"/>
    </w:p>
    <w:p w14:paraId="5CF970F5" w14:textId="77777777" w:rsidR="00445ECA" w:rsidRPr="00445ECA" w:rsidRDefault="00445ECA" w:rsidP="00445ECA"/>
    <w:p w14:paraId="1F0AE2F8" w14:textId="77777777" w:rsidR="00144CDA" w:rsidRPr="003C18BC" w:rsidRDefault="00144CDA" w:rsidP="00445ECA">
      <w:pPr>
        <w:pStyle w:val="Heading3"/>
      </w:pPr>
      <w:bookmarkStart w:id="1946" w:name="_Ref409796294"/>
      <w:bookmarkStart w:id="1947" w:name="_Toc440982232"/>
      <w:r w:rsidRPr="003C18BC">
        <w:t>The Breach Notice must specify:</w:t>
      </w:r>
      <w:bookmarkEnd w:id="1946"/>
      <w:bookmarkEnd w:id="1947"/>
    </w:p>
    <w:p w14:paraId="7FB1F684" w14:textId="2DC5A07B" w:rsidR="00144CDA" w:rsidRPr="003C18BC" w:rsidRDefault="00144CDA" w:rsidP="006C3DF5">
      <w:pPr>
        <w:pStyle w:val="Heading3"/>
        <w:numPr>
          <w:ilvl w:val="0"/>
          <w:numId w:val="85"/>
        </w:numPr>
        <w:spacing w:before="120" w:after="120"/>
        <w:jc w:val="both"/>
        <w:rPr>
          <w:rFonts w:cs="Arial"/>
          <w:szCs w:val="24"/>
        </w:rPr>
      </w:pPr>
      <w:bookmarkStart w:id="1948" w:name="_Toc440982233"/>
      <w:r w:rsidRPr="003C18BC">
        <w:rPr>
          <w:rFonts w:cs="Arial"/>
          <w:szCs w:val="24"/>
        </w:rPr>
        <w:t>details of the breach;</w:t>
      </w:r>
      <w:bookmarkEnd w:id="1948"/>
    </w:p>
    <w:p w14:paraId="694B2F85" w14:textId="77777777" w:rsidR="00144CDA" w:rsidRPr="003C18BC" w:rsidRDefault="00144CDA" w:rsidP="006C3DF5">
      <w:pPr>
        <w:pStyle w:val="Heading3"/>
        <w:numPr>
          <w:ilvl w:val="0"/>
          <w:numId w:val="85"/>
        </w:numPr>
        <w:spacing w:before="120" w:after="120"/>
        <w:jc w:val="both"/>
        <w:rPr>
          <w:rFonts w:cs="Arial"/>
          <w:szCs w:val="24"/>
        </w:rPr>
      </w:pPr>
      <w:bookmarkStart w:id="1949" w:name="_Toc440982234"/>
      <w:r w:rsidRPr="003C18BC">
        <w:rPr>
          <w:rFonts w:cs="Arial"/>
          <w:szCs w:val="24"/>
        </w:rPr>
        <w:t>the requirement that the contractor must not repeat the breach again; and</w:t>
      </w:r>
      <w:bookmarkEnd w:id="1949"/>
    </w:p>
    <w:p w14:paraId="046AEE0B" w14:textId="77777777" w:rsidR="00144CDA" w:rsidRPr="003C18BC" w:rsidRDefault="00144CDA" w:rsidP="006C3DF5">
      <w:pPr>
        <w:pStyle w:val="Heading3"/>
        <w:numPr>
          <w:ilvl w:val="0"/>
          <w:numId w:val="85"/>
        </w:numPr>
        <w:spacing w:before="120" w:after="120"/>
        <w:jc w:val="both"/>
        <w:rPr>
          <w:rFonts w:cs="Arial"/>
          <w:szCs w:val="24"/>
        </w:rPr>
      </w:pPr>
      <w:bookmarkStart w:id="1950" w:name="_Toc440982235"/>
      <w:r w:rsidRPr="003C18BC">
        <w:rPr>
          <w:rFonts w:cs="Arial"/>
          <w:szCs w:val="24"/>
        </w:rPr>
        <w:t>the consequences of the contractor further breaching the contract;</w:t>
      </w:r>
      <w:bookmarkEnd w:id="1950"/>
      <w:r w:rsidRPr="003C18BC">
        <w:rPr>
          <w:rFonts w:cs="Arial"/>
          <w:szCs w:val="24"/>
        </w:rPr>
        <w:t xml:space="preserve"> </w:t>
      </w:r>
    </w:p>
    <w:p w14:paraId="153ABE9E" w14:textId="0B45B920" w:rsidR="00144CDA" w:rsidRPr="003C18BC" w:rsidRDefault="00144CDA" w:rsidP="0078150C">
      <w:pPr>
        <w:pStyle w:val="Heading3"/>
      </w:pPr>
      <w:bookmarkStart w:id="1951" w:name="_Toc440982236"/>
      <w:r w:rsidRPr="003C18BC">
        <w:t xml:space="preserve">A template Breach Notice is provided in Annex 6. Where NHS England is the Commissioner, the finalised Breach Notice should be signed off by the Head of Commissioning or their nominated deputy. </w:t>
      </w:r>
      <w:bookmarkEnd w:id="1951"/>
      <w:r w:rsidR="0078150C" w:rsidRPr="0078150C">
        <w:t xml:space="preserve">Where the Commissioner is a </w:t>
      </w:r>
      <w:r w:rsidR="008B199F">
        <w:t>CCG/IC</w:t>
      </w:r>
      <w:r w:rsidR="00B05E68">
        <w:t>B</w:t>
      </w:r>
      <w:r w:rsidR="0078150C" w:rsidRPr="0078150C">
        <w:t xml:space="preserve"> operating under delegated commissioning arrangements, </w:t>
      </w:r>
      <w:r w:rsidR="00743A5E">
        <w:t>T</w:t>
      </w:r>
      <w:r w:rsidR="0078150C" w:rsidRPr="0078150C">
        <w:t xml:space="preserve">he </w:t>
      </w:r>
      <w:r w:rsidR="00B83042">
        <w:t>CCG/ICB</w:t>
      </w:r>
      <w:r w:rsidR="0078150C" w:rsidRPr="0078150C">
        <w:t xml:space="preserve"> should ensure the finalised Remedial Notice is signed off by the Chief Operating Officer (COO) or an individual authorised by the COO.</w:t>
      </w:r>
    </w:p>
    <w:p w14:paraId="09AF63BB" w14:textId="0CDBB7B3" w:rsidR="00144CDA" w:rsidRPr="003C18BC" w:rsidRDefault="00144CDA" w:rsidP="00445ECA">
      <w:pPr>
        <w:pStyle w:val="Heading3"/>
      </w:pPr>
      <w:bookmarkStart w:id="1952" w:name="_Toc440982237"/>
      <w:r w:rsidRPr="003C18BC">
        <w:t>The Breach Notice must be delivered to the contractor in accordance with the notice provisions of the contract. This usually requires hand delivery or postal delivery (first class or registered post). Delivery of a notice by email may be permissible. The Commissioner should review the relevant provisions to the contract to ensure proper delivery. Where the notice is hand delivered, the template Receipt Notice in Annex 3 can be used.</w:t>
      </w:r>
      <w:bookmarkEnd w:id="1952"/>
      <w:r w:rsidRPr="003C18BC">
        <w:t xml:space="preserve"> </w:t>
      </w:r>
    </w:p>
    <w:p w14:paraId="2891B67B" w14:textId="778FB363" w:rsidR="00144CDA" w:rsidRPr="003C18BC" w:rsidRDefault="00144CDA" w:rsidP="00445ECA">
      <w:pPr>
        <w:pStyle w:val="Heading3"/>
      </w:pPr>
      <w:bookmarkStart w:id="1953" w:name="_Toc440982238"/>
      <w:r w:rsidRPr="003C18BC">
        <w:t>If, following the issue of a Breach Notice, a contractor either repeats a breach that was the subject of a Breach Notice or otherwise breaches the contract that results in a further Remedial Notice or a Breach Notice, then the Commissioner has the right to terminate the contract by serving notice on the contractor.</w:t>
      </w:r>
      <w:bookmarkEnd w:id="1953"/>
      <w:r w:rsidRPr="003C18BC">
        <w:t xml:space="preserve"> </w:t>
      </w:r>
    </w:p>
    <w:p w14:paraId="79125356" w14:textId="44D288FA" w:rsidR="00144CDA" w:rsidRPr="003C18BC" w:rsidRDefault="00BF3B49" w:rsidP="00BF3B49">
      <w:pPr>
        <w:pStyle w:val="Heading3"/>
      </w:pPr>
      <w:bookmarkStart w:id="1954" w:name="_Toc440982239"/>
      <w:r>
        <w:t>For GMS and PMS, t</w:t>
      </w:r>
      <w:r w:rsidR="00144CDA" w:rsidRPr="003C18BC">
        <w:t xml:space="preserve">his right to terminate can only be used where the Commissioner is satisfied that the cumulative effect of the breaches is such that the Commissioner considers that to allow the contract to continue would be prejudicial to the efficiency of the services to be provided under the contract. </w:t>
      </w:r>
      <w:r w:rsidRPr="00BF3B49">
        <w:t xml:space="preserve">The Commissioner does not usually have to establish this when terminating an APMS contract, although check the contract wording. </w:t>
      </w:r>
      <w:r w:rsidR="00144CDA" w:rsidRPr="003C18BC">
        <w:t xml:space="preserve">Where the Commissioner intends to terminate the contract under this right, please refer to paragraph </w:t>
      </w:r>
      <w:r w:rsidR="008D23C2">
        <w:t>1.7.46</w:t>
      </w:r>
      <w:r w:rsidR="00144CDA" w:rsidRPr="003C18BC">
        <w:t xml:space="preserve"> of this policy.</w:t>
      </w:r>
      <w:bookmarkEnd w:id="1954"/>
    </w:p>
    <w:p w14:paraId="4F141575" w14:textId="4DD10A73" w:rsidR="00144CDA" w:rsidRPr="003C18BC" w:rsidRDefault="00144CDA" w:rsidP="00445ECA">
      <w:pPr>
        <w:pStyle w:val="Heading3"/>
      </w:pPr>
      <w:bookmarkStart w:id="1955" w:name="_Toc440982240"/>
      <w:r w:rsidRPr="003C18BC">
        <w:t xml:space="preserve">If the contractor is in breach of any obligation and a Breach Notice has been issued, the Commissioner may withhold or deduct monies </w:t>
      </w:r>
      <w:r w:rsidR="009A6804">
        <w:t>that</w:t>
      </w:r>
      <w:r w:rsidRPr="003C18BC">
        <w:t xml:space="preserve"> would otherwise be payable under the contract in respect of that obligation.</w:t>
      </w:r>
      <w:bookmarkEnd w:id="1955"/>
    </w:p>
    <w:p w14:paraId="00DCD9D4" w14:textId="77777777" w:rsidR="0085547B" w:rsidRDefault="0085547B" w:rsidP="006B5D10">
      <w:pPr>
        <w:pStyle w:val="Heading3"/>
        <w:numPr>
          <w:ilvl w:val="0"/>
          <w:numId w:val="0"/>
        </w:numPr>
        <w:ind w:left="720"/>
      </w:pPr>
      <w:bookmarkStart w:id="1956" w:name="_Toc440982241"/>
    </w:p>
    <w:p w14:paraId="50881613" w14:textId="642F999E" w:rsidR="00144CDA" w:rsidRPr="003C18BC" w:rsidRDefault="005250B6" w:rsidP="0085547B">
      <w:pPr>
        <w:pStyle w:val="Heading3"/>
      </w:pPr>
      <w:r>
        <w:t xml:space="preserve">The </w:t>
      </w:r>
      <w:r w:rsidR="00B05E68">
        <w:t>C</w:t>
      </w:r>
      <w:r>
        <w:t xml:space="preserve">ommissioner should retain and be able to report on all </w:t>
      </w:r>
      <w:r w:rsidR="00343D62">
        <w:t>contractual notices issued in any financial year to support local and national assurance arrangements.</w:t>
      </w:r>
      <w:r w:rsidR="006B5D10">
        <w:t xml:space="preserve"> </w:t>
      </w:r>
      <w:r w:rsidR="00144CDA" w:rsidRPr="003C18BC">
        <w:t>A template Notice Return is set out Annex 13 (s</w:t>
      </w:r>
      <w:bookmarkEnd w:id="1956"/>
      <w:r w:rsidR="00144CDA" w:rsidRPr="003C18BC">
        <w:t>ee also 1.4)</w:t>
      </w:r>
    </w:p>
    <w:p w14:paraId="0FC3B850" w14:textId="77777777" w:rsidR="00144CDA" w:rsidRPr="007C30BA" w:rsidRDefault="00144CDA" w:rsidP="00144CDA">
      <w:pPr>
        <w:pStyle w:val="Body2"/>
        <w:spacing w:before="120" w:after="120" w:line="276" w:lineRule="auto"/>
        <w:rPr>
          <w:rFonts w:cs="Arial"/>
        </w:rPr>
      </w:pPr>
    </w:p>
    <w:p w14:paraId="62828DA2" w14:textId="77777777" w:rsidR="00144CDA" w:rsidRPr="003C18BC" w:rsidRDefault="00144CDA" w:rsidP="00144CDA">
      <w:pPr>
        <w:pStyle w:val="Heading2"/>
      </w:pPr>
      <w:bookmarkStart w:id="1957" w:name="_Ref421255928"/>
      <w:bookmarkStart w:id="1958" w:name="_Toc440982242"/>
      <w:bookmarkStart w:id="1959" w:name="_Toc95743514"/>
      <w:r w:rsidRPr="003C18BC">
        <w:t>Contract sanctions</w:t>
      </w:r>
      <w:bookmarkEnd w:id="1957"/>
      <w:bookmarkEnd w:id="1958"/>
      <w:bookmarkEnd w:id="1959"/>
    </w:p>
    <w:p w14:paraId="45805F03" w14:textId="111CE627" w:rsidR="00144CDA" w:rsidRPr="003C18BC" w:rsidRDefault="00144CDA" w:rsidP="00445ECA">
      <w:pPr>
        <w:pStyle w:val="Heading3"/>
      </w:pPr>
      <w:bookmarkStart w:id="1960" w:name="_Toc440982243"/>
      <w:r w:rsidRPr="003C18BC">
        <w:rPr>
          <w:b/>
        </w:rPr>
        <w:t>GMS / PMS</w:t>
      </w:r>
      <w:r w:rsidRPr="003C18BC">
        <w:t xml:space="preserve"> - The Commissioner must follow the process set out in this section. PMS agreements refer to "agreement sanctions" rather than Contract Sanctions. Reference to Contract Sanctions in this policy should be read as including reference to agreement sanctions.</w:t>
      </w:r>
      <w:bookmarkEnd w:id="1960"/>
    </w:p>
    <w:p w14:paraId="68C9C3CA" w14:textId="7946CD4D" w:rsidR="00144CDA" w:rsidRPr="003C18BC" w:rsidRDefault="00144CDA" w:rsidP="00445ECA">
      <w:pPr>
        <w:pStyle w:val="Heading3"/>
      </w:pPr>
      <w:bookmarkStart w:id="1961" w:name="_Toc440982244"/>
      <w:r w:rsidRPr="003C18BC">
        <w:rPr>
          <w:b/>
        </w:rPr>
        <w:t>APMS</w:t>
      </w:r>
      <w:r w:rsidRPr="003C18BC">
        <w:t xml:space="preserve"> – APMS contracts are not required to contain provisions relating to Contract Sanctions. The NHS England Standard Alternative Provider Medical Services Contract does not contain references to Contract Sanctions. The Commissioner must check the relevant contract to determine whether Contract Sanctions can be applied.</w:t>
      </w:r>
      <w:bookmarkEnd w:id="1961"/>
    </w:p>
    <w:p w14:paraId="1F690416" w14:textId="3E882AD4" w:rsidR="00144CDA" w:rsidRPr="003C18BC" w:rsidRDefault="00144CDA" w:rsidP="00445ECA">
      <w:pPr>
        <w:pStyle w:val="Heading3"/>
      </w:pPr>
      <w:bookmarkStart w:id="1962" w:name="_Toc440982245"/>
      <w:r w:rsidRPr="003C18BC">
        <w:t xml:space="preserve">Contract Sanctions must not be applied to a contract unless the Commissioner </w:t>
      </w:r>
      <w:r w:rsidR="00BF3B49">
        <w:t xml:space="preserve">has the right </w:t>
      </w:r>
      <w:r w:rsidRPr="003C18BC">
        <w:t xml:space="preserve">to terminate. Where Contract Sanctions are applied, this is </w:t>
      </w:r>
      <w:r w:rsidR="00BF3B49">
        <w:t xml:space="preserve">instead of </w:t>
      </w:r>
      <w:r w:rsidRPr="003C18BC">
        <w:t xml:space="preserve">terminating the contract. The Commissioner cannot apply Contract Sanctions and later decide to terminate the contract </w:t>
      </w:r>
      <w:r w:rsidR="00BF3B49">
        <w:t>based on the breach that triggered the Contract Sanction</w:t>
      </w:r>
      <w:r w:rsidRPr="003C18BC">
        <w:t>.</w:t>
      </w:r>
      <w:bookmarkEnd w:id="1962"/>
      <w:r w:rsidRPr="003C18BC">
        <w:t xml:space="preserve"> </w:t>
      </w:r>
    </w:p>
    <w:p w14:paraId="1ACE8275" w14:textId="43C6FAE2" w:rsidR="00144CDA" w:rsidRPr="003C18BC" w:rsidRDefault="00144CDA" w:rsidP="00445ECA">
      <w:pPr>
        <w:pStyle w:val="Heading3"/>
      </w:pPr>
      <w:bookmarkStart w:id="1963" w:name="_Toc440982246"/>
      <w:r w:rsidRPr="003C18BC">
        <w:t xml:space="preserve">The circumstances in which the Commissioner may apply Contract Sanctions are those circumstances set out below where a right of termination arises. Please refer to the relevant right of termination in paragraph </w:t>
      </w:r>
      <w:r w:rsidRPr="003C18BC">
        <w:fldChar w:fldCharType="begin"/>
      </w:r>
      <w:r w:rsidRPr="003C18BC">
        <w:instrText xml:space="preserve"> REF _Ref409600317 \r \h  \* MERGEFORMAT </w:instrText>
      </w:r>
      <w:r w:rsidRPr="003C18BC">
        <w:fldChar w:fldCharType="separate"/>
      </w:r>
      <w:r w:rsidR="00054166">
        <w:t>1.7</w:t>
      </w:r>
      <w:r w:rsidRPr="003C18BC">
        <w:fldChar w:fldCharType="end"/>
      </w:r>
      <w:r w:rsidRPr="003C18BC">
        <w:t xml:space="preserve"> for further information on how these rights of termination arise:</w:t>
      </w:r>
      <w:bookmarkEnd w:id="1963"/>
    </w:p>
    <w:p w14:paraId="7F6F7A66" w14:textId="04EC4323" w:rsidR="00144CDA" w:rsidRPr="009A7101" w:rsidRDefault="00144CDA" w:rsidP="006C3DF5">
      <w:pPr>
        <w:pStyle w:val="ListParagraph"/>
        <w:numPr>
          <w:ilvl w:val="0"/>
          <w:numId w:val="183"/>
        </w:numPr>
        <w:spacing w:line="360" w:lineRule="auto"/>
        <w:ind w:left="714" w:hanging="357"/>
      </w:pPr>
      <w:bookmarkStart w:id="1964" w:name="_Toc440982247"/>
      <w:r w:rsidRPr="009A7101">
        <w:t>provision of untrue information;</w:t>
      </w:r>
      <w:bookmarkEnd w:id="1964"/>
    </w:p>
    <w:p w14:paraId="72B78839" w14:textId="77777777" w:rsidR="00144CDA" w:rsidRPr="009A7101" w:rsidRDefault="00144CDA" w:rsidP="006C3DF5">
      <w:pPr>
        <w:pStyle w:val="ListParagraph"/>
        <w:numPr>
          <w:ilvl w:val="0"/>
          <w:numId w:val="183"/>
        </w:numPr>
        <w:spacing w:line="360" w:lineRule="auto"/>
        <w:ind w:left="714" w:hanging="357"/>
      </w:pPr>
      <w:bookmarkStart w:id="1965" w:name="_Toc440982248"/>
      <w:r w:rsidRPr="009A7101">
        <w:t>fitness to practice matters;</w:t>
      </w:r>
      <w:bookmarkEnd w:id="1965"/>
    </w:p>
    <w:p w14:paraId="05F1E593" w14:textId="77777777" w:rsidR="00144CDA" w:rsidRPr="009A7101" w:rsidRDefault="00144CDA" w:rsidP="006C3DF5">
      <w:pPr>
        <w:pStyle w:val="ListParagraph"/>
        <w:numPr>
          <w:ilvl w:val="0"/>
          <w:numId w:val="183"/>
        </w:numPr>
        <w:spacing w:line="360" w:lineRule="auto"/>
        <w:ind w:left="714" w:hanging="357"/>
      </w:pPr>
      <w:bookmarkStart w:id="1966" w:name="_Toc440982249"/>
      <w:r w:rsidRPr="009A7101">
        <w:t>where there is a serious risk to patient safety or NHS England is at risk of material financial loss;</w:t>
      </w:r>
      <w:bookmarkEnd w:id="1966"/>
      <w:r w:rsidRPr="009A7101">
        <w:t xml:space="preserve"> </w:t>
      </w:r>
    </w:p>
    <w:p w14:paraId="2C00FD6A" w14:textId="77777777" w:rsidR="00144CDA" w:rsidRPr="009A7101" w:rsidRDefault="00144CDA" w:rsidP="006C3DF5">
      <w:pPr>
        <w:pStyle w:val="ListParagraph"/>
        <w:numPr>
          <w:ilvl w:val="0"/>
          <w:numId w:val="183"/>
        </w:numPr>
        <w:spacing w:line="360" w:lineRule="auto"/>
        <w:ind w:left="714" w:hanging="357"/>
      </w:pPr>
      <w:bookmarkStart w:id="1967" w:name="_Toc440982250"/>
      <w:r w:rsidRPr="009A7101">
        <w:t>where the Commissioner is satisfied that the contractor has not taken the steps required by a Remedial Notice to remedy a breach within the required period;</w:t>
      </w:r>
      <w:bookmarkEnd w:id="1967"/>
    </w:p>
    <w:p w14:paraId="3D068A26" w14:textId="77777777" w:rsidR="00144CDA" w:rsidRPr="009A7101" w:rsidRDefault="00144CDA" w:rsidP="006C3DF5">
      <w:pPr>
        <w:pStyle w:val="ListParagraph"/>
        <w:numPr>
          <w:ilvl w:val="0"/>
          <w:numId w:val="183"/>
        </w:numPr>
        <w:spacing w:line="360" w:lineRule="auto"/>
        <w:ind w:left="714" w:hanging="357"/>
      </w:pPr>
      <w:bookmarkStart w:id="1968" w:name="_Toc440982251"/>
      <w:r w:rsidRPr="009A7101">
        <w:t>where, after a Remedial Notice or Breach Notice has been issued, the contractor:</w:t>
      </w:r>
      <w:bookmarkEnd w:id="1968"/>
    </w:p>
    <w:p w14:paraId="64ADEE71" w14:textId="5DC62C40" w:rsidR="00144CDA" w:rsidRPr="00C70CC1" w:rsidRDefault="00144CDA" w:rsidP="002F2E02">
      <w:pPr>
        <w:pStyle w:val="ListParagraph"/>
        <w:spacing w:line="360" w:lineRule="auto"/>
        <w:ind w:left="714"/>
      </w:pPr>
      <w:r w:rsidRPr="007A3AF8">
        <w:t xml:space="preserve">repeats </w:t>
      </w:r>
      <w:r w:rsidRPr="0020637B">
        <w:t>a bre</w:t>
      </w:r>
      <w:r w:rsidRPr="001F7167">
        <w:t>ach that was the subject of a Remedial Notice or a Breach Notice; or</w:t>
      </w:r>
      <w:r w:rsidR="00F37335">
        <w:t xml:space="preserve"> </w:t>
      </w:r>
      <w:r w:rsidRPr="00C70CC1">
        <w:t xml:space="preserve">otherwise breaches the contract resulting in a further Remedial Notice or Breach Notice. </w:t>
      </w:r>
    </w:p>
    <w:p w14:paraId="7FA144BB" w14:textId="77777777" w:rsidR="00144CDA" w:rsidRPr="009A7101" w:rsidRDefault="00144CDA" w:rsidP="006C3DF5">
      <w:pPr>
        <w:pStyle w:val="ListParagraph"/>
        <w:numPr>
          <w:ilvl w:val="0"/>
          <w:numId w:val="183"/>
        </w:numPr>
        <w:spacing w:line="360" w:lineRule="auto"/>
        <w:ind w:left="714" w:hanging="357"/>
      </w:pPr>
      <w:bookmarkStart w:id="1969" w:name="_Toc440982252"/>
      <w:r w:rsidRPr="009A7101">
        <w:t>where the contractor carries on business detrimental to the contract; and/or</w:t>
      </w:r>
      <w:bookmarkEnd w:id="1969"/>
    </w:p>
    <w:p w14:paraId="68D6B869" w14:textId="169C6EAA" w:rsidR="00144CDA" w:rsidRPr="009A7101" w:rsidRDefault="00144CDA" w:rsidP="006C3DF5">
      <w:pPr>
        <w:pStyle w:val="ListParagraph"/>
        <w:numPr>
          <w:ilvl w:val="0"/>
          <w:numId w:val="183"/>
        </w:numPr>
        <w:spacing w:line="360" w:lineRule="auto"/>
        <w:ind w:left="714" w:hanging="357"/>
      </w:pPr>
      <w:bookmarkStart w:id="1970" w:name="_Toc440982253"/>
      <w:r w:rsidRPr="009A7101">
        <w:t xml:space="preserve">for GMS contracts only, where changes in </w:t>
      </w:r>
      <w:r w:rsidR="00F37335">
        <w:t xml:space="preserve">the </w:t>
      </w:r>
      <w:r w:rsidRPr="009A7101">
        <w:t xml:space="preserve">membership of the partnership </w:t>
      </w:r>
      <w:r w:rsidR="00F37335">
        <w:t>are</w:t>
      </w:r>
      <w:r w:rsidRPr="009A7101">
        <w:t xml:space="preserve"> likely to have a serious adverse impact on the ability of the contractor or the Commissioner to perform obligations under the contract.</w:t>
      </w:r>
      <w:bookmarkEnd w:id="1970"/>
    </w:p>
    <w:p w14:paraId="106D855D" w14:textId="77777777" w:rsidR="00144CDA" w:rsidRPr="003C18BC" w:rsidRDefault="00144CDA" w:rsidP="00445ECA">
      <w:pPr>
        <w:pStyle w:val="Heading3"/>
      </w:pPr>
      <w:bookmarkStart w:id="1971" w:name="_Toc440982254"/>
      <w:r w:rsidRPr="003C18BC">
        <w:t>Contract Sanctions must not be applied if they terminate or suspend any obligation that relates to essential services.</w:t>
      </w:r>
      <w:bookmarkEnd w:id="1971"/>
      <w:r w:rsidRPr="003C18BC">
        <w:t xml:space="preserve"> </w:t>
      </w:r>
    </w:p>
    <w:p w14:paraId="54A205DE" w14:textId="57979894" w:rsidR="00144CDA" w:rsidRPr="009A7101" w:rsidRDefault="00144CDA" w:rsidP="002F2E02">
      <w:pPr>
        <w:pStyle w:val="ListParagraph"/>
        <w:spacing w:line="360" w:lineRule="auto"/>
        <w:ind w:left="714"/>
      </w:pPr>
      <w:bookmarkStart w:id="1972" w:name="_Toc440982255"/>
      <w:r w:rsidRPr="009A7101">
        <w:t>Contract Sanctions may involve:</w:t>
      </w:r>
      <w:bookmarkEnd w:id="1972"/>
    </w:p>
    <w:p w14:paraId="66C8019E" w14:textId="77777777" w:rsidR="00144CDA" w:rsidRPr="009A7101" w:rsidRDefault="00144CDA" w:rsidP="006C3DF5">
      <w:pPr>
        <w:pStyle w:val="ListParagraph"/>
        <w:numPr>
          <w:ilvl w:val="0"/>
          <w:numId w:val="184"/>
        </w:numPr>
        <w:spacing w:line="360" w:lineRule="auto"/>
        <w:ind w:left="714" w:hanging="357"/>
      </w:pPr>
      <w:bookmarkStart w:id="1973" w:name="_Toc440982256"/>
      <w:r w:rsidRPr="009A7101">
        <w:t>termination of specified reciprocal obligations;</w:t>
      </w:r>
      <w:bookmarkEnd w:id="1973"/>
    </w:p>
    <w:p w14:paraId="21F300CA" w14:textId="77777777" w:rsidR="00144CDA" w:rsidRPr="009A7101" w:rsidRDefault="00144CDA" w:rsidP="006C3DF5">
      <w:pPr>
        <w:pStyle w:val="ListParagraph"/>
        <w:numPr>
          <w:ilvl w:val="0"/>
          <w:numId w:val="184"/>
        </w:numPr>
        <w:spacing w:line="360" w:lineRule="auto"/>
        <w:ind w:left="714" w:hanging="357"/>
      </w:pPr>
      <w:bookmarkStart w:id="1974" w:name="_Toc440982257"/>
      <w:r w:rsidRPr="009A7101">
        <w:t>suspension of specified reciprocal obligations for a period of up to six months; or</w:t>
      </w:r>
      <w:bookmarkEnd w:id="1974"/>
    </w:p>
    <w:p w14:paraId="0271F890" w14:textId="77777777" w:rsidR="00144CDA" w:rsidRPr="009A7101" w:rsidRDefault="00144CDA" w:rsidP="006C3DF5">
      <w:pPr>
        <w:pStyle w:val="ListParagraph"/>
        <w:numPr>
          <w:ilvl w:val="0"/>
          <w:numId w:val="184"/>
        </w:numPr>
        <w:spacing w:line="360" w:lineRule="auto"/>
        <w:ind w:left="714" w:hanging="357"/>
      </w:pPr>
      <w:bookmarkStart w:id="1975" w:name="_Toc440982258"/>
      <w:r w:rsidRPr="009A7101">
        <w:t>withholding or deducting monies otherwise payable under the contract.</w:t>
      </w:r>
      <w:bookmarkEnd w:id="1975"/>
    </w:p>
    <w:p w14:paraId="6959621C" w14:textId="77777777" w:rsidR="00144CDA" w:rsidRPr="003C18BC" w:rsidRDefault="00144CDA" w:rsidP="00445ECA">
      <w:pPr>
        <w:pStyle w:val="Heading3"/>
      </w:pPr>
      <w:bookmarkStart w:id="1976" w:name="_Toc440982259"/>
      <w:r w:rsidRPr="003C18BC">
        <w:t>The choice of which Contract Sanction to use would ordinarily depend on the nature of the breach, or cumulative effect, and what is felt to be the most appropriate and proportionate action in those circumstances. For example, if the breaches have occurred in relation to a specific service element under the contract, it might be most appropriate to move to terminate that specific service, such as an additional service.</w:t>
      </w:r>
      <w:bookmarkEnd w:id="1976"/>
    </w:p>
    <w:p w14:paraId="2515B60D" w14:textId="53F2F9B5" w:rsidR="00144CDA" w:rsidRPr="003C18BC" w:rsidRDefault="00144CDA" w:rsidP="00445ECA">
      <w:pPr>
        <w:pStyle w:val="Heading3"/>
      </w:pPr>
      <w:bookmarkStart w:id="1977" w:name="_Toc440982260"/>
      <w:r w:rsidRPr="003C18BC">
        <w:t>Where the Commissioner is considering imposing a Contract Sanction and the contractor has a GMS contract, it is a statutory requirement that the Commissioner consults the relevant LMC before it imposes the Contract Sanction, where it is reasonably practicable to do so. There is no such statutory requirement in respect of PMS or APMS contracts and the Commissioner should ensure it considers any relevant wording in the contract.</w:t>
      </w:r>
      <w:bookmarkEnd w:id="1977"/>
      <w:r w:rsidRPr="003C18BC">
        <w:t xml:space="preserve"> </w:t>
      </w:r>
    </w:p>
    <w:p w14:paraId="4CF5CE17" w14:textId="34B853C4" w:rsidR="00144CDA" w:rsidRPr="003C18BC" w:rsidRDefault="00144CDA" w:rsidP="00445ECA">
      <w:pPr>
        <w:pStyle w:val="Heading3"/>
      </w:pPr>
      <w:bookmarkStart w:id="1978" w:name="_Toc440982261"/>
      <w:r w:rsidRPr="003C18BC">
        <w:t xml:space="preserve">Where the Commissioner decides that the most appropriate sanction would be to withhold or deduct monies, this must be calculated </w:t>
      </w:r>
      <w:r w:rsidR="009F1EC8" w:rsidRPr="003C18BC">
        <w:t>to</w:t>
      </w:r>
      <w:r w:rsidRPr="003C18BC">
        <w:t xml:space="preserve"> establish a consistent, fair and measured approach. Annex 7 provides further information on calculating a financial Contract Sanction.</w:t>
      </w:r>
      <w:bookmarkEnd w:id="1978"/>
    </w:p>
    <w:p w14:paraId="0CF01922" w14:textId="1D68261B" w:rsidR="00144CDA" w:rsidRPr="003C18BC" w:rsidRDefault="00144CDA" w:rsidP="00445ECA">
      <w:pPr>
        <w:pStyle w:val="Heading3"/>
      </w:pPr>
      <w:bookmarkStart w:id="1979" w:name="_Toc440982262"/>
      <w:r w:rsidRPr="003C18BC">
        <w:t>Where the Commissioner decides to impose a Contract Sanction, the Commissioner must issue a notice of its intent to apply a sanction to the contractor which must include:</w:t>
      </w:r>
      <w:bookmarkEnd w:id="1979"/>
    </w:p>
    <w:p w14:paraId="7200D97B" w14:textId="08F423BC" w:rsidR="00144CDA" w:rsidRPr="009A7101" w:rsidRDefault="00144CDA" w:rsidP="006C3DF5">
      <w:pPr>
        <w:pStyle w:val="ListParagraph"/>
        <w:numPr>
          <w:ilvl w:val="0"/>
          <w:numId w:val="185"/>
        </w:numPr>
        <w:spacing w:line="360" w:lineRule="auto"/>
        <w:ind w:left="714" w:hanging="357"/>
      </w:pPr>
      <w:bookmarkStart w:id="1980" w:name="_Toc440982263"/>
      <w:r w:rsidRPr="009A7101">
        <w:t>the nature of the sanction to be applied;</w:t>
      </w:r>
      <w:bookmarkEnd w:id="1980"/>
    </w:p>
    <w:p w14:paraId="25A4435D" w14:textId="77777777" w:rsidR="00144CDA" w:rsidRPr="009A7101" w:rsidRDefault="00144CDA" w:rsidP="006C3DF5">
      <w:pPr>
        <w:pStyle w:val="ListParagraph"/>
        <w:numPr>
          <w:ilvl w:val="0"/>
          <w:numId w:val="185"/>
        </w:numPr>
        <w:spacing w:line="360" w:lineRule="auto"/>
        <w:ind w:left="714" w:hanging="357"/>
      </w:pPr>
      <w:bookmarkStart w:id="1981" w:name="_Toc440982264"/>
      <w:r w:rsidRPr="009A7101">
        <w:t>if withholding or deducting monies, how this has been calculated and the duration of any such sanction;</w:t>
      </w:r>
      <w:bookmarkEnd w:id="1981"/>
    </w:p>
    <w:p w14:paraId="29B90E0B" w14:textId="77777777" w:rsidR="00144CDA" w:rsidRPr="009A7101" w:rsidRDefault="00144CDA" w:rsidP="006C3DF5">
      <w:pPr>
        <w:pStyle w:val="ListParagraph"/>
        <w:numPr>
          <w:ilvl w:val="0"/>
          <w:numId w:val="185"/>
        </w:numPr>
        <w:spacing w:line="360" w:lineRule="auto"/>
        <w:ind w:left="714" w:hanging="357"/>
      </w:pPr>
      <w:bookmarkStart w:id="1982" w:name="_Toc440982265"/>
      <w:r w:rsidRPr="009A7101">
        <w:t>if services are to be terminated, which services and from what date;</w:t>
      </w:r>
      <w:bookmarkEnd w:id="1982"/>
    </w:p>
    <w:p w14:paraId="3B5C8BDF" w14:textId="64326530" w:rsidR="00144CDA" w:rsidRPr="009A7101" w:rsidRDefault="00144CDA" w:rsidP="006C3DF5">
      <w:pPr>
        <w:pStyle w:val="ListParagraph"/>
        <w:numPr>
          <w:ilvl w:val="0"/>
          <w:numId w:val="185"/>
        </w:numPr>
        <w:spacing w:line="360" w:lineRule="auto"/>
        <w:ind w:left="714" w:hanging="357"/>
      </w:pPr>
      <w:bookmarkStart w:id="1983" w:name="_Toc440982266"/>
      <w:r w:rsidRPr="009A7101">
        <w:t xml:space="preserve">if </w:t>
      </w:r>
      <w:r w:rsidR="00585577">
        <w:t xml:space="preserve">a </w:t>
      </w:r>
      <w:r w:rsidRPr="009A7101">
        <w:t>suspension of specified reciprocal obligations under the contract or agreement, the period of that suspension and its end date;</w:t>
      </w:r>
      <w:bookmarkEnd w:id="1983"/>
    </w:p>
    <w:p w14:paraId="686EB59D" w14:textId="77777777" w:rsidR="00144CDA" w:rsidRPr="009A7101" w:rsidRDefault="00144CDA" w:rsidP="006C3DF5">
      <w:pPr>
        <w:pStyle w:val="ListParagraph"/>
        <w:numPr>
          <w:ilvl w:val="0"/>
          <w:numId w:val="185"/>
        </w:numPr>
        <w:spacing w:line="360" w:lineRule="auto"/>
        <w:ind w:left="714" w:hanging="357"/>
      </w:pPr>
      <w:bookmarkStart w:id="1984" w:name="_Toc440982267"/>
      <w:r w:rsidRPr="009A7101">
        <w:t>an explanation of the effect of the imposition of the Contract Sanction; and</w:t>
      </w:r>
      <w:bookmarkEnd w:id="1984"/>
    </w:p>
    <w:p w14:paraId="7A3A2C70" w14:textId="77777777" w:rsidR="00144CDA" w:rsidRPr="009A7101" w:rsidRDefault="00144CDA" w:rsidP="006C3DF5">
      <w:pPr>
        <w:pStyle w:val="ListParagraph"/>
        <w:numPr>
          <w:ilvl w:val="0"/>
          <w:numId w:val="185"/>
        </w:numPr>
        <w:spacing w:line="360" w:lineRule="auto"/>
        <w:ind w:left="714" w:hanging="357"/>
      </w:pPr>
      <w:bookmarkStart w:id="1985" w:name="_Toc440982268"/>
      <w:r w:rsidRPr="009A7101">
        <w:t>the contractor's right to appeal the decision to apply a Contract Sanction.</w:t>
      </w:r>
      <w:bookmarkEnd w:id="1985"/>
    </w:p>
    <w:p w14:paraId="24C7ADD0" w14:textId="695AF88F" w:rsidR="00144CDA" w:rsidRPr="003C18BC" w:rsidRDefault="00144CDA" w:rsidP="00E874B3">
      <w:pPr>
        <w:pStyle w:val="Heading3"/>
      </w:pPr>
      <w:bookmarkStart w:id="1986" w:name="_Toc440982269"/>
      <w:r w:rsidRPr="003C18BC">
        <w:t xml:space="preserve">A template Contract Sanctions </w:t>
      </w:r>
      <w:r w:rsidR="006F59B3">
        <w:t>N</w:t>
      </w:r>
      <w:r w:rsidRPr="003C18BC">
        <w:t>otice is provided in Annex 8.</w:t>
      </w:r>
      <w:r w:rsidRPr="007C30BA">
        <w:t xml:space="preserve"> </w:t>
      </w:r>
      <w:r w:rsidRPr="003C18BC">
        <w:t xml:space="preserve">Where NHS England is the Commissioner, the finalised Contract Sanction </w:t>
      </w:r>
      <w:r w:rsidR="00585577">
        <w:t>N</w:t>
      </w:r>
      <w:r w:rsidRPr="003C18BC">
        <w:t xml:space="preserve">otice should be signed off by the Head of Commissioning or their nominated deputy. </w:t>
      </w:r>
      <w:bookmarkEnd w:id="1986"/>
      <w:r w:rsidR="00E874B3" w:rsidRPr="00E874B3">
        <w:t xml:space="preserve">Where the Commissioner is a </w:t>
      </w:r>
      <w:r w:rsidR="008B199F">
        <w:t>CCG/IC</w:t>
      </w:r>
      <w:r w:rsidR="002C5DCA">
        <w:t>B</w:t>
      </w:r>
      <w:r w:rsidR="00E874B3" w:rsidRPr="00E874B3">
        <w:t xml:space="preserve"> operating under delegated commissioning arrangements, the </w:t>
      </w:r>
      <w:r w:rsidR="00B83042">
        <w:t>CCG/ICB</w:t>
      </w:r>
      <w:r w:rsidR="00E874B3" w:rsidRPr="00E874B3">
        <w:t xml:space="preserve"> should ensure the finalised Remedial Notice is signed off by the Chief Operating Officer (COO) or an individual authorised by the COO.</w:t>
      </w:r>
    </w:p>
    <w:p w14:paraId="1B63D869" w14:textId="3C9F1CDF" w:rsidR="00144CDA" w:rsidRPr="003C18BC" w:rsidRDefault="00144CDA" w:rsidP="00445ECA">
      <w:pPr>
        <w:pStyle w:val="Heading3"/>
      </w:pPr>
      <w:bookmarkStart w:id="1987" w:name="_Toc440982270"/>
      <w:r w:rsidRPr="003C18BC">
        <w:t xml:space="preserve">The date that the Contract Sanction takes effect must not be until at least 28 days after the notice was served unless the Commissioner is satisfied that it is necessary to impose the Contract Sanction </w:t>
      </w:r>
      <w:r w:rsidR="006F59B3">
        <w:t xml:space="preserve">earlier </w:t>
      </w:r>
      <w:r w:rsidRPr="003C18BC">
        <w:t>to protect the safety of patients or protect from material financial loss.</w:t>
      </w:r>
      <w:bookmarkEnd w:id="1987"/>
      <w:r w:rsidRPr="003C18BC">
        <w:t xml:space="preserve"> </w:t>
      </w:r>
    </w:p>
    <w:p w14:paraId="6071F16F" w14:textId="1A874E47" w:rsidR="00144CDA" w:rsidRPr="003C18BC" w:rsidRDefault="00144CDA" w:rsidP="00445ECA">
      <w:pPr>
        <w:pStyle w:val="Heading3"/>
      </w:pPr>
      <w:bookmarkStart w:id="1988" w:name="_Toc440982271"/>
      <w:r w:rsidRPr="003C18BC">
        <w:t>Where a Contract Sanction is imposed, the Commissioner can charge the contractor reasonable administration costs of imposing the Contract Sanction.</w:t>
      </w:r>
      <w:bookmarkEnd w:id="1988"/>
    </w:p>
    <w:p w14:paraId="0E481F7F" w14:textId="66D63A20" w:rsidR="00144CDA" w:rsidRPr="003C18BC" w:rsidRDefault="00144CDA" w:rsidP="00445ECA">
      <w:pPr>
        <w:pStyle w:val="Heading3"/>
      </w:pPr>
      <w:bookmarkStart w:id="1989" w:name="_Toc440982272"/>
      <w:r w:rsidRPr="003C18BC">
        <w:t>After imposing the Contract Sanction on a contractor with a GMS contract, it is a statutory requirement for the Commissioner to, as soon as reasonably practicable, notify the relevant LMC in writing of the Contract Sanction imposed. There is no such statutory requirement in respect of PMS or APMS contracts and the Commissioner should ensure it considers any relevant wording in the contract.</w:t>
      </w:r>
      <w:bookmarkEnd w:id="1989"/>
    </w:p>
    <w:p w14:paraId="7FECFB63" w14:textId="05F8089D" w:rsidR="00144CDA" w:rsidRPr="003C18BC" w:rsidRDefault="00144CDA" w:rsidP="00445ECA">
      <w:pPr>
        <w:pStyle w:val="Heading3"/>
      </w:pPr>
      <w:bookmarkStart w:id="1990" w:name="_Toc440982273"/>
      <w:r w:rsidRPr="003C18BC">
        <w:t>If the contractor disputes the imposition of a Contract Sanction, the Commissioner must not impose the Contract Sanction until the dispute has been determined unless the Contract Sanction is necessary to protect the safety of patients or protect from material financial loss.</w:t>
      </w:r>
      <w:bookmarkEnd w:id="1990"/>
    </w:p>
    <w:p w14:paraId="41750445" w14:textId="40F42377" w:rsidR="00144CDA" w:rsidRPr="003C18BC" w:rsidRDefault="00144CDA" w:rsidP="00445ECA">
      <w:pPr>
        <w:pStyle w:val="Heading3"/>
      </w:pPr>
      <w:bookmarkStart w:id="1991" w:name="_Toc440982274"/>
      <w:r w:rsidRPr="003C18BC">
        <w:t xml:space="preserve">Where a dispute arises in relation to the imposition of Contract Sanctions, please refer to </w:t>
      </w:r>
      <w:r w:rsidR="00965C81">
        <w:t>the chapter on</w:t>
      </w:r>
      <w:r w:rsidRPr="003C18BC">
        <w:t xml:space="preserve"> managing disputes.</w:t>
      </w:r>
      <w:bookmarkEnd w:id="1991"/>
    </w:p>
    <w:p w14:paraId="413195EC" w14:textId="006A8337" w:rsidR="00144CDA" w:rsidRPr="003C18BC" w:rsidRDefault="00144CDA" w:rsidP="00445ECA">
      <w:pPr>
        <w:pStyle w:val="Heading3"/>
      </w:pPr>
      <w:bookmarkStart w:id="1992" w:name="_Toc440982275"/>
      <w:r w:rsidRPr="003C18BC">
        <w:t>The Commissioner should ensure that arrangements are in place to monitor the contractor's compliance with a Contract Sanction notice.</w:t>
      </w:r>
      <w:bookmarkEnd w:id="1992"/>
    </w:p>
    <w:p w14:paraId="265143D2" w14:textId="0246B8EE" w:rsidR="00144CDA" w:rsidRPr="003C18BC" w:rsidRDefault="00194AFD" w:rsidP="00445ECA">
      <w:pPr>
        <w:pStyle w:val="Heading3"/>
      </w:pPr>
      <w:bookmarkStart w:id="1993" w:name="_Toc440982276"/>
      <w:r>
        <w:t>The commissioner should retain and be able to report on all contractual sanctions  issued in any financial year to support any local and national assurance arrangements.</w:t>
      </w:r>
      <w:r w:rsidRPr="003C18BC" w:rsidDel="00194AFD">
        <w:t xml:space="preserve"> </w:t>
      </w:r>
      <w:r w:rsidR="00144CDA" w:rsidRPr="003C18BC">
        <w:t>A template Notice Return is set out Annex 13 (see also 1.4).</w:t>
      </w:r>
      <w:bookmarkEnd w:id="1993"/>
    </w:p>
    <w:p w14:paraId="16A394E6" w14:textId="77777777" w:rsidR="00144CDA" w:rsidRPr="007C30BA" w:rsidRDefault="00144CDA" w:rsidP="00144CDA">
      <w:pPr>
        <w:pStyle w:val="Body2"/>
        <w:spacing w:before="120" w:after="120" w:line="276" w:lineRule="auto"/>
        <w:rPr>
          <w:rFonts w:cs="Arial"/>
        </w:rPr>
      </w:pPr>
    </w:p>
    <w:p w14:paraId="1C940B95" w14:textId="77777777" w:rsidR="00144CDA" w:rsidRPr="003C18BC" w:rsidRDefault="00144CDA" w:rsidP="00144CDA">
      <w:pPr>
        <w:pStyle w:val="Heading2"/>
      </w:pPr>
      <w:bookmarkStart w:id="1994" w:name="_Ref409600303"/>
      <w:bookmarkStart w:id="1995" w:name="_Toc440982277"/>
      <w:bookmarkStart w:id="1996" w:name="_Toc95743515"/>
      <w:r w:rsidRPr="003C18BC">
        <w:t>Termination</w:t>
      </w:r>
      <w:bookmarkEnd w:id="1994"/>
      <w:bookmarkEnd w:id="1995"/>
      <w:bookmarkEnd w:id="1996"/>
      <w:r w:rsidRPr="003C18BC">
        <w:t xml:space="preserve"> </w:t>
      </w:r>
    </w:p>
    <w:p w14:paraId="768D064D" w14:textId="07675DD0" w:rsidR="00144CDA" w:rsidRPr="003C18BC" w:rsidRDefault="00144CDA" w:rsidP="00445ECA">
      <w:pPr>
        <w:pStyle w:val="Heading3"/>
      </w:pPr>
      <w:bookmarkStart w:id="1997" w:name="_Toc440982278"/>
      <w:r w:rsidRPr="003C18BC">
        <w:t xml:space="preserve">Termination is a very significant action to take both on the part of the Commissioner and the contractor and is an area of high risk for both parties in respect of financial impact and continuity of services. </w:t>
      </w:r>
      <w:r w:rsidRPr="003C18BC">
        <w:rPr>
          <w:iCs/>
        </w:rPr>
        <w:t xml:space="preserve">Where the Commissioner considers that a Termination Notice may be issued, the Commissioner should </w:t>
      </w:r>
      <w:r w:rsidR="00BF3B49">
        <w:rPr>
          <w:iCs/>
        </w:rPr>
        <w:t>seek legal advice</w:t>
      </w:r>
      <w:r w:rsidRPr="003C18BC">
        <w:rPr>
          <w:iCs/>
        </w:rPr>
        <w:t xml:space="preserve"> early in the process to confirm the appropriateness and lawfulness of taking such a step</w:t>
      </w:r>
      <w:r w:rsidRPr="003C18BC">
        <w:t>. It is essential that the Commissioner maintains thorough and accurate records of all communications and discussions in respect of all notices.</w:t>
      </w:r>
      <w:bookmarkEnd w:id="1997"/>
    </w:p>
    <w:p w14:paraId="1B37BA80" w14:textId="68729DEC" w:rsidR="00144CDA" w:rsidRPr="003C18BC" w:rsidRDefault="00144CDA" w:rsidP="00445ECA">
      <w:pPr>
        <w:pStyle w:val="Heading3"/>
      </w:pPr>
      <w:bookmarkStart w:id="1998" w:name="_Toc440982279"/>
      <w:r w:rsidRPr="003C18BC">
        <w:t>Contractors have the right to appeal so it is essential that the Commissioner follows, and can demonstrate that they have followed due process in investigating, communicating and implementing actions leading to termination.</w:t>
      </w:r>
      <w:bookmarkEnd w:id="1998"/>
    </w:p>
    <w:p w14:paraId="43FA8403" w14:textId="386F514E" w:rsidR="00144CDA" w:rsidRPr="003C18BC" w:rsidRDefault="00144CDA" w:rsidP="00445ECA">
      <w:pPr>
        <w:pStyle w:val="Heading3"/>
      </w:pPr>
      <w:bookmarkStart w:id="1999" w:name="_Toc440982280"/>
      <w:r w:rsidRPr="003C18BC">
        <w:t>It is essential that prior to moving to terminate a contract, the Commissioner is satisfied that they are fully within their rights to do so.</w:t>
      </w:r>
      <w:bookmarkEnd w:id="1999"/>
    </w:p>
    <w:p w14:paraId="7CA733D0" w14:textId="16542393" w:rsidR="00144CDA" w:rsidRPr="003C18BC" w:rsidRDefault="00144CDA" w:rsidP="00445ECA">
      <w:pPr>
        <w:pStyle w:val="Heading3"/>
      </w:pPr>
      <w:bookmarkStart w:id="2000" w:name="_Toc440982281"/>
      <w:r w:rsidRPr="003C18BC">
        <w:t xml:space="preserve">Legislation sets out certain rights of termination that are required to be in each type of primary medical contract. These mandatory termination rights are set out below and explained more fully in paragraph </w:t>
      </w:r>
      <w:r w:rsidRPr="003C18BC">
        <w:fldChar w:fldCharType="begin"/>
      </w:r>
      <w:r w:rsidRPr="003C18BC">
        <w:instrText xml:space="preserve"> REF _Ref409600317 \r \h  \* MERGEFORMAT </w:instrText>
      </w:r>
      <w:r w:rsidRPr="003C18BC">
        <w:fldChar w:fldCharType="separate"/>
      </w:r>
      <w:r w:rsidR="00054166">
        <w:t>1.7</w:t>
      </w:r>
      <w:r w:rsidRPr="003C18BC">
        <w:fldChar w:fldCharType="end"/>
      </w:r>
      <w:r w:rsidRPr="003C18BC">
        <w:t>. Where the termination relates to a matter that is contained within an alternative policy, this is highlighted.</w:t>
      </w:r>
      <w:bookmarkEnd w:id="2000"/>
      <w:r w:rsidRPr="003C18BC">
        <w:t xml:space="preserve"> </w:t>
      </w:r>
    </w:p>
    <w:p w14:paraId="357BB2C4" w14:textId="7E10B2E5" w:rsidR="00144CDA" w:rsidRPr="003C18BC" w:rsidRDefault="00BF3B49" w:rsidP="00BF3B49">
      <w:pPr>
        <w:pStyle w:val="Heading3"/>
      </w:pPr>
      <w:bookmarkStart w:id="2001" w:name="_Toc440982282"/>
      <w:r w:rsidRPr="00BF3B49">
        <w:t>GMS/PMS may only be terminated using  mandatory termination rights.  An APM</w:t>
      </w:r>
      <w:r>
        <w:t xml:space="preserve">S </w:t>
      </w:r>
      <w:r w:rsidR="00144CDA" w:rsidRPr="003C18BC">
        <w:t>contract may contain additional termination rights. The Commissioner should consider the relevant contract to ensure it is fully aware of all termination rights.</w:t>
      </w:r>
      <w:bookmarkEnd w:id="2001"/>
      <w:r w:rsidR="00144CDA" w:rsidRPr="003C18BC">
        <w:t xml:space="preserve"> </w:t>
      </w:r>
    </w:p>
    <w:p w14:paraId="6585DAF3" w14:textId="50454A36" w:rsidR="00144CDA" w:rsidRPr="003C18BC" w:rsidRDefault="00144CDA" w:rsidP="00445ECA">
      <w:pPr>
        <w:pStyle w:val="Heading3"/>
      </w:pPr>
      <w:bookmarkStart w:id="2002" w:name="_Toc440982283"/>
      <w:r w:rsidRPr="003C18BC">
        <w:rPr>
          <w:b/>
        </w:rPr>
        <w:t>GMS / PMS</w:t>
      </w:r>
      <w:r w:rsidRPr="003C18BC">
        <w:t xml:space="preserve"> - The following circumstances relating to rights of termination are required to be in GMS and PMS contracts:</w:t>
      </w:r>
      <w:bookmarkEnd w:id="2002"/>
    </w:p>
    <w:p w14:paraId="5B2D7CA2" w14:textId="335446FC" w:rsidR="00144CDA" w:rsidRPr="009A7101" w:rsidRDefault="00144CDA" w:rsidP="006C3DF5">
      <w:pPr>
        <w:pStyle w:val="ListParagraph"/>
        <w:numPr>
          <w:ilvl w:val="0"/>
          <w:numId w:val="186"/>
        </w:numPr>
        <w:spacing w:line="360" w:lineRule="auto"/>
        <w:ind w:left="714" w:hanging="357"/>
      </w:pPr>
      <w:bookmarkStart w:id="2003" w:name="_Toc440982284"/>
      <w:r w:rsidRPr="009A7101">
        <w:t>death of a contractor;</w:t>
      </w:r>
      <w:bookmarkEnd w:id="2003"/>
    </w:p>
    <w:p w14:paraId="7B134351" w14:textId="77777777" w:rsidR="00144CDA" w:rsidRPr="009A7101" w:rsidRDefault="00144CDA" w:rsidP="006C3DF5">
      <w:pPr>
        <w:pStyle w:val="ListParagraph"/>
        <w:numPr>
          <w:ilvl w:val="0"/>
          <w:numId w:val="186"/>
        </w:numPr>
        <w:spacing w:line="360" w:lineRule="auto"/>
        <w:ind w:left="714" w:hanging="357"/>
      </w:pPr>
      <w:bookmarkStart w:id="2004" w:name="_Toc440982285"/>
      <w:r w:rsidRPr="009A7101">
        <w:t>contractor serving notice;</w:t>
      </w:r>
      <w:bookmarkEnd w:id="2004"/>
    </w:p>
    <w:p w14:paraId="2D0A6CEB" w14:textId="77777777" w:rsidR="00144CDA" w:rsidRPr="009A7101" w:rsidRDefault="00144CDA" w:rsidP="006C3DF5">
      <w:pPr>
        <w:pStyle w:val="ListParagraph"/>
        <w:numPr>
          <w:ilvl w:val="0"/>
          <w:numId w:val="186"/>
        </w:numPr>
        <w:spacing w:line="360" w:lineRule="auto"/>
        <w:ind w:left="714" w:hanging="357"/>
      </w:pPr>
      <w:bookmarkStart w:id="2005" w:name="_Toc440982286"/>
      <w:r w:rsidRPr="009A7101">
        <w:t>late payment;</w:t>
      </w:r>
      <w:bookmarkEnd w:id="2005"/>
    </w:p>
    <w:p w14:paraId="04013BD5" w14:textId="77777777" w:rsidR="00144CDA" w:rsidRPr="009A7101" w:rsidRDefault="00144CDA" w:rsidP="006C3DF5">
      <w:pPr>
        <w:pStyle w:val="ListParagraph"/>
        <w:numPr>
          <w:ilvl w:val="0"/>
          <w:numId w:val="186"/>
        </w:numPr>
        <w:spacing w:line="360" w:lineRule="auto"/>
        <w:ind w:left="714" w:hanging="357"/>
      </w:pPr>
      <w:bookmarkStart w:id="2006" w:name="_Toc440982287"/>
      <w:r w:rsidRPr="009A7101">
        <w:t>provision of untrue information;</w:t>
      </w:r>
      <w:bookmarkEnd w:id="2006"/>
    </w:p>
    <w:p w14:paraId="3E61004B" w14:textId="77777777" w:rsidR="00144CDA" w:rsidRPr="009A7101" w:rsidRDefault="00144CDA" w:rsidP="006C3DF5">
      <w:pPr>
        <w:pStyle w:val="ListParagraph"/>
        <w:numPr>
          <w:ilvl w:val="0"/>
          <w:numId w:val="186"/>
        </w:numPr>
        <w:spacing w:line="360" w:lineRule="auto"/>
        <w:ind w:left="714" w:hanging="357"/>
      </w:pPr>
      <w:bookmarkStart w:id="2007" w:name="_Toc440982288"/>
      <w:r w:rsidRPr="009A7101">
        <w:t>fitness to practice issues;</w:t>
      </w:r>
      <w:bookmarkEnd w:id="2007"/>
    </w:p>
    <w:p w14:paraId="2A5513A4" w14:textId="77777777" w:rsidR="00144CDA" w:rsidRPr="009A7101" w:rsidRDefault="00144CDA" w:rsidP="006C3DF5">
      <w:pPr>
        <w:pStyle w:val="ListParagraph"/>
        <w:numPr>
          <w:ilvl w:val="0"/>
          <w:numId w:val="186"/>
        </w:numPr>
        <w:spacing w:line="360" w:lineRule="auto"/>
        <w:ind w:left="714" w:hanging="357"/>
      </w:pPr>
      <w:bookmarkStart w:id="2008" w:name="_Toc440982289"/>
      <w:r w:rsidRPr="009A7101">
        <w:t>patient safety;</w:t>
      </w:r>
      <w:bookmarkEnd w:id="2008"/>
    </w:p>
    <w:p w14:paraId="1CDF3E9E" w14:textId="77777777" w:rsidR="00144CDA" w:rsidRPr="009A7101" w:rsidRDefault="00144CDA" w:rsidP="006C3DF5">
      <w:pPr>
        <w:pStyle w:val="ListParagraph"/>
        <w:numPr>
          <w:ilvl w:val="0"/>
          <w:numId w:val="186"/>
        </w:numPr>
        <w:spacing w:line="360" w:lineRule="auto"/>
        <w:ind w:left="714" w:hanging="357"/>
      </w:pPr>
      <w:bookmarkStart w:id="2009" w:name="_Toc440982290"/>
      <w:r w:rsidRPr="009A7101">
        <w:t>material financial loss;</w:t>
      </w:r>
      <w:bookmarkEnd w:id="2009"/>
    </w:p>
    <w:p w14:paraId="3B71E42D" w14:textId="77777777" w:rsidR="00144CDA" w:rsidRPr="009A7101" w:rsidRDefault="00144CDA" w:rsidP="006C3DF5">
      <w:pPr>
        <w:pStyle w:val="ListParagraph"/>
        <w:numPr>
          <w:ilvl w:val="0"/>
          <w:numId w:val="186"/>
        </w:numPr>
        <w:spacing w:line="360" w:lineRule="auto"/>
        <w:ind w:left="714" w:hanging="357"/>
      </w:pPr>
      <w:bookmarkStart w:id="2010" w:name="_Toc440982291"/>
      <w:r w:rsidRPr="009A7101">
        <w:t>unlawful sub-contracting;</w:t>
      </w:r>
      <w:bookmarkEnd w:id="2010"/>
    </w:p>
    <w:p w14:paraId="1B4B75B5" w14:textId="77777777" w:rsidR="00144CDA" w:rsidRPr="009A7101" w:rsidRDefault="00144CDA" w:rsidP="006C3DF5">
      <w:pPr>
        <w:pStyle w:val="ListParagraph"/>
        <w:numPr>
          <w:ilvl w:val="0"/>
          <w:numId w:val="186"/>
        </w:numPr>
        <w:spacing w:line="360" w:lineRule="auto"/>
        <w:ind w:left="714" w:hanging="357"/>
      </w:pPr>
      <w:bookmarkStart w:id="2011" w:name="_Toc440982292"/>
      <w:r w:rsidRPr="009A7101">
        <w:t>remedial Notices and Breach Notices; and</w:t>
      </w:r>
      <w:bookmarkEnd w:id="2011"/>
    </w:p>
    <w:p w14:paraId="38EF4EB0" w14:textId="77777777" w:rsidR="00144CDA" w:rsidRPr="009A7101" w:rsidRDefault="00144CDA" w:rsidP="006C3DF5">
      <w:pPr>
        <w:pStyle w:val="ListParagraph"/>
        <w:numPr>
          <w:ilvl w:val="0"/>
          <w:numId w:val="186"/>
        </w:numPr>
        <w:spacing w:line="360" w:lineRule="auto"/>
        <w:ind w:left="714" w:hanging="357"/>
      </w:pPr>
      <w:bookmarkStart w:id="2012" w:name="_Toc440982293"/>
      <w:r w:rsidRPr="009A7101">
        <w:t>carrying on business detrimental to the contract.</w:t>
      </w:r>
      <w:bookmarkEnd w:id="2012"/>
    </w:p>
    <w:p w14:paraId="4FAA76AD" w14:textId="77777777" w:rsidR="00144CDA" w:rsidRPr="003C18BC" w:rsidRDefault="00144CDA" w:rsidP="00445ECA">
      <w:pPr>
        <w:pStyle w:val="Heading3"/>
      </w:pPr>
      <w:bookmarkStart w:id="2013" w:name="_Toc440982294"/>
      <w:r w:rsidRPr="003C18BC">
        <w:rPr>
          <w:b/>
        </w:rPr>
        <w:t>GMS</w:t>
      </w:r>
      <w:r w:rsidRPr="003C18BC">
        <w:t xml:space="preserve"> - GMS contracts are required to contain additional rights of termination relating to:</w:t>
      </w:r>
      <w:bookmarkEnd w:id="2013"/>
    </w:p>
    <w:p w14:paraId="5997A24A" w14:textId="6E1CBF5B" w:rsidR="00144CDA" w:rsidRPr="009A7101" w:rsidRDefault="00144CDA" w:rsidP="006C3DF5">
      <w:pPr>
        <w:pStyle w:val="ListParagraph"/>
        <w:numPr>
          <w:ilvl w:val="0"/>
          <w:numId w:val="186"/>
        </w:numPr>
        <w:spacing w:line="360" w:lineRule="auto"/>
        <w:ind w:left="714" w:hanging="357"/>
      </w:pPr>
      <w:bookmarkStart w:id="2014" w:name="_Toc440982295"/>
      <w:r w:rsidRPr="009A7101">
        <w:t>breach of Regulation 4 (Conditions relating solely to medical practitioners) of the GMS Regulations; and</w:t>
      </w:r>
      <w:bookmarkEnd w:id="2014"/>
    </w:p>
    <w:p w14:paraId="2939C9C0" w14:textId="77777777" w:rsidR="00144CDA" w:rsidRPr="007A3AF8" w:rsidRDefault="00144CDA" w:rsidP="006C3DF5">
      <w:pPr>
        <w:pStyle w:val="ListParagraph"/>
        <w:numPr>
          <w:ilvl w:val="0"/>
          <w:numId w:val="186"/>
        </w:numPr>
        <w:spacing w:line="360" w:lineRule="auto"/>
        <w:ind w:left="714" w:hanging="357"/>
      </w:pPr>
      <w:bookmarkStart w:id="2015" w:name="_Toc440982296"/>
      <w:r w:rsidRPr="009A7101">
        <w:t>certain partnership matters.</w:t>
      </w:r>
      <w:bookmarkEnd w:id="2015"/>
    </w:p>
    <w:p w14:paraId="28FD8E90" w14:textId="77777777" w:rsidR="00144CDA" w:rsidRPr="003C18BC" w:rsidRDefault="00144CDA" w:rsidP="00445ECA">
      <w:pPr>
        <w:pStyle w:val="Heading3"/>
      </w:pPr>
      <w:bookmarkStart w:id="2016" w:name="_Toc440982297"/>
      <w:r w:rsidRPr="003C18BC">
        <w:rPr>
          <w:b/>
        </w:rPr>
        <w:t>PMS</w:t>
      </w:r>
      <w:r w:rsidRPr="003C18BC">
        <w:t xml:space="preserve"> - PMS agreements are required to contain additional rights of termination relating to:</w:t>
      </w:r>
      <w:bookmarkEnd w:id="2016"/>
    </w:p>
    <w:p w14:paraId="2252EC8D" w14:textId="30BAD3DD" w:rsidR="00144CDA" w:rsidRPr="009A7101" w:rsidRDefault="00144CDA" w:rsidP="006C3DF5">
      <w:pPr>
        <w:pStyle w:val="ListParagraph"/>
        <w:numPr>
          <w:ilvl w:val="0"/>
          <w:numId w:val="186"/>
        </w:numPr>
        <w:spacing w:line="360" w:lineRule="auto"/>
        <w:ind w:left="714" w:hanging="357"/>
      </w:pPr>
      <w:bookmarkStart w:id="2017" w:name="_Toc440982298"/>
      <w:r w:rsidRPr="009A7101">
        <w:t>commissioner serving notice;</w:t>
      </w:r>
      <w:bookmarkEnd w:id="2017"/>
      <w:r w:rsidRPr="009A7101">
        <w:t xml:space="preserve"> </w:t>
      </w:r>
    </w:p>
    <w:p w14:paraId="6249A693" w14:textId="77777777" w:rsidR="00144CDA" w:rsidRPr="007A3AF8" w:rsidRDefault="00144CDA" w:rsidP="006C3DF5">
      <w:pPr>
        <w:pStyle w:val="ListParagraph"/>
        <w:numPr>
          <w:ilvl w:val="0"/>
          <w:numId w:val="186"/>
        </w:numPr>
        <w:spacing w:line="360" w:lineRule="auto"/>
        <w:ind w:left="714" w:hanging="357"/>
      </w:pPr>
      <w:bookmarkStart w:id="2018" w:name="_Toc440982299"/>
      <w:r w:rsidRPr="009A7101">
        <w:t>contractor's exercise of the right to a GMS contract; and</w:t>
      </w:r>
      <w:bookmarkEnd w:id="2018"/>
    </w:p>
    <w:p w14:paraId="3E884EF0" w14:textId="77777777" w:rsidR="00144CDA" w:rsidRPr="0020637B" w:rsidRDefault="00144CDA" w:rsidP="006C3DF5">
      <w:pPr>
        <w:pStyle w:val="ListParagraph"/>
        <w:numPr>
          <w:ilvl w:val="0"/>
          <w:numId w:val="186"/>
        </w:numPr>
        <w:spacing w:line="360" w:lineRule="auto"/>
        <w:ind w:left="714" w:hanging="357"/>
      </w:pPr>
      <w:bookmarkStart w:id="2019" w:name="_Toc440982300"/>
      <w:r w:rsidRPr="0020637B">
        <w:t>agreement of the parties.</w:t>
      </w:r>
      <w:bookmarkEnd w:id="2019"/>
    </w:p>
    <w:p w14:paraId="0E49187E" w14:textId="77777777" w:rsidR="00144CDA" w:rsidRPr="003C18BC" w:rsidRDefault="00144CDA" w:rsidP="00445ECA">
      <w:pPr>
        <w:pStyle w:val="Heading3"/>
      </w:pPr>
      <w:bookmarkStart w:id="2020" w:name="_Ref409614913"/>
      <w:bookmarkStart w:id="2021" w:name="_Toc440982301"/>
      <w:r w:rsidRPr="003C18BC">
        <w:rPr>
          <w:b/>
        </w:rPr>
        <w:t>APMS</w:t>
      </w:r>
      <w:r w:rsidRPr="003C18BC">
        <w:t xml:space="preserve"> - The following circumstances relating to rights of termination are required to be in APMS contracts:</w:t>
      </w:r>
      <w:bookmarkEnd w:id="2020"/>
      <w:bookmarkEnd w:id="2021"/>
    </w:p>
    <w:p w14:paraId="253D624E" w14:textId="5480EA30" w:rsidR="00144CDA" w:rsidRPr="009A7101" w:rsidRDefault="00144CDA" w:rsidP="006C3DF5">
      <w:pPr>
        <w:pStyle w:val="ListParagraph"/>
        <w:numPr>
          <w:ilvl w:val="0"/>
          <w:numId w:val="187"/>
        </w:numPr>
        <w:spacing w:line="360" w:lineRule="auto"/>
        <w:ind w:left="714" w:hanging="357"/>
      </w:pPr>
      <w:bookmarkStart w:id="2022" w:name="_Toc440982302"/>
      <w:r w:rsidRPr="009A7101">
        <w:t>death of a contractor;</w:t>
      </w:r>
      <w:bookmarkEnd w:id="2022"/>
    </w:p>
    <w:p w14:paraId="3EF11D95" w14:textId="77777777" w:rsidR="00144CDA" w:rsidRPr="009A7101" w:rsidRDefault="00144CDA" w:rsidP="006C3DF5">
      <w:pPr>
        <w:pStyle w:val="ListParagraph"/>
        <w:numPr>
          <w:ilvl w:val="0"/>
          <w:numId w:val="187"/>
        </w:numPr>
        <w:spacing w:line="360" w:lineRule="auto"/>
        <w:ind w:left="714" w:hanging="357"/>
      </w:pPr>
      <w:bookmarkStart w:id="2023" w:name="_Toc440982303"/>
      <w:r w:rsidRPr="009A7101">
        <w:t>provision of untrue information;</w:t>
      </w:r>
      <w:bookmarkEnd w:id="2023"/>
    </w:p>
    <w:p w14:paraId="4308AF66" w14:textId="77777777" w:rsidR="00144CDA" w:rsidRPr="009A7101" w:rsidRDefault="00144CDA" w:rsidP="006C3DF5">
      <w:pPr>
        <w:pStyle w:val="ListParagraph"/>
        <w:numPr>
          <w:ilvl w:val="0"/>
          <w:numId w:val="187"/>
        </w:numPr>
        <w:spacing w:line="360" w:lineRule="auto"/>
        <w:ind w:left="714" w:hanging="357"/>
      </w:pPr>
      <w:bookmarkStart w:id="2024" w:name="_Toc440982304"/>
      <w:r w:rsidRPr="009A7101">
        <w:t>fitness to practice issues;</w:t>
      </w:r>
      <w:bookmarkEnd w:id="2024"/>
    </w:p>
    <w:p w14:paraId="3F3DC6D4" w14:textId="77777777" w:rsidR="00144CDA" w:rsidRPr="009A7101" w:rsidRDefault="00144CDA" w:rsidP="006C3DF5">
      <w:pPr>
        <w:pStyle w:val="ListParagraph"/>
        <w:numPr>
          <w:ilvl w:val="0"/>
          <w:numId w:val="187"/>
        </w:numPr>
        <w:spacing w:line="360" w:lineRule="auto"/>
        <w:ind w:left="714" w:hanging="357"/>
      </w:pPr>
      <w:bookmarkStart w:id="2025" w:name="_Toc440982305"/>
      <w:r w:rsidRPr="009A7101">
        <w:t>patient safety;</w:t>
      </w:r>
      <w:bookmarkEnd w:id="2025"/>
    </w:p>
    <w:p w14:paraId="400186A3" w14:textId="77777777" w:rsidR="00144CDA" w:rsidRPr="009A7101" w:rsidRDefault="00144CDA" w:rsidP="006C3DF5">
      <w:pPr>
        <w:pStyle w:val="ListParagraph"/>
        <w:numPr>
          <w:ilvl w:val="0"/>
          <w:numId w:val="187"/>
        </w:numPr>
        <w:spacing w:line="360" w:lineRule="auto"/>
        <w:ind w:left="714" w:hanging="357"/>
      </w:pPr>
      <w:bookmarkStart w:id="2026" w:name="_Toc440982306"/>
      <w:r w:rsidRPr="009A7101">
        <w:t>material financial loss; and</w:t>
      </w:r>
      <w:bookmarkEnd w:id="2026"/>
    </w:p>
    <w:p w14:paraId="1596E9F8" w14:textId="77777777" w:rsidR="00144CDA" w:rsidRPr="009A7101" w:rsidRDefault="00144CDA" w:rsidP="006C3DF5">
      <w:pPr>
        <w:pStyle w:val="ListParagraph"/>
        <w:numPr>
          <w:ilvl w:val="0"/>
          <w:numId w:val="187"/>
        </w:numPr>
        <w:spacing w:line="360" w:lineRule="auto"/>
        <w:ind w:left="714" w:hanging="357"/>
      </w:pPr>
      <w:bookmarkStart w:id="2027" w:name="_Toc440982307"/>
      <w:r w:rsidRPr="009A7101">
        <w:t>unlawful sub-contracting.</w:t>
      </w:r>
      <w:bookmarkEnd w:id="2027"/>
    </w:p>
    <w:p w14:paraId="599A7EE6" w14:textId="58091492" w:rsidR="00144CDA" w:rsidRPr="003C18BC" w:rsidRDefault="00144CDA" w:rsidP="00445ECA">
      <w:pPr>
        <w:pStyle w:val="Heading3"/>
      </w:pPr>
      <w:bookmarkStart w:id="2028" w:name="_Toc440982308"/>
      <w:r w:rsidRPr="003C18BC">
        <w:rPr>
          <w:b/>
        </w:rPr>
        <w:t>APMS</w:t>
      </w:r>
      <w:r w:rsidRPr="003C18BC">
        <w:t xml:space="preserve"> - APMS contract</w:t>
      </w:r>
      <w:r w:rsidR="009F1EC8">
        <w:t>s</w:t>
      </w:r>
      <w:r w:rsidRPr="003C18BC">
        <w:t xml:space="preserve"> are likely to have further rights of termination. Where the Commissioner wishes to terminate for a reason other than those set out in paragraph </w:t>
      </w:r>
      <w:r w:rsidRPr="003C18BC">
        <w:fldChar w:fldCharType="begin"/>
      </w:r>
      <w:r w:rsidRPr="003C18BC">
        <w:instrText xml:space="preserve"> REF _Ref409614913 \r \h  \* MERGEFORMAT </w:instrText>
      </w:r>
      <w:r w:rsidRPr="003C18BC">
        <w:fldChar w:fldCharType="separate"/>
      </w:r>
      <w:r w:rsidR="00054166">
        <w:t>1.5.9</w:t>
      </w:r>
      <w:r w:rsidRPr="003C18BC">
        <w:fldChar w:fldCharType="end"/>
      </w:r>
      <w:r w:rsidRPr="003C18BC">
        <w:t xml:space="preserve"> above, the Commissioner must review the contract to determine if any further rights of termination apply.</w:t>
      </w:r>
      <w:bookmarkEnd w:id="2028"/>
    </w:p>
    <w:p w14:paraId="1703130D" w14:textId="3345FD2A" w:rsidR="00144CDA" w:rsidRPr="003C18BC" w:rsidRDefault="00144CDA" w:rsidP="00445ECA">
      <w:pPr>
        <w:pStyle w:val="Heading3"/>
      </w:pPr>
      <w:bookmarkStart w:id="2029" w:name="_Toc440982309"/>
      <w:r w:rsidRPr="003C18BC">
        <w:t>Contracts may also terminate by:</w:t>
      </w:r>
      <w:bookmarkEnd w:id="2029"/>
    </w:p>
    <w:p w14:paraId="6BFE96DD" w14:textId="3635139F" w:rsidR="00144CDA" w:rsidRPr="009A7101" w:rsidRDefault="00144CDA" w:rsidP="006C3DF5">
      <w:pPr>
        <w:pStyle w:val="ListParagraph"/>
        <w:numPr>
          <w:ilvl w:val="0"/>
          <w:numId w:val="188"/>
        </w:numPr>
        <w:spacing w:line="360" w:lineRule="auto"/>
        <w:ind w:left="714" w:hanging="357"/>
      </w:pPr>
      <w:bookmarkStart w:id="2030" w:name="_Toc440982310"/>
      <w:r w:rsidRPr="009A7101">
        <w:t>reaching their natural end dates</w:t>
      </w:r>
      <w:r w:rsidR="000473FB" w:rsidRPr="009A7101">
        <w:t>, without the need for termination notice</w:t>
      </w:r>
      <w:r w:rsidRPr="009A7101">
        <w:t xml:space="preserve"> (in which case, please refer to the </w:t>
      </w:r>
      <w:r w:rsidR="00965C81" w:rsidRPr="009A7101">
        <w:t xml:space="preserve">chapter </w:t>
      </w:r>
      <w:r w:rsidRPr="009A7101">
        <w:t>on practice closedown for more information); or</w:t>
      </w:r>
      <w:bookmarkEnd w:id="2030"/>
    </w:p>
    <w:p w14:paraId="20EE7E85" w14:textId="399B2005" w:rsidR="00144CDA" w:rsidRPr="009A7101" w:rsidRDefault="00144CDA" w:rsidP="006C3DF5">
      <w:pPr>
        <w:pStyle w:val="ListParagraph"/>
        <w:numPr>
          <w:ilvl w:val="0"/>
          <w:numId w:val="188"/>
        </w:numPr>
        <w:spacing w:line="360" w:lineRule="auto"/>
        <w:ind w:left="714" w:hanging="357"/>
      </w:pPr>
      <w:bookmarkStart w:id="2031" w:name="_Toc440982311"/>
      <w:r w:rsidRPr="009A7101">
        <w:t xml:space="preserve">retirement of the contractor (in which case, please refer to the </w:t>
      </w:r>
      <w:r w:rsidR="00965C81" w:rsidRPr="009A7101">
        <w:t xml:space="preserve">chapter </w:t>
      </w:r>
      <w:r w:rsidRPr="009A7101">
        <w:t>on contract variation).</w:t>
      </w:r>
      <w:bookmarkEnd w:id="2031"/>
    </w:p>
    <w:p w14:paraId="78786CE2" w14:textId="77777777" w:rsidR="00144CDA" w:rsidRPr="003C18BC" w:rsidRDefault="00144CDA" w:rsidP="00445ECA">
      <w:pPr>
        <w:pStyle w:val="Heading3"/>
      </w:pPr>
      <w:bookmarkStart w:id="2032" w:name="_Toc440982312"/>
      <w:r w:rsidRPr="003C18BC">
        <w:t>Where the Commissioner has considered all the relevant factors and has decided to proceed with termination, it must send a Termination Notice to the contractor.</w:t>
      </w:r>
      <w:bookmarkEnd w:id="2032"/>
      <w:r w:rsidRPr="003C18BC">
        <w:t xml:space="preserve"> </w:t>
      </w:r>
    </w:p>
    <w:p w14:paraId="3EF61FA0" w14:textId="2841102D" w:rsidR="00144CDA" w:rsidRPr="003C18BC" w:rsidRDefault="00144CDA" w:rsidP="00E874B3">
      <w:pPr>
        <w:pStyle w:val="Heading3"/>
      </w:pPr>
      <w:bookmarkStart w:id="2033" w:name="_Toc440982313"/>
      <w:r w:rsidRPr="003C18BC">
        <w:t>A template Termination Notice is provided in Annex 9.</w:t>
      </w:r>
      <w:r w:rsidRPr="007C30BA">
        <w:t xml:space="preserve"> </w:t>
      </w:r>
      <w:r w:rsidRPr="003C18BC">
        <w:t xml:space="preserve">Where NHS England is the Commissioner, the finalised Termination Notice should be signed off by the Director of Commissioning Operations or their nominated deputy. </w:t>
      </w:r>
      <w:bookmarkEnd w:id="2033"/>
      <w:r w:rsidR="00E874B3" w:rsidRPr="00E874B3">
        <w:t xml:space="preserve">Where the Commissioner is a </w:t>
      </w:r>
      <w:r w:rsidR="00B83042">
        <w:t>CCG/ICB</w:t>
      </w:r>
      <w:r w:rsidR="00E874B3" w:rsidRPr="00E874B3">
        <w:t xml:space="preserve"> operating under delegated commissioning arrangements, the </w:t>
      </w:r>
      <w:r w:rsidR="00B83042">
        <w:t>CCG/ICB</w:t>
      </w:r>
      <w:r w:rsidR="00E874B3" w:rsidRPr="00E874B3">
        <w:t xml:space="preserve"> should ensure the finalised Remedial Notice is signed off by the Chief Operating Officer (COO) or an individual authorised by the COO.</w:t>
      </w:r>
    </w:p>
    <w:p w14:paraId="03280AD4" w14:textId="4A674C59" w:rsidR="00144CDA" w:rsidRPr="003C18BC" w:rsidRDefault="00144CDA" w:rsidP="00445ECA">
      <w:pPr>
        <w:pStyle w:val="Heading3"/>
      </w:pPr>
      <w:bookmarkStart w:id="2034" w:name="_Toc440982314"/>
      <w:r w:rsidRPr="003C18BC">
        <w:t>Where the termination relates to:</w:t>
      </w:r>
      <w:bookmarkEnd w:id="2034"/>
    </w:p>
    <w:p w14:paraId="3234285B" w14:textId="779FAAB5" w:rsidR="00144CDA" w:rsidRPr="009A7101" w:rsidRDefault="00144CDA" w:rsidP="006C3DF5">
      <w:pPr>
        <w:pStyle w:val="ListParagraph"/>
        <w:numPr>
          <w:ilvl w:val="0"/>
          <w:numId w:val="189"/>
        </w:numPr>
        <w:spacing w:line="360" w:lineRule="auto"/>
        <w:ind w:left="714" w:hanging="357"/>
      </w:pPr>
      <w:bookmarkStart w:id="2035" w:name="_Toc440982315"/>
      <w:r w:rsidRPr="009A7101">
        <w:t>for GMS and PMS contracts:</w:t>
      </w:r>
      <w:bookmarkEnd w:id="2035"/>
    </w:p>
    <w:p w14:paraId="15FCED86" w14:textId="77777777" w:rsidR="00144CDA" w:rsidRPr="009A7101" w:rsidRDefault="00144CDA" w:rsidP="006C3DF5">
      <w:pPr>
        <w:pStyle w:val="ListParagraph"/>
        <w:numPr>
          <w:ilvl w:val="0"/>
          <w:numId w:val="189"/>
        </w:numPr>
        <w:spacing w:line="360" w:lineRule="auto"/>
        <w:ind w:left="714" w:hanging="357"/>
      </w:pPr>
      <w:r w:rsidRPr="009A7101">
        <w:t>provision of untrue information;</w:t>
      </w:r>
    </w:p>
    <w:p w14:paraId="2330FC95" w14:textId="77777777" w:rsidR="00144CDA" w:rsidRPr="0020637B" w:rsidRDefault="00144CDA" w:rsidP="006C3DF5">
      <w:pPr>
        <w:pStyle w:val="ListParagraph"/>
        <w:numPr>
          <w:ilvl w:val="0"/>
          <w:numId w:val="189"/>
        </w:numPr>
        <w:spacing w:line="360" w:lineRule="auto"/>
        <w:ind w:left="714" w:hanging="357"/>
      </w:pPr>
      <w:r w:rsidRPr="009A7101">
        <w:t>fitness to practice issue</w:t>
      </w:r>
      <w:r w:rsidRPr="007A3AF8">
        <w:t>s;</w:t>
      </w:r>
    </w:p>
    <w:p w14:paraId="29569DDF" w14:textId="77777777" w:rsidR="00144CDA" w:rsidRPr="001F7167" w:rsidRDefault="00144CDA" w:rsidP="006C3DF5">
      <w:pPr>
        <w:pStyle w:val="ListParagraph"/>
        <w:numPr>
          <w:ilvl w:val="0"/>
          <w:numId w:val="189"/>
        </w:numPr>
        <w:spacing w:line="360" w:lineRule="auto"/>
        <w:ind w:left="714" w:hanging="357"/>
      </w:pPr>
      <w:r w:rsidRPr="001F7167">
        <w:t>patient safety;</w:t>
      </w:r>
    </w:p>
    <w:p w14:paraId="7AF34142" w14:textId="77777777" w:rsidR="00144CDA" w:rsidRPr="00C70CC1" w:rsidRDefault="00144CDA" w:rsidP="006C3DF5">
      <w:pPr>
        <w:pStyle w:val="ListParagraph"/>
        <w:numPr>
          <w:ilvl w:val="0"/>
          <w:numId w:val="189"/>
        </w:numPr>
        <w:spacing w:line="360" w:lineRule="auto"/>
        <w:ind w:left="714" w:hanging="357"/>
      </w:pPr>
      <w:r w:rsidRPr="00C70CC1">
        <w:t>material financial loss; or</w:t>
      </w:r>
    </w:p>
    <w:p w14:paraId="611B8B98" w14:textId="77777777" w:rsidR="00144CDA" w:rsidRPr="00C70CC1" w:rsidRDefault="00144CDA" w:rsidP="006C3DF5">
      <w:pPr>
        <w:pStyle w:val="ListParagraph"/>
        <w:numPr>
          <w:ilvl w:val="0"/>
          <w:numId w:val="189"/>
        </w:numPr>
        <w:spacing w:line="360" w:lineRule="auto"/>
        <w:ind w:left="714" w:hanging="357"/>
      </w:pPr>
      <w:r w:rsidRPr="00C70CC1">
        <w:t xml:space="preserve">remedial Notices and Breach Notices; </w:t>
      </w:r>
    </w:p>
    <w:p w14:paraId="78C72167" w14:textId="77777777" w:rsidR="00144CDA" w:rsidRPr="009A7101" w:rsidRDefault="00144CDA" w:rsidP="006C3DF5">
      <w:pPr>
        <w:pStyle w:val="ListParagraph"/>
        <w:numPr>
          <w:ilvl w:val="0"/>
          <w:numId w:val="189"/>
        </w:numPr>
        <w:spacing w:line="360" w:lineRule="auto"/>
        <w:ind w:left="714" w:hanging="357"/>
      </w:pPr>
      <w:bookmarkStart w:id="2036" w:name="_Toc440982316"/>
      <w:r w:rsidRPr="009A7101">
        <w:t>for GMS agreements:</w:t>
      </w:r>
      <w:bookmarkEnd w:id="2036"/>
    </w:p>
    <w:p w14:paraId="0A596ECC" w14:textId="77777777" w:rsidR="00144CDA" w:rsidRPr="0020637B" w:rsidRDefault="00144CDA" w:rsidP="006C3DF5">
      <w:pPr>
        <w:pStyle w:val="ListParagraph"/>
        <w:numPr>
          <w:ilvl w:val="0"/>
          <w:numId w:val="189"/>
        </w:numPr>
        <w:spacing w:line="360" w:lineRule="auto"/>
        <w:ind w:left="714" w:hanging="357"/>
      </w:pPr>
      <w:r w:rsidRPr="007A3AF8">
        <w:t>certain partnership matters;</w:t>
      </w:r>
    </w:p>
    <w:p w14:paraId="23FC3DAF" w14:textId="77777777" w:rsidR="00144CDA" w:rsidRPr="009A7101" w:rsidRDefault="00144CDA" w:rsidP="006C3DF5">
      <w:pPr>
        <w:pStyle w:val="ListParagraph"/>
        <w:numPr>
          <w:ilvl w:val="0"/>
          <w:numId w:val="189"/>
        </w:numPr>
        <w:spacing w:line="360" w:lineRule="auto"/>
        <w:ind w:left="714" w:hanging="357"/>
      </w:pPr>
      <w:bookmarkStart w:id="2037" w:name="_Toc440982317"/>
      <w:r w:rsidRPr="009A7101">
        <w:t>for PMS agreements:</w:t>
      </w:r>
      <w:bookmarkEnd w:id="2037"/>
    </w:p>
    <w:p w14:paraId="1ED7378C" w14:textId="77777777" w:rsidR="00144CDA" w:rsidRPr="0020637B" w:rsidRDefault="00144CDA" w:rsidP="006C3DF5">
      <w:pPr>
        <w:pStyle w:val="ListParagraph"/>
        <w:numPr>
          <w:ilvl w:val="0"/>
          <w:numId w:val="189"/>
        </w:numPr>
        <w:spacing w:line="360" w:lineRule="auto"/>
        <w:ind w:left="714" w:hanging="357"/>
      </w:pPr>
      <w:r w:rsidRPr="007A3AF8">
        <w:t>carrying on business detrimental to the agreement,</w:t>
      </w:r>
    </w:p>
    <w:p w14:paraId="1C9EB135" w14:textId="77777777" w:rsidR="00445ECA" w:rsidRPr="00445ECA" w:rsidRDefault="00445ECA" w:rsidP="00445ECA">
      <w:pPr>
        <w:rPr>
          <w:lang w:eastAsia="en-GB"/>
        </w:rPr>
      </w:pPr>
    </w:p>
    <w:p w14:paraId="417AA896" w14:textId="0B69A76D" w:rsidR="00144CDA" w:rsidRPr="00445ECA" w:rsidRDefault="00144CDA" w:rsidP="00445ECA">
      <w:pPr>
        <w:pStyle w:val="Heading3"/>
        <w:numPr>
          <w:ilvl w:val="0"/>
          <w:numId w:val="0"/>
        </w:numPr>
        <w:ind w:left="720"/>
      </w:pPr>
      <w:bookmarkStart w:id="2038" w:name="_Toc440982318"/>
      <w:r w:rsidRPr="00445ECA">
        <w:t xml:space="preserve">the notice </w:t>
      </w:r>
      <w:r w:rsidR="00845349">
        <w:t>usually</w:t>
      </w:r>
      <w:r w:rsidR="00845349" w:rsidRPr="00445ECA">
        <w:t xml:space="preserve"> </w:t>
      </w:r>
      <w:r w:rsidRPr="00445ECA">
        <w:t>specif</w:t>
      </w:r>
      <w:r w:rsidR="00845349">
        <w:t>ies</w:t>
      </w:r>
      <w:r w:rsidRPr="00445ECA">
        <w:t xml:space="preserve"> a date on which the contract terminates that is not less than 28 days after the date on which the Commissioner has served the notice on the contractor. The Commissioner may state a date less than 28 days where this is necessary to protect the safety of the contractor's patients or protect from material financial loss. APMS contracts are not required to contain any such provisions and the Commissioner should consider the wording of the particular APMS contract.</w:t>
      </w:r>
      <w:bookmarkEnd w:id="2038"/>
      <w:r w:rsidRPr="00445ECA">
        <w:t xml:space="preserve"> </w:t>
      </w:r>
    </w:p>
    <w:p w14:paraId="19A25B36" w14:textId="13FC81EF" w:rsidR="00144CDA" w:rsidRPr="003C18BC" w:rsidRDefault="00144CDA" w:rsidP="00445ECA">
      <w:pPr>
        <w:pStyle w:val="Heading3"/>
      </w:pPr>
      <w:bookmarkStart w:id="2039" w:name="_Toc440982319"/>
      <w:r w:rsidRPr="003C18BC">
        <w:t xml:space="preserve">Where the contractor disputes the Commissioner's decision to terminate the contract, the contractor may invoke the NHS dispute resolution procedure. In such circumstances, the Commissioner should refer to the </w:t>
      </w:r>
      <w:r w:rsidR="00965C81">
        <w:t xml:space="preserve">chapter </w:t>
      </w:r>
      <w:r w:rsidRPr="003C18BC">
        <w:t>on managing disputes.</w:t>
      </w:r>
      <w:bookmarkEnd w:id="2039"/>
      <w:r w:rsidRPr="003C18BC">
        <w:t xml:space="preserve"> </w:t>
      </w:r>
    </w:p>
    <w:p w14:paraId="0491DC7F" w14:textId="6545E290" w:rsidR="00144CDA" w:rsidRPr="003C18BC" w:rsidRDefault="00257CE9" w:rsidP="00445ECA">
      <w:pPr>
        <w:pStyle w:val="Heading3"/>
      </w:pPr>
      <w:bookmarkStart w:id="2040" w:name="_Toc440982320"/>
      <w:r>
        <w:t>The commissioner should retain and be able to report on all termination notices issued in any financial year to support local and national assurance arrangements</w:t>
      </w:r>
      <w:r w:rsidR="00144CDA" w:rsidRPr="003C18BC">
        <w:t>. A template Notice Return is set out Annex 13 (see also 1.4).</w:t>
      </w:r>
      <w:bookmarkEnd w:id="2040"/>
    </w:p>
    <w:p w14:paraId="6AC49840" w14:textId="77777777" w:rsidR="00144CDA" w:rsidRPr="007C30BA" w:rsidRDefault="00144CDA" w:rsidP="00144CDA">
      <w:pPr>
        <w:pStyle w:val="Body2"/>
        <w:spacing w:before="120" w:after="120" w:line="276" w:lineRule="auto"/>
        <w:ind w:left="0"/>
        <w:rPr>
          <w:rFonts w:cs="Arial"/>
        </w:rPr>
      </w:pPr>
    </w:p>
    <w:p w14:paraId="1311BE39" w14:textId="77777777" w:rsidR="00144CDA" w:rsidRPr="003C18BC" w:rsidRDefault="00144CDA" w:rsidP="00144CDA">
      <w:pPr>
        <w:pStyle w:val="Heading2"/>
      </w:pPr>
      <w:bookmarkStart w:id="2041" w:name="_Toc440982321"/>
      <w:bookmarkStart w:id="2042" w:name="_Toc95743516"/>
      <w:r w:rsidRPr="003C18BC">
        <w:t>Key Considerations on Termination</w:t>
      </w:r>
      <w:bookmarkEnd w:id="2041"/>
      <w:bookmarkEnd w:id="2042"/>
    </w:p>
    <w:p w14:paraId="2ABB44A2" w14:textId="29D0FEE6" w:rsidR="00144CDA" w:rsidRPr="003C18BC" w:rsidRDefault="00144CDA" w:rsidP="00445ECA">
      <w:pPr>
        <w:pStyle w:val="Heading3"/>
      </w:pPr>
      <w:bookmarkStart w:id="2043" w:name="_Toc440982322"/>
      <w:r w:rsidRPr="003C18BC">
        <w:t>The Commissioner must establish that grounds exist under the terms of the contract to terminate. The Commissioner must follow due process and investigation of the facts and provide the cont</w:t>
      </w:r>
      <w:r w:rsidR="00B82AAA">
        <w:t>r</w:t>
      </w:r>
      <w:r w:rsidRPr="003C18BC">
        <w:t>actor with the opportunity to provide a response to allegations, wherever possible.</w:t>
      </w:r>
      <w:bookmarkEnd w:id="2043"/>
      <w:r w:rsidRPr="003C18BC">
        <w:t xml:space="preserve"> </w:t>
      </w:r>
    </w:p>
    <w:p w14:paraId="6D44CFF8" w14:textId="2A575A49" w:rsidR="00144CDA" w:rsidRPr="003C18BC" w:rsidRDefault="00144CDA" w:rsidP="00445ECA">
      <w:pPr>
        <w:pStyle w:val="Heading3"/>
      </w:pPr>
      <w:bookmarkStart w:id="2044" w:name="_Toc440982323"/>
      <w:r w:rsidRPr="003C18BC">
        <w:t>A flowchart highlighting the main steps that the Commissioner should take when issuing a termination notice is set out in Annex 10.</w:t>
      </w:r>
      <w:bookmarkEnd w:id="2044"/>
    </w:p>
    <w:p w14:paraId="03EB4420" w14:textId="4609135C" w:rsidR="00144CDA" w:rsidRPr="003C18BC" w:rsidRDefault="00144CDA" w:rsidP="00445ECA">
      <w:pPr>
        <w:pStyle w:val="Heading3"/>
      </w:pPr>
      <w:bookmarkStart w:id="2045" w:name="_Toc440982324"/>
      <w:r w:rsidRPr="003C18BC">
        <w:t>The Commissioner must consider all relevant information available and decide on the appropriate course of action and whether the contract should be terminated.</w:t>
      </w:r>
      <w:bookmarkEnd w:id="2045"/>
      <w:r w:rsidRPr="003C18BC">
        <w:t xml:space="preserve"> </w:t>
      </w:r>
    </w:p>
    <w:p w14:paraId="73A129CF" w14:textId="653FE7EF" w:rsidR="00144CDA" w:rsidRPr="003C18BC" w:rsidRDefault="00144CDA" w:rsidP="00445ECA">
      <w:pPr>
        <w:pStyle w:val="Heading3"/>
      </w:pPr>
      <w:bookmarkStart w:id="2046" w:name="_Toc440982325"/>
      <w:r w:rsidRPr="003C18BC">
        <w:t>Apart from considerations regarding whether the right to terminate arises, there are a number of common factors that the Commissioner should consider when termination is a proposed course of action. These factors are set out below.</w:t>
      </w:r>
      <w:bookmarkEnd w:id="2046"/>
    </w:p>
    <w:p w14:paraId="08CDCE28" w14:textId="3E23783D" w:rsidR="00144CDA" w:rsidRPr="003C18BC" w:rsidRDefault="00144CDA" w:rsidP="00445ECA">
      <w:pPr>
        <w:pStyle w:val="Heading3"/>
      </w:pPr>
      <w:bookmarkStart w:id="2047" w:name="_Toc440982326"/>
      <w:r w:rsidRPr="003C18BC">
        <w:t xml:space="preserve">This list is not exhaustive and there are likely to be other issues that need due consideration under these provisions. These considerations will also apply following the sudden death of a contractor (see the </w:t>
      </w:r>
      <w:r w:rsidR="00965C81">
        <w:t xml:space="preserve">chapter </w:t>
      </w:r>
      <w:r w:rsidRPr="003C18BC">
        <w:t xml:space="preserve">on the death of a contractor) and in some part on the closure of a branch surgery (see the </w:t>
      </w:r>
      <w:r w:rsidR="00965C81">
        <w:t xml:space="preserve">chapter </w:t>
      </w:r>
      <w:r w:rsidRPr="003C18BC">
        <w:t>on contract variations).</w:t>
      </w:r>
      <w:bookmarkEnd w:id="2047"/>
      <w:r w:rsidRPr="003C18BC">
        <w:t xml:space="preserve"> </w:t>
      </w:r>
    </w:p>
    <w:p w14:paraId="5A6A93D8" w14:textId="77777777" w:rsidR="00144CDA" w:rsidRPr="003C18BC" w:rsidRDefault="00144CDA" w:rsidP="00144CDA">
      <w:pPr>
        <w:spacing w:before="120" w:after="120" w:line="276" w:lineRule="auto"/>
        <w:ind w:firstLine="720"/>
        <w:rPr>
          <w:rFonts w:cs="Arial"/>
          <w:szCs w:val="24"/>
        </w:rPr>
      </w:pPr>
    </w:p>
    <w:p w14:paraId="45B6B1F7" w14:textId="77777777" w:rsidR="00144CDA" w:rsidRPr="00044E85" w:rsidRDefault="00144CDA" w:rsidP="00044E85">
      <w:pPr>
        <w:pStyle w:val="Heading3"/>
        <w:rPr>
          <w:b/>
        </w:rPr>
      </w:pPr>
      <w:r w:rsidRPr="00044E85">
        <w:rPr>
          <w:b/>
        </w:rPr>
        <w:t>Continuity of service provision</w:t>
      </w:r>
    </w:p>
    <w:p w14:paraId="0CD62B2C" w14:textId="160B32DF" w:rsidR="00144CDA" w:rsidRPr="003C18BC" w:rsidRDefault="00144CDA" w:rsidP="00845349">
      <w:pPr>
        <w:pStyle w:val="Heading3"/>
      </w:pPr>
      <w:bookmarkStart w:id="2048" w:name="_Toc440982327"/>
      <w:r w:rsidRPr="003C18BC">
        <w:t xml:space="preserve">NHS England has a statutory duty to ensure </w:t>
      </w:r>
      <w:r w:rsidR="00B82AAA">
        <w:t xml:space="preserve">the </w:t>
      </w:r>
      <w:r w:rsidRPr="003C18BC">
        <w:t>continuity of provision of primary care services. Termination of existing service provision may result in some persons not being able to access primary care services. The Commissioner must therefore consider how this duty will be discharged if it decides to terminate the contract.</w:t>
      </w:r>
      <w:bookmarkEnd w:id="2048"/>
      <w:r w:rsidR="00845349" w:rsidRPr="00845349">
        <w:t xml:space="preserve"> This should be considered as soon as the Commissioner starts to think about terminating.</w:t>
      </w:r>
      <w:r w:rsidRPr="003C18BC">
        <w:t xml:space="preserve"> </w:t>
      </w:r>
    </w:p>
    <w:p w14:paraId="168B12A3" w14:textId="24DD90D6" w:rsidR="00144CDA" w:rsidRPr="003C18BC" w:rsidRDefault="00144CDA" w:rsidP="00070A05">
      <w:pPr>
        <w:pStyle w:val="Heading3"/>
        <w:rPr>
          <w:rFonts w:cs="Arial"/>
          <w:szCs w:val="24"/>
        </w:rPr>
      </w:pPr>
      <w:bookmarkStart w:id="2049" w:name="_Toc440982328"/>
      <w:r w:rsidRPr="003C18BC">
        <w:t>If the Commissioner envisages that a new contract will be entered into with a provider, the Commissioner must consider how to procure that contract and to ensure it is in accordance with procurement law and any procurement protocol issued by NHS England.</w:t>
      </w:r>
      <w:bookmarkEnd w:id="2049"/>
      <w:r w:rsidR="00070A05" w:rsidRPr="003C18BC">
        <w:rPr>
          <w:rFonts w:cs="Arial"/>
          <w:szCs w:val="24"/>
        </w:rPr>
        <w:t xml:space="preserve"> </w:t>
      </w:r>
    </w:p>
    <w:p w14:paraId="7056A212" w14:textId="77777777" w:rsidR="00144CDA" w:rsidRPr="00044E85" w:rsidRDefault="00144CDA" w:rsidP="00044E85">
      <w:pPr>
        <w:pStyle w:val="Heading3"/>
        <w:rPr>
          <w:b/>
        </w:rPr>
      </w:pPr>
      <w:r w:rsidRPr="00044E85">
        <w:rPr>
          <w:b/>
        </w:rPr>
        <w:t xml:space="preserve">PMS to GMS </w:t>
      </w:r>
    </w:p>
    <w:p w14:paraId="469488D8" w14:textId="07C85A79" w:rsidR="00144CDA" w:rsidRPr="003C18BC" w:rsidRDefault="00144CDA" w:rsidP="00445ECA">
      <w:pPr>
        <w:pStyle w:val="Heading3"/>
      </w:pPr>
      <w:bookmarkStart w:id="2050" w:name="_Toc440982329"/>
      <w:r w:rsidRPr="003C18BC">
        <w:t xml:space="preserve">PMS agreements provide a right for </w:t>
      </w:r>
      <w:r w:rsidR="00845349">
        <w:t xml:space="preserve">certain </w:t>
      </w:r>
      <w:r w:rsidRPr="003C18BC">
        <w:t>contractor</w:t>
      </w:r>
      <w:r w:rsidR="00845349">
        <w:t>s</w:t>
      </w:r>
      <w:r w:rsidRPr="003C18BC">
        <w:t xml:space="preserve"> to request to enter into a GMS contract. Such a request can only be refused where the contractor fails to meet the conditions set out in the PMS Regulations.</w:t>
      </w:r>
      <w:bookmarkEnd w:id="2050"/>
      <w:r w:rsidRPr="003C18BC">
        <w:t xml:space="preserve"> </w:t>
      </w:r>
    </w:p>
    <w:p w14:paraId="4B52AD7F" w14:textId="70C10349" w:rsidR="00144CDA" w:rsidRPr="003C18BC" w:rsidRDefault="00144CDA" w:rsidP="00445ECA">
      <w:pPr>
        <w:pStyle w:val="Heading3"/>
      </w:pPr>
      <w:bookmarkStart w:id="2051" w:name="_Toc440982330"/>
      <w:r w:rsidRPr="003C18BC">
        <w:t xml:space="preserve">For further information on this, please refer to the </w:t>
      </w:r>
      <w:r w:rsidR="00965C81">
        <w:t xml:space="preserve">chapter </w:t>
      </w:r>
      <w:r w:rsidRPr="003C18BC">
        <w:t>on managing a PMS contractor's right to a GMS contract.</w:t>
      </w:r>
      <w:bookmarkEnd w:id="2051"/>
    </w:p>
    <w:p w14:paraId="3DD6B19C" w14:textId="77777777" w:rsidR="00144CDA" w:rsidRPr="003C18BC" w:rsidRDefault="00144CDA" w:rsidP="003331F2">
      <w:pPr>
        <w:pStyle w:val="BodyText"/>
      </w:pPr>
    </w:p>
    <w:p w14:paraId="70688AA8" w14:textId="77777777" w:rsidR="00144CDA" w:rsidRPr="0008784C" w:rsidRDefault="00144CDA" w:rsidP="0008784C">
      <w:pPr>
        <w:pStyle w:val="BodyText"/>
        <w:rPr>
          <w:b/>
          <w:sz w:val="24"/>
          <w:szCs w:val="24"/>
        </w:rPr>
      </w:pPr>
      <w:bookmarkStart w:id="2052" w:name="_Toc440982331"/>
      <w:r w:rsidRPr="0008784C">
        <w:rPr>
          <w:b/>
          <w:sz w:val="24"/>
          <w:szCs w:val="24"/>
        </w:rPr>
        <w:t>General duties</w:t>
      </w:r>
      <w:bookmarkEnd w:id="2052"/>
    </w:p>
    <w:p w14:paraId="692ED5CF" w14:textId="621C71BC" w:rsidR="00EF04D7" w:rsidRPr="00EF04D7" w:rsidRDefault="00144CDA" w:rsidP="00EF04D7">
      <w:pPr>
        <w:pStyle w:val="Heading3"/>
      </w:pPr>
      <w:bookmarkStart w:id="2053" w:name="_Ref414222785"/>
      <w:bookmarkStart w:id="2054" w:name="_Toc440982332"/>
      <w:r w:rsidRPr="003C18BC">
        <w:t xml:space="preserve">NHS England has a number of statutory duties relating to the exercise of its functions including reducing health inequalities and public involvement. The Commissioner must ensure that its actions in terminating a contract and any consequential actions ensure compliance with these duties. </w:t>
      </w:r>
      <w:bookmarkEnd w:id="2053"/>
      <w:r w:rsidRPr="003C18BC">
        <w:t>In an urgent situation, it may be necessary to balance the duty to involve with the public interest in maintaining continuity of care and protecting the health, safety and welfare of patients or staff.</w:t>
      </w:r>
      <w:r w:rsidR="00EF04D7">
        <w:t xml:space="preserve"> Please refer to the full chapter on general duties for further information.</w:t>
      </w:r>
    </w:p>
    <w:p w14:paraId="053D0924" w14:textId="77777777" w:rsidR="00144CDA" w:rsidRPr="003C18BC" w:rsidRDefault="00144CDA" w:rsidP="00445ECA">
      <w:pPr>
        <w:pStyle w:val="Heading3"/>
      </w:pPr>
      <w:r w:rsidRPr="003C18BC">
        <w:t xml:space="preserve">NHS England has set out its plans as to how it intends to involve the public in the following publications: </w:t>
      </w:r>
    </w:p>
    <w:p w14:paraId="119461C1" w14:textId="77777777" w:rsidR="00144CDA" w:rsidRPr="0012067F" w:rsidRDefault="000B57EE" w:rsidP="006C3DF5">
      <w:pPr>
        <w:pStyle w:val="ListParagraph"/>
        <w:widowControl w:val="0"/>
        <w:numPr>
          <w:ilvl w:val="2"/>
          <w:numId w:val="77"/>
        </w:numPr>
        <w:tabs>
          <w:tab w:val="left" w:pos="1179"/>
        </w:tabs>
        <w:spacing w:before="120" w:after="120" w:line="276" w:lineRule="auto"/>
        <w:ind w:right="114"/>
        <w:jc w:val="both"/>
        <w:rPr>
          <w:rFonts w:cs="Arial"/>
          <w:iCs/>
          <w:szCs w:val="24"/>
        </w:rPr>
      </w:pPr>
      <w:hyperlink r:id="rId157" w:history="1">
        <w:r w:rsidR="00144CDA" w:rsidRPr="0012067F">
          <w:rPr>
            <w:rFonts w:cs="Arial"/>
            <w:iCs/>
            <w:color w:val="0000FF"/>
            <w:szCs w:val="24"/>
            <w:u w:val="single"/>
          </w:rPr>
          <w:t>The Patient and Public Participation Policy</w:t>
        </w:r>
      </w:hyperlink>
    </w:p>
    <w:p w14:paraId="0476DB05" w14:textId="77777777" w:rsidR="00144CDA" w:rsidRPr="0012067F" w:rsidRDefault="000B57EE" w:rsidP="006C3DF5">
      <w:pPr>
        <w:pStyle w:val="ListParagraph"/>
        <w:widowControl w:val="0"/>
        <w:numPr>
          <w:ilvl w:val="2"/>
          <w:numId w:val="77"/>
        </w:numPr>
        <w:tabs>
          <w:tab w:val="left" w:pos="1179"/>
        </w:tabs>
        <w:spacing w:before="120" w:after="120" w:line="276" w:lineRule="auto"/>
        <w:ind w:right="114"/>
        <w:jc w:val="both"/>
        <w:rPr>
          <w:rFonts w:cs="Arial"/>
          <w:iCs/>
          <w:szCs w:val="24"/>
        </w:rPr>
      </w:pPr>
      <w:hyperlink r:id="rId158" w:history="1">
        <w:r w:rsidR="00144CDA" w:rsidRPr="0012067F">
          <w:rPr>
            <w:rFonts w:cs="Arial"/>
            <w:iCs/>
            <w:color w:val="0000FF"/>
            <w:szCs w:val="24"/>
            <w:u w:val="single"/>
          </w:rPr>
          <w:t>The Statement of Arrangements &amp; Guidance on Patient and Public Participation in Commissioning.</w:t>
        </w:r>
      </w:hyperlink>
      <w:r w:rsidR="00144CDA" w:rsidRPr="0012067F">
        <w:rPr>
          <w:rFonts w:cs="Arial"/>
          <w:iCs/>
          <w:szCs w:val="24"/>
        </w:rPr>
        <w:t xml:space="preserve"> </w:t>
      </w:r>
    </w:p>
    <w:p w14:paraId="5EBD013E" w14:textId="78D7C12D" w:rsidR="00144CDA" w:rsidRPr="003C18BC" w:rsidRDefault="000B57EE" w:rsidP="006C3DF5">
      <w:pPr>
        <w:pStyle w:val="ListParagraph"/>
        <w:widowControl w:val="0"/>
        <w:numPr>
          <w:ilvl w:val="2"/>
          <w:numId w:val="77"/>
        </w:numPr>
        <w:tabs>
          <w:tab w:val="left" w:pos="1179"/>
        </w:tabs>
        <w:spacing w:before="120" w:after="120" w:line="276" w:lineRule="auto"/>
        <w:ind w:right="114"/>
        <w:jc w:val="both"/>
        <w:rPr>
          <w:rFonts w:cs="Arial"/>
          <w:szCs w:val="24"/>
        </w:rPr>
      </w:pPr>
      <w:hyperlink r:id="rId159" w:history="1">
        <w:r w:rsidR="00144CDA" w:rsidRPr="003C18BC">
          <w:rPr>
            <w:rFonts w:cs="Arial"/>
            <w:iCs/>
            <w:color w:val="0000FF"/>
            <w:szCs w:val="24"/>
            <w:u w:val="single"/>
          </w:rPr>
          <w:t>The Framework for Patient and Public Participation in Primary Care Commissioning</w:t>
        </w:r>
      </w:hyperlink>
      <w:r w:rsidR="00144CDA" w:rsidRPr="003C18BC">
        <w:rPr>
          <w:rFonts w:cs="Arial"/>
          <w:szCs w:val="24"/>
        </w:rPr>
        <w:t>.</w:t>
      </w:r>
      <w:bookmarkEnd w:id="2054"/>
    </w:p>
    <w:p w14:paraId="13E58ABB" w14:textId="77777777" w:rsidR="00144CDA" w:rsidRPr="003C18BC" w:rsidRDefault="00144CDA" w:rsidP="00144CDA">
      <w:pPr>
        <w:spacing w:before="120" w:after="120" w:line="276" w:lineRule="auto"/>
        <w:ind w:firstLine="720"/>
        <w:rPr>
          <w:rFonts w:cs="Arial"/>
          <w:szCs w:val="24"/>
        </w:rPr>
      </w:pPr>
    </w:p>
    <w:p w14:paraId="6807EE4A" w14:textId="7E9D818A" w:rsidR="00144CDA" w:rsidRPr="00044E85" w:rsidRDefault="00144CDA" w:rsidP="00044E85">
      <w:pPr>
        <w:pStyle w:val="Heading3"/>
        <w:rPr>
          <w:b/>
        </w:rPr>
      </w:pPr>
      <w:r w:rsidRPr="00044E85">
        <w:rPr>
          <w:b/>
        </w:rPr>
        <w:t>LMC consultation</w:t>
      </w:r>
      <w:r w:rsidR="00845349">
        <w:rPr>
          <w:b/>
        </w:rPr>
        <w:t xml:space="preserve"> (GMS Contracts)</w:t>
      </w:r>
    </w:p>
    <w:p w14:paraId="134D7C3B" w14:textId="32483322" w:rsidR="00144CDA" w:rsidRPr="003C18BC" w:rsidRDefault="00845349" w:rsidP="00845349">
      <w:pPr>
        <w:pStyle w:val="Heading3"/>
      </w:pPr>
      <w:bookmarkStart w:id="2055" w:name="_Ref409794106"/>
      <w:bookmarkStart w:id="2056" w:name="_Toc440982333"/>
      <w:r w:rsidRPr="00845349">
        <w:t xml:space="preserve">For GMS contracts, the </w:t>
      </w:r>
      <w:r w:rsidR="00144CDA" w:rsidRPr="003C18BC">
        <w:t>Commissioner must consult the LMC for the area in which the contractor provides services where the Commissioner is considering:</w:t>
      </w:r>
      <w:bookmarkEnd w:id="2055"/>
      <w:bookmarkEnd w:id="2056"/>
    </w:p>
    <w:p w14:paraId="1EA393C4" w14:textId="35B15B89" w:rsidR="00144CDA" w:rsidRPr="009A7101" w:rsidRDefault="00144CDA" w:rsidP="006C3DF5">
      <w:pPr>
        <w:pStyle w:val="ListParagraph"/>
        <w:numPr>
          <w:ilvl w:val="0"/>
          <w:numId w:val="190"/>
        </w:numPr>
        <w:spacing w:line="360" w:lineRule="auto"/>
        <w:ind w:left="714" w:hanging="357"/>
      </w:pPr>
      <w:bookmarkStart w:id="2057" w:name="_Toc440982334"/>
      <w:r w:rsidRPr="009A7101">
        <w:t>terminating the contract;</w:t>
      </w:r>
      <w:bookmarkEnd w:id="2057"/>
    </w:p>
    <w:p w14:paraId="04687FC1" w14:textId="77777777" w:rsidR="00144CDA" w:rsidRPr="009A7101" w:rsidRDefault="00144CDA" w:rsidP="006C3DF5">
      <w:pPr>
        <w:pStyle w:val="ListParagraph"/>
        <w:numPr>
          <w:ilvl w:val="0"/>
          <w:numId w:val="190"/>
        </w:numPr>
        <w:spacing w:line="360" w:lineRule="auto"/>
        <w:ind w:left="714" w:hanging="357"/>
      </w:pPr>
      <w:bookmarkStart w:id="2058" w:name="_Toc440982335"/>
      <w:r w:rsidRPr="009A7101">
        <w:t>which alternative notice to issue where there is a right to terminate for unlawful sub-contracting; or</w:t>
      </w:r>
      <w:bookmarkEnd w:id="2058"/>
    </w:p>
    <w:p w14:paraId="37F9AF68" w14:textId="77777777" w:rsidR="00144CDA" w:rsidRPr="009A7101" w:rsidRDefault="00144CDA" w:rsidP="006C3DF5">
      <w:pPr>
        <w:pStyle w:val="ListParagraph"/>
        <w:numPr>
          <w:ilvl w:val="0"/>
          <w:numId w:val="190"/>
        </w:numPr>
        <w:spacing w:line="360" w:lineRule="auto"/>
        <w:ind w:left="714" w:hanging="357"/>
      </w:pPr>
      <w:bookmarkStart w:id="2059" w:name="_Toc440982336"/>
      <w:r w:rsidRPr="009A7101">
        <w:t>imposing a contract sanction.</w:t>
      </w:r>
      <w:bookmarkEnd w:id="2059"/>
    </w:p>
    <w:p w14:paraId="00CB0DA4" w14:textId="043F4427" w:rsidR="00144CDA" w:rsidRPr="003C18BC" w:rsidRDefault="00144CDA" w:rsidP="00845349">
      <w:pPr>
        <w:pStyle w:val="Heading3"/>
      </w:pPr>
      <w:bookmarkStart w:id="2060" w:name="_Toc440982337"/>
      <w:r w:rsidRPr="003C18BC">
        <w:t xml:space="preserve">Whether or not the LMC has been consulted, whenever the Commissioner imposes a Contract Sanction or terminates a </w:t>
      </w:r>
      <w:r w:rsidR="00845349">
        <w:t xml:space="preserve">GMS </w:t>
      </w:r>
      <w:r w:rsidRPr="003C18BC">
        <w:t>contract, the Commissioner must as soon as reasonably practicable, notify the relevant LMC in writing of the sanction or termination</w:t>
      </w:r>
      <w:r w:rsidR="00845349" w:rsidRPr="00845349">
        <w:t>.  PMS and APMS contracts are not required to contain such provisions. The Commissioner should review the relevant contract to determine whether any requirement has been included.</w:t>
      </w:r>
      <w:bookmarkEnd w:id="2060"/>
    </w:p>
    <w:p w14:paraId="08D6EC6D" w14:textId="77777777" w:rsidR="00144CDA" w:rsidRPr="003C18BC" w:rsidRDefault="00144CDA" w:rsidP="00144CDA">
      <w:pPr>
        <w:spacing w:before="120" w:after="120" w:line="276" w:lineRule="auto"/>
        <w:ind w:firstLine="720"/>
        <w:rPr>
          <w:rFonts w:cs="Arial"/>
          <w:szCs w:val="24"/>
        </w:rPr>
      </w:pPr>
    </w:p>
    <w:p w14:paraId="3838CCA5" w14:textId="77777777" w:rsidR="00144CDA" w:rsidRPr="00044E85" w:rsidRDefault="00144CDA" w:rsidP="00044E85">
      <w:pPr>
        <w:pStyle w:val="Heading3"/>
        <w:rPr>
          <w:b/>
        </w:rPr>
      </w:pPr>
      <w:r w:rsidRPr="00044E85">
        <w:rPr>
          <w:b/>
        </w:rPr>
        <w:t>Premises</w:t>
      </w:r>
    </w:p>
    <w:p w14:paraId="760F9A03" w14:textId="68DD804D" w:rsidR="00144CDA" w:rsidRPr="003C18BC" w:rsidRDefault="00144CDA" w:rsidP="00445ECA">
      <w:pPr>
        <w:pStyle w:val="Heading3"/>
      </w:pPr>
      <w:bookmarkStart w:id="2061" w:name="_Toc440982338"/>
      <w:r w:rsidRPr="003C18BC">
        <w:t xml:space="preserve">The Commissioner should ascertain who owns the premises and what arrangements apply to the premises. Where the outgoing contractor owns the premises, a future service provider may not be able to use those premises for </w:t>
      </w:r>
      <w:r w:rsidR="00381074">
        <w:t xml:space="preserve">the </w:t>
      </w:r>
      <w:r w:rsidRPr="003C18BC">
        <w:t>delivery of services. The Commissioner should consider what arrangements need to be put in place to ensure continued service provision.</w:t>
      </w:r>
      <w:bookmarkEnd w:id="2061"/>
      <w:r w:rsidRPr="003C18BC">
        <w:t xml:space="preserve"> </w:t>
      </w:r>
      <w:r w:rsidR="00CF37FA">
        <w:t>Commissioner should also ensure they consider any Premises Cost Directions or guidance published by NHS England in relation to Premises.</w:t>
      </w:r>
    </w:p>
    <w:p w14:paraId="4F9452EF" w14:textId="77777777" w:rsidR="00144CDA" w:rsidRPr="003C18BC" w:rsidRDefault="00144CDA" w:rsidP="00144CDA">
      <w:pPr>
        <w:spacing w:before="120" w:after="120" w:line="276" w:lineRule="auto"/>
        <w:ind w:left="720"/>
        <w:rPr>
          <w:rFonts w:cs="Arial"/>
          <w:szCs w:val="24"/>
        </w:rPr>
      </w:pPr>
    </w:p>
    <w:p w14:paraId="083E7F9B" w14:textId="77777777" w:rsidR="00144CDA" w:rsidRPr="00044E85" w:rsidRDefault="00144CDA" w:rsidP="00044E85">
      <w:pPr>
        <w:pStyle w:val="Heading3"/>
        <w:rPr>
          <w:b/>
        </w:rPr>
      </w:pPr>
      <w:r w:rsidRPr="00044E85">
        <w:rPr>
          <w:b/>
        </w:rPr>
        <w:t>TUPE</w:t>
      </w:r>
    </w:p>
    <w:p w14:paraId="60B21C8C" w14:textId="486E6780" w:rsidR="00144CDA" w:rsidRPr="003C18BC" w:rsidRDefault="00144CDA" w:rsidP="00445ECA">
      <w:pPr>
        <w:pStyle w:val="Heading3"/>
      </w:pPr>
      <w:bookmarkStart w:id="2062" w:name="_Toc440982339"/>
      <w:r w:rsidRPr="003C18BC">
        <w:t>The Commissioner should consider the impact of termination on the staff currently employed under the terminating contract. Where a new contract is entered into with a new provider, TUPE may apply to transfer the staff to the new provider.</w:t>
      </w:r>
      <w:bookmarkEnd w:id="2062"/>
      <w:r w:rsidRPr="003C18BC">
        <w:t xml:space="preserve"> </w:t>
      </w:r>
    </w:p>
    <w:p w14:paraId="2BFE0C64" w14:textId="418F4581" w:rsidR="00144CDA" w:rsidRPr="003C18BC" w:rsidRDefault="00144CDA" w:rsidP="00445ECA">
      <w:pPr>
        <w:pStyle w:val="Heading3"/>
      </w:pPr>
      <w:bookmarkStart w:id="2063" w:name="_Toc440982340"/>
      <w:r w:rsidRPr="003C18BC">
        <w:t>TUPE can be complex, risky and time consuming for any incoming provider and is likely to have a financial impact on the cost of any service. The Commissioner should consider whether the potential for TUPE to apply may be considered a significant risk to any incoming provider.</w:t>
      </w:r>
      <w:bookmarkEnd w:id="2063"/>
    </w:p>
    <w:p w14:paraId="1E3CC75D" w14:textId="77777777" w:rsidR="00144CDA" w:rsidRPr="003C18BC" w:rsidRDefault="00144CDA" w:rsidP="00144CDA">
      <w:pPr>
        <w:spacing w:before="120" w:after="120" w:line="276" w:lineRule="auto"/>
        <w:ind w:left="720"/>
        <w:rPr>
          <w:rFonts w:cs="Arial"/>
          <w:szCs w:val="24"/>
        </w:rPr>
      </w:pPr>
    </w:p>
    <w:p w14:paraId="1CB8F6BB" w14:textId="77777777" w:rsidR="00144CDA" w:rsidRPr="00044E85" w:rsidRDefault="00144CDA" w:rsidP="00044E85">
      <w:pPr>
        <w:pStyle w:val="Heading3"/>
        <w:rPr>
          <w:b/>
        </w:rPr>
      </w:pPr>
      <w:r w:rsidRPr="00044E85">
        <w:rPr>
          <w:b/>
        </w:rPr>
        <w:t>Equipment</w:t>
      </w:r>
    </w:p>
    <w:p w14:paraId="7EDE2365" w14:textId="2B33C3F2" w:rsidR="00144CDA" w:rsidRPr="003C18BC" w:rsidRDefault="009B6BDA" w:rsidP="00445ECA">
      <w:pPr>
        <w:pStyle w:val="Heading3"/>
      </w:pPr>
      <w:bookmarkStart w:id="2064" w:name="_Toc440982341"/>
      <w:r w:rsidRPr="009B6BDA">
        <w:t xml:space="preserve">All equipment, including associated software, issued through GP IT are owned by NHS England and these are being managed on its behalf by the </w:t>
      </w:r>
      <w:r w:rsidR="00B83042">
        <w:t>CCGs/ICBs</w:t>
      </w:r>
      <w:r w:rsidR="008B199F">
        <w:t xml:space="preserve"> </w:t>
      </w:r>
      <w:r w:rsidRPr="009B6BDA">
        <w:t xml:space="preserve">as </w:t>
      </w:r>
      <w:r w:rsidR="009F1EC8" w:rsidRPr="009B6BDA">
        <w:t>responsible</w:t>
      </w:r>
      <w:r w:rsidRPr="009B6BDA">
        <w:t xml:space="preserve"> </w:t>
      </w:r>
      <w:r w:rsidR="009F1EC8" w:rsidRPr="009B6BDA">
        <w:t>commissioners</w:t>
      </w:r>
      <w:r w:rsidRPr="009B6BDA">
        <w:t xml:space="preserve"> of GP IT services</w:t>
      </w:r>
      <w:r w:rsidR="00D70266">
        <w:t>.</w:t>
      </w:r>
      <w:r w:rsidR="00144CDA" w:rsidRPr="003C18BC">
        <w:t xml:space="preserve"> Arrangements </w:t>
      </w:r>
      <w:r w:rsidR="00C54675">
        <w:t xml:space="preserve">should </w:t>
      </w:r>
      <w:r w:rsidR="00C54675" w:rsidRPr="003C18BC">
        <w:t>be</w:t>
      </w:r>
      <w:r w:rsidR="00144CDA" w:rsidRPr="003C18BC">
        <w:t xml:space="preserve"> put in place to retrieve this equipment</w:t>
      </w:r>
      <w:r w:rsidR="00D70266">
        <w:t>, together with other kit</w:t>
      </w:r>
      <w:r w:rsidR="00381074">
        <w:t>s</w:t>
      </w:r>
      <w:r w:rsidR="00D70266">
        <w:t xml:space="preserve"> issued by the </w:t>
      </w:r>
      <w:r w:rsidR="00B83042">
        <w:t>CCG/ICB</w:t>
      </w:r>
      <w:r w:rsidR="00D70266">
        <w:t xml:space="preserve">, </w:t>
      </w:r>
      <w:r w:rsidR="00144CDA" w:rsidRPr="003C18BC">
        <w:t>to ensure</w:t>
      </w:r>
      <w:r w:rsidR="009F1EC8">
        <w:t xml:space="preserve"> i</w:t>
      </w:r>
      <w:r w:rsidR="00144CDA" w:rsidRPr="003C18BC">
        <w:t>t is available to a future service provider.</w:t>
      </w:r>
      <w:bookmarkEnd w:id="2064"/>
      <w:r w:rsidR="00144CDA" w:rsidRPr="003C18BC">
        <w:t xml:space="preserve"> </w:t>
      </w:r>
    </w:p>
    <w:p w14:paraId="2B00D420" w14:textId="77777777" w:rsidR="00144CDA" w:rsidRPr="003C18BC" w:rsidRDefault="00144CDA" w:rsidP="00144CDA">
      <w:pPr>
        <w:spacing w:before="120" w:after="120" w:line="276" w:lineRule="auto"/>
        <w:ind w:left="720"/>
        <w:rPr>
          <w:rFonts w:cs="Arial"/>
          <w:szCs w:val="24"/>
        </w:rPr>
      </w:pPr>
    </w:p>
    <w:p w14:paraId="59D6A1D2" w14:textId="440CDE28" w:rsidR="00144CDA" w:rsidRPr="00044E85" w:rsidRDefault="00144CDA" w:rsidP="000F484F">
      <w:pPr>
        <w:pStyle w:val="Heading3"/>
        <w:rPr>
          <w:b/>
        </w:rPr>
      </w:pPr>
      <w:r w:rsidRPr="00044E85">
        <w:rPr>
          <w:b/>
        </w:rPr>
        <w:t>Patient lists</w:t>
      </w:r>
      <w:r w:rsidR="000F484F">
        <w:rPr>
          <w:b/>
        </w:rPr>
        <w:t xml:space="preserve"> – See also PCSE </w:t>
      </w:r>
      <w:hyperlink r:id="rId160" w:history="1">
        <w:r w:rsidR="000F484F" w:rsidRPr="00133AE8">
          <w:rPr>
            <w:rStyle w:val="Hyperlink"/>
          </w:rPr>
          <w:t>https://pcse.england.nhs.uk/services/practice-mergers-and-closures-notifications/</w:t>
        </w:r>
      </w:hyperlink>
      <w:r w:rsidR="000F484F">
        <w:rPr>
          <w:b/>
        </w:rPr>
        <w:t xml:space="preserve"> </w:t>
      </w:r>
    </w:p>
    <w:p w14:paraId="1A0AD919" w14:textId="2F901B5D" w:rsidR="00144CDA" w:rsidRPr="003C18BC" w:rsidRDefault="00144CDA" w:rsidP="00445ECA">
      <w:pPr>
        <w:pStyle w:val="Heading3"/>
      </w:pPr>
      <w:bookmarkStart w:id="2065" w:name="_Toc440982342"/>
      <w:r w:rsidRPr="003C18BC">
        <w:t>Patients have a right of choice meaning the Commissioner must not routinely transfer all of the registered patients to an alternative provider. Patients should be provided with a detailed list of other local practices that are currently accepting new patients and offered the opportunity to register with one of them.</w:t>
      </w:r>
      <w:bookmarkEnd w:id="2065"/>
    </w:p>
    <w:p w14:paraId="2D374576" w14:textId="6BFC29A4" w:rsidR="00144CDA" w:rsidRPr="003C18BC" w:rsidRDefault="00144CDA" w:rsidP="00445ECA">
      <w:pPr>
        <w:pStyle w:val="Heading3"/>
      </w:pPr>
      <w:bookmarkStart w:id="2066" w:name="_Toc440982343"/>
      <w:r w:rsidRPr="003C18BC">
        <w:t>The Commissioner should consider what steps will be taken in regard to patients who have not registered elsewhere at the end of the contract. It is often the case that the majority will voluntarily seek alternative registration; however, there are usually a number of patients who do not, some of whom may no longer be resident in the UK or simply moved within the UK and not changed their address details at the practice and others who have not yet chosen an alternative provider. Some may have died. In these circumstances</w:t>
      </w:r>
      <w:r w:rsidR="00381074">
        <w:t>,</w:t>
      </w:r>
      <w:r w:rsidRPr="003C18BC">
        <w:t xml:space="preserve"> the Commissioner must be clear on the process of dispersal or allocation that they will follow in order to avoid the risk of challenge from other local providers.</w:t>
      </w:r>
      <w:bookmarkEnd w:id="2066"/>
      <w:r w:rsidRPr="003C18BC">
        <w:t xml:space="preserve"> Please refer to the chapters on planned and unplanned closure for more information.</w:t>
      </w:r>
    </w:p>
    <w:p w14:paraId="3C708E3E" w14:textId="77777777" w:rsidR="00144CDA" w:rsidRPr="003C18BC" w:rsidRDefault="00144CDA" w:rsidP="00144CDA">
      <w:pPr>
        <w:spacing w:before="120" w:after="120" w:line="276" w:lineRule="auto"/>
        <w:ind w:left="720"/>
        <w:rPr>
          <w:rFonts w:cs="Arial"/>
          <w:szCs w:val="24"/>
        </w:rPr>
      </w:pPr>
    </w:p>
    <w:p w14:paraId="450DBA36" w14:textId="0033A457" w:rsidR="00144CDA" w:rsidRPr="00044E85" w:rsidRDefault="00144CDA" w:rsidP="00044E85">
      <w:pPr>
        <w:pStyle w:val="Heading3"/>
        <w:rPr>
          <w:b/>
        </w:rPr>
      </w:pPr>
      <w:r w:rsidRPr="00044E85">
        <w:rPr>
          <w:b/>
        </w:rPr>
        <w:t>Patient records</w:t>
      </w:r>
      <w:r w:rsidR="000F484F">
        <w:rPr>
          <w:b/>
        </w:rPr>
        <w:t xml:space="preserve"> – See also PCSE </w:t>
      </w:r>
      <w:hyperlink r:id="rId161" w:history="1">
        <w:r w:rsidR="000F484F" w:rsidRPr="00133AE8">
          <w:rPr>
            <w:rStyle w:val="Hyperlink"/>
          </w:rPr>
          <w:t>https://pcse.england.nhs.uk/services/practice-mergers-and-closures-notifications/</w:t>
        </w:r>
      </w:hyperlink>
    </w:p>
    <w:p w14:paraId="3AAD93B7" w14:textId="03D7E349" w:rsidR="00144CDA" w:rsidRPr="003C18BC" w:rsidRDefault="00144CDA" w:rsidP="00445ECA">
      <w:pPr>
        <w:pStyle w:val="Heading3"/>
      </w:pPr>
      <w:bookmarkStart w:id="2067" w:name="_Toc440982344"/>
      <w:r w:rsidRPr="003C18BC">
        <w:t>The Commissioner should consider management of NHS patient paper records (Lloyd George notes) and any subsequent clinical mail – it is very likely that the contractor has retained a significant number of patient paper records both in the reception area and often stored elsewhere in the practice premises, including loft spaces and store cupboards. The Commissioner must be able to securely retrieve these records and communications, having full regard of data protection and confidentiality in order that these can be distributed accordingly to any providers or retu</w:t>
      </w:r>
      <w:r w:rsidR="00845349">
        <w:t>r</w:t>
      </w:r>
      <w:r w:rsidRPr="003C18BC">
        <w:t>ned to central storage. The contractor (or their representative) is responsible for any non NHS patient or client record, though agreement may be reached with the Commissioner to manage (dispose of) any confidential information on their behalf.</w:t>
      </w:r>
      <w:bookmarkEnd w:id="2067"/>
      <w:r w:rsidRPr="003C18BC">
        <w:t xml:space="preserve"> Please refer to the chapters on planned and unplanned closure for more information.</w:t>
      </w:r>
    </w:p>
    <w:p w14:paraId="3008B51D" w14:textId="77777777" w:rsidR="00144CDA" w:rsidRPr="003C18BC" w:rsidRDefault="00144CDA" w:rsidP="00144CDA">
      <w:pPr>
        <w:spacing w:before="120" w:after="120" w:line="276" w:lineRule="auto"/>
        <w:ind w:left="720"/>
        <w:rPr>
          <w:rFonts w:cs="Arial"/>
          <w:szCs w:val="24"/>
        </w:rPr>
      </w:pPr>
    </w:p>
    <w:p w14:paraId="5918E703" w14:textId="77777777" w:rsidR="00144CDA" w:rsidRPr="00044E85" w:rsidRDefault="00144CDA" w:rsidP="00044E85">
      <w:pPr>
        <w:pStyle w:val="Heading3"/>
        <w:rPr>
          <w:b/>
        </w:rPr>
      </w:pPr>
      <w:r w:rsidRPr="00044E85">
        <w:rPr>
          <w:b/>
        </w:rPr>
        <w:t xml:space="preserve">Prescriptions </w:t>
      </w:r>
    </w:p>
    <w:p w14:paraId="2B6330E3" w14:textId="2E078F1E" w:rsidR="00144CDA" w:rsidRPr="003C18BC" w:rsidRDefault="00144CDA" w:rsidP="00445ECA">
      <w:pPr>
        <w:pStyle w:val="Heading3"/>
      </w:pPr>
      <w:bookmarkStart w:id="2068" w:name="_Toc440982345"/>
      <w:r w:rsidRPr="003C18BC">
        <w:t>The Commissioner should consider prescription pads, electronic prescriptions and any uncollected completed prescriptions – these will also need to be retrieved and dealt with accordingly. The Commissioner may wish to decide on a specified age of a current prescription (such as one month) and make appropriate arrangements for the handling of these and disposal of any that are older.</w:t>
      </w:r>
      <w:bookmarkEnd w:id="2068"/>
      <w:r w:rsidR="000F484F">
        <w:t xml:space="preserve"> </w:t>
      </w:r>
      <w:r w:rsidR="000F484F">
        <w:rPr>
          <w:b/>
        </w:rPr>
        <w:t xml:space="preserve">– </w:t>
      </w:r>
      <w:r w:rsidR="000F484F" w:rsidRPr="00B047B4">
        <w:t>See also PCSE</w:t>
      </w:r>
      <w:r w:rsidR="000F484F">
        <w:rPr>
          <w:b/>
        </w:rPr>
        <w:t xml:space="preserve"> </w:t>
      </w:r>
      <w:hyperlink r:id="rId162" w:history="1">
        <w:r w:rsidR="000F484F" w:rsidRPr="00133AE8">
          <w:rPr>
            <w:rStyle w:val="Hyperlink"/>
          </w:rPr>
          <w:t>https://pcse.england.nhs.uk/services/practice-mergers-and-closures-notifications/</w:t>
        </w:r>
      </w:hyperlink>
    </w:p>
    <w:p w14:paraId="1757434B" w14:textId="77777777" w:rsidR="00144CDA" w:rsidRPr="003C18BC" w:rsidRDefault="00144CDA" w:rsidP="00144CDA">
      <w:pPr>
        <w:spacing w:before="120" w:after="120" w:line="276" w:lineRule="auto"/>
        <w:ind w:left="720"/>
        <w:rPr>
          <w:rFonts w:cs="Arial"/>
          <w:szCs w:val="24"/>
        </w:rPr>
      </w:pPr>
    </w:p>
    <w:p w14:paraId="09BD4B06" w14:textId="77777777" w:rsidR="00144CDA" w:rsidRPr="00044E85" w:rsidRDefault="00144CDA" w:rsidP="00044E85">
      <w:pPr>
        <w:pStyle w:val="Heading3"/>
        <w:rPr>
          <w:b/>
        </w:rPr>
      </w:pPr>
      <w:r w:rsidRPr="00044E85">
        <w:rPr>
          <w:b/>
        </w:rPr>
        <w:t>Drugs and medicines</w:t>
      </w:r>
    </w:p>
    <w:p w14:paraId="3DF3D030" w14:textId="4E75A0EC" w:rsidR="00144CDA" w:rsidRPr="003C18BC" w:rsidRDefault="00144CDA" w:rsidP="00445ECA">
      <w:pPr>
        <w:pStyle w:val="Heading3"/>
      </w:pPr>
      <w:bookmarkStart w:id="2069" w:name="_Toc440982346"/>
      <w:r w:rsidRPr="003C18BC">
        <w:t>The Commissioner should consider practice held drugs – these will need to be disposed of but are technically likely to be owned by the contractor whose contract is terminating. The Commissioner should seek assurances about the safe and effective disposal of such drugs.</w:t>
      </w:r>
      <w:bookmarkEnd w:id="2069"/>
    </w:p>
    <w:p w14:paraId="4D86A551" w14:textId="77777777" w:rsidR="00144CDA" w:rsidRPr="007C30BA" w:rsidRDefault="00144CDA" w:rsidP="00144CDA">
      <w:pPr>
        <w:pStyle w:val="Body2"/>
        <w:spacing w:before="120" w:after="120" w:line="276" w:lineRule="auto"/>
        <w:rPr>
          <w:rFonts w:cs="Arial"/>
        </w:rPr>
      </w:pPr>
    </w:p>
    <w:p w14:paraId="4180F323" w14:textId="77777777" w:rsidR="00144CDA" w:rsidRPr="003C18BC" w:rsidRDefault="00144CDA" w:rsidP="00144CDA">
      <w:pPr>
        <w:pStyle w:val="Heading2"/>
      </w:pPr>
      <w:bookmarkStart w:id="2070" w:name="_Ref409600317"/>
      <w:bookmarkStart w:id="2071" w:name="_Toc440982347"/>
      <w:bookmarkStart w:id="2072" w:name="_Toc95743517"/>
      <w:r w:rsidRPr="003C18BC">
        <w:t>Rights of Termination</w:t>
      </w:r>
      <w:bookmarkEnd w:id="2070"/>
      <w:bookmarkEnd w:id="2071"/>
      <w:bookmarkEnd w:id="2072"/>
    </w:p>
    <w:p w14:paraId="0AFC4FF9" w14:textId="32F9679D" w:rsidR="00144CDA" w:rsidRPr="00044E85" w:rsidRDefault="00144CDA" w:rsidP="00044E85">
      <w:pPr>
        <w:pStyle w:val="Heading3"/>
        <w:rPr>
          <w:b/>
        </w:rPr>
      </w:pPr>
      <w:bookmarkStart w:id="2073" w:name="_Toc440982348"/>
      <w:r w:rsidRPr="00044E85">
        <w:rPr>
          <w:b/>
        </w:rPr>
        <w:t>Death of a contractor</w:t>
      </w:r>
      <w:bookmarkEnd w:id="2073"/>
    </w:p>
    <w:p w14:paraId="30425FC3" w14:textId="1B0A6848" w:rsidR="008D23C2" w:rsidRDefault="00144CDA" w:rsidP="008D23C2">
      <w:pPr>
        <w:pStyle w:val="Heading3"/>
        <w:rPr>
          <w:b/>
        </w:rPr>
      </w:pPr>
      <w:bookmarkStart w:id="2074" w:name="_Toc440982349"/>
      <w:r w:rsidRPr="003C18BC">
        <w:t xml:space="preserve">Please refer to the </w:t>
      </w:r>
      <w:r w:rsidR="00965C81">
        <w:t xml:space="preserve">chapter </w:t>
      </w:r>
      <w:r w:rsidRPr="003C18BC">
        <w:t xml:space="preserve">on the death of a </w:t>
      </w:r>
      <w:r w:rsidR="009F1EC8" w:rsidRPr="003C18BC">
        <w:t>contractor for</w:t>
      </w:r>
      <w:r w:rsidRPr="003C18BC">
        <w:t xml:space="preserve"> further information.</w:t>
      </w:r>
      <w:bookmarkEnd w:id="2074"/>
    </w:p>
    <w:p w14:paraId="4043601C" w14:textId="3BE43B02" w:rsidR="00144CDA" w:rsidRPr="008D23C2" w:rsidRDefault="00144CDA" w:rsidP="008D23C2">
      <w:pPr>
        <w:pStyle w:val="Heading3"/>
        <w:rPr>
          <w:b/>
        </w:rPr>
      </w:pPr>
      <w:bookmarkStart w:id="2075" w:name="_Toc440982350"/>
      <w:r w:rsidRPr="008D23C2">
        <w:rPr>
          <w:b/>
        </w:rPr>
        <w:t>Termination where both parties agree</w:t>
      </w:r>
      <w:bookmarkEnd w:id="2075"/>
    </w:p>
    <w:p w14:paraId="73CADF32" w14:textId="16F63498" w:rsidR="00144CDA" w:rsidRPr="003C18BC" w:rsidRDefault="00144CDA" w:rsidP="00445ECA">
      <w:pPr>
        <w:pStyle w:val="Heading3"/>
      </w:pPr>
      <w:bookmarkStart w:id="2076" w:name="_Ref409619714"/>
      <w:bookmarkStart w:id="2077" w:name="_Toc440982351"/>
      <w:r w:rsidRPr="003C18BC">
        <w:t>PMS agreements are required to contain a provision stating that both parties may agree to terminate a contract. Although GMS or APMS contracts are not required to contain such a provision, all types of contract</w:t>
      </w:r>
      <w:r w:rsidR="00F3167A">
        <w:t>s</w:t>
      </w:r>
      <w:r w:rsidRPr="003C18BC">
        <w:t xml:space="preserve"> may be terminated where both parties agree.</w:t>
      </w:r>
      <w:bookmarkEnd w:id="2076"/>
      <w:bookmarkEnd w:id="2077"/>
      <w:r w:rsidRPr="003C18BC">
        <w:t xml:space="preserve"> </w:t>
      </w:r>
    </w:p>
    <w:p w14:paraId="48E176E0" w14:textId="2914B377" w:rsidR="00144CDA" w:rsidRPr="003C18BC" w:rsidRDefault="00144CDA" w:rsidP="00445ECA">
      <w:pPr>
        <w:pStyle w:val="Heading3"/>
      </w:pPr>
      <w:bookmarkStart w:id="2078" w:name="_Toc440982352"/>
      <w:r w:rsidRPr="003C18BC">
        <w:t xml:space="preserve">Where the parties agree to terminate, the parties must agree </w:t>
      </w:r>
      <w:r w:rsidR="00F3167A">
        <w:t xml:space="preserve">on </w:t>
      </w:r>
      <w:r w:rsidRPr="003C18BC">
        <w:t xml:space="preserve">the date from which termination will take place and any further terms relating to the termination. Before agreeing </w:t>
      </w:r>
      <w:r w:rsidR="00F3167A">
        <w:t xml:space="preserve">on </w:t>
      </w:r>
      <w:r w:rsidRPr="003C18BC">
        <w:t>the termination date, the Commissioner should ensure any proposed timescale allows the Commissioner to consider any other factors or actions that may be required prior to termination.</w:t>
      </w:r>
      <w:bookmarkEnd w:id="2078"/>
      <w:r w:rsidRPr="003C18BC">
        <w:t xml:space="preserve"> </w:t>
      </w:r>
    </w:p>
    <w:p w14:paraId="0C9A5701" w14:textId="1F14A305" w:rsidR="00144CDA" w:rsidRPr="003C18BC" w:rsidRDefault="00144CDA" w:rsidP="00445ECA">
      <w:pPr>
        <w:pStyle w:val="Heading3"/>
      </w:pPr>
      <w:bookmarkStart w:id="2079" w:name="_Toc440982353"/>
      <w:r w:rsidRPr="003C18BC">
        <w:t xml:space="preserve">The contractor party may be composed of more than one person. The Commissioner must agree </w:t>
      </w:r>
      <w:r w:rsidR="00F3167A">
        <w:t xml:space="preserve">to </w:t>
      </w:r>
      <w:r w:rsidRPr="003C18BC">
        <w:t>the same termination arrangements with all persons that constitute the contractor.</w:t>
      </w:r>
      <w:bookmarkEnd w:id="2079"/>
      <w:r w:rsidRPr="003C18BC">
        <w:t xml:space="preserve"> </w:t>
      </w:r>
    </w:p>
    <w:p w14:paraId="18087CDC" w14:textId="5E846FB7" w:rsidR="00144CDA" w:rsidRPr="003C18BC" w:rsidRDefault="00144CDA" w:rsidP="00445ECA">
      <w:pPr>
        <w:pStyle w:val="Heading3"/>
      </w:pPr>
      <w:bookmarkStart w:id="2080" w:name="_Toc440982354"/>
      <w:r w:rsidRPr="003C18BC">
        <w:t xml:space="preserve">NHS England's general duties may be triggered by termination in these circumstances. For further information, please refer to </w:t>
      </w:r>
      <w:bookmarkEnd w:id="2080"/>
      <w:r w:rsidR="00CF37FA">
        <w:t>the chapter covering General Duties of NHS England</w:t>
      </w:r>
    </w:p>
    <w:p w14:paraId="18AABFF1" w14:textId="77777777" w:rsidR="00144CDA" w:rsidRPr="003C18BC" w:rsidRDefault="00144CDA" w:rsidP="003331F2">
      <w:pPr>
        <w:pStyle w:val="BodyText"/>
      </w:pPr>
    </w:p>
    <w:p w14:paraId="699246FB" w14:textId="77777777" w:rsidR="00144CDA" w:rsidRPr="00044E85" w:rsidRDefault="00144CDA" w:rsidP="00044E85">
      <w:pPr>
        <w:pStyle w:val="Heading3"/>
        <w:rPr>
          <w:b/>
        </w:rPr>
      </w:pPr>
      <w:bookmarkStart w:id="2081" w:name="_Toc440982355"/>
      <w:r w:rsidRPr="00044E85">
        <w:rPr>
          <w:b/>
        </w:rPr>
        <w:t>Termination where the contractor serves notice</w:t>
      </w:r>
      <w:bookmarkEnd w:id="2081"/>
    </w:p>
    <w:p w14:paraId="2BBA017F" w14:textId="587E86BE" w:rsidR="00144CDA" w:rsidRPr="003C18BC" w:rsidRDefault="00144CDA" w:rsidP="00445ECA">
      <w:pPr>
        <w:pStyle w:val="Heading3"/>
      </w:pPr>
      <w:bookmarkStart w:id="2082" w:name="_Toc440982356"/>
      <w:r w:rsidRPr="003C18BC">
        <w:t>GMS and PMS contracts can be terminated by the contractor by serving notice in writing at any time. APMS contracts may also contain this right of termination.</w:t>
      </w:r>
      <w:bookmarkEnd w:id="2082"/>
      <w:r w:rsidRPr="003C18BC">
        <w:t xml:space="preserve"> </w:t>
      </w:r>
    </w:p>
    <w:p w14:paraId="19D837B6" w14:textId="31BACB72" w:rsidR="00144CDA" w:rsidRPr="003C18BC" w:rsidRDefault="00144CDA" w:rsidP="00445ECA">
      <w:pPr>
        <w:pStyle w:val="Heading3"/>
      </w:pPr>
      <w:bookmarkStart w:id="2083" w:name="_Toc440982357"/>
      <w:r w:rsidRPr="003C18BC">
        <w:t>Where a contractor serves notice to terminate a GMS contract, it shall terminate six months after the date on which the notice is served, except where the contractor is an individual medical practitioner in which case the contract shall terminate three months after the date on which the notice is served.</w:t>
      </w:r>
      <w:bookmarkEnd w:id="2083"/>
      <w:r w:rsidRPr="003C18BC">
        <w:t xml:space="preserve">  </w:t>
      </w:r>
    </w:p>
    <w:p w14:paraId="16DDFB0A" w14:textId="35881081" w:rsidR="00144CDA" w:rsidRPr="003C18BC" w:rsidRDefault="00144CDA" w:rsidP="00445ECA">
      <w:pPr>
        <w:pStyle w:val="Heading3"/>
      </w:pPr>
      <w:bookmarkStart w:id="2084" w:name="_Toc440982358"/>
      <w:r w:rsidRPr="003C18BC">
        <w:t>If the date on which the GMS contract will terminate is not the last calendar day of a month, the contract shall instead terminate on the last calendar day of the month in which the termination date falls.</w:t>
      </w:r>
      <w:bookmarkEnd w:id="2084"/>
      <w:r w:rsidRPr="003C18BC">
        <w:t xml:space="preserve"> </w:t>
      </w:r>
    </w:p>
    <w:p w14:paraId="5CF471C4" w14:textId="15F1B53F" w:rsidR="00144CDA" w:rsidRPr="003C18BC" w:rsidRDefault="00144CDA" w:rsidP="00445ECA">
      <w:pPr>
        <w:pStyle w:val="Heading3"/>
      </w:pPr>
      <w:bookmarkStart w:id="2085" w:name="_Toc440982359"/>
      <w:r w:rsidRPr="003C18BC">
        <w:t xml:space="preserve">Where a contractor serves notice to terminate a PMS agreement, the period of notice shall not be less than six months (unless both parties agree in which case please refer to paragraph </w:t>
      </w:r>
      <w:r w:rsidR="008D23C2">
        <w:t>1.7.3</w:t>
      </w:r>
      <w:r w:rsidRPr="003C18BC">
        <w:t xml:space="preserve"> – termination where both parties agree).</w:t>
      </w:r>
      <w:bookmarkEnd w:id="2085"/>
    </w:p>
    <w:p w14:paraId="28BD62D1" w14:textId="69B81FBD" w:rsidR="00144CDA" w:rsidRPr="003C18BC" w:rsidRDefault="00144CDA" w:rsidP="00445ECA">
      <w:pPr>
        <w:pStyle w:val="Heading3"/>
      </w:pPr>
      <w:bookmarkStart w:id="2086" w:name="_Toc440982360"/>
      <w:r w:rsidRPr="003C18BC">
        <w:t xml:space="preserve">NHS England's general duties may be triggered by termination in these circumstances. For further information, please refer to paragraph </w:t>
      </w:r>
      <w:r w:rsidR="001E20EC">
        <w:t>1.</w:t>
      </w:r>
      <w:r w:rsidRPr="003C18BC">
        <w:rPr>
          <w:highlight w:val="yellow"/>
        </w:rPr>
        <w:fldChar w:fldCharType="begin"/>
      </w:r>
      <w:r w:rsidRPr="003C18BC">
        <w:instrText xml:space="preserve"> REF _Ref414222785 \r \h </w:instrText>
      </w:r>
      <w:r w:rsidRPr="003C18BC">
        <w:rPr>
          <w:highlight w:val="yellow"/>
        </w:rPr>
        <w:instrText xml:space="preserve"> \* MERGEFORMAT </w:instrText>
      </w:r>
      <w:r w:rsidRPr="003C18BC">
        <w:rPr>
          <w:highlight w:val="yellow"/>
        </w:rPr>
      </w:r>
      <w:r w:rsidRPr="003C18BC">
        <w:rPr>
          <w:highlight w:val="yellow"/>
        </w:rPr>
        <w:fldChar w:fldCharType="separate"/>
      </w:r>
      <w:r w:rsidR="00054166">
        <w:t>1.6.12</w:t>
      </w:r>
      <w:r w:rsidRPr="003C18BC">
        <w:rPr>
          <w:highlight w:val="yellow"/>
        </w:rPr>
        <w:fldChar w:fldCharType="end"/>
      </w:r>
      <w:r w:rsidRPr="003C18BC">
        <w:t>.</w:t>
      </w:r>
      <w:bookmarkEnd w:id="2086"/>
    </w:p>
    <w:p w14:paraId="0484B403" w14:textId="77777777" w:rsidR="00144CDA" w:rsidRPr="003C18BC" w:rsidRDefault="00144CDA" w:rsidP="003331F2">
      <w:pPr>
        <w:pStyle w:val="BodyText"/>
      </w:pPr>
    </w:p>
    <w:p w14:paraId="71FA8086" w14:textId="77777777" w:rsidR="00144CDA" w:rsidRPr="00044E85" w:rsidRDefault="00144CDA" w:rsidP="00044E85">
      <w:pPr>
        <w:pStyle w:val="Heading3"/>
        <w:rPr>
          <w:b/>
        </w:rPr>
      </w:pPr>
      <w:bookmarkStart w:id="2087" w:name="_Toc440982361"/>
      <w:r w:rsidRPr="00044E85">
        <w:rPr>
          <w:b/>
        </w:rPr>
        <w:t>Termination where the Commissioner serves notice</w:t>
      </w:r>
      <w:bookmarkEnd w:id="2087"/>
    </w:p>
    <w:p w14:paraId="60BFB334" w14:textId="7D7F8BE9" w:rsidR="00845349" w:rsidRPr="00845349" w:rsidRDefault="00845349" w:rsidP="00845349">
      <w:pPr>
        <w:pStyle w:val="Heading3"/>
      </w:pPr>
      <w:bookmarkStart w:id="2088" w:name="_Toc440982362"/>
      <w:r w:rsidRPr="00845349">
        <w:t xml:space="preserve">PMS agreements can be terminated by the Commissioner by serving notice in writing at any time, without needing to establish any breach by the contractor. APMS contracts may also contain this right of termination.  </w:t>
      </w:r>
    </w:p>
    <w:p w14:paraId="4A2BF85F" w14:textId="7DE1C3BC" w:rsidR="00144CDA" w:rsidRPr="003C18BC" w:rsidRDefault="00144CDA" w:rsidP="00845349">
      <w:pPr>
        <w:pStyle w:val="Heading3"/>
      </w:pPr>
      <w:bookmarkStart w:id="2089" w:name="_Toc440982363"/>
      <w:bookmarkEnd w:id="2088"/>
      <w:r w:rsidRPr="003C18BC">
        <w:t xml:space="preserve">Where the Commissioner serves </w:t>
      </w:r>
      <w:r w:rsidR="00845349">
        <w:t xml:space="preserve">this type of </w:t>
      </w:r>
      <w:r w:rsidRPr="003C18BC">
        <w:t xml:space="preserve">notice to terminate a PMS agreement, the period of notice shall not be less than six months (unless both parties agree in which case please refer to paragraph </w:t>
      </w:r>
      <w:r w:rsidR="008D23C2">
        <w:t>1.7.3</w:t>
      </w:r>
      <w:r w:rsidRPr="003C18BC">
        <w:t xml:space="preserve"> – termination where both parties agree).</w:t>
      </w:r>
      <w:bookmarkEnd w:id="2089"/>
      <w:r w:rsidRPr="003C18BC">
        <w:t xml:space="preserve"> </w:t>
      </w:r>
      <w:r w:rsidR="00845349" w:rsidRPr="00845349">
        <w:t>Commissioners should bear in mind the right of some PMS contractors to request a GMS contract.  For further information on this, please refer to the chapter on managing a PMS contractor's right to a GMS contract.</w:t>
      </w:r>
    </w:p>
    <w:p w14:paraId="13E43D44" w14:textId="0E80B09D" w:rsidR="00144CDA" w:rsidRPr="003C18BC" w:rsidRDefault="00144CDA" w:rsidP="00445ECA">
      <w:pPr>
        <w:pStyle w:val="Heading3"/>
      </w:pPr>
      <w:bookmarkStart w:id="2090" w:name="_Toc440982364"/>
      <w:r w:rsidRPr="003C18BC">
        <w:t xml:space="preserve">NHS England's general duties may be triggered by termination in these circumstances. For further information, please refer to </w:t>
      </w:r>
      <w:r w:rsidRPr="003C18BC">
        <w:rPr>
          <w:highlight w:val="yellow"/>
        </w:rPr>
        <w:fldChar w:fldCharType="begin"/>
      </w:r>
      <w:r w:rsidRPr="003C18BC">
        <w:instrText xml:space="preserve"> REF _Ref414222785 \r \h </w:instrText>
      </w:r>
      <w:r w:rsidRPr="003C18BC">
        <w:rPr>
          <w:highlight w:val="yellow"/>
        </w:rPr>
        <w:instrText xml:space="preserve"> \* MERGEFORMAT </w:instrText>
      </w:r>
      <w:r w:rsidRPr="003C18BC">
        <w:rPr>
          <w:highlight w:val="yellow"/>
        </w:rPr>
      </w:r>
      <w:r w:rsidRPr="003C18BC">
        <w:rPr>
          <w:highlight w:val="yellow"/>
        </w:rPr>
        <w:fldChar w:fldCharType="separate"/>
      </w:r>
      <w:r w:rsidR="00054166">
        <w:t>1.6.12</w:t>
      </w:r>
      <w:r w:rsidRPr="003C18BC">
        <w:rPr>
          <w:highlight w:val="yellow"/>
        </w:rPr>
        <w:fldChar w:fldCharType="end"/>
      </w:r>
      <w:r w:rsidRPr="003C18BC">
        <w:t>.</w:t>
      </w:r>
      <w:bookmarkEnd w:id="2090"/>
    </w:p>
    <w:p w14:paraId="360F0AA2" w14:textId="0D8279A4" w:rsidR="00144CDA" w:rsidRPr="003C18BC" w:rsidRDefault="00144CDA" w:rsidP="00445ECA">
      <w:pPr>
        <w:pStyle w:val="Heading3"/>
      </w:pPr>
      <w:bookmarkStart w:id="2091" w:name="_Toc440982365"/>
      <w:r w:rsidRPr="003C18BC">
        <w:t>GMS contracts are usually contracts in perpetuity without any right for the Commissioner to terminate on notice.</w:t>
      </w:r>
      <w:bookmarkEnd w:id="2091"/>
      <w:r w:rsidRPr="003C18BC">
        <w:t xml:space="preserve"> </w:t>
      </w:r>
    </w:p>
    <w:p w14:paraId="7A17B3C7" w14:textId="77777777" w:rsidR="00144CDA" w:rsidRPr="003C18BC" w:rsidRDefault="00144CDA" w:rsidP="003331F2">
      <w:pPr>
        <w:pStyle w:val="BodyText"/>
      </w:pPr>
    </w:p>
    <w:p w14:paraId="7A58CBB5" w14:textId="77777777" w:rsidR="00144CDA" w:rsidRPr="00044E85" w:rsidRDefault="00144CDA" w:rsidP="00044E85">
      <w:pPr>
        <w:pStyle w:val="Heading3"/>
        <w:rPr>
          <w:b/>
        </w:rPr>
      </w:pPr>
      <w:bookmarkStart w:id="2092" w:name="_Toc440982366"/>
      <w:r w:rsidRPr="00044E85">
        <w:rPr>
          <w:b/>
        </w:rPr>
        <w:t>Termination where the contractor exercises the right to a GMS contract</w:t>
      </w:r>
      <w:bookmarkEnd w:id="2092"/>
    </w:p>
    <w:p w14:paraId="3B8BC6AE" w14:textId="59F70176" w:rsidR="00144CDA" w:rsidRPr="003C18BC" w:rsidRDefault="00144CDA" w:rsidP="00445ECA">
      <w:pPr>
        <w:pStyle w:val="Heading3"/>
      </w:pPr>
      <w:bookmarkStart w:id="2093" w:name="_Toc440982367"/>
      <w:r w:rsidRPr="003C18BC">
        <w:t xml:space="preserve">Please refer to the </w:t>
      </w:r>
      <w:r w:rsidR="00965C81">
        <w:t xml:space="preserve">chapter </w:t>
      </w:r>
      <w:r w:rsidRPr="003C18BC">
        <w:t xml:space="preserve">on managing a PMS contractor's right to a GMS </w:t>
      </w:r>
      <w:r w:rsidR="009F1EC8" w:rsidRPr="003C18BC">
        <w:t>contract for</w:t>
      </w:r>
      <w:r w:rsidRPr="003C18BC">
        <w:t xml:space="preserve"> further information.</w:t>
      </w:r>
      <w:bookmarkEnd w:id="2093"/>
    </w:p>
    <w:p w14:paraId="7C51D8A6" w14:textId="77777777" w:rsidR="00144CDA" w:rsidRPr="003C18BC" w:rsidRDefault="00144CDA" w:rsidP="003331F2">
      <w:pPr>
        <w:pStyle w:val="BodyText"/>
      </w:pPr>
    </w:p>
    <w:p w14:paraId="6AF15788" w14:textId="77777777" w:rsidR="00144CDA" w:rsidRPr="00044E85" w:rsidRDefault="00144CDA" w:rsidP="00044E85">
      <w:pPr>
        <w:pStyle w:val="Heading3"/>
        <w:rPr>
          <w:b/>
        </w:rPr>
      </w:pPr>
      <w:bookmarkStart w:id="2094" w:name="_Toc440982368"/>
      <w:r w:rsidRPr="00044E85">
        <w:rPr>
          <w:b/>
        </w:rPr>
        <w:t>Termination due to late payment</w:t>
      </w:r>
      <w:bookmarkEnd w:id="2094"/>
    </w:p>
    <w:p w14:paraId="47B7E694" w14:textId="3F9B3DF8" w:rsidR="00144CDA" w:rsidRPr="003C18BC" w:rsidRDefault="00144CDA" w:rsidP="00445ECA">
      <w:pPr>
        <w:pStyle w:val="Heading3"/>
      </w:pPr>
      <w:bookmarkStart w:id="2095" w:name="_Toc440982369"/>
      <w:r w:rsidRPr="003C18BC">
        <w:t>The contractor may give notice in writing to the Commissioner if the Commissioner has failed to make any payment due to the contractor under the contract. If the Commissioner has failed to make any such payment within 28 days of the notice, the contractor may terminate the contract by a further written notice.</w:t>
      </w:r>
      <w:bookmarkEnd w:id="2095"/>
    </w:p>
    <w:p w14:paraId="7515A470" w14:textId="737F833E" w:rsidR="00144CDA" w:rsidRPr="003C18BC" w:rsidRDefault="00144CDA" w:rsidP="00445ECA">
      <w:pPr>
        <w:pStyle w:val="Heading3"/>
      </w:pPr>
      <w:bookmarkStart w:id="2096" w:name="_Toc440982370"/>
      <w:r w:rsidRPr="003C18BC">
        <w:t>Where the NHS dispute resolution procedure has been invoked by the Commissioner, within 28 days of the initial notice, the contractor may not terminate the contract until either the NHS dispute resolution determination allows termination or the Commissioner ceases to pursue the NHS dispute resolution process.</w:t>
      </w:r>
      <w:bookmarkEnd w:id="2096"/>
      <w:r w:rsidRPr="003C18BC">
        <w:t xml:space="preserve"> </w:t>
      </w:r>
    </w:p>
    <w:p w14:paraId="5A52535F" w14:textId="69D37281" w:rsidR="00144CDA" w:rsidRPr="003C18BC" w:rsidRDefault="00144CDA" w:rsidP="00445ECA">
      <w:pPr>
        <w:pStyle w:val="Heading3"/>
      </w:pPr>
      <w:bookmarkStart w:id="2097" w:name="_Toc440982371"/>
      <w:r w:rsidRPr="003C18BC">
        <w:t xml:space="preserve">For further information on the NHS dispute resolution process, please refer to the </w:t>
      </w:r>
      <w:r w:rsidR="00965C81">
        <w:t xml:space="preserve">chapter </w:t>
      </w:r>
      <w:r w:rsidRPr="003C18BC">
        <w:t>on managing disputes.</w:t>
      </w:r>
      <w:bookmarkEnd w:id="2097"/>
    </w:p>
    <w:p w14:paraId="235558ED" w14:textId="6C6D976B" w:rsidR="00144CDA" w:rsidRPr="003C18BC" w:rsidRDefault="00144CDA" w:rsidP="00C279FA">
      <w:pPr>
        <w:pStyle w:val="Heading3"/>
      </w:pPr>
      <w:bookmarkStart w:id="2098" w:name="_Toc440982372"/>
      <w:r w:rsidRPr="003C18BC">
        <w:t xml:space="preserve">NHS England's general duties may be triggered by termination in these circumstances. For further information, </w:t>
      </w:r>
      <w:r w:rsidR="00C279FA">
        <w:t>refer to paragraph 1.6.12 of this chapter and also the full chapter on General Duties of NHS England</w:t>
      </w:r>
      <w:r w:rsidRPr="003C18BC">
        <w:t>.</w:t>
      </w:r>
      <w:bookmarkEnd w:id="2098"/>
    </w:p>
    <w:p w14:paraId="1C4147C7" w14:textId="77777777" w:rsidR="00144CDA" w:rsidRPr="003C18BC" w:rsidRDefault="00144CDA" w:rsidP="003331F2">
      <w:pPr>
        <w:pStyle w:val="BodyText"/>
      </w:pPr>
    </w:p>
    <w:p w14:paraId="0F6B624E" w14:textId="77777777" w:rsidR="00144CDA" w:rsidRPr="00044E85" w:rsidRDefault="00144CDA" w:rsidP="00044E85">
      <w:pPr>
        <w:pStyle w:val="Heading3"/>
        <w:rPr>
          <w:b/>
        </w:rPr>
      </w:pPr>
      <w:bookmarkStart w:id="2099" w:name="_Toc440982373"/>
      <w:r w:rsidRPr="00044E85">
        <w:rPr>
          <w:b/>
        </w:rPr>
        <w:t>Termination for provision of untrue information</w:t>
      </w:r>
      <w:bookmarkEnd w:id="2099"/>
    </w:p>
    <w:p w14:paraId="25A708FA" w14:textId="2FECC179" w:rsidR="00144CDA" w:rsidRPr="003C18BC" w:rsidRDefault="00144CDA" w:rsidP="00445ECA">
      <w:pPr>
        <w:pStyle w:val="Heading3"/>
      </w:pPr>
      <w:bookmarkStart w:id="2100" w:name="_Toc440982374"/>
      <w:r w:rsidRPr="003C18BC">
        <w:t>The Commissioner may serve notice to terminate the contract immediately (or from any date set out in the notice) if, after the contract has been entered into, it comes to the attention of the Commissioner that written information provided to the Commissioner:</w:t>
      </w:r>
      <w:bookmarkEnd w:id="2100"/>
    </w:p>
    <w:p w14:paraId="141032F8" w14:textId="38FAA63A" w:rsidR="00144CDA" w:rsidRPr="009A7101" w:rsidRDefault="00144CDA" w:rsidP="006C3DF5">
      <w:pPr>
        <w:pStyle w:val="ListParagraph"/>
        <w:numPr>
          <w:ilvl w:val="0"/>
          <w:numId w:val="191"/>
        </w:numPr>
        <w:spacing w:line="360" w:lineRule="auto"/>
        <w:ind w:left="714" w:hanging="357"/>
      </w:pPr>
      <w:bookmarkStart w:id="2101" w:name="_Toc440982375"/>
      <w:r w:rsidRPr="009A7101">
        <w:t>before the contract was entered into; or</w:t>
      </w:r>
      <w:bookmarkEnd w:id="2101"/>
    </w:p>
    <w:p w14:paraId="4C8006E5" w14:textId="3D80858E" w:rsidR="00144CDA" w:rsidRPr="009A7101" w:rsidRDefault="00144CDA" w:rsidP="006C3DF5">
      <w:pPr>
        <w:pStyle w:val="ListParagraph"/>
        <w:numPr>
          <w:ilvl w:val="0"/>
          <w:numId w:val="191"/>
        </w:numPr>
        <w:spacing w:line="360" w:lineRule="auto"/>
        <w:ind w:left="714" w:hanging="357"/>
      </w:pPr>
      <w:bookmarkStart w:id="2102" w:name="_Toc440982376"/>
      <w:bookmarkStart w:id="2103" w:name="_Hlk531874573"/>
      <w:r w:rsidRPr="009A7101">
        <w:t xml:space="preserve">for GMS contracts, pursuant to paragraph </w:t>
      </w:r>
      <w:r w:rsidR="005B1745" w:rsidRPr="009A7101">
        <w:t>50</w:t>
      </w:r>
      <w:r w:rsidRPr="009A7101">
        <w:t>(</w:t>
      </w:r>
      <w:r w:rsidR="009B39CC" w:rsidRPr="009A7101">
        <w:t>1</w:t>
      </w:r>
      <w:r w:rsidRPr="009A7101">
        <w:t>)</w:t>
      </w:r>
      <w:r w:rsidR="00926DA2" w:rsidRPr="009A7101">
        <w:t>(a)</w:t>
      </w:r>
      <w:r w:rsidRPr="009A7101">
        <w:t xml:space="preserve"> or (</w:t>
      </w:r>
      <w:r w:rsidR="00926DA2" w:rsidRPr="009A7101">
        <w:t>b</w:t>
      </w:r>
      <w:r w:rsidRPr="009A7101">
        <w:t xml:space="preserve">) or </w:t>
      </w:r>
      <w:r w:rsidR="005B1745" w:rsidRPr="009A7101">
        <w:t>51</w:t>
      </w:r>
      <w:r w:rsidRPr="009A7101">
        <w:t>(</w:t>
      </w:r>
      <w:r w:rsidR="00926DA2" w:rsidRPr="009A7101">
        <w:t>1</w:t>
      </w:r>
      <w:r w:rsidRPr="009A7101">
        <w:t xml:space="preserve">) of Schedule </w:t>
      </w:r>
      <w:r w:rsidR="005B1745" w:rsidRPr="009A7101">
        <w:t>3</w:t>
      </w:r>
      <w:r w:rsidRPr="009A7101">
        <w:t xml:space="preserve"> of the GMS Regulations; or</w:t>
      </w:r>
      <w:bookmarkEnd w:id="2102"/>
    </w:p>
    <w:p w14:paraId="66955EDF" w14:textId="597CDB2B" w:rsidR="00144CDA" w:rsidRPr="009A7101" w:rsidRDefault="00144CDA" w:rsidP="006C3DF5">
      <w:pPr>
        <w:pStyle w:val="ListParagraph"/>
        <w:numPr>
          <w:ilvl w:val="0"/>
          <w:numId w:val="191"/>
        </w:numPr>
        <w:spacing w:line="360" w:lineRule="auto"/>
        <w:ind w:left="714" w:hanging="357"/>
      </w:pPr>
      <w:bookmarkStart w:id="2104" w:name="_Toc440982377"/>
      <w:r w:rsidRPr="009A7101">
        <w:t xml:space="preserve">for PMS agreements, pursuant to paragraph </w:t>
      </w:r>
      <w:r w:rsidR="005B1745" w:rsidRPr="009A7101">
        <w:t>4</w:t>
      </w:r>
      <w:r w:rsidR="00926DA2" w:rsidRPr="009A7101">
        <w:t>6</w:t>
      </w:r>
      <w:r w:rsidRPr="009A7101">
        <w:t>(</w:t>
      </w:r>
      <w:r w:rsidR="00926DA2" w:rsidRPr="009A7101">
        <w:t>1</w:t>
      </w:r>
      <w:r w:rsidRPr="009A7101">
        <w:t>)</w:t>
      </w:r>
      <w:r w:rsidR="00926DA2" w:rsidRPr="009A7101">
        <w:t>(a)</w:t>
      </w:r>
      <w:r w:rsidRPr="009A7101">
        <w:t xml:space="preserve"> or (</w:t>
      </w:r>
      <w:r w:rsidR="00926DA2" w:rsidRPr="009A7101">
        <w:t>b</w:t>
      </w:r>
      <w:r w:rsidRPr="009A7101">
        <w:t xml:space="preserve">) of Schedule </w:t>
      </w:r>
      <w:r w:rsidR="005B1745" w:rsidRPr="009A7101">
        <w:t>2</w:t>
      </w:r>
      <w:r w:rsidRPr="009A7101">
        <w:t xml:space="preserve"> of the PMS Regulations,</w:t>
      </w:r>
      <w:bookmarkEnd w:id="2104"/>
    </w:p>
    <w:bookmarkEnd w:id="2103"/>
    <w:p w14:paraId="0B658F7F" w14:textId="77777777" w:rsidR="00144CDA" w:rsidRPr="009A7101" w:rsidRDefault="00144CDA" w:rsidP="006C3DF5">
      <w:pPr>
        <w:pStyle w:val="ListParagraph"/>
        <w:numPr>
          <w:ilvl w:val="0"/>
          <w:numId w:val="191"/>
        </w:numPr>
        <w:spacing w:line="360" w:lineRule="auto"/>
        <w:ind w:left="714" w:hanging="357"/>
      </w:pPr>
      <w:r w:rsidRPr="009A7101">
        <w:t>in relation to:</w:t>
      </w:r>
    </w:p>
    <w:p w14:paraId="523E9FA0" w14:textId="24A62AC8" w:rsidR="00144CDA" w:rsidRPr="009A7101" w:rsidRDefault="00144CDA" w:rsidP="006C3DF5">
      <w:pPr>
        <w:pStyle w:val="ListParagraph"/>
        <w:numPr>
          <w:ilvl w:val="0"/>
          <w:numId w:val="191"/>
        </w:numPr>
        <w:spacing w:line="360" w:lineRule="auto"/>
        <w:ind w:left="714" w:hanging="357"/>
      </w:pPr>
      <w:bookmarkStart w:id="2105" w:name="_Toc440982378"/>
      <w:r w:rsidRPr="009A7101">
        <w:t xml:space="preserve">for GMS contracts, Regulations </w:t>
      </w:r>
      <w:r w:rsidR="00926DA2" w:rsidRPr="009A7101">
        <w:t>5</w:t>
      </w:r>
      <w:r w:rsidRPr="009A7101">
        <w:t xml:space="preserve"> and </w:t>
      </w:r>
      <w:r w:rsidR="00926DA2" w:rsidRPr="009A7101">
        <w:t>6</w:t>
      </w:r>
      <w:r w:rsidRPr="009A7101">
        <w:t xml:space="preserve"> of the GMS Regulations</w:t>
      </w:r>
      <w:bookmarkEnd w:id="2105"/>
    </w:p>
    <w:p w14:paraId="477EA892" w14:textId="77777777" w:rsidR="00144CDA" w:rsidRPr="009A7101" w:rsidRDefault="00144CDA" w:rsidP="006C3DF5">
      <w:pPr>
        <w:pStyle w:val="ListParagraph"/>
        <w:numPr>
          <w:ilvl w:val="0"/>
          <w:numId w:val="191"/>
        </w:numPr>
        <w:spacing w:line="360" w:lineRule="auto"/>
        <w:ind w:left="714" w:hanging="357"/>
      </w:pPr>
      <w:bookmarkStart w:id="2106" w:name="_Toc440982379"/>
      <w:r w:rsidRPr="009A7101">
        <w:t>for PMS agreements, Regulation 5 of the PMS Regulations; and</w:t>
      </w:r>
      <w:bookmarkEnd w:id="2106"/>
    </w:p>
    <w:p w14:paraId="6115D502" w14:textId="15C402F7" w:rsidR="00144CDA" w:rsidRPr="009A7101" w:rsidRDefault="00144CDA" w:rsidP="006C3DF5">
      <w:pPr>
        <w:pStyle w:val="ListParagraph"/>
        <w:numPr>
          <w:ilvl w:val="0"/>
          <w:numId w:val="191"/>
        </w:numPr>
        <w:spacing w:line="360" w:lineRule="auto"/>
        <w:ind w:left="714" w:hanging="357"/>
      </w:pPr>
      <w:bookmarkStart w:id="2107" w:name="_Toc440982380"/>
      <w:r w:rsidRPr="009A7101">
        <w:t xml:space="preserve">for APMS contracts, Direction </w:t>
      </w:r>
      <w:r w:rsidR="00926DA2" w:rsidRPr="009A7101">
        <w:t>6</w:t>
      </w:r>
      <w:r w:rsidRPr="009A7101">
        <w:t xml:space="preserve"> of the APMS Directions,</w:t>
      </w:r>
      <w:bookmarkEnd w:id="2107"/>
    </w:p>
    <w:p w14:paraId="1D99A41E" w14:textId="77777777" w:rsidR="00144CDA" w:rsidRPr="009A7101" w:rsidRDefault="00144CDA" w:rsidP="006C3DF5">
      <w:pPr>
        <w:pStyle w:val="ListParagraph"/>
        <w:numPr>
          <w:ilvl w:val="0"/>
          <w:numId w:val="191"/>
        </w:numPr>
        <w:spacing w:line="360" w:lineRule="auto"/>
        <w:ind w:left="714" w:hanging="357"/>
      </w:pPr>
      <w:r w:rsidRPr="009A7101">
        <w:t xml:space="preserve">was, when given, untrue or inaccurate in a material respect. </w:t>
      </w:r>
    </w:p>
    <w:p w14:paraId="2A39C613" w14:textId="7FAB6D97" w:rsidR="00144CDA" w:rsidRPr="003C18BC" w:rsidRDefault="00144CDA" w:rsidP="00C279FA">
      <w:pPr>
        <w:pStyle w:val="Heading3"/>
      </w:pPr>
      <w:bookmarkStart w:id="2108" w:name="_Toc440982381"/>
      <w:r w:rsidRPr="003C18BC">
        <w:t xml:space="preserve">NHS England's general duties may be triggered by termination in these circumstances. For further information, </w:t>
      </w:r>
      <w:r w:rsidR="00C279FA">
        <w:t>refer to paragraph 1.6.12 of this chapter and also the full chapter on General Duties of NHS England</w:t>
      </w:r>
      <w:r w:rsidRPr="003C18BC">
        <w:t>.</w:t>
      </w:r>
      <w:bookmarkEnd w:id="2108"/>
    </w:p>
    <w:p w14:paraId="0570A311" w14:textId="77777777" w:rsidR="00144CDA" w:rsidRPr="003C18BC" w:rsidRDefault="00144CDA" w:rsidP="003331F2">
      <w:pPr>
        <w:pStyle w:val="BodyText"/>
      </w:pPr>
    </w:p>
    <w:p w14:paraId="4D2C86B0" w14:textId="77777777" w:rsidR="00144CDA" w:rsidRPr="00044E85" w:rsidRDefault="00144CDA" w:rsidP="00044E85">
      <w:pPr>
        <w:pStyle w:val="Heading3"/>
        <w:rPr>
          <w:b/>
        </w:rPr>
      </w:pPr>
      <w:bookmarkStart w:id="2109" w:name="_Toc440982382"/>
      <w:r w:rsidRPr="00044E85">
        <w:rPr>
          <w:b/>
        </w:rPr>
        <w:t>Termination due to fitness to practice issues</w:t>
      </w:r>
      <w:bookmarkEnd w:id="2109"/>
    </w:p>
    <w:p w14:paraId="4037DAAA" w14:textId="19745D1F" w:rsidR="00144CDA" w:rsidRPr="003C18BC" w:rsidRDefault="00144CDA" w:rsidP="00445ECA">
      <w:pPr>
        <w:pStyle w:val="Heading3"/>
      </w:pPr>
      <w:bookmarkStart w:id="2110" w:name="_Toc440982383"/>
      <w:r w:rsidRPr="003C18BC">
        <w:t>The Commissioner may serve notice in writing on the contractor terminating the contract immediately (or from any date set out in the notice) where a person connected with the contract (such as a medical practitioner, a partnership, a company or a director) falls within any circumstances set out in the relevant regulations/directions. Those circumstances include where the person:</w:t>
      </w:r>
      <w:bookmarkEnd w:id="2110"/>
    </w:p>
    <w:p w14:paraId="39CC8599" w14:textId="062632B4" w:rsidR="00144CDA" w:rsidRPr="009A7101" w:rsidRDefault="00144CDA" w:rsidP="006C3DF5">
      <w:pPr>
        <w:pStyle w:val="ListParagraph"/>
        <w:numPr>
          <w:ilvl w:val="0"/>
          <w:numId w:val="192"/>
        </w:numPr>
        <w:spacing w:line="360" w:lineRule="auto"/>
        <w:ind w:left="714" w:hanging="357"/>
      </w:pPr>
      <w:bookmarkStart w:id="2111" w:name="_Toc440982384"/>
      <w:r w:rsidRPr="009A7101">
        <w:t>is disqualified from practising by a licensing body;</w:t>
      </w:r>
      <w:bookmarkEnd w:id="2111"/>
    </w:p>
    <w:p w14:paraId="762E1040" w14:textId="77777777" w:rsidR="00144CDA" w:rsidRPr="009A7101" w:rsidRDefault="00144CDA" w:rsidP="006C3DF5">
      <w:pPr>
        <w:pStyle w:val="ListParagraph"/>
        <w:numPr>
          <w:ilvl w:val="0"/>
          <w:numId w:val="192"/>
        </w:numPr>
        <w:spacing w:line="360" w:lineRule="auto"/>
        <w:ind w:left="714" w:hanging="357"/>
      </w:pPr>
      <w:bookmarkStart w:id="2112" w:name="_Toc440982385"/>
      <w:r w:rsidRPr="009A7101">
        <w:t>has been convicted of certain offences;</w:t>
      </w:r>
      <w:bookmarkEnd w:id="2112"/>
    </w:p>
    <w:p w14:paraId="60326700" w14:textId="77777777" w:rsidR="00144CDA" w:rsidRPr="009A7101" w:rsidRDefault="00144CDA" w:rsidP="006C3DF5">
      <w:pPr>
        <w:pStyle w:val="ListParagraph"/>
        <w:numPr>
          <w:ilvl w:val="0"/>
          <w:numId w:val="192"/>
        </w:numPr>
        <w:spacing w:line="360" w:lineRule="auto"/>
        <w:ind w:left="714" w:hanging="357"/>
      </w:pPr>
      <w:bookmarkStart w:id="2113" w:name="_Toc440982386"/>
      <w:r w:rsidRPr="009A7101">
        <w:t>has been adjudged bankrupt; or</w:t>
      </w:r>
      <w:bookmarkEnd w:id="2113"/>
    </w:p>
    <w:p w14:paraId="08A65FAB" w14:textId="77777777" w:rsidR="00144CDA" w:rsidRPr="009A7101" w:rsidRDefault="00144CDA" w:rsidP="006C3DF5">
      <w:pPr>
        <w:pStyle w:val="ListParagraph"/>
        <w:numPr>
          <w:ilvl w:val="0"/>
          <w:numId w:val="192"/>
        </w:numPr>
        <w:spacing w:line="360" w:lineRule="auto"/>
        <w:ind w:left="714" w:hanging="357"/>
      </w:pPr>
      <w:bookmarkStart w:id="2114" w:name="_Toc440982387"/>
      <w:r w:rsidRPr="009A7101">
        <w:t>has been subject to a disqualification under the Company Director Disqualification Act 1986.</w:t>
      </w:r>
      <w:bookmarkEnd w:id="2114"/>
    </w:p>
    <w:p w14:paraId="71B0CF7A" w14:textId="77777777" w:rsidR="00144CDA" w:rsidRPr="003C18BC" w:rsidRDefault="00144CDA" w:rsidP="00144CDA">
      <w:pPr>
        <w:pStyle w:val="Heading3"/>
        <w:numPr>
          <w:ilvl w:val="0"/>
          <w:numId w:val="0"/>
        </w:numPr>
        <w:spacing w:before="120" w:after="120" w:line="276" w:lineRule="auto"/>
        <w:ind w:left="1440"/>
        <w:rPr>
          <w:rFonts w:cs="Arial"/>
          <w:szCs w:val="24"/>
        </w:rPr>
      </w:pPr>
      <w:bookmarkStart w:id="2115" w:name="_Toc440982388"/>
      <w:r w:rsidRPr="003C18BC">
        <w:rPr>
          <w:rFonts w:cs="Arial"/>
          <w:szCs w:val="24"/>
        </w:rPr>
        <w:t>The full list of circumstances is set out in Annex 11. Part A of Annex 11 refers to GMS contracts, Part B of Annex 11 refers to PMS agreements and Part C of Annex 11 refers to APMS contracts.</w:t>
      </w:r>
      <w:bookmarkEnd w:id="2115"/>
      <w:r w:rsidRPr="003C18BC">
        <w:rPr>
          <w:rFonts w:cs="Arial"/>
          <w:szCs w:val="24"/>
        </w:rPr>
        <w:t xml:space="preserve"> </w:t>
      </w:r>
    </w:p>
    <w:p w14:paraId="2714698B" w14:textId="61B8BA9B" w:rsidR="00144CDA" w:rsidRPr="003C18BC" w:rsidRDefault="00144CDA" w:rsidP="00C279FA">
      <w:pPr>
        <w:pStyle w:val="Heading3"/>
      </w:pPr>
      <w:bookmarkStart w:id="2116" w:name="_Toc440982389"/>
      <w:r w:rsidRPr="003C18BC">
        <w:t xml:space="preserve">NHS England's general duties may be triggered by termination in these circumstances. For further information, </w:t>
      </w:r>
      <w:r w:rsidR="00C279FA">
        <w:t>refer to paragraph 1.6.12 of this chapter and also the full chapter on General Duties of NHS England</w:t>
      </w:r>
      <w:r w:rsidRPr="003C18BC">
        <w:t>.</w:t>
      </w:r>
      <w:bookmarkEnd w:id="2116"/>
    </w:p>
    <w:p w14:paraId="5521B477" w14:textId="77777777" w:rsidR="00144CDA" w:rsidRPr="003C18BC" w:rsidRDefault="00144CDA" w:rsidP="003331F2">
      <w:pPr>
        <w:pStyle w:val="BodyText"/>
      </w:pPr>
    </w:p>
    <w:p w14:paraId="09151133" w14:textId="1BB27C13" w:rsidR="00144CDA" w:rsidRPr="00044E85" w:rsidRDefault="00144CDA" w:rsidP="00044E85">
      <w:pPr>
        <w:pStyle w:val="Heading3"/>
        <w:rPr>
          <w:b/>
        </w:rPr>
      </w:pPr>
      <w:bookmarkStart w:id="2117" w:name="_Toc440982390"/>
      <w:r w:rsidRPr="00044E85">
        <w:rPr>
          <w:b/>
        </w:rPr>
        <w:t xml:space="preserve">Termination where there is a serious risk </w:t>
      </w:r>
      <w:r w:rsidR="00926DA2">
        <w:rPr>
          <w:b/>
        </w:rPr>
        <w:t>to</w:t>
      </w:r>
      <w:r w:rsidR="00926DA2" w:rsidRPr="00044E85">
        <w:rPr>
          <w:b/>
        </w:rPr>
        <w:t xml:space="preserve"> </w:t>
      </w:r>
      <w:r w:rsidRPr="00044E85">
        <w:rPr>
          <w:b/>
        </w:rPr>
        <w:t>patient safety</w:t>
      </w:r>
      <w:bookmarkEnd w:id="2117"/>
      <w:r w:rsidRPr="00044E85">
        <w:rPr>
          <w:b/>
        </w:rPr>
        <w:t xml:space="preserve"> </w:t>
      </w:r>
    </w:p>
    <w:p w14:paraId="08418E73" w14:textId="7900BE77" w:rsidR="00144CDA" w:rsidRPr="003C18BC" w:rsidRDefault="00144CDA" w:rsidP="00445ECA">
      <w:pPr>
        <w:pStyle w:val="Heading3"/>
      </w:pPr>
      <w:bookmarkStart w:id="2118" w:name="_Ref409600453"/>
      <w:bookmarkStart w:id="2119" w:name="_Toc440982391"/>
      <w:r w:rsidRPr="003C18BC">
        <w:t>The Commissioner may serve notice in writing on the contractor terminating the contract immediately (or from such date set out in the notice) where the contractor has breached the contract and, as a result of that breach, the safety of the contractor's patients is at serious risk if the contract is not terminated.</w:t>
      </w:r>
      <w:bookmarkEnd w:id="2118"/>
      <w:bookmarkEnd w:id="2119"/>
      <w:r w:rsidRPr="003C18BC">
        <w:t xml:space="preserve"> </w:t>
      </w:r>
    </w:p>
    <w:p w14:paraId="560278BD" w14:textId="1E698A98" w:rsidR="00144CDA" w:rsidRPr="003C18BC" w:rsidRDefault="00144CDA" w:rsidP="00445ECA">
      <w:pPr>
        <w:pStyle w:val="Heading3"/>
      </w:pPr>
      <w:bookmarkStart w:id="2120" w:name="_Toc440982392"/>
      <w:r w:rsidRPr="003C18BC">
        <w:t xml:space="preserve">NHS England's general duties may be triggered by termination in these circumstances. For further information, please </w:t>
      </w:r>
      <w:r w:rsidR="00C279FA">
        <w:t>refer to paragraph 1.6.12 of this chapter and also the full chapter on General Duties of NHS England</w:t>
      </w:r>
      <w:r w:rsidRPr="003C18BC">
        <w:t>.</w:t>
      </w:r>
      <w:bookmarkEnd w:id="2120"/>
    </w:p>
    <w:p w14:paraId="37DED5E2" w14:textId="17C969E2" w:rsidR="00144CDA" w:rsidRDefault="00144CDA" w:rsidP="003331F2">
      <w:pPr>
        <w:pStyle w:val="BodyText"/>
      </w:pPr>
    </w:p>
    <w:p w14:paraId="24EFD171" w14:textId="1F429F14" w:rsidR="006E22ED" w:rsidRDefault="006E22ED" w:rsidP="003331F2">
      <w:pPr>
        <w:pStyle w:val="BodyText"/>
      </w:pPr>
    </w:p>
    <w:p w14:paraId="59DD74E1" w14:textId="77777777" w:rsidR="006E22ED" w:rsidRPr="003C18BC" w:rsidRDefault="006E22ED" w:rsidP="003331F2">
      <w:pPr>
        <w:pStyle w:val="BodyText"/>
      </w:pPr>
    </w:p>
    <w:p w14:paraId="7AC0162A" w14:textId="77777777" w:rsidR="00144CDA" w:rsidRPr="00044E85" w:rsidRDefault="00144CDA" w:rsidP="00044E85">
      <w:pPr>
        <w:pStyle w:val="Heading3"/>
        <w:rPr>
          <w:b/>
        </w:rPr>
      </w:pPr>
      <w:bookmarkStart w:id="2121" w:name="_Toc440982393"/>
      <w:r w:rsidRPr="00044E85">
        <w:rPr>
          <w:b/>
        </w:rPr>
        <w:t>Termination where there is a material financial loss</w:t>
      </w:r>
      <w:bookmarkEnd w:id="2121"/>
    </w:p>
    <w:p w14:paraId="361F4C02" w14:textId="1378BC45" w:rsidR="00144CDA" w:rsidRPr="003C18BC" w:rsidRDefault="00144CDA" w:rsidP="00445ECA">
      <w:pPr>
        <w:pStyle w:val="Heading3"/>
      </w:pPr>
      <w:bookmarkStart w:id="2122" w:name="_Toc440982394"/>
      <w:r w:rsidRPr="003C18BC">
        <w:t>The Commissioner may serve notice in writing on the contractor terminating the contract immediately (or from such date set out in the notice) where the contractor's financial situation is such that the Commissioner considers that NHS England is at risk of material financial loss.</w:t>
      </w:r>
      <w:bookmarkEnd w:id="2122"/>
    </w:p>
    <w:p w14:paraId="69B3C137" w14:textId="3B5C65D6" w:rsidR="00144CDA" w:rsidRPr="003C18BC" w:rsidRDefault="00144CDA" w:rsidP="00445ECA">
      <w:pPr>
        <w:pStyle w:val="Heading3"/>
      </w:pPr>
      <w:bookmarkStart w:id="2123" w:name="_Toc440982395"/>
      <w:r w:rsidRPr="003C18BC">
        <w:t xml:space="preserve">NHS England's general duties may be triggered by termination in these circumstances. For further information, please </w:t>
      </w:r>
      <w:r w:rsidR="00C279FA">
        <w:t>refer to paragraph 1.6.12 of this chapter and also the full chapter on General Duties of NHS England</w:t>
      </w:r>
      <w:r w:rsidRPr="003C18BC">
        <w:t>.</w:t>
      </w:r>
      <w:bookmarkEnd w:id="2123"/>
    </w:p>
    <w:p w14:paraId="300848AD" w14:textId="77777777" w:rsidR="00144CDA" w:rsidRPr="003C18BC" w:rsidRDefault="00144CDA" w:rsidP="003331F2">
      <w:pPr>
        <w:pStyle w:val="BodyText"/>
      </w:pPr>
    </w:p>
    <w:p w14:paraId="48D8EBB0" w14:textId="77777777" w:rsidR="00144CDA" w:rsidRPr="00044E85" w:rsidRDefault="00144CDA" w:rsidP="00044E85">
      <w:pPr>
        <w:pStyle w:val="Heading3"/>
        <w:rPr>
          <w:b/>
        </w:rPr>
      </w:pPr>
      <w:bookmarkStart w:id="2124" w:name="_Toc440982396"/>
      <w:r w:rsidRPr="00044E85">
        <w:rPr>
          <w:b/>
        </w:rPr>
        <w:t>Termination due to unlawful sub-contracting</w:t>
      </w:r>
      <w:bookmarkEnd w:id="2124"/>
    </w:p>
    <w:p w14:paraId="44D6ACC8" w14:textId="26D9B221" w:rsidR="00144CDA" w:rsidRPr="003C18BC" w:rsidRDefault="00144CDA" w:rsidP="00445ECA">
      <w:pPr>
        <w:pStyle w:val="Heading3"/>
      </w:pPr>
      <w:bookmarkStart w:id="2125" w:name="_Toc440982397"/>
      <w:r w:rsidRPr="003C18BC">
        <w:t>The Commissioner will have a right of termination where it comes to the Commissioner's attention that the contractor has sub-contracted any of its rights or duties under the agreement in relation to the provision of essential services to a company or firm:</w:t>
      </w:r>
      <w:bookmarkEnd w:id="2125"/>
    </w:p>
    <w:p w14:paraId="7AAF596E" w14:textId="5C372184" w:rsidR="00144CDA" w:rsidRPr="009A7101" w:rsidRDefault="00144CDA" w:rsidP="006C3DF5">
      <w:pPr>
        <w:pStyle w:val="ListParagraph"/>
        <w:numPr>
          <w:ilvl w:val="0"/>
          <w:numId w:val="193"/>
        </w:numPr>
        <w:spacing w:line="360" w:lineRule="auto"/>
        <w:ind w:left="714" w:hanging="357"/>
      </w:pPr>
      <w:bookmarkStart w:id="2126" w:name="_Toc440982398"/>
      <w:r w:rsidRPr="009A7101">
        <w:t>owned wholly or partly by the contractor, or by any former or current employee of, or partner or shareholder in, the contractor;</w:t>
      </w:r>
      <w:bookmarkEnd w:id="2126"/>
    </w:p>
    <w:p w14:paraId="3406DCEE" w14:textId="77777777" w:rsidR="00144CDA" w:rsidRPr="009A7101" w:rsidRDefault="00144CDA" w:rsidP="006C3DF5">
      <w:pPr>
        <w:pStyle w:val="ListParagraph"/>
        <w:numPr>
          <w:ilvl w:val="0"/>
          <w:numId w:val="193"/>
        </w:numPr>
        <w:spacing w:line="360" w:lineRule="auto"/>
        <w:ind w:left="714" w:hanging="357"/>
      </w:pPr>
      <w:bookmarkStart w:id="2127" w:name="_Toc440982399"/>
      <w:r w:rsidRPr="009A7101">
        <w:t>formed by or on behalf of the contractor, or from which it derives or may derive a pecuniary benefit; or</w:t>
      </w:r>
      <w:bookmarkEnd w:id="2127"/>
    </w:p>
    <w:p w14:paraId="065655A1" w14:textId="77777777" w:rsidR="00144CDA" w:rsidRPr="009A7101" w:rsidRDefault="00144CDA" w:rsidP="006C3DF5">
      <w:pPr>
        <w:pStyle w:val="ListParagraph"/>
        <w:numPr>
          <w:ilvl w:val="0"/>
          <w:numId w:val="193"/>
        </w:numPr>
        <w:spacing w:line="360" w:lineRule="auto"/>
        <w:ind w:left="714" w:hanging="357"/>
      </w:pPr>
      <w:bookmarkStart w:id="2128" w:name="_Toc440982400"/>
      <w:r w:rsidRPr="009A7101">
        <w:t>formed by or on behalf of a former or current employee of, or partner or shareholder in, the contractor, or from which such a person derives or may derive a pecuniary benefit,</w:t>
      </w:r>
      <w:bookmarkEnd w:id="2128"/>
    </w:p>
    <w:p w14:paraId="391FB9AF" w14:textId="77777777" w:rsidR="00144CDA" w:rsidRPr="003C18BC" w:rsidRDefault="00144CDA" w:rsidP="00144CDA">
      <w:pPr>
        <w:spacing w:before="120" w:after="120" w:line="276" w:lineRule="auto"/>
        <w:ind w:left="1440"/>
        <w:rPr>
          <w:rFonts w:cs="Arial"/>
          <w:szCs w:val="24"/>
        </w:rPr>
      </w:pPr>
      <w:r w:rsidRPr="003C18BC">
        <w:rPr>
          <w:rFonts w:cs="Arial"/>
          <w:szCs w:val="24"/>
        </w:rPr>
        <w:t>where that company or firm is or was formed wholly or partly for the purpose of avoiding the restrictions on the sale of the goodwill of a medical practice in section 54 of the NHS Act or any regulations made wholly or partly under that section.</w:t>
      </w:r>
    </w:p>
    <w:p w14:paraId="11235142" w14:textId="294E9D2D" w:rsidR="00144CDA" w:rsidRPr="003C18BC" w:rsidRDefault="00144CDA" w:rsidP="00445ECA">
      <w:pPr>
        <w:pStyle w:val="Heading3"/>
        <w:rPr>
          <w:b/>
        </w:rPr>
      </w:pPr>
      <w:bookmarkStart w:id="2129" w:name="_Toc440982401"/>
      <w:r w:rsidRPr="003C18BC">
        <w:t>Where this occurs, the Commissioner</w:t>
      </w:r>
      <w:r w:rsidRPr="003C18BC">
        <w:rPr>
          <w:b/>
        </w:rPr>
        <w:t xml:space="preserve"> </w:t>
      </w:r>
      <w:r w:rsidRPr="003C18BC">
        <w:t>may serve notice in writing on the contractor terminating the contract immediately or instructing the contractor to terminate the relevant sub-contract.</w:t>
      </w:r>
      <w:bookmarkEnd w:id="2129"/>
      <w:r w:rsidRPr="003C18BC">
        <w:t xml:space="preserve"> </w:t>
      </w:r>
    </w:p>
    <w:p w14:paraId="12F10CEC" w14:textId="03D3FE5A" w:rsidR="00144CDA" w:rsidRPr="003C18BC" w:rsidRDefault="00144CDA" w:rsidP="00445ECA">
      <w:pPr>
        <w:pStyle w:val="Heading3"/>
        <w:rPr>
          <w:b/>
        </w:rPr>
      </w:pPr>
      <w:bookmarkStart w:id="2130" w:name="_Toc440982402"/>
      <w:r w:rsidRPr="003C18BC">
        <w:t xml:space="preserve">It is a requirement under GMS contracts that, whenever reasonably practicable to do so, the Commissioner must consult with the relevant LMC when considering which alternative notice to issue (for further information on LMC consultation requirements, refer to paragraph </w:t>
      </w:r>
      <w:r w:rsidRPr="003C18BC">
        <w:fldChar w:fldCharType="begin"/>
      </w:r>
      <w:r w:rsidRPr="003C18BC">
        <w:instrText xml:space="preserve"> REF _Ref409794106 \r \h  \* MERGEFORMAT </w:instrText>
      </w:r>
      <w:r w:rsidRPr="003C18BC">
        <w:fldChar w:fldCharType="separate"/>
      </w:r>
      <w:r w:rsidR="00054166">
        <w:t>1.6.15</w:t>
      </w:r>
      <w:r w:rsidRPr="003C18BC">
        <w:fldChar w:fldCharType="end"/>
      </w:r>
      <w:r w:rsidRPr="003C18BC">
        <w:t>). PMS and APMS contracts are not required to contain such provisions</w:t>
      </w:r>
      <w:r w:rsidR="00926DA2">
        <w:t>.</w:t>
      </w:r>
      <w:r w:rsidRPr="003C18BC">
        <w:t xml:space="preserve"> The Commissioner should review the relevant contract to determine whether any requirement has been included.</w:t>
      </w:r>
      <w:bookmarkEnd w:id="2130"/>
      <w:r w:rsidRPr="003C18BC">
        <w:t xml:space="preserve"> </w:t>
      </w:r>
    </w:p>
    <w:p w14:paraId="44897933" w14:textId="335EA455" w:rsidR="00144CDA" w:rsidRPr="003C18BC" w:rsidRDefault="00144CDA" w:rsidP="00445ECA">
      <w:pPr>
        <w:pStyle w:val="Heading3"/>
      </w:pPr>
      <w:bookmarkStart w:id="2131" w:name="_Toc440982403"/>
      <w:r w:rsidRPr="003C18BC">
        <w:t>If the contractor fails to terminate the sub-contract, the Commissioner may serve a notice in writing on the contractor terminating the contract immediately.</w:t>
      </w:r>
      <w:bookmarkEnd w:id="2131"/>
      <w:r w:rsidRPr="003C18BC">
        <w:t xml:space="preserve">  </w:t>
      </w:r>
    </w:p>
    <w:p w14:paraId="68FB6D98" w14:textId="0598DFD0" w:rsidR="00144CDA" w:rsidRPr="003C18BC" w:rsidRDefault="00144CDA" w:rsidP="00445ECA">
      <w:pPr>
        <w:pStyle w:val="Heading3"/>
      </w:pPr>
      <w:bookmarkStart w:id="2132" w:name="_Toc440982404"/>
      <w:r w:rsidRPr="003C18BC">
        <w:t xml:space="preserve">NHS England's general duties may be triggered by termination in these circumstances. For further information, please </w:t>
      </w:r>
      <w:r w:rsidR="00C279FA">
        <w:t>refer to paragraph 1.6.12 of this chapter and also the full chapter on General Duties of NHS England</w:t>
      </w:r>
      <w:r w:rsidRPr="003C18BC">
        <w:t>.</w:t>
      </w:r>
      <w:bookmarkEnd w:id="2132"/>
    </w:p>
    <w:p w14:paraId="10A858C8" w14:textId="77777777" w:rsidR="00144CDA" w:rsidRPr="003C18BC" w:rsidRDefault="00144CDA" w:rsidP="003331F2">
      <w:pPr>
        <w:pStyle w:val="BodyText"/>
      </w:pPr>
    </w:p>
    <w:p w14:paraId="2562AE19" w14:textId="77777777" w:rsidR="00144CDA" w:rsidRPr="00044E85" w:rsidRDefault="00144CDA" w:rsidP="00044E85">
      <w:pPr>
        <w:pStyle w:val="Heading3"/>
        <w:rPr>
          <w:b/>
        </w:rPr>
      </w:pPr>
      <w:bookmarkStart w:id="2133" w:name="_Toc440982405"/>
      <w:r w:rsidRPr="00044E85">
        <w:rPr>
          <w:b/>
        </w:rPr>
        <w:t>Termination relating to Remedial Notices and Breach Notices</w:t>
      </w:r>
      <w:bookmarkEnd w:id="2133"/>
    </w:p>
    <w:p w14:paraId="55BDCCD2" w14:textId="4717E19D" w:rsidR="00144CDA" w:rsidRPr="003C18BC" w:rsidRDefault="00144CDA" w:rsidP="00445ECA">
      <w:pPr>
        <w:pStyle w:val="Heading3"/>
      </w:pPr>
      <w:bookmarkStart w:id="2134" w:name="_Toc440982406"/>
      <w:r w:rsidRPr="003C18BC">
        <w:t>The Commissioner has a right to terminate the contract where the Commissioner is satisfied that the contractor has not taken the required steps to remedy the breach by the end of the required period as stated in the Remedial Notice.</w:t>
      </w:r>
      <w:bookmarkEnd w:id="2134"/>
      <w:r w:rsidRPr="003C18BC">
        <w:t xml:space="preserve"> </w:t>
      </w:r>
    </w:p>
    <w:p w14:paraId="6D678906" w14:textId="23655A9F" w:rsidR="00144CDA" w:rsidRPr="003C18BC" w:rsidRDefault="00144CDA" w:rsidP="00445ECA">
      <w:pPr>
        <w:pStyle w:val="Heading3"/>
      </w:pPr>
      <w:bookmarkStart w:id="2135" w:name="_Ref409601293"/>
      <w:bookmarkStart w:id="2136" w:name="_Toc440982407"/>
      <w:r w:rsidRPr="003C18BC">
        <w:t>The Commissioner has a further right of termination where, following the issue of a Remedial Notice or Breach Notice, a contractor:</w:t>
      </w:r>
      <w:bookmarkEnd w:id="2135"/>
      <w:bookmarkEnd w:id="2136"/>
    </w:p>
    <w:p w14:paraId="3800AB3C" w14:textId="0B2D8F92" w:rsidR="00144CDA" w:rsidRPr="009A7101" w:rsidRDefault="00144CDA" w:rsidP="006C3DF5">
      <w:pPr>
        <w:pStyle w:val="ListParagraph"/>
        <w:numPr>
          <w:ilvl w:val="0"/>
          <w:numId w:val="194"/>
        </w:numPr>
        <w:spacing w:line="360" w:lineRule="auto"/>
        <w:ind w:left="714" w:hanging="357"/>
      </w:pPr>
      <w:bookmarkStart w:id="2137" w:name="_Toc440982408"/>
      <w:r w:rsidRPr="009A7101">
        <w:t>repeats a breach that was the subject of a Remedial Notice or Breach Notice; or</w:t>
      </w:r>
      <w:bookmarkEnd w:id="2137"/>
    </w:p>
    <w:p w14:paraId="0CB5E09C" w14:textId="77777777" w:rsidR="00144CDA" w:rsidRPr="009A7101" w:rsidRDefault="00144CDA" w:rsidP="006C3DF5">
      <w:pPr>
        <w:pStyle w:val="ListParagraph"/>
        <w:numPr>
          <w:ilvl w:val="0"/>
          <w:numId w:val="194"/>
        </w:numPr>
        <w:spacing w:line="360" w:lineRule="auto"/>
        <w:ind w:left="714" w:hanging="357"/>
      </w:pPr>
      <w:bookmarkStart w:id="2138" w:name="_Toc440982409"/>
      <w:r w:rsidRPr="009A7101">
        <w:t>otherwise breaches the contract that results in a further Remedial Notice or Breach Notice.</w:t>
      </w:r>
      <w:bookmarkEnd w:id="2138"/>
    </w:p>
    <w:p w14:paraId="387682E9" w14:textId="77777777" w:rsidR="00144CDA" w:rsidRPr="003C18BC" w:rsidRDefault="00144CDA" w:rsidP="00445ECA">
      <w:pPr>
        <w:pStyle w:val="Heading3"/>
      </w:pPr>
      <w:bookmarkStart w:id="2139" w:name="_Toc440982410"/>
      <w:r w:rsidRPr="003C18BC">
        <w:t>The further breach must have occurred after the breach which was the subject of the Remedial Notice or Breach Notice. The Commissioner may intend to issue a further Remedial Notice or Breach Notice for a breach that occurred prior to the original breach with the need to investigate or gather information delaying the issue of the notice.  In these circumstances, the Commissioner cannot then rely on this right of termination as the further breach did not occur following the issue of the original Remedial Notice or Breach Notice.</w:t>
      </w:r>
      <w:bookmarkEnd w:id="2139"/>
      <w:r w:rsidRPr="003C18BC">
        <w:t xml:space="preserve"> </w:t>
      </w:r>
    </w:p>
    <w:p w14:paraId="3588EE00" w14:textId="40DF95F8" w:rsidR="00144CDA" w:rsidRPr="003C18BC" w:rsidRDefault="00926DA2" w:rsidP="00926DA2">
      <w:pPr>
        <w:pStyle w:val="Heading3"/>
      </w:pPr>
      <w:bookmarkStart w:id="2140" w:name="_Toc440982411"/>
      <w:r>
        <w:t>For GMS and PMS, t</w:t>
      </w:r>
      <w:r w:rsidR="00144CDA" w:rsidRPr="003C18BC">
        <w:t>his further right to terminate can only be used where the Commissioner is satisfied that the cumulative effect of the breaches is such that the Commissioner considers that to allow the contract to continue would be prejudicial to the efficiency of the services to be provided under the contract.</w:t>
      </w:r>
      <w:bookmarkEnd w:id="2140"/>
      <w:r w:rsidRPr="00926DA2">
        <w:t xml:space="preserve"> The Commissioner does not usually have to establish this when terminating an APMS contract, although check the contract wording.</w:t>
      </w:r>
    </w:p>
    <w:p w14:paraId="611F492B" w14:textId="687CB01B" w:rsidR="00144CDA" w:rsidRPr="003C18BC" w:rsidRDefault="00144CDA" w:rsidP="00445ECA">
      <w:pPr>
        <w:pStyle w:val="Heading3"/>
      </w:pPr>
      <w:bookmarkStart w:id="2141" w:name="_Toc440982412"/>
      <w:r w:rsidRPr="003C18BC">
        <w:t xml:space="preserve">NHS England's general duties may be triggered by termination in these circumstances. For further information, please </w:t>
      </w:r>
      <w:bookmarkEnd w:id="2141"/>
      <w:r w:rsidR="00C279FA">
        <w:t>refer to paragraph 1.6.12 of this chapter and also the full chapter on General Duties of NHS England</w:t>
      </w:r>
    </w:p>
    <w:p w14:paraId="0846E84B" w14:textId="292ACDEB" w:rsidR="00144CDA" w:rsidRDefault="00144CDA" w:rsidP="003331F2">
      <w:pPr>
        <w:pStyle w:val="BodyText"/>
      </w:pPr>
    </w:p>
    <w:p w14:paraId="6A2A6917" w14:textId="77777777" w:rsidR="006E22ED" w:rsidRPr="003C18BC" w:rsidRDefault="006E22ED" w:rsidP="003331F2">
      <w:pPr>
        <w:pStyle w:val="BodyText"/>
      </w:pPr>
    </w:p>
    <w:p w14:paraId="234A276A" w14:textId="77777777" w:rsidR="00144CDA" w:rsidRPr="00044E85" w:rsidRDefault="00144CDA" w:rsidP="00044E85">
      <w:pPr>
        <w:pStyle w:val="Heading3"/>
        <w:rPr>
          <w:b/>
        </w:rPr>
      </w:pPr>
      <w:bookmarkStart w:id="2142" w:name="_Toc440982413"/>
      <w:r w:rsidRPr="00044E85">
        <w:rPr>
          <w:b/>
        </w:rPr>
        <w:t>Termination due to the contractor carrying on business detrimental to the contract</w:t>
      </w:r>
      <w:bookmarkEnd w:id="2142"/>
    </w:p>
    <w:p w14:paraId="6ED6E0C0" w14:textId="70BCD7E2" w:rsidR="00144CDA" w:rsidRPr="003C18BC" w:rsidRDefault="00926DA2" w:rsidP="00926DA2">
      <w:pPr>
        <w:pStyle w:val="Heading3"/>
      </w:pPr>
      <w:bookmarkStart w:id="2143" w:name="_Toc440982414"/>
      <w:r>
        <w:t>For GMS and PMS, w</w:t>
      </w:r>
      <w:r w:rsidR="00144CDA" w:rsidRPr="003C18BC">
        <w:t>here the contractor is a company that is carrying on business which the Commissioner considers is detrimental to the contractor performance of the contract, the Commissioner may give notice to the contractor requiring that it ceases carrying on the relevant business within a specified period (which must not be less than 28 days from the date the notice was given).</w:t>
      </w:r>
      <w:bookmarkEnd w:id="2143"/>
      <w:r w:rsidRPr="00926DA2">
        <w:t xml:space="preserve"> This termination right does not have to be included in an APMS contract so please check the specific contract to see whether it is included.</w:t>
      </w:r>
    </w:p>
    <w:p w14:paraId="44791E62" w14:textId="409691B5" w:rsidR="00144CDA" w:rsidRPr="003C18BC" w:rsidRDefault="00144CDA" w:rsidP="00445ECA">
      <w:pPr>
        <w:pStyle w:val="Heading3"/>
      </w:pPr>
      <w:bookmarkStart w:id="2144" w:name="_Toc440982415"/>
      <w:r w:rsidRPr="003C18BC">
        <w:t>Where the contractor has not satisfied the Commissioner that it has ceased carrying on the business by the end of the notice period, the Commissioner may by further written notice terminate the contract immediately (or from such date set out in the notice).</w:t>
      </w:r>
      <w:bookmarkEnd w:id="2144"/>
      <w:r w:rsidRPr="003C18BC">
        <w:t xml:space="preserve"> </w:t>
      </w:r>
    </w:p>
    <w:p w14:paraId="758F805F" w14:textId="788E2AEF" w:rsidR="00144CDA" w:rsidRPr="003C18BC" w:rsidRDefault="00144CDA" w:rsidP="00445ECA">
      <w:pPr>
        <w:pStyle w:val="Heading3"/>
      </w:pPr>
      <w:bookmarkStart w:id="2145" w:name="_Toc440982416"/>
      <w:r w:rsidRPr="003C18BC">
        <w:t xml:space="preserve">NHS England's general duties may be triggered by termination in these circumstances. For further information, please </w:t>
      </w:r>
      <w:r w:rsidR="00C279FA">
        <w:t>refer to paragraph 1.6.12 of this chapter and also the full chapter on General Duties of NHS England</w:t>
      </w:r>
      <w:r w:rsidRPr="003C18BC">
        <w:t>.</w:t>
      </w:r>
      <w:bookmarkEnd w:id="2145"/>
    </w:p>
    <w:p w14:paraId="1D3CB67F" w14:textId="77777777" w:rsidR="00144CDA" w:rsidRPr="003C18BC" w:rsidRDefault="00144CDA" w:rsidP="003331F2">
      <w:pPr>
        <w:pStyle w:val="BodyText"/>
      </w:pPr>
    </w:p>
    <w:p w14:paraId="3D31F4E3" w14:textId="77777777" w:rsidR="00144CDA" w:rsidRPr="00044E85" w:rsidRDefault="00144CDA" w:rsidP="00044E85">
      <w:pPr>
        <w:pStyle w:val="Heading3"/>
        <w:rPr>
          <w:b/>
        </w:rPr>
      </w:pPr>
      <w:bookmarkStart w:id="2146" w:name="_Toc440982417"/>
      <w:r w:rsidRPr="00044E85">
        <w:rPr>
          <w:b/>
        </w:rPr>
        <w:t>Termination due to partnership matters</w:t>
      </w:r>
      <w:bookmarkEnd w:id="2146"/>
    </w:p>
    <w:p w14:paraId="408C7EA2" w14:textId="0510135D" w:rsidR="00144CDA" w:rsidRPr="003C18BC" w:rsidRDefault="00144CDA" w:rsidP="00445ECA">
      <w:pPr>
        <w:pStyle w:val="Heading3"/>
      </w:pPr>
      <w:bookmarkStart w:id="2147" w:name="_Toc440982418"/>
      <w:r w:rsidRPr="003C18BC">
        <w:t>A Commissioner has a right to terminate a GMS contract where:</w:t>
      </w:r>
      <w:bookmarkEnd w:id="2147"/>
    </w:p>
    <w:p w14:paraId="68E2E258" w14:textId="20EF6A8F" w:rsidR="00144CDA" w:rsidRPr="009A7101" w:rsidRDefault="00144CDA" w:rsidP="006C3DF5">
      <w:pPr>
        <w:pStyle w:val="ListParagraph"/>
        <w:numPr>
          <w:ilvl w:val="0"/>
          <w:numId w:val="195"/>
        </w:numPr>
        <w:spacing w:line="360" w:lineRule="auto"/>
        <w:ind w:left="714" w:hanging="357"/>
      </w:pPr>
      <w:bookmarkStart w:id="2148" w:name="_Toc440982419"/>
      <w:r w:rsidRPr="009A7101">
        <w:t>the contractor is two or more persons practising in partnership;</w:t>
      </w:r>
      <w:bookmarkEnd w:id="2148"/>
    </w:p>
    <w:p w14:paraId="63122D79" w14:textId="77777777" w:rsidR="00144CDA" w:rsidRPr="009A7101" w:rsidRDefault="00144CDA" w:rsidP="006C3DF5">
      <w:pPr>
        <w:pStyle w:val="ListParagraph"/>
        <w:numPr>
          <w:ilvl w:val="0"/>
          <w:numId w:val="195"/>
        </w:numPr>
        <w:spacing w:line="360" w:lineRule="auto"/>
        <w:ind w:left="714" w:hanging="357"/>
      </w:pPr>
      <w:bookmarkStart w:id="2149" w:name="_Toc440982420"/>
      <w:r w:rsidRPr="009A7101">
        <w:t>where one or more partners have left the practice during the contract; and</w:t>
      </w:r>
      <w:bookmarkEnd w:id="2149"/>
    </w:p>
    <w:p w14:paraId="4B675D30" w14:textId="01A98CA1" w:rsidR="00144CDA" w:rsidRPr="009A7101" w:rsidRDefault="00144CDA" w:rsidP="006C3DF5">
      <w:pPr>
        <w:pStyle w:val="ListParagraph"/>
        <w:numPr>
          <w:ilvl w:val="0"/>
          <w:numId w:val="195"/>
        </w:numPr>
        <w:spacing w:line="360" w:lineRule="auto"/>
        <w:ind w:left="714" w:hanging="357"/>
      </w:pPr>
      <w:bookmarkStart w:id="2150" w:name="_Toc440982421"/>
      <w:r w:rsidRPr="009A7101">
        <w:t xml:space="preserve">if the Commissioner reasonably considers that the changes in </w:t>
      </w:r>
      <w:r w:rsidR="00382653">
        <w:t xml:space="preserve">the </w:t>
      </w:r>
      <w:r w:rsidRPr="009A7101">
        <w:t xml:space="preserve">membership of the partnership </w:t>
      </w:r>
      <w:r w:rsidR="00382653">
        <w:t>are</w:t>
      </w:r>
      <w:r w:rsidRPr="009A7101">
        <w:t xml:space="preserve"> likely to have a serious adverse impact on the ability of the contractor or the Commissioner to perform its obligations under the contract.</w:t>
      </w:r>
      <w:bookmarkEnd w:id="2150"/>
      <w:r w:rsidRPr="009A7101">
        <w:t xml:space="preserve"> </w:t>
      </w:r>
    </w:p>
    <w:p w14:paraId="576ED94C" w14:textId="77777777" w:rsidR="00144CDA" w:rsidRPr="003C18BC" w:rsidRDefault="00144CDA" w:rsidP="00445ECA">
      <w:pPr>
        <w:pStyle w:val="Heading3"/>
      </w:pPr>
      <w:bookmarkStart w:id="2151" w:name="_Toc440982422"/>
      <w:r w:rsidRPr="003C18BC">
        <w:t>Where this occurs, the Commissioner may terminate the contract by notice in writing on such date as is set out in the notice. The notice must contain the Commissioner's reasons for considering that the change in the membership of the partnership is likely to have a serious adverse impact on the ability of the contractor or the Commissioner to perform its obligations under the contract.</w:t>
      </w:r>
      <w:bookmarkEnd w:id="2151"/>
      <w:r w:rsidRPr="003C18BC">
        <w:t xml:space="preserve"> </w:t>
      </w:r>
    </w:p>
    <w:p w14:paraId="529310CD" w14:textId="7284C321" w:rsidR="00144CDA" w:rsidRPr="003C18BC" w:rsidRDefault="00144CDA" w:rsidP="00445ECA">
      <w:pPr>
        <w:pStyle w:val="Heading3"/>
      </w:pPr>
      <w:bookmarkStart w:id="2152" w:name="_Toc440982423"/>
      <w:r w:rsidRPr="003C18BC">
        <w:t xml:space="preserve">NHS England's general duties may be triggered by termination in these circumstances. For further information, please </w:t>
      </w:r>
      <w:bookmarkEnd w:id="2152"/>
      <w:r w:rsidR="00C279FA">
        <w:t>refer to paragraph 1.6.12 of this chapter and also the full chapter on General Duties of NHS England</w:t>
      </w:r>
    </w:p>
    <w:p w14:paraId="6EF85A4B" w14:textId="65BBA51B" w:rsidR="00144CDA" w:rsidRDefault="00144CDA" w:rsidP="003331F2">
      <w:pPr>
        <w:pStyle w:val="BodyText"/>
      </w:pPr>
    </w:p>
    <w:p w14:paraId="6AB9E58E" w14:textId="77777777" w:rsidR="006E22ED" w:rsidRPr="003C18BC" w:rsidRDefault="006E22ED" w:rsidP="003331F2">
      <w:pPr>
        <w:pStyle w:val="BodyText"/>
      </w:pPr>
    </w:p>
    <w:p w14:paraId="48ACD692" w14:textId="75A39481" w:rsidR="00144CDA" w:rsidRPr="00044E85" w:rsidRDefault="00144CDA" w:rsidP="00044E85">
      <w:pPr>
        <w:pStyle w:val="Heading3"/>
        <w:rPr>
          <w:b/>
        </w:rPr>
      </w:pPr>
      <w:bookmarkStart w:id="2153" w:name="_Toc440982424"/>
      <w:r w:rsidRPr="00044E85">
        <w:rPr>
          <w:b/>
        </w:rPr>
        <w:t xml:space="preserve">Termination due to breach of regulation </w:t>
      </w:r>
      <w:r w:rsidR="00926DA2">
        <w:rPr>
          <w:b/>
        </w:rPr>
        <w:t>5</w:t>
      </w:r>
      <w:bookmarkEnd w:id="2153"/>
    </w:p>
    <w:p w14:paraId="29B08B76" w14:textId="26BDDBA4" w:rsidR="00144CDA" w:rsidRPr="003C18BC" w:rsidRDefault="00144CDA" w:rsidP="00445ECA">
      <w:pPr>
        <w:pStyle w:val="Heading3"/>
      </w:pPr>
      <w:bookmarkStart w:id="2154" w:name="_Toc440982425"/>
      <w:r w:rsidRPr="003C18BC">
        <w:t xml:space="preserve">Regulation </w:t>
      </w:r>
      <w:r w:rsidR="00926DA2">
        <w:t>5</w:t>
      </w:r>
      <w:r w:rsidRPr="003C18BC">
        <w:t xml:space="preserve"> sets out conditions that the contractor must satisfy in order to enter into a GMS contract. There are a number of rights of termination relating to these conditions. Annex 12 sets out the termination rights and conditions in detail.</w:t>
      </w:r>
      <w:bookmarkEnd w:id="2154"/>
      <w:r w:rsidRPr="003C18BC">
        <w:t xml:space="preserve"> </w:t>
      </w:r>
    </w:p>
    <w:p w14:paraId="74E30156" w14:textId="1D043CB9" w:rsidR="00144CDA" w:rsidRPr="003C18BC" w:rsidRDefault="00144CDA" w:rsidP="00445ECA">
      <w:pPr>
        <w:pStyle w:val="Heading3"/>
      </w:pPr>
      <w:bookmarkStart w:id="2155" w:name="_Toc440982426"/>
      <w:r w:rsidRPr="003C18BC">
        <w:t xml:space="preserve">NHS England's general duties may be triggered by termination in these circumstances. For further information, please </w:t>
      </w:r>
      <w:bookmarkEnd w:id="2155"/>
      <w:r w:rsidR="00C279FA">
        <w:t>refer to paragraph 1.6.12 of this chapter and also the full chapter on General Duties of NHS England</w:t>
      </w:r>
    </w:p>
    <w:p w14:paraId="43B7276B" w14:textId="77777777" w:rsidR="00144CDA" w:rsidRPr="007C30BA" w:rsidRDefault="00144CDA" w:rsidP="00144CDA">
      <w:pPr>
        <w:pStyle w:val="Body2"/>
        <w:spacing w:before="120" w:after="120" w:line="276" w:lineRule="auto"/>
        <w:rPr>
          <w:rFonts w:cs="Arial"/>
        </w:rPr>
      </w:pPr>
    </w:p>
    <w:p w14:paraId="6470125B" w14:textId="77777777" w:rsidR="00144CDA" w:rsidRPr="003C18BC" w:rsidRDefault="00144CDA" w:rsidP="00144CDA">
      <w:pPr>
        <w:pStyle w:val="Heading2"/>
      </w:pPr>
      <w:bookmarkStart w:id="2156" w:name="_Toc440982427"/>
      <w:bookmarkStart w:id="2157" w:name="_Toc95743518"/>
      <w:r w:rsidRPr="003C18BC">
        <w:t>Consequences of Termination</w:t>
      </w:r>
      <w:bookmarkEnd w:id="2156"/>
      <w:bookmarkEnd w:id="2157"/>
    </w:p>
    <w:p w14:paraId="3A7D08C6" w14:textId="4C18E849" w:rsidR="00144CDA" w:rsidRPr="003C18BC" w:rsidRDefault="00144CDA" w:rsidP="00445ECA">
      <w:pPr>
        <w:pStyle w:val="Heading3"/>
      </w:pPr>
      <w:bookmarkStart w:id="2158" w:name="_Toc440982428"/>
      <w:r w:rsidRPr="003C18BC">
        <w:t>Contracts usually contain certain obligations on both parties on termination of the contract. The GMS Regulations, PMS Regulations and APMS Directions do not set out any requirements for primary care contracts to contain such provision but the Standard GMS Contract contains a number of obligations including provisions relating to:</w:t>
      </w:r>
      <w:bookmarkEnd w:id="2158"/>
    </w:p>
    <w:p w14:paraId="69C653FE" w14:textId="2FE3840E" w:rsidR="00144CDA" w:rsidRPr="009A7101" w:rsidRDefault="00144CDA" w:rsidP="006C3DF5">
      <w:pPr>
        <w:pStyle w:val="ListParagraph"/>
        <w:numPr>
          <w:ilvl w:val="0"/>
          <w:numId w:val="196"/>
        </w:numPr>
        <w:spacing w:line="360" w:lineRule="auto"/>
        <w:ind w:left="714" w:hanging="357"/>
      </w:pPr>
      <w:bookmarkStart w:id="2159" w:name="_Toc440982429"/>
      <w:r w:rsidRPr="009A7101">
        <w:t>co-operation in dealing with any outstanding matters;</w:t>
      </w:r>
      <w:bookmarkEnd w:id="2159"/>
    </w:p>
    <w:p w14:paraId="78911CB9" w14:textId="77777777" w:rsidR="00144CDA" w:rsidRPr="009A7101" w:rsidRDefault="00144CDA" w:rsidP="006C3DF5">
      <w:pPr>
        <w:pStyle w:val="ListParagraph"/>
        <w:numPr>
          <w:ilvl w:val="0"/>
          <w:numId w:val="196"/>
        </w:numPr>
        <w:spacing w:line="360" w:lineRule="auto"/>
        <w:ind w:left="714" w:hanging="357"/>
      </w:pPr>
      <w:bookmarkStart w:id="2160" w:name="_Toc440982430"/>
      <w:r w:rsidRPr="009A7101">
        <w:t>delivering up property owned by the other party; and</w:t>
      </w:r>
      <w:bookmarkEnd w:id="2160"/>
    </w:p>
    <w:p w14:paraId="7207E329" w14:textId="77777777" w:rsidR="00144CDA" w:rsidRPr="009A7101" w:rsidRDefault="00144CDA" w:rsidP="006C3DF5">
      <w:pPr>
        <w:pStyle w:val="ListParagraph"/>
        <w:numPr>
          <w:ilvl w:val="0"/>
          <w:numId w:val="196"/>
        </w:numPr>
        <w:spacing w:line="360" w:lineRule="auto"/>
        <w:ind w:left="714" w:hanging="357"/>
      </w:pPr>
      <w:bookmarkStart w:id="2161" w:name="_Toc440982431"/>
      <w:r w:rsidRPr="009A7101">
        <w:t>carrying out a financial reconciliation.</w:t>
      </w:r>
      <w:bookmarkEnd w:id="2161"/>
    </w:p>
    <w:p w14:paraId="33A282C6" w14:textId="4B0783D9" w:rsidR="00144CDA" w:rsidRDefault="00144CDA" w:rsidP="00445ECA">
      <w:pPr>
        <w:pStyle w:val="Heading3"/>
      </w:pPr>
      <w:bookmarkStart w:id="2162" w:name="_Toc440982432"/>
      <w:r w:rsidRPr="003C18BC">
        <w:t>It is likely that PMS and APMS contracts will contain similar provisions. The Commissioner should consider the relevant contract to determine what obligations are set out on termination.</w:t>
      </w:r>
      <w:bookmarkEnd w:id="2162"/>
      <w:r w:rsidRPr="003C18BC">
        <w:t xml:space="preserve"> </w:t>
      </w:r>
    </w:p>
    <w:p w14:paraId="7A5A040E" w14:textId="77777777" w:rsidR="001944BF" w:rsidRPr="001944BF" w:rsidRDefault="001944BF" w:rsidP="006F1CA4"/>
    <w:p w14:paraId="0490FDB4" w14:textId="32198437" w:rsidR="00926DA2" w:rsidRDefault="00926DA2" w:rsidP="006F1CA4">
      <w:pPr>
        <w:pStyle w:val="Heading2"/>
      </w:pPr>
      <w:bookmarkStart w:id="2163" w:name="_Toc95743519"/>
      <w:r>
        <w:t>Dealing with CQC issues</w:t>
      </w:r>
      <w:bookmarkEnd w:id="2163"/>
    </w:p>
    <w:p w14:paraId="49619664" w14:textId="430F9561" w:rsidR="00926DA2" w:rsidRDefault="00926DA2" w:rsidP="006F1CA4">
      <w:pPr>
        <w:pStyle w:val="Heading3"/>
      </w:pPr>
      <w:r>
        <w:t>Commissioners may become aware of potential contract breaches when the CQC takes action following an inspection.  CQC action may include suspending registration or cancelling registration completely. Whenever the Commissioner becomes aware of issues identified and/or action taken by the CQC, it needs to consider those issues to see if any contractual action should be taken too.</w:t>
      </w:r>
    </w:p>
    <w:p w14:paraId="3FD3566A" w14:textId="17904955" w:rsidR="00926DA2" w:rsidRDefault="00926DA2" w:rsidP="006F1CA4">
      <w:pPr>
        <w:pStyle w:val="Heading3"/>
      </w:pPr>
      <w:r>
        <w:t>Where evidence from the CQC’s findings and/or any further investigation by the Commissioner identifies any breach(es) of contract, the Commissioner should work through this chapter in the usual way to determine what steps to take.  Often, CQC action will highlight a number of breaches and this may result in several breach or remedial notices being served.</w:t>
      </w:r>
    </w:p>
    <w:p w14:paraId="29A7036A" w14:textId="6084B8E1" w:rsidR="00926DA2" w:rsidRDefault="00926DA2" w:rsidP="006F1CA4">
      <w:pPr>
        <w:pStyle w:val="Heading3"/>
      </w:pPr>
      <w:r>
        <w:t>In some cases, the issues identified may be so significant that it is appropriate to consider termination of the contract.  In very serious cases, it may be possible to move straight to termination, if an appropriate termination right arises.  The position can be complex , particularly where for example a suspension has removed any immediate risk to patient safety and the contractor has been given a period of time by the CQC to address the issues. In those cases, it may be appropriate to wait and see whether the contractor complies with the CQC’s requirements, rather than moving straight to termination.  Commissioners should seek legal advice if they are unsure how to proceed.</w:t>
      </w:r>
    </w:p>
    <w:p w14:paraId="073ACA5C" w14:textId="4E69B9E0" w:rsidR="00926DA2" w:rsidRDefault="00926DA2" w:rsidP="006F1CA4">
      <w:pPr>
        <w:pStyle w:val="Heading3"/>
      </w:pPr>
      <w:r>
        <w:t>Issues identified by the CQC will sometimes form part of a wider pattern of problems under the contract, in which case the Commissioner should consider the full range of problems in deciding appropriate next steps.</w:t>
      </w:r>
    </w:p>
    <w:p w14:paraId="7571DE85" w14:textId="0B5DD94C" w:rsidR="00926DA2" w:rsidRDefault="00926DA2" w:rsidP="006F1CA4">
      <w:pPr>
        <w:pStyle w:val="Heading3"/>
      </w:pPr>
      <w:r>
        <w:t>During any period of suspension by the CQC, the Commissioner will need to ensure that the patients of that practice are able to access primary medical services elsewhere.  It may be that the cost of any caretaking arrangement can be partly off-set by appropriate deductions under any breach or remedial notice being served in relation to the issues leading to suspension (see paragraphs 1.3.21 and 1.3.35 of this policy).</w:t>
      </w:r>
    </w:p>
    <w:p w14:paraId="2FD8BDDA" w14:textId="43BAF821" w:rsidR="00926DA2" w:rsidRPr="00926DA2" w:rsidRDefault="00926DA2" w:rsidP="006F1CA4">
      <w:pPr>
        <w:pStyle w:val="Heading3"/>
      </w:pPr>
      <w:r>
        <w:t>If a contractor’s CQC registration is cancelled, they will not be able to provide any services and the Commissioner will need to terminate the contract.  The Commissioner should, however, be aware that the cancellation process can take time and that there is an appeal period following cancellation.  Cancellation should not be relied on as final until that appeal period has expired or any appeal has been determined.  See the chapter on unplanned/unscheduled closedown for further information.</w:t>
      </w:r>
    </w:p>
    <w:p w14:paraId="7C7FA88A" w14:textId="77777777" w:rsidR="00144CDA" w:rsidRPr="003C18BC" w:rsidRDefault="00144CDA" w:rsidP="00825050">
      <w:pPr>
        <w:pStyle w:val="Heading2"/>
        <w:numPr>
          <w:ilvl w:val="1"/>
          <w:numId w:val="32"/>
        </w:numPr>
        <w:tabs>
          <w:tab w:val="num" w:pos="1440"/>
        </w:tabs>
        <w:spacing w:before="120" w:after="120" w:line="276" w:lineRule="auto"/>
        <w:jc w:val="both"/>
        <w:rPr>
          <w:rFonts w:cs="Arial"/>
          <w:sz w:val="24"/>
          <w:szCs w:val="24"/>
        </w:rPr>
      </w:pPr>
      <w:r w:rsidRPr="003C18BC">
        <w:rPr>
          <w:rFonts w:cs="Arial"/>
          <w:sz w:val="24"/>
          <w:szCs w:val="24"/>
        </w:rPr>
        <w:br w:type="page"/>
      </w:r>
    </w:p>
    <w:p w14:paraId="4871A254" w14:textId="74647F49" w:rsidR="00144CDA" w:rsidRPr="003C18BC" w:rsidRDefault="00144CDA" w:rsidP="00144CDA">
      <w:pPr>
        <w:pStyle w:val="Heading2"/>
      </w:pPr>
      <w:bookmarkStart w:id="2164" w:name="_Toc95743520"/>
      <w:r w:rsidRPr="003C18BC">
        <w:t>Annex 1 Remedial Notice Flowchart</w:t>
      </w:r>
      <w:bookmarkEnd w:id="2164"/>
    </w:p>
    <w:bookmarkStart w:id="2165" w:name="_1568138835"/>
    <w:bookmarkEnd w:id="2165"/>
    <w:p w14:paraId="4A6D5572" w14:textId="43FDE1D7" w:rsidR="00144CDA" w:rsidRPr="002158C1" w:rsidRDefault="002306F3" w:rsidP="006C3DF5">
      <w:pPr>
        <w:pStyle w:val="ListParagraph"/>
        <w:numPr>
          <w:ilvl w:val="0"/>
          <w:numId w:val="152"/>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Remedial Notice Flowchart</w:t>
      </w:r>
      <w:r>
        <w:rPr>
          <w:rStyle w:val="Hyperlink"/>
        </w:rPr>
        <w:fldChar w:fldCharType="end"/>
      </w:r>
      <w:r w:rsidR="009B26D9">
        <w:br/>
      </w:r>
    </w:p>
    <w:p w14:paraId="5F73C397" w14:textId="35651FF1" w:rsidR="00144CDA" w:rsidRPr="003C18BC" w:rsidRDefault="00144CDA" w:rsidP="00144CDA">
      <w:pPr>
        <w:pStyle w:val="Heading2"/>
      </w:pPr>
      <w:bookmarkStart w:id="2166" w:name="_Toc95743521"/>
      <w:r w:rsidRPr="003C18BC">
        <w:t>Annex 2 Template Remedial Notice</w:t>
      </w:r>
      <w:bookmarkEnd w:id="2166"/>
    </w:p>
    <w:p w14:paraId="77235523" w14:textId="77777777" w:rsidR="00144CDA" w:rsidRPr="003C18BC" w:rsidRDefault="00144CDA" w:rsidP="00144CDA">
      <w:pPr>
        <w:spacing w:before="120" w:after="120" w:line="276" w:lineRule="auto"/>
        <w:rPr>
          <w:rFonts w:cs="Arial"/>
          <w:i/>
          <w:iCs/>
          <w:szCs w:val="24"/>
        </w:rPr>
      </w:pPr>
      <w:r w:rsidRPr="003C18BC" w:rsidDel="0012067F">
        <w:rPr>
          <w:rFonts w:cs="Arial"/>
          <w:b/>
          <w:szCs w:val="24"/>
        </w:rPr>
        <w:t xml:space="preserve"> </w:t>
      </w:r>
      <w:r w:rsidRPr="008C638F">
        <w:rPr>
          <w:rFonts w:cs="Arial"/>
          <w:i/>
          <w:iCs/>
          <w:szCs w:val="24"/>
        </w:rPr>
        <w:t>[This Annex is provided as a template only and appropriate advice and support should be sought prior to issuing such a notice]</w:t>
      </w:r>
    </w:p>
    <w:bookmarkStart w:id="2167" w:name="_1568138862"/>
    <w:bookmarkEnd w:id="2167"/>
    <w:p w14:paraId="21862564" w14:textId="34BFE1AE" w:rsidR="00144CDA" w:rsidRPr="002158C1" w:rsidRDefault="002306F3" w:rsidP="006C3DF5">
      <w:pPr>
        <w:pStyle w:val="ListParagraph"/>
        <w:numPr>
          <w:ilvl w:val="0"/>
          <w:numId w:val="151"/>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Template Remedial Notice</w:t>
      </w:r>
      <w:r>
        <w:rPr>
          <w:rStyle w:val="Hyperlink"/>
        </w:rPr>
        <w:fldChar w:fldCharType="end"/>
      </w:r>
    </w:p>
    <w:p w14:paraId="428D537D" w14:textId="77777777" w:rsidR="002158C1" w:rsidRPr="002158C1" w:rsidRDefault="002158C1" w:rsidP="002158C1">
      <w:pPr>
        <w:spacing w:before="120" w:after="120" w:line="276" w:lineRule="auto"/>
        <w:rPr>
          <w:rFonts w:cs="Arial"/>
          <w:b/>
          <w:szCs w:val="24"/>
        </w:rPr>
      </w:pPr>
    </w:p>
    <w:p w14:paraId="3255229A" w14:textId="47759FBF" w:rsidR="00144CDA" w:rsidRPr="003C18BC" w:rsidRDefault="00144CDA" w:rsidP="00144CDA">
      <w:pPr>
        <w:pStyle w:val="Heading2"/>
      </w:pPr>
      <w:bookmarkStart w:id="2168" w:name="_Toc95743522"/>
      <w:r w:rsidRPr="003C18BC">
        <w:t>Annex 3 Template Notice Receipt</w:t>
      </w:r>
      <w:bookmarkEnd w:id="2168"/>
    </w:p>
    <w:bookmarkStart w:id="2169" w:name="_1568138890"/>
    <w:bookmarkEnd w:id="2169"/>
    <w:p w14:paraId="071D4D68" w14:textId="223927F9" w:rsidR="00144CDA" w:rsidRPr="009B26D9" w:rsidRDefault="002306F3" w:rsidP="006C3DF5">
      <w:pPr>
        <w:pStyle w:val="ListParagraph"/>
        <w:numPr>
          <w:ilvl w:val="0"/>
          <w:numId w:val="150"/>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Template Notice Receipt</w:t>
      </w:r>
      <w:r>
        <w:rPr>
          <w:rStyle w:val="Hyperlink"/>
        </w:rPr>
        <w:fldChar w:fldCharType="end"/>
      </w:r>
      <w:r w:rsidR="009B26D9">
        <w:br/>
      </w:r>
    </w:p>
    <w:p w14:paraId="0A2F51FF" w14:textId="053B23AF" w:rsidR="00144CDA" w:rsidRPr="003C18BC" w:rsidRDefault="00144CDA" w:rsidP="00144CDA">
      <w:pPr>
        <w:pStyle w:val="Heading2"/>
      </w:pPr>
      <w:bookmarkStart w:id="2170" w:name="_Toc95743523"/>
      <w:r w:rsidRPr="003C18BC">
        <w:t>Annex 4 Template Remedial Notice Satisfaction Letter</w:t>
      </w:r>
      <w:bookmarkEnd w:id="2170"/>
    </w:p>
    <w:p w14:paraId="5469547D" w14:textId="77777777" w:rsidR="00144CDA" w:rsidRPr="003C18BC" w:rsidRDefault="00144CDA" w:rsidP="00144CDA">
      <w:pPr>
        <w:spacing w:before="120" w:after="120" w:line="276" w:lineRule="auto"/>
        <w:rPr>
          <w:rFonts w:cs="Arial"/>
          <w:i/>
          <w:iCs/>
          <w:szCs w:val="24"/>
        </w:rPr>
      </w:pPr>
      <w:r w:rsidRPr="003C18BC" w:rsidDel="0012067F">
        <w:rPr>
          <w:rFonts w:cs="Arial"/>
          <w:b/>
          <w:szCs w:val="24"/>
        </w:rPr>
        <w:t xml:space="preserve"> </w:t>
      </w:r>
      <w:r w:rsidRPr="008C638F">
        <w:rPr>
          <w:rFonts w:cs="Arial"/>
          <w:i/>
          <w:iCs/>
          <w:szCs w:val="24"/>
        </w:rPr>
        <w:t>[This letter is provided as a template only and the Commissioner should ensure that appropriate advice and support has been sought prior to issuing such a letter]</w:t>
      </w:r>
    </w:p>
    <w:bookmarkStart w:id="2171" w:name="_1568138914"/>
    <w:bookmarkEnd w:id="2171"/>
    <w:p w14:paraId="67DB29BB" w14:textId="6192A831" w:rsidR="00144CDA" w:rsidRPr="009B26D9" w:rsidRDefault="002306F3" w:rsidP="006C3DF5">
      <w:pPr>
        <w:pStyle w:val="ListParagraph"/>
        <w:numPr>
          <w:ilvl w:val="0"/>
          <w:numId w:val="149"/>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Template Remedial Notice Satisfaction Letter</w:t>
      </w:r>
      <w:r>
        <w:rPr>
          <w:rStyle w:val="Hyperlink"/>
        </w:rPr>
        <w:fldChar w:fldCharType="end"/>
      </w:r>
      <w:r w:rsidR="009B26D9">
        <w:br/>
      </w:r>
    </w:p>
    <w:p w14:paraId="5DDCE178" w14:textId="7241A84D" w:rsidR="00144CDA" w:rsidRPr="003C18BC" w:rsidRDefault="00144CDA" w:rsidP="00144CDA">
      <w:pPr>
        <w:pStyle w:val="Heading2"/>
      </w:pPr>
      <w:bookmarkStart w:id="2172" w:name="_Toc95743524"/>
      <w:r w:rsidRPr="003C18BC">
        <w:t>Annex 5 Breach Notice Flowchart</w:t>
      </w:r>
      <w:bookmarkEnd w:id="2172"/>
    </w:p>
    <w:bookmarkStart w:id="2173" w:name="_1568138945"/>
    <w:bookmarkEnd w:id="2173"/>
    <w:p w14:paraId="7DC2A011" w14:textId="7B87431D" w:rsidR="00144CDA" w:rsidRPr="00873BB6" w:rsidRDefault="002306F3" w:rsidP="006C3DF5">
      <w:pPr>
        <w:pStyle w:val="ListParagraph"/>
        <w:numPr>
          <w:ilvl w:val="0"/>
          <w:numId w:val="148"/>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Breach Notice Flowchart</w:t>
      </w:r>
      <w:r>
        <w:rPr>
          <w:rStyle w:val="Hyperlink"/>
        </w:rPr>
        <w:fldChar w:fldCharType="end"/>
      </w:r>
      <w:r w:rsidR="00873BB6">
        <w:br/>
      </w:r>
    </w:p>
    <w:p w14:paraId="2E83A676" w14:textId="53F327A1" w:rsidR="00144CDA" w:rsidRPr="003C18BC" w:rsidRDefault="00144CDA" w:rsidP="00144CDA">
      <w:pPr>
        <w:pStyle w:val="Heading2"/>
      </w:pPr>
      <w:bookmarkStart w:id="2174" w:name="_Toc95743525"/>
      <w:r w:rsidRPr="003C18BC">
        <w:t>Annex 6 Template Breach Notice</w:t>
      </w:r>
      <w:bookmarkEnd w:id="2174"/>
    </w:p>
    <w:bookmarkStart w:id="2175" w:name="_1568138973"/>
    <w:bookmarkEnd w:id="2175"/>
    <w:p w14:paraId="0B95C121" w14:textId="7D7FC665" w:rsidR="00144CDA" w:rsidRPr="00873BB6" w:rsidRDefault="002306F3" w:rsidP="006C3DF5">
      <w:pPr>
        <w:pStyle w:val="ListParagraph"/>
        <w:numPr>
          <w:ilvl w:val="0"/>
          <w:numId w:val="147"/>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Template Breach Notice</w:t>
      </w:r>
      <w:r>
        <w:rPr>
          <w:rStyle w:val="Hyperlink"/>
        </w:rPr>
        <w:fldChar w:fldCharType="end"/>
      </w:r>
      <w:r w:rsidR="00873BB6">
        <w:br/>
      </w:r>
    </w:p>
    <w:p w14:paraId="0B1ED4AD" w14:textId="7990154C" w:rsidR="00144CDA" w:rsidRPr="003C18BC" w:rsidRDefault="00144CDA" w:rsidP="00144CDA">
      <w:pPr>
        <w:pStyle w:val="Heading2"/>
      </w:pPr>
      <w:bookmarkStart w:id="2176" w:name="_Toc95743526"/>
      <w:r w:rsidRPr="003C18BC">
        <w:t>Annex 7 Calculating a Financial Contract Sanction</w:t>
      </w:r>
      <w:bookmarkEnd w:id="2176"/>
    </w:p>
    <w:bookmarkStart w:id="2177" w:name="_1568169655"/>
    <w:bookmarkEnd w:id="2177"/>
    <w:p w14:paraId="7DF63901" w14:textId="40C0ED3A" w:rsidR="002158C1" w:rsidRPr="002158C1" w:rsidRDefault="002306F3" w:rsidP="006C3DF5">
      <w:pPr>
        <w:pStyle w:val="ListParagraph"/>
        <w:numPr>
          <w:ilvl w:val="0"/>
          <w:numId w:val="146"/>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Calculating a Financial Contract Sanction</w:t>
      </w:r>
      <w:r>
        <w:rPr>
          <w:rStyle w:val="Hyperlink"/>
        </w:rPr>
        <w:fldChar w:fldCharType="end"/>
      </w:r>
    </w:p>
    <w:p w14:paraId="149F61E9" w14:textId="77777777" w:rsidR="002158C1" w:rsidRPr="00873BB6" w:rsidRDefault="002158C1" w:rsidP="002306F3">
      <w:pPr>
        <w:pStyle w:val="ListParagraph"/>
        <w:spacing w:before="120" w:after="120" w:line="276" w:lineRule="auto"/>
        <w:rPr>
          <w:rFonts w:cs="Arial"/>
          <w:b/>
          <w:szCs w:val="24"/>
        </w:rPr>
      </w:pPr>
    </w:p>
    <w:p w14:paraId="5D2C9ABD" w14:textId="37CA8B07" w:rsidR="00144CDA" w:rsidRPr="003C18BC" w:rsidRDefault="00144CDA" w:rsidP="00144CDA">
      <w:pPr>
        <w:pStyle w:val="Heading2"/>
      </w:pPr>
      <w:bookmarkStart w:id="2178" w:name="_Toc95743527"/>
      <w:r w:rsidRPr="003C18BC">
        <w:t>Annex 8 Template Contract Sanction Notice</w:t>
      </w:r>
      <w:bookmarkEnd w:id="2178"/>
    </w:p>
    <w:p w14:paraId="13392133" w14:textId="77777777" w:rsidR="00144CDA" w:rsidRPr="003C18BC" w:rsidRDefault="00144CDA" w:rsidP="00144CDA">
      <w:pPr>
        <w:spacing w:before="120" w:after="120" w:line="276" w:lineRule="auto"/>
        <w:rPr>
          <w:rFonts w:cs="Arial"/>
          <w:iCs/>
          <w:szCs w:val="24"/>
        </w:rPr>
      </w:pPr>
      <w:r w:rsidRPr="003C18BC" w:rsidDel="0012067F">
        <w:rPr>
          <w:rFonts w:cs="Arial"/>
          <w:b/>
          <w:szCs w:val="24"/>
        </w:rPr>
        <w:t xml:space="preserve"> </w:t>
      </w:r>
      <w:r w:rsidRPr="008C638F">
        <w:rPr>
          <w:rFonts w:cs="Arial"/>
          <w:iCs/>
          <w:szCs w:val="24"/>
        </w:rPr>
        <w:t>[This Annex is provided as a template only and appropriate advice and support should be sought prior to issuing such a notice]</w:t>
      </w:r>
    </w:p>
    <w:bookmarkStart w:id="2179" w:name="_1568170731"/>
    <w:bookmarkEnd w:id="2179"/>
    <w:p w14:paraId="6C9C79F5" w14:textId="34DBE50E" w:rsidR="002158C1" w:rsidRPr="002158C1" w:rsidRDefault="002306F3" w:rsidP="006C3DF5">
      <w:pPr>
        <w:pStyle w:val="ListParagraph"/>
        <w:numPr>
          <w:ilvl w:val="0"/>
          <w:numId w:val="145"/>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Template Contract Sanction Notice</w:t>
      </w:r>
      <w:r>
        <w:rPr>
          <w:rStyle w:val="Hyperlink"/>
        </w:rPr>
        <w:fldChar w:fldCharType="end"/>
      </w:r>
    </w:p>
    <w:p w14:paraId="11BB6185" w14:textId="48B89798" w:rsidR="00144CDA" w:rsidRPr="00873BB6" w:rsidRDefault="00873BB6" w:rsidP="002158C1">
      <w:pPr>
        <w:pStyle w:val="ListParagraph"/>
        <w:spacing w:before="120" w:after="120" w:line="276" w:lineRule="auto"/>
        <w:rPr>
          <w:rFonts w:cs="Arial"/>
          <w:szCs w:val="24"/>
        </w:rPr>
      </w:pPr>
      <w:r>
        <w:br/>
      </w:r>
    </w:p>
    <w:p w14:paraId="5C98E370" w14:textId="21B3D017" w:rsidR="00144CDA" w:rsidRPr="003C18BC" w:rsidRDefault="00144CDA" w:rsidP="00144CDA">
      <w:pPr>
        <w:pStyle w:val="Heading2"/>
      </w:pPr>
      <w:bookmarkStart w:id="2180" w:name="_Toc95743528"/>
      <w:r w:rsidRPr="003C18BC">
        <w:t>Annex 9 Template Termination Notice</w:t>
      </w:r>
      <w:bookmarkEnd w:id="2180"/>
    </w:p>
    <w:bookmarkStart w:id="2181" w:name="_1568170755"/>
    <w:bookmarkEnd w:id="2181"/>
    <w:p w14:paraId="705A1B66" w14:textId="211F0797" w:rsidR="00144CDA" w:rsidRPr="002158C1" w:rsidRDefault="002306F3" w:rsidP="006C3DF5">
      <w:pPr>
        <w:pStyle w:val="ListParagraph"/>
        <w:numPr>
          <w:ilvl w:val="0"/>
          <w:numId w:val="144"/>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Template Termination Notice</w:t>
      </w:r>
      <w:r>
        <w:rPr>
          <w:rStyle w:val="Hyperlink"/>
        </w:rPr>
        <w:fldChar w:fldCharType="end"/>
      </w:r>
    </w:p>
    <w:p w14:paraId="3E72EF97" w14:textId="77777777" w:rsidR="002158C1" w:rsidRPr="002158C1" w:rsidRDefault="002158C1" w:rsidP="002158C1">
      <w:pPr>
        <w:spacing w:before="120" w:after="120" w:line="276" w:lineRule="auto"/>
        <w:rPr>
          <w:rFonts w:cs="Arial"/>
          <w:b/>
          <w:szCs w:val="24"/>
        </w:rPr>
      </w:pPr>
    </w:p>
    <w:p w14:paraId="4BD9FE7B" w14:textId="0B84B091" w:rsidR="00144CDA" w:rsidRPr="003C18BC" w:rsidRDefault="00144CDA" w:rsidP="00144CDA">
      <w:pPr>
        <w:pStyle w:val="Heading2"/>
      </w:pPr>
      <w:bookmarkStart w:id="2182" w:name="_Toc95743529"/>
      <w:r w:rsidRPr="003C18BC">
        <w:t>Annex 10 Termination Flowchart</w:t>
      </w:r>
      <w:bookmarkEnd w:id="2182"/>
    </w:p>
    <w:bookmarkStart w:id="2183" w:name="_1568170807"/>
    <w:bookmarkEnd w:id="2183"/>
    <w:p w14:paraId="05049A37" w14:textId="26E484F3" w:rsidR="00144CDA" w:rsidRPr="002158C1" w:rsidRDefault="002306F3" w:rsidP="006C3DF5">
      <w:pPr>
        <w:pStyle w:val="ListParagraph"/>
        <w:numPr>
          <w:ilvl w:val="0"/>
          <w:numId w:val="143"/>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Termination Flowchart</w:t>
      </w:r>
      <w:r>
        <w:rPr>
          <w:rStyle w:val="Hyperlink"/>
        </w:rPr>
        <w:fldChar w:fldCharType="end"/>
      </w:r>
      <w:r w:rsidR="003C2AE6">
        <w:br/>
      </w:r>
    </w:p>
    <w:p w14:paraId="1C9CE82E" w14:textId="404CF1AC" w:rsidR="00144CDA" w:rsidRPr="00044E85" w:rsidRDefault="00144CDA" w:rsidP="00044E85">
      <w:pPr>
        <w:pStyle w:val="Heading2"/>
      </w:pPr>
      <w:bookmarkStart w:id="2184" w:name="_Toc95743530"/>
      <w:r w:rsidRPr="00044E85">
        <w:t>Annex 11 Fitness to Practice Matters (Part A GMS Contracts)</w:t>
      </w:r>
      <w:bookmarkEnd w:id="2184"/>
    </w:p>
    <w:bookmarkStart w:id="2185" w:name="_1568171307"/>
    <w:bookmarkEnd w:id="2185"/>
    <w:p w14:paraId="4A83E907" w14:textId="62EEED92" w:rsidR="00144CDA" w:rsidRPr="002158C1" w:rsidRDefault="002306F3" w:rsidP="006C3DF5">
      <w:pPr>
        <w:pStyle w:val="ListParagraph"/>
        <w:numPr>
          <w:ilvl w:val="0"/>
          <w:numId w:val="142"/>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Fitness to Practice Matters (Part A GMS Contracts)</w:t>
      </w:r>
      <w:r>
        <w:rPr>
          <w:rStyle w:val="Hyperlink"/>
        </w:rPr>
        <w:fldChar w:fldCharType="end"/>
      </w:r>
      <w:r w:rsidR="006744D1">
        <w:br/>
      </w:r>
    </w:p>
    <w:p w14:paraId="418F93D9" w14:textId="7CBA45EC" w:rsidR="00144CDA" w:rsidRDefault="00144CDA" w:rsidP="00144CDA">
      <w:pPr>
        <w:pStyle w:val="Heading2"/>
        <w:rPr>
          <w:sz w:val="24"/>
          <w:szCs w:val="24"/>
        </w:rPr>
      </w:pPr>
      <w:bookmarkStart w:id="2186" w:name="_Toc95743531"/>
      <w:r w:rsidRPr="003C18BC">
        <w:t xml:space="preserve">Annex 11 Fitness to Practice Matters </w:t>
      </w:r>
      <w:r w:rsidRPr="003C18BC">
        <w:rPr>
          <w:sz w:val="24"/>
          <w:szCs w:val="24"/>
        </w:rPr>
        <w:t>(Part B PMS Agreement)</w:t>
      </w:r>
      <w:bookmarkEnd w:id="2186"/>
    </w:p>
    <w:bookmarkStart w:id="2187" w:name="_1568171326"/>
    <w:bookmarkEnd w:id="2187"/>
    <w:p w14:paraId="05BD29F7" w14:textId="4D4DCC42" w:rsidR="002158C1" w:rsidRPr="006744D1" w:rsidRDefault="002306F3" w:rsidP="006C3DF5">
      <w:pPr>
        <w:pStyle w:val="ListParagraph"/>
        <w:numPr>
          <w:ilvl w:val="0"/>
          <w:numId w:val="141"/>
        </w:num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Fitness to Practice Matters (Part B PMS Agreement)</w:t>
      </w:r>
      <w:r>
        <w:rPr>
          <w:rStyle w:val="Hyperlink"/>
        </w:rPr>
        <w:fldChar w:fldCharType="end"/>
      </w:r>
    </w:p>
    <w:p w14:paraId="3C27D1A9" w14:textId="2567484B" w:rsidR="00144CDA" w:rsidRPr="005F5ABB" w:rsidRDefault="00144CDA" w:rsidP="00144CDA">
      <w:pPr>
        <w:spacing w:before="120" w:after="120" w:line="276" w:lineRule="auto"/>
        <w:rPr>
          <w:rFonts w:cs="Arial"/>
          <w:b/>
          <w:szCs w:val="24"/>
        </w:rPr>
      </w:pPr>
    </w:p>
    <w:p w14:paraId="5EA31476" w14:textId="6587629E" w:rsidR="00144CDA" w:rsidRPr="003C18BC" w:rsidRDefault="00144CDA" w:rsidP="00144CDA">
      <w:pPr>
        <w:pStyle w:val="Heading2"/>
        <w:rPr>
          <w:sz w:val="24"/>
          <w:szCs w:val="24"/>
        </w:rPr>
      </w:pPr>
      <w:bookmarkStart w:id="2188" w:name="_Toc95743532"/>
      <w:r w:rsidRPr="003C18BC">
        <w:t xml:space="preserve">Annex 11 Fitness to Practice Matters </w:t>
      </w:r>
      <w:r w:rsidRPr="003C18BC">
        <w:rPr>
          <w:sz w:val="24"/>
          <w:szCs w:val="24"/>
        </w:rPr>
        <w:t>(Part C APMS Contracts)</w:t>
      </w:r>
      <w:bookmarkEnd w:id="2188"/>
    </w:p>
    <w:bookmarkStart w:id="2189" w:name="_1568171368"/>
    <w:bookmarkEnd w:id="2189"/>
    <w:p w14:paraId="3154EB6E" w14:textId="1F5185AA" w:rsidR="00144CDA" w:rsidRPr="006744D1" w:rsidRDefault="002306F3" w:rsidP="006C3DF5">
      <w:pPr>
        <w:pStyle w:val="ListParagraph"/>
        <w:numPr>
          <w:ilvl w:val="0"/>
          <w:numId w:val="140"/>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Fitness to Practice Matters (Part C APMS Contracts)</w:t>
      </w:r>
      <w:r>
        <w:rPr>
          <w:rStyle w:val="Hyperlink"/>
        </w:rPr>
        <w:fldChar w:fldCharType="end"/>
      </w:r>
      <w:r w:rsidR="006744D1">
        <w:rPr>
          <w:szCs w:val="24"/>
        </w:rPr>
        <w:br/>
      </w:r>
    </w:p>
    <w:p w14:paraId="21D89868" w14:textId="540D06EB" w:rsidR="00144CDA" w:rsidRPr="003C18BC" w:rsidRDefault="00144CDA" w:rsidP="00144CDA">
      <w:pPr>
        <w:pStyle w:val="Heading2"/>
      </w:pPr>
      <w:bookmarkStart w:id="2190" w:name="_Toc95743533"/>
      <w:r w:rsidRPr="003C18BC">
        <w:t>Annex 12 Termination due to breach of Regulation 4</w:t>
      </w:r>
      <w:bookmarkEnd w:id="2190"/>
    </w:p>
    <w:bookmarkStart w:id="2191" w:name="_1568171406"/>
    <w:bookmarkEnd w:id="2191"/>
    <w:p w14:paraId="0D5B7F2A" w14:textId="196F1678" w:rsidR="00144CDA" w:rsidRPr="006744D1" w:rsidRDefault="002306F3" w:rsidP="006C3DF5">
      <w:pPr>
        <w:pStyle w:val="ListParagraph"/>
        <w:numPr>
          <w:ilvl w:val="0"/>
          <w:numId w:val="139"/>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Termination</w:t>
      </w:r>
      <w:r w:rsidR="00B54A0C">
        <w:rPr>
          <w:rStyle w:val="Hyperlink"/>
        </w:rPr>
        <w:t xml:space="preserve"> dues to breach of Regulation 4</w:t>
      </w:r>
      <w:r>
        <w:rPr>
          <w:rStyle w:val="Hyperlink"/>
        </w:rPr>
        <w:fldChar w:fldCharType="end"/>
      </w:r>
      <w:r w:rsidR="006744D1">
        <w:br/>
      </w:r>
    </w:p>
    <w:p w14:paraId="0A2A1646" w14:textId="6E673FA9" w:rsidR="00144CDA" w:rsidRPr="003C18BC" w:rsidRDefault="00144CDA" w:rsidP="00144CDA">
      <w:pPr>
        <w:pStyle w:val="Heading2"/>
      </w:pPr>
      <w:bookmarkStart w:id="2192" w:name="_Toc95743534"/>
      <w:r w:rsidRPr="003C18BC">
        <w:t>Annex 13 Template Notice Return</w:t>
      </w:r>
      <w:bookmarkEnd w:id="2192"/>
    </w:p>
    <w:bookmarkStart w:id="2193" w:name="_1568171438"/>
    <w:bookmarkEnd w:id="2193"/>
    <w:p w14:paraId="4077EC2D" w14:textId="7C72D6DB" w:rsidR="00B54A0C" w:rsidRPr="00AB70BB" w:rsidRDefault="002306F3" w:rsidP="006C3DF5">
      <w:pPr>
        <w:pStyle w:val="ListParagraph"/>
        <w:numPr>
          <w:ilvl w:val="0"/>
          <w:numId w:val="138"/>
        </w:numPr>
        <w:spacing w:before="120" w:after="120" w:line="276" w:lineRule="auto"/>
        <w:rPr>
          <w:rFonts w:cs="Arial"/>
          <w:szCs w:val="24"/>
        </w:rPr>
      </w:pPr>
      <w:r>
        <w:fldChar w:fldCharType="begin"/>
      </w:r>
      <w:r>
        <w:instrText xml:space="preserve"> HYPERLINK "https://www.england.nhs.uk/publication/primary-medical-care-policy-and-guidance-manual-consequences-of-termination-annexes/" </w:instrText>
      </w:r>
      <w:r>
        <w:fldChar w:fldCharType="separate"/>
      </w:r>
      <w:r w:rsidR="00B54A0C">
        <w:rPr>
          <w:rStyle w:val="Hyperlink"/>
        </w:rPr>
        <w:t>Template Notice Return</w:t>
      </w:r>
      <w:r>
        <w:rPr>
          <w:rStyle w:val="Hyperlink"/>
        </w:rPr>
        <w:fldChar w:fldCharType="end"/>
      </w:r>
    </w:p>
    <w:p w14:paraId="5AFF8C36" w14:textId="77777777" w:rsidR="00144CDA" w:rsidRPr="003C18BC" w:rsidRDefault="00144CDA" w:rsidP="00144CDA">
      <w:pPr>
        <w:spacing w:before="120" w:after="120" w:line="276" w:lineRule="auto"/>
        <w:rPr>
          <w:rFonts w:cs="Arial"/>
          <w:szCs w:val="24"/>
        </w:rPr>
      </w:pPr>
    </w:p>
    <w:p w14:paraId="2D02855F" w14:textId="77777777" w:rsidR="00144CDA" w:rsidRDefault="00144CDA" w:rsidP="0015247B">
      <w:pPr>
        <w:rPr>
          <w:lang w:eastAsia="en-GB"/>
        </w:rPr>
      </w:pPr>
    </w:p>
    <w:p w14:paraId="57E8DB8C" w14:textId="52D48CB7" w:rsidR="00B5759F" w:rsidRPr="00B5759F" w:rsidRDefault="00850B0E" w:rsidP="00B5759F">
      <w:pPr>
        <w:pStyle w:val="Heading1"/>
        <w:jc w:val="both"/>
        <w:rPr>
          <w:sz w:val="36"/>
          <w:szCs w:val="36"/>
        </w:rPr>
      </w:pPr>
      <w:r>
        <w:rPr>
          <w:lang w:eastAsia="en-GB"/>
        </w:rPr>
        <w:br w:type="page"/>
      </w:r>
      <w:bookmarkStart w:id="2194" w:name="_Toc95743535"/>
      <w:r w:rsidR="00B5759F">
        <w:rPr>
          <w:lang w:eastAsia="en-GB"/>
        </w:rPr>
        <w:t xml:space="preserve">Unplanned / </w:t>
      </w:r>
      <w:r w:rsidR="00B5759F">
        <w:rPr>
          <w:sz w:val="36"/>
          <w:szCs w:val="36"/>
        </w:rPr>
        <w:t>Un</w:t>
      </w:r>
      <w:r w:rsidR="00B5759F" w:rsidRPr="00B5759F">
        <w:rPr>
          <w:sz w:val="36"/>
          <w:szCs w:val="36"/>
        </w:rPr>
        <w:t>scheduled and Unavoidable Practice Closedown</w:t>
      </w:r>
      <w:bookmarkEnd w:id="2194"/>
    </w:p>
    <w:p w14:paraId="635D1A3D" w14:textId="77777777" w:rsidR="00DD7D4A" w:rsidRDefault="00DD7D4A" w:rsidP="00DD7D4A">
      <w:pPr>
        <w:pStyle w:val="ListParagraph"/>
        <w:spacing w:after="60" w:line="276" w:lineRule="auto"/>
        <w:jc w:val="both"/>
        <w:rPr>
          <w:rFonts w:cs="Arial"/>
          <w:b/>
          <w:color w:val="0072CE" w:themeColor="accent2"/>
          <w:szCs w:val="24"/>
        </w:rPr>
      </w:pPr>
    </w:p>
    <w:p w14:paraId="102B3CC6" w14:textId="33B3DEAC" w:rsidR="00DD7D4A" w:rsidRPr="00DD7D4A" w:rsidRDefault="00DD7D4A" w:rsidP="00DD7D4A">
      <w:pPr>
        <w:pStyle w:val="Heading2"/>
      </w:pPr>
      <w:bookmarkStart w:id="2195" w:name="_Toc95743536"/>
      <w:r w:rsidRPr="00DD7D4A">
        <w:t>Introduction</w:t>
      </w:r>
      <w:bookmarkEnd w:id="2195"/>
    </w:p>
    <w:p w14:paraId="2385D5B7" w14:textId="574C60BB" w:rsidR="00DD7D4A" w:rsidRPr="00CC6D16" w:rsidRDefault="00DD7D4A" w:rsidP="00DD7D4A">
      <w:pPr>
        <w:pStyle w:val="Heading3"/>
      </w:pPr>
      <w:r w:rsidRPr="00CC6D16">
        <w:t>When a GP Practice closes at short notice, it is important that commissioners respond and act in a timely way.  Such closures may be as result of actions by the CQC, for example voluntary closure in response to an adverse inspection or cancellation of the practice’s registration, or due to the sudden inability of a provider to continue providing a service for some other reason</w:t>
      </w:r>
      <w:r>
        <w:t xml:space="preserve"> such as bankruptcy</w:t>
      </w:r>
      <w:r w:rsidRPr="00CC6D16">
        <w:t>.</w:t>
      </w:r>
    </w:p>
    <w:p w14:paraId="0E855CB5" w14:textId="1FFA2137" w:rsidR="00DD7D4A" w:rsidRPr="00DD7D4A" w:rsidRDefault="00DD7D4A" w:rsidP="00DD7D4A">
      <w:pPr>
        <w:pStyle w:val="Heading3"/>
        <w:rPr>
          <w:color w:val="000000" w:themeColor="text1"/>
        </w:rPr>
      </w:pPr>
      <w:r w:rsidRPr="00A2304C">
        <w:t xml:space="preserve">Furthermore, it is critical that the management and transfer of patient records (both </w:t>
      </w:r>
      <w:r w:rsidRPr="00DD7D4A">
        <w:rPr>
          <w:color w:val="000000" w:themeColor="text1"/>
        </w:rPr>
        <w:t xml:space="preserve">paper and digital) are undertaken in a secure and robust </w:t>
      </w:r>
      <w:r w:rsidR="009F1EC8" w:rsidRPr="00DD7D4A">
        <w:rPr>
          <w:color w:val="000000" w:themeColor="text1"/>
        </w:rPr>
        <w:t>manner.</w:t>
      </w:r>
      <w:r w:rsidRPr="00DD7D4A">
        <w:rPr>
          <w:color w:val="000000" w:themeColor="text1"/>
        </w:rPr>
        <w:t xml:space="preserve">  It is important that adherence</w:t>
      </w:r>
      <w:r w:rsidRPr="00A2304C">
        <w:t xml:space="preserve"> </w:t>
      </w:r>
      <w:r w:rsidRPr="00DD7D4A">
        <w:rPr>
          <w:color w:val="000000" w:themeColor="text1"/>
        </w:rPr>
        <w:t>to all</w:t>
      </w:r>
      <w:r w:rsidRPr="00A2304C">
        <w:t xml:space="preserve"> applicable </w:t>
      </w:r>
      <w:r w:rsidRPr="00DD7D4A">
        <w:rPr>
          <w:color w:val="000000" w:themeColor="text1"/>
        </w:rPr>
        <w:t>information governance, records management and data protection regulations and data protection principals are maintained throughout this process.</w:t>
      </w:r>
    </w:p>
    <w:p w14:paraId="642CAD53" w14:textId="77777777" w:rsidR="00DD7D4A" w:rsidRPr="00CC6D16" w:rsidRDefault="00DD7D4A" w:rsidP="00DD7D4A">
      <w:pPr>
        <w:spacing w:before="120" w:after="120" w:line="276" w:lineRule="auto"/>
        <w:jc w:val="both"/>
        <w:rPr>
          <w:rFonts w:cs="Arial"/>
          <w:szCs w:val="24"/>
        </w:rPr>
      </w:pPr>
    </w:p>
    <w:p w14:paraId="6C722002" w14:textId="3A1D8153" w:rsidR="00DD7D4A" w:rsidRPr="00DD7D4A" w:rsidRDefault="00DD7D4A" w:rsidP="00DD7D4A">
      <w:pPr>
        <w:pStyle w:val="Heading2"/>
      </w:pPr>
      <w:bookmarkStart w:id="2196" w:name="_Toc95743537"/>
      <w:r w:rsidRPr="00DD7D4A">
        <w:t>Scope</w:t>
      </w:r>
      <w:bookmarkEnd w:id="2196"/>
    </w:p>
    <w:p w14:paraId="7142E4AF" w14:textId="77777777" w:rsidR="00DD7D4A" w:rsidRPr="00CC6D16" w:rsidRDefault="00DD7D4A" w:rsidP="00DD7D4A">
      <w:pPr>
        <w:pStyle w:val="Heading3"/>
      </w:pPr>
      <w:r w:rsidRPr="00CC6D16">
        <w:t>This guidance clarifies the role of the commissioner and the engagement required with patients and any partner organisations (e.g. NHS</w:t>
      </w:r>
      <w:r>
        <w:t xml:space="preserve"> </w:t>
      </w:r>
      <w:r w:rsidRPr="00CC6D16">
        <w:t>E</w:t>
      </w:r>
      <w:r>
        <w:t>ngland</w:t>
      </w:r>
      <w:r w:rsidRPr="00CC6D16">
        <w:t xml:space="preserve"> or CQC).  This chapter is intended as guidance with which commissioners can work, with four fundamental principles at the core</w:t>
      </w:r>
      <w:r>
        <w:t>:</w:t>
      </w:r>
    </w:p>
    <w:p w14:paraId="2E4C066F" w14:textId="77777777" w:rsidR="00DD7D4A" w:rsidRPr="00CC6D16" w:rsidRDefault="00DD7D4A" w:rsidP="006C3DF5">
      <w:pPr>
        <w:numPr>
          <w:ilvl w:val="0"/>
          <w:numId w:val="97"/>
        </w:numPr>
        <w:spacing w:before="120" w:after="120" w:line="360" w:lineRule="auto"/>
        <w:contextualSpacing/>
        <w:jc w:val="both"/>
        <w:rPr>
          <w:rFonts w:cs="Arial"/>
          <w:szCs w:val="24"/>
        </w:rPr>
      </w:pPr>
      <w:r w:rsidRPr="00CC6D16">
        <w:rPr>
          <w:rFonts w:cs="Arial"/>
          <w:szCs w:val="24"/>
        </w:rPr>
        <w:t>The needs of the registered patients must be at the heart of all decision and actions</w:t>
      </w:r>
      <w:r>
        <w:rPr>
          <w:rFonts w:cs="Arial"/>
          <w:szCs w:val="24"/>
        </w:rPr>
        <w:t>;</w:t>
      </w:r>
    </w:p>
    <w:p w14:paraId="359FA9B7" w14:textId="77777777" w:rsidR="00DD7D4A" w:rsidRDefault="00DD7D4A" w:rsidP="006C3DF5">
      <w:pPr>
        <w:numPr>
          <w:ilvl w:val="0"/>
          <w:numId w:val="97"/>
        </w:numPr>
        <w:spacing w:before="120" w:after="120" w:line="360" w:lineRule="auto"/>
        <w:contextualSpacing/>
        <w:rPr>
          <w:rFonts w:cs="Arial"/>
          <w:szCs w:val="24"/>
        </w:rPr>
      </w:pPr>
      <w:r w:rsidRPr="007670C8">
        <w:rPr>
          <w:rFonts w:cs="Arial"/>
          <w:szCs w:val="24"/>
        </w:rPr>
        <w:t xml:space="preserve">In </w:t>
      </w:r>
      <w:r>
        <w:rPr>
          <w:rFonts w:cs="Arial"/>
          <w:szCs w:val="24"/>
        </w:rPr>
        <w:t>many</w:t>
      </w:r>
      <w:r w:rsidRPr="007670C8">
        <w:rPr>
          <w:rFonts w:cs="Arial"/>
          <w:szCs w:val="24"/>
        </w:rPr>
        <w:t xml:space="preserve"> cases taking preventive action in conjunction with support </w:t>
      </w:r>
      <w:r>
        <w:rPr>
          <w:rFonts w:cs="Arial"/>
          <w:szCs w:val="24"/>
        </w:rPr>
        <w:t>could be a preferable option to closing a practice.</w:t>
      </w:r>
    </w:p>
    <w:p w14:paraId="493E9FB5" w14:textId="72F05542" w:rsidR="00DD7D4A" w:rsidRPr="007670C8" w:rsidRDefault="00DD7D4A" w:rsidP="006C3DF5">
      <w:pPr>
        <w:numPr>
          <w:ilvl w:val="0"/>
          <w:numId w:val="97"/>
        </w:numPr>
        <w:spacing w:before="120" w:after="120" w:line="360" w:lineRule="auto"/>
        <w:contextualSpacing/>
        <w:rPr>
          <w:rFonts w:cs="Arial"/>
          <w:szCs w:val="24"/>
        </w:rPr>
      </w:pPr>
      <w:r>
        <w:rPr>
          <w:rFonts w:cs="Arial"/>
          <w:szCs w:val="24"/>
        </w:rPr>
        <w:t>In circumstances where this chapter applies (e.g. a closure is unavoidable or in the best interests of patients), a</w:t>
      </w:r>
      <w:r w:rsidRPr="004D346E">
        <w:rPr>
          <w:rFonts w:cs="Arial"/>
          <w:szCs w:val="24"/>
        </w:rPr>
        <w:t>ll partners</w:t>
      </w:r>
      <w:r>
        <w:rPr>
          <w:rFonts w:cs="Arial"/>
          <w:szCs w:val="24"/>
        </w:rPr>
        <w:t xml:space="preserve"> and stakeholders</w:t>
      </w:r>
      <w:r w:rsidRPr="004D346E">
        <w:rPr>
          <w:rFonts w:cs="Arial"/>
          <w:szCs w:val="24"/>
        </w:rPr>
        <w:t xml:space="preserve"> should know what to do, when and how, and work effectively together to minimise any disruption to patients and services</w:t>
      </w:r>
      <w:r>
        <w:rPr>
          <w:rFonts w:cs="Arial"/>
          <w:szCs w:val="24"/>
        </w:rPr>
        <w:t>.</w:t>
      </w:r>
    </w:p>
    <w:p w14:paraId="0281AE83" w14:textId="59D8F054" w:rsidR="00DD7D4A" w:rsidRDefault="00DE6493" w:rsidP="006C3DF5">
      <w:pPr>
        <w:numPr>
          <w:ilvl w:val="0"/>
          <w:numId w:val="97"/>
        </w:numPr>
        <w:spacing w:before="120" w:after="120" w:line="360" w:lineRule="auto"/>
        <w:contextualSpacing/>
        <w:jc w:val="both"/>
        <w:rPr>
          <w:rFonts w:cs="Arial"/>
          <w:szCs w:val="24"/>
        </w:rPr>
      </w:pPr>
      <w:r>
        <w:rPr>
          <w:rFonts w:cs="Arial"/>
          <w:szCs w:val="24"/>
        </w:rPr>
        <w:t>Effective c</w:t>
      </w:r>
      <w:r w:rsidR="00DD7D4A" w:rsidRPr="00CC6D16">
        <w:rPr>
          <w:rFonts w:cs="Arial"/>
          <w:szCs w:val="24"/>
        </w:rPr>
        <w:t>ommunication must be maintained throughout with patients and their families and carers and with other partners (e.g. PPGs / LMCs</w:t>
      </w:r>
      <w:r w:rsidR="00DD7D4A">
        <w:rPr>
          <w:rFonts w:cs="Arial"/>
          <w:szCs w:val="24"/>
        </w:rPr>
        <w:t xml:space="preserve"> / Healthwatch</w:t>
      </w:r>
      <w:r w:rsidR="00DD7D4A" w:rsidRPr="00CC6D16">
        <w:rPr>
          <w:rFonts w:cs="Arial"/>
          <w:szCs w:val="24"/>
        </w:rPr>
        <w:t>).</w:t>
      </w:r>
    </w:p>
    <w:p w14:paraId="7288ACF1" w14:textId="77777777" w:rsidR="00B41FF8" w:rsidRPr="00CC6D16" w:rsidRDefault="00B41FF8" w:rsidP="006C3DF5">
      <w:pPr>
        <w:numPr>
          <w:ilvl w:val="0"/>
          <w:numId w:val="97"/>
        </w:numPr>
        <w:spacing w:before="120" w:after="120" w:line="360" w:lineRule="auto"/>
        <w:contextualSpacing/>
        <w:jc w:val="both"/>
        <w:rPr>
          <w:rFonts w:cs="Arial"/>
          <w:szCs w:val="24"/>
        </w:rPr>
      </w:pPr>
    </w:p>
    <w:p w14:paraId="6349DB73" w14:textId="77777777" w:rsidR="00DD7D4A" w:rsidRPr="00CC6D16" w:rsidRDefault="00DD7D4A" w:rsidP="003331F2">
      <w:pPr>
        <w:pStyle w:val="BodyText"/>
      </w:pPr>
    </w:p>
    <w:p w14:paraId="2374BDB8" w14:textId="61D4990C" w:rsidR="00DD7D4A" w:rsidRPr="00CC6D16" w:rsidRDefault="00DD7D4A" w:rsidP="00DD7D4A">
      <w:pPr>
        <w:pStyle w:val="Heading2"/>
      </w:pPr>
      <w:bookmarkStart w:id="2197" w:name="_Toc95743538"/>
      <w:r w:rsidRPr="00CC6D16">
        <w:t>Roles and Responsibilities</w:t>
      </w:r>
      <w:bookmarkEnd w:id="2197"/>
    </w:p>
    <w:p w14:paraId="509F07BF" w14:textId="77777777" w:rsidR="00DD7D4A" w:rsidRPr="00CC6D16" w:rsidRDefault="00DD7D4A" w:rsidP="00DD7D4A">
      <w:pPr>
        <w:pStyle w:val="ListParagraph"/>
        <w:spacing w:before="120" w:after="120" w:line="276" w:lineRule="auto"/>
        <w:jc w:val="both"/>
        <w:rPr>
          <w:rFonts w:cs="Arial"/>
          <w:b/>
          <w:color w:val="0072CE" w:themeColor="accent2"/>
          <w:szCs w:val="24"/>
        </w:rPr>
      </w:pPr>
    </w:p>
    <w:p w14:paraId="7FF9044C" w14:textId="77777777" w:rsidR="00DD7D4A" w:rsidRPr="00DD7D4A" w:rsidRDefault="00DD7D4A" w:rsidP="00DD7D4A">
      <w:pPr>
        <w:pStyle w:val="Heading3"/>
        <w:rPr>
          <w:b/>
        </w:rPr>
      </w:pPr>
      <w:r w:rsidRPr="00DD7D4A">
        <w:rPr>
          <w:b/>
        </w:rPr>
        <w:t>Commissioners</w:t>
      </w:r>
    </w:p>
    <w:p w14:paraId="0F26D69E" w14:textId="77777777" w:rsidR="00DD7D4A" w:rsidRPr="00CC6D16" w:rsidRDefault="00DD7D4A" w:rsidP="00DD7D4A">
      <w:pPr>
        <w:pStyle w:val="ListParagraph"/>
        <w:spacing w:before="120" w:after="120" w:line="276" w:lineRule="auto"/>
        <w:jc w:val="both"/>
        <w:rPr>
          <w:rFonts w:cs="Arial"/>
          <w:b/>
          <w:color w:val="000000" w:themeColor="text1"/>
          <w:szCs w:val="24"/>
        </w:rPr>
      </w:pPr>
    </w:p>
    <w:p w14:paraId="60041A60" w14:textId="77777777" w:rsidR="00DD7D4A" w:rsidRPr="00CC6D16" w:rsidRDefault="00DD7D4A" w:rsidP="00DD7D4A">
      <w:pPr>
        <w:pStyle w:val="Heading4"/>
      </w:pPr>
      <w:r w:rsidRPr="00CC6D16">
        <w:t xml:space="preserve">The </w:t>
      </w:r>
      <w:r>
        <w:t>C</w:t>
      </w:r>
      <w:r w:rsidRPr="00CC6D16">
        <w:t>ommissioner will take the lead in the following actions</w:t>
      </w:r>
      <w:r>
        <w:t>:</w:t>
      </w:r>
    </w:p>
    <w:p w14:paraId="1874D0CF" w14:textId="77777777" w:rsidR="00DD7D4A" w:rsidRPr="00CC6D16" w:rsidRDefault="00DD7D4A" w:rsidP="00DD7D4A">
      <w:pPr>
        <w:pStyle w:val="ListParagraph"/>
        <w:spacing w:before="120" w:after="120" w:line="360" w:lineRule="auto"/>
        <w:ind w:left="1134"/>
        <w:jc w:val="both"/>
        <w:rPr>
          <w:rFonts w:cs="Arial"/>
          <w:szCs w:val="24"/>
        </w:rPr>
      </w:pPr>
    </w:p>
    <w:p w14:paraId="547B594F" w14:textId="77777777" w:rsidR="00DD7D4A" w:rsidRPr="00DD7D4A" w:rsidRDefault="00DD7D4A" w:rsidP="006C3DF5">
      <w:pPr>
        <w:pStyle w:val="ListParagraph"/>
        <w:numPr>
          <w:ilvl w:val="0"/>
          <w:numId w:val="106"/>
        </w:numPr>
        <w:spacing w:before="120" w:after="120" w:line="360" w:lineRule="auto"/>
        <w:jc w:val="both"/>
        <w:rPr>
          <w:rFonts w:cs="Arial"/>
          <w:color w:val="000000" w:themeColor="text1"/>
          <w:szCs w:val="24"/>
        </w:rPr>
      </w:pPr>
      <w:r w:rsidRPr="00DD7D4A">
        <w:rPr>
          <w:rFonts w:cs="Arial"/>
          <w:color w:val="000000" w:themeColor="text1"/>
          <w:szCs w:val="24"/>
        </w:rPr>
        <w:t>Ensure appropriate interim measures are put in place (e.g. a caretaker GP) to keep people safe after the identification of concerns or issues or at the very latest, the point it is informed of the closure.</w:t>
      </w:r>
    </w:p>
    <w:p w14:paraId="1B1E09D0" w14:textId="77777777" w:rsidR="00DD7D4A" w:rsidRPr="00DD7D4A" w:rsidRDefault="00DD7D4A" w:rsidP="006C3DF5">
      <w:pPr>
        <w:pStyle w:val="ListParagraph"/>
        <w:numPr>
          <w:ilvl w:val="0"/>
          <w:numId w:val="106"/>
        </w:numPr>
        <w:spacing w:before="120" w:after="120" w:line="360" w:lineRule="auto"/>
        <w:jc w:val="both"/>
        <w:rPr>
          <w:rFonts w:cs="Arial"/>
          <w:color w:val="000000" w:themeColor="text1"/>
          <w:szCs w:val="24"/>
        </w:rPr>
      </w:pPr>
      <w:r w:rsidRPr="00DD7D4A">
        <w:rPr>
          <w:rFonts w:cs="Arial"/>
          <w:color w:val="000000" w:themeColor="text1"/>
          <w:szCs w:val="24"/>
        </w:rPr>
        <w:t>Establish a team with specialist skills to oversee the closure, including contracting and communications staff, and lead on arranging meetings / consultations with any partners.</w:t>
      </w:r>
    </w:p>
    <w:p w14:paraId="6A6B296E" w14:textId="77777777" w:rsidR="00DD7D4A" w:rsidRPr="00DD7D4A" w:rsidRDefault="00DD7D4A" w:rsidP="006C3DF5">
      <w:pPr>
        <w:pStyle w:val="ListParagraph"/>
        <w:numPr>
          <w:ilvl w:val="0"/>
          <w:numId w:val="106"/>
        </w:numPr>
        <w:spacing w:before="120" w:after="120" w:line="360" w:lineRule="auto"/>
        <w:jc w:val="both"/>
        <w:rPr>
          <w:rFonts w:cs="Arial"/>
          <w:color w:val="000000" w:themeColor="text1"/>
          <w:szCs w:val="24"/>
        </w:rPr>
      </w:pPr>
      <w:r w:rsidRPr="00DD7D4A">
        <w:rPr>
          <w:rFonts w:cs="Arial"/>
          <w:color w:val="000000" w:themeColor="text1"/>
          <w:szCs w:val="24"/>
        </w:rPr>
        <w:t xml:space="preserve">Establish a task and finish group to oversee the process. </w:t>
      </w:r>
    </w:p>
    <w:p w14:paraId="2C215BFF" w14:textId="6EADBE88" w:rsidR="00DD7D4A" w:rsidRPr="00DD7D4A" w:rsidRDefault="00DD7D4A" w:rsidP="006C3DF5">
      <w:pPr>
        <w:pStyle w:val="ListParagraph"/>
        <w:numPr>
          <w:ilvl w:val="0"/>
          <w:numId w:val="106"/>
        </w:numPr>
        <w:spacing w:before="120" w:after="120" w:line="360" w:lineRule="auto"/>
        <w:jc w:val="both"/>
        <w:rPr>
          <w:rFonts w:cs="Arial"/>
          <w:color w:val="000000" w:themeColor="text1"/>
          <w:szCs w:val="24"/>
        </w:rPr>
      </w:pPr>
      <w:r w:rsidRPr="00DD7D4A">
        <w:rPr>
          <w:rFonts w:cs="Arial"/>
          <w:color w:val="000000" w:themeColor="text1"/>
          <w:szCs w:val="24"/>
        </w:rPr>
        <w:t>Co-ordinate assessments of the practices' registered list to ascertain patient needs and preferences.  This should be completed by individuals with the relevant skills and governance to access patient records (where this is required) or by those brought in for their specialist skills (risk</w:t>
      </w:r>
      <w:r w:rsidR="00863750">
        <w:rPr>
          <w:rFonts w:cs="Arial"/>
          <w:color w:val="000000" w:themeColor="text1"/>
          <w:szCs w:val="24"/>
        </w:rPr>
        <w:t>-</w:t>
      </w:r>
      <w:r w:rsidRPr="00DD7D4A">
        <w:rPr>
          <w:rFonts w:cs="Arial"/>
          <w:color w:val="000000" w:themeColor="text1"/>
          <w:szCs w:val="24"/>
        </w:rPr>
        <w:t>stratified e.g. vulnerable patients, children in care, end of life patients, etc</w:t>
      </w:r>
      <w:r w:rsidR="00DE6493">
        <w:rPr>
          <w:rFonts w:cs="Arial"/>
          <w:color w:val="000000" w:themeColor="text1"/>
          <w:szCs w:val="24"/>
        </w:rPr>
        <w:t>)</w:t>
      </w:r>
      <w:r w:rsidRPr="00DD7D4A">
        <w:rPr>
          <w:rFonts w:cs="Arial"/>
          <w:color w:val="000000" w:themeColor="text1"/>
          <w:szCs w:val="24"/>
        </w:rPr>
        <w:t>.</w:t>
      </w:r>
    </w:p>
    <w:p w14:paraId="16D302DB" w14:textId="48925FD6" w:rsidR="00DD7D4A" w:rsidRPr="00DD7D4A" w:rsidRDefault="00DD7D4A" w:rsidP="006C3DF5">
      <w:pPr>
        <w:pStyle w:val="ListParagraph"/>
        <w:numPr>
          <w:ilvl w:val="0"/>
          <w:numId w:val="106"/>
        </w:numPr>
        <w:spacing w:before="120" w:after="120" w:line="360" w:lineRule="auto"/>
        <w:jc w:val="both"/>
        <w:rPr>
          <w:rFonts w:cs="Arial"/>
          <w:color w:val="000000" w:themeColor="text1"/>
          <w:szCs w:val="24"/>
        </w:rPr>
      </w:pPr>
      <w:r w:rsidRPr="00DD7D4A">
        <w:rPr>
          <w:rFonts w:cs="Arial"/>
          <w:color w:val="000000" w:themeColor="text1"/>
          <w:szCs w:val="24"/>
        </w:rPr>
        <w:t xml:space="preserve">Communicate to patients the details of alternative GP Practices which could provide essential and additional services, including any details on the current quality of the service (i.e. links to </w:t>
      </w:r>
      <w:r w:rsidR="00DB6951">
        <w:rPr>
          <w:rFonts w:cs="Arial"/>
          <w:color w:val="000000" w:themeColor="text1"/>
          <w:szCs w:val="24"/>
        </w:rPr>
        <w:t>nhs.uk website</w:t>
      </w:r>
      <w:r w:rsidR="00253B63">
        <w:rPr>
          <w:rFonts w:cs="Arial"/>
          <w:color w:val="000000" w:themeColor="text1"/>
          <w:szCs w:val="24"/>
        </w:rPr>
        <w:t xml:space="preserve"> etc.</w:t>
      </w:r>
      <w:r w:rsidRPr="00DD7D4A">
        <w:rPr>
          <w:rFonts w:cs="Arial"/>
          <w:color w:val="000000" w:themeColor="text1"/>
          <w:szCs w:val="24"/>
        </w:rPr>
        <w:t xml:space="preserve">). </w:t>
      </w:r>
    </w:p>
    <w:p w14:paraId="38214E65" w14:textId="65D72092" w:rsidR="00DD7D4A" w:rsidRPr="00DD7D4A" w:rsidRDefault="00DD7D4A" w:rsidP="006C3DF5">
      <w:pPr>
        <w:pStyle w:val="ListParagraph"/>
        <w:numPr>
          <w:ilvl w:val="0"/>
          <w:numId w:val="106"/>
        </w:numPr>
        <w:spacing w:before="120" w:after="120" w:line="360" w:lineRule="auto"/>
        <w:jc w:val="both"/>
        <w:rPr>
          <w:rFonts w:cs="Arial"/>
          <w:color w:val="000000" w:themeColor="text1"/>
          <w:szCs w:val="24"/>
        </w:rPr>
      </w:pPr>
      <w:r w:rsidRPr="00DD7D4A">
        <w:rPr>
          <w:rFonts w:cs="Arial"/>
          <w:color w:val="000000" w:themeColor="text1"/>
          <w:szCs w:val="24"/>
        </w:rPr>
        <w:t>Maintain ongoing consultative relations with patients, their families, other local GP practices</w:t>
      </w:r>
      <w:r w:rsidR="00A27B62">
        <w:rPr>
          <w:rFonts w:cs="Arial"/>
          <w:color w:val="000000" w:themeColor="text1"/>
          <w:szCs w:val="24"/>
        </w:rPr>
        <w:t>, the Primary Care Network</w:t>
      </w:r>
      <w:r w:rsidRPr="00DD7D4A">
        <w:rPr>
          <w:rFonts w:cs="Arial"/>
          <w:color w:val="000000" w:themeColor="text1"/>
          <w:szCs w:val="24"/>
        </w:rPr>
        <w:t xml:space="preserve"> and any other system partners to ensure they are kept informed at each step of the process. </w:t>
      </w:r>
    </w:p>
    <w:p w14:paraId="70C9536D" w14:textId="77777777" w:rsidR="00DD7D4A" w:rsidRPr="00DD7D4A" w:rsidRDefault="00DD7D4A" w:rsidP="006C3DF5">
      <w:pPr>
        <w:pStyle w:val="ListParagraph"/>
        <w:numPr>
          <w:ilvl w:val="0"/>
          <w:numId w:val="106"/>
        </w:numPr>
        <w:spacing w:before="120" w:after="120" w:line="360" w:lineRule="auto"/>
        <w:jc w:val="both"/>
        <w:rPr>
          <w:rFonts w:cs="Arial"/>
          <w:color w:val="000000" w:themeColor="text1"/>
          <w:szCs w:val="24"/>
        </w:rPr>
      </w:pPr>
      <w:r w:rsidRPr="00DD7D4A">
        <w:rPr>
          <w:rFonts w:cs="Arial"/>
          <w:color w:val="000000" w:themeColor="text1"/>
          <w:szCs w:val="24"/>
        </w:rPr>
        <w:t>Commission new services and arrange people to move and resettlement, including a review of the placement after a reasonable timeframe.</w:t>
      </w:r>
    </w:p>
    <w:p w14:paraId="76927B86" w14:textId="77777777" w:rsidR="00DD7D4A" w:rsidRPr="00DD7D4A" w:rsidRDefault="00DD7D4A" w:rsidP="006C3DF5">
      <w:pPr>
        <w:pStyle w:val="ListParagraph"/>
        <w:numPr>
          <w:ilvl w:val="0"/>
          <w:numId w:val="106"/>
        </w:numPr>
        <w:spacing w:before="120" w:after="120" w:line="360" w:lineRule="auto"/>
        <w:jc w:val="both"/>
        <w:rPr>
          <w:rFonts w:cs="Arial"/>
          <w:color w:val="000000" w:themeColor="text1"/>
          <w:szCs w:val="24"/>
        </w:rPr>
      </w:pPr>
      <w:r w:rsidRPr="00DD7D4A">
        <w:rPr>
          <w:rFonts w:cs="Arial"/>
          <w:color w:val="000000" w:themeColor="text1"/>
          <w:szCs w:val="24"/>
        </w:rPr>
        <w:t>Identify a lead to coordinate communications.</w:t>
      </w:r>
    </w:p>
    <w:p w14:paraId="6C99B857" w14:textId="77777777" w:rsidR="00DD7D4A" w:rsidRDefault="00DD7D4A" w:rsidP="006C3DF5">
      <w:pPr>
        <w:pStyle w:val="ListParagraph"/>
        <w:numPr>
          <w:ilvl w:val="0"/>
          <w:numId w:val="106"/>
        </w:numPr>
        <w:spacing w:before="120" w:after="120" w:line="360" w:lineRule="auto"/>
        <w:jc w:val="both"/>
        <w:rPr>
          <w:rFonts w:cs="Arial"/>
          <w:color w:val="000000" w:themeColor="text1"/>
          <w:szCs w:val="24"/>
        </w:rPr>
      </w:pPr>
      <w:r w:rsidRPr="00DD7D4A">
        <w:rPr>
          <w:rFonts w:cs="Arial"/>
          <w:color w:val="000000" w:themeColor="text1"/>
          <w:szCs w:val="24"/>
        </w:rPr>
        <w:t>Engage with Local Medical Committee (LMC)</w:t>
      </w:r>
    </w:p>
    <w:p w14:paraId="12DF0B89" w14:textId="77777777" w:rsidR="00DD7D4A" w:rsidRPr="00DD7D4A" w:rsidRDefault="00DD7D4A" w:rsidP="00DD7D4A">
      <w:pPr>
        <w:pStyle w:val="ListParagraph"/>
        <w:spacing w:before="120" w:after="120" w:line="360" w:lineRule="auto"/>
        <w:jc w:val="both"/>
        <w:rPr>
          <w:rFonts w:cs="Arial"/>
          <w:color w:val="000000" w:themeColor="text1"/>
          <w:szCs w:val="24"/>
        </w:rPr>
      </w:pPr>
    </w:p>
    <w:p w14:paraId="6041DAC3" w14:textId="4C5FD0EE" w:rsidR="00DD7D4A" w:rsidRDefault="00DD7D4A" w:rsidP="00DD7D4A">
      <w:pPr>
        <w:pStyle w:val="Heading3"/>
      </w:pPr>
      <w:r>
        <w:t xml:space="preserve">In the event that the practice physically closes, the </w:t>
      </w:r>
      <w:r w:rsidRPr="00D3552E">
        <w:t xml:space="preserve">commissioner / lead </w:t>
      </w:r>
      <w:r>
        <w:t>Commissioner will:</w:t>
      </w:r>
    </w:p>
    <w:p w14:paraId="11CA4EC7" w14:textId="77777777" w:rsidR="00DD7D4A" w:rsidRPr="00DD7D4A" w:rsidRDefault="00DD7D4A" w:rsidP="00DD7D4A"/>
    <w:p w14:paraId="5972601A" w14:textId="60A6F0FE" w:rsidR="00DD7D4A" w:rsidRPr="00CC6D16" w:rsidRDefault="00DD7D4A" w:rsidP="006C3DF5">
      <w:pPr>
        <w:pStyle w:val="ListParagraph"/>
        <w:numPr>
          <w:ilvl w:val="0"/>
          <w:numId w:val="106"/>
        </w:numPr>
        <w:spacing w:before="120" w:after="120" w:line="360" w:lineRule="auto"/>
        <w:jc w:val="both"/>
        <w:rPr>
          <w:rFonts w:cs="Arial"/>
          <w:color w:val="000000" w:themeColor="text1"/>
          <w:szCs w:val="24"/>
        </w:rPr>
      </w:pPr>
      <w:r>
        <w:rPr>
          <w:rFonts w:cs="Arial"/>
          <w:color w:val="000000" w:themeColor="text1"/>
          <w:szCs w:val="24"/>
        </w:rPr>
        <w:t>P</w:t>
      </w:r>
      <w:r w:rsidRPr="00CC6D16">
        <w:rPr>
          <w:rFonts w:cs="Arial"/>
          <w:color w:val="000000" w:themeColor="text1"/>
          <w:szCs w:val="24"/>
        </w:rPr>
        <w:t>ut in place arrangements for practice post to be redirected to the commissioner</w:t>
      </w:r>
      <w:r>
        <w:rPr>
          <w:rFonts w:cs="Arial"/>
          <w:color w:val="000000" w:themeColor="text1"/>
          <w:szCs w:val="24"/>
        </w:rPr>
        <w:t xml:space="preserve"> and where appropriate make a personal visit to the premises</w:t>
      </w:r>
      <w:r w:rsidRPr="00CC6D16">
        <w:rPr>
          <w:rFonts w:cs="Arial"/>
          <w:color w:val="000000" w:themeColor="text1"/>
          <w:szCs w:val="24"/>
        </w:rPr>
        <w:t xml:space="preserve">.  </w:t>
      </w:r>
    </w:p>
    <w:p w14:paraId="13DDA98D" w14:textId="5A968AE3" w:rsidR="00DD7D4A" w:rsidRPr="00CC6D16" w:rsidRDefault="00DD7D4A" w:rsidP="006C3DF5">
      <w:pPr>
        <w:pStyle w:val="ListParagraph"/>
        <w:numPr>
          <w:ilvl w:val="0"/>
          <w:numId w:val="106"/>
        </w:numPr>
        <w:spacing w:before="120" w:after="120" w:line="360" w:lineRule="auto"/>
        <w:jc w:val="both"/>
        <w:rPr>
          <w:rFonts w:cs="Arial"/>
          <w:color w:val="000000" w:themeColor="text1"/>
          <w:szCs w:val="24"/>
        </w:rPr>
      </w:pPr>
      <w:r>
        <w:rPr>
          <w:rFonts w:cs="Arial"/>
          <w:color w:val="000000" w:themeColor="text1"/>
          <w:szCs w:val="24"/>
        </w:rPr>
        <w:t>F</w:t>
      </w:r>
      <w:r w:rsidRPr="00CC6D16">
        <w:rPr>
          <w:rFonts w:cs="Arial"/>
          <w:color w:val="000000" w:themeColor="text1"/>
          <w:szCs w:val="24"/>
        </w:rPr>
        <w:t xml:space="preserve">orward clinical correspondence to PCSE for 28 days, who </w:t>
      </w:r>
      <w:r>
        <w:rPr>
          <w:rFonts w:cs="Arial"/>
          <w:color w:val="000000" w:themeColor="text1"/>
          <w:szCs w:val="24"/>
        </w:rPr>
        <w:t xml:space="preserve">will </w:t>
      </w:r>
      <w:r w:rsidRPr="00CC6D16">
        <w:rPr>
          <w:rFonts w:cs="Arial"/>
          <w:color w:val="000000" w:themeColor="text1"/>
          <w:szCs w:val="24"/>
        </w:rPr>
        <w:t xml:space="preserve">manage onward </w:t>
      </w:r>
      <w:r>
        <w:rPr>
          <w:rFonts w:cs="Arial"/>
          <w:color w:val="000000" w:themeColor="text1"/>
          <w:szCs w:val="24"/>
        </w:rPr>
        <w:t>forwarding</w:t>
      </w:r>
      <w:r w:rsidRPr="00CC6D16">
        <w:rPr>
          <w:rFonts w:cs="Arial"/>
          <w:color w:val="000000" w:themeColor="text1"/>
          <w:szCs w:val="24"/>
        </w:rPr>
        <w:t xml:space="preserve"> to </w:t>
      </w:r>
      <w:r>
        <w:rPr>
          <w:rFonts w:cs="Arial"/>
          <w:color w:val="000000" w:themeColor="text1"/>
          <w:szCs w:val="24"/>
        </w:rPr>
        <w:t xml:space="preserve">any </w:t>
      </w:r>
      <w:r w:rsidRPr="00CC6D16">
        <w:rPr>
          <w:rFonts w:cs="Arial"/>
          <w:color w:val="000000" w:themeColor="text1"/>
          <w:szCs w:val="24"/>
        </w:rPr>
        <w:t>new provider</w:t>
      </w:r>
      <w:r>
        <w:rPr>
          <w:rFonts w:cs="Arial"/>
          <w:color w:val="000000" w:themeColor="text1"/>
          <w:szCs w:val="24"/>
        </w:rPr>
        <w:t>(s)</w:t>
      </w:r>
      <w:r w:rsidRPr="00CC6D16">
        <w:rPr>
          <w:rFonts w:cs="Arial"/>
          <w:color w:val="000000" w:themeColor="text1"/>
          <w:szCs w:val="24"/>
        </w:rPr>
        <w:t xml:space="preserve">. GP clinical records are delivered by City Sprint on behalf of PCSE so as part of the closedown process, the closed practice is removed from the delivery locations. </w:t>
      </w:r>
      <w:r w:rsidR="000F484F">
        <w:rPr>
          <w:rFonts w:cs="Arial"/>
          <w:color w:val="000000" w:themeColor="text1"/>
          <w:szCs w:val="24"/>
        </w:rPr>
        <w:t xml:space="preserve">PCSE address for returning correspondence can be found </w:t>
      </w:r>
      <w:r w:rsidR="00B41FF8">
        <w:rPr>
          <w:rFonts w:cs="Arial"/>
          <w:color w:val="000000" w:themeColor="text1"/>
          <w:szCs w:val="24"/>
        </w:rPr>
        <w:t xml:space="preserve">on the </w:t>
      </w:r>
      <w:hyperlink r:id="rId163" w:history="1">
        <w:r w:rsidR="00B41FF8" w:rsidRPr="0014744B">
          <w:rPr>
            <w:rStyle w:val="Hyperlink"/>
            <w:rFonts w:cs="Arial"/>
            <w:szCs w:val="24"/>
          </w:rPr>
          <w:t xml:space="preserve">PCSE </w:t>
        </w:r>
        <w:r w:rsidR="0014744B" w:rsidRPr="0014744B">
          <w:rPr>
            <w:rStyle w:val="Hyperlink"/>
            <w:rFonts w:cs="Arial"/>
            <w:szCs w:val="24"/>
          </w:rPr>
          <w:t>website</w:t>
        </w:r>
      </w:hyperlink>
      <w:r w:rsidR="00B720C5">
        <w:rPr>
          <w:rFonts w:cs="Arial"/>
          <w:color w:val="000000" w:themeColor="text1"/>
          <w:szCs w:val="24"/>
        </w:rPr>
        <w:t>.</w:t>
      </w:r>
      <w:r w:rsidR="0014744B">
        <w:rPr>
          <w:rFonts w:cs="Arial"/>
          <w:color w:val="000000" w:themeColor="text1"/>
          <w:szCs w:val="24"/>
        </w:rPr>
        <w:t xml:space="preserve"> </w:t>
      </w:r>
      <w:r w:rsidR="00B41FF8">
        <w:rPr>
          <w:rFonts w:cs="Arial"/>
          <w:color w:val="000000" w:themeColor="text1"/>
          <w:szCs w:val="24"/>
        </w:rPr>
        <w:t xml:space="preserve"> </w:t>
      </w:r>
    </w:p>
    <w:p w14:paraId="39BE5379" w14:textId="6AF7541E" w:rsidR="00DD7D4A" w:rsidRPr="00CC6D16" w:rsidRDefault="00DD7D4A" w:rsidP="006C3DF5">
      <w:pPr>
        <w:pStyle w:val="ListParagraph"/>
        <w:numPr>
          <w:ilvl w:val="0"/>
          <w:numId w:val="106"/>
        </w:numPr>
        <w:spacing w:before="120" w:after="120" w:line="360" w:lineRule="auto"/>
        <w:jc w:val="both"/>
        <w:rPr>
          <w:rFonts w:cs="Arial"/>
          <w:color w:val="000000" w:themeColor="text1"/>
          <w:szCs w:val="24"/>
        </w:rPr>
      </w:pPr>
      <w:r>
        <w:rPr>
          <w:rFonts w:cs="Arial"/>
          <w:color w:val="000000" w:themeColor="text1"/>
          <w:szCs w:val="24"/>
        </w:rPr>
        <w:t>After</w:t>
      </w:r>
      <w:r w:rsidRPr="00CC6D16">
        <w:rPr>
          <w:rFonts w:cs="Arial"/>
          <w:color w:val="000000" w:themeColor="text1"/>
          <w:szCs w:val="24"/>
        </w:rPr>
        <w:t xml:space="preserve"> 28 days, mail</w:t>
      </w:r>
      <w:r w:rsidR="007601E3">
        <w:rPr>
          <w:rFonts w:cs="Arial"/>
          <w:color w:val="000000" w:themeColor="text1"/>
          <w:szCs w:val="24"/>
        </w:rPr>
        <w:t>s</w:t>
      </w:r>
      <w:r w:rsidRPr="00CC6D16">
        <w:rPr>
          <w:rFonts w:cs="Arial"/>
          <w:color w:val="000000" w:themeColor="text1"/>
          <w:szCs w:val="24"/>
        </w:rPr>
        <w:t xml:space="preserve"> </w:t>
      </w:r>
      <w:r w:rsidR="007601E3">
        <w:rPr>
          <w:rFonts w:cs="Arial"/>
          <w:color w:val="000000" w:themeColor="text1"/>
          <w:szCs w:val="24"/>
        </w:rPr>
        <w:t>are</w:t>
      </w:r>
      <w:r>
        <w:rPr>
          <w:rFonts w:cs="Arial"/>
          <w:color w:val="000000" w:themeColor="text1"/>
          <w:szCs w:val="24"/>
        </w:rPr>
        <w:t xml:space="preserve"> </w:t>
      </w:r>
      <w:r w:rsidRPr="00CC6D16">
        <w:rPr>
          <w:rFonts w:cs="Arial"/>
          <w:color w:val="000000" w:themeColor="text1"/>
          <w:szCs w:val="24"/>
        </w:rPr>
        <w:t>redirect</w:t>
      </w:r>
      <w:r>
        <w:rPr>
          <w:rFonts w:cs="Arial"/>
          <w:color w:val="000000" w:themeColor="text1"/>
          <w:szCs w:val="24"/>
        </w:rPr>
        <w:t>ed</w:t>
      </w:r>
      <w:r w:rsidRPr="00CC6D16">
        <w:rPr>
          <w:rFonts w:cs="Arial"/>
          <w:color w:val="000000" w:themeColor="text1"/>
          <w:szCs w:val="24"/>
        </w:rPr>
        <w:t xml:space="preserve"> to </w:t>
      </w:r>
      <w:r>
        <w:rPr>
          <w:rFonts w:cs="Arial"/>
          <w:color w:val="000000" w:themeColor="text1"/>
          <w:szCs w:val="24"/>
        </w:rPr>
        <w:t>the C</w:t>
      </w:r>
      <w:r w:rsidRPr="00CC6D16">
        <w:rPr>
          <w:rFonts w:cs="Arial"/>
          <w:color w:val="000000" w:themeColor="text1"/>
          <w:szCs w:val="24"/>
        </w:rPr>
        <w:t>ommissioner</w:t>
      </w:r>
      <w:r w:rsidR="007601E3">
        <w:rPr>
          <w:rFonts w:cs="Arial"/>
          <w:color w:val="000000" w:themeColor="text1"/>
          <w:szCs w:val="24"/>
        </w:rPr>
        <w:t>,</w:t>
      </w:r>
      <w:r w:rsidRPr="00CC6D16">
        <w:rPr>
          <w:rFonts w:cs="Arial"/>
          <w:color w:val="000000" w:themeColor="text1"/>
          <w:szCs w:val="24"/>
        </w:rPr>
        <w:t xml:space="preserve"> </w:t>
      </w:r>
      <w:r>
        <w:rPr>
          <w:rFonts w:cs="Arial"/>
          <w:color w:val="000000" w:themeColor="text1"/>
          <w:szCs w:val="24"/>
        </w:rPr>
        <w:t xml:space="preserve">but it is not forwarded to the new provider(s). The Commissioner will </w:t>
      </w:r>
      <w:r w:rsidRPr="00CC6D16">
        <w:rPr>
          <w:rFonts w:cs="Arial"/>
          <w:color w:val="000000" w:themeColor="text1"/>
          <w:szCs w:val="24"/>
        </w:rPr>
        <w:t xml:space="preserve">return clinical correspondence to </w:t>
      </w:r>
      <w:r>
        <w:rPr>
          <w:rFonts w:cs="Arial"/>
          <w:color w:val="000000" w:themeColor="text1"/>
          <w:szCs w:val="24"/>
        </w:rPr>
        <w:t>the sender</w:t>
      </w:r>
      <w:r w:rsidRPr="00CC6D16">
        <w:rPr>
          <w:rFonts w:cs="Arial"/>
          <w:color w:val="000000" w:themeColor="text1"/>
          <w:szCs w:val="24"/>
        </w:rPr>
        <w:t xml:space="preserve"> (hospitals etc)</w:t>
      </w:r>
      <w:r>
        <w:rPr>
          <w:rFonts w:cs="Arial"/>
          <w:color w:val="000000" w:themeColor="text1"/>
          <w:szCs w:val="24"/>
        </w:rPr>
        <w:t xml:space="preserve"> and should inform the sender of the new provider(s). The sender </w:t>
      </w:r>
      <w:r w:rsidR="00C54675">
        <w:rPr>
          <w:rFonts w:cs="Arial"/>
          <w:color w:val="000000" w:themeColor="text1"/>
          <w:szCs w:val="24"/>
        </w:rPr>
        <w:t>should</w:t>
      </w:r>
      <w:r w:rsidR="00C54675" w:rsidRPr="00CC6D16">
        <w:rPr>
          <w:rFonts w:cs="Arial"/>
          <w:color w:val="000000" w:themeColor="text1"/>
          <w:szCs w:val="24"/>
        </w:rPr>
        <w:t xml:space="preserve"> update</w:t>
      </w:r>
      <w:r w:rsidRPr="00CC6D16">
        <w:rPr>
          <w:rFonts w:cs="Arial"/>
          <w:color w:val="000000" w:themeColor="text1"/>
          <w:szCs w:val="24"/>
        </w:rPr>
        <w:t xml:space="preserve"> their records accordingly to prevent reoccurrence</w:t>
      </w:r>
      <w:r w:rsidRPr="00D3552E">
        <w:rPr>
          <w:rFonts w:cs="Arial"/>
          <w:color w:val="000000" w:themeColor="text1"/>
          <w:szCs w:val="24"/>
        </w:rPr>
        <w:t>.</w:t>
      </w:r>
      <w:r w:rsidRPr="00CC6D16" w:rsidDel="00D3552E">
        <w:rPr>
          <w:rFonts w:cs="Arial"/>
          <w:color w:val="000000" w:themeColor="text1"/>
          <w:szCs w:val="24"/>
        </w:rPr>
        <w:t xml:space="preserve"> </w:t>
      </w:r>
    </w:p>
    <w:p w14:paraId="55952D36" w14:textId="73D5CB6A" w:rsidR="00DD7D4A" w:rsidRDefault="00DD7D4A" w:rsidP="006C3DF5">
      <w:pPr>
        <w:pStyle w:val="ListParagraph"/>
        <w:numPr>
          <w:ilvl w:val="0"/>
          <w:numId w:val="106"/>
        </w:numPr>
        <w:spacing w:before="120" w:after="120" w:line="360" w:lineRule="auto"/>
        <w:jc w:val="both"/>
        <w:rPr>
          <w:rFonts w:cs="Arial"/>
          <w:color w:val="000000" w:themeColor="text1"/>
          <w:szCs w:val="24"/>
        </w:rPr>
      </w:pPr>
      <w:r w:rsidRPr="00B746A7">
        <w:rPr>
          <w:rFonts w:cs="Arial"/>
          <w:color w:val="000000" w:themeColor="text1"/>
          <w:szCs w:val="24"/>
        </w:rPr>
        <w:t>Ensure call forwarding arrangements are in place or appropriate answerphone message</w:t>
      </w:r>
      <w:r w:rsidR="007601E3">
        <w:rPr>
          <w:rFonts w:cs="Arial"/>
          <w:color w:val="000000" w:themeColor="text1"/>
          <w:szCs w:val="24"/>
        </w:rPr>
        <w:t>s</w:t>
      </w:r>
      <w:r w:rsidRPr="00B746A7">
        <w:rPr>
          <w:rFonts w:cs="Arial"/>
          <w:color w:val="000000" w:themeColor="text1"/>
          <w:szCs w:val="24"/>
        </w:rPr>
        <w:t xml:space="preserve"> are established for the closing practice to alert patients</w:t>
      </w:r>
      <w:r>
        <w:rPr>
          <w:rFonts w:cs="Arial"/>
          <w:color w:val="000000" w:themeColor="text1"/>
          <w:szCs w:val="24"/>
        </w:rPr>
        <w:t xml:space="preserve"> and i</w:t>
      </w:r>
      <w:r w:rsidRPr="0071225A">
        <w:rPr>
          <w:rFonts w:cs="Arial"/>
          <w:color w:val="000000" w:themeColor="text1"/>
          <w:szCs w:val="24"/>
        </w:rPr>
        <w:t>nform 111, OOH services.</w:t>
      </w:r>
    </w:p>
    <w:p w14:paraId="56F44BCE" w14:textId="36FCCB4A" w:rsidR="00DD7D4A" w:rsidRDefault="00DD7D4A" w:rsidP="006C3DF5">
      <w:pPr>
        <w:pStyle w:val="ListParagraph"/>
        <w:numPr>
          <w:ilvl w:val="0"/>
          <w:numId w:val="106"/>
        </w:numPr>
        <w:spacing w:before="120" w:after="120" w:line="360" w:lineRule="auto"/>
        <w:jc w:val="both"/>
        <w:rPr>
          <w:rFonts w:cs="Arial"/>
          <w:color w:val="000000" w:themeColor="text1"/>
          <w:szCs w:val="24"/>
        </w:rPr>
      </w:pPr>
      <w:r w:rsidRPr="003C6987">
        <w:rPr>
          <w:rFonts w:cs="Arial"/>
          <w:color w:val="000000" w:themeColor="text1"/>
          <w:szCs w:val="24"/>
        </w:rPr>
        <w:t xml:space="preserve">As part of the practice closedown, the Commissioner </w:t>
      </w:r>
      <w:r>
        <w:rPr>
          <w:rFonts w:cs="Arial"/>
          <w:color w:val="000000" w:themeColor="text1"/>
          <w:szCs w:val="24"/>
        </w:rPr>
        <w:t xml:space="preserve">will </w:t>
      </w:r>
      <w:r w:rsidRPr="003C6987">
        <w:rPr>
          <w:rFonts w:cs="Arial"/>
          <w:color w:val="000000" w:themeColor="text1"/>
          <w:szCs w:val="24"/>
        </w:rPr>
        <w:t xml:space="preserve">ensure </w:t>
      </w:r>
      <w:r w:rsidR="007601E3">
        <w:rPr>
          <w:rFonts w:cs="Arial"/>
          <w:color w:val="000000" w:themeColor="text1"/>
          <w:szCs w:val="24"/>
        </w:rPr>
        <w:t xml:space="preserve">that </w:t>
      </w:r>
      <w:r w:rsidRPr="003C6987">
        <w:rPr>
          <w:rFonts w:cs="Arial"/>
          <w:color w:val="000000" w:themeColor="text1"/>
          <w:szCs w:val="24"/>
        </w:rPr>
        <w:t>legacy IT Hardware is removed from the practice</w:t>
      </w:r>
      <w:r w:rsidR="000B23C6">
        <w:rPr>
          <w:rFonts w:cs="Arial"/>
          <w:color w:val="000000" w:themeColor="text1"/>
          <w:szCs w:val="24"/>
        </w:rPr>
        <w:t xml:space="preserve">, </w:t>
      </w:r>
      <w:r w:rsidR="0022696D" w:rsidRPr="0022696D">
        <w:rPr>
          <w:rFonts w:cs="Arial"/>
          <w:color w:val="000000" w:themeColor="text1"/>
          <w:szCs w:val="24"/>
        </w:rPr>
        <w:t xml:space="preserve">Health </w:t>
      </w:r>
      <w:r w:rsidR="0022696D" w:rsidRPr="00E3627A">
        <w:rPr>
          <w:rFonts w:cs="Arial"/>
          <w:color w:val="000000" w:themeColor="text1"/>
          <w:szCs w:val="24"/>
        </w:rPr>
        <w:t xml:space="preserve">and Social Care Network (HSCN) </w:t>
      </w:r>
      <w:r w:rsidR="006F65AC" w:rsidRPr="0014744B">
        <w:rPr>
          <w:rFonts w:cs="Arial"/>
          <w:color w:val="000000" w:themeColor="text1"/>
          <w:szCs w:val="24"/>
        </w:rPr>
        <w:t xml:space="preserve">connections are terminated </w:t>
      </w:r>
      <w:r w:rsidR="000B23C6" w:rsidRPr="0014744B">
        <w:rPr>
          <w:rFonts w:cs="Arial"/>
          <w:color w:val="000000" w:themeColor="text1"/>
          <w:szCs w:val="24"/>
        </w:rPr>
        <w:t>and clinical system call-off agreements ended</w:t>
      </w:r>
      <w:r w:rsidRPr="00E3627A">
        <w:rPr>
          <w:color w:val="000000" w:themeColor="text1"/>
        </w:rPr>
        <w:t xml:space="preserve"> </w:t>
      </w:r>
      <w:r w:rsidRPr="00E3627A">
        <w:rPr>
          <w:rFonts w:cs="Arial"/>
          <w:color w:val="000000" w:themeColor="text1"/>
          <w:szCs w:val="24"/>
        </w:rPr>
        <w:t>as part of the GPIT System de-commissioning activities</w:t>
      </w:r>
      <w:r w:rsidR="009A5586" w:rsidRPr="00E3627A">
        <w:rPr>
          <w:rFonts w:cs="Arial"/>
          <w:color w:val="000000" w:themeColor="text1"/>
          <w:szCs w:val="24"/>
        </w:rPr>
        <w:t>.</w:t>
      </w:r>
      <w:r w:rsidR="009A5586">
        <w:rPr>
          <w:rFonts w:cs="Arial"/>
          <w:color w:val="000000" w:themeColor="text1"/>
          <w:szCs w:val="24"/>
        </w:rPr>
        <w:t xml:space="preserve"> </w:t>
      </w:r>
    </w:p>
    <w:p w14:paraId="0DD9D5C6" w14:textId="33B66299" w:rsidR="00DD7D4A" w:rsidRPr="00DD7D4A" w:rsidRDefault="00DD7D4A" w:rsidP="006C3DF5">
      <w:pPr>
        <w:pStyle w:val="ListParagraph"/>
        <w:numPr>
          <w:ilvl w:val="0"/>
          <w:numId w:val="106"/>
        </w:numPr>
        <w:spacing w:before="120" w:after="120" w:line="360" w:lineRule="auto"/>
        <w:jc w:val="both"/>
        <w:rPr>
          <w:rFonts w:cs="Arial"/>
          <w:color w:val="000000" w:themeColor="text1"/>
          <w:szCs w:val="24"/>
        </w:rPr>
      </w:pPr>
      <w:r w:rsidRPr="00DD7D4A">
        <w:rPr>
          <w:rFonts w:cs="Arial"/>
          <w:color w:val="000000" w:themeColor="text1"/>
          <w:szCs w:val="24"/>
        </w:rPr>
        <w:t>Provide guidance to review, remove or copy files/folders that may be required by the outgoing owners</w:t>
      </w:r>
    </w:p>
    <w:p w14:paraId="78EABB9B" w14:textId="77777777" w:rsidR="00DD7D4A" w:rsidRPr="0071225A" w:rsidRDefault="00DD7D4A" w:rsidP="00DD7D4A">
      <w:pPr>
        <w:pStyle w:val="ListParagraph"/>
        <w:spacing w:before="120" w:after="120" w:line="360" w:lineRule="auto"/>
        <w:ind w:left="1440"/>
        <w:jc w:val="both"/>
        <w:rPr>
          <w:rFonts w:cs="Arial"/>
          <w:color w:val="000000" w:themeColor="text1"/>
          <w:szCs w:val="24"/>
        </w:rPr>
      </w:pPr>
    </w:p>
    <w:p w14:paraId="1A2FED88" w14:textId="2D62EE92" w:rsidR="00DD7D4A" w:rsidRPr="006E22ED" w:rsidRDefault="00DD7D4A" w:rsidP="002F2E02">
      <w:pPr>
        <w:pStyle w:val="Heading3"/>
        <w:rPr>
          <w:rFonts w:cs="Arial"/>
          <w:szCs w:val="24"/>
        </w:rPr>
      </w:pPr>
      <w:r w:rsidRPr="00DD7D4A">
        <w:rPr>
          <w:b/>
        </w:rPr>
        <w:t>GP Practice (during any period where the practice is still open):</w:t>
      </w:r>
    </w:p>
    <w:p w14:paraId="3BB830A8" w14:textId="0E61B691" w:rsidR="00DD7D4A" w:rsidRPr="00CC6D16" w:rsidRDefault="00DD7D4A" w:rsidP="00DD7D4A">
      <w:pPr>
        <w:pStyle w:val="Heading4"/>
      </w:pPr>
      <w:r w:rsidRPr="00CC6D16">
        <w:t xml:space="preserve">The </w:t>
      </w:r>
      <w:r>
        <w:t xml:space="preserve">Commissioner will ask the </w:t>
      </w:r>
      <w:r w:rsidRPr="00CC6D16">
        <w:t>GP Practice</w:t>
      </w:r>
      <w:r>
        <w:t xml:space="preserve"> to:</w:t>
      </w:r>
    </w:p>
    <w:p w14:paraId="242F63FE" w14:textId="77777777" w:rsidR="00DD7D4A" w:rsidRPr="00CC6D16" w:rsidRDefault="00DD7D4A" w:rsidP="00DD7D4A">
      <w:pPr>
        <w:pStyle w:val="ListParagraph"/>
        <w:spacing w:after="200" w:line="360" w:lineRule="auto"/>
        <w:jc w:val="both"/>
        <w:rPr>
          <w:rFonts w:cs="Arial"/>
          <w:szCs w:val="24"/>
        </w:rPr>
      </w:pPr>
    </w:p>
    <w:p w14:paraId="491BBB46" w14:textId="77777777" w:rsidR="00DD7D4A" w:rsidRPr="00CC6D16" w:rsidRDefault="00DD7D4A" w:rsidP="006C3DF5">
      <w:pPr>
        <w:pStyle w:val="ListParagraph"/>
        <w:numPr>
          <w:ilvl w:val="0"/>
          <w:numId w:val="106"/>
        </w:numPr>
        <w:spacing w:before="120" w:after="120" w:line="360" w:lineRule="auto"/>
        <w:jc w:val="both"/>
        <w:rPr>
          <w:rFonts w:cs="Arial"/>
          <w:color w:val="000000" w:themeColor="text1"/>
          <w:szCs w:val="24"/>
        </w:rPr>
      </w:pPr>
      <w:r w:rsidRPr="00CC6D16">
        <w:rPr>
          <w:rFonts w:cs="Arial"/>
          <w:color w:val="000000" w:themeColor="text1"/>
          <w:szCs w:val="24"/>
        </w:rPr>
        <w:t>Assist with ensuring appropriate interim measures are put in place to keep people safe after the identification of concerns.</w:t>
      </w:r>
    </w:p>
    <w:p w14:paraId="47EC4884" w14:textId="488039E4" w:rsidR="00DD7D4A" w:rsidRPr="00CC6D16" w:rsidRDefault="00DD7D4A" w:rsidP="006C3DF5">
      <w:pPr>
        <w:pStyle w:val="ListParagraph"/>
        <w:numPr>
          <w:ilvl w:val="0"/>
          <w:numId w:val="106"/>
        </w:numPr>
        <w:spacing w:before="120" w:after="120" w:line="360" w:lineRule="auto"/>
        <w:jc w:val="both"/>
        <w:rPr>
          <w:rFonts w:cs="Arial"/>
          <w:color w:val="000000" w:themeColor="text1"/>
          <w:szCs w:val="24"/>
        </w:rPr>
      </w:pPr>
      <w:r w:rsidRPr="00CC6D16">
        <w:rPr>
          <w:rFonts w:cs="Arial"/>
          <w:color w:val="000000" w:themeColor="text1"/>
          <w:szCs w:val="24"/>
        </w:rPr>
        <w:t xml:space="preserve">Assist the </w:t>
      </w:r>
      <w:r w:rsidR="009F1EC8">
        <w:rPr>
          <w:rFonts w:cs="Arial"/>
          <w:color w:val="000000" w:themeColor="text1"/>
          <w:szCs w:val="24"/>
        </w:rPr>
        <w:t xml:space="preserve">Commissioner </w:t>
      </w:r>
      <w:r w:rsidR="009F1EC8" w:rsidRPr="00CC6D16">
        <w:rPr>
          <w:rFonts w:cs="Arial"/>
          <w:color w:val="000000" w:themeColor="text1"/>
          <w:szCs w:val="24"/>
        </w:rPr>
        <w:t>with</w:t>
      </w:r>
      <w:r w:rsidRPr="00CC6D16">
        <w:rPr>
          <w:rFonts w:cs="Arial"/>
          <w:color w:val="000000" w:themeColor="text1"/>
          <w:szCs w:val="24"/>
        </w:rPr>
        <w:t xml:space="preserve"> the assessment of</w:t>
      </w:r>
      <w:r>
        <w:rPr>
          <w:rFonts w:cs="Arial"/>
          <w:color w:val="000000" w:themeColor="text1"/>
          <w:szCs w:val="24"/>
        </w:rPr>
        <w:t>,</w:t>
      </w:r>
      <w:r w:rsidRPr="00CC6D16">
        <w:rPr>
          <w:rFonts w:cs="Arial"/>
          <w:color w:val="000000" w:themeColor="text1"/>
          <w:szCs w:val="24"/>
        </w:rPr>
        <w:t xml:space="preserve"> and communication</w:t>
      </w:r>
      <w:r>
        <w:rPr>
          <w:rFonts w:cs="Arial"/>
          <w:color w:val="000000" w:themeColor="text1"/>
          <w:szCs w:val="24"/>
        </w:rPr>
        <w:t>,</w:t>
      </w:r>
      <w:r w:rsidRPr="00CC6D16">
        <w:rPr>
          <w:rFonts w:cs="Arial"/>
          <w:color w:val="000000" w:themeColor="text1"/>
          <w:szCs w:val="24"/>
        </w:rPr>
        <w:t xml:space="preserve"> with residents and their families to ascertain their needs and preferences</w:t>
      </w:r>
      <w:r>
        <w:rPr>
          <w:rFonts w:cs="Arial"/>
          <w:color w:val="000000" w:themeColor="text1"/>
          <w:szCs w:val="24"/>
        </w:rPr>
        <w:t>.</w:t>
      </w:r>
    </w:p>
    <w:p w14:paraId="4EA6D2DC" w14:textId="476731A1" w:rsidR="00DD7D4A" w:rsidRDefault="00DD7D4A" w:rsidP="006C3DF5">
      <w:pPr>
        <w:pStyle w:val="ListParagraph"/>
        <w:numPr>
          <w:ilvl w:val="0"/>
          <w:numId w:val="106"/>
        </w:numPr>
        <w:spacing w:before="120" w:after="120" w:line="360" w:lineRule="auto"/>
        <w:jc w:val="both"/>
        <w:rPr>
          <w:rFonts w:cs="Arial"/>
          <w:color w:val="000000" w:themeColor="text1"/>
          <w:szCs w:val="24"/>
        </w:rPr>
      </w:pPr>
      <w:r w:rsidRPr="00CC6D16">
        <w:rPr>
          <w:rFonts w:cs="Arial"/>
          <w:color w:val="000000" w:themeColor="text1"/>
          <w:szCs w:val="24"/>
        </w:rPr>
        <w:t xml:space="preserve">Assist the </w:t>
      </w:r>
      <w:r w:rsidR="009F1EC8">
        <w:rPr>
          <w:rFonts w:cs="Arial"/>
          <w:color w:val="000000" w:themeColor="text1"/>
          <w:szCs w:val="24"/>
        </w:rPr>
        <w:t xml:space="preserve">Commissioner </w:t>
      </w:r>
      <w:r w:rsidR="009F1EC8" w:rsidRPr="00CC6D16">
        <w:rPr>
          <w:rFonts w:cs="Arial"/>
          <w:color w:val="000000" w:themeColor="text1"/>
          <w:szCs w:val="24"/>
        </w:rPr>
        <w:t>in</w:t>
      </w:r>
      <w:r>
        <w:rPr>
          <w:rFonts w:cs="Arial"/>
          <w:color w:val="000000" w:themeColor="text1"/>
          <w:szCs w:val="24"/>
        </w:rPr>
        <w:t xml:space="preserve"> any patient engagement</w:t>
      </w:r>
      <w:r w:rsidRPr="00CC6D16">
        <w:rPr>
          <w:rFonts w:cs="Arial"/>
          <w:color w:val="000000" w:themeColor="text1"/>
          <w:szCs w:val="24"/>
        </w:rPr>
        <w:t xml:space="preserve">, in particular those people </w:t>
      </w:r>
      <w:r>
        <w:rPr>
          <w:rFonts w:cs="Arial"/>
          <w:color w:val="000000" w:themeColor="text1"/>
          <w:szCs w:val="24"/>
        </w:rPr>
        <w:t>accessing services provided at or by the GP practice</w:t>
      </w:r>
      <w:r w:rsidRPr="00CC6D16">
        <w:rPr>
          <w:rFonts w:cs="Arial"/>
          <w:color w:val="000000" w:themeColor="text1"/>
          <w:szCs w:val="24"/>
        </w:rPr>
        <w:t xml:space="preserve"> and their families</w:t>
      </w:r>
      <w:r>
        <w:rPr>
          <w:rFonts w:cs="Arial"/>
          <w:color w:val="000000" w:themeColor="text1"/>
          <w:szCs w:val="24"/>
        </w:rPr>
        <w:t>.</w:t>
      </w:r>
    </w:p>
    <w:p w14:paraId="70F412C4" w14:textId="77777777" w:rsidR="00DD7D4A" w:rsidRDefault="00DD7D4A" w:rsidP="006C3DF5">
      <w:pPr>
        <w:pStyle w:val="ListParagraph"/>
        <w:numPr>
          <w:ilvl w:val="0"/>
          <w:numId w:val="106"/>
        </w:numPr>
        <w:spacing w:before="120" w:after="120" w:line="360" w:lineRule="auto"/>
        <w:jc w:val="both"/>
        <w:rPr>
          <w:rFonts w:cs="Arial"/>
          <w:color w:val="000000" w:themeColor="text1"/>
          <w:szCs w:val="24"/>
        </w:rPr>
      </w:pPr>
      <w:r>
        <w:rPr>
          <w:rFonts w:cs="Arial"/>
          <w:color w:val="000000" w:themeColor="text1"/>
          <w:szCs w:val="24"/>
        </w:rPr>
        <w:t>As part of the practice closedown, work with the Commissioner to ensure legacy IT Hardware is removed from the practice as part of the GPIT System de-commissioning activities</w:t>
      </w:r>
    </w:p>
    <w:p w14:paraId="5E80E907" w14:textId="5676FA10" w:rsidR="00DD7D4A" w:rsidRPr="00CC6D16" w:rsidRDefault="00DD7D4A" w:rsidP="006C3DF5">
      <w:pPr>
        <w:pStyle w:val="ListParagraph"/>
        <w:numPr>
          <w:ilvl w:val="0"/>
          <w:numId w:val="106"/>
        </w:numPr>
        <w:spacing w:before="120" w:after="120" w:line="360" w:lineRule="auto"/>
        <w:jc w:val="both"/>
        <w:rPr>
          <w:rFonts w:cs="Arial"/>
          <w:color w:val="000000" w:themeColor="text1"/>
          <w:szCs w:val="24"/>
        </w:rPr>
      </w:pPr>
      <w:r>
        <w:rPr>
          <w:rFonts w:cs="Arial"/>
          <w:color w:val="000000" w:themeColor="text1"/>
          <w:szCs w:val="24"/>
        </w:rPr>
        <w:t>Review and act on a</w:t>
      </w:r>
      <w:r w:rsidR="00FD2637">
        <w:rPr>
          <w:rFonts w:cs="Arial"/>
          <w:color w:val="000000" w:themeColor="text1"/>
          <w:szCs w:val="24"/>
        </w:rPr>
        <w:t>n</w:t>
      </w:r>
      <w:r>
        <w:rPr>
          <w:rFonts w:cs="Arial"/>
          <w:color w:val="000000" w:themeColor="text1"/>
          <w:szCs w:val="24"/>
        </w:rPr>
        <w:t>y guidance provided by the Commissioner in relation to the closure.</w:t>
      </w:r>
    </w:p>
    <w:p w14:paraId="1278AD1A" w14:textId="5CE7B81E" w:rsidR="00DD7D4A" w:rsidRDefault="00DD7D4A" w:rsidP="006C3DF5">
      <w:pPr>
        <w:pStyle w:val="ListParagraph"/>
        <w:numPr>
          <w:ilvl w:val="0"/>
          <w:numId w:val="106"/>
        </w:numPr>
        <w:spacing w:before="120" w:after="120" w:line="360" w:lineRule="auto"/>
        <w:jc w:val="both"/>
        <w:rPr>
          <w:rFonts w:cs="Arial"/>
          <w:color w:val="000000" w:themeColor="text1"/>
          <w:szCs w:val="24"/>
        </w:rPr>
      </w:pPr>
      <w:r>
        <w:rPr>
          <w:rFonts w:cs="Arial"/>
          <w:color w:val="000000" w:themeColor="text1"/>
          <w:szCs w:val="24"/>
        </w:rPr>
        <w:t>Record, collate and remove prescription pads. This includes both handwritten and computer scripts.</w:t>
      </w:r>
    </w:p>
    <w:p w14:paraId="3A958614" w14:textId="4FCF1A06" w:rsidR="00DD7D4A" w:rsidRDefault="00DD7D4A" w:rsidP="006C3DF5">
      <w:pPr>
        <w:pStyle w:val="ListParagraph"/>
        <w:numPr>
          <w:ilvl w:val="0"/>
          <w:numId w:val="106"/>
        </w:numPr>
        <w:spacing w:before="120" w:after="120" w:line="360" w:lineRule="auto"/>
        <w:jc w:val="both"/>
        <w:rPr>
          <w:rFonts w:cs="Arial"/>
          <w:color w:val="000000" w:themeColor="text1"/>
          <w:szCs w:val="24"/>
        </w:rPr>
      </w:pPr>
      <w:r>
        <w:rPr>
          <w:rFonts w:cs="Arial"/>
          <w:color w:val="000000" w:themeColor="text1"/>
          <w:szCs w:val="24"/>
        </w:rPr>
        <w:t>Ensure all drugs/medicines in the practice are noted and handed in</w:t>
      </w:r>
      <w:r w:rsidR="00FC4AFB">
        <w:rPr>
          <w:rFonts w:cs="Arial"/>
          <w:color w:val="000000" w:themeColor="text1"/>
          <w:szCs w:val="24"/>
        </w:rPr>
        <w:t xml:space="preserve"> </w:t>
      </w:r>
      <w:r>
        <w:rPr>
          <w:rFonts w:cs="Arial"/>
          <w:color w:val="000000" w:themeColor="text1"/>
          <w:szCs w:val="24"/>
        </w:rPr>
        <w:t>to the local pharmacy and signed for.</w:t>
      </w:r>
    </w:p>
    <w:p w14:paraId="1545799F" w14:textId="77777777" w:rsidR="00DD7D4A" w:rsidRPr="00E61F9F" w:rsidRDefault="00DD7D4A" w:rsidP="00DD7D4A">
      <w:pPr>
        <w:pStyle w:val="ListParagraph"/>
        <w:spacing w:before="120" w:after="120" w:line="276" w:lineRule="auto"/>
        <w:ind w:left="1440"/>
        <w:jc w:val="both"/>
        <w:rPr>
          <w:rFonts w:cs="Arial"/>
          <w:color w:val="000000" w:themeColor="text1"/>
          <w:szCs w:val="24"/>
        </w:rPr>
      </w:pPr>
    </w:p>
    <w:p w14:paraId="25577FC3" w14:textId="77777777" w:rsidR="00DD7D4A" w:rsidRPr="00DD7D4A" w:rsidRDefault="00DD7D4A" w:rsidP="00DD7D4A">
      <w:pPr>
        <w:pStyle w:val="Heading3"/>
        <w:rPr>
          <w:b/>
        </w:rPr>
      </w:pPr>
      <w:r w:rsidRPr="00DD7D4A">
        <w:rPr>
          <w:b/>
        </w:rPr>
        <w:t>Primary Care Support England (PCSE)</w:t>
      </w:r>
    </w:p>
    <w:p w14:paraId="28CD1BC1" w14:textId="77777777" w:rsidR="00DD7D4A" w:rsidRPr="00CC6D16" w:rsidRDefault="00DD7D4A" w:rsidP="00DD7D4A">
      <w:pPr>
        <w:pStyle w:val="ListParagraph"/>
        <w:spacing w:after="200" w:line="360" w:lineRule="auto"/>
        <w:jc w:val="both"/>
        <w:rPr>
          <w:rFonts w:cs="Arial"/>
          <w:szCs w:val="24"/>
        </w:rPr>
      </w:pPr>
    </w:p>
    <w:p w14:paraId="5FAE92A1" w14:textId="5377FB0E" w:rsidR="00DD7D4A" w:rsidRPr="00CC6D16" w:rsidRDefault="00DD7D4A" w:rsidP="000F484F">
      <w:pPr>
        <w:pStyle w:val="Heading4"/>
      </w:pPr>
      <w:r w:rsidRPr="00CC6D16">
        <w:t>PCSE will</w:t>
      </w:r>
      <w:r>
        <w:t>:</w:t>
      </w:r>
      <w:r w:rsidRPr="00CC6D16">
        <w:t xml:space="preserve"> </w:t>
      </w:r>
      <w:r w:rsidR="000F484F">
        <w:t xml:space="preserve">(see also </w:t>
      </w:r>
      <w:hyperlink r:id="rId164" w:history="1">
        <w:r w:rsidR="000F484F" w:rsidRPr="00133AE8">
          <w:rPr>
            <w:rStyle w:val="Hyperlink"/>
          </w:rPr>
          <w:t>https://pcse.england.nhs.uk/services/practice-mergers-and-closures-notifications/</w:t>
        </w:r>
      </w:hyperlink>
      <w:r w:rsidR="000F484F">
        <w:t xml:space="preserve"> </w:t>
      </w:r>
    </w:p>
    <w:p w14:paraId="473C0A52" w14:textId="77777777" w:rsidR="00DD7D4A" w:rsidRPr="00CC6D16" w:rsidRDefault="00DD7D4A" w:rsidP="00DD7D4A">
      <w:pPr>
        <w:pStyle w:val="ListParagraph"/>
        <w:spacing w:before="120" w:after="120" w:line="360" w:lineRule="auto"/>
        <w:jc w:val="both"/>
        <w:rPr>
          <w:rFonts w:cs="Arial"/>
          <w:b/>
          <w:color w:val="000000" w:themeColor="text1"/>
          <w:szCs w:val="24"/>
        </w:rPr>
      </w:pPr>
    </w:p>
    <w:p w14:paraId="6564D1D7" w14:textId="0A013F89" w:rsidR="00DD7D4A" w:rsidRDefault="00DD7D4A" w:rsidP="00DD7D4A">
      <w:pPr>
        <w:pStyle w:val="ListParagraph"/>
        <w:spacing w:before="120" w:after="120" w:line="360" w:lineRule="auto"/>
        <w:ind w:left="1440"/>
        <w:jc w:val="both"/>
        <w:rPr>
          <w:rFonts w:cs="Arial"/>
          <w:color w:val="000000" w:themeColor="text1"/>
          <w:szCs w:val="24"/>
        </w:rPr>
      </w:pPr>
      <w:r w:rsidRPr="00E61F9F">
        <w:rPr>
          <w:rFonts w:cs="Arial"/>
          <w:color w:val="000000" w:themeColor="text1"/>
          <w:szCs w:val="24"/>
        </w:rPr>
        <w:t>As part of any practice close down, make a site visit to remove, store and forward patient records to a new provider(s).  Records are held in archive until the patient re-registers or the retention period expires and they are securely destroyed.</w:t>
      </w:r>
    </w:p>
    <w:p w14:paraId="67D30E14" w14:textId="77777777" w:rsidR="00DD7D4A" w:rsidRPr="00CC6D16" w:rsidRDefault="00DD7D4A" w:rsidP="00DD7D4A">
      <w:pPr>
        <w:pStyle w:val="ListParagraph"/>
        <w:spacing w:before="120" w:after="120" w:line="360" w:lineRule="auto"/>
        <w:ind w:left="1440"/>
        <w:jc w:val="both"/>
        <w:rPr>
          <w:rFonts w:cs="Arial"/>
          <w:color w:val="000000" w:themeColor="text1"/>
          <w:szCs w:val="24"/>
        </w:rPr>
      </w:pPr>
    </w:p>
    <w:p w14:paraId="26D00177" w14:textId="040241A1" w:rsidR="00DD7D4A" w:rsidRPr="00DD7D4A" w:rsidRDefault="00DD7D4A" w:rsidP="00DD7D4A">
      <w:pPr>
        <w:pStyle w:val="Heading3"/>
        <w:rPr>
          <w:b/>
        </w:rPr>
      </w:pPr>
      <w:r w:rsidRPr="00DD7D4A">
        <w:rPr>
          <w:b/>
        </w:rPr>
        <w:t>Care Quality Commission</w:t>
      </w:r>
      <w:r>
        <w:rPr>
          <w:b/>
        </w:rPr>
        <w:t xml:space="preserve"> (CQC)</w:t>
      </w:r>
    </w:p>
    <w:p w14:paraId="14D4F0CC" w14:textId="77777777" w:rsidR="00DD7D4A" w:rsidRPr="00CC6D16" w:rsidRDefault="00DD7D4A" w:rsidP="00DD7D4A">
      <w:pPr>
        <w:pStyle w:val="ListParagraph"/>
        <w:spacing w:before="120" w:after="120" w:line="360" w:lineRule="auto"/>
        <w:jc w:val="both"/>
        <w:rPr>
          <w:rFonts w:cs="Arial"/>
          <w:b/>
          <w:color w:val="000000" w:themeColor="text1"/>
          <w:szCs w:val="24"/>
        </w:rPr>
      </w:pPr>
    </w:p>
    <w:p w14:paraId="48268F49" w14:textId="77777777" w:rsidR="00DD7D4A" w:rsidRPr="00CC6D16" w:rsidRDefault="00DD7D4A" w:rsidP="00DD7D4A">
      <w:pPr>
        <w:spacing w:after="200" w:line="360" w:lineRule="auto"/>
        <w:ind w:firstLine="720"/>
        <w:jc w:val="both"/>
        <w:rPr>
          <w:rFonts w:cs="Arial"/>
          <w:szCs w:val="24"/>
        </w:rPr>
      </w:pPr>
      <w:r w:rsidRPr="00B720C5">
        <w:rPr>
          <w:rFonts w:cs="Arial"/>
          <w:b/>
          <w:bCs w:val="0"/>
          <w:szCs w:val="24"/>
        </w:rPr>
        <w:t>3.4</w:t>
      </w:r>
      <w:r w:rsidRPr="00CC6D16">
        <w:rPr>
          <w:rFonts w:cs="Arial"/>
          <w:szCs w:val="24"/>
        </w:rPr>
        <w:t>. CQC will lead in the following actions</w:t>
      </w:r>
      <w:r>
        <w:rPr>
          <w:rFonts w:cs="Arial"/>
          <w:szCs w:val="24"/>
        </w:rPr>
        <w:t>:</w:t>
      </w:r>
    </w:p>
    <w:p w14:paraId="0A53C0CF" w14:textId="77777777" w:rsidR="00DD7D4A" w:rsidRPr="00CC6D16" w:rsidRDefault="00DD7D4A" w:rsidP="006C3DF5">
      <w:pPr>
        <w:pStyle w:val="ListParagraph"/>
        <w:numPr>
          <w:ilvl w:val="0"/>
          <w:numId w:val="106"/>
        </w:numPr>
        <w:spacing w:before="120" w:after="120" w:line="360" w:lineRule="auto"/>
        <w:jc w:val="both"/>
        <w:rPr>
          <w:rFonts w:cs="Arial"/>
          <w:color w:val="000000" w:themeColor="text1"/>
          <w:szCs w:val="24"/>
        </w:rPr>
      </w:pPr>
      <w:r>
        <w:rPr>
          <w:rFonts w:cs="Arial"/>
          <w:color w:val="000000" w:themeColor="text1"/>
          <w:szCs w:val="24"/>
        </w:rPr>
        <w:t>Share with the Commissioner</w:t>
      </w:r>
      <w:r w:rsidRPr="00CC6D16">
        <w:rPr>
          <w:rFonts w:cs="Arial"/>
          <w:color w:val="000000" w:themeColor="text1"/>
          <w:szCs w:val="24"/>
        </w:rPr>
        <w:t xml:space="preserve"> any information held about the quality of the current service</w:t>
      </w:r>
      <w:r>
        <w:rPr>
          <w:rFonts w:cs="Arial"/>
          <w:color w:val="000000" w:themeColor="text1"/>
          <w:szCs w:val="24"/>
        </w:rPr>
        <w:t>.</w:t>
      </w:r>
    </w:p>
    <w:p w14:paraId="4A187E25" w14:textId="77777777" w:rsidR="00DD7D4A" w:rsidRPr="00CC6D16" w:rsidRDefault="00DD7D4A" w:rsidP="006C3DF5">
      <w:pPr>
        <w:pStyle w:val="ListParagraph"/>
        <w:numPr>
          <w:ilvl w:val="0"/>
          <w:numId w:val="106"/>
        </w:numPr>
        <w:spacing w:before="120" w:after="120" w:line="360" w:lineRule="auto"/>
        <w:jc w:val="both"/>
        <w:rPr>
          <w:rFonts w:cs="Arial"/>
          <w:color w:val="000000" w:themeColor="text1"/>
          <w:szCs w:val="24"/>
        </w:rPr>
      </w:pPr>
      <w:r>
        <w:rPr>
          <w:rFonts w:cs="Arial"/>
          <w:color w:val="000000" w:themeColor="text1"/>
          <w:szCs w:val="24"/>
        </w:rPr>
        <w:t>Share with the Commissioner</w:t>
      </w:r>
      <w:r w:rsidRPr="00CC6D16">
        <w:rPr>
          <w:rFonts w:cs="Arial"/>
          <w:color w:val="000000" w:themeColor="text1"/>
          <w:szCs w:val="24"/>
        </w:rPr>
        <w:t xml:space="preserve"> any information held about the quality of alternative services being considered, including the model of care used</w:t>
      </w:r>
      <w:r>
        <w:rPr>
          <w:rFonts w:cs="Arial"/>
          <w:color w:val="000000" w:themeColor="text1"/>
          <w:szCs w:val="24"/>
        </w:rPr>
        <w:t>.</w:t>
      </w:r>
    </w:p>
    <w:p w14:paraId="28AC2D15" w14:textId="6CEF1CF8" w:rsidR="00DD7D4A" w:rsidRPr="00CC6D16" w:rsidRDefault="00DD7D4A" w:rsidP="006C3DF5">
      <w:pPr>
        <w:pStyle w:val="ListParagraph"/>
        <w:numPr>
          <w:ilvl w:val="0"/>
          <w:numId w:val="106"/>
        </w:numPr>
        <w:spacing w:before="120" w:after="120" w:line="360" w:lineRule="auto"/>
        <w:jc w:val="both"/>
        <w:rPr>
          <w:rFonts w:cs="Arial"/>
          <w:color w:val="000000" w:themeColor="text1"/>
          <w:szCs w:val="24"/>
        </w:rPr>
      </w:pPr>
      <w:r>
        <w:rPr>
          <w:rFonts w:cs="Arial"/>
          <w:color w:val="000000" w:themeColor="text1"/>
          <w:szCs w:val="24"/>
        </w:rPr>
        <w:t xml:space="preserve">Share with the </w:t>
      </w:r>
      <w:r w:rsidR="009F1EC8">
        <w:rPr>
          <w:rFonts w:cs="Arial"/>
          <w:color w:val="000000" w:themeColor="text1"/>
          <w:szCs w:val="24"/>
        </w:rPr>
        <w:t>Commissioner</w:t>
      </w:r>
      <w:r w:rsidR="009F1EC8" w:rsidRPr="00CC6D16">
        <w:rPr>
          <w:rFonts w:cs="Arial"/>
          <w:color w:val="000000" w:themeColor="text1"/>
          <w:szCs w:val="24"/>
        </w:rPr>
        <w:t xml:space="preserve"> any</w:t>
      </w:r>
      <w:r w:rsidRPr="00CC6D16">
        <w:rPr>
          <w:rFonts w:cs="Arial"/>
          <w:color w:val="000000" w:themeColor="text1"/>
          <w:szCs w:val="24"/>
        </w:rPr>
        <w:t xml:space="preserve"> information on other providers likely to be involved in the provision of care to people at the new service</w:t>
      </w:r>
      <w:r>
        <w:rPr>
          <w:rFonts w:cs="Arial"/>
          <w:color w:val="000000" w:themeColor="text1"/>
          <w:szCs w:val="24"/>
        </w:rPr>
        <w:t>.</w:t>
      </w:r>
    </w:p>
    <w:p w14:paraId="704A37B9" w14:textId="77777777" w:rsidR="00DD7D4A" w:rsidRPr="00CC6D16" w:rsidRDefault="00DD7D4A" w:rsidP="006C3DF5">
      <w:pPr>
        <w:pStyle w:val="ListParagraph"/>
        <w:numPr>
          <w:ilvl w:val="0"/>
          <w:numId w:val="106"/>
        </w:numPr>
        <w:spacing w:before="120" w:after="120" w:line="360" w:lineRule="auto"/>
        <w:jc w:val="both"/>
        <w:rPr>
          <w:rFonts w:cs="Arial"/>
          <w:color w:val="000000" w:themeColor="text1"/>
          <w:szCs w:val="24"/>
        </w:rPr>
      </w:pPr>
      <w:r w:rsidRPr="00CC6D16">
        <w:rPr>
          <w:rFonts w:cs="Arial"/>
          <w:color w:val="000000" w:themeColor="text1"/>
          <w:szCs w:val="24"/>
        </w:rPr>
        <w:t>Consider bringing forward inspection or other evaluative activities for alternative providers where only limited quality information is available (lead role)</w:t>
      </w:r>
    </w:p>
    <w:p w14:paraId="6A489DC7" w14:textId="77777777" w:rsidR="00DD7D4A" w:rsidRDefault="00DD7D4A" w:rsidP="00DD7D4A">
      <w:pPr>
        <w:pStyle w:val="ListParagraph"/>
        <w:spacing w:before="120" w:after="120" w:line="360" w:lineRule="auto"/>
        <w:ind w:left="1440"/>
        <w:jc w:val="both"/>
        <w:rPr>
          <w:rFonts w:cs="Arial"/>
          <w:b/>
          <w:i/>
          <w:color w:val="000000" w:themeColor="text1"/>
          <w:szCs w:val="24"/>
        </w:rPr>
      </w:pPr>
    </w:p>
    <w:p w14:paraId="7ED9D8F2" w14:textId="77777777" w:rsidR="00DD7D4A" w:rsidRPr="00750F88" w:rsidRDefault="00DD7D4A" w:rsidP="00DD7D4A">
      <w:pPr>
        <w:pStyle w:val="ListParagraph"/>
        <w:spacing w:before="120" w:after="120" w:line="360" w:lineRule="auto"/>
        <w:jc w:val="both"/>
        <w:rPr>
          <w:rFonts w:cs="Arial"/>
          <w:b/>
          <w:i/>
          <w:color w:val="000000" w:themeColor="text1"/>
          <w:szCs w:val="24"/>
        </w:rPr>
      </w:pPr>
      <w:r w:rsidRPr="00750F88">
        <w:rPr>
          <w:rFonts w:cs="Arial"/>
          <w:b/>
          <w:i/>
          <w:color w:val="000000" w:themeColor="text1"/>
          <w:szCs w:val="24"/>
        </w:rPr>
        <w:t>[Note ‘share with the Commissioner’ does not have to be in writing and could be verbal or as part of any scheduled or regular meetings]</w:t>
      </w:r>
    </w:p>
    <w:p w14:paraId="0664AD36" w14:textId="77777777" w:rsidR="00DD7D4A" w:rsidRPr="00E95140" w:rsidRDefault="00DD7D4A" w:rsidP="00DD7D4A">
      <w:pPr>
        <w:spacing w:before="120" w:after="120" w:line="360" w:lineRule="auto"/>
        <w:jc w:val="both"/>
      </w:pPr>
    </w:p>
    <w:p w14:paraId="5F55964E" w14:textId="77777777" w:rsidR="00DD7D4A" w:rsidRPr="00DD7D4A" w:rsidRDefault="00DD7D4A" w:rsidP="00DD7D4A">
      <w:pPr>
        <w:pStyle w:val="Heading3"/>
        <w:rPr>
          <w:b/>
        </w:rPr>
      </w:pPr>
      <w:r w:rsidRPr="00DD7D4A">
        <w:rPr>
          <w:b/>
        </w:rPr>
        <w:t>Local Medical Committee LMCs:</w:t>
      </w:r>
    </w:p>
    <w:p w14:paraId="7174162F" w14:textId="79C69C52" w:rsidR="00DD7D4A" w:rsidRPr="00CC6D16" w:rsidRDefault="00DD7D4A" w:rsidP="00DD7D4A">
      <w:pPr>
        <w:pStyle w:val="Heading4"/>
      </w:pPr>
      <w:r>
        <w:t xml:space="preserve">The </w:t>
      </w:r>
      <w:r w:rsidRPr="00CC6D16">
        <w:t>LMC</w:t>
      </w:r>
      <w:r>
        <w:t xml:space="preserve"> for the area</w:t>
      </w:r>
      <w:r w:rsidRPr="00CC6D16">
        <w:t xml:space="preserve"> will be engaged in </w:t>
      </w:r>
      <w:r>
        <w:t xml:space="preserve">the </w:t>
      </w:r>
      <w:r w:rsidRPr="00CC6D16">
        <w:t>following processes</w:t>
      </w:r>
      <w:r>
        <w:t>:</w:t>
      </w:r>
    </w:p>
    <w:p w14:paraId="0D83FFD7" w14:textId="77777777" w:rsidR="00DD7D4A" w:rsidRPr="00DD7D4A" w:rsidRDefault="00DD7D4A" w:rsidP="006C3DF5">
      <w:pPr>
        <w:pStyle w:val="ListParagraph"/>
        <w:numPr>
          <w:ilvl w:val="0"/>
          <w:numId w:val="106"/>
        </w:numPr>
        <w:spacing w:before="120" w:after="120" w:line="360" w:lineRule="auto"/>
        <w:jc w:val="both"/>
        <w:rPr>
          <w:rFonts w:cs="Arial"/>
          <w:color w:val="000000" w:themeColor="text1"/>
          <w:szCs w:val="24"/>
        </w:rPr>
      </w:pPr>
      <w:r w:rsidRPr="00DD7D4A">
        <w:rPr>
          <w:rFonts w:cs="Arial"/>
          <w:color w:val="000000" w:themeColor="text1"/>
          <w:szCs w:val="24"/>
        </w:rPr>
        <w:t>Made aware of the engagement occurring with patients.</w:t>
      </w:r>
    </w:p>
    <w:p w14:paraId="1BFA8AD6" w14:textId="77777777" w:rsidR="00DD7D4A" w:rsidRPr="00DD7D4A" w:rsidRDefault="00DD7D4A" w:rsidP="006C3DF5">
      <w:pPr>
        <w:pStyle w:val="ListParagraph"/>
        <w:numPr>
          <w:ilvl w:val="0"/>
          <w:numId w:val="106"/>
        </w:numPr>
        <w:spacing w:before="120" w:after="120" w:line="360" w:lineRule="auto"/>
        <w:jc w:val="both"/>
        <w:rPr>
          <w:rFonts w:cs="Arial"/>
          <w:color w:val="000000" w:themeColor="text1"/>
          <w:szCs w:val="24"/>
        </w:rPr>
      </w:pPr>
      <w:r w:rsidRPr="00DD7D4A">
        <w:rPr>
          <w:rFonts w:cs="Arial"/>
          <w:color w:val="000000" w:themeColor="text1"/>
          <w:szCs w:val="24"/>
        </w:rPr>
        <w:t>Made aware of any interim proposals and immediate next steps.</w:t>
      </w:r>
    </w:p>
    <w:p w14:paraId="75AD0244" w14:textId="77777777" w:rsidR="00DD7D4A" w:rsidRPr="00DD7D4A" w:rsidRDefault="00DD7D4A" w:rsidP="006C3DF5">
      <w:pPr>
        <w:pStyle w:val="ListParagraph"/>
        <w:numPr>
          <w:ilvl w:val="0"/>
          <w:numId w:val="106"/>
        </w:numPr>
        <w:spacing w:before="120" w:after="120" w:line="360" w:lineRule="auto"/>
        <w:jc w:val="both"/>
        <w:rPr>
          <w:rFonts w:cs="Arial"/>
          <w:color w:val="000000" w:themeColor="text1"/>
          <w:szCs w:val="24"/>
        </w:rPr>
      </w:pPr>
      <w:r w:rsidRPr="00DD7D4A">
        <w:rPr>
          <w:rFonts w:cs="Arial"/>
          <w:color w:val="000000" w:themeColor="text1"/>
          <w:szCs w:val="24"/>
        </w:rPr>
        <w:t>Made aware of any long terms plans.</w:t>
      </w:r>
    </w:p>
    <w:p w14:paraId="7D5DC272" w14:textId="5367F35E" w:rsidR="00DD7D4A" w:rsidRPr="009F318C" w:rsidRDefault="00DD7D4A" w:rsidP="00DD7D4A">
      <w:pPr>
        <w:spacing w:after="200" w:line="360" w:lineRule="auto"/>
        <w:ind w:left="720"/>
        <w:jc w:val="both"/>
        <w:rPr>
          <w:rFonts w:cs="Arial"/>
          <w:szCs w:val="24"/>
        </w:rPr>
      </w:pPr>
      <w:r>
        <w:rPr>
          <w:rFonts w:cs="Arial"/>
          <w:szCs w:val="24"/>
        </w:rPr>
        <w:t xml:space="preserve">This LMC section recognises that LMCs will </w:t>
      </w:r>
      <w:r w:rsidRPr="00750F88">
        <w:rPr>
          <w:rFonts w:cs="Arial"/>
          <w:szCs w:val="24"/>
        </w:rPr>
        <w:t>champion the welfare of its members and wider practice staff.</w:t>
      </w:r>
    </w:p>
    <w:p w14:paraId="4D9AB984" w14:textId="1336359D" w:rsidR="00DD7D4A" w:rsidRPr="00DD7D4A" w:rsidRDefault="00DD7D4A" w:rsidP="00DD7D4A">
      <w:pPr>
        <w:pStyle w:val="Heading2"/>
      </w:pPr>
      <w:bookmarkStart w:id="2198" w:name="_Toc95743539"/>
      <w:r w:rsidRPr="00DD7D4A">
        <w:t>The Process</w:t>
      </w:r>
      <w:bookmarkEnd w:id="2198"/>
    </w:p>
    <w:p w14:paraId="7C8EEBD7" w14:textId="0341AB39" w:rsidR="00DD7D4A" w:rsidRPr="00CC6D16" w:rsidRDefault="00DD7D4A" w:rsidP="00DD7D4A">
      <w:pPr>
        <w:pStyle w:val="Heading3"/>
      </w:pPr>
      <w:r>
        <w:t xml:space="preserve">The process for a </w:t>
      </w:r>
      <w:r w:rsidRPr="00CC6D16">
        <w:t xml:space="preserve">planned </w:t>
      </w:r>
      <w:r>
        <w:t>p</w:t>
      </w:r>
      <w:r w:rsidRPr="00CC6D16">
        <w:t>ractice closedown commence</w:t>
      </w:r>
      <w:r>
        <w:t>s</w:t>
      </w:r>
      <w:r w:rsidRPr="00CC6D16">
        <w:t xml:space="preserve"> between 9 and 15 months prior to the scheduled end date of </w:t>
      </w:r>
      <w:r>
        <w:t>the</w:t>
      </w:r>
      <w:r w:rsidRPr="00CC6D16">
        <w:t xml:space="preserve"> contract</w:t>
      </w:r>
      <w:r>
        <w:t>.</w:t>
      </w:r>
      <w:r w:rsidRPr="00CC6D16">
        <w:t xml:space="preserve"> </w:t>
      </w:r>
      <w:r>
        <w:t>For</w:t>
      </w:r>
      <w:r w:rsidRPr="00CC6D16">
        <w:t xml:space="preserve"> unplanned closure</w:t>
      </w:r>
      <w:r>
        <w:t>(s)</w:t>
      </w:r>
      <w:r w:rsidRPr="00CC6D16">
        <w:t xml:space="preserve">, it will be necessary to undertake a rapid assessment and determine the most appropriate course of action.  </w:t>
      </w:r>
    </w:p>
    <w:p w14:paraId="536C3BD0" w14:textId="441F4A0F" w:rsidR="00DD7D4A" w:rsidRPr="00CC6D16" w:rsidRDefault="00DD7D4A" w:rsidP="00DD7D4A">
      <w:pPr>
        <w:pStyle w:val="Heading3"/>
      </w:pPr>
      <w:r w:rsidRPr="00CC6D16">
        <w:t xml:space="preserve">In the large majority of cases </w:t>
      </w:r>
      <w:r w:rsidRPr="000E798A">
        <w:t>where</w:t>
      </w:r>
      <w:r w:rsidRPr="00CC6D16">
        <w:t xml:space="preserve"> closure is rapid (i.e. immediate removal of CQC </w:t>
      </w:r>
      <w:r w:rsidR="009F1EC8" w:rsidRPr="00CC6D16">
        <w:t>registration)</w:t>
      </w:r>
      <w:r w:rsidR="00FC4AFB">
        <w:t>,</w:t>
      </w:r>
      <w:r w:rsidR="009F1EC8" w:rsidRPr="00CC6D16">
        <w:t xml:space="preserve"> </w:t>
      </w:r>
      <w:r w:rsidR="009F1EC8">
        <w:t>the</w:t>
      </w:r>
      <w:r>
        <w:t xml:space="preserve"> most appropriate course of action</w:t>
      </w:r>
      <w:r w:rsidRPr="00CC6D16">
        <w:t xml:space="preserve"> will </w:t>
      </w:r>
      <w:r>
        <w:t>likely</w:t>
      </w:r>
      <w:r w:rsidRPr="00CC6D16">
        <w:t xml:space="preserve"> involve a</w:t>
      </w:r>
      <w:r>
        <w:t>n initial</w:t>
      </w:r>
      <w:r w:rsidRPr="00CC6D16">
        <w:t xml:space="preserve"> ‘caretaker’</w:t>
      </w:r>
      <w:r>
        <w:t xml:space="preserve"> arrangement</w:t>
      </w:r>
      <w:r w:rsidRPr="00CC6D16">
        <w:t xml:space="preserve"> (another GP or GP Practice team) temporarily overseeing the practice</w:t>
      </w:r>
      <w:r>
        <w:t xml:space="preserve"> at the closing practice's existing premises</w:t>
      </w:r>
      <w:r w:rsidRPr="00CC6D16">
        <w:t xml:space="preserve"> and the care of its registered list.</w:t>
      </w:r>
      <w:r>
        <w:t xml:space="preserve">  Please refer to the section on Urgent Contracts in </w:t>
      </w:r>
      <w:r w:rsidR="003E2429">
        <w:t xml:space="preserve">Part B, </w:t>
      </w:r>
      <w:r>
        <w:t xml:space="preserve">chapter </w:t>
      </w:r>
      <w:r w:rsidR="003E2429">
        <w:t>1</w:t>
      </w:r>
      <w:r>
        <w:t xml:space="preserve"> </w:t>
      </w:r>
      <w:hyperlink w:anchor="_Urgent_Contracts" w:history="1">
        <w:r w:rsidR="003E2429">
          <w:rPr>
            <w:rStyle w:val="Hyperlink"/>
          </w:rPr>
          <w:t>&lt;Urgent Contracts&gt;</w:t>
        </w:r>
      </w:hyperlink>
      <w:r w:rsidR="003E2429">
        <w:t>.</w:t>
      </w:r>
    </w:p>
    <w:p w14:paraId="710DB1D1" w14:textId="57262714" w:rsidR="00DD7D4A" w:rsidRPr="00B05A78" w:rsidRDefault="00DD7D4A" w:rsidP="00DD7D4A">
      <w:pPr>
        <w:pStyle w:val="Heading3"/>
      </w:pPr>
      <w:r w:rsidRPr="00CC6D16">
        <w:t xml:space="preserve">In the very unusual circumstance that this is not possible, it may be necessary to rapidly disperse the list.  Whilst the </w:t>
      </w:r>
      <w:r>
        <w:t xml:space="preserve">NHS Constitution is clear that patients have a right to choose their GP practice, to mitigate against the risk of patients being without care, the Commissioner may temporarily assign a patient to an alternative provider.   </w:t>
      </w:r>
      <w:r w:rsidR="00C54675">
        <w:t>However,</w:t>
      </w:r>
      <w:r>
        <w:t xml:space="preserve"> the patient must be advised of the rights under the NHS Constitution</w:t>
      </w:r>
      <w:r w:rsidR="00FC4AFB">
        <w:t>,</w:t>
      </w:r>
      <w:r>
        <w:t xml:space="preserve"> to change at any time.</w:t>
      </w:r>
    </w:p>
    <w:p w14:paraId="283E6B88" w14:textId="72CDE6A6" w:rsidR="00DD7D4A" w:rsidRDefault="00DD7D4A" w:rsidP="00070A05">
      <w:pPr>
        <w:pStyle w:val="Heading3"/>
        <w:rPr>
          <w:rFonts w:cs="Arial"/>
          <w:color w:val="000000" w:themeColor="text1"/>
          <w:szCs w:val="24"/>
        </w:rPr>
      </w:pPr>
      <w:r>
        <w:t>Patient assignment is also possible during any list dispersal (i.e. at the end of a ‘caretaker period’) for the same reason. This should be as a last resort, such that the commissioner has been unable to make contact with the patient.</w:t>
      </w:r>
      <w:r w:rsidR="00070A05" w:rsidRPr="00B05A78">
        <w:rPr>
          <w:rFonts w:cs="Arial"/>
          <w:color w:val="000000" w:themeColor="text1"/>
          <w:szCs w:val="24"/>
        </w:rPr>
        <w:t xml:space="preserve"> </w:t>
      </w:r>
    </w:p>
    <w:p w14:paraId="6016509C" w14:textId="531F620A" w:rsidR="0014744B" w:rsidRDefault="0014744B" w:rsidP="0014744B"/>
    <w:p w14:paraId="7600ECA6" w14:textId="0F05E263" w:rsidR="0014744B" w:rsidRDefault="0014744B" w:rsidP="0014744B"/>
    <w:p w14:paraId="6FCA9ECB" w14:textId="29B43664" w:rsidR="0014744B" w:rsidRDefault="0014744B" w:rsidP="0014744B"/>
    <w:p w14:paraId="01975826" w14:textId="22D7F81C" w:rsidR="0014744B" w:rsidRDefault="0014744B" w:rsidP="0014744B"/>
    <w:p w14:paraId="52560AE9" w14:textId="77777777" w:rsidR="0014744B" w:rsidRPr="0014744B" w:rsidRDefault="0014744B" w:rsidP="0014744B"/>
    <w:p w14:paraId="7DB00782" w14:textId="77777777" w:rsidR="00DD7D4A" w:rsidRDefault="00DD7D4A" w:rsidP="00DD7D4A">
      <w:pPr>
        <w:pStyle w:val="Heading2"/>
      </w:pPr>
      <w:bookmarkStart w:id="2199" w:name="_Toc95743540"/>
      <w:bookmarkStart w:id="2200" w:name="_Hlk4733169"/>
      <w:r w:rsidRPr="00B05A78">
        <w:t>Key Steps</w:t>
      </w:r>
      <w:r>
        <w:t xml:space="preserve"> (in the case of a list dispersal)</w:t>
      </w:r>
      <w:bookmarkEnd w:id="2199"/>
    </w:p>
    <w:p w14:paraId="651D14E3" w14:textId="77777777" w:rsidR="00DD7D4A" w:rsidRPr="00B05A78" w:rsidRDefault="00DD7D4A" w:rsidP="00DD7D4A">
      <w:pPr>
        <w:pStyle w:val="ListParagraph"/>
        <w:spacing w:before="120" w:after="120" w:line="276" w:lineRule="auto"/>
        <w:jc w:val="both"/>
        <w:rPr>
          <w:rFonts w:cs="Arial"/>
          <w:b/>
          <w:color w:val="0072CE" w:themeColor="accent2"/>
          <w:szCs w:val="24"/>
        </w:rPr>
      </w:pPr>
    </w:p>
    <w:p w14:paraId="27B742AD" w14:textId="77777777" w:rsidR="00DD7D4A" w:rsidRPr="00DD7D4A" w:rsidRDefault="00DD7D4A" w:rsidP="006C3DF5">
      <w:pPr>
        <w:pStyle w:val="ListParagraph"/>
        <w:numPr>
          <w:ilvl w:val="0"/>
          <w:numId w:val="107"/>
        </w:numPr>
        <w:spacing w:before="120" w:after="120" w:line="360" w:lineRule="auto"/>
        <w:jc w:val="both"/>
        <w:rPr>
          <w:rFonts w:cs="Arial"/>
          <w:color w:val="000000" w:themeColor="text1"/>
          <w:szCs w:val="24"/>
        </w:rPr>
      </w:pPr>
      <w:r w:rsidRPr="00DD7D4A">
        <w:rPr>
          <w:rFonts w:cs="Arial"/>
          <w:color w:val="000000" w:themeColor="text1"/>
          <w:szCs w:val="24"/>
        </w:rPr>
        <w:t>Patients are contacted in the first instance advising them of the list dispersal and available options (i.e. neighbouring practices accepting patients)</w:t>
      </w:r>
    </w:p>
    <w:p w14:paraId="3C85A424" w14:textId="7C521FC2" w:rsidR="00DD7D4A" w:rsidRPr="00DD7D4A" w:rsidRDefault="00DD7D4A" w:rsidP="006C3DF5">
      <w:pPr>
        <w:pStyle w:val="ListParagraph"/>
        <w:numPr>
          <w:ilvl w:val="0"/>
          <w:numId w:val="107"/>
        </w:numPr>
        <w:spacing w:before="120" w:after="120" w:line="360" w:lineRule="auto"/>
        <w:jc w:val="both"/>
        <w:rPr>
          <w:rFonts w:cs="Arial"/>
          <w:color w:val="000000" w:themeColor="text1"/>
          <w:szCs w:val="24"/>
        </w:rPr>
      </w:pPr>
      <w:r w:rsidRPr="00DD7D4A">
        <w:rPr>
          <w:rFonts w:cs="Arial"/>
          <w:color w:val="000000" w:themeColor="text1"/>
          <w:szCs w:val="24"/>
        </w:rPr>
        <w:t xml:space="preserve">In the event of no response or no registration at another practice, patients are re-contacted advising them again of the list dispersal and available options (i.e. neighbouring practices accepting patients).  </w:t>
      </w:r>
      <w:r w:rsidR="00FC4AFB">
        <w:rPr>
          <w:rFonts w:cs="Arial"/>
          <w:color w:val="000000" w:themeColor="text1"/>
          <w:szCs w:val="24"/>
        </w:rPr>
        <w:t>P</w:t>
      </w:r>
      <w:r w:rsidRPr="00DD7D4A">
        <w:rPr>
          <w:rFonts w:cs="Arial"/>
          <w:color w:val="000000" w:themeColor="text1"/>
          <w:szCs w:val="24"/>
        </w:rPr>
        <w:t>atient</w:t>
      </w:r>
      <w:r w:rsidR="00FC4AFB">
        <w:rPr>
          <w:rFonts w:cs="Arial"/>
          <w:color w:val="000000" w:themeColor="text1"/>
          <w:szCs w:val="24"/>
        </w:rPr>
        <w:t>s</w:t>
      </w:r>
      <w:r w:rsidRPr="00DD7D4A">
        <w:rPr>
          <w:rFonts w:cs="Arial"/>
          <w:color w:val="000000" w:themeColor="text1"/>
          <w:szCs w:val="24"/>
        </w:rPr>
        <w:t xml:space="preserve"> should also be advised at this point that, in order to prevent risk to on</w:t>
      </w:r>
      <w:r w:rsidR="00FC4AFB">
        <w:rPr>
          <w:rFonts w:cs="Arial"/>
          <w:color w:val="000000" w:themeColor="text1"/>
          <w:szCs w:val="24"/>
        </w:rPr>
        <w:t>-</w:t>
      </w:r>
      <w:r w:rsidRPr="00DD7D4A">
        <w:rPr>
          <w:rFonts w:cs="Arial"/>
          <w:color w:val="000000" w:themeColor="text1"/>
          <w:szCs w:val="24"/>
        </w:rPr>
        <w:t xml:space="preserve">going patient care, particularly in vulnerable patient groups, patients that do not re-register or contact the commissioner to advise them that they do not wish to be registered with a GP, will be allocated to another practice. </w:t>
      </w:r>
    </w:p>
    <w:p w14:paraId="6DF6C2E1" w14:textId="4BE271A6" w:rsidR="00DD7D4A" w:rsidRPr="00761F88" w:rsidRDefault="00DD7D4A" w:rsidP="006C3DF5">
      <w:pPr>
        <w:pStyle w:val="ListParagraph"/>
        <w:numPr>
          <w:ilvl w:val="0"/>
          <w:numId w:val="107"/>
        </w:numPr>
        <w:spacing w:before="120" w:after="120" w:line="360" w:lineRule="auto"/>
        <w:jc w:val="both"/>
        <w:rPr>
          <w:rFonts w:cs="Arial"/>
          <w:color w:val="000000" w:themeColor="text1"/>
          <w:szCs w:val="24"/>
        </w:rPr>
      </w:pPr>
      <w:bookmarkStart w:id="2201" w:name="_Hlk535843130"/>
      <w:r w:rsidRPr="00761F88">
        <w:rPr>
          <w:rFonts w:cs="Arial"/>
          <w:color w:val="000000" w:themeColor="text1"/>
          <w:szCs w:val="24"/>
        </w:rPr>
        <w:t xml:space="preserve">In the event of no response or no registration at another practice following the second reminder, patients </w:t>
      </w:r>
      <w:r w:rsidR="00916EFD" w:rsidRPr="008D6827">
        <w:rPr>
          <w:rFonts w:cs="Arial"/>
          <w:b/>
          <w:color w:val="000000" w:themeColor="text1"/>
          <w:szCs w:val="24"/>
          <w:u w:val="single"/>
        </w:rPr>
        <w:t>must</w:t>
      </w:r>
      <w:r w:rsidR="00916EFD">
        <w:rPr>
          <w:rFonts w:cs="Arial"/>
          <w:color w:val="000000" w:themeColor="text1"/>
          <w:szCs w:val="24"/>
        </w:rPr>
        <w:t xml:space="preserve"> be</w:t>
      </w:r>
      <w:r w:rsidR="00916EFD" w:rsidRPr="00761F88">
        <w:rPr>
          <w:rFonts w:cs="Arial"/>
          <w:color w:val="000000" w:themeColor="text1"/>
          <w:szCs w:val="24"/>
        </w:rPr>
        <w:t xml:space="preserve"> </w:t>
      </w:r>
      <w:r w:rsidRPr="00761F88">
        <w:rPr>
          <w:rFonts w:cs="Arial"/>
          <w:color w:val="000000" w:themeColor="text1"/>
          <w:szCs w:val="24"/>
        </w:rPr>
        <w:t xml:space="preserve">allocated to a GP </w:t>
      </w:r>
      <w:r w:rsidR="00866948">
        <w:rPr>
          <w:rFonts w:cs="Arial"/>
          <w:color w:val="000000" w:themeColor="text1"/>
          <w:szCs w:val="24"/>
        </w:rPr>
        <w:t>practice</w:t>
      </w:r>
      <w:r w:rsidR="00173484">
        <w:rPr>
          <w:rFonts w:cs="Arial"/>
          <w:color w:val="000000" w:themeColor="text1"/>
          <w:szCs w:val="24"/>
        </w:rPr>
        <w:t xml:space="preserve"> (except where they have not been seen </w:t>
      </w:r>
      <w:r w:rsidR="00DE0923">
        <w:rPr>
          <w:rFonts w:cs="Arial"/>
          <w:color w:val="000000" w:themeColor="text1"/>
          <w:szCs w:val="24"/>
        </w:rPr>
        <w:t xml:space="preserve">or received treatment </w:t>
      </w:r>
      <w:r w:rsidR="00173484">
        <w:rPr>
          <w:rFonts w:cs="Arial"/>
          <w:color w:val="000000" w:themeColor="text1"/>
          <w:szCs w:val="24"/>
        </w:rPr>
        <w:t>for 5 years or more</w:t>
      </w:r>
      <w:r w:rsidR="000F484F">
        <w:rPr>
          <w:rFonts w:cs="Arial"/>
          <w:color w:val="000000" w:themeColor="text1"/>
          <w:szCs w:val="24"/>
        </w:rPr>
        <w:t xml:space="preserve"> – as confirmed by the GP practice</w:t>
      </w:r>
      <w:r w:rsidR="00173484">
        <w:rPr>
          <w:rFonts w:cs="Arial"/>
          <w:color w:val="000000" w:themeColor="text1"/>
          <w:szCs w:val="24"/>
        </w:rPr>
        <w:t>)</w:t>
      </w:r>
      <w:r w:rsidR="00866948">
        <w:rPr>
          <w:rFonts w:cs="Arial"/>
          <w:color w:val="000000" w:themeColor="text1"/>
          <w:szCs w:val="24"/>
        </w:rPr>
        <w:t xml:space="preserve">.  </w:t>
      </w:r>
      <w:r w:rsidR="009F1EC8">
        <w:rPr>
          <w:rFonts w:cs="Arial"/>
          <w:color w:val="000000" w:themeColor="text1"/>
          <w:szCs w:val="24"/>
        </w:rPr>
        <w:t>Commissioners</w:t>
      </w:r>
      <w:r w:rsidR="00866948">
        <w:rPr>
          <w:rFonts w:cs="Arial"/>
          <w:color w:val="000000" w:themeColor="text1"/>
          <w:szCs w:val="24"/>
        </w:rPr>
        <w:t xml:space="preserve"> </w:t>
      </w:r>
      <w:r w:rsidR="009F1EC8">
        <w:rPr>
          <w:rFonts w:cs="Arial"/>
          <w:color w:val="000000" w:themeColor="text1"/>
          <w:szCs w:val="24"/>
        </w:rPr>
        <w:t>should</w:t>
      </w:r>
      <w:r w:rsidR="00866948">
        <w:rPr>
          <w:rFonts w:cs="Arial"/>
          <w:color w:val="000000" w:themeColor="text1"/>
          <w:szCs w:val="24"/>
        </w:rPr>
        <w:t xml:space="preserve"> adopt the same approach as that set out in paragraphs 39 and 40 of </w:t>
      </w:r>
      <w:bookmarkStart w:id="2202" w:name="_Hlk535842906"/>
      <w:bookmarkEnd w:id="2201"/>
      <w:r w:rsidRPr="00761F88">
        <w:rPr>
          <w:rFonts w:cs="Arial"/>
          <w:color w:val="000000" w:themeColor="text1"/>
          <w:szCs w:val="24"/>
        </w:rPr>
        <w:t xml:space="preserve">Schedule </w:t>
      </w:r>
      <w:r w:rsidR="00CA6D84" w:rsidRPr="00761F88">
        <w:rPr>
          <w:rFonts w:cs="Arial"/>
          <w:color w:val="000000" w:themeColor="text1"/>
          <w:szCs w:val="24"/>
        </w:rPr>
        <w:t>3</w:t>
      </w:r>
      <w:r w:rsidR="00761F88" w:rsidRPr="00761F88">
        <w:rPr>
          <w:rFonts w:cs="Arial"/>
          <w:color w:val="000000" w:themeColor="text1"/>
          <w:szCs w:val="24"/>
        </w:rPr>
        <w:t xml:space="preserve">, Part 4 </w:t>
      </w:r>
      <w:r w:rsidR="00761F88">
        <w:rPr>
          <w:rFonts w:cs="Arial"/>
          <w:color w:val="000000" w:themeColor="text1"/>
          <w:szCs w:val="24"/>
        </w:rPr>
        <w:t>‘</w:t>
      </w:r>
      <w:r w:rsidR="00761F88" w:rsidRPr="00761F88">
        <w:rPr>
          <w:rFonts w:cs="Arial"/>
          <w:color w:val="000000" w:themeColor="text1"/>
          <w:szCs w:val="24"/>
        </w:rPr>
        <w:t>Assignment of patients to lists</w:t>
      </w:r>
      <w:r w:rsidR="00761F88">
        <w:rPr>
          <w:rFonts w:cs="Arial"/>
          <w:color w:val="000000" w:themeColor="text1"/>
          <w:szCs w:val="24"/>
        </w:rPr>
        <w:t>’</w:t>
      </w:r>
      <w:r w:rsidRPr="00761F88">
        <w:rPr>
          <w:rFonts w:cs="Arial"/>
          <w:color w:val="000000" w:themeColor="text1"/>
          <w:szCs w:val="24"/>
        </w:rPr>
        <w:t xml:space="preserve"> of the GMS </w:t>
      </w:r>
      <w:r w:rsidR="00866948">
        <w:rPr>
          <w:rFonts w:cs="Arial"/>
          <w:color w:val="000000" w:themeColor="text1"/>
          <w:szCs w:val="24"/>
        </w:rPr>
        <w:t xml:space="preserve">Contract </w:t>
      </w:r>
      <w:r w:rsidRPr="00761F88">
        <w:rPr>
          <w:rFonts w:cs="Arial"/>
          <w:color w:val="000000" w:themeColor="text1"/>
          <w:szCs w:val="24"/>
        </w:rPr>
        <w:t xml:space="preserve">Regulations </w:t>
      </w:r>
      <w:r w:rsidR="00866948">
        <w:rPr>
          <w:rFonts w:cs="Arial"/>
          <w:color w:val="000000" w:themeColor="text1"/>
          <w:szCs w:val="24"/>
        </w:rPr>
        <w:t xml:space="preserve">(2015) </w:t>
      </w:r>
      <w:r w:rsidRPr="00761F88">
        <w:rPr>
          <w:rFonts w:cs="Arial"/>
          <w:color w:val="000000" w:themeColor="text1"/>
          <w:szCs w:val="24"/>
        </w:rPr>
        <w:t>or</w:t>
      </w:r>
      <w:r w:rsidR="00866948">
        <w:rPr>
          <w:rFonts w:cs="Arial"/>
          <w:color w:val="000000" w:themeColor="text1"/>
          <w:szCs w:val="24"/>
        </w:rPr>
        <w:t xml:space="preserve"> paragraphs 38 and 39 of</w:t>
      </w:r>
      <w:r w:rsidRPr="00761F88">
        <w:rPr>
          <w:rFonts w:cs="Arial"/>
          <w:color w:val="000000" w:themeColor="text1"/>
          <w:szCs w:val="24"/>
        </w:rPr>
        <w:t xml:space="preserve"> </w:t>
      </w:r>
      <w:r w:rsidR="00761F88" w:rsidRPr="00761F88">
        <w:rPr>
          <w:rFonts w:cs="Arial"/>
          <w:color w:val="000000" w:themeColor="text1"/>
          <w:szCs w:val="24"/>
        </w:rPr>
        <w:t xml:space="preserve">Schedule </w:t>
      </w:r>
      <w:r w:rsidR="00761F88">
        <w:rPr>
          <w:rFonts w:cs="Arial"/>
          <w:color w:val="000000" w:themeColor="text1"/>
          <w:szCs w:val="24"/>
        </w:rPr>
        <w:t>2</w:t>
      </w:r>
      <w:r w:rsidR="00761F88" w:rsidRPr="00761F88">
        <w:rPr>
          <w:rFonts w:cs="Arial"/>
          <w:color w:val="000000" w:themeColor="text1"/>
          <w:szCs w:val="24"/>
        </w:rPr>
        <w:t>, Part 4</w:t>
      </w:r>
      <w:r w:rsidRPr="00761F88">
        <w:rPr>
          <w:rFonts w:cs="Arial"/>
          <w:color w:val="000000" w:themeColor="text1"/>
          <w:szCs w:val="24"/>
        </w:rPr>
        <w:t xml:space="preserve"> of the PMS </w:t>
      </w:r>
      <w:r w:rsidR="00866948">
        <w:rPr>
          <w:rFonts w:cs="Arial"/>
          <w:color w:val="000000" w:themeColor="text1"/>
          <w:szCs w:val="24"/>
        </w:rPr>
        <w:t xml:space="preserve">Agreements </w:t>
      </w:r>
      <w:r w:rsidRPr="00761F88">
        <w:rPr>
          <w:rFonts w:cs="Arial"/>
          <w:color w:val="000000" w:themeColor="text1"/>
          <w:szCs w:val="24"/>
        </w:rPr>
        <w:t>Regulations</w:t>
      </w:r>
      <w:r w:rsidR="00866948">
        <w:rPr>
          <w:rFonts w:cs="Arial"/>
          <w:color w:val="000000" w:themeColor="text1"/>
          <w:szCs w:val="24"/>
        </w:rPr>
        <w:t xml:space="preserve"> (2015)</w:t>
      </w:r>
      <w:r w:rsidRPr="00761F88">
        <w:rPr>
          <w:rFonts w:cs="Arial"/>
          <w:color w:val="000000" w:themeColor="text1"/>
          <w:szCs w:val="24"/>
        </w:rPr>
        <w:t>.</w:t>
      </w:r>
    </w:p>
    <w:bookmarkEnd w:id="2202"/>
    <w:p w14:paraId="2E9F2EB8" w14:textId="77777777" w:rsidR="00DD7D4A" w:rsidRPr="00DD7D4A" w:rsidRDefault="00DD7D4A" w:rsidP="006C3DF5">
      <w:pPr>
        <w:pStyle w:val="ListParagraph"/>
        <w:numPr>
          <w:ilvl w:val="0"/>
          <w:numId w:val="107"/>
        </w:numPr>
        <w:spacing w:before="120" w:after="120" w:line="360" w:lineRule="auto"/>
        <w:jc w:val="both"/>
        <w:rPr>
          <w:rFonts w:cs="Arial"/>
          <w:color w:val="000000" w:themeColor="text1"/>
          <w:szCs w:val="24"/>
        </w:rPr>
      </w:pPr>
      <w:r w:rsidRPr="00DD7D4A">
        <w:rPr>
          <w:rFonts w:cs="Arial"/>
          <w:color w:val="000000" w:themeColor="text1"/>
          <w:szCs w:val="24"/>
        </w:rPr>
        <w:t>The patient must then be notified in writing of the allocation, the reason for the allocation and of their rights under the NHS Constitution to de-register, or re-register at an alternative GP practice should they wish.</w:t>
      </w:r>
    </w:p>
    <w:p w14:paraId="2BD021C9" w14:textId="2A3E993E" w:rsidR="00DD7D4A" w:rsidRDefault="00DD7D4A" w:rsidP="006C3DF5">
      <w:pPr>
        <w:pStyle w:val="ListParagraph"/>
        <w:numPr>
          <w:ilvl w:val="0"/>
          <w:numId w:val="107"/>
        </w:numPr>
        <w:spacing w:before="120" w:after="120" w:line="360" w:lineRule="auto"/>
        <w:jc w:val="both"/>
        <w:rPr>
          <w:rFonts w:cs="Arial"/>
          <w:color w:val="000000" w:themeColor="text1"/>
          <w:szCs w:val="24"/>
        </w:rPr>
      </w:pPr>
      <w:r w:rsidRPr="00DD7D4A">
        <w:rPr>
          <w:rFonts w:cs="Arial"/>
          <w:color w:val="000000" w:themeColor="text1"/>
          <w:szCs w:val="24"/>
        </w:rPr>
        <w:t xml:space="preserve">It is </w:t>
      </w:r>
      <w:r w:rsidRPr="00DD7D4A">
        <w:rPr>
          <w:rFonts w:cs="Arial"/>
          <w:b/>
          <w:color w:val="000000" w:themeColor="text1"/>
          <w:szCs w:val="24"/>
          <w:u w:val="single"/>
        </w:rPr>
        <w:t>imperative</w:t>
      </w:r>
      <w:r w:rsidRPr="00DD7D4A">
        <w:rPr>
          <w:rFonts w:cs="Arial"/>
          <w:color w:val="000000" w:themeColor="text1"/>
          <w:szCs w:val="24"/>
        </w:rPr>
        <w:t xml:space="preserve"> that at the end of the process, all patient records </w:t>
      </w:r>
      <w:r w:rsidR="00184C65">
        <w:rPr>
          <w:rFonts w:cs="Arial"/>
          <w:color w:val="000000" w:themeColor="text1"/>
          <w:szCs w:val="24"/>
        </w:rPr>
        <w:t>and any associated data pertaining to patients</w:t>
      </w:r>
      <w:r w:rsidRPr="00DD7D4A">
        <w:rPr>
          <w:rFonts w:cs="Arial"/>
          <w:color w:val="000000" w:themeColor="text1"/>
          <w:szCs w:val="24"/>
        </w:rPr>
        <w:t xml:space="preserve"> (</w:t>
      </w:r>
      <w:r w:rsidRPr="00DD7D4A">
        <w:rPr>
          <w:rFonts w:cs="Arial"/>
          <w:b/>
          <w:color w:val="000000" w:themeColor="text1"/>
          <w:szCs w:val="24"/>
        </w:rPr>
        <w:t>including digital records</w:t>
      </w:r>
      <w:r w:rsidRPr="00DD7D4A">
        <w:rPr>
          <w:rFonts w:cs="Arial"/>
          <w:color w:val="000000" w:themeColor="text1"/>
          <w:szCs w:val="24"/>
        </w:rPr>
        <w:t xml:space="preserve">) and any clinical correspondence are transferred to the provider with whom the patient has registered.  This process will generally be routine and in any </w:t>
      </w:r>
      <w:r w:rsidR="009F1EC8" w:rsidRPr="00DD7D4A">
        <w:rPr>
          <w:rFonts w:cs="Arial"/>
          <w:color w:val="000000" w:themeColor="text1"/>
          <w:szCs w:val="24"/>
        </w:rPr>
        <w:t>case,</w:t>
      </w:r>
      <w:r w:rsidRPr="00DD7D4A">
        <w:rPr>
          <w:rFonts w:cs="Arial"/>
          <w:color w:val="000000" w:themeColor="text1"/>
          <w:szCs w:val="24"/>
        </w:rPr>
        <w:t xml:space="preserve"> is triggered for digital records when the patient registers at an alternative practice.</w:t>
      </w:r>
    </w:p>
    <w:p w14:paraId="7B33BE75" w14:textId="07541E36" w:rsidR="00447681" w:rsidRPr="00DD7D4A" w:rsidRDefault="00447681" w:rsidP="006C3DF5">
      <w:pPr>
        <w:pStyle w:val="ListParagraph"/>
        <w:numPr>
          <w:ilvl w:val="0"/>
          <w:numId w:val="107"/>
        </w:numPr>
        <w:spacing w:before="120" w:after="120" w:line="360" w:lineRule="auto"/>
        <w:jc w:val="both"/>
        <w:rPr>
          <w:rFonts w:cs="Arial"/>
          <w:color w:val="000000" w:themeColor="text1"/>
          <w:szCs w:val="24"/>
        </w:rPr>
      </w:pPr>
      <w:r>
        <w:rPr>
          <w:rFonts w:cs="Arial"/>
          <w:color w:val="000000" w:themeColor="text1"/>
          <w:szCs w:val="24"/>
        </w:rPr>
        <w:t xml:space="preserve">For the avoidance of doubt, at the point of closure, </w:t>
      </w:r>
      <w:r w:rsidR="00DE0923">
        <w:rPr>
          <w:rFonts w:cs="Arial"/>
          <w:color w:val="000000" w:themeColor="text1"/>
          <w:szCs w:val="24"/>
        </w:rPr>
        <w:t>all</w:t>
      </w:r>
      <w:r>
        <w:rPr>
          <w:rFonts w:cs="Arial"/>
          <w:color w:val="000000" w:themeColor="text1"/>
          <w:szCs w:val="24"/>
        </w:rPr>
        <w:t xml:space="preserve"> patients that have not self</w:t>
      </w:r>
      <w:r w:rsidR="00D9254A">
        <w:rPr>
          <w:rFonts w:cs="Arial"/>
          <w:color w:val="000000" w:themeColor="text1"/>
          <w:szCs w:val="24"/>
        </w:rPr>
        <w:t>-</w:t>
      </w:r>
      <w:r>
        <w:rPr>
          <w:rFonts w:cs="Arial"/>
          <w:color w:val="000000" w:themeColor="text1"/>
          <w:szCs w:val="24"/>
        </w:rPr>
        <w:t xml:space="preserve"> registered at an alternative GP practice should be allocated to another GP practice</w:t>
      </w:r>
      <w:r w:rsidR="00DE0923">
        <w:rPr>
          <w:rFonts w:cs="Arial"/>
          <w:color w:val="000000" w:themeColor="text1"/>
          <w:szCs w:val="24"/>
        </w:rPr>
        <w:t xml:space="preserve"> (except where they have not been seen or received treatment for 5 years or more)</w:t>
      </w:r>
      <w:r>
        <w:rPr>
          <w:rFonts w:cs="Arial"/>
          <w:color w:val="000000" w:themeColor="text1"/>
          <w:szCs w:val="24"/>
        </w:rPr>
        <w:t xml:space="preserve">. It is recognised </w:t>
      </w:r>
      <w:r w:rsidR="00D9254A">
        <w:rPr>
          <w:rFonts w:cs="Arial"/>
          <w:color w:val="000000" w:themeColor="text1"/>
          <w:szCs w:val="24"/>
        </w:rPr>
        <w:t xml:space="preserve">that </w:t>
      </w:r>
      <w:r>
        <w:rPr>
          <w:rFonts w:cs="Arial"/>
          <w:color w:val="000000" w:themeColor="text1"/>
          <w:szCs w:val="24"/>
        </w:rPr>
        <w:t xml:space="preserve">this </w:t>
      </w:r>
      <w:r w:rsidRPr="008D6827">
        <w:rPr>
          <w:rFonts w:cs="Arial"/>
          <w:b/>
          <w:color w:val="000000" w:themeColor="text1"/>
          <w:szCs w:val="24"/>
          <w:u w:val="single"/>
        </w:rPr>
        <w:t>may</w:t>
      </w:r>
      <w:r w:rsidR="002B7ABC">
        <w:rPr>
          <w:rFonts w:cs="Arial"/>
          <w:color w:val="000000" w:themeColor="text1"/>
          <w:szCs w:val="24"/>
        </w:rPr>
        <w:t xml:space="preserve"> temporarily </w:t>
      </w:r>
      <w:r>
        <w:rPr>
          <w:rFonts w:cs="Arial"/>
          <w:color w:val="000000" w:themeColor="text1"/>
          <w:szCs w:val="24"/>
        </w:rPr>
        <w:t>result in the allocation of ghost patients or patient</w:t>
      </w:r>
      <w:r w:rsidR="00225153">
        <w:rPr>
          <w:rFonts w:cs="Arial"/>
          <w:color w:val="000000" w:themeColor="text1"/>
          <w:szCs w:val="24"/>
        </w:rPr>
        <w:t>s</w:t>
      </w:r>
      <w:r>
        <w:rPr>
          <w:rFonts w:cs="Arial"/>
          <w:color w:val="000000" w:themeColor="text1"/>
          <w:szCs w:val="24"/>
        </w:rPr>
        <w:t xml:space="preserve"> that have gone away, however</w:t>
      </w:r>
      <w:r w:rsidR="00D9254A">
        <w:rPr>
          <w:rFonts w:cs="Arial"/>
          <w:color w:val="000000" w:themeColor="text1"/>
          <w:szCs w:val="24"/>
        </w:rPr>
        <w:t>,</w:t>
      </w:r>
      <w:r>
        <w:rPr>
          <w:rFonts w:cs="Arial"/>
          <w:color w:val="000000" w:themeColor="text1"/>
          <w:szCs w:val="24"/>
        </w:rPr>
        <w:t xml:space="preserve"> this will be corrected through </w:t>
      </w:r>
      <w:r w:rsidR="00225153">
        <w:rPr>
          <w:rFonts w:cs="Arial"/>
          <w:color w:val="000000" w:themeColor="text1"/>
          <w:szCs w:val="24"/>
        </w:rPr>
        <w:t xml:space="preserve">the </w:t>
      </w:r>
      <w:r>
        <w:rPr>
          <w:rFonts w:cs="Arial"/>
          <w:color w:val="000000" w:themeColor="text1"/>
          <w:szCs w:val="24"/>
        </w:rPr>
        <w:t xml:space="preserve">rolling list </w:t>
      </w:r>
      <w:r w:rsidR="009F1EC8">
        <w:rPr>
          <w:rFonts w:cs="Arial"/>
          <w:color w:val="000000" w:themeColor="text1"/>
          <w:szCs w:val="24"/>
        </w:rPr>
        <w:t>maintenance</w:t>
      </w:r>
      <w:r w:rsidR="00225153">
        <w:rPr>
          <w:rFonts w:cs="Arial"/>
          <w:color w:val="000000" w:themeColor="text1"/>
          <w:szCs w:val="24"/>
        </w:rPr>
        <w:t xml:space="preserve"> programme.</w:t>
      </w:r>
    </w:p>
    <w:p w14:paraId="6AACE6CC" w14:textId="6272406D" w:rsidR="00DD7D4A" w:rsidRPr="00DD7D4A" w:rsidRDefault="00DD7D4A" w:rsidP="006C3DF5">
      <w:pPr>
        <w:pStyle w:val="ListParagraph"/>
        <w:numPr>
          <w:ilvl w:val="0"/>
          <w:numId w:val="107"/>
        </w:numPr>
        <w:spacing w:before="120" w:after="120" w:line="360" w:lineRule="auto"/>
        <w:jc w:val="both"/>
        <w:rPr>
          <w:rFonts w:cs="Arial"/>
          <w:color w:val="000000" w:themeColor="text1"/>
          <w:szCs w:val="24"/>
        </w:rPr>
      </w:pPr>
      <w:r w:rsidRPr="00DD7D4A">
        <w:rPr>
          <w:rFonts w:cs="Arial"/>
          <w:color w:val="000000" w:themeColor="text1"/>
          <w:szCs w:val="24"/>
        </w:rPr>
        <w:t xml:space="preserve">The GP Clinical system should be monitored by the Commissioner or nominated IT Delivery Partner for </w:t>
      </w:r>
      <w:r w:rsidR="00E5426B">
        <w:rPr>
          <w:rFonts w:cs="Arial"/>
          <w:color w:val="000000" w:themeColor="text1"/>
          <w:szCs w:val="24"/>
        </w:rPr>
        <w:t xml:space="preserve">a </w:t>
      </w:r>
      <w:r w:rsidRPr="00DD7D4A">
        <w:rPr>
          <w:rFonts w:cs="Arial"/>
          <w:color w:val="000000" w:themeColor="text1"/>
          <w:szCs w:val="24"/>
        </w:rPr>
        <w:t xml:space="preserve">diminishing patient list. The GP Clinical system should not be decommissioned until all patients dispersed/re-registered either with their practice of choice, allocation or in the case of Orphaned Records (where </w:t>
      </w:r>
      <w:r w:rsidR="00975B2C" w:rsidRPr="00DD7D4A">
        <w:rPr>
          <w:rFonts w:cs="Arial"/>
          <w:color w:val="000000" w:themeColor="text1"/>
          <w:szCs w:val="24"/>
        </w:rPr>
        <w:t>neither allocation nor</w:t>
      </w:r>
      <w:r w:rsidRPr="00DD7D4A">
        <w:rPr>
          <w:rFonts w:cs="Arial"/>
          <w:color w:val="000000" w:themeColor="text1"/>
          <w:szCs w:val="24"/>
        </w:rPr>
        <w:t xml:space="preserve"> re-registration occurs) the records transfer to NHSE as the data controller.</w:t>
      </w:r>
    </w:p>
    <w:p w14:paraId="061F0498" w14:textId="559AE9C6" w:rsidR="00DD7D4A" w:rsidRPr="00DD7D4A" w:rsidRDefault="00DD7D4A" w:rsidP="006C3DF5">
      <w:pPr>
        <w:pStyle w:val="ListParagraph"/>
        <w:numPr>
          <w:ilvl w:val="0"/>
          <w:numId w:val="107"/>
        </w:numPr>
        <w:spacing w:before="120" w:after="120" w:line="360" w:lineRule="auto"/>
        <w:jc w:val="both"/>
        <w:rPr>
          <w:rFonts w:cs="Arial"/>
          <w:color w:val="000000" w:themeColor="text1"/>
          <w:szCs w:val="24"/>
        </w:rPr>
      </w:pPr>
      <w:r w:rsidRPr="00DD7D4A">
        <w:rPr>
          <w:rFonts w:cs="Arial"/>
          <w:color w:val="000000" w:themeColor="text1"/>
          <w:szCs w:val="24"/>
        </w:rPr>
        <w:t xml:space="preserve">Allocations should however have regard to paragraphs 23 to 31 of Schedule 3, Part 2 of the 2015 GMS Regulations, and paragraphs 22 to 30 of Schedule </w:t>
      </w:r>
      <w:r w:rsidR="00187800">
        <w:rPr>
          <w:rFonts w:cs="Arial"/>
          <w:color w:val="000000" w:themeColor="text1"/>
          <w:szCs w:val="24"/>
        </w:rPr>
        <w:t>2, Part 2 of the 2015 P</w:t>
      </w:r>
      <w:r w:rsidRPr="00DD7D4A">
        <w:rPr>
          <w:rFonts w:cs="Arial"/>
          <w:color w:val="000000" w:themeColor="text1"/>
          <w:szCs w:val="24"/>
        </w:rPr>
        <w:t xml:space="preserve">MS Regulations, in relation to </w:t>
      </w:r>
      <w:r w:rsidR="00E5426B">
        <w:rPr>
          <w:rFonts w:cs="Arial"/>
          <w:color w:val="000000" w:themeColor="text1"/>
          <w:szCs w:val="24"/>
        </w:rPr>
        <w:t xml:space="preserve">the </w:t>
      </w:r>
      <w:r w:rsidRPr="00DD7D4A">
        <w:rPr>
          <w:rFonts w:cs="Arial"/>
          <w:color w:val="000000" w:themeColor="text1"/>
          <w:szCs w:val="24"/>
        </w:rPr>
        <w:t>removal of patients (see below)</w:t>
      </w:r>
    </w:p>
    <w:p w14:paraId="6EFFDE95" w14:textId="77777777" w:rsidR="00DD7D4A" w:rsidRDefault="00DD7D4A" w:rsidP="00DD7D4A">
      <w:pPr>
        <w:pStyle w:val="ListParagraph"/>
        <w:spacing w:before="120" w:after="120" w:line="360" w:lineRule="auto"/>
        <w:ind w:left="2160"/>
        <w:jc w:val="both"/>
        <w:rPr>
          <w:rFonts w:cs="Arial"/>
          <w:color w:val="000000" w:themeColor="text1"/>
          <w:szCs w:val="24"/>
        </w:rPr>
      </w:pPr>
    </w:p>
    <w:p w14:paraId="690AF024" w14:textId="77777777" w:rsidR="00DD7D4A" w:rsidRPr="002936E7" w:rsidRDefault="00DD7D4A" w:rsidP="006C3DF5">
      <w:pPr>
        <w:pStyle w:val="ListParagraph"/>
        <w:numPr>
          <w:ilvl w:val="0"/>
          <w:numId w:val="106"/>
        </w:numPr>
        <w:spacing w:before="120" w:after="120" w:line="360" w:lineRule="auto"/>
        <w:jc w:val="both"/>
        <w:rPr>
          <w:rFonts w:cs="Arial"/>
          <w:color w:val="000000" w:themeColor="text1"/>
          <w:szCs w:val="24"/>
        </w:rPr>
      </w:pPr>
      <w:r w:rsidRPr="002936E7">
        <w:rPr>
          <w:rFonts w:cs="Arial"/>
          <w:color w:val="000000" w:themeColor="text1"/>
          <w:szCs w:val="24"/>
        </w:rPr>
        <w:t>Removal from the list at the request of the patient</w:t>
      </w:r>
    </w:p>
    <w:p w14:paraId="63AB7236" w14:textId="77777777" w:rsidR="00DD7D4A" w:rsidRPr="002936E7" w:rsidRDefault="00DD7D4A" w:rsidP="006C3DF5">
      <w:pPr>
        <w:pStyle w:val="ListParagraph"/>
        <w:numPr>
          <w:ilvl w:val="0"/>
          <w:numId w:val="106"/>
        </w:numPr>
        <w:spacing w:before="120" w:after="120" w:line="360" w:lineRule="auto"/>
        <w:jc w:val="both"/>
        <w:rPr>
          <w:rFonts w:cs="Arial"/>
          <w:color w:val="000000" w:themeColor="text1"/>
          <w:szCs w:val="24"/>
        </w:rPr>
      </w:pPr>
      <w:r w:rsidRPr="002936E7">
        <w:rPr>
          <w:rFonts w:cs="Arial"/>
          <w:color w:val="000000" w:themeColor="text1"/>
          <w:szCs w:val="24"/>
        </w:rPr>
        <w:t>Removal from the list at the request of the contractor</w:t>
      </w:r>
    </w:p>
    <w:p w14:paraId="4349795A" w14:textId="77777777" w:rsidR="00DD7D4A" w:rsidRPr="002936E7" w:rsidRDefault="00DD7D4A" w:rsidP="006C3DF5">
      <w:pPr>
        <w:pStyle w:val="ListParagraph"/>
        <w:numPr>
          <w:ilvl w:val="0"/>
          <w:numId w:val="106"/>
        </w:numPr>
        <w:spacing w:before="120" w:after="120" w:line="360" w:lineRule="auto"/>
        <w:jc w:val="both"/>
        <w:rPr>
          <w:rFonts w:cs="Arial"/>
          <w:color w:val="000000" w:themeColor="text1"/>
          <w:szCs w:val="24"/>
        </w:rPr>
      </w:pPr>
      <w:r w:rsidRPr="002936E7">
        <w:rPr>
          <w:rFonts w:cs="Arial"/>
          <w:color w:val="000000" w:themeColor="text1"/>
          <w:szCs w:val="24"/>
        </w:rPr>
        <w:t>Removal from the list of patients who are violent</w:t>
      </w:r>
    </w:p>
    <w:p w14:paraId="74C15592" w14:textId="77777777" w:rsidR="00DD7D4A" w:rsidRPr="002936E7" w:rsidRDefault="00DD7D4A" w:rsidP="006C3DF5">
      <w:pPr>
        <w:pStyle w:val="ListParagraph"/>
        <w:numPr>
          <w:ilvl w:val="0"/>
          <w:numId w:val="106"/>
        </w:numPr>
        <w:spacing w:before="120" w:after="120" w:line="360" w:lineRule="auto"/>
        <w:jc w:val="both"/>
        <w:rPr>
          <w:rFonts w:cs="Arial"/>
          <w:color w:val="000000" w:themeColor="text1"/>
          <w:szCs w:val="24"/>
        </w:rPr>
      </w:pPr>
      <w:r w:rsidRPr="002936E7">
        <w:rPr>
          <w:rFonts w:cs="Arial"/>
          <w:color w:val="000000" w:themeColor="text1"/>
          <w:szCs w:val="24"/>
        </w:rPr>
        <w:t>Removal from the list of patients registered elsewhere</w:t>
      </w:r>
    </w:p>
    <w:p w14:paraId="37FCC71D" w14:textId="77777777" w:rsidR="00DD7D4A" w:rsidRPr="002936E7" w:rsidRDefault="00DD7D4A" w:rsidP="006C3DF5">
      <w:pPr>
        <w:pStyle w:val="ListParagraph"/>
        <w:numPr>
          <w:ilvl w:val="0"/>
          <w:numId w:val="106"/>
        </w:numPr>
        <w:spacing w:before="120" w:after="120" w:line="360" w:lineRule="auto"/>
        <w:jc w:val="both"/>
        <w:rPr>
          <w:rFonts w:cs="Arial"/>
          <w:color w:val="000000" w:themeColor="text1"/>
          <w:szCs w:val="24"/>
        </w:rPr>
      </w:pPr>
      <w:r w:rsidRPr="002936E7">
        <w:rPr>
          <w:rFonts w:cs="Arial"/>
          <w:color w:val="000000" w:themeColor="text1"/>
          <w:szCs w:val="24"/>
        </w:rPr>
        <w:t>Removal from the list of patients who have moved</w:t>
      </w:r>
    </w:p>
    <w:p w14:paraId="776F6DC9" w14:textId="77777777" w:rsidR="00DD7D4A" w:rsidRPr="002936E7" w:rsidRDefault="00DD7D4A" w:rsidP="006C3DF5">
      <w:pPr>
        <w:pStyle w:val="ListParagraph"/>
        <w:numPr>
          <w:ilvl w:val="0"/>
          <w:numId w:val="106"/>
        </w:numPr>
        <w:spacing w:before="120" w:after="120" w:line="360" w:lineRule="auto"/>
        <w:jc w:val="both"/>
        <w:rPr>
          <w:rFonts w:cs="Arial"/>
          <w:color w:val="000000" w:themeColor="text1"/>
          <w:szCs w:val="24"/>
        </w:rPr>
      </w:pPr>
      <w:r w:rsidRPr="002936E7">
        <w:rPr>
          <w:rFonts w:cs="Arial"/>
          <w:color w:val="000000" w:themeColor="text1"/>
          <w:szCs w:val="24"/>
        </w:rPr>
        <w:t>Removal from list of patients whose address is unknown</w:t>
      </w:r>
    </w:p>
    <w:p w14:paraId="08D3B873" w14:textId="77777777" w:rsidR="00DD7D4A" w:rsidRPr="002936E7" w:rsidRDefault="00DD7D4A" w:rsidP="006C3DF5">
      <w:pPr>
        <w:pStyle w:val="ListParagraph"/>
        <w:numPr>
          <w:ilvl w:val="0"/>
          <w:numId w:val="106"/>
        </w:numPr>
        <w:spacing w:before="120" w:after="120" w:line="360" w:lineRule="auto"/>
        <w:jc w:val="both"/>
        <w:rPr>
          <w:rFonts w:cs="Arial"/>
          <w:color w:val="000000" w:themeColor="text1"/>
          <w:szCs w:val="24"/>
        </w:rPr>
      </w:pPr>
      <w:r w:rsidRPr="002936E7">
        <w:rPr>
          <w:rFonts w:cs="Arial"/>
          <w:color w:val="000000" w:themeColor="text1"/>
          <w:szCs w:val="24"/>
        </w:rPr>
        <w:t>Removal from the list of patients absent from the United Kingdom etc.</w:t>
      </w:r>
    </w:p>
    <w:p w14:paraId="3D57D3FE" w14:textId="77777777" w:rsidR="00DD7D4A" w:rsidRPr="002936E7" w:rsidRDefault="00DD7D4A" w:rsidP="006C3DF5">
      <w:pPr>
        <w:pStyle w:val="ListParagraph"/>
        <w:numPr>
          <w:ilvl w:val="0"/>
          <w:numId w:val="106"/>
        </w:numPr>
        <w:spacing w:before="120" w:after="120" w:line="360" w:lineRule="auto"/>
        <w:jc w:val="both"/>
        <w:rPr>
          <w:rFonts w:cs="Arial"/>
          <w:color w:val="000000" w:themeColor="text1"/>
          <w:szCs w:val="24"/>
        </w:rPr>
      </w:pPr>
      <w:r w:rsidRPr="002936E7">
        <w:rPr>
          <w:rFonts w:cs="Arial"/>
          <w:color w:val="000000" w:themeColor="text1"/>
          <w:szCs w:val="24"/>
        </w:rPr>
        <w:t>Removal from the list of patients accepted elsewhere as temporary residents</w:t>
      </w:r>
    </w:p>
    <w:p w14:paraId="6D6C844C" w14:textId="77777777" w:rsidR="00DD7D4A" w:rsidRPr="002936E7" w:rsidRDefault="00DD7D4A" w:rsidP="006C3DF5">
      <w:pPr>
        <w:pStyle w:val="ListParagraph"/>
        <w:numPr>
          <w:ilvl w:val="0"/>
          <w:numId w:val="106"/>
        </w:numPr>
        <w:spacing w:before="120" w:after="120" w:line="360" w:lineRule="auto"/>
        <w:jc w:val="both"/>
        <w:rPr>
          <w:rFonts w:cs="Arial"/>
          <w:color w:val="000000" w:themeColor="text1"/>
          <w:szCs w:val="24"/>
        </w:rPr>
      </w:pPr>
      <w:r w:rsidRPr="002936E7">
        <w:rPr>
          <w:rFonts w:cs="Arial"/>
          <w:color w:val="000000" w:themeColor="text1"/>
          <w:szCs w:val="24"/>
        </w:rPr>
        <w:t>Removal from a list of pupils etc. of a school</w:t>
      </w:r>
    </w:p>
    <w:p w14:paraId="771C4D52" w14:textId="77777777" w:rsidR="00DD7D4A" w:rsidRPr="002936E7" w:rsidRDefault="00DD7D4A" w:rsidP="006C3DF5">
      <w:pPr>
        <w:pStyle w:val="ListParagraph"/>
        <w:numPr>
          <w:ilvl w:val="0"/>
          <w:numId w:val="106"/>
        </w:numPr>
        <w:spacing w:before="120" w:after="120" w:line="360" w:lineRule="auto"/>
        <w:jc w:val="both"/>
        <w:rPr>
          <w:rFonts w:cs="Arial"/>
          <w:color w:val="000000" w:themeColor="text1"/>
          <w:szCs w:val="24"/>
        </w:rPr>
      </w:pPr>
      <w:r w:rsidRPr="002936E7">
        <w:rPr>
          <w:rFonts w:cs="Arial"/>
          <w:color w:val="000000" w:themeColor="text1"/>
          <w:szCs w:val="24"/>
        </w:rPr>
        <w:t>Termination of responsibility for patients not registered with the contractor</w:t>
      </w:r>
    </w:p>
    <w:bookmarkEnd w:id="2200"/>
    <w:p w14:paraId="13CF2A6B" w14:textId="77777777" w:rsidR="00DD7D4A" w:rsidRDefault="00DD7D4A" w:rsidP="00DD7D4A">
      <w:pPr>
        <w:spacing w:before="120" w:after="120" w:line="360" w:lineRule="auto"/>
        <w:jc w:val="both"/>
        <w:rPr>
          <w:rFonts w:cs="Arial"/>
          <w:b/>
          <w:color w:val="000000" w:themeColor="text1"/>
          <w:szCs w:val="24"/>
          <w:u w:val="single"/>
        </w:rPr>
      </w:pPr>
    </w:p>
    <w:p w14:paraId="0D9B0671" w14:textId="77777777" w:rsidR="00DD7D4A" w:rsidRPr="00DD7D4A" w:rsidRDefault="00DD7D4A" w:rsidP="00DD7D4A">
      <w:pPr>
        <w:pStyle w:val="Heading3"/>
      </w:pPr>
      <w:r w:rsidRPr="00DD7D4A">
        <w:t>They should also have regard to paragraph 40 (GMS) and 39 (PMS) ‘factors relevant to assignments’</w:t>
      </w:r>
    </w:p>
    <w:p w14:paraId="222139A5" w14:textId="77777777" w:rsidR="00DD7D4A" w:rsidRDefault="00DD7D4A" w:rsidP="00DD7D4A">
      <w:pPr>
        <w:pStyle w:val="legp1paratext"/>
        <w:shd w:val="clear" w:color="auto" w:fill="FFFFFF"/>
        <w:spacing w:before="0" w:beforeAutospacing="0" w:after="120" w:afterAutospacing="0" w:line="360" w:lineRule="atLeast"/>
        <w:ind w:left="1440"/>
        <w:jc w:val="both"/>
        <w:rPr>
          <w:rFonts w:ascii="Arial" w:hAnsi="Arial" w:cs="Arial"/>
          <w:color w:val="000000" w:themeColor="text1"/>
        </w:rPr>
      </w:pPr>
    </w:p>
    <w:p w14:paraId="6476913C" w14:textId="77777777" w:rsidR="00DD7D4A" w:rsidRPr="00A65787" w:rsidRDefault="00DD7D4A" w:rsidP="00DD7D4A">
      <w:pPr>
        <w:pStyle w:val="legp1paratext"/>
        <w:shd w:val="clear" w:color="auto" w:fill="FFFFFF"/>
        <w:spacing w:before="0" w:beforeAutospacing="0" w:after="120" w:afterAutospacing="0" w:line="360" w:lineRule="atLeast"/>
        <w:ind w:left="1440"/>
        <w:jc w:val="both"/>
        <w:rPr>
          <w:rFonts w:ascii="Arial" w:hAnsi="Arial" w:cs="Arial"/>
          <w:color w:val="000000" w:themeColor="text1"/>
        </w:rPr>
      </w:pPr>
      <w:r w:rsidRPr="00A65787">
        <w:rPr>
          <w:rFonts w:ascii="Arial" w:hAnsi="Arial" w:cs="Arial"/>
          <w:color w:val="000000" w:themeColor="text1"/>
        </w:rPr>
        <w:t xml:space="preserve">When assigning a person as a new patient to a contractor’s list of patients under paragraph 38(1)(a) or (b), the Board must have regard to— </w:t>
      </w:r>
    </w:p>
    <w:p w14:paraId="33AEA036" w14:textId="77777777" w:rsidR="00DD7D4A" w:rsidRPr="00A65787" w:rsidRDefault="00DD7D4A" w:rsidP="00DD7D4A">
      <w:pPr>
        <w:pStyle w:val="legclearfix"/>
        <w:shd w:val="clear" w:color="auto" w:fill="FFFFFF"/>
        <w:spacing w:before="0" w:beforeAutospacing="0" w:after="120" w:afterAutospacing="0" w:line="360" w:lineRule="atLeast"/>
        <w:ind w:left="2160"/>
        <w:rPr>
          <w:rFonts w:ascii="Arial" w:hAnsi="Arial" w:cs="Arial"/>
          <w:color w:val="000000" w:themeColor="text1"/>
        </w:rPr>
      </w:pPr>
      <w:r w:rsidRPr="00A65787">
        <w:rPr>
          <w:rStyle w:val="legds"/>
          <w:rFonts w:ascii="Arial" w:hAnsi="Arial" w:cs="Arial"/>
          <w:color w:val="000000" w:themeColor="text1"/>
        </w:rPr>
        <w:t>(a)</w:t>
      </w:r>
      <w:r>
        <w:rPr>
          <w:rStyle w:val="legds"/>
          <w:rFonts w:ascii="Arial" w:hAnsi="Arial" w:cs="Arial"/>
          <w:color w:val="000000" w:themeColor="text1"/>
        </w:rPr>
        <w:t xml:space="preserve"> </w:t>
      </w:r>
      <w:r w:rsidRPr="00A65787">
        <w:rPr>
          <w:rStyle w:val="legds"/>
          <w:rFonts w:ascii="Arial" w:hAnsi="Arial" w:cs="Arial"/>
          <w:color w:val="000000" w:themeColor="text1"/>
        </w:rPr>
        <w:t>the preferences and circumstances of the person;</w:t>
      </w:r>
    </w:p>
    <w:p w14:paraId="4D45034B" w14:textId="77777777" w:rsidR="00DD7D4A" w:rsidRPr="00A65787" w:rsidRDefault="00DD7D4A" w:rsidP="00DD7D4A">
      <w:pPr>
        <w:pStyle w:val="legclearfix"/>
        <w:shd w:val="clear" w:color="auto" w:fill="FFFFFF"/>
        <w:spacing w:before="0" w:beforeAutospacing="0" w:after="120" w:afterAutospacing="0" w:line="360" w:lineRule="atLeast"/>
        <w:ind w:left="2160"/>
        <w:rPr>
          <w:rFonts w:ascii="Arial" w:hAnsi="Arial" w:cs="Arial"/>
          <w:color w:val="000000" w:themeColor="text1"/>
        </w:rPr>
      </w:pPr>
      <w:r w:rsidRPr="00A65787">
        <w:rPr>
          <w:rStyle w:val="legds"/>
          <w:rFonts w:ascii="Arial" w:hAnsi="Arial" w:cs="Arial"/>
          <w:color w:val="000000" w:themeColor="text1"/>
        </w:rPr>
        <w:t>(b)</w:t>
      </w:r>
      <w:r>
        <w:rPr>
          <w:rStyle w:val="legds"/>
          <w:rFonts w:ascii="Arial" w:hAnsi="Arial" w:cs="Arial"/>
          <w:color w:val="000000" w:themeColor="text1"/>
        </w:rPr>
        <w:t xml:space="preserve"> </w:t>
      </w:r>
      <w:r w:rsidRPr="00A65787">
        <w:rPr>
          <w:rStyle w:val="legds"/>
          <w:rFonts w:ascii="Arial" w:hAnsi="Arial" w:cs="Arial"/>
          <w:color w:val="000000" w:themeColor="text1"/>
        </w:rPr>
        <w:t>the distance between the person’s place of residence and the contractor’s practice premises;</w:t>
      </w:r>
    </w:p>
    <w:p w14:paraId="6B9C3F9E" w14:textId="77777777" w:rsidR="00DD7D4A" w:rsidRPr="00A65787" w:rsidRDefault="00DD7D4A" w:rsidP="00DD7D4A">
      <w:pPr>
        <w:pStyle w:val="legclearfix"/>
        <w:shd w:val="clear" w:color="auto" w:fill="FFFFFF"/>
        <w:spacing w:before="0" w:beforeAutospacing="0" w:after="120" w:afterAutospacing="0" w:line="360" w:lineRule="atLeast"/>
        <w:ind w:left="2160"/>
        <w:rPr>
          <w:rFonts w:ascii="Arial" w:hAnsi="Arial" w:cs="Arial"/>
          <w:color w:val="000000" w:themeColor="text1"/>
        </w:rPr>
      </w:pPr>
      <w:r w:rsidRPr="00A65787">
        <w:rPr>
          <w:rStyle w:val="legds"/>
          <w:rFonts w:ascii="Arial" w:hAnsi="Arial" w:cs="Arial"/>
          <w:color w:val="000000" w:themeColor="text1"/>
        </w:rPr>
        <w:t>(c)</w:t>
      </w:r>
      <w:r>
        <w:rPr>
          <w:rStyle w:val="legds"/>
          <w:rFonts w:ascii="Arial" w:hAnsi="Arial" w:cs="Arial"/>
          <w:color w:val="000000" w:themeColor="text1"/>
        </w:rPr>
        <w:t xml:space="preserve"> </w:t>
      </w:r>
      <w:r w:rsidRPr="00A65787">
        <w:rPr>
          <w:rStyle w:val="legds"/>
          <w:rFonts w:ascii="Arial" w:hAnsi="Arial" w:cs="Arial"/>
          <w:color w:val="000000" w:themeColor="text1"/>
        </w:rPr>
        <w:t>any request made by a contractor to remove the person from its list of patients within the preceding period of six months beginning with the date on which the application for assignment is received by the Board;</w:t>
      </w:r>
    </w:p>
    <w:p w14:paraId="64417566" w14:textId="77777777" w:rsidR="00DD7D4A" w:rsidRPr="00A65787" w:rsidRDefault="00DD7D4A" w:rsidP="00DD7D4A">
      <w:pPr>
        <w:pStyle w:val="legclearfix"/>
        <w:shd w:val="clear" w:color="auto" w:fill="FFFFFF"/>
        <w:spacing w:before="0" w:beforeAutospacing="0" w:after="120" w:afterAutospacing="0" w:line="360" w:lineRule="atLeast"/>
        <w:ind w:left="2160"/>
        <w:rPr>
          <w:rFonts w:ascii="Arial" w:hAnsi="Arial" w:cs="Arial"/>
          <w:color w:val="000000" w:themeColor="text1"/>
        </w:rPr>
      </w:pPr>
      <w:r w:rsidRPr="00A65787">
        <w:rPr>
          <w:rStyle w:val="legds"/>
          <w:rFonts w:ascii="Arial" w:hAnsi="Arial" w:cs="Arial"/>
          <w:color w:val="000000" w:themeColor="text1"/>
        </w:rPr>
        <w:t>(d)</w:t>
      </w:r>
      <w:r>
        <w:rPr>
          <w:rStyle w:val="legds"/>
          <w:rFonts w:ascii="Arial" w:hAnsi="Arial" w:cs="Arial"/>
          <w:color w:val="000000" w:themeColor="text1"/>
        </w:rPr>
        <w:t xml:space="preserve"> </w:t>
      </w:r>
      <w:r w:rsidRPr="00A65787">
        <w:rPr>
          <w:rStyle w:val="legds"/>
          <w:rFonts w:ascii="Arial" w:hAnsi="Arial" w:cs="Arial"/>
          <w:color w:val="000000" w:themeColor="text1"/>
        </w:rPr>
        <w:t>whether, during the preceding period of six months beginning with the date on which the application for assignment is received by the Board, the person has been removed from a list of patients on the grounds referred to in—</w:t>
      </w:r>
    </w:p>
    <w:p w14:paraId="3E41C490" w14:textId="77777777" w:rsidR="00DD7D4A" w:rsidRPr="00A65787" w:rsidRDefault="00DD7D4A" w:rsidP="00DD7D4A">
      <w:pPr>
        <w:pStyle w:val="legclearfix"/>
        <w:shd w:val="clear" w:color="auto" w:fill="FFFFFF"/>
        <w:spacing w:before="0" w:beforeAutospacing="0" w:after="120" w:afterAutospacing="0" w:line="360" w:lineRule="atLeast"/>
        <w:ind w:left="2880"/>
        <w:rPr>
          <w:rFonts w:ascii="Arial" w:hAnsi="Arial" w:cs="Arial"/>
          <w:color w:val="000000" w:themeColor="text1"/>
        </w:rPr>
      </w:pPr>
      <w:r w:rsidRPr="00A65787">
        <w:rPr>
          <w:rStyle w:val="legds"/>
          <w:rFonts w:ascii="Arial" w:hAnsi="Arial" w:cs="Arial"/>
          <w:color w:val="000000" w:themeColor="text1"/>
        </w:rPr>
        <w:t>(i)</w:t>
      </w:r>
      <w:r>
        <w:rPr>
          <w:rStyle w:val="legds"/>
          <w:rFonts w:ascii="Arial" w:hAnsi="Arial" w:cs="Arial"/>
          <w:color w:val="000000" w:themeColor="text1"/>
        </w:rPr>
        <w:t xml:space="preserve"> </w:t>
      </w:r>
      <w:r w:rsidRPr="00A65787">
        <w:rPr>
          <w:rStyle w:val="legds"/>
          <w:rFonts w:ascii="Arial" w:hAnsi="Arial" w:cs="Arial"/>
          <w:color w:val="000000" w:themeColor="text1"/>
        </w:rPr>
        <w:t>paragraph 23 (relating to circumstances in which a patient may be removed from a contractor’s list of patients at the request of the contractor),</w:t>
      </w:r>
    </w:p>
    <w:p w14:paraId="7C1EA179" w14:textId="77777777" w:rsidR="00DD7D4A" w:rsidRPr="00A65787" w:rsidRDefault="00DD7D4A" w:rsidP="00DD7D4A">
      <w:pPr>
        <w:pStyle w:val="legclearfix"/>
        <w:shd w:val="clear" w:color="auto" w:fill="FFFFFF"/>
        <w:spacing w:before="0" w:beforeAutospacing="0" w:after="120" w:afterAutospacing="0" w:line="360" w:lineRule="atLeast"/>
        <w:ind w:left="2880"/>
        <w:rPr>
          <w:rFonts w:ascii="Arial" w:hAnsi="Arial" w:cs="Arial"/>
          <w:color w:val="000000" w:themeColor="text1"/>
        </w:rPr>
      </w:pPr>
      <w:r w:rsidRPr="00A65787">
        <w:rPr>
          <w:rStyle w:val="legds"/>
          <w:rFonts w:ascii="Arial" w:hAnsi="Arial" w:cs="Arial"/>
          <w:color w:val="000000" w:themeColor="text1"/>
        </w:rPr>
        <w:t>(ii)</w:t>
      </w:r>
      <w:r>
        <w:rPr>
          <w:rStyle w:val="legds"/>
          <w:rFonts w:ascii="Arial" w:hAnsi="Arial" w:cs="Arial"/>
          <w:color w:val="000000" w:themeColor="text1"/>
        </w:rPr>
        <w:t xml:space="preserve"> </w:t>
      </w:r>
      <w:r w:rsidRPr="00A65787">
        <w:rPr>
          <w:rStyle w:val="legds"/>
          <w:rFonts w:ascii="Arial" w:hAnsi="Arial" w:cs="Arial"/>
          <w:color w:val="000000" w:themeColor="text1"/>
        </w:rPr>
        <w:t>paragraph 24 (relating to circumstances in which a patient who is violent may be removed from a contractor’s list of patients), or</w:t>
      </w:r>
    </w:p>
    <w:p w14:paraId="3E25A501" w14:textId="77777777" w:rsidR="00DD7D4A" w:rsidRPr="00A65787" w:rsidRDefault="00DD7D4A" w:rsidP="00DD7D4A">
      <w:pPr>
        <w:pStyle w:val="legclearfix"/>
        <w:shd w:val="clear" w:color="auto" w:fill="FFFFFF"/>
        <w:spacing w:before="0" w:beforeAutospacing="0" w:after="120" w:afterAutospacing="0" w:line="360" w:lineRule="atLeast"/>
        <w:ind w:left="2880"/>
        <w:rPr>
          <w:rFonts w:ascii="Arial" w:hAnsi="Arial" w:cs="Arial"/>
          <w:color w:val="000000" w:themeColor="text1"/>
        </w:rPr>
      </w:pPr>
      <w:r w:rsidRPr="00A65787">
        <w:rPr>
          <w:rStyle w:val="legds"/>
          <w:rFonts w:ascii="Arial" w:hAnsi="Arial" w:cs="Arial"/>
          <w:color w:val="000000" w:themeColor="text1"/>
        </w:rPr>
        <w:t>(iii</w:t>
      </w:r>
      <w:r>
        <w:rPr>
          <w:rStyle w:val="legds"/>
          <w:rFonts w:ascii="Arial" w:hAnsi="Arial" w:cs="Arial"/>
          <w:color w:val="000000" w:themeColor="text1"/>
        </w:rPr>
        <w:t xml:space="preserve"> </w:t>
      </w:r>
      <w:r w:rsidRPr="00A65787">
        <w:rPr>
          <w:rStyle w:val="legds"/>
          <w:rFonts w:ascii="Arial" w:hAnsi="Arial" w:cs="Arial"/>
          <w:color w:val="000000" w:themeColor="text1"/>
        </w:rPr>
        <w:t>the equivalent provisions to those paragraphs in relation to arrangements made under section 83(2) of</w:t>
      </w:r>
      <w:r w:rsidRPr="00A65787">
        <w:rPr>
          <w:rStyle w:val="apple-converted-space"/>
          <w:rFonts w:ascii="Arial" w:hAnsi="Arial" w:cs="Arial"/>
          <w:color w:val="000000" w:themeColor="text1"/>
        </w:rPr>
        <w:t> </w:t>
      </w:r>
      <w:r w:rsidRPr="00A65787">
        <w:rPr>
          <w:rStyle w:val="legds"/>
          <w:rFonts w:ascii="Arial" w:hAnsi="Arial" w:cs="Arial"/>
          <w:color w:val="000000" w:themeColor="text1"/>
        </w:rPr>
        <w:t>the Act(</w:t>
      </w:r>
      <w:hyperlink r:id="rId165" w:anchor="f00151" w:tooltip="Go to footnote 1" w:history="1">
        <w:r w:rsidRPr="00A65787">
          <w:rPr>
            <w:rStyle w:val="Hyperlink"/>
            <w:rFonts w:ascii="Arial" w:hAnsi="Arial" w:cs="Arial"/>
            <w:b/>
            <w:bCs/>
            <w:color w:val="000000" w:themeColor="text1"/>
          </w:rPr>
          <w:t>1</w:t>
        </w:r>
      </w:hyperlink>
      <w:r w:rsidRPr="00A65787">
        <w:rPr>
          <w:rStyle w:val="legds"/>
          <w:rFonts w:ascii="Arial" w:hAnsi="Arial" w:cs="Arial"/>
          <w:color w:val="000000" w:themeColor="text1"/>
        </w:rPr>
        <w:t>) (which relates to the provision of primary medical services) or under a contract made in accordance with the</w:t>
      </w:r>
      <w:r w:rsidRPr="00A65787">
        <w:rPr>
          <w:rStyle w:val="apple-converted-space"/>
          <w:rFonts w:ascii="Arial" w:hAnsi="Arial" w:cs="Arial"/>
          <w:color w:val="000000" w:themeColor="text1"/>
        </w:rPr>
        <w:t> </w:t>
      </w:r>
      <w:r w:rsidRPr="00A65787">
        <w:rPr>
          <w:rStyle w:val="legds"/>
          <w:rFonts w:ascii="Arial" w:hAnsi="Arial" w:cs="Arial"/>
          <w:color w:val="000000" w:themeColor="text1"/>
        </w:rPr>
        <w:t>General Medical Services Contracts Regulations;</w:t>
      </w:r>
    </w:p>
    <w:p w14:paraId="4537EF8E" w14:textId="77777777" w:rsidR="00DD7D4A" w:rsidRPr="00A65787" w:rsidRDefault="00DD7D4A" w:rsidP="00DD7D4A">
      <w:pPr>
        <w:pStyle w:val="legclearfix"/>
        <w:shd w:val="clear" w:color="auto" w:fill="FFFFFF"/>
        <w:spacing w:before="0" w:beforeAutospacing="0" w:after="120" w:afterAutospacing="0" w:line="360" w:lineRule="atLeast"/>
        <w:ind w:left="2160"/>
        <w:rPr>
          <w:rFonts w:ascii="Arial" w:hAnsi="Arial" w:cs="Arial"/>
          <w:color w:val="000000" w:themeColor="text1"/>
        </w:rPr>
      </w:pPr>
      <w:r w:rsidRPr="00A65787">
        <w:rPr>
          <w:rStyle w:val="legds"/>
          <w:rFonts w:ascii="Arial" w:hAnsi="Arial" w:cs="Arial"/>
          <w:color w:val="000000" w:themeColor="text1"/>
        </w:rPr>
        <w:t>(e)</w:t>
      </w:r>
      <w:r>
        <w:rPr>
          <w:rStyle w:val="legds"/>
          <w:rFonts w:ascii="Arial" w:hAnsi="Arial" w:cs="Arial"/>
          <w:color w:val="000000" w:themeColor="text1"/>
        </w:rPr>
        <w:t xml:space="preserve"> </w:t>
      </w:r>
      <w:r w:rsidRPr="00A65787">
        <w:rPr>
          <w:rStyle w:val="legds"/>
          <w:rFonts w:ascii="Arial" w:hAnsi="Arial" w:cs="Arial"/>
          <w:color w:val="000000" w:themeColor="text1"/>
        </w:rPr>
        <w:t>in a case to which sub-paragraph (d)(ii) applies (or to which the equivalent provisions as mentioned in sub-paragraph (d)(iii) apply), whether the contractor has appropriate facilities to deal with such patients; and</w:t>
      </w:r>
    </w:p>
    <w:p w14:paraId="0DEDEC69" w14:textId="77777777" w:rsidR="00DD7D4A" w:rsidRPr="00A65787" w:rsidRDefault="00DD7D4A" w:rsidP="00DD7D4A">
      <w:pPr>
        <w:pStyle w:val="legclearfix"/>
        <w:shd w:val="clear" w:color="auto" w:fill="FFFFFF"/>
        <w:spacing w:before="0" w:beforeAutospacing="0" w:after="120" w:afterAutospacing="0" w:line="360" w:lineRule="atLeast"/>
        <w:ind w:left="2160"/>
        <w:rPr>
          <w:rFonts w:ascii="Arial" w:hAnsi="Arial" w:cs="Arial"/>
          <w:color w:val="000000" w:themeColor="text1"/>
        </w:rPr>
      </w:pPr>
      <w:r w:rsidRPr="00A65787">
        <w:rPr>
          <w:rStyle w:val="legds"/>
          <w:rFonts w:ascii="Arial" w:hAnsi="Arial" w:cs="Arial"/>
          <w:color w:val="000000" w:themeColor="text1"/>
        </w:rPr>
        <w:t>(f)</w:t>
      </w:r>
      <w:r>
        <w:rPr>
          <w:rStyle w:val="legds"/>
          <w:rFonts w:ascii="Arial" w:hAnsi="Arial" w:cs="Arial"/>
          <w:color w:val="000000" w:themeColor="text1"/>
        </w:rPr>
        <w:t xml:space="preserve"> </w:t>
      </w:r>
      <w:r w:rsidRPr="00A65787">
        <w:rPr>
          <w:rStyle w:val="legds"/>
          <w:rFonts w:ascii="Arial" w:hAnsi="Arial" w:cs="Arial"/>
          <w:color w:val="000000" w:themeColor="text1"/>
        </w:rPr>
        <w:t>such other matters as the Board considers relevant.</w:t>
      </w:r>
    </w:p>
    <w:p w14:paraId="5A02AD27" w14:textId="77777777" w:rsidR="00DD7D4A" w:rsidRPr="00B05A78" w:rsidRDefault="00DD7D4A" w:rsidP="00DD7D4A">
      <w:pPr>
        <w:pStyle w:val="ListParagraph"/>
        <w:spacing w:before="120" w:after="120" w:line="360" w:lineRule="auto"/>
        <w:ind w:left="2160"/>
        <w:jc w:val="both"/>
        <w:rPr>
          <w:rFonts w:cs="Arial"/>
          <w:color w:val="000000" w:themeColor="text1"/>
          <w:szCs w:val="24"/>
        </w:rPr>
      </w:pPr>
    </w:p>
    <w:p w14:paraId="33B9A409" w14:textId="77777777" w:rsidR="00DD7D4A" w:rsidRPr="00CC6D16" w:rsidRDefault="00DD7D4A" w:rsidP="00DD7D4A">
      <w:pPr>
        <w:pStyle w:val="Heading2"/>
      </w:pPr>
      <w:bookmarkStart w:id="2203" w:name="_Toc95743541"/>
      <w:r>
        <w:t>Engagement and re-procurement</w:t>
      </w:r>
      <w:bookmarkEnd w:id="2203"/>
      <w:r>
        <w:t xml:space="preserve"> </w:t>
      </w:r>
    </w:p>
    <w:p w14:paraId="73D6B233" w14:textId="77777777" w:rsidR="00DD7D4A" w:rsidRDefault="00DD7D4A" w:rsidP="00DD7D4A">
      <w:pPr>
        <w:spacing w:before="120" w:after="120" w:line="276" w:lineRule="auto"/>
        <w:jc w:val="both"/>
        <w:rPr>
          <w:rFonts w:cs="Arial"/>
          <w:color w:val="000000" w:themeColor="text1"/>
          <w:szCs w:val="24"/>
        </w:rPr>
      </w:pPr>
    </w:p>
    <w:p w14:paraId="459D2670" w14:textId="180B33DB" w:rsidR="00DD7D4A" w:rsidRDefault="00DD7D4A" w:rsidP="00DD7D4A">
      <w:pPr>
        <w:pStyle w:val="Heading3"/>
      </w:pPr>
      <w:r>
        <w:t xml:space="preserve">Where arrangements have been made for </w:t>
      </w:r>
      <w:r w:rsidR="00E5426B">
        <w:t xml:space="preserve">a </w:t>
      </w:r>
      <w:r>
        <w:t>caretaker to temporarily manage the GP practice (refer to the Urgent Contract section within the contract described chapter)</w:t>
      </w:r>
      <w:r w:rsidRPr="004B3D15">
        <w:t>,</w:t>
      </w:r>
      <w:r>
        <w:t xml:space="preserve"> or a practice has terminated a contract with little notice</w:t>
      </w:r>
      <w:r w:rsidR="00E5426B">
        <w:t>,</w:t>
      </w:r>
      <w:r>
        <w:t xml:space="preserve"> (e.g. 6 month</w:t>
      </w:r>
      <w:r w:rsidR="00E5426B">
        <w:t>s</w:t>
      </w:r>
      <w:r>
        <w:t>) the Commissioner should refer to the</w:t>
      </w:r>
      <w:r w:rsidRPr="004B3D15">
        <w:t xml:space="preserve"> </w:t>
      </w:r>
      <w:r>
        <w:t>3 stages and templates listed in this policy and guidance manual under the chapter on Planned Closedown.</w:t>
      </w:r>
    </w:p>
    <w:p w14:paraId="6344D27F" w14:textId="1E20BA2F" w:rsidR="00DD7D4A" w:rsidRDefault="00DD7D4A" w:rsidP="00DD7D4A">
      <w:pPr>
        <w:pStyle w:val="Heading3"/>
      </w:pPr>
      <w:r>
        <w:t xml:space="preserve">It is recognised that is may not be possible to undertake each of these stages as vigorously or at the same length as if there was a 12-15 months period available as is often the case with a planned closure.  </w:t>
      </w:r>
    </w:p>
    <w:p w14:paraId="2222A642" w14:textId="4474F5CD" w:rsidR="00DD7D4A" w:rsidRDefault="00DD7D4A" w:rsidP="00DD7D4A">
      <w:pPr>
        <w:pStyle w:val="Heading3"/>
      </w:pPr>
      <w:r w:rsidRPr="00C80C4D">
        <w:t xml:space="preserve">NHS England has a number of statutory duties relating to the exercise of its functions including reducing health inequalities and public involvement. The Commissioner must ensure that its actions in </w:t>
      </w:r>
      <w:r>
        <w:t>re-procuring</w:t>
      </w:r>
      <w:r w:rsidRPr="00C80C4D">
        <w:t xml:space="preserve"> a contract </w:t>
      </w:r>
      <w:r>
        <w:t xml:space="preserve">or dispersing a list </w:t>
      </w:r>
      <w:r w:rsidRPr="00C80C4D">
        <w:t xml:space="preserve">and any consequential actions ensure compliance with these duties. </w:t>
      </w:r>
      <w:r>
        <w:t>Please refer to the chapter on General Duties for further guidance.</w:t>
      </w:r>
    </w:p>
    <w:p w14:paraId="2650F411" w14:textId="00D11122" w:rsidR="00DD7D4A" w:rsidRDefault="00DD7D4A" w:rsidP="00DD7D4A">
      <w:pPr>
        <w:pStyle w:val="Heading3"/>
      </w:pPr>
      <w:r>
        <w:t>However, i</w:t>
      </w:r>
      <w:r w:rsidRPr="00C80C4D">
        <w:t>n an urgent situation, it may be necessary to balance the duty to involve with public interest in maintaining continuity of care and protecting the health, safety and welfare of patients or staff.</w:t>
      </w:r>
      <w:r>
        <w:t xml:space="preserve"> If a Commissioner considers acting in a way that may not comply with its statutory duties, it should seek further advice.</w:t>
      </w:r>
    </w:p>
    <w:p w14:paraId="0C9FCD8B" w14:textId="7A7EE630" w:rsidR="00ED52FA" w:rsidRDefault="00ED52FA" w:rsidP="00ED52FA"/>
    <w:p w14:paraId="60A99B01" w14:textId="18517F8F" w:rsidR="00ED52FA" w:rsidRPr="002F2E02" w:rsidRDefault="00ED52FA" w:rsidP="002F2E02">
      <w:pPr>
        <w:pStyle w:val="Heading2"/>
        <w:rPr>
          <w:b w:val="0"/>
        </w:rPr>
      </w:pPr>
      <w:bookmarkStart w:id="2204" w:name="_Toc95743542"/>
      <w:r w:rsidRPr="002F2E02">
        <w:t>Links to relevant PCS</w:t>
      </w:r>
      <w:r w:rsidR="002906FF">
        <w:t>E</w:t>
      </w:r>
      <w:r w:rsidRPr="002F2E02">
        <w:t xml:space="preserve"> information and documentation</w:t>
      </w:r>
      <w:bookmarkEnd w:id="2204"/>
    </w:p>
    <w:p w14:paraId="65AC4E00" w14:textId="77777777" w:rsidR="00ED52FA" w:rsidRDefault="00ED52FA" w:rsidP="00ED52FA">
      <w:pPr>
        <w:widowControl w:val="0"/>
        <w:spacing w:line="360" w:lineRule="auto"/>
        <w:jc w:val="both"/>
        <w:rPr>
          <w:rFonts w:cs="Arial"/>
          <w:bCs w:val="0"/>
          <w:szCs w:val="24"/>
          <w:lang w:eastAsia="en-GB"/>
        </w:rPr>
      </w:pPr>
    </w:p>
    <w:p w14:paraId="1E3951A2" w14:textId="77777777" w:rsidR="00ED52FA" w:rsidRDefault="00ED52FA" w:rsidP="006C3DF5">
      <w:pPr>
        <w:pStyle w:val="ListParagraph"/>
        <w:widowControl w:val="0"/>
        <w:numPr>
          <w:ilvl w:val="0"/>
          <w:numId w:val="123"/>
        </w:numPr>
        <w:spacing w:line="360" w:lineRule="auto"/>
        <w:jc w:val="both"/>
      </w:pPr>
      <w:r w:rsidRPr="006E56A4">
        <w:rPr>
          <w:rFonts w:cs="Arial"/>
          <w:bCs w:val="0"/>
          <w:szCs w:val="24"/>
          <w:lang w:eastAsia="en-GB"/>
        </w:rPr>
        <w:t xml:space="preserve">Performer list </w:t>
      </w:r>
      <w:hyperlink r:id="rId166" w:history="1">
        <w:r>
          <w:rPr>
            <w:rStyle w:val="Hyperlink"/>
          </w:rPr>
          <w:t>https://pcse.england.nhs.uk/services/performers-lists/</w:t>
        </w:r>
      </w:hyperlink>
    </w:p>
    <w:p w14:paraId="17FD8274" w14:textId="77777777" w:rsidR="00ED52FA" w:rsidRDefault="00ED52FA" w:rsidP="006C3DF5">
      <w:pPr>
        <w:pStyle w:val="ListParagraph"/>
        <w:widowControl w:val="0"/>
        <w:numPr>
          <w:ilvl w:val="0"/>
          <w:numId w:val="123"/>
        </w:numPr>
        <w:spacing w:line="360" w:lineRule="auto"/>
        <w:jc w:val="both"/>
      </w:pPr>
      <w:r w:rsidRPr="006E56A4">
        <w:rPr>
          <w:rFonts w:cs="Arial"/>
          <w:bCs w:val="0"/>
          <w:szCs w:val="24"/>
          <w:lang w:eastAsia="en-GB"/>
        </w:rPr>
        <w:t xml:space="preserve">Practice Mergers and Closure </w:t>
      </w:r>
      <w:hyperlink r:id="rId167" w:history="1">
        <w:r>
          <w:rPr>
            <w:rStyle w:val="Hyperlink"/>
          </w:rPr>
          <w:t>https://pcse.england.nhs.uk/services/practice-mergers-and-closures-notifications/</w:t>
        </w:r>
      </w:hyperlink>
    </w:p>
    <w:p w14:paraId="7151AD81" w14:textId="77777777" w:rsidR="00ED52FA" w:rsidRPr="00ED52FA" w:rsidRDefault="00ED52FA" w:rsidP="002F2E02"/>
    <w:p w14:paraId="0AAFEB99" w14:textId="77777777" w:rsidR="00DD7D4A" w:rsidRDefault="00DD7D4A" w:rsidP="00DD7D4A">
      <w:pPr>
        <w:pStyle w:val="ListParagraph"/>
        <w:spacing w:before="120" w:after="120" w:line="360" w:lineRule="auto"/>
        <w:rPr>
          <w:rFonts w:cs="Arial"/>
          <w:color w:val="000000" w:themeColor="text1"/>
          <w:szCs w:val="24"/>
        </w:rPr>
      </w:pPr>
    </w:p>
    <w:p w14:paraId="19EE01A2" w14:textId="39F2E3C6" w:rsidR="00DD7D4A" w:rsidRDefault="00621A73" w:rsidP="00DD7D4A">
      <w:pPr>
        <w:rPr>
          <w:rFonts w:cs="Arial"/>
          <w:color w:val="000000" w:themeColor="text1"/>
          <w:szCs w:val="24"/>
        </w:rPr>
      </w:pPr>
      <w:r>
        <w:rPr>
          <w:rFonts w:cs="Arial"/>
          <w:color w:val="000000" w:themeColor="text1"/>
          <w:szCs w:val="24"/>
        </w:rPr>
        <w:t xml:space="preserve"> </w:t>
      </w:r>
      <w:r w:rsidR="00DD7D4A">
        <w:rPr>
          <w:rFonts w:cs="Arial"/>
          <w:color w:val="000000" w:themeColor="text1"/>
          <w:szCs w:val="24"/>
        </w:rPr>
        <w:br w:type="page"/>
      </w:r>
    </w:p>
    <w:p w14:paraId="5BC316ED" w14:textId="6F8AFE25" w:rsidR="0007271E" w:rsidRDefault="0007271E" w:rsidP="0007271E">
      <w:pPr>
        <w:pStyle w:val="Heading1"/>
        <w:rPr>
          <w:lang w:eastAsia="en-GB"/>
        </w:rPr>
      </w:pPr>
      <w:bookmarkStart w:id="2205" w:name="_Toc536023671"/>
      <w:bookmarkStart w:id="2206" w:name="_Toc536182452"/>
      <w:bookmarkStart w:id="2207" w:name="_Toc536198984"/>
      <w:bookmarkStart w:id="2208" w:name="_Toc536520966"/>
      <w:bookmarkStart w:id="2209" w:name="_Toc536521207"/>
      <w:bookmarkStart w:id="2210" w:name="_Toc536521447"/>
      <w:bookmarkStart w:id="2211" w:name="_Toc536521730"/>
      <w:bookmarkStart w:id="2212" w:name="_Toc536521972"/>
      <w:bookmarkStart w:id="2213" w:name="_Toc536522212"/>
      <w:bookmarkStart w:id="2214" w:name="_Toc536522453"/>
      <w:bookmarkStart w:id="2215" w:name="_Toc536601213"/>
      <w:bookmarkStart w:id="2216" w:name="_Toc536623211"/>
      <w:bookmarkStart w:id="2217" w:name="_Toc536714890"/>
      <w:bookmarkStart w:id="2218" w:name="_Toc187381"/>
      <w:bookmarkStart w:id="2219" w:name="_Toc188334"/>
      <w:bookmarkStart w:id="2220" w:name="_Toc536023672"/>
      <w:bookmarkStart w:id="2221" w:name="_Toc536182453"/>
      <w:bookmarkStart w:id="2222" w:name="_Toc536198985"/>
      <w:bookmarkStart w:id="2223" w:name="_Toc536520967"/>
      <w:bookmarkStart w:id="2224" w:name="_Toc536521208"/>
      <w:bookmarkStart w:id="2225" w:name="_Toc536521448"/>
      <w:bookmarkStart w:id="2226" w:name="_Toc536521731"/>
      <w:bookmarkStart w:id="2227" w:name="_Toc536521973"/>
      <w:bookmarkStart w:id="2228" w:name="_Toc536522213"/>
      <w:bookmarkStart w:id="2229" w:name="_Toc536522454"/>
      <w:bookmarkStart w:id="2230" w:name="_Toc536601214"/>
      <w:bookmarkStart w:id="2231" w:name="_Toc536623212"/>
      <w:bookmarkStart w:id="2232" w:name="_Toc536714891"/>
      <w:bookmarkStart w:id="2233" w:name="_Toc187382"/>
      <w:bookmarkStart w:id="2234" w:name="_Toc188335"/>
      <w:bookmarkStart w:id="2235" w:name="_Toc536023673"/>
      <w:bookmarkStart w:id="2236" w:name="_Toc536182454"/>
      <w:bookmarkStart w:id="2237" w:name="_Toc536198986"/>
      <w:bookmarkStart w:id="2238" w:name="_Toc536520968"/>
      <w:bookmarkStart w:id="2239" w:name="_Toc536521209"/>
      <w:bookmarkStart w:id="2240" w:name="_Toc536521449"/>
      <w:bookmarkStart w:id="2241" w:name="_Toc536521732"/>
      <w:bookmarkStart w:id="2242" w:name="_Toc536521974"/>
      <w:bookmarkStart w:id="2243" w:name="_Toc536522214"/>
      <w:bookmarkStart w:id="2244" w:name="_Toc536522455"/>
      <w:bookmarkStart w:id="2245" w:name="_Toc536601215"/>
      <w:bookmarkStart w:id="2246" w:name="_Toc536623213"/>
      <w:bookmarkStart w:id="2247" w:name="_Toc536714892"/>
      <w:bookmarkStart w:id="2248" w:name="_Toc187383"/>
      <w:bookmarkStart w:id="2249" w:name="_Toc188336"/>
      <w:bookmarkStart w:id="2250" w:name="_Toc536023674"/>
      <w:bookmarkStart w:id="2251" w:name="_Toc536182455"/>
      <w:bookmarkStart w:id="2252" w:name="_Toc536198987"/>
      <w:bookmarkStart w:id="2253" w:name="_Toc536520969"/>
      <w:bookmarkStart w:id="2254" w:name="_Toc536521210"/>
      <w:bookmarkStart w:id="2255" w:name="_Toc536521450"/>
      <w:bookmarkStart w:id="2256" w:name="_Toc536521733"/>
      <w:bookmarkStart w:id="2257" w:name="_Toc536521975"/>
      <w:bookmarkStart w:id="2258" w:name="_Toc536522215"/>
      <w:bookmarkStart w:id="2259" w:name="_Toc536522456"/>
      <w:bookmarkStart w:id="2260" w:name="_Toc536601216"/>
      <w:bookmarkStart w:id="2261" w:name="_Toc536623214"/>
      <w:bookmarkStart w:id="2262" w:name="_Toc536714893"/>
      <w:bookmarkStart w:id="2263" w:name="_Toc187384"/>
      <w:bookmarkStart w:id="2264" w:name="_Toc188337"/>
      <w:bookmarkStart w:id="2265" w:name="_Toc536023675"/>
      <w:bookmarkStart w:id="2266" w:name="_Toc536182456"/>
      <w:bookmarkStart w:id="2267" w:name="_Toc536198988"/>
      <w:bookmarkStart w:id="2268" w:name="_Toc536520970"/>
      <w:bookmarkStart w:id="2269" w:name="_Toc536521211"/>
      <w:bookmarkStart w:id="2270" w:name="_Toc536521451"/>
      <w:bookmarkStart w:id="2271" w:name="_Toc536521734"/>
      <w:bookmarkStart w:id="2272" w:name="_Toc536521976"/>
      <w:bookmarkStart w:id="2273" w:name="_Toc536522216"/>
      <w:bookmarkStart w:id="2274" w:name="_Toc536522457"/>
      <w:bookmarkStart w:id="2275" w:name="_Toc536601217"/>
      <w:bookmarkStart w:id="2276" w:name="_Toc536623215"/>
      <w:bookmarkStart w:id="2277" w:name="_Toc536714894"/>
      <w:bookmarkStart w:id="2278" w:name="_Toc187385"/>
      <w:bookmarkStart w:id="2279" w:name="_Toc188338"/>
      <w:bookmarkStart w:id="2280" w:name="_Toc536023676"/>
      <w:bookmarkStart w:id="2281" w:name="_Toc536182457"/>
      <w:bookmarkStart w:id="2282" w:name="_Toc536198989"/>
      <w:bookmarkStart w:id="2283" w:name="_Toc536520971"/>
      <w:bookmarkStart w:id="2284" w:name="_Toc536521212"/>
      <w:bookmarkStart w:id="2285" w:name="_Toc536521452"/>
      <w:bookmarkStart w:id="2286" w:name="_Toc536521735"/>
      <w:bookmarkStart w:id="2287" w:name="_Toc536521977"/>
      <w:bookmarkStart w:id="2288" w:name="_Toc536522217"/>
      <w:bookmarkStart w:id="2289" w:name="_Toc536522458"/>
      <w:bookmarkStart w:id="2290" w:name="_Toc536601218"/>
      <w:bookmarkStart w:id="2291" w:name="_Toc536623216"/>
      <w:bookmarkStart w:id="2292" w:name="_Toc536714895"/>
      <w:bookmarkStart w:id="2293" w:name="_Toc187386"/>
      <w:bookmarkStart w:id="2294" w:name="_Toc188339"/>
      <w:bookmarkStart w:id="2295" w:name="_Toc536023677"/>
      <w:bookmarkStart w:id="2296" w:name="_Toc536182458"/>
      <w:bookmarkStart w:id="2297" w:name="_Toc536198990"/>
      <w:bookmarkStart w:id="2298" w:name="_Toc536520972"/>
      <w:bookmarkStart w:id="2299" w:name="_Toc536521213"/>
      <w:bookmarkStart w:id="2300" w:name="_Toc536521453"/>
      <w:bookmarkStart w:id="2301" w:name="_Toc536521736"/>
      <w:bookmarkStart w:id="2302" w:name="_Toc536521978"/>
      <w:bookmarkStart w:id="2303" w:name="_Toc536522218"/>
      <w:bookmarkStart w:id="2304" w:name="_Toc536522459"/>
      <w:bookmarkStart w:id="2305" w:name="_Toc536601219"/>
      <w:bookmarkStart w:id="2306" w:name="_Toc536623217"/>
      <w:bookmarkStart w:id="2307" w:name="_Toc536714896"/>
      <w:bookmarkStart w:id="2308" w:name="_Toc187387"/>
      <w:bookmarkStart w:id="2309" w:name="_Toc188340"/>
      <w:bookmarkStart w:id="2310" w:name="_Toc536023678"/>
      <w:bookmarkStart w:id="2311" w:name="_Toc536182459"/>
      <w:bookmarkStart w:id="2312" w:name="_Toc536198991"/>
      <w:bookmarkStart w:id="2313" w:name="_Toc536520973"/>
      <w:bookmarkStart w:id="2314" w:name="_Toc536521214"/>
      <w:bookmarkStart w:id="2315" w:name="_Toc536521454"/>
      <w:bookmarkStart w:id="2316" w:name="_Toc536521737"/>
      <w:bookmarkStart w:id="2317" w:name="_Toc536521979"/>
      <w:bookmarkStart w:id="2318" w:name="_Toc536522219"/>
      <w:bookmarkStart w:id="2319" w:name="_Toc536522460"/>
      <w:bookmarkStart w:id="2320" w:name="_Toc536601220"/>
      <w:bookmarkStart w:id="2321" w:name="_Toc536623218"/>
      <w:bookmarkStart w:id="2322" w:name="_Toc536714897"/>
      <w:bookmarkStart w:id="2323" w:name="_Toc187388"/>
      <w:bookmarkStart w:id="2324" w:name="_Toc188341"/>
      <w:bookmarkStart w:id="2325" w:name="_Toc536023679"/>
      <w:bookmarkStart w:id="2326" w:name="_Toc536182460"/>
      <w:bookmarkStart w:id="2327" w:name="_Toc536198992"/>
      <w:bookmarkStart w:id="2328" w:name="_Toc536520974"/>
      <w:bookmarkStart w:id="2329" w:name="_Toc536521215"/>
      <w:bookmarkStart w:id="2330" w:name="_Toc536521455"/>
      <w:bookmarkStart w:id="2331" w:name="_Toc536521738"/>
      <w:bookmarkStart w:id="2332" w:name="_Toc536521980"/>
      <w:bookmarkStart w:id="2333" w:name="_Toc536522220"/>
      <w:bookmarkStart w:id="2334" w:name="_Toc536522461"/>
      <w:bookmarkStart w:id="2335" w:name="_Toc536601221"/>
      <w:bookmarkStart w:id="2336" w:name="_Toc536623219"/>
      <w:bookmarkStart w:id="2337" w:name="_Toc536714898"/>
      <w:bookmarkStart w:id="2338" w:name="_Toc187389"/>
      <w:bookmarkStart w:id="2339" w:name="_Toc188342"/>
      <w:bookmarkStart w:id="2340" w:name="_Toc5980116"/>
      <w:bookmarkStart w:id="2341" w:name="_Toc5980117"/>
      <w:bookmarkStart w:id="2342" w:name="_Toc5980118"/>
      <w:bookmarkStart w:id="2343" w:name="_Toc5980119"/>
      <w:bookmarkStart w:id="2344" w:name="_Toc5980120"/>
      <w:bookmarkStart w:id="2345" w:name="_Toc5980121"/>
      <w:bookmarkStart w:id="2346" w:name="_Toc5980122"/>
      <w:bookmarkStart w:id="2347" w:name="_Toc5980123"/>
      <w:bookmarkStart w:id="2348" w:name="_Toc5980124"/>
      <w:bookmarkStart w:id="2349" w:name="_Toc95743543"/>
      <w:bookmarkStart w:id="2350" w:name="_Toc7417132"/>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r>
        <w:rPr>
          <w:lang w:eastAsia="en-GB"/>
        </w:rPr>
        <w:t>Death of a Contractor</w:t>
      </w:r>
      <w:bookmarkEnd w:id="2349"/>
      <w:r>
        <w:rPr>
          <w:lang w:eastAsia="en-GB"/>
        </w:rPr>
        <w:t xml:space="preserve"> </w:t>
      </w:r>
      <w:bookmarkEnd w:id="2350"/>
    </w:p>
    <w:p w14:paraId="66537749" w14:textId="77777777" w:rsidR="0007271E" w:rsidRDefault="0007271E" w:rsidP="0007271E">
      <w:pPr>
        <w:rPr>
          <w:lang w:eastAsia="en-GB"/>
        </w:rPr>
      </w:pPr>
    </w:p>
    <w:p w14:paraId="2B1408A8" w14:textId="77777777" w:rsidR="0007271E" w:rsidRPr="00CE0885" w:rsidRDefault="0007271E" w:rsidP="0007271E">
      <w:pPr>
        <w:pStyle w:val="Heading2"/>
        <w:rPr>
          <w:lang w:eastAsia="en-GB"/>
        </w:rPr>
      </w:pPr>
      <w:bookmarkStart w:id="2351" w:name="_Toc7417133"/>
      <w:bookmarkStart w:id="2352" w:name="_Toc95743544"/>
      <w:r w:rsidRPr="00CE0885">
        <w:rPr>
          <w:lang w:eastAsia="en-GB"/>
        </w:rPr>
        <w:t>Introduction</w:t>
      </w:r>
      <w:bookmarkEnd w:id="2351"/>
      <w:bookmarkEnd w:id="2352"/>
    </w:p>
    <w:p w14:paraId="3A9CE667" w14:textId="08ED8218" w:rsidR="0007271E" w:rsidRPr="00CE0885" w:rsidRDefault="0007271E" w:rsidP="0007271E">
      <w:pPr>
        <w:pStyle w:val="Heading3"/>
        <w:rPr>
          <w:lang w:eastAsia="en-GB"/>
        </w:rPr>
      </w:pPr>
      <w:r w:rsidRPr="00CE0885">
        <w:rPr>
          <w:spacing w:val="-1"/>
          <w:lang w:eastAsia="en-GB"/>
        </w:rPr>
        <w:t>T</w:t>
      </w:r>
      <w:r w:rsidRPr="00CE0885">
        <w:rPr>
          <w:spacing w:val="-3"/>
          <w:lang w:eastAsia="en-GB"/>
        </w:rPr>
        <w:t>h</w:t>
      </w:r>
      <w:r w:rsidRPr="00CE0885">
        <w:rPr>
          <w:lang w:eastAsia="en-GB"/>
        </w:rPr>
        <w:t>e</w:t>
      </w:r>
      <w:r w:rsidRPr="00CE0885">
        <w:rPr>
          <w:spacing w:val="7"/>
          <w:lang w:eastAsia="en-GB"/>
        </w:rPr>
        <w:t xml:space="preserve"> </w:t>
      </w:r>
      <w:r w:rsidRPr="00CE0885">
        <w:rPr>
          <w:lang w:eastAsia="en-GB"/>
        </w:rPr>
        <w:t>a</w:t>
      </w:r>
      <w:r w:rsidRPr="00CE0885">
        <w:rPr>
          <w:spacing w:val="1"/>
          <w:lang w:eastAsia="en-GB"/>
        </w:rPr>
        <w:t>i</w:t>
      </w:r>
      <w:r w:rsidRPr="00CE0885">
        <w:rPr>
          <w:lang w:eastAsia="en-GB"/>
        </w:rPr>
        <w:t>m</w:t>
      </w:r>
      <w:r w:rsidRPr="00CE0885">
        <w:rPr>
          <w:spacing w:val="7"/>
          <w:lang w:eastAsia="en-GB"/>
        </w:rPr>
        <w:t xml:space="preserve"> </w:t>
      </w:r>
      <w:r w:rsidRPr="00CE0885">
        <w:rPr>
          <w:spacing w:val="-3"/>
          <w:lang w:eastAsia="en-GB"/>
        </w:rPr>
        <w:t>o</w:t>
      </w:r>
      <w:r w:rsidRPr="00CE0885">
        <w:rPr>
          <w:lang w:eastAsia="en-GB"/>
        </w:rPr>
        <w:t>f</w:t>
      </w:r>
      <w:r w:rsidRPr="00CE0885">
        <w:rPr>
          <w:spacing w:val="5"/>
          <w:lang w:eastAsia="en-GB"/>
        </w:rPr>
        <w:t xml:space="preserve"> </w:t>
      </w:r>
      <w:r w:rsidRPr="00CE0885">
        <w:rPr>
          <w:lang w:eastAsia="en-GB"/>
        </w:rPr>
        <w:t>this</w:t>
      </w:r>
      <w:r w:rsidRPr="00CE0885">
        <w:rPr>
          <w:spacing w:val="4"/>
          <w:lang w:eastAsia="en-GB"/>
        </w:rPr>
        <w:t xml:space="preserve"> </w:t>
      </w:r>
      <w:r w:rsidRPr="00CE0885">
        <w:rPr>
          <w:lang w:eastAsia="en-GB"/>
        </w:rPr>
        <w:t>policy</w:t>
      </w:r>
      <w:r w:rsidRPr="00CE0885">
        <w:rPr>
          <w:spacing w:val="3"/>
          <w:lang w:eastAsia="en-GB"/>
        </w:rPr>
        <w:t xml:space="preserve"> i</w:t>
      </w:r>
      <w:r w:rsidRPr="00CE0885">
        <w:rPr>
          <w:lang w:eastAsia="en-GB"/>
        </w:rPr>
        <w:t>s</w:t>
      </w:r>
      <w:r w:rsidRPr="00CE0885">
        <w:rPr>
          <w:spacing w:val="4"/>
          <w:lang w:eastAsia="en-GB"/>
        </w:rPr>
        <w:t xml:space="preserve"> </w:t>
      </w:r>
      <w:r w:rsidRPr="00CE0885">
        <w:rPr>
          <w:lang w:eastAsia="en-GB"/>
        </w:rPr>
        <w:t>to</w:t>
      </w:r>
      <w:r w:rsidRPr="00CE0885">
        <w:rPr>
          <w:spacing w:val="3"/>
          <w:lang w:eastAsia="en-GB"/>
        </w:rPr>
        <w:t xml:space="preserve"> </w:t>
      </w:r>
      <w:r w:rsidRPr="00CE0885">
        <w:rPr>
          <w:spacing w:val="-3"/>
          <w:lang w:eastAsia="en-GB"/>
        </w:rPr>
        <w:t>p</w:t>
      </w:r>
      <w:r w:rsidRPr="00CE0885">
        <w:rPr>
          <w:spacing w:val="1"/>
          <w:lang w:eastAsia="en-GB"/>
        </w:rPr>
        <w:t>r</w:t>
      </w:r>
      <w:r w:rsidRPr="00CE0885">
        <w:rPr>
          <w:lang w:eastAsia="en-GB"/>
        </w:rPr>
        <w:t>o</w:t>
      </w:r>
      <w:r w:rsidRPr="00CE0885">
        <w:rPr>
          <w:spacing w:val="-2"/>
          <w:lang w:eastAsia="en-GB"/>
        </w:rPr>
        <w:t>v</w:t>
      </w:r>
      <w:r w:rsidRPr="00CE0885">
        <w:rPr>
          <w:spacing w:val="3"/>
          <w:lang w:eastAsia="en-GB"/>
        </w:rPr>
        <w:t>i</w:t>
      </w:r>
      <w:r w:rsidRPr="00CE0885">
        <w:rPr>
          <w:spacing w:val="-3"/>
          <w:lang w:eastAsia="en-GB"/>
        </w:rPr>
        <w:t>d</w:t>
      </w:r>
      <w:r w:rsidRPr="00CE0885">
        <w:rPr>
          <w:lang w:eastAsia="en-GB"/>
        </w:rPr>
        <w:t>e</w:t>
      </w:r>
      <w:r w:rsidRPr="00CE0885">
        <w:rPr>
          <w:spacing w:val="9"/>
          <w:lang w:eastAsia="en-GB"/>
        </w:rPr>
        <w:t xml:space="preserve"> </w:t>
      </w:r>
      <w:r w:rsidRPr="00CE0885">
        <w:rPr>
          <w:spacing w:val="1"/>
          <w:lang w:eastAsia="en-GB"/>
        </w:rPr>
        <w:t>c</w:t>
      </w:r>
      <w:r w:rsidRPr="00CE0885">
        <w:rPr>
          <w:lang w:eastAsia="en-GB"/>
        </w:rPr>
        <w:t>on</w:t>
      </w:r>
      <w:r w:rsidRPr="00CE0885">
        <w:rPr>
          <w:spacing w:val="-2"/>
          <w:lang w:eastAsia="en-GB"/>
        </w:rPr>
        <w:t>s</w:t>
      </w:r>
      <w:r w:rsidRPr="00CE0885">
        <w:rPr>
          <w:spacing w:val="3"/>
          <w:lang w:eastAsia="en-GB"/>
        </w:rPr>
        <w:t>i</w:t>
      </w:r>
      <w:r w:rsidRPr="00CE0885">
        <w:rPr>
          <w:spacing w:val="1"/>
          <w:lang w:eastAsia="en-GB"/>
        </w:rPr>
        <w:t>s</w:t>
      </w:r>
      <w:r w:rsidRPr="00CE0885">
        <w:rPr>
          <w:lang w:eastAsia="en-GB"/>
        </w:rPr>
        <w:t>t</w:t>
      </w:r>
      <w:r w:rsidRPr="00CE0885">
        <w:rPr>
          <w:spacing w:val="-3"/>
          <w:lang w:eastAsia="en-GB"/>
        </w:rPr>
        <w:t>e</w:t>
      </w:r>
      <w:r w:rsidRPr="00CE0885">
        <w:rPr>
          <w:lang w:eastAsia="en-GB"/>
        </w:rPr>
        <w:t>n</w:t>
      </w:r>
      <w:r w:rsidRPr="00CE0885">
        <w:rPr>
          <w:spacing w:val="1"/>
          <w:lang w:eastAsia="en-GB"/>
        </w:rPr>
        <w:t>c</w:t>
      </w:r>
      <w:r w:rsidRPr="00CE0885">
        <w:rPr>
          <w:lang w:eastAsia="en-GB"/>
        </w:rPr>
        <w:t>y</w:t>
      </w:r>
      <w:r w:rsidRPr="00CE0885">
        <w:rPr>
          <w:spacing w:val="14"/>
          <w:lang w:eastAsia="en-GB"/>
        </w:rPr>
        <w:t xml:space="preserve"> </w:t>
      </w:r>
      <w:r w:rsidRPr="00CE0885">
        <w:rPr>
          <w:spacing w:val="-3"/>
          <w:lang w:eastAsia="en-GB"/>
        </w:rPr>
        <w:t>w</w:t>
      </w:r>
      <w:r w:rsidRPr="00CE0885">
        <w:rPr>
          <w:spacing w:val="2"/>
          <w:lang w:eastAsia="en-GB"/>
        </w:rPr>
        <w:t>h</w:t>
      </w:r>
      <w:r w:rsidRPr="00CE0885">
        <w:rPr>
          <w:spacing w:val="-3"/>
          <w:lang w:eastAsia="en-GB"/>
        </w:rPr>
        <w:t>e</w:t>
      </w:r>
      <w:r w:rsidRPr="00CE0885">
        <w:rPr>
          <w:lang w:eastAsia="en-GB"/>
        </w:rPr>
        <w:t>n</w:t>
      </w:r>
      <w:r w:rsidRPr="00CE0885">
        <w:rPr>
          <w:spacing w:val="8"/>
          <w:lang w:eastAsia="en-GB"/>
        </w:rPr>
        <w:t xml:space="preserve"> </w:t>
      </w:r>
      <w:r w:rsidRPr="00CE0885">
        <w:rPr>
          <w:lang w:eastAsia="en-GB"/>
        </w:rPr>
        <w:t>de</w:t>
      </w:r>
      <w:r w:rsidRPr="00CE0885">
        <w:rPr>
          <w:spacing w:val="2"/>
          <w:lang w:eastAsia="en-GB"/>
        </w:rPr>
        <w:t>a</w:t>
      </w:r>
      <w:r w:rsidRPr="00CE0885">
        <w:rPr>
          <w:spacing w:val="-1"/>
          <w:lang w:eastAsia="en-GB"/>
        </w:rPr>
        <w:t>l</w:t>
      </w:r>
      <w:r w:rsidRPr="00CE0885">
        <w:rPr>
          <w:spacing w:val="3"/>
          <w:lang w:eastAsia="en-GB"/>
        </w:rPr>
        <w:t>i</w:t>
      </w:r>
      <w:r w:rsidRPr="00CE0885">
        <w:rPr>
          <w:spacing w:val="-3"/>
          <w:lang w:eastAsia="en-GB"/>
        </w:rPr>
        <w:t>n</w:t>
      </w:r>
      <w:r w:rsidRPr="00CE0885">
        <w:rPr>
          <w:lang w:eastAsia="en-GB"/>
        </w:rPr>
        <w:t>g</w:t>
      </w:r>
      <w:r w:rsidRPr="00CE0885">
        <w:rPr>
          <w:spacing w:val="10"/>
          <w:lang w:eastAsia="en-GB"/>
        </w:rPr>
        <w:t xml:space="preserve"> </w:t>
      </w:r>
      <w:r w:rsidRPr="00CE0885">
        <w:rPr>
          <w:spacing w:val="-3"/>
          <w:lang w:eastAsia="en-GB"/>
        </w:rPr>
        <w:t>w</w:t>
      </w:r>
      <w:r w:rsidRPr="00CE0885">
        <w:rPr>
          <w:spacing w:val="1"/>
          <w:lang w:eastAsia="en-GB"/>
        </w:rPr>
        <w:t>i</w:t>
      </w:r>
      <w:r w:rsidRPr="00CE0885">
        <w:rPr>
          <w:spacing w:val="2"/>
          <w:lang w:eastAsia="en-GB"/>
        </w:rPr>
        <w:t>t</w:t>
      </w:r>
      <w:r w:rsidRPr="00CE0885">
        <w:rPr>
          <w:lang w:eastAsia="en-GB"/>
        </w:rPr>
        <w:t>h</w:t>
      </w:r>
      <w:r w:rsidRPr="00CE0885">
        <w:rPr>
          <w:spacing w:val="2"/>
          <w:lang w:eastAsia="en-GB"/>
        </w:rPr>
        <w:t xml:space="preserve"> t</w:t>
      </w:r>
      <w:r w:rsidRPr="00CE0885">
        <w:rPr>
          <w:spacing w:val="-3"/>
          <w:lang w:eastAsia="en-GB"/>
        </w:rPr>
        <w:t>h</w:t>
      </w:r>
      <w:r w:rsidRPr="00CE0885">
        <w:rPr>
          <w:lang w:eastAsia="en-GB"/>
        </w:rPr>
        <w:t>e</w:t>
      </w:r>
      <w:r w:rsidRPr="00CE0885">
        <w:rPr>
          <w:spacing w:val="6"/>
          <w:lang w:eastAsia="en-GB"/>
        </w:rPr>
        <w:t xml:space="preserve"> </w:t>
      </w:r>
      <w:r w:rsidRPr="00CE0885">
        <w:rPr>
          <w:spacing w:val="-3"/>
          <w:lang w:eastAsia="en-GB"/>
        </w:rPr>
        <w:t>d</w:t>
      </w:r>
      <w:r w:rsidRPr="00CE0885">
        <w:rPr>
          <w:spacing w:val="2"/>
          <w:lang w:eastAsia="en-GB"/>
        </w:rPr>
        <w:t>e</w:t>
      </w:r>
      <w:r w:rsidRPr="00CE0885">
        <w:rPr>
          <w:spacing w:val="-3"/>
          <w:lang w:eastAsia="en-GB"/>
        </w:rPr>
        <w:t>a</w:t>
      </w:r>
      <w:r w:rsidRPr="00CE0885">
        <w:rPr>
          <w:spacing w:val="2"/>
          <w:lang w:eastAsia="en-GB"/>
        </w:rPr>
        <w:t>t</w:t>
      </w:r>
      <w:r w:rsidRPr="00CE0885">
        <w:rPr>
          <w:lang w:eastAsia="en-GB"/>
        </w:rPr>
        <w:t>h</w:t>
      </w:r>
      <w:r w:rsidRPr="00CE0885">
        <w:rPr>
          <w:spacing w:val="7"/>
          <w:lang w:eastAsia="en-GB"/>
        </w:rPr>
        <w:t xml:space="preserve"> </w:t>
      </w:r>
      <w:r w:rsidRPr="00CE0885">
        <w:rPr>
          <w:lang w:eastAsia="en-GB"/>
        </w:rPr>
        <w:t>of</w:t>
      </w:r>
      <w:r w:rsidRPr="00CE0885">
        <w:rPr>
          <w:spacing w:val="5"/>
          <w:lang w:eastAsia="en-GB"/>
        </w:rPr>
        <w:t xml:space="preserve"> </w:t>
      </w:r>
      <w:r w:rsidRPr="00CE0885">
        <w:rPr>
          <w:lang w:eastAsia="en-GB"/>
        </w:rPr>
        <w:t>a</w:t>
      </w:r>
      <w:r w:rsidRPr="00CE0885">
        <w:rPr>
          <w:spacing w:val="2"/>
          <w:lang w:eastAsia="en-GB"/>
        </w:rPr>
        <w:t xml:space="preserve"> </w:t>
      </w:r>
      <w:r w:rsidRPr="00CE0885">
        <w:rPr>
          <w:spacing w:val="1"/>
          <w:lang w:eastAsia="en-GB"/>
        </w:rPr>
        <w:t>c</w:t>
      </w:r>
      <w:r w:rsidRPr="00CE0885">
        <w:rPr>
          <w:spacing w:val="-3"/>
          <w:lang w:eastAsia="en-GB"/>
        </w:rPr>
        <w:t>o</w:t>
      </w:r>
      <w:r w:rsidRPr="00CE0885">
        <w:rPr>
          <w:lang w:eastAsia="en-GB"/>
        </w:rPr>
        <w:t>nt</w:t>
      </w:r>
      <w:r w:rsidRPr="00CE0885">
        <w:rPr>
          <w:spacing w:val="1"/>
          <w:lang w:eastAsia="en-GB"/>
        </w:rPr>
        <w:t>r</w:t>
      </w:r>
      <w:r w:rsidRPr="00CE0885">
        <w:rPr>
          <w:lang w:eastAsia="en-GB"/>
        </w:rPr>
        <w:t>a</w:t>
      </w:r>
      <w:r w:rsidRPr="00CE0885">
        <w:rPr>
          <w:spacing w:val="1"/>
          <w:lang w:eastAsia="en-GB"/>
        </w:rPr>
        <w:t>c</w:t>
      </w:r>
      <w:r w:rsidRPr="00CE0885">
        <w:rPr>
          <w:lang w:eastAsia="en-GB"/>
        </w:rPr>
        <w:t>t</w:t>
      </w:r>
      <w:r w:rsidRPr="00CE0885">
        <w:rPr>
          <w:spacing w:val="-3"/>
          <w:lang w:eastAsia="en-GB"/>
        </w:rPr>
        <w:t>o</w:t>
      </w:r>
      <w:r w:rsidRPr="00CE0885">
        <w:rPr>
          <w:spacing w:val="-1"/>
          <w:lang w:eastAsia="en-GB"/>
        </w:rPr>
        <w:t>r</w:t>
      </w:r>
      <w:r w:rsidRPr="00CE0885">
        <w:rPr>
          <w:lang w:eastAsia="en-GB"/>
        </w:rPr>
        <w:t>,</w:t>
      </w:r>
      <w:r w:rsidRPr="00CE0885">
        <w:rPr>
          <w:spacing w:val="17"/>
          <w:lang w:eastAsia="en-GB"/>
        </w:rPr>
        <w:t xml:space="preserve"> </w:t>
      </w:r>
      <w:r w:rsidRPr="00CE0885">
        <w:rPr>
          <w:spacing w:val="-1"/>
          <w:lang w:eastAsia="en-GB"/>
        </w:rPr>
        <w:t>w</w:t>
      </w:r>
      <w:r w:rsidRPr="00CE0885">
        <w:rPr>
          <w:lang w:eastAsia="en-GB"/>
        </w:rPr>
        <w:t>h</w:t>
      </w:r>
      <w:r w:rsidRPr="00CE0885">
        <w:rPr>
          <w:spacing w:val="-3"/>
          <w:lang w:eastAsia="en-GB"/>
        </w:rPr>
        <w:t>e</w:t>
      </w:r>
      <w:r w:rsidRPr="00CE0885">
        <w:rPr>
          <w:spacing w:val="2"/>
          <w:lang w:eastAsia="en-GB"/>
        </w:rPr>
        <w:t>th</w:t>
      </w:r>
      <w:r w:rsidRPr="00CE0885">
        <w:rPr>
          <w:spacing w:val="-3"/>
          <w:lang w:eastAsia="en-GB"/>
        </w:rPr>
        <w:t>e</w:t>
      </w:r>
      <w:r w:rsidRPr="00CE0885">
        <w:rPr>
          <w:lang w:eastAsia="en-GB"/>
        </w:rPr>
        <w:t>r</w:t>
      </w:r>
      <w:r w:rsidRPr="00CE0885">
        <w:rPr>
          <w:spacing w:val="10"/>
          <w:lang w:eastAsia="en-GB"/>
        </w:rPr>
        <w:t xml:space="preserve"> </w:t>
      </w:r>
      <w:r w:rsidRPr="00CE0885">
        <w:rPr>
          <w:lang w:eastAsia="en-GB"/>
        </w:rPr>
        <w:t>th</w:t>
      </w:r>
      <w:r w:rsidRPr="00CE0885">
        <w:rPr>
          <w:spacing w:val="2"/>
          <w:lang w:eastAsia="en-GB"/>
        </w:rPr>
        <w:t>e</w:t>
      </w:r>
      <w:r w:rsidRPr="00CE0885">
        <w:rPr>
          <w:lang w:eastAsia="en-GB"/>
        </w:rPr>
        <w:t>y</w:t>
      </w:r>
      <w:r w:rsidRPr="00CE0885">
        <w:rPr>
          <w:spacing w:val="3"/>
          <w:lang w:eastAsia="en-GB"/>
        </w:rPr>
        <w:t xml:space="preserve"> </w:t>
      </w:r>
      <w:r w:rsidRPr="00CE0885">
        <w:rPr>
          <w:spacing w:val="-3"/>
          <w:w w:val="101"/>
          <w:lang w:eastAsia="en-GB"/>
        </w:rPr>
        <w:t>a</w:t>
      </w:r>
      <w:r w:rsidRPr="00CE0885">
        <w:rPr>
          <w:spacing w:val="4"/>
          <w:w w:val="101"/>
          <w:lang w:eastAsia="en-GB"/>
        </w:rPr>
        <w:t>r</w:t>
      </w:r>
      <w:r w:rsidRPr="00CE0885">
        <w:rPr>
          <w:w w:val="101"/>
          <w:lang w:eastAsia="en-GB"/>
        </w:rPr>
        <w:t xml:space="preserve">e a </w:t>
      </w:r>
      <w:r w:rsidRPr="00CE0885">
        <w:rPr>
          <w:spacing w:val="-2"/>
          <w:lang w:eastAsia="en-GB"/>
        </w:rPr>
        <w:t>s</w:t>
      </w:r>
      <w:r w:rsidRPr="00CE0885">
        <w:rPr>
          <w:spacing w:val="3"/>
          <w:lang w:eastAsia="en-GB"/>
        </w:rPr>
        <w:t>i</w:t>
      </w:r>
      <w:r w:rsidRPr="00CE0885">
        <w:rPr>
          <w:spacing w:val="-3"/>
          <w:lang w:eastAsia="en-GB"/>
        </w:rPr>
        <w:t>n</w:t>
      </w:r>
      <w:r w:rsidRPr="00CE0885">
        <w:rPr>
          <w:lang w:eastAsia="en-GB"/>
        </w:rPr>
        <w:t>g</w:t>
      </w:r>
      <w:r w:rsidRPr="00CE0885">
        <w:rPr>
          <w:spacing w:val="1"/>
          <w:lang w:eastAsia="en-GB"/>
        </w:rPr>
        <w:t>l</w:t>
      </w:r>
      <w:r w:rsidRPr="00CE0885">
        <w:rPr>
          <w:lang w:eastAsia="en-GB"/>
        </w:rPr>
        <w:t>e-handed</w:t>
      </w:r>
      <w:r w:rsidRPr="00CE0885">
        <w:rPr>
          <w:spacing w:val="6"/>
          <w:lang w:eastAsia="en-GB"/>
        </w:rPr>
        <w:t xml:space="preserve"> </w:t>
      </w:r>
      <w:r w:rsidRPr="00CE0885">
        <w:rPr>
          <w:spacing w:val="3"/>
          <w:lang w:eastAsia="en-GB"/>
        </w:rPr>
        <w:t>c</w:t>
      </w:r>
      <w:r w:rsidRPr="00CE0885">
        <w:rPr>
          <w:spacing w:val="2"/>
          <w:lang w:eastAsia="en-GB"/>
        </w:rPr>
        <w:t>o</w:t>
      </w:r>
      <w:r w:rsidRPr="00CE0885">
        <w:rPr>
          <w:spacing w:val="-3"/>
          <w:lang w:eastAsia="en-GB"/>
        </w:rPr>
        <w:t>n</w:t>
      </w:r>
      <w:r w:rsidRPr="00CE0885">
        <w:rPr>
          <w:lang w:eastAsia="en-GB"/>
        </w:rPr>
        <w:t>t</w:t>
      </w:r>
      <w:r w:rsidRPr="00CE0885">
        <w:rPr>
          <w:spacing w:val="-1"/>
          <w:lang w:eastAsia="en-GB"/>
        </w:rPr>
        <w:t>r</w:t>
      </w:r>
      <w:r w:rsidRPr="00CE0885">
        <w:rPr>
          <w:lang w:eastAsia="en-GB"/>
        </w:rPr>
        <w:t>a</w:t>
      </w:r>
      <w:r w:rsidRPr="00CE0885">
        <w:rPr>
          <w:spacing w:val="1"/>
          <w:lang w:eastAsia="en-GB"/>
        </w:rPr>
        <w:t>c</w:t>
      </w:r>
      <w:r w:rsidRPr="00CE0885">
        <w:rPr>
          <w:spacing w:val="2"/>
          <w:lang w:eastAsia="en-GB"/>
        </w:rPr>
        <w:t>t</w:t>
      </w:r>
      <w:r w:rsidRPr="00CE0885">
        <w:rPr>
          <w:spacing w:val="-3"/>
          <w:lang w:eastAsia="en-GB"/>
        </w:rPr>
        <w:t>o</w:t>
      </w:r>
      <w:r w:rsidRPr="00CE0885">
        <w:rPr>
          <w:lang w:eastAsia="en-GB"/>
        </w:rPr>
        <w:t>r</w:t>
      </w:r>
      <w:r>
        <w:rPr>
          <w:lang w:eastAsia="en-GB"/>
        </w:rPr>
        <w:t xml:space="preserve"> or</w:t>
      </w:r>
      <w:r w:rsidRPr="00CE0885">
        <w:rPr>
          <w:spacing w:val="12"/>
          <w:lang w:eastAsia="en-GB"/>
        </w:rPr>
        <w:t xml:space="preserve"> </w:t>
      </w:r>
      <w:r w:rsidRPr="00CE0885">
        <w:rPr>
          <w:spacing w:val="1"/>
          <w:lang w:eastAsia="en-GB"/>
        </w:rPr>
        <w:t>i</w:t>
      </w:r>
      <w:r w:rsidRPr="00CE0885">
        <w:rPr>
          <w:lang w:eastAsia="en-GB"/>
        </w:rPr>
        <w:t>n</w:t>
      </w:r>
      <w:r w:rsidRPr="00CE0885">
        <w:rPr>
          <w:spacing w:val="3"/>
          <w:lang w:eastAsia="en-GB"/>
        </w:rPr>
        <w:t xml:space="preserve"> </w:t>
      </w:r>
      <w:r w:rsidRPr="00CE0885">
        <w:rPr>
          <w:w w:val="101"/>
          <w:lang w:eastAsia="en-GB"/>
        </w:rPr>
        <w:t xml:space="preserve">a </w:t>
      </w:r>
      <w:r w:rsidRPr="00CE0885">
        <w:rPr>
          <w:spacing w:val="-3"/>
          <w:lang w:eastAsia="en-GB"/>
        </w:rPr>
        <w:t>p</w:t>
      </w:r>
      <w:r w:rsidRPr="00CE0885">
        <w:rPr>
          <w:spacing w:val="2"/>
          <w:lang w:eastAsia="en-GB"/>
        </w:rPr>
        <w:t>a</w:t>
      </w:r>
      <w:r w:rsidRPr="00CE0885">
        <w:rPr>
          <w:spacing w:val="-1"/>
          <w:lang w:eastAsia="en-GB"/>
        </w:rPr>
        <w:t>r</w:t>
      </w:r>
      <w:r w:rsidRPr="00CE0885">
        <w:rPr>
          <w:lang w:eastAsia="en-GB"/>
        </w:rPr>
        <w:t>tne</w:t>
      </w:r>
      <w:r w:rsidRPr="00CE0885">
        <w:rPr>
          <w:spacing w:val="-1"/>
          <w:lang w:eastAsia="en-GB"/>
        </w:rPr>
        <w:t>r</w:t>
      </w:r>
      <w:r w:rsidRPr="00CE0885">
        <w:rPr>
          <w:spacing w:val="1"/>
          <w:lang w:eastAsia="en-GB"/>
        </w:rPr>
        <w:t>s</w:t>
      </w:r>
      <w:r w:rsidRPr="00CE0885">
        <w:rPr>
          <w:spacing w:val="-3"/>
          <w:lang w:eastAsia="en-GB"/>
        </w:rPr>
        <w:t>h</w:t>
      </w:r>
      <w:r w:rsidRPr="00CE0885">
        <w:rPr>
          <w:spacing w:val="3"/>
          <w:lang w:eastAsia="en-GB"/>
        </w:rPr>
        <w:t>i</w:t>
      </w:r>
      <w:r w:rsidRPr="00CE0885">
        <w:rPr>
          <w:spacing w:val="-3"/>
          <w:lang w:eastAsia="en-GB"/>
        </w:rPr>
        <w:t xml:space="preserve">p </w:t>
      </w:r>
      <w:r w:rsidRPr="00CE0885">
        <w:rPr>
          <w:lang w:eastAsia="en-GB"/>
        </w:rPr>
        <w:t>and</w:t>
      </w:r>
      <w:r w:rsidRPr="00CE0885">
        <w:rPr>
          <w:spacing w:val="5"/>
          <w:lang w:eastAsia="en-GB"/>
        </w:rPr>
        <w:t xml:space="preserve"> </w:t>
      </w:r>
      <w:r w:rsidRPr="00CE0885">
        <w:rPr>
          <w:spacing w:val="3"/>
          <w:lang w:eastAsia="en-GB"/>
        </w:rPr>
        <w:t>i</w:t>
      </w:r>
      <w:r w:rsidRPr="00CE0885">
        <w:rPr>
          <w:spacing w:val="-3"/>
          <w:lang w:eastAsia="en-GB"/>
        </w:rPr>
        <w:t>n</w:t>
      </w:r>
      <w:r w:rsidRPr="00CE0885">
        <w:rPr>
          <w:spacing w:val="1"/>
          <w:lang w:eastAsia="en-GB"/>
        </w:rPr>
        <w:t>cl</w:t>
      </w:r>
      <w:r w:rsidRPr="00CE0885">
        <w:rPr>
          <w:lang w:eastAsia="en-GB"/>
        </w:rPr>
        <w:t>u</w:t>
      </w:r>
      <w:r w:rsidRPr="00CE0885">
        <w:rPr>
          <w:spacing w:val="-3"/>
          <w:lang w:eastAsia="en-GB"/>
        </w:rPr>
        <w:t>d</w:t>
      </w:r>
      <w:r w:rsidRPr="00CE0885">
        <w:rPr>
          <w:lang w:eastAsia="en-GB"/>
        </w:rPr>
        <w:t>es</w:t>
      </w:r>
      <w:r w:rsidRPr="00CE0885">
        <w:rPr>
          <w:spacing w:val="10"/>
          <w:lang w:eastAsia="en-GB"/>
        </w:rPr>
        <w:t xml:space="preserve"> </w:t>
      </w:r>
      <w:r w:rsidRPr="00CE0885">
        <w:rPr>
          <w:spacing w:val="-2"/>
          <w:lang w:eastAsia="en-GB"/>
        </w:rPr>
        <w:t>c</w:t>
      </w:r>
      <w:r w:rsidRPr="00CE0885">
        <w:rPr>
          <w:spacing w:val="2"/>
          <w:lang w:eastAsia="en-GB"/>
        </w:rPr>
        <w:t>o</w:t>
      </w:r>
      <w:r w:rsidRPr="00CE0885">
        <w:rPr>
          <w:spacing w:val="-3"/>
          <w:lang w:eastAsia="en-GB"/>
        </w:rPr>
        <w:t>n</w:t>
      </w:r>
      <w:r w:rsidRPr="00CE0885">
        <w:rPr>
          <w:spacing w:val="1"/>
          <w:lang w:eastAsia="en-GB"/>
        </w:rPr>
        <w:t>si</w:t>
      </w:r>
      <w:r w:rsidRPr="00CE0885">
        <w:rPr>
          <w:lang w:eastAsia="en-GB"/>
        </w:rPr>
        <w:t>de</w:t>
      </w:r>
      <w:r w:rsidRPr="00CE0885">
        <w:rPr>
          <w:spacing w:val="4"/>
          <w:lang w:eastAsia="en-GB"/>
        </w:rPr>
        <w:t>r</w:t>
      </w:r>
      <w:r w:rsidRPr="00CE0885">
        <w:rPr>
          <w:spacing w:val="-3"/>
          <w:lang w:eastAsia="en-GB"/>
        </w:rPr>
        <w:t>a</w:t>
      </w:r>
      <w:r w:rsidRPr="00CE0885">
        <w:rPr>
          <w:lang w:eastAsia="en-GB"/>
        </w:rPr>
        <w:t>t</w:t>
      </w:r>
      <w:r w:rsidRPr="00CE0885">
        <w:rPr>
          <w:spacing w:val="3"/>
          <w:lang w:eastAsia="en-GB"/>
        </w:rPr>
        <w:t>i</w:t>
      </w:r>
      <w:r w:rsidRPr="00CE0885">
        <w:rPr>
          <w:spacing w:val="-3"/>
          <w:lang w:eastAsia="en-GB"/>
        </w:rPr>
        <w:t>o</w:t>
      </w:r>
      <w:r w:rsidRPr="00CE0885">
        <w:rPr>
          <w:lang w:eastAsia="en-GB"/>
        </w:rPr>
        <w:t>n</w:t>
      </w:r>
      <w:r w:rsidRPr="00CE0885">
        <w:rPr>
          <w:spacing w:val="15"/>
          <w:lang w:eastAsia="en-GB"/>
        </w:rPr>
        <w:t xml:space="preserve"> </w:t>
      </w:r>
      <w:r w:rsidRPr="00CE0885">
        <w:rPr>
          <w:lang w:eastAsia="en-GB"/>
        </w:rPr>
        <w:t>of</w:t>
      </w:r>
      <w:r w:rsidRPr="00CE0885">
        <w:rPr>
          <w:spacing w:val="5"/>
          <w:lang w:eastAsia="en-GB"/>
        </w:rPr>
        <w:t xml:space="preserve"> GMS, PMS, APMS and where appropriate MCP/PACS</w:t>
      </w:r>
      <w:r w:rsidRPr="00CE0885">
        <w:rPr>
          <w:spacing w:val="11"/>
          <w:lang w:eastAsia="en-GB"/>
        </w:rPr>
        <w:t xml:space="preserve"> contracts.</w:t>
      </w:r>
    </w:p>
    <w:p w14:paraId="303FE14C" w14:textId="56D9461C" w:rsidR="0007271E" w:rsidRPr="00CE0885" w:rsidRDefault="0007271E" w:rsidP="0007271E">
      <w:pPr>
        <w:pStyle w:val="Heading3"/>
        <w:rPr>
          <w:lang w:eastAsia="en-GB"/>
        </w:rPr>
      </w:pPr>
      <w:r w:rsidRPr="00CE0885">
        <w:rPr>
          <w:spacing w:val="7"/>
          <w:lang w:eastAsia="en-GB"/>
        </w:rPr>
        <w:t>This</w:t>
      </w:r>
      <w:r w:rsidRPr="00CE0885">
        <w:rPr>
          <w:spacing w:val="6"/>
          <w:lang w:eastAsia="en-GB"/>
        </w:rPr>
        <w:t xml:space="preserve"> </w:t>
      </w:r>
      <w:r w:rsidRPr="00CE0885">
        <w:rPr>
          <w:lang w:eastAsia="en-GB"/>
        </w:rPr>
        <w:t>policy</w:t>
      </w:r>
      <w:r w:rsidRPr="00CE0885">
        <w:rPr>
          <w:spacing w:val="3"/>
          <w:lang w:eastAsia="en-GB"/>
        </w:rPr>
        <w:t xml:space="preserve"> </w:t>
      </w:r>
      <w:r w:rsidRPr="00CE0885">
        <w:rPr>
          <w:lang w:eastAsia="en-GB"/>
        </w:rPr>
        <w:t>out</w:t>
      </w:r>
      <w:r w:rsidRPr="00CE0885">
        <w:rPr>
          <w:spacing w:val="1"/>
          <w:lang w:eastAsia="en-GB"/>
        </w:rPr>
        <w:t>l</w:t>
      </w:r>
      <w:r w:rsidRPr="00CE0885">
        <w:rPr>
          <w:spacing w:val="3"/>
          <w:lang w:eastAsia="en-GB"/>
        </w:rPr>
        <w:t>i</w:t>
      </w:r>
      <w:r w:rsidRPr="00CE0885">
        <w:rPr>
          <w:spacing w:val="-3"/>
          <w:lang w:eastAsia="en-GB"/>
        </w:rPr>
        <w:t>n</w:t>
      </w:r>
      <w:r w:rsidRPr="00CE0885">
        <w:rPr>
          <w:lang w:eastAsia="en-GB"/>
        </w:rPr>
        <w:t>es</w:t>
      </w:r>
      <w:r w:rsidRPr="00CE0885">
        <w:rPr>
          <w:spacing w:val="10"/>
          <w:lang w:eastAsia="en-GB"/>
        </w:rPr>
        <w:t xml:space="preserve"> </w:t>
      </w:r>
      <w:r w:rsidRPr="00CE0885">
        <w:rPr>
          <w:w w:val="101"/>
          <w:lang w:eastAsia="en-GB"/>
        </w:rPr>
        <w:t>t</w:t>
      </w:r>
      <w:r w:rsidRPr="00CE0885">
        <w:rPr>
          <w:spacing w:val="-3"/>
          <w:w w:val="101"/>
          <w:lang w:eastAsia="en-GB"/>
        </w:rPr>
        <w:t>h</w:t>
      </w:r>
      <w:r w:rsidRPr="00CE0885">
        <w:rPr>
          <w:w w:val="101"/>
          <w:lang w:eastAsia="en-GB"/>
        </w:rPr>
        <w:t xml:space="preserve">e </w:t>
      </w:r>
      <w:r w:rsidRPr="00CE0885">
        <w:rPr>
          <w:spacing w:val="-3"/>
          <w:lang w:eastAsia="en-GB"/>
        </w:rPr>
        <w:t>p</w:t>
      </w:r>
      <w:r w:rsidRPr="00CE0885">
        <w:rPr>
          <w:spacing w:val="1"/>
          <w:lang w:eastAsia="en-GB"/>
        </w:rPr>
        <w:t>r</w:t>
      </w:r>
      <w:r w:rsidRPr="00CE0885">
        <w:rPr>
          <w:lang w:eastAsia="en-GB"/>
        </w:rPr>
        <w:t>o</w:t>
      </w:r>
      <w:r w:rsidRPr="00CE0885">
        <w:rPr>
          <w:spacing w:val="-2"/>
          <w:lang w:eastAsia="en-GB"/>
        </w:rPr>
        <w:t>c</w:t>
      </w:r>
      <w:r w:rsidRPr="00CE0885">
        <w:rPr>
          <w:spacing w:val="2"/>
          <w:lang w:eastAsia="en-GB"/>
        </w:rPr>
        <w:t>e</w:t>
      </w:r>
      <w:r w:rsidRPr="00CE0885">
        <w:rPr>
          <w:spacing w:val="-3"/>
          <w:lang w:eastAsia="en-GB"/>
        </w:rPr>
        <w:t>d</w:t>
      </w:r>
      <w:r w:rsidRPr="00CE0885">
        <w:rPr>
          <w:spacing w:val="2"/>
          <w:lang w:eastAsia="en-GB"/>
        </w:rPr>
        <w:t>u</w:t>
      </w:r>
      <w:r w:rsidRPr="00CE0885">
        <w:rPr>
          <w:spacing w:val="-1"/>
          <w:lang w:eastAsia="en-GB"/>
        </w:rPr>
        <w:t>r</w:t>
      </w:r>
      <w:r w:rsidRPr="00CE0885">
        <w:rPr>
          <w:lang w:eastAsia="en-GB"/>
        </w:rPr>
        <w:t>e</w:t>
      </w:r>
      <w:r w:rsidRPr="00CE0885">
        <w:rPr>
          <w:spacing w:val="11"/>
          <w:lang w:eastAsia="en-GB"/>
        </w:rPr>
        <w:t xml:space="preserve"> </w:t>
      </w:r>
      <w:r w:rsidRPr="00CE0885">
        <w:rPr>
          <w:spacing w:val="2"/>
          <w:lang w:eastAsia="en-GB"/>
        </w:rPr>
        <w:t>t</w:t>
      </w:r>
      <w:r w:rsidRPr="00CE0885">
        <w:rPr>
          <w:lang w:eastAsia="en-GB"/>
        </w:rPr>
        <w:t>o</w:t>
      </w:r>
      <w:r w:rsidRPr="00CE0885">
        <w:rPr>
          <w:spacing w:val="3"/>
          <w:lang w:eastAsia="en-GB"/>
        </w:rPr>
        <w:t xml:space="preserve"> </w:t>
      </w:r>
      <w:r w:rsidRPr="00CE0885">
        <w:rPr>
          <w:spacing w:val="2"/>
          <w:lang w:eastAsia="en-GB"/>
        </w:rPr>
        <w:t>f</w:t>
      </w:r>
      <w:r w:rsidRPr="00CE0885">
        <w:rPr>
          <w:lang w:eastAsia="en-GB"/>
        </w:rPr>
        <w:t>o</w:t>
      </w:r>
      <w:r w:rsidRPr="00CE0885">
        <w:rPr>
          <w:spacing w:val="-1"/>
          <w:lang w:eastAsia="en-GB"/>
        </w:rPr>
        <w:t>l</w:t>
      </w:r>
      <w:r w:rsidRPr="00CE0885">
        <w:rPr>
          <w:spacing w:val="1"/>
          <w:lang w:eastAsia="en-GB"/>
        </w:rPr>
        <w:t>l</w:t>
      </w:r>
      <w:r w:rsidRPr="00CE0885">
        <w:rPr>
          <w:lang w:eastAsia="en-GB"/>
        </w:rPr>
        <w:t>ow</w:t>
      </w:r>
      <w:r w:rsidRPr="00CE0885">
        <w:rPr>
          <w:spacing w:val="6"/>
          <w:lang w:eastAsia="en-GB"/>
        </w:rPr>
        <w:t xml:space="preserve"> </w:t>
      </w:r>
      <w:r w:rsidRPr="00CE0885">
        <w:rPr>
          <w:spacing w:val="-1"/>
          <w:lang w:eastAsia="en-GB"/>
        </w:rPr>
        <w:t>w</w:t>
      </w:r>
      <w:r w:rsidRPr="00CE0885">
        <w:rPr>
          <w:spacing w:val="2"/>
          <w:lang w:eastAsia="en-GB"/>
        </w:rPr>
        <w:t>h</w:t>
      </w:r>
      <w:r w:rsidRPr="00CE0885">
        <w:rPr>
          <w:spacing w:val="-3"/>
          <w:lang w:eastAsia="en-GB"/>
        </w:rPr>
        <w:t>e</w:t>
      </w:r>
      <w:r w:rsidRPr="00CE0885">
        <w:rPr>
          <w:lang w:eastAsia="en-GB"/>
        </w:rPr>
        <w:t>n</w:t>
      </w:r>
      <w:r w:rsidRPr="00CE0885">
        <w:rPr>
          <w:spacing w:val="6"/>
          <w:lang w:eastAsia="en-GB"/>
        </w:rPr>
        <w:t xml:space="preserve"> </w:t>
      </w:r>
      <w:r w:rsidRPr="00CE0885">
        <w:rPr>
          <w:lang w:eastAsia="en-GB"/>
        </w:rPr>
        <w:t>t</w:t>
      </w:r>
      <w:r w:rsidRPr="00CE0885">
        <w:rPr>
          <w:spacing w:val="2"/>
          <w:lang w:eastAsia="en-GB"/>
        </w:rPr>
        <w:t>h</w:t>
      </w:r>
      <w:r w:rsidRPr="00CE0885">
        <w:rPr>
          <w:lang w:eastAsia="en-GB"/>
        </w:rPr>
        <w:t>e</w:t>
      </w:r>
      <w:r w:rsidRPr="00CE0885">
        <w:rPr>
          <w:spacing w:val="4"/>
          <w:lang w:eastAsia="en-GB"/>
        </w:rPr>
        <w:t xml:space="preserve"> </w:t>
      </w:r>
      <w:r w:rsidRPr="00CE0885">
        <w:rPr>
          <w:lang w:eastAsia="en-GB"/>
        </w:rPr>
        <w:t>d</w:t>
      </w:r>
      <w:r w:rsidRPr="00CE0885">
        <w:rPr>
          <w:spacing w:val="2"/>
          <w:lang w:eastAsia="en-GB"/>
        </w:rPr>
        <w:t>e</w:t>
      </w:r>
      <w:r w:rsidRPr="00CE0885">
        <w:rPr>
          <w:spacing w:val="-3"/>
          <w:lang w:eastAsia="en-GB"/>
        </w:rPr>
        <w:t>a</w:t>
      </w:r>
      <w:r w:rsidRPr="00CE0885">
        <w:rPr>
          <w:spacing w:val="2"/>
          <w:lang w:eastAsia="en-GB"/>
        </w:rPr>
        <w:t>t</w:t>
      </w:r>
      <w:r w:rsidRPr="00CE0885">
        <w:rPr>
          <w:lang w:eastAsia="en-GB"/>
        </w:rPr>
        <w:t>h</w:t>
      </w:r>
      <w:r w:rsidRPr="00CE0885">
        <w:rPr>
          <w:spacing w:val="7"/>
          <w:lang w:eastAsia="en-GB"/>
        </w:rPr>
        <w:t xml:space="preserve"> </w:t>
      </w:r>
      <w:r w:rsidRPr="00CE0885">
        <w:rPr>
          <w:lang w:eastAsia="en-GB"/>
        </w:rPr>
        <w:t>of</w:t>
      </w:r>
      <w:r w:rsidRPr="00CE0885">
        <w:rPr>
          <w:spacing w:val="5"/>
          <w:lang w:eastAsia="en-GB"/>
        </w:rPr>
        <w:t xml:space="preserve"> </w:t>
      </w:r>
      <w:r w:rsidRPr="00CE0885">
        <w:rPr>
          <w:lang w:eastAsia="en-GB"/>
        </w:rPr>
        <w:t>a</w:t>
      </w:r>
      <w:r w:rsidRPr="00CE0885">
        <w:rPr>
          <w:spacing w:val="2"/>
          <w:lang w:eastAsia="en-GB"/>
        </w:rPr>
        <w:t xml:space="preserve"> </w:t>
      </w:r>
      <w:r w:rsidRPr="00CE0885">
        <w:rPr>
          <w:spacing w:val="1"/>
          <w:lang w:eastAsia="en-GB"/>
        </w:rPr>
        <w:t>c</w:t>
      </w:r>
      <w:r w:rsidRPr="00CE0885">
        <w:rPr>
          <w:spacing w:val="-3"/>
          <w:lang w:eastAsia="en-GB"/>
        </w:rPr>
        <w:t>o</w:t>
      </w:r>
      <w:r w:rsidRPr="00CE0885">
        <w:rPr>
          <w:lang w:eastAsia="en-GB"/>
        </w:rPr>
        <w:t>nt</w:t>
      </w:r>
      <w:r w:rsidRPr="00CE0885">
        <w:rPr>
          <w:spacing w:val="1"/>
          <w:lang w:eastAsia="en-GB"/>
        </w:rPr>
        <w:t>r</w:t>
      </w:r>
      <w:r w:rsidRPr="00CE0885">
        <w:rPr>
          <w:lang w:eastAsia="en-GB"/>
        </w:rPr>
        <w:t>a</w:t>
      </w:r>
      <w:r w:rsidRPr="00CE0885">
        <w:rPr>
          <w:spacing w:val="-2"/>
          <w:lang w:eastAsia="en-GB"/>
        </w:rPr>
        <w:t>c</w:t>
      </w:r>
      <w:r w:rsidRPr="00CE0885">
        <w:rPr>
          <w:lang w:eastAsia="en-GB"/>
        </w:rPr>
        <w:t>tor</w:t>
      </w:r>
      <w:r w:rsidRPr="00CE0885">
        <w:rPr>
          <w:spacing w:val="11"/>
          <w:lang w:eastAsia="en-GB"/>
        </w:rPr>
        <w:t xml:space="preserve"> </w:t>
      </w:r>
      <w:r w:rsidRPr="00CE0885">
        <w:rPr>
          <w:spacing w:val="-3"/>
          <w:lang w:eastAsia="en-GB"/>
        </w:rPr>
        <w:t>o</w:t>
      </w:r>
      <w:r w:rsidRPr="00CE0885">
        <w:rPr>
          <w:spacing w:val="1"/>
          <w:lang w:eastAsia="en-GB"/>
        </w:rPr>
        <w:t>cc</w:t>
      </w:r>
      <w:r w:rsidRPr="00CE0885">
        <w:rPr>
          <w:lang w:eastAsia="en-GB"/>
        </w:rPr>
        <w:t>u</w:t>
      </w:r>
      <w:r w:rsidRPr="00CE0885">
        <w:rPr>
          <w:spacing w:val="-1"/>
          <w:lang w:eastAsia="en-GB"/>
        </w:rPr>
        <w:t>r</w:t>
      </w:r>
      <w:r w:rsidRPr="00CE0885">
        <w:rPr>
          <w:spacing w:val="1"/>
          <w:lang w:eastAsia="en-GB"/>
        </w:rPr>
        <w:t>s</w:t>
      </w:r>
      <w:r w:rsidRPr="00CE0885">
        <w:rPr>
          <w:lang w:eastAsia="en-GB"/>
        </w:rPr>
        <w:t>.</w:t>
      </w:r>
      <w:r w:rsidRPr="00CE0885">
        <w:rPr>
          <w:spacing w:val="8"/>
          <w:lang w:eastAsia="en-GB"/>
        </w:rPr>
        <w:t xml:space="preserve"> </w:t>
      </w:r>
      <w:r w:rsidRPr="00CE0885">
        <w:rPr>
          <w:spacing w:val="1"/>
          <w:lang w:eastAsia="en-GB"/>
        </w:rPr>
        <w:t>T</w:t>
      </w:r>
      <w:r w:rsidRPr="00CE0885">
        <w:rPr>
          <w:spacing w:val="-3"/>
          <w:lang w:eastAsia="en-GB"/>
        </w:rPr>
        <w:t>h</w:t>
      </w:r>
      <w:r w:rsidRPr="00CE0885">
        <w:rPr>
          <w:spacing w:val="3"/>
          <w:lang w:eastAsia="en-GB"/>
        </w:rPr>
        <w:t>i</w:t>
      </w:r>
      <w:r w:rsidRPr="00CE0885">
        <w:rPr>
          <w:lang w:eastAsia="en-GB"/>
        </w:rPr>
        <w:t>s</w:t>
      </w:r>
      <w:r w:rsidRPr="00CE0885">
        <w:rPr>
          <w:spacing w:val="6"/>
          <w:lang w:eastAsia="en-GB"/>
        </w:rPr>
        <w:t xml:space="preserve"> </w:t>
      </w:r>
      <w:r w:rsidRPr="00CE0885">
        <w:rPr>
          <w:spacing w:val="1"/>
          <w:lang w:eastAsia="en-GB"/>
        </w:rPr>
        <w:t>i</w:t>
      </w:r>
      <w:r w:rsidRPr="00CE0885">
        <w:rPr>
          <w:lang w:eastAsia="en-GB"/>
        </w:rPr>
        <w:t>s</w:t>
      </w:r>
      <w:r w:rsidRPr="00CE0885">
        <w:rPr>
          <w:spacing w:val="4"/>
          <w:lang w:eastAsia="en-GB"/>
        </w:rPr>
        <w:t xml:space="preserve"> </w:t>
      </w:r>
      <w:r w:rsidRPr="00CE0885">
        <w:rPr>
          <w:w w:val="101"/>
          <w:lang w:eastAsia="en-GB"/>
        </w:rPr>
        <w:t xml:space="preserve">a </w:t>
      </w:r>
      <w:r w:rsidRPr="00CE0885">
        <w:rPr>
          <w:spacing w:val="-1"/>
          <w:lang w:eastAsia="en-GB"/>
        </w:rPr>
        <w:t>r</w:t>
      </w:r>
      <w:r w:rsidRPr="00CE0885">
        <w:rPr>
          <w:spacing w:val="-3"/>
          <w:lang w:eastAsia="en-GB"/>
        </w:rPr>
        <w:t>a</w:t>
      </w:r>
      <w:r w:rsidRPr="00CE0885">
        <w:rPr>
          <w:spacing w:val="1"/>
          <w:lang w:eastAsia="en-GB"/>
        </w:rPr>
        <w:t>r</w:t>
      </w:r>
      <w:r w:rsidRPr="00CE0885">
        <w:rPr>
          <w:lang w:eastAsia="en-GB"/>
        </w:rPr>
        <w:t>e</w:t>
      </w:r>
      <w:r w:rsidRPr="00CE0885">
        <w:rPr>
          <w:spacing w:val="5"/>
          <w:lang w:eastAsia="en-GB"/>
        </w:rPr>
        <w:t xml:space="preserve"> </w:t>
      </w:r>
      <w:r w:rsidRPr="00CE0885">
        <w:rPr>
          <w:lang w:eastAsia="en-GB"/>
        </w:rPr>
        <w:t>o</w:t>
      </w:r>
      <w:r w:rsidRPr="00CE0885">
        <w:rPr>
          <w:spacing w:val="-2"/>
          <w:lang w:eastAsia="en-GB"/>
        </w:rPr>
        <w:t>c</w:t>
      </w:r>
      <w:r w:rsidRPr="00CE0885">
        <w:rPr>
          <w:spacing w:val="3"/>
          <w:lang w:eastAsia="en-GB"/>
        </w:rPr>
        <w:t>c</w:t>
      </w:r>
      <w:r w:rsidRPr="00CE0885">
        <w:rPr>
          <w:spacing w:val="-3"/>
          <w:lang w:eastAsia="en-GB"/>
        </w:rPr>
        <w:t>u</w:t>
      </w:r>
      <w:r w:rsidRPr="00CE0885">
        <w:rPr>
          <w:spacing w:val="1"/>
          <w:lang w:eastAsia="en-GB"/>
        </w:rPr>
        <w:t>rr</w:t>
      </w:r>
      <w:r w:rsidRPr="00CE0885">
        <w:rPr>
          <w:lang w:eastAsia="en-GB"/>
        </w:rPr>
        <w:t>en</w:t>
      </w:r>
      <w:r w:rsidRPr="00CE0885">
        <w:rPr>
          <w:spacing w:val="-2"/>
          <w:lang w:eastAsia="en-GB"/>
        </w:rPr>
        <w:t>c</w:t>
      </w:r>
      <w:r w:rsidRPr="00CE0885">
        <w:rPr>
          <w:lang w:eastAsia="en-GB"/>
        </w:rPr>
        <w:t>e,</w:t>
      </w:r>
      <w:r w:rsidRPr="00CE0885">
        <w:rPr>
          <w:spacing w:val="15"/>
          <w:lang w:eastAsia="en-GB"/>
        </w:rPr>
        <w:t xml:space="preserve"> </w:t>
      </w:r>
      <w:r w:rsidRPr="00CE0885">
        <w:rPr>
          <w:lang w:eastAsia="en-GB"/>
        </w:rPr>
        <w:t>b</w:t>
      </w:r>
      <w:r w:rsidRPr="00CE0885">
        <w:rPr>
          <w:spacing w:val="-3"/>
          <w:lang w:eastAsia="en-GB"/>
        </w:rPr>
        <w:t>u</w:t>
      </w:r>
      <w:r w:rsidRPr="00CE0885">
        <w:rPr>
          <w:lang w:eastAsia="en-GB"/>
        </w:rPr>
        <w:t>t</w:t>
      </w:r>
      <w:r w:rsidRPr="00CE0885">
        <w:rPr>
          <w:spacing w:val="6"/>
          <w:lang w:eastAsia="en-GB"/>
        </w:rPr>
        <w:t xml:space="preserve"> </w:t>
      </w:r>
      <w:r w:rsidRPr="00CE0885">
        <w:rPr>
          <w:lang w:eastAsia="en-GB"/>
        </w:rPr>
        <w:t>t</w:t>
      </w:r>
      <w:r w:rsidRPr="00CE0885">
        <w:rPr>
          <w:spacing w:val="2"/>
          <w:lang w:eastAsia="en-GB"/>
        </w:rPr>
        <w:t>h</w:t>
      </w:r>
      <w:r w:rsidRPr="00CE0885">
        <w:rPr>
          <w:spacing w:val="-3"/>
          <w:lang w:eastAsia="en-GB"/>
        </w:rPr>
        <w:t>e</w:t>
      </w:r>
      <w:r w:rsidRPr="00CE0885">
        <w:rPr>
          <w:spacing w:val="1"/>
          <w:lang w:eastAsia="en-GB"/>
        </w:rPr>
        <w:t>r</w:t>
      </w:r>
      <w:r w:rsidRPr="00CE0885">
        <w:rPr>
          <w:lang w:eastAsia="en-GB"/>
        </w:rPr>
        <w:t>e</w:t>
      </w:r>
      <w:r w:rsidRPr="00CE0885">
        <w:rPr>
          <w:spacing w:val="6"/>
          <w:lang w:eastAsia="en-GB"/>
        </w:rPr>
        <w:t xml:space="preserve"> </w:t>
      </w:r>
      <w:r w:rsidRPr="00CE0885">
        <w:rPr>
          <w:lang w:eastAsia="en-GB"/>
        </w:rPr>
        <w:t>a</w:t>
      </w:r>
      <w:r w:rsidRPr="00CE0885">
        <w:rPr>
          <w:spacing w:val="1"/>
          <w:lang w:eastAsia="en-GB"/>
        </w:rPr>
        <w:t>r</w:t>
      </w:r>
      <w:r w:rsidRPr="00CE0885">
        <w:rPr>
          <w:lang w:eastAsia="en-GB"/>
        </w:rPr>
        <w:t>e</w:t>
      </w:r>
      <w:r w:rsidRPr="00CE0885">
        <w:rPr>
          <w:spacing w:val="4"/>
          <w:lang w:eastAsia="en-GB"/>
        </w:rPr>
        <w:t xml:space="preserve"> </w:t>
      </w:r>
      <w:r w:rsidRPr="00CE0885">
        <w:rPr>
          <w:spacing w:val="-2"/>
          <w:lang w:eastAsia="en-GB"/>
        </w:rPr>
        <w:t>c</w:t>
      </w:r>
      <w:r w:rsidRPr="00CE0885">
        <w:rPr>
          <w:spacing w:val="2"/>
          <w:lang w:eastAsia="en-GB"/>
        </w:rPr>
        <w:t>e</w:t>
      </w:r>
      <w:r w:rsidRPr="00CE0885">
        <w:rPr>
          <w:spacing w:val="-1"/>
          <w:lang w:eastAsia="en-GB"/>
        </w:rPr>
        <w:t>r</w:t>
      </w:r>
      <w:r w:rsidRPr="00CE0885">
        <w:rPr>
          <w:lang w:eastAsia="en-GB"/>
        </w:rPr>
        <w:t>ta</w:t>
      </w:r>
      <w:r w:rsidRPr="00CE0885">
        <w:rPr>
          <w:spacing w:val="1"/>
          <w:lang w:eastAsia="en-GB"/>
        </w:rPr>
        <w:t>i</w:t>
      </w:r>
      <w:r w:rsidRPr="00CE0885">
        <w:rPr>
          <w:lang w:eastAsia="en-GB"/>
        </w:rPr>
        <w:t>n</w:t>
      </w:r>
      <w:r w:rsidRPr="00CE0885">
        <w:rPr>
          <w:spacing w:val="8"/>
          <w:lang w:eastAsia="en-GB"/>
        </w:rPr>
        <w:t xml:space="preserve"> </w:t>
      </w:r>
      <w:r w:rsidRPr="00CE0885">
        <w:rPr>
          <w:spacing w:val="-2"/>
          <w:lang w:eastAsia="en-GB"/>
        </w:rPr>
        <w:t>s</w:t>
      </w:r>
      <w:r w:rsidRPr="00CE0885">
        <w:rPr>
          <w:spacing w:val="2"/>
          <w:lang w:eastAsia="en-GB"/>
        </w:rPr>
        <w:t>t</w:t>
      </w:r>
      <w:r w:rsidRPr="00CE0885">
        <w:rPr>
          <w:lang w:eastAsia="en-GB"/>
        </w:rPr>
        <w:t>eps</w:t>
      </w:r>
      <w:r w:rsidRPr="00CE0885">
        <w:rPr>
          <w:spacing w:val="7"/>
          <w:lang w:eastAsia="en-GB"/>
        </w:rPr>
        <w:t xml:space="preserve"> </w:t>
      </w:r>
      <w:r w:rsidRPr="00CE0885">
        <w:rPr>
          <w:lang w:eastAsia="en-GB"/>
        </w:rPr>
        <w:t>to</w:t>
      </w:r>
      <w:r w:rsidRPr="00CE0885">
        <w:rPr>
          <w:spacing w:val="5"/>
          <w:lang w:eastAsia="en-GB"/>
        </w:rPr>
        <w:t xml:space="preserve"> </w:t>
      </w:r>
      <w:r w:rsidRPr="00CE0885">
        <w:rPr>
          <w:spacing w:val="2"/>
          <w:lang w:eastAsia="en-GB"/>
        </w:rPr>
        <w:t>f</w:t>
      </w:r>
      <w:r w:rsidRPr="00CE0885">
        <w:rPr>
          <w:spacing w:val="-5"/>
          <w:lang w:eastAsia="en-GB"/>
        </w:rPr>
        <w:t>o</w:t>
      </w:r>
      <w:r w:rsidRPr="00CE0885">
        <w:rPr>
          <w:spacing w:val="3"/>
          <w:lang w:eastAsia="en-GB"/>
        </w:rPr>
        <w:t>l</w:t>
      </w:r>
      <w:r w:rsidRPr="00CE0885">
        <w:rPr>
          <w:spacing w:val="1"/>
          <w:lang w:eastAsia="en-GB"/>
        </w:rPr>
        <w:t>l</w:t>
      </w:r>
      <w:r w:rsidRPr="00CE0885">
        <w:rPr>
          <w:lang w:eastAsia="en-GB"/>
        </w:rPr>
        <w:t>ow</w:t>
      </w:r>
      <w:r w:rsidRPr="00CE0885">
        <w:rPr>
          <w:spacing w:val="4"/>
          <w:lang w:eastAsia="en-GB"/>
        </w:rPr>
        <w:t xml:space="preserve"> </w:t>
      </w:r>
      <w:r w:rsidRPr="00CE0885">
        <w:rPr>
          <w:spacing w:val="-3"/>
          <w:lang w:eastAsia="en-GB"/>
        </w:rPr>
        <w:t>w</w:t>
      </w:r>
      <w:r w:rsidRPr="00CE0885">
        <w:rPr>
          <w:spacing w:val="3"/>
          <w:lang w:eastAsia="en-GB"/>
        </w:rPr>
        <w:t>i</w:t>
      </w:r>
      <w:r w:rsidRPr="00CE0885">
        <w:rPr>
          <w:lang w:eastAsia="en-GB"/>
        </w:rPr>
        <w:t>t</w:t>
      </w:r>
      <w:r w:rsidRPr="00CE0885">
        <w:rPr>
          <w:spacing w:val="-3"/>
          <w:lang w:eastAsia="en-GB"/>
        </w:rPr>
        <w:t>h</w:t>
      </w:r>
      <w:r w:rsidRPr="00CE0885">
        <w:rPr>
          <w:spacing w:val="3"/>
          <w:lang w:eastAsia="en-GB"/>
        </w:rPr>
        <w:t>i</w:t>
      </w:r>
      <w:r w:rsidRPr="00CE0885">
        <w:rPr>
          <w:lang w:eastAsia="en-GB"/>
        </w:rPr>
        <w:t>n</w:t>
      </w:r>
      <w:r w:rsidRPr="00CE0885">
        <w:rPr>
          <w:spacing w:val="7"/>
          <w:lang w:eastAsia="en-GB"/>
        </w:rPr>
        <w:t xml:space="preserve"> </w:t>
      </w:r>
      <w:r>
        <w:rPr>
          <w:w w:val="101"/>
          <w:lang w:eastAsia="en-GB"/>
        </w:rPr>
        <w:t>fixed</w:t>
      </w:r>
      <w:r w:rsidRPr="00CE0885">
        <w:rPr>
          <w:w w:val="101"/>
          <w:lang w:eastAsia="en-GB"/>
        </w:rPr>
        <w:t xml:space="preserve"> </w:t>
      </w:r>
      <w:r w:rsidRPr="00CE0885">
        <w:rPr>
          <w:lang w:eastAsia="en-GB"/>
        </w:rPr>
        <w:t>t</w:t>
      </w:r>
      <w:r w:rsidRPr="00CE0885">
        <w:rPr>
          <w:spacing w:val="-1"/>
          <w:lang w:eastAsia="en-GB"/>
        </w:rPr>
        <w:t>i</w:t>
      </w:r>
      <w:r w:rsidRPr="00CE0885">
        <w:rPr>
          <w:spacing w:val="2"/>
          <w:lang w:eastAsia="en-GB"/>
        </w:rPr>
        <w:t>m</w:t>
      </w:r>
      <w:r w:rsidRPr="00CE0885">
        <w:rPr>
          <w:spacing w:val="-3"/>
          <w:lang w:eastAsia="en-GB"/>
        </w:rPr>
        <w:t>e</w:t>
      </w:r>
      <w:r w:rsidRPr="00CE0885">
        <w:rPr>
          <w:spacing w:val="1"/>
          <w:lang w:eastAsia="en-GB"/>
        </w:rPr>
        <w:t>sc</w:t>
      </w:r>
      <w:r w:rsidRPr="00CE0885">
        <w:rPr>
          <w:spacing w:val="-3"/>
          <w:lang w:eastAsia="en-GB"/>
        </w:rPr>
        <w:t>a</w:t>
      </w:r>
      <w:r w:rsidRPr="00CE0885">
        <w:rPr>
          <w:spacing w:val="3"/>
          <w:lang w:eastAsia="en-GB"/>
        </w:rPr>
        <w:t>l</w:t>
      </w:r>
      <w:r w:rsidRPr="00CE0885">
        <w:rPr>
          <w:spacing w:val="-3"/>
          <w:lang w:eastAsia="en-GB"/>
        </w:rPr>
        <w:t>e</w:t>
      </w:r>
      <w:r w:rsidRPr="00CE0885">
        <w:rPr>
          <w:lang w:eastAsia="en-GB"/>
        </w:rPr>
        <w:t>s</w:t>
      </w:r>
      <w:r w:rsidRPr="00CE0885">
        <w:rPr>
          <w:spacing w:val="13"/>
          <w:lang w:eastAsia="en-GB"/>
        </w:rPr>
        <w:t xml:space="preserve"> </w:t>
      </w:r>
      <w:r w:rsidRPr="00CE0885">
        <w:rPr>
          <w:lang w:eastAsia="en-GB"/>
        </w:rPr>
        <w:t>that</w:t>
      </w:r>
      <w:r w:rsidRPr="00CE0885">
        <w:rPr>
          <w:spacing w:val="5"/>
          <w:lang w:eastAsia="en-GB"/>
        </w:rPr>
        <w:t xml:space="preserve"> </w:t>
      </w:r>
      <w:r w:rsidRPr="00CE0885">
        <w:rPr>
          <w:spacing w:val="2"/>
          <w:lang w:eastAsia="en-GB"/>
        </w:rPr>
        <w:t>a</w:t>
      </w:r>
      <w:r w:rsidRPr="00CE0885">
        <w:rPr>
          <w:spacing w:val="-1"/>
          <w:lang w:eastAsia="en-GB"/>
        </w:rPr>
        <w:t>r</w:t>
      </w:r>
      <w:r w:rsidRPr="00CE0885">
        <w:rPr>
          <w:lang w:eastAsia="en-GB"/>
        </w:rPr>
        <w:t>e</w:t>
      </w:r>
      <w:r w:rsidRPr="00CE0885">
        <w:rPr>
          <w:spacing w:val="1"/>
          <w:lang w:eastAsia="en-GB"/>
        </w:rPr>
        <w:t xml:space="preserve"> </w:t>
      </w:r>
      <w:r w:rsidRPr="00CE0885">
        <w:rPr>
          <w:spacing w:val="3"/>
          <w:lang w:eastAsia="en-GB"/>
        </w:rPr>
        <w:t>l</w:t>
      </w:r>
      <w:r w:rsidRPr="00CE0885">
        <w:rPr>
          <w:spacing w:val="-3"/>
          <w:lang w:eastAsia="en-GB"/>
        </w:rPr>
        <w:t>a</w:t>
      </w:r>
      <w:r w:rsidRPr="00CE0885">
        <w:rPr>
          <w:spacing w:val="3"/>
          <w:lang w:eastAsia="en-GB"/>
        </w:rPr>
        <w:t>i</w:t>
      </w:r>
      <w:r w:rsidRPr="00CE0885">
        <w:rPr>
          <w:lang w:eastAsia="en-GB"/>
        </w:rPr>
        <w:t>d</w:t>
      </w:r>
      <w:r w:rsidRPr="00CE0885">
        <w:rPr>
          <w:spacing w:val="7"/>
          <w:lang w:eastAsia="en-GB"/>
        </w:rPr>
        <w:t xml:space="preserve"> </w:t>
      </w:r>
      <w:r w:rsidRPr="00CE0885">
        <w:rPr>
          <w:spacing w:val="-3"/>
          <w:lang w:eastAsia="en-GB"/>
        </w:rPr>
        <w:t>d</w:t>
      </w:r>
      <w:r w:rsidRPr="00CE0885">
        <w:rPr>
          <w:spacing w:val="2"/>
          <w:lang w:eastAsia="en-GB"/>
        </w:rPr>
        <w:t>o</w:t>
      </w:r>
      <w:r w:rsidRPr="00CE0885">
        <w:rPr>
          <w:spacing w:val="-1"/>
          <w:lang w:eastAsia="en-GB"/>
        </w:rPr>
        <w:t>w</w:t>
      </w:r>
      <w:r w:rsidRPr="00CE0885">
        <w:rPr>
          <w:lang w:eastAsia="en-GB"/>
        </w:rPr>
        <w:t>n</w:t>
      </w:r>
      <w:r w:rsidRPr="00CE0885">
        <w:rPr>
          <w:spacing w:val="3"/>
          <w:lang w:eastAsia="en-GB"/>
        </w:rPr>
        <w:t xml:space="preserve"> i</w:t>
      </w:r>
      <w:r w:rsidRPr="00CE0885">
        <w:rPr>
          <w:lang w:eastAsia="en-GB"/>
        </w:rPr>
        <w:t>n</w:t>
      </w:r>
      <w:r w:rsidRPr="00CE0885">
        <w:rPr>
          <w:spacing w:val="3"/>
          <w:lang w:eastAsia="en-GB"/>
        </w:rPr>
        <w:t xml:space="preserve"> </w:t>
      </w:r>
      <w:r w:rsidRPr="00CE0885">
        <w:rPr>
          <w:spacing w:val="-1"/>
          <w:w w:val="101"/>
          <w:lang w:eastAsia="en-GB"/>
        </w:rPr>
        <w:t>legislation</w:t>
      </w:r>
      <w:r w:rsidRPr="00CE0885">
        <w:rPr>
          <w:w w:val="101"/>
          <w:lang w:eastAsia="en-GB"/>
        </w:rPr>
        <w:t>.</w:t>
      </w:r>
    </w:p>
    <w:p w14:paraId="1DB2FF52" w14:textId="22E50176" w:rsidR="0007271E" w:rsidRPr="00CE0885" w:rsidRDefault="0007271E" w:rsidP="0007271E">
      <w:pPr>
        <w:pStyle w:val="Heading2"/>
        <w:rPr>
          <w:lang w:eastAsia="en-GB"/>
        </w:rPr>
      </w:pPr>
      <w:bookmarkStart w:id="2353" w:name="_Toc7417134"/>
      <w:bookmarkStart w:id="2354" w:name="_Toc95743545"/>
      <w:r w:rsidRPr="00CE0885">
        <w:rPr>
          <w:lang w:eastAsia="en-GB"/>
        </w:rPr>
        <w:t>Individual - GMS Contract</w:t>
      </w:r>
      <w:bookmarkEnd w:id="2353"/>
      <w:bookmarkEnd w:id="2354"/>
      <w:r w:rsidRPr="00CE0885">
        <w:rPr>
          <w:lang w:eastAsia="en-GB"/>
        </w:rPr>
        <w:t xml:space="preserve"> </w:t>
      </w:r>
    </w:p>
    <w:p w14:paraId="76F9B70A" w14:textId="77777777" w:rsidR="0007271E" w:rsidRPr="00260467" w:rsidRDefault="0007271E" w:rsidP="0007271E">
      <w:pPr>
        <w:pStyle w:val="Heading3"/>
      </w:pPr>
      <w:r w:rsidRPr="00260467">
        <w:rPr>
          <w:spacing w:val="7"/>
          <w:lang w:eastAsia="en-GB"/>
        </w:rPr>
        <w:t>Where</w:t>
      </w:r>
      <w:r w:rsidRPr="00260467">
        <w:rPr>
          <w:spacing w:val="8"/>
          <w:lang w:eastAsia="en-GB"/>
        </w:rPr>
        <w:t xml:space="preserve"> </w:t>
      </w:r>
      <w:r w:rsidRPr="00CE0885">
        <w:rPr>
          <w:lang w:eastAsia="en-GB"/>
        </w:rPr>
        <w:t>a</w:t>
      </w:r>
      <w:r w:rsidRPr="00260467">
        <w:rPr>
          <w:spacing w:val="1"/>
          <w:lang w:eastAsia="en-GB"/>
        </w:rPr>
        <w:t xml:space="preserve"> </w:t>
      </w:r>
      <w:r w:rsidRPr="00260467">
        <w:rPr>
          <w:spacing w:val="-2"/>
          <w:lang w:eastAsia="en-GB"/>
        </w:rPr>
        <w:t>G</w:t>
      </w:r>
      <w:r w:rsidRPr="00CE0885">
        <w:rPr>
          <w:lang w:eastAsia="en-GB"/>
        </w:rPr>
        <w:t>MS</w:t>
      </w:r>
      <w:r w:rsidRPr="00260467">
        <w:rPr>
          <w:spacing w:val="9"/>
          <w:lang w:eastAsia="en-GB"/>
        </w:rPr>
        <w:t xml:space="preserve"> </w:t>
      </w:r>
      <w:r w:rsidRPr="00260467">
        <w:rPr>
          <w:spacing w:val="-2"/>
          <w:lang w:eastAsia="en-GB"/>
        </w:rPr>
        <w:t>c</w:t>
      </w:r>
      <w:r w:rsidRPr="00260467">
        <w:rPr>
          <w:spacing w:val="2"/>
          <w:lang w:eastAsia="en-GB"/>
        </w:rPr>
        <w:t>o</w:t>
      </w:r>
      <w:r w:rsidRPr="00260467">
        <w:rPr>
          <w:spacing w:val="-3"/>
          <w:lang w:eastAsia="en-GB"/>
        </w:rPr>
        <w:t>n</w:t>
      </w:r>
      <w:r w:rsidRPr="00260467">
        <w:rPr>
          <w:spacing w:val="2"/>
          <w:lang w:eastAsia="en-GB"/>
        </w:rPr>
        <w:t>t</w:t>
      </w:r>
      <w:r w:rsidRPr="00260467">
        <w:rPr>
          <w:spacing w:val="1"/>
          <w:lang w:eastAsia="en-GB"/>
        </w:rPr>
        <w:t>r</w:t>
      </w:r>
      <w:r w:rsidRPr="00CE0885">
        <w:rPr>
          <w:lang w:eastAsia="en-GB"/>
        </w:rPr>
        <w:t>a</w:t>
      </w:r>
      <w:r w:rsidRPr="00260467">
        <w:rPr>
          <w:spacing w:val="1"/>
          <w:lang w:eastAsia="en-GB"/>
        </w:rPr>
        <w:t>c</w:t>
      </w:r>
      <w:r w:rsidRPr="00CE0885">
        <w:rPr>
          <w:lang w:eastAsia="en-GB"/>
        </w:rPr>
        <w:t>t</w:t>
      </w:r>
      <w:r w:rsidRPr="00260467">
        <w:rPr>
          <w:spacing w:val="9"/>
          <w:lang w:eastAsia="en-GB"/>
        </w:rPr>
        <w:t xml:space="preserve"> </w:t>
      </w:r>
      <w:r w:rsidRPr="00260467">
        <w:rPr>
          <w:spacing w:val="3"/>
          <w:lang w:eastAsia="en-GB"/>
        </w:rPr>
        <w:t>i</w:t>
      </w:r>
      <w:r w:rsidRPr="00CE0885">
        <w:rPr>
          <w:lang w:eastAsia="en-GB"/>
        </w:rPr>
        <w:t>s</w:t>
      </w:r>
      <w:r w:rsidRPr="00260467">
        <w:rPr>
          <w:spacing w:val="4"/>
          <w:lang w:eastAsia="en-GB"/>
        </w:rPr>
        <w:t xml:space="preserve"> </w:t>
      </w:r>
      <w:r w:rsidRPr="00260467">
        <w:rPr>
          <w:spacing w:val="-3"/>
          <w:lang w:eastAsia="en-GB"/>
        </w:rPr>
        <w:t>w</w:t>
      </w:r>
      <w:r w:rsidRPr="00260467">
        <w:rPr>
          <w:spacing w:val="1"/>
          <w:lang w:eastAsia="en-GB"/>
        </w:rPr>
        <w:t>i</w:t>
      </w:r>
      <w:r w:rsidRPr="00CE0885">
        <w:rPr>
          <w:lang w:eastAsia="en-GB"/>
        </w:rPr>
        <w:t>th</w:t>
      </w:r>
      <w:r w:rsidRPr="00260467">
        <w:rPr>
          <w:spacing w:val="5"/>
          <w:lang w:eastAsia="en-GB"/>
        </w:rPr>
        <w:t xml:space="preserve"> </w:t>
      </w:r>
      <w:r w:rsidRPr="00CE0885">
        <w:rPr>
          <w:lang w:eastAsia="en-GB"/>
        </w:rPr>
        <w:t>an</w:t>
      </w:r>
      <w:r w:rsidRPr="00260467">
        <w:rPr>
          <w:spacing w:val="4"/>
          <w:lang w:eastAsia="en-GB"/>
        </w:rPr>
        <w:t xml:space="preserve"> </w:t>
      </w:r>
      <w:r w:rsidRPr="00260467">
        <w:rPr>
          <w:spacing w:val="1"/>
          <w:lang w:eastAsia="en-GB"/>
        </w:rPr>
        <w:t>i</w:t>
      </w:r>
      <w:r w:rsidRPr="00CE0885">
        <w:rPr>
          <w:lang w:eastAsia="en-GB"/>
        </w:rPr>
        <w:t>n</w:t>
      </w:r>
      <w:r w:rsidRPr="00260467">
        <w:rPr>
          <w:spacing w:val="-3"/>
          <w:lang w:eastAsia="en-GB"/>
        </w:rPr>
        <w:t>d</w:t>
      </w:r>
      <w:r w:rsidRPr="00260467">
        <w:rPr>
          <w:spacing w:val="1"/>
          <w:lang w:eastAsia="en-GB"/>
        </w:rPr>
        <w:t>iv</w:t>
      </w:r>
      <w:r w:rsidRPr="00260467">
        <w:rPr>
          <w:spacing w:val="3"/>
          <w:lang w:eastAsia="en-GB"/>
        </w:rPr>
        <w:t>i</w:t>
      </w:r>
      <w:r w:rsidRPr="00260467">
        <w:rPr>
          <w:spacing w:val="-3"/>
          <w:lang w:eastAsia="en-GB"/>
        </w:rPr>
        <w:t>d</w:t>
      </w:r>
      <w:r w:rsidRPr="00CE0885">
        <w:rPr>
          <w:lang w:eastAsia="en-GB"/>
        </w:rPr>
        <w:t>u</w:t>
      </w:r>
      <w:r w:rsidRPr="00260467">
        <w:rPr>
          <w:spacing w:val="-3"/>
          <w:lang w:eastAsia="en-GB"/>
        </w:rPr>
        <w:t>a</w:t>
      </w:r>
      <w:r w:rsidRPr="00CE0885">
        <w:rPr>
          <w:lang w:eastAsia="en-GB"/>
        </w:rPr>
        <w:t>l</w:t>
      </w:r>
      <w:r w:rsidRPr="00260467">
        <w:rPr>
          <w:spacing w:val="14"/>
          <w:lang w:eastAsia="en-GB"/>
        </w:rPr>
        <w:t xml:space="preserve"> </w:t>
      </w:r>
      <w:r w:rsidRPr="00260467">
        <w:rPr>
          <w:spacing w:val="2"/>
          <w:lang w:eastAsia="en-GB"/>
        </w:rPr>
        <w:t>m</w:t>
      </w:r>
      <w:r w:rsidRPr="00260467">
        <w:rPr>
          <w:spacing w:val="-3"/>
          <w:lang w:eastAsia="en-GB"/>
        </w:rPr>
        <w:t>e</w:t>
      </w:r>
      <w:r w:rsidRPr="00CE0885">
        <w:rPr>
          <w:lang w:eastAsia="en-GB"/>
        </w:rPr>
        <w:t>d</w:t>
      </w:r>
      <w:r w:rsidRPr="00260467">
        <w:rPr>
          <w:spacing w:val="1"/>
          <w:lang w:eastAsia="en-GB"/>
        </w:rPr>
        <w:t>ic</w:t>
      </w:r>
      <w:r w:rsidRPr="00260467">
        <w:rPr>
          <w:spacing w:val="-3"/>
          <w:lang w:eastAsia="en-GB"/>
        </w:rPr>
        <w:t>a</w:t>
      </w:r>
      <w:r w:rsidRPr="00CE0885">
        <w:rPr>
          <w:lang w:eastAsia="en-GB"/>
        </w:rPr>
        <w:t>l</w:t>
      </w:r>
      <w:r w:rsidRPr="00260467">
        <w:rPr>
          <w:spacing w:val="12"/>
          <w:lang w:eastAsia="en-GB"/>
        </w:rPr>
        <w:t xml:space="preserve"> </w:t>
      </w:r>
      <w:r w:rsidRPr="00260467">
        <w:rPr>
          <w:spacing w:val="-3"/>
          <w:lang w:eastAsia="en-GB"/>
        </w:rPr>
        <w:t>p</w:t>
      </w:r>
      <w:r w:rsidRPr="00260467">
        <w:rPr>
          <w:spacing w:val="-1"/>
          <w:lang w:eastAsia="en-GB"/>
        </w:rPr>
        <w:t>r</w:t>
      </w:r>
      <w:r w:rsidRPr="00CE0885">
        <w:rPr>
          <w:lang w:eastAsia="en-GB"/>
        </w:rPr>
        <w:t>a</w:t>
      </w:r>
      <w:r w:rsidRPr="00260467">
        <w:rPr>
          <w:spacing w:val="1"/>
          <w:lang w:eastAsia="en-GB"/>
        </w:rPr>
        <w:t>c</w:t>
      </w:r>
      <w:r w:rsidRPr="00CE0885">
        <w:rPr>
          <w:lang w:eastAsia="en-GB"/>
        </w:rPr>
        <w:t>t</w:t>
      </w:r>
      <w:r w:rsidRPr="00260467">
        <w:rPr>
          <w:spacing w:val="1"/>
          <w:lang w:eastAsia="en-GB"/>
        </w:rPr>
        <w:t>i</w:t>
      </w:r>
      <w:r w:rsidRPr="00260467">
        <w:rPr>
          <w:spacing w:val="2"/>
          <w:lang w:eastAsia="en-GB"/>
        </w:rPr>
        <w:t>t</w:t>
      </w:r>
      <w:r w:rsidRPr="00260467">
        <w:rPr>
          <w:spacing w:val="1"/>
          <w:lang w:eastAsia="en-GB"/>
        </w:rPr>
        <w:t>i</w:t>
      </w:r>
      <w:r w:rsidRPr="00260467">
        <w:rPr>
          <w:spacing w:val="-3"/>
          <w:lang w:eastAsia="en-GB"/>
        </w:rPr>
        <w:t>o</w:t>
      </w:r>
      <w:r w:rsidRPr="00CE0885">
        <w:rPr>
          <w:lang w:eastAsia="en-GB"/>
        </w:rPr>
        <w:t>ner</w:t>
      </w:r>
      <w:r w:rsidRPr="00260467">
        <w:rPr>
          <w:spacing w:val="13"/>
          <w:lang w:eastAsia="en-GB"/>
        </w:rPr>
        <w:t xml:space="preserve"> </w:t>
      </w:r>
      <w:r w:rsidRPr="00260467">
        <w:rPr>
          <w:spacing w:val="-3"/>
          <w:lang w:eastAsia="en-GB"/>
        </w:rPr>
        <w:t>a</w:t>
      </w:r>
      <w:r w:rsidRPr="00260467">
        <w:rPr>
          <w:spacing w:val="2"/>
          <w:lang w:eastAsia="en-GB"/>
        </w:rPr>
        <w:t>n</w:t>
      </w:r>
      <w:r w:rsidRPr="00CE0885">
        <w:rPr>
          <w:lang w:eastAsia="en-GB"/>
        </w:rPr>
        <w:t>d</w:t>
      </w:r>
      <w:r w:rsidRPr="00260467">
        <w:rPr>
          <w:spacing w:val="5"/>
          <w:lang w:eastAsia="en-GB"/>
        </w:rPr>
        <w:t xml:space="preserve"> </w:t>
      </w:r>
      <w:r w:rsidRPr="00260467">
        <w:rPr>
          <w:w w:val="101"/>
          <w:lang w:eastAsia="en-GB"/>
        </w:rPr>
        <w:t>t</w:t>
      </w:r>
      <w:r w:rsidRPr="00260467">
        <w:rPr>
          <w:spacing w:val="-3"/>
          <w:w w:val="101"/>
          <w:lang w:eastAsia="en-GB"/>
        </w:rPr>
        <w:t>h</w:t>
      </w:r>
      <w:r w:rsidRPr="00260467">
        <w:rPr>
          <w:w w:val="101"/>
          <w:lang w:eastAsia="en-GB"/>
        </w:rPr>
        <w:t xml:space="preserve">at </w:t>
      </w:r>
      <w:r w:rsidRPr="00260467">
        <w:rPr>
          <w:spacing w:val="-3"/>
          <w:lang w:eastAsia="en-GB"/>
        </w:rPr>
        <w:t>p</w:t>
      </w:r>
      <w:r w:rsidRPr="00260467">
        <w:rPr>
          <w:spacing w:val="1"/>
          <w:lang w:eastAsia="en-GB"/>
        </w:rPr>
        <w:t>r</w:t>
      </w:r>
      <w:r w:rsidRPr="00CE0885">
        <w:rPr>
          <w:lang w:eastAsia="en-GB"/>
        </w:rPr>
        <w:t>a</w:t>
      </w:r>
      <w:r w:rsidRPr="00260467">
        <w:rPr>
          <w:spacing w:val="-2"/>
          <w:lang w:eastAsia="en-GB"/>
        </w:rPr>
        <w:t>c</w:t>
      </w:r>
      <w:r w:rsidRPr="00260467">
        <w:rPr>
          <w:spacing w:val="2"/>
          <w:lang w:eastAsia="en-GB"/>
        </w:rPr>
        <w:t>t</w:t>
      </w:r>
      <w:r w:rsidRPr="00260467">
        <w:rPr>
          <w:spacing w:val="1"/>
          <w:lang w:eastAsia="en-GB"/>
        </w:rPr>
        <w:t>i</w:t>
      </w:r>
      <w:r w:rsidRPr="00CE0885">
        <w:rPr>
          <w:lang w:eastAsia="en-GB"/>
        </w:rPr>
        <w:t>t</w:t>
      </w:r>
      <w:r w:rsidRPr="00260467">
        <w:rPr>
          <w:spacing w:val="3"/>
          <w:lang w:eastAsia="en-GB"/>
        </w:rPr>
        <w:t>i</w:t>
      </w:r>
      <w:r w:rsidRPr="00260467">
        <w:rPr>
          <w:spacing w:val="-3"/>
          <w:lang w:eastAsia="en-GB"/>
        </w:rPr>
        <w:t>o</w:t>
      </w:r>
      <w:r w:rsidRPr="00CE0885">
        <w:rPr>
          <w:lang w:eastAsia="en-GB"/>
        </w:rPr>
        <w:t>n</w:t>
      </w:r>
      <w:r w:rsidRPr="00260467">
        <w:rPr>
          <w:spacing w:val="-3"/>
          <w:lang w:eastAsia="en-GB"/>
        </w:rPr>
        <w:t>e</w:t>
      </w:r>
      <w:r w:rsidRPr="00CE0885">
        <w:rPr>
          <w:lang w:eastAsia="en-GB"/>
        </w:rPr>
        <w:t>r</w:t>
      </w:r>
      <w:r w:rsidRPr="00260467">
        <w:rPr>
          <w:spacing w:val="13"/>
          <w:lang w:eastAsia="en-GB"/>
        </w:rPr>
        <w:t xml:space="preserve"> </w:t>
      </w:r>
      <w:r w:rsidRPr="00260467">
        <w:rPr>
          <w:spacing w:val="-3"/>
          <w:lang w:eastAsia="en-GB"/>
        </w:rPr>
        <w:t>d</w:t>
      </w:r>
      <w:r w:rsidRPr="00260467">
        <w:rPr>
          <w:spacing w:val="3"/>
          <w:lang w:eastAsia="en-GB"/>
        </w:rPr>
        <w:t>i</w:t>
      </w:r>
      <w:r w:rsidRPr="00260467">
        <w:rPr>
          <w:spacing w:val="-3"/>
          <w:lang w:eastAsia="en-GB"/>
        </w:rPr>
        <w:t>e</w:t>
      </w:r>
      <w:r w:rsidRPr="00260467">
        <w:rPr>
          <w:spacing w:val="1"/>
          <w:lang w:eastAsia="en-GB"/>
        </w:rPr>
        <w:t>s</w:t>
      </w:r>
      <w:r w:rsidRPr="00CE0885">
        <w:rPr>
          <w:lang w:eastAsia="en-GB"/>
        </w:rPr>
        <w:t>,</w:t>
      </w:r>
      <w:r w:rsidRPr="00260467">
        <w:rPr>
          <w:spacing w:val="6"/>
          <w:lang w:eastAsia="en-GB"/>
        </w:rPr>
        <w:t xml:space="preserve"> </w:t>
      </w:r>
      <w:r w:rsidRPr="00CE0885">
        <w:rPr>
          <w:lang w:eastAsia="en-GB"/>
        </w:rPr>
        <w:t>t</w:t>
      </w:r>
      <w:r w:rsidRPr="00260467">
        <w:rPr>
          <w:spacing w:val="2"/>
          <w:lang w:eastAsia="en-GB"/>
        </w:rPr>
        <w:t>h</w:t>
      </w:r>
      <w:r w:rsidRPr="00CE0885">
        <w:rPr>
          <w:lang w:eastAsia="en-GB"/>
        </w:rPr>
        <w:t>e</w:t>
      </w:r>
      <w:r w:rsidRPr="00260467">
        <w:rPr>
          <w:spacing w:val="4"/>
          <w:lang w:eastAsia="en-GB"/>
        </w:rPr>
        <w:t xml:space="preserve"> </w:t>
      </w:r>
      <w:r w:rsidRPr="00260467">
        <w:rPr>
          <w:spacing w:val="-2"/>
          <w:lang w:eastAsia="en-GB"/>
        </w:rPr>
        <w:t>c</w:t>
      </w:r>
      <w:r w:rsidRPr="00CE0885">
        <w:rPr>
          <w:lang w:eastAsia="en-GB"/>
        </w:rPr>
        <w:t>ont</w:t>
      </w:r>
      <w:r w:rsidRPr="00260467">
        <w:rPr>
          <w:spacing w:val="1"/>
          <w:lang w:eastAsia="en-GB"/>
        </w:rPr>
        <w:t>r</w:t>
      </w:r>
      <w:r w:rsidRPr="00260467">
        <w:rPr>
          <w:spacing w:val="-3"/>
          <w:lang w:eastAsia="en-GB"/>
        </w:rPr>
        <w:t>a</w:t>
      </w:r>
      <w:r w:rsidRPr="00260467">
        <w:rPr>
          <w:spacing w:val="1"/>
          <w:lang w:eastAsia="en-GB"/>
        </w:rPr>
        <w:t>c</w:t>
      </w:r>
      <w:r w:rsidRPr="00CE0885">
        <w:rPr>
          <w:lang w:eastAsia="en-GB"/>
        </w:rPr>
        <w:t>t</w:t>
      </w:r>
      <w:r w:rsidRPr="00260467">
        <w:rPr>
          <w:spacing w:val="11"/>
          <w:lang w:eastAsia="en-GB"/>
        </w:rPr>
        <w:t xml:space="preserve"> </w:t>
      </w:r>
      <w:r w:rsidRPr="00260467">
        <w:rPr>
          <w:spacing w:val="-2"/>
          <w:lang w:eastAsia="en-GB"/>
        </w:rPr>
        <w:t>must</w:t>
      </w:r>
      <w:r w:rsidRPr="00260467">
        <w:rPr>
          <w:spacing w:val="7"/>
          <w:lang w:eastAsia="en-GB"/>
        </w:rPr>
        <w:t xml:space="preserve"> </w:t>
      </w:r>
      <w:r w:rsidRPr="00260467">
        <w:rPr>
          <w:spacing w:val="2"/>
          <w:lang w:eastAsia="en-GB"/>
        </w:rPr>
        <w:t>t</w:t>
      </w:r>
      <w:r w:rsidRPr="00260467">
        <w:rPr>
          <w:spacing w:val="-3"/>
          <w:lang w:eastAsia="en-GB"/>
        </w:rPr>
        <w:t>e</w:t>
      </w:r>
      <w:r w:rsidRPr="00260467">
        <w:rPr>
          <w:spacing w:val="-1"/>
          <w:lang w:eastAsia="en-GB"/>
        </w:rPr>
        <w:t>r</w:t>
      </w:r>
      <w:r w:rsidRPr="00CE0885">
        <w:rPr>
          <w:lang w:eastAsia="en-GB"/>
        </w:rPr>
        <w:t>m</w:t>
      </w:r>
      <w:r w:rsidRPr="00260467">
        <w:rPr>
          <w:spacing w:val="1"/>
          <w:lang w:eastAsia="en-GB"/>
        </w:rPr>
        <w:t>i</w:t>
      </w:r>
      <w:r w:rsidRPr="00CE0885">
        <w:rPr>
          <w:lang w:eastAsia="en-GB"/>
        </w:rPr>
        <w:t>n</w:t>
      </w:r>
      <w:r w:rsidRPr="00260467">
        <w:rPr>
          <w:spacing w:val="-3"/>
          <w:lang w:eastAsia="en-GB"/>
        </w:rPr>
        <w:t>a</w:t>
      </w:r>
      <w:r w:rsidRPr="00260467">
        <w:rPr>
          <w:spacing w:val="2"/>
          <w:lang w:eastAsia="en-GB"/>
        </w:rPr>
        <w:t>t</w:t>
      </w:r>
      <w:r w:rsidRPr="00CE0885">
        <w:rPr>
          <w:lang w:eastAsia="en-GB"/>
        </w:rPr>
        <w:t>e</w:t>
      </w:r>
      <w:r w:rsidRPr="00260467">
        <w:rPr>
          <w:spacing w:val="11"/>
          <w:lang w:eastAsia="en-GB"/>
        </w:rPr>
        <w:t xml:space="preserve"> </w:t>
      </w:r>
      <w:r w:rsidRPr="00CE0885">
        <w:rPr>
          <w:lang w:eastAsia="en-GB"/>
        </w:rPr>
        <w:t>at</w:t>
      </w:r>
      <w:r w:rsidRPr="00260467">
        <w:rPr>
          <w:spacing w:val="5"/>
          <w:lang w:eastAsia="en-GB"/>
        </w:rPr>
        <w:t xml:space="preserve"> </w:t>
      </w:r>
      <w:r w:rsidRPr="00CE0885">
        <w:rPr>
          <w:lang w:eastAsia="en-GB"/>
        </w:rPr>
        <w:t>t</w:t>
      </w:r>
      <w:r w:rsidRPr="00260467">
        <w:rPr>
          <w:spacing w:val="-3"/>
          <w:lang w:eastAsia="en-GB"/>
        </w:rPr>
        <w:t>h</w:t>
      </w:r>
      <w:r w:rsidRPr="00CE0885">
        <w:rPr>
          <w:lang w:eastAsia="en-GB"/>
        </w:rPr>
        <w:t>e</w:t>
      </w:r>
      <w:r w:rsidRPr="00260467">
        <w:rPr>
          <w:spacing w:val="6"/>
          <w:lang w:eastAsia="en-GB"/>
        </w:rPr>
        <w:t xml:space="preserve"> </w:t>
      </w:r>
      <w:r w:rsidRPr="00CE0885">
        <w:rPr>
          <w:lang w:eastAsia="en-GB"/>
        </w:rPr>
        <w:t>end</w:t>
      </w:r>
      <w:r w:rsidRPr="00260467">
        <w:rPr>
          <w:spacing w:val="5"/>
          <w:lang w:eastAsia="en-GB"/>
        </w:rPr>
        <w:t xml:space="preserve"> </w:t>
      </w:r>
      <w:r w:rsidRPr="00260467">
        <w:rPr>
          <w:spacing w:val="-3"/>
          <w:lang w:eastAsia="en-GB"/>
        </w:rPr>
        <w:t>o</w:t>
      </w:r>
      <w:r w:rsidRPr="00CE0885">
        <w:rPr>
          <w:lang w:eastAsia="en-GB"/>
        </w:rPr>
        <w:t>f</w:t>
      </w:r>
      <w:r w:rsidRPr="00260467">
        <w:rPr>
          <w:spacing w:val="8"/>
          <w:lang w:eastAsia="en-GB"/>
        </w:rPr>
        <w:t xml:space="preserve"> </w:t>
      </w:r>
      <w:r w:rsidRPr="00CE0885">
        <w:rPr>
          <w:lang w:eastAsia="en-GB"/>
        </w:rPr>
        <w:t>the</w:t>
      </w:r>
      <w:r w:rsidRPr="00260467">
        <w:rPr>
          <w:spacing w:val="1"/>
          <w:lang w:eastAsia="en-GB"/>
        </w:rPr>
        <w:t xml:space="preserve"> </w:t>
      </w:r>
      <w:r w:rsidRPr="00260467">
        <w:rPr>
          <w:spacing w:val="2"/>
          <w:lang w:eastAsia="en-GB"/>
        </w:rPr>
        <w:t>p</w:t>
      </w:r>
      <w:r w:rsidRPr="00CE0885">
        <w:rPr>
          <w:lang w:eastAsia="en-GB"/>
        </w:rPr>
        <w:t>e</w:t>
      </w:r>
      <w:r w:rsidRPr="00260467">
        <w:rPr>
          <w:spacing w:val="-1"/>
          <w:lang w:eastAsia="en-GB"/>
        </w:rPr>
        <w:t>r</w:t>
      </w:r>
      <w:r w:rsidRPr="00260467">
        <w:rPr>
          <w:spacing w:val="1"/>
          <w:lang w:eastAsia="en-GB"/>
        </w:rPr>
        <w:t>i</w:t>
      </w:r>
      <w:r w:rsidRPr="00260467">
        <w:rPr>
          <w:spacing w:val="2"/>
          <w:lang w:eastAsia="en-GB"/>
        </w:rPr>
        <w:t>o</w:t>
      </w:r>
      <w:r w:rsidRPr="00CE0885">
        <w:rPr>
          <w:lang w:eastAsia="en-GB"/>
        </w:rPr>
        <w:t>d</w:t>
      </w:r>
      <w:r w:rsidRPr="00260467">
        <w:rPr>
          <w:spacing w:val="4"/>
          <w:lang w:eastAsia="en-GB"/>
        </w:rPr>
        <w:t xml:space="preserve"> </w:t>
      </w:r>
      <w:r w:rsidRPr="00260467">
        <w:rPr>
          <w:w w:val="101"/>
          <w:lang w:eastAsia="en-GB"/>
        </w:rPr>
        <w:t xml:space="preserve">of </w:t>
      </w:r>
      <w:r w:rsidRPr="00260467">
        <w:rPr>
          <w:spacing w:val="-2"/>
          <w:lang w:eastAsia="en-GB"/>
        </w:rPr>
        <w:t>7</w:t>
      </w:r>
      <w:r w:rsidRPr="00260467">
        <w:rPr>
          <w:spacing w:val="7"/>
          <w:lang w:eastAsia="en-GB"/>
        </w:rPr>
        <w:t xml:space="preserve"> </w:t>
      </w:r>
      <w:r w:rsidRPr="00CE0885">
        <w:rPr>
          <w:lang w:eastAsia="en-GB"/>
        </w:rPr>
        <w:t>d</w:t>
      </w:r>
      <w:r w:rsidRPr="00260467">
        <w:rPr>
          <w:spacing w:val="2"/>
          <w:lang w:eastAsia="en-GB"/>
        </w:rPr>
        <w:t>a</w:t>
      </w:r>
      <w:r w:rsidRPr="00260467">
        <w:rPr>
          <w:spacing w:val="-4"/>
          <w:lang w:eastAsia="en-GB"/>
        </w:rPr>
        <w:t>y</w:t>
      </w:r>
      <w:r w:rsidRPr="00CE0885">
        <w:rPr>
          <w:lang w:eastAsia="en-GB"/>
        </w:rPr>
        <w:t>s</w:t>
      </w:r>
      <w:r w:rsidRPr="00260467">
        <w:rPr>
          <w:spacing w:val="7"/>
          <w:lang w:eastAsia="en-GB"/>
        </w:rPr>
        <w:t xml:space="preserve"> </w:t>
      </w:r>
      <w:r w:rsidRPr="00CE0885">
        <w:rPr>
          <w:lang w:eastAsia="en-GB"/>
        </w:rPr>
        <w:t>a</w:t>
      </w:r>
      <w:r w:rsidRPr="00260467">
        <w:rPr>
          <w:spacing w:val="2"/>
          <w:lang w:eastAsia="en-GB"/>
        </w:rPr>
        <w:t>f</w:t>
      </w:r>
      <w:r w:rsidRPr="00CE0885">
        <w:rPr>
          <w:lang w:eastAsia="en-GB"/>
        </w:rPr>
        <w:t>ter</w:t>
      </w:r>
      <w:r w:rsidRPr="00260467">
        <w:rPr>
          <w:spacing w:val="5"/>
          <w:lang w:eastAsia="en-GB"/>
        </w:rPr>
        <w:t xml:space="preserve"> </w:t>
      </w:r>
      <w:r w:rsidRPr="00CE0885">
        <w:rPr>
          <w:lang w:eastAsia="en-GB"/>
        </w:rPr>
        <w:t>t</w:t>
      </w:r>
      <w:r w:rsidRPr="00260467">
        <w:rPr>
          <w:spacing w:val="2"/>
          <w:lang w:eastAsia="en-GB"/>
        </w:rPr>
        <w:t>h</w:t>
      </w:r>
      <w:r w:rsidRPr="00CE0885">
        <w:rPr>
          <w:lang w:eastAsia="en-GB"/>
        </w:rPr>
        <w:t>e</w:t>
      </w:r>
      <w:r w:rsidRPr="00260467">
        <w:rPr>
          <w:spacing w:val="4"/>
          <w:lang w:eastAsia="en-GB"/>
        </w:rPr>
        <w:t xml:space="preserve"> </w:t>
      </w:r>
      <w:r w:rsidRPr="00CE0885">
        <w:rPr>
          <w:lang w:eastAsia="en-GB"/>
        </w:rPr>
        <w:t>date</w:t>
      </w:r>
      <w:r w:rsidRPr="00260467">
        <w:rPr>
          <w:spacing w:val="5"/>
          <w:lang w:eastAsia="en-GB"/>
        </w:rPr>
        <w:t xml:space="preserve"> </w:t>
      </w:r>
      <w:r w:rsidRPr="00260467">
        <w:rPr>
          <w:spacing w:val="-3"/>
          <w:lang w:eastAsia="en-GB"/>
        </w:rPr>
        <w:t>o</w:t>
      </w:r>
      <w:r w:rsidRPr="00CE0885">
        <w:rPr>
          <w:lang w:eastAsia="en-GB"/>
        </w:rPr>
        <w:t>f</w:t>
      </w:r>
      <w:r w:rsidRPr="00260467">
        <w:rPr>
          <w:spacing w:val="8"/>
          <w:lang w:eastAsia="en-GB"/>
        </w:rPr>
        <w:t xml:space="preserve"> </w:t>
      </w:r>
      <w:r w:rsidRPr="00CE0885">
        <w:rPr>
          <w:lang w:eastAsia="en-GB"/>
        </w:rPr>
        <w:t>the</w:t>
      </w:r>
      <w:r w:rsidRPr="00260467">
        <w:rPr>
          <w:spacing w:val="1"/>
          <w:lang w:eastAsia="en-GB"/>
        </w:rPr>
        <w:t xml:space="preserve"> c</w:t>
      </w:r>
      <w:r w:rsidRPr="00260467">
        <w:rPr>
          <w:spacing w:val="2"/>
          <w:lang w:eastAsia="en-GB"/>
        </w:rPr>
        <w:t>o</w:t>
      </w:r>
      <w:r w:rsidRPr="00260467">
        <w:rPr>
          <w:spacing w:val="-3"/>
          <w:lang w:eastAsia="en-GB"/>
        </w:rPr>
        <w:t>n</w:t>
      </w:r>
      <w:r w:rsidRPr="00CE0885">
        <w:rPr>
          <w:lang w:eastAsia="en-GB"/>
        </w:rPr>
        <w:t>t</w:t>
      </w:r>
      <w:r w:rsidRPr="00260467">
        <w:rPr>
          <w:spacing w:val="4"/>
          <w:lang w:eastAsia="en-GB"/>
        </w:rPr>
        <w:t>r</w:t>
      </w:r>
      <w:r w:rsidRPr="00260467">
        <w:rPr>
          <w:spacing w:val="-3"/>
          <w:lang w:eastAsia="en-GB"/>
        </w:rPr>
        <w:t>a</w:t>
      </w:r>
      <w:r w:rsidRPr="00260467">
        <w:rPr>
          <w:spacing w:val="1"/>
          <w:lang w:eastAsia="en-GB"/>
        </w:rPr>
        <w:t>c</w:t>
      </w:r>
      <w:r w:rsidRPr="00CE0885">
        <w:rPr>
          <w:lang w:eastAsia="en-GB"/>
        </w:rPr>
        <w:t>t</w:t>
      </w:r>
      <w:r w:rsidRPr="00260467">
        <w:rPr>
          <w:spacing w:val="-3"/>
          <w:lang w:eastAsia="en-GB"/>
        </w:rPr>
        <w:t>o</w:t>
      </w:r>
      <w:r w:rsidRPr="00260467">
        <w:rPr>
          <w:spacing w:val="1"/>
          <w:lang w:eastAsia="en-GB"/>
        </w:rPr>
        <w:t>r’</w:t>
      </w:r>
      <w:r w:rsidRPr="00CE0885">
        <w:rPr>
          <w:lang w:eastAsia="en-GB"/>
        </w:rPr>
        <w:t>s</w:t>
      </w:r>
      <w:r w:rsidRPr="00260467">
        <w:rPr>
          <w:spacing w:val="14"/>
          <w:lang w:eastAsia="en-GB"/>
        </w:rPr>
        <w:t xml:space="preserve"> </w:t>
      </w:r>
      <w:r w:rsidRPr="00260467">
        <w:rPr>
          <w:spacing w:val="-3"/>
          <w:lang w:eastAsia="en-GB"/>
        </w:rPr>
        <w:t>d</w:t>
      </w:r>
      <w:r w:rsidRPr="00260467">
        <w:rPr>
          <w:spacing w:val="2"/>
          <w:lang w:eastAsia="en-GB"/>
        </w:rPr>
        <w:t>e</w:t>
      </w:r>
      <w:r w:rsidRPr="00260467">
        <w:rPr>
          <w:spacing w:val="-3"/>
          <w:lang w:eastAsia="en-GB"/>
        </w:rPr>
        <w:t>a</w:t>
      </w:r>
      <w:r w:rsidRPr="00260467">
        <w:rPr>
          <w:spacing w:val="2"/>
          <w:lang w:eastAsia="en-GB"/>
        </w:rPr>
        <w:t>t</w:t>
      </w:r>
      <w:r w:rsidRPr="00CE0885">
        <w:rPr>
          <w:lang w:eastAsia="en-GB"/>
        </w:rPr>
        <w:t>h</w:t>
      </w:r>
      <w:r w:rsidRPr="00260467">
        <w:rPr>
          <w:spacing w:val="9"/>
          <w:lang w:eastAsia="en-GB"/>
        </w:rPr>
        <w:t xml:space="preserve"> </w:t>
      </w:r>
      <w:r w:rsidRPr="00260467">
        <w:rPr>
          <w:spacing w:val="-3"/>
          <w:lang w:eastAsia="en-GB"/>
        </w:rPr>
        <w:t>u</w:t>
      </w:r>
      <w:r w:rsidRPr="00CE0885">
        <w:rPr>
          <w:lang w:eastAsia="en-GB"/>
        </w:rPr>
        <w:t>n</w:t>
      </w:r>
      <w:r w:rsidRPr="00260467">
        <w:rPr>
          <w:spacing w:val="1"/>
          <w:lang w:eastAsia="en-GB"/>
        </w:rPr>
        <w:t>l</w:t>
      </w:r>
      <w:r w:rsidRPr="00260467">
        <w:rPr>
          <w:spacing w:val="-3"/>
          <w:lang w:eastAsia="en-GB"/>
        </w:rPr>
        <w:t>e</w:t>
      </w:r>
      <w:r w:rsidRPr="00260467">
        <w:rPr>
          <w:spacing w:val="1"/>
          <w:lang w:eastAsia="en-GB"/>
        </w:rPr>
        <w:t>ss, before the end of that period</w:t>
      </w:r>
      <w:r>
        <w:rPr>
          <w:spacing w:val="1"/>
          <w:lang w:eastAsia="en-GB"/>
        </w:rPr>
        <w:t>:</w:t>
      </w:r>
    </w:p>
    <w:p w14:paraId="64EFFB0F" w14:textId="68637AD5" w:rsidR="0007271E" w:rsidRDefault="0007271E" w:rsidP="0007271E">
      <w:pPr>
        <w:pStyle w:val="Heading4"/>
        <w:rPr>
          <w:lang w:eastAsia="en-US"/>
        </w:rPr>
      </w:pPr>
      <w:r w:rsidRPr="00260467">
        <w:t>the commissioner and the contractor’s personal representatives agree in writing that the contract will continue for a further period of up to 28 days</w:t>
      </w:r>
      <w:r>
        <w:t xml:space="preserve"> after the initial 7 day period</w:t>
      </w:r>
      <w:r w:rsidRPr="00260467">
        <w:t xml:space="preserve"> (i.e. the longest possible extension is 35 days from the date of death</w:t>
      </w:r>
      <w:r>
        <w:t>); and</w:t>
      </w:r>
    </w:p>
    <w:p w14:paraId="657F552D" w14:textId="4B6C3557" w:rsidR="0007271E" w:rsidRPr="00CE0885" w:rsidRDefault="0007271E" w:rsidP="0007271E">
      <w:pPr>
        <w:pStyle w:val="Heading4"/>
      </w:pPr>
      <w:r w:rsidRPr="00CE0885">
        <w:t xml:space="preserve">the contractor's personal representatives have confirmed in writing to the Commissioner that they wish to employ or engage one or more general medical practitioners to assist in </w:t>
      </w:r>
      <w:r>
        <w:t>continuing to provide</w:t>
      </w:r>
      <w:r w:rsidRPr="00CE0885">
        <w:t xml:space="preserve"> clinical services under the contract</w:t>
      </w:r>
      <w:r>
        <w:t xml:space="preserve"> during that period</w:t>
      </w:r>
      <w:r w:rsidRPr="00CE0885">
        <w:t xml:space="preserve">; and </w:t>
      </w:r>
    </w:p>
    <w:p w14:paraId="60F37A4F" w14:textId="77777777" w:rsidR="0007271E" w:rsidRPr="00CE0885" w:rsidRDefault="0007271E" w:rsidP="0007271E">
      <w:pPr>
        <w:pStyle w:val="Heading4"/>
      </w:pPr>
      <w:r w:rsidRPr="00CE0885">
        <w:t>the Commissioner agrees to provide reasonable support which would enable the provision of clinical services under the contract to continue</w:t>
      </w:r>
      <w:r>
        <w:t xml:space="preserve"> during that period</w:t>
      </w:r>
      <w:r w:rsidRPr="00CE0885">
        <w:t>; and</w:t>
      </w:r>
    </w:p>
    <w:p w14:paraId="77A8162B" w14:textId="11471D08" w:rsidR="0007271E" w:rsidRPr="00CE0885" w:rsidRDefault="0007271E" w:rsidP="0007271E">
      <w:pPr>
        <w:pStyle w:val="Heading4"/>
      </w:pPr>
      <w:r w:rsidRPr="00CE0885">
        <w:t>the Commissioner and the personal representatives agree the terms upon which clinical services under the contract can continue to be provided</w:t>
      </w:r>
      <w:r>
        <w:t xml:space="preserve"> during that period.</w:t>
      </w:r>
    </w:p>
    <w:p w14:paraId="45A4CC94" w14:textId="77777777" w:rsidR="0007271E" w:rsidRPr="00A75EF3" w:rsidRDefault="0007271E" w:rsidP="0007271E">
      <w:pPr>
        <w:pStyle w:val="Heading3"/>
        <w:rPr>
          <w:w w:val="101"/>
          <w:lang w:eastAsia="en-GB"/>
        </w:rPr>
      </w:pPr>
      <w:r w:rsidRPr="00CE0885">
        <w:rPr>
          <w:spacing w:val="-1"/>
          <w:lang w:eastAsia="en-GB"/>
        </w:rPr>
        <w:t>T</w:t>
      </w:r>
      <w:r w:rsidRPr="00CE0885">
        <w:rPr>
          <w:spacing w:val="-3"/>
          <w:lang w:eastAsia="en-GB"/>
        </w:rPr>
        <w:t>h</w:t>
      </w:r>
      <w:r w:rsidRPr="00CE0885">
        <w:rPr>
          <w:lang w:eastAsia="en-GB"/>
        </w:rPr>
        <w:t>e</w:t>
      </w:r>
      <w:r w:rsidRPr="00CE0885">
        <w:rPr>
          <w:spacing w:val="5"/>
          <w:lang w:eastAsia="en-GB"/>
        </w:rPr>
        <w:t xml:space="preserve"> </w:t>
      </w:r>
      <w:r w:rsidRPr="00CE0885">
        <w:rPr>
          <w:lang w:eastAsia="en-GB"/>
        </w:rPr>
        <w:t>Commissioner</w:t>
      </w:r>
      <w:r w:rsidRPr="00CE0885">
        <w:rPr>
          <w:spacing w:val="5"/>
          <w:lang w:eastAsia="en-GB"/>
        </w:rPr>
        <w:t xml:space="preserve"> </w:t>
      </w:r>
      <w:r w:rsidRPr="00CE0885">
        <w:rPr>
          <w:spacing w:val="1"/>
          <w:lang w:eastAsia="en-GB"/>
        </w:rPr>
        <w:t>s</w:t>
      </w:r>
      <w:r w:rsidRPr="00CE0885">
        <w:rPr>
          <w:lang w:eastAsia="en-GB"/>
        </w:rPr>
        <w:t>h</w:t>
      </w:r>
      <w:r w:rsidRPr="00CE0885">
        <w:rPr>
          <w:spacing w:val="2"/>
          <w:lang w:eastAsia="en-GB"/>
        </w:rPr>
        <w:t>o</w:t>
      </w:r>
      <w:r w:rsidRPr="00CE0885">
        <w:rPr>
          <w:spacing w:val="-3"/>
          <w:lang w:eastAsia="en-GB"/>
        </w:rPr>
        <w:t>u</w:t>
      </w:r>
      <w:r w:rsidRPr="00CE0885">
        <w:rPr>
          <w:spacing w:val="3"/>
          <w:lang w:eastAsia="en-GB"/>
        </w:rPr>
        <w:t>l</w:t>
      </w:r>
      <w:r w:rsidRPr="00CE0885">
        <w:rPr>
          <w:lang w:eastAsia="en-GB"/>
        </w:rPr>
        <w:t>d</w:t>
      </w:r>
      <w:r w:rsidRPr="00CE0885">
        <w:rPr>
          <w:spacing w:val="5"/>
          <w:lang w:eastAsia="en-GB"/>
        </w:rPr>
        <w:t xml:space="preserve"> </w:t>
      </w:r>
      <w:r w:rsidRPr="00CE0885">
        <w:rPr>
          <w:spacing w:val="3"/>
          <w:lang w:eastAsia="en-GB"/>
        </w:rPr>
        <w:t>i</w:t>
      </w:r>
      <w:r w:rsidRPr="00CE0885">
        <w:rPr>
          <w:spacing w:val="1"/>
          <w:lang w:eastAsia="en-GB"/>
        </w:rPr>
        <w:t>s</w:t>
      </w:r>
      <w:r w:rsidRPr="00CE0885">
        <w:rPr>
          <w:spacing w:val="-2"/>
          <w:lang w:eastAsia="en-GB"/>
        </w:rPr>
        <w:t>s</w:t>
      </w:r>
      <w:r w:rsidRPr="00CE0885">
        <w:rPr>
          <w:lang w:eastAsia="en-GB"/>
        </w:rPr>
        <w:t>ue</w:t>
      </w:r>
      <w:r w:rsidRPr="00CE0885">
        <w:rPr>
          <w:spacing w:val="3"/>
          <w:lang w:eastAsia="en-GB"/>
        </w:rPr>
        <w:t xml:space="preserve"> </w:t>
      </w:r>
      <w:r w:rsidRPr="00CE0885">
        <w:rPr>
          <w:lang w:eastAsia="en-GB"/>
        </w:rPr>
        <w:t>a</w:t>
      </w:r>
      <w:r w:rsidRPr="00CE0885">
        <w:rPr>
          <w:spacing w:val="4"/>
          <w:lang w:eastAsia="en-GB"/>
        </w:rPr>
        <w:t xml:space="preserve"> </w:t>
      </w:r>
      <w:r w:rsidRPr="00CE0885">
        <w:rPr>
          <w:spacing w:val="1"/>
          <w:lang w:eastAsia="en-GB"/>
        </w:rPr>
        <w:t>c</w:t>
      </w:r>
      <w:r w:rsidRPr="00CE0885">
        <w:rPr>
          <w:spacing w:val="-3"/>
          <w:lang w:eastAsia="en-GB"/>
        </w:rPr>
        <w:t>o</w:t>
      </w:r>
      <w:r w:rsidRPr="00CE0885">
        <w:rPr>
          <w:lang w:eastAsia="en-GB"/>
        </w:rPr>
        <w:t>n</w:t>
      </w:r>
      <w:r w:rsidRPr="00CE0885">
        <w:rPr>
          <w:spacing w:val="2"/>
          <w:lang w:eastAsia="en-GB"/>
        </w:rPr>
        <w:t>f</w:t>
      </w:r>
      <w:r w:rsidRPr="00CE0885">
        <w:rPr>
          <w:spacing w:val="3"/>
          <w:lang w:eastAsia="en-GB"/>
        </w:rPr>
        <w:t>i</w:t>
      </w:r>
      <w:r w:rsidRPr="00CE0885">
        <w:rPr>
          <w:spacing w:val="-1"/>
          <w:lang w:eastAsia="en-GB"/>
        </w:rPr>
        <w:t>r</w:t>
      </w:r>
      <w:r w:rsidRPr="00CE0885">
        <w:rPr>
          <w:lang w:eastAsia="en-GB"/>
        </w:rPr>
        <w:t>ma</w:t>
      </w:r>
      <w:r w:rsidRPr="00CE0885">
        <w:rPr>
          <w:spacing w:val="-3"/>
          <w:lang w:eastAsia="en-GB"/>
        </w:rPr>
        <w:t>t</w:t>
      </w:r>
      <w:r w:rsidRPr="00CE0885">
        <w:rPr>
          <w:spacing w:val="3"/>
          <w:lang w:eastAsia="en-GB"/>
        </w:rPr>
        <w:t>i</w:t>
      </w:r>
      <w:r w:rsidRPr="00CE0885">
        <w:rPr>
          <w:spacing w:val="-3"/>
          <w:lang w:eastAsia="en-GB"/>
        </w:rPr>
        <w:t>o</w:t>
      </w:r>
      <w:r w:rsidRPr="00CE0885">
        <w:rPr>
          <w:lang w:eastAsia="en-GB"/>
        </w:rPr>
        <w:t>n</w:t>
      </w:r>
      <w:r w:rsidRPr="00CE0885">
        <w:rPr>
          <w:spacing w:val="14"/>
          <w:lang w:eastAsia="en-GB"/>
        </w:rPr>
        <w:t xml:space="preserve"> </w:t>
      </w:r>
      <w:r w:rsidRPr="00CE0885">
        <w:rPr>
          <w:spacing w:val="1"/>
          <w:lang w:eastAsia="en-GB"/>
        </w:rPr>
        <w:t>l</w:t>
      </w:r>
      <w:r w:rsidRPr="00CE0885">
        <w:rPr>
          <w:lang w:eastAsia="en-GB"/>
        </w:rPr>
        <w:t>etter</w:t>
      </w:r>
      <w:r w:rsidRPr="00CE0885">
        <w:rPr>
          <w:spacing w:val="5"/>
          <w:lang w:eastAsia="en-GB"/>
        </w:rPr>
        <w:t xml:space="preserve"> </w:t>
      </w:r>
      <w:r w:rsidRPr="00CE0885">
        <w:rPr>
          <w:spacing w:val="1"/>
          <w:lang w:eastAsia="en-GB"/>
        </w:rPr>
        <w:t>s</w:t>
      </w:r>
      <w:r w:rsidRPr="00CE0885">
        <w:rPr>
          <w:lang w:eastAsia="en-GB"/>
        </w:rPr>
        <w:t>ett</w:t>
      </w:r>
      <w:r w:rsidRPr="00CE0885">
        <w:rPr>
          <w:spacing w:val="1"/>
          <w:lang w:eastAsia="en-GB"/>
        </w:rPr>
        <w:t>i</w:t>
      </w:r>
      <w:r w:rsidRPr="00CE0885">
        <w:rPr>
          <w:lang w:eastAsia="en-GB"/>
        </w:rPr>
        <w:t>ng</w:t>
      </w:r>
      <w:r w:rsidRPr="00CE0885">
        <w:rPr>
          <w:spacing w:val="10"/>
          <w:lang w:eastAsia="en-GB"/>
        </w:rPr>
        <w:t xml:space="preserve"> </w:t>
      </w:r>
      <w:r w:rsidRPr="00CE0885">
        <w:rPr>
          <w:spacing w:val="-3"/>
          <w:lang w:eastAsia="en-GB"/>
        </w:rPr>
        <w:t>o</w:t>
      </w:r>
      <w:r w:rsidRPr="00CE0885">
        <w:rPr>
          <w:lang w:eastAsia="en-GB"/>
        </w:rPr>
        <w:t>ut</w:t>
      </w:r>
      <w:r w:rsidRPr="00CE0885">
        <w:rPr>
          <w:spacing w:val="4"/>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t</w:t>
      </w:r>
      <w:r w:rsidRPr="00CE0885">
        <w:rPr>
          <w:spacing w:val="1"/>
          <w:lang w:eastAsia="en-GB"/>
        </w:rPr>
        <w:t>i</w:t>
      </w:r>
      <w:r w:rsidRPr="00CE0885">
        <w:rPr>
          <w:spacing w:val="2"/>
          <w:lang w:eastAsia="en-GB"/>
        </w:rPr>
        <w:t>m</w:t>
      </w:r>
      <w:r w:rsidRPr="00CE0885">
        <w:rPr>
          <w:lang w:eastAsia="en-GB"/>
        </w:rPr>
        <w:t>e</w:t>
      </w:r>
      <w:r w:rsidRPr="00CE0885">
        <w:rPr>
          <w:spacing w:val="-2"/>
          <w:lang w:eastAsia="en-GB"/>
        </w:rPr>
        <w:t>s</w:t>
      </w:r>
      <w:r w:rsidRPr="00CE0885">
        <w:rPr>
          <w:spacing w:val="1"/>
          <w:lang w:eastAsia="en-GB"/>
        </w:rPr>
        <w:t>c</w:t>
      </w:r>
      <w:r w:rsidRPr="00CE0885">
        <w:rPr>
          <w:lang w:eastAsia="en-GB"/>
        </w:rPr>
        <w:t>a</w:t>
      </w:r>
      <w:r w:rsidRPr="00CE0885">
        <w:rPr>
          <w:spacing w:val="1"/>
          <w:lang w:eastAsia="en-GB"/>
        </w:rPr>
        <w:t>l</w:t>
      </w:r>
      <w:r w:rsidRPr="00CE0885">
        <w:rPr>
          <w:lang w:eastAsia="en-GB"/>
        </w:rPr>
        <w:t>es</w:t>
      </w:r>
      <w:r w:rsidRPr="00CE0885">
        <w:rPr>
          <w:spacing w:val="10"/>
          <w:lang w:eastAsia="en-GB"/>
        </w:rPr>
        <w:t xml:space="preserve"> </w:t>
      </w:r>
      <w:r w:rsidRPr="00CE0885">
        <w:rPr>
          <w:lang w:eastAsia="en-GB"/>
        </w:rPr>
        <w:t>of</w:t>
      </w:r>
      <w:r w:rsidRPr="00CE0885">
        <w:rPr>
          <w:spacing w:val="5"/>
          <w:lang w:eastAsia="en-GB"/>
        </w:rPr>
        <w:t xml:space="preserve"> </w:t>
      </w:r>
      <w:r w:rsidRPr="00CE0885">
        <w:rPr>
          <w:spacing w:val="2"/>
          <w:w w:val="101"/>
          <w:lang w:eastAsia="en-GB"/>
        </w:rPr>
        <w:t>t</w:t>
      </w:r>
      <w:r w:rsidRPr="00CE0885">
        <w:rPr>
          <w:spacing w:val="-3"/>
          <w:w w:val="101"/>
          <w:lang w:eastAsia="en-GB"/>
        </w:rPr>
        <w:t>h</w:t>
      </w:r>
      <w:r w:rsidRPr="00CE0885">
        <w:rPr>
          <w:w w:val="101"/>
          <w:lang w:eastAsia="en-GB"/>
        </w:rPr>
        <w:t xml:space="preserve">e </w:t>
      </w:r>
      <w:r w:rsidRPr="00CE0885">
        <w:rPr>
          <w:spacing w:val="-2"/>
          <w:lang w:eastAsia="en-GB"/>
        </w:rPr>
        <w:t>c</w:t>
      </w:r>
      <w:r w:rsidRPr="00CE0885">
        <w:rPr>
          <w:lang w:eastAsia="en-GB"/>
        </w:rPr>
        <w:t>o</w:t>
      </w:r>
      <w:r w:rsidRPr="00CE0885">
        <w:rPr>
          <w:spacing w:val="-3"/>
          <w:lang w:eastAsia="en-GB"/>
        </w:rPr>
        <w:t>n</w:t>
      </w:r>
      <w:r w:rsidRPr="00CE0885">
        <w:rPr>
          <w:spacing w:val="2"/>
          <w:lang w:eastAsia="en-GB"/>
        </w:rPr>
        <w:t>t</w:t>
      </w:r>
      <w:r w:rsidRPr="00CE0885">
        <w:rPr>
          <w:spacing w:val="1"/>
          <w:lang w:eastAsia="en-GB"/>
        </w:rPr>
        <w:t>i</w:t>
      </w:r>
      <w:r w:rsidRPr="00CE0885">
        <w:rPr>
          <w:spacing w:val="-3"/>
          <w:lang w:eastAsia="en-GB"/>
        </w:rPr>
        <w:t>n</w:t>
      </w:r>
      <w:r w:rsidRPr="00CE0885">
        <w:rPr>
          <w:spacing w:val="2"/>
          <w:lang w:eastAsia="en-GB"/>
        </w:rPr>
        <w:t>u</w:t>
      </w:r>
      <w:r w:rsidRPr="00CE0885">
        <w:rPr>
          <w:spacing w:val="-3"/>
          <w:lang w:eastAsia="en-GB"/>
        </w:rPr>
        <w:t>a</w:t>
      </w:r>
      <w:r w:rsidRPr="00CE0885">
        <w:rPr>
          <w:spacing w:val="2"/>
          <w:lang w:eastAsia="en-GB"/>
        </w:rPr>
        <w:t>t</w:t>
      </w:r>
      <w:r w:rsidRPr="00CE0885">
        <w:rPr>
          <w:spacing w:val="1"/>
          <w:lang w:eastAsia="en-GB"/>
        </w:rPr>
        <w:t>i</w:t>
      </w:r>
      <w:r w:rsidRPr="00CE0885">
        <w:rPr>
          <w:lang w:eastAsia="en-GB"/>
        </w:rPr>
        <w:t xml:space="preserve">on. A </w:t>
      </w:r>
      <w:r w:rsidRPr="00CE0885">
        <w:rPr>
          <w:spacing w:val="7"/>
          <w:lang w:eastAsia="en-GB"/>
        </w:rPr>
        <w:t>template</w:t>
      </w:r>
      <w:r w:rsidRPr="00CE0885">
        <w:rPr>
          <w:lang w:eastAsia="en-GB"/>
        </w:rPr>
        <w:t xml:space="preserve"> letter is provided in</w:t>
      </w:r>
      <w:r w:rsidRPr="00CE0885">
        <w:rPr>
          <w:spacing w:val="10"/>
          <w:lang w:eastAsia="en-GB"/>
        </w:rPr>
        <w:t xml:space="preserve"> </w:t>
      </w:r>
      <w:r w:rsidRPr="00CE0885">
        <w:rPr>
          <w:lang w:eastAsia="en-GB"/>
        </w:rPr>
        <w:t>Annex</w:t>
      </w:r>
      <w:r w:rsidRPr="00CE0885">
        <w:rPr>
          <w:spacing w:val="9"/>
          <w:lang w:eastAsia="en-GB"/>
        </w:rPr>
        <w:t xml:space="preserve"> </w:t>
      </w:r>
      <w:r w:rsidRPr="00CE0885">
        <w:rPr>
          <w:w w:val="101"/>
          <w:lang w:eastAsia="en-GB"/>
        </w:rPr>
        <w:t>1.</w:t>
      </w:r>
    </w:p>
    <w:p w14:paraId="5E492D6B" w14:textId="77777777" w:rsidR="0007271E" w:rsidRDefault="0007271E" w:rsidP="0007271E">
      <w:pPr>
        <w:pStyle w:val="Heading3"/>
        <w:rPr>
          <w:w w:val="101"/>
          <w:lang w:eastAsia="en-GB"/>
        </w:rPr>
      </w:pPr>
      <w:r>
        <w:rPr>
          <w:w w:val="101"/>
          <w:lang w:eastAsia="en-GB"/>
        </w:rPr>
        <w:t xml:space="preserve">Note that it is not possible to extend the existing GMS contract for any longer period.  Termination is mandatory and automatically takes place.  Commissioners should refer to section 2 </w:t>
      </w:r>
      <w:bookmarkStart w:id="2355" w:name="_Toc7417125"/>
      <w:r>
        <w:rPr>
          <w:w w:val="101"/>
          <w:lang w:eastAsia="en-GB"/>
        </w:rPr>
        <w:t>(</w:t>
      </w:r>
      <w:r>
        <w:rPr>
          <w:lang w:eastAsia="en-GB"/>
        </w:rPr>
        <w:t xml:space="preserve">Unplanned / </w:t>
      </w:r>
      <w:r w:rsidRPr="00A07251">
        <w:rPr>
          <w:w w:val="101"/>
          <w:lang w:eastAsia="en-GB"/>
        </w:rPr>
        <w:t>Unscheduled and Unavoidable Practice Closedown</w:t>
      </w:r>
      <w:bookmarkEnd w:id="2355"/>
      <w:r>
        <w:rPr>
          <w:w w:val="101"/>
          <w:lang w:eastAsia="en-GB"/>
        </w:rPr>
        <w:t>) in relation to planning for caretaking, reprocurement or list dispersal on termination.</w:t>
      </w:r>
    </w:p>
    <w:p w14:paraId="3860520A" w14:textId="77777777" w:rsidR="0007271E" w:rsidRPr="00A75EF3" w:rsidRDefault="0007271E" w:rsidP="0007271E">
      <w:pPr>
        <w:rPr>
          <w:lang w:eastAsia="en-GB"/>
        </w:rPr>
      </w:pPr>
    </w:p>
    <w:p w14:paraId="62382040" w14:textId="77777777" w:rsidR="0007271E" w:rsidRPr="009055A7" w:rsidRDefault="0007271E" w:rsidP="0007271E">
      <w:pPr>
        <w:widowControl w:val="0"/>
        <w:spacing w:line="360" w:lineRule="auto"/>
        <w:ind w:left="1414"/>
        <w:jc w:val="both"/>
        <w:rPr>
          <w:rFonts w:cs="Arial"/>
          <w:bCs w:val="0"/>
          <w:sz w:val="20"/>
          <w:szCs w:val="20"/>
          <w:lang w:eastAsia="en-GB"/>
        </w:rPr>
      </w:pPr>
    </w:p>
    <w:p w14:paraId="1E3A1031" w14:textId="77777777" w:rsidR="0007271E" w:rsidRPr="00CE0885" w:rsidRDefault="0007271E" w:rsidP="0007271E">
      <w:pPr>
        <w:pStyle w:val="Heading2"/>
        <w:rPr>
          <w:lang w:eastAsia="en-GB"/>
        </w:rPr>
      </w:pPr>
      <w:bookmarkStart w:id="2356" w:name="_Toc7417135"/>
      <w:bookmarkStart w:id="2357" w:name="_Toc95743546"/>
      <w:r w:rsidRPr="00CE0885">
        <w:rPr>
          <w:lang w:eastAsia="en-GB"/>
        </w:rPr>
        <w:t>Individual - PMS or APMS Contract</w:t>
      </w:r>
      <w:bookmarkEnd w:id="2356"/>
      <w:bookmarkEnd w:id="2357"/>
      <w:r w:rsidRPr="00CE0885">
        <w:rPr>
          <w:lang w:eastAsia="en-GB"/>
        </w:rPr>
        <w:t xml:space="preserve"> </w:t>
      </w:r>
    </w:p>
    <w:p w14:paraId="348BF295" w14:textId="77777777" w:rsidR="0007271E" w:rsidRPr="00CE0885" w:rsidRDefault="0007271E" w:rsidP="0007271E">
      <w:pPr>
        <w:pStyle w:val="Heading3"/>
        <w:rPr>
          <w:lang w:eastAsia="en-GB"/>
        </w:rPr>
      </w:pPr>
      <w:r w:rsidRPr="00CE0885">
        <w:rPr>
          <w:lang w:eastAsia="en-GB"/>
        </w:rPr>
        <w:t xml:space="preserve">Where the PMS or APMS contract is with a single individual and that individual dies, the contract shall </w:t>
      </w:r>
      <w:r w:rsidRPr="00CE0885">
        <w:rPr>
          <w:spacing w:val="7"/>
          <w:lang w:eastAsia="en-GB"/>
        </w:rPr>
        <w:t>terminate</w:t>
      </w:r>
      <w:r w:rsidRPr="00CE0885">
        <w:rPr>
          <w:lang w:eastAsia="en-GB"/>
        </w:rPr>
        <w:t xml:space="preserve"> at the end of the period of seven days after the date of the contractor’s death unless, before the end of that period, the Commissioner has agreed in writing with the contractor's personal representatives that the contract should continue for a further period, not exceeding 28 days after the end of the period of seven days</w:t>
      </w:r>
      <w:r>
        <w:rPr>
          <w:lang w:eastAsia="en-GB"/>
        </w:rPr>
        <w:t xml:space="preserve"> </w:t>
      </w:r>
      <w:r w:rsidRPr="00260467">
        <w:t>(i.e. the longest possible extension is 35 days from the date of death</w:t>
      </w:r>
      <w:r>
        <w:t>)</w:t>
      </w:r>
      <w:r w:rsidRPr="00CE0885">
        <w:rPr>
          <w:lang w:eastAsia="en-GB"/>
        </w:rPr>
        <w:t>.</w:t>
      </w:r>
    </w:p>
    <w:p w14:paraId="77E5FC3E" w14:textId="77777777" w:rsidR="0007271E" w:rsidRDefault="0007271E" w:rsidP="0007271E">
      <w:pPr>
        <w:pStyle w:val="Heading3"/>
        <w:rPr>
          <w:lang w:eastAsia="en-GB"/>
        </w:rPr>
      </w:pPr>
      <w:r w:rsidRPr="00CE0885">
        <w:rPr>
          <w:lang w:eastAsia="en-GB"/>
        </w:rPr>
        <w:t xml:space="preserve">The Commissioner should issue a confirmation letter setting out the timescales of the continuation. The </w:t>
      </w:r>
      <w:r w:rsidRPr="00CE0885">
        <w:rPr>
          <w:spacing w:val="7"/>
          <w:lang w:eastAsia="en-GB"/>
        </w:rPr>
        <w:t>template</w:t>
      </w:r>
      <w:r w:rsidRPr="00CE0885">
        <w:rPr>
          <w:lang w:eastAsia="en-GB"/>
        </w:rPr>
        <w:t xml:space="preserve"> letter in Annex 1 can be used.</w:t>
      </w:r>
    </w:p>
    <w:p w14:paraId="4D0AC69E" w14:textId="77777777" w:rsidR="0007271E" w:rsidRPr="00D57C22" w:rsidRDefault="0007271E" w:rsidP="0007271E">
      <w:pPr>
        <w:pStyle w:val="Heading3"/>
        <w:rPr>
          <w:lang w:eastAsia="en-GB"/>
        </w:rPr>
      </w:pPr>
      <w:r>
        <w:rPr>
          <w:w w:val="101"/>
          <w:lang w:eastAsia="en-GB"/>
        </w:rPr>
        <w:t>Note that it is not possible to extend the existing PMS or APMS contract for any longer period.  Termination is mandatory and automatically takes place.  Commissioners should refer to section 2 (</w:t>
      </w:r>
      <w:r>
        <w:rPr>
          <w:lang w:eastAsia="en-GB"/>
        </w:rPr>
        <w:t xml:space="preserve">Unplanned / </w:t>
      </w:r>
      <w:r w:rsidRPr="00A07251">
        <w:rPr>
          <w:w w:val="101"/>
          <w:lang w:eastAsia="en-GB"/>
        </w:rPr>
        <w:t>Unscheduled and Unavoidable Practice Closedown</w:t>
      </w:r>
      <w:r>
        <w:rPr>
          <w:w w:val="101"/>
          <w:lang w:eastAsia="en-GB"/>
        </w:rPr>
        <w:t>) in relation to planning for caretaking, reprocurement or list dispersal on termination.</w:t>
      </w:r>
    </w:p>
    <w:p w14:paraId="31726B0C" w14:textId="77777777" w:rsidR="0007271E" w:rsidRPr="009055A7" w:rsidRDefault="0007271E" w:rsidP="0007271E">
      <w:pPr>
        <w:widowControl w:val="0"/>
        <w:spacing w:line="360" w:lineRule="auto"/>
        <w:ind w:left="1414"/>
        <w:jc w:val="both"/>
        <w:rPr>
          <w:rFonts w:cs="Arial"/>
          <w:bCs w:val="0"/>
          <w:sz w:val="20"/>
          <w:szCs w:val="20"/>
          <w:lang w:eastAsia="en-GB"/>
        </w:rPr>
      </w:pPr>
    </w:p>
    <w:p w14:paraId="0D81886C" w14:textId="77777777" w:rsidR="0007271E" w:rsidRPr="00CE0885" w:rsidRDefault="0007271E" w:rsidP="0007271E">
      <w:pPr>
        <w:pStyle w:val="Heading2"/>
        <w:rPr>
          <w:lang w:eastAsia="en-GB"/>
        </w:rPr>
      </w:pPr>
      <w:bookmarkStart w:id="2358" w:name="_Toc7417136"/>
      <w:bookmarkStart w:id="2359" w:name="_Toc95743547"/>
      <w:r w:rsidRPr="00CE0885">
        <w:rPr>
          <w:lang w:eastAsia="en-GB"/>
        </w:rPr>
        <w:t>Partnership - GMS Contract</w:t>
      </w:r>
      <w:bookmarkEnd w:id="2358"/>
      <w:bookmarkEnd w:id="2359"/>
      <w:r w:rsidRPr="00CE0885">
        <w:rPr>
          <w:lang w:eastAsia="en-GB"/>
        </w:rPr>
        <w:t xml:space="preserve"> </w:t>
      </w:r>
    </w:p>
    <w:p w14:paraId="3D5B61A3" w14:textId="77777777" w:rsidR="0007271E" w:rsidRPr="00CE0885" w:rsidRDefault="0007271E" w:rsidP="0007271E">
      <w:pPr>
        <w:pStyle w:val="Heading3"/>
        <w:rPr>
          <w:lang w:eastAsia="en-GB"/>
        </w:rPr>
      </w:pPr>
      <w:r w:rsidRPr="00CE0885">
        <w:rPr>
          <w:lang w:eastAsia="en-GB"/>
        </w:rPr>
        <w:t xml:space="preserve">The GMS Regulations state that where the contract is with two or more individuals practising in </w:t>
      </w:r>
      <w:r w:rsidRPr="00CE0885">
        <w:rPr>
          <w:spacing w:val="7"/>
          <w:lang w:eastAsia="en-GB"/>
        </w:rPr>
        <w:t>partnership</w:t>
      </w:r>
      <w:r w:rsidRPr="00CE0885">
        <w:rPr>
          <w:lang w:eastAsia="en-GB"/>
        </w:rPr>
        <w:t>, the contract shall be treated as made with the partnership as it is from time to time constituted.</w:t>
      </w:r>
    </w:p>
    <w:p w14:paraId="75BD9236" w14:textId="77777777" w:rsidR="0007271E" w:rsidRPr="00CE0885" w:rsidRDefault="0007271E" w:rsidP="0007271E">
      <w:pPr>
        <w:pStyle w:val="Heading3"/>
        <w:rPr>
          <w:lang w:eastAsia="en-GB"/>
        </w:rPr>
      </w:pPr>
      <w:r w:rsidRPr="00CE0885">
        <w:rPr>
          <w:lang w:eastAsia="en-GB"/>
        </w:rPr>
        <w:t>The default position in partnership law is that every partnership is dissolved as regards all the partners by the death of any partner. The partners can, however, change this position and agree between themselves that the partnership will not dissolve on the death of any partner. It is likely that most partnerships will have dealt with this issue in their partnership deed to avoid termination of their contract.</w:t>
      </w:r>
    </w:p>
    <w:p w14:paraId="049F2652" w14:textId="77777777" w:rsidR="0007271E" w:rsidRPr="00CE0885" w:rsidRDefault="0007271E" w:rsidP="0007271E">
      <w:pPr>
        <w:pStyle w:val="Heading3"/>
        <w:rPr>
          <w:lang w:eastAsia="en-GB"/>
        </w:rPr>
      </w:pPr>
      <w:r w:rsidRPr="00CE0885">
        <w:rPr>
          <w:lang w:eastAsia="en-GB"/>
        </w:rPr>
        <w:t xml:space="preserve">The GMS Regulations require GMS contracts to contain specific provisions relating to the dissolution of partnerships. </w:t>
      </w:r>
    </w:p>
    <w:p w14:paraId="688DBF46" w14:textId="77777777" w:rsidR="0007271E" w:rsidRPr="00CE0885" w:rsidRDefault="0007271E" w:rsidP="0007271E">
      <w:pPr>
        <w:pStyle w:val="Heading3"/>
        <w:rPr>
          <w:lang w:eastAsia="en-GB"/>
        </w:rPr>
      </w:pPr>
      <w:r w:rsidRPr="00CE0885">
        <w:rPr>
          <w:lang w:eastAsia="en-GB"/>
        </w:rPr>
        <w:t xml:space="preserve">Where a partner dies, the GMS Regulations distinguish between GMS contracts that are entered into with a contractor that consists of only two individuals practising in partnership and those GMS contracts where the contractor consists of more than two individuals. </w:t>
      </w:r>
    </w:p>
    <w:p w14:paraId="20EFD612" w14:textId="77777777" w:rsidR="0007271E" w:rsidRPr="00F466C6" w:rsidRDefault="0007271E" w:rsidP="0007271E">
      <w:pPr>
        <w:pStyle w:val="BodyText"/>
        <w:rPr>
          <w:b/>
          <w:sz w:val="24"/>
          <w:szCs w:val="24"/>
        </w:rPr>
      </w:pPr>
      <w:r w:rsidRPr="00CE0885">
        <w:br/>
      </w:r>
      <w:r w:rsidRPr="00F466C6">
        <w:rPr>
          <w:b/>
          <w:sz w:val="24"/>
          <w:szCs w:val="24"/>
        </w:rPr>
        <w:t xml:space="preserve">Two individuals practising in partnership - GMS Contract </w:t>
      </w:r>
    </w:p>
    <w:p w14:paraId="2BF42AC3" w14:textId="77777777" w:rsidR="0007271E" w:rsidRPr="00CE0885" w:rsidRDefault="0007271E" w:rsidP="0007271E">
      <w:pPr>
        <w:pStyle w:val="Heading3"/>
        <w:rPr>
          <w:lang w:eastAsia="en-GB"/>
        </w:rPr>
      </w:pPr>
      <w:r w:rsidRPr="00CE0885">
        <w:rPr>
          <w:lang w:eastAsia="en-GB"/>
        </w:rPr>
        <w:t xml:space="preserve">Where the contractor consists of two individuals practising in partnership and the partnership is dissolved or </w:t>
      </w:r>
      <w:r w:rsidRPr="00CE0885">
        <w:rPr>
          <w:spacing w:val="7"/>
          <w:lang w:eastAsia="en-GB"/>
        </w:rPr>
        <w:t>terminated</w:t>
      </w:r>
      <w:r w:rsidRPr="00CE0885">
        <w:rPr>
          <w:lang w:eastAsia="en-GB"/>
        </w:rPr>
        <w:t xml:space="preserve"> due to the death of one of the partners, </w:t>
      </w:r>
      <w:r w:rsidRPr="00CE0885">
        <w:rPr>
          <w:spacing w:val="2"/>
          <w:lang w:eastAsia="en-GB"/>
        </w:rPr>
        <w:t>t</w:t>
      </w:r>
      <w:r w:rsidRPr="00CE0885">
        <w:rPr>
          <w:spacing w:val="-3"/>
          <w:lang w:eastAsia="en-GB"/>
        </w:rPr>
        <w:t>h</w:t>
      </w:r>
      <w:r w:rsidRPr="00CE0885">
        <w:rPr>
          <w:lang w:eastAsia="en-GB"/>
        </w:rPr>
        <w:t>e</w:t>
      </w:r>
      <w:r w:rsidRPr="00CE0885">
        <w:rPr>
          <w:spacing w:val="4"/>
          <w:lang w:eastAsia="en-GB"/>
        </w:rPr>
        <w:t xml:space="preserve"> </w:t>
      </w:r>
      <w:r w:rsidRPr="00CE0885">
        <w:rPr>
          <w:spacing w:val="-2"/>
          <w:lang w:eastAsia="en-GB"/>
        </w:rPr>
        <w:t>s</w:t>
      </w:r>
      <w:r w:rsidRPr="00CE0885">
        <w:rPr>
          <w:spacing w:val="2"/>
          <w:lang w:eastAsia="en-GB"/>
        </w:rPr>
        <w:t>u</w:t>
      </w:r>
      <w:r w:rsidRPr="00CE0885">
        <w:rPr>
          <w:spacing w:val="-1"/>
          <w:lang w:eastAsia="en-GB"/>
        </w:rPr>
        <w:t>r</w:t>
      </w:r>
      <w:r w:rsidRPr="00CE0885">
        <w:rPr>
          <w:spacing w:val="1"/>
          <w:lang w:eastAsia="en-GB"/>
        </w:rPr>
        <w:t>vivi</w:t>
      </w:r>
      <w:r w:rsidRPr="00CE0885">
        <w:rPr>
          <w:lang w:eastAsia="en-GB"/>
        </w:rPr>
        <w:t>ng</w:t>
      </w:r>
      <w:r w:rsidRPr="00CE0885">
        <w:rPr>
          <w:spacing w:val="10"/>
          <w:lang w:eastAsia="en-GB"/>
        </w:rPr>
        <w:t xml:space="preserve"> </w:t>
      </w:r>
      <w:r w:rsidRPr="00CE0885">
        <w:rPr>
          <w:spacing w:val="-3"/>
          <w:lang w:eastAsia="en-GB"/>
        </w:rPr>
        <w:t>p</w:t>
      </w:r>
      <w:r w:rsidRPr="00CE0885">
        <w:rPr>
          <w:spacing w:val="2"/>
          <w:lang w:eastAsia="en-GB"/>
        </w:rPr>
        <w:t>a</w:t>
      </w:r>
      <w:r w:rsidRPr="00CE0885">
        <w:rPr>
          <w:spacing w:val="-1"/>
          <w:lang w:eastAsia="en-GB"/>
        </w:rPr>
        <w:t>r</w:t>
      </w:r>
      <w:r w:rsidRPr="00CE0885">
        <w:rPr>
          <w:lang w:eastAsia="en-GB"/>
        </w:rPr>
        <w:t>tne</w:t>
      </w:r>
      <w:r w:rsidRPr="00CE0885">
        <w:rPr>
          <w:spacing w:val="-1"/>
          <w:lang w:eastAsia="en-GB"/>
        </w:rPr>
        <w:t>r</w:t>
      </w:r>
      <w:r w:rsidRPr="00CE0885">
        <w:rPr>
          <w:spacing w:val="12"/>
          <w:lang w:eastAsia="en-GB"/>
        </w:rPr>
        <w:t xml:space="preserve"> </w:t>
      </w:r>
      <w:r w:rsidRPr="00CE0885">
        <w:rPr>
          <w:spacing w:val="1"/>
          <w:lang w:eastAsia="en-GB"/>
        </w:rPr>
        <w:t xml:space="preserve">must </w:t>
      </w:r>
      <w:r w:rsidRPr="00CE0885">
        <w:rPr>
          <w:lang w:eastAsia="en-GB"/>
        </w:rPr>
        <w:t>not</w:t>
      </w:r>
      <w:r w:rsidRPr="00CE0885">
        <w:rPr>
          <w:spacing w:val="1"/>
          <w:lang w:eastAsia="en-GB"/>
        </w:rPr>
        <w:t>i</w:t>
      </w:r>
      <w:r w:rsidRPr="00CE0885">
        <w:rPr>
          <w:lang w:eastAsia="en-GB"/>
        </w:rPr>
        <w:t>fy</w:t>
      </w:r>
      <w:r w:rsidRPr="00CE0885">
        <w:rPr>
          <w:spacing w:val="4"/>
          <w:lang w:eastAsia="en-GB"/>
        </w:rPr>
        <w:t xml:space="preserve"> </w:t>
      </w:r>
      <w:r w:rsidRPr="00CE0885">
        <w:rPr>
          <w:w w:val="101"/>
          <w:lang w:eastAsia="en-GB"/>
        </w:rPr>
        <w:t>t</w:t>
      </w:r>
      <w:r w:rsidRPr="00CE0885">
        <w:rPr>
          <w:spacing w:val="2"/>
          <w:w w:val="101"/>
          <w:lang w:eastAsia="en-GB"/>
        </w:rPr>
        <w:t>h</w:t>
      </w:r>
      <w:r w:rsidRPr="00CE0885">
        <w:rPr>
          <w:w w:val="101"/>
          <w:lang w:eastAsia="en-GB"/>
        </w:rPr>
        <w:t xml:space="preserve">e </w:t>
      </w:r>
      <w:r w:rsidRPr="00CE0885">
        <w:rPr>
          <w:lang w:eastAsia="en-GB"/>
        </w:rPr>
        <w:t>Commissioner</w:t>
      </w:r>
      <w:r w:rsidRPr="00CE0885">
        <w:rPr>
          <w:spacing w:val="3"/>
          <w:lang w:eastAsia="en-GB"/>
        </w:rPr>
        <w:t xml:space="preserve"> i</w:t>
      </w:r>
      <w:r w:rsidRPr="00CE0885">
        <w:rPr>
          <w:lang w:eastAsia="en-GB"/>
        </w:rPr>
        <w:t>n</w:t>
      </w:r>
      <w:r w:rsidRPr="00CE0885">
        <w:rPr>
          <w:spacing w:val="3"/>
          <w:lang w:eastAsia="en-GB"/>
        </w:rPr>
        <w:t xml:space="preserve"> </w:t>
      </w:r>
      <w:r w:rsidRPr="00CE0885">
        <w:rPr>
          <w:spacing w:val="-3"/>
          <w:lang w:eastAsia="en-GB"/>
        </w:rPr>
        <w:t>w</w:t>
      </w:r>
      <w:r w:rsidRPr="00CE0885">
        <w:rPr>
          <w:spacing w:val="-1"/>
          <w:lang w:eastAsia="en-GB"/>
        </w:rPr>
        <w:t>r</w:t>
      </w:r>
      <w:r w:rsidRPr="00CE0885">
        <w:rPr>
          <w:spacing w:val="1"/>
          <w:lang w:eastAsia="en-GB"/>
        </w:rPr>
        <w:t>i</w:t>
      </w:r>
      <w:r w:rsidRPr="00CE0885">
        <w:rPr>
          <w:lang w:eastAsia="en-GB"/>
        </w:rPr>
        <w:t>t</w:t>
      </w:r>
      <w:r w:rsidRPr="00CE0885">
        <w:rPr>
          <w:spacing w:val="3"/>
          <w:lang w:eastAsia="en-GB"/>
        </w:rPr>
        <w:t>i</w:t>
      </w:r>
      <w:r w:rsidRPr="00CE0885">
        <w:rPr>
          <w:spacing w:val="-3"/>
          <w:lang w:eastAsia="en-GB"/>
        </w:rPr>
        <w:t>n</w:t>
      </w:r>
      <w:r w:rsidRPr="00CE0885">
        <w:rPr>
          <w:lang w:eastAsia="en-GB"/>
        </w:rPr>
        <w:t>g</w:t>
      </w:r>
      <w:r w:rsidRPr="00CE0885">
        <w:rPr>
          <w:spacing w:val="8"/>
          <w:lang w:eastAsia="en-GB"/>
        </w:rPr>
        <w:t xml:space="preserve"> </w:t>
      </w:r>
      <w:r w:rsidRPr="00CE0885">
        <w:rPr>
          <w:lang w:eastAsia="en-GB"/>
        </w:rPr>
        <w:t>as</w:t>
      </w:r>
      <w:r w:rsidRPr="00CE0885">
        <w:rPr>
          <w:spacing w:val="4"/>
          <w:lang w:eastAsia="en-GB"/>
        </w:rPr>
        <w:t xml:space="preserve"> </w:t>
      </w:r>
      <w:r w:rsidRPr="00CE0885">
        <w:rPr>
          <w:spacing w:val="-2"/>
          <w:lang w:eastAsia="en-GB"/>
        </w:rPr>
        <w:t>s</w:t>
      </w:r>
      <w:r w:rsidRPr="00CE0885">
        <w:rPr>
          <w:spacing w:val="2"/>
          <w:lang w:eastAsia="en-GB"/>
        </w:rPr>
        <w:t>o</w:t>
      </w:r>
      <w:r w:rsidRPr="00CE0885">
        <w:rPr>
          <w:spacing w:val="-3"/>
          <w:lang w:eastAsia="en-GB"/>
        </w:rPr>
        <w:t>o</w:t>
      </w:r>
      <w:r w:rsidRPr="00CE0885">
        <w:rPr>
          <w:lang w:eastAsia="en-GB"/>
        </w:rPr>
        <w:t>n</w:t>
      </w:r>
      <w:r w:rsidRPr="00CE0885">
        <w:rPr>
          <w:spacing w:val="8"/>
          <w:lang w:eastAsia="en-GB"/>
        </w:rPr>
        <w:t xml:space="preserve"> </w:t>
      </w:r>
      <w:r w:rsidRPr="00CE0885">
        <w:rPr>
          <w:spacing w:val="2"/>
          <w:lang w:eastAsia="en-GB"/>
        </w:rPr>
        <w:t>a</w:t>
      </w:r>
      <w:r w:rsidRPr="00CE0885">
        <w:rPr>
          <w:lang w:eastAsia="en-GB"/>
        </w:rPr>
        <w:t>s</w:t>
      </w:r>
      <w:r w:rsidRPr="00CE0885">
        <w:rPr>
          <w:spacing w:val="1"/>
          <w:lang w:eastAsia="en-GB"/>
        </w:rPr>
        <w:t xml:space="preserve"> is r</w:t>
      </w:r>
      <w:r w:rsidRPr="00CE0885">
        <w:rPr>
          <w:spacing w:val="-3"/>
          <w:lang w:eastAsia="en-GB"/>
        </w:rPr>
        <w:t>e</w:t>
      </w:r>
      <w:r w:rsidRPr="00CE0885">
        <w:rPr>
          <w:lang w:eastAsia="en-GB"/>
        </w:rPr>
        <w:t>a</w:t>
      </w:r>
      <w:r w:rsidRPr="00CE0885">
        <w:rPr>
          <w:spacing w:val="1"/>
          <w:lang w:eastAsia="en-GB"/>
        </w:rPr>
        <w:t>s</w:t>
      </w:r>
      <w:r w:rsidRPr="00CE0885">
        <w:rPr>
          <w:spacing w:val="2"/>
          <w:lang w:eastAsia="en-GB"/>
        </w:rPr>
        <w:t>o</w:t>
      </w:r>
      <w:r w:rsidRPr="00CE0885">
        <w:rPr>
          <w:spacing w:val="-3"/>
          <w:lang w:eastAsia="en-GB"/>
        </w:rPr>
        <w:t>n</w:t>
      </w:r>
      <w:r w:rsidRPr="00CE0885">
        <w:rPr>
          <w:spacing w:val="2"/>
          <w:lang w:eastAsia="en-GB"/>
        </w:rPr>
        <w:t>a</w:t>
      </w:r>
      <w:r w:rsidRPr="00CE0885">
        <w:rPr>
          <w:spacing w:val="-3"/>
          <w:lang w:eastAsia="en-GB"/>
        </w:rPr>
        <w:t>b</w:t>
      </w:r>
      <w:r w:rsidRPr="00CE0885">
        <w:rPr>
          <w:spacing w:val="6"/>
          <w:lang w:eastAsia="en-GB"/>
        </w:rPr>
        <w:t>l</w:t>
      </w:r>
      <w:r w:rsidRPr="00CE0885">
        <w:rPr>
          <w:lang w:eastAsia="en-GB"/>
        </w:rPr>
        <w:t>y</w:t>
      </w:r>
      <w:r w:rsidRPr="00CE0885">
        <w:rPr>
          <w:spacing w:val="8"/>
          <w:lang w:eastAsia="en-GB"/>
        </w:rPr>
        <w:t xml:space="preserve"> </w:t>
      </w:r>
      <w:r w:rsidRPr="00CE0885">
        <w:rPr>
          <w:lang w:eastAsia="en-GB"/>
        </w:rPr>
        <w:t>p</w:t>
      </w:r>
      <w:r w:rsidRPr="00CE0885">
        <w:rPr>
          <w:spacing w:val="-1"/>
          <w:lang w:eastAsia="en-GB"/>
        </w:rPr>
        <w:t>r</w:t>
      </w:r>
      <w:r w:rsidRPr="00CE0885">
        <w:rPr>
          <w:lang w:eastAsia="en-GB"/>
        </w:rPr>
        <w:t>a</w:t>
      </w:r>
      <w:r w:rsidRPr="00CE0885">
        <w:rPr>
          <w:spacing w:val="1"/>
          <w:lang w:eastAsia="en-GB"/>
        </w:rPr>
        <w:t>c</w:t>
      </w:r>
      <w:r w:rsidRPr="00CE0885">
        <w:rPr>
          <w:lang w:eastAsia="en-GB"/>
        </w:rPr>
        <w:t>t</w:t>
      </w:r>
      <w:r w:rsidRPr="00CE0885">
        <w:rPr>
          <w:spacing w:val="1"/>
          <w:lang w:eastAsia="en-GB"/>
        </w:rPr>
        <w:t>ic</w:t>
      </w:r>
      <w:r w:rsidRPr="00CE0885">
        <w:rPr>
          <w:lang w:eastAsia="en-GB"/>
        </w:rPr>
        <w:t>ab</w:t>
      </w:r>
      <w:r w:rsidRPr="00CE0885">
        <w:rPr>
          <w:spacing w:val="1"/>
          <w:lang w:eastAsia="en-GB"/>
        </w:rPr>
        <w:t>l</w:t>
      </w:r>
      <w:r w:rsidRPr="00CE0885">
        <w:rPr>
          <w:lang w:eastAsia="en-GB"/>
        </w:rPr>
        <w:t>e</w:t>
      </w:r>
      <w:r w:rsidRPr="00CE0885">
        <w:rPr>
          <w:spacing w:val="12"/>
          <w:lang w:eastAsia="en-GB"/>
        </w:rPr>
        <w:t xml:space="preserve"> </w:t>
      </w:r>
      <w:r w:rsidRPr="00CE0885">
        <w:rPr>
          <w:lang w:eastAsia="en-GB"/>
        </w:rPr>
        <w:t>of</w:t>
      </w:r>
      <w:r w:rsidRPr="00CE0885">
        <w:rPr>
          <w:spacing w:val="5"/>
          <w:lang w:eastAsia="en-GB"/>
        </w:rPr>
        <w:t xml:space="preserve"> </w:t>
      </w:r>
      <w:r w:rsidRPr="00CE0885">
        <w:rPr>
          <w:lang w:eastAsia="en-GB"/>
        </w:rPr>
        <w:t>the</w:t>
      </w:r>
      <w:r w:rsidRPr="00CE0885">
        <w:rPr>
          <w:spacing w:val="4"/>
          <w:lang w:eastAsia="en-GB"/>
        </w:rPr>
        <w:t xml:space="preserve"> </w:t>
      </w:r>
      <w:r w:rsidRPr="00CE0885">
        <w:rPr>
          <w:lang w:eastAsia="en-GB"/>
        </w:rPr>
        <w:t>de</w:t>
      </w:r>
      <w:r w:rsidRPr="00CE0885">
        <w:rPr>
          <w:spacing w:val="-3"/>
          <w:lang w:eastAsia="en-GB"/>
        </w:rPr>
        <w:t>a</w:t>
      </w:r>
      <w:r w:rsidRPr="00CE0885">
        <w:rPr>
          <w:spacing w:val="2"/>
          <w:lang w:eastAsia="en-GB"/>
        </w:rPr>
        <w:t>t</w:t>
      </w:r>
      <w:r w:rsidRPr="00CE0885">
        <w:rPr>
          <w:lang w:eastAsia="en-GB"/>
        </w:rPr>
        <w:t>h</w:t>
      </w:r>
      <w:r w:rsidRPr="00CE0885">
        <w:rPr>
          <w:spacing w:val="7"/>
          <w:lang w:eastAsia="en-GB"/>
        </w:rPr>
        <w:t xml:space="preserve"> </w:t>
      </w:r>
      <w:r w:rsidRPr="00CE0885">
        <w:rPr>
          <w:lang w:eastAsia="en-GB"/>
        </w:rPr>
        <w:t>of</w:t>
      </w:r>
      <w:r w:rsidRPr="00CE0885">
        <w:rPr>
          <w:spacing w:val="5"/>
          <w:lang w:eastAsia="en-GB"/>
        </w:rPr>
        <w:t xml:space="preserve"> </w:t>
      </w:r>
      <w:r w:rsidRPr="00CE0885">
        <w:rPr>
          <w:w w:val="101"/>
          <w:lang w:eastAsia="en-GB"/>
        </w:rPr>
        <w:t>the</w:t>
      </w:r>
      <w:r w:rsidRPr="00CE0885">
        <w:rPr>
          <w:spacing w:val="1"/>
          <w:w w:val="101"/>
          <w:lang w:eastAsia="en-GB"/>
        </w:rPr>
        <w:t>i</w:t>
      </w:r>
      <w:r w:rsidRPr="00CE0885">
        <w:rPr>
          <w:w w:val="101"/>
          <w:lang w:eastAsia="en-GB"/>
        </w:rPr>
        <w:t xml:space="preserve">r </w:t>
      </w:r>
      <w:r w:rsidRPr="00CE0885">
        <w:rPr>
          <w:spacing w:val="-3"/>
          <w:w w:val="101"/>
          <w:lang w:eastAsia="en-GB"/>
        </w:rPr>
        <w:t>p</w:t>
      </w:r>
      <w:r w:rsidRPr="00CE0885">
        <w:rPr>
          <w:spacing w:val="2"/>
          <w:w w:val="101"/>
          <w:lang w:eastAsia="en-GB"/>
        </w:rPr>
        <w:t>a</w:t>
      </w:r>
      <w:r w:rsidRPr="00CE0885">
        <w:rPr>
          <w:spacing w:val="-1"/>
          <w:w w:val="101"/>
          <w:lang w:eastAsia="en-GB"/>
        </w:rPr>
        <w:t>r</w:t>
      </w:r>
      <w:r w:rsidRPr="00CE0885">
        <w:rPr>
          <w:w w:val="101"/>
          <w:lang w:eastAsia="en-GB"/>
        </w:rPr>
        <w:t>tne</w:t>
      </w:r>
      <w:r w:rsidRPr="00CE0885">
        <w:rPr>
          <w:spacing w:val="-1"/>
          <w:w w:val="101"/>
          <w:lang w:eastAsia="en-GB"/>
        </w:rPr>
        <w:t>r</w:t>
      </w:r>
      <w:r w:rsidRPr="00CE0885">
        <w:rPr>
          <w:w w:val="101"/>
          <w:lang w:eastAsia="en-GB"/>
        </w:rPr>
        <w:t>.</w:t>
      </w:r>
    </w:p>
    <w:p w14:paraId="5119337C" w14:textId="77777777" w:rsidR="0007271E" w:rsidRPr="00CE0885" w:rsidRDefault="0007271E" w:rsidP="0007271E">
      <w:pPr>
        <w:pStyle w:val="Heading3"/>
        <w:rPr>
          <w:lang w:eastAsia="en-GB"/>
        </w:rPr>
      </w:pPr>
      <w:r w:rsidRPr="00CE0885">
        <w:rPr>
          <w:spacing w:val="7"/>
          <w:lang w:eastAsia="en-GB"/>
        </w:rPr>
        <w:t>Where</w:t>
      </w:r>
      <w:r w:rsidRPr="00CE0885">
        <w:rPr>
          <w:spacing w:val="-1"/>
          <w:lang w:eastAsia="en-GB"/>
        </w:rPr>
        <w:t xml:space="preserve"> the Commissioner receives such a notice, it must acknowledge receipt of the notice in writing.</w:t>
      </w:r>
    </w:p>
    <w:p w14:paraId="4ED9022C" w14:textId="77777777" w:rsidR="0007271E" w:rsidRPr="00CE0885" w:rsidRDefault="0007271E" w:rsidP="0007271E">
      <w:pPr>
        <w:pStyle w:val="Heading3"/>
        <w:rPr>
          <w:spacing w:val="-1"/>
          <w:lang w:eastAsia="en-GB"/>
        </w:rPr>
      </w:pPr>
      <w:r w:rsidRPr="00CE0885">
        <w:rPr>
          <w:spacing w:val="-1"/>
          <w:lang w:eastAsia="en-GB"/>
        </w:rPr>
        <w:t>If the surviving partner is a general medical practitioner, the contract will continue with that individual. The Commissioner may vary the contract but only to the extent that it is satisfied it is necessary to reflect the change in status of the contractor from a partnership to an individual medical practitioner. The Commissioner must notify the contractor in writing of the wording of the proposed variation and the date upon which that variation is to take effect.</w:t>
      </w:r>
    </w:p>
    <w:p w14:paraId="763541ED" w14:textId="77777777" w:rsidR="0007271E" w:rsidRPr="00CE0885" w:rsidRDefault="0007271E" w:rsidP="0007271E">
      <w:pPr>
        <w:pStyle w:val="Heading3"/>
        <w:rPr>
          <w:lang w:eastAsia="en-GB"/>
        </w:rPr>
      </w:pPr>
      <w:r w:rsidRPr="00CE0885">
        <w:rPr>
          <w:lang w:eastAsia="en-GB"/>
        </w:rPr>
        <w:t>A template Notification Letter is provided in Annex 2. A variation notice will need to be included with this letter.</w:t>
      </w:r>
    </w:p>
    <w:p w14:paraId="742F092C" w14:textId="77777777" w:rsidR="0007271E" w:rsidRPr="00CE0885" w:rsidRDefault="0007271E" w:rsidP="0007271E">
      <w:pPr>
        <w:pStyle w:val="Heading3"/>
        <w:rPr>
          <w:lang w:eastAsia="en-GB"/>
        </w:rPr>
      </w:pPr>
      <w:r w:rsidRPr="00CE0885">
        <w:rPr>
          <w:spacing w:val="-1"/>
          <w:lang w:eastAsia="en-GB"/>
        </w:rPr>
        <w:t>To provide assurance that the individual is able to meet the contractual obligations, the Commissioner should</w:t>
      </w:r>
      <w:r w:rsidRPr="00CE0885">
        <w:rPr>
          <w:spacing w:val="1"/>
          <w:lang w:eastAsia="en-GB"/>
        </w:rPr>
        <w:t xml:space="preserve"> </w:t>
      </w:r>
      <w:r w:rsidRPr="00CE0885">
        <w:rPr>
          <w:lang w:eastAsia="en-GB"/>
        </w:rPr>
        <w:t>d</w:t>
      </w:r>
      <w:r w:rsidRPr="00CE0885">
        <w:rPr>
          <w:spacing w:val="1"/>
          <w:lang w:eastAsia="en-GB"/>
        </w:rPr>
        <w:t>is</w:t>
      </w:r>
      <w:r w:rsidRPr="00CE0885">
        <w:rPr>
          <w:spacing w:val="-2"/>
          <w:lang w:eastAsia="en-GB"/>
        </w:rPr>
        <w:t>c</w:t>
      </w:r>
      <w:r w:rsidRPr="00CE0885">
        <w:rPr>
          <w:lang w:eastAsia="en-GB"/>
        </w:rPr>
        <w:t>u</w:t>
      </w:r>
      <w:r w:rsidRPr="00CE0885">
        <w:rPr>
          <w:spacing w:val="1"/>
          <w:lang w:eastAsia="en-GB"/>
        </w:rPr>
        <w:t>s</w:t>
      </w:r>
      <w:r w:rsidRPr="00CE0885">
        <w:rPr>
          <w:lang w:eastAsia="en-GB"/>
        </w:rPr>
        <w:t>s</w:t>
      </w:r>
      <w:r w:rsidRPr="00CE0885">
        <w:rPr>
          <w:spacing w:val="10"/>
          <w:lang w:eastAsia="en-GB"/>
        </w:rPr>
        <w:t xml:space="preserve"> with the individual </w:t>
      </w:r>
      <w:r w:rsidRPr="00CE0885">
        <w:rPr>
          <w:spacing w:val="1"/>
          <w:lang w:eastAsia="en-GB"/>
        </w:rPr>
        <w:t>c</w:t>
      </w:r>
      <w:r w:rsidRPr="00CE0885">
        <w:rPr>
          <w:lang w:eastAsia="en-GB"/>
        </w:rPr>
        <w:t>o</w:t>
      </w:r>
      <w:r w:rsidRPr="00CE0885">
        <w:rPr>
          <w:spacing w:val="-3"/>
          <w:lang w:eastAsia="en-GB"/>
        </w:rPr>
        <w:t>n</w:t>
      </w:r>
      <w:r w:rsidRPr="00CE0885">
        <w:rPr>
          <w:spacing w:val="2"/>
          <w:lang w:eastAsia="en-GB"/>
        </w:rPr>
        <w:t>t</w:t>
      </w:r>
      <w:r w:rsidRPr="00CE0885">
        <w:rPr>
          <w:spacing w:val="1"/>
          <w:lang w:eastAsia="en-GB"/>
        </w:rPr>
        <w:t>i</w:t>
      </w:r>
      <w:r w:rsidRPr="00CE0885">
        <w:rPr>
          <w:spacing w:val="-3"/>
          <w:lang w:eastAsia="en-GB"/>
        </w:rPr>
        <w:t>n</w:t>
      </w:r>
      <w:r w:rsidRPr="00CE0885">
        <w:rPr>
          <w:spacing w:val="2"/>
          <w:lang w:eastAsia="en-GB"/>
        </w:rPr>
        <w:t>ue</w:t>
      </w:r>
      <w:r w:rsidRPr="00CE0885">
        <w:rPr>
          <w:lang w:eastAsia="en-GB"/>
        </w:rPr>
        <w:t>d</w:t>
      </w:r>
      <w:r w:rsidRPr="00CE0885">
        <w:rPr>
          <w:spacing w:val="8"/>
          <w:lang w:eastAsia="en-GB"/>
        </w:rPr>
        <w:t xml:space="preserve"> </w:t>
      </w:r>
      <w:r w:rsidRPr="00CE0885">
        <w:rPr>
          <w:spacing w:val="1"/>
          <w:lang w:eastAsia="en-GB"/>
        </w:rPr>
        <w:t>s</w:t>
      </w:r>
      <w:r w:rsidRPr="00CE0885">
        <w:rPr>
          <w:spacing w:val="-3"/>
          <w:lang w:eastAsia="en-GB"/>
        </w:rPr>
        <w:t>e</w:t>
      </w:r>
      <w:r w:rsidRPr="00CE0885">
        <w:rPr>
          <w:spacing w:val="1"/>
          <w:lang w:eastAsia="en-GB"/>
        </w:rPr>
        <w:t>r</w:t>
      </w:r>
      <w:r w:rsidRPr="00CE0885">
        <w:rPr>
          <w:spacing w:val="-2"/>
          <w:lang w:eastAsia="en-GB"/>
        </w:rPr>
        <w:t>v</w:t>
      </w:r>
      <w:r w:rsidRPr="00CE0885">
        <w:rPr>
          <w:spacing w:val="3"/>
          <w:lang w:eastAsia="en-GB"/>
        </w:rPr>
        <w:t>i</w:t>
      </w:r>
      <w:r w:rsidRPr="00CE0885">
        <w:rPr>
          <w:spacing w:val="-2"/>
          <w:lang w:eastAsia="en-GB"/>
        </w:rPr>
        <w:t>c</w:t>
      </w:r>
      <w:r w:rsidRPr="00CE0885">
        <w:rPr>
          <w:lang w:eastAsia="en-GB"/>
        </w:rPr>
        <w:t>e</w:t>
      </w:r>
      <w:r w:rsidRPr="00CE0885">
        <w:rPr>
          <w:spacing w:val="10"/>
          <w:lang w:eastAsia="en-GB"/>
        </w:rPr>
        <w:t xml:space="preserve"> </w:t>
      </w:r>
      <w:r w:rsidRPr="00CE0885">
        <w:rPr>
          <w:lang w:eastAsia="en-GB"/>
        </w:rPr>
        <w:t>d</w:t>
      </w:r>
      <w:r w:rsidRPr="00CE0885">
        <w:rPr>
          <w:spacing w:val="-3"/>
          <w:lang w:eastAsia="en-GB"/>
        </w:rPr>
        <w:t>e</w:t>
      </w:r>
      <w:r w:rsidRPr="00CE0885">
        <w:rPr>
          <w:spacing w:val="3"/>
          <w:lang w:eastAsia="en-GB"/>
        </w:rPr>
        <w:t>l</w:t>
      </w:r>
      <w:r w:rsidRPr="00CE0885">
        <w:rPr>
          <w:spacing w:val="1"/>
          <w:lang w:eastAsia="en-GB"/>
        </w:rPr>
        <w:t>iv</w:t>
      </w:r>
      <w:r w:rsidRPr="00CE0885">
        <w:rPr>
          <w:spacing w:val="-3"/>
          <w:lang w:eastAsia="en-GB"/>
        </w:rPr>
        <w:t>e</w:t>
      </w:r>
      <w:r w:rsidRPr="00CE0885">
        <w:rPr>
          <w:spacing w:val="1"/>
          <w:lang w:eastAsia="en-GB"/>
        </w:rPr>
        <w:t>r</w:t>
      </w:r>
      <w:r w:rsidRPr="00CE0885">
        <w:rPr>
          <w:lang w:eastAsia="en-GB"/>
        </w:rPr>
        <w:t>y</w:t>
      </w:r>
      <w:r w:rsidRPr="00CE0885">
        <w:rPr>
          <w:spacing w:val="7"/>
          <w:lang w:eastAsia="en-GB"/>
        </w:rPr>
        <w:t xml:space="preserve"> </w:t>
      </w:r>
      <w:r w:rsidRPr="00CE0885">
        <w:rPr>
          <w:lang w:eastAsia="en-GB"/>
        </w:rPr>
        <w:t>o</w:t>
      </w:r>
      <w:r w:rsidRPr="00CE0885">
        <w:rPr>
          <w:spacing w:val="-3"/>
          <w:lang w:eastAsia="en-GB"/>
        </w:rPr>
        <w:t>p</w:t>
      </w:r>
      <w:r w:rsidRPr="00CE0885">
        <w:rPr>
          <w:lang w:eastAsia="en-GB"/>
        </w:rPr>
        <w:t>t</w:t>
      </w:r>
      <w:r w:rsidRPr="00CE0885">
        <w:rPr>
          <w:spacing w:val="3"/>
          <w:lang w:eastAsia="en-GB"/>
        </w:rPr>
        <w:t>i</w:t>
      </w:r>
      <w:r w:rsidRPr="00CE0885">
        <w:rPr>
          <w:lang w:eastAsia="en-GB"/>
        </w:rPr>
        <w:t>ons</w:t>
      </w:r>
      <w:r w:rsidRPr="00CE0885">
        <w:rPr>
          <w:spacing w:val="9"/>
          <w:lang w:eastAsia="en-GB"/>
        </w:rPr>
        <w:t xml:space="preserve"> </w:t>
      </w:r>
      <w:r w:rsidRPr="00CE0885">
        <w:rPr>
          <w:lang w:eastAsia="en-GB"/>
        </w:rPr>
        <w:t>b</w:t>
      </w:r>
      <w:r w:rsidRPr="00CE0885">
        <w:rPr>
          <w:spacing w:val="2"/>
          <w:lang w:eastAsia="en-GB"/>
        </w:rPr>
        <w:t>e</w:t>
      </w:r>
      <w:r w:rsidRPr="00CE0885">
        <w:rPr>
          <w:spacing w:val="-3"/>
          <w:lang w:eastAsia="en-GB"/>
        </w:rPr>
        <w:t>a</w:t>
      </w:r>
      <w:r w:rsidRPr="00CE0885">
        <w:rPr>
          <w:lang w:eastAsia="en-GB"/>
        </w:rPr>
        <w:t>ring</w:t>
      </w:r>
      <w:r w:rsidRPr="00CE0885">
        <w:rPr>
          <w:spacing w:val="5"/>
          <w:lang w:eastAsia="en-GB"/>
        </w:rPr>
        <w:t xml:space="preserve"> </w:t>
      </w:r>
      <w:r w:rsidRPr="00CE0885">
        <w:rPr>
          <w:spacing w:val="3"/>
          <w:lang w:eastAsia="en-GB"/>
        </w:rPr>
        <w:t>i</w:t>
      </w:r>
      <w:r w:rsidRPr="00CE0885">
        <w:rPr>
          <w:lang w:eastAsia="en-GB"/>
        </w:rPr>
        <w:t>n</w:t>
      </w:r>
      <w:r w:rsidRPr="00CE0885">
        <w:rPr>
          <w:spacing w:val="5"/>
          <w:lang w:eastAsia="en-GB"/>
        </w:rPr>
        <w:t xml:space="preserve"> </w:t>
      </w:r>
      <w:r w:rsidRPr="00CE0885">
        <w:rPr>
          <w:w w:val="101"/>
          <w:lang w:eastAsia="en-GB"/>
        </w:rPr>
        <w:t>m</w:t>
      </w:r>
      <w:r w:rsidRPr="00CE0885">
        <w:rPr>
          <w:spacing w:val="3"/>
          <w:w w:val="101"/>
          <w:lang w:eastAsia="en-GB"/>
        </w:rPr>
        <w:t>i</w:t>
      </w:r>
      <w:r w:rsidRPr="00CE0885">
        <w:rPr>
          <w:spacing w:val="-3"/>
          <w:w w:val="101"/>
          <w:lang w:eastAsia="en-GB"/>
        </w:rPr>
        <w:t>n</w:t>
      </w:r>
      <w:r w:rsidRPr="00CE0885">
        <w:rPr>
          <w:w w:val="101"/>
          <w:lang w:eastAsia="en-GB"/>
        </w:rPr>
        <w:t xml:space="preserve">d </w:t>
      </w:r>
      <w:r w:rsidRPr="00CE0885">
        <w:rPr>
          <w:lang w:eastAsia="en-GB"/>
        </w:rPr>
        <w:t>t</w:t>
      </w:r>
      <w:r w:rsidRPr="00CE0885">
        <w:rPr>
          <w:spacing w:val="-3"/>
          <w:lang w:eastAsia="en-GB"/>
        </w:rPr>
        <w:t>h</w:t>
      </w:r>
      <w:r w:rsidRPr="00CE0885">
        <w:rPr>
          <w:lang w:eastAsia="en-GB"/>
        </w:rPr>
        <w:t>e</w:t>
      </w:r>
      <w:r w:rsidRPr="00CE0885">
        <w:rPr>
          <w:spacing w:val="4"/>
          <w:lang w:eastAsia="en-GB"/>
        </w:rPr>
        <w:t xml:space="preserve"> </w:t>
      </w:r>
      <w:r w:rsidRPr="00CE0885">
        <w:rPr>
          <w:spacing w:val="1"/>
          <w:lang w:eastAsia="en-GB"/>
        </w:rPr>
        <w:t>siz</w:t>
      </w:r>
      <w:r w:rsidRPr="00CE0885">
        <w:rPr>
          <w:lang w:eastAsia="en-GB"/>
        </w:rPr>
        <w:t>e</w:t>
      </w:r>
      <w:r w:rsidRPr="00CE0885">
        <w:rPr>
          <w:spacing w:val="5"/>
          <w:lang w:eastAsia="en-GB"/>
        </w:rPr>
        <w:t xml:space="preserve"> </w:t>
      </w:r>
      <w:r w:rsidRPr="00CE0885">
        <w:rPr>
          <w:spacing w:val="-3"/>
          <w:lang w:eastAsia="en-GB"/>
        </w:rPr>
        <w:t>o</w:t>
      </w:r>
      <w:r w:rsidRPr="00CE0885">
        <w:rPr>
          <w:lang w:eastAsia="en-GB"/>
        </w:rPr>
        <w:t>f</w:t>
      </w:r>
      <w:r w:rsidRPr="00CE0885">
        <w:rPr>
          <w:spacing w:val="8"/>
          <w:lang w:eastAsia="en-GB"/>
        </w:rPr>
        <w:t xml:space="preserve"> </w:t>
      </w:r>
      <w:r w:rsidRPr="00CE0885">
        <w:rPr>
          <w:lang w:eastAsia="en-GB"/>
        </w:rPr>
        <w:t>t</w:t>
      </w:r>
      <w:r w:rsidRPr="00CE0885">
        <w:rPr>
          <w:spacing w:val="-3"/>
          <w:lang w:eastAsia="en-GB"/>
        </w:rPr>
        <w:t>h</w:t>
      </w:r>
      <w:r w:rsidRPr="00CE0885">
        <w:rPr>
          <w:lang w:eastAsia="en-GB"/>
        </w:rPr>
        <w:t>e</w:t>
      </w:r>
      <w:r w:rsidRPr="00CE0885">
        <w:rPr>
          <w:spacing w:val="4"/>
          <w:lang w:eastAsia="en-GB"/>
        </w:rPr>
        <w:t xml:space="preserve"> </w:t>
      </w:r>
      <w:r w:rsidRPr="00CE0885">
        <w:rPr>
          <w:lang w:eastAsia="en-GB"/>
        </w:rPr>
        <w:t>p</w:t>
      </w:r>
      <w:r w:rsidRPr="00CE0885">
        <w:rPr>
          <w:spacing w:val="1"/>
          <w:lang w:eastAsia="en-GB"/>
        </w:rPr>
        <w:t>r</w:t>
      </w:r>
      <w:r w:rsidRPr="00CE0885">
        <w:rPr>
          <w:spacing w:val="-3"/>
          <w:lang w:eastAsia="en-GB"/>
        </w:rPr>
        <w:t>a</w:t>
      </w:r>
      <w:r w:rsidRPr="00CE0885">
        <w:rPr>
          <w:spacing w:val="1"/>
          <w:lang w:eastAsia="en-GB"/>
        </w:rPr>
        <w:t>c</w:t>
      </w:r>
      <w:r w:rsidRPr="00CE0885">
        <w:rPr>
          <w:lang w:eastAsia="en-GB"/>
        </w:rPr>
        <w:t>t</w:t>
      </w:r>
      <w:r w:rsidRPr="00CE0885">
        <w:rPr>
          <w:spacing w:val="3"/>
          <w:lang w:eastAsia="en-GB"/>
        </w:rPr>
        <w:t>i</w:t>
      </w:r>
      <w:r w:rsidRPr="00CE0885">
        <w:rPr>
          <w:spacing w:val="-2"/>
          <w:lang w:eastAsia="en-GB"/>
        </w:rPr>
        <w:t>c</w:t>
      </w:r>
      <w:r w:rsidRPr="00CE0885">
        <w:rPr>
          <w:lang w:eastAsia="en-GB"/>
        </w:rPr>
        <w:t>e</w:t>
      </w:r>
      <w:r w:rsidRPr="00CE0885">
        <w:rPr>
          <w:spacing w:val="11"/>
          <w:lang w:eastAsia="en-GB"/>
        </w:rPr>
        <w:t xml:space="preserve">, </w:t>
      </w:r>
      <w:r w:rsidRPr="00CE0885">
        <w:rPr>
          <w:lang w:eastAsia="en-GB"/>
        </w:rPr>
        <w:t>the</w:t>
      </w:r>
      <w:r w:rsidRPr="00CE0885">
        <w:rPr>
          <w:spacing w:val="4"/>
          <w:lang w:eastAsia="en-GB"/>
        </w:rPr>
        <w:t xml:space="preserve"> </w:t>
      </w:r>
      <w:r w:rsidRPr="00CE0885">
        <w:rPr>
          <w:spacing w:val="1"/>
          <w:lang w:eastAsia="en-GB"/>
        </w:rPr>
        <w:t>r</w:t>
      </w:r>
      <w:r w:rsidRPr="00CE0885">
        <w:rPr>
          <w:lang w:eastAsia="en-GB"/>
        </w:rPr>
        <w:t>ange</w:t>
      </w:r>
      <w:r w:rsidRPr="00CE0885">
        <w:rPr>
          <w:spacing w:val="7"/>
          <w:lang w:eastAsia="en-GB"/>
        </w:rPr>
        <w:t xml:space="preserve"> </w:t>
      </w:r>
      <w:r w:rsidRPr="00CE0885">
        <w:rPr>
          <w:spacing w:val="-3"/>
          <w:lang w:eastAsia="en-GB"/>
        </w:rPr>
        <w:t>o</w:t>
      </w:r>
      <w:r w:rsidRPr="00CE0885">
        <w:rPr>
          <w:lang w:eastAsia="en-GB"/>
        </w:rPr>
        <w:t>f</w:t>
      </w:r>
      <w:r w:rsidRPr="00CE0885">
        <w:rPr>
          <w:spacing w:val="8"/>
          <w:lang w:eastAsia="en-GB"/>
        </w:rPr>
        <w:t xml:space="preserve"> </w:t>
      </w:r>
      <w:r w:rsidRPr="00CE0885">
        <w:rPr>
          <w:spacing w:val="1"/>
          <w:lang w:eastAsia="en-GB"/>
        </w:rPr>
        <w:t>s</w:t>
      </w:r>
      <w:r w:rsidRPr="00CE0885">
        <w:rPr>
          <w:spacing w:val="-3"/>
          <w:lang w:eastAsia="en-GB"/>
        </w:rPr>
        <w:t>e</w:t>
      </w:r>
      <w:r w:rsidRPr="00CE0885">
        <w:rPr>
          <w:spacing w:val="-1"/>
          <w:lang w:eastAsia="en-GB"/>
        </w:rPr>
        <w:t>r</w:t>
      </w:r>
      <w:r w:rsidRPr="00CE0885">
        <w:rPr>
          <w:spacing w:val="1"/>
          <w:lang w:eastAsia="en-GB"/>
        </w:rPr>
        <w:t>vic</w:t>
      </w:r>
      <w:r w:rsidRPr="00CE0885">
        <w:rPr>
          <w:lang w:eastAsia="en-GB"/>
        </w:rPr>
        <w:t>es</w:t>
      </w:r>
      <w:r w:rsidRPr="00CE0885">
        <w:rPr>
          <w:spacing w:val="7"/>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2"/>
          <w:lang w:eastAsia="en-GB"/>
        </w:rPr>
        <w:t>v</w:t>
      </w:r>
      <w:r w:rsidRPr="00CE0885">
        <w:rPr>
          <w:spacing w:val="3"/>
          <w:lang w:eastAsia="en-GB"/>
        </w:rPr>
        <w:t>i</w:t>
      </w:r>
      <w:r w:rsidRPr="00CE0885">
        <w:rPr>
          <w:spacing w:val="-3"/>
          <w:lang w:eastAsia="en-GB"/>
        </w:rPr>
        <w:t>d</w:t>
      </w:r>
      <w:r w:rsidRPr="00CE0885">
        <w:rPr>
          <w:spacing w:val="2"/>
          <w:lang w:eastAsia="en-GB"/>
        </w:rPr>
        <w:t>e</w:t>
      </w:r>
      <w:r w:rsidRPr="00CE0885">
        <w:rPr>
          <w:lang w:eastAsia="en-GB"/>
        </w:rPr>
        <w:t>d</w:t>
      </w:r>
      <w:r w:rsidRPr="00CE0885">
        <w:rPr>
          <w:spacing w:val="7"/>
          <w:lang w:eastAsia="en-GB"/>
        </w:rPr>
        <w:t xml:space="preserve"> </w:t>
      </w:r>
      <w:r w:rsidRPr="00CE0885">
        <w:rPr>
          <w:spacing w:val="2"/>
          <w:lang w:eastAsia="en-GB"/>
        </w:rPr>
        <w:t>an</w:t>
      </w:r>
      <w:r w:rsidRPr="00CE0885">
        <w:rPr>
          <w:lang w:eastAsia="en-GB"/>
        </w:rPr>
        <w:t>d</w:t>
      </w:r>
      <w:r w:rsidRPr="00CE0885">
        <w:rPr>
          <w:spacing w:val="2"/>
          <w:lang w:eastAsia="en-GB"/>
        </w:rPr>
        <w:t xml:space="preserve"> </w:t>
      </w:r>
      <w:r w:rsidRPr="00CE0885">
        <w:rPr>
          <w:w w:val="101"/>
          <w:lang w:eastAsia="en-GB"/>
        </w:rPr>
        <w:t xml:space="preserve">any potential </w:t>
      </w:r>
      <w:r w:rsidRPr="00CE0885">
        <w:rPr>
          <w:spacing w:val="-2"/>
          <w:lang w:eastAsia="en-GB"/>
        </w:rPr>
        <w:t>c</w:t>
      </w:r>
      <w:r w:rsidRPr="00CE0885">
        <w:rPr>
          <w:lang w:eastAsia="en-GB"/>
        </w:rPr>
        <w:t>apa</w:t>
      </w:r>
      <w:r w:rsidRPr="00CE0885">
        <w:rPr>
          <w:spacing w:val="-2"/>
          <w:lang w:eastAsia="en-GB"/>
        </w:rPr>
        <w:t>c</w:t>
      </w:r>
      <w:r w:rsidRPr="00CE0885">
        <w:rPr>
          <w:spacing w:val="3"/>
          <w:lang w:eastAsia="en-GB"/>
        </w:rPr>
        <w:t>i</w:t>
      </w:r>
      <w:r w:rsidRPr="00CE0885">
        <w:rPr>
          <w:spacing w:val="2"/>
          <w:lang w:eastAsia="en-GB"/>
        </w:rPr>
        <w:t>t</w:t>
      </w:r>
      <w:r w:rsidRPr="00CE0885">
        <w:rPr>
          <w:lang w:eastAsia="en-GB"/>
        </w:rPr>
        <w:t>y</w:t>
      </w:r>
      <w:r w:rsidRPr="00CE0885">
        <w:rPr>
          <w:spacing w:val="5"/>
          <w:lang w:eastAsia="en-GB"/>
        </w:rPr>
        <w:t xml:space="preserve"> </w:t>
      </w:r>
      <w:r w:rsidRPr="00CE0885">
        <w:rPr>
          <w:spacing w:val="1"/>
          <w:w w:val="101"/>
          <w:lang w:eastAsia="en-GB"/>
        </w:rPr>
        <w:t>iss</w:t>
      </w:r>
      <w:r w:rsidRPr="00CE0885">
        <w:rPr>
          <w:spacing w:val="-3"/>
          <w:w w:val="101"/>
          <w:lang w:eastAsia="en-GB"/>
        </w:rPr>
        <w:t>u</w:t>
      </w:r>
      <w:r w:rsidRPr="00CE0885">
        <w:rPr>
          <w:w w:val="101"/>
          <w:lang w:eastAsia="en-GB"/>
        </w:rPr>
        <w:t>e</w:t>
      </w:r>
      <w:r w:rsidRPr="00CE0885">
        <w:rPr>
          <w:spacing w:val="-2"/>
          <w:w w:val="101"/>
          <w:lang w:eastAsia="en-GB"/>
        </w:rPr>
        <w:t>s</w:t>
      </w:r>
      <w:r w:rsidRPr="00CE0885">
        <w:rPr>
          <w:w w:val="101"/>
          <w:lang w:eastAsia="en-GB"/>
        </w:rPr>
        <w:t>.</w:t>
      </w:r>
    </w:p>
    <w:p w14:paraId="4B7FC25D" w14:textId="77777777" w:rsidR="0007271E" w:rsidRPr="00CE0885" w:rsidRDefault="0007271E" w:rsidP="0007271E">
      <w:pPr>
        <w:pStyle w:val="Heading3"/>
        <w:rPr>
          <w:lang w:eastAsia="en-GB"/>
        </w:rPr>
      </w:pPr>
      <w:r w:rsidRPr="00CE0885">
        <w:rPr>
          <w:lang w:eastAsia="en-GB"/>
        </w:rPr>
        <w:t>If the surviving partner is not a general medical practitioner, the Commissioner must enter into discussions with the surviving partner and use reasonable endeavours to reach an agreement to enable the provision of clinical services to continue under the contract. The Commissioner may, if it considers it appropriate to enable clinical services under the contract to continue, offer the surviving partner reasonable support.</w:t>
      </w:r>
    </w:p>
    <w:p w14:paraId="7F503A7B" w14:textId="77777777" w:rsidR="0007271E" w:rsidRPr="00CE0885" w:rsidRDefault="0007271E" w:rsidP="0007271E">
      <w:pPr>
        <w:pStyle w:val="Heading3"/>
        <w:rPr>
          <w:lang w:eastAsia="en-GB"/>
        </w:rPr>
      </w:pPr>
      <w:r w:rsidRPr="00CE0885">
        <w:rPr>
          <w:lang w:eastAsia="en-GB"/>
        </w:rPr>
        <w:t xml:space="preserve">The Commissioner may choose to consult the relevant LMC, if it considers it appropriate or any other person that the Commissioner considers necessary. </w:t>
      </w:r>
    </w:p>
    <w:p w14:paraId="43E07293" w14:textId="77777777" w:rsidR="0007271E" w:rsidRPr="00CE0885" w:rsidRDefault="0007271E" w:rsidP="0007271E">
      <w:pPr>
        <w:pStyle w:val="Heading3"/>
        <w:rPr>
          <w:lang w:eastAsia="en-GB"/>
        </w:rPr>
      </w:pPr>
      <w:r w:rsidRPr="00CE0885">
        <w:rPr>
          <w:lang w:eastAsia="en-GB"/>
        </w:rPr>
        <w:t xml:space="preserve">Where the Commissioner reaches an agreement with a surviving partner who is not a general medical practitioner, the Commissioner must notify that individual confirming: </w:t>
      </w:r>
    </w:p>
    <w:p w14:paraId="14984ED7" w14:textId="77777777" w:rsidR="0007271E" w:rsidRPr="00CE0885" w:rsidRDefault="0007271E" w:rsidP="0007271E">
      <w:pPr>
        <w:pStyle w:val="Heading4"/>
      </w:pPr>
      <w:r w:rsidRPr="00CE0885">
        <w:t>the terms upon which the Board agrees to the contract continuing with that individual;</w:t>
      </w:r>
    </w:p>
    <w:p w14:paraId="321554FD" w14:textId="77777777" w:rsidR="0007271E" w:rsidRPr="00CE0885" w:rsidRDefault="0007271E" w:rsidP="0007271E">
      <w:pPr>
        <w:pStyle w:val="Heading4"/>
      </w:pPr>
      <w:r w:rsidRPr="00CE0885">
        <w:t>the interim period during which the contract is to continue which must not exceed six months;</w:t>
      </w:r>
    </w:p>
    <w:p w14:paraId="776A414D" w14:textId="77777777" w:rsidR="0007271E" w:rsidRPr="00CE0885" w:rsidRDefault="0007271E" w:rsidP="0007271E">
      <w:pPr>
        <w:pStyle w:val="Heading4"/>
      </w:pPr>
      <w:r w:rsidRPr="00CE0885">
        <w:t>that the individual will employ or engage a general medical practitioner for the interim period to assist in the provision of clinical services under the contract; and</w:t>
      </w:r>
    </w:p>
    <w:p w14:paraId="42582D8B" w14:textId="77777777" w:rsidR="0007271E" w:rsidRPr="00CE0885" w:rsidRDefault="0007271E" w:rsidP="0007271E">
      <w:pPr>
        <w:pStyle w:val="Heading4"/>
      </w:pPr>
      <w:r w:rsidRPr="00CE0885">
        <w:t>the support, if any, which the Commissioner is to provide to enable clinical services under the contract to continue during the interim period.</w:t>
      </w:r>
    </w:p>
    <w:p w14:paraId="4BD81007" w14:textId="77777777" w:rsidR="0007271E" w:rsidRPr="00CE0885" w:rsidRDefault="0007271E" w:rsidP="0007271E">
      <w:pPr>
        <w:pStyle w:val="Heading3"/>
        <w:rPr>
          <w:lang w:eastAsia="en-GB"/>
        </w:rPr>
      </w:pPr>
      <w:r w:rsidRPr="00CE0885">
        <w:rPr>
          <w:lang w:eastAsia="en-GB"/>
        </w:rPr>
        <w:t>A Template Notification Letter is provided in Annex 3. A variation notice will need to be included with this letter.</w:t>
      </w:r>
    </w:p>
    <w:p w14:paraId="3AEBB0EA" w14:textId="77777777" w:rsidR="0007271E" w:rsidRPr="00CE0885" w:rsidRDefault="0007271E" w:rsidP="0007271E">
      <w:pPr>
        <w:pStyle w:val="Heading3"/>
        <w:rPr>
          <w:lang w:eastAsia="en-GB"/>
        </w:rPr>
      </w:pPr>
      <w:r w:rsidRPr="00CE0885">
        <w:rPr>
          <w:lang w:eastAsia="en-GB"/>
        </w:rPr>
        <w:t xml:space="preserve">Where the Commissioner cannot reach an agreement with the surviving partner or if the surviving partner does not wish to employ or engage a medical practitioner, the Commissioner must terminate the contract immediately by serving notice in writing on the surviving partner.  </w:t>
      </w:r>
    </w:p>
    <w:p w14:paraId="7EEEC8B6" w14:textId="77777777" w:rsidR="0007271E" w:rsidRPr="00CE0885" w:rsidRDefault="0007271E" w:rsidP="0007271E">
      <w:pPr>
        <w:pStyle w:val="Heading3"/>
        <w:rPr>
          <w:lang w:eastAsia="en-GB"/>
        </w:rPr>
      </w:pPr>
      <w:r w:rsidRPr="00CE0885">
        <w:rPr>
          <w:lang w:eastAsia="en-GB"/>
        </w:rPr>
        <w:t>The Commissioner must also terminate the contract in writing to the surviving partner if:</w:t>
      </w:r>
    </w:p>
    <w:p w14:paraId="2996E7CD" w14:textId="77777777" w:rsidR="0007271E" w:rsidRPr="00CE0885" w:rsidRDefault="0007271E" w:rsidP="0007271E">
      <w:pPr>
        <w:pStyle w:val="Heading4"/>
      </w:pPr>
      <w:r w:rsidRPr="00CE0885">
        <w:t>the surviving partner wishes to withdraw from the agreed arrangements at any stage during the interim period; or</w:t>
      </w:r>
    </w:p>
    <w:p w14:paraId="1D477CB7" w14:textId="77777777" w:rsidR="0007271E" w:rsidRPr="00CE0885" w:rsidRDefault="0007271E" w:rsidP="0007271E">
      <w:pPr>
        <w:pStyle w:val="Heading4"/>
      </w:pPr>
      <w:r w:rsidRPr="00CE0885">
        <w:t>at the end of the interim period, the contractor has not entered into partnership with a general medical practitioner who is not a limited partner.</w:t>
      </w:r>
    </w:p>
    <w:p w14:paraId="5A8838C5" w14:textId="5E2E887E" w:rsidR="0007271E" w:rsidRPr="00CE0885" w:rsidRDefault="0007271E" w:rsidP="0007271E">
      <w:pPr>
        <w:pStyle w:val="Heading3"/>
        <w:rPr>
          <w:lang w:eastAsia="en-GB"/>
        </w:rPr>
      </w:pPr>
      <w:r w:rsidRPr="00CE0885">
        <w:rPr>
          <w:lang w:eastAsia="en-GB"/>
        </w:rPr>
        <w:t>Where the Commissioner intends to terminate the contract, please refer to</w:t>
      </w:r>
      <w:r w:rsidRPr="00C575A9">
        <w:t xml:space="preserve"> </w:t>
      </w:r>
      <w:r>
        <w:t>the chapter on</w:t>
      </w:r>
      <w:r w:rsidRPr="00CE0885">
        <w:t xml:space="preserve"> contract breaches</w:t>
      </w:r>
      <w:r>
        <w:t>, sanctions</w:t>
      </w:r>
      <w:r w:rsidRPr="00CE0885">
        <w:t xml:space="preserve"> and termination for further information on considerations relating to terminating a contract</w:t>
      </w:r>
      <w:r w:rsidRPr="00CE0885">
        <w:rPr>
          <w:lang w:eastAsia="en-GB"/>
        </w:rPr>
        <w:t xml:space="preserve">. </w:t>
      </w:r>
    </w:p>
    <w:p w14:paraId="36F6B190" w14:textId="77777777" w:rsidR="0007271E" w:rsidRPr="00CE0885" w:rsidRDefault="0007271E" w:rsidP="0007271E">
      <w:pPr>
        <w:pStyle w:val="Heading3"/>
        <w:rPr>
          <w:lang w:eastAsia="en-GB"/>
        </w:rPr>
      </w:pPr>
      <w:r w:rsidRPr="00CE0885">
        <w:rPr>
          <w:lang w:eastAsia="en-GB"/>
        </w:rPr>
        <w:t>A template Termination Letter is set out in Annex 4.</w:t>
      </w:r>
    </w:p>
    <w:p w14:paraId="3106AC8B" w14:textId="77777777" w:rsidR="0007271E" w:rsidRPr="00F466C6" w:rsidRDefault="0007271E" w:rsidP="0007271E">
      <w:pPr>
        <w:pStyle w:val="BodyText"/>
        <w:rPr>
          <w:b/>
          <w:sz w:val="24"/>
          <w:szCs w:val="24"/>
        </w:rPr>
      </w:pPr>
      <w:r w:rsidRPr="00CE0885">
        <w:br/>
      </w:r>
      <w:r w:rsidRPr="00F466C6">
        <w:rPr>
          <w:b/>
          <w:sz w:val="24"/>
          <w:szCs w:val="24"/>
        </w:rPr>
        <w:t xml:space="preserve">More than two individuals practising in partnership - GMS contract </w:t>
      </w:r>
    </w:p>
    <w:p w14:paraId="6816120E" w14:textId="77777777" w:rsidR="0007271E" w:rsidRPr="00CE0885" w:rsidRDefault="0007271E" w:rsidP="0007271E">
      <w:pPr>
        <w:pStyle w:val="Heading3"/>
        <w:rPr>
          <w:lang w:eastAsia="en-GB"/>
        </w:rPr>
      </w:pPr>
      <w:r w:rsidRPr="00CE0885">
        <w:rPr>
          <w:lang w:eastAsia="en-GB"/>
        </w:rPr>
        <w:t xml:space="preserve">Where there are more than two individuals practising in partnership, the death of one of the partners may result in the partnership being dissolved. This may not always be the case as the partnership arrangements between the partners may state that the partnership will continue or make other provision on the death of a partner that does not result in the dissolution of the partnership. </w:t>
      </w:r>
    </w:p>
    <w:p w14:paraId="31BFA0D1" w14:textId="77777777" w:rsidR="0007271E" w:rsidRPr="00CE0885" w:rsidRDefault="0007271E" w:rsidP="0007271E">
      <w:pPr>
        <w:pStyle w:val="Heading3"/>
        <w:rPr>
          <w:lang w:eastAsia="en-GB"/>
        </w:rPr>
      </w:pPr>
      <w:r w:rsidRPr="00CE0885">
        <w:rPr>
          <w:lang w:eastAsia="en-GB"/>
        </w:rPr>
        <w:t xml:space="preserve">Where the partnership is not dissolved or terminated, the contract will continue and the provisions below will not apply provided that the partnership remains eligible to hold the GMS contract. Please refer to </w:t>
      </w:r>
      <w:r>
        <w:rPr>
          <w:lang w:eastAsia="en-GB"/>
        </w:rPr>
        <w:t>the ‘Contracts Described’ chapter for further information</w:t>
      </w:r>
      <w:r w:rsidRPr="00CE0885">
        <w:rPr>
          <w:lang w:eastAsia="en-GB"/>
        </w:rPr>
        <w:t xml:space="preserve"> on eligibility requirements.</w:t>
      </w:r>
    </w:p>
    <w:p w14:paraId="1F8943D3" w14:textId="77777777" w:rsidR="0007271E" w:rsidRPr="00CE0885" w:rsidRDefault="0007271E" w:rsidP="0007271E">
      <w:pPr>
        <w:pStyle w:val="Heading3"/>
        <w:rPr>
          <w:lang w:eastAsia="en-GB"/>
        </w:rPr>
      </w:pPr>
      <w:r w:rsidRPr="00CE0885">
        <w:rPr>
          <w:lang w:eastAsia="en-GB"/>
        </w:rPr>
        <w:t>It is possible for the contract to continue where the partnership is dissolved or terminated for whatever reason (which may be due to the death of a partner) and the contractor consists of more than two individuals practising in partnership.  The contract may continue with one of the former partners if the following conditions apply:</w:t>
      </w:r>
    </w:p>
    <w:p w14:paraId="6FFBBD95" w14:textId="77777777" w:rsidR="0007271E" w:rsidRPr="00CE0885" w:rsidRDefault="0007271E" w:rsidP="0007271E">
      <w:pPr>
        <w:pStyle w:val="Heading4"/>
      </w:pPr>
      <w:r w:rsidRPr="00CE0885">
        <w:t>The former partner must be nominated by the contractor; and</w:t>
      </w:r>
    </w:p>
    <w:p w14:paraId="27A4E55B" w14:textId="77777777" w:rsidR="0007271E" w:rsidRPr="00CE0885" w:rsidRDefault="0007271E" w:rsidP="0007271E">
      <w:pPr>
        <w:pStyle w:val="Heading4"/>
      </w:pPr>
      <w:r w:rsidRPr="00CE0885">
        <w:t xml:space="preserve">The former partner must be a medical practitioner that meets the condition in regulation 4(2)(a) of the GMS Regulations. </w:t>
      </w:r>
    </w:p>
    <w:p w14:paraId="7BFFA102" w14:textId="77777777" w:rsidR="0007271E" w:rsidRPr="00CE0885" w:rsidRDefault="0007271E" w:rsidP="0007271E">
      <w:pPr>
        <w:pStyle w:val="Heading3"/>
        <w:rPr>
          <w:lang w:eastAsia="en-GB"/>
        </w:rPr>
      </w:pPr>
      <w:r w:rsidRPr="00CE0885">
        <w:rPr>
          <w:lang w:eastAsia="en-GB"/>
        </w:rPr>
        <w:t>The nomination of the former partner by the contractor must be:</w:t>
      </w:r>
    </w:p>
    <w:p w14:paraId="18D0B879" w14:textId="77777777" w:rsidR="0007271E" w:rsidRPr="00CE0885" w:rsidRDefault="0007271E" w:rsidP="0007271E">
      <w:pPr>
        <w:pStyle w:val="Heading4"/>
      </w:pPr>
      <w:r w:rsidRPr="00CE0885">
        <w:t>in writing and signed by all of the persons who are practising in partnership; and</w:t>
      </w:r>
    </w:p>
    <w:p w14:paraId="1A41BF6B" w14:textId="77777777" w:rsidR="0007271E" w:rsidRPr="00CE0885" w:rsidRDefault="0007271E" w:rsidP="0007271E">
      <w:pPr>
        <w:pStyle w:val="Heading4"/>
      </w:pPr>
      <w:r w:rsidRPr="00CE0885">
        <w:t>specify the date on which the contractor proposes to change its status from that of a partnership to that of an individual medical practitioner; and</w:t>
      </w:r>
    </w:p>
    <w:p w14:paraId="67592DF5" w14:textId="77777777" w:rsidR="0007271E" w:rsidRPr="00CE0885" w:rsidRDefault="0007271E" w:rsidP="0007271E">
      <w:pPr>
        <w:pStyle w:val="Heading4"/>
      </w:pPr>
      <w:r w:rsidRPr="00CE0885">
        <w:t>be provided to the Commissioner at least 28 days in advance of the date on which the contractor proposes to change its status from that of a partnership to that of an individual medical practitioner; and</w:t>
      </w:r>
    </w:p>
    <w:p w14:paraId="6344F1C9" w14:textId="77777777" w:rsidR="0007271E" w:rsidRPr="00CE0885" w:rsidRDefault="0007271E" w:rsidP="0007271E">
      <w:pPr>
        <w:pStyle w:val="Heading4"/>
      </w:pPr>
      <w:r w:rsidRPr="00CE0885">
        <w:t>specify the name of the medical practitioner with whom the contract will continue, which must be one of the partners.</w:t>
      </w:r>
    </w:p>
    <w:p w14:paraId="66FC876E" w14:textId="77777777" w:rsidR="0007271E" w:rsidRPr="00CE0885" w:rsidRDefault="0007271E" w:rsidP="0007271E">
      <w:pPr>
        <w:pStyle w:val="Heading3"/>
        <w:rPr>
          <w:lang w:eastAsia="en-GB"/>
        </w:rPr>
      </w:pPr>
      <w:r w:rsidRPr="00CE0885">
        <w:rPr>
          <w:lang w:eastAsia="en-GB"/>
        </w:rPr>
        <w:t>Where the Commissioner receives such a nomination, it must acknowledge receipt of the notice in writing before the date specified in the nomination as the date on which the contractor proposes to change its status from that of a partnership to that of an individual medical practitioner.</w:t>
      </w:r>
    </w:p>
    <w:p w14:paraId="00E477E2" w14:textId="77777777" w:rsidR="0007271E" w:rsidRPr="00CE0885" w:rsidRDefault="0007271E" w:rsidP="0007271E">
      <w:pPr>
        <w:pStyle w:val="Heading3"/>
        <w:rPr>
          <w:lang w:eastAsia="en-GB"/>
        </w:rPr>
      </w:pPr>
      <w:r w:rsidRPr="00CE0885">
        <w:rPr>
          <w:lang w:eastAsia="en-GB"/>
        </w:rPr>
        <w:t xml:space="preserve">The Commissioner may vary the contract but only to the extent that it is satisfied it is necessary to reflect the change in status of the contractor from a partnership to an individual medical practitioner. The Commissioner must notify the contractor in writing of the wording of the proposed variation and the date upon which that variation is to take effect. </w:t>
      </w:r>
    </w:p>
    <w:p w14:paraId="57D7C250" w14:textId="77777777" w:rsidR="0007271E" w:rsidRPr="00CE0885" w:rsidRDefault="0007271E" w:rsidP="0007271E">
      <w:pPr>
        <w:pStyle w:val="Heading3"/>
        <w:rPr>
          <w:lang w:eastAsia="en-GB"/>
        </w:rPr>
      </w:pPr>
      <w:r w:rsidRPr="00CE0885">
        <w:rPr>
          <w:lang w:eastAsia="en-GB"/>
        </w:rPr>
        <w:t>A template Notification Letter is provided in Annex 5. A variation notice will need to be included with this letter.</w:t>
      </w:r>
    </w:p>
    <w:p w14:paraId="0B464D29" w14:textId="77777777" w:rsidR="0007271E" w:rsidRPr="009055A7" w:rsidRDefault="0007271E" w:rsidP="0007271E">
      <w:pPr>
        <w:pStyle w:val="BodyText"/>
      </w:pPr>
    </w:p>
    <w:p w14:paraId="230AD186" w14:textId="77777777" w:rsidR="0007271E" w:rsidRPr="00CE0885" w:rsidRDefault="0007271E" w:rsidP="0007271E">
      <w:pPr>
        <w:pStyle w:val="Heading2"/>
        <w:rPr>
          <w:lang w:eastAsia="en-GB"/>
        </w:rPr>
      </w:pPr>
      <w:bookmarkStart w:id="2360" w:name="_Toc7417137"/>
      <w:bookmarkStart w:id="2361" w:name="_Toc95743548"/>
      <w:r w:rsidRPr="00CE0885">
        <w:rPr>
          <w:lang w:eastAsia="en-GB"/>
        </w:rPr>
        <w:t>Two or More Signatories - PMS Agreement</w:t>
      </w:r>
      <w:bookmarkEnd w:id="2360"/>
      <w:bookmarkEnd w:id="2361"/>
      <w:r w:rsidRPr="00CE0885">
        <w:rPr>
          <w:lang w:eastAsia="en-GB"/>
        </w:rPr>
        <w:t xml:space="preserve"> </w:t>
      </w:r>
    </w:p>
    <w:p w14:paraId="7114BAEC" w14:textId="77777777" w:rsidR="0007271E" w:rsidRPr="00CE0885" w:rsidRDefault="0007271E" w:rsidP="0007271E">
      <w:pPr>
        <w:pStyle w:val="Heading3"/>
        <w:rPr>
          <w:lang w:eastAsia="en-GB"/>
        </w:rPr>
      </w:pPr>
      <w:r w:rsidRPr="00CE0885">
        <w:rPr>
          <w:lang w:eastAsia="en-GB"/>
        </w:rPr>
        <w:t xml:space="preserve">The PMS Regulations do not allow PMS agreements to be treated as made with a partnership. Where individuals are practising in partnership, the PMS agreement will be entered into with each individual (who may or may not be in partnership). The individual signatories to a PMS agreement collectively form the contractor.  The PMS Regulations do not require a PMS agreement to define a specific process for any variation to the signatories. </w:t>
      </w:r>
      <w:r w:rsidRPr="00CE0885">
        <w:rPr>
          <w:spacing w:val="13"/>
          <w:lang w:eastAsia="en-GB"/>
        </w:rPr>
        <w:t xml:space="preserve">The Commissioner must, therefore, </w:t>
      </w:r>
      <w:r w:rsidRPr="00CE0885">
        <w:rPr>
          <w:spacing w:val="1"/>
          <w:lang w:eastAsia="en-GB"/>
        </w:rPr>
        <w:t>r</w:t>
      </w:r>
      <w:r w:rsidRPr="00CE0885">
        <w:rPr>
          <w:lang w:eastAsia="en-GB"/>
        </w:rPr>
        <w:t>e</w:t>
      </w:r>
      <w:r w:rsidRPr="00CE0885">
        <w:rPr>
          <w:spacing w:val="1"/>
          <w:lang w:eastAsia="en-GB"/>
        </w:rPr>
        <w:t>vi</w:t>
      </w:r>
      <w:r w:rsidRPr="00CE0885">
        <w:rPr>
          <w:lang w:eastAsia="en-GB"/>
        </w:rPr>
        <w:t>ew</w:t>
      </w:r>
      <w:r w:rsidRPr="00CE0885">
        <w:rPr>
          <w:spacing w:val="5"/>
          <w:lang w:eastAsia="en-GB"/>
        </w:rPr>
        <w:t xml:space="preserve"> </w:t>
      </w:r>
      <w:r w:rsidRPr="00CE0885">
        <w:rPr>
          <w:lang w:eastAsia="en-GB"/>
        </w:rPr>
        <w:t>t</w:t>
      </w:r>
      <w:r w:rsidRPr="00CE0885">
        <w:rPr>
          <w:spacing w:val="2"/>
          <w:lang w:eastAsia="en-GB"/>
        </w:rPr>
        <w:t>h</w:t>
      </w:r>
      <w:r w:rsidRPr="00CE0885">
        <w:rPr>
          <w:lang w:eastAsia="en-GB"/>
        </w:rPr>
        <w:t>e</w:t>
      </w:r>
      <w:r w:rsidRPr="00CE0885">
        <w:rPr>
          <w:spacing w:val="4"/>
          <w:lang w:eastAsia="en-GB"/>
        </w:rPr>
        <w:t xml:space="preserve"> </w:t>
      </w:r>
      <w:r w:rsidRPr="00CE0885">
        <w:rPr>
          <w:spacing w:val="1"/>
          <w:lang w:eastAsia="en-GB"/>
        </w:rPr>
        <w:t>relevant</w:t>
      </w:r>
      <w:r w:rsidRPr="00CE0885">
        <w:rPr>
          <w:spacing w:val="14"/>
          <w:lang w:eastAsia="en-GB"/>
        </w:rPr>
        <w:t xml:space="preserve"> </w:t>
      </w:r>
      <w:r w:rsidRPr="00CE0885">
        <w:rPr>
          <w:w w:val="101"/>
          <w:lang w:eastAsia="en-GB"/>
        </w:rPr>
        <w:t xml:space="preserve">PMS </w:t>
      </w:r>
      <w:r w:rsidRPr="00CE0885">
        <w:rPr>
          <w:spacing w:val="-3"/>
          <w:lang w:eastAsia="en-GB"/>
        </w:rPr>
        <w:t>a</w:t>
      </w:r>
      <w:r w:rsidRPr="00CE0885">
        <w:rPr>
          <w:spacing w:val="2"/>
          <w:lang w:eastAsia="en-GB"/>
        </w:rPr>
        <w:t>g</w:t>
      </w:r>
      <w:r w:rsidRPr="00CE0885">
        <w:rPr>
          <w:lang w:eastAsia="en-GB"/>
        </w:rPr>
        <w:t>reement</w:t>
      </w:r>
      <w:r w:rsidRPr="00CE0885">
        <w:rPr>
          <w:spacing w:val="16"/>
          <w:lang w:eastAsia="en-GB"/>
        </w:rPr>
        <w:t xml:space="preserve"> to determine whether any provisions have been added relating to this and </w:t>
      </w:r>
      <w:r w:rsidRPr="00CE0885">
        <w:rPr>
          <w:spacing w:val="-3"/>
          <w:lang w:eastAsia="en-GB"/>
        </w:rPr>
        <w:t>p</w:t>
      </w:r>
      <w:r w:rsidRPr="00CE0885">
        <w:rPr>
          <w:lang w:eastAsia="en-GB"/>
        </w:rPr>
        <w:t>r</w:t>
      </w:r>
      <w:r w:rsidRPr="00CE0885">
        <w:rPr>
          <w:spacing w:val="3"/>
          <w:lang w:eastAsia="en-GB"/>
        </w:rPr>
        <w:t>i</w:t>
      </w:r>
      <w:r w:rsidRPr="00CE0885">
        <w:rPr>
          <w:spacing w:val="-3"/>
          <w:lang w:eastAsia="en-GB"/>
        </w:rPr>
        <w:t>o</w:t>
      </w:r>
      <w:r w:rsidRPr="00CE0885">
        <w:rPr>
          <w:lang w:eastAsia="en-GB"/>
        </w:rPr>
        <w:t>r</w:t>
      </w:r>
      <w:r w:rsidRPr="00CE0885">
        <w:rPr>
          <w:spacing w:val="7"/>
          <w:lang w:eastAsia="en-GB"/>
        </w:rPr>
        <w:t xml:space="preserve"> </w:t>
      </w:r>
      <w:r w:rsidRPr="00CE0885">
        <w:rPr>
          <w:lang w:eastAsia="en-GB"/>
        </w:rPr>
        <w:t>to</w:t>
      </w:r>
      <w:r w:rsidRPr="00CE0885">
        <w:rPr>
          <w:spacing w:val="3"/>
          <w:lang w:eastAsia="en-GB"/>
        </w:rPr>
        <w:t xml:space="preserve"> </w:t>
      </w:r>
      <w:r w:rsidRPr="00CE0885">
        <w:rPr>
          <w:spacing w:val="2"/>
          <w:lang w:eastAsia="en-GB"/>
        </w:rPr>
        <w:t>f</w:t>
      </w:r>
      <w:r w:rsidRPr="00CE0885">
        <w:rPr>
          <w:spacing w:val="-3"/>
          <w:lang w:eastAsia="en-GB"/>
        </w:rPr>
        <w:t>o</w:t>
      </w:r>
      <w:r w:rsidRPr="00CE0885">
        <w:rPr>
          <w:spacing w:val="3"/>
          <w:lang w:eastAsia="en-GB"/>
        </w:rPr>
        <w:t>l</w:t>
      </w:r>
      <w:r w:rsidRPr="00CE0885">
        <w:rPr>
          <w:lang w:eastAsia="en-GB"/>
        </w:rPr>
        <w:t>l</w:t>
      </w:r>
      <w:r w:rsidRPr="00CE0885">
        <w:rPr>
          <w:spacing w:val="2"/>
          <w:lang w:eastAsia="en-GB"/>
        </w:rPr>
        <w:t>o</w:t>
      </w:r>
      <w:r w:rsidRPr="00CE0885">
        <w:rPr>
          <w:spacing w:val="-3"/>
          <w:lang w:eastAsia="en-GB"/>
        </w:rPr>
        <w:t>w</w:t>
      </w:r>
      <w:r w:rsidRPr="00CE0885">
        <w:rPr>
          <w:spacing w:val="1"/>
          <w:lang w:eastAsia="en-GB"/>
        </w:rPr>
        <w:t>i</w:t>
      </w:r>
      <w:r w:rsidRPr="00CE0885">
        <w:rPr>
          <w:lang w:eastAsia="en-GB"/>
        </w:rPr>
        <w:t>ng</w:t>
      </w:r>
      <w:r w:rsidRPr="00CE0885">
        <w:rPr>
          <w:spacing w:val="12"/>
          <w:lang w:eastAsia="en-GB"/>
        </w:rPr>
        <w:t xml:space="preserve"> </w:t>
      </w:r>
      <w:r w:rsidRPr="00CE0885">
        <w:rPr>
          <w:spacing w:val="-3"/>
          <w:lang w:eastAsia="en-GB"/>
        </w:rPr>
        <w:t>a</w:t>
      </w:r>
      <w:r w:rsidRPr="00CE0885">
        <w:rPr>
          <w:spacing w:val="2"/>
          <w:lang w:eastAsia="en-GB"/>
        </w:rPr>
        <w:t>n</w:t>
      </w:r>
      <w:r w:rsidRPr="00CE0885">
        <w:rPr>
          <w:lang w:eastAsia="en-GB"/>
        </w:rPr>
        <w:t>y</w:t>
      </w:r>
      <w:r w:rsidRPr="00CE0885">
        <w:rPr>
          <w:spacing w:val="6"/>
          <w:lang w:eastAsia="en-GB"/>
        </w:rPr>
        <w:t xml:space="preserve"> </w:t>
      </w:r>
      <w:r w:rsidRPr="00CE0885">
        <w:rPr>
          <w:spacing w:val="-3"/>
          <w:lang w:eastAsia="en-GB"/>
        </w:rPr>
        <w:t>p</w:t>
      </w:r>
      <w:r w:rsidRPr="00CE0885">
        <w:rPr>
          <w:spacing w:val="1"/>
          <w:lang w:eastAsia="en-GB"/>
        </w:rPr>
        <w:t>r</w:t>
      </w:r>
      <w:r w:rsidRPr="00CE0885">
        <w:rPr>
          <w:lang w:eastAsia="en-GB"/>
        </w:rPr>
        <w:t>o</w:t>
      </w:r>
      <w:r w:rsidRPr="00CE0885">
        <w:rPr>
          <w:spacing w:val="-2"/>
          <w:lang w:eastAsia="en-GB"/>
        </w:rPr>
        <w:t>c</w:t>
      </w:r>
      <w:r w:rsidRPr="00CE0885">
        <w:rPr>
          <w:lang w:eastAsia="en-GB"/>
        </w:rPr>
        <w:t>e</w:t>
      </w:r>
      <w:r w:rsidRPr="00CE0885">
        <w:rPr>
          <w:spacing w:val="1"/>
          <w:lang w:eastAsia="en-GB"/>
        </w:rPr>
        <w:t>s</w:t>
      </w:r>
      <w:r w:rsidRPr="00CE0885">
        <w:rPr>
          <w:lang w:eastAsia="en-GB"/>
        </w:rPr>
        <w:t>s</w:t>
      </w:r>
      <w:r w:rsidRPr="00CE0885">
        <w:rPr>
          <w:spacing w:val="7"/>
          <w:lang w:eastAsia="en-GB"/>
        </w:rPr>
        <w:t xml:space="preserve"> </w:t>
      </w:r>
      <w:r w:rsidRPr="00CE0885">
        <w:rPr>
          <w:spacing w:val="5"/>
          <w:lang w:eastAsia="en-GB"/>
        </w:rPr>
        <w:t>f</w:t>
      </w:r>
      <w:r w:rsidRPr="00CE0885">
        <w:rPr>
          <w:spacing w:val="-3"/>
          <w:lang w:eastAsia="en-GB"/>
        </w:rPr>
        <w:t>o</w:t>
      </w:r>
      <w:r w:rsidRPr="00CE0885">
        <w:rPr>
          <w:lang w:eastAsia="en-GB"/>
        </w:rPr>
        <w:t>r</w:t>
      </w:r>
      <w:r w:rsidRPr="00CE0885">
        <w:rPr>
          <w:spacing w:val="8"/>
          <w:lang w:eastAsia="en-GB"/>
        </w:rPr>
        <w:t xml:space="preserve"> </w:t>
      </w:r>
      <w:r w:rsidRPr="00CE0885">
        <w:rPr>
          <w:spacing w:val="-2"/>
          <w:w w:val="101"/>
          <w:lang w:eastAsia="en-GB"/>
        </w:rPr>
        <w:t>v</w:t>
      </w:r>
      <w:r w:rsidRPr="00CE0885">
        <w:rPr>
          <w:w w:val="101"/>
          <w:lang w:eastAsia="en-GB"/>
        </w:rPr>
        <w:t>ar</w:t>
      </w:r>
      <w:r w:rsidRPr="00CE0885">
        <w:rPr>
          <w:spacing w:val="1"/>
          <w:w w:val="101"/>
          <w:lang w:eastAsia="en-GB"/>
        </w:rPr>
        <w:t>i</w:t>
      </w:r>
      <w:r w:rsidRPr="00CE0885">
        <w:rPr>
          <w:w w:val="101"/>
          <w:lang w:eastAsia="en-GB"/>
        </w:rPr>
        <w:t>at</w:t>
      </w:r>
      <w:r w:rsidRPr="00CE0885">
        <w:rPr>
          <w:spacing w:val="1"/>
          <w:w w:val="101"/>
          <w:lang w:eastAsia="en-GB"/>
        </w:rPr>
        <w:t>i</w:t>
      </w:r>
      <w:r w:rsidRPr="00CE0885">
        <w:rPr>
          <w:w w:val="101"/>
          <w:lang w:eastAsia="en-GB"/>
        </w:rPr>
        <w:t>on.</w:t>
      </w:r>
    </w:p>
    <w:p w14:paraId="4353E73F" w14:textId="77777777" w:rsidR="0007271E" w:rsidRPr="00CE0885" w:rsidRDefault="0007271E" w:rsidP="0007271E">
      <w:pPr>
        <w:pStyle w:val="Heading3"/>
        <w:rPr>
          <w:lang w:eastAsia="en-GB"/>
        </w:rPr>
      </w:pPr>
      <w:r w:rsidRPr="00CE0885">
        <w:rPr>
          <w:lang w:eastAsia="en-GB"/>
        </w:rPr>
        <w:t>Ideally, a</w:t>
      </w:r>
      <w:r w:rsidRPr="00CE0885">
        <w:rPr>
          <w:spacing w:val="3"/>
          <w:lang w:eastAsia="en-GB"/>
        </w:rPr>
        <w:t xml:space="preserve"> s</w:t>
      </w:r>
      <w:r w:rsidRPr="00CE0885">
        <w:rPr>
          <w:spacing w:val="-3"/>
          <w:lang w:eastAsia="en-GB"/>
        </w:rPr>
        <w:t>u</w:t>
      </w:r>
      <w:r w:rsidRPr="00CE0885">
        <w:rPr>
          <w:spacing w:val="1"/>
          <w:lang w:eastAsia="en-GB"/>
        </w:rPr>
        <w:t>r</w:t>
      </w:r>
      <w:r w:rsidRPr="00CE0885">
        <w:rPr>
          <w:spacing w:val="-2"/>
          <w:lang w:eastAsia="en-GB"/>
        </w:rPr>
        <w:t>v</w:t>
      </w:r>
      <w:r w:rsidRPr="00CE0885">
        <w:rPr>
          <w:spacing w:val="3"/>
          <w:lang w:eastAsia="en-GB"/>
        </w:rPr>
        <w:t>i</w:t>
      </w:r>
      <w:r w:rsidRPr="00CE0885">
        <w:rPr>
          <w:spacing w:val="-2"/>
          <w:lang w:eastAsia="en-GB"/>
        </w:rPr>
        <w:t>v</w:t>
      </w:r>
      <w:r w:rsidRPr="00CE0885">
        <w:rPr>
          <w:spacing w:val="3"/>
          <w:lang w:eastAsia="en-GB"/>
        </w:rPr>
        <w:t>i</w:t>
      </w:r>
      <w:r w:rsidRPr="00CE0885">
        <w:rPr>
          <w:spacing w:val="-3"/>
          <w:lang w:eastAsia="en-GB"/>
        </w:rPr>
        <w:t>n</w:t>
      </w:r>
      <w:r w:rsidRPr="00CE0885">
        <w:rPr>
          <w:lang w:eastAsia="en-GB"/>
        </w:rPr>
        <w:t>g</w:t>
      </w:r>
      <w:r w:rsidRPr="00CE0885">
        <w:rPr>
          <w:spacing w:val="10"/>
          <w:lang w:eastAsia="en-GB"/>
        </w:rPr>
        <w:t xml:space="preserve"> </w:t>
      </w:r>
      <w:r w:rsidRPr="00CE0885">
        <w:rPr>
          <w:spacing w:val="1"/>
          <w:lang w:eastAsia="en-GB"/>
        </w:rPr>
        <w:t>si</w:t>
      </w:r>
      <w:r w:rsidRPr="00CE0885">
        <w:rPr>
          <w:lang w:eastAsia="en-GB"/>
        </w:rPr>
        <w:t>g</w:t>
      </w:r>
      <w:r w:rsidRPr="00CE0885">
        <w:rPr>
          <w:spacing w:val="-3"/>
          <w:lang w:eastAsia="en-GB"/>
        </w:rPr>
        <w:t>n</w:t>
      </w:r>
      <w:r w:rsidRPr="00CE0885">
        <w:rPr>
          <w:lang w:eastAsia="en-GB"/>
        </w:rPr>
        <w:t>a</w:t>
      </w:r>
      <w:r w:rsidRPr="00CE0885">
        <w:rPr>
          <w:spacing w:val="2"/>
          <w:lang w:eastAsia="en-GB"/>
        </w:rPr>
        <w:t>t</w:t>
      </w:r>
      <w:r w:rsidRPr="00CE0885">
        <w:rPr>
          <w:spacing w:val="-3"/>
          <w:lang w:eastAsia="en-GB"/>
        </w:rPr>
        <w:t>o</w:t>
      </w:r>
      <w:r w:rsidRPr="00CE0885">
        <w:rPr>
          <w:spacing w:val="4"/>
          <w:lang w:eastAsia="en-GB"/>
        </w:rPr>
        <w:t>r</w:t>
      </w:r>
      <w:r w:rsidRPr="00CE0885">
        <w:rPr>
          <w:lang w:eastAsia="en-GB"/>
        </w:rPr>
        <w:t>y</w:t>
      </w:r>
      <w:r w:rsidRPr="00CE0885">
        <w:rPr>
          <w:spacing w:val="6"/>
          <w:lang w:eastAsia="en-GB"/>
        </w:rPr>
        <w:t xml:space="preserve"> </w:t>
      </w:r>
      <w:r w:rsidRPr="00CE0885">
        <w:rPr>
          <w:spacing w:val="2"/>
          <w:lang w:eastAsia="en-GB"/>
        </w:rPr>
        <w:t>t</w:t>
      </w:r>
      <w:r w:rsidRPr="00CE0885">
        <w:rPr>
          <w:lang w:eastAsia="en-GB"/>
        </w:rPr>
        <w:t>o</w:t>
      </w:r>
      <w:r w:rsidRPr="00CE0885">
        <w:rPr>
          <w:spacing w:val="3"/>
          <w:lang w:eastAsia="en-GB"/>
        </w:rPr>
        <w:t xml:space="preserve"> </w:t>
      </w:r>
      <w:r w:rsidRPr="00CE0885">
        <w:rPr>
          <w:lang w:eastAsia="en-GB"/>
        </w:rPr>
        <w:t>a</w:t>
      </w:r>
      <w:r w:rsidRPr="00CE0885">
        <w:rPr>
          <w:spacing w:val="2"/>
          <w:lang w:eastAsia="en-GB"/>
        </w:rPr>
        <w:t xml:space="preserve"> </w:t>
      </w:r>
      <w:r w:rsidRPr="00CE0885">
        <w:rPr>
          <w:lang w:eastAsia="en-GB"/>
        </w:rPr>
        <w:t>PMS</w:t>
      </w:r>
      <w:r w:rsidRPr="00CE0885">
        <w:rPr>
          <w:spacing w:val="9"/>
          <w:lang w:eastAsia="en-GB"/>
        </w:rPr>
        <w:t xml:space="preserve"> </w:t>
      </w:r>
      <w:r w:rsidRPr="00CE0885">
        <w:rPr>
          <w:spacing w:val="-3"/>
          <w:w w:val="101"/>
          <w:lang w:eastAsia="en-GB"/>
        </w:rPr>
        <w:t>a</w:t>
      </w:r>
      <w:r w:rsidRPr="00CE0885">
        <w:rPr>
          <w:w w:val="101"/>
          <w:lang w:eastAsia="en-GB"/>
        </w:rPr>
        <w:t>g</w:t>
      </w:r>
      <w:r w:rsidRPr="00CE0885">
        <w:rPr>
          <w:spacing w:val="1"/>
          <w:w w:val="101"/>
          <w:lang w:eastAsia="en-GB"/>
        </w:rPr>
        <w:t>r</w:t>
      </w:r>
      <w:r w:rsidRPr="00CE0885">
        <w:rPr>
          <w:w w:val="101"/>
          <w:lang w:eastAsia="en-GB"/>
        </w:rPr>
        <w:t>e</w:t>
      </w:r>
      <w:r w:rsidRPr="00CE0885">
        <w:rPr>
          <w:spacing w:val="2"/>
          <w:w w:val="101"/>
          <w:lang w:eastAsia="en-GB"/>
        </w:rPr>
        <w:t>em</w:t>
      </w:r>
      <w:r w:rsidRPr="00CE0885">
        <w:rPr>
          <w:spacing w:val="-3"/>
          <w:w w:val="101"/>
          <w:lang w:eastAsia="en-GB"/>
        </w:rPr>
        <w:t>e</w:t>
      </w:r>
      <w:r w:rsidRPr="00CE0885">
        <w:rPr>
          <w:w w:val="101"/>
          <w:lang w:eastAsia="en-GB"/>
        </w:rPr>
        <w:t xml:space="preserve">nt will </w:t>
      </w:r>
      <w:r w:rsidRPr="00CE0885">
        <w:rPr>
          <w:spacing w:val="-3"/>
          <w:lang w:eastAsia="en-GB"/>
        </w:rPr>
        <w:t>n</w:t>
      </w:r>
      <w:r w:rsidRPr="00CE0885">
        <w:rPr>
          <w:lang w:eastAsia="en-GB"/>
        </w:rPr>
        <w:t>ot</w:t>
      </w:r>
      <w:r w:rsidRPr="00CE0885">
        <w:rPr>
          <w:spacing w:val="1"/>
          <w:lang w:eastAsia="en-GB"/>
        </w:rPr>
        <w:t>i</w:t>
      </w:r>
      <w:r w:rsidRPr="00CE0885">
        <w:rPr>
          <w:spacing w:val="5"/>
          <w:lang w:eastAsia="en-GB"/>
        </w:rPr>
        <w:t>f</w:t>
      </w:r>
      <w:r w:rsidRPr="00CE0885">
        <w:rPr>
          <w:lang w:eastAsia="en-GB"/>
        </w:rPr>
        <w:t xml:space="preserve">y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Commissioner</w:t>
      </w:r>
      <w:r w:rsidRPr="00CE0885">
        <w:rPr>
          <w:spacing w:val="5"/>
          <w:lang w:eastAsia="en-GB"/>
        </w:rPr>
        <w:t xml:space="preserve"> </w:t>
      </w:r>
      <w:r w:rsidRPr="00CE0885">
        <w:rPr>
          <w:spacing w:val="1"/>
          <w:lang w:eastAsia="en-GB"/>
        </w:rPr>
        <w:t>i</w:t>
      </w:r>
      <w:r w:rsidRPr="00CE0885">
        <w:rPr>
          <w:lang w:eastAsia="en-GB"/>
        </w:rPr>
        <w:t>n</w:t>
      </w:r>
      <w:r w:rsidRPr="00CE0885">
        <w:rPr>
          <w:spacing w:val="3"/>
          <w:lang w:eastAsia="en-GB"/>
        </w:rPr>
        <w:t xml:space="preserve"> </w:t>
      </w:r>
      <w:r w:rsidRPr="00CE0885">
        <w:rPr>
          <w:lang w:eastAsia="en-GB"/>
        </w:rPr>
        <w:t>wr</w:t>
      </w:r>
      <w:r w:rsidRPr="00CE0885">
        <w:rPr>
          <w:spacing w:val="3"/>
          <w:lang w:eastAsia="en-GB"/>
        </w:rPr>
        <w:t>i</w:t>
      </w:r>
      <w:r w:rsidRPr="00CE0885">
        <w:rPr>
          <w:lang w:eastAsia="en-GB"/>
        </w:rPr>
        <w:t>ting</w:t>
      </w:r>
      <w:r w:rsidRPr="00CE0885">
        <w:rPr>
          <w:spacing w:val="10"/>
          <w:lang w:eastAsia="en-GB"/>
        </w:rPr>
        <w:t xml:space="preserve"> </w:t>
      </w:r>
      <w:r w:rsidRPr="00CE0885">
        <w:rPr>
          <w:spacing w:val="-3"/>
          <w:lang w:eastAsia="en-GB"/>
        </w:rPr>
        <w:t>a</w:t>
      </w:r>
      <w:r w:rsidRPr="00CE0885">
        <w:rPr>
          <w:lang w:eastAsia="en-GB"/>
        </w:rPr>
        <w:t>s</w:t>
      </w:r>
      <w:r w:rsidRPr="00CE0885">
        <w:rPr>
          <w:spacing w:val="4"/>
          <w:lang w:eastAsia="en-GB"/>
        </w:rPr>
        <w:t xml:space="preserve"> </w:t>
      </w:r>
      <w:r w:rsidRPr="00CE0885">
        <w:rPr>
          <w:spacing w:val="1"/>
          <w:lang w:eastAsia="en-GB"/>
        </w:rPr>
        <w:t>s</w:t>
      </w:r>
      <w:r w:rsidRPr="00CE0885">
        <w:rPr>
          <w:lang w:eastAsia="en-GB"/>
        </w:rPr>
        <w:t>oon</w:t>
      </w:r>
      <w:r w:rsidRPr="00CE0885">
        <w:rPr>
          <w:spacing w:val="8"/>
          <w:lang w:eastAsia="en-GB"/>
        </w:rPr>
        <w:t xml:space="preserve"> </w:t>
      </w:r>
      <w:r w:rsidRPr="00CE0885">
        <w:rPr>
          <w:spacing w:val="-3"/>
          <w:lang w:eastAsia="en-GB"/>
        </w:rPr>
        <w:t>a</w:t>
      </w:r>
      <w:r w:rsidRPr="00CE0885">
        <w:rPr>
          <w:lang w:eastAsia="en-GB"/>
        </w:rPr>
        <w:t>s</w:t>
      </w:r>
      <w:r w:rsidRPr="00CE0885">
        <w:rPr>
          <w:spacing w:val="4"/>
          <w:lang w:eastAsia="en-GB"/>
        </w:rPr>
        <w:t xml:space="preserve"> </w:t>
      </w:r>
      <w:r w:rsidRPr="00CE0885">
        <w:rPr>
          <w:lang w:eastAsia="en-GB"/>
        </w:rPr>
        <w:t>r</w:t>
      </w:r>
      <w:r w:rsidRPr="00CE0885">
        <w:rPr>
          <w:spacing w:val="2"/>
          <w:lang w:eastAsia="en-GB"/>
        </w:rPr>
        <w:t>e</w:t>
      </w:r>
      <w:r w:rsidRPr="00CE0885">
        <w:rPr>
          <w:spacing w:val="-3"/>
          <w:lang w:eastAsia="en-GB"/>
        </w:rPr>
        <w:t>a</w:t>
      </w:r>
      <w:r w:rsidRPr="00CE0885">
        <w:rPr>
          <w:spacing w:val="3"/>
          <w:lang w:eastAsia="en-GB"/>
        </w:rPr>
        <w:t>s</w:t>
      </w:r>
      <w:r w:rsidRPr="00CE0885">
        <w:rPr>
          <w:spacing w:val="-3"/>
          <w:lang w:eastAsia="en-GB"/>
        </w:rPr>
        <w:t>o</w:t>
      </w:r>
      <w:r w:rsidRPr="00CE0885">
        <w:rPr>
          <w:spacing w:val="2"/>
          <w:lang w:eastAsia="en-GB"/>
        </w:rPr>
        <w:t>n</w:t>
      </w:r>
      <w:r w:rsidRPr="00CE0885">
        <w:rPr>
          <w:lang w:eastAsia="en-GB"/>
        </w:rPr>
        <w:t>ab</w:t>
      </w:r>
      <w:r w:rsidRPr="00CE0885">
        <w:rPr>
          <w:spacing w:val="3"/>
          <w:lang w:eastAsia="en-GB"/>
        </w:rPr>
        <w:t>l</w:t>
      </w:r>
      <w:r w:rsidRPr="00CE0885">
        <w:rPr>
          <w:lang w:eastAsia="en-GB"/>
        </w:rPr>
        <w:t>y</w:t>
      </w:r>
      <w:r w:rsidRPr="00CE0885">
        <w:rPr>
          <w:spacing w:val="8"/>
          <w:lang w:eastAsia="en-GB"/>
        </w:rPr>
        <w:t xml:space="preserve"> </w:t>
      </w:r>
      <w:r w:rsidRPr="00CE0885">
        <w:rPr>
          <w:spacing w:val="2"/>
          <w:lang w:eastAsia="en-GB"/>
        </w:rPr>
        <w:t>p</w:t>
      </w:r>
      <w:r w:rsidRPr="00CE0885">
        <w:rPr>
          <w:lang w:eastAsia="en-GB"/>
        </w:rPr>
        <w:t>r</w:t>
      </w:r>
      <w:r w:rsidRPr="00CE0885">
        <w:rPr>
          <w:spacing w:val="-3"/>
          <w:lang w:eastAsia="en-GB"/>
        </w:rPr>
        <w:t>a</w:t>
      </w:r>
      <w:r w:rsidRPr="00CE0885">
        <w:rPr>
          <w:spacing w:val="1"/>
          <w:lang w:eastAsia="en-GB"/>
        </w:rPr>
        <w:t>c</w:t>
      </w:r>
      <w:r w:rsidRPr="00CE0885">
        <w:rPr>
          <w:lang w:eastAsia="en-GB"/>
        </w:rPr>
        <w:t>t</w:t>
      </w:r>
      <w:r w:rsidRPr="00CE0885">
        <w:rPr>
          <w:spacing w:val="3"/>
          <w:lang w:eastAsia="en-GB"/>
        </w:rPr>
        <w:t>i</w:t>
      </w:r>
      <w:r w:rsidRPr="00CE0885">
        <w:rPr>
          <w:spacing w:val="-2"/>
          <w:lang w:eastAsia="en-GB"/>
        </w:rPr>
        <w:t>c</w:t>
      </w:r>
      <w:r w:rsidRPr="00CE0885">
        <w:rPr>
          <w:lang w:eastAsia="en-GB"/>
        </w:rPr>
        <w:t>a</w:t>
      </w:r>
      <w:r w:rsidRPr="00CE0885">
        <w:rPr>
          <w:spacing w:val="-3"/>
          <w:lang w:eastAsia="en-GB"/>
        </w:rPr>
        <w:t>b</w:t>
      </w:r>
      <w:r w:rsidRPr="00CE0885">
        <w:rPr>
          <w:spacing w:val="3"/>
          <w:lang w:eastAsia="en-GB"/>
        </w:rPr>
        <w:t>l</w:t>
      </w:r>
      <w:r w:rsidRPr="00CE0885">
        <w:rPr>
          <w:lang w:eastAsia="en-GB"/>
        </w:rPr>
        <w:t>e</w:t>
      </w:r>
      <w:r w:rsidRPr="00CE0885">
        <w:rPr>
          <w:spacing w:val="14"/>
          <w:lang w:eastAsia="en-GB"/>
        </w:rPr>
        <w:t xml:space="preserve"> </w:t>
      </w:r>
      <w:r w:rsidRPr="00CE0885">
        <w:rPr>
          <w:spacing w:val="-3"/>
          <w:lang w:eastAsia="en-GB"/>
        </w:rPr>
        <w:t>o</w:t>
      </w:r>
      <w:r w:rsidRPr="00CE0885">
        <w:rPr>
          <w:lang w:eastAsia="en-GB"/>
        </w:rPr>
        <w:t>f</w:t>
      </w:r>
      <w:r w:rsidRPr="00CE0885">
        <w:rPr>
          <w:spacing w:val="8"/>
          <w:lang w:eastAsia="en-GB"/>
        </w:rPr>
        <w:t xml:space="preserve"> </w:t>
      </w:r>
      <w:r w:rsidRPr="00CE0885">
        <w:rPr>
          <w:lang w:eastAsia="en-GB"/>
        </w:rPr>
        <w:t>t</w:t>
      </w:r>
      <w:r w:rsidRPr="00CE0885">
        <w:rPr>
          <w:spacing w:val="-3"/>
          <w:lang w:eastAsia="en-GB"/>
        </w:rPr>
        <w:t>h</w:t>
      </w:r>
      <w:r w:rsidRPr="00CE0885">
        <w:rPr>
          <w:lang w:eastAsia="en-GB"/>
        </w:rPr>
        <w:t>e</w:t>
      </w:r>
      <w:r w:rsidRPr="00CE0885">
        <w:rPr>
          <w:spacing w:val="4"/>
          <w:lang w:eastAsia="en-GB"/>
        </w:rPr>
        <w:t xml:space="preserve"> </w:t>
      </w:r>
      <w:r w:rsidRPr="00CE0885">
        <w:rPr>
          <w:spacing w:val="2"/>
          <w:lang w:eastAsia="en-GB"/>
        </w:rPr>
        <w:t>d</w:t>
      </w:r>
      <w:r w:rsidRPr="00CE0885">
        <w:rPr>
          <w:spacing w:val="-3"/>
          <w:lang w:eastAsia="en-GB"/>
        </w:rPr>
        <w:t>e</w:t>
      </w:r>
      <w:r w:rsidRPr="00CE0885">
        <w:rPr>
          <w:lang w:eastAsia="en-GB"/>
        </w:rPr>
        <w:t>a</w:t>
      </w:r>
      <w:r w:rsidRPr="00CE0885">
        <w:rPr>
          <w:spacing w:val="2"/>
          <w:lang w:eastAsia="en-GB"/>
        </w:rPr>
        <w:t>t</w:t>
      </w:r>
      <w:r w:rsidRPr="00CE0885">
        <w:rPr>
          <w:lang w:eastAsia="en-GB"/>
        </w:rPr>
        <w:t>h</w:t>
      </w:r>
      <w:r w:rsidRPr="00CE0885">
        <w:rPr>
          <w:spacing w:val="7"/>
          <w:lang w:eastAsia="en-GB"/>
        </w:rPr>
        <w:t xml:space="preserve"> </w:t>
      </w:r>
      <w:r w:rsidRPr="00CE0885">
        <w:rPr>
          <w:spacing w:val="-3"/>
          <w:w w:val="101"/>
          <w:lang w:eastAsia="en-GB"/>
        </w:rPr>
        <w:t>o</w:t>
      </w:r>
      <w:r w:rsidRPr="00CE0885">
        <w:rPr>
          <w:w w:val="101"/>
          <w:lang w:eastAsia="en-GB"/>
        </w:rPr>
        <w:t xml:space="preserve">f </w:t>
      </w:r>
      <w:r w:rsidRPr="00CE0885">
        <w:rPr>
          <w:lang w:eastAsia="en-GB"/>
        </w:rPr>
        <w:t>t</w:t>
      </w:r>
      <w:r w:rsidRPr="00CE0885">
        <w:rPr>
          <w:spacing w:val="-3"/>
          <w:lang w:eastAsia="en-GB"/>
        </w:rPr>
        <w:t>h</w:t>
      </w:r>
      <w:r w:rsidRPr="00CE0885">
        <w:rPr>
          <w:lang w:eastAsia="en-GB"/>
        </w:rPr>
        <w:t>e</w:t>
      </w:r>
      <w:r w:rsidRPr="00CE0885">
        <w:rPr>
          <w:spacing w:val="1"/>
          <w:lang w:eastAsia="en-GB"/>
        </w:rPr>
        <w:t>i</w:t>
      </w:r>
      <w:r w:rsidRPr="00CE0885">
        <w:rPr>
          <w:lang w:eastAsia="en-GB"/>
        </w:rPr>
        <w:t>r</w:t>
      </w:r>
      <w:r w:rsidRPr="00CE0885">
        <w:rPr>
          <w:spacing w:val="6"/>
          <w:lang w:eastAsia="en-GB"/>
        </w:rPr>
        <w:t xml:space="preserve"> </w:t>
      </w:r>
      <w:r w:rsidRPr="00CE0885">
        <w:rPr>
          <w:spacing w:val="-2"/>
          <w:w w:val="101"/>
          <w:lang w:eastAsia="en-GB"/>
        </w:rPr>
        <w:t>c</w:t>
      </w:r>
      <w:r w:rsidRPr="00CE0885">
        <w:rPr>
          <w:w w:val="101"/>
          <w:lang w:eastAsia="en-GB"/>
        </w:rPr>
        <w:t>o-</w:t>
      </w:r>
      <w:r w:rsidRPr="00CE0885">
        <w:rPr>
          <w:spacing w:val="1"/>
          <w:w w:val="101"/>
          <w:lang w:eastAsia="en-GB"/>
        </w:rPr>
        <w:t>si</w:t>
      </w:r>
      <w:r w:rsidRPr="00CE0885">
        <w:rPr>
          <w:spacing w:val="2"/>
          <w:w w:val="101"/>
          <w:lang w:eastAsia="en-GB"/>
        </w:rPr>
        <w:t>g</w:t>
      </w:r>
      <w:r w:rsidRPr="00CE0885">
        <w:rPr>
          <w:spacing w:val="-3"/>
          <w:w w:val="101"/>
          <w:lang w:eastAsia="en-GB"/>
        </w:rPr>
        <w:t>n</w:t>
      </w:r>
      <w:r w:rsidRPr="00CE0885">
        <w:rPr>
          <w:w w:val="101"/>
          <w:lang w:eastAsia="en-GB"/>
        </w:rPr>
        <w:t>a</w:t>
      </w:r>
      <w:r w:rsidRPr="00CE0885">
        <w:rPr>
          <w:spacing w:val="2"/>
          <w:w w:val="101"/>
          <w:lang w:eastAsia="en-GB"/>
        </w:rPr>
        <w:t>t</w:t>
      </w:r>
      <w:r w:rsidRPr="00CE0885">
        <w:rPr>
          <w:spacing w:val="-3"/>
          <w:w w:val="101"/>
          <w:lang w:eastAsia="en-GB"/>
        </w:rPr>
        <w:t>o</w:t>
      </w:r>
      <w:r w:rsidRPr="00CE0885">
        <w:rPr>
          <w:spacing w:val="1"/>
          <w:w w:val="101"/>
          <w:lang w:eastAsia="en-GB"/>
        </w:rPr>
        <w:t>r</w:t>
      </w:r>
      <w:r w:rsidRPr="00CE0885">
        <w:rPr>
          <w:spacing w:val="-2"/>
          <w:w w:val="101"/>
          <w:lang w:eastAsia="en-GB"/>
        </w:rPr>
        <w:t>y</w:t>
      </w:r>
      <w:r w:rsidRPr="00CE0885">
        <w:rPr>
          <w:w w:val="101"/>
          <w:lang w:eastAsia="en-GB"/>
        </w:rPr>
        <w:t xml:space="preserve">. </w:t>
      </w:r>
    </w:p>
    <w:p w14:paraId="04DB2AF1" w14:textId="77777777" w:rsidR="0007271E" w:rsidRPr="00CE0885" w:rsidRDefault="0007271E" w:rsidP="0007271E">
      <w:pPr>
        <w:pStyle w:val="Heading3"/>
        <w:rPr>
          <w:lang w:eastAsia="en-GB"/>
        </w:rPr>
      </w:pPr>
      <w:r w:rsidRPr="00CE0885">
        <w:rPr>
          <w:lang w:eastAsia="en-GB"/>
        </w:rPr>
        <w:t>U</w:t>
      </w:r>
      <w:r w:rsidRPr="00CE0885">
        <w:rPr>
          <w:spacing w:val="-3"/>
          <w:lang w:eastAsia="en-GB"/>
        </w:rPr>
        <w:t>p</w:t>
      </w:r>
      <w:r w:rsidRPr="00CE0885">
        <w:rPr>
          <w:spacing w:val="2"/>
          <w:lang w:eastAsia="en-GB"/>
        </w:rPr>
        <w:t>o</w:t>
      </w:r>
      <w:r w:rsidRPr="00CE0885">
        <w:rPr>
          <w:lang w:eastAsia="en-GB"/>
        </w:rPr>
        <w:t>n</w:t>
      </w:r>
      <w:r w:rsidRPr="00CE0885">
        <w:rPr>
          <w:spacing w:val="3"/>
          <w:lang w:eastAsia="en-GB"/>
        </w:rPr>
        <w:t xml:space="preserve"> </w:t>
      </w:r>
      <w:r w:rsidRPr="00CE0885">
        <w:rPr>
          <w:spacing w:val="4"/>
          <w:lang w:eastAsia="en-GB"/>
        </w:rPr>
        <w:t>r</w:t>
      </w:r>
      <w:r w:rsidRPr="00CE0885">
        <w:rPr>
          <w:spacing w:val="-3"/>
          <w:lang w:eastAsia="en-GB"/>
        </w:rPr>
        <w:t>e</w:t>
      </w:r>
      <w:r w:rsidRPr="00CE0885">
        <w:rPr>
          <w:spacing w:val="1"/>
          <w:lang w:eastAsia="en-GB"/>
        </w:rPr>
        <w:t>c</w:t>
      </w:r>
      <w:r w:rsidRPr="00CE0885">
        <w:rPr>
          <w:spacing w:val="-3"/>
          <w:lang w:eastAsia="en-GB"/>
        </w:rPr>
        <w:t>e</w:t>
      </w:r>
      <w:r w:rsidRPr="00CE0885">
        <w:rPr>
          <w:spacing w:val="3"/>
          <w:lang w:eastAsia="en-GB"/>
        </w:rPr>
        <w:t>i</w:t>
      </w:r>
      <w:r w:rsidRPr="00CE0885">
        <w:rPr>
          <w:spacing w:val="-3"/>
          <w:lang w:eastAsia="en-GB"/>
        </w:rPr>
        <w:t>p</w:t>
      </w:r>
      <w:r w:rsidRPr="00CE0885">
        <w:rPr>
          <w:lang w:eastAsia="en-GB"/>
        </w:rPr>
        <w:t>t</w:t>
      </w:r>
      <w:r w:rsidRPr="00CE0885">
        <w:rPr>
          <w:spacing w:val="10"/>
          <w:lang w:eastAsia="en-GB"/>
        </w:rPr>
        <w:t xml:space="preserve"> </w:t>
      </w:r>
      <w:r w:rsidRPr="00CE0885">
        <w:rPr>
          <w:spacing w:val="-3"/>
          <w:lang w:eastAsia="en-GB"/>
        </w:rPr>
        <w:t>o</w:t>
      </w:r>
      <w:r w:rsidRPr="00CE0885">
        <w:rPr>
          <w:lang w:eastAsia="en-GB"/>
        </w:rPr>
        <w:t>f</w:t>
      </w:r>
      <w:r w:rsidRPr="00CE0885">
        <w:rPr>
          <w:spacing w:val="8"/>
          <w:lang w:eastAsia="en-GB"/>
        </w:rPr>
        <w:t xml:space="preserve"> </w:t>
      </w:r>
      <w:r w:rsidRPr="00CE0885">
        <w:rPr>
          <w:lang w:eastAsia="en-GB"/>
        </w:rPr>
        <w:t>t</w:t>
      </w:r>
      <w:r w:rsidRPr="00CE0885">
        <w:rPr>
          <w:spacing w:val="-3"/>
          <w:lang w:eastAsia="en-GB"/>
        </w:rPr>
        <w:t>h</w:t>
      </w:r>
      <w:r w:rsidRPr="00CE0885">
        <w:rPr>
          <w:lang w:eastAsia="en-GB"/>
        </w:rPr>
        <w:t>e</w:t>
      </w:r>
      <w:r w:rsidRPr="00CE0885">
        <w:rPr>
          <w:spacing w:val="4"/>
          <w:lang w:eastAsia="en-GB"/>
        </w:rPr>
        <w:t xml:space="preserve"> </w:t>
      </w:r>
      <w:r w:rsidRPr="00CE0885">
        <w:rPr>
          <w:spacing w:val="2"/>
          <w:lang w:eastAsia="en-GB"/>
        </w:rPr>
        <w:t>n</w:t>
      </w:r>
      <w:r w:rsidRPr="00CE0885">
        <w:rPr>
          <w:spacing w:val="-3"/>
          <w:lang w:eastAsia="en-GB"/>
        </w:rPr>
        <w:t>o</w:t>
      </w:r>
      <w:r w:rsidRPr="00CE0885">
        <w:rPr>
          <w:spacing w:val="5"/>
          <w:lang w:eastAsia="en-GB"/>
        </w:rPr>
        <w:t>t</w:t>
      </w:r>
      <w:r w:rsidRPr="00CE0885">
        <w:rPr>
          <w:lang w:eastAsia="en-GB"/>
        </w:rPr>
        <w:t>if</w:t>
      </w:r>
      <w:r w:rsidRPr="00CE0885">
        <w:rPr>
          <w:spacing w:val="3"/>
          <w:lang w:eastAsia="en-GB"/>
        </w:rPr>
        <w:t>i</w:t>
      </w:r>
      <w:r w:rsidRPr="00CE0885">
        <w:rPr>
          <w:spacing w:val="-2"/>
          <w:lang w:eastAsia="en-GB"/>
        </w:rPr>
        <w:t>c</w:t>
      </w:r>
      <w:r w:rsidRPr="00CE0885">
        <w:rPr>
          <w:lang w:eastAsia="en-GB"/>
        </w:rPr>
        <w:t>at</w:t>
      </w:r>
      <w:r w:rsidRPr="00CE0885">
        <w:rPr>
          <w:spacing w:val="1"/>
          <w:lang w:eastAsia="en-GB"/>
        </w:rPr>
        <w:t>i</w:t>
      </w:r>
      <w:r w:rsidRPr="00CE0885">
        <w:rPr>
          <w:lang w:eastAsia="en-GB"/>
        </w:rPr>
        <w:t>on</w:t>
      </w:r>
      <w:r w:rsidRPr="00CE0885">
        <w:rPr>
          <w:spacing w:val="12"/>
          <w:lang w:eastAsia="en-GB"/>
        </w:rPr>
        <w:t xml:space="preserve"> </w:t>
      </w:r>
      <w:r w:rsidRPr="00CE0885">
        <w:rPr>
          <w:spacing w:val="2"/>
          <w:lang w:eastAsia="en-GB"/>
        </w:rPr>
        <w:t>f</w:t>
      </w:r>
      <w:r w:rsidRPr="00CE0885">
        <w:rPr>
          <w:lang w:eastAsia="en-GB"/>
        </w:rPr>
        <w:t>rom</w:t>
      </w:r>
      <w:r w:rsidRPr="00CE0885">
        <w:rPr>
          <w:spacing w:val="6"/>
          <w:lang w:eastAsia="en-GB"/>
        </w:rPr>
        <w:t xml:space="preserve"> </w:t>
      </w:r>
      <w:r w:rsidRPr="00CE0885">
        <w:rPr>
          <w:lang w:eastAsia="en-GB"/>
        </w:rPr>
        <w:t>t</w:t>
      </w:r>
      <w:r w:rsidRPr="00CE0885">
        <w:rPr>
          <w:spacing w:val="-3"/>
          <w:lang w:eastAsia="en-GB"/>
        </w:rPr>
        <w:t>h</w:t>
      </w:r>
      <w:r w:rsidRPr="00CE0885">
        <w:rPr>
          <w:lang w:eastAsia="en-GB"/>
        </w:rPr>
        <w:t>e</w:t>
      </w:r>
      <w:r w:rsidRPr="00CE0885">
        <w:rPr>
          <w:spacing w:val="4"/>
          <w:lang w:eastAsia="en-GB"/>
        </w:rPr>
        <w:t xml:space="preserve"> </w:t>
      </w:r>
      <w:r w:rsidRPr="00CE0885">
        <w:rPr>
          <w:spacing w:val="1"/>
          <w:lang w:eastAsia="en-GB"/>
        </w:rPr>
        <w:t>s</w:t>
      </w:r>
      <w:r w:rsidRPr="00CE0885">
        <w:rPr>
          <w:spacing w:val="-3"/>
          <w:lang w:eastAsia="en-GB"/>
        </w:rPr>
        <w:t>u</w:t>
      </w:r>
      <w:r w:rsidRPr="00CE0885">
        <w:rPr>
          <w:spacing w:val="1"/>
          <w:lang w:eastAsia="en-GB"/>
        </w:rPr>
        <w:t>r</w:t>
      </w:r>
      <w:r w:rsidRPr="00CE0885">
        <w:rPr>
          <w:spacing w:val="-2"/>
          <w:lang w:eastAsia="en-GB"/>
        </w:rPr>
        <w:t>v</w:t>
      </w:r>
      <w:r w:rsidRPr="00CE0885">
        <w:rPr>
          <w:spacing w:val="3"/>
          <w:lang w:eastAsia="en-GB"/>
        </w:rPr>
        <w:t>i</w:t>
      </w:r>
      <w:r w:rsidRPr="00CE0885">
        <w:rPr>
          <w:spacing w:val="1"/>
          <w:lang w:eastAsia="en-GB"/>
        </w:rPr>
        <w:t>v</w:t>
      </w:r>
      <w:r w:rsidRPr="00CE0885">
        <w:rPr>
          <w:spacing w:val="3"/>
          <w:lang w:eastAsia="en-GB"/>
        </w:rPr>
        <w:t>i</w:t>
      </w:r>
      <w:r w:rsidRPr="00CE0885">
        <w:rPr>
          <w:spacing w:val="-3"/>
          <w:lang w:eastAsia="en-GB"/>
        </w:rPr>
        <w:t>n</w:t>
      </w:r>
      <w:r w:rsidRPr="00CE0885">
        <w:rPr>
          <w:lang w:eastAsia="en-GB"/>
        </w:rPr>
        <w:t>g</w:t>
      </w:r>
      <w:r w:rsidRPr="00CE0885">
        <w:rPr>
          <w:spacing w:val="10"/>
          <w:lang w:eastAsia="en-GB"/>
        </w:rPr>
        <w:t xml:space="preserve"> </w:t>
      </w:r>
      <w:r w:rsidRPr="00CE0885">
        <w:rPr>
          <w:lang w:eastAsia="en-GB"/>
        </w:rPr>
        <w:t>co-signatory(ies),</w:t>
      </w:r>
      <w:r w:rsidRPr="00CE0885">
        <w:rPr>
          <w:spacing w:val="9"/>
          <w:lang w:eastAsia="en-GB"/>
        </w:rPr>
        <w:t xml:space="preserve"> </w:t>
      </w:r>
      <w:r w:rsidRPr="00CE0885">
        <w:rPr>
          <w:w w:val="101"/>
          <w:lang w:eastAsia="en-GB"/>
        </w:rPr>
        <w:t xml:space="preserve">the </w:t>
      </w:r>
      <w:r w:rsidRPr="00CE0885">
        <w:rPr>
          <w:lang w:eastAsia="en-GB"/>
        </w:rPr>
        <w:t>Commissioner</w:t>
      </w:r>
      <w:r w:rsidRPr="00CE0885">
        <w:rPr>
          <w:spacing w:val="3"/>
          <w:lang w:eastAsia="en-GB"/>
        </w:rPr>
        <w:t xml:space="preserve"> </w:t>
      </w:r>
      <w:r w:rsidRPr="00CE0885">
        <w:rPr>
          <w:spacing w:val="-3"/>
          <w:lang w:eastAsia="en-GB"/>
        </w:rPr>
        <w:t>w</w:t>
      </w:r>
      <w:r w:rsidRPr="00CE0885">
        <w:rPr>
          <w:spacing w:val="3"/>
          <w:lang w:eastAsia="en-GB"/>
        </w:rPr>
        <w:t>i</w:t>
      </w:r>
      <w:r w:rsidRPr="00CE0885">
        <w:rPr>
          <w:lang w:eastAsia="en-GB"/>
        </w:rPr>
        <w:t>ll</w:t>
      </w:r>
      <w:r w:rsidRPr="00CE0885">
        <w:rPr>
          <w:spacing w:val="7"/>
          <w:lang w:eastAsia="en-GB"/>
        </w:rPr>
        <w:t xml:space="preserve"> </w:t>
      </w:r>
      <w:r w:rsidRPr="00CE0885">
        <w:rPr>
          <w:spacing w:val="-3"/>
          <w:lang w:eastAsia="en-GB"/>
        </w:rPr>
        <w:t>n</w:t>
      </w:r>
      <w:r w:rsidRPr="00CE0885">
        <w:rPr>
          <w:lang w:eastAsia="en-GB"/>
        </w:rPr>
        <w:t>eed</w:t>
      </w:r>
      <w:r w:rsidRPr="00CE0885">
        <w:rPr>
          <w:spacing w:val="6"/>
          <w:lang w:eastAsia="en-GB"/>
        </w:rPr>
        <w:t xml:space="preserve"> </w:t>
      </w:r>
      <w:r w:rsidRPr="00CE0885">
        <w:rPr>
          <w:spacing w:val="2"/>
          <w:lang w:eastAsia="en-GB"/>
        </w:rPr>
        <w:t>t</w:t>
      </w:r>
      <w:r w:rsidRPr="00CE0885">
        <w:rPr>
          <w:lang w:eastAsia="en-GB"/>
        </w:rPr>
        <w:t xml:space="preserve">o </w:t>
      </w:r>
      <w:r w:rsidRPr="00CE0885">
        <w:rPr>
          <w:spacing w:val="1"/>
          <w:lang w:eastAsia="en-GB"/>
        </w:rPr>
        <w:t>c</w:t>
      </w:r>
      <w:r w:rsidRPr="00CE0885">
        <w:rPr>
          <w:lang w:eastAsia="en-GB"/>
        </w:rPr>
        <w:t>on</w:t>
      </w:r>
      <w:r w:rsidRPr="00CE0885">
        <w:rPr>
          <w:spacing w:val="1"/>
          <w:lang w:eastAsia="en-GB"/>
        </w:rPr>
        <w:t>si</w:t>
      </w:r>
      <w:r w:rsidRPr="00CE0885">
        <w:rPr>
          <w:spacing w:val="2"/>
          <w:lang w:eastAsia="en-GB"/>
        </w:rPr>
        <w:t>d</w:t>
      </w:r>
      <w:r w:rsidRPr="00CE0885">
        <w:rPr>
          <w:spacing w:val="-3"/>
          <w:lang w:eastAsia="en-GB"/>
        </w:rPr>
        <w:t>e</w:t>
      </w:r>
      <w:r w:rsidRPr="00CE0885">
        <w:rPr>
          <w:lang w:eastAsia="en-GB"/>
        </w:rPr>
        <w:t>r</w:t>
      </w:r>
      <w:r w:rsidRPr="00CE0885">
        <w:rPr>
          <w:spacing w:val="9"/>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spacing w:val="1"/>
          <w:lang w:eastAsia="en-GB"/>
        </w:rPr>
        <w:t>i</w:t>
      </w:r>
      <w:r w:rsidRPr="00CE0885">
        <w:rPr>
          <w:spacing w:val="2"/>
          <w:lang w:eastAsia="en-GB"/>
        </w:rPr>
        <w:t>m</w:t>
      </w:r>
      <w:r w:rsidRPr="00CE0885">
        <w:rPr>
          <w:lang w:eastAsia="en-GB"/>
        </w:rPr>
        <w:t>pl</w:t>
      </w:r>
      <w:r w:rsidRPr="00CE0885">
        <w:rPr>
          <w:spacing w:val="3"/>
          <w:lang w:eastAsia="en-GB"/>
        </w:rPr>
        <w:t>i</w:t>
      </w:r>
      <w:r w:rsidRPr="00CE0885">
        <w:rPr>
          <w:spacing w:val="-2"/>
          <w:lang w:eastAsia="en-GB"/>
        </w:rPr>
        <w:t>c</w:t>
      </w:r>
      <w:r w:rsidRPr="00CE0885">
        <w:rPr>
          <w:lang w:eastAsia="en-GB"/>
        </w:rPr>
        <w:t>at</w:t>
      </w:r>
      <w:r w:rsidRPr="00CE0885">
        <w:rPr>
          <w:spacing w:val="1"/>
          <w:lang w:eastAsia="en-GB"/>
        </w:rPr>
        <w:t>i</w:t>
      </w:r>
      <w:r w:rsidRPr="00CE0885">
        <w:rPr>
          <w:lang w:eastAsia="en-GB"/>
        </w:rPr>
        <w:t>o</w:t>
      </w:r>
      <w:r w:rsidRPr="00CE0885">
        <w:rPr>
          <w:spacing w:val="-3"/>
          <w:lang w:eastAsia="en-GB"/>
        </w:rPr>
        <w:t>n</w:t>
      </w:r>
      <w:r w:rsidRPr="00CE0885">
        <w:rPr>
          <w:lang w:eastAsia="en-GB"/>
        </w:rPr>
        <w:t>s</w:t>
      </w:r>
      <w:r w:rsidRPr="00CE0885">
        <w:rPr>
          <w:spacing w:val="14"/>
          <w:lang w:eastAsia="en-GB"/>
        </w:rPr>
        <w:t xml:space="preserve"> </w:t>
      </w:r>
      <w:r w:rsidRPr="00CE0885">
        <w:rPr>
          <w:spacing w:val="2"/>
          <w:lang w:eastAsia="en-GB"/>
        </w:rPr>
        <w:t>t</w:t>
      </w:r>
      <w:r w:rsidRPr="00CE0885">
        <w:rPr>
          <w:spacing w:val="-3"/>
          <w:lang w:eastAsia="en-GB"/>
        </w:rPr>
        <w:t>h</w:t>
      </w:r>
      <w:r w:rsidRPr="00CE0885">
        <w:rPr>
          <w:lang w:eastAsia="en-GB"/>
        </w:rPr>
        <w:t>at</w:t>
      </w:r>
      <w:r w:rsidRPr="00CE0885">
        <w:rPr>
          <w:spacing w:val="7"/>
          <w:lang w:eastAsia="en-GB"/>
        </w:rPr>
        <w:t xml:space="preserve"> </w:t>
      </w:r>
      <w:r w:rsidRPr="00CE0885">
        <w:rPr>
          <w:lang w:eastAsia="en-GB"/>
        </w:rPr>
        <w:t>the</w:t>
      </w:r>
      <w:r w:rsidRPr="00CE0885">
        <w:rPr>
          <w:spacing w:val="4"/>
          <w:lang w:eastAsia="en-GB"/>
        </w:rPr>
        <w:t xml:space="preserve"> </w:t>
      </w:r>
      <w:r w:rsidRPr="00CE0885">
        <w:rPr>
          <w:lang w:eastAsia="en-GB"/>
        </w:rPr>
        <w:t>de</w:t>
      </w:r>
      <w:r w:rsidRPr="00CE0885">
        <w:rPr>
          <w:spacing w:val="-3"/>
          <w:lang w:eastAsia="en-GB"/>
        </w:rPr>
        <w:t>a</w:t>
      </w:r>
      <w:r w:rsidRPr="00CE0885">
        <w:rPr>
          <w:spacing w:val="5"/>
          <w:lang w:eastAsia="en-GB"/>
        </w:rPr>
        <w:t>t</w:t>
      </w:r>
      <w:r w:rsidRPr="00CE0885">
        <w:rPr>
          <w:lang w:eastAsia="en-GB"/>
        </w:rPr>
        <w:t>h</w:t>
      </w:r>
      <w:r w:rsidRPr="00CE0885">
        <w:rPr>
          <w:spacing w:val="4"/>
          <w:lang w:eastAsia="en-GB"/>
        </w:rPr>
        <w:t xml:space="preserve"> </w:t>
      </w:r>
      <w:r w:rsidRPr="00CE0885">
        <w:rPr>
          <w:lang w:eastAsia="en-GB"/>
        </w:rPr>
        <w:t>of</w:t>
      </w:r>
      <w:r w:rsidRPr="00CE0885">
        <w:rPr>
          <w:spacing w:val="5"/>
          <w:lang w:eastAsia="en-GB"/>
        </w:rPr>
        <w:t xml:space="preserve"> </w:t>
      </w:r>
      <w:r w:rsidRPr="00CE0885">
        <w:rPr>
          <w:spacing w:val="2"/>
          <w:lang w:eastAsia="en-GB"/>
        </w:rPr>
        <w:t>t</w:t>
      </w:r>
      <w:r w:rsidRPr="00CE0885">
        <w:rPr>
          <w:spacing w:val="-3"/>
          <w:lang w:eastAsia="en-GB"/>
        </w:rPr>
        <w:t>h</w:t>
      </w:r>
      <w:r w:rsidRPr="00CE0885">
        <w:rPr>
          <w:lang w:eastAsia="en-GB"/>
        </w:rPr>
        <w:t>e</w:t>
      </w:r>
      <w:r w:rsidRPr="00CE0885">
        <w:rPr>
          <w:spacing w:val="4"/>
          <w:lang w:eastAsia="en-GB"/>
        </w:rPr>
        <w:t xml:space="preserve"> co-</w:t>
      </w:r>
      <w:r w:rsidRPr="00CE0885">
        <w:rPr>
          <w:spacing w:val="1"/>
          <w:lang w:eastAsia="en-GB"/>
        </w:rPr>
        <w:t>si</w:t>
      </w:r>
      <w:r w:rsidRPr="00CE0885">
        <w:rPr>
          <w:spacing w:val="-3"/>
          <w:lang w:eastAsia="en-GB"/>
        </w:rPr>
        <w:t>g</w:t>
      </w:r>
      <w:r w:rsidRPr="00CE0885">
        <w:rPr>
          <w:spacing w:val="2"/>
          <w:lang w:eastAsia="en-GB"/>
        </w:rPr>
        <w:t>n</w:t>
      </w:r>
      <w:r w:rsidRPr="00CE0885">
        <w:rPr>
          <w:lang w:eastAsia="en-GB"/>
        </w:rPr>
        <w:t>a</w:t>
      </w:r>
      <w:r w:rsidRPr="00CE0885">
        <w:rPr>
          <w:spacing w:val="2"/>
          <w:lang w:eastAsia="en-GB"/>
        </w:rPr>
        <w:t>t</w:t>
      </w:r>
      <w:r w:rsidRPr="00CE0885">
        <w:rPr>
          <w:spacing w:val="-3"/>
          <w:lang w:eastAsia="en-GB"/>
        </w:rPr>
        <w:t>o</w:t>
      </w:r>
      <w:r w:rsidRPr="00CE0885">
        <w:rPr>
          <w:spacing w:val="1"/>
          <w:lang w:eastAsia="en-GB"/>
        </w:rPr>
        <w:t>r</w:t>
      </w:r>
      <w:r w:rsidRPr="00CE0885">
        <w:rPr>
          <w:lang w:eastAsia="en-GB"/>
        </w:rPr>
        <w:t>y</w:t>
      </w:r>
      <w:r w:rsidRPr="00CE0885">
        <w:rPr>
          <w:spacing w:val="11"/>
          <w:lang w:eastAsia="en-GB"/>
        </w:rPr>
        <w:t xml:space="preserve"> </w:t>
      </w:r>
      <w:r w:rsidRPr="00CE0885">
        <w:rPr>
          <w:spacing w:val="-3"/>
          <w:w w:val="101"/>
          <w:lang w:eastAsia="en-GB"/>
        </w:rPr>
        <w:t>w</w:t>
      </w:r>
      <w:r w:rsidRPr="00CE0885">
        <w:rPr>
          <w:spacing w:val="3"/>
          <w:w w:val="101"/>
          <w:lang w:eastAsia="en-GB"/>
        </w:rPr>
        <w:t>i</w:t>
      </w:r>
      <w:r w:rsidRPr="00CE0885">
        <w:rPr>
          <w:spacing w:val="1"/>
          <w:w w:val="101"/>
          <w:lang w:eastAsia="en-GB"/>
        </w:rPr>
        <w:t>l</w:t>
      </w:r>
      <w:r w:rsidRPr="00CE0885">
        <w:rPr>
          <w:w w:val="101"/>
          <w:lang w:eastAsia="en-GB"/>
        </w:rPr>
        <w:t xml:space="preserve">l </w:t>
      </w:r>
      <w:r w:rsidRPr="00CE0885">
        <w:rPr>
          <w:spacing w:val="-3"/>
          <w:lang w:eastAsia="en-GB"/>
        </w:rPr>
        <w:t>h</w:t>
      </w:r>
      <w:r w:rsidRPr="00CE0885">
        <w:rPr>
          <w:lang w:eastAsia="en-GB"/>
        </w:rPr>
        <w:t>a</w:t>
      </w:r>
      <w:r w:rsidRPr="00CE0885">
        <w:rPr>
          <w:spacing w:val="1"/>
          <w:lang w:eastAsia="en-GB"/>
        </w:rPr>
        <w:t>v</w:t>
      </w:r>
      <w:r w:rsidRPr="00CE0885">
        <w:rPr>
          <w:lang w:eastAsia="en-GB"/>
        </w:rPr>
        <w:t>e</w:t>
      </w:r>
      <w:r w:rsidRPr="00CE0885">
        <w:rPr>
          <w:spacing w:val="6"/>
          <w:lang w:eastAsia="en-GB"/>
        </w:rPr>
        <w:t xml:space="preserve"> </w:t>
      </w:r>
      <w:r w:rsidRPr="00CE0885">
        <w:rPr>
          <w:spacing w:val="2"/>
          <w:lang w:eastAsia="en-GB"/>
        </w:rPr>
        <w:t>o</w:t>
      </w:r>
      <w:r w:rsidRPr="00CE0885">
        <w:rPr>
          <w:lang w:eastAsia="en-GB"/>
        </w:rPr>
        <w:t>n</w:t>
      </w:r>
      <w:r w:rsidRPr="00CE0885">
        <w:rPr>
          <w:spacing w:val="1"/>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ongo</w:t>
      </w:r>
      <w:r w:rsidRPr="00CE0885">
        <w:rPr>
          <w:spacing w:val="1"/>
          <w:lang w:eastAsia="en-GB"/>
        </w:rPr>
        <w:t>i</w:t>
      </w:r>
      <w:r w:rsidRPr="00CE0885">
        <w:rPr>
          <w:lang w:eastAsia="en-GB"/>
        </w:rPr>
        <w:t>ng</w:t>
      </w:r>
      <w:r w:rsidRPr="00CE0885">
        <w:rPr>
          <w:spacing w:val="11"/>
          <w:lang w:eastAsia="en-GB"/>
        </w:rPr>
        <w:t xml:space="preserve"> </w:t>
      </w:r>
      <w:r w:rsidRPr="00CE0885">
        <w:rPr>
          <w:spacing w:val="-3"/>
          <w:lang w:eastAsia="en-GB"/>
        </w:rPr>
        <w:t>p</w:t>
      </w:r>
      <w:r w:rsidRPr="00CE0885">
        <w:rPr>
          <w:spacing w:val="1"/>
          <w:lang w:eastAsia="en-GB"/>
        </w:rPr>
        <w:t>r</w:t>
      </w:r>
      <w:r w:rsidRPr="00CE0885">
        <w:rPr>
          <w:lang w:eastAsia="en-GB"/>
        </w:rPr>
        <w:t>o</w:t>
      </w:r>
      <w:r w:rsidRPr="00CE0885">
        <w:rPr>
          <w:spacing w:val="-2"/>
          <w:lang w:eastAsia="en-GB"/>
        </w:rPr>
        <w:t>v</w:t>
      </w:r>
      <w:r w:rsidRPr="00CE0885">
        <w:rPr>
          <w:spacing w:val="3"/>
          <w:lang w:eastAsia="en-GB"/>
        </w:rPr>
        <w:t>i</w:t>
      </w:r>
      <w:r w:rsidRPr="00CE0885">
        <w:rPr>
          <w:spacing w:val="1"/>
          <w:lang w:eastAsia="en-GB"/>
        </w:rPr>
        <w:t>si</w:t>
      </w:r>
      <w:r w:rsidRPr="00CE0885">
        <w:rPr>
          <w:spacing w:val="-3"/>
          <w:lang w:eastAsia="en-GB"/>
        </w:rPr>
        <w:t>o</w:t>
      </w:r>
      <w:r w:rsidRPr="00CE0885">
        <w:rPr>
          <w:lang w:eastAsia="en-GB"/>
        </w:rPr>
        <w:t>n</w:t>
      </w:r>
      <w:r w:rsidRPr="00CE0885">
        <w:rPr>
          <w:spacing w:val="10"/>
          <w:lang w:eastAsia="en-GB"/>
        </w:rPr>
        <w:t xml:space="preserve"> </w:t>
      </w:r>
      <w:r w:rsidRPr="00CE0885">
        <w:rPr>
          <w:lang w:eastAsia="en-GB"/>
        </w:rPr>
        <w:t>of</w:t>
      </w:r>
      <w:r w:rsidRPr="00CE0885">
        <w:rPr>
          <w:spacing w:val="5"/>
          <w:lang w:eastAsia="en-GB"/>
        </w:rPr>
        <w:t xml:space="preserve"> </w:t>
      </w:r>
      <w:r w:rsidRPr="00CE0885">
        <w:rPr>
          <w:spacing w:val="1"/>
          <w:lang w:eastAsia="en-GB"/>
        </w:rPr>
        <w:t>s</w:t>
      </w:r>
      <w:r w:rsidRPr="00CE0885">
        <w:rPr>
          <w:spacing w:val="-3"/>
          <w:lang w:eastAsia="en-GB"/>
        </w:rPr>
        <w:t>e</w:t>
      </w:r>
      <w:r w:rsidRPr="00CE0885">
        <w:rPr>
          <w:spacing w:val="1"/>
          <w:lang w:eastAsia="en-GB"/>
        </w:rPr>
        <w:t>r</w:t>
      </w:r>
      <w:r w:rsidRPr="00CE0885">
        <w:rPr>
          <w:spacing w:val="-2"/>
          <w:lang w:eastAsia="en-GB"/>
        </w:rPr>
        <w:t>v</w:t>
      </w:r>
      <w:r w:rsidRPr="00CE0885">
        <w:rPr>
          <w:spacing w:val="3"/>
          <w:lang w:eastAsia="en-GB"/>
        </w:rPr>
        <w:t>i</w:t>
      </w:r>
      <w:r w:rsidRPr="00CE0885">
        <w:rPr>
          <w:spacing w:val="-2"/>
          <w:lang w:eastAsia="en-GB"/>
        </w:rPr>
        <w:t>c</w:t>
      </w:r>
      <w:r w:rsidRPr="00CE0885">
        <w:rPr>
          <w:lang w:eastAsia="en-GB"/>
        </w:rPr>
        <w:t>es</w:t>
      </w:r>
      <w:r w:rsidRPr="00CE0885">
        <w:rPr>
          <w:spacing w:val="10"/>
          <w:lang w:eastAsia="en-GB"/>
        </w:rPr>
        <w:t xml:space="preserve"> </w:t>
      </w:r>
      <w:r w:rsidRPr="00CE0885">
        <w:rPr>
          <w:lang w:eastAsia="en-GB"/>
        </w:rPr>
        <w:t>under</w:t>
      </w:r>
      <w:r w:rsidRPr="00CE0885">
        <w:rPr>
          <w:spacing w:val="6"/>
          <w:lang w:eastAsia="en-GB"/>
        </w:rPr>
        <w:t xml:space="preserve"> </w:t>
      </w:r>
      <w:r w:rsidRPr="00CE0885">
        <w:rPr>
          <w:lang w:eastAsia="en-GB"/>
        </w:rPr>
        <w:t>th</w:t>
      </w:r>
      <w:r w:rsidRPr="00CE0885">
        <w:rPr>
          <w:spacing w:val="1"/>
          <w:lang w:eastAsia="en-GB"/>
        </w:rPr>
        <w:t>e</w:t>
      </w:r>
      <w:r w:rsidRPr="00CE0885">
        <w:rPr>
          <w:spacing w:val="6"/>
          <w:lang w:eastAsia="en-GB"/>
        </w:rPr>
        <w:t xml:space="preserve"> </w:t>
      </w:r>
      <w:r w:rsidRPr="00CE0885">
        <w:rPr>
          <w:lang w:eastAsia="en-GB"/>
        </w:rPr>
        <w:t>agr</w:t>
      </w:r>
      <w:r w:rsidRPr="00CE0885">
        <w:rPr>
          <w:spacing w:val="2"/>
          <w:lang w:eastAsia="en-GB"/>
        </w:rPr>
        <w:t>e</w:t>
      </w:r>
      <w:r w:rsidRPr="00CE0885">
        <w:rPr>
          <w:spacing w:val="-3"/>
          <w:lang w:eastAsia="en-GB"/>
        </w:rPr>
        <w:t>e</w:t>
      </w:r>
      <w:r w:rsidRPr="00CE0885">
        <w:rPr>
          <w:spacing w:val="2"/>
          <w:lang w:eastAsia="en-GB"/>
        </w:rPr>
        <w:t>m</w:t>
      </w:r>
      <w:r w:rsidRPr="00CE0885">
        <w:rPr>
          <w:lang w:eastAsia="en-GB"/>
        </w:rPr>
        <w:t>e</w:t>
      </w:r>
      <w:r w:rsidRPr="00CE0885">
        <w:rPr>
          <w:spacing w:val="-3"/>
          <w:lang w:eastAsia="en-GB"/>
        </w:rPr>
        <w:t>n</w:t>
      </w:r>
      <w:r w:rsidRPr="00CE0885">
        <w:rPr>
          <w:spacing w:val="2"/>
          <w:lang w:eastAsia="en-GB"/>
        </w:rPr>
        <w:t>t.</w:t>
      </w:r>
    </w:p>
    <w:p w14:paraId="670B04DD" w14:textId="77777777" w:rsidR="0007271E" w:rsidRPr="00CE0885" w:rsidRDefault="0007271E" w:rsidP="0007271E">
      <w:pPr>
        <w:pStyle w:val="Heading3"/>
        <w:rPr>
          <w:lang w:eastAsia="en-GB"/>
        </w:rPr>
      </w:pPr>
      <w:r w:rsidRPr="00CE0885">
        <w:rPr>
          <w:lang w:eastAsia="en-GB"/>
        </w:rPr>
        <w:t>Where the Commissioner</w:t>
      </w:r>
      <w:r w:rsidRPr="00CE0885">
        <w:rPr>
          <w:w w:val="101"/>
          <w:lang w:eastAsia="en-GB"/>
        </w:rPr>
        <w:t xml:space="preserve"> </w:t>
      </w:r>
      <w:r w:rsidRPr="00CE0885">
        <w:rPr>
          <w:spacing w:val="1"/>
          <w:lang w:eastAsia="en-GB"/>
        </w:rPr>
        <w:t>i</w:t>
      </w:r>
      <w:r w:rsidRPr="00CE0885">
        <w:rPr>
          <w:lang w:eastAsia="en-GB"/>
        </w:rPr>
        <w:t>s</w:t>
      </w:r>
      <w:r w:rsidRPr="00CE0885">
        <w:rPr>
          <w:spacing w:val="4"/>
          <w:lang w:eastAsia="en-GB"/>
        </w:rPr>
        <w:t xml:space="preserve"> </w:t>
      </w:r>
      <w:r w:rsidRPr="00CE0885">
        <w:rPr>
          <w:spacing w:val="3"/>
          <w:lang w:eastAsia="en-GB"/>
        </w:rPr>
        <w:t>s</w:t>
      </w:r>
      <w:r w:rsidRPr="00CE0885">
        <w:rPr>
          <w:lang w:eastAsia="en-GB"/>
        </w:rPr>
        <w:t>at</w:t>
      </w:r>
      <w:r w:rsidRPr="00CE0885">
        <w:rPr>
          <w:spacing w:val="1"/>
          <w:lang w:eastAsia="en-GB"/>
        </w:rPr>
        <w:t>is</w:t>
      </w:r>
      <w:r w:rsidRPr="00CE0885">
        <w:rPr>
          <w:lang w:eastAsia="en-GB"/>
        </w:rPr>
        <w:t>f</w:t>
      </w:r>
      <w:r w:rsidRPr="00CE0885">
        <w:rPr>
          <w:spacing w:val="1"/>
          <w:lang w:eastAsia="en-GB"/>
        </w:rPr>
        <w:t>i</w:t>
      </w:r>
      <w:r w:rsidRPr="00CE0885">
        <w:rPr>
          <w:spacing w:val="-3"/>
          <w:lang w:eastAsia="en-GB"/>
        </w:rPr>
        <w:t>e</w:t>
      </w:r>
      <w:r w:rsidRPr="00CE0885">
        <w:rPr>
          <w:lang w:eastAsia="en-GB"/>
        </w:rPr>
        <w:t>d</w:t>
      </w:r>
      <w:r w:rsidRPr="00CE0885">
        <w:rPr>
          <w:spacing w:val="9"/>
          <w:lang w:eastAsia="en-GB"/>
        </w:rPr>
        <w:t xml:space="preserve"> </w:t>
      </w:r>
      <w:r w:rsidRPr="00CE0885">
        <w:rPr>
          <w:lang w:eastAsia="en-GB"/>
        </w:rPr>
        <w:t>t</w:t>
      </w:r>
      <w:r w:rsidRPr="00CE0885">
        <w:rPr>
          <w:spacing w:val="2"/>
          <w:lang w:eastAsia="en-GB"/>
        </w:rPr>
        <w:t>h</w:t>
      </w:r>
      <w:r w:rsidRPr="00CE0885">
        <w:rPr>
          <w:spacing w:val="-3"/>
          <w:lang w:eastAsia="en-GB"/>
        </w:rPr>
        <w:t>a</w:t>
      </w:r>
      <w:r w:rsidRPr="00CE0885">
        <w:rPr>
          <w:lang w:eastAsia="en-GB"/>
        </w:rPr>
        <w:t>t</w:t>
      </w:r>
      <w:r w:rsidRPr="00CE0885">
        <w:rPr>
          <w:spacing w:val="7"/>
          <w:lang w:eastAsia="en-GB"/>
        </w:rPr>
        <w:t xml:space="preserve"> </w:t>
      </w:r>
      <w:r w:rsidRPr="00CE0885">
        <w:rPr>
          <w:lang w:eastAsia="en-GB"/>
        </w:rPr>
        <w:t>the</w:t>
      </w:r>
      <w:r w:rsidRPr="00CE0885">
        <w:rPr>
          <w:spacing w:val="4"/>
          <w:lang w:eastAsia="en-GB"/>
        </w:rPr>
        <w:t xml:space="preserve"> </w:t>
      </w:r>
      <w:r w:rsidRPr="00CE0885">
        <w:rPr>
          <w:lang w:eastAsia="en-GB"/>
        </w:rPr>
        <w:t>re</w:t>
      </w:r>
      <w:r w:rsidRPr="00CE0885">
        <w:rPr>
          <w:spacing w:val="2"/>
          <w:lang w:eastAsia="en-GB"/>
        </w:rPr>
        <w:t>m</w:t>
      </w:r>
      <w:r w:rsidRPr="00CE0885">
        <w:rPr>
          <w:spacing w:val="-3"/>
          <w:lang w:eastAsia="en-GB"/>
        </w:rPr>
        <w:t>a</w:t>
      </w:r>
      <w:r w:rsidRPr="00CE0885">
        <w:rPr>
          <w:spacing w:val="3"/>
          <w:lang w:eastAsia="en-GB"/>
        </w:rPr>
        <w:t>i</w:t>
      </w:r>
      <w:r w:rsidRPr="00CE0885">
        <w:rPr>
          <w:spacing w:val="-3"/>
          <w:lang w:eastAsia="en-GB"/>
        </w:rPr>
        <w:t>n</w:t>
      </w:r>
      <w:r w:rsidRPr="00CE0885">
        <w:rPr>
          <w:spacing w:val="3"/>
          <w:lang w:eastAsia="en-GB"/>
        </w:rPr>
        <w:t>i</w:t>
      </w:r>
      <w:r w:rsidRPr="00CE0885">
        <w:rPr>
          <w:lang w:eastAsia="en-GB"/>
        </w:rPr>
        <w:t>ng</w:t>
      </w:r>
      <w:r w:rsidRPr="00CE0885">
        <w:rPr>
          <w:spacing w:val="11"/>
          <w:lang w:eastAsia="en-GB"/>
        </w:rPr>
        <w:t xml:space="preserve"> </w:t>
      </w:r>
      <w:r w:rsidRPr="00CE0885">
        <w:rPr>
          <w:spacing w:val="-2"/>
          <w:lang w:eastAsia="en-GB"/>
        </w:rPr>
        <w:t>s</w:t>
      </w:r>
      <w:r w:rsidRPr="00CE0885">
        <w:rPr>
          <w:spacing w:val="3"/>
          <w:lang w:eastAsia="en-GB"/>
        </w:rPr>
        <w:t>i</w:t>
      </w:r>
      <w:r w:rsidRPr="00CE0885">
        <w:rPr>
          <w:spacing w:val="-3"/>
          <w:lang w:eastAsia="en-GB"/>
        </w:rPr>
        <w:t>g</w:t>
      </w:r>
      <w:r w:rsidRPr="00CE0885">
        <w:rPr>
          <w:lang w:eastAsia="en-GB"/>
        </w:rPr>
        <w:t>n</w:t>
      </w:r>
      <w:r w:rsidRPr="00CE0885">
        <w:rPr>
          <w:spacing w:val="-3"/>
          <w:lang w:eastAsia="en-GB"/>
        </w:rPr>
        <w:t>a</w:t>
      </w:r>
      <w:r w:rsidRPr="00CE0885">
        <w:rPr>
          <w:spacing w:val="2"/>
          <w:lang w:eastAsia="en-GB"/>
        </w:rPr>
        <w:t>t</w:t>
      </w:r>
      <w:r w:rsidRPr="00CE0885">
        <w:rPr>
          <w:lang w:eastAsia="en-GB"/>
        </w:rPr>
        <w:t>o</w:t>
      </w:r>
      <w:r w:rsidRPr="00CE0885">
        <w:rPr>
          <w:spacing w:val="1"/>
          <w:lang w:eastAsia="en-GB"/>
        </w:rPr>
        <w:t>r</w:t>
      </w:r>
      <w:r w:rsidRPr="00CE0885">
        <w:rPr>
          <w:lang w:eastAsia="en-GB"/>
        </w:rPr>
        <w:t>y(ies)</w:t>
      </w:r>
      <w:r w:rsidRPr="00CE0885">
        <w:rPr>
          <w:spacing w:val="8"/>
          <w:lang w:eastAsia="en-GB"/>
        </w:rPr>
        <w:t xml:space="preserve"> </w:t>
      </w:r>
      <w:r w:rsidRPr="00CE0885">
        <w:rPr>
          <w:lang w:eastAsia="en-GB"/>
        </w:rPr>
        <w:t>is</w:t>
      </w:r>
      <w:r w:rsidRPr="00CE0885">
        <w:rPr>
          <w:spacing w:val="4"/>
          <w:lang w:eastAsia="en-GB"/>
        </w:rPr>
        <w:t xml:space="preserve"> </w:t>
      </w:r>
      <w:r w:rsidRPr="00CE0885">
        <w:rPr>
          <w:lang w:eastAsia="en-GB"/>
        </w:rPr>
        <w:t>e</w:t>
      </w:r>
      <w:r w:rsidRPr="00CE0885">
        <w:rPr>
          <w:spacing w:val="1"/>
          <w:lang w:eastAsia="en-GB"/>
        </w:rPr>
        <w:t>l</w:t>
      </w:r>
      <w:r w:rsidRPr="00CE0885">
        <w:rPr>
          <w:spacing w:val="3"/>
          <w:lang w:eastAsia="en-GB"/>
        </w:rPr>
        <w:t>i</w:t>
      </w:r>
      <w:r w:rsidRPr="00CE0885">
        <w:rPr>
          <w:spacing w:val="-3"/>
          <w:lang w:eastAsia="en-GB"/>
        </w:rPr>
        <w:t>g</w:t>
      </w:r>
      <w:r w:rsidRPr="00CE0885">
        <w:rPr>
          <w:spacing w:val="3"/>
          <w:lang w:eastAsia="en-GB"/>
        </w:rPr>
        <w:t>i</w:t>
      </w:r>
      <w:r w:rsidRPr="00CE0885">
        <w:rPr>
          <w:spacing w:val="-3"/>
          <w:lang w:eastAsia="en-GB"/>
        </w:rPr>
        <w:t>b</w:t>
      </w:r>
      <w:r w:rsidRPr="00CE0885">
        <w:rPr>
          <w:spacing w:val="1"/>
          <w:lang w:eastAsia="en-GB"/>
        </w:rPr>
        <w:t>l</w:t>
      </w:r>
      <w:r w:rsidRPr="00CE0885">
        <w:rPr>
          <w:lang w:eastAsia="en-GB"/>
        </w:rPr>
        <w:t>e</w:t>
      </w:r>
      <w:r w:rsidRPr="00CE0885">
        <w:rPr>
          <w:spacing w:val="5"/>
          <w:lang w:eastAsia="en-GB"/>
        </w:rPr>
        <w:t xml:space="preserve"> </w:t>
      </w:r>
      <w:r w:rsidRPr="00CE0885">
        <w:rPr>
          <w:spacing w:val="2"/>
          <w:w w:val="101"/>
          <w:lang w:eastAsia="en-GB"/>
        </w:rPr>
        <w:t>t</w:t>
      </w:r>
      <w:r w:rsidRPr="00CE0885">
        <w:rPr>
          <w:w w:val="101"/>
          <w:lang w:eastAsia="en-GB"/>
        </w:rPr>
        <w:t xml:space="preserve">o </w:t>
      </w:r>
      <w:r w:rsidRPr="00CE0885">
        <w:rPr>
          <w:spacing w:val="-3"/>
          <w:w w:val="101"/>
          <w:lang w:eastAsia="en-GB"/>
        </w:rPr>
        <w:t>h</w:t>
      </w:r>
      <w:r w:rsidRPr="00CE0885">
        <w:rPr>
          <w:w w:val="101"/>
          <w:lang w:eastAsia="en-GB"/>
        </w:rPr>
        <w:t>o</w:t>
      </w:r>
      <w:r w:rsidRPr="00CE0885">
        <w:rPr>
          <w:spacing w:val="1"/>
          <w:w w:val="101"/>
          <w:lang w:eastAsia="en-GB"/>
        </w:rPr>
        <w:t>l</w:t>
      </w:r>
      <w:r w:rsidRPr="00CE0885">
        <w:rPr>
          <w:w w:val="101"/>
          <w:lang w:eastAsia="en-GB"/>
        </w:rPr>
        <w:t>d</w:t>
      </w:r>
      <w:r w:rsidRPr="00CE0885">
        <w:rPr>
          <w:spacing w:val="1"/>
          <w:lang w:eastAsia="en-GB"/>
        </w:rPr>
        <w:t xml:space="preserve"> </w:t>
      </w:r>
      <w:r w:rsidRPr="00CE0885">
        <w:rPr>
          <w:lang w:eastAsia="en-GB"/>
        </w:rPr>
        <w:t>t</w:t>
      </w:r>
      <w:r w:rsidRPr="00CE0885">
        <w:rPr>
          <w:spacing w:val="2"/>
          <w:lang w:eastAsia="en-GB"/>
        </w:rPr>
        <w:t>h</w:t>
      </w:r>
      <w:r w:rsidRPr="00CE0885">
        <w:rPr>
          <w:lang w:eastAsia="en-GB"/>
        </w:rPr>
        <w:t>e</w:t>
      </w:r>
      <w:r w:rsidRPr="00CE0885">
        <w:rPr>
          <w:spacing w:val="1"/>
          <w:lang w:eastAsia="en-GB"/>
        </w:rPr>
        <w:t xml:space="preserve"> agreement</w:t>
      </w:r>
      <w:r w:rsidRPr="00CE0885">
        <w:rPr>
          <w:spacing w:val="9"/>
          <w:lang w:eastAsia="en-GB"/>
        </w:rPr>
        <w:t xml:space="preserve"> </w:t>
      </w:r>
      <w:r w:rsidRPr="00CE0885">
        <w:rPr>
          <w:lang w:eastAsia="en-GB"/>
        </w:rPr>
        <w:t>and</w:t>
      </w:r>
      <w:r w:rsidRPr="00CE0885">
        <w:rPr>
          <w:spacing w:val="5"/>
          <w:lang w:eastAsia="en-GB"/>
        </w:rPr>
        <w:t xml:space="preserve"> </w:t>
      </w:r>
      <w:r w:rsidRPr="00CE0885">
        <w:rPr>
          <w:lang w:eastAsia="en-GB"/>
        </w:rPr>
        <w:t>ag</w:t>
      </w:r>
      <w:r w:rsidRPr="00CE0885">
        <w:rPr>
          <w:spacing w:val="1"/>
          <w:lang w:eastAsia="en-GB"/>
        </w:rPr>
        <w:t>r</w:t>
      </w:r>
      <w:r w:rsidRPr="00CE0885">
        <w:rPr>
          <w:lang w:eastAsia="en-GB"/>
        </w:rPr>
        <w:t>ees</w:t>
      </w:r>
      <w:r w:rsidRPr="00CE0885">
        <w:rPr>
          <w:spacing w:val="4"/>
          <w:lang w:eastAsia="en-GB"/>
        </w:rPr>
        <w:t xml:space="preserve"> </w:t>
      </w:r>
      <w:r w:rsidRPr="00CE0885">
        <w:rPr>
          <w:spacing w:val="2"/>
          <w:lang w:eastAsia="en-GB"/>
        </w:rPr>
        <w:t>t</w:t>
      </w:r>
      <w:r w:rsidRPr="00CE0885">
        <w:rPr>
          <w:lang w:eastAsia="en-GB"/>
        </w:rPr>
        <w:t>hat</w:t>
      </w:r>
      <w:r w:rsidRPr="00CE0885">
        <w:rPr>
          <w:spacing w:val="5"/>
          <w:lang w:eastAsia="en-GB"/>
        </w:rPr>
        <w:t xml:space="preserve"> </w:t>
      </w:r>
      <w:r w:rsidRPr="00CE0885">
        <w:rPr>
          <w:lang w:eastAsia="en-GB"/>
        </w:rPr>
        <w:t>t</w:t>
      </w:r>
      <w:r w:rsidRPr="00CE0885">
        <w:rPr>
          <w:spacing w:val="2"/>
          <w:lang w:eastAsia="en-GB"/>
        </w:rPr>
        <w:t>h</w:t>
      </w:r>
      <w:r w:rsidRPr="00CE0885">
        <w:rPr>
          <w:lang w:eastAsia="en-GB"/>
        </w:rPr>
        <w:t>e</w:t>
      </w:r>
      <w:r w:rsidRPr="00CE0885">
        <w:rPr>
          <w:spacing w:val="4"/>
          <w:lang w:eastAsia="en-GB"/>
        </w:rPr>
        <w:t xml:space="preserve"> </w:t>
      </w:r>
      <w:r w:rsidRPr="00CE0885">
        <w:rPr>
          <w:spacing w:val="-2"/>
          <w:lang w:eastAsia="en-GB"/>
        </w:rPr>
        <w:t>agreement</w:t>
      </w:r>
      <w:r w:rsidRPr="00CE0885">
        <w:rPr>
          <w:spacing w:val="9"/>
          <w:lang w:eastAsia="en-GB"/>
        </w:rPr>
        <w:t xml:space="preserve"> </w:t>
      </w:r>
      <w:r w:rsidRPr="00CE0885">
        <w:rPr>
          <w:spacing w:val="3"/>
          <w:lang w:eastAsia="en-GB"/>
        </w:rPr>
        <w:t>i</w:t>
      </w:r>
      <w:r w:rsidRPr="00CE0885">
        <w:rPr>
          <w:lang w:eastAsia="en-GB"/>
        </w:rPr>
        <w:t>s</w:t>
      </w:r>
      <w:r w:rsidRPr="00CE0885">
        <w:rPr>
          <w:spacing w:val="4"/>
          <w:lang w:eastAsia="en-GB"/>
        </w:rPr>
        <w:t xml:space="preserve"> </w:t>
      </w:r>
      <w:r w:rsidRPr="00CE0885">
        <w:rPr>
          <w:lang w:eastAsia="en-GB"/>
        </w:rPr>
        <w:t>to</w:t>
      </w:r>
      <w:r w:rsidRPr="00CE0885">
        <w:rPr>
          <w:spacing w:val="3"/>
          <w:lang w:eastAsia="en-GB"/>
        </w:rPr>
        <w:t xml:space="preserve"> </w:t>
      </w:r>
      <w:r w:rsidRPr="00CE0885">
        <w:rPr>
          <w:spacing w:val="1"/>
          <w:lang w:eastAsia="en-GB"/>
        </w:rPr>
        <w:t>c</w:t>
      </w:r>
      <w:r w:rsidRPr="00CE0885">
        <w:rPr>
          <w:spacing w:val="-3"/>
          <w:lang w:eastAsia="en-GB"/>
        </w:rPr>
        <w:t>o</w:t>
      </w:r>
      <w:r w:rsidRPr="00CE0885">
        <w:rPr>
          <w:lang w:eastAsia="en-GB"/>
        </w:rPr>
        <w:t>nt</w:t>
      </w:r>
      <w:r w:rsidRPr="00CE0885">
        <w:rPr>
          <w:spacing w:val="1"/>
          <w:lang w:eastAsia="en-GB"/>
        </w:rPr>
        <w:t>i</w:t>
      </w:r>
      <w:r w:rsidRPr="00CE0885">
        <w:rPr>
          <w:lang w:eastAsia="en-GB"/>
        </w:rPr>
        <w:t>nue,</w:t>
      </w:r>
      <w:r w:rsidRPr="00CE0885">
        <w:rPr>
          <w:spacing w:val="10"/>
          <w:lang w:eastAsia="en-GB"/>
        </w:rPr>
        <w:t xml:space="preserve"> </w:t>
      </w:r>
      <w:r w:rsidRPr="00CE0885">
        <w:rPr>
          <w:spacing w:val="2"/>
          <w:lang w:eastAsia="en-GB"/>
        </w:rPr>
        <w:t>the agreement will need to be</w:t>
      </w:r>
      <w:r w:rsidRPr="00CE0885">
        <w:rPr>
          <w:spacing w:val="13"/>
          <w:lang w:eastAsia="en-GB"/>
        </w:rPr>
        <w:t xml:space="preserve"> </w:t>
      </w:r>
      <w:r w:rsidRPr="00CE0885">
        <w:rPr>
          <w:spacing w:val="-2"/>
          <w:w w:val="101"/>
          <w:lang w:eastAsia="en-GB"/>
        </w:rPr>
        <w:t>v</w:t>
      </w:r>
      <w:r w:rsidRPr="00CE0885">
        <w:rPr>
          <w:w w:val="101"/>
          <w:lang w:eastAsia="en-GB"/>
        </w:rPr>
        <w:t>ar</w:t>
      </w:r>
      <w:r w:rsidRPr="00CE0885">
        <w:rPr>
          <w:spacing w:val="1"/>
          <w:w w:val="101"/>
          <w:lang w:eastAsia="en-GB"/>
        </w:rPr>
        <w:t>i</w:t>
      </w:r>
      <w:r w:rsidRPr="00CE0885">
        <w:rPr>
          <w:w w:val="101"/>
          <w:lang w:eastAsia="en-GB"/>
        </w:rPr>
        <w:t>ed to remove the deceased as a signatory.</w:t>
      </w:r>
    </w:p>
    <w:p w14:paraId="2CC67DA9" w14:textId="77777777" w:rsidR="0007271E" w:rsidRPr="00CE0885" w:rsidRDefault="0007271E" w:rsidP="0007271E">
      <w:pPr>
        <w:pStyle w:val="Heading3"/>
        <w:rPr>
          <w:lang w:eastAsia="en-GB"/>
        </w:rPr>
      </w:pPr>
      <w:r w:rsidRPr="00CE0885">
        <w:rPr>
          <w:lang w:eastAsia="en-GB"/>
        </w:rPr>
        <w:t>The process above does not affect any right that the Commissioner may have to terminate the agreement under any terms of the agreement.</w:t>
      </w:r>
    </w:p>
    <w:p w14:paraId="55CF7B09" w14:textId="77777777" w:rsidR="0007271E" w:rsidRPr="009055A7" w:rsidRDefault="0007271E" w:rsidP="0007271E">
      <w:pPr>
        <w:widowControl w:val="0"/>
        <w:spacing w:line="360" w:lineRule="auto"/>
        <w:ind w:left="1414"/>
        <w:jc w:val="both"/>
        <w:rPr>
          <w:rFonts w:cs="Arial"/>
          <w:bCs w:val="0"/>
          <w:sz w:val="20"/>
          <w:szCs w:val="20"/>
          <w:lang w:eastAsia="en-GB"/>
        </w:rPr>
      </w:pPr>
    </w:p>
    <w:p w14:paraId="13AFDC6B" w14:textId="77777777" w:rsidR="0007271E" w:rsidRPr="00CE0885" w:rsidRDefault="0007271E" w:rsidP="0007271E">
      <w:pPr>
        <w:pStyle w:val="Heading2"/>
        <w:rPr>
          <w:lang w:eastAsia="en-GB"/>
        </w:rPr>
      </w:pPr>
      <w:bookmarkStart w:id="2362" w:name="_Toc7417138"/>
      <w:bookmarkStart w:id="2363" w:name="_Toc95743549"/>
      <w:r w:rsidRPr="00CE0885">
        <w:rPr>
          <w:lang w:eastAsia="en-GB"/>
        </w:rPr>
        <w:t>Two or More Signatories - APMS Contract</w:t>
      </w:r>
      <w:bookmarkEnd w:id="2362"/>
      <w:bookmarkEnd w:id="2363"/>
      <w:r w:rsidRPr="00CE0885">
        <w:rPr>
          <w:lang w:eastAsia="en-GB"/>
        </w:rPr>
        <w:t xml:space="preserve"> </w:t>
      </w:r>
    </w:p>
    <w:p w14:paraId="5CA7A7AC" w14:textId="77777777" w:rsidR="0007271E" w:rsidRPr="00CE0885" w:rsidRDefault="0007271E" w:rsidP="0007271E">
      <w:pPr>
        <w:pStyle w:val="Heading3"/>
        <w:rPr>
          <w:lang w:eastAsia="en-GB"/>
        </w:rPr>
      </w:pPr>
      <w:r w:rsidRPr="00CE0885">
        <w:rPr>
          <w:lang w:eastAsia="en-GB"/>
        </w:rPr>
        <w:t>T</w:t>
      </w:r>
      <w:r w:rsidRPr="00CE0885">
        <w:rPr>
          <w:spacing w:val="2"/>
          <w:lang w:eastAsia="en-GB"/>
        </w:rPr>
        <w:t>h</w:t>
      </w:r>
      <w:r w:rsidRPr="00CE0885">
        <w:rPr>
          <w:lang w:eastAsia="en-GB"/>
        </w:rPr>
        <w:t>e</w:t>
      </w:r>
      <w:r w:rsidRPr="00CE0885">
        <w:rPr>
          <w:spacing w:val="1"/>
          <w:lang w:eastAsia="en-GB"/>
        </w:rPr>
        <w:t xml:space="preserve"> </w:t>
      </w:r>
      <w:r w:rsidRPr="00CE0885">
        <w:rPr>
          <w:spacing w:val="3"/>
          <w:lang w:eastAsia="en-GB"/>
        </w:rPr>
        <w:t xml:space="preserve">Commissioner </w:t>
      </w:r>
      <w:r w:rsidRPr="00CE0885">
        <w:rPr>
          <w:spacing w:val="2"/>
          <w:lang w:eastAsia="en-GB"/>
        </w:rPr>
        <w:t>m</w:t>
      </w:r>
      <w:r w:rsidRPr="00CE0885">
        <w:rPr>
          <w:lang w:eastAsia="en-GB"/>
        </w:rPr>
        <w:t>u</w:t>
      </w:r>
      <w:r w:rsidRPr="00CE0885">
        <w:rPr>
          <w:spacing w:val="-2"/>
          <w:lang w:eastAsia="en-GB"/>
        </w:rPr>
        <w:t>s</w:t>
      </w:r>
      <w:r w:rsidRPr="00CE0885">
        <w:rPr>
          <w:lang w:eastAsia="en-GB"/>
        </w:rPr>
        <w:t>t</w:t>
      </w:r>
      <w:r w:rsidRPr="00CE0885">
        <w:rPr>
          <w:spacing w:val="8"/>
          <w:lang w:eastAsia="en-GB"/>
        </w:rPr>
        <w:t xml:space="preserve"> </w:t>
      </w:r>
      <w:r w:rsidRPr="00CE0885">
        <w:rPr>
          <w:spacing w:val="-1"/>
          <w:lang w:eastAsia="en-GB"/>
        </w:rPr>
        <w:t>r</w:t>
      </w:r>
      <w:r w:rsidRPr="00CE0885">
        <w:rPr>
          <w:spacing w:val="-3"/>
          <w:lang w:eastAsia="en-GB"/>
        </w:rPr>
        <w:t>e</w:t>
      </w:r>
      <w:r w:rsidRPr="00CE0885">
        <w:rPr>
          <w:spacing w:val="1"/>
          <w:lang w:eastAsia="en-GB"/>
        </w:rPr>
        <w:t>vi</w:t>
      </w:r>
      <w:r w:rsidRPr="00CE0885">
        <w:rPr>
          <w:spacing w:val="2"/>
          <w:lang w:eastAsia="en-GB"/>
        </w:rPr>
        <w:t>e</w:t>
      </w:r>
      <w:r w:rsidRPr="00CE0885">
        <w:rPr>
          <w:lang w:eastAsia="en-GB"/>
        </w:rPr>
        <w:t>w</w:t>
      </w:r>
      <w:r w:rsidRPr="00CE0885">
        <w:rPr>
          <w:spacing w:val="5"/>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spacing w:val="1"/>
          <w:lang w:eastAsia="en-GB"/>
        </w:rPr>
        <w:t>relevant APMS</w:t>
      </w:r>
      <w:r w:rsidRPr="00CE0885">
        <w:rPr>
          <w:spacing w:val="14"/>
          <w:lang w:eastAsia="en-GB"/>
        </w:rPr>
        <w:t xml:space="preserve"> </w:t>
      </w:r>
      <w:r w:rsidRPr="00CE0885">
        <w:rPr>
          <w:spacing w:val="1"/>
          <w:w w:val="101"/>
          <w:lang w:eastAsia="en-GB"/>
        </w:rPr>
        <w:t>c</w:t>
      </w:r>
      <w:r w:rsidRPr="00CE0885">
        <w:rPr>
          <w:spacing w:val="-3"/>
          <w:w w:val="101"/>
          <w:lang w:eastAsia="en-GB"/>
        </w:rPr>
        <w:t>o</w:t>
      </w:r>
      <w:r w:rsidRPr="00CE0885">
        <w:rPr>
          <w:w w:val="101"/>
          <w:lang w:eastAsia="en-GB"/>
        </w:rPr>
        <w:t>nt</w:t>
      </w:r>
      <w:r w:rsidRPr="00CE0885">
        <w:rPr>
          <w:spacing w:val="1"/>
          <w:w w:val="101"/>
          <w:lang w:eastAsia="en-GB"/>
        </w:rPr>
        <w:t>r</w:t>
      </w:r>
      <w:r w:rsidRPr="00CE0885">
        <w:rPr>
          <w:w w:val="101"/>
          <w:lang w:eastAsia="en-GB"/>
        </w:rPr>
        <w:t>a</w:t>
      </w:r>
      <w:r w:rsidRPr="00CE0885">
        <w:rPr>
          <w:spacing w:val="-2"/>
          <w:w w:val="101"/>
          <w:lang w:eastAsia="en-GB"/>
        </w:rPr>
        <w:t>c</w:t>
      </w:r>
      <w:r w:rsidRPr="00CE0885">
        <w:rPr>
          <w:w w:val="101"/>
          <w:lang w:eastAsia="en-GB"/>
        </w:rPr>
        <w:t xml:space="preserve">t </w:t>
      </w:r>
      <w:r w:rsidRPr="00CE0885">
        <w:rPr>
          <w:lang w:eastAsia="en-GB"/>
        </w:rPr>
        <w:t>to determine whether any provisions relate to the death of a contractor prior to following any process for variation.</w:t>
      </w:r>
    </w:p>
    <w:p w14:paraId="26D8512B" w14:textId="77777777" w:rsidR="0007271E" w:rsidRPr="00CE0885" w:rsidRDefault="0007271E" w:rsidP="0007271E">
      <w:pPr>
        <w:pStyle w:val="Heading3"/>
        <w:rPr>
          <w:lang w:eastAsia="en-GB"/>
        </w:rPr>
      </w:pPr>
      <w:r w:rsidRPr="00CE0885">
        <w:rPr>
          <w:lang w:eastAsia="en-GB"/>
        </w:rPr>
        <w:t xml:space="preserve">Where no provisions cover this scenario, paragraphs </w:t>
      </w:r>
      <w:r w:rsidRPr="00CE0885">
        <w:rPr>
          <w:lang w:eastAsia="en-GB"/>
        </w:rPr>
        <w:fldChar w:fldCharType="begin"/>
      </w:r>
      <w:r w:rsidRPr="00CE0885">
        <w:rPr>
          <w:lang w:eastAsia="en-GB"/>
        </w:rPr>
        <w:instrText xml:space="preserve"> REF _Ref409800084 \r \h  \* MERGEFORMAT </w:instrText>
      </w:r>
      <w:r w:rsidRPr="00CE0885">
        <w:rPr>
          <w:lang w:eastAsia="en-GB"/>
        </w:rPr>
      </w:r>
      <w:r w:rsidRPr="00CE0885">
        <w:rPr>
          <w:lang w:eastAsia="en-GB"/>
        </w:rPr>
        <w:fldChar w:fldCharType="separate"/>
      </w:r>
      <w:r>
        <w:rPr>
          <w:lang w:eastAsia="en-GB"/>
        </w:rPr>
        <w:t>3.5.2</w:t>
      </w:r>
      <w:r w:rsidRPr="00CE0885">
        <w:rPr>
          <w:lang w:eastAsia="en-GB"/>
        </w:rPr>
        <w:fldChar w:fldCharType="end"/>
      </w:r>
      <w:r w:rsidRPr="00CE0885">
        <w:rPr>
          <w:lang w:eastAsia="en-GB"/>
        </w:rPr>
        <w:t xml:space="preserve"> to </w:t>
      </w:r>
      <w:r w:rsidRPr="00CE0885">
        <w:rPr>
          <w:lang w:eastAsia="en-GB"/>
        </w:rPr>
        <w:fldChar w:fldCharType="begin"/>
      </w:r>
      <w:r w:rsidRPr="00CE0885">
        <w:rPr>
          <w:lang w:eastAsia="en-GB"/>
        </w:rPr>
        <w:instrText xml:space="preserve"> REF _Ref409800091 \r \h  \* MERGEFORMAT </w:instrText>
      </w:r>
      <w:r w:rsidRPr="00CE0885">
        <w:rPr>
          <w:lang w:eastAsia="en-GB"/>
        </w:rPr>
      </w:r>
      <w:r w:rsidRPr="00CE0885">
        <w:rPr>
          <w:lang w:eastAsia="en-GB"/>
        </w:rPr>
        <w:fldChar w:fldCharType="separate"/>
      </w:r>
      <w:r>
        <w:rPr>
          <w:lang w:eastAsia="en-GB"/>
        </w:rPr>
        <w:t>3.5.5</w:t>
      </w:r>
      <w:r w:rsidRPr="00CE0885">
        <w:rPr>
          <w:lang w:eastAsia="en-GB"/>
        </w:rPr>
        <w:fldChar w:fldCharType="end"/>
      </w:r>
      <w:r w:rsidRPr="00CE0885">
        <w:rPr>
          <w:lang w:eastAsia="en-GB"/>
        </w:rPr>
        <w:t xml:space="preserve"> are likely to be relevant. </w:t>
      </w:r>
    </w:p>
    <w:p w14:paraId="53AEB6BC" w14:textId="77777777" w:rsidR="0007271E" w:rsidRPr="009055A7" w:rsidRDefault="0007271E" w:rsidP="0007271E">
      <w:pPr>
        <w:widowControl w:val="0"/>
        <w:spacing w:line="360" w:lineRule="auto"/>
        <w:ind w:left="1414"/>
        <w:jc w:val="both"/>
        <w:rPr>
          <w:rFonts w:cs="Arial"/>
          <w:bCs w:val="0"/>
          <w:sz w:val="20"/>
          <w:szCs w:val="20"/>
          <w:lang w:eastAsia="en-GB"/>
        </w:rPr>
      </w:pPr>
    </w:p>
    <w:p w14:paraId="70A53B83" w14:textId="77777777" w:rsidR="0007271E" w:rsidRPr="00CE0885" w:rsidRDefault="0007271E" w:rsidP="0007271E">
      <w:pPr>
        <w:pStyle w:val="Heading2"/>
      </w:pPr>
      <w:bookmarkStart w:id="2364" w:name="_Toc7417139"/>
      <w:bookmarkStart w:id="2365" w:name="_Toc95743550"/>
      <w:r w:rsidRPr="00CE0885">
        <w:t>Practical Issues Arising from Death of a Contractor</w:t>
      </w:r>
      <w:bookmarkEnd w:id="2364"/>
      <w:bookmarkEnd w:id="2365"/>
      <w:r w:rsidRPr="00CE0885">
        <w:t xml:space="preserve">  </w:t>
      </w:r>
    </w:p>
    <w:p w14:paraId="0DE8FC0A" w14:textId="77777777" w:rsidR="0007271E" w:rsidRPr="00EF04D7" w:rsidRDefault="0007271E" w:rsidP="0007271E">
      <w:pPr>
        <w:widowControl w:val="0"/>
        <w:spacing w:line="360" w:lineRule="auto"/>
        <w:ind w:firstLine="720"/>
        <w:jc w:val="both"/>
        <w:rPr>
          <w:rFonts w:cs="Arial"/>
          <w:b/>
          <w:bCs w:val="0"/>
          <w:szCs w:val="24"/>
        </w:rPr>
      </w:pPr>
      <w:r w:rsidRPr="00EF04D7">
        <w:rPr>
          <w:rFonts w:cs="Arial"/>
          <w:b/>
          <w:bCs w:val="0"/>
          <w:szCs w:val="24"/>
        </w:rPr>
        <w:t>Request to form a partnership</w:t>
      </w:r>
    </w:p>
    <w:p w14:paraId="3E19D164" w14:textId="3C0E3D95" w:rsidR="0007271E" w:rsidRPr="00C575A9" w:rsidRDefault="0007271E" w:rsidP="0007271E">
      <w:pPr>
        <w:pStyle w:val="Heading3"/>
        <w:rPr>
          <w:rFonts w:cs="Arial"/>
          <w:b/>
          <w:bCs w:val="0"/>
          <w:szCs w:val="24"/>
        </w:rPr>
      </w:pPr>
      <w:r w:rsidRPr="00CE0885">
        <w:t>Where a GMS contract is held by an individual  as a result of the death of a partner, that individual</w:t>
      </w:r>
      <w:r>
        <w:t xml:space="preserve"> (like any individual GMS contractor)</w:t>
      </w:r>
      <w:r w:rsidRPr="00CE0885">
        <w:t xml:space="preserve"> may propose to practice in partnership with one or more persons during the existence of the contract. Please refer to </w:t>
      </w:r>
      <w:r>
        <w:t>the chapter on</w:t>
      </w:r>
      <w:r w:rsidRPr="00CE0885">
        <w:t xml:space="preserve"> contracts variations for more information on the relevant process and obligations of the Commissioner.</w:t>
      </w:r>
    </w:p>
    <w:p w14:paraId="7F82C749" w14:textId="77777777" w:rsidR="0007271E" w:rsidRPr="00EF04D7" w:rsidRDefault="0007271E" w:rsidP="0007271E">
      <w:pPr>
        <w:pStyle w:val="Heading3"/>
        <w:numPr>
          <w:ilvl w:val="0"/>
          <w:numId w:val="0"/>
        </w:numPr>
        <w:ind w:left="720"/>
        <w:rPr>
          <w:rFonts w:cs="Arial"/>
          <w:b/>
          <w:bCs w:val="0"/>
          <w:szCs w:val="24"/>
        </w:rPr>
      </w:pPr>
      <w:r w:rsidRPr="00EF04D7">
        <w:rPr>
          <w:rFonts w:cs="Arial"/>
          <w:b/>
          <w:bCs w:val="0"/>
          <w:szCs w:val="24"/>
        </w:rPr>
        <w:t>Procuring a new contract</w:t>
      </w:r>
    </w:p>
    <w:p w14:paraId="5724332E" w14:textId="388351A1" w:rsidR="0007271E" w:rsidRDefault="0007271E" w:rsidP="0007271E">
      <w:pPr>
        <w:pStyle w:val="Heading3"/>
      </w:pPr>
      <w:r>
        <w:t>Where death of a contractor results in termination of the contract in any of the ways described above</w:t>
      </w:r>
      <w:r w:rsidRPr="00CE0885">
        <w:t xml:space="preserve">, the Commissioner will need to decide whether to procure primary care medical services to replace the contract. </w:t>
      </w:r>
    </w:p>
    <w:p w14:paraId="581EC147" w14:textId="720110B2" w:rsidR="00ED52FA" w:rsidRDefault="00ED52FA" w:rsidP="00ED52FA"/>
    <w:p w14:paraId="0FDD36AF" w14:textId="099747A7" w:rsidR="00ED52FA" w:rsidRPr="001D0AA4" w:rsidRDefault="00ED52FA" w:rsidP="00ED52FA">
      <w:pPr>
        <w:pStyle w:val="Heading2"/>
      </w:pPr>
      <w:bookmarkStart w:id="2366" w:name="_Toc95743551"/>
      <w:r w:rsidRPr="001D0AA4">
        <w:t>Links to relevant PCS</w:t>
      </w:r>
      <w:r w:rsidR="00BC1F51">
        <w:t>E</w:t>
      </w:r>
      <w:r w:rsidRPr="001D0AA4">
        <w:t xml:space="preserve"> information and documentation</w:t>
      </w:r>
      <w:bookmarkEnd w:id="2366"/>
    </w:p>
    <w:p w14:paraId="34877E20" w14:textId="77777777" w:rsidR="00ED52FA" w:rsidRDefault="00ED52FA" w:rsidP="00ED52FA">
      <w:pPr>
        <w:widowControl w:val="0"/>
        <w:spacing w:line="360" w:lineRule="auto"/>
        <w:jc w:val="both"/>
        <w:rPr>
          <w:rFonts w:cs="Arial"/>
          <w:bCs w:val="0"/>
          <w:szCs w:val="24"/>
          <w:lang w:eastAsia="en-GB"/>
        </w:rPr>
      </w:pPr>
    </w:p>
    <w:p w14:paraId="4CFE69B4" w14:textId="77777777" w:rsidR="00ED52FA" w:rsidRDefault="00ED52FA" w:rsidP="006C3DF5">
      <w:pPr>
        <w:pStyle w:val="ListParagraph"/>
        <w:widowControl w:val="0"/>
        <w:numPr>
          <w:ilvl w:val="0"/>
          <w:numId w:val="123"/>
        </w:numPr>
        <w:spacing w:line="360" w:lineRule="auto"/>
        <w:jc w:val="both"/>
      </w:pPr>
      <w:r w:rsidRPr="006E56A4">
        <w:rPr>
          <w:rFonts w:cs="Arial"/>
          <w:bCs w:val="0"/>
          <w:szCs w:val="24"/>
          <w:lang w:eastAsia="en-GB"/>
        </w:rPr>
        <w:t xml:space="preserve">Performer list </w:t>
      </w:r>
      <w:hyperlink r:id="rId168" w:history="1">
        <w:r>
          <w:rPr>
            <w:rStyle w:val="Hyperlink"/>
          </w:rPr>
          <w:t>https://pcse.england.nhs.uk/services/performers-lists/</w:t>
        </w:r>
      </w:hyperlink>
    </w:p>
    <w:p w14:paraId="5729F8F1" w14:textId="77777777" w:rsidR="00ED52FA" w:rsidRDefault="00ED52FA" w:rsidP="006C3DF5">
      <w:pPr>
        <w:pStyle w:val="ListParagraph"/>
        <w:widowControl w:val="0"/>
        <w:numPr>
          <w:ilvl w:val="0"/>
          <w:numId w:val="123"/>
        </w:numPr>
        <w:spacing w:line="360" w:lineRule="auto"/>
        <w:jc w:val="both"/>
      </w:pPr>
      <w:r w:rsidRPr="006E56A4">
        <w:rPr>
          <w:rFonts w:cs="Arial"/>
          <w:bCs w:val="0"/>
          <w:szCs w:val="24"/>
          <w:lang w:eastAsia="en-GB"/>
        </w:rPr>
        <w:t xml:space="preserve">Practice Mergers and Closure </w:t>
      </w:r>
      <w:hyperlink r:id="rId169" w:history="1">
        <w:r>
          <w:rPr>
            <w:rStyle w:val="Hyperlink"/>
          </w:rPr>
          <w:t>https://pcse.england.nhs.uk/services/practice-mergers-and-closures-notifications/</w:t>
        </w:r>
      </w:hyperlink>
    </w:p>
    <w:p w14:paraId="00400FEB" w14:textId="77777777" w:rsidR="00ED52FA" w:rsidRDefault="00ED52FA" w:rsidP="006C3DF5">
      <w:pPr>
        <w:pStyle w:val="ListParagraph"/>
        <w:widowControl w:val="0"/>
        <w:numPr>
          <w:ilvl w:val="0"/>
          <w:numId w:val="123"/>
        </w:numPr>
        <w:spacing w:line="360" w:lineRule="auto"/>
        <w:jc w:val="both"/>
      </w:pPr>
      <w:r w:rsidRPr="006E56A4">
        <w:rPr>
          <w:rFonts w:cs="Arial"/>
          <w:bCs w:val="0"/>
          <w:szCs w:val="24"/>
          <w:lang w:eastAsia="en-GB"/>
        </w:rPr>
        <w:t xml:space="preserve">GP Payments </w:t>
      </w:r>
      <w:hyperlink r:id="rId170" w:history="1">
        <w:r>
          <w:rPr>
            <w:rStyle w:val="Hyperlink"/>
          </w:rPr>
          <w:t>https://pcse.england.nhs.uk/services/gp-payments/</w:t>
        </w:r>
      </w:hyperlink>
    </w:p>
    <w:p w14:paraId="34AF6018" w14:textId="77777777" w:rsidR="00ED52FA" w:rsidRPr="006E56A4" w:rsidRDefault="00ED52FA" w:rsidP="006C3DF5">
      <w:pPr>
        <w:pStyle w:val="ListParagraph"/>
        <w:widowControl w:val="0"/>
        <w:numPr>
          <w:ilvl w:val="0"/>
          <w:numId w:val="123"/>
        </w:numPr>
        <w:spacing w:line="360" w:lineRule="auto"/>
        <w:jc w:val="both"/>
        <w:rPr>
          <w:rFonts w:cs="Arial"/>
          <w:bCs w:val="0"/>
          <w:szCs w:val="24"/>
          <w:lang w:eastAsia="en-GB"/>
        </w:rPr>
      </w:pPr>
      <w:r w:rsidRPr="006E56A4">
        <w:rPr>
          <w:rFonts w:cs="Arial"/>
          <w:bCs w:val="0"/>
          <w:szCs w:val="24"/>
          <w:lang w:eastAsia="en-GB"/>
        </w:rPr>
        <w:t xml:space="preserve">GP Pensions </w:t>
      </w:r>
      <w:hyperlink r:id="rId171" w:history="1">
        <w:r>
          <w:rPr>
            <w:rStyle w:val="Hyperlink"/>
          </w:rPr>
          <w:t>https://pcse.england.nhs.uk/services/gp-pensions/</w:t>
        </w:r>
      </w:hyperlink>
    </w:p>
    <w:p w14:paraId="2DEA82F0" w14:textId="77777777" w:rsidR="00ED52FA" w:rsidRPr="00ED52FA" w:rsidRDefault="00ED52FA" w:rsidP="002F2E02"/>
    <w:p w14:paraId="22CC48B3" w14:textId="743FDA6C" w:rsidR="0007271E" w:rsidRDefault="0007271E" w:rsidP="0007271E">
      <w:pPr>
        <w:pStyle w:val="BodyText"/>
      </w:pPr>
    </w:p>
    <w:p w14:paraId="50AB46C3" w14:textId="55C68579" w:rsidR="00F97A84" w:rsidRDefault="00F97A84" w:rsidP="0007271E">
      <w:pPr>
        <w:pStyle w:val="BodyText"/>
      </w:pPr>
    </w:p>
    <w:p w14:paraId="143CE7E0" w14:textId="77777777" w:rsidR="0007271E" w:rsidRPr="00CE0885" w:rsidRDefault="0007271E" w:rsidP="0007271E">
      <w:pPr>
        <w:widowControl w:val="0"/>
        <w:spacing w:line="360" w:lineRule="auto"/>
        <w:ind w:left="1414"/>
        <w:jc w:val="both"/>
        <w:rPr>
          <w:rFonts w:cs="Arial"/>
          <w:bCs w:val="0"/>
          <w:szCs w:val="24"/>
        </w:rPr>
      </w:pPr>
    </w:p>
    <w:p w14:paraId="7F98274E" w14:textId="77777777" w:rsidR="0007271E" w:rsidRPr="00CE0885" w:rsidRDefault="0007271E" w:rsidP="0007271E">
      <w:pPr>
        <w:widowControl w:val="0"/>
        <w:spacing w:line="360" w:lineRule="auto"/>
        <w:ind w:left="426"/>
        <w:rPr>
          <w:rFonts w:cs="Arial"/>
          <w:b/>
          <w:bCs w:val="0"/>
          <w:w w:val="0"/>
          <w:szCs w:val="24"/>
          <w:lang w:eastAsia="en-GB"/>
        </w:rPr>
      </w:pPr>
      <w:r w:rsidRPr="00CE0885">
        <w:rPr>
          <w:rFonts w:cs="Arial"/>
          <w:b/>
          <w:bCs w:val="0"/>
          <w:w w:val="0"/>
          <w:szCs w:val="24"/>
          <w:lang w:eastAsia="en-GB"/>
        </w:rPr>
        <w:br w:type="page"/>
      </w:r>
    </w:p>
    <w:p w14:paraId="0B28DE9D" w14:textId="77777777" w:rsidR="0007271E" w:rsidRPr="00CE0885" w:rsidRDefault="0007271E" w:rsidP="0007271E">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1 Template Acknowledgement Letter (Individual – GMS, PMS or APMS contract)</w:t>
      </w:r>
    </w:p>
    <w:p w14:paraId="39F0E981" w14:textId="77777777" w:rsidR="0007271E" w:rsidRPr="00AB70BB" w:rsidRDefault="000B57EE" w:rsidP="006C3DF5">
      <w:pPr>
        <w:pStyle w:val="ListParagraph"/>
        <w:numPr>
          <w:ilvl w:val="0"/>
          <w:numId w:val="137"/>
        </w:numPr>
      </w:pPr>
      <w:hyperlink r:id="rId172" w:history="1">
        <w:r w:rsidR="0007271E">
          <w:rPr>
            <w:rStyle w:val="Hyperlink"/>
          </w:rPr>
          <w:t>Template Acknowledgement Letter (Individual – GMS, PMS or APMS contract</w:t>
        </w:r>
      </w:hyperlink>
    </w:p>
    <w:p w14:paraId="6A3AC3BE" w14:textId="77777777" w:rsidR="0007271E" w:rsidRPr="00CE0885" w:rsidRDefault="0007271E" w:rsidP="0007271E">
      <w:pPr>
        <w:widowControl w:val="0"/>
        <w:spacing w:line="360" w:lineRule="auto"/>
        <w:jc w:val="both"/>
        <w:rPr>
          <w:rFonts w:cs="Arial"/>
          <w:bCs w:val="0"/>
          <w:szCs w:val="24"/>
        </w:rPr>
      </w:pPr>
    </w:p>
    <w:p w14:paraId="6B742D9B" w14:textId="77777777" w:rsidR="0007271E" w:rsidRPr="00CE0885" w:rsidRDefault="0007271E" w:rsidP="0007271E">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2 Template Notification Letter (Medical Remaining)</w:t>
      </w:r>
    </w:p>
    <w:p w14:paraId="63068E7D" w14:textId="77777777" w:rsidR="0007271E" w:rsidRPr="00F84A48" w:rsidRDefault="000B57EE" w:rsidP="006C3DF5">
      <w:pPr>
        <w:pStyle w:val="ListParagraph"/>
        <w:numPr>
          <w:ilvl w:val="0"/>
          <w:numId w:val="136"/>
        </w:numPr>
      </w:pPr>
      <w:hyperlink r:id="rId173" w:history="1">
        <w:r w:rsidR="0007271E">
          <w:rPr>
            <w:rStyle w:val="Hyperlink"/>
          </w:rPr>
          <w:t xml:space="preserve">Template Notification Letter </w:t>
        </w:r>
        <w:bookmarkStart w:id="2367" w:name="_Hlk53393744"/>
        <w:r w:rsidR="0007271E">
          <w:rPr>
            <w:rStyle w:val="Hyperlink"/>
          </w:rPr>
          <w:t>(Medical Remaining, automatic continuation)</w:t>
        </w:r>
        <w:bookmarkEnd w:id="2367"/>
      </w:hyperlink>
    </w:p>
    <w:p w14:paraId="0D9542EE" w14:textId="77777777" w:rsidR="0007271E" w:rsidRPr="00CE0885" w:rsidRDefault="0007271E" w:rsidP="0007271E">
      <w:pPr>
        <w:widowControl w:val="0"/>
        <w:autoSpaceDE w:val="0"/>
        <w:autoSpaceDN w:val="0"/>
        <w:adjustRightInd w:val="0"/>
        <w:spacing w:line="360" w:lineRule="auto"/>
        <w:ind w:right="139"/>
        <w:jc w:val="both"/>
        <w:rPr>
          <w:rFonts w:cs="Arial"/>
          <w:bCs w:val="0"/>
          <w:szCs w:val="24"/>
          <w:lang w:eastAsia="en-GB"/>
        </w:rPr>
      </w:pPr>
    </w:p>
    <w:p w14:paraId="32355F0E" w14:textId="77777777" w:rsidR="0007271E" w:rsidRPr="00CE0885" w:rsidRDefault="0007271E" w:rsidP="0007271E">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3 Template Notification Letter (Non-Medical Remaining)</w:t>
      </w:r>
    </w:p>
    <w:p w14:paraId="448C7793" w14:textId="77777777" w:rsidR="0007271E" w:rsidRPr="00F84A48" w:rsidRDefault="000B57EE" w:rsidP="006C3DF5">
      <w:pPr>
        <w:pStyle w:val="ListParagraph"/>
        <w:numPr>
          <w:ilvl w:val="0"/>
          <w:numId w:val="135"/>
        </w:numPr>
      </w:pPr>
      <w:hyperlink r:id="rId174" w:history="1">
        <w:r w:rsidR="0007271E">
          <w:rPr>
            <w:rStyle w:val="Hyperlink"/>
          </w:rPr>
          <w:t>Template Notification Letter (Non-Medical Remaining)</w:t>
        </w:r>
      </w:hyperlink>
      <w:r w:rsidR="0007271E">
        <w:br/>
      </w:r>
    </w:p>
    <w:p w14:paraId="5BD413EC" w14:textId="77777777" w:rsidR="0007271E" w:rsidRPr="00CE0885" w:rsidRDefault="0007271E" w:rsidP="0007271E">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4 Template Termination Letter (</w:t>
      </w:r>
      <w:r>
        <w:rPr>
          <w:rFonts w:cs="Arial"/>
          <w:b/>
          <w:bCs w:val="0"/>
          <w:szCs w:val="24"/>
          <w:lang w:eastAsia="en-GB"/>
        </w:rPr>
        <w:t>Non-</w:t>
      </w:r>
      <w:r w:rsidRPr="00CE0885">
        <w:rPr>
          <w:rFonts w:cs="Arial"/>
          <w:b/>
          <w:bCs w:val="0"/>
          <w:szCs w:val="24"/>
          <w:lang w:eastAsia="en-GB"/>
        </w:rPr>
        <w:t>Medical Remaining)</w:t>
      </w:r>
    </w:p>
    <w:p w14:paraId="720D368C" w14:textId="77777777" w:rsidR="0007271E" w:rsidRPr="00F84A48" w:rsidRDefault="000B57EE" w:rsidP="006C3DF5">
      <w:pPr>
        <w:pStyle w:val="ListParagraph"/>
        <w:numPr>
          <w:ilvl w:val="0"/>
          <w:numId w:val="134"/>
        </w:numPr>
      </w:pPr>
      <w:hyperlink r:id="rId175" w:history="1">
        <w:r w:rsidR="0007271E">
          <w:rPr>
            <w:rStyle w:val="Hyperlink"/>
          </w:rPr>
          <w:t>Template Termination Letter (Non - Medical Remaining)</w:t>
        </w:r>
      </w:hyperlink>
    </w:p>
    <w:p w14:paraId="7FF295B0" w14:textId="77777777" w:rsidR="0007271E" w:rsidRPr="00CE0885" w:rsidRDefault="0007271E" w:rsidP="0007271E">
      <w:pPr>
        <w:widowControl w:val="0"/>
        <w:spacing w:line="360" w:lineRule="auto"/>
        <w:jc w:val="both"/>
        <w:rPr>
          <w:rFonts w:cs="Arial"/>
          <w:bCs w:val="0"/>
          <w:szCs w:val="24"/>
        </w:rPr>
      </w:pPr>
    </w:p>
    <w:p w14:paraId="18657275" w14:textId="17743177" w:rsidR="0007271E" w:rsidRPr="00CE0885" w:rsidRDefault="0007271E" w:rsidP="0007271E">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5 Template Notification Letter (Medical Remaining)</w:t>
      </w:r>
    </w:p>
    <w:p w14:paraId="3FEB991D" w14:textId="71492BE9" w:rsidR="0015247B" w:rsidRDefault="000B57EE" w:rsidP="006C3DF5">
      <w:pPr>
        <w:pStyle w:val="ListParagraph"/>
        <w:numPr>
          <w:ilvl w:val="0"/>
          <w:numId w:val="133"/>
        </w:numPr>
        <w:rPr>
          <w:rStyle w:val="Heading1Char"/>
        </w:rPr>
      </w:pPr>
      <w:hyperlink r:id="rId176" w:history="1">
        <w:r w:rsidR="0007271E">
          <w:rPr>
            <w:rStyle w:val="Hyperlink"/>
          </w:rPr>
          <w:t>Template Notification Letter (Medical Remaining by nomination)</w:t>
        </w:r>
      </w:hyperlink>
      <w:r w:rsidR="0007271E">
        <w:rPr>
          <w:lang w:eastAsia="en-GB"/>
        </w:rPr>
        <w:t xml:space="preserve"> </w:t>
      </w:r>
      <w:bookmarkStart w:id="2368" w:name="_1557330198"/>
      <w:bookmarkStart w:id="2369" w:name="_1557330221"/>
      <w:bookmarkStart w:id="2370" w:name="_1557330236"/>
      <w:bookmarkStart w:id="2371" w:name="_1557330251"/>
      <w:bookmarkEnd w:id="2368"/>
      <w:bookmarkEnd w:id="2369"/>
      <w:bookmarkEnd w:id="2370"/>
      <w:bookmarkEnd w:id="2371"/>
      <w:r w:rsidR="00070A05">
        <w:rPr>
          <w:lang w:eastAsia="en-GB"/>
        </w:rPr>
        <w:t xml:space="preserve"> </w:t>
      </w:r>
      <w:r w:rsidR="00850B0E">
        <w:rPr>
          <w:lang w:eastAsia="en-GB"/>
        </w:rPr>
        <w:br w:type="page"/>
      </w:r>
    </w:p>
    <w:p w14:paraId="04A75310" w14:textId="208616AA" w:rsidR="00687DB8" w:rsidRPr="00695952" w:rsidRDefault="00687DB8" w:rsidP="00695952">
      <w:pPr>
        <w:pStyle w:val="Heading1"/>
        <w:rPr>
          <w:rStyle w:val="Heading1Char"/>
        </w:rPr>
      </w:pPr>
      <w:bookmarkStart w:id="2372" w:name="_Toc95743552"/>
      <w:r>
        <w:rPr>
          <w:lang w:eastAsia="en-GB"/>
        </w:rPr>
        <w:t>Managing Disputes</w:t>
      </w:r>
      <w:bookmarkEnd w:id="2372"/>
    </w:p>
    <w:p w14:paraId="12360E4D" w14:textId="77777777" w:rsidR="0015247B" w:rsidRDefault="0015247B" w:rsidP="0015247B">
      <w:pPr>
        <w:rPr>
          <w:lang w:eastAsia="en-GB"/>
        </w:rPr>
      </w:pPr>
    </w:p>
    <w:p w14:paraId="76E07238" w14:textId="77777777" w:rsidR="00867DFB" w:rsidRPr="00CE0885" w:rsidRDefault="00867DFB" w:rsidP="00EF04D7">
      <w:pPr>
        <w:pStyle w:val="Heading2"/>
        <w:rPr>
          <w:lang w:eastAsia="en-GB"/>
        </w:rPr>
      </w:pPr>
      <w:bookmarkStart w:id="2373" w:name="_Toc440982714"/>
      <w:bookmarkStart w:id="2374" w:name="_Toc95743553"/>
      <w:r w:rsidRPr="00CE0885">
        <w:rPr>
          <w:lang w:eastAsia="en-GB"/>
        </w:rPr>
        <w:t>Introduction</w:t>
      </w:r>
      <w:bookmarkEnd w:id="2373"/>
      <w:bookmarkEnd w:id="2374"/>
    </w:p>
    <w:p w14:paraId="1B8AC58F" w14:textId="2672C9C9" w:rsidR="00867DFB" w:rsidRPr="00CE0885" w:rsidRDefault="00867DFB" w:rsidP="00A13EB7">
      <w:pPr>
        <w:pStyle w:val="Heading3"/>
        <w:rPr>
          <w:lang w:eastAsia="en-GB"/>
        </w:rPr>
      </w:pPr>
      <w:bookmarkStart w:id="2375" w:name="_Toc440982715"/>
      <w:r w:rsidRPr="00CE0885">
        <w:rPr>
          <w:lang w:eastAsia="en-GB"/>
        </w:rPr>
        <w:t>This policy</w:t>
      </w:r>
      <w:r w:rsidRPr="00CE0885">
        <w:rPr>
          <w:spacing w:val="-12"/>
          <w:lang w:eastAsia="en-GB"/>
        </w:rPr>
        <w:t xml:space="preserve"> </w:t>
      </w:r>
      <w:r w:rsidRPr="00CE0885">
        <w:rPr>
          <w:lang w:eastAsia="en-GB"/>
        </w:rPr>
        <w:t>describes the process to determine the action required when a contractor has requested to follow the NHS dispute resolution process or where the Commissioner elects to follow the NHS dispute resolution procedure.</w:t>
      </w:r>
      <w:bookmarkEnd w:id="2375"/>
    </w:p>
    <w:p w14:paraId="35C9B220" w14:textId="107F328B" w:rsidR="00867DFB" w:rsidRPr="00CE0885" w:rsidRDefault="00867DFB" w:rsidP="00A13EB7">
      <w:pPr>
        <w:pStyle w:val="Heading3"/>
        <w:rPr>
          <w:lang w:eastAsia="en-GB"/>
        </w:rPr>
      </w:pPr>
      <w:bookmarkStart w:id="2376" w:name="_Toc440982716"/>
      <w:r w:rsidRPr="00CE0885">
        <w:rPr>
          <w:lang w:eastAsia="en-GB"/>
        </w:rPr>
        <w:t>The policy focuses on primary medical care contracts in their various forms.</w:t>
      </w:r>
      <w:bookmarkEnd w:id="2376"/>
    </w:p>
    <w:p w14:paraId="15C351CA" w14:textId="77777777" w:rsidR="00867DFB" w:rsidRPr="009055A7" w:rsidRDefault="00867DFB" w:rsidP="00867DFB">
      <w:pPr>
        <w:widowControl w:val="0"/>
        <w:spacing w:line="360" w:lineRule="auto"/>
        <w:ind w:left="1414"/>
        <w:jc w:val="both"/>
        <w:rPr>
          <w:rFonts w:cs="Arial"/>
          <w:bCs w:val="0"/>
          <w:sz w:val="20"/>
          <w:szCs w:val="20"/>
          <w:lang w:eastAsia="en-GB"/>
        </w:rPr>
      </w:pPr>
    </w:p>
    <w:p w14:paraId="012575E6" w14:textId="77777777" w:rsidR="00867DFB" w:rsidRPr="00CE0885" w:rsidRDefault="00867DFB" w:rsidP="00EF04D7">
      <w:pPr>
        <w:pStyle w:val="Heading2"/>
        <w:rPr>
          <w:lang w:eastAsia="en-GB"/>
        </w:rPr>
      </w:pPr>
      <w:bookmarkStart w:id="2377" w:name="_Toc440982717"/>
      <w:bookmarkStart w:id="2378" w:name="_Toc95743554"/>
      <w:r w:rsidRPr="00CE0885">
        <w:rPr>
          <w:lang w:eastAsia="en-GB"/>
        </w:rPr>
        <w:t>Background</w:t>
      </w:r>
      <w:bookmarkEnd w:id="2377"/>
      <w:bookmarkEnd w:id="2378"/>
    </w:p>
    <w:p w14:paraId="15289EEC" w14:textId="369AE4DD" w:rsidR="00867DFB" w:rsidRPr="00CE0885" w:rsidRDefault="00867DFB" w:rsidP="00A13EB7">
      <w:pPr>
        <w:pStyle w:val="Heading3"/>
        <w:rPr>
          <w:lang w:eastAsia="en-GB"/>
        </w:rPr>
      </w:pPr>
      <w:bookmarkStart w:id="2379" w:name="_Toc440982718"/>
      <w:r w:rsidRPr="00CE0885">
        <w:rPr>
          <w:lang w:eastAsia="en-GB"/>
        </w:rPr>
        <w:t>The Commissioner must identify whether the contract is an NHS contract or a non-NHS contract. In GMS contracts, the Commissioner can do this by reviewing clause 14 of the standard GMS contract. A similar clause will also be set out within PMS and APMS contracts.</w:t>
      </w:r>
      <w:bookmarkEnd w:id="2379"/>
    </w:p>
    <w:p w14:paraId="52657736" w14:textId="22ADD053" w:rsidR="00867DFB" w:rsidRPr="00CE0885" w:rsidRDefault="00867DFB" w:rsidP="00A13EB7">
      <w:pPr>
        <w:pStyle w:val="Heading3"/>
        <w:rPr>
          <w:lang w:eastAsia="en-GB"/>
        </w:rPr>
      </w:pPr>
      <w:bookmarkStart w:id="2380" w:name="_Toc440982719"/>
      <w:r w:rsidRPr="00CE0885">
        <w:rPr>
          <w:lang w:eastAsia="en-GB"/>
        </w:rPr>
        <w:t>An NHS contract (as set out at section 9 of the NHS Act) is an arrangement under which one health service body arranges for the provision of goods or services to another health service body. It must not be regarded as giving rise to contractual rights or liabilities.</w:t>
      </w:r>
      <w:bookmarkEnd w:id="2380"/>
    </w:p>
    <w:p w14:paraId="199B2FCB" w14:textId="6B02F20E" w:rsidR="00867DFB" w:rsidRPr="00CE0885" w:rsidRDefault="00867DFB" w:rsidP="00A13EB7">
      <w:pPr>
        <w:pStyle w:val="Heading3"/>
        <w:rPr>
          <w:lang w:eastAsia="en-GB"/>
        </w:rPr>
      </w:pPr>
      <w:bookmarkStart w:id="2381" w:name="_Toc440982720"/>
      <w:r w:rsidRPr="00CE0885">
        <w:rPr>
          <w:lang w:eastAsia="en-GB"/>
        </w:rPr>
        <w:t>A non-NHS contract is where the contract is legally binding.</w:t>
      </w:r>
      <w:bookmarkEnd w:id="2381"/>
    </w:p>
    <w:p w14:paraId="71854061" w14:textId="6D5F3515" w:rsidR="00867DFB" w:rsidRPr="00CE0885" w:rsidRDefault="00867DFB" w:rsidP="00A13EB7">
      <w:pPr>
        <w:pStyle w:val="Heading3"/>
        <w:rPr>
          <w:lang w:eastAsia="en-GB"/>
        </w:rPr>
      </w:pPr>
      <w:bookmarkStart w:id="2382" w:name="_Toc440982721"/>
      <w:r w:rsidRPr="00CE0885">
        <w:rPr>
          <w:lang w:eastAsia="en-GB"/>
        </w:rPr>
        <w:t>Contractors have the right to be regarded as a health service body under regulation 10 of the GMS Regulations or regulation 9 of the PMS Regulations or where the APMS contractor is a health service body by virtue of section 9 of the NHS Act.</w:t>
      </w:r>
      <w:bookmarkEnd w:id="2382"/>
    </w:p>
    <w:p w14:paraId="2003CDF0" w14:textId="6007B7B0" w:rsidR="00867DFB" w:rsidRPr="00CE0885" w:rsidRDefault="00867DFB" w:rsidP="00A13EB7">
      <w:pPr>
        <w:pStyle w:val="Heading3"/>
        <w:rPr>
          <w:lang w:eastAsia="en-GB"/>
        </w:rPr>
      </w:pPr>
      <w:bookmarkStart w:id="2383" w:name="_Toc440982722"/>
      <w:r w:rsidRPr="00CE0885">
        <w:rPr>
          <w:lang w:eastAsia="en-GB"/>
        </w:rPr>
        <w:t>Where a contractor is regarded as being a health service body, its contract will be an NHS contract. Where a contractor is not regarded as a health service body, its contract will not be an NHS contract. Health service body status affects the eligibility and application process for NHS dispute resolution.</w:t>
      </w:r>
      <w:bookmarkEnd w:id="2383"/>
      <w:r w:rsidRPr="00CE0885">
        <w:rPr>
          <w:lang w:eastAsia="en-GB"/>
        </w:rPr>
        <w:t xml:space="preserve"> </w:t>
      </w:r>
    </w:p>
    <w:p w14:paraId="4D003E0A" w14:textId="2B167B5A" w:rsidR="00867DFB" w:rsidRPr="00CE0885" w:rsidRDefault="00867DFB" w:rsidP="00A13EB7">
      <w:pPr>
        <w:pStyle w:val="Heading3"/>
        <w:rPr>
          <w:lang w:eastAsia="en-GB"/>
        </w:rPr>
      </w:pPr>
      <w:bookmarkStart w:id="2384" w:name="_Toc440982723"/>
      <w:r w:rsidRPr="00CE0885">
        <w:rPr>
          <w:lang w:eastAsia="en-GB"/>
        </w:rPr>
        <w:t>GMS and PMS contracts require the parties to make every reasonable effort to communicate and co-operate with each other to resolv</w:t>
      </w:r>
      <w:r w:rsidR="00F20423">
        <w:rPr>
          <w:lang w:eastAsia="en-GB"/>
        </w:rPr>
        <w:t>e</w:t>
      </w:r>
      <w:r w:rsidRPr="00CE0885">
        <w:rPr>
          <w:lang w:eastAsia="en-GB"/>
        </w:rPr>
        <w:t xml:space="preserve"> the dispute before referring the dispute for determination in accordance with the NHS dispute resolution procedure or, where applicable, before commencing Court proceedings.</w:t>
      </w:r>
      <w:bookmarkEnd w:id="2384"/>
      <w:r w:rsidRPr="00CE0885">
        <w:rPr>
          <w:lang w:eastAsia="en-GB"/>
        </w:rPr>
        <w:t xml:space="preserve"> </w:t>
      </w:r>
    </w:p>
    <w:p w14:paraId="1D58D4E9" w14:textId="0FE9B2CC" w:rsidR="00867DFB" w:rsidRPr="00CE0885" w:rsidRDefault="00867DFB" w:rsidP="00A13EB7">
      <w:pPr>
        <w:pStyle w:val="Heading3"/>
        <w:rPr>
          <w:lang w:eastAsia="en-GB"/>
        </w:rPr>
      </w:pPr>
      <w:bookmarkStart w:id="2385" w:name="_Toc440982724"/>
      <w:r w:rsidRPr="00CE0885">
        <w:rPr>
          <w:lang w:eastAsia="en-GB"/>
        </w:rPr>
        <w:t>There are two different routes that can be taken for resolving contractual disputes, depending on the contractor’s health service body status:</w:t>
      </w:r>
      <w:bookmarkEnd w:id="2385"/>
    </w:p>
    <w:p w14:paraId="73ECA8DC" w14:textId="6F708C47" w:rsidR="00867DFB" w:rsidRPr="00CE0885" w:rsidRDefault="00867DFB" w:rsidP="00A13EB7">
      <w:pPr>
        <w:pStyle w:val="Heading4"/>
      </w:pPr>
      <w:bookmarkStart w:id="2386" w:name="_Toc440982725"/>
      <w:r w:rsidRPr="00CE0885">
        <w:t>where the contractor is a health service body and the contract is an NHS contract the steps laid out in this policy will be used to resolve all matters of dispute. The parties should not make a claim at Court in relation to the contracts; or</w:t>
      </w:r>
      <w:bookmarkEnd w:id="2386"/>
      <w:r w:rsidRPr="00CE0885">
        <w:t xml:space="preserve"> </w:t>
      </w:r>
    </w:p>
    <w:p w14:paraId="5917054B" w14:textId="24A49F19" w:rsidR="00867DFB" w:rsidRPr="00CE0885" w:rsidRDefault="00867DFB" w:rsidP="00A13EB7">
      <w:pPr>
        <w:pStyle w:val="Heading4"/>
      </w:pPr>
      <w:bookmarkStart w:id="2387" w:name="_Toc440982726"/>
      <w:r w:rsidRPr="00CE0885">
        <w:t>where the contractor is not a health service body and the contract is a non-NHS contract, the dispute can either be resolved using the process described within this policy or using the Court system.</w:t>
      </w:r>
      <w:bookmarkEnd w:id="2387"/>
    </w:p>
    <w:p w14:paraId="6332F45F" w14:textId="78711DD9" w:rsidR="00867DFB" w:rsidRPr="00CE0885" w:rsidRDefault="00867DFB" w:rsidP="00A13EB7">
      <w:pPr>
        <w:pStyle w:val="Heading3"/>
        <w:rPr>
          <w:lang w:eastAsia="en-GB"/>
        </w:rPr>
      </w:pPr>
      <w:bookmarkStart w:id="2388" w:name="_Toc440982727"/>
      <w:r w:rsidRPr="00CE0885">
        <w:rPr>
          <w:lang w:eastAsia="en-GB"/>
        </w:rPr>
        <w:t>The dispute resolution process for APMS contracts is specific to the parties' agreement as set out in the APMS contract. The APMS contract must be reviewed in the event of a dispute and that process followed. The APMS Directions do not require the NHS dispute resolution to be included in the APMS contract and more commercial terms are usually set out.</w:t>
      </w:r>
      <w:bookmarkEnd w:id="2388"/>
    </w:p>
    <w:p w14:paraId="34D5D075" w14:textId="13048DE5" w:rsidR="00867DFB" w:rsidRPr="00CE0885" w:rsidRDefault="00867DFB" w:rsidP="00A13EB7">
      <w:pPr>
        <w:pStyle w:val="Heading3"/>
        <w:rPr>
          <w:lang w:eastAsia="en-GB"/>
        </w:rPr>
      </w:pPr>
      <w:bookmarkStart w:id="2389" w:name="_Toc440982728"/>
      <w:r w:rsidRPr="00CE0885">
        <w:rPr>
          <w:lang w:eastAsia="en-GB"/>
        </w:rPr>
        <w:t xml:space="preserve">The use of the Court system can be an expensive and public route. In normal circumstances, non-health service bodies will elect to follow </w:t>
      </w:r>
      <w:r w:rsidR="00F20423">
        <w:rPr>
          <w:lang w:eastAsia="en-GB"/>
        </w:rPr>
        <w:t xml:space="preserve">the </w:t>
      </w:r>
      <w:r w:rsidRPr="00CE0885">
        <w:rPr>
          <w:lang w:eastAsia="en-GB"/>
        </w:rPr>
        <w:t>NHS dispute resolution.</w:t>
      </w:r>
      <w:bookmarkEnd w:id="2389"/>
    </w:p>
    <w:p w14:paraId="09AADA38" w14:textId="4B0C3DA3" w:rsidR="00867DFB" w:rsidRPr="00CE0885" w:rsidRDefault="00867DFB" w:rsidP="00A13EB7">
      <w:pPr>
        <w:pStyle w:val="Heading3"/>
        <w:rPr>
          <w:lang w:eastAsia="en-GB"/>
        </w:rPr>
      </w:pPr>
      <w:bookmarkStart w:id="2390" w:name="_Toc440982729"/>
      <w:r w:rsidRPr="00CE0885">
        <w:rPr>
          <w:lang w:eastAsia="en-GB"/>
        </w:rPr>
        <w:t xml:space="preserve">Where the parties have followed this policy and </w:t>
      </w:r>
      <w:r w:rsidR="00D8737D">
        <w:rPr>
          <w:lang w:eastAsia="en-GB"/>
        </w:rPr>
        <w:t xml:space="preserve">the </w:t>
      </w:r>
      <w:r w:rsidRPr="00CE0885">
        <w:rPr>
          <w:lang w:eastAsia="en-GB"/>
        </w:rPr>
        <w:t>NHS dispute resolution to the end determination, the result is binding. A second referral to the Court system for a further ruling on the same issue cannot be made other than to enforce the decision as having the status of a County Court Judgement or to seek Judicial Review of the process.</w:t>
      </w:r>
      <w:bookmarkEnd w:id="2390"/>
    </w:p>
    <w:p w14:paraId="7A825548" w14:textId="77777777" w:rsidR="00867DFB" w:rsidRPr="009055A7" w:rsidRDefault="00867DFB" w:rsidP="00867DFB">
      <w:pPr>
        <w:widowControl w:val="0"/>
        <w:spacing w:line="360" w:lineRule="auto"/>
        <w:ind w:left="1414"/>
        <w:jc w:val="both"/>
        <w:rPr>
          <w:rFonts w:cs="Arial"/>
          <w:bCs w:val="0"/>
          <w:sz w:val="20"/>
          <w:szCs w:val="20"/>
          <w:lang w:eastAsia="en-GB"/>
        </w:rPr>
      </w:pPr>
    </w:p>
    <w:p w14:paraId="750E9B2C" w14:textId="77777777" w:rsidR="00867DFB" w:rsidRPr="00CE0885" w:rsidRDefault="00867DFB" w:rsidP="00EF04D7">
      <w:pPr>
        <w:pStyle w:val="Heading2"/>
        <w:rPr>
          <w:lang w:eastAsia="en-GB"/>
        </w:rPr>
      </w:pPr>
      <w:bookmarkStart w:id="2391" w:name="_Toc440982730"/>
      <w:bookmarkStart w:id="2392" w:name="_Toc95743555"/>
      <w:r w:rsidRPr="00CE0885">
        <w:rPr>
          <w:lang w:eastAsia="en-GB"/>
        </w:rPr>
        <w:t>Managing Disputes – Informal Process</w:t>
      </w:r>
      <w:bookmarkEnd w:id="2391"/>
      <w:bookmarkEnd w:id="2392"/>
    </w:p>
    <w:p w14:paraId="4C63D61A" w14:textId="4B50408D" w:rsidR="00867DFB" w:rsidRPr="00CE0885" w:rsidRDefault="00867DFB" w:rsidP="00A13EB7">
      <w:pPr>
        <w:pStyle w:val="Heading3"/>
        <w:rPr>
          <w:lang w:eastAsia="en-GB"/>
        </w:rPr>
      </w:pPr>
      <w:bookmarkStart w:id="2393" w:name="_Toc440982731"/>
      <w:r w:rsidRPr="00CE0885">
        <w:rPr>
          <w:lang w:eastAsia="en-GB"/>
        </w:rPr>
        <w:t>The parties must make every reasonable effort to communicate their issues in relation to decision-making and rationale and must co-operate with each other to resolve any disputes that emerge informally before considering referring the matter for determination through formal dispute resolution procedures.</w:t>
      </w:r>
      <w:bookmarkEnd w:id="2393"/>
    </w:p>
    <w:p w14:paraId="2D198BAC" w14:textId="17B47B6D" w:rsidR="00867DFB" w:rsidRPr="00CE0885" w:rsidRDefault="00867DFB" w:rsidP="00A13EB7">
      <w:pPr>
        <w:pStyle w:val="Heading3"/>
        <w:rPr>
          <w:lang w:eastAsia="en-GB"/>
        </w:rPr>
      </w:pPr>
      <w:bookmarkStart w:id="2394" w:name="_Toc440982732"/>
      <w:r w:rsidRPr="00CE0885">
        <w:rPr>
          <w:lang w:eastAsia="en-GB"/>
        </w:rPr>
        <w:t>The formal process should not be initiated until the informal process has been exhausted and it should be noted that both parties may wish to involve the relevant professional representative (e.g. LMC).</w:t>
      </w:r>
      <w:bookmarkEnd w:id="2394"/>
    </w:p>
    <w:p w14:paraId="4810125C" w14:textId="1F09CE96" w:rsidR="00867DFB" w:rsidRPr="00CE0885" w:rsidRDefault="00867DFB" w:rsidP="00A13EB7">
      <w:pPr>
        <w:pStyle w:val="Heading3"/>
        <w:rPr>
          <w:lang w:eastAsia="en-GB"/>
        </w:rPr>
      </w:pPr>
      <w:bookmarkStart w:id="2395" w:name="_Toc440982733"/>
      <w:r w:rsidRPr="00CE0885">
        <w:rPr>
          <w:lang w:eastAsia="en-GB"/>
        </w:rPr>
        <w:t>The use of an informal resolution process helps develop and sustain a partnership approach between contractor and Commissioner.</w:t>
      </w:r>
      <w:bookmarkEnd w:id="2395"/>
    </w:p>
    <w:p w14:paraId="2B9D3B33" w14:textId="19411DF9" w:rsidR="00867DFB" w:rsidRPr="00CE0885" w:rsidRDefault="00867DFB" w:rsidP="00A13EB7">
      <w:pPr>
        <w:pStyle w:val="Heading3"/>
        <w:rPr>
          <w:lang w:eastAsia="en-GB"/>
        </w:rPr>
      </w:pPr>
      <w:bookmarkStart w:id="2396" w:name="_Toc440982734"/>
      <w:r w:rsidRPr="00CE0885">
        <w:rPr>
          <w:lang w:eastAsia="en-GB"/>
        </w:rPr>
        <w:t>The informal process may include (but is limited to):</w:t>
      </w:r>
      <w:bookmarkEnd w:id="2396"/>
    </w:p>
    <w:p w14:paraId="49F4DCF5" w14:textId="7F734ADF" w:rsidR="00867DFB" w:rsidRPr="00CE0885" w:rsidRDefault="00867DFB" w:rsidP="00A13EB7">
      <w:pPr>
        <w:pStyle w:val="Heading4"/>
      </w:pPr>
      <w:bookmarkStart w:id="2397" w:name="_Toc440982735"/>
      <w:r w:rsidRPr="00CE0885">
        <w:t>regular telephone communications;</w:t>
      </w:r>
      <w:bookmarkEnd w:id="2397"/>
    </w:p>
    <w:p w14:paraId="51CD7D24" w14:textId="20826013" w:rsidR="00867DFB" w:rsidRPr="00CE0885" w:rsidRDefault="00867DFB" w:rsidP="00A13EB7">
      <w:pPr>
        <w:pStyle w:val="Heading4"/>
      </w:pPr>
      <w:bookmarkStart w:id="2398" w:name="_Toc440982736"/>
      <w:r w:rsidRPr="00CE0885">
        <w:t>face-to-face meetings at a mutually convenient location; and/or</w:t>
      </w:r>
      <w:bookmarkEnd w:id="2398"/>
    </w:p>
    <w:p w14:paraId="5346BB9F" w14:textId="35C0C08D" w:rsidR="00867DFB" w:rsidRPr="00CE0885" w:rsidRDefault="00867DFB" w:rsidP="00A13EB7">
      <w:pPr>
        <w:pStyle w:val="Heading4"/>
      </w:pPr>
      <w:bookmarkStart w:id="2399" w:name="_Toc440982737"/>
      <w:r w:rsidRPr="00CE0885">
        <w:t>written communications.</w:t>
      </w:r>
      <w:bookmarkEnd w:id="2399"/>
    </w:p>
    <w:p w14:paraId="5B98B207" w14:textId="500281C2" w:rsidR="00867DFB" w:rsidRPr="00CE0885" w:rsidRDefault="00867DFB" w:rsidP="00A13EB7">
      <w:pPr>
        <w:pStyle w:val="Heading3"/>
        <w:rPr>
          <w:lang w:eastAsia="en-GB"/>
        </w:rPr>
      </w:pPr>
      <w:bookmarkStart w:id="2400" w:name="_Toc440982738"/>
      <w:r w:rsidRPr="00CE0885">
        <w:rPr>
          <w:lang w:eastAsia="en-GB"/>
        </w:rPr>
        <w:t>It is essential that the Commissioner maintains accurate and complete written records of all discussions and correspondence on the contract file in relation to the dispute at all levels of dispute resolution. The Commissioner should ensure that it responds to contractor concerns and communications in a timely and reasonable manner.</w:t>
      </w:r>
      <w:bookmarkEnd w:id="2400"/>
    </w:p>
    <w:p w14:paraId="0BF2ACA2" w14:textId="77777777" w:rsidR="00867DFB" w:rsidRPr="00CE0885" w:rsidRDefault="00867DFB" w:rsidP="00867DFB">
      <w:pPr>
        <w:widowControl w:val="0"/>
        <w:spacing w:line="360" w:lineRule="auto"/>
        <w:ind w:left="1414"/>
        <w:jc w:val="both"/>
        <w:rPr>
          <w:rFonts w:cs="Arial"/>
          <w:bCs w:val="0"/>
          <w:szCs w:val="24"/>
          <w:lang w:eastAsia="en-GB"/>
        </w:rPr>
      </w:pPr>
    </w:p>
    <w:p w14:paraId="77D58084" w14:textId="77777777" w:rsidR="00867DFB" w:rsidRPr="00CE0885" w:rsidRDefault="00867DFB" w:rsidP="00EF04D7">
      <w:pPr>
        <w:pStyle w:val="Heading2"/>
        <w:rPr>
          <w:lang w:eastAsia="en-GB"/>
        </w:rPr>
      </w:pPr>
      <w:bookmarkStart w:id="2401" w:name="_Toc440982739"/>
      <w:bookmarkStart w:id="2402" w:name="_Toc95743556"/>
      <w:r w:rsidRPr="00CE0885">
        <w:rPr>
          <w:lang w:eastAsia="en-GB"/>
        </w:rPr>
        <w:t>Managing Disputes – Stage 1 (Local Dispute Resolution)</w:t>
      </w:r>
      <w:bookmarkEnd w:id="2401"/>
      <w:bookmarkEnd w:id="2402"/>
    </w:p>
    <w:p w14:paraId="54B03499" w14:textId="2E35D65C" w:rsidR="00867DFB" w:rsidRPr="00CE0885" w:rsidRDefault="00867DFB" w:rsidP="00A13EB7">
      <w:pPr>
        <w:pStyle w:val="Heading3"/>
        <w:rPr>
          <w:lang w:eastAsia="en-GB"/>
        </w:rPr>
      </w:pPr>
      <w:bookmarkStart w:id="2403" w:name="_Toc440982740"/>
      <w:r w:rsidRPr="00CE0885">
        <w:rPr>
          <w:lang w:eastAsia="en-GB"/>
        </w:rPr>
        <w:t>The timescales set out in this stage 1 are indicative only. The Commissioner should ensure any timescales used are appropriate to the circumstances. Regardless of timescales, the parties must ensure that every reasonable effort to communicate and co-operate with each other is made prior to invoking stage 2 of the NHS dispute resolution procedure.</w:t>
      </w:r>
      <w:bookmarkEnd w:id="2403"/>
    </w:p>
    <w:p w14:paraId="06DEBA1C" w14:textId="4F0A4282" w:rsidR="00867DFB" w:rsidRPr="00CE0885" w:rsidRDefault="00867DFB" w:rsidP="00A13EB7">
      <w:pPr>
        <w:pStyle w:val="Heading3"/>
        <w:rPr>
          <w:lang w:eastAsia="en-GB"/>
        </w:rPr>
      </w:pPr>
      <w:bookmarkStart w:id="2404" w:name="_Toc440982741"/>
      <w:r w:rsidRPr="00CE0885">
        <w:rPr>
          <w:lang w:eastAsia="en-GB"/>
        </w:rPr>
        <w:t>Where a dispute arises, the Commissioner should refer to the relevant policy that covers the issue that caused the dispute to determine whether due process has been followed.</w:t>
      </w:r>
      <w:bookmarkEnd w:id="2404"/>
    </w:p>
    <w:p w14:paraId="2996868F" w14:textId="41F6CEA6" w:rsidR="00867DFB" w:rsidRPr="00CE0885" w:rsidRDefault="00867DFB" w:rsidP="00A13EB7">
      <w:pPr>
        <w:pStyle w:val="Heading3"/>
        <w:rPr>
          <w:lang w:eastAsia="en-GB"/>
        </w:rPr>
      </w:pPr>
      <w:bookmarkStart w:id="2405" w:name="_Toc440982742"/>
      <w:r w:rsidRPr="00CE0885">
        <w:rPr>
          <w:lang w:eastAsia="en-GB"/>
        </w:rPr>
        <w:t>The contractor should notify the Commissioner of its intention to dispute one or more decisions made in relation to its contract.  This notification should usually be received no later than 28 days after the Commissioner advises the contractor of its decision except in exceptional circumstances.</w:t>
      </w:r>
      <w:bookmarkEnd w:id="2405"/>
      <w:r w:rsidRPr="00CE0885">
        <w:rPr>
          <w:lang w:eastAsia="en-GB"/>
        </w:rPr>
        <w:t xml:space="preserve"> </w:t>
      </w:r>
    </w:p>
    <w:p w14:paraId="0EB4F33E" w14:textId="3E29990C" w:rsidR="00867DFB" w:rsidRPr="00CE0885" w:rsidRDefault="00867DFB" w:rsidP="00A13EB7">
      <w:pPr>
        <w:pStyle w:val="Heading3"/>
        <w:rPr>
          <w:lang w:eastAsia="en-GB"/>
        </w:rPr>
      </w:pPr>
      <w:bookmarkStart w:id="2406" w:name="_Toc440982743"/>
      <w:r w:rsidRPr="00CE0885">
        <w:rPr>
          <w:lang w:eastAsia="en-GB"/>
        </w:rPr>
        <w:t>The Commissioner will immediately cease all action</w:t>
      </w:r>
      <w:r w:rsidR="00B81C7F">
        <w:rPr>
          <w:lang w:eastAsia="en-GB"/>
        </w:rPr>
        <w:t>s</w:t>
      </w:r>
      <w:r w:rsidRPr="00CE0885">
        <w:rPr>
          <w:lang w:eastAsia="en-GB"/>
        </w:rPr>
        <w:t xml:space="preserve"> in relation to the disputed notice or decision, until:</w:t>
      </w:r>
      <w:bookmarkEnd w:id="2406"/>
    </w:p>
    <w:p w14:paraId="4EE45C73" w14:textId="05CD08AA" w:rsidR="00867DFB" w:rsidRPr="00CE0885" w:rsidRDefault="00867DFB" w:rsidP="00A553BA">
      <w:pPr>
        <w:pStyle w:val="Heading4"/>
        <w:spacing w:before="120"/>
      </w:pPr>
      <w:bookmarkStart w:id="2407" w:name="_Toc440982744"/>
      <w:r w:rsidRPr="00CE0885">
        <w:t>there has been a determination of the dispute and that determination permits the Commissioner to impose the planned action; or</w:t>
      </w:r>
      <w:bookmarkEnd w:id="2407"/>
    </w:p>
    <w:p w14:paraId="29BB9A32" w14:textId="3378FC04" w:rsidR="00867DFB" w:rsidRPr="00CE0885" w:rsidRDefault="00867DFB" w:rsidP="00A553BA">
      <w:pPr>
        <w:pStyle w:val="Heading4"/>
        <w:spacing w:before="120"/>
      </w:pPr>
      <w:bookmarkStart w:id="2408" w:name="_Toc440982745"/>
      <w:r w:rsidRPr="00CE0885">
        <w:t>the contractor ceases to pursue the NHS dispute resolution procedure or Court proceedings,</w:t>
      </w:r>
      <w:bookmarkEnd w:id="2408"/>
    </w:p>
    <w:p w14:paraId="1D1731A7" w14:textId="37A9B9BE" w:rsidR="00867DFB" w:rsidRPr="00CE0885" w:rsidRDefault="00867DFB" w:rsidP="00A553BA">
      <w:pPr>
        <w:pStyle w:val="Heading4"/>
        <w:spacing w:before="120"/>
      </w:pPr>
      <w:bookmarkStart w:id="2409" w:name="_Toc440982746"/>
      <w:r w:rsidRPr="00CE0885">
        <w:t>whichever is the sooner.</w:t>
      </w:r>
      <w:bookmarkEnd w:id="2409"/>
    </w:p>
    <w:p w14:paraId="1DD8A412" w14:textId="636F9633" w:rsidR="00867DFB" w:rsidRPr="00CE0885" w:rsidRDefault="00867DFB" w:rsidP="00A13EB7">
      <w:pPr>
        <w:pStyle w:val="Heading3"/>
        <w:rPr>
          <w:lang w:eastAsia="en-GB"/>
        </w:rPr>
      </w:pPr>
      <w:bookmarkStart w:id="2410" w:name="_Toc440982747"/>
      <w:r w:rsidRPr="00CE0885">
        <w:rPr>
          <w:lang w:eastAsia="en-GB"/>
        </w:rPr>
        <w:t>Where the Commissioner is satisfied that it is necessary to terminate the contract or impose a Contract Sanction before the NHS dispute resolution procedure is concluded in order to:</w:t>
      </w:r>
      <w:bookmarkEnd w:id="2410"/>
    </w:p>
    <w:p w14:paraId="1B1AF632" w14:textId="322B1E63" w:rsidR="00867DFB" w:rsidRPr="00CE0885" w:rsidRDefault="00867DFB" w:rsidP="00A13EB7">
      <w:pPr>
        <w:pStyle w:val="Heading4"/>
      </w:pPr>
      <w:bookmarkStart w:id="2411" w:name="_Toc440982748"/>
      <w:r w:rsidRPr="00CE0885">
        <w:t>protect the safety of the contractor’s patients; or</w:t>
      </w:r>
      <w:bookmarkEnd w:id="2411"/>
      <w:r w:rsidRPr="00CE0885">
        <w:t xml:space="preserve"> </w:t>
      </w:r>
    </w:p>
    <w:p w14:paraId="7463A3B8" w14:textId="1AAD4008" w:rsidR="00867DFB" w:rsidRPr="00CE0885" w:rsidRDefault="00867DFB" w:rsidP="00A13EB7">
      <w:pPr>
        <w:pStyle w:val="Heading4"/>
      </w:pPr>
      <w:bookmarkStart w:id="2412" w:name="_Toc440982749"/>
      <w:r w:rsidRPr="00CE0885">
        <w:t>protect NHS England from material financial loss;</w:t>
      </w:r>
      <w:bookmarkEnd w:id="2412"/>
      <w:r w:rsidRPr="00CE0885">
        <w:t xml:space="preserve"> </w:t>
      </w:r>
    </w:p>
    <w:p w14:paraId="2D8CB598" w14:textId="419DD6F6" w:rsidR="00867DFB" w:rsidRPr="00CE0885" w:rsidRDefault="00867DFB" w:rsidP="00A13EB7">
      <w:pPr>
        <w:pStyle w:val="Heading4"/>
      </w:pPr>
      <w:bookmarkStart w:id="2413" w:name="_Toc440982750"/>
      <w:r w:rsidRPr="00CE0885">
        <w:t>then the Commissioner shall be entitled to terminate the contract or impose the contract sanction at the end of the period of notice it served. This should only be followed with close reference to the GMS Regulations and PMS Regulations, pending the outcome of that procedure.</w:t>
      </w:r>
      <w:bookmarkEnd w:id="2413"/>
      <w:r w:rsidRPr="00CE0885">
        <w:t xml:space="preserve"> </w:t>
      </w:r>
    </w:p>
    <w:p w14:paraId="0A1F437E" w14:textId="6E329F94" w:rsidR="00867DFB" w:rsidRPr="00CE0885" w:rsidRDefault="00867DFB" w:rsidP="00A13EB7">
      <w:pPr>
        <w:pStyle w:val="Heading3"/>
        <w:rPr>
          <w:lang w:eastAsia="en-GB"/>
        </w:rPr>
      </w:pPr>
      <w:bookmarkStart w:id="2414" w:name="_Toc440982751"/>
      <w:r w:rsidRPr="00CE0885">
        <w:rPr>
          <w:lang w:eastAsia="en-GB"/>
        </w:rPr>
        <w:t>The paragraphs below set out a process that may be adopted for stage 1 (Local Dispute Resolution).</w:t>
      </w:r>
      <w:bookmarkEnd w:id="2414"/>
    </w:p>
    <w:p w14:paraId="6C6CDFE2" w14:textId="54F9DEB5" w:rsidR="00867DFB" w:rsidRPr="00CE0885" w:rsidRDefault="00867DFB" w:rsidP="00A13EB7">
      <w:pPr>
        <w:pStyle w:val="Heading3"/>
        <w:rPr>
          <w:lang w:eastAsia="en-GB"/>
        </w:rPr>
      </w:pPr>
      <w:bookmarkStart w:id="2415" w:name="_Toc440982752"/>
      <w:r w:rsidRPr="00CE0885">
        <w:rPr>
          <w:lang w:eastAsia="en-GB"/>
        </w:rPr>
        <w:t>The Commissioner may acknowledge the notification of dispute within seven days of receipt and request the submission of supporting evidence from the contractor within a further 28 days from the date they receive the letter. An example acknowledgement letter is provided in Annex 1.</w:t>
      </w:r>
      <w:bookmarkEnd w:id="2415"/>
    </w:p>
    <w:p w14:paraId="27D5DA43" w14:textId="136FE047" w:rsidR="00867DFB" w:rsidRPr="00CE0885" w:rsidRDefault="00867DFB" w:rsidP="00A13EB7">
      <w:pPr>
        <w:pStyle w:val="Heading3"/>
        <w:rPr>
          <w:lang w:eastAsia="en-GB"/>
        </w:rPr>
      </w:pPr>
      <w:bookmarkStart w:id="2416" w:name="_Toc440982753"/>
      <w:r w:rsidRPr="00CE0885">
        <w:rPr>
          <w:lang w:eastAsia="en-GB"/>
        </w:rPr>
        <w:t>Upon receipt of the evidence the Commissioner should review the evidence within 28 days and invite the contractor to attend a meeting, which should be as soon as possible, but at the very latest within a further 28 days. The contractor(s) has the opportunity to invite representative bodies to support it at the meeting, for example, the LMC. An example invite letter is provided in Annex 2.</w:t>
      </w:r>
      <w:bookmarkEnd w:id="2416"/>
    </w:p>
    <w:p w14:paraId="52230B3D" w14:textId="4D13DD20" w:rsidR="00867DFB" w:rsidRPr="00CE0885" w:rsidRDefault="00867DFB" w:rsidP="00A13EB7">
      <w:pPr>
        <w:pStyle w:val="Heading3"/>
        <w:rPr>
          <w:lang w:eastAsia="en-GB"/>
        </w:rPr>
      </w:pPr>
      <w:bookmarkStart w:id="2417" w:name="_Toc440982754"/>
      <w:r w:rsidRPr="00CE0885">
        <w:rPr>
          <w:lang w:eastAsia="en-GB"/>
        </w:rPr>
        <w:t>Once the meeting has been held, the Commissioner should notify the contractor in writing of the outcome of the meeting, whether the dispute will now need to be moved to stage 2 of the NHS dispute resolution procedure (refer to the example stage 1 outcome letter in Annex 3) or that the dispute has been successfully resolved (refer to the example stage 1 outcome letter in Annex 4).</w:t>
      </w:r>
      <w:bookmarkEnd w:id="2417"/>
    </w:p>
    <w:p w14:paraId="25730744" w14:textId="0BB5AEC0" w:rsidR="00867DFB" w:rsidRPr="00CE0885" w:rsidRDefault="00867DFB" w:rsidP="00A13EB7">
      <w:pPr>
        <w:pStyle w:val="Heading3"/>
        <w:rPr>
          <w:lang w:eastAsia="en-GB"/>
        </w:rPr>
      </w:pPr>
      <w:bookmarkStart w:id="2418" w:name="_Toc440982755"/>
      <w:r w:rsidRPr="00CE0885">
        <w:rPr>
          <w:lang w:eastAsia="en-GB"/>
        </w:rPr>
        <w:t>Where the matter is resolved, the issue can be deemed closed and the Commissioner should document the outcome accordingly on the contract file.</w:t>
      </w:r>
      <w:bookmarkEnd w:id="2418"/>
    </w:p>
    <w:p w14:paraId="48EA88F4" w14:textId="3DB447C2" w:rsidR="00867DFB" w:rsidRPr="00CE0885" w:rsidRDefault="00867DFB" w:rsidP="00A13EB7">
      <w:pPr>
        <w:pStyle w:val="Heading3"/>
        <w:rPr>
          <w:lang w:eastAsia="en-GB"/>
        </w:rPr>
      </w:pPr>
      <w:bookmarkStart w:id="2419" w:name="_Toc440982756"/>
      <w:r w:rsidRPr="00CE0885">
        <w:rPr>
          <w:lang w:eastAsia="en-GB"/>
        </w:rPr>
        <w:t>Where the matter remains unresolved, the process may be escalated to the next stage of the dispute resolution procedure.</w:t>
      </w:r>
      <w:bookmarkEnd w:id="2419"/>
    </w:p>
    <w:p w14:paraId="6894DCE4" w14:textId="65E57FEA" w:rsidR="00867DFB" w:rsidRPr="00CE0885" w:rsidRDefault="00867DFB" w:rsidP="00A13EB7">
      <w:pPr>
        <w:pStyle w:val="Heading3"/>
        <w:rPr>
          <w:lang w:eastAsia="en-GB"/>
        </w:rPr>
      </w:pPr>
      <w:bookmarkStart w:id="2420" w:name="_Toc440982757"/>
      <w:r w:rsidRPr="00CE0885">
        <w:rPr>
          <w:lang w:eastAsia="en-GB"/>
        </w:rPr>
        <w:t xml:space="preserve">At this point the Commissioner should commence preparation of the contract file to ensure that if and when </w:t>
      </w:r>
      <w:r w:rsidR="009414F6">
        <w:rPr>
          <w:lang w:eastAsia="en-GB"/>
        </w:rPr>
        <w:t xml:space="preserve">NHSR </w:t>
      </w:r>
      <w:r w:rsidRPr="00CE0885">
        <w:rPr>
          <w:lang w:eastAsia="en-GB"/>
        </w:rPr>
        <w:t>or Court requests submission of evidence in respect of the dispute the documentation is in order.</w:t>
      </w:r>
      <w:bookmarkEnd w:id="2420"/>
      <w:r w:rsidRPr="00CE0885">
        <w:rPr>
          <w:lang w:eastAsia="en-GB"/>
        </w:rPr>
        <w:t xml:space="preserve"> </w:t>
      </w:r>
    </w:p>
    <w:p w14:paraId="31EB1861" w14:textId="77777777" w:rsidR="00867DFB" w:rsidRPr="009055A7" w:rsidRDefault="00867DFB" w:rsidP="00867DFB">
      <w:pPr>
        <w:widowControl w:val="0"/>
        <w:spacing w:line="360" w:lineRule="auto"/>
        <w:ind w:left="1414"/>
        <w:jc w:val="both"/>
        <w:rPr>
          <w:rFonts w:cs="Arial"/>
          <w:bCs w:val="0"/>
          <w:sz w:val="20"/>
          <w:szCs w:val="20"/>
          <w:lang w:eastAsia="en-GB"/>
        </w:rPr>
      </w:pPr>
    </w:p>
    <w:p w14:paraId="23131D41" w14:textId="77777777" w:rsidR="00867DFB" w:rsidRPr="00CE0885" w:rsidRDefault="00867DFB" w:rsidP="00EF04D7">
      <w:pPr>
        <w:pStyle w:val="Heading2"/>
        <w:rPr>
          <w:lang w:eastAsia="en-GB"/>
        </w:rPr>
      </w:pPr>
      <w:bookmarkStart w:id="2421" w:name="_Toc440982758"/>
      <w:bookmarkStart w:id="2422" w:name="_Toc95743557"/>
      <w:r w:rsidRPr="00CE0885">
        <w:rPr>
          <w:lang w:eastAsia="en-GB"/>
        </w:rPr>
        <w:t>Managing Disputes – Stage 2 (NHS Dispute Resolution Procedure)</w:t>
      </w:r>
      <w:bookmarkEnd w:id="2421"/>
      <w:bookmarkEnd w:id="2422"/>
    </w:p>
    <w:p w14:paraId="2F55FC30" w14:textId="6E2FD9CE" w:rsidR="00867DFB" w:rsidRPr="00CE0885" w:rsidRDefault="00867DFB" w:rsidP="00A13EB7">
      <w:pPr>
        <w:pStyle w:val="Heading3"/>
        <w:rPr>
          <w:lang w:eastAsia="en-GB"/>
        </w:rPr>
      </w:pPr>
      <w:bookmarkStart w:id="2423" w:name="_Toc440982759"/>
      <w:r w:rsidRPr="00CE0885">
        <w:rPr>
          <w:lang w:eastAsia="en-GB"/>
        </w:rPr>
        <w:t>The informal process and stage 1 (Local Dispute Resolution) should be exhausted before proceeding to this stage of the process.  The Commissioner or a contractor wishing to follow this route must submit a written request for dispute resolution to</w:t>
      </w:r>
      <w:r w:rsidR="00D95769">
        <w:rPr>
          <w:lang w:eastAsia="en-GB"/>
        </w:rPr>
        <w:t xml:space="preserve"> Primary Care Appeals </w:t>
      </w:r>
      <w:r w:rsidR="00082A47">
        <w:rPr>
          <w:lang w:eastAsia="en-GB"/>
        </w:rPr>
        <w:t xml:space="preserve">(PCA) </w:t>
      </w:r>
      <w:r w:rsidR="00D95769">
        <w:rPr>
          <w:lang w:eastAsia="en-GB"/>
        </w:rPr>
        <w:t xml:space="preserve">at </w:t>
      </w:r>
      <w:r w:rsidR="009414F6">
        <w:rPr>
          <w:lang w:eastAsia="en-GB"/>
        </w:rPr>
        <w:t>NHSR</w:t>
      </w:r>
      <w:r w:rsidRPr="00CE0885">
        <w:rPr>
          <w:lang w:eastAsia="en-GB"/>
        </w:rPr>
        <w:t>, which carries out the NHS dispute resolution functions of the Secretary of State in the GMS Regulations and the PMS Regulations, which should include:</w:t>
      </w:r>
      <w:bookmarkEnd w:id="2423"/>
    </w:p>
    <w:p w14:paraId="10B89269" w14:textId="1F47826F" w:rsidR="00867DFB" w:rsidRPr="00CE0885" w:rsidRDefault="00867DFB" w:rsidP="00A13EB7">
      <w:pPr>
        <w:pStyle w:val="Heading4"/>
      </w:pPr>
      <w:bookmarkStart w:id="2424" w:name="_Toc440982760"/>
      <w:r w:rsidRPr="00CE0885">
        <w:t>the names and addresses of the parties to the dispute;</w:t>
      </w:r>
      <w:bookmarkEnd w:id="2424"/>
    </w:p>
    <w:p w14:paraId="13D578E0" w14:textId="2B17F6C1" w:rsidR="00867DFB" w:rsidRPr="00CE0885" w:rsidRDefault="00867DFB" w:rsidP="00A13EB7">
      <w:pPr>
        <w:pStyle w:val="Heading4"/>
      </w:pPr>
      <w:bookmarkStart w:id="2425" w:name="_Toc440982761"/>
      <w:r w:rsidRPr="00CE0885">
        <w:t>a copy of the contract; and</w:t>
      </w:r>
      <w:bookmarkEnd w:id="2425"/>
    </w:p>
    <w:p w14:paraId="7F8ADBB9" w14:textId="0A8ACC25" w:rsidR="00867DFB" w:rsidRPr="00CE0885" w:rsidRDefault="00867DFB" w:rsidP="00A13EB7">
      <w:pPr>
        <w:pStyle w:val="Heading4"/>
      </w:pPr>
      <w:bookmarkStart w:id="2426" w:name="_Toc440982762"/>
      <w:r w:rsidRPr="00CE0885">
        <w:t>a brief statement describing the nature and circumstances of the dispute.</w:t>
      </w:r>
      <w:bookmarkEnd w:id="2426"/>
    </w:p>
    <w:p w14:paraId="0D1C4ACF" w14:textId="63AFFFD5" w:rsidR="00867DFB" w:rsidRPr="00CE0885" w:rsidRDefault="00867DFB" w:rsidP="00A13EB7">
      <w:pPr>
        <w:pStyle w:val="Heading3"/>
        <w:rPr>
          <w:lang w:eastAsia="en-GB"/>
        </w:rPr>
      </w:pPr>
      <w:bookmarkStart w:id="2427" w:name="_Toc440982763"/>
      <w:r w:rsidRPr="00CE0885">
        <w:rPr>
          <w:lang w:eastAsia="en-GB"/>
        </w:rPr>
        <w:t xml:space="preserve">The written request for dispute resolution must be sent within three years from the date on which the matter gives rise to the dispute occurred or should have reasonably come to the attention of the party wishing to refer the dispute. Please see </w:t>
      </w:r>
      <w:r w:rsidR="009414F6">
        <w:rPr>
          <w:lang w:eastAsia="en-GB"/>
        </w:rPr>
        <w:t>NHSR</w:t>
      </w:r>
      <w:r w:rsidR="00082A47">
        <w:rPr>
          <w:lang w:eastAsia="en-GB"/>
        </w:rPr>
        <w:t xml:space="preserve"> PCA</w:t>
      </w:r>
      <w:r w:rsidR="009414F6">
        <w:rPr>
          <w:lang w:eastAsia="en-GB"/>
        </w:rPr>
        <w:t xml:space="preserve"> (</w:t>
      </w:r>
      <w:r w:rsidR="009F1EC8">
        <w:rPr>
          <w:lang w:eastAsia="en-GB"/>
        </w:rPr>
        <w:t>formerly</w:t>
      </w:r>
      <w:r w:rsidR="009414F6">
        <w:rPr>
          <w:lang w:eastAsia="en-GB"/>
        </w:rPr>
        <w:t xml:space="preserve"> </w:t>
      </w:r>
      <w:r w:rsidRPr="00CE0885">
        <w:rPr>
          <w:lang w:eastAsia="en-GB"/>
        </w:rPr>
        <w:t>FHSAU</w:t>
      </w:r>
      <w:r w:rsidR="009414F6">
        <w:rPr>
          <w:lang w:eastAsia="en-GB"/>
        </w:rPr>
        <w:t>)</w:t>
      </w:r>
      <w:r w:rsidRPr="00CE0885">
        <w:rPr>
          <w:lang w:eastAsia="en-GB"/>
        </w:rPr>
        <w:t xml:space="preserve"> determination reference 17156 for further details on the date that the dispute should have reasonably come to the attention of the relevant party.</w:t>
      </w:r>
      <w:bookmarkEnd w:id="2427"/>
    </w:p>
    <w:p w14:paraId="116EB1C2" w14:textId="6311E850" w:rsidR="00867DFB" w:rsidRPr="00CE0885" w:rsidRDefault="00867DFB" w:rsidP="00A13EB7">
      <w:pPr>
        <w:pStyle w:val="Heading3"/>
        <w:rPr>
          <w:lang w:eastAsia="en-GB"/>
        </w:rPr>
      </w:pPr>
      <w:bookmarkStart w:id="2428" w:name="_Toc440982764"/>
      <w:r w:rsidRPr="00CE0885">
        <w:rPr>
          <w:lang w:eastAsia="en-GB"/>
        </w:rPr>
        <w:t>The Commissioner will be required to prepare documentation evidence and potentially an oral presentation in response to evidence presented in support of the dispute. Each party will be asked to prepare representations on the dispute, which will be circulated to the other party and an opportunity to provide observations on the other party's representations will be given. Again, the observations of each party will be circulated to the other party.</w:t>
      </w:r>
      <w:bookmarkEnd w:id="2428"/>
    </w:p>
    <w:p w14:paraId="5EA608B0" w14:textId="7E883D05" w:rsidR="00867DFB" w:rsidRPr="00CE0885" w:rsidRDefault="00867DFB" w:rsidP="00A13EB7">
      <w:pPr>
        <w:pStyle w:val="Heading3"/>
        <w:rPr>
          <w:lang w:eastAsia="en-GB"/>
        </w:rPr>
      </w:pPr>
      <w:bookmarkStart w:id="2429" w:name="_Toc440982765"/>
      <w:r w:rsidRPr="00CE0885">
        <w:rPr>
          <w:lang w:eastAsia="en-GB"/>
        </w:rPr>
        <w:t xml:space="preserve">The Commissioner should not underestimate the preparation that will be required in the event that evidence is required by </w:t>
      </w:r>
      <w:r w:rsidR="009414F6">
        <w:rPr>
          <w:lang w:eastAsia="en-GB"/>
        </w:rPr>
        <w:t>NHSR</w:t>
      </w:r>
      <w:r w:rsidR="00082A47">
        <w:rPr>
          <w:lang w:eastAsia="en-GB"/>
        </w:rPr>
        <w:t xml:space="preserve"> PCA</w:t>
      </w:r>
      <w:r w:rsidRPr="00CE0885">
        <w:rPr>
          <w:lang w:eastAsia="en-GB"/>
        </w:rPr>
        <w:t>, as all records pertaining to the contractor in question may be required, including (but not limited to) all contract documentation and contract variations, all written correspondence (both to and from the Commissioner and the contractor) and any electronic correspondence that may have passed between the parties, in relation to the dispute. This process will benefit from a clearly recorded contract file.</w:t>
      </w:r>
      <w:bookmarkEnd w:id="2429"/>
    </w:p>
    <w:p w14:paraId="22A81E08" w14:textId="3194B896" w:rsidR="00867DFB" w:rsidRPr="00CE0885" w:rsidRDefault="00867DFB" w:rsidP="00A13EB7">
      <w:pPr>
        <w:pStyle w:val="Heading3"/>
        <w:rPr>
          <w:lang w:eastAsia="en-GB"/>
        </w:rPr>
      </w:pPr>
      <w:bookmarkStart w:id="2430" w:name="_Toc440982766"/>
      <w:r w:rsidRPr="00CE0885">
        <w:rPr>
          <w:lang w:eastAsia="en-GB"/>
        </w:rPr>
        <w:t xml:space="preserve">The Commissioner must ensure that records of communications and contract files are maintained to a high standard and all documentary evidence is collated correctly prior to submission to </w:t>
      </w:r>
      <w:bookmarkEnd w:id="2430"/>
      <w:r w:rsidR="009414F6">
        <w:rPr>
          <w:lang w:eastAsia="en-GB"/>
        </w:rPr>
        <w:t>NHSR</w:t>
      </w:r>
      <w:r w:rsidR="00082A47">
        <w:rPr>
          <w:lang w:eastAsia="en-GB"/>
        </w:rPr>
        <w:t xml:space="preserve"> PCA</w:t>
      </w:r>
    </w:p>
    <w:p w14:paraId="2694E76F" w14:textId="50D89948" w:rsidR="00867DFB" w:rsidRPr="00CE0885" w:rsidRDefault="00867DFB" w:rsidP="00A13EB7">
      <w:pPr>
        <w:pStyle w:val="Heading3"/>
        <w:rPr>
          <w:lang w:eastAsia="en-GB"/>
        </w:rPr>
      </w:pPr>
      <w:bookmarkStart w:id="2431" w:name="_Toc440982767"/>
      <w:r w:rsidRPr="00CE0885">
        <w:rPr>
          <w:lang w:eastAsia="en-GB"/>
        </w:rPr>
        <w:t xml:space="preserve">Once </w:t>
      </w:r>
      <w:r w:rsidR="009414F6">
        <w:rPr>
          <w:lang w:eastAsia="en-GB"/>
        </w:rPr>
        <w:t>NHSR</w:t>
      </w:r>
      <w:r w:rsidRPr="00CE0885">
        <w:rPr>
          <w:lang w:eastAsia="en-GB"/>
        </w:rPr>
        <w:t xml:space="preserve"> </w:t>
      </w:r>
      <w:r w:rsidR="00082A47">
        <w:rPr>
          <w:lang w:eastAsia="en-GB"/>
        </w:rPr>
        <w:t xml:space="preserve">PCA </w:t>
      </w:r>
      <w:r w:rsidRPr="00CE0885">
        <w:rPr>
          <w:lang w:eastAsia="en-GB"/>
        </w:rPr>
        <w:t xml:space="preserve">has reached a conclusion (the determination) the Commissioner will receive a copy and will be required to act upon it. A copy of the Guidance Note for parties involved in Dispute Resolution at the </w:t>
      </w:r>
      <w:r w:rsidR="009414F6">
        <w:rPr>
          <w:lang w:eastAsia="en-GB"/>
        </w:rPr>
        <w:t>NHSR</w:t>
      </w:r>
      <w:r w:rsidR="00082A47">
        <w:rPr>
          <w:lang w:eastAsia="en-GB"/>
        </w:rPr>
        <w:t xml:space="preserve"> PCA</w:t>
      </w:r>
      <w:r w:rsidRPr="00CE0885">
        <w:rPr>
          <w:lang w:eastAsia="en-GB"/>
        </w:rPr>
        <w:t xml:space="preserve"> is attached in Annex 5 and should be followed by the parties to the dispute.</w:t>
      </w:r>
      <w:bookmarkEnd w:id="2431"/>
    </w:p>
    <w:p w14:paraId="397F4E96" w14:textId="77777777" w:rsidR="00867DFB" w:rsidRPr="00CE0885" w:rsidRDefault="00867DFB" w:rsidP="003331F2">
      <w:pPr>
        <w:pStyle w:val="BodyText"/>
      </w:pPr>
    </w:p>
    <w:tbl>
      <w:tblPr>
        <w:tblStyle w:val="TableGrid4"/>
        <w:tblW w:w="0" w:type="auto"/>
        <w:tblInd w:w="1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C6CB4"/>
        <w:tblCellMar>
          <w:top w:w="227" w:type="dxa"/>
          <w:left w:w="227" w:type="dxa"/>
          <w:bottom w:w="227" w:type="dxa"/>
          <w:right w:w="227" w:type="dxa"/>
        </w:tblCellMar>
        <w:tblLook w:val="04A0" w:firstRow="1" w:lastRow="0" w:firstColumn="1" w:lastColumn="0" w:noHBand="0" w:noVBand="1"/>
        <w:tblCaption w:val="a text box"/>
        <w:tblDescription w:val="a text box"/>
      </w:tblPr>
      <w:tblGrid>
        <w:gridCol w:w="7654"/>
      </w:tblGrid>
      <w:tr w:rsidR="00867DFB" w:rsidRPr="00CE0885" w14:paraId="52C9A826" w14:textId="77777777" w:rsidTr="00E509C8">
        <w:trPr>
          <w:tblHeader/>
        </w:trPr>
        <w:tc>
          <w:tcPr>
            <w:tcW w:w="7654" w:type="dxa"/>
            <w:shd w:val="clear" w:color="auto" w:fill="1C6CB4"/>
          </w:tcPr>
          <w:p w14:paraId="63F6B259" w14:textId="66EDDA76" w:rsidR="00867DFB" w:rsidRPr="004D1994" w:rsidRDefault="00700354" w:rsidP="00867DFB">
            <w:pPr>
              <w:tabs>
                <w:tab w:val="left" w:pos="2268"/>
              </w:tabs>
              <w:spacing w:line="360" w:lineRule="auto"/>
              <w:jc w:val="both"/>
              <w:outlineLvl w:val="1"/>
              <w:rPr>
                <w:rFonts w:ascii="Arial" w:hAnsi="Arial" w:cs="Arial"/>
                <w:bCs w:val="0"/>
                <w:color w:val="FFFFFF" w:themeColor="background1"/>
                <w:szCs w:val="24"/>
                <w:lang w:eastAsia="en-GB"/>
              </w:rPr>
            </w:pPr>
            <w:bookmarkStart w:id="2432" w:name="_Toc440982768"/>
            <w:bookmarkStart w:id="2433" w:name="_Toc95743558"/>
            <w:r>
              <w:rPr>
                <w:rFonts w:ascii="Arial" w:hAnsi="Arial" w:cs="Arial"/>
                <w:bCs w:val="0"/>
                <w:color w:val="FFFFFF" w:themeColor="background1"/>
                <w:szCs w:val="24"/>
                <w:lang w:eastAsia="en-GB"/>
              </w:rPr>
              <w:t>D</w:t>
            </w:r>
            <w:r w:rsidR="00867DFB" w:rsidRPr="004D1994">
              <w:rPr>
                <w:rFonts w:ascii="Arial" w:hAnsi="Arial" w:cs="Arial"/>
                <w:bCs w:val="0"/>
                <w:color w:val="FFFFFF" w:themeColor="background1"/>
                <w:szCs w:val="24"/>
                <w:lang w:eastAsia="en-GB"/>
              </w:rPr>
              <w:t>elegated commissioning arrangements</w:t>
            </w:r>
            <w:bookmarkEnd w:id="2432"/>
            <w:bookmarkEnd w:id="2433"/>
          </w:p>
          <w:p w14:paraId="510CAF84" w14:textId="4526AB9E" w:rsidR="00B17AA0" w:rsidRDefault="00867DFB" w:rsidP="00867DFB">
            <w:pPr>
              <w:widowControl w:val="0"/>
              <w:spacing w:line="360" w:lineRule="auto"/>
              <w:jc w:val="both"/>
              <w:rPr>
                <w:rFonts w:ascii="Arial" w:hAnsi="Arial" w:cs="Arial"/>
                <w:bCs w:val="0"/>
                <w:color w:val="FFFFFF" w:themeColor="background1"/>
                <w:szCs w:val="24"/>
                <w:lang w:eastAsia="en-GB"/>
              </w:rPr>
            </w:pPr>
            <w:r w:rsidRPr="004D1994">
              <w:rPr>
                <w:rFonts w:ascii="Arial" w:hAnsi="Arial" w:cs="Arial"/>
                <w:bCs w:val="0"/>
                <w:color w:val="FFFFFF" w:themeColor="background1"/>
                <w:szCs w:val="24"/>
                <w:lang w:eastAsia="en-GB"/>
              </w:rPr>
              <w:t xml:space="preserve">. </w:t>
            </w:r>
          </w:p>
          <w:p w14:paraId="441A4CEA" w14:textId="34031B42" w:rsidR="00867DFB" w:rsidRPr="004D1994" w:rsidRDefault="00867DFB" w:rsidP="00867DFB">
            <w:pPr>
              <w:widowControl w:val="0"/>
              <w:spacing w:line="360" w:lineRule="auto"/>
              <w:jc w:val="both"/>
              <w:rPr>
                <w:rFonts w:ascii="Arial" w:hAnsi="Arial" w:cs="Arial"/>
                <w:b/>
                <w:bCs w:val="0"/>
                <w:color w:val="FFFFFF" w:themeColor="background1"/>
                <w:szCs w:val="24"/>
                <w:lang w:eastAsia="en-GB"/>
              </w:rPr>
            </w:pPr>
            <w:r w:rsidRPr="004D1994">
              <w:rPr>
                <w:rFonts w:ascii="Arial" w:hAnsi="Arial" w:cs="Arial"/>
                <w:bCs w:val="0"/>
                <w:color w:val="FFFFFF" w:themeColor="background1"/>
                <w:szCs w:val="24"/>
                <w:lang w:eastAsia="en-GB"/>
              </w:rPr>
              <w:t xml:space="preserve">The Delegation Agreement includes a section on Claims and Litigation which is likely to include a dispute with a GMS, PMS or APMS contractor that has been referred to Stage 2 of the NHS dispute resolution procedure. In such cases, the </w:t>
            </w:r>
            <w:r w:rsidR="00B83042">
              <w:rPr>
                <w:rFonts w:ascii="Arial" w:hAnsi="Arial" w:cs="Arial"/>
                <w:bCs w:val="0"/>
                <w:color w:val="FFFFFF" w:themeColor="background1"/>
                <w:szCs w:val="24"/>
                <w:lang w:eastAsia="en-GB"/>
              </w:rPr>
              <w:t>CCG/ICB</w:t>
            </w:r>
            <w:r w:rsidRPr="004D1994">
              <w:rPr>
                <w:rFonts w:ascii="Arial" w:hAnsi="Arial" w:cs="Arial"/>
                <w:bCs w:val="0"/>
                <w:color w:val="FFFFFF" w:themeColor="background1"/>
                <w:szCs w:val="24"/>
                <w:lang w:eastAsia="en-GB"/>
              </w:rPr>
              <w:t xml:space="preserve"> is required to act in accordance with the Delegation Agreement which includes but is not limited to:</w:t>
            </w:r>
          </w:p>
          <w:p w14:paraId="40057CF5" w14:textId="77777777" w:rsidR="00867DFB" w:rsidRPr="004D1994" w:rsidRDefault="00867DFB" w:rsidP="00825050">
            <w:pPr>
              <w:widowControl w:val="0"/>
              <w:numPr>
                <w:ilvl w:val="0"/>
                <w:numId w:val="60"/>
              </w:numPr>
              <w:spacing w:line="360" w:lineRule="auto"/>
              <w:jc w:val="both"/>
              <w:rPr>
                <w:rFonts w:ascii="Arial" w:hAnsi="Arial" w:cs="Arial"/>
                <w:b/>
                <w:bCs w:val="0"/>
                <w:color w:val="FFFFFF" w:themeColor="background1"/>
                <w:szCs w:val="24"/>
                <w:lang w:eastAsia="en-GB"/>
              </w:rPr>
            </w:pPr>
            <w:r w:rsidRPr="004D1994">
              <w:rPr>
                <w:rFonts w:ascii="Arial" w:hAnsi="Arial" w:cs="Arial"/>
                <w:bCs w:val="0"/>
                <w:color w:val="FFFFFF" w:themeColor="background1"/>
                <w:szCs w:val="24"/>
                <w:lang w:eastAsia="en-GB"/>
              </w:rPr>
              <w:t>notifying NHS England of any documents concerning the dispute and providing copies of these documents;</w:t>
            </w:r>
          </w:p>
          <w:p w14:paraId="2D979594" w14:textId="77777777" w:rsidR="00867DFB" w:rsidRPr="004D1994" w:rsidRDefault="00867DFB" w:rsidP="00825050">
            <w:pPr>
              <w:widowControl w:val="0"/>
              <w:numPr>
                <w:ilvl w:val="0"/>
                <w:numId w:val="60"/>
              </w:numPr>
              <w:spacing w:line="360" w:lineRule="auto"/>
              <w:jc w:val="both"/>
              <w:rPr>
                <w:rFonts w:ascii="Arial" w:hAnsi="Arial" w:cs="Arial"/>
                <w:b/>
                <w:bCs w:val="0"/>
                <w:color w:val="FFFFFF" w:themeColor="background1"/>
                <w:szCs w:val="24"/>
                <w:lang w:eastAsia="en-GB"/>
              </w:rPr>
            </w:pPr>
            <w:r w:rsidRPr="004D1994">
              <w:rPr>
                <w:rFonts w:ascii="Arial" w:hAnsi="Arial" w:cs="Arial"/>
                <w:bCs w:val="0"/>
                <w:color w:val="FFFFFF" w:themeColor="background1"/>
                <w:szCs w:val="24"/>
                <w:lang w:eastAsia="en-GB"/>
              </w:rPr>
              <w:t>co-operating fully with NHS England in relation to such dispute and the conduct of such dispute;</w:t>
            </w:r>
          </w:p>
          <w:p w14:paraId="2B5208B0" w14:textId="77777777" w:rsidR="00867DFB" w:rsidRPr="004D1994" w:rsidRDefault="00867DFB" w:rsidP="00825050">
            <w:pPr>
              <w:widowControl w:val="0"/>
              <w:numPr>
                <w:ilvl w:val="0"/>
                <w:numId w:val="60"/>
              </w:numPr>
              <w:spacing w:line="360" w:lineRule="auto"/>
              <w:jc w:val="both"/>
              <w:rPr>
                <w:rFonts w:ascii="Arial" w:hAnsi="Arial" w:cs="Arial"/>
                <w:b/>
                <w:bCs w:val="0"/>
                <w:color w:val="FFFFFF" w:themeColor="background1"/>
                <w:szCs w:val="24"/>
                <w:lang w:eastAsia="en-GB"/>
              </w:rPr>
            </w:pPr>
            <w:r w:rsidRPr="004D1994">
              <w:rPr>
                <w:rFonts w:ascii="Arial" w:hAnsi="Arial" w:cs="Arial"/>
                <w:bCs w:val="0"/>
                <w:color w:val="FFFFFF" w:themeColor="background1"/>
                <w:szCs w:val="24"/>
                <w:lang w:eastAsia="en-GB"/>
              </w:rPr>
              <w:t>providing, at its own cost, to NHS England all documentation and other correspondence that NHS England requires for the purposes of considering and/or resisting such dispute; and/or</w:t>
            </w:r>
          </w:p>
          <w:p w14:paraId="05240B14" w14:textId="5845B71E" w:rsidR="00867DFB" w:rsidRPr="004D1994" w:rsidRDefault="00867DFB" w:rsidP="00825050">
            <w:pPr>
              <w:widowControl w:val="0"/>
              <w:numPr>
                <w:ilvl w:val="0"/>
                <w:numId w:val="60"/>
              </w:numPr>
              <w:spacing w:line="360" w:lineRule="auto"/>
              <w:jc w:val="both"/>
              <w:rPr>
                <w:rFonts w:ascii="Arial" w:hAnsi="Arial" w:cs="Arial"/>
                <w:b/>
                <w:bCs w:val="0"/>
                <w:color w:val="FFFFFF" w:themeColor="background1"/>
                <w:szCs w:val="24"/>
                <w:lang w:eastAsia="en-GB"/>
              </w:rPr>
            </w:pPr>
            <w:r w:rsidRPr="004D1994">
              <w:rPr>
                <w:rFonts w:ascii="Arial" w:hAnsi="Arial" w:cs="Arial"/>
                <w:bCs w:val="0"/>
                <w:color w:val="FFFFFF" w:themeColor="background1"/>
                <w:szCs w:val="24"/>
                <w:lang w:eastAsia="en-GB"/>
              </w:rPr>
              <w:t xml:space="preserve">at the request of NHS England, taking such action or step or providing such assistance as may in NHS England’s discretion be necessary or desirable having regard to the nature of the dispute and the existence of any time limit in relation to avoiding, disputing, defending, resisting, appealing, seeking a review or compromising such dispute or to comply with the requirements of </w:t>
            </w:r>
            <w:r w:rsidR="009414F6">
              <w:rPr>
                <w:rFonts w:ascii="Arial" w:hAnsi="Arial" w:cs="Arial"/>
                <w:bCs w:val="0"/>
                <w:color w:val="FFFFFF" w:themeColor="background1"/>
                <w:szCs w:val="24"/>
                <w:lang w:eastAsia="en-GB"/>
              </w:rPr>
              <w:t xml:space="preserve">NHSR </w:t>
            </w:r>
            <w:r w:rsidR="00082A47">
              <w:rPr>
                <w:rFonts w:ascii="Arial" w:hAnsi="Arial" w:cs="Arial"/>
                <w:bCs w:val="0"/>
                <w:color w:val="FFFFFF" w:themeColor="background1"/>
                <w:szCs w:val="24"/>
                <w:lang w:eastAsia="en-GB"/>
              </w:rPr>
              <w:t xml:space="preserve">PCA </w:t>
            </w:r>
            <w:r w:rsidR="009414F6">
              <w:rPr>
                <w:rFonts w:ascii="Arial" w:hAnsi="Arial" w:cs="Arial"/>
                <w:bCs w:val="0"/>
                <w:color w:val="FFFFFF" w:themeColor="background1"/>
                <w:szCs w:val="24"/>
                <w:lang w:eastAsia="en-GB"/>
              </w:rPr>
              <w:t xml:space="preserve">(formerly </w:t>
            </w:r>
            <w:r w:rsidRPr="004D1994">
              <w:rPr>
                <w:rFonts w:ascii="Arial" w:hAnsi="Arial" w:cs="Arial"/>
                <w:bCs w:val="0"/>
                <w:color w:val="FFFFFF" w:themeColor="background1"/>
                <w:szCs w:val="24"/>
                <w:lang w:eastAsia="en-GB"/>
              </w:rPr>
              <w:t>the FHSAU</w:t>
            </w:r>
            <w:r w:rsidR="009414F6">
              <w:rPr>
                <w:rFonts w:ascii="Arial" w:hAnsi="Arial" w:cs="Arial"/>
                <w:bCs w:val="0"/>
                <w:color w:val="FFFFFF" w:themeColor="background1"/>
                <w:szCs w:val="24"/>
                <w:lang w:eastAsia="en-GB"/>
              </w:rPr>
              <w:t>)</w:t>
            </w:r>
            <w:r w:rsidRPr="004D1994">
              <w:rPr>
                <w:rFonts w:ascii="Arial" w:hAnsi="Arial" w:cs="Arial"/>
                <w:bCs w:val="0"/>
                <w:color w:val="FFFFFF" w:themeColor="background1"/>
                <w:szCs w:val="24"/>
                <w:lang w:eastAsia="en-GB"/>
              </w:rPr>
              <w:t xml:space="preserve"> in relation to such dispute.</w:t>
            </w:r>
          </w:p>
        </w:tc>
      </w:tr>
    </w:tbl>
    <w:p w14:paraId="1D44A840" w14:textId="15F66A7F" w:rsidR="00867DFB" w:rsidRDefault="00867DFB" w:rsidP="00EF04D7">
      <w:pPr>
        <w:pStyle w:val="BodyText"/>
      </w:pPr>
    </w:p>
    <w:p w14:paraId="296049E7" w14:textId="406A055C" w:rsidR="0071017F" w:rsidRDefault="0071017F" w:rsidP="00EF04D7">
      <w:pPr>
        <w:pStyle w:val="BodyText"/>
      </w:pPr>
    </w:p>
    <w:p w14:paraId="3E5C81E6" w14:textId="20BF584C" w:rsidR="00B17AA0" w:rsidRDefault="00B17AA0" w:rsidP="00EF04D7">
      <w:pPr>
        <w:pStyle w:val="BodyText"/>
      </w:pPr>
    </w:p>
    <w:p w14:paraId="67AB2FFA" w14:textId="77777777" w:rsidR="00B17AA0" w:rsidRPr="00CE0885" w:rsidRDefault="00B17AA0" w:rsidP="00EF04D7">
      <w:pPr>
        <w:pStyle w:val="BodyText"/>
      </w:pPr>
    </w:p>
    <w:p w14:paraId="6DF76F0C" w14:textId="77777777" w:rsidR="00867DFB" w:rsidRPr="00CE0885" w:rsidRDefault="00867DFB" w:rsidP="00EF04D7">
      <w:pPr>
        <w:pStyle w:val="Heading2"/>
        <w:rPr>
          <w:lang w:eastAsia="en-GB"/>
        </w:rPr>
      </w:pPr>
      <w:bookmarkStart w:id="2434" w:name="_Toc440982769"/>
      <w:bookmarkStart w:id="2435" w:name="_Toc95743559"/>
      <w:r w:rsidRPr="00CE0885">
        <w:rPr>
          <w:lang w:eastAsia="en-GB"/>
        </w:rPr>
        <w:t>Other Dispute Resolution Procedures</w:t>
      </w:r>
      <w:bookmarkEnd w:id="2434"/>
      <w:bookmarkEnd w:id="2435"/>
    </w:p>
    <w:p w14:paraId="486C0A5B" w14:textId="3CDF4D02" w:rsidR="00867DFB" w:rsidRPr="00CE0885" w:rsidRDefault="00867DFB" w:rsidP="00A13EB7">
      <w:pPr>
        <w:pStyle w:val="Heading3"/>
        <w:rPr>
          <w:lang w:eastAsia="en-GB"/>
        </w:rPr>
      </w:pPr>
      <w:bookmarkStart w:id="2436" w:name="_Toc440982770"/>
      <w:r w:rsidRPr="00CE0885">
        <w:rPr>
          <w:lang w:eastAsia="en-GB"/>
        </w:rPr>
        <w:t xml:space="preserve">The GMS and PMS Regulations allow the NHS dispute resolution procedure to be used by the contractor as a means of resolving every dispute except where an assessment panel makes a determination that the Commissioner may assign new patients to contractors </w:t>
      </w:r>
      <w:r w:rsidR="006F48D0">
        <w:rPr>
          <w:lang w:eastAsia="en-GB"/>
        </w:rPr>
        <w:t>that</w:t>
      </w:r>
      <w:r w:rsidRPr="00CE0885">
        <w:rPr>
          <w:lang w:eastAsia="en-GB"/>
        </w:rPr>
        <w:t xml:space="preserve"> have closed their practice list of patients. </w:t>
      </w:r>
      <w:bookmarkEnd w:id="2436"/>
    </w:p>
    <w:p w14:paraId="73D62D95" w14:textId="712F7A6E" w:rsidR="00867DFB" w:rsidRPr="00CE0885" w:rsidRDefault="00867DFB" w:rsidP="00A13EB7">
      <w:pPr>
        <w:pStyle w:val="Heading3"/>
        <w:rPr>
          <w:lang w:eastAsia="en-GB"/>
        </w:rPr>
      </w:pPr>
      <w:bookmarkStart w:id="2437" w:name="_Toc440982771"/>
      <w:r w:rsidRPr="00CE0885">
        <w:rPr>
          <w:lang w:eastAsia="en-GB"/>
        </w:rPr>
        <w:t>Disputes may also arise prior to a contract being entered into. Such disputes will relate to the eligibility of the person seeking to enter into the contract or contract terms.</w:t>
      </w:r>
      <w:bookmarkEnd w:id="2437"/>
      <w:r w:rsidRPr="00CE0885">
        <w:rPr>
          <w:lang w:eastAsia="en-GB"/>
        </w:rPr>
        <w:t xml:space="preserve"> </w:t>
      </w:r>
    </w:p>
    <w:p w14:paraId="7A9F95E0" w14:textId="712F1577" w:rsidR="00867DFB" w:rsidRPr="00CE0885" w:rsidRDefault="00867DFB" w:rsidP="00A13EB7">
      <w:pPr>
        <w:pStyle w:val="Heading3"/>
        <w:rPr>
          <w:lang w:eastAsia="en-GB"/>
        </w:rPr>
      </w:pPr>
      <w:bookmarkStart w:id="2438" w:name="_Toc440982772"/>
      <w:r w:rsidRPr="00CE0885">
        <w:rPr>
          <w:lang w:eastAsia="en-GB"/>
        </w:rPr>
        <w:t xml:space="preserve">Where the Commissioner is of the view that a person seeking to enter into a contract does not meet the eligibility conditions </w:t>
      </w:r>
      <w:r w:rsidR="00A114DF">
        <w:rPr>
          <w:spacing w:val="2"/>
          <w:lang w:eastAsia="en-GB"/>
        </w:rPr>
        <w:t>(p</w:t>
      </w:r>
      <w:r w:rsidR="00A114DF" w:rsidRPr="00CE0885">
        <w:rPr>
          <w:lang w:eastAsia="en-GB"/>
        </w:rPr>
        <w:t xml:space="preserve">lease refer to </w:t>
      </w:r>
      <w:r w:rsidR="00A114DF">
        <w:rPr>
          <w:lang w:eastAsia="en-GB"/>
        </w:rPr>
        <w:t>the ‘Contracts Described’ chapter for further information</w:t>
      </w:r>
      <w:r w:rsidR="00A114DF" w:rsidRPr="00CE0885">
        <w:rPr>
          <w:spacing w:val="2"/>
          <w:lang w:eastAsia="en-GB"/>
        </w:rPr>
        <w:t>)</w:t>
      </w:r>
      <w:r w:rsidRPr="00CE0885">
        <w:rPr>
          <w:lang w:eastAsia="en-GB"/>
        </w:rPr>
        <w:t>, the Commissioner must notify the person in writing.</w:t>
      </w:r>
      <w:bookmarkEnd w:id="2438"/>
      <w:r w:rsidRPr="00CE0885">
        <w:rPr>
          <w:lang w:eastAsia="en-GB"/>
        </w:rPr>
        <w:t xml:space="preserve">  </w:t>
      </w:r>
    </w:p>
    <w:p w14:paraId="5745B02E" w14:textId="26B34C10" w:rsidR="00867DFB" w:rsidRPr="00CE0885" w:rsidRDefault="00867DFB" w:rsidP="00A13EB7">
      <w:pPr>
        <w:pStyle w:val="Heading3"/>
        <w:rPr>
          <w:lang w:eastAsia="en-GB"/>
        </w:rPr>
      </w:pPr>
      <w:bookmarkStart w:id="2439" w:name="_Toc440982773"/>
      <w:r w:rsidRPr="00CE0885">
        <w:rPr>
          <w:lang w:eastAsia="en-GB"/>
        </w:rPr>
        <w:t>This notice must state the Commissioner</w:t>
      </w:r>
      <w:r w:rsidR="006F48D0">
        <w:rPr>
          <w:lang w:eastAsia="en-GB"/>
        </w:rPr>
        <w:t>’s</w:t>
      </w:r>
      <w:r w:rsidRPr="00CE0885">
        <w:rPr>
          <w:lang w:eastAsia="en-GB"/>
        </w:rPr>
        <w:t xml:space="preserve"> view of the person's eligibility, reasons for that view and guidance on the person's right of appeal.</w:t>
      </w:r>
      <w:bookmarkEnd w:id="2439"/>
      <w:r w:rsidRPr="00CE0885">
        <w:rPr>
          <w:lang w:eastAsia="en-GB"/>
        </w:rPr>
        <w:t xml:space="preserve"> </w:t>
      </w:r>
    </w:p>
    <w:p w14:paraId="2784ADA7" w14:textId="41540F0A" w:rsidR="00867DFB" w:rsidRPr="00CE0885" w:rsidRDefault="00867DFB" w:rsidP="00A13EB7">
      <w:pPr>
        <w:pStyle w:val="Heading3"/>
        <w:rPr>
          <w:lang w:eastAsia="en-GB"/>
        </w:rPr>
      </w:pPr>
      <w:bookmarkStart w:id="2440" w:name="_Toc440982774"/>
      <w:r w:rsidRPr="00CE0885">
        <w:rPr>
          <w:lang w:eastAsia="en-GB"/>
        </w:rPr>
        <w:t>Where the Commissioner has issued such a notice, the recipient of the notice has a right of appeal to the First-Tier Tribunal.</w:t>
      </w:r>
      <w:bookmarkEnd w:id="2440"/>
    </w:p>
    <w:p w14:paraId="2806AA73" w14:textId="70B6D772" w:rsidR="00867DFB" w:rsidRPr="00CE0885" w:rsidRDefault="00867DFB" w:rsidP="00A13EB7">
      <w:pPr>
        <w:pStyle w:val="Heading3"/>
        <w:rPr>
          <w:lang w:eastAsia="en-GB"/>
        </w:rPr>
      </w:pPr>
      <w:bookmarkStart w:id="2441" w:name="_Toc440982775"/>
      <w:r w:rsidRPr="00CE0885">
        <w:rPr>
          <w:lang w:eastAsia="en-GB"/>
        </w:rPr>
        <w:t>Where the dispute relates to the parties being unable to agree on a particular proposed term of a GMS or PMS contract, either party may refer the dispute to the Secretary of State to consider and determine the matter in accordance with:</w:t>
      </w:r>
      <w:bookmarkEnd w:id="2441"/>
    </w:p>
    <w:p w14:paraId="22C5BBE5" w14:textId="0DA95148" w:rsidR="00867DFB" w:rsidRPr="00CE0885" w:rsidRDefault="00867DFB" w:rsidP="00A13EB7">
      <w:pPr>
        <w:pStyle w:val="Heading4"/>
      </w:pPr>
      <w:bookmarkStart w:id="2442" w:name="_Toc440982776"/>
      <w:r w:rsidRPr="00CE0885">
        <w:t>for GMS contracts, paragraphs 101(3) to (14) and 102(1) of Schedule 6 and regulation 9(3) of the GMS Regulations; or</w:t>
      </w:r>
      <w:bookmarkEnd w:id="2442"/>
    </w:p>
    <w:p w14:paraId="16C609EC" w14:textId="4667C201" w:rsidR="00867DFB" w:rsidRPr="00CE0885" w:rsidRDefault="00867DFB" w:rsidP="00A13EB7">
      <w:pPr>
        <w:pStyle w:val="Heading4"/>
      </w:pPr>
      <w:bookmarkStart w:id="2443" w:name="_Toc440982777"/>
      <w:r w:rsidRPr="00CE0885">
        <w:t>for PMS agreements, paragraphs 95(3) to (14) and 96(1) of Schedule 5 and regulation 8(3) of the PMS Regulations,</w:t>
      </w:r>
      <w:bookmarkEnd w:id="2443"/>
    </w:p>
    <w:p w14:paraId="46777262" w14:textId="2144BF24" w:rsidR="00867DFB" w:rsidRPr="00CE0885" w:rsidRDefault="00867DFB" w:rsidP="00A13EB7">
      <w:pPr>
        <w:pStyle w:val="Heading4"/>
      </w:pPr>
      <w:bookmarkStart w:id="2444" w:name="_Toc440982778"/>
      <w:r w:rsidRPr="00CE0885">
        <w:t>except where both parties to the prospective agreement are health service bodies (in which case section 9 of the NHS Act applies).</w:t>
      </w:r>
      <w:bookmarkEnd w:id="2444"/>
    </w:p>
    <w:p w14:paraId="6F6BF6A9" w14:textId="77777777" w:rsidR="00867DFB" w:rsidRPr="009055A7" w:rsidRDefault="00867DFB" w:rsidP="00867DFB">
      <w:pPr>
        <w:widowControl w:val="0"/>
        <w:spacing w:line="360" w:lineRule="auto"/>
        <w:ind w:left="1414"/>
        <w:jc w:val="both"/>
        <w:rPr>
          <w:rFonts w:cs="Arial"/>
          <w:bCs w:val="0"/>
          <w:sz w:val="20"/>
          <w:szCs w:val="20"/>
          <w:lang w:eastAsia="en-GB"/>
        </w:rPr>
      </w:pPr>
    </w:p>
    <w:p w14:paraId="1BE2A22A" w14:textId="77777777" w:rsidR="00867DFB" w:rsidRPr="00CE0885" w:rsidRDefault="00867DFB" w:rsidP="00EF04D7">
      <w:pPr>
        <w:pStyle w:val="Heading2"/>
        <w:rPr>
          <w:lang w:eastAsia="en-GB"/>
        </w:rPr>
      </w:pPr>
      <w:bookmarkStart w:id="2445" w:name="_Ref410329254"/>
      <w:bookmarkStart w:id="2446" w:name="_Toc440982779"/>
      <w:bookmarkStart w:id="2447" w:name="_Toc95743560"/>
      <w:r w:rsidRPr="00CE0885">
        <w:rPr>
          <w:lang w:eastAsia="en-GB"/>
        </w:rPr>
        <w:t>Assignment of Patients to Lists: Procedure Relating to Determinations of the Assessment Panel</w:t>
      </w:r>
      <w:bookmarkEnd w:id="2445"/>
      <w:bookmarkEnd w:id="2446"/>
      <w:bookmarkEnd w:id="2447"/>
    </w:p>
    <w:p w14:paraId="6073E6F8" w14:textId="1E0441CC" w:rsidR="00867DFB" w:rsidRPr="00CE0885" w:rsidRDefault="00867DFB" w:rsidP="00A13EB7">
      <w:pPr>
        <w:pStyle w:val="Heading3"/>
        <w:rPr>
          <w:lang w:eastAsia="en-GB"/>
        </w:rPr>
      </w:pPr>
      <w:bookmarkStart w:id="2448" w:name="_Toc440982780"/>
      <w:r w:rsidRPr="00CE0885">
        <w:rPr>
          <w:lang w:eastAsia="en-GB"/>
        </w:rPr>
        <w:t>Where an assessment panel makes a determination that the Commissioner may assign new patients to contractors which have closed their practice list of patients, any contractor specified in that determination may refer the matter to the Secretary of State to review the determination of the assessment panel.</w:t>
      </w:r>
      <w:bookmarkEnd w:id="2448"/>
    </w:p>
    <w:p w14:paraId="59709D65" w14:textId="2DDFE159" w:rsidR="00867DFB" w:rsidRPr="00CE0885" w:rsidRDefault="00867DFB" w:rsidP="00A13EB7">
      <w:pPr>
        <w:pStyle w:val="Heading3"/>
        <w:rPr>
          <w:lang w:eastAsia="en-GB"/>
        </w:rPr>
      </w:pPr>
      <w:bookmarkStart w:id="2449" w:name="_Toc440982781"/>
      <w:r w:rsidRPr="00CE0885">
        <w:rPr>
          <w:lang w:eastAsia="en-GB"/>
        </w:rPr>
        <w:t>If a referral is made to the Secretary of State, it shall be reviewed in accordance with the following procedure:</w:t>
      </w:r>
      <w:bookmarkEnd w:id="2449"/>
    </w:p>
    <w:p w14:paraId="50531BB5" w14:textId="35DD8AD4" w:rsidR="00867DFB" w:rsidRPr="00CE0885" w:rsidRDefault="00867DFB" w:rsidP="00A553BA">
      <w:pPr>
        <w:pStyle w:val="Heading4"/>
        <w:spacing w:before="120"/>
      </w:pPr>
      <w:bookmarkStart w:id="2450" w:name="_Toc440982782"/>
      <w:r w:rsidRPr="00CE0885">
        <w:t>where more than one contractor specified in the determination of the assessment panel wishes to refer the matter for dispute resolution, those contractors may, if they all agree, refer the matter jointly, and in that case the Secretary of State shall review the matter in relation to those contractors together</w:t>
      </w:r>
      <w:bookmarkEnd w:id="2450"/>
    </w:p>
    <w:p w14:paraId="1F5ADDCD" w14:textId="468FE01F" w:rsidR="00867DFB" w:rsidRPr="00CE0885" w:rsidRDefault="00867DFB" w:rsidP="00A553BA">
      <w:pPr>
        <w:pStyle w:val="Heading4"/>
        <w:spacing w:before="120"/>
      </w:pPr>
      <w:bookmarkStart w:id="2451" w:name="_Toc440982783"/>
      <w:r w:rsidRPr="00CE0885">
        <w:t xml:space="preserve">within the period of seven days beginning with the date of the determination by the assessment panel, the contractor(s) shall send to the Secretary of State a written request for </w:t>
      </w:r>
      <w:r w:rsidR="006F48D0">
        <w:t xml:space="preserve">a </w:t>
      </w:r>
      <w:r w:rsidRPr="00CE0885">
        <w:t>dispute resolution which shall include or be accompanied by:</w:t>
      </w:r>
      <w:bookmarkEnd w:id="2451"/>
    </w:p>
    <w:p w14:paraId="7BFBBC4A" w14:textId="642314E8" w:rsidR="00867DFB" w:rsidRPr="00CE0885" w:rsidRDefault="00867DFB" w:rsidP="00A13EB7">
      <w:pPr>
        <w:pStyle w:val="Heading5"/>
      </w:pPr>
      <w:r w:rsidRPr="00CE0885">
        <w:t>the names and addresses of the parties to the dispute;</w:t>
      </w:r>
    </w:p>
    <w:p w14:paraId="03735347" w14:textId="77777777" w:rsidR="00867DFB" w:rsidRPr="00CE0885" w:rsidRDefault="00867DFB" w:rsidP="00A13EB7">
      <w:pPr>
        <w:pStyle w:val="Heading5"/>
      </w:pPr>
      <w:r w:rsidRPr="00CE0885">
        <w:t>a copy of the contract (or contracts); and</w:t>
      </w:r>
    </w:p>
    <w:p w14:paraId="7A4E8FF3" w14:textId="07DA6EB7" w:rsidR="00867DFB" w:rsidRPr="00CE0885" w:rsidRDefault="00867DFB" w:rsidP="00A13EB7">
      <w:pPr>
        <w:pStyle w:val="Heading5"/>
      </w:pPr>
      <w:r w:rsidRPr="00CE0885">
        <w:t>a brief statement describing the nature and circumstances of the dispute.</w:t>
      </w:r>
    </w:p>
    <w:p w14:paraId="32F55038" w14:textId="306436F9" w:rsidR="00867DFB" w:rsidRPr="00CE0885" w:rsidRDefault="00867DFB" w:rsidP="00A13EB7">
      <w:pPr>
        <w:pStyle w:val="Heading3"/>
        <w:rPr>
          <w:lang w:eastAsia="en-GB"/>
        </w:rPr>
      </w:pPr>
      <w:bookmarkStart w:id="2452" w:name="_Toc440982784"/>
      <w:r w:rsidRPr="00CE0885">
        <w:rPr>
          <w:lang w:eastAsia="en-GB"/>
        </w:rPr>
        <w:t>Each party will be asked to make representations and observations on the representations of the other party both of which will be allocated between the parties.</w:t>
      </w:r>
      <w:bookmarkEnd w:id="2452"/>
      <w:r w:rsidRPr="00CE0885">
        <w:rPr>
          <w:lang w:eastAsia="en-GB"/>
        </w:rPr>
        <w:t xml:space="preserve"> </w:t>
      </w:r>
    </w:p>
    <w:p w14:paraId="08134066" w14:textId="5530D24C" w:rsidR="00867DFB" w:rsidRPr="00CE0885" w:rsidRDefault="00867DFB" w:rsidP="00A13EB7">
      <w:pPr>
        <w:pStyle w:val="Heading3"/>
        <w:rPr>
          <w:lang w:eastAsia="en-GB"/>
        </w:rPr>
      </w:pPr>
      <w:bookmarkStart w:id="2453" w:name="_Toc440982785"/>
      <w:r w:rsidRPr="00CE0885">
        <w:rPr>
          <w:lang w:eastAsia="en-GB"/>
        </w:rPr>
        <w:t xml:space="preserve">Within the period of 21 days beginning with the date on which the matter was referred to him, the Secretary of State shall determine whether the Commissioner may assign patients to contractors </w:t>
      </w:r>
      <w:r w:rsidR="006F48D0">
        <w:rPr>
          <w:lang w:eastAsia="en-GB"/>
        </w:rPr>
        <w:t>that</w:t>
      </w:r>
      <w:r w:rsidR="006F48D0" w:rsidRPr="00CE0885">
        <w:rPr>
          <w:lang w:eastAsia="en-GB"/>
        </w:rPr>
        <w:t xml:space="preserve"> </w:t>
      </w:r>
      <w:r w:rsidRPr="00CE0885">
        <w:rPr>
          <w:lang w:eastAsia="en-GB"/>
        </w:rPr>
        <w:t>have closed their lists of patients. If the Secretary of State determines that the Commissioner may make such assignments, the Secretary of State shall also determine those contractors to which patients may be assigned.</w:t>
      </w:r>
      <w:bookmarkEnd w:id="2453"/>
    </w:p>
    <w:p w14:paraId="659A4A8A" w14:textId="303D0E36" w:rsidR="00867DFB" w:rsidRPr="00CE0885" w:rsidRDefault="00867DFB" w:rsidP="00A13EB7">
      <w:pPr>
        <w:pStyle w:val="Heading3"/>
        <w:rPr>
          <w:lang w:eastAsia="en-GB"/>
        </w:rPr>
      </w:pPr>
      <w:bookmarkStart w:id="2454" w:name="_Toc440982786"/>
      <w:r w:rsidRPr="00CE0885">
        <w:rPr>
          <w:lang w:eastAsia="en-GB"/>
        </w:rPr>
        <w:t>The Secretary of State may not determine that patients may be assigned to a contractor which was not specified in the determination of the assessment panel.</w:t>
      </w:r>
      <w:bookmarkEnd w:id="2454"/>
    </w:p>
    <w:p w14:paraId="6B2A86E4" w14:textId="3DF983A3" w:rsidR="00867DFB" w:rsidRPr="00CE0885" w:rsidRDefault="00867DFB" w:rsidP="00A13EB7">
      <w:pPr>
        <w:pStyle w:val="Heading3"/>
        <w:rPr>
          <w:lang w:eastAsia="en-GB"/>
        </w:rPr>
      </w:pPr>
      <w:bookmarkStart w:id="2455" w:name="_Toc440982787"/>
      <w:r w:rsidRPr="00CE0885">
        <w:rPr>
          <w:lang w:eastAsia="en-GB"/>
        </w:rPr>
        <w:t>In the case of a matter referred jointly by contractors, the Secretary of State may determine that patients may be assigned to one, some or all of the contractors that referred the matter.</w:t>
      </w:r>
      <w:bookmarkEnd w:id="2455"/>
    </w:p>
    <w:p w14:paraId="5985D535" w14:textId="4C0F0362" w:rsidR="00867DFB" w:rsidRPr="00CE0885" w:rsidRDefault="00867DFB" w:rsidP="00A13EB7">
      <w:pPr>
        <w:pStyle w:val="Heading3"/>
        <w:rPr>
          <w:lang w:eastAsia="en-GB"/>
        </w:rPr>
      </w:pPr>
      <w:bookmarkStart w:id="2456" w:name="_Toc440982788"/>
      <w:r w:rsidRPr="00CE0885">
        <w:rPr>
          <w:lang w:eastAsia="en-GB"/>
        </w:rPr>
        <w:t>The period of 21 days for determination may be extended (even after it has expired) by a further specified number of days if an agreement to that effect is reached by:</w:t>
      </w:r>
      <w:bookmarkEnd w:id="2456"/>
    </w:p>
    <w:p w14:paraId="7E51402C" w14:textId="0C235CAE" w:rsidR="00867DFB" w:rsidRPr="00CE0885" w:rsidRDefault="00867DFB" w:rsidP="00A13EB7">
      <w:pPr>
        <w:pStyle w:val="Heading4"/>
      </w:pPr>
      <w:bookmarkStart w:id="2457" w:name="_Toc440982789"/>
      <w:r w:rsidRPr="00CE0885">
        <w:t>the Secretary of State;</w:t>
      </w:r>
      <w:bookmarkEnd w:id="2457"/>
    </w:p>
    <w:p w14:paraId="0E17C3BC" w14:textId="0BDBA92D" w:rsidR="00867DFB" w:rsidRPr="00CE0885" w:rsidRDefault="00867DFB" w:rsidP="00A13EB7">
      <w:pPr>
        <w:pStyle w:val="Heading4"/>
      </w:pPr>
      <w:bookmarkStart w:id="2458" w:name="_Toc440982790"/>
      <w:r w:rsidRPr="00CE0885">
        <w:t>the Commissioner; and</w:t>
      </w:r>
      <w:bookmarkEnd w:id="2458"/>
    </w:p>
    <w:p w14:paraId="40BCBE91" w14:textId="7C0391E8" w:rsidR="00867DFB" w:rsidRPr="00CE0885" w:rsidRDefault="00867DFB" w:rsidP="00A13EB7">
      <w:pPr>
        <w:pStyle w:val="Heading4"/>
      </w:pPr>
      <w:bookmarkStart w:id="2459" w:name="_Toc440982791"/>
      <w:r w:rsidRPr="00CE0885">
        <w:t>the contractor(s) that referred the matter to dispute resolution.</w:t>
      </w:r>
      <w:bookmarkEnd w:id="2459"/>
    </w:p>
    <w:p w14:paraId="23E78E27" w14:textId="4FD4CCEC" w:rsidR="00867DFB" w:rsidRPr="00CE0885" w:rsidRDefault="00867DFB" w:rsidP="00A13EB7">
      <w:pPr>
        <w:pStyle w:val="Heading3"/>
        <w:rPr>
          <w:lang w:eastAsia="en-GB"/>
        </w:rPr>
      </w:pPr>
      <w:bookmarkStart w:id="2460" w:name="_Toc440982792"/>
      <w:r w:rsidRPr="00CE0885">
        <w:rPr>
          <w:lang w:eastAsia="en-GB"/>
        </w:rPr>
        <w:t>The Secretary of State shall record the determination and the reasons for it in writing and shall give notice of the determination (including the record of the reasons) to the parties.</w:t>
      </w:r>
      <w:bookmarkEnd w:id="2460"/>
    </w:p>
    <w:p w14:paraId="054540F8" w14:textId="77777777" w:rsidR="00867DFB" w:rsidRPr="00CE0885" w:rsidRDefault="00867DFB" w:rsidP="00867DFB">
      <w:pPr>
        <w:widowControl w:val="0"/>
        <w:spacing w:line="360" w:lineRule="auto"/>
        <w:ind w:left="1414"/>
        <w:jc w:val="both"/>
        <w:rPr>
          <w:rFonts w:cs="Arial"/>
          <w:bCs w:val="0"/>
          <w:szCs w:val="24"/>
          <w:lang w:eastAsia="en-GB"/>
        </w:rPr>
      </w:pPr>
    </w:p>
    <w:p w14:paraId="4CDA128E" w14:textId="77777777" w:rsidR="00867DFB" w:rsidRPr="00CE0885" w:rsidRDefault="00867DFB" w:rsidP="00867DFB">
      <w:pPr>
        <w:widowControl w:val="0"/>
        <w:spacing w:line="360" w:lineRule="auto"/>
        <w:jc w:val="both"/>
        <w:rPr>
          <w:rFonts w:cs="Arial"/>
          <w:bCs w:val="0"/>
          <w:szCs w:val="24"/>
          <w:lang w:eastAsia="en-GB"/>
        </w:rPr>
      </w:pPr>
    </w:p>
    <w:p w14:paraId="6506AEB8" w14:textId="77777777" w:rsidR="00867DFB" w:rsidRPr="00CE0885" w:rsidRDefault="00867DFB" w:rsidP="00867DFB">
      <w:pPr>
        <w:widowControl w:val="0"/>
        <w:spacing w:line="360" w:lineRule="auto"/>
        <w:jc w:val="both"/>
        <w:rPr>
          <w:rFonts w:cs="Arial"/>
          <w:bCs w:val="0"/>
          <w:szCs w:val="24"/>
          <w:lang w:eastAsia="en-GB"/>
        </w:rPr>
      </w:pPr>
      <w:r w:rsidRPr="00CE0885">
        <w:rPr>
          <w:rFonts w:cs="Arial"/>
          <w:bCs w:val="0"/>
          <w:szCs w:val="24"/>
          <w:lang w:eastAsia="en-GB"/>
        </w:rPr>
        <w:br w:type="page"/>
      </w:r>
    </w:p>
    <w:p w14:paraId="7EF438A5" w14:textId="210D2698" w:rsidR="0003107F" w:rsidRPr="008D6827" w:rsidRDefault="0003107F" w:rsidP="008D6827">
      <w:pPr>
        <w:pStyle w:val="Heading2"/>
        <w:rPr>
          <w:b w:val="0"/>
          <w:lang w:eastAsia="en-GB"/>
        </w:rPr>
      </w:pPr>
      <w:bookmarkStart w:id="2461" w:name="_Toc95743561"/>
      <w:bookmarkStart w:id="2462" w:name="_Toc346874489"/>
      <w:bookmarkStart w:id="2463" w:name="_Toc332288728"/>
      <w:r w:rsidRPr="0003107F">
        <w:rPr>
          <w:lang w:eastAsia="en-GB"/>
        </w:rPr>
        <w:t>An</w:t>
      </w:r>
      <w:r w:rsidRPr="00BD5355">
        <w:rPr>
          <w:lang w:eastAsia="en-GB"/>
        </w:rPr>
        <w:t>nexes</w:t>
      </w:r>
      <w:bookmarkEnd w:id="2461"/>
    </w:p>
    <w:p w14:paraId="108E6791" w14:textId="77777777" w:rsidR="0003107F" w:rsidRDefault="0003107F" w:rsidP="00867DFB">
      <w:pPr>
        <w:widowControl w:val="0"/>
        <w:autoSpaceDE w:val="0"/>
        <w:autoSpaceDN w:val="0"/>
        <w:adjustRightInd w:val="0"/>
        <w:spacing w:line="360" w:lineRule="auto"/>
        <w:ind w:right="-23"/>
        <w:rPr>
          <w:rFonts w:cs="Arial"/>
          <w:b/>
          <w:bCs w:val="0"/>
          <w:szCs w:val="24"/>
          <w:lang w:eastAsia="en-GB"/>
        </w:rPr>
      </w:pPr>
    </w:p>
    <w:p w14:paraId="4C69C094" w14:textId="37ACE5AF" w:rsidR="00867DFB" w:rsidRPr="00CE0885" w:rsidRDefault="00867DFB" w:rsidP="00867DFB">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1 Example Acknowledgement Letter</w:t>
      </w:r>
      <w:bookmarkEnd w:id="2462"/>
    </w:p>
    <w:bookmarkStart w:id="2464" w:name="_1557329432"/>
    <w:bookmarkEnd w:id="2464"/>
    <w:p w14:paraId="100DD1A6" w14:textId="0BE523B4" w:rsidR="00867DFB" w:rsidRPr="002D1CE9" w:rsidRDefault="002306F3" w:rsidP="006C3DF5">
      <w:pPr>
        <w:pStyle w:val="ListParagraph"/>
        <w:numPr>
          <w:ilvl w:val="0"/>
          <w:numId w:val="132"/>
        </w:numPr>
      </w:pPr>
      <w:r>
        <w:fldChar w:fldCharType="begin"/>
      </w:r>
      <w:r w:rsidR="005E135E">
        <w:instrText>HYPERLINK "https://www.england.nhs.uk/publication/pgm-managing-disputes-annexes/"</w:instrText>
      </w:r>
      <w:r>
        <w:fldChar w:fldCharType="separate"/>
      </w:r>
      <w:r w:rsidR="00C813FD">
        <w:rPr>
          <w:rStyle w:val="Hyperlink"/>
        </w:rPr>
        <w:t>Example Acknowledgement Letter</w:t>
      </w:r>
      <w:r>
        <w:rPr>
          <w:rStyle w:val="Hyperlink"/>
        </w:rPr>
        <w:fldChar w:fldCharType="end"/>
      </w:r>
      <w:r w:rsidR="002D1CE9">
        <w:br/>
      </w:r>
    </w:p>
    <w:p w14:paraId="7D3085A6" w14:textId="77777777" w:rsidR="00867DFB" w:rsidRPr="00CE0885" w:rsidRDefault="00867DFB" w:rsidP="00867DFB">
      <w:pPr>
        <w:widowControl w:val="0"/>
        <w:autoSpaceDE w:val="0"/>
        <w:autoSpaceDN w:val="0"/>
        <w:adjustRightInd w:val="0"/>
        <w:spacing w:line="360" w:lineRule="auto"/>
        <w:ind w:right="-23"/>
        <w:rPr>
          <w:rFonts w:cs="Arial"/>
          <w:b/>
          <w:bCs w:val="0"/>
          <w:szCs w:val="24"/>
          <w:lang w:eastAsia="en-GB"/>
        </w:rPr>
      </w:pPr>
      <w:bookmarkStart w:id="2465" w:name="_Toc346874490"/>
      <w:r w:rsidRPr="00CE0885">
        <w:rPr>
          <w:rFonts w:cs="Arial"/>
          <w:b/>
          <w:bCs w:val="0"/>
          <w:szCs w:val="24"/>
          <w:lang w:eastAsia="en-GB"/>
        </w:rPr>
        <w:t>Annex 2 Example Invitation Letter</w:t>
      </w:r>
      <w:bookmarkEnd w:id="2465"/>
    </w:p>
    <w:bookmarkStart w:id="2466" w:name="_1557329447"/>
    <w:bookmarkEnd w:id="2466"/>
    <w:p w14:paraId="498421EC" w14:textId="43445191" w:rsidR="00867DFB" w:rsidRPr="002D1CE9" w:rsidRDefault="002306F3" w:rsidP="006C3DF5">
      <w:pPr>
        <w:pStyle w:val="ListParagraph"/>
        <w:numPr>
          <w:ilvl w:val="0"/>
          <w:numId w:val="131"/>
        </w:numPr>
      </w:pPr>
      <w:r>
        <w:fldChar w:fldCharType="begin"/>
      </w:r>
      <w:r w:rsidR="005E135E">
        <w:instrText>HYPERLINK "https://www.england.nhs.uk/publication/pgm-managing-disputes-annexes/"</w:instrText>
      </w:r>
      <w:r>
        <w:fldChar w:fldCharType="separate"/>
      </w:r>
      <w:r w:rsidR="00C813FD">
        <w:rPr>
          <w:rStyle w:val="Hyperlink"/>
        </w:rPr>
        <w:t>Example Invitation Letter</w:t>
      </w:r>
      <w:r>
        <w:rPr>
          <w:rStyle w:val="Hyperlink"/>
        </w:rPr>
        <w:fldChar w:fldCharType="end"/>
      </w:r>
      <w:r w:rsidR="002D1CE9">
        <w:br/>
      </w:r>
    </w:p>
    <w:p w14:paraId="6D1634DF" w14:textId="792F556C" w:rsidR="00867DFB" w:rsidRPr="00CE0885" w:rsidRDefault="00867DFB" w:rsidP="00867DFB">
      <w:pPr>
        <w:widowControl w:val="0"/>
        <w:autoSpaceDE w:val="0"/>
        <w:autoSpaceDN w:val="0"/>
        <w:adjustRightInd w:val="0"/>
        <w:spacing w:line="360" w:lineRule="auto"/>
        <w:ind w:right="-23"/>
        <w:rPr>
          <w:rFonts w:cs="Arial"/>
          <w:b/>
          <w:bCs w:val="0"/>
          <w:szCs w:val="24"/>
          <w:lang w:eastAsia="en-GB"/>
        </w:rPr>
      </w:pPr>
      <w:bookmarkStart w:id="2467" w:name="_Toc346874491"/>
      <w:bookmarkStart w:id="2468" w:name="_Hlk4139609"/>
      <w:bookmarkEnd w:id="2463"/>
      <w:r w:rsidRPr="00CE0885">
        <w:rPr>
          <w:rFonts w:cs="Arial"/>
          <w:b/>
          <w:bCs w:val="0"/>
          <w:szCs w:val="24"/>
          <w:lang w:eastAsia="en-GB"/>
        </w:rPr>
        <w:t>Annex 3 Example Stage 1 Outcome Letter (</w:t>
      </w:r>
      <w:r w:rsidR="009414F6">
        <w:rPr>
          <w:rFonts w:cs="Arial"/>
          <w:b/>
          <w:bCs w:val="0"/>
          <w:szCs w:val="24"/>
          <w:lang w:eastAsia="en-GB"/>
        </w:rPr>
        <w:t>NHSR</w:t>
      </w:r>
      <w:r w:rsidR="009414F6" w:rsidRPr="00CE0885">
        <w:rPr>
          <w:rFonts w:cs="Arial"/>
          <w:b/>
          <w:bCs w:val="0"/>
          <w:szCs w:val="24"/>
          <w:lang w:eastAsia="en-GB"/>
        </w:rPr>
        <w:t xml:space="preserve"> </w:t>
      </w:r>
      <w:r w:rsidR="00082A47">
        <w:rPr>
          <w:rFonts w:cs="Arial"/>
          <w:b/>
          <w:bCs w:val="0"/>
          <w:szCs w:val="24"/>
          <w:lang w:eastAsia="en-GB"/>
        </w:rPr>
        <w:t xml:space="preserve">PCA </w:t>
      </w:r>
      <w:r w:rsidRPr="00CE0885">
        <w:rPr>
          <w:rFonts w:cs="Arial"/>
          <w:b/>
          <w:bCs w:val="0"/>
          <w:szCs w:val="24"/>
          <w:lang w:eastAsia="en-GB"/>
        </w:rPr>
        <w:t>Referral)</w:t>
      </w:r>
      <w:bookmarkEnd w:id="2467"/>
    </w:p>
    <w:p w14:paraId="29A4DEDC" w14:textId="539C7FF5" w:rsidR="007D2270" w:rsidRPr="007D2270" w:rsidRDefault="000B57EE" w:rsidP="006C3DF5">
      <w:pPr>
        <w:pStyle w:val="ListParagraph"/>
        <w:widowControl w:val="0"/>
        <w:numPr>
          <w:ilvl w:val="0"/>
          <w:numId w:val="130"/>
        </w:numPr>
        <w:autoSpaceDE w:val="0"/>
        <w:autoSpaceDN w:val="0"/>
        <w:adjustRightInd w:val="0"/>
        <w:spacing w:line="360" w:lineRule="auto"/>
        <w:ind w:right="-23"/>
        <w:rPr>
          <w:rFonts w:cs="Arial"/>
          <w:b/>
          <w:bCs w:val="0"/>
          <w:szCs w:val="24"/>
          <w:lang w:eastAsia="en-GB"/>
        </w:rPr>
      </w:pPr>
      <w:hyperlink r:id="rId177" w:history="1">
        <w:r w:rsidR="00082A47">
          <w:rPr>
            <w:rStyle w:val="Hyperlink"/>
          </w:rPr>
          <w:t>Example Stage 1 Outcome Letter (NHSR PCA Referral)</w:t>
        </w:r>
      </w:hyperlink>
      <w:bookmarkStart w:id="2469" w:name="_Toc346874492"/>
      <w:bookmarkEnd w:id="2468"/>
    </w:p>
    <w:p w14:paraId="5EC33EA1" w14:textId="77777777" w:rsidR="007D2270" w:rsidRDefault="007D2270" w:rsidP="007D2270">
      <w:pPr>
        <w:widowControl w:val="0"/>
        <w:autoSpaceDE w:val="0"/>
        <w:autoSpaceDN w:val="0"/>
        <w:adjustRightInd w:val="0"/>
        <w:spacing w:line="360" w:lineRule="auto"/>
        <w:ind w:right="-23"/>
        <w:rPr>
          <w:rFonts w:cs="Arial"/>
          <w:b/>
          <w:bCs w:val="0"/>
          <w:szCs w:val="24"/>
          <w:lang w:eastAsia="en-GB"/>
        </w:rPr>
      </w:pPr>
    </w:p>
    <w:p w14:paraId="32DB0301" w14:textId="6C40567B" w:rsidR="00867DFB" w:rsidRPr="007D2270" w:rsidRDefault="00867DFB" w:rsidP="007D2270">
      <w:pPr>
        <w:widowControl w:val="0"/>
        <w:autoSpaceDE w:val="0"/>
        <w:autoSpaceDN w:val="0"/>
        <w:adjustRightInd w:val="0"/>
        <w:spacing w:line="360" w:lineRule="auto"/>
        <w:ind w:right="-23"/>
        <w:rPr>
          <w:rFonts w:cs="Arial"/>
          <w:b/>
          <w:bCs w:val="0"/>
          <w:szCs w:val="24"/>
          <w:lang w:eastAsia="en-GB"/>
        </w:rPr>
      </w:pPr>
      <w:r w:rsidRPr="007D2270">
        <w:rPr>
          <w:rFonts w:cs="Arial"/>
          <w:b/>
          <w:bCs w:val="0"/>
          <w:szCs w:val="24"/>
          <w:lang w:eastAsia="en-GB"/>
        </w:rPr>
        <w:t>Annex 4 Example Stage 1 Outcome Letter (Matter(s) Resolved)</w:t>
      </w:r>
      <w:bookmarkEnd w:id="2469"/>
    </w:p>
    <w:bookmarkStart w:id="2470" w:name="_1557329478"/>
    <w:bookmarkEnd w:id="2470"/>
    <w:p w14:paraId="170F1B07" w14:textId="19DFF4B3" w:rsidR="00867DFB" w:rsidRPr="00960602" w:rsidRDefault="002306F3" w:rsidP="006C3DF5">
      <w:pPr>
        <w:pStyle w:val="ListParagraph"/>
        <w:widowControl w:val="0"/>
        <w:numPr>
          <w:ilvl w:val="0"/>
          <w:numId w:val="129"/>
        </w:numPr>
        <w:spacing w:line="360" w:lineRule="auto"/>
        <w:rPr>
          <w:rFonts w:cs="Arial"/>
          <w:bCs w:val="0"/>
          <w:szCs w:val="24"/>
        </w:rPr>
      </w:pPr>
      <w:r>
        <w:fldChar w:fldCharType="begin"/>
      </w:r>
      <w:r w:rsidR="005E135E">
        <w:instrText>HYPERLINK "https://www.england.nhs.uk/publication/pgm-managing-disputes-annexes/"</w:instrText>
      </w:r>
      <w:r>
        <w:fldChar w:fldCharType="separate"/>
      </w:r>
      <w:r w:rsidR="00C813FD">
        <w:rPr>
          <w:rStyle w:val="Hyperlink"/>
        </w:rPr>
        <w:t xml:space="preserve">Example </w:t>
      </w:r>
      <w:r w:rsidR="009F1EC8">
        <w:rPr>
          <w:rStyle w:val="Hyperlink"/>
        </w:rPr>
        <w:t>Stage</w:t>
      </w:r>
      <w:r w:rsidR="00C813FD">
        <w:rPr>
          <w:rStyle w:val="Hyperlink"/>
        </w:rPr>
        <w:t xml:space="preserve"> 1 Outcome Letter (Matter(s) Resolved)</w:t>
      </w:r>
      <w:r>
        <w:rPr>
          <w:rStyle w:val="Hyperlink"/>
        </w:rPr>
        <w:fldChar w:fldCharType="end"/>
      </w:r>
      <w:r w:rsidR="00960602">
        <w:rPr>
          <w:rFonts w:cs="Arial"/>
          <w:bCs w:val="0"/>
          <w:szCs w:val="24"/>
          <w:lang w:eastAsia="en-GB"/>
        </w:rPr>
        <w:br/>
      </w:r>
    </w:p>
    <w:p w14:paraId="398C90F8" w14:textId="77777777" w:rsidR="00867DFB" w:rsidRPr="00CE0885" w:rsidRDefault="00867DFB" w:rsidP="00867DFB">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5 Guidance Note for Parties Involved in Dispute Resolution</w:t>
      </w:r>
    </w:p>
    <w:p w14:paraId="3A44705E" w14:textId="7263D75A" w:rsidR="00A3057B" w:rsidRPr="00CB567A" w:rsidRDefault="000B57EE" w:rsidP="00A3057B">
      <w:pPr>
        <w:pStyle w:val="ListParagraph"/>
        <w:numPr>
          <w:ilvl w:val="0"/>
          <w:numId w:val="129"/>
        </w:numPr>
      </w:pPr>
      <w:hyperlink r:id="rId178" w:history="1">
        <w:r w:rsidR="00C813FD">
          <w:rPr>
            <w:rStyle w:val="Hyperlink"/>
          </w:rPr>
          <w:t xml:space="preserve">Guidance Note for Parties </w:t>
        </w:r>
        <w:r w:rsidR="009F1EC8">
          <w:rPr>
            <w:rStyle w:val="Hyperlink"/>
          </w:rPr>
          <w:t>Involved</w:t>
        </w:r>
        <w:r w:rsidR="00C813FD">
          <w:rPr>
            <w:rStyle w:val="Hyperlink"/>
          </w:rPr>
          <w:t xml:space="preserve"> Dispute Resolution</w:t>
        </w:r>
      </w:hyperlink>
      <w:r w:rsidR="00A3057B">
        <w:t xml:space="preserve">Annex 6 </w:t>
      </w:r>
    </w:p>
    <w:p w14:paraId="4BA949F5" w14:textId="1154413C" w:rsidR="00867DFB" w:rsidRDefault="00867DFB" w:rsidP="00867DFB">
      <w:pPr>
        <w:spacing w:line="360" w:lineRule="auto"/>
        <w:rPr>
          <w:rFonts w:cs="Arial"/>
          <w:bCs w:val="0"/>
          <w:szCs w:val="24"/>
          <w:lang w:eastAsia="en-GB"/>
        </w:rPr>
      </w:pPr>
    </w:p>
    <w:p w14:paraId="320CD7E3" w14:textId="44B4ADE4" w:rsidR="00A3057B" w:rsidRPr="001243F4" w:rsidRDefault="00A3057B" w:rsidP="00A3057B">
      <w:pPr>
        <w:widowControl w:val="0"/>
        <w:autoSpaceDE w:val="0"/>
        <w:autoSpaceDN w:val="0"/>
        <w:adjustRightInd w:val="0"/>
        <w:spacing w:line="360" w:lineRule="auto"/>
        <w:ind w:right="-23"/>
        <w:rPr>
          <w:rFonts w:cs="Arial"/>
          <w:b/>
          <w:bCs w:val="0"/>
          <w:szCs w:val="24"/>
          <w:highlight w:val="yellow"/>
          <w:lang w:eastAsia="en-GB"/>
        </w:rPr>
      </w:pPr>
      <w:r w:rsidRPr="001243F4">
        <w:rPr>
          <w:rFonts w:cs="Arial"/>
          <w:b/>
          <w:bCs w:val="0"/>
          <w:szCs w:val="24"/>
          <w:highlight w:val="yellow"/>
          <w:lang w:eastAsia="en-GB"/>
        </w:rPr>
        <w:t>Annex 6 Primary Care Appeals – New postal and email addresses</w:t>
      </w:r>
    </w:p>
    <w:p w14:paraId="73E7946C" w14:textId="77777777" w:rsidR="008C6946" w:rsidRDefault="008C6946" w:rsidP="00A3057B">
      <w:pPr>
        <w:widowControl w:val="0"/>
        <w:autoSpaceDE w:val="0"/>
        <w:autoSpaceDN w:val="0"/>
        <w:adjustRightInd w:val="0"/>
        <w:spacing w:line="360" w:lineRule="auto"/>
        <w:ind w:right="-23"/>
        <w:rPr>
          <w:rFonts w:cs="Arial"/>
          <w:b/>
          <w:bCs w:val="0"/>
          <w:szCs w:val="24"/>
          <w:highlight w:val="yellow"/>
          <w:lang w:eastAsia="en-GB"/>
        </w:rPr>
      </w:pPr>
    </w:p>
    <w:p w14:paraId="627FDDD1" w14:textId="631D3E30" w:rsidR="00A3057B" w:rsidRPr="007D2270" w:rsidRDefault="00A3057B" w:rsidP="00A3057B">
      <w:pPr>
        <w:widowControl w:val="0"/>
        <w:autoSpaceDE w:val="0"/>
        <w:autoSpaceDN w:val="0"/>
        <w:adjustRightInd w:val="0"/>
        <w:spacing w:line="360" w:lineRule="auto"/>
        <w:ind w:right="-23"/>
        <w:rPr>
          <w:rFonts w:cs="Arial"/>
          <w:b/>
          <w:bCs w:val="0"/>
          <w:szCs w:val="24"/>
          <w:lang w:eastAsia="en-GB"/>
        </w:rPr>
      </w:pPr>
      <w:r w:rsidRPr="001243F4">
        <w:rPr>
          <w:rFonts w:cs="Arial"/>
          <w:b/>
          <w:bCs w:val="0"/>
          <w:szCs w:val="24"/>
          <w:highlight w:val="yellow"/>
          <w:lang w:eastAsia="en-GB"/>
        </w:rPr>
        <w:t>Insert link</w:t>
      </w:r>
    </w:p>
    <w:p w14:paraId="4C5DD22A" w14:textId="59717EF0" w:rsidR="0015247B" w:rsidRPr="00A13EB7" w:rsidRDefault="00867DFB" w:rsidP="00A3057B">
      <w:pPr>
        <w:pStyle w:val="Heading1"/>
      </w:pPr>
      <w:r w:rsidRPr="00490AED">
        <w:rPr>
          <w:color w:val="auto"/>
        </w:rPr>
        <w:br w:type="page"/>
      </w:r>
      <w:bookmarkStart w:id="2471" w:name="_Toc95743562"/>
      <w:r w:rsidR="0015247B" w:rsidRPr="00A13EB7">
        <w:t>Adverse Events (e.g. flood fire)</w:t>
      </w:r>
      <w:bookmarkEnd w:id="2471"/>
    </w:p>
    <w:p w14:paraId="46546CED" w14:textId="77777777" w:rsidR="0015247B" w:rsidRDefault="0015247B" w:rsidP="0015247B">
      <w:pPr>
        <w:rPr>
          <w:lang w:eastAsia="en-GB"/>
        </w:rPr>
      </w:pPr>
      <w:r>
        <w:rPr>
          <w:lang w:eastAsia="en-GB"/>
        </w:rPr>
        <w:t> </w:t>
      </w:r>
    </w:p>
    <w:p w14:paraId="226EAF8B" w14:textId="77777777" w:rsidR="00867DFB" w:rsidRPr="00CE0885" w:rsidRDefault="00867DFB" w:rsidP="00A13EB7">
      <w:pPr>
        <w:pStyle w:val="Heading2"/>
        <w:rPr>
          <w:lang w:eastAsia="en-GB"/>
        </w:rPr>
      </w:pPr>
      <w:bookmarkStart w:id="2472" w:name="_Toc440982669"/>
      <w:bookmarkStart w:id="2473" w:name="_Toc95743563"/>
      <w:r w:rsidRPr="00CE0885">
        <w:rPr>
          <w:lang w:eastAsia="en-GB"/>
        </w:rPr>
        <w:t>Background</w:t>
      </w:r>
      <w:bookmarkEnd w:id="2472"/>
      <w:bookmarkEnd w:id="2473"/>
    </w:p>
    <w:p w14:paraId="0B5138CC" w14:textId="0DB889A4" w:rsidR="00867DFB" w:rsidRPr="00CE0885" w:rsidRDefault="00867DFB" w:rsidP="00A13EB7">
      <w:pPr>
        <w:pStyle w:val="Heading3"/>
        <w:rPr>
          <w:lang w:eastAsia="en-GB"/>
        </w:rPr>
      </w:pPr>
      <w:bookmarkStart w:id="2474" w:name="_Toc440982670"/>
      <w:r w:rsidRPr="00CE0885">
        <w:rPr>
          <w:lang w:eastAsia="en-GB"/>
        </w:rPr>
        <w:t>Adverse incidents are dealt with in the force majeure provisions of the standard GMS, PMS</w:t>
      </w:r>
      <w:r w:rsidR="00725417">
        <w:rPr>
          <w:lang w:eastAsia="en-GB"/>
        </w:rPr>
        <w:t xml:space="preserve"> and</w:t>
      </w:r>
      <w:r w:rsidRPr="00CE0885">
        <w:rPr>
          <w:lang w:eastAsia="en-GB"/>
        </w:rPr>
        <w:t xml:space="preserve"> APMS contracts. Although these provisions are not required by the GMS Regulations, the PMS Regulations or the APMS Directions, the majority of contracts will include them.</w:t>
      </w:r>
      <w:bookmarkEnd w:id="2474"/>
    </w:p>
    <w:p w14:paraId="45FCA0A8" w14:textId="5A5A11A9" w:rsidR="00867DFB" w:rsidRPr="00CE0885" w:rsidRDefault="00867DFB" w:rsidP="00A13EB7">
      <w:pPr>
        <w:pStyle w:val="Heading3"/>
        <w:rPr>
          <w:lang w:eastAsia="en-GB"/>
        </w:rPr>
      </w:pPr>
      <w:bookmarkStart w:id="2475" w:name="_Toc440982671"/>
      <w:r w:rsidRPr="00CE0885">
        <w:rPr>
          <w:lang w:eastAsia="en-GB"/>
        </w:rPr>
        <w:t>The Commissioner is advised to check that the force majeure provisions are included in each contract and if they are to follow the guidance in this policy. This policy is only applicable where the contract in question has retained the recommended force majeure provisions.</w:t>
      </w:r>
      <w:bookmarkEnd w:id="2475"/>
    </w:p>
    <w:p w14:paraId="07AC2FDE" w14:textId="2A72B52C" w:rsidR="00867DFB" w:rsidRPr="00CE0885" w:rsidRDefault="00867DFB" w:rsidP="00A13EB7">
      <w:pPr>
        <w:pStyle w:val="Heading3"/>
        <w:rPr>
          <w:lang w:eastAsia="en-GB"/>
        </w:rPr>
      </w:pPr>
      <w:bookmarkStart w:id="2476" w:name="_Toc440982672"/>
      <w:r w:rsidRPr="00CE0885">
        <w:rPr>
          <w:lang w:eastAsia="en-GB"/>
        </w:rPr>
        <w:t>The contractor is responsible for informing the Commissioner of any force majeure event.</w:t>
      </w:r>
      <w:bookmarkEnd w:id="2476"/>
    </w:p>
    <w:p w14:paraId="73B4FB29" w14:textId="49C98843" w:rsidR="00867DFB" w:rsidRPr="009055A7" w:rsidRDefault="00490AED" w:rsidP="00490AED">
      <w:pPr>
        <w:widowControl w:val="0"/>
        <w:tabs>
          <w:tab w:val="left" w:pos="5875"/>
        </w:tabs>
        <w:spacing w:line="360" w:lineRule="auto"/>
        <w:ind w:left="1414"/>
        <w:jc w:val="both"/>
        <w:rPr>
          <w:rFonts w:cs="Arial"/>
          <w:bCs w:val="0"/>
          <w:sz w:val="20"/>
          <w:szCs w:val="20"/>
          <w:lang w:eastAsia="en-GB"/>
        </w:rPr>
      </w:pPr>
      <w:r>
        <w:rPr>
          <w:rFonts w:cs="Arial"/>
          <w:bCs w:val="0"/>
          <w:sz w:val="20"/>
          <w:szCs w:val="20"/>
          <w:lang w:eastAsia="en-GB"/>
        </w:rPr>
        <w:tab/>
      </w:r>
    </w:p>
    <w:p w14:paraId="011457D9" w14:textId="77777777" w:rsidR="00867DFB" w:rsidRPr="00CE0885" w:rsidRDefault="00867DFB" w:rsidP="00A13EB7">
      <w:pPr>
        <w:pStyle w:val="Heading2"/>
        <w:rPr>
          <w:rFonts w:eastAsia="MS Mincho"/>
        </w:rPr>
      </w:pPr>
      <w:bookmarkStart w:id="2477" w:name="_Toc440982673"/>
      <w:bookmarkStart w:id="2478" w:name="_Toc95743564"/>
      <w:r w:rsidRPr="00CE0885">
        <w:rPr>
          <w:rFonts w:eastAsia="MS Mincho"/>
        </w:rPr>
        <w:t>Contract Wording</w:t>
      </w:r>
      <w:bookmarkEnd w:id="2477"/>
      <w:bookmarkEnd w:id="2478"/>
    </w:p>
    <w:p w14:paraId="047ACE5E" w14:textId="1150F757" w:rsidR="00867DFB" w:rsidRPr="00CE0885" w:rsidRDefault="00867DFB" w:rsidP="00A13EB7">
      <w:pPr>
        <w:pStyle w:val="Heading3"/>
        <w:rPr>
          <w:rFonts w:eastAsia="MS Mincho"/>
        </w:rPr>
      </w:pPr>
      <w:bookmarkStart w:id="2479" w:name="_Toc440982674"/>
      <w:r w:rsidRPr="00CE0885">
        <w:rPr>
          <w:rFonts w:eastAsia="MS Mincho"/>
        </w:rPr>
        <w:t>Clause 27.5 of the standard GMS contract states that:</w:t>
      </w:r>
      <w:bookmarkEnd w:id="2479"/>
    </w:p>
    <w:p w14:paraId="764B97E8" w14:textId="77777777" w:rsidR="00867DFB" w:rsidRPr="00CE0885" w:rsidRDefault="00867DFB" w:rsidP="00867DFB">
      <w:pPr>
        <w:autoSpaceDE w:val="0"/>
        <w:autoSpaceDN w:val="0"/>
        <w:adjustRightInd w:val="0"/>
        <w:spacing w:line="360" w:lineRule="auto"/>
        <w:rPr>
          <w:rFonts w:cs="Arial"/>
          <w:bCs w:val="0"/>
          <w:szCs w:val="24"/>
          <w:lang w:eastAsia="en-GB"/>
        </w:rPr>
      </w:pPr>
    </w:p>
    <w:p w14:paraId="4D0F879D" w14:textId="77777777" w:rsidR="00867DFB" w:rsidRPr="00CE0885" w:rsidRDefault="00867DFB" w:rsidP="00867DFB">
      <w:pPr>
        <w:autoSpaceDE w:val="0"/>
        <w:autoSpaceDN w:val="0"/>
        <w:adjustRightInd w:val="0"/>
        <w:spacing w:line="360" w:lineRule="auto"/>
        <w:ind w:left="2552" w:hanging="1112"/>
        <w:jc w:val="both"/>
        <w:rPr>
          <w:rFonts w:cs="Arial"/>
          <w:bCs w:val="0"/>
          <w:i/>
          <w:szCs w:val="24"/>
          <w:lang w:eastAsia="en-GB"/>
        </w:rPr>
      </w:pPr>
      <w:r w:rsidRPr="00CE0885">
        <w:rPr>
          <w:rFonts w:cs="Arial"/>
          <w:bCs w:val="0"/>
          <w:szCs w:val="24"/>
          <w:lang w:eastAsia="en-GB"/>
        </w:rPr>
        <w:t>"</w:t>
      </w:r>
      <w:r w:rsidRPr="00CE0885">
        <w:rPr>
          <w:rFonts w:cs="Arial"/>
          <w:bCs w:val="0"/>
          <w:i/>
          <w:szCs w:val="24"/>
          <w:lang w:eastAsia="en-GB"/>
        </w:rPr>
        <w:t>27.5.1</w:t>
      </w:r>
      <w:r w:rsidRPr="00CE0885">
        <w:rPr>
          <w:rFonts w:cs="Arial"/>
          <w:bCs w:val="0"/>
          <w:i/>
          <w:szCs w:val="24"/>
          <w:lang w:eastAsia="en-GB"/>
        </w:rPr>
        <w:tab/>
        <w:t>Neither party shall be responsible to the other for any failure or delay in performance of its obligations and duties under this Contract which is caused by circumstances or events beyond the reasonable control of a party. However, the affected party must promptly on the occurrence of such circumstances or events:</w:t>
      </w:r>
    </w:p>
    <w:p w14:paraId="67D27503" w14:textId="77777777" w:rsidR="00867DFB" w:rsidRPr="00CE0885" w:rsidRDefault="00867DFB" w:rsidP="00867DFB">
      <w:pPr>
        <w:autoSpaceDE w:val="0"/>
        <w:autoSpaceDN w:val="0"/>
        <w:adjustRightInd w:val="0"/>
        <w:spacing w:line="360" w:lineRule="auto"/>
        <w:ind w:left="2977" w:hanging="425"/>
        <w:jc w:val="both"/>
        <w:rPr>
          <w:rFonts w:cs="Arial"/>
          <w:bCs w:val="0"/>
          <w:i/>
          <w:szCs w:val="24"/>
          <w:lang w:eastAsia="en-GB"/>
        </w:rPr>
      </w:pPr>
      <w:r w:rsidRPr="00CE0885">
        <w:rPr>
          <w:rFonts w:cs="Arial"/>
          <w:bCs w:val="0"/>
          <w:i/>
          <w:szCs w:val="24"/>
          <w:lang w:eastAsia="en-GB"/>
        </w:rPr>
        <w:t xml:space="preserve"> </w:t>
      </w:r>
    </w:p>
    <w:p w14:paraId="0FDFF246" w14:textId="77777777" w:rsidR="00867DFB" w:rsidRPr="00CE0885" w:rsidRDefault="00867DFB" w:rsidP="00867DFB">
      <w:pPr>
        <w:autoSpaceDE w:val="0"/>
        <w:autoSpaceDN w:val="0"/>
        <w:adjustRightInd w:val="0"/>
        <w:spacing w:line="360" w:lineRule="auto"/>
        <w:ind w:left="2977" w:hanging="425"/>
        <w:jc w:val="both"/>
        <w:rPr>
          <w:rFonts w:cs="Arial"/>
          <w:bCs w:val="0"/>
          <w:i/>
          <w:szCs w:val="24"/>
          <w:lang w:eastAsia="en-GB"/>
        </w:rPr>
      </w:pPr>
      <w:r w:rsidRPr="00CE0885">
        <w:rPr>
          <w:rFonts w:cs="Arial"/>
          <w:bCs w:val="0"/>
          <w:i/>
          <w:szCs w:val="24"/>
          <w:lang w:eastAsia="en-GB"/>
        </w:rPr>
        <w:t xml:space="preserve">(a) </w:t>
      </w:r>
      <w:r w:rsidRPr="00CE0885">
        <w:rPr>
          <w:rFonts w:cs="Arial"/>
          <w:bCs w:val="0"/>
          <w:i/>
          <w:szCs w:val="24"/>
          <w:lang w:eastAsia="en-GB"/>
        </w:rPr>
        <w:tab/>
        <w:t xml:space="preserve">inform the other party in writing of such circumstances or events and of what obligation or duty they have delayed or prevented being performed; and </w:t>
      </w:r>
    </w:p>
    <w:p w14:paraId="1D5E166A" w14:textId="77777777" w:rsidR="00867DFB" w:rsidRPr="00CE0885" w:rsidRDefault="00867DFB" w:rsidP="00867DFB">
      <w:pPr>
        <w:autoSpaceDE w:val="0"/>
        <w:autoSpaceDN w:val="0"/>
        <w:adjustRightInd w:val="0"/>
        <w:spacing w:line="360" w:lineRule="auto"/>
        <w:ind w:left="2977" w:hanging="425"/>
        <w:jc w:val="both"/>
        <w:rPr>
          <w:rFonts w:cs="Arial"/>
          <w:bCs w:val="0"/>
          <w:i/>
          <w:szCs w:val="24"/>
          <w:lang w:eastAsia="en-GB"/>
        </w:rPr>
      </w:pPr>
      <w:r w:rsidRPr="00CE0885">
        <w:rPr>
          <w:rFonts w:cs="Arial"/>
          <w:bCs w:val="0"/>
          <w:i/>
          <w:szCs w:val="24"/>
          <w:lang w:eastAsia="en-GB"/>
        </w:rPr>
        <w:t>(b)</w:t>
      </w:r>
      <w:r w:rsidRPr="00CE0885">
        <w:rPr>
          <w:rFonts w:cs="Arial"/>
          <w:bCs w:val="0"/>
          <w:i/>
          <w:szCs w:val="24"/>
          <w:lang w:eastAsia="en-GB"/>
        </w:rPr>
        <w:tab/>
        <w:t xml:space="preserve">take all action within its power to comply with the terms of this Contract as fully and promptly as possible. </w:t>
      </w:r>
    </w:p>
    <w:p w14:paraId="3D8E8FB7" w14:textId="77777777" w:rsidR="00867DFB" w:rsidRPr="00CE0885" w:rsidRDefault="00867DFB" w:rsidP="00867DFB">
      <w:pPr>
        <w:autoSpaceDE w:val="0"/>
        <w:autoSpaceDN w:val="0"/>
        <w:adjustRightInd w:val="0"/>
        <w:spacing w:line="360" w:lineRule="auto"/>
        <w:ind w:left="2552" w:hanging="1112"/>
        <w:jc w:val="both"/>
        <w:rPr>
          <w:rFonts w:cs="Arial"/>
          <w:bCs w:val="0"/>
          <w:i/>
          <w:szCs w:val="24"/>
          <w:lang w:eastAsia="en-GB"/>
        </w:rPr>
      </w:pPr>
      <w:r w:rsidRPr="00CE0885">
        <w:rPr>
          <w:rFonts w:cs="Arial"/>
          <w:bCs w:val="0"/>
          <w:i/>
          <w:szCs w:val="24"/>
          <w:lang w:eastAsia="en-GB"/>
        </w:rPr>
        <w:t>27.5.2</w:t>
      </w:r>
      <w:r w:rsidRPr="00CE0885">
        <w:rPr>
          <w:rFonts w:cs="Arial"/>
          <w:bCs w:val="0"/>
          <w:i/>
          <w:szCs w:val="24"/>
          <w:lang w:eastAsia="en-GB"/>
        </w:rPr>
        <w:tab/>
        <w:t xml:space="preserve">Unless the affected party takes such steps, clause 27.5.1 shall not have the effect of absolving it from its obligations under this Contract. For the avoidance of doubt, any actions or omissions of either party’s personnel or any failures of either party’s systems, procedures, premises or equipment shall not be deemed to be circumstances or events beyond the reasonable control of the relevant party for the purposes of this clause, unless the cause of failure was beyond reasonable control. </w:t>
      </w:r>
    </w:p>
    <w:p w14:paraId="212C2398" w14:textId="77777777" w:rsidR="00867DFB" w:rsidRPr="00CE0885" w:rsidRDefault="00867DFB" w:rsidP="00867DFB">
      <w:pPr>
        <w:autoSpaceDE w:val="0"/>
        <w:autoSpaceDN w:val="0"/>
        <w:adjustRightInd w:val="0"/>
        <w:spacing w:line="360" w:lineRule="auto"/>
        <w:ind w:left="2552" w:hanging="1112"/>
        <w:jc w:val="both"/>
        <w:rPr>
          <w:rFonts w:cs="Arial"/>
          <w:bCs w:val="0"/>
          <w:i/>
          <w:szCs w:val="24"/>
          <w:lang w:eastAsia="en-GB"/>
        </w:rPr>
      </w:pPr>
      <w:r w:rsidRPr="00CE0885">
        <w:rPr>
          <w:rFonts w:cs="Arial"/>
          <w:bCs w:val="0"/>
          <w:i/>
          <w:szCs w:val="24"/>
          <w:lang w:eastAsia="en-GB"/>
        </w:rPr>
        <w:t xml:space="preserve">27.5.3. </w:t>
      </w:r>
      <w:r w:rsidRPr="00CE0885">
        <w:rPr>
          <w:rFonts w:cs="Arial"/>
          <w:bCs w:val="0"/>
          <w:i/>
          <w:szCs w:val="24"/>
          <w:lang w:eastAsia="en-GB"/>
        </w:rPr>
        <w:tab/>
        <w:t xml:space="preserve">If the affected party is delayed or prevented from performing its obligations and duties under the Contract for a continuous period of 3 months, then either party may terminate this Contract by notice in writing within such period as is reasonable in the circumstances (which shall be no shorter than 28 days). </w:t>
      </w:r>
    </w:p>
    <w:p w14:paraId="355E35F7" w14:textId="77777777" w:rsidR="00867DFB" w:rsidRPr="00CE0885" w:rsidRDefault="00867DFB" w:rsidP="00867DFB">
      <w:pPr>
        <w:autoSpaceDE w:val="0"/>
        <w:autoSpaceDN w:val="0"/>
        <w:adjustRightInd w:val="0"/>
        <w:spacing w:line="360" w:lineRule="auto"/>
        <w:ind w:left="2552" w:hanging="1112"/>
        <w:jc w:val="both"/>
        <w:rPr>
          <w:rFonts w:cs="Arial"/>
          <w:bCs w:val="0"/>
          <w:szCs w:val="24"/>
          <w:lang w:eastAsia="en-GB"/>
        </w:rPr>
      </w:pPr>
      <w:r w:rsidRPr="00CE0885">
        <w:rPr>
          <w:rFonts w:cs="Arial"/>
          <w:bCs w:val="0"/>
          <w:i/>
          <w:szCs w:val="24"/>
          <w:lang w:eastAsia="en-GB"/>
        </w:rPr>
        <w:t xml:space="preserve">27.5.4. </w:t>
      </w:r>
      <w:r w:rsidRPr="00CE0885">
        <w:rPr>
          <w:rFonts w:cs="Arial"/>
          <w:bCs w:val="0"/>
          <w:i/>
          <w:szCs w:val="24"/>
          <w:lang w:eastAsia="en-GB"/>
        </w:rPr>
        <w:tab/>
        <w:t>The termination shall not take effect at the end of the notice period if the affected party is able to resume performance of its obligations and duties under the Contract within the period of notice specified in accordance with clause 27.5.3 above, or if the other party otherwise consents</w:t>
      </w:r>
      <w:r w:rsidRPr="00CE0885">
        <w:rPr>
          <w:rFonts w:cs="Arial"/>
          <w:bCs w:val="0"/>
          <w:szCs w:val="24"/>
          <w:lang w:eastAsia="en-GB"/>
        </w:rPr>
        <w:t>."</w:t>
      </w:r>
    </w:p>
    <w:p w14:paraId="7A4923F6" w14:textId="77777777" w:rsidR="00867DFB" w:rsidRPr="00CE0885" w:rsidRDefault="00867DFB" w:rsidP="00A13EB7">
      <w:pPr>
        <w:pStyle w:val="Heading3"/>
        <w:rPr>
          <w:rFonts w:eastAsia="MS Mincho"/>
        </w:rPr>
      </w:pPr>
      <w:bookmarkStart w:id="2480" w:name="_Toc440982675"/>
      <w:r w:rsidRPr="00CE0885">
        <w:rPr>
          <w:rFonts w:eastAsia="MS Mincho"/>
        </w:rPr>
        <w:t>The provision of individual PMS and APMS contracts should be reviewed and advice sought.</w:t>
      </w:r>
      <w:bookmarkEnd w:id="2480"/>
    </w:p>
    <w:p w14:paraId="62F58F66" w14:textId="7DA97BD5" w:rsidR="00867DFB" w:rsidRPr="00CE0885" w:rsidRDefault="00867DFB" w:rsidP="00A13EB7">
      <w:pPr>
        <w:pStyle w:val="Heading3"/>
        <w:rPr>
          <w:rFonts w:eastAsia="MS Mincho"/>
        </w:rPr>
      </w:pPr>
      <w:bookmarkStart w:id="2481" w:name="_Toc440982676"/>
      <w:r w:rsidRPr="00CE0885">
        <w:rPr>
          <w:rFonts w:eastAsia="MS Mincho"/>
        </w:rPr>
        <w:t>A force majeure event is one which is caused by circumstances beyond the reasonable control of either the Commissioner or the contractor that could not have been avoided or mitigated with reasonable care and where the event has had a material effect on the fulfilment of the contract.</w:t>
      </w:r>
      <w:bookmarkEnd w:id="2481"/>
    </w:p>
    <w:p w14:paraId="018B1FCA" w14:textId="1818B399" w:rsidR="00867DFB" w:rsidRPr="00CE0885" w:rsidRDefault="00867DFB" w:rsidP="00A13EB7">
      <w:pPr>
        <w:pStyle w:val="Heading3"/>
        <w:rPr>
          <w:rFonts w:eastAsia="MS Mincho"/>
        </w:rPr>
      </w:pPr>
      <w:bookmarkStart w:id="2482" w:name="_Toc440982677"/>
      <w:r w:rsidRPr="00CE0885">
        <w:rPr>
          <w:rFonts w:eastAsia="MS Mincho"/>
        </w:rPr>
        <w:t>Examples of events that may invoke the force majeure provisions are as follows:</w:t>
      </w:r>
      <w:bookmarkEnd w:id="2482"/>
    </w:p>
    <w:p w14:paraId="514F32CB" w14:textId="1185E37C" w:rsidR="00867DFB" w:rsidRPr="009A7101" w:rsidRDefault="00867DFB" w:rsidP="006C3DF5">
      <w:pPr>
        <w:pStyle w:val="ListParagraph"/>
        <w:numPr>
          <w:ilvl w:val="0"/>
          <w:numId w:val="129"/>
        </w:numPr>
        <w:spacing w:line="360" w:lineRule="auto"/>
        <w:ind w:left="714" w:hanging="357"/>
      </w:pPr>
      <w:bookmarkStart w:id="2483" w:name="_Toc440982678"/>
      <w:r w:rsidRPr="009A7101">
        <w:t>Fire;</w:t>
      </w:r>
      <w:bookmarkEnd w:id="2483"/>
      <w:r w:rsidRPr="009A7101">
        <w:t xml:space="preserve"> </w:t>
      </w:r>
    </w:p>
    <w:p w14:paraId="665C683E" w14:textId="77777777" w:rsidR="00867DFB" w:rsidRPr="009A7101" w:rsidRDefault="00867DFB" w:rsidP="006C3DF5">
      <w:pPr>
        <w:pStyle w:val="ListParagraph"/>
        <w:numPr>
          <w:ilvl w:val="0"/>
          <w:numId w:val="129"/>
        </w:numPr>
        <w:spacing w:line="360" w:lineRule="auto"/>
        <w:ind w:left="714" w:hanging="357"/>
      </w:pPr>
      <w:bookmarkStart w:id="2484" w:name="_Toc440982679"/>
      <w:r w:rsidRPr="009A7101">
        <w:t>Flood;</w:t>
      </w:r>
      <w:bookmarkEnd w:id="2484"/>
      <w:r w:rsidRPr="009A7101">
        <w:t xml:space="preserve"> </w:t>
      </w:r>
    </w:p>
    <w:p w14:paraId="0217F74E" w14:textId="77777777" w:rsidR="00867DFB" w:rsidRPr="007A3AF8" w:rsidRDefault="00867DFB" w:rsidP="006C3DF5">
      <w:pPr>
        <w:pStyle w:val="ListParagraph"/>
        <w:numPr>
          <w:ilvl w:val="0"/>
          <w:numId w:val="129"/>
        </w:numPr>
        <w:spacing w:line="360" w:lineRule="auto"/>
        <w:ind w:left="714" w:hanging="357"/>
      </w:pPr>
      <w:bookmarkStart w:id="2485" w:name="_Toc440982680"/>
      <w:r w:rsidRPr="009A7101">
        <w:t>Severe weather conditions and for which precautions are not ordinarily taken to avoid or mitigate the impact (for example a severe hurricane);</w:t>
      </w:r>
      <w:bookmarkEnd w:id="2485"/>
      <w:r w:rsidRPr="009A7101">
        <w:t xml:space="preserve">  </w:t>
      </w:r>
    </w:p>
    <w:p w14:paraId="6C772A93" w14:textId="77777777" w:rsidR="00867DFB" w:rsidRPr="001F7167" w:rsidRDefault="00867DFB" w:rsidP="006C3DF5">
      <w:pPr>
        <w:pStyle w:val="ListParagraph"/>
        <w:numPr>
          <w:ilvl w:val="0"/>
          <w:numId w:val="129"/>
        </w:numPr>
        <w:spacing w:line="360" w:lineRule="auto"/>
        <w:ind w:left="714" w:hanging="357"/>
      </w:pPr>
      <w:bookmarkStart w:id="2486" w:name="_Toc440982681"/>
      <w:r w:rsidRPr="0020637B">
        <w:t xml:space="preserve">Industrial </w:t>
      </w:r>
      <w:r w:rsidRPr="001F7167">
        <w:t>action which significantly affects the provision of public services or services upon which the party is reliant;</w:t>
      </w:r>
      <w:bookmarkEnd w:id="2486"/>
    </w:p>
    <w:p w14:paraId="32A92EEF" w14:textId="77777777" w:rsidR="00867DFB" w:rsidRPr="00C70CC1" w:rsidRDefault="00867DFB" w:rsidP="006C3DF5">
      <w:pPr>
        <w:pStyle w:val="ListParagraph"/>
        <w:numPr>
          <w:ilvl w:val="0"/>
          <w:numId w:val="129"/>
        </w:numPr>
        <w:spacing w:line="360" w:lineRule="auto"/>
        <w:ind w:left="714" w:hanging="357"/>
      </w:pPr>
      <w:bookmarkStart w:id="2487" w:name="_Toc440982682"/>
      <w:r w:rsidRPr="00C70CC1">
        <w:t>Death of a significant performer or close relative;</w:t>
      </w:r>
      <w:bookmarkEnd w:id="2487"/>
    </w:p>
    <w:p w14:paraId="1F7A5607" w14:textId="77777777" w:rsidR="00867DFB" w:rsidRPr="00C70CC1" w:rsidRDefault="00867DFB" w:rsidP="006C3DF5">
      <w:pPr>
        <w:pStyle w:val="ListParagraph"/>
        <w:numPr>
          <w:ilvl w:val="0"/>
          <w:numId w:val="129"/>
        </w:numPr>
        <w:spacing w:line="360" w:lineRule="auto"/>
        <w:ind w:left="714" w:hanging="357"/>
      </w:pPr>
      <w:bookmarkStart w:id="2488" w:name="_Toc440982683"/>
      <w:r w:rsidRPr="00C70CC1">
        <w:t>Pandemic disease or circumstances that might otherwise be considered “an act of God”;</w:t>
      </w:r>
      <w:bookmarkEnd w:id="2488"/>
    </w:p>
    <w:p w14:paraId="3342FDCC" w14:textId="77777777" w:rsidR="00867DFB" w:rsidRPr="00C54675" w:rsidRDefault="00867DFB" w:rsidP="006C3DF5">
      <w:pPr>
        <w:pStyle w:val="ListParagraph"/>
        <w:numPr>
          <w:ilvl w:val="0"/>
          <w:numId w:val="129"/>
        </w:numPr>
        <w:spacing w:line="360" w:lineRule="auto"/>
        <w:ind w:left="714" w:hanging="357"/>
      </w:pPr>
      <w:bookmarkStart w:id="2489" w:name="_Toc440982684"/>
      <w:r w:rsidRPr="00C70CC1">
        <w:t>War;</w:t>
      </w:r>
      <w:bookmarkEnd w:id="2489"/>
    </w:p>
    <w:p w14:paraId="2C0F37E1" w14:textId="77777777" w:rsidR="00867DFB" w:rsidRPr="009C5597" w:rsidRDefault="00867DFB" w:rsidP="006C3DF5">
      <w:pPr>
        <w:pStyle w:val="ListParagraph"/>
        <w:numPr>
          <w:ilvl w:val="0"/>
          <w:numId w:val="129"/>
        </w:numPr>
        <w:spacing w:line="360" w:lineRule="auto"/>
        <w:ind w:left="714" w:hanging="357"/>
      </w:pPr>
      <w:bookmarkStart w:id="2490" w:name="_Toc440982685"/>
      <w:r w:rsidRPr="009C5597">
        <w:t>Civil war (whether declared or undeclared);</w:t>
      </w:r>
      <w:bookmarkEnd w:id="2490"/>
    </w:p>
    <w:p w14:paraId="5EDF7220" w14:textId="77777777" w:rsidR="00867DFB" w:rsidRPr="00A553BA" w:rsidRDefault="00867DFB" w:rsidP="006C3DF5">
      <w:pPr>
        <w:pStyle w:val="ListParagraph"/>
        <w:numPr>
          <w:ilvl w:val="0"/>
          <w:numId w:val="129"/>
        </w:numPr>
        <w:spacing w:line="360" w:lineRule="auto"/>
        <w:ind w:left="714" w:hanging="357"/>
      </w:pPr>
      <w:bookmarkStart w:id="2491" w:name="_Toc440982686"/>
      <w:r w:rsidRPr="00A553BA">
        <w:t>Riot or armed conflict;</w:t>
      </w:r>
      <w:bookmarkEnd w:id="2491"/>
    </w:p>
    <w:p w14:paraId="3D2A2917" w14:textId="77777777" w:rsidR="00867DFB" w:rsidRPr="00A553BA" w:rsidRDefault="00867DFB" w:rsidP="006C3DF5">
      <w:pPr>
        <w:pStyle w:val="ListParagraph"/>
        <w:numPr>
          <w:ilvl w:val="0"/>
          <w:numId w:val="129"/>
        </w:numPr>
        <w:spacing w:line="360" w:lineRule="auto"/>
        <w:ind w:left="714" w:hanging="357"/>
      </w:pPr>
      <w:bookmarkStart w:id="2492" w:name="_Toc440982687"/>
      <w:r w:rsidRPr="00A553BA">
        <w:t>Radioactive, chemical or biological contamination;</w:t>
      </w:r>
      <w:bookmarkEnd w:id="2492"/>
    </w:p>
    <w:p w14:paraId="15772DAD" w14:textId="77777777" w:rsidR="00867DFB" w:rsidRPr="00A553BA" w:rsidRDefault="00867DFB" w:rsidP="006C3DF5">
      <w:pPr>
        <w:pStyle w:val="ListParagraph"/>
        <w:numPr>
          <w:ilvl w:val="0"/>
          <w:numId w:val="129"/>
        </w:numPr>
        <w:spacing w:line="360" w:lineRule="auto"/>
        <w:ind w:left="714" w:hanging="357"/>
      </w:pPr>
      <w:bookmarkStart w:id="2493" w:name="_Toc440982688"/>
      <w:r w:rsidRPr="00A553BA">
        <w:t>Pressure waves caused by aircraft or other aerial devices travelling at sonic or supersonic speed;</w:t>
      </w:r>
      <w:bookmarkEnd w:id="2493"/>
    </w:p>
    <w:p w14:paraId="182002EB" w14:textId="77777777" w:rsidR="00867DFB" w:rsidRPr="00A553BA" w:rsidRDefault="00867DFB" w:rsidP="006C3DF5">
      <w:pPr>
        <w:pStyle w:val="ListParagraph"/>
        <w:numPr>
          <w:ilvl w:val="0"/>
          <w:numId w:val="129"/>
        </w:numPr>
        <w:spacing w:line="360" w:lineRule="auto"/>
        <w:ind w:left="714" w:hanging="357"/>
      </w:pPr>
      <w:bookmarkStart w:id="2494" w:name="_Toc440982689"/>
      <w:r w:rsidRPr="00A553BA">
        <w:t>Acts of terrorism;</w:t>
      </w:r>
      <w:bookmarkEnd w:id="2494"/>
    </w:p>
    <w:p w14:paraId="1F1CA646" w14:textId="77777777" w:rsidR="00867DFB" w:rsidRPr="00A553BA" w:rsidRDefault="00867DFB" w:rsidP="006C3DF5">
      <w:pPr>
        <w:pStyle w:val="ListParagraph"/>
        <w:numPr>
          <w:ilvl w:val="0"/>
          <w:numId w:val="129"/>
        </w:numPr>
        <w:spacing w:line="360" w:lineRule="auto"/>
        <w:ind w:left="714" w:hanging="357"/>
      </w:pPr>
      <w:bookmarkStart w:id="2495" w:name="_Toc440982690"/>
      <w:r w:rsidRPr="00A553BA">
        <w:t>Explosion.</w:t>
      </w:r>
      <w:bookmarkEnd w:id="2495"/>
    </w:p>
    <w:p w14:paraId="2923880C" w14:textId="77777777" w:rsidR="00867DFB" w:rsidRPr="00CE0885" w:rsidRDefault="00867DFB" w:rsidP="00A13EB7">
      <w:pPr>
        <w:pStyle w:val="Heading3"/>
        <w:rPr>
          <w:rFonts w:eastAsia="MS Mincho"/>
          <w:lang w:eastAsia="en-GB"/>
        </w:rPr>
      </w:pPr>
      <w:bookmarkStart w:id="2496" w:name="_Toc440982691"/>
      <w:r w:rsidRPr="00CE0885">
        <w:rPr>
          <w:rFonts w:eastAsia="MS Mincho"/>
          <w:lang w:eastAsia="en-GB"/>
        </w:rPr>
        <w:t>Examples of events that would not be considered force majeure events are as follows:</w:t>
      </w:r>
      <w:bookmarkEnd w:id="2496"/>
    </w:p>
    <w:p w14:paraId="53270C2D" w14:textId="7135DD79" w:rsidR="00867DFB" w:rsidRPr="00A553BA" w:rsidRDefault="00867DFB" w:rsidP="006C3DF5">
      <w:pPr>
        <w:pStyle w:val="ListParagraph"/>
        <w:numPr>
          <w:ilvl w:val="0"/>
          <w:numId w:val="197"/>
        </w:numPr>
        <w:spacing w:line="360" w:lineRule="auto"/>
        <w:ind w:left="714" w:hanging="357"/>
      </w:pPr>
      <w:bookmarkStart w:id="2497" w:name="_Toc440982692"/>
      <w:r w:rsidRPr="00A553BA">
        <w:t>Refurbishment of practice premises;</w:t>
      </w:r>
      <w:bookmarkEnd w:id="2497"/>
    </w:p>
    <w:p w14:paraId="1C0AEFB2" w14:textId="77777777" w:rsidR="00867DFB" w:rsidRPr="00A553BA" w:rsidRDefault="00867DFB" w:rsidP="006C3DF5">
      <w:pPr>
        <w:pStyle w:val="ListParagraph"/>
        <w:numPr>
          <w:ilvl w:val="0"/>
          <w:numId w:val="197"/>
        </w:numPr>
        <w:spacing w:line="360" w:lineRule="auto"/>
        <w:ind w:left="714" w:hanging="357"/>
      </w:pPr>
      <w:bookmarkStart w:id="2498" w:name="_Toc440982693"/>
      <w:r w:rsidRPr="00A553BA">
        <w:t>Adverse weather in the winter months (including snow and ice);</w:t>
      </w:r>
      <w:bookmarkEnd w:id="2498"/>
    </w:p>
    <w:p w14:paraId="6A9A2EDE" w14:textId="2193D1FA" w:rsidR="00867DFB" w:rsidRPr="00A553BA" w:rsidRDefault="00867DFB" w:rsidP="006C3DF5">
      <w:pPr>
        <w:pStyle w:val="ListParagraph"/>
        <w:numPr>
          <w:ilvl w:val="0"/>
          <w:numId w:val="197"/>
        </w:numPr>
        <w:spacing w:line="360" w:lineRule="auto"/>
        <w:ind w:left="714" w:hanging="357"/>
      </w:pPr>
      <w:bookmarkStart w:id="2499" w:name="_Toc440982694"/>
      <w:r w:rsidRPr="00A553BA">
        <w:t>Planned events (including elective surgery, leave, weddings and similar events</w:t>
      </w:r>
      <w:r w:rsidR="00275296">
        <w:t>)</w:t>
      </w:r>
      <w:r w:rsidRPr="00A553BA">
        <w:t>;</w:t>
      </w:r>
      <w:bookmarkEnd w:id="2499"/>
    </w:p>
    <w:p w14:paraId="3804E51F" w14:textId="77777777" w:rsidR="00867DFB" w:rsidRPr="00A553BA" w:rsidRDefault="00867DFB" w:rsidP="006C3DF5">
      <w:pPr>
        <w:pStyle w:val="ListParagraph"/>
        <w:numPr>
          <w:ilvl w:val="0"/>
          <w:numId w:val="197"/>
        </w:numPr>
        <w:spacing w:line="360" w:lineRule="auto"/>
        <w:ind w:left="714" w:hanging="357"/>
      </w:pPr>
      <w:bookmarkStart w:id="2500" w:name="_Toc440982695"/>
      <w:r w:rsidRPr="00A553BA">
        <w:t>Long term sickness, maternity/paternity or adoption leave.</w:t>
      </w:r>
      <w:bookmarkEnd w:id="2500"/>
    </w:p>
    <w:p w14:paraId="2ED6B45F" w14:textId="77777777" w:rsidR="00867DFB" w:rsidRPr="009055A7" w:rsidRDefault="00867DFB" w:rsidP="00867DFB">
      <w:pPr>
        <w:widowControl w:val="0"/>
        <w:spacing w:line="360" w:lineRule="auto"/>
        <w:ind w:left="2268"/>
        <w:jc w:val="both"/>
        <w:rPr>
          <w:rFonts w:cs="Arial"/>
          <w:bCs w:val="0"/>
          <w:sz w:val="20"/>
          <w:szCs w:val="20"/>
          <w:lang w:eastAsia="en-GB"/>
        </w:rPr>
      </w:pPr>
    </w:p>
    <w:p w14:paraId="7DD27FBE" w14:textId="77777777" w:rsidR="00867DFB" w:rsidRPr="00CE0885" w:rsidRDefault="00867DFB" w:rsidP="00A13EB7">
      <w:pPr>
        <w:pStyle w:val="Heading2"/>
        <w:rPr>
          <w:rFonts w:eastAsia="MS Mincho"/>
          <w:lang w:eastAsia="en-GB"/>
        </w:rPr>
      </w:pPr>
      <w:bookmarkStart w:id="2501" w:name="_Toc440982696"/>
      <w:bookmarkStart w:id="2502" w:name="_Toc95743565"/>
      <w:r w:rsidRPr="00CE0885">
        <w:rPr>
          <w:rFonts w:eastAsia="MS Mincho"/>
          <w:lang w:eastAsia="en-GB"/>
        </w:rPr>
        <w:t>Contract Compliance</w:t>
      </w:r>
      <w:bookmarkEnd w:id="2501"/>
      <w:bookmarkEnd w:id="2502"/>
      <w:r w:rsidRPr="00CE0885">
        <w:rPr>
          <w:rFonts w:eastAsia="MS Mincho"/>
          <w:lang w:eastAsia="en-GB"/>
        </w:rPr>
        <w:t xml:space="preserve"> </w:t>
      </w:r>
    </w:p>
    <w:p w14:paraId="0F7B970F" w14:textId="76F25B45" w:rsidR="00867DFB" w:rsidRPr="00CE0885" w:rsidRDefault="00867DFB" w:rsidP="00A13EB7">
      <w:pPr>
        <w:pStyle w:val="Heading3"/>
        <w:rPr>
          <w:rFonts w:eastAsia="MS Mincho"/>
          <w:lang w:eastAsia="en-GB"/>
        </w:rPr>
      </w:pPr>
      <w:bookmarkStart w:id="2503" w:name="_Toc440982697"/>
      <w:r w:rsidRPr="00CE0885">
        <w:rPr>
          <w:rFonts w:eastAsia="MS Mincho"/>
          <w:lang w:eastAsia="en-GB"/>
        </w:rPr>
        <w:t xml:space="preserve">All contractors will likely be obliged under the terms of their contracts to promptly notify the Commissioner of a force majeure event, detailing the cause or event, what service provision is being delayed or prevented and what </w:t>
      </w:r>
      <w:r w:rsidR="00FE4531">
        <w:rPr>
          <w:rFonts w:eastAsia="MS Mincho"/>
          <w:lang w:eastAsia="en-GB"/>
        </w:rPr>
        <w:t xml:space="preserve">business continuity </w:t>
      </w:r>
      <w:r w:rsidRPr="00CE0885">
        <w:rPr>
          <w:rFonts w:eastAsia="MS Mincho"/>
          <w:lang w:eastAsia="en-GB"/>
        </w:rPr>
        <w:t>action(s) within their power they are taking in order to comply with the terms of the contract as fully and promptly as possible.</w:t>
      </w:r>
      <w:bookmarkEnd w:id="2503"/>
    </w:p>
    <w:p w14:paraId="135ED7D2" w14:textId="0E75AE39" w:rsidR="00867DFB" w:rsidRPr="00CE0885" w:rsidRDefault="00867DFB" w:rsidP="00A13EB7">
      <w:pPr>
        <w:pStyle w:val="Heading3"/>
        <w:rPr>
          <w:rFonts w:eastAsia="MS Mincho"/>
          <w:lang w:eastAsia="en-GB"/>
        </w:rPr>
      </w:pPr>
      <w:bookmarkStart w:id="2504" w:name="_Toc440982698"/>
      <w:r w:rsidRPr="00CE0885">
        <w:rPr>
          <w:rFonts w:eastAsia="MS Mincho"/>
          <w:lang w:eastAsia="en-GB"/>
        </w:rPr>
        <w:t>Failure to notify the Commissioner will mean that the contractor is not absolved from its obligations under the contract.</w:t>
      </w:r>
      <w:bookmarkEnd w:id="2504"/>
      <w:r w:rsidRPr="00CE0885">
        <w:rPr>
          <w:rFonts w:eastAsia="MS Mincho"/>
          <w:lang w:eastAsia="en-GB"/>
        </w:rPr>
        <w:t xml:space="preserve"> </w:t>
      </w:r>
    </w:p>
    <w:p w14:paraId="388A3DB3" w14:textId="29770259" w:rsidR="00867DFB" w:rsidRPr="00CE0885" w:rsidRDefault="00867DFB" w:rsidP="00A13EB7">
      <w:pPr>
        <w:pStyle w:val="Heading3"/>
        <w:rPr>
          <w:rFonts w:eastAsia="MS Mincho"/>
          <w:lang w:eastAsia="en-GB"/>
        </w:rPr>
      </w:pPr>
      <w:bookmarkStart w:id="2505" w:name="_Toc440982699"/>
      <w:r w:rsidRPr="00CE0885">
        <w:rPr>
          <w:rFonts w:eastAsia="MS Mincho"/>
          <w:lang w:eastAsia="en-GB"/>
        </w:rPr>
        <w:t>Neither party will be responsible to the other for any failure to delay in performing its obligations and duties under the contract which is caused by an event of force majeure</w:t>
      </w:r>
      <w:bookmarkEnd w:id="2505"/>
      <w:r w:rsidRPr="00CE0885">
        <w:rPr>
          <w:rFonts w:eastAsia="MS Mincho"/>
          <w:lang w:eastAsia="en-GB"/>
        </w:rPr>
        <w:t xml:space="preserve"> </w:t>
      </w:r>
    </w:p>
    <w:p w14:paraId="2A6DCE86" w14:textId="732D3C25" w:rsidR="00867DFB" w:rsidRPr="00CE0885" w:rsidRDefault="00867DFB" w:rsidP="00A13EB7">
      <w:pPr>
        <w:pStyle w:val="Heading3"/>
        <w:rPr>
          <w:rFonts w:eastAsia="MS Mincho"/>
          <w:lang w:eastAsia="en-GB"/>
        </w:rPr>
      </w:pPr>
      <w:bookmarkStart w:id="2506" w:name="_Toc440982700"/>
      <w:r w:rsidRPr="00CE0885">
        <w:rPr>
          <w:rFonts w:eastAsia="MS Mincho"/>
          <w:lang w:eastAsia="en-GB"/>
        </w:rPr>
        <w:t>A template notification is provided in Annex 1 which the Commissioner can send to the contractor for completion.</w:t>
      </w:r>
      <w:bookmarkEnd w:id="2506"/>
      <w:r w:rsidRPr="00CE0885">
        <w:rPr>
          <w:rFonts w:eastAsia="MS Mincho"/>
          <w:lang w:eastAsia="en-GB"/>
        </w:rPr>
        <w:t xml:space="preserve"> </w:t>
      </w:r>
    </w:p>
    <w:p w14:paraId="5198C3FE" w14:textId="77777777" w:rsidR="00867DFB" w:rsidRPr="009055A7" w:rsidRDefault="00867DFB" w:rsidP="00867DFB">
      <w:pPr>
        <w:widowControl w:val="0"/>
        <w:spacing w:line="360" w:lineRule="auto"/>
        <w:ind w:left="1414"/>
        <w:jc w:val="both"/>
        <w:rPr>
          <w:rFonts w:eastAsia="MS Mincho" w:cs="Arial"/>
          <w:bCs w:val="0"/>
          <w:sz w:val="20"/>
          <w:szCs w:val="20"/>
          <w:lang w:eastAsia="en-GB"/>
        </w:rPr>
      </w:pPr>
    </w:p>
    <w:p w14:paraId="6CA3D4E4" w14:textId="77777777" w:rsidR="00867DFB" w:rsidRPr="00CE0885" w:rsidRDefault="00867DFB" w:rsidP="00A13EB7">
      <w:pPr>
        <w:pStyle w:val="Heading2"/>
        <w:rPr>
          <w:rFonts w:eastAsia="MS Mincho"/>
          <w:lang w:eastAsia="en-GB"/>
        </w:rPr>
      </w:pPr>
      <w:bookmarkStart w:id="2507" w:name="_Toc440982701"/>
      <w:bookmarkStart w:id="2508" w:name="_Toc95743566"/>
      <w:r w:rsidRPr="00CE0885">
        <w:rPr>
          <w:rFonts w:eastAsia="MS Mincho"/>
          <w:lang w:eastAsia="en-GB"/>
        </w:rPr>
        <w:t>Clinical Governance &amp; Risk Management/Termination</w:t>
      </w:r>
      <w:bookmarkEnd w:id="2507"/>
      <w:bookmarkEnd w:id="2508"/>
    </w:p>
    <w:p w14:paraId="642B2510" w14:textId="0A168736" w:rsidR="00867DFB" w:rsidRPr="00CE0885" w:rsidRDefault="00867DFB" w:rsidP="00A13EB7">
      <w:pPr>
        <w:pStyle w:val="Heading3"/>
        <w:rPr>
          <w:rFonts w:eastAsia="MS Mincho"/>
          <w:lang w:eastAsia="en-GB"/>
        </w:rPr>
      </w:pPr>
      <w:bookmarkStart w:id="2509" w:name="_Toc440982702"/>
      <w:r w:rsidRPr="00CE0885">
        <w:rPr>
          <w:rFonts w:eastAsia="MS Mincho"/>
          <w:lang w:eastAsia="en-GB"/>
        </w:rPr>
        <w:t>If the consequence of the contractor's failure to deliver services is significant and poses a risk to patient safety or the efficiency of wider primary care services, the Commissioner may wish to consider recording the incident on the risk register or consider whether it may invoke its termination rights.</w:t>
      </w:r>
      <w:bookmarkEnd w:id="2509"/>
    </w:p>
    <w:p w14:paraId="6639C8ED" w14:textId="3675CF10" w:rsidR="00867DFB" w:rsidRPr="00CE0885" w:rsidRDefault="00867DFB" w:rsidP="00A13EB7">
      <w:pPr>
        <w:pStyle w:val="Heading3"/>
        <w:rPr>
          <w:rFonts w:eastAsia="MS Mincho"/>
          <w:lang w:eastAsia="en-GB"/>
        </w:rPr>
      </w:pPr>
      <w:bookmarkStart w:id="2510" w:name="_Toc440982703"/>
      <w:r w:rsidRPr="00CE0885">
        <w:rPr>
          <w:rFonts w:eastAsia="MS Mincho"/>
          <w:lang w:eastAsia="en-GB"/>
        </w:rPr>
        <w:t>If the service provision is delayed or prevented for a continuous period of three months then either party will likely be able to terminate the agreement by notice in writing within a period which is reasonable (and no less than 28 days). This termination will not take effect where the service is resumed within the period of notice or if the contractor consents to this.</w:t>
      </w:r>
      <w:bookmarkEnd w:id="2510"/>
    </w:p>
    <w:p w14:paraId="51DE1E70" w14:textId="77777777" w:rsidR="00867DFB" w:rsidRPr="009055A7" w:rsidRDefault="00867DFB" w:rsidP="00867DFB">
      <w:pPr>
        <w:widowControl w:val="0"/>
        <w:spacing w:line="360" w:lineRule="auto"/>
        <w:ind w:left="1414"/>
        <w:jc w:val="both"/>
        <w:rPr>
          <w:rFonts w:eastAsia="MS Mincho" w:cs="Arial"/>
          <w:bCs w:val="0"/>
          <w:sz w:val="20"/>
          <w:szCs w:val="20"/>
          <w:lang w:eastAsia="en-GB"/>
        </w:rPr>
      </w:pPr>
    </w:p>
    <w:p w14:paraId="51428F92" w14:textId="77777777" w:rsidR="00867DFB" w:rsidRPr="00CE0885" w:rsidRDefault="00867DFB" w:rsidP="00A13EB7">
      <w:pPr>
        <w:pStyle w:val="Heading2"/>
        <w:rPr>
          <w:lang w:eastAsia="en-GB"/>
        </w:rPr>
      </w:pPr>
      <w:bookmarkStart w:id="2511" w:name="_Toc440982704"/>
      <w:bookmarkStart w:id="2512" w:name="_Toc95743567"/>
      <w:r w:rsidRPr="00CE0885">
        <w:rPr>
          <w:lang w:eastAsia="en-GB"/>
        </w:rPr>
        <w:t>Appeals</w:t>
      </w:r>
      <w:bookmarkEnd w:id="2511"/>
      <w:bookmarkEnd w:id="2512"/>
    </w:p>
    <w:p w14:paraId="018AA890" w14:textId="7EBFEF35" w:rsidR="00867DFB" w:rsidRPr="00695952" w:rsidRDefault="00867DFB" w:rsidP="00A13EB7">
      <w:pPr>
        <w:pStyle w:val="Heading3"/>
        <w:rPr>
          <w:color w:val="FF0000"/>
          <w:lang w:eastAsia="en-GB"/>
        </w:rPr>
      </w:pPr>
      <w:bookmarkStart w:id="2513" w:name="_Toc440982705"/>
      <w:r w:rsidRPr="00695952">
        <w:rPr>
          <w:color w:val="FF0000"/>
          <w:lang w:eastAsia="en-GB"/>
        </w:rPr>
        <w:t xml:space="preserve">The parties should refer to </w:t>
      </w:r>
      <w:r w:rsidR="00965C81" w:rsidRPr="00695952">
        <w:rPr>
          <w:color w:val="FF0000"/>
          <w:lang w:eastAsia="en-GB"/>
        </w:rPr>
        <w:t>the chapter on</w:t>
      </w:r>
      <w:r w:rsidRPr="00695952">
        <w:rPr>
          <w:color w:val="FF0000"/>
          <w:lang w:eastAsia="en-GB"/>
        </w:rPr>
        <w:t xml:space="preserve"> managing disputes for the process in relation to </w:t>
      </w:r>
      <w:r w:rsidR="00874D39" w:rsidRPr="00695952">
        <w:rPr>
          <w:color w:val="FF0000"/>
          <w:lang w:eastAsia="en-GB"/>
        </w:rPr>
        <w:t xml:space="preserve">a </w:t>
      </w:r>
      <w:r w:rsidRPr="00695952">
        <w:rPr>
          <w:color w:val="FF0000"/>
          <w:lang w:eastAsia="en-GB"/>
        </w:rPr>
        <w:t>dispute.</w:t>
      </w:r>
      <w:bookmarkEnd w:id="2513"/>
    </w:p>
    <w:p w14:paraId="3F714B98" w14:textId="77777777" w:rsidR="00867DFB" w:rsidRPr="009055A7" w:rsidRDefault="00867DFB" w:rsidP="00867DFB">
      <w:pPr>
        <w:widowControl w:val="0"/>
        <w:spacing w:line="360" w:lineRule="auto"/>
        <w:ind w:left="1414"/>
        <w:jc w:val="both"/>
        <w:rPr>
          <w:rFonts w:cs="Arial"/>
          <w:bCs w:val="0"/>
          <w:sz w:val="20"/>
          <w:szCs w:val="20"/>
          <w:lang w:eastAsia="en-GB"/>
        </w:rPr>
      </w:pPr>
    </w:p>
    <w:p w14:paraId="786DD14C" w14:textId="77777777" w:rsidR="00867DFB" w:rsidRPr="00CE0885" w:rsidRDefault="00867DFB" w:rsidP="00A13EB7">
      <w:pPr>
        <w:pStyle w:val="Heading2"/>
        <w:rPr>
          <w:lang w:eastAsia="en-GB"/>
        </w:rPr>
      </w:pPr>
      <w:bookmarkStart w:id="2514" w:name="_Toc440982706"/>
      <w:bookmarkStart w:id="2515" w:name="_Toc95743568"/>
      <w:r w:rsidRPr="00CE0885">
        <w:rPr>
          <w:lang w:eastAsia="en-GB"/>
        </w:rPr>
        <w:t>Payment and Contract System</w:t>
      </w:r>
      <w:bookmarkEnd w:id="2514"/>
      <w:bookmarkEnd w:id="2515"/>
      <w:r w:rsidRPr="00CE0885">
        <w:rPr>
          <w:lang w:eastAsia="en-GB"/>
        </w:rPr>
        <w:t xml:space="preserve"> </w:t>
      </w:r>
    </w:p>
    <w:p w14:paraId="28033610" w14:textId="53379683" w:rsidR="00867DFB" w:rsidRDefault="00867DFB" w:rsidP="00A13EB7">
      <w:pPr>
        <w:pStyle w:val="Heading3"/>
        <w:rPr>
          <w:lang w:eastAsia="en-GB"/>
        </w:rPr>
      </w:pPr>
      <w:bookmarkStart w:id="2516" w:name="_Toc440982707"/>
      <w:bookmarkStart w:id="2517" w:name="_Toc352666700"/>
      <w:r w:rsidRPr="00CE0885">
        <w:rPr>
          <w:lang w:eastAsia="en-GB"/>
        </w:rPr>
        <w:t>The parties should discuss the effect of force majeure on payments by the Commissioner to the contractor. The Commissioner should use its reasonable discretion in determining payments with regard to the need for the contractor to continue to provide services once it is no longer affected by the force majeure event provided the contract has not been terminated.</w:t>
      </w:r>
      <w:bookmarkEnd w:id="2516"/>
      <w:r w:rsidRPr="00CE0885">
        <w:rPr>
          <w:lang w:eastAsia="en-GB"/>
        </w:rPr>
        <w:t xml:space="preserve"> </w:t>
      </w:r>
    </w:p>
    <w:p w14:paraId="16960D23" w14:textId="1582C09F" w:rsidR="00DA5CB3" w:rsidRDefault="00DA5CB3" w:rsidP="00DA5CB3">
      <w:pPr>
        <w:rPr>
          <w:lang w:eastAsia="en-GB"/>
        </w:rPr>
      </w:pPr>
    </w:p>
    <w:p w14:paraId="5424637C" w14:textId="77777777" w:rsidR="00DA5CB3" w:rsidRPr="00DA5CB3" w:rsidRDefault="00DA5CB3" w:rsidP="00DA5CB3">
      <w:pPr>
        <w:rPr>
          <w:lang w:eastAsia="en-GB"/>
        </w:rPr>
      </w:pPr>
    </w:p>
    <w:bookmarkEnd w:id="2517"/>
    <w:p w14:paraId="4133643C" w14:textId="77777777" w:rsidR="00DA5CB3" w:rsidRPr="00CE0885" w:rsidRDefault="00DA5CB3" w:rsidP="00DA5CB3">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1 Contractor's Preliminary Notice of Force Majeure Event</w:t>
      </w:r>
    </w:p>
    <w:p w14:paraId="6B992CAF" w14:textId="77777777" w:rsidR="00DA5CB3" w:rsidRPr="00D14DC6" w:rsidRDefault="000B57EE" w:rsidP="00DA5CB3">
      <w:pPr>
        <w:pStyle w:val="ListParagraph"/>
        <w:widowControl w:val="0"/>
        <w:numPr>
          <w:ilvl w:val="0"/>
          <w:numId w:val="128"/>
        </w:numPr>
        <w:spacing w:line="360" w:lineRule="auto"/>
        <w:rPr>
          <w:rFonts w:cs="Arial"/>
          <w:bCs w:val="0"/>
          <w:szCs w:val="24"/>
        </w:rPr>
      </w:pPr>
      <w:hyperlink r:id="rId179" w:history="1">
        <w:r w:rsidR="00DA5CB3">
          <w:rPr>
            <w:rStyle w:val="Hyperlink"/>
            <w:rFonts w:cs="Arial"/>
            <w:bCs w:val="0"/>
            <w:szCs w:val="24"/>
            <w:lang w:eastAsia="en-GB"/>
          </w:rPr>
          <w:t>Contractor’s Preliminary Notice of Force Majeure Event</w:t>
        </w:r>
      </w:hyperlink>
      <w:r w:rsidR="00DA5CB3" w:rsidRPr="00D14DC6">
        <w:rPr>
          <w:rFonts w:cs="Arial"/>
          <w:bCs w:val="0"/>
          <w:szCs w:val="24"/>
          <w:lang w:eastAsia="en-GB"/>
        </w:rPr>
        <w:br/>
      </w:r>
    </w:p>
    <w:p w14:paraId="6E541C13" w14:textId="77777777" w:rsidR="00DA5CB3" w:rsidRPr="00CE0885" w:rsidRDefault="00DA5CB3" w:rsidP="00DA5CB3">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2 Acknowledgement of Contractor Notification</w:t>
      </w:r>
    </w:p>
    <w:p w14:paraId="2BC5F153" w14:textId="77777777" w:rsidR="00DA5CB3" w:rsidRPr="00960602" w:rsidRDefault="000B57EE" w:rsidP="00DA5CB3">
      <w:pPr>
        <w:pStyle w:val="ListParagraph"/>
        <w:widowControl w:val="0"/>
        <w:numPr>
          <w:ilvl w:val="0"/>
          <w:numId w:val="127"/>
        </w:numPr>
        <w:spacing w:line="360" w:lineRule="auto"/>
        <w:jc w:val="both"/>
        <w:rPr>
          <w:rFonts w:cs="Arial"/>
          <w:bCs w:val="0"/>
          <w:szCs w:val="24"/>
        </w:rPr>
      </w:pPr>
      <w:hyperlink r:id="rId180" w:history="1">
        <w:r w:rsidR="00DA5CB3">
          <w:rPr>
            <w:rStyle w:val="Hyperlink"/>
            <w:rFonts w:cs="Arial"/>
            <w:bCs w:val="0"/>
            <w:szCs w:val="24"/>
            <w:lang w:eastAsia="en-GB"/>
          </w:rPr>
          <w:t>Acknowledgement of Contractor Notification</w:t>
        </w:r>
      </w:hyperlink>
    </w:p>
    <w:p w14:paraId="5D98CBD3" w14:textId="42D09C92" w:rsidR="00D14DC6" w:rsidRPr="00960602" w:rsidRDefault="00D14DC6" w:rsidP="00DA5CB3">
      <w:pPr>
        <w:widowControl w:val="0"/>
        <w:autoSpaceDE w:val="0"/>
        <w:autoSpaceDN w:val="0"/>
        <w:adjustRightInd w:val="0"/>
        <w:spacing w:line="360" w:lineRule="auto"/>
        <w:ind w:right="-23"/>
        <w:rPr>
          <w:rFonts w:cs="Arial"/>
          <w:bCs w:val="0"/>
          <w:szCs w:val="24"/>
        </w:rPr>
      </w:pPr>
    </w:p>
    <w:p w14:paraId="2BCCE6B5" w14:textId="77777777" w:rsidR="00867DFB" w:rsidRPr="00CE0885" w:rsidRDefault="00867DFB" w:rsidP="00867DFB">
      <w:pPr>
        <w:spacing w:line="360" w:lineRule="auto"/>
        <w:rPr>
          <w:rFonts w:cs="Arial"/>
          <w:b/>
          <w:bCs w:val="0"/>
          <w:szCs w:val="24"/>
          <w:lang w:eastAsia="en-GB"/>
        </w:rPr>
      </w:pPr>
    </w:p>
    <w:p w14:paraId="2FC0F0FB" w14:textId="0BD46C81" w:rsidR="00FB15D1" w:rsidRDefault="0015247B" w:rsidP="00070A05">
      <w:pPr>
        <w:pStyle w:val="Title"/>
      </w:pPr>
      <w:r>
        <w:rPr>
          <w:sz w:val="48"/>
          <w:szCs w:val="48"/>
          <w:lang w:eastAsia="en-GB"/>
        </w:rPr>
        <w:br w:type="page"/>
      </w:r>
    </w:p>
    <w:p w14:paraId="77A14921" w14:textId="6B0A2736" w:rsidR="00B5759F" w:rsidRPr="00FB15D1" w:rsidRDefault="0015247B" w:rsidP="00FB15D1">
      <w:pPr>
        <w:pStyle w:val="Heading1"/>
        <w:numPr>
          <w:ilvl w:val="0"/>
          <w:numId w:val="0"/>
        </w:numPr>
        <w:ind w:left="432"/>
        <w:rPr>
          <w:sz w:val="96"/>
          <w:szCs w:val="96"/>
          <w:lang w:eastAsia="en-GB"/>
        </w:rPr>
      </w:pPr>
      <w:bookmarkStart w:id="2518" w:name="_Toc95743569"/>
      <w:r w:rsidRPr="00FB15D1">
        <w:rPr>
          <w:sz w:val="96"/>
          <w:szCs w:val="96"/>
          <w:lang w:eastAsia="en-GB"/>
        </w:rPr>
        <w:t>Part D – Genera</w:t>
      </w:r>
      <w:r w:rsidR="00B5759F" w:rsidRPr="00FB15D1">
        <w:rPr>
          <w:sz w:val="96"/>
          <w:szCs w:val="96"/>
          <w:lang w:eastAsia="en-GB"/>
        </w:rPr>
        <w:t>l</w:t>
      </w:r>
      <w:bookmarkEnd w:id="2518"/>
    </w:p>
    <w:p w14:paraId="0447F75A" w14:textId="77777777" w:rsidR="00B5759F" w:rsidRDefault="00B5759F" w:rsidP="00B5759F">
      <w:pPr>
        <w:pStyle w:val="BodyText"/>
      </w:pPr>
    </w:p>
    <w:p w14:paraId="0B5DAB69" w14:textId="081E9F9B" w:rsidR="0015247B" w:rsidRPr="00A13EB7" w:rsidRDefault="000C4B40" w:rsidP="006C3DF5">
      <w:pPr>
        <w:pStyle w:val="Heading1"/>
        <w:numPr>
          <w:ilvl w:val="0"/>
          <w:numId w:val="96"/>
        </w:numPr>
      </w:pPr>
      <w:r>
        <w:br w:type="page"/>
      </w:r>
      <w:bookmarkStart w:id="2519" w:name="_Toc95743570"/>
      <w:bookmarkStart w:id="2520" w:name="_Hlk534286029"/>
      <w:r w:rsidR="0015247B" w:rsidRPr="00A13EB7">
        <w:t>GP IT Operating Model:  Data and Cyber Security Arrangements</w:t>
      </w:r>
      <w:bookmarkEnd w:id="2519"/>
    </w:p>
    <w:p w14:paraId="0BD80CFC" w14:textId="77777777" w:rsidR="0015247B" w:rsidRDefault="0015247B" w:rsidP="0015247B">
      <w:pPr>
        <w:rPr>
          <w:lang w:eastAsia="en-GB"/>
        </w:rPr>
      </w:pPr>
    </w:p>
    <w:p w14:paraId="7470131D" w14:textId="15FA7D39" w:rsidR="00CC767C" w:rsidRPr="003E008A" w:rsidRDefault="00CC767C" w:rsidP="00CC767C">
      <w:pPr>
        <w:pStyle w:val="Heading2"/>
        <w:rPr>
          <w:sz w:val="24"/>
        </w:rPr>
      </w:pPr>
      <w:bookmarkStart w:id="2521" w:name="_Toc95743571"/>
      <w:r>
        <w:t>Introduction</w:t>
      </w:r>
      <w:r>
        <w:rPr>
          <w:sz w:val="24"/>
        </w:rPr>
        <w:t>:</w:t>
      </w:r>
      <w:bookmarkEnd w:id="2521"/>
    </w:p>
    <w:p w14:paraId="0A9A38EC" w14:textId="77777777" w:rsidR="00CC767C" w:rsidRDefault="00CC767C" w:rsidP="00CC767C">
      <w:pPr>
        <w:spacing w:before="120" w:after="120" w:line="276" w:lineRule="auto"/>
        <w:rPr>
          <w:rFonts w:eastAsiaTheme="majorEastAsia" w:cs="Arial"/>
          <w:szCs w:val="24"/>
        </w:rPr>
      </w:pPr>
    </w:p>
    <w:p w14:paraId="3AE853CD" w14:textId="4A948984" w:rsidR="00CC767C" w:rsidRPr="00282FF5" w:rsidRDefault="00CC767C" w:rsidP="00AC4DE6">
      <w:pPr>
        <w:pStyle w:val="Heading3"/>
        <w:spacing w:before="120" w:after="120"/>
        <w:rPr>
          <w:rFonts w:cs="Arial"/>
          <w:szCs w:val="24"/>
        </w:rPr>
      </w:pPr>
      <w:r w:rsidRPr="00282FF5">
        <w:rPr>
          <w:rFonts w:eastAsiaTheme="majorEastAsia"/>
        </w:rPr>
        <w:t>This chapter provides an overview of GP IT Operating Arrangements, as outlined in the GP IT Operating Model</w:t>
      </w:r>
      <w:r w:rsidRPr="00AC5F14">
        <w:t xml:space="preserve">, </w:t>
      </w:r>
      <w:hyperlink r:id="rId181" w:history="1">
        <w:r w:rsidR="00282FF5" w:rsidRPr="00982806">
          <w:rPr>
            <w:rStyle w:val="Hyperlink"/>
            <w:rFonts w:cs="Arial"/>
            <w:szCs w:val="24"/>
          </w:rPr>
          <w:t>Securing Excellence in Primary Care (GP) Digital Services: The Primary Care GP Digital Services Operating Model 2019-21</w:t>
        </w:r>
      </w:hyperlink>
      <w:r w:rsidRPr="00AC5F14">
        <w:t>, published by NHS England</w:t>
      </w:r>
      <w:r>
        <w:t xml:space="preserve">.  Particular reference is made to data and cyber security arrangements, following the publication of the National Data Guardian Review in July 2016 which included key recommendations and proposed ten data security standards.  </w:t>
      </w:r>
    </w:p>
    <w:p w14:paraId="7DE3B57D" w14:textId="77777777" w:rsidR="00CC767C" w:rsidRPr="003E008A" w:rsidRDefault="00CC767C" w:rsidP="00CC767C">
      <w:pPr>
        <w:pStyle w:val="Heading2"/>
      </w:pPr>
      <w:bookmarkStart w:id="2522" w:name="_Toc95743572"/>
      <w:r>
        <w:t>Background:</w:t>
      </w:r>
      <w:bookmarkEnd w:id="2522"/>
    </w:p>
    <w:p w14:paraId="23B66A55" w14:textId="77777777" w:rsidR="00CC767C" w:rsidRPr="003E008A" w:rsidRDefault="00CC767C" w:rsidP="00CC767C">
      <w:pPr>
        <w:spacing w:before="120" w:after="120" w:line="276" w:lineRule="auto"/>
        <w:rPr>
          <w:rFonts w:cs="Arial"/>
          <w:b/>
          <w:szCs w:val="24"/>
        </w:rPr>
      </w:pPr>
    </w:p>
    <w:p w14:paraId="09253FB2" w14:textId="3B1FB567" w:rsidR="00CC767C" w:rsidRPr="00CC767C" w:rsidRDefault="00CC767C" w:rsidP="00CC767C">
      <w:pPr>
        <w:pStyle w:val="Heading3"/>
        <w:rPr>
          <w:color w:val="000000"/>
        </w:rPr>
      </w:pPr>
      <w:r w:rsidRPr="00AC5F14">
        <w:t xml:space="preserve">NHS England is accountable for the delivery of GP IT services, </w:t>
      </w:r>
      <w:r>
        <w:t>with</w:t>
      </w:r>
      <w:r w:rsidRPr="00AC5F14">
        <w:t xml:space="preserve"> responsibility for</w:t>
      </w:r>
      <w:r w:rsidRPr="003E008A">
        <w:t xml:space="preserve"> the commissioning of GP IT services delegated to </w:t>
      </w:r>
      <w:r w:rsidR="00B83042">
        <w:t>CCGs/ICBs</w:t>
      </w:r>
      <w:r w:rsidR="008B199F">
        <w:t xml:space="preserve"> </w:t>
      </w:r>
      <w:r w:rsidRPr="003E008A">
        <w:t>under the NHS Act 2006 (as amended).</w:t>
      </w:r>
    </w:p>
    <w:p w14:paraId="0092400C" w14:textId="1581CEAE" w:rsidR="00CC767C" w:rsidRPr="00CC767C" w:rsidRDefault="00CC767C" w:rsidP="00CC767C">
      <w:pPr>
        <w:pStyle w:val="Heading3"/>
        <w:rPr>
          <w:color w:val="000000"/>
          <w:sz w:val="23"/>
          <w:szCs w:val="23"/>
        </w:rPr>
      </w:pPr>
      <w:r>
        <w:t xml:space="preserve">The </w:t>
      </w:r>
      <w:hyperlink r:id="rId182" w:history="1">
        <w:r w:rsidRPr="00CC767C">
          <w:rPr>
            <w:rStyle w:val="Hyperlink"/>
            <w:rFonts w:cs="Arial"/>
            <w:szCs w:val="24"/>
          </w:rPr>
          <w:t>GP IT Operating Model</w:t>
        </w:r>
      </w:hyperlink>
      <w:r w:rsidRPr="00AC5F14">
        <w:t xml:space="preserve"> outline</w:t>
      </w:r>
      <w:r w:rsidR="00282FF5">
        <w:t>s</w:t>
      </w:r>
      <w:r w:rsidRPr="00AC5F14">
        <w:t xml:space="preserve"> accountabilities and commissioning responsibilities for the provision of high quality GP IT support services.</w:t>
      </w:r>
    </w:p>
    <w:p w14:paraId="4014E0CC" w14:textId="32F69E05" w:rsidR="00CC767C" w:rsidRPr="00CC767C" w:rsidRDefault="00B83042" w:rsidP="00CC767C">
      <w:pPr>
        <w:pStyle w:val="Heading3"/>
        <w:rPr>
          <w:sz w:val="23"/>
          <w:szCs w:val="23"/>
        </w:rPr>
      </w:pPr>
      <w:r>
        <w:t>CCGs/ICBs</w:t>
      </w:r>
      <w:r w:rsidR="008B199F">
        <w:t xml:space="preserve"> </w:t>
      </w:r>
      <w:r w:rsidR="00CC767C" w:rsidRPr="00D439DE">
        <w:t>are encouraged to work in partnership with primary care stakeholders to develop</w:t>
      </w:r>
      <w:r w:rsidR="00874D39">
        <w:t xml:space="preserve"> a</w:t>
      </w:r>
      <w:r w:rsidR="00CC767C" w:rsidRPr="00D439DE">
        <w:t xml:space="preserve"> local digital strategy and delivery plans, set priorities and local direction for digital support services and technology, that can be used to optimal effect for the benefit of patient care.  </w:t>
      </w:r>
    </w:p>
    <w:p w14:paraId="0316A9EF" w14:textId="6899695F" w:rsidR="00282FF5" w:rsidRDefault="00282FF5" w:rsidP="00282FF5">
      <w:pPr>
        <w:pStyle w:val="Heading3"/>
      </w:pPr>
      <w:r w:rsidRPr="00AC5F14">
        <w:t xml:space="preserve">The </w:t>
      </w:r>
      <w:hyperlink r:id="rId183" w:history="1">
        <w:r w:rsidRPr="0097330E">
          <w:rPr>
            <w:rStyle w:val="Hyperlink"/>
          </w:rPr>
          <w:t>GP IT operating model</w:t>
        </w:r>
      </w:hyperlink>
      <w:r>
        <w:t>,</w:t>
      </w:r>
      <w:r w:rsidRPr="00AC5F14">
        <w:t xml:space="preserve"> provides a detailed schedule of </w:t>
      </w:r>
      <w:r>
        <w:t xml:space="preserve">‘core and mandated’ capabilities and enabling requirements, which includes </w:t>
      </w:r>
      <w:r w:rsidRPr="003E008A">
        <w:t xml:space="preserve">standards </w:t>
      </w:r>
      <w:r>
        <w:t xml:space="preserve">to ensure that procured services are compliant with data protection and cyber security regulations and controls. In addition, </w:t>
      </w:r>
      <w:r w:rsidRPr="003A4C1E">
        <w:t xml:space="preserve">‘enhanced’ </w:t>
      </w:r>
      <w:r>
        <w:t>requirements to facilitate local service improvement and transformation should</w:t>
      </w:r>
      <w:r w:rsidRPr="003A4C1E">
        <w:t xml:space="preserve"> </w:t>
      </w:r>
      <w:r w:rsidR="00AD7E82">
        <w:t xml:space="preserve">be </w:t>
      </w:r>
      <w:r w:rsidRPr="003A4C1E">
        <w:t>developed and agreed locally to support local strategic priorities and commissioning strategies to improve service delivery.</w:t>
      </w:r>
      <w:r>
        <w:t xml:space="preserve"> </w:t>
      </w:r>
      <w:r w:rsidR="00B83042">
        <w:t>CCGs/ICBs</w:t>
      </w:r>
      <w:r w:rsidR="008B199F">
        <w:t xml:space="preserve"> </w:t>
      </w:r>
      <w:r>
        <w:t>are responsible for ensuring all these requirements are provided to the standards described in the GP IT Operating Model.</w:t>
      </w:r>
    </w:p>
    <w:p w14:paraId="1781F9F0" w14:textId="67105BB1" w:rsidR="00282FF5" w:rsidRDefault="00282FF5" w:rsidP="00282FF5">
      <w:pPr>
        <w:pStyle w:val="Heading3"/>
      </w:pPr>
      <w:r w:rsidRPr="003E008A">
        <w:t xml:space="preserve">A </w:t>
      </w:r>
      <w:r w:rsidR="00B83042">
        <w:t>CCG/ICB</w:t>
      </w:r>
      <w:r w:rsidRPr="003E008A">
        <w:t xml:space="preserve"> may choose </w:t>
      </w:r>
      <w:r w:rsidRPr="00D72509">
        <w:t xml:space="preserve">to commission services from one or more GP IT delivery partners.  </w:t>
      </w:r>
      <w:r>
        <w:t>The</w:t>
      </w:r>
      <w:r w:rsidRPr="00D72509">
        <w:t xml:space="preserve"> </w:t>
      </w:r>
      <w:hyperlink r:id="rId184" w:history="1">
        <w:r w:rsidRPr="000228D4">
          <w:rPr>
            <w:rStyle w:val="Hyperlink"/>
          </w:rPr>
          <w:t>GP IT Commissioning Specification Support Pack</w:t>
        </w:r>
      </w:hyperlink>
      <w:r w:rsidRPr="00D72509">
        <w:t xml:space="preserve"> </w:t>
      </w:r>
      <w:r>
        <w:t xml:space="preserve"> is available</w:t>
      </w:r>
      <w:r w:rsidRPr="00D72509">
        <w:t xml:space="preserve"> to support </w:t>
      </w:r>
      <w:r w:rsidR="00B83042">
        <w:t>CCGs/ICBs</w:t>
      </w:r>
      <w:r w:rsidR="008B199F">
        <w:t xml:space="preserve"> </w:t>
      </w:r>
      <w:r w:rsidRPr="00D72509">
        <w:t xml:space="preserve">in the effective procurement and ongoing review of GP IT services.  This includes a </w:t>
      </w:r>
      <w:hyperlink r:id="rId185" w:history="1">
        <w:r w:rsidRPr="000228D4">
          <w:rPr>
            <w:rStyle w:val="Hyperlink"/>
          </w:rPr>
          <w:t>GP</w:t>
        </w:r>
        <w:r w:rsidR="00AD7E82">
          <w:rPr>
            <w:rStyle w:val="Hyperlink"/>
          </w:rPr>
          <w:t xml:space="preserve"> </w:t>
        </w:r>
        <w:r w:rsidRPr="000228D4">
          <w:rPr>
            <w:rStyle w:val="Hyperlink"/>
          </w:rPr>
          <w:t>IT data capture service schedule</w:t>
        </w:r>
      </w:hyperlink>
      <w:r w:rsidRPr="00D72509">
        <w:t xml:space="preserve"> </w:t>
      </w:r>
      <w:r>
        <w:t xml:space="preserve">which can be used by </w:t>
      </w:r>
      <w:r w:rsidR="00B83042">
        <w:t>CCGs/ICBs</w:t>
      </w:r>
      <w:r w:rsidR="008B199F">
        <w:t xml:space="preserve"> </w:t>
      </w:r>
      <w:r>
        <w:t xml:space="preserve">to review current </w:t>
      </w:r>
      <w:r w:rsidRPr="00D72509">
        <w:t xml:space="preserve">service </w:t>
      </w:r>
      <w:r>
        <w:t>provision arrangements or to support re-procurement activities, including the development</w:t>
      </w:r>
      <w:r w:rsidRPr="00A553BA">
        <w:t xml:space="preserve"> of local </w:t>
      </w:r>
      <w:r>
        <w:t>service</w:t>
      </w:r>
      <w:r w:rsidRPr="00D72509">
        <w:t xml:space="preserve"> specification</w:t>
      </w:r>
      <w:r>
        <w:t>s.</w:t>
      </w:r>
      <w:r w:rsidRPr="00D72509">
        <w:t xml:space="preserve"> </w:t>
      </w:r>
    </w:p>
    <w:p w14:paraId="705E23EF" w14:textId="72B5B78A" w:rsidR="00282FF5" w:rsidRPr="004E063E" w:rsidRDefault="00282FF5" w:rsidP="00282FF5">
      <w:pPr>
        <w:pStyle w:val="Heading3"/>
      </w:pPr>
      <w:r w:rsidRPr="00541763">
        <w:t>The details of t</w:t>
      </w:r>
      <w:r w:rsidRPr="00774A1C">
        <w:t xml:space="preserve">he provision of these services </w:t>
      </w:r>
      <w:r w:rsidRPr="00541763">
        <w:t xml:space="preserve">must be recorded in </w:t>
      </w:r>
      <w:r>
        <w:t>the</w:t>
      </w:r>
      <w:r w:rsidRPr="00541763">
        <w:t xml:space="preserve"> </w:t>
      </w:r>
      <w:hyperlink r:id="rId186" w:history="1">
        <w:r w:rsidR="00B83042">
          <w:rPr>
            <w:rStyle w:val="Hyperlink"/>
          </w:rPr>
          <w:t>CCG/ICB</w:t>
        </w:r>
        <w:r w:rsidRPr="00B62D96">
          <w:rPr>
            <w:rStyle w:val="Hyperlink"/>
          </w:rPr>
          <w:t xml:space="preserve"> Practice Agreement</w:t>
        </w:r>
      </w:hyperlink>
      <w:r w:rsidRPr="00541763">
        <w:t xml:space="preserve">, </w:t>
      </w:r>
      <w:r w:rsidRPr="00774A1C">
        <w:t xml:space="preserve">signed by both the </w:t>
      </w:r>
      <w:r w:rsidR="00B83042">
        <w:t>CCG/ICB</w:t>
      </w:r>
      <w:r w:rsidRPr="00774A1C">
        <w:t xml:space="preserve"> and </w:t>
      </w:r>
      <w:r>
        <w:t xml:space="preserve">each constituent </w:t>
      </w:r>
      <w:r w:rsidRPr="00774A1C">
        <w:t>G</w:t>
      </w:r>
      <w:r>
        <w:t>eneral Practice</w:t>
      </w:r>
      <w:r w:rsidRPr="00774A1C">
        <w:t xml:space="preserve">, as a core contractual </w:t>
      </w:r>
      <w:r w:rsidRPr="00887796">
        <w:t xml:space="preserve">requirement. This nationally developed agreement sets out the </w:t>
      </w:r>
      <w:r>
        <w:t>terms governing the provis</w:t>
      </w:r>
      <w:r w:rsidR="00AD7E82">
        <w:t>i</w:t>
      </w:r>
      <w:r>
        <w:t xml:space="preserve">on and receipt of digital services in General Practice </w:t>
      </w:r>
      <w:r w:rsidRPr="00887796">
        <w:t>and will include as an appendix, details of local service provision arrangements.</w:t>
      </w:r>
      <w:r w:rsidRPr="00B60CB4">
        <w:rPr>
          <w:i/>
        </w:rPr>
        <w:t xml:space="preserve"> </w:t>
      </w:r>
    </w:p>
    <w:p w14:paraId="66957E0F" w14:textId="055DE4FC" w:rsidR="00282FF5" w:rsidRDefault="00282FF5" w:rsidP="00282FF5">
      <w:pPr>
        <w:pStyle w:val="Heading3"/>
      </w:pPr>
      <w:r w:rsidRPr="003E008A">
        <w:t xml:space="preserve">Each practice needs to work with </w:t>
      </w:r>
      <w:r>
        <w:t xml:space="preserve">the </w:t>
      </w:r>
      <w:r w:rsidR="00B83042">
        <w:t>CCG/ICB</w:t>
      </w:r>
      <w:r>
        <w:t xml:space="preserve"> and its locally commissioned GP IT delivery</w:t>
      </w:r>
      <w:r w:rsidRPr="003E008A">
        <w:t xml:space="preserve"> partner(s)</w:t>
      </w:r>
      <w:r>
        <w:t xml:space="preserve">, as outlined in the </w:t>
      </w:r>
      <w:r w:rsidR="00B83042">
        <w:t>CCG/ICB</w:t>
      </w:r>
      <w:r>
        <w:t xml:space="preserve"> Practice Agreement, </w:t>
      </w:r>
      <w:r w:rsidRPr="003E008A">
        <w:t xml:space="preserve">to enable them to </w:t>
      </w:r>
      <w:r>
        <w:t xml:space="preserve">effectively </w:t>
      </w:r>
      <w:r w:rsidRPr="003E008A">
        <w:t>support the IT infrastructure, respond to service incidents and maintain com</w:t>
      </w:r>
      <w:r>
        <w:t>pliance with security standards, in line with national standards and locally agreed service level agreements.</w:t>
      </w:r>
    </w:p>
    <w:p w14:paraId="40E864D8" w14:textId="6A181022" w:rsidR="00CC767C" w:rsidRDefault="00282FF5" w:rsidP="00220E3F">
      <w:pPr>
        <w:pStyle w:val="Heading3"/>
        <w:rPr>
          <w:rFonts w:cs="Arial"/>
          <w:b/>
          <w:szCs w:val="24"/>
        </w:rPr>
      </w:pPr>
      <w:r w:rsidRPr="003E008A">
        <w:t xml:space="preserve">As end users of technology, GPs and their staff need to be familiar with </w:t>
      </w:r>
      <w:r>
        <w:t>the GP IT services</w:t>
      </w:r>
      <w:r w:rsidRPr="003E008A">
        <w:t xml:space="preserve"> being provided and delivered</w:t>
      </w:r>
      <w:r>
        <w:t xml:space="preserve"> locally</w:t>
      </w:r>
      <w:r w:rsidRPr="003E008A">
        <w:t>, the support arrangements particularly in cases of cyber</w:t>
      </w:r>
      <w:r>
        <w:t xml:space="preserve"> </w:t>
      </w:r>
      <w:r w:rsidRPr="003E008A">
        <w:t>security incidents and what local contingency and recovery processes are in place when technology fails.</w:t>
      </w:r>
      <w:r w:rsidRPr="00BE0712">
        <w:rPr>
          <w:rFonts w:cs="Arial"/>
          <w:b/>
          <w:szCs w:val="24"/>
        </w:rPr>
        <w:t xml:space="preserve"> </w:t>
      </w:r>
    </w:p>
    <w:p w14:paraId="3CE91646" w14:textId="77777777" w:rsidR="00BE0712" w:rsidRPr="00BE0712" w:rsidRDefault="00BE0712" w:rsidP="00AD670E"/>
    <w:p w14:paraId="5AED7ECB" w14:textId="77777777" w:rsidR="00BE0712" w:rsidRPr="00AD670E" w:rsidRDefault="00BE0712" w:rsidP="00BE0712">
      <w:pPr>
        <w:pStyle w:val="Heading2"/>
        <w:rPr>
          <w:rFonts w:cs="Arial"/>
          <w:szCs w:val="24"/>
        </w:rPr>
      </w:pPr>
      <w:bookmarkStart w:id="2523" w:name="_Toc7417163"/>
      <w:bookmarkStart w:id="2524" w:name="_Toc95743573"/>
      <w:r w:rsidRPr="00AD670E">
        <w:t>GP IT Operating Model:  Cyber and Data Security Updates:</w:t>
      </w:r>
      <w:bookmarkEnd w:id="2523"/>
      <w:bookmarkEnd w:id="2524"/>
    </w:p>
    <w:p w14:paraId="64260703" w14:textId="6296956D" w:rsidR="00BE0712" w:rsidRDefault="00BE0712" w:rsidP="00BE0712">
      <w:pPr>
        <w:pStyle w:val="Heading3"/>
      </w:pPr>
      <w:r w:rsidRPr="00AD670E">
        <w:t xml:space="preserve">The </w:t>
      </w:r>
      <w:hyperlink r:id="rId187" w:history="1">
        <w:r w:rsidRPr="00AD670E">
          <w:rPr>
            <w:rStyle w:val="Hyperlink"/>
          </w:rPr>
          <w:t>GP IT operating model</w:t>
        </w:r>
      </w:hyperlink>
      <w:r w:rsidRPr="00AD670E">
        <w:t xml:space="preserve"> revised in</w:t>
      </w:r>
      <w:r w:rsidR="00B0434A">
        <w:t xml:space="preserve"> 2020</w:t>
      </w:r>
      <w:r w:rsidRPr="00AD670E">
        <w:t xml:space="preserve">, provides a detailed schedule of services outlining ‘core and mandated’ capabilities and enabling requirements, which includes standards to ensure that procured services are compliant with data protection and cyber security regulations and controls.  </w:t>
      </w:r>
    </w:p>
    <w:p w14:paraId="0BFEDE29" w14:textId="18295950" w:rsidR="009C4DCF" w:rsidRPr="00075CB4" w:rsidRDefault="00B83042" w:rsidP="00AC4DE6">
      <w:pPr>
        <w:spacing w:line="360" w:lineRule="auto"/>
        <w:ind w:left="720"/>
      </w:pPr>
      <w:r w:rsidRPr="00075CB4">
        <w:rPr>
          <w:rFonts w:eastAsia="Arial" w:cs="Arial"/>
          <w:highlight w:val="yellow"/>
        </w:rPr>
        <w:t>CCGs/ICBs</w:t>
      </w:r>
      <w:r w:rsidR="008B199F" w:rsidRPr="00075CB4">
        <w:rPr>
          <w:rFonts w:eastAsia="Arial" w:cs="Arial"/>
          <w:highlight w:val="yellow"/>
        </w:rPr>
        <w:t xml:space="preserve"> </w:t>
      </w:r>
      <w:r w:rsidR="009C4DCF" w:rsidRPr="00075CB4">
        <w:rPr>
          <w:rFonts w:eastAsia="Arial" w:cs="Arial"/>
          <w:highlight w:val="yellow"/>
        </w:rPr>
        <w:t xml:space="preserve">have delegated responsibility to provide by either directly or through commissioning digital services for their practices as defined in the GPIT Operating Model. </w:t>
      </w:r>
      <w:r w:rsidRPr="00075CB4">
        <w:rPr>
          <w:rFonts w:eastAsia="Arial" w:cs="Arial"/>
          <w:highlight w:val="yellow"/>
        </w:rPr>
        <w:t>CCGs/ICBs</w:t>
      </w:r>
      <w:r w:rsidR="008B199F" w:rsidRPr="00075CB4">
        <w:rPr>
          <w:rFonts w:eastAsia="Arial" w:cs="Arial"/>
          <w:highlight w:val="yellow"/>
        </w:rPr>
        <w:t xml:space="preserve"> </w:t>
      </w:r>
      <w:r w:rsidR="009C4DCF" w:rsidRPr="00075CB4">
        <w:rPr>
          <w:rFonts w:eastAsia="Arial" w:cs="Arial"/>
          <w:highlight w:val="yellow"/>
        </w:rPr>
        <w:t xml:space="preserve">are not expected to offer GPIT funds directly to general practices to enable them to provide or commission these services, </w:t>
      </w:r>
      <w:bookmarkStart w:id="2525" w:name="_Hlk65487517"/>
      <w:r w:rsidR="009C4DCF" w:rsidRPr="00075CB4">
        <w:rPr>
          <w:rFonts w:eastAsia="Arial" w:cs="Arial"/>
          <w:highlight w:val="yellow"/>
        </w:rPr>
        <w:t xml:space="preserve">unless advised otherwise for a specified purpose in the GP IT Operating Model. </w:t>
      </w:r>
      <w:bookmarkEnd w:id="2525"/>
      <w:r w:rsidR="009C4DCF" w:rsidRPr="00075CB4">
        <w:rPr>
          <w:highlight w:val="yellow"/>
        </w:rPr>
        <w:t xml:space="preserve">Where a practice declines the digital service or support offered by the </w:t>
      </w:r>
      <w:r w:rsidRPr="00075CB4">
        <w:rPr>
          <w:highlight w:val="yellow"/>
        </w:rPr>
        <w:t>CCG/ICB</w:t>
      </w:r>
      <w:r w:rsidR="009C4DCF" w:rsidRPr="00075CB4">
        <w:rPr>
          <w:highlight w:val="yellow"/>
        </w:rPr>
        <w:t xml:space="preserve"> as described in the GP IT Operating Model</w:t>
      </w:r>
      <w:r w:rsidR="000A087D" w:rsidRPr="00075CB4">
        <w:rPr>
          <w:highlight w:val="yellow"/>
        </w:rPr>
        <w:t>,</w:t>
      </w:r>
      <w:r w:rsidR="009C4DCF" w:rsidRPr="00075CB4">
        <w:rPr>
          <w:highlight w:val="yellow"/>
        </w:rPr>
        <w:t xml:space="preserve"> the </w:t>
      </w:r>
      <w:r w:rsidRPr="00075CB4">
        <w:rPr>
          <w:highlight w:val="yellow"/>
        </w:rPr>
        <w:t>CCG/ICB</w:t>
      </w:r>
      <w:r w:rsidR="009C4DCF" w:rsidRPr="00075CB4">
        <w:rPr>
          <w:highlight w:val="yellow"/>
        </w:rPr>
        <w:t xml:space="preserve"> is under no obligation to offer an alternative or to fund the practice in lieu of the service. </w:t>
      </w:r>
    </w:p>
    <w:p w14:paraId="1D1D66D6" w14:textId="77777777" w:rsidR="009C4DCF" w:rsidRPr="009C4DCF" w:rsidRDefault="009C4DCF" w:rsidP="00AF66A9"/>
    <w:p w14:paraId="21E7F30E" w14:textId="12DE0984" w:rsidR="00BE0712" w:rsidRDefault="00BE0712" w:rsidP="00BE0712">
      <w:pPr>
        <w:pStyle w:val="Heading3"/>
      </w:pPr>
      <w:r w:rsidRPr="00AD670E">
        <w:t xml:space="preserve">A </w:t>
      </w:r>
      <w:r w:rsidR="00B83042">
        <w:t>CCG/ICB</w:t>
      </w:r>
      <w:r w:rsidRPr="00AD670E">
        <w:t xml:space="preserve"> may choose to commission ‘core and mandated’ services from one or more GP IT delivery partners.  The </w:t>
      </w:r>
      <w:hyperlink r:id="rId188" w:history="1">
        <w:r w:rsidRPr="00AD670E">
          <w:rPr>
            <w:rStyle w:val="Hyperlink"/>
          </w:rPr>
          <w:t>GP IT Commissioning Specification Support Pack</w:t>
        </w:r>
      </w:hyperlink>
      <w:r w:rsidRPr="00AD670E">
        <w:t xml:space="preserve">  is available to support </w:t>
      </w:r>
      <w:r w:rsidR="00B83042">
        <w:t>CCGs/ICBs</w:t>
      </w:r>
      <w:r w:rsidR="008B199F">
        <w:t xml:space="preserve"> </w:t>
      </w:r>
      <w:r w:rsidRPr="00AD670E">
        <w:t xml:space="preserve">in the effective procurement and ongoing review of GP IT services.  This includes a </w:t>
      </w:r>
      <w:hyperlink r:id="rId189" w:history="1">
        <w:r w:rsidRPr="00AD670E">
          <w:rPr>
            <w:rStyle w:val="Hyperlink"/>
          </w:rPr>
          <w:t>GPIT data capture service schedule</w:t>
        </w:r>
      </w:hyperlink>
      <w:r w:rsidRPr="00AD670E">
        <w:t xml:space="preserve"> which can be used by </w:t>
      </w:r>
      <w:r w:rsidR="00B83042">
        <w:t>CCGs/ICBs</w:t>
      </w:r>
      <w:r w:rsidR="008B199F">
        <w:t xml:space="preserve"> </w:t>
      </w:r>
      <w:r w:rsidRPr="00AD670E">
        <w:t xml:space="preserve">to review current service provision arrangements or to support re-procurement activities, including the development of local service specifications. </w:t>
      </w:r>
    </w:p>
    <w:p w14:paraId="111781FC" w14:textId="77777777" w:rsidR="00B0434A" w:rsidRPr="00B0434A" w:rsidRDefault="00B0434A" w:rsidP="00AF66A9"/>
    <w:p w14:paraId="5A642851" w14:textId="5C3FAA52" w:rsidR="00BE0712" w:rsidRPr="00AD670E" w:rsidRDefault="00BE0712" w:rsidP="00BE0712">
      <w:pPr>
        <w:pStyle w:val="Heading3"/>
      </w:pPr>
      <w:r w:rsidRPr="00AD670E">
        <w:t>Each practice needs to work with</w:t>
      </w:r>
      <w:r w:rsidR="009C4DCF">
        <w:t xml:space="preserve"> </w:t>
      </w:r>
      <w:r w:rsidR="009C4DCF" w:rsidRPr="00FA7B89">
        <w:t xml:space="preserve">the </w:t>
      </w:r>
      <w:r w:rsidR="00B83042" w:rsidRPr="00FA7B89">
        <w:t>CCG/ICB</w:t>
      </w:r>
      <w:r w:rsidR="009C4DCF" w:rsidRPr="00FA7B89">
        <w:t xml:space="preserve"> or the</w:t>
      </w:r>
      <w:r w:rsidRPr="00376682">
        <w:t xml:space="preserve"> </w:t>
      </w:r>
      <w:r w:rsidRPr="00AD670E">
        <w:t xml:space="preserve">locally commissioned GP IT delivery partner(s) as outlined in the </w:t>
      </w:r>
      <w:r w:rsidR="00B83042">
        <w:t>CCG/ICB</w:t>
      </w:r>
      <w:r w:rsidRPr="00AD670E">
        <w:t xml:space="preserve"> Practice Agreement, to enable them to effectively support the IT infrastructure, respond to service incidents and maintain compliance with security standards, in line with national standards and locally agreed service level agreements.</w:t>
      </w:r>
    </w:p>
    <w:p w14:paraId="4F6B8929" w14:textId="77777777" w:rsidR="00BE0712" w:rsidRPr="00BE0712" w:rsidRDefault="00BE0712" w:rsidP="00BE0712">
      <w:pPr>
        <w:pStyle w:val="Heading3"/>
        <w:rPr>
          <w:rFonts w:cs="Arial"/>
          <w:b/>
          <w:szCs w:val="24"/>
        </w:rPr>
      </w:pPr>
      <w:r w:rsidRPr="00AD670E">
        <w:t>As end users of technology, GPs and their staff need to be familiar with the GP IT services being provided and delivered locally, the support arrangements particularly in cases of cyber security incidents and what local contingency and recovery processes are in place when technology fails.</w:t>
      </w:r>
      <w:r w:rsidRPr="00BE0712">
        <w:rPr>
          <w:rFonts w:cs="Arial"/>
          <w:b/>
          <w:szCs w:val="24"/>
        </w:rPr>
        <w:t xml:space="preserve"> </w:t>
      </w:r>
    </w:p>
    <w:p w14:paraId="521B4729" w14:textId="77777777" w:rsidR="00CC767C" w:rsidRDefault="00CC767C" w:rsidP="00CC767C">
      <w:pPr>
        <w:spacing w:before="120" w:after="120" w:line="276" w:lineRule="auto"/>
        <w:rPr>
          <w:rFonts w:cs="Arial"/>
          <w:szCs w:val="24"/>
        </w:rPr>
      </w:pPr>
    </w:p>
    <w:p w14:paraId="7B85C54F" w14:textId="77777777" w:rsidR="00CC767C" w:rsidRDefault="00CC767C" w:rsidP="00CC767C">
      <w:pPr>
        <w:pStyle w:val="Heading2"/>
      </w:pPr>
      <w:bookmarkStart w:id="2526" w:name="_Toc95743574"/>
      <w:bookmarkStart w:id="2527" w:name="_Toc482027225"/>
      <w:r w:rsidRPr="00285048">
        <w:t>Review of Data Security, Consent and Opt-Outs (National Data Guardian, July 2016)</w:t>
      </w:r>
      <w:r>
        <w:t>:</w:t>
      </w:r>
      <w:bookmarkEnd w:id="2526"/>
    </w:p>
    <w:p w14:paraId="55EF6A99" w14:textId="77777777" w:rsidR="00CC767C" w:rsidRDefault="00CC767C" w:rsidP="00CC767C">
      <w:pPr>
        <w:autoSpaceDE w:val="0"/>
        <w:autoSpaceDN w:val="0"/>
        <w:adjustRightInd w:val="0"/>
        <w:spacing w:before="120" w:after="120" w:line="276" w:lineRule="auto"/>
        <w:rPr>
          <w:rFonts w:cs="Arial"/>
          <w:b/>
          <w:szCs w:val="24"/>
        </w:rPr>
      </w:pPr>
    </w:p>
    <w:bookmarkEnd w:id="2527"/>
    <w:p w14:paraId="18C5702F" w14:textId="7D51B675" w:rsidR="00CC767C" w:rsidRDefault="00CC767C" w:rsidP="00CC767C">
      <w:pPr>
        <w:pStyle w:val="Heading3"/>
      </w:pPr>
      <w:r w:rsidRPr="003E008A">
        <w:t xml:space="preserve">In </w:t>
      </w:r>
      <w:r>
        <w:t xml:space="preserve">July </w:t>
      </w:r>
      <w:r w:rsidRPr="003E008A">
        <w:t>2016</w:t>
      </w:r>
      <w:r w:rsidR="00E233BA">
        <w:t>,</w:t>
      </w:r>
      <w:r w:rsidRPr="003E008A">
        <w:t xml:space="preserve"> recommendations and </w:t>
      </w:r>
      <w:r>
        <w:t>ten</w:t>
      </w:r>
      <w:r w:rsidRPr="003E008A">
        <w:t xml:space="preserve"> </w:t>
      </w:r>
      <w:r>
        <w:t xml:space="preserve">proposed </w:t>
      </w:r>
      <w:r w:rsidRPr="003E008A">
        <w:t xml:space="preserve">standards for Data Security were published for consultation in the </w:t>
      </w:r>
      <w:hyperlink r:id="rId190" w:history="1">
        <w:r w:rsidRPr="00CC767C">
          <w:rPr>
            <w:rStyle w:val="Hyperlink"/>
            <w:rFonts w:cs="Arial"/>
            <w:szCs w:val="24"/>
          </w:rPr>
          <w:t>National Data Guardian (NDG) for Health and Care Review of Data Security, Consent and Opt-Outs</w:t>
        </w:r>
      </w:hyperlink>
      <w:r>
        <w:rPr>
          <w:rStyle w:val="CommentReference"/>
        </w:rPr>
        <w:t xml:space="preserve">.  </w:t>
      </w:r>
      <w:r w:rsidRPr="003E008A">
        <w:t>These are aimed at strengthening the safeguards for keeping health and care information secure and ensuring the public can make informed choices about how their data is used.</w:t>
      </w:r>
      <w:r>
        <w:t xml:space="preserve"> </w:t>
      </w:r>
    </w:p>
    <w:p w14:paraId="25E0ACC7" w14:textId="36EEC21C" w:rsidR="00CC767C" w:rsidRPr="008376F2" w:rsidRDefault="00CC767C" w:rsidP="00CC767C">
      <w:pPr>
        <w:pStyle w:val="Heading3"/>
      </w:pPr>
      <w:r>
        <w:t>A parallel review was also conducted by the Care and Quality Commission on (CQC) “</w:t>
      </w:r>
      <w:hyperlink r:id="rId191" w:history="1">
        <w:r w:rsidRPr="00CC767C">
          <w:rPr>
            <w:rStyle w:val="Hyperlink"/>
            <w:rFonts w:cs="Arial"/>
            <w:szCs w:val="24"/>
          </w:rPr>
          <w:t>Safe Data, Safe Care</w:t>
        </w:r>
      </w:hyperlink>
      <w:r>
        <w:t>” which focused on the availability, integrity and confidentiality of patient data.</w:t>
      </w:r>
    </w:p>
    <w:p w14:paraId="3AF42646" w14:textId="009977DB" w:rsidR="00CC767C" w:rsidRPr="00CC767C" w:rsidRDefault="00CC767C" w:rsidP="00CC767C">
      <w:pPr>
        <w:pStyle w:val="Heading3"/>
        <w:rPr>
          <w:rFonts w:ascii="HelveticaNeueLT-Light" w:hAnsi="HelveticaNeueLT-Light" w:cs="HelveticaNeueLT-Light"/>
        </w:rPr>
      </w:pPr>
      <w:r w:rsidRPr="00CC767C">
        <w:rPr>
          <w:rFonts w:ascii="HelveticaNeueLT-Light" w:hAnsi="HelveticaNeueLT-Light" w:cs="HelveticaNeueLT-Light"/>
        </w:rPr>
        <w:t xml:space="preserve">Following national consultation, the plan outlined within </w:t>
      </w:r>
      <w:r w:rsidRPr="008376F2">
        <w:t>‘</w:t>
      </w:r>
      <w:hyperlink r:id="rId192" w:history="1">
        <w:r w:rsidRPr="00CC767C">
          <w:rPr>
            <w:rStyle w:val="Hyperlink"/>
            <w:rFonts w:cs="Arial"/>
            <w:szCs w:val="24"/>
          </w:rPr>
          <w:t>Your Data:  Better Security, Better Choice, Better Care (DH</w:t>
        </w:r>
        <w:r w:rsidRPr="00CC767C">
          <w:rPr>
            <w:rStyle w:val="Hyperlink"/>
            <w:rFonts w:ascii="HelveticaNeueLT-Light" w:hAnsi="HelveticaNeueLT-Light" w:cs="HelveticaNeueLT-Light"/>
            <w:szCs w:val="24"/>
          </w:rPr>
          <w:t xml:space="preserve"> Data Sharing and Cyber Security Team</w:t>
        </w:r>
        <w:r w:rsidRPr="00CC767C">
          <w:rPr>
            <w:rStyle w:val="Hyperlink"/>
            <w:rFonts w:cs="Arial"/>
            <w:szCs w:val="24"/>
          </w:rPr>
          <w:t>, July 2017</w:t>
        </w:r>
      </w:hyperlink>
      <w:r w:rsidRPr="008376F2">
        <w:t>)</w:t>
      </w:r>
      <w:r>
        <w:t xml:space="preserve"> supports the recommendations within the NDG and CQC reviews respectively and centres </w:t>
      </w:r>
      <w:r w:rsidRPr="00CC767C">
        <w:rPr>
          <w:rFonts w:ascii="HelveticaNeueLT-Light" w:hAnsi="HelveticaNeueLT-Light" w:cs="HelveticaNeueLT-Light"/>
        </w:rPr>
        <w:t xml:space="preserve">on ensuring local organisations are implementing the ten data security standards.  These </w:t>
      </w:r>
      <w:r w:rsidRPr="00CC767C">
        <w:rPr>
          <w:rFonts w:ascii="HelveticaNeueLT-Medium" w:hAnsi="HelveticaNeueLT-Medium" w:cs="HelveticaNeueLT-Medium"/>
        </w:rPr>
        <w:t xml:space="preserve">have been further strengthened in some areas, including </w:t>
      </w:r>
      <w:r w:rsidRPr="000E4E5E">
        <w:t>Data Security Standard 6</w:t>
      </w:r>
      <w:r>
        <w:t>,</w:t>
      </w:r>
      <w:r w:rsidRPr="000E4E5E">
        <w:t xml:space="preserve"> which now requires significant cyber-attacks to be reported by health and care organisations to </w:t>
      </w:r>
      <w:r>
        <w:t xml:space="preserve">the Data Security Centre </w:t>
      </w:r>
      <w:r w:rsidRPr="000E4E5E">
        <w:t>as soon as possible following detection.</w:t>
      </w:r>
      <w:r>
        <w:t xml:space="preserve">  </w:t>
      </w:r>
      <w:r w:rsidRPr="00CC767C">
        <w:rPr>
          <w:rFonts w:ascii="HelveticaNeueLT-Light" w:hAnsi="HelveticaNeueLT-Light" w:cs="HelveticaNeueLT-Light"/>
        </w:rPr>
        <w:t>These are supported by national support services and backed by clear contractual obligations and by assurance and regulatory action.</w:t>
      </w:r>
    </w:p>
    <w:p w14:paraId="49B50259" w14:textId="065985FB" w:rsidR="00CC767C" w:rsidRPr="00CC767C" w:rsidRDefault="00CC767C" w:rsidP="00CC767C">
      <w:pPr>
        <w:pStyle w:val="Heading3"/>
        <w:rPr>
          <w:rFonts w:ascii="HelveticaNeueLT-Medium" w:hAnsi="HelveticaNeueLT-Medium" w:cs="HelveticaNeueLT-Medium"/>
        </w:rPr>
      </w:pPr>
      <w:r w:rsidRPr="00CC767C">
        <w:rPr>
          <w:rFonts w:ascii="HelveticaNeueLT-Light" w:hAnsi="HelveticaNeueLT-Light" w:cs="HelveticaNeueLT-Light"/>
        </w:rPr>
        <w:t xml:space="preserve">National services and security advice are offered by NHS Digital's Data Security Centre to ensure patient data and information is used safely and securely and to </w:t>
      </w:r>
      <w:r>
        <w:t>enable</w:t>
      </w:r>
      <w:r w:rsidRPr="000E4E5E">
        <w:t xml:space="preserve"> health and care organisations prepare their own resilience to cyber security threats, and to respond effectively and safely when they occur.</w:t>
      </w:r>
    </w:p>
    <w:p w14:paraId="54B17E47" w14:textId="3B709B00" w:rsidR="00CC767C" w:rsidRPr="00CE1BDF" w:rsidRDefault="00CC767C" w:rsidP="00070A05">
      <w:pPr>
        <w:pStyle w:val="Heading3"/>
        <w:rPr>
          <w:rFonts w:ascii="HelveticaNeueLT-Medium" w:hAnsi="HelveticaNeueLT-Medium" w:cs="HelveticaNeueLT-Medium"/>
          <w:szCs w:val="24"/>
        </w:rPr>
      </w:pPr>
      <w:r>
        <w:t>As part of the GP c</w:t>
      </w:r>
      <w:r w:rsidRPr="008376F2">
        <w:t xml:space="preserve">ontract for 2017/18 non-contractual changes to joint guidance </w:t>
      </w:r>
      <w:r>
        <w:t>have been</w:t>
      </w:r>
      <w:r w:rsidRPr="008376F2">
        <w:t xml:space="preserve"> agreed which include general practice compliance with the ten new data security standards in the </w:t>
      </w:r>
      <w:r>
        <w:t>NDG</w:t>
      </w:r>
      <w:r w:rsidRPr="008376F2">
        <w:t xml:space="preserve"> Review</w:t>
      </w:r>
      <w:r>
        <w:t>, as outlined below:</w:t>
      </w:r>
      <w:r w:rsidR="00070A05" w:rsidRPr="00CE1BDF">
        <w:rPr>
          <w:rFonts w:ascii="HelveticaNeueLT-Medium" w:hAnsi="HelveticaNeueLT-Medium" w:cs="HelveticaNeueLT-Medium"/>
          <w:szCs w:val="24"/>
        </w:rPr>
        <w:t xml:space="preserve"> </w:t>
      </w:r>
    </w:p>
    <w:p w14:paraId="3846552A" w14:textId="77777777" w:rsidR="00CC767C" w:rsidRPr="00A35172" w:rsidRDefault="00CC767C" w:rsidP="00CC767C">
      <w:pPr>
        <w:pStyle w:val="Heading2"/>
      </w:pPr>
      <w:bookmarkStart w:id="2528" w:name="_Toc95743575"/>
      <w:r w:rsidRPr="00A35172">
        <w:t>Ten Data Security Standards:</w:t>
      </w:r>
      <w:bookmarkEnd w:id="2528"/>
    </w:p>
    <w:p w14:paraId="7D3E1142" w14:textId="77777777" w:rsidR="00CC767C" w:rsidRDefault="00CC767C" w:rsidP="00CC767C">
      <w:pPr>
        <w:autoSpaceDE w:val="0"/>
        <w:autoSpaceDN w:val="0"/>
        <w:adjustRightInd w:val="0"/>
        <w:spacing w:before="120" w:after="120" w:line="276" w:lineRule="auto"/>
        <w:rPr>
          <w:rFonts w:ascii="HelveticaNeueLT-Light" w:hAnsi="HelveticaNeueLT-Light" w:cs="HelveticaNeueLT-Light"/>
          <w:szCs w:val="24"/>
        </w:rPr>
      </w:pPr>
    </w:p>
    <w:tbl>
      <w:tblPr>
        <w:tblW w:w="9781" w:type="dxa"/>
        <w:tblInd w:w="144" w:type="dxa"/>
        <w:tblCellMar>
          <w:left w:w="0" w:type="dxa"/>
          <w:right w:w="0" w:type="dxa"/>
        </w:tblCellMar>
        <w:tblLook w:val="0420" w:firstRow="1" w:lastRow="0" w:firstColumn="0" w:lastColumn="0" w:noHBand="0" w:noVBand="1"/>
      </w:tblPr>
      <w:tblGrid>
        <w:gridCol w:w="9781"/>
      </w:tblGrid>
      <w:tr w:rsidR="00CC767C" w:rsidRPr="001341DA" w14:paraId="5B2F702C" w14:textId="77777777" w:rsidTr="00E509C8">
        <w:trPr>
          <w:trHeight w:val="1326"/>
        </w:trPr>
        <w:tc>
          <w:tcPr>
            <w:tcW w:w="978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1290B7C" w14:textId="1460AFF3" w:rsidR="00CC767C" w:rsidRPr="001341DA" w:rsidRDefault="009F1EC8" w:rsidP="00CC767C">
            <w:pPr>
              <w:spacing w:before="120" w:after="120" w:line="276" w:lineRule="auto"/>
              <w:rPr>
                <w:rFonts w:cs="Arial"/>
                <w:b/>
                <w:bCs w:val="0"/>
                <w:color w:val="FFFFFF" w:themeColor="light1"/>
                <w:kern w:val="24"/>
                <w:sz w:val="20"/>
                <w:szCs w:val="20"/>
              </w:rPr>
            </w:pPr>
            <w:r w:rsidRPr="001341DA">
              <w:rPr>
                <w:rFonts w:cs="Arial"/>
                <w:b/>
                <w:color w:val="FFFFFF" w:themeColor="light1"/>
                <w:kern w:val="24"/>
                <w:sz w:val="20"/>
                <w:szCs w:val="20"/>
                <w:lang w:eastAsia="en-GB"/>
              </w:rPr>
              <w:t>Category People</w:t>
            </w:r>
            <w:r w:rsidR="00CC767C" w:rsidRPr="001341DA">
              <w:rPr>
                <w:rFonts w:cs="Arial"/>
                <w:b/>
                <w:color w:val="FFFFFF" w:themeColor="light1"/>
                <w:kern w:val="24"/>
                <w:sz w:val="20"/>
                <w:szCs w:val="20"/>
              </w:rPr>
              <w:t xml:space="preserve">: </w:t>
            </w:r>
          </w:p>
          <w:p w14:paraId="2EAA6D4A" w14:textId="77777777" w:rsidR="00CC767C" w:rsidRPr="001341DA" w:rsidRDefault="00CC767C" w:rsidP="00CC767C">
            <w:pPr>
              <w:spacing w:before="120" w:after="120" w:line="276" w:lineRule="auto"/>
              <w:rPr>
                <w:rFonts w:cs="Arial"/>
                <w:i/>
                <w:sz w:val="20"/>
                <w:szCs w:val="20"/>
                <w:lang w:eastAsia="en-GB"/>
              </w:rPr>
            </w:pPr>
            <w:r w:rsidRPr="001341DA">
              <w:rPr>
                <w:rFonts w:cs="Arial"/>
                <w:i/>
                <w:iCs/>
                <w:color w:val="FFFFFF" w:themeColor="light1"/>
                <w:kern w:val="24"/>
                <w:sz w:val="20"/>
                <w:szCs w:val="20"/>
              </w:rPr>
              <w:t>Ensure staff are equipped to handle information respectfully &amp; safely, according to the Caldicott Principles</w:t>
            </w:r>
          </w:p>
        </w:tc>
      </w:tr>
      <w:tr w:rsidR="00CC767C" w:rsidRPr="001341DA" w14:paraId="0C879F13" w14:textId="77777777" w:rsidTr="00E509C8">
        <w:trPr>
          <w:trHeight w:val="1463"/>
        </w:trPr>
        <w:tc>
          <w:tcPr>
            <w:tcW w:w="978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5EF1BFB" w14:textId="77777777" w:rsidR="00CC767C" w:rsidRPr="001341DA" w:rsidRDefault="00CC767C" w:rsidP="00CC767C">
            <w:pPr>
              <w:spacing w:before="120" w:after="120" w:line="276" w:lineRule="auto"/>
              <w:rPr>
                <w:rFonts w:eastAsiaTheme="minorEastAsia" w:cs="Arial"/>
                <w:b/>
                <w:bCs w:val="0"/>
                <w:color w:val="0070C0"/>
                <w:kern w:val="24"/>
                <w:sz w:val="20"/>
                <w:szCs w:val="20"/>
                <w:lang w:eastAsia="en-GB"/>
              </w:rPr>
            </w:pPr>
            <w:r w:rsidRPr="001341DA">
              <w:rPr>
                <w:rFonts w:eastAsiaTheme="minorEastAsia" w:cs="Arial"/>
                <w:b/>
                <w:color w:val="0070C0"/>
                <w:kern w:val="24"/>
                <w:sz w:val="20"/>
                <w:szCs w:val="20"/>
                <w:lang w:eastAsia="en-GB"/>
              </w:rPr>
              <w:t xml:space="preserve">Data Security Standard 1 </w:t>
            </w:r>
          </w:p>
          <w:p w14:paraId="0111376A" w14:textId="77777777" w:rsidR="00CC767C" w:rsidRPr="001341DA" w:rsidRDefault="00CC767C" w:rsidP="00CC767C">
            <w:pPr>
              <w:spacing w:before="120" w:after="120" w:line="276" w:lineRule="auto"/>
              <w:rPr>
                <w:rFonts w:cs="Arial"/>
                <w:sz w:val="20"/>
                <w:szCs w:val="20"/>
                <w:lang w:eastAsia="en-GB"/>
              </w:rPr>
            </w:pPr>
            <w:r w:rsidRPr="001341DA">
              <w:rPr>
                <w:rFonts w:eastAsia="Calibri" w:cs="Arial"/>
                <w:color w:val="000000" w:themeColor="text1"/>
                <w:kern w:val="24"/>
                <w:sz w:val="20"/>
                <w:szCs w:val="20"/>
                <w:lang w:eastAsia="en-GB"/>
              </w:rPr>
              <w:t>All staff ensure that personal confidential data is handled, stored and transmitted securely, whether in electronic or paper form. Personal confidential data is shared for only lawful and appropriate purposes.</w:t>
            </w:r>
          </w:p>
        </w:tc>
      </w:tr>
      <w:tr w:rsidR="00CC767C" w:rsidRPr="001341DA" w14:paraId="3B9012D4" w14:textId="77777777" w:rsidTr="00E509C8">
        <w:trPr>
          <w:trHeight w:val="1399"/>
        </w:trPr>
        <w:tc>
          <w:tcPr>
            <w:tcW w:w="978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9EE4CE8" w14:textId="77777777" w:rsidR="00CC767C" w:rsidRPr="001341DA" w:rsidRDefault="00CC767C" w:rsidP="00CC767C">
            <w:pPr>
              <w:spacing w:before="120" w:after="120" w:line="276" w:lineRule="auto"/>
              <w:rPr>
                <w:rFonts w:eastAsiaTheme="minorEastAsia" w:cs="Arial"/>
                <w:b/>
                <w:bCs w:val="0"/>
                <w:color w:val="0070C0"/>
                <w:kern w:val="24"/>
                <w:sz w:val="20"/>
                <w:szCs w:val="20"/>
                <w:lang w:eastAsia="en-GB"/>
              </w:rPr>
            </w:pPr>
            <w:r w:rsidRPr="001341DA">
              <w:rPr>
                <w:rFonts w:eastAsiaTheme="minorEastAsia" w:cs="Arial"/>
                <w:b/>
                <w:color w:val="0070C0"/>
                <w:kern w:val="24"/>
                <w:sz w:val="20"/>
                <w:szCs w:val="20"/>
                <w:lang w:eastAsia="en-GB"/>
              </w:rPr>
              <w:t xml:space="preserve">Data Security Standard 2 </w:t>
            </w:r>
          </w:p>
          <w:p w14:paraId="56093DAE" w14:textId="77777777" w:rsidR="00CC767C" w:rsidRPr="001341DA" w:rsidRDefault="00CC767C" w:rsidP="00CC767C">
            <w:pPr>
              <w:spacing w:before="120" w:after="120" w:line="276" w:lineRule="auto"/>
              <w:rPr>
                <w:rFonts w:cs="Arial"/>
                <w:sz w:val="20"/>
                <w:szCs w:val="20"/>
                <w:lang w:eastAsia="en-GB"/>
              </w:rPr>
            </w:pPr>
            <w:r w:rsidRPr="001341DA">
              <w:rPr>
                <w:rFonts w:eastAsia="Calibri" w:cs="Arial"/>
                <w:color w:val="000000" w:themeColor="text1"/>
                <w:kern w:val="24"/>
                <w:sz w:val="20"/>
                <w:szCs w:val="20"/>
                <w:lang w:eastAsia="en-GB"/>
              </w:rPr>
              <w:t>All staff understand their responsibilities under the National Data Guardian’s data security standards, including their obligation to handle information responsibly and their personal accountability for deliberate or avoidable breaches.</w:t>
            </w:r>
          </w:p>
        </w:tc>
      </w:tr>
      <w:tr w:rsidR="00CC767C" w:rsidRPr="001341DA" w14:paraId="4C1D5922" w14:textId="77777777" w:rsidTr="00E509C8">
        <w:trPr>
          <w:trHeight w:val="1123"/>
        </w:trPr>
        <w:tc>
          <w:tcPr>
            <w:tcW w:w="978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12F27F5" w14:textId="77777777" w:rsidR="00CC767C" w:rsidRPr="001341DA" w:rsidRDefault="00CC767C" w:rsidP="00CC767C">
            <w:pPr>
              <w:spacing w:before="120" w:after="120" w:line="276" w:lineRule="auto"/>
              <w:rPr>
                <w:rFonts w:eastAsiaTheme="minorEastAsia" w:cs="Arial"/>
                <w:b/>
                <w:bCs w:val="0"/>
                <w:color w:val="0070C0"/>
                <w:kern w:val="24"/>
                <w:sz w:val="20"/>
                <w:szCs w:val="20"/>
                <w:lang w:eastAsia="en-GB"/>
              </w:rPr>
            </w:pPr>
            <w:r w:rsidRPr="001341DA">
              <w:rPr>
                <w:rFonts w:eastAsiaTheme="minorEastAsia" w:cs="Arial"/>
                <w:b/>
                <w:color w:val="0070C0"/>
                <w:kern w:val="24"/>
                <w:sz w:val="20"/>
                <w:szCs w:val="20"/>
                <w:lang w:eastAsia="en-GB"/>
              </w:rPr>
              <w:t>Data Security Standard 3</w:t>
            </w:r>
          </w:p>
          <w:p w14:paraId="291CACC9" w14:textId="77777777" w:rsidR="00CC767C" w:rsidRPr="001341DA" w:rsidRDefault="00CC767C" w:rsidP="00CC767C">
            <w:pPr>
              <w:spacing w:before="120" w:after="120" w:line="276" w:lineRule="auto"/>
              <w:rPr>
                <w:rFonts w:eastAsia="Calibri" w:cs="Arial"/>
                <w:color w:val="000000" w:themeColor="text1"/>
                <w:kern w:val="24"/>
                <w:sz w:val="20"/>
                <w:szCs w:val="20"/>
                <w:lang w:eastAsia="en-GB"/>
              </w:rPr>
            </w:pPr>
            <w:r w:rsidRPr="001341DA">
              <w:rPr>
                <w:rFonts w:eastAsia="Calibri" w:cs="Arial"/>
                <w:color w:val="000000" w:themeColor="text1"/>
                <w:kern w:val="24"/>
                <w:sz w:val="20"/>
                <w:szCs w:val="20"/>
                <w:lang w:eastAsia="en-GB"/>
              </w:rPr>
              <w:t>All staff complete appropriate annual data security training and pass a mandatory test, provided through the redesigned Information Governance Toolkit.</w:t>
            </w:r>
          </w:p>
        </w:tc>
      </w:tr>
      <w:tr w:rsidR="00CC767C" w:rsidRPr="001341DA" w14:paraId="331478E0" w14:textId="77777777" w:rsidTr="00E509C8">
        <w:trPr>
          <w:trHeight w:val="454"/>
        </w:trPr>
        <w:tc>
          <w:tcPr>
            <w:tcW w:w="978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CF15D72" w14:textId="77777777" w:rsidR="00CC767C" w:rsidRPr="001341DA" w:rsidRDefault="00CC767C" w:rsidP="00CC767C">
            <w:pPr>
              <w:spacing w:before="120" w:after="120" w:line="276" w:lineRule="auto"/>
              <w:rPr>
                <w:rFonts w:cs="Arial"/>
                <w:b/>
                <w:bCs w:val="0"/>
                <w:color w:val="FFFFFF" w:themeColor="light1"/>
                <w:kern w:val="24"/>
                <w:sz w:val="20"/>
                <w:szCs w:val="20"/>
                <w:lang w:eastAsia="en-GB"/>
              </w:rPr>
            </w:pPr>
            <w:r w:rsidRPr="001341DA">
              <w:rPr>
                <w:rFonts w:cs="Arial"/>
                <w:b/>
                <w:color w:val="FFFFFF" w:themeColor="light1"/>
                <w:kern w:val="24"/>
                <w:sz w:val="20"/>
                <w:szCs w:val="20"/>
                <w:lang w:eastAsia="en-GB"/>
              </w:rPr>
              <w:t xml:space="preserve">Category:  Process: </w:t>
            </w:r>
          </w:p>
          <w:p w14:paraId="729AAE0F" w14:textId="77777777" w:rsidR="00CC767C" w:rsidRPr="001341DA" w:rsidRDefault="00CC767C" w:rsidP="00CC767C">
            <w:pPr>
              <w:spacing w:before="120" w:after="120" w:line="276" w:lineRule="auto"/>
              <w:rPr>
                <w:rFonts w:cs="Arial"/>
                <w:b/>
                <w:sz w:val="20"/>
                <w:szCs w:val="20"/>
                <w:lang w:eastAsia="en-GB"/>
              </w:rPr>
            </w:pPr>
            <w:r w:rsidRPr="001341DA">
              <w:rPr>
                <w:rFonts w:cs="Arial"/>
                <w:i/>
                <w:iCs/>
                <w:color w:val="FFFFFF" w:themeColor="light1"/>
                <w:kern w:val="24"/>
                <w:sz w:val="20"/>
                <w:szCs w:val="20"/>
              </w:rPr>
              <w:t>Ensure the organisation proactively prevents data security breaches and responds appropriately to incidents or near misses.</w:t>
            </w:r>
          </w:p>
        </w:tc>
      </w:tr>
      <w:tr w:rsidR="00CC767C" w:rsidRPr="001341DA" w14:paraId="08814C5E" w14:textId="77777777" w:rsidTr="00E509C8">
        <w:trPr>
          <w:trHeight w:val="1350"/>
        </w:trPr>
        <w:tc>
          <w:tcPr>
            <w:tcW w:w="978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36DF3EE" w14:textId="77777777" w:rsidR="00CC767C" w:rsidRPr="001341DA" w:rsidRDefault="00CC767C" w:rsidP="00CC767C">
            <w:pPr>
              <w:spacing w:before="120" w:after="120" w:line="276" w:lineRule="auto"/>
              <w:rPr>
                <w:rFonts w:eastAsiaTheme="minorEastAsia" w:cs="Arial"/>
                <w:b/>
                <w:bCs w:val="0"/>
                <w:color w:val="0070C0"/>
                <w:kern w:val="24"/>
                <w:sz w:val="20"/>
                <w:szCs w:val="20"/>
                <w:lang w:eastAsia="en-GB"/>
              </w:rPr>
            </w:pPr>
            <w:r w:rsidRPr="001341DA">
              <w:rPr>
                <w:rFonts w:eastAsiaTheme="minorEastAsia" w:cs="Arial"/>
                <w:b/>
                <w:color w:val="0070C0"/>
                <w:kern w:val="24"/>
                <w:sz w:val="20"/>
                <w:szCs w:val="20"/>
                <w:lang w:eastAsia="en-GB"/>
              </w:rPr>
              <w:t xml:space="preserve">Data Security Standard 4 </w:t>
            </w:r>
          </w:p>
          <w:p w14:paraId="1C33C10A" w14:textId="77777777" w:rsidR="00CC767C" w:rsidRPr="001341DA" w:rsidRDefault="00CC767C" w:rsidP="00CC767C">
            <w:pPr>
              <w:spacing w:before="120" w:after="120" w:line="276" w:lineRule="auto"/>
              <w:rPr>
                <w:rFonts w:cs="Arial"/>
                <w:sz w:val="20"/>
                <w:szCs w:val="20"/>
                <w:lang w:eastAsia="en-GB"/>
              </w:rPr>
            </w:pPr>
            <w:r w:rsidRPr="001341DA">
              <w:rPr>
                <w:rFonts w:eastAsia="Calibri" w:cs="Arial"/>
                <w:color w:val="000000" w:themeColor="text1"/>
                <w:kern w:val="24"/>
                <w:sz w:val="20"/>
                <w:szCs w:val="20"/>
                <w:lang w:eastAsia="en-GB"/>
              </w:rPr>
              <w:t>Personal confidential data is only accessible to staff who need it for their current role and access is removed as soon as it is no longer required. All instances of access to personal confidential data on IT systems can be attributed to individuals.</w:t>
            </w:r>
          </w:p>
        </w:tc>
      </w:tr>
      <w:tr w:rsidR="00CC767C" w:rsidRPr="001341DA" w14:paraId="39760202" w14:textId="77777777" w:rsidTr="00E509C8">
        <w:trPr>
          <w:trHeight w:val="1303"/>
        </w:trPr>
        <w:tc>
          <w:tcPr>
            <w:tcW w:w="978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35B5A4F" w14:textId="77777777" w:rsidR="00CC767C" w:rsidRPr="001341DA" w:rsidRDefault="00CC767C" w:rsidP="00CC767C">
            <w:pPr>
              <w:spacing w:before="120" w:after="120" w:line="276" w:lineRule="auto"/>
              <w:rPr>
                <w:rFonts w:eastAsiaTheme="minorEastAsia" w:cs="Arial"/>
                <w:b/>
                <w:bCs w:val="0"/>
                <w:color w:val="0070C0"/>
                <w:kern w:val="24"/>
                <w:sz w:val="20"/>
                <w:szCs w:val="20"/>
                <w:lang w:eastAsia="en-GB"/>
              </w:rPr>
            </w:pPr>
            <w:r w:rsidRPr="001341DA">
              <w:rPr>
                <w:rFonts w:eastAsiaTheme="minorEastAsia" w:cs="Arial"/>
                <w:b/>
                <w:color w:val="0070C0"/>
                <w:kern w:val="24"/>
                <w:sz w:val="20"/>
                <w:szCs w:val="20"/>
                <w:lang w:eastAsia="en-GB"/>
              </w:rPr>
              <w:t xml:space="preserve">Data Security Standard 5 </w:t>
            </w:r>
          </w:p>
          <w:p w14:paraId="42A47053" w14:textId="77777777" w:rsidR="00CC767C" w:rsidRPr="001341DA" w:rsidRDefault="00CC767C" w:rsidP="00CC767C">
            <w:pPr>
              <w:spacing w:before="120" w:after="120" w:line="276" w:lineRule="auto"/>
              <w:rPr>
                <w:rFonts w:cs="Arial"/>
                <w:sz w:val="20"/>
                <w:szCs w:val="20"/>
                <w:lang w:eastAsia="en-GB"/>
              </w:rPr>
            </w:pPr>
            <w:r w:rsidRPr="001341DA">
              <w:rPr>
                <w:rFonts w:eastAsia="Calibri" w:cs="Arial"/>
                <w:color w:val="000000" w:themeColor="text1"/>
                <w:kern w:val="24"/>
                <w:sz w:val="20"/>
                <w:szCs w:val="20"/>
                <w:lang w:eastAsia="en-GB"/>
              </w:rPr>
              <w:t>Processes are reviewed at least annually to identify and improve any which have caused breaches or near misses, or which force staff to use workarounds which compromise data security.</w:t>
            </w:r>
          </w:p>
        </w:tc>
      </w:tr>
      <w:tr w:rsidR="00CC767C" w:rsidRPr="001341DA" w14:paraId="76091341" w14:textId="77777777" w:rsidTr="00E509C8">
        <w:trPr>
          <w:trHeight w:val="1675"/>
        </w:trPr>
        <w:tc>
          <w:tcPr>
            <w:tcW w:w="978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F37E91B" w14:textId="77777777" w:rsidR="00CC767C" w:rsidRPr="001341DA" w:rsidRDefault="00CC767C" w:rsidP="00CC767C">
            <w:pPr>
              <w:spacing w:before="120" w:after="120" w:line="276" w:lineRule="auto"/>
              <w:rPr>
                <w:rFonts w:eastAsiaTheme="minorEastAsia" w:cs="Arial"/>
                <w:b/>
                <w:bCs w:val="0"/>
                <w:color w:val="0070C0"/>
                <w:kern w:val="24"/>
                <w:sz w:val="20"/>
                <w:szCs w:val="20"/>
                <w:lang w:eastAsia="en-GB"/>
              </w:rPr>
            </w:pPr>
            <w:r w:rsidRPr="001341DA">
              <w:rPr>
                <w:rFonts w:eastAsiaTheme="minorEastAsia" w:cs="Arial"/>
                <w:b/>
                <w:color w:val="0070C0"/>
                <w:kern w:val="24"/>
                <w:sz w:val="20"/>
                <w:szCs w:val="20"/>
                <w:lang w:eastAsia="en-GB"/>
              </w:rPr>
              <w:t xml:space="preserve">Data Security Standard 6 </w:t>
            </w:r>
          </w:p>
          <w:p w14:paraId="1EF69D9B" w14:textId="77777777" w:rsidR="00CC767C" w:rsidRPr="001341DA" w:rsidRDefault="00CC767C" w:rsidP="00CC767C">
            <w:pPr>
              <w:spacing w:before="120" w:after="120" w:line="276" w:lineRule="auto"/>
              <w:rPr>
                <w:rFonts w:cs="Arial"/>
                <w:sz w:val="20"/>
                <w:szCs w:val="20"/>
                <w:lang w:eastAsia="en-GB"/>
              </w:rPr>
            </w:pPr>
            <w:r w:rsidRPr="001341DA">
              <w:rPr>
                <w:rFonts w:eastAsia="Calibri" w:cs="Arial"/>
                <w:color w:val="000000" w:themeColor="text1"/>
                <w:kern w:val="24"/>
                <w:sz w:val="20"/>
                <w:szCs w:val="20"/>
                <w:lang w:eastAsia="en-GB"/>
              </w:rPr>
              <w:t>Cyber-attacks against services are identified and resisted and CareCERT security advice is responded to. Action is taken as soon as possible following a data breach or near miss, with a report made to senior management within 12 hours of detection. Significant cyber-attacks are to be reported to CareCERT immediately following detection.</w:t>
            </w:r>
          </w:p>
        </w:tc>
      </w:tr>
      <w:tr w:rsidR="00CC767C" w:rsidRPr="001341DA" w14:paraId="5E1EE251" w14:textId="77777777" w:rsidTr="00E509C8">
        <w:trPr>
          <w:trHeight w:val="1303"/>
        </w:trPr>
        <w:tc>
          <w:tcPr>
            <w:tcW w:w="978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5349D8C" w14:textId="77777777" w:rsidR="00CC767C" w:rsidRPr="001341DA" w:rsidRDefault="00CC767C" w:rsidP="00CC767C">
            <w:pPr>
              <w:spacing w:before="120" w:after="120" w:line="276" w:lineRule="auto"/>
              <w:rPr>
                <w:rFonts w:eastAsiaTheme="minorEastAsia" w:cs="Arial"/>
                <w:b/>
                <w:bCs w:val="0"/>
                <w:color w:val="0070C0"/>
                <w:kern w:val="24"/>
                <w:sz w:val="20"/>
                <w:szCs w:val="20"/>
                <w:lang w:eastAsia="en-GB"/>
              </w:rPr>
            </w:pPr>
            <w:r w:rsidRPr="001341DA">
              <w:rPr>
                <w:rFonts w:eastAsiaTheme="minorEastAsia" w:cs="Arial"/>
                <w:b/>
                <w:color w:val="0070C0"/>
                <w:kern w:val="24"/>
                <w:sz w:val="20"/>
                <w:szCs w:val="20"/>
                <w:lang w:eastAsia="en-GB"/>
              </w:rPr>
              <w:t xml:space="preserve">Data Security Standard 7 </w:t>
            </w:r>
          </w:p>
          <w:p w14:paraId="5E8CE44A" w14:textId="77777777" w:rsidR="00CC767C" w:rsidRPr="001341DA" w:rsidRDefault="00CC767C" w:rsidP="00CC767C">
            <w:pPr>
              <w:spacing w:before="120" w:after="120" w:line="276" w:lineRule="auto"/>
              <w:rPr>
                <w:rFonts w:cs="Arial"/>
                <w:sz w:val="20"/>
                <w:szCs w:val="20"/>
                <w:lang w:eastAsia="en-GB"/>
              </w:rPr>
            </w:pPr>
            <w:r w:rsidRPr="001341DA">
              <w:rPr>
                <w:rFonts w:eastAsia="Calibri" w:cs="Arial"/>
                <w:color w:val="000000" w:themeColor="text1"/>
                <w:kern w:val="24"/>
                <w:sz w:val="20"/>
                <w:szCs w:val="20"/>
                <w:lang w:eastAsia="en-GB"/>
              </w:rPr>
              <w:t>A continuity plan is in place to respond to threats to data security, including significant data breaches or near misses, and it is tested once a year as a minimum, with a report to senior management.</w:t>
            </w:r>
          </w:p>
        </w:tc>
      </w:tr>
      <w:tr w:rsidR="00CC767C" w:rsidRPr="001341DA" w14:paraId="1DB25B4F" w14:textId="77777777" w:rsidTr="00E509C8">
        <w:trPr>
          <w:trHeight w:val="344"/>
        </w:trPr>
        <w:tc>
          <w:tcPr>
            <w:tcW w:w="978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1DD2BCB" w14:textId="77777777" w:rsidR="00CC767C" w:rsidRPr="001341DA" w:rsidRDefault="00CC767C" w:rsidP="00CC767C">
            <w:pPr>
              <w:spacing w:before="120" w:after="120" w:line="276" w:lineRule="auto"/>
              <w:rPr>
                <w:rFonts w:cs="Arial"/>
                <w:b/>
                <w:bCs w:val="0"/>
                <w:color w:val="FFFFFF" w:themeColor="light1"/>
                <w:kern w:val="24"/>
                <w:sz w:val="20"/>
                <w:szCs w:val="20"/>
                <w:lang w:eastAsia="en-GB"/>
              </w:rPr>
            </w:pPr>
            <w:r w:rsidRPr="001341DA">
              <w:rPr>
                <w:rFonts w:cs="Arial"/>
                <w:b/>
                <w:color w:val="FFFFFF" w:themeColor="light1"/>
                <w:kern w:val="24"/>
                <w:sz w:val="20"/>
                <w:szCs w:val="20"/>
                <w:lang w:eastAsia="en-GB"/>
              </w:rPr>
              <w:t xml:space="preserve">Category: Technology: </w:t>
            </w:r>
          </w:p>
          <w:p w14:paraId="7CE5F9F0" w14:textId="77777777" w:rsidR="00CC767C" w:rsidRPr="001341DA" w:rsidRDefault="00CC767C" w:rsidP="00CC767C">
            <w:pPr>
              <w:spacing w:before="120" w:after="120" w:line="276" w:lineRule="auto"/>
              <w:rPr>
                <w:rFonts w:cs="Arial"/>
                <w:sz w:val="20"/>
                <w:szCs w:val="20"/>
                <w:lang w:eastAsia="en-GB"/>
              </w:rPr>
            </w:pPr>
            <w:r w:rsidRPr="001341DA">
              <w:rPr>
                <w:rFonts w:cs="Arial"/>
                <w:i/>
                <w:iCs/>
                <w:color w:val="FFFFFF" w:themeColor="light1"/>
                <w:kern w:val="24"/>
                <w:sz w:val="20"/>
                <w:szCs w:val="20"/>
              </w:rPr>
              <w:t>Ensure technology is secure and up-to-date.</w:t>
            </w:r>
          </w:p>
        </w:tc>
      </w:tr>
      <w:tr w:rsidR="00CC767C" w:rsidRPr="001341DA" w14:paraId="54127536" w14:textId="77777777" w:rsidTr="00E509C8">
        <w:trPr>
          <w:trHeight w:val="1040"/>
        </w:trPr>
        <w:tc>
          <w:tcPr>
            <w:tcW w:w="978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E65A78F" w14:textId="77777777" w:rsidR="00CC767C" w:rsidRPr="001341DA" w:rsidRDefault="00CC767C" w:rsidP="00CC767C">
            <w:pPr>
              <w:spacing w:before="120" w:after="120" w:line="276" w:lineRule="auto"/>
              <w:rPr>
                <w:rFonts w:eastAsiaTheme="minorEastAsia" w:cs="Arial"/>
                <w:b/>
                <w:bCs w:val="0"/>
                <w:color w:val="0070C0"/>
                <w:kern w:val="24"/>
                <w:sz w:val="20"/>
                <w:szCs w:val="20"/>
                <w:lang w:eastAsia="en-GB"/>
              </w:rPr>
            </w:pPr>
            <w:r w:rsidRPr="001341DA">
              <w:rPr>
                <w:rFonts w:eastAsiaTheme="minorEastAsia" w:cs="Arial"/>
                <w:b/>
                <w:color w:val="0070C0"/>
                <w:kern w:val="24"/>
                <w:sz w:val="20"/>
                <w:szCs w:val="20"/>
                <w:lang w:eastAsia="en-GB"/>
              </w:rPr>
              <w:t>Data Security Standard 8</w:t>
            </w:r>
          </w:p>
          <w:p w14:paraId="7CDA0C2F" w14:textId="77777777" w:rsidR="00CC767C" w:rsidRPr="001341DA" w:rsidRDefault="00CC767C" w:rsidP="00CC767C">
            <w:pPr>
              <w:spacing w:before="120" w:after="120" w:line="276" w:lineRule="auto"/>
              <w:rPr>
                <w:rFonts w:cs="Arial"/>
                <w:sz w:val="20"/>
                <w:szCs w:val="20"/>
                <w:lang w:eastAsia="en-GB"/>
              </w:rPr>
            </w:pPr>
            <w:r w:rsidRPr="001341DA">
              <w:rPr>
                <w:rFonts w:eastAsia="Calibri" w:cs="Arial"/>
                <w:color w:val="000000" w:themeColor="text1"/>
                <w:kern w:val="24"/>
                <w:sz w:val="20"/>
                <w:szCs w:val="20"/>
                <w:lang w:eastAsia="en-GB"/>
              </w:rPr>
              <w:t>No unsupported operating systems, software or internet browsers are used within the IT estate.</w:t>
            </w:r>
          </w:p>
        </w:tc>
      </w:tr>
      <w:tr w:rsidR="00CC767C" w:rsidRPr="001341DA" w14:paraId="22766798" w14:textId="77777777" w:rsidTr="00E509C8">
        <w:trPr>
          <w:trHeight w:val="1253"/>
        </w:trPr>
        <w:tc>
          <w:tcPr>
            <w:tcW w:w="978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327887C" w14:textId="77777777" w:rsidR="00CC767C" w:rsidRPr="001341DA" w:rsidRDefault="00CC767C" w:rsidP="00CC767C">
            <w:pPr>
              <w:spacing w:before="120" w:after="120" w:line="276" w:lineRule="auto"/>
              <w:rPr>
                <w:rFonts w:eastAsiaTheme="minorEastAsia" w:cs="Arial"/>
                <w:b/>
                <w:bCs w:val="0"/>
                <w:color w:val="0070C0"/>
                <w:kern w:val="24"/>
                <w:sz w:val="20"/>
                <w:szCs w:val="20"/>
                <w:lang w:eastAsia="en-GB"/>
              </w:rPr>
            </w:pPr>
            <w:r w:rsidRPr="001341DA">
              <w:rPr>
                <w:rFonts w:eastAsiaTheme="minorEastAsia" w:cs="Arial"/>
                <w:b/>
                <w:color w:val="0070C0"/>
                <w:kern w:val="24"/>
                <w:sz w:val="20"/>
                <w:szCs w:val="20"/>
                <w:lang w:eastAsia="en-GB"/>
              </w:rPr>
              <w:t xml:space="preserve">Data Security Standard 9 </w:t>
            </w:r>
          </w:p>
          <w:p w14:paraId="7EABDE27" w14:textId="77777777" w:rsidR="00CC767C" w:rsidRPr="001341DA" w:rsidRDefault="00CC767C" w:rsidP="00CC767C">
            <w:pPr>
              <w:spacing w:before="120" w:after="120" w:line="276" w:lineRule="auto"/>
              <w:rPr>
                <w:rFonts w:cs="Arial"/>
                <w:sz w:val="20"/>
                <w:szCs w:val="20"/>
                <w:lang w:eastAsia="en-GB"/>
              </w:rPr>
            </w:pPr>
            <w:r w:rsidRPr="001341DA">
              <w:rPr>
                <w:rFonts w:eastAsia="Calibri" w:cs="Arial"/>
                <w:color w:val="000000" w:themeColor="text1"/>
                <w:kern w:val="24"/>
                <w:sz w:val="20"/>
                <w:szCs w:val="20"/>
                <w:lang w:eastAsia="en-GB"/>
              </w:rPr>
              <w:t>A strategy is in place for protecting IT systems from cyber threats, based on a proven cyber security framework such as Cyber Essentials. This is reviewed at least annually.</w:t>
            </w:r>
          </w:p>
        </w:tc>
      </w:tr>
      <w:tr w:rsidR="00CC767C" w:rsidRPr="001341DA" w14:paraId="352C17B5" w14:textId="77777777" w:rsidTr="00E509C8">
        <w:trPr>
          <w:trHeight w:val="1257"/>
        </w:trPr>
        <w:tc>
          <w:tcPr>
            <w:tcW w:w="978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370FB93" w14:textId="77777777" w:rsidR="00CC767C" w:rsidRPr="001341DA" w:rsidRDefault="00CC767C" w:rsidP="00CC767C">
            <w:pPr>
              <w:spacing w:before="120" w:after="120" w:line="276" w:lineRule="auto"/>
              <w:rPr>
                <w:rFonts w:eastAsiaTheme="minorEastAsia" w:cs="Arial"/>
                <w:b/>
                <w:bCs w:val="0"/>
                <w:color w:val="0070C0"/>
                <w:kern w:val="24"/>
                <w:sz w:val="20"/>
                <w:szCs w:val="20"/>
                <w:lang w:eastAsia="en-GB"/>
              </w:rPr>
            </w:pPr>
            <w:r w:rsidRPr="001341DA">
              <w:rPr>
                <w:rFonts w:eastAsiaTheme="minorEastAsia" w:cs="Arial"/>
                <w:b/>
                <w:color w:val="0070C0"/>
                <w:kern w:val="24"/>
                <w:sz w:val="20"/>
                <w:szCs w:val="20"/>
                <w:lang w:eastAsia="en-GB"/>
              </w:rPr>
              <w:t xml:space="preserve">Data Security Standard 10 </w:t>
            </w:r>
          </w:p>
          <w:p w14:paraId="10700993" w14:textId="77777777" w:rsidR="00CC767C" w:rsidRPr="001341DA" w:rsidRDefault="00CC767C" w:rsidP="00CC767C">
            <w:pPr>
              <w:spacing w:before="120" w:after="120" w:line="276" w:lineRule="auto"/>
              <w:rPr>
                <w:rFonts w:cs="Arial"/>
                <w:sz w:val="20"/>
                <w:szCs w:val="20"/>
                <w:lang w:eastAsia="en-GB"/>
              </w:rPr>
            </w:pPr>
            <w:r w:rsidRPr="001341DA">
              <w:rPr>
                <w:rFonts w:eastAsia="Calibri" w:cs="Arial"/>
                <w:color w:val="000000" w:themeColor="text1"/>
                <w:kern w:val="24"/>
                <w:sz w:val="20"/>
                <w:szCs w:val="20"/>
                <w:lang w:eastAsia="en-GB"/>
              </w:rPr>
              <w:t>IT suppliers are held accountable via contracts for protecting the personal confidential data they process and for meeting the National Data Guardian’s data security standards.</w:t>
            </w:r>
          </w:p>
        </w:tc>
      </w:tr>
    </w:tbl>
    <w:p w14:paraId="77964348" w14:textId="77777777" w:rsidR="00CC767C" w:rsidRDefault="00CC767C" w:rsidP="00CC767C">
      <w:pPr>
        <w:autoSpaceDE w:val="0"/>
        <w:autoSpaceDN w:val="0"/>
        <w:adjustRightInd w:val="0"/>
        <w:spacing w:before="120" w:after="120" w:line="276" w:lineRule="auto"/>
        <w:rPr>
          <w:rFonts w:ascii="HelveticaNeueLT-Light" w:hAnsi="HelveticaNeueLT-Light" w:cs="HelveticaNeueLT-Light"/>
          <w:szCs w:val="24"/>
        </w:rPr>
      </w:pPr>
    </w:p>
    <w:p w14:paraId="7CDBADAB" w14:textId="323BAD93" w:rsidR="00B60CB4" w:rsidRPr="009F1EC8" w:rsidRDefault="00B60CB4" w:rsidP="008D6827">
      <w:pPr>
        <w:pStyle w:val="Heading3"/>
      </w:pPr>
      <w:r w:rsidRPr="00A553BA">
        <w:rPr>
          <w:lang w:val="en"/>
        </w:rPr>
        <w:t xml:space="preserve">The </w:t>
      </w:r>
      <w:r w:rsidRPr="008D6827">
        <w:rPr>
          <w:lang w:val="en"/>
        </w:rPr>
        <w:t xml:space="preserve">Data Security and Protection Toolkit is an online self-assessment tool that enables organisations to measure </w:t>
      </w:r>
      <w:r w:rsidRPr="00A553BA">
        <w:rPr>
          <w:lang w:val="en"/>
        </w:rPr>
        <w:t xml:space="preserve">and </w:t>
      </w:r>
      <w:r w:rsidRPr="008D6827">
        <w:rPr>
          <w:lang w:val="en"/>
        </w:rPr>
        <w:t>publish their performance against</w:t>
      </w:r>
      <w:r w:rsidRPr="00A553BA">
        <w:rPr>
          <w:lang w:val="en"/>
        </w:rPr>
        <w:t xml:space="preserve"> the </w:t>
      </w:r>
      <w:r w:rsidRPr="008D6827">
        <w:rPr>
          <w:lang w:val="en"/>
        </w:rPr>
        <w:t>National Data Guardian's ten</w:t>
      </w:r>
      <w:r w:rsidRPr="00A553BA">
        <w:rPr>
          <w:lang w:val="en"/>
        </w:rPr>
        <w:t xml:space="preserve"> data security standards</w:t>
      </w:r>
      <w:r w:rsidR="00BE0712">
        <w:rPr>
          <w:lang w:val="en"/>
        </w:rPr>
        <w:t xml:space="preserve">. </w:t>
      </w:r>
      <w:r w:rsidR="00BE0712" w:rsidRPr="00AD670E">
        <w:rPr>
          <w:lang w:val="en"/>
        </w:rPr>
        <w:t xml:space="preserve">The </w:t>
      </w:r>
      <w:r w:rsidR="00B83042">
        <w:rPr>
          <w:lang w:val="en"/>
        </w:rPr>
        <w:t>CCG/ICB</w:t>
      </w:r>
      <w:r w:rsidR="00BE0712" w:rsidRPr="00AD670E">
        <w:rPr>
          <w:lang w:val="en"/>
        </w:rPr>
        <w:t>-Practice Agreement requires General Practices to complete the DSPT annually. Local (</w:t>
      </w:r>
      <w:r w:rsidR="00B83042">
        <w:rPr>
          <w:lang w:val="en"/>
        </w:rPr>
        <w:t>CCG/ICB</w:t>
      </w:r>
      <w:r w:rsidR="00BE0712" w:rsidRPr="00AD670E">
        <w:rPr>
          <w:lang w:val="en"/>
        </w:rPr>
        <w:t>) commissioned GP IT Delivery Partners (providers) must also be contractually required to complete the DSPT.</w:t>
      </w:r>
    </w:p>
    <w:p w14:paraId="58D04FED" w14:textId="77777777" w:rsidR="00B60CB4" w:rsidRPr="00B60CB4" w:rsidRDefault="00B60CB4" w:rsidP="00E509C8">
      <w:pPr>
        <w:ind w:left="720"/>
      </w:pPr>
    </w:p>
    <w:p w14:paraId="503C9A72" w14:textId="692BED6C" w:rsidR="00CC767C" w:rsidRPr="009F1EC8" w:rsidRDefault="00CC767C" w:rsidP="00CC767C">
      <w:pPr>
        <w:pStyle w:val="Heading3"/>
      </w:pPr>
      <w:r w:rsidRPr="00600BBF">
        <w:t xml:space="preserve">The </w:t>
      </w:r>
      <w:hyperlink r:id="rId193" w:history="1">
        <w:r w:rsidR="00B60CB4" w:rsidRPr="00B60CB4">
          <w:rPr>
            <w:rStyle w:val="Hyperlink"/>
          </w:rPr>
          <w:t>DSP Toolkit</w:t>
        </w:r>
      </w:hyperlink>
      <w:r w:rsidRPr="00600BBF">
        <w:t xml:space="preserve"> will provide individual organisations with the necessary tools to assess adherence to the standards and level of cyber capability, as well as providing a national picture of data security across the health and social </w:t>
      </w:r>
      <w:r w:rsidRPr="009F1EC8">
        <w:t xml:space="preserve">care system, and intelligence for independent assurance processes.  </w:t>
      </w:r>
      <w:r w:rsidR="00484F1F" w:rsidRPr="008D6827">
        <w:rPr>
          <w:lang w:val="en"/>
        </w:rPr>
        <w:t>A new incident reporting tool for data security and protection incidents has been launched within the Data Security and Protection Toolkit</w:t>
      </w:r>
      <w:r w:rsidR="00484F1F" w:rsidRPr="009F1EC8">
        <w:rPr>
          <w:lang w:val="en"/>
        </w:rPr>
        <w:t xml:space="preserve">. </w:t>
      </w:r>
      <w:r w:rsidRPr="009F1EC8">
        <w:t>T</w:t>
      </w:r>
      <w:r w:rsidRPr="009F1EC8">
        <w:rPr>
          <w:rFonts w:cs="Arial"/>
        </w:rPr>
        <w:t>hrough</w:t>
      </w:r>
      <w:r w:rsidRPr="00A553BA">
        <w:rPr>
          <w:i/>
        </w:rPr>
        <w:t xml:space="preserve"> </w:t>
      </w:r>
      <w:r w:rsidRPr="009F1EC8">
        <w:rPr>
          <w:rFonts w:cs="Arial"/>
        </w:rPr>
        <w:t xml:space="preserve">the Data Security Centre and the Cyber Security Programme, NHS Digital will enable organisations to put those standards into practice.  </w:t>
      </w:r>
    </w:p>
    <w:p w14:paraId="081F1EA7" w14:textId="4E607131" w:rsidR="00CC767C" w:rsidRDefault="00CC767C" w:rsidP="00CC767C">
      <w:pPr>
        <w:pStyle w:val="Heading3"/>
      </w:pPr>
      <w:r w:rsidRPr="009F1EC8">
        <w:t xml:space="preserve">Information from the </w:t>
      </w:r>
      <w:r w:rsidR="00766F2F" w:rsidRPr="00AD670E">
        <w:t>DSPT</w:t>
      </w:r>
      <w:r w:rsidR="00766F2F" w:rsidRPr="00A553BA">
        <w:rPr>
          <w:i/>
        </w:rPr>
        <w:t xml:space="preserve"> </w:t>
      </w:r>
      <w:r w:rsidRPr="009F1EC8">
        <w:t xml:space="preserve">will support CQC inspections, which from September 2017 will include the importance of meeting the data security standards.  In addition, </w:t>
      </w:r>
      <w:r w:rsidR="00D908FC">
        <w:rPr>
          <w:lang w:val="en"/>
        </w:rPr>
        <w:t>a</w:t>
      </w:r>
      <w:r w:rsidR="004B2C50" w:rsidRPr="008D6827">
        <w:rPr>
          <w:lang w:val="en"/>
        </w:rPr>
        <w:t xml:space="preserve"> new incident reporting tool for data security and protection incidents has been launched within the Data Security and Protection Toolkit</w:t>
      </w:r>
      <w:r w:rsidR="004B2C50" w:rsidRPr="009F1EC8">
        <w:rPr>
          <w:lang w:val="en"/>
        </w:rPr>
        <w:t xml:space="preserve">. </w:t>
      </w:r>
      <w:r w:rsidR="004B2C50" w:rsidRPr="009F1EC8">
        <w:rPr>
          <w:i/>
          <w:lang w:val="en"/>
        </w:rPr>
        <w:t>The</w:t>
      </w:r>
      <w:r w:rsidR="004B2C50">
        <w:rPr>
          <w:i/>
          <w:lang w:val="en"/>
        </w:rPr>
        <w:t xml:space="preserve"> DHSC </w:t>
      </w:r>
      <w:r w:rsidR="003B6143">
        <w:rPr>
          <w:i/>
        </w:rPr>
        <w:t xml:space="preserve">has </w:t>
      </w:r>
      <w:r>
        <w:t>publish</w:t>
      </w:r>
      <w:r w:rsidR="00766F2F">
        <w:t>ed</w:t>
      </w:r>
      <w:r w:rsidR="004B2C50">
        <w:t xml:space="preserve"> the </w:t>
      </w:r>
      <w:hyperlink r:id="rId194" w:history="1">
        <w:r w:rsidR="004B2C50" w:rsidRPr="004B2C50">
          <w:rPr>
            <w:rStyle w:val="Hyperlink"/>
          </w:rPr>
          <w:t>2017/18 Data Security and Protection Requirements</w:t>
        </w:r>
      </w:hyperlink>
      <w:r w:rsidR="004B2C50">
        <w:t xml:space="preserve"> </w:t>
      </w:r>
      <w:r>
        <w:t xml:space="preserve"> clarif</w:t>
      </w:r>
      <w:r w:rsidR="00BE0712">
        <w:t>ied</w:t>
      </w:r>
      <w:r>
        <w:t xml:space="preserve"> </w:t>
      </w:r>
      <w:r w:rsidR="00BE0712">
        <w:t xml:space="preserve">action </w:t>
      </w:r>
      <w:r>
        <w:t xml:space="preserve">required </w:t>
      </w:r>
      <w:r w:rsidR="00BE0712">
        <w:t>by General Practices</w:t>
      </w:r>
      <w:r>
        <w:t>.</w:t>
      </w:r>
    </w:p>
    <w:p w14:paraId="2CE7A970" w14:textId="7DE0FFFF" w:rsidR="00CC767C" w:rsidRPr="003349C9" w:rsidRDefault="002B7ABC" w:rsidP="002B7ABC">
      <w:pPr>
        <w:pStyle w:val="Heading3"/>
      </w:pPr>
      <w:r w:rsidRPr="002B7ABC">
        <w:rPr>
          <w:rFonts w:ascii="HelveticaNeueLT-Medium" w:hAnsi="HelveticaNeueLT-Medium" w:cs="HelveticaNeueLT-Medium"/>
        </w:rPr>
        <w:t>The Network and Information Systems Regulations 2018</w:t>
      </w:r>
      <w:r>
        <w:rPr>
          <w:rFonts w:ascii="HelveticaNeueLT-Medium" w:hAnsi="HelveticaNeueLT-Medium" w:cs="HelveticaNeueLT-Medium"/>
        </w:rPr>
        <w:t xml:space="preserve"> </w:t>
      </w:r>
      <w:r w:rsidR="003B6143">
        <w:rPr>
          <w:rFonts w:ascii="HelveticaNeueLT-Medium" w:hAnsi="HelveticaNeueLT-Medium" w:cs="HelveticaNeueLT-Medium"/>
        </w:rPr>
        <w:t xml:space="preserve">which </w:t>
      </w:r>
      <w:r>
        <w:rPr>
          <w:rFonts w:ascii="HelveticaNeueLT-Medium" w:hAnsi="HelveticaNeueLT-Medium" w:cs="HelveticaNeueLT-Medium"/>
        </w:rPr>
        <w:t xml:space="preserve">came into force </w:t>
      </w:r>
      <w:r>
        <w:t xml:space="preserve">in </w:t>
      </w:r>
      <w:r w:rsidR="00CC767C">
        <w:t>May 2018</w:t>
      </w:r>
      <w:r>
        <w:t xml:space="preserve"> </w:t>
      </w:r>
      <w:r w:rsidR="00CC767C">
        <w:t>g</w:t>
      </w:r>
      <w:r w:rsidR="003B6143">
        <w:t>a</w:t>
      </w:r>
      <w:r w:rsidR="00CC767C">
        <w:t>ve further legal backing to the 10 data security standards, by requiring those organisations identified as ‘operators of essential services’ to comply with defined security requirements.  GP IT Operating Model arrangements will continue to be reviewed and will be updated to reflect these requirements.</w:t>
      </w:r>
    </w:p>
    <w:p w14:paraId="4CB9E7CC" w14:textId="77777777" w:rsidR="00CC767C" w:rsidRDefault="00CC767C" w:rsidP="00CC767C">
      <w:pPr>
        <w:spacing w:before="120" w:after="120" w:line="276" w:lineRule="auto"/>
        <w:rPr>
          <w:rFonts w:cs="Arial"/>
          <w:b/>
          <w:szCs w:val="24"/>
        </w:rPr>
      </w:pPr>
    </w:p>
    <w:p w14:paraId="61A09942" w14:textId="77777777" w:rsidR="00CC767C" w:rsidRPr="00A35172" w:rsidRDefault="00CC767C" w:rsidP="00CC767C">
      <w:pPr>
        <w:pStyle w:val="Heading2"/>
      </w:pPr>
      <w:bookmarkStart w:id="2529" w:name="_Toc95743576"/>
      <w:r>
        <w:t xml:space="preserve">Locally Procured </w:t>
      </w:r>
      <w:r w:rsidRPr="00A35172">
        <w:t>3</w:t>
      </w:r>
      <w:r w:rsidRPr="00A35172">
        <w:rPr>
          <w:vertAlign w:val="superscript"/>
        </w:rPr>
        <w:t>rd</w:t>
      </w:r>
      <w:r w:rsidRPr="00A35172">
        <w:t xml:space="preserve"> Party </w:t>
      </w:r>
      <w:r>
        <w:t>Digital Systems, Services and Architecture</w:t>
      </w:r>
      <w:r w:rsidRPr="00A35172">
        <w:t>:</w:t>
      </w:r>
      <w:bookmarkEnd w:id="2529"/>
    </w:p>
    <w:p w14:paraId="692456DC" w14:textId="77777777" w:rsidR="00CC767C" w:rsidRDefault="00CC767C" w:rsidP="00CC767C">
      <w:pPr>
        <w:spacing w:before="120" w:after="120" w:line="276" w:lineRule="auto"/>
        <w:rPr>
          <w:rFonts w:cs="Arial"/>
          <w:szCs w:val="24"/>
        </w:rPr>
      </w:pPr>
    </w:p>
    <w:p w14:paraId="20EE0B60" w14:textId="02E919D8" w:rsidR="00BE0712" w:rsidRDefault="00BE0712" w:rsidP="00BE0712">
      <w:pPr>
        <w:pStyle w:val="Heading3"/>
      </w:pPr>
      <w:r w:rsidRPr="007F5E5E">
        <w:t xml:space="preserve">Consideration </w:t>
      </w:r>
      <w:r>
        <w:t>needs to</w:t>
      </w:r>
      <w:r w:rsidRPr="007F5E5E">
        <w:t xml:space="preserve"> be given to security arrangements for locally procured digital systems</w:t>
      </w:r>
      <w:r>
        <w:t>, services</w:t>
      </w:r>
      <w:r w:rsidRPr="007F5E5E">
        <w:t xml:space="preserve"> and architecture </w:t>
      </w:r>
      <w:r>
        <w:t>which</w:t>
      </w:r>
      <w:r w:rsidRPr="007F5E5E">
        <w:t xml:space="preserve"> </w:t>
      </w:r>
      <w:r>
        <w:t xml:space="preserve">are provided by suppliers outside the GP IT Futures Framework, the local </w:t>
      </w:r>
      <w:r w:rsidR="00B83042">
        <w:t>CCG/ICB</w:t>
      </w:r>
      <w:r>
        <w:t xml:space="preserve"> commissioned GP IT services and National Digital Services. </w:t>
      </w:r>
    </w:p>
    <w:p w14:paraId="6737344B" w14:textId="26C873D1" w:rsidR="00BE0712" w:rsidRDefault="00BE0712" w:rsidP="00BE0712">
      <w:pPr>
        <w:pStyle w:val="Heading3"/>
      </w:pPr>
      <w:r w:rsidRPr="007F5E5E">
        <w:t xml:space="preserve">The commissioner </w:t>
      </w:r>
      <w:r>
        <w:t>or General Practice needs to</w:t>
      </w:r>
      <w:r w:rsidRPr="007F5E5E">
        <w:t xml:space="preserve"> ensure that any </w:t>
      </w:r>
      <w:r>
        <w:t xml:space="preserve">digital </w:t>
      </w:r>
      <w:r w:rsidRPr="007F5E5E">
        <w:t>service</w:t>
      </w:r>
      <w:r>
        <w:t>s</w:t>
      </w:r>
      <w:r w:rsidRPr="007F5E5E">
        <w:t xml:space="preserve"> and infrastructure </w:t>
      </w:r>
      <w:r>
        <w:t>procured locally</w:t>
      </w:r>
      <w:r w:rsidRPr="007F5E5E">
        <w:t xml:space="preserve"> </w:t>
      </w:r>
      <w:r>
        <w:t xml:space="preserve">are provided by organisations compliant with the applicable standards in the operating model.  </w:t>
      </w:r>
    </w:p>
    <w:p w14:paraId="730FF024" w14:textId="48D7632C" w:rsidR="00513B50" w:rsidRPr="00AF66A9" w:rsidRDefault="00513B50" w:rsidP="00AC4DE6">
      <w:pPr>
        <w:spacing w:line="360" w:lineRule="auto"/>
        <w:ind w:left="720"/>
        <w:rPr>
          <w:color w:val="FF0000"/>
        </w:rPr>
      </w:pPr>
      <w:r w:rsidRPr="00376682">
        <w:rPr>
          <w:highlight w:val="yellow"/>
        </w:rPr>
        <w:t>Practices remain responsible for choice and funding of their practice telephony system but are encouraged to consider using advanced VOIP cloud based telephony systems which better support peak demand management, PCNs and federated working and operational resilience. A support pack and template specification to assist practices is provided in the GP IT Operating Model</w:t>
      </w:r>
      <w:r w:rsidR="00376682">
        <w:t>.</w:t>
      </w:r>
    </w:p>
    <w:p w14:paraId="0055AD09" w14:textId="44763775" w:rsidR="00BE0712" w:rsidRDefault="00BE0712" w:rsidP="00BE0712">
      <w:pPr>
        <w:pStyle w:val="Heading3"/>
      </w:pPr>
      <w:r>
        <w:t>Clear</w:t>
      </w:r>
      <w:r w:rsidRPr="007F5E5E">
        <w:t xml:space="preserve"> support arrangements </w:t>
      </w:r>
      <w:r>
        <w:t xml:space="preserve">are essential </w:t>
      </w:r>
      <w:r w:rsidRPr="007F5E5E">
        <w:t xml:space="preserve">and </w:t>
      </w:r>
      <w:r>
        <w:t xml:space="preserve">should describe </w:t>
      </w:r>
      <w:r w:rsidRPr="007F5E5E">
        <w:t>how these align with local GP IT delivery arrangements</w:t>
      </w:r>
      <w:r>
        <w:t xml:space="preserve">. This is </w:t>
      </w:r>
      <w:r w:rsidRPr="007F5E5E">
        <w:t xml:space="preserve">critical </w:t>
      </w:r>
      <w:r>
        <w:t xml:space="preserve">in </w:t>
      </w:r>
      <w:r w:rsidRPr="007F5E5E">
        <w:t xml:space="preserve">effective incident management </w:t>
      </w:r>
    </w:p>
    <w:p w14:paraId="092EC1B0" w14:textId="77777777" w:rsidR="00BE0712" w:rsidRPr="00C111EE" w:rsidRDefault="00BE0712" w:rsidP="00AD670E"/>
    <w:p w14:paraId="7C9E76FE" w14:textId="77777777" w:rsidR="00CC767C" w:rsidRPr="00C111EE" w:rsidRDefault="00CC767C" w:rsidP="00AD670E">
      <w:pPr>
        <w:pStyle w:val="Heading3"/>
        <w:numPr>
          <w:ilvl w:val="0"/>
          <w:numId w:val="0"/>
        </w:numPr>
      </w:pPr>
    </w:p>
    <w:p w14:paraId="7104B67C" w14:textId="77777777" w:rsidR="00CC767C" w:rsidRPr="00B00575" w:rsidRDefault="00CC767C" w:rsidP="00CC767C">
      <w:pPr>
        <w:pStyle w:val="Heading2"/>
      </w:pPr>
      <w:bookmarkStart w:id="2530" w:name="_Toc95743577"/>
      <w:r w:rsidRPr="00B00575">
        <w:t>Disaster Recovery and Business Continuity</w:t>
      </w:r>
      <w:r>
        <w:t xml:space="preserve"> (DR/BC)</w:t>
      </w:r>
      <w:bookmarkEnd w:id="2530"/>
    </w:p>
    <w:p w14:paraId="5CD9AA7B" w14:textId="77777777" w:rsidR="00CC767C" w:rsidRPr="003E008A" w:rsidRDefault="00CC767C" w:rsidP="00CC767C">
      <w:pPr>
        <w:spacing w:before="120" w:after="120" w:line="276" w:lineRule="auto"/>
        <w:rPr>
          <w:rFonts w:cs="Arial"/>
          <w:szCs w:val="24"/>
        </w:rPr>
      </w:pPr>
    </w:p>
    <w:p w14:paraId="37A4D570" w14:textId="7F45D958" w:rsidR="00C111EE" w:rsidRPr="001D0AA4" w:rsidRDefault="00C111EE" w:rsidP="00C111EE">
      <w:pPr>
        <w:pStyle w:val="Heading3"/>
        <w:rPr>
          <w:strike/>
        </w:rPr>
      </w:pPr>
      <w:r w:rsidRPr="003E008A">
        <w:t>Each practice will have a B</w:t>
      </w:r>
      <w:r w:rsidR="00292874">
        <w:t xml:space="preserve">usiness </w:t>
      </w:r>
      <w:r w:rsidRPr="003E008A">
        <w:t>C</w:t>
      </w:r>
      <w:r w:rsidR="00292874">
        <w:t>ontinuity</w:t>
      </w:r>
      <w:r w:rsidRPr="003E008A">
        <w:t xml:space="preserve"> </w:t>
      </w:r>
      <w:r w:rsidR="00292874">
        <w:t xml:space="preserve">(BC) </w:t>
      </w:r>
      <w:r w:rsidRPr="003E008A">
        <w:t xml:space="preserve">plan as part of their </w:t>
      </w:r>
      <w:r w:rsidRPr="001D0AA4">
        <w:rPr>
          <w:strike/>
        </w:rPr>
        <w:t>IG</w:t>
      </w:r>
      <w:r w:rsidRPr="003E008A">
        <w:t xml:space="preserve"> </w:t>
      </w:r>
      <w:r w:rsidRPr="000228D4">
        <w:t>DSP</w:t>
      </w:r>
      <w:r>
        <w:t xml:space="preserve"> </w:t>
      </w:r>
      <w:r w:rsidRPr="003E008A">
        <w:t>Toolkit compliance</w:t>
      </w:r>
      <w:r>
        <w:t xml:space="preserve"> and this should include responses to </w:t>
      </w:r>
      <w:r w:rsidRPr="003F4652">
        <w:t>data security</w:t>
      </w:r>
      <w:r>
        <w:t xml:space="preserve"> and cyber</w:t>
      </w:r>
      <w:r w:rsidR="00292874">
        <w:t xml:space="preserve"> </w:t>
      </w:r>
      <w:r>
        <w:t>security threats/incidents</w:t>
      </w:r>
      <w:r w:rsidRPr="003F4652">
        <w:t xml:space="preserve">, </w:t>
      </w:r>
      <w:r>
        <w:t>s</w:t>
      </w:r>
      <w:r w:rsidRPr="003F4652">
        <w:t>ignificant breaches or near misses</w:t>
      </w:r>
      <w:r>
        <w:t xml:space="preserve"> and response to </w:t>
      </w:r>
      <w:r w:rsidR="00292874">
        <w:t xml:space="preserve">a </w:t>
      </w:r>
      <w:r>
        <w:t>loss of access to patient records</w:t>
      </w:r>
      <w:r w:rsidRPr="003F4652">
        <w:t>.</w:t>
      </w:r>
      <w:r w:rsidRPr="003E008A">
        <w:t xml:space="preserve">  </w:t>
      </w:r>
    </w:p>
    <w:p w14:paraId="499D04F3" w14:textId="059B5D2D" w:rsidR="00C111EE" w:rsidRDefault="00C111EE" w:rsidP="00C111EE">
      <w:pPr>
        <w:pStyle w:val="Heading3"/>
      </w:pPr>
      <w:bookmarkStart w:id="2531" w:name="_Hlk30674407"/>
      <w:r>
        <w:t>All practices must register with the MHRA Central Alerting System which will be utilised as required</w:t>
      </w:r>
      <w:r w:rsidR="00292874">
        <w:t>,</w:t>
      </w:r>
      <w:r>
        <w:t xml:space="preserve"> to support any national cyber</w:t>
      </w:r>
      <w:r w:rsidR="00292874">
        <w:t xml:space="preserve"> </w:t>
      </w:r>
      <w:r>
        <w:t>security incident</w:t>
      </w:r>
    </w:p>
    <w:bookmarkEnd w:id="2531"/>
    <w:p w14:paraId="27D3C142" w14:textId="440C1CE9" w:rsidR="00C111EE" w:rsidRPr="003E008A" w:rsidRDefault="00C111EE" w:rsidP="00C111EE">
      <w:pPr>
        <w:pStyle w:val="Heading3"/>
      </w:pPr>
      <w:r w:rsidRPr="00887796">
        <w:t xml:space="preserve">The </w:t>
      </w:r>
      <w:r w:rsidR="00B83042">
        <w:t>CCG/ICB</w:t>
      </w:r>
      <w:r w:rsidRPr="00887796">
        <w:t xml:space="preserve"> will ensure advice/guidance to support the development of </w:t>
      </w:r>
      <w:r>
        <w:t xml:space="preserve">the digital element of the </w:t>
      </w:r>
      <w:r w:rsidRPr="00887796">
        <w:t>practice</w:t>
      </w:r>
      <w:r>
        <w:t xml:space="preserve"> </w:t>
      </w:r>
      <w:r w:rsidRPr="00887796">
        <w:t>BC</w:t>
      </w:r>
      <w:r>
        <w:t xml:space="preserve"> </w:t>
      </w:r>
      <w:r w:rsidRPr="00887796">
        <w:t>plan, is available</w:t>
      </w:r>
      <w:r>
        <w:t>.</w:t>
      </w:r>
      <w:r w:rsidRPr="00887796">
        <w:t xml:space="preserve"> </w:t>
      </w:r>
      <w:r>
        <w:t xml:space="preserve"> </w:t>
      </w:r>
      <w:r w:rsidR="00B83042">
        <w:t>CCGs/ICBs</w:t>
      </w:r>
      <w:r w:rsidR="008B199F">
        <w:t xml:space="preserve"> </w:t>
      </w:r>
      <w:r>
        <w:t>should approve practice BC plans</w:t>
      </w:r>
      <w:r w:rsidRPr="00887796">
        <w:t xml:space="preserve">. </w:t>
      </w:r>
      <w:r>
        <w:rPr>
          <w:sz w:val="23"/>
          <w:szCs w:val="23"/>
        </w:rPr>
        <w:t xml:space="preserve">As more systems become securely hosted externally and fewer are located within individual practice premises and control the role of a practice Disaster Recovery (DR) Plan becomes less relevant. </w:t>
      </w:r>
      <w:r w:rsidRPr="00887796">
        <w:t xml:space="preserve">In the event of a </w:t>
      </w:r>
      <w:r>
        <w:t xml:space="preserve">practice </w:t>
      </w:r>
      <w:r w:rsidRPr="001D0AA4">
        <w:rPr>
          <w:strike/>
        </w:rPr>
        <w:t>local</w:t>
      </w:r>
      <w:r w:rsidRPr="00887796">
        <w:t xml:space="preserve"> BC plan being invoked</w:t>
      </w:r>
      <w:r w:rsidR="00292874">
        <w:t>,</w:t>
      </w:r>
      <w:r w:rsidRPr="00887796">
        <w:t xml:space="preserve"> the </w:t>
      </w:r>
      <w:r w:rsidR="00B83042">
        <w:t>CCG/ICB</w:t>
      </w:r>
      <w:r w:rsidRPr="00887796">
        <w:t xml:space="preserve"> will ensure </w:t>
      </w:r>
      <w:r>
        <w:t xml:space="preserve">specialist </w:t>
      </w:r>
      <w:r w:rsidRPr="00887796">
        <w:t>technical support is available as necessary.</w:t>
      </w:r>
    </w:p>
    <w:p w14:paraId="6BEEB916" w14:textId="16197AC2" w:rsidR="00C111EE" w:rsidRPr="003E008A" w:rsidRDefault="00C111EE" w:rsidP="00C111EE">
      <w:pPr>
        <w:pStyle w:val="Heading3"/>
      </w:pPr>
      <w:r w:rsidRPr="003E008A">
        <w:t xml:space="preserve">It is important for all staff in the practice to understand their roles when the plans are activated.  The practice team will need to work together to do the right thing at the right time and to ensure that the right people are in place with the right support. </w:t>
      </w:r>
      <w:r>
        <w:t xml:space="preserve">All practice staff must complete the annual NHS Data Security Awareness </w:t>
      </w:r>
      <w:r w:rsidR="00292874">
        <w:t>L</w:t>
      </w:r>
      <w:r>
        <w:t>evel 1 training.</w:t>
      </w:r>
    </w:p>
    <w:p w14:paraId="403F7CED" w14:textId="77777777" w:rsidR="00C111EE" w:rsidRDefault="00C111EE" w:rsidP="00C111EE">
      <w:pPr>
        <w:pStyle w:val="Heading3"/>
      </w:pPr>
      <w:r w:rsidRPr="003E008A">
        <w:t>The recovery process after an incident is equally important to ensure that electronic patient records are kept up to date and lessons are learned on how the response to the incident was managed.</w:t>
      </w:r>
    </w:p>
    <w:p w14:paraId="5EA85FBF" w14:textId="56ED4918" w:rsidR="00C111EE" w:rsidRPr="008343B7" w:rsidRDefault="00C111EE" w:rsidP="00C111EE">
      <w:pPr>
        <w:pStyle w:val="Heading3"/>
      </w:pPr>
      <w:r w:rsidRPr="001D0AA4">
        <w:t xml:space="preserve">BC plans should be reviewed as required under the terms of the </w:t>
      </w:r>
      <w:r w:rsidR="00B83042">
        <w:t>CCG/ICB</w:t>
      </w:r>
      <w:r w:rsidRPr="001D0AA4">
        <w:t xml:space="preserve"> Practice Agreement.  </w:t>
      </w:r>
    </w:p>
    <w:p w14:paraId="7C6DFF72" w14:textId="46E1DEA1" w:rsidR="00C111EE" w:rsidRDefault="00C111EE" w:rsidP="00C111EE">
      <w:pPr>
        <w:pStyle w:val="Heading3"/>
      </w:pPr>
      <w:r>
        <w:t xml:space="preserve">The review of BC plans will need to take into account those circumstances where the practice may be unaffected but providers are.  For example, the shutdown of a secondary care provider </w:t>
      </w:r>
      <w:r w:rsidR="00292874">
        <w:t>that</w:t>
      </w:r>
      <w:r>
        <w:t xml:space="preserve"> supplies pathology services may delay the availability of test results or the availability of discharge advice notes.  Whilst these may be beyond the scope of the practice, planning and agreement with the </w:t>
      </w:r>
      <w:r w:rsidR="00B83042">
        <w:t>CCG/ICB</w:t>
      </w:r>
      <w:r>
        <w:t xml:space="preserve"> on how to handle these circumstances</w:t>
      </w:r>
      <w:r w:rsidR="00292874">
        <w:t xml:space="preserve"> </w:t>
      </w:r>
      <w:r>
        <w:t>will be of benefit to the practice and their patients.</w:t>
      </w:r>
    </w:p>
    <w:p w14:paraId="233101B2" w14:textId="6226AC8A" w:rsidR="000E6E7C" w:rsidRDefault="000E6E7C" w:rsidP="00F7485F">
      <w:pPr>
        <w:spacing w:line="360" w:lineRule="auto"/>
        <w:ind w:left="720"/>
        <w:rPr>
          <w:color w:val="FF0000"/>
        </w:rPr>
      </w:pPr>
      <w:r w:rsidRPr="00FA7B89">
        <w:rPr>
          <w:highlight w:val="yellow"/>
        </w:rPr>
        <w:t>Practice B</w:t>
      </w:r>
      <w:r w:rsidR="004A1AB7" w:rsidRPr="00FA7B89">
        <w:rPr>
          <w:highlight w:val="yellow"/>
        </w:rPr>
        <w:t xml:space="preserve">usiness </w:t>
      </w:r>
      <w:r w:rsidRPr="00FA7B89">
        <w:rPr>
          <w:highlight w:val="yellow"/>
        </w:rPr>
        <w:t>C</w:t>
      </w:r>
      <w:r w:rsidR="004A1AB7" w:rsidRPr="00FA7B89">
        <w:rPr>
          <w:highlight w:val="yellow"/>
        </w:rPr>
        <w:t>ontinnuity</w:t>
      </w:r>
      <w:r w:rsidRPr="00FA7B89">
        <w:rPr>
          <w:highlight w:val="yellow"/>
        </w:rPr>
        <w:t xml:space="preserve"> plans should also consider practice resilience arrangements including the capability for home and remote working, alternate consultation channels (eg online, video) and exceptional demand management. BC planse must always be reviewed following their invocation.</w:t>
      </w:r>
    </w:p>
    <w:p w14:paraId="6A0DACA6" w14:textId="77777777" w:rsidR="00F23D0E" w:rsidRPr="000E6E7C" w:rsidRDefault="00F23D0E" w:rsidP="00FA7B89">
      <w:pPr>
        <w:ind w:left="720"/>
      </w:pPr>
    </w:p>
    <w:p w14:paraId="5B02D152" w14:textId="6407DF01" w:rsidR="00C111EE" w:rsidRDefault="00C111EE" w:rsidP="007E1D62">
      <w:pPr>
        <w:pStyle w:val="Heading3"/>
        <w:rPr>
          <w:lang w:val="en"/>
        </w:rPr>
      </w:pPr>
      <w:r w:rsidRPr="00AD670E">
        <w:rPr>
          <w:lang w:val="en"/>
        </w:rPr>
        <w:t>Local (</w:t>
      </w:r>
      <w:r w:rsidR="00B83042">
        <w:rPr>
          <w:lang w:val="en"/>
        </w:rPr>
        <w:t>CCG/ICB</w:t>
      </w:r>
      <w:r w:rsidRPr="00AD670E">
        <w:rPr>
          <w:lang w:val="en"/>
        </w:rPr>
        <w:t>) commissioned GP IT Delivery Partners (providers) must also be contractually required to prepare and maintain BC and DR plans for those services relevant to the delivery of GP IT.</w:t>
      </w:r>
    </w:p>
    <w:p w14:paraId="03ECD41F" w14:textId="77777777" w:rsidR="00F23D0E" w:rsidRPr="00FA7B89" w:rsidRDefault="00F23D0E" w:rsidP="00FA7B89">
      <w:pPr>
        <w:rPr>
          <w:lang w:val="en"/>
        </w:rPr>
      </w:pPr>
    </w:p>
    <w:p w14:paraId="2A4E9BE2" w14:textId="77777777" w:rsidR="00C111EE" w:rsidRPr="008813F4" w:rsidRDefault="00C111EE" w:rsidP="00C111EE">
      <w:pPr>
        <w:pStyle w:val="Heading2"/>
      </w:pPr>
      <w:bookmarkStart w:id="2532" w:name="_Toc95129188"/>
      <w:bookmarkStart w:id="2533" w:name="_Toc95129459"/>
      <w:bookmarkStart w:id="2534" w:name="_Toc7417166"/>
      <w:bookmarkStart w:id="2535" w:name="_Toc95743578"/>
      <w:bookmarkEnd w:id="2532"/>
      <w:bookmarkEnd w:id="2533"/>
      <w:r w:rsidRPr="008813F4">
        <w:t>Further Information:</w:t>
      </w:r>
      <w:bookmarkEnd w:id="2534"/>
      <w:bookmarkEnd w:id="2535"/>
    </w:p>
    <w:p w14:paraId="24BEE7EC" w14:textId="77777777" w:rsidR="00C111EE" w:rsidRDefault="00C111EE" w:rsidP="00C111EE">
      <w:pPr>
        <w:spacing w:before="120" w:after="120" w:line="276" w:lineRule="auto"/>
        <w:rPr>
          <w:rFonts w:cs="Arial"/>
          <w:szCs w:val="24"/>
        </w:rPr>
      </w:pPr>
    </w:p>
    <w:p w14:paraId="4AD412C3" w14:textId="00C878BD" w:rsidR="00C111EE" w:rsidRDefault="00B83042" w:rsidP="00C111EE">
      <w:pPr>
        <w:pStyle w:val="Heading3"/>
      </w:pPr>
      <w:r>
        <w:t>CCGs/ICBs</w:t>
      </w:r>
      <w:r w:rsidR="008B199F">
        <w:t xml:space="preserve"> </w:t>
      </w:r>
      <w:r w:rsidR="00C111EE" w:rsidRPr="008813F4">
        <w:t xml:space="preserve">seeking further </w:t>
      </w:r>
      <w:r w:rsidR="00C111EE" w:rsidRPr="0042617A">
        <w:t>information on the</w:t>
      </w:r>
      <w:r w:rsidR="00C111EE" w:rsidRPr="00CC767C">
        <w:rPr>
          <w:b/>
        </w:rPr>
        <w:t xml:space="preserve"> </w:t>
      </w:r>
      <w:r w:rsidR="00C111EE" w:rsidRPr="0042617A">
        <w:t>GP IT Operating Model</w:t>
      </w:r>
      <w:r w:rsidR="00C111EE">
        <w:t xml:space="preserve"> and associated support materials and guidance, </w:t>
      </w:r>
      <w:r w:rsidR="00C111EE" w:rsidRPr="008813F4">
        <w:t>can visit</w:t>
      </w:r>
      <w:r w:rsidR="00C111EE" w:rsidRPr="00CC767C">
        <w:rPr>
          <w:color w:val="002060"/>
        </w:rPr>
        <w:t xml:space="preserve"> </w:t>
      </w:r>
      <w:hyperlink r:id="rId195" w:history="1">
        <w:r w:rsidR="00C111EE" w:rsidRPr="00975311">
          <w:rPr>
            <w:rStyle w:val="Hyperlink"/>
          </w:rPr>
          <w:t>https://www.england.nhs.uk/digitaltechnology/digital-primary-care</w:t>
        </w:r>
      </w:hyperlink>
      <w:r w:rsidR="00C111EE" w:rsidRPr="00CF6802">
        <w:rPr>
          <w:color w:val="002060"/>
        </w:rPr>
        <w:t xml:space="preserve">/ </w:t>
      </w:r>
      <w:r w:rsidR="00C111EE" w:rsidRPr="0042617A">
        <w:t xml:space="preserve">or contact </w:t>
      </w:r>
      <w:r w:rsidR="00C111EE">
        <w:t xml:space="preserve">the </w:t>
      </w:r>
      <w:r w:rsidR="00C111EE" w:rsidRPr="0042617A">
        <w:t>NHS</w:t>
      </w:r>
      <w:r w:rsidR="00C111EE">
        <w:t>x</w:t>
      </w:r>
      <w:r w:rsidR="00C111EE" w:rsidRPr="0042617A">
        <w:t xml:space="preserve"> Digital Primary Care (GP IT) team at </w:t>
      </w:r>
      <w:r w:rsidR="00C111EE">
        <w:t>pcdt@nhsx.nhs.uk</w:t>
      </w:r>
    </w:p>
    <w:p w14:paraId="44E0AE5D" w14:textId="63B71F01" w:rsidR="00C111EE" w:rsidRPr="0015247B" w:rsidRDefault="00C111EE" w:rsidP="00C111EE">
      <w:pPr>
        <w:pStyle w:val="Heading3"/>
        <w:rPr>
          <w:lang w:eastAsia="en-GB"/>
        </w:rPr>
      </w:pPr>
      <w:r w:rsidRPr="000C51BD">
        <w:t xml:space="preserve">For further information about </w:t>
      </w:r>
      <w:r w:rsidRPr="00E509C8">
        <w:t xml:space="preserve">the </w:t>
      </w:r>
      <w:r>
        <w:t xml:space="preserve">DSP </w:t>
      </w:r>
      <w:r w:rsidRPr="000C51BD">
        <w:t xml:space="preserve">Toolkit please </w:t>
      </w:r>
      <w:r w:rsidRPr="001D0AA4">
        <w:t xml:space="preserve">visit  </w:t>
      </w:r>
      <w:hyperlink r:id="rId196" w:history="1">
        <w:r w:rsidRPr="001D0AA4">
          <w:rPr>
            <w:rStyle w:val="Hyperlink"/>
          </w:rPr>
          <w:t>DSP Toolkit help</w:t>
        </w:r>
      </w:hyperlink>
      <w:r>
        <w:t xml:space="preserve"> </w:t>
      </w:r>
      <w:r w:rsidRPr="00E509C8">
        <w:t>contact</w:t>
      </w:r>
      <w:r w:rsidRPr="00A553BA">
        <w:rPr>
          <w:strike/>
          <w:color w:val="1F497D"/>
        </w:rPr>
        <w:t xml:space="preserve"> </w:t>
      </w:r>
      <w:hyperlink r:id="rId197" w:history="1">
        <w:r w:rsidRPr="00E509C8">
          <w:rPr>
            <w:rStyle w:val="Hyperlink"/>
          </w:rPr>
          <w:t>cybersecurity@nhs.net</w:t>
        </w:r>
      </w:hyperlink>
    </w:p>
    <w:p w14:paraId="238596DD" w14:textId="527C463D" w:rsidR="0015247B" w:rsidRPr="00C111EE" w:rsidRDefault="00850B0E" w:rsidP="00C111EE">
      <w:pPr>
        <w:pStyle w:val="Heading1"/>
      </w:pPr>
      <w:r>
        <w:rPr>
          <w:lang w:eastAsia="en-GB"/>
        </w:rPr>
        <w:br w:type="page"/>
      </w:r>
      <w:bookmarkStart w:id="2536" w:name="_Toc95743579"/>
      <w:bookmarkEnd w:id="2520"/>
      <w:r w:rsidR="0015247B" w:rsidRPr="00C111EE">
        <w:t>Protocol in respect of locum cover or GP performer payments for parental and sickness leave</w:t>
      </w:r>
      <w:bookmarkEnd w:id="2536"/>
    </w:p>
    <w:p w14:paraId="36DFEE3A" w14:textId="77777777" w:rsidR="0015247B" w:rsidRDefault="0015247B" w:rsidP="0015247B">
      <w:pPr>
        <w:rPr>
          <w:lang w:eastAsia="en-GB"/>
        </w:rPr>
      </w:pPr>
    </w:p>
    <w:p w14:paraId="264045D8" w14:textId="77777777" w:rsidR="00867DFB" w:rsidRPr="00CE0885" w:rsidRDefault="00867DFB" w:rsidP="00855999">
      <w:pPr>
        <w:pStyle w:val="Heading2"/>
      </w:pPr>
      <w:bookmarkStart w:id="2537" w:name="_Toc95743580"/>
      <w:r w:rsidRPr="00CE0885">
        <w:t>Background</w:t>
      </w:r>
      <w:bookmarkEnd w:id="2537"/>
    </w:p>
    <w:p w14:paraId="0AC43827" w14:textId="77777777" w:rsidR="00867DFB" w:rsidRPr="009055A7" w:rsidRDefault="00867DFB" w:rsidP="00867DFB">
      <w:pPr>
        <w:spacing w:line="360" w:lineRule="auto"/>
        <w:rPr>
          <w:rFonts w:cs="Arial"/>
        </w:rPr>
      </w:pPr>
    </w:p>
    <w:p w14:paraId="4C05B5F0" w14:textId="4D0CF2AD" w:rsidR="00867DFB" w:rsidRPr="00CE0885" w:rsidRDefault="00867DFB" w:rsidP="005E089C">
      <w:pPr>
        <w:pStyle w:val="Heading3"/>
      </w:pPr>
      <w:r w:rsidRPr="00CE0885">
        <w:t xml:space="preserve">The </w:t>
      </w:r>
      <w:r w:rsidRPr="005E089C">
        <w:rPr>
          <w:spacing w:val="-1"/>
        </w:rPr>
        <w:t>G</w:t>
      </w:r>
      <w:r w:rsidRPr="00CE0885">
        <w:t>ene</w:t>
      </w:r>
      <w:r w:rsidRPr="005E089C">
        <w:rPr>
          <w:spacing w:val="-1"/>
        </w:rPr>
        <w:t>r</w:t>
      </w:r>
      <w:r w:rsidRPr="00CE0885">
        <w:t>al</w:t>
      </w:r>
      <w:r w:rsidRPr="005E089C">
        <w:rPr>
          <w:spacing w:val="41"/>
        </w:rPr>
        <w:t xml:space="preserve"> </w:t>
      </w:r>
      <w:r w:rsidRPr="005E089C">
        <w:rPr>
          <w:spacing w:val="-1"/>
        </w:rPr>
        <w:t>M</w:t>
      </w:r>
      <w:r w:rsidRPr="005E089C">
        <w:rPr>
          <w:spacing w:val="-3"/>
        </w:rPr>
        <w:t>e</w:t>
      </w:r>
      <w:r w:rsidRPr="00CE0885">
        <w:t>d</w:t>
      </w:r>
      <w:r w:rsidRPr="005E089C">
        <w:rPr>
          <w:spacing w:val="-1"/>
        </w:rPr>
        <w:t>i</w:t>
      </w:r>
      <w:r w:rsidRPr="00CE0885">
        <w:t>c</w:t>
      </w:r>
      <w:r w:rsidRPr="005E089C">
        <w:rPr>
          <w:spacing w:val="-3"/>
        </w:rPr>
        <w:t>a</w:t>
      </w:r>
      <w:r w:rsidRPr="00CE0885">
        <w:t>l</w:t>
      </w:r>
      <w:r w:rsidRPr="005E089C">
        <w:rPr>
          <w:spacing w:val="41"/>
        </w:rPr>
        <w:t xml:space="preserve"> </w:t>
      </w:r>
      <w:r w:rsidRPr="00CE0885">
        <w:t>Se</w:t>
      </w:r>
      <w:r w:rsidRPr="005E089C">
        <w:rPr>
          <w:spacing w:val="-1"/>
        </w:rPr>
        <w:t>r</w:t>
      </w:r>
      <w:r w:rsidRPr="005E089C">
        <w:rPr>
          <w:spacing w:val="-2"/>
        </w:rPr>
        <w:t>v</w:t>
      </w:r>
      <w:r w:rsidRPr="005E089C">
        <w:rPr>
          <w:spacing w:val="-1"/>
        </w:rPr>
        <w:t>i</w:t>
      </w:r>
      <w:r w:rsidRPr="00CE0885">
        <w:t>ces</w:t>
      </w:r>
      <w:r w:rsidRPr="005E089C">
        <w:rPr>
          <w:spacing w:val="41"/>
        </w:rPr>
        <w:t xml:space="preserve"> </w:t>
      </w:r>
      <w:r w:rsidRPr="005E089C">
        <w:rPr>
          <w:spacing w:val="1"/>
        </w:rPr>
        <w:t>C</w:t>
      </w:r>
      <w:r w:rsidRPr="00CE0885">
        <w:t>on</w:t>
      </w:r>
      <w:r w:rsidRPr="005E089C">
        <w:rPr>
          <w:spacing w:val="-1"/>
        </w:rPr>
        <w:t>tr</w:t>
      </w:r>
      <w:r w:rsidRPr="00CE0885">
        <w:t>ac</w:t>
      </w:r>
      <w:r w:rsidRPr="005E089C">
        <w:rPr>
          <w:spacing w:val="-1"/>
        </w:rPr>
        <w:t>t</w:t>
      </w:r>
      <w:r w:rsidRPr="00CE0885">
        <w:t>s</w:t>
      </w:r>
      <w:r w:rsidRPr="005E089C">
        <w:rPr>
          <w:spacing w:val="-12"/>
        </w:rPr>
        <w:t xml:space="preserve"> </w:t>
      </w:r>
      <w:r w:rsidRPr="00CE0885">
        <w:t>S</w:t>
      </w:r>
      <w:r w:rsidRPr="005E089C">
        <w:rPr>
          <w:spacing w:val="-1"/>
        </w:rPr>
        <w:t>t</w:t>
      </w:r>
      <w:r w:rsidRPr="00CE0885">
        <w:t>a</w:t>
      </w:r>
      <w:r w:rsidRPr="005E089C">
        <w:rPr>
          <w:spacing w:val="-1"/>
        </w:rPr>
        <w:t>t</w:t>
      </w:r>
      <w:r w:rsidRPr="00CE0885">
        <w:t>e</w:t>
      </w:r>
      <w:r w:rsidRPr="005E089C">
        <w:rPr>
          <w:spacing w:val="-4"/>
        </w:rPr>
        <w:t>m</w:t>
      </w:r>
      <w:r w:rsidRPr="00CE0885">
        <w:t xml:space="preserve">ent of </w:t>
      </w:r>
      <w:r w:rsidRPr="005E089C">
        <w:rPr>
          <w:spacing w:val="-2"/>
        </w:rPr>
        <w:t>F</w:t>
      </w:r>
      <w:r w:rsidRPr="005E089C">
        <w:rPr>
          <w:spacing w:val="-1"/>
        </w:rPr>
        <w:t>i</w:t>
      </w:r>
      <w:r w:rsidRPr="00CE0885">
        <w:t>nanc</w:t>
      </w:r>
      <w:r w:rsidRPr="005E089C">
        <w:rPr>
          <w:spacing w:val="-1"/>
        </w:rPr>
        <w:t>i</w:t>
      </w:r>
      <w:r w:rsidRPr="00CE0885">
        <w:t>al</w:t>
      </w:r>
      <w:r w:rsidRPr="005E089C">
        <w:rPr>
          <w:spacing w:val="6"/>
        </w:rPr>
        <w:t xml:space="preserve"> </w:t>
      </w:r>
      <w:r w:rsidRPr="005E089C">
        <w:rPr>
          <w:spacing w:val="1"/>
        </w:rPr>
        <w:t>E</w:t>
      </w:r>
      <w:r w:rsidRPr="00CE0885">
        <w:t>n</w:t>
      </w:r>
      <w:r w:rsidRPr="005E089C">
        <w:rPr>
          <w:spacing w:val="-1"/>
        </w:rPr>
        <w:t>titl</w:t>
      </w:r>
      <w:r w:rsidRPr="005E089C">
        <w:rPr>
          <w:spacing w:val="2"/>
        </w:rPr>
        <w:t>e</w:t>
      </w:r>
      <w:r w:rsidRPr="005E089C">
        <w:rPr>
          <w:spacing w:val="-4"/>
        </w:rPr>
        <w:t>m</w:t>
      </w:r>
      <w:r w:rsidRPr="00CE0885">
        <w:t>ent</w:t>
      </w:r>
      <w:r w:rsidRPr="005E089C">
        <w:rPr>
          <w:spacing w:val="6"/>
        </w:rPr>
        <w:t xml:space="preserve"> </w:t>
      </w:r>
      <w:r w:rsidRPr="005E089C">
        <w:rPr>
          <w:spacing w:val="1"/>
        </w:rPr>
        <w:t>D</w:t>
      </w:r>
      <w:r w:rsidRPr="005E089C">
        <w:rPr>
          <w:spacing w:val="-1"/>
        </w:rPr>
        <w:t>ir</w:t>
      </w:r>
      <w:r w:rsidRPr="00CE0885">
        <w:t>ec</w:t>
      </w:r>
      <w:r w:rsidRPr="005E089C">
        <w:rPr>
          <w:spacing w:val="-1"/>
        </w:rPr>
        <w:t>ti</w:t>
      </w:r>
      <w:r w:rsidRPr="00CE0885">
        <w:t>ons</w:t>
      </w:r>
      <w:r w:rsidRPr="005E089C">
        <w:rPr>
          <w:spacing w:val="7"/>
        </w:rPr>
        <w:t xml:space="preserve"> </w:t>
      </w:r>
      <w:r w:rsidR="00181308" w:rsidRPr="00CE0885">
        <w:t>20</w:t>
      </w:r>
      <w:r w:rsidR="00181308">
        <w:rPr>
          <w:spacing w:val="-2"/>
        </w:rPr>
        <w:t>21</w:t>
      </w:r>
      <w:r w:rsidRPr="009055A7">
        <w:rPr>
          <w:vertAlign w:val="superscript"/>
        </w:rPr>
        <w:footnoteReference w:id="20"/>
      </w:r>
      <w:r w:rsidRPr="009055A7">
        <w:t xml:space="preserve"> (SFE) set</w:t>
      </w:r>
      <w:r w:rsidR="00181308">
        <w:t>s</w:t>
      </w:r>
      <w:r w:rsidRPr="009055A7">
        <w:t xml:space="preserve"> out the provis</w:t>
      </w:r>
      <w:r w:rsidRPr="00CE0885">
        <w:t>ions, conditions and payments relating to reimbursement to GP practices for GP performers covering parental leave and sickness leave.</w:t>
      </w:r>
    </w:p>
    <w:p w14:paraId="2F9249B2" w14:textId="370960C1" w:rsidR="00867DFB" w:rsidRPr="005E089C" w:rsidRDefault="00867DFB" w:rsidP="005E089C">
      <w:pPr>
        <w:pStyle w:val="Heading3"/>
        <w:rPr>
          <w:rFonts w:eastAsia="MS Mincho"/>
        </w:rPr>
      </w:pPr>
      <w:r w:rsidRPr="00CE0885">
        <w:t xml:space="preserve">This protocol applies only to GMS practices but commissioners should ensure they treat Primary Medical Services (PMS) practices equitably. </w:t>
      </w:r>
      <w:r w:rsidRPr="005E089C">
        <w:rPr>
          <w:rFonts w:eastAsia="MS Mincho"/>
        </w:rPr>
        <w:t xml:space="preserve"> </w:t>
      </w:r>
    </w:p>
    <w:p w14:paraId="25097D97" w14:textId="2C0BC9F6" w:rsidR="00867DFB" w:rsidRPr="005E089C" w:rsidRDefault="00867DFB" w:rsidP="005E089C">
      <w:pPr>
        <w:pStyle w:val="Heading3"/>
        <w:rPr>
          <w:rFonts w:eastAsia="MS Mincho"/>
        </w:rPr>
      </w:pPr>
      <w:r w:rsidRPr="005E089C">
        <w:rPr>
          <w:rFonts w:eastAsia="MS Mincho"/>
        </w:rPr>
        <w:t>For the purposes of this protocol:</w:t>
      </w:r>
    </w:p>
    <w:p w14:paraId="7823E27E" w14:textId="5F8D68A5" w:rsidR="00867DFB" w:rsidRPr="00F466C6" w:rsidRDefault="00867DFB" w:rsidP="006C3DF5">
      <w:pPr>
        <w:pStyle w:val="BodyText"/>
        <w:numPr>
          <w:ilvl w:val="0"/>
          <w:numId w:val="103"/>
        </w:numPr>
        <w:rPr>
          <w:rFonts w:eastAsia="MS Mincho"/>
          <w:sz w:val="24"/>
          <w:szCs w:val="24"/>
        </w:rPr>
      </w:pPr>
      <w:r w:rsidRPr="00F466C6">
        <w:rPr>
          <w:rFonts w:eastAsia="MS Mincho"/>
          <w:sz w:val="24"/>
          <w:szCs w:val="24"/>
        </w:rPr>
        <w:t>“parental leave” means ordinary or additional maternity leave, paternity leave,  ordinary or additional adoption leave</w:t>
      </w:r>
      <w:r w:rsidR="00BE1D24">
        <w:rPr>
          <w:rFonts w:eastAsia="MS Mincho"/>
          <w:sz w:val="24"/>
          <w:szCs w:val="24"/>
        </w:rPr>
        <w:t>, or shared parental leave</w:t>
      </w:r>
    </w:p>
    <w:p w14:paraId="13B4F768" w14:textId="77777777" w:rsidR="00867DFB" w:rsidRPr="00F466C6" w:rsidRDefault="00867DFB" w:rsidP="006C3DF5">
      <w:pPr>
        <w:pStyle w:val="BodyText"/>
        <w:numPr>
          <w:ilvl w:val="0"/>
          <w:numId w:val="103"/>
        </w:numPr>
        <w:rPr>
          <w:rFonts w:eastAsia="MS Mincho"/>
          <w:sz w:val="24"/>
          <w:szCs w:val="24"/>
        </w:rPr>
      </w:pPr>
      <w:r w:rsidRPr="00F466C6">
        <w:rPr>
          <w:rFonts w:eastAsia="MS Mincho"/>
          <w:sz w:val="24"/>
          <w:szCs w:val="24"/>
        </w:rPr>
        <w:t xml:space="preserve">"full-time" means nine sessions of clinical work per working week;  </w:t>
      </w:r>
    </w:p>
    <w:p w14:paraId="20841F88" w14:textId="3D0AFDB8" w:rsidR="00867DFB" w:rsidRPr="00F466C6" w:rsidRDefault="00867DFB" w:rsidP="006C3DF5">
      <w:pPr>
        <w:pStyle w:val="BodyText"/>
        <w:numPr>
          <w:ilvl w:val="0"/>
          <w:numId w:val="103"/>
        </w:numPr>
        <w:rPr>
          <w:rFonts w:eastAsia="MS Mincho"/>
          <w:sz w:val="24"/>
          <w:szCs w:val="24"/>
        </w:rPr>
      </w:pPr>
      <w:r w:rsidRPr="00F466C6">
        <w:rPr>
          <w:rFonts w:eastAsia="MS Mincho"/>
          <w:sz w:val="24"/>
          <w:szCs w:val="24"/>
        </w:rPr>
        <w:t>“working week” is defined as the core hours set out in the National Health Service (GMS Contracts) Regulations</w:t>
      </w:r>
      <w:r w:rsidRPr="00F466C6">
        <w:rPr>
          <w:rFonts w:eastAsia="MS Mincho"/>
          <w:sz w:val="24"/>
          <w:szCs w:val="24"/>
          <w:vertAlign w:val="superscript"/>
        </w:rPr>
        <w:footnoteReference w:id="21"/>
      </w:r>
      <w:r w:rsidRPr="00F466C6">
        <w:rPr>
          <w:rFonts w:eastAsia="MS Mincho"/>
          <w:sz w:val="24"/>
          <w:szCs w:val="24"/>
        </w:rPr>
        <w:t>: “the period beginning at 8</w:t>
      </w:r>
      <w:r w:rsidR="0029050E">
        <w:rPr>
          <w:rFonts w:eastAsia="MS Mincho"/>
          <w:sz w:val="24"/>
          <w:szCs w:val="24"/>
        </w:rPr>
        <w:t xml:space="preserve">:00 </w:t>
      </w:r>
      <w:r w:rsidRPr="00F466C6">
        <w:rPr>
          <w:rFonts w:eastAsia="MS Mincho"/>
          <w:sz w:val="24"/>
          <w:szCs w:val="24"/>
        </w:rPr>
        <w:t>am and ending at 6.30</w:t>
      </w:r>
      <w:r w:rsidR="0029050E">
        <w:rPr>
          <w:rFonts w:eastAsia="MS Mincho"/>
          <w:sz w:val="24"/>
          <w:szCs w:val="24"/>
        </w:rPr>
        <w:t xml:space="preserve"> </w:t>
      </w:r>
      <w:r w:rsidRPr="00F466C6">
        <w:rPr>
          <w:rFonts w:eastAsia="MS Mincho"/>
          <w:sz w:val="24"/>
          <w:szCs w:val="24"/>
        </w:rPr>
        <w:t xml:space="preserve">pm on any day from Monday to Friday except Good Friday, Christmas Day or bank holidays”. </w:t>
      </w:r>
    </w:p>
    <w:p w14:paraId="07BA7A94" w14:textId="77777777" w:rsidR="00867DFB" w:rsidRPr="00CE0885" w:rsidRDefault="00867DFB" w:rsidP="00867DFB">
      <w:pPr>
        <w:spacing w:line="360" w:lineRule="auto"/>
        <w:rPr>
          <w:rFonts w:eastAsia="MS Mincho" w:cs="Arial"/>
        </w:rPr>
      </w:pPr>
    </w:p>
    <w:p w14:paraId="17FD2EE6" w14:textId="77777777" w:rsidR="00867DFB" w:rsidRPr="00CE0885" w:rsidRDefault="00867DFB" w:rsidP="005E089C">
      <w:pPr>
        <w:pStyle w:val="Heading3"/>
        <w:rPr>
          <w:rFonts w:eastAsia="MS Mincho"/>
        </w:rPr>
      </w:pPr>
      <w:r w:rsidRPr="00CE0885">
        <w:rPr>
          <w:rFonts w:eastAsia="MS Mincho"/>
        </w:rPr>
        <w:t xml:space="preserve">The commissioner will not make payments in respect of locum or GP performer cover outside of core hours. </w:t>
      </w:r>
    </w:p>
    <w:p w14:paraId="66FCEAB2" w14:textId="77777777" w:rsidR="00867DFB" w:rsidRPr="00CE0885" w:rsidRDefault="00867DFB" w:rsidP="00867DFB">
      <w:pPr>
        <w:spacing w:line="360" w:lineRule="auto"/>
        <w:rPr>
          <w:rFonts w:eastAsia="MS Mincho" w:cs="Arial"/>
        </w:rPr>
      </w:pPr>
    </w:p>
    <w:p w14:paraId="0FC490E6" w14:textId="77777777" w:rsidR="00867DFB" w:rsidRPr="00CE0885" w:rsidRDefault="00867DFB" w:rsidP="00855999">
      <w:pPr>
        <w:pStyle w:val="Heading2"/>
      </w:pPr>
      <w:bookmarkStart w:id="2538" w:name="_Toc95743581"/>
      <w:r w:rsidRPr="00CE0885">
        <w:t>Parental and sickness leave payments</w:t>
      </w:r>
      <w:bookmarkEnd w:id="2538"/>
    </w:p>
    <w:p w14:paraId="02F7800E" w14:textId="77777777" w:rsidR="00867DFB" w:rsidRPr="009055A7" w:rsidRDefault="00867DFB" w:rsidP="00867DFB">
      <w:pPr>
        <w:spacing w:line="360" w:lineRule="auto"/>
        <w:jc w:val="both"/>
        <w:rPr>
          <w:rFonts w:cs="Arial"/>
          <w:iCs/>
          <w:szCs w:val="24"/>
        </w:rPr>
      </w:pPr>
    </w:p>
    <w:p w14:paraId="2F5EC4D5" w14:textId="43CCEE7E" w:rsidR="00867DFB" w:rsidRPr="00CE0885" w:rsidRDefault="00867DFB" w:rsidP="005E089C">
      <w:pPr>
        <w:pStyle w:val="Heading3"/>
      </w:pPr>
      <w:r w:rsidRPr="00CE0885">
        <w:t>GP practices are entitled to claim reimbursement of the cost for providing GP performer cover when a GP performer is on parental leave or on sickness leave</w:t>
      </w:r>
      <w:r w:rsidRPr="009055A7">
        <w:rPr>
          <w:vertAlign w:val="superscript"/>
        </w:rPr>
        <w:footnoteReference w:id="22"/>
      </w:r>
      <w:r w:rsidRPr="009055A7">
        <w:t xml:space="preserve">. </w:t>
      </w:r>
    </w:p>
    <w:p w14:paraId="61B1F76B" w14:textId="77777777" w:rsidR="00867DFB" w:rsidRPr="00CE0885" w:rsidRDefault="00867DFB" w:rsidP="005E089C">
      <w:pPr>
        <w:pStyle w:val="Heading3"/>
      </w:pPr>
      <w:r w:rsidRPr="00CE0885">
        <w:t>The reimbursement of costs can be claimed where the cover is provided by:</w:t>
      </w:r>
    </w:p>
    <w:p w14:paraId="036DAE20" w14:textId="77777777" w:rsidR="00867DFB" w:rsidRPr="00CE0885" w:rsidRDefault="00867DFB" w:rsidP="00867DFB">
      <w:pPr>
        <w:spacing w:line="360" w:lineRule="auto"/>
        <w:ind w:left="360"/>
        <w:contextualSpacing/>
        <w:jc w:val="both"/>
        <w:rPr>
          <w:rFonts w:cs="Arial"/>
          <w:iCs/>
          <w:szCs w:val="24"/>
        </w:rPr>
      </w:pPr>
    </w:p>
    <w:p w14:paraId="21BDA478" w14:textId="15BF93A3" w:rsidR="00867DFB" w:rsidRDefault="00867DFB" w:rsidP="00825050">
      <w:pPr>
        <w:numPr>
          <w:ilvl w:val="0"/>
          <w:numId w:val="56"/>
        </w:numPr>
        <w:spacing w:line="360" w:lineRule="auto"/>
        <w:ind w:left="851"/>
        <w:contextualSpacing/>
        <w:rPr>
          <w:rFonts w:cs="Arial"/>
          <w:iCs/>
          <w:szCs w:val="24"/>
        </w:rPr>
      </w:pPr>
      <w:r w:rsidRPr="00CE0885">
        <w:rPr>
          <w:rFonts w:cs="Arial"/>
          <w:iCs/>
          <w:szCs w:val="24"/>
        </w:rPr>
        <w:t xml:space="preserve">a locum </w:t>
      </w:r>
    </w:p>
    <w:p w14:paraId="718F9DCB" w14:textId="2EA46ED7" w:rsidR="00BE1D24" w:rsidRPr="00CE0885" w:rsidRDefault="00BE1D24" w:rsidP="00825050">
      <w:pPr>
        <w:numPr>
          <w:ilvl w:val="0"/>
          <w:numId w:val="56"/>
        </w:numPr>
        <w:spacing w:line="360" w:lineRule="auto"/>
        <w:ind w:left="851"/>
        <w:contextualSpacing/>
        <w:rPr>
          <w:rFonts w:cs="Arial"/>
          <w:iCs/>
          <w:szCs w:val="24"/>
        </w:rPr>
      </w:pPr>
      <w:r>
        <w:rPr>
          <w:rFonts w:cs="Arial"/>
          <w:iCs/>
          <w:szCs w:val="24"/>
        </w:rPr>
        <w:t>a salaried GP on a fixed term contract</w:t>
      </w:r>
    </w:p>
    <w:p w14:paraId="035B54D5" w14:textId="77777777" w:rsidR="00867DFB" w:rsidRPr="00CE0885" w:rsidRDefault="00867DFB" w:rsidP="00825050">
      <w:pPr>
        <w:numPr>
          <w:ilvl w:val="0"/>
          <w:numId w:val="56"/>
        </w:numPr>
        <w:spacing w:line="360" w:lineRule="auto"/>
        <w:ind w:left="851"/>
        <w:contextualSpacing/>
        <w:rPr>
          <w:rFonts w:cs="Arial"/>
          <w:iCs/>
          <w:szCs w:val="24"/>
        </w:rPr>
      </w:pPr>
      <w:r w:rsidRPr="00CE0885">
        <w:rPr>
          <w:rFonts w:cs="Arial"/>
          <w:iCs/>
          <w:szCs w:val="24"/>
        </w:rPr>
        <w:t>a GP already working in the practice but who is not full-time (either employed or a partner)</w:t>
      </w:r>
    </w:p>
    <w:p w14:paraId="61D21C8F" w14:textId="77777777" w:rsidR="00867DFB" w:rsidRPr="00CE0885" w:rsidRDefault="00867DFB" w:rsidP="00867DFB">
      <w:pPr>
        <w:spacing w:line="360" w:lineRule="auto"/>
        <w:ind w:left="851"/>
        <w:contextualSpacing/>
        <w:rPr>
          <w:rFonts w:cs="Arial"/>
          <w:iCs/>
          <w:szCs w:val="24"/>
        </w:rPr>
      </w:pPr>
    </w:p>
    <w:p w14:paraId="60D7DB01" w14:textId="1F1E9B83" w:rsidR="00867DFB" w:rsidRPr="00CE0885" w:rsidRDefault="00867DFB" w:rsidP="005E089C">
      <w:pPr>
        <w:pStyle w:val="Heading3"/>
      </w:pPr>
      <w:r w:rsidRPr="00CE0885">
        <w:t>Payments will not be made on a pro-rata basis having regard to the absent performer’s working pattern, and will be the lower of actual invoiced costs or maximum amount.</w:t>
      </w:r>
    </w:p>
    <w:p w14:paraId="2D02357F" w14:textId="7269D4AE" w:rsidR="00867DFB" w:rsidRDefault="00867DFB" w:rsidP="00867DFB">
      <w:pPr>
        <w:pStyle w:val="Heading3"/>
        <w:contextualSpacing/>
        <w:jc w:val="both"/>
      </w:pPr>
      <w:r w:rsidRPr="00CE0885">
        <w:t>The SFE sets out the maximum amount of reimbursement for a GP performer providing cover as follows</w:t>
      </w:r>
      <w:r w:rsidR="0011715C">
        <w:rPr>
          <w:rStyle w:val="FootnoteReference"/>
        </w:rPr>
        <w:footnoteReference w:id="23"/>
      </w:r>
      <w:r w:rsidRPr="00CE0885">
        <w:t xml:space="preserve">. </w:t>
      </w:r>
    </w:p>
    <w:p w14:paraId="6C3F49A4" w14:textId="77777777" w:rsidR="005E089C" w:rsidRPr="005E089C" w:rsidRDefault="005E089C" w:rsidP="005E089C"/>
    <w:p w14:paraId="32A252A9" w14:textId="77777777" w:rsidR="00867DFB" w:rsidRPr="00CE0885" w:rsidRDefault="00867DFB" w:rsidP="00855999">
      <w:pPr>
        <w:pStyle w:val="Heading2"/>
      </w:pPr>
      <w:bookmarkStart w:id="2539" w:name="_Toc95743582"/>
      <w:bookmarkStart w:id="2540" w:name="_Hlk2580459"/>
      <w:r w:rsidRPr="00CE0885">
        <w:t>Parental leave</w:t>
      </w:r>
      <w:bookmarkEnd w:id="2539"/>
    </w:p>
    <w:p w14:paraId="1849E0D5" w14:textId="77777777" w:rsidR="00867DFB" w:rsidRPr="009055A7" w:rsidRDefault="00867DFB" w:rsidP="00867DFB">
      <w:pPr>
        <w:spacing w:line="360" w:lineRule="auto"/>
        <w:ind w:left="1080"/>
        <w:contextualSpacing/>
        <w:rPr>
          <w:rFonts w:cs="Arial"/>
          <w:iCs/>
          <w:szCs w:val="24"/>
        </w:rPr>
      </w:pPr>
    </w:p>
    <w:p w14:paraId="58F549AC" w14:textId="367F23DA" w:rsidR="00867DFB" w:rsidRDefault="00867DFB" w:rsidP="005E089C">
      <w:pPr>
        <w:pStyle w:val="Heading3"/>
      </w:pPr>
      <w:r w:rsidRPr="005E089C">
        <w:rPr>
          <w:iCs/>
          <w:szCs w:val="24"/>
        </w:rPr>
        <w:t>In respect of maternity leave or adoption leave where the GP performer going</w:t>
      </w:r>
      <w:r w:rsidRPr="00CE0885">
        <w:t xml:space="preserve"> on leave is the main care provider</w:t>
      </w:r>
      <w:r w:rsidRPr="005E089C">
        <w:rPr>
          <w:iCs/>
          <w:szCs w:val="24"/>
        </w:rPr>
        <w:t xml:space="preserve">, </w:t>
      </w:r>
      <w:r w:rsidR="00BE1D24">
        <w:rPr>
          <w:iCs/>
          <w:szCs w:val="24"/>
        </w:rPr>
        <w:t xml:space="preserve">or shared parental leave, </w:t>
      </w:r>
      <w:r w:rsidRPr="005E089C">
        <w:rPr>
          <w:iCs/>
          <w:szCs w:val="24"/>
        </w:rPr>
        <w:t xml:space="preserve">the maximum amount payable is </w:t>
      </w:r>
      <w:r w:rsidRPr="00CE0885">
        <w:t>£1,1</w:t>
      </w:r>
      <w:r w:rsidR="00BE1D24">
        <w:t>4</w:t>
      </w:r>
      <w:r w:rsidRPr="00CE0885">
        <w:t>3.</w:t>
      </w:r>
      <w:r w:rsidR="00BE1D24">
        <w:t>06</w:t>
      </w:r>
      <w:r w:rsidRPr="00CE0885">
        <w:t xml:space="preserve"> per week for each of the first two weeks and then £1,7</w:t>
      </w:r>
      <w:r w:rsidR="0011715C">
        <w:t>51.52</w:t>
      </w:r>
      <w:r w:rsidRPr="00CE0885">
        <w:t xml:space="preserve"> per week for each of weeks 3 to 26</w:t>
      </w:r>
      <w:r w:rsidR="0011715C">
        <w:rPr>
          <w:rStyle w:val="FootnoteReference"/>
        </w:rPr>
        <w:footnoteReference w:id="24"/>
      </w:r>
      <w:r w:rsidRPr="00CE0885">
        <w:t>.</w:t>
      </w:r>
    </w:p>
    <w:p w14:paraId="36461545" w14:textId="53257C97" w:rsidR="0011715C" w:rsidRPr="0011715C" w:rsidRDefault="0011715C" w:rsidP="0011715C">
      <w:pPr>
        <w:pStyle w:val="Heading3"/>
        <w:rPr>
          <w:iCs/>
          <w:szCs w:val="24"/>
        </w:rPr>
      </w:pPr>
      <w:r w:rsidRPr="0011715C">
        <w:rPr>
          <w:iCs/>
          <w:szCs w:val="24"/>
        </w:rPr>
        <w:t>Commissioners should reimburse shared parental leave in the same way as maternity leave. It will be for the practice to demonstrate that a GP performer is eli</w:t>
      </w:r>
      <w:r>
        <w:rPr>
          <w:iCs/>
          <w:szCs w:val="24"/>
        </w:rPr>
        <w:t>gible for shared parental leave</w:t>
      </w:r>
      <w:r>
        <w:rPr>
          <w:rStyle w:val="FootnoteReference"/>
          <w:iCs/>
          <w:szCs w:val="24"/>
        </w:rPr>
        <w:footnoteReference w:id="25"/>
      </w:r>
      <w:r w:rsidR="00981CFC">
        <w:rPr>
          <w:iCs/>
          <w:szCs w:val="24"/>
        </w:rPr>
        <w:t xml:space="preserve"> </w:t>
      </w:r>
      <w:r w:rsidRPr="0011715C">
        <w:rPr>
          <w:iCs/>
          <w:szCs w:val="24"/>
        </w:rPr>
        <w:t xml:space="preserve">either under statute (for salaried GPs) or under the terms of a partnership agreement. A sample declaration of eligibility is at Annex B.  </w:t>
      </w:r>
    </w:p>
    <w:p w14:paraId="55184325" w14:textId="2BEDD989" w:rsidR="00867DFB" w:rsidRPr="00CE0885" w:rsidRDefault="00867DFB" w:rsidP="005E089C">
      <w:pPr>
        <w:pStyle w:val="Heading3"/>
      </w:pPr>
      <w:r w:rsidRPr="00CE0885">
        <w:t>In respect of paternity leave or special leave (which is equivalent to the terms and duration of paternity leave) where the GP performer going on leave is not the main care provider, the maximum amount payable is £1,1</w:t>
      </w:r>
      <w:r w:rsidR="0011715C">
        <w:t>43</w:t>
      </w:r>
      <w:r w:rsidRPr="00CE0885">
        <w:t>.</w:t>
      </w:r>
      <w:r w:rsidR="0011715C">
        <w:t>06</w:t>
      </w:r>
      <w:r w:rsidRPr="00CE0885">
        <w:t xml:space="preserve"> per week for each of the first two weeks.</w:t>
      </w:r>
    </w:p>
    <w:p w14:paraId="7E06C70D" w14:textId="650F43D8" w:rsidR="00027CB6" w:rsidRDefault="00027CB6" w:rsidP="00867DFB">
      <w:pPr>
        <w:spacing w:line="360" w:lineRule="auto"/>
        <w:ind w:left="720"/>
        <w:contextualSpacing/>
        <w:jc w:val="both"/>
        <w:rPr>
          <w:rFonts w:cs="Arial"/>
          <w:b/>
          <w:iCs/>
          <w:szCs w:val="24"/>
        </w:rPr>
      </w:pPr>
    </w:p>
    <w:p w14:paraId="62BDC286" w14:textId="77777777" w:rsidR="00867DFB" w:rsidRPr="00CE0885" w:rsidRDefault="00867DFB" w:rsidP="00855999">
      <w:pPr>
        <w:pStyle w:val="Heading2"/>
      </w:pPr>
      <w:bookmarkStart w:id="2541" w:name="_Toc95743583"/>
      <w:r w:rsidRPr="00CE0885">
        <w:t>Sickness leave</w:t>
      </w:r>
      <w:bookmarkEnd w:id="2541"/>
    </w:p>
    <w:p w14:paraId="24DC7EED" w14:textId="77777777" w:rsidR="00867DFB" w:rsidRPr="009055A7" w:rsidRDefault="00867DFB" w:rsidP="00867DFB">
      <w:pPr>
        <w:spacing w:line="360" w:lineRule="auto"/>
        <w:ind w:left="360"/>
        <w:contextualSpacing/>
        <w:rPr>
          <w:rFonts w:cs="Arial"/>
          <w:b/>
          <w:iCs/>
          <w:szCs w:val="24"/>
        </w:rPr>
      </w:pPr>
    </w:p>
    <w:p w14:paraId="60857B9B" w14:textId="5EBF291F" w:rsidR="00867DFB" w:rsidRPr="00CE0885" w:rsidRDefault="00867DFB" w:rsidP="005E089C">
      <w:pPr>
        <w:pStyle w:val="Heading3"/>
      </w:pPr>
      <w:r w:rsidRPr="00CE0885">
        <w:t xml:space="preserve">In respect of sickness leave, for each period of sickness </w:t>
      </w:r>
      <w:r w:rsidR="0011715C">
        <w:t>leave</w:t>
      </w:r>
      <w:r w:rsidRPr="00CE0885">
        <w:t xml:space="preserve">, there is a qualifying period of two weeks during which time no payments are made.  </w:t>
      </w:r>
    </w:p>
    <w:p w14:paraId="6F4EB19B" w14:textId="01D139A4" w:rsidR="00867DFB" w:rsidRPr="00CE0885" w:rsidRDefault="00867DFB" w:rsidP="005E089C">
      <w:pPr>
        <w:pStyle w:val="Heading3"/>
      </w:pPr>
      <w:r w:rsidRPr="00CE0885">
        <w:t>After two weeks, payments start and the maximum amount payable is £1,7</w:t>
      </w:r>
      <w:r w:rsidR="0011715C">
        <w:t>51.52</w:t>
      </w:r>
      <w:r w:rsidRPr="00CE0885">
        <w:t xml:space="preserve"> per week for each of weeks 3 to 28. Thereafter, the maximum amount payable is £8</w:t>
      </w:r>
      <w:r w:rsidR="0011715C">
        <w:t>75</w:t>
      </w:r>
      <w:r w:rsidRPr="00CE0885">
        <w:t>.</w:t>
      </w:r>
      <w:r w:rsidR="0011715C">
        <w:t>76</w:t>
      </w:r>
      <w:r w:rsidRPr="00CE0885">
        <w:t xml:space="preserve"> per week for each of weeks 29 to 54</w:t>
      </w:r>
      <w:r w:rsidR="0011715C">
        <w:rPr>
          <w:rStyle w:val="FootnoteReference"/>
        </w:rPr>
        <w:footnoteReference w:id="26"/>
      </w:r>
      <w:r w:rsidRPr="00CE0885">
        <w:t>.</w:t>
      </w:r>
    </w:p>
    <w:bookmarkEnd w:id="2540"/>
    <w:p w14:paraId="3900894F" w14:textId="4BD1B289" w:rsidR="00867DFB" w:rsidRDefault="00867DFB" w:rsidP="005E089C">
      <w:pPr>
        <w:pStyle w:val="Heading3"/>
      </w:pPr>
      <w:r w:rsidRPr="00CE0885">
        <w:t xml:space="preserve">As set out in the SFE, for weeks 29 to 54 the commissioner will pay half of whatever it determined was payable for weeks 3 to 28. The SFE also sets out a methodology for calculating these periods with respect to any payments made in the previous 52 weeks and that methodology continues to apply. </w:t>
      </w:r>
    </w:p>
    <w:p w14:paraId="46BB113A" w14:textId="77777777" w:rsidR="0011715C" w:rsidRPr="0011715C" w:rsidRDefault="0011715C" w:rsidP="00A553BA"/>
    <w:p w14:paraId="5DE1C756" w14:textId="77777777" w:rsidR="0011715C" w:rsidRPr="0011715C" w:rsidRDefault="0011715C" w:rsidP="00A553BA">
      <w:pPr>
        <w:pStyle w:val="Heading2"/>
      </w:pPr>
      <w:bookmarkStart w:id="2542" w:name="_Toc95743584"/>
      <w:r w:rsidRPr="0011715C">
        <w:t>Sickness leave and phased return to work</w:t>
      </w:r>
      <w:bookmarkEnd w:id="2542"/>
      <w:r w:rsidRPr="0011715C">
        <w:t xml:space="preserve"> </w:t>
      </w:r>
    </w:p>
    <w:p w14:paraId="39A91D10" w14:textId="77777777" w:rsidR="0011715C" w:rsidRPr="0011715C" w:rsidRDefault="0011715C" w:rsidP="0011715C">
      <w:pPr>
        <w:spacing w:line="360" w:lineRule="auto"/>
        <w:ind w:left="360"/>
        <w:contextualSpacing/>
        <w:rPr>
          <w:rFonts w:cs="Arial"/>
          <w:iCs/>
          <w:szCs w:val="24"/>
        </w:rPr>
      </w:pPr>
    </w:p>
    <w:p w14:paraId="71776EC3" w14:textId="731D2A35" w:rsidR="0011715C" w:rsidRPr="0011715C" w:rsidRDefault="0011715C" w:rsidP="00A553BA">
      <w:pPr>
        <w:pStyle w:val="Heading3"/>
      </w:pPr>
      <w:r w:rsidRPr="0011715C">
        <w:t xml:space="preserve">Commissioners support the safe return to work of GP performers and recognise that GP practices exercise flexibility in managing sickness absence (where GP performers under a Fit Note are declared they may be fit to work, subject to advice and agreement on phased return or adjusted hours). The Fit Note in such cases is continuing to declare sickness absence for the period, subject to and excluding any agreed working arrangements. For example, if a GP performer is advised they may be fit to work 2 days out of 5 for two weeks – then the other 3 days in each week for that period remain as sickness absence. </w:t>
      </w:r>
    </w:p>
    <w:p w14:paraId="0DE11F76" w14:textId="77777777" w:rsidR="0011715C" w:rsidRPr="009A7101" w:rsidRDefault="0011715C" w:rsidP="00A553BA"/>
    <w:p w14:paraId="1080A5A5" w14:textId="3A71CEAE" w:rsidR="0011715C" w:rsidRPr="0011715C" w:rsidRDefault="0011715C" w:rsidP="00A553BA">
      <w:pPr>
        <w:pStyle w:val="Heading3"/>
      </w:pPr>
      <w:r w:rsidRPr="0011715C">
        <w:t>Payment in respect of necessary cover for this sickness absence under a Fit Note advising phased return or adjusted hours may however be mandatory or discretionary, subject to the requirements of the SFE being met.</w:t>
      </w:r>
    </w:p>
    <w:p w14:paraId="325F7220" w14:textId="77777777" w:rsidR="0011715C" w:rsidRPr="009A7101" w:rsidRDefault="0011715C" w:rsidP="00A553BA"/>
    <w:p w14:paraId="12A9FE89" w14:textId="129DB7EB" w:rsidR="0011715C" w:rsidRPr="0011715C" w:rsidRDefault="0011715C" w:rsidP="00A553BA">
      <w:pPr>
        <w:pStyle w:val="Heading3"/>
      </w:pPr>
      <w:r w:rsidRPr="0011715C">
        <w:t>In respect of GP performer who is a partner, the SFE makes no distinction on sickness leave, meaning paragraph 1</w:t>
      </w:r>
      <w:r w:rsidR="000E5B9A">
        <w:t>0</w:t>
      </w:r>
      <w:r w:rsidRPr="0011715C">
        <w:t xml:space="preserve">.3 of the SFE applies whether a GP partner is under a Fit Note declaring they are unfit to work, or may be fit to work subject to advice given on phased return or adjusted hours. Mandatory provision for payment therefore applies and commissioners should continue to reimburse locum cover covers costs as per paragraph 11 above. </w:t>
      </w:r>
    </w:p>
    <w:p w14:paraId="1E967722" w14:textId="77777777" w:rsidR="0011715C" w:rsidRPr="009A7101" w:rsidRDefault="0011715C" w:rsidP="00A553BA"/>
    <w:p w14:paraId="0D651105" w14:textId="47A57E46" w:rsidR="0011715C" w:rsidRPr="0011715C" w:rsidRDefault="0011715C" w:rsidP="00A553BA">
      <w:pPr>
        <w:pStyle w:val="Heading3"/>
      </w:pPr>
      <w:r w:rsidRPr="0011715C">
        <w:t>In respect of GP performer who is an employee, the SFE applies further requirements at paragraph 1</w:t>
      </w:r>
      <w:r w:rsidR="000E5B9A">
        <w:t>0</w:t>
      </w:r>
      <w:r w:rsidRPr="0011715C">
        <w:t xml:space="preserve">.3 to qualify for payment – which is that the contractor is required to pay the GP performer Statutory Sick Pay (SSP) or their full salary during sickness leave under their contract of employment. </w:t>
      </w:r>
    </w:p>
    <w:p w14:paraId="794AB319" w14:textId="77777777" w:rsidR="0011715C" w:rsidRPr="009A7101" w:rsidRDefault="0011715C" w:rsidP="00A553BA"/>
    <w:p w14:paraId="41C5AE75" w14:textId="14909E5C" w:rsidR="0011715C" w:rsidRPr="0011715C" w:rsidRDefault="0011715C" w:rsidP="00A553BA">
      <w:pPr>
        <w:pStyle w:val="Heading3"/>
      </w:pPr>
      <w:r w:rsidRPr="0011715C">
        <w:t xml:space="preserve">A phased return or adjusted hours arrangement may interfere with a contractor meeting these requirements – SSP is subject to forming a period of incapacity to work of 4 consecutive days. Where these requirements are not met, payment to reimburse any locum cover costs would be discretionary (see </w:t>
      </w:r>
      <w:r w:rsidR="00BD047B">
        <w:t>section 2.8</w:t>
      </w:r>
      <w:r w:rsidRPr="0011715C">
        <w:t xml:space="preserve">). </w:t>
      </w:r>
    </w:p>
    <w:p w14:paraId="57C29964" w14:textId="77777777" w:rsidR="0011715C" w:rsidRPr="009A7101" w:rsidRDefault="0011715C" w:rsidP="00A553BA"/>
    <w:p w14:paraId="64A07B3B" w14:textId="1D235CA0" w:rsidR="00867DFB" w:rsidRPr="0011715C" w:rsidRDefault="0011715C" w:rsidP="00A553BA">
      <w:pPr>
        <w:pStyle w:val="Heading3"/>
      </w:pPr>
      <w:r w:rsidRPr="0011715C">
        <w:t xml:space="preserve">Where these requirements continue to be met under a phased or adjusted hours arrangement commissioners should continue to reimburse locum cover costs as per paragraph </w:t>
      </w:r>
      <w:r>
        <w:t>2.4.1</w:t>
      </w:r>
      <w:r w:rsidRPr="0011715C">
        <w:t xml:space="preserve"> above.</w:t>
      </w:r>
    </w:p>
    <w:p w14:paraId="041019A0" w14:textId="77777777" w:rsidR="0011715C" w:rsidRPr="00CE0885" w:rsidRDefault="0011715C" w:rsidP="0011715C">
      <w:pPr>
        <w:spacing w:line="360" w:lineRule="auto"/>
        <w:ind w:left="360"/>
        <w:contextualSpacing/>
        <w:rPr>
          <w:rFonts w:cs="Arial"/>
          <w:iCs/>
          <w:szCs w:val="24"/>
        </w:rPr>
      </w:pPr>
    </w:p>
    <w:p w14:paraId="7BA476F9" w14:textId="77777777" w:rsidR="00867DFB" w:rsidRPr="00CE0885" w:rsidRDefault="00867DFB" w:rsidP="00855999">
      <w:pPr>
        <w:pStyle w:val="Heading2"/>
      </w:pPr>
      <w:bookmarkStart w:id="2543" w:name="_Toc95743585"/>
      <w:r w:rsidRPr="00CE0885">
        <w:t>Further discretionary payments</w:t>
      </w:r>
      <w:bookmarkEnd w:id="2543"/>
    </w:p>
    <w:p w14:paraId="6F7527EA" w14:textId="426263D8" w:rsidR="00867DFB" w:rsidRPr="00CE0885" w:rsidRDefault="00867DFB" w:rsidP="005E089C">
      <w:pPr>
        <w:pStyle w:val="Heading3"/>
        <w:rPr>
          <w:rFonts w:eastAsia="MS Mincho"/>
        </w:rPr>
      </w:pPr>
      <w:r w:rsidRPr="009055A7">
        <w:rPr>
          <w:rFonts w:eastAsia="MS Mincho"/>
        </w:rPr>
        <w:t xml:space="preserve">This protocol details (as required under </w:t>
      </w:r>
      <w:r w:rsidR="000E5B9A">
        <w:rPr>
          <w:rFonts w:eastAsia="MS Mincho"/>
        </w:rPr>
        <w:t xml:space="preserve">Part 6 </w:t>
      </w:r>
      <w:r w:rsidRPr="009055A7">
        <w:rPr>
          <w:rFonts w:eastAsia="MS Mincho"/>
        </w:rPr>
        <w:t xml:space="preserve">paragraph </w:t>
      </w:r>
      <w:r w:rsidR="000E5B9A">
        <w:rPr>
          <w:rFonts w:eastAsia="MS Mincho"/>
        </w:rPr>
        <w:t>13</w:t>
      </w:r>
      <w:r w:rsidRPr="009055A7">
        <w:rPr>
          <w:rFonts w:eastAsia="MS Mincho"/>
        </w:rPr>
        <w:t xml:space="preserve">of the SFE) a </w:t>
      </w:r>
      <w:r w:rsidRPr="00CE0885">
        <w:rPr>
          <w:rFonts w:eastAsia="MS Mincho"/>
        </w:rPr>
        <w:t xml:space="preserve">number of policies the commissioner is obliged to set out: </w:t>
      </w:r>
    </w:p>
    <w:p w14:paraId="7C8926C7" w14:textId="77777777" w:rsidR="00867DFB" w:rsidRPr="00CE0885" w:rsidRDefault="00867DFB" w:rsidP="00867DFB">
      <w:pPr>
        <w:spacing w:line="360" w:lineRule="auto"/>
        <w:rPr>
          <w:rFonts w:eastAsia="MS Mincho" w:cs="Arial"/>
        </w:rPr>
      </w:pPr>
    </w:p>
    <w:p w14:paraId="34A19A5A" w14:textId="266BDB0D" w:rsidR="00867DFB" w:rsidRPr="00CE0885" w:rsidRDefault="00867DFB" w:rsidP="00825050">
      <w:pPr>
        <w:numPr>
          <w:ilvl w:val="0"/>
          <w:numId w:val="57"/>
        </w:numPr>
        <w:spacing w:line="360" w:lineRule="auto"/>
        <w:ind w:left="851"/>
        <w:contextualSpacing/>
        <w:rPr>
          <w:rFonts w:eastAsia="MS Mincho" w:cs="Arial"/>
          <w:szCs w:val="24"/>
        </w:rPr>
      </w:pPr>
      <w:r w:rsidRPr="00CE0885">
        <w:rPr>
          <w:rFonts w:eastAsia="MS Mincho" w:cs="Arial"/>
          <w:szCs w:val="24"/>
        </w:rPr>
        <w:t>how the commissioner is likely to exercise its discretionary powers to make payments (including top-up payments) in respect of locum cover for parental or sickness leave, where it is not obliged to make such payments;</w:t>
      </w:r>
    </w:p>
    <w:p w14:paraId="36AB447D" w14:textId="3E8D03B7" w:rsidR="00867DFB" w:rsidRPr="00CE0885" w:rsidRDefault="00867DFB" w:rsidP="00825050">
      <w:pPr>
        <w:numPr>
          <w:ilvl w:val="0"/>
          <w:numId w:val="57"/>
        </w:numPr>
        <w:spacing w:line="360" w:lineRule="auto"/>
        <w:ind w:left="851"/>
        <w:contextualSpacing/>
        <w:rPr>
          <w:rFonts w:eastAsia="MS Mincho" w:cs="Arial"/>
          <w:szCs w:val="24"/>
        </w:rPr>
      </w:pPr>
      <w:r w:rsidRPr="00CE0885">
        <w:rPr>
          <w:rFonts w:eastAsia="MS Mincho" w:cs="Arial"/>
          <w:szCs w:val="24"/>
        </w:rPr>
        <w:t xml:space="preserve">where the commissioner is obliged to make payments in respect of cover for parental or sickness leave pursuant to Part 4 of the SFE, the circumstances in which it is likely to make payments of less than the maximum amount payable; </w:t>
      </w:r>
    </w:p>
    <w:p w14:paraId="636F486C" w14:textId="0674C745" w:rsidR="00867DFB" w:rsidRPr="00CE0885" w:rsidRDefault="00867DFB" w:rsidP="00825050">
      <w:pPr>
        <w:numPr>
          <w:ilvl w:val="0"/>
          <w:numId w:val="57"/>
        </w:numPr>
        <w:spacing w:line="360" w:lineRule="auto"/>
        <w:ind w:left="851"/>
        <w:contextualSpacing/>
        <w:rPr>
          <w:rFonts w:eastAsia="MS Mincho" w:cs="Arial"/>
          <w:szCs w:val="24"/>
        </w:rPr>
      </w:pPr>
      <w:r w:rsidRPr="00CE0885">
        <w:rPr>
          <w:rFonts w:eastAsia="MS Mincho" w:cs="Arial"/>
          <w:szCs w:val="24"/>
        </w:rPr>
        <w:t>how the commissioner is likely to exercise its discretionary powers to make payments in respect of cover for absent GP performers, which is provided by nurses or other health care professionals;</w:t>
      </w:r>
    </w:p>
    <w:p w14:paraId="3F3A4F58" w14:textId="3CECBFF5" w:rsidR="00867DFB" w:rsidRPr="00CE0885" w:rsidRDefault="00867DFB" w:rsidP="00825050">
      <w:pPr>
        <w:numPr>
          <w:ilvl w:val="0"/>
          <w:numId w:val="57"/>
        </w:numPr>
        <w:spacing w:line="360" w:lineRule="auto"/>
        <w:ind w:left="851"/>
        <w:contextualSpacing/>
        <w:rPr>
          <w:rFonts w:eastAsia="MS Mincho" w:cs="Arial"/>
          <w:szCs w:val="24"/>
        </w:rPr>
      </w:pPr>
      <w:r w:rsidRPr="00CE0885">
        <w:rPr>
          <w:rFonts w:cs="Arial"/>
        </w:rPr>
        <w:t xml:space="preserve">how the commissioner is likely to exercise its discretionary powers to make payments to a partner or employee who is providing locum cover </w:t>
      </w:r>
    </w:p>
    <w:p w14:paraId="3B02C354" w14:textId="62E905A2" w:rsidR="00867DFB" w:rsidRPr="005E089C" w:rsidRDefault="00867DFB" w:rsidP="00825050">
      <w:pPr>
        <w:numPr>
          <w:ilvl w:val="0"/>
          <w:numId w:val="57"/>
        </w:numPr>
        <w:spacing w:line="360" w:lineRule="auto"/>
        <w:ind w:left="851"/>
        <w:contextualSpacing/>
        <w:rPr>
          <w:rFonts w:eastAsia="MS Mincho" w:cs="Arial"/>
          <w:szCs w:val="24"/>
        </w:rPr>
      </w:pPr>
      <w:r w:rsidRPr="00CE0885">
        <w:rPr>
          <w:rFonts w:cs="Arial"/>
        </w:rPr>
        <w:t xml:space="preserve">how the commissioner is likely to use its discretionary powers to make payments in respect of long term sickness </w:t>
      </w:r>
      <w:r w:rsidR="00CF5777">
        <w:rPr>
          <w:rFonts w:cs="Arial"/>
        </w:rPr>
        <w:t>leave</w:t>
      </w:r>
      <w:r w:rsidR="00CF5777" w:rsidRPr="00CE0885">
        <w:rPr>
          <w:rFonts w:cs="Arial"/>
        </w:rPr>
        <w:t xml:space="preserve"> </w:t>
      </w:r>
      <w:r w:rsidRPr="00CE0885">
        <w:rPr>
          <w:rFonts w:cs="Arial"/>
        </w:rPr>
        <w:t>exceeding 52 weeks</w:t>
      </w:r>
      <w:r w:rsidR="00DC4089">
        <w:rPr>
          <w:rFonts w:cs="Arial"/>
        </w:rPr>
        <w:t>.</w:t>
      </w:r>
    </w:p>
    <w:p w14:paraId="1B4E0847" w14:textId="093A7061" w:rsidR="006E22ED" w:rsidRDefault="000E5B9A" w:rsidP="005E089C">
      <w:pPr>
        <w:spacing w:line="360" w:lineRule="auto"/>
        <w:ind w:left="851"/>
        <w:contextualSpacing/>
        <w:rPr>
          <w:rFonts w:eastAsia="MS Mincho" w:cs="Arial"/>
          <w:szCs w:val="24"/>
        </w:rPr>
      </w:pPr>
      <w:r w:rsidRPr="00C51123">
        <w:rPr>
          <w:highlight w:val="yellow"/>
        </w:rPr>
        <w:t>how the</w:t>
      </w:r>
      <w:r w:rsidR="007C504E">
        <w:rPr>
          <w:highlight w:val="yellow"/>
        </w:rPr>
        <w:t xml:space="preserve"> commissioner is </w:t>
      </w:r>
      <w:r w:rsidRPr="00C51123">
        <w:rPr>
          <w:highlight w:val="yellow"/>
        </w:rPr>
        <w:t xml:space="preserve">likely to exercise </w:t>
      </w:r>
      <w:r w:rsidR="00AE15BC">
        <w:rPr>
          <w:highlight w:val="yellow"/>
        </w:rPr>
        <w:t xml:space="preserve">its </w:t>
      </w:r>
      <w:r w:rsidRPr="00C51123">
        <w:rPr>
          <w:highlight w:val="yellow"/>
        </w:rPr>
        <w:t>discretionary powers to make payments in respect of a sole practitioner who is absent for the purposes of attending an accredited postgraduate educational course</w:t>
      </w:r>
    </w:p>
    <w:p w14:paraId="6F2EFA26" w14:textId="30320329" w:rsidR="006E22ED" w:rsidRDefault="006E22ED" w:rsidP="005E089C">
      <w:pPr>
        <w:spacing w:line="360" w:lineRule="auto"/>
        <w:ind w:left="851"/>
        <w:contextualSpacing/>
        <w:rPr>
          <w:rFonts w:eastAsia="MS Mincho" w:cs="Arial"/>
          <w:szCs w:val="24"/>
        </w:rPr>
      </w:pPr>
    </w:p>
    <w:p w14:paraId="09B008ED" w14:textId="1D92F59A" w:rsidR="006E22ED" w:rsidRDefault="006E22ED" w:rsidP="004E3607">
      <w:pPr>
        <w:spacing w:line="360" w:lineRule="auto"/>
        <w:contextualSpacing/>
        <w:rPr>
          <w:rFonts w:eastAsia="MS Mincho" w:cs="Arial"/>
          <w:szCs w:val="24"/>
        </w:rPr>
      </w:pPr>
    </w:p>
    <w:p w14:paraId="29E4D516" w14:textId="77777777" w:rsidR="006E22ED" w:rsidRPr="00CE0885" w:rsidRDefault="006E22ED" w:rsidP="005E089C">
      <w:pPr>
        <w:spacing w:line="360" w:lineRule="auto"/>
        <w:ind w:left="851"/>
        <w:contextualSpacing/>
        <w:rPr>
          <w:rFonts w:eastAsia="MS Mincho" w:cs="Arial"/>
          <w:szCs w:val="24"/>
        </w:rPr>
      </w:pPr>
    </w:p>
    <w:p w14:paraId="13BE9AE4" w14:textId="27268695" w:rsidR="00867DFB" w:rsidRPr="00CE0885" w:rsidRDefault="00867DFB" w:rsidP="00855999">
      <w:pPr>
        <w:pStyle w:val="Heading2"/>
      </w:pPr>
      <w:bookmarkStart w:id="2544" w:name="_Toc95743586"/>
      <w:r w:rsidRPr="00CE0885">
        <w:t>Discretionary powers in respect of cover for parental and sickness leave</w:t>
      </w:r>
      <w:bookmarkEnd w:id="2544"/>
    </w:p>
    <w:p w14:paraId="1248E549" w14:textId="0C05DAFF" w:rsidR="00867DFB" w:rsidRPr="009055A7" w:rsidRDefault="00867DFB" w:rsidP="00867DFB">
      <w:pPr>
        <w:spacing w:line="360" w:lineRule="auto"/>
        <w:rPr>
          <w:rFonts w:cs="Arial"/>
        </w:rPr>
      </w:pPr>
    </w:p>
    <w:p w14:paraId="1190EDCD" w14:textId="3172BC72" w:rsidR="00867DFB" w:rsidRPr="00CE0885" w:rsidRDefault="00867DFB" w:rsidP="005E089C">
      <w:pPr>
        <w:pStyle w:val="Heading3"/>
      </w:pPr>
      <w:r w:rsidRPr="00CE0885">
        <w:t xml:space="preserve">The commissioner has </w:t>
      </w:r>
      <w:r w:rsidR="00DC4089">
        <w:t xml:space="preserve">the </w:t>
      </w:r>
      <w:r w:rsidRPr="00CE0885">
        <w:t xml:space="preserve">discretion to make payments in circumstances where it is not obliged to under the terms of the SFE, including top-up payments above the level of the agreed weekly maximum. </w:t>
      </w:r>
    </w:p>
    <w:p w14:paraId="7FFF8180" w14:textId="19B433B0" w:rsidR="00867DFB" w:rsidRPr="00CE0885" w:rsidRDefault="00867DFB" w:rsidP="00867DFB">
      <w:pPr>
        <w:spacing w:line="360" w:lineRule="auto"/>
        <w:rPr>
          <w:rFonts w:cs="Arial"/>
          <w:szCs w:val="24"/>
        </w:rPr>
      </w:pPr>
    </w:p>
    <w:p w14:paraId="0817F5E7" w14:textId="065536BA" w:rsidR="00867DFB" w:rsidRPr="00CE0885" w:rsidRDefault="00867DFB" w:rsidP="005E089C">
      <w:pPr>
        <w:pStyle w:val="Heading3"/>
      </w:pPr>
      <w:r w:rsidRPr="00CE0885">
        <w:t xml:space="preserve">The commissioner </w:t>
      </w:r>
      <w:r w:rsidR="00DC4089">
        <w:t>may</w:t>
      </w:r>
      <w:r w:rsidRPr="00CE0885">
        <w:t xml:space="preserve"> exercise these discretionary powers to make payments </w:t>
      </w:r>
      <w:r w:rsidRPr="00CE0885">
        <w:rPr>
          <w:b/>
        </w:rPr>
        <w:t xml:space="preserve">only </w:t>
      </w:r>
      <w:r w:rsidRPr="00CE0885">
        <w:t xml:space="preserve">in exceptional circumstances, for example (but not limited to) consideration of: </w:t>
      </w:r>
    </w:p>
    <w:p w14:paraId="1A414FB3" w14:textId="0E212F67" w:rsidR="00867DFB" w:rsidRPr="00CE0885" w:rsidRDefault="00867DFB" w:rsidP="00867DFB">
      <w:pPr>
        <w:spacing w:line="360" w:lineRule="auto"/>
        <w:contextualSpacing/>
        <w:rPr>
          <w:rFonts w:cs="Arial"/>
          <w:szCs w:val="24"/>
        </w:rPr>
      </w:pPr>
    </w:p>
    <w:p w14:paraId="569B4305" w14:textId="4B282EE4" w:rsidR="00867DFB" w:rsidRPr="00CE0885" w:rsidRDefault="00867DFB" w:rsidP="00825050">
      <w:pPr>
        <w:numPr>
          <w:ilvl w:val="0"/>
          <w:numId w:val="57"/>
        </w:numPr>
        <w:spacing w:line="360" w:lineRule="auto"/>
        <w:ind w:left="851"/>
        <w:contextualSpacing/>
        <w:rPr>
          <w:rFonts w:eastAsia="MS Mincho" w:cs="Arial"/>
          <w:szCs w:val="24"/>
        </w:rPr>
      </w:pPr>
      <w:r w:rsidRPr="00CE0885">
        <w:rPr>
          <w:rFonts w:eastAsia="MS Mincho" w:cs="Arial"/>
          <w:szCs w:val="24"/>
        </w:rPr>
        <w:t>demonstrable financial hardship</w:t>
      </w:r>
    </w:p>
    <w:p w14:paraId="1D66EB1D" w14:textId="73901CB0" w:rsidR="00867DFB" w:rsidRPr="00CE0885" w:rsidRDefault="00867DFB" w:rsidP="00825050">
      <w:pPr>
        <w:numPr>
          <w:ilvl w:val="0"/>
          <w:numId w:val="57"/>
        </w:numPr>
        <w:spacing w:line="360" w:lineRule="auto"/>
        <w:ind w:left="851"/>
        <w:contextualSpacing/>
        <w:rPr>
          <w:rFonts w:eastAsia="MS Mincho" w:cs="Arial"/>
          <w:szCs w:val="24"/>
        </w:rPr>
      </w:pPr>
      <w:r w:rsidRPr="00CE0885">
        <w:rPr>
          <w:rFonts w:eastAsia="MS Mincho" w:cs="Arial"/>
          <w:szCs w:val="24"/>
        </w:rPr>
        <w:t>areas of significant deprivation</w:t>
      </w:r>
    </w:p>
    <w:p w14:paraId="10567847" w14:textId="52363812" w:rsidR="00867DFB" w:rsidRPr="00CE0885" w:rsidRDefault="00867DFB" w:rsidP="00825050">
      <w:pPr>
        <w:numPr>
          <w:ilvl w:val="0"/>
          <w:numId w:val="57"/>
        </w:numPr>
        <w:spacing w:line="360" w:lineRule="auto"/>
        <w:ind w:left="851"/>
        <w:contextualSpacing/>
        <w:rPr>
          <w:rFonts w:eastAsia="MS Mincho" w:cs="Arial"/>
          <w:szCs w:val="24"/>
        </w:rPr>
      </w:pPr>
      <w:r w:rsidRPr="00CE0885">
        <w:rPr>
          <w:rFonts w:eastAsia="MS Mincho" w:cs="Arial"/>
          <w:szCs w:val="24"/>
        </w:rPr>
        <w:t>GP recruitment difficulties</w:t>
      </w:r>
    </w:p>
    <w:p w14:paraId="6050ECDF" w14:textId="6F42A3E9" w:rsidR="00867DFB" w:rsidRPr="00CE0885" w:rsidRDefault="00867DFB" w:rsidP="00825050">
      <w:pPr>
        <w:numPr>
          <w:ilvl w:val="0"/>
          <w:numId w:val="57"/>
        </w:numPr>
        <w:spacing w:line="360" w:lineRule="auto"/>
        <w:ind w:left="851"/>
        <w:contextualSpacing/>
        <w:rPr>
          <w:rFonts w:eastAsia="MS Mincho" w:cs="Arial"/>
          <w:szCs w:val="24"/>
        </w:rPr>
      </w:pPr>
      <w:r w:rsidRPr="00CE0885">
        <w:rPr>
          <w:rFonts w:eastAsia="MS Mincho" w:cs="Arial"/>
          <w:szCs w:val="24"/>
        </w:rPr>
        <w:t>applications from single-handed GPs</w:t>
      </w:r>
    </w:p>
    <w:p w14:paraId="1B9BFFE1" w14:textId="3EA1E58E" w:rsidR="00867DFB" w:rsidRPr="00CE0885" w:rsidRDefault="00867DFB" w:rsidP="00825050">
      <w:pPr>
        <w:numPr>
          <w:ilvl w:val="0"/>
          <w:numId w:val="57"/>
        </w:numPr>
        <w:spacing w:line="360" w:lineRule="auto"/>
        <w:ind w:left="851"/>
        <w:contextualSpacing/>
        <w:rPr>
          <w:rFonts w:eastAsia="MS Mincho" w:cs="Arial"/>
          <w:szCs w:val="24"/>
        </w:rPr>
      </w:pPr>
      <w:r w:rsidRPr="00CE0885">
        <w:rPr>
          <w:rFonts w:eastAsia="MS Mincho" w:cs="Arial"/>
          <w:szCs w:val="24"/>
        </w:rPr>
        <w:t>applications from nurse-led PMS practices</w:t>
      </w:r>
    </w:p>
    <w:p w14:paraId="4AB41E8C" w14:textId="63F04190" w:rsidR="00867DFB" w:rsidRPr="00CE0885" w:rsidRDefault="00867DFB" w:rsidP="00867DFB">
      <w:pPr>
        <w:spacing w:line="360" w:lineRule="auto"/>
        <w:contextualSpacing/>
        <w:rPr>
          <w:rFonts w:cs="Arial"/>
          <w:szCs w:val="24"/>
        </w:rPr>
      </w:pPr>
    </w:p>
    <w:p w14:paraId="1DCF21B8" w14:textId="51742ABC" w:rsidR="00CF5777" w:rsidRDefault="00867DFB" w:rsidP="00070A05">
      <w:pPr>
        <w:pStyle w:val="Heading3"/>
      </w:pPr>
      <w:r w:rsidRPr="00CE0885">
        <w:t xml:space="preserve">Where practices plan to apply for reimbursement in such circumstances they should always ensure they have written agreement from the commissioner </w:t>
      </w:r>
      <w:r w:rsidRPr="007A3F4E">
        <w:rPr>
          <w:u w:val="single"/>
        </w:rPr>
        <w:t>prior</w:t>
      </w:r>
      <w:r w:rsidRPr="00CE0885">
        <w:t xml:space="preserve"> to arranging cover.</w:t>
      </w:r>
      <w:r w:rsidR="00070A05" w:rsidRPr="00CF5777">
        <w:t xml:space="preserve"> </w:t>
      </w:r>
    </w:p>
    <w:p w14:paraId="31739089" w14:textId="397CA672" w:rsidR="004E3607" w:rsidRDefault="004E3607" w:rsidP="004E3607"/>
    <w:p w14:paraId="7906B467" w14:textId="77777777" w:rsidR="007F74CD" w:rsidRDefault="007F74CD" w:rsidP="004E3607"/>
    <w:p w14:paraId="28DD81E9" w14:textId="77777777" w:rsidR="004E3607" w:rsidRPr="004E3607" w:rsidRDefault="004E3607" w:rsidP="004E3607"/>
    <w:p w14:paraId="6C104E14" w14:textId="77777777" w:rsidR="00CF5777" w:rsidRPr="00CF5777" w:rsidRDefault="00CF5777" w:rsidP="00A553BA">
      <w:pPr>
        <w:pStyle w:val="Heading2"/>
      </w:pPr>
      <w:bookmarkStart w:id="2545" w:name="_Toc95743587"/>
      <w:r w:rsidRPr="00CF5777">
        <w:t>Discretionary payments in respect of cover for employed GP performers on phased return or adjusted hours arrangement following sickness absence</w:t>
      </w:r>
      <w:bookmarkEnd w:id="2545"/>
    </w:p>
    <w:p w14:paraId="48904BBA" w14:textId="77777777" w:rsidR="00CF5777" w:rsidRPr="00CF5777" w:rsidRDefault="00CF5777" w:rsidP="00CF5777">
      <w:pPr>
        <w:spacing w:line="360" w:lineRule="auto"/>
        <w:jc w:val="both"/>
        <w:rPr>
          <w:rFonts w:cs="Arial"/>
        </w:rPr>
      </w:pPr>
    </w:p>
    <w:p w14:paraId="62B5FF27" w14:textId="47BC3E2D" w:rsidR="00CF5777" w:rsidRPr="00CF5777" w:rsidRDefault="00CF5777" w:rsidP="00A553BA">
      <w:pPr>
        <w:pStyle w:val="Heading3"/>
      </w:pPr>
      <w:r w:rsidRPr="00CF5777">
        <w:t xml:space="preserve">The commissioner has </w:t>
      </w:r>
      <w:r w:rsidR="00617C47">
        <w:t xml:space="preserve">the </w:t>
      </w:r>
      <w:r w:rsidRPr="00CF5777">
        <w:t xml:space="preserve">discretion to make payments where employed GP performers are returning to work under a phased return or adjusted hour’s arrangement following sickness absence. </w:t>
      </w:r>
    </w:p>
    <w:p w14:paraId="7B0A5A2C" w14:textId="77777777" w:rsidR="00CF5777" w:rsidRPr="009A7101" w:rsidRDefault="00CF5777" w:rsidP="00A553BA"/>
    <w:p w14:paraId="57325679" w14:textId="7D8E0F44" w:rsidR="00CF5777" w:rsidRPr="00CF5777" w:rsidRDefault="00CF5777" w:rsidP="00A553BA">
      <w:pPr>
        <w:pStyle w:val="Heading3"/>
      </w:pPr>
      <w:r w:rsidRPr="00CF5777">
        <w:t>The commissioner will make payments in the following circumstances:</w:t>
      </w:r>
    </w:p>
    <w:p w14:paraId="412C4FFA" w14:textId="77777777" w:rsidR="00CF5777" w:rsidRPr="00CF5777" w:rsidRDefault="00CF5777" w:rsidP="00CF5777">
      <w:pPr>
        <w:spacing w:line="360" w:lineRule="auto"/>
        <w:jc w:val="both"/>
        <w:rPr>
          <w:rFonts w:cs="Arial"/>
        </w:rPr>
      </w:pPr>
    </w:p>
    <w:p w14:paraId="5C04F280" w14:textId="7DAF55FE" w:rsidR="00CF5777" w:rsidRPr="00A553BA" w:rsidRDefault="00CF5777" w:rsidP="00825050">
      <w:pPr>
        <w:numPr>
          <w:ilvl w:val="0"/>
          <w:numId w:val="57"/>
        </w:numPr>
        <w:spacing w:line="360" w:lineRule="auto"/>
        <w:ind w:left="851"/>
        <w:contextualSpacing/>
        <w:rPr>
          <w:rFonts w:eastAsia="MS Mincho" w:cs="Arial"/>
          <w:szCs w:val="24"/>
        </w:rPr>
      </w:pPr>
      <w:r w:rsidRPr="00A553BA">
        <w:rPr>
          <w:rFonts w:eastAsia="MS Mincho" w:cs="Arial"/>
          <w:szCs w:val="24"/>
        </w:rPr>
        <w:t xml:space="preserve">the employed GP performer’s phased return or adjusted hours arrangement follows directly sickness absence leave which attracted a locum payment under Section 16 of the SFE </w:t>
      </w:r>
    </w:p>
    <w:p w14:paraId="44D7F9AF" w14:textId="3E58173D" w:rsidR="00CF5777" w:rsidRPr="00A553BA" w:rsidRDefault="00CF5777" w:rsidP="00825050">
      <w:pPr>
        <w:numPr>
          <w:ilvl w:val="0"/>
          <w:numId w:val="57"/>
        </w:numPr>
        <w:spacing w:line="360" w:lineRule="auto"/>
        <w:ind w:left="851"/>
        <w:contextualSpacing/>
        <w:rPr>
          <w:rFonts w:eastAsia="MS Mincho" w:cs="Arial"/>
          <w:szCs w:val="24"/>
        </w:rPr>
      </w:pPr>
      <w:r w:rsidRPr="00A553BA">
        <w:rPr>
          <w:rFonts w:eastAsia="MS Mincho" w:cs="Arial"/>
          <w:szCs w:val="24"/>
        </w:rPr>
        <w:t xml:space="preserve">where the phased return or adjusted hours arrangement has been advised under a Fit Note (and for the period only that Fit Note covers or advises).  </w:t>
      </w:r>
    </w:p>
    <w:p w14:paraId="2C92789B" w14:textId="289CB04B" w:rsidR="00CF5777" w:rsidRPr="00A553BA" w:rsidRDefault="00CF5777" w:rsidP="00825050">
      <w:pPr>
        <w:numPr>
          <w:ilvl w:val="0"/>
          <w:numId w:val="57"/>
        </w:numPr>
        <w:spacing w:line="360" w:lineRule="auto"/>
        <w:ind w:left="851"/>
        <w:contextualSpacing/>
        <w:rPr>
          <w:rFonts w:eastAsia="MS Mincho" w:cs="Arial"/>
          <w:szCs w:val="24"/>
        </w:rPr>
      </w:pPr>
      <w:r w:rsidRPr="00A553BA">
        <w:rPr>
          <w:rFonts w:eastAsia="MS Mincho" w:cs="Arial"/>
          <w:szCs w:val="24"/>
        </w:rPr>
        <w:t>where the contractor is paying the employed GP performer their full salary in respect of their phased return or adjusted hours arrangement i.e. taking account of both working and sickness absence days/sessions.</w:t>
      </w:r>
    </w:p>
    <w:p w14:paraId="0A299779" w14:textId="77777777" w:rsidR="00CF5777" w:rsidRPr="00CF5777" w:rsidRDefault="00CF5777" w:rsidP="00CF5777">
      <w:pPr>
        <w:spacing w:line="360" w:lineRule="auto"/>
        <w:jc w:val="both"/>
        <w:rPr>
          <w:rFonts w:cs="Arial"/>
        </w:rPr>
      </w:pPr>
    </w:p>
    <w:p w14:paraId="01B17D3A" w14:textId="31D05F70" w:rsidR="00867DFB" w:rsidRDefault="00CF5777" w:rsidP="00A553BA">
      <w:pPr>
        <w:pStyle w:val="Heading3"/>
      </w:pPr>
      <w:r w:rsidRPr="00CF5777">
        <w:t xml:space="preserve">In these circumstances the commissioner will pay the lower of actual invoiced costs or maximum amounts payable calculated in line with paragraph </w:t>
      </w:r>
      <w:r>
        <w:t>2.4.1.</w:t>
      </w:r>
    </w:p>
    <w:p w14:paraId="71C66DB9" w14:textId="77777777" w:rsidR="00CF5777" w:rsidRPr="00CF5777" w:rsidRDefault="00CF5777" w:rsidP="00A553BA"/>
    <w:p w14:paraId="111DC6F5" w14:textId="405397D1" w:rsidR="00867DFB" w:rsidRPr="00CE0885" w:rsidRDefault="00867DFB" w:rsidP="00855999">
      <w:pPr>
        <w:pStyle w:val="Heading2"/>
      </w:pPr>
      <w:bookmarkStart w:id="2546" w:name="_Toc95743588"/>
      <w:r w:rsidRPr="00CE0885">
        <w:t>Circumstances where it is likely payments will be less than the maximum amount payable</w:t>
      </w:r>
      <w:bookmarkEnd w:id="2546"/>
    </w:p>
    <w:p w14:paraId="3E6650EA" w14:textId="77777777" w:rsidR="00867DFB" w:rsidRPr="009055A7" w:rsidRDefault="00867DFB" w:rsidP="00867DFB">
      <w:pPr>
        <w:spacing w:line="360" w:lineRule="auto"/>
        <w:jc w:val="both"/>
        <w:rPr>
          <w:rFonts w:cs="Arial"/>
          <w:b/>
          <w:szCs w:val="24"/>
        </w:rPr>
      </w:pPr>
    </w:p>
    <w:p w14:paraId="763AFC6B" w14:textId="77777777" w:rsidR="00867DFB" w:rsidRPr="00CE0885" w:rsidRDefault="00867DFB" w:rsidP="005E089C">
      <w:pPr>
        <w:pStyle w:val="Heading3"/>
      </w:pPr>
      <w:r w:rsidRPr="00CE0885">
        <w:t>The commissioner will pay the maximum amount payable except in the following circumstances:</w:t>
      </w:r>
    </w:p>
    <w:p w14:paraId="4FF285CA" w14:textId="5240553E" w:rsidR="00867DFB" w:rsidRPr="00F466C6" w:rsidRDefault="00867DFB" w:rsidP="006C3DF5">
      <w:pPr>
        <w:pStyle w:val="BodyText"/>
        <w:numPr>
          <w:ilvl w:val="0"/>
          <w:numId w:val="104"/>
        </w:numPr>
        <w:rPr>
          <w:sz w:val="24"/>
          <w:szCs w:val="24"/>
        </w:rPr>
      </w:pPr>
      <w:r w:rsidRPr="00F466C6">
        <w:rPr>
          <w:sz w:val="24"/>
          <w:szCs w:val="24"/>
        </w:rPr>
        <w:t xml:space="preserve">Where actual invoiced costs are less than the maximum amount payable, then the commissioner will pay the actual invoiced costs subject to the provisions of this protocolincluding the bullet points below </w:t>
      </w:r>
    </w:p>
    <w:p w14:paraId="26036609" w14:textId="0912FA80" w:rsidR="00867DFB" w:rsidRPr="00F466C6" w:rsidRDefault="00867DFB" w:rsidP="006C3DF5">
      <w:pPr>
        <w:pStyle w:val="BodyText"/>
        <w:numPr>
          <w:ilvl w:val="0"/>
          <w:numId w:val="104"/>
        </w:numPr>
        <w:rPr>
          <w:sz w:val="24"/>
          <w:szCs w:val="24"/>
        </w:rPr>
      </w:pPr>
      <w:r w:rsidRPr="00F466C6">
        <w:rPr>
          <w:sz w:val="24"/>
          <w:szCs w:val="24"/>
        </w:rPr>
        <w:t>With respect to parental leave, where the commissioner agrees to make payments for any week between weeks 27 to 52 for cover for additional maternity leave or adoption leave, the commissioner will pay the lower of either 50 per cent of the weekly rate it paid for weeks 3 to 26 or 50 per cent of the actual invoiced costs.</w:t>
      </w:r>
    </w:p>
    <w:p w14:paraId="6B6E1DF7" w14:textId="77777777" w:rsidR="00867DFB" w:rsidRPr="00CE0885" w:rsidRDefault="00867DFB" w:rsidP="00867DFB">
      <w:pPr>
        <w:spacing w:line="360" w:lineRule="auto"/>
        <w:jc w:val="both"/>
        <w:rPr>
          <w:rFonts w:cs="Arial"/>
          <w:b/>
          <w:szCs w:val="24"/>
        </w:rPr>
      </w:pPr>
    </w:p>
    <w:p w14:paraId="7A807D7F" w14:textId="77777777" w:rsidR="00867DFB" w:rsidRPr="00CE0885" w:rsidRDefault="00867DFB" w:rsidP="00855999">
      <w:pPr>
        <w:pStyle w:val="Heading2"/>
      </w:pPr>
      <w:bookmarkStart w:id="2547" w:name="_Toc95743589"/>
      <w:r w:rsidRPr="00CE0885">
        <w:t>Payments for locum cover provided by nurses or other healthcare professionals</w:t>
      </w:r>
      <w:bookmarkEnd w:id="2547"/>
    </w:p>
    <w:p w14:paraId="2E5B5937" w14:textId="77777777" w:rsidR="00867DFB" w:rsidRPr="009055A7" w:rsidRDefault="00867DFB" w:rsidP="00867DFB">
      <w:pPr>
        <w:spacing w:line="360" w:lineRule="auto"/>
        <w:rPr>
          <w:rFonts w:cs="Arial"/>
        </w:rPr>
      </w:pPr>
    </w:p>
    <w:p w14:paraId="017A5200" w14:textId="77777777" w:rsidR="00867DFB" w:rsidRPr="00CE0885" w:rsidRDefault="00867DFB" w:rsidP="005E089C">
      <w:pPr>
        <w:pStyle w:val="Heading3"/>
      </w:pPr>
      <w:r w:rsidRPr="00CE0885">
        <w:t xml:space="preserve">The commissioner will not pay for cover provided by nurses or other healthcare professionals. </w:t>
      </w:r>
    </w:p>
    <w:p w14:paraId="4CA87442" w14:textId="2B7A52F3" w:rsidR="00867DFB" w:rsidRPr="00CE0885" w:rsidRDefault="00867DFB" w:rsidP="00855999">
      <w:pPr>
        <w:pStyle w:val="Heading2"/>
      </w:pPr>
      <w:bookmarkStart w:id="2548" w:name="_Toc95743590"/>
      <w:r w:rsidRPr="00CE0885">
        <w:t>Payments to a partner or employee who is providing cover</w:t>
      </w:r>
      <w:bookmarkEnd w:id="2548"/>
      <w:r w:rsidRPr="00CE0885">
        <w:t xml:space="preserve"> </w:t>
      </w:r>
    </w:p>
    <w:p w14:paraId="7580F2E6" w14:textId="77777777" w:rsidR="00867DFB" w:rsidRPr="009055A7" w:rsidRDefault="00867DFB" w:rsidP="00867DFB">
      <w:pPr>
        <w:spacing w:line="360" w:lineRule="auto"/>
        <w:rPr>
          <w:rFonts w:cs="Arial"/>
        </w:rPr>
      </w:pPr>
    </w:p>
    <w:p w14:paraId="6EF34E93" w14:textId="5C3A71BF" w:rsidR="00867DFB" w:rsidRPr="00CE0885" w:rsidRDefault="00867DFB" w:rsidP="005E089C">
      <w:pPr>
        <w:pStyle w:val="Heading3"/>
      </w:pPr>
      <w:r w:rsidRPr="00CE0885">
        <w:t>Where a contractor wishes to engage the services of a partner or shareholder in, or an employee of, that contractor, payments will be made to the GP practice in accordance with the normal provisions set out above. However, the GP performer providing cover would only be permitted to work up to the full-time limit of nine clinical sessions per working week. The maximum of nine clinical sessions per working week is to include any existing/normal commitments by the GP performer providing the cover.</w:t>
      </w:r>
    </w:p>
    <w:p w14:paraId="071A4256" w14:textId="77777777" w:rsidR="00867DFB" w:rsidRPr="00CE0885" w:rsidRDefault="00867DFB" w:rsidP="003331F2">
      <w:pPr>
        <w:pStyle w:val="BodyText"/>
      </w:pPr>
    </w:p>
    <w:p w14:paraId="722CCA3D" w14:textId="6D5301AD" w:rsidR="00867DFB" w:rsidRPr="005E089C" w:rsidRDefault="00867DFB" w:rsidP="005E089C">
      <w:pPr>
        <w:pStyle w:val="Heading2"/>
      </w:pPr>
      <w:bookmarkStart w:id="2549" w:name="_Toc95743591"/>
      <w:r w:rsidRPr="005E089C">
        <w:t xml:space="preserve">Discretionary payments in respect of long term sickness </w:t>
      </w:r>
      <w:r w:rsidR="00CF5777">
        <w:t>leave</w:t>
      </w:r>
      <w:r w:rsidR="00CF5777" w:rsidRPr="005E089C">
        <w:t xml:space="preserve"> </w:t>
      </w:r>
      <w:r w:rsidRPr="005E089C">
        <w:t>exceeding 52 weeks</w:t>
      </w:r>
      <w:bookmarkEnd w:id="2549"/>
    </w:p>
    <w:p w14:paraId="27FE2D35" w14:textId="23B63876" w:rsidR="00867DFB" w:rsidRPr="00CE0885" w:rsidRDefault="00867DFB" w:rsidP="005E089C">
      <w:pPr>
        <w:pStyle w:val="Heading3"/>
      </w:pPr>
      <w:r w:rsidRPr="009055A7">
        <w:t xml:space="preserve">Where a GP performer </w:t>
      </w:r>
      <w:r w:rsidRPr="00CE0885">
        <w:t xml:space="preserve">is on long term sickness leave, and locum payments are no longer payable under Section 16 of the SFE, it will be at the commissioner’s discretion whether to continue to make payments. </w:t>
      </w:r>
    </w:p>
    <w:p w14:paraId="5D1906CB" w14:textId="7F597C82" w:rsidR="00867DFB" w:rsidRDefault="00867DFB" w:rsidP="005E089C">
      <w:pPr>
        <w:pStyle w:val="Heading3"/>
      </w:pPr>
      <w:r w:rsidRPr="00CE0885">
        <w:t xml:space="preserve">In any case, those payments will not exceed the half rate payable in the second period of 26 weeks under paragraph 16.6(b) of the SFE, or the amount that would be payable under the NHS Pension Scheme Regulations if the performer retired on ground of permanent incapacity, whichever is the lower </w:t>
      </w:r>
    </w:p>
    <w:p w14:paraId="270A7CA4" w14:textId="77777777" w:rsidR="00BA6175" w:rsidRPr="00BA6175" w:rsidRDefault="00BA6175" w:rsidP="008171B4"/>
    <w:p w14:paraId="242690F6" w14:textId="77777777" w:rsidR="00867DFB" w:rsidRPr="00CE0885" w:rsidRDefault="00867DFB" w:rsidP="00867DFB">
      <w:pPr>
        <w:spacing w:line="360" w:lineRule="auto"/>
        <w:ind w:left="720"/>
        <w:contextualSpacing/>
        <w:rPr>
          <w:rFonts w:cs="Arial"/>
        </w:rPr>
      </w:pPr>
    </w:p>
    <w:p w14:paraId="25931517" w14:textId="77777777" w:rsidR="00F37A6C" w:rsidRDefault="00BA6175" w:rsidP="00F37A6C">
      <w:pPr>
        <w:pStyle w:val="Heading2"/>
      </w:pPr>
      <w:bookmarkStart w:id="2550" w:name="_Toc95743592"/>
      <w:r>
        <w:t xml:space="preserve">Discretionary payments in response of </w:t>
      </w:r>
      <w:r w:rsidRPr="00BA6175">
        <w:t>sole practitioner</w:t>
      </w:r>
      <w:r>
        <w:t>s</w:t>
      </w:r>
      <w:r w:rsidRPr="00BA6175">
        <w:t xml:space="preserve"> who </w:t>
      </w:r>
      <w:r>
        <w:t xml:space="preserve">are </w:t>
      </w:r>
      <w:r w:rsidRPr="00BA6175">
        <w:t>absent for the purposes of attending an accredited postgraduate educational course</w:t>
      </w:r>
      <w:r w:rsidR="00F37A6C">
        <w:t>.</w:t>
      </w:r>
      <w:bookmarkEnd w:id="2550"/>
    </w:p>
    <w:p w14:paraId="09AD323A" w14:textId="77777777" w:rsidR="00F37A6C" w:rsidRDefault="00F37A6C" w:rsidP="008171B4">
      <w:pPr>
        <w:pStyle w:val="Heading3"/>
        <w:numPr>
          <w:ilvl w:val="0"/>
          <w:numId w:val="0"/>
        </w:numPr>
        <w:ind w:left="720"/>
      </w:pPr>
    </w:p>
    <w:p w14:paraId="25D85490" w14:textId="5E4F4B32" w:rsidR="00274F32" w:rsidRDefault="006F39C3" w:rsidP="0002063B">
      <w:pPr>
        <w:pStyle w:val="Heading3"/>
      </w:pPr>
      <w:r w:rsidRPr="006F39C3">
        <w:t xml:space="preserve">The commissioner will not pay for </w:t>
      </w:r>
      <w:r>
        <w:t xml:space="preserve">locum </w:t>
      </w:r>
      <w:r w:rsidRPr="006F39C3">
        <w:t xml:space="preserve">cover </w:t>
      </w:r>
      <w:r w:rsidR="00470D9B">
        <w:t xml:space="preserve">in respect of </w:t>
      </w:r>
      <w:r w:rsidR="00241E62" w:rsidRPr="00241E62">
        <w:t xml:space="preserve">a </w:t>
      </w:r>
      <w:r w:rsidR="007572A5">
        <w:t>sole practitioner</w:t>
      </w:r>
      <w:r w:rsidR="00470D9B">
        <w:t xml:space="preserve">s </w:t>
      </w:r>
      <w:r w:rsidR="00274F32">
        <w:t>attend</w:t>
      </w:r>
      <w:r w:rsidR="00470D9B">
        <w:t xml:space="preserve">ance </w:t>
      </w:r>
      <w:r w:rsidR="0002063B">
        <w:t xml:space="preserve">at an </w:t>
      </w:r>
      <w:r w:rsidR="00274F32">
        <w:t>accredited postgraduate educational course</w:t>
      </w:r>
      <w:r w:rsidR="0002063B">
        <w:t>.</w:t>
      </w:r>
    </w:p>
    <w:p w14:paraId="74C78988" w14:textId="2304B56D" w:rsidR="00F37A6C" w:rsidRPr="00F37A6C" w:rsidRDefault="00F37A6C" w:rsidP="008171B4">
      <w:pPr>
        <w:pStyle w:val="Heading3"/>
        <w:numPr>
          <w:ilvl w:val="0"/>
          <w:numId w:val="0"/>
        </w:numPr>
        <w:ind w:left="720"/>
      </w:pPr>
    </w:p>
    <w:p w14:paraId="2AED010B" w14:textId="77777777" w:rsidR="00F37A6C" w:rsidRPr="00F37A6C" w:rsidRDefault="00F37A6C" w:rsidP="008171B4"/>
    <w:p w14:paraId="7693E077" w14:textId="30CA9F5A" w:rsidR="00867DFB" w:rsidRPr="00CE0885" w:rsidRDefault="00867DFB" w:rsidP="00855999">
      <w:pPr>
        <w:pStyle w:val="Heading2"/>
      </w:pPr>
      <w:bookmarkStart w:id="2551" w:name="_Toc95743593"/>
      <w:r w:rsidRPr="00CE0885">
        <w:t>Claims and payments</w:t>
      </w:r>
      <w:bookmarkEnd w:id="2551"/>
      <w:r w:rsidRPr="00CE0885">
        <w:t xml:space="preserve"> </w:t>
      </w:r>
    </w:p>
    <w:p w14:paraId="221730CA" w14:textId="77777777" w:rsidR="00867DFB" w:rsidRPr="00CE0885" w:rsidRDefault="00867DFB" w:rsidP="00867DFB">
      <w:pPr>
        <w:spacing w:line="360" w:lineRule="auto"/>
        <w:contextualSpacing/>
        <w:jc w:val="both"/>
        <w:rPr>
          <w:rFonts w:cs="Arial"/>
          <w:b/>
          <w:iCs/>
          <w:sz w:val="28"/>
          <w:szCs w:val="28"/>
        </w:rPr>
      </w:pPr>
    </w:p>
    <w:p w14:paraId="1046AEAE" w14:textId="20BC5766" w:rsidR="00867DFB" w:rsidRPr="00CE0885" w:rsidRDefault="00867DFB" w:rsidP="005E089C">
      <w:pPr>
        <w:pStyle w:val="Heading3"/>
      </w:pPr>
      <w:r w:rsidRPr="009055A7">
        <w:t>For par</w:t>
      </w:r>
      <w:r w:rsidRPr="00CE0885">
        <w:t xml:space="preserve">ental leave, payments start from the day the GP performer goes on parental leave for the periods set out above and payment weeks are five working days. </w:t>
      </w:r>
    </w:p>
    <w:p w14:paraId="017EBEA6" w14:textId="11515599" w:rsidR="00867DFB" w:rsidRPr="00CE0885" w:rsidRDefault="00867DFB" w:rsidP="005E089C">
      <w:pPr>
        <w:pStyle w:val="Heading3"/>
      </w:pPr>
      <w:r w:rsidRPr="00CE0885">
        <w:t xml:space="preserve">For sickness leave, payments start two weeks from the day the GP performer goes on sick leave for the periods set out above and payment weeks are also five working days. </w:t>
      </w:r>
    </w:p>
    <w:p w14:paraId="766493EF" w14:textId="77777777" w:rsidR="00867DFB" w:rsidRPr="00CE0885" w:rsidRDefault="00867DFB" w:rsidP="005E089C">
      <w:pPr>
        <w:pStyle w:val="Heading3"/>
      </w:pPr>
      <w:r w:rsidRPr="00CE0885">
        <w:t>A sample claim form is at Annex A.</w:t>
      </w:r>
    </w:p>
    <w:p w14:paraId="0B8C406B" w14:textId="77777777" w:rsidR="00867DFB" w:rsidRPr="00CE0885" w:rsidRDefault="00867DFB" w:rsidP="00867DFB">
      <w:pPr>
        <w:spacing w:line="360" w:lineRule="auto"/>
        <w:jc w:val="both"/>
        <w:rPr>
          <w:rFonts w:cs="Arial"/>
          <w:szCs w:val="24"/>
        </w:rPr>
      </w:pPr>
    </w:p>
    <w:p w14:paraId="1E8FEE43" w14:textId="77777777" w:rsidR="00867DFB" w:rsidRPr="00CE0885" w:rsidRDefault="00867DFB" w:rsidP="00867DFB">
      <w:pPr>
        <w:spacing w:line="360" w:lineRule="auto"/>
        <w:rPr>
          <w:rFonts w:cs="Arial"/>
          <w:szCs w:val="24"/>
        </w:rPr>
      </w:pPr>
      <w:r w:rsidRPr="00CE0885">
        <w:rPr>
          <w:rFonts w:cs="Arial"/>
          <w:szCs w:val="24"/>
        </w:rPr>
        <w:br w:type="page"/>
      </w:r>
    </w:p>
    <w:p w14:paraId="2DCAF054" w14:textId="3D904289" w:rsidR="0000301B" w:rsidRPr="00A553BA" w:rsidRDefault="0000301B" w:rsidP="00A553BA">
      <w:pPr>
        <w:pStyle w:val="Heading2"/>
        <w:rPr>
          <w:b w:val="0"/>
        </w:rPr>
      </w:pPr>
      <w:bookmarkStart w:id="2552" w:name="_Toc95743594"/>
      <w:r w:rsidRPr="00A553BA">
        <w:t>Annexes</w:t>
      </w:r>
      <w:bookmarkEnd w:id="2552"/>
    </w:p>
    <w:p w14:paraId="12B44C52" w14:textId="2CC8C8C5" w:rsidR="00867DFB" w:rsidRPr="00CE0885" w:rsidRDefault="00867DFB" w:rsidP="00867DFB">
      <w:pPr>
        <w:spacing w:line="360" w:lineRule="auto"/>
        <w:contextualSpacing/>
        <w:jc w:val="right"/>
        <w:rPr>
          <w:rFonts w:cs="Arial"/>
          <w:b/>
          <w:kern w:val="32"/>
          <w:sz w:val="32"/>
          <w:szCs w:val="32"/>
        </w:rPr>
      </w:pPr>
      <w:r w:rsidRPr="00CE0885">
        <w:rPr>
          <w:rFonts w:cs="Arial"/>
          <w:b/>
          <w:kern w:val="32"/>
          <w:sz w:val="32"/>
          <w:szCs w:val="32"/>
        </w:rPr>
        <w:t>Annex A</w:t>
      </w:r>
    </w:p>
    <w:p w14:paraId="29E0A04F" w14:textId="77777777" w:rsidR="00867DFB" w:rsidRPr="00CE0885" w:rsidRDefault="00867DFB" w:rsidP="00867DFB">
      <w:pPr>
        <w:spacing w:line="360" w:lineRule="auto"/>
        <w:contextualSpacing/>
        <w:jc w:val="both"/>
        <w:rPr>
          <w:rFonts w:cs="Arial"/>
          <w:b/>
          <w:kern w:val="32"/>
          <w:sz w:val="32"/>
          <w:szCs w:val="32"/>
        </w:rPr>
      </w:pPr>
      <w:r w:rsidRPr="00CE0885">
        <w:rPr>
          <w:rFonts w:cs="Arial"/>
          <w:b/>
          <w:kern w:val="32"/>
          <w:sz w:val="32"/>
          <w:szCs w:val="32"/>
        </w:rPr>
        <w:t>Sample claim form</w:t>
      </w:r>
    </w:p>
    <w:p w14:paraId="2972CB38" w14:textId="77777777" w:rsidR="00867DFB" w:rsidRPr="009055A7" w:rsidRDefault="00867DFB" w:rsidP="00867DFB">
      <w:pPr>
        <w:spacing w:line="360" w:lineRule="auto"/>
        <w:rPr>
          <w:rFonts w:cs="Arial"/>
        </w:rPr>
      </w:pPr>
    </w:p>
    <w:p w14:paraId="33EAF8FD" w14:textId="77777777" w:rsidR="00867DFB" w:rsidRPr="00CE0885" w:rsidRDefault="00867DFB" w:rsidP="00867DFB">
      <w:pPr>
        <w:spacing w:line="360" w:lineRule="auto"/>
        <w:rPr>
          <w:rFonts w:cs="Arial"/>
        </w:rPr>
      </w:pPr>
    </w:p>
    <w:p w14:paraId="585ECCFD" w14:textId="77777777" w:rsidR="00867DFB" w:rsidRPr="00CE0885" w:rsidRDefault="00867DFB" w:rsidP="00867DFB">
      <w:pPr>
        <w:spacing w:line="360" w:lineRule="auto"/>
        <w:rPr>
          <w:rFonts w:cs="Arial"/>
          <w:b/>
        </w:rPr>
      </w:pPr>
      <w:r w:rsidRPr="00CE0885">
        <w:rPr>
          <w:rFonts w:cs="Arial"/>
          <w:b/>
        </w:rPr>
        <w:t>Claim for additional payments during parental or sickness leave</w:t>
      </w:r>
    </w:p>
    <w:p w14:paraId="47EADFE6" w14:textId="77777777" w:rsidR="00867DFB" w:rsidRPr="00CE0885" w:rsidRDefault="00867DFB" w:rsidP="00867DFB">
      <w:pPr>
        <w:spacing w:line="360" w:lineRule="auto"/>
        <w:rPr>
          <w:rFonts w:cs="Arial"/>
        </w:rPr>
      </w:pPr>
    </w:p>
    <w:p w14:paraId="189C5A2A" w14:textId="77777777" w:rsidR="00867DFB" w:rsidRPr="00CE0885" w:rsidRDefault="00867DFB" w:rsidP="00867DFB">
      <w:pPr>
        <w:spacing w:line="360" w:lineRule="auto"/>
        <w:rPr>
          <w:rFonts w:cs="Arial"/>
        </w:rPr>
      </w:pPr>
      <w:r w:rsidRPr="00CE0885">
        <w:rPr>
          <w:rFonts w:cs="Arial"/>
        </w:rPr>
        <w:t>Please complete this form and send it to [NAME OF COMMISSIONER].</w:t>
      </w:r>
    </w:p>
    <w:p w14:paraId="413BCE68" w14:textId="77777777" w:rsidR="00867DFB" w:rsidRPr="00CE0885" w:rsidRDefault="00867DFB" w:rsidP="00867DFB">
      <w:pPr>
        <w:spacing w:line="360" w:lineRule="auto"/>
        <w:rPr>
          <w:rFonts w:cs="Arial"/>
        </w:rPr>
      </w:pPr>
    </w:p>
    <w:p w14:paraId="2E6A3AC2" w14:textId="77777777" w:rsidR="00867DFB" w:rsidRPr="00CE0885" w:rsidRDefault="00867DFB" w:rsidP="00867DFB">
      <w:pPr>
        <w:spacing w:line="360" w:lineRule="auto"/>
        <w:rPr>
          <w:rFonts w:cs="Arial"/>
        </w:rPr>
      </w:pPr>
      <w:r w:rsidRPr="00CE0885">
        <w:rPr>
          <w:rFonts w:cs="Arial"/>
        </w:rPr>
        <w:t>If circumstances should change after your application has been submitted, please complete a new form and forward it to [NAME] as soon as possible, before submitting a claim for payment.</w:t>
      </w:r>
    </w:p>
    <w:p w14:paraId="3C5CE930" w14:textId="77777777" w:rsidR="00867DFB" w:rsidRPr="00CE0885" w:rsidRDefault="00867DFB" w:rsidP="00867DFB">
      <w:pPr>
        <w:spacing w:line="360" w:lineRule="auto"/>
        <w:rPr>
          <w:rFonts w:cs="Arial"/>
        </w:rPr>
      </w:pPr>
    </w:p>
    <w:p w14:paraId="536A9F91" w14:textId="77777777" w:rsidR="00867DFB" w:rsidRPr="00CE0885" w:rsidRDefault="00867DFB" w:rsidP="00867DFB">
      <w:pPr>
        <w:spacing w:line="360" w:lineRule="auto"/>
        <w:rPr>
          <w:rFonts w:cs="Arial"/>
          <w:b/>
        </w:rPr>
      </w:pPr>
      <w:r w:rsidRPr="00CE0885">
        <w:rPr>
          <w:rFonts w:cs="Arial"/>
          <w:b/>
          <w:u w:val="single"/>
        </w:rPr>
        <w:t>Practice’s Details</w:t>
      </w:r>
    </w:p>
    <w:p w14:paraId="3C78624E" w14:textId="77777777" w:rsidR="00867DFB" w:rsidRPr="00CE0885" w:rsidRDefault="00867DFB" w:rsidP="00867DFB">
      <w:pPr>
        <w:spacing w:line="360" w:lineRule="auto"/>
        <w:rPr>
          <w:rFonts w:cs="Arial"/>
        </w:rPr>
      </w:pPr>
    </w:p>
    <w:p w14:paraId="71602200" w14:textId="77777777" w:rsidR="00867DFB" w:rsidRPr="00CE0885" w:rsidRDefault="00867DFB" w:rsidP="00867DFB">
      <w:pPr>
        <w:spacing w:line="360" w:lineRule="auto"/>
        <w:rPr>
          <w:rFonts w:cs="Arial"/>
        </w:rPr>
      </w:pPr>
      <w:r w:rsidRPr="00CE0885">
        <w:rPr>
          <w:rFonts w:cs="Arial"/>
        </w:rPr>
        <w:t>Practice name:</w:t>
      </w:r>
      <w:r w:rsidRPr="00CE0885">
        <w:rPr>
          <w:rFonts w:cs="Arial"/>
        </w:rPr>
        <w:tab/>
        <w:t>…………………………………………………………………………..</w:t>
      </w:r>
    </w:p>
    <w:p w14:paraId="100547C6" w14:textId="77777777" w:rsidR="00867DFB" w:rsidRPr="00CE0885" w:rsidRDefault="00867DFB" w:rsidP="00867DFB">
      <w:pPr>
        <w:spacing w:line="360" w:lineRule="auto"/>
        <w:rPr>
          <w:rFonts w:cs="Arial"/>
        </w:rPr>
      </w:pPr>
      <w:r w:rsidRPr="00CE0885">
        <w:rPr>
          <w:rFonts w:cs="Arial"/>
        </w:rPr>
        <w:t xml:space="preserve">Practice address: </w:t>
      </w:r>
      <w:r w:rsidRPr="00CE0885">
        <w:rPr>
          <w:rFonts w:cs="Arial"/>
        </w:rPr>
        <w:tab/>
        <w:t>…………………………………………………………………………..</w:t>
      </w:r>
    </w:p>
    <w:p w14:paraId="359F2E74" w14:textId="77777777" w:rsidR="00867DFB" w:rsidRPr="00CE0885" w:rsidRDefault="00867DFB" w:rsidP="00867DFB">
      <w:pPr>
        <w:spacing w:line="360" w:lineRule="auto"/>
        <w:rPr>
          <w:rFonts w:cs="Arial"/>
        </w:rPr>
      </w:pPr>
      <w:r w:rsidRPr="00CE0885">
        <w:rPr>
          <w:rFonts w:cs="Arial"/>
        </w:rPr>
        <w:tab/>
      </w:r>
      <w:r w:rsidRPr="00CE0885">
        <w:rPr>
          <w:rFonts w:cs="Arial"/>
        </w:rPr>
        <w:tab/>
      </w:r>
      <w:r w:rsidRPr="00CE0885">
        <w:rPr>
          <w:rFonts w:cs="Arial"/>
        </w:rPr>
        <w:tab/>
        <w:t>…………………………………………………………………………..</w:t>
      </w:r>
    </w:p>
    <w:p w14:paraId="36C5E278" w14:textId="77777777" w:rsidR="00867DFB" w:rsidRPr="00CE0885" w:rsidRDefault="00867DFB" w:rsidP="00867DFB">
      <w:pPr>
        <w:spacing w:line="360" w:lineRule="auto"/>
        <w:rPr>
          <w:rFonts w:cs="Arial"/>
        </w:rPr>
      </w:pPr>
      <w:r w:rsidRPr="00CE0885">
        <w:rPr>
          <w:rFonts w:cs="Arial"/>
        </w:rPr>
        <w:tab/>
      </w:r>
      <w:r w:rsidRPr="00CE0885">
        <w:rPr>
          <w:rFonts w:cs="Arial"/>
        </w:rPr>
        <w:tab/>
      </w:r>
      <w:r w:rsidRPr="00CE0885">
        <w:rPr>
          <w:rFonts w:cs="Arial"/>
        </w:rPr>
        <w:tab/>
        <w:t>…………………………………... Post code: ...……………………..</w:t>
      </w:r>
    </w:p>
    <w:p w14:paraId="608DF6A0" w14:textId="77777777" w:rsidR="00867DFB" w:rsidRPr="00CE0885" w:rsidRDefault="00867DFB" w:rsidP="00867DFB">
      <w:pPr>
        <w:spacing w:line="360" w:lineRule="auto"/>
        <w:rPr>
          <w:rFonts w:cs="Arial"/>
        </w:rPr>
      </w:pPr>
      <w:r w:rsidRPr="00CE0885">
        <w:rPr>
          <w:rFonts w:cs="Arial"/>
        </w:rPr>
        <w:t>Telephone number:</w:t>
      </w:r>
      <w:r w:rsidRPr="00CE0885">
        <w:rPr>
          <w:rFonts w:cs="Arial"/>
        </w:rPr>
        <w:tab/>
        <w:t>…………………………………………………………………………..</w:t>
      </w:r>
    </w:p>
    <w:p w14:paraId="413B3A95" w14:textId="77777777" w:rsidR="00867DFB" w:rsidRPr="00CE0885" w:rsidRDefault="00867DFB" w:rsidP="00867DFB">
      <w:pPr>
        <w:spacing w:line="360" w:lineRule="auto"/>
        <w:rPr>
          <w:rFonts w:cs="Arial"/>
        </w:rPr>
      </w:pPr>
    </w:p>
    <w:p w14:paraId="18433388" w14:textId="77777777" w:rsidR="00867DFB" w:rsidRPr="00CE0885" w:rsidRDefault="00867DFB" w:rsidP="00867DFB">
      <w:pPr>
        <w:spacing w:line="360" w:lineRule="auto"/>
        <w:rPr>
          <w:rFonts w:cs="Arial"/>
          <w:b/>
          <w:u w:val="single"/>
        </w:rPr>
      </w:pPr>
      <w:r w:rsidRPr="00CE0885">
        <w:rPr>
          <w:rFonts w:cs="Arial"/>
          <w:b/>
          <w:u w:val="single"/>
        </w:rPr>
        <w:t>Description of why additional payment is being sought</w:t>
      </w:r>
    </w:p>
    <w:p w14:paraId="651CB43B" w14:textId="77777777" w:rsidR="00867DFB" w:rsidRPr="00CE0885" w:rsidRDefault="00867DFB" w:rsidP="00867DFB">
      <w:pPr>
        <w:spacing w:line="360" w:lineRule="auto"/>
        <w:rPr>
          <w:rFonts w:cs="Arial"/>
          <w:b/>
          <w:u w:val="single"/>
        </w:rPr>
      </w:pPr>
    </w:p>
    <w:p w14:paraId="193B34BF" w14:textId="77777777" w:rsidR="00867DFB" w:rsidRPr="00CE0885" w:rsidRDefault="00867DFB" w:rsidP="00867DFB">
      <w:pPr>
        <w:spacing w:line="360" w:lineRule="auto"/>
        <w:rPr>
          <w:rFonts w:cs="Arial"/>
          <w:b/>
          <w:u w:val="single"/>
        </w:rPr>
      </w:pPr>
      <w:r w:rsidRPr="00CE0885">
        <w:rPr>
          <w:rFonts w:cs="Arial"/>
        </w:rPr>
        <w:t>……………………………………………………………………………………………………………………………………………………………………………………………………………………………………………………………………………………….……………………………………………………………………………………………………………………………………………………………………………………………………………………</w:t>
      </w:r>
    </w:p>
    <w:p w14:paraId="0F6339CA" w14:textId="77777777" w:rsidR="00867DFB" w:rsidRPr="00CE0885" w:rsidRDefault="00867DFB" w:rsidP="00867DFB">
      <w:pPr>
        <w:spacing w:line="360" w:lineRule="auto"/>
        <w:rPr>
          <w:rFonts w:cs="Arial"/>
          <w:b/>
          <w:u w:val="single"/>
        </w:rPr>
      </w:pPr>
    </w:p>
    <w:p w14:paraId="6CACA8E9" w14:textId="77777777" w:rsidR="00867DFB" w:rsidRPr="00CE0885" w:rsidRDefault="00867DFB" w:rsidP="00867DFB">
      <w:pPr>
        <w:spacing w:line="360" w:lineRule="auto"/>
        <w:rPr>
          <w:rFonts w:cs="Arial"/>
          <w:b/>
          <w:u w:val="single"/>
        </w:rPr>
      </w:pPr>
    </w:p>
    <w:p w14:paraId="36D8EB21" w14:textId="67AD44D0" w:rsidR="00867DFB" w:rsidRPr="00CE0885" w:rsidRDefault="005E089C" w:rsidP="00867DFB">
      <w:pPr>
        <w:spacing w:line="360" w:lineRule="auto"/>
        <w:rPr>
          <w:rFonts w:cs="Arial"/>
          <w:b/>
          <w:u w:val="single"/>
        </w:rPr>
      </w:pPr>
      <w:r>
        <w:rPr>
          <w:rFonts w:cs="Arial"/>
          <w:b/>
          <w:u w:val="single"/>
        </w:rPr>
        <w:br w:type="page"/>
      </w:r>
      <w:r w:rsidR="00867DFB" w:rsidRPr="00CE0885">
        <w:rPr>
          <w:rFonts w:cs="Arial"/>
          <w:b/>
          <w:u w:val="single"/>
        </w:rPr>
        <w:t>Details of GP performer taking leave</w:t>
      </w:r>
    </w:p>
    <w:p w14:paraId="3AC12DD3" w14:textId="77777777" w:rsidR="00867DFB" w:rsidRPr="00CE0885" w:rsidRDefault="00867DFB" w:rsidP="00867DFB">
      <w:pPr>
        <w:spacing w:line="360" w:lineRule="auto"/>
        <w:rPr>
          <w:rFonts w:cs="Arial"/>
        </w:rPr>
      </w:pPr>
    </w:p>
    <w:p w14:paraId="2007D384" w14:textId="77777777" w:rsidR="00867DFB" w:rsidRPr="00CE0885" w:rsidRDefault="00867DFB" w:rsidP="00867DFB">
      <w:pPr>
        <w:spacing w:line="360" w:lineRule="auto"/>
        <w:rPr>
          <w:rFonts w:cs="Arial"/>
        </w:rPr>
      </w:pPr>
      <w:r w:rsidRPr="00CE0885">
        <w:rPr>
          <w:rFonts w:cs="Arial"/>
        </w:rPr>
        <w:t>Surname: ………………………………………. First Name: …………………………….</w:t>
      </w:r>
    </w:p>
    <w:p w14:paraId="674A3CF4" w14:textId="77777777" w:rsidR="00867DFB" w:rsidRPr="00CE0885" w:rsidRDefault="00867DFB" w:rsidP="00867DFB">
      <w:pPr>
        <w:spacing w:line="360" w:lineRule="auto"/>
        <w:rPr>
          <w:rFonts w:cs="Arial"/>
        </w:rPr>
      </w:pPr>
    </w:p>
    <w:p w14:paraId="261139DA" w14:textId="77777777" w:rsidR="00867DFB" w:rsidRPr="009055A7" w:rsidRDefault="00867DFB" w:rsidP="00867DFB">
      <w:pPr>
        <w:spacing w:line="360" w:lineRule="auto"/>
        <w:rPr>
          <w:rFonts w:cs="Arial"/>
        </w:rPr>
      </w:pPr>
      <w:r w:rsidRPr="00CE0885">
        <w:rPr>
          <w:rFonts w:cs="Arial"/>
        </w:rPr>
        <w:t>Claim period: ………………………………….. Number of weeks</w:t>
      </w:r>
      <w:r w:rsidRPr="009055A7">
        <w:rPr>
          <w:rFonts w:cs="Arial"/>
          <w:vertAlign w:val="superscript"/>
        </w:rPr>
        <w:footnoteReference w:id="27"/>
      </w:r>
      <w:r w:rsidRPr="009055A7">
        <w:rPr>
          <w:rFonts w:cs="Arial"/>
        </w:rPr>
        <w:t>: ……………………..</w:t>
      </w:r>
    </w:p>
    <w:p w14:paraId="7DE53888" w14:textId="77777777" w:rsidR="00867DFB" w:rsidRPr="00CE0885" w:rsidRDefault="00867DFB" w:rsidP="00867DFB">
      <w:pPr>
        <w:spacing w:line="360" w:lineRule="auto"/>
        <w:rPr>
          <w:rFonts w:cs="Arial"/>
        </w:rPr>
      </w:pPr>
    </w:p>
    <w:p w14:paraId="5DB6BF87" w14:textId="77777777" w:rsidR="00867DFB" w:rsidRPr="00CE0885" w:rsidRDefault="00867DFB" w:rsidP="00867DFB">
      <w:pPr>
        <w:spacing w:line="360" w:lineRule="auto"/>
        <w:rPr>
          <w:rFonts w:cs="Arial"/>
        </w:rPr>
      </w:pPr>
      <w:r w:rsidRPr="00CE0885">
        <w:rPr>
          <w:rFonts w:cs="Arial"/>
        </w:rPr>
        <w:t>Number of clinical sessions worked…………………………….</w:t>
      </w:r>
    </w:p>
    <w:p w14:paraId="46DE7D47" w14:textId="77777777" w:rsidR="00867DFB" w:rsidRPr="00CE0885" w:rsidRDefault="00867DFB" w:rsidP="00867DFB">
      <w:pPr>
        <w:spacing w:line="360" w:lineRule="auto"/>
        <w:rPr>
          <w:rFonts w:cs="Arial"/>
        </w:rPr>
      </w:pPr>
    </w:p>
    <w:p w14:paraId="5E8D30A9" w14:textId="1CA6AF1E" w:rsidR="00867DFB" w:rsidRPr="00CE0885" w:rsidRDefault="00867DFB" w:rsidP="00867DFB">
      <w:pPr>
        <w:spacing w:line="360" w:lineRule="auto"/>
        <w:rPr>
          <w:rFonts w:cs="Arial"/>
          <w:b/>
          <w:u w:val="single"/>
        </w:rPr>
      </w:pPr>
      <w:r w:rsidRPr="00CE0885">
        <w:rPr>
          <w:rFonts w:cs="Arial"/>
        </w:rPr>
        <w:t xml:space="preserve">Reason for claim </w:t>
      </w:r>
      <w:r w:rsidRPr="00CE0885">
        <w:rPr>
          <w:rFonts w:cs="Arial"/>
          <w:i/>
        </w:rPr>
        <w:t>(delete as appropriate)</w:t>
      </w:r>
      <w:r w:rsidRPr="00CE0885">
        <w:rPr>
          <w:rFonts w:cs="Arial"/>
        </w:rPr>
        <w:t>: MATERNITY / PATERNITY / ADOPTION / SICKNESS</w:t>
      </w:r>
    </w:p>
    <w:p w14:paraId="6990B3B6" w14:textId="73B451A6" w:rsidR="00867DFB" w:rsidRPr="00CE0885" w:rsidRDefault="005E089C" w:rsidP="00867DFB">
      <w:pPr>
        <w:spacing w:line="360" w:lineRule="auto"/>
        <w:rPr>
          <w:rFonts w:cs="Arial"/>
          <w:b/>
          <w:u w:val="single"/>
        </w:rPr>
      </w:pPr>
      <w:r>
        <w:rPr>
          <w:rFonts w:cs="Arial"/>
          <w:b/>
          <w:u w:val="single"/>
        </w:rPr>
        <w:br w:type="page"/>
      </w:r>
      <w:r w:rsidR="00867DFB" w:rsidRPr="00CE0885">
        <w:rPr>
          <w:rFonts w:cs="Arial"/>
          <w:b/>
          <w:u w:val="single"/>
        </w:rPr>
        <w:t>Declaration of GP performer taking leave</w:t>
      </w:r>
    </w:p>
    <w:p w14:paraId="6F4B31AB" w14:textId="77777777" w:rsidR="00867DFB" w:rsidRPr="00CE0885" w:rsidRDefault="00867DFB" w:rsidP="00867DFB">
      <w:pPr>
        <w:spacing w:line="360" w:lineRule="auto"/>
        <w:rPr>
          <w:rFonts w:cs="Arial"/>
        </w:rPr>
      </w:pPr>
    </w:p>
    <w:p w14:paraId="32BD642F" w14:textId="77777777" w:rsidR="00867DFB" w:rsidRPr="00CE0885" w:rsidRDefault="00867DFB" w:rsidP="00867DFB">
      <w:pPr>
        <w:spacing w:line="360" w:lineRule="auto"/>
        <w:rPr>
          <w:rFonts w:cs="Arial"/>
        </w:rPr>
      </w:pPr>
      <w:r w:rsidRPr="00CE0885">
        <w:rPr>
          <w:rFonts w:cs="Arial"/>
        </w:rPr>
        <w:t>I ………………………………………………………………………………….. certify that:</w:t>
      </w:r>
    </w:p>
    <w:p w14:paraId="26B92AAE" w14:textId="77777777" w:rsidR="00867DFB" w:rsidRPr="00CE0885" w:rsidRDefault="00867DFB" w:rsidP="00867DFB">
      <w:pPr>
        <w:spacing w:line="360" w:lineRule="auto"/>
        <w:rPr>
          <w:rFonts w:cs="Arial"/>
          <w:i/>
        </w:rPr>
      </w:pPr>
      <w:r w:rsidRPr="00CE0885">
        <w:rPr>
          <w:rFonts w:cs="Arial"/>
        </w:rPr>
        <w:t xml:space="preserve">  </w:t>
      </w:r>
      <w:r w:rsidRPr="00CE0885">
        <w:rPr>
          <w:rFonts w:cs="Arial"/>
          <w:i/>
        </w:rPr>
        <w:t>(Full name in capitals)</w:t>
      </w:r>
    </w:p>
    <w:p w14:paraId="28A71341" w14:textId="77777777" w:rsidR="00867DFB" w:rsidRPr="00CE0885" w:rsidRDefault="00867DFB" w:rsidP="00867DFB">
      <w:pPr>
        <w:spacing w:line="360" w:lineRule="auto"/>
        <w:rPr>
          <w:rFonts w:cs="Arial"/>
        </w:rPr>
      </w:pPr>
    </w:p>
    <w:p w14:paraId="2C9A6760" w14:textId="77777777" w:rsidR="00867DFB" w:rsidRPr="00CE0885" w:rsidRDefault="00867DFB" w:rsidP="00867DFB">
      <w:pPr>
        <w:spacing w:line="360" w:lineRule="auto"/>
        <w:ind w:left="360"/>
        <w:contextualSpacing/>
        <w:rPr>
          <w:rFonts w:cs="Arial"/>
        </w:rPr>
      </w:pPr>
      <w:r w:rsidRPr="00CE0885">
        <w:rPr>
          <w:rFonts w:cs="Arial"/>
        </w:rPr>
        <w:t>The information shown on the reverse side of this form provides an explanation of how the practice intends to cover my period of absence.</w:t>
      </w:r>
    </w:p>
    <w:p w14:paraId="3A7CA1A5" w14:textId="77777777" w:rsidR="00867DFB" w:rsidRPr="00CE0885" w:rsidRDefault="00867DFB" w:rsidP="00867DFB">
      <w:pPr>
        <w:spacing w:line="360" w:lineRule="auto"/>
        <w:rPr>
          <w:rFonts w:cs="Arial"/>
        </w:rPr>
      </w:pPr>
    </w:p>
    <w:p w14:paraId="5A5213A0" w14:textId="77777777" w:rsidR="00867DFB" w:rsidRPr="00CE0885" w:rsidRDefault="00867DFB" w:rsidP="00867DFB">
      <w:pPr>
        <w:spacing w:line="360" w:lineRule="auto"/>
        <w:rPr>
          <w:rFonts w:cs="Arial"/>
        </w:rPr>
      </w:pPr>
      <w:r w:rsidRPr="00CE0885">
        <w:rPr>
          <w:rFonts w:cs="Arial"/>
        </w:rPr>
        <w:t>Where necessary, I have already submitted (</w:t>
      </w:r>
      <w:r w:rsidRPr="00CE0885">
        <w:rPr>
          <w:rFonts w:cs="Arial"/>
          <w:i/>
        </w:rPr>
        <w:t>please tick the box that applies</w:t>
      </w:r>
      <w:r w:rsidRPr="00CE0885">
        <w:rPr>
          <w:rFonts w:cs="Arial"/>
        </w:rPr>
        <w:t>):</w:t>
      </w:r>
    </w:p>
    <w:p w14:paraId="19C7D56B" w14:textId="77777777" w:rsidR="00867DFB" w:rsidRPr="00CE0885" w:rsidRDefault="00867DFB" w:rsidP="00867DFB">
      <w:pPr>
        <w:spacing w:line="360" w:lineRule="auto"/>
        <w:rPr>
          <w:rFonts w:cs="Arial"/>
        </w:rPr>
      </w:pPr>
    </w:p>
    <w:p w14:paraId="225319C1" w14:textId="24744D0D" w:rsidR="00867DFB" w:rsidRPr="009055A7" w:rsidRDefault="00867DFB" w:rsidP="00825050">
      <w:pPr>
        <w:numPr>
          <w:ilvl w:val="0"/>
          <w:numId w:val="58"/>
        </w:numPr>
        <w:spacing w:line="360" w:lineRule="auto"/>
        <w:contextualSpacing/>
        <w:rPr>
          <w:rFonts w:cs="Arial"/>
        </w:rPr>
      </w:pPr>
      <w:r w:rsidRPr="009055A7">
        <w:rPr>
          <w:rFonts w:cs="Arial"/>
          <w:noProof/>
          <w:lang w:eastAsia="en-GB"/>
        </w:rPr>
        <mc:AlternateContent>
          <mc:Choice Requires="wps">
            <w:drawing>
              <wp:anchor distT="0" distB="0" distL="114300" distR="114300" simplePos="0" relativeHeight="251658243" behindDoc="0" locked="0" layoutInCell="1" allowOverlap="1" wp14:anchorId="1F393A1F" wp14:editId="516666FE">
                <wp:simplePos x="0" y="0"/>
                <wp:positionH relativeFrom="column">
                  <wp:posOffset>893618</wp:posOffset>
                </wp:positionH>
                <wp:positionV relativeFrom="paragraph">
                  <wp:posOffset>486179</wp:posOffset>
                </wp:positionV>
                <wp:extent cx="584790" cy="223284"/>
                <wp:effectExtent l="0" t="0" r="25400" b="24765"/>
                <wp:wrapNone/>
                <wp:docPr id="168" name="Rectangle 168" descr="a text entry box">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584790" cy="223284"/>
                        </a:xfrm>
                        <a:prstGeom prst="rect">
                          <a:avLst/>
                        </a:prstGeom>
                        <a:solidFill>
                          <a:sysClr val="window" lastClr="FFFFFF"/>
                        </a:solidFill>
                        <a:ln w="25400" cap="flat" cmpd="sng" algn="ctr">
                          <a:solidFill>
                            <a:srgbClr val="000000"/>
                          </a:solidFill>
                          <a:prstDash val="solid"/>
                        </a:ln>
                        <a:effectLst/>
                      </wps:spPr>
                      <wps:txbx>
                        <w:txbxContent>
                          <w:p w14:paraId="5415AE36" w14:textId="77777777" w:rsidR="00942266" w:rsidRDefault="00942266" w:rsidP="00867D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93A1F" id="Rectangle 168" o:spid="_x0000_s1050" alt="a text entry box" style="position:absolute;left:0;text-align:left;margin-left:70.35pt;margin-top:38.3pt;width:46.05pt;height:17.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" fillcolor="window" strokeweight="2pt">
                <v:textbox>
                  <w:txbxContent>
                    <w:p w14:paraId="5415AE36" w14:textId="77777777" w:rsidR="00942266" w:rsidRDefault="00942266" w:rsidP="00867DFB">
                      <w:pPr>
                        <w:jc w:val="center"/>
                      </w:pPr>
                    </w:p>
                  </w:txbxContent>
                </v:textbox>
              </v:rect>
            </w:pict>
          </mc:Fallback>
        </mc:AlternateContent>
      </w:r>
      <w:r w:rsidRPr="009055A7">
        <w:rPr>
          <w:rFonts w:cs="Arial"/>
        </w:rPr>
        <w:t xml:space="preserve">a certificate of confinement, a confirmation letter of prospective fatherhood or a letter confirming adoption leave from the appropriate adoption agency, in support of this claim </w:t>
      </w:r>
    </w:p>
    <w:p w14:paraId="690FB736" w14:textId="3E06834C" w:rsidR="00867DFB" w:rsidRPr="009055A7" w:rsidRDefault="00867DFB" w:rsidP="00867DFB">
      <w:pPr>
        <w:spacing w:line="360" w:lineRule="auto"/>
        <w:ind w:left="360"/>
        <w:contextualSpacing/>
        <w:rPr>
          <w:rFonts w:cs="Arial"/>
        </w:rPr>
      </w:pPr>
      <w:r w:rsidRPr="009055A7">
        <w:rPr>
          <w:rFonts w:cs="Arial"/>
          <w:noProof/>
          <w:lang w:eastAsia="en-GB"/>
        </w:rPr>
        <mc:AlternateContent>
          <mc:Choice Requires="wps">
            <w:drawing>
              <wp:anchor distT="0" distB="0" distL="114300" distR="114300" simplePos="0" relativeHeight="251658244" behindDoc="0" locked="0" layoutInCell="1" allowOverlap="1" wp14:anchorId="114BB809" wp14:editId="72813309">
                <wp:simplePos x="0" y="0"/>
                <wp:positionH relativeFrom="column">
                  <wp:posOffset>5390515</wp:posOffset>
                </wp:positionH>
                <wp:positionV relativeFrom="paragraph">
                  <wp:posOffset>236162</wp:posOffset>
                </wp:positionV>
                <wp:extent cx="584200" cy="222885"/>
                <wp:effectExtent l="0" t="0" r="25400" b="24765"/>
                <wp:wrapNone/>
                <wp:docPr id="169" name="Rectangle 169" descr="a text entry box&#10;&#10;a text entry box">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584200" cy="222885"/>
                        </a:xfrm>
                        <a:prstGeom prst="rect">
                          <a:avLst/>
                        </a:prstGeom>
                        <a:solidFill>
                          <a:sysClr val="window" lastClr="FFFFFF"/>
                        </a:solidFill>
                        <a:ln w="25400" cap="flat" cmpd="sng" algn="ctr">
                          <a:solidFill>
                            <a:srgbClr val="000000"/>
                          </a:solidFill>
                          <a:prstDash val="solid"/>
                        </a:ln>
                        <a:effectLst/>
                      </wps:spPr>
                      <wps:txbx>
                        <w:txbxContent>
                          <w:p w14:paraId="69EF57A7" w14:textId="77777777" w:rsidR="00942266" w:rsidRDefault="00942266" w:rsidP="00867D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BB809" id="Rectangle 169" o:spid="_x0000_s1051" alt="a text entry box&#10;&#10;a text entry box" style="position:absolute;left:0;text-align:left;margin-left:424.45pt;margin-top:18.6pt;width:46pt;height:17.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" fillcolor="window" strokeweight="2pt">
                <v:textbox>
                  <w:txbxContent>
                    <w:p w14:paraId="69EF57A7" w14:textId="77777777" w:rsidR="00942266" w:rsidRDefault="00942266" w:rsidP="00867DFB">
                      <w:pPr>
                        <w:jc w:val="center"/>
                      </w:pPr>
                    </w:p>
                  </w:txbxContent>
                </v:textbox>
              </v:rect>
            </w:pict>
          </mc:Fallback>
        </mc:AlternateContent>
      </w:r>
    </w:p>
    <w:p w14:paraId="1AF47201" w14:textId="77777777" w:rsidR="00867DFB" w:rsidRPr="00CE0885" w:rsidRDefault="00867DFB" w:rsidP="00825050">
      <w:pPr>
        <w:numPr>
          <w:ilvl w:val="0"/>
          <w:numId w:val="58"/>
        </w:numPr>
        <w:spacing w:line="360" w:lineRule="auto"/>
        <w:contextualSpacing/>
        <w:rPr>
          <w:rFonts w:cs="Arial"/>
        </w:rPr>
      </w:pPr>
      <w:r w:rsidRPr="00CE0885">
        <w:rPr>
          <w:rFonts w:cs="Arial"/>
        </w:rPr>
        <w:t xml:space="preserve"> a sick note from my GP stating the reason and expected length of absence  </w:t>
      </w:r>
    </w:p>
    <w:p w14:paraId="2EC64C9B" w14:textId="77777777" w:rsidR="00867DFB" w:rsidRPr="00CE0885" w:rsidRDefault="00867DFB" w:rsidP="00867DFB">
      <w:pPr>
        <w:spacing w:line="360" w:lineRule="auto"/>
        <w:rPr>
          <w:rFonts w:cs="Arial"/>
        </w:rPr>
      </w:pPr>
    </w:p>
    <w:p w14:paraId="0875B1A6" w14:textId="77777777" w:rsidR="00867DFB" w:rsidRPr="00CE0885" w:rsidRDefault="00867DFB" w:rsidP="00867DFB">
      <w:pPr>
        <w:spacing w:line="360" w:lineRule="auto"/>
        <w:rPr>
          <w:rFonts w:cs="Arial"/>
        </w:rPr>
      </w:pPr>
      <w:r w:rsidRPr="00CE0885">
        <w:rPr>
          <w:rFonts w:cs="Arial"/>
        </w:rPr>
        <w:t>I declare that the information provided in this claim is correct and complete. I agree to provide NHS England with written records demonstrating the actual cost of the cover and will inform NHS England if there is any change to the cover arrangements. I claim the appropriate payment for the practice.</w:t>
      </w:r>
    </w:p>
    <w:p w14:paraId="262CF0E4" w14:textId="77777777" w:rsidR="00867DFB" w:rsidRPr="00CE0885" w:rsidRDefault="00867DFB" w:rsidP="00867DFB">
      <w:pPr>
        <w:spacing w:line="360" w:lineRule="auto"/>
        <w:rPr>
          <w:rFonts w:cs="Arial"/>
        </w:rPr>
      </w:pPr>
    </w:p>
    <w:p w14:paraId="25222E86" w14:textId="77777777" w:rsidR="00867DFB" w:rsidRPr="00CE0885" w:rsidRDefault="00867DFB" w:rsidP="00867DFB">
      <w:pPr>
        <w:spacing w:line="360" w:lineRule="auto"/>
        <w:rPr>
          <w:rFonts w:cs="Arial"/>
        </w:rPr>
      </w:pPr>
      <w:r w:rsidRPr="00CE0885">
        <w:rPr>
          <w:rFonts w:cs="Arial"/>
        </w:rPr>
        <w:t>Signature: …………………………………………………….. Date: ………………………</w:t>
      </w:r>
    </w:p>
    <w:p w14:paraId="2B5FA066" w14:textId="77777777" w:rsidR="00867DFB" w:rsidRPr="00CE0885" w:rsidRDefault="00867DFB" w:rsidP="00867DFB">
      <w:pPr>
        <w:spacing w:line="360" w:lineRule="auto"/>
        <w:rPr>
          <w:rFonts w:cs="Arial"/>
        </w:rPr>
      </w:pPr>
      <w:r w:rsidRPr="00CE0885">
        <w:rPr>
          <w:rFonts w:cs="Arial"/>
          <w:i/>
        </w:rPr>
        <w:t>(An authorised signatory who is prepared to take responsibility for this declaration may sign here on behalf of the GP performer taking leave if he/she is not available to do so.)</w:t>
      </w:r>
    </w:p>
    <w:p w14:paraId="0E993B1B" w14:textId="77777777" w:rsidR="00867DFB" w:rsidRPr="00CE0885" w:rsidRDefault="00867DFB" w:rsidP="00867DFB">
      <w:pPr>
        <w:spacing w:line="360" w:lineRule="auto"/>
        <w:rPr>
          <w:rFonts w:cs="Arial"/>
          <w:b/>
          <w:u w:val="single"/>
        </w:rPr>
      </w:pPr>
    </w:p>
    <w:p w14:paraId="277D2A51" w14:textId="4F4F29B6" w:rsidR="00867DFB" w:rsidRDefault="00867DFB" w:rsidP="00867DFB">
      <w:pPr>
        <w:spacing w:line="360" w:lineRule="auto"/>
        <w:rPr>
          <w:rFonts w:cs="Arial"/>
          <w:b/>
          <w:u w:val="single"/>
        </w:rPr>
      </w:pPr>
    </w:p>
    <w:p w14:paraId="2B00184A" w14:textId="3DB09B4F" w:rsidR="00E02B89" w:rsidRDefault="00E02B89" w:rsidP="00867DFB">
      <w:pPr>
        <w:spacing w:line="360" w:lineRule="auto"/>
        <w:rPr>
          <w:rFonts w:cs="Arial"/>
          <w:b/>
          <w:u w:val="single"/>
        </w:rPr>
      </w:pPr>
    </w:p>
    <w:p w14:paraId="3B430A07" w14:textId="15E490B4" w:rsidR="00E02B89" w:rsidRDefault="00E02B89" w:rsidP="00867DFB">
      <w:pPr>
        <w:spacing w:line="360" w:lineRule="auto"/>
        <w:rPr>
          <w:rFonts w:cs="Arial"/>
          <w:b/>
          <w:u w:val="single"/>
        </w:rPr>
      </w:pPr>
    </w:p>
    <w:p w14:paraId="7C8FFAEA" w14:textId="3A99E5AF" w:rsidR="00E02B89" w:rsidRDefault="00E02B89" w:rsidP="00867DFB">
      <w:pPr>
        <w:spacing w:line="360" w:lineRule="auto"/>
        <w:rPr>
          <w:rFonts w:cs="Arial"/>
          <w:b/>
          <w:u w:val="single"/>
        </w:rPr>
      </w:pPr>
    </w:p>
    <w:p w14:paraId="3D0D3C06" w14:textId="3FC476AA" w:rsidR="00E02B89" w:rsidRDefault="00E02B89" w:rsidP="00867DFB">
      <w:pPr>
        <w:spacing w:line="360" w:lineRule="auto"/>
        <w:rPr>
          <w:rFonts w:cs="Arial"/>
          <w:b/>
          <w:u w:val="single"/>
        </w:rPr>
      </w:pPr>
    </w:p>
    <w:p w14:paraId="6F093258" w14:textId="4EDD4AF6" w:rsidR="00E02B89" w:rsidRDefault="00E02B89" w:rsidP="00867DFB">
      <w:pPr>
        <w:spacing w:line="360" w:lineRule="auto"/>
        <w:rPr>
          <w:rFonts w:cs="Arial"/>
          <w:b/>
          <w:u w:val="single"/>
        </w:rPr>
      </w:pPr>
    </w:p>
    <w:p w14:paraId="1A9195E9" w14:textId="5E30DD9D" w:rsidR="00E02B89" w:rsidRDefault="00E02B89" w:rsidP="00867DFB">
      <w:pPr>
        <w:spacing w:line="360" w:lineRule="auto"/>
        <w:rPr>
          <w:rFonts w:cs="Arial"/>
          <w:b/>
          <w:u w:val="single"/>
        </w:rPr>
      </w:pPr>
    </w:p>
    <w:p w14:paraId="13B2C54D" w14:textId="4C47D8B7" w:rsidR="00E02B89" w:rsidRDefault="00E02B89" w:rsidP="00867DFB">
      <w:pPr>
        <w:spacing w:line="360" w:lineRule="auto"/>
        <w:rPr>
          <w:rFonts w:cs="Arial"/>
          <w:b/>
          <w:u w:val="single"/>
        </w:rPr>
      </w:pPr>
    </w:p>
    <w:p w14:paraId="7B51B1BA" w14:textId="77777777" w:rsidR="00E02B89" w:rsidRPr="00CE0885" w:rsidRDefault="00E02B89" w:rsidP="00867DFB">
      <w:pPr>
        <w:spacing w:line="360" w:lineRule="auto"/>
        <w:rPr>
          <w:rFonts w:cs="Arial"/>
          <w:b/>
          <w:u w:val="single"/>
        </w:rPr>
      </w:pPr>
    </w:p>
    <w:p w14:paraId="07CD1F0D" w14:textId="77777777" w:rsidR="00867DFB" w:rsidRPr="00CE0885" w:rsidRDefault="00867DFB" w:rsidP="00867DFB">
      <w:pPr>
        <w:spacing w:line="360" w:lineRule="auto"/>
        <w:rPr>
          <w:rFonts w:cs="Arial"/>
          <w:b/>
          <w:u w:val="single"/>
        </w:rPr>
      </w:pPr>
      <w:r w:rsidRPr="00CE0885">
        <w:rPr>
          <w:rFonts w:cs="Arial"/>
          <w:b/>
          <w:u w:val="single"/>
        </w:rPr>
        <w:t>Arrangements to cover GP performer absence</w:t>
      </w:r>
    </w:p>
    <w:p w14:paraId="632CDCFC" w14:textId="77777777" w:rsidR="00867DFB" w:rsidRPr="00CE0885" w:rsidRDefault="00867DFB" w:rsidP="00867DFB">
      <w:pPr>
        <w:spacing w:line="360" w:lineRule="auto"/>
        <w:rPr>
          <w:rFonts w:cs="Arial"/>
        </w:rPr>
      </w:pPr>
    </w:p>
    <w:p w14:paraId="4B269047" w14:textId="77777777" w:rsidR="00867DFB" w:rsidRPr="00CE0885" w:rsidRDefault="00867DFB" w:rsidP="00867DFB">
      <w:pPr>
        <w:spacing w:line="360" w:lineRule="auto"/>
        <w:rPr>
          <w:rFonts w:cs="Arial"/>
        </w:rPr>
      </w:pPr>
      <w:r w:rsidRPr="00CE0885">
        <w:rPr>
          <w:rFonts w:cs="Arial"/>
        </w:rPr>
        <w:t>Please provide a brief explanation of how cover will be provided.</w:t>
      </w:r>
    </w:p>
    <w:p w14:paraId="2179E0BE" w14:textId="0320722B" w:rsidR="00867DFB" w:rsidRPr="00CE0885" w:rsidRDefault="00867DFB" w:rsidP="00867DFB">
      <w:pPr>
        <w:spacing w:line="360" w:lineRule="auto"/>
        <w:rPr>
          <w:rFonts w:cs="Arial"/>
        </w:rPr>
      </w:pPr>
      <w:r w:rsidRPr="00CE0885">
        <w:rPr>
          <w:rFonts w:cs="Arial"/>
          <w:i/>
        </w:rPr>
        <w:t>(i.e. will this be via a locum, GPs already working in the practice,</w:t>
      </w:r>
      <w:r w:rsidR="0000301B">
        <w:rPr>
          <w:rFonts w:cs="Arial"/>
          <w:i/>
        </w:rPr>
        <w:t xml:space="preserve"> fixed-term salaried GP</w:t>
      </w:r>
      <w:r w:rsidRPr="00CE0885">
        <w:rPr>
          <w:rFonts w:cs="Arial"/>
          <w:i/>
        </w:rPr>
        <w:t xml:space="preserve"> or a combination) </w:t>
      </w:r>
    </w:p>
    <w:p w14:paraId="7949152F" w14:textId="7CD52075" w:rsidR="00867DFB" w:rsidRDefault="00867DFB" w:rsidP="005E089C">
      <w:pPr>
        <w:spacing w:line="360" w:lineRule="auto"/>
        <w:rPr>
          <w:rFonts w:cs="Arial"/>
        </w:rPr>
      </w:pPr>
      <w:r w:rsidRPr="00CE0885">
        <w:rPr>
          <w:rFonts w:cs="Arial"/>
        </w:rPr>
        <w:t>……………………………………………………………………………………………………………………………………………………………………………………………………………………………………………………………………………………………………………………………………………………………………………………………………………….………………</w:t>
      </w:r>
      <w:r w:rsidR="0000301B">
        <w:rPr>
          <w:rFonts w:cs="Arial"/>
        </w:rPr>
        <w:t>………..</w:t>
      </w:r>
    </w:p>
    <w:p w14:paraId="174B2556" w14:textId="2859FADA" w:rsidR="0000301B" w:rsidRDefault="0000301B" w:rsidP="005E089C">
      <w:pPr>
        <w:spacing w:line="360" w:lineRule="auto"/>
        <w:rPr>
          <w:rFonts w:cs="Arial"/>
        </w:rPr>
      </w:pPr>
      <w:r>
        <w:rPr>
          <w:rFonts w:cs="Arial"/>
        </w:rPr>
        <w:t>…………………………………………………………………………………………………………</w:t>
      </w:r>
    </w:p>
    <w:p w14:paraId="1EF936AB" w14:textId="77777777" w:rsidR="0000301B" w:rsidRPr="00CE0885" w:rsidRDefault="0000301B" w:rsidP="005E089C">
      <w:pPr>
        <w:spacing w:line="360" w:lineRule="auto"/>
        <w:rPr>
          <w:rFonts w:cs="Arial"/>
        </w:rPr>
      </w:pPr>
    </w:p>
    <w:p w14:paraId="2E9C0EA7" w14:textId="15384680" w:rsidR="00867DFB" w:rsidRPr="00CE0885" w:rsidRDefault="00867DFB" w:rsidP="00867DFB">
      <w:pPr>
        <w:spacing w:line="360" w:lineRule="auto"/>
        <w:rPr>
          <w:rFonts w:cs="Arial"/>
          <w:b/>
          <w:u w:val="single"/>
        </w:rPr>
      </w:pPr>
      <w:r w:rsidRPr="00CE0885">
        <w:rPr>
          <w:rFonts w:cs="Arial"/>
          <w:b/>
          <w:u w:val="single"/>
        </w:rPr>
        <w:t>Details of external GPs covering absence</w:t>
      </w:r>
    </w:p>
    <w:p w14:paraId="33EAEFEA" w14:textId="77777777" w:rsidR="00867DFB" w:rsidRPr="00CE0885" w:rsidRDefault="00867DFB" w:rsidP="00867DFB">
      <w:pPr>
        <w:spacing w:line="360" w:lineRule="auto"/>
        <w:rPr>
          <w:rFonts w:cs="Arial"/>
        </w:rPr>
      </w:pPr>
    </w:p>
    <w:p w14:paraId="5702B647" w14:textId="77777777" w:rsidR="00867DFB" w:rsidRPr="00CE0885" w:rsidRDefault="00867DFB" w:rsidP="00867DFB">
      <w:pPr>
        <w:spacing w:line="360" w:lineRule="auto"/>
        <w:rPr>
          <w:rFonts w:cs="Arial"/>
        </w:rPr>
      </w:pPr>
      <w:r w:rsidRPr="00CE0885">
        <w:rPr>
          <w:rFonts w:cs="Arial"/>
        </w:rPr>
        <w:t>If employing an external locum GP to cover the GP performer’s absence, then please complete the information below (add more lines if required).</w:t>
      </w:r>
    </w:p>
    <w:p w14:paraId="1E17AC91" w14:textId="77777777" w:rsidR="00867DFB" w:rsidRPr="00CE0885" w:rsidRDefault="00867DFB" w:rsidP="00867DFB">
      <w:pPr>
        <w:spacing w:line="360" w:lineRule="auto"/>
        <w:rPr>
          <w:rFonts w:cs="Arial"/>
        </w:rPr>
      </w:pPr>
    </w:p>
    <w:p w14:paraId="0D440A4D" w14:textId="77777777" w:rsidR="00867DFB" w:rsidRPr="00CE0885" w:rsidRDefault="00867DFB" w:rsidP="00825050">
      <w:pPr>
        <w:numPr>
          <w:ilvl w:val="0"/>
          <w:numId w:val="59"/>
        </w:numPr>
        <w:spacing w:line="360" w:lineRule="auto"/>
        <w:contextualSpacing/>
        <w:rPr>
          <w:rFonts w:cs="Arial"/>
        </w:rPr>
      </w:pPr>
      <w:r w:rsidRPr="00CE0885">
        <w:rPr>
          <w:rFonts w:cs="Arial"/>
        </w:rPr>
        <w:t>Name and surname: ……………………………………………………………………</w:t>
      </w:r>
    </w:p>
    <w:p w14:paraId="064BD45D" w14:textId="77777777" w:rsidR="00867DFB" w:rsidRPr="00CE0885" w:rsidRDefault="00867DFB" w:rsidP="00867DFB">
      <w:pPr>
        <w:spacing w:line="360" w:lineRule="auto"/>
        <w:ind w:left="360"/>
        <w:contextualSpacing/>
        <w:rPr>
          <w:rFonts w:cs="Arial"/>
        </w:rPr>
      </w:pPr>
    </w:p>
    <w:p w14:paraId="261EA397" w14:textId="77777777" w:rsidR="00867DFB" w:rsidRPr="00CE0885" w:rsidRDefault="00867DFB" w:rsidP="00867DFB">
      <w:pPr>
        <w:spacing w:line="360" w:lineRule="auto"/>
        <w:ind w:left="360"/>
        <w:contextualSpacing/>
        <w:rPr>
          <w:rFonts w:cs="Arial"/>
        </w:rPr>
      </w:pPr>
      <w:r w:rsidRPr="00CE0885">
        <w:rPr>
          <w:rFonts w:cs="Arial"/>
        </w:rPr>
        <w:t>Period of cover: …………………………….…………. (No. of weeks: ……………)</w:t>
      </w:r>
    </w:p>
    <w:p w14:paraId="0076AD5A" w14:textId="77777777" w:rsidR="00867DFB" w:rsidRPr="00CE0885" w:rsidRDefault="00867DFB" w:rsidP="00867DFB">
      <w:pPr>
        <w:spacing w:line="360" w:lineRule="auto"/>
        <w:ind w:left="360"/>
        <w:contextualSpacing/>
        <w:rPr>
          <w:rFonts w:cs="Arial"/>
        </w:rPr>
      </w:pPr>
    </w:p>
    <w:p w14:paraId="63E512D6" w14:textId="77777777" w:rsidR="00867DFB" w:rsidRPr="00CE0885" w:rsidRDefault="00867DFB" w:rsidP="00867DFB">
      <w:pPr>
        <w:spacing w:line="360" w:lineRule="auto"/>
        <w:ind w:left="360"/>
        <w:contextualSpacing/>
        <w:rPr>
          <w:rFonts w:cs="Arial"/>
        </w:rPr>
      </w:pPr>
      <w:r w:rsidRPr="00CE0885">
        <w:rPr>
          <w:rFonts w:cs="Arial"/>
        </w:rPr>
        <w:t>Number of clinical sessions worked………..</w:t>
      </w:r>
    </w:p>
    <w:p w14:paraId="66107DF9" w14:textId="77777777" w:rsidR="00867DFB" w:rsidRPr="00CE0885" w:rsidRDefault="00867DFB" w:rsidP="00867DFB">
      <w:pPr>
        <w:spacing w:line="360" w:lineRule="auto"/>
        <w:ind w:left="360"/>
        <w:contextualSpacing/>
        <w:rPr>
          <w:rFonts w:cs="Arial"/>
        </w:rPr>
      </w:pPr>
    </w:p>
    <w:p w14:paraId="21BDA3C8" w14:textId="77777777" w:rsidR="00867DFB" w:rsidRPr="00CE0885" w:rsidRDefault="00867DFB" w:rsidP="00867DFB">
      <w:pPr>
        <w:spacing w:line="360" w:lineRule="auto"/>
        <w:ind w:left="360"/>
        <w:contextualSpacing/>
        <w:rPr>
          <w:rFonts w:cs="Arial"/>
        </w:rPr>
      </w:pPr>
      <w:r w:rsidRPr="00CE0885">
        <w:rPr>
          <w:rFonts w:cs="Arial"/>
        </w:rPr>
        <w:t>Amount paid to individual: £…………………………..</w:t>
      </w:r>
    </w:p>
    <w:p w14:paraId="0340FFD5" w14:textId="77777777" w:rsidR="00867DFB" w:rsidRPr="00CE0885" w:rsidRDefault="00867DFB" w:rsidP="00867DFB">
      <w:pPr>
        <w:spacing w:line="360" w:lineRule="auto"/>
        <w:ind w:left="360"/>
        <w:contextualSpacing/>
        <w:rPr>
          <w:rFonts w:cs="Arial"/>
        </w:rPr>
      </w:pPr>
    </w:p>
    <w:p w14:paraId="6FA34F7D" w14:textId="77777777" w:rsidR="00867DFB" w:rsidRPr="00CE0885" w:rsidRDefault="00867DFB" w:rsidP="00825050">
      <w:pPr>
        <w:numPr>
          <w:ilvl w:val="0"/>
          <w:numId w:val="59"/>
        </w:numPr>
        <w:spacing w:line="360" w:lineRule="auto"/>
        <w:contextualSpacing/>
        <w:rPr>
          <w:rFonts w:cs="Arial"/>
        </w:rPr>
      </w:pPr>
      <w:r w:rsidRPr="00CE0885">
        <w:rPr>
          <w:rFonts w:cs="Arial"/>
        </w:rPr>
        <w:t>Name and surname: ……………………………………………………………………</w:t>
      </w:r>
    </w:p>
    <w:p w14:paraId="672D68B2" w14:textId="77777777" w:rsidR="00867DFB" w:rsidRPr="00CE0885" w:rsidRDefault="00867DFB" w:rsidP="00867DFB">
      <w:pPr>
        <w:spacing w:line="360" w:lineRule="auto"/>
        <w:ind w:left="360"/>
        <w:contextualSpacing/>
        <w:rPr>
          <w:rFonts w:cs="Arial"/>
        </w:rPr>
      </w:pPr>
    </w:p>
    <w:p w14:paraId="54165000" w14:textId="77777777" w:rsidR="00867DFB" w:rsidRPr="00CE0885" w:rsidRDefault="00867DFB" w:rsidP="00867DFB">
      <w:pPr>
        <w:spacing w:line="360" w:lineRule="auto"/>
        <w:ind w:left="360"/>
        <w:contextualSpacing/>
        <w:rPr>
          <w:rFonts w:cs="Arial"/>
        </w:rPr>
      </w:pPr>
      <w:r w:rsidRPr="00CE0885">
        <w:rPr>
          <w:rFonts w:cs="Arial"/>
        </w:rPr>
        <w:t>Period of cover: …………………………….…………. (No. of weeks: ……………)</w:t>
      </w:r>
    </w:p>
    <w:p w14:paraId="7707F9F2" w14:textId="77777777" w:rsidR="00867DFB" w:rsidRPr="00CE0885" w:rsidRDefault="00867DFB" w:rsidP="00867DFB">
      <w:pPr>
        <w:spacing w:line="360" w:lineRule="auto"/>
        <w:ind w:left="360"/>
        <w:contextualSpacing/>
        <w:rPr>
          <w:rFonts w:cs="Arial"/>
        </w:rPr>
      </w:pPr>
    </w:p>
    <w:p w14:paraId="080CB2FA" w14:textId="77777777" w:rsidR="00867DFB" w:rsidRPr="00CE0885" w:rsidRDefault="00867DFB" w:rsidP="00867DFB">
      <w:pPr>
        <w:spacing w:line="360" w:lineRule="auto"/>
        <w:ind w:left="360"/>
        <w:contextualSpacing/>
        <w:rPr>
          <w:rFonts w:cs="Arial"/>
        </w:rPr>
      </w:pPr>
      <w:r w:rsidRPr="00CE0885">
        <w:rPr>
          <w:rFonts w:cs="Arial"/>
        </w:rPr>
        <w:t>Number of clinical sessions worked…………</w:t>
      </w:r>
    </w:p>
    <w:p w14:paraId="6A3AD03F" w14:textId="77777777" w:rsidR="00867DFB" w:rsidRPr="00CE0885" w:rsidRDefault="00867DFB" w:rsidP="00867DFB">
      <w:pPr>
        <w:spacing w:line="360" w:lineRule="auto"/>
        <w:ind w:left="360"/>
        <w:contextualSpacing/>
        <w:rPr>
          <w:rFonts w:cs="Arial"/>
        </w:rPr>
      </w:pPr>
    </w:p>
    <w:p w14:paraId="6D540043" w14:textId="77777777" w:rsidR="00867DFB" w:rsidRPr="00CE0885" w:rsidRDefault="00867DFB" w:rsidP="00867DFB">
      <w:pPr>
        <w:spacing w:line="360" w:lineRule="auto"/>
        <w:ind w:left="360"/>
        <w:contextualSpacing/>
        <w:rPr>
          <w:rFonts w:cs="Arial"/>
        </w:rPr>
      </w:pPr>
      <w:r w:rsidRPr="00CE0885">
        <w:rPr>
          <w:rFonts w:cs="Arial"/>
        </w:rPr>
        <w:t>Amount paid to individual: £…………………………..</w:t>
      </w:r>
    </w:p>
    <w:p w14:paraId="4A9B0273" w14:textId="77777777" w:rsidR="00867DFB" w:rsidRPr="00CE0885" w:rsidRDefault="00867DFB" w:rsidP="00867DFB">
      <w:pPr>
        <w:spacing w:line="360" w:lineRule="auto"/>
        <w:ind w:left="360"/>
        <w:contextualSpacing/>
        <w:rPr>
          <w:rFonts w:cs="Arial"/>
        </w:rPr>
      </w:pPr>
    </w:p>
    <w:p w14:paraId="37B9D636" w14:textId="77777777" w:rsidR="00867DFB" w:rsidRPr="00CE0885" w:rsidRDefault="00867DFB" w:rsidP="00825050">
      <w:pPr>
        <w:numPr>
          <w:ilvl w:val="0"/>
          <w:numId w:val="59"/>
        </w:numPr>
        <w:spacing w:line="360" w:lineRule="auto"/>
        <w:contextualSpacing/>
        <w:rPr>
          <w:rFonts w:cs="Arial"/>
        </w:rPr>
      </w:pPr>
      <w:r w:rsidRPr="00CE0885">
        <w:rPr>
          <w:rFonts w:cs="Arial"/>
        </w:rPr>
        <w:t>Name and surname: …………………………………………………………………….</w:t>
      </w:r>
    </w:p>
    <w:p w14:paraId="6F5BA6B0" w14:textId="77777777" w:rsidR="00867DFB" w:rsidRPr="00CE0885" w:rsidRDefault="00867DFB" w:rsidP="00867DFB">
      <w:pPr>
        <w:spacing w:line="360" w:lineRule="auto"/>
        <w:ind w:left="720"/>
        <w:contextualSpacing/>
        <w:rPr>
          <w:rFonts w:cs="Arial"/>
        </w:rPr>
      </w:pPr>
    </w:p>
    <w:p w14:paraId="2A169C4F" w14:textId="77777777" w:rsidR="00867DFB" w:rsidRPr="00CE0885" w:rsidRDefault="00867DFB" w:rsidP="00867DFB">
      <w:pPr>
        <w:spacing w:line="360" w:lineRule="auto"/>
        <w:ind w:left="360"/>
        <w:contextualSpacing/>
        <w:rPr>
          <w:rFonts w:cs="Arial"/>
        </w:rPr>
      </w:pPr>
      <w:r w:rsidRPr="00CE0885">
        <w:rPr>
          <w:rFonts w:cs="Arial"/>
        </w:rPr>
        <w:t>Period of cover: …………………………….…………. (No. of weeks: …………….)</w:t>
      </w:r>
    </w:p>
    <w:p w14:paraId="40774B9B" w14:textId="77777777" w:rsidR="00867DFB" w:rsidRPr="00CE0885" w:rsidRDefault="00867DFB" w:rsidP="00867DFB">
      <w:pPr>
        <w:spacing w:line="360" w:lineRule="auto"/>
        <w:ind w:left="360"/>
        <w:contextualSpacing/>
        <w:rPr>
          <w:rFonts w:cs="Arial"/>
        </w:rPr>
      </w:pPr>
    </w:p>
    <w:p w14:paraId="3B9C4908" w14:textId="77777777" w:rsidR="00867DFB" w:rsidRPr="00CE0885" w:rsidRDefault="00867DFB" w:rsidP="00867DFB">
      <w:pPr>
        <w:spacing w:line="360" w:lineRule="auto"/>
        <w:ind w:left="360"/>
        <w:contextualSpacing/>
        <w:rPr>
          <w:rFonts w:cs="Arial"/>
        </w:rPr>
      </w:pPr>
      <w:r w:rsidRPr="00CE0885">
        <w:rPr>
          <w:rFonts w:cs="Arial"/>
        </w:rPr>
        <w:t>Number of clinical sessions worked…………</w:t>
      </w:r>
    </w:p>
    <w:p w14:paraId="75AA9BEF" w14:textId="77777777" w:rsidR="00867DFB" w:rsidRPr="00CE0885" w:rsidRDefault="00867DFB" w:rsidP="00867DFB">
      <w:pPr>
        <w:spacing w:line="360" w:lineRule="auto"/>
        <w:ind w:left="360"/>
        <w:contextualSpacing/>
        <w:rPr>
          <w:rFonts w:cs="Arial"/>
        </w:rPr>
      </w:pPr>
    </w:p>
    <w:p w14:paraId="2D2D0C79" w14:textId="77777777" w:rsidR="00867DFB" w:rsidRPr="00CE0885" w:rsidRDefault="00867DFB" w:rsidP="00867DFB">
      <w:pPr>
        <w:spacing w:line="360" w:lineRule="auto"/>
        <w:ind w:left="360"/>
        <w:contextualSpacing/>
        <w:rPr>
          <w:rFonts w:cs="Arial"/>
        </w:rPr>
      </w:pPr>
      <w:r w:rsidRPr="00CE0885">
        <w:rPr>
          <w:rFonts w:cs="Arial"/>
        </w:rPr>
        <w:t>Amount paid to individual: £…………………………..</w:t>
      </w:r>
    </w:p>
    <w:p w14:paraId="3444401F" w14:textId="77777777" w:rsidR="00867DFB" w:rsidRPr="00CE0885" w:rsidRDefault="00867DFB" w:rsidP="00867DFB">
      <w:pPr>
        <w:spacing w:line="360" w:lineRule="auto"/>
        <w:rPr>
          <w:rFonts w:cs="Arial"/>
        </w:rPr>
      </w:pPr>
    </w:p>
    <w:p w14:paraId="395CA7A6" w14:textId="77777777" w:rsidR="00867DFB" w:rsidRPr="00CE0885" w:rsidRDefault="00867DFB" w:rsidP="00867DFB">
      <w:pPr>
        <w:spacing w:line="360" w:lineRule="auto"/>
        <w:rPr>
          <w:rFonts w:cs="Arial"/>
        </w:rPr>
      </w:pPr>
    </w:p>
    <w:p w14:paraId="32986299" w14:textId="77777777" w:rsidR="00867DFB" w:rsidRPr="00CE0885" w:rsidRDefault="00867DFB" w:rsidP="00867DFB">
      <w:pPr>
        <w:spacing w:line="360" w:lineRule="auto"/>
        <w:rPr>
          <w:rFonts w:cs="Arial"/>
          <w:b/>
          <w:u w:val="single"/>
        </w:rPr>
      </w:pPr>
      <w:r w:rsidRPr="00CE0885">
        <w:rPr>
          <w:rFonts w:cs="Arial"/>
          <w:b/>
          <w:u w:val="single"/>
        </w:rPr>
        <w:t>Details of internal GPs covering absence</w:t>
      </w:r>
    </w:p>
    <w:p w14:paraId="1B0B5283" w14:textId="77777777" w:rsidR="00867DFB" w:rsidRPr="00CE0885" w:rsidRDefault="00867DFB" w:rsidP="00867DFB">
      <w:pPr>
        <w:spacing w:line="360" w:lineRule="auto"/>
        <w:rPr>
          <w:rFonts w:cs="Arial"/>
        </w:rPr>
      </w:pPr>
    </w:p>
    <w:p w14:paraId="1C6937A5" w14:textId="32A0FE60" w:rsidR="00867DFB" w:rsidRPr="00CE0885" w:rsidRDefault="00867DFB" w:rsidP="00867DFB">
      <w:pPr>
        <w:spacing w:line="360" w:lineRule="auto"/>
        <w:rPr>
          <w:rFonts w:cs="Arial"/>
        </w:rPr>
      </w:pPr>
      <w:r w:rsidRPr="00CE0885">
        <w:rPr>
          <w:rFonts w:cs="Arial"/>
        </w:rPr>
        <w:t xml:space="preserve">If employing an external locum GP </w:t>
      </w:r>
      <w:r w:rsidR="0000301B">
        <w:rPr>
          <w:rFonts w:cs="Arial"/>
        </w:rPr>
        <w:t xml:space="preserve">or a fixed-term salaried GP </w:t>
      </w:r>
      <w:r w:rsidRPr="00CE0885">
        <w:rPr>
          <w:rFonts w:cs="Arial"/>
        </w:rPr>
        <w:t>to cover the GP performer’s absence, then please complete the information below (add more lines if required).</w:t>
      </w:r>
    </w:p>
    <w:p w14:paraId="0B88766F" w14:textId="77777777" w:rsidR="00867DFB" w:rsidRPr="00CE0885" w:rsidRDefault="00867DFB" w:rsidP="00867DFB">
      <w:pPr>
        <w:spacing w:line="360" w:lineRule="auto"/>
        <w:rPr>
          <w:rFonts w:cs="Arial"/>
        </w:rPr>
      </w:pPr>
    </w:p>
    <w:p w14:paraId="0D342A5D" w14:textId="77777777" w:rsidR="00867DFB" w:rsidRPr="00CE0885" w:rsidRDefault="00867DFB" w:rsidP="00825050">
      <w:pPr>
        <w:numPr>
          <w:ilvl w:val="0"/>
          <w:numId w:val="59"/>
        </w:numPr>
        <w:spacing w:line="360" w:lineRule="auto"/>
        <w:contextualSpacing/>
        <w:rPr>
          <w:rFonts w:cs="Arial"/>
        </w:rPr>
      </w:pPr>
      <w:r w:rsidRPr="00CE0885">
        <w:rPr>
          <w:rFonts w:cs="Arial"/>
        </w:rPr>
        <w:t>Name and surname: ……………………………………………………………………</w:t>
      </w:r>
    </w:p>
    <w:p w14:paraId="2549E171" w14:textId="77777777" w:rsidR="00867DFB" w:rsidRPr="00CE0885" w:rsidRDefault="00867DFB" w:rsidP="00867DFB">
      <w:pPr>
        <w:spacing w:line="360" w:lineRule="auto"/>
        <w:ind w:left="360"/>
        <w:contextualSpacing/>
        <w:rPr>
          <w:rFonts w:cs="Arial"/>
        </w:rPr>
      </w:pPr>
    </w:p>
    <w:p w14:paraId="1E5A739C" w14:textId="77777777" w:rsidR="00867DFB" w:rsidRPr="00CE0885" w:rsidRDefault="00867DFB" w:rsidP="00867DFB">
      <w:pPr>
        <w:spacing w:line="360" w:lineRule="auto"/>
        <w:ind w:left="360"/>
        <w:contextualSpacing/>
        <w:rPr>
          <w:rFonts w:cs="Arial"/>
        </w:rPr>
      </w:pPr>
      <w:r w:rsidRPr="00CE0885">
        <w:rPr>
          <w:rFonts w:cs="Arial"/>
        </w:rPr>
        <w:t>Period of cover: …………………………….…………. (No. of weeks: ……………)</w:t>
      </w:r>
    </w:p>
    <w:p w14:paraId="0F11ED0F" w14:textId="77777777" w:rsidR="00867DFB" w:rsidRPr="00CE0885" w:rsidRDefault="00867DFB" w:rsidP="00867DFB">
      <w:pPr>
        <w:spacing w:line="360" w:lineRule="auto"/>
        <w:ind w:left="360"/>
        <w:contextualSpacing/>
        <w:rPr>
          <w:rFonts w:cs="Arial"/>
        </w:rPr>
      </w:pPr>
    </w:p>
    <w:p w14:paraId="3DC01391" w14:textId="77777777" w:rsidR="00867DFB" w:rsidRPr="00CE0885" w:rsidRDefault="00867DFB" w:rsidP="00867DFB">
      <w:pPr>
        <w:spacing w:line="360" w:lineRule="auto"/>
        <w:ind w:left="360"/>
        <w:contextualSpacing/>
        <w:rPr>
          <w:rFonts w:cs="Arial"/>
        </w:rPr>
      </w:pPr>
      <w:r w:rsidRPr="00CE0885">
        <w:rPr>
          <w:rFonts w:cs="Arial"/>
        </w:rPr>
        <w:t>Number of clinical sessions worked………..</w:t>
      </w:r>
    </w:p>
    <w:p w14:paraId="0CBB8795" w14:textId="77777777" w:rsidR="00867DFB" w:rsidRPr="00CE0885" w:rsidRDefault="00867DFB" w:rsidP="00867DFB">
      <w:pPr>
        <w:spacing w:line="360" w:lineRule="auto"/>
        <w:ind w:left="360"/>
        <w:contextualSpacing/>
        <w:rPr>
          <w:rFonts w:cs="Arial"/>
        </w:rPr>
      </w:pPr>
    </w:p>
    <w:p w14:paraId="114D13CF" w14:textId="77777777" w:rsidR="00867DFB" w:rsidRPr="00CE0885" w:rsidRDefault="00867DFB" w:rsidP="00867DFB">
      <w:pPr>
        <w:spacing w:line="360" w:lineRule="auto"/>
        <w:ind w:left="360"/>
        <w:contextualSpacing/>
        <w:rPr>
          <w:rFonts w:cs="Arial"/>
        </w:rPr>
      </w:pPr>
      <w:r w:rsidRPr="00CE0885">
        <w:rPr>
          <w:rFonts w:cs="Arial"/>
        </w:rPr>
        <w:t>Amount paid to individual: £…………………………..</w:t>
      </w:r>
    </w:p>
    <w:p w14:paraId="54FD93E9" w14:textId="77777777" w:rsidR="00867DFB" w:rsidRPr="00CE0885" w:rsidRDefault="00867DFB" w:rsidP="00867DFB">
      <w:pPr>
        <w:spacing w:line="360" w:lineRule="auto"/>
        <w:rPr>
          <w:rFonts w:cs="Arial"/>
        </w:rPr>
      </w:pPr>
    </w:p>
    <w:p w14:paraId="1F2035D3" w14:textId="77777777" w:rsidR="00867DFB" w:rsidRPr="00CE0885" w:rsidRDefault="00867DFB" w:rsidP="00867DFB">
      <w:pPr>
        <w:spacing w:line="360" w:lineRule="auto"/>
        <w:rPr>
          <w:rFonts w:cs="Arial"/>
        </w:rPr>
      </w:pPr>
    </w:p>
    <w:p w14:paraId="31BDB3DF" w14:textId="4A6C2860" w:rsidR="00867DFB" w:rsidRDefault="00867DFB" w:rsidP="00867DFB">
      <w:pPr>
        <w:tabs>
          <w:tab w:val="left" w:pos="4337"/>
        </w:tabs>
        <w:spacing w:line="360" w:lineRule="auto"/>
        <w:rPr>
          <w:rFonts w:cs="Arial"/>
          <w:b/>
        </w:rPr>
      </w:pPr>
      <w:r w:rsidRPr="00CE0885">
        <w:rPr>
          <w:rFonts w:cs="Arial"/>
          <w:b/>
        </w:rPr>
        <w:t>Please provide invoices in support of this claim.</w:t>
      </w:r>
    </w:p>
    <w:p w14:paraId="3255D8F2" w14:textId="2B011C49" w:rsidR="0000301B" w:rsidRDefault="0000301B">
      <w:pPr>
        <w:rPr>
          <w:rFonts w:cs="Arial"/>
          <w:b/>
        </w:rPr>
      </w:pPr>
      <w:r>
        <w:rPr>
          <w:rFonts w:cs="Arial"/>
          <w:b/>
        </w:rPr>
        <w:br w:type="page"/>
      </w:r>
    </w:p>
    <w:p w14:paraId="0F21E5D7" w14:textId="77777777" w:rsidR="0000301B" w:rsidRDefault="0000301B" w:rsidP="0000301B">
      <w:pPr>
        <w:pStyle w:val="ListParagraph"/>
        <w:spacing w:after="200" w:line="276" w:lineRule="auto"/>
        <w:ind w:left="0"/>
        <w:jc w:val="right"/>
        <w:rPr>
          <w:rFonts w:cs="Arial"/>
          <w:b/>
          <w:color w:val="0072C6"/>
          <w:kern w:val="32"/>
          <w:sz w:val="32"/>
          <w:szCs w:val="32"/>
        </w:rPr>
      </w:pPr>
      <w:r w:rsidRPr="003E3DE3">
        <w:rPr>
          <w:rFonts w:cs="Arial"/>
          <w:b/>
          <w:color w:val="0072C6"/>
          <w:kern w:val="32"/>
          <w:sz w:val="32"/>
          <w:szCs w:val="32"/>
        </w:rPr>
        <w:t>Annex B</w:t>
      </w:r>
    </w:p>
    <w:p w14:paraId="227B2AAB" w14:textId="77777777" w:rsidR="0000301B" w:rsidRDefault="0000301B" w:rsidP="0000301B">
      <w:pPr>
        <w:pStyle w:val="ListParagraph"/>
        <w:spacing w:after="200" w:line="276" w:lineRule="auto"/>
        <w:ind w:left="0"/>
        <w:jc w:val="right"/>
        <w:rPr>
          <w:rFonts w:cs="Arial"/>
          <w:b/>
          <w:color w:val="0072C6"/>
          <w:kern w:val="32"/>
          <w:sz w:val="32"/>
          <w:szCs w:val="32"/>
        </w:rPr>
      </w:pPr>
    </w:p>
    <w:p w14:paraId="6A20B97C" w14:textId="010A1E20" w:rsidR="0000301B" w:rsidRDefault="0000301B" w:rsidP="0000301B">
      <w:pPr>
        <w:pStyle w:val="ListParagraph"/>
        <w:spacing w:after="200" w:line="276" w:lineRule="auto"/>
        <w:ind w:left="0"/>
        <w:jc w:val="center"/>
        <w:rPr>
          <w:rFonts w:cs="Arial"/>
          <w:b/>
          <w:color w:val="0072C6"/>
          <w:kern w:val="32"/>
          <w:sz w:val="32"/>
          <w:szCs w:val="32"/>
        </w:rPr>
      </w:pPr>
      <w:r>
        <w:rPr>
          <w:rFonts w:cs="Arial"/>
          <w:b/>
          <w:color w:val="0072C6"/>
          <w:kern w:val="32"/>
          <w:sz w:val="32"/>
          <w:szCs w:val="32"/>
        </w:rPr>
        <w:t>Notification of intention to take SPL– sample form</w:t>
      </w:r>
    </w:p>
    <w:p w14:paraId="0478C250" w14:textId="77777777" w:rsidR="0000301B" w:rsidRDefault="0000301B" w:rsidP="0000301B">
      <w:pPr>
        <w:pStyle w:val="ListParagraph"/>
        <w:spacing w:after="200" w:line="276" w:lineRule="auto"/>
        <w:ind w:left="0"/>
        <w:jc w:val="right"/>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4"/>
        <w:gridCol w:w="2921"/>
      </w:tblGrid>
      <w:tr w:rsidR="0000301B" w:rsidRPr="00CC1861" w14:paraId="0294C0B8" w14:textId="77777777" w:rsidTr="00A553BA">
        <w:trPr>
          <w:trHeight w:val="355"/>
        </w:trPr>
        <w:tc>
          <w:tcPr>
            <w:tcW w:w="9265" w:type="dxa"/>
            <w:gridSpan w:val="2"/>
            <w:shd w:val="clear" w:color="auto" w:fill="DAEEF3"/>
          </w:tcPr>
          <w:p w14:paraId="27C318A2" w14:textId="77777777" w:rsidR="0000301B" w:rsidRPr="00A553BA" w:rsidRDefault="0000301B" w:rsidP="00867E68">
            <w:pPr>
              <w:rPr>
                <w:rFonts w:cs="Arial"/>
                <w:szCs w:val="24"/>
              </w:rPr>
            </w:pPr>
            <w:r w:rsidRPr="00A553BA">
              <w:rPr>
                <w:rFonts w:cs="Arial"/>
                <w:b/>
                <w:szCs w:val="24"/>
              </w:rPr>
              <w:t>SECTION A: General (must be completed)</w:t>
            </w:r>
          </w:p>
        </w:tc>
      </w:tr>
      <w:tr w:rsidR="0000301B" w:rsidRPr="00CC1861" w14:paraId="09B7FFD7" w14:textId="77777777" w:rsidTr="00A553BA">
        <w:trPr>
          <w:trHeight w:val="355"/>
        </w:trPr>
        <w:tc>
          <w:tcPr>
            <w:tcW w:w="9265" w:type="dxa"/>
            <w:gridSpan w:val="2"/>
            <w:shd w:val="clear" w:color="auto" w:fill="auto"/>
          </w:tcPr>
          <w:p w14:paraId="1FB1F95C" w14:textId="4477A411" w:rsidR="0000301B" w:rsidRPr="00A553BA" w:rsidRDefault="0000301B" w:rsidP="00867E68">
            <w:pPr>
              <w:rPr>
                <w:rFonts w:cs="Arial"/>
                <w:szCs w:val="24"/>
              </w:rPr>
            </w:pPr>
            <w:r w:rsidRPr="00A553BA">
              <w:rPr>
                <w:rFonts w:cs="Arial"/>
                <w:szCs w:val="24"/>
              </w:rPr>
              <w:t>Please accept this as notification that I (the main carer’s partner) am entitled to and intend to take SPL</w:t>
            </w:r>
            <w:r w:rsidR="00981CFC" w:rsidRPr="00B047B4">
              <w:rPr>
                <w:rFonts w:cs="Arial"/>
                <w:szCs w:val="24"/>
                <w:vertAlign w:val="superscript"/>
              </w:rPr>
              <w:t>26</w:t>
            </w:r>
            <w:r w:rsidRPr="00A553BA">
              <w:rPr>
                <w:rFonts w:cs="Arial"/>
                <w:szCs w:val="24"/>
              </w:rPr>
              <w:t xml:space="preserve"> (and ShPP if section C is completed). </w:t>
            </w:r>
          </w:p>
        </w:tc>
      </w:tr>
      <w:tr w:rsidR="0000301B" w:rsidRPr="00CC1861" w14:paraId="16FABE19" w14:textId="77777777" w:rsidTr="00A553BA">
        <w:trPr>
          <w:trHeight w:val="355"/>
        </w:trPr>
        <w:tc>
          <w:tcPr>
            <w:tcW w:w="6344" w:type="dxa"/>
            <w:shd w:val="clear" w:color="auto" w:fill="auto"/>
          </w:tcPr>
          <w:p w14:paraId="72DE952C" w14:textId="77777777" w:rsidR="0000301B" w:rsidRPr="00A553BA" w:rsidRDefault="0000301B" w:rsidP="00867E68">
            <w:pPr>
              <w:rPr>
                <w:rFonts w:cs="Arial"/>
                <w:szCs w:val="24"/>
              </w:rPr>
            </w:pPr>
            <w:r w:rsidRPr="00A553BA">
              <w:rPr>
                <w:rFonts w:cs="Arial"/>
                <w:szCs w:val="24"/>
              </w:rPr>
              <w:t>Partner’s Surname</w:t>
            </w:r>
          </w:p>
        </w:tc>
        <w:tc>
          <w:tcPr>
            <w:tcW w:w="2921" w:type="dxa"/>
            <w:shd w:val="clear" w:color="auto" w:fill="auto"/>
          </w:tcPr>
          <w:p w14:paraId="600DB06B" w14:textId="77777777" w:rsidR="0000301B" w:rsidRPr="00A553BA" w:rsidRDefault="0000301B" w:rsidP="00867E68">
            <w:pPr>
              <w:rPr>
                <w:rFonts w:cs="Arial"/>
                <w:b/>
                <w:szCs w:val="24"/>
              </w:rPr>
            </w:pPr>
          </w:p>
          <w:p w14:paraId="0835E765" w14:textId="77777777" w:rsidR="0000301B" w:rsidRPr="00A553BA" w:rsidRDefault="0000301B" w:rsidP="00867E68">
            <w:pPr>
              <w:rPr>
                <w:rFonts w:cs="Arial"/>
                <w:b/>
                <w:szCs w:val="24"/>
              </w:rPr>
            </w:pPr>
          </w:p>
        </w:tc>
      </w:tr>
      <w:tr w:rsidR="0000301B" w:rsidRPr="00CC1861" w14:paraId="79E1D1AC" w14:textId="77777777" w:rsidTr="00A553BA">
        <w:trPr>
          <w:trHeight w:val="355"/>
        </w:trPr>
        <w:tc>
          <w:tcPr>
            <w:tcW w:w="6344" w:type="dxa"/>
            <w:shd w:val="clear" w:color="auto" w:fill="auto"/>
          </w:tcPr>
          <w:p w14:paraId="2C5B8599" w14:textId="77777777" w:rsidR="0000301B" w:rsidRPr="00A553BA" w:rsidRDefault="0000301B" w:rsidP="00867E68">
            <w:pPr>
              <w:rPr>
                <w:rFonts w:cs="Arial"/>
                <w:szCs w:val="24"/>
              </w:rPr>
            </w:pPr>
            <w:r w:rsidRPr="00A553BA">
              <w:rPr>
                <w:rFonts w:cs="Arial"/>
                <w:szCs w:val="24"/>
              </w:rPr>
              <w:t>Partner’s First name(s)</w:t>
            </w:r>
          </w:p>
        </w:tc>
        <w:tc>
          <w:tcPr>
            <w:tcW w:w="2921" w:type="dxa"/>
            <w:shd w:val="clear" w:color="auto" w:fill="auto"/>
          </w:tcPr>
          <w:p w14:paraId="4E21011E" w14:textId="77777777" w:rsidR="0000301B" w:rsidRPr="00A553BA" w:rsidRDefault="0000301B" w:rsidP="00867E68">
            <w:pPr>
              <w:rPr>
                <w:rFonts w:cs="Arial"/>
                <w:b/>
                <w:szCs w:val="24"/>
              </w:rPr>
            </w:pPr>
          </w:p>
          <w:p w14:paraId="6334C120" w14:textId="77777777" w:rsidR="0000301B" w:rsidRPr="00A553BA" w:rsidRDefault="0000301B" w:rsidP="00867E68">
            <w:pPr>
              <w:rPr>
                <w:rFonts w:cs="Arial"/>
                <w:b/>
                <w:szCs w:val="24"/>
              </w:rPr>
            </w:pPr>
          </w:p>
        </w:tc>
      </w:tr>
      <w:tr w:rsidR="0000301B" w:rsidRPr="00CC1861" w14:paraId="591324A5" w14:textId="77777777" w:rsidTr="00A553BA">
        <w:trPr>
          <w:trHeight w:val="355"/>
        </w:trPr>
        <w:tc>
          <w:tcPr>
            <w:tcW w:w="6344" w:type="dxa"/>
            <w:shd w:val="clear" w:color="auto" w:fill="auto"/>
          </w:tcPr>
          <w:p w14:paraId="6735A6A6" w14:textId="77777777" w:rsidR="0000301B" w:rsidRPr="00A553BA" w:rsidRDefault="0000301B" w:rsidP="00867E68">
            <w:pPr>
              <w:rPr>
                <w:rFonts w:cs="Arial"/>
                <w:szCs w:val="24"/>
              </w:rPr>
            </w:pPr>
            <w:r w:rsidRPr="00A553BA">
              <w:rPr>
                <w:rFonts w:cs="Arial"/>
                <w:szCs w:val="24"/>
              </w:rPr>
              <w:t>Main carer’s surname</w:t>
            </w:r>
          </w:p>
        </w:tc>
        <w:tc>
          <w:tcPr>
            <w:tcW w:w="2921" w:type="dxa"/>
            <w:shd w:val="clear" w:color="auto" w:fill="auto"/>
          </w:tcPr>
          <w:p w14:paraId="10470F31" w14:textId="77777777" w:rsidR="0000301B" w:rsidRPr="00A553BA" w:rsidRDefault="0000301B" w:rsidP="00867E68">
            <w:pPr>
              <w:rPr>
                <w:rFonts w:cs="Arial"/>
                <w:szCs w:val="24"/>
              </w:rPr>
            </w:pPr>
          </w:p>
          <w:p w14:paraId="111E78F6" w14:textId="77777777" w:rsidR="0000301B" w:rsidRPr="00A553BA" w:rsidRDefault="0000301B" w:rsidP="00867E68">
            <w:pPr>
              <w:rPr>
                <w:rFonts w:cs="Arial"/>
                <w:szCs w:val="24"/>
              </w:rPr>
            </w:pPr>
          </w:p>
        </w:tc>
      </w:tr>
      <w:tr w:rsidR="0000301B" w:rsidRPr="00CC1861" w14:paraId="62387260" w14:textId="77777777" w:rsidTr="00A553BA">
        <w:trPr>
          <w:trHeight w:val="355"/>
        </w:trPr>
        <w:tc>
          <w:tcPr>
            <w:tcW w:w="6344" w:type="dxa"/>
            <w:shd w:val="clear" w:color="auto" w:fill="auto"/>
          </w:tcPr>
          <w:p w14:paraId="4E71BF62" w14:textId="77777777" w:rsidR="0000301B" w:rsidRPr="00A553BA" w:rsidRDefault="0000301B" w:rsidP="00867E68">
            <w:pPr>
              <w:rPr>
                <w:rFonts w:cs="Arial"/>
                <w:szCs w:val="24"/>
              </w:rPr>
            </w:pPr>
            <w:r w:rsidRPr="00A553BA">
              <w:rPr>
                <w:rFonts w:cs="Arial"/>
                <w:szCs w:val="24"/>
              </w:rPr>
              <w:t>Main carer’s first name(s)</w:t>
            </w:r>
          </w:p>
        </w:tc>
        <w:tc>
          <w:tcPr>
            <w:tcW w:w="2921" w:type="dxa"/>
            <w:shd w:val="clear" w:color="auto" w:fill="auto"/>
          </w:tcPr>
          <w:p w14:paraId="7CC7EC96" w14:textId="77777777" w:rsidR="0000301B" w:rsidRPr="00A553BA" w:rsidRDefault="0000301B" w:rsidP="00867E68">
            <w:pPr>
              <w:rPr>
                <w:rFonts w:cs="Arial"/>
                <w:szCs w:val="24"/>
              </w:rPr>
            </w:pPr>
          </w:p>
          <w:p w14:paraId="1CCC3C77" w14:textId="77777777" w:rsidR="0000301B" w:rsidRPr="00A553BA" w:rsidRDefault="0000301B" w:rsidP="00867E68">
            <w:pPr>
              <w:rPr>
                <w:rFonts w:cs="Arial"/>
                <w:szCs w:val="24"/>
              </w:rPr>
            </w:pPr>
          </w:p>
        </w:tc>
      </w:tr>
      <w:tr w:rsidR="0000301B" w:rsidRPr="00CC1861" w14:paraId="24536F97" w14:textId="77777777" w:rsidTr="00A553BA">
        <w:trPr>
          <w:trHeight w:val="355"/>
        </w:trPr>
        <w:tc>
          <w:tcPr>
            <w:tcW w:w="6344" w:type="dxa"/>
            <w:shd w:val="clear" w:color="auto" w:fill="auto"/>
          </w:tcPr>
          <w:p w14:paraId="2A88C237" w14:textId="77777777" w:rsidR="0000301B" w:rsidRPr="00A553BA" w:rsidRDefault="0000301B" w:rsidP="00867E68">
            <w:pPr>
              <w:rPr>
                <w:rFonts w:cs="Arial"/>
                <w:szCs w:val="24"/>
              </w:rPr>
            </w:pPr>
            <w:r w:rsidRPr="00A553BA">
              <w:rPr>
                <w:rFonts w:cs="Arial"/>
                <w:szCs w:val="24"/>
              </w:rPr>
              <w:t>Main carer’s Address</w:t>
            </w:r>
          </w:p>
          <w:p w14:paraId="5B8F7CB0" w14:textId="77777777" w:rsidR="0000301B" w:rsidRPr="00A553BA" w:rsidRDefault="0000301B" w:rsidP="00867E68">
            <w:pPr>
              <w:rPr>
                <w:rFonts w:cs="Arial"/>
                <w:szCs w:val="24"/>
              </w:rPr>
            </w:pPr>
          </w:p>
        </w:tc>
        <w:tc>
          <w:tcPr>
            <w:tcW w:w="2921" w:type="dxa"/>
            <w:shd w:val="clear" w:color="auto" w:fill="auto"/>
          </w:tcPr>
          <w:p w14:paraId="2AAF5B6F" w14:textId="77777777" w:rsidR="0000301B" w:rsidRPr="00A553BA" w:rsidRDefault="0000301B" w:rsidP="00867E68">
            <w:pPr>
              <w:rPr>
                <w:rFonts w:cs="Arial"/>
                <w:szCs w:val="24"/>
              </w:rPr>
            </w:pPr>
          </w:p>
        </w:tc>
      </w:tr>
      <w:tr w:rsidR="0000301B" w:rsidRPr="00CC1861" w14:paraId="3E7278CE" w14:textId="77777777" w:rsidTr="00A553BA">
        <w:trPr>
          <w:trHeight w:val="355"/>
        </w:trPr>
        <w:tc>
          <w:tcPr>
            <w:tcW w:w="6344" w:type="dxa"/>
            <w:shd w:val="clear" w:color="auto" w:fill="auto"/>
          </w:tcPr>
          <w:p w14:paraId="2FECCB86" w14:textId="77777777" w:rsidR="0000301B" w:rsidRPr="00A553BA" w:rsidRDefault="0000301B" w:rsidP="00867E68">
            <w:pPr>
              <w:rPr>
                <w:rFonts w:cs="Arial"/>
                <w:szCs w:val="24"/>
              </w:rPr>
            </w:pPr>
            <w:r w:rsidRPr="00A553BA">
              <w:rPr>
                <w:rFonts w:cs="Arial"/>
                <w:szCs w:val="24"/>
              </w:rPr>
              <w:t>Main carer’s National Insurance number (State ‘none’ if no number is held)</w:t>
            </w:r>
          </w:p>
        </w:tc>
        <w:tc>
          <w:tcPr>
            <w:tcW w:w="2921" w:type="dxa"/>
            <w:shd w:val="clear" w:color="auto" w:fill="auto"/>
          </w:tcPr>
          <w:p w14:paraId="2A489B17" w14:textId="77777777" w:rsidR="0000301B" w:rsidRPr="00A553BA" w:rsidRDefault="0000301B" w:rsidP="00867E68">
            <w:pPr>
              <w:rPr>
                <w:rFonts w:cs="Arial"/>
                <w:szCs w:val="24"/>
              </w:rPr>
            </w:pPr>
          </w:p>
        </w:tc>
      </w:tr>
      <w:tr w:rsidR="0000301B" w:rsidRPr="00CC1861" w14:paraId="0533FA27" w14:textId="77777777" w:rsidTr="00A553BA">
        <w:trPr>
          <w:trHeight w:val="355"/>
        </w:trPr>
        <w:tc>
          <w:tcPr>
            <w:tcW w:w="6344" w:type="dxa"/>
            <w:shd w:val="clear" w:color="auto" w:fill="auto"/>
          </w:tcPr>
          <w:p w14:paraId="48913A32" w14:textId="77777777" w:rsidR="0000301B" w:rsidRPr="00A553BA" w:rsidRDefault="0000301B" w:rsidP="00867E68">
            <w:pPr>
              <w:rPr>
                <w:rFonts w:cs="Arial"/>
                <w:szCs w:val="24"/>
              </w:rPr>
            </w:pPr>
            <w:r w:rsidRPr="00A553BA">
              <w:rPr>
                <w:rFonts w:cs="Arial"/>
                <w:szCs w:val="24"/>
              </w:rPr>
              <w:t>Child’s expected date of birth</w:t>
            </w:r>
          </w:p>
        </w:tc>
        <w:tc>
          <w:tcPr>
            <w:tcW w:w="2921" w:type="dxa"/>
            <w:shd w:val="clear" w:color="auto" w:fill="auto"/>
          </w:tcPr>
          <w:p w14:paraId="06727552" w14:textId="77777777" w:rsidR="0000301B" w:rsidRPr="00A553BA" w:rsidRDefault="0000301B" w:rsidP="00867E68">
            <w:pPr>
              <w:rPr>
                <w:rFonts w:cs="Arial"/>
                <w:szCs w:val="24"/>
              </w:rPr>
            </w:pPr>
          </w:p>
          <w:p w14:paraId="700B8681" w14:textId="77777777" w:rsidR="0000301B" w:rsidRPr="00A553BA" w:rsidRDefault="0000301B" w:rsidP="00867E68">
            <w:pPr>
              <w:rPr>
                <w:rFonts w:cs="Arial"/>
                <w:szCs w:val="24"/>
              </w:rPr>
            </w:pPr>
          </w:p>
        </w:tc>
      </w:tr>
      <w:tr w:rsidR="0000301B" w:rsidRPr="00CC1861" w14:paraId="3AE289AB" w14:textId="77777777" w:rsidTr="00A553BA">
        <w:trPr>
          <w:trHeight w:val="355"/>
        </w:trPr>
        <w:tc>
          <w:tcPr>
            <w:tcW w:w="6344" w:type="dxa"/>
            <w:shd w:val="clear" w:color="auto" w:fill="auto"/>
          </w:tcPr>
          <w:p w14:paraId="3610643D" w14:textId="0FE7F1FE" w:rsidR="0000301B" w:rsidRPr="00A553BA" w:rsidRDefault="0000301B" w:rsidP="00867E68">
            <w:pPr>
              <w:rPr>
                <w:rFonts w:cs="Arial"/>
                <w:szCs w:val="24"/>
              </w:rPr>
            </w:pPr>
            <w:r w:rsidRPr="00A553BA">
              <w:rPr>
                <w:rFonts w:cs="Arial"/>
                <w:szCs w:val="24"/>
              </w:rPr>
              <w:t>Actual date of child’s birth (if child not yet born I will provide this information as soon as reasonably practicable following birth and before I take any SPL</w:t>
            </w:r>
            <w:r w:rsidR="00981CFC" w:rsidRPr="00431806">
              <w:rPr>
                <w:rFonts w:cs="Arial"/>
                <w:szCs w:val="24"/>
                <w:vertAlign w:val="superscript"/>
              </w:rPr>
              <w:t>26</w:t>
            </w:r>
            <w:r w:rsidRPr="00A553BA">
              <w:rPr>
                <w:rFonts w:cs="Arial"/>
                <w:szCs w:val="24"/>
              </w:rPr>
              <w:t>)</w:t>
            </w:r>
          </w:p>
        </w:tc>
        <w:tc>
          <w:tcPr>
            <w:tcW w:w="2921" w:type="dxa"/>
            <w:shd w:val="clear" w:color="auto" w:fill="auto"/>
          </w:tcPr>
          <w:p w14:paraId="2DE2493C" w14:textId="77777777" w:rsidR="0000301B" w:rsidRPr="00A553BA" w:rsidRDefault="0000301B" w:rsidP="00867E68">
            <w:pPr>
              <w:rPr>
                <w:rFonts w:cs="Arial"/>
                <w:szCs w:val="24"/>
              </w:rPr>
            </w:pPr>
          </w:p>
          <w:p w14:paraId="5D204ACD" w14:textId="77777777" w:rsidR="0000301B" w:rsidRPr="00A553BA" w:rsidRDefault="0000301B" w:rsidP="00867E68">
            <w:pPr>
              <w:rPr>
                <w:rFonts w:cs="Arial"/>
                <w:szCs w:val="24"/>
              </w:rPr>
            </w:pPr>
          </w:p>
        </w:tc>
      </w:tr>
      <w:tr w:rsidR="0000301B" w:rsidRPr="00CC1861" w14:paraId="5D94D286" w14:textId="77777777" w:rsidTr="00A553BA">
        <w:trPr>
          <w:trHeight w:val="355"/>
        </w:trPr>
        <w:tc>
          <w:tcPr>
            <w:tcW w:w="9265" w:type="dxa"/>
            <w:gridSpan w:val="2"/>
            <w:shd w:val="clear" w:color="auto" w:fill="DAEEF3"/>
          </w:tcPr>
          <w:p w14:paraId="1FC82DE1" w14:textId="77777777" w:rsidR="0000301B" w:rsidRPr="00A553BA" w:rsidRDefault="0000301B" w:rsidP="00867E68">
            <w:pPr>
              <w:rPr>
                <w:rFonts w:cs="Arial"/>
                <w:b/>
                <w:szCs w:val="24"/>
              </w:rPr>
            </w:pPr>
            <w:r w:rsidRPr="00A553BA">
              <w:rPr>
                <w:rFonts w:cs="Arial"/>
                <w:b/>
                <w:szCs w:val="24"/>
              </w:rPr>
              <w:t>SECTION B: Main carer entitlement details (all answers that apply must be completed)</w:t>
            </w:r>
          </w:p>
        </w:tc>
      </w:tr>
      <w:tr w:rsidR="0000301B" w:rsidRPr="00CC1861" w14:paraId="26A4DF68" w14:textId="77777777" w:rsidTr="00A553BA">
        <w:trPr>
          <w:trHeight w:val="355"/>
        </w:trPr>
        <w:tc>
          <w:tcPr>
            <w:tcW w:w="6344" w:type="dxa"/>
            <w:shd w:val="clear" w:color="auto" w:fill="auto"/>
          </w:tcPr>
          <w:p w14:paraId="315D4AF4" w14:textId="77777777" w:rsidR="0000301B" w:rsidRPr="00A553BA" w:rsidRDefault="0000301B" w:rsidP="00867E68">
            <w:pPr>
              <w:rPr>
                <w:rFonts w:cs="Arial"/>
                <w:szCs w:val="24"/>
              </w:rPr>
            </w:pPr>
            <w:r w:rsidRPr="00A553BA">
              <w:rPr>
                <w:rFonts w:cs="Arial"/>
                <w:szCs w:val="24"/>
              </w:rPr>
              <w:t>Date main carer started (or intends to start) leave (if applicable)</w:t>
            </w:r>
          </w:p>
        </w:tc>
        <w:tc>
          <w:tcPr>
            <w:tcW w:w="2921" w:type="dxa"/>
            <w:shd w:val="clear" w:color="auto" w:fill="auto"/>
          </w:tcPr>
          <w:p w14:paraId="6311382C" w14:textId="77777777" w:rsidR="0000301B" w:rsidRPr="00A553BA" w:rsidRDefault="0000301B" w:rsidP="00867E68">
            <w:pPr>
              <w:rPr>
                <w:rFonts w:cs="Arial"/>
                <w:szCs w:val="24"/>
              </w:rPr>
            </w:pPr>
          </w:p>
        </w:tc>
      </w:tr>
      <w:tr w:rsidR="0000301B" w:rsidRPr="00CC1861" w14:paraId="47D53F1E" w14:textId="77777777" w:rsidTr="00A553BA">
        <w:trPr>
          <w:trHeight w:val="355"/>
        </w:trPr>
        <w:tc>
          <w:tcPr>
            <w:tcW w:w="6344" w:type="dxa"/>
            <w:shd w:val="clear" w:color="auto" w:fill="auto"/>
          </w:tcPr>
          <w:p w14:paraId="1E1B5015" w14:textId="77777777" w:rsidR="0000301B" w:rsidRPr="00A553BA" w:rsidRDefault="0000301B" w:rsidP="00867E68">
            <w:pPr>
              <w:rPr>
                <w:rFonts w:cs="Arial"/>
                <w:szCs w:val="24"/>
              </w:rPr>
            </w:pPr>
            <w:r w:rsidRPr="00A553BA">
              <w:rPr>
                <w:rFonts w:cs="Arial"/>
                <w:szCs w:val="24"/>
              </w:rPr>
              <w:t>Date main carer’s leave ended (or will end) (if applicable)</w:t>
            </w:r>
          </w:p>
        </w:tc>
        <w:tc>
          <w:tcPr>
            <w:tcW w:w="2921" w:type="dxa"/>
            <w:shd w:val="clear" w:color="auto" w:fill="auto"/>
          </w:tcPr>
          <w:p w14:paraId="18DBEB0E" w14:textId="77777777" w:rsidR="0000301B" w:rsidRPr="00A553BA" w:rsidRDefault="0000301B" w:rsidP="00867E68">
            <w:pPr>
              <w:rPr>
                <w:rFonts w:cs="Arial"/>
                <w:szCs w:val="24"/>
              </w:rPr>
            </w:pPr>
          </w:p>
        </w:tc>
      </w:tr>
      <w:tr w:rsidR="0000301B" w:rsidRPr="00CC1861" w14:paraId="05DF6292" w14:textId="77777777" w:rsidTr="00A553BA">
        <w:trPr>
          <w:trHeight w:val="355"/>
        </w:trPr>
        <w:tc>
          <w:tcPr>
            <w:tcW w:w="6344" w:type="dxa"/>
            <w:shd w:val="clear" w:color="auto" w:fill="auto"/>
          </w:tcPr>
          <w:p w14:paraId="5AE3433B" w14:textId="77777777" w:rsidR="0000301B" w:rsidRPr="00A553BA" w:rsidRDefault="0000301B" w:rsidP="00867E68">
            <w:pPr>
              <w:rPr>
                <w:rFonts w:cs="Arial"/>
                <w:szCs w:val="24"/>
              </w:rPr>
            </w:pPr>
            <w:r w:rsidRPr="00A553BA">
              <w:rPr>
                <w:rFonts w:cs="Arial"/>
                <w:color w:val="000000"/>
                <w:szCs w:val="24"/>
              </w:rPr>
              <w:t>Total number of weeks of leave taken (or that will be taken) when main carer’s leave ends</w:t>
            </w:r>
          </w:p>
        </w:tc>
        <w:tc>
          <w:tcPr>
            <w:tcW w:w="2921" w:type="dxa"/>
            <w:shd w:val="clear" w:color="auto" w:fill="auto"/>
          </w:tcPr>
          <w:p w14:paraId="5B970666" w14:textId="77777777" w:rsidR="0000301B" w:rsidRPr="00A553BA" w:rsidRDefault="0000301B" w:rsidP="00867E68">
            <w:pPr>
              <w:rPr>
                <w:rFonts w:cs="Arial"/>
                <w:szCs w:val="24"/>
              </w:rPr>
            </w:pPr>
          </w:p>
          <w:p w14:paraId="4BDD5A56" w14:textId="77777777" w:rsidR="0000301B" w:rsidRPr="00A553BA" w:rsidRDefault="0000301B" w:rsidP="00867E68">
            <w:pPr>
              <w:rPr>
                <w:rFonts w:cs="Arial"/>
                <w:szCs w:val="24"/>
              </w:rPr>
            </w:pPr>
          </w:p>
        </w:tc>
      </w:tr>
      <w:tr w:rsidR="0000301B" w:rsidRPr="00CC1861" w14:paraId="65D97D25" w14:textId="77777777" w:rsidTr="00A553BA">
        <w:trPr>
          <w:trHeight w:val="355"/>
        </w:trPr>
        <w:tc>
          <w:tcPr>
            <w:tcW w:w="6344" w:type="dxa"/>
            <w:shd w:val="clear" w:color="auto" w:fill="auto"/>
          </w:tcPr>
          <w:p w14:paraId="65D53FE5" w14:textId="77777777" w:rsidR="0000301B" w:rsidRPr="00A553BA" w:rsidRDefault="0000301B" w:rsidP="00867E68">
            <w:pPr>
              <w:rPr>
                <w:rFonts w:cs="Arial"/>
                <w:color w:val="000000"/>
                <w:szCs w:val="24"/>
              </w:rPr>
            </w:pPr>
            <w:r w:rsidRPr="00A553BA">
              <w:rPr>
                <w:rFonts w:cs="Arial"/>
                <w:color w:val="000000"/>
                <w:szCs w:val="24"/>
              </w:rPr>
              <w:t>Date main carer started (or intends to start) SMP or MA (if applicable)</w:t>
            </w:r>
          </w:p>
        </w:tc>
        <w:tc>
          <w:tcPr>
            <w:tcW w:w="2921" w:type="dxa"/>
            <w:shd w:val="clear" w:color="auto" w:fill="auto"/>
          </w:tcPr>
          <w:p w14:paraId="4101319F" w14:textId="77777777" w:rsidR="0000301B" w:rsidRPr="00A553BA" w:rsidRDefault="0000301B" w:rsidP="00867E68">
            <w:pPr>
              <w:rPr>
                <w:rFonts w:cs="Arial"/>
                <w:color w:val="000000"/>
                <w:szCs w:val="24"/>
              </w:rPr>
            </w:pPr>
          </w:p>
        </w:tc>
      </w:tr>
      <w:tr w:rsidR="0000301B" w:rsidRPr="00CC1861" w14:paraId="70459780" w14:textId="77777777" w:rsidTr="00A553BA">
        <w:trPr>
          <w:trHeight w:val="355"/>
        </w:trPr>
        <w:tc>
          <w:tcPr>
            <w:tcW w:w="6344" w:type="dxa"/>
            <w:shd w:val="clear" w:color="auto" w:fill="auto"/>
          </w:tcPr>
          <w:p w14:paraId="63A2F338" w14:textId="77777777" w:rsidR="0000301B" w:rsidRPr="00A553BA" w:rsidRDefault="0000301B" w:rsidP="00867E68">
            <w:pPr>
              <w:rPr>
                <w:rFonts w:cs="Arial"/>
                <w:color w:val="000000"/>
                <w:szCs w:val="24"/>
              </w:rPr>
            </w:pPr>
            <w:r w:rsidRPr="00A553BA">
              <w:rPr>
                <w:rFonts w:cs="Arial"/>
                <w:color w:val="000000"/>
                <w:szCs w:val="24"/>
              </w:rPr>
              <w:t>Date main carer’s SMP or MA ended (or will end) (if applicable)</w:t>
            </w:r>
          </w:p>
        </w:tc>
        <w:tc>
          <w:tcPr>
            <w:tcW w:w="2921" w:type="dxa"/>
            <w:shd w:val="clear" w:color="auto" w:fill="auto"/>
          </w:tcPr>
          <w:p w14:paraId="7D599211" w14:textId="77777777" w:rsidR="0000301B" w:rsidRPr="00A553BA" w:rsidRDefault="0000301B" w:rsidP="00867E68">
            <w:pPr>
              <w:rPr>
                <w:rFonts w:cs="Arial"/>
                <w:color w:val="000000"/>
                <w:szCs w:val="24"/>
              </w:rPr>
            </w:pPr>
          </w:p>
        </w:tc>
      </w:tr>
      <w:tr w:rsidR="0000301B" w:rsidRPr="00CC1861" w14:paraId="71005A2F" w14:textId="77777777" w:rsidTr="00A553BA">
        <w:trPr>
          <w:trHeight w:val="674"/>
        </w:trPr>
        <w:tc>
          <w:tcPr>
            <w:tcW w:w="6344" w:type="dxa"/>
            <w:shd w:val="clear" w:color="auto" w:fill="auto"/>
          </w:tcPr>
          <w:p w14:paraId="38D1F71F" w14:textId="77777777" w:rsidR="0000301B" w:rsidRPr="00A553BA" w:rsidRDefault="0000301B" w:rsidP="00867E68">
            <w:pPr>
              <w:rPr>
                <w:rFonts w:cs="Arial"/>
                <w:color w:val="000000"/>
                <w:szCs w:val="24"/>
              </w:rPr>
            </w:pPr>
            <w:r w:rsidRPr="00A553BA">
              <w:rPr>
                <w:rFonts w:cs="Arial"/>
                <w:color w:val="000000"/>
                <w:szCs w:val="24"/>
              </w:rPr>
              <w:t>Total number of weeks SMP or MA has been paid</w:t>
            </w:r>
            <w:r w:rsidRPr="00CC1861">
              <w:rPr>
                <w:rFonts w:cs="Arial"/>
                <w:szCs w:val="24"/>
              </w:rPr>
              <w:t xml:space="preserve"> </w:t>
            </w:r>
            <w:r w:rsidRPr="00A553BA">
              <w:rPr>
                <w:rFonts w:cs="Arial"/>
                <w:color w:val="000000"/>
                <w:szCs w:val="24"/>
              </w:rPr>
              <w:t>or will have been paid at date of curtailment</w:t>
            </w:r>
          </w:p>
        </w:tc>
        <w:tc>
          <w:tcPr>
            <w:tcW w:w="2921" w:type="dxa"/>
            <w:shd w:val="clear" w:color="auto" w:fill="auto"/>
          </w:tcPr>
          <w:p w14:paraId="6A023035" w14:textId="77777777" w:rsidR="0000301B" w:rsidRPr="00A553BA" w:rsidRDefault="0000301B" w:rsidP="00867E68">
            <w:pPr>
              <w:rPr>
                <w:rFonts w:cs="Arial"/>
                <w:color w:val="000000"/>
                <w:szCs w:val="24"/>
              </w:rPr>
            </w:pPr>
          </w:p>
        </w:tc>
      </w:tr>
      <w:tr w:rsidR="0000301B" w:rsidRPr="00CC1861" w14:paraId="66DA0716" w14:textId="77777777" w:rsidTr="00A553BA">
        <w:trPr>
          <w:trHeight w:val="1391"/>
        </w:trPr>
        <w:tc>
          <w:tcPr>
            <w:tcW w:w="6344" w:type="dxa"/>
            <w:shd w:val="clear" w:color="auto" w:fill="auto"/>
          </w:tcPr>
          <w:p w14:paraId="3590C3B9" w14:textId="77777777" w:rsidR="0000301B" w:rsidRPr="00A553BA" w:rsidRDefault="0000301B" w:rsidP="00867E68">
            <w:pPr>
              <w:rPr>
                <w:rFonts w:cs="Arial"/>
                <w:color w:val="000000"/>
                <w:szCs w:val="24"/>
              </w:rPr>
            </w:pPr>
            <w:r w:rsidRPr="00A553BA">
              <w:rPr>
                <w:rFonts w:cs="Arial"/>
                <w:color w:val="000000"/>
                <w:szCs w:val="24"/>
              </w:rPr>
              <w:t>Total number of weeks by which SMP or MA will be reduced (i.e. 39 weeks minus total number of weeks SMP or MA has been paid or will have been paid at date of curtailment)</w:t>
            </w:r>
          </w:p>
        </w:tc>
        <w:tc>
          <w:tcPr>
            <w:tcW w:w="2921" w:type="dxa"/>
            <w:shd w:val="clear" w:color="auto" w:fill="auto"/>
          </w:tcPr>
          <w:p w14:paraId="0DB1536C" w14:textId="77777777" w:rsidR="0000301B" w:rsidRPr="00A553BA" w:rsidRDefault="0000301B" w:rsidP="00867E68">
            <w:pPr>
              <w:rPr>
                <w:rFonts w:cs="Arial"/>
                <w:color w:val="000000"/>
                <w:szCs w:val="24"/>
              </w:rPr>
            </w:pPr>
          </w:p>
        </w:tc>
      </w:tr>
    </w:tbl>
    <w:p w14:paraId="554EC151" w14:textId="7A68A2CE" w:rsidR="00CC1861" w:rsidRDefault="00CC1861" w:rsidP="0000301B">
      <w:pPr>
        <w:pStyle w:val="ListParagraph"/>
        <w:spacing w:after="200" w:line="276" w:lineRule="auto"/>
        <w:ind w:left="0"/>
        <w:jc w:val="right"/>
        <w:rPr>
          <w:rFonts w:cs="Arial"/>
          <w:b/>
        </w:rPr>
      </w:pPr>
    </w:p>
    <w:p w14:paraId="2837A95A" w14:textId="31C52E26" w:rsidR="0000301B" w:rsidRDefault="0000301B" w:rsidP="0000301B">
      <w:pPr>
        <w:pStyle w:val="ListParagraph"/>
        <w:spacing w:after="200" w:line="276" w:lineRule="auto"/>
        <w:ind w:left="0"/>
        <w:jc w:val="right"/>
        <w:rPr>
          <w:rFonts w:cs="Arial"/>
          <w:b/>
        </w:rPr>
      </w:pPr>
    </w:p>
    <w:p w14:paraId="7488235F" w14:textId="77777777" w:rsidR="00F76D20" w:rsidRDefault="00F76D20" w:rsidP="0000301B">
      <w:pPr>
        <w:pStyle w:val="ListParagraph"/>
        <w:spacing w:after="200" w:line="276" w:lineRule="auto"/>
        <w:ind w:left="0"/>
        <w:jc w:val="right"/>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4"/>
        <w:gridCol w:w="2921"/>
      </w:tblGrid>
      <w:tr w:rsidR="0000301B" w:rsidRPr="00CC1861" w14:paraId="4598A50F" w14:textId="77777777" w:rsidTr="00A553BA">
        <w:trPr>
          <w:trHeight w:val="333"/>
        </w:trPr>
        <w:tc>
          <w:tcPr>
            <w:tcW w:w="9265" w:type="dxa"/>
            <w:gridSpan w:val="2"/>
            <w:shd w:val="clear" w:color="auto" w:fill="DAEEF3"/>
          </w:tcPr>
          <w:p w14:paraId="495B1099" w14:textId="2043DB2C" w:rsidR="0000301B" w:rsidRPr="00A553BA" w:rsidRDefault="0000301B" w:rsidP="00867E68">
            <w:pPr>
              <w:rPr>
                <w:rFonts w:cs="Arial"/>
              </w:rPr>
            </w:pPr>
            <w:r w:rsidRPr="00A553BA">
              <w:rPr>
                <w:rFonts w:cs="Arial"/>
                <w:b/>
              </w:rPr>
              <w:t xml:space="preserve">SECTION C: </w:t>
            </w:r>
            <w:r w:rsidRPr="00A553BA">
              <w:rPr>
                <w:rFonts w:cs="Arial"/>
                <w:b/>
                <w:color w:val="000000"/>
              </w:rPr>
              <w:t>Amount of SPL</w:t>
            </w:r>
            <w:r w:rsidR="00981CFC" w:rsidRPr="00431806">
              <w:rPr>
                <w:rFonts w:cs="Arial"/>
                <w:szCs w:val="24"/>
                <w:vertAlign w:val="superscript"/>
              </w:rPr>
              <w:t>26</w:t>
            </w:r>
            <w:r w:rsidRPr="00A553BA">
              <w:rPr>
                <w:rFonts w:cs="Arial"/>
                <w:b/>
                <w:color w:val="000000"/>
              </w:rPr>
              <w:t xml:space="preserve"> available </w:t>
            </w:r>
            <w:r w:rsidRPr="00A553BA">
              <w:rPr>
                <w:rFonts w:cs="Arial"/>
                <w:b/>
              </w:rPr>
              <w:t>(must be completed)</w:t>
            </w:r>
          </w:p>
        </w:tc>
      </w:tr>
      <w:tr w:rsidR="0000301B" w:rsidRPr="00CC1861" w14:paraId="2E9E2DE8" w14:textId="77777777" w:rsidTr="00A553BA">
        <w:trPr>
          <w:trHeight w:val="673"/>
        </w:trPr>
        <w:tc>
          <w:tcPr>
            <w:tcW w:w="9265" w:type="dxa"/>
            <w:gridSpan w:val="2"/>
            <w:shd w:val="clear" w:color="auto" w:fill="auto"/>
          </w:tcPr>
          <w:p w14:paraId="0C01045F" w14:textId="34A4A7F5" w:rsidR="0000301B" w:rsidRPr="00A553BA" w:rsidRDefault="0000301B" w:rsidP="00867E68">
            <w:pPr>
              <w:rPr>
                <w:rFonts w:cs="Arial"/>
              </w:rPr>
            </w:pPr>
            <w:r w:rsidRPr="00A553BA">
              <w:rPr>
                <w:rFonts w:cs="Arial"/>
              </w:rPr>
              <w:t>The total number of weeks of SPL</w:t>
            </w:r>
            <w:r w:rsidR="007D7DCD" w:rsidRPr="00431806">
              <w:rPr>
                <w:rFonts w:cs="Arial"/>
                <w:szCs w:val="24"/>
                <w:vertAlign w:val="superscript"/>
              </w:rPr>
              <w:t>26</w:t>
            </w:r>
            <w:r w:rsidRPr="00A553BA">
              <w:rPr>
                <w:rFonts w:cs="Arial"/>
              </w:rPr>
              <w:t xml:space="preserve"> created depends on the main carer’s leave and pay entitlements:</w:t>
            </w:r>
          </w:p>
          <w:p w14:paraId="1E1174C6" w14:textId="77777777" w:rsidR="0000301B" w:rsidRPr="00A553BA" w:rsidRDefault="0000301B" w:rsidP="006C3DF5">
            <w:pPr>
              <w:pStyle w:val="ListParagraph"/>
              <w:numPr>
                <w:ilvl w:val="0"/>
                <w:numId w:val="175"/>
              </w:numPr>
              <w:rPr>
                <w:rFonts w:cs="Arial"/>
              </w:rPr>
            </w:pPr>
            <w:r w:rsidRPr="00A553BA">
              <w:rPr>
                <w:rFonts w:cs="Arial"/>
              </w:rPr>
              <w:t>If the main carer was/is entitled to maternity leave and SMP/MA, the total created will be 52 weeks less any weeks leave taken</w:t>
            </w:r>
          </w:p>
          <w:p w14:paraId="1EB9959E" w14:textId="77777777" w:rsidR="0000301B" w:rsidRPr="00A553BA" w:rsidRDefault="0000301B" w:rsidP="006C3DF5">
            <w:pPr>
              <w:pStyle w:val="ListParagraph"/>
              <w:numPr>
                <w:ilvl w:val="0"/>
                <w:numId w:val="175"/>
              </w:numPr>
              <w:rPr>
                <w:rFonts w:cs="Arial"/>
              </w:rPr>
            </w:pPr>
            <w:r w:rsidRPr="00A553BA">
              <w:rPr>
                <w:rFonts w:cs="Arial"/>
              </w:rPr>
              <w:t>If the main carer was/is entitled to maternity leave but not to SMP or MA, the total created will be 52 weeks less any weeks maternity leave taken</w:t>
            </w:r>
          </w:p>
          <w:p w14:paraId="50AD7F07" w14:textId="77777777" w:rsidR="0000301B" w:rsidRPr="00A553BA" w:rsidRDefault="0000301B" w:rsidP="006C3DF5">
            <w:pPr>
              <w:pStyle w:val="ListParagraph"/>
              <w:numPr>
                <w:ilvl w:val="0"/>
                <w:numId w:val="175"/>
              </w:numPr>
              <w:rPr>
                <w:rFonts w:cs="Arial"/>
              </w:rPr>
            </w:pPr>
            <w:r w:rsidRPr="00A553BA">
              <w:rPr>
                <w:rFonts w:cs="Arial"/>
              </w:rPr>
              <w:t>If the main carer was/is not entitled to maternity leave but was entitled to SMP/MA, the total created will be 52 weeks less any weeks of SMP/MA that was paid</w:t>
            </w:r>
          </w:p>
          <w:p w14:paraId="2AEF04F6" w14:textId="71C45336" w:rsidR="0000301B" w:rsidRPr="00A553BA" w:rsidRDefault="0000301B" w:rsidP="006C3DF5">
            <w:pPr>
              <w:pStyle w:val="ListParagraph"/>
              <w:numPr>
                <w:ilvl w:val="0"/>
                <w:numId w:val="175"/>
              </w:numPr>
              <w:rPr>
                <w:rFonts w:cs="Arial"/>
              </w:rPr>
            </w:pPr>
            <w:r w:rsidRPr="00A553BA">
              <w:rPr>
                <w:rFonts w:cs="Arial"/>
              </w:rPr>
              <w:t>If the main carer previously revoked curtailment notice any SPL</w:t>
            </w:r>
            <w:r w:rsidR="007D7DCD" w:rsidRPr="00431806">
              <w:rPr>
                <w:rFonts w:cs="Arial"/>
                <w:szCs w:val="24"/>
                <w:vertAlign w:val="superscript"/>
              </w:rPr>
              <w:t>26</w:t>
            </w:r>
            <w:r w:rsidRPr="00A553BA">
              <w:rPr>
                <w:rFonts w:cs="Arial"/>
              </w:rPr>
              <w:t xml:space="preserve"> that was taken by the partner must be deducted</w:t>
            </w:r>
          </w:p>
        </w:tc>
      </w:tr>
      <w:tr w:rsidR="0000301B" w:rsidRPr="00CC1861" w14:paraId="3A963140" w14:textId="77777777" w:rsidTr="00A553BA">
        <w:trPr>
          <w:trHeight w:val="667"/>
        </w:trPr>
        <w:tc>
          <w:tcPr>
            <w:tcW w:w="6344" w:type="dxa"/>
            <w:shd w:val="clear" w:color="auto" w:fill="auto"/>
          </w:tcPr>
          <w:p w14:paraId="0553DD46" w14:textId="2E3AE75B" w:rsidR="0000301B" w:rsidRPr="00A553BA" w:rsidRDefault="0000301B" w:rsidP="00867E68">
            <w:pPr>
              <w:rPr>
                <w:rFonts w:cs="Arial"/>
              </w:rPr>
            </w:pPr>
            <w:r w:rsidRPr="00A553BA">
              <w:rPr>
                <w:rFonts w:cs="Arial"/>
              </w:rPr>
              <w:t>Total number of weeks of SPL</w:t>
            </w:r>
            <w:r w:rsidR="007D7DCD" w:rsidRPr="00431806">
              <w:rPr>
                <w:rFonts w:cs="Arial"/>
                <w:szCs w:val="24"/>
                <w:vertAlign w:val="superscript"/>
              </w:rPr>
              <w:t>26</w:t>
            </w:r>
            <w:r w:rsidRPr="00A553BA">
              <w:rPr>
                <w:rFonts w:cs="Arial"/>
              </w:rPr>
              <w:t xml:space="preserve"> created (50 max)</w:t>
            </w:r>
          </w:p>
          <w:p w14:paraId="7D5C7E8C" w14:textId="77777777" w:rsidR="0000301B" w:rsidRPr="00A553BA" w:rsidRDefault="0000301B" w:rsidP="00867E68">
            <w:pPr>
              <w:rPr>
                <w:rFonts w:cs="Arial"/>
              </w:rPr>
            </w:pPr>
          </w:p>
        </w:tc>
        <w:tc>
          <w:tcPr>
            <w:tcW w:w="2921" w:type="dxa"/>
            <w:shd w:val="clear" w:color="auto" w:fill="auto"/>
          </w:tcPr>
          <w:p w14:paraId="606FC2EF" w14:textId="77777777" w:rsidR="0000301B" w:rsidRPr="00A553BA" w:rsidRDefault="0000301B" w:rsidP="00867E68">
            <w:pPr>
              <w:jc w:val="center"/>
              <w:rPr>
                <w:rFonts w:cs="Arial"/>
              </w:rPr>
            </w:pPr>
          </w:p>
        </w:tc>
      </w:tr>
      <w:tr w:rsidR="0000301B" w:rsidRPr="00CC1861" w14:paraId="21F364FD" w14:textId="77777777" w:rsidTr="00A553BA">
        <w:trPr>
          <w:trHeight w:val="667"/>
        </w:trPr>
        <w:tc>
          <w:tcPr>
            <w:tcW w:w="6344" w:type="dxa"/>
            <w:shd w:val="clear" w:color="auto" w:fill="auto"/>
          </w:tcPr>
          <w:p w14:paraId="2EEC49B4" w14:textId="176F5C60" w:rsidR="0000301B" w:rsidRPr="00A553BA" w:rsidRDefault="0000301B" w:rsidP="00867E68">
            <w:pPr>
              <w:rPr>
                <w:rFonts w:cs="Arial"/>
              </w:rPr>
            </w:pPr>
            <w:r w:rsidRPr="00A553BA">
              <w:rPr>
                <w:rFonts w:cs="Arial"/>
              </w:rPr>
              <w:t>Total number of weeks of SPL</w:t>
            </w:r>
            <w:r w:rsidR="007D7DCD" w:rsidRPr="00431806">
              <w:rPr>
                <w:rFonts w:cs="Arial"/>
                <w:szCs w:val="24"/>
                <w:vertAlign w:val="superscript"/>
              </w:rPr>
              <w:t>26</w:t>
            </w:r>
            <w:r w:rsidRPr="00A553BA">
              <w:rPr>
                <w:rFonts w:cs="Arial"/>
              </w:rPr>
              <w:t xml:space="preserve"> I (the partner) intend to take</w:t>
            </w:r>
          </w:p>
        </w:tc>
        <w:tc>
          <w:tcPr>
            <w:tcW w:w="2921" w:type="dxa"/>
            <w:shd w:val="clear" w:color="auto" w:fill="auto"/>
          </w:tcPr>
          <w:p w14:paraId="39D455FC" w14:textId="77777777" w:rsidR="0000301B" w:rsidRPr="00A553BA" w:rsidRDefault="0000301B" w:rsidP="00867E68">
            <w:pPr>
              <w:rPr>
                <w:rFonts w:cs="Arial"/>
              </w:rPr>
            </w:pPr>
          </w:p>
        </w:tc>
      </w:tr>
      <w:tr w:rsidR="0000301B" w:rsidRPr="00CC1861" w14:paraId="2C36D6CC" w14:textId="77777777" w:rsidTr="00A553BA">
        <w:trPr>
          <w:trHeight w:val="667"/>
        </w:trPr>
        <w:tc>
          <w:tcPr>
            <w:tcW w:w="6344" w:type="dxa"/>
            <w:shd w:val="clear" w:color="auto" w:fill="auto"/>
          </w:tcPr>
          <w:p w14:paraId="1175F97B" w14:textId="697BF76B" w:rsidR="0000301B" w:rsidRPr="00A553BA" w:rsidRDefault="0000301B" w:rsidP="00867E68">
            <w:pPr>
              <w:rPr>
                <w:rFonts w:cs="Arial"/>
              </w:rPr>
            </w:pPr>
            <w:r w:rsidRPr="00A553BA">
              <w:rPr>
                <w:rFonts w:cs="Arial"/>
              </w:rPr>
              <w:t>Total number of weeks of SPL</w:t>
            </w:r>
            <w:r w:rsidR="007D7DCD" w:rsidRPr="00431806">
              <w:rPr>
                <w:rFonts w:cs="Arial"/>
                <w:szCs w:val="24"/>
                <w:vertAlign w:val="superscript"/>
              </w:rPr>
              <w:t>26</w:t>
            </w:r>
            <w:r w:rsidRPr="00A553BA">
              <w:rPr>
                <w:rFonts w:cs="Arial"/>
              </w:rPr>
              <w:t xml:space="preserve"> the main carer intends to take (if applicable)</w:t>
            </w:r>
          </w:p>
        </w:tc>
        <w:tc>
          <w:tcPr>
            <w:tcW w:w="2921" w:type="dxa"/>
            <w:shd w:val="clear" w:color="auto" w:fill="auto"/>
          </w:tcPr>
          <w:p w14:paraId="75F0A6AB" w14:textId="77777777" w:rsidR="0000301B" w:rsidRPr="00A553BA" w:rsidRDefault="0000301B" w:rsidP="00867E68">
            <w:pPr>
              <w:rPr>
                <w:rFonts w:cs="Arial"/>
              </w:rPr>
            </w:pPr>
          </w:p>
        </w:tc>
      </w:tr>
      <w:tr w:rsidR="0000301B" w:rsidRPr="00CC1861" w14:paraId="477AF13E" w14:textId="77777777" w:rsidTr="00A553BA">
        <w:trPr>
          <w:trHeight w:val="653"/>
        </w:trPr>
        <w:tc>
          <w:tcPr>
            <w:tcW w:w="9265" w:type="dxa"/>
            <w:gridSpan w:val="2"/>
            <w:shd w:val="clear" w:color="auto" w:fill="DAEEF3"/>
          </w:tcPr>
          <w:p w14:paraId="4EDB2082" w14:textId="77777777" w:rsidR="0000301B" w:rsidRPr="00A553BA" w:rsidRDefault="0000301B" w:rsidP="00867E68">
            <w:pPr>
              <w:rPr>
                <w:rFonts w:cs="Arial"/>
              </w:rPr>
            </w:pPr>
            <w:r w:rsidRPr="00A553BA">
              <w:rPr>
                <w:rFonts w:cs="Arial"/>
                <w:b/>
              </w:rPr>
              <w:t>SECTION D: Indication of Partner’s leave intentions (must be completed but is not binding)</w:t>
            </w:r>
          </w:p>
        </w:tc>
      </w:tr>
      <w:tr w:rsidR="0000301B" w:rsidRPr="00CC1861" w14:paraId="6799CDD0" w14:textId="77777777" w:rsidTr="00A553BA">
        <w:trPr>
          <w:trHeight w:val="1641"/>
        </w:trPr>
        <w:tc>
          <w:tcPr>
            <w:tcW w:w="9265" w:type="dxa"/>
            <w:gridSpan w:val="2"/>
            <w:shd w:val="clear" w:color="auto" w:fill="auto"/>
          </w:tcPr>
          <w:p w14:paraId="5285C571" w14:textId="6794FBE0" w:rsidR="0000301B" w:rsidRPr="00A553BA" w:rsidRDefault="0000301B" w:rsidP="00867E68">
            <w:pPr>
              <w:rPr>
                <w:rFonts w:cs="Arial"/>
              </w:rPr>
            </w:pPr>
            <w:r w:rsidRPr="00A553BA">
              <w:rPr>
                <w:rFonts w:cs="Arial"/>
              </w:rPr>
              <w:t>I (the partner) currently expect to take SPL</w:t>
            </w:r>
            <w:r w:rsidR="007D7DCD" w:rsidRPr="00431806">
              <w:rPr>
                <w:rFonts w:cs="Arial"/>
                <w:szCs w:val="24"/>
                <w:vertAlign w:val="superscript"/>
              </w:rPr>
              <w:t>26</w:t>
            </w:r>
            <w:r w:rsidRPr="00A553BA">
              <w:rPr>
                <w:rFonts w:cs="Arial"/>
              </w:rPr>
              <w:t xml:space="preserve"> as follows:</w:t>
            </w:r>
          </w:p>
          <w:p w14:paraId="70F46BCC" w14:textId="77777777" w:rsidR="0000301B" w:rsidRPr="00A553BA" w:rsidRDefault="0000301B" w:rsidP="00867E68">
            <w:pPr>
              <w:rPr>
                <w:rFonts w:cs="Arial"/>
              </w:rPr>
            </w:pPr>
          </w:p>
          <w:p w14:paraId="6BD85297" w14:textId="77777777" w:rsidR="0000301B" w:rsidRPr="00A553BA" w:rsidRDefault="0000301B" w:rsidP="00867E68">
            <w:pPr>
              <w:rPr>
                <w:rFonts w:cs="Arial"/>
              </w:rPr>
            </w:pPr>
          </w:p>
          <w:p w14:paraId="64E550D5" w14:textId="77777777" w:rsidR="0000301B" w:rsidRPr="00A553BA" w:rsidRDefault="0000301B" w:rsidP="00867E68">
            <w:pPr>
              <w:rPr>
                <w:rFonts w:cs="Arial"/>
              </w:rPr>
            </w:pPr>
          </w:p>
          <w:p w14:paraId="4C5ADD76" w14:textId="77777777" w:rsidR="0000301B" w:rsidRPr="00A553BA" w:rsidRDefault="0000301B" w:rsidP="00867E68">
            <w:pPr>
              <w:rPr>
                <w:rFonts w:cs="Arial"/>
              </w:rPr>
            </w:pPr>
          </w:p>
          <w:p w14:paraId="54EEC8CA" w14:textId="77777777" w:rsidR="0000301B" w:rsidRPr="00A553BA" w:rsidRDefault="0000301B" w:rsidP="00867E68">
            <w:pPr>
              <w:rPr>
                <w:rFonts w:cs="Arial"/>
              </w:rPr>
            </w:pPr>
            <w:r w:rsidRPr="00A553BA">
              <w:rPr>
                <w:rFonts w:cs="Arial"/>
              </w:rPr>
              <w:t>Note: It will usually be helpful to answer this in a “From… To…” format</w:t>
            </w:r>
          </w:p>
        </w:tc>
      </w:tr>
      <w:tr w:rsidR="0000301B" w:rsidRPr="00CC1861" w14:paraId="5E627401" w14:textId="77777777" w:rsidTr="00A553BA">
        <w:trPr>
          <w:trHeight w:val="333"/>
        </w:trPr>
        <w:tc>
          <w:tcPr>
            <w:tcW w:w="9265" w:type="dxa"/>
            <w:gridSpan w:val="2"/>
            <w:shd w:val="clear" w:color="auto" w:fill="DAEEF3"/>
          </w:tcPr>
          <w:p w14:paraId="12799C00" w14:textId="77777777" w:rsidR="0000301B" w:rsidRPr="00A553BA" w:rsidRDefault="0000301B" w:rsidP="00867E68">
            <w:pPr>
              <w:rPr>
                <w:rFonts w:cs="Arial"/>
              </w:rPr>
            </w:pPr>
            <w:r w:rsidRPr="00A553BA">
              <w:rPr>
                <w:rFonts w:cs="Arial"/>
                <w:b/>
              </w:rPr>
              <w:t>SECTION E: Amount of ShPP available (only complete if claiming ShPP)</w:t>
            </w:r>
          </w:p>
        </w:tc>
      </w:tr>
      <w:tr w:rsidR="0000301B" w:rsidRPr="00CC1861" w14:paraId="7774F167" w14:textId="77777777" w:rsidTr="00A553BA">
        <w:trPr>
          <w:trHeight w:val="1001"/>
        </w:trPr>
        <w:tc>
          <w:tcPr>
            <w:tcW w:w="6344" w:type="dxa"/>
            <w:shd w:val="clear" w:color="auto" w:fill="auto"/>
          </w:tcPr>
          <w:p w14:paraId="02093990" w14:textId="77777777" w:rsidR="0000301B" w:rsidRPr="00A553BA" w:rsidRDefault="0000301B" w:rsidP="00867E68">
            <w:pPr>
              <w:rPr>
                <w:rFonts w:cs="Arial"/>
              </w:rPr>
            </w:pPr>
            <w:r w:rsidRPr="00A553BA">
              <w:rPr>
                <w:rFonts w:cs="Arial"/>
              </w:rPr>
              <w:t>Total number of weeks of ShPP created (39 weeks less total number of SMP/MA taken and any ShPP paid from a previous notice and revocation)</w:t>
            </w:r>
          </w:p>
        </w:tc>
        <w:tc>
          <w:tcPr>
            <w:tcW w:w="2921" w:type="dxa"/>
            <w:shd w:val="clear" w:color="auto" w:fill="auto"/>
          </w:tcPr>
          <w:p w14:paraId="36F1EBB5" w14:textId="77777777" w:rsidR="0000301B" w:rsidRPr="00A553BA" w:rsidRDefault="0000301B" w:rsidP="00867E68">
            <w:pPr>
              <w:rPr>
                <w:rFonts w:cs="Arial"/>
              </w:rPr>
            </w:pPr>
          </w:p>
          <w:p w14:paraId="79EC408A" w14:textId="77777777" w:rsidR="0000301B" w:rsidRPr="00A553BA" w:rsidRDefault="0000301B" w:rsidP="00867E68">
            <w:pPr>
              <w:rPr>
                <w:rFonts w:cs="Arial"/>
              </w:rPr>
            </w:pPr>
          </w:p>
        </w:tc>
      </w:tr>
      <w:tr w:rsidR="0000301B" w:rsidRPr="00CC1861" w14:paraId="05C6CB78" w14:textId="77777777" w:rsidTr="00A553BA">
        <w:trPr>
          <w:trHeight w:val="667"/>
        </w:trPr>
        <w:tc>
          <w:tcPr>
            <w:tcW w:w="6344" w:type="dxa"/>
            <w:shd w:val="clear" w:color="auto" w:fill="auto"/>
          </w:tcPr>
          <w:p w14:paraId="5C5E059C" w14:textId="77777777" w:rsidR="0000301B" w:rsidRPr="00A553BA" w:rsidRDefault="0000301B" w:rsidP="00867E68">
            <w:pPr>
              <w:rPr>
                <w:rFonts w:cs="Arial"/>
              </w:rPr>
            </w:pPr>
            <w:r w:rsidRPr="00A553BA">
              <w:rPr>
                <w:rFonts w:cs="Arial"/>
              </w:rPr>
              <w:t>Total number of weeks of ShPP I (the partner) intend to take:</w:t>
            </w:r>
          </w:p>
        </w:tc>
        <w:tc>
          <w:tcPr>
            <w:tcW w:w="2921" w:type="dxa"/>
            <w:shd w:val="clear" w:color="auto" w:fill="auto"/>
          </w:tcPr>
          <w:p w14:paraId="1E0A21FE" w14:textId="77777777" w:rsidR="0000301B" w:rsidRPr="00A553BA" w:rsidRDefault="0000301B" w:rsidP="00867E68">
            <w:pPr>
              <w:rPr>
                <w:rFonts w:cs="Arial"/>
              </w:rPr>
            </w:pPr>
          </w:p>
        </w:tc>
      </w:tr>
      <w:tr w:rsidR="0000301B" w:rsidRPr="00CC1861" w14:paraId="6F85CC58" w14:textId="77777777" w:rsidTr="00A553BA">
        <w:trPr>
          <w:trHeight w:val="653"/>
        </w:trPr>
        <w:tc>
          <w:tcPr>
            <w:tcW w:w="6344" w:type="dxa"/>
            <w:shd w:val="clear" w:color="auto" w:fill="auto"/>
          </w:tcPr>
          <w:p w14:paraId="367864EE" w14:textId="77777777" w:rsidR="0000301B" w:rsidRPr="00A553BA" w:rsidRDefault="0000301B" w:rsidP="00867E68">
            <w:pPr>
              <w:rPr>
                <w:rFonts w:cs="Arial"/>
              </w:rPr>
            </w:pPr>
            <w:r w:rsidRPr="00A553BA">
              <w:rPr>
                <w:rFonts w:cs="Arial"/>
              </w:rPr>
              <w:t>Total number of weeks of ShPP main carer intends to take:</w:t>
            </w:r>
          </w:p>
        </w:tc>
        <w:tc>
          <w:tcPr>
            <w:tcW w:w="2921" w:type="dxa"/>
            <w:shd w:val="clear" w:color="auto" w:fill="auto"/>
          </w:tcPr>
          <w:p w14:paraId="43C4C9FD" w14:textId="77777777" w:rsidR="0000301B" w:rsidRPr="00A553BA" w:rsidRDefault="0000301B" w:rsidP="00867E68">
            <w:pPr>
              <w:rPr>
                <w:rFonts w:cs="Arial"/>
              </w:rPr>
            </w:pPr>
          </w:p>
        </w:tc>
      </w:tr>
      <w:tr w:rsidR="0000301B" w:rsidRPr="00CC1861" w14:paraId="133AAEA6" w14:textId="77777777" w:rsidTr="00A553BA">
        <w:trPr>
          <w:trHeight w:val="2003"/>
        </w:trPr>
        <w:tc>
          <w:tcPr>
            <w:tcW w:w="9265" w:type="dxa"/>
            <w:gridSpan w:val="2"/>
            <w:shd w:val="clear" w:color="auto" w:fill="auto"/>
          </w:tcPr>
          <w:p w14:paraId="7AFD3936" w14:textId="77777777" w:rsidR="0000301B" w:rsidRPr="00A553BA" w:rsidRDefault="0000301B" w:rsidP="00867E68">
            <w:pPr>
              <w:rPr>
                <w:rFonts w:cs="Arial"/>
              </w:rPr>
            </w:pPr>
            <w:r w:rsidRPr="00A553BA">
              <w:rPr>
                <w:rFonts w:cs="Arial"/>
              </w:rPr>
              <w:t>I (the partner) currently expect to take ShPP as follows:</w:t>
            </w:r>
          </w:p>
          <w:p w14:paraId="5F88C686" w14:textId="77777777" w:rsidR="0000301B" w:rsidRPr="00A553BA" w:rsidRDefault="0000301B" w:rsidP="00867E68">
            <w:pPr>
              <w:rPr>
                <w:rFonts w:cs="Arial"/>
              </w:rPr>
            </w:pPr>
          </w:p>
          <w:p w14:paraId="1D34F0E7" w14:textId="77777777" w:rsidR="0000301B" w:rsidRPr="00A553BA" w:rsidRDefault="0000301B" w:rsidP="00867E68">
            <w:pPr>
              <w:rPr>
                <w:rFonts w:cs="Arial"/>
              </w:rPr>
            </w:pPr>
          </w:p>
          <w:p w14:paraId="130A88D1" w14:textId="77777777" w:rsidR="0000301B" w:rsidRPr="00A553BA" w:rsidRDefault="0000301B" w:rsidP="00867E68">
            <w:pPr>
              <w:rPr>
                <w:rFonts w:cs="Arial"/>
              </w:rPr>
            </w:pPr>
          </w:p>
          <w:p w14:paraId="162F6490" w14:textId="77777777" w:rsidR="0000301B" w:rsidRPr="00A553BA" w:rsidRDefault="0000301B" w:rsidP="00867E68">
            <w:pPr>
              <w:rPr>
                <w:rFonts w:cs="Arial"/>
              </w:rPr>
            </w:pPr>
          </w:p>
          <w:p w14:paraId="3331A95A" w14:textId="77777777" w:rsidR="0000301B" w:rsidRPr="00A553BA" w:rsidRDefault="0000301B" w:rsidP="00867E68">
            <w:pPr>
              <w:rPr>
                <w:rFonts w:cs="Arial"/>
                <w:b/>
                <w:color w:val="0000FF"/>
                <w:sz w:val="32"/>
                <w:szCs w:val="32"/>
              </w:rPr>
            </w:pPr>
            <w:r w:rsidRPr="00A553BA">
              <w:rPr>
                <w:rFonts w:cs="Arial"/>
              </w:rPr>
              <w:t>Note: It will usually be helpful to answer this in a “From… To…” format</w:t>
            </w:r>
            <w:r w:rsidRPr="00A553BA">
              <w:rPr>
                <w:rFonts w:cs="Arial"/>
              </w:rPr>
              <w:tab/>
            </w:r>
          </w:p>
        </w:tc>
      </w:tr>
    </w:tbl>
    <w:p w14:paraId="182EC9F8" w14:textId="77777777" w:rsidR="007D7DCD" w:rsidRDefault="007D7DCD" w:rsidP="0000301B">
      <w:pPr>
        <w:rPr>
          <w:rFonts w:cs="Arial"/>
          <w:b/>
        </w:rPr>
      </w:pPr>
    </w:p>
    <w:p w14:paraId="4D4ADEAF" w14:textId="3F2AEE05" w:rsidR="0000301B" w:rsidRPr="00B047B4" w:rsidRDefault="007D7DCD" w:rsidP="0000301B">
      <w:pPr>
        <w:rPr>
          <w:rFonts w:cs="Arial"/>
          <w:sz w:val="20"/>
        </w:rPr>
      </w:pPr>
      <w:r w:rsidRPr="00B047B4">
        <w:rPr>
          <w:rFonts w:ascii="Arial Bold" w:hAnsi="Arial Bold" w:cs="Arial"/>
          <w:sz w:val="20"/>
          <w:vertAlign w:val="superscript"/>
        </w:rPr>
        <w:t>26</w:t>
      </w:r>
      <w:r w:rsidRPr="00B047B4">
        <w:rPr>
          <w:rFonts w:cs="Arial"/>
          <w:sz w:val="20"/>
        </w:rPr>
        <w:t xml:space="preserve"> Shared Parental Leave only applicable within this protocol 1</w:t>
      </w:r>
      <w:r w:rsidRPr="00B047B4">
        <w:rPr>
          <w:rFonts w:cs="Arial"/>
          <w:sz w:val="20"/>
          <w:vertAlign w:val="superscript"/>
        </w:rPr>
        <w:t>st</w:t>
      </w:r>
      <w:r w:rsidRPr="00B047B4">
        <w:rPr>
          <w:rFonts w:cs="Arial"/>
          <w:sz w:val="20"/>
        </w:rPr>
        <w:t xml:space="preserve"> APRIL 2019</w:t>
      </w:r>
      <w:r w:rsidR="0000301B" w:rsidRPr="00B047B4">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00301B" w:rsidRPr="00CC1861" w14:paraId="5F7B0A66" w14:textId="77777777" w:rsidTr="00867E68">
        <w:tc>
          <w:tcPr>
            <w:tcW w:w="9242" w:type="dxa"/>
            <w:gridSpan w:val="2"/>
            <w:shd w:val="clear" w:color="auto" w:fill="DAEEF3"/>
          </w:tcPr>
          <w:p w14:paraId="4C4DCB3F" w14:textId="77777777" w:rsidR="0000301B" w:rsidRPr="00A553BA" w:rsidRDefault="0000301B" w:rsidP="00867E68">
            <w:pPr>
              <w:rPr>
                <w:rFonts w:cs="Arial"/>
                <w:b/>
              </w:rPr>
            </w:pPr>
            <w:r w:rsidRPr="00A553BA">
              <w:rPr>
                <w:rFonts w:cs="Arial"/>
                <w:b/>
              </w:rPr>
              <w:t>SECTION F: Partner’s declaration (must be completed)</w:t>
            </w:r>
          </w:p>
        </w:tc>
      </w:tr>
      <w:tr w:rsidR="0000301B" w:rsidRPr="00CC1861" w14:paraId="2AA17BB0" w14:textId="77777777" w:rsidTr="00867E68">
        <w:trPr>
          <w:trHeight w:val="6267"/>
        </w:trPr>
        <w:tc>
          <w:tcPr>
            <w:tcW w:w="9242" w:type="dxa"/>
            <w:gridSpan w:val="2"/>
            <w:shd w:val="clear" w:color="auto" w:fill="auto"/>
          </w:tcPr>
          <w:p w14:paraId="0E4AD515" w14:textId="77777777" w:rsidR="0000301B" w:rsidRPr="00A553BA" w:rsidRDefault="0000301B" w:rsidP="00867E68">
            <w:pPr>
              <w:rPr>
                <w:rFonts w:cs="Arial"/>
                <w:b/>
              </w:rPr>
            </w:pPr>
            <w:r w:rsidRPr="00A553BA">
              <w:rPr>
                <w:rFonts w:cs="Arial"/>
                <w:b/>
              </w:rPr>
              <w:t>The following points apply in all circumstances:</w:t>
            </w:r>
          </w:p>
          <w:p w14:paraId="67DD3AED" w14:textId="3562A901" w:rsidR="0000301B" w:rsidRPr="00A553BA" w:rsidRDefault="0000301B" w:rsidP="006C3DF5">
            <w:pPr>
              <w:pStyle w:val="ListParagraph"/>
              <w:numPr>
                <w:ilvl w:val="0"/>
                <w:numId w:val="176"/>
              </w:numPr>
              <w:rPr>
                <w:rFonts w:cs="Arial"/>
              </w:rPr>
            </w:pPr>
            <w:r w:rsidRPr="00A553BA">
              <w:rPr>
                <w:rFonts w:cs="Arial"/>
              </w:rPr>
              <w:t>I am giving notice that I am entitled to and intend to take SPL</w:t>
            </w:r>
            <w:r w:rsidR="007D7DCD" w:rsidRPr="00431806">
              <w:rPr>
                <w:rFonts w:cs="Arial"/>
                <w:szCs w:val="24"/>
                <w:vertAlign w:val="superscript"/>
              </w:rPr>
              <w:t>26</w:t>
            </w:r>
          </w:p>
          <w:p w14:paraId="2D2A8E0F" w14:textId="270C2629" w:rsidR="0000301B" w:rsidRPr="00A553BA" w:rsidRDefault="0000301B" w:rsidP="006C3DF5">
            <w:pPr>
              <w:pStyle w:val="ListParagraph"/>
              <w:numPr>
                <w:ilvl w:val="0"/>
                <w:numId w:val="176"/>
              </w:numPr>
              <w:rPr>
                <w:rFonts w:cs="Arial"/>
              </w:rPr>
            </w:pPr>
            <w:r w:rsidRPr="00A553BA">
              <w:rPr>
                <w:rFonts w:cs="Arial"/>
              </w:rPr>
              <w:t>I am the father of the child, or at the time of the birth I was/will be the main carer’s spouse, the main carer’s civil partner and/or the main carer’s partner living with her</w:t>
            </w:r>
            <w:r w:rsidR="00FF4BE1">
              <w:rPr>
                <w:rFonts w:cs="Arial"/>
              </w:rPr>
              <w:t>/him</w:t>
            </w:r>
            <w:r w:rsidRPr="00A553BA">
              <w:rPr>
                <w:rFonts w:cs="Arial"/>
              </w:rPr>
              <w:t xml:space="preserve"> and the child in an enduring relationship</w:t>
            </w:r>
          </w:p>
          <w:p w14:paraId="5498A7DF" w14:textId="77777777" w:rsidR="0000301B" w:rsidRPr="00A553BA" w:rsidRDefault="0000301B" w:rsidP="006C3DF5">
            <w:pPr>
              <w:pStyle w:val="ListParagraph"/>
              <w:numPr>
                <w:ilvl w:val="0"/>
                <w:numId w:val="176"/>
              </w:numPr>
              <w:spacing w:after="200" w:line="276" w:lineRule="auto"/>
              <w:rPr>
                <w:rFonts w:cs="Arial"/>
              </w:rPr>
            </w:pPr>
            <w:r w:rsidRPr="00A553BA">
              <w:rPr>
                <w:rFonts w:cs="Arial"/>
              </w:rPr>
              <w:t>I have been (or will be) continuously employed for 26 weeks at the end of the 15</w:t>
            </w:r>
            <w:r w:rsidRPr="00A553BA">
              <w:rPr>
                <w:rFonts w:cs="Arial"/>
                <w:vertAlign w:val="superscript"/>
              </w:rPr>
              <w:t>th</w:t>
            </w:r>
            <w:r w:rsidRPr="00A553BA">
              <w:rPr>
                <w:rFonts w:cs="Arial"/>
              </w:rPr>
              <w:t xml:space="preserve"> week before the week in which the child is due</w:t>
            </w:r>
          </w:p>
          <w:p w14:paraId="7F6CE85B" w14:textId="71BE7FBD" w:rsidR="0000301B" w:rsidRPr="00A553BA" w:rsidRDefault="0000301B" w:rsidP="006C3DF5">
            <w:pPr>
              <w:pStyle w:val="ListParagraph"/>
              <w:numPr>
                <w:ilvl w:val="0"/>
                <w:numId w:val="176"/>
              </w:numPr>
              <w:spacing w:after="200" w:line="276" w:lineRule="auto"/>
              <w:rPr>
                <w:rFonts w:cs="Arial"/>
              </w:rPr>
            </w:pPr>
            <w:r w:rsidRPr="00A553BA">
              <w:rPr>
                <w:rFonts w:cs="Arial"/>
              </w:rPr>
              <w:t>I will remain employed with this employer until any period of SPL</w:t>
            </w:r>
            <w:r w:rsidR="007D7DCD" w:rsidRPr="00431806">
              <w:rPr>
                <w:rFonts w:cs="Arial"/>
                <w:szCs w:val="24"/>
                <w:vertAlign w:val="superscript"/>
              </w:rPr>
              <w:t>26</w:t>
            </w:r>
            <w:r w:rsidRPr="00A553BA">
              <w:rPr>
                <w:rFonts w:cs="Arial"/>
              </w:rPr>
              <w:t xml:space="preserve"> that I intend to take</w:t>
            </w:r>
          </w:p>
          <w:p w14:paraId="101ADCCE" w14:textId="77777777" w:rsidR="0000301B" w:rsidRPr="00A553BA" w:rsidRDefault="0000301B" w:rsidP="006C3DF5">
            <w:pPr>
              <w:pStyle w:val="ListParagraph"/>
              <w:numPr>
                <w:ilvl w:val="0"/>
                <w:numId w:val="176"/>
              </w:numPr>
              <w:rPr>
                <w:rFonts w:cs="Arial"/>
              </w:rPr>
            </w:pPr>
            <w:r w:rsidRPr="00A553BA">
              <w:rPr>
                <w:rFonts w:cs="Arial"/>
              </w:rPr>
              <w:t xml:space="preserve">I had (or will have) the main responsibility for the care of our child at the time of the child’s birth (along with the main carer who has made the declaration below) </w:t>
            </w:r>
          </w:p>
          <w:p w14:paraId="7195741E" w14:textId="77777777" w:rsidR="0000301B" w:rsidRPr="00A553BA" w:rsidRDefault="0000301B" w:rsidP="006C3DF5">
            <w:pPr>
              <w:pStyle w:val="ListParagraph"/>
              <w:numPr>
                <w:ilvl w:val="0"/>
                <w:numId w:val="176"/>
              </w:numPr>
              <w:rPr>
                <w:rFonts w:cs="Arial"/>
              </w:rPr>
            </w:pPr>
            <w:r w:rsidRPr="00A553BA">
              <w:rPr>
                <w:rFonts w:cs="Arial"/>
              </w:rPr>
              <w:t>I will give my employer a copy of my child’s birth certificate or a declaration of the date and place of the birth where no certificate is available if my employer asks for this within 14 days of the date of this notice</w:t>
            </w:r>
          </w:p>
          <w:p w14:paraId="0D94A653" w14:textId="77777777" w:rsidR="0000301B" w:rsidRPr="00A553BA" w:rsidRDefault="0000301B" w:rsidP="006C3DF5">
            <w:pPr>
              <w:pStyle w:val="ListParagraph"/>
              <w:numPr>
                <w:ilvl w:val="0"/>
                <w:numId w:val="176"/>
              </w:numPr>
              <w:rPr>
                <w:rFonts w:cs="Arial"/>
              </w:rPr>
            </w:pPr>
            <w:r w:rsidRPr="00A553BA">
              <w:rPr>
                <w:rFonts w:cs="Arial"/>
              </w:rPr>
              <w:t>I will give my employer the name and address of the main carer’s employer or a declaration that (s)he does not have an employer if my employer asks for this within 14 days of the date of this notice</w:t>
            </w:r>
          </w:p>
          <w:p w14:paraId="1ABD88B5" w14:textId="77777777" w:rsidR="0000301B" w:rsidRPr="00A553BA" w:rsidRDefault="0000301B" w:rsidP="006C3DF5">
            <w:pPr>
              <w:pStyle w:val="ListParagraph"/>
              <w:numPr>
                <w:ilvl w:val="0"/>
                <w:numId w:val="176"/>
              </w:numPr>
              <w:rPr>
                <w:rFonts w:cs="Arial"/>
              </w:rPr>
            </w:pPr>
            <w:r w:rsidRPr="00A553BA">
              <w:rPr>
                <w:rFonts w:cs="Arial"/>
              </w:rPr>
              <w:t xml:space="preserve">I will inform my employer immediately if I am no longer caring for our child or if my partner revokes her notice to curtail her maternity leave or SMP/maternity allowance period </w:t>
            </w:r>
          </w:p>
          <w:p w14:paraId="74325753" w14:textId="3A49AA2D" w:rsidR="0000301B" w:rsidRPr="00A553BA" w:rsidRDefault="0000301B" w:rsidP="006C3DF5">
            <w:pPr>
              <w:pStyle w:val="ListParagraph"/>
              <w:numPr>
                <w:ilvl w:val="0"/>
                <w:numId w:val="176"/>
              </w:numPr>
              <w:rPr>
                <w:rFonts w:cs="Arial"/>
              </w:rPr>
            </w:pPr>
            <w:r w:rsidRPr="00A553BA">
              <w:rPr>
                <w:rFonts w:cs="Arial"/>
              </w:rPr>
              <w:t>I (or my partner) have given a period of SPL</w:t>
            </w:r>
            <w:r w:rsidR="007D7DCD" w:rsidRPr="00431806">
              <w:rPr>
                <w:rFonts w:cs="Arial"/>
                <w:szCs w:val="24"/>
                <w:vertAlign w:val="superscript"/>
              </w:rPr>
              <w:t>26</w:t>
            </w:r>
            <w:r w:rsidRPr="00A553BA">
              <w:rPr>
                <w:rFonts w:cs="Arial"/>
              </w:rPr>
              <w:t xml:space="preserve"> notice</w:t>
            </w:r>
          </w:p>
          <w:p w14:paraId="4A4D079C" w14:textId="08282215" w:rsidR="0000301B" w:rsidRPr="00A553BA" w:rsidRDefault="0000301B" w:rsidP="006C3DF5">
            <w:pPr>
              <w:pStyle w:val="ListParagraph"/>
              <w:numPr>
                <w:ilvl w:val="0"/>
                <w:numId w:val="176"/>
              </w:numPr>
              <w:rPr>
                <w:rFonts w:cs="Arial"/>
              </w:rPr>
            </w:pPr>
            <w:r w:rsidRPr="00A553BA">
              <w:rPr>
                <w:rFonts w:cs="Arial"/>
              </w:rPr>
              <w:t>The information provided in this declaration is accurate and meets the notification requirements for SPL</w:t>
            </w:r>
            <w:r w:rsidR="007D7DCD" w:rsidRPr="00431806">
              <w:rPr>
                <w:rFonts w:cs="Arial"/>
                <w:szCs w:val="24"/>
                <w:vertAlign w:val="superscript"/>
              </w:rPr>
              <w:t>26</w:t>
            </w:r>
          </w:p>
          <w:p w14:paraId="0829BA46" w14:textId="77777777" w:rsidR="0000301B" w:rsidRPr="00A553BA" w:rsidRDefault="0000301B" w:rsidP="00867E68">
            <w:pPr>
              <w:rPr>
                <w:rFonts w:cs="Arial"/>
                <w:b/>
              </w:rPr>
            </w:pPr>
            <w:r w:rsidRPr="00A553BA">
              <w:rPr>
                <w:rFonts w:cs="Arial"/>
                <w:b/>
              </w:rPr>
              <w:t>The following points only apply if Section E has been completed:</w:t>
            </w:r>
          </w:p>
          <w:p w14:paraId="43DBD7A9" w14:textId="77777777" w:rsidR="0000301B" w:rsidRPr="00A553BA" w:rsidRDefault="0000301B" w:rsidP="006C3DF5">
            <w:pPr>
              <w:pStyle w:val="ListParagraph"/>
              <w:numPr>
                <w:ilvl w:val="0"/>
                <w:numId w:val="176"/>
              </w:numPr>
              <w:rPr>
                <w:rFonts w:cs="Arial"/>
              </w:rPr>
            </w:pPr>
            <w:r w:rsidRPr="00A553BA">
              <w:rPr>
                <w:rFonts w:cs="Arial"/>
              </w:rPr>
              <w:t>I am giving notice that I am entitled to and intend to take ShPP</w:t>
            </w:r>
          </w:p>
          <w:p w14:paraId="63ED4C21" w14:textId="77777777" w:rsidR="0000301B" w:rsidRPr="00A553BA" w:rsidRDefault="0000301B" w:rsidP="006C3DF5">
            <w:pPr>
              <w:pStyle w:val="ListParagraph"/>
              <w:numPr>
                <w:ilvl w:val="0"/>
                <w:numId w:val="176"/>
              </w:numPr>
              <w:rPr>
                <w:rFonts w:cs="Arial"/>
              </w:rPr>
            </w:pPr>
            <w:r w:rsidRPr="00A553BA">
              <w:rPr>
                <w:rFonts w:cs="Arial"/>
              </w:rPr>
              <w:t>I have been (or will be) paid at least the Lower Earnings Limit in the 8 weeks leading up to the end of the 15</w:t>
            </w:r>
            <w:r w:rsidRPr="00A553BA">
              <w:rPr>
                <w:rFonts w:cs="Arial"/>
                <w:vertAlign w:val="superscript"/>
              </w:rPr>
              <w:t>th</w:t>
            </w:r>
            <w:r w:rsidRPr="00A553BA">
              <w:rPr>
                <w:rFonts w:cs="Arial"/>
              </w:rPr>
              <w:t xml:space="preserve"> week before the expected week of childbirth</w:t>
            </w:r>
          </w:p>
          <w:p w14:paraId="218E70BF" w14:textId="77777777" w:rsidR="0000301B" w:rsidRPr="00A553BA" w:rsidRDefault="0000301B" w:rsidP="006C3DF5">
            <w:pPr>
              <w:pStyle w:val="ListParagraph"/>
              <w:numPr>
                <w:ilvl w:val="0"/>
                <w:numId w:val="176"/>
              </w:numPr>
              <w:rPr>
                <w:rFonts w:cs="Arial"/>
              </w:rPr>
            </w:pPr>
            <w:r w:rsidRPr="00A553BA">
              <w:rPr>
                <w:rFonts w:cs="Arial"/>
              </w:rPr>
              <w:t>I intend to care for my child in the weeks I receive ShPP</w:t>
            </w:r>
          </w:p>
          <w:p w14:paraId="7088124C" w14:textId="61FECA65" w:rsidR="0000301B" w:rsidRPr="00A553BA" w:rsidRDefault="0000301B" w:rsidP="006C3DF5">
            <w:pPr>
              <w:pStyle w:val="ListParagraph"/>
              <w:numPr>
                <w:ilvl w:val="0"/>
                <w:numId w:val="176"/>
              </w:numPr>
              <w:rPr>
                <w:rFonts w:cs="Arial"/>
              </w:rPr>
            </w:pPr>
            <w:r w:rsidRPr="00A553BA">
              <w:rPr>
                <w:rFonts w:cs="Arial"/>
              </w:rPr>
              <w:t>I will be absent from work in each week in which I will be paid ShPP and I will be on SPL</w:t>
            </w:r>
            <w:r w:rsidR="007D7DCD" w:rsidRPr="00431806">
              <w:rPr>
                <w:rFonts w:cs="Arial"/>
                <w:szCs w:val="24"/>
                <w:vertAlign w:val="superscript"/>
              </w:rPr>
              <w:t>26</w:t>
            </w:r>
            <w:r w:rsidRPr="00A553BA">
              <w:rPr>
                <w:rFonts w:cs="Arial"/>
              </w:rPr>
              <w:t xml:space="preserve"> in those weeks (if entitled to SPL</w:t>
            </w:r>
            <w:r w:rsidR="007D7DCD" w:rsidRPr="00431806">
              <w:rPr>
                <w:rFonts w:cs="Arial"/>
                <w:szCs w:val="24"/>
                <w:vertAlign w:val="superscript"/>
              </w:rPr>
              <w:t>26</w:t>
            </w:r>
            <w:r w:rsidRPr="00A553BA">
              <w:rPr>
                <w:rFonts w:cs="Arial"/>
              </w:rPr>
              <w:t>)</w:t>
            </w:r>
          </w:p>
          <w:p w14:paraId="2F32CF51" w14:textId="77777777" w:rsidR="0000301B" w:rsidRPr="00A553BA" w:rsidRDefault="0000301B" w:rsidP="006C3DF5">
            <w:pPr>
              <w:pStyle w:val="ListParagraph"/>
              <w:numPr>
                <w:ilvl w:val="0"/>
                <w:numId w:val="176"/>
              </w:numPr>
              <w:spacing w:after="200" w:line="276" w:lineRule="auto"/>
              <w:rPr>
                <w:rFonts w:cs="Arial"/>
              </w:rPr>
            </w:pPr>
            <w:r w:rsidRPr="00A553BA">
              <w:rPr>
                <w:rFonts w:cs="Arial"/>
              </w:rPr>
              <w:t>I will remain employed with this employer until before the date of my first period of ShPP</w:t>
            </w:r>
          </w:p>
          <w:p w14:paraId="4B482ADF" w14:textId="77777777" w:rsidR="0000301B" w:rsidRPr="00A553BA" w:rsidRDefault="0000301B" w:rsidP="006C3DF5">
            <w:pPr>
              <w:pStyle w:val="ListParagraph"/>
              <w:numPr>
                <w:ilvl w:val="0"/>
                <w:numId w:val="176"/>
              </w:numPr>
              <w:rPr>
                <w:rFonts w:cs="Arial"/>
              </w:rPr>
            </w:pPr>
            <w:r w:rsidRPr="00A553BA">
              <w:rPr>
                <w:rFonts w:cs="Arial"/>
              </w:rPr>
              <w:t>The information provided in this declaration is correct</w:t>
            </w:r>
          </w:p>
        </w:tc>
      </w:tr>
      <w:tr w:rsidR="0000301B" w:rsidRPr="00CC1861" w14:paraId="4817C2B2" w14:textId="77777777" w:rsidTr="00867E68">
        <w:trPr>
          <w:trHeight w:val="680"/>
        </w:trPr>
        <w:tc>
          <w:tcPr>
            <w:tcW w:w="4621" w:type="dxa"/>
            <w:shd w:val="clear" w:color="auto" w:fill="auto"/>
          </w:tcPr>
          <w:p w14:paraId="1012DE24" w14:textId="77777777" w:rsidR="0000301B" w:rsidRPr="00A553BA" w:rsidRDefault="0000301B" w:rsidP="00867E68">
            <w:pPr>
              <w:rPr>
                <w:rFonts w:cs="Arial"/>
              </w:rPr>
            </w:pPr>
            <w:r w:rsidRPr="00A553BA">
              <w:rPr>
                <w:rFonts w:cs="Arial"/>
              </w:rPr>
              <w:t>Signature of partner</w:t>
            </w:r>
          </w:p>
          <w:p w14:paraId="3EE0BE54" w14:textId="77777777" w:rsidR="0000301B" w:rsidRPr="00A553BA" w:rsidRDefault="0000301B" w:rsidP="00867E68">
            <w:pPr>
              <w:rPr>
                <w:rFonts w:cs="Arial"/>
              </w:rPr>
            </w:pPr>
          </w:p>
        </w:tc>
        <w:tc>
          <w:tcPr>
            <w:tcW w:w="4621" w:type="dxa"/>
            <w:shd w:val="clear" w:color="auto" w:fill="auto"/>
          </w:tcPr>
          <w:p w14:paraId="4EF27FA5" w14:textId="77777777" w:rsidR="0000301B" w:rsidRPr="00A553BA" w:rsidRDefault="0000301B" w:rsidP="00867E68">
            <w:pPr>
              <w:rPr>
                <w:rFonts w:cs="Arial"/>
                <w:b/>
              </w:rPr>
            </w:pPr>
          </w:p>
        </w:tc>
      </w:tr>
      <w:tr w:rsidR="0000301B" w:rsidRPr="00CC1861" w14:paraId="2120C3A7" w14:textId="77777777" w:rsidTr="00867E68">
        <w:trPr>
          <w:trHeight w:val="679"/>
        </w:trPr>
        <w:tc>
          <w:tcPr>
            <w:tcW w:w="4621" w:type="dxa"/>
            <w:shd w:val="clear" w:color="auto" w:fill="auto"/>
          </w:tcPr>
          <w:p w14:paraId="5294F3C4" w14:textId="77777777" w:rsidR="0000301B" w:rsidRPr="00A553BA" w:rsidRDefault="0000301B" w:rsidP="00867E68">
            <w:pPr>
              <w:rPr>
                <w:rFonts w:cs="Arial"/>
              </w:rPr>
            </w:pPr>
            <w:r w:rsidRPr="00A553BA">
              <w:rPr>
                <w:rFonts w:cs="Arial"/>
              </w:rPr>
              <w:t>Date partner signed</w:t>
            </w:r>
          </w:p>
          <w:p w14:paraId="37587C85" w14:textId="77777777" w:rsidR="0000301B" w:rsidRPr="00A553BA" w:rsidRDefault="0000301B" w:rsidP="00867E68">
            <w:pPr>
              <w:rPr>
                <w:rFonts w:cs="Arial"/>
              </w:rPr>
            </w:pPr>
          </w:p>
        </w:tc>
        <w:tc>
          <w:tcPr>
            <w:tcW w:w="4621" w:type="dxa"/>
            <w:shd w:val="clear" w:color="auto" w:fill="auto"/>
          </w:tcPr>
          <w:p w14:paraId="58ADDDBF" w14:textId="77777777" w:rsidR="0000301B" w:rsidRPr="00A553BA" w:rsidRDefault="0000301B" w:rsidP="00867E68">
            <w:pPr>
              <w:rPr>
                <w:rFonts w:cs="Arial"/>
                <w:b/>
              </w:rPr>
            </w:pPr>
          </w:p>
        </w:tc>
      </w:tr>
    </w:tbl>
    <w:p w14:paraId="00FE9A4A" w14:textId="77777777" w:rsidR="0000301B" w:rsidRDefault="0000301B" w:rsidP="0000301B">
      <w:pPr>
        <w:pStyle w:val="ListParagraph"/>
        <w:spacing w:after="200" w:line="276" w:lineRule="auto"/>
        <w:ind w:left="0"/>
        <w:jc w:val="right"/>
        <w:rPr>
          <w:rFonts w:cs="Arial"/>
          <w:b/>
        </w:rPr>
      </w:pPr>
    </w:p>
    <w:p w14:paraId="2493EA17" w14:textId="77777777" w:rsidR="007D7DCD" w:rsidRDefault="007D7DCD" w:rsidP="0000301B">
      <w:pPr>
        <w:rPr>
          <w:rFonts w:cs="Arial"/>
          <w:b/>
        </w:rPr>
      </w:pPr>
    </w:p>
    <w:p w14:paraId="61C0BCF5" w14:textId="77777777" w:rsidR="007D7DCD" w:rsidRDefault="007D7DCD" w:rsidP="0000301B">
      <w:pPr>
        <w:rPr>
          <w:rFonts w:cs="Arial"/>
          <w:b/>
        </w:rPr>
      </w:pPr>
    </w:p>
    <w:p w14:paraId="63A4E966" w14:textId="77777777" w:rsidR="007D7DCD" w:rsidRDefault="007D7DCD" w:rsidP="0000301B">
      <w:pPr>
        <w:rPr>
          <w:rFonts w:cs="Arial"/>
          <w:b/>
        </w:rPr>
      </w:pPr>
    </w:p>
    <w:p w14:paraId="767B3C43" w14:textId="77777777" w:rsidR="007D7DCD" w:rsidRDefault="007D7DCD" w:rsidP="0000301B">
      <w:pPr>
        <w:rPr>
          <w:rFonts w:cs="Arial"/>
          <w:b/>
        </w:rPr>
      </w:pPr>
    </w:p>
    <w:p w14:paraId="3CE1291B" w14:textId="77777777" w:rsidR="007D7DCD" w:rsidRDefault="007D7DCD" w:rsidP="0000301B">
      <w:pPr>
        <w:rPr>
          <w:rFonts w:cs="Arial"/>
          <w:b/>
        </w:rPr>
      </w:pPr>
    </w:p>
    <w:p w14:paraId="55356379" w14:textId="77777777" w:rsidR="007D7DCD" w:rsidRDefault="007D7DCD" w:rsidP="0000301B">
      <w:pPr>
        <w:rPr>
          <w:rFonts w:cs="Arial"/>
          <w:b/>
        </w:rPr>
      </w:pPr>
    </w:p>
    <w:p w14:paraId="4271BA56" w14:textId="6EC4A496" w:rsidR="0000301B" w:rsidRPr="00B047B4" w:rsidRDefault="007D7DCD" w:rsidP="0000301B">
      <w:pPr>
        <w:rPr>
          <w:rFonts w:cs="Arial"/>
          <w:sz w:val="20"/>
        </w:rPr>
      </w:pPr>
      <w:r w:rsidRPr="00B047B4">
        <w:rPr>
          <w:rFonts w:ascii="Arial Bold" w:hAnsi="Arial Bold" w:cs="Arial"/>
          <w:sz w:val="20"/>
          <w:vertAlign w:val="superscript"/>
        </w:rPr>
        <w:t>26</w:t>
      </w:r>
      <w:r w:rsidRPr="00B047B4">
        <w:rPr>
          <w:rFonts w:cs="Arial"/>
          <w:sz w:val="20"/>
        </w:rPr>
        <w:t xml:space="preserve"> Shared Parental Leave only applicable within this protocol 01</w:t>
      </w:r>
      <w:r w:rsidRPr="00B047B4">
        <w:rPr>
          <w:rFonts w:cs="Arial"/>
          <w:sz w:val="20"/>
          <w:vertAlign w:val="superscript"/>
        </w:rPr>
        <w:t>st</w:t>
      </w:r>
      <w:r w:rsidRPr="00B047B4">
        <w:rPr>
          <w:rFonts w:cs="Arial"/>
          <w:sz w:val="20"/>
        </w:rPr>
        <w:t xml:space="preserve"> APRIL 2019</w:t>
      </w:r>
      <w:r w:rsidRPr="00B047B4">
        <w:rPr>
          <w:rFonts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8"/>
        <w:gridCol w:w="2914"/>
      </w:tblGrid>
      <w:tr w:rsidR="0000301B" w:rsidRPr="00CC1861" w14:paraId="2C683D87" w14:textId="77777777" w:rsidTr="00867E68">
        <w:tc>
          <w:tcPr>
            <w:tcW w:w="9242" w:type="dxa"/>
            <w:gridSpan w:val="2"/>
            <w:shd w:val="clear" w:color="auto" w:fill="DAEEF3"/>
          </w:tcPr>
          <w:p w14:paraId="20064A97" w14:textId="77777777" w:rsidR="0000301B" w:rsidRPr="00A553BA" w:rsidRDefault="0000301B" w:rsidP="00867E68">
            <w:pPr>
              <w:rPr>
                <w:rFonts w:cs="Arial"/>
                <w:b/>
                <w:color w:val="0000FF"/>
                <w:sz w:val="32"/>
                <w:szCs w:val="32"/>
              </w:rPr>
            </w:pPr>
            <w:r w:rsidRPr="00A553BA">
              <w:rPr>
                <w:rFonts w:cs="Arial"/>
                <w:b/>
              </w:rPr>
              <w:t>SECTION G: Main carer’s declaration (must be completed)</w:t>
            </w:r>
          </w:p>
        </w:tc>
      </w:tr>
      <w:tr w:rsidR="0000301B" w:rsidRPr="00CC1861" w14:paraId="0B6D3A03" w14:textId="77777777" w:rsidTr="00867E68">
        <w:trPr>
          <w:trHeight w:val="4101"/>
        </w:trPr>
        <w:tc>
          <w:tcPr>
            <w:tcW w:w="9242" w:type="dxa"/>
            <w:gridSpan w:val="2"/>
            <w:shd w:val="clear" w:color="auto" w:fill="auto"/>
          </w:tcPr>
          <w:p w14:paraId="360D2023" w14:textId="77777777" w:rsidR="0000301B" w:rsidRPr="00A553BA" w:rsidRDefault="0000301B" w:rsidP="00867E68">
            <w:pPr>
              <w:rPr>
                <w:rFonts w:cs="Arial"/>
                <w:b/>
              </w:rPr>
            </w:pPr>
            <w:r w:rsidRPr="00A553BA">
              <w:rPr>
                <w:rFonts w:cs="Arial"/>
                <w:b/>
              </w:rPr>
              <w:t>The following points apply in all circumstances:</w:t>
            </w:r>
          </w:p>
          <w:p w14:paraId="3096AC1E" w14:textId="77777777" w:rsidR="0000301B" w:rsidRPr="00A553BA" w:rsidRDefault="0000301B" w:rsidP="006C3DF5">
            <w:pPr>
              <w:pStyle w:val="ListParagraph"/>
              <w:numPr>
                <w:ilvl w:val="0"/>
                <w:numId w:val="177"/>
              </w:numPr>
              <w:rPr>
                <w:rFonts w:cs="Arial"/>
              </w:rPr>
            </w:pPr>
            <w:r w:rsidRPr="00A553BA">
              <w:rPr>
                <w:rFonts w:cs="Arial"/>
              </w:rPr>
              <w:t>I had (or will have) the main responsibility for the care of the child at the time of the birth (along with my partner who has made the declaration above)</w:t>
            </w:r>
          </w:p>
          <w:p w14:paraId="1F55C6BA" w14:textId="77777777" w:rsidR="0000301B" w:rsidRPr="00A553BA" w:rsidRDefault="0000301B" w:rsidP="006C3DF5">
            <w:pPr>
              <w:pStyle w:val="ListParagraph"/>
              <w:numPr>
                <w:ilvl w:val="0"/>
                <w:numId w:val="177"/>
              </w:numPr>
              <w:rPr>
                <w:rFonts w:cs="Arial"/>
              </w:rPr>
            </w:pPr>
            <w:r w:rsidRPr="00A553BA">
              <w:rPr>
                <w:rFonts w:cs="Arial"/>
              </w:rPr>
              <w:t>I am entitled to maternity leave and/or SMP or MA in respect of the child and I have curtailed (or will curtail) my entitlement to maternity leave (or I have returned to work) and/or my entitlement to SMP or MA.</w:t>
            </w:r>
          </w:p>
          <w:p w14:paraId="38B5A084" w14:textId="77777777" w:rsidR="0000301B" w:rsidRPr="00A553BA" w:rsidRDefault="0000301B" w:rsidP="006C3DF5">
            <w:pPr>
              <w:pStyle w:val="ListParagraph"/>
              <w:numPr>
                <w:ilvl w:val="0"/>
                <w:numId w:val="177"/>
              </w:numPr>
              <w:rPr>
                <w:rFonts w:cs="Arial"/>
              </w:rPr>
            </w:pPr>
            <w:r w:rsidRPr="00A553BA">
              <w:rPr>
                <w:rFonts w:cs="Arial"/>
              </w:rPr>
              <w:t>I have, or will have, been employed or self-employed in England, Scotland or Wales in 26 weeks of the 66 weeks before the expected week of childbirth</w:t>
            </w:r>
          </w:p>
          <w:p w14:paraId="2ADBC4B7" w14:textId="77777777" w:rsidR="0000301B" w:rsidRPr="00A553BA" w:rsidRDefault="0000301B" w:rsidP="006C3DF5">
            <w:pPr>
              <w:pStyle w:val="ListParagraph"/>
              <w:numPr>
                <w:ilvl w:val="0"/>
                <w:numId w:val="177"/>
              </w:numPr>
              <w:rPr>
                <w:rFonts w:cs="Arial"/>
              </w:rPr>
            </w:pPr>
            <w:r w:rsidRPr="00A553BA">
              <w:rPr>
                <w:rFonts w:cs="Arial"/>
              </w:rPr>
              <w:t>I have (or will have) earned in total at least £390 in 13 weeks of the 66 weeks before the expected week of birth</w:t>
            </w:r>
          </w:p>
          <w:p w14:paraId="4C167560" w14:textId="77777777" w:rsidR="0000301B" w:rsidRPr="00A553BA" w:rsidRDefault="0000301B" w:rsidP="006C3DF5">
            <w:pPr>
              <w:pStyle w:val="ListParagraph"/>
              <w:numPr>
                <w:ilvl w:val="0"/>
                <w:numId w:val="177"/>
              </w:numPr>
              <w:rPr>
                <w:rFonts w:cs="Arial"/>
              </w:rPr>
            </w:pPr>
            <w:r w:rsidRPr="00A553BA">
              <w:rPr>
                <w:rFonts w:cs="Arial"/>
              </w:rPr>
              <w:t>I will immediately inform my partner if I revoke my notice to curtail my leave or, if I am not entitled to leave, my SMP or MA entitlement</w:t>
            </w:r>
          </w:p>
          <w:p w14:paraId="14A1B600" w14:textId="023EA993" w:rsidR="0000301B" w:rsidRPr="00A553BA" w:rsidRDefault="0000301B" w:rsidP="006C3DF5">
            <w:pPr>
              <w:pStyle w:val="ListParagraph"/>
              <w:numPr>
                <w:ilvl w:val="0"/>
                <w:numId w:val="177"/>
              </w:numPr>
              <w:rPr>
                <w:rFonts w:cs="Arial"/>
              </w:rPr>
            </w:pPr>
            <w:r w:rsidRPr="00A553BA">
              <w:rPr>
                <w:rFonts w:cs="Arial"/>
              </w:rPr>
              <w:t>I consent to my partner’s intended SPL</w:t>
            </w:r>
            <w:r w:rsidR="007D7DCD" w:rsidRPr="00B047B4">
              <w:rPr>
                <w:rFonts w:cs="Arial"/>
                <w:vertAlign w:val="superscript"/>
              </w:rPr>
              <w:t>26</w:t>
            </w:r>
            <w:r w:rsidRPr="00A553BA">
              <w:rPr>
                <w:rFonts w:cs="Arial"/>
              </w:rPr>
              <w:t xml:space="preserve"> as set out in Section D above </w:t>
            </w:r>
          </w:p>
          <w:p w14:paraId="1ACFD47A" w14:textId="77777777" w:rsidR="0000301B" w:rsidRPr="00A553BA" w:rsidRDefault="0000301B" w:rsidP="006C3DF5">
            <w:pPr>
              <w:pStyle w:val="ListParagraph"/>
              <w:numPr>
                <w:ilvl w:val="0"/>
                <w:numId w:val="177"/>
              </w:numPr>
              <w:rPr>
                <w:rFonts w:cs="Arial"/>
              </w:rPr>
            </w:pPr>
            <w:r w:rsidRPr="00A553BA">
              <w:rPr>
                <w:rFonts w:cs="Arial"/>
              </w:rPr>
              <w:t>I consent to my partner’s employer processing the information I have provided</w:t>
            </w:r>
          </w:p>
          <w:p w14:paraId="321701D2" w14:textId="63FFAF3D" w:rsidR="0000301B" w:rsidRPr="00A553BA" w:rsidRDefault="0000301B" w:rsidP="006C3DF5">
            <w:pPr>
              <w:pStyle w:val="ListParagraph"/>
              <w:numPr>
                <w:ilvl w:val="0"/>
                <w:numId w:val="177"/>
              </w:numPr>
              <w:rPr>
                <w:rFonts w:cs="Arial"/>
              </w:rPr>
            </w:pPr>
            <w:r w:rsidRPr="00A553BA">
              <w:rPr>
                <w:rFonts w:cs="Arial"/>
              </w:rPr>
              <w:t>The information provided in this declaration is accurate and meets the notification requirements for SPL</w:t>
            </w:r>
            <w:r w:rsidR="007D7DCD" w:rsidRPr="00431806">
              <w:rPr>
                <w:rFonts w:cs="Arial"/>
                <w:vertAlign w:val="superscript"/>
              </w:rPr>
              <w:t>26</w:t>
            </w:r>
          </w:p>
          <w:p w14:paraId="37ADA34A" w14:textId="77777777" w:rsidR="0000301B" w:rsidRPr="00A553BA" w:rsidRDefault="0000301B" w:rsidP="00867E68">
            <w:pPr>
              <w:rPr>
                <w:rFonts w:cs="Arial"/>
                <w:b/>
              </w:rPr>
            </w:pPr>
            <w:r w:rsidRPr="00A553BA">
              <w:rPr>
                <w:rFonts w:cs="Arial"/>
                <w:b/>
              </w:rPr>
              <w:t>The following points only apply if Section E has been completed:</w:t>
            </w:r>
          </w:p>
          <w:p w14:paraId="1B5E2B19" w14:textId="77777777" w:rsidR="0000301B" w:rsidRPr="00A553BA" w:rsidRDefault="0000301B" w:rsidP="006C3DF5">
            <w:pPr>
              <w:pStyle w:val="ListParagraph"/>
              <w:numPr>
                <w:ilvl w:val="0"/>
                <w:numId w:val="177"/>
              </w:numPr>
              <w:rPr>
                <w:rFonts w:cs="Arial"/>
              </w:rPr>
            </w:pPr>
            <w:r w:rsidRPr="00A553BA">
              <w:rPr>
                <w:rFonts w:cs="Arial"/>
              </w:rPr>
              <w:t>I am entitled to SMP or MA, and I have reduced (or will reduce) the SMP or MA period and the remainder will be available as ShPP</w:t>
            </w:r>
          </w:p>
          <w:p w14:paraId="06A81010" w14:textId="77777777" w:rsidR="0000301B" w:rsidRPr="00A553BA" w:rsidRDefault="0000301B" w:rsidP="006C3DF5">
            <w:pPr>
              <w:pStyle w:val="ListParagraph"/>
              <w:numPr>
                <w:ilvl w:val="0"/>
                <w:numId w:val="177"/>
              </w:numPr>
              <w:rPr>
                <w:rFonts w:cs="Arial"/>
              </w:rPr>
            </w:pPr>
            <w:r w:rsidRPr="00A553BA">
              <w:rPr>
                <w:rFonts w:cs="Arial"/>
              </w:rPr>
              <w:t>I consent to my partner’s intended ShPP as set out in Section E above</w:t>
            </w:r>
          </w:p>
          <w:p w14:paraId="787CEF34" w14:textId="77777777" w:rsidR="0000301B" w:rsidRPr="00A553BA" w:rsidRDefault="0000301B" w:rsidP="006C3DF5">
            <w:pPr>
              <w:pStyle w:val="ListParagraph"/>
              <w:numPr>
                <w:ilvl w:val="0"/>
                <w:numId w:val="177"/>
              </w:numPr>
              <w:rPr>
                <w:rFonts w:cs="Arial"/>
              </w:rPr>
            </w:pPr>
            <w:r w:rsidRPr="00A553BA">
              <w:rPr>
                <w:rFonts w:cs="Arial"/>
              </w:rPr>
              <w:t xml:space="preserve">I will immediately inform my partner if I revoke the reduction of my SMP or MA </w:t>
            </w:r>
          </w:p>
          <w:p w14:paraId="6BF1A356" w14:textId="77777777" w:rsidR="0000301B" w:rsidRPr="00A553BA" w:rsidRDefault="0000301B" w:rsidP="006C3DF5">
            <w:pPr>
              <w:pStyle w:val="ListParagraph"/>
              <w:numPr>
                <w:ilvl w:val="0"/>
                <w:numId w:val="177"/>
              </w:numPr>
              <w:rPr>
                <w:rFonts w:cs="Arial"/>
              </w:rPr>
            </w:pPr>
            <w:r w:rsidRPr="00A553BA">
              <w:rPr>
                <w:rFonts w:cs="Arial"/>
              </w:rPr>
              <w:t>I consent to the person who will pay ShPP to my partner or the child’s father processing the information I have provided</w:t>
            </w:r>
          </w:p>
          <w:p w14:paraId="3014076A" w14:textId="77777777" w:rsidR="0000301B" w:rsidRPr="00A553BA" w:rsidRDefault="0000301B" w:rsidP="006C3DF5">
            <w:pPr>
              <w:pStyle w:val="ListParagraph"/>
              <w:numPr>
                <w:ilvl w:val="0"/>
                <w:numId w:val="177"/>
              </w:numPr>
              <w:rPr>
                <w:rFonts w:cs="Arial"/>
              </w:rPr>
            </w:pPr>
            <w:r w:rsidRPr="00A553BA">
              <w:rPr>
                <w:rFonts w:cs="Arial"/>
              </w:rPr>
              <w:t>The information provided in this declaration is correct</w:t>
            </w:r>
          </w:p>
        </w:tc>
      </w:tr>
      <w:tr w:rsidR="0000301B" w:rsidRPr="00CC1861" w14:paraId="400D7D8C" w14:textId="77777777" w:rsidTr="00867E68">
        <w:tc>
          <w:tcPr>
            <w:tcW w:w="6328" w:type="dxa"/>
            <w:shd w:val="clear" w:color="auto" w:fill="auto"/>
          </w:tcPr>
          <w:p w14:paraId="78574A05" w14:textId="77777777" w:rsidR="0000301B" w:rsidRPr="00A553BA" w:rsidRDefault="0000301B" w:rsidP="00867E68">
            <w:pPr>
              <w:rPr>
                <w:rFonts w:cs="Arial"/>
              </w:rPr>
            </w:pPr>
            <w:r w:rsidRPr="00A553BA">
              <w:rPr>
                <w:rFonts w:cs="Arial"/>
              </w:rPr>
              <w:t>Signature of main carer</w:t>
            </w:r>
          </w:p>
          <w:p w14:paraId="47BFA637" w14:textId="77777777" w:rsidR="0000301B" w:rsidRPr="00A553BA" w:rsidRDefault="0000301B" w:rsidP="00867E68">
            <w:pPr>
              <w:rPr>
                <w:rFonts w:cs="Arial"/>
              </w:rPr>
            </w:pPr>
          </w:p>
        </w:tc>
        <w:tc>
          <w:tcPr>
            <w:tcW w:w="2914" w:type="dxa"/>
            <w:shd w:val="clear" w:color="auto" w:fill="auto"/>
          </w:tcPr>
          <w:p w14:paraId="1E586453" w14:textId="77777777" w:rsidR="0000301B" w:rsidRPr="00A553BA" w:rsidRDefault="0000301B" w:rsidP="00867E68">
            <w:pPr>
              <w:rPr>
                <w:rFonts w:cs="Arial"/>
                <w:b/>
              </w:rPr>
            </w:pPr>
          </w:p>
        </w:tc>
      </w:tr>
      <w:tr w:rsidR="0000301B" w:rsidRPr="00CC1861" w14:paraId="3EB7365D" w14:textId="77777777" w:rsidTr="00867E68">
        <w:tc>
          <w:tcPr>
            <w:tcW w:w="6328" w:type="dxa"/>
            <w:shd w:val="clear" w:color="auto" w:fill="auto"/>
          </w:tcPr>
          <w:p w14:paraId="609642F1" w14:textId="77777777" w:rsidR="0000301B" w:rsidRPr="00A553BA" w:rsidRDefault="0000301B" w:rsidP="00867E68">
            <w:pPr>
              <w:rPr>
                <w:rFonts w:cs="Arial"/>
              </w:rPr>
            </w:pPr>
            <w:r w:rsidRPr="00A553BA">
              <w:rPr>
                <w:rFonts w:cs="Arial"/>
              </w:rPr>
              <w:t>Date main carer signed</w:t>
            </w:r>
          </w:p>
          <w:p w14:paraId="7F9304A5" w14:textId="77777777" w:rsidR="0000301B" w:rsidRPr="00A553BA" w:rsidRDefault="0000301B" w:rsidP="00867E68">
            <w:pPr>
              <w:rPr>
                <w:rFonts w:cs="Arial"/>
              </w:rPr>
            </w:pPr>
          </w:p>
        </w:tc>
        <w:tc>
          <w:tcPr>
            <w:tcW w:w="2914" w:type="dxa"/>
            <w:shd w:val="clear" w:color="auto" w:fill="auto"/>
          </w:tcPr>
          <w:p w14:paraId="462619C3" w14:textId="77777777" w:rsidR="0000301B" w:rsidRPr="00A553BA" w:rsidRDefault="0000301B" w:rsidP="00867E68">
            <w:pPr>
              <w:rPr>
                <w:rFonts w:cs="Arial"/>
                <w:b/>
              </w:rPr>
            </w:pPr>
          </w:p>
        </w:tc>
      </w:tr>
      <w:tr w:rsidR="0000301B" w:rsidRPr="00CC1861" w14:paraId="099859BF" w14:textId="77777777" w:rsidTr="00867E68">
        <w:tc>
          <w:tcPr>
            <w:tcW w:w="6328" w:type="dxa"/>
            <w:shd w:val="clear" w:color="auto" w:fill="auto"/>
          </w:tcPr>
          <w:p w14:paraId="15AD768A" w14:textId="77777777" w:rsidR="0000301B" w:rsidRPr="00A553BA" w:rsidRDefault="0000301B" w:rsidP="00867E68">
            <w:pPr>
              <w:rPr>
                <w:rFonts w:cs="Arial"/>
                <w:b/>
              </w:rPr>
            </w:pPr>
            <w:r w:rsidRPr="00A553BA">
              <w:rPr>
                <w:rFonts w:cs="Arial"/>
                <w:b/>
              </w:rPr>
              <w:t>Main carer declaration (if applicable)</w:t>
            </w:r>
          </w:p>
        </w:tc>
        <w:tc>
          <w:tcPr>
            <w:tcW w:w="2914" w:type="dxa"/>
            <w:shd w:val="clear" w:color="auto" w:fill="auto"/>
          </w:tcPr>
          <w:p w14:paraId="3AA93D10" w14:textId="77777777" w:rsidR="0000301B" w:rsidRPr="00A553BA" w:rsidRDefault="0000301B" w:rsidP="00867E68">
            <w:pPr>
              <w:rPr>
                <w:rFonts w:cs="Arial"/>
                <w:b/>
              </w:rPr>
            </w:pPr>
          </w:p>
        </w:tc>
      </w:tr>
      <w:tr w:rsidR="0000301B" w:rsidRPr="00CC1861" w14:paraId="1D3C6684" w14:textId="77777777" w:rsidTr="00867E68">
        <w:tc>
          <w:tcPr>
            <w:tcW w:w="6328" w:type="dxa"/>
            <w:shd w:val="clear" w:color="auto" w:fill="auto"/>
          </w:tcPr>
          <w:p w14:paraId="34B79A14" w14:textId="77777777" w:rsidR="0000301B" w:rsidRPr="00A553BA" w:rsidRDefault="0000301B" w:rsidP="00867E68">
            <w:pPr>
              <w:rPr>
                <w:rFonts w:cs="Arial"/>
              </w:rPr>
            </w:pPr>
            <w:r w:rsidRPr="00A553BA">
              <w:rPr>
                <w:rFonts w:cs="Arial"/>
              </w:rPr>
              <w:t>If main carer is also a GP provider – name of GP practice</w:t>
            </w:r>
          </w:p>
        </w:tc>
        <w:tc>
          <w:tcPr>
            <w:tcW w:w="2914" w:type="dxa"/>
            <w:shd w:val="clear" w:color="auto" w:fill="auto"/>
          </w:tcPr>
          <w:p w14:paraId="029EB2C2" w14:textId="77777777" w:rsidR="0000301B" w:rsidRPr="00A553BA" w:rsidRDefault="0000301B" w:rsidP="00867E68">
            <w:pPr>
              <w:rPr>
                <w:rFonts w:cs="Arial"/>
                <w:b/>
              </w:rPr>
            </w:pPr>
          </w:p>
        </w:tc>
      </w:tr>
      <w:tr w:rsidR="0000301B" w:rsidRPr="00CC1861" w14:paraId="39D10A1D" w14:textId="77777777" w:rsidTr="00867E68">
        <w:tc>
          <w:tcPr>
            <w:tcW w:w="6328" w:type="dxa"/>
            <w:shd w:val="clear" w:color="auto" w:fill="auto"/>
          </w:tcPr>
          <w:p w14:paraId="3135859C" w14:textId="77777777" w:rsidR="0000301B" w:rsidRPr="00A553BA" w:rsidRDefault="0000301B" w:rsidP="00867E68">
            <w:pPr>
              <w:rPr>
                <w:rFonts w:cs="Arial"/>
              </w:rPr>
            </w:pPr>
            <w:r w:rsidRPr="00A553BA">
              <w:rPr>
                <w:rFonts w:cs="Arial"/>
              </w:rPr>
              <w:t>Period of locum reimbursement claimed by main carer</w:t>
            </w:r>
          </w:p>
        </w:tc>
        <w:tc>
          <w:tcPr>
            <w:tcW w:w="2914" w:type="dxa"/>
            <w:shd w:val="clear" w:color="auto" w:fill="auto"/>
          </w:tcPr>
          <w:p w14:paraId="6D53903B" w14:textId="77777777" w:rsidR="0000301B" w:rsidRPr="00A553BA" w:rsidRDefault="0000301B" w:rsidP="00867E68">
            <w:pPr>
              <w:rPr>
                <w:rFonts w:cs="Arial"/>
                <w:b/>
              </w:rPr>
            </w:pPr>
          </w:p>
        </w:tc>
      </w:tr>
    </w:tbl>
    <w:p w14:paraId="103D22D9" w14:textId="77777777" w:rsidR="007D7DCD" w:rsidRDefault="007D7DCD" w:rsidP="00B047B4">
      <w:pPr>
        <w:pStyle w:val="ListParagraph"/>
        <w:spacing w:after="200" w:line="276" w:lineRule="auto"/>
        <w:ind w:left="0"/>
        <w:rPr>
          <w:rFonts w:cs="Arial"/>
          <w:b/>
        </w:rPr>
      </w:pPr>
    </w:p>
    <w:p w14:paraId="6598132B" w14:textId="77777777" w:rsidR="007D7DCD" w:rsidRDefault="007D7DCD" w:rsidP="00B047B4">
      <w:pPr>
        <w:pStyle w:val="ListParagraph"/>
        <w:spacing w:after="200" w:line="276" w:lineRule="auto"/>
        <w:ind w:left="0"/>
        <w:rPr>
          <w:rFonts w:cs="Arial"/>
          <w:b/>
        </w:rPr>
      </w:pPr>
    </w:p>
    <w:p w14:paraId="3B893F0B" w14:textId="77777777" w:rsidR="007D7DCD" w:rsidRDefault="007D7DCD" w:rsidP="00B047B4">
      <w:pPr>
        <w:pStyle w:val="ListParagraph"/>
        <w:spacing w:after="200" w:line="276" w:lineRule="auto"/>
        <w:ind w:left="0"/>
        <w:rPr>
          <w:rFonts w:cs="Arial"/>
          <w:b/>
        </w:rPr>
      </w:pPr>
    </w:p>
    <w:p w14:paraId="33122B57" w14:textId="77777777" w:rsidR="007D7DCD" w:rsidRDefault="007D7DCD" w:rsidP="00B047B4">
      <w:pPr>
        <w:pStyle w:val="ListParagraph"/>
        <w:spacing w:after="200" w:line="276" w:lineRule="auto"/>
        <w:ind w:left="0"/>
        <w:rPr>
          <w:rFonts w:cs="Arial"/>
          <w:b/>
        </w:rPr>
      </w:pPr>
    </w:p>
    <w:p w14:paraId="69905C4B" w14:textId="77777777" w:rsidR="007D7DCD" w:rsidRDefault="007D7DCD" w:rsidP="00B047B4">
      <w:pPr>
        <w:pStyle w:val="ListParagraph"/>
        <w:spacing w:after="200" w:line="276" w:lineRule="auto"/>
        <w:ind w:left="0"/>
        <w:rPr>
          <w:rFonts w:cs="Arial"/>
          <w:b/>
        </w:rPr>
      </w:pPr>
    </w:p>
    <w:p w14:paraId="25FE7C2A" w14:textId="77777777" w:rsidR="007D7DCD" w:rsidRDefault="007D7DCD" w:rsidP="00B047B4">
      <w:pPr>
        <w:pStyle w:val="ListParagraph"/>
        <w:spacing w:after="200" w:line="276" w:lineRule="auto"/>
        <w:ind w:left="0"/>
        <w:rPr>
          <w:rFonts w:cs="Arial"/>
          <w:b/>
        </w:rPr>
      </w:pPr>
    </w:p>
    <w:p w14:paraId="29CFECE6" w14:textId="77777777" w:rsidR="007D7DCD" w:rsidRDefault="007D7DCD" w:rsidP="00B047B4">
      <w:pPr>
        <w:pStyle w:val="ListParagraph"/>
        <w:spacing w:after="200" w:line="276" w:lineRule="auto"/>
        <w:ind w:left="0"/>
        <w:rPr>
          <w:rFonts w:cs="Arial"/>
          <w:b/>
        </w:rPr>
      </w:pPr>
    </w:p>
    <w:p w14:paraId="718168F3" w14:textId="77777777" w:rsidR="007D7DCD" w:rsidRDefault="007D7DCD" w:rsidP="00B047B4">
      <w:pPr>
        <w:pStyle w:val="ListParagraph"/>
        <w:spacing w:after="200" w:line="276" w:lineRule="auto"/>
        <w:ind w:left="0"/>
        <w:rPr>
          <w:rFonts w:cs="Arial"/>
          <w:b/>
        </w:rPr>
      </w:pPr>
    </w:p>
    <w:p w14:paraId="53E7C82D" w14:textId="77777777" w:rsidR="007D7DCD" w:rsidRDefault="007D7DCD" w:rsidP="00B047B4">
      <w:pPr>
        <w:pStyle w:val="ListParagraph"/>
        <w:spacing w:after="200" w:line="276" w:lineRule="auto"/>
        <w:ind w:left="0"/>
        <w:rPr>
          <w:rFonts w:cs="Arial"/>
          <w:b/>
        </w:rPr>
      </w:pPr>
    </w:p>
    <w:p w14:paraId="3F1C2F9E" w14:textId="77777777" w:rsidR="007D7DCD" w:rsidRDefault="007D7DCD" w:rsidP="00B047B4">
      <w:pPr>
        <w:pStyle w:val="ListParagraph"/>
        <w:spacing w:after="200" w:line="276" w:lineRule="auto"/>
        <w:ind w:left="0"/>
        <w:rPr>
          <w:rFonts w:cs="Arial"/>
          <w:b/>
        </w:rPr>
      </w:pPr>
    </w:p>
    <w:p w14:paraId="15B8D4C7" w14:textId="77777777" w:rsidR="007D7DCD" w:rsidRDefault="007D7DCD" w:rsidP="00B047B4">
      <w:pPr>
        <w:pStyle w:val="ListParagraph"/>
        <w:spacing w:after="200" w:line="276" w:lineRule="auto"/>
        <w:ind w:left="0"/>
        <w:rPr>
          <w:rFonts w:cs="Arial"/>
          <w:b/>
        </w:rPr>
      </w:pPr>
    </w:p>
    <w:p w14:paraId="4A81DD9F" w14:textId="77777777" w:rsidR="007D7DCD" w:rsidRDefault="007D7DCD" w:rsidP="00B047B4">
      <w:pPr>
        <w:pStyle w:val="ListParagraph"/>
        <w:spacing w:after="200" w:line="276" w:lineRule="auto"/>
        <w:ind w:left="0"/>
        <w:rPr>
          <w:rFonts w:cs="Arial"/>
          <w:b/>
        </w:rPr>
      </w:pPr>
    </w:p>
    <w:p w14:paraId="51013F3E" w14:textId="77777777" w:rsidR="007D7DCD" w:rsidRDefault="007D7DCD" w:rsidP="00B047B4">
      <w:pPr>
        <w:pStyle w:val="ListParagraph"/>
        <w:spacing w:after="200" w:line="276" w:lineRule="auto"/>
        <w:ind w:left="0"/>
        <w:rPr>
          <w:rFonts w:cs="Arial"/>
          <w:b/>
        </w:rPr>
      </w:pPr>
    </w:p>
    <w:p w14:paraId="4F2662EB" w14:textId="77777777" w:rsidR="007D7DCD" w:rsidRPr="00B047B4" w:rsidRDefault="007D7DCD" w:rsidP="007D7DCD">
      <w:pPr>
        <w:rPr>
          <w:rFonts w:cs="Arial"/>
          <w:sz w:val="20"/>
        </w:rPr>
      </w:pPr>
      <w:r w:rsidRPr="00B047B4">
        <w:rPr>
          <w:rFonts w:ascii="Arial Bold" w:hAnsi="Arial Bold" w:cs="Arial"/>
          <w:sz w:val="20"/>
          <w:vertAlign w:val="superscript"/>
        </w:rPr>
        <w:t>26</w:t>
      </w:r>
      <w:r w:rsidRPr="00B047B4">
        <w:rPr>
          <w:rFonts w:cs="Arial"/>
          <w:sz w:val="20"/>
        </w:rPr>
        <w:t xml:space="preserve"> Shared Parental Leave only applicable within this protocol 01</w:t>
      </w:r>
      <w:r w:rsidRPr="00B047B4">
        <w:rPr>
          <w:rFonts w:cs="Arial"/>
          <w:sz w:val="20"/>
          <w:vertAlign w:val="superscript"/>
        </w:rPr>
        <w:t>st</w:t>
      </w:r>
      <w:r w:rsidRPr="00B047B4">
        <w:rPr>
          <w:rFonts w:cs="Arial"/>
          <w:sz w:val="20"/>
        </w:rPr>
        <w:t xml:space="preserve"> APRIL 2019</w:t>
      </w:r>
      <w:r w:rsidRPr="00B047B4">
        <w:rPr>
          <w:rFonts w:cs="Arial"/>
          <w:sz w:val="20"/>
        </w:rPr>
        <w:br w:type="page"/>
      </w:r>
    </w:p>
    <w:p w14:paraId="237DDCEB" w14:textId="6886ADEF" w:rsidR="0000301B" w:rsidRDefault="0000301B" w:rsidP="00B047B4">
      <w:pPr>
        <w:pStyle w:val="ListParagraph"/>
        <w:spacing w:after="200" w:line="276" w:lineRule="auto"/>
        <w:ind w:left="0"/>
        <w:rPr>
          <w:rFonts w:cs="Arial"/>
          <w:b/>
        </w:rPr>
      </w:pPr>
    </w:p>
    <w:p w14:paraId="2E90E9CE" w14:textId="77777777" w:rsidR="0000301B" w:rsidRDefault="0000301B" w:rsidP="0000301B">
      <w:pPr>
        <w:pStyle w:val="ListParagraph"/>
        <w:spacing w:after="200" w:line="276" w:lineRule="auto"/>
        <w:ind w:left="0"/>
        <w:jc w:val="right"/>
        <w:rPr>
          <w:rFonts w:cs="Arial"/>
          <w:b/>
          <w:color w:val="0072C6"/>
          <w:kern w:val="32"/>
          <w:sz w:val="32"/>
          <w:szCs w:val="32"/>
        </w:rPr>
      </w:pPr>
      <w:r>
        <w:rPr>
          <w:rFonts w:cs="Arial"/>
          <w:b/>
          <w:color w:val="0072C6"/>
          <w:kern w:val="32"/>
          <w:sz w:val="32"/>
          <w:szCs w:val="32"/>
        </w:rPr>
        <w:t>Annex C</w:t>
      </w:r>
    </w:p>
    <w:p w14:paraId="086653CA" w14:textId="77777777" w:rsidR="0000301B" w:rsidRPr="005D1443" w:rsidRDefault="0000301B" w:rsidP="0000301B">
      <w:pPr>
        <w:pStyle w:val="ListParagraph"/>
        <w:spacing w:after="200" w:line="276" w:lineRule="auto"/>
        <w:ind w:left="0"/>
        <w:rPr>
          <w:rFonts w:cs="Arial"/>
          <w:b/>
          <w:color w:val="0072C6"/>
          <w:kern w:val="32"/>
          <w:sz w:val="32"/>
          <w:szCs w:val="32"/>
        </w:rPr>
      </w:pPr>
      <w:r>
        <w:rPr>
          <w:rFonts w:cs="Arial"/>
          <w:b/>
          <w:color w:val="0072C6"/>
          <w:kern w:val="32"/>
          <w:sz w:val="32"/>
          <w:szCs w:val="32"/>
        </w:rPr>
        <w:t>Frequently asked questions</w:t>
      </w:r>
    </w:p>
    <w:p w14:paraId="58A91897" w14:textId="77777777" w:rsidR="0000301B" w:rsidRDefault="0000301B" w:rsidP="0000301B">
      <w:pPr>
        <w:rPr>
          <w:rFonts w:cs="Arial"/>
          <w:b/>
          <w:color w:val="0072C6"/>
          <w:kern w:val="32"/>
          <w:sz w:val="32"/>
          <w:szCs w:val="32"/>
        </w:rPr>
      </w:pPr>
      <w:r w:rsidRPr="00805869">
        <w:rPr>
          <w:rFonts w:cs="Arial"/>
          <w:b/>
          <w:color w:val="0072C6"/>
          <w:kern w:val="32"/>
          <w:sz w:val="32"/>
          <w:szCs w:val="32"/>
        </w:rPr>
        <w:t xml:space="preserve">General </w:t>
      </w:r>
    </w:p>
    <w:p w14:paraId="6A213923" w14:textId="77777777" w:rsidR="0000301B" w:rsidRDefault="0000301B" w:rsidP="0000301B">
      <w:pPr>
        <w:rPr>
          <w:rFonts w:cs="Arial"/>
          <w:b/>
          <w:color w:val="0072C6"/>
          <w:kern w:val="32"/>
          <w:sz w:val="32"/>
          <w:szCs w:val="32"/>
        </w:rPr>
      </w:pPr>
    </w:p>
    <w:p w14:paraId="1799DD37" w14:textId="63C50BE0" w:rsidR="0000301B" w:rsidRDefault="0000301B" w:rsidP="006C3DF5">
      <w:pPr>
        <w:pStyle w:val="ListParagraph"/>
        <w:numPr>
          <w:ilvl w:val="0"/>
          <w:numId w:val="178"/>
        </w:numPr>
        <w:rPr>
          <w:rFonts w:cs="Arial"/>
          <w:b/>
          <w:szCs w:val="24"/>
          <w:lang w:eastAsia="en-GB"/>
        </w:rPr>
      </w:pPr>
      <w:r w:rsidRPr="00A553BA">
        <w:rPr>
          <w:rFonts w:cs="Arial"/>
          <w:b/>
          <w:szCs w:val="24"/>
          <w:lang w:eastAsia="en-GB"/>
        </w:rPr>
        <w:t>Who can provide cover – and can practices claim reimbursement?</w:t>
      </w:r>
    </w:p>
    <w:p w14:paraId="19658CFC" w14:textId="77777777" w:rsidR="00CC1861" w:rsidRPr="00A553BA" w:rsidRDefault="00CC1861" w:rsidP="00A553BA">
      <w:pPr>
        <w:pStyle w:val="ListParagraph"/>
        <w:ind w:left="360"/>
        <w:rPr>
          <w:rFonts w:cs="Arial"/>
          <w:b/>
          <w:szCs w:val="24"/>
          <w:lang w:eastAsia="en-GB"/>
        </w:rPr>
      </w:pPr>
    </w:p>
    <w:p w14:paraId="04C8573C" w14:textId="319A47EF" w:rsidR="0000301B" w:rsidRDefault="0000301B" w:rsidP="00F7485F">
      <w:pPr>
        <w:spacing w:line="360" w:lineRule="auto"/>
        <w:ind w:left="357"/>
        <w:rPr>
          <w:rFonts w:cs="Arial"/>
          <w:szCs w:val="24"/>
          <w:lang w:eastAsia="en-GB"/>
        </w:rPr>
      </w:pPr>
      <w:r w:rsidRPr="00AA0FB1">
        <w:rPr>
          <w:rFonts w:cs="Arial"/>
          <w:szCs w:val="24"/>
          <w:lang w:eastAsia="en-GB"/>
        </w:rPr>
        <w:t xml:space="preserve"> </w:t>
      </w:r>
      <w:r w:rsidR="00950166">
        <w:rPr>
          <w:rFonts w:cs="Arial"/>
          <w:szCs w:val="24"/>
          <w:lang w:eastAsia="en-GB"/>
        </w:rPr>
        <w:t>P</w:t>
      </w:r>
      <w:r w:rsidRPr="00AA0FB1">
        <w:rPr>
          <w:rFonts w:cs="Arial"/>
          <w:szCs w:val="24"/>
          <w:lang w:eastAsia="en-GB"/>
        </w:rPr>
        <w:t xml:space="preserve">ractices can choose to organise cover through </w:t>
      </w:r>
      <w:r w:rsidR="00DE66FE">
        <w:rPr>
          <w:rFonts w:cs="Arial"/>
          <w:szCs w:val="24"/>
          <w:lang w:eastAsia="en-GB"/>
        </w:rPr>
        <w:t xml:space="preserve">the </w:t>
      </w:r>
      <w:r w:rsidRPr="00AA0FB1">
        <w:rPr>
          <w:rFonts w:cs="Arial"/>
          <w:szCs w:val="24"/>
          <w:lang w:eastAsia="en-GB"/>
        </w:rPr>
        <w:t>use of a locum, a salaried GP on a fixed-term contract, or from a GP already working in the practice. C</w:t>
      </w:r>
      <w:r>
        <w:rPr>
          <w:rFonts w:cs="Arial"/>
          <w:szCs w:val="24"/>
          <w:lang w:eastAsia="en-GB"/>
        </w:rPr>
        <w:t>ommissioners will make payments</w:t>
      </w:r>
      <w:r w:rsidRPr="00AA0FB1">
        <w:rPr>
          <w:rFonts w:cs="Arial"/>
          <w:szCs w:val="24"/>
          <w:lang w:eastAsia="en-GB"/>
        </w:rPr>
        <w:t xml:space="preserve"> on the same basis</w:t>
      </w:r>
      <w:r>
        <w:rPr>
          <w:rFonts w:cs="Arial"/>
          <w:szCs w:val="24"/>
          <w:lang w:eastAsia="en-GB"/>
        </w:rPr>
        <w:t>, for both sickness leave and parental leave reimbursement</w:t>
      </w:r>
      <w:r w:rsidRPr="00AA0FB1">
        <w:rPr>
          <w:rFonts w:cs="Arial"/>
          <w:szCs w:val="24"/>
          <w:lang w:eastAsia="en-GB"/>
        </w:rPr>
        <w:t xml:space="preserve">. </w:t>
      </w:r>
    </w:p>
    <w:p w14:paraId="14C73A84" w14:textId="77777777" w:rsidR="0000301B" w:rsidRDefault="0000301B" w:rsidP="0000301B">
      <w:pPr>
        <w:rPr>
          <w:rFonts w:cs="Arial"/>
          <w:szCs w:val="24"/>
          <w:lang w:eastAsia="en-GB"/>
        </w:rPr>
      </w:pPr>
    </w:p>
    <w:p w14:paraId="4FCB6CBF" w14:textId="5D485F39" w:rsidR="00EB379E" w:rsidRPr="00F7485F" w:rsidRDefault="0000301B" w:rsidP="00F7485F">
      <w:pPr>
        <w:pStyle w:val="ListParagraph"/>
        <w:numPr>
          <w:ilvl w:val="0"/>
          <w:numId w:val="178"/>
        </w:numPr>
        <w:autoSpaceDE w:val="0"/>
        <w:autoSpaceDN w:val="0"/>
        <w:adjustRightInd w:val="0"/>
        <w:spacing w:line="360" w:lineRule="auto"/>
        <w:jc w:val="both"/>
        <w:rPr>
          <w:rFonts w:eastAsia="MS Mincho" w:cs="Arial"/>
          <w:b/>
          <w:szCs w:val="24"/>
        </w:rPr>
      </w:pPr>
      <w:r w:rsidRPr="00A553BA">
        <w:rPr>
          <w:rFonts w:eastAsia="MS Mincho" w:cs="Arial"/>
          <w:b/>
          <w:szCs w:val="24"/>
        </w:rPr>
        <w:t>Are all locum costs reimbursable?</w:t>
      </w:r>
    </w:p>
    <w:p w14:paraId="78A915BF" w14:textId="7E15E68E" w:rsidR="0000301B" w:rsidRDefault="0000301B" w:rsidP="00F7485F">
      <w:pPr>
        <w:autoSpaceDE w:val="0"/>
        <w:autoSpaceDN w:val="0"/>
        <w:adjustRightInd w:val="0"/>
        <w:spacing w:line="360" w:lineRule="auto"/>
        <w:ind w:left="360"/>
        <w:jc w:val="both"/>
        <w:rPr>
          <w:rFonts w:eastAsia="MS Mincho" w:cs="Arial"/>
          <w:szCs w:val="24"/>
        </w:rPr>
      </w:pPr>
      <w:r>
        <w:rPr>
          <w:rFonts w:eastAsia="MS Mincho" w:cs="Arial"/>
          <w:szCs w:val="24"/>
        </w:rPr>
        <w:t>Commissioners</w:t>
      </w:r>
      <w:r w:rsidRPr="00FE7E96">
        <w:rPr>
          <w:rFonts w:eastAsia="MS Mincho" w:cs="Arial"/>
          <w:szCs w:val="24"/>
        </w:rPr>
        <w:t xml:space="preserve"> will reimburse practices for </w:t>
      </w:r>
      <w:r>
        <w:rPr>
          <w:rFonts w:eastAsia="MS Mincho" w:cs="Arial"/>
          <w:szCs w:val="24"/>
        </w:rPr>
        <w:t xml:space="preserve">clinical sessions provided by GPs but not for </w:t>
      </w:r>
      <w:r w:rsidR="001C1DCE">
        <w:rPr>
          <w:rFonts w:eastAsia="MS Mincho" w:cs="Arial"/>
          <w:szCs w:val="24"/>
        </w:rPr>
        <w:t xml:space="preserve">miscellaneous </w:t>
      </w:r>
      <w:r>
        <w:rPr>
          <w:rFonts w:eastAsia="MS Mincho" w:cs="Arial"/>
          <w:szCs w:val="24"/>
        </w:rPr>
        <w:t>expenses such as car parking fees, or lunch</w:t>
      </w:r>
      <w:r w:rsidRPr="00FE7E96">
        <w:rPr>
          <w:rFonts w:eastAsia="MS Mincho" w:cs="Arial"/>
          <w:szCs w:val="24"/>
        </w:rPr>
        <w:t>.</w:t>
      </w:r>
      <w:r>
        <w:rPr>
          <w:rFonts w:eastAsia="MS Mincho" w:cs="Arial"/>
          <w:szCs w:val="24"/>
        </w:rPr>
        <w:t xml:space="preserve"> </w:t>
      </w:r>
      <w:r w:rsidRPr="00EE573B">
        <w:rPr>
          <w:rFonts w:eastAsia="MS Mincho" w:cs="Arial"/>
          <w:szCs w:val="24"/>
        </w:rPr>
        <w:t xml:space="preserve">Clinical sessions </w:t>
      </w:r>
      <w:r>
        <w:rPr>
          <w:rFonts w:eastAsia="MS Mincho" w:cs="Arial"/>
          <w:szCs w:val="24"/>
        </w:rPr>
        <w:t>may</w:t>
      </w:r>
      <w:r w:rsidRPr="00EE573B">
        <w:rPr>
          <w:rFonts w:eastAsia="MS Mincho" w:cs="Arial"/>
          <w:szCs w:val="24"/>
        </w:rPr>
        <w:t xml:space="preserve"> include face to face appointments, telephone consultations, on call and home visits.</w:t>
      </w:r>
    </w:p>
    <w:p w14:paraId="09B428EA" w14:textId="77777777" w:rsidR="0000301B" w:rsidRDefault="0000301B" w:rsidP="00F7485F">
      <w:pPr>
        <w:spacing w:line="360" w:lineRule="auto"/>
        <w:rPr>
          <w:rFonts w:cs="Arial"/>
          <w:b/>
          <w:szCs w:val="24"/>
          <w:lang w:eastAsia="en-GB"/>
        </w:rPr>
      </w:pPr>
    </w:p>
    <w:p w14:paraId="035E0789" w14:textId="562E55E3" w:rsidR="00EB379E" w:rsidRPr="00F7485F" w:rsidRDefault="0000301B" w:rsidP="00F7485F">
      <w:pPr>
        <w:pStyle w:val="ListParagraph"/>
        <w:numPr>
          <w:ilvl w:val="0"/>
          <w:numId w:val="178"/>
        </w:numPr>
        <w:spacing w:line="360" w:lineRule="auto"/>
        <w:rPr>
          <w:rFonts w:cs="Arial"/>
          <w:szCs w:val="24"/>
          <w:lang w:eastAsia="en-GB"/>
        </w:rPr>
      </w:pPr>
      <w:r w:rsidRPr="00A553BA">
        <w:rPr>
          <w:rFonts w:cs="Arial"/>
          <w:b/>
          <w:szCs w:val="24"/>
          <w:lang w:eastAsia="en-GB"/>
        </w:rPr>
        <w:t>Are there any restrictions where a GP already working in the practice provides the cover?</w:t>
      </w:r>
    </w:p>
    <w:p w14:paraId="05B0E05F" w14:textId="3C798AE2" w:rsidR="0000301B" w:rsidRDefault="0000301B" w:rsidP="00F7485F">
      <w:pPr>
        <w:spacing w:line="360" w:lineRule="auto"/>
        <w:ind w:left="360"/>
        <w:rPr>
          <w:rFonts w:cs="Arial"/>
          <w:szCs w:val="24"/>
          <w:lang w:eastAsia="en-GB"/>
        </w:rPr>
      </w:pPr>
      <w:r w:rsidRPr="00805869">
        <w:rPr>
          <w:rFonts w:cs="Arial"/>
          <w:szCs w:val="24"/>
          <w:lang w:eastAsia="en-GB"/>
        </w:rPr>
        <w:t xml:space="preserve">Yes. </w:t>
      </w:r>
      <w:r>
        <w:rPr>
          <w:rFonts w:cs="Arial"/>
          <w:szCs w:val="24"/>
          <w:lang w:eastAsia="en-GB"/>
        </w:rPr>
        <w:t xml:space="preserve">The </w:t>
      </w:r>
      <w:r w:rsidRPr="00805869">
        <w:rPr>
          <w:rFonts w:cs="Arial"/>
          <w:szCs w:val="24"/>
          <w:lang w:eastAsia="en-GB"/>
        </w:rPr>
        <w:t xml:space="preserve">GP(s) providing the cover must not be </w:t>
      </w:r>
      <w:r>
        <w:rPr>
          <w:rFonts w:cs="Arial"/>
          <w:szCs w:val="24"/>
          <w:lang w:eastAsia="en-GB"/>
        </w:rPr>
        <w:t xml:space="preserve">already </w:t>
      </w:r>
      <w:r w:rsidRPr="00805869">
        <w:rPr>
          <w:rFonts w:cs="Arial"/>
          <w:szCs w:val="24"/>
          <w:lang w:eastAsia="en-GB"/>
        </w:rPr>
        <w:t xml:space="preserve">working full time and can only provide cover to bring their weekly commitment up to full time. </w:t>
      </w:r>
      <w:r w:rsidR="00B9636A">
        <w:rPr>
          <w:rFonts w:cs="Arial"/>
          <w:szCs w:val="24"/>
          <w:lang w:eastAsia="en-GB"/>
        </w:rPr>
        <w:t xml:space="preserve">Commissioners will reimburse </w:t>
      </w:r>
      <w:r w:rsidR="00932225">
        <w:rPr>
          <w:rFonts w:cs="Arial"/>
          <w:szCs w:val="24"/>
          <w:lang w:eastAsia="en-GB"/>
        </w:rPr>
        <w:t>the costs</w:t>
      </w:r>
      <w:r w:rsidR="00FD4BF3">
        <w:rPr>
          <w:rFonts w:cs="Arial"/>
          <w:szCs w:val="24"/>
          <w:lang w:eastAsia="en-GB"/>
        </w:rPr>
        <w:t xml:space="preserve"> of this additional cover </w:t>
      </w:r>
      <w:r w:rsidR="00567598">
        <w:rPr>
          <w:rFonts w:cs="Arial"/>
          <w:szCs w:val="24"/>
          <w:lang w:eastAsia="en-GB"/>
        </w:rPr>
        <w:t>(gross pay plus oncosts (NI and Employer superannuation)</w:t>
      </w:r>
      <w:r w:rsidR="00273D5F">
        <w:rPr>
          <w:rFonts w:cs="Arial"/>
          <w:szCs w:val="24"/>
          <w:lang w:eastAsia="en-GB"/>
        </w:rPr>
        <w:t>).</w:t>
      </w:r>
    </w:p>
    <w:p w14:paraId="1DD1E508" w14:textId="77777777" w:rsidR="00F7485F" w:rsidRPr="00F7485F" w:rsidRDefault="00F7485F" w:rsidP="00F7485F">
      <w:pPr>
        <w:spacing w:line="360" w:lineRule="auto"/>
        <w:ind w:left="360"/>
        <w:rPr>
          <w:rFonts w:cs="Arial"/>
          <w:szCs w:val="24"/>
          <w:lang w:eastAsia="en-GB"/>
        </w:rPr>
      </w:pPr>
    </w:p>
    <w:p w14:paraId="3BCD59AF" w14:textId="049937A5" w:rsidR="00EB379E" w:rsidRPr="00F7485F" w:rsidRDefault="0000301B" w:rsidP="00F7485F">
      <w:pPr>
        <w:pStyle w:val="ListParagraph"/>
        <w:numPr>
          <w:ilvl w:val="0"/>
          <w:numId w:val="178"/>
        </w:numPr>
        <w:spacing w:line="360" w:lineRule="auto"/>
        <w:rPr>
          <w:rFonts w:cs="Arial"/>
          <w:b/>
          <w:szCs w:val="24"/>
          <w:lang w:eastAsia="en-GB"/>
        </w:rPr>
      </w:pPr>
      <w:r w:rsidRPr="00A553BA">
        <w:rPr>
          <w:rFonts w:cs="Arial"/>
          <w:b/>
          <w:szCs w:val="24"/>
          <w:lang w:eastAsia="en-GB"/>
        </w:rPr>
        <w:t xml:space="preserve">Can practices claim reimbursement when salaried GPs are taking parental leave or sickness leave? </w:t>
      </w:r>
    </w:p>
    <w:p w14:paraId="0D2A0DB7" w14:textId="52268482" w:rsidR="00F7485F" w:rsidRDefault="0000301B" w:rsidP="00F7485F">
      <w:pPr>
        <w:spacing w:line="360" w:lineRule="auto"/>
        <w:ind w:left="360"/>
        <w:rPr>
          <w:rFonts w:cs="Arial"/>
          <w:szCs w:val="24"/>
          <w:lang w:eastAsia="en-GB"/>
        </w:rPr>
      </w:pPr>
      <w:r w:rsidRPr="00AA0FB1">
        <w:rPr>
          <w:rFonts w:cs="Arial"/>
          <w:szCs w:val="24"/>
          <w:lang w:eastAsia="en-GB"/>
        </w:rPr>
        <w:t>Yes. As long as the salaried GP is entitled to that leave of absence</w:t>
      </w:r>
      <w:r>
        <w:rPr>
          <w:rFonts w:cs="Arial"/>
          <w:szCs w:val="24"/>
          <w:lang w:eastAsia="en-GB"/>
        </w:rPr>
        <w:t xml:space="preserve"> (either by law, as part of a partnership agreement or under their contract, as set out in the SFE)</w:t>
      </w:r>
      <w:r w:rsidRPr="00AA0FB1">
        <w:rPr>
          <w:rFonts w:cs="Arial"/>
          <w:szCs w:val="24"/>
          <w:lang w:eastAsia="en-GB"/>
        </w:rPr>
        <w:t xml:space="preserve">, </w:t>
      </w:r>
      <w:r>
        <w:rPr>
          <w:rFonts w:cs="Arial"/>
          <w:szCs w:val="24"/>
          <w:lang w:eastAsia="en-GB"/>
        </w:rPr>
        <w:t xml:space="preserve">the </w:t>
      </w:r>
      <w:r w:rsidRPr="00AA0FB1">
        <w:rPr>
          <w:rFonts w:cs="Arial"/>
          <w:szCs w:val="24"/>
          <w:lang w:eastAsia="en-GB"/>
        </w:rPr>
        <w:t>commissioner will reimburse practice</w:t>
      </w:r>
      <w:r>
        <w:rPr>
          <w:rFonts w:cs="Arial"/>
          <w:szCs w:val="24"/>
          <w:lang w:eastAsia="en-GB"/>
        </w:rPr>
        <w:t>s</w:t>
      </w:r>
      <w:r w:rsidRPr="00AA0FB1">
        <w:rPr>
          <w:rFonts w:cs="Arial"/>
          <w:szCs w:val="24"/>
          <w:lang w:eastAsia="en-GB"/>
        </w:rPr>
        <w:t xml:space="preserve"> on the same basis as it would do for absent contractor GPs. </w:t>
      </w:r>
    </w:p>
    <w:p w14:paraId="2AB64DB6" w14:textId="77777777" w:rsidR="00F7485F" w:rsidRDefault="00F7485F" w:rsidP="00F7485F">
      <w:pPr>
        <w:spacing w:line="360" w:lineRule="auto"/>
        <w:ind w:left="360"/>
        <w:rPr>
          <w:rFonts w:cs="Arial"/>
          <w:szCs w:val="24"/>
          <w:lang w:eastAsia="en-GB"/>
        </w:rPr>
      </w:pPr>
    </w:p>
    <w:p w14:paraId="7C7E9B7B" w14:textId="5234E448" w:rsidR="00EB379E" w:rsidRPr="00F7485F" w:rsidRDefault="0000301B" w:rsidP="00F7485F">
      <w:pPr>
        <w:pStyle w:val="ListParagraph"/>
        <w:numPr>
          <w:ilvl w:val="0"/>
          <w:numId w:val="178"/>
        </w:numPr>
        <w:spacing w:line="360" w:lineRule="auto"/>
        <w:rPr>
          <w:rFonts w:cs="Arial"/>
          <w:b/>
          <w:szCs w:val="24"/>
          <w:lang w:eastAsia="en-GB"/>
        </w:rPr>
      </w:pPr>
      <w:r w:rsidRPr="00A553BA">
        <w:rPr>
          <w:rFonts w:cs="Arial"/>
          <w:b/>
          <w:szCs w:val="24"/>
          <w:lang w:eastAsia="en-GB"/>
        </w:rPr>
        <w:t>Does GDPR prevent practices sharing information about GPs with commissioners?</w:t>
      </w:r>
    </w:p>
    <w:p w14:paraId="03103A18" w14:textId="04F91F51" w:rsidR="0000301B" w:rsidRPr="002654FB" w:rsidRDefault="00DE66FE" w:rsidP="00F7485F">
      <w:pPr>
        <w:spacing w:line="360" w:lineRule="auto"/>
        <w:ind w:left="360"/>
        <w:rPr>
          <w:rFonts w:cs="Arial"/>
          <w:szCs w:val="24"/>
          <w:lang w:eastAsia="en-GB"/>
        </w:rPr>
      </w:pPr>
      <w:r>
        <w:rPr>
          <w:rFonts w:cs="Arial"/>
          <w:szCs w:val="24"/>
          <w:lang w:eastAsia="en-GB"/>
        </w:rPr>
        <w:t>The o</w:t>
      </w:r>
      <w:r w:rsidR="0000301B" w:rsidRPr="002654FB">
        <w:rPr>
          <w:rFonts w:cs="Arial"/>
          <w:szCs w:val="24"/>
          <w:lang w:eastAsia="en-GB"/>
        </w:rPr>
        <w:t>nly information required for the validation of practice claims is requested, in accordance with Paragraph 15.7 and 16.10 of the SFE.  Practices should be assured that sharing this information will not breach GDPR.  Data will be stored in accordance with information governance protocols.</w:t>
      </w:r>
    </w:p>
    <w:p w14:paraId="2091562E" w14:textId="77777777" w:rsidR="0000301B" w:rsidRDefault="0000301B" w:rsidP="0000301B">
      <w:pPr>
        <w:rPr>
          <w:rFonts w:cs="Arial"/>
          <w:b/>
          <w:szCs w:val="24"/>
          <w:lang w:eastAsia="en-GB"/>
        </w:rPr>
      </w:pPr>
    </w:p>
    <w:p w14:paraId="02A3E3AE" w14:textId="77777777" w:rsidR="0000301B" w:rsidRPr="00AA0FB1" w:rsidRDefault="0000301B" w:rsidP="0000301B">
      <w:pPr>
        <w:pStyle w:val="ListParagraph"/>
        <w:spacing w:after="200" w:line="276" w:lineRule="auto"/>
        <w:ind w:left="0"/>
        <w:rPr>
          <w:rFonts w:cs="Arial"/>
          <w:b/>
          <w:color w:val="0072C6"/>
          <w:kern w:val="32"/>
          <w:sz w:val="32"/>
          <w:szCs w:val="32"/>
        </w:rPr>
      </w:pPr>
      <w:r w:rsidRPr="00AA0FB1">
        <w:rPr>
          <w:rFonts w:cs="Arial"/>
          <w:b/>
          <w:color w:val="0072C6"/>
          <w:kern w:val="32"/>
          <w:sz w:val="32"/>
          <w:szCs w:val="32"/>
        </w:rPr>
        <w:t xml:space="preserve">Sickness </w:t>
      </w:r>
      <w:r>
        <w:rPr>
          <w:rFonts w:cs="Arial"/>
          <w:b/>
          <w:color w:val="0072C6"/>
          <w:kern w:val="32"/>
          <w:sz w:val="32"/>
          <w:szCs w:val="32"/>
        </w:rPr>
        <w:t>leave</w:t>
      </w:r>
    </w:p>
    <w:p w14:paraId="2646E9A4" w14:textId="77777777" w:rsidR="00EB379E" w:rsidRDefault="00EB379E" w:rsidP="00A553BA">
      <w:pPr>
        <w:pStyle w:val="ListParagraph"/>
        <w:ind w:left="360"/>
        <w:rPr>
          <w:rFonts w:cs="Arial"/>
          <w:b/>
          <w:szCs w:val="24"/>
          <w:lang w:eastAsia="en-GB"/>
        </w:rPr>
      </w:pPr>
    </w:p>
    <w:p w14:paraId="0A41AE37" w14:textId="356DB0B1" w:rsidR="00EB379E" w:rsidRPr="00F7485F" w:rsidRDefault="0000301B" w:rsidP="00F7485F">
      <w:pPr>
        <w:pStyle w:val="ListParagraph"/>
        <w:numPr>
          <w:ilvl w:val="0"/>
          <w:numId w:val="178"/>
        </w:numPr>
        <w:spacing w:line="360" w:lineRule="auto"/>
        <w:rPr>
          <w:rFonts w:cs="Arial"/>
          <w:b/>
          <w:szCs w:val="24"/>
          <w:lang w:eastAsia="en-GB"/>
        </w:rPr>
      </w:pPr>
      <w:r w:rsidRPr="00A553BA">
        <w:rPr>
          <w:rFonts w:cs="Arial"/>
          <w:b/>
          <w:szCs w:val="24"/>
          <w:lang w:eastAsia="en-GB"/>
        </w:rPr>
        <w:t>Does the two-week qualifying period count to each instance of sickness leave before reimbursement payments can be made?</w:t>
      </w:r>
    </w:p>
    <w:p w14:paraId="285E152F" w14:textId="7343C74C" w:rsidR="0000301B" w:rsidRPr="00805869" w:rsidRDefault="0000301B" w:rsidP="00F7485F">
      <w:pPr>
        <w:spacing w:line="360" w:lineRule="auto"/>
        <w:ind w:left="360"/>
        <w:rPr>
          <w:rFonts w:cs="Arial"/>
          <w:szCs w:val="24"/>
          <w:lang w:eastAsia="en-GB"/>
        </w:rPr>
      </w:pPr>
      <w:r w:rsidRPr="00805869">
        <w:rPr>
          <w:rFonts w:cs="Arial"/>
          <w:szCs w:val="24"/>
          <w:lang w:eastAsia="en-GB"/>
        </w:rPr>
        <w:t xml:space="preserve">Yes. For each instance of </w:t>
      </w:r>
      <w:r>
        <w:rPr>
          <w:rFonts w:cs="Arial"/>
          <w:szCs w:val="24"/>
          <w:lang w:eastAsia="en-GB"/>
        </w:rPr>
        <w:t>sickness leave</w:t>
      </w:r>
      <w:r w:rsidRPr="00805869">
        <w:rPr>
          <w:rFonts w:cs="Arial"/>
          <w:szCs w:val="24"/>
          <w:lang w:eastAsia="en-GB"/>
        </w:rPr>
        <w:t xml:space="preserve">, the payments will only start once the period of sickness is two or more weeks. It is important to note that during the first two weeks of each instance of </w:t>
      </w:r>
      <w:r>
        <w:rPr>
          <w:rFonts w:cs="Arial"/>
          <w:szCs w:val="24"/>
          <w:lang w:eastAsia="en-GB"/>
        </w:rPr>
        <w:t>sickness leave</w:t>
      </w:r>
      <w:r w:rsidRPr="00805869">
        <w:rPr>
          <w:rFonts w:cs="Arial"/>
          <w:szCs w:val="24"/>
          <w:lang w:eastAsia="en-GB"/>
        </w:rPr>
        <w:t xml:space="preserve">, no payment is made and as such payments start from week three of the absence.  </w:t>
      </w:r>
    </w:p>
    <w:p w14:paraId="3C5F6279" w14:textId="77777777" w:rsidR="0000301B" w:rsidRPr="00805869" w:rsidRDefault="0000301B" w:rsidP="00F7485F">
      <w:pPr>
        <w:spacing w:line="360" w:lineRule="auto"/>
        <w:rPr>
          <w:rFonts w:cs="Arial"/>
          <w:b/>
          <w:szCs w:val="24"/>
          <w:lang w:eastAsia="en-GB"/>
        </w:rPr>
      </w:pPr>
    </w:p>
    <w:p w14:paraId="64BD2DDA" w14:textId="1493BC10" w:rsidR="00EB379E" w:rsidRPr="00F7485F" w:rsidRDefault="0000301B" w:rsidP="00F7485F">
      <w:pPr>
        <w:pStyle w:val="ListParagraph"/>
        <w:numPr>
          <w:ilvl w:val="0"/>
          <w:numId w:val="178"/>
        </w:numPr>
        <w:spacing w:line="360" w:lineRule="auto"/>
        <w:rPr>
          <w:rFonts w:cs="Arial"/>
          <w:b/>
          <w:szCs w:val="24"/>
          <w:lang w:eastAsia="en-GB"/>
        </w:rPr>
      </w:pPr>
      <w:r w:rsidRPr="00A553BA">
        <w:rPr>
          <w:rFonts w:cs="Arial"/>
          <w:b/>
          <w:szCs w:val="24"/>
          <w:lang w:eastAsia="en-GB"/>
        </w:rPr>
        <w:t>For how long will reimbursement payments be made?</w:t>
      </w:r>
    </w:p>
    <w:p w14:paraId="3C43DB47" w14:textId="1F32F5FE" w:rsidR="0000301B" w:rsidRPr="00805869" w:rsidRDefault="0000301B" w:rsidP="00F7485F">
      <w:pPr>
        <w:spacing w:line="360" w:lineRule="auto"/>
        <w:ind w:left="360"/>
        <w:rPr>
          <w:rFonts w:cs="Arial"/>
          <w:szCs w:val="24"/>
          <w:lang w:eastAsia="en-GB"/>
        </w:rPr>
      </w:pPr>
      <w:r w:rsidRPr="00805869">
        <w:rPr>
          <w:rFonts w:cs="Arial"/>
          <w:szCs w:val="24"/>
          <w:lang w:eastAsia="en-GB"/>
        </w:rPr>
        <w:t xml:space="preserve">Reimbursement payments will only apply from week three of each instance of absence. From week three, the payments will then be the lower of actual invoiced costs or weekly maximum amount for 26 weeks, followed by half </w:t>
      </w:r>
      <w:r w:rsidR="0084585F">
        <w:rPr>
          <w:rFonts w:cs="Arial"/>
          <w:szCs w:val="24"/>
          <w:lang w:eastAsia="en-GB"/>
        </w:rPr>
        <w:t xml:space="preserve">of </w:t>
      </w:r>
      <w:r w:rsidRPr="00805869">
        <w:rPr>
          <w:rFonts w:cs="Arial"/>
          <w:szCs w:val="24"/>
          <w:lang w:eastAsia="en-GB"/>
        </w:rPr>
        <w:t>that amount for the next 26 weeks.</w:t>
      </w:r>
      <w:r w:rsidR="00F7485F">
        <w:rPr>
          <w:rFonts w:cs="Arial"/>
          <w:szCs w:val="24"/>
          <w:lang w:eastAsia="en-GB"/>
        </w:rPr>
        <w:t xml:space="preserve"> </w:t>
      </w:r>
      <w:r w:rsidRPr="00805869">
        <w:rPr>
          <w:rFonts w:cs="Arial"/>
          <w:szCs w:val="24"/>
          <w:lang w:eastAsia="en-GB"/>
        </w:rPr>
        <w:t>The rolling aggregate period for counting leave</w:t>
      </w:r>
      <w:r w:rsidR="00B74A4B">
        <w:rPr>
          <w:rFonts w:cs="Arial"/>
          <w:szCs w:val="24"/>
          <w:lang w:eastAsia="en-GB"/>
        </w:rPr>
        <w:t>s</w:t>
      </w:r>
      <w:r w:rsidRPr="00805869">
        <w:rPr>
          <w:rFonts w:cs="Arial"/>
          <w:szCs w:val="24"/>
          <w:lang w:eastAsia="en-GB"/>
        </w:rPr>
        <w:t xml:space="preserve"> previously taken in order to determine what payment is due remains at 52 weeks.</w:t>
      </w:r>
    </w:p>
    <w:p w14:paraId="124007C4" w14:textId="77777777" w:rsidR="0000301B" w:rsidRPr="00805869" w:rsidRDefault="0000301B" w:rsidP="00F7485F">
      <w:pPr>
        <w:spacing w:line="360" w:lineRule="auto"/>
        <w:rPr>
          <w:rFonts w:cs="Arial"/>
          <w:b/>
          <w:szCs w:val="24"/>
          <w:lang w:eastAsia="en-GB"/>
        </w:rPr>
      </w:pPr>
    </w:p>
    <w:p w14:paraId="090B5047" w14:textId="356578AC" w:rsidR="00EB379E" w:rsidRPr="00F7485F" w:rsidRDefault="0000301B" w:rsidP="00F7485F">
      <w:pPr>
        <w:pStyle w:val="ListParagraph"/>
        <w:numPr>
          <w:ilvl w:val="0"/>
          <w:numId w:val="178"/>
        </w:numPr>
        <w:spacing w:line="360" w:lineRule="auto"/>
        <w:rPr>
          <w:rFonts w:cs="Arial"/>
          <w:b/>
          <w:szCs w:val="24"/>
          <w:lang w:eastAsia="en-GB"/>
        </w:rPr>
      </w:pPr>
      <w:r w:rsidRPr="00A553BA">
        <w:rPr>
          <w:rFonts w:cs="Arial"/>
          <w:b/>
          <w:szCs w:val="24"/>
          <w:lang w:eastAsia="en-GB"/>
        </w:rPr>
        <w:t xml:space="preserve">What are the implications for practices – can they now cancel their sickness insurance? </w:t>
      </w:r>
    </w:p>
    <w:p w14:paraId="6671AD95" w14:textId="10D33A0D" w:rsidR="0000301B" w:rsidRPr="00805869" w:rsidRDefault="0000301B" w:rsidP="00F7485F">
      <w:pPr>
        <w:spacing w:line="360" w:lineRule="auto"/>
        <w:ind w:left="360"/>
        <w:rPr>
          <w:rFonts w:cs="Arial"/>
          <w:szCs w:val="24"/>
          <w:lang w:eastAsia="en-GB"/>
        </w:rPr>
      </w:pPr>
      <w:r w:rsidRPr="00805869">
        <w:rPr>
          <w:rFonts w:cs="Arial"/>
          <w:szCs w:val="24"/>
          <w:lang w:eastAsia="en-GB"/>
        </w:rPr>
        <w:t xml:space="preserve">These changes are intended to support practices in better managing the financial and workload implications of long-term </w:t>
      </w:r>
      <w:r>
        <w:rPr>
          <w:rFonts w:cs="Arial"/>
          <w:szCs w:val="24"/>
          <w:lang w:eastAsia="en-GB"/>
        </w:rPr>
        <w:t>sickness leave</w:t>
      </w:r>
      <w:r w:rsidRPr="00805869">
        <w:rPr>
          <w:rFonts w:cs="Arial"/>
          <w:szCs w:val="24"/>
          <w:lang w:eastAsia="en-GB"/>
        </w:rPr>
        <w:t xml:space="preserve">. NHS England cannot offer specific advice on managing insurance cover as this is a business decision for the individual practice. </w:t>
      </w:r>
    </w:p>
    <w:p w14:paraId="321D1DF9" w14:textId="77777777" w:rsidR="0000301B" w:rsidRPr="00805869" w:rsidRDefault="0000301B" w:rsidP="00F7485F">
      <w:pPr>
        <w:spacing w:line="360" w:lineRule="auto"/>
        <w:ind w:left="360"/>
        <w:rPr>
          <w:rFonts w:cs="Arial"/>
          <w:szCs w:val="24"/>
          <w:lang w:eastAsia="en-GB"/>
        </w:rPr>
      </w:pPr>
      <w:r w:rsidRPr="00805869">
        <w:rPr>
          <w:rFonts w:cs="Arial"/>
          <w:szCs w:val="24"/>
          <w:lang w:eastAsia="en-GB"/>
        </w:rPr>
        <w:t>However, practices should note that the following conditions apply:</w:t>
      </w:r>
    </w:p>
    <w:p w14:paraId="2213A211" w14:textId="77777777" w:rsidR="0000301B" w:rsidRPr="00805869" w:rsidRDefault="0000301B" w:rsidP="00F7485F">
      <w:pPr>
        <w:spacing w:line="360" w:lineRule="auto"/>
        <w:ind w:left="360"/>
        <w:rPr>
          <w:rFonts w:cs="Arial"/>
          <w:szCs w:val="24"/>
          <w:lang w:eastAsia="en-GB"/>
        </w:rPr>
      </w:pPr>
    </w:p>
    <w:p w14:paraId="663D1A06" w14:textId="77777777" w:rsidR="0000301B" w:rsidRPr="00805869" w:rsidRDefault="0000301B" w:rsidP="00F7485F">
      <w:pPr>
        <w:pStyle w:val="ListParagraph"/>
        <w:numPr>
          <w:ilvl w:val="0"/>
          <w:numId w:val="173"/>
        </w:numPr>
        <w:spacing w:line="360" w:lineRule="auto"/>
        <w:ind w:left="720"/>
        <w:rPr>
          <w:rFonts w:cs="Arial"/>
          <w:szCs w:val="24"/>
          <w:lang w:eastAsia="en-GB"/>
        </w:rPr>
      </w:pPr>
      <w:r w:rsidRPr="00805869">
        <w:rPr>
          <w:rFonts w:cs="Arial"/>
          <w:szCs w:val="24"/>
          <w:lang w:eastAsia="en-GB"/>
        </w:rPr>
        <w:t>there are no payments at all for the first two weeks on each occasion that a GP is absent;</w:t>
      </w:r>
    </w:p>
    <w:p w14:paraId="511C4CB1" w14:textId="77777777" w:rsidR="0000301B" w:rsidRPr="00805869" w:rsidRDefault="0000301B" w:rsidP="00F7485F">
      <w:pPr>
        <w:pStyle w:val="ListParagraph"/>
        <w:numPr>
          <w:ilvl w:val="0"/>
          <w:numId w:val="173"/>
        </w:numPr>
        <w:spacing w:line="360" w:lineRule="auto"/>
        <w:ind w:left="720"/>
        <w:rPr>
          <w:rFonts w:cs="Arial"/>
          <w:szCs w:val="24"/>
          <w:lang w:eastAsia="en-GB"/>
        </w:rPr>
      </w:pPr>
      <w:r w:rsidRPr="00805869">
        <w:rPr>
          <w:rFonts w:cs="Arial"/>
          <w:szCs w:val="24"/>
          <w:lang w:eastAsia="en-GB"/>
        </w:rPr>
        <w:t xml:space="preserve">the continuous two-week qualification period applies to every absence and does not ‘carry over’; </w:t>
      </w:r>
    </w:p>
    <w:p w14:paraId="45B70D73" w14:textId="77777777" w:rsidR="0000301B" w:rsidRPr="00805869" w:rsidRDefault="0000301B" w:rsidP="00F7485F">
      <w:pPr>
        <w:pStyle w:val="ListParagraph"/>
        <w:numPr>
          <w:ilvl w:val="0"/>
          <w:numId w:val="173"/>
        </w:numPr>
        <w:spacing w:line="360" w:lineRule="auto"/>
        <w:ind w:left="720"/>
        <w:rPr>
          <w:rFonts w:cs="Arial"/>
          <w:szCs w:val="24"/>
          <w:lang w:eastAsia="en-GB"/>
        </w:rPr>
      </w:pPr>
      <w:r w:rsidRPr="00805869">
        <w:rPr>
          <w:rFonts w:cs="Arial"/>
          <w:szCs w:val="24"/>
          <w:lang w:eastAsia="en-GB"/>
        </w:rPr>
        <w:t>these reimbursement payments only cover GPs, not other practice staff;</w:t>
      </w:r>
    </w:p>
    <w:p w14:paraId="1A8BC4E1" w14:textId="77777777" w:rsidR="0000301B" w:rsidRPr="00805869" w:rsidRDefault="0000301B" w:rsidP="00F7485F">
      <w:pPr>
        <w:pStyle w:val="ListParagraph"/>
        <w:numPr>
          <w:ilvl w:val="0"/>
          <w:numId w:val="173"/>
        </w:numPr>
        <w:spacing w:line="360" w:lineRule="auto"/>
        <w:ind w:left="720"/>
        <w:rPr>
          <w:rFonts w:cs="Arial"/>
          <w:szCs w:val="24"/>
          <w:lang w:eastAsia="en-GB"/>
        </w:rPr>
      </w:pPr>
      <w:r w:rsidRPr="00805869">
        <w:rPr>
          <w:rFonts w:cs="Arial"/>
          <w:szCs w:val="24"/>
          <w:lang w:eastAsia="en-GB"/>
        </w:rPr>
        <w:t xml:space="preserve">they only cover core hours; </w:t>
      </w:r>
    </w:p>
    <w:p w14:paraId="7F0CA5E1" w14:textId="77777777" w:rsidR="0000301B" w:rsidRPr="00805869" w:rsidRDefault="0000301B" w:rsidP="00F7485F">
      <w:pPr>
        <w:pStyle w:val="ListParagraph"/>
        <w:spacing w:line="360" w:lineRule="auto"/>
        <w:ind w:left="360"/>
        <w:rPr>
          <w:rFonts w:cs="Arial"/>
          <w:szCs w:val="24"/>
          <w:lang w:eastAsia="en-GB"/>
        </w:rPr>
      </w:pPr>
    </w:p>
    <w:p w14:paraId="6030009F" w14:textId="36D5782F" w:rsidR="00EB379E" w:rsidRPr="00F7485F" w:rsidRDefault="0000301B" w:rsidP="00F7485F">
      <w:pPr>
        <w:pStyle w:val="ListParagraph"/>
        <w:numPr>
          <w:ilvl w:val="0"/>
          <w:numId w:val="178"/>
        </w:numPr>
        <w:spacing w:line="360" w:lineRule="auto"/>
        <w:rPr>
          <w:rFonts w:cs="Arial"/>
          <w:b/>
          <w:szCs w:val="24"/>
          <w:lang w:eastAsia="en-GB"/>
        </w:rPr>
      </w:pPr>
      <w:r w:rsidRPr="00A553BA">
        <w:rPr>
          <w:rFonts w:cs="Arial"/>
          <w:b/>
          <w:szCs w:val="24"/>
          <w:lang w:eastAsia="en-GB"/>
        </w:rPr>
        <w:t>Is the practice entitled to locum reimbursement if the GP on sickness leave has private health insurance?</w:t>
      </w:r>
    </w:p>
    <w:p w14:paraId="1BCCFA67" w14:textId="1229946E" w:rsidR="0000301B" w:rsidRPr="009E2D59" w:rsidRDefault="0000301B" w:rsidP="00F7485F">
      <w:pPr>
        <w:spacing w:line="360" w:lineRule="auto"/>
        <w:ind w:left="360"/>
        <w:rPr>
          <w:rFonts w:cs="Arial"/>
          <w:szCs w:val="24"/>
          <w:lang w:eastAsia="en-GB"/>
        </w:rPr>
      </w:pPr>
      <w:r w:rsidRPr="009E2D59">
        <w:rPr>
          <w:rFonts w:cs="Arial"/>
          <w:szCs w:val="24"/>
          <w:lang w:eastAsia="en-GB"/>
        </w:rPr>
        <w:t xml:space="preserve">Yes. The commissioner will not take into account GP’s private health insurance payments in respect of the amount they pay to practices. </w:t>
      </w:r>
    </w:p>
    <w:p w14:paraId="21AF1198" w14:textId="77777777" w:rsidR="0000301B" w:rsidRDefault="0000301B" w:rsidP="00F7485F">
      <w:pPr>
        <w:spacing w:line="360" w:lineRule="auto"/>
        <w:rPr>
          <w:rFonts w:cs="Arial"/>
          <w:b/>
          <w:szCs w:val="24"/>
          <w:lang w:eastAsia="en-GB"/>
        </w:rPr>
      </w:pPr>
    </w:p>
    <w:p w14:paraId="65A2DEDF" w14:textId="271D3B84" w:rsidR="00EB379E" w:rsidRPr="00F7485F" w:rsidRDefault="0000301B" w:rsidP="00F7485F">
      <w:pPr>
        <w:pStyle w:val="ListParagraph"/>
        <w:numPr>
          <w:ilvl w:val="0"/>
          <w:numId w:val="178"/>
        </w:numPr>
        <w:spacing w:line="360" w:lineRule="auto"/>
        <w:rPr>
          <w:rFonts w:cs="Arial"/>
          <w:b/>
          <w:szCs w:val="24"/>
          <w:lang w:eastAsia="en-GB"/>
        </w:rPr>
      </w:pPr>
      <w:r w:rsidRPr="00A553BA">
        <w:rPr>
          <w:rFonts w:cs="Arial"/>
          <w:b/>
          <w:szCs w:val="24"/>
          <w:lang w:eastAsia="en-GB"/>
        </w:rPr>
        <w:t xml:space="preserve">Is the practice entitled to locum reimbursement if the practice has insurance cover? </w:t>
      </w:r>
    </w:p>
    <w:p w14:paraId="1E3351CD" w14:textId="45F5113B" w:rsidR="0000301B" w:rsidRPr="009E2D59" w:rsidRDefault="0000301B" w:rsidP="00F7485F">
      <w:pPr>
        <w:spacing w:line="360" w:lineRule="auto"/>
        <w:ind w:left="360"/>
        <w:rPr>
          <w:rFonts w:cs="Arial"/>
          <w:szCs w:val="24"/>
          <w:lang w:eastAsia="en-GB"/>
        </w:rPr>
      </w:pPr>
      <w:r w:rsidRPr="009E2D59">
        <w:rPr>
          <w:rFonts w:cs="Arial"/>
          <w:szCs w:val="24"/>
          <w:lang w:eastAsia="en-GB"/>
        </w:rPr>
        <w:t>Yes. The commissioner will not take into account GP Practice insurance payments in respect of the reimbursable amount for locum claims.</w:t>
      </w:r>
    </w:p>
    <w:p w14:paraId="31D5E9BC" w14:textId="77777777" w:rsidR="0000301B" w:rsidRDefault="0000301B" w:rsidP="00F7485F">
      <w:pPr>
        <w:spacing w:line="360" w:lineRule="auto"/>
        <w:rPr>
          <w:rFonts w:cs="Arial"/>
          <w:b/>
          <w:szCs w:val="24"/>
          <w:lang w:eastAsia="en-GB"/>
        </w:rPr>
      </w:pPr>
    </w:p>
    <w:p w14:paraId="1EE62B5E" w14:textId="4EED1581" w:rsidR="00EB379E" w:rsidRPr="00F7485F" w:rsidRDefault="0000301B" w:rsidP="00F7485F">
      <w:pPr>
        <w:pStyle w:val="ListParagraph"/>
        <w:numPr>
          <w:ilvl w:val="0"/>
          <w:numId w:val="178"/>
        </w:numPr>
        <w:spacing w:line="360" w:lineRule="auto"/>
        <w:rPr>
          <w:rFonts w:cs="Arial"/>
          <w:b/>
          <w:szCs w:val="24"/>
          <w:lang w:eastAsia="en-GB"/>
        </w:rPr>
      </w:pPr>
      <w:r w:rsidRPr="00A553BA">
        <w:rPr>
          <w:rFonts w:cs="Arial"/>
          <w:b/>
          <w:szCs w:val="24"/>
          <w:lang w:eastAsia="en-GB"/>
        </w:rPr>
        <w:t>Are there any long-term medical conditions that would prevent the practice</w:t>
      </w:r>
      <w:r w:rsidR="00B74A4B">
        <w:rPr>
          <w:rFonts w:cs="Arial"/>
          <w:b/>
          <w:szCs w:val="24"/>
          <w:lang w:eastAsia="en-GB"/>
        </w:rPr>
        <w:t xml:space="preserve"> from</w:t>
      </w:r>
      <w:r w:rsidRPr="00A553BA">
        <w:rPr>
          <w:rFonts w:cs="Arial"/>
          <w:b/>
          <w:szCs w:val="24"/>
          <w:lang w:eastAsia="en-GB"/>
        </w:rPr>
        <w:t xml:space="preserve"> receiving reimbursement?</w:t>
      </w:r>
    </w:p>
    <w:p w14:paraId="71D0F22C" w14:textId="1AFE0A84" w:rsidR="0000301B" w:rsidRDefault="0000301B" w:rsidP="00F7485F">
      <w:pPr>
        <w:spacing w:line="360" w:lineRule="auto"/>
        <w:ind w:left="360"/>
        <w:rPr>
          <w:rFonts w:cs="Arial"/>
          <w:szCs w:val="24"/>
          <w:lang w:eastAsia="en-GB"/>
        </w:rPr>
      </w:pPr>
      <w:r w:rsidRPr="00805869">
        <w:rPr>
          <w:rFonts w:cs="Arial"/>
          <w:szCs w:val="24"/>
          <w:lang w:eastAsia="en-GB"/>
        </w:rPr>
        <w:t xml:space="preserve">There are no changes to the Statement of Financial Entitlements (SFE) with regard to what constitutes </w:t>
      </w:r>
      <w:r>
        <w:rPr>
          <w:rFonts w:cs="Arial"/>
          <w:szCs w:val="24"/>
          <w:lang w:eastAsia="en-GB"/>
        </w:rPr>
        <w:t>sickness leave</w:t>
      </w:r>
      <w:r w:rsidRPr="00805869">
        <w:rPr>
          <w:rFonts w:cs="Arial"/>
          <w:szCs w:val="24"/>
          <w:lang w:eastAsia="en-GB"/>
        </w:rPr>
        <w:t xml:space="preserve">. </w:t>
      </w:r>
    </w:p>
    <w:p w14:paraId="77E77DD6" w14:textId="77777777" w:rsidR="0000301B" w:rsidRDefault="0000301B" w:rsidP="00F7485F">
      <w:pPr>
        <w:spacing w:line="360" w:lineRule="auto"/>
        <w:rPr>
          <w:rFonts w:cs="Arial"/>
          <w:szCs w:val="24"/>
          <w:lang w:eastAsia="en-GB"/>
        </w:rPr>
      </w:pPr>
    </w:p>
    <w:p w14:paraId="273476D3" w14:textId="31734AD1" w:rsidR="00EB379E" w:rsidRPr="00F7485F" w:rsidRDefault="0000301B" w:rsidP="00F7485F">
      <w:pPr>
        <w:pStyle w:val="ListParagraph"/>
        <w:numPr>
          <w:ilvl w:val="0"/>
          <w:numId w:val="178"/>
        </w:numPr>
        <w:spacing w:line="360" w:lineRule="auto"/>
        <w:rPr>
          <w:rFonts w:cs="Arial"/>
          <w:b/>
          <w:szCs w:val="24"/>
        </w:rPr>
      </w:pPr>
      <w:r w:rsidRPr="00A553BA">
        <w:rPr>
          <w:rFonts w:cs="Arial"/>
          <w:b/>
          <w:szCs w:val="24"/>
        </w:rPr>
        <w:t>What is</w:t>
      </w:r>
      <w:r w:rsidR="00B74A4B">
        <w:rPr>
          <w:rFonts w:cs="Arial"/>
          <w:b/>
          <w:szCs w:val="24"/>
        </w:rPr>
        <w:t xml:space="preserve"> a</w:t>
      </w:r>
      <w:r w:rsidRPr="00A553BA">
        <w:rPr>
          <w:rFonts w:cs="Arial"/>
          <w:b/>
          <w:szCs w:val="24"/>
        </w:rPr>
        <w:t xml:space="preserve"> phased return to work?</w:t>
      </w:r>
    </w:p>
    <w:p w14:paraId="7B9616D8" w14:textId="15929A52" w:rsidR="0000301B" w:rsidRDefault="0000301B" w:rsidP="00F7485F">
      <w:pPr>
        <w:spacing w:line="360" w:lineRule="auto"/>
        <w:ind w:left="360"/>
        <w:rPr>
          <w:rFonts w:cs="Arial"/>
          <w:color w:val="222222"/>
          <w:szCs w:val="24"/>
          <w:shd w:val="clear" w:color="auto" w:fill="FFFFFF"/>
        </w:rPr>
      </w:pPr>
      <w:r w:rsidRPr="00847C85">
        <w:rPr>
          <w:rFonts w:cs="Arial"/>
          <w:color w:val="222222"/>
          <w:szCs w:val="24"/>
          <w:shd w:val="clear" w:color="auto" w:fill="FFFFFF"/>
        </w:rPr>
        <w:t xml:space="preserve">A phased return to work is an arrangement whereby an </w:t>
      </w:r>
      <w:r>
        <w:rPr>
          <w:rFonts w:cs="Arial"/>
          <w:color w:val="222222"/>
          <w:szCs w:val="24"/>
          <w:shd w:val="clear" w:color="auto" w:fill="FFFFFF"/>
        </w:rPr>
        <w:t xml:space="preserve">individual </w:t>
      </w:r>
      <w:r w:rsidRPr="00847C85">
        <w:rPr>
          <w:rFonts w:cs="Arial"/>
          <w:color w:val="222222"/>
          <w:szCs w:val="24"/>
          <w:shd w:val="clear" w:color="auto" w:fill="FFFFFF"/>
        </w:rPr>
        <w:t xml:space="preserve">who has been away from work on sick leave returns to their full duties and working pattern gradually, over a defined </w:t>
      </w:r>
      <w:r w:rsidR="00B74A4B">
        <w:rPr>
          <w:rFonts w:cs="Arial"/>
          <w:color w:val="222222"/>
          <w:szCs w:val="24"/>
          <w:shd w:val="clear" w:color="auto" w:fill="FFFFFF"/>
        </w:rPr>
        <w:t xml:space="preserve">period of </w:t>
      </w:r>
      <w:r w:rsidRPr="00847C85">
        <w:rPr>
          <w:rFonts w:cs="Arial"/>
          <w:color w:val="222222"/>
          <w:szCs w:val="24"/>
          <w:shd w:val="clear" w:color="auto" w:fill="FFFFFF"/>
        </w:rPr>
        <w:t>time</w:t>
      </w:r>
      <w:r w:rsidR="00B74A4B">
        <w:rPr>
          <w:rFonts w:cs="Arial"/>
          <w:color w:val="222222"/>
          <w:szCs w:val="24"/>
          <w:shd w:val="clear" w:color="auto" w:fill="FFFFFF"/>
        </w:rPr>
        <w:t>.</w:t>
      </w:r>
      <w:r w:rsidRPr="00847C85">
        <w:rPr>
          <w:rFonts w:cs="Arial"/>
          <w:color w:val="222222"/>
          <w:szCs w:val="24"/>
          <w:shd w:val="clear" w:color="auto" w:fill="FFFFFF"/>
        </w:rPr>
        <w:t xml:space="preserve">. Specific details will depend on medical circumstances and agreement between </w:t>
      </w:r>
      <w:r>
        <w:rPr>
          <w:rFonts w:cs="Arial"/>
          <w:color w:val="222222"/>
          <w:szCs w:val="24"/>
          <w:shd w:val="clear" w:color="auto" w:fill="FFFFFF"/>
        </w:rPr>
        <w:t xml:space="preserve">the individual </w:t>
      </w:r>
      <w:r w:rsidRPr="00847C85">
        <w:rPr>
          <w:rFonts w:cs="Arial"/>
          <w:color w:val="222222"/>
          <w:szCs w:val="24"/>
          <w:shd w:val="clear" w:color="auto" w:fill="FFFFFF"/>
        </w:rPr>
        <w:t xml:space="preserve">and </w:t>
      </w:r>
      <w:r>
        <w:rPr>
          <w:rFonts w:cs="Arial"/>
          <w:color w:val="222222"/>
          <w:szCs w:val="24"/>
          <w:shd w:val="clear" w:color="auto" w:fill="FFFFFF"/>
        </w:rPr>
        <w:t xml:space="preserve">their </w:t>
      </w:r>
      <w:r w:rsidRPr="00847C85">
        <w:rPr>
          <w:rFonts w:cs="Arial"/>
          <w:color w:val="222222"/>
          <w:szCs w:val="24"/>
          <w:shd w:val="clear" w:color="auto" w:fill="FFFFFF"/>
        </w:rPr>
        <w:t>employer</w:t>
      </w:r>
      <w:r>
        <w:rPr>
          <w:rFonts w:cs="Arial"/>
          <w:color w:val="222222"/>
          <w:szCs w:val="24"/>
          <w:shd w:val="clear" w:color="auto" w:fill="FFFFFF"/>
        </w:rPr>
        <w:t>/place of work</w:t>
      </w:r>
      <w:r w:rsidRPr="00847C85">
        <w:rPr>
          <w:rFonts w:cs="Arial"/>
          <w:color w:val="222222"/>
          <w:szCs w:val="24"/>
          <w:shd w:val="clear" w:color="auto" w:fill="FFFFFF"/>
        </w:rPr>
        <w:t xml:space="preserve">. </w:t>
      </w:r>
    </w:p>
    <w:p w14:paraId="47F7648A" w14:textId="77777777" w:rsidR="0000301B" w:rsidRDefault="0000301B" w:rsidP="00F7485F">
      <w:pPr>
        <w:spacing w:line="360" w:lineRule="auto"/>
        <w:rPr>
          <w:rFonts w:cs="Arial"/>
          <w:b/>
          <w:szCs w:val="24"/>
        </w:rPr>
      </w:pPr>
    </w:p>
    <w:p w14:paraId="5E07DC85" w14:textId="4D69C0A3" w:rsidR="00EB379E" w:rsidRPr="00F7485F" w:rsidRDefault="0000301B" w:rsidP="00F7485F">
      <w:pPr>
        <w:pStyle w:val="ListParagraph"/>
        <w:numPr>
          <w:ilvl w:val="0"/>
          <w:numId w:val="178"/>
        </w:numPr>
        <w:spacing w:line="360" w:lineRule="auto"/>
        <w:rPr>
          <w:rFonts w:cs="Arial"/>
          <w:b/>
          <w:szCs w:val="24"/>
        </w:rPr>
      </w:pPr>
      <w:r w:rsidRPr="00A553BA">
        <w:rPr>
          <w:rFonts w:cs="Arial"/>
          <w:b/>
          <w:szCs w:val="24"/>
        </w:rPr>
        <w:t xml:space="preserve">Does NHS England support practices to allow GPs this opportunity? </w:t>
      </w:r>
    </w:p>
    <w:p w14:paraId="31ACBA71" w14:textId="499C8878" w:rsidR="0000301B" w:rsidRDefault="0000301B" w:rsidP="00F7485F">
      <w:pPr>
        <w:spacing w:line="360" w:lineRule="auto"/>
        <w:ind w:left="360"/>
        <w:rPr>
          <w:rFonts w:cs="Arial"/>
          <w:color w:val="222222"/>
          <w:szCs w:val="24"/>
          <w:shd w:val="clear" w:color="auto" w:fill="FFFFFF"/>
        </w:rPr>
      </w:pPr>
      <w:r>
        <w:rPr>
          <w:rFonts w:cs="Arial"/>
          <w:color w:val="222222"/>
          <w:szCs w:val="24"/>
          <w:shd w:val="clear" w:color="auto" w:fill="FFFFFF"/>
        </w:rPr>
        <w:t>Yes. Individuals do not always need to be fully recovered to go back to work, and in fact</w:t>
      </w:r>
      <w:r w:rsidR="00B74A4B">
        <w:rPr>
          <w:rFonts w:cs="Arial"/>
          <w:color w:val="222222"/>
          <w:szCs w:val="24"/>
          <w:shd w:val="clear" w:color="auto" w:fill="FFFFFF"/>
        </w:rPr>
        <w:t>,</w:t>
      </w:r>
      <w:r>
        <w:rPr>
          <w:rFonts w:cs="Arial"/>
          <w:color w:val="222222"/>
          <w:szCs w:val="24"/>
          <w:shd w:val="clear" w:color="auto" w:fill="FFFFFF"/>
        </w:rPr>
        <w:t xml:space="preserve"> it can often help recovery to return to work. This is why the Fit Note allows doctors to make such recommendations and why this protocol outlines how commissioners should facilitate </w:t>
      </w:r>
      <w:r w:rsidR="00B74A4B">
        <w:rPr>
          <w:rFonts w:cs="Arial"/>
          <w:color w:val="222222"/>
          <w:szCs w:val="24"/>
          <w:shd w:val="clear" w:color="auto" w:fill="FFFFFF"/>
        </w:rPr>
        <w:t xml:space="preserve">a </w:t>
      </w:r>
      <w:r>
        <w:rPr>
          <w:rFonts w:cs="Arial"/>
          <w:color w:val="222222"/>
          <w:szCs w:val="24"/>
          <w:shd w:val="clear" w:color="auto" w:fill="FFFFFF"/>
        </w:rPr>
        <w:t>safe return to work in these circumstances.</w:t>
      </w:r>
    </w:p>
    <w:p w14:paraId="4A795066" w14:textId="77777777" w:rsidR="0000301B" w:rsidRPr="00805869" w:rsidRDefault="0000301B" w:rsidP="0000301B">
      <w:pPr>
        <w:rPr>
          <w:rFonts w:cs="Arial"/>
          <w:szCs w:val="24"/>
          <w:lang w:eastAsia="en-GB"/>
        </w:rPr>
      </w:pPr>
    </w:p>
    <w:p w14:paraId="2B0E409B" w14:textId="77777777" w:rsidR="0000301B" w:rsidRDefault="0000301B" w:rsidP="0000301B">
      <w:pPr>
        <w:pStyle w:val="ListParagraph"/>
        <w:ind w:left="360"/>
        <w:rPr>
          <w:rFonts w:cs="Arial"/>
          <w:szCs w:val="24"/>
          <w:lang w:eastAsia="en-GB"/>
        </w:rPr>
      </w:pPr>
    </w:p>
    <w:p w14:paraId="5CD15532" w14:textId="77777777" w:rsidR="0000301B" w:rsidRDefault="0000301B" w:rsidP="0000301B">
      <w:pPr>
        <w:pStyle w:val="ListParagraph"/>
        <w:ind w:left="360"/>
        <w:rPr>
          <w:rFonts w:cs="Arial"/>
          <w:szCs w:val="24"/>
          <w:lang w:eastAsia="en-GB"/>
        </w:rPr>
      </w:pPr>
    </w:p>
    <w:p w14:paraId="65BE45AA" w14:textId="77777777" w:rsidR="0000301B" w:rsidRPr="00805869" w:rsidRDefault="0000301B" w:rsidP="0000301B">
      <w:pPr>
        <w:pStyle w:val="ListParagraph"/>
        <w:ind w:left="360"/>
        <w:rPr>
          <w:rFonts w:cs="Arial"/>
          <w:szCs w:val="24"/>
          <w:lang w:eastAsia="en-GB"/>
        </w:rPr>
      </w:pPr>
    </w:p>
    <w:p w14:paraId="1283B573" w14:textId="77777777" w:rsidR="00EB379E" w:rsidRDefault="00EB379E">
      <w:pPr>
        <w:rPr>
          <w:rFonts w:cs="Arial"/>
          <w:b/>
          <w:szCs w:val="24"/>
          <w:lang w:eastAsia="en-GB"/>
        </w:rPr>
      </w:pPr>
      <w:r>
        <w:rPr>
          <w:rFonts w:cs="Arial"/>
          <w:b/>
          <w:szCs w:val="24"/>
          <w:lang w:eastAsia="en-GB"/>
        </w:rPr>
        <w:br w:type="page"/>
      </w:r>
    </w:p>
    <w:p w14:paraId="4F83772E" w14:textId="55EA2469" w:rsidR="0000301B" w:rsidRPr="00805869" w:rsidRDefault="0000301B" w:rsidP="00F7485F">
      <w:pPr>
        <w:spacing w:line="360" w:lineRule="auto"/>
        <w:rPr>
          <w:rFonts w:cs="Arial"/>
          <w:szCs w:val="24"/>
          <w:lang w:eastAsia="en-GB"/>
        </w:rPr>
      </w:pPr>
      <w:r w:rsidRPr="00805869">
        <w:rPr>
          <w:rFonts w:cs="Arial"/>
          <w:b/>
          <w:szCs w:val="24"/>
          <w:lang w:eastAsia="en-GB"/>
        </w:rPr>
        <w:t>Below are some worked examples of how the changes will apply</w:t>
      </w:r>
    </w:p>
    <w:p w14:paraId="017FF32F" w14:textId="77777777" w:rsidR="0000301B" w:rsidRDefault="0000301B" w:rsidP="00F7485F">
      <w:pPr>
        <w:pStyle w:val="ListParagraph"/>
        <w:spacing w:line="360" w:lineRule="auto"/>
        <w:ind w:left="360"/>
        <w:rPr>
          <w:rFonts w:cs="Arial"/>
          <w:szCs w:val="24"/>
          <w:lang w:eastAsia="en-GB"/>
        </w:rPr>
      </w:pPr>
    </w:p>
    <w:p w14:paraId="24A112E4" w14:textId="77777777" w:rsidR="0000301B" w:rsidRPr="00EB379E" w:rsidRDefault="0000301B" w:rsidP="00F7485F">
      <w:pPr>
        <w:pStyle w:val="ListParagraph"/>
        <w:numPr>
          <w:ilvl w:val="0"/>
          <w:numId w:val="179"/>
        </w:numPr>
        <w:spacing w:line="360" w:lineRule="auto"/>
        <w:rPr>
          <w:rFonts w:cs="Arial"/>
          <w:szCs w:val="24"/>
          <w:lang w:eastAsia="en-GB"/>
        </w:rPr>
      </w:pPr>
      <w:r w:rsidRPr="00EB379E">
        <w:rPr>
          <w:rFonts w:cs="Arial"/>
          <w:szCs w:val="24"/>
          <w:lang w:eastAsia="en-GB"/>
        </w:rPr>
        <w:t xml:space="preserve">GP B is absent </w:t>
      </w:r>
      <w:r w:rsidRPr="00EB379E">
        <w:rPr>
          <w:rFonts w:cs="Arial"/>
          <w:b/>
          <w:szCs w:val="24"/>
          <w:lang w:eastAsia="en-GB"/>
        </w:rPr>
        <w:t>3 April 2018 – 13 April 2018</w:t>
      </w:r>
      <w:r w:rsidRPr="00EB379E">
        <w:rPr>
          <w:rFonts w:cs="Arial"/>
          <w:szCs w:val="24"/>
          <w:lang w:eastAsia="en-GB"/>
        </w:rPr>
        <w:t xml:space="preserve"> – less than two weeks so no payment. </w:t>
      </w:r>
    </w:p>
    <w:p w14:paraId="525E6CE0" w14:textId="77777777" w:rsidR="0000301B" w:rsidRPr="00805869" w:rsidRDefault="0000301B" w:rsidP="00F7485F">
      <w:pPr>
        <w:spacing w:line="360" w:lineRule="auto"/>
        <w:rPr>
          <w:rFonts w:cs="Arial"/>
          <w:szCs w:val="24"/>
          <w:lang w:eastAsia="en-GB"/>
        </w:rPr>
      </w:pPr>
    </w:p>
    <w:p w14:paraId="0B83ADA0" w14:textId="77777777" w:rsidR="0000301B" w:rsidRPr="00972847" w:rsidRDefault="0000301B" w:rsidP="00F7485F">
      <w:pPr>
        <w:pStyle w:val="ListParagraph"/>
        <w:numPr>
          <w:ilvl w:val="0"/>
          <w:numId w:val="179"/>
        </w:numPr>
        <w:spacing w:line="360" w:lineRule="auto"/>
        <w:rPr>
          <w:rFonts w:cs="Arial"/>
          <w:szCs w:val="24"/>
          <w:lang w:eastAsia="en-GB"/>
        </w:rPr>
      </w:pPr>
      <w:r w:rsidRPr="00EB379E">
        <w:rPr>
          <w:rFonts w:cs="Arial"/>
          <w:szCs w:val="24"/>
          <w:lang w:eastAsia="en-GB"/>
        </w:rPr>
        <w:t>GP C is absent</w:t>
      </w:r>
      <w:r w:rsidRPr="00EB379E">
        <w:rPr>
          <w:rFonts w:cs="Arial"/>
          <w:b/>
          <w:szCs w:val="24"/>
          <w:lang w:eastAsia="en-GB"/>
        </w:rPr>
        <w:t xml:space="preserve"> 3 April 2018 – 26 April 2018</w:t>
      </w:r>
      <w:r w:rsidRPr="00EB379E">
        <w:rPr>
          <w:rFonts w:cs="Arial"/>
          <w:szCs w:val="24"/>
          <w:lang w:eastAsia="en-GB"/>
        </w:rPr>
        <w:t xml:space="preserve"> – two-week qualification period, then practice is eligible to apply for lower of actual invoiced costs or weekly maximum for the period 17-26 April. </w:t>
      </w:r>
    </w:p>
    <w:p w14:paraId="55A87FA2" w14:textId="77777777" w:rsidR="0000301B" w:rsidRPr="00805869" w:rsidRDefault="0000301B" w:rsidP="00F7485F">
      <w:pPr>
        <w:spacing w:line="360" w:lineRule="auto"/>
        <w:rPr>
          <w:rFonts w:cs="Arial"/>
          <w:szCs w:val="24"/>
          <w:lang w:eastAsia="en-GB"/>
        </w:rPr>
      </w:pPr>
    </w:p>
    <w:p w14:paraId="3C353FA5" w14:textId="5586DD8F" w:rsidR="0000301B" w:rsidRPr="00CE2608" w:rsidRDefault="0000301B" w:rsidP="00F7485F">
      <w:pPr>
        <w:pStyle w:val="ListParagraph"/>
        <w:numPr>
          <w:ilvl w:val="0"/>
          <w:numId w:val="179"/>
        </w:numPr>
        <w:spacing w:line="360" w:lineRule="auto"/>
        <w:rPr>
          <w:rFonts w:cs="Arial"/>
          <w:szCs w:val="24"/>
          <w:lang w:eastAsia="en-GB"/>
        </w:rPr>
      </w:pPr>
      <w:r w:rsidRPr="00EB379E">
        <w:rPr>
          <w:rFonts w:cs="Arial"/>
          <w:szCs w:val="24"/>
          <w:lang w:eastAsia="en-GB"/>
        </w:rPr>
        <w:t xml:space="preserve">GP D is absent </w:t>
      </w:r>
      <w:r w:rsidRPr="00EB379E">
        <w:rPr>
          <w:rFonts w:cs="Arial"/>
          <w:b/>
          <w:szCs w:val="24"/>
          <w:lang w:eastAsia="en-GB"/>
        </w:rPr>
        <w:t>10 July 2018 – 19 July 2018</w:t>
      </w:r>
      <w:r w:rsidRPr="00EB379E">
        <w:rPr>
          <w:rFonts w:cs="Arial"/>
          <w:szCs w:val="24"/>
          <w:lang w:eastAsia="en-GB"/>
        </w:rPr>
        <w:t xml:space="preserve">, then </w:t>
      </w:r>
      <w:r w:rsidRPr="00EB379E">
        <w:rPr>
          <w:rFonts w:cs="Arial"/>
          <w:b/>
          <w:szCs w:val="24"/>
          <w:lang w:eastAsia="en-GB"/>
        </w:rPr>
        <w:t>25 July 2018</w:t>
      </w:r>
      <w:r w:rsidRPr="00972847">
        <w:rPr>
          <w:rFonts w:cs="Arial"/>
          <w:b/>
          <w:szCs w:val="24"/>
          <w:lang w:eastAsia="en-GB"/>
        </w:rPr>
        <w:t xml:space="preserve"> – 25 August 2018</w:t>
      </w:r>
      <w:r w:rsidRPr="00867E68">
        <w:rPr>
          <w:rFonts w:cs="Arial"/>
          <w:szCs w:val="24"/>
          <w:lang w:eastAsia="en-GB"/>
        </w:rPr>
        <w:t xml:space="preserve"> – the first instance of absence is less than two continuous weeks so does not count towards payments. The second instance of absence is longer than two continuous weeks and therefore</w:t>
      </w:r>
      <w:r w:rsidR="00BA15ED">
        <w:rPr>
          <w:rFonts w:cs="Arial"/>
          <w:szCs w:val="24"/>
          <w:lang w:eastAsia="en-GB"/>
        </w:rPr>
        <w:t>,</w:t>
      </w:r>
      <w:r w:rsidRPr="00867E68">
        <w:rPr>
          <w:rFonts w:cs="Arial"/>
          <w:szCs w:val="24"/>
          <w:lang w:eastAsia="en-GB"/>
        </w:rPr>
        <w:t xml:space="preserve"> the practice is</w:t>
      </w:r>
      <w:r w:rsidRPr="00D37493">
        <w:rPr>
          <w:rFonts w:cs="Arial"/>
          <w:szCs w:val="24"/>
          <w:lang w:eastAsia="en-GB"/>
        </w:rPr>
        <w:t xml:space="preserve"> eligible to apply for</w:t>
      </w:r>
      <w:r w:rsidR="00BA15ED">
        <w:rPr>
          <w:rFonts w:cs="Arial"/>
          <w:szCs w:val="24"/>
          <w:lang w:eastAsia="en-GB"/>
        </w:rPr>
        <w:t xml:space="preserve"> the</w:t>
      </w:r>
      <w:r w:rsidRPr="00D37493">
        <w:rPr>
          <w:rFonts w:cs="Arial"/>
          <w:szCs w:val="24"/>
          <w:lang w:eastAsia="en-GB"/>
        </w:rPr>
        <w:t xml:space="preserve"> lo</w:t>
      </w:r>
      <w:r w:rsidRPr="00CE2608">
        <w:rPr>
          <w:rFonts w:cs="Arial"/>
          <w:szCs w:val="24"/>
          <w:lang w:eastAsia="en-GB"/>
        </w:rPr>
        <w:t xml:space="preserve">wer of actual invoiced costs or weekly maximum for the period 8-25 August, after the two-week qualifying period for that instance of absence. </w:t>
      </w:r>
    </w:p>
    <w:p w14:paraId="61D775F4" w14:textId="77777777" w:rsidR="0000301B" w:rsidRPr="00805869" w:rsidRDefault="0000301B" w:rsidP="00F7485F">
      <w:pPr>
        <w:pStyle w:val="ListParagraph"/>
        <w:spacing w:line="360" w:lineRule="auto"/>
        <w:ind w:left="360"/>
        <w:rPr>
          <w:rFonts w:cs="Arial"/>
          <w:szCs w:val="24"/>
          <w:lang w:eastAsia="en-GB"/>
        </w:rPr>
      </w:pPr>
    </w:p>
    <w:p w14:paraId="21D509C1" w14:textId="77777777" w:rsidR="0000301B" w:rsidRPr="00867E68" w:rsidRDefault="0000301B" w:rsidP="00F7485F">
      <w:pPr>
        <w:pStyle w:val="ListParagraph"/>
        <w:numPr>
          <w:ilvl w:val="0"/>
          <w:numId w:val="179"/>
        </w:numPr>
        <w:spacing w:line="360" w:lineRule="auto"/>
        <w:rPr>
          <w:rFonts w:cs="Arial"/>
          <w:sz w:val="22"/>
          <w:lang w:eastAsia="en-GB"/>
        </w:rPr>
      </w:pPr>
      <w:r w:rsidRPr="00EB379E">
        <w:rPr>
          <w:rFonts w:cs="Arial"/>
          <w:szCs w:val="24"/>
          <w:lang w:eastAsia="en-GB"/>
        </w:rPr>
        <w:t xml:space="preserve">GP E is absent </w:t>
      </w:r>
      <w:r w:rsidRPr="00EB379E">
        <w:rPr>
          <w:rFonts w:cs="Arial"/>
          <w:b/>
          <w:szCs w:val="24"/>
          <w:lang w:eastAsia="en-GB"/>
        </w:rPr>
        <w:t>1 May 2018 – 1 January 2019</w:t>
      </w:r>
      <w:r w:rsidRPr="00EB379E">
        <w:rPr>
          <w:rFonts w:cs="Arial"/>
          <w:szCs w:val="24"/>
          <w:lang w:eastAsia="en-GB"/>
        </w:rPr>
        <w:t xml:space="preserve"> – two-week qualification period so practice </w:t>
      </w:r>
      <w:r w:rsidRPr="00972847">
        <w:rPr>
          <w:rFonts w:cs="Arial"/>
          <w:szCs w:val="24"/>
          <w:lang w:eastAsia="en-GB"/>
        </w:rPr>
        <w:t>is eligible to apply for the lower of actual invoiced costs or weekly maximum for 25 weeks, from 15 May – 6 November. From then until 1 January the practice will be eligible for half of whatever was paid in the first period.</w:t>
      </w:r>
    </w:p>
    <w:p w14:paraId="04E3EB1D" w14:textId="77777777" w:rsidR="0000301B" w:rsidRDefault="0000301B" w:rsidP="00F7485F">
      <w:pPr>
        <w:pStyle w:val="ListParagraph"/>
        <w:spacing w:line="360" w:lineRule="auto"/>
        <w:rPr>
          <w:rFonts w:cs="Arial"/>
          <w:sz w:val="22"/>
          <w:lang w:eastAsia="en-GB"/>
        </w:rPr>
      </w:pPr>
    </w:p>
    <w:p w14:paraId="36BF5B47" w14:textId="77777777" w:rsidR="0000301B" w:rsidRPr="00A13E08" w:rsidRDefault="0000301B" w:rsidP="00F7485F">
      <w:pPr>
        <w:spacing w:line="360" w:lineRule="auto"/>
        <w:rPr>
          <w:rFonts w:cs="Arial"/>
          <w:b/>
          <w:szCs w:val="24"/>
        </w:rPr>
      </w:pPr>
      <w:r w:rsidRPr="00A13E08">
        <w:rPr>
          <w:rFonts w:cs="Arial"/>
          <w:b/>
          <w:szCs w:val="24"/>
        </w:rPr>
        <w:t>Worked examples</w:t>
      </w:r>
      <w:r>
        <w:rPr>
          <w:rFonts w:cs="Arial"/>
          <w:b/>
          <w:szCs w:val="24"/>
        </w:rPr>
        <w:t xml:space="preserve"> relating to phased return or adjusted hours arrangements</w:t>
      </w:r>
    </w:p>
    <w:p w14:paraId="661D7EEB" w14:textId="77777777" w:rsidR="0000301B" w:rsidRDefault="0000301B" w:rsidP="00F7485F">
      <w:pPr>
        <w:spacing w:line="360" w:lineRule="auto"/>
        <w:rPr>
          <w:rFonts w:cs="Arial"/>
          <w:szCs w:val="24"/>
        </w:rPr>
      </w:pPr>
    </w:p>
    <w:p w14:paraId="149AEC31" w14:textId="77777777" w:rsidR="0000301B" w:rsidRDefault="0000301B" w:rsidP="00F7485F">
      <w:pPr>
        <w:pStyle w:val="ListParagraph"/>
        <w:numPr>
          <w:ilvl w:val="0"/>
          <w:numId w:val="174"/>
        </w:numPr>
        <w:spacing w:line="360" w:lineRule="auto"/>
        <w:ind w:left="360"/>
        <w:rPr>
          <w:rFonts w:cs="Arial"/>
          <w:szCs w:val="24"/>
          <w:lang w:eastAsia="en-GB"/>
        </w:rPr>
      </w:pPr>
      <w:r w:rsidRPr="00805869">
        <w:rPr>
          <w:rFonts w:cs="Arial"/>
          <w:szCs w:val="24"/>
          <w:lang w:eastAsia="en-GB"/>
        </w:rPr>
        <w:t xml:space="preserve">GP </w:t>
      </w:r>
      <w:r w:rsidRPr="00F80A4C">
        <w:rPr>
          <w:rFonts w:cs="Arial"/>
          <w:szCs w:val="24"/>
          <w:lang w:eastAsia="en-GB"/>
        </w:rPr>
        <w:t xml:space="preserve">partner </w:t>
      </w:r>
      <w:r>
        <w:rPr>
          <w:rFonts w:cs="Arial"/>
          <w:szCs w:val="24"/>
          <w:lang w:eastAsia="en-GB"/>
        </w:rPr>
        <w:t>F</w:t>
      </w:r>
      <w:r w:rsidRPr="00805869">
        <w:rPr>
          <w:rFonts w:cs="Arial"/>
          <w:szCs w:val="24"/>
          <w:lang w:eastAsia="en-GB"/>
        </w:rPr>
        <w:t xml:space="preserve"> is absent</w:t>
      </w:r>
      <w:r>
        <w:rPr>
          <w:rFonts w:cs="Arial"/>
          <w:b/>
          <w:szCs w:val="24"/>
          <w:lang w:eastAsia="en-GB"/>
        </w:rPr>
        <w:t xml:space="preserve"> 3 April–2</w:t>
      </w:r>
      <w:r w:rsidRPr="00805869">
        <w:rPr>
          <w:rFonts w:cs="Arial"/>
          <w:b/>
          <w:szCs w:val="24"/>
          <w:lang w:eastAsia="en-GB"/>
        </w:rPr>
        <w:t xml:space="preserve">6 April </w:t>
      </w:r>
      <w:r w:rsidRPr="00805869">
        <w:rPr>
          <w:rFonts w:cs="Arial"/>
          <w:szCs w:val="24"/>
          <w:lang w:eastAsia="en-GB"/>
        </w:rPr>
        <w:t>– two-week qualification p</w:t>
      </w:r>
      <w:r>
        <w:rPr>
          <w:rFonts w:cs="Arial"/>
          <w:szCs w:val="24"/>
          <w:lang w:eastAsia="en-GB"/>
        </w:rPr>
        <w:t xml:space="preserve">eriod, then practice is entitled to reimbursement for the </w:t>
      </w:r>
      <w:r w:rsidRPr="00805869">
        <w:rPr>
          <w:rFonts w:cs="Arial"/>
          <w:szCs w:val="24"/>
          <w:lang w:eastAsia="en-GB"/>
        </w:rPr>
        <w:t xml:space="preserve">lower of actual invoiced costs or weekly maximum for the period 17-26 April. </w:t>
      </w:r>
    </w:p>
    <w:p w14:paraId="1663E015" w14:textId="77777777" w:rsidR="0000301B" w:rsidRDefault="0000301B" w:rsidP="00F7485F">
      <w:pPr>
        <w:spacing w:line="360" w:lineRule="auto"/>
        <w:ind w:left="360"/>
        <w:rPr>
          <w:rFonts w:cs="Arial"/>
          <w:szCs w:val="24"/>
          <w:lang w:eastAsia="en-GB"/>
        </w:rPr>
      </w:pPr>
    </w:p>
    <w:p w14:paraId="109835A9" w14:textId="2E1D6C51" w:rsidR="0000301B" w:rsidRDefault="0000301B" w:rsidP="00F7485F">
      <w:pPr>
        <w:pStyle w:val="ListParagraph"/>
        <w:spacing w:line="360" w:lineRule="auto"/>
        <w:ind w:left="360"/>
        <w:rPr>
          <w:rFonts w:cs="Arial"/>
          <w:szCs w:val="24"/>
          <w:lang w:eastAsia="en-GB"/>
        </w:rPr>
      </w:pPr>
      <w:r>
        <w:rPr>
          <w:rFonts w:cs="Arial"/>
          <w:szCs w:val="24"/>
          <w:lang w:eastAsia="en-GB"/>
        </w:rPr>
        <w:t>After 26 April the GP partner returns to work but with a Fit Note stating that he</w:t>
      </w:r>
      <w:r w:rsidR="00BA15ED">
        <w:rPr>
          <w:rFonts w:cs="Arial"/>
          <w:szCs w:val="24"/>
          <w:lang w:eastAsia="en-GB"/>
        </w:rPr>
        <w:t>/she</w:t>
      </w:r>
      <w:r>
        <w:rPr>
          <w:rFonts w:cs="Arial"/>
          <w:szCs w:val="24"/>
          <w:lang w:eastAsia="en-GB"/>
        </w:rPr>
        <w:t xml:space="preserve"> can work three of his</w:t>
      </w:r>
      <w:r w:rsidR="00BA15ED">
        <w:rPr>
          <w:rFonts w:cs="Arial"/>
          <w:szCs w:val="24"/>
          <w:lang w:eastAsia="en-GB"/>
        </w:rPr>
        <w:t>/her</w:t>
      </w:r>
      <w:r>
        <w:rPr>
          <w:rFonts w:cs="Arial"/>
          <w:szCs w:val="24"/>
          <w:lang w:eastAsia="en-GB"/>
        </w:rPr>
        <w:t xml:space="preserve"> regular six weekly sessions for the first four weeks. So, the practice is entitled to reimbursement for three sessions per week for those four weeks. </w:t>
      </w:r>
    </w:p>
    <w:p w14:paraId="3A4F586E" w14:textId="77777777" w:rsidR="0000301B" w:rsidRDefault="0000301B" w:rsidP="00F7485F">
      <w:pPr>
        <w:pStyle w:val="ListParagraph"/>
        <w:spacing w:line="360" w:lineRule="auto"/>
        <w:ind w:left="360"/>
        <w:rPr>
          <w:rFonts w:cs="Arial"/>
          <w:szCs w:val="24"/>
          <w:lang w:eastAsia="en-GB"/>
        </w:rPr>
      </w:pPr>
    </w:p>
    <w:p w14:paraId="11004B1B" w14:textId="77777777" w:rsidR="0000301B" w:rsidRDefault="0000301B" w:rsidP="00F7485F">
      <w:pPr>
        <w:pStyle w:val="ListParagraph"/>
        <w:numPr>
          <w:ilvl w:val="0"/>
          <w:numId w:val="174"/>
        </w:numPr>
        <w:spacing w:line="360" w:lineRule="auto"/>
        <w:ind w:left="360"/>
        <w:rPr>
          <w:rFonts w:cs="Arial"/>
          <w:szCs w:val="24"/>
          <w:lang w:eastAsia="en-GB"/>
        </w:rPr>
      </w:pPr>
      <w:r>
        <w:rPr>
          <w:rFonts w:cs="Arial"/>
          <w:szCs w:val="24"/>
          <w:lang w:eastAsia="en-GB"/>
        </w:rPr>
        <w:t xml:space="preserve">Salaried GP G is absent </w:t>
      </w:r>
      <w:r w:rsidRPr="00F80A4C">
        <w:rPr>
          <w:rFonts w:cs="Arial"/>
          <w:b/>
          <w:szCs w:val="24"/>
          <w:lang w:eastAsia="en-GB"/>
        </w:rPr>
        <w:t>1 October–30 November</w:t>
      </w:r>
      <w:r>
        <w:rPr>
          <w:rFonts w:cs="Arial"/>
          <w:szCs w:val="24"/>
          <w:lang w:eastAsia="en-GB"/>
        </w:rPr>
        <w:t xml:space="preserve"> – two-week qualification period, so the practice is entitled to reimbursement for the lower of actual invoiced costs or weekly maximum for the period 15 October – 30 November. </w:t>
      </w:r>
    </w:p>
    <w:p w14:paraId="534E07CD" w14:textId="77777777" w:rsidR="0000301B" w:rsidRDefault="0000301B" w:rsidP="00F7485F">
      <w:pPr>
        <w:pStyle w:val="ListParagraph"/>
        <w:spacing w:line="360" w:lineRule="auto"/>
        <w:ind w:left="360"/>
        <w:rPr>
          <w:rFonts w:cs="Arial"/>
          <w:szCs w:val="24"/>
          <w:lang w:eastAsia="en-GB"/>
        </w:rPr>
      </w:pPr>
    </w:p>
    <w:p w14:paraId="738E17C4" w14:textId="0A53F97A" w:rsidR="0000301B" w:rsidRDefault="0000301B" w:rsidP="00F7485F">
      <w:pPr>
        <w:pStyle w:val="ListParagraph"/>
        <w:spacing w:line="360" w:lineRule="auto"/>
        <w:ind w:left="360"/>
        <w:rPr>
          <w:rFonts w:cs="Arial"/>
          <w:szCs w:val="24"/>
          <w:lang w:eastAsia="en-GB"/>
        </w:rPr>
      </w:pPr>
      <w:r>
        <w:rPr>
          <w:rFonts w:cs="Arial"/>
          <w:szCs w:val="24"/>
          <w:lang w:eastAsia="en-GB"/>
        </w:rPr>
        <w:t xml:space="preserve">After 30 November, the salaried GP returns to work but with a Fit Note stating that </w:t>
      </w:r>
      <w:r w:rsidR="00BA15ED">
        <w:rPr>
          <w:rFonts w:cs="Arial"/>
          <w:szCs w:val="24"/>
          <w:lang w:eastAsia="en-GB"/>
        </w:rPr>
        <w:t>he/</w:t>
      </w:r>
      <w:r>
        <w:rPr>
          <w:rFonts w:cs="Arial"/>
          <w:szCs w:val="24"/>
          <w:lang w:eastAsia="en-GB"/>
        </w:rPr>
        <w:t xml:space="preserve">she can work four of </w:t>
      </w:r>
      <w:r w:rsidR="00BA15ED">
        <w:rPr>
          <w:rFonts w:cs="Arial"/>
          <w:szCs w:val="24"/>
          <w:lang w:eastAsia="en-GB"/>
        </w:rPr>
        <w:t>his/</w:t>
      </w:r>
      <w:r>
        <w:rPr>
          <w:rFonts w:cs="Arial"/>
          <w:szCs w:val="24"/>
          <w:lang w:eastAsia="en-GB"/>
        </w:rPr>
        <w:t xml:space="preserve">her regular seven sessions for the first two weeks, but must work Monday, Wednesday and Friday so that </w:t>
      </w:r>
      <w:r w:rsidR="00BA15ED">
        <w:rPr>
          <w:rFonts w:cs="Arial"/>
          <w:szCs w:val="24"/>
          <w:lang w:eastAsia="en-GB"/>
        </w:rPr>
        <w:t>he/</w:t>
      </w:r>
      <w:r>
        <w:rPr>
          <w:rFonts w:cs="Arial"/>
          <w:szCs w:val="24"/>
          <w:lang w:eastAsia="en-GB"/>
        </w:rPr>
        <w:t xml:space="preserve">she is not working consecutive days. </w:t>
      </w:r>
    </w:p>
    <w:p w14:paraId="2D32A14E" w14:textId="77777777" w:rsidR="0000301B" w:rsidRDefault="0000301B" w:rsidP="00F7485F">
      <w:pPr>
        <w:pStyle w:val="ListParagraph"/>
        <w:spacing w:line="360" w:lineRule="auto"/>
        <w:ind w:left="360"/>
        <w:rPr>
          <w:rFonts w:cs="Arial"/>
          <w:szCs w:val="24"/>
          <w:lang w:eastAsia="en-GB"/>
        </w:rPr>
      </w:pPr>
    </w:p>
    <w:p w14:paraId="0A6304C8" w14:textId="3D3540FD" w:rsidR="0000301B" w:rsidRDefault="00BA15ED" w:rsidP="00F7485F">
      <w:pPr>
        <w:pStyle w:val="ListParagraph"/>
        <w:spacing w:line="360" w:lineRule="auto"/>
        <w:ind w:left="360"/>
        <w:rPr>
          <w:rFonts w:cs="Arial"/>
          <w:szCs w:val="24"/>
          <w:lang w:eastAsia="en-GB"/>
        </w:rPr>
      </w:pPr>
      <w:r>
        <w:rPr>
          <w:rFonts w:cs="Arial"/>
          <w:szCs w:val="24"/>
          <w:lang w:eastAsia="en-GB"/>
        </w:rPr>
        <w:t>He/</w:t>
      </w:r>
      <w:r w:rsidR="0000301B">
        <w:rPr>
          <w:rFonts w:cs="Arial"/>
          <w:szCs w:val="24"/>
          <w:lang w:eastAsia="en-GB"/>
        </w:rPr>
        <w:t xml:space="preserve">She will not qualify for statutory sick pay during this time (because </w:t>
      </w:r>
      <w:r>
        <w:rPr>
          <w:rFonts w:cs="Arial"/>
          <w:szCs w:val="24"/>
          <w:lang w:eastAsia="en-GB"/>
        </w:rPr>
        <w:t>he/</w:t>
      </w:r>
      <w:r w:rsidR="0000301B">
        <w:rPr>
          <w:rFonts w:cs="Arial"/>
          <w:szCs w:val="24"/>
          <w:lang w:eastAsia="en-GB"/>
        </w:rPr>
        <w:t xml:space="preserve">she is not off work for four consecutive days), and will not be paid </w:t>
      </w:r>
      <w:r>
        <w:rPr>
          <w:rFonts w:cs="Arial"/>
          <w:szCs w:val="24"/>
          <w:lang w:eastAsia="en-GB"/>
        </w:rPr>
        <w:t>his/</w:t>
      </w:r>
      <w:r w:rsidR="0000301B">
        <w:rPr>
          <w:rFonts w:cs="Arial"/>
          <w:szCs w:val="24"/>
          <w:lang w:eastAsia="en-GB"/>
        </w:rPr>
        <w:t xml:space="preserve">her full salary, so the practice is not </w:t>
      </w:r>
      <w:r w:rsidR="0000301B" w:rsidRPr="00F80A4C">
        <w:rPr>
          <w:rFonts w:cs="Arial"/>
          <w:i/>
          <w:szCs w:val="24"/>
          <w:lang w:eastAsia="en-GB"/>
        </w:rPr>
        <w:t>automatically</w:t>
      </w:r>
      <w:r w:rsidR="0000301B">
        <w:rPr>
          <w:rFonts w:cs="Arial"/>
          <w:szCs w:val="24"/>
          <w:lang w:eastAsia="en-GB"/>
        </w:rPr>
        <w:t xml:space="preserve"> entitled to reimbursement for the cost of cover. </w:t>
      </w:r>
    </w:p>
    <w:p w14:paraId="13BB1F29" w14:textId="77777777" w:rsidR="0000301B" w:rsidRDefault="0000301B" w:rsidP="00F7485F">
      <w:pPr>
        <w:pStyle w:val="ListParagraph"/>
        <w:spacing w:line="360" w:lineRule="auto"/>
        <w:ind w:left="360"/>
        <w:rPr>
          <w:rFonts w:cs="Arial"/>
          <w:szCs w:val="24"/>
          <w:lang w:eastAsia="en-GB"/>
        </w:rPr>
      </w:pPr>
    </w:p>
    <w:p w14:paraId="0CA72BB5" w14:textId="5CF91288" w:rsidR="0000301B" w:rsidRDefault="0000301B" w:rsidP="00F7485F">
      <w:pPr>
        <w:pStyle w:val="ListParagraph"/>
        <w:spacing w:line="360" w:lineRule="auto"/>
        <w:ind w:left="360"/>
        <w:rPr>
          <w:rFonts w:cs="Arial"/>
          <w:szCs w:val="24"/>
          <w:lang w:eastAsia="en-GB"/>
        </w:rPr>
      </w:pPr>
      <w:r>
        <w:rPr>
          <w:rFonts w:cs="Arial"/>
          <w:szCs w:val="24"/>
          <w:lang w:eastAsia="en-GB"/>
        </w:rPr>
        <w:t xml:space="preserve">However, the practice may claim reimbursement and, if the salaried GP is being fully paid for the sessions </w:t>
      </w:r>
      <w:r w:rsidR="00BA15ED">
        <w:rPr>
          <w:rFonts w:cs="Arial"/>
          <w:szCs w:val="24"/>
          <w:lang w:eastAsia="en-GB"/>
        </w:rPr>
        <w:t>he/</w:t>
      </w:r>
      <w:r>
        <w:rPr>
          <w:rFonts w:cs="Arial"/>
          <w:szCs w:val="24"/>
          <w:lang w:eastAsia="en-GB"/>
        </w:rPr>
        <w:t xml:space="preserve">she does work, the commissioner should use its discretion to reimburse the practice. So, the practice should be reimbursed for three sessions per week for two weeks. </w:t>
      </w:r>
    </w:p>
    <w:p w14:paraId="044480FF" w14:textId="77777777" w:rsidR="0000301B" w:rsidRDefault="0000301B" w:rsidP="0000301B">
      <w:pPr>
        <w:pStyle w:val="ListParagraph"/>
        <w:ind w:left="360"/>
        <w:rPr>
          <w:rFonts w:cs="Arial"/>
          <w:szCs w:val="24"/>
          <w:lang w:eastAsia="en-GB"/>
        </w:rPr>
      </w:pPr>
    </w:p>
    <w:p w14:paraId="531559A1" w14:textId="77777777" w:rsidR="0000301B" w:rsidRPr="0019330F" w:rsidRDefault="0000301B" w:rsidP="00F7485F">
      <w:pPr>
        <w:pStyle w:val="ListParagraph"/>
        <w:numPr>
          <w:ilvl w:val="0"/>
          <w:numId w:val="174"/>
        </w:numPr>
        <w:spacing w:line="360" w:lineRule="auto"/>
        <w:ind w:left="360"/>
        <w:rPr>
          <w:rFonts w:cs="Arial"/>
          <w:szCs w:val="24"/>
          <w:lang w:eastAsia="en-GB"/>
        </w:rPr>
      </w:pPr>
      <w:r>
        <w:rPr>
          <w:rFonts w:cs="Arial"/>
          <w:szCs w:val="24"/>
          <w:lang w:eastAsia="en-GB"/>
        </w:rPr>
        <w:t>GP performer H (s</w:t>
      </w:r>
      <w:r w:rsidRPr="0019330F">
        <w:rPr>
          <w:rFonts w:cs="Arial"/>
          <w:szCs w:val="24"/>
          <w:lang w:eastAsia="en-GB"/>
        </w:rPr>
        <w:t xml:space="preserve">alaried </w:t>
      </w:r>
      <w:r>
        <w:rPr>
          <w:rFonts w:cs="Arial"/>
          <w:szCs w:val="24"/>
          <w:lang w:eastAsia="en-GB"/>
        </w:rPr>
        <w:t>or partner) C</w:t>
      </w:r>
      <w:r w:rsidRPr="0019330F">
        <w:rPr>
          <w:rFonts w:cs="Arial"/>
          <w:szCs w:val="24"/>
          <w:lang w:eastAsia="en-GB"/>
        </w:rPr>
        <w:t xml:space="preserve"> is absent </w:t>
      </w:r>
      <w:r w:rsidRPr="00F677BA">
        <w:rPr>
          <w:rFonts w:cs="Arial"/>
          <w:b/>
          <w:szCs w:val="24"/>
          <w:lang w:eastAsia="en-GB"/>
        </w:rPr>
        <w:t>9 January-</w:t>
      </w:r>
      <w:r w:rsidRPr="00192602">
        <w:rPr>
          <w:rFonts w:cs="Arial"/>
          <w:b/>
          <w:szCs w:val="24"/>
          <w:lang w:eastAsia="en-GB"/>
        </w:rPr>
        <w:t xml:space="preserve"> 6</w:t>
      </w:r>
      <w:r w:rsidRPr="00F677BA">
        <w:rPr>
          <w:rFonts w:cs="Arial"/>
          <w:b/>
          <w:szCs w:val="24"/>
          <w:lang w:eastAsia="en-GB"/>
        </w:rPr>
        <w:t xml:space="preserve"> February</w:t>
      </w:r>
      <w:r w:rsidRPr="0019330F">
        <w:rPr>
          <w:rFonts w:cs="Arial"/>
          <w:szCs w:val="24"/>
          <w:lang w:eastAsia="en-GB"/>
        </w:rPr>
        <w:t xml:space="preserve"> – two-week qualification period, so the practice is entitled to reimbursement for the lower of actual invoiced costs or weekly maximum for the period </w:t>
      </w:r>
      <w:r>
        <w:rPr>
          <w:rFonts w:cs="Arial"/>
          <w:szCs w:val="24"/>
          <w:lang w:eastAsia="en-GB"/>
        </w:rPr>
        <w:t xml:space="preserve">23 January </w:t>
      </w:r>
      <w:r w:rsidRPr="0019330F">
        <w:rPr>
          <w:rFonts w:cs="Arial"/>
          <w:szCs w:val="24"/>
          <w:lang w:eastAsia="en-GB"/>
        </w:rPr>
        <w:t xml:space="preserve">– </w:t>
      </w:r>
      <w:r>
        <w:rPr>
          <w:rFonts w:cs="Arial"/>
          <w:szCs w:val="24"/>
          <w:lang w:eastAsia="en-GB"/>
        </w:rPr>
        <w:t>6 February</w:t>
      </w:r>
      <w:r w:rsidRPr="0019330F">
        <w:rPr>
          <w:rFonts w:cs="Arial"/>
          <w:szCs w:val="24"/>
          <w:lang w:eastAsia="en-GB"/>
        </w:rPr>
        <w:t xml:space="preserve">. </w:t>
      </w:r>
    </w:p>
    <w:p w14:paraId="751C48A8" w14:textId="77777777" w:rsidR="0000301B" w:rsidRPr="0019330F" w:rsidRDefault="0000301B" w:rsidP="00F7485F">
      <w:pPr>
        <w:pStyle w:val="ListParagraph"/>
        <w:spacing w:line="360" w:lineRule="auto"/>
        <w:rPr>
          <w:rFonts w:cs="Arial"/>
          <w:szCs w:val="24"/>
          <w:lang w:eastAsia="en-GB"/>
        </w:rPr>
      </w:pPr>
    </w:p>
    <w:p w14:paraId="591C46B2" w14:textId="77777777" w:rsidR="0000301B" w:rsidRDefault="0000301B" w:rsidP="00F7485F">
      <w:pPr>
        <w:pStyle w:val="ListParagraph"/>
        <w:spacing w:line="360" w:lineRule="auto"/>
        <w:ind w:left="360"/>
        <w:rPr>
          <w:rFonts w:cs="Arial"/>
          <w:szCs w:val="24"/>
          <w:lang w:eastAsia="en-GB"/>
        </w:rPr>
      </w:pPr>
      <w:r w:rsidRPr="0019330F">
        <w:rPr>
          <w:rFonts w:cs="Arial"/>
          <w:szCs w:val="24"/>
          <w:lang w:eastAsia="en-GB"/>
        </w:rPr>
        <w:t xml:space="preserve">After </w:t>
      </w:r>
      <w:r>
        <w:rPr>
          <w:rFonts w:cs="Arial"/>
          <w:szCs w:val="24"/>
          <w:lang w:eastAsia="en-GB"/>
        </w:rPr>
        <w:t>6 February</w:t>
      </w:r>
      <w:r w:rsidRPr="0019330F">
        <w:rPr>
          <w:rFonts w:cs="Arial"/>
          <w:szCs w:val="24"/>
          <w:lang w:eastAsia="en-GB"/>
        </w:rPr>
        <w:t xml:space="preserve">, the </w:t>
      </w:r>
      <w:r>
        <w:rPr>
          <w:rFonts w:cs="Arial"/>
          <w:szCs w:val="24"/>
          <w:lang w:eastAsia="en-GB"/>
        </w:rPr>
        <w:t xml:space="preserve">GP performer </w:t>
      </w:r>
      <w:r w:rsidRPr="0019330F">
        <w:rPr>
          <w:rFonts w:cs="Arial"/>
          <w:szCs w:val="24"/>
          <w:lang w:eastAsia="en-GB"/>
        </w:rPr>
        <w:t>returns to work</w:t>
      </w:r>
      <w:r>
        <w:rPr>
          <w:rFonts w:cs="Arial"/>
          <w:szCs w:val="24"/>
          <w:lang w:eastAsia="en-GB"/>
        </w:rPr>
        <w:t xml:space="preserve"> and suggests working </w:t>
      </w:r>
      <w:r w:rsidRPr="0019330F">
        <w:rPr>
          <w:rFonts w:cs="Arial"/>
          <w:szCs w:val="24"/>
          <w:lang w:eastAsia="en-GB"/>
        </w:rPr>
        <w:t xml:space="preserve">four of </w:t>
      </w:r>
      <w:r>
        <w:rPr>
          <w:rFonts w:cs="Arial"/>
          <w:szCs w:val="24"/>
          <w:lang w:eastAsia="en-GB"/>
        </w:rPr>
        <w:t xml:space="preserve">their </w:t>
      </w:r>
      <w:r w:rsidRPr="0019330F">
        <w:rPr>
          <w:rFonts w:cs="Arial"/>
          <w:szCs w:val="24"/>
          <w:lang w:eastAsia="en-GB"/>
        </w:rPr>
        <w:t xml:space="preserve">regular seven sessions for the first </w:t>
      </w:r>
      <w:r>
        <w:rPr>
          <w:rFonts w:cs="Arial"/>
          <w:szCs w:val="24"/>
          <w:lang w:eastAsia="en-GB"/>
        </w:rPr>
        <w:t>week</w:t>
      </w:r>
      <w:r w:rsidRPr="0019330F">
        <w:rPr>
          <w:rFonts w:cs="Arial"/>
          <w:szCs w:val="24"/>
          <w:lang w:eastAsia="en-GB"/>
        </w:rPr>
        <w:t xml:space="preserve">. </w:t>
      </w:r>
    </w:p>
    <w:p w14:paraId="2CD109A2" w14:textId="77777777" w:rsidR="0000301B" w:rsidRDefault="0000301B" w:rsidP="00F7485F">
      <w:pPr>
        <w:pStyle w:val="ListParagraph"/>
        <w:spacing w:line="360" w:lineRule="auto"/>
        <w:rPr>
          <w:rFonts w:cs="Arial"/>
          <w:szCs w:val="24"/>
          <w:lang w:eastAsia="en-GB"/>
        </w:rPr>
      </w:pPr>
    </w:p>
    <w:p w14:paraId="6A6B6610" w14:textId="04CAABFB" w:rsidR="0000301B" w:rsidRPr="008C33F3" w:rsidRDefault="0000301B" w:rsidP="00F7485F">
      <w:pPr>
        <w:spacing w:line="360" w:lineRule="auto"/>
        <w:ind w:left="360"/>
        <w:rPr>
          <w:rFonts w:cs="Arial"/>
          <w:sz w:val="22"/>
          <w:lang w:eastAsia="en-GB"/>
        </w:rPr>
      </w:pPr>
      <w:r w:rsidRPr="008C33F3">
        <w:rPr>
          <w:rFonts w:cs="Arial"/>
          <w:szCs w:val="24"/>
          <w:lang w:eastAsia="en-GB"/>
        </w:rPr>
        <w:t>The practice may not claim reimbursement as the phased return is not subject to a Fit Note recommendation and has been agreed at the employers/place of work</w:t>
      </w:r>
      <w:r w:rsidR="00BA15ED">
        <w:rPr>
          <w:rFonts w:cs="Arial"/>
          <w:szCs w:val="24"/>
          <w:lang w:eastAsia="en-GB"/>
        </w:rPr>
        <w:t>’</w:t>
      </w:r>
      <w:r w:rsidRPr="008C33F3">
        <w:rPr>
          <w:rFonts w:cs="Arial"/>
          <w:szCs w:val="24"/>
          <w:lang w:eastAsia="en-GB"/>
        </w:rPr>
        <w:t>s discretion.</w:t>
      </w:r>
    </w:p>
    <w:p w14:paraId="35376854" w14:textId="4DC09703" w:rsidR="0000301B" w:rsidRDefault="0000301B" w:rsidP="0000301B">
      <w:pPr>
        <w:pStyle w:val="ListParagraph"/>
        <w:ind w:left="360"/>
        <w:rPr>
          <w:rFonts w:cs="Arial"/>
          <w:szCs w:val="24"/>
          <w:lang w:eastAsia="en-GB"/>
        </w:rPr>
      </w:pPr>
      <w:r w:rsidRPr="00805869">
        <w:rPr>
          <w:rFonts w:cs="Arial"/>
          <w:szCs w:val="24"/>
          <w:lang w:eastAsia="en-GB"/>
        </w:rPr>
        <w:t xml:space="preserve"> </w:t>
      </w:r>
    </w:p>
    <w:p w14:paraId="37ECFF5F" w14:textId="77777777" w:rsidR="00A06D3B" w:rsidRPr="00A06D3B" w:rsidRDefault="00A06D3B" w:rsidP="00A06D3B">
      <w:pPr>
        <w:pStyle w:val="NHSCBLevel2"/>
        <w:numPr>
          <w:ilvl w:val="0"/>
          <w:numId w:val="0"/>
        </w:numPr>
        <w:rPr>
          <w:lang w:eastAsia="en-GB"/>
        </w:rPr>
      </w:pPr>
    </w:p>
    <w:p w14:paraId="64A6DEC1" w14:textId="77777777" w:rsidR="0000301B" w:rsidRPr="00CE0885" w:rsidRDefault="0000301B" w:rsidP="00867DFB">
      <w:pPr>
        <w:tabs>
          <w:tab w:val="left" w:pos="4337"/>
        </w:tabs>
        <w:spacing w:line="360" w:lineRule="auto"/>
        <w:rPr>
          <w:rFonts w:cs="Arial"/>
          <w:szCs w:val="24"/>
        </w:rPr>
      </w:pPr>
    </w:p>
    <w:p w14:paraId="55AA5225" w14:textId="00DB0B57" w:rsidR="005E089C" w:rsidRDefault="00867DFB" w:rsidP="005E089C">
      <w:pPr>
        <w:spacing w:line="360" w:lineRule="auto"/>
        <w:rPr>
          <w:lang w:eastAsia="en-GB"/>
        </w:rPr>
      </w:pPr>
      <w:r w:rsidRPr="00CE0885">
        <w:rPr>
          <w:rFonts w:cs="Arial"/>
        </w:rPr>
        <w:br w:type="page"/>
      </w:r>
      <w:r w:rsidR="005E089C">
        <w:rPr>
          <w:lang w:eastAsia="en-GB"/>
        </w:rPr>
        <w:t xml:space="preserve"> </w:t>
      </w:r>
    </w:p>
    <w:p w14:paraId="56F96D35" w14:textId="2AF561A9" w:rsidR="0015247B" w:rsidRDefault="0015247B" w:rsidP="0015247B">
      <w:pPr>
        <w:pStyle w:val="Heading1"/>
        <w:rPr>
          <w:lang w:eastAsia="en-GB"/>
        </w:rPr>
      </w:pPr>
      <w:bookmarkStart w:id="2553" w:name="_Toc95743595"/>
      <w:r>
        <w:rPr>
          <w:lang w:eastAsia="en-GB"/>
        </w:rPr>
        <w:t>Guidance Note: GP Practices serving Atypical Populations</w:t>
      </w:r>
      <w:bookmarkEnd w:id="2553"/>
    </w:p>
    <w:p w14:paraId="491BF8CF" w14:textId="77777777" w:rsidR="00E25BFF" w:rsidRDefault="00E25BFF" w:rsidP="00E25BFF">
      <w:pPr>
        <w:spacing w:line="389" w:lineRule="exact"/>
        <w:rPr>
          <w:rFonts w:ascii="Times New Roman" w:hAnsi="Times New Roman"/>
        </w:rPr>
      </w:pPr>
      <w:bookmarkStart w:id="2554" w:name="page5"/>
      <w:bookmarkEnd w:id="2554"/>
    </w:p>
    <w:p w14:paraId="5124E9DA" w14:textId="77777777" w:rsidR="00E25BFF" w:rsidRDefault="00E25BFF" w:rsidP="00E25BFF">
      <w:pPr>
        <w:pStyle w:val="Heading2"/>
        <w:rPr>
          <w:rFonts w:eastAsia="Arial"/>
        </w:rPr>
      </w:pPr>
      <w:bookmarkStart w:id="2555" w:name="_Toc95743596"/>
      <w:r>
        <w:rPr>
          <w:rFonts w:eastAsia="Arial"/>
        </w:rPr>
        <w:t>Introduction</w:t>
      </w:r>
      <w:bookmarkEnd w:id="2555"/>
    </w:p>
    <w:p w14:paraId="102C2312" w14:textId="77777777" w:rsidR="00E25BFF" w:rsidRDefault="00E25BFF" w:rsidP="00E25BFF">
      <w:pPr>
        <w:spacing w:line="277" w:lineRule="exact"/>
        <w:rPr>
          <w:rFonts w:ascii="Times New Roman" w:hAnsi="Times New Roman"/>
        </w:rPr>
      </w:pPr>
    </w:p>
    <w:p w14:paraId="084A18F9" w14:textId="1C009B36" w:rsidR="00E25BFF" w:rsidRPr="00965097" w:rsidRDefault="00E25BFF" w:rsidP="001C7059">
      <w:pPr>
        <w:pStyle w:val="Heading3"/>
        <w:rPr>
          <w:rFonts w:eastAsia="Arial"/>
          <w:b/>
        </w:rPr>
      </w:pPr>
      <w:r w:rsidRPr="00965097">
        <w:rPr>
          <w:rFonts w:eastAsia="Arial"/>
          <w:b/>
        </w:rPr>
        <w:t>Purpose of this document</w:t>
      </w:r>
    </w:p>
    <w:p w14:paraId="1DACBB1C" w14:textId="77777777" w:rsidR="00E25BFF" w:rsidRDefault="00E25BFF" w:rsidP="00E25BFF">
      <w:pPr>
        <w:spacing w:line="171" w:lineRule="exact"/>
        <w:rPr>
          <w:rFonts w:ascii="Times New Roman" w:hAnsi="Times New Roman"/>
        </w:rPr>
      </w:pPr>
    </w:p>
    <w:p w14:paraId="4E7E01BA" w14:textId="3AB9930C" w:rsidR="00E25BFF" w:rsidRPr="005E089C" w:rsidRDefault="00E25BFF" w:rsidP="005E089C">
      <w:pPr>
        <w:pStyle w:val="Heading3"/>
        <w:rPr>
          <w:rFonts w:ascii="Times New Roman" w:hAnsi="Times New Roman"/>
        </w:rPr>
      </w:pPr>
      <w:r w:rsidRPr="005E089C">
        <w:rPr>
          <w:rFonts w:eastAsia="Arial"/>
        </w:rPr>
        <w:t>The General Medical Services (GMS) funding formula (Carr-Hill formula) is an attempt to fund practice workload, regardless of the population they serve. It appli</w:t>
      </w:r>
      <w:r w:rsidR="002851ED">
        <w:rPr>
          <w:rFonts w:eastAsia="Arial"/>
        </w:rPr>
        <w:t>es</w:t>
      </w:r>
      <w:r w:rsidRPr="005E089C">
        <w:rPr>
          <w:rFonts w:eastAsia="Arial"/>
        </w:rPr>
        <w:t xml:space="preserve"> to the vast majority of the UK, but there are some practice populations that are so significantly atypical that using the GMS funding formula would not ensure the delivery of an adequate general practice service. This working group has looked at three such atypical populations: unavoidably small and isolated; university practices and; those with a high ratio of patients who do not speak English.</w:t>
      </w:r>
    </w:p>
    <w:p w14:paraId="53152D09" w14:textId="4F269C57" w:rsidR="00E25BFF" w:rsidRDefault="00E25BFF" w:rsidP="005E089C">
      <w:pPr>
        <w:pStyle w:val="Heading3"/>
        <w:rPr>
          <w:rFonts w:eastAsia="Arial"/>
        </w:rPr>
      </w:pPr>
      <w:r>
        <w:rPr>
          <w:rFonts w:eastAsia="Arial"/>
        </w:rPr>
        <w:t>Support for practices should directly impact on patient care as well as the long term viability of practices, and therefore commissioners are encouraged to undertake a review of identified practices in their area. By reviewing the practices in your area, commissioners and providers can identify practices that require such support. Without this support</w:t>
      </w:r>
      <w:r w:rsidR="002851ED">
        <w:rPr>
          <w:rFonts w:eastAsia="Arial"/>
        </w:rPr>
        <w:t>,</w:t>
      </w:r>
      <w:r>
        <w:rPr>
          <w:rFonts w:eastAsia="Arial"/>
        </w:rPr>
        <w:t xml:space="preserve"> many practices will be unable to maintain the service and as a result</w:t>
      </w:r>
      <w:r w:rsidR="002851ED">
        <w:rPr>
          <w:rFonts w:eastAsia="Arial"/>
        </w:rPr>
        <w:t>,</w:t>
      </w:r>
      <w:r>
        <w:rPr>
          <w:rFonts w:eastAsia="Arial"/>
        </w:rPr>
        <w:t xml:space="preserve"> health outcomes may suffer.</w:t>
      </w:r>
    </w:p>
    <w:p w14:paraId="6E6DA4C2" w14:textId="77777777" w:rsidR="00E25BFF" w:rsidRDefault="00E25BFF" w:rsidP="00E25BFF">
      <w:pPr>
        <w:spacing w:line="284" w:lineRule="exact"/>
        <w:rPr>
          <w:rFonts w:ascii="Times New Roman" w:hAnsi="Times New Roman"/>
        </w:rPr>
      </w:pPr>
    </w:p>
    <w:p w14:paraId="7F56954B" w14:textId="62E8D3EE" w:rsidR="00E25BFF" w:rsidRPr="00965097" w:rsidRDefault="00E25BFF" w:rsidP="001C7059">
      <w:pPr>
        <w:pStyle w:val="Heading3"/>
        <w:rPr>
          <w:rFonts w:eastAsia="Arial"/>
          <w:b/>
        </w:rPr>
      </w:pPr>
      <w:r w:rsidRPr="00965097">
        <w:rPr>
          <w:rFonts w:eastAsia="Arial"/>
          <w:b/>
        </w:rPr>
        <w:t>Background to this work</w:t>
      </w:r>
    </w:p>
    <w:p w14:paraId="37AA50F6" w14:textId="77777777" w:rsidR="00E25BFF" w:rsidRDefault="00E25BFF" w:rsidP="00E25BFF">
      <w:pPr>
        <w:spacing w:line="200" w:lineRule="exact"/>
        <w:rPr>
          <w:rFonts w:ascii="Times New Roman" w:hAnsi="Times New Roman"/>
        </w:rPr>
      </w:pPr>
    </w:p>
    <w:p w14:paraId="1BF0CACE" w14:textId="77777777" w:rsidR="00E25BFF" w:rsidRDefault="00E25BFF" w:rsidP="00E25BFF">
      <w:pPr>
        <w:spacing w:line="247" w:lineRule="exact"/>
        <w:rPr>
          <w:rFonts w:ascii="Times New Roman" w:hAnsi="Times New Roman"/>
        </w:rPr>
      </w:pPr>
    </w:p>
    <w:p w14:paraId="5FB1F13D" w14:textId="7BFF6636" w:rsidR="00E25BFF" w:rsidRPr="005E089C" w:rsidRDefault="00E25BFF" w:rsidP="005E089C">
      <w:pPr>
        <w:pStyle w:val="Heading3"/>
        <w:rPr>
          <w:rFonts w:ascii="Times New Roman" w:hAnsi="Times New Roman"/>
        </w:rPr>
      </w:pPr>
      <w:r w:rsidRPr="005E089C">
        <w:rPr>
          <w:rFonts w:eastAsia="Arial"/>
        </w:rPr>
        <w:t>Whilst the vast majority of GP practices serve communities that have common characteristics and work to contracts that have similar terms, conditions and funding arrangements, a small cohort of practices provide services to a patient population which is sufficiently demographically different to result in particular workload challenges that are not always recognised in the practice’s existing contract/s or its funding allocation. A population that triggers ‘uncommon’ workload challenges that are not experienced by the majority of GP practices is referred to here as ‘atypical’.</w:t>
      </w:r>
    </w:p>
    <w:p w14:paraId="48809171" w14:textId="77BBCE15" w:rsidR="00E25BFF" w:rsidRDefault="00E25BFF" w:rsidP="005E089C">
      <w:pPr>
        <w:pStyle w:val="Heading3"/>
        <w:rPr>
          <w:rFonts w:eastAsia="Arial"/>
        </w:rPr>
      </w:pPr>
      <w:r>
        <w:rPr>
          <w:rFonts w:eastAsia="Arial"/>
        </w:rPr>
        <w:t>This document was produced to assist commissioners of 3 such atypical ‘populations’ by detailing the particular challenges faced by providers and offering examples of either provider or commissioner reports that may help either articulate or address these pressures. How members of the public relate to and use GP services is influenced by the accessibility of other services including, for example, pharmacy, A &amp; E, Walk-In Centres and voluntary agency support infrastructure.</w:t>
      </w:r>
    </w:p>
    <w:p w14:paraId="0758858E" w14:textId="77777777" w:rsidR="00E25BFF" w:rsidRDefault="00E25BFF" w:rsidP="00E25BFF">
      <w:pPr>
        <w:spacing w:line="282" w:lineRule="exact"/>
        <w:rPr>
          <w:rFonts w:ascii="Times New Roman" w:hAnsi="Times New Roman"/>
        </w:rPr>
      </w:pPr>
    </w:p>
    <w:p w14:paraId="6A084278" w14:textId="77777777" w:rsidR="00E25BFF" w:rsidRDefault="00E25BFF" w:rsidP="005E089C">
      <w:pPr>
        <w:pStyle w:val="Heading3"/>
        <w:rPr>
          <w:rFonts w:eastAsia="Arial"/>
        </w:rPr>
      </w:pPr>
      <w:r>
        <w:rPr>
          <w:rFonts w:eastAsia="Arial"/>
        </w:rPr>
        <w:t>The populations are:</w:t>
      </w:r>
    </w:p>
    <w:p w14:paraId="59EAE409" w14:textId="77777777" w:rsidR="00E25BFF" w:rsidRDefault="00E25BFF" w:rsidP="0019483B">
      <w:pPr>
        <w:spacing w:line="360" w:lineRule="auto"/>
        <w:rPr>
          <w:rFonts w:ascii="Times New Roman" w:hAnsi="Times New Roman"/>
        </w:rPr>
      </w:pPr>
    </w:p>
    <w:p w14:paraId="233B236F" w14:textId="77777777" w:rsidR="00E25BFF" w:rsidRDefault="00E25BFF" w:rsidP="0019483B">
      <w:pPr>
        <w:numPr>
          <w:ilvl w:val="0"/>
          <w:numId w:val="5"/>
        </w:numPr>
        <w:tabs>
          <w:tab w:val="left" w:pos="1441"/>
        </w:tabs>
        <w:spacing w:line="360" w:lineRule="auto"/>
        <w:ind w:left="1441" w:hanging="361"/>
        <w:rPr>
          <w:rFonts w:ascii="Symbol" w:eastAsia="Symbol" w:hAnsi="Symbol"/>
        </w:rPr>
      </w:pPr>
      <w:r>
        <w:rPr>
          <w:rFonts w:eastAsia="Arial"/>
        </w:rPr>
        <w:t>Unavoidably small and isolated</w:t>
      </w:r>
    </w:p>
    <w:p w14:paraId="41492887" w14:textId="017B89C0" w:rsidR="00E25BFF" w:rsidRPr="0019483B" w:rsidRDefault="00E25BFF" w:rsidP="0019483B">
      <w:pPr>
        <w:numPr>
          <w:ilvl w:val="0"/>
          <w:numId w:val="5"/>
        </w:numPr>
        <w:tabs>
          <w:tab w:val="left" w:pos="1441"/>
        </w:tabs>
        <w:spacing w:line="360" w:lineRule="auto"/>
        <w:ind w:left="1441" w:hanging="361"/>
        <w:rPr>
          <w:rFonts w:ascii="Symbol" w:eastAsia="Symbol" w:hAnsi="Symbol"/>
        </w:rPr>
      </w:pPr>
      <w:r>
        <w:rPr>
          <w:rFonts w:eastAsia="Arial"/>
        </w:rPr>
        <w:t>University populations and</w:t>
      </w:r>
      <w:r w:rsidR="0019483B">
        <w:rPr>
          <w:rFonts w:eastAsia="Arial"/>
        </w:rPr>
        <w:t>;</w:t>
      </w:r>
    </w:p>
    <w:p w14:paraId="2EA4ABCB" w14:textId="2B27062C" w:rsidR="00E25BFF" w:rsidRDefault="00E25BFF" w:rsidP="0019483B">
      <w:pPr>
        <w:numPr>
          <w:ilvl w:val="0"/>
          <w:numId w:val="5"/>
        </w:numPr>
        <w:tabs>
          <w:tab w:val="left" w:pos="1441"/>
        </w:tabs>
        <w:spacing w:line="360" w:lineRule="auto"/>
        <w:ind w:left="1441" w:right="460" w:hanging="361"/>
        <w:rPr>
          <w:rFonts w:ascii="Symbol" w:eastAsia="Symbol" w:hAnsi="Symbol"/>
        </w:rPr>
      </w:pPr>
      <w:r>
        <w:rPr>
          <w:rFonts w:eastAsia="Arial"/>
        </w:rPr>
        <w:t>Practices with a significantly high ratio of patients who do not speak English including those services designed t</w:t>
      </w:r>
      <w:r w:rsidR="00782D1D">
        <w:rPr>
          <w:rFonts w:eastAsia="Arial"/>
        </w:rPr>
        <w:t>o address the needs of migrants.</w:t>
      </w:r>
      <w:r w:rsidR="00782D1D">
        <w:rPr>
          <w:rStyle w:val="FootnoteReference"/>
          <w:rFonts w:eastAsia="Arial"/>
        </w:rPr>
        <w:footnoteReference w:id="28"/>
      </w:r>
    </w:p>
    <w:p w14:paraId="7E5F6209" w14:textId="1D875F6B" w:rsidR="00E25BFF" w:rsidRDefault="00E25BFF" w:rsidP="0019483B">
      <w:pPr>
        <w:spacing w:line="360" w:lineRule="auto"/>
        <w:rPr>
          <w:rFonts w:ascii="Times New Roman" w:hAnsi="Times New Roman"/>
        </w:rPr>
      </w:pPr>
    </w:p>
    <w:p w14:paraId="2C40E490" w14:textId="77777777" w:rsidR="00E25BFF" w:rsidRDefault="00E25BFF" w:rsidP="00E25BFF">
      <w:pPr>
        <w:spacing w:line="200" w:lineRule="exact"/>
        <w:rPr>
          <w:rFonts w:ascii="Times New Roman" w:hAnsi="Times New Roman"/>
        </w:rPr>
      </w:pPr>
    </w:p>
    <w:p w14:paraId="542F3750" w14:textId="77777777" w:rsidR="00836ECF" w:rsidRPr="009A7101" w:rsidRDefault="00836ECF" w:rsidP="00A553BA">
      <w:bookmarkStart w:id="2556" w:name="page6"/>
      <w:bookmarkEnd w:id="2556"/>
    </w:p>
    <w:p w14:paraId="74CA2C9C" w14:textId="7C4B0F4B" w:rsidR="00E25BFF" w:rsidRPr="00965097" w:rsidRDefault="00E25BFF" w:rsidP="00965097">
      <w:pPr>
        <w:pStyle w:val="Heading3"/>
      </w:pPr>
      <w:r w:rsidRPr="00965097">
        <w:rPr>
          <w:rFonts w:eastAsia="Arial"/>
        </w:rPr>
        <w:t>This document guides commissioners to the types of issues and data sources they could consider in coming to a judgement about</w:t>
      </w:r>
      <w:r w:rsidR="00076E20">
        <w:rPr>
          <w:rFonts w:eastAsia="Arial"/>
        </w:rPr>
        <w:t xml:space="preserve"> the</w:t>
      </w:r>
      <w:r w:rsidRPr="00965097">
        <w:rPr>
          <w:rFonts w:eastAsia="Arial"/>
        </w:rPr>
        <w:t>support that is relevant to their particular circumstance, where commissioners and individual practices have a shared concern about meeting the health needs of their patients.</w:t>
      </w:r>
    </w:p>
    <w:p w14:paraId="273CAAC8" w14:textId="5173A60B" w:rsidR="00E25BFF" w:rsidRPr="00965097" w:rsidRDefault="00E25BFF" w:rsidP="00965097">
      <w:pPr>
        <w:pStyle w:val="Heading3"/>
      </w:pPr>
      <w:r w:rsidRPr="00965097">
        <w:rPr>
          <w:rFonts w:eastAsia="Arial"/>
        </w:rPr>
        <w:t>This document outlines the additional needs of these patient groups, the pressures that providers face and the duty on commissioners to secure quality services which may legitimately require consideration of additional funding support.</w:t>
      </w:r>
    </w:p>
    <w:p w14:paraId="3FCA62AB" w14:textId="47BA9A88" w:rsidR="00E25BFF" w:rsidRPr="00965097" w:rsidRDefault="00E25BFF" w:rsidP="00965097">
      <w:pPr>
        <w:pStyle w:val="Heading3"/>
      </w:pPr>
      <w:r w:rsidRPr="00965097">
        <w:rPr>
          <w:rFonts w:eastAsia="Arial"/>
        </w:rPr>
        <w:t>In reading this document, commissioners and providers should be aware that services should be equitable for all population groups in line with the Public Sector Equality Duty (PSED) under the Equality Act 2010 and have regard to reduce health inequalities under the Health and Social Care Act 2012.</w:t>
      </w:r>
    </w:p>
    <w:p w14:paraId="523804C0" w14:textId="77777777" w:rsidR="00E25BFF" w:rsidRPr="00965097" w:rsidRDefault="00E25BFF" w:rsidP="00965097">
      <w:pPr>
        <w:pStyle w:val="Heading3"/>
        <w:rPr>
          <w:rFonts w:eastAsia="Arial"/>
        </w:rPr>
      </w:pPr>
      <w:r w:rsidRPr="00965097">
        <w:rPr>
          <w:rFonts w:eastAsia="Arial"/>
        </w:rPr>
        <w:t>Promoting equality and addressing health inequalities are at the heart of NHS England’s values. Throughout the development of the policies and processes cited in this document, we have:</w:t>
      </w:r>
    </w:p>
    <w:p w14:paraId="4A1B104B" w14:textId="77777777" w:rsidR="00E25BFF" w:rsidRDefault="00E25BFF" w:rsidP="00E25BFF">
      <w:pPr>
        <w:spacing w:line="307" w:lineRule="exact"/>
        <w:rPr>
          <w:rFonts w:ascii="Times New Roman" w:hAnsi="Times New Roman"/>
        </w:rPr>
      </w:pPr>
    </w:p>
    <w:p w14:paraId="1F1C363F" w14:textId="5C542382" w:rsidR="00E25BFF" w:rsidRPr="00FF7B03" w:rsidRDefault="00E25BFF" w:rsidP="006C3DF5">
      <w:pPr>
        <w:pStyle w:val="Heading3"/>
        <w:numPr>
          <w:ilvl w:val="0"/>
          <w:numId w:val="88"/>
        </w:numPr>
        <w:rPr>
          <w:rFonts w:ascii="Symbol" w:eastAsia="Symbol" w:hAnsi="Symbol"/>
        </w:rPr>
      </w:pPr>
      <w:r w:rsidRPr="00FF7B03">
        <w:rPr>
          <w:rFonts w:eastAsia="Arial"/>
        </w:rPr>
        <w:t>Given due regard to the need to eliminate discrimination, harassment and victimisation, to advance equality of opportunity, and to foster good relations between people who share a relevant protected characteristic (as cited under the Equality Act 2010) and those who do not share it.</w:t>
      </w:r>
    </w:p>
    <w:p w14:paraId="1859CCA1" w14:textId="77777777" w:rsidR="00E25BFF" w:rsidRDefault="00E25BFF" w:rsidP="006C3DF5">
      <w:pPr>
        <w:pStyle w:val="Heading3"/>
        <w:numPr>
          <w:ilvl w:val="0"/>
          <w:numId w:val="88"/>
        </w:numPr>
        <w:rPr>
          <w:rFonts w:ascii="Symbol" w:eastAsia="Symbol" w:hAnsi="Symbol"/>
        </w:rPr>
      </w:pPr>
      <w:r>
        <w:rPr>
          <w:rFonts w:eastAsia="Arial"/>
        </w:rPr>
        <w:t>Given regard to the need to reduce inequalities between patients in access to, and outcomes from, healthcare services and in securing that services are provided in an integrated way where this might reduce health inequalities.</w:t>
      </w:r>
    </w:p>
    <w:p w14:paraId="480C09BD" w14:textId="77777777" w:rsidR="00E25BFF" w:rsidRDefault="00E25BFF" w:rsidP="00E25BFF">
      <w:pPr>
        <w:spacing w:line="290" w:lineRule="exact"/>
        <w:rPr>
          <w:rFonts w:ascii="Times New Roman" w:hAnsi="Times New Roman"/>
        </w:rPr>
      </w:pPr>
    </w:p>
    <w:p w14:paraId="10DE7BEB" w14:textId="711E7C57" w:rsidR="00E25BFF" w:rsidRDefault="00E25BFF" w:rsidP="00965097">
      <w:pPr>
        <w:pStyle w:val="Heading3"/>
        <w:rPr>
          <w:rFonts w:eastAsia="Arial"/>
        </w:rPr>
      </w:pPr>
      <w:r>
        <w:rPr>
          <w:rFonts w:eastAsia="Arial"/>
        </w:rPr>
        <w:t>In addition, this guidance is designed to complement but not duplicate or replace other related support initiatives. As such it does not advocate any one service model over another, specify or advocate specific funding arrangements, specify financial arrangements for managing the workload associated with Temporary Residents or describe how to distribute the national programme funds</w:t>
      </w:r>
      <w:r w:rsidR="00782D1D">
        <w:rPr>
          <w:rStyle w:val="FootnoteReference"/>
          <w:rFonts w:eastAsia="Arial"/>
        </w:rPr>
        <w:footnoteReference w:id="29"/>
      </w:r>
      <w:r>
        <w:rPr>
          <w:rFonts w:eastAsia="Arial"/>
        </w:rPr>
        <w:t xml:space="preserve"> supporting struggling practices to improve their sustainability and resilience over the short/medium term.</w:t>
      </w:r>
    </w:p>
    <w:p w14:paraId="42449B32" w14:textId="77777777" w:rsidR="00E25BFF" w:rsidRDefault="00E25BFF" w:rsidP="00E25BFF">
      <w:pPr>
        <w:spacing w:line="200" w:lineRule="exact"/>
        <w:rPr>
          <w:rFonts w:ascii="Times New Roman" w:hAnsi="Times New Roman"/>
        </w:rPr>
      </w:pPr>
    </w:p>
    <w:p w14:paraId="5D02A92D" w14:textId="77777777" w:rsidR="00E25BFF" w:rsidRDefault="00E25BFF" w:rsidP="00E25BFF">
      <w:pPr>
        <w:spacing w:line="204" w:lineRule="exact"/>
        <w:rPr>
          <w:rFonts w:ascii="Times New Roman" w:hAnsi="Times New Roman"/>
        </w:rPr>
      </w:pPr>
    </w:p>
    <w:p w14:paraId="4A20FF49" w14:textId="7DD6FD39" w:rsidR="00E25BFF" w:rsidRDefault="00E25BFF" w:rsidP="001C7059">
      <w:pPr>
        <w:pStyle w:val="Heading3"/>
        <w:rPr>
          <w:rFonts w:eastAsia="Arial"/>
        </w:rPr>
      </w:pPr>
      <w:r>
        <w:rPr>
          <w:rFonts w:eastAsia="Arial"/>
        </w:rPr>
        <w:t>Call for evidence</w:t>
      </w:r>
    </w:p>
    <w:p w14:paraId="6EEE687C" w14:textId="77777777" w:rsidR="00E25BFF" w:rsidRDefault="00E25BFF" w:rsidP="00E25BFF">
      <w:pPr>
        <w:spacing w:line="200" w:lineRule="exact"/>
        <w:rPr>
          <w:rFonts w:ascii="Times New Roman" w:hAnsi="Times New Roman"/>
        </w:rPr>
      </w:pPr>
    </w:p>
    <w:p w14:paraId="4B2B5C80" w14:textId="77777777" w:rsidR="00E25BFF" w:rsidRDefault="00E25BFF" w:rsidP="00E25BFF">
      <w:pPr>
        <w:spacing w:line="247" w:lineRule="exact"/>
        <w:rPr>
          <w:rFonts w:ascii="Times New Roman" w:hAnsi="Times New Roman"/>
        </w:rPr>
      </w:pPr>
    </w:p>
    <w:p w14:paraId="62BBC116" w14:textId="64C6A32D" w:rsidR="00E25BFF" w:rsidRPr="00965097" w:rsidRDefault="00E25BFF" w:rsidP="00965097">
      <w:pPr>
        <w:pStyle w:val="Heading3"/>
        <w:rPr>
          <w:rFonts w:ascii="Times New Roman" w:hAnsi="Times New Roman"/>
        </w:rPr>
      </w:pPr>
      <w:r w:rsidRPr="00965097">
        <w:rPr>
          <w:rFonts w:eastAsia="Arial"/>
        </w:rPr>
        <w:t xml:space="preserve">Where available, this document also describes some examples of innovative practice to overcome challenges associated with serving the atypical populations. Hyperlinks to further information are included in this document where available. </w:t>
      </w:r>
    </w:p>
    <w:p w14:paraId="7126FE4E" w14:textId="04C6C572" w:rsidR="00965097" w:rsidRPr="00FF7B03" w:rsidRDefault="00E25BFF" w:rsidP="00A553BA">
      <w:pPr>
        <w:pStyle w:val="Heading4"/>
      </w:pPr>
      <w:r w:rsidRPr="00FF7B03">
        <w:t>If commissioners have further examples of local initiatives to address issues associated with ‘atypical practices’ please submit them to</w:t>
      </w:r>
      <w:r w:rsidR="003011FE">
        <w:t xml:space="preserve"> </w:t>
      </w:r>
      <w:hyperlink r:id="rId198" w:history="1">
        <w:r w:rsidR="003011FE" w:rsidRPr="00FD2026">
          <w:rPr>
            <w:rStyle w:val="Hyperlink"/>
            <w:rFonts w:cs="Arial"/>
            <w:szCs w:val="24"/>
            <w:lang w:val="en-US"/>
          </w:rPr>
          <w:t>england.gpcommissioning@nhs.net</w:t>
        </w:r>
      </w:hyperlink>
      <w:r w:rsidR="003011FE">
        <w:rPr>
          <w:rFonts w:cs="Arial"/>
          <w:szCs w:val="24"/>
          <w:lang w:val="en-US"/>
        </w:rPr>
        <w:t xml:space="preserve"> </w:t>
      </w:r>
      <w:r w:rsidRPr="00FF7B03">
        <w:t>with the heading ‘Atypical Populations: Call for</w:t>
      </w:r>
      <w:r w:rsidR="00965097" w:rsidRPr="00FF7B03">
        <w:t xml:space="preserve"> evidence’. Suitable case studies will be published on The Learning Environment website as a resource for commissioners and providers.</w:t>
      </w:r>
    </w:p>
    <w:p w14:paraId="57EB55B6" w14:textId="224788D1" w:rsidR="00E25BFF" w:rsidRPr="00FF7B03" w:rsidRDefault="00965097" w:rsidP="00FF7B03">
      <w:pPr>
        <w:pStyle w:val="Heading3"/>
        <w:rPr>
          <w:rFonts w:eastAsia="Arial"/>
        </w:rPr>
      </w:pPr>
      <w:r w:rsidRPr="00FF7B03">
        <w:rPr>
          <w:rFonts w:eastAsia="Arial"/>
        </w:rPr>
        <w:t>To complement these case studies NHS England will consider the viability of commissioning a more detailed investigation into these cohorts of patients to properly understand the difference in workload and related pressures not recognised in the funding formula.</w:t>
      </w:r>
    </w:p>
    <w:p w14:paraId="7A441675" w14:textId="6D64402B" w:rsidR="00E25BFF" w:rsidRDefault="00E25BFF" w:rsidP="00E25BFF">
      <w:pPr>
        <w:spacing w:line="20" w:lineRule="exact"/>
        <w:rPr>
          <w:rFonts w:ascii="Times New Roman" w:hAnsi="Times New Roman"/>
        </w:rPr>
      </w:pPr>
    </w:p>
    <w:p w14:paraId="52C07273" w14:textId="7B604903" w:rsidR="00E25BFF" w:rsidRDefault="00E25BFF" w:rsidP="00E25BFF">
      <w:pPr>
        <w:spacing w:line="387" w:lineRule="exact"/>
        <w:rPr>
          <w:rFonts w:ascii="Times New Roman" w:hAnsi="Times New Roman"/>
        </w:rPr>
      </w:pPr>
    </w:p>
    <w:p w14:paraId="37DDF61F" w14:textId="5937D635" w:rsidR="0019483B" w:rsidRDefault="0019483B" w:rsidP="00E25BFF">
      <w:pPr>
        <w:spacing w:line="387" w:lineRule="exact"/>
        <w:rPr>
          <w:rFonts w:ascii="Times New Roman" w:hAnsi="Times New Roman"/>
        </w:rPr>
      </w:pPr>
    </w:p>
    <w:p w14:paraId="4E218C04" w14:textId="77777777" w:rsidR="0019483B" w:rsidRDefault="0019483B" w:rsidP="00E25BFF">
      <w:pPr>
        <w:spacing w:line="387" w:lineRule="exact"/>
        <w:rPr>
          <w:rFonts w:ascii="Times New Roman" w:hAnsi="Times New Roman"/>
        </w:rPr>
      </w:pPr>
    </w:p>
    <w:p w14:paraId="087C162D" w14:textId="77777777" w:rsidR="00E25BFF" w:rsidRDefault="00E25BFF" w:rsidP="00E25BFF">
      <w:pPr>
        <w:spacing w:line="200" w:lineRule="exact"/>
        <w:rPr>
          <w:rFonts w:ascii="Times New Roman" w:hAnsi="Times New Roman"/>
        </w:rPr>
      </w:pPr>
    </w:p>
    <w:p w14:paraId="0448FC58" w14:textId="77777777" w:rsidR="00E25BFF" w:rsidRDefault="00E25BFF" w:rsidP="00E25BFF">
      <w:pPr>
        <w:spacing w:line="200" w:lineRule="exact"/>
        <w:rPr>
          <w:rFonts w:ascii="Times New Roman" w:hAnsi="Times New Roman"/>
        </w:rPr>
      </w:pPr>
    </w:p>
    <w:p w14:paraId="7F0576A2" w14:textId="77777777" w:rsidR="00E25BFF" w:rsidRDefault="00E25BFF" w:rsidP="00E25BFF">
      <w:pPr>
        <w:spacing w:line="200" w:lineRule="exact"/>
        <w:rPr>
          <w:rFonts w:ascii="Times New Roman" w:hAnsi="Times New Roman"/>
        </w:rPr>
      </w:pPr>
    </w:p>
    <w:p w14:paraId="36DBE618" w14:textId="77777777" w:rsidR="00E25BFF" w:rsidRDefault="00E25BFF" w:rsidP="00E25BFF">
      <w:pPr>
        <w:pStyle w:val="Heading2"/>
        <w:rPr>
          <w:rFonts w:eastAsia="Arial"/>
        </w:rPr>
      </w:pPr>
      <w:bookmarkStart w:id="2557" w:name="_Toc95743597"/>
      <w:r>
        <w:rPr>
          <w:rFonts w:eastAsia="Arial"/>
        </w:rPr>
        <w:t>Context: General Medical Services (GMS) Funding Formula Review</w:t>
      </w:r>
      <w:bookmarkEnd w:id="2557"/>
    </w:p>
    <w:p w14:paraId="2D170295" w14:textId="77777777" w:rsidR="00E25BFF" w:rsidRDefault="00E25BFF" w:rsidP="00E25BFF">
      <w:pPr>
        <w:spacing w:line="279" w:lineRule="exact"/>
        <w:rPr>
          <w:rFonts w:ascii="Times New Roman" w:hAnsi="Times New Roman"/>
        </w:rPr>
      </w:pPr>
    </w:p>
    <w:p w14:paraId="66CADC21" w14:textId="2AED0E88" w:rsidR="00E25BFF" w:rsidRDefault="00E25BFF" w:rsidP="001C7059">
      <w:pPr>
        <w:pStyle w:val="Heading3"/>
        <w:rPr>
          <w:rFonts w:eastAsia="Arial"/>
        </w:rPr>
      </w:pPr>
      <w:r>
        <w:rPr>
          <w:rFonts w:eastAsia="Arial"/>
        </w:rPr>
        <w:t>Commitments to reviewing primary care funding</w:t>
      </w:r>
    </w:p>
    <w:p w14:paraId="0F6BBB34" w14:textId="77777777" w:rsidR="00E25BFF" w:rsidRDefault="00E25BFF" w:rsidP="00E25BFF">
      <w:pPr>
        <w:spacing w:line="200" w:lineRule="exact"/>
        <w:rPr>
          <w:rFonts w:ascii="Times New Roman" w:hAnsi="Times New Roman"/>
        </w:rPr>
      </w:pPr>
    </w:p>
    <w:p w14:paraId="32F96BDE" w14:textId="77777777" w:rsidR="00E25BFF" w:rsidRDefault="00E25BFF" w:rsidP="00E25BFF">
      <w:pPr>
        <w:spacing w:line="249" w:lineRule="exact"/>
        <w:rPr>
          <w:rFonts w:ascii="Times New Roman" w:hAnsi="Times New Roman"/>
        </w:rPr>
      </w:pPr>
    </w:p>
    <w:p w14:paraId="25AC0369" w14:textId="6696AB93" w:rsidR="00E25BFF" w:rsidRDefault="00E25BFF" w:rsidP="0019483B">
      <w:pPr>
        <w:spacing w:line="360" w:lineRule="auto"/>
        <w:ind w:left="1" w:right="100"/>
        <w:rPr>
          <w:rFonts w:eastAsia="Arial"/>
        </w:rPr>
      </w:pPr>
      <w:r w:rsidRPr="00FF7B03">
        <w:rPr>
          <w:rStyle w:val="Heading3Char"/>
          <w:rFonts w:eastAsia="Arial"/>
        </w:rPr>
        <w:t xml:space="preserve">NHS England has committed to reviewing the GMS funding formula which underpins the capitation payments made to GP practices under the General Medical Services (GMS) contract. This commitment was confirmed in the General Practice Forward View. We are working with the BMA’s General Practitioners Committee, NHS Employers, the Department of Health </w:t>
      </w:r>
      <w:r w:rsidR="005D58AD">
        <w:rPr>
          <w:rStyle w:val="Heading3Char"/>
          <w:rFonts w:eastAsia="Arial"/>
        </w:rPr>
        <w:t xml:space="preserve">and Social Care </w:t>
      </w:r>
      <w:r w:rsidRPr="00FF7B03">
        <w:rPr>
          <w:rStyle w:val="Heading3Char"/>
          <w:rFonts w:eastAsia="Arial"/>
        </w:rPr>
        <w:t>and academic partners on the review to develop a formula that</w:t>
      </w:r>
      <w:r>
        <w:rPr>
          <w:rFonts w:eastAsia="Arial"/>
        </w:rPr>
        <w:t xml:space="preserve"> better reflects  factors that drive workload, such as age or deprivation.</w:t>
      </w:r>
    </w:p>
    <w:p w14:paraId="530B8BDD" w14:textId="77777777" w:rsidR="00E25BFF" w:rsidRDefault="00E25BFF" w:rsidP="0019483B">
      <w:pPr>
        <w:spacing w:line="360" w:lineRule="auto"/>
        <w:rPr>
          <w:rFonts w:ascii="Times New Roman" w:hAnsi="Times New Roman"/>
        </w:rPr>
      </w:pPr>
    </w:p>
    <w:p w14:paraId="7D018A61" w14:textId="64C398F0" w:rsidR="00E25BFF" w:rsidRDefault="00E25BFF" w:rsidP="0019483B">
      <w:pPr>
        <w:pStyle w:val="Heading3"/>
        <w:rPr>
          <w:rFonts w:eastAsia="Arial"/>
        </w:rPr>
      </w:pPr>
      <w:r>
        <w:rPr>
          <w:rFonts w:eastAsia="Arial"/>
        </w:rPr>
        <w:t>Existing GMS funding formula (introduced in 2004)</w:t>
      </w:r>
    </w:p>
    <w:p w14:paraId="3F26970F" w14:textId="77777777" w:rsidR="00E25BFF" w:rsidRDefault="00E25BFF" w:rsidP="0019483B">
      <w:pPr>
        <w:spacing w:line="360" w:lineRule="auto"/>
        <w:rPr>
          <w:rFonts w:ascii="Times New Roman" w:hAnsi="Times New Roman"/>
        </w:rPr>
      </w:pPr>
    </w:p>
    <w:p w14:paraId="467E02F9" w14:textId="77777777" w:rsidR="00E25BFF" w:rsidRDefault="00E25BFF" w:rsidP="0019483B">
      <w:pPr>
        <w:spacing w:line="360" w:lineRule="auto"/>
        <w:rPr>
          <w:rFonts w:ascii="Times New Roman" w:hAnsi="Times New Roman"/>
        </w:rPr>
      </w:pPr>
    </w:p>
    <w:p w14:paraId="6B44F334" w14:textId="77777777" w:rsidR="00E25BFF" w:rsidRDefault="00E25BFF" w:rsidP="0019483B">
      <w:pPr>
        <w:pStyle w:val="Heading3"/>
        <w:rPr>
          <w:rFonts w:eastAsia="Arial"/>
        </w:rPr>
      </w:pPr>
      <w:r>
        <w:rPr>
          <w:rFonts w:eastAsia="Arial"/>
        </w:rPr>
        <w:t>The intention of the formula was to weight remuneration to reflect the comparative practice workload, complexity and the relative costs of service delivery based on the demographics of the patient list. As such the formula has two parts:</w:t>
      </w:r>
    </w:p>
    <w:p w14:paraId="4F330F8B" w14:textId="77777777" w:rsidR="00E25BFF" w:rsidRDefault="00E25BFF" w:rsidP="0019483B">
      <w:pPr>
        <w:spacing w:line="360" w:lineRule="auto"/>
        <w:rPr>
          <w:rFonts w:ascii="Times New Roman" w:hAnsi="Times New Roman"/>
        </w:rPr>
      </w:pPr>
    </w:p>
    <w:p w14:paraId="0BDA494F" w14:textId="4A0A33FC" w:rsidR="00E25BFF" w:rsidRPr="001545D4" w:rsidRDefault="00E25BFF" w:rsidP="0019483B">
      <w:pPr>
        <w:numPr>
          <w:ilvl w:val="0"/>
          <w:numId w:val="6"/>
        </w:numPr>
        <w:tabs>
          <w:tab w:val="left" w:pos="1441"/>
        </w:tabs>
        <w:spacing w:line="360" w:lineRule="auto"/>
        <w:ind w:left="1441" w:right="160" w:hanging="361"/>
        <w:rPr>
          <w:rFonts w:eastAsia="Arial"/>
        </w:rPr>
      </w:pPr>
      <w:r>
        <w:rPr>
          <w:rFonts w:eastAsia="Arial"/>
        </w:rPr>
        <w:t>A workload part that provides an estimate of the workload for each GP practice based on its list size and various patient and practice characteristics; and</w:t>
      </w:r>
    </w:p>
    <w:p w14:paraId="503B1911" w14:textId="77777777" w:rsidR="00E25BFF" w:rsidRDefault="00E25BFF" w:rsidP="0019483B">
      <w:pPr>
        <w:numPr>
          <w:ilvl w:val="0"/>
          <w:numId w:val="6"/>
        </w:numPr>
        <w:tabs>
          <w:tab w:val="left" w:pos="1441"/>
        </w:tabs>
        <w:spacing w:line="360" w:lineRule="auto"/>
        <w:ind w:left="1441" w:right="220" w:hanging="361"/>
        <w:rPr>
          <w:rFonts w:eastAsia="Arial"/>
        </w:rPr>
      </w:pPr>
      <w:r>
        <w:rPr>
          <w:rFonts w:eastAsia="Arial"/>
        </w:rPr>
        <w:t>A cost part that adjusts the payment for workload for variation in costs experienced by practices in different places.</w:t>
      </w:r>
    </w:p>
    <w:p w14:paraId="063D71F4" w14:textId="77777777" w:rsidR="00E25BFF" w:rsidRDefault="00E25BFF" w:rsidP="0019483B">
      <w:pPr>
        <w:spacing w:line="360" w:lineRule="auto"/>
        <w:rPr>
          <w:rFonts w:ascii="Times New Roman" w:hAnsi="Times New Roman"/>
        </w:rPr>
      </w:pPr>
    </w:p>
    <w:p w14:paraId="7E4949C5" w14:textId="77777777" w:rsidR="00E25BFF" w:rsidRDefault="00E25BFF" w:rsidP="0019483B">
      <w:pPr>
        <w:pStyle w:val="Heading3"/>
        <w:rPr>
          <w:rFonts w:eastAsia="Arial"/>
        </w:rPr>
      </w:pPr>
      <w:r>
        <w:rPr>
          <w:rFonts w:eastAsia="Arial"/>
        </w:rPr>
        <w:t>The workload part is also used to inform the primary medical services component of the primary care allocation formula. It is recognised that due to the wide diversity of populations serviced by GP practices, a national formula will never be able to accommodate the workload needs of all practices, hence the need for guidance on atypical practices.</w:t>
      </w:r>
    </w:p>
    <w:p w14:paraId="5CA00A3E" w14:textId="77777777" w:rsidR="00E25BFF" w:rsidRDefault="00E25BFF" w:rsidP="0019483B">
      <w:pPr>
        <w:spacing w:line="360" w:lineRule="auto"/>
        <w:rPr>
          <w:rFonts w:ascii="Times New Roman" w:hAnsi="Times New Roman"/>
        </w:rPr>
      </w:pPr>
    </w:p>
    <w:p w14:paraId="02B5DA26" w14:textId="6E3D25E9" w:rsidR="00E25BFF" w:rsidRDefault="00E25BFF" w:rsidP="0019483B">
      <w:pPr>
        <w:pStyle w:val="Heading3"/>
        <w:rPr>
          <w:rFonts w:eastAsia="Arial"/>
        </w:rPr>
      </w:pPr>
      <w:r>
        <w:rPr>
          <w:rFonts w:eastAsia="Arial"/>
        </w:rPr>
        <w:t>What does the GMS funding formula not achieve?</w:t>
      </w:r>
    </w:p>
    <w:p w14:paraId="157E8D51" w14:textId="77777777" w:rsidR="00E25BFF" w:rsidRDefault="00E25BFF" w:rsidP="0019483B">
      <w:pPr>
        <w:spacing w:line="360" w:lineRule="auto"/>
        <w:rPr>
          <w:rFonts w:ascii="Times New Roman" w:hAnsi="Times New Roman"/>
        </w:rPr>
      </w:pPr>
    </w:p>
    <w:p w14:paraId="33002808" w14:textId="77777777" w:rsidR="00E25BFF" w:rsidRDefault="00E25BFF" w:rsidP="0019483B">
      <w:pPr>
        <w:spacing w:line="360" w:lineRule="auto"/>
        <w:rPr>
          <w:rFonts w:ascii="Times New Roman" w:hAnsi="Times New Roman"/>
        </w:rPr>
      </w:pPr>
    </w:p>
    <w:p w14:paraId="280C8FF4" w14:textId="77777777" w:rsidR="00E25BFF" w:rsidRDefault="00E25BFF" w:rsidP="0019483B">
      <w:pPr>
        <w:pStyle w:val="Heading3"/>
        <w:rPr>
          <w:rFonts w:eastAsia="Arial"/>
        </w:rPr>
      </w:pPr>
      <w:r>
        <w:rPr>
          <w:rFonts w:eastAsia="Arial"/>
        </w:rPr>
        <w:t>It has been suggested that the GMS funding formula could be improved upon in a number of ways:</w:t>
      </w:r>
    </w:p>
    <w:p w14:paraId="04FB3D57" w14:textId="77777777" w:rsidR="00E25BFF" w:rsidRDefault="00E25BFF" w:rsidP="0019483B">
      <w:pPr>
        <w:spacing w:line="360" w:lineRule="auto"/>
        <w:rPr>
          <w:rFonts w:ascii="Times New Roman" w:hAnsi="Times New Roman"/>
        </w:rPr>
      </w:pPr>
    </w:p>
    <w:p w14:paraId="356CE0D6" w14:textId="77777777" w:rsidR="00E25BFF" w:rsidRDefault="00E25BFF" w:rsidP="0019483B">
      <w:pPr>
        <w:numPr>
          <w:ilvl w:val="0"/>
          <w:numId w:val="7"/>
        </w:numPr>
        <w:tabs>
          <w:tab w:val="left" w:pos="1441"/>
        </w:tabs>
        <w:spacing w:line="360" w:lineRule="auto"/>
        <w:ind w:left="1441" w:right="100" w:hanging="361"/>
        <w:rPr>
          <w:rFonts w:ascii="Symbol" w:eastAsia="Symbol" w:hAnsi="Symbol"/>
        </w:rPr>
      </w:pPr>
      <w:r>
        <w:rPr>
          <w:rFonts w:eastAsia="Arial"/>
        </w:rPr>
        <w:t>The data that make up the formula requires updating (some of the data are more than ten years out-of-date)</w:t>
      </w:r>
    </w:p>
    <w:p w14:paraId="1CD87798" w14:textId="77777777" w:rsidR="00E25BFF" w:rsidRDefault="00E25BFF" w:rsidP="0019483B">
      <w:pPr>
        <w:numPr>
          <w:ilvl w:val="0"/>
          <w:numId w:val="8"/>
        </w:numPr>
        <w:tabs>
          <w:tab w:val="left" w:pos="1441"/>
        </w:tabs>
        <w:spacing w:line="360" w:lineRule="auto"/>
        <w:ind w:left="1441" w:right="760" w:hanging="361"/>
        <w:rPr>
          <w:rFonts w:ascii="Symbol" w:eastAsia="Symbol" w:hAnsi="Symbol"/>
          <w:sz w:val="23"/>
        </w:rPr>
      </w:pPr>
      <w:bookmarkStart w:id="2558" w:name="page8"/>
      <w:bookmarkEnd w:id="2558"/>
      <w:r>
        <w:rPr>
          <w:rFonts w:eastAsia="Arial"/>
          <w:sz w:val="23"/>
        </w:rPr>
        <w:t>Factors currently included do not adequately reflect the workload associated with older people who may not be living in nursing or residential care and have a range of complex co-morbidities</w:t>
      </w:r>
    </w:p>
    <w:p w14:paraId="3770C116" w14:textId="77777777" w:rsidR="00E25BFF" w:rsidRDefault="00E25BFF" w:rsidP="0019483B">
      <w:pPr>
        <w:spacing w:line="360" w:lineRule="auto"/>
        <w:rPr>
          <w:rFonts w:ascii="Symbol" w:eastAsia="Symbol" w:hAnsi="Symbol"/>
          <w:sz w:val="23"/>
        </w:rPr>
      </w:pPr>
    </w:p>
    <w:p w14:paraId="7BAC2BAD" w14:textId="77777777" w:rsidR="00E25BFF" w:rsidRDefault="00E25BFF" w:rsidP="0019483B">
      <w:pPr>
        <w:numPr>
          <w:ilvl w:val="0"/>
          <w:numId w:val="8"/>
        </w:numPr>
        <w:tabs>
          <w:tab w:val="left" w:pos="1441"/>
        </w:tabs>
        <w:spacing w:line="360" w:lineRule="auto"/>
        <w:ind w:left="1441" w:right="260" w:hanging="361"/>
        <w:rPr>
          <w:rFonts w:ascii="Symbol" w:eastAsia="Symbol" w:hAnsi="Symbol"/>
        </w:rPr>
      </w:pPr>
      <w:r>
        <w:rPr>
          <w:rFonts w:eastAsia="Arial"/>
        </w:rPr>
        <w:t>The impact of deprivation has been questioned and all the weightings will need to be reviewed.</w:t>
      </w:r>
    </w:p>
    <w:p w14:paraId="17147F04" w14:textId="77777777" w:rsidR="00E25BFF" w:rsidRDefault="00E25BFF" w:rsidP="0019483B">
      <w:pPr>
        <w:spacing w:line="360" w:lineRule="auto"/>
        <w:rPr>
          <w:rFonts w:ascii="Times New Roman" w:hAnsi="Times New Roman"/>
        </w:rPr>
      </w:pPr>
    </w:p>
    <w:p w14:paraId="6B3602F9" w14:textId="2BAE8614" w:rsidR="00E25BFF" w:rsidRDefault="00E25BFF" w:rsidP="0019483B">
      <w:pPr>
        <w:pStyle w:val="Heading3"/>
        <w:rPr>
          <w:rFonts w:eastAsia="Arial"/>
        </w:rPr>
      </w:pPr>
      <w:r>
        <w:rPr>
          <w:rFonts w:eastAsia="Arial"/>
        </w:rPr>
        <w:t>It is acknowledged that no formula will address the particular characteristics of ‘atypical’ populations hence this guidance.</w:t>
      </w:r>
    </w:p>
    <w:p w14:paraId="615A7FC3" w14:textId="67E43527" w:rsidR="00997C3E" w:rsidRDefault="00997C3E" w:rsidP="0019483B">
      <w:pPr>
        <w:spacing w:line="360" w:lineRule="auto"/>
      </w:pPr>
    </w:p>
    <w:p w14:paraId="12AFBDDA" w14:textId="77777777" w:rsidR="008171B4" w:rsidRPr="00997C3E" w:rsidRDefault="008171B4" w:rsidP="0019483B">
      <w:pPr>
        <w:spacing w:line="360" w:lineRule="auto"/>
      </w:pPr>
    </w:p>
    <w:p w14:paraId="121D0677" w14:textId="77777777" w:rsidR="00E25BFF" w:rsidRDefault="00E25BFF" w:rsidP="0019483B">
      <w:pPr>
        <w:pStyle w:val="Heading2"/>
        <w:rPr>
          <w:rFonts w:eastAsia="Arial"/>
        </w:rPr>
      </w:pPr>
      <w:bookmarkStart w:id="2559" w:name="_Toc95743598"/>
      <w:r>
        <w:rPr>
          <w:rFonts w:eastAsia="Arial"/>
        </w:rPr>
        <w:t>Background to developing this document</w:t>
      </w:r>
      <w:bookmarkEnd w:id="2559"/>
    </w:p>
    <w:p w14:paraId="7E8DCE61" w14:textId="77777777" w:rsidR="00E25BFF" w:rsidRDefault="00E25BFF" w:rsidP="0019483B">
      <w:pPr>
        <w:spacing w:line="360" w:lineRule="auto"/>
        <w:rPr>
          <w:rFonts w:ascii="Times New Roman" w:hAnsi="Times New Roman"/>
        </w:rPr>
      </w:pPr>
    </w:p>
    <w:p w14:paraId="21336690" w14:textId="77777777" w:rsidR="00E25BFF" w:rsidRDefault="00E25BFF" w:rsidP="0019483B">
      <w:pPr>
        <w:pStyle w:val="Heading3"/>
        <w:rPr>
          <w:rFonts w:eastAsia="Arial"/>
        </w:rPr>
      </w:pPr>
      <w:r>
        <w:rPr>
          <w:rFonts w:eastAsia="Arial"/>
        </w:rPr>
        <w:t>A joint workshop between NHS England, the British Medical Association’s (BMA) GPs’ committee, Local Medical Committee (LMC) representatives and NHS Employers was convened in September 2015 to:</w:t>
      </w:r>
    </w:p>
    <w:p w14:paraId="4BF25796" w14:textId="77777777" w:rsidR="00E25BFF" w:rsidRDefault="00E25BFF" w:rsidP="0019483B">
      <w:pPr>
        <w:spacing w:line="360" w:lineRule="auto"/>
        <w:rPr>
          <w:rFonts w:ascii="Times New Roman" w:hAnsi="Times New Roman"/>
        </w:rPr>
      </w:pPr>
    </w:p>
    <w:p w14:paraId="2B16F4F4" w14:textId="77777777" w:rsidR="00E25BFF" w:rsidRDefault="00E25BFF" w:rsidP="0019483B">
      <w:pPr>
        <w:numPr>
          <w:ilvl w:val="0"/>
          <w:numId w:val="9"/>
        </w:numPr>
        <w:tabs>
          <w:tab w:val="left" w:pos="721"/>
        </w:tabs>
        <w:spacing w:line="360" w:lineRule="auto"/>
        <w:ind w:left="721" w:right="60" w:hanging="361"/>
        <w:rPr>
          <w:rFonts w:ascii="Symbol" w:eastAsia="Symbol" w:hAnsi="Symbol"/>
        </w:rPr>
      </w:pPr>
      <w:r>
        <w:rPr>
          <w:rFonts w:eastAsia="Arial"/>
        </w:rPr>
        <w:t>Provide a list of propositions on atypical practices and views on whether these could or could not be reflected in a formula</w:t>
      </w:r>
    </w:p>
    <w:p w14:paraId="2ABFF7DA" w14:textId="77777777" w:rsidR="00E25BFF" w:rsidRDefault="00E25BFF" w:rsidP="0019483B">
      <w:pPr>
        <w:spacing w:line="360" w:lineRule="auto"/>
        <w:rPr>
          <w:rFonts w:ascii="Symbol" w:eastAsia="Symbol" w:hAnsi="Symbol"/>
        </w:rPr>
      </w:pPr>
    </w:p>
    <w:p w14:paraId="21943D6A" w14:textId="77777777" w:rsidR="00E25BFF" w:rsidRDefault="00E25BFF" w:rsidP="0019483B">
      <w:pPr>
        <w:numPr>
          <w:ilvl w:val="0"/>
          <w:numId w:val="9"/>
        </w:numPr>
        <w:tabs>
          <w:tab w:val="left" w:pos="721"/>
        </w:tabs>
        <w:spacing w:line="360" w:lineRule="auto"/>
        <w:ind w:left="721" w:hanging="361"/>
        <w:rPr>
          <w:rFonts w:ascii="Symbol" w:eastAsia="Symbol" w:hAnsi="Symbol"/>
        </w:rPr>
      </w:pPr>
      <w:r>
        <w:rPr>
          <w:rFonts w:eastAsia="Arial"/>
        </w:rPr>
        <w:t>Identify those characteristics that will never be fully met by a formula, and</w:t>
      </w:r>
    </w:p>
    <w:p w14:paraId="4F04CF78" w14:textId="77777777" w:rsidR="00E25BFF" w:rsidRDefault="00E25BFF" w:rsidP="0019483B">
      <w:pPr>
        <w:spacing w:line="360" w:lineRule="auto"/>
        <w:rPr>
          <w:rFonts w:ascii="Symbol" w:eastAsia="Symbol" w:hAnsi="Symbol"/>
        </w:rPr>
      </w:pPr>
    </w:p>
    <w:p w14:paraId="0697FEC5" w14:textId="77777777" w:rsidR="00E25BFF" w:rsidRDefault="00E25BFF" w:rsidP="0019483B">
      <w:pPr>
        <w:numPr>
          <w:ilvl w:val="0"/>
          <w:numId w:val="9"/>
        </w:numPr>
        <w:tabs>
          <w:tab w:val="left" w:pos="721"/>
        </w:tabs>
        <w:spacing w:line="360" w:lineRule="auto"/>
        <w:ind w:left="721" w:right="300" w:hanging="361"/>
        <w:rPr>
          <w:rFonts w:ascii="Symbol" w:eastAsia="Symbol" w:hAnsi="Symbol"/>
        </w:rPr>
      </w:pPr>
      <w:r>
        <w:rPr>
          <w:rFonts w:eastAsia="Arial"/>
        </w:rPr>
        <w:t>Aid a description about the characteristics of a practice where it is likely that some additional support is required due to the practice characteristics not being fully recognised by any formula approach.</w:t>
      </w:r>
    </w:p>
    <w:p w14:paraId="10158CAF" w14:textId="77777777" w:rsidR="00E25BFF" w:rsidRDefault="00E25BFF" w:rsidP="0019483B">
      <w:pPr>
        <w:spacing w:line="360" w:lineRule="auto"/>
        <w:rPr>
          <w:rFonts w:ascii="Times New Roman" w:hAnsi="Times New Roman"/>
        </w:rPr>
      </w:pPr>
    </w:p>
    <w:p w14:paraId="25C2C322" w14:textId="77777777" w:rsidR="00E25BFF" w:rsidRDefault="00E25BFF" w:rsidP="0019483B">
      <w:pPr>
        <w:pStyle w:val="Heading3"/>
        <w:rPr>
          <w:rFonts w:eastAsia="Arial"/>
        </w:rPr>
      </w:pPr>
      <w:r>
        <w:rPr>
          <w:rFonts w:eastAsia="Arial"/>
        </w:rPr>
        <w:t>The information used at that workshop has been used as the basis for this paper focusing on 3 specific cohorts, agreed with the BMA’s GPs’ committee:</w:t>
      </w:r>
    </w:p>
    <w:p w14:paraId="3BC4B39D" w14:textId="77777777" w:rsidR="00E25BFF" w:rsidRDefault="00E25BFF" w:rsidP="0019483B">
      <w:pPr>
        <w:spacing w:line="360" w:lineRule="auto"/>
        <w:rPr>
          <w:rFonts w:ascii="Times New Roman" w:hAnsi="Times New Roman"/>
        </w:rPr>
      </w:pPr>
    </w:p>
    <w:p w14:paraId="042B53B9" w14:textId="77777777" w:rsidR="00E25BFF" w:rsidRDefault="00E25BFF" w:rsidP="0019483B">
      <w:pPr>
        <w:numPr>
          <w:ilvl w:val="0"/>
          <w:numId w:val="10"/>
        </w:numPr>
        <w:tabs>
          <w:tab w:val="left" w:pos="721"/>
        </w:tabs>
        <w:spacing w:line="360" w:lineRule="auto"/>
        <w:ind w:left="721" w:right="100" w:hanging="361"/>
        <w:rPr>
          <w:rFonts w:ascii="Symbol" w:eastAsia="Symbol" w:hAnsi="Symbol"/>
        </w:rPr>
      </w:pPr>
      <w:r>
        <w:rPr>
          <w:rFonts w:eastAsia="Arial"/>
        </w:rPr>
        <w:t>Unavoidably small and isolated (from other practices and other NHS services) with static populations</w:t>
      </w:r>
    </w:p>
    <w:p w14:paraId="0D3790D7" w14:textId="77777777" w:rsidR="00E25BFF" w:rsidRDefault="00E25BFF" w:rsidP="0019483B">
      <w:pPr>
        <w:spacing w:line="360" w:lineRule="auto"/>
        <w:rPr>
          <w:rFonts w:ascii="Symbol" w:eastAsia="Symbol" w:hAnsi="Symbol"/>
        </w:rPr>
      </w:pPr>
    </w:p>
    <w:p w14:paraId="27BC372A" w14:textId="77777777" w:rsidR="00E25BFF" w:rsidRDefault="00E25BFF" w:rsidP="0019483B">
      <w:pPr>
        <w:numPr>
          <w:ilvl w:val="0"/>
          <w:numId w:val="10"/>
        </w:numPr>
        <w:tabs>
          <w:tab w:val="left" w:pos="721"/>
        </w:tabs>
        <w:spacing w:line="360" w:lineRule="auto"/>
        <w:ind w:left="721" w:hanging="361"/>
        <w:rPr>
          <w:rFonts w:ascii="Symbol" w:eastAsia="Symbol" w:hAnsi="Symbol"/>
        </w:rPr>
      </w:pPr>
      <w:r>
        <w:rPr>
          <w:rFonts w:eastAsia="Arial"/>
        </w:rPr>
        <w:t>University practices</w:t>
      </w:r>
    </w:p>
    <w:p w14:paraId="7A9CFC6D" w14:textId="77777777" w:rsidR="00E25BFF" w:rsidRDefault="00E25BFF" w:rsidP="0019483B">
      <w:pPr>
        <w:spacing w:line="360" w:lineRule="auto"/>
        <w:rPr>
          <w:rFonts w:ascii="Symbol" w:eastAsia="Symbol" w:hAnsi="Symbol"/>
        </w:rPr>
      </w:pPr>
    </w:p>
    <w:p w14:paraId="738CEE4F" w14:textId="336EE19F" w:rsidR="00E25BFF" w:rsidRDefault="00E25BFF" w:rsidP="0019483B">
      <w:pPr>
        <w:numPr>
          <w:ilvl w:val="0"/>
          <w:numId w:val="10"/>
        </w:numPr>
        <w:tabs>
          <w:tab w:val="left" w:pos="721"/>
        </w:tabs>
        <w:spacing w:line="360" w:lineRule="auto"/>
        <w:ind w:left="721" w:right="300" w:hanging="361"/>
        <w:rPr>
          <w:rFonts w:ascii="Symbol" w:eastAsia="Symbol" w:hAnsi="Symbol"/>
        </w:rPr>
      </w:pPr>
      <w:r>
        <w:rPr>
          <w:rFonts w:eastAsia="Arial"/>
        </w:rPr>
        <w:t>Practices with a significantly high ratio of patients who do not speak English including those designed to address the needs of migrants (</w:t>
      </w:r>
      <w:r w:rsidR="001F7167">
        <w:rPr>
          <w:rFonts w:eastAsia="Arial"/>
        </w:rPr>
        <w:t>a</w:t>
      </w:r>
      <w:r>
        <w:rPr>
          <w:rFonts w:eastAsia="Arial"/>
        </w:rPr>
        <w:t>sylum seekers are excluded from the scope of this work as it is recognised this group requires a more specialised service).</w:t>
      </w:r>
    </w:p>
    <w:p w14:paraId="009F51B3" w14:textId="77777777" w:rsidR="00E25BFF" w:rsidRDefault="00E25BFF" w:rsidP="0019483B">
      <w:pPr>
        <w:spacing w:line="360" w:lineRule="auto"/>
        <w:rPr>
          <w:rFonts w:ascii="Times New Roman" w:hAnsi="Times New Roman"/>
        </w:rPr>
      </w:pPr>
    </w:p>
    <w:p w14:paraId="7B0E0362" w14:textId="77777777" w:rsidR="00E25BFF" w:rsidRDefault="00E25BFF" w:rsidP="0019483B">
      <w:pPr>
        <w:pStyle w:val="Heading3"/>
        <w:rPr>
          <w:rFonts w:eastAsia="Arial"/>
        </w:rPr>
      </w:pPr>
      <w:r>
        <w:rPr>
          <w:rFonts w:eastAsia="Arial"/>
        </w:rPr>
        <w:t>These populations were chosen as priority areas because:</w:t>
      </w:r>
    </w:p>
    <w:p w14:paraId="63A4D21E" w14:textId="77777777" w:rsidR="00E25BFF" w:rsidRDefault="00E25BFF" w:rsidP="0019483B">
      <w:pPr>
        <w:spacing w:line="360" w:lineRule="auto"/>
        <w:rPr>
          <w:rFonts w:ascii="Times New Roman" w:hAnsi="Times New Roman"/>
        </w:rPr>
      </w:pPr>
    </w:p>
    <w:p w14:paraId="451DB685" w14:textId="77777777" w:rsidR="00E25BFF" w:rsidRDefault="00E25BFF" w:rsidP="0019483B">
      <w:pPr>
        <w:numPr>
          <w:ilvl w:val="0"/>
          <w:numId w:val="11"/>
        </w:numPr>
        <w:tabs>
          <w:tab w:val="left" w:pos="721"/>
        </w:tabs>
        <w:spacing w:line="360" w:lineRule="auto"/>
        <w:ind w:left="721" w:hanging="361"/>
        <w:rPr>
          <w:rFonts w:ascii="Symbol" w:eastAsia="Symbol" w:hAnsi="Symbol"/>
        </w:rPr>
      </w:pPr>
      <w:r>
        <w:rPr>
          <w:rFonts w:eastAsia="Arial"/>
        </w:rPr>
        <w:t>Small and isolated practices have particular challenges when meeting demand from dispersed rural communities. Opportunities to develop primary care working ‘at scale’ are more limited and population growth is slower, impacting on the available primary care budget</w:t>
      </w:r>
    </w:p>
    <w:p w14:paraId="1FEFDC31" w14:textId="77777777" w:rsidR="00E25BFF" w:rsidRDefault="00E25BFF" w:rsidP="0019483B">
      <w:pPr>
        <w:spacing w:line="360" w:lineRule="auto"/>
        <w:rPr>
          <w:rFonts w:ascii="Symbol" w:eastAsia="Symbol" w:hAnsi="Symbol"/>
        </w:rPr>
      </w:pPr>
    </w:p>
    <w:p w14:paraId="4FDF0F67" w14:textId="77777777" w:rsidR="00E25BFF" w:rsidRDefault="00E25BFF" w:rsidP="0019483B">
      <w:pPr>
        <w:numPr>
          <w:ilvl w:val="0"/>
          <w:numId w:val="11"/>
        </w:numPr>
        <w:tabs>
          <w:tab w:val="left" w:pos="721"/>
        </w:tabs>
        <w:spacing w:line="360" w:lineRule="auto"/>
        <w:ind w:left="721" w:right="300" w:hanging="361"/>
        <w:rPr>
          <w:rFonts w:ascii="Symbol" w:eastAsia="Symbol" w:hAnsi="Symbol"/>
        </w:rPr>
      </w:pPr>
      <w:r>
        <w:rPr>
          <w:rFonts w:eastAsia="Arial"/>
        </w:rPr>
        <w:t>Anecdotal evidence tells us that university practices (in particular campus-based services) have a population that consults general practice more than expected for their age and health (e.g. in terms of mental health and sexual health issues)</w:t>
      </w:r>
    </w:p>
    <w:p w14:paraId="3B5EC6D3" w14:textId="77777777" w:rsidR="00E25BFF" w:rsidRDefault="00E25BFF" w:rsidP="0019483B">
      <w:pPr>
        <w:spacing w:line="360" w:lineRule="auto"/>
        <w:rPr>
          <w:rFonts w:ascii="Symbol" w:eastAsia="Symbol" w:hAnsi="Symbol"/>
        </w:rPr>
      </w:pPr>
    </w:p>
    <w:p w14:paraId="3DFE4F6A" w14:textId="1B3EE920" w:rsidR="00E25BFF" w:rsidRPr="00E25BFF" w:rsidRDefault="00E25BFF" w:rsidP="0019483B">
      <w:pPr>
        <w:pStyle w:val="ListParagraph"/>
        <w:numPr>
          <w:ilvl w:val="0"/>
          <w:numId w:val="28"/>
        </w:numPr>
        <w:tabs>
          <w:tab w:val="left" w:pos="721"/>
        </w:tabs>
        <w:spacing w:line="360" w:lineRule="auto"/>
        <w:ind w:right="20"/>
        <w:rPr>
          <w:rFonts w:eastAsia="Arial"/>
        </w:rPr>
      </w:pPr>
      <w:r w:rsidRPr="00E25BFF">
        <w:rPr>
          <w:rFonts w:eastAsia="Arial"/>
        </w:rPr>
        <w:t>Practices supporting a significant number of patients that do not speak English have operational complications associated with communication problems (this also links to a separate NHS England work stream on</w:t>
      </w:r>
      <w:r w:rsidR="007A370D">
        <w:rPr>
          <w:rFonts w:eastAsia="Arial"/>
        </w:rPr>
        <w:t xml:space="preserve"> translation and interpretation)</w:t>
      </w:r>
      <w:r w:rsidRPr="00E25BFF">
        <w:rPr>
          <w:rFonts w:eastAsia="Arial"/>
        </w:rPr>
        <w:t>.</w:t>
      </w:r>
    </w:p>
    <w:p w14:paraId="60396947" w14:textId="77777777" w:rsidR="00E25BFF" w:rsidRDefault="00E25BFF" w:rsidP="0019483B">
      <w:pPr>
        <w:spacing w:line="360" w:lineRule="auto"/>
        <w:rPr>
          <w:rFonts w:ascii="Symbol" w:eastAsia="Symbol" w:hAnsi="Symbol"/>
        </w:rPr>
      </w:pPr>
    </w:p>
    <w:p w14:paraId="0428692F" w14:textId="6F8F0B80" w:rsidR="00FF7B03" w:rsidRDefault="00E25BFF" w:rsidP="0019483B">
      <w:pPr>
        <w:pStyle w:val="Heading3"/>
        <w:rPr>
          <w:rFonts w:eastAsia="Arial"/>
        </w:rPr>
      </w:pPr>
      <w:r w:rsidRPr="00FF7B03">
        <w:rPr>
          <w:rFonts w:eastAsia="Arial"/>
        </w:rPr>
        <w:t>A working group was convened in Spring 2016, comprising NHS England and</w:t>
      </w:r>
      <w:r w:rsidR="004150AD">
        <w:rPr>
          <w:rFonts w:eastAsia="Arial"/>
        </w:rPr>
        <w:t xml:space="preserve">local </w:t>
      </w:r>
      <w:r w:rsidRPr="00FF7B03">
        <w:rPr>
          <w:rFonts w:eastAsia="Arial"/>
        </w:rPr>
        <w:t>commissioners, LMC representatives, a BMA</w:t>
      </w:r>
      <w:r w:rsidR="00FF7B03" w:rsidRPr="00FF7B03">
        <w:rPr>
          <w:rFonts w:eastAsia="Arial"/>
        </w:rPr>
        <w:t xml:space="preserve"> </w:t>
      </w:r>
      <w:r w:rsidR="00FF7B03">
        <w:rPr>
          <w:rFonts w:eastAsia="Arial"/>
        </w:rPr>
        <w:t>representative and a Royal College of General Practitioners (RCGP) representative.</w:t>
      </w:r>
    </w:p>
    <w:p w14:paraId="4F35F856" w14:textId="0C929AAA" w:rsidR="00E25BFF" w:rsidRPr="00782D1D" w:rsidRDefault="00FF7B03" w:rsidP="0019483B">
      <w:pPr>
        <w:pStyle w:val="Heading3"/>
        <w:rPr>
          <w:rFonts w:eastAsia="Arial"/>
        </w:rPr>
      </w:pPr>
      <w:r>
        <w:rPr>
          <w:rFonts w:eastAsia="Arial"/>
        </w:rPr>
        <w:t>The working group was chaired and administered by NHS England</w:t>
      </w:r>
      <w:bookmarkStart w:id="2560" w:name="page9"/>
      <w:bookmarkEnd w:id="2560"/>
      <w:r w:rsidR="000429E0">
        <w:rPr>
          <w:rFonts w:eastAsia="Arial"/>
        </w:rPr>
        <w:t>.</w:t>
      </w:r>
    </w:p>
    <w:p w14:paraId="6484DE12" w14:textId="51157829" w:rsidR="00E25BFF" w:rsidRDefault="00E25BFF" w:rsidP="00E25BFF">
      <w:pPr>
        <w:spacing w:line="394" w:lineRule="exact"/>
        <w:rPr>
          <w:rFonts w:ascii="Times New Roman" w:hAnsi="Times New Roman"/>
        </w:rPr>
      </w:pPr>
    </w:p>
    <w:p w14:paraId="3FAF9396" w14:textId="44CCE4C1" w:rsidR="00997C3E" w:rsidRDefault="00997C3E" w:rsidP="00E25BFF">
      <w:pPr>
        <w:spacing w:line="394" w:lineRule="exact"/>
        <w:rPr>
          <w:rFonts w:ascii="Times New Roman" w:hAnsi="Times New Roman"/>
        </w:rPr>
      </w:pPr>
    </w:p>
    <w:p w14:paraId="0370ACB0" w14:textId="0479382C" w:rsidR="00997C3E" w:rsidRDefault="00997C3E" w:rsidP="00E25BFF">
      <w:pPr>
        <w:spacing w:line="394" w:lineRule="exact"/>
        <w:rPr>
          <w:rFonts w:ascii="Times New Roman" w:hAnsi="Times New Roman"/>
        </w:rPr>
      </w:pPr>
    </w:p>
    <w:p w14:paraId="396C997F" w14:textId="77777777" w:rsidR="001545D4" w:rsidRDefault="001545D4" w:rsidP="00E25BFF">
      <w:pPr>
        <w:spacing w:line="394" w:lineRule="exact"/>
        <w:rPr>
          <w:rFonts w:ascii="Times New Roman" w:hAnsi="Times New Roman"/>
        </w:rPr>
      </w:pPr>
    </w:p>
    <w:p w14:paraId="2385AADD" w14:textId="77777777" w:rsidR="008171B4" w:rsidRDefault="008171B4" w:rsidP="00E25BFF">
      <w:pPr>
        <w:spacing w:line="394" w:lineRule="exact"/>
        <w:rPr>
          <w:rFonts w:ascii="Times New Roman" w:hAnsi="Times New Roman"/>
        </w:rPr>
      </w:pPr>
    </w:p>
    <w:p w14:paraId="584848C8" w14:textId="77777777" w:rsidR="00E25BFF" w:rsidRDefault="00E25BFF" w:rsidP="00E25BFF">
      <w:pPr>
        <w:pStyle w:val="Heading2"/>
        <w:rPr>
          <w:rFonts w:eastAsia="Arial"/>
        </w:rPr>
      </w:pPr>
      <w:bookmarkStart w:id="2561" w:name="_Toc95743599"/>
      <w:r>
        <w:rPr>
          <w:rFonts w:eastAsia="Arial"/>
        </w:rPr>
        <w:t>Identifying ‘Atypical’ populations locally</w:t>
      </w:r>
      <w:bookmarkEnd w:id="2561"/>
    </w:p>
    <w:p w14:paraId="681CFE3D" w14:textId="77777777" w:rsidR="00E25BFF" w:rsidRDefault="00E25BFF" w:rsidP="00E25BFF">
      <w:pPr>
        <w:spacing w:line="288" w:lineRule="exact"/>
        <w:rPr>
          <w:rFonts w:ascii="Times New Roman" w:hAnsi="Times New Roman"/>
        </w:rPr>
      </w:pPr>
    </w:p>
    <w:p w14:paraId="3B526558" w14:textId="77777777" w:rsidR="00E25BFF" w:rsidRDefault="00E25BFF" w:rsidP="00FF7B03">
      <w:pPr>
        <w:pStyle w:val="Heading3"/>
        <w:rPr>
          <w:rFonts w:eastAsia="Arial"/>
        </w:rPr>
      </w:pPr>
      <w:r w:rsidRPr="00FF7B03">
        <w:rPr>
          <w:rFonts w:eastAsia="Arial"/>
        </w:rPr>
        <w:t>Because of the degree of variation nationally in terms of health and social care economies and patient expectation, demand and behaviour, there is no one method of identifying which populations could be considered as atypical. There are however a number of examples of how commissioners have scoped the issues and what data sources they have used (an example from Devon can be found on The Learning</w:t>
      </w:r>
      <w:r>
        <w:rPr>
          <w:rFonts w:eastAsia="Arial"/>
        </w:rPr>
        <w:t xml:space="preserve"> Environment’s case studies pin board).</w:t>
      </w:r>
    </w:p>
    <w:p w14:paraId="6306AC1F" w14:textId="77777777" w:rsidR="00E25BFF" w:rsidRDefault="00E25BFF" w:rsidP="00E25BFF">
      <w:pPr>
        <w:spacing w:line="398" w:lineRule="exact"/>
        <w:rPr>
          <w:rFonts w:ascii="Times New Roman" w:hAnsi="Times New Roman"/>
        </w:rPr>
      </w:pPr>
    </w:p>
    <w:p w14:paraId="12060239" w14:textId="77777777" w:rsidR="00E25BFF" w:rsidRDefault="00E25BFF" w:rsidP="00E25BFF">
      <w:pPr>
        <w:pStyle w:val="Heading2"/>
        <w:rPr>
          <w:rFonts w:eastAsia="Arial"/>
        </w:rPr>
      </w:pPr>
      <w:bookmarkStart w:id="2562" w:name="_Toc95743600"/>
      <w:r>
        <w:rPr>
          <w:rFonts w:eastAsia="Arial"/>
        </w:rPr>
        <w:t>Unavoidably small and isolated</w:t>
      </w:r>
      <w:bookmarkEnd w:id="2562"/>
    </w:p>
    <w:p w14:paraId="0B8FF9D6" w14:textId="77777777" w:rsidR="00E25BFF" w:rsidRDefault="00E25BFF" w:rsidP="00E25BFF">
      <w:pPr>
        <w:spacing w:line="277" w:lineRule="exact"/>
        <w:rPr>
          <w:rFonts w:ascii="Times New Roman" w:hAnsi="Times New Roman"/>
        </w:rPr>
      </w:pPr>
    </w:p>
    <w:p w14:paraId="152DB0FB" w14:textId="171C99FB" w:rsidR="00E25BFF" w:rsidRPr="001545D4" w:rsidRDefault="00E25BFF" w:rsidP="001545D4">
      <w:pPr>
        <w:pStyle w:val="Heading3"/>
        <w:rPr>
          <w:rFonts w:ascii="Times New Roman" w:hAnsi="Times New Roman"/>
        </w:rPr>
      </w:pPr>
      <w:r>
        <w:rPr>
          <w:rFonts w:eastAsia="Arial"/>
        </w:rPr>
        <w:t>Description of the Issues</w:t>
      </w:r>
    </w:p>
    <w:p w14:paraId="1452CF7D" w14:textId="284D9046" w:rsidR="001545D4" w:rsidRPr="001545D4" w:rsidRDefault="00E25BFF" w:rsidP="001545D4">
      <w:pPr>
        <w:pStyle w:val="ListParagraph"/>
        <w:numPr>
          <w:ilvl w:val="0"/>
          <w:numId w:val="28"/>
        </w:numPr>
        <w:tabs>
          <w:tab w:val="left" w:pos="721"/>
        </w:tabs>
        <w:spacing w:before="120" w:after="120" w:line="360" w:lineRule="auto"/>
        <w:ind w:right="200"/>
        <w:rPr>
          <w:rFonts w:ascii="Symbol" w:eastAsia="Symbol" w:hAnsi="Symbol"/>
          <w:szCs w:val="24"/>
        </w:rPr>
      </w:pPr>
      <w:r w:rsidRPr="001545D4">
        <w:rPr>
          <w:rFonts w:eastAsia="Arial"/>
          <w:szCs w:val="24"/>
        </w:rPr>
        <w:t>Practices serving small but dispersed populations have limited ways in which to influence their income or costs yet provide a vital primary care service</w:t>
      </w:r>
    </w:p>
    <w:p w14:paraId="3F61AE61" w14:textId="5C622F50" w:rsidR="001545D4" w:rsidRPr="001545D4" w:rsidRDefault="00E25BFF" w:rsidP="001545D4">
      <w:pPr>
        <w:pStyle w:val="ListParagraph"/>
        <w:numPr>
          <w:ilvl w:val="0"/>
          <w:numId w:val="28"/>
        </w:numPr>
        <w:tabs>
          <w:tab w:val="left" w:pos="721"/>
        </w:tabs>
        <w:spacing w:before="120" w:after="120" w:line="360" w:lineRule="auto"/>
        <w:ind w:right="80"/>
        <w:rPr>
          <w:rFonts w:ascii="Symbol" w:eastAsia="Symbol" w:hAnsi="Symbol"/>
        </w:rPr>
      </w:pPr>
      <w:r w:rsidRPr="00FF7B03">
        <w:rPr>
          <w:rFonts w:eastAsia="Arial"/>
        </w:rPr>
        <w:t>Their funding is governed by their registered list (global sum / QOF payments) which, by the nature of their geography, cannot be expanded and may compromise the ability to deliver quality care and exacerbate workload pressures</w:t>
      </w:r>
    </w:p>
    <w:p w14:paraId="27EEFE16" w14:textId="56FDFBD1" w:rsidR="00E25BFF" w:rsidRPr="001545D4" w:rsidRDefault="00E25BFF" w:rsidP="001545D4">
      <w:pPr>
        <w:pStyle w:val="ListParagraph"/>
        <w:numPr>
          <w:ilvl w:val="0"/>
          <w:numId w:val="28"/>
        </w:numPr>
        <w:tabs>
          <w:tab w:val="left" w:pos="721"/>
        </w:tabs>
        <w:spacing w:before="120" w:after="120" w:line="360" w:lineRule="auto"/>
        <w:ind w:right="180"/>
        <w:rPr>
          <w:rFonts w:ascii="Symbol" w:eastAsia="Symbol" w:hAnsi="Symbol"/>
        </w:rPr>
      </w:pPr>
      <w:r w:rsidRPr="00FF7B03">
        <w:rPr>
          <w:rFonts w:eastAsia="Arial"/>
        </w:rPr>
        <w:t>Because of their location they are often serviced by small B class roads, potentially making travel difficult and time consuming for patients and service providers</w:t>
      </w:r>
    </w:p>
    <w:p w14:paraId="20EABC20" w14:textId="00BBE8FF" w:rsidR="00E25BFF" w:rsidRPr="001545D4" w:rsidRDefault="00E25BFF" w:rsidP="001545D4">
      <w:pPr>
        <w:pStyle w:val="ListParagraph"/>
        <w:numPr>
          <w:ilvl w:val="0"/>
          <w:numId w:val="28"/>
        </w:numPr>
        <w:tabs>
          <w:tab w:val="left" w:pos="721"/>
        </w:tabs>
        <w:spacing w:before="120" w:after="120" w:line="360" w:lineRule="auto"/>
        <w:ind w:right="160"/>
        <w:rPr>
          <w:rFonts w:ascii="Symbol" w:eastAsia="Symbol" w:hAnsi="Symbol"/>
        </w:rPr>
      </w:pPr>
      <w:r w:rsidRPr="00FF7B03">
        <w:rPr>
          <w:rFonts w:eastAsia="Arial"/>
        </w:rPr>
        <w:t>Many such communities do not have easy access to a pharmacy or an A&amp;E Department, ambulance access and response times can be longer than in an urban environment and community services are diluted</w:t>
      </w:r>
    </w:p>
    <w:p w14:paraId="683FE33A" w14:textId="77777777" w:rsidR="00E25BFF" w:rsidRPr="00FF7B03" w:rsidRDefault="00E25BFF" w:rsidP="001545D4">
      <w:pPr>
        <w:pStyle w:val="ListParagraph"/>
        <w:numPr>
          <w:ilvl w:val="0"/>
          <w:numId w:val="28"/>
        </w:numPr>
        <w:tabs>
          <w:tab w:val="left" w:pos="721"/>
        </w:tabs>
        <w:spacing w:before="120" w:after="120" w:line="360" w:lineRule="auto"/>
        <w:ind w:right="40"/>
        <w:rPr>
          <w:rFonts w:ascii="Symbol" w:eastAsia="Symbol" w:hAnsi="Symbol"/>
        </w:rPr>
      </w:pPr>
      <w:r w:rsidRPr="00FF7B03">
        <w:rPr>
          <w:rFonts w:eastAsia="Arial"/>
        </w:rPr>
        <w:t>Public transport makes it difficult for patients to attend outpatient departments and other health facilities. As a result, some patients tend to rely on practices to provide a wider range of services than is normally regarded as ‘core’ general practice and staff require regular training to maintain their skills for providing first response in the absence of A&amp;E. It may be hard to measure this effect but it can be summarised as a greater independence by patients from hospital care and a higher level of intervention and support from the practice</w:t>
      </w:r>
    </w:p>
    <w:p w14:paraId="75FD0C79" w14:textId="77777777" w:rsidR="00E25BFF" w:rsidRDefault="00E25BFF" w:rsidP="001545D4">
      <w:pPr>
        <w:spacing w:before="120" w:after="120" w:line="360" w:lineRule="auto"/>
        <w:rPr>
          <w:rFonts w:ascii="Symbol" w:eastAsia="Symbol" w:hAnsi="Symbol"/>
        </w:rPr>
      </w:pPr>
    </w:p>
    <w:p w14:paraId="7A836478" w14:textId="1D68C03A" w:rsidR="00E25BFF" w:rsidRPr="001545D4" w:rsidRDefault="00E25BFF" w:rsidP="001545D4">
      <w:pPr>
        <w:pStyle w:val="ListParagraph"/>
        <w:numPr>
          <w:ilvl w:val="0"/>
          <w:numId w:val="28"/>
        </w:numPr>
        <w:tabs>
          <w:tab w:val="left" w:pos="721"/>
        </w:tabs>
        <w:spacing w:before="120" w:after="120" w:line="360" w:lineRule="auto"/>
        <w:ind w:right="220"/>
        <w:rPr>
          <w:rFonts w:ascii="Symbol" w:eastAsia="Symbol" w:hAnsi="Symbol"/>
        </w:rPr>
      </w:pPr>
      <w:r w:rsidRPr="00FF7B03">
        <w:rPr>
          <w:rFonts w:eastAsia="Arial"/>
        </w:rPr>
        <w:t>Engagement of GP locums or recruitment of successors to a contract can be problematic because of geographic isolation, income and potential workload pressures. It is recognised that country or island life is not everyone’s preference</w:t>
      </w:r>
    </w:p>
    <w:p w14:paraId="5E24A5FD" w14:textId="376EDFAB" w:rsidR="00E25BFF" w:rsidRPr="001545D4" w:rsidRDefault="00E25BFF" w:rsidP="001545D4">
      <w:pPr>
        <w:pStyle w:val="ListParagraph"/>
        <w:numPr>
          <w:ilvl w:val="0"/>
          <w:numId w:val="28"/>
        </w:numPr>
        <w:tabs>
          <w:tab w:val="left" w:pos="721"/>
        </w:tabs>
        <w:spacing w:before="120" w:after="120" w:line="360" w:lineRule="auto"/>
        <w:ind w:right="180"/>
        <w:rPr>
          <w:rFonts w:ascii="Symbol" w:eastAsia="Symbol" w:hAnsi="Symbol"/>
        </w:rPr>
      </w:pPr>
      <w:r w:rsidRPr="00FF7B03">
        <w:rPr>
          <w:rFonts w:eastAsia="Arial"/>
        </w:rPr>
        <w:t>Housing costs associated with ‘desirable’ or expensive country or island locations can also negatively impact on recruitment of practice administrative staff</w:t>
      </w:r>
    </w:p>
    <w:p w14:paraId="3F90F274" w14:textId="38FED497" w:rsidR="00E25BFF" w:rsidRPr="001545D4" w:rsidRDefault="00E25BFF" w:rsidP="001545D4">
      <w:pPr>
        <w:pStyle w:val="ListParagraph"/>
        <w:numPr>
          <w:ilvl w:val="0"/>
          <w:numId w:val="28"/>
        </w:numPr>
        <w:tabs>
          <w:tab w:val="left" w:pos="721"/>
        </w:tabs>
        <w:spacing w:before="120" w:after="120" w:line="360" w:lineRule="auto"/>
        <w:ind w:right="540"/>
        <w:rPr>
          <w:rFonts w:ascii="Symbol" w:eastAsia="Symbol" w:hAnsi="Symbol"/>
          <w:szCs w:val="24"/>
        </w:rPr>
      </w:pPr>
      <w:r w:rsidRPr="001545D4">
        <w:rPr>
          <w:rFonts w:eastAsia="Arial"/>
          <w:szCs w:val="24"/>
        </w:rPr>
        <w:t>Some rural locations attract itinerant workers who may not speak English, have no accessible medical record and consultations take longer.</w:t>
      </w:r>
      <w:bookmarkStart w:id="2563" w:name="page10"/>
      <w:bookmarkEnd w:id="2563"/>
    </w:p>
    <w:p w14:paraId="36B2290D" w14:textId="3DA40F74" w:rsidR="00E25BFF" w:rsidRDefault="00E25BFF" w:rsidP="001545D4">
      <w:pPr>
        <w:pStyle w:val="Heading3"/>
        <w:rPr>
          <w:rFonts w:eastAsia="Arial"/>
        </w:rPr>
      </w:pPr>
      <w:r>
        <w:rPr>
          <w:rFonts w:eastAsia="Arial"/>
        </w:rPr>
        <w:t>Information / data considerations</w:t>
      </w:r>
    </w:p>
    <w:p w14:paraId="344AA377" w14:textId="77777777" w:rsidR="00E25BFF" w:rsidRDefault="00E25BFF" w:rsidP="001545D4">
      <w:pPr>
        <w:spacing w:line="360" w:lineRule="auto"/>
        <w:rPr>
          <w:rFonts w:ascii="Times New Roman" w:hAnsi="Times New Roman"/>
        </w:rPr>
      </w:pPr>
    </w:p>
    <w:p w14:paraId="2E6DE9F8" w14:textId="77777777" w:rsidR="00E25BFF" w:rsidRDefault="00E25BFF" w:rsidP="001545D4">
      <w:pPr>
        <w:pStyle w:val="Heading3"/>
        <w:rPr>
          <w:rFonts w:eastAsia="Arial"/>
        </w:rPr>
      </w:pPr>
      <w:r w:rsidRPr="00FF7B03">
        <w:rPr>
          <w:rFonts w:eastAsia="Arial"/>
        </w:rPr>
        <w:t>Here are some data sources or information that you may wish to consider when</w:t>
      </w:r>
      <w:r>
        <w:rPr>
          <w:rFonts w:eastAsia="Arial"/>
        </w:rPr>
        <w:t xml:space="preserve"> trying to define if a population is atypical:</w:t>
      </w:r>
    </w:p>
    <w:p w14:paraId="49B58B7C" w14:textId="77777777" w:rsidR="00E25BFF" w:rsidRDefault="00E25BFF" w:rsidP="001545D4">
      <w:pPr>
        <w:spacing w:line="360" w:lineRule="auto"/>
        <w:rPr>
          <w:rFonts w:ascii="Times New Roman" w:hAnsi="Times New Roman"/>
        </w:rPr>
      </w:pPr>
    </w:p>
    <w:p w14:paraId="54B4FD52" w14:textId="77853317" w:rsidR="00E25BFF" w:rsidRPr="00234752" w:rsidRDefault="00E25BFF" w:rsidP="001545D4">
      <w:pPr>
        <w:pStyle w:val="ListParagraph"/>
        <w:numPr>
          <w:ilvl w:val="0"/>
          <w:numId w:val="28"/>
        </w:numPr>
        <w:tabs>
          <w:tab w:val="left" w:pos="721"/>
        </w:tabs>
        <w:spacing w:line="360" w:lineRule="auto"/>
        <w:ind w:right="180"/>
        <w:rPr>
          <w:rFonts w:eastAsia="Arial"/>
          <w:szCs w:val="24"/>
        </w:rPr>
      </w:pPr>
      <w:r w:rsidRPr="00234752">
        <w:rPr>
          <w:rFonts w:eastAsia="Arial"/>
          <w:szCs w:val="24"/>
        </w:rPr>
        <w:t xml:space="preserve">The average population density and </w:t>
      </w:r>
      <w:r w:rsidR="000429E0">
        <w:rPr>
          <w:rFonts w:eastAsia="Arial"/>
          <w:szCs w:val="24"/>
        </w:rPr>
        <w:t xml:space="preserve">the </w:t>
      </w:r>
      <w:r w:rsidRPr="00234752">
        <w:rPr>
          <w:rFonts w:eastAsia="Arial"/>
          <w:szCs w:val="24"/>
        </w:rPr>
        <w:t>average distance from patient residences are both available for individual practices and, when considered in conjunction, may produce some useful insights. It should be noted that population density is measured in persons per hectare (calculated from the population density of the relevant electoral ward) and distance to main surgery is measured in 100 metre units (as the average distance from patient’s home to main surgery location). It may be useful to consider practices that rank in the top percentiles for both indicators, to help in reaching a judgement about relative rurality and isolation. These data are available as an extract from the Exeter system</w:t>
      </w:r>
    </w:p>
    <w:p w14:paraId="138A2095" w14:textId="6A08D35B" w:rsidR="00E25BFF" w:rsidRPr="00234752" w:rsidRDefault="00E25BFF" w:rsidP="001545D4">
      <w:pPr>
        <w:pStyle w:val="ListParagraph"/>
        <w:numPr>
          <w:ilvl w:val="0"/>
          <w:numId w:val="28"/>
        </w:numPr>
        <w:tabs>
          <w:tab w:val="left" w:pos="721"/>
        </w:tabs>
        <w:spacing w:line="360" w:lineRule="auto"/>
        <w:ind w:right="180"/>
        <w:rPr>
          <w:rFonts w:eastAsia="Arial"/>
          <w:szCs w:val="24"/>
        </w:rPr>
      </w:pPr>
      <w:r w:rsidRPr="00234752">
        <w:rPr>
          <w:rFonts w:eastAsia="Arial"/>
          <w:szCs w:val="24"/>
        </w:rPr>
        <w:t>Ambulance response times (available from the local Ambulance Trust on request by the lead commission</w:t>
      </w:r>
      <w:r w:rsidR="0027182B">
        <w:rPr>
          <w:rFonts w:eastAsia="Arial"/>
          <w:szCs w:val="24"/>
        </w:rPr>
        <w:t>er</w:t>
      </w:r>
      <w:r w:rsidR="00376682">
        <w:rPr>
          <w:rFonts w:eastAsia="Arial"/>
          <w:szCs w:val="24"/>
        </w:rPr>
        <w:t xml:space="preserve"> </w:t>
      </w:r>
      <w:r w:rsidR="00B83042">
        <w:rPr>
          <w:rFonts w:eastAsia="Arial"/>
          <w:szCs w:val="24"/>
        </w:rPr>
        <w:t>CCG/ICB</w:t>
      </w:r>
      <w:r w:rsidRPr="00234752">
        <w:rPr>
          <w:rFonts w:eastAsia="Arial"/>
          <w:szCs w:val="24"/>
        </w:rPr>
        <w:t xml:space="preserve"> in your area)</w:t>
      </w:r>
    </w:p>
    <w:p w14:paraId="304B6CCC" w14:textId="14862437" w:rsidR="000429E0" w:rsidRDefault="00E25BFF" w:rsidP="001545D4">
      <w:pPr>
        <w:pStyle w:val="ListParagraph"/>
        <w:numPr>
          <w:ilvl w:val="0"/>
          <w:numId w:val="28"/>
        </w:numPr>
        <w:tabs>
          <w:tab w:val="left" w:pos="721"/>
        </w:tabs>
        <w:spacing w:line="360" w:lineRule="auto"/>
        <w:ind w:right="180"/>
        <w:rPr>
          <w:rFonts w:eastAsia="Arial"/>
          <w:szCs w:val="24"/>
        </w:rPr>
      </w:pPr>
      <w:r w:rsidRPr="00234752">
        <w:rPr>
          <w:rFonts w:eastAsia="Arial"/>
          <w:szCs w:val="24"/>
        </w:rPr>
        <w:t>Current Service profile: does the practice provide additional or extra services that are not commonly available in other practices and not additionally funded. Could these be captured in a bespoke enhanced service, set of KPIs or added formally into a PMS agreement? Examples may relate to the absence of locally accessible health and social care services</w:t>
      </w:r>
      <w:r w:rsidR="000429E0">
        <w:rPr>
          <w:rFonts w:eastAsia="Arial"/>
          <w:szCs w:val="24"/>
        </w:rPr>
        <w:t>.</w:t>
      </w:r>
    </w:p>
    <w:p w14:paraId="79281E67" w14:textId="77777777" w:rsidR="000429E0" w:rsidRPr="000429E0" w:rsidRDefault="000429E0" w:rsidP="00BD047B">
      <w:pPr>
        <w:pStyle w:val="ListParagraph"/>
        <w:tabs>
          <w:tab w:val="left" w:pos="721"/>
        </w:tabs>
        <w:spacing w:line="276" w:lineRule="auto"/>
        <w:ind w:right="180"/>
        <w:rPr>
          <w:rFonts w:eastAsia="Arial"/>
          <w:szCs w:val="24"/>
        </w:rPr>
      </w:pPr>
    </w:p>
    <w:p w14:paraId="7868533B" w14:textId="255A0CE3" w:rsidR="00E25BFF" w:rsidRPr="00234752" w:rsidRDefault="00E25BFF" w:rsidP="00825050">
      <w:pPr>
        <w:pStyle w:val="ListParagraph"/>
        <w:numPr>
          <w:ilvl w:val="0"/>
          <w:numId w:val="28"/>
        </w:numPr>
        <w:tabs>
          <w:tab w:val="left" w:pos="721"/>
        </w:tabs>
        <w:spacing w:line="276" w:lineRule="auto"/>
        <w:ind w:right="180"/>
        <w:rPr>
          <w:rFonts w:eastAsia="Arial"/>
          <w:szCs w:val="24"/>
        </w:rPr>
      </w:pPr>
      <w:r w:rsidRPr="00234752">
        <w:rPr>
          <w:rFonts w:eastAsia="Arial"/>
          <w:szCs w:val="24"/>
        </w:rPr>
        <w:t>Data sources that you could use to compare practices in your area include:</w:t>
      </w:r>
    </w:p>
    <w:p w14:paraId="554DE42F" w14:textId="77777777" w:rsidR="00E25BFF" w:rsidRPr="00234752" w:rsidRDefault="00E25BFF" w:rsidP="00A553BA">
      <w:pPr>
        <w:spacing w:line="276" w:lineRule="auto"/>
        <w:rPr>
          <w:rFonts w:ascii="Symbol" w:eastAsia="Symbol" w:hAnsi="Symbol"/>
          <w:szCs w:val="24"/>
        </w:rPr>
      </w:pPr>
    </w:p>
    <w:p w14:paraId="2837D2B1" w14:textId="55B71C71" w:rsidR="00E25BFF" w:rsidRPr="00234752" w:rsidRDefault="000B57EE" w:rsidP="00825050">
      <w:pPr>
        <w:numPr>
          <w:ilvl w:val="1"/>
          <w:numId w:val="30"/>
        </w:numPr>
        <w:tabs>
          <w:tab w:val="left" w:pos="1441"/>
        </w:tabs>
        <w:spacing w:line="276" w:lineRule="auto"/>
        <w:ind w:right="680"/>
        <w:rPr>
          <w:rFonts w:eastAsia="Arial"/>
          <w:color w:val="3333FF"/>
          <w:szCs w:val="24"/>
        </w:rPr>
      </w:pPr>
      <w:hyperlink r:id="rId199" w:history="1">
        <w:r w:rsidR="00E25BFF" w:rsidRPr="00234752">
          <w:rPr>
            <w:rFonts w:eastAsia="Arial"/>
            <w:color w:val="3333FF"/>
            <w:szCs w:val="24"/>
            <w:u w:val="single"/>
          </w:rPr>
          <w:t>General Practice Expenses, GMS and PMS Contracts in England</w:t>
        </w:r>
      </w:hyperlink>
      <w:r w:rsidR="00E25BFF" w:rsidRPr="00234752">
        <w:rPr>
          <w:rFonts w:eastAsia="Arial"/>
          <w:color w:val="3333FF"/>
          <w:szCs w:val="24"/>
          <w:u w:val="single"/>
        </w:rPr>
        <w:t xml:space="preserve"> </w:t>
      </w:r>
      <w:hyperlink r:id="rId200" w:anchor="top" w:history="1">
        <w:r w:rsidR="00E25BFF" w:rsidRPr="00234752">
          <w:rPr>
            <w:rFonts w:eastAsia="Arial"/>
            <w:color w:val="3333FF"/>
            <w:szCs w:val="24"/>
            <w:u w:val="single"/>
          </w:rPr>
          <w:t>2013/14</w:t>
        </w:r>
        <w:r w:rsidR="00E25BFF" w:rsidRPr="00234752">
          <w:rPr>
            <w:rFonts w:eastAsia="Arial"/>
            <w:color w:val="3333FF"/>
            <w:szCs w:val="24"/>
          </w:rPr>
          <w:t xml:space="preserve"> </w:t>
        </w:r>
      </w:hyperlink>
      <w:r w:rsidR="00E25BFF" w:rsidRPr="00234752">
        <w:rPr>
          <w:rFonts w:eastAsia="Arial"/>
          <w:color w:val="000000"/>
          <w:szCs w:val="24"/>
        </w:rPr>
        <w:t>(NHS</w:t>
      </w:r>
      <w:r w:rsidR="00E25BFF" w:rsidRPr="00234752">
        <w:rPr>
          <w:rFonts w:eastAsia="Arial"/>
          <w:color w:val="3333FF"/>
          <w:szCs w:val="24"/>
        </w:rPr>
        <w:t xml:space="preserve"> </w:t>
      </w:r>
      <w:r w:rsidR="00E25BFF" w:rsidRPr="00234752">
        <w:rPr>
          <w:rFonts w:eastAsia="Arial"/>
          <w:color w:val="000000"/>
          <w:szCs w:val="24"/>
        </w:rPr>
        <w:t>Digital, published July 2016)</w:t>
      </w:r>
      <w:r w:rsidR="00E25BFF" w:rsidRPr="00A553BA">
        <w:rPr>
          <w:rFonts w:eastAsia="Arial"/>
          <w:color w:val="000000"/>
          <w:vertAlign w:val="superscript"/>
        </w:rPr>
        <w:t>3</w:t>
      </w:r>
    </w:p>
    <w:p w14:paraId="009A8E32" w14:textId="77777777" w:rsidR="00E25BFF" w:rsidRPr="00234752" w:rsidRDefault="00E25BFF" w:rsidP="00A553BA">
      <w:pPr>
        <w:spacing w:line="276" w:lineRule="auto"/>
        <w:rPr>
          <w:rFonts w:eastAsia="Arial"/>
          <w:color w:val="3333FF"/>
          <w:szCs w:val="24"/>
        </w:rPr>
      </w:pPr>
    </w:p>
    <w:p w14:paraId="444DC8FD" w14:textId="58E32A69" w:rsidR="00E25BFF" w:rsidRPr="00234752" w:rsidRDefault="000B57EE" w:rsidP="00825050">
      <w:pPr>
        <w:numPr>
          <w:ilvl w:val="1"/>
          <w:numId w:val="30"/>
        </w:numPr>
        <w:tabs>
          <w:tab w:val="left" w:pos="1441"/>
        </w:tabs>
        <w:spacing w:line="276" w:lineRule="auto"/>
        <w:ind w:right="20"/>
        <w:rPr>
          <w:rFonts w:eastAsia="Arial"/>
          <w:color w:val="0000FF"/>
          <w:szCs w:val="24"/>
        </w:rPr>
      </w:pPr>
      <w:hyperlink r:id="rId201" w:history="1">
        <w:r w:rsidR="00E25BFF" w:rsidRPr="00234752">
          <w:rPr>
            <w:rFonts w:eastAsia="Arial"/>
            <w:color w:val="0000FF"/>
            <w:szCs w:val="24"/>
            <w:u w:val="single"/>
          </w:rPr>
          <w:t>Adjusting the General Medical Services Allocation Formula for the</w:t>
        </w:r>
      </w:hyperlink>
      <w:r w:rsidR="00E25BFF" w:rsidRPr="00234752">
        <w:rPr>
          <w:rFonts w:eastAsia="Arial"/>
          <w:color w:val="0000FF"/>
          <w:szCs w:val="24"/>
          <w:u w:val="single"/>
        </w:rPr>
        <w:t xml:space="preserve"> </w:t>
      </w:r>
      <w:hyperlink r:id="rId202" w:history="1">
        <w:r w:rsidR="00E25BFF" w:rsidRPr="00234752">
          <w:rPr>
            <w:rFonts w:eastAsia="Arial"/>
            <w:color w:val="0000FF"/>
            <w:szCs w:val="24"/>
            <w:u w:val="single"/>
          </w:rPr>
          <w:t>unavoidable effects of geographically-dispersed populations on practice</w:t>
        </w:r>
      </w:hyperlink>
      <w:r w:rsidR="00E25BFF" w:rsidRPr="00234752">
        <w:rPr>
          <w:rFonts w:eastAsia="Arial"/>
          <w:color w:val="0000FF"/>
          <w:szCs w:val="24"/>
          <w:u w:val="single"/>
        </w:rPr>
        <w:t xml:space="preserve"> </w:t>
      </w:r>
      <w:hyperlink r:id="rId203" w:history="1">
        <w:r w:rsidR="00E25BFF" w:rsidRPr="00234752">
          <w:rPr>
            <w:rFonts w:eastAsia="Arial"/>
            <w:color w:val="0000FF"/>
            <w:szCs w:val="24"/>
            <w:u w:val="single"/>
          </w:rPr>
          <w:t>sizes and locations</w:t>
        </w:r>
        <w:r w:rsidR="00E25BFF" w:rsidRPr="00234752">
          <w:rPr>
            <w:rFonts w:eastAsia="Arial"/>
            <w:color w:val="0000FF"/>
            <w:szCs w:val="24"/>
          </w:rPr>
          <w:t xml:space="preserve"> </w:t>
        </w:r>
      </w:hyperlink>
      <w:r w:rsidR="00E25BFF" w:rsidRPr="00234752">
        <w:rPr>
          <w:rFonts w:eastAsia="Arial"/>
          <w:color w:val="000000"/>
          <w:szCs w:val="24"/>
        </w:rPr>
        <w:t>(Deloitte,</w:t>
      </w:r>
      <w:r w:rsidR="00E25BFF" w:rsidRPr="00234752">
        <w:rPr>
          <w:rFonts w:eastAsia="Arial"/>
          <w:color w:val="0000FF"/>
          <w:szCs w:val="24"/>
        </w:rPr>
        <w:t xml:space="preserve"> </w:t>
      </w:r>
      <w:r w:rsidR="00E25BFF" w:rsidRPr="00234752">
        <w:rPr>
          <w:rFonts w:eastAsia="Arial"/>
          <w:color w:val="000000"/>
          <w:szCs w:val="24"/>
        </w:rPr>
        <w:t>published 2006)</w:t>
      </w:r>
      <w:r w:rsidR="00E25BFF" w:rsidRPr="00234752">
        <w:rPr>
          <w:rFonts w:eastAsia="Arial"/>
          <w:color w:val="0000FF"/>
          <w:szCs w:val="24"/>
        </w:rPr>
        <w:t xml:space="preserve"> </w:t>
      </w:r>
      <w:r w:rsidR="00E25BFF" w:rsidRPr="00A553BA">
        <w:rPr>
          <w:rFonts w:eastAsia="Arial"/>
          <w:color w:val="000000"/>
          <w:vertAlign w:val="superscript"/>
        </w:rPr>
        <w:t>4</w:t>
      </w:r>
    </w:p>
    <w:p w14:paraId="77246DEC" w14:textId="77777777" w:rsidR="00E25BFF" w:rsidRPr="00234752" w:rsidRDefault="00E25BFF" w:rsidP="00A553BA">
      <w:pPr>
        <w:spacing w:line="276" w:lineRule="auto"/>
        <w:rPr>
          <w:rFonts w:eastAsia="Arial"/>
          <w:color w:val="0000FF"/>
          <w:szCs w:val="24"/>
        </w:rPr>
      </w:pPr>
    </w:p>
    <w:p w14:paraId="4B99DE23" w14:textId="0642465F" w:rsidR="00E25BFF" w:rsidRDefault="000B57EE" w:rsidP="00825050">
      <w:pPr>
        <w:numPr>
          <w:ilvl w:val="1"/>
          <w:numId w:val="30"/>
        </w:numPr>
        <w:tabs>
          <w:tab w:val="left" w:pos="1441"/>
        </w:tabs>
        <w:spacing w:line="276" w:lineRule="auto"/>
        <w:ind w:right="380"/>
        <w:rPr>
          <w:rFonts w:eastAsia="Arial"/>
          <w:color w:val="0000FF"/>
          <w:szCs w:val="24"/>
          <w:u w:val="single"/>
        </w:rPr>
      </w:pPr>
      <w:hyperlink r:id="rId204" w:history="1">
        <w:r w:rsidR="00013304">
          <w:rPr>
            <w:rFonts w:eastAsia="Arial"/>
            <w:color w:val="0000FF"/>
            <w:szCs w:val="24"/>
            <w:u w:val="single"/>
          </w:rPr>
          <w:t>NHS Payments to General Practice, England, 2017/18</w:t>
        </w:r>
      </w:hyperlink>
      <w:r w:rsidR="00013304">
        <w:rPr>
          <w:rFonts w:eastAsia="Arial"/>
          <w:color w:val="0000FF"/>
          <w:szCs w:val="24"/>
          <w:u w:val="single"/>
        </w:rPr>
        <w:t xml:space="preserve"> </w:t>
      </w:r>
      <w:r w:rsidR="00E25BFF" w:rsidRPr="00234752">
        <w:rPr>
          <w:rFonts w:eastAsia="Arial"/>
          <w:color w:val="0000FF"/>
          <w:szCs w:val="24"/>
          <w:u w:val="single"/>
        </w:rPr>
        <w:t xml:space="preserve">(NHS Digital, published </w:t>
      </w:r>
      <w:r w:rsidR="00013304">
        <w:rPr>
          <w:rFonts w:eastAsia="Arial"/>
          <w:color w:val="0000FF"/>
          <w:szCs w:val="24"/>
          <w:u w:val="single"/>
        </w:rPr>
        <w:t>Dec 2018</w:t>
      </w:r>
      <w:r w:rsidR="00E25BFF" w:rsidRPr="00234752">
        <w:rPr>
          <w:rFonts w:eastAsia="Arial"/>
          <w:color w:val="0000FF"/>
          <w:szCs w:val="24"/>
          <w:u w:val="single"/>
        </w:rPr>
        <w:t>).</w:t>
      </w:r>
    </w:p>
    <w:p w14:paraId="0731ED4F" w14:textId="77777777" w:rsidR="000429E0" w:rsidRDefault="000429E0" w:rsidP="00BD047B">
      <w:pPr>
        <w:pStyle w:val="ListParagraph"/>
        <w:rPr>
          <w:rFonts w:eastAsia="Arial"/>
          <w:color w:val="0000FF"/>
          <w:szCs w:val="24"/>
          <w:u w:val="single"/>
        </w:rPr>
      </w:pPr>
    </w:p>
    <w:p w14:paraId="37926B7A" w14:textId="77777777" w:rsidR="000429E0" w:rsidRPr="00234752" w:rsidRDefault="000429E0" w:rsidP="00BD047B">
      <w:pPr>
        <w:tabs>
          <w:tab w:val="left" w:pos="1441"/>
        </w:tabs>
        <w:spacing w:line="276" w:lineRule="auto"/>
        <w:ind w:left="1440" w:right="380"/>
        <w:rPr>
          <w:rFonts w:eastAsia="Arial"/>
          <w:color w:val="0000FF"/>
          <w:szCs w:val="24"/>
          <w:u w:val="single"/>
        </w:rPr>
      </w:pPr>
    </w:p>
    <w:p w14:paraId="68EBB1AA" w14:textId="77777777" w:rsidR="00E25BFF" w:rsidRDefault="00E25BFF" w:rsidP="00E25BFF">
      <w:pPr>
        <w:spacing w:line="278" w:lineRule="exact"/>
        <w:rPr>
          <w:rFonts w:eastAsia="Arial"/>
          <w:color w:val="0000FF"/>
          <w:u w:val="single"/>
        </w:rPr>
      </w:pPr>
    </w:p>
    <w:p w14:paraId="350BB581" w14:textId="75FF2544" w:rsidR="00E25BFF" w:rsidRDefault="00E25BFF" w:rsidP="001C7059">
      <w:pPr>
        <w:pStyle w:val="Heading3"/>
        <w:rPr>
          <w:rFonts w:eastAsia="Arial"/>
        </w:rPr>
      </w:pPr>
      <w:r>
        <w:rPr>
          <w:rFonts w:eastAsia="Arial"/>
        </w:rPr>
        <w:t>Case studies</w:t>
      </w:r>
    </w:p>
    <w:p w14:paraId="1D3EDB2D" w14:textId="77777777" w:rsidR="00E25BFF" w:rsidRDefault="00E25BFF" w:rsidP="00E25BFF">
      <w:pPr>
        <w:spacing w:line="200" w:lineRule="exact"/>
        <w:rPr>
          <w:rFonts w:eastAsia="Arial"/>
          <w:color w:val="0000FF"/>
          <w:u w:val="single"/>
        </w:rPr>
      </w:pPr>
    </w:p>
    <w:p w14:paraId="0F6B0180" w14:textId="77777777" w:rsidR="00E25BFF" w:rsidRDefault="00E25BFF" w:rsidP="00E25BFF">
      <w:pPr>
        <w:spacing w:line="247" w:lineRule="exact"/>
        <w:rPr>
          <w:rFonts w:eastAsia="Arial"/>
          <w:color w:val="0000FF"/>
          <w:u w:val="single"/>
        </w:rPr>
      </w:pPr>
    </w:p>
    <w:p w14:paraId="17254F2A" w14:textId="69EDFC72" w:rsidR="00E25BFF" w:rsidRDefault="00E25BFF" w:rsidP="00FF7B03">
      <w:pPr>
        <w:pStyle w:val="Heading3"/>
        <w:rPr>
          <w:rFonts w:eastAsia="Arial"/>
        </w:rPr>
      </w:pPr>
      <w:r w:rsidRPr="00FF7B03">
        <w:rPr>
          <w:rFonts w:eastAsia="Arial"/>
        </w:rPr>
        <w:t>The case studies listed below are not an exhaustive list. Commissioners and providers can review these case studies, tailor them to their local area as required, and/or</w:t>
      </w:r>
      <w:r>
        <w:rPr>
          <w:rFonts w:eastAsia="Arial"/>
        </w:rPr>
        <w:t xml:space="preserve"> decide on other support arrangements that might be appropriate:</w:t>
      </w:r>
    </w:p>
    <w:p w14:paraId="0D5AB290" w14:textId="77777777" w:rsidR="00E25BFF" w:rsidRPr="001545D4" w:rsidRDefault="00E25BFF" w:rsidP="00E25BFF">
      <w:pPr>
        <w:spacing w:line="307" w:lineRule="exact"/>
        <w:rPr>
          <w:rFonts w:eastAsia="Arial"/>
          <w:color w:val="0000FF"/>
          <w:szCs w:val="24"/>
          <w:u w:val="single"/>
        </w:rPr>
      </w:pPr>
    </w:p>
    <w:p w14:paraId="6B80E98B" w14:textId="77777777" w:rsidR="00E25BFF" w:rsidRPr="001545D4" w:rsidRDefault="00E25BFF" w:rsidP="006C3DF5">
      <w:pPr>
        <w:pStyle w:val="ListParagraph"/>
        <w:numPr>
          <w:ilvl w:val="0"/>
          <w:numId w:val="164"/>
        </w:numPr>
        <w:tabs>
          <w:tab w:val="left" w:pos="721"/>
        </w:tabs>
        <w:spacing w:line="360" w:lineRule="auto"/>
        <w:ind w:right="820"/>
        <w:rPr>
          <w:rFonts w:ascii="Symbol" w:eastAsia="Symbol" w:hAnsi="Symbol"/>
          <w:szCs w:val="24"/>
        </w:rPr>
      </w:pPr>
      <w:r w:rsidRPr="001545D4">
        <w:rPr>
          <w:rFonts w:eastAsia="Arial"/>
          <w:szCs w:val="24"/>
        </w:rPr>
        <w:t>Contract for primary care support to secondary care (e.g. pre-operative assessments, post-operative wound checks and suture removal)</w:t>
      </w:r>
    </w:p>
    <w:p w14:paraId="2E1038EE" w14:textId="402E6F40" w:rsidR="00FF7B03" w:rsidRPr="001545D4" w:rsidRDefault="00FF7B03" w:rsidP="00825050">
      <w:pPr>
        <w:numPr>
          <w:ilvl w:val="0"/>
          <w:numId w:val="27"/>
        </w:numPr>
        <w:tabs>
          <w:tab w:val="left" w:pos="700"/>
        </w:tabs>
        <w:spacing w:line="360" w:lineRule="auto"/>
        <w:ind w:left="1209" w:right="60" w:hanging="360"/>
        <w:rPr>
          <w:rFonts w:eastAsia="Arial"/>
          <w:szCs w:val="24"/>
        </w:rPr>
      </w:pPr>
      <w:r w:rsidRPr="001545D4">
        <w:rPr>
          <w:rFonts w:eastAsia="Arial"/>
          <w:szCs w:val="24"/>
        </w:rPr>
        <w:t xml:space="preserve">The </w:t>
      </w:r>
      <w:hyperlink r:id="rId205" w:history="1">
        <w:r w:rsidRPr="001545D4">
          <w:rPr>
            <w:rFonts w:eastAsia="Arial"/>
            <w:szCs w:val="24"/>
          </w:rPr>
          <w:t>‘</w:t>
        </w:r>
        <w:r w:rsidRPr="001545D4">
          <w:rPr>
            <w:rFonts w:eastAsia="Arial"/>
            <w:color w:val="0000FF"/>
            <w:szCs w:val="24"/>
            <w:u w:val="single"/>
          </w:rPr>
          <w:t>My Life A Full Life</w:t>
        </w:r>
        <w:r w:rsidRPr="001545D4">
          <w:rPr>
            <w:rFonts w:eastAsia="Arial"/>
            <w:szCs w:val="24"/>
          </w:rPr>
          <w:t xml:space="preserve">‘ </w:t>
        </w:r>
      </w:hyperlink>
      <w:r w:rsidRPr="001545D4">
        <w:rPr>
          <w:rFonts w:eastAsia="Arial"/>
          <w:szCs w:val="24"/>
        </w:rPr>
        <w:t>programme is a collaboration between NHS Isle of Wight Clinical Commissioning Group, Isle of Wight NHS Trust, Isle of Wight Council, Community Action Isle of Wight and other local voluntary sector organisations. It aim</w:t>
      </w:r>
      <w:r w:rsidR="000429E0" w:rsidRPr="001545D4">
        <w:rPr>
          <w:rFonts w:eastAsia="Arial"/>
          <w:szCs w:val="24"/>
        </w:rPr>
        <w:t>s</w:t>
      </w:r>
      <w:r w:rsidRPr="001545D4">
        <w:rPr>
          <w:rFonts w:eastAsia="Arial"/>
          <w:szCs w:val="24"/>
        </w:rPr>
        <w:t xml:space="preserve">  to change the face of social and health care on the Island, helping people live life to the full. Objectives are to achieve a more co-ordinated approach to the delivery of health and social care services for older people and people with long term conditions</w:t>
      </w:r>
    </w:p>
    <w:p w14:paraId="3F64C958" w14:textId="77777777" w:rsidR="00FF7B03" w:rsidRDefault="00FF7B03" w:rsidP="00A553BA">
      <w:pPr>
        <w:spacing w:line="360" w:lineRule="auto"/>
        <w:rPr>
          <w:rFonts w:eastAsia="Arial"/>
        </w:rPr>
      </w:pPr>
    </w:p>
    <w:p w14:paraId="188D085E" w14:textId="5743EE94" w:rsidR="00FF7B03" w:rsidRDefault="00FF7B03" w:rsidP="00825050">
      <w:pPr>
        <w:numPr>
          <w:ilvl w:val="0"/>
          <w:numId w:val="27"/>
        </w:numPr>
        <w:tabs>
          <w:tab w:val="left" w:pos="700"/>
        </w:tabs>
        <w:spacing w:line="360" w:lineRule="auto"/>
        <w:ind w:left="1209" w:right="180" w:hanging="360"/>
        <w:rPr>
          <w:rFonts w:eastAsia="Arial"/>
          <w:color w:val="0000FF"/>
          <w:u w:val="single"/>
        </w:rPr>
      </w:pPr>
      <w:r>
        <w:rPr>
          <w:rFonts w:eastAsia="Arial"/>
        </w:rPr>
        <w:t xml:space="preserve">First Responders such as </w:t>
      </w:r>
      <w:hyperlink r:id="rId206" w:history="1">
        <w:r>
          <w:rPr>
            <w:rFonts w:eastAsia="Arial"/>
            <w:color w:val="0000FF"/>
            <w:u w:val="single"/>
          </w:rPr>
          <w:t>Rural Responders in Suffolk</w:t>
        </w:r>
        <w:r>
          <w:rPr>
            <w:rFonts w:eastAsia="Arial"/>
            <w:u w:val="single"/>
          </w:rPr>
          <w:t xml:space="preserve"> </w:t>
        </w:r>
      </w:hyperlink>
      <w:r>
        <w:rPr>
          <w:rFonts w:eastAsia="Arial"/>
        </w:rPr>
        <w:t xml:space="preserve">supporting East of England Ambulance NHS Trust and Community First Responders supporting </w:t>
      </w:r>
      <w:hyperlink r:id="rId207" w:history="1">
        <w:r>
          <w:rPr>
            <w:rFonts w:eastAsia="Arial"/>
            <w:color w:val="0000FF"/>
            <w:u w:val="single"/>
          </w:rPr>
          <w:t>South Western Ambulance Service</w:t>
        </w:r>
      </w:hyperlink>
    </w:p>
    <w:p w14:paraId="7586B7FD" w14:textId="77777777" w:rsidR="00FF7B03" w:rsidRDefault="00FF7B03" w:rsidP="00A553BA">
      <w:pPr>
        <w:spacing w:line="360" w:lineRule="auto"/>
        <w:rPr>
          <w:rFonts w:eastAsia="Arial"/>
          <w:color w:val="0000FF"/>
          <w:u w:val="single"/>
        </w:rPr>
      </w:pPr>
    </w:p>
    <w:p w14:paraId="4C4D6DCE" w14:textId="5A211D66" w:rsidR="00FF7B03" w:rsidRDefault="000B57EE" w:rsidP="00825050">
      <w:pPr>
        <w:numPr>
          <w:ilvl w:val="0"/>
          <w:numId w:val="27"/>
        </w:numPr>
        <w:tabs>
          <w:tab w:val="left" w:pos="700"/>
        </w:tabs>
        <w:spacing w:line="360" w:lineRule="auto"/>
        <w:ind w:left="1209" w:right="340" w:hanging="360"/>
        <w:rPr>
          <w:rFonts w:eastAsia="Arial"/>
          <w:color w:val="000000"/>
        </w:rPr>
      </w:pPr>
      <w:hyperlink r:id="rId208" w:history="1">
        <w:r w:rsidR="00FF7B03">
          <w:rPr>
            <w:rFonts w:eastAsia="Arial"/>
            <w:color w:val="0000FF"/>
            <w:u w:val="single"/>
          </w:rPr>
          <w:t>Dorset Community Action’s Navigator Pilot</w:t>
        </w:r>
        <w:r w:rsidR="00FF7B03">
          <w:rPr>
            <w:rFonts w:eastAsia="Arial"/>
            <w:color w:val="0000FF"/>
          </w:rPr>
          <w:t xml:space="preserve"> </w:t>
        </w:r>
      </w:hyperlink>
      <w:r w:rsidR="00FF7B03">
        <w:rPr>
          <w:rFonts w:eastAsia="Arial"/>
          <w:color w:val="000000"/>
        </w:rPr>
        <w:t>was</w:t>
      </w:r>
      <w:r w:rsidR="00FF7B03">
        <w:rPr>
          <w:rFonts w:eastAsia="Arial"/>
          <w:color w:val="0000FF"/>
        </w:rPr>
        <w:t xml:space="preserve"> </w:t>
      </w:r>
      <w:r w:rsidR="00FF7B03">
        <w:rPr>
          <w:rFonts w:eastAsia="Arial"/>
          <w:color w:val="000000"/>
        </w:rPr>
        <w:t>a collaboration with Dorset</w:t>
      </w:r>
      <w:r w:rsidR="00FF7B03">
        <w:rPr>
          <w:rFonts w:eastAsia="Arial"/>
          <w:color w:val="0000FF"/>
        </w:rPr>
        <w:t xml:space="preserve"> </w:t>
      </w:r>
      <w:r w:rsidR="00FF7B03">
        <w:rPr>
          <w:rFonts w:eastAsia="Arial"/>
          <w:color w:val="000000"/>
        </w:rPr>
        <w:t xml:space="preserve">CCG as part of the </w:t>
      </w:r>
      <w:hyperlink r:id="rId209" w:history="1">
        <w:r w:rsidR="00FF7B03">
          <w:rPr>
            <w:rFonts w:eastAsia="Arial"/>
            <w:color w:val="0000FF"/>
            <w:u w:val="single"/>
          </w:rPr>
          <w:t>Better Together</w:t>
        </w:r>
        <w:r w:rsidR="00FF7B03">
          <w:rPr>
            <w:rFonts w:eastAsia="Arial"/>
            <w:color w:val="000000"/>
            <w:u w:val="single"/>
          </w:rPr>
          <w:t xml:space="preserve"> </w:t>
        </w:r>
      </w:hyperlink>
      <w:r w:rsidR="00FF7B03">
        <w:rPr>
          <w:rFonts w:eastAsia="Arial"/>
          <w:color w:val="000000"/>
        </w:rPr>
        <w:t xml:space="preserve">programme. The pilot aimed to improve </w:t>
      </w:r>
      <w:r w:rsidR="00195CA1">
        <w:rPr>
          <w:rFonts w:eastAsia="Arial"/>
          <w:color w:val="000000"/>
        </w:rPr>
        <w:t xml:space="preserve">the </w:t>
      </w:r>
      <w:r w:rsidR="00FF7B03">
        <w:rPr>
          <w:rFonts w:eastAsia="Arial"/>
          <w:color w:val="000000"/>
        </w:rPr>
        <w:t>integration of care to provide more efficient use of resources and improve patient</w:t>
      </w:r>
      <w:r w:rsidR="00195CA1">
        <w:rPr>
          <w:rFonts w:eastAsia="Arial"/>
          <w:color w:val="000000"/>
        </w:rPr>
        <w:t>s’</w:t>
      </w:r>
      <w:r w:rsidR="00FF7B03">
        <w:rPr>
          <w:rFonts w:eastAsia="Arial"/>
          <w:color w:val="000000"/>
        </w:rPr>
        <w:t xml:space="preserve"> experience by supporting practitioners to refer patients to support </w:t>
      </w:r>
      <w:r w:rsidR="009B608D">
        <w:rPr>
          <w:rFonts w:eastAsia="Arial"/>
          <w:color w:val="000000"/>
        </w:rPr>
        <w:t>services.</w:t>
      </w:r>
      <w:r w:rsidR="00FF7B03">
        <w:rPr>
          <w:rFonts w:eastAsia="Arial"/>
          <w:color w:val="000000"/>
        </w:rPr>
        <w:t xml:space="preserve"> Its key aims were to:</w:t>
      </w:r>
    </w:p>
    <w:p w14:paraId="517A4C48" w14:textId="77777777" w:rsidR="00FF7B03" w:rsidRDefault="00FF7B03" w:rsidP="00A553BA">
      <w:pPr>
        <w:spacing w:line="360" w:lineRule="auto"/>
        <w:rPr>
          <w:rFonts w:eastAsia="Arial"/>
          <w:color w:val="000000"/>
        </w:rPr>
      </w:pPr>
    </w:p>
    <w:p w14:paraId="5BCD34D4" w14:textId="77777777" w:rsidR="00FF7B03" w:rsidRPr="00FF7B03" w:rsidRDefault="00FF7B03" w:rsidP="00A553BA">
      <w:pPr>
        <w:pStyle w:val="ListParagraph"/>
        <w:numPr>
          <w:ilvl w:val="0"/>
          <w:numId w:val="12"/>
        </w:numPr>
        <w:tabs>
          <w:tab w:val="left" w:pos="1420"/>
        </w:tabs>
        <w:spacing w:line="360" w:lineRule="auto"/>
        <w:ind w:left="1420" w:right="580"/>
        <w:rPr>
          <w:rFonts w:ascii="Symbol" w:eastAsia="Symbol" w:hAnsi="Symbol"/>
        </w:rPr>
      </w:pPr>
      <w:r w:rsidRPr="00FF7B03">
        <w:rPr>
          <w:rFonts w:eastAsia="Arial"/>
        </w:rPr>
        <w:t>Manage long term conditions, especially those amongst the increasingly large cohort of older people living in, and migrating to, Dorset</w:t>
      </w:r>
    </w:p>
    <w:p w14:paraId="6A709E93" w14:textId="77777777" w:rsidR="00FF7B03" w:rsidRDefault="00FF7B03" w:rsidP="001545D4">
      <w:pPr>
        <w:spacing w:line="360" w:lineRule="auto"/>
        <w:rPr>
          <w:rFonts w:ascii="Symbol" w:eastAsia="Symbol" w:hAnsi="Symbol"/>
        </w:rPr>
      </w:pPr>
    </w:p>
    <w:p w14:paraId="7D806D60" w14:textId="77777777" w:rsidR="00FF7B03" w:rsidRPr="00A553BA" w:rsidRDefault="00FF7B03" w:rsidP="00A553BA">
      <w:pPr>
        <w:pStyle w:val="ListParagraph"/>
        <w:numPr>
          <w:ilvl w:val="0"/>
          <w:numId w:val="12"/>
        </w:numPr>
        <w:tabs>
          <w:tab w:val="left" w:pos="1420"/>
        </w:tabs>
        <w:spacing w:line="360" w:lineRule="auto"/>
        <w:ind w:left="1420" w:right="580"/>
        <w:rPr>
          <w:rFonts w:eastAsia="Arial"/>
        </w:rPr>
      </w:pPr>
      <w:r w:rsidRPr="00A553BA">
        <w:rPr>
          <w:rFonts w:eastAsia="Arial"/>
        </w:rPr>
        <w:t>Reducing the demand (need) for high cost care (acute hospital interventions, and long term residential and nursing care)</w:t>
      </w:r>
    </w:p>
    <w:p w14:paraId="42F1055E" w14:textId="77777777" w:rsidR="00FF7B03" w:rsidRPr="00A553BA" w:rsidRDefault="00FF7B03" w:rsidP="00A553BA">
      <w:pPr>
        <w:pStyle w:val="ListParagraph"/>
        <w:tabs>
          <w:tab w:val="left" w:pos="1420"/>
        </w:tabs>
        <w:spacing w:line="360" w:lineRule="auto"/>
        <w:ind w:left="1420" w:right="580"/>
        <w:rPr>
          <w:rFonts w:eastAsia="Arial"/>
        </w:rPr>
      </w:pPr>
    </w:p>
    <w:p w14:paraId="3367CCFA" w14:textId="77777777" w:rsidR="00FF7B03" w:rsidRPr="008D6827" w:rsidRDefault="00FF7B03" w:rsidP="008D6827">
      <w:pPr>
        <w:pStyle w:val="ListParagraph"/>
        <w:numPr>
          <w:ilvl w:val="0"/>
          <w:numId w:val="12"/>
        </w:numPr>
        <w:tabs>
          <w:tab w:val="left" w:pos="1420"/>
        </w:tabs>
        <w:spacing w:line="360" w:lineRule="auto"/>
        <w:ind w:left="1420" w:right="580"/>
        <w:rPr>
          <w:rFonts w:eastAsia="Arial"/>
        </w:rPr>
      </w:pPr>
      <w:r w:rsidRPr="009B608D">
        <w:rPr>
          <w:rFonts w:eastAsia="Arial"/>
        </w:rPr>
        <w:t>Enabling much more care to be delivered locally and enabling people to live independently for as long as possible</w:t>
      </w:r>
    </w:p>
    <w:p w14:paraId="3FB19D22" w14:textId="77777777" w:rsidR="009B608D" w:rsidRPr="00A553BA" w:rsidRDefault="009B608D" w:rsidP="00A553BA">
      <w:pPr>
        <w:tabs>
          <w:tab w:val="left" w:pos="1420"/>
        </w:tabs>
        <w:spacing w:line="360" w:lineRule="auto"/>
        <w:ind w:left="1420" w:right="580"/>
        <w:rPr>
          <w:rFonts w:eastAsia="Arial"/>
        </w:rPr>
      </w:pPr>
    </w:p>
    <w:p w14:paraId="302F66E4" w14:textId="50AAB369" w:rsidR="00FF7B03" w:rsidRPr="00A553BA" w:rsidRDefault="00FF7B03" w:rsidP="00A553BA">
      <w:pPr>
        <w:tabs>
          <w:tab w:val="left" w:pos="1420"/>
        </w:tabs>
        <w:spacing w:line="360" w:lineRule="auto"/>
        <w:ind w:left="1420" w:right="580"/>
        <w:rPr>
          <w:rFonts w:eastAsia="Arial"/>
        </w:rPr>
      </w:pPr>
      <w:r w:rsidRPr="009B608D">
        <w:rPr>
          <w:rFonts w:eastAsia="Arial"/>
        </w:rPr>
        <w:t>Village Agent schemes or Link schemes:</w:t>
      </w:r>
    </w:p>
    <w:p w14:paraId="258B0B07" w14:textId="77777777" w:rsidR="00FF7B03" w:rsidRDefault="00FF7B03" w:rsidP="00A553BA">
      <w:pPr>
        <w:spacing w:line="360" w:lineRule="auto"/>
        <w:rPr>
          <w:rFonts w:ascii="Symbol" w:eastAsia="Symbol" w:hAnsi="Symbol"/>
        </w:rPr>
      </w:pPr>
    </w:p>
    <w:p w14:paraId="6232C8FB" w14:textId="77777777" w:rsidR="00FF7B03" w:rsidRPr="00E25BFF" w:rsidRDefault="000B57EE" w:rsidP="00825050">
      <w:pPr>
        <w:pStyle w:val="ListParagraph"/>
        <w:numPr>
          <w:ilvl w:val="0"/>
          <w:numId w:val="29"/>
        </w:numPr>
        <w:tabs>
          <w:tab w:val="left" w:pos="1420"/>
        </w:tabs>
        <w:spacing w:line="360" w:lineRule="auto"/>
        <w:ind w:left="1440" w:right="100"/>
        <w:rPr>
          <w:rFonts w:eastAsia="Arial"/>
          <w:color w:val="0000FF"/>
        </w:rPr>
      </w:pPr>
      <w:hyperlink r:id="rId210" w:history="1">
        <w:r w:rsidR="00FF7B03" w:rsidRPr="00E25BFF">
          <w:rPr>
            <w:rFonts w:eastAsia="Arial"/>
            <w:color w:val="0000FF"/>
            <w:u w:val="single"/>
          </w:rPr>
          <w:t>Somerset</w:t>
        </w:r>
        <w:r w:rsidR="00FF7B03" w:rsidRPr="00E25BFF">
          <w:rPr>
            <w:rFonts w:eastAsia="Arial"/>
            <w:color w:val="000000"/>
          </w:rPr>
          <w:t xml:space="preserve">: </w:t>
        </w:r>
      </w:hyperlink>
      <w:r w:rsidR="00FF7B03" w:rsidRPr="00E25BFF">
        <w:rPr>
          <w:rFonts w:eastAsia="Arial"/>
          <w:color w:val="0000FF"/>
        </w:rPr>
        <w:t xml:space="preserve">Work </w:t>
      </w:r>
      <w:r w:rsidR="00FF7B03" w:rsidRPr="00E25BFF">
        <w:rPr>
          <w:rFonts w:eastAsia="Arial"/>
          <w:color w:val="000000"/>
        </w:rPr>
        <w:t>with all ages. A number of clients are elderly and</w:t>
      </w:r>
      <w:r w:rsidR="00FF7B03" w:rsidRPr="00E25BFF">
        <w:rPr>
          <w:rFonts w:eastAsia="Arial"/>
          <w:color w:val="0000FF"/>
        </w:rPr>
        <w:t xml:space="preserve"> </w:t>
      </w:r>
      <w:r w:rsidR="00FF7B03" w:rsidRPr="00E25BFF">
        <w:rPr>
          <w:rFonts w:eastAsia="Arial"/>
          <w:color w:val="000000"/>
        </w:rPr>
        <w:t>involve social care issues. Village Agents also have the role of helping to shape services by feeding back to the appropriate body information about gaps in service e.g. transport provision. They can also motivate and support a community to respond to a local need by working together to address issues e.g. by helping them to set up a coffee morning for a group of lonely people or start a volunteer car scheme. A Village Agents pilot project is using the social prescribing model, taking referrals from GPs and assisting with care planning for patients. A second pilot is taking referrals from social workers at the area’s Adult Social Care Hubs</w:t>
      </w:r>
    </w:p>
    <w:p w14:paraId="5155434A" w14:textId="77777777" w:rsidR="00FF7B03" w:rsidRDefault="00FF7B03" w:rsidP="00A553BA">
      <w:pPr>
        <w:spacing w:line="360" w:lineRule="auto"/>
        <w:ind w:left="720"/>
        <w:rPr>
          <w:rFonts w:eastAsia="Arial"/>
          <w:color w:val="0000FF"/>
        </w:rPr>
      </w:pPr>
    </w:p>
    <w:p w14:paraId="4F033C42" w14:textId="18A0C2F7" w:rsidR="00FF7B03" w:rsidRPr="00E25BFF" w:rsidRDefault="000B57EE" w:rsidP="00825050">
      <w:pPr>
        <w:pStyle w:val="ListParagraph"/>
        <w:numPr>
          <w:ilvl w:val="0"/>
          <w:numId w:val="29"/>
        </w:numPr>
        <w:tabs>
          <w:tab w:val="left" w:pos="1420"/>
        </w:tabs>
        <w:spacing w:line="360" w:lineRule="auto"/>
        <w:ind w:left="1440" w:right="420"/>
        <w:rPr>
          <w:rFonts w:eastAsia="Arial"/>
          <w:color w:val="0000FF"/>
        </w:rPr>
      </w:pPr>
      <w:hyperlink r:id="rId211" w:history="1">
        <w:r w:rsidR="00FF7B03" w:rsidRPr="00E25BFF">
          <w:rPr>
            <w:rFonts w:eastAsia="Arial"/>
            <w:color w:val="0000FF"/>
            <w:u w:val="single"/>
          </w:rPr>
          <w:t>Bedfordshire</w:t>
        </w:r>
        <w:r w:rsidR="00FF7B03" w:rsidRPr="00E25BFF">
          <w:rPr>
            <w:rFonts w:eastAsia="Arial"/>
            <w:color w:val="000000"/>
          </w:rPr>
          <w:t xml:space="preserve">: </w:t>
        </w:r>
      </w:hyperlink>
      <w:r w:rsidR="00FF7B03" w:rsidRPr="00E25BFF">
        <w:rPr>
          <w:rFonts w:eastAsia="Arial"/>
          <w:color w:val="0000FF"/>
        </w:rPr>
        <w:t xml:space="preserve">Supported </w:t>
      </w:r>
      <w:r w:rsidR="00FF7B03" w:rsidRPr="00E25BFF">
        <w:rPr>
          <w:rFonts w:eastAsia="Arial"/>
          <w:color w:val="000000"/>
        </w:rPr>
        <w:t>950 clients over the financial year (with an</w:t>
      </w:r>
      <w:r w:rsidR="00FF7B03" w:rsidRPr="00E25BFF">
        <w:rPr>
          <w:rFonts w:eastAsia="Arial"/>
          <w:color w:val="0000FF"/>
        </w:rPr>
        <w:t xml:space="preserve"> </w:t>
      </w:r>
      <w:r w:rsidR="00FF7B03" w:rsidRPr="00E25BFF">
        <w:rPr>
          <w:rFonts w:eastAsia="Arial"/>
          <w:color w:val="000000"/>
        </w:rPr>
        <w:t xml:space="preserve">average </w:t>
      </w:r>
      <w:r w:rsidR="008A0B4B">
        <w:rPr>
          <w:rFonts w:eastAsia="Arial"/>
          <w:color w:val="000000"/>
        </w:rPr>
        <w:t xml:space="preserve">of </w:t>
      </w:r>
      <w:r w:rsidR="00FF7B03" w:rsidRPr="00E25BFF">
        <w:rPr>
          <w:rFonts w:eastAsia="Arial"/>
          <w:color w:val="000000"/>
        </w:rPr>
        <w:t>three visits per client) delivering a range of outcomes that included accessing health and housing services, getting home adaptations, obtaining mobility aids, take-up of benefits and tackling isolation through transport</w:t>
      </w:r>
    </w:p>
    <w:p w14:paraId="4A2B89AA" w14:textId="77777777" w:rsidR="00FF7B03" w:rsidRDefault="00FF7B03" w:rsidP="00A553BA">
      <w:pPr>
        <w:spacing w:line="360" w:lineRule="auto"/>
        <w:ind w:left="720"/>
        <w:rPr>
          <w:rFonts w:eastAsia="Arial"/>
          <w:color w:val="0000FF"/>
        </w:rPr>
      </w:pPr>
    </w:p>
    <w:p w14:paraId="034D28DC" w14:textId="77777777" w:rsidR="00FF7B03" w:rsidRPr="00E25BFF" w:rsidRDefault="000B57EE" w:rsidP="00825050">
      <w:pPr>
        <w:pStyle w:val="ListParagraph"/>
        <w:numPr>
          <w:ilvl w:val="0"/>
          <w:numId w:val="29"/>
        </w:numPr>
        <w:tabs>
          <w:tab w:val="left" w:pos="1420"/>
        </w:tabs>
        <w:spacing w:line="360" w:lineRule="auto"/>
        <w:ind w:left="1440" w:right="100"/>
        <w:rPr>
          <w:rFonts w:eastAsia="Arial"/>
          <w:color w:val="000000"/>
        </w:rPr>
      </w:pPr>
      <w:hyperlink r:id="rId212" w:history="1">
        <w:r w:rsidR="00FF7B03" w:rsidRPr="00E25BFF">
          <w:rPr>
            <w:rFonts w:eastAsia="Arial"/>
            <w:color w:val="0000FF"/>
            <w:u w:val="single"/>
          </w:rPr>
          <w:t>Gloucestershire</w:t>
        </w:r>
        <w:r w:rsidR="00FF7B03" w:rsidRPr="00E25BFF">
          <w:rPr>
            <w:rFonts w:eastAsia="Arial"/>
            <w:color w:val="000000"/>
          </w:rPr>
          <w:t xml:space="preserve">: </w:t>
        </w:r>
      </w:hyperlink>
      <w:r w:rsidR="00FF7B03" w:rsidRPr="00E25BFF">
        <w:rPr>
          <w:rFonts w:eastAsia="Arial"/>
          <w:color w:val="0000FF"/>
        </w:rPr>
        <w:t xml:space="preserve">The </w:t>
      </w:r>
      <w:r w:rsidR="00FF7B03" w:rsidRPr="00E25BFF">
        <w:rPr>
          <w:rFonts w:eastAsia="Arial"/>
          <w:color w:val="000000"/>
        </w:rPr>
        <w:t>Village Agents support older people living in the</w:t>
      </w:r>
      <w:r w:rsidR="00FF7B03" w:rsidRPr="00E25BFF">
        <w:rPr>
          <w:rFonts w:eastAsia="Arial"/>
          <w:color w:val="0000FF"/>
        </w:rPr>
        <w:t xml:space="preserve"> </w:t>
      </w:r>
      <w:r w:rsidR="00FF7B03" w:rsidRPr="00E25BFF">
        <w:rPr>
          <w:rFonts w:eastAsia="Arial"/>
          <w:color w:val="000000"/>
        </w:rPr>
        <w:t xml:space="preserve">area. Reports on their projects are </w:t>
      </w:r>
      <w:hyperlink r:id="rId213" w:history="1">
        <w:r w:rsidR="00FF7B03" w:rsidRPr="00E25BFF">
          <w:rPr>
            <w:rFonts w:eastAsia="Arial"/>
            <w:color w:val="000000"/>
          </w:rPr>
          <w:t xml:space="preserve">here </w:t>
        </w:r>
      </w:hyperlink>
      <w:r w:rsidR="00FF7B03" w:rsidRPr="00E25BFF">
        <w:rPr>
          <w:rFonts w:eastAsia="Arial"/>
          <w:color w:val="000000"/>
        </w:rPr>
        <w:t xml:space="preserve">and case studies can be found </w:t>
      </w:r>
      <w:hyperlink r:id="rId214" w:history="1">
        <w:r w:rsidR="00FF7B03" w:rsidRPr="00E25BFF">
          <w:rPr>
            <w:rFonts w:eastAsia="Arial"/>
            <w:color w:val="000000"/>
          </w:rPr>
          <w:t xml:space="preserve">here. </w:t>
        </w:r>
      </w:hyperlink>
      <w:r w:rsidR="00FF7B03" w:rsidRPr="00E25BFF">
        <w:rPr>
          <w:rFonts w:eastAsia="Arial"/>
          <w:color w:val="000000"/>
        </w:rPr>
        <w:t>Polish speaking agents are employed to support the local Polish community</w:t>
      </w:r>
    </w:p>
    <w:p w14:paraId="42253B31" w14:textId="77777777" w:rsidR="00FF7B03" w:rsidRDefault="00FF7B03" w:rsidP="00A553BA">
      <w:pPr>
        <w:spacing w:line="360" w:lineRule="auto"/>
        <w:ind w:left="720"/>
        <w:rPr>
          <w:rFonts w:eastAsia="Arial"/>
          <w:color w:val="000000"/>
        </w:rPr>
      </w:pPr>
    </w:p>
    <w:p w14:paraId="1BDA5B0E" w14:textId="1627EFC1" w:rsidR="00FF7B03" w:rsidRPr="001545D4" w:rsidRDefault="000B57EE" w:rsidP="00825050">
      <w:pPr>
        <w:pStyle w:val="ListParagraph"/>
        <w:numPr>
          <w:ilvl w:val="0"/>
          <w:numId w:val="29"/>
        </w:numPr>
        <w:tabs>
          <w:tab w:val="left" w:pos="1420"/>
        </w:tabs>
        <w:spacing w:line="360" w:lineRule="auto"/>
        <w:ind w:left="1440" w:right="160"/>
        <w:rPr>
          <w:rFonts w:ascii="Times New Roman" w:hAnsi="Times New Roman"/>
          <w:szCs w:val="24"/>
        </w:rPr>
      </w:pPr>
      <w:hyperlink r:id="rId215" w:history="1">
        <w:r w:rsidR="00FF7B03" w:rsidRPr="001545D4">
          <w:rPr>
            <w:rFonts w:eastAsia="Arial"/>
            <w:color w:val="0000FF"/>
            <w:szCs w:val="24"/>
            <w:u w:val="single"/>
          </w:rPr>
          <w:t>Wiltshire</w:t>
        </w:r>
        <w:r w:rsidR="00FF7B03" w:rsidRPr="001545D4">
          <w:rPr>
            <w:rFonts w:eastAsia="Arial"/>
            <w:color w:val="000000"/>
            <w:szCs w:val="24"/>
          </w:rPr>
          <w:t xml:space="preserve">: </w:t>
        </w:r>
      </w:hyperlink>
      <w:r w:rsidR="00FF7B03" w:rsidRPr="001545D4">
        <w:rPr>
          <w:rFonts w:eastAsia="Arial"/>
          <w:color w:val="0000FF"/>
          <w:szCs w:val="24"/>
        </w:rPr>
        <w:t xml:space="preserve">The </w:t>
      </w:r>
      <w:r w:rsidR="00FF7B03" w:rsidRPr="001545D4">
        <w:rPr>
          <w:rFonts w:eastAsia="Arial"/>
          <w:color w:val="000000"/>
          <w:szCs w:val="24"/>
        </w:rPr>
        <w:t>Link Schemes are community-based initiatives that aim</w:t>
      </w:r>
      <w:r w:rsidR="00FF7B03" w:rsidRPr="001545D4">
        <w:rPr>
          <w:rFonts w:eastAsia="Arial"/>
          <w:color w:val="0000FF"/>
          <w:szCs w:val="24"/>
        </w:rPr>
        <w:t xml:space="preserve"> </w:t>
      </w:r>
      <w:r w:rsidR="00FF7B03" w:rsidRPr="001545D4">
        <w:rPr>
          <w:rFonts w:eastAsia="Arial"/>
          <w:color w:val="000000"/>
          <w:szCs w:val="24"/>
        </w:rPr>
        <w:t>to improve the quality of life for disadvantaged, elderly or infirm people by providing a structured good neighbour service delivered by volunteers from within the local community. The range of Link Scheme services varies from providing volunteer drivers to take someone to a medical appointment, taking them shopping or to visit an old friend, or</w:t>
      </w:r>
      <w:bookmarkStart w:id="2564" w:name="page12"/>
      <w:bookmarkEnd w:id="2564"/>
    </w:p>
    <w:p w14:paraId="22E3F1F8" w14:textId="77777777" w:rsidR="00FF7B03" w:rsidRDefault="00FF7B03" w:rsidP="00A553BA">
      <w:pPr>
        <w:spacing w:line="360" w:lineRule="auto"/>
        <w:rPr>
          <w:rFonts w:ascii="Times New Roman" w:hAnsi="Times New Roman"/>
        </w:rPr>
      </w:pPr>
    </w:p>
    <w:p w14:paraId="66090680" w14:textId="39FEA995" w:rsidR="00E25BFF" w:rsidRPr="00B06C2F" w:rsidRDefault="00FF7B03" w:rsidP="00825050">
      <w:pPr>
        <w:pStyle w:val="ListParagraph"/>
        <w:numPr>
          <w:ilvl w:val="0"/>
          <w:numId w:val="29"/>
        </w:numPr>
        <w:tabs>
          <w:tab w:val="left" w:pos="1420"/>
        </w:tabs>
        <w:spacing w:line="360" w:lineRule="auto"/>
        <w:ind w:left="1440" w:right="100"/>
        <w:rPr>
          <w:rFonts w:eastAsia="Arial"/>
        </w:rPr>
      </w:pPr>
      <w:r w:rsidRPr="00B06C2F">
        <w:rPr>
          <w:rFonts w:eastAsia="Arial"/>
        </w:rPr>
        <w:t>simply providing good neighbour care. They aim to complement the provision of other services, whether statutory or voluntary.</w:t>
      </w:r>
    </w:p>
    <w:p w14:paraId="7B057005" w14:textId="77777777" w:rsidR="00E25BFF" w:rsidRDefault="00E25BFF" w:rsidP="00A553BA">
      <w:pPr>
        <w:spacing w:line="360" w:lineRule="auto"/>
        <w:rPr>
          <w:rFonts w:eastAsia="Arial"/>
          <w:color w:val="0000FF"/>
          <w:u w:val="single"/>
        </w:rPr>
      </w:pPr>
    </w:p>
    <w:p w14:paraId="22E64B10" w14:textId="77777777" w:rsidR="00E25BFF" w:rsidRDefault="00E25BFF" w:rsidP="00A553BA">
      <w:pPr>
        <w:numPr>
          <w:ilvl w:val="0"/>
          <w:numId w:val="13"/>
        </w:numPr>
        <w:tabs>
          <w:tab w:val="left" w:pos="157"/>
        </w:tabs>
        <w:spacing w:line="360" w:lineRule="auto"/>
        <w:ind w:left="1" w:right="20" w:hanging="1"/>
        <w:rPr>
          <w:rFonts w:eastAsia="Arial"/>
          <w:sz w:val="32"/>
          <w:vertAlign w:val="superscript"/>
        </w:rPr>
      </w:pPr>
      <w:r>
        <w:rPr>
          <w:rFonts w:eastAsia="Arial"/>
        </w:rPr>
        <w:t>The report finds that there is no reduction in expenses per patient as practices grow. The data are basic and commissioners may want to consider the point below which a list size is too small for a WTE GP.</w:t>
      </w:r>
    </w:p>
    <w:p w14:paraId="102BED08" w14:textId="506EBC25" w:rsidR="00E25BFF" w:rsidRDefault="00E25BFF" w:rsidP="00A553BA">
      <w:pPr>
        <w:numPr>
          <w:ilvl w:val="0"/>
          <w:numId w:val="13"/>
        </w:numPr>
        <w:tabs>
          <w:tab w:val="left" w:pos="128"/>
        </w:tabs>
        <w:spacing w:line="360" w:lineRule="auto"/>
        <w:ind w:left="1" w:right="80" w:hanging="1"/>
        <w:rPr>
          <w:rFonts w:eastAsia="Arial"/>
          <w:sz w:val="26"/>
          <w:vertAlign w:val="superscript"/>
        </w:rPr>
      </w:pPr>
      <w:r>
        <w:rPr>
          <w:rFonts w:eastAsia="Arial"/>
        </w:rPr>
        <w:t>This document’s value might be limited as it is 10 years old and the data cannot be refreshed as the datasets are not available.</w:t>
      </w:r>
    </w:p>
    <w:p w14:paraId="0030F68B" w14:textId="77777777" w:rsidR="00E25BFF" w:rsidRDefault="00E25BFF" w:rsidP="00A553BA">
      <w:pPr>
        <w:spacing w:line="360" w:lineRule="auto"/>
        <w:rPr>
          <w:rFonts w:eastAsia="Arial"/>
          <w:color w:val="0000FF"/>
          <w:u w:val="single"/>
        </w:rPr>
      </w:pPr>
    </w:p>
    <w:p w14:paraId="0BB9EC4A" w14:textId="450B8476" w:rsidR="00E25BFF" w:rsidRDefault="00E25BFF" w:rsidP="001C7059">
      <w:pPr>
        <w:pStyle w:val="Heading3"/>
        <w:rPr>
          <w:rFonts w:eastAsia="Arial"/>
        </w:rPr>
      </w:pPr>
      <w:bookmarkStart w:id="2565" w:name="page11"/>
      <w:bookmarkEnd w:id="2565"/>
      <w:r>
        <w:rPr>
          <w:rFonts w:eastAsia="Arial"/>
        </w:rPr>
        <w:t>Patient Group Observations</w:t>
      </w:r>
    </w:p>
    <w:p w14:paraId="09193044" w14:textId="77777777" w:rsidR="00E25BFF" w:rsidRDefault="00E25BFF" w:rsidP="00E25BFF">
      <w:pPr>
        <w:spacing w:line="247" w:lineRule="exact"/>
        <w:rPr>
          <w:rFonts w:ascii="Times New Roman" w:hAnsi="Times New Roman"/>
        </w:rPr>
      </w:pPr>
    </w:p>
    <w:p w14:paraId="265D6244" w14:textId="46E4D28E" w:rsidR="00E25BFF" w:rsidRDefault="00E25BFF" w:rsidP="00B06C2F">
      <w:pPr>
        <w:pStyle w:val="Heading3"/>
        <w:rPr>
          <w:rFonts w:eastAsia="Arial"/>
          <w:color w:val="000000"/>
        </w:rPr>
      </w:pPr>
      <w:r>
        <w:rPr>
          <w:rFonts w:eastAsia="Arial"/>
        </w:rPr>
        <w:t xml:space="preserve">Support services provided by volunteers and community groups act as a link between statutory services and the local community (some examples are listed in the </w:t>
      </w:r>
      <w:hyperlink w:anchor="page10" w:history="1">
        <w:r>
          <w:rPr>
            <w:rFonts w:eastAsia="Arial"/>
            <w:color w:val="0000FF"/>
            <w:u w:val="single"/>
          </w:rPr>
          <w:t>Case Studies</w:t>
        </w:r>
        <w:r>
          <w:rPr>
            <w:rFonts w:eastAsia="Arial"/>
            <w:color w:val="0000FF"/>
          </w:rPr>
          <w:t xml:space="preserve"> </w:t>
        </w:r>
      </w:hyperlink>
      <w:r>
        <w:rPr>
          <w:rFonts w:eastAsia="Arial"/>
          <w:color w:val="000000"/>
        </w:rPr>
        <w:t>section</w:t>
      </w:r>
      <w:r>
        <w:rPr>
          <w:rFonts w:eastAsia="Arial"/>
          <w:color w:val="0000FF"/>
        </w:rPr>
        <w:t xml:space="preserve"> </w:t>
      </w:r>
      <w:r>
        <w:rPr>
          <w:rFonts w:eastAsia="Arial"/>
          <w:color w:val="000000"/>
        </w:rPr>
        <w:t>above). They are well-placed to work across various isolated</w:t>
      </w:r>
      <w:r>
        <w:rPr>
          <w:rFonts w:eastAsia="Arial"/>
          <w:color w:val="0000FF"/>
        </w:rPr>
        <w:t xml:space="preserve"> </w:t>
      </w:r>
      <w:r>
        <w:rPr>
          <w:rFonts w:eastAsia="Arial"/>
          <w:color w:val="000000"/>
        </w:rPr>
        <w:t xml:space="preserve">groups and share good practice as needed. Services such as those in Dorset (Dorset Community Action’s Navigator pilot as part of the </w:t>
      </w:r>
      <w:hyperlink r:id="rId216" w:history="1">
        <w:r>
          <w:rPr>
            <w:rFonts w:eastAsia="Arial"/>
            <w:color w:val="0000FF"/>
            <w:u w:val="single"/>
          </w:rPr>
          <w:t>Better Together</w:t>
        </w:r>
        <w:r>
          <w:rPr>
            <w:rFonts w:eastAsia="Arial"/>
            <w:color w:val="000000"/>
            <w:u w:val="single"/>
          </w:rPr>
          <w:t xml:space="preserve"> </w:t>
        </w:r>
      </w:hyperlink>
      <w:r>
        <w:rPr>
          <w:rFonts w:eastAsia="Arial"/>
          <w:color w:val="000000"/>
        </w:rPr>
        <w:t xml:space="preserve">programme) and the Isle of Wight </w:t>
      </w:r>
      <w:hyperlink r:id="rId217" w:history="1">
        <w:r>
          <w:rPr>
            <w:rFonts w:eastAsia="Arial"/>
            <w:color w:val="1F497D"/>
          </w:rPr>
          <w:t>(</w:t>
        </w:r>
        <w:r>
          <w:rPr>
            <w:rFonts w:eastAsia="Arial"/>
            <w:color w:val="0000FF"/>
            <w:u w:val="single"/>
          </w:rPr>
          <w:t>My Life A Full Life</w:t>
        </w:r>
      </w:hyperlink>
      <w:r>
        <w:rPr>
          <w:rFonts w:eastAsia="Arial"/>
          <w:color w:val="000000"/>
        </w:rPr>
        <w:t xml:space="preserve">)) operate at a strategic level to bring providers and commissioners together to address issues and find solutions. The key challenge is that all these services need support </w:t>
      </w:r>
      <w:r w:rsidR="008A0B4B">
        <w:rPr>
          <w:rFonts w:eastAsia="Arial"/>
          <w:color w:val="000000"/>
        </w:rPr>
        <w:t>from</w:t>
      </w:r>
      <w:r>
        <w:rPr>
          <w:rFonts w:eastAsia="Arial"/>
          <w:color w:val="000000"/>
        </w:rPr>
        <w:t xml:space="preserve"> commissioners and funding in some way so that there is a whole system approach. This support is not free but can be tailored to meet the needs of statutory providers and help to fill gaps and is cost effective, flexible and resourceful in its approach.</w:t>
      </w:r>
    </w:p>
    <w:p w14:paraId="678FA211" w14:textId="77777777" w:rsidR="00E25BFF" w:rsidRDefault="00E25BFF" w:rsidP="00E25BFF">
      <w:pPr>
        <w:spacing w:line="274" w:lineRule="exact"/>
        <w:rPr>
          <w:rFonts w:eastAsia="Arial"/>
          <w:color w:val="0000FF"/>
        </w:rPr>
      </w:pPr>
    </w:p>
    <w:p w14:paraId="0C495E70" w14:textId="77777777" w:rsidR="00E25BFF" w:rsidRDefault="00E25BFF" w:rsidP="00E25BFF">
      <w:pPr>
        <w:spacing w:line="0" w:lineRule="atLeast"/>
        <w:ind w:left="721"/>
        <w:rPr>
          <w:rFonts w:eastAsia="Arial"/>
          <w:i/>
        </w:rPr>
      </w:pPr>
      <w:r>
        <w:rPr>
          <w:rFonts w:eastAsia="Arial"/>
          <w:i/>
        </w:rPr>
        <w:t>Provided by Paul Dixon, Action with Communities in Rural England</w:t>
      </w:r>
    </w:p>
    <w:p w14:paraId="75B8B69E" w14:textId="77777777" w:rsidR="00E25BFF" w:rsidRDefault="00E25BFF" w:rsidP="001545D4">
      <w:pPr>
        <w:spacing w:line="360" w:lineRule="auto"/>
        <w:rPr>
          <w:rFonts w:eastAsia="Arial"/>
          <w:color w:val="0000FF"/>
        </w:rPr>
      </w:pPr>
    </w:p>
    <w:p w14:paraId="0964C253" w14:textId="77777777" w:rsidR="00997C3E" w:rsidRPr="00B45303" w:rsidRDefault="00997C3E" w:rsidP="001545D4">
      <w:pPr>
        <w:spacing w:line="360" w:lineRule="auto"/>
        <w:ind w:left="720" w:hanging="720"/>
        <w:rPr>
          <w:rFonts w:eastAsia="Arial"/>
          <w:iCs/>
        </w:rPr>
      </w:pPr>
      <w:r w:rsidRPr="00E64FF9">
        <w:rPr>
          <w:rFonts w:eastAsia="Arial"/>
          <w:iCs/>
        </w:rPr>
        <w:t xml:space="preserve">3.5.8   </w:t>
      </w:r>
      <w:hyperlink r:id="rId218" w:tgtFrame="_blank" w:history="1">
        <w:r w:rsidRPr="00E64FF9">
          <w:rPr>
            <w:rStyle w:val="Hyperlink"/>
            <w:iCs/>
            <w:color w:val="4A6EE0"/>
          </w:rPr>
          <w:t>All Our Health</w:t>
        </w:r>
      </w:hyperlink>
      <w:r w:rsidRPr="00E64FF9">
        <w:rPr>
          <w:iCs/>
        </w:rPr>
        <w:t> is a resource that helps front-line health and care staff use their trusted relationships with individuals, families and communities to take action on inclusion health.</w:t>
      </w:r>
    </w:p>
    <w:p w14:paraId="33C034CF" w14:textId="4AC95BF6" w:rsidR="008F25F5" w:rsidRDefault="008F25F5" w:rsidP="00E25BFF">
      <w:pPr>
        <w:spacing w:line="355" w:lineRule="exact"/>
        <w:rPr>
          <w:rFonts w:eastAsia="Arial"/>
          <w:color w:val="0000FF"/>
        </w:rPr>
      </w:pPr>
    </w:p>
    <w:p w14:paraId="29D9C263" w14:textId="77777777" w:rsidR="008F25F5" w:rsidRDefault="008F25F5" w:rsidP="00E25BFF">
      <w:pPr>
        <w:spacing w:line="355" w:lineRule="exact"/>
        <w:rPr>
          <w:rFonts w:eastAsia="Arial"/>
          <w:color w:val="0000FF"/>
        </w:rPr>
      </w:pPr>
    </w:p>
    <w:p w14:paraId="7BF1CE13" w14:textId="77777777" w:rsidR="00E25BFF" w:rsidRDefault="00E25BFF" w:rsidP="00E25BFF">
      <w:pPr>
        <w:pStyle w:val="Heading2"/>
        <w:rPr>
          <w:rFonts w:eastAsia="Arial"/>
        </w:rPr>
      </w:pPr>
      <w:bookmarkStart w:id="2566" w:name="_Toc95743601"/>
      <w:r>
        <w:rPr>
          <w:rFonts w:eastAsia="Arial"/>
        </w:rPr>
        <w:t>University populations</w:t>
      </w:r>
      <w:bookmarkEnd w:id="2566"/>
    </w:p>
    <w:p w14:paraId="067B9DA6" w14:textId="77777777" w:rsidR="00E25BFF" w:rsidRDefault="00E25BFF" w:rsidP="00E25BFF">
      <w:pPr>
        <w:spacing w:line="277" w:lineRule="exact"/>
        <w:rPr>
          <w:rFonts w:eastAsia="Arial"/>
          <w:color w:val="0000FF"/>
        </w:rPr>
      </w:pPr>
    </w:p>
    <w:p w14:paraId="4F5BAEC3" w14:textId="03456AAB" w:rsidR="00E25BFF" w:rsidRDefault="00725604" w:rsidP="001C7059">
      <w:pPr>
        <w:pStyle w:val="Heading3"/>
        <w:rPr>
          <w:rFonts w:eastAsia="Arial"/>
        </w:rPr>
      </w:pPr>
      <w:r>
        <w:rPr>
          <w:rFonts w:eastAsia="Arial"/>
        </w:rPr>
        <w:t>6.1 Description</w:t>
      </w:r>
      <w:r w:rsidR="00E25BFF">
        <w:rPr>
          <w:rFonts w:eastAsia="Arial"/>
        </w:rPr>
        <w:t xml:space="preserve"> of the Issues</w:t>
      </w:r>
    </w:p>
    <w:p w14:paraId="0B4C574B" w14:textId="77777777" w:rsidR="00E25BFF" w:rsidRDefault="00E25BFF" w:rsidP="00E25BFF">
      <w:pPr>
        <w:spacing w:line="188" w:lineRule="exact"/>
        <w:rPr>
          <w:rFonts w:eastAsia="Arial"/>
          <w:color w:val="0000FF"/>
        </w:rPr>
      </w:pPr>
    </w:p>
    <w:p w14:paraId="0ABD93AB" w14:textId="345387E7" w:rsidR="00E25BFF" w:rsidRPr="006872CE" w:rsidRDefault="00E25BFF" w:rsidP="00B06C2F">
      <w:pPr>
        <w:pStyle w:val="Heading3"/>
        <w:rPr>
          <w:rFonts w:ascii="Symbol" w:eastAsia="Symbol" w:hAnsi="Symbol"/>
          <w:szCs w:val="24"/>
        </w:rPr>
      </w:pPr>
      <w:r w:rsidRPr="006872CE">
        <w:rPr>
          <w:rFonts w:eastAsia="Arial"/>
          <w:szCs w:val="24"/>
        </w:rPr>
        <w:t>Some practices serving university populations are not able to earn as much QOF funding due to the low prevalence of disease</w:t>
      </w:r>
      <w:r w:rsidR="0040629C" w:rsidRPr="006872CE">
        <w:rPr>
          <w:rFonts w:eastAsia="Arial"/>
          <w:szCs w:val="24"/>
        </w:rPr>
        <w:t>s</w:t>
      </w:r>
      <w:r w:rsidRPr="006872CE">
        <w:rPr>
          <w:rFonts w:eastAsia="Arial"/>
          <w:szCs w:val="24"/>
        </w:rPr>
        <w:t>. There is an assumption by some that service provision is less onerous due to low disease prevalence.</w:t>
      </w:r>
    </w:p>
    <w:p w14:paraId="25D6BC2C" w14:textId="77777777" w:rsidR="00E25BFF" w:rsidRPr="006872CE" w:rsidRDefault="00E25BFF" w:rsidP="00E25BFF">
      <w:pPr>
        <w:spacing w:line="3" w:lineRule="exact"/>
        <w:rPr>
          <w:rFonts w:ascii="Symbol" w:eastAsia="Symbol" w:hAnsi="Symbol"/>
          <w:szCs w:val="24"/>
        </w:rPr>
      </w:pPr>
    </w:p>
    <w:p w14:paraId="39FDAE8A" w14:textId="77777777" w:rsidR="00E25BFF" w:rsidRPr="006872CE" w:rsidRDefault="00E25BFF" w:rsidP="00825050">
      <w:pPr>
        <w:numPr>
          <w:ilvl w:val="0"/>
          <w:numId w:val="14"/>
        </w:numPr>
        <w:tabs>
          <w:tab w:val="left" w:pos="721"/>
        </w:tabs>
        <w:spacing w:line="360" w:lineRule="auto"/>
        <w:ind w:left="721" w:hanging="361"/>
        <w:rPr>
          <w:rFonts w:ascii="Symbol" w:eastAsia="Symbol" w:hAnsi="Symbol"/>
          <w:szCs w:val="24"/>
        </w:rPr>
      </w:pPr>
      <w:r w:rsidRPr="006872CE">
        <w:rPr>
          <w:rFonts w:eastAsia="Arial"/>
          <w:szCs w:val="24"/>
        </w:rPr>
        <w:t>Anecdotally, it is believed that:</w:t>
      </w:r>
    </w:p>
    <w:p w14:paraId="541DB3B5" w14:textId="77777777" w:rsidR="00E25BFF" w:rsidRDefault="00E25BFF" w:rsidP="00A553BA">
      <w:pPr>
        <w:spacing w:line="360" w:lineRule="auto"/>
        <w:rPr>
          <w:rFonts w:eastAsia="Arial"/>
          <w:color w:val="0000FF"/>
        </w:rPr>
      </w:pPr>
    </w:p>
    <w:p w14:paraId="33908DAF" w14:textId="454A38E9" w:rsidR="00E25BFF" w:rsidRPr="00A553BA" w:rsidRDefault="00E25BFF" w:rsidP="00A553BA">
      <w:pPr>
        <w:spacing w:line="360" w:lineRule="auto"/>
        <w:ind w:left="1441"/>
        <w:rPr>
          <w:rFonts w:eastAsia="Arial"/>
        </w:rPr>
      </w:pPr>
      <w:r w:rsidRPr="009B608D">
        <w:rPr>
          <w:rFonts w:eastAsia="Arial"/>
        </w:rPr>
        <w:t>Since many students are living independently for the first time, this can be a time when they experiment by engaging in behaviours that affect their health and need for service interventions e.g. around alcohol and drug use and sexual activity, leading to a higher than average demand for services related to these. In addition, for students who do not have access to immediate family support, there can consequently be a greater need for primary care services especially in respect of mental</w:t>
      </w:r>
      <w:r w:rsidR="009B608D">
        <w:rPr>
          <w:rFonts w:eastAsia="Arial"/>
        </w:rPr>
        <w:t xml:space="preserve"> </w:t>
      </w:r>
      <w:r>
        <w:rPr>
          <w:rFonts w:eastAsia="Arial"/>
        </w:rPr>
        <w:t>health support</w:t>
      </w:r>
    </w:p>
    <w:p w14:paraId="4B985481" w14:textId="77777777" w:rsidR="00E25BFF" w:rsidRPr="006872CE" w:rsidRDefault="00E25BFF" w:rsidP="00A553BA">
      <w:pPr>
        <w:spacing w:line="360" w:lineRule="auto"/>
        <w:rPr>
          <w:rFonts w:eastAsia="Arial"/>
          <w:color w:val="0000FF"/>
          <w:szCs w:val="24"/>
        </w:rPr>
      </w:pPr>
    </w:p>
    <w:p w14:paraId="2DEEC237" w14:textId="28862ED8" w:rsidR="00E25BFF" w:rsidRPr="006872CE" w:rsidRDefault="00E25BFF" w:rsidP="00825050">
      <w:pPr>
        <w:numPr>
          <w:ilvl w:val="0"/>
          <w:numId w:val="15"/>
        </w:numPr>
        <w:tabs>
          <w:tab w:val="left" w:pos="1441"/>
        </w:tabs>
        <w:spacing w:line="360" w:lineRule="auto"/>
        <w:ind w:left="1441" w:right="120" w:hanging="361"/>
        <w:rPr>
          <w:rFonts w:ascii="Courier New" w:eastAsia="Courier New" w:hAnsi="Courier New"/>
          <w:szCs w:val="24"/>
        </w:rPr>
      </w:pPr>
      <w:r w:rsidRPr="006872CE">
        <w:rPr>
          <w:rFonts w:eastAsia="Arial"/>
          <w:szCs w:val="24"/>
        </w:rPr>
        <w:t>Students can present with minor ailments or with seemingly unfounded worries about their wellbeing. For those who have moved away from home and are living independently for the first time</w:t>
      </w:r>
      <w:r w:rsidR="0040629C" w:rsidRPr="006872CE">
        <w:rPr>
          <w:rFonts w:eastAsia="Arial"/>
          <w:szCs w:val="24"/>
        </w:rPr>
        <w:t>,</w:t>
      </w:r>
      <w:r w:rsidRPr="006872CE">
        <w:rPr>
          <w:rFonts w:eastAsia="Arial"/>
          <w:szCs w:val="24"/>
        </w:rPr>
        <w:t xml:space="preserve"> it is important that they are provided with information about the range of primary care services available including pharmacy as well as online sources of support (i.e. supported to develop “health literacy”)</w:t>
      </w:r>
    </w:p>
    <w:p w14:paraId="3B9D7A4B" w14:textId="77777777" w:rsidR="00E25BFF" w:rsidRPr="006872CE" w:rsidRDefault="00E25BFF" w:rsidP="00A553BA">
      <w:pPr>
        <w:spacing w:line="360" w:lineRule="auto"/>
        <w:rPr>
          <w:rFonts w:eastAsia="Arial"/>
          <w:color w:val="0000FF"/>
          <w:szCs w:val="24"/>
        </w:rPr>
      </w:pPr>
    </w:p>
    <w:p w14:paraId="23695F92" w14:textId="77777777" w:rsidR="00E25BFF" w:rsidRPr="006872CE" w:rsidRDefault="00E25BFF" w:rsidP="00825050">
      <w:pPr>
        <w:numPr>
          <w:ilvl w:val="0"/>
          <w:numId w:val="16"/>
        </w:numPr>
        <w:tabs>
          <w:tab w:val="left" w:pos="1441"/>
        </w:tabs>
        <w:spacing w:line="360" w:lineRule="auto"/>
        <w:ind w:left="1441" w:right="380" w:hanging="361"/>
        <w:rPr>
          <w:rFonts w:ascii="Courier New" w:eastAsia="Courier New" w:hAnsi="Courier New"/>
          <w:szCs w:val="24"/>
        </w:rPr>
      </w:pPr>
      <w:r w:rsidRPr="006872CE">
        <w:rPr>
          <w:rFonts w:eastAsia="Arial"/>
          <w:szCs w:val="24"/>
        </w:rPr>
        <w:t>A significant number of students with long term and complex health needs attend university (e.g. CF, transplants, MS, asthma, diabetes)</w:t>
      </w:r>
    </w:p>
    <w:p w14:paraId="1C843317" w14:textId="77777777" w:rsidR="00E25BFF" w:rsidRPr="006872CE" w:rsidRDefault="00E25BFF" w:rsidP="00A553BA">
      <w:pPr>
        <w:spacing w:line="360" w:lineRule="auto"/>
        <w:rPr>
          <w:rFonts w:eastAsia="Arial"/>
          <w:color w:val="0000FF"/>
          <w:szCs w:val="24"/>
        </w:rPr>
      </w:pPr>
    </w:p>
    <w:p w14:paraId="16A8C509" w14:textId="5BF506E2" w:rsidR="00E25BFF" w:rsidRPr="006872CE" w:rsidRDefault="00E25BFF" w:rsidP="00A553BA">
      <w:pPr>
        <w:spacing w:line="360" w:lineRule="auto"/>
        <w:ind w:left="1441" w:right="40"/>
        <w:rPr>
          <w:rFonts w:eastAsia="Arial"/>
          <w:szCs w:val="24"/>
        </w:rPr>
      </w:pPr>
      <w:r w:rsidRPr="006872CE">
        <w:rPr>
          <w:rFonts w:eastAsia="Arial"/>
          <w:szCs w:val="24"/>
        </w:rPr>
        <w:t xml:space="preserve">and transition to new primary care and secondary care arrangements, if they are leaving home, is important as is support for </w:t>
      </w:r>
      <w:r w:rsidR="0040629C" w:rsidRPr="006872CE">
        <w:rPr>
          <w:rFonts w:eastAsia="Arial"/>
          <w:szCs w:val="24"/>
        </w:rPr>
        <w:t xml:space="preserve">the </w:t>
      </w:r>
      <w:r w:rsidRPr="006872CE">
        <w:rPr>
          <w:rFonts w:eastAsia="Arial"/>
          <w:szCs w:val="24"/>
        </w:rPr>
        <w:t>transition to adult services which can take place during the university years.</w:t>
      </w:r>
    </w:p>
    <w:p w14:paraId="639BAF47" w14:textId="77777777" w:rsidR="00E25BFF" w:rsidRPr="006872CE" w:rsidRDefault="00E25BFF" w:rsidP="00A553BA">
      <w:pPr>
        <w:spacing w:line="360" w:lineRule="auto"/>
        <w:rPr>
          <w:rFonts w:eastAsia="Arial"/>
          <w:color w:val="0000FF"/>
          <w:szCs w:val="24"/>
        </w:rPr>
      </w:pPr>
    </w:p>
    <w:p w14:paraId="02C2932D" w14:textId="199A32E7" w:rsidR="00E25BFF" w:rsidRPr="006872CE" w:rsidRDefault="00E25BFF" w:rsidP="00825050">
      <w:pPr>
        <w:numPr>
          <w:ilvl w:val="0"/>
          <w:numId w:val="17"/>
        </w:numPr>
        <w:tabs>
          <w:tab w:val="left" w:pos="1441"/>
        </w:tabs>
        <w:spacing w:line="360" w:lineRule="auto"/>
        <w:ind w:left="1441" w:right="180" w:hanging="361"/>
        <w:rPr>
          <w:rFonts w:ascii="Courier New" w:eastAsia="Courier New" w:hAnsi="Courier New"/>
          <w:szCs w:val="24"/>
        </w:rPr>
      </w:pPr>
      <w:r w:rsidRPr="006872CE">
        <w:rPr>
          <w:rFonts w:eastAsia="Arial"/>
          <w:szCs w:val="24"/>
        </w:rPr>
        <w:t>For foreign students, a lack of familiarity with the country and how health services work can create additional demand for GP practices to</w:t>
      </w:r>
      <w:r w:rsidR="00B06C2F" w:rsidRPr="006872CE">
        <w:rPr>
          <w:rFonts w:ascii="Courier New" w:eastAsia="Courier New" w:hAnsi="Courier New"/>
          <w:szCs w:val="24"/>
        </w:rPr>
        <w:t xml:space="preserve"> </w:t>
      </w:r>
      <w:r w:rsidRPr="006872CE">
        <w:rPr>
          <w:rFonts w:eastAsia="Arial"/>
          <w:szCs w:val="24"/>
        </w:rPr>
        <w:t xml:space="preserve">signpost patients to more appropriate services or lead foreign students to go directly to A&amp;E which leads to additional demand on </w:t>
      </w:r>
      <w:r w:rsidR="00B83042" w:rsidRPr="006872CE">
        <w:rPr>
          <w:rFonts w:eastAsia="Arial"/>
          <w:szCs w:val="24"/>
        </w:rPr>
        <w:t>CCG/ICB</w:t>
      </w:r>
      <w:r w:rsidRPr="006872CE">
        <w:rPr>
          <w:rFonts w:eastAsia="Arial"/>
          <w:szCs w:val="24"/>
        </w:rPr>
        <w:t xml:space="preserve"> resources</w:t>
      </w:r>
    </w:p>
    <w:p w14:paraId="7D94DCB7" w14:textId="77777777" w:rsidR="00E25BFF" w:rsidRPr="006872CE" w:rsidRDefault="00E25BFF" w:rsidP="00A553BA">
      <w:pPr>
        <w:spacing w:line="360" w:lineRule="auto"/>
        <w:rPr>
          <w:rFonts w:ascii="Times New Roman" w:hAnsi="Times New Roman"/>
          <w:szCs w:val="24"/>
        </w:rPr>
      </w:pPr>
    </w:p>
    <w:p w14:paraId="52E4619A" w14:textId="0FB6B9AA" w:rsidR="00E25BFF" w:rsidRPr="006872CE" w:rsidRDefault="00E25BFF" w:rsidP="00825050">
      <w:pPr>
        <w:numPr>
          <w:ilvl w:val="1"/>
          <w:numId w:val="18"/>
        </w:numPr>
        <w:tabs>
          <w:tab w:val="left" w:pos="1440"/>
        </w:tabs>
        <w:spacing w:line="360" w:lineRule="auto"/>
        <w:ind w:left="1440" w:right="140" w:hanging="361"/>
        <w:rPr>
          <w:rFonts w:ascii="Courier New" w:eastAsia="Courier New" w:hAnsi="Courier New"/>
          <w:szCs w:val="24"/>
        </w:rPr>
      </w:pPr>
      <w:r w:rsidRPr="006872CE">
        <w:rPr>
          <w:rFonts w:eastAsia="Arial"/>
          <w:szCs w:val="24"/>
        </w:rPr>
        <w:t xml:space="preserve">In </w:t>
      </w:r>
      <w:r w:rsidR="00725604" w:rsidRPr="006872CE">
        <w:rPr>
          <w:rFonts w:eastAsia="Arial"/>
          <w:szCs w:val="24"/>
        </w:rPr>
        <w:t>addition,</w:t>
      </w:r>
      <w:r w:rsidRPr="006872CE">
        <w:rPr>
          <w:rFonts w:eastAsia="Arial"/>
          <w:szCs w:val="24"/>
        </w:rPr>
        <w:t xml:space="preserve"> some foreign students may have greater health risks/needs (e.g. TB, hepatitis)</w:t>
      </w:r>
    </w:p>
    <w:p w14:paraId="1E812AF0" w14:textId="77777777" w:rsidR="00E25BFF" w:rsidRPr="006872CE" w:rsidRDefault="00E25BFF" w:rsidP="00A553BA">
      <w:pPr>
        <w:spacing w:line="360" w:lineRule="auto"/>
        <w:rPr>
          <w:rFonts w:ascii="Courier New" w:eastAsia="Courier New" w:hAnsi="Courier New"/>
          <w:szCs w:val="24"/>
        </w:rPr>
      </w:pPr>
    </w:p>
    <w:p w14:paraId="5C58F26E" w14:textId="77777777" w:rsidR="00E25BFF" w:rsidRPr="006872CE" w:rsidRDefault="00E25BFF" w:rsidP="00825050">
      <w:pPr>
        <w:numPr>
          <w:ilvl w:val="0"/>
          <w:numId w:val="18"/>
        </w:numPr>
        <w:tabs>
          <w:tab w:val="left" w:pos="720"/>
        </w:tabs>
        <w:spacing w:line="360" w:lineRule="auto"/>
        <w:ind w:left="720" w:right="680" w:hanging="361"/>
        <w:rPr>
          <w:rFonts w:ascii="Symbol" w:eastAsia="Symbol" w:hAnsi="Symbol"/>
          <w:szCs w:val="24"/>
        </w:rPr>
      </w:pPr>
      <w:r w:rsidRPr="006872CE">
        <w:rPr>
          <w:rFonts w:eastAsia="Arial"/>
          <w:szCs w:val="24"/>
        </w:rPr>
        <w:t>Additional administrative effort required to register large numbers of new patients in September / October and de-register in the summer.</w:t>
      </w:r>
    </w:p>
    <w:p w14:paraId="5B595D78" w14:textId="77777777" w:rsidR="00E25BFF" w:rsidRDefault="00E25BFF" w:rsidP="00A553BA">
      <w:pPr>
        <w:spacing w:line="360" w:lineRule="auto"/>
        <w:rPr>
          <w:rFonts w:ascii="Times New Roman" w:hAnsi="Times New Roman"/>
        </w:rPr>
      </w:pPr>
    </w:p>
    <w:p w14:paraId="0E63B9EF" w14:textId="7BA84B2B" w:rsidR="00E25BFF" w:rsidRDefault="00E25BFF" w:rsidP="009B608D">
      <w:pPr>
        <w:pStyle w:val="Heading3"/>
        <w:rPr>
          <w:rFonts w:eastAsia="Arial"/>
        </w:rPr>
      </w:pPr>
      <w:r>
        <w:rPr>
          <w:rFonts w:eastAsia="Arial"/>
        </w:rPr>
        <w:t>Information/Data considerations</w:t>
      </w:r>
    </w:p>
    <w:p w14:paraId="22E0CA89" w14:textId="77777777" w:rsidR="00E25BFF" w:rsidRDefault="00E25BFF" w:rsidP="00E25BFF">
      <w:pPr>
        <w:spacing w:line="200" w:lineRule="exact"/>
        <w:rPr>
          <w:rFonts w:ascii="Times New Roman" w:hAnsi="Times New Roman"/>
        </w:rPr>
      </w:pPr>
    </w:p>
    <w:p w14:paraId="24C6B2E7" w14:textId="77777777" w:rsidR="00E25BFF" w:rsidRDefault="00E25BFF" w:rsidP="00E25BFF">
      <w:pPr>
        <w:spacing w:line="250" w:lineRule="exact"/>
        <w:rPr>
          <w:rFonts w:ascii="Times New Roman" w:hAnsi="Times New Roman"/>
        </w:rPr>
      </w:pPr>
    </w:p>
    <w:p w14:paraId="75CA062E" w14:textId="77777777" w:rsidR="00E25BFF" w:rsidRDefault="00E25BFF" w:rsidP="00B06C2F">
      <w:pPr>
        <w:pStyle w:val="Heading3"/>
        <w:rPr>
          <w:rFonts w:eastAsia="Arial"/>
        </w:rPr>
      </w:pPr>
      <w:r>
        <w:rPr>
          <w:rFonts w:eastAsia="Arial"/>
        </w:rPr>
        <w:t>Here are some data sources or information that you may wish to consider when trying to define if a population is atypical:</w:t>
      </w:r>
    </w:p>
    <w:p w14:paraId="625C10BD" w14:textId="77777777" w:rsidR="00E25BFF" w:rsidRDefault="00E25BFF" w:rsidP="00E25BFF">
      <w:pPr>
        <w:spacing w:line="276" w:lineRule="exact"/>
        <w:rPr>
          <w:rFonts w:ascii="Times New Roman" w:hAnsi="Times New Roman"/>
        </w:rPr>
      </w:pPr>
    </w:p>
    <w:p w14:paraId="00FB1096" w14:textId="77777777" w:rsidR="00E25BFF" w:rsidRDefault="00E25BFF" w:rsidP="006872CE">
      <w:pPr>
        <w:numPr>
          <w:ilvl w:val="0"/>
          <w:numId w:val="19"/>
        </w:numPr>
        <w:tabs>
          <w:tab w:val="left" w:pos="720"/>
        </w:tabs>
        <w:spacing w:line="360" w:lineRule="auto"/>
        <w:ind w:left="720" w:hanging="361"/>
        <w:rPr>
          <w:rFonts w:ascii="Symbol" w:eastAsia="Symbol" w:hAnsi="Symbol"/>
        </w:rPr>
      </w:pPr>
      <w:r>
        <w:rPr>
          <w:rFonts w:eastAsia="Arial"/>
        </w:rPr>
        <w:t>Comparative consultation rates (if local data available)</w:t>
      </w:r>
    </w:p>
    <w:p w14:paraId="3AB7E983" w14:textId="77777777" w:rsidR="00E25BFF" w:rsidRDefault="00E25BFF" w:rsidP="006872CE">
      <w:pPr>
        <w:numPr>
          <w:ilvl w:val="0"/>
          <w:numId w:val="19"/>
        </w:numPr>
        <w:tabs>
          <w:tab w:val="left" w:pos="720"/>
        </w:tabs>
        <w:spacing w:line="360" w:lineRule="auto"/>
        <w:ind w:left="720" w:hanging="361"/>
        <w:rPr>
          <w:rFonts w:ascii="Symbol" w:eastAsia="Symbol" w:hAnsi="Symbol"/>
        </w:rPr>
      </w:pPr>
      <w:r>
        <w:rPr>
          <w:rFonts w:eastAsia="Arial"/>
        </w:rPr>
        <w:t>Prevalence of disease not covered by QOF, particularly mental health</w:t>
      </w:r>
    </w:p>
    <w:p w14:paraId="01BC2BE9" w14:textId="776C9E7E" w:rsidR="00E25BFF" w:rsidRPr="006872CE" w:rsidRDefault="00E25BFF" w:rsidP="006872CE">
      <w:pPr>
        <w:numPr>
          <w:ilvl w:val="0"/>
          <w:numId w:val="19"/>
        </w:numPr>
        <w:tabs>
          <w:tab w:val="left" w:pos="720"/>
        </w:tabs>
        <w:spacing w:line="360" w:lineRule="auto"/>
        <w:ind w:left="720" w:hanging="361"/>
        <w:rPr>
          <w:rFonts w:ascii="Symbol" w:eastAsia="Symbol" w:hAnsi="Symbol"/>
        </w:rPr>
      </w:pPr>
      <w:r>
        <w:rPr>
          <w:rFonts w:eastAsia="Arial"/>
        </w:rPr>
        <w:t>Per-patient weighted funding level provided by global sum</w:t>
      </w:r>
    </w:p>
    <w:p w14:paraId="2AED364E" w14:textId="77777777" w:rsidR="00E25BFF" w:rsidRDefault="00E25BFF" w:rsidP="006872CE">
      <w:pPr>
        <w:numPr>
          <w:ilvl w:val="0"/>
          <w:numId w:val="19"/>
        </w:numPr>
        <w:tabs>
          <w:tab w:val="left" w:pos="720"/>
        </w:tabs>
        <w:spacing w:line="360" w:lineRule="auto"/>
        <w:ind w:left="720" w:right="120" w:hanging="361"/>
        <w:rPr>
          <w:rFonts w:ascii="Symbol" w:eastAsia="Symbol" w:hAnsi="Symbol"/>
        </w:rPr>
      </w:pPr>
      <w:r>
        <w:rPr>
          <w:rFonts w:eastAsia="Arial"/>
        </w:rPr>
        <w:t>Registration data in September – October to identify student registrations and de-registrations over the summer.</w:t>
      </w:r>
    </w:p>
    <w:p w14:paraId="69490BB4" w14:textId="77777777" w:rsidR="00E25BFF" w:rsidRDefault="00E25BFF" w:rsidP="00E25BFF">
      <w:pPr>
        <w:spacing w:line="279" w:lineRule="exact"/>
        <w:rPr>
          <w:rFonts w:ascii="Times New Roman" w:hAnsi="Times New Roman"/>
        </w:rPr>
      </w:pPr>
    </w:p>
    <w:p w14:paraId="3252E02B" w14:textId="12946F72" w:rsidR="00E25BFF" w:rsidRDefault="00725604" w:rsidP="001C7059">
      <w:pPr>
        <w:pStyle w:val="Heading3"/>
        <w:rPr>
          <w:rFonts w:eastAsia="Arial"/>
        </w:rPr>
      </w:pPr>
      <w:r>
        <w:rPr>
          <w:rFonts w:eastAsia="Arial"/>
        </w:rPr>
        <w:t>Support</w:t>
      </w:r>
      <w:r w:rsidR="00E25BFF">
        <w:rPr>
          <w:rFonts w:eastAsia="Arial"/>
        </w:rPr>
        <w:t xml:space="preserve"> Initiatives</w:t>
      </w:r>
    </w:p>
    <w:p w14:paraId="306E9B0D" w14:textId="77777777" w:rsidR="00E25BFF" w:rsidRDefault="00E25BFF" w:rsidP="00E25BFF">
      <w:pPr>
        <w:spacing w:line="200" w:lineRule="exact"/>
        <w:rPr>
          <w:rFonts w:ascii="Times New Roman" w:hAnsi="Times New Roman"/>
        </w:rPr>
      </w:pPr>
    </w:p>
    <w:p w14:paraId="1E3F1BDD" w14:textId="77777777" w:rsidR="00E25BFF" w:rsidRDefault="00E25BFF" w:rsidP="00E25BFF">
      <w:pPr>
        <w:spacing w:line="247" w:lineRule="exact"/>
        <w:rPr>
          <w:rFonts w:ascii="Times New Roman" w:hAnsi="Times New Roman"/>
        </w:rPr>
      </w:pPr>
    </w:p>
    <w:p w14:paraId="761CB477" w14:textId="5032AE37" w:rsidR="00E25BFF" w:rsidRDefault="00E25BFF" w:rsidP="009B608D">
      <w:pPr>
        <w:pStyle w:val="Heading3"/>
        <w:rPr>
          <w:rFonts w:eastAsia="Arial"/>
        </w:rPr>
      </w:pPr>
      <w:r>
        <w:rPr>
          <w:rFonts w:eastAsia="Arial"/>
        </w:rPr>
        <w:t>The case studies listed below are not an exhaustive list. Commissioners and providers can review these case studies, tailor them to their local area as required, and/or decided on other support arrangements that might be appropriate.</w:t>
      </w:r>
    </w:p>
    <w:p w14:paraId="46442880" w14:textId="77777777" w:rsidR="00E25BFF" w:rsidRDefault="00E25BFF" w:rsidP="00A553BA">
      <w:pPr>
        <w:spacing w:line="360" w:lineRule="auto"/>
        <w:rPr>
          <w:rFonts w:ascii="Times New Roman" w:hAnsi="Times New Roman"/>
        </w:rPr>
      </w:pPr>
    </w:p>
    <w:p w14:paraId="3FD2864D" w14:textId="31D672A7" w:rsidR="00E25BFF" w:rsidRPr="00FF7B03" w:rsidRDefault="000B57EE" w:rsidP="006C3DF5">
      <w:pPr>
        <w:pStyle w:val="ListParagraph"/>
        <w:numPr>
          <w:ilvl w:val="0"/>
          <w:numId w:val="89"/>
        </w:numPr>
        <w:tabs>
          <w:tab w:val="left" w:pos="720"/>
        </w:tabs>
        <w:spacing w:line="360" w:lineRule="auto"/>
        <w:rPr>
          <w:rFonts w:eastAsia="Arial"/>
          <w:color w:val="0000FF"/>
        </w:rPr>
      </w:pPr>
      <w:hyperlink r:id="rId219" w:anchor=":~:text=The%20GP%20Champs%20project%20set,voluntary%20youth%20organisations%2C%20particularly%20YIACS." w:history="1">
        <w:r w:rsidR="00E25BFF" w:rsidRPr="00FF7B03">
          <w:rPr>
            <w:rFonts w:eastAsia="Arial"/>
            <w:color w:val="0000FF"/>
            <w:u w:val="single"/>
          </w:rPr>
          <w:t>GP Champions for youth health project</w:t>
        </w:r>
        <w:r w:rsidR="00E25BFF" w:rsidRPr="00FF7B03">
          <w:rPr>
            <w:rFonts w:eastAsia="Arial"/>
            <w:color w:val="0000FF"/>
          </w:rPr>
          <w:t xml:space="preserve"> </w:t>
        </w:r>
      </w:hyperlink>
      <w:r w:rsidR="00E25BFF" w:rsidRPr="00FF7B03">
        <w:rPr>
          <w:rFonts w:eastAsia="Arial"/>
          <w:color w:val="000000"/>
        </w:rPr>
        <w:t>-</w:t>
      </w:r>
      <w:r w:rsidR="00E25BFF" w:rsidRPr="00FF7B03">
        <w:rPr>
          <w:rFonts w:eastAsia="Arial"/>
          <w:color w:val="0000FF"/>
        </w:rPr>
        <w:t xml:space="preserve"> </w:t>
      </w:r>
      <w:r w:rsidR="00E25BFF" w:rsidRPr="00FF7B03">
        <w:rPr>
          <w:rFonts w:eastAsia="Arial"/>
          <w:color w:val="000000"/>
        </w:rPr>
        <w:t>funded by the Department of Health</w:t>
      </w:r>
      <w:r w:rsidR="0040629C">
        <w:rPr>
          <w:rFonts w:eastAsia="Arial"/>
          <w:color w:val="000000"/>
        </w:rPr>
        <w:t xml:space="preserve"> and Social Care</w:t>
      </w:r>
    </w:p>
    <w:p w14:paraId="0A76FC9C" w14:textId="1A72260A" w:rsidR="00E25BFF" w:rsidRPr="00F3371B" w:rsidRDefault="00E25BFF" w:rsidP="006C3DF5">
      <w:pPr>
        <w:pStyle w:val="ListParagraph"/>
        <w:numPr>
          <w:ilvl w:val="0"/>
          <w:numId w:val="89"/>
        </w:numPr>
        <w:tabs>
          <w:tab w:val="left" w:pos="720"/>
        </w:tabs>
        <w:spacing w:line="360" w:lineRule="auto"/>
        <w:rPr>
          <w:rStyle w:val="Hyperlink"/>
          <w:rFonts w:eastAsia="Arial"/>
        </w:rPr>
      </w:pPr>
      <w:r w:rsidRPr="00FF7B03">
        <w:rPr>
          <w:rFonts w:eastAsia="Arial"/>
        </w:rPr>
        <w:t xml:space="preserve">Promotion of online support tools for young people e.g. </w:t>
      </w:r>
      <w:r w:rsidR="00F3371B">
        <w:rPr>
          <w:rFonts w:eastAsia="Arial"/>
          <w:color w:val="0000FF"/>
          <w:u w:val="single"/>
        </w:rPr>
        <w:fldChar w:fldCharType="begin"/>
      </w:r>
      <w:r w:rsidR="00F3371B">
        <w:rPr>
          <w:rFonts w:eastAsia="Arial"/>
          <w:color w:val="0000FF"/>
          <w:u w:val="single"/>
        </w:rPr>
        <w:instrText xml:space="preserve"> HYPERLINK "https://www.nhs.uk/apps-library/nhs-go/" </w:instrText>
      </w:r>
      <w:r w:rsidR="00F3371B">
        <w:rPr>
          <w:rFonts w:eastAsia="Arial"/>
          <w:color w:val="0000FF"/>
          <w:u w:val="single"/>
        </w:rPr>
        <w:fldChar w:fldCharType="separate"/>
      </w:r>
      <w:r w:rsidRPr="00F3371B">
        <w:rPr>
          <w:rStyle w:val="Hyperlink"/>
          <w:rFonts w:eastAsia="Arial"/>
        </w:rPr>
        <w:t>NHS Go app</w:t>
      </w:r>
    </w:p>
    <w:p w14:paraId="11C5AED6" w14:textId="21A1A769" w:rsidR="00E25BFF" w:rsidRDefault="00F3371B" w:rsidP="00A553BA">
      <w:pPr>
        <w:spacing w:line="360" w:lineRule="auto"/>
        <w:rPr>
          <w:rFonts w:eastAsia="Arial"/>
        </w:rPr>
      </w:pPr>
      <w:r>
        <w:rPr>
          <w:rFonts w:eastAsia="Arial"/>
          <w:color w:val="0000FF"/>
          <w:u w:val="single"/>
        </w:rPr>
        <w:fldChar w:fldCharType="end"/>
      </w:r>
    </w:p>
    <w:p w14:paraId="67D10A20" w14:textId="7CDC1182" w:rsidR="00E25BFF" w:rsidRPr="00FF7B03" w:rsidRDefault="00E25BFF" w:rsidP="006C3DF5">
      <w:pPr>
        <w:pStyle w:val="ListParagraph"/>
        <w:numPr>
          <w:ilvl w:val="0"/>
          <w:numId w:val="89"/>
        </w:numPr>
        <w:tabs>
          <w:tab w:val="left" w:pos="720"/>
        </w:tabs>
        <w:spacing w:line="360" w:lineRule="auto"/>
        <w:ind w:right="240"/>
        <w:rPr>
          <w:rFonts w:eastAsia="Arial"/>
          <w:color w:val="0000FF"/>
        </w:rPr>
      </w:pPr>
      <w:r w:rsidRPr="00FF7B03">
        <w:rPr>
          <w:rFonts w:eastAsia="Arial"/>
        </w:rPr>
        <w:t>Using technology to reduce administration e.g. text message results service, online administration e.g. updating address</w:t>
      </w:r>
      <w:r w:rsidRPr="00FF7B03">
        <w:rPr>
          <w:rFonts w:eastAsia="Arial"/>
          <w:color w:val="000000"/>
        </w:rPr>
        <w:t>)</w:t>
      </w:r>
    </w:p>
    <w:p w14:paraId="597E6B47" w14:textId="32B7AAC4" w:rsidR="00E25BFF" w:rsidRDefault="000B57EE" w:rsidP="00A553BA">
      <w:pPr>
        <w:spacing w:line="360" w:lineRule="auto"/>
        <w:rPr>
          <w:rFonts w:eastAsia="Arial"/>
          <w:color w:val="0000FF"/>
        </w:rPr>
      </w:pPr>
      <w:hyperlink r:id="rId220" w:history="1">
        <w:r w:rsidR="00F3371B" w:rsidRPr="00F3371B">
          <w:rPr>
            <w:rStyle w:val="Hyperlink"/>
            <w:rFonts w:eastAsia="Arial"/>
          </w:rPr>
          <w:t>(University Health Centre, Sheffield)</w:t>
        </w:r>
      </w:hyperlink>
    </w:p>
    <w:p w14:paraId="61E67415" w14:textId="77777777" w:rsidR="00E25BFF" w:rsidRPr="00FF7B03" w:rsidRDefault="00E25BFF" w:rsidP="006C3DF5">
      <w:pPr>
        <w:pStyle w:val="ListParagraph"/>
        <w:numPr>
          <w:ilvl w:val="0"/>
          <w:numId w:val="89"/>
        </w:numPr>
        <w:tabs>
          <w:tab w:val="left" w:pos="720"/>
        </w:tabs>
        <w:spacing w:line="360" w:lineRule="auto"/>
        <w:rPr>
          <w:rFonts w:ascii="Symbol" w:eastAsia="Symbol" w:hAnsi="Symbol"/>
        </w:rPr>
      </w:pPr>
      <w:r w:rsidRPr="00FF7B03">
        <w:rPr>
          <w:rFonts w:eastAsia="Arial"/>
        </w:rPr>
        <w:t>Local QOF or Local Enhanced Service for specific needs of the population</w:t>
      </w:r>
    </w:p>
    <w:p w14:paraId="61003C0B" w14:textId="77777777" w:rsidR="00E25BFF" w:rsidRPr="00FF7B03" w:rsidRDefault="00E25BFF" w:rsidP="006C3DF5">
      <w:pPr>
        <w:pStyle w:val="ListParagraph"/>
        <w:numPr>
          <w:ilvl w:val="0"/>
          <w:numId w:val="89"/>
        </w:numPr>
        <w:tabs>
          <w:tab w:val="left" w:pos="720"/>
        </w:tabs>
        <w:spacing w:line="360" w:lineRule="auto"/>
        <w:rPr>
          <w:rFonts w:eastAsia="Arial"/>
        </w:rPr>
      </w:pPr>
      <w:r w:rsidRPr="00FF7B03">
        <w:rPr>
          <w:rFonts w:eastAsia="Arial"/>
        </w:rPr>
        <w:t xml:space="preserve">Skype consultations e.g. </w:t>
      </w:r>
      <w:hyperlink r:id="rId221" w:history="1">
        <w:r w:rsidRPr="00FF7B03">
          <w:rPr>
            <w:rFonts w:eastAsia="Arial"/>
            <w:color w:val="0000FF"/>
            <w:u w:val="single"/>
          </w:rPr>
          <w:t>Newham’s young people with diabetes project</w:t>
        </w:r>
      </w:hyperlink>
    </w:p>
    <w:p w14:paraId="610C59D8" w14:textId="77777777" w:rsidR="00E25BFF" w:rsidRDefault="00E25BFF" w:rsidP="00A553BA">
      <w:pPr>
        <w:spacing w:line="360" w:lineRule="auto"/>
        <w:rPr>
          <w:rFonts w:eastAsia="Arial"/>
        </w:rPr>
      </w:pPr>
    </w:p>
    <w:p w14:paraId="31DFAA3B" w14:textId="77777777" w:rsidR="00E25BFF" w:rsidRPr="00FF7B03" w:rsidRDefault="00E25BFF" w:rsidP="006C3DF5">
      <w:pPr>
        <w:pStyle w:val="ListParagraph"/>
        <w:numPr>
          <w:ilvl w:val="0"/>
          <w:numId w:val="89"/>
        </w:numPr>
        <w:tabs>
          <w:tab w:val="left" w:pos="720"/>
        </w:tabs>
        <w:spacing w:line="360" w:lineRule="auto"/>
        <w:ind w:right="60"/>
        <w:rPr>
          <w:rFonts w:ascii="Symbol" w:eastAsia="Symbol" w:hAnsi="Symbol"/>
        </w:rPr>
      </w:pPr>
      <w:r w:rsidRPr="00FF7B03">
        <w:rPr>
          <w:rFonts w:eastAsia="Arial"/>
        </w:rPr>
        <w:t>Shared care between ‘home’ and university-based health care services can help support adherence of and management of long term conditions for young people.</w:t>
      </w:r>
    </w:p>
    <w:p w14:paraId="48CA7CB2" w14:textId="16B3C854" w:rsidR="00E25BFF" w:rsidRDefault="00725604" w:rsidP="009B608D">
      <w:pPr>
        <w:pStyle w:val="Heading3"/>
        <w:rPr>
          <w:rFonts w:eastAsia="Arial"/>
        </w:rPr>
      </w:pPr>
      <w:r>
        <w:rPr>
          <w:rFonts w:eastAsia="Arial"/>
        </w:rPr>
        <w:t>Patient</w:t>
      </w:r>
      <w:r w:rsidR="00E25BFF">
        <w:rPr>
          <w:rFonts w:eastAsia="Arial"/>
        </w:rPr>
        <w:t xml:space="preserve"> Group Observations</w:t>
      </w:r>
    </w:p>
    <w:p w14:paraId="01991180" w14:textId="77777777" w:rsidR="00E25BFF" w:rsidRDefault="00E25BFF" w:rsidP="00A553BA">
      <w:pPr>
        <w:spacing w:line="360" w:lineRule="auto"/>
        <w:rPr>
          <w:rFonts w:eastAsia="Arial"/>
        </w:rPr>
      </w:pPr>
    </w:p>
    <w:p w14:paraId="684116EA" w14:textId="2198B29F" w:rsidR="00E25BFF" w:rsidRPr="006872CE" w:rsidRDefault="00E25BFF" w:rsidP="00825050">
      <w:pPr>
        <w:numPr>
          <w:ilvl w:val="0"/>
          <w:numId w:val="20"/>
        </w:numPr>
        <w:tabs>
          <w:tab w:val="left" w:pos="720"/>
        </w:tabs>
        <w:spacing w:line="360" w:lineRule="auto"/>
        <w:ind w:left="720" w:right="60" w:hanging="361"/>
        <w:rPr>
          <w:rFonts w:ascii="Symbol" w:eastAsia="Symbol" w:hAnsi="Symbol"/>
          <w:szCs w:val="24"/>
        </w:rPr>
      </w:pPr>
      <w:r w:rsidRPr="006872CE">
        <w:rPr>
          <w:rFonts w:eastAsia="Arial"/>
          <w:szCs w:val="24"/>
        </w:rPr>
        <w:t>There is a risk that primary care practitioners expect young people to behave in a particular way. It is important that assumptions are</w:t>
      </w:r>
      <w:r w:rsidR="0040629C" w:rsidRPr="006872CE">
        <w:rPr>
          <w:rFonts w:eastAsia="Arial"/>
          <w:szCs w:val="24"/>
        </w:rPr>
        <w:t xml:space="preserve"> </w:t>
      </w:r>
      <w:r w:rsidRPr="006872CE">
        <w:rPr>
          <w:rFonts w:eastAsia="Arial"/>
          <w:szCs w:val="24"/>
        </w:rPr>
        <w:t>n</w:t>
      </w:r>
      <w:r w:rsidR="0040629C" w:rsidRPr="006872CE">
        <w:rPr>
          <w:rFonts w:eastAsia="Arial"/>
          <w:szCs w:val="24"/>
        </w:rPr>
        <w:t>o</w:t>
      </w:r>
      <w:r w:rsidRPr="006872CE">
        <w:rPr>
          <w:rFonts w:eastAsia="Arial"/>
          <w:szCs w:val="24"/>
        </w:rPr>
        <w:t>t made about young people based on their age or that all university students behave the same way</w:t>
      </w:r>
    </w:p>
    <w:p w14:paraId="241910C9" w14:textId="77777777" w:rsidR="00E25BFF" w:rsidRDefault="00E25BFF" w:rsidP="00A553BA">
      <w:pPr>
        <w:spacing w:line="360" w:lineRule="auto"/>
        <w:rPr>
          <w:rFonts w:ascii="Symbol" w:eastAsia="Symbol" w:hAnsi="Symbol"/>
          <w:sz w:val="23"/>
        </w:rPr>
      </w:pPr>
    </w:p>
    <w:p w14:paraId="70A5C509" w14:textId="77777777" w:rsidR="00E25BFF" w:rsidRDefault="00E25BFF" w:rsidP="00825050">
      <w:pPr>
        <w:numPr>
          <w:ilvl w:val="0"/>
          <w:numId w:val="20"/>
        </w:numPr>
        <w:tabs>
          <w:tab w:val="left" w:pos="720"/>
        </w:tabs>
        <w:spacing w:line="360" w:lineRule="auto"/>
        <w:ind w:left="720" w:right="140" w:hanging="361"/>
        <w:rPr>
          <w:rFonts w:ascii="Symbol" w:eastAsia="Symbol" w:hAnsi="Symbol"/>
        </w:rPr>
      </w:pPr>
      <w:r>
        <w:rPr>
          <w:rFonts w:eastAsia="Arial"/>
        </w:rPr>
        <w:t>The issue that a young person may present with may not be the real reason they have attended. Young people need to feel confident to trust a clinician. Clinicians need to be skilled in recognising where there may be an underlying issue and give the young person the confidence to reveal it during a consultation</w:t>
      </w:r>
    </w:p>
    <w:p w14:paraId="2284D831" w14:textId="77777777" w:rsidR="00E25BFF" w:rsidRDefault="00E25BFF" w:rsidP="00A553BA">
      <w:pPr>
        <w:spacing w:line="360" w:lineRule="auto"/>
        <w:rPr>
          <w:rFonts w:eastAsia="Arial"/>
        </w:rPr>
      </w:pPr>
    </w:p>
    <w:p w14:paraId="1AA72B6D" w14:textId="7A09441E" w:rsidR="00E25BFF" w:rsidRDefault="00E25BFF" w:rsidP="00825050">
      <w:pPr>
        <w:numPr>
          <w:ilvl w:val="0"/>
          <w:numId w:val="21"/>
        </w:numPr>
        <w:tabs>
          <w:tab w:val="left" w:pos="721"/>
        </w:tabs>
        <w:spacing w:line="360" w:lineRule="auto"/>
        <w:ind w:left="721" w:right="40" w:hanging="361"/>
        <w:rPr>
          <w:rFonts w:ascii="Symbol" w:eastAsia="Symbol" w:hAnsi="Symbol"/>
        </w:rPr>
      </w:pPr>
      <w:r>
        <w:rPr>
          <w:rFonts w:eastAsia="Arial"/>
        </w:rPr>
        <w:t xml:space="preserve">Young people are undergoing a significant transition when they start university and having a trusted primary care practitioner to talk to can be extremely significant. They need to have information about the range of health services </w:t>
      </w:r>
      <w:r w:rsidR="00253CB1">
        <w:rPr>
          <w:rFonts w:eastAsia="Arial"/>
        </w:rPr>
        <w:t xml:space="preserve">that </w:t>
      </w:r>
      <w:r>
        <w:rPr>
          <w:rFonts w:eastAsia="Arial"/>
        </w:rPr>
        <w:t>exist so that they can be confident to seek help from primary care, pharmacy, A&amp;E etc.</w:t>
      </w:r>
    </w:p>
    <w:p w14:paraId="1A39C72C" w14:textId="77777777" w:rsidR="00E25BFF" w:rsidRDefault="00E25BFF" w:rsidP="00A553BA">
      <w:pPr>
        <w:spacing w:line="360" w:lineRule="auto"/>
        <w:rPr>
          <w:rFonts w:ascii="Symbol" w:eastAsia="Symbol" w:hAnsi="Symbol"/>
        </w:rPr>
      </w:pPr>
    </w:p>
    <w:p w14:paraId="359A9CE8" w14:textId="3EF33CF6" w:rsidR="00E25BFF" w:rsidRDefault="00E25BFF" w:rsidP="00825050">
      <w:pPr>
        <w:numPr>
          <w:ilvl w:val="0"/>
          <w:numId w:val="21"/>
        </w:numPr>
        <w:tabs>
          <w:tab w:val="left" w:pos="721"/>
        </w:tabs>
        <w:spacing w:line="360" w:lineRule="auto"/>
        <w:ind w:left="721" w:right="220" w:hanging="361"/>
        <w:rPr>
          <w:rFonts w:ascii="Symbol" w:eastAsia="Symbol" w:hAnsi="Symbol"/>
        </w:rPr>
      </w:pPr>
      <w:r>
        <w:rPr>
          <w:rFonts w:eastAsia="Arial"/>
        </w:rPr>
        <w:t>Young people may wish to attend services with their peers. Practice staff should not be surprised if students attend in a group to support each other using health services, in the same way that younger children attend with a parent or carer. If a peer wishes to sit in on a consultation</w:t>
      </w:r>
      <w:r w:rsidR="00725604">
        <w:rPr>
          <w:rFonts w:eastAsia="Arial"/>
        </w:rPr>
        <w:t>,</w:t>
      </w:r>
      <w:r>
        <w:rPr>
          <w:rFonts w:eastAsia="Arial"/>
        </w:rPr>
        <w:t xml:space="preserve"> clinicians should ensure that part of the consultation is with the patient alone – this would also be recommended for young people attending consultations with parents or carers</w:t>
      </w:r>
    </w:p>
    <w:p w14:paraId="0782336C" w14:textId="77777777" w:rsidR="00E25BFF" w:rsidRDefault="00E25BFF" w:rsidP="00A553BA">
      <w:pPr>
        <w:spacing w:line="360" w:lineRule="auto"/>
        <w:rPr>
          <w:rFonts w:ascii="Symbol" w:eastAsia="Symbol" w:hAnsi="Symbol"/>
        </w:rPr>
      </w:pPr>
    </w:p>
    <w:p w14:paraId="28FB601F" w14:textId="77777777" w:rsidR="00E25BFF" w:rsidRDefault="00E25BFF" w:rsidP="00825050">
      <w:pPr>
        <w:numPr>
          <w:ilvl w:val="0"/>
          <w:numId w:val="21"/>
        </w:numPr>
        <w:tabs>
          <w:tab w:val="left" w:pos="721"/>
        </w:tabs>
        <w:spacing w:line="360" w:lineRule="auto"/>
        <w:ind w:left="721" w:right="200" w:hanging="361"/>
        <w:rPr>
          <w:rFonts w:ascii="Symbol" w:eastAsia="Symbol" w:hAnsi="Symbol"/>
        </w:rPr>
      </w:pPr>
      <w:r>
        <w:rPr>
          <w:rFonts w:eastAsia="Arial"/>
        </w:rPr>
        <w:t>There is a unique opportunity to increase university students’ awareness of how to use health services appropriately which has long term benefits for the health service</w:t>
      </w:r>
    </w:p>
    <w:p w14:paraId="4EA34D58" w14:textId="77777777" w:rsidR="00E25BFF" w:rsidRDefault="00E25BFF" w:rsidP="00A553BA">
      <w:pPr>
        <w:spacing w:line="360" w:lineRule="auto"/>
        <w:rPr>
          <w:rFonts w:ascii="Symbol" w:eastAsia="Symbol" w:hAnsi="Symbol"/>
        </w:rPr>
      </w:pPr>
    </w:p>
    <w:p w14:paraId="69DAF8C4" w14:textId="77777777" w:rsidR="00E25BFF" w:rsidRDefault="00E25BFF" w:rsidP="00825050">
      <w:pPr>
        <w:numPr>
          <w:ilvl w:val="0"/>
          <w:numId w:val="21"/>
        </w:numPr>
        <w:tabs>
          <w:tab w:val="left" w:pos="721"/>
        </w:tabs>
        <w:spacing w:line="360" w:lineRule="auto"/>
        <w:ind w:left="721" w:right="300" w:hanging="361"/>
        <w:rPr>
          <w:rFonts w:ascii="Symbol" w:eastAsia="Symbol" w:hAnsi="Symbol"/>
        </w:rPr>
      </w:pPr>
      <w:r>
        <w:rPr>
          <w:rFonts w:eastAsia="Arial"/>
        </w:rPr>
        <w:t>Young people with long term conditions need to access repeat prescriptions quickly when they move to university to avoid gaps in medication. Foreign students don’t always recognise drug brand names and often do not understand how to access medication.</w:t>
      </w:r>
    </w:p>
    <w:p w14:paraId="10866234" w14:textId="77777777" w:rsidR="00E25BFF" w:rsidRDefault="00E25BFF" w:rsidP="00A553BA">
      <w:pPr>
        <w:spacing w:line="360" w:lineRule="auto"/>
        <w:rPr>
          <w:rFonts w:ascii="Symbol" w:eastAsia="Symbol" w:hAnsi="Symbol"/>
        </w:rPr>
      </w:pPr>
    </w:p>
    <w:p w14:paraId="0E72270E" w14:textId="77777777" w:rsidR="00E25BFF" w:rsidRDefault="00E25BFF" w:rsidP="00A553BA">
      <w:pPr>
        <w:spacing w:line="360" w:lineRule="auto"/>
        <w:ind w:left="721"/>
        <w:rPr>
          <w:rFonts w:eastAsia="Arial"/>
          <w:i/>
        </w:rPr>
      </w:pPr>
      <w:r>
        <w:rPr>
          <w:rFonts w:eastAsia="Arial"/>
          <w:i/>
        </w:rPr>
        <w:t>Provided by Emma Rigby, Association for Young People’s Health</w:t>
      </w:r>
    </w:p>
    <w:p w14:paraId="4C510679" w14:textId="77777777" w:rsidR="00E25BFF" w:rsidRDefault="00E25BFF" w:rsidP="00A553BA">
      <w:pPr>
        <w:spacing w:line="360" w:lineRule="auto"/>
        <w:rPr>
          <w:rFonts w:ascii="Times New Roman" w:hAnsi="Times New Roman"/>
        </w:rPr>
      </w:pPr>
    </w:p>
    <w:p w14:paraId="5B72273F" w14:textId="77777777" w:rsidR="00E25BFF" w:rsidRDefault="00E25BFF" w:rsidP="00A553BA">
      <w:pPr>
        <w:spacing w:line="360" w:lineRule="auto"/>
        <w:rPr>
          <w:rFonts w:ascii="Times New Roman" w:hAnsi="Times New Roman"/>
        </w:rPr>
      </w:pPr>
    </w:p>
    <w:p w14:paraId="45588D2E" w14:textId="77777777" w:rsidR="00E25BFF" w:rsidRDefault="00E25BFF" w:rsidP="009B608D">
      <w:pPr>
        <w:pStyle w:val="Heading2"/>
        <w:rPr>
          <w:rFonts w:eastAsia="Arial"/>
        </w:rPr>
      </w:pPr>
      <w:bookmarkStart w:id="2567" w:name="_Toc95743602"/>
      <w:r>
        <w:rPr>
          <w:rFonts w:eastAsia="Arial"/>
        </w:rPr>
        <w:t>Practices with a high number of patients who do not speak English</w:t>
      </w:r>
      <w:bookmarkEnd w:id="2567"/>
    </w:p>
    <w:p w14:paraId="712CE9C3" w14:textId="77777777" w:rsidR="00E25BFF" w:rsidRDefault="00E25BFF" w:rsidP="00A553BA">
      <w:pPr>
        <w:spacing w:line="360" w:lineRule="auto"/>
        <w:rPr>
          <w:rFonts w:ascii="Times New Roman" w:hAnsi="Times New Roman"/>
        </w:rPr>
      </w:pPr>
    </w:p>
    <w:p w14:paraId="6310C5B0" w14:textId="77777777" w:rsidR="00E25BFF" w:rsidRDefault="00E25BFF" w:rsidP="00A553BA">
      <w:pPr>
        <w:spacing w:line="360" w:lineRule="auto"/>
        <w:ind w:left="1" w:right="520"/>
        <w:rPr>
          <w:rFonts w:eastAsia="Arial"/>
        </w:rPr>
      </w:pPr>
      <w:r>
        <w:rPr>
          <w:rFonts w:eastAsia="Arial"/>
        </w:rPr>
        <w:t>Some practices have a high ratio of patients who do not speak English, including practices designed to address the needs of migrants.</w:t>
      </w:r>
    </w:p>
    <w:p w14:paraId="157CE7DA" w14:textId="77777777" w:rsidR="00E25BFF" w:rsidRDefault="00E25BFF" w:rsidP="00A553BA">
      <w:pPr>
        <w:spacing w:line="360" w:lineRule="auto"/>
        <w:rPr>
          <w:rFonts w:ascii="Times New Roman" w:hAnsi="Times New Roman"/>
        </w:rPr>
      </w:pPr>
    </w:p>
    <w:p w14:paraId="73D753C9" w14:textId="2D807652" w:rsidR="00E25BFF" w:rsidRDefault="00E25BFF" w:rsidP="00A553BA">
      <w:pPr>
        <w:spacing w:line="360" w:lineRule="auto"/>
        <w:ind w:left="1" w:right="100"/>
        <w:rPr>
          <w:rFonts w:eastAsia="Arial"/>
        </w:rPr>
      </w:pPr>
      <w:r>
        <w:rPr>
          <w:rFonts w:eastAsia="Arial"/>
          <w:u w:val="single"/>
        </w:rPr>
        <w:t>Asylum Seekers</w:t>
      </w:r>
      <w:r>
        <w:rPr>
          <w:rFonts w:eastAsia="Arial"/>
        </w:rPr>
        <w:t xml:space="preserve">: The working group had initially intended to include asylum seekers as part of the non-English speaking atypical group. </w:t>
      </w:r>
      <w:r w:rsidR="009B608D">
        <w:rPr>
          <w:rFonts w:eastAsia="Arial"/>
        </w:rPr>
        <w:t>However,</w:t>
      </w:r>
      <w:r>
        <w:rPr>
          <w:rFonts w:eastAsia="Arial"/>
        </w:rPr>
        <w:t xml:space="preserve"> it became clear that the needs of asylum seekers may go beyond</w:t>
      </w:r>
      <w:r w:rsidR="009B608D">
        <w:rPr>
          <w:rFonts w:eastAsia="Arial"/>
        </w:rPr>
        <w:t xml:space="preserve"> </w:t>
      </w:r>
      <w:r>
        <w:rPr>
          <w:rFonts w:eastAsia="Arial"/>
        </w:rPr>
        <w:t>primary</w:t>
      </w:r>
      <w:r w:rsidR="009B608D">
        <w:rPr>
          <w:rFonts w:eastAsia="Arial"/>
        </w:rPr>
        <w:t xml:space="preserve"> </w:t>
      </w:r>
      <w:r>
        <w:rPr>
          <w:rFonts w:eastAsia="Arial"/>
        </w:rPr>
        <w:t>“ordinary</w:t>
      </w:r>
      <w:r w:rsidR="009B608D">
        <w:rPr>
          <w:rFonts w:eastAsia="Arial"/>
        </w:rPr>
        <w:t xml:space="preserve">” </w:t>
      </w:r>
      <w:r>
        <w:rPr>
          <w:rFonts w:eastAsia="Arial"/>
        </w:rPr>
        <w:t>care.</w:t>
      </w:r>
      <w:r w:rsidR="00EE2057">
        <w:rPr>
          <w:rFonts w:eastAsia="Arial"/>
        </w:rPr>
        <w:t xml:space="preserve"> </w:t>
      </w:r>
      <w:r>
        <w:rPr>
          <w:rFonts w:eastAsia="Arial"/>
        </w:rPr>
        <w:t>There are often significant levels of Post-Traumatic Stress Disorder (a result of trafficking, torture, violence, rape (for women, children and men) and illness (e.g. HIV, Hepatitis B / C, TB)).</w:t>
      </w:r>
    </w:p>
    <w:p w14:paraId="26B62BB3" w14:textId="77777777" w:rsidR="00E25BFF" w:rsidRDefault="00E25BFF" w:rsidP="00A553BA">
      <w:pPr>
        <w:spacing w:line="360" w:lineRule="auto"/>
        <w:rPr>
          <w:rFonts w:ascii="Times New Roman" w:hAnsi="Times New Roman"/>
        </w:rPr>
      </w:pPr>
    </w:p>
    <w:p w14:paraId="35B7383C" w14:textId="1D3C511E" w:rsidR="00E25BFF" w:rsidRDefault="00E25BFF" w:rsidP="00A553BA">
      <w:pPr>
        <w:spacing w:line="360" w:lineRule="auto"/>
        <w:ind w:left="1"/>
        <w:rPr>
          <w:rFonts w:eastAsia="Arial"/>
        </w:rPr>
      </w:pPr>
      <w:r>
        <w:rPr>
          <w:rFonts w:eastAsia="Arial"/>
          <w:u w:val="single"/>
        </w:rPr>
        <w:t>Note</w:t>
      </w:r>
      <w:r>
        <w:rPr>
          <w:rFonts w:eastAsia="Arial"/>
        </w:rPr>
        <w:t xml:space="preserve">: A separate work stream to this Atypical Population work stream is ongoing in NHS England’s Primary Care Commissioning Team on translation and interpreting services. Further information can be found </w:t>
      </w:r>
      <w:hyperlink r:id="rId222" w:history="1">
        <w:r>
          <w:rPr>
            <w:rFonts w:eastAsia="Arial"/>
            <w:color w:val="0000FF"/>
            <w:u w:val="single"/>
          </w:rPr>
          <w:t>here</w:t>
        </w:r>
        <w:r>
          <w:rPr>
            <w:rFonts w:eastAsia="Arial"/>
            <w:u w:val="single"/>
          </w:rPr>
          <w:t xml:space="preserve">. </w:t>
        </w:r>
      </w:hyperlink>
      <w:r>
        <w:rPr>
          <w:rFonts w:eastAsia="Arial"/>
        </w:rPr>
        <w:t>Another separate work stream to the Primary Care Team’s translation and interpreting project is ongoing between the Race Equality Foundation and NHS England’s Equalities Team to scope the viability of a community languages information standard.</w:t>
      </w:r>
    </w:p>
    <w:p w14:paraId="50F53734" w14:textId="77777777" w:rsidR="00E25BFF" w:rsidRDefault="00E25BFF" w:rsidP="00A553BA">
      <w:pPr>
        <w:spacing w:line="360" w:lineRule="auto"/>
        <w:rPr>
          <w:rFonts w:ascii="Times New Roman" w:hAnsi="Times New Roman"/>
        </w:rPr>
      </w:pPr>
    </w:p>
    <w:p w14:paraId="6A53A4D3" w14:textId="01D44E14" w:rsidR="00E25BFF" w:rsidRDefault="00725604" w:rsidP="009B608D">
      <w:pPr>
        <w:pStyle w:val="Heading3"/>
        <w:rPr>
          <w:rFonts w:eastAsia="Arial"/>
        </w:rPr>
      </w:pPr>
      <w:r>
        <w:rPr>
          <w:rFonts w:eastAsia="Arial"/>
        </w:rPr>
        <w:t>Description</w:t>
      </w:r>
      <w:r w:rsidR="00E25BFF">
        <w:rPr>
          <w:rFonts w:eastAsia="Arial"/>
        </w:rPr>
        <w:t xml:space="preserve"> of the Issues</w:t>
      </w:r>
    </w:p>
    <w:p w14:paraId="2CA32644" w14:textId="77777777" w:rsidR="00E25BFF" w:rsidRDefault="00E25BFF" w:rsidP="00A553BA">
      <w:pPr>
        <w:spacing w:line="360" w:lineRule="auto"/>
        <w:rPr>
          <w:rFonts w:ascii="Times New Roman" w:hAnsi="Times New Roman"/>
        </w:rPr>
      </w:pPr>
    </w:p>
    <w:p w14:paraId="33772875" w14:textId="36406C77" w:rsidR="00E25BFF" w:rsidRDefault="00E25BFF" w:rsidP="00A553BA">
      <w:pPr>
        <w:numPr>
          <w:ilvl w:val="0"/>
          <w:numId w:val="22"/>
        </w:numPr>
        <w:tabs>
          <w:tab w:val="left" w:pos="721"/>
        </w:tabs>
        <w:spacing w:line="360" w:lineRule="auto"/>
        <w:ind w:left="721" w:right="440" w:hanging="361"/>
        <w:rPr>
          <w:rFonts w:ascii="Symbol" w:eastAsia="Symbol" w:hAnsi="Symbol"/>
        </w:rPr>
      </w:pPr>
      <w:r>
        <w:rPr>
          <w:rFonts w:eastAsia="Arial"/>
        </w:rPr>
        <w:t xml:space="preserve">The need for an interpreter means that all conversations take longer and increases the cost of each patient contact (in relation to </w:t>
      </w:r>
      <w:r w:rsidR="00EE2057">
        <w:rPr>
          <w:rFonts w:eastAsia="Arial"/>
        </w:rPr>
        <w:t xml:space="preserve">the </w:t>
      </w:r>
      <w:r>
        <w:rPr>
          <w:rFonts w:eastAsia="Arial"/>
        </w:rPr>
        <w:t>time taken and the cost of interpreting)</w:t>
      </w:r>
    </w:p>
    <w:p w14:paraId="608DD603" w14:textId="77777777" w:rsidR="006872CE" w:rsidRPr="006872CE" w:rsidRDefault="006872CE" w:rsidP="006872CE">
      <w:pPr>
        <w:tabs>
          <w:tab w:val="left" w:pos="721"/>
        </w:tabs>
        <w:spacing w:line="360" w:lineRule="auto"/>
        <w:ind w:left="360" w:right="440"/>
        <w:rPr>
          <w:rFonts w:ascii="Symbol" w:eastAsia="Symbol" w:hAnsi="Symbol"/>
        </w:rPr>
      </w:pPr>
    </w:p>
    <w:p w14:paraId="2ACA47CF" w14:textId="77777777" w:rsidR="00E25BFF" w:rsidRDefault="00E25BFF" w:rsidP="00825050">
      <w:pPr>
        <w:numPr>
          <w:ilvl w:val="0"/>
          <w:numId w:val="23"/>
        </w:numPr>
        <w:tabs>
          <w:tab w:val="left" w:pos="720"/>
        </w:tabs>
        <w:spacing w:line="360" w:lineRule="auto"/>
        <w:ind w:left="720" w:right="60" w:hanging="361"/>
        <w:rPr>
          <w:rFonts w:ascii="Symbol" w:eastAsia="Symbol" w:hAnsi="Symbol"/>
        </w:rPr>
      </w:pPr>
      <w:bookmarkStart w:id="2568" w:name="page15"/>
      <w:bookmarkEnd w:id="2568"/>
      <w:r>
        <w:rPr>
          <w:rFonts w:eastAsia="Arial"/>
        </w:rPr>
        <w:t>If interpreting is not available, miscommunication increases the risk of patients not attending follow up appointments and delayed access to care</w:t>
      </w:r>
    </w:p>
    <w:p w14:paraId="2D31883F" w14:textId="77777777" w:rsidR="00E25BFF" w:rsidRDefault="00E25BFF" w:rsidP="00A553BA">
      <w:pPr>
        <w:spacing w:line="360" w:lineRule="auto"/>
        <w:rPr>
          <w:rFonts w:ascii="Symbol" w:eastAsia="Symbol" w:hAnsi="Symbol"/>
        </w:rPr>
      </w:pPr>
    </w:p>
    <w:p w14:paraId="6044ADA1" w14:textId="77777777" w:rsidR="00E25BFF" w:rsidRDefault="00E25BFF" w:rsidP="00825050">
      <w:pPr>
        <w:numPr>
          <w:ilvl w:val="0"/>
          <w:numId w:val="23"/>
        </w:numPr>
        <w:tabs>
          <w:tab w:val="left" w:pos="720"/>
        </w:tabs>
        <w:spacing w:line="360" w:lineRule="auto"/>
        <w:ind w:left="720" w:right="160" w:hanging="361"/>
        <w:rPr>
          <w:rFonts w:ascii="Symbol" w:eastAsia="Symbol" w:hAnsi="Symbol"/>
        </w:rPr>
      </w:pPr>
      <w:r>
        <w:rPr>
          <w:rFonts w:eastAsia="Arial"/>
        </w:rPr>
        <w:t>Surrounding support services (e.g. IAPT, obesity management) and literature are usually in English, thus necessitating the development of additional in-house support</w:t>
      </w:r>
    </w:p>
    <w:p w14:paraId="45C5E409" w14:textId="77777777" w:rsidR="00E25BFF" w:rsidRDefault="00E25BFF" w:rsidP="00A553BA">
      <w:pPr>
        <w:spacing w:line="360" w:lineRule="auto"/>
        <w:rPr>
          <w:rFonts w:ascii="Symbol" w:eastAsia="Symbol" w:hAnsi="Symbol"/>
        </w:rPr>
      </w:pPr>
    </w:p>
    <w:p w14:paraId="53CA1259" w14:textId="5087223E" w:rsidR="00E25BFF" w:rsidRDefault="00E25BFF" w:rsidP="00825050">
      <w:pPr>
        <w:numPr>
          <w:ilvl w:val="0"/>
          <w:numId w:val="23"/>
        </w:numPr>
        <w:tabs>
          <w:tab w:val="left" w:pos="720"/>
        </w:tabs>
        <w:spacing w:line="360" w:lineRule="auto"/>
        <w:ind w:left="720" w:right="320" w:hanging="361"/>
        <w:rPr>
          <w:rFonts w:ascii="Symbol" w:eastAsia="Symbol" w:hAnsi="Symbol"/>
        </w:rPr>
      </w:pPr>
      <w:r>
        <w:rPr>
          <w:rFonts w:eastAsia="Arial"/>
        </w:rPr>
        <w:t>Lack of literacy, both in English and for some groups their native language removes the value of written material normally used to reinforce appropriate access (e.g. appointments) and health advice</w:t>
      </w:r>
    </w:p>
    <w:p w14:paraId="0A2EBB73" w14:textId="77777777" w:rsidR="00E25BFF" w:rsidRDefault="00E25BFF" w:rsidP="00A553BA">
      <w:pPr>
        <w:spacing w:line="360" w:lineRule="auto"/>
        <w:rPr>
          <w:rFonts w:ascii="Symbol" w:eastAsia="Symbol" w:hAnsi="Symbol"/>
        </w:rPr>
      </w:pPr>
    </w:p>
    <w:p w14:paraId="3DD9D975" w14:textId="4C13BAEE" w:rsidR="00E25BFF" w:rsidRDefault="00E25BFF" w:rsidP="00825050">
      <w:pPr>
        <w:numPr>
          <w:ilvl w:val="0"/>
          <w:numId w:val="23"/>
        </w:numPr>
        <w:tabs>
          <w:tab w:val="left" w:pos="720"/>
        </w:tabs>
        <w:spacing w:line="360" w:lineRule="auto"/>
        <w:ind w:left="720" w:right="880" w:hanging="361"/>
        <w:jc w:val="both"/>
        <w:rPr>
          <w:rFonts w:ascii="Symbol" w:eastAsia="Symbol" w:hAnsi="Symbol"/>
          <w:sz w:val="23"/>
        </w:rPr>
      </w:pPr>
      <w:r>
        <w:rPr>
          <w:rFonts w:eastAsia="Arial"/>
          <w:sz w:val="23"/>
        </w:rPr>
        <w:t xml:space="preserve">In </w:t>
      </w:r>
      <w:r w:rsidR="009B608D">
        <w:rPr>
          <w:rFonts w:eastAsia="Arial"/>
          <w:sz w:val="23"/>
        </w:rPr>
        <w:t>addition,</w:t>
      </w:r>
      <w:r>
        <w:rPr>
          <w:rFonts w:eastAsia="Arial"/>
          <w:sz w:val="23"/>
        </w:rPr>
        <w:t xml:space="preserve"> the lack of cultural understanding of the NHS requires extra support, signposting and often the recalibration of patient expectations</w:t>
      </w:r>
    </w:p>
    <w:p w14:paraId="69783D8F" w14:textId="77777777" w:rsidR="00E25BFF" w:rsidRDefault="00E25BFF" w:rsidP="00A553BA">
      <w:pPr>
        <w:spacing w:line="360" w:lineRule="auto"/>
        <w:rPr>
          <w:rFonts w:ascii="Symbol" w:eastAsia="Symbol" w:hAnsi="Symbol"/>
          <w:sz w:val="23"/>
        </w:rPr>
      </w:pPr>
    </w:p>
    <w:p w14:paraId="44DE91E8" w14:textId="36E3711F" w:rsidR="00E25BFF" w:rsidRDefault="00E25BFF" w:rsidP="00825050">
      <w:pPr>
        <w:numPr>
          <w:ilvl w:val="0"/>
          <w:numId w:val="23"/>
        </w:numPr>
        <w:tabs>
          <w:tab w:val="left" w:pos="720"/>
        </w:tabs>
        <w:spacing w:line="360" w:lineRule="auto"/>
        <w:ind w:left="720" w:right="20" w:hanging="361"/>
        <w:rPr>
          <w:rFonts w:ascii="Symbol" w:eastAsia="Symbol" w:hAnsi="Symbol"/>
        </w:rPr>
      </w:pPr>
      <w:r>
        <w:rPr>
          <w:rFonts w:eastAsia="Arial"/>
        </w:rPr>
        <w:t>Some patients have a basic lack of health education - for instance</w:t>
      </w:r>
      <w:r w:rsidR="00EE2057">
        <w:rPr>
          <w:rFonts w:eastAsia="Arial"/>
        </w:rPr>
        <w:t>,</w:t>
      </w:r>
      <w:r>
        <w:rPr>
          <w:rFonts w:eastAsia="Arial"/>
        </w:rPr>
        <w:t xml:space="preserve"> no knowledge of terms that describes cholesterol or calories, or the importance of taking medication correctly.</w:t>
      </w:r>
    </w:p>
    <w:p w14:paraId="29904DE5" w14:textId="77777777" w:rsidR="00E25BFF" w:rsidRDefault="00E25BFF" w:rsidP="00A553BA">
      <w:pPr>
        <w:spacing w:line="360" w:lineRule="auto"/>
        <w:rPr>
          <w:rFonts w:ascii="Times New Roman" w:hAnsi="Times New Roman"/>
        </w:rPr>
      </w:pPr>
    </w:p>
    <w:p w14:paraId="20091127" w14:textId="7CD8F988" w:rsidR="00E25BFF" w:rsidRDefault="00725604" w:rsidP="009B608D">
      <w:pPr>
        <w:pStyle w:val="Heading3"/>
        <w:rPr>
          <w:rFonts w:eastAsia="Arial"/>
        </w:rPr>
      </w:pPr>
      <w:r>
        <w:rPr>
          <w:rFonts w:eastAsia="Arial"/>
        </w:rPr>
        <w:t>7.2 Information</w:t>
      </w:r>
      <w:r w:rsidR="00E25BFF">
        <w:rPr>
          <w:rFonts w:eastAsia="Arial"/>
        </w:rPr>
        <w:t>/Data considerations</w:t>
      </w:r>
    </w:p>
    <w:p w14:paraId="16E3B92C" w14:textId="77777777" w:rsidR="00E25BFF" w:rsidRDefault="00E25BFF" w:rsidP="00A553BA">
      <w:pPr>
        <w:spacing w:line="360" w:lineRule="auto"/>
        <w:rPr>
          <w:rFonts w:ascii="Times New Roman" w:hAnsi="Times New Roman"/>
        </w:rPr>
      </w:pPr>
    </w:p>
    <w:p w14:paraId="6DFA3CA8" w14:textId="77777777" w:rsidR="00E25BFF" w:rsidRDefault="00E25BFF" w:rsidP="00A553BA">
      <w:pPr>
        <w:spacing w:line="360" w:lineRule="auto"/>
        <w:ind w:right="620"/>
        <w:rPr>
          <w:rFonts w:eastAsia="Arial"/>
        </w:rPr>
      </w:pPr>
      <w:r>
        <w:rPr>
          <w:rFonts w:eastAsia="Arial"/>
        </w:rPr>
        <w:t>Here are some data sources or information that you may wish to consider when trying to define if a population is atypical:</w:t>
      </w:r>
    </w:p>
    <w:p w14:paraId="33F5F03E" w14:textId="77777777" w:rsidR="00E25BFF" w:rsidRDefault="00E25BFF" w:rsidP="00A553BA">
      <w:pPr>
        <w:spacing w:line="360" w:lineRule="auto"/>
        <w:rPr>
          <w:rFonts w:ascii="Times New Roman" w:hAnsi="Times New Roman"/>
        </w:rPr>
      </w:pPr>
    </w:p>
    <w:p w14:paraId="7D0E540F" w14:textId="77777777" w:rsidR="00E25BFF" w:rsidRDefault="00E25BFF" w:rsidP="00825050">
      <w:pPr>
        <w:numPr>
          <w:ilvl w:val="0"/>
          <w:numId w:val="24"/>
        </w:numPr>
        <w:tabs>
          <w:tab w:val="left" w:pos="720"/>
        </w:tabs>
        <w:spacing w:line="360" w:lineRule="auto"/>
        <w:ind w:left="720" w:hanging="361"/>
        <w:rPr>
          <w:rFonts w:ascii="Symbol" w:eastAsia="Symbol" w:hAnsi="Symbol"/>
        </w:rPr>
      </w:pPr>
      <w:r>
        <w:rPr>
          <w:rFonts w:eastAsia="Arial"/>
        </w:rPr>
        <w:t>Evidence of languages spoken and percentage of list</w:t>
      </w:r>
    </w:p>
    <w:p w14:paraId="29BBC5FA" w14:textId="77777777" w:rsidR="00E25BFF" w:rsidRDefault="00E25BFF" w:rsidP="00A553BA">
      <w:pPr>
        <w:spacing w:line="360" w:lineRule="auto"/>
        <w:rPr>
          <w:rFonts w:ascii="Symbol" w:eastAsia="Symbol" w:hAnsi="Symbol"/>
        </w:rPr>
      </w:pPr>
    </w:p>
    <w:p w14:paraId="23A6CB7C" w14:textId="77777777" w:rsidR="00E25BFF" w:rsidRPr="00AA6278" w:rsidRDefault="00E25BFF" w:rsidP="00825050">
      <w:pPr>
        <w:numPr>
          <w:ilvl w:val="0"/>
          <w:numId w:val="24"/>
        </w:numPr>
        <w:tabs>
          <w:tab w:val="left" w:pos="720"/>
        </w:tabs>
        <w:spacing w:line="360" w:lineRule="auto"/>
        <w:ind w:left="720" w:right="380" w:hanging="361"/>
        <w:rPr>
          <w:rFonts w:ascii="Symbol" w:eastAsia="Symbol" w:hAnsi="Symbol"/>
          <w:szCs w:val="24"/>
        </w:rPr>
      </w:pPr>
      <w:r w:rsidRPr="00AA6278">
        <w:rPr>
          <w:rFonts w:eastAsia="Arial"/>
          <w:szCs w:val="24"/>
        </w:rPr>
        <w:t>Percentage of patients requiring an interpreter (recognising that the level of support may decrease over time for some patients as they learn English)</w:t>
      </w:r>
    </w:p>
    <w:p w14:paraId="50D90859" w14:textId="77777777" w:rsidR="00E25BFF" w:rsidRDefault="00E25BFF" w:rsidP="00A553BA">
      <w:pPr>
        <w:spacing w:line="360" w:lineRule="auto"/>
        <w:rPr>
          <w:rFonts w:ascii="Symbol" w:eastAsia="Symbol" w:hAnsi="Symbol"/>
          <w:sz w:val="23"/>
        </w:rPr>
      </w:pPr>
    </w:p>
    <w:p w14:paraId="31220FEE" w14:textId="77777777" w:rsidR="00E25BFF" w:rsidRDefault="00E25BFF" w:rsidP="00825050">
      <w:pPr>
        <w:numPr>
          <w:ilvl w:val="0"/>
          <w:numId w:val="24"/>
        </w:numPr>
        <w:tabs>
          <w:tab w:val="left" w:pos="720"/>
        </w:tabs>
        <w:spacing w:line="360" w:lineRule="auto"/>
        <w:ind w:left="720" w:right="300" w:hanging="361"/>
        <w:rPr>
          <w:rFonts w:ascii="Symbol" w:eastAsia="Symbol" w:hAnsi="Symbol"/>
        </w:rPr>
      </w:pPr>
      <w:r>
        <w:rPr>
          <w:rFonts w:eastAsia="Arial"/>
        </w:rPr>
        <w:t>Consultation rates compared to the average and whether different language groups consult more, and what the reasons may be for this</w:t>
      </w:r>
    </w:p>
    <w:p w14:paraId="02C9EFE3" w14:textId="77777777" w:rsidR="00E25BFF" w:rsidRDefault="00E25BFF" w:rsidP="00A553BA">
      <w:pPr>
        <w:spacing w:line="360" w:lineRule="auto"/>
        <w:rPr>
          <w:rFonts w:ascii="Symbol" w:eastAsia="Symbol" w:hAnsi="Symbol"/>
        </w:rPr>
      </w:pPr>
    </w:p>
    <w:p w14:paraId="18048373" w14:textId="77777777" w:rsidR="00E25BFF" w:rsidRDefault="00E25BFF" w:rsidP="00825050">
      <w:pPr>
        <w:numPr>
          <w:ilvl w:val="0"/>
          <w:numId w:val="24"/>
        </w:numPr>
        <w:tabs>
          <w:tab w:val="left" w:pos="720"/>
        </w:tabs>
        <w:spacing w:line="360" w:lineRule="auto"/>
        <w:ind w:left="720" w:hanging="361"/>
        <w:rPr>
          <w:rFonts w:ascii="Symbol" w:eastAsia="Symbol" w:hAnsi="Symbol"/>
        </w:rPr>
      </w:pPr>
      <w:r>
        <w:rPr>
          <w:rFonts w:eastAsia="Arial"/>
        </w:rPr>
        <w:t>Reported average length of consultation</w:t>
      </w:r>
    </w:p>
    <w:p w14:paraId="00339E29" w14:textId="77777777" w:rsidR="00E25BFF" w:rsidRDefault="00E25BFF" w:rsidP="00A553BA">
      <w:pPr>
        <w:spacing w:line="360" w:lineRule="auto"/>
        <w:rPr>
          <w:rFonts w:ascii="Symbol" w:eastAsia="Symbol" w:hAnsi="Symbol"/>
        </w:rPr>
      </w:pPr>
    </w:p>
    <w:p w14:paraId="57474B08" w14:textId="77777777" w:rsidR="00E25BFF" w:rsidRDefault="00E25BFF" w:rsidP="00825050">
      <w:pPr>
        <w:numPr>
          <w:ilvl w:val="0"/>
          <w:numId w:val="24"/>
        </w:numPr>
        <w:tabs>
          <w:tab w:val="left" w:pos="720"/>
        </w:tabs>
        <w:spacing w:line="360" w:lineRule="auto"/>
        <w:ind w:left="720" w:right="200" w:hanging="361"/>
        <w:rPr>
          <w:rFonts w:ascii="Symbol" w:eastAsia="Symbol" w:hAnsi="Symbol"/>
        </w:rPr>
      </w:pPr>
      <w:r>
        <w:rPr>
          <w:rFonts w:eastAsia="Arial"/>
        </w:rPr>
        <w:t>Demand for interpreting (spoken word) and translation (written word) support services and growth in demand over time.</w:t>
      </w:r>
    </w:p>
    <w:p w14:paraId="6E871438" w14:textId="4F1FA4CD" w:rsidR="008F25F5" w:rsidRDefault="008F25F5" w:rsidP="00A553BA">
      <w:pPr>
        <w:spacing w:line="360" w:lineRule="auto"/>
        <w:rPr>
          <w:rFonts w:ascii="Times New Roman" w:hAnsi="Times New Roman"/>
        </w:rPr>
      </w:pPr>
    </w:p>
    <w:p w14:paraId="0C021B13" w14:textId="77777777" w:rsidR="008F25F5" w:rsidRDefault="008F25F5" w:rsidP="00A553BA">
      <w:pPr>
        <w:spacing w:line="360" w:lineRule="auto"/>
        <w:rPr>
          <w:rFonts w:ascii="Times New Roman" w:hAnsi="Times New Roman"/>
        </w:rPr>
      </w:pPr>
    </w:p>
    <w:p w14:paraId="262D9E60" w14:textId="0853B69C" w:rsidR="00E25BFF" w:rsidRDefault="00725604" w:rsidP="009B608D">
      <w:pPr>
        <w:pStyle w:val="Heading3"/>
        <w:rPr>
          <w:rFonts w:eastAsia="Arial"/>
        </w:rPr>
      </w:pPr>
      <w:r>
        <w:rPr>
          <w:rFonts w:eastAsia="Arial"/>
        </w:rPr>
        <w:t>Examples</w:t>
      </w:r>
      <w:r w:rsidR="00E25BFF">
        <w:rPr>
          <w:rFonts w:eastAsia="Arial"/>
        </w:rPr>
        <w:t xml:space="preserve"> of support</w:t>
      </w:r>
    </w:p>
    <w:p w14:paraId="3F2184E5" w14:textId="77777777" w:rsidR="00E25BFF" w:rsidRDefault="00E25BFF" w:rsidP="00A553BA">
      <w:pPr>
        <w:spacing w:line="360" w:lineRule="auto"/>
        <w:rPr>
          <w:rFonts w:ascii="Times New Roman" w:hAnsi="Times New Roman"/>
        </w:rPr>
      </w:pPr>
    </w:p>
    <w:p w14:paraId="446EC913" w14:textId="51A710A5" w:rsidR="00E25BFF" w:rsidRDefault="00E25BFF" w:rsidP="00A553BA">
      <w:pPr>
        <w:spacing w:line="360" w:lineRule="auto"/>
        <w:ind w:right="20"/>
        <w:rPr>
          <w:rFonts w:eastAsia="Arial"/>
        </w:rPr>
      </w:pPr>
      <w:r>
        <w:rPr>
          <w:rFonts w:eastAsia="Arial"/>
        </w:rPr>
        <w:t xml:space="preserve">The examples cited below are not an exhaustive list. Commissioners and providers can consider these, tailor them to their local area as required and/or decide on other support arrangements that might be appropriate. </w:t>
      </w:r>
    </w:p>
    <w:p w14:paraId="6924B079" w14:textId="77777777" w:rsidR="00E25BFF" w:rsidRDefault="00E25BFF" w:rsidP="00A553BA">
      <w:pPr>
        <w:spacing w:line="360" w:lineRule="auto"/>
        <w:rPr>
          <w:rFonts w:ascii="Times New Roman" w:hAnsi="Times New Roman"/>
        </w:rPr>
      </w:pPr>
    </w:p>
    <w:p w14:paraId="3F92F23E" w14:textId="6F7097E2" w:rsidR="00E25BFF" w:rsidRDefault="00E25BFF" w:rsidP="00825050">
      <w:pPr>
        <w:numPr>
          <w:ilvl w:val="0"/>
          <w:numId w:val="25"/>
        </w:numPr>
        <w:tabs>
          <w:tab w:val="left" w:pos="720"/>
        </w:tabs>
        <w:spacing w:line="360" w:lineRule="auto"/>
        <w:ind w:left="720" w:hanging="361"/>
        <w:rPr>
          <w:rFonts w:ascii="Symbol" w:eastAsia="Symbol" w:hAnsi="Symbol"/>
        </w:rPr>
      </w:pPr>
      <w:r>
        <w:rPr>
          <w:rFonts w:eastAsia="Arial"/>
        </w:rPr>
        <w:t>Funding that recognises increased consultation times/access</w:t>
      </w:r>
    </w:p>
    <w:p w14:paraId="0363F7AA" w14:textId="77777777" w:rsidR="00E25BFF" w:rsidRDefault="00E25BFF" w:rsidP="00825050">
      <w:pPr>
        <w:numPr>
          <w:ilvl w:val="0"/>
          <w:numId w:val="25"/>
        </w:numPr>
        <w:tabs>
          <w:tab w:val="left" w:pos="720"/>
        </w:tabs>
        <w:spacing w:line="360" w:lineRule="auto"/>
        <w:ind w:left="720" w:hanging="361"/>
        <w:rPr>
          <w:rFonts w:ascii="Symbol" w:eastAsia="Symbol" w:hAnsi="Symbol"/>
        </w:rPr>
      </w:pPr>
      <w:r>
        <w:rPr>
          <w:rFonts w:eastAsia="Arial"/>
        </w:rPr>
        <w:t>Education materials available in community languages</w:t>
      </w:r>
    </w:p>
    <w:p w14:paraId="2D20DEA5" w14:textId="77777777" w:rsidR="00E25BFF" w:rsidRDefault="00E25BFF" w:rsidP="00A553BA">
      <w:pPr>
        <w:spacing w:line="360" w:lineRule="auto"/>
        <w:rPr>
          <w:rFonts w:ascii="Symbol" w:eastAsia="Symbol" w:hAnsi="Symbol"/>
        </w:rPr>
      </w:pPr>
    </w:p>
    <w:p w14:paraId="610A2805" w14:textId="77777777" w:rsidR="00E25BFF" w:rsidRDefault="00E25BFF" w:rsidP="00825050">
      <w:pPr>
        <w:numPr>
          <w:ilvl w:val="0"/>
          <w:numId w:val="25"/>
        </w:numPr>
        <w:tabs>
          <w:tab w:val="left" w:pos="720"/>
        </w:tabs>
        <w:spacing w:line="360" w:lineRule="auto"/>
        <w:ind w:left="720" w:right="280" w:hanging="361"/>
        <w:rPr>
          <w:rFonts w:ascii="Symbol" w:eastAsia="Symbol" w:hAnsi="Symbol"/>
        </w:rPr>
      </w:pPr>
      <w:r>
        <w:rPr>
          <w:rFonts w:eastAsia="Arial"/>
        </w:rPr>
        <w:t>Acknowledgement of costs associated with interpreting, either in contractual payments or a provided service (Local Enhanced Service)</w:t>
      </w:r>
    </w:p>
    <w:p w14:paraId="5DAE3DFA" w14:textId="77777777" w:rsidR="00E25BFF" w:rsidRDefault="00E25BFF" w:rsidP="00A553BA">
      <w:pPr>
        <w:spacing w:line="360" w:lineRule="auto"/>
        <w:rPr>
          <w:rFonts w:ascii="Symbol" w:eastAsia="Symbol" w:hAnsi="Symbol"/>
        </w:rPr>
      </w:pPr>
    </w:p>
    <w:p w14:paraId="008C8AD2" w14:textId="77777777" w:rsidR="00E25BFF" w:rsidRDefault="00E25BFF" w:rsidP="00825050">
      <w:pPr>
        <w:numPr>
          <w:ilvl w:val="0"/>
          <w:numId w:val="25"/>
        </w:numPr>
        <w:tabs>
          <w:tab w:val="left" w:pos="720"/>
        </w:tabs>
        <w:spacing w:line="360" w:lineRule="auto"/>
        <w:ind w:left="720" w:right="100" w:hanging="361"/>
        <w:rPr>
          <w:rFonts w:ascii="Symbol" w:eastAsia="Symbol" w:hAnsi="Symbol"/>
        </w:rPr>
      </w:pPr>
      <w:r>
        <w:rPr>
          <w:rFonts w:eastAsia="Arial"/>
        </w:rPr>
        <w:t>Public Health support for staff to help manage different needs of patients (e.g. hepatitis B vaccinations)</w:t>
      </w:r>
    </w:p>
    <w:p w14:paraId="2AB65C74" w14:textId="77777777" w:rsidR="00E25BFF" w:rsidRDefault="00E25BFF" w:rsidP="00A553BA">
      <w:pPr>
        <w:spacing w:line="360" w:lineRule="auto"/>
        <w:rPr>
          <w:rFonts w:ascii="Symbol" w:eastAsia="Symbol" w:hAnsi="Symbol"/>
        </w:rPr>
      </w:pPr>
    </w:p>
    <w:p w14:paraId="31059088" w14:textId="70B21680" w:rsidR="00E25BFF" w:rsidRDefault="00E25BFF" w:rsidP="00825050">
      <w:pPr>
        <w:numPr>
          <w:ilvl w:val="0"/>
          <w:numId w:val="25"/>
        </w:numPr>
        <w:tabs>
          <w:tab w:val="left" w:pos="720"/>
        </w:tabs>
        <w:spacing w:line="360" w:lineRule="auto"/>
        <w:ind w:left="720" w:hanging="361"/>
        <w:rPr>
          <w:rFonts w:ascii="Symbol" w:eastAsia="Symbol" w:hAnsi="Symbol"/>
        </w:rPr>
      </w:pPr>
      <w:r>
        <w:rPr>
          <w:rFonts w:eastAsia="Arial"/>
        </w:rPr>
        <w:t>Additional training for staff in public hea</w:t>
      </w:r>
      <w:r w:rsidR="002857D9">
        <w:rPr>
          <w:rFonts w:eastAsia="Arial"/>
        </w:rPr>
        <w:t>l</w:t>
      </w:r>
      <w:r>
        <w:rPr>
          <w:rFonts w:eastAsia="Arial"/>
        </w:rPr>
        <w:t>th messaging / realistic health interventions e.g. patient issues surrounding diet, behaviours and expectations of services</w:t>
      </w:r>
    </w:p>
    <w:p w14:paraId="3D866DD6" w14:textId="77777777" w:rsidR="00E25BFF" w:rsidRDefault="00E25BFF" w:rsidP="00A553BA">
      <w:pPr>
        <w:spacing w:line="360" w:lineRule="auto"/>
        <w:rPr>
          <w:rFonts w:ascii="Symbol" w:eastAsia="Symbol" w:hAnsi="Symbol"/>
        </w:rPr>
      </w:pPr>
    </w:p>
    <w:p w14:paraId="69308451" w14:textId="77777777" w:rsidR="00E25BFF" w:rsidRDefault="00E25BFF" w:rsidP="00825050">
      <w:pPr>
        <w:numPr>
          <w:ilvl w:val="0"/>
          <w:numId w:val="25"/>
        </w:numPr>
        <w:tabs>
          <w:tab w:val="left" w:pos="720"/>
        </w:tabs>
        <w:spacing w:line="360" w:lineRule="auto"/>
        <w:ind w:left="720" w:hanging="361"/>
        <w:rPr>
          <w:rFonts w:ascii="Symbol" w:eastAsia="Symbol" w:hAnsi="Symbol"/>
        </w:rPr>
      </w:pPr>
      <w:r>
        <w:rPr>
          <w:rFonts w:eastAsia="Arial"/>
        </w:rPr>
        <w:t>Screening for patients new to the UK for communicable diseases</w:t>
      </w:r>
    </w:p>
    <w:p w14:paraId="05510A38" w14:textId="77777777" w:rsidR="00E25BFF" w:rsidRDefault="00E25BFF" w:rsidP="00A553BA">
      <w:pPr>
        <w:spacing w:line="360" w:lineRule="auto"/>
        <w:rPr>
          <w:rFonts w:ascii="Times New Roman" w:hAnsi="Times New Roman"/>
        </w:rPr>
      </w:pPr>
    </w:p>
    <w:p w14:paraId="26A40BB0" w14:textId="255F7CC0" w:rsidR="00E25BFF" w:rsidRPr="00FA7B89" w:rsidRDefault="00E25BFF" w:rsidP="00825050">
      <w:pPr>
        <w:numPr>
          <w:ilvl w:val="0"/>
          <w:numId w:val="26"/>
        </w:numPr>
        <w:tabs>
          <w:tab w:val="left" w:pos="721"/>
        </w:tabs>
        <w:spacing w:line="360" w:lineRule="auto"/>
        <w:ind w:left="721" w:right="40" w:hanging="361"/>
        <w:rPr>
          <w:rFonts w:ascii="Symbol" w:eastAsia="Symbol" w:hAnsi="Symbol"/>
        </w:rPr>
      </w:pPr>
      <w:r>
        <w:rPr>
          <w:rFonts w:eastAsia="Arial"/>
        </w:rPr>
        <w:t>Staff training on the use of interpreters particularly recognising where a patient is uncomfortable with the interpreter and knowing what action to take if staff question the quality of the interpreting service</w:t>
      </w:r>
    </w:p>
    <w:p w14:paraId="5B4194A9" w14:textId="77777777" w:rsidR="008F25F5" w:rsidRDefault="008F25F5" w:rsidP="00825050">
      <w:pPr>
        <w:numPr>
          <w:ilvl w:val="0"/>
          <w:numId w:val="26"/>
        </w:numPr>
        <w:tabs>
          <w:tab w:val="left" w:pos="721"/>
        </w:tabs>
        <w:spacing w:line="360" w:lineRule="auto"/>
        <w:ind w:left="721" w:right="40" w:hanging="361"/>
        <w:rPr>
          <w:rFonts w:ascii="Symbol" w:eastAsia="Symbol" w:hAnsi="Symbol"/>
        </w:rPr>
      </w:pPr>
    </w:p>
    <w:p w14:paraId="6D3FFBD9" w14:textId="77777777" w:rsidR="00E25BFF" w:rsidRDefault="00E25BFF" w:rsidP="00825050">
      <w:pPr>
        <w:numPr>
          <w:ilvl w:val="0"/>
          <w:numId w:val="26"/>
        </w:numPr>
        <w:tabs>
          <w:tab w:val="left" w:pos="721"/>
        </w:tabs>
        <w:spacing w:line="360" w:lineRule="auto"/>
        <w:ind w:left="721" w:hanging="361"/>
        <w:rPr>
          <w:rFonts w:ascii="Symbol" w:eastAsia="Symbol" w:hAnsi="Symbol"/>
        </w:rPr>
      </w:pPr>
      <w:r>
        <w:rPr>
          <w:rFonts w:eastAsia="Arial"/>
        </w:rPr>
        <w:t>Bilingual receptionist or in-house interpreting.</w:t>
      </w:r>
    </w:p>
    <w:p w14:paraId="4AE8BCEC" w14:textId="77777777" w:rsidR="002857D9" w:rsidRDefault="002857D9" w:rsidP="00A553BA">
      <w:pPr>
        <w:spacing w:line="360" w:lineRule="auto"/>
        <w:rPr>
          <w:rFonts w:ascii="Times New Roman" w:hAnsi="Times New Roman"/>
        </w:rPr>
      </w:pPr>
    </w:p>
    <w:p w14:paraId="05310B66" w14:textId="57CEA19B" w:rsidR="00E25BFF" w:rsidRDefault="00725604" w:rsidP="009B608D">
      <w:pPr>
        <w:pStyle w:val="Heading3"/>
        <w:rPr>
          <w:rFonts w:eastAsia="Arial"/>
        </w:rPr>
      </w:pPr>
      <w:r>
        <w:rPr>
          <w:rFonts w:eastAsia="Arial"/>
        </w:rPr>
        <w:t>Patient</w:t>
      </w:r>
      <w:r w:rsidR="00E25BFF">
        <w:rPr>
          <w:rFonts w:eastAsia="Arial"/>
        </w:rPr>
        <w:t xml:space="preserve"> Group Observations</w:t>
      </w:r>
    </w:p>
    <w:p w14:paraId="1A42F759" w14:textId="77777777" w:rsidR="00E25BFF" w:rsidRDefault="00E25BFF" w:rsidP="00A553BA">
      <w:pPr>
        <w:spacing w:line="360" w:lineRule="auto"/>
        <w:rPr>
          <w:rFonts w:ascii="Times New Roman" w:hAnsi="Times New Roman"/>
        </w:rPr>
      </w:pPr>
    </w:p>
    <w:p w14:paraId="1617C795" w14:textId="77777777" w:rsidR="00E25BFF" w:rsidRDefault="00E25BFF" w:rsidP="00A553BA">
      <w:pPr>
        <w:spacing w:line="360" w:lineRule="auto"/>
        <w:ind w:left="1" w:right="380"/>
        <w:rPr>
          <w:rFonts w:eastAsia="Arial"/>
        </w:rPr>
      </w:pPr>
      <w:r>
        <w:rPr>
          <w:rFonts w:eastAsia="Arial"/>
        </w:rPr>
        <w:t>Professional interpreters are the preferred means of communication and may also have knowledge of medical language. In addition, family interpreting may not be appropriate where the procedures or consultations are of a sensitive or intimate subject. Family interpreters may have no, or limited, medical knowledge.</w:t>
      </w:r>
    </w:p>
    <w:p w14:paraId="29506616" w14:textId="77777777" w:rsidR="00E25BFF" w:rsidRDefault="00E25BFF" w:rsidP="00A553BA">
      <w:pPr>
        <w:spacing w:line="360" w:lineRule="auto"/>
        <w:rPr>
          <w:rFonts w:ascii="Times New Roman" w:hAnsi="Times New Roman"/>
        </w:rPr>
      </w:pPr>
    </w:p>
    <w:p w14:paraId="0C69345C" w14:textId="77777777" w:rsidR="00E25BFF" w:rsidRDefault="00E25BFF" w:rsidP="00A553BA">
      <w:pPr>
        <w:spacing w:line="360" w:lineRule="auto"/>
        <w:ind w:left="721"/>
        <w:rPr>
          <w:rFonts w:eastAsia="Arial"/>
          <w:i/>
        </w:rPr>
      </w:pPr>
      <w:r>
        <w:rPr>
          <w:rFonts w:eastAsia="Arial"/>
          <w:i/>
        </w:rPr>
        <w:t>Provided by Samir Jeraj, Race Equality Foundation</w:t>
      </w:r>
    </w:p>
    <w:p w14:paraId="188A6559" w14:textId="77777777" w:rsidR="00E25BFF" w:rsidRDefault="00E25BFF" w:rsidP="00A553BA">
      <w:pPr>
        <w:spacing w:line="360" w:lineRule="auto"/>
        <w:rPr>
          <w:rFonts w:ascii="Times New Roman" w:hAnsi="Times New Roman"/>
        </w:rPr>
      </w:pPr>
    </w:p>
    <w:p w14:paraId="105ED82F" w14:textId="77777777" w:rsidR="00E25BFF" w:rsidRDefault="00E25BFF" w:rsidP="009B608D">
      <w:pPr>
        <w:pStyle w:val="Heading2"/>
        <w:rPr>
          <w:rFonts w:eastAsia="Arial"/>
        </w:rPr>
      </w:pPr>
      <w:bookmarkStart w:id="2569" w:name="_Toc95743603"/>
      <w:r>
        <w:rPr>
          <w:rFonts w:eastAsia="Arial"/>
        </w:rPr>
        <w:t>Conclusion</w:t>
      </w:r>
      <w:bookmarkEnd w:id="2569"/>
    </w:p>
    <w:p w14:paraId="2198362D" w14:textId="77777777" w:rsidR="00E25BFF" w:rsidRDefault="00E25BFF" w:rsidP="00A553BA">
      <w:pPr>
        <w:spacing w:line="360" w:lineRule="auto"/>
        <w:rPr>
          <w:rFonts w:ascii="Times New Roman" w:hAnsi="Times New Roman"/>
        </w:rPr>
      </w:pPr>
    </w:p>
    <w:p w14:paraId="596596DA" w14:textId="76B0BF41" w:rsidR="005A2254" w:rsidRDefault="00E25BFF" w:rsidP="005A2254">
      <w:pPr>
        <w:spacing w:line="360" w:lineRule="auto"/>
        <w:ind w:left="1" w:right="100"/>
        <w:rPr>
          <w:rFonts w:cs="Arial"/>
          <w:color w:val="0E101A"/>
          <w:szCs w:val="24"/>
          <w:lang w:eastAsia="en-GB"/>
        </w:rPr>
      </w:pPr>
      <w:r>
        <w:rPr>
          <w:rFonts w:eastAsia="Arial"/>
        </w:rPr>
        <w:t xml:space="preserve">We hope that this document will enable local commissioners to identify and support the practices that serve these populations in order that patients will continue to receive effective primary care. Further examples of case studies can be submitted to the Primary Care Commissioning Team by </w:t>
      </w:r>
      <w:hyperlink r:id="rId223" w:tgtFrame="_blank" w:history="1">
        <w:r w:rsidR="000374DE" w:rsidRPr="000374DE">
          <w:rPr>
            <w:rStyle w:val="Hyperlink"/>
            <w:rFonts w:cs="Arial"/>
            <w:color w:val="4A6EE0"/>
            <w:szCs w:val="24"/>
            <w:lang w:eastAsia="en-GB"/>
          </w:rPr>
          <w:t>england.gpcommissioning@nhs.net</w:t>
        </w:r>
      </w:hyperlink>
      <w:r w:rsidR="000374DE">
        <w:rPr>
          <w:rFonts w:cs="Arial"/>
          <w:color w:val="0E101A"/>
          <w:szCs w:val="24"/>
          <w:lang w:eastAsia="en-GB"/>
        </w:rPr>
        <w:t xml:space="preserve"> .</w:t>
      </w:r>
    </w:p>
    <w:p w14:paraId="5B682D4E" w14:textId="77777777" w:rsidR="005A2254" w:rsidRDefault="005A2254" w:rsidP="00A553BA">
      <w:pPr>
        <w:spacing w:line="360" w:lineRule="auto"/>
        <w:ind w:left="1" w:right="100"/>
        <w:rPr>
          <w:rFonts w:cs="Arial"/>
          <w:color w:val="0E101A"/>
          <w:szCs w:val="24"/>
          <w:lang w:eastAsia="en-GB"/>
        </w:rPr>
      </w:pPr>
    </w:p>
    <w:p w14:paraId="469EED71" w14:textId="77777777" w:rsidR="005A2254" w:rsidRDefault="005A2254" w:rsidP="005A2254">
      <w:pPr>
        <w:pStyle w:val="Heading2"/>
        <w:numPr>
          <w:ilvl w:val="0"/>
          <w:numId w:val="0"/>
        </w:numPr>
        <w:ind w:left="2420"/>
        <w:rPr>
          <w:rFonts w:eastAsia="Arial"/>
        </w:rPr>
      </w:pPr>
      <w:bookmarkStart w:id="2570" w:name="_Toc95743604"/>
      <w:r>
        <w:rPr>
          <w:rFonts w:eastAsia="Arial"/>
        </w:rPr>
        <w:t>3.9 Notes for NHS England commissioners</w:t>
      </w:r>
      <w:bookmarkEnd w:id="2570"/>
    </w:p>
    <w:p w14:paraId="5A07D54D" w14:textId="77777777" w:rsidR="005A2254" w:rsidRDefault="005A2254" w:rsidP="005A2254">
      <w:pPr>
        <w:spacing w:line="360" w:lineRule="auto"/>
        <w:rPr>
          <w:rFonts w:ascii="Times New Roman" w:hAnsi="Times New Roman"/>
        </w:rPr>
      </w:pPr>
    </w:p>
    <w:p w14:paraId="798ECF39" w14:textId="77777777" w:rsidR="005A2254" w:rsidRDefault="005A2254" w:rsidP="005A2254">
      <w:pPr>
        <w:spacing w:line="360" w:lineRule="auto"/>
        <w:ind w:left="1"/>
        <w:rPr>
          <w:rFonts w:ascii="Times New Roman" w:hAnsi="Times New Roman"/>
        </w:rPr>
      </w:pPr>
      <w:r>
        <w:rPr>
          <w:rFonts w:eastAsia="Arial"/>
        </w:rPr>
        <w:t xml:space="preserve">When discussing this topic locally, please be aware that you may need to review equalities and health inequalities and the 13Q duty to consult. Copies of supporting documents completed for this project are available in the project files. Please contact the Primary Care Commissioning Team for more details by e-mailing </w:t>
      </w:r>
      <w:hyperlink r:id="rId224" w:history="1">
        <w:r w:rsidRPr="00764A0A">
          <w:rPr>
            <w:rStyle w:val="Hyperlink"/>
            <w:rFonts w:eastAsia="Arial"/>
          </w:rPr>
          <w:t xml:space="preserve"> </w:t>
        </w:r>
      </w:hyperlink>
      <w:hyperlink r:id="rId225" w:history="1">
        <w:r w:rsidRPr="00BE7A54">
          <w:rPr>
            <w:rStyle w:val="Hyperlink"/>
            <w:rFonts w:cs="Arial"/>
            <w:szCs w:val="24"/>
            <w:lang w:val="en-US" w:eastAsia="en-GB"/>
          </w:rPr>
          <w:t>england.gpcommissioning@nhs.net</w:t>
        </w:r>
      </w:hyperlink>
      <w:r>
        <w:rPr>
          <w:rFonts w:eastAsia="Arial"/>
          <w:color w:val="0000FF"/>
        </w:rPr>
        <w:t>.</w:t>
      </w:r>
    </w:p>
    <w:p w14:paraId="12917E5D" w14:textId="4915364C" w:rsidR="005A2254" w:rsidRDefault="005A2254" w:rsidP="00A553BA">
      <w:pPr>
        <w:spacing w:line="360" w:lineRule="auto"/>
        <w:ind w:left="1" w:right="100"/>
        <w:rPr>
          <w:rFonts w:cs="Arial"/>
          <w:color w:val="0E101A"/>
          <w:szCs w:val="24"/>
          <w:lang w:eastAsia="en-GB"/>
        </w:rPr>
      </w:pPr>
    </w:p>
    <w:p w14:paraId="4DD0E0B1" w14:textId="6148D365" w:rsidR="005A2254" w:rsidRDefault="005A2254" w:rsidP="00A553BA">
      <w:pPr>
        <w:spacing w:line="360" w:lineRule="auto"/>
        <w:ind w:left="1" w:right="100"/>
        <w:rPr>
          <w:rFonts w:cs="Arial"/>
          <w:color w:val="0E101A"/>
          <w:szCs w:val="24"/>
          <w:lang w:eastAsia="en-GB"/>
        </w:rPr>
      </w:pPr>
    </w:p>
    <w:p w14:paraId="41E2B583" w14:textId="315A4B0B" w:rsidR="005A2254" w:rsidRDefault="005A2254" w:rsidP="00A553BA">
      <w:pPr>
        <w:spacing w:line="360" w:lineRule="auto"/>
        <w:ind w:left="1" w:right="100"/>
        <w:rPr>
          <w:rFonts w:cs="Arial"/>
          <w:color w:val="0E101A"/>
          <w:szCs w:val="24"/>
          <w:lang w:eastAsia="en-GB"/>
        </w:rPr>
      </w:pPr>
    </w:p>
    <w:p w14:paraId="6FFDA069" w14:textId="6FFFDDEB" w:rsidR="005A2254" w:rsidRDefault="005A2254" w:rsidP="00A553BA">
      <w:pPr>
        <w:spacing w:line="360" w:lineRule="auto"/>
        <w:ind w:left="1" w:right="100"/>
        <w:rPr>
          <w:rFonts w:cs="Arial"/>
          <w:color w:val="0E101A"/>
          <w:szCs w:val="24"/>
          <w:lang w:eastAsia="en-GB"/>
        </w:rPr>
      </w:pPr>
    </w:p>
    <w:p w14:paraId="45F1714A" w14:textId="5A93F388" w:rsidR="005A2254" w:rsidRDefault="005A2254" w:rsidP="00A553BA">
      <w:pPr>
        <w:spacing w:line="360" w:lineRule="auto"/>
        <w:ind w:left="1" w:right="100"/>
        <w:rPr>
          <w:rFonts w:cs="Arial"/>
          <w:color w:val="0E101A"/>
          <w:szCs w:val="24"/>
          <w:lang w:eastAsia="en-GB"/>
        </w:rPr>
      </w:pPr>
    </w:p>
    <w:p w14:paraId="78F28577" w14:textId="0AF71700" w:rsidR="005A2254" w:rsidRDefault="005A2254" w:rsidP="00A553BA">
      <w:pPr>
        <w:spacing w:line="360" w:lineRule="auto"/>
        <w:ind w:left="1" w:right="100"/>
        <w:rPr>
          <w:rFonts w:cs="Arial"/>
          <w:color w:val="0E101A"/>
          <w:szCs w:val="24"/>
          <w:lang w:eastAsia="en-GB"/>
        </w:rPr>
      </w:pPr>
    </w:p>
    <w:p w14:paraId="443A1CB6" w14:textId="046C576D" w:rsidR="005A2254" w:rsidRDefault="005A2254" w:rsidP="00A553BA">
      <w:pPr>
        <w:spacing w:line="360" w:lineRule="auto"/>
        <w:ind w:left="1" w:right="100"/>
        <w:rPr>
          <w:rFonts w:cs="Arial"/>
          <w:color w:val="0E101A"/>
          <w:szCs w:val="24"/>
          <w:lang w:eastAsia="en-GB"/>
        </w:rPr>
      </w:pPr>
    </w:p>
    <w:p w14:paraId="4B6293E3" w14:textId="1FD05A83" w:rsidR="005A2254" w:rsidRDefault="005A2254" w:rsidP="00A553BA">
      <w:pPr>
        <w:spacing w:line="360" w:lineRule="auto"/>
        <w:ind w:left="1" w:right="100"/>
        <w:rPr>
          <w:rFonts w:cs="Arial"/>
          <w:color w:val="0E101A"/>
          <w:szCs w:val="24"/>
          <w:lang w:eastAsia="en-GB"/>
        </w:rPr>
      </w:pPr>
    </w:p>
    <w:p w14:paraId="172D0E69" w14:textId="368E9C2D" w:rsidR="005A2254" w:rsidRDefault="005A2254" w:rsidP="00A553BA">
      <w:pPr>
        <w:spacing w:line="360" w:lineRule="auto"/>
        <w:ind w:left="1" w:right="100"/>
        <w:rPr>
          <w:rFonts w:cs="Arial"/>
          <w:color w:val="0E101A"/>
          <w:szCs w:val="24"/>
          <w:lang w:eastAsia="en-GB"/>
        </w:rPr>
      </w:pPr>
    </w:p>
    <w:p w14:paraId="180A2F82" w14:textId="59CD5ACD" w:rsidR="005A2254" w:rsidRDefault="005A2254" w:rsidP="00A553BA">
      <w:pPr>
        <w:spacing w:line="360" w:lineRule="auto"/>
        <w:ind w:left="1" w:right="100"/>
        <w:rPr>
          <w:rFonts w:cs="Arial"/>
          <w:color w:val="0E101A"/>
          <w:szCs w:val="24"/>
          <w:lang w:eastAsia="en-GB"/>
        </w:rPr>
      </w:pPr>
    </w:p>
    <w:p w14:paraId="36215CBD" w14:textId="38EF9893" w:rsidR="005A2254" w:rsidRDefault="005A2254" w:rsidP="00A553BA">
      <w:pPr>
        <w:spacing w:line="360" w:lineRule="auto"/>
        <w:ind w:left="1" w:right="100"/>
        <w:rPr>
          <w:rFonts w:cs="Arial"/>
          <w:color w:val="0E101A"/>
          <w:szCs w:val="24"/>
          <w:lang w:eastAsia="en-GB"/>
        </w:rPr>
      </w:pPr>
    </w:p>
    <w:p w14:paraId="5ABD180B" w14:textId="23503344" w:rsidR="005A2254" w:rsidRDefault="005A2254" w:rsidP="00A553BA">
      <w:pPr>
        <w:spacing w:line="360" w:lineRule="auto"/>
        <w:ind w:left="1" w:right="100"/>
        <w:rPr>
          <w:rFonts w:cs="Arial"/>
          <w:color w:val="0E101A"/>
          <w:szCs w:val="24"/>
          <w:lang w:eastAsia="en-GB"/>
        </w:rPr>
      </w:pPr>
    </w:p>
    <w:p w14:paraId="56CB864D" w14:textId="58EC2691" w:rsidR="005A2254" w:rsidRDefault="005A2254" w:rsidP="00A553BA">
      <w:pPr>
        <w:spacing w:line="360" w:lineRule="auto"/>
        <w:ind w:left="1" w:right="100"/>
        <w:rPr>
          <w:rFonts w:cs="Arial"/>
          <w:color w:val="0E101A"/>
          <w:szCs w:val="24"/>
          <w:lang w:eastAsia="en-GB"/>
        </w:rPr>
      </w:pPr>
    </w:p>
    <w:p w14:paraId="76906668" w14:textId="1CB5ACE7" w:rsidR="005A2254" w:rsidRDefault="005A2254" w:rsidP="00A553BA">
      <w:pPr>
        <w:spacing w:line="360" w:lineRule="auto"/>
        <w:ind w:left="1" w:right="100"/>
        <w:rPr>
          <w:rFonts w:cs="Arial"/>
          <w:color w:val="0E101A"/>
          <w:szCs w:val="24"/>
          <w:lang w:eastAsia="en-GB"/>
        </w:rPr>
      </w:pPr>
    </w:p>
    <w:p w14:paraId="00B6DCFC" w14:textId="02485278" w:rsidR="005A2254" w:rsidRDefault="005A2254" w:rsidP="00A553BA">
      <w:pPr>
        <w:spacing w:line="360" w:lineRule="auto"/>
        <w:ind w:left="1" w:right="100"/>
        <w:rPr>
          <w:rFonts w:cs="Arial"/>
          <w:color w:val="0E101A"/>
          <w:szCs w:val="24"/>
          <w:lang w:eastAsia="en-GB"/>
        </w:rPr>
      </w:pPr>
    </w:p>
    <w:p w14:paraId="2B906B6F" w14:textId="5E765C3F" w:rsidR="005A2254" w:rsidRDefault="005A2254" w:rsidP="00A553BA">
      <w:pPr>
        <w:spacing w:line="360" w:lineRule="auto"/>
        <w:ind w:left="1" w:right="100"/>
        <w:rPr>
          <w:rFonts w:cs="Arial"/>
          <w:color w:val="0E101A"/>
          <w:szCs w:val="24"/>
          <w:lang w:eastAsia="en-GB"/>
        </w:rPr>
      </w:pPr>
    </w:p>
    <w:p w14:paraId="63706920" w14:textId="77777777" w:rsidR="00E25BFF" w:rsidRDefault="00E25BFF" w:rsidP="00A553BA">
      <w:pPr>
        <w:spacing w:line="360" w:lineRule="auto"/>
        <w:rPr>
          <w:rFonts w:ascii="Times New Roman" w:hAnsi="Times New Roman"/>
        </w:rPr>
      </w:pPr>
    </w:p>
    <w:p w14:paraId="5D32E2EF" w14:textId="77777777" w:rsidR="007929B6" w:rsidRDefault="007929B6" w:rsidP="007929B6">
      <w:pPr>
        <w:pStyle w:val="ListParagraph"/>
        <w:ind w:left="360"/>
        <w:rPr>
          <w:rFonts w:cs="Arial"/>
          <w:szCs w:val="24"/>
          <w:lang w:eastAsia="en-GB"/>
        </w:rPr>
      </w:pPr>
    </w:p>
    <w:p w14:paraId="14897525" w14:textId="75499375" w:rsidR="007929B6" w:rsidRPr="001F0A91" w:rsidRDefault="005A2254" w:rsidP="005A2254">
      <w:pPr>
        <w:pStyle w:val="Heading2"/>
        <w:numPr>
          <w:ilvl w:val="0"/>
          <w:numId w:val="0"/>
        </w:numPr>
        <w:ind w:left="2562"/>
        <w:rPr>
          <w:highlight w:val="yellow"/>
          <w:lang w:eastAsia="en-GB"/>
        </w:rPr>
      </w:pPr>
      <w:bookmarkStart w:id="2571" w:name="_Toc95743605"/>
      <w:r>
        <w:rPr>
          <w:highlight w:val="yellow"/>
        </w:rPr>
        <w:t xml:space="preserve">4. </w:t>
      </w:r>
      <w:r w:rsidR="007929B6" w:rsidRPr="001F0A91">
        <w:rPr>
          <w:highlight w:val="yellow"/>
        </w:rPr>
        <w:t>Provision of Occupation Health Services – Services funded by the GP practice</w:t>
      </w:r>
      <w:bookmarkEnd w:id="2571"/>
      <w:r w:rsidR="007929B6" w:rsidRPr="001F0A91">
        <w:rPr>
          <w:highlight w:val="yellow"/>
          <w:lang w:eastAsia="en-GB"/>
        </w:rPr>
        <w:t xml:space="preserve"> </w:t>
      </w:r>
    </w:p>
    <w:p w14:paraId="3625515E" w14:textId="77777777" w:rsidR="00B25039" w:rsidRPr="001F0A91" w:rsidRDefault="00B25039" w:rsidP="004E041C">
      <w:pPr>
        <w:rPr>
          <w:highlight w:val="yellow"/>
          <w:lang w:eastAsia="en-GB"/>
        </w:rPr>
      </w:pPr>
    </w:p>
    <w:p w14:paraId="6F0E8CE0" w14:textId="2B6DAC07" w:rsidR="00B25039" w:rsidRPr="001F0A91" w:rsidRDefault="005A2254" w:rsidP="00E5043E">
      <w:pPr>
        <w:pStyle w:val="Default"/>
        <w:spacing w:line="360" w:lineRule="auto"/>
        <w:rPr>
          <w:b/>
          <w:bCs/>
          <w:color w:val="auto"/>
          <w:highlight w:val="yellow"/>
          <w:u w:val="single"/>
        </w:rPr>
      </w:pPr>
      <w:r>
        <w:rPr>
          <w:b/>
          <w:bCs/>
          <w:color w:val="auto"/>
          <w:highlight w:val="yellow"/>
          <w:u w:val="single"/>
        </w:rPr>
        <w:t>4</w:t>
      </w:r>
      <w:r w:rsidR="00A27443" w:rsidRPr="001F0A91">
        <w:rPr>
          <w:b/>
          <w:bCs/>
          <w:color w:val="auto"/>
          <w:highlight w:val="yellow"/>
          <w:u w:val="single"/>
        </w:rPr>
        <w:t xml:space="preserve">.1 </w:t>
      </w:r>
      <w:r w:rsidR="00B25039" w:rsidRPr="001F0A91">
        <w:rPr>
          <w:b/>
          <w:bCs/>
          <w:color w:val="auto"/>
          <w:highlight w:val="yellow"/>
          <w:u w:val="single"/>
        </w:rPr>
        <w:t>Introduction</w:t>
      </w:r>
    </w:p>
    <w:p w14:paraId="1C3F6796" w14:textId="77777777" w:rsidR="00B25039" w:rsidRPr="001F0A91" w:rsidRDefault="00B25039" w:rsidP="00E5043E">
      <w:pPr>
        <w:pStyle w:val="Default"/>
        <w:spacing w:line="360" w:lineRule="auto"/>
        <w:rPr>
          <w:b/>
          <w:bCs/>
          <w:color w:val="auto"/>
          <w:highlight w:val="yellow"/>
          <w:u w:val="single"/>
        </w:rPr>
      </w:pPr>
    </w:p>
    <w:p w14:paraId="4775A2DC" w14:textId="737BCEC7" w:rsidR="00B25039" w:rsidRPr="001F0A91" w:rsidRDefault="005A2254" w:rsidP="00E5043E">
      <w:pPr>
        <w:pStyle w:val="Default"/>
        <w:spacing w:line="360" w:lineRule="auto"/>
        <w:rPr>
          <w:b/>
          <w:bCs/>
          <w:i/>
          <w:iCs/>
          <w:color w:val="auto"/>
          <w:highlight w:val="yellow"/>
          <w:u w:val="single"/>
        </w:rPr>
      </w:pPr>
      <w:r>
        <w:rPr>
          <w:color w:val="auto"/>
          <w:highlight w:val="yellow"/>
        </w:rPr>
        <w:t>4</w:t>
      </w:r>
      <w:r w:rsidR="00A27443" w:rsidRPr="001F0A91">
        <w:rPr>
          <w:color w:val="auto"/>
          <w:highlight w:val="yellow"/>
        </w:rPr>
        <w:t xml:space="preserve">.1.1 </w:t>
      </w:r>
      <w:r w:rsidR="00B25039" w:rsidRPr="001F0A91">
        <w:rPr>
          <w:color w:val="auto"/>
          <w:highlight w:val="yellow"/>
        </w:rPr>
        <w:t>Occupational Health (OH) is “</w:t>
      </w:r>
      <w:r w:rsidR="00B25039" w:rsidRPr="001F0A91">
        <w:rPr>
          <w:color w:val="auto"/>
          <w:highlight w:val="yellow"/>
          <w:shd w:val="clear" w:color="auto" w:fill="FFFFFF"/>
        </w:rPr>
        <w:t>a specialist branch of medicine focusing on the health of staff in the workplace. OH professionals aim to find out what impact work has on staff health and make sure that staff are fit to undertake the role they are employed to do both physically and emotionally. OH specialists can support organisations through advising on work-related illnesses and accidents, carrying out assessments for new starters and existing employees, monitoring the health of employees and prevention. OH services are also used to assist organisations in managing both short and long-term absence situations”. (</w:t>
      </w:r>
      <w:hyperlink r:id="rId226" w:history="1">
        <w:r w:rsidR="00B25039" w:rsidRPr="001F0A91">
          <w:rPr>
            <w:rStyle w:val="Hyperlink"/>
            <w:highlight w:val="yellow"/>
            <w:shd w:val="clear" w:color="auto" w:fill="FFFFFF"/>
          </w:rPr>
          <w:t>NHS Employers</w:t>
        </w:r>
      </w:hyperlink>
      <w:r w:rsidR="00B25039" w:rsidRPr="001F0A91">
        <w:rPr>
          <w:color w:val="auto"/>
          <w:highlight w:val="yellow"/>
          <w:shd w:val="clear" w:color="auto" w:fill="FFFFFF"/>
        </w:rPr>
        <w:t>).</w:t>
      </w:r>
    </w:p>
    <w:p w14:paraId="06F5A2B3" w14:textId="77777777" w:rsidR="00B25039" w:rsidRPr="001F0A91" w:rsidRDefault="00B25039" w:rsidP="00E5043E">
      <w:pPr>
        <w:pStyle w:val="Default"/>
        <w:spacing w:line="360" w:lineRule="auto"/>
        <w:ind w:left="720"/>
        <w:rPr>
          <w:b/>
          <w:bCs/>
          <w:color w:val="auto"/>
          <w:highlight w:val="yellow"/>
          <w:u w:val="single"/>
        </w:rPr>
      </w:pPr>
    </w:p>
    <w:p w14:paraId="186F592A" w14:textId="7A443EEB" w:rsidR="00B25039" w:rsidRDefault="005A2254" w:rsidP="00E5043E">
      <w:pPr>
        <w:pStyle w:val="Default"/>
        <w:spacing w:line="360" w:lineRule="auto"/>
        <w:rPr>
          <w:color w:val="auto"/>
          <w:highlight w:val="yellow"/>
        </w:rPr>
      </w:pPr>
      <w:r>
        <w:rPr>
          <w:color w:val="auto"/>
          <w:highlight w:val="yellow"/>
        </w:rPr>
        <w:t>4</w:t>
      </w:r>
      <w:r w:rsidR="00A27443" w:rsidRPr="001F0A91">
        <w:rPr>
          <w:color w:val="auto"/>
          <w:highlight w:val="yellow"/>
        </w:rPr>
        <w:t xml:space="preserve">.1.2 </w:t>
      </w:r>
      <w:r w:rsidR="00B25039" w:rsidRPr="001F0A91">
        <w:rPr>
          <w:color w:val="auto"/>
          <w:highlight w:val="yellow"/>
        </w:rPr>
        <w:t>“Employers are required by law to prevent physical and mental ill health in their workers that may occur as a result their business activities. An important part of occupational health is concerned with how work and the work environment can impact on workers’ health, both physical and mental. It also includes how workers’ health can affect their ability to do their job. In health and safety law, there are things organisations must do to make sure workers’ health is not adversely affected by their work and that workers are medically fit to carry out their work safely. This includes:</w:t>
      </w:r>
    </w:p>
    <w:p w14:paraId="45B5AA3E" w14:textId="77777777" w:rsidR="00D86DBD" w:rsidRPr="001F0A91" w:rsidRDefault="00D86DBD" w:rsidP="00E5043E">
      <w:pPr>
        <w:pStyle w:val="Default"/>
        <w:spacing w:line="360" w:lineRule="auto"/>
        <w:rPr>
          <w:color w:val="auto"/>
          <w:highlight w:val="yellow"/>
        </w:rPr>
      </w:pPr>
    </w:p>
    <w:p w14:paraId="02BC5337" w14:textId="6FDAD0A5" w:rsidR="00B25039" w:rsidRDefault="00B25039" w:rsidP="006C3DF5">
      <w:pPr>
        <w:pStyle w:val="Default"/>
        <w:numPr>
          <w:ilvl w:val="0"/>
          <w:numId w:val="244"/>
        </w:numPr>
        <w:adjustRightInd w:val="0"/>
        <w:spacing w:line="360" w:lineRule="auto"/>
        <w:rPr>
          <w:color w:val="auto"/>
          <w:highlight w:val="yellow"/>
        </w:rPr>
      </w:pPr>
      <w:r w:rsidRPr="001F0A91">
        <w:rPr>
          <w:color w:val="auto"/>
          <w:highlight w:val="yellow"/>
        </w:rPr>
        <w:t>implementing health or medical surveillance when necessary ensuring workers are medically fit to undertake the role required (your industry may produce such standards)</w:t>
      </w:r>
    </w:p>
    <w:p w14:paraId="388337C9" w14:textId="77777777" w:rsidR="00D86DBD" w:rsidRPr="001F0A91" w:rsidRDefault="00D86DBD" w:rsidP="00E5043E">
      <w:pPr>
        <w:pStyle w:val="Default"/>
        <w:adjustRightInd w:val="0"/>
        <w:spacing w:line="360" w:lineRule="auto"/>
        <w:ind w:left="720"/>
        <w:rPr>
          <w:color w:val="auto"/>
          <w:highlight w:val="yellow"/>
        </w:rPr>
      </w:pPr>
    </w:p>
    <w:p w14:paraId="0DD105E1" w14:textId="487BD631" w:rsidR="00B25039" w:rsidRDefault="00B25039" w:rsidP="006C3DF5">
      <w:pPr>
        <w:pStyle w:val="Default"/>
        <w:numPr>
          <w:ilvl w:val="0"/>
          <w:numId w:val="244"/>
        </w:numPr>
        <w:adjustRightInd w:val="0"/>
        <w:spacing w:line="360" w:lineRule="auto"/>
        <w:rPr>
          <w:color w:val="auto"/>
          <w:highlight w:val="yellow"/>
        </w:rPr>
      </w:pPr>
      <w:r w:rsidRPr="001F0A91">
        <w:rPr>
          <w:color w:val="auto"/>
          <w:highlight w:val="yellow"/>
        </w:rPr>
        <w:t>reviewing your risk assessment when a worker is returning to work following sickness absence or declares a health condition</w:t>
      </w:r>
    </w:p>
    <w:p w14:paraId="51D4E826" w14:textId="77777777" w:rsidR="00D86DBD" w:rsidRPr="001F0A91" w:rsidRDefault="00D86DBD" w:rsidP="00E5043E">
      <w:pPr>
        <w:pStyle w:val="Default"/>
        <w:adjustRightInd w:val="0"/>
        <w:spacing w:line="360" w:lineRule="auto"/>
        <w:ind w:left="720"/>
        <w:rPr>
          <w:color w:val="auto"/>
          <w:highlight w:val="yellow"/>
        </w:rPr>
      </w:pPr>
    </w:p>
    <w:p w14:paraId="26DB3241" w14:textId="77777777" w:rsidR="00B25039" w:rsidRPr="001F0A91" w:rsidRDefault="00B25039" w:rsidP="006C3DF5">
      <w:pPr>
        <w:pStyle w:val="Default"/>
        <w:numPr>
          <w:ilvl w:val="0"/>
          <w:numId w:val="244"/>
        </w:numPr>
        <w:adjustRightInd w:val="0"/>
        <w:spacing w:line="360" w:lineRule="auto"/>
        <w:rPr>
          <w:color w:val="auto"/>
          <w:highlight w:val="yellow"/>
        </w:rPr>
      </w:pPr>
      <w:r w:rsidRPr="001F0A91">
        <w:rPr>
          <w:color w:val="auto"/>
          <w:highlight w:val="yellow"/>
        </w:rPr>
        <w:t>have a responsibility to make available occupational health services for their staff and it is important that staff know how to access their service provider.” (</w:t>
      </w:r>
      <w:hyperlink r:id="rId227" w:history="1">
        <w:r w:rsidRPr="001F0A91">
          <w:rPr>
            <w:rStyle w:val="Hyperlink"/>
            <w:highlight w:val="yellow"/>
          </w:rPr>
          <w:t>Health &amp; Safety Executive</w:t>
        </w:r>
      </w:hyperlink>
      <w:r w:rsidRPr="001F0A91">
        <w:rPr>
          <w:color w:val="auto"/>
          <w:highlight w:val="yellow"/>
        </w:rPr>
        <w:t>)</w:t>
      </w:r>
    </w:p>
    <w:p w14:paraId="11678969" w14:textId="4C0F3299" w:rsidR="007A6779" w:rsidRDefault="007A6779" w:rsidP="00E5043E">
      <w:pPr>
        <w:pStyle w:val="Default"/>
        <w:spacing w:line="360" w:lineRule="auto"/>
        <w:rPr>
          <w:b/>
          <w:bCs/>
          <w:color w:val="auto"/>
          <w:highlight w:val="yellow"/>
          <w:u w:val="single"/>
        </w:rPr>
      </w:pPr>
    </w:p>
    <w:p w14:paraId="7E14ECEC" w14:textId="77777777" w:rsidR="007A6779" w:rsidRPr="001F0A91" w:rsidRDefault="007A6779" w:rsidP="00E5043E">
      <w:pPr>
        <w:pStyle w:val="Default"/>
        <w:spacing w:line="360" w:lineRule="auto"/>
        <w:rPr>
          <w:b/>
          <w:bCs/>
          <w:color w:val="auto"/>
          <w:highlight w:val="yellow"/>
          <w:u w:val="single"/>
        </w:rPr>
      </w:pPr>
    </w:p>
    <w:p w14:paraId="5BDEE2EC" w14:textId="61A4E528" w:rsidR="00B25039" w:rsidRPr="001F0A91" w:rsidRDefault="005A2254" w:rsidP="00E5043E">
      <w:pPr>
        <w:pStyle w:val="Default"/>
        <w:spacing w:line="360" w:lineRule="auto"/>
        <w:rPr>
          <w:b/>
          <w:bCs/>
          <w:color w:val="auto"/>
          <w:highlight w:val="yellow"/>
          <w:u w:val="single"/>
        </w:rPr>
      </w:pPr>
      <w:r>
        <w:rPr>
          <w:b/>
          <w:bCs/>
          <w:color w:val="auto"/>
          <w:highlight w:val="yellow"/>
          <w:u w:val="single"/>
        </w:rPr>
        <w:t>4</w:t>
      </w:r>
      <w:r w:rsidR="00A27443" w:rsidRPr="001F0A91">
        <w:rPr>
          <w:b/>
          <w:bCs/>
          <w:color w:val="auto"/>
          <w:highlight w:val="yellow"/>
          <w:u w:val="single"/>
        </w:rPr>
        <w:t xml:space="preserve">.2. </w:t>
      </w:r>
      <w:r w:rsidR="00B25039" w:rsidRPr="001F0A91">
        <w:rPr>
          <w:b/>
          <w:bCs/>
          <w:color w:val="auto"/>
          <w:highlight w:val="yellow"/>
          <w:u w:val="single"/>
        </w:rPr>
        <w:t>Provision of Occupation Health Services – Services funded by the primary care contractor</w:t>
      </w:r>
    </w:p>
    <w:p w14:paraId="10B45B64" w14:textId="77777777" w:rsidR="00B25039" w:rsidRPr="001F0A91" w:rsidRDefault="00B25039" w:rsidP="00E5043E">
      <w:pPr>
        <w:pStyle w:val="Default"/>
        <w:spacing w:line="360" w:lineRule="auto"/>
        <w:rPr>
          <w:color w:val="auto"/>
          <w:highlight w:val="yellow"/>
        </w:rPr>
      </w:pPr>
    </w:p>
    <w:p w14:paraId="7222D521" w14:textId="77777777" w:rsidR="00B25039" w:rsidRPr="001F0A91" w:rsidRDefault="00B25039" w:rsidP="00E5043E">
      <w:pPr>
        <w:pStyle w:val="Default"/>
        <w:spacing w:line="360" w:lineRule="auto"/>
        <w:rPr>
          <w:color w:val="auto"/>
          <w:highlight w:val="yellow"/>
        </w:rPr>
      </w:pPr>
      <w:r w:rsidRPr="001F0A91">
        <w:rPr>
          <w:color w:val="auto"/>
          <w:highlight w:val="yellow"/>
        </w:rPr>
        <w:t>This section outlines what primary care services contract holders are responsible for funding as part of their employer responsibilities to their staff. These services include:</w:t>
      </w:r>
    </w:p>
    <w:p w14:paraId="3D574FF8" w14:textId="77777777" w:rsidR="00B25039" w:rsidRPr="001F0A91" w:rsidRDefault="00B25039" w:rsidP="00E5043E">
      <w:pPr>
        <w:spacing w:line="360" w:lineRule="auto"/>
        <w:rPr>
          <w:rFonts w:cs="Arial"/>
          <w:b/>
          <w:bCs w:val="0"/>
          <w:szCs w:val="24"/>
          <w:highlight w:val="yellow"/>
        </w:rPr>
      </w:pPr>
    </w:p>
    <w:p w14:paraId="59A3B608" w14:textId="77777777" w:rsidR="00B25039" w:rsidRPr="001F0A91" w:rsidRDefault="00B25039" w:rsidP="006C3DF5">
      <w:pPr>
        <w:pStyle w:val="ListParagraph"/>
        <w:numPr>
          <w:ilvl w:val="0"/>
          <w:numId w:val="243"/>
        </w:numPr>
        <w:spacing w:line="360" w:lineRule="auto"/>
        <w:contextualSpacing w:val="0"/>
        <w:rPr>
          <w:rFonts w:cs="Arial"/>
          <w:szCs w:val="24"/>
          <w:highlight w:val="yellow"/>
        </w:rPr>
      </w:pPr>
      <w:r w:rsidRPr="001F0A91">
        <w:rPr>
          <w:rFonts w:cs="Arial"/>
          <w:b/>
          <w:szCs w:val="24"/>
          <w:highlight w:val="yellow"/>
        </w:rPr>
        <w:t>OH pre-employment screening/clearance</w:t>
      </w:r>
      <w:r w:rsidRPr="001F0A91">
        <w:rPr>
          <w:rFonts w:cs="Arial"/>
          <w:szCs w:val="24"/>
          <w:highlight w:val="yellow"/>
        </w:rPr>
        <w:t xml:space="preserve">: OH assessments as required for all staff working in their organisation, as required. </w:t>
      </w:r>
    </w:p>
    <w:p w14:paraId="788B420B" w14:textId="77777777" w:rsidR="00B25039" w:rsidRPr="001F0A91" w:rsidRDefault="00B25039" w:rsidP="00E5043E">
      <w:pPr>
        <w:pStyle w:val="ListParagraph"/>
        <w:spacing w:line="360" w:lineRule="auto"/>
        <w:rPr>
          <w:rFonts w:cs="Arial"/>
          <w:b/>
          <w:bCs w:val="0"/>
          <w:szCs w:val="24"/>
          <w:highlight w:val="yellow"/>
          <w:u w:val="single"/>
        </w:rPr>
      </w:pPr>
    </w:p>
    <w:p w14:paraId="1171AAD7" w14:textId="00A45962" w:rsidR="00B25039" w:rsidRPr="001F0A91" w:rsidRDefault="00B25039" w:rsidP="006C3DF5">
      <w:pPr>
        <w:pStyle w:val="ListParagraph"/>
        <w:numPr>
          <w:ilvl w:val="0"/>
          <w:numId w:val="243"/>
        </w:numPr>
        <w:spacing w:line="360" w:lineRule="auto"/>
        <w:contextualSpacing w:val="0"/>
        <w:rPr>
          <w:rFonts w:cs="Arial"/>
          <w:szCs w:val="24"/>
          <w:highlight w:val="yellow"/>
        </w:rPr>
      </w:pPr>
      <w:r w:rsidRPr="001F0A91">
        <w:rPr>
          <w:rFonts w:cs="Arial"/>
          <w:b/>
          <w:szCs w:val="24"/>
          <w:highlight w:val="yellow"/>
        </w:rPr>
        <w:t xml:space="preserve">Virology testing, vaccination for </w:t>
      </w:r>
      <w:r w:rsidR="00AB6705">
        <w:rPr>
          <w:rFonts w:cs="Arial"/>
          <w:b/>
          <w:szCs w:val="24"/>
          <w:highlight w:val="yellow"/>
        </w:rPr>
        <w:t>b</w:t>
      </w:r>
      <w:r w:rsidRPr="001F0A91">
        <w:rPr>
          <w:rFonts w:cs="Arial"/>
          <w:b/>
          <w:szCs w:val="24"/>
          <w:highlight w:val="yellow"/>
        </w:rPr>
        <w:t xml:space="preserve">lood </w:t>
      </w:r>
      <w:r w:rsidR="00AB6705">
        <w:rPr>
          <w:rFonts w:cs="Arial"/>
          <w:b/>
          <w:szCs w:val="24"/>
          <w:highlight w:val="yellow"/>
        </w:rPr>
        <w:t>b</w:t>
      </w:r>
      <w:r w:rsidRPr="001F0A91">
        <w:rPr>
          <w:rFonts w:cs="Arial"/>
          <w:b/>
          <w:szCs w:val="24"/>
          <w:highlight w:val="yellow"/>
        </w:rPr>
        <w:t xml:space="preserve">orne </w:t>
      </w:r>
      <w:r w:rsidR="00AB6705">
        <w:rPr>
          <w:rFonts w:cs="Arial"/>
          <w:b/>
          <w:szCs w:val="24"/>
          <w:highlight w:val="yellow"/>
        </w:rPr>
        <w:t>v</w:t>
      </w:r>
      <w:r w:rsidRPr="001F0A91">
        <w:rPr>
          <w:rFonts w:cs="Arial"/>
          <w:b/>
          <w:szCs w:val="24"/>
          <w:highlight w:val="yellow"/>
        </w:rPr>
        <w:t>irus</w:t>
      </w:r>
      <w:r w:rsidR="0019233A">
        <w:rPr>
          <w:rFonts w:cs="Arial"/>
          <w:b/>
          <w:szCs w:val="24"/>
          <w:highlight w:val="yellow"/>
        </w:rPr>
        <w:t>es</w:t>
      </w:r>
      <w:r w:rsidRPr="001F0A91">
        <w:rPr>
          <w:rFonts w:cs="Arial"/>
          <w:b/>
          <w:szCs w:val="24"/>
          <w:highlight w:val="yellow"/>
        </w:rPr>
        <w:t xml:space="preserve"> </w:t>
      </w:r>
      <w:r w:rsidR="0019233A">
        <w:rPr>
          <w:rFonts w:cs="Arial"/>
          <w:b/>
          <w:szCs w:val="24"/>
          <w:highlight w:val="yellow"/>
        </w:rPr>
        <w:t xml:space="preserve">(BBVs) </w:t>
      </w:r>
      <w:r w:rsidRPr="001F0A91">
        <w:rPr>
          <w:rFonts w:cs="Arial"/>
          <w:b/>
          <w:szCs w:val="24"/>
          <w:highlight w:val="yellow"/>
        </w:rPr>
        <w:t>and immunisation:</w:t>
      </w:r>
      <w:r w:rsidRPr="001F0A91">
        <w:rPr>
          <w:rFonts w:cs="Arial"/>
          <w:szCs w:val="24"/>
          <w:highlight w:val="yellow"/>
        </w:rPr>
        <w:t xml:space="preserve"> Available to all staff who are not already immunised, and includes Hepatitis B, Varicella, Tuberculosis (BCG), Diphtheria, Pertussis and Tetanus, Measles Mumps and Rubella.</w:t>
      </w:r>
    </w:p>
    <w:p w14:paraId="50B3C3E9" w14:textId="77777777" w:rsidR="00B25039" w:rsidRPr="001F0A91" w:rsidRDefault="00B25039" w:rsidP="00E5043E">
      <w:pPr>
        <w:pStyle w:val="ListParagraph"/>
        <w:spacing w:line="360" w:lineRule="auto"/>
        <w:rPr>
          <w:rFonts w:cs="Arial"/>
          <w:b/>
          <w:bCs w:val="0"/>
          <w:szCs w:val="24"/>
          <w:highlight w:val="yellow"/>
          <w:u w:val="single"/>
        </w:rPr>
      </w:pPr>
    </w:p>
    <w:p w14:paraId="1B6F9844" w14:textId="1CFFFEF3" w:rsidR="00B25039" w:rsidRPr="00D86DBD" w:rsidRDefault="00B25039" w:rsidP="006C3DF5">
      <w:pPr>
        <w:pStyle w:val="ListParagraph"/>
        <w:numPr>
          <w:ilvl w:val="0"/>
          <w:numId w:val="243"/>
        </w:numPr>
        <w:spacing w:line="360" w:lineRule="auto"/>
        <w:contextualSpacing w:val="0"/>
        <w:rPr>
          <w:rFonts w:cs="Arial"/>
          <w:b/>
          <w:bCs w:val="0"/>
          <w:szCs w:val="24"/>
          <w:highlight w:val="yellow"/>
        </w:rPr>
      </w:pPr>
      <w:r w:rsidRPr="001F0A91">
        <w:rPr>
          <w:rFonts w:cs="Arial"/>
          <w:b/>
          <w:szCs w:val="24"/>
          <w:highlight w:val="yellow"/>
        </w:rPr>
        <w:t xml:space="preserve">Enhanced/other OH assessments: </w:t>
      </w:r>
      <w:r w:rsidRPr="001F0A91">
        <w:rPr>
          <w:rFonts w:cs="Arial"/>
          <w:szCs w:val="24"/>
          <w:highlight w:val="yellow"/>
        </w:rPr>
        <w:t>This may include a range of different OH assessments or support needed for all staff including: </w:t>
      </w:r>
    </w:p>
    <w:p w14:paraId="23E47D75" w14:textId="77777777" w:rsidR="00D86DBD" w:rsidRPr="00600C8D" w:rsidRDefault="00D86DBD" w:rsidP="00600C8D">
      <w:pPr>
        <w:spacing w:line="360" w:lineRule="auto"/>
        <w:rPr>
          <w:rFonts w:cs="Arial"/>
          <w:b/>
          <w:bCs w:val="0"/>
          <w:szCs w:val="24"/>
          <w:highlight w:val="yellow"/>
        </w:rPr>
      </w:pPr>
    </w:p>
    <w:p w14:paraId="23311B48" w14:textId="66693D75" w:rsidR="00B25039" w:rsidRDefault="00B25039" w:rsidP="006C3DF5">
      <w:pPr>
        <w:pStyle w:val="ListParagraph"/>
        <w:numPr>
          <w:ilvl w:val="1"/>
          <w:numId w:val="242"/>
        </w:numPr>
        <w:spacing w:line="360" w:lineRule="auto"/>
        <w:contextualSpacing w:val="0"/>
        <w:rPr>
          <w:rFonts w:cs="Arial"/>
          <w:szCs w:val="24"/>
          <w:highlight w:val="yellow"/>
        </w:rPr>
      </w:pPr>
      <w:r w:rsidRPr="001F0A91">
        <w:rPr>
          <w:rFonts w:cs="Arial"/>
          <w:szCs w:val="24"/>
          <w:highlight w:val="yellow"/>
        </w:rPr>
        <w:t>Assist in the appropriate placement of people at work, taking into account their physical and mental health, and prevent ill health arising as a result of work done or the conditions in which work is done</w:t>
      </w:r>
    </w:p>
    <w:p w14:paraId="6E6798FA" w14:textId="77777777" w:rsidR="00D86DBD" w:rsidRPr="001F0A91" w:rsidRDefault="00D86DBD" w:rsidP="00E5043E">
      <w:pPr>
        <w:pStyle w:val="ListParagraph"/>
        <w:spacing w:line="360" w:lineRule="auto"/>
        <w:ind w:left="1440"/>
        <w:contextualSpacing w:val="0"/>
        <w:rPr>
          <w:rFonts w:cs="Arial"/>
          <w:szCs w:val="24"/>
          <w:highlight w:val="yellow"/>
        </w:rPr>
      </w:pPr>
    </w:p>
    <w:p w14:paraId="2DF063F0" w14:textId="0BB83512" w:rsidR="00B25039" w:rsidRDefault="00B25039" w:rsidP="006C3DF5">
      <w:pPr>
        <w:pStyle w:val="ListParagraph"/>
        <w:numPr>
          <w:ilvl w:val="1"/>
          <w:numId w:val="242"/>
        </w:numPr>
        <w:spacing w:line="360" w:lineRule="auto"/>
        <w:contextualSpacing w:val="0"/>
        <w:rPr>
          <w:rFonts w:cs="Arial"/>
          <w:szCs w:val="24"/>
          <w:highlight w:val="yellow"/>
        </w:rPr>
      </w:pPr>
      <w:r w:rsidRPr="001F0A91">
        <w:rPr>
          <w:rFonts w:cs="Arial"/>
          <w:szCs w:val="24"/>
          <w:highlight w:val="yellow"/>
        </w:rPr>
        <w:t>Enhancing staff performance and morale through reducing risks at work which lead to ill health, staff absence and accidents</w:t>
      </w:r>
    </w:p>
    <w:p w14:paraId="34D8B939" w14:textId="77777777" w:rsidR="00D86DBD" w:rsidRPr="00D86DBD" w:rsidRDefault="00D86DBD" w:rsidP="00E5043E">
      <w:pPr>
        <w:spacing w:line="360" w:lineRule="auto"/>
        <w:rPr>
          <w:rFonts w:cs="Arial"/>
          <w:szCs w:val="24"/>
          <w:highlight w:val="yellow"/>
        </w:rPr>
      </w:pPr>
    </w:p>
    <w:p w14:paraId="7A36AC4D" w14:textId="15786D0E" w:rsidR="00B25039" w:rsidRDefault="00B25039" w:rsidP="006C3DF5">
      <w:pPr>
        <w:pStyle w:val="ListParagraph"/>
        <w:numPr>
          <w:ilvl w:val="1"/>
          <w:numId w:val="242"/>
        </w:numPr>
        <w:spacing w:line="360" w:lineRule="auto"/>
        <w:contextualSpacing w:val="0"/>
        <w:rPr>
          <w:rFonts w:cs="Arial"/>
          <w:szCs w:val="24"/>
          <w:highlight w:val="yellow"/>
        </w:rPr>
      </w:pPr>
      <w:r w:rsidRPr="001F0A91">
        <w:rPr>
          <w:rFonts w:cs="Arial"/>
          <w:szCs w:val="24"/>
          <w:highlight w:val="yellow"/>
        </w:rPr>
        <w:t>Protect the public from any adverse consequences arising as a result of ill health or infected primary care staff</w:t>
      </w:r>
    </w:p>
    <w:p w14:paraId="47FC5DC5" w14:textId="77777777" w:rsidR="00D86DBD" w:rsidRPr="00D86DBD" w:rsidRDefault="00D86DBD" w:rsidP="00E5043E">
      <w:pPr>
        <w:spacing w:line="360" w:lineRule="auto"/>
        <w:rPr>
          <w:rFonts w:cs="Arial"/>
          <w:szCs w:val="24"/>
          <w:highlight w:val="yellow"/>
        </w:rPr>
      </w:pPr>
    </w:p>
    <w:p w14:paraId="538E873D" w14:textId="77777777" w:rsidR="00D86DBD" w:rsidRDefault="00B25039" w:rsidP="006C3DF5">
      <w:pPr>
        <w:pStyle w:val="ListParagraph"/>
        <w:numPr>
          <w:ilvl w:val="1"/>
          <w:numId w:val="242"/>
        </w:numPr>
        <w:spacing w:line="360" w:lineRule="auto"/>
        <w:contextualSpacing w:val="0"/>
        <w:rPr>
          <w:rFonts w:cs="Arial"/>
          <w:szCs w:val="24"/>
          <w:highlight w:val="yellow"/>
        </w:rPr>
      </w:pPr>
      <w:r w:rsidRPr="001F0A91">
        <w:rPr>
          <w:rFonts w:cs="Arial"/>
          <w:szCs w:val="24"/>
          <w:highlight w:val="yellow"/>
        </w:rPr>
        <w:t>Review prolonged/recurrent sickness absence and support return to work after sickness absence or following an accident</w:t>
      </w:r>
    </w:p>
    <w:p w14:paraId="1E7CF611" w14:textId="52279511" w:rsidR="00B25039" w:rsidRPr="00D86DBD" w:rsidRDefault="00B25039" w:rsidP="00E5043E">
      <w:pPr>
        <w:spacing w:line="360" w:lineRule="auto"/>
        <w:rPr>
          <w:rFonts w:cs="Arial"/>
          <w:szCs w:val="24"/>
          <w:highlight w:val="yellow"/>
        </w:rPr>
      </w:pPr>
      <w:r w:rsidRPr="00D86DBD">
        <w:rPr>
          <w:rFonts w:cs="Arial"/>
          <w:szCs w:val="24"/>
          <w:highlight w:val="yellow"/>
        </w:rPr>
        <w:t xml:space="preserve"> </w:t>
      </w:r>
    </w:p>
    <w:p w14:paraId="3AF8B9D3" w14:textId="6265EA0C" w:rsidR="00B25039" w:rsidRDefault="00B25039" w:rsidP="006C3DF5">
      <w:pPr>
        <w:pStyle w:val="ListParagraph"/>
        <w:numPr>
          <w:ilvl w:val="1"/>
          <w:numId w:val="242"/>
        </w:numPr>
        <w:spacing w:line="360" w:lineRule="auto"/>
        <w:contextualSpacing w:val="0"/>
        <w:rPr>
          <w:rFonts w:cs="Arial"/>
          <w:szCs w:val="24"/>
          <w:highlight w:val="yellow"/>
        </w:rPr>
      </w:pPr>
      <w:r w:rsidRPr="001F0A91">
        <w:rPr>
          <w:rFonts w:cs="Arial"/>
          <w:szCs w:val="24"/>
          <w:highlight w:val="yellow"/>
        </w:rPr>
        <w:t>Advice on ill health retirement</w:t>
      </w:r>
    </w:p>
    <w:p w14:paraId="7AD0AFB0" w14:textId="77777777" w:rsidR="00D86DBD" w:rsidRPr="00D86DBD" w:rsidRDefault="00D86DBD" w:rsidP="00E5043E">
      <w:pPr>
        <w:spacing w:line="360" w:lineRule="auto"/>
        <w:rPr>
          <w:rFonts w:cs="Arial"/>
          <w:szCs w:val="24"/>
          <w:highlight w:val="yellow"/>
        </w:rPr>
      </w:pPr>
    </w:p>
    <w:p w14:paraId="72FDB0B6" w14:textId="563F34D6" w:rsidR="00B25039" w:rsidRDefault="00B25039" w:rsidP="006C3DF5">
      <w:pPr>
        <w:pStyle w:val="ListParagraph"/>
        <w:numPr>
          <w:ilvl w:val="1"/>
          <w:numId w:val="242"/>
        </w:numPr>
        <w:spacing w:line="360" w:lineRule="auto"/>
        <w:contextualSpacing w:val="0"/>
        <w:rPr>
          <w:rFonts w:cs="Arial"/>
          <w:szCs w:val="24"/>
          <w:highlight w:val="yellow"/>
        </w:rPr>
      </w:pPr>
      <w:r w:rsidRPr="001F0A91">
        <w:rPr>
          <w:rFonts w:cs="Arial"/>
          <w:szCs w:val="24"/>
          <w:highlight w:val="yellow"/>
        </w:rPr>
        <w:t>Periodic health assessment for example: radiation, COSHH regulations or where risk assessment has indicated that this is required</w:t>
      </w:r>
    </w:p>
    <w:p w14:paraId="51DADB92" w14:textId="77777777" w:rsidR="00D86DBD" w:rsidRPr="00D86DBD" w:rsidRDefault="00D86DBD" w:rsidP="00E5043E">
      <w:pPr>
        <w:spacing w:line="360" w:lineRule="auto"/>
        <w:rPr>
          <w:rFonts w:cs="Arial"/>
          <w:szCs w:val="24"/>
          <w:highlight w:val="yellow"/>
        </w:rPr>
      </w:pPr>
    </w:p>
    <w:p w14:paraId="097126E3" w14:textId="77777777" w:rsidR="00B25039" w:rsidRPr="001F0A91" w:rsidRDefault="00B25039" w:rsidP="006C3DF5">
      <w:pPr>
        <w:pStyle w:val="ListParagraph"/>
        <w:numPr>
          <w:ilvl w:val="1"/>
          <w:numId w:val="242"/>
        </w:numPr>
        <w:spacing w:line="360" w:lineRule="auto"/>
        <w:contextualSpacing w:val="0"/>
        <w:rPr>
          <w:rFonts w:cs="Arial"/>
          <w:szCs w:val="24"/>
          <w:highlight w:val="yellow"/>
        </w:rPr>
      </w:pPr>
      <w:r w:rsidRPr="001F0A91">
        <w:rPr>
          <w:rFonts w:cs="Arial"/>
          <w:szCs w:val="24"/>
          <w:highlight w:val="yellow"/>
        </w:rPr>
        <w:t>advice on onward referral to other services that could support staff e.g. counselling.</w:t>
      </w:r>
    </w:p>
    <w:p w14:paraId="54ED942D" w14:textId="77777777" w:rsidR="00B25039" w:rsidRPr="001F0A91" w:rsidRDefault="00B25039" w:rsidP="00E5043E">
      <w:pPr>
        <w:pStyle w:val="Default"/>
        <w:spacing w:line="360" w:lineRule="auto"/>
        <w:rPr>
          <w:color w:val="auto"/>
          <w:highlight w:val="yellow"/>
        </w:rPr>
      </w:pPr>
    </w:p>
    <w:p w14:paraId="395A67A7" w14:textId="1FF292D2" w:rsidR="00B25039" w:rsidRPr="001F0A91" w:rsidRDefault="005A2254" w:rsidP="00E5043E">
      <w:pPr>
        <w:pStyle w:val="Default"/>
        <w:spacing w:line="360" w:lineRule="auto"/>
        <w:rPr>
          <w:b/>
          <w:bCs/>
          <w:color w:val="auto"/>
          <w:highlight w:val="yellow"/>
          <w:u w:val="single"/>
        </w:rPr>
      </w:pPr>
      <w:r>
        <w:rPr>
          <w:b/>
          <w:bCs/>
          <w:color w:val="auto"/>
          <w:highlight w:val="yellow"/>
          <w:u w:val="single"/>
        </w:rPr>
        <w:t>4</w:t>
      </w:r>
      <w:r w:rsidR="00A27443" w:rsidRPr="001F0A91">
        <w:rPr>
          <w:b/>
          <w:bCs/>
          <w:color w:val="auto"/>
          <w:highlight w:val="yellow"/>
          <w:u w:val="single"/>
        </w:rPr>
        <w:t xml:space="preserve">.3 </w:t>
      </w:r>
      <w:r w:rsidR="00B25039" w:rsidRPr="001F0A91">
        <w:rPr>
          <w:b/>
          <w:bCs/>
          <w:color w:val="auto"/>
          <w:highlight w:val="yellow"/>
          <w:u w:val="single"/>
        </w:rPr>
        <w:t>Provision of specific Occupation Health Services – applicants to join the National Performers List</w:t>
      </w:r>
    </w:p>
    <w:p w14:paraId="5C473B52" w14:textId="77777777" w:rsidR="00B25039" w:rsidRPr="001F0A91" w:rsidRDefault="00B25039" w:rsidP="00E5043E">
      <w:pPr>
        <w:pStyle w:val="Default"/>
        <w:spacing w:line="360" w:lineRule="auto"/>
        <w:rPr>
          <w:b/>
          <w:bCs/>
          <w:color w:val="auto"/>
          <w:highlight w:val="yellow"/>
          <w:u w:val="single"/>
        </w:rPr>
      </w:pPr>
    </w:p>
    <w:p w14:paraId="33BBA7D5" w14:textId="01701A1E" w:rsidR="00B25039" w:rsidRDefault="00B25039" w:rsidP="00E5043E">
      <w:pPr>
        <w:spacing w:line="360" w:lineRule="auto"/>
        <w:rPr>
          <w:rFonts w:cs="Arial"/>
          <w:szCs w:val="24"/>
          <w:highlight w:val="yellow"/>
        </w:rPr>
      </w:pPr>
      <w:r w:rsidRPr="001F0A91">
        <w:rPr>
          <w:rFonts w:cs="Arial"/>
          <w:szCs w:val="24"/>
          <w:highlight w:val="yellow"/>
        </w:rPr>
        <w:t xml:space="preserve">Performers seeking to apply to join the National Performers List (NPL) will need to self-fund for the following OH services: </w:t>
      </w:r>
      <w:r w:rsidRPr="001F0A91">
        <w:rPr>
          <w:rFonts w:cs="Arial"/>
          <w:b/>
          <w:szCs w:val="24"/>
          <w:highlight w:val="yellow"/>
        </w:rPr>
        <w:t xml:space="preserve">pre-employment screening, </w:t>
      </w:r>
      <w:r w:rsidR="00AB6705">
        <w:rPr>
          <w:rFonts w:cs="Arial"/>
          <w:b/>
          <w:szCs w:val="24"/>
          <w:highlight w:val="yellow"/>
        </w:rPr>
        <w:t>v</w:t>
      </w:r>
      <w:r w:rsidRPr="001F0A91">
        <w:rPr>
          <w:rFonts w:cs="Arial"/>
          <w:b/>
          <w:szCs w:val="24"/>
          <w:highlight w:val="yellow"/>
        </w:rPr>
        <w:t xml:space="preserve">irology testing, vaccination for </w:t>
      </w:r>
      <w:r w:rsidR="0024514C">
        <w:rPr>
          <w:rFonts w:cs="Arial"/>
          <w:b/>
          <w:szCs w:val="24"/>
          <w:highlight w:val="yellow"/>
        </w:rPr>
        <w:t>BBV</w:t>
      </w:r>
      <w:r w:rsidR="00B965F8">
        <w:rPr>
          <w:rFonts w:cs="Arial"/>
          <w:b/>
          <w:szCs w:val="24"/>
          <w:highlight w:val="yellow"/>
        </w:rPr>
        <w:t>s</w:t>
      </w:r>
      <w:r w:rsidR="0024514C">
        <w:rPr>
          <w:rFonts w:cs="Arial"/>
          <w:b/>
          <w:szCs w:val="24"/>
          <w:highlight w:val="yellow"/>
        </w:rPr>
        <w:t xml:space="preserve"> </w:t>
      </w:r>
      <w:r w:rsidRPr="001F0A91">
        <w:rPr>
          <w:rFonts w:cs="Arial"/>
          <w:b/>
          <w:szCs w:val="24"/>
          <w:highlight w:val="yellow"/>
        </w:rPr>
        <w:t>and immunisation</w:t>
      </w:r>
      <w:r w:rsidRPr="001F0A91">
        <w:rPr>
          <w:rFonts w:cs="Arial"/>
          <w:szCs w:val="24"/>
          <w:highlight w:val="yellow"/>
        </w:rPr>
        <w:t>.</w:t>
      </w:r>
    </w:p>
    <w:p w14:paraId="49229173" w14:textId="77777777" w:rsidR="00AF78B1" w:rsidRPr="001F0A91" w:rsidRDefault="00AF78B1" w:rsidP="00E5043E">
      <w:pPr>
        <w:spacing w:line="360" w:lineRule="auto"/>
        <w:rPr>
          <w:rFonts w:cs="Arial"/>
          <w:szCs w:val="24"/>
          <w:highlight w:val="yellow"/>
        </w:rPr>
      </w:pPr>
    </w:p>
    <w:p w14:paraId="6F748A20" w14:textId="38972A1B" w:rsidR="00B25039" w:rsidRPr="00AF78B1" w:rsidRDefault="005A2254" w:rsidP="00AF78B1">
      <w:pPr>
        <w:spacing w:after="160" w:line="360" w:lineRule="auto"/>
        <w:rPr>
          <w:rFonts w:cs="Arial"/>
          <w:b/>
          <w:bCs w:val="0"/>
          <w:szCs w:val="24"/>
          <w:highlight w:val="yellow"/>
          <w:u w:val="single"/>
        </w:rPr>
      </w:pPr>
      <w:r>
        <w:rPr>
          <w:b/>
          <w:bCs w:val="0"/>
          <w:highlight w:val="yellow"/>
          <w:u w:val="single"/>
        </w:rPr>
        <w:t>4</w:t>
      </w:r>
      <w:r w:rsidR="00A27443" w:rsidRPr="001F0A91">
        <w:rPr>
          <w:b/>
          <w:bCs w:val="0"/>
          <w:highlight w:val="yellow"/>
          <w:u w:val="single"/>
        </w:rPr>
        <w:t xml:space="preserve">.4 </w:t>
      </w:r>
      <w:r w:rsidR="00B25039" w:rsidRPr="001F0A91">
        <w:rPr>
          <w:b/>
          <w:bCs w:val="0"/>
          <w:highlight w:val="yellow"/>
          <w:u w:val="single"/>
        </w:rPr>
        <w:t>Provision of specific Occupational Health Services – funded by the commissioner</w:t>
      </w:r>
    </w:p>
    <w:p w14:paraId="64E3E090" w14:textId="77777777" w:rsidR="00B25039" w:rsidRPr="001F0A91" w:rsidRDefault="00B25039" w:rsidP="00E5043E">
      <w:pPr>
        <w:spacing w:line="360" w:lineRule="auto"/>
        <w:rPr>
          <w:rFonts w:cs="Arial"/>
          <w:szCs w:val="24"/>
          <w:highlight w:val="yellow"/>
        </w:rPr>
      </w:pPr>
    </w:p>
    <w:p w14:paraId="152AE6BB" w14:textId="0BB1E06E" w:rsidR="00B25039" w:rsidRPr="001F0A91" w:rsidRDefault="005A2254" w:rsidP="00E5043E">
      <w:pPr>
        <w:spacing w:line="360" w:lineRule="auto"/>
        <w:rPr>
          <w:rFonts w:cs="Arial"/>
          <w:szCs w:val="24"/>
          <w:highlight w:val="yellow"/>
        </w:rPr>
      </w:pPr>
      <w:r>
        <w:rPr>
          <w:rFonts w:cs="Arial"/>
          <w:b/>
          <w:szCs w:val="24"/>
          <w:highlight w:val="yellow"/>
        </w:rPr>
        <w:t>4</w:t>
      </w:r>
      <w:r w:rsidR="00A27443" w:rsidRPr="001F0A91">
        <w:rPr>
          <w:rFonts w:cs="Arial"/>
          <w:b/>
          <w:szCs w:val="24"/>
          <w:highlight w:val="yellow"/>
        </w:rPr>
        <w:t xml:space="preserve">.4.1 </w:t>
      </w:r>
      <w:r w:rsidR="00B25039" w:rsidRPr="001F0A91">
        <w:rPr>
          <w:rFonts w:cs="Arial"/>
          <w:b/>
          <w:szCs w:val="24"/>
          <w:highlight w:val="yellow"/>
        </w:rPr>
        <w:t xml:space="preserve">For ALL primary care staff (general practice, community pharmacy, dentistry &amp; optometry): Management of staff on exposure to and working with </w:t>
      </w:r>
      <w:r w:rsidR="00B965F8">
        <w:rPr>
          <w:rFonts w:cs="Arial"/>
          <w:b/>
          <w:szCs w:val="24"/>
          <w:highlight w:val="yellow"/>
        </w:rPr>
        <w:t>BBVs</w:t>
      </w:r>
      <w:r w:rsidR="00B25039" w:rsidRPr="001F0A91">
        <w:rPr>
          <w:rFonts w:cs="Arial"/>
          <w:b/>
          <w:szCs w:val="24"/>
          <w:highlight w:val="yellow"/>
        </w:rPr>
        <w:t xml:space="preserve">: </w:t>
      </w:r>
      <w:r w:rsidR="00B25039" w:rsidRPr="001F0A91">
        <w:rPr>
          <w:rFonts w:cs="Arial"/>
          <w:szCs w:val="24"/>
          <w:highlight w:val="yellow"/>
        </w:rPr>
        <w:t xml:space="preserve">this includes specialist support for the management of staff who have a BBV, and urgent and longer term advice to all staff working in primary care settings (including trainees) on exposure to potential </w:t>
      </w:r>
      <w:r w:rsidR="006922E4">
        <w:rPr>
          <w:rFonts w:cs="Arial"/>
          <w:szCs w:val="24"/>
          <w:highlight w:val="yellow"/>
        </w:rPr>
        <w:t>BB</w:t>
      </w:r>
      <w:r w:rsidR="00C468CF">
        <w:rPr>
          <w:rFonts w:cs="Arial"/>
          <w:szCs w:val="24"/>
          <w:highlight w:val="yellow"/>
        </w:rPr>
        <w:t>V</w:t>
      </w:r>
      <w:r w:rsidR="00B25039" w:rsidRPr="001F0A91">
        <w:rPr>
          <w:rFonts w:cs="Arial"/>
          <w:szCs w:val="24"/>
          <w:highlight w:val="yellow"/>
        </w:rPr>
        <w:t xml:space="preserve"> e.g., following needle stick injury.  Post exposure risk assessments, blood testing, and post-exposure prophylaxis (PEP) treatments are included. Mainstream NHS services are responsible for ongoing treatment if BBV contracted (e.g., anti-retroviral medication).</w:t>
      </w:r>
    </w:p>
    <w:p w14:paraId="29E2556C" w14:textId="77777777" w:rsidR="00B25039" w:rsidRPr="001F0A91" w:rsidRDefault="00B25039" w:rsidP="00E5043E">
      <w:pPr>
        <w:spacing w:line="360" w:lineRule="auto"/>
        <w:rPr>
          <w:rFonts w:cs="Arial"/>
          <w:szCs w:val="24"/>
          <w:highlight w:val="yellow"/>
        </w:rPr>
      </w:pPr>
    </w:p>
    <w:p w14:paraId="6AF3E0A1" w14:textId="2BCDAEEF" w:rsidR="00B25039" w:rsidRPr="001F0A91" w:rsidRDefault="00B25039" w:rsidP="00E5043E">
      <w:pPr>
        <w:spacing w:line="360" w:lineRule="auto"/>
        <w:rPr>
          <w:rFonts w:cs="Arial"/>
          <w:szCs w:val="24"/>
          <w:highlight w:val="yellow"/>
        </w:rPr>
      </w:pPr>
      <w:r w:rsidRPr="001F0A91">
        <w:rPr>
          <w:rFonts w:cs="Arial"/>
          <w:b/>
          <w:szCs w:val="24"/>
          <w:highlight w:val="yellow"/>
        </w:rPr>
        <w:t xml:space="preserve">For Performers already on the National Performers List: </w:t>
      </w:r>
      <w:r w:rsidRPr="001F0A91">
        <w:rPr>
          <w:rFonts w:cs="Arial"/>
          <w:szCs w:val="24"/>
          <w:highlight w:val="yellow"/>
        </w:rPr>
        <w:t xml:space="preserve">OH services funded by the commissioner include: </w:t>
      </w:r>
      <w:r w:rsidR="00B24CAD">
        <w:rPr>
          <w:rFonts w:cs="Arial"/>
          <w:szCs w:val="24"/>
          <w:highlight w:val="yellow"/>
        </w:rPr>
        <w:t>v</w:t>
      </w:r>
      <w:r w:rsidRPr="001F0A91">
        <w:rPr>
          <w:rFonts w:cs="Arial"/>
          <w:szCs w:val="24"/>
          <w:highlight w:val="yellow"/>
        </w:rPr>
        <w:t xml:space="preserve">irology testing, vaccination for </w:t>
      </w:r>
      <w:r w:rsidR="00FD47DA">
        <w:rPr>
          <w:rFonts w:cs="Arial"/>
          <w:szCs w:val="24"/>
          <w:highlight w:val="yellow"/>
        </w:rPr>
        <w:t>BBVs</w:t>
      </w:r>
      <w:r w:rsidRPr="001F0A91">
        <w:rPr>
          <w:rFonts w:cs="Arial"/>
          <w:szCs w:val="24"/>
          <w:highlight w:val="yellow"/>
        </w:rPr>
        <w:t>and immunisation</w:t>
      </w:r>
      <w:r w:rsidR="00C468CF">
        <w:rPr>
          <w:rFonts w:cs="Arial"/>
          <w:szCs w:val="24"/>
          <w:highlight w:val="yellow"/>
        </w:rPr>
        <w:t>.</w:t>
      </w:r>
    </w:p>
    <w:p w14:paraId="28FD7CDF" w14:textId="77777777" w:rsidR="00B25039" w:rsidRPr="001F0A91" w:rsidRDefault="00B25039" w:rsidP="00E5043E">
      <w:pPr>
        <w:spacing w:line="360" w:lineRule="auto"/>
        <w:rPr>
          <w:rFonts w:cs="Arial"/>
          <w:szCs w:val="24"/>
          <w:highlight w:val="yellow"/>
        </w:rPr>
      </w:pPr>
    </w:p>
    <w:p w14:paraId="1FAC3E92" w14:textId="1D3B129A" w:rsidR="00B25039" w:rsidRPr="001F0A91" w:rsidRDefault="00B25039" w:rsidP="00E5043E">
      <w:pPr>
        <w:spacing w:line="360" w:lineRule="auto"/>
        <w:rPr>
          <w:rFonts w:cs="Arial"/>
          <w:szCs w:val="24"/>
          <w:highlight w:val="yellow"/>
        </w:rPr>
      </w:pPr>
      <w:r w:rsidRPr="001F0A91">
        <w:rPr>
          <w:rFonts w:cs="Arial"/>
          <w:b/>
          <w:szCs w:val="24"/>
          <w:highlight w:val="yellow"/>
        </w:rPr>
        <w:t xml:space="preserve">For Performers who are under review or investigation by </w:t>
      </w:r>
      <w:r w:rsidR="00973892">
        <w:rPr>
          <w:rFonts w:cs="Arial"/>
          <w:b/>
          <w:szCs w:val="24"/>
          <w:highlight w:val="yellow"/>
        </w:rPr>
        <w:t xml:space="preserve">Responsible </w:t>
      </w:r>
      <w:r w:rsidR="001D6345">
        <w:rPr>
          <w:rFonts w:cs="Arial"/>
          <w:b/>
          <w:szCs w:val="24"/>
          <w:highlight w:val="yellow"/>
        </w:rPr>
        <w:t>Officer /</w:t>
      </w:r>
      <w:r w:rsidRPr="001F0A91">
        <w:rPr>
          <w:rFonts w:cs="Arial"/>
          <w:b/>
          <w:szCs w:val="24"/>
          <w:highlight w:val="yellow"/>
        </w:rPr>
        <w:t>Medical Director</w:t>
      </w:r>
      <w:r w:rsidRPr="001F0A91">
        <w:rPr>
          <w:rFonts w:cs="Arial"/>
          <w:szCs w:val="24"/>
          <w:highlight w:val="yellow"/>
        </w:rPr>
        <w:t xml:space="preserve">: Any OH referrals made by </w:t>
      </w:r>
      <w:r w:rsidR="0098104F">
        <w:rPr>
          <w:rFonts w:cs="Arial"/>
          <w:szCs w:val="24"/>
          <w:highlight w:val="yellow"/>
        </w:rPr>
        <w:t>Responsible Officer/</w:t>
      </w:r>
      <w:r w:rsidRPr="001F0A91">
        <w:rPr>
          <w:rFonts w:cs="Arial"/>
          <w:szCs w:val="24"/>
          <w:highlight w:val="yellow"/>
        </w:rPr>
        <w:t xml:space="preserve">Medical Director in respect of formal proceeding as part of the National Performers List. </w:t>
      </w:r>
    </w:p>
    <w:p w14:paraId="2DE92C6D" w14:textId="7E457229" w:rsidR="00B25039" w:rsidRDefault="00B25039" w:rsidP="00E5043E">
      <w:pPr>
        <w:spacing w:line="360" w:lineRule="auto"/>
        <w:rPr>
          <w:rFonts w:cs="Arial"/>
          <w:szCs w:val="24"/>
          <w:highlight w:val="yellow"/>
        </w:rPr>
      </w:pPr>
    </w:p>
    <w:p w14:paraId="49399564" w14:textId="77777777" w:rsidR="00A6477A" w:rsidRDefault="00A6477A" w:rsidP="00E5043E">
      <w:pPr>
        <w:spacing w:line="360" w:lineRule="auto"/>
        <w:rPr>
          <w:rFonts w:cs="Arial"/>
          <w:szCs w:val="24"/>
          <w:highlight w:val="yellow"/>
        </w:rPr>
      </w:pPr>
    </w:p>
    <w:p w14:paraId="5E32DFA3" w14:textId="77777777" w:rsidR="005A2254" w:rsidRPr="001F0A91" w:rsidRDefault="005A2254" w:rsidP="00E5043E">
      <w:pPr>
        <w:spacing w:line="360" w:lineRule="auto"/>
        <w:rPr>
          <w:rFonts w:cs="Arial"/>
          <w:szCs w:val="24"/>
          <w:highlight w:val="yellow"/>
        </w:rPr>
      </w:pPr>
    </w:p>
    <w:p w14:paraId="655A0CB7" w14:textId="562DD747" w:rsidR="00B25039" w:rsidRPr="001F0A91" w:rsidRDefault="005A2254" w:rsidP="00E5043E">
      <w:pPr>
        <w:spacing w:line="360" w:lineRule="auto"/>
        <w:rPr>
          <w:rFonts w:cs="Arial"/>
          <w:b/>
          <w:bCs w:val="0"/>
          <w:szCs w:val="24"/>
          <w:highlight w:val="yellow"/>
          <w:u w:val="single"/>
        </w:rPr>
      </w:pPr>
      <w:r>
        <w:rPr>
          <w:rFonts w:cs="Arial"/>
          <w:b/>
          <w:szCs w:val="24"/>
          <w:highlight w:val="yellow"/>
          <w:u w:val="single"/>
        </w:rPr>
        <w:t>4</w:t>
      </w:r>
      <w:r w:rsidR="00A27443" w:rsidRPr="001F0A91">
        <w:rPr>
          <w:rFonts w:cs="Arial"/>
          <w:b/>
          <w:szCs w:val="24"/>
          <w:highlight w:val="yellow"/>
          <w:u w:val="single"/>
        </w:rPr>
        <w:t xml:space="preserve">.4.2 </w:t>
      </w:r>
      <w:r w:rsidR="00B25039" w:rsidRPr="001F0A91">
        <w:rPr>
          <w:rFonts w:cs="Arial"/>
          <w:b/>
          <w:szCs w:val="24"/>
          <w:highlight w:val="yellow"/>
          <w:u w:val="single"/>
        </w:rPr>
        <w:t>Summary of ‘who pays’ for what OH services</w:t>
      </w:r>
    </w:p>
    <w:p w14:paraId="4AA6AE62" w14:textId="77777777" w:rsidR="00B25039" w:rsidRPr="001F0A91" w:rsidRDefault="00B25039" w:rsidP="00E5043E">
      <w:pPr>
        <w:spacing w:line="360" w:lineRule="auto"/>
        <w:rPr>
          <w:rFonts w:cs="Arial"/>
          <w:b/>
          <w:bCs w:val="0"/>
          <w:szCs w:val="24"/>
          <w:highlight w:val="yellow"/>
          <w:u w:val="single"/>
        </w:rPr>
      </w:pPr>
    </w:p>
    <w:p w14:paraId="777CC0A3" w14:textId="77777777" w:rsidR="00B25039" w:rsidRPr="001F0A91" w:rsidRDefault="00B25039" w:rsidP="00E5043E">
      <w:pPr>
        <w:spacing w:line="360" w:lineRule="auto"/>
        <w:rPr>
          <w:rFonts w:cs="Arial"/>
          <w:b/>
          <w:bCs w:val="0"/>
          <w:szCs w:val="24"/>
          <w:highlight w:val="yellow"/>
          <w:u w:val="single"/>
        </w:rPr>
      </w:pPr>
      <w:r w:rsidRPr="001F0A91">
        <w:rPr>
          <w:rFonts w:cs="Arial"/>
          <w:noProof/>
          <w:szCs w:val="24"/>
          <w:highlight w:val="yellow"/>
        </w:rPr>
        <w:drawing>
          <wp:inline distT="0" distB="0" distL="0" distR="0" wp14:anchorId="283135E3" wp14:editId="02ED186A">
            <wp:extent cx="6219190" cy="2060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219190" cy="2060575"/>
                    </a:xfrm>
                    <a:prstGeom prst="rect">
                      <a:avLst/>
                    </a:prstGeom>
                    <a:noFill/>
                    <a:ln>
                      <a:noFill/>
                    </a:ln>
                  </pic:spPr>
                </pic:pic>
              </a:graphicData>
            </a:graphic>
          </wp:inline>
        </w:drawing>
      </w:r>
    </w:p>
    <w:p w14:paraId="07F721A8" w14:textId="77777777" w:rsidR="00B25039" w:rsidRPr="001F0A91" w:rsidRDefault="00B25039" w:rsidP="00E5043E">
      <w:pPr>
        <w:spacing w:line="360" w:lineRule="auto"/>
        <w:rPr>
          <w:rFonts w:cs="Arial"/>
          <w:b/>
          <w:bCs w:val="0"/>
          <w:szCs w:val="24"/>
          <w:highlight w:val="yellow"/>
          <w:u w:val="single"/>
        </w:rPr>
      </w:pPr>
    </w:p>
    <w:p w14:paraId="2ED2E800" w14:textId="7BA3059D" w:rsidR="00B25039" w:rsidRPr="001F0A91" w:rsidRDefault="005A2254" w:rsidP="00E5043E">
      <w:pPr>
        <w:spacing w:line="360" w:lineRule="auto"/>
        <w:rPr>
          <w:rFonts w:cs="Arial"/>
          <w:b/>
          <w:bCs w:val="0"/>
          <w:szCs w:val="24"/>
          <w:highlight w:val="yellow"/>
          <w:u w:val="single"/>
        </w:rPr>
      </w:pPr>
      <w:r>
        <w:rPr>
          <w:rFonts w:cs="Arial"/>
          <w:b/>
          <w:szCs w:val="24"/>
          <w:highlight w:val="yellow"/>
          <w:u w:val="single"/>
        </w:rPr>
        <w:t>4</w:t>
      </w:r>
      <w:r w:rsidR="00A27443" w:rsidRPr="001F0A91">
        <w:rPr>
          <w:rFonts w:cs="Arial"/>
          <w:b/>
          <w:szCs w:val="24"/>
          <w:highlight w:val="yellow"/>
          <w:u w:val="single"/>
        </w:rPr>
        <w:t xml:space="preserve">.5 </w:t>
      </w:r>
      <w:r w:rsidR="00B25039" w:rsidRPr="001F0A91">
        <w:rPr>
          <w:rFonts w:cs="Arial"/>
          <w:b/>
          <w:szCs w:val="24"/>
          <w:highlight w:val="yellow"/>
          <w:u w:val="single"/>
        </w:rPr>
        <w:t>Role of the Commissioner in enabling OH access for primary care workforce</w:t>
      </w:r>
    </w:p>
    <w:p w14:paraId="6C1B03CA" w14:textId="77777777" w:rsidR="00B25039" w:rsidRPr="001F0A91" w:rsidRDefault="00B25039" w:rsidP="00E5043E">
      <w:pPr>
        <w:spacing w:line="360" w:lineRule="auto"/>
        <w:rPr>
          <w:rFonts w:cs="Arial"/>
          <w:szCs w:val="24"/>
          <w:highlight w:val="yellow"/>
        </w:rPr>
      </w:pPr>
    </w:p>
    <w:p w14:paraId="01A57CC6" w14:textId="7159615F" w:rsidR="00D86DBD" w:rsidRDefault="005A2254" w:rsidP="00E5043E">
      <w:pPr>
        <w:spacing w:line="360" w:lineRule="auto"/>
        <w:rPr>
          <w:rFonts w:cs="Arial"/>
          <w:b/>
          <w:szCs w:val="24"/>
          <w:highlight w:val="yellow"/>
        </w:rPr>
      </w:pPr>
      <w:r>
        <w:rPr>
          <w:rFonts w:cs="Arial"/>
          <w:b/>
          <w:szCs w:val="24"/>
          <w:highlight w:val="yellow"/>
        </w:rPr>
        <w:t>4</w:t>
      </w:r>
      <w:r w:rsidR="00A27443" w:rsidRPr="001F0A91">
        <w:rPr>
          <w:rFonts w:cs="Arial"/>
          <w:b/>
          <w:szCs w:val="24"/>
          <w:highlight w:val="yellow"/>
        </w:rPr>
        <w:t xml:space="preserve">.5.1 </w:t>
      </w:r>
      <w:r w:rsidR="00B25039" w:rsidRPr="001F0A91">
        <w:rPr>
          <w:rFonts w:cs="Arial"/>
          <w:b/>
          <w:szCs w:val="24"/>
          <w:highlight w:val="yellow"/>
        </w:rPr>
        <w:t xml:space="preserve">Joint approach to procuring OH services: </w:t>
      </w:r>
    </w:p>
    <w:p w14:paraId="636D5AA3" w14:textId="018C6258" w:rsidR="00B25039" w:rsidRPr="001F0A91" w:rsidRDefault="00B25039" w:rsidP="00E5043E">
      <w:pPr>
        <w:spacing w:line="360" w:lineRule="auto"/>
        <w:rPr>
          <w:rFonts w:cs="Arial"/>
          <w:szCs w:val="24"/>
          <w:highlight w:val="yellow"/>
        </w:rPr>
      </w:pPr>
      <w:r w:rsidRPr="001F0A91">
        <w:rPr>
          <w:rFonts w:cs="Arial"/>
          <w:szCs w:val="24"/>
          <w:highlight w:val="yellow"/>
        </w:rPr>
        <w:t xml:space="preserve">Although the different OH provisions are a shared responsibility i.e., commissioners fund part and primary care organisations fund part, commissioners should take steps to support primary care staff to access OH services in a consistent &amp; efficient way.  </w:t>
      </w:r>
    </w:p>
    <w:p w14:paraId="753AFB99" w14:textId="77777777" w:rsidR="00B25039" w:rsidRPr="001F0A91" w:rsidRDefault="00B25039" w:rsidP="00E5043E">
      <w:pPr>
        <w:pStyle w:val="Default"/>
        <w:spacing w:line="360" w:lineRule="auto"/>
        <w:rPr>
          <w:color w:val="auto"/>
          <w:highlight w:val="yellow"/>
        </w:rPr>
      </w:pPr>
    </w:p>
    <w:p w14:paraId="72D31B5C" w14:textId="4FB9B3B6" w:rsidR="00B25039" w:rsidRPr="001F0A91" w:rsidRDefault="005A2254" w:rsidP="00E5043E">
      <w:pPr>
        <w:spacing w:line="360" w:lineRule="auto"/>
        <w:rPr>
          <w:rFonts w:cs="Arial"/>
          <w:szCs w:val="24"/>
          <w:highlight w:val="yellow"/>
        </w:rPr>
      </w:pPr>
      <w:r>
        <w:rPr>
          <w:rFonts w:cs="Arial"/>
          <w:szCs w:val="24"/>
          <w:highlight w:val="yellow"/>
        </w:rPr>
        <w:t>4</w:t>
      </w:r>
      <w:r w:rsidR="00BF39F1" w:rsidRPr="001F0A91">
        <w:rPr>
          <w:rFonts w:cs="Arial"/>
          <w:szCs w:val="24"/>
          <w:highlight w:val="yellow"/>
        </w:rPr>
        <w:t xml:space="preserve">.5.2 </w:t>
      </w:r>
      <w:r w:rsidR="00B25039" w:rsidRPr="001F0A91">
        <w:rPr>
          <w:rFonts w:cs="Arial"/>
          <w:szCs w:val="24"/>
          <w:highlight w:val="yellow"/>
        </w:rPr>
        <w:t>Commissioners are much better placed to procure system-wide OH services on behalf of primary care organisations, and should enable this by procuring OH service providers for all OH requirements set out above, with the option for primary care organisations to access these OH services on a fee basis for services they’re responsible for funding.</w:t>
      </w:r>
    </w:p>
    <w:p w14:paraId="27CD7F26" w14:textId="77777777" w:rsidR="00B25039" w:rsidRPr="001F0A91" w:rsidRDefault="00B25039" w:rsidP="00E5043E">
      <w:pPr>
        <w:spacing w:line="360" w:lineRule="auto"/>
        <w:rPr>
          <w:rFonts w:cs="Arial"/>
          <w:szCs w:val="24"/>
          <w:highlight w:val="yellow"/>
        </w:rPr>
      </w:pPr>
    </w:p>
    <w:p w14:paraId="1193AFD9" w14:textId="50E896A9" w:rsidR="00B25039" w:rsidRPr="001F0A91" w:rsidRDefault="005A2254" w:rsidP="00E5043E">
      <w:pPr>
        <w:pStyle w:val="Default"/>
        <w:spacing w:line="360" w:lineRule="auto"/>
        <w:rPr>
          <w:color w:val="auto"/>
          <w:highlight w:val="yellow"/>
        </w:rPr>
      </w:pPr>
      <w:r>
        <w:rPr>
          <w:color w:val="auto"/>
          <w:highlight w:val="yellow"/>
        </w:rPr>
        <w:t>4</w:t>
      </w:r>
      <w:r w:rsidR="00BF39F1" w:rsidRPr="001F0A91">
        <w:rPr>
          <w:color w:val="auto"/>
          <w:highlight w:val="yellow"/>
        </w:rPr>
        <w:t xml:space="preserve">.5.3 </w:t>
      </w:r>
      <w:r w:rsidR="00B25039" w:rsidRPr="001F0A91">
        <w:rPr>
          <w:color w:val="auto"/>
          <w:highlight w:val="yellow"/>
        </w:rPr>
        <w:t xml:space="preserve">It is strongly advised that commissioners collaborate with other primary care commissioners (i.e. general practice, community pharmacy, dentistry and optometry), and local NHS </w:t>
      </w:r>
      <w:r w:rsidR="00134F5F">
        <w:rPr>
          <w:color w:val="auto"/>
          <w:highlight w:val="yellow"/>
        </w:rPr>
        <w:t>Organisations</w:t>
      </w:r>
      <w:r w:rsidR="00B25039" w:rsidRPr="001F0A91">
        <w:rPr>
          <w:color w:val="auto"/>
          <w:highlight w:val="yellow"/>
        </w:rPr>
        <w:t xml:space="preserve">/ Integrated Care </w:t>
      </w:r>
      <w:r w:rsidR="00134F5F">
        <w:rPr>
          <w:color w:val="auto"/>
          <w:highlight w:val="yellow"/>
        </w:rPr>
        <w:t xml:space="preserve">Boards </w:t>
      </w:r>
      <w:r w:rsidR="00B25039" w:rsidRPr="001F0A91">
        <w:rPr>
          <w:color w:val="auto"/>
          <w:highlight w:val="yellow"/>
        </w:rPr>
        <w:t>(IC</w:t>
      </w:r>
      <w:r w:rsidR="00134F5F">
        <w:rPr>
          <w:color w:val="auto"/>
          <w:highlight w:val="yellow"/>
        </w:rPr>
        <w:t>B</w:t>
      </w:r>
      <w:r w:rsidR="00B25039" w:rsidRPr="001F0A91">
        <w:rPr>
          <w:color w:val="auto"/>
          <w:highlight w:val="yellow"/>
        </w:rPr>
        <w:t xml:space="preserve">) to ensure a </w:t>
      </w:r>
      <w:r w:rsidR="00B25039" w:rsidRPr="001F0A91">
        <w:rPr>
          <w:b/>
          <w:bCs/>
          <w:color w:val="auto"/>
          <w:highlight w:val="yellow"/>
        </w:rPr>
        <w:t>cross-system</w:t>
      </w:r>
      <w:r w:rsidR="00B25039" w:rsidRPr="001F0A91">
        <w:rPr>
          <w:color w:val="auto"/>
          <w:highlight w:val="yellow"/>
        </w:rPr>
        <w:t xml:space="preserve"> sustainable and consistent access to OH services.</w:t>
      </w:r>
    </w:p>
    <w:p w14:paraId="69CDBF8B" w14:textId="77777777" w:rsidR="00B25039" w:rsidRPr="001F0A91" w:rsidRDefault="00B25039" w:rsidP="00E5043E">
      <w:pPr>
        <w:pStyle w:val="Default"/>
        <w:spacing w:line="360" w:lineRule="auto"/>
        <w:rPr>
          <w:color w:val="auto"/>
          <w:highlight w:val="yellow"/>
        </w:rPr>
      </w:pPr>
    </w:p>
    <w:p w14:paraId="153A1BAE" w14:textId="77777777" w:rsidR="00B25039" w:rsidRPr="001F0A91" w:rsidRDefault="00B25039" w:rsidP="00E5043E">
      <w:pPr>
        <w:spacing w:line="360" w:lineRule="auto"/>
        <w:rPr>
          <w:rFonts w:cs="Arial"/>
          <w:szCs w:val="24"/>
          <w:highlight w:val="yellow"/>
        </w:rPr>
      </w:pPr>
      <w:r w:rsidRPr="001F0A91">
        <w:rPr>
          <w:rFonts w:cs="Arial"/>
          <w:szCs w:val="24"/>
          <w:highlight w:val="yellow"/>
        </w:rPr>
        <w:t xml:space="preserve">We have previously </w:t>
      </w:r>
      <w:hyperlink r:id="rId229" w:history="1">
        <w:r w:rsidRPr="001F0A91">
          <w:rPr>
            <w:rStyle w:val="Hyperlink"/>
            <w:rFonts w:cs="Arial"/>
            <w:szCs w:val="24"/>
            <w:highlight w:val="yellow"/>
          </w:rPr>
          <w:t>published a service specification for OH in primary care</w:t>
        </w:r>
      </w:hyperlink>
      <w:r w:rsidRPr="001F0A91">
        <w:rPr>
          <w:rFonts w:cs="Arial"/>
          <w:szCs w:val="24"/>
          <w:highlight w:val="yellow"/>
        </w:rPr>
        <w:t xml:space="preserve">; We are currently reviewing this to better align to the work of the NHS People Plan and system transformation.  </w:t>
      </w:r>
    </w:p>
    <w:p w14:paraId="71449010" w14:textId="77777777" w:rsidR="00B25039" w:rsidRPr="001F0A91" w:rsidRDefault="00B25039" w:rsidP="00E5043E">
      <w:pPr>
        <w:pStyle w:val="Default"/>
        <w:spacing w:line="360" w:lineRule="auto"/>
        <w:rPr>
          <w:color w:val="auto"/>
          <w:highlight w:val="yellow"/>
        </w:rPr>
      </w:pPr>
    </w:p>
    <w:p w14:paraId="6E57BC4E" w14:textId="681D0D1A" w:rsidR="00B25039" w:rsidRPr="001F0A91" w:rsidRDefault="005A2254" w:rsidP="00E5043E">
      <w:pPr>
        <w:spacing w:line="360" w:lineRule="auto"/>
        <w:rPr>
          <w:rFonts w:cs="Arial"/>
          <w:szCs w:val="24"/>
          <w:highlight w:val="yellow"/>
        </w:rPr>
      </w:pPr>
      <w:r>
        <w:rPr>
          <w:rFonts w:cs="Arial"/>
          <w:b/>
          <w:szCs w:val="24"/>
          <w:highlight w:val="yellow"/>
        </w:rPr>
        <w:t>4</w:t>
      </w:r>
      <w:r w:rsidR="00A27443" w:rsidRPr="001F0A91">
        <w:rPr>
          <w:rFonts w:cs="Arial"/>
          <w:b/>
          <w:szCs w:val="24"/>
          <w:highlight w:val="yellow"/>
        </w:rPr>
        <w:t>.</w:t>
      </w:r>
      <w:r>
        <w:rPr>
          <w:rFonts w:cs="Arial"/>
          <w:b/>
          <w:szCs w:val="24"/>
          <w:highlight w:val="yellow"/>
        </w:rPr>
        <w:t>6</w:t>
      </w:r>
      <w:r w:rsidR="00A27443" w:rsidRPr="001F0A91">
        <w:rPr>
          <w:rFonts w:cs="Arial"/>
          <w:b/>
          <w:szCs w:val="24"/>
          <w:highlight w:val="yellow"/>
        </w:rPr>
        <w:t xml:space="preserve"> </w:t>
      </w:r>
      <w:r w:rsidR="00B25039" w:rsidRPr="001F0A91">
        <w:rPr>
          <w:rFonts w:cs="Arial"/>
          <w:b/>
          <w:szCs w:val="24"/>
          <w:highlight w:val="yellow"/>
        </w:rPr>
        <w:t>Good communications are essential</w:t>
      </w:r>
      <w:r w:rsidR="00D86DBD">
        <w:rPr>
          <w:rFonts w:cs="Arial"/>
          <w:b/>
          <w:szCs w:val="24"/>
          <w:highlight w:val="yellow"/>
        </w:rPr>
        <w:t>:</w:t>
      </w:r>
      <w:r w:rsidR="00B25039" w:rsidRPr="001F0A91">
        <w:rPr>
          <w:rFonts w:cs="Arial"/>
          <w:b/>
          <w:szCs w:val="24"/>
          <w:highlight w:val="yellow"/>
        </w:rPr>
        <w:t xml:space="preserve"> </w:t>
      </w:r>
      <w:r w:rsidR="00B25039" w:rsidRPr="001F0A91">
        <w:rPr>
          <w:rFonts w:cs="Arial"/>
          <w:szCs w:val="24"/>
          <w:highlight w:val="yellow"/>
        </w:rPr>
        <w:t>Commissioner</w:t>
      </w:r>
      <w:r w:rsidR="00AB6705">
        <w:rPr>
          <w:rFonts w:cs="Arial"/>
          <w:szCs w:val="24"/>
          <w:highlight w:val="yellow"/>
        </w:rPr>
        <w:t>s</w:t>
      </w:r>
      <w:r w:rsidR="00B25039" w:rsidRPr="001F0A91">
        <w:rPr>
          <w:rFonts w:cs="Arial"/>
          <w:szCs w:val="24"/>
          <w:highlight w:val="yellow"/>
        </w:rPr>
        <w:t xml:space="preserve"> must ensure information about how to access OH services are clearly communicated to primary care organisations and their staff.  Many believe OH services are not available in primary care, which is not true.  We must therefore do more to promote OH services available; As a minimum this should clearly present information as set out below, but you should work with your OH supplier on promotional materials and posters as required:</w:t>
      </w:r>
    </w:p>
    <w:p w14:paraId="36DFFE56" w14:textId="77777777" w:rsidR="00B25039" w:rsidRPr="001F0A91" w:rsidRDefault="00B25039" w:rsidP="00B25039">
      <w:pPr>
        <w:rPr>
          <w:rFonts w:cs="Arial"/>
          <w:szCs w:val="24"/>
          <w:highlight w:val="yellow"/>
        </w:rPr>
      </w:pPr>
    </w:p>
    <w:p w14:paraId="4A2D08C7" w14:textId="77777777" w:rsidR="00B25039" w:rsidRPr="00846B80" w:rsidRDefault="00B25039" w:rsidP="00B25039">
      <w:pPr>
        <w:rPr>
          <w:rFonts w:cs="Arial"/>
          <w:b/>
          <w:bCs w:val="0"/>
          <w:szCs w:val="24"/>
          <w:highlight w:val="yellow"/>
        </w:rPr>
      </w:pPr>
      <w:r w:rsidRPr="001F0A91">
        <w:rPr>
          <w:rFonts w:cs="Arial"/>
          <w:noProof/>
          <w:szCs w:val="24"/>
          <w:highlight w:val="yellow"/>
        </w:rPr>
        <w:drawing>
          <wp:inline distT="0" distB="0" distL="0" distR="0" wp14:anchorId="5CCE50E8" wp14:editId="7202A92D">
            <wp:extent cx="6219190" cy="9271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219190" cy="927100"/>
                    </a:xfrm>
                    <a:prstGeom prst="rect">
                      <a:avLst/>
                    </a:prstGeom>
                    <a:noFill/>
                    <a:ln>
                      <a:noFill/>
                    </a:ln>
                  </pic:spPr>
                </pic:pic>
              </a:graphicData>
            </a:graphic>
          </wp:inline>
        </w:drawing>
      </w:r>
    </w:p>
    <w:p w14:paraId="3CB68479" w14:textId="77777777" w:rsidR="00B25039" w:rsidRPr="00846B80" w:rsidRDefault="00B25039" w:rsidP="00B25039">
      <w:pPr>
        <w:rPr>
          <w:rFonts w:cs="Arial"/>
          <w:b/>
          <w:bCs w:val="0"/>
          <w:szCs w:val="24"/>
          <w:highlight w:val="yellow"/>
        </w:rPr>
      </w:pPr>
    </w:p>
    <w:p w14:paraId="746D826B" w14:textId="1008BCCE" w:rsidR="00B25039" w:rsidRPr="00BE7A54" w:rsidRDefault="00A27443" w:rsidP="00B25039">
      <w:pPr>
        <w:rPr>
          <w:rFonts w:cs="Arial"/>
          <w:b/>
          <w:bCs w:val="0"/>
          <w:szCs w:val="24"/>
        </w:rPr>
      </w:pPr>
      <w:r w:rsidRPr="00846B80">
        <w:rPr>
          <w:rFonts w:cs="Arial"/>
          <w:b/>
          <w:szCs w:val="24"/>
          <w:highlight w:val="yellow"/>
        </w:rPr>
        <w:t>For any q</w:t>
      </w:r>
      <w:r w:rsidR="00B25039" w:rsidRPr="00846B80">
        <w:rPr>
          <w:rFonts w:cs="Arial"/>
          <w:b/>
          <w:szCs w:val="24"/>
          <w:highlight w:val="yellow"/>
        </w:rPr>
        <w:t>ueries</w:t>
      </w:r>
      <w:r w:rsidRPr="00846B80">
        <w:rPr>
          <w:rFonts w:cs="Arial"/>
          <w:b/>
          <w:szCs w:val="24"/>
          <w:highlight w:val="yellow"/>
        </w:rPr>
        <w:t xml:space="preserve"> </w:t>
      </w:r>
      <w:r w:rsidR="00B25039" w:rsidRPr="00846B80">
        <w:rPr>
          <w:rFonts w:cs="Arial"/>
          <w:szCs w:val="24"/>
          <w:highlight w:val="yellow"/>
        </w:rPr>
        <w:t xml:space="preserve">contact </w:t>
      </w:r>
      <w:hyperlink r:id="rId231" w:history="1">
        <w:r w:rsidR="00B25039" w:rsidRPr="001F0A91">
          <w:rPr>
            <w:rStyle w:val="Hyperlink"/>
            <w:rFonts w:cs="Arial"/>
            <w:szCs w:val="24"/>
            <w:highlight w:val="yellow"/>
            <w:lang w:val="en-US" w:eastAsia="en-GB"/>
          </w:rPr>
          <w:t>england.gpcommissioning@nhs.net</w:t>
        </w:r>
      </w:hyperlink>
    </w:p>
    <w:p w14:paraId="0A56BE0C" w14:textId="206005A6" w:rsidR="008F25F5" w:rsidRPr="00FD2026" w:rsidRDefault="008F25F5" w:rsidP="004E041C">
      <w:pPr>
        <w:rPr>
          <w:lang w:eastAsia="en-GB"/>
        </w:rPr>
      </w:pPr>
    </w:p>
    <w:p w14:paraId="6A7DE357" w14:textId="77777777" w:rsidR="00E25BFF" w:rsidRDefault="00E25BFF" w:rsidP="00A553BA">
      <w:pPr>
        <w:spacing w:line="360" w:lineRule="auto"/>
        <w:rPr>
          <w:rFonts w:ascii="Times New Roman" w:hAnsi="Times New Roman"/>
        </w:rPr>
      </w:pPr>
    </w:p>
    <w:p w14:paraId="24FAD047" w14:textId="77777777" w:rsidR="002857D9" w:rsidRDefault="002857D9" w:rsidP="00A553BA">
      <w:pPr>
        <w:spacing w:line="360" w:lineRule="auto"/>
        <w:rPr>
          <w:rFonts w:ascii="Times New Roman" w:hAnsi="Times New Roman"/>
        </w:rPr>
      </w:pPr>
    </w:p>
    <w:bookmarkEnd w:id="10"/>
    <w:p w14:paraId="150390A6" w14:textId="4CA37671" w:rsidR="00E25BFF" w:rsidRDefault="00E25BFF" w:rsidP="004E041C">
      <w:pPr>
        <w:pStyle w:val="Heading2"/>
        <w:numPr>
          <w:ilvl w:val="0"/>
          <w:numId w:val="0"/>
        </w:numPr>
        <w:ind w:left="2420"/>
        <w:rPr>
          <w:rFonts w:ascii="Times New Roman" w:hAnsi="Times New Roman"/>
        </w:rPr>
      </w:pPr>
    </w:p>
    <w:sectPr w:rsidR="00E25BFF" w:rsidSect="008171B4">
      <w:headerReference w:type="default" r:id="rId232"/>
      <w:footerReference w:type="even" r:id="rId233"/>
      <w:footerReference w:type="default" r:id="rId234"/>
      <w:pgSz w:w="11900" w:h="16841" w:code="9"/>
      <w:pgMar w:top="1276" w:right="843" w:bottom="1418" w:left="1418" w:header="0" w:footer="761"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C52A5A" w14:textId="77777777" w:rsidR="00942266" w:rsidRDefault="00942266" w:rsidP="00A716D1">
      <w:r>
        <w:separator/>
      </w:r>
    </w:p>
  </w:endnote>
  <w:endnote w:type="continuationSeparator" w:id="0">
    <w:p w14:paraId="099C4B09" w14:textId="77777777" w:rsidR="00942266" w:rsidRDefault="00942266" w:rsidP="00A716D1">
      <w:r>
        <w:continuationSeparator/>
      </w:r>
    </w:p>
  </w:endnote>
  <w:endnote w:type="continuationNotice" w:id="1">
    <w:p w14:paraId="699D4A7F" w14:textId="77777777" w:rsidR="00942266" w:rsidRDefault="009422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utiger LT 65 Bold">
    <w:altName w:val="Tw Cen MT Condensed Extra Bold"/>
    <w:charset w:val="00"/>
    <w:family w:val="auto"/>
    <w:pitch w:val="variable"/>
    <w:sig w:usb0="80000027"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Frutiger LT Std 45 Ligh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HGSMinchoE">
    <w:charset w:val="80"/>
    <w:family w:val="roman"/>
    <w:pitch w:val="variable"/>
    <w:sig w:usb0="E00002FF" w:usb1="2AC7EDFE" w:usb2="00000012"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w Cen MT Condensed Extra Bold">
    <w:panose1 w:val="020B0803020202020204"/>
    <w:charset w:val="00"/>
    <w:family w:val="swiss"/>
    <w:pitch w:val="variable"/>
    <w:sig w:usb0="00000007" w:usb1="00000000" w:usb2="00000000" w:usb3="00000000" w:csb0="00000003" w:csb1="00000000"/>
  </w:font>
  <w:font w:name="Malgun Gothic">
    <w:panose1 w:val="020B0503020000020004"/>
    <w:charset w:val="81"/>
    <w:family w:val="swiss"/>
    <w:pitch w:val="variable"/>
    <w:sig w:usb0="9000002F" w:usb1="29D77CFB" w:usb2="00000012" w:usb3="00000000" w:csb0="00080001" w:csb1="00000000"/>
  </w:font>
  <w:font w:name="Segoe UI Semilight">
    <w:panose1 w:val="020B0402040204020203"/>
    <w:charset w:val="00"/>
    <w:family w:val="swiss"/>
    <w:pitch w:val="variable"/>
    <w:sig w:usb0="E4002EFF" w:usb1="C000E47F" w:usb2="00000009" w:usb3="00000000" w:csb0="000001FF" w:csb1="00000000"/>
  </w:font>
  <w:font w:name="HelveticaNeueLT-Light">
    <w:altName w:val="Arial"/>
    <w:panose1 w:val="00000000000000000000"/>
    <w:charset w:val="00"/>
    <w:family w:val="swiss"/>
    <w:notTrueType/>
    <w:pitch w:val="default"/>
    <w:sig w:usb0="00000003" w:usb1="00000000" w:usb2="00000000" w:usb3="00000000" w:csb0="00000001" w:csb1="00000000"/>
  </w:font>
  <w:font w:name="HelveticaNeueLT-Medium">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9241632"/>
      <w:docPartObj>
        <w:docPartGallery w:val="Page Numbers (Bottom of Page)"/>
        <w:docPartUnique/>
      </w:docPartObj>
    </w:sdtPr>
    <w:sdtEndPr>
      <w:rPr>
        <w:color w:val="808080" w:themeColor="background1" w:themeShade="80"/>
        <w:spacing w:val="60"/>
      </w:rPr>
    </w:sdtEndPr>
    <w:sdtContent>
      <w:p w14:paraId="12C8956B" w14:textId="17889016" w:rsidR="00942266" w:rsidRDefault="0094226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21</w:t>
        </w:r>
        <w:r>
          <w:rPr>
            <w:noProof/>
          </w:rPr>
          <w:fldChar w:fldCharType="end"/>
        </w:r>
        <w:r>
          <w:t xml:space="preserve"> | </w:t>
        </w:r>
        <w:r>
          <w:rPr>
            <w:color w:val="808080" w:themeColor="background1" w:themeShade="80"/>
            <w:spacing w:val="60"/>
          </w:rPr>
          <w:t>Page</w:t>
        </w:r>
      </w:p>
    </w:sdtContent>
  </w:sdt>
  <w:p w14:paraId="705D1D72" w14:textId="77777777" w:rsidR="00942266" w:rsidRDefault="009422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5192207"/>
      <w:docPartObj>
        <w:docPartGallery w:val="Page Numbers (Bottom of Page)"/>
        <w:docPartUnique/>
      </w:docPartObj>
    </w:sdtPr>
    <w:sdtEndPr>
      <w:rPr>
        <w:color w:val="808080" w:themeColor="background1" w:themeShade="80"/>
        <w:spacing w:val="60"/>
      </w:rPr>
    </w:sdtEndPr>
    <w:sdtContent>
      <w:p w14:paraId="09550CCD" w14:textId="0DA45130" w:rsidR="00942266" w:rsidRDefault="0094226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73</w:t>
        </w:r>
        <w:r>
          <w:rPr>
            <w:noProof/>
          </w:rPr>
          <w:fldChar w:fldCharType="end"/>
        </w:r>
        <w:r>
          <w:t xml:space="preserve"> | </w:t>
        </w:r>
        <w:r>
          <w:rPr>
            <w:color w:val="808080" w:themeColor="background1" w:themeShade="80"/>
            <w:spacing w:val="60"/>
          </w:rPr>
          <w:t>Page</w:t>
        </w:r>
      </w:p>
    </w:sdtContent>
  </w:sdt>
  <w:p w14:paraId="414E3D5B" w14:textId="77777777" w:rsidR="00942266" w:rsidRPr="00F0701C" w:rsidRDefault="00942266" w:rsidP="00F070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3E544" w14:textId="77777777" w:rsidR="00942266" w:rsidRDefault="0094226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47354716"/>
      <w:docPartObj>
        <w:docPartGallery w:val="Page Numbers (Bottom of Page)"/>
        <w:docPartUnique/>
      </w:docPartObj>
    </w:sdtPr>
    <w:sdtEndPr>
      <w:rPr>
        <w:color w:val="808080" w:themeColor="background1" w:themeShade="80"/>
        <w:spacing w:val="60"/>
      </w:rPr>
    </w:sdtEndPr>
    <w:sdtContent>
      <w:p w14:paraId="5FAA9EFC" w14:textId="6E22B918" w:rsidR="00942266" w:rsidRDefault="0094226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213</w:t>
        </w:r>
        <w:r>
          <w:rPr>
            <w:noProof/>
          </w:rPr>
          <w:fldChar w:fldCharType="end"/>
        </w:r>
        <w:r>
          <w:t xml:space="preserve"> | </w:t>
        </w:r>
        <w:r>
          <w:rPr>
            <w:color w:val="808080" w:themeColor="background1" w:themeShade="80"/>
            <w:spacing w:val="60"/>
          </w:rPr>
          <w:t>Page</w:t>
        </w:r>
      </w:p>
    </w:sdtContent>
  </w:sdt>
  <w:p w14:paraId="30612EEC" w14:textId="77777777" w:rsidR="00942266" w:rsidRDefault="0094226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0C79F" w14:textId="77777777" w:rsidR="00942266" w:rsidRDefault="0094226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9801449"/>
      <w:docPartObj>
        <w:docPartGallery w:val="Page Numbers (Bottom of Page)"/>
        <w:docPartUnique/>
      </w:docPartObj>
    </w:sdtPr>
    <w:sdtEndPr>
      <w:rPr>
        <w:color w:val="808080" w:themeColor="background1" w:themeShade="80"/>
        <w:spacing w:val="60"/>
      </w:rPr>
    </w:sdtEndPr>
    <w:sdtContent>
      <w:p w14:paraId="0B281534" w14:textId="23223DC4" w:rsidR="00942266" w:rsidRDefault="0094226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267</w:t>
        </w:r>
        <w:r>
          <w:rPr>
            <w:noProof/>
          </w:rPr>
          <w:fldChar w:fldCharType="end"/>
        </w:r>
        <w:r>
          <w:t xml:space="preserve"> | </w:t>
        </w:r>
        <w:r>
          <w:rPr>
            <w:color w:val="808080" w:themeColor="background1" w:themeShade="80"/>
            <w:spacing w:val="60"/>
          </w:rPr>
          <w:t>Page</w:t>
        </w:r>
      </w:p>
    </w:sdtContent>
  </w:sdt>
  <w:p w14:paraId="1BC21BD9" w14:textId="77777777" w:rsidR="00942266" w:rsidRDefault="00942266">
    <w:pPr>
      <w:pStyle w:val="Footer"/>
    </w:pPr>
  </w:p>
  <w:p w14:paraId="0E1A294B" w14:textId="77777777" w:rsidR="00942266" w:rsidRDefault="0094226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98DE0" w14:textId="77777777" w:rsidR="00942266" w:rsidRDefault="00942266" w:rsidP="00A716D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C54C8BE" w14:textId="77777777" w:rsidR="00942266" w:rsidRDefault="00942266" w:rsidP="00A716D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3876675"/>
      <w:docPartObj>
        <w:docPartGallery w:val="Page Numbers (Bottom of Page)"/>
        <w:docPartUnique/>
      </w:docPartObj>
    </w:sdtPr>
    <w:sdtEndPr>
      <w:rPr>
        <w:color w:val="808080" w:themeColor="background1" w:themeShade="80"/>
        <w:spacing w:val="60"/>
      </w:rPr>
    </w:sdtEndPr>
    <w:sdtContent>
      <w:p w14:paraId="6615067E" w14:textId="2A86825E" w:rsidR="00942266" w:rsidRDefault="0094226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456</w:t>
        </w:r>
        <w:r>
          <w:rPr>
            <w:noProof/>
          </w:rPr>
          <w:fldChar w:fldCharType="end"/>
        </w:r>
        <w:r>
          <w:t xml:space="preserve"> | </w:t>
        </w:r>
        <w:r>
          <w:rPr>
            <w:color w:val="808080" w:themeColor="background1" w:themeShade="80"/>
            <w:spacing w:val="60"/>
          </w:rPr>
          <w:t>Page</w:t>
        </w:r>
      </w:p>
    </w:sdtContent>
  </w:sdt>
  <w:p w14:paraId="6AD1F3BB" w14:textId="11257C0F" w:rsidR="00942266" w:rsidRPr="00E01309" w:rsidRDefault="00942266" w:rsidP="00E52ACB">
    <w:pPr>
      <w:pStyle w:val="Footer"/>
      <w:jc w:val="right"/>
      <w:rPr>
        <w:rStyle w:val="PageNumber"/>
        <w:color w:val="A00054"/>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5A5B6D" w14:textId="77777777" w:rsidR="00942266" w:rsidRDefault="00942266" w:rsidP="00A716D1">
      <w:r>
        <w:separator/>
      </w:r>
    </w:p>
  </w:footnote>
  <w:footnote w:type="continuationSeparator" w:id="0">
    <w:p w14:paraId="79AF1F87" w14:textId="77777777" w:rsidR="00942266" w:rsidRDefault="00942266" w:rsidP="00A716D1">
      <w:r>
        <w:continuationSeparator/>
      </w:r>
    </w:p>
  </w:footnote>
  <w:footnote w:type="continuationNotice" w:id="1">
    <w:p w14:paraId="5A10AB6C" w14:textId="77777777" w:rsidR="00942266" w:rsidRDefault="00942266"/>
  </w:footnote>
  <w:footnote w:id="2">
    <w:p w14:paraId="3D923FC5" w14:textId="3895F8E7" w:rsidR="00942266" w:rsidRDefault="00942266" w:rsidP="00670323">
      <w:pPr>
        <w:pStyle w:val="FootnoteText"/>
      </w:pPr>
      <w:r>
        <w:rPr>
          <w:rStyle w:val="FootnoteReference"/>
        </w:rPr>
        <w:footnoteRef/>
      </w:r>
      <w:r>
        <w:t xml:space="preserve"> </w:t>
      </w:r>
      <w:r w:rsidRPr="002C55D9">
        <w:t xml:space="preserve"> </w:t>
      </w:r>
      <w:r w:rsidRPr="00342928">
        <w:t>https://digital.nhs.uk/data-and-information/publications/statistical/general-and-personal-medical-services/30-june-2021</w:t>
      </w:r>
    </w:p>
  </w:footnote>
  <w:footnote w:id="3">
    <w:p w14:paraId="2EA54302" w14:textId="39298231" w:rsidR="00942266" w:rsidRDefault="00942266" w:rsidP="00670323">
      <w:pPr>
        <w:pStyle w:val="FootnoteText"/>
      </w:pPr>
      <w:r>
        <w:rPr>
          <w:rStyle w:val="FootnoteReference"/>
        </w:rPr>
        <w:footnoteRef/>
      </w:r>
      <w:r>
        <w:t xml:space="preserve"> </w:t>
      </w:r>
      <w:r w:rsidRPr="00E07731">
        <w:t xml:space="preserve"> </w:t>
      </w:r>
      <w:r w:rsidRPr="002C55D9">
        <w:t xml:space="preserve"> https://digital.nhs.uk/data-and-information/publications/statistical/nhs-payments-to-general-practice/england-2019-20</w:t>
      </w:r>
    </w:p>
  </w:footnote>
  <w:footnote w:id="4">
    <w:p w14:paraId="7D67C7A7" w14:textId="77777777" w:rsidR="00942266" w:rsidRDefault="00942266" w:rsidP="00670323">
      <w:pPr>
        <w:pStyle w:val="FootnoteText"/>
      </w:pPr>
      <w:r>
        <w:rPr>
          <w:rStyle w:val="FootnoteReference"/>
        </w:rPr>
        <w:footnoteRef/>
      </w:r>
      <w:r>
        <w:t xml:space="preserve"> </w:t>
      </w:r>
      <w:r w:rsidRPr="009C00E0">
        <w:t>http://www.health.org.uk/publication/improving-quality-general-practice</w:t>
      </w:r>
    </w:p>
  </w:footnote>
  <w:footnote w:id="5">
    <w:p w14:paraId="40B807A0" w14:textId="77777777" w:rsidR="00942266" w:rsidRPr="00793F89" w:rsidRDefault="00942266" w:rsidP="002C0080">
      <w:pPr>
        <w:pStyle w:val="FootnoteText"/>
        <w:rPr>
          <w:rFonts w:ascii="Frutiger LT Std 45 Light" w:hAnsi="Frutiger LT Std 45 Light" w:hint="eastAsia"/>
          <w:sz w:val="18"/>
          <w:szCs w:val="18"/>
          <w:lang w:val="en-US"/>
        </w:rPr>
      </w:pPr>
      <w:r w:rsidRPr="00061130">
        <w:rPr>
          <w:rStyle w:val="FootnoteReference"/>
          <w:rFonts w:ascii="Frutiger LT Std 45 Light" w:hAnsi="Frutiger LT Std 45 Light"/>
          <w:sz w:val="18"/>
          <w:szCs w:val="18"/>
        </w:rPr>
        <w:footnoteRef/>
      </w:r>
      <w:r w:rsidRPr="00061130">
        <w:rPr>
          <w:rFonts w:ascii="Frutiger LT Std 45 Light" w:hAnsi="Frutiger LT Std 45 Light"/>
          <w:sz w:val="18"/>
          <w:szCs w:val="18"/>
        </w:rPr>
        <w:t xml:space="preserve"> T</w:t>
      </w:r>
      <w:r w:rsidRPr="00061130">
        <w:rPr>
          <w:rFonts w:ascii="Frutiger LT Std 45 Light" w:hAnsi="Frutiger LT Std 45 Light"/>
          <w:sz w:val="18"/>
          <w:szCs w:val="18"/>
          <w:lang w:val="en-US"/>
        </w:rPr>
        <w:t>he FP69 flag in these circumstances will affect a breast screening invitation</w:t>
      </w:r>
    </w:p>
  </w:footnote>
  <w:footnote w:id="6">
    <w:p w14:paraId="6F095DD6" w14:textId="77777777" w:rsidR="00942266" w:rsidRPr="00767AFB" w:rsidRDefault="00942266" w:rsidP="002C0080">
      <w:pPr>
        <w:pStyle w:val="FootnoteText"/>
        <w:rPr>
          <w:rFonts w:ascii="Frutiger LT Std 45 Light" w:hAnsi="Frutiger LT Std 45 Light" w:hint="eastAsia"/>
          <w:sz w:val="18"/>
          <w:szCs w:val="18"/>
          <w:lang w:val="en-US"/>
        </w:rPr>
      </w:pPr>
      <w:r w:rsidRPr="00776CB9">
        <w:rPr>
          <w:rStyle w:val="FootnoteReference"/>
          <w:rFonts w:ascii="Frutiger LT Std 45 Light" w:hAnsi="Frutiger LT Std 45 Light"/>
          <w:sz w:val="18"/>
          <w:szCs w:val="18"/>
        </w:rPr>
        <w:footnoteRef/>
      </w:r>
      <w:r w:rsidRPr="00776CB9">
        <w:rPr>
          <w:rFonts w:ascii="Frutiger LT Std 45 Light" w:hAnsi="Frutiger LT Std 45 Light"/>
          <w:sz w:val="18"/>
          <w:szCs w:val="18"/>
        </w:rPr>
        <w:t xml:space="preserve"> </w:t>
      </w:r>
      <w:r w:rsidRPr="00776CB9">
        <w:rPr>
          <w:rFonts w:ascii="Frutiger LT Std 45 Light" w:hAnsi="Frutiger LT Std 45 Light"/>
          <w:sz w:val="18"/>
          <w:szCs w:val="18"/>
          <w:lang w:val="en-US"/>
        </w:rPr>
        <w:t>The FP69 flag in these circumstances will affect a breast screening invitation</w:t>
      </w:r>
    </w:p>
  </w:footnote>
  <w:footnote w:id="7">
    <w:p w14:paraId="3BBB0EE4" w14:textId="0CC2030C" w:rsidR="00942266" w:rsidRDefault="00942266">
      <w:pPr>
        <w:pStyle w:val="FootnoteText"/>
      </w:pPr>
      <w:r>
        <w:rPr>
          <w:rStyle w:val="FootnoteReference"/>
        </w:rPr>
        <w:footnoteRef/>
      </w:r>
      <w:r>
        <w:t xml:space="preserve"> </w:t>
      </w:r>
      <w:hyperlink r:id="rId1" w:history="1">
        <w:r w:rsidRPr="00D25E0C">
          <w:rPr>
            <w:rStyle w:val="Hyperlink"/>
            <w:rFonts w:ascii="Calibri" w:hAnsi="Calibri"/>
          </w:rPr>
          <w:t>https://www.ons.gov.uk/peoplepopulationandcommunity/populationandmigration/populationestimates/methodologies/patientregisterqualityassuranceofadministrativedatausedinpopulationstatisticsdec2016</w:t>
        </w:r>
      </w:hyperlink>
    </w:p>
  </w:footnote>
  <w:footnote w:id="8">
    <w:p w14:paraId="0890E1C0" w14:textId="632272F5" w:rsidR="00942266" w:rsidRDefault="00942266" w:rsidP="00DB11FA">
      <w:r>
        <w:rPr>
          <w:rStyle w:val="FootnoteReference"/>
        </w:rPr>
        <w:footnoteRef/>
      </w:r>
      <w:r>
        <w:t xml:space="preserve"> </w:t>
      </w:r>
      <w:hyperlink r:id="rId2" w:history="1">
        <w:r w:rsidRPr="003F6E48">
          <w:rPr>
            <w:rStyle w:val="Hyperlink"/>
          </w:rPr>
          <w:t>http://www.cqc.org.uk/content/gp-mythbuster-29-looking-after-homeless-patients-general-practice</w:t>
        </w:r>
      </w:hyperlink>
    </w:p>
    <w:p w14:paraId="39314A15" w14:textId="77777777" w:rsidR="00942266" w:rsidRDefault="00942266" w:rsidP="00DB11FA">
      <w:pPr>
        <w:pStyle w:val="FootnoteText"/>
      </w:pPr>
    </w:p>
  </w:footnote>
  <w:footnote w:id="9">
    <w:p w14:paraId="5F38672C" w14:textId="77777777" w:rsidR="00942266" w:rsidRPr="00933B85" w:rsidRDefault="00942266" w:rsidP="00156FFF">
      <w:r>
        <w:rPr>
          <w:rStyle w:val="FootnoteReference"/>
        </w:rPr>
        <w:footnoteRef/>
      </w:r>
      <w:r>
        <w:t xml:space="preserve"> </w:t>
      </w:r>
      <w:hyperlink r:id="rId3" w:history="1">
        <w:r w:rsidRPr="003F6E48">
          <w:rPr>
            <w:rStyle w:val="Hyperlink"/>
          </w:rPr>
          <w:t>https://www.cqc.org.uk/guidance-providers/gps/gp-mythbuster-36-registration-treatment-asylum-seekers-refugees-other</w:t>
        </w:r>
      </w:hyperlink>
      <w:r>
        <w:t xml:space="preserve"> </w:t>
      </w:r>
    </w:p>
    <w:p w14:paraId="0868F382" w14:textId="11DAF09C" w:rsidR="00942266" w:rsidRDefault="00942266">
      <w:pPr>
        <w:pStyle w:val="FootnoteText"/>
      </w:pPr>
    </w:p>
  </w:footnote>
  <w:footnote w:id="10">
    <w:p w14:paraId="32F3DE79" w14:textId="4ED7E1CC" w:rsidR="00942266" w:rsidRDefault="00942266" w:rsidP="00DB11FA">
      <w:pPr>
        <w:pStyle w:val="FootnoteText"/>
      </w:pPr>
      <w:r>
        <w:rPr>
          <w:rStyle w:val="FootnoteReference"/>
        </w:rPr>
        <w:footnoteRef/>
      </w:r>
      <w:r>
        <w:t xml:space="preserve"> </w:t>
      </w:r>
      <w:bookmarkStart w:id="494" w:name="_Hlk531877460"/>
      <w:r>
        <w:t>There may be legitimate exceptions to this, such as where both parents are serving in the armed forces and are registered with an ‘armed forces’ GP or practical explanations, for example, parents wishing for their child to be registered with a practice closer to school.</w:t>
      </w:r>
      <w:bookmarkEnd w:id="494"/>
    </w:p>
  </w:footnote>
  <w:footnote w:id="11">
    <w:p w14:paraId="73A11471" w14:textId="77777777" w:rsidR="00942266" w:rsidRPr="001A2893" w:rsidRDefault="00942266" w:rsidP="00130441">
      <w:pPr>
        <w:pStyle w:val="FootnoteText"/>
        <w:rPr>
          <w:sz w:val="16"/>
          <w:szCs w:val="16"/>
        </w:rPr>
      </w:pPr>
      <w:r w:rsidRPr="001A2893">
        <w:rPr>
          <w:rStyle w:val="FootnoteReference"/>
          <w:sz w:val="16"/>
          <w:szCs w:val="16"/>
        </w:rPr>
        <w:footnoteRef/>
      </w:r>
      <w:r w:rsidRPr="001A2893">
        <w:rPr>
          <w:sz w:val="16"/>
          <w:szCs w:val="16"/>
        </w:rPr>
        <w:t xml:space="preserve"> </w:t>
      </w:r>
      <w:r w:rsidRPr="001A2893">
        <w:rPr>
          <w:rFonts w:ascii="Arial" w:hAnsi="Arial" w:cs="Arial"/>
          <w:sz w:val="16"/>
          <w:szCs w:val="16"/>
        </w:rPr>
        <w:t xml:space="preserve">See </w:t>
      </w:r>
      <w:r w:rsidRPr="001A2893">
        <w:rPr>
          <w:rFonts w:ascii="Arial" w:hAnsi="Arial" w:cs="Arial"/>
          <w:sz w:val="16"/>
          <w:szCs w:val="16"/>
          <w:highlight w:val="yellow"/>
        </w:rPr>
        <w:t>4.15.9</w:t>
      </w:r>
      <w:r w:rsidRPr="001A2893">
        <w:rPr>
          <w:rFonts w:ascii="Arial" w:hAnsi="Arial" w:cs="Arial"/>
          <w:sz w:val="16"/>
          <w:szCs w:val="16"/>
        </w:rPr>
        <w:t xml:space="preserve"> for the definition of ‘relevant family member’.</w:t>
      </w:r>
    </w:p>
  </w:footnote>
  <w:footnote w:id="12">
    <w:p w14:paraId="059A2D30" w14:textId="77777777" w:rsidR="00942266" w:rsidRPr="001A2893" w:rsidRDefault="00942266" w:rsidP="00130441">
      <w:pPr>
        <w:pStyle w:val="ListParagraph"/>
        <w:ind w:left="0"/>
        <w:rPr>
          <w:rFonts w:cs="Arial"/>
          <w:sz w:val="16"/>
          <w:szCs w:val="16"/>
        </w:rPr>
      </w:pPr>
      <w:r w:rsidRPr="001A2893">
        <w:rPr>
          <w:rStyle w:val="FootnoteReference"/>
          <w:sz w:val="16"/>
          <w:szCs w:val="16"/>
        </w:rPr>
        <w:footnoteRef/>
      </w:r>
      <w:r w:rsidRPr="001A2893">
        <w:rPr>
          <w:sz w:val="16"/>
          <w:szCs w:val="16"/>
        </w:rPr>
        <w:t xml:space="preserve"> </w:t>
      </w:r>
      <w:r w:rsidRPr="001A2893">
        <w:rPr>
          <w:rFonts w:cs="Arial"/>
          <w:sz w:val="16"/>
          <w:szCs w:val="16"/>
        </w:rPr>
        <w:t>A “predecessor contractor” is a contractor (“A”) whose obligations to provide services have been partly or fully assumed by the contractor to which the application for registration is made. This will cover practice mergers, as well as where, in relation to a general medical services contract, there has been a change of status from individual medical practitioner to partnership (or vice versa).</w:t>
      </w:r>
    </w:p>
    <w:p w14:paraId="06C440EA" w14:textId="77777777" w:rsidR="00942266" w:rsidRDefault="00942266" w:rsidP="00130441">
      <w:pPr>
        <w:pStyle w:val="FootnoteText"/>
      </w:pPr>
    </w:p>
  </w:footnote>
  <w:footnote w:id="13">
    <w:p w14:paraId="31FB0682" w14:textId="77777777" w:rsidR="00942266" w:rsidRPr="008E0384" w:rsidRDefault="00942266" w:rsidP="00130441">
      <w:pPr>
        <w:pStyle w:val="FootnoteText"/>
        <w:rPr>
          <w:rFonts w:ascii="Arial" w:hAnsi="Arial" w:cs="Arial"/>
          <w:sz w:val="16"/>
          <w:szCs w:val="16"/>
        </w:rPr>
      </w:pPr>
      <w:r w:rsidRPr="008E0384">
        <w:rPr>
          <w:rStyle w:val="FootnoteReference"/>
          <w:rFonts w:ascii="Arial" w:hAnsi="Arial" w:cs="Arial"/>
          <w:sz w:val="16"/>
          <w:szCs w:val="16"/>
        </w:rPr>
        <w:footnoteRef/>
      </w:r>
      <w:r w:rsidRPr="008E0384">
        <w:rPr>
          <w:rFonts w:ascii="Arial" w:hAnsi="Arial" w:cs="Arial"/>
          <w:sz w:val="16"/>
          <w:szCs w:val="16"/>
        </w:rPr>
        <w:t xml:space="preserve"> See the definition of “relevant family member” in paragraph 32A(7) of Schedule 3 to the National Health Service (General Medical Services Contracts) Regulations 2015 and in paragraph 31A of Schedule 2 to the National Health Service (Personal Medical Services Agreements) Regulations 2015.  These provisions were inserted by the National Health Service (General Medical Services Contracts and Personal Medical Services Agreements) (Amendment) (No. 2) Regulations 2021. </w:t>
      </w:r>
    </w:p>
  </w:footnote>
  <w:footnote w:id="14">
    <w:p w14:paraId="0635773B" w14:textId="77777777" w:rsidR="00942266" w:rsidRPr="001A2893" w:rsidRDefault="00942266" w:rsidP="00130441">
      <w:pPr>
        <w:pStyle w:val="FootnoteText"/>
        <w:rPr>
          <w:rFonts w:ascii="Arial" w:hAnsi="Arial" w:cs="Arial"/>
          <w:sz w:val="16"/>
          <w:szCs w:val="16"/>
        </w:rPr>
      </w:pPr>
      <w:r w:rsidRPr="001A2893">
        <w:rPr>
          <w:rStyle w:val="FootnoteReference"/>
          <w:rFonts w:ascii="Arial" w:hAnsi="Arial" w:cs="Arial"/>
          <w:sz w:val="16"/>
          <w:szCs w:val="16"/>
        </w:rPr>
        <w:footnoteRef/>
      </w:r>
      <w:r w:rsidRPr="001A2893">
        <w:rPr>
          <w:rFonts w:ascii="Arial" w:hAnsi="Arial" w:cs="Arial"/>
          <w:sz w:val="16"/>
          <w:szCs w:val="16"/>
        </w:rPr>
        <w:t xml:space="preserve"> As defined in Part 2 Chapter 1 Section 6 of the Equality Act 2010, available at: https://www.legislation.gov.uk/ukpga/2010/15/section/6</w:t>
      </w:r>
    </w:p>
  </w:footnote>
  <w:footnote w:id="15">
    <w:p w14:paraId="5FB7F123" w14:textId="77777777" w:rsidR="00942266" w:rsidRDefault="00942266" w:rsidP="000E751A">
      <w:pPr>
        <w:pStyle w:val="FootnoteText"/>
      </w:pPr>
      <w:r>
        <w:rPr>
          <w:rStyle w:val="FootnoteReference"/>
        </w:rPr>
        <w:footnoteRef/>
      </w:r>
      <w:r>
        <w:t xml:space="preserve"> </w:t>
      </w:r>
      <w:r w:rsidRPr="00B8110D">
        <w:t>At scale in this context can be defined in a number of ways: a) by the size of the population served, for example, on PCN footprint b) by the number of contracts held and c) by the extent to which they operate across multiple commissioner areas. Only one of these needs to be present but, in some cases, one or more may be present.</w:t>
      </w:r>
    </w:p>
  </w:footnote>
  <w:footnote w:id="16">
    <w:p w14:paraId="0CD6E9FE" w14:textId="3D47694C" w:rsidR="00942266" w:rsidRPr="00E509C8" w:rsidRDefault="00942266" w:rsidP="00E509C8">
      <w:pPr>
        <w:rPr>
          <w:sz w:val="16"/>
        </w:rPr>
      </w:pPr>
      <w:r w:rsidRPr="00E509C8">
        <w:rPr>
          <w:rStyle w:val="FootnoteReference"/>
          <w:sz w:val="16"/>
        </w:rPr>
        <w:footnoteRef/>
      </w:r>
      <w:r w:rsidRPr="00E509C8">
        <w:rPr>
          <w:sz w:val="16"/>
        </w:rPr>
        <w:t xml:space="preserve"> </w:t>
      </w:r>
      <w:r w:rsidRPr="00A96554">
        <w:rPr>
          <w:b/>
          <w:sz w:val="16"/>
          <w:u w:val="single"/>
        </w:rPr>
        <w:t>Note: In the coming months, supplementary information and guidance will be will be made avaialbe to commissioner</w:t>
      </w:r>
      <w:r>
        <w:rPr>
          <w:b/>
          <w:sz w:val="16"/>
          <w:u w:val="single"/>
        </w:rPr>
        <w:t>s</w:t>
      </w:r>
      <w:r w:rsidRPr="00A96554">
        <w:rPr>
          <w:b/>
          <w:sz w:val="16"/>
          <w:u w:val="single"/>
        </w:rPr>
        <w:t xml:space="preserve"> in the form of FAQs,</w:t>
      </w:r>
    </w:p>
    <w:p w14:paraId="3784E64F" w14:textId="68BCAFB4" w:rsidR="00942266" w:rsidRDefault="00942266">
      <w:pPr>
        <w:pStyle w:val="FootnoteText"/>
      </w:pPr>
    </w:p>
  </w:footnote>
  <w:footnote w:id="17">
    <w:p w14:paraId="75BBBAA9" w14:textId="77777777" w:rsidR="00942266" w:rsidRPr="00434CAE" w:rsidRDefault="00942266" w:rsidP="00E509C8">
      <w:pPr>
        <w:rPr>
          <w:sz w:val="20"/>
          <w:szCs w:val="20"/>
        </w:rPr>
      </w:pPr>
      <w:r w:rsidRPr="00434CAE">
        <w:rPr>
          <w:rStyle w:val="FootnoteReference"/>
          <w:sz w:val="20"/>
          <w:szCs w:val="20"/>
        </w:rPr>
        <w:footnoteRef/>
      </w:r>
      <w:r w:rsidRPr="00434CAE">
        <w:rPr>
          <w:sz w:val="20"/>
          <w:szCs w:val="20"/>
        </w:rPr>
        <w:t xml:space="preserve"> </w:t>
      </w:r>
      <w:r w:rsidRPr="00434CAE">
        <w:rPr>
          <w:b/>
          <w:sz w:val="20"/>
          <w:szCs w:val="20"/>
          <w:u w:val="single"/>
        </w:rPr>
        <w:t>Note</w:t>
      </w:r>
      <w:r w:rsidRPr="00434CAE">
        <w:rPr>
          <w:sz w:val="20"/>
          <w:szCs w:val="20"/>
        </w:rPr>
        <w:t>: In the coming months, supplementary information and guidance will be published in the form of FAQs, alongside the PGM.  The material will be published on NHS England website at the same location as this document.</w:t>
      </w:r>
    </w:p>
    <w:p w14:paraId="17555BB5" w14:textId="1D6EBEF8" w:rsidR="00942266" w:rsidRDefault="00942266">
      <w:pPr>
        <w:pStyle w:val="FootnoteText"/>
      </w:pPr>
    </w:p>
  </w:footnote>
  <w:footnote w:id="18">
    <w:p w14:paraId="001B9C29" w14:textId="58C4F88D" w:rsidR="00942266" w:rsidRPr="00A314CB" w:rsidRDefault="00942266" w:rsidP="00E509C8">
      <w:pPr>
        <w:rPr>
          <w:sz w:val="16"/>
        </w:rPr>
      </w:pPr>
      <w:r w:rsidRPr="00A314CB">
        <w:rPr>
          <w:rStyle w:val="FootnoteReference"/>
          <w:sz w:val="16"/>
        </w:rPr>
        <w:footnoteRef/>
      </w:r>
      <w:r w:rsidRPr="00A314CB">
        <w:rPr>
          <w:sz w:val="16"/>
        </w:rPr>
        <w:t xml:space="preserve"> </w:t>
      </w:r>
      <w:r w:rsidRPr="00A96554">
        <w:rPr>
          <w:b/>
          <w:sz w:val="16"/>
          <w:u w:val="single"/>
        </w:rPr>
        <w:t>Note: In the coming months, supplementary information and guidance will be will be made avaialbe to commissioner in the form of FAQs,</w:t>
      </w:r>
    </w:p>
    <w:p w14:paraId="3B8F3105" w14:textId="7C6FD7D2" w:rsidR="00942266" w:rsidRDefault="00942266">
      <w:pPr>
        <w:pStyle w:val="FootnoteText"/>
      </w:pPr>
    </w:p>
  </w:footnote>
  <w:footnote w:id="19">
    <w:p w14:paraId="4357ED46" w14:textId="471D190A" w:rsidR="00942266" w:rsidRDefault="00942266">
      <w:pPr>
        <w:pStyle w:val="FootnoteText"/>
      </w:pPr>
      <w:r>
        <w:rPr>
          <w:rStyle w:val="FootnoteReference"/>
        </w:rPr>
        <w:footnoteRef/>
      </w:r>
      <w:r>
        <w:t xml:space="preserve"> </w:t>
      </w:r>
      <w:hyperlink r:id="rId4" w:history="1">
        <w:r>
          <w:rPr>
            <w:rStyle w:val="Hyperlink"/>
          </w:rPr>
          <w:t>https://digital.nhs.uk/data-and-information/publications/statistical/gp-earnings-and-expenses-estimates/2017-18</w:t>
        </w:r>
      </w:hyperlink>
    </w:p>
  </w:footnote>
  <w:footnote w:id="20">
    <w:p w14:paraId="07A8C7DD" w14:textId="77777777" w:rsidR="00942266" w:rsidRPr="00976971" w:rsidRDefault="00942266" w:rsidP="00181308">
      <w:pPr>
        <w:pStyle w:val="FootnoteText"/>
        <w:rPr>
          <w:rFonts w:ascii="Arial" w:hAnsi="Arial" w:cs="Arial"/>
        </w:rPr>
      </w:pPr>
      <w:r>
        <w:rPr>
          <w:rStyle w:val="FootnoteReference"/>
        </w:rPr>
        <w:footnoteRef/>
      </w:r>
      <w:r>
        <w:t xml:space="preserve"> </w:t>
      </w:r>
      <w:hyperlink r:id="rId5" w:history="1">
        <w:r w:rsidRPr="001842CD">
          <w:rPr>
            <w:rFonts w:ascii="Arial" w:eastAsia="Times New Roman" w:hAnsi="Arial"/>
            <w:bCs/>
            <w:color w:val="0000FF"/>
            <w:sz w:val="18"/>
            <w:szCs w:val="18"/>
            <w:u w:val="single"/>
          </w:rPr>
          <w:t>General Medical Services Statement of Financial Entitlements Directions 2021 (publishing.service.gov.uk)</w:t>
        </w:r>
      </w:hyperlink>
    </w:p>
    <w:p w14:paraId="710814D1" w14:textId="519AE486" w:rsidR="00942266" w:rsidRPr="00976971" w:rsidRDefault="00942266" w:rsidP="00181308">
      <w:pPr>
        <w:pStyle w:val="FootnoteText"/>
        <w:rPr>
          <w:rFonts w:ascii="Arial" w:hAnsi="Arial" w:cs="Arial"/>
        </w:rPr>
      </w:pPr>
      <w:r w:rsidRPr="00E80127">
        <w:rPr>
          <w:rFonts w:ascii="Arial" w:hAnsi="Arial" w:cs="Arial"/>
          <w:sz w:val="16"/>
          <w:szCs w:val="16"/>
        </w:rPr>
        <w:t>20</w:t>
      </w:r>
      <w:r w:rsidRPr="00976971">
        <w:rPr>
          <w:rFonts w:ascii="Arial" w:hAnsi="Arial" w:cs="Arial"/>
        </w:rPr>
        <w:t xml:space="preserve"> </w:t>
      </w:r>
      <w:hyperlink r:id="rId6" w:history="1">
        <w:r w:rsidRPr="001842CD">
          <w:rPr>
            <w:rFonts w:ascii="Arial" w:eastAsia="Times New Roman" w:hAnsi="Arial"/>
            <w:bCs/>
            <w:color w:val="0000FF"/>
            <w:sz w:val="18"/>
            <w:szCs w:val="18"/>
            <w:u w:val="single"/>
          </w:rPr>
          <w:t>The National Health Service (General Medical Services Contracts) Regulations 2015 (legislation.gov.uk)</w:t>
        </w:r>
      </w:hyperlink>
    </w:p>
    <w:p w14:paraId="4B6521E2" w14:textId="36476010" w:rsidR="00942266" w:rsidRPr="00976971" w:rsidRDefault="00942266" w:rsidP="00867DFB">
      <w:pPr>
        <w:pStyle w:val="FootnoteText"/>
        <w:rPr>
          <w:rFonts w:ascii="Arial" w:hAnsi="Arial" w:cs="Arial"/>
        </w:rPr>
      </w:pPr>
    </w:p>
  </w:footnote>
  <w:footnote w:id="21">
    <w:p w14:paraId="01D1AC1A" w14:textId="22DD1C60" w:rsidR="00942266" w:rsidRPr="00976971" w:rsidRDefault="00942266" w:rsidP="00867DFB">
      <w:pPr>
        <w:pStyle w:val="FootnoteText"/>
        <w:rPr>
          <w:rFonts w:ascii="Arial" w:hAnsi="Arial" w:cs="Arial"/>
        </w:rPr>
      </w:pPr>
    </w:p>
  </w:footnote>
  <w:footnote w:id="22">
    <w:p w14:paraId="63C4227B" w14:textId="3BCDD76D" w:rsidR="00942266" w:rsidRPr="00016B81" w:rsidRDefault="00942266" w:rsidP="00867DFB">
      <w:pPr>
        <w:pStyle w:val="FootnoteText"/>
      </w:pPr>
      <w:r w:rsidRPr="00976971">
        <w:rPr>
          <w:rStyle w:val="FootnoteReference"/>
          <w:rFonts w:ascii="Arial" w:hAnsi="Arial" w:cs="Arial"/>
        </w:rPr>
        <w:footnoteRef/>
      </w:r>
      <w:r w:rsidRPr="00976971">
        <w:rPr>
          <w:rFonts w:ascii="Arial" w:hAnsi="Arial" w:cs="Arial"/>
        </w:rPr>
        <w:t xml:space="preserve"> Providing the pr</w:t>
      </w:r>
      <w:r>
        <w:rPr>
          <w:rFonts w:ascii="Arial" w:hAnsi="Arial" w:cs="Arial"/>
        </w:rPr>
        <w:t xml:space="preserve">ovisions of paragraphs 10.3, </w:t>
      </w:r>
      <w:r w:rsidRPr="00976971">
        <w:rPr>
          <w:rFonts w:ascii="Arial" w:hAnsi="Arial" w:cs="Arial"/>
        </w:rPr>
        <w:t>1</w:t>
      </w:r>
      <w:r>
        <w:rPr>
          <w:rFonts w:ascii="Arial" w:hAnsi="Arial" w:cs="Arial"/>
        </w:rPr>
        <w:t>0</w:t>
      </w:r>
      <w:r w:rsidRPr="00976971">
        <w:rPr>
          <w:rFonts w:ascii="Arial" w:hAnsi="Arial" w:cs="Arial"/>
        </w:rPr>
        <w:t>.4</w:t>
      </w:r>
      <w:r>
        <w:rPr>
          <w:rFonts w:ascii="Arial" w:hAnsi="Arial" w:cs="Arial"/>
        </w:rPr>
        <w:t>,</w:t>
      </w:r>
      <w:r w:rsidRPr="00976971">
        <w:rPr>
          <w:rFonts w:ascii="Arial" w:hAnsi="Arial" w:cs="Arial"/>
        </w:rPr>
        <w:t xml:space="preserve"> </w:t>
      </w:r>
      <w:r>
        <w:rPr>
          <w:rFonts w:ascii="Arial" w:hAnsi="Arial" w:cs="Arial"/>
        </w:rPr>
        <w:t>10.11. and 10.</w:t>
      </w:r>
      <w:r w:rsidDel="00181308">
        <w:rPr>
          <w:rFonts w:ascii="Arial" w:hAnsi="Arial" w:cs="Arial"/>
        </w:rPr>
        <w:t xml:space="preserve"> </w:t>
      </w:r>
      <w:r>
        <w:rPr>
          <w:rFonts w:ascii="Arial" w:hAnsi="Arial" w:cs="Arial"/>
        </w:rPr>
        <w:t xml:space="preserve">12 </w:t>
      </w:r>
      <w:r w:rsidRPr="00976971">
        <w:rPr>
          <w:rFonts w:ascii="Arial" w:hAnsi="Arial" w:cs="Arial"/>
        </w:rPr>
        <w:t>of the SFE ar</w:t>
      </w:r>
      <w:r w:rsidRPr="00333E86">
        <w:rPr>
          <w:rFonts w:ascii="Arial" w:hAnsi="Arial" w:cs="Arial"/>
        </w:rPr>
        <w:t xml:space="preserve">e </w:t>
      </w:r>
      <w:r w:rsidRPr="00A019C1">
        <w:rPr>
          <w:rFonts w:ascii="Arial" w:hAnsi="Arial" w:cs="Arial"/>
        </w:rPr>
        <w:t>met</w:t>
      </w:r>
      <w:r>
        <w:rPr>
          <w:rFonts w:ascii="Arial" w:hAnsi="Arial" w:cs="Arial"/>
        </w:rPr>
        <w:t xml:space="preserve"> </w:t>
      </w:r>
    </w:p>
  </w:footnote>
  <w:footnote w:id="23">
    <w:p w14:paraId="611110D1" w14:textId="3FBB0C2E" w:rsidR="00942266" w:rsidRDefault="00942266">
      <w:pPr>
        <w:pStyle w:val="FootnoteText"/>
      </w:pPr>
      <w:r>
        <w:rPr>
          <w:rStyle w:val="FootnoteReference"/>
        </w:rPr>
        <w:footnoteRef/>
      </w:r>
      <w:r>
        <w:t xml:space="preserve"> </w:t>
      </w:r>
      <w:r w:rsidRPr="0011715C">
        <w:t>These are the agreed maximum figures from April</w:t>
      </w:r>
      <w:r>
        <w:t xml:space="preserve"> </w:t>
      </w:r>
      <w:r w:rsidRPr="00734192">
        <w:rPr>
          <w:rFonts w:cstheme="minorHAnsi"/>
        </w:rPr>
        <w:t>2021</w:t>
      </w:r>
      <w:r w:rsidRPr="0011715C">
        <w:t>. Any further uplifts will be detailed in amendments to the SFE.</w:t>
      </w:r>
      <w:r>
        <w:t xml:space="preserve"> </w:t>
      </w:r>
    </w:p>
  </w:footnote>
  <w:footnote w:id="24">
    <w:p w14:paraId="7DEE7514" w14:textId="0A95CDE6" w:rsidR="00942266" w:rsidRDefault="00942266">
      <w:pPr>
        <w:pStyle w:val="FootnoteText"/>
      </w:pPr>
      <w:r>
        <w:rPr>
          <w:rStyle w:val="FootnoteReference"/>
        </w:rPr>
        <w:footnoteRef/>
      </w:r>
      <w:r>
        <w:t xml:space="preserve"> </w:t>
      </w:r>
      <w:r w:rsidRPr="0011715C">
        <w:t>The SFE sets out at 15.5 payment will be the lower of the weekly maximum or actual, invoiced costs</w:t>
      </w:r>
    </w:p>
  </w:footnote>
  <w:footnote w:id="25">
    <w:p w14:paraId="08D37333" w14:textId="5EEE30C7" w:rsidR="00942266" w:rsidRDefault="00942266">
      <w:pPr>
        <w:pStyle w:val="FootnoteText"/>
      </w:pPr>
      <w:r>
        <w:rPr>
          <w:rStyle w:val="FootnoteReference"/>
        </w:rPr>
        <w:footnoteRef/>
      </w:r>
      <w:r>
        <w:t xml:space="preserve"> </w:t>
      </w:r>
      <w:r w:rsidRPr="0011715C">
        <w:t xml:space="preserve">Information on eligibility for shared parental leave: https://www.gov.uk/shared-parental-leave-and-pay  </w:t>
      </w:r>
    </w:p>
  </w:footnote>
  <w:footnote w:id="26">
    <w:p w14:paraId="685B566D" w14:textId="32EA1D58" w:rsidR="00942266" w:rsidRDefault="00942266">
      <w:pPr>
        <w:pStyle w:val="FootnoteText"/>
      </w:pPr>
      <w:r>
        <w:rPr>
          <w:rStyle w:val="FootnoteReference"/>
        </w:rPr>
        <w:footnoteRef/>
      </w:r>
      <w:r>
        <w:t xml:space="preserve"> </w:t>
      </w:r>
      <w:r w:rsidRPr="0011715C">
        <w:t>The SFE sets out at 1</w:t>
      </w:r>
      <w:r>
        <w:t>0</w:t>
      </w:r>
      <w:r w:rsidRPr="0011715C">
        <w:t>.5 payment will be the lower of the weekly maximum or actual, invoiced costs</w:t>
      </w:r>
    </w:p>
  </w:footnote>
  <w:footnote w:id="27">
    <w:p w14:paraId="766BBBFF" w14:textId="77777777" w:rsidR="00942266" w:rsidRPr="00333E86" w:rsidRDefault="00942266" w:rsidP="00867DFB">
      <w:pPr>
        <w:pStyle w:val="FootnoteText"/>
        <w:rPr>
          <w:rFonts w:ascii="Arial" w:hAnsi="Arial" w:cs="Arial"/>
        </w:rPr>
      </w:pPr>
      <w:r w:rsidRPr="00333E86">
        <w:rPr>
          <w:rStyle w:val="FootnoteReference"/>
          <w:rFonts w:ascii="Arial" w:hAnsi="Arial" w:cs="Arial"/>
        </w:rPr>
        <w:footnoteRef/>
      </w:r>
      <w:r>
        <w:rPr>
          <w:rFonts w:ascii="Arial" w:hAnsi="Arial" w:cs="Arial"/>
        </w:rPr>
        <w:t xml:space="preserve"> Weeks are defined as </w:t>
      </w:r>
      <w:r w:rsidRPr="00F80F21">
        <w:rPr>
          <w:rFonts w:ascii="Arial" w:hAnsi="Arial" w:cs="Arial"/>
        </w:rPr>
        <w:t>five working days</w:t>
      </w:r>
    </w:p>
  </w:footnote>
  <w:footnote w:id="28">
    <w:p w14:paraId="2B526750" w14:textId="77777777" w:rsidR="00942266" w:rsidRPr="009F094D" w:rsidRDefault="00942266" w:rsidP="00836ECF">
      <w:pPr>
        <w:tabs>
          <w:tab w:val="left" w:pos="128"/>
        </w:tabs>
        <w:spacing w:line="204" w:lineRule="auto"/>
        <w:ind w:left="1" w:right="320"/>
        <w:rPr>
          <w:rFonts w:eastAsia="Arial"/>
          <w:sz w:val="18"/>
          <w:szCs w:val="18"/>
          <w:vertAlign w:val="superscript"/>
        </w:rPr>
      </w:pPr>
      <w:r w:rsidRPr="009F094D">
        <w:rPr>
          <w:rStyle w:val="FootnoteReference"/>
          <w:sz w:val="18"/>
          <w:szCs w:val="18"/>
        </w:rPr>
        <w:footnoteRef/>
      </w:r>
      <w:r w:rsidRPr="009F094D">
        <w:rPr>
          <w:sz w:val="18"/>
          <w:szCs w:val="18"/>
        </w:rPr>
        <w:t xml:space="preserve"> </w:t>
      </w:r>
      <w:r w:rsidRPr="009F094D">
        <w:rPr>
          <w:rFonts w:eastAsia="Arial"/>
          <w:sz w:val="18"/>
          <w:szCs w:val="18"/>
        </w:rPr>
        <w:t xml:space="preserve">For the central Primary Care Commissioning Team, the project files include further </w:t>
      </w:r>
      <w:r w:rsidRPr="009F094D">
        <w:rPr>
          <w:rFonts w:eastAsia="Arial"/>
          <w:color w:val="0000FF"/>
          <w:sz w:val="18"/>
          <w:szCs w:val="18"/>
          <w:u w:val="single"/>
        </w:rPr>
        <w:t>background to</w:t>
      </w:r>
      <w:r w:rsidRPr="009F094D">
        <w:rPr>
          <w:rFonts w:eastAsia="Arial"/>
          <w:sz w:val="18"/>
          <w:szCs w:val="18"/>
        </w:rPr>
        <w:t xml:space="preserve"> </w:t>
      </w:r>
      <w:r w:rsidRPr="009F094D">
        <w:rPr>
          <w:rFonts w:eastAsia="Arial"/>
          <w:color w:val="0000FF"/>
          <w:sz w:val="18"/>
          <w:szCs w:val="18"/>
          <w:u w:val="single"/>
        </w:rPr>
        <w:t>developing this guidance’</w:t>
      </w:r>
      <w:r w:rsidRPr="009F094D">
        <w:rPr>
          <w:rFonts w:eastAsia="Arial"/>
          <w:color w:val="000000"/>
          <w:sz w:val="18"/>
          <w:szCs w:val="18"/>
        </w:rPr>
        <w:t>.</w:t>
      </w:r>
    </w:p>
    <w:p w14:paraId="132489DF" w14:textId="0E6A9E95" w:rsidR="00942266" w:rsidRDefault="00942266">
      <w:pPr>
        <w:pStyle w:val="FootnoteText"/>
      </w:pPr>
    </w:p>
  </w:footnote>
  <w:footnote w:id="29">
    <w:p w14:paraId="381AF639" w14:textId="62F34963" w:rsidR="00942266" w:rsidRPr="00432CDA" w:rsidRDefault="00942266" w:rsidP="00782D1D">
      <w:pPr>
        <w:tabs>
          <w:tab w:val="left" w:pos="128"/>
        </w:tabs>
        <w:spacing w:line="204" w:lineRule="auto"/>
        <w:ind w:left="1" w:right="380"/>
        <w:rPr>
          <w:rFonts w:eastAsia="Arial"/>
          <w:sz w:val="18"/>
          <w:szCs w:val="18"/>
          <w:vertAlign w:val="superscript"/>
        </w:rPr>
      </w:pPr>
      <w:r w:rsidRPr="00432CDA">
        <w:rPr>
          <w:rStyle w:val="FootnoteReference"/>
          <w:sz w:val="18"/>
          <w:szCs w:val="18"/>
        </w:rPr>
        <w:footnoteRef/>
      </w:r>
      <w:r w:rsidRPr="00432CDA">
        <w:rPr>
          <w:sz w:val="18"/>
          <w:szCs w:val="18"/>
        </w:rPr>
        <w:t xml:space="preserve"> </w:t>
      </w:r>
      <w:r w:rsidRPr="00432CDA">
        <w:rPr>
          <w:rFonts w:eastAsia="Arial"/>
          <w:sz w:val="18"/>
          <w:szCs w:val="18"/>
        </w:rPr>
        <w:t>General Practice Resilience Programme £8m per annum)</w:t>
      </w:r>
    </w:p>
    <w:p w14:paraId="3995027A" w14:textId="4A79A77B" w:rsidR="00942266" w:rsidRDefault="0094226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F5128" w14:textId="77777777" w:rsidR="00942266" w:rsidRDefault="009422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E188F" w14:textId="77777777" w:rsidR="00942266" w:rsidRDefault="009422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A1F52" w14:textId="77777777" w:rsidR="00942266" w:rsidRPr="00DA1C1E" w:rsidRDefault="00942266" w:rsidP="00DA1C1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D9099" w14:textId="77777777" w:rsidR="00942266" w:rsidRDefault="0094226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5A11C" w14:textId="77777777" w:rsidR="00942266" w:rsidRPr="00AA2766" w:rsidRDefault="00942266" w:rsidP="006036F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D87DB" w14:textId="77777777" w:rsidR="00942266" w:rsidRDefault="00942266">
    <w:pPr>
      <w:pStyle w:val="Header"/>
    </w:pPr>
  </w:p>
  <w:p w14:paraId="319A4C7B" w14:textId="77777777" w:rsidR="00942266" w:rsidRDefault="00942266">
    <w:pPr>
      <w:pStyle w:val="Header"/>
    </w:pPr>
  </w:p>
  <w:sdt>
    <w:sdtPr>
      <w:alias w:val="Protective Marking"/>
      <w:tag w:val="Protective Marking"/>
      <w:id w:val="907739856"/>
      <w:lock w:val="sdtLocked"/>
      <w:dropDownList>
        <w:listItem w:displayText="OFFICIAL" w:value="OFFICIAL"/>
        <w:listItem w:displayText="OFFICIAL-SENSITIVE: COMMERCIAL" w:value="OFFICIAL-SENSITIVE: COMMERCIAL"/>
        <w:listItem w:displayText="OFFICIAL-SENSITIVE: PERSONAL" w:value="OFFICIAL-SENSITIVE: PERSONAL"/>
      </w:dropDownList>
    </w:sdtPr>
    <w:sdtEndPr/>
    <w:sdtContent>
      <w:p w14:paraId="0774E98C" w14:textId="1B2ACBEF" w:rsidR="00942266" w:rsidRDefault="00942266" w:rsidP="00280330">
        <w:pPr>
          <w:pStyle w:val="Header"/>
          <w:jc w:val="center"/>
        </w:pPr>
        <w:r>
          <w:t>OFFICIAL</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E39C99A2"/>
    <w:lvl w:ilvl="0">
      <w:start w:val="1"/>
      <w:numFmt w:val="decimal"/>
      <w:lvlText w:val="%1."/>
      <w:lvlJc w:val="left"/>
      <w:pPr>
        <w:tabs>
          <w:tab w:val="num" w:pos="720"/>
        </w:tabs>
        <w:ind w:left="720" w:hanging="720"/>
      </w:pPr>
      <w:rPr>
        <w:rFonts w:ascii="Frutiger LT 65 Bold" w:hAnsi="Frutiger LT 65 Bold" w:hint="default"/>
        <w:b w:val="0"/>
        <w:i w:val="0"/>
        <w:color w:val="A4005F"/>
        <w:sz w:val="28"/>
        <w:szCs w:val="28"/>
      </w:rPr>
    </w:lvl>
    <w:lvl w:ilvl="1">
      <w:start w:val="1"/>
      <w:numFmt w:val="decimal"/>
      <w:lvlText w:val="%1.%2"/>
      <w:lvlJc w:val="left"/>
      <w:pPr>
        <w:tabs>
          <w:tab w:val="num" w:pos="0"/>
        </w:tabs>
        <w:ind w:left="1440" w:hanging="720"/>
      </w:pPr>
      <w:rPr>
        <w:rFonts w:cs="Times New Roman" w:hint="default"/>
        <w:b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0"/>
        </w:tabs>
        <w:ind w:left="2404" w:hanging="720"/>
      </w:pPr>
      <w:rPr>
        <w:rFonts w:ascii="Frutiger LT Std 45 Light" w:hAnsi="Frutiger LT Std 45 Light" w:hint="default"/>
        <w:sz w:val="24"/>
        <w:szCs w:val="24"/>
      </w:rPr>
    </w:lvl>
    <w:lvl w:ilvl="3">
      <w:start w:val="1"/>
      <w:numFmt w:val="decimal"/>
      <w:lvlText w:val="%1.%2.%3.%4"/>
      <w:lvlJc w:val="left"/>
      <w:pPr>
        <w:tabs>
          <w:tab w:val="num" w:pos="0"/>
        </w:tabs>
        <w:ind w:left="3612" w:hanging="720"/>
      </w:pPr>
      <w:rPr>
        <w:rFonts w:ascii="Frutiger LT Std 45 Light" w:hAnsi="Frutiger LT Std 45 Light" w:hint="default"/>
        <w:sz w:val="24"/>
        <w:szCs w:val="24"/>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1" w15:restartNumberingAfterBreak="0">
    <w:nsid w:val="00000002"/>
    <w:multiLevelType w:val="hybridMultilevel"/>
    <w:tmpl w:val="436C61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7"/>
    <w:multiLevelType w:val="hybridMultilevel"/>
    <w:tmpl w:val="2D1D5AE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8"/>
    <w:multiLevelType w:val="hybridMultilevel"/>
    <w:tmpl w:val="676384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9"/>
    <w:multiLevelType w:val="hybridMultilevel"/>
    <w:tmpl w:val="75A2A8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B"/>
    <w:multiLevelType w:val="hybridMultilevel"/>
    <w:tmpl w:val="79838C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C"/>
    <w:multiLevelType w:val="hybridMultilevel"/>
    <w:tmpl w:val="4353D0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D"/>
    <w:multiLevelType w:val="hybridMultilevel"/>
    <w:tmpl w:val="0B03E0C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12"/>
    <w:multiLevelType w:val="hybridMultilevel"/>
    <w:tmpl w:val="257C47B4"/>
    <w:lvl w:ilvl="0" w:tplc="08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13"/>
    <w:multiLevelType w:val="hybridMultilevel"/>
    <w:tmpl w:val="02901D82"/>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16"/>
    <w:multiLevelType w:val="hybridMultilevel"/>
    <w:tmpl w:val="1E7FF52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8"/>
    <w:multiLevelType w:val="hybridMultilevel"/>
    <w:tmpl w:val="737B8DDC"/>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9"/>
    <w:multiLevelType w:val="hybridMultilevel"/>
    <w:tmpl w:val="6CEAF086"/>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A"/>
    <w:multiLevelType w:val="hybridMultilevel"/>
    <w:tmpl w:val="22221A70"/>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B"/>
    <w:multiLevelType w:val="hybridMultilevel"/>
    <w:tmpl w:val="4516DDE8"/>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C"/>
    <w:multiLevelType w:val="hybridMultilevel"/>
    <w:tmpl w:val="3006C8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E"/>
    <w:multiLevelType w:val="hybridMultilevel"/>
    <w:tmpl w:val="419AC24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F"/>
    <w:multiLevelType w:val="hybridMultilevel"/>
    <w:tmpl w:val="5577F8E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21"/>
    <w:multiLevelType w:val="hybridMultilevel"/>
    <w:tmpl w:val="050723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22"/>
    <w:multiLevelType w:val="hybridMultilevel"/>
    <w:tmpl w:val="380482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23"/>
    <w:multiLevelType w:val="hybridMultilevel"/>
    <w:tmpl w:val="77465F0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24"/>
    <w:multiLevelType w:val="hybridMultilevel"/>
    <w:tmpl w:val="7724C67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25"/>
    <w:multiLevelType w:val="hybridMultilevel"/>
    <w:tmpl w:val="5C482A9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DB079E"/>
    <w:multiLevelType w:val="multilevel"/>
    <w:tmpl w:val="E2C09B04"/>
    <w:lvl w:ilvl="0">
      <w:start w:val="1"/>
      <w:numFmt w:val="decimal"/>
      <w:lvlText w:val="(%1)"/>
      <w:lvlJc w:val="left"/>
      <w:pPr>
        <w:ind w:left="600" w:hanging="360"/>
      </w:pPr>
      <w:rPr>
        <w:rFonts w:hint="default"/>
      </w:rPr>
    </w:lvl>
    <w:lvl w:ilvl="1" w:tentative="1">
      <w:start w:val="1"/>
      <w:numFmt w:val="lowerLetter"/>
      <w:lvlText w:val="%2."/>
      <w:lvlJc w:val="left"/>
      <w:pPr>
        <w:ind w:left="1320" w:hanging="360"/>
      </w:pPr>
    </w:lvl>
    <w:lvl w:ilvl="2" w:tentative="1">
      <w:start w:val="1"/>
      <w:numFmt w:val="lowerRoman"/>
      <w:lvlText w:val="%3."/>
      <w:lvlJc w:val="right"/>
      <w:pPr>
        <w:ind w:left="2040" w:hanging="180"/>
      </w:pPr>
    </w:lvl>
    <w:lvl w:ilvl="3" w:tentative="1">
      <w:start w:val="1"/>
      <w:numFmt w:val="decimal"/>
      <w:lvlText w:val="%4."/>
      <w:lvlJc w:val="left"/>
      <w:pPr>
        <w:ind w:left="2760" w:hanging="360"/>
      </w:pPr>
    </w:lvl>
    <w:lvl w:ilvl="4" w:tentative="1">
      <w:start w:val="1"/>
      <w:numFmt w:val="lowerLetter"/>
      <w:lvlText w:val="%5."/>
      <w:lvlJc w:val="left"/>
      <w:pPr>
        <w:ind w:left="3480" w:hanging="360"/>
      </w:pPr>
    </w:lvl>
    <w:lvl w:ilvl="5" w:tentative="1">
      <w:start w:val="1"/>
      <w:numFmt w:val="lowerRoman"/>
      <w:lvlText w:val="%6."/>
      <w:lvlJc w:val="right"/>
      <w:pPr>
        <w:ind w:left="4200" w:hanging="180"/>
      </w:pPr>
    </w:lvl>
    <w:lvl w:ilvl="6" w:tentative="1">
      <w:start w:val="1"/>
      <w:numFmt w:val="decimal"/>
      <w:lvlText w:val="%7."/>
      <w:lvlJc w:val="left"/>
      <w:pPr>
        <w:ind w:left="4920" w:hanging="360"/>
      </w:pPr>
    </w:lvl>
    <w:lvl w:ilvl="7" w:tentative="1">
      <w:start w:val="1"/>
      <w:numFmt w:val="lowerLetter"/>
      <w:lvlText w:val="%8."/>
      <w:lvlJc w:val="left"/>
      <w:pPr>
        <w:ind w:left="5640" w:hanging="360"/>
      </w:pPr>
    </w:lvl>
    <w:lvl w:ilvl="8" w:tentative="1">
      <w:start w:val="1"/>
      <w:numFmt w:val="lowerRoman"/>
      <w:lvlText w:val="%9."/>
      <w:lvlJc w:val="right"/>
      <w:pPr>
        <w:ind w:left="6360" w:hanging="180"/>
      </w:pPr>
    </w:lvl>
  </w:abstractNum>
  <w:abstractNum w:abstractNumId="24" w15:restartNumberingAfterBreak="0">
    <w:nsid w:val="011C367B"/>
    <w:multiLevelType w:val="hybridMultilevel"/>
    <w:tmpl w:val="D0E8631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20B051F"/>
    <w:multiLevelType w:val="hybridMultilevel"/>
    <w:tmpl w:val="2B4C64E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03DE0284"/>
    <w:multiLevelType w:val="hybridMultilevel"/>
    <w:tmpl w:val="63DA1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420003A"/>
    <w:multiLevelType w:val="hybridMultilevel"/>
    <w:tmpl w:val="DC286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4835681"/>
    <w:multiLevelType w:val="hybridMultilevel"/>
    <w:tmpl w:val="9FCE39C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04C06AE4"/>
    <w:multiLevelType w:val="hybridMultilevel"/>
    <w:tmpl w:val="66FC6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4D3502C"/>
    <w:multiLevelType w:val="hybridMultilevel"/>
    <w:tmpl w:val="0100BC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5802D0F"/>
    <w:multiLevelType w:val="hybridMultilevel"/>
    <w:tmpl w:val="8F8EB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05D746EB"/>
    <w:multiLevelType w:val="hybridMultilevel"/>
    <w:tmpl w:val="C63A5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6465801"/>
    <w:multiLevelType w:val="hybridMultilevel"/>
    <w:tmpl w:val="D520B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067C6EB1"/>
    <w:multiLevelType w:val="hybridMultilevel"/>
    <w:tmpl w:val="79A8B01A"/>
    <w:lvl w:ilvl="0" w:tplc="A38E2C4A">
      <w:start w:val="1"/>
      <w:numFmt w:val="decimal"/>
      <w:lvlText w:val="(%1)"/>
      <w:lvlJc w:val="left"/>
      <w:pPr>
        <w:ind w:left="720" w:hanging="360"/>
      </w:pPr>
      <w:rPr>
        <w:rFonts w:hint="default"/>
      </w:rPr>
    </w:lvl>
    <w:lvl w:ilvl="1" w:tplc="E73CA988">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08042CC3"/>
    <w:multiLevelType w:val="hybridMultilevel"/>
    <w:tmpl w:val="E000E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08252F55"/>
    <w:multiLevelType w:val="multilevel"/>
    <w:tmpl w:val="144055C2"/>
    <w:lvl w:ilvl="0">
      <w:start w:val="1"/>
      <w:numFmt w:val="decimal"/>
      <w:lvlText w:val="%1"/>
      <w:lvlJc w:val="left"/>
      <w:pPr>
        <w:ind w:left="432" w:hanging="432"/>
      </w:pPr>
      <w:rPr>
        <w:rFonts w:hint="default"/>
      </w:rPr>
    </w:lvl>
    <w:lvl w:ilvl="1">
      <w:start w:val="1"/>
      <w:numFmt w:val="decimal"/>
      <w:lvlText w:val="%1.%2"/>
      <w:lvlJc w:val="left"/>
      <w:pPr>
        <w:ind w:left="2561" w:hanging="576"/>
      </w:pPr>
      <w:rPr>
        <w:rFonts w:hint="default"/>
        <w:color w:val="7C2855" w:themeColor="background2"/>
        <w:sz w:val="24"/>
      </w:rPr>
    </w:lvl>
    <w:lvl w:ilvl="2">
      <w:start w:val="1"/>
      <w:numFmt w:val="decimal"/>
      <w:lvlText w:val="%1.%2.%3"/>
      <w:lvlJc w:val="left"/>
      <w:pPr>
        <w:ind w:left="720" w:hanging="720"/>
      </w:pPr>
      <w:rPr>
        <w:rFonts w:hint="default"/>
        <w:b w:val="0"/>
        <w:strike w:val="0"/>
        <w:color w:val="000000" w:themeColor="text1"/>
        <w:sz w:val="24"/>
        <w:szCs w:val="24"/>
      </w:rPr>
    </w:lvl>
    <w:lvl w:ilvl="3">
      <w:start w:val="1"/>
      <w:numFmt w:val="lowerLetter"/>
      <w:lvlText w:val="%4)"/>
      <w:lvlJc w:val="left"/>
      <w:pPr>
        <w:ind w:left="864" w:hanging="864"/>
      </w:pPr>
      <w:rPr>
        <w:rFonts w:ascii="Arial" w:eastAsia="Times New Roman" w:hAnsi="Arial" w:cs="Times New Roman" w:hint="default"/>
        <w:b w:val="0"/>
        <w:color w:val="000000" w:themeColor="text1"/>
        <w:sz w:val="24"/>
        <w:szCs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085A07FD"/>
    <w:multiLevelType w:val="hybridMultilevel"/>
    <w:tmpl w:val="5394C48C"/>
    <w:lvl w:ilvl="0" w:tplc="B8B823C2">
      <w:start w:val="1"/>
      <w:numFmt w:val="decimal"/>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08EDBDAB"/>
    <w:multiLevelType w:val="hybridMultilevel"/>
    <w:tmpl w:val="F2F06792"/>
    <w:lvl w:ilvl="0" w:tplc="EBD872B6">
      <w:start w:val="1"/>
      <w:numFmt w:val="bullet"/>
      <w:lvlText w:val="•"/>
      <w:lvlJc w:val="left"/>
      <w:pPr>
        <w:ind w:left="0" w:firstLine="0"/>
      </w:pPr>
    </w:lvl>
    <w:lvl w:ilvl="1" w:tplc="48E25C76">
      <w:start w:val="15"/>
      <w:numFmt w:val="lowerLetter"/>
      <w:lvlText w:val="%2"/>
      <w:lvlJc w:val="left"/>
      <w:pPr>
        <w:ind w:left="0" w:firstLine="0"/>
      </w:pPr>
    </w:lvl>
    <w:lvl w:ilvl="2" w:tplc="B41AE8E0">
      <w:numFmt w:val="decimal"/>
      <w:lvlText w:val=""/>
      <w:lvlJc w:val="left"/>
      <w:pPr>
        <w:ind w:left="0" w:firstLine="0"/>
      </w:pPr>
    </w:lvl>
    <w:lvl w:ilvl="3" w:tplc="9C8AD8C8">
      <w:numFmt w:val="decimal"/>
      <w:lvlText w:val=""/>
      <w:lvlJc w:val="left"/>
      <w:pPr>
        <w:ind w:left="0" w:firstLine="0"/>
      </w:pPr>
    </w:lvl>
    <w:lvl w:ilvl="4" w:tplc="EC8A0F84">
      <w:numFmt w:val="decimal"/>
      <w:lvlText w:val=""/>
      <w:lvlJc w:val="left"/>
      <w:pPr>
        <w:ind w:left="0" w:firstLine="0"/>
      </w:pPr>
    </w:lvl>
    <w:lvl w:ilvl="5" w:tplc="7C2C165E">
      <w:numFmt w:val="decimal"/>
      <w:lvlText w:val=""/>
      <w:lvlJc w:val="left"/>
      <w:pPr>
        <w:ind w:left="0" w:firstLine="0"/>
      </w:pPr>
    </w:lvl>
    <w:lvl w:ilvl="6" w:tplc="56F0C53C">
      <w:numFmt w:val="decimal"/>
      <w:lvlText w:val=""/>
      <w:lvlJc w:val="left"/>
      <w:pPr>
        <w:ind w:left="0" w:firstLine="0"/>
      </w:pPr>
    </w:lvl>
    <w:lvl w:ilvl="7" w:tplc="2A66D9BC">
      <w:numFmt w:val="decimal"/>
      <w:lvlText w:val=""/>
      <w:lvlJc w:val="left"/>
      <w:pPr>
        <w:ind w:left="0" w:firstLine="0"/>
      </w:pPr>
    </w:lvl>
    <w:lvl w:ilvl="8" w:tplc="A5008A24">
      <w:numFmt w:val="decimal"/>
      <w:lvlText w:val=""/>
      <w:lvlJc w:val="left"/>
      <w:pPr>
        <w:ind w:left="0" w:firstLine="0"/>
      </w:pPr>
    </w:lvl>
  </w:abstractNum>
  <w:abstractNum w:abstractNumId="39" w15:restartNumberingAfterBreak="0">
    <w:nsid w:val="09D145BC"/>
    <w:multiLevelType w:val="hybridMultilevel"/>
    <w:tmpl w:val="E2C09B04"/>
    <w:lvl w:ilvl="0" w:tplc="0AACAC5C">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0" w15:restartNumberingAfterBreak="0">
    <w:nsid w:val="0A4D6E66"/>
    <w:multiLevelType w:val="hybridMultilevel"/>
    <w:tmpl w:val="43F21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0AB9097E"/>
    <w:multiLevelType w:val="hybridMultilevel"/>
    <w:tmpl w:val="C23E36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0B49210D"/>
    <w:multiLevelType w:val="hybridMultilevel"/>
    <w:tmpl w:val="4FE69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0B876D01"/>
    <w:multiLevelType w:val="hybridMultilevel"/>
    <w:tmpl w:val="1EC01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0C8907A5"/>
    <w:multiLevelType w:val="hybridMultilevel"/>
    <w:tmpl w:val="3F949754"/>
    <w:lvl w:ilvl="0" w:tplc="0C6CF72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0D9A0992"/>
    <w:multiLevelType w:val="hybridMultilevel"/>
    <w:tmpl w:val="9DE60B4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0E83574D"/>
    <w:multiLevelType w:val="hybridMultilevel"/>
    <w:tmpl w:val="D34C8D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109D128B"/>
    <w:multiLevelType w:val="hybridMultilevel"/>
    <w:tmpl w:val="0B5AD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1551A06"/>
    <w:multiLevelType w:val="multilevel"/>
    <w:tmpl w:val="81B81558"/>
    <w:lvl w:ilvl="0">
      <w:start w:val="1"/>
      <w:numFmt w:val="decimal"/>
      <w:lvlText w:val="%1."/>
      <w:lvlJc w:val="left"/>
      <w:pPr>
        <w:tabs>
          <w:tab w:val="num" w:pos="284"/>
        </w:tabs>
        <w:ind w:left="1004" w:hanging="720"/>
      </w:pPr>
      <w:rPr>
        <w:rFonts w:ascii="Frutiger LT 65 Bold" w:hAnsi="Frutiger LT 65 Bold" w:hint="default"/>
        <w:b w:val="0"/>
        <w:i w:val="0"/>
        <w:sz w:val="28"/>
      </w:rPr>
    </w:lvl>
    <w:lvl w:ilvl="1">
      <w:start w:val="1"/>
      <w:numFmt w:val="decimal"/>
      <w:lvlText w:val="%1.%2"/>
      <w:lvlJc w:val="left"/>
      <w:pPr>
        <w:tabs>
          <w:tab w:val="num" w:pos="1572"/>
        </w:tabs>
        <w:ind w:left="1572" w:hanging="720"/>
      </w:pPr>
      <w:rPr>
        <w:rFonts w:ascii="Frutiger LT Std 45 Light" w:hAnsi="Frutiger LT Std 45 Light" w:hint="default"/>
        <w:b w:val="0"/>
        <w:i w:val="0"/>
        <w:sz w:val="24"/>
      </w:rPr>
    </w:lvl>
    <w:lvl w:ilvl="2">
      <w:start w:val="1"/>
      <w:numFmt w:val="decimal"/>
      <w:lvlText w:val="%1.%2.%3"/>
      <w:lvlJc w:val="left"/>
      <w:pPr>
        <w:tabs>
          <w:tab w:val="num" w:pos="2393"/>
        </w:tabs>
        <w:ind w:left="2393" w:hanging="953"/>
      </w:pPr>
      <w:rPr>
        <w:rFonts w:ascii="Frutiger LT Std 45 Light" w:hAnsi="Frutiger LT Std 45 Light" w:hint="default"/>
        <w:sz w:val="24"/>
      </w:rPr>
    </w:lvl>
    <w:lvl w:ilvl="3">
      <w:start w:val="1"/>
      <w:numFmt w:val="lowerLetter"/>
      <w:lvlText w:val="(%4)"/>
      <w:lvlJc w:val="left"/>
      <w:pPr>
        <w:tabs>
          <w:tab w:val="num" w:pos="3612"/>
        </w:tabs>
        <w:ind w:left="3612" w:hanging="720"/>
      </w:pPr>
      <w:rPr>
        <w:rFonts w:ascii="Arial" w:hAnsi="Arial" w:hint="default"/>
        <w:sz w:val="20"/>
      </w:rPr>
    </w:lvl>
    <w:lvl w:ilvl="4">
      <w:start w:val="1"/>
      <w:numFmt w:val="lowerRoman"/>
      <w:lvlText w:val="(%5)"/>
      <w:lvlJc w:val="left"/>
      <w:pPr>
        <w:tabs>
          <w:tab w:val="num" w:pos="4349"/>
        </w:tabs>
        <w:ind w:left="4349" w:hanging="720"/>
      </w:pPr>
      <w:rPr>
        <w:rFonts w:ascii="Arial" w:hAnsi="Arial" w:hint="default"/>
        <w:sz w:val="20"/>
      </w:rPr>
    </w:lvl>
    <w:lvl w:ilvl="5">
      <w:start w:val="1"/>
      <w:numFmt w:val="upperLetter"/>
      <w:lvlText w:val="(%6)"/>
      <w:lvlJc w:val="left"/>
      <w:pPr>
        <w:tabs>
          <w:tab w:val="num" w:pos="5058"/>
        </w:tabs>
        <w:ind w:left="5058" w:hanging="720"/>
      </w:pPr>
      <w:rPr>
        <w:rFonts w:ascii="Arial" w:hAnsi="Arial" w:hint="default"/>
        <w:sz w:val="20"/>
      </w:rPr>
    </w:lvl>
    <w:lvl w:ilvl="6">
      <w:start w:val="1"/>
      <w:numFmt w:val="none"/>
      <w:lvlText w:val=""/>
      <w:lvlJc w:val="left"/>
      <w:pPr>
        <w:tabs>
          <w:tab w:val="num" w:pos="0"/>
        </w:tabs>
        <w:ind w:left="5761" w:hanging="720"/>
      </w:pPr>
      <w:rPr>
        <w:rFonts w:ascii="Symbol" w:hAnsi="Symbol" w:hint="default"/>
        <w:sz w:val="24"/>
      </w:rPr>
    </w:lvl>
    <w:lvl w:ilvl="7">
      <w:start w:val="1"/>
      <w:numFmt w:val="none"/>
      <w:lvlText w:val=""/>
      <w:lvlJc w:val="left"/>
      <w:pPr>
        <w:tabs>
          <w:tab w:val="num" w:pos="0"/>
        </w:tabs>
        <w:ind w:left="6447" w:hanging="720"/>
      </w:pPr>
      <w:rPr>
        <w:rFonts w:ascii="Symbol" w:hAnsi="Symbol" w:hint="default"/>
        <w:sz w:val="24"/>
      </w:rPr>
    </w:lvl>
    <w:lvl w:ilvl="8">
      <w:start w:val="1"/>
      <w:numFmt w:val="none"/>
      <w:lvlText w:val=""/>
      <w:lvlJc w:val="left"/>
      <w:pPr>
        <w:tabs>
          <w:tab w:val="num" w:pos="0"/>
        </w:tabs>
        <w:ind w:left="7155" w:hanging="720"/>
      </w:pPr>
      <w:rPr>
        <w:rFonts w:ascii="Symbol" w:hAnsi="Symbol" w:hint="default"/>
        <w:sz w:val="24"/>
      </w:rPr>
    </w:lvl>
  </w:abstractNum>
  <w:abstractNum w:abstractNumId="49" w15:restartNumberingAfterBreak="0">
    <w:nsid w:val="12020E7E"/>
    <w:multiLevelType w:val="hybridMultilevel"/>
    <w:tmpl w:val="70027B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120A46C2"/>
    <w:multiLevelType w:val="hybridMultilevel"/>
    <w:tmpl w:val="666EF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36245F7"/>
    <w:multiLevelType w:val="multilevel"/>
    <w:tmpl w:val="944EE406"/>
    <w:lvl w:ilvl="0">
      <w:start w:val="1"/>
      <w:numFmt w:val="decimal"/>
      <w:lvlText w:val="%1."/>
      <w:legacy w:legacy="1" w:legacySpace="0" w:legacyIndent="709"/>
      <w:lvlJc w:val="left"/>
      <w:pPr>
        <w:ind w:left="709" w:hanging="709"/>
      </w:pPr>
      <w:rPr>
        <w:rFonts w:hint="default"/>
        <w:b w:val="0"/>
        <w:i w:val="0"/>
        <w:sz w:val="32"/>
      </w:rPr>
    </w:lvl>
    <w:lvl w:ilvl="1">
      <w:start w:val="1"/>
      <w:numFmt w:val="bullet"/>
      <w:lvlText w:val=""/>
      <w:lvlJc w:val="left"/>
      <w:pPr>
        <w:ind w:left="1419" w:hanging="709"/>
      </w:pPr>
      <w:rPr>
        <w:rFonts w:ascii="Symbol" w:hAnsi="Symbol" w:hint="default"/>
        <w:b w:val="0"/>
        <w:i w:val="0"/>
        <w:sz w:val="24"/>
      </w:rPr>
    </w:lvl>
    <w:lvl w:ilvl="2">
      <w:start w:val="1"/>
      <w:numFmt w:val="bullet"/>
      <w:lvlText w:val=""/>
      <w:lvlJc w:val="left"/>
      <w:pPr>
        <w:ind w:left="2410" w:hanging="992"/>
      </w:pPr>
      <w:rPr>
        <w:rFonts w:ascii="Symbol" w:hAnsi="Symbol" w:hint="default"/>
        <w:color w:val="auto"/>
        <w:sz w:val="24"/>
      </w:rPr>
    </w:lvl>
    <w:lvl w:ilvl="3">
      <w:start w:val="1"/>
      <w:numFmt w:val="decimal"/>
      <w:lvlText w:val="%1.%2.%3.%4"/>
      <w:legacy w:legacy="1" w:legacySpace="0" w:legacyIndent="1276"/>
      <w:lvlJc w:val="left"/>
      <w:pPr>
        <w:ind w:left="3686" w:hanging="1276"/>
      </w:pPr>
      <w:rPr>
        <w:rFonts w:hint="default"/>
        <w:sz w:val="24"/>
      </w:rPr>
    </w:lvl>
    <w:lvl w:ilvl="4">
      <w:start w:val="1"/>
      <w:numFmt w:val="decimal"/>
      <w:lvlText w:val="%1.%2.%3.%4.%5"/>
      <w:legacy w:legacy="1" w:legacySpace="0" w:legacyIndent="1559"/>
      <w:lvlJc w:val="left"/>
      <w:pPr>
        <w:ind w:left="5245" w:hanging="1559"/>
      </w:pPr>
      <w:rPr>
        <w:rFonts w:hint="default"/>
        <w:sz w:val="20"/>
      </w:rPr>
    </w:lvl>
    <w:lvl w:ilvl="5">
      <w:start w:val="1"/>
      <w:numFmt w:val="lowerLetter"/>
      <w:lvlText w:val="(%6)"/>
      <w:legacy w:legacy="1" w:legacySpace="0" w:legacyIndent="709"/>
      <w:lvlJc w:val="left"/>
      <w:pPr>
        <w:ind w:left="5954" w:hanging="709"/>
      </w:pPr>
      <w:rPr>
        <w:rFonts w:hint="default"/>
        <w:sz w:val="20"/>
      </w:rPr>
    </w:lvl>
    <w:lvl w:ilvl="6">
      <w:start w:val="1"/>
      <w:numFmt w:val="lowerRoman"/>
      <w:lvlText w:val="(%7)"/>
      <w:legacy w:legacy="1" w:legacySpace="0" w:legacyIndent="709"/>
      <w:lvlJc w:val="left"/>
      <w:pPr>
        <w:ind w:left="6663" w:hanging="709"/>
      </w:pPr>
      <w:rPr>
        <w:rFonts w:hint="default"/>
        <w:sz w:val="24"/>
      </w:rPr>
    </w:lvl>
    <w:lvl w:ilvl="7">
      <w:start w:val="1"/>
      <w:numFmt w:val="upperLetter"/>
      <w:lvlText w:val="(%8)"/>
      <w:legacy w:legacy="1" w:legacySpace="0" w:legacyIndent="709"/>
      <w:lvlJc w:val="left"/>
      <w:pPr>
        <w:ind w:left="7372" w:hanging="709"/>
      </w:pPr>
      <w:rPr>
        <w:rFonts w:hint="default"/>
        <w:sz w:val="24"/>
      </w:rPr>
    </w:lvl>
    <w:lvl w:ilvl="8">
      <w:start w:val="1"/>
      <w:numFmt w:val="none"/>
      <w:lvlText w:val="·"/>
      <w:legacy w:legacy="1" w:legacySpace="0" w:legacyIndent="709"/>
      <w:lvlJc w:val="left"/>
      <w:pPr>
        <w:ind w:left="8081" w:hanging="709"/>
      </w:pPr>
      <w:rPr>
        <w:rFonts w:ascii="Symbol" w:hAnsi="Symbol" w:hint="default"/>
        <w:sz w:val="24"/>
      </w:rPr>
    </w:lvl>
  </w:abstractNum>
  <w:abstractNum w:abstractNumId="52" w15:restartNumberingAfterBreak="0">
    <w:nsid w:val="147A3C0F"/>
    <w:multiLevelType w:val="hybridMultilevel"/>
    <w:tmpl w:val="A8C29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5BC02FF"/>
    <w:multiLevelType w:val="multilevel"/>
    <w:tmpl w:val="3FC6E89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163C1DFC"/>
    <w:multiLevelType w:val="hybridMultilevel"/>
    <w:tmpl w:val="E78EB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6600F40"/>
    <w:multiLevelType w:val="hybridMultilevel"/>
    <w:tmpl w:val="5992949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56" w15:restartNumberingAfterBreak="0">
    <w:nsid w:val="16B84B40"/>
    <w:multiLevelType w:val="hybridMultilevel"/>
    <w:tmpl w:val="1CF65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170249C8"/>
    <w:multiLevelType w:val="hybridMultilevel"/>
    <w:tmpl w:val="A086C0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15:restartNumberingAfterBreak="0">
    <w:nsid w:val="17990599"/>
    <w:multiLevelType w:val="hybridMultilevel"/>
    <w:tmpl w:val="E1C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18470D29"/>
    <w:multiLevelType w:val="hybridMultilevel"/>
    <w:tmpl w:val="0DD86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9354EEE"/>
    <w:multiLevelType w:val="hybridMultilevel"/>
    <w:tmpl w:val="A0322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94B7837"/>
    <w:multiLevelType w:val="hybridMultilevel"/>
    <w:tmpl w:val="68B674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198D5947"/>
    <w:multiLevelType w:val="hybridMultilevel"/>
    <w:tmpl w:val="8D0A5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1A735CEB"/>
    <w:multiLevelType w:val="hybridMultilevel"/>
    <w:tmpl w:val="C818FAFA"/>
    <w:lvl w:ilvl="0" w:tplc="03484542">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B0422C6"/>
    <w:multiLevelType w:val="hybridMultilevel"/>
    <w:tmpl w:val="848423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15:restartNumberingAfterBreak="0">
    <w:nsid w:val="1BEF4BC3"/>
    <w:multiLevelType w:val="hybridMultilevel"/>
    <w:tmpl w:val="827092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15:restartNumberingAfterBreak="0">
    <w:nsid w:val="1C4E18C9"/>
    <w:multiLevelType w:val="hybridMultilevel"/>
    <w:tmpl w:val="2158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1C7620EB"/>
    <w:multiLevelType w:val="hybridMultilevel"/>
    <w:tmpl w:val="1F3A6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CC97E12"/>
    <w:multiLevelType w:val="hybridMultilevel"/>
    <w:tmpl w:val="8FB6C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1CD41FA8"/>
    <w:multiLevelType w:val="hybridMultilevel"/>
    <w:tmpl w:val="45BEFD92"/>
    <w:lvl w:ilvl="0" w:tplc="D8584178">
      <w:start w:val="13"/>
      <w:numFmt w:val="bullet"/>
      <w:lvlText w:val="-"/>
      <w:lvlJc w:val="left"/>
      <w:pPr>
        <w:ind w:left="3240" w:hanging="360"/>
      </w:pPr>
      <w:rPr>
        <w:rFonts w:ascii="Arial" w:eastAsiaTheme="minorHAnsi"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70" w15:restartNumberingAfterBreak="0">
    <w:nsid w:val="1CDF46F5"/>
    <w:multiLevelType w:val="hybridMultilevel"/>
    <w:tmpl w:val="51B4D550"/>
    <w:lvl w:ilvl="0" w:tplc="AC141CC0">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71" w15:restartNumberingAfterBreak="0">
    <w:nsid w:val="1E1A1111"/>
    <w:multiLevelType w:val="hybridMultilevel"/>
    <w:tmpl w:val="D2EAD5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1EC7772A"/>
    <w:multiLevelType w:val="hybridMultilevel"/>
    <w:tmpl w:val="AEEE670E"/>
    <w:lvl w:ilvl="0" w:tplc="E73CA98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 w15:restartNumberingAfterBreak="0">
    <w:nsid w:val="1F05479B"/>
    <w:multiLevelType w:val="hybridMultilevel"/>
    <w:tmpl w:val="0D469E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4" w15:restartNumberingAfterBreak="0">
    <w:nsid w:val="1F3851E7"/>
    <w:multiLevelType w:val="hybridMultilevel"/>
    <w:tmpl w:val="C2A4A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1F4B4746"/>
    <w:multiLevelType w:val="hybridMultilevel"/>
    <w:tmpl w:val="A38A7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1FA66C0B"/>
    <w:multiLevelType w:val="hybridMultilevel"/>
    <w:tmpl w:val="714E1B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1FE7093A"/>
    <w:multiLevelType w:val="hybridMultilevel"/>
    <w:tmpl w:val="36909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1FF10BF6"/>
    <w:multiLevelType w:val="hybridMultilevel"/>
    <w:tmpl w:val="2FA09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204F2E5B"/>
    <w:multiLevelType w:val="hybridMultilevel"/>
    <w:tmpl w:val="4D124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22280C6E"/>
    <w:multiLevelType w:val="hybridMultilevel"/>
    <w:tmpl w:val="2AF09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22677549"/>
    <w:multiLevelType w:val="hybridMultilevel"/>
    <w:tmpl w:val="820E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23D679E3"/>
    <w:multiLevelType w:val="hybridMultilevel"/>
    <w:tmpl w:val="734A7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23F47F88"/>
    <w:multiLevelType w:val="hybridMultilevel"/>
    <w:tmpl w:val="B47A2150"/>
    <w:lvl w:ilvl="0" w:tplc="91F4E7A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84" w15:restartNumberingAfterBreak="0">
    <w:nsid w:val="24284B07"/>
    <w:multiLevelType w:val="hybridMultilevel"/>
    <w:tmpl w:val="32E6EC86"/>
    <w:lvl w:ilvl="0" w:tplc="08090001">
      <w:start w:val="1"/>
      <w:numFmt w:val="bullet"/>
      <w:lvlText w:val=""/>
      <w:lvlJc w:val="left"/>
      <w:pPr>
        <w:ind w:left="1508" w:hanging="360"/>
      </w:pPr>
      <w:rPr>
        <w:rFonts w:ascii="Symbol" w:hAnsi="Symbol" w:hint="default"/>
      </w:rPr>
    </w:lvl>
    <w:lvl w:ilvl="1" w:tplc="08090003" w:tentative="1">
      <w:start w:val="1"/>
      <w:numFmt w:val="bullet"/>
      <w:lvlText w:val="o"/>
      <w:lvlJc w:val="left"/>
      <w:pPr>
        <w:ind w:left="2228" w:hanging="360"/>
      </w:pPr>
      <w:rPr>
        <w:rFonts w:ascii="Courier New" w:hAnsi="Courier New" w:cs="Courier New" w:hint="default"/>
      </w:rPr>
    </w:lvl>
    <w:lvl w:ilvl="2" w:tplc="08090005" w:tentative="1">
      <w:start w:val="1"/>
      <w:numFmt w:val="bullet"/>
      <w:lvlText w:val=""/>
      <w:lvlJc w:val="left"/>
      <w:pPr>
        <w:ind w:left="2948" w:hanging="360"/>
      </w:pPr>
      <w:rPr>
        <w:rFonts w:ascii="Wingdings" w:hAnsi="Wingdings" w:hint="default"/>
      </w:rPr>
    </w:lvl>
    <w:lvl w:ilvl="3" w:tplc="08090001" w:tentative="1">
      <w:start w:val="1"/>
      <w:numFmt w:val="bullet"/>
      <w:lvlText w:val=""/>
      <w:lvlJc w:val="left"/>
      <w:pPr>
        <w:ind w:left="3668" w:hanging="360"/>
      </w:pPr>
      <w:rPr>
        <w:rFonts w:ascii="Symbol" w:hAnsi="Symbol" w:hint="default"/>
      </w:rPr>
    </w:lvl>
    <w:lvl w:ilvl="4" w:tplc="08090003" w:tentative="1">
      <w:start w:val="1"/>
      <w:numFmt w:val="bullet"/>
      <w:lvlText w:val="o"/>
      <w:lvlJc w:val="left"/>
      <w:pPr>
        <w:ind w:left="4388" w:hanging="360"/>
      </w:pPr>
      <w:rPr>
        <w:rFonts w:ascii="Courier New" w:hAnsi="Courier New" w:cs="Courier New" w:hint="default"/>
      </w:rPr>
    </w:lvl>
    <w:lvl w:ilvl="5" w:tplc="08090005" w:tentative="1">
      <w:start w:val="1"/>
      <w:numFmt w:val="bullet"/>
      <w:lvlText w:val=""/>
      <w:lvlJc w:val="left"/>
      <w:pPr>
        <w:ind w:left="5108" w:hanging="360"/>
      </w:pPr>
      <w:rPr>
        <w:rFonts w:ascii="Wingdings" w:hAnsi="Wingdings" w:hint="default"/>
      </w:rPr>
    </w:lvl>
    <w:lvl w:ilvl="6" w:tplc="08090001" w:tentative="1">
      <w:start w:val="1"/>
      <w:numFmt w:val="bullet"/>
      <w:lvlText w:val=""/>
      <w:lvlJc w:val="left"/>
      <w:pPr>
        <w:ind w:left="5828" w:hanging="360"/>
      </w:pPr>
      <w:rPr>
        <w:rFonts w:ascii="Symbol" w:hAnsi="Symbol" w:hint="default"/>
      </w:rPr>
    </w:lvl>
    <w:lvl w:ilvl="7" w:tplc="08090003" w:tentative="1">
      <w:start w:val="1"/>
      <w:numFmt w:val="bullet"/>
      <w:lvlText w:val="o"/>
      <w:lvlJc w:val="left"/>
      <w:pPr>
        <w:ind w:left="6548" w:hanging="360"/>
      </w:pPr>
      <w:rPr>
        <w:rFonts w:ascii="Courier New" w:hAnsi="Courier New" w:cs="Courier New" w:hint="default"/>
      </w:rPr>
    </w:lvl>
    <w:lvl w:ilvl="8" w:tplc="08090005" w:tentative="1">
      <w:start w:val="1"/>
      <w:numFmt w:val="bullet"/>
      <w:lvlText w:val=""/>
      <w:lvlJc w:val="left"/>
      <w:pPr>
        <w:ind w:left="7268" w:hanging="360"/>
      </w:pPr>
      <w:rPr>
        <w:rFonts w:ascii="Wingdings" w:hAnsi="Wingdings" w:hint="default"/>
      </w:rPr>
    </w:lvl>
  </w:abstractNum>
  <w:abstractNum w:abstractNumId="85" w15:restartNumberingAfterBreak="0">
    <w:nsid w:val="2443A858"/>
    <w:multiLevelType w:val="hybridMultilevel"/>
    <w:tmpl w:val="38CEA4DC"/>
    <w:lvl w:ilvl="0" w:tplc="F3BE51CA">
      <w:start w:val="1"/>
      <w:numFmt w:val="bullet"/>
      <w:lvlText w:val="•"/>
      <w:lvlJc w:val="left"/>
      <w:pPr>
        <w:ind w:left="0" w:firstLine="0"/>
      </w:pPr>
    </w:lvl>
    <w:lvl w:ilvl="1" w:tplc="27228ACA">
      <w:numFmt w:val="decimal"/>
      <w:lvlText w:val=""/>
      <w:lvlJc w:val="left"/>
      <w:pPr>
        <w:ind w:left="0" w:firstLine="0"/>
      </w:pPr>
    </w:lvl>
    <w:lvl w:ilvl="2" w:tplc="0DFA9D6E">
      <w:numFmt w:val="decimal"/>
      <w:lvlText w:val=""/>
      <w:lvlJc w:val="left"/>
      <w:pPr>
        <w:ind w:left="0" w:firstLine="0"/>
      </w:pPr>
    </w:lvl>
    <w:lvl w:ilvl="3" w:tplc="2EB88D78">
      <w:numFmt w:val="decimal"/>
      <w:lvlText w:val=""/>
      <w:lvlJc w:val="left"/>
      <w:pPr>
        <w:ind w:left="0" w:firstLine="0"/>
      </w:pPr>
    </w:lvl>
    <w:lvl w:ilvl="4" w:tplc="C30649A0">
      <w:numFmt w:val="decimal"/>
      <w:lvlText w:val=""/>
      <w:lvlJc w:val="left"/>
      <w:pPr>
        <w:ind w:left="0" w:firstLine="0"/>
      </w:pPr>
    </w:lvl>
    <w:lvl w:ilvl="5" w:tplc="F3EE9132">
      <w:numFmt w:val="decimal"/>
      <w:lvlText w:val=""/>
      <w:lvlJc w:val="left"/>
      <w:pPr>
        <w:ind w:left="0" w:firstLine="0"/>
      </w:pPr>
    </w:lvl>
    <w:lvl w:ilvl="6" w:tplc="CC84981A">
      <w:numFmt w:val="decimal"/>
      <w:lvlText w:val=""/>
      <w:lvlJc w:val="left"/>
      <w:pPr>
        <w:ind w:left="0" w:firstLine="0"/>
      </w:pPr>
    </w:lvl>
    <w:lvl w:ilvl="7" w:tplc="91F616CC">
      <w:numFmt w:val="decimal"/>
      <w:lvlText w:val=""/>
      <w:lvlJc w:val="left"/>
      <w:pPr>
        <w:ind w:left="0" w:firstLine="0"/>
      </w:pPr>
    </w:lvl>
    <w:lvl w:ilvl="8" w:tplc="0EA65B34">
      <w:numFmt w:val="decimal"/>
      <w:lvlText w:val=""/>
      <w:lvlJc w:val="left"/>
      <w:pPr>
        <w:ind w:left="0" w:firstLine="0"/>
      </w:pPr>
    </w:lvl>
  </w:abstractNum>
  <w:abstractNum w:abstractNumId="86" w15:restartNumberingAfterBreak="0">
    <w:nsid w:val="244E0BD9"/>
    <w:multiLevelType w:val="multilevel"/>
    <w:tmpl w:val="B224C5F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7097"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b w:val="0"/>
        <w:strike w:val="0"/>
        <w:color w:val="000000" w:themeColor="text1"/>
        <w:sz w:val="24"/>
        <w:szCs w:val="24"/>
      </w:rPr>
    </w:lvl>
    <w:lvl w:ilvl="3">
      <w:start w:val="1"/>
      <w:numFmt w:val="decimal"/>
      <w:pStyle w:val="Heading4"/>
      <w:lvlText w:val="%1.%2.%3.%4"/>
      <w:lvlJc w:val="left"/>
      <w:pPr>
        <w:ind w:left="864" w:hanging="864"/>
      </w:pPr>
      <w:rPr>
        <w:rFonts w:hint="default"/>
        <w:b w:val="0"/>
        <w:color w:val="000000" w:themeColor="text1"/>
        <w:sz w:val="24"/>
        <w:szCs w:val="24"/>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7" w15:restartNumberingAfterBreak="0">
    <w:nsid w:val="24C95F7E"/>
    <w:multiLevelType w:val="multilevel"/>
    <w:tmpl w:val="3EE8B9F8"/>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88" w15:restartNumberingAfterBreak="0">
    <w:nsid w:val="24D1241C"/>
    <w:multiLevelType w:val="hybridMultilevel"/>
    <w:tmpl w:val="B9B62EC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89" w15:restartNumberingAfterBreak="0">
    <w:nsid w:val="256377C1"/>
    <w:multiLevelType w:val="hybridMultilevel"/>
    <w:tmpl w:val="124A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25722D2A"/>
    <w:multiLevelType w:val="hybridMultilevel"/>
    <w:tmpl w:val="C1627F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1" w15:restartNumberingAfterBreak="0">
    <w:nsid w:val="26EC77FF"/>
    <w:multiLevelType w:val="hybridMultilevel"/>
    <w:tmpl w:val="90847B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2" w15:restartNumberingAfterBreak="0">
    <w:nsid w:val="27285BF7"/>
    <w:multiLevelType w:val="hybridMultilevel"/>
    <w:tmpl w:val="C3DE9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275050EE"/>
    <w:multiLevelType w:val="multilevel"/>
    <w:tmpl w:val="E1A2A66A"/>
    <w:lvl w:ilvl="0">
      <w:numFmt w:val="bullet"/>
      <w:lvlText w:val="•"/>
      <w:lvlJc w:val="left"/>
      <w:pPr>
        <w:ind w:left="432" w:hanging="432"/>
      </w:pPr>
      <w:rPr>
        <w:rFonts w:ascii="Arial" w:eastAsia="Times New Roman" w:hAnsi="Arial" w:cs="Arial" w:hint="default"/>
      </w:rPr>
    </w:lvl>
    <w:lvl w:ilvl="1">
      <w:start w:val="1"/>
      <w:numFmt w:val="decimal"/>
      <w:lvlText w:val="%1.%2"/>
      <w:lvlJc w:val="left"/>
      <w:pPr>
        <w:ind w:left="576" w:hanging="576"/>
      </w:pPr>
      <w:rPr>
        <w:rFonts w:hint="default"/>
        <w:b w:val="0"/>
        <w:i w:val="0"/>
        <w:color w:val="7C2855" w:themeColor="background2"/>
      </w:rPr>
    </w:lvl>
    <w:lvl w:ilvl="2">
      <w:numFmt w:val="bullet"/>
      <w:lvlText w:val="•"/>
      <w:lvlJc w:val="left"/>
      <w:pPr>
        <w:ind w:left="720" w:hanging="720"/>
      </w:pPr>
      <w:rPr>
        <w:rFonts w:ascii="Arial" w:eastAsia="Times New Roman" w:hAnsi="Arial" w:cs="Arial" w:hint="default"/>
        <w:b w:val="0"/>
        <w:i w:val="0"/>
        <w:color w:val="auto"/>
        <w:sz w:val="24"/>
        <w:szCs w:val="24"/>
      </w:rPr>
    </w:lvl>
    <w:lvl w:ilvl="3">
      <w:start w:val="1"/>
      <w:numFmt w:val="decimal"/>
      <w:lvlText w:val="%1.%2.%3.%4"/>
      <w:lvlJc w:val="left"/>
      <w:pPr>
        <w:ind w:left="864" w:hanging="864"/>
      </w:pPr>
      <w:rPr>
        <w:rFonts w:hint="default"/>
        <w:b w:val="0"/>
        <w:sz w:val="24"/>
        <w:szCs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4" w15:restartNumberingAfterBreak="0">
    <w:nsid w:val="27EA03AD"/>
    <w:multiLevelType w:val="hybridMultilevel"/>
    <w:tmpl w:val="71BE1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27EA08E8"/>
    <w:multiLevelType w:val="hybridMultilevel"/>
    <w:tmpl w:val="CAD4D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27FF2ABE"/>
    <w:multiLevelType w:val="hybridMultilevel"/>
    <w:tmpl w:val="F59CEC32"/>
    <w:lvl w:ilvl="0" w:tplc="E73CA98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7" w15:restartNumberingAfterBreak="0">
    <w:nsid w:val="287A193C"/>
    <w:multiLevelType w:val="hybridMultilevel"/>
    <w:tmpl w:val="7896B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28DC2AB1"/>
    <w:multiLevelType w:val="hybridMultilevel"/>
    <w:tmpl w:val="FC841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2904421A"/>
    <w:multiLevelType w:val="hybridMultilevel"/>
    <w:tmpl w:val="5578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29640E25"/>
    <w:multiLevelType w:val="hybridMultilevel"/>
    <w:tmpl w:val="68B674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296D0136"/>
    <w:multiLevelType w:val="hybridMultilevel"/>
    <w:tmpl w:val="6882B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2AB34EE1"/>
    <w:multiLevelType w:val="hybridMultilevel"/>
    <w:tmpl w:val="64CC4E4E"/>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15:restartNumberingAfterBreak="0">
    <w:nsid w:val="2B692346"/>
    <w:multiLevelType w:val="hybridMultilevel"/>
    <w:tmpl w:val="F8E05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2B952130"/>
    <w:multiLevelType w:val="hybridMultilevel"/>
    <w:tmpl w:val="B00E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2BA76895"/>
    <w:multiLevelType w:val="hybridMultilevel"/>
    <w:tmpl w:val="F42CE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2BC27DC0"/>
    <w:multiLevelType w:val="hybridMultilevel"/>
    <w:tmpl w:val="E428917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7" w15:restartNumberingAfterBreak="0">
    <w:nsid w:val="2BD30BD8"/>
    <w:multiLevelType w:val="hybridMultilevel"/>
    <w:tmpl w:val="256C1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2C4A4649"/>
    <w:multiLevelType w:val="hybridMultilevel"/>
    <w:tmpl w:val="688425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2D1D5AE9"/>
    <w:multiLevelType w:val="hybridMultilevel"/>
    <w:tmpl w:val="66CC022E"/>
    <w:lvl w:ilvl="0" w:tplc="153C05C4">
      <w:start w:val="1"/>
      <w:numFmt w:val="bullet"/>
      <w:lvlText w:val="•"/>
      <w:lvlJc w:val="left"/>
      <w:pPr>
        <w:ind w:left="0" w:firstLine="0"/>
      </w:pPr>
    </w:lvl>
    <w:lvl w:ilvl="1" w:tplc="894CA35C">
      <w:numFmt w:val="decimal"/>
      <w:lvlText w:val=""/>
      <w:lvlJc w:val="left"/>
      <w:pPr>
        <w:ind w:left="0" w:firstLine="0"/>
      </w:pPr>
    </w:lvl>
    <w:lvl w:ilvl="2" w:tplc="7B6A02A4">
      <w:numFmt w:val="decimal"/>
      <w:lvlText w:val=""/>
      <w:lvlJc w:val="left"/>
      <w:pPr>
        <w:ind w:left="0" w:firstLine="0"/>
      </w:pPr>
    </w:lvl>
    <w:lvl w:ilvl="3" w:tplc="A6D48886">
      <w:numFmt w:val="decimal"/>
      <w:lvlText w:val=""/>
      <w:lvlJc w:val="left"/>
      <w:pPr>
        <w:ind w:left="0" w:firstLine="0"/>
      </w:pPr>
    </w:lvl>
    <w:lvl w:ilvl="4" w:tplc="E736B93A">
      <w:numFmt w:val="decimal"/>
      <w:lvlText w:val=""/>
      <w:lvlJc w:val="left"/>
      <w:pPr>
        <w:ind w:left="0" w:firstLine="0"/>
      </w:pPr>
    </w:lvl>
    <w:lvl w:ilvl="5" w:tplc="6478B2F0">
      <w:numFmt w:val="decimal"/>
      <w:lvlText w:val=""/>
      <w:lvlJc w:val="left"/>
      <w:pPr>
        <w:ind w:left="0" w:firstLine="0"/>
      </w:pPr>
    </w:lvl>
    <w:lvl w:ilvl="6" w:tplc="35FC7D4A">
      <w:numFmt w:val="decimal"/>
      <w:lvlText w:val=""/>
      <w:lvlJc w:val="left"/>
      <w:pPr>
        <w:ind w:left="0" w:firstLine="0"/>
      </w:pPr>
    </w:lvl>
    <w:lvl w:ilvl="7" w:tplc="086A1ECC">
      <w:numFmt w:val="decimal"/>
      <w:lvlText w:val=""/>
      <w:lvlJc w:val="left"/>
      <w:pPr>
        <w:ind w:left="0" w:firstLine="0"/>
      </w:pPr>
    </w:lvl>
    <w:lvl w:ilvl="8" w:tplc="D1462330">
      <w:numFmt w:val="decimal"/>
      <w:lvlText w:val=""/>
      <w:lvlJc w:val="left"/>
      <w:pPr>
        <w:ind w:left="0" w:firstLine="0"/>
      </w:pPr>
    </w:lvl>
  </w:abstractNum>
  <w:abstractNum w:abstractNumId="110" w15:restartNumberingAfterBreak="0">
    <w:nsid w:val="2D444EE9"/>
    <w:multiLevelType w:val="hybridMultilevel"/>
    <w:tmpl w:val="7494E572"/>
    <w:lvl w:ilvl="0" w:tplc="F1F0400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1" w15:restartNumberingAfterBreak="0">
    <w:nsid w:val="2EF8096F"/>
    <w:multiLevelType w:val="hybridMultilevel"/>
    <w:tmpl w:val="1862E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2F517BCC"/>
    <w:multiLevelType w:val="hybridMultilevel"/>
    <w:tmpl w:val="45564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2FC60AE0"/>
    <w:multiLevelType w:val="hybridMultilevel"/>
    <w:tmpl w:val="44920450"/>
    <w:lvl w:ilvl="0" w:tplc="C8B0B306">
      <w:start w:val="1"/>
      <w:numFmt w:val="decimal"/>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31C22C98"/>
    <w:multiLevelType w:val="multilevel"/>
    <w:tmpl w:val="8CD2DAC4"/>
    <w:lvl w:ilvl="0">
      <w:start w:val="1"/>
      <w:numFmt w:val="decimal"/>
      <w:lvlText w:val="%1."/>
      <w:lvlJc w:val="left"/>
      <w:pPr>
        <w:ind w:left="1800" w:hanging="360"/>
      </w:pPr>
      <w:rPr>
        <w:rFonts w:hint="default"/>
      </w:rPr>
    </w:lvl>
    <w:lvl w:ilvl="1">
      <w:start w:val="1"/>
      <w:numFmt w:val="decimal"/>
      <w:isLgl/>
      <w:lvlText w:val="%1.%2"/>
      <w:lvlJc w:val="left"/>
      <w:pPr>
        <w:ind w:left="1845" w:hanging="40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115" w15:restartNumberingAfterBreak="0">
    <w:nsid w:val="32B3499F"/>
    <w:multiLevelType w:val="hybridMultilevel"/>
    <w:tmpl w:val="8026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330E55AB"/>
    <w:multiLevelType w:val="hybridMultilevel"/>
    <w:tmpl w:val="45DEB658"/>
    <w:lvl w:ilvl="0" w:tplc="80022B9C">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17" w15:restartNumberingAfterBreak="0">
    <w:nsid w:val="334C3515"/>
    <w:multiLevelType w:val="hybridMultilevel"/>
    <w:tmpl w:val="5E5C5DB8"/>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18" w15:restartNumberingAfterBreak="0">
    <w:nsid w:val="340C76CE"/>
    <w:multiLevelType w:val="hybridMultilevel"/>
    <w:tmpl w:val="22101932"/>
    <w:lvl w:ilvl="0" w:tplc="91F4E7A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19" w15:restartNumberingAfterBreak="0">
    <w:nsid w:val="3506658F"/>
    <w:multiLevelType w:val="hybridMultilevel"/>
    <w:tmpl w:val="EE84E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364704DD"/>
    <w:multiLevelType w:val="hybridMultilevel"/>
    <w:tmpl w:val="79C4FAC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21" w15:restartNumberingAfterBreak="0">
    <w:nsid w:val="366F0F64"/>
    <w:multiLevelType w:val="hybridMultilevel"/>
    <w:tmpl w:val="3412E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36BA32B5"/>
    <w:multiLevelType w:val="hybridMultilevel"/>
    <w:tmpl w:val="5C10659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3895656C"/>
    <w:multiLevelType w:val="hybridMultilevel"/>
    <w:tmpl w:val="3F46D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38EF57C9"/>
    <w:multiLevelType w:val="hybridMultilevel"/>
    <w:tmpl w:val="E27E841C"/>
    <w:lvl w:ilvl="0" w:tplc="FFFFFFF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9C91DDD"/>
    <w:multiLevelType w:val="hybridMultilevel"/>
    <w:tmpl w:val="A8AA0CA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6" w15:restartNumberingAfterBreak="0">
    <w:nsid w:val="39EC43F4"/>
    <w:multiLevelType w:val="hybridMultilevel"/>
    <w:tmpl w:val="30548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AE22F61"/>
    <w:multiLevelType w:val="hybridMultilevel"/>
    <w:tmpl w:val="A51E06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8" w15:restartNumberingAfterBreak="0">
    <w:nsid w:val="3CED09F5"/>
    <w:multiLevelType w:val="multilevel"/>
    <w:tmpl w:val="5A7A86E8"/>
    <w:lvl w:ilvl="0">
      <w:start w:val="1"/>
      <w:numFmt w:val="decimal"/>
      <w:pStyle w:val="NHSCBLevel1"/>
      <w:isLgl/>
      <w:lvlText w:val="%1"/>
      <w:lvlJc w:val="left"/>
      <w:pPr>
        <w:tabs>
          <w:tab w:val="num" w:pos="680"/>
        </w:tabs>
        <w:ind w:left="680" w:hanging="680"/>
      </w:pPr>
      <w:rPr>
        <w:rFonts w:ascii="Arial Bold" w:hAnsi="Arial Bold" w:hint="default"/>
        <w:b/>
        <w:i w:val="0"/>
        <w:caps w:val="0"/>
        <w:strike w:val="0"/>
        <w:dstrike w:val="0"/>
        <w:vanish w:val="0"/>
        <w:color w:val="000000"/>
        <w:sz w:val="28"/>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HSCBLevel2-incontents"/>
      <w:isLgl/>
      <w:lvlText w:val="%1.%2"/>
      <w:lvlJc w:val="left"/>
      <w:pPr>
        <w:tabs>
          <w:tab w:val="num" w:pos="1418"/>
        </w:tabs>
        <w:ind w:left="1418" w:hanging="738"/>
      </w:pPr>
      <w:rPr>
        <w:rFonts w:ascii="Arial" w:hAnsi="Arial" w:hint="default"/>
        <w:b w:val="0"/>
        <w:bCs w:val="0"/>
        <w:i w:val="0"/>
        <w:iCs w:val="0"/>
        <w:caps w:val="0"/>
        <w:smallCaps w:val="0"/>
        <w:strike w:val="0"/>
        <w:dstrike w:val="0"/>
        <w:vanish w:val="0"/>
        <w:color w:val="auto"/>
        <w:spacing w:val="0"/>
        <w:w w:val="10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HSCBLevel3"/>
      <w:isLgl/>
      <w:lvlText w:val="%1.%2.%3"/>
      <w:lvlJc w:val="left"/>
      <w:pPr>
        <w:tabs>
          <w:tab w:val="num" w:pos="2957"/>
        </w:tabs>
        <w:ind w:left="2957" w:hanging="124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HSCBLevel4"/>
      <w:isLgl/>
      <w:lvlText w:val="%1.%2.%3.%4"/>
      <w:lvlJc w:val="left"/>
      <w:pPr>
        <w:tabs>
          <w:tab w:val="num" w:pos="1664"/>
        </w:tabs>
        <w:ind w:left="1664" w:hanging="13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HSCBLevel5"/>
      <w:isLgl/>
      <w:lvlText w:val="%1.%2.%3.%4.%5"/>
      <w:lvlJc w:val="left"/>
      <w:pPr>
        <w:tabs>
          <w:tab w:val="num" w:pos="5387"/>
        </w:tabs>
        <w:ind w:left="5387" w:hanging="141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isLgl/>
      <w:lvlText w:val="%1.%2.%3.%4.%5.%6"/>
      <w:lvlJc w:val="left"/>
      <w:pPr>
        <w:tabs>
          <w:tab w:val="num" w:pos="4743"/>
        </w:tabs>
        <w:ind w:left="4743" w:hanging="1080"/>
      </w:pPr>
      <w:rPr>
        <w:rFonts w:hint="default"/>
      </w:rPr>
    </w:lvl>
    <w:lvl w:ilvl="6">
      <w:start w:val="1"/>
      <w:numFmt w:val="decimal"/>
      <w:isLgl/>
      <w:lvlText w:val="%1.%2.%3.%4.%5.%6.%7"/>
      <w:lvlJc w:val="left"/>
      <w:pPr>
        <w:tabs>
          <w:tab w:val="num" w:pos="5463"/>
        </w:tabs>
        <w:ind w:left="5463" w:hanging="1080"/>
      </w:pPr>
      <w:rPr>
        <w:rFonts w:hint="default"/>
      </w:rPr>
    </w:lvl>
    <w:lvl w:ilvl="7">
      <w:start w:val="1"/>
      <w:numFmt w:val="decimal"/>
      <w:isLgl/>
      <w:lvlText w:val="%1.%2.%3.%4.%5.%6.%7.%8"/>
      <w:lvlJc w:val="left"/>
      <w:pPr>
        <w:tabs>
          <w:tab w:val="num" w:pos="6543"/>
        </w:tabs>
        <w:ind w:left="6543" w:hanging="1440"/>
      </w:pPr>
      <w:rPr>
        <w:rFonts w:hint="default"/>
      </w:rPr>
    </w:lvl>
    <w:lvl w:ilvl="8">
      <w:start w:val="1"/>
      <w:numFmt w:val="decimal"/>
      <w:isLgl/>
      <w:lvlText w:val="%1.%2.%3.%4.%5.%6.%7.%8.%9"/>
      <w:lvlJc w:val="left"/>
      <w:pPr>
        <w:tabs>
          <w:tab w:val="num" w:pos="7263"/>
        </w:tabs>
        <w:ind w:left="7263" w:hanging="1440"/>
      </w:pPr>
      <w:rPr>
        <w:rFonts w:hint="default"/>
      </w:rPr>
    </w:lvl>
  </w:abstractNum>
  <w:abstractNum w:abstractNumId="129" w15:restartNumberingAfterBreak="0">
    <w:nsid w:val="3DF94398"/>
    <w:multiLevelType w:val="hybridMultilevel"/>
    <w:tmpl w:val="9E64ED1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3ECB42D1"/>
    <w:multiLevelType w:val="hybridMultilevel"/>
    <w:tmpl w:val="10749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405C5624"/>
    <w:multiLevelType w:val="hybridMultilevel"/>
    <w:tmpl w:val="AEEE670E"/>
    <w:lvl w:ilvl="0" w:tplc="E73CA98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2" w15:restartNumberingAfterBreak="0">
    <w:nsid w:val="40C576D0"/>
    <w:multiLevelType w:val="hybridMultilevel"/>
    <w:tmpl w:val="DA707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4112235B"/>
    <w:multiLevelType w:val="hybridMultilevel"/>
    <w:tmpl w:val="5FEA0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41D00603"/>
    <w:multiLevelType w:val="hybridMultilevel"/>
    <w:tmpl w:val="85E874DE"/>
    <w:lvl w:ilvl="0" w:tplc="F73C7BD6">
      <w:start w:val="1"/>
      <w:numFmt w:val="lowerLetter"/>
      <w:lvlText w:val="%1)"/>
      <w:lvlJc w:val="left"/>
      <w:pPr>
        <w:ind w:left="360" w:hanging="360"/>
      </w:pPr>
      <w:rPr>
        <w:rFonts w:ascii="Arial"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5" w15:restartNumberingAfterBreak="0">
    <w:nsid w:val="41DA1C15"/>
    <w:multiLevelType w:val="hybridMultilevel"/>
    <w:tmpl w:val="589E353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6" w15:restartNumberingAfterBreak="0">
    <w:nsid w:val="42AF6954"/>
    <w:multiLevelType w:val="hybridMultilevel"/>
    <w:tmpl w:val="36F6E9B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37" w15:restartNumberingAfterBreak="0">
    <w:nsid w:val="42CD6AA9"/>
    <w:multiLevelType w:val="hybridMultilevel"/>
    <w:tmpl w:val="5944185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38" w15:restartNumberingAfterBreak="0">
    <w:nsid w:val="43BC36DE"/>
    <w:multiLevelType w:val="hybridMultilevel"/>
    <w:tmpl w:val="3CE8FB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9" w15:restartNumberingAfterBreak="0">
    <w:nsid w:val="467A7AC7"/>
    <w:multiLevelType w:val="hybridMultilevel"/>
    <w:tmpl w:val="D07CDF46"/>
    <w:lvl w:ilvl="0" w:tplc="08090001">
      <w:start w:val="1"/>
      <w:numFmt w:val="bullet"/>
      <w:lvlText w:val=""/>
      <w:lvlJc w:val="left"/>
      <w:pPr>
        <w:ind w:left="1485" w:hanging="360"/>
      </w:pPr>
      <w:rPr>
        <w:rFonts w:ascii="Symbol" w:hAnsi="Symbol" w:hint="default"/>
      </w:rPr>
    </w:lvl>
    <w:lvl w:ilvl="1" w:tplc="08090003">
      <w:start w:val="1"/>
      <w:numFmt w:val="bullet"/>
      <w:lvlText w:val="o"/>
      <w:lvlJc w:val="left"/>
      <w:pPr>
        <w:ind w:left="2205" w:hanging="360"/>
      </w:pPr>
      <w:rPr>
        <w:rFonts w:ascii="Courier New" w:hAnsi="Courier New" w:cs="Courier New" w:hint="default"/>
      </w:rPr>
    </w:lvl>
    <w:lvl w:ilvl="2" w:tplc="08090005">
      <w:start w:val="1"/>
      <w:numFmt w:val="bullet"/>
      <w:lvlText w:val=""/>
      <w:lvlJc w:val="left"/>
      <w:pPr>
        <w:ind w:left="2925" w:hanging="360"/>
      </w:pPr>
      <w:rPr>
        <w:rFonts w:ascii="Wingdings" w:hAnsi="Wingdings" w:hint="default"/>
      </w:rPr>
    </w:lvl>
    <w:lvl w:ilvl="3" w:tplc="08090001">
      <w:start w:val="1"/>
      <w:numFmt w:val="bullet"/>
      <w:lvlText w:val=""/>
      <w:lvlJc w:val="left"/>
      <w:pPr>
        <w:ind w:left="3645" w:hanging="360"/>
      </w:pPr>
      <w:rPr>
        <w:rFonts w:ascii="Symbol" w:hAnsi="Symbol" w:hint="default"/>
      </w:rPr>
    </w:lvl>
    <w:lvl w:ilvl="4" w:tplc="08090003">
      <w:start w:val="1"/>
      <w:numFmt w:val="bullet"/>
      <w:lvlText w:val="o"/>
      <w:lvlJc w:val="left"/>
      <w:pPr>
        <w:ind w:left="4365" w:hanging="360"/>
      </w:pPr>
      <w:rPr>
        <w:rFonts w:ascii="Courier New" w:hAnsi="Courier New" w:cs="Courier New" w:hint="default"/>
      </w:rPr>
    </w:lvl>
    <w:lvl w:ilvl="5" w:tplc="08090005">
      <w:start w:val="1"/>
      <w:numFmt w:val="bullet"/>
      <w:lvlText w:val=""/>
      <w:lvlJc w:val="left"/>
      <w:pPr>
        <w:ind w:left="5085" w:hanging="360"/>
      </w:pPr>
      <w:rPr>
        <w:rFonts w:ascii="Wingdings" w:hAnsi="Wingdings" w:hint="default"/>
      </w:rPr>
    </w:lvl>
    <w:lvl w:ilvl="6" w:tplc="08090001">
      <w:start w:val="1"/>
      <w:numFmt w:val="bullet"/>
      <w:lvlText w:val=""/>
      <w:lvlJc w:val="left"/>
      <w:pPr>
        <w:ind w:left="5805" w:hanging="360"/>
      </w:pPr>
      <w:rPr>
        <w:rFonts w:ascii="Symbol" w:hAnsi="Symbol" w:hint="default"/>
      </w:rPr>
    </w:lvl>
    <w:lvl w:ilvl="7" w:tplc="08090003">
      <w:start w:val="1"/>
      <w:numFmt w:val="bullet"/>
      <w:lvlText w:val="o"/>
      <w:lvlJc w:val="left"/>
      <w:pPr>
        <w:ind w:left="6525" w:hanging="360"/>
      </w:pPr>
      <w:rPr>
        <w:rFonts w:ascii="Courier New" w:hAnsi="Courier New" w:cs="Courier New" w:hint="default"/>
      </w:rPr>
    </w:lvl>
    <w:lvl w:ilvl="8" w:tplc="08090005">
      <w:start w:val="1"/>
      <w:numFmt w:val="bullet"/>
      <w:lvlText w:val=""/>
      <w:lvlJc w:val="left"/>
      <w:pPr>
        <w:ind w:left="7245" w:hanging="360"/>
      </w:pPr>
      <w:rPr>
        <w:rFonts w:ascii="Wingdings" w:hAnsi="Wingdings" w:hint="default"/>
      </w:rPr>
    </w:lvl>
  </w:abstractNum>
  <w:abstractNum w:abstractNumId="140" w15:restartNumberingAfterBreak="0">
    <w:nsid w:val="469575C5"/>
    <w:multiLevelType w:val="hybridMultilevel"/>
    <w:tmpl w:val="8856B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46FF7225"/>
    <w:multiLevelType w:val="hybridMultilevel"/>
    <w:tmpl w:val="8F60D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471A7ED3"/>
    <w:multiLevelType w:val="hybridMultilevel"/>
    <w:tmpl w:val="4D0ACE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3" w15:restartNumberingAfterBreak="0">
    <w:nsid w:val="472D5E23"/>
    <w:multiLevelType w:val="hybridMultilevel"/>
    <w:tmpl w:val="3A567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4742747B"/>
    <w:multiLevelType w:val="hybridMultilevel"/>
    <w:tmpl w:val="B8181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7A128AE"/>
    <w:multiLevelType w:val="hybridMultilevel"/>
    <w:tmpl w:val="9572C2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6" w15:restartNumberingAfterBreak="0">
    <w:nsid w:val="480E144A"/>
    <w:multiLevelType w:val="hybridMultilevel"/>
    <w:tmpl w:val="FF40E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48180FF9"/>
    <w:multiLevelType w:val="hybridMultilevel"/>
    <w:tmpl w:val="EC9A9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48AA7482"/>
    <w:multiLevelType w:val="hybridMultilevel"/>
    <w:tmpl w:val="C5CEE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48BF1A53"/>
    <w:multiLevelType w:val="hybridMultilevel"/>
    <w:tmpl w:val="1DCEC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9103BC3"/>
    <w:multiLevelType w:val="hybridMultilevel"/>
    <w:tmpl w:val="AC88693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1" w15:restartNumberingAfterBreak="0">
    <w:nsid w:val="4AEF7844"/>
    <w:multiLevelType w:val="hybridMultilevel"/>
    <w:tmpl w:val="24F085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2" w15:restartNumberingAfterBreak="0">
    <w:nsid w:val="4B31661F"/>
    <w:multiLevelType w:val="hybridMultilevel"/>
    <w:tmpl w:val="1C30A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4C4F288D"/>
    <w:multiLevelType w:val="hybridMultilevel"/>
    <w:tmpl w:val="CA141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C60384B"/>
    <w:multiLevelType w:val="hybridMultilevel"/>
    <w:tmpl w:val="8AFA0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4C8C63DE"/>
    <w:multiLevelType w:val="hybridMultilevel"/>
    <w:tmpl w:val="6F86FE9C"/>
    <w:lvl w:ilvl="0" w:tplc="D4C88E7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4C906C9F"/>
    <w:multiLevelType w:val="hybridMultilevel"/>
    <w:tmpl w:val="48C2B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4CB21E29"/>
    <w:multiLevelType w:val="hybridMultilevel"/>
    <w:tmpl w:val="7FD0B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CD5567D"/>
    <w:multiLevelType w:val="hybridMultilevel"/>
    <w:tmpl w:val="92704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4D673445"/>
    <w:multiLevelType w:val="hybridMultilevel"/>
    <w:tmpl w:val="E88E17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0" w15:restartNumberingAfterBreak="0">
    <w:nsid w:val="4D893D60"/>
    <w:multiLevelType w:val="hybridMultilevel"/>
    <w:tmpl w:val="B802D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4E567B0B"/>
    <w:multiLevelType w:val="multilevel"/>
    <w:tmpl w:val="329A9B08"/>
    <w:lvl w:ilvl="0">
      <w:start w:val="6"/>
      <w:numFmt w:val="decimal"/>
      <w:lvlText w:val="%1"/>
      <w:lvlJc w:val="left"/>
      <w:pPr>
        <w:ind w:left="384" w:hanging="384"/>
      </w:pPr>
      <w:rPr>
        <w:rFonts w:hint="default"/>
      </w:rPr>
    </w:lvl>
    <w:lvl w:ilvl="1">
      <w:start w:val="3"/>
      <w:numFmt w:val="decimal"/>
      <w:lvlText w:val="%1.%2"/>
      <w:lvlJc w:val="left"/>
      <w:pPr>
        <w:ind w:left="1430" w:hanging="720"/>
      </w:pPr>
      <w:rPr>
        <w:rFonts w:hint="default"/>
      </w:rPr>
    </w:lvl>
    <w:lvl w:ilvl="2">
      <w:start w:val="1"/>
      <w:numFmt w:val="decimal"/>
      <w:lvlText w:val="%1.%2.%3"/>
      <w:lvlJc w:val="left"/>
      <w:pPr>
        <w:ind w:left="2139"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62" w15:restartNumberingAfterBreak="0">
    <w:nsid w:val="4ECB1A68"/>
    <w:multiLevelType w:val="hybridMultilevel"/>
    <w:tmpl w:val="8A4E6B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4F011363"/>
    <w:multiLevelType w:val="hybridMultilevel"/>
    <w:tmpl w:val="F4BA2EB6"/>
    <w:lvl w:ilvl="0" w:tplc="08090001">
      <w:start w:val="1"/>
      <w:numFmt w:val="bullet"/>
      <w:lvlText w:val=""/>
      <w:lvlJc w:val="left"/>
      <w:pPr>
        <w:ind w:left="1152" w:hanging="360"/>
      </w:pPr>
      <w:rPr>
        <w:rFonts w:ascii="Symbol" w:hAnsi="Symbol" w:hint="default"/>
      </w:rPr>
    </w:lvl>
    <w:lvl w:ilvl="1" w:tplc="08090003">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64" w15:restartNumberingAfterBreak="0">
    <w:nsid w:val="4F4B26E3"/>
    <w:multiLevelType w:val="hybridMultilevel"/>
    <w:tmpl w:val="7BE6A0DA"/>
    <w:lvl w:ilvl="0" w:tplc="44C6E086">
      <w:start w:val="1"/>
      <w:numFmt w:val="bullet"/>
      <w:lvlText w:val="•"/>
      <w:lvlJc w:val="left"/>
      <w:pPr>
        <w:ind w:left="0" w:firstLine="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5" w15:restartNumberingAfterBreak="0">
    <w:nsid w:val="51555DFC"/>
    <w:multiLevelType w:val="hybridMultilevel"/>
    <w:tmpl w:val="3AEA9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52485F37"/>
    <w:multiLevelType w:val="hybridMultilevel"/>
    <w:tmpl w:val="F3803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52C3499E"/>
    <w:multiLevelType w:val="hybridMultilevel"/>
    <w:tmpl w:val="DB8C4598"/>
    <w:lvl w:ilvl="0" w:tplc="D8584178">
      <w:start w:val="13"/>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68" w15:restartNumberingAfterBreak="0">
    <w:nsid w:val="536D4E15"/>
    <w:multiLevelType w:val="hybridMultilevel"/>
    <w:tmpl w:val="7AAA6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5414409F"/>
    <w:multiLevelType w:val="hybridMultilevel"/>
    <w:tmpl w:val="01600B50"/>
    <w:lvl w:ilvl="0" w:tplc="99DE46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0" w15:restartNumberingAfterBreak="0">
    <w:nsid w:val="54865C2C"/>
    <w:multiLevelType w:val="hybridMultilevel"/>
    <w:tmpl w:val="2408B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54C84AE1"/>
    <w:multiLevelType w:val="hybridMultilevel"/>
    <w:tmpl w:val="98044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55C77DA8"/>
    <w:multiLevelType w:val="hybridMultilevel"/>
    <w:tmpl w:val="99CCC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57400A02"/>
    <w:multiLevelType w:val="hybridMultilevel"/>
    <w:tmpl w:val="64406C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4" w15:restartNumberingAfterBreak="0">
    <w:nsid w:val="57E35882"/>
    <w:multiLevelType w:val="hybridMultilevel"/>
    <w:tmpl w:val="5414F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57E529B5"/>
    <w:multiLevelType w:val="hybridMultilevel"/>
    <w:tmpl w:val="99E09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58447FD6"/>
    <w:multiLevelType w:val="hybridMultilevel"/>
    <w:tmpl w:val="0DF49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59027D3A"/>
    <w:multiLevelType w:val="hybridMultilevel"/>
    <w:tmpl w:val="F7ECD378"/>
    <w:lvl w:ilvl="0" w:tplc="BF7A62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15:restartNumberingAfterBreak="0">
    <w:nsid w:val="59142C86"/>
    <w:multiLevelType w:val="hybridMultilevel"/>
    <w:tmpl w:val="DC4E50C2"/>
    <w:lvl w:ilvl="0" w:tplc="54BE74BC">
      <w:start w:val="1"/>
      <w:numFmt w:val="bullet"/>
      <w:pStyle w:val="DHSecondaryHeadingOne"/>
      <w:lvlText w:val=""/>
      <w:lvlJc w:val="left"/>
      <w:pPr>
        <w:tabs>
          <w:tab w:val="num" w:pos="360"/>
        </w:tabs>
        <w:ind w:left="360" w:hanging="360"/>
      </w:pPr>
      <w:rPr>
        <w:rFonts w:ascii="Symbol" w:hAnsi="Symbol" w:hint="default"/>
        <w:color w:val="00009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59623B62"/>
    <w:multiLevelType w:val="hybridMultilevel"/>
    <w:tmpl w:val="9ED6F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5A7F0D5D"/>
    <w:multiLevelType w:val="hybridMultilevel"/>
    <w:tmpl w:val="E4EE23A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1" w15:restartNumberingAfterBreak="0">
    <w:nsid w:val="5A9B2637"/>
    <w:multiLevelType w:val="hybridMultilevel"/>
    <w:tmpl w:val="69B6E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5AFB16AE"/>
    <w:multiLevelType w:val="hybridMultilevel"/>
    <w:tmpl w:val="6FB62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5BA5064C"/>
    <w:multiLevelType w:val="hybridMultilevel"/>
    <w:tmpl w:val="7A625CDC"/>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84" w15:restartNumberingAfterBreak="0">
    <w:nsid w:val="5C514CA4"/>
    <w:multiLevelType w:val="hybridMultilevel"/>
    <w:tmpl w:val="F8AA36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5" w15:restartNumberingAfterBreak="0">
    <w:nsid w:val="5C6B3C8C"/>
    <w:multiLevelType w:val="hybridMultilevel"/>
    <w:tmpl w:val="152A3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5C76725A"/>
    <w:multiLevelType w:val="hybridMultilevel"/>
    <w:tmpl w:val="866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5D485C42"/>
    <w:multiLevelType w:val="multilevel"/>
    <w:tmpl w:val="FA623E42"/>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color w:val="7C2855" w:themeColor="background2"/>
        <w:sz w:val="24"/>
      </w:rPr>
    </w:lvl>
    <w:lvl w:ilvl="2">
      <w:start w:val="1"/>
      <w:numFmt w:val="bullet"/>
      <w:lvlText w:val=""/>
      <w:lvlJc w:val="left"/>
      <w:pPr>
        <w:ind w:left="720" w:hanging="720"/>
      </w:pPr>
      <w:rPr>
        <w:rFonts w:ascii="Symbol" w:hAnsi="Symbol" w:hint="default"/>
        <w:b w:val="0"/>
        <w:color w:val="000000" w:themeColor="text1"/>
        <w:sz w:val="24"/>
        <w:szCs w:val="24"/>
      </w:rPr>
    </w:lvl>
    <w:lvl w:ilvl="3">
      <w:start w:val="1"/>
      <w:numFmt w:val="bullet"/>
      <w:lvlText w:val=""/>
      <w:lvlJc w:val="left"/>
      <w:pPr>
        <w:ind w:left="864" w:hanging="864"/>
      </w:pPr>
      <w:rPr>
        <w:rFonts w:ascii="Symbol" w:hAnsi="Symbol" w:hint="default"/>
        <w:b w:val="0"/>
        <w:color w:val="000000" w:themeColor="text1"/>
        <w:sz w:val="24"/>
        <w:szCs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8" w15:restartNumberingAfterBreak="0">
    <w:nsid w:val="5E232F85"/>
    <w:multiLevelType w:val="hybridMultilevel"/>
    <w:tmpl w:val="3E802358"/>
    <w:lvl w:ilvl="0" w:tplc="6BF0672C">
      <w:start w:val="1"/>
      <w:numFmt w:val="decimal"/>
      <w:pStyle w:val="NHSCBAppendixHeader"/>
      <w:lvlText w:val="Appendix %1"/>
      <w:lvlJc w:val="left"/>
      <w:pPr>
        <w:ind w:left="720" w:hanging="360"/>
      </w:pPr>
      <w:rPr>
        <w:rFonts w:ascii="Arial Bold" w:hAnsi="Arial Bold" w:hint="default"/>
        <w:b/>
        <w:i w:val="0"/>
        <w:caps w:val="0"/>
        <w:strike w:val="0"/>
        <w:dstrike w:val="0"/>
        <w:vanish w:val="0"/>
        <w:sz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9" w15:restartNumberingAfterBreak="0">
    <w:nsid w:val="5F0179A3"/>
    <w:multiLevelType w:val="hybridMultilevel"/>
    <w:tmpl w:val="7876C74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90" w15:restartNumberingAfterBreak="0">
    <w:nsid w:val="5F5C052A"/>
    <w:multiLevelType w:val="hybridMultilevel"/>
    <w:tmpl w:val="B43035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1" w15:restartNumberingAfterBreak="0">
    <w:nsid w:val="5F6570FA"/>
    <w:multiLevelType w:val="hybridMultilevel"/>
    <w:tmpl w:val="13D64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5F6B6238"/>
    <w:multiLevelType w:val="hybridMultilevel"/>
    <w:tmpl w:val="B8D08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5FAD3635"/>
    <w:multiLevelType w:val="hybridMultilevel"/>
    <w:tmpl w:val="8F66D9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4" w15:restartNumberingAfterBreak="0">
    <w:nsid w:val="62A5120D"/>
    <w:multiLevelType w:val="hybridMultilevel"/>
    <w:tmpl w:val="37D2D486"/>
    <w:lvl w:ilvl="0" w:tplc="6330A3D4">
      <w:start w:val="1"/>
      <w:numFmt w:val="lowerLetter"/>
      <w:lvlText w:val="%1)"/>
      <w:lvlJc w:val="left"/>
      <w:pPr>
        <w:ind w:left="1080" w:hanging="360"/>
      </w:pPr>
      <w:rPr>
        <w:rFonts w:ascii="Arial" w:eastAsia="Times New Roman" w:hAnsi="Arial"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5" w15:restartNumberingAfterBreak="0">
    <w:nsid w:val="62C8708C"/>
    <w:multiLevelType w:val="hybridMultilevel"/>
    <w:tmpl w:val="E1F03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632142A3"/>
    <w:multiLevelType w:val="hybridMultilevel"/>
    <w:tmpl w:val="6414E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63BD1476"/>
    <w:multiLevelType w:val="hybridMultilevel"/>
    <w:tmpl w:val="290AA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646F42A5"/>
    <w:multiLevelType w:val="hybridMultilevel"/>
    <w:tmpl w:val="680ABCBE"/>
    <w:lvl w:ilvl="0" w:tplc="91F4E7A0">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9" w15:restartNumberingAfterBreak="0">
    <w:nsid w:val="6763845E"/>
    <w:multiLevelType w:val="hybridMultilevel"/>
    <w:tmpl w:val="50EA952A"/>
    <w:lvl w:ilvl="0" w:tplc="EEFE50AC">
      <w:start w:val="1"/>
      <w:numFmt w:val="bullet"/>
      <w:lvlText w:val="•"/>
      <w:lvlJc w:val="left"/>
      <w:pPr>
        <w:ind w:left="0" w:firstLine="0"/>
      </w:pPr>
    </w:lvl>
    <w:lvl w:ilvl="1" w:tplc="45426DCE">
      <w:numFmt w:val="decimal"/>
      <w:lvlText w:val=""/>
      <w:lvlJc w:val="left"/>
      <w:pPr>
        <w:ind w:left="0" w:firstLine="0"/>
      </w:pPr>
    </w:lvl>
    <w:lvl w:ilvl="2" w:tplc="0D32AFEC">
      <w:numFmt w:val="decimal"/>
      <w:lvlText w:val=""/>
      <w:lvlJc w:val="left"/>
      <w:pPr>
        <w:ind w:left="0" w:firstLine="0"/>
      </w:pPr>
    </w:lvl>
    <w:lvl w:ilvl="3" w:tplc="8AC06E42">
      <w:numFmt w:val="decimal"/>
      <w:lvlText w:val=""/>
      <w:lvlJc w:val="left"/>
      <w:pPr>
        <w:ind w:left="0" w:firstLine="0"/>
      </w:pPr>
    </w:lvl>
    <w:lvl w:ilvl="4" w:tplc="60A03536">
      <w:numFmt w:val="decimal"/>
      <w:lvlText w:val=""/>
      <w:lvlJc w:val="left"/>
      <w:pPr>
        <w:ind w:left="0" w:firstLine="0"/>
      </w:pPr>
    </w:lvl>
    <w:lvl w:ilvl="5" w:tplc="B68A609C">
      <w:numFmt w:val="decimal"/>
      <w:lvlText w:val=""/>
      <w:lvlJc w:val="left"/>
      <w:pPr>
        <w:ind w:left="0" w:firstLine="0"/>
      </w:pPr>
    </w:lvl>
    <w:lvl w:ilvl="6" w:tplc="A42A4A8C">
      <w:numFmt w:val="decimal"/>
      <w:lvlText w:val=""/>
      <w:lvlJc w:val="left"/>
      <w:pPr>
        <w:ind w:left="0" w:firstLine="0"/>
      </w:pPr>
    </w:lvl>
    <w:lvl w:ilvl="7" w:tplc="43906032">
      <w:numFmt w:val="decimal"/>
      <w:lvlText w:val=""/>
      <w:lvlJc w:val="left"/>
      <w:pPr>
        <w:ind w:left="0" w:firstLine="0"/>
      </w:pPr>
    </w:lvl>
    <w:lvl w:ilvl="8" w:tplc="D060B214">
      <w:numFmt w:val="decimal"/>
      <w:lvlText w:val=""/>
      <w:lvlJc w:val="left"/>
      <w:pPr>
        <w:ind w:left="0" w:firstLine="0"/>
      </w:pPr>
    </w:lvl>
  </w:abstractNum>
  <w:abstractNum w:abstractNumId="200" w15:restartNumberingAfterBreak="0">
    <w:nsid w:val="67C007B8"/>
    <w:multiLevelType w:val="hybridMultilevel"/>
    <w:tmpl w:val="9594BF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1" w15:restartNumberingAfterBreak="0">
    <w:nsid w:val="68E97ABA"/>
    <w:multiLevelType w:val="hybridMultilevel"/>
    <w:tmpl w:val="854406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692D34F3"/>
    <w:multiLevelType w:val="hybridMultilevel"/>
    <w:tmpl w:val="2AC42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6944361A"/>
    <w:multiLevelType w:val="hybridMultilevel"/>
    <w:tmpl w:val="62D85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6A45383F"/>
    <w:multiLevelType w:val="multilevel"/>
    <w:tmpl w:val="0802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6B4223C5"/>
    <w:multiLevelType w:val="hybridMultilevel"/>
    <w:tmpl w:val="D7FC8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6BD62F6E"/>
    <w:multiLevelType w:val="hybridMultilevel"/>
    <w:tmpl w:val="75221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6C3745EE"/>
    <w:multiLevelType w:val="hybridMultilevel"/>
    <w:tmpl w:val="F4EA4D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8" w15:restartNumberingAfterBreak="0">
    <w:nsid w:val="6C4C75E7"/>
    <w:multiLevelType w:val="hybridMultilevel"/>
    <w:tmpl w:val="E62E3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6C7212A2"/>
    <w:multiLevelType w:val="hybridMultilevel"/>
    <w:tmpl w:val="12CA1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6D064EB8"/>
    <w:multiLevelType w:val="hybridMultilevel"/>
    <w:tmpl w:val="3A542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15:restartNumberingAfterBreak="0">
    <w:nsid w:val="6E005244"/>
    <w:multiLevelType w:val="hybridMultilevel"/>
    <w:tmpl w:val="8D186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6EFC1379"/>
    <w:multiLevelType w:val="hybridMultilevel"/>
    <w:tmpl w:val="9CF00BBC"/>
    <w:lvl w:ilvl="0" w:tplc="7E063E66">
      <w:start w:val="1"/>
      <w:numFmt w:val="decimal"/>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3" w15:restartNumberingAfterBreak="0">
    <w:nsid w:val="6F4D3769"/>
    <w:multiLevelType w:val="hybridMultilevel"/>
    <w:tmpl w:val="0D76B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6F671725"/>
    <w:multiLevelType w:val="hybridMultilevel"/>
    <w:tmpl w:val="4C500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6FAC6F7E"/>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6" w15:restartNumberingAfterBreak="0">
    <w:nsid w:val="70F0000C"/>
    <w:multiLevelType w:val="hybridMultilevel"/>
    <w:tmpl w:val="D25EF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71B6143D"/>
    <w:multiLevelType w:val="hybridMultilevel"/>
    <w:tmpl w:val="FD1CCB70"/>
    <w:lvl w:ilvl="0" w:tplc="0809000F">
      <w:start w:val="1"/>
      <w:numFmt w:val="decimal"/>
      <w:lvlText w:val="%1."/>
      <w:lvlJc w:val="left"/>
      <w:pPr>
        <w:ind w:left="720" w:hanging="360"/>
      </w:pPr>
    </w:lvl>
    <w:lvl w:ilvl="1" w:tplc="3806A0EA">
      <w:numFmt w:val="bullet"/>
      <w:lvlText w:val="-"/>
      <w:lvlJc w:val="left"/>
      <w:pPr>
        <w:ind w:left="1440" w:hanging="360"/>
      </w:pPr>
      <w:rPr>
        <w:rFonts w:ascii="Calibri" w:eastAsia="Calibri" w:hAnsi="Calibri" w:cs="Calibri"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8" w15:restartNumberingAfterBreak="0">
    <w:nsid w:val="71BE50B7"/>
    <w:multiLevelType w:val="hybridMultilevel"/>
    <w:tmpl w:val="8C286938"/>
    <w:lvl w:ilvl="0" w:tplc="08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9" w15:restartNumberingAfterBreak="0">
    <w:nsid w:val="71D426F3"/>
    <w:multiLevelType w:val="hybridMultilevel"/>
    <w:tmpl w:val="F55A1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0" w15:restartNumberingAfterBreak="0">
    <w:nsid w:val="721DA317"/>
    <w:multiLevelType w:val="hybridMultilevel"/>
    <w:tmpl w:val="9CA85760"/>
    <w:lvl w:ilvl="0" w:tplc="611E140A">
      <w:start w:val="1"/>
      <w:numFmt w:val="bullet"/>
      <w:lvlText w:val="•"/>
      <w:lvlJc w:val="left"/>
      <w:pPr>
        <w:ind w:left="0" w:firstLine="0"/>
      </w:pPr>
    </w:lvl>
    <w:lvl w:ilvl="1" w:tplc="1074A6C6">
      <w:numFmt w:val="decimal"/>
      <w:lvlText w:val=""/>
      <w:lvlJc w:val="left"/>
      <w:pPr>
        <w:ind w:left="0" w:firstLine="0"/>
      </w:pPr>
    </w:lvl>
    <w:lvl w:ilvl="2" w:tplc="7DA6AF5E">
      <w:numFmt w:val="decimal"/>
      <w:lvlText w:val=""/>
      <w:lvlJc w:val="left"/>
      <w:pPr>
        <w:ind w:left="0" w:firstLine="0"/>
      </w:pPr>
    </w:lvl>
    <w:lvl w:ilvl="3" w:tplc="53E4ACA6">
      <w:numFmt w:val="decimal"/>
      <w:lvlText w:val=""/>
      <w:lvlJc w:val="left"/>
      <w:pPr>
        <w:ind w:left="0" w:firstLine="0"/>
      </w:pPr>
    </w:lvl>
    <w:lvl w:ilvl="4" w:tplc="ECAC2DE6">
      <w:numFmt w:val="decimal"/>
      <w:lvlText w:val=""/>
      <w:lvlJc w:val="left"/>
      <w:pPr>
        <w:ind w:left="0" w:firstLine="0"/>
      </w:pPr>
    </w:lvl>
    <w:lvl w:ilvl="5" w:tplc="590A5E44">
      <w:numFmt w:val="decimal"/>
      <w:lvlText w:val=""/>
      <w:lvlJc w:val="left"/>
      <w:pPr>
        <w:ind w:left="0" w:firstLine="0"/>
      </w:pPr>
    </w:lvl>
    <w:lvl w:ilvl="6" w:tplc="E2321910">
      <w:numFmt w:val="decimal"/>
      <w:lvlText w:val=""/>
      <w:lvlJc w:val="left"/>
      <w:pPr>
        <w:ind w:left="0" w:firstLine="0"/>
      </w:pPr>
    </w:lvl>
    <w:lvl w:ilvl="7" w:tplc="DB3644D4">
      <w:numFmt w:val="decimal"/>
      <w:lvlText w:val=""/>
      <w:lvlJc w:val="left"/>
      <w:pPr>
        <w:ind w:left="0" w:firstLine="0"/>
      </w:pPr>
    </w:lvl>
    <w:lvl w:ilvl="8" w:tplc="0DA4CF46">
      <w:numFmt w:val="decimal"/>
      <w:lvlText w:val=""/>
      <w:lvlJc w:val="left"/>
      <w:pPr>
        <w:ind w:left="0" w:firstLine="0"/>
      </w:pPr>
    </w:lvl>
  </w:abstractNum>
  <w:abstractNum w:abstractNumId="221" w15:restartNumberingAfterBreak="0">
    <w:nsid w:val="7264452A"/>
    <w:multiLevelType w:val="multilevel"/>
    <w:tmpl w:val="944EE406"/>
    <w:lvl w:ilvl="0">
      <w:start w:val="1"/>
      <w:numFmt w:val="decimal"/>
      <w:lvlText w:val="%1."/>
      <w:legacy w:legacy="1" w:legacySpace="0" w:legacyIndent="709"/>
      <w:lvlJc w:val="left"/>
      <w:pPr>
        <w:ind w:left="709" w:hanging="709"/>
      </w:pPr>
      <w:rPr>
        <w:rFonts w:hint="default"/>
        <w:b w:val="0"/>
        <w:i w:val="0"/>
        <w:sz w:val="32"/>
      </w:rPr>
    </w:lvl>
    <w:lvl w:ilvl="1">
      <w:start w:val="1"/>
      <w:numFmt w:val="bullet"/>
      <w:lvlText w:val=""/>
      <w:lvlJc w:val="left"/>
      <w:pPr>
        <w:ind w:left="1419" w:hanging="709"/>
      </w:pPr>
      <w:rPr>
        <w:rFonts w:ascii="Symbol" w:hAnsi="Symbol" w:hint="default"/>
        <w:b w:val="0"/>
        <w:i w:val="0"/>
        <w:sz w:val="24"/>
      </w:rPr>
    </w:lvl>
    <w:lvl w:ilvl="2">
      <w:start w:val="1"/>
      <w:numFmt w:val="bullet"/>
      <w:lvlText w:val=""/>
      <w:lvlJc w:val="left"/>
      <w:pPr>
        <w:ind w:left="2410" w:hanging="992"/>
      </w:pPr>
      <w:rPr>
        <w:rFonts w:ascii="Symbol" w:hAnsi="Symbol" w:hint="default"/>
        <w:color w:val="auto"/>
        <w:sz w:val="24"/>
      </w:rPr>
    </w:lvl>
    <w:lvl w:ilvl="3">
      <w:start w:val="1"/>
      <w:numFmt w:val="decimal"/>
      <w:lvlText w:val="%1.%2.%3.%4"/>
      <w:legacy w:legacy="1" w:legacySpace="0" w:legacyIndent="1276"/>
      <w:lvlJc w:val="left"/>
      <w:pPr>
        <w:ind w:left="3686" w:hanging="1276"/>
      </w:pPr>
      <w:rPr>
        <w:rFonts w:hint="default"/>
        <w:sz w:val="24"/>
      </w:rPr>
    </w:lvl>
    <w:lvl w:ilvl="4">
      <w:start w:val="1"/>
      <w:numFmt w:val="decimal"/>
      <w:lvlText w:val="%1.%2.%3.%4.%5"/>
      <w:legacy w:legacy="1" w:legacySpace="0" w:legacyIndent="1559"/>
      <w:lvlJc w:val="left"/>
      <w:pPr>
        <w:ind w:left="5245" w:hanging="1559"/>
      </w:pPr>
      <w:rPr>
        <w:rFonts w:hint="default"/>
        <w:sz w:val="20"/>
      </w:rPr>
    </w:lvl>
    <w:lvl w:ilvl="5">
      <w:start w:val="1"/>
      <w:numFmt w:val="lowerLetter"/>
      <w:lvlText w:val="(%6)"/>
      <w:legacy w:legacy="1" w:legacySpace="0" w:legacyIndent="709"/>
      <w:lvlJc w:val="left"/>
      <w:pPr>
        <w:ind w:left="5954" w:hanging="709"/>
      </w:pPr>
      <w:rPr>
        <w:rFonts w:hint="default"/>
        <w:sz w:val="20"/>
      </w:rPr>
    </w:lvl>
    <w:lvl w:ilvl="6">
      <w:start w:val="1"/>
      <w:numFmt w:val="lowerRoman"/>
      <w:lvlText w:val="(%7)"/>
      <w:legacy w:legacy="1" w:legacySpace="0" w:legacyIndent="709"/>
      <w:lvlJc w:val="left"/>
      <w:pPr>
        <w:ind w:left="6663" w:hanging="709"/>
      </w:pPr>
      <w:rPr>
        <w:rFonts w:hint="default"/>
        <w:sz w:val="24"/>
      </w:rPr>
    </w:lvl>
    <w:lvl w:ilvl="7">
      <w:start w:val="1"/>
      <w:numFmt w:val="upperLetter"/>
      <w:lvlText w:val="(%8)"/>
      <w:legacy w:legacy="1" w:legacySpace="0" w:legacyIndent="709"/>
      <w:lvlJc w:val="left"/>
      <w:pPr>
        <w:ind w:left="7372" w:hanging="709"/>
      </w:pPr>
      <w:rPr>
        <w:rFonts w:hint="default"/>
        <w:sz w:val="24"/>
      </w:rPr>
    </w:lvl>
    <w:lvl w:ilvl="8">
      <w:start w:val="1"/>
      <w:numFmt w:val="none"/>
      <w:lvlText w:val="·"/>
      <w:legacy w:legacy="1" w:legacySpace="0" w:legacyIndent="709"/>
      <w:lvlJc w:val="left"/>
      <w:pPr>
        <w:ind w:left="8081" w:hanging="709"/>
      </w:pPr>
      <w:rPr>
        <w:rFonts w:ascii="Symbol" w:hAnsi="Symbol" w:hint="default"/>
        <w:sz w:val="24"/>
      </w:rPr>
    </w:lvl>
  </w:abstractNum>
  <w:abstractNum w:abstractNumId="222" w15:restartNumberingAfterBreak="0">
    <w:nsid w:val="72C71E23"/>
    <w:multiLevelType w:val="hybridMultilevel"/>
    <w:tmpl w:val="D4DE03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3" w15:restartNumberingAfterBreak="0">
    <w:nsid w:val="732E77A0"/>
    <w:multiLevelType w:val="hybridMultilevel"/>
    <w:tmpl w:val="A566E70C"/>
    <w:lvl w:ilvl="0" w:tplc="F3E09F02">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24" w15:restartNumberingAfterBreak="0">
    <w:nsid w:val="735E31A7"/>
    <w:multiLevelType w:val="multilevel"/>
    <w:tmpl w:val="4628F314"/>
    <w:lvl w:ilvl="0">
      <w:start w:val="1"/>
      <w:numFmt w:val="decimal"/>
      <w:pStyle w:val="Heading11"/>
      <w:lvlText w:val="%1"/>
      <w:lvlJc w:val="left"/>
      <w:pPr>
        <w:ind w:left="360" w:hanging="360"/>
      </w:pPr>
      <w:rPr>
        <w:rFonts w:hint="default"/>
        <w:sz w:val="32"/>
      </w:rPr>
    </w:lvl>
    <w:lvl w:ilvl="1">
      <w:start w:val="1"/>
      <w:numFmt w:val="decimal"/>
      <w:pStyle w:val="subtitle"/>
      <w:lvlText w:val="%1.%2"/>
      <w:lvlJc w:val="left"/>
      <w:pPr>
        <w:ind w:left="720" w:hanging="360"/>
      </w:pPr>
      <w:rPr>
        <w:rFonts w:hint="default"/>
        <w:b w:val="0"/>
        <w:sz w:val="24"/>
        <w:szCs w:val="24"/>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5" w15:restartNumberingAfterBreak="0">
    <w:nsid w:val="73683399"/>
    <w:multiLevelType w:val="hybridMultilevel"/>
    <w:tmpl w:val="846A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73721E00"/>
    <w:multiLevelType w:val="hybridMultilevel"/>
    <w:tmpl w:val="35988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73A964C7"/>
    <w:multiLevelType w:val="hybridMultilevel"/>
    <w:tmpl w:val="DC9A92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8" w15:restartNumberingAfterBreak="0">
    <w:nsid w:val="73E143F9"/>
    <w:multiLevelType w:val="hybridMultilevel"/>
    <w:tmpl w:val="D610C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9" w15:restartNumberingAfterBreak="0">
    <w:nsid w:val="73EE4123"/>
    <w:multiLevelType w:val="hybridMultilevel"/>
    <w:tmpl w:val="961C5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15:restartNumberingAfterBreak="0">
    <w:nsid w:val="74A05EA1"/>
    <w:multiLevelType w:val="hybridMultilevel"/>
    <w:tmpl w:val="0CEC3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15:restartNumberingAfterBreak="0">
    <w:nsid w:val="75A2A8D4"/>
    <w:multiLevelType w:val="hybridMultilevel"/>
    <w:tmpl w:val="5030C108"/>
    <w:lvl w:ilvl="0" w:tplc="EE6E7102">
      <w:start w:val="15"/>
      <w:numFmt w:val="lowerLetter"/>
      <w:lvlText w:val="%1"/>
      <w:lvlJc w:val="left"/>
      <w:pPr>
        <w:ind w:left="0" w:firstLine="0"/>
      </w:pPr>
    </w:lvl>
    <w:lvl w:ilvl="1" w:tplc="BB7031F4">
      <w:numFmt w:val="decimal"/>
      <w:lvlText w:val=""/>
      <w:lvlJc w:val="left"/>
      <w:pPr>
        <w:ind w:left="0" w:firstLine="0"/>
      </w:pPr>
    </w:lvl>
    <w:lvl w:ilvl="2" w:tplc="BFBE5A26">
      <w:numFmt w:val="decimal"/>
      <w:lvlText w:val=""/>
      <w:lvlJc w:val="left"/>
      <w:pPr>
        <w:ind w:left="0" w:firstLine="0"/>
      </w:pPr>
    </w:lvl>
    <w:lvl w:ilvl="3" w:tplc="E1C858B4">
      <w:numFmt w:val="decimal"/>
      <w:lvlText w:val=""/>
      <w:lvlJc w:val="left"/>
      <w:pPr>
        <w:ind w:left="0" w:firstLine="0"/>
      </w:pPr>
    </w:lvl>
    <w:lvl w:ilvl="4" w:tplc="4E3E18C2">
      <w:numFmt w:val="decimal"/>
      <w:lvlText w:val=""/>
      <w:lvlJc w:val="left"/>
      <w:pPr>
        <w:ind w:left="0" w:firstLine="0"/>
      </w:pPr>
    </w:lvl>
    <w:lvl w:ilvl="5" w:tplc="0F08F7CC">
      <w:numFmt w:val="decimal"/>
      <w:lvlText w:val=""/>
      <w:lvlJc w:val="left"/>
      <w:pPr>
        <w:ind w:left="0" w:firstLine="0"/>
      </w:pPr>
    </w:lvl>
    <w:lvl w:ilvl="6" w:tplc="01824A46">
      <w:numFmt w:val="decimal"/>
      <w:lvlText w:val=""/>
      <w:lvlJc w:val="left"/>
      <w:pPr>
        <w:ind w:left="0" w:firstLine="0"/>
      </w:pPr>
    </w:lvl>
    <w:lvl w:ilvl="7" w:tplc="AE687446">
      <w:numFmt w:val="decimal"/>
      <w:lvlText w:val=""/>
      <w:lvlJc w:val="left"/>
      <w:pPr>
        <w:ind w:left="0" w:firstLine="0"/>
      </w:pPr>
    </w:lvl>
    <w:lvl w:ilvl="8" w:tplc="2F041708">
      <w:numFmt w:val="decimal"/>
      <w:lvlText w:val=""/>
      <w:lvlJc w:val="left"/>
      <w:pPr>
        <w:ind w:left="0" w:firstLine="0"/>
      </w:pPr>
    </w:lvl>
  </w:abstractNum>
  <w:abstractNum w:abstractNumId="232" w15:restartNumberingAfterBreak="0">
    <w:nsid w:val="76B131C9"/>
    <w:multiLevelType w:val="hybridMultilevel"/>
    <w:tmpl w:val="714CD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3" w15:restartNumberingAfterBreak="0">
    <w:nsid w:val="79700B7F"/>
    <w:multiLevelType w:val="hybridMultilevel"/>
    <w:tmpl w:val="87EA8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79838CB2"/>
    <w:multiLevelType w:val="hybridMultilevel"/>
    <w:tmpl w:val="EECCC89A"/>
    <w:lvl w:ilvl="0" w:tplc="44C6E086">
      <w:start w:val="1"/>
      <w:numFmt w:val="bullet"/>
      <w:lvlText w:val="•"/>
      <w:lvlJc w:val="left"/>
      <w:pPr>
        <w:ind w:left="0" w:firstLine="0"/>
      </w:pPr>
    </w:lvl>
    <w:lvl w:ilvl="1" w:tplc="1416ECB8">
      <w:numFmt w:val="decimal"/>
      <w:lvlText w:val=""/>
      <w:lvlJc w:val="left"/>
      <w:pPr>
        <w:ind w:left="0" w:firstLine="0"/>
      </w:pPr>
    </w:lvl>
    <w:lvl w:ilvl="2" w:tplc="0F4AE0F4">
      <w:numFmt w:val="decimal"/>
      <w:lvlText w:val=""/>
      <w:lvlJc w:val="left"/>
      <w:pPr>
        <w:ind w:left="0" w:firstLine="0"/>
      </w:pPr>
    </w:lvl>
    <w:lvl w:ilvl="3" w:tplc="B2723094">
      <w:numFmt w:val="decimal"/>
      <w:lvlText w:val=""/>
      <w:lvlJc w:val="left"/>
      <w:pPr>
        <w:ind w:left="0" w:firstLine="0"/>
      </w:pPr>
    </w:lvl>
    <w:lvl w:ilvl="4" w:tplc="069E33C2">
      <w:numFmt w:val="decimal"/>
      <w:lvlText w:val=""/>
      <w:lvlJc w:val="left"/>
      <w:pPr>
        <w:ind w:left="0" w:firstLine="0"/>
      </w:pPr>
    </w:lvl>
    <w:lvl w:ilvl="5" w:tplc="14BE31D6">
      <w:numFmt w:val="decimal"/>
      <w:lvlText w:val=""/>
      <w:lvlJc w:val="left"/>
      <w:pPr>
        <w:ind w:left="0" w:firstLine="0"/>
      </w:pPr>
    </w:lvl>
    <w:lvl w:ilvl="6" w:tplc="5C38585C">
      <w:numFmt w:val="decimal"/>
      <w:lvlText w:val=""/>
      <w:lvlJc w:val="left"/>
      <w:pPr>
        <w:ind w:left="0" w:firstLine="0"/>
      </w:pPr>
    </w:lvl>
    <w:lvl w:ilvl="7" w:tplc="36F6D7D0">
      <w:numFmt w:val="decimal"/>
      <w:lvlText w:val=""/>
      <w:lvlJc w:val="left"/>
      <w:pPr>
        <w:ind w:left="0" w:firstLine="0"/>
      </w:pPr>
    </w:lvl>
    <w:lvl w:ilvl="8" w:tplc="D6483428">
      <w:numFmt w:val="decimal"/>
      <w:lvlText w:val=""/>
      <w:lvlJc w:val="left"/>
      <w:pPr>
        <w:ind w:left="0" w:firstLine="0"/>
      </w:pPr>
    </w:lvl>
  </w:abstractNum>
  <w:abstractNum w:abstractNumId="235" w15:restartNumberingAfterBreak="0">
    <w:nsid w:val="79906743"/>
    <w:multiLevelType w:val="hybridMultilevel"/>
    <w:tmpl w:val="8528E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15:restartNumberingAfterBreak="0">
    <w:nsid w:val="7A0203A7"/>
    <w:multiLevelType w:val="hybridMultilevel"/>
    <w:tmpl w:val="8E54BDE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7" w15:restartNumberingAfterBreak="0">
    <w:nsid w:val="7AC949E6"/>
    <w:multiLevelType w:val="hybridMultilevel"/>
    <w:tmpl w:val="80AA713C"/>
    <w:lvl w:ilvl="0" w:tplc="9CE4500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7B925EBA"/>
    <w:multiLevelType w:val="hybridMultilevel"/>
    <w:tmpl w:val="9440E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7CBB6797"/>
    <w:multiLevelType w:val="hybridMultilevel"/>
    <w:tmpl w:val="CC184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0" w15:restartNumberingAfterBreak="0">
    <w:nsid w:val="7D213CAB"/>
    <w:multiLevelType w:val="hybridMultilevel"/>
    <w:tmpl w:val="47945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1" w15:restartNumberingAfterBreak="0">
    <w:nsid w:val="7D2A02DF"/>
    <w:multiLevelType w:val="hybridMultilevel"/>
    <w:tmpl w:val="6548D106"/>
    <w:lvl w:ilvl="0" w:tplc="648E0E1C">
      <w:start w:val="1"/>
      <w:numFmt w:val="decimal"/>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2" w15:restartNumberingAfterBreak="0">
    <w:nsid w:val="7EFC70E0"/>
    <w:multiLevelType w:val="hybridMultilevel"/>
    <w:tmpl w:val="9244D5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3" w15:restartNumberingAfterBreak="0">
    <w:nsid w:val="7F4F57EA"/>
    <w:multiLevelType w:val="hybridMultilevel"/>
    <w:tmpl w:val="C824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4" w15:restartNumberingAfterBreak="0">
    <w:nsid w:val="7F7C0EFC"/>
    <w:multiLevelType w:val="hybridMultilevel"/>
    <w:tmpl w:val="FE9A0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5"/>
  </w:num>
  <w:num w:numId="2">
    <w:abstractNumId w:val="86"/>
  </w:num>
  <w:num w:numId="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4"/>
  </w:num>
  <w:num w:numId="19">
    <w:abstractNumId w:val="15"/>
  </w:num>
  <w:num w:numId="20">
    <w:abstractNumId w:val="16"/>
  </w:num>
  <w:num w:numId="21">
    <w:abstractNumId w:val="17"/>
  </w:num>
  <w:num w:numId="22">
    <w:abstractNumId w:val="18"/>
  </w:num>
  <w:num w:numId="23">
    <w:abstractNumId w:val="19"/>
  </w:num>
  <w:num w:numId="24">
    <w:abstractNumId w:val="20"/>
  </w:num>
  <w:num w:numId="25">
    <w:abstractNumId w:val="21"/>
  </w:num>
  <w:num w:numId="26">
    <w:abstractNumId w:val="22"/>
  </w:num>
  <w:num w:numId="27">
    <w:abstractNumId w:val="218"/>
  </w:num>
  <w:num w:numId="28">
    <w:abstractNumId w:val="54"/>
  </w:num>
  <w:num w:numId="29">
    <w:abstractNumId w:val="154"/>
  </w:num>
  <w:num w:numId="30">
    <w:abstractNumId w:val="108"/>
  </w:num>
  <w:num w:numId="31">
    <w:abstractNumId w:val="34"/>
  </w:num>
  <w:num w:numId="32">
    <w:abstractNumId w:val="0"/>
  </w:num>
  <w:num w:numId="33">
    <w:abstractNumId w:val="125"/>
  </w:num>
  <w:num w:numId="34">
    <w:abstractNumId w:val="63"/>
  </w:num>
  <w:num w:numId="35">
    <w:abstractNumId w:val="237"/>
  </w:num>
  <w:num w:numId="36">
    <w:abstractNumId w:val="39"/>
  </w:num>
  <w:num w:numId="37">
    <w:abstractNumId w:val="23"/>
  </w:num>
  <w:num w:numId="38">
    <w:abstractNumId w:val="70"/>
  </w:num>
  <w:num w:numId="39">
    <w:abstractNumId w:val="223"/>
  </w:num>
  <w:num w:numId="40">
    <w:abstractNumId w:val="169"/>
  </w:num>
  <w:num w:numId="41">
    <w:abstractNumId w:val="116"/>
  </w:num>
  <w:num w:numId="42">
    <w:abstractNumId w:val="222"/>
  </w:num>
  <w:num w:numId="43">
    <w:abstractNumId w:val="190"/>
  </w:num>
  <w:num w:numId="44">
    <w:abstractNumId w:val="110"/>
  </w:num>
  <w:num w:numId="45">
    <w:abstractNumId w:val="48"/>
  </w:num>
  <w:num w:numId="46">
    <w:abstractNumId w:val="238"/>
  </w:num>
  <w:num w:numId="47">
    <w:abstractNumId w:val="157"/>
  </w:num>
  <w:num w:numId="48">
    <w:abstractNumId w:val="178"/>
  </w:num>
  <w:num w:numId="49">
    <w:abstractNumId w:val="128"/>
  </w:num>
  <w:num w:numId="50">
    <w:abstractNumId w:val="224"/>
  </w:num>
  <w:num w:numId="51">
    <w:abstractNumId w:val="188"/>
  </w:num>
  <w:num w:numId="52">
    <w:abstractNumId w:val="137"/>
  </w:num>
  <w:num w:numId="53">
    <w:abstractNumId w:val="198"/>
  </w:num>
  <w:num w:numId="54">
    <w:abstractNumId w:val="150"/>
  </w:num>
  <w:num w:numId="55">
    <w:abstractNumId w:val="127"/>
  </w:num>
  <w:num w:numId="56">
    <w:abstractNumId w:val="106"/>
  </w:num>
  <w:num w:numId="57">
    <w:abstractNumId w:val="183"/>
  </w:num>
  <w:num w:numId="58">
    <w:abstractNumId w:val="102"/>
  </w:num>
  <w:num w:numId="59">
    <w:abstractNumId w:val="159"/>
  </w:num>
  <w:num w:numId="60">
    <w:abstractNumId w:val="146"/>
  </w:num>
  <w:num w:numId="61">
    <w:abstractNumId w:val="117"/>
  </w:num>
  <w:num w:numId="62">
    <w:abstractNumId w:val="182"/>
  </w:num>
  <w:num w:numId="63">
    <w:abstractNumId w:val="162"/>
  </w:num>
  <w:num w:numId="64">
    <w:abstractNumId w:val="158"/>
  </w:num>
  <w:num w:numId="65">
    <w:abstractNumId w:val="112"/>
  </w:num>
  <w:num w:numId="66">
    <w:abstractNumId w:val="135"/>
  </w:num>
  <w:num w:numId="67">
    <w:abstractNumId w:val="99"/>
  </w:num>
  <w:num w:numId="68">
    <w:abstractNumId w:val="76"/>
  </w:num>
  <w:num w:numId="69">
    <w:abstractNumId w:val="62"/>
  </w:num>
  <w:num w:numId="70">
    <w:abstractNumId w:val="69"/>
  </w:num>
  <w:num w:numId="71">
    <w:abstractNumId w:val="167"/>
  </w:num>
  <w:num w:numId="72">
    <w:abstractNumId w:val="119"/>
  </w:num>
  <w:num w:numId="73">
    <w:abstractNumId w:val="244"/>
  </w:num>
  <w:num w:numId="74">
    <w:abstractNumId w:val="225"/>
  </w:num>
  <w:num w:numId="75">
    <w:abstractNumId w:val="98"/>
  </w:num>
  <w:num w:numId="76">
    <w:abstractNumId w:val="172"/>
  </w:num>
  <w:num w:numId="77">
    <w:abstractNumId w:val="30"/>
  </w:num>
  <w:num w:numId="78">
    <w:abstractNumId w:val="192"/>
  </w:num>
  <w:num w:numId="79">
    <w:abstractNumId w:val="175"/>
  </w:num>
  <w:num w:numId="80">
    <w:abstractNumId w:val="79"/>
  </w:num>
  <w:num w:numId="81">
    <w:abstractNumId w:val="211"/>
  </w:num>
  <w:num w:numId="82">
    <w:abstractNumId w:val="121"/>
  </w:num>
  <w:num w:numId="83">
    <w:abstractNumId w:val="208"/>
  </w:num>
  <w:num w:numId="84">
    <w:abstractNumId w:val="144"/>
  </w:num>
  <w:num w:numId="85">
    <w:abstractNumId w:val="201"/>
  </w:num>
  <w:num w:numId="86">
    <w:abstractNumId w:val="28"/>
  </w:num>
  <w:num w:numId="87">
    <w:abstractNumId w:val="151"/>
  </w:num>
  <w:num w:numId="88">
    <w:abstractNumId w:val="153"/>
  </w:num>
  <w:num w:numId="89">
    <w:abstractNumId w:val="176"/>
  </w:num>
  <w:num w:numId="90">
    <w:abstractNumId w:val="189"/>
  </w:num>
  <w:num w:numId="91">
    <w:abstractNumId w:val="139"/>
  </w:num>
  <w:num w:numId="92">
    <w:abstractNumId w:val="136"/>
  </w:num>
  <w:num w:numId="93">
    <w:abstractNumId w:val="55"/>
  </w:num>
  <w:num w:numId="94">
    <w:abstractNumId w:val="124"/>
  </w:num>
  <w:num w:numId="95">
    <w:abstractNumId w:val="179"/>
  </w:num>
  <w:num w:numId="9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14"/>
  </w:num>
  <w:num w:numId="98">
    <w:abstractNumId w:val="142"/>
  </w:num>
  <w:num w:numId="99">
    <w:abstractNumId w:val="91"/>
  </w:num>
  <w:num w:numId="100">
    <w:abstractNumId w:val="92"/>
  </w:num>
  <w:num w:numId="101">
    <w:abstractNumId w:val="25"/>
  </w:num>
  <w:num w:numId="102">
    <w:abstractNumId w:val="46"/>
  </w:num>
  <w:num w:numId="103">
    <w:abstractNumId w:val="132"/>
  </w:num>
  <w:num w:numId="104">
    <w:abstractNumId w:val="202"/>
  </w:num>
  <w:num w:numId="10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60"/>
  </w:num>
  <w:num w:numId="107">
    <w:abstractNumId w:val="177"/>
  </w:num>
  <w:num w:numId="108">
    <w:abstractNumId w:val="233"/>
  </w:num>
  <w:num w:numId="109">
    <w:abstractNumId w:val="197"/>
  </w:num>
  <w:num w:numId="110">
    <w:abstractNumId w:val="241"/>
  </w:num>
  <w:num w:numId="111">
    <w:abstractNumId w:val="113"/>
  </w:num>
  <w:num w:numId="112">
    <w:abstractNumId w:val="37"/>
  </w:num>
  <w:num w:numId="113">
    <w:abstractNumId w:val="212"/>
  </w:num>
  <w:num w:numId="114">
    <w:abstractNumId w:val="50"/>
  </w:num>
  <w:num w:numId="115">
    <w:abstractNumId w:val="209"/>
  </w:num>
  <w:num w:numId="116">
    <w:abstractNumId w:val="80"/>
  </w:num>
  <w:num w:numId="117">
    <w:abstractNumId w:val="165"/>
  </w:num>
  <w:num w:numId="118">
    <w:abstractNumId w:val="56"/>
  </w:num>
  <w:num w:numId="119">
    <w:abstractNumId w:val="97"/>
  </w:num>
  <w:num w:numId="120">
    <w:abstractNumId w:val="193"/>
  </w:num>
  <w:num w:numId="121">
    <w:abstractNumId w:val="40"/>
  </w:num>
  <w:num w:numId="122">
    <w:abstractNumId w:val="75"/>
  </w:num>
  <w:num w:numId="123">
    <w:abstractNumId w:val="133"/>
  </w:num>
  <w:num w:numId="124">
    <w:abstractNumId w:val="170"/>
  </w:num>
  <w:num w:numId="125">
    <w:abstractNumId w:val="115"/>
  </w:num>
  <w:num w:numId="126">
    <w:abstractNumId w:val="140"/>
  </w:num>
  <w:num w:numId="127">
    <w:abstractNumId w:val="141"/>
  </w:num>
  <w:num w:numId="128">
    <w:abstractNumId w:val="32"/>
  </w:num>
  <w:num w:numId="129">
    <w:abstractNumId w:val="103"/>
  </w:num>
  <w:num w:numId="130">
    <w:abstractNumId w:val="191"/>
  </w:num>
  <w:num w:numId="131">
    <w:abstractNumId w:val="123"/>
  </w:num>
  <w:num w:numId="132">
    <w:abstractNumId w:val="60"/>
  </w:num>
  <w:num w:numId="133">
    <w:abstractNumId w:val="111"/>
  </w:num>
  <w:num w:numId="134">
    <w:abstractNumId w:val="77"/>
  </w:num>
  <w:num w:numId="135">
    <w:abstractNumId w:val="67"/>
  </w:num>
  <w:num w:numId="136">
    <w:abstractNumId w:val="126"/>
  </w:num>
  <w:num w:numId="137">
    <w:abstractNumId w:val="33"/>
  </w:num>
  <w:num w:numId="138">
    <w:abstractNumId w:val="240"/>
  </w:num>
  <w:num w:numId="139">
    <w:abstractNumId w:val="42"/>
  </w:num>
  <w:num w:numId="140">
    <w:abstractNumId w:val="81"/>
  </w:num>
  <w:num w:numId="141">
    <w:abstractNumId w:val="219"/>
  </w:num>
  <w:num w:numId="142">
    <w:abstractNumId w:val="171"/>
  </w:num>
  <w:num w:numId="143">
    <w:abstractNumId w:val="206"/>
  </w:num>
  <w:num w:numId="144">
    <w:abstractNumId w:val="43"/>
  </w:num>
  <w:num w:numId="145">
    <w:abstractNumId w:val="89"/>
  </w:num>
  <w:num w:numId="146">
    <w:abstractNumId w:val="58"/>
  </w:num>
  <w:num w:numId="147">
    <w:abstractNumId w:val="152"/>
  </w:num>
  <w:num w:numId="148">
    <w:abstractNumId w:val="168"/>
  </w:num>
  <w:num w:numId="149">
    <w:abstractNumId w:val="59"/>
  </w:num>
  <w:num w:numId="150">
    <w:abstractNumId w:val="216"/>
  </w:num>
  <w:num w:numId="151">
    <w:abstractNumId w:val="47"/>
  </w:num>
  <w:num w:numId="152">
    <w:abstractNumId w:val="243"/>
  </w:num>
  <w:num w:numId="153">
    <w:abstractNumId w:val="232"/>
  </w:num>
  <w:num w:numId="154">
    <w:abstractNumId w:val="87"/>
  </w:num>
  <w:num w:numId="155">
    <w:abstractNumId w:val="53"/>
  </w:num>
  <w:num w:numId="156">
    <w:abstractNumId w:val="138"/>
  </w:num>
  <w:num w:numId="157">
    <w:abstractNumId w:val="29"/>
  </w:num>
  <w:num w:numId="158">
    <w:abstractNumId w:val="24"/>
  </w:num>
  <w:num w:numId="159">
    <w:abstractNumId w:val="200"/>
  </w:num>
  <w:num w:numId="160">
    <w:abstractNumId w:val="155"/>
  </w:num>
  <w:num w:numId="161">
    <w:abstractNumId w:val="44"/>
  </w:num>
  <w:num w:numId="162">
    <w:abstractNumId w:val="242"/>
  </w:num>
  <w:num w:numId="163">
    <w:abstractNumId w:val="93"/>
  </w:num>
  <w:num w:numId="164">
    <w:abstractNumId w:val="71"/>
  </w:num>
  <w:num w:numId="165">
    <w:abstractNumId w:val="166"/>
  </w:num>
  <w:num w:numId="166">
    <w:abstractNumId w:val="186"/>
  </w:num>
  <w:num w:numId="167">
    <w:abstractNumId w:val="213"/>
  </w:num>
  <w:num w:numId="168">
    <w:abstractNumId w:val="107"/>
  </w:num>
  <w:num w:numId="169">
    <w:abstractNumId w:val="195"/>
  </w:num>
  <w:num w:numId="170">
    <w:abstractNumId w:val="105"/>
  </w:num>
  <w:num w:numId="171">
    <w:abstractNumId w:val="94"/>
  </w:num>
  <w:num w:numId="172">
    <w:abstractNumId w:val="52"/>
  </w:num>
  <w:num w:numId="173">
    <w:abstractNumId w:val="184"/>
  </w:num>
  <w:num w:numId="174">
    <w:abstractNumId w:val="78"/>
  </w:num>
  <w:num w:numId="175">
    <w:abstractNumId w:val="49"/>
  </w:num>
  <w:num w:numId="176">
    <w:abstractNumId w:val="100"/>
  </w:num>
  <w:num w:numId="177">
    <w:abstractNumId w:val="61"/>
  </w:num>
  <w:num w:numId="178">
    <w:abstractNumId w:val="45"/>
  </w:num>
  <w:num w:numId="179">
    <w:abstractNumId w:val="239"/>
  </w:num>
  <w:num w:numId="180">
    <w:abstractNumId w:val="90"/>
  </w:num>
  <w:num w:numId="181">
    <w:abstractNumId w:val="95"/>
  </w:num>
  <w:num w:numId="182">
    <w:abstractNumId w:val="230"/>
  </w:num>
  <w:num w:numId="183">
    <w:abstractNumId w:val="143"/>
  </w:num>
  <w:num w:numId="184">
    <w:abstractNumId w:val="82"/>
  </w:num>
  <w:num w:numId="185">
    <w:abstractNumId w:val="214"/>
  </w:num>
  <w:num w:numId="186">
    <w:abstractNumId w:val="210"/>
  </w:num>
  <w:num w:numId="187">
    <w:abstractNumId w:val="68"/>
  </w:num>
  <w:num w:numId="188">
    <w:abstractNumId w:val="27"/>
  </w:num>
  <w:num w:numId="189">
    <w:abstractNumId w:val="104"/>
  </w:num>
  <w:num w:numId="190">
    <w:abstractNumId w:val="228"/>
  </w:num>
  <w:num w:numId="191">
    <w:abstractNumId w:val="149"/>
  </w:num>
  <w:num w:numId="192">
    <w:abstractNumId w:val="130"/>
  </w:num>
  <w:num w:numId="193">
    <w:abstractNumId w:val="205"/>
  </w:num>
  <w:num w:numId="194">
    <w:abstractNumId w:val="174"/>
  </w:num>
  <w:num w:numId="195">
    <w:abstractNumId w:val="26"/>
  </w:num>
  <w:num w:numId="196">
    <w:abstractNumId w:val="203"/>
  </w:num>
  <w:num w:numId="197">
    <w:abstractNumId w:val="196"/>
  </w:num>
  <w:num w:numId="198">
    <w:abstractNumId w:val="35"/>
  </w:num>
  <w:num w:numId="199">
    <w:abstractNumId w:val="129"/>
  </w:num>
  <w:num w:numId="200">
    <w:abstractNumId w:val="74"/>
  </w:num>
  <w:num w:numId="201">
    <w:abstractNumId w:val="72"/>
  </w:num>
  <w:num w:numId="202">
    <w:abstractNumId w:val="131"/>
  </w:num>
  <w:num w:numId="203">
    <w:abstractNumId w:val="120"/>
  </w:num>
  <w:num w:numId="204">
    <w:abstractNumId w:val="88"/>
  </w:num>
  <w:num w:numId="205">
    <w:abstractNumId w:val="96"/>
  </w:num>
  <w:num w:numId="206">
    <w:abstractNumId w:val="220"/>
  </w:num>
  <w:num w:numId="207">
    <w:abstractNumId w:val="85"/>
  </w:num>
  <w:num w:numId="208">
    <w:abstractNumId w:val="109"/>
  </w:num>
  <w:num w:numId="209">
    <w:abstractNumId w:val="199"/>
  </w:num>
  <w:num w:numId="210">
    <w:abstractNumId w:val="231"/>
    <w:lvlOverride w:ilvl="0">
      <w:startOverride w:val="15"/>
    </w:lvlOverride>
    <w:lvlOverride w:ilvl="1"/>
    <w:lvlOverride w:ilvl="2"/>
    <w:lvlOverride w:ilvl="3"/>
    <w:lvlOverride w:ilvl="4"/>
    <w:lvlOverride w:ilvl="5"/>
    <w:lvlOverride w:ilvl="6"/>
    <w:lvlOverride w:ilvl="7"/>
    <w:lvlOverride w:ilvl="8"/>
  </w:num>
  <w:num w:numId="211">
    <w:abstractNumId w:val="38"/>
    <w:lvlOverride w:ilvl="0"/>
    <w:lvlOverride w:ilvl="1">
      <w:startOverride w:val="15"/>
    </w:lvlOverride>
    <w:lvlOverride w:ilvl="2"/>
    <w:lvlOverride w:ilvl="3"/>
    <w:lvlOverride w:ilvl="4"/>
    <w:lvlOverride w:ilvl="5"/>
    <w:lvlOverride w:ilvl="6"/>
    <w:lvlOverride w:ilvl="7"/>
    <w:lvlOverride w:ilvl="8"/>
  </w:num>
  <w:num w:numId="212">
    <w:abstractNumId w:val="234"/>
  </w:num>
  <w:num w:numId="213">
    <w:abstractNumId w:val="226"/>
  </w:num>
  <w:num w:numId="214">
    <w:abstractNumId w:val="41"/>
  </w:num>
  <w:num w:numId="215">
    <w:abstractNumId w:val="145"/>
  </w:num>
  <w:num w:numId="216">
    <w:abstractNumId w:val="187"/>
  </w:num>
  <w:num w:numId="217">
    <w:abstractNumId w:val="66"/>
  </w:num>
  <w:num w:numId="218">
    <w:abstractNumId w:val="147"/>
  </w:num>
  <w:num w:numId="219">
    <w:abstractNumId w:val="227"/>
  </w:num>
  <w:num w:numId="220">
    <w:abstractNumId w:val="118"/>
  </w:num>
  <w:num w:numId="221">
    <w:abstractNumId w:val="83"/>
  </w:num>
  <w:num w:numId="222">
    <w:abstractNumId w:val="57"/>
  </w:num>
  <w:num w:numId="223">
    <w:abstractNumId w:val="73"/>
  </w:num>
  <w:num w:numId="224">
    <w:abstractNumId w:val="207"/>
  </w:num>
  <w:num w:numId="225">
    <w:abstractNumId w:val="173"/>
  </w:num>
  <w:num w:numId="226">
    <w:abstractNumId w:val="156"/>
  </w:num>
  <w:num w:numId="227">
    <w:abstractNumId w:val="164"/>
  </w:num>
  <w:num w:numId="228">
    <w:abstractNumId w:val="86"/>
    <w:lvlOverride w:ilvl="0">
      <w:startOverride w:val="7"/>
    </w:lvlOverride>
    <w:lvlOverride w:ilvl="1">
      <w:startOverride w:val="10"/>
    </w:lvlOverride>
    <w:lvlOverride w:ilvl="2">
      <w:startOverride w:val="14"/>
    </w:lvlOverride>
  </w:num>
  <w:num w:numId="229">
    <w:abstractNumId w:val="185"/>
  </w:num>
  <w:num w:numId="230">
    <w:abstractNumId w:val="236"/>
  </w:num>
  <w:num w:numId="231">
    <w:abstractNumId w:val="65"/>
  </w:num>
  <w:num w:numId="232">
    <w:abstractNumId w:val="148"/>
  </w:num>
  <w:num w:numId="233">
    <w:abstractNumId w:val="180"/>
  </w:num>
  <w:num w:numId="234">
    <w:abstractNumId w:val="31"/>
  </w:num>
  <w:num w:numId="235">
    <w:abstractNumId w:val="181"/>
  </w:num>
  <w:num w:numId="236">
    <w:abstractNumId w:val="163"/>
  </w:num>
  <w:num w:numId="237">
    <w:abstractNumId w:val="194"/>
  </w:num>
  <w:num w:numId="238">
    <w:abstractNumId w:val="36"/>
  </w:num>
  <w:num w:numId="239">
    <w:abstractNumId w:val="122"/>
  </w:num>
  <w:num w:numId="240">
    <w:abstractNumId w:val="101"/>
  </w:num>
  <w:num w:numId="241">
    <w:abstractNumId w:val="134"/>
  </w:num>
  <w:num w:numId="242">
    <w:abstractNumId w:val="2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29"/>
  </w:num>
  <w:num w:numId="244">
    <w:abstractNumId w:val="235"/>
  </w:num>
  <w:num w:numId="245">
    <w:abstractNumId w:val="64"/>
  </w:num>
  <w:num w:numId="246">
    <w:abstractNumId w:val="161"/>
  </w:num>
  <w:num w:numId="247">
    <w:abstractNumId w:val="84"/>
  </w:num>
  <w:num w:numId="248">
    <w:abstractNumId w:val="51"/>
  </w:num>
  <w:num w:numId="249">
    <w:abstractNumId w:val="221"/>
  </w:num>
  <w:num w:numId="250">
    <w:abstractNumId w:val="204"/>
  </w:num>
  <w:numIdMacAtCleanup w:val="2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drawingGridHorizontalSpacing w:val="357"/>
  <w:drawingGridVerticalSpacing w:val="357"/>
  <w:displayHorizontalDrawingGridEvery w:val="0"/>
  <w:displayVerticalDrawingGridEvery w:val="0"/>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Outlines" w:val="0"/>
    <w:docVar w:name="ShowStaticGuides" w:val="1"/>
  </w:docVars>
  <w:rsids>
    <w:rsidRoot w:val="005D6B38"/>
    <w:rsid w:val="00001093"/>
    <w:rsid w:val="000015CA"/>
    <w:rsid w:val="0000207B"/>
    <w:rsid w:val="00002546"/>
    <w:rsid w:val="0000295E"/>
    <w:rsid w:val="00002984"/>
    <w:rsid w:val="0000301B"/>
    <w:rsid w:val="000030EE"/>
    <w:rsid w:val="000039DB"/>
    <w:rsid w:val="000040EB"/>
    <w:rsid w:val="000052D3"/>
    <w:rsid w:val="0000534D"/>
    <w:rsid w:val="00005F90"/>
    <w:rsid w:val="00006B50"/>
    <w:rsid w:val="00007054"/>
    <w:rsid w:val="00007B19"/>
    <w:rsid w:val="00010554"/>
    <w:rsid w:val="00013304"/>
    <w:rsid w:val="000135D2"/>
    <w:rsid w:val="00014E71"/>
    <w:rsid w:val="000150EC"/>
    <w:rsid w:val="00015C1B"/>
    <w:rsid w:val="00017804"/>
    <w:rsid w:val="0002063B"/>
    <w:rsid w:val="00020A3B"/>
    <w:rsid w:val="0002174B"/>
    <w:rsid w:val="00021E58"/>
    <w:rsid w:val="000221D4"/>
    <w:rsid w:val="00022673"/>
    <w:rsid w:val="00023576"/>
    <w:rsid w:val="00023944"/>
    <w:rsid w:val="00023A17"/>
    <w:rsid w:val="00023AAB"/>
    <w:rsid w:val="00023E40"/>
    <w:rsid w:val="00024363"/>
    <w:rsid w:val="00024958"/>
    <w:rsid w:val="000279D9"/>
    <w:rsid w:val="00027CB6"/>
    <w:rsid w:val="00030088"/>
    <w:rsid w:val="00030C37"/>
    <w:rsid w:val="00030F92"/>
    <w:rsid w:val="0003107F"/>
    <w:rsid w:val="00031797"/>
    <w:rsid w:val="000325BD"/>
    <w:rsid w:val="0003285F"/>
    <w:rsid w:val="00034A47"/>
    <w:rsid w:val="00035196"/>
    <w:rsid w:val="000362C3"/>
    <w:rsid w:val="0003650F"/>
    <w:rsid w:val="0003705A"/>
    <w:rsid w:val="0003732E"/>
    <w:rsid w:val="000374DE"/>
    <w:rsid w:val="000419B4"/>
    <w:rsid w:val="000429E0"/>
    <w:rsid w:val="000433F3"/>
    <w:rsid w:val="00044E85"/>
    <w:rsid w:val="00045C0C"/>
    <w:rsid w:val="000464B2"/>
    <w:rsid w:val="00047381"/>
    <w:rsid w:val="000473FB"/>
    <w:rsid w:val="00047F6B"/>
    <w:rsid w:val="00050291"/>
    <w:rsid w:val="00050F43"/>
    <w:rsid w:val="0005285B"/>
    <w:rsid w:val="00054166"/>
    <w:rsid w:val="00055930"/>
    <w:rsid w:val="00057ADF"/>
    <w:rsid w:val="00061A08"/>
    <w:rsid w:val="00061D5E"/>
    <w:rsid w:val="000628D0"/>
    <w:rsid w:val="00062958"/>
    <w:rsid w:val="0006489F"/>
    <w:rsid w:val="0006644C"/>
    <w:rsid w:val="0006709C"/>
    <w:rsid w:val="0007033D"/>
    <w:rsid w:val="00070A05"/>
    <w:rsid w:val="00071563"/>
    <w:rsid w:val="0007271E"/>
    <w:rsid w:val="00075CB4"/>
    <w:rsid w:val="00075EF7"/>
    <w:rsid w:val="00076B42"/>
    <w:rsid w:val="00076E20"/>
    <w:rsid w:val="0007775F"/>
    <w:rsid w:val="00081AC9"/>
    <w:rsid w:val="00082019"/>
    <w:rsid w:val="000822F1"/>
    <w:rsid w:val="000828A4"/>
    <w:rsid w:val="00082A47"/>
    <w:rsid w:val="00085144"/>
    <w:rsid w:val="00085ADF"/>
    <w:rsid w:val="00085EAD"/>
    <w:rsid w:val="0008784C"/>
    <w:rsid w:val="00087B2A"/>
    <w:rsid w:val="000929EE"/>
    <w:rsid w:val="00093528"/>
    <w:rsid w:val="00094456"/>
    <w:rsid w:val="00096561"/>
    <w:rsid w:val="0009742B"/>
    <w:rsid w:val="000976B1"/>
    <w:rsid w:val="000A0410"/>
    <w:rsid w:val="000A0562"/>
    <w:rsid w:val="000A087D"/>
    <w:rsid w:val="000A289C"/>
    <w:rsid w:val="000A529F"/>
    <w:rsid w:val="000B04A2"/>
    <w:rsid w:val="000B135F"/>
    <w:rsid w:val="000B23C6"/>
    <w:rsid w:val="000B406C"/>
    <w:rsid w:val="000B458B"/>
    <w:rsid w:val="000B57EE"/>
    <w:rsid w:val="000B690C"/>
    <w:rsid w:val="000B6FA5"/>
    <w:rsid w:val="000B7579"/>
    <w:rsid w:val="000B774B"/>
    <w:rsid w:val="000C01E8"/>
    <w:rsid w:val="000C0F6F"/>
    <w:rsid w:val="000C3CEB"/>
    <w:rsid w:val="000C4836"/>
    <w:rsid w:val="000C4B40"/>
    <w:rsid w:val="000C518C"/>
    <w:rsid w:val="000C53F7"/>
    <w:rsid w:val="000C6578"/>
    <w:rsid w:val="000C6851"/>
    <w:rsid w:val="000C71E3"/>
    <w:rsid w:val="000C7C1A"/>
    <w:rsid w:val="000D05DA"/>
    <w:rsid w:val="000D067B"/>
    <w:rsid w:val="000D22E7"/>
    <w:rsid w:val="000D3201"/>
    <w:rsid w:val="000D358B"/>
    <w:rsid w:val="000D37B5"/>
    <w:rsid w:val="000D3AEE"/>
    <w:rsid w:val="000D4747"/>
    <w:rsid w:val="000D4BB1"/>
    <w:rsid w:val="000E38B1"/>
    <w:rsid w:val="000E3D93"/>
    <w:rsid w:val="000E4A82"/>
    <w:rsid w:val="000E5134"/>
    <w:rsid w:val="000E5313"/>
    <w:rsid w:val="000E55CA"/>
    <w:rsid w:val="000E5B9A"/>
    <w:rsid w:val="000E6146"/>
    <w:rsid w:val="000E6E7C"/>
    <w:rsid w:val="000E751A"/>
    <w:rsid w:val="000E7AB8"/>
    <w:rsid w:val="000F14AF"/>
    <w:rsid w:val="000F1834"/>
    <w:rsid w:val="000F1F43"/>
    <w:rsid w:val="000F457D"/>
    <w:rsid w:val="000F484F"/>
    <w:rsid w:val="000F51C7"/>
    <w:rsid w:val="000F547B"/>
    <w:rsid w:val="000F58CF"/>
    <w:rsid w:val="000F5A23"/>
    <w:rsid w:val="000F73B3"/>
    <w:rsid w:val="000F7736"/>
    <w:rsid w:val="000F7EC9"/>
    <w:rsid w:val="000F7F9F"/>
    <w:rsid w:val="001011FD"/>
    <w:rsid w:val="00102A99"/>
    <w:rsid w:val="00102C7A"/>
    <w:rsid w:val="001047F3"/>
    <w:rsid w:val="00105DC3"/>
    <w:rsid w:val="00106C4E"/>
    <w:rsid w:val="00107009"/>
    <w:rsid w:val="0011192A"/>
    <w:rsid w:val="00112134"/>
    <w:rsid w:val="001124C2"/>
    <w:rsid w:val="00113248"/>
    <w:rsid w:val="001135A5"/>
    <w:rsid w:val="001155EF"/>
    <w:rsid w:val="00116A88"/>
    <w:rsid w:val="0011715C"/>
    <w:rsid w:val="001175CB"/>
    <w:rsid w:val="0012259A"/>
    <w:rsid w:val="00122DEE"/>
    <w:rsid w:val="001243F4"/>
    <w:rsid w:val="001248AD"/>
    <w:rsid w:val="00126795"/>
    <w:rsid w:val="00126D09"/>
    <w:rsid w:val="001300A8"/>
    <w:rsid w:val="00130441"/>
    <w:rsid w:val="001309CF"/>
    <w:rsid w:val="00131A36"/>
    <w:rsid w:val="001320F6"/>
    <w:rsid w:val="00132346"/>
    <w:rsid w:val="00134F5F"/>
    <w:rsid w:val="00137449"/>
    <w:rsid w:val="00140292"/>
    <w:rsid w:val="001417D9"/>
    <w:rsid w:val="00141939"/>
    <w:rsid w:val="001442F8"/>
    <w:rsid w:val="00144C81"/>
    <w:rsid w:val="00144CC2"/>
    <w:rsid w:val="00144CDA"/>
    <w:rsid w:val="00145206"/>
    <w:rsid w:val="00146DF4"/>
    <w:rsid w:val="0014744B"/>
    <w:rsid w:val="00150154"/>
    <w:rsid w:val="0015247B"/>
    <w:rsid w:val="001526D0"/>
    <w:rsid w:val="0015283D"/>
    <w:rsid w:val="00152FB6"/>
    <w:rsid w:val="00153B30"/>
    <w:rsid w:val="001545D4"/>
    <w:rsid w:val="00154D4C"/>
    <w:rsid w:val="0015590A"/>
    <w:rsid w:val="00156FFF"/>
    <w:rsid w:val="001610E6"/>
    <w:rsid w:val="00161C5F"/>
    <w:rsid w:val="00161D27"/>
    <w:rsid w:val="00162232"/>
    <w:rsid w:val="001622C3"/>
    <w:rsid w:val="00162524"/>
    <w:rsid w:val="001629D6"/>
    <w:rsid w:val="00162C46"/>
    <w:rsid w:val="001635CA"/>
    <w:rsid w:val="00163CAE"/>
    <w:rsid w:val="00164401"/>
    <w:rsid w:val="00164970"/>
    <w:rsid w:val="00165EF1"/>
    <w:rsid w:val="00170B33"/>
    <w:rsid w:val="00171D13"/>
    <w:rsid w:val="0017310F"/>
    <w:rsid w:val="00173484"/>
    <w:rsid w:val="00173C21"/>
    <w:rsid w:val="001745DE"/>
    <w:rsid w:val="00174767"/>
    <w:rsid w:val="00174A52"/>
    <w:rsid w:val="00174FC3"/>
    <w:rsid w:val="0017551F"/>
    <w:rsid w:val="001755EC"/>
    <w:rsid w:val="00175980"/>
    <w:rsid w:val="00175B9E"/>
    <w:rsid w:val="00175D3A"/>
    <w:rsid w:val="00180FD4"/>
    <w:rsid w:val="00181308"/>
    <w:rsid w:val="00181323"/>
    <w:rsid w:val="0018148F"/>
    <w:rsid w:val="0018181C"/>
    <w:rsid w:val="001821E0"/>
    <w:rsid w:val="00184361"/>
    <w:rsid w:val="00184C65"/>
    <w:rsid w:val="0018501E"/>
    <w:rsid w:val="001855C3"/>
    <w:rsid w:val="00187583"/>
    <w:rsid w:val="00187800"/>
    <w:rsid w:val="00187AAA"/>
    <w:rsid w:val="001903DA"/>
    <w:rsid w:val="00190F3C"/>
    <w:rsid w:val="00191F8A"/>
    <w:rsid w:val="0019233A"/>
    <w:rsid w:val="00192347"/>
    <w:rsid w:val="00192970"/>
    <w:rsid w:val="00192ACF"/>
    <w:rsid w:val="001939CE"/>
    <w:rsid w:val="001944BF"/>
    <w:rsid w:val="0019483B"/>
    <w:rsid w:val="00194AFD"/>
    <w:rsid w:val="00195A10"/>
    <w:rsid w:val="00195CA1"/>
    <w:rsid w:val="00197420"/>
    <w:rsid w:val="00197F3F"/>
    <w:rsid w:val="001A0A87"/>
    <w:rsid w:val="001A19EF"/>
    <w:rsid w:val="001A1F66"/>
    <w:rsid w:val="001A205D"/>
    <w:rsid w:val="001A22A1"/>
    <w:rsid w:val="001A2893"/>
    <w:rsid w:val="001A30B9"/>
    <w:rsid w:val="001A315E"/>
    <w:rsid w:val="001A32E1"/>
    <w:rsid w:val="001A33E2"/>
    <w:rsid w:val="001A3439"/>
    <w:rsid w:val="001A6197"/>
    <w:rsid w:val="001A79CA"/>
    <w:rsid w:val="001B064E"/>
    <w:rsid w:val="001B14F9"/>
    <w:rsid w:val="001B1711"/>
    <w:rsid w:val="001B46DA"/>
    <w:rsid w:val="001B62FE"/>
    <w:rsid w:val="001B6A69"/>
    <w:rsid w:val="001B6F79"/>
    <w:rsid w:val="001B7503"/>
    <w:rsid w:val="001C0429"/>
    <w:rsid w:val="001C1096"/>
    <w:rsid w:val="001C1DCE"/>
    <w:rsid w:val="001C26B0"/>
    <w:rsid w:val="001C2904"/>
    <w:rsid w:val="001C30D0"/>
    <w:rsid w:val="001C5A1E"/>
    <w:rsid w:val="001C7059"/>
    <w:rsid w:val="001C74F9"/>
    <w:rsid w:val="001C7ED0"/>
    <w:rsid w:val="001D080E"/>
    <w:rsid w:val="001D08A4"/>
    <w:rsid w:val="001D1895"/>
    <w:rsid w:val="001D21B4"/>
    <w:rsid w:val="001D2F1A"/>
    <w:rsid w:val="001D4F55"/>
    <w:rsid w:val="001D506E"/>
    <w:rsid w:val="001D58B4"/>
    <w:rsid w:val="001D5924"/>
    <w:rsid w:val="001D6345"/>
    <w:rsid w:val="001E0967"/>
    <w:rsid w:val="001E1485"/>
    <w:rsid w:val="001E16A4"/>
    <w:rsid w:val="001E19FF"/>
    <w:rsid w:val="001E20EC"/>
    <w:rsid w:val="001E330C"/>
    <w:rsid w:val="001E477C"/>
    <w:rsid w:val="001E7375"/>
    <w:rsid w:val="001E7402"/>
    <w:rsid w:val="001F0A91"/>
    <w:rsid w:val="001F1653"/>
    <w:rsid w:val="001F1735"/>
    <w:rsid w:val="001F5A70"/>
    <w:rsid w:val="001F6912"/>
    <w:rsid w:val="001F7167"/>
    <w:rsid w:val="0020039B"/>
    <w:rsid w:val="002025D6"/>
    <w:rsid w:val="002026A5"/>
    <w:rsid w:val="00202DD3"/>
    <w:rsid w:val="002039DA"/>
    <w:rsid w:val="002052E0"/>
    <w:rsid w:val="0020637B"/>
    <w:rsid w:val="0020706C"/>
    <w:rsid w:val="00211279"/>
    <w:rsid w:val="002114A3"/>
    <w:rsid w:val="00211CA1"/>
    <w:rsid w:val="00213D9D"/>
    <w:rsid w:val="00214AD2"/>
    <w:rsid w:val="002158C1"/>
    <w:rsid w:val="00216E41"/>
    <w:rsid w:val="00220E3F"/>
    <w:rsid w:val="0022161C"/>
    <w:rsid w:val="0022238B"/>
    <w:rsid w:val="00222A7E"/>
    <w:rsid w:val="00222D75"/>
    <w:rsid w:val="0022334B"/>
    <w:rsid w:val="00225153"/>
    <w:rsid w:val="0022669E"/>
    <w:rsid w:val="0022696D"/>
    <w:rsid w:val="00227104"/>
    <w:rsid w:val="002306F3"/>
    <w:rsid w:val="0023135D"/>
    <w:rsid w:val="00233BD8"/>
    <w:rsid w:val="00234752"/>
    <w:rsid w:val="00236C7C"/>
    <w:rsid w:val="002375D4"/>
    <w:rsid w:val="0024070C"/>
    <w:rsid w:val="0024086F"/>
    <w:rsid w:val="00241E62"/>
    <w:rsid w:val="002429BA"/>
    <w:rsid w:val="00243444"/>
    <w:rsid w:val="002439AA"/>
    <w:rsid w:val="002439EF"/>
    <w:rsid w:val="0024514C"/>
    <w:rsid w:val="00247440"/>
    <w:rsid w:val="002521A1"/>
    <w:rsid w:val="002531FB"/>
    <w:rsid w:val="0025375E"/>
    <w:rsid w:val="00253B63"/>
    <w:rsid w:val="00253CB1"/>
    <w:rsid w:val="00254261"/>
    <w:rsid w:val="00255490"/>
    <w:rsid w:val="00255AC6"/>
    <w:rsid w:val="0025692A"/>
    <w:rsid w:val="0025709B"/>
    <w:rsid w:val="0025709E"/>
    <w:rsid w:val="00257269"/>
    <w:rsid w:val="00257CE9"/>
    <w:rsid w:val="00257E90"/>
    <w:rsid w:val="002606BB"/>
    <w:rsid w:val="00261231"/>
    <w:rsid w:val="00261C7E"/>
    <w:rsid w:val="002622CF"/>
    <w:rsid w:val="00262E36"/>
    <w:rsid w:val="00264735"/>
    <w:rsid w:val="00264AFD"/>
    <w:rsid w:val="00264BCB"/>
    <w:rsid w:val="0026630E"/>
    <w:rsid w:val="002711D1"/>
    <w:rsid w:val="002714C7"/>
    <w:rsid w:val="0027182B"/>
    <w:rsid w:val="0027209D"/>
    <w:rsid w:val="002721E8"/>
    <w:rsid w:val="00272488"/>
    <w:rsid w:val="00272839"/>
    <w:rsid w:val="00272ADE"/>
    <w:rsid w:val="00272DF9"/>
    <w:rsid w:val="00273D5F"/>
    <w:rsid w:val="00273FCD"/>
    <w:rsid w:val="00274F32"/>
    <w:rsid w:val="00275296"/>
    <w:rsid w:val="0027644A"/>
    <w:rsid w:val="00276D9F"/>
    <w:rsid w:val="00280213"/>
    <w:rsid w:val="00280330"/>
    <w:rsid w:val="00280FEC"/>
    <w:rsid w:val="00281046"/>
    <w:rsid w:val="00282060"/>
    <w:rsid w:val="002822E0"/>
    <w:rsid w:val="00282FF5"/>
    <w:rsid w:val="0028316A"/>
    <w:rsid w:val="00284AC1"/>
    <w:rsid w:val="002851ED"/>
    <w:rsid w:val="002857D9"/>
    <w:rsid w:val="0028677B"/>
    <w:rsid w:val="002870D4"/>
    <w:rsid w:val="00290051"/>
    <w:rsid w:val="0029050E"/>
    <w:rsid w:val="002906FF"/>
    <w:rsid w:val="0029144C"/>
    <w:rsid w:val="00291E5D"/>
    <w:rsid w:val="00292874"/>
    <w:rsid w:val="0029320D"/>
    <w:rsid w:val="00293C72"/>
    <w:rsid w:val="00296BCB"/>
    <w:rsid w:val="002979BC"/>
    <w:rsid w:val="002A0C8D"/>
    <w:rsid w:val="002A0E24"/>
    <w:rsid w:val="002A140D"/>
    <w:rsid w:val="002A1F19"/>
    <w:rsid w:val="002A3F59"/>
    <w:rsid w:val="002A5924"/>
    <w:rsid w:val="002A5F1C"/>
    <w:rsid w:val="002B01B5"/>
    <w:rsid w:val="002B0E5B"/>
    <w:rsid w:val="002B15A1"/>
    <w:rsid w:val="002B15FF"/>
    <w:rsid w:val="002B3233"/>
    <w:rsid w:val="002B35D4"/>
    <w:rsid w:val="002B3B16"/>
    <w:rsid w:val="002B46BB"/>
    <w:rsid w:val="002B4C25"/>
    <w:rsid w:val="002B5E02"/>
    <w:rsid w:val="002B6C0C"/>
    <w:rsid w:val="002B7ABC"/>
    <w:rsid w:val="002C0080"/>
    <w:rsid w:val="002C0A21"/>
    <w:rsid w:val="002C11B7"/>
    <w:rsid w:val="002C12E5"/>
    <w:rsid w:val="002C2349"/>
    <w:rsid w:val="002C29ED"/>
    <w:rsid w:val="002C359B"/>
    <w:rsid w:val="002C542F"/>
    <w:rsid w:val="002C55D9"/>
    <w:rsid w:val="002C5DCA"/>
    <w:rsid w:val="002C6B16"/>
    <w:rsid w:val="002D119A"/>
    <w:rsid w:val="002D1CE9"/>
    <w:rsid w:val="002D2C3D"/>
    <w:rsid w:val="002D31EB"/>
    <w:rsid w:val="002D4641"/>
    <w:rsid w:val="002D479C"/>
    <w:rsid w:val="002D762E"/>
    <w:rsid w:val="002E4212"/>
    <w:rsid w:val="002E4916"/>
    <w:rsid w:val="002E4F78"/>
    <w:rsid w:val="002E69F1"/>
    <w:rsid w:val="002E7009"/>
    <w:rsid w:val="002F092A"/>
    <w:rsid w:val="002F2335"/>
    <w:rsid w:val="002F2CE4"/>
    <w:rsid w:val="002F2E02"/>
    <w:rsid w:val="002F4261"/>
    <w:rsid w:val="002F469E"/>
    <w:rsid w:val="002F4A2E"/>
    <w:rsid w:val="002F4C3B"/>
    <w:rsid w:val="002F4C7F"/>
    <w:rsid w:val="002F6371"/>
    <w:rsid w:val="002F64F0"/>
    <w:rsid w:val="003011FE"/>
    <w:rsid w:val="0030165F"/>
    <w:rsid w:val="0030213D"/>
    <w:rsid w:val="00303503"/>
    <w:rsid w:val="0030387A"/>
    <w:rsid w:val="00303C11"/>
    <w:rsid w:val="00306A08"/>
    <w:rsid w:val="003071D7"/>
    <w:rsid w:val="00307608"/>
    <w:rsid w:val="0030785F"/>
    <w:rsid w:val="003100A7"/>
    <w:rsid w:val="00311A02"/>
    <w:rsid w:val="00312979"/>
    <w:rsid w:val="00312C86"/>
    <w:rsid w:val="00314E1B"/>
    <w:rsid w:val="003164A9"/>
    <w:rsid w:val="00316B83"/>
    <w:rsid w:val="00316DAE"/>
    <w:rsid w:val="00316E7E"/>
    <w:rsid w:val="003223EE"/>
    <w:rsid w:val="00323B7C"/>
    <w:rsid w:val="00325147"/>
    <w:rsid w:val="003254BF"/>
    <w:rsid w:val="00327EDA"/>
    <w:rsid w:val="0033075B"/>
    <w:rsid w:val="00330971"/>
    <w:rsid w:val="00332153"/>
    <w:rsid w:val="003321CA"/>
    <w:rsid w:val="003326CA"/>
    <w:rsid w:val="003331F2"/>
    <w:rsid w:val="003338BE"/>
    <w:rsid w:val="0033409C"/>
    <w:rsid w:val="003357B2"/>
    <w:rsid w:val="003360B5"/>
    <w:rsid w:val="00336E7B"/>
    <w:rsid w:val="003421C8"/>
    <w:rsid w:val="00342759"/>
    <w:rsid w:val="00342928"/>
    <w:rsid w:val="003434C8"/>
    <w:rsid w:val="00343956"/>
    <w:rsid w:val="00343A93"/>
    <w:rsid w:val="00343D62"/>
    <w:rsid w:val="00344AF9"/>
    <w:rsid w:val="00344C9D"/>
    <w:rsid w:val="0034552E"/>
    <w:rsid w:val="00345FFE"/>
    <w:rsid w:val="003468D2"/>
    <w:rsid w:val="00347BF9"/>
    <w:rsid w:val="003501B2"/>
    <w:rsid w:val="00351696"/>
    <w:rsid w:val="003541EE"/>
    <w:rsid w:val="003542FA"/>
    <w:rsid w:val="003546B3"/>
    <w:rsid w:val="00357562"/>
    <w:rsid w:val="003605DB"/>
    <w:rsid w:val="0036101B"/>
    <w:rsid w:val="00367377"/>
    <w:rsid w:val="00371252"/>
    <w:rsid w:val="00371D3A"/>
    <w:rsid w:val="0037334F"/>
    <w:rsid w:val="00373361"/>
    <w:rsid w:val="00374F42"/>
    <w:rsid w:val="0037627E"/>
    <w:rsid w:val="00376682"/>
    <w:rsid w:val="00376B51"/>
    <w:rsid w:val="00381074"/>
    <w:rsid w:val="0038147C"/>
    <w:rsid w:val="00382653"/>
    <w:rsid w:val="0038284C"/>
    <w:rsid w:val="0038318A"/>
    <w:rsid w:val="00383B63"/>
    <w:rsid w:val="00384B4E"/>
    <w:rsid w:val="00386496"/>
    <w:rsid w:val="00386E7B"/>
    <w:rsid w:val="0038763E"/>
    <w:rsid w:val="00387CD2"/>
    <w:rsid w:val="00390929"/>
    <w:rsid w:val="00392313"/>
    <w:rsid w:val="003937E4"/>
    <w:rsid w:val="00394BE4"/>
    <w:rsid w:val="00394BE7"/>
    <w:rsid w:val="00397D15"/>
    <w:rsid w:val="00397E3E"/>
    <w:rsid w:val="003A0F9D"/>
    <w:rsid w:val="003A13D3"/>
    <w:rsid w:val="003A432B"/>
    <w:rsid w:val="003A5B58"/>
    <w:rsid w:val="003A6652"/>
    <w:rsid w:val="003A691B"/>
    <w:rsid w:val="003B245A"/>
    <w:rsid w:val="003B2D5D"/>
    <w:rsid w:val="003B4388"/>
    <w:rsid w:val="003B5077"/>
    <w:rsid w:val="003B511C"/>
    <w:rsid w:val="003B6143"/>
    <w:rsid w:val="003B709E"/>
    <w:rsid w:val="003B7A4E"/>
    <w:rsid w:val="003C12AD"/>
    <w:rsid w:val="003C1371"/>
    <w:rsid w:val="003C1470"/>
    <w:rsid w:val="003C1755"/>
    <w:rsid w:val="003C21B1"/>
    <w:rsid w:val="003C2372"/>
    <w:rsid w:val="003C2AE6"/>
    <w:rsid w:val="003C2D9D"/>
    <w:rsid w:val="003C4655"/>
    <w:rsid w:val="003C5D08"/>
    <w:rsid w:val="003C7826"/>
    <w:rsid w:val="003C7D95"/>
    <w:rsid w:val="003D015D"/>
    <w:rsid w:val="003D03E2"/>
    <w:rsid w:val="003D1351"/>
    <w:rsid w:val="003D1FAF"/>
    <w:rsid w:val="003D3763"/>
    <w:rsid w:val="003D4C62"/>
    <w:rsid w:val="003D7D1A"/>
    <w:rsid w:val="003D7EE8"/>
    <w:rsid w:val="003E061A"/>
    <w:rsid w:val="003E1225"/>
    <w:rsid w:val="003E1C1F"/>
    <w:rsid w:val="003E2429"/>
    <w:rsid w:val="003E284C"/>
    <w:rsid w:val="003E46C0"/>
    <w:rsid w:val="003E5564"/>
    <w:rsid w:val="003F02FC"/>
    <w:rsid w:val="003F1BA7"/>
    <w:rsid w:val="003F1C56"/>
    <w:rsid w:val="003F3DBF"/>
    <w:rsid w:val="003F4652"/>
    <w:rsid w:val="003F4F0A"/>
    <w:rsid w:val="003F720A"/>
    <w:rsid w:val="003F7403"/>
    <w:rsid w:val="00400A98"/>
    <w:rsid w:val="0040289F"/>
    <w:rsid w:val="004037B9"/>
    <w:rsid w:val="0040416A"/>
    <w:rsid w:val="00404F1A"/>
    <w:rsid w:val="0040629C"/>
    <w:rsid w:val="004062CB"/>
    <w:rsid w:val="00406B83"/>
    <w:rsid w:val="00407A2B"/>
    <w:rsid w:val="00407DB5"/>
    <w:rsid w:val="00410041"/>
    <w:rsid w:val="00410495"/>
    <w:rsid w:val="004107B0"/>
    <w:rsid w:val="00410EBC"/>
    <w:rsid w:val="0041301F"/>
    <w:rsid w:val="00413AF7"/>
    <w:rsid w:val="004150AD"/>
    <w:rsid w:val="00417D5C"/>
    <w:rsid w:val="00420328"/>
    <w:rsid w:val="00420525"/>
    <w:rsid w:val="00420DAA"/>
    <w:rsid w:val="00421056"/>
    <w:rsid w:val="00422A0E"/>
    <w:rsid w:val="004245F2"/>
    <w:rsid w:val="00432CDA"/>
    <w:rsid w:val="00432FC2"/>
    <w:rsid w:val="004337F1"/>
    <w:rsid w:val="00434909"/>
    <w:rsid w:val="004349BC"/>
    <w:rsid w:val="00434CAE"/>
    <w:rsid w:val="00437B60"/>
    <w:rsid w:val="004400EF"/>
    <w:rsid w:val="0044028C"/>
    <w:rsid w:val="004409E2"/>
    <w:rsid w:val="0044216C"/>
    <w:rsid w:val="00442283"/>
    <w:rsid w:val="00442CA0"/>
    <w:rsid w:val="0044554B"/>
    <w:rsid w:val="00445768"/>
    <w:rsid w:val="00445ECA"/>
    <w:rsid w:val="00446868"/>
    <w:rsid w:val="00446DA6"/>
    <w:rsid w:val="00447681"/>
    <w:rsid w:val="00447821"/>
    <w:rsid w:val="00450EE4"/>
    <w:rsid w:val="00451071"/>
    <w:rsid w:val="004510A4"/>
    <w:rsid w:val="004564CB"/>
    <w:rsid w:val="00460770"/>
    <w:rsid w:val="00460D6B"/>
    <w:rsid w:val="00462675"/>
    <w:rsid w:val="00462E09"/>
    <w:rsid w:val="004643DD"/>
    <w:rsid w:val="00464876"/>
    <w:rsid w:val="00465863"/>
    <w:rsid w:val="00466A3F"/>
    <w:rsid w:val="00466B65"/>
    <w:rsid w:val="004704A2"/>
    <w:rsid w:val="00470697"/>
    <w:rsid w:val="00470D9B"/>
    <w:rsid w:val="00472858"/>
    <w:rsid w:val="0047293D"/>
    <w:rsid w:val="00473032"/>
    <w:rsid w:val="00473FD4"/>
    <w:rsid w:val="00476E08"/>
    <w:rsid w:val="0048039A"/>
    <w:rsid w:val="00481DD9"/>
    <w:rsid w:val="00481F74"/>
    <w:rsid w:val="00483699"/>
    <w:rsid w:val="00484D13"/>
    <w:rsid w:val="00484EDA"/>
    <w:rsid w:val="00484F1F"/>
    <w:rsid w:val="00485C5D"/>
    <w:rsid w:val="0048631B"/>
    <w:rsid w:val="004863FB"/>
    <w:rsid w:val="0048670A"/>
    <w:rsid w:val="00486EE0"/>
    <w:rsid w:val="00487B40"/>
    <w:rsid w:val="00487EC4"/>
    <w:rsid w:val="0049020A"/>
    <w:rsid w:val="00490AED"/>
    <w:rsid w:val="00490EC3"/>
    <w:rsid w:val="00492E7B"/>
    <w:rsid w:val="00493E2F"/>
    <w:rsid w:val="00494C1A"/>
    <w:rsid w:val="00494EBD"/>
    <w:rsid w:val="004A02AA"/>
    <w:rsid w:val="004A0F8B"/>
    <w:rsid w:val="004A1013"/>
    <w:rsid w:val="004A1AB7"/>
    <w:rsid w:val="004A1E13"/>
    <w:rsid w:val="004A1F4D"/>
    <w:rsid w:val="004A5814"/>
    <w:rsid w:val="004A6394"/>
    <w:rsid w:val="004A7BEE"/>
    <w:rsid w:val="004B01B2"/>
    <w:rsid w:val="004B2C50"/>
    <w:rsid w:val="004B4126"/>
    <w:rsid w:val="004B44DF"/>
    <w:rsid w:val="004B4770"/>
    <w:rsid w:val="004B4944"/>
    <w:rsid w:val="004B57CD"/>
    <w:rsid w:val="004B6D1E"/>
    <w:rsid w:val="004B736B"/>
    <w:rsid w:val="004C07D3"/>
    <w:rsid w:val="004C0D65"/>
    <w:rsid w:val="004C2A75"/>
    <w:rsid w:val="004C2FFD"/>
    <w:rsid w:val="004C3090"/>
    <w:rsid w:val="004C374F"/>
    <w:rsid w:val="004C5600"/>
    <w:rsid w:val="004D13D7"/>
    <w:rsid w:val="004D1994"/>
    <w:rsid w:val="004D2236"/>
    <w:rsid w:val="004D2CFE"/>
    <w:rsid w:val="004D43CD"/>
    <w:rsid w:val="004D5131"/>
    <w:rsid w:val="004D655C"/>
    <w:rsid w:val="004D7F79"/>
    <w:rsid w:val="004E041C"/>
    <w:rsid w:val="004E0D69"/>
    <w:rsid w:val="004E1403"/>
    <w:rsid w:val="004E2398"/>
    <w:rsid w:val="004E3607"/>
    <w:rsid w:val="004E4838"/>
    <w:rsid w:val="004E4B80"/>
    <w:rsid w:val="004E5151"/>
    <w:rsid w:val="004E51D3"/>
    <w:rsid w:val="004E57F6"/>
    <w:rsid w:val="004E718C"/>
    <w:rsid w:val="004E7429"/>
    <w:rsid w:val="004E773C"/>
    <w:rsid w:val="004E7E04"/>
    <w:rsid w:val="004F1D9A"/>
    <w:rsid w:val="004F4CD8"/>
    <w:rsid w:val="004F5939"/>
    <w:rsid w:val="004F7861"/>
    <w:rsid w:val="004F7BAB"/>
    <w:rsid w:val="00501286"/>
    <w:rsid w:val="005022D2"/>
    <w:rsid w:val="0050277D"/>
    <w:rsid w:val="0050318A"/>
    <w:rsid w:val="00503602"/>
    <w:rsid w:val="005045B3"/>
    <w:rsid w:val="00504633"/>
    <w:rsid w:val="00505514"/>
    <w:rsid w:val="00507C55"/>
    <w:rsid w:val="005129E4"/>
    <w:rsid w:val="00513B50"/>
    <w:rsid w:val="00517130"/>
    <w:rsid w:val="00517F00"/>
    <w:rsid w:val="005210A0"/>
    <w:rsid w:val="005215BD"/>
    <w:rsid w:val="00521E62"/>
    <w:rsid w:val="005223CB"/>
    <w:rsid w:val="0052249D"/>
    <w:rsid w:val="00522755"/>
    <w:rsid w:val="005230F0"/>
    <w:rsid w:val="00524855"/>
    <w:rsid w:val="005250B6"/>
    <w:rsid w:val="00526CB2"/>
    <w:rsid w:val="005277F5"/>
    <w:rsid w:val="005305B8"/>
    <w:rsid w:val="00531108"/>
    <w:rsid w:val="005314EE"/>
    <w:rsid w:val="00531E7F"/>
    <w:rsid w:val="00535354"/>
    <w:rsid w:val="0053713A"/>
    <w:rsid w:val="00537674"/>
    <w:rsid w:val="00537856"/>
    <w:rsid w:val="00543474"/>
    <w:rsid w:val="005435D0"/>
    <w:rsid w:val="005440A7"/>
    <w:rsid w:val="005464DF"/>
    <w:rsid w:val="00546912"/>
    <w:rsid w:val="00547717"/>
    <w:rsid w:val="005501E0"/>
    <w:rsid w:val="0055030B"/>
    <w:rsid w:val="0055180D"/>
    <w:rsid w:val="00552572"/>
    <w:rsid w:val="00552A14"/>
    <w:rsid w:val="0055315B"/>
    <w:rsid w:val="00554BAF"/>
    <w:rsid w:val="00556CC7"/>
    <w:rsid w:val="005570F8"/>
    <w:rsid w:val="005571C0"/>
    <w:rsid w:val="005603EC"/>
    <w:rsid w:val="00560721"/>
    <w:rsid w:val="00561114"/>
    <w:rsid w:val="00561B3A"/>
    <w:rsid w:val="005623C2"/>
    <w:rsid w:val="005629D1"/>
    <w:rsid w:val="005640B0"/>
    <w:rsid w:val="00567018"/>
    <w:rsid w:val="00567598"/>
    <w:rsid w:val="00567B95"/>
    <w:rsid w:val="00571BA9"/>
    <w:rsid w:val="0057255E"/>
    <w:rsid w:val="00572F87"/>
    <w:rsid w:val="00573AFF"/>
    <w:rsid w:val="00575A2B"/>
    <w:rsid w:val="00575CE7"/>
    <w:rsid w:val="00576D3B"/>
    <w:rsid w:val="00582170"/>
    <w:rsid w:val="005821ED"/>
    <w:rsid w:val="00582E9C"/>
    <w:rsid w:val="00585577"/>
    <w:rsid w:val="00586C72"/>
    <w:rsid w:val="00586D60"/>
    <w:rsid w:val="005876BC"/>
    <w:rsid w:val="00591C3F"/>
    <w:rsid w:val="00592CFD"/>
    <w:rsid w:val="00593024"/>
    <w:rsid w:val="0059383D"/>
    <w:rsid w:val="00594B38"/>
    <w:rsid w:val="00595903"/>
    <w:rsid w:val="00595B03"/>
    <w:rsid w:val="00595F8A"/>
    <w:rsid w:val="00596CA3"/>
    <w:rsid w:val="005A03AB"/>
    <w:rsid w:val="005A0411"/>
    <w:rsid w:val="005A0A0C"/>
    <w:rsid w:val="005A1AD1"/>
    <w:rsid w:val="005A1C41"/>
    <w:rsid w:val="005A2254"/>
    <w:rsid w:val="005A2B31"/>
    <w:rsid w:val="005A2FB4"/>
    <w:rsid w:val="005A3077"/>
    <w:rsid w:val="005A43ED"/>
    <w:rsid w:val="005A4BA1"/>
    <w:rsid w:val="005A53C0"/>
    <w:rsid w:val="005A7DDA"/>
    <w:rsid w:val="005B068B"/>
    <w:rsid w:val="005B0A02"/>
    <w:rsid w:val="005B1745"/>
    <w:rsid w:val="005B2ED6"/>
    <w:rsid w:val="005B2FB5"/>
    <w:rsid w:val="005B40B1"/>
    <w:rsid w:val="005B440A"/>
    <w:rsid w:val="005B4F4A"/>
    <w:rsid w:val="005B59BF"/>
    <w:rsid w:val="005B5D6F"/>
    <w:rsid w:val="005B6EC7"/>
    <w:rsid w:val="005B6F24"/>
    <w:rsid w:val="005B7B0F"/>
    <w:rsid w:val="005C0FF5"/>
    <w:rsid w:val="005C251F"/>
    <w:rsid w:val="005C3CB6"/>
    <w:rsid w:val="005C5C7F"/>
    <w:rsid w:val="005C5F98"/>
    <w:rsid w:val="005C7A6E"/>
    <w:rsid w:val="005D43E2"/>
    <w:rsid w:val="005D4553"/>
    <w:rsid w:val="005D589E"/>
    <w:rsid w:val="005D58AD"/>
    <w:rsid w:val="005D653A"/>
    <w:rsid w:val="005D6615"/>
    <w:rsid w:val="005D6B38"/>
    <w:rsid w:val="005D77ED"/>
    <w:rsid w:val="005D7818"/>
    <w:rsid w:val="005E0628"/>
    <w:rsid w:val="005E089C"/>
    <w:rsid w:val="005E1134"/>
    <w:rsid w:val="005E135E"/>
    <w:rsid w:val="005E269A"/>
    <w:rsid w:val="005E27BD"/>
    <w:rsid w:val="005E3342"/>
    <w:rsid w:val="005E65DC"/>
    <w:rsid w:val="005E7F18"/>
    <w:rsid w:val="005F099C"/>
    <w:rsid w:val="005F1362"/>
    <w:rsid w:val="005F27A1"/>
    <w:rsid w:val="005F2CE2"/>
    <w:rsid w:val="005F54CF"/>
    <w:rsid w:val="00600419"/>
    <w:rsid w:val="0060072C"/>
    <w:rsid w:val="00600C8D"/>
    <w:rsid w:val="00603086"/>
    <w:rsid w:val="006036F0"/>
    <w:rsid w:val="00604D3A"/>
    <w:rsid w:val="006056C6"/>
    <w:rsid w:val="00607071"/>
    <w:rsid w:val="00607E89"/>
    <w:rsid w:val="006108F7"/>
    <w:rsid w:val="0061384D"/>
    <w:rsid w:val="00613C58"/>
    <w:rsid w:val="00614E54"/>
    <w:rsid w:val="00615007"/>
    <w:rsid w:val="00617C47"/>
    <w:rsid w:val="00620C63"/>
    <w:rsid w:val="00621A73"/>
    <w:rsid w:val="00622C13"/>
    <w:rsid w:val="00622FF2"/>
    <w:rsid w:val="006307B2"/>
    <w:rsid w:val="0063386E"/>
    <w:rsid w:val="006352E5"/>
    <w:rsid w:val="00642DFD"/>
    <w:rsid w:val="0064323B"/>
    <w:rsid w:val="00644B6E"/>
    <w:rsid w:val="00644C11"/>
    <w:rsid w:val="00645D74"/>
    <w:rsid w:val="006462D0"/>
    <w:rsid w:val="00646A71"/>
    <w:rsid w:val="00647492"/>
    <w:rsid w:val="00647EE5"/>
    <w:rsid w:val="00650851"/>
    <w:rsid w:val="00650DFF"/>
    <w:rsid w:val="0065186A"/>
    <w:rsid w:val="006526DC"/>
    <w:rsid w:val="00654D7C"/>
    <w:rsid w:val="00655D15"/>
    <w:rsid w:val="0065712B"/>
    <w:rsid w:val="0065780E"/>
    <w:rsid w:val="0066107F"/>
    <w:rsid w:val="00661387"/>
    <w:rsid w:val="0066367F"/>
    <w:rsid w:val="006646D8"/>
    <w:rsid w:val="00664D32"/>
    <w:rsid w:val="00666FC7"/>
    <w:rsid w:val="00667E6C"/>
    <w:rsid w:val="00670323"/>
    <w:rsid w:val="00670F72"/>
    <w:rsid w:val="0067130C"/>
    <w:rsid w:val="00671775"/>
    <w:rsid w:val="00671886"/>
    <w:rsid w:val="006744D1"/>
    <w:rsid w:val="006744DC"/>
    <w:rsid w:val="00676245"/>
    <w:rsid w:val="00676A2B"/>
    <w:rsid w:val="00680134"/>
    <w:rsid w:val="00681F68"/>
    <w:rsid w:val="00682358"/>
    <w:rsid w:val="00682E3F"/>
    <w:rsid w:val="00682EC4"/>
    <w:rsid w:val="00683C14"/>
    <w:rsid w:val="00683EF4"/>
    <w:rsid w:val="0068518A"/>
    <w:rsid w:val="00685E49"/>
    <w:rsid w:val="00686F5F"/>
    <w:rsid w:val="00687046"/>
    <w:rsid w:val="006872CE"/>
    <w:rsid w:val="00687DA2"/>
    <w:rsid w:val="00687DB8"/>
    <w:rsid w:val="00690B10"/>
    <w:rsid w:val="00690ED2"/>
    <w:rsid w:val="00691FFF"/>
    <w:rsid w:val="006922E4"/>
    <w:rsid w:val="006938D5"/>
    <w:rsid w:val="00694E4D"/>
    <w:rsid w:val="0069518C"/>
    <w:rsid w:val="00695952"/>
    <w:rsid w:val="00695A81"/>
    <w:rsid w:val="00695FCC"/>
    <w:rsid w:val="006968CB"/>
    <w:rsid w:val="00697120"/>
    <w:rsid w:val="0069723E"/>
    <w:rsid w:val="00697530"/>
    <w:rsid w:val="006A08DF"/>
    <w:rsid w:val="006A0B73"/>
    <w:rsid w:val="006A19AE"/>
    <w:rsid w:val="006A3E83"/>
    <w:rsid w:val="006A438E"/>
    <w:rsid w:val="006A5F64"/>
    <w:rsid w:val="006A6D87"/>
    <w:rsid w:val="006B06B7"/>
    <w:rsid w:val="006B0F43"/>
    <w:rsid w:val="006B10FE"/>
    <w:rsid w:val="006B14E9"/>
    <w:rsid w:val="006B162E"/>
    <w:rsid w:val="006B1FFD"/>
    <w:rsid w:val="006B3D27"/>
    <w:rsid w:val="006B415D"/>
    <w:rsid w:val="006B4F70"/>
    <w:rsid w:val="006B57EC"/>
    <w:rsid w:val="006B5D10"/>
    <w:rsid w:val="006B781A"/>
    <w:rsid w:val="006B7893"/>
    <w:rsid w:val="006C160A"/>
    <w:rsid w:val="006C2E65"/>
    <w:rsid w:val="006C3892"/>
    <w:rsid w:val="006C3DF5"/>
    <w:rsid w:val="006C46DB"/>
    <w:rsid w:val="006C49D5"/>
    <w:rsid w:val="006C5902"/>
    <w:rsid w:val="006C5F09"/>
    <w:rsid w:val="006C7855"/>
    <w:rsid w:val="006D10D1"/>
    <w:rsid w:val="006D2060"/>
    <w:rsid w:val="006D280B"/>
    <w:rsid w:val="006D3040"/>
    <w:rsid w:val="006D4362"/>
    <w:rsid w:val="006D5901"/>
    <w:rsid w:val="006D5D10"/>
    <w:rsid w:val="006D6A9E"/>
    <w:rsid w:val="006D7EAA"/>
    <w:rsid w:val="006E028B"/>
    <w:rsid w:val="006E0EA3"/>
    <w:rsid w:val="006E1070"/>
    <w:rsid w:val="006E1E3A"/>
    <w:rsid w:val="006E22ED"/>
    <w:rsid w:val="006E26E8"/>
    <w:rsid w:val="006E2AD9"/>
    <w:rsid w:val="006E56A4"/>
    <w:rsid w:val="006E6642"/>
    <w:rsid w:val="006E7DEB"/>
    <w:rsid w:val="006F0ACD"/>
    <w:rsid w:val="006F1CA4"/>
    <w:rsid w:val="006F215B"/>
    <w:rsid w:val="006F2392"/>
    <w:rsid w:val="006F315C"/>
    <w:rsid w:val="006F39C3"/>
    <w:rsid w:val="006F3F44"/>
    <w:rsid w:val="006F48D0"/>
    <w:rsid w:val="006F57BF"/>
    <w:rsid w:val="006F595D"/>
    <w:rsid w:val="006F59B3"/>
    <w:rsid w:val="006F65AC"/>
    <w:rsid w:val="006F6EE6"/>
    <w:rsid w:val="00700354"/>
    <w:rsid w:val="0070146D"/>
    <w:rsid w:val="00701553"/>
    <w:rsid w:val="00701D07"/>
    <w:rsid w:val="00702B50"/>
    <w:rsid w:val="00704DD6"/>
    <w:rsid w:val="007065F5"/>
    <w:rsid w:val="007067E4"/>
    <w:rsid w:val="007070C7"/>
    <w:rsid w:val="0071017F"/>
    <w:rsid w:val="0071074D"/>
    <w:rsid w:val="007122CE"/>
    <w:rsid w:val="007128F9"/>
    <w:rsid w:val="00712C65"/>
    <w:rsid w:val="007154D0"/>
    <w:rsid w:val="00717214"/>
    <w:rsid w:val="00720729"/>
    <w:rsid w:val="0072102A"/>
    <w:rsid w:val="0072197F"/>
    <w:rsid w:val="00723877"/>
    <w:rsid w:val="00724852"/>
    <w:rsid w:val="00725417"/>
    <w:rsid w:val="00725604"/>
    <w:rsid w:val="007309BD"/>
    <w:rsid w:val="007309F2"/>
    <w:rsid w:val="00730AA8"/>
    <w:rsid w:val="00730EB7"/>
    <w:rsid w:val="0073398D"/>
    <w:rsid w:val="00734192"/>
    <w:rsid w:val="00734982"/>
    <w:rsid w:val="007376E6"/>
    <w:rsid w:val="00741FAB"/>
    <w:rsid w:val="00743A5E"/>
    <w:rsid w:val="00744BB2"/>
    <w:rsid w:val="00746147"/>
    <w:rsid w:val="007469E5"/>
    <w:rsid w:val="007471AC"/>
    <w:rsid w:val="00747BB4"/>
    <w:rsid w:val="00747FE6"/>
    <w:rsid w:val="007500C5"/>
    <w:rsid w:val="0075013D"/>
    <w:rsid w:val="007513A0"/>
    <w:rsid w:val="007527D4"/>
    <w:rsid w:val="00752B7B"/>
    <w:rsid w:val="00754C11"/>
    <w:rsid w:val="00755122"/>
    <w:rsid w:val="00755969"/>
    <w:rsid w:val="00755D3D"/>
    <w:rsid w:val="00755F25"/>
    <w:rsid w:val="00757096"/>
    <w:rsid w:val="007572A5"/>
    <w:rsid w:val="007601DB"/>
    <w:rsid w:val="007601E3"/>
    <w:rsid w:val="00760A87"/>
    <w:rsid w:val="00760FE1"/>
    <w:rsid w:val="00761AAE"/>
    <w:rsid w:val="00761F88"/>
    <w:rsid w:val="00764425"/>
    <w:rsid w:val="0076563F"/>
    <w:rsid w:val="00766F2F"/>
    <w:rsid w:val="007707F5"/>
    <w:rsid w:val="00772739"/>
    <w:rsid w:val="00773267"/>
    <w:rsid w:val="007736C4"/>
    <w:rsid w:val="00773842"/>
    <w:rsid w:val="0077492E"/>
    <w:rsid w:val="00774E4B"/>
    <w:rsid w:val="00776BF0"/>
    <w:rsid w:val="00780B60"/>
    <w:rsid w:val="0078150C"/>
    <w:rsid w:val="00781AA1"/>
    <w:rsid w:val="00781D25"/>
    <w:rsid w:val="00782222"/>
    <w:rsid w:val="00782D1D"/>
    <w:rsid w:val="0078486F"/>
    <w:rsid w:val="0078519C"/>
    <w:rsid w:val="0078541C"/>
    <w:rsid w:val="007854C2"/>
    <w:rsid w:val="00785905"/>
    <w:rsid w:val="00785EED"/>
    <w:rsid w:val="00787872"/>
    <w:rsid w:val="00787C98"/>
    <w:rsid w:val="00791924"/>
    <w:rsid w:val="00791D1F"/>
    <w:rsid w:val="00792834"/>
    <w:rsid w:val="007929B6"/>
    <w:rsid w:val="00794524"/>
    <w:rsid w:val="00794C5C"/>
    <w:rsid w:val="007964BA"/>
    <w:rsid w:val="00796E8B"/>
    <w:rsid w:val="00797EA2"/>
    <w:rsid w:val="007A0301"/>
    <w:rsid w:val="007A1562"/>
    <w:rsid w:val="007A2E61"/>
    <w:rsid w:val="007A370D"/>
    <w:rsid w:val="007A3AF8"/>
    <w:rsid w:val="007A3F4E"/>
    <w:rsid w:val="007A5C4E"/>
    <w:rsid w:val="007A6779"/>
    <w:rsid w:val="007A6C1F"/>
    <w:rsid w:val="007A7542"/>
    <w:rsid w:val="007B27F2"/>
    <w:rsid w:val="007B3708"/>
    <w:rsid w:val="007B56C3"/>
    <w:rsid w:val="007B68E5"/>
    <w:rsid w:val="007B6FAF"/>
    <w:rsid w:val="007C0A5D"/>
    <w:rsid w:val="007C3322"/>
    <w:rsid w:val="007C3C2C"/>
    <w:rsid w:val="007C504E"/>
    <w:rsid w:val="007C5085"/>
    <w:rsid w:val="007C54AF"/>
    <w:rsid w:val="007D0D28"/>
    <w:rsid w:val="007D2270"/>
    <w:rsid w:val="007D2370"/>
    <w:rsid w:val="007D4DCE"/>
    <w:rsid w:val="007D7DCD"/>
    <w:rsid w:val="007E0545"/>
    <w:rsid w:val="007E08F7"/>
    <w:rsid w:val="007E0D68"/>
    <w:rsid w:val="007E1392"/>
    <w:rsid w:val="007E152B"/>
    <w:rsid w:val="007E1D62"/>
    <w:rsid w:val="007E2453"/>
    <w:rsid w:val="007E266F"/>
    <w:rsid w:val="007E2F26"/>
    <w:rsid w:val="007E3357"/>
    <w:rsid w:val="007E3B14"/>
    <w:rsid w:val="007E413D"/>
    <w:rsid w:val="007E5544"/>
    <w:rsid w:val="007E5CEA"/>
    <w:rsid w:val="007E6517"/>
    <w:rsid w:val="007E6850"/>
    <w:rsid w:val="007E6CBD"/>
    <w:rsid w:val="007F019E"/>
    <w:rsid w:val="007F0938"/>
    <w:rsid w:val="007F1108"/>
    <w:rsid w:val="007F12C0"/>
    <w:rsid w:val="007F164E"/>
    <w:rsid w:val="007F49F3"/>
    <w:rsid w:val="007F5245"/>
    <w:rsid w:val="007F74CD"/>
    <w:rsid w:val="007F7DB4"/>
    <w:rsid w:val="008018A2"/>
    <w:rsid w:val="00801D3C"/>
    <w:rsid w:val="00802065"/>
    <w:rsid w:val="0080299F"/>
    <w:rsid w:val="00803AE9"/>
    <w:rsid w:val="00804B2E"/>
    <w:rsid w:val="00805F38"/>
    <w:rsid w:val="00807549"/>
    <w:rsid w:val="00807941"/>
    <w:rsid w:val="008109B5"/>
    <w:rsid w:val="0081257F"/>
    <w:rsid w:val="00812FBB"/>
    <w:rsid w:val="00813C9B"/>
    <w:rsid w:val="00814FA7"/>
    <w:rsid w:val="0081508A"/>
    <w:rsid w:val="008150D0"/>
    <w:rsid w:val="00815AEF"/>
    <w:rsid w:val="008171B4"/>
    <w:rsid w:val="008178C5"/>
    <w:rsid w:val="00821E02"/>
    <w:rsid w:val="00822B04"/>
    <w:rsid w:val="00823437"/>
    <w:rsid w:val="00824326"/>
    <w:rsid w:val="00825050"/>
    <w:rsid w:val="008264D7"/>
    <w:rsid w:val="00827FAF"/>
    <w:rsid w:val="00831486"/>
    <w:rsid w:val="00831C9F"/>
    <w:rsid w:val="008339DB"/>
    <w:rsid w:val="008369FD"/>
    <w:rsid w:val="00836ECF"/>
    <w:rsid w:val="008370E9"/>
    <w:rsid w:val="00842BC8"/>
    <w:rsid w:val="00843072"/>
    <w:rsid w:val="0084340F"/>
    <w:rsid w:val="00844856"/>
    <w:rsid w:val="00844FF6"/>
    <w:rsid w:val="00845349"/>
    <w:rsid w:val="0084585F"/>
    <w:rsid w:val="00846153"/>
    <w:rsid w:val="00846B80"/>
    <w:rsid w:val="008479A1"/>
    <w:rsid w:val="00847AFE"/>
    <w:rsid w:val="00850B0E"/>
    <w:rsid w:val="00850FF9"/>
    <w:rsid w:val="00851B3C"/>
    <w:rsid w:val="00852939"/>
    <w:rsid w:val="0085547B"/>
    <w:rsid w:val="008558A6"/>
    <w:rsid w:val="00855999"/>
    <w:rsid w:val="0085749A"/>
    <w:rsid w:val="008616B0"/>
    <w:rsid w:val="008627E1"/>
    <w:rsid w:val="00862E4D"/>
    <w:rsid w:val="00863077"/>
    <w:rsid w:val="00863750"/>
    <w:rsid w:val="00864342"/>
    <w:rsid w:val="00864679"/>
    <w:rsid w:val="00866948"/>
    <w:rsid w:val="00866CA7"/>
    <w:rsid w:val="00866E3E"/>
    <w:rsid w:val="00867125"/>
    <w:rsid w:val="00867DFB"/>
    <w:rsid w:val="00867E68"/>
    <w:rsid w:val="00873BB6"/>
    <w:rsid w:val="00874D39"/>
    <w:rsid w:val="00875880"/>
    <w:rsid w:val="00875A52"/>
    <w:rsid w:val="00875A68"/>
    <w:rsid w:val="00875BC4"/>
    <w:rsid w:val="00876BDC"/>
    <w:rsid w:val="00877180"/>
    <w:rsid w:val="008776FB"/>
    <w:rsid w:val="00882439"/>
    <w:rsid w:val="0088291E"/>
    <w:rsid w:val="0088364D"/>
    <w:rsid w:val="00884224"/>
    <w:rsid w:val="00884CCF"/>
    <w:rsid w:val="0088640C"/>
    <w:rsid w:val="00890201"/>
    <w:rsid w:val="00890FF3"/>
    <w:rsid w:val="0089227B"/>
    <w:rsid w:val="00892419"/>
    <w:rsid w:val="0089266F"/>
    <w:rsid w:val="008927E5"/>
    <w:rsid w:val="00894880"/>
    <w:rsid w:val="00894D30"/>
    <w:rsid w:val="00897DF6"/>
    <w:rsid w:val="008A015C"/>
    <w:rsid w:val="008A088D"/>
    <w:rsid w:val="008A0B4B"/>
    <w:rsid w:val="008A3B0D"/>
    <w:rsid w:val="008A464E"/>
    <w:rsid w:val="008A4B40"/>
    <w:rsid w:val="008A4DF1"/>
    <w:rsid w:val="008A5399"/>
    <w:rsid w:val="008A6815"/>
    <w:rsid w:val="008A6A0C"/>
    <w:rsid w:val="008A75E1"/>
    <w:rsid w:val="008B0503"/>
    <w:rsid w:val="008B199F"/>
    <w:rsid w:val="008B2E20"/>
    <w:rsid w:val="008B3319"/>
    <w:rsid w:val="008B35FA"/>
    <w:rsid w:val="008B3B00"/>
    <w:rsid w:val="008B40B3"/>
    <w:rsid w:val="008B42A5"/>
    <w:rsid w:val="008B4828"/>
    <w:rsid w:val="008B574D"/>
    <w:rsid w:val="008B62D9"/>
    <w:rsid w:val="008B71E5"/>
    <w:rsid w:val="008C1515"/>
    <w:rsid w:val="008C174F"/>
    <w:rsid w:val="008C2690"/>
    <w:rsid w:val="008C2B41"/>
    <w:rsid w:val="008C4CD3"/>
    <w:rsid w:val="008C6336"/>
    <w:rsid w:val="008C638F"/>
    <w:rsid w:val="008C6686"/>
    <w:rsid w:val="008C6946"/>
    <w:rsid w:val="008D1D3C"/>
    <w:rsid w:val="008D23C2"/>
    <w:rsid w:val="008D35BC"/>
    <w:rsid w:val="008D3CBD"/>
    <w:rsid w:val="008D6827"/>
    <w:rsid w:val="008E01FB"/>
    <w:rsid w:val="008E0384"/>
    <w:rsid w:val="008E18CA"/>
    <w:rsid w:val="008E20E3"/>
    <w:rsid w:val="008E3315"/>
    <w:rsid w:val="008E430C"/>
    <w:rsid w:val="008E47B1"/>
    <w:rsid w:val="008E4E77"/>
    <w:rsid w:val="008E559C"/>
    <w:rsid w:val="008E574F"/>
    <w:rsid w:val="008E5F73"/>
    <w:rsid w:val="008E7E09"/>
    <w:rsid w:val="008F0710"/>
    <w:rsid w:val="008F1F5D"/>
    <w:rsid w:val="008F25F5"/>
    <w:rsid w:val="008F6FC7"/>
    <w:rsid w:val="008F7BB3"/>
    <w:rsid w:val="008F7C8B"/>
    <w:rsid w:val="0090040F"/>
    <w:rsid w:val="00900E84"/>
    <w:rsid w:val="00901888"/>
    <w:rsid w:val="00902295"/>
    <w:rsid w:val="0090277B"/>
    <w:rsid w:val="009029E8"/>
    <w:rsid w:val="00902E02"/>
    <w:rsid w:val="0090372B"/>
    <w:rsid w:val="009038A5"/>
    <w:rsid w:val="0090430E"/>
    <w:rsid w:val="00904A3A"/>
    <w:rsid w:val="009067B1"/>
    <w:rsid w:val="00906B4B"/>
    <w:rsid w:val="009070AD"/>
    <w:rsid w:val="00910074"/>
    <w:rsid w:val="00912332"/>
    <w:rsid w:val="00912CCC"/>
    <w:rsid w:val="00912FE4"/>
    <w:rsid w:val="00914763"/>
    <w:rsid w:val="0091533F"/>
    <w:rsid w:val="00915BBD"/>
    <w:rsid w:val="00916468"/>
    <w:rsid w:val="00916EFD"/>
    <w:rsid w:val="00916F89"/>
    <w:rsid w:val="00917C72"/>
    <w:rsid w:val="00920052"/>
    <w:rsid w:val="00921851"/>
    <w:rsid w:val="00921A1A"/>
    <w:rsid w:val="00924434"/>
    <w:rsid w:val="00924888"/>
    <w:rsid w:val="00926DA2"/>
    <w:rsid w:val="00927A87"/>
    <w:rsid w:val="009306F8"/>
    <w:rsid w:val="00932225"/>
    <w:rsid w:val="00935E5D"/>
    <w:rsid w:val="009414F6"/>
    <w:rsid w:val="00942266"/>
    <w:rsid w:val="00944963"/>
    <w:rsid w:val="00947CBB"/>
    <w:rsid w:val="00947D2D"/>
    <w:rsid w:val="00950166"/>
    <w:rsid w:val="00951884"/>
    <w:rsid w:val="00951D33"/>
    <w:rsid w:val="00952CD1"/>
    <w:rsid w:val="00954333"/>
    <w:rsid w:val="00956C89"/>
    <w:rsid w:val="009603DB"/>
    <w:rsid w:val="00960602"/>
    <w:rsid w:val="009606F8"/>
    <w:rsid w:val="00961D05"/>
    <w:rsid w:val="00962DFD"/>
    <w:rsid w:val="00962FCA"/>
    <w:rsid w:val="00964707"/>
    <w:rsid w:val="00964909"/>
    <w:rsid w:val="00965097"/>
    <w:rsid w:val="00965C81"/>
    <w:rsid w:val="00966077"/>
    <w:rsid w:val="00970B92"/>
    <w:rsid w:val="009716DE"/>
    <w:rsid w:val="00971B3A"/>
    <w:rsid w:val="009720EC"/>
    <w:rsid w:val="00972215"/>
    <w:rsid w:val="00972847"/>
    <w:rsid w:val="00973892"/>
    <w:rsid w:val="00973CF1"/>
    <w:rsid w:val="00974066"/>
    <w:rsid w:val="00974758"/>
    <w:rsid w:val="00975302"/>
    <w:rsid w:val="00975311"/>
    <w:rsid w:val="00975B2C"/>
    <w:rsid w:val="00977693"/>
    <w:rsid w:val="0098029F"/>
    <w:rsid w:val="009803D2"/>
    <w:rsid w:val="00980793"/>
    <w:rsid w:val="00980A75"/>
    <w:rsid w:val="0098104F"/>
    <w:rsid w:val="0098164B"/>
    <w:rsid w:val="00981A15"/>
    <w:rsid w:val="00981CFC"/>
    <w:rsid w:val="00982806"/>
    <w:rsid w:val="00984F9A"/>
    <w:rsid w:val="009865C4"/>
    <w:rsid w:val="0098696D"/>
    <w:rsid w:val="009870E4"/>
    <w:rsid w:val="0098710F"/>
    <w:rsid w:val="00990557"/>
    <w:rsid w:val="00991E73"/>
    <w:rsid w:val="0099400D"/>
    <w:rsid w:val="00994CE4"/>
    <w:rsid w:val="009953FE"/>
    <w:rsid w:val="00995FBD"/>
    <w:rsid w:val="00996C6A"/>
    <w:rsid w:val="00997C3E"/>
    <w:rsid w:val="009A09C4"/>
    <w:rsid w:val="009A0A20"/>
    <w:rsid w:val="009A0DB4"/>
    <w:rsid w:val="009A1424"/>
    <w:rsid w:val="009A1554"/>
    <w:rsid w:val="009A1C95"/>
    <w:rsid w:val="009A2933"/>
    <w:rsid w:val="009A3546"/>
    <w:rsid w:val="009A36E3"/>
    <w:rsid w:val="009A3D00"/>
    <w:rsid w:val="009A4EC5"/>
    <w:rsid w:val="009A4FCD"/>
    <w:rsid w:val="009A5091"/>
    <w:rsid w:val="009A5586"/>
    <w:rsid w:val="009A6804"/>
    <w:rsid w:val="009A693C"/>
    <w:rsid w:val="009A7101"/>
    <w:rsid w:val="009B09A7"/>
    <w:rsid w:val="009B1C8B"/>
    <w:rsid w:val="009B26D9"/>
    <w:rsid w:val="009B39CC"/>
    <w:rsid w:val="009B608D"/>
    <w:rsid w:val="009B6340"/>
    <w:rsid w:val="009B6BDA"/>
    <w:rsid w:val="009B72B7"/>
    <w:rsid w:val="009C242A"/>
    <w:rsid w:val="009C3501"/>
    <w:rsid w:val="009C3A3D"/>
    <w:rsid w:val="009C4BEB"/>
    <w:rsid w:val="009C4DCF"/>
    <w:rsid w:val="009C526D"/>
    <w:rsid w:val="009C5597"/>
    <w:rsid w:val="009C5D6E"/>
    <w:rsid w:val="009D0885"/>
    <w:rsid w:val="009D143B"/>
    <w:rsid w:val="009D1F24"/>
    <w:rsid w:val="009D45FE"/>
    <w:rsid w:val="009D4C43"/>
    <w:rsid w:val="009D6B5B"/>
    <w:rsid w:val="009D6E8D"/>
    <w:rsid w:val="009D7A81"/>
    <w:rsid w:val="009D7E38"/>
    <w:rsid w:val="009E4EE4"/>
    <w:rsid w:val="009F094D"/>
    <w:rsid w:val="009F1946"/>
    <w:rsid w:val="009F1EC8"/>
    <w:rsid w:val="009F2A00"/>
    <w:rsid w:val="009F366E"/>
    <w:rsid w:val="00A010EF"/>
    <w:rsid w:val="00A014DC"/>
    <w:rsid w:val="00A03670"/>
    <w:rsid w:val="00A03B8C"/>
    <w:rsid w:val="00A04125"/>
    <w:rsid w:val="00A053D9"/>
    <w:rsid w:val="00A05991"/>
    <w:rsid w:val="00A05B04"/>
    <w:rsid w:val="00A06D3B"/>
    <w:rsid w:val="00A07306"/>
    <w:rsid w:val="00A07ACB"/>
    <w:rsid w:val="00A07D19"/>
    <w:rsid w:val="00A10E78"/>
    <w:rsid w:val="00A114DF"/>
    <w:rsid w:val="00A119FB"/>
    <w:rsid w:val="00A13D71"/>
    <w:rsid w:val="00A13EB7"/>
    <w:rsid w:val="00A14306"/>
    <w:rsid w:val="00A14626"/>
    <w:rsid w:val="00A14AB0"/>
    <w:rsid w:val="00A15B73"/>
    <w:rsid w:val="00A176C0"/>
    <w:rsid w:val="00A17C16"/>
    <w:rsid w:val="00A17DF9"/>
    <w:rsid w:val="00A2093B"/>
    <w:rsid w:val="00A21A5F"/>
    <w:rsid w:val="00A22F54"/>
    <w:rsid w:val="00A237CE"/>
    <w:rsid w:val="00A23A8B"/>
    <w:rsid w:val="00A23BD5"/>
    <w:rsid w:val="00A27443"/>
    <w:rsid w:val="00A27B62"/>
    <w:rsid w:val="00A3057B"/>
    <w:rsid w:val="00A314CB"/>
    <w:rsid w:val="00A3174A"/>
    <w:rsid w:val="00A31CFA"/>
    <w:rsid w:val="00A32243"/>
    <w:rsid w:val="00A35F9D"/>
    <w:rsid w:val="00A375A2"/>
    <w:rsid w:val="00A37E23"/>
    <w:rsid w:val="00A408A7"/>
    <w:rsid w:val="00A40947"/>
    <w:rsid w:val="00A41E27"/>
    <w:rsid w:val="00A4250E"/>
    <w:rsid w:val="00A463EB"/>
    <w:rsid w:val="00A46800"/>
    <w:rsid w:val="00A46BAB"/>
    <w:rsid w:val="00A46F39"/>
    <w:rsid w:val="00A4720A"/>
    <w:rsid w:val="00A504F3"/>
    <w:rsid w:val="00A5078E"/>
    <w:rsid w:val="00A507BE"/>
    <w:rsid w:val="00A51F6F"/>
    <w:rsid w:val="00A53D2B"/>
    <w:rsid w:val="00A55267"/>
    <w:rsid w:val="00A553BA"/>
    <w:rsid w:val="00A5546A"/>
    <w:rsid w:val="00A56B86"/>
    <w:rsid w:val="00A60DD5"/>
    <w:rsid w:val="00A6102A"/>
    <w:rsid w:val="00A6117F"/>
    <w:rsid w:val="00A61242"/>
    <w:rsid w:val="00A62B9B"/>
    <w:rsid w:val="00A63CD0"/>
    <w:rsid w:val="00A64697"/>
    <w:rsid w:val="00A6477A"/>
    <w:rsid w:val="00A67CB7"/>
    <w:rsid w:val="00A716D1"/>
    <w:rsid w:val="00A71B20"/>
    <w:rsid w:val="00A7280C"/>
    <w:rsid w:val="00A72E01"/>
    <w:rsid w:val="00A7413B"/>
    <w:rsid w:val="00A7454C"/>
    <w:rsid w:val="00A76137"/>
    <w:rsid w:val="00A7669A"/>
    <w:rsid w:val="00A76779"/>
    <w:rsid w:val="00A76A27"/>
    <w:rsid w:val="00A776F6"/>
    <w:rsid w:val="00A8022F"/>
    <w:rsid w:val="00A8079F"/>
    <w:rsid w:val="00A80864"/>
    <w:rsid w:val="00A818C8"/>
    <w:rsid w:val="00A832CB"/>
    <w:rsid w:val="00A83A07"/>
    <w:rsid w:val="00A83D2D"/>
    <w:rsid w:val="00A85583"/>
    <w:rsid w:val="00A86DEC"/>
    <w:rsid w:val="00A874DB"/>
    <w:rsid w:val="00A905A1"/>
    <w:rsid w:val="00A907FB"/>
    <w:rsid w:val="00A90C0B"/>
    <w:rsid w:val="00A917CB"/>
    <w:rsid w:val="00A91DDA"/>
    <w:rsid w:val="00A92E31"/>
    <w:rsid w:val="00A932E5"/>
    <w:rsid w:val="00A93485"/>
    <w:rsid w:val="00A939A9"/>
    <w:rsid w:val="00A93E31"/>
    <w:rsid w:val="00A94A1B"/>
    <w:rsid w:val="00A957E1"/>
    <w:rsid w:val="00A96554"/>
    <w:rsid w:val="00A97ABC"/>
    <w:rsid w:val="00AA0B94"/>
    <w:rsid w:val="00AA0D06"/>
    <w:rsid w:val="00AA0F7A"/>
    <w:rsid w:val="00AA2062"/>
    <w:rsid w:val="00AA2766"/>
    <w:rsid w:val="00AA28FD"/>
    <w:rsid w:val="00AA2DE1"/>
    <w:rsid w:val="00AA3B04"/>
    <w:rsid w:val="00AA43C4"/>
    <w:rsid w:val="00AA6278"/>
    <w:rsid w:val="00AB549D"/>
    <w:rsid w:val="00AB58D0"/>
    <w:rsid w:val="00AB5CAD"/>
    <w:rsid w:val="00AB629D"/>
    <w:rsid w:val="00AB6705"/>
    <w:rsid w:val="00AB6832"/>
    <w:rsid w:val="00AB70BB"/>
    <w:rsid w:val="00AB78C5"/>
    <w:rsid w:val="00AC1DBA"/>
    <w:rsid w:val="00AC2572"/>
    <w:rsid w:val="00AC3783"/>
    <w:rsid w:val="00AC4D48"/>
    <w:rsid w:val="00AC4DE6"/>
    <w:rsid w:val="00AC77D2"/>
    <w:rsid w:val="00AD0EAC"/>
    <w:rsid w:val="00AD18FA"/>
    <w:rsid w:val="00AD2E3F"/>
    <w:rsid w:val="00AD33AE"/>
    <w:rsid w:val="00AD3EB1"/>
    <w:rsid w:val="00AD486D"/>
    <w:rsid w:val="00AD5243"/>
    <w:rsid w:val="00AD5739"/>
    <w:rsid w:val="00AD5E26"/>
    <w:rsid w:val="00AD670E"/>
    <w:rsid w:val="00AD6E31"/>
    <w:rsid w:val="00AD7250"/>
    <w:rsid w:val="00AD7E82"/>
    <w:rsid w:val="00AE0D75"/>
    <w:rsid w:val="00AE15BC"/>
    <w:rsid w:val="00AE2613"/>
    <w:rsid w:val="00AE3334"/>
    <w:rsid w:val="00AE54D8"/>
    <w:rsid w:val="00AE55C7"/>
    <w:rsid w:val="00AE5FB6"/>
    <w:rsid w:val="00AE6A31"/>
    <w:rsid w:val="00AE729C"/>
    <w:rsid w:val="00AF27D3"/>
    <w:rsid w:val="00AF3197"/>
    <w:rsid w:val="00AF5FB2"/>
    <w:rsid w:val="00AF630D"/>
    <w:rsid w:val="00AF66A9"/>
    <w:rsid w:val="00AF78B1"/>
    <w:rsid w:val="00B00DFD"/>
    <w:rsid w:val="00B02848"/>
    <w:rsid w:val="00B0434A"/>
    <w:rsid w:val="00B047B4"/>
    <w:rsid w:val="00B05E68"/>
    <w:rsid w:val="00B06C2F"/>
    <w:rsid w:val="00B079DD"/>
    <w:rsid w:val="00B10334"/>
    <w:rsid w:val="00B109CF"/>
    <w:rsid w:val="00B1122B"/>
    <w:rsid w:val="00B126DA"/>
    <w:rsid w:val="00B12831"/>
    <w:rsid w:val="00B1328D"/>
    <w:rsid w:val="00B13468"/>
    <w:rsid w:val="00B13CF6"/>
    <w:rsid w:val="00B15842"/>
    <w:rsid w:val="00B163FF"/>
    <w:rsid w:val="00B170A1"/>
    <w:rsid w:val="00B17AA0"/>
    <w:rsid w:val="00B17E60"/>
    <w:rsid w:val="00B207F3"/>
    <w:rsid w:val="00B215D6"/>
    <w:rsid w:val="00B228E8"/>
    <w:rsid w:val="00B22AA4"/>
    <w:rsid w:val="00B24CAD"/>
    <w:rsid w:val="00B25039"/>
    <w:rsid w:val="00B265E4"/>
    <w:rsid w:val="00B30BFC"/>
    <w:rsid w:val="00B30FA5"/>
    <w:rsid w:val="00B34A4B"/>
    <w:rsid w:val="00B3531B"/>
    <w:rsid w:val="00B36BB0"/>
    <w:rsid w:val="00B40554"/>
    <w:rsid w:val="00B412CF"/>
    <w:rsid w:val="00B41FF8"/>
    <w:rsid w:val="00B42132"/>
    <w:rsid w:val="00B429DF"/>
    <w:rsid w:val="00B44E3A"/>
    <w:rsid w:val="00B45D6E"/>
    <w:rsid w:val="00B46123"/>
    <w:rsid w:val="00B46381"/>
    <w:rsid w:val="00B47850"/>
    <w:rsid w:val="00B51AE2"/>
    <w:rsid w:val="00B51CDD"/>
    <w:rsid w:val="00B542AC"/>
    <w:rsid w:val="00B54A0C"/>
    <w:rsid w:val="00B56025"/>
    <w:rsid w:val="00B562D2"/>
    <w:rsid w:val="00B5759F"/>
    <w:rsid w:val="00B578F2"/>
    <w:rsid w:val="00B57FCF"/>
    <w:rsid w:val="00B60178"/>
    <w:rsid w:val="00B60CB4"/>
    <w:rsid w:val="00B61104"/>
    <w:rsid w:val="00B6353E"/>
    <w:rsid w:val="00B63EFD"/>
    <w:rsid w:val="00B64183"/>
    <w:rsid w:val="00B64D47"/>
    <w:rsid w:val="00B65374"/>
    <w:rsid w:val="00B66C00"/>
    <w:rsid w:val="00B67B86"/>
    <w:rsid w:val="00B70CCA"/>
    <w:rsid w:val="00B71E89"/>
    <w:rsid w:val="00B720C5"/>
    <w:rsid w:val="00B72DA0"/>
    <w:rsid w:val="00B73497"/>
    <w:rsid w:val="00B74A4B"/>
    <w:rsid w:val="00B751B5"/>
    <w:rsid w:val="00B7560D"/>
    <w:rsid w:val="00B8066B"/>
    <w:rsid w:val="00B8189C"/>
    <w:rsid w:val="00B81AC5"/>
    <w:rsid w:val="00B81C7F"/>
    <w:rsid w:val="00B82AAA"/>
    <w:rsid w:val="00B83042"/>
    <w:rsid w:val="00B84234"/>
    <w:rsid w:val="00B86016"/>
    <w:rsid w:val="00B86A18"/>
    <w:rsid w:val="00B86D15"/>
    <w:rsid w:val="00B87191"/>
    <w:rsid w:val="00B874D0"/>
    <w:rsid w:val="00B875DD"/>
    <w:rsid w:val="00B87BAA"/>
    <w:rsid w:val="00B87BBC"/>
    <w:rsid w:val="00B92D75"/>
    <w:rsid w:val="00B93F7C"/>
    <w:rsid w:val="00B94BA4"/>
    <w:rsid w:val="00B94FE6"/>
    <w:rsid w:val="00B95520"/>
    <w:rsid w:val="00B961B8"/>
    <w:rsid w:val="00B9636A"/>
    <w:rsid w:val="00B965F8"/>
    <w:rsid w:val="00BA0148"/>
    <w:rsid w:val="00BA0628"/>
    <w:rsid w:val="00BA0D1F"/>
    <w:rsid w:val="00BA0EE3"/>
    <w:rsid w:val="00BA15ED"/>
    <w:rsid w:val="00BA1EF6"/>
    <w:rsid w:val="00BA4169"/>
    <w:rsid w:val="00BA512C"/>
    <w:rsid w:val="00BA592D"/>
    <w:rsid w:val="00BA599B"/>
    <w:rsid w:val="00BA5AD7"/>
    <w:rsid w:val="00BA5C03"/>
    <w:rsid w:val="00BA6091"/>
    <w:rsid w:val="00BA6175"/>
    <w:rsid w:val="00BA6A5B"/>
    <w:rsid w:val="00BB176E"/>
    <w:rsid w:val="00BB1F5A"/>
    <w:rsid w:val="00BB2731"/>
    <w:rsid w:val="00BB5C23"/>
    <w:rsid w:val="00BC12B1"/>
    <w:rsid w:val="00BC151D"/>
    <w:rsid w:val="00BC1F51"/>
    <w:rsid w:val="00BC2546"/>
    <w:rsid w:val="00BC56E6"/>
    <w:rsid w:val="00BC5F9C"/>
    <w:rsid w:val="00BC65E7"/>
    <w:rsid w:val="00BD047B"/>
    <w:rsid w:val="00BD0523"/>
    <w:rsid w:val="00BD0DD5"/>
    <w:rsid w:val="00BD2FF9"/>
    <w:rsid w:val="00BD33E4"/>
    <w:rsid w:val="00BD352E"/>
    <w:rsid w:val="00BD3682"/>
    <w:rsid w:val="00BD5355"/>
    <w:rsid w:val="00BD5B3E"/>
    <w:rsid w:val="00BD743E"/>
    <w:rsid w:val="00BE0712"/>
    <w:rsid w:val="00BE073F"/>
    <w:rsid w:val="00BE1D24"/>
    <w:rsid w:val="00BE32A1"/>
    <w:rsid w:val="00BE5E83"/>
    <w:rsid w:val="00BE77BF"/>
    <w:rsid w:val="00BE7AD1"/>
    <w:rsid w:val="00BF0412"/>
    <w:rsid w:val="00BF1D7D"/>
    <w:rsid w:val="00BF1FEC"/>
    <w:rsid w:val="00BF241A"/>
    <w:rsid w:val="00BF39F1"/>
    <w:rsid w:val="00BF3B49"/>
    <w:rsid w:val="00BF48E6"/>
    <w:rsid w:val="00BF49BE"/>
    <w:rsid w:val="00BF4DE0"/>
    <w:rsid w:val="00BF5C25"/>
    <w:rsid w:val="00BF6158"/>
    <w:rsid w:val="00BF7CCD"/>
    <w:rsid w:val="00C0199C"/>
    <w:rsid w:val="00C02AF4"/>
    <w:rsid w:val="00C04532"/>
    <w:rsid w:val="00C04A71"/>
    <w:rsid w:val="00C04A96"/>
    <w:rsid w:val="00C0548D"/>
    <w:rsid w:val="00C07707"/>
    <w:rsid w:val="00C111EE"/>
    <w:rsid w:val="00C1140D"/>
    <w:rsid w:val="00C1164A"/>
    <w:rsid w:val="00C12A20"/>
    <w:rsid w:val="00C132F9"/>
    <w:rsid w:val="00C1422B"/>
    <w:rsid w:val="00C14F3F"/>
    <w:rsid w:val="00C16200"/>
    <w:rsid w:val="00C16579"/>
    <w:rsid w:val="00C1705A"/>
    <w:rsid w:val="00C1775C"/>
    <w:rsid w:val="00C209C0"/>
    <w:rsid w:val="00C22D7D"/>
    <w:rsid w:val="00C23D53"/>
    <w:rsid w:val="00C2438C"/>
    <w:rsid w:val="00C247D0"/>
    <w:rsid w:val="00C266E3"/>
    <w:rsid w:val="00C26739"/>
    <w:rsid w:val="00C279FA"/>
    <w:rsid w:val="00C35108"/>
    <w:rsid w:val="00C356BF"/>
    <w:rsid w:val="00C367EB"/>
    <w:rsid w:val="00C400A6"/>
    <w:rsid w:val="00C40CC0"/>
    <w:rsid w:val="00C40F72"/>
    <w:rsid w:val="00C43180"/>
    <w:rsid w:val="00C43C89"/>
    <w:rsid w:val="00C44615"/>
    <w:rsid w:val="00C45487"/>
    <w:rsid w:val="00C4650C"/>
    <w:rsid w:val="00C4678C"/>
    <w:rsid w:val="00C468CF"/>
    <w:rsid w:val="00C47BD2"/>
    <w:rsid w:val="00C51123"/>
    <w:rsid w:val="00C517D3"/>
    <w:rsid w:val="00C51EE0"/>
    <w:rsid w:val="00C53233"/>
    <w:rsid w:val="00C54675"/>
    <w:rsid w:val="00C5508F"/>
    <w:rsid w:val="00C5615F"/>
    <w:rsid w:val="00C600C7"/>
    <w:rsid w:val="00C600F5"/>
    <w:rsid w:val="00C606D0"/>
    <w:rsid w:val="00C61893"/>
    <w:rsid w:val="00C627CE"/>
    <w:rsid w:val="00C627DB"/>
    <w:rsid w:val="00C62F70"/>
    <w:rsid w:val="00C63C55"/>
    <w:rsid w:val="00C65584"/>
    <w:rsid w:val="00C65641"/>
    <w:rsid w:val="00C6685E"/>
    <w:rsid w:val="00C66D97"/>
    <w:rsid w:val="00C67657"/>
    <w:rsid w:val="00C67764"/>
    <w:rsid w:val="00C67FA8"/>
    <w:rsid w:val="00C70CC1"/>
    <w:rsid w:val="00C7292E"/>
    <w:rsid w:val="00C740D9"/>
    <w:rsid w:val="00C741BB"/>
    <w:rsid w:val="00C7475E"/>
    <w:rsid w:val="00C74FD4"/>
    <w:rsid w:val="00C7504F"/>
    <w:rsid w:val="00C7628E"/>
    <w:rsid w:val="00C80CAB"/>
    <w:rsid w:val="00C813FD"/>
    <w:rsid w:val="00C82251"/>
    <w:rsid w:val="00C838A2"/>
    <w:rsid w:val="00C84421"/>
    <w:rsid w:val="00C84965"/>
    <w:rsid w:val="00C86AB7"/>
    <w:rsid w:val="00C873D5"/>
    <w:rsid w:val="00C87AD6"/>
    <w:rsid w:val="00C87ED8"/>
    <w:rsid w:val="00C90D87"/>
    <w:rsid w:val="00C90E20"/>
    <w:rsid w:val="00C927FF"/>
    <w:rsid w:val="00C93663"/>
    <w:rsid w:val="00C937CC"/>
    <w:rsid w:val="00C94F2C"/>
    <w:rsid w:val="00C953C8"/>
    <w:rsid w:val="00C96FE9"/>
    <w:rsid w:val="00CA030D"/>
    <w:rsid w:val="00CA3CCC"/>
    <w:rsid w:val="00CA58A7"/>
    <w:rsid w:val="00CA6B3F"/>
    <w:rsid w:val="00CA6D84"/>
    <w:rsid w:val="00CA78CE"/>
    <w:rsid w:val="00CB3A60"/>
    <w:rsid w:val="00CB567A"/>
    <w:rsid w:val="00CB5EC4"/>
    <w:rsid w:val="00CB6673"/>
    <w:rsid w:val="00CB74C4"/>
    <w:rsid w:val="00CC04D3"/>
    <w:rsid w:val="00CC0DF3"/>
    <w:rsid w:val="00CC17BD"/>
    <w:rsid w:val="00CC1861"/>
    <w:rsid w:val="00CC24B0"/>
    <w:rsid w:val="00CC28E5"/>
    <w:rsid w:val="00CC2AE0"/>
    <w:rsid w:val="00CC5B4D"/>
    <w:rsid w:val="00CC767C"/>
    <w:rsid w:val="00CC7D08"/>
    <w:rsid w:val="00CC7DCB"/>
    <w:rsid w:val="00CD0D34"/>
    <w:rsid w:val="00CD0DE3"/>
    <w:rsid w:val="00CD1835"/>
    <w:rsid w:val="00CD32A5"/>
    <w:rsid w:val="00CD478E"/>
    <w:rsid w:val="00CD4AA4"/>
    <w:rsid w:val="00CD4CD8"/>
    <w:rsid w:val="00CD693B"/>
    <w:rsid w:val="00CD6FA8"/>
    <w:rsid w:val="00CE23F7"/>
    <w:rsid w:val="00CE2608"/>
    <w:rsid w:val="00CE2F07"/>
    <w:rsid w:val="00CE351C"/>
    <w:rsid w:val="00CE3904"/>
    <w:rsid w:val="00CE416B"/>
    <w:rsid w:val="00CE4AD4"/>
    <w:rsid w:val="00CE52ED"/>
    <w:rsid w:val="00CE5A3A"/>
    <w:rsid w:val="00CE61BC"/>
    <w:rsid w:val="00CE71E5"/>
    <w:rsid w:val="00CE72FF"/>
    <w:rsid w:val="00CE7591"/>
    <w:rsid w:val="00CF2EE6"/>
    <w:rsid w:val="00CF37FA"/>
    <w:rsid w:val="00CF425B"/>
    <w:rsid w:val="00CF4673"/>
    <w:rsid w:val="00CF5777"/>
    <w:rsid w:val="00CF69A3"/>
    <w:rsid w:val="00CF7BB1"/>
    <w:rsid w:val="00D002CF"/>
    <w:rsid w:val="00D009C6"/>
    <w:rsid w:val="00D00EED"/>
    <w:rsid w:val="00D01729"/>
    <w:rsid w:val="00D01EC6"/>
    <w:rsid w:val="00D0233A"/>
    <w:rsid w:val="00D0386B"/>
    <w:rsid w:val="00D04A3A"/>
    <w:rsid w:val="00D06433"/>
    <w:rsid w:val="00D06A6B"/>
    <w:rsid w:val="00D110CD"/>
    <w:rsid w:val="00D113D0"/>
    <w:rsid w:val="00D11C3D"/>
    <w:rsid w:val="00D128D0"/>
    <w:rsid w:val="00D12AF1"/>
    <w:rsid w:val="00D137B2"/>
    <w:rsid w:val="00D1482E"/>
    <w:rsid w:val="00D14DC6"/>
    <w:rsid w:val="00D14FF3"/>
    <w:rsid w:val="00D158D1"/>
    <w:rsid w:val="00D1655C"/>
    <w:rsid w:val="00D1665B"/>
    <w:rsid w:val="00D1799D"/>
    <w:rsid w:val="00D20148"/>
    <w:rsid w:val="00D20E3D"/>
    <w:rsid w:val="00D2123D"/>
    <w:rsid w:val="00D215D1"/>
    <w:rsid w:val="00D22FD6"/>
    <w:rsid w:val="00D25E0C"/>
    <w:rsid w:val="00D26A9F"/>
    <w:rsid w:val="00D30326"/>
    <w:rsid w:val="00D31D8E"/>
    <w:rsid w:val="00D32C7A"/>
    <w:rsid w:val="00D3520C"/>
    <w:rsid w:val="00D353AD"/>
    <w:rsid w:val="00D357C9"/>
    <w:rsid w:val="00D35E38"/>
    <w:rsid w:val="00D35E73"/>
    <w:rsid w:val="00D36129"/>
    <w:rsid w:val="00D36CFD"/>
    <w:rsid w:val="00D37089"/>
    <w:rsid w:val="00D3731D"/>
    <w:rsid w:val="00D37493"/>
    <w:rsid w:val="00D376A2"/>
    <w:rsid w:val="00D42878"/>
    <w:rsid w:val="00D43823"/>
    <w:rsid w:val="00D4569E"/>
    <w:rsid w:val="00D46947"/>
    <w:rsid w:val="00D51B6A"/>
    <w:rsid w:val="00D52A5D"/>
    <w:rsid w:val="00D531E3"/>
    <w:rsid w:val="00D53CA0"/>
    <w:rsid w:val="00D53D61"/>
    <w:rsid w:val="00D54C4C"/>
    <w:rsid w:val="00D55305"/>
    <w:rsid w:val="00D554A9"/>
    <w:rsid w:val="00D5789A"/>
    <w:rsid w:val="00D60772"/>
    <w:rsid w:val="00D673CB"/>
    <w:rsid w:val="00D67878"/>
    <w:rsid w:val="00D70266"/>
    <w:rsid w:val="00D71018"/>
    <w:rsid w:val="00D724A3"/>
    <w:rsid w:val="00D7253A"/>
    <w:rsid w:val="00D73B80"/>
    <w:rsid w:val="00D747F6"/>
    <w:rsid w:val="00D74A5C"/>
    <w:rsid w:val="00D75573"/>
    <w:rsid w:val="00D76383"/>
    <w:rsid w:val="00D80FF9"/>
    <w:rsid w:val="00D8118A"/>
    <w:rsid w:val="00D819B0"/>
    <w:rsid w:val="00D8206B"/>
    <w:rsid w:val="00D83FCB"/>
    <w:rsid w:val="00D84334"/>
    <w:rsid w:val="00D851CB"/>
    <w:rsid w:val="00D86A05"/>
    <w:rsid w:val="00D86DBD"/>
    <w:rsid w:val="00D871FF"/>
    <w:rsid w:val="00D8737D"/>
    <w:rsid w:val="00D878CB"/>
    <w:rsid w:val="00D90000"/>
    <w:rsid w:val="00D90005"/>
    <w:rsid w:val="00D908FC"/>
    <w:rsid w:val="00D91B90"/>
    <w:rsid w:val="00D922E0"/>
    <w:rsid w:val="00D9251C"/>
    <w:rsid w:val="00D9254A"/>
    <w:rsid w:val="00D933EF"/>
    <w:rsid w:val="00D936DF"/>
    <w:rsid w:val="00D9536A"/>
    <w:rsid w:val="00D95769"/>
    <w:rsid w:val="00D97666"/>
    <w:rsid w:val="00D97A4E"/>
    <w:rsid w:val="00DA19BF"/>
    <w:rsid w:val="00DA1C1E"/>
    <w:rsid w:val="00DA2AB7"/>
    <w:rsid w:val="00DA363A"/>
    <w:rsid w:val="00DA3D3F"/>
    <w:rsid w:val="00DA5CB3"/>
    <w:rsid w:val="00DA60A5"/>
    <w:rsid w:val="00DA7309"/>
    <w:rsid w:val="00DB0F3D"/>
    <w:rsid w:val="00DB11FA"/>
    <w:rsid w:val="00DB260F"/>
    <w:rsid w:val="00DB49AE"/>
    <w:rsid w:val="00DB5737"/>
    <w:rsid w:val="00DB6951"/>
    <w:rsid w:val="00DB74E5"/>
    <w:rsid w:val="00DB7F92"/>
    <w:rsid w:val="00DC4089"/>
    <w:rsid w:val="00DC4507"/>
    <w:rsid w:val="00DD0468"/>
    <w:rsid w:val="00DD0AAF"/>
    <w:rsid w:val="00DD1642"/>
    <w:rsid w:val="00DD1B94"/>
    <w:rsid w:val="00DD20E2"/>
    <w:rsid w:val="00DD397F"/>
    <w:rsid w:val="00DD3F68"/>
    <w:rsid w:val="00DD4C77"/>
    <w:rsid w:val="00DD5D2D"/>
    <w:rsid w:val="00DD71CE"/>
    <w:rsid w:val="00DD7D4A"/>
    <w:rsid w:val="00DE0923"/>
    <w:rsid w:val="00DE12F7"/>
    <w:rsid w:val="00DE4876"/>
    <w:rsid w:val="00DE4CC2"/>
    <w:rsid w:val="00DE55AE"/>
    <w:rsid w:val="00DE6493"/>
    <w:rsid w:val="00DE66FE"/>
    <w:rsid w:val="00DE6C91"/>
    <w:rsid w:val="00DE77D1"/>
    <w:rsid w:val="00DE7E98"/>
    <w:rsid w:val="00DF0867"/>
    <w:rsid w:val="00DF2ADF"/>
    <w:rsid w:val="00DF3DF4"/>
    <w:rsid w:val="00DF5573"/>
    <w:rsid w:val="00DF669A"/>
    <w:rsid w:val="00DF691E"/>
    <w:rsid w:val="00DF6E07"/>
    <w:rsid w:val="00E00040"/>
    <w:rsid w:val="00E00313"/>
    <w:rsid w:val="00E01309"/>
    <w:rsid w:val="00E014F2"/>
    <w:rsid w:val="00E028B4"/>
    <w:rsid w:val="00E02B89"/>
    <w:rsid w:val="00E033C2"/>
    <w:rsid w:val="00E03E82"/>
    <w:rsid w:val="00E05328"/>
    <w:rsid w:val="00E058F4"/>
    <w:rsid w:val="00E07092"/>
    <w:rsid w:val="00E07107"/>
    <w:rsid w:val="00E07731"/>
    <w:rsid w:val="00E1059B"/>
    <w:rsid w:val="00E10833"/>
    <w:rsid w:val="00E11CD3"/>
    <w:rsid w:val="00E17231"/>
    <w:rsid w:val="00E233BA"/>
    <w:rsid w:val="00E2460E"/>
    <w:rsid w:val="00E24A64"/>
    <w:rsid w:val="00E25BFF"/>
    <w:rsid w:val="00E2699E"/>
    <w:rsid w:val="00E3068B"/>
    <w:rsid w:val="00E30905"/>
    <w:rsid w:val="00E313B1"/>
    <w:rsid w:val="00E320E9"/>
    <w:rsid w:val="00E3236C"/>
    <w:rsid w:val="00E32A32"/>
    <w:rsid w:val="00E33190"/>
    <w:rsid w:val="00E34BF5"/>
    <w:rsid w:val="00E3627A"/>
    <w:rsid w:val="00E36375"/>
    <w:rsid w:val="00E36B73"/>
    <w:rsid w:val="00E37247"/>
    <w:rsid w:val="00E4082B"/>
    <w:rsid w:val="00E4106B"/>
    <w:rsid w:val="00E418EE"/>
    <w:rsid w:val="00E4259D"/>
    <w:rsid w:val="00E429D4"/>
    <w:rsid w:val="00E4484E"/>
    <w:rsid w:val="00E47A71"/>
    <w:rsid w:val="00E47CE7"/>
    <w:rsid w:val="00E5043E"/>
    <w:rsid w:val="00E5058C"/>
    <w:rsid w:val="00E507B7"/>
    <w:rsid w:val="00E509C8"/>
    <w:rsid w:val="00E50A1F"/>
    <w:rsid w:val="00E51245"/>
    <w:rsid w:val="00E52ACB"/>
    <w:rsid w:val="00E53E7B"/>
    <w:rsid w:val="00E5426B"/>
    <w:rsid w:val="00E55198"/>
    <w:rsid w:val="00E5583C"/>
    <w:rsid w:val="00E559FF"/>
    <w:rsid w:val="00E5628A"/>
    <w:rsid w:val="00E57FA5"/>
    <w:rsid w:val="00E6076D"/>
    <w:rsid w:val="00E61E74"/>
    <w:rsid w:val="00E64FF9"/>
    <w:rsid w:val="00E664AF"/>
    <w:rsid w:val="00E6669C"/>
    <w:rsid w:val="00E66AD2"/>
    <w:rsid w:val="00E66F6D"/>
    <w:rsid w:val="00E67E13"/>
    <w:rsid w:val="00E71011"/>
    <w:rsid w:val="00E71A1B"/>
    <w:rsid w:val="00E7263D"/>
    <w:rsid w:val="00E72C89"/>
    <w:rsid w:val="00E73B77"/>
    <w:rsid w:val="00E74A60"/>
    <w:rsid w:val="00E74C43"/>
    <w:rsid w:val="00E76C0A"/>
    <w:rsid w:val="00E76EDC"/>
    <w:rsid w:val="00E774F5"/>
    <w:rsid w:val="00E7768D"/>
    <w:rsid w:val="00E800F4"/>
    <w:rsid w:val="00E80127"/>
    <w:rsid w:val="00E81256"/>
    <w:rsid w:val="00E841D8"/>
    <w:rsid w:val="00E84A50"/>
    <w:rsid w:val="00E84DDF"/>
    <w:rsid w:val="00E856C7"/>
    <w:rsid w:val="00E870D3"/>
    <w:rsid w:val="00E874B3"/>
    <w:rsid w:val="00E904CF"/>
    <w:rsid w:val="00E9155B"/>
    <w:rsid w:val="00E94143"/>
    <w:rsid w:val="00E962CD"/>
    <w:rsid w:val="00E9718F"/>
    <w:rsid w:val="00EA072D"/>
    <w:rsid w:val="00EA11BB"/>
    <w:rsid w:val="00EA40BC"/>
    <w:rsid w:val="00EA46FA"/>
    <w:rsid w:val="00EA55DD"/>
    <w:rsid w:val="00EA68DD"/>
    <w:rsid w:val="00EA6A9B"/>
    <w:rsid w:val="00EA77CF"/>
    <w:rsid w:val="00EA7E01"/>
    <w:rsid w:val="00EB01A3"/>
    <w:rsid w:val="00EB02C1"/>
    <w:rsid w:val="00EB13A7"/>
    <w:rsid w:val="00EB1C49"/>
    <w:rsid w:val="00EB271D"/>
    <w:rsid w:val="00EB2CC0"/>
    <w:rsid w:val="00EB30B3"/>
    <w:rsid w:val="00EB379E"/>
    <w:rsid w:val="00EB549C"/>
    <w:rsid w:val="00EC0FDF"/>
    <w:rsid w:val="00EC1256"/>
    <w:rsid w:val="00EC1738"/>
    <w:rsid w:val="00EC3785"/>
    <w:rsid w:val="00EC41D3"/>
    <w:rsid w:val="00EC59A9"/>
    <w:rsid w:val="00EC7864"/>
    <w:rsid w:val="00EC786A"/>
    <w:rsid w:val="00ED29F1"/>
    <w:rsid w:val="00ED3786"/>
    <w:rsid w:val="00ED380A"/>
    <w:rsid w:val="00ED39AE"/>
    <w:rsid w:val="00ED4012"/>
    <w:rsid w:val="00ED52FA"/>
    <w:rsid w:val="00ED5685"/>
    <w:rsid w:val="00ED573D"/>
    <w:rsid w:val="00ED61EC"/>
    <w:rsid w:val="00EE054A"/>
    <w:rsid w:val="00EE05E4"/>
    <w:rsid w:val="00EE1796"/>
    <w:rsid w:val="00EE17D0"/>
    <w:rsid w:val="00EE2057"/>
    <w:rsid w:val="00EE37F9"/>
    <w:rsid w:val="00EE4F11"/>
    <w:rsid w:val="00EE6CE8"/>
    <w:rsid w:val="00EE7F06"/>
    <w:rsid w:val="00EF04D7"/>
    <w:rsid w:val="00EF0660"/>
    <w:rsid w:val="00EF0AF6"/>
    <w:rsid w:val="00EF19DE"/>
    <w:rsid w:val="00EF42B6"/>
    <w:rsid w:val="00EF433F"/>
    <w:rsid w:val="00EF4E72"/>
    <w:rsid w:val="00EF5978"/>
    <w:rsid w:val="00EF5C63"/>
    <w:rsid w:val="00EF5DF7"/>
    <w:rsid w:val="00EF6684"/>
    <w:rsid w:val="00F026CC"/>
    <w:rsid w:val="00F02E84"/>
    <w:rsid w:val="00F044E6"/>
    <w:rsid w:val="00F051C0"/>
    <w:rsid w:val="00F0595C"/>
    <w:rsid w:val="00F06E09"/>
    <w:rsid w:val="00F0701C"/>
    <w:rsid w:val="00F07267"/>
    <w:rsid w:val="00F1168B"/>
    <w:rsid w:val="00F119E7"/>
    <w:rsid w:val="00F11B7F"/>
    <w:rsid w:val="00F15EDE"/>
    <w:rsid w:val="00F16A64"/>
    <w:rsid w:val="00F17535"/>
    <w:rsid w:val="00F178B4"/>
    <w:rsid w:val="00F17CC4"/>
    <w:rsid w:val="00F20423"/>
    <w:rsid w:val="00F20CDD"/>
    <w:rsid w:val="00F20D42"/>
    <w:rsid w:val="00F213AE"/>
    <w:rsid w:val="00F222D2"/>
    <w:rsid w:val="00F2244E"/>
    <w:rsid w:val="00F23D0E"/>
    <w:rsid w:val="00F25F0C"/>
    <w:rsid w:val="00F26A8A"/>
    <w:rsid w:val="00F2721F"/>
    <w:rsid w:val="00F3167A"/>
    <w:rsid w:val="00F3249D"/>
    <w:rsid w:val="00F3371B"/>
    <w:rsid w:val="00F34E64"/>
    <w:rsid w:val="00F36B04"/>
    <w:rsid w:val="00F36B5D"/>
    <w:rsid w:val="00F36E30"/>
    <w:rsid w:val="00F36F8F"/>
    <w:rsid w:val="00F37335"/>
    <w:rsid w:val="00F37A6C"/>
    <w:rsid w:val="00F43351"/>
    <w:rsid w:val="00F4348B"/>
    <w:rsid w:val="00F438B0"/>
    <w:rsid w:val="00F45B47"/>
    <w:rsid w:val="00F466C6"/>
    <w:rsid w:val="00F47619"/>
    <w:rsid w:val="00F47E82"/>
    <w:rsid w:val="00F508AC"/>
    <w:rsid w:val="00F50C2F"/>
    <w:rsid w:val="00F5216C"/>
    <w:rsid w:val="00F535CA"/>
    <w:rsid w:val="00F549D3"/>
    <w:rsid w:val="00F54F06"/>
    <w:rsid w:val="00F54FF4"/>
    <w:rsid w:val="00F56C9E"/>
    <w:rsid w:val="00F579A8"/>
    <w:rsid w:val="00F61839"/>
    <w:rsid w:val="00F63A16"/>
    <w:rsid w:val="00F64124"/>
    <w:rsid w:val="00F641EF"/>
    <w:rsid w:val="00F64EF5"/>
    <w:rsid w:val="00F651EE"/>
    <w:rsid w:val="00F6537D"/>
    <w:rsid w:val="00F65529"/>
    <w:rsid w:val="00F656B8"/>
    <w:rsid w:val="00F717BA"/>
    <w:rsid w:val="00F718DB"/>
    <w:rsid w:val="00F71B9C"/>
    <w:rsid w:val="00F734B5"/>
    <w:rsid w:val="00F7437D"/>
    <w:rsid w:val="00F7485F"/>
    <w:rsid w:val="00F74F76"/>
    <w:rsid w:val="00F75D25"/>
    <w:rsid w:val="00F76189"/>
    <w:rsid w:val="00F7691A"/>
    <w:rsid w:val="00F76D20"/>
    <w:rsid w:val="00F77317"/>
    <w:rsid w:val="00F775D6"/>
    <w:rsid w:val="00F77AAC"/>
    <w:rsid w:val="00F77ACB"/>
    <w:rsid w:val="00F80073"/>
    <w:rsid w:val="00F81AAE"/>
    <w:rsid w:val="00F81ABA"/>
    <w:rsid w:val="00F82277"/>
    <w:rsid w:val="00F847DA"/>
    <w:rsid w:val="00F84A48"/>
    <w:rsid w:val="00F851FC"/>
    <w:rsid w:val="00F85A1D"/>
    <w:rsid w:val="00F8701B"/>
    <w:rsid w:val="00F870B3"/>
    <w:rsid w:val="00F90158"/>
    <w:rsid w:val="00F903D1"/>
    <w:rsid w:val="00F90E69"/>
    <w:rsid w:val="00F910A0"/>
    <w:rsid w:val="00F91963"/>
    <w:rsid w:val="00F95076"/>
    <w:rsid w:val="00F95662"/>
    <w:rsid w:val="00F962EA"/>
    <w:rsid w:val="00F9690B"/>
    <w:rsid w:val="00F97A84"/>
    <w:rsid w:val="00FA0ADA"/>
    <w:rsid w:val="00FA11F6"/>
    <w:rsid w:val="00FA182A"/>
    <w:rsid w:val="00FA2728"/>
    <w:rsid w:val="00FA3326"/>
    <w:rsid w:val="00FA56F2"/>
    <w:rsid w:val="00FA5B48"/>
    <w:rsid w:val="00FA5F94"/>
    <w:rsid w:val="00FA624D"/>
    <w:rsid w:val="00FA6A70"/>
    <w:rsid w:val="00FA7B89"/>
    <w:rsid w:val="00FA7FDE"/>
    <w:rsid w:val="00FB0415"/>
    <w:rsid w:val="00FB0775"/>
    <w:rsid w:val="00FB0DB3"/>
    <w:rsid w:val="00FB14EE"/>
    <w:rsid w:val="00FB15D1"/>
    <w:rsid w:val="00FB18D4"/>
    <w:rsid w:val="00FB272F"/>
    <w:rsid w:val="00FB342F"/>
    <w:rsid w:val="00FB403B"/>
    <w:rsid w:val="00FB4128"/>
    <w:rsid w:val="00FB4610"/>
    <w:rsid w:val="00FB5221"/>
    <w:rsid w:val="00FB587A"/>
    <w:rsid w:val="00FC33D2"/>
    <w:rsid w:val="00FC4AFB"/>
    <w:rsid w:val="00FC4EB0"/>
    <w:rsid w:val="00FC7C96"/>
    <w:rsid w:val="00FD0FCC"/>
    <w:rsid w:val="00FD1B34"/>
    <w:rsid w:val="00FD2026"/>
    <w:rsid w:val="00FD20C5"/>
    <w:rsid w:val="00FD2637"/>
    <w:rsid w:val="00FD363C"/>
    <w:rsid w:val="00FD39CC"/>
    <w:rsid w:val="00FD47DA"/>
    <w:rsid w:val="00FD4905"/>
    <w:rsid w:val="00FD4BF3"/>
    <w:rsid w:val="00FD53FB"/>
    <w:rsid w:val="00FD5DD8"/>
    <w:rsid w:val="00FE00BB"/>
    <w:rsid w:val="00FE1596"/>
    <w:rsid w:val="00FE19E3"/>
    <w:rsid w:val="00FE1D33"/>
    <w:rsid w:val="00FE2012"/>
    <w:rsid w:val="00FE3397"/>
    <w:rsid w:val="00FE40D9"/>
    <w:rsid w:val="00FE4531"/>
    <w:rsid w:val="00FE464E"/>
    <w:rsid w:val="00FE4CF1"/>
    <w:rsid w:val="00FE51AD"/>
    <w:rsid w:val="00FE6D0A"/>
    <w:rsid w:val="00FE7AEA"/>
    <w:rsid w:val="00FE7B61"/>
    <w:rsid w:val="00FE7FD5"/>
    <w:rsid w:val="00FF2E72"/>
    <w:rsid w:val="00FF3AC9"/>
    <w:rsid w:val="00FF4584"/>
    <w:rsid w:val="00FF4BE1"/>
    <w:rsid w:val="00FF50BC"/>
    <w:rsid w:val="00FF54DC"/>
    <w:rsid w:val="00FF7B03"/>
    <w:rsid w:val="29BF46EC"/>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2BFA17D"/>
  <w15:docId w15:val="{27DFF170-4911-432B-8340-0F9F712D0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HGSMinchoE" w:hAnsi="Arial"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ACB"/>
    <w:rPr>
      <w:rFonts w:eastAsia="Times New Roman"/>
      <w:bCs/>
      <w:szCs w:val="26"/>
      <w:lang w:eastAsia="en-US"/>
    </w:rPr>
  </w:style>
  <w:style w:type="paragraph" w:styleId="Heading1">
    <w:name w:val="heading 1"/>
    <w:basedOn w:val="Normal"/>
    <w:next w:val="Normal"/>
    <w:link w:val="Heading1Char"/>
    <w:uiPriority w:val="1"/>
    <w:qFormat/>
    <w:rsid w:val="005A03AB"/>
    <w:pPr>
      <w:numPr>
        <w:numId w:val="2"/>
      </w:numPr>
      <w:outlineLvl w:val="0"/>
    </w:pPr>
    <w:rPr>
      <w:rFonts w:cs="Arial"/>
      <w:b/>
      <w:color w:val="005EB8" w:themeColor="text2"/>
      <w:kern w:val="32"/>
      <w:sz w:val="32"/>
      <w:szCs w:val="32"/>
    </w:rPr>
  </w:style>
  <w:style w:type="paragraph" w:styleId="Heading2">
    <w:name w:val="heading 2"/>
    <w:basedOn w:val="Normal"/>
    <w:next w:val="Normal"/>
    <w:link w:val="Heading2Char"/>
    <w:uiPriority w:val="1"/>
    <w:unhideWhenUsed/>
    <w:qFormat/>
    <w:rsid w:val="002F092A"/>
    <w:pPr>
      <w:numPr>
        <w:ilvl w:val="1"/>
        <w:numId w:val="2"/>
      </w:numPr>
      <w:spacing w:line="360" w:lineRule="auto"/>
      <w:ind w:left="2562"/>
      <w:outlineLvl w:val="1"/>
    </w:pPr>
    <w:rPr>
      <w:b/>
      <w:iCs/>
      <w:color w:val="7C2855" w:themeColor="background2"/>
      <w:sz w:val="28"/>
      <w:szCs w:val="28"/>
    </w:rPr>
  </w:style>
  <w:style w:type="paragraph" w:styleId="Heading3">
    <w:name w:val="heading 3"/>
    <w:basedOn w:val="Normal"/>
    <w:next w:val="Normal"/>
    <w:link w:val="Heading3Char"/>
    <w:unhideWhenUsed/>
    <w:qFormat/>
    <w:rsid w:val="001C7059"/>
    <w:pPr>
      <w:numPr>
        <w:ilvl w:val="2"/>
        <w:numId w:val="2"/>
      </w:numPr>
      <w:spacing w:line="360" w:lineRule="auto"/>
      <w:outlineLvl w:val="2"/>
    </w:pPr>
  </w:style>
  <w:style w:type="paragraph" w:styleId="Heading4">
    <w:name w:val="heading 4"/>
    <w:basedOn w:val="Normal"/>
    <w:next w:val="Normal"/>
    <w:link w:val="Heading4Char"/>
    <w:unhideWhenUsed/>
    <w:qFormat/>
    <w:rsid w:val="002C0080"/>
    <w:pPr>
      <w:keepNext/>
      <w:keepLines/>
      <w:numPr>
        <w:ilvl w:val="3"/>
        <w:numId w:val="2"/>
      </w:numPr>
      <w:spacing w:before="200" w:line="360" w:lineRule="auto"/>
      <w:outlineLvl w:val="3"/>
    </w:pPr>
    <w:rPr>
      <w:rFonts w:eastAsiaTheme="majorEastAsia" w:cstheme="majorBidi"/>
      <w:bCs w:val="0"/>
      <w:iCs/>
      <w:color w:val="000000" w:themeColor="text1"/>
      <w:lang w:eastAsia="en-GB"/>
    </w:rPr>
  </w:style>
  <w:style w:type="paragraph" w:styleId="Heading5">
    <w:name w:val="heading 5"/>
    <w:basedOn w:val="Normal"/>
    <w:next w:val="Normal"/>
    <w:link w:val="Heading5Char"/>
    <w:unhideWhenUsed/>
    <w:qFormat/>
    <w:rsid w:val="00CA58A7"/>
    <w:pPr>
      <w:keepNext/>
      <w:keepLines/>
      <w:numPr>
        <w:ilvl w:val="4"/>
        <w:numId w:val="2"/>
      </w:numPr>
      <w:spacing w:before="200" w:line="360" w:lineRule="auto"/>
      <w:outlineLvl w:val="4"/>
    </w:pPr>
    <w:rPr>
      <w:rFonts w:eastAsiaTheme="majorEastAsia" w:cs="Arial"/>
      <w:color w:val="000000" w:themeColor="text1"/>
      <w:lang w:eastAsia="en-GB"/>
    </w:rPr>
  </w:style>
  <w:style w:type="paragraph" w:styleId="Heading6">
    <w:name w:val="heading 6"/>
    <w:basedOn w:val="Normal"/>
    <w:next w:val="Normal"/>
    <w:link w:val="Heading6Char"/>
    <w:unhideWhenUsed/>
    <w:qFormat/>
    <w:rsid w:val="00E52ACB"/>
    <w:pPr>
      <w:keepNext/>
      <w:keepLines/>
      <w:numPr>
        <w:ilvl w:val="5"/>
        <w:numId w:val="2"/>
      </w:numPr>
      <w:spacing w:before="200"/>
      <w:outlineLvl w:val="5"/>
    </w:pPr>
    <w:rPr>
      <w:rFonts w:asciiTheme="majorHAnsi" w:eastAsiaTheme="majorEastAsia" w:hAnsiTheme="majorHAnsi" w:cstheme="majorBidi"/>
      <w:i/>
      <w:iCs/>
      <w:color w:val="001743" w:themeColor="accent1" w:themeShade="7F"/>
    </w:rPr>
  </w:style>
  <w:style w:type="paragraph" w:styleId="Heading7">
    <w:name w:val="heading 7"/>
    <w:basedOn w:val="Normal"/>
    <w:next w:val="Normal"/>
    <w:link w:val="Heading7Char"/>
    <w:unhideWhenUsed/>
    <w:qFormat/>
    <w:rsid w:val="00E52AC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52AC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E52AC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D4362"/>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6D4362"/>
    <w:pPr>
      <w:widowControl w:val="0"/>
      <w:autoSpaceDE w:val="0"/>
      <w:autoSpaceDN w:val="0"/>
      <w:adjustRightInd w:val="0"/>
      <w:spacing w:line="288" w:lineRule="auto"/>
      <w:textAlignment w:val="center"/>
    </w:pPr>
    <w:rPr>
      <w:rFonts w:ascii="MinionPro-Regular" w:hAnsi="MinionPro-Regular" w:cs="MinionPro-Regular"/>
      <w:color w:val="000000"/>
      <w:lang w:eastAsia="en-US"/>
    </w:rPr>
  </w:style>
  <w:style w:type="paragraph" w:styleId="Header">
    <w:name w:val="header"/>
    <w:basedOn w:val="Normal"/>
    <w:link w:val="HeaderChar"/>
    <w:uiPriority w:val="99"/>
    <w:unhideWhenUsed/>
    <w:rsid w:val="00C953C8"/>
    <w:pPr>
      <w:tabs>
        <w:tab w:val="center" w:pos="4320"/>
        <w:tab w:val="right" w:pos="8640"/>
      </w:tabs>
    </w:pPr>
  </w:style>
  <w:style w:type="character" w:customStyle="1" w:styleId="HeaderChar">
    <w:name w:val="Header Char"/>
    <w:basedOn w:val="DefaultParagraphFont"/>
    <w:link w:val="Header"/>
    <w:uiPriority w:val="99"/>
    <w:rsid w:val="00C953C8"/>
  </w:style>
  <w:style w:type="paragraph" w:styleId="Footer">
    <w:name w:val="footer"/>
    <w:basedOn w:val="Normal"/>
    <w:link w:val="FooterChar"/>
    <w:uiPriority w:val="99"/>
    <w:unhideWhenUsed/>
    <w:rsid w:val="00C953C8"/>
    <w:pPr>
      <w:tabs>
        <w:tab w:val="center" w:pos="4320"/>
        <w:tab w:val="right" w:pos="8640"/>
      </w:tabs>
    </w:pPr>
  </w:style>
  <w:style w:type="character" w:customStyle="1" w:styleId="FooterChar">
    <w:name w:val="Footer Char"/>
    <w:basedOn w:val="DefaultParagraphFont"/>
    <w:link w:val="Footer"/>
    <w:uiPriority w:val="99"/>
    <w:rsid w:val="00C953C8"/>
  </w:style>
  <w:style w:type="character" w:styleId="PageNumber">
    <w:name w:val="page number"/>
    <w:unhideWhenUsed/>
    <w:rsid w:val="00102A99"/>
  </w:style>
  <w:style w:type="paragraph" w:styleId="BalloonText">
    <w:name w:val="Balloon Text"/>
    <w:basedOn w:val="Normal"/>
    <w:link w:val="BalloonTextChar"/>
    <w:uiPriority w:val="99"/>
    <w:unhideWhenUsed/>
    <w:rsid w:val="002A0C8D"/>
    <w:rPr>
      <w:rFonts w:ascii="Tahoma" w:hAnsi="Tahoma" w:cs="Tahoma"/>
      <w:sz w:val="16"/>
      <w:szCs w:val="16"/>
    </w:rPr>
  </w:style>
  <w:style w:type="paragraph" w:styleId="TOC1">
    <w:name w:val="toc 1"/>
    <w:basedOn w:val="Normal"/>
    <w:next w:val="Normal"/>
    <w:autoRedefine/>
    <w:uiPriority w:val="39"/>
    <w:unhideWhenUsed/>
    <w:qFormat/>
    <w:rsid w:val="008B4828"/>
    <w:pPr>
      <w:tabs>
        <w:tab w:val="left" w:pos="480"/>
        <w:tab w:val="right" w:leader="dot" w:pos="9054"/>
      </w:tabs>
      <w:spacing w:before="120" w:after="120" w:line="360" w:lineRule="auto"/>
    </w:pPr>
    <w:rPr>
      <w:noProof/>
      <w:color w:val="005EB8" w:themeColor="text2"/>
      <w:sz w:val="32"/>
      <w:szCs w:val="32"/>
    </w:rPr>
  </w:style>
  <w:style w:type="character" w:customStyle="1" w:styleId="BalloonTextChar">
    <w:name w:val="Balloon Text Char"/>
    <w:link w:val="BalloonText"/>
    <w:uiPriority w:val="99"/>
    <w:rsid w:val="002A0C8D"/>
    <w:rPr>
      <w:rFonts w:ascii="Tahoma" w:hAnsi="Tahoma" w:cs="Tahoma"/>
      <w:sz w:val="16"/>
      <w:szCs w:val="16"/>
      <w:lang w:eastAsia="en-US"/>
    </w:rPr>
  </w:style>
  <w:style w:type="paragraph" w:styleId="Title">
    <w:name w:val="Title"/>
    <w:basedOn w:val="Normal"/>
    <w:next w:val="Normal"/>
    <w:link w:val="TitleChar"/>
    <w:uiPriority w:val="10"/>
    <w:qFormat/>
    <w:rsid w:val="00E72C89"/>
    <w:rPr>
      <w:b/>
      <w:color w:val="005EB8" w:themeColor="text2"/>
      <w:sz w:val="80"/>
      <w:szCs w:val="80"/>
    </w:rPr>
  </w:style>
  <w:style w:type="character" w:customStyle="1" w:styleId="TitleChar">
    <w:name w:val="Title Char"/>
    <w:basedOn w:val="DefaultParagraphFont"/>
    <w:link w:val="Title"/>
    <w:uiPriority w:val="10"/>
    <w:rsid w:val="00E72C89"/>
    <w:rPr>
      <w:rFonts w:eastAsia="Times New Roman"/>
      <w:b/>
      <w:bCs/>
      <w:color w:val="005EB8" w:themeColor="text2"/>
      <w:sz w:val="80"/>
      <w:szCs w:val="80"/>
      <w:lang w:eastAsia="en-US"/>
    </w:rPr>
  </w:style>
  <w:style w:type="character" w:customStyle="1" w:styleId="Heading1Char">
    <w:name w:val="Heading 1 Char"/>
    <w:link w:val="Heading1"/>
    <w:uiPriority w:val="1"/>
    <w:rsid w:val="005A03AB"/>
    <w:rPr>
      <w:rFonts w:eastAsia="Times New Roman" w:cs="Arial"/>
      <w:b/>
      <w:bCs/>
      <w:color w:val="005EB8" w:themeColor="text2"/>
      <w:kern w:val="32"/>
      <w:sz w:val="32"/>
      <w:szCs w:val="32"/>
      <w:lang w:eastAsia="en-US"/>
    </w:rPr>
  </w:style>
  <w:style w:type="character" w:customStyle="1" w:styleId="Heading4Char">
    <w:name w:val="Heading 4 Char"/>
    <w:basedOn w:val="DefaultParagraphFont"/>
    <w:link w:val="Heading4"/>
    <w:rsid w:val="002C0080"/>
    <w:rPr>
      <w:rFonts w:eastAsiaTheme="majorEastAsia" w:cstheme="majorBidi"/>
      <w:iCs/>
      <w:color w:val="000000" w:themeColor="text1"/>
      <w:szCs w:val="26"/>
    </w:rPr>
  </w:style>
  <w:style w:type="character" w:customStyle="1" w:styleId="Heading2Char">
    <w:name w:val="Heading 2 Char"/>
    <w:link w:val="Heading2"/>
    <w:uiPriority w:val="1"/>
    <w:rsid w:val="002F092A"/>
    <w:rPr>
      <w:rFonts w:eastAsia="Times New Roman"/>
      <w:b/>
      <w:bCs/>
      <w:iCs/>
      <w:color w:val="7C2855" w:themeColor="background2"/>
      <w:sz w:val="28"/>
      <w:szCs w:val="28"/>
      <w:lang w:eastAsia="en-US"/>
    </w:rPr>
  </w:style>
  <w:style w:type="character" w:customStyle="1" w:styleId="Heading5Char">
    <w:name w:val="Heading 5 Char"/>
    <w:basedOn w:val="DefaultParagraphFont"/>
    <w:link w:val="Heading5"/>
    <w:rsid w:val="00671775"/>
    <w:rPr>
      <w:rFonts w:eastAsiaTheme="majorEastAsia" w:cs="Arial"/>
      <w:bCs/>
      <w:color w:val="000000" w:themeColor="text1"/>
      <w:szCs w:val="26"/>
    </w:rPr>
  </w:style>
  <w:style w:type="character" w:customStyle="1" w:styleId="Heading3Char">
    <w:name w:val="Heading 3 Char"/>
    <w:link w:val="Heading3"/>
    <w:rsid w:val="001C7059"/>
    <w:rPr>
      <w:rFonts w:eastAsia="Times New Roman"/>
      <w:bCs/>
      <w:szCs w:val="26"/>
      <w:lang w:eastAsia="en-US"/>
    </w:rPr>
  </w:style>
  <w:style w:type="paragraph" w:styleId="TOC3">
    <w:name w:val="toc 3"/>
    <w:basedOn w:val="Normal"/>
    <w:next w:val="Normal"/>
    <w:autoRedefine/>
    <w:uiPriority w:val="39"/>
    <w:unhideWhenUsed/>
    <w:qFormat/>
    <w:rsid w:val="004409E2"/>
    <w:pPr>
      <w:ind w:left="480"/>
    </w:pPr>
  </w:style>
  <w:style w:type="character" w:styleId="Hyperlink">
    <w:name w:val="Hyperlink"/>
    <w:uiPriority w:val="99"/>
    <w:unhideWhenUsed/>
    <w:rsid w:val="004409E2"/>
    <w:rPr>
      <w:color w:val="0000FF"/>
      <w:u w:val="single"/>
    </w:rPr>
  </w:style>
  <w:style w:type="paragraph" w:styleId="TOCHeading">
    <w:name w:val="TOC Heading"/>
    <w:basedOn w:val="Heading1"/>
    <w:next w:val="Normal"/>
    <w:uiPriority w:val="39"/>
    <w:unhideWhenUsed/>
    <w:qFormat/>
    <w:rsid w:val="00AB549D"/>
    <w:pPr>
      <w:keepLines/>
      <w:spacing w:before="480" w:line="276" w:lineRule="auto"/>
      <w:outlineLvl w:val="9"/>
    </w:pPr>
    <w:rPr>
      <w:color w:val="365F91"/>
      <w:kern w:val="0"/>
      <w:sz w:val="28"/>
      <w:szCs w:val="28"/>
      <w:lang w:val="en-US" w:eastAsia="ja-JP"/>
    </w:rPr>
  </w:style>
  <w:style w:type="numbering" w:styleId="111111">
    <w:name w:val="Outline List 2"/>
    <w:basedOn w:val="NoList"/>
    <w:uiPriority w:val="99"/>
    <w:unhideWhenUsed/>
    <w:rsid w:val="00AB549D"/>
    <w:pPr>
      <w:numPr>
        <w:numId w:val="1"/>
      </w:numPr>
    </w:pPr>
  </w:style>
  <w:style w:type="paragraph" w:styleId="TOC2">
    <w:name w:val="toc 2"/>
    <w:basedOn w:val="Normal"/>
    <w:next w:val="Normal"/>
    <w:autoRedefine/>
    <w:uiPriority w:val="39"/>
    <w:unhideWhenUsed/>
    <w:qFormat/>
    <w:rsid w:val="00A46BAB"/>
    <w:pPr>
      <w:tabs>
        <w:tab w:val="left" w:pos="880"/>
        <w:tab w:val="right" w:leader="dot" w:pos="9300"/>
      </w:tabs>
      <w:spacing w:before="120" w:after="120" w:line="276" w:lineRule="auto"/>
      <w:ind w:left="238"/>
      <w:jc w:val="both"/>
    </w:pPr>
  </w:style>
  <w:style w:type="paragraph" w:customStyle="1" w:styleId="DHBodycopy">
    <w:name w:val="DH Body copy"/>
    <w:basedOn w:val="Normal"/>
    <w:link w:val="DHBodycopyChar"/>
    <w:uiPriority w:val="99"/>
    <w:rsid w:val="00023944"/>
    <w:pPr>
      <w:spacing w:line="320" w:lineRule="exact"/>
    </w:pPr>
    <w:rPr>
      <w:szCs w:val="20"/>
    </w:rPr>
  </w:style>
  <w:style w:type="paragraph" w:customStyle="1" w:styleId="DHtitlepagetext">
    <w:name w:val="DH title page text"/>
    <w:basedOn w:val="Normal"/>
    <w:rsid w:val="00023944"/>
    <w:pPr>
      <w:spacing w:line="660" w:lineRule="exact"/>
    </w:pPr>
    <w:rPr>
      <w:rFonts w:eastAsia="MS Mincho" w:cs="Arial"/>
      <w:b/>
      <w:szCs w:val="20"/>
    </w:rPr>
  </w:style>
  <w:style w:type="table" w:styleId="TableGrid">
    <w:name w:val="Table Grid"/>
    <w:basedOn w:val="TableNormal"/>
    <w:rsid w:val="00174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BD0523"/>
    <w:rPr>
      <w:color w:val="7C2855" w:themeColor="followedHyperlink"/>
      <w:u w:val="single"/>
    </w:rPr>
  </w:style>
  <w:style w:type="paragraph" w:styleId="ListParagraph">
    <w:name w:val="List Paragraph"/>
    <w:basedOn w:val="Normal"/>
    <w:link w:val="ListParagraphChar"/>
    <w:uiPriority w:val="34"/>
    <w:qFormat/>
    <w:rsid w:val="007E08F7"/>
    <w:pPr>
      <w:ind w:left="720"/>
      <w:contextualSpacing/>
    </w:pPr>
  </w:style>
  <w:style w:type="character" w:customStyle="1" w:styleId="Heading6Char">
    <w:name w:val="Heading 6 Char"/>
    <w:basedOn w:val="DefaultParagraphFont"/>
    <w:link w:val="Heading6"/>
    <w:rsid w:val="00E52ACB"/>
    <w:rPr>
      <w:rFonts w:asciiTheme="majorHAnsi" w:eastAsiaTheme="majorEastAsia" w:hAnsiTheme="majorHAnsi" w:cstheme="majorBidi"/>
      <w:bCs/>
      <w:i/>
      <w:iCs/>
      <w:color w:val="001743" w:themeColor="accent1" w:themeShade="7F"/>
      <w:szCs w:val="26"/>
      <w:lang w:eastAsia="en-US"/>
    </w:rPr>
  </w:style>
  <w:style w:type="character" w:customStyle="1" w:styleId="Heading7Char">
    <w:name w:val="Heading 7 Char"/>
    <w:basedOn w:val="DefaultParagraphFont"/>
    <w:link w:val="Heading7"/>
    <w:rsid w:val="00E52ACB"/>
    <w:rPr>
      <w:rFonts w:asciiTheme="majorHAnsi" w:eastAsiaTheme="majorEastAsia" w:hAnsiTheme="majorHAnsi" w:cstheme="majorBidi"/>
      <w:bCs/>
      <w:i/>
      <w:iCs/>
      <w:color w:val="404040" w:themeColor="text1" w:themeTint="BF"/>
      <w:szCs w:val="26"/>
      <w:lang w:eastAsia="en-US"/>
    </w:rPr>
  </w:style>
  <w:style w:type="character" w:customStyle="1" w:styleId="Heading8Char">
    <w:name w:val="Heading 8 Char"/>
    <w:basedOn w:val="DefaultParagraphFont"/>
    <w:link w:val="Heading8"/>
    <w:rsid w:val="00E52ACB"/>
    <w:rPr>
      <w:rFonts w:asciiTheme="majorHAnsi" w:eastAsiaTheme="majorEastAsia" w:hAnsiTheme="majorHAnsi" w:cstheme="majorBidi"/>
      <w:bCs/>
      <w:color w:val="404040" w:themeColor="text1" w:themeTint="BF"/>
      <w:sz w:val="20"/>
      <w:szCs w:val="20"/>
      <w:lang w:eastAsia="en-US"/>
    </w:rPr>
  </w:style>
  <w:style w:type="character" w:customStyle="1" w:styleId="Heading9Char">
    <w:name w:val="Heading 9 Char"/>
    <w:basedOn w:val="DefaultParagraphFont"/>
    <w:link w:val="Heading9"/>
    <w:rsid w:val="00E52ACB"/>
    <w:rPr>
      <w:rFonts w:asciiTheme="majorHAnsi" w:eastAsiaTheme="majorEastAsia" w:hAnsiTheme="majorHAnsi" w:cstheme="majorBidi"/>
      <w:bCs/>
      <w:i/>
      <w:iCs/>
      <w:color w:val="404040" w:themeColor="text1" w:themeTint="BF"/>
      <w:sz w:val="20"/>
      <w:szCs w:val="20"/>
      <w:lang w:eastAsia="en-US"/>
    </w:rPr>
  </w:style>
  <w:style w:type="character" w:styleId="PlaceholderText">
    <w:name w:val="Placeholder Text"/>
    <w:basedOn w:val="DefaultParagraphFont"/>
    <w:uiPriority w:val="99"/>
    <w:unhideWhenUsed/>
    <w:rsid w:val="00280330"/>
    <w:rPr>
      <w:color w:val="808080"/>
    </w:rPr>
  </w:style>
  <w:style w:type="paragraph" w:styleId="TOC4">
    <w:name w:val="toc 4"/>
    <w:basedOn w:val="Normal"/>
    <w:next w:val="Normal"/>
    <w:autoRedefine/>
    <w:uiPriority w:val="39"/>
    <w:unhideWhenUsed/>
    <w:rsid w:val="00446DA6"/>
    <w:pPr>
      <w:spacing w:after="100" w:line="276" w:lineRule="auto"/>
      <w:ind w:left="660"/>
    </w:pPr>
    <w:rPr>
      <w:rFonts w:asciiTheme="minorHAnsi" w:eastAsiaTheme="minorEastAsia" w:hAnsiTheme="minorHAnsi" w:cstheme="minorBidi"/>
      <w:bCs w:val="0"/>
      <w:sz w:val="22"/>
      <w:szCs w:val="22"/>
      <w:lang w:eastAsia="en-GB"/>
    </w:rPr>
  </w:style>
  <w:style w:type="paragraph" w:styleId="TOC5">
    <w:name w:val="toc 5"/>
    <w:basedOn w:val="Normal"/>
    <w:next w:val="Normal"/>
    <w:autoRedefine/>
    <w:uiPriority w:val="39"/>
    <w:unhideWhenUsed/>
    <w:rsid w:val="00446DA6"/>
    <w:pPr>
      <w:spacing w:after="100" w:line="276" w:lineRule="auto"/>
      <w:ind w:left="880"/>
    </w:pPr>
    <w:rPr>
      <w:rFonts w:asciiTheme="minorHAnsi" w:eastAsiaTheme="minorEastAsia" w:hAnsiTheme="minorHAnsi" w:cstheme="minorBidi"/>
      <w:bCs w:val="0"/>
      <w:sz w:val="22"/>
      <w:szCs w:val="22"/>
      <w:lang w:eastAsia="en-GB"/>
    </w:rPr>
  </w:style>
  <w:style w:type="paragraph" w:styleId="TOC6">
    <w:name w:val="toc 6"/>
    <w:basedOn w:val="Normal"/>
    <w:next w:val="Normal"/>
    <w:autoRedefine/>
    <w:uiPriority w:val="39"/>
    <w:unhideWhenUsed/>
    <w:rsid w:val="00446DA6"/>
    <w:pPr>
      <w:spacing w:after="100" w:line="276" w:lineRule="auto"/>
      <w:ind w:left="1100"/>
    </w:pPr>
    <w:rPr>
      <w:rFonts w:asciiTheme="minorHAnsi" w:eastAsiaTheme="minorEastAsia" w:hAnsiTheme="minorHAnsi" w:cstheme="minorBidi"/>
      <w:bCs w:val="0"/>
      <w:sz w:val="22"/>
      <w:szCs w:val="22"/>
      <w:lang w:eastAsia="en-GB"/>
    </w:rPr>
  </w:style>
  <w:style w:type="paragraph" w:styleId="TOC7">
    <w:name w:val="toc 7"/>
    <w:basedOn w:val="Normal"/>
    <w:next w:val="Normal"/>
    <w:autoRedefine/>
    <w:uiPriority w:val="39"/>
    <w:unhideWhenUsed/>
    <w:rsid w:val="00446DA6"/>
    <w:pPr>
      <w:spacing w:after="100" w:line="276" w:lineRule="auto"/>
      <w:ind w:left="1320"/>
    </w:pPr>
    <w:rPr>
      <w:rFonts w:asciiTheme="minorHAnsi" w:eastAsiaTheme="minorEastAsia" w:hAnsiTheme="minorHAnsi" w:cstheme="minorBidi"/>
      <w:bCs w:val="0"/>
      <w:sz w:val="22"/>
      <w:szCs w:val="22"/>
      <w:lang w:eastAsia="en-GB"/>
    </w:rPr>
  </w:style>
  <w:style w:type="paragraph" w:styleId="TOC8">
    <w:name w:val="toc 8"/>
    <w:basedOn w:val="Normal"/>
    <w:next w:val="Normal"/>
    <w:autoRedefine/>
    <w:uiPriority w:val="39"/>
    <w:unhideWhenUsed/>
    <w:rsid w:val="00446DA6"/>
    <w:pPr>
      <w:spacing w:after="100" w:line="276" w:lineRule="auto"/>
      <w:ind w:left="1540"/>
    </w:pPr>
    <w:rPr>
      <w:rFonts w:asciiTheme="minorHAnsi" w:eastAsiaTheme="minorEastAsia" w:hAnsiTheme="minorHAnsi" w:cstheme="minorBidi"/>
      <w:bCs w:val="0"/>
      <w:sz w:val="22"/>
      <w:szCs w:val="22"/>
      <w:lang w:eastAsia="en-GB"/>
    </w:rPr>
  </w:style>
  <w:style w:type="paragraph" w:styleId="TOC9">
    <w:name w:val="toc 9"/>
    <w:basedOn w:val="Normal"/>
    <w:next w:val="Normal"/>
    <w:autoRedefine/>
    <w:uiPriority w:val="39"/>
    <w:unhideWhenUsed/>
    <w:rsid w:val="00E2699E"/>
    <w:pPr>
      <w:spacing w:after="100" w:line="276" w:lineRule="auto"/>
      <w:ind w:left="1760"/>
    </w:pPr>
    <w:rPr>
      <w:rFonts w:asciiTheme="minorHAnsi" w:eastAsiaTheme="minorEastAsia" w:hAnsiTheme="minorHAnsi" w:cstheme="minorBidi"/>
      <w:bCs w:val="0"/>
      <w:sz w:val="22"/>
      <w:szCs w:val="22"/>
      <w:lang w:eastAsia="en-GB"/>
    </w:rPr>
  </w:style>
  <w:style w:type="character" w:styleId="CommentReference">
    <w:name w:val="annotation reference"/>
    <w:basedOn w:val="DefaultParagraphFont"/>
    <w:uiPriority w:val="99"/>
    <w:unhideWhenUsed/>
    <w:rsid w:val="00D06433"/>
    <w:rPr>
      <w:sz w:val="16"/>
      <w:szCs w:val="16"/>
    </w:rPr>
  </w:style>
  <w:style w:type="paragraph" w:styleId="CommentText">
    <w:name w:val="annotation text"/>
    <w:basedOn w:val="Normal"/>
    <w:link w:val="CommentTextChar"/>
    <w:uiPriority w:val="99"/>
    <w:unhideWhenUsed/>
    <w:rsid w:val="00D06433"/>
    <w:rPr>
      <w:sz w:val="20"/>
      <w:szCs w:val="20"/>
    </w:rPr>
  </w:style>
  <w:style w:type="character" w:customStyle="1" w:styleId="CommentTextChar">
    <w:name w:val="Comment Text Char"/>
    <w:basedOn w:val="DefaultParagraphFont"/>
    <w:link w:val="CommentText"/>
    <w:uiPriority w:val="99"/>
    <w:rsid w:val="00D06433"/>
    <w:rPr>
      <w:rFonts w:eastAsia="Times New Roman"/>
      <w:bCs/>
      <w:sz w:val="20"/>
      <w:szCs w:val="20"/>
      <w:lang w:eastAsia="en-US"/>
    </w:rPr>
  </w:style>
  <w:style w:type="paragraph" w:customStyle="1" w:styleId="Body2">
    <w:name w:val="Body2"/>
    <w:basedOn w:val="Normal"/>
    <w:rsid w:val="001C7059"/>
    <w:pPr>
      <w:widowControl w:val="0"/>
      <w:spacing w:before="200" w:after="60"/>
      <w:ind w:left="1414"/>
      <w:jc w:val="both"/>
    </w:pPr>
    <w:rPr>
      <w:bCs w:val="0"/>
      <w:sz w:val="20"/>
      <w:szCs w:val="20"/>
      <w:lang w:eastAsia="en-GB"/>
    </w:rPr>
  </w:style>
  <w:style w:type="character" w:customStyle="1" w:styleId="ListParagraphChar">
    <w:name w:val="List Paragraph Char"/>
    <w:basedOn w:val="DefaultParagraphFont"/>
    <w:link w:val="ListParagraph"/>
    <w:uiPriority w:val="34"/>
    <w:rsid w:val="001C7059"/>
    <w:rPr>
      <w:rFonts w:eastAsia="Times New Roman"/>
      <w:bCs/>
      <w:szCs w:val="26"/>
      <w:lang w:eastAsia="en-US"/>
    </w:rPr>
  </w:style>
  <w:style w:type="numbering" w:customStyle="1" w:styleId="NoList1">
    <w:name w:val="No List1"/>
    <w:next w:val="NoList"/>
    <w:uiPriority w:val="99"/>
    <w:semiHidden/>
    <w:unhideWhenUsed/>
    <w:rsid w:val="00DB7F92"/>
  </w:style>
  <w:style w:type="table" w:customStyle="1" w:styleId="TableGrid1">
    <w:name w:val="Table Grid1"/>
    <w:basedOn w:val="TableNormal"/>
    <w:next w:val="TableGrid"/>
    <w:rsid w:val="00DB7F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DB7F92"/>
    <w:rPr>
      <w:rFonts w:asciiTheme="minorHAnsi" w:eastAsiaTheme="minorEastAsia" w:hAnsiTheme="minorHAnsi"/>
      <w:bCs w:val="0"/>
      <w:sz w:val="20"/>
      <w:szCs w:val="20"/>
    </w:rPr>
  </w:style>
  <w:style w:type="character" w:customStyle="1" w:styleId="FootnoteTextChar">
    <w:name w:val="Footnote Text Char"/>
    <w:basedOn w:val="DefaultParagraphFont"/>
    <w:link w:val="FootnoteText"/>
    <w:uiPriority w:val="99"/>
    <w:rsid w:val="00DB7F92"/>
    <w:rPr>
      <w:rFonts w:asciiTheme="minorHAnsi" w:eastAsiaTheme="minorEastAsia" w:hAnsiTheme="minorHAnsi"/>
      <w:sz w:val="20"/>
      <w:szCs w:val="20"/>
      <w:lang w:eastAsia="en-US"/>
    </w:rPr>
  </w:style>
  <w:style w:type="character" w:styleId="FootnoteReference">
    <w:name w:val="footnote reference"/>
    <w:basedOn w:val="DefaultParagraphFont"/>
    <w:uiPriority w:val="99"/>
    <w:unhideWhenUsed/>
    <w:rsid w:val="00DB7F92"/>
    <w:rPr>
      <w:vertAlign w:val="superscript"/>
    </w:rPr>
  </w:style>
  <w:style w:type="paragraph" w:customStyle="1" w:styleId="08TableText">
    <w:name w:val="08_Table Text"/>
    <w:basedOn w:val="Normal"/>
    <w:locked/>
    <w:rsid w:val="00DB7F92"/>
    <w:pPr>
      <w:spacing w:line="240" w:lineRule="exact"/>
    </w:pPr>
    <w:rPr>
      <w:rFonts w:ascii="Calibri Light" w:eastAsia="MS Gothic" w:hAnsi="Calibri Light"/>
      <w:bCs w:val="0"/>
      <w:spacing w:val="-2"/>
      <w:sz w:val="20"/>
      <w:szCs w:val="20"/>
      <w:lang w:eastAsia="ja-JP"/>
    </w:rPr>
  </w:style>
  <w:style w:type="paragraph" w:customStyle="1" w:styleId="Default">
    <w:name w:val="Default"/>
    <w:basedOn w:val="Normal"/>
    <w:rsid w:val="00DB7F92"/>
    <w:pPr>
      <w:autoSpaceDE w:val="0"/>
      <w:autoSpaceDN w:val="0"/>
    </w:pPr>
    <w:rPr>
      <w:rFonts w:eastAsiaTheme="minorEastAsia" w:cs="Arial"/>
      <w:bCs w:val="0"/>
      <w:color w:val="000000"/>
      <w:szCs w:val="24"/>
      <w:lang w:eastAsia="en-GB"/>
    </w:rPr>
  </w:style>
  <w:style w:type="paragraph" w:customStyle="1" w:styleId="font8">
    <w:name w:val="font_8"/>
    <w:basedOn w:val="Normal"/>
    <w:rsid w:val="00DB7F92"/>
    <w:pPr>
      <w:spacing w:before="100" w:beforeAutospacing="1" w:after="100" w:afterAutospacing="1"/>
    </w:pPr>
    <w:rPr>
      <w:rFonts w:ascii="Times New Roman" w:hAnsi="Times New Roman"/>
      <w:bCs w:val="0"/>
      <w:szCs w:val="24"/>
      <w:lang w:eastAsia="en-GB"/>
    </w:rPr>
  </w:style>
  <w:style w:type="paragraph" w:styleId="NormalWeb">
    <w:name w:val="Normal (Web)"/>
    <w:basedOn w:val="Normal"/>
    <w:uiPriority w:val="99"/>
    <w:unhideWhenUsed/>
    <w:rsid w:val="00DB7F92"/>
    <w:pPr>
      <w:spacing w:before="100" w:beforeAutospacing="1" w:after="100" w:afterAutospacing="1"/>
    </w:pPr>
    <w:rPr>
      <w:rFonts w:ascii="Times New Roman" w:hAnsi="Times New Roman"/>
      <w:bCs w:val="0"/>
      <w:szCs w:val="24"/>
      <w:lang w:eastAsia="en-GB"/>
    </w:rPr>
  </w:style>
  <w:style w:type="paragraph" w:styleId="CommentSubject">
    <w:name w:val="annotation subject"/>
    <w:basedOn w:val="CommentText"/>
    <w:next w:val="CommentText"/>
    <w:link w:val="CommentSubjectChar"/>
    <w:uiPriority w:val="99"/>
    <w:unhideWhenUsed/>
    <w:rsid w:val="00DB7F92"/>
    <w:rPr>
      <w:b/>
    </w:rPr>
  </w:style>
  <w:style w:type="character" w:customStyle="1" w:styleId="CommentSubjectChar">
    <w:name w:val="Comment Subject Char"/>
    <w:basedOn w:val="CommentTextChar"/>
    <w:link w:val="CommentSubject"/>
    <w:uiPriority w:val="99"/>
    <w:rsid w:val="00DB7F92"/>
    <w:rPr>
      <w:rFonts w:eastAsia="Times New Roman"/>
      <w:b/>
      <w:bCs/>
      <w:sz w:val="20"/>
      <w:szCs w:val="20"/>
      <w:lang w:eastAsia="en-US"/>
    </w:rPr>
  </w:style>
  <w:style w:type="paragraph" w:styleId="Revision">
    <w:name w:val="Revision"/>
    <w:hidden/>
    <w:uiPriority w:val="99"/>
    <w:rsid w:val="00DB7F92"/>
    <w:rPr>
      <w:rFonts w:eastAsia="Times New Roman"/>
      <w:bCs/>
      <w:szCs w:val="26"/>
      <w:lang w:eastAsia="en-US"/>
    </w:rPr>
  </w:style>
  <w:style w:type="paragraph" w:styleId="Caption">
    <w:name w:val="caption"/>
    <w:basedOn w:val="Normal"/>
    <w:next w:val="Normal"/>
    <w:uiPriority w:val="35"/>
    <w:unhideWhenUsed/>
    <w:qFormat/>
    <w:rsid w:val="00DB7F92"/>
    <w:pPr>
      <w:spacing w:after="200"/>
    </w:pPr>
    <w:rPr>
      <w:b/>
      <w:bCs w:val="0"/>
      <w:color w:val="003087" w:themeColor="accent1"/>
      <w:sz w:val="18"/>
      <w:szCs w:val="18"/>
    </w:rPr>
  </w:style>
  <w:style w:type="paragraph" w:customStyle="1" w:styleId="Body1">
    <w:name w:val="Body1"/>
    <w:basedOn w:val="Normal"/>
    <w:rsid w:val="00DB7F92"/>
    <w:pPr>
      <w:widowControl w:val="0"/>
      <w:spacing w:before="200" w:after="60"/>
      <w:ind w:left="714"/>
      <w:jc w:val="both"/>
    </w:pPr>
    <w:rPr>
      <w:bCs w:val="0"/>
      <w:sz w:val="20"/>
      <w:szCs w:val="20"/>
      <w:lang w:eastAsia="en-GB"/>
    </w:rPr>
  </w:style>
  <w:style w:type="paragraph" w:customStyle="1" w:styleId="Body3">
    <w:name w:val="Body3"/>
    <w:basedOn w:val="Normal"/>
    <w:rsid w:val="00DB7F92"/>
    <w:pPr>
      <w:widowControl w:val="0"/>
      <w:spacing w:before="200" w:after="60"/>
      <w:ind w:left="2268"/>
      <w:jc w:val="both"/>
    </w:pPr>
    <w:rPr>
      <w:bCs w:val="0"/>
      <w:sz w:val="20"/>
      <w:szCs w:val="20"/>
      <w:lang w:eastAsia="en-GB"/>
    </w:rPr>
  </w:style>
  <w:style w:type="table" w:customStyle="1" w:styleId="TableGrid11">
    <w:name w:val="Table Grid11"/>
    <w:basedOn w:val="TableNormal"/>
    <w:next w:val="TableGrid"/>
    <w:uiPriority w:val="59"/>
    <w:rsid w:val="00DB7F9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DB7F92"/>
  </w:style>
  <w:style w:type="paragraph" w:customStyle="1" w:styleId="Body4">
    <w:name w:val="Body4"/>
    <w:basedOn w:val="Normal"/>
    <w:rsid w:val="00DB7F92"/>
    <w:pPr>
      <w:widowControl w:val="0"/>
      <w:spacing w:before="200" w:after="60"/>
      <w:ind w:left="3416"/>
      <w:jc w:val="both"/>
    </w:pPr>
    <w:rPr>
      <w:bCs w:val="0"/>
      <w:sz w:val="20"/>
      <w:szCs w:val="20"/>
      <w:lang w:eastAsia="en-GB"/>
    </w:rPr>
  </w:style>
  <w:style w:type="paragraph" w:customStyle="1" w:styleId="Body5">
    <w:name w:val="Body5"/>
    <w:basedOn w:val="Normal"/>
    <w:rsid w:val="00DB7F92"/>
    <w:pPr>
      <w:widowControl w:val="0"/>
      <w:spacing w:before="200" w:after="60"/>
      <w:ind w:left="4678"/>
      <w:jc w:val="both"/>
    </w:pPr>
    <w:rPr>
      <w:bCs w:val="0"/>
      <w:sz w:val="20"/>
      <w:szCs w:val="20"/>
      <w:lang w:eastAsia="en-GB"/>
    </w:rPr>
  </w:style>
  <w:style w:type="paragraph" w:customStyle="1" w:styleId="Body6">
    <w:name w:val="Body6"/>
    <w:basedOn w:val="Normal"/>
    <w:rsid w:val="00DB7F92"/>
    <w:pPr>
      <w:widowControl w:val="0"/>
      <w:spacing w:before="200" w:after="60"/>
      <w:ind w:left="5387"/>
      <w:jc w:val="both"/>
    </w:pPr>
    <w:rPr>
      <w:bCs w:val="0"/>
      <w:sz w:val="20"/>
      <w:szCs w:val="20"/>
      <w:lang w:eastAsia="en-GB"/>
    </w:rPr>
  </w:style>
  <w:style w:type="paragraph" w:customStyle="1" w:styleId="Body7">
    <w:name w:val="Body7"/>
    <w:basedOn w:val="Normal"/>
    <w:rsid w:val="00DB7F92"/>
    <w:pPr>
      <w:widowControl w:val="0"/>
      <w:spacing w:before="200" w:after="60"/>
      <w:ind w:left="6096"/>
      <w:jc w:val="both"/>
    </w:pPr>
    <w:rPr>
      <w:bCs w:val="0"/>
      <w:sz w:val="20"/>
      <w:szCs w:val="20"/>
      <w:lang w:eastAsia="en-GB"/>
    </w:rPr>
  </w:style>
  <w:style w:type="paragraph" w:customStyle="1" w:styleId="Body8">
    <w:name w:val="Body8"/>
    <w:basedOn w:val="Normal"/>
    <w:rsid w:val="00DB7F92"/>
    <w:pPr>
      <w:widowControl w:val="0"/>
      <w:spacing w:before="200" w:after="60"/>
      <w:ind w:left="6663"/>
      <w:jc w:val="both"/>
    </w:pPr>
    <w:rPr>
      <w:bCs w:val="0"/>
      <w:sz w:val="20"/>
      <w:szCs w:val="20"/>
      <w:lang w:eastAsia="en-GB"/>
    </w:rPr>
  </w:style>
  <w:style w:type="paragraph" w:customStyle="1" w:styleId="Body9">
    <w:name w:val="Body9"/>
    <w:basedOn w:val="Normal"/>
    <w:rsid w:val="00DB7F92"/>
    <w:pPr>
      <w:widowControl w:val="0"/>
      <w:spacing w:before="200" w:after="60"/>
      <w:ind w:left="7371"/>
      <w:jc w:val="both"/>
    </w:pPr>
    <w:rPr>
      <w:bCs w:val="0"/>
      <w:sz w:val="20"/>
      <w:szCs w:val="20"/>
      <w:lang w:eastAsia="en-GB"/>
    </w:rPr>
  </w:style>
  <w:style w:type="paragraph" w:styleId="BodyText">
    <w:name w:val="Body Text"/>
    <w:basedOn w:val="Normal"/>
    <w:link w:val="BodyTextChar1"/>
    <w:uiPriority w:val="1"/>
    <w:qFormat/>
    <w:rsid w:val="00DB7F92"/>
    <w:pPr>
      <w:widowControl w:val="0"/>
      <w:spacing w:after="120"/>
      <w:jc w:val="both"/>
    </w:pPr>
    <w:rPr>
      <w:bCs w:val="0"/>
      <w:sz w:val="20"/>
      <w:szCs w:val="20"/>
      <w:lang w:eastAsia="en-GB"/>
    </w:rPr>
  </w:style>
  <w:style w:type="character" w:customStyle="1" w:styleId="BodyTextChar">
    <w:name w:val="Body Text Char"/>
    <w:basedOn w:val="DefaultParagraphFont"/>
    <w:uiPriority w:val="99"/>
    <w:rsid w:val="00DB7F92"/>
    <w:rPr>
      <w:rFonts w:eastAsia="Times New Roman"/>
      <w:bCs/>
      <w:szCs w:val="26"/>
      <w:lang w:eastAsia="en-US"/>
    </w:rPr>
  </w:style>
  <w:style w:type="paragraph" w:styleId="BodyTextIndent">
    <w:name w:val="Body Text Indent"/>
    <w:basedOn w:val="Normal"/>
    <w:link w:val="BodyTextIndentChar1"/>
    <w:rsid w:val="00DB7F92"/>
    <w:pPr>
      <w:widowControl w:val="0"/>
      <w:spacing w:after="120"/>
      <w:ind w:left="709"/>
      <w:jc w:val="both"/>
    </w:pPr>
    <w:rPr>
      <w:bCs w:val="0"/>
      <w:sz w:val="20"/>
      <w:szCs w:val="20"/>
      <w:lang w:eastAsia="en-GB"/>
    </w:rPr>
  </w:style>
  <w:style w:type="character" w:customStyle="1" w:styleId="BodyTextIndentChar">
    <w:name w:val="Body Text Indent Char"/>
    <w:basedOn w:val="DefaultParagraphFont"/>
    <w:rsid w:val="00DB7F92"/>
    <w:rPr>
      <w:rFonts w:eastAsia="Times New Roman"/>
      <w:bCs/>
      <w:szCs w:val="26"/>
      <w:lang w:eastAsia="en-US"/>
    </w:rPr>
  </w:style>
  <w:style w:type="paragraph" w:customStyle="1" w:styleId="DocSpace">
    <w:name w:val="DocSpace"/>
    <w:basedOn w:val="Normal"/>
    <w:rsid w:val="00DB7F92"/>
    <w:pPr>
      <w:widowControl w:val="0"/>
      <w:spacing w:before="200" w:after="60"/>
      <w:jc w:val="both"/>
    </w:pPr>
    <w:rPr>
      <w:bCs w:val="0"/>
      <w:sz w:val="20"/>
      <w:szCs w:val="20"/>
      <w:lang w:eastAsia="en-GB"/>
    </w:rPr>
  </w:style>
  <w:style w:type="paragraph" w:styleId="ListBullet">
    <w:name w:val="List Bullet"/>
    <w:basedOn w:val="Normal"/>
    <w:rsid w:val="00DB7F92"/>
    <w:pPr>
      <w:widowControl w:val="0"/>
      <w:ind w:left="709" w:hanging="709"/>
      <w:jc w:val="both"/>
    </w:pPr>
    <w:rPr>
      <w:bCs w:val="0"/>
      <w:sz w:val="20"/>
      <w:szCs w:val="20"/>
      <w:lang w:eastAsia="en-GB"/>
    </w:rPr>
  </w:style>
  <w:style w:type="paragraph" w:styleId="ListBullet2">
    <w:name w:val="List Bullet 2"/>
    <w:basedOn w:val="Normal"/>
    <w:rsid w:val="00DB7F92"/>
    <w:pPr>
      <w:widowControl w:val="0"/>
      <w:ind w:left="993" w:hanging="709"/>
      <w:jc w:val="both"/>
    </w:pPr>
    <w:rPr>
      <w:bCs w:val="0"/>
      <w:sz w:val="20"/>
      <w:szCs w:val="20"/>
      <w:lang w:eastAsia="en-GB"/>
    </w:rPr>
  </w:style>
  <w:style w:type="paragraph" w:styleId="ListBullet3">
    <w:name w:val="List Bullet 3"/>
    <w:basedOn w:val="Normal"/>
    <w:rsid w:val="00DB7F92"/>
    <w:pPr>
      <w:widowControl w:val="0"/>
      <w:ind w:left="1276" w:hanging="709"/>
      <w:jc w:val="both"/>
    </w:pPr>
    <w:rPr>
      <w:bCs w:val="0"/>
      <w:sz w:val="20"/>
      <w:szCs w:val="20"/>
      <w:lang w:eastAsia="en-GB"/>
    </w:rPr>
  </w:style>
  <w:style w:type="paragraph" w:styleId="ListBullet4">
    <w:name w:val="List Bullet 4"/>
    <w:basedOn w:val="Normal"/>
    <w:rsid w:val="00DB7F92"/>
    <w:pPr>
      <w:widowControl w:val="0"/>
      <w:ind w:left="1560" w:hanging="709"/>
      <w:jc w:val="both"/>
    </w:pPr>
    <w:rPr>
      <w:bCs w:val="0"/>
      <w:sz w:val="20"/>
      <w:szCs w:val="20"/>
      <w:lang w:eastAsia="en-GB"/>
    </w:rPr>
  </w:style>
  <w:style w:type="paragraph" w:styleId="ListBullet5">
    <w:name w:val="List Bullet 5"/>
    <w:basedOn w:val="Normal"/>
    <w:rsid w:val="00DB7F92"/>
    <w:pPr>
      <w:widowControl w:val="0"/>
      <w:ind w:left="1843" w:hanging="709"/>
      <w:jc w:val="both"/>
    </w:pPr>
    <w:rPr>
      <w:bCs w:val="0"/>
      <w:sz w:val="20"/>
      <w:szCs w:val="20"/>
      <w:lang w:eastAsia="en-GB"/>
    </w:rPr>
  </w:style>
  <w:style w:type="paragraph" w:styleId="ListContinue">
    <w:name w:val="List Continue"/>
    <w:basedOn w:val="Normal"/>
    <w:rsid w:val="00DB7F92"/>
    <w:pPr>
      <w:widowControl w:val="0"/>
      <w:spacing w:after="120"/>
      <w:ind w:left="284"/>
      <w:jc w:val="both"/>
    </w:pPr>
    <w:rPr>
      <w:bCs w:val="0"/>
      <w:sz w:val="20"/>
      <w:szCs w:val="20"/>
      <w:lang w:eastAsia="en-GB"/>
    </w:rPr>
  </w:style>
  <w:style w:type="paragraph" w:styleId="ListContinue2">
    <w:name w:val="List Continue 2"/>
    <w:basedOn w:val="Normal"/>
    <w:rsid w:val="00DB7F92"/>
    <w:pPr>
      <w:widowControl w:val="0"/>
      <w:spacing w:after="120"/>
      <w:ind w:left="566"/>
      <w:jc w:val="both"/>
    </w:pPr>
    <w:rPr>
      <w:bCs w:val="0"/>
      <w:sz w:val="20"/>
      <w:szCs w:val="20"/>
      <w:lang w:eastAsia="en-GB"/>
    </w:rPr>
  </w:style>
  <w:style w:type="paragraph" w:styleId="ListNumber">
    <w:name w:val="List Number"/>
    <w:basedOn w:val="Normal"/>
    <w:rsid w:val="00DB7F92"/>
    <w:pPr>
      <w:widowControl w:val="0"/>
      <w:ind w:left="709" w:hanging="709"/>
      <w:jc w:val="both"/>
    </w:pPr>
    <w:rPr>
      <w:bCs w:val="0"/>
      <w:sz w:val="20"/>
      <w:szCs w:val="20"/>
      <w:lang w:eastAsia="en-GB"/>
    </w:rPr>
  </w:style>
  <w:style w:type="paragraph" w:styleId="ListNumber2">
    <w:name w:val="List Number 2"/>
    <w:basedOn w:val="Normal"/>
    <w:rsid w:val="00DB7F92"/>
    <w:pPr>
      <w:widowControl w:val="0"/>
      <w:ind w:left="993" w:hanging="709"/>
      <w:jc w:val="both"/>
    </w:pPr>
    <w:rPr>
      <w:bCs w:val="0"/>
      <w:sz w:val="20"/>
      <w:szCs w:val="20"/>
      <w:lang w:eastAsia="en-GB"/>
    </w:rPr>
  </w:style>
  <w:style w:type="paragraph" w:styleId="ListNumber3">
    <w:name w:val="List Number 3"/>
    <w:basedOn w:val="Normal"/>
    <w:rsid w:val="00DB7F92"/>
    <w:pPr>
      <w:widowControl w:val="0"/>
      <w:ind w:left="1276" w:hanging="709"/>
      <w:jc w:val="both"/>
    </w:pPr>
    <w:rPr>
      <w:bCs w:val="0"/>
      <w:sz w:val="20"/>
      <w:szCs w:val="20"/>
      <w:lang w:eastAsia="en-GB"/>
    </w:rPr>
  </w:style>
  <w:style w:type="paragraph" w:styleId="ListNumber4">
    <w:name w:val="List Number 4"/>
    <w:basedOn w:val="Normal"/>
    <w:rsid w:val="00DB7F92"/>
    <w:pPr>
      <w:widowControl w:val="0"/>
      <w:ind w:left="1560" w:hanging="709"/>
      <w:jc w:val="both"/>
    </w:pPr>
    <w:rPr>
      <w:bCs w:val="0"/>
      <w:sz w:val="20"/>
      <w:szCs w:val="20"/>
      <w:lang w:eastAsia="en-GB"/>
    </w:rPr>
  </w:style>
  <w:style w:type="paragraph" w:styleId="ListNumber5">
    <w:name w:val="List Number 5"/>
    <w:basedOn w:val="Normal"/>
    <w:rsid w:val="00DB7F92"/>
    <w:pPr>
      <w:widowControl w:val="0"/>
      <w:ind w:left="1843" w:hanging="709"/>
      <w:jc w:val="both"/>
    </w:pPr>
    <w:rPr>
      <w:bCs w:val="0"/>
      <w:sz w:val="20"/>
      <w:szCs w:val="20"/>
      <w:lang w:eastAsia="en-GB"/>
    </w:rPr>
  </w:style>
  <w:style w:type="paragraph" w:customStyle="1" w:styleId="SchTitle">
    <w:name w:val="Sch Title"/>
    <w:next w:val="STBody"/>
    <w:rsid w:val="00DB7F92"/>
    <w:pPr>
      <w:keepNext/>
      <w:widowControl w:val="0"/>
      <w:spacing w:before="200" w:after="60"/>
      <w:jc w:val="center"/>
    </w:pPr>
    <w:rPr>
      <w:rFonts w:eastAsia="Times New Roman"/>
      <w:sz w:val="20"/>
      <w:szCs w:val="20"/>
    </w:rPr>
  </w:style>
  <w:style w:type="paragraph" w:customStyle="1" w:styleId="STBody">
    <w:name w:val="STBody"/>
    <w:basedOn w:val="Normal"/>
    <w:rsid w:val="00DB7F92"/>
    <w:pPr>
      <w:keepNext/>
      <w:widowControl w:val="0"/>
      <w:jc w:val="center"/>
    </w:pPr>
    <w:rPr>
      <w:bCs w:val="0"/>
      <w:sz w:val="20"/>
      <w:szCs w:val="20"/>
      <w:lang w:eastAsia="en-GB"/>
    </w:rPr>
  </w:style>
  <w:style w:type="paragraph" w:customStyle="1" w:styleId="SchedClauses">
    <w:name w:val="Sched Clauses"/>
    <w:basedOn w:val="Normal"/>
    <w:rsid w:val="00DB7F92"/>
    <w:pPr>
      <w:widowControl w:val="0"/>
      <w:spacing w:before="200" w:after="60"/>
      <w:jc w:val="both"/>
    </w:pPr>
    <w:rPr>
      <w:bCs w:val="0"/>
      <w:sz w:val="20"/>
      <w:szCs w:val="20"/>
      <w:lang w:eastAsia="en-GB"/>
    </w:rPr>
  </w:style>
  <w:style w:type="paragraph" w:styleId="BlockText">
    <w:name w:val="Block Text"/>
    <w:basedOn w:val="Normal"/>
    <w:rsid w:val="00DB7F92"/>
    <w:pPr>
      <w:widowControl w:val="0"/>
      <w:spacing w:after="120"/>
      <w:ind w:left="1418" w:right="1418"/>
      <w:jc w:val="both"/>
    </w:pPr>
    <w:rPr>
      <w:bCs w:val="0"/>
      <w:sz w:val="20"/>
      <w:szCs w:val="20"/>
      <w:lang w:eastAsia="en-GB"/>
    </w:rPr>
  </w:style>
  <w:style w:type="table" w:customStyle="1" w:styleId="TableGrid2">
    <w:name w:val="Table Grid2"/>
    <w:basedOn w:val="TableNormal"/>
    <w:next w:val="TableGrid"/>
    <w:rsid w:val="00DB7F9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rsid w:val="00DB7F92"/>
    <w:pPr>
      <w:tabs>
        <w:tab w:val="right" w:leader="dot" w:pos="9071"/>
      </w:tabs>
      <w:ind w:left="85" w:hanging="85"/>
    </w:pPr>
    <w:rPr>
      <w:bCs w:val="0"/>
      <w:sz w:val="20"/>
      <w:szCs w:val="20"/>
      <w:lang w:eastAsia="en-GB"/>
    </w:rPr>
  </w:style>
  <w:style w:type="paragraph" w:styleId="NormalIndent">
    <w:name w:val="Normal Indent"/>
    <w:basedOn w:val="Normal"/>
    <w:rsid w:val="00DB7F92"/>
    <w:pPr>
      <w:ind w:left="720"/>
      <w:jc w:val="both"/>
    </w:pPr>
    <w:rPr>
      <w:bCs w:val="0"/>
      <w:sz w:val="20"/>
      <w:szCs w:val="20"/>
      <w:lang w:eastAsia="en-GB"/>
    </w:rPr>
  </w:style>
  <w:style w:type="paragraph" w:styleId="Index2">
    <w:name w:val="index 2"/>
    <w:basedOn w:val="Normal"/>
    <w:next w:val="Normal"/>
    <w:rsid w:val="00DB7F92"/>
    <w:pPr>
      <w:tabs>
        <w:tab w:val="right" w:leader="dot" w:pos="9071"/>
      </w:tabs>
      <w:ind w:left="170" w:hanging="85"/>
    </w:pPr>
    <w:rPr>
      <w:bCs w:val="0"/>
      <w:sz w:val="20"/>
      <w:szCs w:val="20"/>
      <w:lang w:eastAsia="en-GB"/>
    </w:rPr>
  </w:style>
  <w:style w:type="paragraph" w:styleId="Index3">
    <w:name w:val="index 3"/>
    <w:basedOn w:val="Normal"/>
    <w:next w:val="Normal"/>
    <w:rsid w:val="00DB7F92"/>
    <w:pPr>
      <w:tabs>
        <w:tab w:val="right" w:leader="dot" w:pos="9071"/>
      </w:tabs>
      <w:ind w:left="720" w:hanging="240"/>
    </w:pPr>
    <w:rPr>
      <w:bCs w:val="0"/>
      <w:sz w:val="20"/>
      <w:szCs w:val="20"/>
      <w:lang w:eastAsia="en-GB"/>
    </w:rPr>
  </w:style>
  <w:style w:type="paragraph" w:styleId="Index4">
    <w:name w:val="index 4"/>
    <w:basedOn w:val="Normal"/>
    <w:next w:val="Normal"/>
    <w:rsid w:val="00DB7F92"/>
    <w:pPr>
      <w:tabs>
        <w:tab w:val="right" w:leader="dot" w:pos="9071"/>
      </w:tabs>
      <w:ind w:left="960" w:hanging="240"/>
    </w:pPr>
    <w:rPr>
      <w:bCs w:val="0"/>
      <w:sz w:val="20"/>
      <w:szCs w:val="20"/>
      <w:lang w:eastAsia="en-GB"/>
    </w:rPr>
  </w:style>
  <w:style w:type="paragraph" w:styleId="Index5">
    <w:name w:val="index 5"/>
    <w:basedOn w:val="Normal"/>
    <w:next w:val="Normal"/>
    <w:rsid w:val="00DB7F92"/>
    <w:pPr>
      <w:tabs>
        <w:tab w:val="right" w:leader="dot" w:pos="9071"/>
      </w:tabs>
      <w:ind w:left="1200" w:hanging="240"/>
    </w:pPr>
    <w:rPr>
      <w:bCs w:val="0"/>
      <w:sz w:val="20"/>
      <w:szCs w:val="20"/>
      <w:lang w:eastAsia="en-GB"/>
    </w:rPr>
  </w:style>
  <w:style w:type="paragraph" w:styleId="Index6">
    <w:name w:val="index 6"/>
    <w:basedOn w:val="Normal"/>
    <w:next w:val="Normal"/>
    <w:rsid w:val="00DB7F92"/>
    <w:pPr>
      <w:tabs>
        <w:tab w:val="right" w:leader="dot" w:pos="9071"/>
      </w:tabs>
      <w:ind w:left="1440" w:hanging="240"/>
    </w:pPr>
    <w:rPr>
      <w:bCs w:val="0"/>
      <w:sz w:val="20"/>
      <w:szCs w:val="20"/>
      <w:lang w:eastAsia="en-GB"/>
    </w:rPr>
  </w:style>
  <w:style w:type="paragraph" w:styleId="Index7">
    <w:name w:val="index 7"/>
    <w:basedOn w:val="Normal"/>
    <w:next w:val="Normal"/>
    <w:rsid w:val="00DB7F92"/>
    <w:pPr>
      <w:tabs>
        <w:tab w:val="right" w:leader="dot" w:pos="9071"/>
      </w:tabs>
      <w:ind w:left="1680" w:hanging="240"/>
    </w:pPr>
    <w:rPr>
      <w:bCs w:val="0"/>
      <w:sz w:val="20"/>
      <w:szCs w:val="20"/>
      <w:lang w:eastAsia="en-GB"/>
    </w:rPr>
  </w:style>
  <w:style w:type="paragraph" w:styleId="Index8">
    <w:name w:val="index 8"/>
    <w:basedOn w:val="Normal"/>
    <w:next w:val="Normal"/>
    <w:rsid w:val="00DB7F92"/>
    <w:pPr>
      <w:tabs>
        <w:tab w:val="right" w:leader="dot" w:pos="9071"/>
      </w:tabs>
      <w:ind w:left="1920" w:hanging="240"/>
    </w:pPr>
    <w:rPr>
      <w:bCs w:val="0"/>
      <w:sz w:val="20"/>
      <w:szCs w:val="20"/>
      <w:lang w:eastAsia="en-GB"/>
    </w:rPr>
  </w:style>
  <w:style w:type="paragraph" w:styleId="Index9">
    <w:name w:val="index 9"/>
    <w:basedOn w:val="Normal"/>
    <w:next w:val="Normal"/>
    <w:rsid w:val="00DB7F92"/>
    <w:pPr>
      <w:tabs>
        <w:tab w:val="right" w:leader="dot" w:pos="9071"/>
      </w:tabs>
      <w:ind w:left="2160" w:hanging="240"/>
    </w:pPr>
    <w:rPr>
      <w:bCs w:val="0"/>
      <w:sz w:val="20"/>
      <w:szCs w:val="20"/>
      <w:lang w:eastAsia="en-GB"/>
    </w:rPr>
  </w:style>
  <w:style w:type="paragraph" w:styleId="IndexHeading">
    <w:name w:val="index heading"/>
    <w:basedOn w:val="Normal"/>
    <w:next w:val="Index1"/>
    <w:rsid w:val="00DB7F92"/>
    <w:pPr>
      <w:spacing w:before="120" w:after="120"/>
    </w:pPr>
    <w:rPr>
      <w:b/>
      <w:bCs w:val="0"/>
      <w:i/>
      <w:sz w:val="20"/>
      <w:szCs w:val="20"/>
      <w:lang w:eastAsia="en-GB"/>
    </w:rPr>
  </w:style>
  <w:style w:type="paragraph" w:styleId="Signature">
    <w:name w:val="Signature"/>
    <w:basedOn w:val="Normal"/>
    <w:link w:val="SignatureChar"/>
    <w:rsid w:val="00DB7F92"/>
    <w:pPr>
      <w:ind w:left="4252"/>
      <w:jc w:val="both"/>
    </w:pPr>
    <w:rPr>
      <w:bCs w:val="0"/>
      <w:sz w:val="20"/>
      <w:szCs w:val="20"/>
      <w:lang w:eastAsia="en-GB"/>
    </w:rPr>
  </w:style>
  <w:style w:type="character" w:customStyle="1" w:styleId="SignatureChar">
    <w:name w:val="Signature Char"/>
    <w:basedOn w:val="DefaultParagraphFont"/>
    <w:link w:val="Signature"/>
    <w:rsid w:val="00DB7F92"/>
    <w:rPr>
      <w:rFonts w:eastAsia="Times New Roman"/>
      <w:sz w:val="20"/>
      <w:szCs w:val="20"/>
    </w:rPr>
  </w:style>
  <w:style w:type="paragraph" w:customStyle="1" w:styleId="DefinitionLeft">
    <w:name w:val="Definition Left"/>
    <w:basedOn w:val="Normal"/>
    <w:rsid w:val="00DB7F92"/>
    <w:pPr>
      <w:spacing w:before="200"/>
      <w:jc w:val="both"/>
    </w:pPr>
    <w:rPr>
      <w:b/>
      <w:bCs w:val="0"/>
      <w:sz w:val="20"/>
      <w:szCs w:val="20"/>
      <w:lang w:eastAsia="en-GB"/>
    </w:rPr>
  </w:style>
  <w:style w:type="paragraph" w:customStyle="1" w:styleId="DefinitionRight">
    <w:name w:val="Definition Right"/>
    <w:basedOn w:val="Normal"/>
    <w:rsid w:val="00DB7F92"/>
    <w:pPr>
      <w:spacing w:before="200"/>
      <w:jc w:val="both"/>
    </w:pPr>
    <w:rPr>
      <w:bCs w:val="0"/>
      <w:sz w:val="20"/>
      <w:szCs w:val="20"/>
      <w:lang w:eastAsia="en-GB"/>
    </w:rPr>
  </w:style>
  <w:style w:type="paragraph" w:styleId="BodyText2">
    <w:name w:val="Body Text 2"/>
    <w:basedOn w:val="Normal"/>
    <w:link w:val="BodyText2Char"/>
    <w:rsid w:val="00DB7F92"/>
    <w:pPr>
      <w:spacing w:before="200" w:after="60" w:line="480" w:lineRule="auto"/>
      <w:jc w:val="both"/>
    </w:pPr>
    <w:rPr>
      <w:bCs w:val="0"/>
      <w:sz w:val="20"/>
      <w:szCs w:val="20"/>
      <w:lang w:eastAsia="en-GB"/>
    </w:rPr>
  </w:style>
  <w:style w:type="character" w:customStyle="1" w:styleId="BodyText2Char">
    <w:name w:val="Body Text 2 Char"/>
    <w:basedOn w:val="DefaultParagraphFont"/>
    <w:link w:val="BodyText2"/>
    <w:rsid w:val="00DB7F92"/>
    <w:rPr>
      <w:rFonts w:eastAsia="Times New Roman"/>
      <w:sz w:val="20"/>
      <w:szCs w:val="20"/>
    </w:rPr>
  </w:style>
  <w:style w:type="paragraph" w:styleId="BodyText3">
    <w:name w:val="Body Text 3"/>
    <w:basedOn w:val="Normal"/>
    <w:link w:val="BodyText3Char"/>
    <w:rsid w:val="00DB7F92"/>
    <w:pPr>
      <w:spacing w:before="200" w:after="60"/>
      <w:jc w:val="both"/>
    </w:pPr>
    <w:rPr>
      <w:bCs w:val="0"/>
      <w:sz w:val="16"/>
      <w:szCs w:val="16"/>
      <w:lang w:eastAsia="en-GB"/>
    </w:rPr>
  </w:style>
  <w:style w:type="character" w:customStyle="1" w:styleId="BodyText3Char">
    <w:name w:val="Body Text 3 Char"/>
    <w:basedOn w:val="DefaultParagraphFont"/>
    <w:link w:val="BodyText3"/>
    <w:rsid w:val="00DB7F92"/>
    <w:rPr>
      <w:rFonts w:eastAsia="Times New Roman"/>
      <w:sz w:val="16"/>
      <w:szCs w:val="16"/>
    </w:rPr>
  </w:style>
  <w:style w:type="paragraph" w:styleId="BodyTextFirstIndent">
    <w:name w:val="Body Text First Indent"/>
    <w:basedOn w:val="BodyText"/>
    <w:link w:val="BodyTextFirstIndentChar"/>
    <w:rsid w:val="00DB7F92"/>
    <w:pPr>
      <w:widowControl/>
      <w:spacing w:before="200" w:after="60"/>
      <w:ind w:firstLine="210"/>
    </w:pPr>
  </w:style>
  <w:style w:type="character" w:customStyle="1" w:styleId="BodyTextFirstIndentChar">
    <w:name w:val="Body Text First Indent Char"/>
    <w:basedOn w:val="BodyTextChar"/>
    <w:link w:val="BodyTextFirstIndent"/>
    <w:rsid w:val="00DB7F92"/>
    <w:rPr>
      <w:rFonts w:eastAsia="Times New Roman"/>
      <w:bCs w:val="0"/>
      <w:sz w:val="20"/>
      <w:szCs w:val="20"/>
      <w:lang w:eastAsia="en-US"/>
    </w:rPr>
  </w:style>
  <w:style w:type="character" w:customStyle="1" w:styleId="BodyTextChar1">
    <w:name w:val="Body Text Char1"/>
    <w:basedOn w:val="DefaultParagraphFont"/>
    <w:link w:val="BodyText"/>
    <w:uiPriority w:val="1"/>
    <w:rsid w:val="00DB7F92"/>
    <w:rPr>
      <w:rFonts w:eastAsia="Times New Roman"/>
      <w:sz w:val="20"/>
      <w:szCs w:val="20"/>
    </w:rPr>
  </w:style>
  <w:style w:type="paragraph" w:styleId="BodyTextFirstIndent2">
    <w:name w:val="Body Text First Indent 2"/>
    <w:basedOn w:val="BodyTextIndent"/>
    <w:link w:val="BodyTextFirstIndent2Char"/>
    <w:rsid w:val="00DB7F92"/>
    <w:pPr>
      <w:widowControl/>
      <w:spacing w:before="200" w:after="60"/>
      <w:ind w:left="284" w:firstLine="210"/>
    </w:pPr>
  </w:style>
  <w:style w:type="character" w:customStyle="1" w:styleId="BodyTextFirstIndent2Char">
    <w:name w:val="Body Text First Indent 2 Char"/>
    <w:basedOn w:val="BodyTextIndentChar"/>
    <w:link w:val="BodyTextFirstIndent2"/>
    <w:rsid w:val="00DB7F92"/>
    <w:rPr>
      <w:rFonts w:eastAsia="Times New Roman"/>
      <w:bCs w:val="0"/>
      <w:sz w:val="20"/>
      <w:szCs w:val="20"/>
      <w:lang w:eastAsia="en-US"/>
    </w:rPr>
  </w:style>
  <w:style w:type="character" w:customStyle="1" w:styleId="BodyTextIndentChar1">
    <w:name w:val="Body Text Indent Char1"/>
    <w:basedOn w:val="DefaultParagraphFont"/>
    <w:link w:val="BodyTextIndent"/>
    <w:rsid w:val="00DB7F92"/>
    <w:rPr>
      <w:rFonts w:eastAsia="Times New Roman"/>
      <w:sz w:val="20"/>
      <w:szCs w:val="20"/>
    </w:rPr>
  </w:style>
  <w:style w:type="paragraph" w:styleId="BodyTextIndent2">
    <w:name w:val="Body Text Indent 2"/>
    <w:basedOn w:val="Normal"/>
    <w:link w:val="BodyTextIndent2Char"/>
    <w:rsid w:val="00DB7F92"/>
    <w:pPr>
      <w:spacing w:before="200" w:after="60" w:line="480" w:lineRule="auto"/>
      <w:ind w:left="284"/>
      <w:jc w:val="both"/>
    </w:pPr>
    <w:rPr>
      <w:bCs w:val="0"/>
      <w:sz w:val="20"/>
      <w:szCs w:val="20"/>
      <w:lang w:eastAsia="en-GB"/>
    </w:rPr>
  </w:style>
  <w:style w:type="character" w:customStyle="1" w:styleId="BodyTextIndent2Char">
    <w:name w:val="Body Text Indent 2 Char"/>
    <w:basedOn w:val="DefaultParagraphFont"/>
    <w:link w:val="BodyTextIndent2"/>
    <w:rsid w:val="00DB7F92"/>
    <w:rPr>
      <w:rFonts w:eastAsia="Times New Roman"/>
      <w:sz w:val="20"/>
      <w:szCs w:val="20"/>
    </w:rPr>
  </w:style>
  <w:style w:type="paragraph" w:styleId="BodyTextIndent3">
    <w:name w:val="Body Text Indent 3"/>
    <w:basedOn w:val="Normal"/>
    <w:link w:val="BodyTextIndent3Char"/>
    <w:rsid w:val="00DB7F92"/>
    <w:pPr>
      <w:spacing w:before="200" w:after="60"/>
      <w:ind w:left="284"/>
      <w:jc w:val="both"/>
    </w:pPr>
    <w:rPr>
      <w:bCs w:val="0"/>
      <w:sz w:val="16"/>
      <w:szCs w:val="16"/>
      <w:lang w:eastAsia="en-GB"/>
    </w:rPr>
  </w:style>
  <w:style w:type="character" w:customStyle="1" w:styleId="BodyTextIndent3Char">
    <w:name w:val="Body Text Indent 3 Char"/>
    <w:basedOn w:val="DefaultParagraphFont"/>
    <w:link w:val="BodyTextIndent3"/>
    <w:rsid w:val="00DB7F92"/>
    <w:rPr>
      <w:rFonts w:eastAsia="Times New Roman"/>
      <w:sz w:val="16"/>
      <w:szCs w:val="16"/>
    </w:rPr>
  </w:style>
  <w:style w:type="paragraph" w:customStyle="1" w:styleId="DHSecondaryHeadingOne">
    <w:name w:val="DH Secondary Heading One"/>
    <w:basedOn w:val="Normal"/>
    <w:rsid w:val="00DB7F92"/>
    <w:pPr>
      <w:numPr>
        <w:numId w:val="48"/>
      </w:numPr>
      <w:spacing w:line="360" w:lineRule="exact"/>
      <w:ind w:left="0" w:firstLine="0"/>
      <w:jc w:val="both"/>
    </w:pPr>
    <w:rPr>
      <w:rFonts w:cs="Arial"/>
      <w:bCs w:val="0"/>
      <w:color w:val="009966"/>
      <w:sz w:val="28"/>
      <w:szCs w:val="20"/>
    </w:rPr>
  </w:style>
  <w:style w:type="character" w:customStyle="1" w:styleId="DHTitleChar">
    <w:name w:val="DH Title Char"/>
    <w:link w:val="DHTitle"/>
    <w:locked/>
    <w:rsid w:val="00DB7F92"/>
    <w:rPr>
      <w:rFonts w:cs="Arial"/>
      <w:b/>
      <w:color w:val="009966"/>
      <w:sz w:val="60"/>
      <w:lang w:eastAsia="en-US"/>
    </w:rPr>
  </w:style>
  <w:style w:type="paragraph" w:customStyle="1" w:styleId="DHTitle">
    <w:name w:val="DH Title"/>
    <w:basedOn w:val="Normal"/>
    <w:link w:val="DHTitleChar"/>
    <w:rsid w:val="00DB7F92"/>
    <w:pPr>
      <w:spacing w:line="660" w:lineRule="exact"/>
      <w:jc w:val="both"/>
    </w:pPr>
    <w:rPr>
      <w:rFonts w:eastAsia="HGSMinchoE" w:cs="Arial"/>
      <w:b/>
      <w:bCs w:val="0"/>
      <w:color w:val="009966"/>
      <w:sz w:val="60"/>
      <w:szCs w:val="24"/>
    </w:rPr>
  </w:style>
  <w:style w:type="paragraph" w:customStyle="1" w:styleId="DHBulletlist">
    <w:name w:val="DH Bullet list"/>
    <w:basedOn w:val="Normal"/>
    <w:rsid w:val="00DB7F92"/>
    <w:pPr>
      <w:tabs>
        <w:tab w:val="num" w:pos="360"/>
      </w:tabs>
      <w:spacing w:line="320" w:lineRule="exact"/>
      <w:jc w:val="both"/>
    </w:pPr>
    <w:rPr>
      <w:bCs w:val="0"/>
      <w:sz w:val="20"/>
      <w:szCs w:val="20"/>
    </w:rPr>
  </w:style>
  <w:style w:type="paragraph" w:customStyle="1" w:styleId="DHSubtitle">
    <w:name w:val="DH Subtitle"/>
    <w:basedOn w:val="Normal"/>
    <w:rsid w:val="00DB7F92"/>
    <w:pPr>
      <w:spacing w:line="500" w:lineRule="exact"/>
      <w:jc w:val="both"/>
    </w:pPr>
    <w:rPr>
      <w:rFonts w:ascii="Times New Roman" w:hAnsi="Times New Roman"/>
      <w:bCs w:val="0"/>
      <w:i/>
      <w:sz w:val="46"/>
      <w:szCs w:val="20"/>
    </w:rPr>
  </w:style>
  <w:style w:type="paragraph" w:customStyle="1" w:styleId="DHChapterHead">
    <w:name w:val="DH Chapter Head"/>
    <w:basedOn w:val="DHTitle"/>
    <w:uiPriority w:val="99"/>
    <w:rsid w:val="00DB7F92"/>
    <w:rPr>
      <w:b w:val="0"/>
    </w:rPr>
  </w:style>
  <w:style w:type="paragraph" w:customStyle="1" w:styleId="NHSCBContents">
    <w:name w:val="NHS CB Contents"/>
    <w:basedOn w:val="Normal"/>
    <w:qFormat/>
    <w:rsid w:val="00DB7F92"/>
    <w:pPr>
      <w:spacing w:after="240" w:line="360" w:lineRule="auto"/>
      <w:jc w:val="both"/>
    </w:pPr>
    <w:rPr>
      <w:b/>
      <w:bCs w:val="0"/>
      <w:sz w:val="28"/>
      <w:szCs w:val="28"/>
      <w:lang w:eastAsia="en-GB"/>
    </w:rPr>
  </w:style>
  <w:style w:type="paragraph" w:customStyle="1" w:styleId="NHSCBTableSideHeader">
    <w:name w:val="NHS CB Table Side Header"/>
    <w:basedOn w:val="Normal"/>
    <w:rsid w:val="00DB7F92"/>
    <w:pPr>
      <w:spacing w:before="120" w:line="360" w:lineRule="auto"/>
      <w:jc w:val="both"/>
    </w:pPr>
    <w:rPr>
      <w:bCs w:val="0"/>
      <w:sz w:val="20"/>
      <w:szCs w:val="20"/>
      <w:lang w:val="x-none"/>
    </w:rPr>
  </w:style>
  <w:style w:type="paragraph" w:customStyle="1" w:styleId="NHSCBTableText">
    <w:name w:val="NHS CB Table Text"/>
    <w:basedOn w:val="Normal"/>
    <w:rsid w:val="00DB7F92"/>
    <w:pPr>
      <w:spacing w:before="120" w:line="360" w:lineRule="auto"/>
      <w:jc w:val="both"/>
    </w:pPr>
    <w:rPr>
      <w:bCs w:val="0"/>
      <w:sz w:val="20"/>
      <w:szCs w:val="20"/>
      <w:lang w:val="x-none"/>
    </w:rPr>
  </w:style>
  <w:style w:type="paragraph" w:customStyle="1" w:styleId="NHSCBTableHeaderBlankLine">
    <w:name w:val="NHS CB Table Header Blank Line"/>
    <w:basedOn w:val="Normal"/>
    <w:rsid w:val="00DB7F92"/>
    <w:pPr>
      <w:spacing w:before="120" w:line="360" w:lineRule="auto"/>
      <w:jc w:val="both"/>
    </w:pPr>
    <w:rPr>
      <w:bCs w:val="0"/>
      <w:sz w:val="2"/>
      <w:szCs w:val="2"/>
    </w:rPr>
  </w:style>
  <w:style w:type="paragraph" w:customStyle="1" w:styleId="NHSCBLevel5">
    <w:name w:val="NHS CB Level 5"/>
    <w:basedOn w:val="Normal"/>
    <w:rsid w:val="00DB7F92"/>
    <w:pPr>
      <w:numPr>
        <w:ilvl w:val="4"/>
        <w:numId w:val="49"/>
      </w:numPr>
      <w:tabs>
        <w:tab w:val="clear" w:pos="5387"/>
        <w:tab w:val="num" w:pos="1440"/>
      </w:tabs>
      <w:spacing w:after="120" w:line="360" w:lineRule="auto"/>
      <w:ind w:left="1440" w:hanging="1440"/>
      <w:jc w:val="both"/>
    </w:pPr>
    <w:rPr>
      <w:bCs w:val="0"/>
      <w:sz w:val="20"/>
      <w:szCs w:val="24"/>
    </w:rPr>
  </w:style>
  <w:style w:type="paragraph" w:customStyle="1" w:styleId="NHSCBLevel1">
    <w:name w:val="NHS CB Level 1"/>
    <w:basedOn w:val="Normal"/>
    <w:next w:val="NHSCBLevel2"/>
    <w:qFormat/>
    <w:rsid w:val="00DB7F92"/>
    <w:pPr>
      <w:numPr>
        <w:numId w:val="49"/>
      </w:numPr>
      <w:tabs>
        <w:tab w:val="clear" w:pos="680"/>
        <w:tab w:val="left" w:pos="1440"/>
      </w:tabs>
      <w:spacing w:after="240" w:line="360" w:lineRule="auto"/>
      <w:ind w:left="1440" w:hanging="1440"/>
      <w:jc w:val="both"/>
    </w:pPr>
    <w:rPr>
      <w:b/>
      <w:bCs w:val="0"/>
      <w:sz w:val="28"/>
      <w:szCs w:val="28"/>
    </w:rPr>
  </w:style>
  <w:style w:type="paragraph" w:customStyle="1" w:styleId="NHSCBLevel2-incontents">
    <w:name w:val="NHS CB Level 2 - in contents"/>
    <w:basedOn w:val="Normal"/>
    <w:next w:val="NHSCBLevel3"/>
    <w:qFormat/>
    <w:rsid w:val="00DB7F92"/>
    <w:pPr>
      <w:numPr>
        <w:ilvl w:val="1"/>
        <w:numId w:val="49"/>
      </w:numPr>
      <w:tabs>
        <w:tab w:val="clear" w:pos="1418"/>
        <w:tab w:val="num" w:pos="1440"/>
      </w:tabs>
      <w:spacing w:after="120" w:line="360" w:lineRule="auto"/>
      <w:ind w:left="1440" w:hanging="1440"/>
      <w:jc w:val="both"/>
    </w:pPr>
    <w:rPr>
      <w:b/>
      <w:bCs w:val="0"/>
      <w:sz w:val="20"/>
      <w:szCs w:val="24"/>
    </w:rPr>
  </w:style>
  <w:style w:type="paragraph" w:customStyle="1" w:styleId="NHSCBLevel3">
    <w:name w:val="NHS CB Level 3"/>
    <w:basedOn w:val="Normal"/>
    <w:rsid w:val="00DB7F92"/>
    <w:pPr>
      <w:numPr>
        <w:ilvl w:val="2"/>
        <w:numId w:val="49"/>
      </w:numPr>
      <w:tabs>
        <w:tab w:val="clear" w:pos="2957"/>
        <w:tab w:val="num" w:pos="1440"/>
      </w:tabs>
      <w:spacing w:after="120" w:line="360" w:lineRule="auto"/>
      <w:ind w:left="1440" w:hanging="1440"/>
      <w:jc w:val="both"/>
    </w:pPr>
    <w:rPr>
      <w:bCs w:val="0"/>
      <w:sz w:val="20"/>
      <w:szCs w:val="24"/>
    </w:rPr>
  </w:style>
  <w:style w:type="paragraph" w:customStyle="1" w:styleId="NHSCBLevel4">
    <w:name w:val="NHS CB Level 4"/>
    <w:basedOn w:val="Normal"/>
    <w:rsid w:val="00DB7F92"/>
    <w:pPr>
      <w:numPr>
        <w:ilvl w:val="3"/>
        <w:numId w:val="49"/>
      </w:numPr>
      <w:tabs>
        <w:tab w:val="clear" w:pos="1664"/>
        <w:tab w:val="num" w:pos="1440"/>
      </w:tabs>
      <w:spacing w:after="120" w:line="360" w:lineRule="auto"/>
      <w:ind w:left="1440" w:hanging="1440"/>
      <w:jc w:val="both"/>
    </w:pPr>
    <w:rPr>
      <w:bCs w:val="0"/>
      <w:sz w:val="20"/>
      <w:szCs w:val="24"/>
    </w:rPr>
  </w:style>
  <w:style w:type="paragraph" w:customStyle="1" w:styleId="NHSCBLevel2">
    <w:name w:val="NHS CB Level 2"/>
    <w:basedOn w:val="NHSCBLevel2-incontents"/>
    <w:qFormat/>
    <w:rsid w:val="00DB7F92"/>
    <w:pPr>
      <w:tabs>
        <w:tab w:val="clear" w:pos="1440"/>
      </w:tabs>
    </w:pPr>
    <w:rPr>
      <w:rFonts w:cs="Arial"/>
      <w:b w:val="0"/>
    </w:rPr>
  </w:style>
  <w:style w:type="paragraph" w:customStyle="1" w:styleId="Heading11">
    <w:name w:val="Heading 11"/>
    <w:basedOn w:val="Heading1"/>
    <w:rsid w:val="00DB7F92"/>
    <w:pPr>
      <w:keepNext/>
      <w:keepLines/>
      <w:numPr>
        <w:numId w:val="50"/>
      </w:numPr>
      <w:tabs>
        <w:tab w:val="left" w:pos="720"/>
      </w:tabs>
      <w:spacing w:before="200" w:after="240" w:line="276" w:lineRule="auto"/>
      <w:ind w:left="1080"/>
      <w:jc w:val="both"/>
    </w:pPr>
    <w:rPr>
      <w:rFonts w:eastAsia="MS Gothic" w:cs="Times New Roman"/>
      <w:caps/>
      <w:color w:val="auto"/>
      <w:kern w:val="0"/>
      <w:sz w:val="24"/>
      <w:szCs w:val="20"/>
      <w:lang w:eastAsia="en-GB"/>
    </w:rPr>
  </w:style>
  <w:style w:type="paragraph" w:customStyle="1" w:styleId="subtitle">
    <w:name w:val="sub title"/>
    <w:basedOn w:val="Heading1"/>
    <w:qFormat/>
    <w:rsid w:val="00DB7F92"/>
    <w:pPr>
      <w:keepNext/>
      <w:keepLines/>
      <w:numPr>
        <w:ilvl w:val="1"/>
        <w:numId w:val="50"/>
      </w:numPr>
      <w:tabs>
        <w:tab w:val="left" w:pos="720"/>
      </w:tabs>
      <w:spacing w:before="240" w:after="240" w:line="276" w:lineRule="auto"/>
      <w:ind w:left="1800"/>
      <w:jc w:val="both"/>
    </w:pPr>
    <w:rPr>
      <w:rFonts w:eastAsia="MS Gothic" w:cs="Times New Roman"/>
      <w:caps/>
      <w:color w:val="auto"/>
      <w:kern w:val="0"/>
      <w:sz w:val="24"/>
      <w:szCs w:val="20"/>
      <w:lang w:eastAsia="en-GB"/>
    </w:rPr>
  </w:style>
  <w:style w:type="paragraph" w:customStyle="1" w:styleId="NHSCBTableHeader">
    <w:name w:val="NHS CB Table Header"/>
    <w:basedOn w:val="Normal"/>
    <w:rsid w:val="00DB7F92"/>
    <w:pPr>
      <w:spacing w:before="120" w:line="360" w:lineRule="auto"/>
      <w:jc w:val="center"/>
    </w:pPr>
    <w:rPr>
      <w:rFonts w:cs="Arial"/>
      <w:bCs w:val="0"/>
      <w:sz w:val="20"/>
      <w:szCs w:val="20"/>
      <w:lang w:eastAsia="en-GB"/>
    </w:rPr>
  </w:style>
  <w:style w:type="paragraph" w:customStyle="1" w:styleId="NHSCBAppendixHeader">
    <w:name w:val="NHS CB Appendix Header"/>
    <w:rsid w:val="00DB7F92"/>
    <w:pPr>
      <w:numPr>
        <w:numId w:val="51"/>
      </w:numPr>
      <w:spacing w:after="240" w:line="360" w:lineRule="auto"/>
      <w:ind w:left="2160" w:hanging="2160"/>
    </w:pPr>
    <w:rPr>
      <w:rFonts w:ascii="Arial Bold" w:eastAsia="Times New Roman" w:hAnsi="Arial Bold"/>
      <w:b/>
      <w:sz w:val="28"/>
      <w:szCs w:val="32"/>
      <w:lang w:eastAsia="en-US"/>
    </w:rPr>
  </w:style>
  <w:style w:type="character" w:customStyle="1" w:styleId="DHBodycopyChar">
    <w:name w:val="DH Body copy Char"/>
    <w:link w:val="DHBodycopy"/>
    <w:uiPriority w:val="99"/>
    <w:locked/>
    <w:rsid w:val="00DB7F92"/>
    <w:rPr>
      <w:rFonts w:eastAsia="Times New Roman"/>
      <w:bCs/>
      <w:szCs w:val="20"/>
      <w:lang w:eastAsia="en-US"/>
    </w:rPr>
  </w:style>
  <w:style w:type="table" w:customStyle="1" w:styleId="TableGrid111">
    <w:name w:val="Table Grid111"/>
    <w:basedOn w:val="TableNormal"/>
    <w:next w:val="TableGrid"/>
    <w:uiPriority w:val="59"/>
    <w:rsid w:val="00DB7F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DB7F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B7F9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DB7F9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B7F92"/>
  </w:style>
  <w:style w:type="table" w:customStyle="1" w:styleId="TableGrid5">
    <w:name w:val="Table Grid5"/>
    <w:basedOn w:val="TableNormal"/>
    <w:next w:val="TableGrid"/>
    <w:rsid w:val="00DB7F9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B7F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DB7F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mailSignature">
    <w:name w:val="E-mail Signature"/>
    <w:basedOn w:val="Normal"/>
    <w:link w:val="E-mailSignatureChar"/>
    <w:uiPriority w:val="99"/>
    <w:rsid w:val="00DB7F92"/>
    <w:rPr>
      <w:rFonts w:ascii="Times New Roman" w:hAnsi="Times New Roman"/>
      <w:bCs w:val="0"/>
      <w:szCs w:val="24"/>
      <w:lang w:eastAsia="en-GB"/>
    </w:rPr>
  </w:style>
  <w:style w:type="character" w:customStyle="1" w:styleId="E-mailSignatureChar">
    <w:name w:val="E-mail Signature Char"/>
    <w:basedOn w:val="DefaultParagraphFont"/>
    <w:link w:val="E-mailSignature"/>
    <w:uiPriority w:val="99"/>
    <w:rsid w:val="00DB7F92"/>
    <w:rPr>
      <w:rFonts w:ascii="Times New Roman" w:eastAsia="Times New Roman" w:hAnsi="Times New Roman"/>
    </w:rPr>
  </w:style>
  <w:style w:type="paragraph" w:customStyle="1" w:styleId="TableParagraph">
    <w:name w:val="Table Paragraph"/>
    <w:basedOn w:val="Normal"/>
    <w:uiPriority w:val="1"/>
    <w:qFormat/>
    <w:rsid w:val="00DB7F92"/>
    <w:pPr>
      <w:widowControl w:val="0"/>
    </w:pPr>
    <w:rPr>
      <w:rFonts w:asciiTheme="minorHAnsi" w:eastAsiaTheme="minorHAnsi" w:hAnsiTheme="minorHAnsi" w:cstheme="minorBidi"/>
      <w:bCs w:val="0"/>
      <w:sz w:val="22"/>
      <w:szCs w:val="22"/>
      <w:lang w:val="en-US"/>
    </w:rPr>
  </w:style>
  <w:style w:type="character" w:styleId="Strong">
    <w:name w:val="Strong"/>
    <w:basedOn w:val="DefaultParagraphFont"/>
    <w:uiPriority w:val="22"/>
    <w:qFormat/>
    <w:rsid w:val="00161D27"/>
    <w:rPr>
      <w:b/>
      <w:bCs/>
    </w:rPr>
  </w:style>
  <w:style w:type="character" w:styleId="BookTitle">
    <w:name w:val="Book Title"/>
    <w:basedOn w:val="DefaultParagraphFont"/>
    <w:uiPriority w:val="33"/>
    <w:qFormat/>
    <w:rsid w:val="00E962CD"/>
    <w:rPr>
      <w:b/>
      <w:bCs/>
      <w:smallCaps/>
      <w:spacing w:val="5"/>
    </w:rPr>
  </w:style>
  <w:style w:type="paragraph" w:customStyle="1" w:styleId="E477CFE5C6AE40B6BED58EC133349D5A">
    <w:name w:val="E477CFE5C6AE40B6BED58EC133349D5A"/>
    <w:rsid w:val="00E962CD"/>
    <w:pPr>
      <w:spacing w:after="200" w:line="276" w:lineRule="auto"/>
    </w:pPr>
    <w:rPr>
      <w:rFonts w:asciiTheme="minorHAnsi" w:eastAsiaTheme="minorEastAsia" w:hAnsiTheme="minorHAnsi" w:cstheme="minorBidi"/>
      <w:sz w:val="22"/>
      <w:szCs w:val="22"/>
      <w:lang w:val="en-US" w:eastAsia="ja-JP"/>
    </w:rPr>
  </w:style>
  <w:style w:type="paragraph" w:customStyle="1" w:styleId="legp1paratext">
    <w:name w:val="legp1paratext"/>
    <w:basedOn w:val="Normal"/>
    <w:rsid w:val="00B5759F"/>
    <w:pPr>
      <w:spacing w:before="100" w:beforeAutospacing="1" w:after="100" w:afterAutospacing="1"/>
    </w:pPr>
    <w:rPr>
      <w:rFonts w:ascii="Times New Roman" w:hAnsi="Times New Roman"/>
      <w:bCs w:val="0"/>
      <w:szCs w:val="24"/>
      <w:lang w:eastAsia="en-GB"/>
    </w:rPr>
  </w:style>
  <w:style w:type="paragraph" w:customStyle="1" w:styleId="legclearfix">
    <w:name w:val="legclearfix"/>
    <w:basedOn w:val="Normal"/>
    <w:rsid w:val="00B5759F"/>
    <w:pPr>
      <w:spacing w:before="100" w:beforeAutospacing="1" w:after="100" w:afterAutospacing="1"/>
    </w:pPr>
    <w:rPr>
      <w:rFonts w:ascii="Times New Roman" w:hAnsi="Times New Roman"/>
      <w:bCs w:val="0"/>
      <w:szCs w:val="24"/>
      <w:lang w:eastAsia="en-GB"/>
    </w:rPr>
  </w:style>
  <w:style w:type="character" w:customStyle="1" w:styleId="legds">
    <w:name w:val="legds"/>
    <w:basedOn w:val="DefaultParagraphFont"/>
    <w:rsid w:val="00B5759F"/>
  </w:style>
  <w:style w:type="character" w:customStyle="1" w:styleId="apple-converted-space">
    <w:name w:val="apple-converted-space"/>
    <w:basedOn w:val="DefaultParagraphFont"/>
    <w:rsid w:val="00B5759F"/>
  </w:style>
  <w:style w:type="character" w:customStyle="1" w:styleId="legp1no">
    <w:name w:val="legp1no"/>
    <w:basedOn w:val="DefaultParagraphFont"/>
    <w:rsid w:val="00867125"/>
  </w:style>
  <w:style w:type="paragraph" w:customStyle="1" w:styleId="legp2paratext">
    <w:name w:val="legp2paratext"/>
    <w:basedOn w:val="Normal"/>
    <w:rsid w:val="00867125"/>
    <w:pPr>
      <w:spacing w:before="100" w:beforeAutospacing="1" w:after="100" w:afterAutospacing="1"/>
    </w:pPr>
    <w:rPr>
      <w:rFonts w:ascii="Times New Roman" w:hAnsi="Times New Roman"/>
      <w:bCs w:val="0"/>
      <w:szCs w:val="24"/>
      <w:lang w:eastAsia="en-GB"/>
    </w:rPr>
  </w:style>
  <w:style w:type="character" w:customStyle="1" w:styleId="UnresolvedMention1">
    <w:name w:val="Unresolved Mention1"/>
    <w:basedOn w:val="DefaultParagraphFont"/>
    <w:uiPriority w:val="99"/>
    <w:semiHidden/>
    <w:unhideWhenUsed/>
    <w:rsid w:val="005B1745"/>
    <w:rPr>
      <w:color w:val="808080"/>
      <w:shd w:val="clear" w:color="auto" w:fill="E6E6E6"/>
    </w:rPr>
  </w:style>
  <w:style w:type="paragraph" w:customStyle="1" w:styleId="msonormal0">
    <w:name w:val="msonormal"/>
    <w:basedOn w:val="Normal"/>
    <w:rsid w:val="00A7454C"/>
    <w:pPr>
      <w:spacing w:before="100" w:beforeAutospacing="1" w:after="100" w:afterAutospacing="1"/>
    </w:pPr>
    <w:rPr>
      <w:rFonts w:ascii="Times New Roman" w:hAnsi="Times New Roman"/>
      <w:bCs w:val="0"/>
      <w:szCs w:val="24"/>
      <w:lang w:eastAsia="en-GB"/>
    </w:rPr>
  </w:style>
  <w:style w:type="character" w:customStyle="1" w:styleId="UnresolvedMention10">
    <w:name w:val="Unresolved Mention10"/>
    <w:basedOn w:val="DefaultParagraphFont"/>
    <w:uiPriority w:val="99"/>
    <w:semiHidden/>
    <w:unhideWhenUsed/>
    <w:rsid w:val="0007271E"/>
    <w:rPr>
      <w:color w:val="808080"/>
      <w:shd w:val="clear" w:color="auto" w:fill="E6E6E6"/>
    </w:rPr>
  </w:style>
  <w:style w:type="character" w:styleId="UnresolvedMention">
    <w:name w:val="Unresolved Mention"/>
    <w:basedOn w:val="DefaultParagraphFont"/>
    <w:uiPriority w:val="99"/>
    <w:semiHidden/>
    <w:unhideWhenUsed/>
    <w:rsid w:val="007F11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49166">
      <w:bodyDiv w:val="1"/>
      <w:marLeft w:val="0"/>
      <w:marRight w:val="0"/>
      <w:marTop w:val="0"/>
      <w:marBottom w:val="0"/>
      <w:divBdr>
        <w:top w:val="none" w:sz="0" w:space="0" w:color="auto"/>
        <w:left w:val="none" w:sz="0" w:space="0" w:color="auto"/>
        <w:bottom w:val="none" w:sz="0" w:space="0" w:color="auto"/>
        <w:right w:val="none" w:sz="0" w:space="0" w:color="auto"/>
      </w:divBdr>
    </w:div>
    <w:div w:id="39519990">
      <w:bodyDiv w:val="1"/>
      <w:marLeft w:val="0"/>
      <w:marRight w:val="0"/>
      <w:marTop w:val="0"/>
      <w:marBottom w:val="0"/>
      <w:divBdr>
        <w:top w:val="none" w:sz="0" w:space="0" w:color="auto"/>
        <w:left w:val="none" w:sz="0" w:space="0" w:color="auto"/>
        <w:bottom w:val="none" w:sz="0" w:space="0" w:color="auto"/>
        <w:right w:val="none" w:sz="0" w:space="0" w:color="auto"/>
      </w:divBdr>
    </w:div>
    <w:div w:id="188031842">
      <w:bodyDiv w:val="1"/>
      <w:marLeft w:val="0"/>
      <w:marRight w:val="0"/>
      <w:marTop w:val="0"/>
      <w:marBottom w:val="0"/>
      <w:divBdr>
        <w:top w:val="none" w:sz="0" w:space="0" w:color="auto"/>
        <w:left w:val="none" w:sz="0" w:space="0" w:color="auto"/>
        <w:bottom w:val="none" w:sz="0" w:space="0" w:color="auto"/>
        <w:right w:val="none" w:sz="0" w:space="0" w:color="auto"/>
      </w:divBdr>
    </w:div>
    <w:div w:id="231936025">
      <w:bodyDiv w:val="1"/>
      <w:marLeft w:val="0"/>
      <w:marRight w:val="0"/>
      <w:marTop w:val="0"/>
      <w:marBottom w:val="0"/>
      <w:divBdr>
        <w:top w:val="none" w:sz="0" w:space="0" w:color="auto"/>
        <w:left w:val="none" w:sz="0" w:space="0" w:color="auto"/>
        <w:bottom w:val="none" w:sz="0" w:space="0" w:color="auto"/>
        <w:right w:val="none" w:sz="0" w:space="0" w:color="auto"/>
      </w:divBdr>
    </w:div>
    <w:div w:id="245261165">
      <w:bodyDiv w:val="1"/>
      <w:marLeft w:val="0"/>
      <w:marRight w:val="0"/>
      <w:marTop w:val="0"/>
      <w:marBottom w:val="0"/>
      <w:divBdr>
        <w:top w:val="none" w:sz="0" w:space="0" w:color="auto"/>
        <w:left w:val="none" w:sz="0" w:space="0" w:color="auto"/>
        <w:bottom w:val="none" w:sz="0" w:space="0" w:color="auto"/>
        <w:right w:val="none" w:sz="0" w:space="0" w:color="auto"/>
      </w:divBdr>
    </w:div>
    <w:div w:id="271861576">
      <w:bodyDiv w:val="1"/>
      <w:marLeft w:val="0"/>
      <w:marRight w:val="0"/>
      <w:marTop w:val="0"/>
      <w:marBottom w:val="0"/>
      <w:divBdr>
        <w:top w:val="none" w:sz="0" w:space="0" w:color="auto"/>
        <w:left w:val="none" w:sz="0" w:space="0" w:color="auto"/>
        <w:bottom w:val="none" w:sz="0" w:space="0" w:color="auto"/>
        <w:right w:val="none" w:sz="0" w:space="0" w:color="auto"/>
      </w:divBdr>
    </w:div>
    <w:div w:id="424957655">
      <w:bodyDiv w:val="1"/>
      <w:marLeft w:val="0"/>
      <w:marRight w:val="0"/>
      <w:marTop w:val="0"/>
      <w:marBottom w:val="0"/>
      <w:divBdr>
        <w:top w:val="none" w:sz="0" w:space="0" w:color="auto"/>
        <w:left w:val="none" w:sz="0" w:space="0" w:color="auto"/>
        <w:bottom w:val="none" w:sz="0" w:space="0" w:color="auto"/>
        <w:right w:val="none" w:sz="0" w:space="0" w:color="auto"/>
      </w:divBdr>
    </w:div>
    <w:div w:id="438065372">
      <w:bodyDiv w:val="1"/>
      <w:marLeft w:val="0"/>
      <w:marRight w:val="0"/>
      <w:marTop w:val="0"/>
      <w:marBottom w:val="0"/>
      <w:divBdr>
        <w:top w:val="none" w:sz="0" w:space="0" w:color="auto"/>
        <w:left w:val="none" w:sz="0" w:space="0" w:color="auto"/>
        <w:bottom w:val="none" w:sz="0" w:space="0" w:color="auto"/>
        <w:right w:val="none" w:sz="0" w:space="0" w:color="auto"/>
      </w:divBdr>
    </w:div>
    <w:div w:id="524637431">
      <w:bodyDiv w:val="1"/>
      <w:marLeft w:val="0"/>
      <w:marRight w:val="0"/>
      <w:marTop w:val="0"/>
      <w:marBottom w:val="0"/>
      <w:divBdr>
        <w:top w:val="none" w:sz="0" w:space="0" w:color="auto"/>
        <w:left w:val="none" w:sz="0" w:space="0" w:color="auto"/>
        <w:bottom w:val="none" w:sz="0" w:space="0" w:color="auto"/>
        <w:right w:val="none" w:sz="0" w:space="0" w:color="auto"/>
      </w:divBdr>
    </w:div>
    <w:div w:id="610934492">
      <w:bodyDiv w:val="1"/>
      <w:marLeft w:val="0"/>
      <w:marRight w:val="0"/>
      <w:marTop w:val="0"/>
      <w:marBottom w:val="0"/>
      <w:divBdr>
        <w:top w:val="none" w:sz="0" w:space="0" w:color="auto"/>
        <w:left w:val="none" w:sz="0" w:space="0" w:color="auto"/>
        <w:bottom w:val="none" w:sz="0" w:space="0" w:color="auto"/>
        <w:right w:val="none" w:sz="0" w:space="0" w:color="auto"/>
      </w:divBdr>
    </w:div>
    <w:div w:id="612398508">
      <w:bodyDiv w:val="1"/>
      <w:marLeft w:val="0"/>
      <w:marRight w:val="0"/>
      <w:marTop w:val="0"/>
      <w:marBottom w:val="0"/>
      <w:divBdr>
        <w:top w:val="none" w:sz="0" w:space="0" w:color="auto"/>
        <w:left w:val="none" w:sz="0" w:space="0" w:color="auto"/>
        <w:bottom w:val="none" w:sz="0" w:space="0" w:color="auto"/>
        <w:right w:val="none" w:sz="0" w:space="0" w:color="auto"/>
      </w:divBdr>
    </w:div>
    <w:div w:id="666908575">
      <w:bodyDiv w:val="1"/>
      <w:marLeft w:val="0"/>
      <w:marRight w:val="0"/>
      <w:marTop w:val="0"/>
      <w:marBottom w:val="0"/>
      <w:divBdr>
        <w:top w:val="none" w:sz="0" w:space="0" w:color="auto"/>
        <w:left w:val="none" w:sz="0" w:space="0" w:color="auto"/>
        <w:bottom w:val="none" w:sz="0" w:space="0" w:color="auto"/>
        <w:right w:val="none" w:sz="0" w:space="0" w:color="auto"/>
      </w:divBdr>
    </w:div>
    <w:div w:id="713388221">
      <w:bodyDiv w:val="1"/>
      <w:marLeft w:val="0"/>
      <w:marRight w:val="0"/>
      <w:marTop w:val="0"/>
      <w:marBottom w:val="0"/>
      <w:divBdr>
        <w:top w:val="none" w:sz="0" w:space="0" w:color="auto"/>
        <w:left w:val="none" w:sz="0" w:space="0" w:color="auto"/>
        <w:bottom w:val="none" w:sz="0" w:space="0" w:color="auto"/>
        <w:right w:val="none" w:sz="0" w:space="0" w:color="auto"/>
      </w:divBdr>
    </w:div>
    <w:div w:id="816801870">
      <w:bodyDiv w:val="1"/>
      <w:marLeft w:val="0"/>
      <w:marRight w:val="0"/>
      <w:marTop w:val="0"/>
      <w:marBottom w:val="0"/>
      <w:divBdr>
        <w:top w:val="none" w:sz="0" w:space="0" w:color="auto"/>
        <w:left w:val="none" w:sz="0" w:space="0" w:color="auto"/>
        <w:bottom w:val="none" w:sz="0" w:space="0" w:color="auto"/>
        <w:right w:val="none" w:sz="0" w:space="0" w:color="auto"/>
      </w:divBdr>
    </w:div>
    <w:div w:id="904799606">
      <w:bodyDiv w:val="1"/>
      <w:marLeft w:val="0"/>
      <w:marRight w:val="0"/>
      <w:marTop w:val="0"/>
      <w:marBottom w:val="0"/>
      <w:divBdr>
        <w:top w:val="none" w:sz="0" w:space="0" w:color="auto"/>
        <w:left w:val="none" w:sz="0" w:space="0" w:color="auto"/>
        <w:bottom w:val="none" w:sz="0" w:space="0" w:color="auto"/>
        <w:right w:val="none" w:sz="0" w:space="0" w:color="auto"/>
      </w:divBdr>
    </w:div>
    <w:div w:id="960841784">
      <w:bodyDiv w:val="1"/>
      <w:marLeft w:val="0"/>
      <w:marRight w:val="0"/>
      <w:marTop w:val="0"/>
      <w:marBottom w:val="0"/>
      <w:divBdr>
        <w:top w:val="none" w:sz="0" w:space="0" w:color="auto"/>
        <w:left w:val="none" w:sz="0" w:space="0" w:color="auto"/>
        <w:bottom w:val="none" w:sz="0" w:space="0" w:color="auto"/>
        <w:right w:val="none" w:sz="0" w:space="0" w:color="auto"/>
      </w:divBdr>
      <w:divsChild>
        <w:div w:id="1068188838">
          <w:marLeft w:val="0"/>
          <w:marRight w:val="0"/>
          <w:marTop w:val="0"/>
          <w:marBottom w:val="0"/>
          <w:divBdr>
            <w:top w:val="none" w:sz="0" w:space="0" w:color="auto"/>
            <w:left w:val="none" w:sz="0" w:space="0" w:color="auto"/>
            <w:bottom w:val="none" w:sz="0" w:space="0" w:color="auto"/>
            <w:right w:val="none" w:sz="0" w:space="0" w:color="auto"/>
          </w:divBdr>
          <w:divsChild>
            <w:div w:id="17689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37616">
      <w:bodyDiv w:val="1"/>
      <w:marLeft w:val="0"/>
      <w:marRight w:val="0"/>
      <w:marTop w:val="0"/>
      <w:marBottom w:val="0"/>
      <w:divBdr>
        <w:top w:val="none" w:sz="0" w:space="0" w:color="auto"/>
        <w:left w:val="none" w:sz="0" w:space="0" w:color="auto"/>
        <w:bottom w:val="none" w:sz="0" w:space="0" w:color="auto"/>
        <w:right w:val="none" w:sz="0" w:space="0" w:color="auto"/>
      </w:divBdr>
    </w:div>
    <w:div w:id="999038927">
      <w:bodyDiv w:val="1"/>
      <w:marLeft w:val="0"/>
      <w:marRight w:val="0"/>
      <w:marTop w:val="0"/>
      <w:marBottom w:val="0"/>
      <w:divBdr>
        <w:top w:val="none" w:sz="0" w:space="0" w:color="auto"/>
        <w:left w:val="none" w:sz="0" w:space="0" w:color="auto"/>
        <w:bottom w:val="none" w:sz="0" w:space="0" w:color="auto"/>
        <w:right w:val="none" w:sz="0" w:space="0" w:color="auto"/>
      </w:divBdr>
    </w:div>
    <w:div w:id="1034037203">
      <w:bodyDiv w:val="1"/>
      <w:marLeft w:val="0"/>
      <w:marRight w:val="0"/>
      <w:marTop w:val="0"/>
      <w:marBottom w:val="0"/>
      <w:divBdr>
        <w:top w:val="none" w:sz="0" w:space="0" w:color="auto"/>
        <w:left w:val="none" w:sz="0" w:space="0" w:color="auto"/>
        <w:bottom w:val="none" w:sz="0" w:space="0" w:color="auto"/>
        <w:right w:val="none" w:sz="0" w:space="0" w:color="auto"/>
      </w:divBdr>
    </w:div>
    <w:div w:id="1115832940">
      <w:bodyDiv w:val="1"/>
      <w:marLeft w:val="0"/>
      <w:marRight w:val="0"/>
      <w:marTop w:val="0"/>
      <w:marBottom w:val="0"/>
      <w:divBdr>
        <w:top w:val="none" w:sz="0" w:space="0" w:color="auto"/>
        <w:left w:val="none" w:sz="0" w:space="0" w:color="auto"/>
        <w:bottom w:val="none" w:sz="0" w:space="0" w:color="auto"/>
        <w:right w:val="none" w:sz="0" w:space="0" w:color="auto"/>
      </w:divBdr>
    </w:div>
    <w:div w:id="1147278170">
      <w:bodyDiv w:val="1"/>
      <w:marLeft w:val="0"/>
      <w:marRight w:val="0"/>
      <w:marTop w:val="0"/>
      <w:marBottom w:val="0"/>
      <w:divBdr>
        <w:top w:val="none" w:sz="0" w:space="0" w:color="auto"/>
        <w:left w:val="none" w:sz="0" w:space="0" w:color="auto"/>
        <w:bottom w:val="none" w:sz="0" w:space="0" w:color="auto"/>
        <w:right w:val="none" w:sz="0" w:space="0" w:color="auto"/>
      </w:divBdr>
    </w:div>
    <w:div w:id="1325746394">
      <w:bodyDiv w:val="1"/>
      <w:marLeft w:val="0"/>
      <w:marRight w:val="0"/>
      <w:marTop w:val="0"/>
      <w:marBottom w:val="0"/>
      <w:divBdr>
        <w:top w:val="none" w:sz="0" w:space="0" w:color="auto"/>
        <w:left w:val="none" w:sz="0" w:space="0" w:color="auto"/>
        <w:bottom w:val="none" w:sz="0" w:space="0" w:color="auto"/>
        <w:right w:val="none" w:sz="0" w:space="0" w:color="auto"/>
      </w:divBdr>
    </w:div>
    <w:div w:id="1332836731">
      <w:bodyDiv w:val="1"/>
      <w:marLeft w:val="0"/>
      <w:marRight w:val="0"/>
      <w:marTop w:val="0"/>
      <w:marBottom w:val="0"/>
      <w:divBdr>
        <w:top w:val="none" w:sz="0" w:space="0" w:color="auto"/>
        <w:left w:val="none" w:sz="0" w:space="0" w:color="auto"/>
        <w:bottom w:val="none" w:sz="0" w:space="0" w:color="auto"/>
        <w:right w:val="none" w:sz="0" w:space="0" w:color="auto"/>
      </w:divBdr>
    </w:div>
    <w:div w:id="1420253004">
      <w:bodyDiv w:val="1"/>
      <w:marLeft w:val="0"/>
      <w:marRight w:val="0"/>
      <w:marTop w:val="0"/>
      <w:marBottom w:val="0"/>
      <w:divBdr>
        <w:top w:val="none" w:sz="0" w:space="0" w:color="auto"/>
        <w:left w:val="none" w:sz="0" w:space="0" w:color="auto"/>
        <w:bottom w:val="none" w:sz="0" w:space="0" w:color="auto"/>
        <w:right w:val="none" w:sz="0" w:space="0" w:color="auto"/>
      </w:divBdr>
    </w:div>
    <w:div w:id="1438059313">
      <w:bodyDiv w:val="1"/>
      <w:marLeft w:val="0"/>
      <w:marRight w:val="0"/>
      <w:marTop w:val="0"/>
      <w:marBottom w:val="0"/>
      <w:divBdr>
        <w:top w:val="none" w:sz="0" w:space="0" w:color="auto"/>
        <w:left w:val="none" w:sz="0" w:space="0" w:color="auto"/>
        <w:bottom w:val="none" w:sz="0" w:space="0" w:color="auto"/>
        <w:right w:val="none" w:sz="0" w:space="0" w:color="auto"/>
      </w:divBdr>
    </w:div>
    <w:div w:id="1565944897">
      <w:bodyDiv w:val="1"/>
      <w:marLeft w:val="0"/>
      <w:marRight w:val="0"/>
      <w:marTop w:val="0"/>
      <w:marBottom w:val="0"/>
      <w:divBdr>
        <w:top w:val="none" w:sz="0" w:space="0" w:color="auto"/>
        <w:left w:val="none" w:sz="0" w:space="0" w:color="auto"/>
        <w:bottom w:val="none" w:sz="0" w:space="0" w:color="auto"/>
        <w:right w:val="none" w:sz="0" w:space="0" w:color="auto"/>
      </w:divBdr>
    </w:div>
    <w:div w:id="1584678852">
      <w:bodyDiv w:val="1"/>
      <w:marLeft w:val="0"/>
      <w:marRight w:val="0"/>
      <w:marTop w:val="0"/>
      <w:marBottom w:val="0"/>
      <w:divBdr>
        <w:top w:val="none" w:sz="0" w:space="0" w:color="auto"/>
        <w:left w:val="none" w:sz="0" w:space="0" w:color="auto"/>
        <w:bottom w:val="none" w:sz="0" w:space="0" w:color="auto"/>
        <w:right w:val="none" w:sz="0" w:space="0" w:color="auto"/>
      </w:divBdr>
    </w:div>
    <w:div w:id="1666591547">
      <w:bodyDiv w:val="1"/>
      <w:marLeft w:val="0"/>
      <w:marRight w:val="0"/>
      <w:marTop w:val="0"/>
      <w:marBottom w:val="0"/>
      <w:divBdr>
        <w:top w:val="none" w:sz="0" w:space="0" w:color="auto"/>
        <w:left w:val="none" w:sz="0" w:space="0" w:color="auto"/>
        <w:bottom w:val="none" w:sz="0" w:space="0" w:color="auto"/>
        <w:right w:val="none" w:sz="0" w:space="0" w:color="auto"/>
      </w:divBdr>
    </w:div>
    <w:div w:id="1704400814">
      <w:bodyDiv w:val="1"/>
      <w:marLeft w:val="0"/>
      <w:marRight w:val="0"/>
      <w:marTop w:val="0"/>
      <w:marBottom w:val="0"/>
      <w:divBdr>
        <w:top w:val="none" w:sz="0" w:space="0" w:color="auto"/>
        <w:left w:val="none" w:sz="0" w:space="0" w:color="auto"/>
        <w:bottom w:val="none" w:sz="0" w:space="0" w:color="auto"/>
        <w:right w:val="none" w:sz="0" w:space="0" w:color="auto"/>
      </w:divBdr>
    </w:div>
    <w:div w:id="1762414978">
      <w:bodyDiv w:val="1"/>
      <w:marLeft w:val="0"/>
      <w:marRight w:val="0"/>
      <w:marTop w:val="0"/>
      <w:marBottom w:val="0"/>
      <w:divBdr>
        <w:top w:val="none" w:sz="0" w:space="0" w:color="auto"/>
        <w:left w:val="none" w:sz="0" w:space="0" w:color="auto"/>
        <w:bottom w:val="none" w:sz="0" w:space="0" w:color="auto"/>
        <w:right w:val="none" w:sz="0" w:space="0" w:color="auto"/>
      </w:divBdr>
      <w:divsChild>
        <w:div w:id="1763914915">
          <w:marLeft w:val="0"/>
          <w:marRight w:val="0"/>
          <w:marTop w:val="0"/>
          <w:marBottom w:val="0"/>
          <w:divBdr>
            <w:top w:val="none" w:sz="0" w:space="0" w:color="auto"/>
            <w:left w:val="none" w:sz="0" w:space="0" w:color="auto"/>
            <w:bottom w:val="none" w:sz="0" w:space="0" w:color="auto"/>
            <w:right w:val="none" w:sz="0" w:space="0" w:color="auto"/>
          </w:divBdr>
        </w:div>
        <w:div w:id="1802262347">
          <w:marLeft w:val="0"/>
          <w:marRight w:val="0"/>
          <w:marTop w:val="0"/>
          <w:marBottom w:val="0"/>
          <w:divBdr>
            <w:top w:val="none" w:sz="0" w:space="0" w:color="auto"/>
            <w:left w:val="none" w:sz="0" w:space="0" w:color="auto"/>
            <w:bottom w:val="none" w:sz="0" w:space="0" w:color="auto"/>
            <w:right w:val="none" w:sz="0" w:space="0" w:color="auto"/>
          </w:divBdr>
        </w:div>
      </w:divsChild>
    </w:div>
    <w:div w:id="1789469176">
      <w:bodyDiv w:val="1"/>
      <w:marLeft w:val="0"/>
      <w:marRight w:val="0"/>
      <w:marTop w:val="0"/>
      <w:marBottom w:val="0"/>
      <w:divBdr>
        <w:top w:val="none" w:sz="0" w:space="0" w:color="auto"/>
        <w:left w:val="none" w:sz="0" w:space="0" w:color="auto"/>
        <w:bottom w:val="none" w:sz="0" w:space="0" w:color="auto"/>
        <w:right w:val="none" w:sz="0" w:space="0" w:color="auto"/>
      </w:divBdr>
    </w:div>
    <w:div w:id="1847599217">
      <w:bodyDiv w:val="1"/>
      <w:marLeft w:val="0"/>
      <w:marRight w:val="0"/>
      <w:marTop w:val="0"/>
      <w:marBottom w:val="0"/>
      <w:divBdr>
        <w:top w:val="none" w:sz="0" w:space="0" w:color="auto"/>
        <w:left w:val="none" w:sz="0" w:space="0" w:color="auto"/>
        <w:bottom w:val="none" w:sz="0" w:space="0" w:color="auto"/>
        <w:right w:val="none" w:sz="0" w:space="0" w:color="auto"/>
      </w:divBdr>
    </w:div>
    <w:div w:id="1875581240">
      <w:bodyDiv w:val="1"/>
      <w:marLeft w:val="0"/>
      <w:marRight w:val="0"/>
      <w:marTop w:val="0"/>
      <w:marBottom w:val="0"/>
      <w:divBdr>
        <w:top w:val="none" w:sz="0" w:space="0" w:color="auto"/>
        <w:left w:val="none" w:sz="0" w:space="0" w:color="auto"/>
        <w:bottom w:val="none" w:sz="0" w:space="0" w:color="auto"/>
        <w:right w:val="none" w:sz="0" w:space="0" w:color="auto"/>
      </w:divBdr>
    </w:div>
    <w:div w:id="2002468334">
      <w:bodyDiv w:val="1"/>
      <w:marLeft w:val="0"/>
      <w:marRight w:val="0"/>
      <w:marTop w:val="0"/>
      <w:marBottom w:val="0"/>
      <w:divBdr>
        <w:top w:val="none" w:sz="0" w:space="0" w:color="auto"/>
        <w:left w:val="none" w:sz="0" w:space="0" w:color="auto"/>
        <w:bottom w:val="none" w:sz="0" w:space="0" w:color="auto"/>
        <w:right w:val="none" w:sz="0" w:space="0" w:color="auto"/>
      </w:divBdr>
    </w:div>
    <w:div w:id="2060933642">
      <w:bodyDiv w:val="1"/>
      <w:marLeft w:val="0"/>
      <w:marRight w:val="0"/>
      <w:marTop w:val="0"/>
      <w:marBottom w:val="0"/>
      <w:divBdr>
        <w:top w:val="none" w:sz="0" w:space="0" w:color="auto"/>
        <w:left w:val="none" w:sz="0" w:space="0" w:color="auto"/>
        <w:bottom w:val="none" w:sz="0" w:space="0" w:color="auto"/>
        <w:right w:val="none" w:sz="0" w:space="0" w:color="auto"/>
      </w:divBdr>
    </w:div>
    <w:div w:id="2124301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xml"/><Relationship Id="rId21" Type="http://schemas.openxmlformats.org/officeDocument/2006/relationships/hyperlink" Target="http://www.england.nhs.uk" TargetMode="External"/><Relationship Id="rId42" Type="http://schemas.openxmlformats.org/officeDocument/2006/relationships/hyperlink" Target="https://www.england.nhs.uk/wp-content/uploads/2016/04/gp-reduce-dup.pdf" TargetMode="External"/><Relationship Id="rId63" Type="http://schemas.openxmlformats.org/officeDocument/2006/relationships/hyperlink" Target="http://www.primarycareindicators.nhs.uk/" TargetMode="External"/><Relationship Id="rId84" Type="http://schemas.openxmlformats.org/officeDocument/2006/relationships/hyperlink" Target="http://legislation.data.gov.uk/uksi/2015/1862/made/data.htm?wrap=true" TargetMode="External"/><Relationship Id="rId138" Type="http://schemas.openxmlformats.org/officeDocument/2006/relationships/hyperlink" Target="https://www.england.nhs.uk/gp/gpfv/workload/resilience/" TargetMode="External"/><Relationship Id="rId159" Type="http://schemas.openxmlformats.org/officeDocument/2006/relationships/hyperlink" Target="https://www.england.nhs.uk/commissioning/wp-content/uploads/sites/12/2016/03/framwrk-public-partcptn-prim-care.pdf" TargetMode="External"/><Relationship Id="rId170" Type="http://schemas.openxmlformats.org/officeDocument/2006/relationships/hyperlink" Target="https://pcse.england.nhs.uk/services/gp-payments/" TargetMode="External"/><Relationship Id="rId191" Type="http://schemas.openxmlformats.org/officeDocument/2006/relationships/hyperlink" Target="https://www.cqc.org.uk/publications/themed-work/safe-data-safe-care" TargetMode="External"/><Relationship Id="rId205" Type="http://schemas.openxmlformats.org/officeDocument/2006/relationships/hyperlink" Target="http://www.communityactionisleofwight.org.uk/what-we-do/services/health-wellbeing/" TargetMode="External"/><Relationship Id="rId226" Type="http://schemas.openxmlformats.org/officeDocument/2006/relationships/hyperlink" Target="https://www.nhsemployers.org/articles/occupational-health" TargetMode="External"/><Relationship Id="rId107" Type="http://schemas.openxmlformats.org/officeDocument/2006/relationships/hyperlink" Target="https://www.england.nhs.uk/publication/pgm-appendix-8-appeal-panel-terms-of-reference-tor/" TargetMode="External"/><Relationship Id="rId11" Type="http://schemas.openxmlformats.org/officeDocument/2006/relationships/image" Target="media/image1.jpeg"/><Relationship Id="rId32" Type="http://schemas.openxmlformats.org/officeDocument/2006/relationships/hyperlink" Target="https://www.england.nhs.uk/about/equality/equality-hub/" TargetMode="External"/><Relationship Id="rId53" Type="http://schemas.openxmlformats.org/officeDocument/2006/relationships/hyperlink" Target="http://www.cqc.org.uk/guidance-providers/gps" TargetMode="External"/><Relationship Id="rId74" Type="http://schemas.openxmlformats.org/officeDocument/2006/relationships/hyperlink" Target="http://content.digital.nhs.uk/gppatientsregistered" TargetMode="External"/><Relationship Id="rId128" Type="http://schemas.openxmlformats.org/officeDocument/2006/relationships/hyperlink" Target="https://pcse.england.nhs.uk/services/performers-lists/gp-performers-list-for-england/" TargetMode="External"/><Relationship Id="rId149" Type="http://schemas.openxmlformats.org/officeDocument/2006/relationships/hyperlink" Target="https://resolution.nhs.uk/resources/guidance-note-on-premises-costs-current-market-rent-disputes/" TargetMode="External"/><Relationship Id="rId5" Type="http://schemas.openxmlformats.org/officeDocument/2006/relationships/numbering" Target="numbering.xml"/><Relationship Id="rId95" Type="http://schemas.openxmlformats.org/officeDocument/2006/relationships/hyperlink" Target="https://www.england.nhs.uk/publication/primary-medical-care-policy-and-guidance-manual-police-incident-reporting-the-home-office-counting-rules-annexes/" TargetMode="External"/><Relationship Id="rId160" Type="http://schemas.openxmlformats.org/officeDocument/2006/relationships/hyperlink" Target="https://pcse.england.nhs.uk/services/practice-mergers-and-closures-notifications/" TargetMode="External"/><Relationship Id="rId181" Type="http://schemas.openxmlformats.org/officeDocument/2006/relationships/hyperlink" Target="https://www.england.nhs.uk/publication/securing-excellence-in-primary-care-gp-digital-services-the-primary-care-gp-digital-services-operating-model-2019-21/" TargetMode="External"/><Relationship Id="rId216" Type="http://schemas.openxmlformats.org/officeDocument/2006/relationships/hyperlink" Target="http://www.dorsetcommunityaction.org.uk/health-wellbeing" TargetMode="External"/><Relationship Id="rId22" Type="http://schemas.openxmlformats.org/officeDocument/2006/relationships/hyperlink" Target="http://www.nhsconfed.org/acronym-buster" TargetMode="External"/><Relationship Id="rId43" Type="http://schemas.openxmlformats.org/officeDocument/2006/relationships/header" Target="header1.xml"/><Relationship Id="rId64" Type="http://schemas.openxmlformats.org/officeDocument/2006/relationships/hyperlink" Target="https://www.england.nhs.uk/publication/primary-medical-care-policy-and-guidance-manual-practice-visit-best-practice-annexes/" TargetMode="External"/><Relationship Id="rId118" Type="http://schemas.openxmlformats.org/officeDocument/2006/relationships/footer" Target="footer3.xml"/><Relationship Id="rId139" Type="http://schemas.openxmlformats.org/officeDocument/2006/relationships/hyperlink" Target="https://www.england.nhs.uk/coronavirus/wp-content/uploads/sites/52/2020/03/C0651-covid-support-fund-letter-aug-2020.pdf" TargetMode="External"/><Relationship Id="rId80" Type="http://schemas.openxmlformats.org/officeDocument/2006/relationships/hyperlink" Target="mailto:generalenquiries@nhscfa.gsi.gov.uk" TargetMode="External"/><Relationship Id="rId85" Type="http://schemas.openxmlformats.org/officeDocument/2006/relationships/hyperlink" Target="http://legislation.data.gov.uk/uksi/2015/1862/made/data.htm?wrap=true" TargetMode="External"/><Relationship Id="rId150" Type="http://schemas.openxmlformats.org/officeDocument/2006/relationships/hyperlink" Target="https://future.nhs.uk/connect.ti/primarycareworkforce/view?objectId=21947696" TargetMode="External"/><Relationship Id="rId155" Type="http://schemas.openxmlformats.org/officeDocument/2006/relationships/hyperlink" Target="https://www.england.nhs.uk/publication/primary-medical-care-policy-and-guidance-manual-annex-b-sub-contracting-of-clinical-services-under-gms-contracts/" TargetMode="External"/><Relationship Id="rId171" Type="http://schemas.openxmlformats.org/officeDocument/2006/relationships/hyperlink" Target="https://pcse.england.nhs.uk/services/gp-pensions/" TargetMode="External"/><Relationship Id="rId176" Type="http://schemas.openxmlformats.org/officeDocument/2006/relationships/hyperlink" Target="https://www.england.nhs.uk/publication/primary-medical-care-policy-and-guidance-manual-practical-issues-arising-from-death-of-a-contractor-annexes/" TargetMode="External"/><Relationship Id="rId192" Type="http://schemas.openxmlformats.org/officeDocument/2006/relationships/hyperlink" Target="https://assets.publishing.service.gov.uk/government/uploads/system/uploads/attachment_data/file/627493/Your_data_better_security_better_choice_better_care_government_response.pdf" TargetMode="External"/><Relationship Id="rId197" Type="http://schemas.openxmlformats.org/officeDocument/2006/relationships/hyperlink" Target="mailto:cybersecurity@nhs.net" TargetMode="External"/><Relationship Id="rId206" Type="http://schemas.openxmlformats.org/officeDocument/2006/relationships/hyperlink" Target="http://www.rural-responders.co.uk/index.htm" TargetMode="External"/><Relationship Id="rId227" Type="http://schemas.openxmlformats.org/officeDocument/2006/relationships/hyperlink" Target="https://www.hse.gov.uk/health-surveillance/occupational-health/index.htm" TargetMode="External"/><Relationship Id="rId201" Type="http://schemas.openxmlformats.org/officeDocument/2006/relationships/hyperlink" Target="https://www.nhsemployers.org/~/media/Employers/Documents/Primary%20care%20contracts/GMS/GMS%20Finance/Global%20Sum/fr92_deloitte_final_report_rurality_adjustment_cd_120209.pdf" TargetMode="External"/><Relationship Id="rId222" Type="http://schemas.openxmlformats.org/officeDocument/2006/relationships/hyperlink" Target="https://www.england.nhs.uk/publication/guidance-note-gp-practices-serving-atypical-populations/" TargetMode="External"/><Relationship Id="rId12" Type="http://schemas.openxmlformats.org/officeDocument/2006/relationships/image" Target="media/image2.png"/><Relationship Id="rId17" Type="http://schemas.openxmlformats.org/officeDocument/2006/relationships/hyperlink" Target="https://portal.e-lfh.org.uk/Component/Details/647035" TargetMode="External"/><Relationship Id="rId33" Type="http://schemas.openxmlformats.org/officeDocument/2006/relationships/hyperlink" Target="https://www.england.nhs.uk/about/equality/equality-hub/" TargetMode="External"/><Relationship Id="rId38" Type="http://schemas.openxmlformats.org/officeDocument/2006/relationships/hyperlink" Target="https://www.engage.england.nhs.uk/survey/strengthening-ppp/supporting_documents/ppppolicystatement.pdf-1" TargetMode="External"/><Relationship Id="rId59" Type="http://schemas.openxmlformats.org/officeDocument/2006/relationships/hyperlink" Target="https://www.england.nhs.uk/rightcare/intel/" TargetMode="External"/><Relationship Id="rId103" Type="http://schemas.openxmlformats.org/officeDocument/2006/relationships/image" Target="media/image6.emf"/><Relationship Id="rId108" Type="http://schemas.openxmlformats.org/officeDocument/2006/relationships/hyperlink" Target="https://www.england.nhs.uk/publication/pgm-appendix-9-sample-patient-letter-appeal-upheld/" TargetMode="External"/><Relationship Id="rId124" Type="http://schemas.openxmlformats.org/officeDocument/2006/relationships/hyperlink" Target="https://www.england.nhs.uk/commissioning/wp-content/uploads/sites/12/2016/03/framwrk-public-partcptn-prim-care.pdf" TargetMode="External"/><Relationship Id="rId129" Type="http://schemas.openxmlformats.org/officeDocument/2006/relationships/hyperlink" Target="https://www.england.nhs.uk/publication/pgm-annex-16-super-practice-template-variation-agreement/" TargetMode="External"/><Relationship Id="rId54" Type="http://schemas.openxmlformats.org/officeDocument/2006/relationships/hyperlink" Target="http://www.primarycareindicators.nhs.uk" TargetMode="External"/><Relationship Id="rId70" Type="http://schemas.openxmlformats.org/officeDocument/2006/relationships/hyperlink" Target="https://www.england.nhs.uk/publication/primary-medical-care-policy-and-guidance-manual-annex-5-standard-monthly-return-pro-forma/" TargetMode="External"/><Relationship Id="rId75" Type="http://schemas.openxmlformats.org/officeDocument/2006/relationships/hyperlink" Target="https://www.digital.nhs.uk/gp-data-hub" TargetMode="External"/><Relationship Id="rId91" Type="http://schemas.openxmlformats.org/officeDocument/2006/relationships/hyperlink" Target="https://pcse.england.nhs.uk/contact-us/" TargetMode="External"/><Relationship Id="rId96" Type="http://schemas.openxmlformats.org/officeDocument/2006/relationships/hyperlink" Target="https://www.england.nhs.uk/publication/primary-medical-care-policy-and-guidance-manual-police-incident-reporting-the-home-office-counting-rules-annexes/" TargetMode="External"/><Relationship Id="rId140" Type="http://schemas.openxmlformats.org/officeDocument/2006/relationships/hyperlink" Target="https://www.england.nhs.uk/publication/primary-medical-care-policy-and-guidance-manual-maintaining-records-annexes/" TargetMode="External"/><Relationship Id="rId145" Type="http://schemas.openxmlformats.org/officeDocument/2006/relationships/hyperlink" Target="mailto:Gavin.Bennett2@nhs.net" TargetMode="External"/><Relationship Id="rId161" Type="http://schemas.openxmlformats.org/officeDocument/2006/relationships/hyperlink" Target="https://pcse.england.nhs.uk/services/practice-mergers-and-closures-notifications/" TargetMode="External"/><Relationship Id="rId166" Type="http://schemas.openxmlformats.org/officeDocument/2006/relationships/hyperlink" Target="https://pcse.england.nhs.uk/services/performers-lists/" TargetMode="External"/><Relationship Id="rId182" Type="http://schemas.openxmlformats.org/officeDocument/2006/relationships/hyperlink" Target="https://www.england.nhs.uk/digitaltechnology/digital-primary-care/addendum-gp-it-operating-model/" TargetMode="External"/><Relationship Id="rId187" Type="http://schemas.openxmlformats.org/officeDocument/2006/relationships/hyperlink" Target="https://www.england.nhs.uk/wp-content/uploads/2019/10/gp-it-operating-model-v4-sept-2019.pdf" TargetMode="External"/><Relationship Id="rId217" Type="http://schemas.openxmlformats.org/officeDocument/2006/relationships/hyperlink" Target="http://www.communityactionisleofwight.org.uk/what-we-do/services/health-wellbeing/"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www.grcc.org.uk/village-agents/village-agents" TargetMode="External"/><Relationship Id="rId233" Type="http://schemas.openxmlformats.org/officeDocument/2006/relationships/footer" Target="footer7.xml"/><Relationship Id="rId23" Type="http://schemas.openxmlformats.org/officeDocument/2006/relationships/hyperlink" Target="https://www.england.nhs.uk/participation/nhs/" TargetMode="External"/><Relationship Id="rId28" Type="http://schemas.openxmlformats.org/officeDocument/2006/relationships/hyperlink" Target="https://www.england.nhs.uk/wp-content/uploads/2019/01/gp-contract-2019.pdf" TargetMode="External"/><Relationship Id="rId49" Type="http://schemas.openxmlformats.org/officeDocument/2006/relationships/hyperlink" Target="https://pcse.england.nhs.uk/" TargetMode="External"/><Relationship Id="rId114" Type="http://schemas.openxmlformats.org/officeDocument/2006/relationships/hyperlink" Target="https://www.england.nhs.uk/commissioning/primary-care/pharmacy/manual/" TargetMode="External"/><Relationship Id="rId119" Type="http://schemas.openxmlformats.org/officeDocument/2006/relationships/footer" Target="footer4.xml"/><Relationship Id="rId44" Type="http://schemas.openxmlformats.org/officeDocument/2006/relationships/footer" Target="footer2.xml"/><Relationship Id="rId60" Type="http://schemas.openxmlformats.org/officeDocument/2006/relationships/hyperlink" Target="https://www.england.nhs.uk/medicines/medicines-optimisation/dashboard/" TargetMode="External"/><Relationship Id="rId65" Type="http://schemas.openxmlformats.org/officeDocument/2006/relationships/hyperlink" Target="https://www.england.nhs.uk/ourwork/patients/accessibleinfo-2/" TargetMode="External"/><Relationship Id="rId81" Type="http://schemas.openxmlformats.org/officeDocument/2006/relationships/hyperlink" Target="https://www.nspcc.org.uk/preventing-abuse/child-protection-system/legal-definition-child-rights-law/gillick-competency-fraser-guidelines/" TargetMode="External"/><Relationship Id="rId86" Type="http://schemas.openxmlformats.org/officeDocument/2006/relationships/hyperlink" Target="https://www.bma.org.uk/advice-and-support/gp-practices/managing-your-practice-list/removing-patients-from-your-practice-list" TargetMode="External"/><Relationship Id="rId130" Type="http://schemas.openxmlformats.org/officeDocument/2006/relationships/hyperlink" Target="https://www.england.nhs.uk/publication/annex-17-novation-agreement/" TargetMode="External"/><Relationship Id="rId135" Type="http://schemas.openxmlformats.org/officeDocument/2006/relationships/hyperlink" Target="https://pcse.england.nhs.uk/services/practice-mergers-and-closures-notifications/" TargetMode="External"/><Relationship Id="rId151" Type="http://schemas.openxmlformats.org/officeDocument/2006/relationships/hyperlink" Target="https://www.england.nhs.uk/publication/primary-medical-care-policy-and-guidance-manual-annex-1-advice-note-for-providers/" TargetMode="External"/><Relationship Id="rId156" Type="http://schemas.openxmlformats.org/officeDocument/2006/relationships/hyperlink" Target="https://www.england.nhs.uk/digitaltechnology/digital-primary-care/securing-excellence-in-primary-care-digital-services/" TargetMode="External"/><Relationship Id="rId177" Type="http://schemas.openxmlformats.org/officeDocument/2006/relationships/hyperlink" Target="https://www.england.nhs.uk/publication/pgm-managing-disputes-annexes/" TargetMode="External"/><Relationship Id="rId198" Type="http://schemas.openxmlformats.org/officeDocument/2006/relationships/hyperlink" Target="mailto:england.gpcommissioning@nhs.net" TargetMode="External"/><Relationship Id="rId172" Type="http://schemas.openxmlformats.org/officeDocument/2006/relationships/hyperlink" Target="https://www.england.nhs.uk/publication/primary-medical-care-policy-and-guidance-manual-practical-issues-arising-from-death-of-a-contractor-annexes/" TargetMode="External"/><Relationship Id="rId193" Type="http://schemas.openxmlformats.org/officeDocument/2006/relationships/hyperlink" Target="https://www.dsptoolkit.nhs.uk/" TargetMode="External"/><Relationship Id="rId202" Type="http://schemas.openxmlformats.org/officeDocument/2006/relationships/hyperlink" Target="http://www.nhsemployers.org/~/media/Employers/Documents/Primary%20care%20contracts/GMS/GMS%20Finance/Global%20Sum/fr92_deloitte_final_report_rurality_adjustment_cd_120209.pdf" TargetMode="External"/><Relationship Id="rId207" Type="http://schemas.openxmlformats.org/officeDocument/2006/relationships/hyperlink" Target="http://www.swast.nhs.uk/WorkingWithUs" TargetMode="External"/><Relationship Id="rId223" Type="http://schemas.openxmlformats.org/officeDocument/2006/relationships/hyperlink" Target="mailto:england.gpcommissioning@nhs.net" TargetMode="External"/><Relationship Id="rId228" Type="http://schemas.openxmlformats.org/officeDocument/2006/relationships/image" Target="media/image8.emf"/><Relationship Id="rId13" Type="http://schemas.openxmlformats.org/officeDocument/2006/relationships/image" Target="media/image3.png"/><Relationship Id="rId18" Type="http://schemas.openxmlformats.org/officeDocument/2006/relationships/hyperlink" Target="https://portal.elfh.org.uk/Component/Details/647038" TargetMode="External"/><Relationship Id="rId39" Type="http://schemas.openxmlformats.org/officeDocument/2006/relationships/hyperlink" Target="https://www.england.nhs.uk/commissioning/wp-content/uploads/sites/12/2016/03/framwrk-public-partcptn-prim-care.pdf" TargetMode="External"/><Relationship Id="rId109" Type="http://schemas.openxmlformats.org/officeDocument/2006/relationships/hyperlink" Target="https://www.england.nhs.uk/publication/pgm-appendix-10-sample-patient-letter-appeal-rejected/" TargetMode="External"/><Relationship Id="rId34" Type="http://schemas.openxmlformats.org/officeDocument/2006/relationships/hyperlink" Target="https://www.equalityhumanrights.com/en" TargetMode="External"/><Relationship Id="rId50" Type="http://schemas.openxmlformats.org/officeDocument/2006/relationships/hyperlink" Target="https://pcse.england.nhs.uk/services/performers-lists/gp-performers-list-for-england/" TargetMode="External"/><Relationship Id="rId55" Type="http://schemas.openxmlformats.org/officeDocument/2006/relationships/hyperlink" Target="http://fingertips.phe.org.uk/profile/general-practice" TargetMode="External"/><Relationship Id="rId76" Type="http://schemas.openxmlformats.org/officeDocument/2006/relationships/hyperlink" Target="http://www.homeless.org.uk/facts/our-research/homelessness-and-health-research" TargetMode="External"/><Relationship Id="rId97" Type="http://schemas.openxmlformats.org/officeDocument/2006/relationships/hyperlink" Target="https://www.england.nhs.uk/publication/commissioning-a-robust-sas/" TargetMode="External"/><Relationship Id="rId104" Type="http://schemas.openxmlformats.org/officeDocument/2006/relationships/hyperlink" Target="https://www.england.nhs.uk/contact-us/complaint/" TargetMode="External"/><Relationship Id="rId120" Type="http://schemas.openxmlformats.org/officeDocument/2006/relationships/header" Target="header4.xml"/><Relationship Id="rId125" Type="http://schemas.openxmlformats.org/officeDocument/2006/relationships/hyperlink" Target="https://www.engage.england.nhs.uk/survey/strengthening-ppp/supporting_documents/ppppolicystatement.pdf-1" TargetMode="External"/><Relationship Id="rId141" Type="http://schemas.openxmlformats.org/officeDocument/2006/relationships/header" Target="header5.xml"/><Relationship Id="rId146" Type="http://schemas.openxmlformats.org/officeDocument/2006/relationships/hyperlink" Target="mailto:chris.fuller1@nhs.net" TargetMode="External"/><Relationship Id="rId167" Type="http://schemas.openxmlformats.org/officeDocument/2006/relationships/hyperlink" Target="https://pcse.england.nhs.uk/services/practice-mergers-and-closures-notifications/" TargetMode="External"/><Relationship Id="rId188" Type="http://schemas.openxmlformats.org/officeDocument/2006/relationships/hyperlink" Target="https://www.england.nhs.uk/publication/gp-it-specification-commissioning-support-pack/" TargetMode="External"/><Relationship Id="rId7" Type="http://schemas.openxmlformats.org/officeDocument/2006/relationships/settings" Target="settings.xml"/><Relationship Id="rId71" Type="http://schemas.openxmlformats.org/officeDocument/2006/relationships/hyperlink" Target="https://www.ons.gov.uk/peoplepopulationandcommunity/populationandmigration/populationestimates/datasets/clinicalcommissioninggroupmidyearpopulationestimates" TargetMode="External"/><Relationship Id="rId92" Type="http://schemas.openxmlformats.org/officeDocument/2006/relationships/hyperlink" Target="mailto:pcse.immediateremovals@nhs.net" TargetMode="External"/><Relationship Id="rId162" Type="http://schemas.openxmlformats.org/officeDocument/2006/relationships/hyperlink" Target="https://pcse.england.nhs.uk/services/practice-mergers-and-closures-notifications/" TargetMode="External"/><Relationship Id="rId183" Type="http://schemas.openxmlformats.org/officeDocument/2006/relationships/hyperlink" Target="https://www.england.nhs.uk/wp-content/uploads/2019/10/gp-it-operating-model-v4-sept-2019.pdf" TargetMode="External"/><Relationship Id="rId213" Type="http://schemas.openxmlformats.org/officeDocument/2006/relationships/hyperlink" Target="https://www.villageagents.org.uk/About_Us/Quarterly_and_Annual_Reports.aspx" TargetMode="External"/><Relationship Id="rId218" Type="http://schemas.openxmlformats.org/officeDocument/2006/relationships/hyperlink" Target="https://www.gov.uk/government/publications/inclusion-health-applying-all-our-health/inclusion-health-applying-all-our-health" TargetMode="External"/><Relationship Id="rId234" Type="http://schemas.openxmlformats.org/officeDocument/2006/relationships/footer" Target="footer8.xml"/><Relationship Id="rId2" Type="http://schemas.openxmlformats.org/officeDocument/2006/relationships/customXml" Target="../customXml/item2.xml"/><Relationship Id="rId29" Type="http://schemas.openxmlformats.org/officeDocument/2006/relationships/hyperlink" Target="https://www.england.nhs.uk/publication/?filter-keyword=network&amp;filter-category=gp&amp;filter-publication=case-study&amp;filter-date-from=&amp;filter-date-to=" TargetMode="External"/><Relationship Id="rId24" Type="http://schemas.openxmlformats.org/officeDocument/2006/relationships/hyperlink" Target="https://www.england.nhs.uk/publication/nhs-operational-planning-and-contracting-guidance-2020-21/" TargetMode="External"/><Relationship Id="rId40" Type="http://schemas.openxmlformats.org/officeDocument/2006/relationships/footer" Target="footer1.xml"/><Relationship Id="rId45" Type="http://schemas.openxmlformats.org/officeDocument/2006/relationships/hyperlink" Target="https://www.cqc.org.uk/sites/default/files/20180108_CQC_NHSE_NHSCC_joint_working_framework.pdf" TargetMode="External"/><Relationship Id="rId66" Type="http://schemas.openxmlformats.org/officeDocument/2006/relationships/hyperlink" Target="https://www.england.nhs.uk/publication/pgm-annex-1-stage-1-of-a-list-maintenance-programme/" TargetMode="External"/><Relationship Id="rId87" Type="http://schemas.openxmlformats.org/officeDocument/2006/relationships/image" Target="media/image4.emf"/><Relationship Id="rId110" Type="http://schemas.openxmlformats.org/officeDocument/2006/relationships/hyperlink" Target="mailto:england.legal@nhs.net" TargetMode="External"/><Relationship Id="rId115" Type="http://schemas.openxmlformats.org/officeDocument/2006/relationships/hyperlink" Target="file://\\ims.gov.uk\DHSC\London\SKH\NW098\NHS%20CB\Direct%20Commissioning%20Team\Primary%20Care%20Ops%20Team\PMC%20policy%20book\6.%20October%202020%20Refresh\&#8226;https:\www.england.nhs.uk\publication\primary-medical-care-policy-and-guidance-manual-annex-1-apms-purchasing-system-commissioning-factsheet\" TargetMode="External"/><Relationship Id="rId131" Type="http://schemas.openxmlformats.org/officeDocument/2006/relationships/hyperlink" Target="https://www.england.nhs.uk/publication/primary-medical-care-policy-and-guidance-manual-disputes-annexes/" TargetMode="External"/><Relationship Id="rId136" Type="http://schemas.openxmlformats.org/officeDocument/2006/relationships/hyperlink" Target="https://pcse.england.nhs.uk/media/1091/pcse-practice-mergers-closures-form-v09.doc" TargetMode="External"/><Relationship Id="rId157" Type="http://schemas.openxmlformats.org/officeDocument/2006/relationships/hyperlink" Target="https://www.england.nhs.uk/wp-content/uploads/2017/04/ppp-policy.pdf" TargetMode="External"/><Relationship Id="rId178" Type="http://schemas.openxmlformats.org/officeDocument/2006/relationships/hyperlink" Target="https://www.england.nhs.uk/publication/pgm-managing-disputes-annexes/" TargetMode="External"/><Relationship Id="rId61" Type="http://schemas.openxmlformats.org/officeDocument/2006/relationships/hyperlink" Target="https://digital.nhs.uk/services/general-practice-gp-collections/service-information/gp-workload-collection" TargetMode="External"/><Relationship Id="rId82" Type="http://schemas.openxmlformats.org/officeDocument/2006/relationships/hyperlink" Target="https://www.gov.uk/government/uploads/system/uploads/attachment_data/file/49469/the_armed_forces_covenant.pdf" TargetMode="External"/><Relationship Id="rId152" Type="http://schemas.openxmlformats.org/officeDocument/2006/relationships/hyperlink" Target="https://www.england.nhs.uk/publication/primary-medical-care-policy-and-guidance-manual-annex-2-supplementary-guidance-for-providers/" TargetMode="External"/><Relationship Id="rId173" Type="http://schemas.openxmlformats.org/officeDocument/2006/relationships/hyperlink" Target="https://www.england.nhs.uk/publication/primary-medical-care-policy-and-guidance-manual-practical-issues-arising-from-death-of-a-contractor-annexes/" TargetMode="External"/><Relationship Id="rId194" Type="http://schemas.openxmlformats.org/officeDocument/2006/relationships/hyperlink" Target="https://assets.publishing.service.gov.uk/government/uploads/system/uploads/attachment_data/file/675420/17-18_statement_of_requirements_Branded_template_final_22_11_18-1.pdf" TargetMode="External"/><Relationship Id="rId199" Type="http://schemas.openxmlformats.org/officeDocument/2006/relationships/hyperlink" Target="https://digital.nhs.uk/data-and-information/publications/statistical/general-practice-expenses-gms-and-pms-contracts-in-england/general-practice-expenses-gms-and-pms-contracts-in-england-2013-14" TargetMode="External"/><Relationship Id="rId203" Type="http://schemas.openxmlformats.org/officeDocument/2006/relationships/hyperlink" Target="http://www.nhsemployers.org/~/media/Employers/Documents/Primary%20care%20contracts/GMS/GMS%20Finance/Global%20Sum/fr92_deloitte_final_report_rurality_adjustment_cd_120209.pdf" TargetMode="External"/><Relationship Id="rId208" Type="http://schemas.openxmlformats.org/officeDocument/2006/relationships/hyperlink" Target="https://www.dorsetcommunityaction.org.uk/blog/vcse-navigators" TargetMode="External"/><Relationship Id="rId229" Type="http://schemas.openxmlformats.org/officeDocument/2006/relationships/hyperlink" Target="https://www.england.nhs.uk/commissioning/wp-content/uploads/sites/12/2012/12/pc-occupational-health-service-spec.pdf" TargetMode="External"/><Relationship Id="rId19" Type="http://schemas.openxmlformats.org/officeDocument/2006/relationships/hyperlink" Target="https://portal.e-lfh.org.uk/Component/Details/647041" TargetMode="External"/><Relationship Id="rId224" Type="http://schemas.openxmlformats.org/officeDocument/2006/relationships/hyperlink" Target="mailto:%20" TargetMode="External"/><Relationship Id="rId14" Type="http://schemas.openxmlformats.org/officeDocument/2006/relationships/hyperlink" Target="mailto:iyabo.akanmu-ogunremi@nhs.net" TargetMode="External"/><Relationship Id="rId30" Type="http://schemas.openxmlformats.org/officeDocument/2006/relationships/hyperlink" Target="https://www.england.nhs.uk/wp-content/uploads/2021/03/B0431-network-contract-des-specification-pcn-requirements-and-entitlements-21-22.pdf" TargetMode="External"/><Relationship Id="rId35" Type="http://schemas.openxmlformats.org/officeDocument/2006/relationships/hyperlink" Target="https://www.equalityhumanrights.com/en/advice-and-guidance/public-sector-equality-duty" TargetMode="External"/><Relationship Id="rId56" Type="http://schemas.openxmlformats.org/officeDocument/2006/relationships/hyperlink" Target="http://content.digital.nhs.uk/datacollections/ko41b" TargetMode="External"/><Relationship Id="rId77" Type="http://schemas.openxmlformats.org/officeDocument/2006/relationships/hyperlink" Target="https://www.bma.org.uk/advice/employment/gp-practices/service-provision/patient-registration-for-gp-practices" TargetMode="External"/><Relationship Id="rId100" Type="http://schemas.openxmlformats.org/officeDocument/2006/relationships/hyperlink" Target="https://www.england.nhs.uk/publication/primary-medical-care-policy-and-guidance-manual-working-with-primary-care-support-england-pcse-annexes/" TargetMode="External"/><Relationship Id="rId105" Type="http://schemas.openxmlformats.org/officeDocument/2006/relationships/hyperlink" Target="mailto:pcse.immediateremovals@nhs.net" TargetMode="External"/><Relationship Id="rId126" Type="http://schemas.openxmlformats.org/officeDocument/2006/relationships/hyperlink" Target="https://www.england.nhs.uk/commissioning/wp-content/uploads/sites/12/2016/03/framwrk-public-partcptn-prim-care.pdf" TargetMode="External"/><Relationship Id="rId147" Type="http://schemas.openxmlformats.org/officeDocument/2006/relationships/hyperlink" Target="mailto:barend.henning@nhs.net" TargetMode="External"/><Relationship Id="rId168" Type="http://schemas.openxmlformats.org/officeDocument/2006/relationships/hyperlink" Target="https://pcse.england.nhs.uk/services/performers-lists/" TargetMode="External"/><Relationship Id="rId8" Type="http://schemas.openxmlformats.org/officeDocument/2006/relationships/webSettings" Target="webSettings.xml"/><Relationship Id="rId51" Type="http://schemas.openxmlformats.org/officeDocument/2006/relationships/hyperlink" Target="https://pcse.england.nhs.uk/organisations/general-practices/" TargetMode="External"/><Relationship Id="rId72" Type="http://schemas.openxmlformats.org/officeDocument/2006/relationships/hyperlink" Target="https://www.ons.gov.uk/peoplepopulationandcommunity/populationandmigration/populationestimates/datasets/middlesuperoutputareamidyearpopulationestimates" TargetMode="External"/><Relationship Id="rId93" Type="http://schemas.openxmlformats.org/officeDocument/2006/relationships/hyperlink" Target="https://www.england.nhs.uk/publication/primary-medical-care-policy-and-guidance-manual-police-incident-reporting-the-home-office-counting-rules-annexes/" TargetMode="External"/><Relationship Id="rId98" Type="http://schemas.openxmlformats.org/officeDocument/2006/relationships/hyperlink" Target="https://pcse.england.nhs.uk/contact-us/" TargetMode="External"/><Relationship Id="rId121" Type="http://schemas.openxmlformats.org/officeDocument/2006/relationships/footer" Target="footer5.xml"/><Relationship Id="rId142" Type="http://schemas.openxmlformats.org/officeDocument/2006/relationships/footer" Target="footer6.xml"/><Relationship Id="rId163" Type="http://schemas.openxmlformats.org/officeDocument/2006/relationships/hyperlink" Target="https://pcse.england.nhs.uk/" TargetMode="External"/><Relationship Id="rId184" Type="http://schemas.openxmlformats.org/officeDocument/2006/relationships/hyperlink" Target="https://www.england.nhs.uk/publication/gp-it-specification-commissioning-support-pack/" TargetMode="External"/><Relationship Id="rId189" Type="http://schemas.openxmlformats.org/officeDocument/2006/relationships/hyperlink" Target="https://www.england.nhs.uk/publication/gp-it-data-capture-service-schedule/" TargetMode="External"/><Relationship Id="rId219" Type="http://schemas.openxmlformats.org/officeDocument/2006/relationships/hyperlink" Target="https://www.youthaccess.org.uk/previous-successes/gp-champions-for-youth-health" TargetMode="External"/><Relationship Id="rId3" Type="http://schemas.openxmlformats.org/officeDocument/2006/relationships/customXml" Target="../customXml/item3.xml"/><Relationship Id="rId214" Type="http://schemas.openxmlformats.org/officeDocument/2006/relationships/hyperlink" Target="http://www.grcc.org.uk/downloads/village---community-agent-map-may-2016.pdf" TargetMode="External"/><Relationship Id="rId230" Type="http://schemas.openxmlformats.org/officeDocument/2006/relationships/image" Target="media/image9.emf"/><Relationship Id="rId235" Type="http://schemas.openxmlformats.org/officeDocument/2006/relationships/fontTable" Target="fontTable.xml"/><Relationship Id="rId25" Type="http://schemas.openxmlformats.org/officeDocument/2006/relationships/hyperlink" Target="https://www.england.nhs.uk/wp-content/uploads/2015/12/hlth-inqual-guid-comms-dec15.pdf" TargetMode="External"/><Relationship Id="rId46" Type="http://schemas.openxmlformats.org/officeDocument/2006/relationships/hyperlink" Target="https://www.legislation.gov.uk/uksi/2015/1862/contents/made" TargetMode="External"/><Relationship Id="rId67" Type="http://schemas.openxmlformats.org/officeDocument/2006/relationships/hyperlink" Target="https://www.england.nhs.uk/publication/pgm-annex-2-stage-2-of-a-list-maintenance-programme/" TargetMode="External"/><Relationship Id="rId116" Type="http://schemas.openxmlformats.org/officeDocument/2006/relationships/header" Target="header2.xml"/><Relationship Id="rId137" Type="http://schemas.openxmlformats.org/officeDocument/2006/relationships/hyperlink" Target="https://www.gov.uk/government/publications/managing-public-money" TargetMode="External"/><Relationship Id="rId158" Type="http://schemas.openxmlformats.org/officeDocument/2006/relationships/hyperlink" Target="https://www.engage.england.nhs.uk/survey/strengthening-ppp/supporting_documents/ppppolicystatement.pdf-1" TargetMode="External"/><Relationship Id="rId20" Type="http://schemas.openxmlformats.org/officeDocument/2006/relationships/hyperlink" Target="https://portal.elfh.org.uk/Component/Details/647056" TargetMode="External"/><Relationship Id="rId41" Type="http://schemas.openxmlformats.org/officeDocument/2006/relationships/hyperlink" Target="https://www.england.nhs.uk/wp-content/uploads/2017/01/annx-e-drft-delgtn-nhse.pdf" TargetMode="External"/><Relationship Id="rId62" Type="http://schemas.openxmlformats.org/officeDocument/2006/relationships/hyperlink" Target="https://digital.nhs.uk/data-and-information/publications/statistical/appointments-in-general-practice" TargetMode="External"/><Relationship Id="rId83" Type="http://schemas.openxmlformats.org/officeDocument/2006/relationships/hyperlink" Target="http://www.nhs.uk/NHSEngland/Militaryhealthcare/Pages/Militaryhealthcare.aspx" TargetMode="External"/><Relationship Id="rId88" Type="http://schemas.openxmlformats.org/officeDocument/2006/relationships/package" Target="embeddings/Microsoft_Word_Document.docx"/><Relationship Id="rId111" Type="http://schemas.openxmlformats.org/officeDocument/2006/relationships/hyperlink" Target="https://www.england.nhs.uk/publication/primary-medical-care-policy-and-guidance-manual-annex-1-the-common-assessment-framework-for-incorporation-requests-support-and-guide/" TargetMode="External"/><Relationship Id="rId132" Type="http://schemas.openxmlformats.org/officeDocument/2006/relationships/hyperlink" Target="https://pcse.england.nhs.uk/services/practice-mergers-and-closures-notifications/" TargetMode="External"/><Relationship Id="rId153" Type="http://schemas.openxmlformats.org/officeDocument/2006/relationships/hyperlink" Target="https://www.england.nhs.uk/publication/primary-medical-care-policy-and-guidance-manual-annex-3-guidance-for-commissioners-in-receipt-of-an-application-for-funds/" TargetMode="External"/><Relationship Id="rId174" Type="http://schemas.openxmlformats.org/officeDocument/2006/relationships/hyperlink" Target="https://www.england.nhs.uk/publication/primary-medical-care-policy-and-guidance-manual-practical-issues-arising-from-death-of-a-contractor-annexes/" TargetMode="External"/><Relationship Id="rId179" Type="http://schemas.openxmlformats.org/officeDocument/2006/relationships/hyperlink" Target="https://www.england.nhs.uk/publication/primary-medical-care-policy-and-guidance-manual-payment-and-contract-system-annexes/" TargetMode="External"/><Relationship Id="rId195" Type="http://schemas.openxmlformats.org/officeDocument/2006/relationships/hyperlink" Target="https://www.england.nhs.uk/digitaltechnology/digital-primary-care/" TargetMode="External"/><Relationship Id="rId209" Type="http://schemas.openxmlformats.org/officeDocument/2006/relationships/hyperlink" Target="http://www.dorsetcommunityaction.org.uk/health-wellbeing" TargetMode="External"/><Relationship Id="rId190" Type="http://schemas.openxmlformats.org/officeDocument/2006/relationships/hyperlink" Target="https://www.gov.uk/government/publications/review-of-data-security-consent-and-opt-outs" TargetMode="External"/><Relationship Id="rId204" Type="http://schemas.openxmlformats.org/officeDocument/2006/relationships/hyperlink" Target="https://digital.nhs.uk/data-and-information/publications/statistical/nhs-payments-to-general-practice/england-2017-18" TargetMode="External"/><Relationship Id="rId220" Type="http://schemas.openxmlformats.org/officeDocument/2006/relationships/hyperlink" Target="https://www.sheffield.ac.uk/ssid/health-service" TargetMode="External"/><Relationship Id="rId225" Type="http://schemas.openxmlformats.org/officeDocument/2006/relationships/hyperlink" Target="mailto:england.gpcommissioning@nhs.net" TargetMode="External"/><Relationship Id="rId15" Type="http://schemas.openxmlformats.org/officeDocument/2006/relationships/hyperlink" Target="mailto:england.gpcommissioning@nhs.net" TargetMode="External"/><Relationship Id="rId36" Type="http://schemas.openxmlformats.org/officeDocument/2006/relationships/hyperlink" Target="https://www.england.nhs.uk/about/equality/equality-hub/" TargetMode="External"/><Relationship Id="rId57" Type="http://schemas.openxmlformats.org/officeDocument/2006/relationships/hyperlink" Target="https://www.england.nhs.uk/ourwork/pe/fft/friends-and-family-test-data/" TargetMode="External"/><Relationship Id="rId106" Type="http://schemas.openxmlformats.org/officeDocument/2006/relationships/hyperlink" Target="https://www.england.nhs.uk/publication/primary-medical-care-policy-and-guidance-manual-working-with-primary-care-support-england-pcse-annexes/" TargetMode="External"/><Relationship Id="rId127" Type="http://schemas.openxmlformats.org/officeDocument/2006/relationships/hyperlink" Target="mailto:england.legal@nhs.net" TargetMode="External"/><Relationship Id="rId10" Type="http://schemas.openxmlformats.org/officeDocument/2006/relationships/endnotes" Target="endnotes.xml"/><Relationship Id="rId31" Type="http://schemas.openxmlformats.org/officeDocument/2006/relationships/hyperlink" Target="https://www.england.nhs.uk/gp/investment/gp-contract/" TargetMode="External"/><Relationship Id="rId52" Type="http://schemas.openxmlformats.org/officeDocument/2006/relationships/hyperlink" Target="http://www.cqc.org.uk/publications/major-report/state-care-general-practice-2014-2017" TargetMode="External"/><Relationship Id="rId73" Type="http://schemas.openxmlformats.org/officeDocument/2006/relationships/hyperlink" Target="https://www.ons.gov.uk/peoplepopulationandcommunity/populationandmigration/populationestimates/datasets/lowersuperoutputareamidyearpopulationestimates" TargetMode="External"/><Relationship Id="rId78" Type="http://schemas.openxmlformats.org/officeDocument/2006/relationships/hyperlink" Target="https://reportfraud.cfa.nhs.uk/reportFraud" TargetMode="External"/><Relationship Id="rId94" Type="http://schemas.openxmlformats.org/officeDocument/2006/relationships/hyperlink" Target="https://www.england.nhs.uk/publication/primary-medical-care-policy-and-guidance-manual-police-incident-reporting-the-home-office-counting-rules-annexes/" TargetMode="External"/><Relationship Id="rId99" Type="http://schemas.openxmlformats.org/officeDocument/2006/relationships/hyperlink" Target="http://www.cqc.org.uk/sites/default/files/documents/20130426_800715_v1_00_guidance_on_statutory_notifications_from_pms_for_reg_persons_for_publication.pdf" TargetMode="External"/><Relationship Id="rId101" Type="http://schemas.openxmlformats.org/officeDocument/2006/relationships/hyperlink" Target="https://www.england.nhs.uk/publication/pgm-appendix-4-sample-data-sharing-agreement/" TargetMode="External"/><Relationship Id="rId122" Type="http://schemas.openxmlformats.org/officeDocument/2006/relationships/hyperlink" Target="https://www.england.nhs.uk/wp-content/uploads/2017/04/ppp-policy.pdf" TargetMode="External"/><Relationship Id="rId143" Type="http://schemas.openxmlformats.org/officeDocument/2006/relationships/hyperlink" Target="https://digital.nhs.uk/data-and-information/publications/statistical/gp-earnings-and-expenses-estimates/2019-20" TargetMode="External"/><Relationship Id="rId148" Type="http://schemas.openxmlformats.org/officeDocument/2006/relationships/hyperlink" Target="mailto:julie.parkinson5@nhs.net" TargetMode="External"/><Relationship Id="rId164" Type="http://schemas.openxmlformats.org/officeDocument/2006/relationships/hyperlink" Target="https://pcse.england.nhs.uk/services/practice-mergers-and-closures-notifications/" TargetMode="External"/><Relationship Id="rId169" Type="http://schemas.openxmlformats.org/officeDocument/2006/relationships/hyperlink" Target="https://pcse.england.nhs.uk/services/practice-mergers-and-closures-notifications/" TargetMode="External"/><Relationship Id="rId185" Type="http://schemas.openxmlformats.org/officeDocument/2006/relationships/hyperlink" Target="https://www.england.nhs.uk/publication/gp-it-data-capture-service-schedule/"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england.nhs.uk/publication/primary-medical-care-policy-and-guidance-manual-payment-and-contract-system-annexes/" TargetMode="External"/><Relationship Id="rId210" Type="http://schemas.openxmlformats.org/officeDocument/2006/relationships/hyperlink" Target="http://somersetrcc.org.uk/somerset-village-agents-project/" TargetMode="External"/><Relationship Id="rId215" Type="http://schemas.openxmlformats.org/officeDocument/2006/relationships/hyperlink" Target="http://www.communityfirst.org.uk/community-first-services/access-and-well-being/link" TargetMode="External"/><Relationship Id="rId236" Type="http://schemas.openxmlformats.org/officeDocument/2006/relationships/theme" Target="theme/theme1.xml"/><Relationship Id="rId26" Type="http://schemas.openxmlformats.org/officeDocument/2006/relationships/hyperlink" Target="https://www.gov.uk/guidance/phe-data-and-analysis-tools" TargetMode="External"/><Relationship Id="rId231" Type="http://schemas.openxmlformats.org/officeDocument/2006/relationships/hyperlink" Target="mailto:england.gpcommissioning@nhs.net" TargetMode="External"/><Relationship Id="rId47" Type="http://schemas.openxmlformats.org/officeDocument/2006/relationships/hyperlink" Target="http://www.legislation.gov.uk/uksi/2015/1879/contents/made" TargetMode="External"/><Relationship Id="rId68" Type="http://schemas.openxmlformats.org/officeDocument/2006/relationships/hyperlink" Target="https://www.england.nhs.uk/publication/pgm-annex-3-sample-letter-to-patients/" TargetMode="External"/><Relationship Id="rId89" Type="http://schemas.openxmlformats.org/officeDocument/2006/relationships/image" Target="media/image5.emf"/><Relationship Id="rId112" Type="http://schemas.openxmlformats.org/officeDocument/2006/relationships/hyperlink" Target="https://www.england.nhs.uk/publication/primary-medical-care-policy-and-guidance-manual-annex-2-acknowledgement-of-requests-to-incorporate-and-incorporation-application-template-and-guide" TargetMode="External"/><Relationship Id="rId133" Type="http://schemas.openxmlformats.org/officeDocument/2006/relationships/hyperlink" Target="https://www.england.nhs.uk/wp-content/uploads/2021/03/B0431-network-contract-des-specification-pcn-requirements-and-entitlements-21-22.pdf" TargetMode="External"/><Relationship Id="rId154" Type="http://schemas.openxmlformats.org/officeDocument/2006/relationships/image" Target="media/image7.png"/><Relationship Id="rId175" Type="http://schemas.openxmlformats.org/officeDocument/2006/relationships/hyperlink" Target="https://www.england.nhs.uk/publication/primary-medical-care-policy-and-guidance-manual-practical-issues-arising-from-death-of-a-contractor-annexes/" TargetMode="External"/><Relationship Id="rId196" Type="http://schemas.openxmlformats.org/officeDocument/2006/relationships/hyperlink" Target="https://www.dsptoolkit.nhs.uk/Help" TargetMode="External"/><Relationship Id="rId200" Type="http://schemas.openxmlformats.org/officeDocument/2006/relationships/hyperlink" Target="http://digital.nhs.uk/searchcatalogue?productid=21459&amp;topics=1%2fPrimary+care+services%2fGeneral+practice&amp;sort=Relevance&amp;size=10&amp;page=1" TargetMode="External"/><Relationship Id="rId16" Type="http://schemas.openxmlformats.org/officeDocument/2006/relationships/hyperlink" Target="https://portal.e-lfh.org.uk/Component/Details/646429" TargetMode="External"/><Relationship Id="rId221" Type="http://schemas.openxmlformats.org/officeDocument/2006/relationships/hyperlink" Target="https://www.england.nhs.uk/2016/01/newham-diabetes-pilot-scheme/" TargetMode="External"/><Relationship Id="rId37" Type="http://schemas.openxmlformats.org/officeDocument/2006/relationships/hyperlink" Target="https://www.england.nhs.uk/about/equality/equality-hub/resources/" TargetMode="External"/><Relationship Id="rId58" Type="http://schemas.openxmlformats.org/officeDocument/2006/relationships/hyperlink" Target="https://gp-patient.co.uk/" TargetMode="External"/><Relationship Id="rId79" Type="http://schemas.openxmlformats.org/officeDocument/2006/relationships/hyperlink" Target="https://reportfraud.cfa.nhs.uk/reportFraud" TargetMode="External"/><Relationship Id="rId102" Type="http://schemas.openxmlformats.org/officeDocument/2006/relationships/hyperlink" Target="https://www.england.nhs.uk/publication/pgm-appendix-5-risk-assessment-approach/" TargetMode="External"/><Relationship Id="rId123" Type="http://schemas.openxmlformats.org/officeDocument/2006/relationships/hyperlink" Target="https://www.engage.england.nhs.uk/survey/strengthening-ppp/supporting_documents/ppppolicystatement.pdf-1" TargetMode="External"/><Relationship Id="rId144" Type="http://schemas.openxmlformats.org/officeDocument/2006/relationships/hyperlink" Target="https://www.england.nhs.uk/publication/primary-medical-care-policy-and-guidance-manual-maintaining-records-annexes/" TargetMode="External"/><Relationship Id="rId90" Type="http://schemas.openxmlformats.org/officeDocument/2006/relationships/package" Target="embeddings/Microsoft_Word_Document1.docx"/><Relationship Id="rId165" Type="http://schemas.openxmlformats.org/officeDocument/2006/relationships/hyperlink" Target="http://www.legislation.gov.uk/uksi/2015/1879/schedule/2/paragraph/39/made" TargetMode="External"/><Relationship Id="rId186" Type="http://schemas.openxmlformats.org/officeDocument/2006/relationships/hyperlink" Target="https://www.england.nhs.uk/wp-content/uploads/2019/12/ccg-practice-agreement-v2-2019.pdf" TargetMode="External"/><Relationship Id="rId211" Type="http://schemas.openxmlformats.org/officeDocument/2006/relationships/hyperlink" Target="http://bedsrcc.org.uk/village-agents/" TargetMode="External"/><Relationship Id="rId232" Type="http://schemas.openxmlformats.org/officeDocument/2006/relationships/header" Target="header6.xml"/><Relationship Id="rId27" Type="http://schemas.openxmlformats.org/officeDocument/2006/relationships/hyperlink" Target="https://www.longtermplan.nhs.uk/wp-content/uploads/2019/08/nhs-long-term-plan-version-1.2.pdf" TargetMode="External"/><Relationship Id="rId48" Type="http://schemas.openxmlformats.org/officeDocument/2006/relationships/hyperlink" Target="https://www.england.nhs.uk/wp-content/uploads/2021/03/B0431-network-contract-des-specification-pcn-requirements-and-entitlements-21-22.pdf" TargetMode="External"/><Relationship Id="rId69" Type="http://schemas.openxmlformats.org/officeDocument/2006/relationships/hyperlink" Target="https://www.england.nhs.uk/publication/pgm-annex-4-standard-envelope-content/" TargetMode="External"/><Relationship Id="rId113" Type="http://schemas.openxmlformats.org/officeDocument/2006/relationships/hyperlink" Target="https://www.england.nhs.uk/publication/primary-medical-care-policy-and-guidance-manual-annex-3-assessment-framework/" TargetMode="External"/><Relationship Id="rId134" Type="http://schemas.openxmlformats.org/officeDocument/2006/relationships/hyperlink" Target="https://pcse.england.nhs.uk/services/performers-list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qc.org.uk/guidance-providers/gps/gp-mythbuster-36-registration-treatment-asylum-seekers-refugees-other" TargetMode="External"/><Relationship Id="rId2" Type="http://schemas.openxmlformats.org/officeDocument/2006/relationships/hyperlink" Target="http://www.cqc.org.uk/content/gp-mythbuster-29-looking-after-homeless-patients-general-practice" TargetMode="External"/><Relationship Id="rId1" Type="http://schemas.openxmlformats.org/officeDocument/2006/relationships/hyperlink" Target="https://www.ons.gov.uk/peoplepopulationandcommunity/populationandmigration/populationestimates/methodologies/patientregisterqualityassuranceofadministrativedatausedinpopulationstatisticsdec2016" TargetMode="External"/><Relationship Id="rId6" Type="http://schemas.openxmlformats.org/officeDocument/2006/relationships/hyperlink" Target="https://www.legislation.gov.uk/uksi/2015/1862/contents/made" TargetMode="External"/><Relationship Id="rId5" Type="http://schemas.openxmlformats.org/officeDocument/2006/relationships/hyperlink" Target="https://assets.publishing.service.gov.uk/government/uploads/system/uploads/attachment_data/file/975395/GMS_SFE_2021.pdf" TargetMode="External"/><Relationship Id="rId4" Type="http://schemas.openxmlformats.org/officeDocument/2006/relationships/hyperlink" Target="https://digital.nhs.uk/data-and-information/publications/statistical/gp-earnings-and-expenses-estimates/2017-1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unter7\APPDATA\LOCAL\TEMP\wzb5cb\NHS%20England%20Word%20Templates\NHS%20England%20Report%20Template14.dot" TargetMode="External"/></Relationships>
</file>

<file path=word/theme/theme1.xml><?xml version="1.0" encoding="utf-8"?>
<a:theme xmlns:a="http://schemas.openxmlformats.org/drawingml/2006/main" name="NHS England Theme">
  <a:themeElements>
    <a:clrScheme name="Custom 1">
      <a:dk1>
        <a:srgbClr val="000000"/>
      </a:dk1>
      <a:lt1>
        <a:srgbClr val="FFFFFF"/>
      </a:lt1>
      <a:dk2>
        <a:srgbClr val="005EB8"/>
      </a:dk2>
      <a:lt2>
        <a:srgbClr val="7C2855"/>
      </a:lt2>
      <a:accent1>
        <a:srgbClr val="003087"/>
      </a:accent1>
      <a:accent2>
        <a:srgbClr val="0072CE"/>
      </a:accent2>
      <a:accent3>
        <a:srgbClr val="00A9CE"/>
      </a:accent3>
      <a:accent4>
        <a:srgbClr val="41B6E6"/>
      </a:accent4>
      <a:accent5>
        <a:srgbClr val="425563"/>
      </a:accent5>
      <a:accent6>
        <a:srgbClr val="768692"/>
      </a:accent6>
      <a:hlink>
        <a:srgbClr val="7C2855"/>
      </a:hlink>
      <a:folHlink>
        <a:srgbClr val="7C285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2.xml><?xml version="1.0" encoding="utf-8"?>
<p:properties xmlns:p="http://schemas.microsoft.com/office/2006/metadata/properties" xmlns:xsi="http://www.w3.org/2001/XMLSchema-instance" xmlns:pc="http://schemas.microsoft.com/office/infopath/2007/PartnerControls">
  <documentManagement>
    <Filelocation xmlns="7ab42550-f808-42dc-a51a-26c4734a1ec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BC49A3514865644ACA87330B1596EB4" ma:contentTypeVersion="21" ma:contentTypeDescription="Create a new document." ma:contentTypeScope="" ma:versionID="a9157b86a418e3beb7b068e6a2879b05">
  <xsd:schema xmlns:xsd="http://www.w3.org/2001/XMLSchema" xmlns:xs="http://www.w3.org/2001/XMLSchema" xmlns:p="http://schemas.microsoft.com/office/2006/metadata/properties" xmlns:ns2="3624a510-fb6b-43c3-bdb8-5d523649dbce" xmlns:ns3="7ab42550-f808-42dc-a51a-26c4734a1ec4" targetNamespace="http://schemas.microsoft.com/office/2006/metadata/properties" ma:root="true" ma:fieldsID="a34ce85c35775b24a2a644eb1137495c" ns2:_="" ns3:_="">
    <xsd:import namespace="3624a510-fb6b-43c3-bdb8-5d523649dbce"/>
    <xsd:import namespace="7ab42550-f808-42dc-a51a-26c4734a1e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Filelocation" minOccurs="0"/>
                <xsd:element ref="ns3:cf6a4c84-19b1-48ba-b3e7-25573b898809CountryOrRegion" minOccurs="0"/>
                <xsd:element ref="ns3:cf6a4c84-19b1-48ba-b3e7-25573b898809State" minOccurs="0"/>
                <xsd:element ref="ns3:cf6a4c84-19b1-48ba-b3e7-25573b898809City" minOccurs="0"/>
                <xsd:element ref="ns3:cf6a4c84-19b1-48ba-b3e7-25573b898809PostalCode" minOccurs="0"/>
                <xsd:element ref="ns3:cf6a4c84-19b1-48ba-b3e7-25573b898809Street" minOccurs="0"/>
                <xsd:element ref="ns3:cf6a4c84-19b1-48ba-b3e7-25573b898809GeoLoc" minOccurs="0"/>
                <xsd:element ref="ns3:cf6a4c84-19b1-48ba-b3e7-25573b898809Disp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24a510-fb6b-43c3-bdb8-5d523649dbc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b42550-f808-42dc-a51a-26c4734a1e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Filelocation" ma:index="21" nillable="true" ma:displayName="File location" ma:format="Dropdown" ma:internalName="Filelocation">
      <xsd:simpleType>
        <xsd:restriction base="dms:Unknown"/>
      </xsd:simpleType>
    </xsd:element>
    <xsd:element name="cf6a4c84-19b1-48ba-b3e7-25573b898809CountryOrRegion" ma:index="22" nillable="true" ma:displayName="File location: Country/Region" ma:internalName="CountryOrRegion" ma:readOnly="true">
      <xsd:simpleType>
        <xsd:restriction base="dms:Text"/>
      </xsd:simpleType>
    </xsd:element>
    <xsd:element name="cf6a4c84-19b1-48ba-b3e7-25573b898809State" ma:index="23" nillable="true" ma:displayName="File location: State" ma:internalName="State" ma:readOnly="true">
      <xsd:simpleType>
        <xsd:restriction base="dms:Text"/>
      </xsd:simpleType>
    </xsd:element>
    <xsd:element name="cf6a4c84-19b1-48ba-b3e7-25573b898809City" ma:index="24" nillable="true" ma:displayName="File location: City" ma:internalName="City" ma:readOnly="true">
      <xsd:simpleType>
        <xsd:restriction base="dms:Text"/>
      </xsd:simpleType>
    </xsd:element>
    <xsd:element name="cf6a4c84-19b1-48ba-b3e7-25573b898809PostalCode" ma:index="25" nillable="true" ma:displayName="File location: Postal Code" ma:internalName="PostalCode" ma:readOnly="true">
      <xsd:simpleType>
        <xsd:restriction base="dms:Text"/>
      </xsd:simpleType>
    </xsd:element>
    <xsd:element name="cf6a4c84-19b1-48ba-b3e7-25573b898809Street" ma:index="26" nillable="true" ma:displayName="File location: Street" ma:internalName="Street" ma:readOnly="true">
      <xsd:simpleType>
        <xsd:restriction base="dms:Text"/>
      </xsd:simpleType>
    </xsd:element>
    <xsd:element name="cf6a4c84-19b1-48ba-b3e7-25573b898809GeoLoc" ma:index="27" nillable="true" ma:displayName="File location: Coordinates" ma:internalName="GeoLoc" ma:readOnly="true">
      <xsd:simpleType>
        <xsd:restriction base="dms:Unknown"/>
      </xsd:simpleType>
    </xsd:element>
    <xsd:element name="cf6a4c84-19b1-48ba-b3e7-25573b898809DispName" ma:index="28" nillable="true" ma:displayName="File location: Name" ma:internalName="DispNa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110796-5740-40B7-9D6C-54D79AD46CD0}">
  <ds:schemaRefs>
    <ds:schemaRef ds:uri="http://schemas.openxmlformats.org/officeDocument/2006/bibliography"/>
  </ds:schemaRefs>
</ds:datastoreItem>
</file>

<file path=customXml/itemProps2.xml><?xml version="1.0" encoding="utf-8"?>
<ds:datastoreItem xmlns:ds="http://schemas.openxmlformats.org/officeDocument/2006/customXml" ds:itemID="{B418279F-D5BA-4F5A-9186-363E2DC5E7DB}">
  <ds:schemaRefs>
    <ds:schemaRef ds:uri="http://schemas.microsoft.com/office/2006/metadata/properties"/>
    <ds:schemaRef ds:uri="http://schemas.microsoft.com/office/infopath/2007/PartnerControls"/>
    <ds:schemaRef ds:uri="7ab42550-f808-42dc-a51a-26c4734a1ec4"/>
  </ds:schemaRefs>
</ds:datastoreItem>
</file>

<file path=customXml/itemProps3.xml><?xml version="1.0" encoding="utf-8"?>
<ds:datastoreItem xmlns:ds="http://schemas.openxmlformats.org/officeDocument/2006/customXml" ds:itemID="{501D4C03-4B1B-4B4F-9344-EA6E033FF912}">
  <ds:schemaRefs>
    <ds:schemaRef ds:uri="http://schemas.microsoft.com/sharepoint/v3/contenttype/forms"/>
  </ds:schemaRefs>
</ds:datastoreItem>
</file>

<file path=customXml/itemProps4.xml><?xml version="1.0" encoding="utf-8"?>
<ds:datastoreItem xmlns:ds="http://schemas.openxmlformats.org/officeDocument/2006/customXml" ds:itemID="{1A597344-C1FE-4168-9C93-3FB6D70DF8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24a510-fb6b-43c3-bdb8-5d523649dbce"/>
    <ds:schemaRef ds:uri="7ab42550-f808-42dc-a51a-26c4734a1e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NHS England Report Template14.dot</Template>
  <TotalTime>1</TotalTime>
  <Pages>4</Pages>
  <Words>114814</Words>
  <Characters>654443</Characters>
  <Application>Microsoft Office Word</Application>
  <DocSecurity>4</DocSecurity>
  <Lines>5453</Lines>
  <Paragraphs>1535</Paragraphs>
  <ScaleCrop>false</ScaleCrop>
  <HeadingPairs>
    <vt:vector size="2" baseType="variant">
      <vt:variant>
        <vt:lpstr>Title</vt:lpstr>
      </vt:variant>
      <vt:variant>
        <vt:i4>1</vt:i4>
      </vt:variant>
    </vt:vector>
  </HeadingPairs>
  <TitlesOfParts>
    <vt:vector size="1" baseType="lpstr">
      <vt:lpstr>NHS England report template-add image</vt:lpstr>
    </vt:vector>
  </TitlesOfParts>
  <Company>Smith &amp; Milton</Company>
  <LinksUpToDate>false</LinksUpToDate>
  <CharactersWithSpaces>767722</CharactersWithSpaces>
  <SharedDoc>false</SharedDoc>
  <HLinks>
    <vt:vector size="3348" baseType="variant">
      <vt:variant>
        <vt:i4>7340035</vt:i4>
      </vt:variant>
      <vt:variant>
        <vt:i4>2535</vt:i4>
      </vt:variant>
      <vt:variant>
        <vt:i4>0</vt:i4>
      </vt:variant>
      <vt:variant>
        <vt:i4>5</vt:i4>
      </vt:variant>
      <vt:variant>
        <vt:lpwstr>mailto:england.gpcommissioning@nhs.net</vt:lpwstr>
      </vt:variant>
      <vt:variant>
        <vt:lpwstr/>
      </vt:variant>
      <vt:variant>
        <vt:i4>4194398</vt:i4>
      </vt:variant>
      <vt:variant>
        <vt:i4>2532</vt:i4>
      </vt:variant>
      <vt:variant>
        <vt:i4>0</vt:i4>
      </vt:variant>
      <vt:variant>
        <vt:i4>5</vt:i4>
      </vt:variant>
      <vt:variant>
        <vt:lpwstr>https://www.england.nhs.uk/commissioning/wp-content/uploads/sites/12/2012/12/pc-occupational-health-service-spec.pdf</vt:lpwstr>
      </vt:variant>
      <vt:variant>
        <vt:lpwstr/>
      </vt:variant>
      <vt:variant>
        <vt:i4>5767261</vt:i4>
      </vt:variant>
      <vt:variant>
        <vt:i4>2529</vt:i4>
      </vt:variant>
      <vt:variant>
        <vt:i4>0</vt:i4>
      </vt:variant>
      <vt:variant>
        <vt:i4>5</vt:i4>
      </vt:variant>
      <vt:variant>
        <vt:lpwstr>https://www.hse.gov.uk/health-surveillance/occupational-health/index.htm</vt:lpwstr>
      </vt:variant>
      <vt:variant>
        <vt:lpwstr/>
      </vt:variant>
      <vt:variant>
        <vt:i4>1638402</vt:i4>
      </vt:variant>
      <vt:variant>
        <vt:i4>2526</vt:i4>
      </vt:variant>
      <vt:variant>
        <vt:i4>0</vt:i4>
      </vt:variant>
      <vt:variant>
        <vt:i4>5</vt:i4>
      </vt:variant>
      <vt:variant>
        <vt:lpwstr>https://www.nhsemployers.org/articles/occupational-health</vt:lpwstr>
      </vt:variant>
      <vt:variant>
        <vt:lpwstr/>
      </vt:variant>
      <vt:variant>
        <vt:i4>7340035</vt:i4>
      </vt:variant>
      <vt:variant>
        <vt:i4>2523</vt:i4>
      </vt:variant>
      <vt:variant>
        <vt:i4>0</vt:i4>
      </vt:variant>
      <vt:variant>
        <vt:i4>5</vt:i4>
      </vt:variant>
      <vt:variant>
        <vt:lpwstr>mailto:england.gpcommissioning@nhs.net</vt:lpwstr>
      </vt:variant>
      <vt:variant>
        <vt:lpwstr/>
      </vt:variant>
      <vt:variant>
        <vt:i4>6422640</vt:i4>
      </vt:variant>
      <vt:variant>
        <vt:i4>2520</vt:i4>
      </vt:variant>
      <vt:variant>
        <vt:i4>0</vt:i4>
      </vt:variant>
      <vt:variant>
        <vt:i4>5</vt:i4>
      </vt:variant>
      <vt:variant>
        <vt:lpwstr>mailto:</vt:lpwstr>
      </vt:variant>
      <vt:variant>
        <vt:lpwstr/>
      </vt:variant>
      <vt:variant>
        <vt:i4>7340035</vt:i4>
      </vt:variant>
      <vt:variant>
        <vt:i4>2517</vt:i4>
      </vt:variant>
      <vt:variant>
        <vt:i4>0</vt:i4>
      </vt:variant>
      <vt:variant>
        <vt:i4>5</vt:i4>
      </vt:variant>
      <vt:variant>
        <vt:lpwstr>mailto:england.gpcommissioning@nhs.net</vt:lpwstr>
      </vt:variant>
      <vt:variant>
        <vt:lpwstr/>
      </vt:variant>
      <vt:variant>
        <vt:i4>3407912</vt:i4>
      </vt:variant>
      <vt:variant>
        <vt:i4>2514</vt:i4>
      </vt:variant>
      <vt:variant>
        <vt:i4>0</vt:i4>
      </vt:variant>
      <vt:variant>
        <vt:i4>5</vt:i4>
      </vt:variant>
      <vt:variant>
        <vt:lpwstr>https://www.england.nhs.uk/publication/guidance-note-gp-practices-serving-atypical-populations/</vt:lpwstr>
      </vt:variant>
      <vt:variant>
        <vt:lpwstr/>
      </vt:variant>
      <vt:variant>
        <vt:i4>5373977</vt:i4>
      </vt:variant>
      <vt:variant>
        <vt:i4>2511</vt:i4>
      </vt:variant>
      <vt:variant>
        <vt:i4>0</vt:i4>
      </vt:variant>
      <vt:variant>
        <vt:i4>5</vt:i4>
      </vt:variant>
      <vt:variant>
        <vt:lpwstr>https://www.england.nhs.uk/2016/01/newham-diabetes-pilot-scheme/</vt:lpwstr>
      </vt:variant>
      <vt:variant>
        <vt:lpwstr/>
      </vt:variant>
      <vt:variant>
        <vt:i4>6488105</vt:i4>
      </vt:variant>
      <vt:variant>
        <vt:i4>2508</vt:i4>
      </vt:variant>
      <vt:variant>
        <vt:i4>0</vt:i4>
      </vt:variant>
      <vt:variant>
        <vt:i4>5</vt:i4>
      </vt:variant>
      <vt:variant>
        <vt:lpwstr>https://www.sheffield.ac.uk/ssid/health-service</vt:lpwstr>
      </vt:variant>
      <vt:variant>
        <vt:lpwstr/>
      </vt:variant>
      <vt:variant>
        <vt:i4>3473512</vt:i4>
      </vt:variant>
      <vt:variant>
        <vt:i4>2505</vt:i4>
      </vt:variant>
      <vt:variant>
        <vt:i4>0</vt:i4>
      </vt:variant>
      <vt:variant>
        <vt:i4>5</vt:i4>
      </vt:variant>
      <vt:variant>
        <vt:lpwstr>https://www.nhs.uk/apps-library/nhs-go/</vt:lpwstr>
      </vt:variant>
      <vt:variant>
        <vt:lpwstr/>
      </vt:variant>
      <vt:variant>
        <vt:i4>6160467</vt:i4>
      </vt:variant>
      <vt:variant>
        <vt:i4>2502</vt:i4>
      </vt:variant>
      <vt:variant>
        <vt:i4>0</vt:i4>
      </vt:variant>
      <vt:variant>
        <vt:i4>5</vt:i4>
      </vt:variant>
      <vt:variant>
        <vt:lpwstr>https://www.youthaccess.org.uk/previous-successes/gp-champions-for-youth-health</vt:lpwstr>
      </vt:variant>
      <vt:variant>
        <vt:lpwstr>:~:text=The%20GP%20Champs%20project%20set,voluntary%20youth%20organisations%2C%20particularly%20YIACS.</vt:lpwstr>
      </vt:variant>
      <vt:variant>
        <vt:i4>4587546</vt:i4>
      </vt:variant>
      <vt:variant>
        <vt:i4>2499</vt:i4>
      </vt:variant>
      <vt:variant>
        <vt:i4>0</vt:i4>
      </vt:variant>
      <vt:variant>
        <vt:i4>5</vt:i4>
      </vt:variant>
      <vt:variant>
        <vt:lpwstr>https://www.gov.uk/government/publications/inclusion-health-applying-all-our-health/inclusion-health-applying-all-our-health</vt:lpwstr>
      </vt:variant>
      <vt:variant>
        <vt:lpwstr/>
      </vt:variant>
      <vt:variant>
        <vt:i4>2556019</vt:i4>
      </vt:variant>
      <vt:variant>
        <vt:i4>2496</vt:i4>
      </vt:variant>
      <vt:variant>
        <vt:i4>0</vt:i4>
      </vt:variant>
      <vt:variant>
        <vt:i4>5</vt:i4>
      </vt:variant>
      <vt:variant>
        <vt:lpwstr>http://www.communityactionisleofwight.org.uk/what-we-do/services/health-wellbeing/</vt:lpwstr>
      </vt:variant>
      <vt:variant>
        <vt:lpwstr/>
      </vt:variant>
      <vt:variant>
        <vt:i4>1245201</vt:i4>
      </vt:variant>
      <vt:variant>
        <vt:i4>2493</vt:i4>
      </vt:variant>
      <vt:variant>
        <vt:i4>0</vt:i4>
      </vt:variant>
      <vt:variant>
        <vt:i4>5</vt:i4>
      </vt:variant>
      <vt:variant>
        <vt:lpwstr>http://www.dorsetcommunityaction.org.uk/health-wellbeing</vt:lpwstr>
      </vt:variant>
      <vt:variant>
        <vt:lpwstr/>
      </vt:variant>
      <vt:variant>
        <vt:i4>3407910</vt:i4>
      </vt:variant>
      <vt:variant>
        <vt:i4>2490</vt:i4>
      </vt:variant>
      <vt:variant>
        <vt:i4>0</vt:i4>
      </vt:variant>
      <vt:variant>
        <vt:i4>5</vt:i4>
      </vt:variant>
      <vt:variant>
        <vt:lpwstr/>
      </vt:variant>
      <vt:variant>
        <vt:lpwstr>page10</vt:lpwstr>
      </vt:variant>
      <vt:variant>
        <vt:i4>655363</vt:i4>
      </vt:variant>
      <vt:variant>
        <vt:i4>2487</vt:i4>
      </vt:variant>
      <vt:variant>
        <vt:i4>0</vt:i4>
      </vt:variant>
      <vt:variant>
        <vt:i4>5</vt:i4>
      </vt:variant>
      <vt:variant>
        <vt:lpwstr>http://www.communityfirst.org.uk/community-first-services/access-and-well-being/link</vt:lpwstr>
      </vt:variant>
      <vt:variant>
        <vt:lpwstr/>
      </vt:variant>
      <vt:variant>
        <vt:i4>3342387</vt:i4>
      </vt:variant>
      <vt:variant>
        <vt:i4>2484</vt:i4>
      </vt:variant>
      <vt:variant>
        <vt:i4>0</vt:i4>
      </vt:variant>
      <vt:variant>
        <vt:i4>5</vt:i4>
      </vt:variant>
      <vt:variant>
        <vt:lpwstr>http://www.grcc.org.uk/downloads/village---community-agent-map-may-2016.pdf</vt:lpwstr>
      </vt:variant>
      <vt:variant>
        <vt:lpwstr/>
      </vt:variant>
      <vt:variant>
        <vt:i4>6684725</vt:i4>
      </vt:variant>
      <vt:variant>
        <vt:i4>2481</vt:i4>
      </vt:variant>
      <vt:variant>
        <vt:i4>0</vt:i4>
      </vt:variant>
      <vt:variant>
        <vt:i4>5</vt:i4>
      </vt:variant>
      <vt:variant>
        <vt:lpwstr>https://www.villageagents.org.uk/About_Us/Quarterly_and_Annual_Reports.aspx</vt:lpwstr>
      </vt:variant>
      <vt:variant>
        <vt:lpwstr/>
      </vt:variant>
      <vt:variant>
        <vt:i4>4325448</vt:i4>
      </vt:variant>
      <vt:variant>
        <vt:i4>2478</vt:i4>
      </vt:variant>
      <vt:variant>
        <vt:i4>0</vt:i4>
      </vt:variant>
      <vt:variant>
        <vt:i4>5</vt:i4>
      </vt:variant>
      <vt:variant>
        <vt:lpwstr>http://www.grcc.org.uk/village-agents/village-agents</vt:lpwstr>
      </vt:variant>
      <vt:variant>
        <vt:lpwstr/>
      </vt:variant>
      <vt:variant>
        <vt:i4>5963787</vt:i4>
      </vt:variant>
      <vt:variant>
        <vt:i4>2475</vt:i4>
      </vt:variant>
      <vt:variant>
        <vt:i4>0</vt:i4>
      </vt:variant>
      <vt:variant>
        <vt:i4>5</vt:i4>
      </vt:variant>
      <vt:variant>
        <vt:lpwstr>http://bedsrcc.org.uk/village-agents/</vt:lpwstr>
      </vt:variant>
      <vt:variant>
        <vt:lpwstr/>
      </vt:variant>
      <vt:variant>
        <vt:i4>8061025</vt:i4>
      </vt:variant>
      <vt:variant>
        <vt:i4>2472</vt:i4>
      </vt:variant>
      <vt:variant>
        <vt:i4>0</vt:i4>
      </vt:variant>
      <vt:variant>
        <vt:i4>5</vt:i4>
      </vt:variant>
      <vt:variant>
        <vt:lpwstr>http://somersetrcc.org.uk/somerset-village-agents-project/</vt:lpwstr>
      </vt:variant>
      <vt:variant>
        <vt:lpwstr/>
      </vt:variant>
      <vt:variant>
        <vt:i4>1245201</vt:i4>
      </vt:variant>
      <vt:variant>
        <vt:i4>2469</vt:i4>
      </vt:variant>
      <vt:variant>
        <vt:i4>0</vt:i4>
      </vt:variant>
      <vt:variant>
        <vt:i4>5</vt:i4>
      </vt:variant>
      <vt:variant>
        <vt:lpwstr>http://www.dorsetcommunityaction.org.uk/health-wellbeing</vt:lpwstr>
      </vt:variant>
      <vt:variant>
        <vt:lpwstr/>
      </vt:variant>
      <vt:variant>
        <vt:i4>393291</vt:i4>
      </vt:variant>
      <vt:variant>
        <vt:i4>2466</vt:i4>
      </vt:variant>
      <vt:variant>
        <vt:i4>0</vt:i4>
      </vt:variant>
      <vt:variant>
        <vt:i4>5</vt:i4>
      </vt:variant>
      <vt:variant>
        <vt:lpwstr>https://www.dorsetcommunityaction.org.uk/blog/vcse-navigators</vt:lpwstr>
      </vt:variant>
      <vt:variant>
        <vt:lpwstr/>
      </vt:variant>
      <vt:variant>
        <vt:i4>1441885</vt:i4>
      </vt:variant>
      <vt:variant>
        <vt:i4>2463</vt:i4>
      </vt:variant>
      <vt:variant>
        <vt:i4>0</vt:i4>
      </vt:variant>
      <vt:variant>
        <vt:i4>5</vt:i4>
      </vt:variant>
      <vt:variant>
        <vt:lpwstr>http://www.swast.nhs.uk/WorkingWithUs</vt:lpwstr>
      </vt:variant>
      <vt:variant>
        <vt:lpwstr/>
      </vt:variant>
      <vt:variant>
        <vt:i4>7667775</vt:i4>
      </vt:variant>
      <vt:variant>
        <vt:i4>2460</vt:i4>
      </vt:variant>
      <vt:variant>
        <vt:i4>0</vt:i4>
      </vt:variant>
      <vt:variant>
        <vt:i4>5</vt:i4>
      </vt:variant>
      <vt:variant>
        <vt:lpwstr>http://www.rural-responders.co.uk/index.htm</vt:lpwstr>
      </vt:variant>
      <vt:variant>
        <vt:lpwstr/>
      </vt:variant>
      <vt:variant>
        <vt:i4>2556019</vt:i4>
      </vt:variant>
      <vt:variant>
        <vt:i4>2457</vt:i4>
      </vt:variant>
      <vt:variant>
        <vt:i4>0</vt:i4>
      </vt:variant>
      <vt:variant>
        <vt:i4>5</vt:i4>
      </vt:variant>
      <vt:variant>
        <vt:lpwstr>http://www.communityactionisleofwight.org.uk/what-we-do/services/health-wellbeing/</vt:lpwstr>
      </vt:variant>
      <vt:variant>
        <vt:lpwstr/>
      </vt:variant>
      <vt:variant>
        <vt:i4>4784145</vt:i4>
      </vt:variant>
      <vt:variant>
        <vt:i4>2454</vt:i4>
      </vt:variant>
      <vt:variant>
        <vt:i4>0</vt:i4>
      </vt:variant>
      <vt:variant>
        <vt:i4>5</vt:i4>
      </vt:variant>
      <vt:variant>
        <vt:lpwstr>https://digital.nhs.uk/data-and-information/publications/statistical/nhs-payments-to-general-practice/england-2017-18</vt:lpwstr>
      </vt:variant>
      <vt:variant>
        <vt:lpwstr/>
      </vt:variant>
      <vt:variant>
        <vt:i4>7798808</vt:i4>
      </vt:variant>
      <vt:variant>
        <vt:i4>2451</vt:i4>
      </vt:variant>
      <vt:variant>
        <vt:i4>0</vt:i4>
      </vt:variant>
      <vt:variant>
        <vt:i4>5</vt:i4>
      </vt:variant>
      <vt:variant>
        <vt:lpwstr>http://www.nhsemployers.org/~/media/Employers/Documents/Primary care contracts/GMS/GMS Finance/Global Sum/fr92_deloitte_final_report_rurality_adjustment_cd_120209.pdf</vt:lpwstr>
      </vt:variant>
      <vt:variant>
        <vt:lpwstr/>
      </vt:variant>
      <vt:variant>
        <vt:i4>7798808</vt:i4>
      </vt:variant>
      <vt:variant>
        <vt:i4>2448</vt:i4>
      </vt:variant>
      <vt:variant>
        <vt:i4>0</vt:i4>
      </vt:variant>
      <vt:variant>
        <vt:i4>5</vt:i4>
      </vt:variant>
      <vt:variant>
        <vt:lpwstr>http://www.nhsemployers.org/~/media/Employers/Documents/Primary care contracts/GMS/GMS Finance/Global Sum/fr92_deloitte_final_report_rurality_adjustment_cd_120209.pdf</vt:lpwstr>
      </vt:variant>
      <vt:variant>
        <vt:lpwstr/>
      </vt:variant>
      <vt:variant>
        <vt:i4>122</vt:i4>
      </vt:variant>
      <vt:variant>
        <vt:i4>2445</vt:i4>
      </vt:variant>
      <vt:variant>
        <vt:i4>0</vt:i4>
      </vt:variant>
      <vt:variant>
        <vt:i4>5</vt:i4>
      </vt:variant>
      <vt:variant>
        <vt:lpwstr>https://www.nhsemployers.org/~/media/Employers/Documents/Primary care contracts/GMS/GMS Finance/Global Sum/fr92_deloitte_final_report_rurality_adjustment_cd_120209.pdf</vt:lpwstr>
      </vt:variant>
      <vt:variant>
        <vt:lpwstr/>
      </vt:variant>
      <vt:variant>
        <vt:i4>6029335</vt:i4>
      </vt:variant>
      <vt:variant>
        <vt:i4>2442</vt:i4>
      </vt:variant>
      <vt:variant>
        <vt:i4>0</vt:i4>
      </vt:variant>
      <vt:variant>
        <vt:i4>5</vt:i4>
      </vt:variant>
      <vt:variant>
        <vt:lpwstr>http://digital.nhs.uk/searchcatalogue?productid=21459&amp;topics=1%2fPrimary+care+services%2fGeneral+practice&amp;sort=Relevance&amp;size=10&amp;page=1</vt:lpwstr>
      </vt:variant>
      <vt:variant>
        <vt:lpwstr>top</vt:lpwstr>
      </vt:variant>
      <vt:variant>
        <vt:i4>7143524</vt:i4>
      </vt:variant>
      <vt:variant>
        <vt:i4>2439</vt:i4>
      </vt:variant>
      <vt:variant>
        <vt:i4>0</vt:i4>
      </vt:variant>
      <vt:variant>
        <vt:i4>5</vt:i4>
      </vt:variant>
      <vt:variant>
        <vt:lpwstr>https://digital.nhs.uk/data-and-information/publications/statistical/general-practice-expenses-gms-and-pms-contracts-in-england/general-practice-expenses-gms-and-pms-contracts-in-england-2013-14</vt:lpwstr>
      </vt:variant>
      <vt:variant>
        <vt:lpwstr/>
      </vt:variant>
      <vt:variant>
        <vt:i4>7340035</vt:i4>
      </vt:variant>
      <vt:variant>
        <vt:i4>2436</vt:i4>
      </vt:variant>
      <vt:variant>
        <vt:i4>0</vt:i4>
      </vt:variant>
      <vt:variant>
        <vt:i4>5</vt:i4>
      </vt:variant>
      <vt:variant>
        <vt:lpwstr>mailto:england.gpcommissioning@nhs.net</vt:lpwstr>
      </vt:variant>
      <vt:variant>
        <vt:lpwstr/>
      </vt:variant>
      <vt:variant>
        <vt:i4>1441827</vt:i4>
      </vt:variant>
      <vt:variant>
        <vt:i4>2433</vt:i4>
      </vt:variant>
      <vt:variant>
        <vt:i4>0</vt:i4>
      </vt:variant>
      <vt:variant>
        <vt:i4>5</vt:i4>
      </vt:variant>
      <vt:variant>
        <vt:lpwstr>mailto:cybersecurity@nhs.net</vt:lpwstr>
      </vt:variant>
      <vt:variant>
        <vt:lpwstr/>
      </vt:variant>
      <vt:variant>
        <vt:i4>7143481</vt:i4>
      </vt:variant>
      <vt:variant>
        <vt:i4>2430</vt:i4>
      </vt:variant>
      <vt:variant>
        <vt:i4>0</vt:i4>
      </vt:variant>
      <vt:variant>
        <vt:i4>5</vt:i4>
      </vt:variant>
      <vt:variant>
        <vt:lpwstr>https://www.dsptoolkit.nhs.uk/Help</vt:lpwstr>
      </vt:variant>
      <vt:variant>
        <vt:lpwstr/>
      </vt:variant>
      <vt:variant>
        <vt:i4>7077940</vt:i4>
      </vt:variant>
      <vt:variant>
        <vt:i4>2427</vt:i4>
      </vt:variant>
      <vt:variant>
        <vt:i4>0</vt:i4>
      </vt:variant>
      <vt:variant>
        <vt:i4>5</vt:i4>
      </vt:variant>
      <vt:variant>
        <vt:lpwstr>https://www.england.nhs.uk/digitaltechnology/digital-primary-care/</vt:lpwstr>
      </vt:variant>
      <vt:variant>
        <vt:lpwstr/>
      </vt:variant>
      <vt:variant>
        <vt:i4>3539056</vt:i4>
      </vt:variant>
      <vt:variant>
        <vt:i4>2424</vt:i4>
      </vt:variant>
      <vt:variant>
        <vt:i4>0</vt:i4>
      </vt:variant>
      <vt:variant>
        <vt:i4>5</vt:i4>
      </vt:variant>
      <vt:variant>
        <vt:lpwstr>https://assets.publishing.service.gov.uk/government/uploads/system/uploads/attachment_data/file/675420/17-18_statement_of_requirements_Branded_template_final_22_11_18-1.pdf</vt:lpwstr>
      </vt:variant>
      <vt:variant>
        <vt:lpwstr/>
      </vt:variant>
      <vt:variant>
        <vt:i4>7864381</vt:i4>
      </vt:variant>
      <vt:variant>
        <vt:i4>2421</vt:i4>
      </vt:variant>
      <vt:variant>
        <vt:i4>0</vt:i4>
      </vt:variant>
      <vt:variant>
        <vt:i4>5</vt:i4>
      </vt:variant>
      <vt:variant>
        <vt:lpwstr>https://www.dsptoolkit.nhs.uk/</vt:lpwstr>
      </vt:variant>
      <vt:variant>
        <vt:lpwstr/>
      </vt:variant>
      <vt:variant>
        <vt:i4>3211302</vt:i4>
      </vt:variant>
      <vt:variant>
        <vt:i4>2418</vt:i4>
      </vt:variant>
      <vt:variant>
        <vt:i4>0</vt:i4>
      </vt:variant>
      <vt:variant>
        <vt:i4>5</vt:i4>
      </vt:variant>
      <vt:variant>
        <vt:lpwstr>https://assets.publishing.service.gov.uk/government/uploads/system/uploads/attachment_data/file/627493/Your_data_better_security_better_choice_better_care_government_response.pdf</vt:lpwstr>
      </vt:variant>
      <vt:variant>
        <vt:lpwstr/>
      </vt:variant>
      <vt:variant>
        <vt:i4>7667772</vt:i4>
      </vt:variant>
      <vt:variant>
        <vt:i4>2415</vt:i4>
      </vt:variant>
      <vt:variant>
        <vt:i4>0</vt:i4>
      </vt:variant>
      <vt:variant>
        <vt:i4>5</vt:i4>
      </vt:variant>
      <vt:variant>
        <vt:lpwstr>https://www.cqc.org.uk/publications/themed-work/safe-data-safe-care</vt:lpwstr>
      </vt:variant>
      <vt:variant>
        <vt:lpwstr/>
      </vt:variant>
      <vt:variant>
        <vt:i4>3211386</vt:i4>
      </vt:variant>
      <vt:variant>
        <vt:i4>2412</vt:i4>
      </vt:variant>
      <vt:variant>
        <vt:i4>0</vt:i4>
      </vt:variant>
      <vt:variant>
        <vt:i4>5</vt:i4>
      </vt:variant>
      <vt:variant>
        <vt:lpwstr>https://www.gov.uk/government/publications/review-of-data-security-consent-and-opt-outs</vt:lpwstr>
      </vt:variant>
      <vt:variant>
        <vt:lpwstr/>
      </vt:variant>
      <vt:variant>
        <vt:i4>3670119</vt:i4>
      </vt:variant>
      <vt:variant>
        <vt:i4>2409</vt:i4>
      </vt:variant>
      <vt:variant>
        <vt:i4>0</vt:i4>
      </vt:variant>
      <vt:variant>
        <vt:i4>5</vt:i4>
      </vt:variant>
      <vt:variant>
        <vt:lpwstr>https://www.england.nhs.uk/publication/gp-it-data-capture-service-schedule/</vt:lpwstr>
      </vt:variant>
      <vt:variant>
        <vt:lpwstr/>
      </vt:variant>
      <vt:variant>
        <vt:i4>2424895</vt:i4>
      </vt:variant>
      <vt:variant>
        <vt:i4>2406</vt:i4>
      </vt:variant>
      <vt:variant>
        <vt:i4>0</vt:i4>
      </vt:variant>
      <vt:variant>
        <vt:i4>5</vt:i4>
      </vt:variant>
      <vt:variant>
        <vt:lpwstr>https://www.england.nhs.uk/publication/gp-it-specification-commissioning-support-pack/</vt:lpwstr>
      </vt:variant>
      <vt:variant>
        <vt:lpwstr/>
      </vt:variant>
      <vt:variant>
        <vt:i4>4653126</vt:i4>
      </vt:variant>
      <vt:variant>
        <vt:i4>2403</vt:i4>
      </vt:variant>
      <vt:variant>
        <vt:i4>0</vt:i4>
      </vt:variant>
      <vt:variant>
        <vt:i4>5</vt:i4>
      </vt:variant>
      <vt:variant>
        <vt:lpwstr>https://www.england.nhs.uk/wp-content/uploads/2019/10/gp-it-operating-model-v4-sept-2019.pdf</vt:lpwstr>
      </vt:variant>
      <vt:variant>
        <vt:lpwstr/>
      </vt:variant>
      <vt:variant>
        <vt:i4>1310721</vt:i4>
      </vt:variant>
      <vt:variant>
        <vt:i4>2400</vt:i4>
      </vt:variant>
      <vt:variant>
        <vt:i4>0</vt:i4>
      </vt:variant>
      <vt:variant>
        <vt:i4>5</vt:i4>
      </vt:variant>
      <vt:variant>
        <vt:lpwstr>https://www.england.nhs.uk/wp-content/uploads/2019/12/ccg-practice-agreement-v2-2019.pdf</vt:lpwstr>
      </vt:variant>
      <vt:variant>
        <vt:lpwstr/>
      </vt:variant>
      <vt:variant>
        <vt:i4>3670119</vt:i4>
      </vt:variant>
      <vt:variant>
        <vt:i4>2397</vt:i4>
      </vt:variant>
      <vt:variant>
        <vt:i4>0</vt:i4>
      </vt:variant>
      <vt:variant>
        <vt:i4>5</vt:i4>
      </vt:variant>
      <vt:variant>
        <vt:lpwstr>https://www.england.nhs.uk/publication/gp-it-data-capture-service-schedule/</vt:lpwstr>
      </vt:variant>
      <vt:variant>
        <vt:lpwstr/>
      </vt:variant>
      <vt:variant>
        <vt:i4>2424895</vt:i4>
      </vt:variant>
      <vt:variant>
        <vt:i4>2394</vt:i4>
      </vt:variant>
      <vt:variant>
        <vt:i4>0</vt:i4>
      </vt:variant>
      <vt:variant>
        <vt:i4>5</vt:i4>
      </vt:variant>
      <vt:variant>
        <vt:lpwstr>https://www.england.nhs.uk/publication/gp-it-specification-commissioning-support-pack/</vt:lpwstr>
      </vt:variant>
      <vt:variant>
        <vt:lpwstr/>
      </vt:variant>
      <vt:variant>
        <vt:i4>4653126</vt:i4>
      </vt:variant>
      <vt:variant>
        <vt:i4>2391</vt:i4>
      </vt:variant>
      <vt:variant>
        <vt:i4>0</vt:i4>
      </vt:variant>
      <vt:variant>
        <vt:i4>5</vt:i4>
      </vt:variant>
      <vt:variant>
        <vt:lpwstr>https://www.england.nhs.uk/wp-content/uploads/2019/10/gp-it-operating-model-v4-sept-2019.pdf</vt:lpwstr>
      </vt:variant>
      <vt:variant>
        <vt:lpwstr/>
      </vt:variant>
      <vt:variant>
        <vt:i4>5898252</vt:i4>
      </vt:variant>
      <vt:variant>
        <vt:i4>2388</vt:i4>
      </vt:variant>
      <vt:variant>
        <vt:i4>0</vt:i4>
      </vt:variant>
      <vt:variant>
        <vt:i4>5</vt:i4>
      </vt:variant>
      <vt:variant>
        <vt:lpwstr>https://www.england.nhs.uk/digitaltechnology/digital-primary-care/addendum-gp-it-operating-model/</vt:lpwstr>
      </vt:variant>
      <vt:variant>
        <vt:lpwstr/>
      </vt:variant>
      <vt:variant>
        <vt:i4>327698</vt:i4>
      </vt:variant>
      <vt:variant>
        <vt:i4>2385</vt:i4>
      </vt:variant>
      <vt:variant>
        <vt:i4>0</vt:i4>
      </vt:variant>
      <vt:variant>
        <vt:i4>5</vt:i4>
      </vt:variant>
      <vt:variant>
        <vt:lpwstr>https://www.england.nhs.uk/publication/securing-excellence-in-primary-care-gp-digital-services-the-primary-care-gp-digital-services-operating-model-2019-21/</vt:lpwstr>
      </vt:variant>
      <vt:variant>
        <vt:lpwstr/>
      </vt:variant>
      <vt:variant>
        <vt:i4>6946858</vt:i4>
      </vt:variant>
      <vt:variant>
        <vt:i4>2382</vt:i4>
      </vt:variant>
      <vt:variant>
        <vt:i4>0</vt:i4>
      </vt:variant>
      <vt:variant>
        <vt:i4>5</vt:i4>
      </vt:variant>
      <vt:variant>
        <vt:lpwstr>https://www.england.nhs.uk/publication/primary-medical-care-policy-and-guidance-manual-payment-and-contract-system-annexes/</vt:lpwstr>
      </vt:variant>
      <vt:variant>
        <vt:lpwstr/>
      </vt:variant>
      <vt:variant>
        <vt:i4>6946858</vt:i4>
      </vt:variant>
      <vt:variant>
        <vt:i4>2379</vt:i4>
      </vt:variant>
      <vt:variant>
        <vt:i4>0</vt:i4>
      </vt:variant>
      <vt:variant>
        <vt:i4>5</vt:i4>
      </vt:variant>
      <vt:variant>
        <vt:lpwstr>https://www.england.nhs.uk/publication/primary-medical-care-policy-and-guidance-manual-payment-and-contract-system-annexes/</vt:lpwstr>
      </vt:variant>
      <vt:variant>
        <vt:lpwstr/>
      </vt:variant>
      <vt:variant>
        <vt:i4>1704014</vt:i4>
      </vt:variant>
      <vt:variant>
        <vt:i4>2376</vt:i4>
      </vt:variant>
      <vt:variant>
        <vt:i4>0</vt:i4>
      </vt:variant>
      <vt:variant>
        <vt:i4>5</vt:i4>
      </vt:variant>
      <vt:variant>
        <vt:lpwstr>https://www.england.nhs.uk/publication/pgm-managing-disputes-annexes/</vt:lpwstr>
      </vt:variant>
      <vt:variant>
        <vt:lpwstr/>
      </vt:variant>
      <vt:variant>
        <vt:i4>1704014</vt:i4>
      </vt:variant>
      <vt:variant>
        <vt:i4>2373</vt:i4>
      </vt:variant>
      <vt:variant>
        <vt:i4>0</vt:i4>
      </vt:variant>
      <vt:variant>
        <vt:i4>5</vt:i4>
      </vt:variant>
      <vt:variant>
        <vt:lpwstr>https://www.england.nhs.uk/publication/pgm-managing-disputes-annexes/</vt:lpwstr>
      </vt:variant>
      <vt:variant>
        <vt:lpwstr/>
      </vt:variant>
      <vt:variant>
        <vt:i4>1704014</vt:i4>
      </vt:variant>
      <vt:variant>
        <vt:i4>2370</vt:i4>
      </vt:variant>
      <vt:variant>
        <vt:i4>0</vt:i4>
      </vt:variant>
      <vt:variant>
        <vt:i4>5</vt:i4>
      </vt:variant>
      <vt:variant>
        <vt:lpwstr>https://www.england.nhs.uk/publication/pgm-managing-disputes-annexes/</vt:lpwstr>
      </vt:variant>
      <vt:variant>
        <vt:lpwstr/>
      </vt:variant>
      <vt:variant>
        <vt:i4>1704014</vt:i4>
      </vt:variant>
      <vt:variant>
        <vt:i4>2367</vt:i4>
      </vt:variant>
      <vt:variant>
        <vt:i4>0</vt:i4>
      </vt:variant>
      <vt:variant>
        <vt:i4>5</vt:i4>
      </vt:variant>
      <vt:variant>
        <vt:lpwstr>https://www.england.nhs.uk/publication/pgm-managing-disputes-annexes/</vt:lpwstr>
      </vt:variant>
      <vt:variant>
        <vt:lpwstr/>
      </vt:variant>
      <vt:variant>
        <vt:i4>1704014</vt:i4>
      </vt:variant>
      <vt:variant>
        <vt:i4>2364</vt:i4>
      </vt:variant>
      <vt:variant>
        <vt:i4>0</vt:i4>
      </vt:variant>
      <vt:variant>
        <vt:i4>5</vt:i4>
      </vt:variant>
      <vt:variant>
        <vt:lpwstr>https://www.england.nhs.uk/publication/pgm-managing-disputes-annexes/</vt:lpwstr>
      </vt:variant>
      <vt:variant>
        <vt:lpwstr/>
      </vt:variant>
      <vt:variant>
        <vt:i4>3997798</vt:i4>
      </vt:variant>
      <vt:variant>
        <vt:i4>2361</vt:i4>
      </vt:variant>
      <vt:variant>
        <vt:i4>0</vt:i4>
      </vt:variant>
      <vt:variant>
        <vt:i4>5</vt:i4>
      </vt:variant>
      <vt:variant>
        <vt:lpwstr>https://www.england.nhs.uk/publication/primary-medical-care-policy-and-guidance-manual-practical-issues-arising-from-death-of-a-contractor-annexes/</vt:lpwstr>
      </vt:variant>
      <vt:variant>
        <vt:lpwstr/>
      </vt:variant>
      <vt:variant>
        <vt:i4>3997798</vt:i4>
      </vt:variant>
      <vt:variant>
        <vt:i4>2358</vt:i4>
      </vt:variant>
      <vt:variant>
        <vt:i4>0</vt:i4>
      </vt:variant>
      <vt:variant>
        <vt:i4>5</vt:i4>
      </vt:variant>
      <vt:variant>
        <vt:lpwstr>https://www.england.nhs.uk/publication/primary-medical-care-policy-and-guidance-manual-practical-issues-arising-from-death-of-a-contractor-annexes/</vt:lpwstr>
      </vt:variant>
      <vt:variant>
        <vt:lpwstr/>
      </vt:variant>
      <vt:variant>
        <vt:i4>3997798</vt:i4>
      </vt:variant>
      <vt:variant>
        <vt:i4>2355</vt:i4>
      </vt:variant>
      <vt:variant>
        <vt:i4>0</vt:i4>
      </vt:variant>
      <vt:variant>
        <vt:i4>5</vt:i4>
      </vt:variant>
      <vt:variant>
        <vt:lpwstr>https://www.england.nhs.uk/publication/primary-medical-care-policy-and-guidance-manual-practical-issues-arising-from-death-of-a-contractor-annexes/</vt:lpwstr>
      </vt:variant>
      <vt:variant>
        <vt:lpwstr/>
      </vt:variant>
      <vt:variant>
        <vt:i4>3997798</vt:i4>
      </vt:variant>
      <vt:variant>
        <vt:i4>2352</vt:i4>
      </vt:variant>
      <vt:variant>
        <vt:i4>0</vt:i4>
      </vt:variant>
      <vt:variant>
        <vt:i4>5</vt:i4>
      </vt:variant>
      <vt:variant>
        <vt:lpwstr>https://www.england.nhs.uk/publication/primary-medical-care-policy-and-guidance-manual-practical-issues-arising-from-death-of-a-contractor-annexes/</vt:lpwstr>
      </vt:variant>
      <vt:variant>
        <vt:lpwstr/>
      </vt:variant>
      <vt:variant>
        <vt:i4>3997798</vt:i4>
      </vt:variant>
      <vt:variant>
        <vt:i4>2349</vt:i4>
      </vt:variant>
      <vt:variant>
        <vt:i4>0</vt:i4>
      </vt:variant>
      <vt:variant>
        <vt:i4>5</vt:i4>
      </vt:variant>
      <vt:variant>
        <vt:lpwstr>https://www.england.nhs.uk/publication/primary-medical-care-policy-and-guidance-manual-practical-issues-arising-from-death-of-a-contractor-annexes/</vt:lpwstr>
      </vt:variant>
      <vt:variant>
        <vt:lpwstr/>
      </vt:variant>
      <vt:variant>
        <vt:i4>1310793</vt:i4>
      </vt:variant>
      <vt:variant>
        <vt:i4>2346</vt:i4>
      </vt:variant>
      <vt:variant>
        <vt:i4>0</vt:i4>
      </vt:variant>
      <vt:variant>
        <vt:i4>5</vt:i4>
      </vt:variant>
      <vt:variant>
        <vt:lpwstr>https://pcse.england.nhs.uk/services/gp-pensions/</vt:lpwstr>
      </vt:variant>
      <vt:variant>
        <vt:lpwstr/>
      </vt:variant>
      <vt:variant>
        <vt:i4>983112</vt:i4>
      </vt:variant>
      <vt:variant>
        <vt:i4>2343</vt:i4>
      </vt:variant>
      <vt:variant>
        <vt:i4>0</vt:i4>
      </vt:variant>
      <vt:variant>
        <vt:i4>5</vt:i4>
      </vt:variant>
      <vt:variant>
        <vt:lpwstr>https://pcse.england.nhs.uk/services/gp-payments/</vt:lpwstr>
      </vt:variant>
      <vt:variant>
        <vt:lpwstr/>
      </vt:variant>
      <vt:variant>
        <vt:i4>524297</vt:i4>
      </vt:variant>
      <vt:variant>
        <vt:i4>2340</vt:i4>
      </vt:variant>
      <vt:variant>
        <vt:i4>0</vt:i4>
      </vt:variant>
      <vt:variant>
        <vt:i4>5</vt:i4>
      </vt:variant>
      <vt:variant>
        <vt:lpwstr>https://pcse.england.nhs.uk/services/practice-mergers-and-closures-notifications/</vt:lpwstr>
      </vt:variant>
      <vt:variant>
        <vt:lpwstr/>
      </vt:variant>
      <vt:variant>
        <vt:i4>3735595</vt:i4>
      </vt:variant>
      <vt:variant>
        <vt:i4>2337</vt:i4>
      </vt:variant>
      <vt:variant>
        <vt:i4>0</vt:i4>
      </vt:variant>
      <vt:variant>
        <vt:i4>5</vt:i4>
      </vt:variant>
      <vt:variant>
        <vt:lpwstr>https://pcse.england.nhs.uk/services/performers-lists/</vt:lpwstr>
      </vt:variant>
      <vt:variant>
        <vt:lpwstr/>
      </vt:variant>
      <vt:variant>
        <vt:i4>524297</vt:i4>
      </vt:variant>
      <vt:variant>
        <vt:i4>2328</vt:i4>
      </vt:variant>
      <vt:variant>
        <vt:i4>0</vt:i4>
      </vt:variant>
      <vt:variant>
        <vt:i4>5</vt:i4>
      </vt:variant>
      <vt:variant>
        <vt:lpwstr>https://pcse.england.nhs.uk/services/practice-mergers-and-closures-notifications/</vt:lpwstr>
      </vt:variant>
      <vt:variant>
        <vt:lpwstr/>
      </vt:variant>
      <vt:variant>
        <vt:i4>3735595</vt:i4>
      </vt:variant>
      <vt:variant>
        <vt:i4>2325</vt:i4>
      </vt:variant>
      <vt:variant>
        <vt:i4>0</vt:i4>
      </vt:variant>
      <vt:variant>
        <vt:i4>5</vt:i4>
      </vt:variant>
      <vt:variant>
        <vt:lpwstr>https://pcse.england.nhs.uk/services/performers-lists/</vt:lpwstr>
      </vt:variant>
      <vt:variant>
        <vt:lpwstr/>
      </vt:variant>
      <vt:variant>
        <vt:i4>7274620</vt:i4>
      </vt:variant>
      <vt:variant>
        <vt:i4>2322</vt:i4>
      </vt:variant>
      <vt:variant>
        <vt:i4>0</vt:i4>
      </vt:variant>
      <vt:variant>
        <vt:i4>5</vt:i4>
      </vt:variant>
      <vt:variant>
        <vt:lpwstr>http://www.legislation.gov.uk/uksi/2015/1879/schedule/2/paragraph/39/made</vt:lpwstr>
      </vt:variant>
      <vt:variant>
        <vt:lpwstr>f00151</vt:lpwstr>
      </vt:variant>
      <vt:variant>
        <vt:i4>2949152</vt:i4>
      </vt:variant>
      <vt:variant>
        <vt:i4>2319</vt:i4>
      </vt:variant>
      <vt:variant>
        <vt:i4>0</vt:i4>
      </vt:variant>
      <vt:variant>
        <vt:i4>5</vt:i4>
      </vt:variant>
      <vt:variant>
        <vt:lpwstr/>
      </vt:variant>
      <vt:variant>
        <vt:lpwstr>_Urgent_Contracts</vt:lpwstr>
      </vt:variant>
      <vt:variant>
        <vt:i4>524297</vt:i4>
      </vt:variant>
      <vt:variant>
        <vt:i4>2316</vt:i4>
      </vt:variant>
      <vt:variant>
        <vt:i4>0</vt:i4>
      </vt:variant>
      <vt:variant>
        <vt:i4>5</vt:i4>
      </vt:variant>
      <vt:variant>
        <vt:lpwstr>https://pcse.england.nhs.uk/services/practice-mergers-and-closures-notifications/</vt:lpwstr>
      </vt:variant>
      <vt:variant>
        <vt:lpwstr/>
      </vt:variant>
      <vt:variant>
        <vt:i4>5701634</vt:i4>
      </vt:variant>
      <vt:variant>
        <vt:i4>2313</vt:i4>
      </vt:variant>
      <vt:variant>
        <vt:i4>0</vt:i4>
      </vt:variant>
      <vt:variant>
        <vt:i4>5</vt:i4>
      </vt:variant>
      <vt:variant>
        <vt:lpwstr>https://pcse.england.nhs.uk/</vt:lpwstr>
      </vt:variant>
      <vt:variant>
        <vt:lpwstr/>
      </vt:variant>
      <vt:variant>
        <vt:i4>7471210</vt:i4>
      </vt:variant>
      <vt:variant>
        <vt:i4>2310</vt:i4>
      </vt:variant>
      <vt:variant>
        <vt:i4>0</vt:i4>
      </vt:variant>
      <vt:variant>
        <vt:i4>5</vt:i4>
      </vt:variant>
      <vt:variant>
        <vt:lpwstr>https://www.england.nhs.uk/publication/primary-medical-care-policy-and-guidance-manual-consequences-of-termination-annexes/</vt:lpwstr>
      </vt:variant>
      <vt:variant>
        <vt:lpwstr/>
      </vt:variant>
      <vt:variant>
        <vt:i4>7471210</vt:i4>
      </vt:variant>
      <vt:variant>
        <vt:i4>2307</vt:i4>
      </vt:variant>
      <vt:variant>
        <vt:i4>0</vt:i4>
      </vt:variant>
      <vt:variant>
        <vt:i4>5</vt:i4>
      </vt:variant>
      <vt:variant>
        <vt:lpwstr>https://www.england.nhs.uk/publication/primary-medical-care-policy-and-guidance-manual-consequences-of-termination-annexes/</vt:lpwstr>
      </vt:variant>
      <vt:variant>
        <vt:lpwstr/>
      </vt:variant>
      <vt:variant>
        <vt:i4>7471210</vt:i4>
      </vt:variant>
      <vt:variant>
        <vt:i4>2304</vt:i4>
      </vt:variant>
      <vt:variant>
        <vt:i4>0</vt:i4>
      </vt:variant>
      <vt:variant>
        <vt:i4>5</vt:i4>
      </vt:variant>
      <vt:variant>
        <vt:lpwstr>https://www.england.nhs.uk/publication/primary-medical-care-policy-and-guidance-manual-consequences-of-termination-annexes/</vt:lpwstr>
      </vt:variant>
      <vt:variant>
        <vt:lpwstr/>
      </vt:variant>
      <vt:variant>
        <vt:i4>7471210</vt:i4>
      </vt:variant>
      <vt:variant>
        <vt:i4>2301</vt:i4>
      </vt:variant>
      <vt:variant>
        <vt:i4>0</vt:i4>
      </vt:variant>
      <vt:variant>
        <vt:i4>5</vt:i4>
      </vt:variant>
      <vt:variant>
        <vt:lpwstr>https://www.england.nhs.uk/publication/primary-medical-care-policy-and-guidance-manual-consequences-of-termination-annexes/</vt:lpwstr>
      </vt:variant>
      <vt:variant>
        <vt:lpwstr/>
      </vt:variant>
      <vt:variant>
        <vt:i4>7471210</vt:i4>
      </vt:variant>
      <vt:variant>
        <vt:i4>2298</vt:i4>
      </vt:variant>
      <vt:variant>
        <vt:i4>0</vt:i4>
      </vt:variant>
      <vt:variant>
        <vt:i4>5</vt:i4>
      </vt:variant>
      <vt:variant>
        <vt:lpwstr>https://www.england.nhs.uk/publication/primary-medical-care-policy-and-guidance-manual-consequences-of-termination-annexes/</vt:lpwstr>
      </vt:variant>
      <vt:variant>
        <vt:lpwstr/>
      </vt:variant>
      <vt:variant>
        <vt:i4>7471210</vt:i4>
      </vt:variant>
      <vt:variant>
        <vt:i4>2295</vt:i4>
      </vt:variant>
      <vt:variant>
        <vt:i4>0</vt:i4>
      </vt:variant>
      <vt:variant>
        <vt:i4>5</vt:i4>
      </vt:variant>
      <vt:variant>
        <vt:lpwstr>https://www.england.nhs.uk/publication/primary-medical-care-policy-and-guidance-manual-consequences-of-termination-annexes/</vt:lpwstr>
      </vt:variant>
      <vt:variant>
        <vt:lpwstr/>
      </vt:variant>
      <vt:variant>
        <vt:i4>7471210</vt:i4>
      </vt:variant>
      <vt:variant>
        <vt:i4>2292</vt:i4>
      </vt:variant>
      <vt:variant>
        <vt:i4>0</vt:i4>
      </vt:variant>
      <vt:variant>
        <vt:i4>5</vt:i4>
      </vt:variant>
      <vt:variant>
        <vt:lpwstr>https://www.england.nhs.uk/publication/primary-medical-care-policy-and-guidance-manual-consequences-of-termination-annexes/</vt:lpwstr>
      </vt:variant>
      <vt:variant>
        <vt:lpwstr/>
      </vt:variant>
      <vt:variant>
        <vt:i4>7471210</vt:i4>
      </vt:variant>
      <vt:variant>
        <vt:i4>2289</vt:i4>
      </vt:variant>
      <vt:variant>
        <vt:i4>0</vt:i4>
      </vt:variant>
      <vt:variant>
        <vt:i4>5</vt:i4>
      </vt:variant>
      <vt:variant>
        <vt:lpwstr>https://www.england.nhs.uk/publication/primary-medical-care-policy-and-guidance-manual-consequences-of-termination-annexes/</vt:lpwstr>
      </vt:variant>
      <vt:variant>
        <vt:lpwstr/>
      </vt:variant>
      <vt:variant>
        <vt:i4>7471210</vt:i4>
      </vt:variant>
      <vt:variant>
        <vt:i4>2286</vt:i4>
      </vt:variant>
      <vt:variant>
        <vt:i4>0</vt:i4>
      </vt:variant>
      <vt:variant>
        <vt:i4>5</vt:i4>
      </vt:variant>
      <vt:variant>
        <vt:lpwstr>https://www.england.nhs.uk/publication/primary-medical-care-policy-and-guidance-manual-consequences-of-termination-annexes/</vt:lpwstr>
      </vt:variant>
      <vt:variant>
        <vt:lpwstr/>
      </vt:variant>
      <vt:variant>
        <vt:i4>7471210</vt:i4>
      </vt:variant>
      <vt:variant>
        <vt:i4>2283</vt:i4>
      </vt:variant>
      <vt:variant>
        <vt:i4>0</vt:i4>
      </vt:variant>
      <vt:variant>
        <vt:i4>5</vt:i4>
      </vt:variant>
      <vt:variant>
        <vt:lpwstr>https://www.england.nhs.uk/publication/primary-medical-care-policy-and-guidance-manual-consequences-of-termination-annexes/</vt:lpwstr>
      </vt:variant>
      <vt:variant>
        <vt:lpwstr/>
      </vt:variant>
      <vt:variant>
        <vt:i4>7471210</vt:i4>
      </vt:variant>
      <vt:variant>
        <vt:i4>2280</vt:i4>
      </vt:variant>
      <vt:variant>
        <vt:i4>0</vt:i4>
      </vt:variant>
      <vt:variant>
        <vt:i4>5</vt:i4>
      </vt:variant>
      <vt:variant>
        <vt:lpwstr>https://www.england.nhs.uk/publication/primary-medical-care-policy-and-guidance-manual-consequences-of-termination-annexes/</vt:lpwstr>
      </vt:variant>
      <vt:variant>
        <vt:lpwstr/>
      </vt:variant>
      <vt:variant>
        <vt:i4>7471210</vt:i4>
      </vt:variant>
      <vt:variant>
        <vt:i4>2277</vt:i4>
      </vt:variant>
      <vt:variant>
        <vt:i4>0</vt:i4>
      </vt:variant>
      <vt:variant>
        <vt:i4>5</vt:i4>
      </vt:variant>
      <vt:variant>
        <vt:lpwstr>https://www.england.nhs.uk/publication/primary-medical-care-policy-and-guidance-manual-consequences-of-termination-annexes/</vt:lpwstr>
      </vt:variant>
      <vt:variant>
        <vt:lpwstr/>
      </vt:variant>
      <vt:variant>
        <vt:i4>7471210</vt:i4>
      </vt:variant>
      <vt:variant>
        <vt:i4>2274</vt:i4>
      </vt:variant>
      <vt:variant>
        <vt:i4>0</vt:i4>
      </vt:variant>
      <vt:variant>
        <vt:i4>5</vt:i4>
      </vt:variant>
      <vt:variant>
        <vt:lpwstr>https://www.england.nhs.uk/publication/primary-medical-care-policy-and-guidance-manual-consequences-of-termination-annexes/</vt:lpwstr>
      </vt:variant>
      <vt:variant>
        <vt:lpwstr/>
      </vt:variant>
      <vt:variant>
        <vt:i4>7471210</vt:i4>
      </vt:variant>
      <vt:variant>
        <vt:i4>2271</vt:i4>
      </vt:variant>
      <vt:variant>
        <vt:i4>0</vt:i4>
      </vt:variant>
      <vt:variant>
        <vt:i4>5</vt:i4>
      </vt:variant>
      <vt:variant>
        <vt:lpwstr>https://www.england.nhs.uk/publication/primary-medical-care-policy-and-guidance-manual-consequences-of-termination-annexes/</vt:lpwstr>
      </vt:variant>
      <vt:variant>
        <vt:lpwstr/>
      </vt:variant>
      <vt:variant>
        <vt:i4>7471210</vt:i4>
      </vt:variant>
      <vt:variant>
        <vt:i4>2268</vt:i4>
      </vt:variant>
      <vt:variant>
        <vt:i4>0</vt:i4>
      </vt:variant>
      <vt:variant>
        <vt:i4>5</vt:i4>
      </vt:variant>
      <vt:variant>
        <vt:lpwstr>https://www.england.nhs.uk/publication/primary-medical-care-policy-and-guidance-manual-consequences-of-termination-annexes/</vt:lpwstr>
      </vt:variant>
      <vt:variant>
        <vt:lpwstr/>
      </vt:variant>
      <vt:variant>
        <vt:i4>524297</vt:i4>
      </vt:variant>
      <vt:variant>
        <vt:i4>2256</vt:i4>
      </vt:variant>
      <vt:variant>
        <vt:i4>0</vt:i4>
      </vt:variant>
      <vt:variant>
        <vt:i4>5</vt:i4>
      </vt:variant>
      <vt:variant>
        <vt:lpwstr>https://pcse.england.nhs.uk/services/practice-mergers-and-closures-notifications/</vt:lpwstr>
      </vt:variant>
      <vt:variant>
        <vt:lpwstr/>
      </vt:variant>
      <vt:variant>
        <vt:i4>524297</vt:i4>
      </vt:variant>
      <vt:variant>
        <vt:i4>2253</vt:i4>
      </vt:variant>
      <vt:variant>
        <vt:i4>0</vt:i4>
      </vt:variant>
      <vt:variant>
        <vt:i4>5</vt:i4>
      </vt:variant>
      <vt:variant>
        <vt:lpwstr>https://pcse.england.nhs.uk/services/practice-mergers-and-closures-notifications/</vt:lpwstr>
      </vt:variant>
      <vt:variant>
        <vt:lpwstr/>
      </vt:variant>
      <vt:variant>
        <vt:i4>524297</vt:i4>
      </vt:variant>
      <vt:variant>
        <vt:i4>2250</vt:i4>
      </vt:variant>
      <vt:variant>
        <vt:i4>0</vt:i4>
      </vt:variant>
      <vt:variant>
        <vt:i4>5</vt:i4>
      </vt:variant>
      <vt:variant>
        <vt:lpwstr>https://pcse.england.nhs.uk/services/practice-mergers-and-closures-notifications/</vt:lpwstr>
      </vt:variant>
      <vt:variant>
        <vt:lpwstr/>
      </vt:variant>
      <vt:variant>
        <vt:i4>6815845</vt:i4>
      </vt:variant>
      <vt:variant>
        <vt:i4>2247</vt:i4>
      </vt:variant>
      <vt:variant>
        <vt:i4>0</vt:i4>
      </vt:variant>
      <vt:variant>
        <vt:i4>5</vt:i4>
      </vt:variant>
      <vt:variant>
        <vt:lpwstr>https://www.england.nhs.uk/commissioning/wp-content/uploads/sites/12/2016/03/framwrk-public-partcptn-prim-care.pdf</vt:lpwstr>
      </vt:variant>
      <vt:variant>
        <vt:lpwstr/>
      </vt:variant>
      <vt:variant>
        <vt:i4>2818134</vt:i4>
      </vt:variant>
      <vt:variant>
        <vt:i4>2244</vt:i4>
      </vt:variant>
      <vt:variant>
        <vt:i4>0</vt:i4>
      </vt:variant>
      <vt:variant>
        <vt:i4>5</vt:i4>
      </vt:variant>
      <vt:variant>
        <vt:lpwstr>https://www.engage.england.nhs.uk/survey/strengthening-ppp/supporting_documents/ppppolicystatement.pdf-1</vt:lpwstr>
      </vt:variant>
      <vt:variant>
        <vt:lpwstr/>
      </vt:variant>
      <vt:variant>
        <vt:i4>6225994</vt:i4>
      </vt:variant>
      <vt:variant>
        <vt:i4>2241</vt:i4>
      </vt:variant>
      <vt:variant>
        <vt:i4>0</vt:i4>
      </vt:variant>
      <vt:variant>
        <vt:i4>5</vt:i4>
      </vt:variant>
      <vt:variant>
        <vt:lpwstr>https://www.england.nhs.uk/wp-content/uploads/2017/04/ppp-policy.pdf</vt:lpwstr>
      </vt:variant>
      <vt:variant>
        <vt:lpwstr/>
      </vt:variant>
      <vt:variant>
        <vt:i4>3080313</vt:i4>
      </vt:variant>
      <vt:variant>
        <vt:i4>2226</vt:i4>
      </vt:variant>
      <vt:variant>
        <vt:i4>0</vt:i4>
      </vt:variant>
      <vt:variant>
        <vt:i4>5</vt:i4>
      </vt:variant>
      <vt:variant>
        <vt:lpwstr>https://www.england.nhs.uk/digitaltechnology/digital-primary-care/securing-excellence-in-primary-care-digital-services/</vt:lpwstr>
      </vt:variant>
      <vt:variant>
        <vt:lpwstr/>
      </vt:variant>
      <vt:variant>
        <vt:i4>1835074</vt:i4>
      </vt:variant>
      <vt:variant>
        <vt:i4>2223</vt:i4>
      </vt:variant>
      <vt:variant>
        <vt:i4>0</vt:i4>
      </vt:variant>
      <vt:variant>
        <vt:i4>5</vt:i4>
      </vt:variant>
      <vt:variant>
        <vt:lpwstr>https://www.england.nhs.uk/publication/primary-medical-care-policy-and-guidance-manual-annex-b-sub-contracting-of-clinical-services-under-gms-contracts/</vt:lpwstr>
      </vt:variant>
      <vt:variant>
        <vt:lpwstr/>
      </vt:variant>
      <vt:variant>
        <vt:i4>2031682</vt:i4>
      </vt:variant>
      <vt:variant>
        <vt:i4>2220</vt:i4>
      </vt:variant>
      <vt:variant>
        <vt:i4>0</vt:i4>
      </vt:variant>
      <vt:variant>
        <vt:i4>5</vt:i4>
      </vt:variant>
      <vt:variant>
        <vt:lpwstr>https://www.england.nhs.uk/publication/primary-medical-care-policy-and-guidance-manual-annex-a-sub-contracting-of-clinical-services-under-gms-contracts/</vt:lpwstr>
      </vt:variant>
      <vt:variant>
        <vt:lpwstr/>
      </vt:variant>
      <vt:variant>
        <vt:i4>1245263</vt:i4>
      </vt:variant>
      <vt:variant>
        <vt:i4>2217</vt:i4>
      </vt:variant>
      <vt:variant>
        <vt:i4>0</vt:i4>
      </vt:variant>
      <vt:variant>
        <vt:i4>5</vt:i4>
      </vt:variant>
      <vt:variant>
        <vt:lpwstr>https://www.england.nhs.uk/publication/primary-medical-care-policy-and-guidance-manual-annex-3-guidance-for-commissioners-in-receipt-of-an-application-for-funds/</vt:lpwstr>
      </vt:variant>
      <vt:variant>
        <vt:lpwstr/>
      </vt:variant>
      <vt:variant>
        <vt:i4>5046341</vt:i4>
      </vt:variant>
      <vt:variant>
        <vt:i4>2214</vt:i4>
      </vt:variant>
      <vt:variant>
        <vt:i4>0</vt:i4>
      </vt:variant>
      <vt:variant>
        <vt:i4>5</vt:i4>
      </vt:variant>
      <vt:variant>
        <vt:lpwstr>https://www.england.nhs.uk/publication/primary-medical-care-policy-and-guidance-manual-annex-2-supplementary-guidance-for-providers/</vt:lpwstr>
      </vt:variant>
      <vt:variant>
        <vt:lpwstr/>
      </vt:variant>
      <vt:variant>
        <vt:i4>4390922</vt:i4>
      </vt:variant>
      <vt:variant>
        <vt:i4>2211</vt:i4>
      </vt:variant>
      <vt:variant>
        <vt:i4>0</vt:i4>
      </vt:variant>
      <vt:variant>
        <vt:i4>5</vt:i4>
      </vt:variant>
      <vt:variant>
        <vt:lpwstr>https://www.england.nhs.uk/publication/primary-medical-care-policy-and-guidance-manual-annex-1-advice-note-for-providers/</vt:lpwstr>
      </vt:variant>
      <vt:variant>
        <vt:lpwstr/>
      </vt:variant>
      <vt:variant>
        <vt:i4>1900626</vt:i4>
      </vt:variant>
      <vt:variant>
        <vt:i4>2208</vt:i4>
      </vt:variant>
      <vt:variant>
        <vt:i4>0</vt:i4>
      </vt:variant>
      <vt:variant>
        <vt:i4>5</vt:i4>
      </vt:variant>
      <vt:variant>
        <vt:lpwstr>https://future.nhs.uk/connect.ti/primarycareworkforce/view?objectId=21947696</vt:lpwstr>
      </vt:variant>
      <vt:variant>
        <vt:lpwstr/>
      </vt:variant>
      <vt:variant>
        <vt:i4>4718597</vt:i4>
      </vt:variant>
      <vt:variant>
        <vt:i4>2205</vt:i4>
      </vt:variant>
      <vt:variant>
        <vt:i4>0</vt:i4>
      </vt:variant>
      <vt:variant>
        <vt:i4>5</vt:i4>
      </vt:variant>
      <vt:variant>
        <vt:lpwstr>https://resolution.nhs.uk/resources/guidance-note-on-premises-costs-current-market-rent-disputes/</vt:lpwstr>
      </vt:variant>
      <vt:variant>
        <vt:lpwstr/>
      </vt:variant>
      <vt:variant>
        <vt:i4>5636168</vt:i4>
      </vt:variant>
      <vt:variant>
        <vt:i4>2202</vt:i4>
      </vt:variant>
      <vt:variant>
        <vt:i4>0</vt:i4>
      </vt:variant>
      <vt:variant>
        <vt:i4>5</vt:i4>
      </vt:variant>
      <vt:variant>
        <vt:lpwstr>https://www.england.nhs.uk/publication/pgm-annex-3-commissioner-gp-formal-agreement/</vt:lpwstr>
      </vt:variant>
      <vt:variant>
        <vt:lpwstr/>
      </vt:variant>
      <vt:variant>
        <vt:i4>6094918</vt:i4>
      </vt:variant>
      <vt:variant>
        <vt:i4>2199</vt:i4>
      </vt:variant>
      <vt:variant>
        <vt:i4>0</vt:i4>
      </vt:variant>
      <vt:variant>
        <vt:i4>5</vt:i4>
      </vt:variant>
      <vt:variant>
        <vt:lpwstr>https://www.england.nhs.uk/publication/pgm-annex-2b-commissioners-and-finance-officers-guide-to-tab-2-of-fmt/</vt:lpwstr>
      </vt:variant>
      <vt:variant>
        <vt:lpwstr/>
      </vt:variant>
      <vt:variant>
        <vt:i4>3538990</vt:i4>
      </vt:variant>
      <vt:variant>
        <vt:i4>2196</vt:i4>
      </vt:variant>
      <vt:variant>
        <vt:i4>0</vt:i4>
      </vt:variant>
      <vt:variant>
        <vt:i4>5</vt:i4>
      </vt:variant>
      <vt:variant>
        <vt:lpwstr>https://www.england.nhs.uk/publication/pgm-manual-annex-2a-fmt-service-charge-support-16-17-guide/</vt:lpwstr>
      </vt:variant>
      <vt:variant>
        <vt:lpwstr/>
      </vt:variant>
      <vt:variant>
        <vt:i4>4653150</vt:i4>
      </vt:variant>
      <vt:variant>
        <vt:i4>2193</vt:i4>
      </vt:variant>
      <vt:variant>
        <vt:i4>0</vt:i4>
      </vt:variant>
      <vt:variant>
        <vt:i4>5</vt:i4>
      </vt:variant>
      <vt:variant>
        <vt:lpwstr>https://www.england.nhs.uk/publication/pgm-annex-2-fmt-service-charge-support-16-17/</vt:lpwstr>
      </vt:variant>
      <vt:variant>
        <vt:lpwstr/>
      </vt:variant>
      <vt:variant>
        <vt:i4>1310773</vt:i4>
      </vt:variant>
      <vt:variant>
        <vt:i4>2190</vt:i4>
      </vt:variant>
      <vt:variant>
        <vt:i4>0</vt:i4>
      </vt:variant>
      <vt:variant>
        <vt:i4>5</vt:i4>
      </vt:variant>
      <vt:variant>
        <vt:lpwstr>mailto:julie.parkinson5@nhs.net</vt:lpwstr>
      </vt:variant>
      <vt:variant>
        <vt:lpwstr/>
      </vt:variant>
      <vt:variant>
        <vt:i4>3407953</vt:i4>
      </vt:variant>
      <vt:variant>
        <vt:i4>2187</vt:i4>
      </vt:variant>
      <vt:variant>
        <vt:i4>0</vt:i4>
      </vt:variant>
      <vt:variant>
        <vt:i4>5</vt:i4>
      </vt:variant>
      <vt:variant>
        <vt:lpwstr>mailto:barend.henning@nhs.net</vt:lpwstr>
      </vt:variant>
      <vt:variant>
        <vt:lpwstr/>
      </vt:variant>
      <vt:variant>
        <vt:i4>5832813</vt:i4>
      </vt:variant>
      <vt:variant>
        <vt:i4>2184</vt:i4>
      </vt:variant>
      <vt:variant>
        <vt:i4>0</vt:i4>
      </vt:variant>
      <vt:variant>
        <vt:i4>5</vt:i4>
      </vt:variant>
      <vt:variant>
        <vt:lpwstr>mailto:chris.fuller1@nhs.net</vt:lpwstr>
      </vt:variant>
      <vt:variant>
        <vt:lpwstr/>
      </vt:variant>
      <vt:variant>
        <vt:i4>6488146</vt:i4>
      </vt:variant>
      <vt:variant>
        <vt:i4>2181</vt:i4>
      </vt:variant>
      <vt:variant>
        <vt:i4>0</vt:i4>
      </vt:variant>
      <vt:variant>
        <vt:i4>5</vt:i4>
      </vt:variant>
      <vt:variant>
        <vt:lpwstr>mailto:Gavin.Bennett2@nhs.net</vt:lpwstr>
      </vt:variant>
      <vt:variant>
        <vt:lpwstr/>
      </vt:variant>
      <vt:variant>
        <vt:i4>262192</vt:i4>
      </vt:variant>
      <vt:variant>
        <vt:i4>2178</vt:i4>
      </vt:variant>
      <vt:variant>
        <vt:i4>0</vt:i4>
      </vt:variant>
      <vt:variant>
        <vt:i4>5</vt:i4>
      </vt:variant>
      <vt:variant>
        <vt:lpwstr/>
      </vt:variant>
      <vt:variant>
        <vt:lpwstr>_top</vt:lpwstr>
      </vt:variant>
      <vt:variant>
        <vt:i4>2162784</vt:i4>
      </vt:variant>
      <vt:variant>
        <vt:i4>2175</vt:i4>
      </vt:variant>
      <vt:variant>
        <vt:i4>0</vt:i4>
      </vt:variant>
      <vt:variant>
        <vt:i4>5</vt:i4>
      </vt:variant>
      <vt:variant>
        <vt:lpwstr>https://www.england.nhs.uk/publication/primary-medical-care-policy-and-guidance-manual-maintaining-records-annexes/</vt:lpwstr>
      </vt:variant>
      <vt:variant>
        <vt:lpwstr/>
      </vt:variant>
      <vt:variant>
        <vt:i4>2293803</vt:i4>
      </vt:variant>
      <vt:variant>
        <vt:i4>2172</vt:i4>
      </vt:variant>
      <vt:variant>
        <vt:i4>0</vt:i4>
      </vt:variant>
      <vt:variant>
        <vt:i4>5</vt:i4>
      </vt:variant>
      <vt:variant>
        <vt:lpwstr>https://digital.nhs.uk/data-and-information/publications/statistical/gp-earnings-and-expenses-estimates/2019-20</vt:lpwstr>
      </vt:variant>
      <vt:variant>
        <vt:lpwstr/>
      </vt:variant>
      <vt:variant>
        <vt:i4>2162784</vt:i4>
      </vt:variant>
      <vt:variant>
        <vt:i4>2169</vt:i4>
      </vt:variant>
      <vt:variant>
        <vt:i4>0</vt:i4>
      </vt:variant>
      <vt:variant>
        <vt:i4>5</vt:i4>
      </vt:variant>
      <vt:variant>
        <vt:lpwstr>https://www.england.nhs.uk/publication/primary-medical-care-policy-and-guidance-manual-maintaining-records-annexes/</vt:lpwstr>
      </vt:variant>
      <vt:variant>
        <vt:lpwstr/>
      </vt:variant>
      <vt:variant>
        <vt:i4>262192</vt:i4>
      </vt:variant>
      <vt:variant>
        <vt:i4>2166</vt:i4>
      </vt:variant>
      <vt:variant>
        <vt:i4>0</vt:i4>
      </vt:variant>
      <vt:variant>
        <vt:i4>5</vt:i4>
      </vt:variant>
      <vt:variant>
        <vt:lpwstr/>
      </vt:variant>
      <vt:variant>
        <vt:lpwstr>_top</vt:lpwstr>
      </vt:variant>
      <vt:variant>
        <vt:i4>1441895</vt:i4>
      </vt:variant>
      <vt:variant>
        <vt:i4>2163</vt:i4>
      </vt:variant>
      <vt:variant>
        <vt:i4>0</vt:i4>
      </vt:variant>
      <vt:variant>
        <vt:i4>5</vt:i4>
      </vt:variant>
      <vt:variant>
        <vt:lpwstr/>
      </vt:variant>
      <vt:variant>
        <vt:lpwstr>_Appendix_1_–</vt:lpwstr>
      </vt:variant>
      <vt:variant>
        <vt:i4>1835066</vt:i4>
      </vt:variant>
      <vt:variant>
        <vt:i4>2160</vt:i4>
      </vt:variant>
      <vt:variant>
        <vt:i4>0</vt:i4>
      </vt:variant>
      <vt:variant>
        <vt:i4>5</vt:i4>
      </vt:variant>
      <vt:variant>
        <vt:lpwstr/>
      </vt:variant>
      <vt:variant>
        <vt:lpwstr>_Authorisations_and_Sign</vt:lpwstr>
      </vt:variant>
      <vt:variant>
        <vt:i4>262192</vt:i4>
      </vt:variant>
      <vt:variant>
        <vt:i4>2157</vt:i4>
      </vt:variant>
      <vt:variant>
        <vt:i4>0</vt:i4>
      </vt:variant>
      <vt:variant>
        <vt:i4>5</vt:i4>
      </vt:variant>
      <vt:variant>
        <vt:lpwstr/>
      </vt:variant>
      <vt:variant>
        <vt:lpwstr>_top</vt:lpwstr>
      </vt:variant>
      <vt:variant>
        <vt:i4>262192</vt:i4>
      </vt:variant>
      <vt:variant>
        <vt:i4>2154</vt:i4>
      </vt:variant>
      <vt:variant>
        <vt:i4>0</vt:i4>
      </vt:variant>
      <vt:variant>
        <vt:i4>5</vt:i4>
      </vt:variant>
      <vt:variant>
        <vt:lpwstr/>
      </vt:variant>
      <vt:variant>
        <vt:lpwstr>_top</vt:lpwstr>
      </vt:variant>
      <vt:variant>
        <vt:i4>262192</vt:i4>
      </vt:variant>
      <vt:variant>
        <vt:i4>2151</vt:i4>
      </vt:variant>
      <vt:variant>
        <vt:i4>0</vt:i4>
      </vt:variant>
      <vt:variant>
        <vt:i4>5</vt:i4>
      </vt:variant>
      <vt:variant>
        <vt:lpwstr/>
      </vt:variant>
      <vt:variant>
        <vt:lpwstr>_top</vt:lpwstr>
      </vt:variant>
      <vt:variant>
        <vt:i4>262192</vt:i4>
      </vt:variant>
      <vt:variant>
        <vt:i4>2148</vt:i4>
      </vt:variant>
      <vt:variant>
        <vt:i4>0</vt:i4>
      </vt:variant>
      <vt:variant>
        <vt:i4>5</vt:i4>
      </vt:variant>
      <vt:variant>
        <vt:lpwstr/>
      </vt:variant>
      <vt:variant>
        <vt:lpwstr>_top</vt:lpwstr>
      </vt:variant>
      <vt:variant>
        <vt:i4>1441895</vt:i4>
      </vt:variant>
      <vt:variant>
        <vt:i4>2145</vt:i4>
      </vt:variant>
      <vt:variant>
        <vt:i4>0</vt:i4>
      </vt:variant>
      <vt:variant>
        <vt:i4>5</vt:i4>
      </vt:variant>
      <vt:variant>
        <vt:lpwstr/>
      </vt:variant>
      <vt:variant>
        <vt:lpwstr>_Appendix_1_–</vt:lpwstr>
      </vt:variant>
      <vt:variant>
        <vt:i4>262192</vt:i4>
      </vt:variant>
      <vt:variant>
        <vt:i4>2142</vt:i4>
      </vt:variant>
      <vt:variant>
        <vt:i4>0</vt:i4>
      </vt:variant>
      <vt:variant>
        <vt:i4>5</vt:i4>
      </vt:variant>
      <vt:variant>
        <vt:lpwstr/>
      </vt:variant>
      <vt:variant>
        <vt:lpwstr>_top</vt:lpwstr>
      </vt:variant>
      <vt:variant>
        <vt:i4>262192</vt:i4>
      </vt:variant>
      <vt:variant>
        <vt:i4>2139</vt:i4>
      </vt:variant>
      <vt:variant>
        <vt:i4>0</vt:i4>
      </vt:variant>
      <vt:variant>
        <vt:i4>5</vt:i4>
      </vt:variant>
      <vt:variant>
        <vt:lpwstr/>
      </vt:variant>
      <vt:variant>
        <vt:lpwstr>_top</vt:lpwstr>
      </vt:variant>
      <vt:variant>
        <vt:i4>7405684</vt:i4>
      </vt:variant>
      <vt:variant>
        <vt:i4>2136</vt:i4>
      </vt:variant>
      <vt:variant>
        <vt:i4>0</vt:i4>
      </vt:variant>
      <vt:variant>
        <vt:i4>5</vt:i4>
      </vt:variant>
      <vt:variant>
        <vt:lpwstr>https://www.england.nhs.uk/coronavirus/wp-content/uploads/sites/52/2020/03/C0651-covid-support-fund-letter-aug-2020.pdf</vt:lpwstr>
      </vt:variant>
      <vt:variant>
        <vt:lpwstr/>
      </vt:variant>
      <vt:variant>
        <vt:i4>2097210</vt:i4>
      </vt:variant>
      <vt:variant>
        <vt:i4>2133</vt:i4>
      </vt:variant>
      <vt:variant>
        <vt:i4>0</vt:i4>
      </vt:variant>
      <vt:variant>
        <vt:i4>5</vt:i4>
      </vt:variant>
      <vt:variant>
        <vt:lpwstr>https://www.england.nhs.uk/gp/gpfv/workload/resilience/</vt:lpwstr>
      </vt:variant>
      <vt:variant>
        <vt:lpwstr/>
      </vt:variant>
      <vt:variant>
        <vt:i4>262192</vt:i4>
      </vt:variant>
      <vt:variant>
        <vt:i4>2130</vt:i4>
      </vt:variant>
      <vt:variant>
        <vt:i4>0</vt:i4>
      </vt:variant>
      <vt:variant>
        <vt:i4>5</vt:i4>
      </vt:variant>
      <vt:variant>
        <vt:lpwstr/>
      </vt:variant>
      <vt:variant>
        <vt:lpwstr>_top</vt:lpwstr>
      </vt:variant>
      <vt:variant>
        <vt:i4>1572894</vt:i4>
      </vt:variant>
      <vt:variant>
        <vt:i4>2127</vt:i4>
      </vt:variant>
      <vt:variant>
        <vt:i4>0</vt:i4>
      </vt:variant>
      <vt:variant>
        <vt:i4>5</vt:i4>
      </vt:variant>
      <vt:variant>
        <vt:lpwstr>https://www.gov.uk/government/publications/managing-public-money</vt:lpwstr>
      </vt:variant>
      <vt:variant>
        <vt:lpwstr/>
      </vt:variant>
      <vt:variant>
        <vt:i4>1441892</vt:i4>
      </vt:variant>
      <vt:variant>
        <vt:i4>2124</vt:i4>
      </vt:variant>
      <vt:variant>
        <vt:i4>0</vt:i4>
      </vt:variant>
      <vt:variant>
        <vt:i4>5</vt:i4>
      </vt:variant>
      <vt:variant>
        <vt:lpwstr/>
      </vt:variant>
      <vt:variant>
        <vt:lpwstr>_Appendix_2_–</vt:lpwstr>
      </vt:variant>
      <vt:variant>
        <vt:i4>262192</vt:i4>
      </vt:variant>
      <vt:variant>
        <vt:i4>2121</vt:i4>
      </vt:variant>
      <vt:variant>
        <vt:i4>0</vt:i4>
      </vt:variant>
      <vt:variant>
        <vt:i4>5</vt:i4>
      </vt:variant>
      <vt:variant>
        <vt:lpwstr/>
      </vt:variant>
      <vt:variant>
        <vt:lpwstr>_top</vt:lpwstr>
      </vt:variant>
      <vt:variant>
        <vt:i4>3407979</vt:i4>
      </vt:variant>
      <vt:variant>
        <vt:i4>2118</vt:i4>
      </vt:variant>
      <vt:variant>
        <vt:i4>0</vt:i4>
      </vt:variant>
      <vt:variant>
        <vt:i4>5</vt:i4>
      </vt:variant>
      <vt:variant>
        <vt:lpwstr>https://pcse.england.nhs.uk/media/1091/pcse-practice-mergers-closures-form-v09.doc</vt:lpwstr>
      </vt:variant>
      <vt:variant>
        <vt:lpwstr/>
      </vt:variant>
      <vt:variant>
        <vt:i4>2162805</vt:i4>
      </vt:variant>
      <vt:variant>
        <vt:i4>2115</vt:i4>
      </vt:variant>
      <vt:variant>
        <vt:i4>0</vt:i4>
      </vt:variant>
      <vt:variant>
        <vt:i4>5</vt:i4>
      </vt:variant>
      <vt:variant>
        <vt:lpwstr>https://www.england.nhs.uk/publication/primary-medical-care-policy-and-guidance-manual-stage-3-at-contract-end-annexes/</vt:lpwstr>
      </vt:variant>
      <vt:variant>
        <vt:lpwstr/>
      </vt:variant>
      <vt:variant>
        <vt:i4>2162805</vt:i4>
      </vt:variant>
      <vt:variant>
        <vt:i4>2112</vt:i4>
      </vt:variant>
      <vt:variant>
        <vt:i4>0</vt:i4>
      </vt:variant>
      <vt:variant>
        <vt:i4>5</vt:i4>
      </vt:variant>
      <vt:variant>
        <vt:lpwstr>https://www.england.nhs.uk/publication/primary-medical-care-policy-and-guidance-manual-stage-3-at-contract-end-annexes/</vt:lpwstr>
      </vt:variant>
      <vt:variant>
        <vt:lpwstr/>
      </vt:variant>
      <vt:variant>
        <vt:i4>2162805</vt:i4>
      </vt:variant>
      <vt:variant>
        <vt:i4>2109</vt:i4>
      </vt:variant>
      <vt:variant>
        <vt:i4>0</vt:i4>
      </vt:variant>
      <vt:variant>
        <vt:i4>5</vt:i4>
      </vt:variant>
      <vt:variant>
        <vt:lpwstr>https://www.england.nhs.uk/publication/primary-medical-care-policy-and-guidance-manual-stage-3-at-contract-end-annexes/</vt:lpwstr>
      </vt:variant>
      <vt:variant>
        <vt:lpwstr/>
      </vt:variant>
      <vt:variant>
        <vt:i4>2162805</vt:i4>
      </vt:variant>
      <vt:variant>
        <vt:i4>2106</vt:i4>
      </vt:variant>
      <vt:variant>
        <vt:i4>0</vt:i4>
      </vt:variant>
      <vt:variant>
        <vt:i4>5</vt:i4>
      </vt:variant>
      <vt:variant>
        <vt:lpwstr>https://www.england.nhs.uk/publication/primary-medical-care-policy-and-guidance-manual-stage-3-at-contract-end-annexes/</vt:lpwstr>
      </vt:variant>
      <vt:variant>
        <vt:lpwstr/>
      </vt:variant>
      <vt:variant>
        <vt:i4>2162805</vt:i4>
      </vt:variant>
      <vt:variant>
        <vt:i4>2103</vt:i4>
      </vt:variant>
      <vt:variant>
        <vt:i4>0</vt:i4>
      </vt:variant>
      <vt:variant>
        <vt:i4>5</vt:i4>
      </vt:variant>
      <vt:variant>
        <vt:lpwstr>https://www.england.nhs.uk/publication/primary-medical-care-policy-and-guidance-manual-stage-3-at-contract-end-annexes/</vt:lpwstr>
      </vt:variant>
      <vt:variant>
        <vt:lpwstr/>
      </vt:variant>
      <vt:variant>
        <vt:i4>524297</vt:i4>
      </vt:variant>
      <vt:variant>
        <vt:i4>2100</vt:i4>
      </vt:variant>
      <vt:variant>
        <vt:i4>0</vt:i4>
      </vt:variant>
      <vt:variant>
        <vt:i4>5</vt:i4>
      </vt:variant>
      <vt:variant>
        <vt:lpwstr>https://pcse.england.nhs.uk/services/practice-mergers-and-closures-notifications/</vt:lpwstr>
      </vt:variant>
      <vt:variant>
        <vt:lpwstr/>
      </vt:variant>
      <vt:variant>
        <vt:i4>3735595</vt:i4>
      </vt:variant>
      <vt:variant>
        <vt:i4>2097</vt:i4>
      </vt:variant>
      <vt:variant>
        <vt:i4>0</vt:i4>
      </vt:variant>
      <vt:variant>
        <vt:i4>5</vt:i4>
      </vt:variant>
      <vt:variant>
        <vt:lpwstr>https://pcse.england.nhs.uk/services/performers-lists/</vt:lpwstr>
      </vt:variant>
      <vt:variant>
        <vt:lpwstr/>
      </vt:variant>
      <vt:variant>
        <vt:i4>2687095</vt:i4>
      </vt:variant>
      <vt:variant>
        <vt:i4>2094</vt:i4>
      </vt:variant>
      <vt:variant>
        <vt:i4>0</vt:i4>
      </vt:variant>
      <vt:variant>
        <vt:i4>5</vt:i4>
      </vt:variant>
      <vt:variant>
        <vt:lpwstr>https://www.england.nhs.uk/wp-content/uploads/2021/03/B0431-network-contract-des-specification-pcn-requirements-and-entitlements-21-22.pdf</vt:lpwstr>
      </vt:variant>
      <vt:variant>
        <vt:lpwstr/>
      </vt:variant>
      <vt:variant>
        <vt:i4>524297</vt:i4>
      </vt:variant>
      <vt:variant>
        <vt:i4>2091</vt:i4>
      </vt:variant>
      <vt:variant>
        <vt:i4>0</vt:i4>
      </vt:variant>
      <vt:variant>
        <vt:i4>5</vt:i4>
      </vt:variant>
      <vt:variant>
        <vt:lpwstr>https://pcse.england.nhs.uk/services/practice-mergers-and-closures-notifications/</vt:lpwstr>
      </vt:variant>
      <vt:variant>
        <vt:lpwstr/>
      </vt:variant>
      <vt:variant>
        <vt:i4>4784148</vt:i4>
      </vt:variant>
      <vt:variant>
        <vt:i4>2088</vt:i4>
      </vt:variant>
      <vt:variant>
        <vt:i4>0</vt:i4>
      </vt:variant>
      <vt:variant>
        <vt:i4>5</vt:i4>
      </vt:variant>
      <vt:variant>
        <vt:lpwstr>https://www.england.nhs.uk/publication/primary-medical-care-policy-and-guidance-manual-disputes-annexes/</vt:lpwstr>
      </vt:variant>
      <vt:variant>
        <vt:lpwstr/>
      </vt:variant>
      <vt:variant>
        <vt:i4>4784148</vt:i4>
      </vt:variant>
      <vt:variant>
        <vt:i4>2085</vt:i4>
      </vt:variant>
      <vt:variant>
        <vt:i4>0</vt:i4>
      </vt:variant>
      <vt:variant>
        <vt:i4>5</vt:i4>
      </vt:variant>
      <vt:variant>
        <vt:lpwstr>https://www.england.nhs.uk/publication/primary-medical-care-policy-and-guidance-manual-disputes-annexes/</vt:lpwstr>
      </vt:variant>
      <vt:variant>
        <vt:lpwstr/>
      </vt:variant>
      <vt:variant>
        <vt:i4>4784148</vt:i4>
      </vt:variant>
      <vt:variant>
        <vt:i4>2082</vt:i4>
      </vt:variant>
      <vt:variant>
        <vt:i4>0</vt:i4>
      </vt:variant>
      <vt:variant>
        <vt:i4>5</vt:i4>
      </vt:variant>
      <vt:variant>
        <vt:lpwstr>https://www.england.nhs.uk/publication/primary-medical-care-policy-and-guidance-manual-disputes-annexes/</vt:lpwstr>
      </vt:variant>
      <vt:variant>
        <vt:lpwstr/>
      </vt:variant>
      <vt:variant>
        <vt:i4>4128880</vt:i4>
      </vt:variant>
      <vt:variant>
        <vt:i4>2076</vt:i4>
      </vt:variant>
      <vt:variant>
        <vt:i4>0</vt:i4>
      </vt:variant>
      <vt:variant>
        <vt:i4>5</vt:i4>
      </vt:variant>
      <vt:variant>
        <vt:lpwstr>https://www.england.nhs.uk/publication/annex-17-novation-agreement/</vt:lpwstr>
      </vt:variant>
      <vt:variant>
        <vt:lpwstr/>
      </vt:variant>
      <vt:variant>
        <vt:i4>5242970</vt:i4>
      </vt:variant>
      <vt:variant>
        <vt:i4>2073</vt:i4>
      </vt:variant>
      <vt:variant>
        <vt:i4>0</vt:i4>
      </vt:variant>
      <vt:variant>
        <vt:i4>5</vt:i4>
      </vt:variant>
      <vt:variant>
        <vt:lpwstr>https://www.england.nhs.uk/publication/pgm-annex-16-super-practice-template-variation-agreement/</vt:lpwstr>
      </vt:variant>
      <vt:variant>
        <vt:lpwstr/>
      </vt:variant>
      <vt:variant>
        <vt:i4>4915230</vt:i4>
      </vt:variant>
      <vt:variant>
        <vt:i4>2070</vt:i4>
      </vt:variant>
      <vt:variant>
        <vt:i4>0</vt:i4>
      </vt:variant>
      <vt:variant>
        <vt:i4>5</vt:i4>
      </vt:variant>
      <vt:variant>
        <vt:lpwstr>https://www.england.nhs.uk/publication/primary-medical-care-policy-and-guidance-manual-financial-changes-statement-of-financial-entitlements-annexes/</vt:lpwstr>
      </vt:variant>
      <vt:variant>
        <vt:lpwstr/>
      </vt:variant>
      <vt:variant>
        <vt:i4>4915230</vt:i4>
      </vt:variant>
      <vt:variant>
        <vt:i4>2067</vt:i4>
      </vt:variant>
      <vt:variant>
        <vt:i4>0</vt:i4>
      </vt:variant>
      <vt:variant>
        <vt:i4>5</vt:i4>
      </vt:variant>
      <vt:variant>
        <vt:lpwstr>https://www.england.nhs.uk/publication/primary-medical-care-policy-and-guidance-manual-financial-changes-statement-of-financial-entitlements-annexes/</vt:lpwstr>
      </vt:variant>
      <vt:variant>
        <vt:lpwstr/>
      </vt:variant>
      <vt:variant>
        <vt:i4>4915230</vt:i4>
      </vt:variant>
      <vt:variant>
        <vt:i4>2064</vt:i4>
      </vt:variant>
      <vt:variant>
        <vt:i4>0</vt:i4>
      </vt:variant>
      <vt:variant>
        <vt:i4>5</vt:i4>
      </vt:variant>
      <vt:variant>
        <vt:lpwstr>https://www.england.nhs.uk/publication/primary-medical-care-policy-and-guidance-manual-financial-changes-statement-of-financial-entitlements-annexes/</vt:lpwstr>
      </vt:variant>
      <vt:variant>
        <vt:lpwstr/>
      </vt:variant>
      <vt:variant>
        <vt:i4>4915230</vt:i4>
      </vt:variant>
      <vt:variant>
        <vt:i4>2061</vt:i4>
      </vt:variant>
      <vt:variant>
        <vt:i4>0</vt:i4>
      </vt:variant>
      <vt:variant>
        <vt:i4>5</vt:i4>
      </vt:variant>
      <vt:variant>
        <vt:lpwstr>https://www.england.nhs.uk/publication/primary-medical-care-policy-and-guidance-manual-financial-changes-statement-of-financial-entitlements-annexes/</vt:lpwstr>
      </vt:variant>
      <vt:variant>
        <vt:lpwstr/>
      </vt:variant>
      <vt:variant>
        <vt:i4>4915230</vt:i4>
      </vt:variant>
      <vt:variant>
        <vt:i4>2058</vt:i4>
      </vt:variant>
      <vt:variant>
        <vt:i4>0</vt:i4>
      </vt:variant>
      <vt:variant>
        <vt:i4>5</vt:i4>
      </vt:variant>
      <vt:variant>
        <vt:lpwstr>https://www.england.nhs.uk/publication/primary-medical-care-policy-and-guidance-manual-financial-changes-statement-of-financial-entitlements-annexes/</vt:lpwstr>
      </vt:variant>
      <vt:variant>
        <vt:lpwstr/>
      </vt:variant>
      <vt:variant>
        <vt:i4>4915230</vt:i4>
      </vt:variant>
      <vt:variant>
        <vt:i4>2055</vt:i4>
      </vt:variant>
      <vt:variant>
        <vt:i4>0</vt:i4>
      </vt:variant>
      <vt:variant>
        <vt:i4>5</vt:i4>
      </vt:variant>
      <vt:variant>
        <vt:lpwstr>https://www.england.nhs.uk/publication/primary-medical-care-policy-and-guidance-manual-financial-changes-statement-of-financial-entitlements-annexes/</vt:lpwstr>
      </vt:variant>
      <vt:variant>
        <vt:lpwstr/>
      </vt:variant>
      <vt:variant>
        <vt:i4>4915230</vt:i4>
      </vt:variant>
      <vt:variant>
        <vt:i4>2052</vt:i4>
      </vt:variant>
      <vt:variant>
        <vt:i4>0</vt:i4>
      </vt:variant>
      <vt:variant>
        <vt:i4>5</vt:i4>
      </vt:variant>
      <vt:variant>
        <vt:lpwstr>https://www.england.nhs.uk/publication/primary-medical-care-policy-and-guidance-manual-financial-changes-statement-of-financial-entitlements-annexes/</vt:lpwstr>
      </vt:variant>
      <vt:variant>
        <vt:lpwstr/>
      </vt:variant>
      <vt:variant>
        <vt:i4>4915230</vt:i4>
      </vt:variant>
      <vt:variant>
        <vt:i4>2049</vt:i4>
      </vt:variant>
      <vt:variant>
        <vt:i4>0</vt:i4>
      </vt:variant>
      <vt:variant>
        <vt:i4>5</vt:i4>
      </vt:variant>
      <vt:variant>
        <vt:lpwstr>https://www.england.nhs.uk/publication/primary-medical-care-policy-and-guidance-manual-financial-changes-statement-of-financial-entitlements-annexes/</vt:lpwstr>
      </vt:variant>
      <vt:variant>
        <vt:lpwstr/>
      </vt:variant>
      <vt:variant>
        <vt:i4>4915230</vt:i4>
      </vt:variant>
      <vt:variant>
        <vt:i4>2046</vt:i4>
      </vt:variant>
      <vt:variant>
        <vt:i4>0</vt:i4>
      </vt:variant>
      <vt:variant>
        <vt:i4>5</vt:i4>
      </vt:variant>
      <vt:variant>
        <vt:lpwstr>https://www.england.nhs.uk/publication/primary-medical-care-policy-and-guidance-manual-financial-changes-statement-of-financial-entitlements-annexes/</vt:lpwstr>
      </vt:variant>
      <vt:variant>
        <vt:lpwstr/>
      </vt:variant>
      <vt:variant>
        <vt:i4>4915230</vt:i4>
      </vt:variant>
      <vt:variant>
        <vt:i4>2043</vt:i4>
      </vt:variant>
      <vt:variant>
        <vt:i4>0</vt:i4>
      </vt:variant>
      <vt:variant>
        <vt:i4>5</vt:i4>
      </vt:variant>
      <vt:variant>
        <vt:lpwstr>https://www.england.nhs.uk/publication/primary-medical-care-policy-and-guidance-manual-financial-changes-statement-of-financial-entitlements-annexes/</vt:lpwstr>
      </vt:variant>
      <vt:variant>
        <vt:lpwstr/>
      </vt:variant>
      <vt:variant>
        <vt:i4>4915230</vt:i4>
      </vt:variant>
      <vt:variant>
        <vt:i4>2040</vt:i4>
      </vt:variant>
      <vt:variant>
        <vt:i4>0</vt:i4>
      </vt:variant>
      <vt:variant>
        <vt:i4>5</vt:i4>
      </vt:variant>
      <vt:variant>
        <vt:lpwstr>https://www.england.nhs.uk/publication/primary-medical-care-policy-and-guidance-manual-financial-changes-statement-of-financial-entitlements-annexes/</vt:lpwstr>
      </vt:variant>
      <vt:variant>
        <vt:lpwstr/>
      </vt:variant>
      <vt:variant>
        <vt:i4>4915230</vt:i4>
      </vt:variant>
      <vt:variant>
        <vt:i4>2037</vt:i4>
      </vt:variant>
      <vt:variant>
        <vt:i4>0</vt:i4>
      </vt:variant>
      <vt:variant>
        <vt:i4>5</vt:i4>
      </vt:variant>
      <vt:variant>
        <vt:lpwstr>https://www.england.nhs.uk/publication/primary-medical-care-policy-and-guidance-manual-financial-changes-statement-of-financial-entitlements-annexes/</vt:lpwstr>
      </vt:variant>
      <vt:variant>
        <vt:lpwstr/>
      </vt:variant>
      <vt:variant>
        <vt:i4>4915230</vt:i4>
      </vt:variant>
      <vt:variant>
        <vt:i4>2034</vt:i4>
      </vt:variant>
      <vt:variant>
        <vt:i4>0</vt:i4>
      </vt:variant>
      <vt:variant>
        <vt:i4>5</vt:i4>
      </vt:variant>
      <vt:variant>
        <vt:lpwstr>https://www.england.nhs.uk/publication/primary-medical-care-policy-and-guidance-manual-financial-changes-statement-of-financial-entitlements-annexes/</vt:lpwstr>
      </vt:variant>
      <vt:variant>
        <vt:lpwstr/>
      </vt:variant>
      <vt:variant>
        <vt:i4>4915230</vt:i4>
      </vt:variant>
      <vt:variant>
        <vt:i4>2031</vt:i4>
      </vt:variant>
      <vt:variant>
        <vt:i4>0</vt:i4>
      </vt:variant>
      <vt:variant>
        <vt:i4>5</vt:i4>
      </vt:variant>
      <vt:variant>
        <vt:lpwstr>https://www.england.nhs.uk/publication/primary-medical-care-policy-and-guidance-manual-financial-changes-statement-of-financial-entitlements-annexes/</vt:lpwstr>
      </vt:variant>
      <vt:variant>
        <vt:lpwstr/>
      </vt:variant>
      <vt:variant>
        <vt:i4>4915230</vt:i4>
      </vt:variant>
      <vt:variant>
        <vt:i4>2028</vt:i4>
      </vt:variant>
      <vt:variant>
        <vt:i4>0</vt:i4>
      </vt:variant>
      <vt:variant>
        <vt:i4>5</vt:i4>
      </vt:variant>
      <vt:variant>
        <vt:lpwstr>https://www.england.nhs.uk/publication/primary-medical-care-policy-and-guidance-manual-financial-changes-statement-of-financial-entitlements-annexes/</vt:lpwstr>
      </vt:variant>
      <vt:variant>
        <vt:lpwstr/>
      </vt:variant>
      <vt:variant>
        <vt:i4>4915230</vt:i4>
      </vt:variant>
      <vt:variant>
        <vt:i4>2025</vt:i4>
      </vt:variant>
      <vt:variant>
        <vt:i4>0</vt:i4>
      </vt:variant>
      <vt:variant>
        <vt:i4>5</vt:i4>
      </vt:variant>
      <vt:variant>
        <vt:lpwstr>https://www.england.nhs.uk/publication/primary-medical-care-policy-and-guidance-manual-financial-changes-statement-of-financial-entitlements-annexes/</vt:lpwstr>
      </vt:variant>
      <vt:variant>
        <vt:lpwstr/>
      </vt:variant>
      <vt:variant>
        <vt:i4>4915230</vt:i4>
      </vt:variant>
      <vt:variant>
        <vt:i4>2022</vt:i4>
      </vt:variant>
      <vt:variant>
        <vt:i4>0</vt:i4>
      </vt:variant>
      <vt:variant>
        <vt:i4>5</vt:i4>
      </vt:variant>
      <vt:variant>
        <vt:lpwstr>https://www.england.nhs.uk/publication/primary-medical-care-policy-and-guidance-manual-financial-changes-statement-of-financial-entitlements-annexes/</vt:lpwstr>
      </vt:variant>
      <vt:variant>
        <vt:lpwstr/>
      </vt:variant>
      <vt:variant>
        <vt:i4>4915230</vt:i4>
      </vt:variant>
      <vt:variant>
        <vt:i4>2019</vt:i4>
      </vt:variant>
      <vt:variant>
        <vt:i4>0</vt:i4>
      </vt:variant>
      <vt:variant>
        <vt:i4>5</vt:i4>
      </vt:variant>
      <vt:variant>
        <vt:lpwstr>https://www.england.nhs.uk/publication/primary-medical-care-policy-and-guidance-manual-financial-changes-statement-of-financial-entitlements-annexes/</vt:lpwstr>
      </vt:variant>
      <vt:variant>
        <vt:lpwstr/>
      </vt:variant>
      <vt:variant>
        <vt:i4>4915230</vt:i4>
      </vt:variant>
      <vt:variant>
        <vt:i4>2016</vt:i4>
      </vt:variant>
      <vt:variant>
        <vt:i4>0</vt:i4>
      </vt:variant>
      <vt:variant>
        <vt:i4>5</vt:i4>
      </vt:variant>
      <vt:variant>
        <vt:lpwstr>https://www.england.nhs.uk/publication/primary-medical-care-policy-and-guidance-manual-financial-changes-statement-of-financial-entitlements-annexes/</vt:lpwstr>
      </vt:variant>
      <vt:variant>
        <vt:lpwstr/>
      </vt:variant>
      <vt:variant>
        <vt:i4>4915230</vt:i4>
      </vt:variant>
      <vt:variant>
        <vt:i4>2013</vt:i4>
      </vt:variant>
      <vt:variant>
        <vt:i4>0</vt:i4>
      </vt:variant>
      <vt:variant>
        <vt:i4>5</vt:i4>
      </vt:variant>
      <vt:variant>
        <vt:lpwstr>https://www.england.nhs.uk/publication/primary-medical-care-policy-and-guidance-manual-financial-changes-statement-of-financial-entitlements-annexes/</vt:lpwstr>
      </vt:variant>
      <vt:variant>
        <vt:lpwstr/>
      </vt:variant>
      <vt:variant>
        <vt:i4>4915230</vt:i4>
      </vt:variant>
      <vt:variant>
        <vt:i4>2010</vt:i4>
      </vt:variant>
      <vt:variant>
        <vt:i4>0</vt:i4>
      </vt:variant>
      <vt:variant>
        <vt:i4>5</vt:i4>
      </vt:variant>
      <vt:variant>
        <vt:lpwstr>https://www.england.nhs.uk/publication/primary-medical-care-policy-and-guidance-manual-financial-changes-statement-of-financial-entitlements-annexes/</vt:lpwstr>
      </vt:variant>
      <vt:variant>
        <vt:lpwstr/>
      </vt:variant>
      <vt:variant>
        <vt:i4>1572890</vt:i4>
      </vt:variant>
      <vt:variant>
        <vt:i4>2007</vt:i4>
      </vt:variant>
      <vt:variant>
        <vt:i4>0</vt:i4>
      </vt:variant>
      <vt:variant>
        <vt:i4>5</vt:i4>
      </vt:variant>
      <vt:variant>
        <vt:lpwstr>https://pcse.england.nhs.uk/services/performers-lists/gp-performers-list-for-england/</vt:lpwstr>
      </vt:variant>
      <vt:variant>
        <vt:lpwstr/>
      </vt:variant>
      <vt:variant>
        <vt:i4>327791</vt:i4>
      </vt:variant>
      <vt:variant>
        <vt:i4>1995</vt:i4>
      </vt:variant>
      <vt:variant>
        <vt:i4>0</vt:i4>
      </vt:variant>
      <vt:variant>
        <vt:i4>5</vt:i4>
      </vt:variant>
      <vt:variant>
        <vt:lpwstr>mailto:england.legal@nhs.net</vt:lpwstr>
      </vt:variant>
      <vt:variant>
        <vt:lpwstr/>
      </vt:variant>
      <vt:variant>
        <vt:i4>6815845</vt:i4>
      </vt:variant>
      <vt:variant>
        <vt:i4>1992</vt:i4>
      </vt:variant>
      <vt:variant>
        <vt:i4>0</vt:i4>
      </vt:variant>
      <vt:variant>
        <vt:i4>5</vt:i4>
      </vt:variant>
      <vt:variant>
        <vt:lpwstr>https://www.england.nhs.uk/commissioning/wp-content/uploads/sites/12/2016/03/framwrk-public-partcptn-prim-care.pdf</vt:lpwstr>
      </vt:variant>
      <vt:variant>
        <vt:lpwstr/>
      </vt:variant>
      <vt:variant>
        <vt:i4>2818134</vt:i4>
      </vt:variant>
      <vt:variant>
        <vt:i4>1989</vt:i4>
      </vt:variant>
      <vt:variant>
        <vt:i4>0</vt:i4>
      </vt:variant>
      <vt:variant>
        <vt:i4>5</vt:i4>
      </vt:variant>
      <vt:variant>
        <vt:lpwstr>https://www.engage.england.nhs.uk/survey/strengthening-ppp/supporting_documents/ppppolicystatement.pdf-1</vt:lpwstr>
      </vt:variant>
      <vt:variant>
        <vt:lpwstr/>
      </vt:variant>
      <vt:variant>
        <vt:i4>6225994</vt:i4>
      </vt:variant>
      <vt:variant>
        <vt:i4>1986</vt:i4>
      </vt:variant>
      <vt:variant>
        <vt:i4>0</vt:i4>
      </vt:variant>
      <vt:variant>
        <vt:i4>5</vt:i4>
      </vt:variant>
      <vt:variant>
        <vt:lpwstr>https://www.england.nhs.uk/wp-content/uploads/2017/04/ppp-policy.pdf</vt:lpwstr>
      </vt:variant>
      <vt:variant>
        <vt:lpwstr/>
      </vt:variant>
      <vt:variant>
        <vt:i4>6815845</vt:i4>
      </vt:variant>
      <vt:variant>
        <vt:i4>1983</vt:i4>
      </vt:variant>
      <vt:variant>
        <vt:i4>0</vt:i4>
      </vt:variant>
      <vt:variant>
        <vt:i4>5</vt:i4>
      </vt:variant>
      <vt:variant>
        <vt:lpwstr>https://www.england.nhs.uk/commissioning/wp-content/uploads/sites/12/2016/03/framwrk-public-partcptn-prim-care.pdf</vt:lpwstr>
      </vt:variant>
      <vt:variant>
        <vt:lpwstr/>
      </vt:variant>
      <vt:variant>
        <vt:i4>2818134</vt:i4>
      </vt:variant>
      <vt:variant>
        <vt:i4>1980</vt:i4>
      </vt:variant>
      <vt:variant>
        <vt:i4>0</vt:i4>
      </vt:variant>
      <vt:variant>
        <vt:i4>5</vt:i4>
      </vt:variant>
      <vt:variant>
        <vt:lpwstr>https://www.engage.england.nhs.uk/survey/strengthening-ppp/supporting_documents/ppppolicystatement.pdf-1</vt:lpwstr>
      </vt:variant>
      <vt:variant>
        <vt:lpwstr/>
      </vt:variant>
      <vt:variant>
        <vt:i4>6225994</vt:i4>
      </vt:variant>
      <vt:variant>
        <vt:i4>1977</vt:i4>
      </vt:variant>
      <vt:variant>
        <vt:i4>0</vt:i4>
      </vt:variant>
      <vt:variant>
        <vt:i4>5</vt:i4>
      </vt:variant>
      <vt:variant>
        <vt:lpwstr>https://www.england.nhs.uk/wp-content/uploads/2017/04/ppp-policy.pdf</vt:lpwstr>
      </vt:variant>
      <vt:variant>
        <vt:lpwstr/>
      </vt:variant>
      <vt:variant>
        <vt:i4>7143468</vt:i4>
      </vt:variant>
      <vt:variant>
        <vt:i4>1968</vt:i4>
      </vt:variant>
      <vt:variant>
        <vt:i4>0</vt:i4>
      </vt:variant>
      <vt:variant>
        <vt:i4>5</vt:i4>
      </vt:variant>
      <vt:variant>
        <vt:lpwstr>https://www.england.nhs.uk/publication/primary-medical-care-policy-and-guidance-manual-practice-mergers-and-or-contractual-mergers-annexes/</vt:lpwstr>
      </vt:variant>
      <vt:variant>
        <vt:lpwstr/>
      </vt:variant>
      <vt:variant>
        <vt:i4>537591846</vt:i4>
      </vt:variant>
      <vt:variant>
        <vt:i4>1965</vt:i4>
      </vt:variant>
      <vt:variant>
        <vt:i4>0</vt:i4>
      </vt:variant>
      <vt:variant>
        <vt:i4>5</vt:i4>
      </vt:variant>
      <vt:variant>
        <vt:lpwstr>file://\\ims.gov.uk\DHSC\London\SKH\NW098\NHS CB\Direct Commissioning Team\Primary Care Ops Team\PMC policy book\6. October 2020 Refresh\•https:\www.england.nhs.uk\publication\primary-medical-care-policy-and-guidance-manual-annex-1-apms-purchasing-system-commissioning-factsheet\</vt:lpwstr>
      </vt:variant>
      <vt:variant>
        <vt:lpwstr/>
      </vt:variant>
      <vt:variant>
        <vt:i4>2228283</vt:i4>
      </vt:variant>
      <vt:variant>
        <vt:i4>1962</vt:i4>
      </vt:variant>
      <vt:variant>
        <vt:i4>0</vt:i4>
      </vt:variant>
      <vt:variant>
        <vt:i4>5</vt:i4>
      </vt:variant>
      <vt:variant>
        <vt:lpwstr>https://www.england.nhs.uk/commissioning/primary-care/pharmacy/manual/</vt:lpwstr>
      </vt:variant>
      <vt:variant>
        <vt:lpwstr/>
      </vt:variant>
      <vt:variant>
        <vt:i4>1835031</vt:i4>
      </vt:variant>
      <vt:variant>
        <vt:i4>1956</vt:i4>
      </vt:variant>
      <vt:variant>
        <vt:i4>0</vt:i4>
      </vt:variant>
      <vt:variant>
        <vt:i4>5</vt:i4>
      </vt:variant>
      <vt:variant>
        <vt:lpwstr>https://www.england.nhs.uk/publication/primary-medical-care-policy-and-guidance-manual-annex-3-assessment-framework/</vt:lpwstr>
      </vt:variant>
      <vt:variant>
        <vt:lpwstr/>
      </vt:variant>
      <vt:variant>
        <vt:i4>7274594</vt:i4>
      </vt:variant>
      <vt:variant>
        <vt:i4>1953</vt:i4>
      </vt:variant>
      <vt:variant>
        <vt:i4>0</vt:i4>
      </vt:variant>
      <vt:variant>
        <vt:i4>5</vt:i4>
      </vt:variant>
      <vt:variant>
        <vt:lpwstr>https://www.england.nhs.uk/publication/primary-medical-care-policy-and-guidance-manual-annex-2-acknowledgement-of-requests-to-incorporate-and-incorporation-application-template-and-guide</vt:lpwstr>
      </vt:variant>
      <vt:variant>
        <vt:lpwstr/>
      </vt:variant>
      <vt:variant>
        <vt:i4>5636165</vt:i4>
      </vt:variant>
      <vt:variant>
        <vt:i4>1950</vt:i4>
      </vt:variant>
      <vt:variant>
        <vt:i4>0</vt:i4>
      </vt:variant>
      <vt:variant>
        <vt:i4>5</vt:i4>
      </vt:variant>
      <vt:variant>
        <vt:lpwstr>https://www.england.nhs.uk/publication/primary-medical-care-policy-and-guidance-manual-annex-1-the-common-assessment-framework-for-incorporation-requests-support-and-guide/</vt:lpwstr>
      </vt:variant>
      <vt:variant>
        <vt:lpwstr/>
      </vt:variant>
      <vt:variant>
        <vt:i4>327791</vt:i4>
      </vt:variant>
      <vt:variant>
        <vt:i4>1947</vt:i4>
      </vt:variant>
      <vt:variant>
        <vt:i4>0</vt:i4>
      </vt:variant>
      <vt:variant>
        <vt:i4>5</vt:i4>
      </vt:variant>
      <vt:variant>
        <vt:lpwstr>mailto:england.legal@nhs.net</vt:lpwstr>
      </vt:variant>
      <vt:variant>
        <vt:lpwstr/>
      </vt:variant>
      <vt:variant>
        <vt:i4>1441863</vt:i4>
      </vt:variant>
      <vt:variant>
        <vt:i4>1914</vt:i4>
      </vt:variant>
      <vt:variant>
        <vt:i4>0</vt:i4>
      </vt:variant>
      <vt:variant>
        <vt:i4>5</vt:i4>
      </vt:variant>
      <vt:variant>
        <vt:lpwstr>https://www.england.nhs.uk/publication/pgm-appendix-10-sample-patient-letter-appeal-rejected/</vt:lpwstr>
      </vt:variant>
      <vt:variant>
        <vt:lpwstr/>
      </vt:variant>
      <vt:variant>
        <vt:i4>2556015</vt:i4>
      </vt:variant>
      <vt:variant>
        <vt:i4>1911</vt:i4>
      </vt:variant>
      <vt:variant>
        <vt:i4>0</vt:i4>
      </vt:variant>
      <vt:variant>
        <vt:i4>5</vt:i4>
      </vt:variant>
      <vt:variant>
        <vt:lpwstr>https://www.england.nhs.uk/publication/pgm-appendix-9-sample-patient-letter-appeal-upheld/</vt:lpwstr>
      </vt:variant>
      <vt:variant>
        <vt:lpwstr/>
      </vt:variant>
      <vt:variant>
        <vt:i4>6684777</vt:i4>
      </vt:variant>
      <vt:variant>
        <vt:i4>1908</vt:i4>
      </vt:variant>
      <vt:variant>
        <vt:i4>0</vt:i4>
      </vt:variant>
      <vt:variant>
        <vt:i4>5</vt:i4>
      </vt:variant>
      <vt:variant>
        <vt:lpwstr>https://www.england.nhs.uk/publication/pgm-appendix-8-appeal-panel-terms-of-reference-tor/</vt:lpwstr>
      </vt:variant>
      <vt:variant>
        <vt:lpwstr/>
      </vt:variant>
      <vt:variant>
        <vt:i4>3342444</vt:i4>
      </vt:variant>
      <vt:variant>
        <vt:i4>1905</vt:i4>
      </vt:variant>
      <vt:variant>
        <vt:i4>0</vt:i4>
      </vt:variant>
      <vt:variant>
        <vt:i4>5</vt:i4>
      </vt:variant>
      <vt:variant>
        <vt:lpwstr>https://www.england.nhs.uk/publication/primary-medical-care-policy-and-guidance-manual-working-with-primary-care-support-england-pcse-annexes/</vt:lpwstr>
      </vt:variant>
      <vt:variant>
        <vt:lpwstr/>
      </vt:variant>
      <vt:variant>
        <vt:i4>3932227</vt:i4>
      </vt:variant>
      <vt:variant>
        <vt:i4>1902</vt:i4>
      </vt:variant>
      <vt:variant>
        <vt:i4>0</vt:i4>
      </vt:variant>
      <vt:variant>
        <vt:i4>5</vt:i4>
      </vt:variant>
      <vt:variant>
        <vt:lpwstr>mailto:pcse.immediateremovals@nhs.net</vt:lpwstr>
      </vt:variant>
      <vt:variant>
        <vt:lpwstr/>
      </vt:variant>
      <vt:variant>
        <vt:i4>5898329</vt:i4>
      </vt:variant>
      <vt:variant>
        <vt:i4>1899</vt:i4>
      </vt:variant>
      <vt:variant>
        <vt:i4>0</vt:i4>
      </vt:variant>
      <vt:variant>
        <vt:i4>5</vt:i4>
      </vt:variant>
      <vt:variant>
        <vt:lpwstr>https://www.england.nhs.uk/contact-us/complaint/</vt:lpwstr>
      </vt:variant>
      <vt:variant>
        <vt:lpwstr/>
      </vt:variant>
      <vt:variant>
        <vt:i4>7798909</vt:i4>
      </vt:variant>
      <vt:variant>
        <vt:i4>1896</vt:i4>
      </vt:variant>
      <vt:variant>
        <vt:i4>0</vt:i4>
      </vt:variant>
      <vt:variant>
        <vt:i4>5</vt:i4>
      </vt:variant>
      <vt:variant>
        <vt:lpwstr>https://www.england.nhs.uk/publication/pgm-appendix-5-risk-assessment-approach/</vt:lpwstr>
      </vt:variant>
      <vt:variant>
        <vt:lpwstr/>
      </vt:variant>
      <vt:variant>
        <vt:i4>983069</vt:i4>
      </vt:variant>
      <vt:variant>
        <vt:i4>1893</vt:i4>
      </vt:variant>
      <vt:variant>
        <vt:i4>0</vt:i4>
      </vt:variant>
      <vt:variant>
        <vt:i4>5</vt:i4>
      </vt:variant>
      <vt:variant>
        <vt:lpwstr>https://www.england.nhs.uk/publication/pgm-appendix-4-sample-data-sharing-agreement/</vt:lpwstr>
      </vt:variant>
      <vt:variant>
        <vt:lpwstr/>
      </vt:variant>
      <vt:variant>
        <vt:i4>3342444</vt:i4>
      </vt:variant>
      <vt:variant>
        <vt:i4>1890</vt:i4>
      </vt:variant>
      <vt:variant>
        <vt:i4>0</vt:i4>
      </vt:variant>
      <vt:variant>
        <vt:i4>5</vt:i4>
      </vt:variant>
      <vt:variant>
        <vt:lpwstr>https://www.england.nhs.uk/publication/primary-medical-care-policy-and-guidance-manual-working-with-primary-care-support-england-pcse-annexes/</vt:lpwstr>
      </vt:variant>
      <vt:variant>
        <vt:lpwstr/>
      </vt:variant>
      <vt:variant>
        <vt:i4>1704029</vt:i4>
      </vt:variant>
      <vt:variant>
        <vt:i4>1887</vt:i4>
      </vt:variant>
      <vt:variant>
        <vt:i4>0</vt:i4>
      </vt:variant>
      <vt:variant>
        <vt:i4>5</vt:i4>
      </vt:variant>
      <vt:variant>
        <vt:lpwstr>http://www.cqc.org.uk/sites/default/files/documents/20130426_800715_v1_00_guidance_on_statutory_notifications_from_pms_for_reg_persons_for_publication.pdf</vt:lpwstr>
      </vt:variant>
      <vt:variant>
        <vt:lpwstr/>
      </vt:variant>
      <vt:variant>
        <vt:i4>7405679</vt:i4>
      </vt:variant>
      <vt:variant>
        <vt:i4>1884</vt:i4>
      </vt:variant>
      <vt:variant>
        <vt:i4>0</vt:i4>
      </vt:variant>
      <vt:variant>
        <vt:i4>5</vt:i4>
      </vt:variant>
      <vt:variant>
        <vt:lpwstr>https://pcse.england.nhs.uk/contact-us/</vt:lpwstr>
      </vt:variant>
      <vt:variant>
        <vt:lpwstr/>
      </vt:variant>
      <vt:variant>
        <vt:i4>3014712</vt:i4>
      </vt:variant>
      <vt:variant>
        <vt:i4>1881</vt:i4>
      </vt:variant>
      <vt:variant>
        <vt:i4>0</vt:i4>
      </vt:variant>
      <vt:variant>
        <vt:i4>5</vt:i4>
      </vt:variant>
      <vt:variant>
        <vt:lpwstr>https://www.england.nhs.uk/publication/commissioning-a-robust-sas/</vt:lpwstr>
      </vt:variant>
      <vt:variant>
        <vt:lpwstr/>
      </vt:variant>
      <vt:variant>
        <vt:i4>1441811</vt:i4>
      </vt:variant>
      <vt:variant>
        <vt:i4>1878</vt:i4>
      </vt:variant>
      <vt:variant>
        <vt:i4>0</vt:i4>
      </vt:variant>
      <vt:variant>
        <vt:i4>5</vt:i4>
      </vt:variant>
      <vt:variant>
        <vt:lpwstr>https://www.england.nhs.uk/publication/primary-medical-care-policy-and-guidance-manual-police-incident-reporting-the-home-office-counting-rules-annexes/</vt:lpwstr>
      </vt:variant>
      <vt:variant>
        <vt:lpwstr/>
      </vt:variant>
      <vt:variant>
        <vt:i4>1441811</vt:i4>
      </vt:variant>
      <vt:variant>
        <vt:i4>1875</vt:i4>
      </vt:variant>
      <vt:variant>
        <vt:i4>0</vt:i4>
      </vt:variant>
      <vt:variant>
        <vt:i4>5</vt:i4>
      </vt:variant>
      <vt:variant>
        <vt:lpwstr>https://www.england.nhs.uk/publication/primary-medical-care-policy-and-guidance-manual-police-incident-reporting-the-home-office-counting-rules-annexes/</vt:lpwstr>
      </vt:variant>
      <vt:variant>
        <vt:lpwstr/>
      </vt:variant>
      <vt:variant>
        <vt:i4>1441811</vt:i4>
      </vt:variant>
      <vt:variant>
        <vt:i4>1872</vt:i4>
      </vt:variant>
      <vt:variant>
        <vt:i4>0</vt:i4>
      </vt:variant>
      <vt:variant>
        <vt:i4>5</vt:i4>
      </vt:variant>
      <vt:variant>
        <vt:lpwstr>https://www.england.nhs.uk/publication/primary-medical-care-policy-and-guidance-manual-police-incident-reporting-the-home-office-counting-rules-annexes/</vt:lpwstr>
      </vt:variant>
      <vt:variant>
        <vt:lpwstr/>
      </vt:variant>
      <vt:variant>
        <vt:i4>1441811</vt:i4>
      </vt:variant>
      <vt:variant>
        <vt:i4>1869</vt:i4>
      </vt:variant>
      <vt:variant>
        <vt:i4>0</vt:i4>
      </vt:variant>
      <vt:variant>
        <vt:i4>5</vt:i4>
      </vt:variant>
      <vt:variant>
        <vt:lpwstr>https://www.england.nhs.uk/publication/primary-medical-care-policy-and-guidance-manual-police-incident-reporting-the-home-office-counting-rules-annexes/</vt:lpwstr>
      </vt:variant>
      <vt:variant>
        <vt:lpwstr/>
      </vt:variant>
      <vt:variant>
        <vt:i4>7864412</vt:i4>
      </vt:variant>
      <vt:variant>
        <vt:i4>1866</vt:i4>
      </vt:variant>
      <vt:variant>
        <vt:i4>0</vt:i4>
      </vt:variant>
      <vt:variant>
        <vt:i4>5</vt:i4>
      </vt:variant>
      <vt:variant>
        <vt:lpwstr/>
      </vt:variant>
      <vt:variant>
        <vt:lpwstr>_Appendix_One_–</vt:lpwstr>
      </vt:variant>
      <vt:variant>
        <vt:i4>3932227</vt:i4>
      </vt:variant>
      <vt:variant>
        <vt:i4>1863</vt:i4>
      </vt:variant>
      <vt:variant>
        <vt:i4>0</vt:i4>
      </vt:variant>
      <vt:variant>
        <vt:i4>5</vt:i4>
      </vt:variant>
      <vt:variant>
        <vt:lpwstr>mailto:pcse.immediateremovals@nhs.net</vt:lpwstr>
      </vt:variant>
      <vt:variant>
        <vt:lpwstr/>
      </vt:variant>
      <vt:variant>
        <vt:i4>7405679</vt:i4>
      </vt:variant>
      <vt:variant>
        <vt:i4>1860</vt:i4>
      </vt:variant>
      <vt:variant>
        <vt:i4>0</vt:i4>
      </vt:variant>
      <vt:variant>
        <vt:i4>5</vt:i4>
      </vt:variant>
      <vt:variant>
        <vt:lpwstr>https://pcse.england.nhs.uk/contact-us/</vt:lpwstr>
      </vt:variant>
      <vt:variant>
        <vt:lpwstr/>
      </vt:variant>
      <vt:variant>
        <vt:i4>721019</vt:i4>
      </vt:variant>
      <vt:variant>
        <vt:i4>1857</vt:i4>
      </vt:variant>
      <vt:variant>
        <vt:i4>0</vt:i4>
      </vt:variant>
      <vt:variant>
        <vt:i4>5</vt:i4>
      </vt:variant>
      <vt:variant>
        <vt:lpwstr/>
      </vt:variant>
      <vt:variant>
        <vt:lpwstr>_Appendix_Six:_Example</vt:lpwstr>
      </vt:variant>
      <vt:variant>
        <vt:i4>1769528</vt:i4>
      </vt:variant>
      <vt:variant>
        <vt:i4>1854</vt:i4>
      </vt:variant>
      <vt:variant>
        <vt:i4>0</vt:i4>
      </vt:variant>
      <vt:variant>
        <vt:i4>5</vt:i4>
      </vt:variant>
      <vt:variant>
        <vt:lpwstr/>
      </vt:variant>
      <vt:variant>
        <vt:lpwstr>_Once_satisfied_that</vt:lpwstr>
      </vt:variant>
      <vt:variant>
        <vt:i4>3276801</vt:i4>
      </vt:variant>
      <vt:variant>
        <vt:i4>1851</vt:i4>
      </vt:variant>
      <vt:variant>
        <vt:i4>0</vt:i4>
      </vt:variant>
      <vt:variant>
        <vt:i4>5</vt:i4>
      </vt:variant>
      <vt:variant>
        <vt:lpwstr/>
      </vt:variant>
      <vt:variant>
        <vt:lpwstr>_When_to_use</vt:lpwstr>
      </vt:variant>
      <vt:variant>
        <vt:i4>7798877</vt:i4>
      </vt:variant>
      <vt:variant>
        <vt:i4>1848</vt:i4>
      </vt:variant>
      <vt:variant>
        <vt:i4>0</vt:i4>
      </vt:variant>
      <vt:variant>
        <vt:i4>5</vt:i4>
      </vt:variant>
      <vt:variant>
        <vt:lpwstr/>
      </vt:variant>
      <vt:variant>
        <vt:lpwstr>_Commissioning_a_robust</vt:lpwstr>
      </vt:variant>
      <vt:variant>
        <vt:i4>1835053</vt:i4>
      </vt:variant>
      <vt:variant>
        <vt:i4>1845</vt:i4>
      </vt:variant>
      <vt:variant>
        <vt:i4>0</vt:i4>
      </vt:variant>
      <vt:variant>
        <vt:i4>5</vt:i4>
      </vt:variant>
      <vt:variant>
        <vt:lpwstr/>
      </vt:variant>
      <vt:variant>
        <vt:lpwstr>_Introduction</vt:lpwstr>
      </vt:variant>
      <vt:variant>
        <vt:i4>4653086</vt:i4>
      </vt:variant>
      <vt:variant>
        <vt:i4>1830</vt:i4>
      </vt:variant>
      <vt:variant>
        <vt:i4>0</vt:i4>
      </vt:variant>
      <vt:variant>
        <vt:i4>5</vt:i4>
      </vt:variant>
      <vt:variant>
        <vt:lpwstr>https://www.bma.org.uk/advice-and-support/gp-practices/managing-your-practice-list/removing-patients-from-your-practice-list</vt:lpwstr>
      </vt:variant>
      <vt:variant>
        <vt:lpwstr/>
      </vt:variant>
      <vt:variant>
        <vt:i4>7274535</vt:i4>
      </vt:variant>
      <vt:variant>
        <vt:i4>1815</vt:i4>
      </vt:variant>
      <vt:variant>
        <vt:i4>0</vt:i4>
      </vt:variant>
      <vt:variant>
        <vt:i4>5</vt:i4>
      </vt:variant>
      <vt:variant>
        <vt:lpwstr>http://legislation.data.gov.uk/uksi/2015/1862/made/data.htm?wrap=true</vt:lpwstr>
      </vt:variant>
      <vt:variant>
        <vt:lpwstr>f00088</vt:lpwstr>
      </vt:variant>
      <vt:variant>
        <vt:i4>6291495</vt:i4>
      </vt:variant>
      <vt:variant>
        <vt:i4>1812</vt:i4>
      </vt:variant>
      <vt:variant>
        <vt:i4>0</vt:i4>
      </vt:variant>
      <vt:variant>
        <vt:i4>5</vt:i4>
      </vt:variant>
      <vt:variant>
        <vt:lpwstr>http://legislation.data.gov.uk/uksi/2015/1862/made/data.htm?wrap=true</vt:lpwstr>
      </vt:variant>
      <vt:variant>
        <vt:lpwstr>f00087</vt:lpwstr>
      </vt:variant>
      <vt:variant>
        <vt:i4>1769553</vt:i4>
      </vt:variant>
      <vt:variant>
        <vt:i4>1809</vt:i4>
      </vt:variant>
      <vt:variant>
        <vt:i4>0</vt:i4>
      </vt:variant>
      <vt:variant>
        <vt:i4>5</vt:i4>
      </vt:variant>
      <vt:variant>
        <vt:lpwstr>https://www.england.nhs.uk/publication/primary-medical-care-policy-and-guidance-manual-requesting-documentary-information-from-patients-annexes/</vt:lpwstr>
      </vt:variant>
      <vt:variant>
        <vt:lpwstr/>
      </vt:variant>
      <vt:variant>
        <vt:i4>12</vt:i4>
      </vt:variant>
      <vt:variant>
        <vt:i4>1806</vt:i4>
      </vt:variant>
      <vt:variant>
        <vt:i4>0</vt:i4>
      </vt:variant>
      <vt:variant>
        <vt:i4>5</vt:i4>
      </vt:variant>
      <vt:variant>
        <vt:lpwstr>http://www.nhs.uk/NHSEngland/Militaryhealthcare/Pages/Militaryhealthcare.aspx</vt:lpwstr>
      </vt:variant>
      <vt:variant>
        <vt:lpwstr/>
      </vt:variant>
      <vt:variant>
        <vt:i4>6422581</vt:i4>
      </vt:variant>
      <vt:variant>
        <vt:i4>1803</vt:i4>
      </vt:variant>
      <vt:variant>
        <vt:i4>0</vt:i4>
      </vt:variant>
      <vt:variant>
        <vt:i4>5</vt:i4>
      </vt:variant>
      <vt:variant>
        <vt:lpwstr>https://www.gov.uk/government/uploads/system/uploads/attachment_data/file/49469/the_armed_forces_covenant.pdf</vt:lpwstr>
      </vt:variant>
      <vt:variant>
        <vt:lpwstr/>
      </vt:variant>
      <vt:variant>
        <vt:i4>393240</vt:i4>
      </vt:variant>
      <vt:variant>
        <vt:i4>1800</vt:i4>
      </vt:variant>
      <vt:variant>
        <vt:i4>0</vt:i4>
      </vt:variant>
      <vt:variant>
        <vt:i4>5</vt:i4>
      </vt:variant>
      <vt:variant>
        <vt:lpwstr>https://www.nspcc.org.uk/preventing-abuse/child-protection-system/legal-definition-child-rights-law/gillick-competency-fraser-guidelines/</vt:lpwstr>
      </vt:variant>
      <vt:variant>
        <vt:lpwstr/>
      </vt:variant>
      <vt:variant>
        <vt:i4>3735557</vt:i4>
      </vt:variant>
      <vt:variant>
        <vt:i4>1797</vt:i4>
      </vt:variant>
      <vt:variant>
        <vt:i4>0</vt:i4>
      </vt:variant>
      <vt:variant>
        <vt:i4>5</vt:i4>
      </vt:variant>
      <vt:variant>
        <vt:lpwstr>mailto:generalenquiries@nhscfa.gsi.gov.uk</vt:lpwstr>
      </vt:variant>
      <vt:variant>
        <vt:lpwstr/>
      </vt:variant>
      <vt:variant>
        <vt:i4>3145839</vt:i4>
      </vt:variant>
      <vt:variant>
        <vt:i4>1794</vt:i4>
      </vt:variant>
      <vt:variant>
        <vt:i4>0</vt:i4>
      </vt:variant>
      <vt:variant>
        <vt:i4>5</vt:i4>
      </vt:variant>
      <vt:variant>
        <vt:lpwstr>https://reportfraud.cfa.nhs.uk/reportFraud</vt:lpwstr>
      </vt:variant>
      <vt:variant>
        <vt:lpwstr/>
      </vt:variant>
      <vt:variant>
        <vt:i4>3145839</vt:i4>
      </vt:variant>
      <vt:variant>
        <vt:i4>1791</vt:i4>
      </vt:variant>
      <vt:variant>
        <vt:i4>0</vt:i4>
      </vt:variant>
      <vt:variant>
        <vt:i4>5</vt:i4>
      </vt:variant>
      <vt:variant>
        <vt:lpwstr>https://reportfraud.cfa.nhs.uk/reportFraud</vt:lpwstr>
      </vt:variant>
      <vt:variant>
        <vt:lpwstr/>
      </vt:variant>
      <vt:variant>
        <vt:i4>655445</vt:i4>
      </vt:variant>
      <vt:variant>
        <vt:i4>1788</vt:i4>
      </vt:variant>
      <vt:variant>
        <vt:i4>0</vt:i4>
      </vt:variant>
      <vt:variant>
        <vt:i4>5</vt:i4>
      </vt:variant>
      <vt:variant>
        <vt:lpwstr>https://www.bma.org.uk/advice/employment/gp-practices/service-provision/patient-registration-for-gp-practices</vt:lpwstr>
      </vt:variant>
      <vt:variant>
        <vt:lpwstr/>
      </vt:variant>
      <vt:variant>
        <vt:i4>2752621</vt:i4>
      </vt:variant>
      <vt:variant>
        <vt:i4>1785</vt:i4>
      </vt:variant>
      <vt:variant>
        <vt:i4>0</vt:i4>
      </vt:variant>
      <vt:variant>
        <vt:i4>5</vt:i4>
      </vt:variant>
      <vt:variant>
        <vt:lpwstr>http://www.homeless.org.uk/facts/our-research/homelessness-and-health-research</vt:lpwstr>
      </vt:variant>
      <vt:variant>
        <vt:lpwstr/>
      </vt:variant>
      <vt:variant>
        <vt:i4>1441818</vt:i4>
      </vt:variant>
      <vt:variant>
        <vt:i4>1782</vt:i4>
      </vt:variant>
      <vt:variant>
        <vt:i4>0</vt:i4>
      </vt:variant>
      <vt:variant>
        <vt:i4>5</vt:i4>
      </vt:variant>
      <vt:variant>
        <vt:lpwstr>https://www.england.nhs.uk/publication/primary-medical-care-policy-and-guidance-manual-managing-closed-lists-annexes/</vt:lpwstr>
      </vt:variant>
      <vt:variant>
        <vt:lpwstr/>
      </vt:variant>
      <vt:variant>
        <vt:i4>1441818</vt:i4>
      </vt:variant>
      <vt:variant>
        <vt:i4>1779</vt:i4>
      </vt:variant>
      <vt:variant>
        <vt:i4>0</vt:i4>
      </vt:variant>
      <vt:variant>
        <vt:i4>5</vt:i4>
      </vt:variant>
      <vt:variant>
        <vt:lpwstr>https://www.england.nhs.uk/publication/primary-medical-care-policy-and-guidance-manual-managing-closed-lists-annexes/</vt:lpwstr>
      </vt:variant>
      <vt:variant>
        <vt:lpwstr/>
      </vt:variant>
      <vt:variant>
        <vt:i4>1441818</vt:i4>
      </vt:variant>
      <vt:variant>
        <vt:i4>1776</vt:i4>
      </vt:variant>
      <vt:variant>
        <vt:i4>0</vt:i4>
      </vt:variant>
      <vt:variant>
        <vt:i4>5</vt:i4>
      </vt:variant>
      <vt:variant>
        <vt:lpwstr>https://www.england.nhs.uk/publication/primary-medical-care-policy-and-guidance-manual-managing-closed-lists-annexes/</vt:lpwstr>
      </vt:variant>
      <vt:variant>
        <vt:lpwstr/>
      </vt:variant>
      <vt:variant>
        <vt:i4>1441818</vt:i4>
      </vt:variant>
      <vt:variant>
        <vt:i4>1773</vt:i4>
      </vt:variant>
      <vt:variant>
        <vt:i4>0</vt:i4>
      </vt:variant>
      <vt:variant>
        <vt:i4>5</vt:i4>
      </vt:variant>
      <vt:variant>
        <vt:lpwstr>https://www.england.nhs.uk/publication/primary-medical-care-policy-and-guidance-manual-managing-closed-lists-annexes/</vt:lpwstr>
      </vt:variant>
      <vt:variant>
        <vt:lpwstr/>
      </vt:variant>
      <vt:variant>
        <vt:i4>1441818</vt:i4>
      </vt:variant>
      <vt:variant>
        <vt:i4>1770</vt:i4>
      </vt:variant>
      <vt:variant>
        <vt:i4>0</vt:i4>
      </vt:variant>
      <vt:variant>
        <vt:i4>5</vt:i4>
      </vt:variant>
      <vt:variant>
        <vt:lpwstr>https://www.england.nhs.uk/publication/primary-medical-care-policy-and-guidance-manual-managing-closed-lists-annexes/</vt:lpwstr>
      </vt:variant>
      <vt:variant>
        <vt:lpwstr/>
      </vt:variant>
      <vt:variant>
        <vt:i4>1441818</vt:i4>
      </vt:variant>
      <vt:variant>
        <vt:i4>1767</vt:i4>
      </vt:variant>
      <vt:variant>
        <vt:i4>0</vt:i4>
      </vt:variant>
      <vt:variant>
        <vt:i4>5</vt:i4>
      </vt:variant>
      <vt:variant>
        <vt:lpwstr>https://www.england.nhs.uk/publication/primary-medical-care-policy-and-guidance-manual-managing-closed-lists-annexes/</vt:lpwstr>
      </vt:variant>
      <vt:variant>
        <vt:lpwstr/>
      </vt:variant>
      <vt:variant>
        <vt:i4>1441818</vt:i4>
      </vt:variant>
      <vt:variant>
        <vt:i4>1764</vt:i4>
      </vt:variant>
      <vt:variant>
        <vt:i4>0</vt:i4>
      </vt:variant>
      <vt:variant>
        <vt:i4>5</vt:i4>
      </vt:variant>
      <vt:variant>
        <vt:lpwstr>https://www.england.nhs.uk/publication/primary-medical-care-policy-and-guidance-manual-managing-closed-lists-annexes/</vt:lpwstr>
      </vt:variant>
      <vt:variant>
        <vt:lpwstr/>
      </vt:variant>
      <vt:variant>
        <vt:i4>1441818</vt:i4>
      </vt:variant>
      <vt:variant>
        <vt:i4>1761</vt:i4>
      </vt:variant>
      <vt:variant>
        <vt:i4>0</vt:i4>
      </vt:variant>
      <vt:variant>
        <vt:i4>5</vt:i4>
      </vt:variant>
      <vt:variant>
        <vt:lpwstr>https://www.england.nhs.uk/publication/primary-medical-care-policy-and-guidance-manual-managing-closed-lists-annexes/</vt:lpwstr>
      </vt:variant>
      <vt:variant>
        <vt:lpwstr/>
      </vt:variant>
      <vt:variant>
        <vt:i4>1441818</vt:i4>
      </vt:variant>
      <vt:variant>
        <vt:i4>1758</vt:i4>
      </vt:variant>
      <vt:variant>
        <vt:i4>0</vt:i4>
      </vt:variant>
      <vt:variant>
        <vt:i4>5</vt:i4>
      </vt:variant>
      <vt:variant>
        <vt:lpwstr>https://www.england.nhs.uk/publication/primary-medical-care-policy-and-guidance-manual-managing-closed-lists-annexes/</vt:lpwstr>
      </vt:variant>
      <vt:variant>
        <vt:lpwstr/>
      </vt:variant>
      <vt:variant>
        <vt:i4>1441818</vt:i4>
      </vt:variant>
      <vt:variant>
        <vt:i4>1755</vt:i4>
      </vt:variant>
      <vt:variant>
        <vt:i4>0</vt:i4>
      </vt:variant>
      <vt:variant>
        <vt:i4>5</vt:i4>
      </vt:variant>
      <vt:variant>
        <vt:lpwstr>https://www.england.nhs.uk/publication/primary-medical-care-policy-and-guidance-manual-managing-closed-lists-annexes/</vt:lpwstr>
      </vt:variant>
      <vt:variant>
        <vt:lpwstr/>
      </vt:variant>
      <vt:variant>
        <vt:i4>6946852</vt:i4>
      </vt:variant>
      <vt:variant>
        <vt:i4>1752</vt:i4>
      </vt:variant>
      <vt:variant>
        <vt:i4>0</vt:i4>
      </vt:variant>
      <vt:variant>
        <vt:i4>5</vt:i4>
      </vt:variant>
      <vt:variant>
        <vt:lpwstr>https://www.digital.nhs.uk/gp-data-hub</vt:lpwstr>
      </vt:variant>
      <vt:variant>
        <vt:lpwstr/>
      </vt:variant>
      <vt:variant>
        <vt:i4>6291492</vt:i4>
      </vt:variant>
      <vt:variant>
        <vt:i4>1749</vt:i4>
      </vt:variant>
      <vt:variant>
        <vt:i4>0</vt:i4>
      </vt:variant>
      <vt:variant>
        <vt:i4>5</vt:i4>
      </vt:variant>
      <vt:variant>
        <vt:lpwstr>http://content.digital.nhs.uk/gppatientsregistered</vt:lpwstr>
      </vt:variant>
      <vt:variant>
        <vt:lpwstr/>
      </vt:variant>
      <vt:variant>
        <vt:i4>3801207</vt:i4>
      </vt:variant>
      <vt:variant>
        <vt:i4>1746</vt:i4>
      </vt:variant>
      <vt:variant>
        <vt:i4>0</vt:i4>
      </vt:variant>
      <vt:variant>
        <vt:i4>5</vt:i4>
      </vt:variant>
      <vt:variant>
        <vt:lpwstr>https://www.ons.gov.uk/peoplepopulationandcommunity/populationandmigration/populationestimates/datasets/lowersuperoutputareamidyearpopulationestimates</vt:lpwstr>
      </vt:variant>
      <vt:variant>
        <vt:lpwstr/>
      </vt:variant>
      <vt:variant>
        <vt:i4>3145824</vt:i4>
      </vt:variant>
      <vt:variant>
        <vt:i4>1743</vt:i4>
      </vt:variant>
      <vt:variant>
        <vt:i4>0</vt:i4>
      </vt:variant>
      <vt:variant>
        <vt:i4>5</vt:i4>
      </vt:variant>
      <vt:variant>
        <vt:lpwstr>https://www.ons.gov.uk/peoplepopulationandcommunity/populationandmigration/populationestimates/datasets/middlesuperoutputareamidyearpopulationestimates</vt:lpwstr>
      </vt:variant>
      <vt:variant>
        <vt:lpwstr/>
      </vt:variant>
      <vt:variant>
        <vt:i4>5111828</vt:i4>
      </vt:variant>
      <vt:variant>
        <vt:i4>1740</vt:i4>
      </vt:variant>
      <vt:variant>
        <vt:i4>0</vt:i4>
      </vt:variant>
      <vt:variant>
        <vt:i4>5</vt:i4>
      </vt:variant>
      <vt:variant>
        <vt:lpwstr>https://www.ons.gov.uk/peoplepopulationandcommunity/populationandmigration/populationestimates/datasets/clinicalcommissioninggroupmidyearpopulationestimates</vt:lpwstr>
      </vt:variant>
      <vt:variant>
        <vt:lpwstr/>
      </vt:variant>
      <vt:variant>
        <vt:i4>458764</vt:i4>
      </vt:variant>
      <vt:variant>
        <vt:i4>1737</vt:i4>
      </vt:variant>
      <vt:variant>
        <vt:i4>0</vt:i4>
      </vt:variant>
      <vt:variant>
        <vt:i4>5</vt:i4>
      </vt:variant>
      <vt:variant>
        <vt:lpwstr>https://www.england.nhs.uk/publication/primary-medical-care-policy-and-guidance-manual-annex-5-standard-monthly-return-pro-forma/</vt:lpwstr>
      </vt:variant>
      <vt:variant>
        <vt:lpwstr/>
      </vt:variant>
      <vt:variant>
        <vt:i4>5242951</vt:i4>
      </vt:variant>
      <vt:variant>
        <vt:i4>1734</vt:i4>
      </vt:variant>
      <vt:variant>
        <vt:i4>0</vt:i4>
      </vt:variant>
      <vt:variant>
        <vt:i4>5</vt:i4>
      </vt:variant>
      <vt:variant>
        <vt:lpwstr>https://www.england.nhs.uk/publication/pgm-annex-4-standard-envelope-content/</vt:lpwstr>
      </vt:variant>
      <vt:variant>
        <vt:lpwstr/>
      </vt:variant>
      <vt:variant>
        <vt:i4>1245265</vt:i4>
      </vt:variant>
      <vt:variant>
        <vt:i4>1731</vt:i4>
      </vt:variant>
      <vt:variant>
        <vt:i4>0</vt:i4>
      </vt:variant>
      <vt:variant>
        <vt:i4>5</vt:i4>
      </vt:variant>
      <vt:variant>
        <vt:lpwstr>https://www.england.nhs.uk/publication/pgm-annex-3-sample-letter-to-patients/</vt:lpwstr>
      </vt:variant>
      <vt:variant>
        <vt:lpwstr/>
      </vt:variant>
      <vt:variant>
        <vt:i4>2424949</vt:i4>
      </vt:variant>
      <vt:variant>
        <vt:i4>1728</vt:i4>
      </vt:variant>
      <vt:variant>
        <vt:i4>0</vt:i4>
      </vt:variant>
      <vt:variant>
        <vt:i4>5</vt:i4>
      </vt:variant>
      <vt:variant>
        <vt:lpwstr>https://www.england.nhs.uk/publication/pgm-annex-2-stage-2-of-a-list-maintenance-programme/</vt:lpwstr>
      </vt:variant>
      <vt:variant>
        <vt:lpwstr/>
      </vt:variant>
      <vt:variant>
        <vt:i4>2424949</vt:i4>
      </vt:variant>
      <vt:variant>
        <vt:i4>1725</vt:i4>
      </vt:variant>
      <vt:variant>
        <vt:i4>0</vt:i4>
      </vt:variant>
      <vt:variant>
        <vt:i4>5</vt:i4>
      </vt:variant>
      <vt:variant>
        <vt:lpwstr>https://www.england.nhs.uk/publication/pgm-annex-1-stage-1-of-a-list-maintenance-programme/</vt:lpwstr>
      </vt:variant>
      <vt:variant>
        <vt:lpwstr/>
      </vt:variant>
      <vt:variant>
        <vt:i4>4522012</vt:i4>
      </vt:variant>
      <vt:variant>
        <vt:i4>1722</vt:i4>
      </vt:variant>
      <vt:variant>
        <vt:i4>0</vt:i4>
      </vt:variant>
      <vt:variant>
        <vt:i4>5</vt:i4>
      </vt:variant>
      <vt:variant>
        <vt:lpwstr>https://www.england.nhs.uk/ourwork/patients/accessibleinfo-2/</vt:lpwstr>
      </vt:variant>
      <vt:variant>
        <vt:lpwstr/>
      </vt:variant>
      <vt:variant>
        <vt:i4>4653076</vt:i4>
      </vt:variant>
      <vt:variant>
        <vt:i4>1719</vt:i4>
      </vt:variant>
      <vt:variant>
        <vt:i4>0</vt:i4>
      </vt:variant>
      <vt:variant>
        <vt:i4>5</vt:i4>
      </vt:variant>
      <vt:variant>
        <vt:lpwstr>https://www.england.nhs.uk/publication/primary-medical-care-policy-and-guidance-manual-managing-patient-assignments-annexes/</vt:lpwstr>
      </vt:variant>
      <vt:variant>
        <vt:lpwstr/>
      </vt:variant>
      <vt:variant>
        <vt:i4>4653076</vt:i4>
      </vt:variant>
      <vt:variant>
        <vt:i4>1716</vt:i4>
      </vt:variant>
      <vt:variant>
        <vt:i4>0</vt:i4>
      </vt:variant>
      <vt:variant>
        <vt:i4>5</vt:i4>
      </vt:variant>
      <vt:variant>
        <vt:lpwstr>https://www.england.nhs.uk/publication/primary-medical-care-policy-and-guidance-manual-managing-patient-assignments-annexes/</vt:lpwstr>
      </vt:variant>
      <vt:variant>
        <vt:lpwstr/>
      </vt:variant>
      <vt:variant>
        <vt:i4>6225991</vt:i4>
      </vt:variant>
      <vt:variant>
        <vt:i4>1713</vt:i4>
      </vt:variant>
      <vt:variant>
        <vt:i4>0</vt:i4>
      </vt:variant>
      <vt:variant>
        <vt:i4>5</vt:i4>
      </vt:variant>
      <vt:variant>
        <vt:lpwstr>https://www.england.nhs.uk/publication/primary-medical-care-policy-and-guidance-manual-practice-visit-best-practice-annexes/</vt:lpwstr>
      </vt:variant>
      <vt:variant>
        <vt:lpwstr/>
      </vt:variant>
      <vt:variant>
        <vt:i4>6225991</vt:i4>
      </vt:variant>
      <vt:variant>
        <vt:i4>1710</vt:i4>
      </vt:variant>
      <vt:variant>
        <vt:i4>0</vt:i4>
      </vt:variant>
      <vt:variant>
        <vt:i4>5</vt:i4>
      </vt:variant>
      <vt:variant>
        <vt:lpwstr>https://www.england.nhs.uk/publication/primary-medical-care-policy-and-guidance-manual-practice-visit-best-practice-annexes/</vt:lpwstr>
      </vt:variant>
      <vt:variant>
        <vt:lpwstr/>
      </vt:variant>
      <vt:variant>
        <vt:i4>6225991</vt:i4>
      </vt:variant>
      <vt:variant>
        <vt:i4>1707</vt:i4>
      </vt:variant>
      <vt:variant>
        <vt:i4>0</vt:i4>
      </vt:variant>
      <vt:variant>
        <vt:i4>5</vt:i4>
      </vt:variant>
      <vt:variant>
        <vt:lpwstr>https://www.england.nhs.uk/publication/primary-medical-care-policy-and-guidance-manual-practice-visit-best-practice-annexes/</vt:lpwstr>
      </vt:variant>
      <vt:variant>
        <vt:lpwstr/>
      </vt:variant>
      <vt:variant>
        <vt:i4>6225991</vt:i4>
      </vt:variant>
      <vt:variant>
        <vt:i4>1704</vt:i4>
      </vt:variant>
      <vt:variant>
        <vt:i4>0</vt:i4>
      </vt:variant>
      <vt:variant>
        <vt:i4>5</vt:i4>
      </vt:variant>
      <vt:variant>
        <vt:lpwstr>https://www.england.nhs.uk/publication/primary-medical-care-policy-and-guidance-manual-practice-visit-best-practice-annexes/</vt:lpwstr>
      </vt:variant>
      <vt:variant>
        <vt:lpwstr/>
      </vt:variant>
      <vt:variant>
        <vt:i4>1245255</vt:i4>
      </vt:variant>
      <vt:variant>
        <vt:i4>1701</vt:i4>
      </vt:variant>
      <vt:variant>
        <vt:i4>0</vt:i4>
      </vt:variant>
      <vt:variant>
        <vt:i4>5</vt:i4>
      </vt:variant>
      <vt:variant>
        <vt:lpwstr>http://www.primarycareindicators.nhs.uk/</vt:lpwstr>
      </vt:variant>
      <vt:variant>
        <vt:lpwstr/>
      </vt:variant>
      <vt:variant>
        <vt:i4>524309</vt:i4>
      </vt:variant>
      <vt:variant>
        <vt:i4>1698</vt:i4>
      </vt:variant>
      <vt:variant>
        <vt:i4>0</vt:i4>
      </vt:variant>
      <vt:variant>
        <vt:i4>5</vt:i4>
      </vt:variant>
      <vt:variant>
        <vt:lpwstr>https://digital.nhs.uk/data-and-information/publications/statistical/appointments-in-general-practice</vt:lpwstr>
      </vt:variant>
      <vt:variant>
        <vt:lpwstr/>
      </vt:variant>
      <vt:variant>
        <vt:i4>3473523</vt:i4>
      </vt:variant>
      <vt:variant>
        <vt:i4>1695</vt:i4>
      </vt:variant>
      <vt:variant>
        <vt:i4>0</vt:i4>
      </vt:variant>
      <vt:variant>
        <vt:i4>5</vt:i4>
      </vt:variant>
      <vt:variant>
        <vt:lpwstr>https://digital.nhs.uk/services/general-practice-gp-collections/service-information/gp-workload-collection</vt:lpwstr>
      </vt:variant>
      <vt:variant>
        <vt:lpwstr/>
      </vt:variant>
      <vt:variant>
        <vt:i4>2949220</vt:i4>
      </vt:variant>
      <vt:variant>
        <vt:i4>1692</vt:i4>
      </vt:variant>
      <vt:variant>
        <vt:i4>0</vt:i4>
      </vt:variant>
      <vt:variant>
        <vt:i4>5</vt:i4>
      </vt:variant>
      <vt:variant>
        <vt:lpwstr>https://www.england.nhs.uk/medicines/medicines-optimisation/dashboard/</vt:lpwstr>
      </vt:variant>
      <vt:variant>
        <vt:lpwstr/>
      </vt:variant>
      <vt:variant>
        <vt:i4>3342388</vt:i4>
      </vt:variant>
      <vt:variant>
        <vt:i4>1689</vt:i4>
      </vt:variant>
      <vt:variant>
        <vt:i4>0</vt:i4>
      </vt:variant>
      <vt:variant>
        <vt:i4>5</vt:i4>
      </vt:variant>
      <vt:variant>
        <vt:lpwstr>https://www.england.nhs.uk/rightcare/intel/</vt:lpwstr>
      </vt:variant>
      <vt:variant>
        <vt:lpwstr/>
      </vt:variant>
      <vt:variant>
        <vt:i4>5374040</vt:i4>
      </vt:variant>
      <vt:variant>
        <vt:i4>1686</vt:i4>
      </vt:variant>
      <vt:variant>
        <vt:i4>0</vt:i4>
      </vt:variant>
      <vt:variant>
        <vt:i4>5</vt:i4>
      </vt:variant>
      <vt:variant>
        <vt:lpwstr>https://gp-patient.co.uk/</vt:lpwstr>
      </vt:variant>
      <vt:variant>
        <vt:lpwstr/>
      </vt:variant>
      <vt:variant>
        <vt:i4>7209076</vt:i4>
      </vt:variant>
      <vt:variant>
        <vt:i4>1683</vt:i4>
      </vt:variant>
      <vt:variant>
        <vt:i4>0</vt:i4>
      </vt:variant>
      <vt:variant>
        <vt:i4>5</vt:i4>
      </vt:variant>
      <vt:variant>
        <vt:lpwstr>https://www.england.nhs.uk/ourwork/pe/fft/friends-and-family-test-data/</vt:lpwstr>
      </vt:variant>
      <vt:variant>
        <vt:lpwstr/>
      </vt:variant>
      <vt:variant>
        <vt:i4>8192125</vt:i4>
      </vt:variant>
      <vt:variant>
        <vt:i4>1680</vt:i4>
      </vt:variant>
      <vt:variant>
        <vt:i4>0</vt:i4>
      </vt:variant>
      <vt:variant>
        <vt:i4>5</vt:i4>
      </vt:variant>
      <vt:variant>
        <vt:lpwstr>http://content.digital.nhs.uk/datacollections/ko41b</vt:lpwstr>
      </vt:variant>
      <vt:variant>
        <vt:lpwstr/>
      </vt:variant>
      <vt:variant>
        <vt:i4>2031691</vt:i4>
      </vt:variant>
      <vt:variant>
        <vt:i4>1677</vt:i4>
      </vt:variant>
      <vt:variant>
        <vt:i4>0</vt:i4>
      </vt:variant>
      <vt:variant>
        <vt:i4>5</vt:i4>
      </vt:variant>
      <vt:variant>
        <vt:lpwstr>http://fingertips.phe.org.uk/profile/general-practice</vt:lpwstr>
      </vt:variant>
      <vt:variant>
        <vt:lpwstr/>
      </vt:variant>
      <vt:variant>
        <vt:i4>1245255</vt:i4>
      </vt:variant>
      <vt:variant>
        <vt:i4>1674</vt:i4>
      </vt:variant>
      <vt:variant>
        <vt:i4>0</vt:i4>
      </vt:variant>
      <vt:variant>
        <vt:i4>5</vt:i4>
      </vt:variant>
      <vt:variant>
        <vt:lpwstr>http://www.primarycareindicators.nhs.uk/</vt:lpwstr>
      </vt:variant>
      <vt:variant>
        <vt:lpwstr/>
      </vt:variant>
      <vt:variant>
        <vt:i4>6553719</vt:i4>
      </vt:variant>
      <vt:variant>
        <vt:i4>1671</vt:i4>
      </vt:variant>
      <vt:variant>
        <vt:i4>0</vt:i4>
      </vt:variant>
      <vt:variant>
        <vt:i4>5</vt:i4>
      </vt:variant>
      <vt:variant>
        <vt:lpwstr>http://www.cqc.org.uk/guidance-providers/gps</vt:lpwstr>
      </vt:variant>
      <vt:variant>
        <vt:lpwstr>care-standards</vt:lpwstr>
      </vt:variant>
      <vt:variant>
        <vt:i4>5439571</vt:i4>
      </vt:variant>
      <vt:variant>
        <vt:i4>1668</vt:i4>
      </vt:variant>
      <vt:variant>
        <vt:i4>0</vt:i4>
      </vt:variant>
      <vt:variant>
        <vt:i4>5</vt:i4>
      </vt:variant>
      <vt:variant>
        <vt:lpwstr>http://www.cqc.org.uk/publications/major-report/state-care-general-practice-2014-2017</vt:lpwstr>
      </vt:variant>
      <vt:variant>
        <vt:lpwstr/>
      </vt:variant>
      <vt:variant>
        <vt:i4>1703965</vt:i4>
      </vt:variant>
      <vt:variant>
        <vt:i4>1665</vt:i4>
      </vt:variant>
      <vt:variant>
        <vt:i4>0</vt:i4>
      </vt:variant>
      <vt:variant>
        <vt:i4>5</vt:i4>
      </vt:variant>
      <vt:variant>
        <vt:lpwstr>https://pcse.england.nhs.uk/organisations/general-practices/</vt:lpwstr>
      </vt:variant>
      <vt:variant>
        <vt:lpwstr/>
      </vt:variant>
      <vt:variant>
        <vt:i4>1572890</vt:i4>
      </vt:variant>
      <vt:variant>
        <vt:i4>1662</vt:i4>
      </vt:variant>
      <vt:variant>
        <vt:i4>0</vt:i4>
      </vt:variant>
      <vt:variant>
        <vt:i4>5</vt:i4>
      </vt:variant>
      <vt:variant>
        <vt:lpwstr>https://pcse.england.nhs.uk/services/performers-lists/gp-performers-list-for-england/</vt:lpwstr>
      </vt:variant>
      <vt:variant>
        <vt:lpwstr/>
      </vt:variant>
      <vt:variant>
        <vt:i4>5701634</vt:i4>
      </vt:variant>
      <vt:variant>
        <vt:i4>1659</vt:i4>
      </vt:variant>
      <vt:variant>
        <vt:i4>0</vt:i4>
      </vt:variant>
      <vt:variant>
        <vt:i4>5</vt:i4>
      </vt:variant>
      <vt:variant>
        <vt:lpwstr>https://pcse.england.nhs.uk/</vt:lpwstr>
      </vt:variant>
      <vt:variant>
        <vt:lpwstr/>
      </vt:variant>
      <vt:variant>
        <vt:i4>2687095</vt:i4>
      </vt:variant>
      <vt:variant>
        <vt:i4>1656</vt:i4>
      </vt:variant>
      <vt:variant>
        <vt:i4>0</vt:i4>
      </vt:variant>
      <vt:variant>
        <vt:i4>5</vt:i4>
      </vt:variant>
      <vt:variant>
        <vt:lpwstr>https://www.england.nhs.uk/wp-content/uploads/2021/03/B0431-network-contract-des-specification-pcn-requirements-and-entitlements-21-22.pdf</vt:lpwstr>
      </vt:variant>
      <vt:variant>
        <vt:lpwstr/>
      </vt:variant>
      <vt:variant>
        <vt:i4>6684709</vt:i4>
      </vt:variant>
      <vt:variant>
        <vt:i4>1653</vt:i4>
      </vt:variant>
      <vt:variant>
        <vt:i4>0</vt:i4>
      </vt:variant>
      <vt:variant>
        <vt:i4>5</vt:i4>
      </vt:variant>
      <vt:variant>
        <vt:lpwstr>http://www.legislation.gov.uk/uksi/2015/1879/contents/made</vt:lpwstr>
      </vt:variant>
      <vt:variant>
        <vt:lpwstr/>
      </vt:variant>
      <vt:variant>
        <vt:i4>3932259</vt:i4>
      </vt:variant>
      <vt:variant>
        <vt:i4>1650</vt:i4>
      </vt:variant>
      <vt:variant>
        <vt:i4>0</vt:i4>
      </vt:variant>
      <vt:variant>
        <vt:i4>5</vt:i4>
      </vt:variant>
      <vt:variant>
        <vt:lpwstr>https://www.legislation.gov.uk/uksi/2015/1862/contents/made</vt:lpwstr>
      </vt:variant>
      <vt:variant>
        <vt:lpwstr/>
      </vt:variant>
      <vt:variant>
        <vt:i4>2293881</vt:i4>
      </vt:variant>
      <vt:variant>
        <vt:i4>1647</vt:i4>
      </vt:variant>
      <vt:variant>
        <vt:i4>0</vt:i4>
      </vt:variant>
      <vt:variant>
        <vt:i4>5</vt:i4>
      </vt:variant>
      <vt:variant>
        <vt:lpwstr>https://www.cqc.org.uk/sites/default/files/20180108_CQC_NHSE_NHSCC_joint_working_framework.pdf</vt:lpwstr>
      </vt:variant>
      <vt:variant>
        <vt:lpwstr/>
      </vt:variant>
      <vt:variant>
        <vt:i4>8192036</vt:i4>
      </vt:variant>
      <vt:variant>
        <vt:i4>1644</vt:i4>
      </vt:variant>
      <vt:variant>
        <vt:i4>0</vt:i4>
      </vt:variant>
      <vt:variant>
        <vt:i4>5</vt:i4>
      </vt:variant>
      <vt:variant>
        <vt:lpwstr>https://www.england.nhs.uk/wp-content/uploads/2016/04/gp-reduce-dup.pdf</vt:lpwstr>
      </vt:variant>
      <vt:variant>
        <vt:lpwstr/>
      </vt:variant>
      <vt:variant>
        <vt:i4>786527</vt:i4>
      </vt:variant>
      <vt:variant>
        <vt:i4>1641</vt:i4>
      </vt:variant>
      <vt:variant>
        <vt:i4>0</vt:i4>
      </vt:variant>
      <vt:variant>
        <vt:i4>5</vt:i4>
      </vt:variant>
      <vt:variant>
        <vt:lpwstr>https://www.england.nhs.uk/wp-content/uploads/2017/01/annx-e-drft-delgtn-nhse.pdf</vt:lpwstr>
      </vt:variant>
      <vt:variant>
        <vt:lpwstr/>
      </vt:variant>
      <vt:variant>
        <vt:i4>6815845</vt:i4>
      </vt:variant>
      <vt:variant>
        <vt:i4>1638</vt:i4>
      </vt:variant>
      <vt:variant>
        <vt:i4>0</vt:i4>
      </vt:variant>
      <vt:variant>
        <vt:i4>5</vt:i4>
      </vt:variant>
      <vt:variant>
        <vt:lpwstr>https://www.england.nhs.uk/commissioning/wp-content/uploads/sites/12/2016/03/framwrk-public-partcptn-prim-care.pdf</vt:lpwstr>
      </vt:variant>
      <vt:variant>
        <vt:lpwstr/>
      </vt:variant>
      <vt:variant>
        <vt:i4>2818134</vt:i4>
      </vt:variant>
      <vt:variant>
        <vt:i4>1635</vt:i4>
      </vt:variant>
      <vt:variant>
        <vt:i4>0</vt:i4>
      </vt:variant>
      <vt:variant>
        <vt:i4>5</vt:i4>
      </vt:variant>
      <vt:variant>
        <vt:lpwstr>https://www.engage.england.nhs.uk/survey/strengthening-ppp/supporting_documents/ppppolicystatement.pdf-1</vt:lpwstr>
      </vt:variant>
      <vt:variant>
        <vt:lpwstr/>
      </vt:variant>
      <vt:variant>
        <vt:i4>6225994</vt:i4>
      </vt:variant>
      <vt:variant>
        <vt:i4>1632</vt:i4>
      </vt:variant>
      <vt:variant>
        <vt:i4>0</vt:i4>
      </vt:variant>
      <vt:variant>
        <vt:i4>5</vt:i4>
      </vt:variant>
      <vt:variant>
        <vt:lpwstr>https://www.england.nhs.uk/wp-content/uploads/2017/04/ppp-policy.pdf</vt:lpwstr>
      </vt:variant>
      <vt:variant>
        <vt:lpwstr/>
      </vt:variant>
      <vt:variant>
        <vt:i4>1310810</vt:i4>
      </vt:variant>
      <vt:variant>
        <vt:i4>1629</vt:i4>
      </vt:variant>
      <vt:variant>
        <vt:i4>0</vt:i4>
      </vt:variant>
      <vt:variant>
        <vt:i4>5</vt:i4>
      </vt:variant>
      <vt:variant>
        <vt:lpwstr>https://www.england.nhs.uk/about/equality/equality-hub/resources/</vt:lpwstr>
      </vt:variant>
      <vt:variant>
        <vt:lpwstr/>
      </vt:variant>
      <vt:variant>
        <vt:i4>7340136</vt:i4>
      </vt:variant>
      <vt:variant>
        <vt:i4>1626</vt:i4>
      </vt:variant>
      <vt:variant>
        <vt:i4>0</vt:i4>
      </vt:variant>
      <vt:variant>
        <vt:i4>5</vt:i4>
      </vt:variant>
      <vt:variant>
        <vt:lpwstr>https://www.england.nhs.uk/about/equality/equality-hub/</vt:lpwstr>
      </vt:variant>
      <vt:variant>
        <vt:lpwstr/>
      </vt:variant>
      <vt:variant>
        <vt:i4>2162787</vt:i4>
      </vt:variant>
      <vt:variant>
        <vt:i4>1623</vt:i4>
      </vt:variant>
      <vt:variant>
        <vt:i4>0</vt:i4>
      </vt:variant>
      <vt:variant>
        <vt:i4>5</vt:i4>
      </vt:variant>
      <vt:variant>
        <vt:lpwstr>https://www.equalityhumanrights.com/en/advice-and-guidance/public-sector-equality-duty</vt:lpwstr>
      </vt:variant>
      <vt:variant>
        <vt:lpwstr/>
      </vt:variant>
      <vt:variant>
        <vt:i4>3997754</vt:i4>
      </vt:variant>
      <vt:variant>
        <vt:i4>1620</vt:i4>
      </vt:variant>
      <vt:variant>
        <vt:i4>0</vt:i4>
      </vt:variant>
      <vt:variant>
        <vt:i4>5</vt:i4>
      </vt:variant>
      <vt:variant>
        <vt:lpwstr>https://www.equalityhumanrights.com/en</vt:lpwstr>
      </vt:variant>
      <vt:variant>
        <vt:lpwstr/>
      </vt:variant>
      <vt:variant>
        <vt:i4>7340136</vt:i4>
      </vt:variant>
      <vt:variant>
        <vt:i4>1617</vt:i4>
      </vt:variant>
      <vt:variant>
        <vt:i4>0</vt:i4>
      </vt:variant>
      <vt:variant>
        <vt:i4>5</vt:i4>
      </vt:variant>
      <vt:variant>
        <vt:lpwstr>https://www.england.nhs.uk/about/equality/equality-hub/</vt:lpwstr>
      </vt:variant>
      <vt:variant>
        <vt:lpwstr/>
      </vt:variant>
      <vt:variant>
        <vt:i4>7340136</vt:i4>
      </vt:variant>
      <vt:variant>
        <vt:i4>1614</vt:i4>
      </vt:variant>
      <vt:variant>
        <vt:i4>0</vt:i4>
      </vt:variant>
      <vt:variant>
        <vt:i4>5</vt:i4>
      </vt:variant>
      <vt:variant>
        <vt:lpwstr>https://www.england.nhs.uk/about/equality/equality-hub/</vt:lpwstr>
      </vt:variant>
      <vt:variant>
        <vt:lpwstr/>
      </vt:variant>
      <vt:variant>
        <vt:i4>4522076</vt:i4>
      </vt:variant>
      <vt:variant>
        <vt:i4>1611</vt:i4>
      </vt:variant>
      <vt:variant>
        <vt:i4>0</vt:i4>
      </vt:variant>
      <vt:variant>
        <vt:i4>5</vt:i4>
      </vt:variant>
      <vt:variant>
        <vt:lpwstr>https://www.england.nhs.uk/gp/investment/gp-contract/</vt:lpwstr>
      </vt:variant>
      <vt:variant>
        <vt:lpwstr/>
      </vt:variant>
      <vt:variant>
        <vt:i4>2687095</vt:i4>
      </vt:variant>
      <vt:variant>
        <vt:i4>1608</vt:i4>
      </vt:variant>
      <vt:variant>
        <vt:i4>0</vt:i4>
      </vt:variant>
      <vt:variant>
        <vt:i4>5</vt:i4>
      </vt:variant>
      <vt:variant>
        <vt:lpwstr>https://www.england.nhs.uk/wp-content/uploads/2021/03/B0431-network-contract-des-specification-pcn-requirements-and-entitlements-21-22.pdf</vt:lpwstr>
      </vt:variant>
      <vt:variant>
        <vt:lpwstr/>
      </vt:variant>
      <vt:variant>
        <vt:i4>5439506</vt:i4>
      </vt:variant>
      <vt:variant>
        <vt:i4>1605</vt:i4>
      </vt:variant>
      <vt:variant>
        <vt:i4>0</vt:i4>
      </vt:variant>
      <vt:variant>
        <vt:i4>5</vt:i4>
      </vt:variant>
      <vt:variant>
        <vt:lpwstr>https://www.england.nhs.uk/publication/?filter-keyword=network&amp;filter-category=gp&amp;filter-publication=case-study&amp;filter-date-from=&amp;filter-date-to=</vt:lpwstr>
      </vt:variant>
      <vt:variant>
        <vt:lpwstr/>
      </vt:variant>
      <vt:variant>
        <vt:i4>3866743</vt:i4>
      </vt:variant>
      <vt:variant>
        <vt:i4>1602</vt:i4>
      </vt:variant>
      <vt:variant>
        <vt:i4>0</vt:i4>
      </vt:variant>
      <vt:variant>
        <vt:i4>5</vt:i4>
      </vt:variant>
      <vt:variant>
        <vt:lpwstr>https://www.england.nhs.uk/wp-content/uploads/2019/01/gp-contract-2019.pdf</vt:lpwstr>
      </vt:variant>
      <vt:variant>
        <vt:lpwstr/>
      </vt:variant>
      <vt:variant>
        <vt:i4>4718592</vt:i4>
      </vt:variant>
      <vt:variant>
        <vt:i4>1599</vt:i4>
      </vt:variant>
      <vt:variant>
        <vt:i4>0</vt:i4>
      </vt:variant>
      <vt:variant>
        <vt:i4>5</vt:i4>
      </vt:variant>
      <vt:variant>
        <vt:lpwstr>https://www.longtermplan.nhs.uk/wp-content/uploads/2019/08/nhs-long-term-plan-version-1.2.pdf</vt:lpwstr>
      </vt:variant>
      <vt:variant>
        <vt:lpwstr/>
      </vt:variant>
      <vt:variant>
        <vt:i4>393245</vt:i4>
      </vt:variant>
      <vt:variant>
        <vt:i4>1596</vt:i4>
      </vt:variant>
      <vt:variant>
        <vt:i4>0</vt:i4>
      </vt:variant>
      <vt:variant>
        <vt:i4>5</vt:i4>
      </vt:variant>
      <vt:variant>
        <vt:lpwstr>https://www.england.nhs.uk/deliver-forward-view/</vt:lpwstr>
      </vt:variant>
      <vt:variant>
        <vt:lpwstr/>
      </vt:variant>
      <vt:variant>
        <vt:i4>5898317</vt:i4>
      </vt:variant>
      <vt:variant>
        <vt:i4>1593</vt:i4>
      </vt:variant>
      <vt:variant>
        <vt:i4>0</vt:i4>
      </vt:variant>
      <vt:variant>
        <vt:i4>5</vt:i4>
      </vt:variant>
      <vt:variant>
        <vt:lpwstr>https://www.gov.uk/guidance/phe-data-and-analysis-tools</vt:lpwstr>
      </vt:variant>
      <vt:variant>
        <vt:lpwstr>health-inequalities</vt:lpwstr>
      </vt:variant>
      <vt:variant>
        <vt:i4>7340077</vt:i4>
      </vt:variant>
      <vt:variant>
        <vt:i4>1590</vt:i4>
      </vt:variant>
      <vt:variant>
        <vt:i4>0</vt:i4>
      </vt:variant>
      <vt:variant>
        <vt:i4>5</vt:i4>
      </vt:variant>
      <vt:variant>
        <vt:lpwstr>https://www.england.nhs.uk/wp-content/uploads/2015/12/hlth-inqual-guid-comms-dec15.pdf</vt:lpwstr>
      </vt:variant>
      <vt:variant>
        <vt:lpwstr/>
      </vt:variant>
      <vt:variant>
        <vt:i4>1245270</vt:i4>
      </vt:variant>
      <vt:variant>
        <vt:i4>1587</vt:i4>
      </vt:variant>
      <vt:variant>
        <vt:i4>0</vt:i4>
      </vt:variant>
      <vt:variant>
        <vt:i4>5</vt:i4>
      </vt:variant>
      <vt:variant>
        <vt:lpwstr>https://www.england.nhs.uk/publication/nhs-operational-planning-and-contracting-guidance-2020-21/</vt:lpwstr>
      </vt:variant>
      <vt:variant>
        <vt:lpwstr/>
      </vt:variant>
      <vt:variant>
        <vt:i4>6160474</vt:i4>
      </vt:variant>
      <vt:variant>
        <vt:i4>1584</vt:i4>
      </vt:variant>
      <vt:variant>
        <vt:i4>0</vt:i4>
      </vt:variant>
      <vt:variant>
        <vt:i4>5</vt:i4>
      </vt:variant>
      <vt:variant>
        <vt:lpwstr>https://www.england.nhs.uk/participation/nhs/</vt:lpwstr>
      </vt:variant>
      <vt:variant>
        <vt:lpwstr/>
      </vt:variant>
      <vt:variant>
        <vt:i4>3604602</vt:i4>
      </vt:variant>
      <vt:variant>
        <vt:i4>1581</vt:i4>
      </vt:variant>
      <vt:variant>
        <vt:i4>0</vt:i4>
      </vt:variant>
      <vt:variant>
        <vt:i4>5</vt:i4>
      </vt:variant>
      <vt:variant>
        <vt:lpwstr>http://www.nhsconfed.org/acronym-buster</vt:lpwstr>
      </vt:variant>
      <vt:variant>
        <vt:lpwstr/>
      </vt:variant>
      <vt:variant>
        <vt:i4>7012415</vt:i4>
      </vt:variant>
      <vt:variant>
        <vt:i4>1578</vt:i4>
      </vt:variant>
      <vt:variant>
        <vt:i4>0</vt:i4>
      </vt:variant>
      <vt:variant>
        <vt:i4>5</vt:i4>
      </vt:variant>
      <vt:variant>
        <vt:lpwstr>http://www.england.nhs.uk/</vt:lpwstr>
      </vt:variant>
      <vt:variant>
        <vt:lpwstr/>
      </vt:variant>
      <vt:variant>
        <vt:i4>3276840</vt:i4>
      </vt:variant>
      <vt:variant>
        <vt:i4>1575</vt:i4>
      </vt:variant>
      <vt:variant>
        <vt:i4>0</vt:i4>
      </vt:variant>
      <vt:variant>
        <vt:i4>5</vt:i4>
      </vt:variant>
      <vt:variant>
        <vt:lpwstr>https://portal.elfh.org.uk/Component/Details/647056</vt:lpwstr>
      </vt:variant>
      <vt:variant>
        <vt:lpwstr/>
      </vt:variant>
      <vt:variant>
        <vt:i4>1507344</vt:i4>
      </vt:variant>
      <vt:variant>
        <vt:i4>1572</vt:i4>
      </vt:variant>
      <vt:variant>
        <vt:i4>0</vt:i4>
      </vt:variant>
      <vt:variant>
        <vt:i4>5</vt:i4>
      </vt:variant>
      <vt:variant>
        <vt:lpwstr>https://portal.e-lfh.org.uk/Component/Details/647041</vt:lpwstr>
      </vt:variant>
      <vt:variant>
        <vt:lpwstr/>
      </vt:variant>
      <vt:variant>
        <vt:i4>3407912</vt:i4>
      </vt:variant>
      <vt:variant>
        <vt:i4>1569</vt:i4>
      </vt:variant>
      <vt:variant>
        <vt:i4>0</vt:i4>
      </vt:variant>
      <vt:variant>
        <vt:i4>5</vt:i4>
      </vt:variant>
      <vt:variant>
        <vt:lpwstr>https://portal.elfh.org.uk/Component/Details/647038</vt:lpwstr>
      </vt:variant>
      <vt:variant>
        <vt:lpwstr/>
      </vt:variant>
      <vt:variant>
        <vt:i4>1245207</vt:i4>
      </vt:variant>
      <vt:variant>
        <vt:i4>1566</vt:i4>
      </vt:variant>
      <vt:variant>
        <vt:i4>0</vt:i4>
      </vt:variant>
      <vt:variant>
        <vt:i4>5</vt:i4>
      </vt:variant>
      <vt:variant>
        <vt:lpwstr>https://portal.e-lfh.org.uk/Component/Details/647035</vt:lpwstr>
      </vt:variant>
      <vt:variant>
        <vt:lpwstr/>
      </vt:variant>
      <vt:variant>
        <vt:i4>1769495</vt:i4>
      </vt:variant>
      <vt:variant>
        <vt:i4>1563</vt:i4>
      </vt:variant>
      <vt:variant>
        <vt:i4>0</vt:i4>
      </vt:variant>
      <vt:variant>
        <vt:i4>5</vt:i4>
      </vt:variant>
      <vt:variant>
        <vt:lpwstr>https://portal.e-lfh.org.uk/Component/Details/646429</vt:lpwstr>
      </vt:variant>
      <vt:variant>
        <vt:lpwstr/>
      </vt:variant>
      <vt:variant>
        <vt:i4>1376317</vt:i4>
      </vt:variant>
      <vt:variant>
        <vt:i4>1556</vt:i4>
      </vt:variant>
      <vt:variant>
        <vt:i4>0</vt:i4>
      </vt:variant>
      <vt:variant>
        <vt:i4>5</vt:i4>
      </vt:variant>
      <vt:variant>
        <vt:lpwstr/>
      </vt:variant>
      <vt:variant>
        <vt:lpwstr>_Toc95743605</vt:lpwstr>
      </vt:variant>
      <vt:variant>
        <vt:i4>1310781</vt:i4>
      </vt:variant>
      <vt:variant>
        <vt:i4>1550</vt:i4>
      </vt:variant>
      <vt:variant>
        <vt:i4>0</vt:i4>
      </vt:variant>
      <vt:variant>
        <vt:i4>5</vt:i4>
      </vt:variant>
      <vt:variant>
        <vt:lpwstr/>
      </vt:variant>
      <vt:variant>
        <vt:lpwstr>_Toc95743604</vt:lpwstr>
      </vt:variant>
      <vt:variant>
        <vt:i4>1245245</vt:i4>
      </vt:variant>
      <vt:variant>
        <vt:i4>1544</vt:i4>
      </vt:variant>
      <vt:variant>
        <vt:i4>0</vt:i4>
      </vt:variant>
      <vt:variant>
        <vt:i4>5</vt:i4>
      </vt:variant>
      <vt:variant>
        <vt:lpwstr/>
      </vt:variant>
      <vt:variant>
        <vt:lpwstr>_Toc95743603</vt:lpwstr>
      </vt:variant>
      <vt:variant>
        <vt:i4>1179709</vt:i4>
      </vt:variant>
      <vt:variant>
        <vt:i4>1538</vt:i4>
      </vt:variant>
      <vt:variant>
        <vt:i4>0</vt:i4>
      </vt:variant>
      <vt:variant>
        <vt:i4>5</vt:i4>
      </vt:variant>
      <vt:variant>
        <vt:lpwstr/>
      </vt:variant>
      <vt:variant>
        <vt:lpwstr>_Toc95743602</vt:lpwstr>
      </vt:variant>
      <vt:variant>
        <vt:i4>1114173</vt:i4>
      </vt:variant>
      <vt:variant>
        <vt:i4>1532</vt:i4>
      </vt:variant>
      <vt:variant>
        <vt:i4>0</vt:i4>
      </vt:variant>
      <vt:variant>
        <vt:i4>5</vt:i4>
      </vt:variant>
      <vt:variant>
        <vt:lpwstr/>
      </vt:variant>
      <vt:variant>
        <vt:lpwstr>_Toc95743601</vt:lpwstr>
      </vt:variant>
      <vt:variant>
        <vt:i4>1048637</vt:i4>
      </vt:variant>
      <vt:variant>
        <vt:i4>1526</vt:i4>
      </vt:variant>
      <vt:variant>
        <vt:i4>0</vt:i4>
      </vt:variant>
      <vt:variant>
        <vt:i4>5</vt:i4>
      </vt:variant>
      <vt:variant>
        <vt:lpwstr/>
      </vt:variant>
      <vt:variant>
        <vt:lpwstr>_Toc95743600</vt:lpwstr>
      </vt:variant>
      <vt:variant>
        <vt:i4>1703988</vt:i4>
      </vt:variant>
      <vt:variant>
        <vt:i4>1520</vt:i4>
      </vt:variant>
      <vt:variant>
        <vt:i4>0</vt:i4>
      </vt:variant>
      <vt:variant>
        <vt:i4>5</vt:i4>
      </vt:variant>
      <vt:variant>
        <vt:lpwstr/>
      </vt:variant>
      <vt:variant>
        <vt:lpwstr>_Toc95743599</vt:lpwstr>
      </vt:variant>
      <vt:variant>
        <vt:i4>1769524</vt:i4>
      </vt:variant>
      <vt:variant>
        <vt:i4>1514</vt:i4>
      </vt:variant>
      <vt:variant>
        <vt:i4>0</vt:i4>
      </vt:variant>
      <vt:variant>
        <vt:i4>5</vt:i4>
      </vt:variant>
      <vt:variant>
        <vt:lpwstr/>
      </vt:variant>
      <vt:variant>
        <vt:lpwstr>_Toc95743598</vt:lpwstr>
      </vt:variant>
      <vt:variant>
        <vt:i4>1310772</vt:i4>
      </vt:variant>
      <vt:variant>
        <vt:i4>1508</vt:i4>
      </vt:variant>
      <vt:variant>
        <vt:i4>0</vt:i4>
      </vt:variant>
      <vt:variant>
        <vt:i4>5</vt:i4>
      </vt:variant>
      <vt:variant>
        <vt:lpwstr/>
      </vt:variant>
      <vt:variant>
        <vt:lpwstr>_Toc95743597</vt:lpwstr>
      </vt:variant>
      <vt:variant>
        <vt:i4>1376308</vt:i4>
      </vt:variant>
      <vt:variant>
        <vt:i4>1502</vt:i4>
      </vt:variant>
      <vt:variant>
        <vt:i4>0</vt:i4>
      </vt:variant>
      <vt:variant>
        <vt:i4>5</vt:i4>
      </vt:variant>
      <vt:variant>
        <vt:lpwstr/>
      </vt:variant>
      <vt:variant>
        <vt:lpwstr>_Toc95743596</vt:lpwstr>
      </vt:variant>
      <vt:variant>
        <vt:i4>1441844</vt:i4>
      </vt:variant>
      <vt:variant>
        <vt:i4>1496</vt:i4>
      </vt:variant>
      <vt:variant>
        <vt:i4>0</vt:i4>
      </vt:variant>
      <vt:variant>
        <vt:i4>5</vt:i4>
      </vt:variant>
      <vt:variant>
        <vt:lpwstr/>
      </vt:variant>
      <vt:variant>
        <vt:lpwstr>_Toc95743595</vt:lpwstr>
      </vt:variant>
      <vt:variant>
        <vt:i4>1507380</vt:i4>
      </vt:variant>
      <vt:variant>
        <vt:i4>1490</vt:i4>
      </vt:variant>
      <vt:variant>
        <vt:i4>0</vt:i4>
      </vt:variant>
      <vt:variant>
        <vt:i4>5</vt:i4>
      </vt:variant>
      <vt:variant>
        <vt:lpwstr/>
      </vt:variant>
      <vt:variant>
        <vt:lpwstr>_Toc95743594</vt:lpwstr>
      </vt:variant>
      <vt:variant>
        <vt:i4>1048628</vt:i4>
      </vt:variant>
      <vt:variant>
        <vt:i4>1484</vt:i4>
      </vt:variant>
      <vt:variant>
        <vt:i4>0</vt:i4>
      </vt:variant>
      <vt:variant>
        <vt:i4>5</vt:i4>
      </vt:variant>
      <vt:variant>
        <vt:lpwstr/>
      </vt:variant>
      <vt:variant>
        <vt:lpwstr>_Toc95743593</vt:lpwstr>
      </vt:variant>
      <vt:variant>
        <vt:i4>1114164</vt:i4>
      </vt:variant>
      <vt:variant>
        <vt:i4>1478</vt:i4>
      </vt:variant>
      <vt:variant>
        <vt:i4>0</vt:i4>
      </vt:variant>
      <vt:variant>
        <vt:i4>5</vt:i4>
      </vt:variant>
      <vt:variant>
        <vt:lpwstr/>
      </vt:variant>
      <vt:variant>
        <vt:lpwstr>_Toc95743592</vt:lpwstr>
      </vt:variant>
      <vt:variant>
        <vt:i4>1179700</vt:i4>
      </vt:variant>
      <vt:variant>
        <vt:i4>1472</vt:i4>
      </vt:variant>
      <vt:variant>
        <vt:i4>0</vt:i4>
      </vt:variant>
      <vt:variant>
        <vt:i4>5</vt:i4>
      </vt:variant>
      <vt:variant>
        <vt:lpwstr/>
      </vt:variant>
      <vt:variant>
        <vt:lpwstr>_Toc95743591</vt:lpwstr>
      </vt:variant>
      <vt:variant>
        <vt:i4>1245236</vt:i4>
      </vt:variant>
      <vt:variant>
        <vt:i4>1466</vt:i4>
      </vt:variant>
      <vt:variant>
        <vt:i4>0</vt:i4>
      </vt:variant>
      <vt:variant>
        <vt:i4>5</vt:i4>
      </vt:variant>
      <vt:variant>
        <vt:lpwstr/>
      </vt:variant>
      <vt:variant>
        <vt:lpwstr>_Toc95743590</vt:lpwstr>
      </vt:variant>
      <vt:variant>
        <vt:i4>1703989</vt:i4>
      </vt:variant>
      <vt:variant>
        <vt:i4>1460</vt:i4>
      </vt:variant>
      <vt:variant>
        <vt:i4>0</vt:i4>
      </vt:variant>
      <vt:variant>
        <vt:i4>5</vt:i4>
      </vt:variant>
      <vt:variant>
        <vt:lpwstr/>
      </vt:variant>
      <vt:variant>
        <vt:lpwstr>_Toc95743589</vt:lpwstr>
      </vt:variant>
      <vt:variant>
        <vt:i4>1769525</vt:i4>
      </vt:variant>
      <vt:variant>
        <vt:i4>1454</vt:i4>
      </vt:variant>
      <vt:variant>
        <vt:i4>0</vt:i4>
      </vt:variant>
      <vt:variant>
        <vt:i4>5</vt:i4>
      </vt:variant>
      <vt:variant>
        <vt:lpwstr/>
      </vt:variant>
      <vt:variant>
        <vt:lpwstr>_Toc95743588</vt:lpwstr>
      </vt:variant>
      <vt:variant>
        <vt:i4>1310773</vt:i4>
      </vt:variant>
      <vt:variant>
        <vt:i4>1448</vt:i4>
      </vt:variant>
      <vt:variant>
        <vt:i4>0</vt:i4>
      </vt:variant>
      <vt:variant>
        <vt:i4>5</vt:i4>
      </vt:variant>
      <vt:variant>
        <vt:lpwstr/>
      </vt:variant>
      <vt:variant>
        <vt:lpwstr>_Toc95743587</vt:lpwstr>
      </vt:variant>
      <vt:variant>
        <vt:i4>1376309</vt:i4>
      </vt:variant>
      <vt:variant>
        <vt:i4>1442</vt:i4>
      </vt:variant>
      <vt:variant>
        <vt:i4>0</vt:i4>
      </vt:variant>
      <vt:variant>
        <vt:i4>5</vt:i4>
      </vt:variant>
      <vt:variant>
        <vt:lpwstr/>
      </vt:variant>
      <vt:variant>
        <vt:lpwstr>_Toc95743586</vt:lpwstr>
      </vt:variant>
      <vt:variant>
        <vt:i4>1441845</vt:i4>
      </vt:variant>
      <vt:variant>
        <vt:i4>1436</vt:i4>
      </vt:variant>
      <vt:variant>
        <vt:i4>0</vt:i4>
      </vt:variant>
      <vt:variant>
        <vt:i4>5</vt:i4>
      </vt:variant>
      <vt:variant>
        <vt:lpwstr/>
      </vt:variant>
      <vt:variant>
        <vt:lpwstr>_Toc95743585</vt:lpwstr>
      </vt:variant>
      <vt:variant>
        <vt:i4>1507381</vt:i4>
      </vt:variant>
      <vt:variant>
        <vt:i4>1430</vt:i4>
      </vt:variant>
      <vt:variant>
        <vt:i4>0</vt:i4>
      </vt:variant>
      <vt:variant>
        <vt:i4>5</vt:i4>
      </vt:variant>
      <vt:variant>
        <vt:lpwstr/>
      </vt:variant>
      <vt:variant>
        <vt:lpwstr>_Toc95743584</vt:lpwstr>
      </vt:variant>
      <vt:variant>
        <vt:i4>1048629</vt:i4>
      </vt:variant>
      <vt:variant>
        <vt:i4>1424</vt:i4>
      </vt:variant>
      <vt:variant>
        <vt:i4>0</vt:i4>
      </vt:variant>
      <vt:variant>
        <vt:i4>5</vt:i4>
      </vt:variant>
      <vt:variant>
        <vt:lpwstr/>
      </vt:variant>
      <vt:variant>
        <vt:lpwstr>_Toc95743583</vt:lpwstr>
      </vt:variant>
      <vt:variant>
        <vt:i4>1114165</vt:i4>
      </vt:variant>
      <vt:variant>
        <vt:i4>1418</vt:i4>
      </vt:variant>
      <vt:variant>
        <vt:i4>0</vt:i4>
      </vt:variant>
      <vt:variant>
        <vt:i4>5</vt:i4>
      </vt:variant>
      <vt:variant>
        <vt:lpwstr/>
      </vt:variant>
      <vt:variant>
        <vt:lpwstr>_Toc95743582</vt:lpwstr>
      </vt:variant>
      <vt:variant>
        <vt:i4>1179701</vt:i4>
      </vt:variant>
      <vt:variant>
        <vt:i4>1412</vt:i4>
      </vt:variant>
      <vt:variant>
        <vt:i4>0</vt:i4>
      </vt:variant>
      <vt:variant>
        <vt:i4>5</vt:i4>
      </vt:variant>
      <vt:variant>
        <vt:lpwstr/>
      </vt:variant>
      <vt:variant>
        <vt:lpwstr>_Toc95743581</vt:lpwstr>
      </vt:variant>
      <vt:variant>
        <vt:i4>1245237</vt:i4>
      </vt:variant>
      <vt:variant>
        <vt:i4>1406</vt:i4>
      </vt:variant>
      <vt:variant>
        <vt:i4>0</vt:i4>
      </vt:variant>
      <vt:variant>
        <vt:i4>5</vt:i4>
      </vt:variant>
      <vt:variant>
        <vt:lpwstr/>
      </vt:variant>
      <vt:variant>
        <vt:lpwstr>_Toc95743580</vt:lpwstr>
      </vt:variant>
      <vt:variant>
        <vt:i4>1703994</vt:i4>
      </vt:variant>
      <vt:variant>
        <vt:i4>1400</vt:i4>
      </vt:variant>
      <vt:variant>
        <vt:i4>0</vt:i4>
      </vt:variant>
      <vt:variant>
        <vt:i4>5</vt:i4>
      </vt:variant>
      <vt:variant>
        <vt:lpwstr/>
      </vt:variant>
      <vt:variant>
        <vt:lpwstr>_Toc95743579</vt:lpwstr>
      </vt:variant>
      <vt:variant>
        <vt:i4>1769530</vt:i4>
      </vt:variant>
      <vt:variant>
        <vt:i4>1394</vt:i4>
      </vt:variant>
      <vt:variant>
        <vt:i4>0</vt:i4>
      </vt:variant>
      <vt:variant>
        <vt:i4>5</vt:i4>
      </vt:variant>
      <vt:variant>
        <vt:lpwstr/>
      </vt:variant>
      <vt:variant>
        <vt:lpwstr>_Toc95743578</vt:lpwstr>
      </vt:variant>
      <vt:variant>
        <vt:i4>1310778</vt:i4>
      </vt:variant>
      <vt:variant>
        <vt:i4>1388</vt:i4>
      </vt:variant>
      <vt:variant>
        <vt:i4>0</vt:i4>
      </vt:variant>
      <vt:variant>
        <vt:i4>5</vt:i4>
      </vt:variant>
      <vt:variant>
        <vt:lpwstr/>
      </vt:variant>
      <vt:variant>
        <vt:lpwstr>_Toc95743577</vt:lpwstr>
      </vt:variant>
      <vt:variant>
        <vt:i4>1376314</vt:i4>
      </vt:variant>
      <vt:variant>
        <vt:i4>1382</vt:i4>
      </vt:variant>
      <vt:variant>
        <vt:i4>0</vt:i4>
      </vt:variant>
      <vt:variant>
        <vt:i4>5</vt:i4>
      </vt:variant>
      <vt:variant>
        <vt:lpwstr/>
      </vt:variant>
      <vt:variant>
        <vt:lpwstr>_Toc95743576</vt:lpwstr>
      </vt:variant>
      <vt:variant>
        <vt:i4>1441850</vt:i4>
      </vt:variant>
      <vt:variant>
        <vt:i4>1376</vt:i4>
      </vt:variant>
      <vt:variant>
        <vt:i4>0</vt:i4>
      </vt:variant>
      <vt:variant>
        <vt:i4>5</vt:i4>
      </vt:variant>
      <vt:variant>
        <vt:lpwstr/>
      </vt:variant>
      <vt:variant>
        <vt:lpwstr>_Toc95743575</vt:lpwstr>
      </vt:variant>
      <vt:variant>
        <vt:i4>1507386</vt:i4>
      </vt:variant>
      <vt:variant>
        <vt:i4>1370</vt:i4>
      </vt:variant>
      <vt:variant>
        <vt:i4>0</vt:i4>
      </vt:variant>
      <vt:variant>
        <vt:i4>5</vt:i4>
      </vt:variant>
      <vt:variant>
        <vt:lpwstr/>
      </vt:variant>
      <vt:variant>
        <vt:lpwstr>_Toc95743574</vt:lpwstr>
      </vt:variant>
      <vt:variant>
        <vt:i4>1048634</vt:i4>
      </vt:variant>
      <vt:variant>
        <vt:i4>1364</vt:i4>
      </vt:variant>
      <vt:variant>
        <vt:i4>0</vt:i4>
      </vt:variant>
      <vt:variant>
        <vt:i4>5</vt:i4>
      </vt:variant>
      <vt:variant>
        <vt:lpwstr/>
      </vt:variant>
      <vt:variant>
        <vt:lpwstr>_Toc95743573</vt:lpwstr>
      </vt:variant>
      <vt:variant>
        <vt:i4>1114170</vt:i4>
      </vt:variant>
      <vt:variant>
        <vt:i4>1358</vt:i4>
      </vt:variant>
      <vt:variant>
        <vt:i4>0</vt:i4>
      </vt:variant>
      <vt:variant>
        <vt:i4>5</vt:i4>
      </vt:variant>
      <vt:variant>
        <vt:lpwstr/>
      </vt:variant>
      <vt:variant>
        <vt:lpwstr>_Toc95743572</vt:lpwstr>
      </vt:variant>
      <vt:variant>
        <vt:i4>1179706</vt:i4>
      </vt:variant>
      <vt:variant>
        <vt:i4>1352</vt:i4>
      </vt:variant>
      <vt:variant>
        <vt:i4>0</vt:i4>
      </vt:variant>
      <vt:variant>
        <vt:i4>5</vt:i4>
      </vt:variant>
      <vt:variant>
        <vt:lpwstr/>
      </vt:variant>
      <vt:variant>
        <vt:lpwstr>_Toc95743571</vt:lpwstr>
      </vt:variant>
      <vt:variant>
        <vt:i4>1245242</vt:i4>
      </vt:variant>
      <vt:variant>
        <vt:i4>1346</vt:i4>
      </vt:variant>
      <vt:variant>
        <vt:i4>0</vt:i4>
      </vt:variant>
      <vt:variant>
        <vt:i4>5</vt:i4>
      </vt:variant>
      <vt:variant>
        <vt:lpwstr/>
      </vt:variant>
      <vt:variant>
        <vt:lpwstr>_Toc95743570</vt:lpwstr>
      </vt:variant>
      <vt:variant>
        <vt:i4>1703995</vt:i4>
      </vt:variant>
      <vt:variant>
        <vt:i4>1340</vt:i4>
      </vt:variant>
      <vt:variant>
        <vt:i4>0</vt:i4>
      </vt:variant>
      <vt:variant>
        <vt:i4>5</vt:i4>
      </vt:variant>
      <vt:variant>
        <vt:lpwstr/>
      </vt:variant>
      <vt:variant>
        <vt:lpwstr>_Toc95743569</vt:lpwstr>
      </vt:variant>
      <vt:variant>
        <vt:i4>1769531</vt:i4>
      </vt:variant>
      <vt:variant>
        <vt:i4>1334</vt:i4>
      </vt:variant>
      <vt:variant>
        <vt:i4>0</vt:i4>
      </vt:variant>
      <vt:variant>
        <vt:i4>5</vt:i4>
      </vt:variant>
      <vt:variant>
        <vt:lpwstr/>
      </vt:variant>
      <vt:variant>
        <vt:lpwstr>_Toc95743568</vt:lpwstr>
      </vt:variant>
      <vt:variant>
        <vt:i4>1310779</vt:i4>
      </vt:variant>
      <vt:variant>
        <vt:i4>1328</vt:i4>
      </vt:variant>
      <vt:variant>
        <vt:i4>0</vt:i4>
      </vt:variant>
      <vt:variant>
        <vt:i4>5</vt:i4>
      </vt:variant>
      <vt:variant>
        <vt:lpwstr/>
      </vt:variant>
      <vt:variant>
        <vt:lpwstr>_Toc95743567</vt:lpwstr>
      </vt:variant>
      <vt:variant>
        <vt:i4>1376315</vt:i4>
      </vt:variant>
      <vt:variant>
        <vt:i4>1322</vt:i4>
      </vt:variant>
      <vt:variant>
        <vt:i4>0</vt:i4>
      </vt:variant>
      <vt:variant>
        <vt:i4>5</vt:i4>
      </vt:variant>
      <vt:variant>
        <vt:lpwstr/>
      </vt:variant>
      <vt:variant>
        <vt:lpwstr>_Toc95743566</vt:lpwstr>
      </vt:variant>
      <vt:variant>
        <vt:i4>1441851</vt:i4>
      </vt:variant>
      <vt:variant>
        <vt:i4>1316</vt:i4>
      </vt:variant>
      <vt:variant>
        <vt:i4>0</vt:i4>
      </vt:variant>
      <vt:variant>
        <vt:i4>5</vt:i4>
      </vt:variant>
      <vt:variant>
        <vt:lpwstr/>
      </vt:variant>
      <vt:variant>
        <vt:lpwstr>_Toc95743565</vt:lpwstr>
      </vt:variant>
      <vt:variant>
        <vt:i4>1507387</vt:i4>
      </vt:variant>
      <vt:variant>
        <vt:i4>1310</vt:i4>
      </vt:variant>
      <vt:variant>
        <vt:i4>0</vt:i4>
      </vt:variant>
      <vt:variant>
        <vt:i4>5</vt:i4>
      </vt:variant>
      <vt:variant>
        <vt:lpwstr/>
      </vt:variant>
      <vt:variant>
        <vt:lpwstr>_Toc95743564</vt:lpwstr>
      </vt:variant>
      <vt:variant>
        <vt:i4>1048635</vt:i4>
      </vt:variant>
      <vt:variant>
        <vt:i4>1304</vt:i4>
      </vt:variant>
      <vt:variant>
        <vt:i4>0</vt:i4>
      </vt:variant>
      <vt:variant>
        <vt:i4>5</vt:i4>
      </vt:variant>
      <vt:variant>
        <vt:lpwstr/>
      </vt:variant>
      <vt:variant>
        <vt:lpwstr>_Toc95743563</vt:lpwstr>
      </vt:variant>
      <vt:variant>
        <vt:i4>1114171</vt:i4>
      </vt:variant>
      <vt:variant>
        <vt:i4>1298</vt:i4>
      </vt:variant>
      <vt:variant>
        <vt:i4>0</vt:i4>
      </vt:variant>
      <vt:variant>
        <vt:i4>5</vt:i4>
      </vt:variant>
      <vt:variant>
        <vt:lpwstr/>
      </vt:variant>
      <vt:variant>
        <vt:lpwstr>_Toc95743562</vt:lpwstr>
      </vt:variant>
      <vt:variant>
        <vt:i4>1179707</vt:i4>
      </vt:variant>
      <vt:variant>
        <vt:i4>1292</vt:i4>
      </vt:variant>
      <vt:variant>
        <vt:i4>0</vt:i4>
      </vt:variant>
      <vt:variant>
        <vt:i4>5</vt:i4>
      </vt:variant>
      <vt:variant>
        <vt:lpwstr/>
      </vt:variant>
      <vt:variant>
        <vt:lpwstr>_Toc95743561</vt:lpwstr>
      </vt:variant>
      <vt:variant>
        <vt:i4>1245243</vt:i4>
      </vt:variant>
      <vt:variant>
        <vt:i4>1286</vt:i4>
      </vt:variant>
      <vt:variant>
        <vt:i4>0</vt:i4>
      </vt:variant>
      <vt:variant>
        <vt:i4>5</vt:i4>
      </vt:variant>
      <vt:variant>
        <vt:lpwstr/>
      </vt:variant>
      <vt:variant>
        <vt:lpwstr>_Toc95743560</vt:lpwstr>
      </vt:variant>
      <vt:variant>
        <vt:i4>1703992</vt:i4>
      </vt:variant>
      <vt:variant>
        <vt:i4>1280</vt:i4>
      </vt:variant>
      <vt:variant>
        <vt:i4>0</vt:i4>
      </vt:variant>
      <vt:variant>
        <vt:i4>5</vt:i4>
      </vt:variant>
      <vt:variant>
        <vt:lpwstr/>
      </vt:variant>
      <vt:variant>
        <vt:lpwstr>_Toc95743559</vt:lpwstr>
      </vt:variant>
      <vt:variant>
        <vt:i4>1769528</vt:i4>
      </vt:variant>
      <vt:variant>
        <vt:i4>1274</vt:i4>
      </vt:variant>
      <vt:variant>
        <vt:i4>0</vt:i4>
      </vt:variant>
      <vt:variant>
        <vt:i4>5</vt:i4>
      </vt:variant>
      <vt:variant>
        <vt:lpwstr/>
      </vt:variant>
      <vt:variant>
        <vt:lpwstr>_Toc95743558</vt:lpwstr>
      </vt:variant>
      <vt:variant>
        <vt:i4>1310776</vt:i4>
      </vt:variant>
      <vt:variant>
        <vt:i4>1268</vt:i4>
      </vt:variant>
      <vt:variant>
        <vt:i4>0</vt:i4>
      </vt:variant>
      <vt:variant>
        <vt:i4>5</vt:i4>
      </vt:variant>
      <vt:variant>
        <vt:lpwstr/>
      </vt:variant>
      <vt:variant>
        <vt:lpwstr>_Toc95743557</vt:lpwstr>
      </vt:variant>
      <vt:variant>
        <vt:i4>1376312</vt:i4>
      </vt:variant>
      <vt:variant>
        <vt:i4>1262</vt:i4>
      </vt:variant>
      <vt:variant>
        <vt:i4>0</vt:i4>
      </vt:variant>
      <vt:variant>
        <vt:i4>5</vt:i4>
      </vt:variant>
      <vt:variant>
        <vt:lpwstr/>
      </vt:variant>
      <vt:variant>
        <vt:lpwstr>_Toc95743556</vt:lpwstr>
      </vt:variant>
      <vt:variant>
        <vt:i4>1441848</vt:i4>
      </vt:variant>
      <vt:variant>
        <vt:i4>1256</vt:i4>
      </vt:variant>
      <vt:variant>
        <vt:i4>0</vt:i4>
      </vt:variant>
      <vt:variant>
        <vt:i4>5</vt:i4>
      </vt:variant>
      <vt:variant>
        <vt:lpwstr/>
      </vt:variant>
      <vt:variant>
        <vt:lpwstr>_Toc95743555</vt:lpwstr>
      </vt:variant>
      <vt:variant>
        <vt:i4>1507384</vt:i4>
      </vt:variant>
      <vt:variant>
        <vt:i4>1250</vt:i4>
      </vt:variant>
      <vt:variant>
        <vt:i4>0</vt:i4>
      </vt:variant>
      <vt:variant>
        <vt:i4>5</vt:i4>
      </vt:variant>
      <vt:variant>
        <vt:lpwstr/>
      </vt:variant>
      <vt:variant>
        <vt:lpwstr>_Toc95743554</vt:lpwstr>
      </vt:variant>
      <vt:variant>
        <vt:i4>1048632</vt:i4>
      </vt:variant>
      <vt:variant>
        <vt:i4>1244</vt:i4>
      </vt:variant>
      <vt:variant>
        <vt:i4>0</vt:i4>
      </vt:variant>
      <vt:variant>
        <vt:i4>5</vt:i4>
      </vt:variant>
      <vt:variant>
        <vt:lpwstr/>
      </vt:variant>
      <vt:variant>
        <vt:lpwstr>_Toc95743553</vt:lpwstr>
      </vt:variant>
      <vt:variant>
        <vt:i4>1114168</vt:i4>
      </vt:variant>
      <vt:variant>
        <vt:i4>1238</vt:i4>
      </vt:variant>
      <vt:variant>
        <vt:i4>0</vt:i4>
      </vt:variant>
      <vt:variant>
        <vt:i4>5</vt:i4>
      </vt:variant>
      <vt:variant>
        <vt:lpwstr/>
      </vt:variant>
      <vt:variant>
        <vt:lpwstr>_Toc95743552</vt:lpwstr>
      </vt:variant>
      <vt:variant>
        <vt:i4>1179704</vt:i4>
      </vt:variant>
      <vt:variant>
        <vt:i4>1232</vt:i4>
      </vt:variant>
      <vt:variant>
        <vt:i4>0</vt:i4>
      </vt:variant>
      <vt:variant>
        <vt:i4>5</vt:i4>
      </vt:variant>
      <vt:variant>
        <vt:lpwstr/>
      </vt:variant>
      <vt:variant>
        <vt:lpwstr>_Toc95743551</vt:lpwstr>
      </vt:variant>
      <vt:variant>
        <vt:i4>1245240</vt:i4>
      </vt:variant>
      <vt:variant>
        <vt:i4>1226</vt:i4>
      </vt:variant>
      <vt:variant>
        <vt:i4>0</vt:i4>
      </vt:variant>
      <vt:variant>
        <vt:i4>5</vt:i4>
      </vt:variant>
      <vt:variant>
        <vt:lpwstr/>
      </vt:variant>
      <vt:variant>
        <vt:lpwstr>_Toc95743550</vt:lpwstr>
      </vt:variant>
      <vt:variant>
        <vt:i4>1703993</vt:i4>
      </vt:variant>
      <vt:variant>
        <vt:i4>1220</vt:i4>
      </vt:variant>
      <vt:variant>
        <vt:i4>0</vt:i4>
      </vt:variant>
      <vt:variant>
        <vt:i4>5</vt:i4>
      </vt:variant>
      <vt:variant>
        <vt:lpwstr/>
      </vt:variant>
      <vt:variant>
        <vt:lpwstr>_Toc95743549</vt:lpwstr>
      </vt:variant>
      <vt:variant>
        <vt:i4>1769529</vt:i4>
      </vt:variant>
      <vt:variant>
        <vt:i4>1214</vt:i4>
      </vt:variant>
      <vt:variant>
        <vt:i4>0</vt:i4>
      </vt:variant>
      <vt:variant>
        <vt:i4>5</vt:i4>
      </vt:variant>
      <vt:variant>
        <vt:lpwstr/>
      </vt:variant>
      <vt:variant>
        <vt:lpwstr>_Toc95743548</vt:lpwstr>
      </vt:variant>
      <vt:variant>
        <vt:i4>1310777</vt:i4>
      </vt:variant>
      <vt:variant>
        <vt:i4>1208</vt:i4>
      </vt:variant>
      <vt:variant>
        <vt:i4>0</vt:i4>
      </vt:variant>
      <vt:variant>
        <vt:i4>5</vt:i4>
      </vt:variant>
      <vt:variant>
        <vt:lpwstr/>
      </vt:variant>
      <vt:variant>
        <vt:lpwstr>_Toc95743547</vt:lpwstr>
      </vt:variant>
      <vt:variant>
        <vt:i4>1376313</vt:i4>
      </vt:variant>
      <vt:variant>
        <vt:i4>1202</vt:i4>
      </vt:variant>
      <vt:variant>
        <vt:i4>0</vt:i4>
      </vt:variant>
      <vt:variant>
        <vt:i4>5</vt:i4>
      </vt:variant>
      <vt:variant>
        <vt:lpwstr/>
      </vt:variant>
      <vt:variant>
        <vt:lpwstr>_Toc95743546</vt:lpwstr>
      </vt:variant>
      <vt:variant>
        <vt:i4>1441849</vt:i4>
      </vt:variant>
      <vt:variant>
        <vt:i4>1196</vt:i4>
      </vt:variant>
      <vt:variant>
        <vt:i4>0</vt:i4>
      </vt:variant>
      <vt:variant>
        <vt:i4>5</vt:i4>
      </vt:variant>
      <vt:variant>
        <vt:lpwstr/>
      </vt:variant>
      <vt:variant>
        <vt:lpwstr>_Toc95743545</vt:lpwstr>
      </vt:variant>
      <vt:variant>
        <vt:i4>1507385</vt:i4>
      </vt:variant>
      <vt:variant>
        <vt:i4>1190</vt:i4>
      </vt:variant>
      <vt:variant>
        <vt:i4>0</vt:i4>
      </vt:variant>
      <vt:variant>
        <vt:i4>5</vt:i4>
      </vt:variant>
      <vt:variant>
        <vt:lpwstr/>
      </vt:variant>
      <vt:variant>
        <vt:lpwstr>_Toc95743544</vt:lpwstr>
      </vt:variant>
      <vt:variant>
        <vt:i4>1048633</vt:i4>
      </vt:variant>
      <vt:variant>
        <vt:i4>1184</vt:i4>
      </vt:variant>
      <vt:variant>
        <vt:i4>0</vt:i4>
      </vt:variant>
      <vt:variant>
        <vt:i4>5</vt:i4>
      </vt:variant>
      <vt:variant>
        <vt:lpwstr/>
      </vt:variant>
      <vt:variant>
        <vt:lpwstr>_Toc95743543</vt:lpwstr>
      </vt:variant>
      <vt:variant>
        <vt:i4>1114169</vt:i4>
      </vt:variant>
      <vt:variant>
        <vt:i4>1178</vt:i4>
      </vt:variant>
      <vt:variant>
        <vt:i4>0</vt:i4>
      </vt:variant>
      <vt:variant>
        <vt:i4>5</vt:i4>
      </vt:variant>
      <vt:variant>
        <vt:lpwstr/>
      </vt:variant>
      <vt:variant>
        <vt:lpwstr>_Toc95743542</vt:lpwstr>
      </vt:variant>
      <vt:variant>
        <vt:i4>1179705</vt:i4>
      </vt:variant>
      <vt:variant>
        <vt:i4>1172</vt:i4>
      </vt:variant>
      <vt:variant>
        <vt:i4>0</vt:i4>
      </vt:variant>
      <vt:variant>
        <vt:i4>5</vt:i4>
      </vt:variant>
      <vt:variant>
        <vt:lpwstr/>
      </vt:variant>
      <vt:variant>
        <vt:lpwstr>_Toc95743541</vt:lpwstr>
      </vt:variant>
      <vt:variant>
        <vt:i4>1245241</vt:i4>
      </vt:variant>
      <vt:variant>
        <vt:i4>1166</vt:i4>
      </vt:variant>
      <vt:variant>
        <vt:i4>0</vt:i4>
      </vt:variant>
      <vt:variant>
        <vt:i4>5</vt:i4>
      </vt:variant>
      <vt:variant>
        <vt:lpwstr/>
      </vt:variant>
      <vt:variant>
        <vt:lpwstr>_Toc95743540</vt:lpwstr>
      </vt:variant>
      <vt:variant>
        <vt:i4>1703998</vt:i4>
      </vt:variant>
      <vt:variant>
        <vt:i4>1160</vt:i4>
      </vt:variant>
      <vt:variant>
        <vt:i4>0</vt:i4>
      </vt:variant>
      <vt:variant>
        <vt:i4>5</vt:i4>
      </vt:variant>
      <vt:variant>
        <vt:lpwstr/>
      </vt:variant>
      <vt:variant>
        <vt:lpwstr>_Toc95743539</vt:lpwstr>
      </vt:variant>
      <vt:variant>
        <vt:i4>1769534</vt:i4>
      </vt:variant>
      <vt:variant>
        <vt:i4>1154</vt:i4>
      </vt:variant>
      <vt:variant>
        <vt:i4>0</vt:i4>
      </vt:variant>
      <vt:variant>
        <vt:i4>5</vt:i4>
      </vt:variant>
      <vt:variant>
        <vt:lpwstr/>
      </vt:variant>
      <vt:variant>
        <vt:lpwstr>_Toc95743538</vt:lpwstr>
      </vt:variant>
      <vt:variant>
        <vt:i4>1310782</vt:i4>
      </vt:variant>
      <vt:variant>
        <vt:i4>1148</vt:i4>
      </vt:variant>
      <vt:variant>
        <vt:i4>0</vt:i4>
      </vt:variant>
      <vt:variant>
        <vt:i4>5</vt:i4>
      </vt:variant>
      <vt:variant>
        <vt:lpwstr/>
      </vt:variant>
      <vt:variant>
        <vt:lpwstr>_Toc95743537</vt:lpwstr>
      </vt:variant>
      <vt:variant>
        <vt:i4>1376318</vt:i4>
      </vt:variant>
      <vt:variant>
        <vt:i4>1142</vt:i4>
      </vt:variant>
      <vt:variant>
        <vt:i4>0</vt:i4>
      </vt:variant>
      <vt:variant>
        <vt:i4>5</vt:i4>
      </vt:variant>
      <vt:variant>
        <vt:lpwstr/>
      </vt:variant>
      <vt:variant>
        <vt:lpwstr>_Toc95743536</vt:lpwstr>
      </vt:variant>
      <vt:variant>
        <vt:i4>1441854</vt:i4>
      </vt:variant>
      <vt:variant>
        <vt:i4>1136</vt:i4>
      </vt:variant>
      <vt:variant>
        <vt:i4>0</vt:i4>
      </vt:variant>
      <vt:variant>
        <vt:i4>5</vt:i4>
      </vt:variant>
      <vt:variant>
        <vt:lpwstr/>
      </vt:variant>
      <vt:variant>
        <vt:lpwstr>_Toc95743535</vt:lpwstr>
      </vt:variant>
      <vt:variant>
        <vt:i4>1507390</vt:i4>
      </vt:variant>
      <vt:variant>
        <vt:i4>1130</vt:i4>
      </vt:variant>
      <vt:variant>
        <vt:i4>0</vt:i4>
      </vt:variant>
      <vt:variant>
        <vt:i4>5</vt:i4>
      </vt:variant>
      <vt:variant>
        <vt:lpwstr/>
      </vt:variant>
      <vt:variant>
        <vt:lpwstr>_Toc95743534</vt:lpwstr>
      </vt:variant>
      <vt:variant>
        <vt:i4>1048638</vt:i4>
      </vt:variant>
      <vt:variant>
        <vt:i4>1124</vt:i4>
      </vt:variant>
      <vt:variant>
        <vt:i4>0</vt:i4>
      </vt:variant>
      <vt:variant>
        <vt:i4>5</vt:i4>
      </vt:variant>
      <vt:variant>
        <vt:lpwstr/>
      </vt:variant>
      <vt:variant>
        <vt:lpwstr>_Toc95743533</vt:lpwstr>
      </vt:variant>
      <vt:variant>
        <vt:i4>1114174</vt:i4>
      </vt:variant>
      <vt:variant>
        <vt:i4>1118</vt:i4>
      </vt:variant>
      <vt:variant>
        <vt:i4>0</vt:i4>
      </vt:variant>
      <vt:variant>
        <vt:i4>5</vt:i4>
      </vt:variant>
      <vt:variant>
        <vt:lpwstr/>
      </vt:variant>
      <vt:variant>
        <vt:lpwstr>_Toc95743532</vt:lpwstr>
      </vt:variant>
      <vt:variant>
        <vt:i4>1179710</vt:i4>
      </vt:variant>
      <vt:variant>
        <vt:i4>1112</vt:i4>
      </vt:variant>
      <vt:variant>
        <vt:i4>0</vt:i4>
      </vt:variant>
      <vt:variant>
        <vt:i4>5</vt:i4>
      </vt:variant>
      <vt:variant>
        <vt:lpwstr/>
      </vt:variant>
      <vt:variant>
        <vt:lpwstr>_Toc95743531</vt:lpwstr>
      </vt:variant>
      <vt:variant>
        <vt:i4>1245246</vt:i4>
      </vt:variant>
      <vt:variant>
        <vt:i4>1106</vt:i4>
      </vt:variant>
      <vt:variant>
        <vt:i4>0</vt:i4>
      </vt:variant>
      <vt:variant>
        <vt:i4>5</vt:i4>
      </vt:variant>
      <vt:variant>
        <vt:lpwstr/>
      </vt:variant>
      <vt:variant>
        <vt:lpwstr>_Toc95743530</vt:lpwstr>
      </vt:variant>
      <vt:variant>
        <vt:i4>1703999</vt:i4>
      </vt:variant>
      <vt:variant>
        <vt:i4>1100</vt:i4>
      </vt:variant>
      <vt:variant>
        <vt:i4>0</vt:i4>
      </vt:variant>
      <vt:variant>
        <vt:i4>5</vt:i4>
      </vt:variant>
      <vt:variant>
        <vt:lpwstr/>
      </vt:variant>
      <vt:variant>
        <vt:lpwstr>_Toc95743529</vt:lpwstr>
      </vt:variant>
      <vt:variant>
        <vt:i4>1769535</vt:i4>
      </vt:variant>
      <vt:variant>
        <vt:i4>1094</vt:i4>
      </vt:variant>
      <vt:variant>
        <vt:i4>0</vt:i4>
      </vt:variant>
      <vt:variant>
        <vt:i4>5</vt:i4>
      </vt:variant>
      <vt:variant>
        <vt:lpwstr/>
      </vt:variant>
      <vt:variant>
        <vt:lpwstr>_Toc95743528</vt:lpwstr>
      </vt:variant>
      <vt:variant>
        <vt:i4>1310783</vt:i4>
      </vt:variant>
      <vt:variant>
        <vt:i4>1088</vt:i4>
      </vt:variant>
      <vt:variant>
        <vt:i4>0</vt:i4>
      </vt:variant>
      <vt:variant>
        <vt:i4>5</vt:i4>
      </vt:variant>
      <vt:variant>
        <vt:lpwstr/>
      </vt:variant>
      <vt:variant>
        <vt:lpwstr>_Toc95743527</vt:lpwstr>
      </vt:variant>
      <vt:variant>
        <vt:i4>1376319</vt:i4>
      </vt:variant>
      <vt:variant>
        <vt:i4>1082</vt:i4>
      </vt:variant>
      <vt:variant>
        <vt:i4>0</vt:i4>
      </vt:variant>
      <vt:variant>
        <vt:i4>5</vt:i4>
      </vt:variant>
      <vt:variant>
        <vt:lpwstr/>
      </vt:variant>
      <vt:variant>
        <vt:lpwstr>_Toc95743526</vt:lpwstr>
      </vt:variant>
      <vt:variant>
        <vt:i4>1441855</vt:i4>
      </vt:variant>
      <vt:variant>
        <vt:i4>1076</vt:i4>
      </vt:variant>
      <vt:variant>
        <vt:i4>0</vt:i4>
      </vt:variant>
      <vt:variant>
        <vt:i4>5</vt:i4>
      </vt:variant>
      <vt:variant>
        <vt:lpwstr/>
      </vt:variant>
      <vt:variant>
        <vt:lpwstr>_Toc95743525</vt:lpwstr>
      </vt:variant>
      <vt:variant>
        <vt:i4>1507391</vt:i4>
      </vt:variant>
      <vt:variant>
        <vt:i4>1070</vt:i4>
      </vt:variant>
      <vt:variant>
        <vt:i4>0</vt:i4>
      </vt:variant>
      <vt:variant>
        <vt:i4>5</vt:i4>
      </vt:variant>
      <vt:variant>
        <vt:lpwstr/>
      </vt:variant>
      <vt:variant>
        <vt:lpwstr>_Toc95743524</vt:lpwstr>
      </vt:variant>
      <vt:variant>
        <vt:i4>1048639</vt:i4>
      </vt:variant>
      <vt:variant>
        <vt:i4>1064</vt:i4>
      </vt:variant>
      <vt:variant>
        <vt:i4>0</vt:i4>
      </vt:variant>
      <vt:variant>
        <vt:i4>5</vt:i4>
      </vt:variant>
      <vt:variant>
        <vt:lpwstr/>
      </vt:variant>
      <vt:variant>
        <vt:lpwstr>_Toc95743523</vt:lpwstr>
      </vt:variant>
      <vt:variant>
        <vt:i4>1114175</vt:i4>
      </vt:variant>
      <vt:variant>
        <vt:i4>1058</vt:i4>
      </vt:variant>
      <vt:variant>
        <vt:i4>0</vt:i4>
      </vt:variant>
      <vt:variant>
        <vt:i4>5</vt:i4>
      </vt:variant>
      <vt:variant>
        <vt:lpwstr/>
      </vt:variant>
      <vt:variant>
        <vt:lpwstr>_Toc95743522</vt:lpwstr>
      </vt:variant>
      <vt:variant>
        <vt:i4>1179711</vt:i4>
      </vt:variant>
      <vt:variant>
        <vt:i4>1052</vt:i4>
      </vt:variant>
      <vt:variant>
        <vt:i4>0</vt:i4>
      </vt:variant>
      <vt:variant>
        <vt:i4>5</vt:i4>
      </vt:variant>
      <vt:variant>
        <vt:lpwstr/>
      </vt:variant>
      <vt:variant>
        <vt:lpwstr>_Toc95743521</vt:lpwstr>
      </vt:variant>
      <vt:variant>
        <vt:i4>1245247</vt:i4>
      </vt:variant>
      <vt:variant>
        <vt:i4>1046</vt:i4>
      </vt:variant>
      <vt:variant>
        <vt:i4>0</vt:i4>
      </vt:variant>
      <vt:variant>
        <vt:i4>5</vt:i4>
      </vt:variant>
      <vt:variant>
        <vt:lpwstr/>
      </vt:variant>
      <vt:variant>
        <vt:lpwstr>_Toc95743520</vt:lpwstr>
      </vt:variant>
      <vt:variant>
        <vt:i4>1703996</vt:i4>
      </vt:variant>
      <vt:variant>
        <vt:i4>1040</vt:i4>
      </vt:variant>
      <vt:variant>
        <vt:i4>0</vt:i4>
      </vt:variant>
      <vt:variant>
        <vt:i4>5</vt:i4>
      </vt:variant>
      <vt:variant>
        <vt:lpwstr/>
      </vt:variant>
      <vt:variant>
        <vt:lpwstr>_Toc95743519</vt:lpwstr>
      </vt:variant>
      <vt:variant>
        <vt:i4>1769532</vt:i4>
      </vt:variant>
      <vt:variant>
        <vt:i4>1034</vt:i4>
      </vt:variant>
      <vt:variant>
        <vt:i4>0</vt:i4>
      </vt:variant>
      <vt:variant>
        <vt:i4>5</vt:i4>
      </vt:variant>
      <vt:variant>
        <vt:lpwstr/>
      </vt:variant>
      <vt:variant>
        <vt:lpwstr>_Toc95743518</vt:lpwstr>
      </vt:variant>
      <vt:variant>
        <vt:i4>1310780</vt:i4>
      </vt:variant>
      <vt:variant>
        <vt:i4>1028</vt:i4>
      </vt:variant>
      <vt:variant>
        <vt:i4>0</vt:i4>
      </vt:variant>
      <vt:variant>
        <vt:i4>5</vt:i4>
      </vt:variant>
      <vt:variant>
        <vt:lpwstr/>
      </vt:variant>
      <vt:variant>
        <vt:lpwstr>_Toc95743517</vt:lpwstr>
      </vt:variant>
      <vt:variant>
        <vt:i4>1376316</vt:i4>
      </vt:variant>
      <vt:variant>
        <vt:i4>1022</vt:i4>
      </vt:variant>
      <vt:variant>
        <vt:i4>0</vt:i4>
      </vt:variant>
      <vt:variant>
        <vt:i4>5</vt:i4>
      </vt:variant>
      <vt:variant>
        <vt:lpwstr/>
      </vt:variant>
      <vt:variant>
        <vt:lpwstr>_Toc95743516</vt:lpwstr>
      </vt:variant>
      <vt:variant>
        <vt:i4>1441852</vt:i4>
      </vt:variant>
      <vt:variant>
        <vt:i4>1016</vt:i4>
      </vt:variant>
      <vt:variant>
        <vt:i4>0</vt:i4>
      </vt:variant>
      <vt:variant>
        <vt:i4>5</vt:i4>
      </vt:variant>
      <vt:variant>
        <vt:lpwstr/>
      </vt:variant>
      <vt:variant>
        <vt:lpwstr>_Toc95743515</vt:lpwstr>
      </vt:variant>
      <vt:variant>
        <vt:i4>1507388</vt:i4>
      </vt:variant>
      <vt:variant>
        <vt:i4>1010</vt:i4>
      </vt:variant>
      <vt:variant>
        <vt:i4>0</vt:i4>
      </vt:variant>
      <vt:variant>
        <vt:i4>5</vt:i4>
      </vt:variant>
      <vt:variant>
        <vt:lpwstr/>
      </vt:variant>
      <vt:variant>
        <vt:lpwstr>_Toc95743514</vt:lpwstr>
      </vt:variant>
      <vt:variant>
        <vt:i4>1048636</vt:i4>
      </vt:variant>
      <vt:variant>
        <vt:i4>1004</vt:i4>
      </vt:variant>
      <vt:variant>
        <vt:i4>0</vt:i4>
      </vt:variant>
      <vt:variant>
        <vt:i4>5</vt:i4>
      </vt:variant>
      <vt:variant>
        <vt:lpwstr/>
      </vt:variant>
      <vt:variant>
        <vt:lpwstr>_Toc95743513</vt:lpwstr>
      </vt:variant>
      <vt:variant>
        <vt:i4>1114172</vt:i4>
      </vt:variant>
      <vt:variant>
        <vt:i4>998</vt:i4>
      </vt:variant>
      <vt:variant>
        <vt:i4>0</vt:i4>
      </vt:variant>
      <vt:variant>
        <vt:i4>5</vt:i4>
      </vt:variant>
      <vt:variant>
        <vt:lpwstr/>
      </vt:variant>
      <vt:variant>
        <vt:lpwstr>_Toc95743512</vt:lpwstr>
      </vt:variant>
      <vt:variant>
        <vt:i4>1179708</vt:i4>
      </vt:variant>
      <vt:variant>
        <vt:i4>992</vt:i4>
      </vt:variant>
      <vt:variant>
        <vt:i4>0</vt:i4>
      </vt:variant>
      <vt:variant>
        <vt:i4>5</vt:i4>
      </vt:variant>
      <vt:variant>
        <vt:lpwstr/>
      </vt:variant>
      <vt:variant>
        <vt:lpwstr>_Toc95743511</vt:lpwstr>
      </vt:variant>
      <vt:variant>
        <vt:i4>1245244</vt:i4>
      </vt:variant>
      <vt:variant>
        <vt:i4>986</vt:i4>
      </vt:variant>
      <vt:variant>
        <vt:i4>0</vt:i4>
      </vt:variant>
      <vt:variant>
        <vt:i4>5</vt:i4>
      </vt:variant>
      <vt:variant>
        <vt:lpwstr/>
      </vt:variant>
      <vt:variant>
        <vt:lpwstr>_Toc95743510</vt:lpwstr>
      </vt:variant>
      <vt:variant>
        <vt:i4>1703997</vt:i4>
      </vt:variant>
      <vt:variant>
        <vt:i4>980</vt:i4>
      </vt:variant>
      <vt:variant>
        <vt:i4>0</vt:i4>
      </vt:variant>
      <vt:variant>
        <vt:i4>5</vt:i4>
      </vt:variant>
      <vt:variant>
        <vt:lpwstr/>
      </vt:variant>
      <vt:variant>
        <vt:lpwstr>_Toc95743509</vt:lpwstr>
      </vt:variant>
      <vt:variant>
        <vt:i4>1769533</vt:i4>
      </vt:variant>
      <vt:variant>
        <vt:i4>974</vt:i4>
      </vt:variant>
      <vt:variant>
        <vt:i4>0</vt:i4>
      </vt:variant>
      <vt:variant>
        <vt:i4>5</vt:i4>
      </vt:variant>
      <vt:variant>
        <vt:lpwstr/>
      </vt:variant>
      <vt:variant>
        <vt:lpwstr>_Toc95743508</vt:lpwstr>
      </vt:variant>
      <vt:variant>
        <vt:i4>1310781</vt:i4>
      </vt:variant>
      <vt:variant>
        <vt:i4>968</vt:i4>
      </vt:variant>
      <vt:variant>
        <vt:i4>0</vt:i4>
      </vt:variant>
      <vt:variant>
        <vt:i4>5</vt:i4>
      </vt:variant>
      <vt:variant>
        <vt:lpwstr/>
      </vt:variant>
      <vt:variant>
        <vt:lpwstr>_Toc95743507</vt:lpwstr>
      </vt:variant>
      <vt:variant>
        <vt:i4>1376317</vt:i4>
      </vt:variant>
      <vt:variant>
        <vt:i4>962</vt:i4>
      </vt:variant>
      <vt:variant>
        <vt:i4>0</vt:i4>
      </vt:variant>
      <vt:variant>
        <vt:i4>5</vt:i4>
      </vt:variant>
      <vt:variant>
        <vt:lpwstr/>
      </vt:variant>
      <vt:variant>
        <vt:lpwstr>_Toc95743506</vt:lpwstr>
      </vt:variant>
      <vt:variant>
        <vt:i4>1441853</vt:i4>
      </vt:variant>
      <vt:variant>
        <vt:i4>956</vt:i4>
      </vt:variant>
      <vt:variant>
        <vt:i4>0</vt:i4>
      </vt:variant>
      <vt:variant>
        <vt:i4>5</vt:i4>
      </vt:variant>
      <vt:variant>
        <vt:lpwstr/>
      </vt:variant>
      <vt:variant>
        <vt:lpwstr>_Toc95743505</vt:lpwstr>
      </vt:variant>
      <vt:variant>
        <vt:i4>1507389</vt:i4>
      </vt:variant>
      <vt:variant>
        <vt:i4>950</vt:i4>
      </vt:variant>
      <vt:variant>
        <vt:i4>0</vt:i4>
      </vt:variant>
      <vt:variant>
        <vt:i4>5</vt:i4>
      </vt:variant>
      <vt:variant>
        <vt:lpwstr/>
      </vt:variant>
      <vt:variant>
        <vt:lpwstr>_Toc95743504</vt:lpwstr>
      </vt:variant>
      <vt:variant>
        <vt:i4>1048637</vt:i4>
      </vt:variant>
      <vt:variant>
        <vt:i4>944</vt:i4>
      </vt:variant>
      <vt:variant>
        <vt:i4>0</vt:i4>
      </vt:variant>
      <vt:variant>
        <vt:i4>5</vt:i4>
      </vt:variant>
      <vt:variant>
        <vt:lpwstr/>
      </vt:variant>
      <vt:variant>
        <vt:lpwstr>_Toc95743503</vt:lpwstr>
      </vt:variant>
      <vt:variant>
        <vt:i4>1114173</vt:i4>
      </vt:variant>
      <vt:variant>
        <vt:i4>938</vt:i4>
      </vt:variant>
      <vt:variant>
        <vt:i4>0</vt:i4>
      </vt:variant>
      <vt:variant>
        <vt:i4>5</vt:i4>
      </vt:variant>
      <vt:variant>
        <vt:lpwstr/>
      </vt:variant>
      <vt:variant>
        <vt:lpwstr>_Toc95743502</vt:lpwstr>
      </vt:variant>
      <vt:variant>
        <vt:i4>1179709</vt:i4>
      </vt:variant>
      <vt:variant>
        <vt:i4>932</vt:i4>
      </vt:variant>
      <vt:variant>
        <vt:i4>0</vt:i4>
      </vt:variant>
      <vt:variant>
        <vt:i4>5</vt:i4>
      </vt:variant>
      <vt:variant>
        <vt:lpwstr/>
      </vt:variant>
      <vt:variant>
        <vt:lpwstr>_Toc95743501</vt:lpwstr>
      </vt:variant>
      <vt:variant>
        <vt:i4>1245245</vt:i4>
      </vt:variant>
      <vt:variant>
        <vt:i4>926</vt:i4>
      </vt:variant>
      <vt:variant>
        <vt:i4>0</vt:i4>
      </vt:variant>
      <vt:variant>
        <vt:i4>5</vt:i4>
      </vt:variant>
      <vt:variant>
        <vt:lpwstr/>
      </vt:variant>
      <vt:variant>
        <vt:lpwstr>_Toc95743500</vt:lpwstr>
      </vt:variant>
      <vt:variant>
        <vt:i4>1769524</vt:i4>
      </vt:variant>
      <vt:variant>
        <vt:i4>920</vt:i4>
      </vt:variant>
      <vt:variant>
        <vt:i4>0</vt:i4>
      </vt:variant>
      <vt:variant>
        <vt:i4>5</vt:i4>
      </vt:variant>
      <vt:variant>
        <vt:lpwstr/>
      </vt:variant>
      <vt:variant>
        <vt:lpwstr>_Toc95743499</vt:lpwstr>
      </vt:variant>
      <vt:variant>
        <vt:i4>1703988</vt:i4>
      </vt:variant>
      <vt:variant>
        <vt:i4>914</vt:i4>
      </vt:variant>
      <vt:variant>
        <vt:i4>0</vt:i4>
      </vt:variant>
      <vt:variant>
        <vt:i4>5</vt:i4>
      </vt:variant>
      <vt:variant>
        <vt:lpwstr/>
      </vt:variant>
      <vt:variant>
        <vt:lpwstr>_Toc95743498</vt:lpwstr>
      </vt:variant>
      <vt:variant>
        <vt:i4>1376308</vt:i4>
      </vt:variant>
      <vt:variant>
        <vt:i4>908</vt:i4>
      </vt:variant>
      <vt:variant>
        <vt:i4>0</vt:i4>
      </vt:variant>
      <vt:variant>
        <vt:i4>5</vt:i4>
      </vt:variant>
      <vt:variant>
        <vt:lpwstr/>
      </vt:variant>
      <vt:variant>
        <vt:lpwstr>_Toc95743497</vt:lpwstr>
      </vt:variant>
      <vt:variant>
        <vt:i4>1310772</vt:i4>
      </vt:variant>
      <vt:variant>
        <vt:i4>902</vt:i4>
      </vt:variant>
      <vt:variant>
        <vt:i4>0</vt:i4>
      </vt:variant>
      <vt:variant>
        <vt:i4>5</vt:i4>
      </vt:variant>
      <vt:variant>
        <vt:lpwstr/>
      </vt:variant>
      <vt:variant>
        <vt:lpwstr>_Toc95743496</vt:lpwstr>
      </vt:variant>
      <vt:variant>
        <vt:i4>1507380</vt:i4>
      </vt:variant>
      <vt:variant>
        <vt:i4>896</vt:i4>
      </vt:variant>
      <vt:variant>
        <vt:i4>0</vt:i4>
      </vt:variant>
      <vt:variant>
        <vt:i4>5</vt:i4>
      </vt:variant>
      <vt:variant>
        <vt:lpwstr/>
      </vt:variant>
      <vt:variant>
        <vt:lpwstr>_Toc95743495</vt:lpwstr>
      </vt:variant>
      <vt:variant>
        <vt:i4>1441844</vt:i4>
      </vt:variant>
      <vt:variant>
        <vt:i4>890</vt:i4>
      </vt:variant>
      <vt:variant>
        <vt:i4>0</vt:i4>
      </vt:variant>
      <vt:variant>
        <vt:i4>5</vt:i4>
      </vt:variant>
      <vt:variant>
        <vt:lpwstr/>
      </vt:variant>
      <vt:variant>
        <vt:lpwstr>_Toc95743494</vt:lpwstr>
      </vt:variant>
      <vt:variant>
        <vt:i4>1114164</vt:i4>
      </vt:variant>
      <vt:variant>
        <vt:i4>884</vt:i4>
      </vt:variant>
      <vt:variant>
        <vt:i4>0</vt:i4>
      </vt:variant>
      <vt:variant>
        <vt:i4>5</vt:i4>
      </vt:variant>
      <vt:variant>
        <vt:lpwstr/>
      </vt:variant>
      <vt:variant>
        <vt:lpwstr>_Toc95743493</vt:lpwstr>
      </vt:variant>
      <vt:variant>
        <vt:i4>1048628</vt:i4>
      </vt:variant>
      <vt:variant>
        <vt:i4>878</vt:i4>
      </vt:variant>
      <vt:variant>
        <vt:i4>0</vt:i4>
      </vt:variant>
      <vt:variant>
        <vt:i4>5</vt:i4>
      </vt:variant>
      <vt:variant>
        <vt:lpwstr/>
      </vt:variant>
      <vt:variant>
        <vt:lpwstr>_Toc95743492</vt:lpwstr>
      </vt:variant>
      <vt:variant>
        <vt:i4>1245236</vt:i4>
      </vt:variant>
      <vt:variant>
        <vt:i4>872</vt:i4>
      </vt:variant>
      <vt:variant>
        <vt:i4>0</vt:i4>
      </vt:variant>
      <vt:variant>
        <vt:i4>5</vt:i4>
      </vt:variant>
      <vt:variant>
        <vt:lpwstr/>
      </vt:variant>
      <vt:variant>
        <vt:lpwstr>_Toc95743491</vt:lpwstr>
      </vt:variant>
      <vt:variant>
        <vt:i4>1179700</vt:i4>
      </vt:variant>
      <vt:variant>
        <vt:i4>866</vt:i4>
      </vt:variant>
      <vt:variant>
        <vt:i4>0</vt:i4>
      </vt:variant>
      <vt:variant>
        <vt:i4>5</vt:i4>
      </vt:variant>
      <vt:variant>
        <vt:lpwstr/>
      </vt:variant>
      <vt:variant>
        <vt:lpwstr>_Toc95743490</vt:lpwstr>
      </vt:variant>
      <vt:variant>
        <vt:i4>1769525</vt:i4>
      </vt:variant>
      <vt:variant>
        <vt:i4>860</vt:i4>
      </vt:variant>
      <vt:variant>
        <vt:i4>0</vt:i4>
      </vt:variant>
      <vt:variant>
        <vt:i4>5</vt:i4>
      </vt:variant>
      <vt:variant>
        <vt:lpwstr/>
      </vt:variant>
      <vt:variant>
        <vt:lpwstr>_Toc95743489</vt:lpwstr>
      </vt:variant>
      <vt:variant>
        <vt:i4>1703989</vt:i4>
      </vt:variant>
      <vt:variant>
        <vt:i4>854</vt:i4>
      </vt:variant>
      <vt:variant>
        <vt:i4>0</vt:i4>
      </vt:variant>
      <vt:variant>
        <vt:i4>5</vt:i4>
      </vt:variant>
      <vt:variant>
        <vt:lpwstr/>
      </vt:variant>
      <vt:variant>
        <vt:lpwstr>_Toc95743488</vt:lpwstr>
      </vt:variant>
      <vt:variant>
        <vt:i4>1376309</vt:i4>
      </vt:variant>
      <vt:variant>
        <vt:i4>848</vt:i4>
      </vt:variant>
      <vt:variant>
        <vt:i4>0</vt:i4>
      </vt:variant>
      <vt:variant>
        <vt:i4>5</vt:i4>
      </vt:variant>
      <vt:variant>
        <vt:lpwstr/>
      </vt:variant>
      <vt:variant>
        <vt:lpwstr>_Toc95743487</vt:lpwstr>
      </vt:variant>
      <vt:variant>
        <vt:i4>1310773</vt:i4>
      </vt:variant>
      <vt:variant>
        <vt:i4>842</vt:i4>
      </vt:variant>
      <vt:variant>
        <vt:i4>0</vt:i4>
      </vt:variant>
      <vt:variant>
        <vt:i4>5</vt:i4>
      </vt:variant>
      <vt:variant>
        <vt:lpwstr/>
      </vt:variant>
      <vt:variant>
        <vt:lpwstr>_Toc95743486</vt:lpwstr>
      </vt:variant>
      <vt:variant>
        <vt:i4>1507381</vt:i4>
      </vt:variant>
      <vt:variant>
        <vt:i4>836</vt:i4>
      </vt:variant>
      <vt:variant>
        <vt:i4>0</vt:i4>
      </vt:variant>
      <vt:variant>
        <vt:i4>5</vt:i4>
      </vt:variant>
      <vt:variant>
        <vt:lpwstr/>
      </vt:variant>
      <vt:variant>
        <vt:lpwstr>_Toc95743485</vt:lpwstr>
      </vt:variant>
      <vt:variant>
        <vt:i4>1441845</vt:i4>
      </vt:variant>
      <vt:variant>
        <vt:i4>830</vt:i4>
      </vt:variant>
      <vt:variant>
        <vt:i4>0</vt:i4>
      </vt:variant>
      <vt:variant>
        <vt:i4>5</vt:i4>
      </vt:variant>
      <vt:variant>
        <vt:lpwstr/>
      </vt:variant>
      <vt:variant>
        <vt:lpwstr>_Toc95743484</vt:lpwstr>
      </vt:variant>
      <vt:variant>
        <vt:i4>1114165</vt:i4>
      </vt:variant>
      <vt:variant>
        <vt:i4>824</vt:i4>
      </vt:variant>
      <vt:variant>
        <vt:i4>0</vt:i4>
      </vt:variant>
      <vt:variant>
        <vt:i4>5</vt:i4>
      </vt:variant>
      <vt:variant>
        <vt:lpwstr/>
      </vt:variant>
      <vt:variant>
        <vt:lpwstr>_Toc95743483</vt:lpwstr>
      </vt:variant>
      <vt:variant>
        <vt:i4>1048629</vt:i4>
      </vt:variant>
      <vt:variant>
        <vt:i4>818</vt:i4>
      </vt:variant>
      <vt:variant>
        <vt:i4>0</vt:i4>
      </vt:variant>
      <vt:variant>
        <vt:i4>5</vt:i4>
      </vt:variant>
      <vt:variant>
        <vt:lpwstr/>
      </vt:variant>
      <vt:variant>
        <vt:lpwstr>_Toc95743482</vt:lpwstr>
      </vt:variant>
      <vt:variant>
        <vt:i4>1245237</vt:i4>
      </vt:variant>
      <vt:variant>
        <vt:i4>812</vt:i4>
      </vt:variant>
      <vt:variant>
        <vt:i4>0</vt:i4>
      </vt:variant>
      <vt:variant>
        <vt:i4>5</vt:i4>
      </vt:variant>
      <vt:variant>
        <vt:lpwstr/>
      </vt:variant>
      <vt:variant>
        <vt:lpwstr>_Toc95743481</vt:lpwstr>
      </vt:variant>
      <vt:variant>
        <vt:i4>1179701</vt:i4>
      </vt:variant>
      <vt:variant>
        <vt:i4>806</vt:i4>
      </vt:variant>
      <vt:variant>
        <vt:i4>0</vt:i4>
      </vt:variant>
      <vt:variant>
        <vt:i4>5</vt:i4>
      </vt:variant>
      <vt:variant>
        <vt:lpwstr/>
      </vt:variant>
      <vt:variant>
        <vt:lpwstr>_Toc95743480</vt:lpwstr>
      </vt:variant>
      <vt:variant>
        <vt:i4>1769530</vt:i4>
      </vt:variant>
      <vt:variant>
        <vt:i4>800</vt:i4>
      </vt:variant>
      <vt:variant>
        <vt:i4>0</vt:i4>
      </vt:variant>
      <vt:variant>
        <vt:i4>5</vt:i4>
      </vt:variant>
      <vt:variant>
        <vt:lpwstr/>
      </vt:variant>
      <vt:variant>
        <vt:lpwstr>_Toc95743479</vt:lpwstr>
      </vt:variant>
      <vt:variant>
        <vt:i4>1703994</vt:i4>
      </vt:variant>
      <vt:variant>
        <vt:i4>794</vt:i4>
      </vt:variant>
      <vt:variant>
        <vt:i4>0</vt:i4>
      </vt:variant>
      <vt:variant>
        <vt:i4>5</vt:i4>
      </vt:variant>
      <vt:variant>
        <vt:lpwstr/>
      </vt:variant>
      <vt:variant>
        <vt:lpwstr>_Toc95743478</vt:lpwstr>
      </vt:variant>
      <vt:variant>
        <vt:i4>1376314</vt:i4>
      </vt:variant>
      <vt:variant>
        <vt:i4>788</vt:i4>
      </vt:variant>
      <vt:variant>
        <vt:i4>0</vt:i4>
      </vt:variant>
      <vt:variant>
        <vt:i4>5</vt:i4>
      </vt:variant>
      <vt:variant>
        <vt:lpwstr/>
      </vt:variant>
      <vt:variant>
        <vt:lpwstr>_Toc95743477</vt:lpwstr>
      </vt:variant>
      <vt:variant>
        <vt:i4>1310778</vt:i4>
      </vt:variant>
      <vt:variant>
        <vt:i4>782</vt:i4>
      </vt:variant>
      <vt:variant>
        <vt:i4>0</vt:i4>
      </vt:variant>
      <vt:variant>
        <vt:i4>5</vt:i4>
      </vt:variant>
      <vt:variant>
        <vt:lpwstr/>
      </vt:variant>
      <vt:variant>
        <vt:lpwstr>_Toc95743476</vt:lpwstr>
      </vt:variant>
      <vt:variant>
        <vt:i4>1507386</vt:i4>
      </vt:variant>
      <vt:variant>
        <vt:i4>776</vt:i4>
      </vt:variant>
      <vt:variant>
        <vt:i4>0</vt:i4>
      </vt:variant>
      <vt:variant>
        <vt:i4>5</vt:i4>
      </vt:variant>
      <vt:variant>
        <vt:lpwstr/>
      </vt:variant>
      <vt:variant>
        <vt:lpwstr>_Toc95743475</vt:lpwstr>
      </vt:variant>
      <vt:variant>
        <vt:i4>1441850</vt:i4>
      </vt:variant>
      <vt:variant>
        <vt:i4>770</vt:i4>
      </vt:variant>
      <vt:variant>
        <vt:i4>0</vt:i4>
      </vt:variant>
      <vt:variant>
        <vt:i4>5</vt:i4>
      </vt:variant>
      <vt:variant>
        <vt:lpwstr/>
      </vt:variant>
      <vt:variant>
        <vt:lpwstr>_Toc95743474</vt:lpwstr>
      </vt:variant>
      <vt:variant>
        <vt:i4>1114170</vt:i4>
      </vt:variant>
      <vt:variant>
        <vt:i4>764</vt:i4>
      </vt:variant>
      <vt:variant>
        <vt:i4>0</vt:i4>
      </vt:variant>
      <vt:variant>
        <vt:i4>5</vt:i4>
      </vt:variant>
      <vt:variant>
        <vt:lpwstr/>
      </vt:variant>
      <vt:variant>
        <vt:lpwstr>_Toc95743473</vt:lpwstr>
      </vt:variant>
      <vt:variant>
        <vt:i4>1048634</vt:i4>
      </vt:variant>
      <vt:variant>
        <vt:i4>758</vt:i4>
      </vt:variant>
      <vt:variant>
        <vt:i4>0</vt:i4>
      </vt:variant>
      <vt:variant>
        <vt:i4>5</vt:i4>
      </vt:variant>
      <vt:variant>
        <vt:lpwstr/>
      </vt:variant>
      <vt:variant>
        <vt:lpwstr>_Toc95743472</vt:lpwstr>
      </vt:variant>
      <vt:variant>
        <vt:i4>1245242</vt:i4>
      </vt:variant>
      <vt:variant>
        <vt:i4>752</vt:i4>
      </vt:variant>
      <vt:variant>
        <vt:i4>0</vt:i4>
      </vt:variant>
      <vt:variant>
        <vt:i4>5</vt:i4>
      </vt:variant>
      <vt:variant>
        <vt:lpwstr/>
      </vt:variant>
      <vt:variant>
        <vt:lpwstr>_Toc95743471</vt:lpwstr>
      </vt:variant>
      <vt:variant>
        <vt:i4>1179706</vt:i4>
      </vt:variant>
      <vt:variant>
        <vt:i4>746</vt:i4>
      </vt:variant>
      <vt:variant>
        <vt:i4>0</vt:i4>
      </vt:variant>
      <vt:variant>
        <vt:i4>5</vt:i4>
      </vt:variant>
      <vt:variant>
        <vt:lpwstr/>
      </vt:variant>
      <vt:variant>
        <vt:lpwstr>_Toc95743470</vt:lpwstr>
      </vt:variant>
      <vt:variant>
        <vt:i4>1769531</vt:i4>
      </vt:variant>
      <vt:variant>
        <vt:i4>740</vt:i4>
      </vt:variant>
      <vt:variant>
        <vt:i4>0</vt:i4>
      </vt:variant>
      <vt:variant>
        <vt:i4>5</vt:i4>
      </vt:variant>
      <vt:variant>
        <vt:lpwstr/>
      </vt:variant>
      <vt:variant>
        <vt:lpwstr>_Toc95743469</vt:lpwstr>
      </vt:variant>
      <vt:variant>
        <vt:i4>1703995</vt:i4>
      </vt:variant>
      <vt:variant>
        <vt:i4>734</vt:i4>
      </vt:variant>
      <vt:variant>
        <vt:i4>0</vt:i4>
      </vt:variant>
      <vt:variant>
        <vt:i4>5</vt:i4>
      </vt:variant>
      <vt:variant>
        <vt:lpwstr/>
      </vt:variant>
      <vt:variant>
        <vt:lpwstr>_Toc95743468</vt:lpwstr>
      </vt:variant>
      <vt:variant>
        <vt:i4>1376315</vt:i4>
      </vt:variant>
      <vt:variant>
        <vt:i4>728</vt:i4>
      </vt:variant>
      <vt:variant>
        <vt:i4>0</vt:i4>
      </vt:variant>
      <vt:variant>
        <vt:i4>5</vt:i4>
      </vt:variant>
      <vt:variant>
        <vt:lpwstr/>
      </vt:variant>
      <vt:variant>
        <vt:lpwstr>_Toc95743467</vt:lpwstr>
      </vt:variant>
      <vt:variant>
        <vt:i4>1310779</vt:i4>
      </vt:variant>
      <vt:variant>
        <vt:i4>722</vt:i4>
      </vt:variant>
      <vt:variant>
        <vt:i4>0</vt:i4>
      </vt:variant>
      <vt:variant>
        <vt:i4>5</vt:i4>
      </vt:variant>
      <vt:variant>
        <vt:lpwstr/>
      </vt:variant>
      <vt:variant>
        <vt:lpwstr>_Toc95743466</vt:lpwstr>
      </vt:variant>
      <vt:variant>
        <vt:i4>1507387</vt:i4>
      </vt:variant>
      <vt:variant>
        <vt:i4>716</vt:i4>
      </vt:variant>
      <vt:variant>
        <vt:i4>0</vt:i4>
      </vt:variant>
      <vt:variant>
        <vt:i4>5</vt:i4>
      </vt:variant>
      <vt:variant>
        <vt:lpwstr/>
      </vt:variant>
      <vt:variant>
        <vt:lpwstr>_Toc95743465</vt:lpwstr>
      </vt:variant>
      <vt:variant>
        <vt:i4>1441851</vt:i4>
      </vt:variant>
      <vt:variant>
        <vt:i4>710</vt:i4>
      </vt:variant>
      <vt:variant>
        <vt:i4>0</vt:i4>
      </vt:variant>
      <vt:variant>
        <vt:i4>5</vt:i4>
      </vt:variant>
      <vt:variant>
        <vt:lpwstr/>
      </vt:variant>
      <vt:variant>
        <vt:lpwstr>_Toc95743464</vt:lpwstr>
      </vt:variant>
      <vt:variant>
        <vt:i4>1114171</vt:i4>
      </vt:variant>
      <vt:variant>
        <vt:i4>704</vt:i4>
      </vt:variant>
      <vt:variant>
        <vt:i4>0</vt:i4>
      </vt:variant>
      <vt:variant>
        <vt:i4>5</vt:i4>
      </vt:variant>
      <vt:variant>
        <vt:lpwstr/>
      </vt:variant>
      <vt:variant>
        <vt:lpwstr>_Toc95743463</vt:lpwstr>
      </vt:variant>
      <vt:variant>
        <vt:i4>1048635</vt:i4>
      </vt:variant>
      <vt:variant>
        <vt:i4>698</vt:i4>
      </vt:variant>
      <vt:variant>
        <vt:i4>0</vt:i4>
      </vt:variant>
      <vt:variant>
        <vt:i4>5</vt:i4>
      </vt:variant>
      <vt:variant>
        <vt:lpwstr/>
      </vt:variant>
      <vt:variant>
        <vt:lpwstr>_Toc95743462</vt:lpwstr>
      </vt:variant>
      <vt:variant>
        <vt:i4>1245243</vt:i4>
      </vt:variant>
      <vt:variant>
        <vt:i4>692</vt:i4>
      </vt:variant>
      <vt:variant>
        <vt:i4>0</vt:i4>
      </vt:variant>
      <vt:variant>
        <vt:i4>5</vt:i4>
      </vt:variant>
      <vt:variant>
        <vt:lpwstr/>
      </vt:variant>
      <vt:variant>
        <vt:lpwstr>_Toc95743461</vt:lpwstr>
      </vt:variant>
      <vt:variant>
        <vt:i4>1179707</vt:i4>
      </vt:variant>
      <vt:variant>
        <vt:i4>686</vt:i4>
      </vt:variant>
      <vt:variant>
        <vt:i4>0</vt:i4>
      </vt:variant>
      <vt:variant>
        <vt:i4>5</vt:i4>
      </vt:variant>
      <vt:variant>
        <vt:lpwstr/>
      </vt:variant>
      <vt:variant>
        <vt:lpwstr>_Toc95743460</vt:lpwstr>
      </vt:variant>
      <vt:variant>
        <vt:i4>1769528</vt:i4>
      </vt:variant>
      <vt:variant>
        <vt:i4>680</vt:i4>
      </vt:variant>
      <vt:variant>
        <vt:i4>0</vt:i4>
      </vt:variant>
      <vt:variant>
        <vt:i4>5</vt:i4>
      </vt:variant>
      <vt:variant>
        <vt:lpwstr/>
      </vt:variant>
      <vt:variant>
        <vt:lpwstr>_Toc95743459</vt:lpwstr>
      </vt:variant>
      <vt:variant>
        <vt:i4>1703992</vt:i4>
      </vt:variant>
      <vt:variant>
        <vt:i4>674</vt:i4>
      </vt:variant>
      <vt:variant>
        <vt:i4>0</vt:i4>
      </vt:variant>
      <vt:variant>
        <vt:i4>5</vt:i4>
      </vt:variant>
      <vt:variant>
        <vt:lpwstr/>
      </vt:variant>
      <vt:variant>
        <vt:lpwstr>_Toc95743458</vt:lpwstr>
      </vt:variant>
      <vt:variant>
        <vt:i4>1376312</vt:i4>
      </vt:variant>
      <vt:variant>
        <vt:i4>668</vt:i4>
      </vt:variant>
      <vt:variant>
        <vt:i4>0</vt:i4>
      </vt:variant>
      <vt:variant>
        <vt:i4>5</vt:i4>
      </vt:variant>
      <vt:variant>
        <vt:lpwstr/>
      </vt:variant>
      <vt:variant>
        <vt:lpwstr>_Toc95743457</vt:lpwstr>
      </vt:variant>
      <vt:variant>
        <vt:i4>1310776</vt:i4>
      </vt:variant>
      <vt:variant>
        <vt:i4>662</vt:i4>
      </vt:variant>
      <vt:variant>
        <vt:i4>0</vt:i4>
      </vt:variant>
      <vt:variant>
        <vt:i4>5</vt:i4>
      </vt:variant>
      <vt:variant>
        <vt:lpwstr/>
      </vt:variant>
      <vt:variant>
        <vt:lpwstr>_Toc95743456</vt:lpwstr>
      </vt:variant>
      <vt:variant>
        <vt:i4>1507384</vt:i4>
      </vt:variant>
      <vt:variant>
        <vt:i4>656</vt:i4>
      </vt:variant>
      <vt:variant>
        <vt:i4>0</vt:i4>
      </vt:variant>
      <vt:variant>
        <vt:i4>5</vt:i4>
      </vt:variant>
      <vt:variant>
        <vt:lpwstr/>
      </vt:variant>
      <vt:variant>
        <vt:lpwstr>_Toc95743455</vt:lpwstr>
      </vt:variant>
      <vt:variant>
        <vt:i4>1441848</vt:i4>
      </vt:variant>
      <vt:variant>
        <vt:i4>650</vt:i4>
      </vt:variant>
      <vt:variant>
        <vt:i4>0</vt:i4>
      </vt:variant>
      <vt:variant>
        <vt:i4>5</vt:i4>
      </vt:variant>
      <vt:variant>
        <vt:lpwstr/>
      </vt:variant>
      <vt:variant>
        <vt:lpwstr>_Toc95743454</vt:lpwstr>
      </vt:variant>
      <vt:variant>
        <vt:i4>1114168</vt:i4>
      </vt:variant>
      <vt:variant>
        <vt:i4>644</vt:i4>
      </vt:variant>
      <vt:variant>
        <vt:i4>0</vt:i4>
      </vt:variant>
      <vt:variant>
        <vt:i4>5</vt:i4>
      </vt:variant>
      <vt:variant>
        <vt:lpwstr/>
      </vt:variant>
      <vt:variant>
        <vt:lpwstr>_Toc95743453</vt:lpwstr>
      </vt:variant>
      <vt:variant>
        <vt:i4>1048632</vt:i4>
      </vt:variant>
      <vt:variant>
        <vt:i4>638</vt:i4>
      </vt:variant>
      <vt:variant>
        <vt:i4>0</vt:i4>
      </vt:variant>
      <vt:variant>
        <vt:i4>5</vt:i4>
      </vt:variant>
      <vt:variant>
        <vt:lpwstr/>
      </vt:variant>
      <vt:variant>
        <vt:lpwstr>_Toc95743452</vt:lpwstr>
      </vt:variant>
      <vt:variant>
        <vt:i4>1245240</vt:i4>
      </vt:variant>
      <vt:variant>
        <vt:i4>632</vt:i4>
      </vt:variant>
      <vt:variant>
        <vt:i4>0</vt:i4>
      </vt:variant>
      <vt:variant>
        <vt:i4>5</vt:i4>
      </vt:variant>
      <vt:variant>
        <vt:lpwstr/>
      </vt:variant>
      <vt:variant>
        <vt:lpwstr>_Toc95743451</vt:lpwstr>
      </vt:variant>
      <vt:variant>
        <vt:i4>1179704</vt:i4>
      </vt:variant>
      <vt:variant>
        <vt:i4>626</vt:i4>
      </vt:variant>
      <vt:variant>
        <vt:i4>0</vt:i4>
      </vt:variant>
      <vt:variant>
        <vt:i4>5</vt:i4>
      </vt:variant>
      <vt:variant>
        <vt:lpwstr/>
      </vt:variant>
      <vt:variant>
        <vt:lpwstr>_Toc95743450</vt:lpwstr>
      </vt:variant>
      <vt:variant>
        <vt:i4>1769529</vt:i4>
      </vt:variant>
      <vt:variant>
        <vt:i4>620</vt:i4>
      </vt:variant>
      <vt:variant>
        <vt:i4>0</vt:i4>
      </vt:variant>
      <vt:variant>
        <vt:i4>5</vt:i4>
      </vt:variant>
      <vt:variant>
        <vt:lpwstr/>
      </vt:variant>
      <vt:variant>
        <vt:lpwstr>_Toc95743449</vt:lpwstr>
      </vt:variant>
      <vt:variant>
        <vt:i4>1703993</vt:i4>
      </vt:variant>
      <vt:variant>
        <vt:i4>614</vt:i4>
      </vt:variant>
      <vt:variant>
        <vt:i4>0</vt:i4>
      </vt:variant>
      <vt:variant>
        <vt:i4>5</vt:i4>
      </vt:variant>
      <vt:variant>
        <vt:lpwstr/>
      </vt:variant>
      <vt:variant>
        <vt:lpwstr>_Toc95743448</vt:lpwstr>
      </vt:variant>
      <vt:variant>
        <vt:i4>1376313</vt:i4>
      </vt:variant>
      <vt:variant>
        <vt:i4>608</vt:i4>
      </vt:variant>
      <vt:variant>
        <vt:i4>0</vt:i4>
      </vt:variant>
      <vt:variant>
        <vt:i4>5</vt:i4>
      </vt:variant>
      <vt:variant>
        <vt:lpwstr/>
      </vt:variant>
      <vt:variant>
        <vt:lpwstr>_Toc95743447</vt:lpwstr>
      </vt:variant>
      <vt:variant>
        <vt:i4>1310777</vt:i4>
      </vt:variant>
      <vt:variant>
        <vt:i4>602</vt:i4>
      </vt:variant>
      <vt:variant>
        <vt:i4>0</vt:i4>
      </vt:variant>
      <vt:variant>
        <vt:i4>5</vt:i4>
      </vt:variant>
      <vt:variant>
        <vt:lpwstr/>
      </vt:variant>
      <vt:variant>
        <vt:lpwstr>_Toc95743446</vt:lpwstr>
      </vt:variant>
      <vt:variant>
        <vt:i4>1507385</vt:i4>
      </vt:variant>
      <vt:variant>
        <vt:i4>596</vt:i4>
      </vt:variant>
      <vt:variant>
        <vt:i4>0</vt:i4>
      </vt:variant>
      <vt:variant>
        <vt:i4>5</vt:i4>
      </vt:variant>
      <vt:variant>
        <vt:lpwstr/>
      </vt:variant>
      <vt:variant>
        <vt:lpwstr>_Toc95743445</vt:lpwstr>
      </vt:variant>
      <vt:variant>
        <vt:i4>1441849</vt:i4>
      </vt:variant>
      <vt:variant>
        <vt:i4>590</vt:i4>
      </vt:variant>
      <vt:variant>
        <vt:i4>0</vt:i4>
      </vt:variant>
      <vt:variant>
        <vt:i4>5</vt:i4>
      </vt:variant>
      <vt:variant>
        <vt:lpwstr/>
      </vt:variant>
      <vt:variant>
        <vt:lpwstr>_Toc95743444</vt:lpwstr>
      </vt:variant>
      <vt:variant>
        <vt:i4>1114169</vt:i4>
      </vt:variant>
      <vt:variant>
        <vt:i4>584</vt:i4>
      </vt:variant>
      <vt:variant>
        <vt:i4>0</vt:i4>
      </vt:variant>
      <vt:variant>
        <vt:i4>5</vt:i4>
      </vt:variant>
      <vt:variant>
        <vt:lpwstr/>
      </vt:variant>
      <vt:variant>
        <vt:lpwstr>_Toc95743443</vt:lpwstr>
      </vt:variant>
      <vt:variant>
        <vt:i4>1048633</vt:i4>
      </vt:variant>
      <vt:variant>
        <vt:i4>578</vt:i4>
      </vt:variant>
      <vt:variant>
        <vt:i4>0</vt:i4>
      </vt:variant>
      <vt:variant>
        <vt:i4>5</vt:i4>
      </vt:variant>
      <vt:variant>
        <vt:lpwstr/>
      </vt:variant>
      <vt:variant>
        <vt:lpwstr>_Toc95743442</vt:lpwstr>
      </vt:variant>
      <vt:variant>
        <vt:i4>1245241</vt:i4>
      </vt:variant>
      <vt:variant>
        <vt:i4>572</vt:i4>
      </vt:variant>
      <vt:variant>
        <vt:i4>0</vt:i4>
      </vt:variant>
      <vt:variant>
        <vt:i4>5</vt:i4>
      </vt:variant>
      <vt:variant>
        <vt:lpwstr/>
      </vt:variant>
      <vt:variant>
        <vt:lpwstr>_Toc95743441</vt:lpwstr>
      </vt:variant>
      <vt:variant>
        <vt:i4>1179705</vt:i4>
      </vt:variant>
      <vt:variant>
        <vt:i4>566</vt:i4>
      </vt:variant>
      <vt:variant>
        <vt:i4>0</vt:i4>
      </vt:variant>
      <vt:variant>
        <vt:i4>5</vt:i4>
      </vt:variant>
      <vt:variant>
        <vt:lpwstr/>
      </vt:variant>
      <vt:variant>
        <vt:lpwstr>_Toc95743440</vt:lpwstr>
      </vt:variant>
      <vt:variant>
        <vt:i4>1769534</vt:i4>
      </vt:variant>
      <vt:variant>
        <vt:i4>560</vt:i4>
      </vt:variant>
      <vt:variant>
        <vt:i4>0</vt:i4>
      </vt:variant>
      <vt:variant>
        <vt:i4>5</vt:i4>
      </vt:variant>
      <vt:variant>
        <vt:lpwstr/>
      </vt:variant>
      <vt:variant>
        <vt:lpwstr>_Toc95743439</vt:lpwstr>
      </vt:variant>
      <vt:variant>
        <vt:i4>1703998</vt:i4>
      </vt:variant>
      <vt:variant>
        <vt:i4>554</vt:i4>
      </vt:variant>
      <vt:variant>
        <vt:i4>0</vt:i4>
      </vt:variant>
      <vt:variant>
        <vt:i4>5</vt:i4>
      </vt:variant>
      <vt:variant>
        <vt:lpwstr/>
      </vt:variant>
      <vt:variant>
        <vt:lpwstr>_Toc95743438</vt:lpwstr>
      </vt:variant>
      <vt:variant>
        <vt:i4>1376318</vt:i4>
      </vt:variant>
      <vt:variant>
        <vt:i4>548</vt:i4>
      </vt:variant>
      <vt:variant>
        <vt:i4>0</vt:i4>
      </vt:variant>
      <vt:variant>
        <vt:i4>5</vt:i4>
      </vt:variant>
      <vt:variant>
        <vt:lpwstr/>
      </vt:variant>
      <vt:variant>
        <vt:lpwstr>_Toc95743437</vt:lpwstr>
      </vt:variant>
      <vt:variant>
        <vt:i4>1310782</vt:i4>
      </vt:variant>
      <vt:variant>
        <vt:i4>542</vt:i4>
      </vt:variant>
      <vt:variant>
        <vt:i4>0</vt:i4>
      </vt:variant>
      <vt:variant>
        <vt:i4>5</vt:i4>
      </vt:variant>
      <vt:variant>
        <vt:lpwstr/>
      </vt:variant>
      <vt:variant>
        <vt:lpwstr>_Toc95743436</vt:lpwstr>
      </vt:variant>
      <vt:variant>
        <vt:i4>1507390</vt:i4>
      </vt:variant>
      <vt:variant>
        <vt:i4>536</vt:i4>
      </vt:variant>
      <vt:variant>
        <vt:i4>0</vt:i4>
      </vt:variant>
      <vt:variant>
        <vt:i4>5</vt:i4>
      </vt:variant>
      <vt:variant>
        <vt:lpwstr/>
      </vt:variant>
      <vt:variant>
        <vt:lpwstr>_Toc95743435</vt:lpwstr>
      </vt:variant>
      <vt:variant>
        <vt:i4>1441854</vt:i4>
      </vt:variant>
      <vt:variant>
        <vt:i4>530</vt:i4>
      </vt:variant>
      <vt:variant>
        <vt:i4>0</vt:i4>
      </vt:variant>
      <vt:variant>
        <vt:i4>5</vt:i4>
      </vt:variant>
      <vt:variant>
        <vt:lpwstr/>
      </vt:variant>
      <vt:variant>
        <vt:lpwstr>_Toc95743434</vt:lpwstr>
      </vt:variant>
      <vt:variant>
        <vt:i4>1114174</vt:i4>
      </vt:variant>
      <vt:variant>
        <vt:i4>524</vt:i4>
      </vt:variant>
      <vt:variant>
        <vt:i4>0</vt:i4>
      </vt:variant>
      <vt:variant>
        <vt:i4>5</vt:i4>
      </vt:variant>
      <vt:variant>
        <vt:lpwstr/>
      </vt:variant>
      <vt:variant>
        <vt:lpwstr>_Toc95743433</vt:lpwstr>
      </vt:variant>
      <vt:variant>
        <vt:i4>1048638</vt:i4>
      </vt:variant>
      <vt:variant>
        <vt:i4>518</vt:i4>
      </vt:variant>
      <vt:variant>
        <vt:i4>0</vt:i4>
      </vt:variant>
      <vt:variant>
        <vt:i4>5</vt:i4>
      </vt:variant>
      <vt:variant>
        <vt:lpwstr/>
      </vt:variant>
      <vt:variant>
        <vt:lpwstr>_Toc95743432</vt:lpwstr>
      </vt:variant>
      <vt:variant>
        <vt:i4>1245246</vt:i4>
      </vt:variant>
      <vt:variant>
        <vt:i4>512</vt:i4>
      </vt:variant>
      <vt:variant>
        <vt:i4>0</vt:i4>
      </vt:variant>
      <vt:variant>
        <vt:i4>5</vt:i4>
      </vt:variant>
      <vt:variant>
        <vt:lpwstr/>
      </vt:variant>
      <vt:variant>
        <vt:lpwstr>_Toc95743431</vt:lpwstr>
      </vt:variant>
      <vt:variant>
        <vt:i4>1179710</vt:i4>
      </vt:variant>
      <vt:variant>
        <vt:i4>506</vt:i4>
      </vt:variant>
      <vt:variant>
        <vt:i4>0</vt:i4>
      </vt:variant>
      <vt:variant>
        <vt:i4>5</vt:i4>
      </vt:variant>
      <vt:variant>
        <vt:lpwstr/>
      </vt:variant>
      <vt:variant>
        <vt:lpwstr>_Toc95743430</vt:lpwstr>
      </vt:variant>
      <vt:variant>
        <vt:i4>1769535</vt:i4>
      </vt:variant>
      <vt:variant>
        <vt:i4>500</vt:i4>
      </vt:variant>
      <vt:variant>
        <vt:i4>0</vt:i4>
      </vt:variant>
      <vt:variant>
        <vt:i4>5</vt:i4>
      </vt:variant>
      <vt:variant>
        <vt:lpwstr/>
      </vt:variant>
      <vt:variant>
        <vt:lpwstr>_Toc95743429</vt:lpwstr>
      </vt:variant>
      <vt:variant>
        <vt:i4>1703999</vt:i4>
      </vt:variant>
      <vt:variant>
        <vt:i4>494</vt:i4>
      </vt:variant>
      <vt:variant>
        <vt:i4>0</vt:i4>
      </vt:variant>
      <vt:variant>
        <vt:i4>5</vt:i4>
      </vt:variant>
      <vt:variant>
        <vt:lpwstr/>
      </vt:variant>
      <vt:variant>
        <vt:lpwstr>_Toc95743428</vt:lpwstr>
      </vt:variant>
      <vt:variant>
        <vt:i4>1376319</vt:i4>
      </vt:variant>
      <vt:variant>
        <vt:i4>488</vt:i4>
      </vt:variant>
      <vt:variant>
        <vt:i4>0</vt:i4>
      </vt:variant>
      <vt:variant>
        <vt:i4>5</vt:i4>
      </vt:variant>
      <vt:variant>
        <vt:lpwstr/>
      </vt:variant>
      <vt:variant>
        <vt:lpwstr>_Toc95743427</vt:lpwstr>
      </vt:variant>
      <vt:variant>
        <vt:i4>1310783</vt:i4>
      </vt:variant>
      <vt:variant>
        <vt:i4>482</vt:i4>
      </vt:variant>
      <vt:variant>
        <vt:i4>0</vt:i4>
      </vt:variant>
      <vt:variant>
        <vt:i4>5</vt:i4>
      </vt:variant>
      <vt:variant>
        <vt:lpwstr/>
      </vt:variant>
      <vt:variant>
        <vt:lpwstr>_Toc95743426</vt:lpwstr>
      </vt:variant>
      <vt:variant>
        <vt:i4>1507391</vt:i4>
      </vt:variant>
      <vt:variant>
        <vt:i4>476</vt:i4>
      </vt:variant>
      <vt:variant>
        <vt:i4>0</vt:i4>
      </vt:variant>
      <vt:variant>
        <vt:i4>5</vt:i4>
      </vt:variant>
      <vt:variant>
        <vt:lpwstr/>
      </vt:variant>
      <vt:variant>
        <vt:lpwstr>_Toc95743425</vt:lpwstr>
      </vt:variant>
      <vt:variant>
        <vt:i4>1441855</vt:i4>
      </vt:variant>
      <vt:variant>
        <vt:i4>470</vt:i4>
      </vt:variant>
      <vt:variant>
        <vt:i4>0</vt:i4>
      </vt:variant>
      <vt:variant>
        <vt:i4>5</vt:i4>
      </vt:variant>
      <vt:variant>
        <vt:lpwstr/>
      </vt:variant>
      <vt:variant>
        <vt:lpwstr>_Toc95743424</vt:lpwstr>
      </vt:variant>
      <vt:variant>
        <vt:i4>1114175</vt:i4>
      </vt:variant>
      <vt:variant>
        <vt:i4>464</vt:i4>
      </vt:variant>
      <vt:variant>
        <vt:i4>0</vt:i4>
      </vt:variant>
      <vt:variant>
        <vt:i4>5</vt:i4>
      </vt:variant>
      <vt:variant>
        <vt:lpwstr/>
      </vt:variant>
      <vt:variant>
        <vt:lpwstr>_Toc95743423</vt:lpwstr>
      </vt:variant>
      <vt:variant>
        <vt:i4>1048639</vt:i4>
      </vt:variant>
      <vt:variant>
        <vt:i4>458</vt:i4>
      </vt:variant>
      <vt:variant>
        <vt:i4>0</vt:i4>
      </vt:variant>
      <vt:variant>
        <vt:i4>5</vt:i4>
      </vt:variant>
      <vt:variant>
        <vt:lpwstr/>
      </vt:variant>
      <vt:variant>
        <vt:lpwstr>_Toc95743422</vt:lpwstr>
      </vt:variant>
      <vt:variant>
        <vt:i4>1245247</vt:i4>
      </vt:variant>
      <vt:variant>
        <vt:i4>452</vt:i4>
      </vt:variant>
      <vt:variant>
        <vt:i4>0</vt:i4>
      </vt:variant>
      <vt:variant>
        <vt:i4>5</vt:i4>
      </vt:variant>
      <vt:variant>
        <vt:lpwstr/>
      </vt:variant>
      <vt:variant>
        <vt:lpwstr>_Toc95743421</vt:lpwstr>
      </vt:variant>
      <vt:variant>
        <vt:i4>1179711</vt:i4>
      </vt:variant>
      <vt:variant>
        <vt:i4>446</vt:i4>
      </vt:variant>
      <vt:variant>
        <vt:i4>0</vt:i4>
      </vt:variant>
      <vt:variant>
        <vt:i4>5</vt:i4>
      </vt:variant>
      <vt:variant>
        <vt:lpwstr/>
      </vt:variant>
      <vt:variant>
        <vt:lpwstr>_Toc95743420</vt:lpwstr>
      </vt:variant>
      <vt:variant>
        <vt:i4>1769532</vt:i4>
      </vt:variant>
      <vt:variant>
        <vt:i4>440</vt:i4>
      </vt:variant>
      <vt:variant>
        <vt:i4>0</vt:i4>
      </vt:variant>
      <vt:variant>
        <vt:i4>5</vt:i4>
      </vt:variant>
      <vt:variant>
        <vt:lpwstr/>
      </vt:variant>
      <vt:variant>
        <vt:lpwstr>_Toc95743419</vt:lpwstr>
      </vt:variant>
      <vt:variant>
        <vt:i4>1703996</vt:i4>
      </vt:variant>
      <vt:variant>
        <vt:i4>434</vt:i4>
      </vt:variant>
      <vt:variant>
        <vt:i4>0</vt:i4>
      </vt:variant>
      <vt:variant>
        <vt:i4>5</vt:i4>
      </vt:variant>
      <vt:variant>
        <vt:lpwstr/>
      </vt:variant>
      <vt:variant>
        <vt:lpwstr>_Toc95743418</vt:lpwstr>
      </vt:variant>
      <vt:variant>
        <vt:i4>1376316</vt:i4>
      </vt:variant>
      <vt:variant>
        <vt:i4>428</vt:i4>
      </vt:variant>
      <vt:variant>
        <vt:i4>0</vt:i4>
      </vt:variant>
      <vt:variant>
        <vt:i4>5</vt:i4>
      </vt:variant>
      <vt:variant>
        <vt:lpwstr/>
      </vt:variant>
      <vt:variant>
        <vt:lpwstr>_Toc95743417</vt:lpwstr>
      </vt:variant>
      <vt:variant>
        <vt:i4>1310780</vt:i4>
      </vt:variant>
      <vt:variant>
        <vt:i4>422</vt:i4>
      </vt:variant>
      <vt:variant>
        <vt:i4>0</vt:i4>
      </vt:variant>
      <vt:variant>
        <vt:i4>5</vt:i4>
      </vt:variant>
      <vt:variant>
        <vt:lpwstr/>
      </vt:variant>
      <vt:variant>
        <vt:lpwstr>_Toc95743416</vt:lpwstr>
      </vt:variant>
      <vt:variant>
        <vt:i4>1507388</vt:i4>
      </vt:variant>
      <vt:variant>
        <vt:i4>416</vt:i4>
      </vt:variant>
      <vt:variant>
        <vt:i4>0</vt:i4>
      </vt:variant>
      <vt:variant>
        <vt:i4>5</vt:i4>
      </vt:variant>
      <vt:variant>
        <vt:lpwstr/>
      </vt:variant>
      <vt:variant>
        <vt:lpwstr>_Toc95743415</vt:lpwstr>
      </vt:variant>
      <vt:variant>
        <vt:i4>1441852</vt:i4>
      </vt:variant>
      <vt:variant>
        <vt:i4>410</vt:i4>
      </vt:variant>
      <vt:variant>
        <vt:i4>0</vt:i4>
      </vt:variant>
      <vt:variant>
        <vt:i4>5</vt:i4>
      </vt:variant>
      <vt:variant>
        <vt:lpwstr/>
      </vt:variant>
      <vt:variant>
        <vt:lpwstr>_Toc95743414</vt:lpwstr>
      </vt:variant>
      <vt:variant>
        <vt:i4>1114172</vt:i4>
      </vt:variant>
      <vt:variant>
        <vt:i4>404</vt:i4>
      </vt:variant>
      <vt:variant>
        <vt:i4>0</vt:i4>
      </vt:variant>
      <vt:variant>
        <vt:i4>5</vt:i4>
      </vt:variant>
      <vt:variant>
        <vt:lpwstr/>
      </vt:variant>
      <vt:variant>
        <vt:lpwstr>_Toc95743413</vt:lpwstr>
      </vt:variant>
      <vt:variant>
        <vt:i4>1048636</vt:i4>
      </vt:variant>
      <vt:variant>
        <vt:i4>398</vt:i4>
      </vt:variant>
      <vt:variant>
        <vt:i4>0</vt:i4>
      </vt:variant>
      <vt:variant>
        <vt:i4>5</vt:i4>
      </vt:variant>
      <vt:variant>
        <vt:lpwstr/>
      </vt:variant>
      <vt:variant>
        <vt:lpwstr>_Toc95743412</vt:lpwstr>
      </vt:variant>
      <vt:variant>
        <vt:i4>1245244</vt:i4>
      </vt:variant>
      <vt:variant>
        <vt:i4>392</vt:i4>
      </vt:variant>
      <vt:variant>
        <vt:i4>0</vt:i4>
      </vt:variant>
      <vt:variant>
        <vt:i4>5</vt:i4>
      </vt:variant>
      <vt:variant>
        <vt:lpwstr/>
      </vt:variant>
      <vt:variant>
        <vt:lpwstr>_Toc95743411</vt:lpwstr>
      </vt:variant>
      <vt:variant>
        <vt:i4>1179708</vt:i4>
      </vt:variant>
      <vt:variant>
        <vt:i4>386</vt:i4>
      </vt:variant>
      <vt:variant>
        <vt:i4>0</vt:i4>
      </vt:variant>
      <vt:variant>
        <vt:i4>5</vt:i4>
      </vt:variant>
      <vt:variant>
        <vt:lpwstr/>
      </vt:variant>
      <vt:variant>
        <vt:lpwstr>_Toc95743410</vt:lpwstr>
      </vt:variant>
      <vt:variant>
        <vt:i4>1769533</vt:i4>
      </vt:variant>
      <vt:variant>
        <vt:i4>380</vt:i4>
      </vt:variant>
      <vt:variant>
        <vt:i4>0</vt:i4>
      </vt:variant>
      <vt:variant>
        <vt:i4>5</vt:i4>
      </vt:variant>
      <vt:variant>
        <vt:lpwstr/>
      </vt:variant>
      <vt:variant>
        <vt:lpwstr>_Toc95743409</vt:lpwstr>
      </vt:variant>
      <vt:variant>
        <vt:i4>1703997</vt:i4>
      </vt:variant>
      <vt:variant>
        <vt:i4>374</vt:i4>
      </vt:variant>
      <vt:variant>
        <vt:i4>0</vt:i4>
      </vt:variant>
      <vt:variant>
        <vt:i4>5</vt:i4>
      </vt:variant>
      <vt:variant>
        <vt:lpwstr/>
      </vt:variant>
      <vt:variant>
        <vt:lpwstr>_Toc95743408</vt:lpwstr>
      </vt:variant>
      <vt:variant>
        <vt:i4>1376317</vt:i4>
      </vt:variant>
      <vt:variant>
        <vt:i4>368</vt:i4>
      </vt:variant>
      <vt:variant>
        <vt:i4>0</vt:i4>
      </vt:variant>
      <vt:variant>
        <vt:i4>5</vt:i4>
      </vt:variant>
      <vt:variant>
        <vt:lpwstr/>
      </vt:variant>
      <vt:variant>
        <vt:lpwstr>_Toc95743407</vt:lpwstr>
      </vt:variant>
      <vt:variant>
        <vt:i4>1310781</vt:i4>
      </vt:variant>
      <vt:variant>
        <vt:i4>362</vt:i4>
      </vt:variant>
      <vt:variant>
        <vt:i4>0</vt:i4>
      </vt:variant>
      <vt:variant>
        <vt:i4>5</vt:i4>
      </vt:variant>
      <vt:variant>
        <vt:lpwstr/>
      </vt:variant>
      <vt:variant>
        <vt:lpwstr>_Toc95743406</vt:lpwstr>
      </vt:variant>
      <vt:variant>
        <vt:i4>1507389</vt:i4>
      </vt:variant>
      <vt:variant>
        <vt:i4>356</vt:i4>
      </vt:variant>
      <vt:variant>
        <vt:i4>0</vt:i4>
      </vt:variant>
      <vt:variant>
        <vt:i4>5</vt:i4>
      </vt:variant>
      <vt:variant>
        <vt:lpwstr/>
      </vt:variant>
      <vt:variant>
        <vt:lpwstr>_Toc95743405</vt:lpwstr>
      </vt:variant>
      <vt:variant>
        <vt:i4>1441853</vt:i4>
      </vt:variant>
      <vt:variant>
        <vt:i4>350</vt:i4>
      </vt:variant>
      <vt:variant>
        <vt:i4>0</vt:i4>
      </vt:variant>
      <vt:variant>
        <vt:i4>5</vt:i4>
      </vt:variant>
      <vt:variant>
        <vt:lpwstr/>
      </vt:variant>
      <vt:variant>
        <vt:lpwstr>_Toc95743404</vt:lpwstr>
      </vt:variant>
      <vt:variant>
        <vt:i4>1114173</vt:i4>
      </vt:variant>
      <vt:variant>
        <vt:i4>344</vt:i4>
      </vt:variant>
      <vt:variant>
        <vt:i4>0</vt:i4>
      </vt:variant>
      <vt:variant>
        <vt:i4>5</vt:i4>
      </vt:variant>
      <vt:variant>
        <vt:lpwstr/>
      </vt:variant>
      <vt:variant>
        <vt:lpwstr>_Toc95743403</vt:lpwstr>
      </vt:variant>
      <vt:variant>
        <vt:i4>1048637</vt:i4>
      </vt:variant>
      <vt:variant>
        <vt:i4>338</vt:i4>
      </vt:variant>
      <vt:variant>
        <vt:i4>0</vt:i4>
      </vt:variant>
      <vt:variant>
        <vt:i4>5</vt:i4>
      </vt:variant>
      <vt:variant>
        <vt:lpwstr/>
      </vt:variant>
      <vt:variant>
        <vt:lpwstr>_Toc95743402</vt:lpwstr>
      </vt:variant>
      <vt:variant>
        <vt:i4>1245245</vt:i4>
      </vt:variant>
      <vt:variant>
        <vt:i4>332</vt:i4>
      </vt:variant>
      <vt:variant>
        <vt:i4>0</vt:i4>
      </vt:variant>
      <vt:variant>
        <vt:i4>5</vt:i4>
      </vt:variant>
      <vt:variant>
        <vt:lpwstr/>
      </vt:variant>
      <vt:variant>
        <vt:lpwstr>_Toc95743401</vt:lpwstr>
      </vt:variant>
      <vt:variant>
        <vt:i4>1179709</vt:i4>
      </vt:variant>
      <vt:variant>
        <vt:i4>326</vt:i4>
      </vt:variant>
      <vt:variant>
        <vt:i4>0</vt:i4>
      </vt:variant>
      <vt:variant>
        <vt:i4>5</vt:i4>
      </vt:variant>
      <vt:variant>
        <vt:lpwstr/>
      </vt:variant>
      <vt:variant>
        <vt:lpwstr>_Toc95743400</vt:lpwstr>
      </vt:variant>
      <vt:variant>
        <vt:i4>1835060</vt:i4>
      </vt:variant>
      <vt:variant>
        <vt:i4>320</vt:i4>
      </vt:variant>
      <vt:variant>
        <vt:i4>0</vt:i4>
      </vt:variant>
      <vt:variant>
        <vt:i4>5</vt:i4>
      </vt:variant>
      <vt:variant>
        <vt:lpwstr/>
      </vt:variant>
      <vt:variant>
        <vt:lpwstr>_Toc95743399</vt:lpwstr>
      </vt:variant>
      <vt:variant>
        <vt:i4>1900596</vt:i4>
      </vt:variant>
      <vt:variant>
        <vt:i4>314</vt:i4>
      </vt:variant>
      <vt:variant>
        <vt:i4>0</vt:i4>
      </vt:variant>
      <vt:variant>
        <vt:i4>5</vt:i4>
      </vt:variant>
      <vt:variant>
        <vt:lpwstr/>
      </vt:variant>
      <vt:variant>
        <vt:lpwstr>_Toc95743398</vt:lpwstr>
      </vt:variant>
      <vt:variant>
        <vt:i4>1179700</vt:i4>
      </vt:variant>
      <vt:variant>
        <vt:i4>308</vt:i4>
      </vt:variant>
      <vt:variant>
        <vt:i4>0</vt:i4>
      </vt:variant>
      <vt:variant>
        <vt:i4>5</vt:i4>
      </vt:variant>
      <vt:variant>
        <vt:lpwstr/>
      </vt:variant>
      <vt:variant>
        <vt:lpwstr>_Toc95743397</vt:lpwstr>
      </vt:variant>
      <vt:variant>
        <vt:i4>1245236</vt:i4>
      </vt:variant>
      <vt:variant>
        <vt:i4>302</vt:i4>
      </vt:variant>
      <vt:variant>
        <vt:i4>0</vt:i4>
      </vt:variant>
      <vt:variant>
        <vt:i4>5</vt:i4>
      </vt:variant>
      <vt:variant>
        <vt:lpwstr/>
      </vt:variant>
      <vt:variant>
        <vt:lpwstr>_Toc95743396</vt:lpwstr>
      </vt:variant>
      <vt:variant>
        <vt:i4>1048628</vt:i4>
      </vt:variant>
      <vt:variant>
        <vt:i4>296</vt:i4>
      </vt:variant>
      <vt:variant>
        <vt:i4>0</vt:i4>
      </vt:variant>
      <vt:variant>
        <vt:i4>5</vt:i4>
      </vt:variant>
      <vt:variant>
        <vt:lpwstr/>
      </vt:variant>
      <vt:variant>
        <vt:lpwstr>_Toc95743395</vt:lpwstr>
      </vt:variant>
      <vt:variant>
        <vt:i4>1114164</vt:i4>
      </vt:variant>
      <vt:variant>
        <vt:i4>290</vt:i4>
      </vt:variant>
      <vt:variant>
        <vt:i4>0</vt:i4>
      </vt:variant>
      <vt:variant>
        <vt:i4>5</vt:i4>
      </vt:variant>
      <vt:variant>
        <vt:lpwstr/>
      </vt:variant>
      <vt:variant>
        <vt:lpwstr>_Toc95743394</vt:lpwstr>
      </vt:variant>
      <vt:variant>
        <vt:i4>1441844</vt:i4>
      </vt:variant>
      <vt:variant>
        <vt:i4>284</vt:i4>
      </vt:variant>
      <vt:variant>
        <vt:i4>0</vt:i4>
      </vt:variant>
      <vt:variant>
        <vt:i4>5</vt:i4>
      </vt:variant>
      <vt:variant>
        <vt:lpwstr/>
      </vt:variant>
      <vt:variant>
        <vt:lpwstr>_Toc95743393</vt:lpwstr>
      </vt:variant>
      <vt:variant>
        <vt:i4>1507380</vt:i4>
      </vt:variant>
      <vt:variant>
        <vt:i4>278</vt:i4>
      </vt:variant>
      <vt:variant>
        <vt:i4>0</vt:i4>
      </vt:variant>
      <vt:variant>
        <vt:i4>5</vt:i4>
      </vt:variant>
      <vt:variant>
        <vt:lpwstr/>
      </vt:variant>
      <vt:variant>
        <vt:lpwstr>_Toc95743392</vt:lpwstr>
      </vt:variant>
      <vt:variant>
        <vt:i4>1310772</vt:i4>
      </vt:variant>
      <vt:variant>
        <vt:i4>272</vt:i4>
      </vt:variant>
      <vt:variant>
        <vt:i4>0</vt:i4>
      </vt:variant>
      <vt:variant>
        <vt:i4>5</vt:i4>
      </vt:variant>
      <vt:variant>
        <vt:lpwstr/>
      </vt:variant>
      <vt:variant>
        <vt:lpwstr>_Toc95743391</vt:lpwstr>
      </vt:variant>
      <vt:variant>
        <vt:i4>1376308</vt:i4>
      </vt:variant>
      <vt:variant>
        <vt:i4>266</vt:i4>
      </vt:variant>
      <vt:variant>
        <vt:i4>0</vt:i4>
      </vt:variant>
      <vt:variant>
        <vt:i4>5</vt:i4>
      </vt:variant>
      <vt:variant>
        <vt:lpwstr/>
      </vt:variant>
      <vt:variant>
        <vt:lpwstr>_Toc95743390</vt:lpwstr>
      </vt:variant>
      <vt:variant>
        <vt:i4>1835061</vt:i4>
      </vt:variant>
      <vt:variant>
        <vt:i4>260</vt:i4>
      </vt:variant>
      <vt:variant>
        <vt:i4>0</vt:i4>
      </vt:variant>
      <vt:variant>
        <vt:i4>5</vt:i4>
      </vt:variant>
      <vt:variant>
        <vt:lpwstr/>
      </vt:variant>
      <vt:variant>
        <vt:lpwstr>_Toc95743389</vt:lpwstr>
      </vt:variant>
      <vt:variant>
        <vt:i4>1900597</vt:i4>
      </vt:variant>
      <vt:variant>
        <vt:i4>254</vt:i4>
      </vt:variant>
      <vt:variant>
        <vt:i4>0</vt:i4>
      </vt:variant>
      <vt:variant>
        <vt:i4>5</vt:i4>
      </vt:variant>
      <vt:variant>
        <vt:lpwstr/>
      </vt:variant>
      <vt:variant>
        <vt:lpwstr>_Toc95743388</vt:lpwstr>
      </vt:variant>
      <vt:variant>
        <vt:i4>1179701</vt:i4>
      </vt:variant>
      <vt:variant>
        <vt:i4>248</vt:i4>
      </vt:variant>
      <vt:variant>
        <vt:i4>0</vt:i4>
      </vt:variant>
      <vt:variant>
        <vt:i4>5</vt:i4>
      </vt:variant>
      <vt:variant>
        <vt:lpwstr/>
      </vt:variant>
      <vt:variant>
        <vt:lpwstr>_Toc95743387</vt:lpwstr>
      </vt:variant>
      <vt:variant>
        <vt:i4>1245237</vt:i4>
      </vt:variant>
      <vt:variant>
        <vt:i4>242</vt:i4>
      </vt:variant>
      <vt:variant>
        <vt:i4>0</vt:i4>
      </vt:variant>
      <vt:variant>
        <vt:i4>5</vt:i4>
      </vt:variant>
      <vt:variant>
        <vt:lpwstr/>
      </vt:variant>
      <vt:variant>
        <vt:lpwstr>_Toc95743386</vt:lpwstr>
      </vt:variant>
      <vt:variant>
        <vt:i4>1048629</vt:i4>
      </vt:variant>
      <vt:variant>
        <vt:i4>236</vt:i4>
      </vt:variant>
      <vt:variant>
        <vt:i4>0</vt:i4>
      </vt:variant>
      <vt:variant>
        <vt:i4>5</vt:i4>
      </vt:variant>
      <vt:variant>
        <vt:lpwstr/>
      </vt:variant>
      <vt:variant>
        <vt:lpwstr>_Toc95743385</vt:lpwstr>
      </vt:variant>
      <vt:variant>
        <vt:i4>1114165</vt:i4>
      </vt:variant>
      <vt:variant>
        <vt:i4>230</vt:i4>
      </vt:variant>
      <vt:variant>
        <vt:i4>0</vt:i4>
      </vt:variant>
      <vt:variant>
        <vt:i4>5</vt:i4>
      </vt:variant>
      <vt:variant>
        <vt:lpwstr/>
      </vt:variant>
      <vt:variant>
        <vt:lpwstr>_Toc95743384</vt:lpwstr>
      </vt:variant>
      <vt:variant>
        <vt:i4>1441845</vt:i4>
      </vt:variant>
      <vt:variant>
        <vt:i4>224</vt:i4>
      </vt:variant>
      <vt:variant>
        <vt:i4>0</vt:i4>
      </vt:variant>
      <vt:variant>
        <vt:i4>5</vt:i4>
      </vt:variant>
      <vt:variant>
        <vt:lpwstr/>
      </vt:variant>
      <vt:variant>
        <vt:lpwstr>_Toc95743383</vt:lpwstr>
      </vt:variant>
      <vt:variant>
        <vt:i4>1507381</vt:i4>
      </vt:variant>
      <vt:variant>
        <vt:i4>218</vt:i4>
      </vt:variant>
      <vt:variant>
        <vt:i4>0</vt:i4>
      </vt:variant>
      <vt:variant>
        <vt:i4>5</vt:i4>
      </vt:variant>
      <vt:variant>
        <vt:lpwstr/>
      </vt:variant>
      <vt:variant>
        <vt:lpwstr>_Toc95743382</vt:lpwstr>
      </vt:variant>
      <vt:variant>
        <vt:i4>1310773</vt:i4>
      </vt:variant>
      <vt:variant>
        <vt:i4>212</vt:i4>
      </vt:variant>
      <vt:variant>
        <vt:i4>0</vt:i4>
      </vt:variant>
      <vt:variant>
        <vt:i4>5</vt:i4>
      </vt:variant>
      <vt:variant>
        <vt:lpwstr/>
      </vt:variant>
      <vt:variant>
        <vt:lpwstr>_Toc95743381</vt:lpwstr>
      </vt:variant>
      <vt:variant>
        <vt:i4>1376309</vt:i4>
      </vt:variant>
      <vt:variant>
        <vt:i4>206</vt:i4>
      </vt:variant>
      <vt:variant>
        <vt:i4>0</vt:i4>
      </vt:variant>
      <vt:variant>
        <vt:i4>5</vt:i4>
      </vt:variant>
      <vt:variant>
        <vt:lpwstr/>
      </vt:variant>
      <vt:variant>
        <vt:lpwstr>_Toc95743380</vt:lpwstr>
      </vt:variant>
      <vt:variant>
        <vt:i4>1835066</vt:i4>
      </vt:variant>
      <vt:variant>
        <vt:i4>200</vt:i4>
      </vt:variant>
      <vt:variant>
        <vt:i4>0</vt:i4>
      </vt:variant>
      <vt:variant>
        <vt:i4>5</vt:i4>
      </vt:variant>
      <vt:variant>
        <vt:lpwstr/>
      </vt:variant>
      <vt:variant>
        <vt:lpwstr>_Toc95743379</vt:lpwstr>
      </vt:variant>
      <vt:variant>
        <vt:i4>1900602</vt:i4>
      </vt:variant>
      <vt:variant>
        <vt:i4>194</vt:i4>
      </vt:variant>
      <vt:variant>
        <vt:i4>0</vt:i4>
      </vt:variant>
      <vt:variant>
        <vt:i4>5</vt:i4>
      </vt:variant>
      <vt:variant>
        <vt:lpwstr/>
      </vt:variant>
      <vt:variant>
        <vt:lpwstr>_Toc95743378</vt:lpwstr>
      </vt:variant>
      <vt:variant>
        <vt:i4>1179706</vt:i4>
      </vt:variant>
      <vt:variant>
        <vt:i4>188</vt:i4>
      </vt:variant>
      <vt:variant>
        <vt:i4>0</vt:i4>
      </vt:variant>
      <vt:variant>
        <vt:i4>5</vt:i4>
      </vt:variant>
      <vt:variant>
        <vt:lpwstr/>
      </vt:variant>
      <vt:variant>
        <vt:lpwstr>_Toc95743377</vt:lpwstr>
      </vt:variant>
      <vt:variant>
        <vt:i4>1245242</vt:i4>
      </vt:variant>
      <vt:variant>
        <vt:i4>182</vt:i4>
      </vt:variant>
      <vt:variant>
        <vt:i4>0</vt:i4>
      </vt:variant>
      <vt:variant>
        <vt:i4>5</vt:i4>
      </vt:variant>
      <vt:variant>
        <vt:lpwstr/>
      </vt:variant>
      <vt:variant>
        <vt:lpwstr>_Toc95743376</vt:lpwstr>
      </vt:variant>
      <vt:variant>
        <vt:i4>1048634</vt:i4>
      </vt:variant>
      <vt:variant>
        <vt:i4>176</vt:i4>
      </vt:variant>
      <vt:variant>
        <vt:i4>0</vt:i4>
      </vt:variant>
      <vt:variant>
        <vt:i4>5</vt:i4>
      </vt:variant>
      <vt:variant>
        <vt:lpwstr/>
      </vt:variant>
      <vt:variant>
        <vt:lpwstr>_Toc95743375</vt:lpwstr>
      </vt:variant>
      <vt:variant>
        <vt:i4>1114170</vt:i4>
      </vt:variant>
      <vt:variant>
        <vt:i4>170</vt:i4>
      </vt:variant>
      <vt:variant>
        <vt:i4>0</vt:i4>
      </vt:variant>
      <vt:variant>
        <vt:i4>5</vt:i4>
      </vt:variant>
      <vt:variant>
        <vt:lpwstr/>
      </vt:variant>
      <vt:variant>
        <vt:lpwstr>_Toc95743374</vt:lpwstr>
      </vt:variant>
      <vt:variant>
        <vt:i4>1441850</vt:i4>
      </vt:variant>
      <vt:variant>
        <vt:i4>164</vt:i4>
      </vt:variant>
      <vt:variant>
        <vt:i4>0</vt:i4>
      </vt:variant>
      <vt:variant>
        <vt:i4>5</vt:i4>
      </vt:variant>
      <vt:variant>
        <vt:lpwstr/>
      </vt:variant>
      <vt:variant>
        <vt:lpwstr>_Toc95743373</vt:lpwstr>
      </vt:variant>
      <vt:variant>
        <vt:i4>1507386</vt:i4>
      </vt:variant>
      <vt:variant>
        <vt:i4>158</vt:i4>
      </vt:variant>
      <vt:variant>
        <vt:i4>0</vt:i4>
      </vt:variant>
      <vt:variant>
        <vt:i4>5</vt:i4>
      </vt:variant>
      <vt:variant>
        <vt:lpwstr/>
      </vt:variant>
      <vt:variant>
        <vt:lpwstr>_Toc95743372</vt:lpwstr>
      </vt:variant>
      <vt:variant>
        <vt:i4>1310778</vt:i4>
      </vt:variant>
      <vt:variant>
        <vt:i4>152</vt:i4>
      </vt:variant>
      <vt:variant>
        <vt:i4>0</vt:i4>
      </vt:variant>
      <vt:variant>
        <vt:i4>5</vt:i4>
      </vt:variant>
      <vt:variant>
        <vt:lpwstr/>
      </vt:variant>
      <vt:variant>
        <vt:lpwstr>_Toc95743371</vt:lpwstr>
      </vt:variant>
      <vt:variant>
        <vt:i4>1376314</vt:i4>
      </vt:variant>
      <vt:variant>
        <vt:i4>146</vt:i4>
      </vt:variant>
      <vt:variant>
        <vt:i4>0</vt:i4>
      </vt:variant>
      <vt:variant>
        <vt:i4>5</vt:i4>
      </vt:variant>
      <vt:variant>
        <vt:lpwstr/>
      </vt:variant>
      <vt:variant>
        <vt:lpwstr>_Toc95743370</vt:lpwstr>
      </vt:variant>
      <vt:variant>
        <vt:i4>1835067</vt:i4>
      </vt:variant>
      <vt:variant>
        <vt:i4>140</vt:i4>
      </vt:variant>
      <vt:variant>
        <vt:i4>0</vt:i4>
      </vt:variant>
      <vt:variant>
        <vt:i4>5</vt:i4>
      </vt:variant>
      <vt:variant>
        <vt:lpwstr/>
      </vt:variant>
      <vt:variant>
        <vt:lpwstr>_Toc95743369</vt:lpwstr>
      </vt:variant>
      <vt:variant>
        <vt:i4>1900603</vt:i4>
      </vt:variant>
      <vt:variant>
        <vt:i4>134</vt:i4>
      </vt:variant>
      <vt:variant>
        <vt:i4>0</vt:i4>
      </vt:variant>
      <vt:variant>
        <vt:i4>5</vt:i4>
      </vt:variant>
      <vt:variant>
        <vt:lpwstr/>
      </vt:variant>
      <vt:variant>
        <vt:lpwstr>_Toc95743368</vt:lpwstr>
      </vt:variant>
      <vt:variant>
        <vt:i4>1179707</vt:i4>
      </vt:variant>
      <vt:variant>
        <vt:i4>128</vt:i4>
      </vt:variant>
      <vt:variant>
        <vt:i4>0</vt:i4>
      </vt:variant>
      <vt:variant>
        <vt:i4>5</vt:i4>
      </vt:variant>
      <vt:variant>
        <vt:lpwstr/>
      </vt:variant>
      <vt:variant>
        <vt:lpwstr>_Toc95743367</vt:lpwstr>
      </vt:variant>
      <vt:variant>
        <vt:i4>1245243</vt:i4>
      </vt:variant>
      <vt:variant>
        <vt:i4>122</vt:i4>
      </vt:variant>
      <vt:variant>
        <vt:i4>0</vt:i4>
      </vt:variant>
      <vt:variant>
        <vt:i4>5</vt:i4>
      </vt:variant>
      <vt:variant>
        <vt:lpwstr/>
      </vt:variant>
      <vt:variant>
        <vt:lpwstr>_Toc95743366</vt:lpwstr>
      </vt:variant>
      <vt:variant>
        <vt:i4>1048635</vt:i4>
      </vt:variant>
      <vt:variant>
        <vt:i4>116</vt:i4>
      </vt:variant>
      <vt:variant>
        <vt:i4>0</vt:i4>
      </vt:variant>
      <vt:variant>
        <vt:i4>5</vt:i4>
      </vt:variant>
      <vt:variant>
        <vt:lpwstr/>
      </vt:variant>
      <vt:variant>
        <vt:lpwstr>_Toc95743365</vt:lpwstr>
      </vt:variant>
      <vt:variant>
        <vt:i4>1114171</vt:i4>
      </vt:variant>
      <vt:variant>
        <vt:i4>110</vt:i4>
      </vt:variant>
      <vt:variant>
        <vt:i4>0</vt:i4>
      </vt:variant>
      <vt:variant>
        <vt:i4>5</vt:i4>
      </vt:variant>
      <vt:variant>
        <vt:lpwstr/>
      </vt:variant>
      <vt:variant>
        <vt:lpwstr>_Toc95743364</vt:lpwstr>
      </vt:variant>
      <vt:variant>
        <vt:i4>1441851</vt:i4>
      </vt:variant>
      <vt:variant>
        <vt:i4>104</vt:i4>
      </vt:variant>
      <vt:variant>
        <vt:i4>0</vt:i4>
      </vt:variant>
      <vt:variant>
        <vt:i4>5</vt:i4>
      </vt:variant>
      <vt:variant>
        <vt:lpwstr/>
      </vt:variant>
      <vt:variant>
        <vt:lpwstr>_Toc95743363</vt:lpwstr>
      </vt:variant>
      <vt:variant>
        <vt:i4>1507387</vt:i4>
      </vt:variant>
      <vt:variant>
        <vt:i4>98</vt:i4>
      </vt:variant>
      <vt:variant>
        <vt:i4>0</vt:i4>
      </vt:variant>
      <vt:variant>
        <vt:i4>5</vt:i4>
      </vt:variant>
      <vt:variant>
        <vt:lpwstr/>
      </vt:variant>
      <vt:variant>
        <vt:lpwstr>_Toc95743362</vt:lpwstr>
      </vt:variant>
      <vt:variant>
        <vt:i4>1310779</vt:i4>
      </vt:variant>
      <vt:variant>
        <vt:i4>92</vt:i4>
      </vt:variant>
      <vt:variant>
        <vt:i4>0</vt:i4>
      </vt:variant>
      <vt:variant>
        <vt:i4>5</vt:i4>
      </vt:variant>
      <vt:variant>
        <vt:lpwstr/>
      </vt:variant>
      <vt:variant>
        <vt:lpwstr>_Toc95743361</vt:lpwstr>
      </vt:variant>
      <vt:variant>
        <vt:i4>1376315</vt:i4>
      </vt:variant>
      <vt:variant>
        <vt:i4>86</vt:i4>
      </vt:variant>
      <vt:variant>
        <vt:i4>0</vt:i4>
      </vt:variant>
      <vt:variant>
        <vt:i4>5</vt:i4>
      </vt:variant>
      <vt:variant>
        <vt:lpwstr/>
      </vt:variant>
      <vt:variant>
        <vt:lpwstr>_Toc95743360</vt:lpwstr>
      </vt:variant>
      <vt:variant>
        <vt:i4>1835064</vt:i4>
      </vt:variant>
      <vt:variant>
        <vt:i4>80</vt:i4>
      </vt:variant>
      <vt:variant>
        <vt:i4>0</vt:i4>
      </vt:variant>
      <vt:variant>
        <vt:i4>5</vt:i4>
      </vt:variant>
      <vt:variant>
        <vt:lpwstr/>
      </vt:variant>
      <vt:variant>
        <vt:lpwstr>_Toc95743359</vt:lpwstr>
      </vt:variant>
      <vt:variant>
        <vt:i4>1900600</vt:i4>
      </vt:variant>
      <vt:variant>
        <vt:i4>74</vt:i4>
      </vt:variant>
      <vt:variant>
        <vt:i4>0</vt:i4>
      </vt:variant>
      <vt:variant>
        <vt:i4>5</vt:i4>
      </vt:variant>
      <vt:variant>
        <vt:lpwstr/>
      </vt:variant>
      <vt:variant>
        <vt:lpwstr>_Toc95743358</vt:lpwstr>
      </vt:variant>
      <vt:variant>
        <vt:i4>1179704</vt:i4>
      </vt:variant>
      <vt:variant>
        <vt:i4>68</vt:i4>
      </vt:variant>
      <vt:variant>
        <vt:i4>0</vt:i4>
      </vt:variant>
      <vt:variant>
        <vt:i4>5</vt:i4>
      </vt:variant>
      <vt:variant>
        <vt:lpwstr/>
      </vt:variant>
      <vt:variant>
        <vt:lpwstr>_Toc95743357</vt:lpwstr>
      </vt:variant>
      <vt:variant>
        <vt:i4>1245240</vt:i4>
      </vt:variant>
      <vt:variant>
        <vt:i4>62</vt:i4>
      </vt:variant>
      <vt:variant>
        <vt:i4>0</vt:i4>
      </vt:variant>
      <vt:variant>
        <vt:i4>5</vt:i4>
      </vt:variant>
      <vt:variant>
        <vt:lpwstr/>
      </vt:variant>
      <vt:variant>
        <vt:lpwstr>_Toc95743356</vt:lpwstr>
      </vt:variant>
      <vt:variant>
        <vt:i4>1048632</vt:i4>
      </vt:variant>
      <vt:variant>
        <vt:i4>56</vt:i4>
      </vt:variant>
      <vt:variant>
        <vt:i4>0</vt:i4>
      </vt:variant>
      <vt:variant>
        <vt:i4>5</vt:i4>
      </vt:variant>
      <vt:variant>
        <vt:lpwstr/>
      </vt:variant>
      <vt:variant>
        <vt:lpwstr>_Toc95743355</vt:lpwstr>
      </vt:variant>
      <vt:variant>
        <vt:i4>1114168</vt:i4>
      </vt:variant>
      <vt:variant>
        <vt:i4>50</vt:i4>
      </vt:variant>
      <vt:variant>
        <vt:i4>0</vt:i4>
      </vt:variant>
      <vt:variant>
        <vt:i4>5</vt:i4>
      </vt:variant>
      <vt:variant>
        <vt:lpwstr/>
      </vt:variant>
      <vt:variant>
        <vt:lpwstr>_Toc95743354</vt:lpwstr>
      </vt:variant>
      <vt:variant>
        <vt:i4>1441848</vt:i4>
      </vt:variant>
      <vt:variant>
        <vt:i4>44</vt:i4>
      </vt:variant>
      <vt:variant>
        <vt:i4>0</vt:i4>
      </vt:variant>
      <vt:variant>
        <vt:i4>5</vt:i4>
      </vt:variant>
      <vt:variant>
        <vt:lpwstr/>
      </vt:variant>
      <vt:variant>
        <vt:lpwstr>_Toc95743353</vt:lpwstr>
      </vt:variant>
      <vt:variant>
        <vt:i4>1507384</vt:i4>
      </vt:variant>
      <vt:variant>
        <vt:i4>38</vt:i4>
      </vt:variant>
      <vt:variant>
        <vt:i4>0</vt:i4>
      </vt:variant>
      <vt:variant>
        <vt:i4>5</vt:i4>
      </vt:variant>
      <vt:variant>
        <vt:lpwstr/>
      </vt:variant>
      <vt:variant>
        <vt:lpwstr>_Toc95743352</vt:lpwstr>
      </vt:variant>
      <vt:variant>
        <vt:i4>1310776</vt:i4>
      </vt:variant>
      <vt:variant>
        <vt:i4>32</vt:i4>
      </vt:variant>
      <vt:variant>
        <vt:i4>0</vt:i4>
      </vt:variant>
      <vt:variant>
        <vt:i4>5</vt:i4>
      </vt:variant>
      <vt:variant>
        <vt:lpwstr/>
      </vt:variant>
      <vt:variant>
        <vt:lpwstr>_Toc95743351</vt:lpwstr>
      </vt:variant>
      <vt:variant>
        <vt:i4>1376312</vt:i4>
      </vt:variant>
      <vt:variant>
        <vt:i4>26</vt:i4>
      </vt:variant>
      <vt:variant>
        <vt:i4>0</vt:i4>
      </vt:variant>
      <vt:variant>
        <vt:i4>5</vt:i4>
      </vt:variant>
      <vt:variant>
        <vt:lpwstr/>
      </vt:variant>
      <vt:variant>
        <vt:lpwstr>_Toc95743350</vt:lpwstr>
      </vt:variant>
      <vt:variant>
        <vt:i4>1835065</vt:i4>
      </vt:variant>
      <vt:variant>
        <vt:i4>20</vt:i4>
      </vt:variant>
      <vt:variant>
        <vt:i4>0</vt:i4>
      </vt:variant>
      <vt:variant>
        <vt:i4>5</vt:i4>
      </vt:variant>
      <vt:variant>
        <vt:lpwstr/>
      </vt:variant>
      <vt:variant>
        <vt:lpwstr>_Toc95743349</vt:lpwstr>
      </vt:variant>
      <vt:variant>
        <vt:i4>1900601</vt:i4>
      </vt:variant>
      <vt:variant>
        <vt:i4>14</vt:i4>
      </vt:variant>
      <vt:variant>
        <vt:i4>0</vt:i4>
      </vt:variant>
      <vt:variant>
        <vt:i4>5</vt:i4>
      </vt:variant>
      <vt:variant>
        <vt:lpwstr/>
      </vt:variant>
      <vt:variant>
        <vt:lpwstr>_Toc95743348</vt:lpwstr>
      </vt:variant>
      <vt:variant>
        <vt:i4>1179705</vt:i4>
      </vt:variant>
      <vt:variant>
        <vt:i4>8</vt:i4>
      </vt:variant>
      <vt:variant>
        <vt:i4>0</vt:i4>
      </vt:variant>
      <vt:variant>
        <vt:i4>5</vt:i4>
      </vt:variant>
      <vt:variant>
        <vt:lpwstr/>
      </vt:variant>
      <vt:variant>
        <vt:lpwstr>_Toc95743347</vt:lpwstr>
      </vt:variant>
      <vt:variant>
        <vt:i4>7340035</vt:i4>
      </vt:variant>
      <vt:variant>
        <vt:i4>3</vt:i4>
      </vt:variant>
      <vt:variant>
        <vt:i4>0</vt:i4>
      </vt:variant>
      <vt:variant>
        <vt:i4>5</vt:i4>
      </vt:variant>
      <vt:variant>
        <vt:lpwstr>mailto:england.gpcommissioning@nhs.net</vt:lpwstr>
      </vt:variant>
      <vt:variant>
        <vt:lpwstr/>
      </vt:variant>
      <vt:variant>
        <vt:i4>4653161</vt:i4>
      </vt:variant>
      <vt:variant>
        <vt:i4>0</vt:i4>
      </vt:variant>
      <vt:variant>
        <vt:i4>0</vt:i4>
      </vt:variant>
      <vt:variant>
        <vt:i4>5</vt:i4>
      </vt:variant>
      <vt:variant>
        <vt:lpwstr>mailto:iyabo.akanmu-ogunremi@nhs.net</vt:lpwstr>
      </vt:variant>
      <vt:variant>
        <vt:lpwstr/>
      </vt:variant>
      <vt:variant>
        <vt:i4>3932259</vt:i4>
      </vt:variant>
      <vt:variant>
        <vt:i4>15</vt:i4>
      </vt:variant>
      <vt:variant>
        <vt:i4>0</vt:i4>
      </vt:variant>
      <vt:variant>
        <vt:i4>5</vt:i4>
      </vt:variant>
      <vt:variant>
        <vt:lpwstr>https://www.legislation.gov.uk/uksi/2015/1862/contents/made</vt:lpwstr>
      </vt:variant>
      <vt:variant>
        <vt:lpwstr/>
      </vt:variant>
      <vt:variant>
        <vt:i4>5570677</vt:i4>
      </vt:variant>
      <vt:variant>
        <vt:i4>12</vt:i4>
      </vt:variant>
      <vt:variant>
        <vt:i4>0</vt:i4>
      </vt:variant>
      <vt:variant>
        <vt:i4>5</vt:i4>
      </vt:variant>
      <vt:variant>
        <vt:lpwstr>https://assets.publishing.service.gov.uk/government/uploads/system/uploads/attachment_data/file/975395/GMS_SFE_2021.pdf</vt:lpwstr>
      </vt:variant>
      <vt:variant>
        <vt:lpwstr/>
      </vt:variant>
      <vt:variant>
        <vt:i4>3014699</vt:i4>
      </vt:variant>
      <vt:variant>
        <vt:i4>9</vt:i4>
      </vt:variant>
      <vt:variant>
        <vt:i4>0</vt:i4>
      </vt:variant>
      <vt:variant>
        <vt:i4>5</vt:i4>
      </vt:variant>
      <vt:variant>
        <vt:lpwstr>https://digital.nhs.uk/data-and-information/publications/statistical/gp-earnings-and-expenses-estimates/2017-18</vt:lpwstr>
      </vt:variant>
      <vt:variant>
        <vt:lpwstr/>
      </vt:variant>
      <vt:variant>
        <vt:i4>2228272</vt:i4>
      </vt:variant>
      <vt:variant>
        <vt:i4>6</vt:i4>
      </vt:variant>
      <vt:variant>
        <vt:i4>0</vt:i4>
      </vt:variant>
      <vt:variant>
        <vt:i4>5</vt:i4>
      </vt:variant>
      <vt:variant>
        <vt:lpwstr>https://www.cqc.org.uk/guidance-providers/gps/gp-mythbuster-36-registration-treatment-asylum-seekers-refugees-other</vt:lpwstr>
      </vt:variant>
      <vt:variant>
        <vt:lpwstr/>
      </vt:variant>
      <vt:variant>
        <vt:i4>7536746</vt:i4>
      </vt:variant>
      <vt:variant>
        <vt:i4>3</vt:i4>
      </vt:variant>
      <vt:variant>
        <vt:i4>0</vt:i4>
      </vt:variant>
      <vt:variant>
        <vt:i4>5</vt:i4>
      </vt:variant>
      <vt:variant>
        <vt:lpwstr>http://www.cqc.org.uk/content/gp-mythbuster-29-looking-after-homeless-patients-general-practice</vt:lpwstr>
      </vt:variant>
      <vt:variant>
        <vt:lpwstr/>
      </vt:variant>
      <vt:variant>
        <vt:i4>131084</vt:i4>
      </vt:variant>
      <vt:variant>
        <vt:i4>0</vt:i4>
      </vt:variant>
      <vt:variant>
        <vt:i4>0</vt:i4>
      </vt:variant>
      <vt:variant>
        <vt:i4>5</vt:i4>
      </vt:variant>
      <vt:variant>
        <vt:lpwstr>https://www.ons.gov.uk/peoplepopulationandcommunity/populationandmigration/populationestimates/methodologies/patientregisterqualityassuranceofadministrativedatausedinpopulationstatisticsdec2016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 England report template-add image</dc:title>
  <dc:subject/>
  <dc:creator>gary.williams3@nhs.net</dc:creator>
  <cp:keywords>report templates</cp:keywords>
  <cp:lastModifiedBy>DONNELLY, Amy (NHS ENGLAND &amp; NHS IMPROVEMENT - X24)</cp:lastModifiedBy>
  <cp:revision>2</cp:revision>
  <cp:lastPrinted>2019-01-31T00:23:00Z</cp:lastPrinted>
  <dcterms:created xsi:type="dcterms:W3CDTF">2022-05-12T12:40:00Z</dcterms:created>
  <dcterms:modified xsi:type="dcterms:W3CDTF">2022-05-12T12:40:00Z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0x0101007BC49A3514865644ACA87330B1596EB4</vt:lpwstr>
  </property>
  <property fmtid="{D5CDD505-2E9C-101B-9397-08002B2CF9AE}" pid="3" name="_dlc_DocIdItemGuid">
    <vt:lpwstr>248490f9-fa1e-4572-b0ce-c48ab611a2ac</vt:lpwstr>
  </property>
  <property fmtid="{D5CDD505-2E9C-101B-9397-08002B2CF9AE}" pid="4" name="TaxKeyword">
    <vt:lpwstr>3229;#report templates|e8632928-bb27-4f35-b740-ffb9cf87d4b2</vt:lpwstr>
  </property>
</Properties>
</file>